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C96C6" w14:textId="77777777" w:rsidR="00D67C1E" w:rsidRDefault="00D67C1E">
      <w:pPr>
        <w:pStyle w:val="BodyText"/>
        <w:spacing w:before="8"/>
        <w:ind w:left="0"/>
        <w:rPr>
          <w:rFonts w:ascii="Times New Roman"/>
          <w:sz w:val="3"/>
        </w:rPr>
      </w:pPr>
    </w:p>
    <w:p w14:paraId="19F10A11" w14:textId="77777777" w:rsidR="00D67C1E" w:rsidRPr="00283806" w:rsidRDefault="001265CA">
      <w:pPr>
        <w:pStyle w:val="BodyText"/>
        <w:spacing w:line="105" w:lineRule="exact"/>
        <w:ind w:left="138"/>
        <w:rPr>
          <w:rFonts w:ascii="Times New Roman"/>
          <w:sz w:val="10"/>
        </w:rPr>
      </w:pPr>
      <w:r w:rsidRPr="00283806">
        <w:rPr>
          <w:rFonts w:ascii="Times New Roman"/>
          <w:noProof/>
          <w:position w:val="-1"/>
          <w:sz w:val="10"/>
        </w:rPr>
        <mc:AlternateContent>
          <mc:Choice Requires="wpg">
            <w:drawing>
              <wp:inline distT="0" distB="0" distL="0" distR="0" wp14:anchorId="4C4E62EE" wp14:editId="6A5A19D4">
                <wp:extent cx="6629400" cy="66675"/>
                <wp:effectExtent l="19050" t="0" r="9525" b="0"/>
                <wp:docPr id="7" name="Group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29400" cy="66675"/>
                          <a:chOff x="0" y="0"/>
                          <a:chExt cx="6629400" cy="66675"/>
                        </a:xfrm>
                      </wpg:grpSpPr>
                      <wps:wsp>
                        <wps:cNvPr id="8" name="Graphic 8"/>
                        <wps:cNvSpPr/>
                        <wps:spPr>
                          <a:xfrm>
                            <a:off x="0" y="13970"/>
                            <a:ext cx="6629400" cy="1270"/>
                          </a:xfrm>
                          <a:custGeom>
                            <a:avLst/>
                            <a:gdLst/>
                            <a:ahLst/>
                            <a:cxnLst/>
                            <a:rect l="l" t="t" r="r" b="b"/>
                            <a:pathLst>
                              <a:path w="6629400">
                                <a:moveTo>
                                  <a:pt x="0" y="0"/>
                                </a:moveTo>
                                <a:lnTo>
                                  <a:pt x="6629400" y="0"/>
                                </a:lnTo>
                              </a:path>
                            </a:pathLst>
                          </a:custGeom>
                          <a:ln w="27940">
                            <a:solidFill>
                              <a:srgbClr val="000000"/>
                            </a:solidFill>
                            <a:prstDash val="solid"/>
                          </a:ln>
                        </wps:spPr>
                        <wps:bodyPr wrap="square" lIns="0" tIns="0" rIns="0" bIns="0" rtlCol="0">
                          <a:prstTxWarp prst="textNoShape">
                            <a:avLst/>
                          </a:prstTxWarp>
                          <a:noAutofit/>
                        </wps:bodyPr>
                      </wps:wsp>
                      <wps:wsp>
                        <wps:cNvPr id="9" name="Graphic 9"/>
                        <wps:cNvSpPr/>
                        <wps:spPr>
                          <a:xfrm>
                            <a:off x="0" y="64769"/>
                            <a:ext cx="6629400" cy="1270"/>
                          </a:xfrm>
                          <a:custGeom>
                            <a:avLst/>
                            <a:gdLst/>
                            <a:ahLst/>
                            <a:cxnLst/>
                            <a:rect l="l" t="t" r="r" b="b"/>
                            <a:pathLst>
                              <a:path w="6629400">
                                <a:moveTo>
                                  <a:pt x="0" y="0"/>
                                </a:moveTo>
                                <a:lnTo>
                                  <a:pt x="6629400" y="0"/>
                                </a:lnTo>
                              </a:path>
                            </a:pathLst>
                          </a:custGeom>
                          <a:ln w="381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E2496A0" id="Group 7" o:spid="_x0000_s1026" alt="&quot;&quot;" style="width:522pt;height:5.25pt;mso-position-horizontal-relative:char;mso-position-vertical-relative:line" coordsize="66294,6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">
                <v:shape id="Graphic 8" o:spid="_x0000_s1027" style="position:absolute;top:139;width:66294;height:13;visibility:visible;mso-wrap-style:square;v-text-anchor:top" coordsize="6629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" path="m,l6629400,e" filled="f" strokeweight="2.2pt">
                  <v:path arrowok="t"/>
                </v:shape>
                <v:shape id="Graphic 9" o:spid="_x0000_s1028" style="position:absolute;top:647;width:66294;height:13;visibility:visible;mso-wrap-style:square;v-text-anchor:top" coordsize="6629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" path="m,l6629400,e" filled="f" strokeweight=".3pt">
                  <v:path arrowok="t"/>
                </v:shape>
                <w10:anchorlock/>
              </v:group>
            </w:pict>
          </mc:Fallback>
        </mc:AlternateContent>
      </w:r>
    </w:p>
    <w:p w14:paraId="4F1BE373" w14:textId="77777777" w:rsidR="00D67C1E" w:rsidRPr="00283806" w:rsidRDefault="00D67C1E">
      <w:pPr>
        <w:pStyle w:val="BodyText"/>
        <w:spacing w:before="1"/>
        <w:ind w:left="0"/>
        <w:rPr>
          <w:rFonts w:ascii="Times New Roman"/>
          <w:sz w:val="6"/>
        </w:rPr>
      </w:pPr>
    </w:p>
    <w:p w14:paraId="7BF1923C" w14:textId="77777777" w:rsidR="00D67C1E" w:rsidRPr="00283806" w:rsidRDefault="00D67C1E">
      <w:pPr>
        <w:rPr>
          <w:rFonts w:ascii="Times New Roman"/>
          <w:sz w:val="6"/>
        </w:rPr>
        <w:sectPr w:rsidR="00D67C1E" w:rsidRPr="00283806">
          <w:headerReference w:type="even" r:id="rId7"/>
          <w:headerReference w:type="default" r:id="rId8"/>
          <w:type w:val="continuous"/>
          <w:pgSz w:w="12240" w:h="15840"/>
          <w:pgMar w:top="880" w:right="780" w:bottom="280" w:left="740" w:header="627" w:footer="0" w:gutter="0"/>
          <w:pgNumType w:start="82682"/>
          <w:cols w:space="720"/>
        </w:sectPr>
      </w:pPr>
    </w:p>
    <w:p w14:paraId="7D83F15E" w14:textId="77777777" w:rsidR="00D67C1E" w:rsidRPr="00283806" w:rsidRDefault="001265CA">
      <w:pPr>
        <w:pStyle w:val="Heading2"/>
        <w:spacing w:before="83" w:line="232" w:lineRule="auto"/>
        <w:ind w:right="540"/>
      </w:pPr>
      <w:r w:rsidRPr="00283806">
        <w:rPr>
          <w:noProof/>
        </w:rPr>
        <w:drawing>
          <wp:anchor distT="0" distB="0" distL="0" distR="0" simplePos="0" relativeHeight="251612160" behindDoc="0" locked="0" layoutInCell="1" allowOverlap="1" wp14:anchorId="1643757E" wp14:editId="5A09F074">
            <wp:simplePos x="0" y="0"/>
            <wp:positionH relativeFrom="page">
              <wp:posOffset>536941</wp:posOffset>
            </wp:positionH>
            <wp:positionV relativeFrom="page">
              <wp:posOffset>160311</wp:posOffset>
            </wp:positionV>
            <wp:extent cx="501272" cy="245237"/>
            <wp:effectExtent l="0" t="0" r="0" b="2540"/>
            <wp:wrapNone/>
            <wp:docPr id="10" name="Imag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a:extLst>
                        <a:ext uri="{C183D7F6-B498-43B3-948B-1728B52AA6E4}">
                          <adec:decorative xmlns:adec="http://schemas.microsoft.com/office/drawing/2017/decorative" val="1"/>
                        </a:ext>
                      </a:extLst>
                    </pic:cNvPr>
                    <pic:cNvPicPr/>
                  </pic:nvPicPr>
                  <pic:blipFill>
                    <a:blip r:embed="rId9" cstate="print"/>
                    <a:stretch>
                      <a:fillRect/>
                    </a:stretch>
                  </pic:blipFill>
                  <pic:spPr>
                    <a:xfrm>
                      <a:off x="0" y="0"/>
                      <a:ext cx="501272" cy="245237"/>
                    </a:xfrm>
                    <a:prstGeom prst="rect">
                      <a:avLst/>
                    </a:prstGeom>
                  </pic:spPr>
                </pic:pic>
              </a:graphicData>
            </a:graphic>
          </wp:anchor>
        </w:drawing>
      </w:r>
      <w:r w:rsidRPr="00283806">
        <w:t>ENVIRONMENTAL</w:t>
      </w:r>
      <w:r w:rsidRPr="00283806">
        <w:rPr>
          <w:spacing w:val="-13"/>
        </w:rPr>
        <w:t xml:space="preserve"> </w:t>
      </w:r>
      <w:r w:rsidRPr="00283806">
        <w:t xml:space="preserve">PROTECTION </w:t>
      </w:r>
      <w:r w:rsidRPr="00283806">
        <w:rPr>
          <w:spacing w:val="-2"/>
        </w:rPr>
        <w:t>AGENCY</w:t>
      </w:r>
    </w:p>
    <w:p w14:paraId="49CFA0CE" w14:textId="77777777" w:rsidR="00D67C1E" w:rsidRPr="00283806" w:rsidRDefault="001265CA">
      <w:pPr>
        <w:pStyle w:val="Heading3"/>
        <w:spacing w:before="153" w:line="203" w:lineRule="exact"/>
      </w:pPr>
      <w:r w:rsidRPr="00283806">
        <w:t>40</w:t>
      </w:r>
      <w:r w:rsidRPr="00283806">
        <w:rPr>
          <w:spacing w:val="-4"/>
        </w:rPr>
        <w:t xml:space="preserve"> </w:t>
      </w:r>
      <w:r w:rsidRPr="00283806">
        <w:t>CFR</w:t>
      </w:r>
      <w:r w:rsidRPr="00283806">
        <w:rPr>
          <w:spacing w:val="-3"/>
        </w:rPr>
        <w:t xml:space="preserve"> </w:t>
      </w:r>
      <w:r w:rsidRPr="00283806">
        <w:t>Parts</w:t>
      </w:r>
      <w:r w:rsidRPr="00283806">
        <w:rPr>
          <w:spacing w:val="-4"/>
        </w:rPr>
        <w:t xml:space="preserve"> </w:t>
      </w:r>
      <w:r w:rsidRPr="00283806">
        <w:t>84,</w:t>
      </w:r>
      <w:r w:rsidRPr="00283806">
        <w:rPr>
          <w:spacing w:val="-3"/>
        </w:rPr>
        <w:t xml:space="preserve"> </w:t>
      </w:r>
      <w:r w:rsidRPr="00283806">
        <w:t>261,</w:t>
      </w:r>
      <w:r w:rsidRPr="00283806">
        <w:rPr>
          <w:spacing w:val="-4"/>
        </w:rPr>
        <w:t xml:space="preserve"> </w:t>
      </w:r>
      <w:r w:rsidRPr="00283806">
        <w:t>262,</w:t>
      </w:r>
      <w:r w:rsidRPr="00283806">
        <w:rPr>
          <w:spacing w:val="-3"/>
        </w:rPr>
        <w:t xml:space="preserve"> </w:t>
      </w:r>
      <w:r w:rsidRPr="00283806">
        <w:t>266,</w:t>
      </w:r>
      <w:r w:rsidRPr="00283806">
        <w:rPr>
          <w:spacing w:val="-4"/>
        </w:rPr>
        <w:t xml:space="preserve"> 270,</w:t>
      </w:r>
    </w:p>
    <w:p w14:paraId="3D58C9D7" w14:textId="77777777" w:rsidR="00D67C1E" w:rsidRPr="00283806" w:rsidRDefault="001265CA">
      <w:pPr>
        <w:spacing w:line="203" w:lineRule="exact"/>
        <w:ind w:left="160"/>
        <w:rPr>
          <w:rFonts w:ascii="Arial"/>
          <w:b/>
          <w:sz w:val="18"/>
        </w:rPr>
      </w:pPr>
      <w:r w:rsidRPr="00283806">
        <w:rPr>
          <w:rFonts w:ascii="Arial"/>
          <w:b/>
          <w:sz w:val="18"/>
        </w:rPr>
        <w:t>and</w:t>
      </w:r>
      <w:r w:rsidRPr="00283806">
        <w:rPr>
          <w:rFonts w:ascii="Arial"/>
          <w:b/>
          <w:spacing w:val="-1"/>
          <w:sz w:val="18"/>
        </w:rPr>
        <w:t xml:space="preserve"> </w:t>
      </w:r>
      <w:r w:rsidRPr="00283806">
        <w:rPr>
          <w:rFonts w:ascii="Arial"/>
          <w:b/>
          <w:spacing w:val="-5"/>
          <w:sz w:val="18"/>
        </w:rPr>
        <w:t>271</w:t>
      </w:r>
    </w:p>
    <w:p w14:paraId="12441021" w14:textId="77777777" w:rsidR="00D67C1E" w:rsidRPr="00283806" w:rsidRDefault="001265CA">
      <w:pPr>
        <w:spacing w:before="103" w:line="235" w:lineRule="auto"/>
        <w:ind w:left="160" w:right="-5"/>
        <w:rPr>
          <w:rFonts w:ascii="Arial" w:hAnsi="Arial"/>
          <w:b/>
          <w:sz w:val="16"/>
        </w:rPr>
      </w:pPr>
      <w:r w:rsidRPr="00283806">
        <w:rPr>
          <w:rFonts w:ascii="Arial" w:hAnsi="Arial"/>
          <w:b/>
          <w:sz w:val="16"/>
        </w:rPr>
        <w:t>[EPA–HQ–OAR–2022–0606;</w:t>
      </w:r>
      <w:r w:rsidRPr="00283806">
        <w:rPr>
          <w:rFonts w:ascii="Arial" w:hAnsi="Arial"/>
          <w:b/>
          <w:spacing w:val="-12"/>
          <w:sz w:val="16"/>
        </w:rPr>
        <w:t xml:space="preserve"> </w:t>
      </w:r>
      <w:r w:rsidRPr="00283806">
        <w:rPr>
          <w:rFonts w:ascii="Arial" w:hAnsi="Arial"/>
          <w:b/>
          <w:sz w:val="16"/>
        </w:rPr>
        <w:t xml:space="preserve">FRL–10105–02– </w:t>
      </w:r>
      <w:r w:rsidRPr="00283806">
        <w:rPr>
          <w:rFonts w:ascii="Arial" w:hAnsi="Arial"/>
          <w:b/>
          <w:spacing w:val="-4"/>
          <w:sz w:val="16"/>
        </w:rPr>
        <w:t>OAR]</w:t>
      </w:r>
    </w:p>
    <w:p w14:paraId="582B7F5A" w14:textId="77777777" w:rsidR="00D67C1E" w:rsidRPr="00283806" w:rsidRDefault="001265CA">
      <w:pPr>
        <w:spacing w:before="105"/>
        <w:ind w:left="160"/>
        <w:rPr>
          <w:rFonts w:ascii="Arial" w:hAnsi="Arial"/>
          <w:b/>
          <w:sz w:val="16"/>
        </w:rPr>
      </w:pPr>
      <w:r w:rsidRPr="00283806">
        <w:rPr>
          <w:rFonts w:ascii="Arial" w:hAnsi="Arial"/>
          <w:b/>
          <w:sz w:val="16"/>
        </w:rPr>
        <w:t>RIN</w:t>
      </w:r>
      <w:r w:rsidRPr="00283806">
        <w:rPr>
          <w:rFonts w:ascii="Arial" w:hAnsi="Arial"/>
          <w:b/>
          <w:spacing w:val="-4"/>
          <w:sz w:val="16"/>
        </w:rPr>
        <w:t xml:space="preserve"> </w:t>
      </w:r>
      <w:r w:rsidRPr="00283806">
        <w:rPr>
          <w:rFonts w:ascii="Arial" w:hAnsi="Arial"/>
          <w:b/>
          <w:spacing w:val="-2"/>
          <w:sz w:val="16"/>
        </w:rPr>
        <w:t>2060–AV84</w:t>
      </w:r>
    </w:p>
    <w:p w14:paraId="17C196D6" w14:textId="77777777" w:rsidR="00D67C1E" w:rsidRPr="00283806" w:rsidRDefault="001265CA">
      <w:pPr>
        <w:pStyle w:val="Heading3"/>
        <w:spacing w:before="162" w:line="232" w:lineRule="auto"/>
      </w:pPr>
      <w:r w:rsidRPr="00283806">
        <w:t>Phasedown of Hydrofluorocarbons: Management of Certain Hydrofluorocarbons</w:t>
      </w:r>
      <w:r w:rsidRPr="00283806">
        <w:rPr>
          <w:spacing w:val="-15"/>
        </w:rPr>
        <w:t xml:space="preserve"> </w:t>
      </w:r>
      <w:r w:rsidRPr="00283806">
        <w:t>and</w:t>
      </w:r>
      <w:r w:rsidRPr="00283806">
        <w:rPr>
          <w:spacing w:val="-12"/>
        </w:rPr>
        <w:t xml:space="preserve"> </w:t>
      </w:r>
      <w:r w:rsidRPr="00283806">
        <w:t>Substitutes Under the American Innovation and Manufacturing Act of 2020</w:t>
      </w:r>
    </w:p>
    <w:p w14:paraId="78C43BDF" w14:textId="77777777" w:rsidR="00D67C1E" w:rsidRPr="00283806" w:rsidRDefault="001265CA">
      <w:pPr>
        <w:pStyle w:val="BodyText"/>
        <w:spacing w:before="109" w:line="228" w:lineRule="auto"/>
        <w:ind w:hanging="1"/>
      </w:pPr>
      <w:r w:rsidRPr="00283806">
        <w:rPr>
          <w:rFonts w:ascii="Arial"/>
          <w:b/>
          <w:spacing w:val="-2"/>
          <w:w w:val="105"/>
          <w:sz w:val="15"/>
        </w:rPr>
        <w:t>AGENCY</w:t>
      </w:r>
      <w:r w:rsidRPr="00283806">
        <w:rPr>
          <w:rFonts w:ascii="Arial"/>
          <w:b/>
          <w:spacing w:val="-2"/>
          <w:w w:val="105"/>
        </w:rPr>
        <w:t>:</w:t>
      </w:r>
      <w:r w:rsidRPr="00283806">
        <w:rPr>
          <w:rFonts w:ascii="Arial"/>
          <w:b/>
          <w:spacing w:val="-10"/>
          <w:w w:val="105"/>
        </w:rPr>
        <w:t xml:space="preserve"> </w:t>
      </w:r>
      <w:r w:rsidRPr="00283806">
        <w:rPr>
          <w:spacing w:val="-2"/>
          <w:w w:val="105"/>
        </w:rPr>
        <w:t>Environmental Protection</w:t>
      </w:r>
      <w:r w:rsidRPr="00283806">
        <w:rPr>
          <w:w w:val="105"/>
        </w:rPr>
        <w:t xml:space="preserve"> Agency (EPA)</w:t>
      </w:r>
    </w:p>
    <w:p w14:paraId="1B39D9B1" w14:textId="77777777" w:rsidR="00D67C1E" w:rsidRPr="00283806" w:rsidRDefault="001265CA">
      <w:pPr>
        <w:spacing w:before="23"/>
        <w:ind w:left="160"/>
        <w:rPr>
          <w:sz w:val="18"/>
        </w:rPr>
      </w:pPr>
      <w:r w:rsidRPr="00283806">
        <w:rPr>
          <w:rFonts w:ascii="Arial"/>
          <w:b/>
          <w:sz w:val="15"/>
        </w:rPr>
        <w:t>ACTION</w:t>
      </w:r>
      <w:r w:rsidRPr="00283806">
        <w:rPr>
          <w:rFonts w:ascii="Arial"/>
          <w:b/>
          <w:sz w:val="18"/>
        </w:rPr>
        <w:t>:</w:t>
      </w:r>
      <w:r w:rsidRPr="00283806">
        <w:rPr>
          <w:rFonts w:ascii="Arial"/>
          <w:b/>
          <w:spacing w:val="7"/>
          <w:sz w:val="18"/>
        </w:rPr>
        <w:t xml:space="preserve"> </w:t>
      </w:r>
      <w:r w:rsidRPr="00283806">
        <w:rPr>
          <w:sz w:val="18"/>
        </w:rPr>
        <w:t>Final</w:t>
      </w:r>
      <w:r w:rsidRPr="00283806">
        <w:rPr>
          <w:spacing w:val="19"/>
          <w:sz w:val="18"/>
        </w:rPr>
        <w:t xml:space="preserve"> </w:t>
      </w:r>
      <w:r w:rsidRPr="00283806">
        <w:rPr>
          <w:spacing w:val="-4"/>
          <w:sz w:val="18"/>
        </w:rPr>
        <w:t>rule.</w:t>
      </w:r>
    </w:p>
    <w:p w14:paraId="1561228F" w14:textId="77777777" w:rsidR="00D67C1E" w:rsidRPr="00283806" w:rsidRDefault="00D67C1E">
      <w:pPr>
        <w:pStyle w:val="BodyText"/>
        <w:spacing w:before="4"/>
        <w:ind w:left="0"/>
        <w:rPr>
          <w:sz w:val="5"/>
        </w:rPr>
      </w:pPr>
    </w:p>
    <w:p w14:paraId="4A7797D3" w14:textId="77777777" w:rsidR="00D67C1E" w:rsidRPr="00283806" w:rsidRDefault="001265CA">
      <w:pPr>
        <w:pStyle w:val="BodyText"/>
        <w:spacing w:line="20" w:lineRule="exact"/>
        <w:ind w:right="-87"/>
        <w:rPr>
          <w:sz w:val="2"/>
        </w:rPr>
      </w:pPr>
      <w:r w:rsidRPr="00283806">
        <w:rPr>
          <w:noProof/>
          <w:sz w:val="2"/>
        </w:rPr>
        <mc:AlternateContent>
          <mc:Choice Requires="wpg">
            <w:drawing>
              <wp:inline distT="0" distB="0" distL="0" distR="0" wp14:anchorId="38646E2A" wp14:editId="0BDE977C">
                <wp:extent cx="2133600" cy="3810"/>
                <wp:effectExtent l="9525" t="0" r="0" b="5715"/>
                <wp:docPr id="11" name="Group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33600" cy="3810"/>
                          <a:chOff x="0" y="0"/>
                          <a:chExt cx="2133600" cy="3810"/>
                        </a:xfrm>
                      </wpg:grpSpPr>
                      <wps:wsp>
                        <wps:cNvPr id="12" name="Graphic 12"/>
                        <wps:cNvSpPr/>
                        <wps:spPr>
                          <a:xfrm>
                            <a:off x="0" y="1905"/>
                            <a:ext cx="2133600" cy="1270"/>
                          </a:xfrm>
                          <a:custGeom>
                            <a:avLst/>
                            <a:gdLst/>
                            <a:ahLst/>
                            <a:cxnLst/>
                            <a:rect l="l" t="t" r="r" b="b"/>
                            <a:pathLst>
                              <a:path w="2133600">
                                <a:moveTo>
                                  <a:pt x="0" y="0"/>
                                </a:moveTo>
                                <a:lnTo>
                                  <a:pt x="2133600" y="0"/>
                                </a:lnTo>
                              </a:path>
                            </a:pathLst>
                          </a:custGeom>
                          <a:ln w="381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B31B0F9" id="Group 11" o:spid="_x0000_s1026" alt="&quot;&quot;" style="width:168pt;height:.3pt;mso-position-horizontal-relative:char;mso-position-vertical-relative:line" coordsize="2133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">
                <v:shape id="Graphic 12" o:spid="_x0000_s1027" style="position:absolute;top:19;width:21336;height:12;visibility:visible;mso-wrap-style:square;v-text-anchor:top" coordsize="2133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" path="m,l2133600,e" filled="f" strokeweight=".3pt">
                  <v:path arrowok="t"/>
                </v:shape>
                <w10:anchorlock/>
              </v:group>
            </w:pict>
          </mc:Fallback>
        </mc:AlternateContent>
      </w:r>
    </w:p>
    <w:p w14:paraId="69084541" w14:textId="77777777" w:rsidR="00D67C1E" w:rsidRPr="00283806" w:rsidRDefault="001265CA">
      <w:pPr>
        <w:pStyle w:val="BodyText"/>
        <w:spacing w:before="53" w:line="228" w:lineRule="auto"/>
        <w:ind w:hanging="1"/>
      </w:pPr>
      <w:r w:rsidRPr="00283806">
        <w:rPr>
          <w:rFonts w:ascii="Arial"/>
          <w:b/>
          <w:w w:val="105"/>
          <w:sz w:val="15"/>
        </w:rPr>
        <w:t>SUMMARY</w:t>
      </w:r>
      <w:r w:rsidRPr="00283806">
        <w:rPr>
          <w:rFonts w:ascii="Arial"/>
          <w:b/>
          <w:w w:val="105"/>
        </w:rPr>
        <w:t xml:space="preserve">: </w:t>
      </w:r>
      <w:r w:rsidRPr="00283806">
        <w:rPr>
          <w:w w:val="105"/>
        </w:rPr>
        <w:t>The U.S. Environmental Protection Agency is issuing regulations to implement certain provisions of the American</w:t>
      </w:r>
      <w:r w:rsidRPr="00283806">
        <w:rPr>
          <w:spacing w:val="35"/>
          <w:w w:val="105"/>
        </w:rPr>
        <w:t xml:space="preserve"> </w:t>
      </w:r>
      <w:r w:rsidRPr="00283806">
        <w:rPr>
          <w:w w:val="105"/>
        </w:rPr>
        <w:t>Innovation</w:t>
      </w:r>
      <w:r w:rsidRPr="00283806">
        <w:rPr>
          <w:spacing w:val="35"/>
          <w:w w:val="105"/>
        </w:rPr>
        <w:t xml:space="preserve"> </w:t>
      </w:r>
      <w:r w:rsidRPr="00283806">
        <w:rPr>
          <w:w w:val="105"/>
        </w:rPr>
        <w:t>and</w:t>
      </w:r>
      <w:r w:rsidRPr="00283806">
        <w:rPr>
          <w:spacing w:val="80"/>
          <w:w w:val="105"/>
        </w:rPr>
        <w:t xml:space="preserve"> </w:t>
      </w:r>
      <w:r w:rsidRPr="00283806">
        <w:rPr>
          <w:w w:val="105"/>
        </w:rPr>
        <w:t>Manufacturing Act of 2020. This rulemaking establishes an emissions reduction and reclamation program for the management of hydrofluorocarbons that includes requirements for leak</w:t>
      </w:r>
      <w:r w:rsidRPr="00283806">
        <w:rPr>
          <w:spacing w:val="40"/>
          <w:w w:val="105"/>
        </w:rPr>
        <w:t xml:space="preserve"> </w:t>
      </w:r>
      <w:r w:rsidRPr="00283806">
        <w:rPr>
          <w:w w:val="105"/>
        </w:rPr>
        <w:t>repair and installation and use of automatic leak detection systems for certain equipment using refrigerants containing hydrofluorocarbons and certain substitutes; the servicing and/or repair of certain refrigerant-containing equipment to be done with reclaimed hydrofluorocarbons; the initial installation and servicing and/or repair</w:t>
      </w:r>
      <w:r w:rsidRPr="00283806">
        <w:rPr>
          <w:spacing w:val="40"/>
          <w:w w:val="105"/>
        </w:rPr>
        <w:t xml:space="preserve"> </w:t>
      </w:r>
      <w:r w:rsidRPr="00283806">
        <w:rPr>
          <w:w w:val="105"/>
        </w:rPr>
        <w:t>of fire suppression equipment to be</w:t>
      </w:r>
      <w:r w:rsidRPr="00283806">
        <w:rPr>
          <w:spacing w:val="80"/>
          <w:w w:val="105"/>
        </w:rPr>
        <w:t xml:space="preserve"> </w:t>
      </w:r>
      <w:r w:rsidRPr="00283806">
        <w:rPr>
          <w:w w:val="105"/>
        </w:rPr>
        <w:t>done with recycled hydrofluorocarbons, technician training, and recycling of hydrofluorocarbons prior to the disposal of fire suppression equipment</w:t>
      </w:r>
      <w:r w:rsidRPr="00283806">
        <w:rPr>
          <w:spacing w:val="80"/>
          <w:w w:val="105"/>
        </w:rPr>
        <w:t xml:space="preserve"> </w:t>
      </w:r>
      <w:r w:rsidRPr="00283806">
        <w:rPr>
          <w:w w:val="105"/>
        </w:rPr>
        <w:t>containing hydrofluorocarbons; removal of hydrofluorocarbons from disposable cylinders before discarding them; and certain recordkeeping, reporting, and labeling requirements. In addition, EPA</w:t>
      </w:r>
      <w:r w:rsidRPr="00283806">
        <w:rPr>
          <w:spacing w:val="80"/>
          <w:w w:val="105"/>
        </w:rPr>
        <w:t xml:space="preserve"> </w:t>
      </w:r>
      <w:r w:rsidRPr="00283806">
        <w:rPr>
          <w:w w:val="105"/>
        </w:rPr>
        <w:t>is establishing alternative Resource Conservation and Recovery Act</w:t>
      </w:r>
      <w:r w:rsidRPr="00283806">
        <w:rPr>
          <w:spacing w:val="40"/>
          <w:w w:val="105"/>
        </w:rPr>
        <w:t xml:space="preserve"> </w:t>
      </w:r>
      <w:r w:rsidRPr="00283806">
        <w:rPr>
          <w:w w:val="105"/>
        </w:rPr>
        <w:t>standards for certain ignitable spent refrigerants being recycled for reuse.</w:t>
      </w:r>
    </w:p>
    <w:p w14:paraId="7D55B304" w14:textId="77777777" w:rsidR="00D67C1E" w:rsidRPr="00283806" w:rsidRDefault="001265CA">
      <w:pPr>
        <w:pStyle w:val="BodyText"/>
        <w:spacing w:before="19" w:line="228" w:lineRule="auto"/>
        <w:ind w:right="42" w:hanging="1"/>
      </w:pPr>
      <w:r w:rsidRPr="00283806">
        <w:rPr>
          <w:rFonts w:ascii="Arial"/>
          <w:b/>
          <w:w w:val="105"/>
          <w:sz w:val="15"/>
        </w:rPr>
        <w:t>DATES</w:t>
      </w:r>
      <w:r w:rsidRPr="00283806">
        <w:rPr>
          <w:rFonts w:ascii="Arial"/>
          <w:b/>
          <w:w w:val="105"/>
        </w:rPr>
        <w:t>:</w:t>
      </w:r>
      <w:r w:rsidRPr="00283806">
        <w:rPr>
          <w:rFonts w:ascii="Arial"/>
          <w:b/>
          <w:spacing w:val="-13"/>
          <w:w w:val="105"/>
        </w:rPr>
        <w:t xml:space="preserve"> </w:t>
      </w:r>
      <w:r w:rsidRPr="00283806">
        <w:rPr>
          <w:w w:val="105"/>
        </w:rPr>
        <w:t>This</w:t>
      </w:r>
      <w:r w:rsidRPr="00283806">
        <w:rPr>
          <w:spacing w:val="-2"/>
          <w:w w:val="105"/>
        </w:rPr>
        <w:t xml:space="preserve"> </w:t>
      </w:r>
      <w:r w:rsidRPr="00283806">
        <w:rPr>
          <w:w w:val="105"/>
        </w:rPr>
        <w:t>rule</w:t>
      </w:r>
      <w:r w:rsidRPr="00283806">
        <w:rPr>
          <w:spacing w:val="-2"/>
          <w:w w:val="105"/>
        </w:rPr>
        <w:t xml:space="preserve"> </w:t>
      </w:r>
      <w:r w:rsidRPr="00283806">
        <w:rPr>
          <w:w w:val="105"/>
        </w:rPr>
        <w:t>is</w:t>
      </w:r>
      <w:r w:rsidRPr="00283806">
        <w:rPr>
          <w:spacing w:val="-2"/>
          <w:w w:val="105"/>
        </w:rPr>
        <w:t xml:space="preserve"> </w:t>
      </w:r>
      <w:r w:rsidRPr="00283806">
        <w:rPr>
          <w:w w:val="105"/>
        </w:rPr>
        <w:t>effective</w:t>
      </w:r>
      <w:r w:rsidRPr="00283806">
        <w:rPr>
          <w:spacing w:val="-2"/>
          <w:w w:val="105"/>
        </w:rPr>
        <w:t xml:space="preserve"> </w:t>
      </w:r>
      <w:r w:rsidRPr="00283806">
        <w:rPr>
          <w:w w:val="105"/>
        </w:rPr>
        <w:t>December 10, 2024.</w:t>
      </w:r>
    </w:p>
    <w:p w14:paraId="5BC18993" w14:textId="77777777" w:rsidR="00D67C1E" w:rsidRPr="00283806" w:rsidRDefault="001265CA">
      <w:pPr>
        <w:spacing w:before="26" w:line="202" w:lineRule="exact"/>
        <w:ind w:left="160"/>
        <w:rPr>
          <w:rFonts w:ascii="Arial"/>
          <w:b/>
          <w:sz w:val="18"/>
        </w:rPr>
      </w:pPr>
      <w:r w:rsidRPr="00283806">
        <w:rPr>
          <w:rFonts w:ascii="Arial"/>
          <w:b/>
          <w:spacing w:val="-4"/>
          <w:sz w:val="15"/>
        </w:rPr>
        <w:t>FOR</w:t>
      </w:r>
      <w:r w:rsidRPr="00283806">
        <w:rPr>
          <w:rFonts w:ascii="Arial"/>
          <w:b/>
          <w:spacing w:val="4"/>
          <w:sz w:val="15"/>
        </w:rPr>
        <w:t xml:space="preserve"> </w:t>
      </w:r>
      <w:r w:rsidRPr="00283806">
        <w:rPr>
          <w:rFonts w:ascii="Arial"/>
          <w:b/>
          <w:spacing w:val="-4"/>
          <w:sz w:val="15"/>
        </w:rPr>
        <w:t>FURTHER</w:t>
      </w:r>
      <w:r w:rsidRPr="00283806">
        <w:rPr>
          <w:rFonts w:ascii="Arial"/>
          <w:b/>
          <w:spacing w:val="5"/>
          <w:sz w:val="15"/>
        </w:rPr>
        <w:t xml:space="preserve"> </w:t>
      </w:r>
      <w:r w:rsidRPr="00283806">
        <w:rPr>
          <w:rFonts w:ascii="Arial"/>
          <w:b/>
          <w:spacing w:val="-4"/>
          <w:sz w:val="15"/>
        </w:rPr>
        <w:t>INFORMATION</w:t>
      </w:r>
      <w:r w:rsidRPr="00283806">
        <w:rPr>
          <w:rFonts w:ascii="Arial"/>
          <w:b/>
          <w:spacing w:val="5"/>
          <w:sz w:val="15"/>
        </w:rPr>
        <w:t xml:space="preserve"> </w:t>
      </w:r>
      <w:r w:rsidRPr="00283806">
        <w:rPr>
          <w:rFonts w:ascii="Arial"/>
          <w:b/>
          <w:spacing w:val="-4"/>
          <w:sz w:val="15"/>
        </w:rPr>
        <w:t>CONTACT</w:t>
      </w:r>
      <w:r w:rsidRPr="00283806">
        <w:rPr>
          <w:rFonts w:ascii="Arial"/>
          <w:b/>
          <w:spacing w:val="-4"/>
          <w:sz w:val="18"/>
        </w:rPr>
        <w:t>:</w:t>
      </w:r>
    </w:p>
    <w:p w14:paraId="2AC7C69D" w14:textId="2C9769C2" w:rsidR="00D67C1E" w:rsidRPr="00283806" w:rsidRDefault="001265CA">
      <w:pPr>
        <w:pStyle w:val="BodyText"/>
        <w:spacing w:before="8" w:line="223" w:lineRule="auto"/>
        <w:ind w:right="32"/>
      </w:pPr>
      <w:r w:rsidRPr="00283806">
        <w:rPr>
          <w:w w:val="110"/>
        </w:rPr>
        <w:t xml:space="preserve">Christian Wisniewski, Stratospheric Protection Division, Office of Atmospheric Protection (Mail Code 6205A), Environmental Protection Agency, 1200 Pennsylvania Ave. NW, Washington, DC 20460; telephone </w:t>
      </w:r>
      <w:r w:rsidRPr="00283806">
        <w:t>number: 202–564–0417; email address:</w:t>
      </w:r>
      <w:r w:rsidRPr="00283806">
        <w:rPr>
          <w:w w:val="110"/>
        </w:rPr>
        <w:t xml:space="preserve"> </w:t>
      </w:r>
      <w:r w:rsidRPr="00283806">
        <w:rPr>
          <w:rFonts w:ascii="Book Antiqua" w:hAnsi="Book Antiqua"/>
          <w:i/>
          <w:w w:val="110"/>
        </w:rPr>
        <w:t>wisniewski.christian@epa.gov</w:t>
      </w:r>
      <w:r w:rsidRPr="00283806">
        <w:rPr>
          <w:w w:val="110"/>
        </w:rPr>
        <w:t xml:space="preserve">. You may also visit EPA’s website at </w:t>
      </w:r>
      <w:r w:rsidRPr="00283806">
        <w:rPr>
          <w:rFonts w:ascii="Book Antiqua" w:hAnsi="Book Antiqua"/>
          <w:i/>
          <w:w w:val="110"/>
        </w:rPr>
        <w:t xml:space="preserve">https:// www.epa.gov/climate-hfcs-reduction </w:t>
      </w:r>
      <w:r w:rsidRPr="00283806">
        <w:rPr>
          <w:w w:val="110"/>
        </w:rPr>
        <w:t>for further information.</w:t>
      </w:r>
    </w:p>
    <w:p w14:paraId="4D1B3253" w14:textId="77777777" w:rsidR="00D67C1E" w:rsidRPr="00283806" w:rsidRDefault="001265CA">
      <w:pPr>
        <w:pStyle w:val="BodyText"/>
        <w:spacing w:before="1" w:line="228" w:lineRule="auto"/>
        <w:ind w:right="48" w:firstLine="180"/>
      </w:pPr>
      <w:r w:rsidRPr="00283806">
        <w:rPr>
          <w:w w:val="105"/>
        </w:rPr>
        <w:t>For information related to the alternative standards for certain ignitable</w:t>
      </w:r>
      <w:r w:rsidRPr="00283806">
        <w:rPr>
          <w:spacing w:val="-4"/>
          <w:w w:val="105"/>
        </w:rPr>
        <w:t xml:space="preserve"> </w:t>
      </w:r>
      <w:r w:rsidRPr="00283806">
        <w:rPr>
          <w:w w:val="105"/>
        </w:rPr>
        <w:t>spent</w:t>
      </w:r>
      <w:r w:rsidRPr="00283806">
        <w:rPr>
          <w:spacing w:val="-4"/>
          <w:w w:val="105"/>
        </w:rPr>
        <w:t xml:space="preserve"> </w:t>
      </w:r>
      <w:r w:rsidRPr="00283806">
        <w:rPr>
          <w:w w:val="105"/>
        </w:rPr>
        <w:t>refrigerants</w:t>
      </w:r>
      <w:r w:rsidRPr="00283806">
        <w:rPr>
          <w:spacing w:val="-4"/>
          <w:w w:val="105"/>
        </w:rPr>
        <w:t xml:space="preserve"> </w:t>
      </w:r>
      <w:r w:rsidRPr="00283806">
        <w:rPr>
          <w:w w:val="105"/>
        </w:rPr>
        <w:t>under</w:t>
      </w:r>
      <w:r w:rsidRPr="00283806">
        <w:rPr>
          <w:spacing w:val="-4"/>
          <w:w w:val="105"/>
        </w:rPr>
        <w:t xml:space="preserve"> </w:t>
      </w:r>
      <w:r w:rsidRPr="00283806">
        <w:rPr>
          <w:w w:val="105"/>
        </w:rPr>
        <w:t>the</w:t>
      </w:r>
    </w:p>
    <w:p w14:paraId="27668A52" w14:textId="51FDBB1D" w:rsidR="00D67C1E" w:rsidRPr="00283806" w:rsidRDefault="001265CA">
      <w:pPr>
        <w:pStyle w:val="BodyText"/>
        <w:spacing w:before="64" w:line="228" w:lineRule="auto"/>
        <w:ind w:left="152" w:right="38"/>
      </w:pPr>
      <w:r w:rsidRPr="00283806">
        <w:br w:type="column"/>
      </w:r>
      <w:r w:rsidRPr="00283806">
        <w:rPr>
          <w:w w:val="105"/>
        </w:rPr>
        <w:t>Resource Conservation and Recovery</w:t>
      </w:r>
      <w:r w:rsidRPr="00283806">
        <w:rPr>
          <w:spacing w:val="40"/>
          <w:w w:val="105"/>
        </w:rPr>
        <w:t xml:space="preserve"> </w:t>
      </w:r>
      <w:r w:rsidRPr="00283806">
        <w:rPr>
          <w:w w:val="105"/>
        </w:rPr>
        <w:t>Act (RCRA), please contact Tracy Atagi, Materials Recovery and Waste Management Division, Office of</w:t>
      </w:r>
      <w:r w:rsidRPr="00283806">
        <w:rPr>
          <w:spacing w:val="80"/>
          <w:w w:val="105"/>
        </w:rPr>
        <w:t xml:space="preserve"> </w:t>
      </w:r>
      <w:r w:rsidRPr="00283806">
        <w:rPr>
          <w:w w:val="105"/>
        </w:rPr>
        <w:t>Resource Conservation and Recovery (5304T), Environmental Protection Agency, 1200 Pennsylvania Ave. NW, Washington, DC 20460; telephone number:</w:t>
      </w:r>
      <w:r w:rsidRPr="00283806">
        <w:rPr>
          <w:spacing w:val="-10"/>
          <w:w w:val="105"/>
        </w:rPr>
        <w:t xml:space="preserve"> </w:t>
      </w:r>
      <w:r w:rsidRPr="00283806">
        <w:rPr>
          <w:w w:val="105"/>
        </w:rPr>
        <w:t>(202)</w:t>
      </w:r>
      <w:r w:rsidRPr="00283806">
        <w:rPr>
          <w:spacing w:val="-11"/>
          <w:w w:val="105"/>
        </w:rPr>
        <w:t xml:space="preserve"> </w:t>
      </w:r>
      <w:r w:rsidRPr="00283806">
        <w:rPr>
          <w:w w:val="105"/>
        </w:rPr>
        <w:t>566–0511;</w:t>
      </w:r>
      <w:r w:rsidRPr="00283806">
        <w:rPr>
          <w:spacing w:val="-10"/>
          <w:w w:val="105"/>
        </w:rPr>
        <w:t xml:space="preserve"> </w:t>
      </w:r>
      <w:r w:rsidRPr="00283806">
        <w:rPr>
          <w:w w:val="105"/>
        </w:rPr>
        <w:t>email</w:t>
      </w:r>
      <w:r w:rsidRPr="00283806">
        <w:rPr>
          <w:spacing w:val="-10"/>
          <w:w w:val="105"/>
        </w:rPr>
        <w:t xml:space="preserve"> </w:t>
      </w:r>
      <w:r w:rsidRPr="00283806">
        <w:rPr>
          <w:w w:val="105"/>
        </w:rPr>
        <w:t xml:space="preserve">address: </w:t>
      </w:r>
      <w:r w:rsidRPr="00283806">
        <w:rPr>
          <w:rFonts w:ascii="Book Antiqua" w:hAnsi="Book Antiqua"/>
          <w:i/>
          <w:spacing w:val="-2"/>
          <w:w w:val="105"/>
        </w:rPr>
        <w:t>atagi.tracy@epa.gov</w:t>
      </w:r>
      <w:r w:rsidRPr="00283806">
        <w:rPr>
          <w:spacing w:val="-2"/>
          <w:w w:val="105"/>
        </w:rPr>
        <w:t>.</w:t>
      </w:r>
    </w:p>
    <w:p w14:paraId="23D54269" w14:textId="77777777" w:rsidR="00D67C1E" w:rsidRPr="00283806" w:rsidRDefault="001265CA">
      <w:pPr>
        <w:spacing w:before="3" w:line="202" w:lineRule="exact"/>
        <w:ind w:left="152"/>
        <w:rPr>
          <w:rFonts w:ascii="Arial"/>
          <w:b/>
          <w:sz w:val="18"/>
        </w:rPr>
      </w:pPr>
      <w:r w:rsidRPr="00283806">
        <w:rPr>
          <w:rFonts w:ascii="Arial"/>
          <w:b/>
          <w:spacing w:val="-5"/>
          <w:sz w:val="15"/>
        </w:rPr>
        <w:t>SUPPLEMENTARY</w:t>
      </w:r>
      <w:r w:rsidRPr="00283806">
        <w:rPr>
          <w:rFonts w:ascii="Arial"/>
          <w:b/>
          <w:spacing w:val="4"/>
          <w:sz w:val="15"/>
        </w:rPr>
        <w:t xml:space="preserve"> </w:t>
      </w:r>
      <w:r w:rsidRPr="00283806">
        <w:rPr>
          <w:rFonts w:ascii="Arial"/>
          <w:b/>
          <w:spacing w:val="-2"/>
          <w:sz w:val="15"/>
        </w:rPr>
        <w:t>INFORMATION</w:t>
      </w:r>
      <w:r w:rsidRPr="00283806">
        <w:rPr>
          <w:rFonts w:ascii="Arial"/>
          <w:b/>
          <w:spacing w:val="-2"/>
          <w:sz w:val="18"/>
        </w:rPr>
        <w:t>:</w:t>
      </w:r>
    </w:p>
    <w:p w14:paraId="476168B9" w14:textId="77777777" w:rsidR="00D67C1E" w:rsidRPr="00283806" w:rsidRDefault="001265CA">
      <w:pPr>
        <w:pStyle w:val="BodyText"/>
        <w:spacing w:before="4" w:line="228" w:lineRule="auto"/>
        <w:ind w:left="152" w:right="38"/>
      </w:pPr>
      <w:r w:rsidRPr="00283806">
        <w:rPr>
          <w:w w:val="105"/>
        </w:rPr>
        <w:t>Throughout this document whenever ‘‘we,’’ ‘‘us,’’ ‘‘the Agency,’’ or ‘‘our’’ is</w:t>
      </w:r>
      <w:r w:rsidRPr="00283806">
        <w:rPr>
          <w:spacing w:val="40"/>
          <w:w w:val="105"/>
        </w:rPr>
        <w:t xml:space="preserve"> </w:t>
      </w:r>
      <w:r w:rsidRPr="00283806">
        <w:rPr>
          <w:w w:val="105"/>
        </w:rPr>
        <w:t>used, we mean EPA. Acronyms that are used in this rulemaking that may be helpful include:</w:t>
      </w:r>
    </w:p>
    <w:p w14:paraId="7EFB4BFB" w14:textId="77777777" w:rsidR="00D67C1E" w:rsidRPr="00283806" w:rsidRDefault="001265CA">
      <w:pPr>
        <w:spacing w:before="74" w:line="228" w:lineRule="auto"/>
        <w:ind w:left="312" w:right="38" w:hanging="160"/>
        <w:rPr>
          <w:sz w:val="16"/>
        </w:rPr>
      </w:pPr>
      <w:r w:rsidRPr="00283806">
        <w:rPr>
          <w:w w:val="110"/>
          <w:sz w:val="16"/>
        </w:rPr>
        <w:t>AHRI—Air-Conditioning,</w:t>
      </w:r>
      <w:r w:rsidRPr="00283806">
        <w:rPr>
          <w:spacing w:val="-10"/>
          <w:w w:val="110"/>
          <w:sz w:val="16"/>
        </w:rPr>
        <w:t xml:space="preserve"> </w:t>
      </w:r>
      <w:r w:rsidRPr="00283806">
        <w:rPr>
          <w:w w:val="110"/>
          <w:sz w:val="16"/>
        </w:rPr>
        <w:t>Heating,</w:t>
      </w:r>
      <w:r w:rsidRPr="00283806">
        <w:rPr>
          <w:spacing w:val="-10"/>
          <w:w w:val="110"/>
          <w:sz w:val="16"/>
        </w:rPr>
        <w:t xml:space="preserve"> </w:t>
      </w:r>
      <w:r w:rsidRPr="00283806">
        <w:rPr>
          <w:w w:val="110"/>
          <w:sz w:val="16"/>
        </w:rPr>
        <w:t>and</w:t>
      </w:r>
      <w:r w:rsidRPr="00283806">
        <w:rPr>
          <w:spacing w:val="40"/>
          <w:w w:val="110"/>
          <w:sz w:val="16"/>
        </w:rPr>
        <w:t xml:space="preserve"> </w:t>
      </w:r>
      <w:r w:rsidRPr="00283806">
        <w:rPr>
          <w:w w:val="110"/>
          <w:sz w:val="16"/>
        </w:rPr>
        <w:t>Refrigeration Institute</w:t>
      </w:r>
    </w:p>
    <w:p w14:paraId="099EE708" w14:textId="77777777" w:rsidR="00D67C1E" w:rsidRPr="00283806" w:rsidRDefault="001265CA">
      <w:pPr>
        <w:spacing w:line="228" w:lineRule="auto"/>
        <w:ind w:left="152" w:right="616"/>
        <w:rPr>
          <w:sz w:val="16"/>
        </w:rPr>
      </w:pPr>
      <w:r w:rsidRPr="00283806">
        <w:rPr>
          <w:w w:val="110"/>
          <w:sz w:val="16"/>
        </w:rPr>
        <w:t>ALD—Automatic Leak Detection</w:t>
      </w:r>
      <w:r w:rsidRPr="00283806">
        <w:rPr>
          <w:spacing w:val="40"/>
          <w:w w:val="110"/>
          <w:sz w:val="16"/>
        </w:rPr>
        <w:t xml:space="preserve"> </w:t>
      </w:r>
      <w:r w:rsidRPr="00283806">
        <w:rPr>
          <w:w w:val="110"/>
          <w:sz w:val="16"/>
        </w:rPr>
        <w:t>AIM</w:t>
      </w:r>
      <w:r w:rsidRPr="00283806">
        <w:rPr>
          <w:spacing w:val="-10"/>
          <w:w w:val="110"/>
          <w:sz w:val="16"/>
        </w:rPr>
        <w:t xml:space="preserve"> </w:t>
      </w:r>
      <w:r w:rsidRPr="00283806">
        <w:rPr>
          <w:w w:val="110"/>
          <w:sz w:val="16"/>
        </w:rPr>
        <w:t>Act—American</w:t>
      </w:r>
      <w:r w:rsidRPr="00283806">
        <w:rPr>
          <w:spacing w:val="-10"/>
          <w:w w:val="110"/>
          <w:sz w:val="16"/>
        </w:rPr>
        <w:t xml:space="preserve"> </w:t>
      </w:r>
      <w:r w:rsidRPr="00283806">
        <w:rPr>
          <w:w w:val="110"/>
          <w:sz w:val="16"/>
        </w:rPr>
        <w:t>Innovation</w:t>
      </w:r>
      <w:r w:rsidRPr="00283806">
        <w:rPr>
          <w:spacing w:val="-10"/>
          <w:w w:val="110"/>
          <w:sz w:val="16"/>
        </w:rPr>
        <w:t xml:space="preserve"> </w:t>
      </w:r>
      <w:r w:rsidRPr="00283806">
        <w:rPr>
          <w:w w:val="110"/>
          <w:sz w:val="16"/>
        </w:rPr>
        <w:t>and</w:t>
      </w:r>
    </w:p>
    <w:p w14:paraId="3011C159" w14:textId="77777777" w:rsidR="00D67C1E" w:rsidRPr="00283806" w:rsidRDefault="001265CA">
      <w:pPr>
        <w:spacing w:line="228" w:lineRule="auto"/>
        <w:ind w:left="152" w:right="901" w:firstLine="160"/>
        <w:rPr>
          <w:sz w:val="16"/>
        </w:rPr>
      </w:pPr>
      <w:r w:rsidRPr="00283806">
        <w:rPr>
          <w:w w:val="105"/>
          <w:sz w:val="16"/>
        </w:rPr>
        <w:t>Manufacturing Act of 2020</w:t>
      </w:r>
      <w:r w:rsidRPr="00283806">
        <w:rPr>
          <w:spacing w:val="40"/>
          <w:w w:val="105"/>
          <w:sz w:val="16"/>
        </w:rPr>
        <w:t xml:space="preserve"> </w:t>
      </w:r>
      <w:r w:rsidRPr="00283806">
        <w:rPr>
          <w:w w:val="105"/>
          <w:sz w:val="16"/>
        </w:rPr>
        <w:t>APF—Air Permitting Forum</w:t>
      </w:r>
      <w:r w:rsidRPr="00283806">
        <w:rPr>
          <w:spacing w:val="40"/>
          <w:w w:val="105"/>
          <w:sz w:val="16"/>
        </w:rPr>
        <w:t xml:space="preserve"> </w:t>
      </w:r>
      <w:r w:rsidRPr="00283806">
        <w:rPr>
          <w:w w:val="105"/>
          <w:sz w:val="16"/>
        </w:rPr>
        <w:t>APU—Auxiliary power unit</w:t>
      </w:r>
    </w:p>
    <w:p w14:paraId="343349F3" w14:textId="77777777" w:rsidR="00D67C1E" w:rsidRPr="00283806" w:rsidRDefault="001265CA">
      <w:pPr>
        <w:spacing w:line="228" w:lineRule="auto"/>
        <w:ind w:left="312" w:right="38" w:hanging="160"/>
        <w:rPr>
          <w:sz w:val="16"/>
        </w:rPr>
      </w:pPr>
      <w:r w:rsidRPr="00283806">
        <w:rPr>
          <w:w w:val="110"/>
          <w:sz w:val="16"/>
        </w:rPr>
        <w:t>ASHRAE—American</w:t>
      </w:r>
      <w:r w:rsidRPr="00283806">
        <w:rPr>
          <w:spacing w:val="-6"/>
          <w:w w:val="110"/>
          <w:sz w:val="16"/>
        </w:rPr>
        <w:t xml:space="preserve"> </w:t>
      </w:r>
      <w:r w:rsidRPr="00283806">
        <w:rPr>
          <w:w w:val="110"/>
          <w:sz w:val="16"/>
        </w:rPr>
        <w:t>Society</w:t>
      </w:r>
      <w:r w:rsidRPr="00283806">
        <w:rPr>
          <w:spacing w:val="-6"/>
          <w:w w:val="110"/>
          <w:sz w:val="16"/>
        </w:rPr>
        <w:t xml:space="preserve"> </w:t>
      </w:r>
      <w:r w:rsidRPr="00283806">
        <w:rPr>
          <w:w w:val="110"/>
          <w:sz w:val="16"/>
        </w:rPr>
        <w:t>of</w:t>
      </w:r>
      <w:r w:rsidRPr="00283806">
        <w:rPr>
          <w:spacing w:val="-6"/>
          <w:w w:val="110"/>
          <w:sz w:val="16"/>
        </w:rPr>
        <w:t xml:space="preserve"> </w:t>
      </w:r>
      <w:r w:rsidRPr="00283806">
        <w:rPr>
          <w:w w:val="110"/>
          <w:sz w:val="16"/>
        </w:rPr>
        <w:t>Heating,</w:t>
      </w:r>
      <w:r w:rsidRPr="00283806">
        <w:rPr>
          <w:spacing w:val="40"/>
          <w:w w:val="110"/>
          <w:sz w:val="16"/>
        </w:rPr>
        <w:t xml:space="preserve"> </w:t>
      </w:r>
      <w:r w:rsidRPr="00283806">
        <w:rPr>
          <w:w w:val="110"/>
          <w:sz w:val="16"/>
        </w:rPr>
        <w:t>Refrigerating and Air-Conditioning</w:t>
      </w:r>
      <w:r w:rsidRPr="00283806">
        <w:rPr>
          <w:spacing w:val="40"/>
          <w:w w:val="110"/>
          <w:sz w:val="16"/>
        </w:rPr>
        <w:t xml:space="preserve"> </w:t>
      </w:r>
      <w:r w:rsidRPr="00283806">
        <w:rPr>
          <w:spacing w:val="-2"/>
          <w:w w:val="110"/>
          <w:sz w:val="16"/>
        </w:rPr>
        <w:t>Engineers</w:t>
      </w:r>
    </w:p>
    <w:p w14:paraId="2EA8C838" w14:textId="77777777" w:rsidR="00D67C1E" w:rsidRPr="00283806" w:rsidRDefault="001265CA">
      <w:pPr>
        <w:spacing w:line="228" w:lineRule="auto"/>
        <w:ind w:left="312" w:right="38" w:hanging="160"/>
        <w:rPr>
          <w:sz w:val="16"/>
        </w:rPr>
      </w:pPr>
      <w:r w:rsidRPr="00283806">
        <w:rPr>
          <w:w w:val="105"/>
          <w:sz w:val="16"/>
        </w:rPr>
        <w:t>ASTM—American Society for Testing and</w:t>
      </w:r>
      <w:r w:rsidRPr="00283806">
        <w:rPr>
          <w:spacing w:val="40"/>
          <w:w w:val="105"/>
          <w:sz w:val="16"/>
        </w:rPr>
        <w:t xml:space="preserve"> </w:t>
      </w:r>
      <w:r w:rsidRPr="00283806">
        <w:rPr>
          <w:spacing w:val="-2"/>
          <w:w w:val="105"/>
          <w:sz w:val="16"/>
        </w:rPr>
        <w:t>Materials</w:t>
      </w:r>
    </w:p>
    <w:p w14:paraId="1C15D720" w14:textId="77777777" w:rsidR="00D67C1E" w:rsidRPr="00283806" w:rsidRDefault="001265CA">
      <w:pPr>
        <w:spacing w:line="228" w:lineRule="auto"/>
        <w:ind w:left="312" w:right="616" w:hanging="160"/>
        <w:rPr>
          <w:sz w:val="16"/>
        </w:rPr>
      </w:pPr>
      <w:r w:rsidRPr="00283806">
        <w:rPr>
          <w:w w:val="105"/>
          <w:sz w:val="16"/>
        </w:rPr>
        <w:t>BOEM—Bureau of Ocean Energy</w:t>
      </w:r>
      <w:r w:rsidRPr="00283806">
        <w:rPr>
          <w:spacing w:val="40"/>
          <w:w w:val="105"/>
          <w:sz w:val="16"/>
        </w:rPr>
        <w:t xml:space="preserve"> </w:t>
      </w:r>
      <w:r w:rsidRPr="00283806">
        <w:rPr>
          <w:spacing w:val="-2"/>
          <w:w w:val="105"/>
          <w:sz w:val="16"/>
        </w:rPr>
        <w:t>Management</w:t>
      </w:r>
    </w:p>
    <w:p w14:paraId="0CEAA4BE" w14:textId="77777777" w:rsidR="00D67C1E" w:rsidRPr="00283806" w:rsidRDefault="001265CA">
      <w:pPr>
        <w:spacing w:line="228" w:lineRule="auto"/>
        <w:ind w:left="152" w:right="456"/>
        <w:rPr>
          <w:sz w:val="16"/>
        </w:rPr>
      </w:pPr>
      <w:r w:rsidRPr="00283806">
        <w:rPr>
          <w:sz w:val="16"/>
        </w:rPr>
        <w:t>BTU/h—British thermal units per hour</w:t>
      </w:r>
      <w:r w:rsidRPr="00283806">
        <w:rPr>
          <w:spacing w:val="40"/>
          <w:w w:val="110"/>
          <w:sz w:val="16"/>
        </w:rPr>
        <w:t xml:space="preserve"> </w:t>
      </w:r>
      <w:r w:rsidRPr="00283806">
        <w:rPr>
          <w:w w:val="110"/>
          <w:sz w:val="16"/>
        </w:rPr>
        <w:t>CAA—Clean</w:t>
      </w:r>
      <w:r w:rsidRPr="00283806">
        <w:rPr>
          <w:spacing w:val="68"/>
          <w:w w:val="110"/>
          <w:sz w:val="16"/>
        </w:rPr>
        <w:t xml:space="preserve">    </w:t>
      </w:r>
      <w:r w:rsidRPr="00283806">
        <w:rPr>
          <w:w w:val="110"/>
          <w:sz w:val="16"/>
        </w:rPr>
        <w:t>Air</w:t>
      </w:r>
      <w:r w:rsidRPr="00283806">
        <w:rPr>
          <w:spacing w:val="68"/>
          <w:w w:val="110"/>
          <w:sz w:val="16"/>
        </w:rPr>
        <w:t xml:space="preserve">    </w:t>
      </w:r>
      <w:r w:rsidRPr="00283806">
        <w:rPr>
          <w:w w:val="110"/>
          <w:sz w:val="16"/>
        </w:rPr>
        <w:t>Act</w:t>
      </w:r>
      <w:r w:rsidRPr="00283806">
        <w:rPr>
          <w:spacing w:val="80"/>
          <w:w w:val="150"/>
          <w:sz w:val="16"/>
        </w:rPr>
        <w:t xml:space="preserve"> </w:t>
      </w:r>
      <w:r w:rsidRPr="00283806">
        <w:rPr>
          <w:spacing w:val="2"/>
          <w:sz w:val="16"/>
        </w:rPr>
        <w:t>CARB—California</w:t>
      </w:r>
      <w:r w:rsidRPr="00283806">
        <w:rPr>
          <w:spacing w:val="45"/>
          <w:sz w:val="16"/>
        </w:rPr>
        <w:t xml:space="preserve"> </w:t>
      </w:r>
      <w:r w:rsidRPr="00283806">
        <w:rPr>
          <w:spacing w:val="2"/>
          <w:sz w:val="16"/>
        </w:rPr>
        <w:t>Air</w:t>
      </w:r>
      <w:r w:rsidRPr="00283806">
        <w:rPr>
          <w:spacing w:val="46"/>
          <w:sz w:val="16"/>
        </w:rPr>
        <w:t xml:space="preserve"> </w:t>
      </w:r>
      <w:r w:rsidRPr="00283806">
        <w:rPr>
          <w:spacing w:val="2"/>
          <w:sz w:val="16"/>
        </w:rPr>
        <w:t>Resources</w:t>
      </w:r>
      <w:r w:rsidRPr="00283806">
        <w:rPr>
          <w:spacing w:val="45"/>
          <w:sz w:val="16"/>
        </w:rPr>
        <w:t xml:space="preserve"> </w:t>
      </w:r>
      <w:r w:rsidRPr="00283806">
        <w:rPr>
          <w:spacing w:val="-2"/>
          <w:sz w:val="16"/>
        </w:rPr>
        <w:t>Board</w:t>
      </w:r>
    </w:p>
    <w:p w14:paraId="20BED6C1" w14:textId="77777777" w:rsidR="00D67C1E" w:rsidRPr="00283806" w:rsidRDefault="001265CA">
      <w:pPr>
        <w:spacing w:line="228" w:lineRule="auto"/>
        <w:ind w:left="152" w:right="158"/>
        <w:rPr>
          <w:sz w:val="16"/>
        </w:rPr>
      </w:pPr>
      <w:r w:rsidRPr="00283806">
        <w:rPr>
          <w:w w:val="105"/>
          <w:sz w:val="16"/>
        </w:rPr>
        <w:t>CBI—Confidential Business Information</w:t>
      </w:r>
      <w:r w:rsidRPr="00283806">
        <w:rPr>
          <w:spacing w:val="40"/>
          <w:w w:val="105"/>
          <w:sz w:val="16"/>
        </w:rPr>
        <w:t xml:space="preserve"> </w:t>
      </w:r>
      <w:r w:rsidRPr="00283806">
        <w:rPr>
          <w:spacing w:val="-2"/>
          <w:w w:val="105"/>
          <w:sz w:val="16"/>
        </w:rPr>
        <w:t>CFC—Chlorofluorocarbon</w:t>
      </w:r>
    </w:p>
    <w:p w14:paraId="544179C3" w14:textId="77777777" w:rsidR="00D67C1E" w:rsidRPr="00283806" w:rsidRDefault="001265CA">
      <w:pPr>
        <w:spacing w:line="228" w:lineRule="auto"/>
        <w:ind w:left="152" w:right="616"/>
        <w:rPr>
          <w:sz w:val="16"/>
        </w:rPr>
      </w:pPr>
      <w:r w:rsidRPr="00283806">
        <w:rPr>
          <w:w w:val="105"/>
          <w:sz w:val="16"/>
        </w:rPr>
        <w:t>CFR—Code of Federal Regulations</w:t>
      </w:r>
      <w:r w:rsidRPr="00283806">
        <w:rPr>
          <w:spacing w:val="40"/>
          <w:w w:val="105"/>
          <w:sz w:val="16"/>
        </w:rPr>
        <w:t xml:space="preserve"> </w:t>
      </w:r>
      <w:r w:rsidRPr="00283806">
        <w:rPr>
          <w:spacing w:val="-2"/>
          <w:w w:val="105"/>
          <w:position w:val="2"/>
          <w:sz w:val="16"/>
        </w:rPr>
        <w:t>CH</w:t>
      </w:r>
      <w:r w:rsidRPr="00283806">
        <w:rPr>
          <w:rFonts w:ascii="Times New Roman" w:hAnsi="Times New Roman"/>
          <w:spacing w:val="-2"/>
          <w:w w:val="105"/>
          <w:sz w:val="10"/>
        </w:rPr>
        <w:t>4</w:t>
      </w:r>
      <w:r w:rsidRPr="00283806">
        <w:rPr>
          <w:spacing w:val="-2"/>
          <w:w w:val="105"/>
          <w:position w:val="2"/>
          <w:sz w:val="16"/>
        </w:rPr>
        <w:t>—Methane</w:t>
      </w:r>
    </w:p>
    <w:p w14:paraId="6EE90AE6" w14:textId="77777777" w:rsidR="00D67C1E" w:rsidRPr="00283806" w:rsidRDefault="001265CA">
      <w:pPr>
        <w:spacing w:line="223" w:lineRule="auto"/>
        <w:ind w:left="152" w:right="882"/>
        <w:rPr>
          <w:sz w:val="16"/>
        </w:rPr>
      </w:pPr>
      <w:r w:rsidRPr="00283806">
        <w:rPr>
          <w:w w:val="105"/>
          <w:position w:val="2"/>
          <w:sz w:val="16"/>
        </w:rPr>
        <w:t>CO</w:t>
      </w:r>
      <w:r w:rsidRPr="00283806">
        <w:rPr>
          <w:rFonts w:ascii="Times New Roman" w:hAnsi="Times New Roman"/>
          <w:w w:val="105"/>
          <w:sz w:val="10"/>
        </w:rPr>
        <w:t>2</w:t>
      </w:r>
      <w:r w:rsidRPr="00283806">
        <w:rPr>
          <w:w w:val="105"/>
          <w:position w:val="2"/>
          <w:sz w:val="16"/>
        </w:rPr>
        <w:t>—Carbon</w:t>
      </w:r>
      <w:r w:rsidRPr="00283806">
        <w:rPr>
          <w:spacing w:val="76"/>
          <w:w w:val="105"/>
          <w:position w:val="2"/>
          <w:sz w:val="16"/>
        </w:rPr>
        <w:t xml:space="preserve">    </w:t>
      </w:r>
      <w:r w:rsidRPr="00283806">
        <w:rPr>
          <w:w w:val="105"/>
          <w:position w:val="2"/>
          <w:sz w:val="16"/>
        </w:rPr>
        <w:t>dioxide</w:t>
      </w:r>
      <w:r w:rsidRPr="00283806">
        <w:rPr>
          <w:spacing w:val="80"/>
          <w:w w:val="150"/>
          <w:position w:val="2"/>
          <w:sz w:val="16"/>
        </w:rPr>
        <w:t xml:space="preserve"> </w:t>
      </w:r>
      <w:r w:rsidRPr="00283806">
        <w:rPr>
          <w:w w:val="105"/>
          <w:position w:val="2"/>
          <w:sz w:val="16"/>
        </w:rPr>
        <w:t>CO</w:t>
      </w:r>
      <w:r w:rsidRPr="00283806">
        <w:rPr>
          <w:rFonts w:ascii="Times New Roman" w:hAnsi="Times New Roman"/>
          <w:w w:val="105"/>
          <w:sz w:val="10"/>
        </w:rPr>
        <w:t>2</w:t>
      </w:r>
      <w:r w:rsidRPr="00283806">
        <w:rPr>
          <w:w w:val="105"/>
          <w:position w:val="2"/>
          <w:sz w:val="16"/>
        </w:rPr>
        <w:t>e—Carbon Dioxide Equivalent</w:t>
      </w:r>
      <w:r w:rsidRPr="00283806">
        <w:rPr>
          <w:spacing w:val="40"/>
          <w:w w:val="105"/>
          <w:position w:val="2"/>
          <w:sz w:val="16"/>
        </w:rPr>
        <w:t xml:space="preserve"> </w:t>
      </w:r>
      <w:r w:rsidRPr="00283806">
        <w:rPr>
          <w:w w:val="105"/>
          <w:sz w:val="16"/>
        </w:rPr>
        <w:t>DOD—Department of Defense</w:t>
      </w:r>
      <w:r w:rsidRPr="00283806">
        <w:rPr>
          <w:spacing w:val="40"/>
          <w:w w:val="105"/>
          <w:sz w:val="16"/>
        </w:rPr>
        <w:t xml:space="preserve"> </w:t>
      </w:r>
      <w:r w:rsidRPr="00283806">
        <w:rPr>
          <w:w w:val="105"/>
          <w:sz w:val="16"/>
        </w:rPr>
        <w:t>DOI—Department of the Interior</w:t>
      </w:r>
      <w:r w:rsidRPr="00283806">
        <w:rPr>
          <w:spacing w:val="40"/>
          <w:w w:val="105"/>
          <w:sz w:val="16"/>
        </w:rPr>
        <w:t xml:space="preserve"> </w:t>
      </w:r>
      <w:r w:rsidRPr="00283806">
        <w:rPr>
          <w:w w:val="105"/>
          <w:sz w:val="16"/>
        </w:rPr>
        <w:t>DOJ—Department of Justice</w:t>
      </w:r>
    </w:p>
    <w:p w14:paraId="7D540A51" w14:textId="77777777" w:rsidR="00D67C1E" w:rsidRPr="00283806" w:rsidRDefault="001265CA">
      <w:pPr>
        <w:spacing w:line="228" w:lineRule="auto"/>
        <w:ind w:left="152" w:right="158"/>
        <w:rPr>
          <w:sz w:val="16"/>
        </w:rPr>
      </w:pPr>
      <w:r w:rsidRPr="00283806">
        <w:rPr>
          <w:w w:val="105"/>
          <w:sz w:val="16"/>
        </w:rPr>
        <w:t>DOT—Department of Transportation</w:t>
      </w:r>
      <w:r w:rsidRPr="00283806">
        <w:rPr>
          <w:spacing w:val="40"/>
          <w:w w:val="105"/>
          <w:sz w:val="16"/>
        </w:rPr>
        <w:t xml:space="preserve"> </w:t>
      </w:r>
      <w:r w:rsidRPr="00283806">
        <w:rPr>
          <w:w w:val="105"/>
          <w:sz w:val="16"/>
        </w:rPr>
        <w:t>EEAP—Environmental Effects Assessment</w:t>
      </w:r>
    </w:p>
    <w:p w14:paraId="1C1CD3DE" w14:textId="77777777" w:rsidR="00D67C1E" w:rsidRPr="00283806" w:rsidRDefault="001265CA">
      <w:pPr>
        <w:spacing w:line="228" w:lineRule="auto"/>
        <w:ind w:left="152" w:right="2047" w:firstLine="160"/>
        <w:rPr>
          <w:sz w:val="16"/>
        </w:rPr>
      </w:pPr>
      <w:r w:rsidRPr="00283806">
        <w:rPr>
          <w:spacing w:val="-2"/>
          <w:w w:val="110"/>
          <w:sz w:val="16"/>
        </w:rPr>
        <w:t>Panel</w:t>
      </w:r>
      <w:r w:rsidRPr="00283806">
        <w:rPr>
          <w:spacing w:val="80"/>
          <w:w w:val="110"/>
          <w:sz w:val="16"/>
        </w:rPr>
        <w:t xml:space="preserve">   </w:t>
      </w:r>
      <w:r w:rsidRPr="00283806">
        <w:rPr>
          <w:w w:val="110"/>
          <w:sz w:val="16"/>
        </w:rPr>
        <w:t>EOL—End</w:t>
      </w:r>
      <w:r w:rsidRPr="00283806">
        <w:rPr>
          <w:spacing w:val="-10"/>
          <w:w w:val="110"/>
          <w:sz w:val="16"/>
        </w:rPr>
        <w:t xml:space="preserve"> </w:t>
      </w:r>
      <w:r w:rsidRPr="00283806">
        <w:rPr>
          <w:w w:val="110"/>
          <w:sz w:val="16"/>
        </w:rPr>
        <w:t>of</w:t>
      </w:r>
      <w:r w:rsidRPr="00283806">
        <w:rPr>
          <w:spacing w:val="-10"/>
          <w:w w:val="110"/>
          <w:sz w:val="16"/>
        </w:rPr>
        <w:t xml:space="preserve"> </w:t>
      </w:r>
      <w:r w:rsidRPr="00283806">
        <w:rPr>
          <w:w w:val="110"/>
          <w:sz w:val="16"/>
        </w:rPr>
        <w:t>Life</w:t>
      </w:r>
    </w:p>
    <w:p w14:paraId="18F8AAAA" w14:textId="77777777" w:rsidR="00D67C1E" w:rsidRPr="00283806" w:rsidRDefault="001265CA">
      <w:pPr>
        <w:spacing w:line="228" w:lineRule="auto"/>
        <w:ind w:left="152" w:right="38"/>
        <w:rPr>
          <w:sz w:val="16"/>
        </w:rPr>
      </w:pPr>
      <w:r w:rsidRPr="00283806">
        <w:rPr>
          <w:w w:val="105"/>
          <w:sz w:val="16"/>
        </w:rPr>
        <w:t>EPA—Environmental Protection Agency</w:t>
      </w:r>
      <w:r w:rsidRPr="00283806">
        <w:rPr>
          <w:spacing w:val="40"/>
          <w:w w:val="105"/>
          <w:sz w:val="16"/>
        </w:rPr>
        <w:t xml:space="preserve"> </w:t>
      </w:r>
      <w:r w:rsidRPr="00283806">
        <w:rPr>
          <w:w w:val="105"/>
          <w:sz w:val="16"/>
        </w:rPr>
        <w:t>ER&amp;R—Emissions Reduction and</w:t>
      </w:r>
    </w:p>
    <w:p w14:paraId="16B80C62" w14:textId="77777777" w:rsidR="00D67C1E" w:rsidRPr="00283806" w:rsidRDefault="001265CA">
      <w:pPr>
        <w:spacing w:line="175" w:lineRule="exact"/>
        <w:ind w:left="312"/>
        <w:rPr>
          <w:sz w:val="16"/>
        </w:rPr>
      </w:pPr>
      <w:r w:rsidRPr="00283806">
        <w:rPr>
          <w:spacing w:val="-2"/>
          <w:w w:val="105"/>
          <w:sz w:val="16"/>
        </w:rPr>
        <w:t>Reclamation</w:t>
      </w:r>
    </w:p>
    <w:p w14:paraId="2DBFD02A" w14:textId="77777777" w:rsidR="00D67C1E" w:rsidRPr="00283806" w:rsidRDefault="001265CA">
      <w:pPr>
        <w:spacing w:line="228" w:lineRule="auto"/>
        <w:ind w:left="152" w:right="371"/>
        <w:rPr>
          <w:sz w:val="16"/>
        </w:rPr>
      </w:pPr>
      <w:proofErr w:type="spellStart"/>
      <w:r w:rsidRPr="00283806">
        <w:rPr>
          <w:w w:val="110"/>
          <w:sz w:val="16"/>
        </w:rPr>
        <w:t>EVe</w:t>
      </w:r>
      <w:proofErr w:type="spellEnd"/>
      <w:r w:rsidRPr="00283806">
        <w:rPr>
          <w:w w:val="110"/>
          <w:sz w:val="16"/>
        </w:rPr>
        <w:t>—Exchange Value Equivalent</w:t>
      </w:r>
      <w:r w:rsidRPr="00283806">
        <w:rPr>
          <w:spacing w:val="40"/>
          <w:w w:val="110"/>
          <w:sz w:val="16"/>
        </w:rPr>
        <w:t xml:space="preserve"> </w:t>
      </w:r>
      <w:r w:rsidRPr="00283806">
        <w:rPr>
          <w:w w:val="110"/>
          <w:sz w:val="16"/>
        </w:rPr>
        <w:t>FAA—Federal</w:t>
      </w:r>
      <w:r w:rsidRPr="00283806">
        <w:rPr>
          <w:spacing w:val="-10"/>
          <w:w w:val="110"/>
          <w:sz w:val="16"/>
        </w:rPr>
        <w:t xml:space="preserve"> </w:t>
      </w:r>
      <w:r w:rsidRPr="00283806">
        <w:rPr>
          <w:w w:val="110"/>
          <w:sz w:val="16"/>
        </w:rPr>
        <w:t>Aviation</w:t>
      </w:r>
      <w:r w:rsidRPr="00283806">
        <w:rPr>
          <w:spacing w:val="-10"/>
          <w:w w:val="110"/>
          <w:sz w:val="16"/>
        </w:rPr>
        <w:t xml:space="preserve"> </w:t>
      </w:r>
      <w:r w:rsidRPr="00283806">
        <w:rPr>
          <w:w w:val="110"/>
          <w:sz w:val="16"/>
        </w:rPr>
        <w:t>Administration</w:t>
      </w:r>
      <w:r w:rsidRPr="00283806">
        <w:rPr>
          <w:spacing w:val="2"/>
          <w:w w:val="110"/>
          <w:sz w:val="16"/>
        </w:rPr>
        <w:t xml:space="preserve"> </w:t>
      </w:r>
      <w:r w:rsidRPr="00283806">
        <w:rPr>
          <w:spacing w:val="2"/>
          <w:sz w:val="16"/>
        </w:rPr>
        <w:t>FEMA—Fire</w:t>
      </w:r>
      <w:r w:rsidRPr="00283806">
        <w:rPr>
          <w:spacing w:val="50"/>
          <w:sz w:val="16"/>
        </w:rPr>
        <w:t xml:space="preserve"> </w:t>
      </w:r>
      <w:r w:rsidRPr="00283806">
        <w:rPr>
          <w:spacing w:val="2"/>
          <w:sz w:val="16"/>
        </w:rPr>
        <w:t>Equipment</w:t>
      </w:r>
      <w:r w:rsidRPr="00283806">
        <w:rPr>
          <w:spacing w:val="51"/>
          <w:sz w:val="16"/>
        </w:rPr>
        <w:t xml:space="preserve"> </w:t>
      </w:r>
      <w:r w:rsidRPr="00283806">
        <w:rPr>
          <w:spacing w:val="-2"/>
          <w:sz w:val="16"/>
        </w:rPr>
        <w:t>Manufacturers</w:t>
      </w:r>
    </w:p>
    <w:p w14:paraId="32A19674" w14:textId="77777777" w:rsidR="00D67C1E" w:rsidRPr="00283806" w:rsidRDefault="001265CA">
      <w:pPr>
        <w:spacing w:line="174" w:lineRule="exact"/>
        <w:ind w:left="312"/>
        <w:rPr>
          <w:sz w:val="16"/>
        </w:rPr>
      </w:pPr>
      <w:r w:rsidRPr="00283806">
        <w:rPr>
          <w:spacing w:val="-2"/>
          <w:w w:val="110"/>
          <w:sz w:val="16"/>
        </w:rPr>
        <w:t>Association</w:t>
      </w:r>
    </w:p>
    <w:p w14:paraId="7C15A6A5" w14:textId="77777777" w:rsidR="00D67C1E" w:rsidRPr="00283806" w:rsidRDefault="001265CA">
      <w:pPr>
        <w:spacing w:line="228" w:lineRule="auto"/>
        <w:ind w:left="152" w:right="158"/>
        <w:rPr>
          <w:sz w:val="16"/>
        </w:rPr>
      </w:pPr>
      <w:r w:rsidRPr="00283806">
        <w:rPr>
          <w:sz w:val="16"/>
        </w:rPr>
        <w:t>F–HTFs—Fluorinated Heat Transfer Fluids</w:t>
      </w:r>
      <w:r w:rsidRPr="00283806">
        <w:rPr>
          <w:spacing w:val="40"/>
          <w:w w:val="110"/>
          <w:sz w:val="16"/>
        </w:rPr>
        <w:t xml:space="preserve"> </w:t>
      </w:r>
      <w:r w:rsidRPr="00283806">
        <w:rPr>
          <w:w w:val="110"/>
          <w:sz w:val="16"/>
        </w:rPr>
        <w:t>FOIA—Freedom of Information Act</w:t>
      </w:r>
      <w:r w:rsidRPr="00283806">
        <w:rPr>
          <w:spacing w:val="40"/>
          <w:w w:val="110"/>
          <w:sz w:val="16"/>
        </w:rPr>
        <w:t xml:space="preserve"> </w:t>
      </w:r>
      <w:r w:rsidRPr="00283806">
        <w:rPr>
          <w:w w:val="110"/>
          <w:sz w:val="16"/>
        </w:rPr>
        <w:t>FSSA—Fire Suppression Systems</w:t>
      </w:r>
    </w:p>
    <w:p w14:paraId="65A70538" w14:textId="77777777" w:rsidR="00D67C1E" w:rsidRPr="00283806" w:rsidRDefault="001265CA">
      <w:pPr>
        <w:spacing w:line="228" w:lineRule="auto"/>
        <w:ind w:left="152" w:right="901" w:firstLine="160"/>
        <w:rPr>
          <w:sz w:val="16"/>
        </w:rPr>
      </w:pPr>
      <w:r w:rsidRPr="00283806">
        <w:rPr>
          <w:spacing w:val="-2"/>
          <w:w w:val="105"/>
          <w:sz w:val="16"/>
        </w:rPr>
        <w:t>Association</w:t>
      </w:r>
      <w:r w:rsidRPr="00283806">
        <w:rPr>
          <w:spacing w:val="80"/>
          <w:w w:val="150"/>
          <w:sz w:val="16"/>
        </w:rPr>
        <w:t xml:space="preserve">        </w:t>
      </w:r>
      <w:r w:rsidRPr="00283806">
        <w:rPr>
          <w:w w:val="105"/>
          <w:sz w:val="16"/>
        </w:rPr>
        <w:t>GHG—Greenhouse</w:t>
      </w:r>
      <w:r w:rsidRPr="00283806">
        <w:rPr>
          <w:spacing w:val="73"/>
          <w:w w:val="150"/>
          <w:sz w:val="16"/>
        </w:rPr>
        <w:t xml:space="preserve">  </w:t>
      </w:r>
      <w:r w:rsidRPr="00283806">
        <w:rPr>
          <w:w w:val="105"/>
          <w:sz w:val="16"/>
        </w:rPr>
        <w:t>gas</w:t>
      </w:r>
      <w:r w:rsidRPr="00283806">
        <w:rPr>
          <w:spacing w:val="80"/>
          <w:w w:val="150"/>
          <w:sz w:val="16"/>
        </w:rPr>
        <w:t xml:space="preserve"> </w:t>
      </w:r>
      <w:r w:rsidRPr="00283806">
        <w:rPr>
          <w:w w:val="105"/>
          <w:sz w:val="16"/>
        </w:rPr>
        <w:t>GWP—Global Warming Potential</w:t>
      </w:r>
    </w:p>
    <w:p w14:paraId="53802A28" w14:textId="77777777" w:rsidR="00D67C1E" w:rsidRPr="00283806" w:rsidRDefault="001265CA">
      <w:pPr>
        <w:spacing w:line="228" w:lineRule="auto"/>
        <w:ind w:left="312" w:right="38" w:hanging="160"/>
        <w:rPr>
          <w:sz w:val="16"/>
        </w:rPr>
      </w:pPr>
      <w:r w:rsidRPr="00283806">
        <w:rPr>
          <w:w w:val="105"/>
          <w:sz w:val="16"/>
        </w:rPr>
        <w:t>HARC—Halon Alternatives Research</w:t>
      </w:r>
      <w:r w:rsidRPr="00283806">
        <w:rPr>
          <w:spacing w:val="40"/>
          <w:w w:val="105"/>
          <w:sz w:val="16"/>
        </w:rPr>
        <w:t xml:space="preserve"> </w:t>
      </w:r>
      <w:r w:rsidRPr="00283806">
        <w:rPr>
          <w:spacing w:val="-2"/>
          <w:w w:val="105"/>
          <w:sz w:val="16"/>
        </w:rPr>
        <w:t>Corporation</w:t>
      </w:r>
    </w:p>
    <w:p w14:paraId="76DE2130" w14:textId="77777777" w:rsidR="00D67C1E" w:rsidRPr="00283806" w:rsidRDefault="001265CA">
      <w:pPr>
        <w:spacing w:line="228" w:lineRule="auto"/>
        <w:ind w:left="152" w:right="155"/>
        <w:rPr>
          <w:sz w:val="16"/>
        </w:rPr>
      </w:pPr>
      <w:r w:rsidRPr="00283806">
        <w:rPr>
          <w:spacing w:val="-2"/>
          <w:w w:val="105"/>
          <w:sz w:val="16"/>
        </w:rPr>
        <w:t>HCFC—Hydrochlorofluorocarbon</w:t>
      </w:r>
      <w:r w:rsidRPr="00283806">
        <w:rPr>
          <w:spacing w:val="80"/>
          <w:w w:val="105"/>
          <w:sz w:val="16"/>
        </w:rPr>
        <w:t xml:space="preserve">   </w:t>
      </w:r>
      <w:r w:rsidRPr="00283806">
        <w:rPr>
          <w:spacing w:val="-2"/>
          <w:w w:val="105"/>
          <w:sz w:val="16"/>
        </w:rPr>
        <w:t>HCFO—</w:t>
      </w:r>
      <w:proofErr w:type="spellStart"/>
      <w:r w:rsidRPr="00283806">
        <w:rPr>
          <w:spacing w:val="-2"/>
          <w:w w:val="105"/>
          <w:sz w:val="16"/>
        </w:rPr>
        <w:t>Hydrochlorofluoroolefin</w:t>
      </w:r>
      <w:proofErr w:type="spellEnd"/>
      <w:r w:rsidRPr="00283806">
        <w:rPr>
          <w:spacing w:val="80"/>
          <w:w w:val="150"/>
          <w:sz w:val="16"/>
        </w:rPr>
        <w:t xml:space="preserve">   </w:t>
      </w:r>
      <w:r w:rsidRPr="00283806">
        <w:rPr>
          <w:w w:val="105"/>
          <w:sz w:val="16"/>
        </w:rPr>
        <w:t>HEEP—HFC Emissions Estimating Program</w:t>
      </w:r>
      <w:r w:rsidRPr="00283806">
        <w:rPr>
          <w:spacing w:val="40"/>
          <w:w w:val="105"/>
          <w:sz w:val="16"/>
        </w:rPr>
        <w:t xml:space="preserve"> </w:t>
      </w:r>
      <w:r w:rsidRPr="00283806">
        <w:rPr>
          <w:spacing w:val="-2"/>
          <w:w w:val="105"/>
          <w:sz w:val="16"/>
        </w:rPr>
        <w:t>HFC—Hydrofluorocarbon</w:t>
      </w:r>
      <w:r w:rsidRPr="00283806">
        <w:rPr>
          <w:spacing w:val="80"/>
          <w:w w:val="105"/>
          <w:sz w:val="16"/>
        </w:rPr>
        <w:t xml:space="preserve">        </w:t>
      </w:r>
      <w:r w:rsidRPr="00283806">
        <w:rPr>
          <w:spacing w:val="-2"/>
          <w:w w:val="105"/>
          <w:sz w:val="16"/>
        </w:rPr>
        <w:t>HFO—</w:t>
      </w:r>
      <w:proofErr w:type="spellStart"/>
      <w:r w:rsidRPr="00283806">
        <w:rPr>
          <w:spacing w:val="-2"/>
          <w:w w:val="105"/>
          <w:sz w:val="16"/>
        </w:rPr>
        <w:t>Hydrofluoroolefin</w:t>
      </w:r>
      <w:proofErr w:type="spellEnd"/>
      <w:r w:rsidRPr="00283806">
        <w:rPr>
          <w:spacing w:val="80"/>
          <w:w w:val="150"/>
          <w:sz w:val="16"/>
        </w:rPr>
        <w:t xml:space="preserve">       </w:t>
      </w:r>
      <w:r w:rsidRPr="00283806">
        <w:rPr>
          <w:w w:val="105"/>
          <w:sz w:val="16"/>
        </w:rPr>
        <w:t>HSWA—Hazardous and Solid Waste</w:t>
      </w:r>
    </w:p>
    <w:p w14:paraId="42AC146A" w14:textId="77777777" w:rsidR="00D67C1E" w:rsidRPr="00283806" w:rsidRDefault="001265CA">
      <w:pPr>
        <w:spacing w:line="230" w:lineRule="auto"/>
        <w:ind w:left="152" w:right="572" w:firstLine="160"/>
        <w:rPr>
          <w:sz w:val="16"/>
        </w:rPr>
      </w:pPr>
      <w:r w:rsidRPr="00283806">
        <w:rPr>
          <w:w w:val="110"/>
          <w:sz w:val="16"/>
        </w:rPr>
        <w:t>Amendments</w:t>
      </w:r>
      <w:r w:rsidRPr="00283806">
        <w:rPr>
          <w:spacing w:val="55"/>
          <w:w w:val="110"/>
          <w:sz w:val="16"/>
        </w:rPr>
        <w:t xml:space="preserve">  </w:t>
      </w:r>
      <w:r w:rsidRPr="00283806">
        <w:rPr>
          <w:w w:val="110"/>
          <w:sz w:val="16"/>
        </w:rPr>
        <w:t>of</w:t>
      </w:r>
      <w:r w:rsidRPr="00283806">
        <w:rPr>
          <w:spacing w:val="55"/>
          <w:w w:val="110"/>
          <w:sz w:val="16"/>
        </w:rPr>
        <w:t xml:space="preserve">  </w:t>
      </w:r>
      <w:r w:rsidRPr="00283806">
        <w:rPr>
          <w:w w:val="110"/>
          <w:sz w:val="16"/>
        </w:rPr>
        <w:t>1984</w:t>
      </w:r>
      <w:r w:rsidRPr="00283806">
        <w:rPr>
          <w:spacing w:val="80"/>
          <w:w w:val="150"/>
          <w:sz w:val="16"/>
        </w:rPr>
        <w:t xml:space="preserve"> </w:t>
      </w:r>
      <w:r w:rsidRPr="00283806">
        <w:rPr>
          <w:w w:val="110"/>
          <w:sz w:val="16"/>
        </w:rPr>
        <w:t>HVAC—Heating,</w:t>
      </w:r>
      <w:r w:rsidRPr="00283806">
        <w:rPr>
          <w:spacing w:val="-2"/>
          <w:w w:val="110"/>
          <w:sz w:val="16"/>
        </w:rPr>
        <w:t xml:space="preserve"> </w:t>
      </w:r>
      <w:r w:rsidRPr="00283806">
        <w:rPr>
          <w:w w:val="110"/>
          <w:sz w:val="16"/>
        </w:rPr>
        <w:t>Ventilation,</w:t>
      </w:r>
      <w:r w:rsidRPr="00283806">
        <w:rPr>
          <w:spacing w:val="-2"/>
          <w:w w:val="110"/>
          <w:sz w:val="16"/>
        </w:rPr>
        <w:t xml:space="preserve"> </w:t>
      </w:r>
      <w:r w:rsidRPr="00283806">
        <w:rPr>
          <w:w w:val="110"/>
          <w:sz w:val="16"/>
        </w:rPr>
        <w:t>and</w:t>
      </w:r>
      <w:r w:rsidRPr="00283806">
        <w:rPr>
          <w:spacing w:val="-2"/>
          <w:w w:val="110"/>
          <w:sz w:val="16"/>
        </w:rPr>
        <w:t xml:space="preserve"> </w:t>
      </w:r>
      <w:r w:rsidRPr="00283806">
        <w:rPr>
          <w:w w:val="110"/>
          <w:sz w:val="16"/>
        </w:rPr>
        <w:t>Air</w:t>
      </w:r>
    </w:p>
    <w:p w14:paraId="5E980896" w14:textId="77777777" w:rsidR="00D67C1E" w:rsidRPr="00283806" w:rsidRDefault="001265CA">
      <w:pPr>
        <w:spacing w:line="178" w:lineRule="exact"/>
        <w:ind w:left="312"/>
        <w:rPr>
          <w:sz w:val="16"/>
        </w:rPr>
      </w:pPr>
      <w:r w:rsidRPr="00283806">
        <w:rPr>
          <w:spacing w:val="-2"/>
          <w:w w:val="110"/>
          <w:sz w:val="16"/>
        </w:rPr>
        <w:t>Conditioning</w:t>
      </w:r>
    </w:p>
    <w:p w14:paraId="098E59C8" w14:textId="77777777" w:rsidR="00D67C1E" w:rsidRPr="00283806" w:rsidRDefault="001265CA">
      <w:pPr>
        <w:spacing w:line="230" w:lineRule="auto"/>
        <w:ind w:left="312" w:right="38" w:hanging="160"/>
        <w:rPr>
          <w:sz w:val="16"/>
        </w:rPr>
      </w:pPr>
      <w:r w:rsidRPr="00283806">
        <w:rPr>
          <w:w w:val="110"/>
          <w:sz w:val="16"/>
        </w:rPr>
        <w:t>HVACR—Heating,</w:t>
      </w:r>
      <w:r w:rsidRPr="00283806">
        <w:rPr>
          <w:spacing w:val="-4"/>
          <w:w w:val="110"/>
          <w:sz w:val="16"/>
        </w:rPr>
        <w:t xml:space="preserve"> </w:t>
      </w:r>
      <w:r w:rsidRPr="00283806">
        <w:rPr>
          <w:w w:val="110"/>
          <w:sz w:val="16"/>
        </w:rPr>
        <w:t>Ventilation,</w:t>
      </w:r>
      <w:r w:rsidRPr="00283806">
        <w:rPr>
          <w:spacing w:val="-4"/>
          <w:w w:val="110"/>
          <w:sz w:val="16"/>
        </w:rPr>
        <w:t xml:space="preserve"> </w:t>
      </w:r>
      <w:r w:rsidRPr="00283806">
        <w:rPr>
          <w:w w:val="110"/>
          <w:sz w:val="16"/>
        </w:rPr>
        <w:t>Air</w:t>
      </w:r>
      <w:r w:rsidRPr="00283806">
        <w:rPr>
          <w:spacing w:val="40"/>
          <w:w w:val="110"/>
          <w:sz w:val="16"/>
        </w:rPr>
        <w:t xml:space="preserve"> </w:t>
      </w:r>
      <w:r w:rsidRPr="00283806">
        <w:rPr>
          <w:w w:val="110"/>
          <w:sz w:val="16"/>
        </w:rPr>
        <w:t>Conditioning,</w:t>
      </w:r>
      <w:r w:rsidRPr="00283806">
        <w:rPr>
          <w:spacing w:val="-8"/>
          <w:w w:val="110"/>
          <w:sz w:val="16"/>
        </w:rPr>
        <w:t xml:space="preserve"> </w:t>
      </w:r>
      <w:r w:rsidRPr="00283806">
        <w:rPr>
          <w:w w:val="110"/>
          <w:sz w:val="16"/>
        </w:rPr>
        <w:t>and</w:t>
      </w:r>
      <w:r w:rsidRPr="00283806">
        <w:rPr>
          <w:spacing w:val="-8"/>
          <w:w w:val="110"/>
          <w:sz w:val="16"/>
        </w:rPr>
        <w:t xml:space="preserve"> </w:t>
      </w:r>
      <w:r w:rsidRPr="00283806">
        <w:rPr>
          <w:w w:val="110"/>
          <w:sz w:val="16"/>
        </w:rPr>
        <w:t>Refrigeration</w:t>
      </w:r>
    </w:p>
    <w:p w14:paraId="351707BA" w14:textId="77777777" w:rsidR="00D67C1E" w:rsidRPr="00283806" w:rsidRDefault="001265CA">
      <w:pPr>
        <w:spacing w:line="230" w:lineRule="auto"/>
        <w:ind w:left="152" w:right="616"/>
        <w:rPr>
          <w:sz w:val="16"/>
        </w:rPr>
      </w:pPr>
      <w:r w:rsidRPr="00283806">
        <w:rPr>
          <w:w w:val="105"/>
          <w:sz w:val="16"/>
        </w:rPr>
        <w:t>ICR—Information Collection Request</w:t>
      </w:r>
      <w:r w:rsidRPr="00283806">
        <w:rPr>
          <w:spacing w:val="40"/>
          <w:w w:val="105"/>
          <w:sz w:val="16"/>
        </w:rPr>
        <w:t xml:space="preserve"> </w:t>
      </w:r>
      <w:r w:rsidRPr="00283806">
        <w:rPr>
          <w:w w:val="105"/>
          <w:sz w:val="16"/>
        </w:rPr>
        <w:t>in-Hg—inches of Mercury</w:t>
      </w:r>
    </w:p>
    <w:p w14:paraId="4F903BA4" w14:textId="77777777" w:rsidR="00D67C1E" w:rsidRPr="00283806" w:rsidRDefault="001265CA">
      <w:pPr>
        <w:spacing w:before="62" w:line="225" w:lineRule="auto"/>
        <w:ind w:left="320" w:right="286" w:hanging="160"/>
        <w:rPr>
          <w:sz w:val="16"/>
        </w:rPr>
      </w:pPr>
      <w:r w:rsidRPr="00283806">
        <w:br w:type="column"/>
      </w:r>
      <w:r w:rsidRPr="00283806">
        <w:rPr>
          <w:w w:val="105"/>
          <w:sz w:val="16"/>
        </w:rPr>
        <w:t>IPCC—Intergovernmental Panel on Climate</w:t>
      </w:r>
      <w:r w:rsidRPr="00283806">
        <w:rPr>
          <w:spacing w:val="40"/>
          <w:w w:val="105"/>
          <w:sz w:val="16"/>
        </w:rPr>
        <w:t xml:space="preserve"> </w:t>
      </w:r>
      <w:r w:rsidRPr="00283806">
        <w:rPr>
          <w:spacing w:val="-2"/>
          <w:w w:val="105"/>
          <w:sz w:val="16"/>
        </w:rPr>
        <w:t>Change</w:t>
      </w:r>
    </w:p>
    <w:p w14:paraId="6B4CF0F2" w14:textId="77777777" w:rsidR="00D67C1E" w:rsidRPr="00283806" w:rsidRDefault="001265CA">
      <w:pPr>
        <w:spacing w:line="225" w:lineRule="auto"/>
        <w:ind w:left="160" w:right="286"/>
        <w:rPr>
          <w:sz w:val="16"/>
        </w:rPr>
      </w:pPr>
      <w:r w:rsidRPr="00283806">
        <w:rPr>
          <w:w w:val="105"/>
          <w:sz w:val="16"/>
        </w:rPr>
        <w:t>IPR—Industrial Process Refrigeration</w:t>
      </w:r>
      <w:r w:rsidRPr="00283806">
        <w:rPr>
          <w:spacing w:val="40"/>
          <w:w w:val="105"/>
          <w:sz w:val="16"/>
        </w:rPr>
        <w:t xml:space="preserve"> </w:t>
      </w:r>
      <w:r w:rsidRPr="00283806">
        <w:rPr>
          <w:w w:val="105"/>
          <w:sz w:val="16"/>
        </w:rPr>
        <w:t>LRM—Lifecycle refrigerant management</w:t>
      </w:r>
      <w:r w:rsidRPr="00283806">
        <w:rPr>
          <w:spacing w:val="40"/>
          <w:w w:val="105"/>
          <w:sz w:val="16"/>
        </w:rPr>
        <w:t xml:space="preserve"> </w:t>
      </w:r>
      <w:r w:rsidRPr="00283806">
        <w:rPr>
          <w:w w:val="105"/>
          <w:sz w:val="16"/>
        </w:rPr>
        <w:t>MACS—Mobile Air Climate Systems</w:t>
      </w:r>
    </w:p>
    <w:p w14:paraId="01C4631D" w14:textId="77777777" w:rsidR="00D67C1E" w:rsidRPr="00283806" w:rsidRDefault="001265CA">
      <w:pPr>
        <w:spacing w:line="172" w:lineRule="exact"/>
        <w:ind w:left="320"/>
        <w:rPr>
          <w:sz w:val="16"/>
        </w:rPr>
      </w:pPr>
      <w:r w:rsidRPr="00283806">
        <w:rPr>
          <w:spacing w:val="-2"/>
          <w:w w:val="110"/>
          <w:sz w:val="16"/>
        </w:rPr>
        <w:t>Association</w:t>
      </w:r>
    </w:p>
    <w:p w14:paraId="661AF1ED" w14:textId="77777777" w:rsidR="00D67C1E" w:rsidRPr="00283806" w:rsidRDefault="001265CA">
      <w:pPr>
        <w:spacing w:before="8" w:line="218" w:lineRule="auto"/>
        <w:ind w:left="320" w:right="199" w:hanging="160"/>
        <w:rPr>
          <w:sz w:val="16"/>
        </w:rPr>
      </w:pPr>
      <w:r w:rsidRPr="00283806">
        <w:rPr>
          <w:w w:val="110"/>
          <w:position w:val="2"/>
          <w:sz w:val="16"/>
        </w:rPr>
        <w:t>MMTCO</w:t>
      </w:r>
      <w:r w:rsidRPr="00283806">
        <w:rPr>
          <w:rFonts w:ascii="Times New Roman" w:hAnsi="Times New Roman"/>
          <w:w w:val="110"/>
          <w:sz w:val="10"/>
        </w:rPr>
        <w:t>2</w:t>
      </w:r>
      <w:r w:rsidRPr="00283806">
        <w:rPr>
          <w:w w:val="110"/>
          <w:position w:val="2"/>
          <w:sz w:val="16"/>
        </w:rPr>
        <w:t>e—Million</w:t>
      </w:r>
      <w:r w:rsidRPr="00283806">
        <w:rPr>
          <w:spacing w:val="-4"/>
          <w:w w:val="110"/>
          <w:position w:val="2"/>
          <w:sz w:val="16"/>
        </w:rPr>
        <w:t xml:space="preserve"> </w:t>
      </w:r>
      <w:r w:rsidRPr="00283806">
        <w:rPr>
          <w:w w:val="110"/>
          <w:position w:val="2"/>
          <w:sz w:val="16"/>
        </w:rPr>
        <w:t>Metric</w:t>
      </w:r>
      <w:r w:rsidRPr="00283806">
        <w:rPr>
          <w:spacing w:val="-4"/>
          <w:w w:val="110"/>
          <w:position w:val="2"/>
          <w:sz w:val="16"/>
        </w:rPr>
        <w:t xml:space="preserve"> </w:t>
      </w:r>
      <w:r w:rsidRPr="00283806">
        <w:rPr>
          <w:w w:val="110"/>
          <w:position w:val="2"/>
          <w:sz w:val="16"/>
        </w:rPr>
        <w:t>Tons</w:t>
      </w:r>
      <w:r w:rsidRPr="00283806">
        <w:rPr>
          <w:spacing w:val="-4"/>
          <w:w w:val="110"/>
          <w:position w:val="2"/>
          <w:sz w:val="16"/>
        </w:rPr>
        <w:t xml:space="preserve"> </w:t>
      </w:r>
      <w:r w:rsidRPr="00283806">
        <w:rPr>
          <w:w w:val="110"/>
          <w:position w:val="2"/>
          <w:sz w:val="16"/>
        </w:rPr>
        <w:t>of</w:t>
      </w:r>
      <w:r w:rsidRPr="00283806">
        <w:rPr>
          <w:spacing w:val="-4"/>
          <w:w w:val="110"/>
          <w:position w:val="2"/>
          <w:sz w:val="16"/>
        </w:rPr>
        <w:t xml:space="preserve"> </w:t>
      </w:r>
      <w:r w:rsidRPr="00283806">
        <w:rPr>
          <w:w w:val="110"/>
          <w:position w:val="2"/>
          <w:sz w:val="16"/>
        </w:rPr>
        <w:t>Carbon</w:t>
      </w:r>
      <w:r w:rsidRPr="00283806">
        <w:rPr>
          <w:spacing w:val="40"/>
          <w:w w:val="110"/>
          <w:position w:val="2"/>
          <w:sz w:val="16"/>
        </w:rPr>
        <w:t xml:space="preserve"> </w:t>
      </w:r>
      <w:r w:rsidRPr="00283806">
        <w:rPr>
          <w:w w:val="110"/>
          <w:sz w:val="16"/>
        </w:rPr>
        <w:t>Dioxide Equivalent</w:t>
      </w:r>
    </w:p>
    <w:p w14:paraId="32BFF940" w14:textId="77777777" w:rsidR="00D67C1E" w:rsidRPr="00283806" w:rsidRDefault="001265CA">
      <w:pPr>
        <w:spacing w:before="1" w:line="225" w:lineRule="auto"/>
        <w:ind w:left="320" w:right="199" w:hanging="160"/>
        <w:rPr>
          <w:sz w:val="16"/>
        </w:rPr>
      </w:pPr>
      <w:proofErr w:type="spellStart"/>
      <w:r w:rsidRPr="00283806">
        <w:rPr>
          <w:w w:val="110"/>
          <w:sz w:val="16"/>
        </w:rPr>
        <w:t>MMTEVe</w:t>
      </w:r>
      <w:proofErr w:type="spellEnd"/>
      <w:r w:rsidRPr="00283806">
        <w:rPr>
          <w:w w:val="110"/>
          <w:sz w:val="16"/>
        </w:rPr>
        <w:t>—Million</w:t>
      </w:r>
      <w:r w:rsidRPr="00283806">
        <w:rPr>
          <w:spacing w:val="-7"/>
          <w:w w:val="110"/>
          <w:sz w:val="16"/>
        </w:rPr>
        <w:t xml:space="preserve"> </w:t>
      </w:r>
      <w:r w:rsidRPr="00283806">
        <w:rPr>
          <w:w w:val="110"/>
          <w:sz w:val="16"/>
        </w:rPr>
        <w:t>Metric</w:t>
      </w:r>
      <w:r w:rsidRPr="00283806">
        <w:rPr>
          <w:spacing w:val="-7"/>
          <w:w w:val="110"/>
          <w:sz w:val="16"/>
        </w:rPr>
        <w:t xml:space="preserve"> </w:t>
      </w:r>
      <w:r w:rsidRPr="00283806">
        <w:rPr>
          <w:w w:val="110"/>
          <w:sz w:val="16"/>
        </w:rPr>
        <w:t>Tons</w:t>
      </w:r>
      <w:r w:rsidRPr="00283806">
        <w:rPr>
          <w:spacing w:val="-7"/>
          <w:w w:val="110"/>
          <w:sz w:val="16"/>
        </w:rPr>
        <w:t xml:space="preserve"> </w:t>
      </w:r>
      <w:r w:rsidRPr="00283806">
        <w:rPr>
          <w:w w:val="110"/>
          <w:sz w:val="16"/>
        </w:rPr>
        <w:t>of</w:t>
      </w:r>
      <w:r w:rsidRPr="00283806">
        <w:rPr>
          <w:spacing w:val="-7"/>
          <w:w w:val="110"/>
          <w:sz w:val="16"/>
        </w:rPr>
        <w:t xml:space="preserve"> </w:t>
      </w:r>
      <w:r w:rsidRPr="00283806">
        <w:rPr>
          <w:w w:val="110"/>
          <w:sz w:val="16"/>
        </w:rPr>
        <w:t>Exchange</w:t>
      </w:r>
      <w:r w:rsidRPr="00283806">
        <w:rPr>
          <w:spacing w:val="40"/>
          <w:w w:val="110"/>
          <w:sz w:val="16"/>
        </w:rPr>
        <w:t xml:space="preserve"> </w:t>
      </w:r>
      <w:r w:rsidRPr="00283806">
        <w:rPr>
          <w:w w:val="110"/>
          <w:sz w:val="16"/>
        </w:rPr>
        <w:t>Value Equivalent</w:t>
      </w:r>
    </w:p>
    <w:p w14:paraId="09C9E92A" w14:textId="77777777" w:rsidR="00D67C1E" w:rsidRPr="00283806" w:rsidRDefault="001265CA">
      <w:pPr>
        <w:spacing w:line="225" w:lineRule="auto"/>
        <w:ind w:left="160" w:right="286"/>
        <w:rPr>
          <w:sz w:val="16"/>
        </w:rPr>
      </w:pPr>
      <w:r w:rsidRPr="00283806">
        <w:rPr>
          <w:w w:val="110"/>
          <w:sz w:val="16"/>
        </w:rPr>
        <w:t>MVAC—Motor</w:t>
      </w:r>
      <w:r w:rsidRPr="00283806">
        <w:rPr>
          <w:spacing w:val="-5"/>
          <w:w w:val="110"/>
          <w:sz w:val="16"/>
        </w:rPr>
        <w:t xml:space="preserve"> </w:t>
      </w:r>
      <w:r w:rsidRPr="00283806">
        <w:rPr>
          <w:w w:val="110"/>
          <w:sz w:val="16"/>
        </w:rPr>
        <w:t>Vehicle</w:t>
      </w:r>
      <w:r w:rsidRPr="00283806">
        <w:rPr>
          <w:spacing w:val="-5"/>
          <w:w w:val="110"/>
          <w:sz w:val="16"/>
        </w:rPr>
        <w:t xml:space="preserve"> </w:t>
      </w:r>
      <w:r w:rsidRPr="00283806">
        <w:rPr>
          <w:w w:val="110"/>
          <w:sz w:val="16"/>
        </w:rPr>
        <w:t>Air</w:t>
      </w:r>
      <w:r w:rsidRPr="00283806">
        <w:rPr>
          <w:spacing w:val="-5"/>
          <w:w w:val="110"/>
          <w:sz w:val="16"/>
        </w:rPr>
        <w:t xml:space="preserve"> </w:t>
      </w:r>
      <w:r w:rsidRPr="00283806">
        <w:rPr>
          <w:w w:val="110"/>
          <w:sz w:val="16"/>
        </w:rPr>
        <w:t>Conditioner</w:t>
      </w:r>
      <w:r w:rsidRPr="00283806">
        <w:rPr>
          <w:spacing w:val="40"/>
          <w:w w:val="110"/>
          <w:sz w:val="16"/>
        </w:rPr>
        <w:t xml:space="preserve"> </w:t>
      </w:r>
      <w:r w:rsidRPr="00283806">
        <w:rPr>
          <w:w w:val="110"/>
          <w:sz w:val="16"/>
        </w:rPr>
        <w:t>NAICS—North American Industrial</w:t>
      </w:r>
    </w:p>
    <w:p w14:paraId="2202ACBA" w14:textId="77777777" w:rsidR="00D67C1E" w:rsidRPr="00283806" w:rsidRDefault="001265CA">
      <w:pPr>
        <w:spacing w:line="225" w:lineRule="auto"/>
        <w:ind w:left="160" w:right="697" w:firstLine="160"/>
        <w:rPr>
          <w:sz w:val="16"/>
        </w:rPr>
      </w:pPr>
      <w:r w:rsidRPr="00283806">
        <w:rPr>
          <w:w w:val="110"/>
          <w:sz w:val="16"/>
        </w:rPr>
        <w:t>Classification</w:t>
      </w:r>
      <w:r w:rsidRPr="00283806">
        <w:rPr>
          <w:spacing w:val="55"/>
          <w:w w:val="110"/>
          <w:sz w:val="16"/>
        </w:rPr>
        <w:t xml:space="preserve">   </w:t>
      </w:r>
      <w:r w:rsidRPr="00283806">
        <w:rPr>
          <w:w w:val="110"/>
          <w:sz w:val="16"/>
        </w:rPr>
        <w:t>System</w:t>
      </w:r>
      <w:r w:rsidRPr="00283806">
        <w:rPr>
          <w:spacing w:val="80"/>
          <w:w w:val="150"/>
          <w:sz w:val="16"/>
        </w:rPr>
        <w:t xml:space="preserve"> </w:t>
      </w:r>
      <w:r w:rsidRPr="00283806">
        <w:rPr>
          <w:w w:val="110"/>
          <w:sz w:val="16"/>
        </w:rPr>
        <w:t>NAFED—National</w:t>
      </w:r>
      <w:r w:rsidRPr="00283806">
        <w:rPr>
          <w:spacing w:val="-10"/>
          <w:w w:val="110"/>
          <w:sz w:val="16"/>
        </w:rPr>
        <w:t xml:space="preserve"> </w:t>
      </w:r>
      <w:r w:rsidRPr="00283806">
        <w:rPr>
          <w:w w:val="110"/>
          <w:sz w:val="16"/>
        </w:rPr>
        <w:t>Association</w:t>
      </w:r>
      <w:r w:rsidRPr="00283806">
        <w:rPr>
          <w:spacing w:val="-10"/>
          <w:w w:val="110"/>
          <w:sz w:val="16"/>
        </w:rPr>
        <w:t xml:space="preserve"> </w:t>
      </w:r>
      <w:r w:rsidRPr="00283806">
        <w:rPr>
          <w:w w:val="110"/>
          <w:sz w:val="16"/>
        </w:rPr>
        <w:t>of</w:t>
      </w:r>
      <w:r w:rsidRPr="00283806">
        <w:rPr>
          <w:spacing w:val="-10"/>
          <w:w w:val="110"/>
          <w:sz w:val="16"/>
        </w:rPr>
        <w:t xml:space="preserve"> </w:t>
      </w:r>
      <w:r w:rsidRPr="00283806">
        <w:rPr>
          <w:w w:val="110"/>
          <w:sz w:val="16"/>
        </w:rPr>
        <w:t>Fire</w:t>
      </w:r>
    </w:p>
    <w:p w14:paraId="5BA92573" w14:textId="77777777" w:rsidR="00D67C1E" w:rsidRPr="00283806" w:rsidRDefault="001265CA">
      <w:pPr>
        <w:spacing w:line="225" w:lineRule="auto"/>
        <w:ind w:left="160" w:right="662" w:firstLine="160"/>
        <w:rPr>
          <w:sz w:val="16"/>
        </w:rPr>
      </w:pPr>
      <w:r w:rsidRPr="00283806">
        <w:rPr>
          <w:w w:val="105"/>
          <w:sz w:val="16"/>
        </w:rPr>
        <w:t>Equipment Distributors</w:t>
      </w:r>
      <w:r w:rsidRPr="00283806">
        <w:rPr>
          <w:spacing w:val="40"/>
          <w:w w:val="105"/>
          <w:sz w:val="16"/>
        </w:rPr>
        <w:t xml:space="preserve"> </w:t>
      </w:r>
      <w:r w:rsidRPr="00283806">
        <w:rPr>
          <w:w w:val="105"/>
          <w:sz w:val="16"/>
        </w:rPr>
        <w:t>NEDA/CAP—National Environmental</w:t>
      </w:r>
    </w:p>
    <w:p w14:paraId="030E8A5E" w14:textId="77777777" w:rsidR="00D67C1E" w:rsidRPr="00283806" w:rsidRDefault="001265CA">
      <w:pPr>
        <w:spacing w:line="225" w:lineRule="auto"/>
        <w:ind w:left="320" w:right="199"/>
        <w:rPr>
          <w:sz w:val="16"/>
        </w:rPr>
      </w:pPr>
      <w:r w:rsidRPr="00283806">
        <w:rPr>
          <w:w w:val="110"/>
          <w:sz w:val="16"/>
        </w:rPr>
        <w:t>Development</w:t>
      </w:r>
      <w:r w:rsidRPr="00283806">
        <w:rPr>
          <w:spacing w:val="-10"/>
          <w:w w:val="110"/>
          <w:sz w:val="16"/>
        </w:rPr>
        <w:t xml:space="preserve"> </w:t>
      </w:r>
      <w:r w:rsidRPr="00283806">
        <w:rPr>
          <w:w w:val="110"/>
          <w:sz w:val="16"/>
        </w:rPr>
        <w:t>Association’s</w:t>
      </w:r>
      <w:r w:rsidRPr="00283806">
        <w:rPr>
          <w:spacing w:val="-10"/>
          <w:w w:val="110"/>
          <w:sz w:val="16"/>
        </w:rPr>
        <w:t xml:space="preserve"> </w:t>
      </w:r>
      <w:r w:rsidRPr="00283806">
        <w:rPr>
          <w:w w:val="110"/>
          <w:sz w:val="16"/>
        </w:rPr>
        <w:t>Clean</w:t>
      </w:r>
      <w:r w:rsidRPr="00283806">
        <w:rPr>
          <w:spacing w:val="-10"/>
          <w:w w:val="110"/>
          <w:sz w:val="16"/>
        </w:rPr>
        <w:t xml:space="preserve"> </w:t>
      </w:r>
      <w:r w:rsidRPr="00283806">
        <w:rPr>
          <w:w w:val="110"/>
          <w:sz w:val="16"/>
        </w:rPr>
        <w:t>Air</w:t>
      </w:r>
      <w:r w:rsidRPr="00283806">
        <w:rPr>
          <w:spacing w:val="40"/>
          <w:w w:val="110"/>
          <w:sz w:val="16"/>
        </w:rPr>
        <w:t xml:space="preserve"> </w:t>
      </w:r>
      <w:r w:rsidRPr="00283806">
        <w:rPr>
          <w:spacing w:val="-2"/>
          <w:w w:val="110"/>
          <w:sz w:val="16"/>
        </w:rPr>
        <w:t>Project</w:t>
      </w:r>
    </w:p>
    <w:p w14:paraId="5FDEE69A" w14:textId="77777777" w:rsidR="00D67C1E" w:rsidRPr="00283806" w:rsidRDefault="001265CA">
      <w:pPr>
        <w:spacing w:line="225" w:lineRule="auto"/>
        <w:ind w:left="160" w:right="199"/>
        <w:rPr>
          <w:sz w:val="16"/>
        </w:rPr>
      </w:pPr>
      <w:r w:rsidRPr="00283806">
        <w:rPr>
          <w:spacing w:val="-2"/>
          <w:w w:val="110"/>
          <w:sz w:val="16"/>
        </w:rPr>
        <w:t>NFPA—National Fire Protection Association</w:t>
      </w:r>
      <w:r w:rsidRPr="00283806">
        <w:rPr>
          <w:spacing w:val="40"/>
          <w:w w:val="110"/>
          <w:sz w:val="16"/>
        </w:rPr>
        <w:t xml:space="preserve"> </w:t>
      </w:r>
      <w:r w:rsidRPr="00283806">
        <w:rPr>
          <w:w w:val="110"/>
          <w:sz w:val="16"/>
        </w:rPr>
        <w:t>NODA—Notice of Data Availability</w:t>
      </w:r>
      <w:r w:rsidRPr="00283806">
        <w:rPr>
          <w:spacing w:val="80"/>
          <w:w w:val="110"/>
          <w:sz w:val="16"/>
        </w:rPr>
        <w:t xml:space="preserve"> </w:t>
      </w:r>
      <w:r w:rsidRPr="00283806">
        <w:rPr>
          <w:w w:val="110"/>
          <w:sz w:val="16"/>
        </w:rPr>
        <w:t>NRDC—Natural</w:t>
      </w:r>
      <w:r w:rsidRPr="00283806">
        <w:rPr>
          <w:spacing w:val="-1"/>
          <w:w w:val="110"/>
          <w:sz w:val="16"/>
        </w:rPr>
        <w:t xml:space="preserve"> </w:t>
      </w:r>
      <w:r w:rsidRPr="00283806">
        <w:rPr>
          <w:w w:val="110"/>
          <w:sz w:val="16"/>
        </w:rPr>
        <w:t>Resources</w:t>
      </w:r>
      <w:r w:rsidRPr="00283806">
        <w:rPr>
          <w:spacing w:val="-1"/>
          <w:w w:val="110"/>
          <w:sz w:val="16"/>
        </w:rPr>
        <w:t xml:space="preserve"> </w:t>
      </w:r>
      <w:r w:rsidRPr="00283806">
        <w:rPr>
          <w:w w:val="110"/>
          <w:sz w:val="16"/>
        </w:rPr>
        <w:t>Defense</w:t>
      </w:r>
      <w:r w:rsidRPr="00283806">
        <w:rPr>
          <w:spacing w:val="-1"/>
          <w:w w:val="110"/>
          <w:sz w:val="16"/>
        </w:rPr>
        <w:t xml:space="preserve"> </w:t>
      </w:r>
      <w:r w:rsidRPr="00283806">
        <w:rPr>
          <w:w w:val="110"/>
          <w:sz w:val="16"/>
        </w:rPr>
        <w:t>Council</w:t>
      </w:r>
      <w:r w:rsidRPr="00283806">
        <w:rPr>
          <w:spacing w:val="40"/>
          <w:w w:val="110"/>
          <w:sz w:val="16"/>
        </w:rPr>
        <w:t xml:space="preserve"> </w:t>
      </w:r>
      <w:r w:rsidRPr="00283806">
        <w:rPr>
          <w:w w:val="110"/>
          <w:sz w:val="16"/>
        </w:rPr>
        <w:t>NTTAA—National</w:t>
      </w:r>
      <w:r w:rsidRPr="00283806">
        <w:rPr>
          <w:spacing w:val="-10"/>
          <w:w w:val="110"/>
          <w:sz w:val="16"/>
        </w:rPr>
        <w:t xml:space="preserve"> </w:t>
      </w:r>
      <w:r w:rsidRPr="00283806">
        <w:rPr>
          <w:w w:val="110"/>
          <w:sz w:val="16"/>
        </w:rPr>
        <w:t>Technology</w:t>
      </w:r>
      <w:r w:rsidRPr="00283806">
        <w:rPr>
          <w:spacing w:val="-10"/>
          <w:w w:val="110"/>
          <w:sz w:val="16"/>
        </w:rPr>
        <w:t xml:space="preserve"> </w:t>
      </w:r>
      <w:r w:rsidRPr="00283806">
        <w:rPr>
          <w:w w:val="110"/>
          <w:sz w:val="16"/>
        </w:rPr>
        <w:t>Transfer</w:t>
      </w:r>
      <w:r w:rsidRPr="00283806">
        <w:rPr>
          <w:spacing w:val="-10"/>
          <w:w w:val="110"/>
          <w:sz w:val="16"/>
        </w:rPr>
        <w:t xml:space="preserve"> </w:t>
      </w:r>
      <w:r w:rsidRPr="00283806">
        <w:rPr>
          <w:w w:val="110"/>
          <w:sz w:val="16"/>
        </w:rPr>
        <w:t>and</w:t>
      </w:r>
    </w:p>
    <w:p w14:paraId="05419378" w14:textId="77777777" w:rsidR="00D67C1E" w:rsidRPr="00283806" w:rsidRDefault="001265CA">
      <w:pPr>
        <w:spacing w:line="225" w:lineRule="auto"/>
        <w:ind w:left="160" w:right="1238" w:firstLine="160"/>
        <w:rPr>
          <w:sz w:val="16"/>
        </w:rPr>
      </w:pPr>
      <w:r w:rsidRPr="00283806">
        <w:rPr>
          <w:w w:val="110"/>
          <w:sz w:val="16"/>
        </w:rPr>
        <w:t>Advancement</w:t>
      </w:r>
      <w:r w:rsidRPr="00283806">
        <w:rPr>
          <w:spacing w:val="69"/>
          <w:w w:val="150"/>
          <w:sz w:val="16"/>
        </w:rPr>
        <w:t xml:space="preserve">  </w:t>
      </w:r>
      <w:r w:rsidRPr="00283806">
        <w:rPr>
          <w:w w:val="110"/>
          <w:sz w:val="16"/>
        </w:rPr>
        <w:t>Act</w:t>
      </w:r>
      <w:r w:rsidRPr="00283806">
        <w:rPr>
          <w:spacing w:val="80"/>
          <w:w w:val="150"/>
          <w:sz w:val="16"/>
        </w:rPr>
        <w:t xml:space="preserve"> </w:t>
      </w:r>
      <w:r w:rsidRPr="00283806">
        <w:rPr>
          <w:w w:val="110"/>
          <w:sz w:val="16"/>
        </w:rPr>
        <w:t>OCS—Outer</w:t>
      </w:r>
      <w:r w:rsidRPr="00283806">
        <w:rPr>
          <w:spacing w:val="-10"/>
          <w:w w:val="110"/>
          <w:sz w:val="16"/>
        </w:rPr>
        <w:t xml:space="preserve"> </w:t>
      </w:r>
      <w:r w:rsidRPr="00283806">
        <w:rPr>
          <w:w w:val="110"/>
          <w:sz w:val="16"/>
        </w:rPr>
        <w:t>Continental</w:t>
      </w:r>
      <w:r w:rsidRPr="00283806">
        <w:rPr>
          <w:spacing w:val="-10"/>
          <w:w w:val="110"/>
          <w:sz w:val="16"/>
        </w:rPr>
        <w:t xml:space="preserve"> </w:t>
      </w:r>
      <w:r w:rsidRPr="00283806">
        <w:rPr>
          <w:w w:val="110"/>
          <w:sz w:val="16"/>
        </w:rPr>
        <w:t>Shelf</w:t>
      </w:r>
    </w:p>
    <w:p w14:paraId="3FC30DD4" w14:textId="77777777" w:rsidR="00D67C1E" w:rsidRPr="00283806" w:rsidRDefault="001265CA">
      <w:pPr>
        <w:spacing w:line="225" w:lineRule="auto"/>
        <w:ind w:left="160" w:right="248"/>
        <w:rPr>
          <w:sz w:val="16"/>
        </w:rPr>
      </w:pPr>
      <w:r w:rsidRPr="00283806">
        <w:rPr>
          <w:w w:val="110"/>
          <w:sz w:val="16"/>
        </w:rPr>
        <w:t>OCSLA—Outer Continental Shelf Lands Act</w:t>
      </w:r>
      <w:r w:rsidRPr="00283806">
        <w:rPr>
          <w:spacing w:val="40"/>
          <w:w w:val="110"/>
          <w:sz w:val="16"/>
        </w:rPr>
        <w:t xml:space="preserve"> </w:t>
      </w:r>
      <w:r w:rsidRPr="00283806">
        <w:rPr>
          <w:w w:val="110"/>
          <w:sz w:val="16"/>
        </w:rPr>
        <w:t>ODP—Ozone</w:t>
      </w:r>
      <w:r w:rsidRPr="00283806">
        <w:rPr>
          <w:spacing w:val="32"/>
          <w:w w:val="110"/>
          <w:sz w:val="16"/>
        </w:rPr>
        <w:t xml:space="preserve">  </w:t>
      </w:r>
      <w:r w:rsidRPr="00283806">
        <w:rPr>
          <w:w w:val="110"/>
          <w:sz w:val="16"/>
        </w:rPr>
        <w:t>Depletion</w:t>
      </w:r>
      <w:r w:rsidRPr="00283806">
        <w:rPr>
          <w:spacing w:val="33"/>
          <w:w w:val="110"/>
          <w:sz w:val="16"/>
        </w:rPr>
        <w:t xml:space="preserve">  </w:t>
      </w:r>
      <w:r w:rsidRPr="00283806">
        <w:rPr>
          <w:w w:val="110"/>
          <w:sz w:val="16"/>
        </w:rPr>
        <w:t>Potential</w:t>
      </w:r>
      <w:r w:rsidRPr="00283806">
        <w:rPr>
          <w:spacing w:val="80"/>
          <w:w w:val="150"/>
          <w:sz w:val="16"/>
        </w:rPr>
        <w:t xml:space="preserve"> </w:t>
      </w:r>
      <w:r w:rsidRPr="00283806">
        <w:rPr>
          <w:w w:val="110"/>
          <w:sz w:val="16"/>
        </w:rPr>
        <w:t>ODS—Ozone-depleting</w:t>
      </w:r>
      <w:r w:rsidRPr="00283806">
        <w:rPr>
          <w:spacing w:val="37"/>
          <w:w w:val="110"/>
          <w:sz w:val="16"/>
        </w:rPr>
        <w:t xml:space="preserve"> </w:t>
      </w:r>
      <w:r w:rsidRPr="00283806">
        <w:rPr>
          <w:w w:val="110"/>
          <w:sz w:val="16"/>
        </w:rPr>
        <w:t>substances</w:t>
      </w:r>
      <w:r w:rsidRPr="00283806">
        <w:rPr>
          <w:spacing w:val="80"/>
          <w:w w:val="150"/>
          <w:sz w:val="16"/>
        </w:rPr>
        <w:t xml:space="preserve"> </w:t>
      </w:r>
      <w:r w:rsidRPr="00283806">
        <w:rPr>
          <w:w w:val="110"/>
          <w:sz w:val="16"/>
        </w:rPr>
        <w:t>OEM—Original Equipment Manufacturer</w:t>
      </w:r>
      <w:r w:rsidRPr="00283806">
        <w:rPr>
          <w:spacing w:val="40"/>
          <w:w w:val="110"/>
          <w:sz w:val="16"/>
        </w:rPr>
        <w:t xml:space="preserve"> </w:t>
      </w:r>
      <w:r w:rsidRPr="00283806">
        <w:rPr>
          <w:w w:val="110"/>
          <w:sz w:val="16"/>
        </w:rPr>
        <w:t>OMB—Office of Management and Budget</w:t>
      </w:r>
      <w:r w:rsidRPr="00283806">
        <w:rPr>
          <w:spacing w:val="40"/>
          <w:w w:val="110"/>
          <w:sz w:val="16"/>
        </w:rPr>
        <w:t xml:space="preserve"> </w:t>
      </w:r>
      <w:r w:rsidRPr="00283806">
        <w:rPr>
          <w:w w:val="110"/>
          <w:sz w:val="16"/>
        </w:rPr>
        <w:t>PII—Personally identifiable information</w:t>
      </w:r>
      <w:r w:rsidRPr="00283806">
        <w:rPr>
          <w:spacing w:val="40"/>
          <w:w w:val="110"/>
          <w:sz w:val="16"/>
        </w:rPr>
        <w:t xml:space="preserve"> </w:t>
      </w:r>
      <w:r w:rsidRPr="00283806">
        <w:rPr>
          <w:w w:val="110"/>
          <w:sz w:val="16"/>
        </w:rPr>
        <w:t>ppm—Parts Per Million</w:t>
      </w:r>
    </w:p>
    <w:p w14:paraId="38F65070" w14:textId="77777777" w:rsidR="00D67C1E" w:rsidRPr="00283806" w:rsidRDefault="001265CA">
      <w:pPr>
        <w:spacing w:line="225" w:lineRule="auto"/>
        <w:ind w:left="160" w:right="207"/>
        <w:rPr>
          <w:sz w:val="16"/>
        </w:rPr>
      </w:pPr>
      <w:r w:rsidRPr="00283806">
        <w:rPr>
          <w:w w:val="105"/>
          <w:sz w:val="16"/>
        </w:rPr>
        <w:t>PRA—Paperwork</w:t>
      </w:r>
      <w:r w:rsidRPr="00283806">
        <w:rPr>
          <w:spacing w:val="60"/>
          <w:w w:val="105"/>
          <w:sz w:val="16"/>
        </w:rPr>
        <w:t xml:space="preserve">  </w:t>
      </w:r>
      <w:r w:rsidRPr="00283806">
        <w:rPr>
          <w:w w:val="105"/>
          <w:sz w:val="16"/>
        </w:rPr>
        <w:t>Reduction</w:t>
      </w:r>
      <w:r w:rsidRPr="00283806">
        <w:rPr>
          <w:spacing w:val="61"/>
          <w:w w:val="105"/>
          <w:sz w:val="16"/>
        </w:rPr>
        <w:t xml:space="preserve">  </w:t>
      </w:r>
      <w:r w:rsidRPr="00283806">
        <w:rPr>
          <w:w w:val="105"/>
          <w:sz w:val="16"/>
        </w:rPr>
        <w:t>Act</w:t>
      </w:r>
      <w:r w:rsidRPr="00283806">
        <w:rPr>
          <w:spacing w:val="80"/>
          <w:w w:val="150"/>
          <w:sz w:val="16"/>
        </w:rPr>
        <w:t xml:space="preserve"> </w:t>
      </w:r>
      <w:r w:rsidRPr="00283806">
        <w:rPr>
          <w:w w:val="105"/>
          <w:sz w:val="16"/>
        </w:rPr>
        <w:t>PTAC—Packaged terminal air conditioners</w:t>
      </w:r>
      <w:r w:rsidRPr="00283806">
        <w:rPr>
          <w:spacing w:val="40"/>
          <w:w w:val="105"/>
          <w:sz w:val="16"/>
        </w:rPr>
        <w:t xml:space="preserve"> </w:t>
      </w:r>
      <w:r w:rsidRPr="00283806">
        <w:rPr>
          <w:w w:val="105"/>
          <w:sz w:val="16"/>
        </w:rPr>
        <w:t>R4</w:t>
      </w:r>
      <w:r w:rsidRPr="00283806">
        <w:rPr>
          <w:spacing w:val="-6"/>
          <w:w w:val="105"/>
          <w:sz w:val="16"/>
        </w:rPr>
        <w:t xml:space="preserve"> </w:t>
      </w:r>
      <w:r w:rsidRPr="00283806">
        <w:rPr>
          <w:w w:val="105"/>
          <w:sz w:val="16"/>
        </w:rPr>
        <w:t>Program—Refrigerant</w:t>
      </w:r>
      <w:r w:rsidRPr="00283806">
        <w:rPr>
          <w:spacing w:val="-5"/>
          <w:w w:val="105"/>
          <w:sz w:val="16"/>
        </w:rPr>
        <w:t xml:space="preserve"> </w:t>
      </w:r>
      <w:r w:rsidRPr="00283806">
        <w:rPr>
          <w:w w:val="105"/>
          <w:sz w:val="16"/>
        </w:rPr>
        <w:t>Recovery,</w:t>
      </w:r>
      <w:r w:rsidRPr="00283806">
        <w:rPr>
          <w:spacing w:val="-5"/>
          <w:w w:val="105"/>
          <w:sz w:val="16"/>
        </w:rPr>
        <w:t xml:space="preserve"> </w:t>
      </w:r>
      <w:r w:rsidRPr="00283806">
        <w:rPr>
          <w:spacing w:val="-2"/>
          <w:w w:val="105"/>
          <w:sz w:val="16"/>
        </w:rPr>
        <w:t>Reclaim,</w:t>
      </w:r>
    </w:p>
    <w:p w14:paraId="5C78AB08" w14:textId="77777777" w:rsidR="00D67C1E" w:rsidRPr="00283806" w:rsidRDefault="001265CA">
      <w:pPr>
        <w:spacing w:line="225" w:lineRule="auto"/>
        <w:ind w:left="160" w:firstLine="160"/>
        <w:rPr>
          <w:sz w:val="16"/>
        </w:rPr>
      </w:pPr>
      <w:r w:rsidRPr="00283806">
        <w:rPr>
          <w:w w:val="105"/>
          <w:sz w:val="16"/>
        </w:rPr>
        <w:t>and Reuse Requirements (CARB Program)</w:t>
      </w:r>
      <w:r w:rsidRPr="00283806">
        <w:rPr>
          <w:spacing w:val="40"/>
          <w:w w:val="105"/>
          <w:sz w:val="16"/>
        </w:rPr>
        <w:t xml:space="preserve"> </w:t>
      </w:r>
      <w:r w:rsidRPr="00283806">
        <w:rPr>
          <w:w w:val="105"/>
          <w:sz w:val="16"/>
        </w:rPr>
        <w:t>RACA—Request for Additional Consumption</w:t>
      </w:r>
    </w:p>
    <w:p w14:paraId="1C4643A6" w14:textId="77777777" w:rsidR="00D67C1E" w:rsidRPr="00283806" w:rsidRDefault="001265CA">
      <w:pPr>
        <w:spacing w:line="172" w:lineRule="exact"/>
        <w:ind w:left="320"/>
        <w:rPr>
          <w:sz w:val="16"/>
        </w:rPr>
      </w:pPr>
      <w:r w:rsidRPr="00283806">
        <w:rPr>
          <w:spacing w:val="-2"/>
          <w:w w:val="110"/>
          <w:sz w:val="16"/>
        </w:rPr>
        <w:t>Allowance</w:t>
      </w:r>
    </w:p>
    <w:p w14:paraId="4E9E06CE" w14:textId="77777777" w:rsidR="00D67C1E" w:rsidRPr="00283806" w:rsidRDefault="001265CA">
      <w:pPr>
        <w:spacing w:line="225" w:lineRule="auto"/>
        <w:ind w:left="320" w:right="411" w:hanging="160"/>
        <w:rPr>
          <w:sz w:val="16"/>
        </w:rPr>
      </w:pPr>
      <w:r w:rsidRPr="00283806">
        <w:rPr>
          <w:w w:val="110"/>
          <w:sz w:val="16"/>
        </w:rPr>
        <w:t>RACHP—Refrigeration,</w:t>
      </w:r>
      <w:r w:rsidRPr="00283806">
        <w:rPr>
          <w:spacing w:val="-10"/>
          <w:w w:val="110"/>
          <w:sz w:val="16"/>
        </w:rPr>
        <w:t xml:space="preserve"> </w:t>
      </w:r>
      <w:r w:rsidRPr="00283806">
        <w:rPr>
          <w:w w:val="110"/>
          <w:sz w:val="16"/>
        </w:rPr>
        <w:t>Air</w:t>
      </w:r>
      <w:r w:rsidRPr="00283806">
        <w:rPr>
          <w:spacing w:val="-10"/>
          <w:w w:val="110"/>
          <w:sz w:val="16"/>
        </w:rPr>
        <w:t xml:space="preserve"> </w:t>
      </w:r>
      <w:r w:rsidRPr="00283806">
        <w:rPr>
          <w:w w:val="110"/>
          <w:sz w:val="16"/>
        </w:rPr>
        <w:t>Conditioning,</w:t>
      </w:r>
      <w:r w:rsidRPr="00283806">
        <w:rPr>
          <w:spacing w:val="40"/>
          <w:w w:val="110"/>
          <w:sz w:val="16"/>
        </w:rPr>
        <w:t xml:space="preserve"> </w:t>
      </w:r>
      <w:r w:rsidRPr="00283806">
        <w:rPr>
          <w:w w:val="110"/>
          <w:sz w:val="16"/>
        </w:rPr>
        <w:t>and Heat Pumps</w:t>
      </w:r>
    </w:p>
    <w:p w14:paraId="1F77DBF6" w14:textId="77777777" w:rsidR="00D67C1E" w:rsidRPr="00283806" w:rsidRDefault="001265CA">
      <w:pPr>
        <w:spacing w:line="225" w:lineRule="auto"/>
        <w:ind w:left="160" w:right="154"/>
        <w:rPr>
          <w:sz w:val="16"/>
        </w:rPr>
      </w:pPr>
      <w:r w:rsidRPr="00283806">
        <w:rPr>
          <w:w w:val="105"/>
          <w:sz w:val="16"/>
        </w:rPr>
        <w:t>RCOP—Recycling</w:t>
      </w:r>
      <w:r w:rsidRPr="00283806">
        <w:rPr>
          <w:spacing w:val="73"/>
          <w:w w:val="105"/>
          <w:sz w:val="16"/>
        </w:rPr>
        <w:t xml:space="preserve"> </w:t>
      </w:r>
      <w:r w:rsidRPr="00283806">
        <w:rPr>
          <w:w w:val="105"/>
          <w:sz w:val="16"/>
        </w:rPr>
        <w:t>Code</w:t>
      </w:r>
      <w:r w:rsidRPr="00283806">
        <w:rPr>
          <w:spacing w:val="73"/>
          <w:w w:val="105"/>
          <w:sz w:val="16"/>
        </w:rPr>
        <w:t xml:space="preserve"> </w:t>
      </w:r>
      <w:r w:rsidRPr="00283806">
        <w:rPr>
          <w:w w:val="105"/>
          <w:sz w:val="16"/>
        </w:rPr>
        <w:t>of</w:t>
      </w:r>
      <w:r w:rsidRPr="00283806">
        <w:rPr>
          <w:spacing w:val="73"/>
          <w:w w:val="105"/>
          <w:sz w:val="16"/>
        </w:rPr>
        <w:t xml:space="preserve"> </w:t>
      </w:r>
      <w:r w:rsidRPr="00283806">
        <w:rPr>
          <w:w w:val="105"/>
          <w:sz w:val="16"/>
        </w:rPr>
        <w:t>Practice</w:t>
      </w:r>
      <w:r w:rsidRPr="00283806">
        <w:rPr>
          <w:spacing w:val="80"/>
          <w:w w:val="150"/>
          <w:sz w:val="16"/>
        </w:rPr>
        <w:t xml:space="preserve"> </w:t>
      </w:r>
      <w:r w:rsidRPr="00283806">
        <w:rPr>
          <w:w w:val="105"/>
          <w:sz w:val="16"/>
        </w:rPr>
        <w:t>RCRA—Resource Conservation and Recovery</w:t>
      </w:r>
    </w:p>
    <w:p w14:paraId="543E3F03" w14:textId="77777777" w:rsidR="00D67C1E" w:rsidRPr="00283806" w:rsidRDefault="001265CA">
      <w:pPr>
        <w:spacing w:line="172" w:lineRule="exact"/>
        <w:ind w:left="320"/>
        <w:rPr>
          <w:sz w:val="16"/>
        </w:rPr>
      </w:pPr>
      <w:r w:rsidRPr="00283806">
        <w:rPr>
          <w:spacing w:val="-5"/>
          <w:w w:val="115"/>
          <w:sz w:val="16"/>
        </w:rPr>
        <w:t>Act</w:t>
      </w:r>
    </w:p>
    <w:p w14:paraId="73043D57" w14:textId="77777777" w:rsidR="00D67C1E" w:rsidRPr="00283806" w:rsidRDefault="001265CA">
      <w:pPr>
        <w:spacing w:line="225" w:lineRule="auto"/>
        <w:ind w:left="160" w:right="614"/>
        <w:rPr>
          <w:sz w:val="16"/>
        </w:rPr>
      </w:pPr>
      <w:r w:rsidRPr="00283806">
        <w:rPr>
          <w:w w:val="110"/>
          <w:sz w:val="16"/>
        </w:rPr>
        <w:t>RFA—Regulatory Flexibility Act</w:t>
      </w:r>
      <w:r w:rsidRPr="00283806">
        <w:rPr>
          <w:spacing w:val="80"/>
          <w:w w:val="110"/>
          <w:sz w:val="16"/>
        </w:rPr>
        <w:t xml:space="preserve"> </w:t>
      </w:r>
      <w:r w:rsidRPr="00283806">
        <w:rPr>
          <w:w w:val="110"/>
          <w:sz w:val="16"/>
        </w:rPr>
        <w:t>RIA—Regulatory Impact Analysis</w:t>
      </w:r>
      <w:r w:rsidRPr="00283806">
        <w:rPr>
          <w:spacing w:val="40"/>
          <w:w w:val="110"/>
          <w:sz w:val="16"/>
        </w:rPr>
        <w:t xml:space="preserve"> </w:t>
      </w:r>
      <w:r w:rsidRPr="00283806">
        <w:rPr>
          <w:spacing w:val="-2"/>
          <w:w w:val="110"/>
          <w:sz w:val="16"/>
        </w:rPr>
        <w:t>SAE—Society of Automotive Engineers</w:t>
      </w:r>
    </w:p>
    <w:p w14:paraId="04B217FD" w14:textId="77777777" w:rsidR="00D67C1E" w:rsidRPr="00283806" w:rsidRDefault="001265CA">
      <w:pPr>
        <w:spacing w:line="225" w:lineRule="auto"/>
        <w:ind w:left="160"/>
        <w:rPr>
          <w:sz w:val="16"/>
        </w:rPr>
      </w:pPr>
      <w:r w:rsidRPr="00283806">
        <w:rPr>
          <w:w w:val="105"/>
          <w:sz w:val="16"/>
        </w:rPr>
        <w:t>SC-HFC—Social Cost of Hydrofluorocarbons</w:t>
      </w:r>
      <w:r w:rsidRPr="00283806">
        <w:rPr>
          <w:spacing w:val="40"/>
          <w:w w:val="105"/>
          <w:sz w:val="16"/>
        </w:rPr>
        <w:t xml:space="preserve"> </w:t>
      </w:r>
      <w:r w:rsidRPr="00283806">
        <w:rPr>
          <w:w w:val="105"/>
          <w:sz w:val="16"/>
        </w:rPr>
        <w:t>SISNOSE—Significant</w:t>
      </w:r>
      <w:r w:rsidRPr="00283806">
        <w:rPr>
          <w:spacing w:val="35"/>
          <w:w w:val="105"/>
          <w:sz w:val="16"/>
        </w:rPr>
        <w:t xml:space="preserve"> </w:t>
      </w:r>
      <w:r w:rsidRPr="00283806">
        <w:rPr>
          <w:w w:val="105"/>
          <w:sz w:val="16"/>
        </w:rPr>
        <w:t>Economic</w:t>
      </w:r>
      <w:r w:rsidRPr="00283806">
        <w:rPr>
          <w:spacing w:val="35"/>
          <w:w w:val="105"/>
          <w:sz w:val="16"/>
        </w:rPr>
        <w:t xml:space="preserve"> </w:t>
      </w:r>
      <w:r w:rsidRPr="00283806">
        <w:rPr>
          <w:w w:val="105"/>
          <w:sz w:val="16"/>
        </w:rPr>
        <w:t>Impact</w:t>
      </w:r>
      <w:r w:rsidRPr="00283806">
        <w:rPr>
          <w:spacing w:val="36"/>
          <w:w w:val="105"/>
          <w:sz w:val="16"/>
        </w:rPr>
        <w:t xml:space="preserve"> </w:t>
      </w:r>
      <w:r w:rsidRPr="00283806">
        <w:rPr>
          <w:w w:val="105"/>
          <w:sz w:val="16"/>
        </w:rPr>
        <w:t>on</w:t>
      </w:r>
      <w:r w:rsidRPr="00283806">
        <w:rPr>
          <w:spacing w:val="35"/>
          <w:w w:val="105"/>
          <w:sz w:val="16"/>
        </w:rPr>
        <w:t xml:space="preserve"> </w:t>
      </w:r>
      <w:r w:rsidRPr="00283806">
        <w:rPr>
          <w:spacing w:val="-10"/>
          <w:w w:val="105"/>
          <w:sz w:val="16"/>
        </w:rPr>
        <w:t>a</w:t>
      </w:r>
    </w:p>
    <w:p w14:paraId="3F4EEF3F" w14:textId="77777777" w:rsidR="00D67C1E" w:rsidRPr="00283806" w:rsidRDefault="001265CA">
      <w:pPr>
        <w:spacing w:line="225" w:lineRule="auto"/>
        <w:ind w:left="160" w:right="199" w:firstLine="160"/>
        <w:rPr>
          <w:sz w:val="16"/>
        </w:rPr>
      </w:pPr>
      <w:r w:rsidRPr="00283806">
        <w:rPr>
          <w:w w:val="110"/>
          <w:sz w:val="16"/>
        </w:rPr>
        <w:t>Substantial Number of Small Entities</w:t>
      </w:r>
      <w:r w:rsidRPr="00283806">
        <w:rPr>
          <w:spacing w:val="40"/>
          <w:w w:val="110"/>
          <w:sz w:val="16"/>
        </w:rPr>
        <w:t xml:space="preserve"> </w:t>
      </w:r>
      <w:r w:rsidRPr="00283806">
        <w:rPr>
          <w:w w:val="110"/>
          <w:sz w:val="16"/>
        </w:rPr>
        <w:t>SNAP—Significant</w:t>
      </w:r>
      <w:r w:rsidRPr="00283806">
        <w:rPr>
          <w:spacing w:val="-8"/>
          <w:w w:val="110"/>
          <w:sz w:val="16"/>
        </w:rPr>
        <w:t xml:space="preserve"> </w:t>
      </w:r>
      <w:r w:rsidRPr="00283806">
        <w:rPr>
          <w:w w:val="110"/>
          <w:sz w:val="16"/>
        </w:rPr>
        <w:t>New</w:t>
      </w:r>
      <w:r w:rsidRPr="00283806">
        <w:rPr>
          <w:spacing w:val="-8"/>
          <w:w w:val="110"/>
          <w:sz w:val="16"/>
        </w:rPr>
        <w:t xml:space="preserve"> </w:t>
      </w:r>
      <w:r w:rsidRPr="00283806">
        <w:rPr>
          <w:w w:val="110"/>
          <w:sz w:val="16"/>
        </w:rPr>
        <w:t>Alternatives</w:t>
      </w:r>
      <w:r w:rsidRPr="00283806">
        <w:rPr>
          <w:spacing w:val="-8"/>
          <w:w w:val="110"/>
          <w:sz w:val="16"/>
        </w:rPr>
        <w:t xml:space="preserve"> </w:t>
      </w:r>
      <w:r w:rsidRPr="00283806">
        <w:rPr>
          <w:w w:val="110"/>
          <w:sz w:val="16"/>
        </w:rPr>
        <w:t>Policy</w:t>
      </w:r>
      <w:r w:rsidRPr="00283806">
        <w:rPr>
          <w:spacing w:val="40"/>
          <w:w w:val="110"/>
          <w:sz w:val="16"/>
        </w:rPr>
        <w:t xml:space="preserve"> </w:t>
      </w:r>
      <w:r w:rsidRPr="00283806">
        <w:rPr>
          <w:w w:val="110"/>
          <w:sz w:val="16"/>
        </w:rPr>
        <w:t>TFA—Trifluoracetic acid</w:t>
      </w:r>
    </w:p>
    <w:p w14:paraId="523D0F6A" w14:textId="77777777" w:rsidR="00D67C1E" w:rsidRPr="00283806" w:rsidRDefault="001265CA">
      <w:pPr>
        <w:spacing w:line="225" w:lineRule="auto"/>
        <w:ind w:left="160" w:right="438"/>
        <w:rPr>
          <w:sz w:val="16"/>
        </w:rPr>
      </w:pPr>
      <w:r w:rsidRPr="00283806">
        <w:rPr>
          <w:w w:val="110"/>
          <w:sz w:val="16"/>
        </w:rPr>
        <w:t>TSD—Technical Support Document</w:t>
      </w:r>
      <w:r w:rsidRPr="00283806">
        <w:rPr>
          <w:spacing w:val="40"/>
          <w:w w:val="110"/>
          <w:sz w:val="16"/>
        </w:rPr>
        <w:t xml:space="preserve"> </w:t>
      </w:r>
      <w:r w:rsidRPr="00283806">
        <w:rPr>
          <w:w w:val="110"/>
          <w:sz w:val="16"/>
        </w:rPr>
        <w:t>UMRA—Unfunded</w:t>
      </w:r>
      <w:r w:rsidRPr="00283806">
        <w:rPr>
          <w:spacing w:val="-10"/>
          <w:w w:val="110"/>
          <w:sz w:val="16"/>
        </w:rPr>
        <w:t xml:space="preserve"> </w:t>
      </w:r>
      <w:r w:rsidRPr="00283806">
        <w:rPr>
          <w:w w:val="110"/>
          <w:sz w:val="16"/>
        </w:rPr>
        <w:t>Mandates</w:t>
      </w:r>
      <w:r w:rsidRPr="00283806">
        <w:rPr>
          <w:spacing w:val="-10"/>
          <w:w w:val="110"/>
          <w:sz w:val="16"/>
        </w:rPr>
        <w:t xml:space="preserve"> </w:t>
      </w:r>
      <w:r w:rsidRPr="00283806">
        <w:rPr>
          <w:w w:val="110"/>
          <w:sz w:val="16"/>
        </w:rPr>
        <w:t>Reform</w:t>
      </w:r>
      <w:r w:rsidRPr="00283806">
        <w:rPr>
          <w:spacing w:val="-10"/>
          <w:w w:val="110"/>
          <w:sz w:val="16"/>
        </w:rPr>
        <w:t xml:space="preserve"> </w:t>
      </w:r>
      <w:r w:rsidRPr="00283806">
        <w:rPr>
          <w:w w:val="110"/>
          <w:sz w:val="16"/>
        </w:rPr>
        <w:t>Act</w:t>
      </w:r>
      <w:r w:rsidRPr="00283806">
        <w:rPr>
          <w:spacing w:val="40"/>
          <w:w w:val="110"/>
          <w:sz w:val="16"/>
        </w:rPr>
        <w:t xml:space="preserve"> </w:t>
      </w:r>
      <w:r w:rsidRPr="00283806">
        <w:rPr>
          <w:w w:val="110"/>
          <w:sz w:val="16"/>
        </w:rPr>
        <w:t>VCOP—Voluntary Code of Practice</w:t>
      </w:r>
      <w:r w:rsidRPr="00283806">
        <w:rPr>
          <w:spacing w:val="40"/>
          <w:w w:val="110"/>
          <w:sz w:val="16"/>
        </w:rPr>
        <w:t xml:space="preserve"> </w:t>
      </w:r>
      <w:r w:rsidRPr="00283806">
        <w:rPr>
          <w:w w:val="110"/>
          <w:sz w:val="16"/>
        </w:rPr>
        <w:t>VRF—Variable Refrigerant Flow</w:t>
      </w:r>
      <w:r w:rsidRPr="00283806">
        <w:rPr>
          <w:spacing w:val="40"/>
          <w:w w:val="110"/>
          <w:sz w:val="16"/>
        </w:rPr>
        <w:t xml:space="preserve"> </w:t>
      </w:r>
      <w:r w:rsidRPr="00283806">
        <w:rPr>
          <w:w w:val="110"/>
          <w:sz w:val="16"/>
        </w:rPr>
        <w:t>VSQG—Very Small Quantity Generator</w:t>
      </w:r>
    </w:p>
    <w:p w14:paraId="0B8532F2" w14:textId="77777777" w:rsidR="00D67C1E" w:rsidRPr="00283806" w:rsidRDefault="001265CA">
      <w:pPr>
        <w:pStyle w:val="Heading3"/>
        <w:spacing w:before="87"/>
        <w:rPr>
          <w:rFonts w:ascii="Book Antiqua"/>
        </w:rPr>
      </w:pPr>
      <w:r w:rsidRPr="00283806">
        <w:rPr>
          <w:rFonts w:ascii="Book Antiqua"/>
        </w:rPr>
        <w:t>Table</w:t>
      </w:r>
      <w:r w:rsidRPr="00283806">
        <w:rPr>
          <w:rFonts w:ascii="Book Antiqua"/>
          <w:spacing w:val="-2"/>
        </w:rPr>
        <w:t xml:space="preserve"> </w:t>
      </w:r>
      <w:r w:rsidRPr="00283806">
        <w:rPr>
          <w:rFonts w:ascii="Book Antiqua"/>
        </w:rPr>
        <w:t>of</w:t>
      </w:r>
      <w:r w:rsidRPr="00283806">
        <w:rPr>
          <w:rFonts w:ascii="Book Antiqua"/>
          <w:spacing w:val="-1"/>
        </w:rPr>
        <w:t xml:space="preserve"> </w:t>
      </w:r>
      <w:r w:rsidRPr="00283806">
        <w:rPr>
          <w:rFonts w:ascii="Book Antiqua"/>
          <w:spacing w:val="-2"/>
        </w:rPr>
        <w:t>Contents</w:t>
      </w:r>
    </w:p>
    <w:p w14:paraId="100034CD" w14:textId="77777777" w:rsidR="00D67C1E" w:rsidRPr="00283806" w:rsidRDefault="001265CA">
      <w:pPr>
        <w:pStyle w:val="ListParagraph"/>
        <w:numPr>
          <w:ilvl w:val="0"/>
          <w:numId w:val="65"/>
        </w:numPr>
        <w:tabs>
          <w:tab w:val="left" w:pos="301"/>
        </w:tabs>
        <w:spacing w:before="78" w:line="183" w:lineRule="exact"/>
        <w:ind w:hanging="141"/>
        <w:rPr>
          <w:sz w:val="16"/>
        </w:rPr>
      </w:pPr>
      <w:r w:rsidRPr="00283806">
        <w:rPr>
          <w:w w:val="110"/>
          <w:sz w:val="16"/>
        </w:rPr>
        <w:t>Executive</w:t>
      </w:r>
      <w:r w:rsidRPr="00283806">
        <w:rPr>
          <w:spacing w:val="-9"/>
          <w:w w:val="110"/>
          <w:sz w:val="16"/>
        </w:rPr>
        <w:t xml:space="preserve"> </w:t>
      </w:r>
      <w:r w:rsidRPr="00283806">
        <w:rPr>
          <w:spacing w:val="-2"/>
          <w:w w:val="110"/>
          <w:sz w:val="16"/>
        </w:rPr>
        <w:t>Summary</w:t>
      </w:r>
    </w:p>
    <w:p w14:paraId="72F64980" w14:textId="77777777" w:rsidR="00D67C1E" w:rsidRPr="00283806" w:rsidRDefault="001265CA">
      <w:pPr>
        <w:pStyle w:val="ListParagraph"/>
        <w:numPr>
          <w:ilvl w:val="1"/>
          <w:numId w:val="65"/>
        </w:numPr>
        <w:tabs>
          <w:tab w:val="left" w:pos="480"/>
          <w:tab w:val="left" w:pos="532"/>
        </w:tabs>
        <w:spacing w:before="3" w:line="228" w:lineRule="auto"/>
        <w:ind w:right="1018" w:hanging="160"/>
        <w:rPr>
          <w:sz w:val="16"/>
        </w:rPr>
      </w:pPr>
      <w:r w:rsidRPr="00283806">
        <w:rPr>
          <w:w w:val="105"/>
          <w:sz w:val="16"/>
        </w:rPr>
        <w:t>What is the purpose of these</w:t>
      </w:r>
      <w:r w:rsidRPr="00283806">
        <w:rPr>
          <w:spacing w:val="40"/>
          <w:w w:val="105"/>
          <w:sz w:val="16"/>
        </w:rPr>
        <w:t xml:space="preserve"> </w:t>
      </w:r>
      <w:r w:rsidRPr="00283806">
        <w:rPr>
          <w:spacing w:val="-2"/>
          <w:w w:val="105"/>
          <w:sz w:val="16"/>
        </w:rPr>
        <w:t>regulations?</w:t>
      </w:r>
    </w:p>
    <w:p w14:paraId="6D6EBA12" w14:textId="77777777" w:rsidR="00D67C1E" w:rsidRPr="00283806" w:rsidRDefault="001265CA">
      <w:pPr>
        <w:pStyle w:val="ListParagraph"/>
        <w:numPr>
          <w:ilvl w:val="1"/>
          <w:numId w:val="65"/>
        </w:numPr>
        <w:tabs>
          <w:tab w:val="left" w:pos="480"/>
          <w:tab w:val="left" w:pos="514"/>
        </w:tabs>
        <w:spacing w:line="228" w:lineRule="auto"/>
        <w:ind w:right="236" w:hanging="160"/>
        <w:rPr>
          <w:sz w:val="16"/>
        </w:rPr>
      </w:pPr>
      <w:r w:rsidRPr="00283806">
        <w:rPr>
          <w:w w:val="105"/>
          <w:sz w:val="16"/>
        </w:rPr>
        <w:t>What is the summary of the regulations</w:t>
      </w:r>
      <w:r w:rsidRPr="00283806">
        <w:rPr>
          <w:spacing w:val="40"/>
          <w:w w:val="105"/>
          <w:sz w:val="16"/>
        </w:rPr>
        <w:t xml:space="preserve"> </w:t>
      </w:r>
      <w:r w:rsidRPr="00283806">
        <w:rPr>
          <w:w w:val="105"/>
          <w:sz w:val="16"/>
        </w:rPr>
        <w:t>finalized in this notice?</w:t>
      </w:r>
    </w:p>
    <w:p w14:paraId="4BE52712" w14:textId="77777777" w:rsidR="00D67C1E" w:rsidRPr="00283806" w:rsidRDefault="001265CA">
      <w:pPr>
        <w:pStyle w:val="ListParagraph"/>
        <w:numPr>
          <w:ilvl w:val="1"/>
          <w:numId w:val="65"/>
        </w:numPr>
        <w:tabs>
          <w:tab w:val="left" w:pos="480"/>
          <w:tab w:val="left" w:pos="514"/>
        </w:tabs>
        <w:spacing w:line="228" w:lineRule="auto"/>
        <w:ind w:right="370" w:hanging="160"/>
        <w:rPr>
          <w:sz w:val="16"/>
        </w:rPr>
      </w:pPr>
      <w:r w:rsidRPr="00283806">
        <w:rPr>
          <w:w w:val="105"/>
          <w:sz w:val="16"/>
        </w:rPr>
        <w:t>What</w:t>
      </w:r>
      <w:r w:rsidRPr="00283806">
        <w:rPr>
          <w:spacing w:val="37"/>
          <w:w w:val="105"/>
          <w:sz w:val="16"/>
        </w:rPr>
        <w:t xml:space="preserve"> </w:t>
      </w:r>
      <w:r w:rsidRPr="00283806">
        <w:rPr>
          <w:w w:val="105"/>
          <w:sz w:val="16"/>
        </w:rPr>
        <w:t>is the summary of the costs and</w:t>
      </w:r>
      <w:r w:rsidRPr="00283806">
        <w:rPr>
          <w:spacing w:val="40"/>
          <w:w w:val="105"/>
          <w:sz w:val="16"/>
        </w:rPr>
        <w:t xml:space="preserve"> </w:t>
      </w:r>
      <w:r w:rsidRPr="00283806">
        <w:rPr>
          <w:spacing w:val="-2"/>
          <w:w w:val="105"/>
          <w:sz w:val="16"/>
        </w:rPr>
        <w:t>benefits?</w:t>
      </w:r>
    </w:p>
    <w:p w14:paraId="3118B1FC" w14:textId="77777777" w:rsidR="00D67C1E" w:rsidRPr="00283806" w:rsidRDefault="001265CA">
      <w:pPr>
        <w:pStyle w:val="ListParagraph"/>
        <w:numPr>
          <w:ilvl w:val="0"/>
          <w:numId w:val="65"/>
        </w:numPr>
        <w:tabs>
          <w:tab w:val="left" w:pos="354"/>
        </w:tabs>
        <w:spacing w:line="175" w:lineRule="exact"/>
        <w:ind w:left="354" w:hanging="194"/>
        <w:rPr>
          <w:sz w:val="16"/>
        </w:rPr>
      </w:pPr>
      <w:r w:rsidRPr="00283806">
        <w:rPr>
          <w:w w:val="105"/>
          <w:sz w:val="16"/>
        </w:rPr>
        <w:t>General</w:t>
      </w:r>
      <w:r w:rsidRPr="00283806">
        <w:rPr>
          <w:spacing w:val="16"/>
          <w:w w:val="105"/>
          <w:sz w:val="16"/>
        </w:rPr>
        <w:t xml:space="preserve"> </w:t>
      </w:r>
      <w:r w:rsidRPr="00283806">
        <w:rPr>
          <w:spacing w:val="-2"/>
          <w:w w:val="105"/>
          <w:sz w:val="16"/>
        </w:rPr>
        <w:t>Information</w:t>
      </w:r>
    </w:p>
    <w:p w14:paraId="1B70DF39" w14:textId="77777777" w:rsidR="00D67C1E" w:rsidRPr="00283806" w:rsidRDefault="001265CA">
      <w:pPr>
        <w:pStyle w:val="ListParagraph"/>
        <w:numPr>
          <w:ilvl w:val="1"/>
          <w:numId w:val="65"/>
        </w:numPr>
        <w:tabs>
          <w:tab w:val="left" w:pos="532"/>
        </w:tabs>
        <w:spacing w:line="178" w:lineRule="exact"/>
        <w:ind w:left="532" w:hanging="212"/>
        <w:rPr>
          <w:sz w:val="16"/>
        </w:rPr>
      </w:pPr>
      <w:r w:rsidRPr="00283806">
        <w:rPr>
          <w:w w:val="105"/>
          <w:sz w:val="16"/>
        </w:rPr>
        <w:t>Do</w:t>
      </w:r>
      <w:r w:rsidRPr="00283806">
        <w:rPr>
          <w:spacing w:val="8"/>
          <w:w w:val="105"/>
          <w:sz w:val="16"/>
        </w:rPr>
        <w:t xml:space="preserve"> </w:t>
      </w:r>
      <w:r w:rsidRPr="00283806">
        <w:rPr>
          <w:w w:val="105"/>
          <w:sz w:val="16"/>
        </w:rPr>
        <w:t>these</w:t>
      </w:r>
      <w:r w:rsidRPr="00283806">
        <w:rPr>
          <w:spacing w:val="8"/>
          <w:w w:val="105"/>
          <w:sz w:val="16"/>
        </w:rPr>
        <w:t xml:space="preserve"> </w:t>
      </w:r>
      <w:r w:rsidRPr="00283806">
        <w:rPr>
          <w:w w:val="105"/>
          <w:sz w:val="16"/>
        </w:rPr>
        <w:t>regulations</w:t>
      </w:r>
      <w:r w:rsidRPr="00283806">
        <w:rPr>
          <w:spacing w:val="9"/>
          <w:w w:val="105"/>
          <w:sz w:val="16"/>
        </w:rPr>
        <w:t xml:space="preserve"> </w:t>
      </w:r>
      <w:r w:rsidRPr="00283806">
        <w:rPr>
          <w:w w:val="105"/>
          <w:sz w:val="16"/>
        </w:rPr>
        <w:t>apply</w:t>
      </w:r>
      <w:r w:rsidRPr="00283806">
        <w:rPr>
          <w:spacing w:val="8"/>
          <w:w w:val="105"/>
          <w:sz w:val="16"/>
        </w:rPr>
        <w:t xml:space="preserve"> </w:t>
      </w:r>
      <w:r w:rsidRPr="00283806">
        <w:rPr>
          <w:w w:val="105"/>
          <w:sz w:val="16"/>
        </w:rPr>
        <w:t>to</w:t>
      </w:r>
      <w:r w:rsidRPr="00283806">
        <w:rPr>
          <w:spacing w:val="9"/>
          <w:w w:val="105"/>
          <w:sz w:val="16"/>
        </w:rPr>
        <w:t xml:space="preserve"> </w:t>
      </w:r>
      <w:r w:rsidRPr="00283806">
        <w:rPr>
          <w:spacing w:val="-5"/>
          <w:w w:val="105"/>
          <w:sz w:val="16"/>
        </w:rPr>
        <w:t>me?</w:t>
      </w:r>
    </w:p>
    <w:p w14:paraId="54305CE8" w14:textId="77777777" w:rsidR="00D67C1E" w:rsidRPr="00283806" w:rsidRDefault="001265CA">
      <w:pPr>
        <w:pStyle w:val="ListParagraph"/>
        <w:numPr>
          <w:ilvl w:val="1"/>
          <w:numId w:val="65"/>
        </w:numPr>
        <w:tabs>
          <w:tab w:val="left" w:pos="480"/>
          <w:tab w:val="left" w:pos="514"/>
        </w:tabs>
        <w:spacing w:before="1" w:line="228" w:lineRule="auto"/>
        <w:ind w:right="689" w:hanging="160"/>
        <w:rPr>
          <w:sz w:val="16"/>
        </w:rPr>
      </w:pPr>
      <w:r w:rsidRPr="00283806">
        <w:rPr>
          <w:w w:val="105"/>
          <w:sz w:val="16"/>
        </w:rPr>
        <w:t>What is EPA’s authority for these</w:t>
      </w:r>
      <w:r w:rsidRPr="00283806">
        <w:rPr>
          <w:spacing w:val="40"/>
          <w:w w:val="105"/>
          <w:sz w:val="16"/>
        </w:rPr>
        <w:t xml:space="preserve"> </w:t>
      </w:r>
      <w:r w:rsidRPr="00283806">
        <w:rPr>
          <w:spacing w:val="-2"/>
          <w:w w:val="105"/>
          <w:sz w:val="16"/>
        </w:rPr>
        <w:t>regulations?</w:t>
      </w:r>
    </w:p>
    <w:p w14:paraId="5E6909E5" w14:textId="77777777" w:rsidR="00D67C1E" w:rsidRPr="00283806" w:rsidRDefault="001265CA">
      <w:pPr>
        <w:pStyle w:val="ListParagraph"/>
        <w:numPr>
          <w:ilvl w:val="0"/>
          <w:numId w:val="65"/>
        </w:numPr>
        <w:tabs>
          <w:tab w:val="left" w:pos="407"/>
        </w:tabs>
        <w:spacing w:line="175" w:lineRule="exact"/>
        <w:ind w:left="407" w:hanging="247"/>
        <w:rPr>
          <w:sz w:val="16"/>
        </w:rPr>
      </w:pPr>
      <w:r w:rsidRPr="00283806">
        <w:rPr>
          <w:spacing w:val="-2"/>
          <w:w w:val="105"/>
          <w:sz w:val="16"/>
        </w:rPr>
        <w:t>Background</w:t>
      </w:r>
    </w:p>
    <w:p w14:paraId="7EAD7951" w14:textId="77777777" w:rsidR="00D67C1E" w:rsidRPr="00283806" w:rsidRDefault="001265CA">
      <w:pPr>
        <w:pStyle w:val="ListParagraph"/>
        <w:numPr>
          <w:ilvl w:val="1"/>
          <w:numId w:val="65"/>
        </w:numPr>
        <w:tabs>
          <w:tab w:val="left" w:pos="532"/>
        </w:tabs>
        <w:spacing w:line="178" w:lineRule="exact"/>
        <w:ind w:left="532" w:hanging="212"/>
        <w:rPr>
          <w:sz w:val="16"/>
        </w:rPr>
      </w:pPr>
      <w:r w:rsidRPr="00283806">
        <w:rPr>
          <w:w w:val="105"/>
          <w:sz w:val="16"/>
        </w:rPr>
        <w:t>What</w:t>
      </w:r>
      <w:r w:rsidRPr="00283806">
        <w:rPr>
          <w:spacing w:val="1"/>
          <w:w w:val="105"/>
          <w:sz w:val="16"/>
        </w:rPr>
        <w:t xml:space="preserve"> </w:t>
      </w:r>
      <w:r w:rsidRPr="00283806">
        <w:rPr>
          <w:w w:val="105"/>
          <w:sz w:val="16"/>
        </w:rPr>
        <w:t>are</w:t>
      </w:r>
      <w:r w:rsidRPr="00283806">
        <w:rPr>
          <w:spacing w:val="1"/>
          <w:w w:val="105"/>
          <w:sz w:val="16"/>
        </w:rPr>
        <w:t xml:space="preserve"> </w:t>
      </w:r>
      <w:r w:rsidRPr="00283806">
        <w:rPr>
          <w:spacing w:val="-2"/>
          <w:w w:val="105"/>
          <w:sz w:val="16"/>
        </w:rPr>
        <w:t>HFCs?</w:t>
      </w:r>
    </w:p>
    <w:p w14:paraId="6014248A" w14:textId="77777777" w:rsidR="00D67C1E" w:rsidRPr="00283806" w:rsidRDefault="001265CA">
      <w:pPr>
        <w:pStyle w:val="ListParagraph"/>
        <w:numPr>
          <w:ilvl w:val="1"/>
          <w:numId w:val="65"/>
        </w:numPr>
        <w:tabs>
          <w:tab w:val="left" w:pos="480"/>
          <w:tab w:val="left" w:pos="514"/>
        </w:tabs>
        <w:spacing w:before="3" w:line="228" w:lineRule="auto"/>
        <w:ind w:right="316" w:hanging="160"/>
        <w:rPr>
          <w:sz w:val="16"/>
        </w:rPr>
      </w:pPr>
      <w:r w:rsidRPr="00283806">
        <w:rPr>
          <w:w w:val="105"/>
          <w:sz w:val="16"/>
        </w:rPr>
        <w:t>How do HFCs affect public health and</w:t>
      </w:r>
      <w:r w:rsidRPr="00283806">
        <w:rPr>
          <w:spacing w:val="40"/>
          <w:w w:val="105"/>
          <w:sz w:val="16"/>
        </w:rPr>
        <w:t xml:space="preserve"> </w:t>
      </w:r>
      <w:r w:rsidRPr="00283806">
        <w:rPr>
          <w:spacing w:val="-2"/>
          <w:w w:val="105"/>
          <w:sz w:val="16"/>
        </w:rPr>
        <w:t>welfare?</w:t>
      </w:r>
    </w:p>
    <w:p w14:paraId="7FCAB5BE" w14:textId="77777777" w:rsidR="00D67C1E" w:rsidRPr="00283806" w:rsidRDefault="001265CA">
      <w:pPr>
        <w:pStyle w:val="ListParagraph"/>
        <w:numPr>
          <w:ilvl w:val="1"/>
          <w:numId w:val="65"/>
        </w:numPr>
        <w:tabs>
          <w:tab w:val="left" w:pos="480"/>
          <w:tab w:val="left" w:pos="514"/>
        </w:tabs>
        <w:spacing w:line="228" w:lineRule="auto"/>
        <w:ind w:right="208" w:hanging="160"/>
        <w:rPr>
          <w:sz w:val="16"/>
        </w:rPr>
      </w:pPr>
      <w:r w:rsidRPr="00283806">
        <w:rPr>
          <w:w w:val="105"/>
          <w:sz w:val="16"/>
        </w:rPr>
        <w:t>What</w:t>
      </w:r>
      <w:r w:rsidRPr="00283806">
        <w:rPr>
          <w:spacing w:val="40"/>
          <w:w w:val="105"/>
          <w:sz w:val="16"/>
        </w:rPr>
        <w:t xml:space="preserve"> </w:t>
      </w:r>
      <w:r w:rsidRPr="00283806">
        <w:rPr>
          <w:w w:val="105"/>
          <w:sz w:val="16"/>
        </w:rPr>
        <w:t>regulatory programs addressing</w:t>
      </w:r>
      <w:r w:rsidRPr="00283806">
        <w:rPr>
          <w:spacing w:val="40"/>
          <w:w w:val="105"/>
          <w:sz w:val="16"/>
        </w:rPr>
        <w:t xml:space="preserve"> </w:t>
      </w:r>
      <w:r w:rsidRPr="00283806">
        <w:rPr>
          <w:w w:val="105"/>
          <w:sz w:val="16"/>
        </w:rPr>
        <w:t xml:space="preserve">refrigerants </w:t>
      </w:r>
      <w:proofErr w:type="gramStart"/>
      <w:r w:rsidRPr="00283806">
        <w:rPr>
          <w:w w:val="105"/>
          <w:sz w:val="16"/>
        </w:rPr>
        <w:t>has</w:t>
      </w:r>
      <w:proofErr w:type="gramEnd"/>
      <w:r w:rsidRPr="00283806">
        <w:rPr>
          <w:w w:val="105"/>
          <w:sz w:val="16"/>
        </w:rPr>
        <w:t xml:space="preserve"> EPA already established</w:t>
      </w:r>
      <w:r w:rsidRPr="00283806">
        <w:rPr>
          <w:spacing w:val="40"/>
          <w:w w:val="105"/>
          <w:sz w:val="16"/>
        </w:rPr>
        <w:t xml:space="preserve"> </w:t>
      </w:r>
      <w:r w:rsidRPr="00283806">
        <w:rPr>
          <w:w w:val="105"/>
          <w:sz w:val="16"/>
        </w:rPr>
        <w:t>under the Clean Air Act?</w:t>
      </w:r>
    </w:p>
    <w:p w14:paraId="1EAB44A5" w14:textId="77777777" w:rsidR="00D67C1E" w:rsidRPr="00283806" w:rsidRDefault="001265CA">
      <w:pPr>
        <w:pStyle w:val="ListParagraph"/>
        <w:numPr>
          <w:ilvl w:val="2"/>
          <w:numId w:val="65"/>
        </w:numPr>
        <w:tabs>
          <w:tab w:val="left" w:pos="480"/>
          <w:tab w:val="left" w:pos="496"/>
        </w:tabs>
        <w:spacing w:line="228" w:lineRule="auto"/>
        <w:ind w:right="359" w:hanging="160"/>
        <w:rPr>
          <w:sz w:val="16"/>
        </w:rPr>
      </w:pPr>
      <w:r w:rsidRPr="00283806">
        <w:rPr>
          <w:w w:val="110"/>
          <w:sz w:val="16"/>
        </w:rPr>
        <w:t>National Recycling and Emission</w:t>
      </w:r>
      <w:r w:rsidRPr="00283806">
        <w:rPr>
          <w:spacing w:val="40"/>
          <w:w w:val="110"/>
          <w:sz w:val="16"/>
        </w:rPr>
        <w:t xml:space="preserve"> </w:t>
      </w:r>
      <w:r w:rsidRPr="00283806">
        <w:rPr>
          <w:sz w:val="16"/>
        </w:rPr>
        <w:t>Reduction Program (CAA section 608)</w:t>
      </w:r>
    </w:p>
    <w:p w14:paraId="2B7522EB" w14:textId="77777777" w:rsidR="00D67C1E" w:rsidRPr="00283806" w:rsidRDefault="00D67C1E">
      <w:pPr>
        <w:spacing w:line="228" w:lineRule="auto"/>
        <w:rPr>
          <w:sz w:val="16"/>
        </w:rPr>
        <w:sectPr w:rsidR="00D67C1E" w:rsidRPr="00283806">
          <w:type w:val="continuous"/>
          <w:pgSz w:w="12240" w:h="15840"/>
          <w:pgMar w:top="880" w:right="780" w:bottom="280" w:left="740" w:header="627" w:footer="0" w:gutter="0"/>
          <w:cols w:num="3" w:space="720" w:equalWidth="0">
            <w:col w:w="3508" w:space="40"/>
            <w:col w:w="3491" w:space="41"/>
            <w:col w:w="3640"/>
          </w:cols>
        </w:sectPr>
      </w:pPr>
    </w:p>
    <w:p w14:paraId="47C954F5" w14:textId="77777777" w:rsidR="00D67C1E" w:rsidRPr="00283806" w:rsidRDefault="001265CA">
      <w:pPr>
        <w:pStyle w:val="ListParagraph"/>
        <w:numPr>
          <w:ilvl w:val="2"/>
          <w:numId w:val="65"/>
        </w:numPr>
        <w:tabs>
          <w:tab w:val="left" w:pos="480"/>
          <w:tab w:val="left" w:pos="496"/>
        </w:tabs>
        <w:spacing w:before="132" w:line="228" w:lineRule="auto"/>
        <w:ind w:right="246" w:hanging="160"/>
        <w:rPr>
          <w:sz w:val="16"/>
        </w:rPr>
      </w:pPr>
      <w:r w:rsidRPr="00283806">
        <w:rPr>
          <w:w w:val="110"/>
          <w:sz w:val="16"/>
        </w:rPr>
        <w:lastRenderedPageBreak/>
        <w:t>Motor Vehicle Air Conditioning</w:t>
      </w:r>
      <w:r w:rsidRPr="00283806">
        <w:rPr>
          <w:spacing w:val="40"/>
          <w:w w:val="110"/>
          <w:sz w:val="16"/>
        </w:rPr>
        <w:t xml:space="preserve"> </w:t>
      </w:r>
      <w:r w:rsidRPr="00283806">
        <w:rPr>
          <w:spacing w:val="-2"/>
          <w:w w:val="110"/>
          <w:sz w:val="16"/>
        </w:rPr>
        <w:t>Servicing</w:t>
      </w:r>
      <w:r w:rsidRPr="00283806">
        <w:rPr>
          <w:spacing w:val="-8"/>
          <w:w w:val="110"/>
          <w:sz w:val="16"/>
        </w:rPr>
        <w:t xml:space="preserve"> </w:t>
      </w:r>
      <w:r w:rsidRPr="00283806">
        <w:rPr>
          <w:spacing w:val="-2"/>
          <w:w w:val="110"/>
          <w:sz w:val="16"/>
        </w:rPr>
        <w:t>Program</w:t>
      </w:r>
      <w:r w:rsidRPr="00283806">
        <w:rPr>
          <w:spacing w:val="-8"/>
          <w:w w:val="110"/>
          <w:sz w:val="16"/>
        </w:rPr>
        <w:t xml:space="preserve"> </w:t>
      </w:r>
      <w:r w:rsidRPr="00283806">
        <w:rPr>
          <w:spacing w:val="-2"/>
          <w:w w:val="110"/>
          <w:sz w:val="16"/>
        </w:rPr>
        <w:t>(CAA</w:t>
      </w:r>
      <w:r w:rsidRPr="00283806">
        <w:rPr>
          <w:spacing w:val="-8"/>
          <w:w w:val="110"/>
          <w:sz w:val="16"/>
        </w:rPr>
        <w:t xml:space="preserve"> </w:t>
      </w:r>
      <w:r w:rsidRPr="00283806">
        <w:rPr>
          <w:spacing w:val="-2"/>
          <w:w w:val="110"/>
          <w:sz w:val="16"/>
        </w:rPr>
        <w:t>section</w:t>
      </w:r>
      <w:r w:rsidRPr="00283806">
        <w:rPr>
          <w:spacing w:val="-7"/>
          <w:w w:val="110"/>
          <w:sz w:val="16"/>
        </w:rPr>
        <w:t xml:space="preserve"> </w:t>
      </w:r>
      <w:r w:rsidRPr="00283806">
        <w:rPr>
          <w:spacing w:val="-2"/>
          <w:w w:val="110"/>
          <w:sz w:val="16"/>
        </w:rPr>
        <w:t>609)</w:t>
      </w:r>
    </w:p>
    <w:p w14:paraId="11CD0EB4" w14:textId="77777777" w:rsidR="00D67C1E" w:rsidRPr="00283806" w:rsidRDefault="001265CA">
      <w:pPr>
        <w:pStyle w:val="ListParagraph"/>
        <w:numPr>
          <w:ilvl w:val="2"/>
          <w:numId w:val="65"/>
        </w:numPr>
        <w:tabs>
          <w:tab w:val="left" w:pos="480"/>
          <w:tab w:val="left" w:pos="496"/>
        </w:tabs>
        <w:spacing w:line="228" w:lineRule="auto"/>
        <w:ind w:right="336" w:hanging="160"/>
        <w:rPr>
          <w:sz w:val="16"/>
        </w:rPr>
      </w:pPr>
      <w:r w:rsidRPr="00283806">
        <w:rPr>
          <w:w w:val="105"/>
          <w:sz w:val="16"/>
        </w:rPr>
        <w:t>Significant</w:t>
      </w:r>
      <w:r w:rsidRPr="00283806">
        <w:rPr>
          <w:spacing w:val="40"/>
          <w:w w:val="105"/>
          <w:sz w:val="16"/>
        </w:rPr>
        <w:t xml:space="preserve"> </w:t>
      </w:r>
      <w:r w:rsidRPr="00283806">
        <w:rPr>
          <w:w w:val="105"/>
          <w:sz w:val="16"/>
        </w:rPr>
        <w:t>New Alternatives Policy</w:t>
      </w:r>
      <w:r w:rsidRPr="00283806">
        <w:rPr>
          <w:spacing w:val="40"/>
          <w:w w:val="105"/>
          <w:sz w:val="16"/>
        </w:rPr>
        <w:t xml:space="preserve"> </w:t>
      </w:r>
      <w:r w:rsidRPr="00283806">
        <w:rPr>
          <w:w w:val="105"/>
          <w:sz w:val="16"/>
        </w:rPr>
        <w:t>Program (CAA section 612)</w:t>
      </w:r>
    </w:p>
    <w:p w14:paraId="02B9BEC0" w14:textId="77777777" w:rsidR="00D67C1E" w:rsidRPr="00283806" w:rsidRDefault="001265CA">
      <w:pPr>
        <w:pStyle w:val="ListParagraph"/>
        <w:numPr>
          <w:ilvl w:val="0"/>
          <w:numId w:val="65"/>
        </w:numPr>
        <w:tabs>
          <w:tab w:val="left" w:pos="416"/>
          <w:tab w:val="left" w:pos="480"/>
        </w:tabs>
        <w:spacing w:line="228" w:lineRule="auto"/>
        <w:ind w:left="480" w:right="132" w:hanging="320"/>
        <w:rPr>
          <w:sz w:val="16"/>
        </w:rPr>
      </w:pPr>
      <w:r w:rsidRPr="00283806">
        <w:rPr>
          <w:w w:val="105"/>
          <w:sz w:val="16"/>
        </w:rPr>
        <w:t>How is EPA regulating the management</w:t>
      </w:r>
      <w:r w:rsidRPr="00283806">
        <w:rPr>
          <w:spacing w:val="40"/>
          <w:w w:val="105"/>
          <w:sz w:val="16"/>
        </w:rPr>
        <w:t xml:space="preserve"> </w:t>
      </w:r>
      <w:r w:rsidRPr="00283806">
        <w:rPr>
          <w:w w:val="105"/>
          <w:sz w:val="16"/>
        </w:rPr>
        <w:t>of HFCs and their substitutes?</w:t>
      </w:r>
    </w:p>
    <w:p w14:paraId="2AD7776F" w14:textId="77777777" w:rsidR="00D67C1E" w:rsidRPr="00283806" w:rsidRDefault="001265CA">
      <w:pPr>
        <w:pStyle w:val="ListParagraph"/>
        <w:numPr>
          <w:ilvl w:val="1"/>
          <w:numId w:val="65"/>
        </w:numPr>
        <w:tabs>
          <w:tab w:val="left" w:pos="480"/>
          <w:tab w:val="left" w:pos="532"/>
        </w:tabs>
        <w:spacing w:line="228" w:lineRule="auto"/>
        <w:ind w:right="87" w:hanging="160"/>
        <w:rPr>
          <w:sz w:val="16"/>
        </w:rPr>
      </w:pPr>
      <w:r w:rsidRPr="00283806">
        <w:rPr>
          <w:w w:val="105"/>
          <w:sz w:val="16"/>
        </w:rPr>
        <w:t xml:space="preserve">What definitions </w:t>
      </w:r>
      <w:proofErr w:type="gramStart"/>
      <w:r w:rsidRPr="00283806">
        <w:rPr>
          <w:w w:val="105"/>
          <w:sz w:val="16"/>
        </w:rPr>
        <w:t>is</w:t>
      </w:r>
      <w:proofErr w:type="gramEnd"/>
      <w:r w:rsidRPr="00283806">
        <w:rPr>
          <w:w w:val="105"/>
          <w:sz w:val="16"/>
        </w:rPr>
        <w:t xml:space="preserve"> EPA </w:t>
      </w:r>
      <w:proofErr w:type="gramStart"/>
      <w:r w:rsidRPr="00283806">
        <w:rPr>
          <w:w w:val="105"/>
          <w:sz w:val="16"/>
        </w:rPr>
        <w:t>implementing</w:t>
      </w:r>
      <w:proofErr w:type="gramEnd"/>
      <w:r w:rsidRPr="00283806">
        <w:rPr>
          <w:spacing w:val="40"/>
          <w:w w:val="105"/>
          <w:sz w:val="16"/>
        </w:rPr>
        <w:t xml:space="preserve"> </w:t>
      </w:r>
      <w:r w:rsidRPr="00283806">
        <w:rPr>
          <w:w w:val="105"/>
          <w:sz w:val="16"/>
        </w:rPr>
        <w:t>under subsection (h)?</w:t>
      </w:r>
    </w:p>
    <w:p w14:paraId="270DB332" w14:textId="77777777" w:rsidR="00D67C1E" w:rsidRPr="00283806" w:rsidRDefault="001265CA">
      <w:pPr>
        <w:pStyle w:val="ListParagraph"/>
        <w:numPr>
          <w:ilvl w:val="2"/>
          <w:numId w:val="65"/>
        </w:numPr>
        <w:tabs>
          <w:tab w:val="left" w:pos="480"/>
          <w:tab w:val="left" w:pos="496"/>
        </w:tabs>
        <w:spacing w:line="228" w:lineRule="auto"/>
        <w:ind w:right="51" w:hanging="160"/>
        <w:rPr>
          <w:sz w:val="16"/>
        </w:rPr>
      </w:pPr>
      <w:r w:rsidRPr="00283806">
        <w:rPr>
          <w:w w:val="105"/>
          <w:sz w:val="16"/>
        </w:rPr>
        <w:t>Terms</w:t>
      </w:r>
      <w:r w:rsidRPr="00283806">
        <w:rPr>
          <w:spacing w:val="24"/>
          <w:w w:val="105"/>
          <w:sz w:val="16"/>
        </w:rPr>
        <w:t xml:space="preserve"> </w:t>
      </w:r>
      <w:r w:rsidRPr="00283806">
        <w:rPr>
          <w:w w:val="105"/>
          <w:sz w:val="16"/>
        </w:rPr>
        <w:t>That Did Not Generate Comment</w:t>
      </w:r>
      <w:r w:rsidRPr="00283806">
        <w:rPr>
          <w:spacing w:val="40"/>
          <w:w w:val="105"/>
          <w:sz w:val="16"/>
        </w:rPr>
        <w:t xml:space="preserve"> </w:t>
      </w:r>
      <w:r w:rsidRPr="00283806">
        <w:rPr>
          <w:w w:val="105"/>
          <w:sz w:val="16"/>
        </w:rPr>
        <w:t>and</w:t>
      </w:r>
      <w:r w:rsidRPr="00283806">
        <w:rPr>
          <w:spacing w:val="17"/>
          <w:w w:val="105"/>
          <w:sz w:val="16"/>
        </w:rPr>
        <w:t xml:space="preserve"> </w:t>
      </w:r>
      <w:r w:rsidRPr="00283806">
        <w:rPr>
          <w:w w:val="105"/>
          <w:sz w:val="16"/>
        </w:rPr>
        <w:t>That</w:t>
      </w:r>
      <w:r w:rsidRPr="00283806">
        <w:rPr>
          <w:spacing w:val="17"/>
          <w:w w:val="105"/>
          <w:sz w:val="16"/>
        </w:rPr>
        <w:t xml:space="preserve"> </w:t>
      </w:r>
      <w:r w:rsidRPr="00283806">
        <w:rPr>
          <w:w w:val="105"/>
          <w:sz w:val="16"/>
        </w:rPr>
        <w:t>EPA</w:t>
      </w:r>
      <w:r w:rsidRPr="00283806">
        <w:rPr>
          <w:spacing w:val="18"/>
          <w:w w:val="105"/>
          <w:sz w:val="16"/>
        </w:rPr>
        <w:t xml:space="preserve"> </w:t>
      </w:r>
      <w:r w:rsidRPr="00283806">
        <w:rPr>
          <w:w w:val="105"/>
          <w:sz w:val="16"/>
        </w:rPr>
        <w:t>Is</w:t>
      </w:r>
      <w:r w:rsidRPr="00283806">
        <w:rPr>
          <w:spacing w:val="17"/>
          <w:w w:val="105"/>
          <w:sz w:val="16"/>
        </w:rPr>
        <w:t xml:space="preserve"> </w:t>
      </w:r>
      <w:r w:rsidRPr="00283806">
        <w:rPr>
          <w:w w:val="105"/>
          <w:sz w:val="16"/>
        </w:rPr>
        <w:t>Finalizing</w:t>
      </w:r>
      <w:r w:rsidRPr="00283806">
        <w:rPr>
          <w:spacing w:val="18"/>
          <w:w w:val="105"/>
          <w:sz w:val="16"/>
        </w:rPr>
        <w:t xml:space="preserve"> </w:t>
      </w:r>
      <w:r w:rsidRPr="00283806">
        <w:rPr>
          <w:w w:val="105"/>
          <w:sz w:val="16"/>
        </w:rPr>
        <w:t>as</w:t>
      </w:r>
      <w:r w:rsidRPr="00283806">
        <w:rPr>
          <w:spacing w:val="17"/>
          <w:w w:val="105"/>
          <w:sz w:val="16"/>
        </w:rPr>
        <w:t xml:space="preserve"> </w:t>
      </w:r>
      <w:r w:rsidRPr="00283806">
        <w:rPr>
          <w:spacing w:val="-2"/>
          <w:w w:val="105"/>
          <w:sz w:val="16"/>
        </w:rPr>
        <w:t>Proposed</w:t>
      </w:r>
    </w:p>
    <w:p w14:paraId="53A055C9" w14:textId="77777777" w:rsidR="00D67C1E" w:rsidRPr="00283806" w:rsidRDefault="001265CA">
      <w:pPr>
        <w:pStyle w:val="ListParagraph"/>
        <w:numPr>
          <w:ilvl w:val="2"/>
          <w:numId w:val="65"/>
        </w:numPr>
        <w:tabs>
          <w:tab w:val="left" w:pos="480"/>
          <w:tab w:val="left" w:pos="496"/>
        </w:tabs>
        <w:spacing w:line="228" w:lineRule="auto"/>
        <w:ind w:right="78" w:hanging="160"/>
        <w:rPr>
          <w:sz w:val="16"/>
        </w:rPr>
      </w:pPr>
      <w:r w:rsidRPr="00283806">
        <w:rPr>
          <w:w w:val="105"/>
          <w:sz w:val="16"/>
        </w:rPr>
        <w:t>Terms</w:t>
      </w:r>
      <w:r w:rsidRPr="00283806">
        <w:rPr>
          <w:spacing w:val="23"/>
          <w:w w:val="105"/>
          <w:sz w:val="16"/>
        </w:rPr>
        <w:t xml:space="preserve"> </w:t>
      </w:r>
      <w:r w:rsidRPr="00283806">
        <w:rPr>
          <w:w w:val="105"/>
          <w:sz w:val="16"/>
        </w:rPr>
        <w:t>That Received Comment or That</w:t>
      </w:r>
      <w:r w:rsidRPr="00283806">
        <w:rPr>
          <w:spacing w:val="40"/>
          <w:w w:val="105"/>
          <w:sz w:val="16"/>
        </w:rPr>
        <w:t xml:space="preserve"> </w:t>
      </w:r>
      <w:r w:rsidRPr="00283806">
        <w:rPr>
          <w:w w:val="105"/>
          <w:sz w:val="16"/>
        </w:rPr>
        <w:t>EPA is Modifying</w:t>
      </w:r>
    </w:p>
    <w:p w14:paraId="4907EAF1" w14:textId="77777777" w:rsidR="00D67C1E" w:rsidRPr="00283806" w:rsidRDefault="001265CA">
      <w:pPr>
        <w:pStyle w:val="ListParagraph"/>
        <w:numPr>
          <w:ilvl w:val="2"/>
          <w:numId w:val="65"/>
        </w:numPr>
        <w:tabs>
          <w:tab w:val="left" w:pos="480"/>
          <w:tab w:val="left" w:pos="496"/>
        </w:tabs>
        <w:spacing w:line="228" w:lineRule="auto"/>
        <w:ind w:right="318" w:hanging="160"/>
        <w:rPr>
          <w:sz w:val="16"/>
        </w:rPr>
      </w:pPr>
      <w:r w:rsidRPr="00283806">
        <w:rPr>
          <w:w w:val="110"/>
          <w:sz w:val="16"/>
        </w:rPr>
        <w:t>What</w:t>
      </w:r>
      <w:r w:rsidRPr="00283806">
        <w:rPr>
          <w:spacing w:val="-1"/>
          <w:w w:val="110"/>
          <w:sz w:val="16"/>
        </w:rPr>
        <w:t xml:space="preserve"> </w:t>
      </w:r>
      <w:r w:rsidRPr="00283806">
        <w:rPr>
          <w:w w:val="110"/>
          <w:sz w:val="16"/>
        </w:rPr>
        <w:t>additional</w:t>
      </w:r>
      <w:r w:rsidRPr="00283806">
        <w:rPr>
          <w:spacing w:val="-10"/>
          <w:w w:val="110"/>
          <w:sz w:val="16"/>
        </w:rPr>
        <w:t xml:space="preserve"> </w:t>
      </w:r>
      <w:r w:rsidRPr="00283806">
        <w:rPr>
          <w:w w:val="110"/>
          <w:sz w:val="16"/>
        </w:rPr>
        <w:t>comments</w:t>
      </w:r>
      <w:r w:rsidRPr="00283806">
        <w:rPr>
          <w:spacing w:val="-10"/>
          <w:w w:val="110"/>
          <w:sz w:val="16"/>
        </w:rPr>
        <w:t xml:space="preserve"> </w:t>
      </w:r>
      <w:r w:rsidRPr="00283806">
        <w:rPr>
          <w:w w:val="110"/>
          <w:sz w:val="16"/>
        </w:rPr>
        <w:t>did</w:t>
      </w:r>
      <w:r w:rsidRPr="00283806">
        <w:rPr>
          <w:spacing w:val="-9"/>
          <w:w w:val="110"/>
          <w:sz w:val="16"/>
        </w:rPr>
        <w:t xml:space="preserve"> </w:t>
      </w:r>
      <w:r w:rsidRPr="00283806">
        <w:rPr>
          <w:w w:val="110"/>
          <w:sz w:val="16"/>
        </w:rPr>
        <w:t>EPA</w:t>
      </w:r>
      <w:r w:rsidRPr="00283806">
        <w:rPr>
          <w:spacing w:val="40"/>
          <w:w w:val="110"/>
          <w:sz w:val="16"/>
        </w:rPr>
        <w:t xml:space="preserve"> </w:t>
      </w:r>
      <w:r w:rsidRPr="00283806">
        <w:rPr>
          <w:w w:val="110"/>
          <w:sz w:val="16"/>
        </w:rPr>
        <w:t>receive on definitions?</w:t>
      </w:r>
    </w:p>
    <w:p w14:paraId="4FCD011B" w14:textId="77777777" w:rsidR="00D67C1E" w:rsidRPr="00283806" w:rsidRDefault="001265CA">
      <w:pPr>
        <w:pStyle w:val="ListParagraph"/>
        <w:numPr>
          <w:ilvl w:val="1"/>
          <w:numId w:val="65"/>
        </w:numPr>
        <w:tabs>
          <w:tab w:val="left" w:pos="480"/>
          <w:tab w:val="left" w:pos="514"/>
        </w:tabs>
        <w:spacing w:line="228" w:lineRule="auto"/>
        <w:ind w:right="567" w:hanging="160"/>
        <w:rPr>
          <w:sz w:val="16"/>
        </w:rPr>
      </w:pPr>
      <w:r w:rsidRPr="00283806">
        <w:rPr>
          <w:w w:val="105"/>
          <w:sz w:val="16"/>
        </w:rPr>
        <w:t>What types of equipment is EPA</w:t>
      </w:r>
      <w:r w:rsidRPr="00283806">
        <w:rPr>
          <w:spacing w:val="40"/>
          <w:w w:val="105"/>
          <w:sz w:val="16"/>
        </w:rPr>
        <w:t xml:space="preserve"> </w:t>
      </w:r>
      <w:proofErr w:type="gramStart"/>
      <w:r w:rsidRPr="00283806">
        <w:rPr>
          <w:w w:val="105"/>
          <w:sz w:val="16"/>
        </w:rPr>
        <w:t>addressing</w:t>
      </w:r>
      <w:proofErr w:type="gramEnd"/>
      <w:r w:rsidRPr="00283806">
        <w:rPr>
          <w:spacing w:val="-5"/>
          <w:w w:val="105"/>
          <w:sz w:val="16"/>
        </w:rPr>
        <w:t xml:space="preserve"> </w:t>
      </w:r>
      <w:r w:rsidRPr="00283806">
        <w:rPr>
          <w:w w:val="105"/>
          <w:sz w:val="16"/>
        </w:rPr>
        <w:t>under</w:t>
      </w:r>
      <w:r w:rsidRPr="00283806">
        <w:rPr>
          <w:spacing w:val="-5"/>
          <w:w w:val="105"/>
          <w:sz w:val="16"/>
        </w:rPr>
        <w:t xml:space="preserve"> </w:t>
      </w:r>
      <w:r w:rsidRPr="00283806">
        <w:rPr>
          <w:w w:val="105"/>
          <w:sz w:val="16"/>
        </w:rPr>
        <w:t>subsection</w:t>
      </w:r>
      <w:r w:rsidRPr="00283806">
        <w:rPr>
          <w:spacing w:val="-5"/>
          <w:w w:val="105"/>
          <w:sz w:val="16"/>
        </w:rPr>
        <w:t xml:space="preserve"> </w:t>
      </w:r>
      <w:r w:rsidRPr="00283806">
        <w:rPr>
          <w:w w:val="105"/>
          <w:sz w:val="16"/>
        </w:rPr>
        <w:t>(h)?</w:t>
      </w:r>
    </w:p>
    <w:p w14:paraId="06B055AF" w14:textId="77777777" w:rsidR="00D67C1E" w:rsidRPr="00283806" w:rsidRDefault="001265CA">
      <w:pPr>
        <w:pStyle w:val="ListParagraph"/>
        <w:numPr>
          <w:ilvl w:val="1"/>
          <w:numId w:val="65"/>
        </w:numPr>
        <w:tabs>
          <w:tab w:val="left" w:pos="514"/>
        </w:tabs>
        <w:spacing w:line="175" w:lineRule="exact"/>
        <w:ind w:left="514" w:hanging="194"/>
        <w:rPr>
          <w:sz w:val="16"/>
        </w:rPr>
      </w:pPr>
      <w:r w:rsidRPr="00283806">
        <w:rPr>
          <w:w w:val="105"/>
          <w:sz w:val="16"/>
        </w:rPr>
        <w:t>How</w:t>
      </w:r>
      <w:r w:rsidRPr="00283806">
        <w:rPr>
          <w:spacing w:val="14"/>
          <w:w w:val="105"/>
          <w:sz w:val="16"/>
        </w:rPr>
        <w:t xml:space="preserve"> </w:t>
      </w:r>
      <w:r w:rsidRPr="00283806">
        <w:rPr>
          <w:w w:val="105"/>
          <w:sz w:val="16"/>
        </w:rPr>
        <w:t>is</w:t>
      </w:r>
      <w:r w:rsidRPr="00283806">
        <w:rPr>
          <w:spacing w:val="14"/>
          <w:w w:val="105"/>
          <w:sz w:val="16"/>
        </w:rPr>
        <w:t xml:space="preserve"> </w:t>
      </w:r>
      <w:r w:rsidRPr="00283806">
        <w:rPr>
          <w:w w:val="105"/>
          <w:sz w:val="16"/>
        </w:rPr>
        <w:t>EPA</w:t>
      </w:r>
      <w:r w:rsidRPr="00283806">
        <w:rPr>
          <w:spacing w:val="14"/>
          <w:w w:val="105"/>
          <w:sz w:val="16"/>
        </w:rPr>
        <w:t xml:space="preserve"> </w:t>
      </w:r>
      <w:r w:rsidRPr="00283806">
        <w:rPr>
          <w:w w:val="105"/>
          <w:sz w:val="16"/>
        </w:rPr>
        <w:t>addressing</w:t>
      </w:r>
      <w:r w:rsidRPr="00283806">
        <w:rPr>
          <w:spacing w:val="14"/>
          <w:w w:val="105"/>
          <w:sz w:val="16"/>
        </w:rPr>
        <w:t xml:space="preserve"> </w:t>
      </w:r>
      <w:r w:rsidRPr="00283806">
        <w:rPr>
          <w:w w:val="105"/>
          <w:sz w:val="16"/>
        </w:rPr>
        <w:t>leak</w:t>
      </w:r>
      <w:r w:rsidRPr="00283806">
        <w:rPr>
          <w:spacing w:val="14"/>
          <w:w w:val="105"/>
          <w:sz w:val="16"/>
        </w:rPr>
        <w:t xml:space="preserve"> </w:t>
      </w:r>
      <w:r w:rsidRPr="00283806">
        <w:rPr>
          <w:spacing w:val="-2"/>
          <w:w w:val="105"/>
          <w:sz w:val="16"/>
        </w:rPr>
        <w:t>repair?</w:t>
      </w:r>
    </w:p>
    <w:p w14:paraId="35D3CB21" w14:textId="77777777" w:rsidR="00D67C1E" w:rsidRPr="00283806" w:rsidRDefault="001265CA">
      <w:pPr>
        <w:pStyle w:val="ListParagraph"/>
        <w:numPr>
          <w:ilvl w:val="2"/>
          <w:numId w:val="65"/>
        </w:numPr>
        <w:tabs>
          <w:tab w:val="left" w:pos="480"/>
          <w:tab w:val="left" w:pos="496"/>
        </w:tabs>
        <w:spacing w:line="228" w:lineRule="auto"/>
        <w:ind w:right="336" w:hanging="160"/>
        <w:rPr>
          <w:sz w:val="16"/>
        </w:rPr>
      </w:pPr>
      <w:r w:rsidRPr="00283806">
        <w:rPr>
          <w:w w:val="105"/>
          <w:sz w:val="16"/>
        </w:rPr>
        <w:t>What</w:t>
      </w:r>
      <w:r w:rsidRPr="00283806">
        <w:rPr>
          <w:spacing w:val="6"/>
          <w:w w:val="105"/>
          <w:sz w:val="16"/>
        </w:rPr>
        <w:t xml:space="preserve"> </w:t>
      </w:r>
      <w:proofErr w:type="gramStart"/>
      <w:r w:rsidRPr="00283806">
        <w:rPr>
          <w:w w:val="105"/>
          <w:sz w:val="16"/>
        </w:rPr>
        <w:t>refrigerants</w:t>
      </w:r>
      <w:proofErr w:type="gramEnd"/>
      <w:r w:rsidRPr="00283806">
        <w:rPr>
          <w:spacing w:val="-5"/>
          <w:w w:val="105"/>
          <w:sz w:val="16"/>
        </w:rPr>
        <w:t xml:space="preserve"> </w:t>
      </w:r>
      <w:r w:rsidRPr="00283806">
        <w:rPr>
          <w:w w:val="105"/>
          <w:sz w:val="16"/>
        </w:rPr>
        <w:t>are</w:t>
      </w:r>
      <w:r w:rsidRPr="00283806">
        <w:rPr>
          <w:spacing w:val="-5"/>
          <w:w w:val="105"/>
          <w:sz w:val="16"/>
        </w:rPr>
        <w:t xml:space="preserve"> </w:t>
      </w:r>
      <w:r w:rsidRPr="00283806">
        <w:rPr>
          <w:w w:val="105"/>
          <w:sz w:val="16"/>
        </w:rPr>
        <w:t>subject</w:t>
      </w:r>
      <w:r w:rsidRPr="00283806">
        <w:rPr>
          <w:spacing w:val="-5"/>
          <w:w w:val="105"/>
          <w:sz w:val="16"/>
        </w:rPr>
        <w:t xml:space="preserve"> </w:t>
      </w:r>
      <w:r w:rsidRPr="00283806">
        <w:rPr>
          <w:w w:val="105"/>
          <w:sz w:val="16"/>
        </w:rPr>
        <w:t>to</w:t>
      </w:r>
      <w:r w:rsidRPr="00283806">
        <w:rPr>
          <w:spacing w:val="-5"/>
          <w:w w:val="105"/>
          <w:sz w:val="16"/>
        </w:rPr>
        <w:t xml:space="preserve"> </w:t>
      </w:r>
      <w:r w:rsidRPr="00283806">
        <w:rPr>
          <w:w w:val="105"/>
          <w:sz w:val="16"/>
        </w:rPr>
        <w:t>leak</w:t>
      </w:r>
      <w:r w:rsidRPr="00283806">
        <w:rPr>
          <w:spacing w:val="40"/>
          <w:w w:val="105"/>
          <w:sz w:val="16"/>
        </w:rPr>
        <w:t xml:space="preserve"> </w:t>
      </w:r>
      <w:r w:rsidRPr="00283806">
        <w:rPr>
          <w:w w:val="105"/>
          <w:sz w:val="16"/>
        </w:rPr>
        <w:t>repair requirements?</w:t>
      </w:r>
    </w:p>
    <w:p w14:paraId="19247F71" w14:textId="77777777" w:rsidR="00D67C1E" w:rsidRPr="00283806" w:rsidRDefault="001265CA">
      <w:pPr>
        <w:pStyle w:val="ListParagraph"/>
        <w:numPr>
          <w:ilvl w:val="2"/>
          <w:numId w:val="65"/>
        </w:numPr>
        <w:tabs>
          <w:tab w:val="left" w:pos="480"/>
          <w:tab w:val="left" w:pos="496"/>
        </w:tabs>
        <w:spacing w:line="228" w:lineRule="auto"/>
        <w:ind w:right="221" w:hanging="160"/>
        <w:rPr>
          <w:sz w:val="16"/>
        </w:rPr>
      </w:pPr>
      <w:r w:rsidRPr="00283806">
        <w:rPr>
          <w:w w:val="105"/>
          <w:sz w:val="16"/>
        </w:rPr>
        <w:t>Appliances</w:t>
      </w:r>
      <w:r w:rsidRPr="00283806">
        <w:rPr>
          <w:spacing w:val="27"/>
          <w:w w:val="105"/>
          <w:sz w:val="16"/>
        </w:rPr>
        <w:t xml:space="preserve"> </w:t>
      </w:r>
      <w:r w:rsidRPr="00283806">
        <w:rPr>
          <w:w w:val="105"/>
          <w:sz w:val="16"/>
        </w:rPr>
        <w:t>with what charge size are</w:t>
      </w:r>
      <w:r w:rsidRPr="00283806">
        <w:rPr>
          <w:spacing w:val="40"/>
          <w:w w:val="105"/>
          <w:sz w:val="16"/>
        </w:rPr>
        <w:t xml:space="preserve"> </w:t>
      </w:r>
      <w:r w:rsidRPr="00283806">
        <w:rPr>
          <w:w w:val="105"/>
          <w:sz w:val="16"/>
        </w:rPr>
        <w:t>subject to leak repair requirements?</w:t>
      </w:r>
    </w:p>
    <w:p w14:paraId="2839CC59" w14:textId="77777777" w:rsidR="00D67C1E" w:rsidRPr="00283806" w:rsidRDefault="001265CA">
      <w:pPr>
        <w:pStyle w:val="ListParagraph"/>
        <w:numPr>
          <w:ilvl w:val="2"/>
          <w:numId w:val="65"/>
        </w:numPr>
        <w:tabs>
          <w:tab w:val="left" w:pos="480"/>
          <w:tab w:val="left" w:pos="496"/>
        </w:tabs>
        <w:spacing w:line="230" w:lineRule="auto"/>
        <w:ind w:right="398" w:hanging="160"/>
        <w:rPr>
          <w:sz w:val="16"/>
        </w:rPr>
      </w:pPr>
      <w:r w:rsidRPr="00283806">
        <w:rPr>
          <w:w w:val="105"/>
          <w:sz w:val="16"/>
        </w:rPr>
        <w:t>What</w:t>
      </w:r>
      <w:r w:rsidRPr="00283806">
        <w:rPr>
          <w:spacing w:val="25"/>
          <w:w w:val="105"/>
          <w:sz w:val="16"/>
        </w:rPr>
        <w:t xml:space="preserve"> </w:t>
      </w:r>
      <w:r w:rsidRPr="00283806">
        <w:rPr>
          <w:w w:val="105"/>
          <w:sz w:val="16"/>
        </w:rPr>
        <w:t xml:space="preserve">leak repair provisions </w:t>
      </w:r>
      <w:proofErr w:type="gramStart"/>
      <w:r w:rsidRPr="00283806">
        <w:rPr>
          <w:w w:val="105"/>
          <w:sz w:val="16"/>
        </w:rPr>
        <w:t>is</w:t>
      </w:r>
      <w:proofErr w:type="gramEnd"/>
      <w:r w:rsidRPr="00283806">
        <w:rPr>
          <w:w w:val="105"/>
          <w:sz w:val="16"/>
        </w:rPr>
        <w:t xml:space="preserve"> EPA</w:t>
      </w:r>
      <w:r w:rsidRPr="00283806">
        <w:rPr>
          <w:spacing w:val="40"/>
          <w:w w:val="105"/>
          <w:sz w:val="16"/>
        </w:rPr>
        <w:t xml:space="preserve"> </w:t>
      </w:r>
      <w:r w:rsidRPr="00283806">
        <w:rPr>
          <w:spacing w:val="-2"/>
          <w:w w:val="105"/>
          <w:sz w:val="16"/>
        </w:rPr>
        <w:t>establishing?</w:t>
      </w:r>
    </w:p>
    <w:p w14:paraId="4C6131F2" w14:textId="77777777" w:rsidR="00D67C1E" w:rsidRPr="00283806" w:rsidRDefault="001265CA">
      <w:pPr>
        <w:pStyle w:val="ListParagraph"/>
        <w:numPr>
          <w:ilvl w:val="3"/>
          <w:numId w:val="65"/>
        </w:numPr>
        <w:tabs>
          <w:tab w:val="left" w:pos="487"/>
        </w:tabs>
        <w:spacing w:line="178" w:lineRule="exact"/>
        <w:ind w:left="487" w:hanging="167"/>
        <w:rPr>
          <w:sz w:val="16"/>
        </w:rPr>
      </w:pPr>
      <w:r w:rsidRPr="00283806">
        <w:rPr>
          <w:w w:val="105"/>
          <w:sz w:val="16"/>
        </w:rPr>
        <w:t>Leak</w:t>
      </w:r>
      <w:r w:rsidRPr="00283806">
        <w:rPr>
          <w:spacing w:val="4"/>
          <w:w w:val="105"/>
          <w:sz w:val="16"/>
        </w:rPr>
        <w:t xml:space="preserve"> </w:t>
      </w:r>
      <w:r w:rsidRPr="00283806">
        <w:rPr>
          <w:w w:val="105"/>
          <w:sz w:val="16"/>
        </w:rPr>
        <w:t>Rate</w:t>
      </w:r>
      <w:r w:rsidRPr="00283806">
        <w:rPr>
          <w:spacing w:val="5"/>
          <w:w w:val="105"/>
          <w:sz w:val="16"/>
        </w:rPr>
        <w:t xml:space="preserve"> </w:t>
      </w:r>
      <w:r w:rsidRPr="00283806">
        <w:rPr>
          <w:spacing w:val="-2"/>
          <w:w w:val="105"/>
          <w:sz w:val="16"/>
        </w:rPr>
        <w:t>Calculations</w:t>
      </w:r>
    </w:p>
    <w:p w14:paraId="47C5F2EC" w14:textId="77777777" w:rsidR="00D67C1E" w:rsidRPr="00283806" w:rsidRDefault="001265CA">
      <w:pPr>
        <w:pStyle w:val="ListParagraph"/>
        <w:numPr>
          <w:ilvl w:val="3"/>
          <w:numId w:val="65"/>
        </w:numPr>
        <w:tabs>
          <w:tab w:val="left" w:pos="480"/>
          <w:tab w:val="left" w:pos="496"/>
        </w:tabs>
        <w:spacing w:before="1" w:line="230" w:lineRule="auto"/>
        <w:ind w:left="480" w:right="175" w:hanging="160"/>
        <w:rPr>
          <w:sz w:val="16"/>
        </w:rPr>
      </w:pPr>
      <w:r w:rsidRPr="00283806">
        <w:rPr>
          <w:w w:val="105"/>
          <w:sz w:val="16"/>
        </w:rPr>
        <w:t>Requirement</w:t>
      </w:r>
      <w:r w:rsidRPr="00283806">
        <w:rPr>
          <w:spacing w:val="26"/>
          <w:w w:val="105"/>
          <w:sz w:val="16"/>
        </w:rPr>
        <w:t xml:space="preserve"> </w:t>
      </w:r>
      <w:r w:rsidRPr="00283806">
        <w:rPr>
          <w:w w:val="105"/>
          <w:sz w:val="16"/>
        </w:rPr>
        <w:t>To Repair Leaks, Timing</w:t>
      </w:r>
      <w:r w:rsidRPr="00283806">
        <w:rPr>
          <w:spacing w:val="40"/>
          <w:w w:val="105"/>
          <w:sz w:val="16"/>
        </w:rPr>
        <w:t xml:space="preserve"> </w:t>
      </w:r>
      <w:r w:rsidRPr="00283806">
        <w:rPr>
          <w:w w:val="105"/>
          <w:sz w:val="16"/>
        </w:rPr>
        <w:t>and Applicable Leak Rates</w:t>
      </w:r>
    </w:p>
    <w:p w14:paraId="100511B1" w14:textId="77777777" w:rsidR="00D67C1E" w:rsidRPr="00283806" w:rsidRDefault="001265CA">
      <w:pPr>
        <w:pStyle w:val="ListParagraph"/>
        <w:numPr>
          <w:ilvl w:val="3"/>
          <w:numId w:val="65"/>
        </w:numPr>
        <w:tabs>
          <w:tab w:val="left" w:pos="487"/>
        </w:tabs>
        <w:spacing w:line="178" w:lineRule="exact"/>
        <w:ind w:left="487" w:hanging="167"/>
        <w:rPr>
          <w:sz w:val="16"/>
        </w:rPr>
      </w:pPr>
      <w:r w:rsidRPr="00283806">
        <w:rPr>
          <w:w w:val="105"/>
          <w:sz w:val="16"/>
        </w:rPr>
        <w:t>Verification</w:t>
      </w:r>
      <w:r w:rsidRPr="00283806">
        <w:rPr>
          <w:spacing w:val="30"/>
          <w:w w:val="105"/>
          <w:sz w:val="16"/>
        </w:rPr>
        <w:t xml:space="preserve"> </w:t>
      </w:r>
      <w:r w:rsidRPr="00283806">
        <w:rPr>
          <w:spacing w:val="-2"/>
          <w:w w:val="105"/>
          <w:sz w:val="16"/>
        </w:rPr>
        <w:t>Testing</w:t>
      </w:r>
    </w:p>
    <w:p w14:paraId="2D84717E" w14:textId="77777777" w:rsidR="00D67C1E" w:rsidRPr="00283806" w:rsidRDefault="001265CA">
      <w:pPr>
        <w:pStyle w:val="ListParagraph"/>
        <w:numPr>
          <w:ilvl w:val="3"/>
          <w:numId w:val="65"/>
        </w:numPr>
        <w:tabs>
          <w:tab w:val="left" w:pos="505"/>
        </w:tabs>
        <w:spacing w:line="180" w:lineRule="exact"/>
        <w:ind w:left="505" w:hanging="185"/>
        <w:rPr>
          <w:sz w:val="16"/>
        </w:rPr>
      </w:pPr>
      <w:r w:rsidRPr="00283806">
        <w:rPr>
          <w:w w:val="105"/>
          <w:sz w:val="16"/>
        </w:rPr>
        <w:t>Leak</w:t>
      </w:r>
      <w:r w:rsidRPr="00283806">
        <w:rPr>
          <w:spacing w:val="9"/>
          <w:w w:val="105"/>
          <w:sz w:val="16"/>
        </w:rPr>
        <w:t xml:space="preserve"> </w:t>
      </w:r>
      <w:r w:rsidRPr="00283806">
        <w:rPr>
          <w:spacing w:val="-2"/>
          <w:w w:val="105"/>
          <w:sz w:val="16"/>
        </w:rPr>
        <w:t>Inspections</w:t>
      </w:r>
    </w:p>
    <w:p w14:paraId="4D02BF79" w14:textId="77777777" w:rsidR="00D67C1E" w:rsidRPr="00283806" w:rsidRDefault="001265CA">
      <w:pPr>
        <w:pStyle w:val="ListParagraph"/>
        <w:numPr>
          <w:ilvl w:val="3"/>
          <w:numId w:val="65"/>
        </w:numPr>
        <w:tabs>
          <w:tab w:val="left" w:pos="487"/>
        </w:tabs>
        <w:spacing w:line="180" w:lineRule="exact"/>
        <w:ind w:left="487" w:hanging="167"/>
        <w:rPr>
          <w:sz w:val="16"/>
        </w:rPr>
      </w:pPr>
      <w:r w:rsidRPr="00283806">
        <w:rPr>
          <w:w w:val="110"/>
          <w:sz w:val="16"/>
        </w:rPr>
        <w:t>Chronically</w:t>
      </w:r>
      <w:r w:rsidRPr="00283806">
        <w:rPr>
          <w:spacing w:val="-4"/>
          <w:w w:val="110"/>
          <w:sz w:val="16"/>
        </w:rPr>
        <w:t xml:space="preserve"> </w:t>
      </w:r>
      <w:r w:rsidRPr="00283806">
        <w:rPr>
          <w:w w:val="110"/>
          <w:sz w:val="16"/>
        </w:rPr>
        <w:t>Leaking</w:t>
      </w:r>
      <w:r w:rsidRPr="00283806">
        <w:rPr>
          <w:spacing w:val="-4"/>
          <w:w w:val="110"/>
          <w:sz w:val="16"/>
        </w:rPr>
        <w:t xml:space="preserve"> </w:t>
      </w:r>
      <w:r w:rsidRPr="00283806">
        <w:rPr>
          <w:spacing w:val="-2"/>
          <w:w w:val="110"/>
          <w:sz w:val="16"/>
        </w:rPr>
        <w:t>Appliances</w:t>
      </w:r>
    </w:p>
    <w:p w14:paraId="7D78507B" w14:textId="77777777" w:rsidR="00D67C1E" w:rsidRPr="00283806" w:rsidRDefault="001265CA">
      <w:pPr>
        <w:pStyle w:val="ListParagraph"/>
        <w:numPr>
          <w:ilvl w:val="3"/>
          <w:numId w:val="65"/>
        </w:numPr>
        <w:tabs>
          <w:tab w:val="left" w:pos="461"/>
        </w:tabs>
        <w:spacing w:line="180" w:lineRule="exact"/>
        <w:ind w:left="461" w:hanging="141"/>
        <w:rPr>
          <w:sz w:val="16"/>
        </w:rPr>
      </w:pPr>
      <w:r w:rsidRPr="00283806">
        <w:rPr>
          <w:w w:val="105"/>
          <w:sz w:val="16"/>
        </w:rPr>
        <w:t>Retrofit</w:t>
      </w:r>
      <w:r w:rsidRPr="00283806">
        <w:rPr>
          <w:spacing w:val="3"/>
          <w:w w:val="105"/>
          <w:sz w:val="16"/>
        </w:rPr>
        <w:t xml:space="preserve"> </w:t>
      </w:r>
      <w:r w:rsidRPr="00283806">
        <w:rPr>
          <w:w w:val="105"/>
          <w:sz w:val="16"/>
        </w:rPr>
        <w:t>and</w:t>
      </w:r>
      <w:r w:rsidRPr="00283806">
        <w:rPr>
          <w:spacing w:val="4"/>
          <w:w w:val="105"/>
          <w:sz w:val="16"/>
        </w:rPr>
        <w:t xml:space="preserve"> </w:t>
      </w:r>
      <w:r w:rsidRPr="00283806">
        <w:rPr>
          <w:w w:val="105"/>
          <w:sz w:val="16"/>
        </w:rPr>
        <w:t>Retirement</w:t>
      </w:r>
      <w:r w:rsidRPr="00283806">
        <w:rPr>
          <w:spacing w:val="3"/>
          <w:w w:val="105"/>
          <w:sz w:val="16"/>
        </w:rPr>
        <w:t xml:space="preserve"> </w:t>
      </w:r>
      <w:r w:rsidRPr="00283806">
        <w:rPr>
          <w:spacing w:val="-2"/>
          <w:w w:val="105"/>
          <w:sz w:val="16"/>
        </w:rPr>
        <w:t>Plans</w:t>
      </w:r>
    </w:p>
    <w:p w14:paraId="0BB4827C" w14:textId="77777777" w:rsidR="00D67C1E" w:rsidRPr="00283806" w:rsidRDefault="001265CA">
      <w:pPr>
        <w:pStyle w:val="ListParagraph"/>
        <w:numPr>
          <w:ilvl w:val="3"/>
          <w:numId w:val="65"/>
        </w:numPr>
        <w:tabs>
          <w:tab w:val="left" w:pos="487"/>
        </w:tabs>
        <w:spacing w:line="180" w:lineRule="exact"/>
        <w:ind w:left="487" w:hanging="167"/>
        <w:rPr>
          <w:sz w:val="16"/>
        </w:rPr>
      </w:pPr>
      <w:r w:rsidRPr="00283806">
        <w:rPr>
          <w:w w:val="105"/>
          <w:sz w:val="16"/>
        </w:rPr>
        <w:t>Recordkeeping</w:t>
      </w:r>
      <w:r w:rsidRPr="00283806">
        <w:rPr>
          <w:spacing w:val="13"/>
          <w:w w:val="105"/>
          <w:sz w:val="16"/>
        </w:rPr>
        <w:t xml:space="preserve"> </w:t>
      </w:r>
      <w:r w:rsidRPr="00283806">
        <w:rPr>
          <w:w w:val="105"/>
          <w:sz w:val="16"/>
        </w:rPr>
        <w:t>and</w:t>
      </w:r>
      <w:r w:rsidRPr="00283806">
        <w:rPr>
          <w:spacing w:val="14"/>
          <w:w w:val="105"/>
          <w:sz w:val="16"/>
        </w:rPr>
        <w:t xml:space="preserve"> </w:t>
      </w:r>
      <w:r w:rsidRPr="00283806">
        <w:rPr>
          <w:spacing w:val="-2"/>
          <w:w w:val="105"/>
          <w:sz w:val="16"/>
        </w:rPr>
        <w:t>Reporting</w:t>
      </w:r>
    </w:p>
    <w:p w14:paraId="26FE9601" w14:textId="77777777" w:rsidR="00D67C1E" w:rsidRPr="00283806" w:rsidRDefault="001265CA">
      <w:pPr>
        <w:pStyle w:val="ListParagraph"/>
        <w:numPr>
          <w:ilvl w:val="1"/>
          <w:numId w:val="65"/>
        </w:numPr>
        <w:tabs>
          <w:tab w:val="left" w:pos="480"/>
          <w:tab w:val="left" w:pos="523"/>
        </w:tabs>
        <w:spacing w:before="2" w:line="230" w:lineRule="auto"/>
        <w:ind w:right="123" w:hanging="160"/>
        <w:rPr>
          <w:sz w:val="16"/>
        </w:rPr>
      </w:pPr>
      <w:r w:rsidRPr="00283806">
        <w:rPr>
          <w:w w:val="105"/>
          <w:sz w:val="16"/>
        </w:rPr>
        <w:t>How is EPA establishing requirements</w:t>
      </w:r>
      <w:r w:rsidRPr="00283806">
        <w:rPr>
          <w:spacing w:val="40"/>
          <w:w w:val="105"/>
          <w:sz w:val="16"/>
        </w:rPr>
        <w:t xml:space="preserve"> </w:t>
      </w:r>
      <w:r w:rsidRPr="00283806">
        <w:rPr>
          <w:w w:val="105"/>
          <w:sz w:val="16"/>
        </w:rPr>
        <w:t>for the installation of automatic leak</w:t>
      </w:r>
      <w:r w:rsidRPr="00283806">
        <w:rPr>
          <w:spacing w:val="40"/>
          <w:w w:val="105"/>
          <w:sz w:val="16"/>
        </w:rPr>
        <w:t xml:space="preserve"> </w:t>
      </w:r>
      <w:r w:rsidRPr="00283806">
        <w:rPr>
          <w:w w:val="105"/>
          <w:sz w:val="16"/>
        </w:rPr>
        <w:t>detection systems?</w:t>
      </w:r>
    </w:p>
    <w:p w14:paraId="0FCD7EBB" w14:textId="77777777" w:rsidR="00D67C1E" w:rsidRPr="00283806" w:rsidRDefault="001265CA">
      <w:pPr>
        <w:pStyle w:val="ListParagraph"/>
        <w:numPr>
          <w:ilvl w:val="2"/>
          <w:numId w:val="65"/>
        </w:numPr>
        <w:tabs>
          <w:tab w:val="left" w:pos="496"/>
        </w:tabs>
        <w:spacing w:line="177" w:lineRule="exact"/>
        <w:ind w:left="496" w:hanging="176"/>
        <w:rPr>
          <w:sz w:val="16"/>
        </w:rPr>
      </w:pPr>
      <w:r w:rsidRPr="00283806">
        <w:rPr>
          <w:w w:val="105"/>
          <w:sz w:val="16"/>
        </w:rPr>
        <w:t>Automatic</w:t>
      </w:r>
      <w:r w:rsidRPr="00283806">
        <w:rPr>
          <w:spacing w:val="18"/>
          <w:w w:val="105"/>
          <w:sz w:val="16"/>
        </w:rPr>
        <w:t xml:space="preserve"> </w:t>
      </w:r>
      <w:r w:rsidRPr="00283806">
        <w:rPr>
          <w:w w:val="105"/>
          <w:sz w:val="16"/>
        </w:rPr>
        <w:t>Leak</w:t>
      </w:r>
      <w:r w:rsidRPr="00283806">
        <w:rPr>
          <w:spacing w:val="19"/>
          <w:w w:val="105"/>
          <w:sz w:val="16"/>
        </w:rPr>
        <w:t xml:space="preserve"> </w:t>
      </w:r>
      <w:r w:rsidRPr="00283806">
        <w:rPr>
          <w:w w:val="105"/>
          <w:sz w:val="16"/>
        </w:rPr>
        <w:t>Detection</w:t>
      </w:r>
      <w:r w:rsidRPr="00283806">
        <w:rPr>
          <w:spacing w:val="19"/>
          <w:w w:val="105"/>
          <w:sz w:val="16"/>
        </w:rPr>
        <w:t xml:space="preserve"> </w:t>
      </w:r>
      <w:r w:rsidRPr="00283806">
        <w:rPr>
          <w:spacing w:val="-2"/>
          <w:w w:val="105"/>
          <w:sz w:val="16"/>
        </w:rPr>
        <w:t>Requirements</w:t>
      </w:r>
    </w:p>
    <w:p w14:paraId="598381A8" w14:textId="77777777" w:rsidR="00D67C1E" w:rsidRPr="00283806" w:rsidRDefault="001265CA">
      <w:pPr>
        <w:pStyle w:val="ListParagraph"/>
        <w:numPr>
          <w:ilvl w:val="2"/>
          <w:numId w:val="65"/>
        </w:numPr>
        <w:tabs>
          <w:tab w:val="left" w:pos="496"/>
        </w:tabs>
        <w:spacing w:line="180" w:lineRule="exact"/>
        <w:ind w:left="496" w:hanging="176"/>
        <w:rPr>
          <w:sz w:val="16"/>
        </w:rPr>
      </w:pPr>
      <w:r w:rsidRPr="00283806">
        <w:rPr>
          <w:w w:val="105"/>
          <w:sz w:val="16"/>
        </w:rPr>
        <w:t>Recordkeeping</w:t>
      </w:r>
      <w:r w:rsidRPr="00283806">
        <w:rPr>
          <w:spacing w:val="13"/>
          <w:w w:val="105"/>
          <w:sz w:val="16"/>
        </w:rPr>
        <w:t xml:space="preserve"> </w:t>
      </w:r>
      <w:r w:rsidRPr="00283806">
        <w:rPr>
          <w:w w:val="105"/>
          <w:sz w:val="16"/>
        </w:rPr>
        <w:t>and</w:t>
      </w:r>
      <w:r w:rsidRPr="00283806">
        <w:rPr>
          <w:spacing w:val="14"/>
          <w:w w:val="105"/>
          <w:sz w:val="16"/>
        </w:rPr>
        <w:t xml:space="preserve"> </w:t>
      </w:r>
      <w:r w:rsidRPr="00283806">
        <w:rPr>
          <w:spacing w:val="-2"/>
          <w:w w:val="105"/>
          <w:sz w:val="16"/>
        </w:rPr>
        <w:t>Reporting</w:t>
      </w:r>
    </w:p>
    <w:p w14:paraId="2511ECF0" w14:textId="77777777" w:rsidR="00D67C1E" w:rsidRPr="00283806" w:rsidRDefault="001265CA">
      <w:pPr>
        <w:pStyle w:val="ListParagraph"/>
        <w:numPr>
          <w:ilvl w:val="1"/>
          <w:numId w:val="65"/>
        </w:numPr>
        <w:tabs>
          <w:tab w:val="left" w:pos="480"/>
          <w:tab w:val="left" w:pos="505"/>
        </w:tabs>
        <w:spacing w:before="2" w:line="230" w:lineRule="auto"/>
        <w:ind w:right="140" w:hanging="160"/>
        <w:rPr>
          <w:sz w:val="16"/>
        </w:rPr>
      </w:pPr>
      <w:r w:rsidRPr="00283806">
        <w:rPr>
          <w:w w:val="105"/>
          <w:sz w:val="16"/>
        </w:rPr>
        <w:t>How</w:t>
      </w:r>
      <w:r w:rsidRPr="00283806">
        <w:rPr>
          <w:spacing w:val="35"/>
          <w:w w:val="105"/>
          <w:sz w:val="16"/>
        </w:rPr>
        <w:t xml:space="preserve"> </w:t>
      </w:r>
      <w:r w:rsidRPr="00283806">
        <w:rPr>
          <w:w w:val="105"/>
          <w:sz w:val="16"/>
        </w:rPr>
        <w:t>is EPA establishing requirements</w:t>
      </w:r>
      <w:r w:rsidRPr="00283806">
        <w:rPr>
          <w:spacing w:val="40"/>
          <w:w w:val="105"/>
          <w:sz w:val="16"/>
        </w:rPr>
        <w:t xml:space="preserve"> </w:t>
      </w:r>
      <w:r w:rsidRPr="00283806">
        <w:rPr>
          <w:w w:val="105"/>
          <w:sz w:val="16"/>
        </w:rPr>
        <w:t>for recovered and reclaimed HFCs?</w:t>
      </w:r>
    </w:p>
    <w:p w14:paraId="3BBB8409" w14:textId="77777777" w:rsidR="00D67C1E" w:rsidRPr="00283806" w:rsidRDefault="001265CA">
      <w:pPr>
        <w:pStyle w:val="ListParagraph"/>
        <w:numPr>
          <w:ilvl w:val="2"/>
          <w:numId w:val="65"/>
        </w:numPr>
        <w:tabs>
          <w:tab w:val="left" w:pos="496"/>
        </w:tabs>
        <w:spacing w:line="178" w:lineRule="exact"/>
        <w:ind w:left="496" w:hanging="176"/>
        <w:rPr>
          <w:sz w:val="16"/>
        </w:rPr>
      </w:pPr>
      <w:r w:rsidRPr="00283806">
        <w:rPr>
          <w:w w:val="105"/>
          <w:sz w:val="16"/>
        </w:rPr>
        <w:t>Reclamation</w:t>
      </w:r>
      <w:r w:rsidRPr="00283806">
        <w:rPr>
          <w:spacing w:val="23"/>
          <w:w w:val="105"/>
          <w:sz w:val="16"/>
        </w:rPr>
        <w:t xml:space="preserve"> </w:t>
      </w:r>
      <w:r w:rsidRPr="00283806">
        <w:rPr>
          <w:spacing w:val="-2"/>
          <w:w w:val="105"/>
          <w:sz w:val="16"/>
        </w:rPr>
        <w:t>Standard</w:t>
      </w:r>
    </w:p>
    <w:p w14:paraId="23C526BC" w14:textId="77777777" w:rsidR="00D67C1E" w:rsidRPr="00283806" w:rsidRDefault="001265CA">
      <w:pPr>
        <w:pStyle w:val="ListParagraph"/>
        <w:numPr>
          <w:ilvl w:val="2"/>
          <w:numId w:val="65"/>
        </w:numPr>
        <w:tabs>
          <w:tab w:val="left" w:pos="480"/>
          <w:tab w:val="left" w:pos="496"/>
        </w:tabs>
        <w:spacing w:before="3" w:line="230" w:lineRule="auto"/>
        <w:ind w:right="354" w:hanging="160"/>
        <w:rPr>
          <w:sz w:val="16"/>
        </w:rPr>
      </w:pPr>
      <w:r w:rsidRPr="00283806">
        <w:rPr>
          <w:w w:val="105"/>
          <w:sz w:val="16"/>
        </w:rPr>
        <w:t>Requirements</w:t>
      </w:r>
      <w:r w:rsidRPr="00283806">
        <w:rPr>
          <w:spacing w:val="40"/>
          <w:w w:val="105"/>
          <w:sz w:val="16"/>
        </w:rPr>
        <w:t xml:space="preserve"> </w:t>
      </w:r>
      <w:r w:rsidRPr="00283806">
        <w:rPr>
          <w:w w:val="105"/>
          <w:sz w:val="16"/>
        </w:rPr>
        <w:t>for Servicing and/or</w:t>
      </w:r>
      <w:r w:rsidRPr="00283806">
        <w:rPr>
          <w:spacing w:val="40"/>
          <w:w w:val="105"/>
          <w:sz w:val="16"/>
        </w:rPr>
        <w:t xml:space="preserve"> </w:t>
      </w:r>
      <w:r w:rsidRPr="00283806">
        <w:rPr>
          <w:w w:val="105"/>
          <w:sz w:val="16"/>
        </w:rPr>
        <w:t>Repair of Existing Equipment in the</w:t>
      </w:r>
      <w:r w:rsidRPr="00283806">
        <w:rPr>
          <w:spacing w:val="40"/>
          <w:w w:val="105"/>
          <w:sz w:val="16"/>
        </w:rPr>
        <w:t xml:space="preserve"> </w:t>
      </w:r>
      <w:r w:rsidRPr="00283806">
        <w:rPr>
          <w:w w:val="105"/>
          <w:sz w:val="16"/>
        </w:rPr>
        <w:t>RACHP sector</w:t>
      </w:r>
    </w:p>
    <w:p w14:paraId="5D6BCF7D" w14:textId="77777777" w:rsidR="00D67C1E" w:rsidRPr="00283806" w:rsidRDefault="001265CA">
      <w:pPr>
        <w:pStyle w:val="ListParagraph"/>
        <w:numPr>
          <w:ilvl w:val="1"/>
          <w:numId w:val="65"/>
        </w:numPr>
        <w:tabs>
          <w:tab w:val="left" w:pos="480"/>
          <w:tab w:val="left" w:pos="505"/>
        </w:tabs>
        <w:spacing w:line="230" w:lineRule="auto"/>
        <w:ind w:right="25" w:hanging="160"/>
        <w:rPr>
          <w:sz w:val="16"/>
        </w:rPr>
      </w:pPr>
      <w:r w:rsidRPr="00283806">
        <w:rPr>
          <w:w w:val="105"/>
          <w:sz w:val="16"/>
        </w:rPr>
        <w:t>How</w:t>
      </w:r>
      <w:r w:rsidRPr="00283806">
        <w:rPr>
          <w:spacing w:val="40"/>
          <w:w w:val="105"/>
          <w:sz w:val="16"/>
        </w:rPr>
        <w:t xml:space="preserve"> </w:t>
      </w:r>
      <w:r w:rsidRPr="00283806">
        <w:rPr>
          <w:w w:val="105"/>
          <w:sz w:val="16"/>
        </w:rPr>
        <w:t>is EPA establishing an HFC</w:t>
      </w:r>
      <w:r w:rsidRPr="00283806">
        <w:rPr>
          <w:spacing w:val="40"/>
          <w:w w:val="105"/>
          <w:sz w:val="16"/>
        </w:rPr>
        <w:t xml:space="preserve"> </w:t>
      </w:r>
      <w:r w:rsidRPr="00283806">
        <w:rPr>
          <w:w w:val="105"/>
          <w:sz w:val="16"/>
        </w:rPr>
        <w:t>emissions reduction program for the fire</w:t>
      </w:r>
      <w:r w:rsidRPr="00283806">
        <w:rPr>
          <w:spacing w:val="40"/>
          <w:w w:val="105"/>
          <w:sz w:val="16"/>
        </w:rPr>
        <w:t xml:space="preserve"> </w:t>
      </w:r>
      <w:r w:rsidRPr="00283806">
        <w:rPr>
          <w:w w:val="105"/>
          <w:sz w:val="16"/>
        </w:rPr>
        <w:t>suppression sector?</w:t>
      </w:r>
    </w:p>
    <w:p w14:paraId="0C03DC69" w14:textId="77777777" w:rsidR="00D67C1E" w:rsidRPr="00283806" w:rsidRDefault="001265CA">
      <w:pPr>
        <w:pStyle w:val="ListParagraph"/>
        <w:numPr>
          <w:ilvl w:val="2"/>
          <w:numId w:val="65"/>
        </w:numPr>
        <w:tabs>
          <w:tab w:val="left" w:pos="496"/>
        </w:tabs>
        <w:spacing w:line="177" w:lineRule="exact"/>
        <w:ind w:left="496" w:hanging="176"/>
        <w:rPr>
          <w:sz w:val="16"/>
        </w:rPr>
      </w:pPr>
      <w:r w:rsidRPr="00283806">
        <w:rPr>
          <w:w w:val="110"/>
          <w:sz w:val="16"/>
        </w:rPr>
        <w:t>Nomenclature</w:t>
      </w:r>
      <w:r w:rsidRPr="00283806">
        <w:rPr>
          <w:spacing w:val="-5"/>
          <w:w w:val="110"/>
          <w:sz w:val="16"/>
        </w:rPr>
        <w:t xml:space="preserve"> </w:t>
      </w:r>
      <w:r w:rsidRPr="00283806">
        <w:rPr>
          <w:w w:val="110"/>
          <w:sz w:val="16"/>
        </w:rPr>
        <w:t>Used</w:t>
      </w:r>
      <w:r w:rsidRPr="00283806">
        <w:rPr>
          <w:spacing w:val="-5"/>
          <w:w w:val="110"/>
          <w:sz w:val="16"/>
        </w:rPr>
        <w:t xml:space="preserve"> </w:t>
      </w:r>
      <w:r w:rsidRPr="00283806">
        <w:rPr>
          <w:w w:val="110"/>
          <w:sz w:val="16"/>
        </w:rPr>
        <w:t>in</w:t>
      </w:r>
      <w:r w:rsidRPr="00283806">
        <w:rPr>
          <w:spacing w:val="-4"/>
          <w:w w:val="110"/>
          <w:sz w:val="16"/>
        </w:rPr>
        <w:t xml:space="preserve"> </w:t>
      </w:r>
      <w:r w:rsidRPr="00283806">
        <w:rPr>
          <w:w w:val="110"/>
          <w:sz w:val="16"/>
        </w:rPr>
        <w:t>This</w:t>
      </w:r>
      <w:r w:rsidRPr="00283806">
        <w:rPr>
          <w:spacing w:val="-5"/>
          <w:w w:val="110"/>
          <w:sz w:val="16"/>
        </w:rPr>
        <w:t xml:space="preserve"> </w:t>
      </w:r>
      <w:r w:rsidRPr="00283806">
        <w:rPr>
          <w:spacing w:val="-2"/>
          <w:w w:val="110"/>
          <w:sz w:val="16"/>
        </w:rPr>
        <w:t>Section</w:t>
      </w:r>
    </w:p>
    <w:p w14:paraId="0B2B4E23" w14:textId="77777777" w:rsidR="00D67C1E" w:rsidRPr="00283806" w:rsidRDefault="001265CA">
      <w:pPr>
        <w:pStyle w:val="ListParagraph"/>
        <w:numPr>
          <w:ilvl w:val="2"/>
          <w:numId w:val="65"/>
        </w:numPr>
        <w:tabs>
          <w:tab w:val="left" w:pos="480"/>
          <w:tab w:val="left" w:pos="496"/>
        </w:tabs>
        <w:spacing w:before="2" w:line="230" w:lineRule="auto"/>
        <w:ind w:right="612" w:hanging="160"/>
        <w:rPr>
          <w:sz w:val="16"/>
        </w:rPr>
      </w:pPr>
      <w:r w:rsidRPr="00283806">
        <w:rPr>
          <w:w w:val="105"/>
          <w:sz w:val="16"/>
        </w:rPr>
        <w:t>Emissions</w:t>
      </w:r>
      <w:r w:rsidRPr="00283806">
        <w:rPr>
          <w:spacing w:val="28"/>
          <w:w w:val="105"/>
          <w:sz w:val="16"/>
        </w:rPr>
        <w:t xml:space="preserve"> </w:t>
      </w:r>
      <w:r w:rsidRPr="00283806">
        <w:rPr>
          <w:w w:val="105"/>
          <w:sz w:val="16"/>
        </w:rPr>
        <w:t>Reduction in the Fire</w:t>
      </w:r>
      <w:r w:rsidRPr="00283806">
        <w:rPr>
          <w:spacing w:val="40"/>
          <w:w w:val="105"/>
          <w:sz w:val="16"/>
        </w:rPr>
        <w:t xml:space="preserve"> </w:t>
      </w:r>
      <w:r w:rsidRPr="00283806">
        <w:rPr>
          <w:w w:val="105"/>
          <w:sz w:val="16"/>
        </w:rPr>
        <w:t>Suppression Sector</w:t>
      </w:r>
    </w:p>
    <w:p w14:paraId="17614BB7" w14:textId="77777777" w:rsidR="00D67C1E" w:rsidRPr="00283806" w:rsidRDefault="001265CA">
      <w:pPr>
        <w:pStyle w:val="ListParagraph"/>
        <w:numPr>
          <w:ilvl w:val="3"/>
          <w:numId w:val="65"/>
        </w:numPr>
        <w:tabs>
          <w:tab w:val="left" w:pos="487"/>
        </w:tabs>
        <w:spacing w:line="178" w:lineRule="exact"/>
        <w:ind w:left="487" w:hanging="167"/>
        <w:rPr>
          <w:sz w:val="16"/>
        </w:rPr>
      </w:pPr>
      <w:r w:rsidRPr="00283806">
        <w:rPr>
          <w:w w:val="110"/>
          <w:sz w:val="16"/>
        </w:rPr>
        <w:t>Minimizing</w:t>
      </w:r>
      <w:r w:rsidRPr="00283806">
        <w:rPr>
          <w:spacing w:val="-7"/>
          <w:w w:val="110"/>
          <w:sz w:val="16"/>
        </w:rPr>
        <w:t xml:space="preserve"> </w:t>
      </w:r>
      <w:r w:rsidRPr="00283806">
        <w:rPr>
          <w:w w:val="110"/>
          <w:sz w:val="16"/>
        </w:rPr>
        <w:t>Releases</w:t>
      </w:r>
      <w:r w:rsidRPr="00283806">
        <w:rPr>
          <w:spacing w:val="-7"/>
          <w:w w:val="110"/>
          <w:sz w:val="16"/>
        </w:rPr>
        <w:t xml:space="preserve"> </w:t>
      </w:r>
      <w:r w:rsidRPr="00283806">
        <w:rPr>
          <w:w w:val="110"/>
          <w:sz w:val="16"/>
        </w:rPr>
        <w:t>of</w:t>
      </w:r>
      <w:r w:rsidRPr="00283806">
        <w:rPr>
          <w:spacing w:val="-6"/>
          <w:w w:val="110"/>
          <w:sz w:val="16"/>
        </w:rPr>
        <w:t xml:space="preserve"> </w:t>
      </w:r>
      <w:r w:rsidRPr="00283806">
        <w:rPr>
          <w:spacing w:val="-4"/>
          <w:w w:val="110"/>
          <w:sz w:val="16"/>
        </w:rPr>
        <w:t>HFCs</w:t>
      </w:r>
    </w:p>
    <w:p w14:paraId="0AA26B66" w14:textId="77777777" w:rsidR="00D67C1E" w:rsidRPr="00283806" w:rsidRDefault="001265CA">
      <w:pPr>
        <w:pStyle w:val="ListParagraph"/>
        <w:numPr>
          <w:ilvl w:val="3"/>
          <w:numId w:val="65"/>
        </w:numPr>
        <w:tabs>
          <w:tab w:val="left" w:pos="480"/>
          <w:tab w:val="left" w:pos="496"/>
        </w:tabs>
        <w:spacing w:before="2" w:line="230" w:lineRule="auto"/>
        <w:ind w:left="480" w:right="149" w:hanging="160"/>
        <w:rPr>
          <w:sz w:val="16"/>
        </w:rPr>
      </w:pPr>
      <w:r w:rsidRPr="00283806">
        <w:rPr>
          <w:w w:val="105"/>
          <w:sz w:val="16"/>
        </w:rPr>
        <w:t>Requirements</w:t>
      </w:r>
      <w:r w:rsidRPr="00283806">
        <w:rPr>
          <w:spacing w:val="21"/>
          <w:w w:val="105"/>
          <w:sz w:val="16"/>
        </w:rPr>
        <w:t xml:space="preserve"> </w:t>
      </w:r>
      <w:r w:rsidRPr="00283806">
        <w:rPr>
          <w:w w:val="105"/>
          <w:sz w:val="16"/>
        </w:rPr>
        <w:t>for Initial Installation of</w:t>
      </w:r>
      <w:r w:rsidRPr="00283806">
        <w:rPr>
          <w:spacing w:val="40"/>
          <w:w w:val="105"/>
          <w:sz w:val="16"/>
        </w:rPr>
        <w:t xml:space="preserve"> </w:t>
      </w:r>
      <w:r w:rsidRPr="00283806">
        <w:rPr>
          <w:w w:val="105"/>
          <w:sz w:val="16"/>
        </w:rPr>
        <w:t>Equipment for Fire Suppression</w:t>
      </w:r>
    </w:p>
    <w:p w14:paraId="13FED936" w14:textId="77777777" w:rsidR="00D67C1E" w:rsidRPr="00283806" w:rsidRDefault="001265CA">
      <w:pPr>
        <w:pStyle w:val="ListParagraph"/>
        <w:numPr>
          <w:ilvl w:val="3"/>
          <w:numId w:val="65"/>
        </w:numPr>
        <w:tabs>
          <w:tab w:val="left" w:pos="480"/>
          <w:tab w:val="left" w:pos="487"/>
        </w:tabs>
        <w:spacing w:line="230" w:lineRule="auto"/>
        <w:ind w:left="480" w:right="238" w:hanging="160"/>
        <w:rPr>
          <w:sz w:val="16"/>
        </w:rPr>
      </w:pPr>
      <w:r w:rsidRPr="00283806">
        <w:rPr>
          <w:w w:val="105"/>
          <w:sz w:val="16"/>
        </w:rPr>
        <w:t>Requirements for Servicing and/or</w:t>
      </w:r>
      <w:r w:rsidRPr="00283806">
        <w:rPr>
          <w:spacing w:val="40"/>
          <w:w w:val="105"/>
          <w:sz w:val="16"/>
        </w:rPr>
        <w:t xml:space="preserve"> </w:t>
      </w:r>
      <w:r w:rsidRPr="00283806">
        <w:rPr>
          <w:w w:val="105"/>
          <w:sz w:val="16"/>
        </w:rPr>
        <w:t>Repair of Existing Equipment for Fire</w:t>
      </w:r>
      <w:r w:rsidRPr="00283806">
        <w:rPr>
          <w:spacing w:val="40"/>
          <w:w w:val="105"/>
          <w:sz w:val="16"/>
        </w:rPr>
        <w:t xml:space="preserve"> </w:t>
      </w:r>
      <w:r w:rsidRPr="00283806">
        <w:rPr>
          <w:spacing w:val="-2"/>
          <w:w w:val="105"/>
          <w:sz w:val="16"/>
        </w:rPr>
        <w:t>Suppression</w:t>
      </w:r>
    </w:p>
    <w:p w14:paraId="32DFA617" w14:textId="77777777" w:rsidR="00D67C1E" w:rsidRPr="00283806" w:rsidRDefault="001265CA">
      <w:pPr>
        <w:pStyle w:val="ListParagraph"/>
        <w:numPr>
          <w:ilvl w:val="3"/>
          <w:numId w:val="65"/>
        </w:numPr>
        <w:tabs>
          <w:tab w:val="left" w:pos="505"/>
        </w:tabs>
        <w:spacing w:line="177" w:lineRule="exact"/>
        <w:ind w:left="505" w:hanging="185"/>
        <w:rPr>
          <w:sz w:val="16"/>
        </w:rPr>
      </w:pPr>
      <w:r w:rsidRPr="00283806">
        <w:rPr>
          <w:w w:val="110"/>
          <w:sz w:val="16"/>
        </w:rPr>
        <w:t>Fire</w:t>
      </w:r>
      <w:r w:rsidRPr="00283806">
        <w:rPr>
          <w:spacing w:val="-5"/>
          <w:w w:val="110"/>
          <w:sz w:val="16"/>
        </w:rPr>
        <w:t xml:space="preserve"> </w:t>
      </w:r>
      <w:r w:rsidRPr="00283806">
        <w:rPr>
          <w:w w:val="110"/>
          <w:sz w:val="16"/>
        </w:rPr>
        <w:t>Suppression</w:t>
      </w:r>
      <w:r w:rsidRPr="00283806">
        <w:rPr>
          <w:spacing w:val="-5"/>
          <w:w w:val="110"/>
          <w:sz w:val="16"/>
        </w:rPr>
        <w:t xml:space="preserve"> </w:t>
      </w:r>
      <w:r w:rsidRPr="00283806">
        <w:rPr>
          <w:w w:val="110"/>
          <w:sz w:val="16"/>
        </w:rPr>
        <w:t>Technician</w:t>
      </w:r>
      <w:r w:rsidRPr="00283806">
        <w:rPr>
          <w:spacing w:val="-5"/>
          <w:w w:val="110"/>
          <w:sz w:val="16"/>
        </w:rPr>
        <w:t xml:space="preserve"> </w:t>
      </w:r>
      <w:r w:rsidRPr="00283806">
        <w:rPr>
          <w:spacing w:val="-2"/>
          <w:w w:val="110"/>
          <w:sz w:val="16"/>
        </w:rPr>
        <w:t>Training</w:t>
      </w:r>
    </w:p>
    <w:p w14:paraId="48F3800B" w14:textId="77777777" w:rsidR="00D67C1E" w:rsidRPr="00283806" w:rsidRDefault="001265CA">
      <w:pPr>
        <w:pStyle w:val="ListParagraph"/>
        <w:numPr>
          <w:ilvl w:val="3"/>
          <w:numId w:val="65"/>
        </w:numPr>
        <w:tabs>
          <w:tab w:val="left" w:pos="480"/>
          <w:tab w:val="left" w:pos="487"/>
        </w:tabs>
        <w:spacing w:before="2" w:line="230" w:lineRule="auto"/>
        <w:ind w:left="480" w:right="24" w:hanging="160"/>
        <w:rPr>
          <w:sz w:val="16"/>
        </w:rPr>
      </w:pPr>
      <w:r w:rsidRPr="00283806">
        <w:rPr>
          <w:w w:val="105"/>
          <w:sz w:val="16"/>
        </w:rPr>
        <w:t>Recycling of HFCs Prior to Disposal of</w:t>
      </w:r>
      <w:r w:rsidRPr="00283806">
        <w:rPr>
          <w:spacing w:val="40"/>
          <w:w w:val="105"/>
          <w:sz w:val="16"/>
        </w:rPr>
        <w:t xml:space="preserve"> </w:t>
      </w:r>
      <w:r w:rsidRPr="00283806">
        <w:rPr>
          <w:w w:val="105"/>
          <w:sz w:val="16"/>
        </w:rPr>
        <w:t>Fire Suppression Equipment Containing</w:t>
      </w:r>
      <w:r w:rsidRPr="00283806">
        <w:rPr>
          <w:spacing w:val="40"/>
          <w:w w:val="105"/>
          <w:sz w:val="16"/>
        </w:rPr>
        <w:t xml:space="preserve"> </w:t>
      </w:r>
      <w:r w:rsidRPr="00283806">
        <w:rPr>
          <w:spacing w:val="-4"/>
          <w:w w:val="105"/>
          <w:sz w:val="16"/>
        </w:rPr>
        <w:t>HFCs</w:t>
      </w:r>
    </w:p>
    <w:p w14:paraId="40840EF9" w14:textId="77777777" w:rsidR="00D67C1E" w:rsidRPr="00283806" w:rsidRDefault="001265CA">
      <w:pPr>
        <w:pStyle w:val="ListParagraph"/>
        <w:numPr>
          <w:ilvl w:val="3"/>
          <w:numId w:val="65"/>
        </w:numPr>
        <w:tabs>
          <w:tab w:val="left" w:pos="461"/>
        </w:tabs>
        <w:spacing w:line="177" w:lineRule="exact"/>
        <w:ind w:left="461" w:hanging="141"/>
        <w:rPr>
          <w:sz w:val="16"/>
        </w:rPr>
      </w:pPr>
      <w:r w:rsidRPr="00283806">
        <w:rPr>
          <w:w w:val="105"/>
          <w:sz w:val="16"/>
        </w:rPr>
        <w:t>Recordkeeping</w:t>
      </w:r>
      <w:r w:rsidRPr="00283806">
        <w:rPr>
          <w:spacing w:val="13"/>
          <w:w w:val="105"/>
          <w:sz w:val="16"/>
        </w:rPr>
        <w:t xml:space="preserve"> </w:t>
      </w:r>
      <w:r w:rsidRPr="00283806">
        <w:rPr>
          <w:w w:val="105"/>
          <w:sz w:val="16"/>
        </w:rPr>
        <w:t>and</w:t>
      </w:r>
      <w:r w:rsidRPr="00283806">
        <w:rPr>
          <w:spacing w:val="14"/>
          <w:w w:val="105"/>
          <w:sz w:val="16"/>
        </w:rPr>
        <w:t xml:space="preserve"> </w:t>
      </w:r>
      <w:r w:rsidRPr="00283806">
        <w:rPr>
          <w:spacing w:val="-2"/>
          <w:w w:val="105"/>
          <w:sz w:val="16"/>
        </w:rPr>
        <w:t>Reporting</w:t>
      </w:r>
    </w:p>
    <w:p w14:paraId="253F2C4B" w14:textId="77777777" w:rsidR="00D67C1E" w:rsidRPr="00283806" w:rsidRDefault="001265CA">
      <w:pPr>
        <w:pStyle w:val="ListParagraph"/>
        <w:numPr>
          <w:ilvl w:val="1"/>
          <w:numId w:val="65"/>
        </w:numPr>
        <w:tabs>
          <w:tab w:val="left" w:pos="480"/>
          <w:tab w:val="left" w:pos="523"/>
        </w:tabs>
        <w:spacing w:before="3" w:line="230" w:lineRule="auto"/>
        <w:ind w:right="78" w:hanging="160"/>
        <w:rPr>
          <w:sz w:val="16"/>
        </w:rPr>
      </w:pPr>
      <w:r w:rsidRPr="00283806">
        <w:rPr>
          <w:w w:val="105"/>
          <w:sz w:val="16"/>
        </w:rPr>
        <w:t xml:space="preserve">What requirements is EPA </w:t>
      </w:r>
      <w:proofErr w:type="gramStart"/>
      <w:r w:rsidRPr="00283806">
        <w:rPr>
          <w:w w:val="105"/>
          <w:sz w:val="16"/>
        </w:rPr>
        <w:t>establishing</w:t>
      </w:r>
      <w:proofErr w:type="gramEnd"/>
      <w:r w:rsidRPr="00283806">
        <w:rPr>
          <w:spacing w:val="40"/>
          <w:w w:val="105"/>
          <w:sz w:val="16"/>
        </w:rPr>
        <w:t xml:space="preserve"> </w:t>
      </w:r>
      <w:r w:rsidRPr="00283806">
        <w:rPr>
          <w:w w:val="105"/>
          <w:sz w:val="16"/>
        </w:rPr>
        <w:t>for handling disposable cylinders?</w:t>
      </w:r>
    </w:p>
    <w:p w14:paraId="0392F7D1" w14:textId="77777777" w:rsidR="00D67C1E" w:rsidRPr="00283806" w:rsidRDefault="001265CA">
      <w:pPr>
        <w:pStyle w:val="ListParagraph"/>
        <w:numPr>
          <w:ilvl w:val="2"/>
          <w:numId w:val="65"/>
        </w:numPr>
        <w:tabs>
          <w:tab w:val="left" w:pos="496"/>
        </w:tabs>
        <w:spacing w:line="178" w:lineRule="exact"/>
        <w:ind w:left="496" w:hanging="176"/>
        <w:rPr>
          <w:sz w:val="16"/>
        </w:rPr>
      </w:pPr>
      <w:r w:rsidRPr="00283806">
        <w:rPr>
          <w:w w:val="105"/>
          <w:sz w:val="16"/>
        </w:rPr>
        <w:t>Requirements</w:t>
      </w:r>
      <w:r w:rsidRPr="00283806">
        <w:rPr>
          <w:spacing w:val="3"/>
          <w:w w:val="105"/>
          <w:sz w:val="16"/>
        </w:rPr>
        <w:t xml:space="preserve"> </w:t>
      </w:r>
      <w:r w:rsidRPr="00283806">
        <w:rPr>
          <w:w w:val="105"/>
          <w:sz w:val="16"/>
        </w:rPr>
        <w:t>for</w:t>
      </w:r>
      <w:r w:rsidRPr="00283806">
        <w:rPr>
          <w:spacing w:val="4"/>
          <w:w w:val="105"/>
          <w:sz w:val="16"/>
        </w:rPr>
        <w:t xml:space="preserve"> </w:t>
      </w:r>
      <w:r w:rsidRPr="00283806">
        <w:rPr>
          <w:w w:val="105"/>
          <w:sz w:val="16"/>
        </w:rPr>
        <w:t>Disposable</w:t>
      </w:r>
      <w:r w:rsidRPr="00283806">
        <w:rPr>
          <w:spacing w:val="3"/>
          <w:w w:val="105"/>
          <w:sz w:val="16"/>
        </w:rPr>
        <w:t xml:space="preserve"> </w:t>
      </w:r>
      <w:r w:rsidRPr="00283806">
        <w:rPr>
          <w:spacing w:val="-2"/>
          <w:w w:val="105"/>
          <w:sz w:val="16"/>
        </w:rPr>
        <w:t>Cylinders</w:t>
      </w:r>
    </w:p>
    <w:p w14:paraId="3839B3BD" w14:textId="77777777" w:rsidR="00D67C1E" w:rsidRPr="00283806" w:rsidRDefault="001265CA">
      <w:pPr>
        <w:pStyle w:val="ListParagraph"/>
        <w:numPr>
          <w:ilvl w:val="2"/>
          <w:numId w:val="65"/>
        </w:numPr>
        <w:tabs>
          <w:tab w:val="left" w:pos="496"/>
        </w:tabs>
        <w:spacing w:line="180" w:lineRule="exact"/>
        <w:ind w:left="496" w:hanging="176"/>
        <w:rPr>
          <w:sz w:val="16"/>
        </w:rPr>
      </w:pPr>
      <w:r w:rsidRPr="00283806">
        <w:rPr>
          <w:w w:val="105"/>
          <w:sz w:val="16"/>
        </w:rPr>
        <w:t>Small</w:t>
      </w:r>
      <w:r w:rsidRPr="00283806">
        <w:rPr>
          <w:spacing w:val="18"/>
          <w:w w:val="105"/>
          <w:sz w:val="16"/>
        </w:rPr>
        <w:t xml:space="preserve"> </w:t>
      </w:r>
      <w:r w:rsidRPr="00283806">
        <w:rPr>
          <w:w w:val="105"/>
          <w:sz w:val="16"/>
        </w:rPr>
        <w:t>Cans</w:t>
      </w:r>
      <w:r w:rsidRPr="00283806">
        <w:rPr>
          <w:spacing w:val="19"/>
          <w:w w:val="105"/>
          <w:sz w:val="16"/>
        </w:rPr>
        <w:t xml:space="preserve"> </w:t>
      </w:r>
      <w:r w:rsidRPr="00283806">
        <w:rPr>
          <w:w w:val="105"/>
          <w:sz w:val="16"/>
        </w:rPr>
        <w:t>of</w:t>
      </w:r>
      <w:r w:rsidRPr="00283806">
        <w:rPr>
          <w:spacing w:val="19"/>
          <w:w w:val="105"/>
          <w:sz w:val="16"/>
        </w:rPr>
        <w:t xml:space="preserve"> </w:t>
      </w:r>
      <w:r w:rsidRPr="00283806">
        <w:rPr>
          <w:spacing w:val="-2"/>
          <w:w w:val="105"/>
          <w:sz w:val="16"/>
        </w:rPr>
        <w:t>Refrigerant</w:t>
      </w:r>
    </w:p>
    <w:p w14:paraId="18B136F3" w14:textId="77777777" w:rsidR="00D67C1E" w:rsidRPr="00283806" w:rsidRDefault="001265CA">
      <w:pPr>
        <w:pStyle w:val="ListParagraph"/>
        <w:numPr>
          <w:ilvl w:val="1"/>
          <w:numId w:val="65"/>
        </w:numPr>
        <w:tabs>
          <w:tab w:val="left" w:pos="480"/>
          <w:tab w:val="left" w:pos="532"/>
        </w:tabs>
        <w:spacing w:before="2" w:line="230" w:lineRule="auto"/>
        <w:ind w:right="638" w:hanging="160"/>
        <w:jc w:val="both"/>
        <w:rPr>
          <w:sz w:val="16"/>
        </w:rPr>
      </w:pPr>
      <w:r w:rsidRPr="00283806">
        <w:rPr>
          <w:w w:val="105"/>
          <w:sz w:val="16"/>
        </w:rPr>
        <w:t>How is EPA establishing RCRA</w:t>
      </w:r>
      <w:r w:rsidRPr="00283806">
        <w:rPr>
          <w:spacing w:val="40"/>
          <w:w w:val="105"/>
          <w:sz w:val="16"/>
        </w:rPr>
        <w:t xml:space="preserve"> </w:t>
      </w:r>
      <w:r w:rsidRPr="00283806">
        <w:rPr>
          <w:w w:val="105"/>
          <w:sz w:val="16"/>
        </w:rPr>
        <w:t>refrigerant recycling alternative</w:t>
      </w:r>
      <w:r w:rsidRPr="00283806">
        <w:rPr>
          <w:spacing w:val="40"/>
          <w:w w:val="105"/>
          <w:sz w:val="16"/>
        </w:rPr>
        <w:t xml:space="preserve"> </w:t>
      </w:r>
      <w:r w:rsidRPr="00283806">
        <w:rPr>
          <w:spacing w:val="-2"/>
          <w:w w:val="105"/>
          <w:sz w:val="16"/>
        </w:rPr>
        <w:t>standards?</w:t>
      </w:r>
    </w:p>
    <w:p w14:paraId="6195C139" w14:textId="77777777" w:rsidR="00D67C1E" w:rsidRPr="00283806" w:rsidRDefault="001265CA">
      <w:pPr>
        <w:pStyle w:val="ListParagraph"/>
        <w:numPr>
          <w:ilvl w:val="2"/>
          <w:numId w:val="65"/>
        </w:numPr>
        <w:tabs>
          <w:tab w:val="left" w:pos="496"/>
        </w:tabs>
        <w:spacing w:line="177" w:lineRule="exact"/>
        <w:ind w:left="496" w:hanging="176"/>
        <w:jc w:val="both"/>
        <w:rPr>
          <w:sz w:val="16"/>
        </w:rPr>
      </w:pPr>
      <w:r w:rsidRPr="00283806">
        <w:rPr>
          <w:w w:val="110"/>
          <w:sz w:val="16"/>
        </w:rPr>
        <w:t>Nomenclature</w:t>
      </w:r>
      <w:r w:rsidRPr="00283806">
        <w:rPr>
          <w:spacing w:val="-5"/>
          <w:w w:val="110"/>
          <w:sz w:val="16"/>
        </w:rPr>
        <w:t xml:space="preserve"> </w:t>
      </w:r>
      <w:r w:rsidRPr="00283806">
        <w:rPr>
          <w:w w:val="110"/>
          <w:sz w:val="16"/>
        </w:rPr>
        <w:t>Used</w:t>
      </w:r>
      <w:r w:rsidRPr="00283806">
        <w:rPr>
          <w:spacing w:val="-5"/>
          <w:w w:val="110"/>
          <w:sz w:val="16"/>
        </w:rPr>
        <w:t xml:space="preserve"> </w:t>
      </w:r>
      <w:r w:rsidRPr="00283806">
        <w:rPr>
          <w:w w:val="110"/>
          <w:sz w:val="16"/>
        </w:rPr>
        <w:t>in</w:t>
      </w:r>
      <w:r w:rsidRPr="00283806">
        <w:rPr>
          <w:spacing w:val="-4"/>
          <w:w w:val="110"/>
          <w:sz w:val="16"/>
        </w:rPr>
        <w:t xml:space="preserve"> </w:t>
      </w:r>
      <w:r w:rsidRPr="00283806">
        <w:rPr>
          <w:w w:val="110"/>
          <w:sz w:val="16"/>
        </w:rPr>
        <w:t>This</w:t>
      </w:r>
      <w:r w:rsidRPr="00283806">
        <w:rPr>
          <w:spacing w:val="-5"/>
          <w:w w:val="110"/>
          <w:sz w:val="16"/>
        </w:rPr>
        <w:t xml:space="preserve"> </w:t>
      </w:r>
      <w:r w:rsidRPr="00283806">
        <w:rPr>
          <w:spacing w:val="-2"/>
          <w:w w:val="110"/>
          <w:sz w:val="16"/>
        </w:rPr>
        <w:t>Section</w:t>
      </w:r>
    </w:p>
    <w:p w14:paraId="49228358" w14:textId="77777777" w:rsidR="00D67C1E" w:rsidRPr="00283806" w:rsidRDefault="001265CA">
      <w:pPr>
        <w:pStyle w:val="ListParagraph"/>
        <w:numPr>
          <w:ilvl w:val="2"/>
          <w:numId w:val="65"/>
        </w:numPr>
        <w:tabs>
          <w:tab w:val="left" w:pos="496"/>
        </w:tabs>
        <w:spacing w:line="180" w:lineRule="exact"/>
        <w:ind w:left="496" w:hanging="176"/>
        <w:jc w:val="both"/>
        <w:rPr>
          <w:sz w:val="16"/>
        </w:rPr>
      </w:pPr>
      <w:r w:rsidRPr="00283806">
        <w:rPr>
          <w:spacing w:val="-2"/>
          <w:w w:val="105"/>
          <w:sz w:val="16"/>
        </w:rPr>
        <w:t>Background</w:t>
      </w:r>
    </w:p>
    <w:p w14:paraId="4C15A66D" w14:textId="77777777" w:rsidR="00D67C1E" w:rsidRPr="00283806" w:rsidRDefault="001265CA">
      <w:pPr>
        <w:pStyle w:val="ListParagraph"/>
        <w:numPr>
          <w:ilvl w:val="2"/>
          <w:numId w:val="65"/>
        </w:numPr>
        <w:tabs>
          <w:tab w:val="left" w:pos="480"/>
          <w:tab w:val="left" w:pos="496"/>
        </w:tabs>
        <w:spacing w:before="2" w:line="230" w:lineRule="auto"/>
        <w:ind w:right="193" w:hanging="160"/>
        <w:rPr>
          <w:sz w:val="16"/>
        </w:rPr>
      </w:pPr>
      <w:r w:rsidRPr="00283806">
        <w:rPr>
          <w:w w:val="105"/>
          <w:sz w:val="16"/>
        </w:rPr>
        <w:t>Final</w:t>
      </w:r>
      <w:r w:rsidRPr="00283806">
        <w:rPr>
          <w:spacing w:val="39"/>
          <w:w w:val="105"/>
          <w:sz w:val="16"/>
        </w:rPr>
        <w:t xml:space="preserve"> </w:t>
      </w:r>
      <w:r w:rsidRPr="00283806">
        <w:rPr>
          <w:w w:val="105"/>
          <w:sz w:val="16"/>
        </w:rPr>
        <w:t>Alternative RCRA Standards for</w:t>
      </w:r>
      <w:r w:rsidRPr="00283806">
        <w:rPr>
          <w:spacing w:val="40"/>
          <w:w w:val="105"/>
          <w:sz w:val="16"/>
        </w:rPr>
        <w:t xml:space="preserve"> </w:t>
      </w:r>
      <w:r w:rsidRPr="00283806">
        <w:rPr>
          <w:w w:val="105"/>
          <w:sz w:val="16"/>
        </w:rPr>
        <w:t>Ignitable Spent Refrigerants Being</w:t>
      </w:r>
      <w:r w:rsidRPr="00283806">
        <w:rPr>
          <w:spacing w:val="40"/>
          <w:w w:val="105"/>
          <w:sz w:val="16"/>
        </w:rPr>
        <w:t xml:space="preserve"> </w:t>
      </w:r>
      <w:r w:rsidRPr="00283806">
        <w:rPr>
          <w:w w:val="105"/>
          <w:sz w:val="16"/>
        </w:rPr>
        <w:t>Recycled for Reuse</w:t>
      </w:r>
    </w:p>
    <w:p w14:paraId="759E8D2B" w14:textId="77777777" w:rsidR="00D67C1E" w:rsidRPr="00283806" w:rsidRDefault="001265CA">
      <w:pPr>
        <w:pStyle w:val="ListParagraph"/>
        <w:numPr>
          <w:ilvl w:val="3"/>
          <w:numId w:val="65"/>
        </w:numPr>
        <w:tabs>
          <w:tab w:val="left" w:pos="480"/>
          <w:tab w:val="left" w:pos="487"/>
        </w:tabs>
        <w:spacing w:line="230" w:lineRule="auto"/>
        <w:ind w:left="480" w:right="327" w:hanging="160"/>
        <w:rPr>
          <w:sz w:val="16"/>
        </w:rPr>
      </w:pPr>
      <w:r w:rsidRPr="00283806">
        <w:rPr>
          <w:w w:val="105"/>
          <w:sz w:val="16"/>
        </w:rPr>
        <w:t>Comments on the RCRA Alternative</w:t>
      </w:r>
      <w:r w:rsidRPr="00283806">
        <w:rPr>
          <w:spacing w:val="40"/>
          <w:w w:val="105"/>
          <w:sz w:val="16"/>
        </w:rPr>
        <w:t xml:space="preserve"> </w:t>
      </w:r>
      <w:r w:rsidRPr="00283806">
        <w:rPr>
          <w:w w:val="105"/>
          <w:sz w:val="16"/>
        </w:rPr>
        <w:t>Standards and Changes Made in</w:t>
      </w:r>
      <w:r w:rsidRPr="00283806">
        <w:rPr>
          <w:spacing w:val="40"/>
          <w:w w:val="105"/>
          <w:sz w:val="16"/>
        </w:rPr>
        <w:t xml:space="preserve"> </w:t>
      </w:r>
      <w:r w:rsidRPr="00283806">
        <w:rPr>
          <w:w w:val="105"/>
          <w:sz w:val="16"/>
        </w:rPr>
        <w:t>Response to Comments</w:t>
      </w:r>
    </w:p>
    <w:p w14:paraId="5E9AA833" w14:textId="77777777" w:rsidR="00D67C1E" w:rsidRPr="00283806" w:rsidRDefault="001265CA">
      <w:pPr>
        <w:pStyle w:val="ListParagraph"/>
        <w:numPr>
          <w:ilvl w:val="3"/>
          <w:numId w:val="65"/>
        </w:numPr>
        <w:tabs>
          <w:tab w:val="left" w:pos="480"/>
          <w:tab w:val="left" w:pos="496"/>
        </w:tabs>
        <w:spacing w:line="230" w:lineRule="auto"/>
        <w:ind w:left="480" w:right="274" w:hanging="160"/>
        <w:rPr>
          <w:sz w:val="16"/>
        </w:rPr>
      </w:pPr>
      <w:r w:rsidRPr="00283806">
        <w:rPr>
          <w:w w:val="110"/>
          <w:sz w:val="16"/>
        </w:rPr>
        <w:t>Scope</w:t>
      </w:r>
      <w:r w:rsidRPr="00283806">
        <w:rPr>
          <w:spacing w:val="10"/>
          <w:w w:val="110"/>
          <w:sz w:val="16"/>
        </w:rPr>
        <w:t xml:space="preserve"> </w:t>
      </w:r>
      <w:r w:rsidRPr="00283806">
        <w:rPr>
          <w:w w:val="110"/>
          <w:sz w:val="16"/>
        </w:rPr>
        <w:t>of</w:t>
      </w:r>
      <w:r w:rsidRPr="00283806">
        <w:rPr>
          <w:spacing w:val="-3"/>
          <w:w w:val="110"/>
          <w:sz w:val="16"/>
        </w:rPr>
        <w:t xml:space="preserve"> </w:t>
      </w:r>
      <w:r w:rsidRPr="00283806">
        <w:rPr>
          <w:w w:val="110"/>
          <w:sz w:val="16"/>
        </w:rPr>
        <w:t>the</w:t>
      </w:r>
      <w:r w:rsidRPr="00283806">
        <w:rPr>
          <w:spacing w:val="-3"/>
          <w:w w:val="110"/>
          <w:sz w:val="16"/>
        </w:rPr>
        <w:t xml:space="preserve"> </w:t>
      </w:r>
      <w:r w:rsidRPr="00283806">
        <w:rPr>
          <w:w w:val="110"/>
          <w:sz w:val="16"/>
        </w:rPr>
        <w:t>Final</w:t>
      </w:r>
      <w:r w:rsidRPr="00283806">
        <w:rPr>
          <w:spacing w:val="-3"/>
          <w:w w:val="110"/>
          <w:sz w:val="16"/>
        </w:rPr>
        <w:t xml:space="preserve"> </w:t>
      </w:r>
      <w:r w:rsidRPr="00283806">
        <w:rPr>
          <w:w w:val="110"/>
          <w:sz w:val="16"/>
        </w:rPr>
        <w:t>RCRA</w:t>
      </w:r>
      <w:r w:rsidRPr="00283806">
        <w:rPr>
          <w:spacing w:val="-3"/>
          <w:w w:val="110"/>
          <w:sz w:val="16"/>
        </w:rPr>
        <w:t xml:space="preserve"> </w:t>
      </w:r>
      <w:r w:rsidRPr="00283806">
        <w:rPr>
          <w:w w:val="110"/>
          <w:sz w:val="16"/>
        </w:rPr>
        <w:t>Alternative</w:t>
      </w:r>
      <w:r w:rsidRPr="00283806">
        <w:rPr>
          <w:spacing w:val="40"/>
          <w:w w:val="110"/>
          <w:sz w:val="16"/>
        </w:rPr>
        <w:t xml:space="preserve"> </w:t>
      </w:r>
      <w:r w:rsidRPr="00283806">
        <w:rPr>
          <w:spacing w:val="-2"/>
          <w:w w:val="110"/>
          <w:sz w:val="16"/>
        </w:rPr>
        <w:t>Standards</w:t>
      </w:r>
    </w:p>
    <w:p w14:paraId="6E3396D9" w14:textId="77777777" w:rsidR="00D67C1E" w:rsidRPr="00283806" w:rsidRDefault="001265CA">
      <w:pPr>
        <w:pStyle w:val="ListParagraph"/>
        <w:numPr>
          <w:ilvl w:val="3"/>
          <w:numId w:val="65"/>
        </w:numPr>
        <w:tabs>
          <w:tab w:val="left" w:pos="480"/>
          <w:tab w:val="left" w:pos="487"/>
        </w:tabs>
        <w:spacing w:before="131" w:line="228" w:lineRule="auto"/>
        <w:ind w:left="480" w:right="920" w:hanging="160"/>
        <w:rPr>
          <w:sz w:val="16"/>
        </w:rPr>
      </w:pPr>
      <w:r w:rsidRPr="00283806">
        <w:br w:type="column"/>
      </w:r>
      <w:r w:rsidRPr="00283806">
        <w:rPr>
          <w:sz w:val="16"/>
        </w:rPr>
        <w:tab/>
      </w:r>
      <w:r w:rsidRPr="00283806">
        <w:rPr>
          <w:w w:val="105"/>
          <w:sz w:val="16"/>
        </w:rPr>
        <w:t>RCRA Alternative Standards</w:t>
      </w:r>
      <w:r w:rsidRPr="00283806">
        <w:rPr>
          <w:spacing w:val="40"/>
          <w:w w:val="105"/>
          <w:sz w:val="16"/>
        </w:rPr>
        <w:t xml:space="preserve"> </w:t>
      </w:r>
      <w:r w:rsidRPr="00283806">
        <w:rPr>
          <w:spacing w:val="-2"/>
          <w:w w:val="105"/>
          <w:sz w:val="16"/>
        </w:rPr>
        <w:t>Requirements</w:t>
      </w:r>
    </w:p>
    <w:p w14:paraId="4C2EF95E" w14:textId="77777777" w:rsidR="00D67C1E" w:rsidRPr="00283806" w:rsidRDefault="001265CA">
      <w:pPr>
        <w:pStyle w:val="ListParagraph"/>
        <w:numPr>
          <w:ilvl w:val="2"/>
          <w:numId w:val="65"/>
        </w:numPr>
        <w:tabs>
          <w:tab w:val="left" w:pos="480"/>
          <w:tab w:val="left" w:pos="496"/>
        </w:tabs>
        <w:spacing w:line="228" w:lineRule="auto"/>
        <w:ind w:right="245" w:hanging="160"/>
        <w:rPr>
          <w:sz w:val="16"/>
        </w:rPr>
      </w:pPr>
      <w:r w:rsidRPr="00283806">
        <w:rPr>
          <w:w w:val="110"/>
          <w:sz w:val="16"/>
        </w:rPr>
        <w:t>RCRA Very</w:t>
      </w:r>
      <w:r w:rsidRPr="00283806">
        <w:rPr>
          <w:spacing w:val="-9"/>
          <w:w w:val="110"/>
          <w:sz w:val="16"/>
        </w:rPr>
        <w:t xml:space="preserve"> </w:t>
      </w:r>
      <w:r w:rsidRPr="00283806">
        <w:rPr>
          <w:w w:val="110"/>
          <w:sz w:val="16"/>
        </w:rPr>
        <w:t>Small</w:t>
      </w:r>
      <w:r w:rsidRPr="00283806">
        <w:rPr>
          <w:spacing w:val="-9"/>
          <w:w w:val="110"/>
          <w:sz w:val="16"/>
        </w:rPr>
        <w:t xml:space="preserve"> </w:t>
      </w:r>
      <w:r w:rsidRPr="00283806">
        <w:rPr>
          <w:w w:val="110"/>
          <w:sz w:val="16"/>
        </w:rPr>
        <w:t>Quantity</w:t>
      </w:r>
      <w:r w:rsidRPr="00283806">
        <w:rPr>
          <w:spacing w:val="-9"/>
          <w:w w:val="110"/>
          <w:sz w:val="16"/>
        </w:rPr>
        <w:t xml:space="preserve"> </w:t>
      </w:r>
      <w:r w:rsidRPr="00283806">
        <w:rPr>
          <w:w w:val="110"/>
          <w:sz w:val="16"/>
        </w:rPr>
        <w:t>Generator</w:t>
      </w:r>
      <w:r w:rsidRPr="00283806">
        <w:rPr>
          <w:spacing w:val="40"/>
          <w:w w:val="110"/>
          <w:sz w:val="16"/>
        </w:rPr>
        <w:t xml:space="preserve"> </w:t>
      </w:r>
      <w:r w:rsidRPr="00283806">
        <w:rPr>
          <w:spacing w:val="-2"/>
          <w:w w:val="110"/>
          <w:sz w:val="16"/>
        </w:rPr>
        <w:t>Wastes</w:t>
      </w:r>
    </w:p>
    <w:p w14:paraId="412172C6" w14:textId="77777777" w:rsidR="00D67C1E" w:rsidRPr="00283806" w:rsidRDefault="001265CA">
      <w:pPr>
        <w:pStyle w:val="ListParagraph"/>
        <w:numPr>
          <w:ilvl w:val="2"/>
          <w:numId w:val="65"/>
        </w:numPr>
        <w:tabs>
          <w:tab w:val="left" w:pos="480"/>
          <w:tab w:val="left" w:pos="496"/>
        </w:tabs>
        <w:spacing w:line="228" w:lineRule="auto"/>
        <w:ind w:right="5" w:hanging="160"/>
        <w:rPr>
          <w:sz w:val="16"/>
        </w:rPr>
      </w:pPr>
      <w:r w:rsidRPr="00283806">
        <w:rPr>
          <w:w w:val="105"/>
          <w:sz w:val="16"/>
        </w:rPr>
        <w:t>RCRA</w:t>
      </w:r>
      <w:r w:rsidRPr="00283806">
        <w:rPr>
          <w:spacing w:val="27"/>
          <w:w w:val="105"/>
          <w:sz w:val="16"/>
        </w:rPr>
        <w:t xml:space="preserve"> </w:t>
      </w:r>
      <w:r w:rsidRPr="00283806">
        <w:rPr>
          <w:w w:val="105"/>
          <w:sz w:val="16"/>
        </w:rPr>
        <w:t>Regulation of Exports and Imports</w:t>
      </w:r>
      <w:r w:rsidRPr="00283806">
        <w:rPr>
          <w:spacing w:val="40"/>
          <w:w w:val="105"/>
          <w:sz w:val="16"/>
        </w:rPr>
        <w:t xml:space="preserve"> </w:t>
      </w:r>
      <w:r w:rsidRPr="00283806">
        <w:rPr>
          <w:w w:val="105"/>
          <w:sz w:val="16"/>
        </w:rPr>
        <w:t>of Certain Ignitable Spent Refrigerants</w:t>
      </w:r>
    </w:p>
    <w:p w14:paraId="3B3CF7C9" w14:textId="77777777" w:rsidR="00D67C1E" w:rsidRPr="00283806" w:rsidRDefault="001265CA">
      <w:pPr>
        <w:pStyle w:val="ListParagraph"/>
        <w:numPr>
          <w:ilvl w:val="2"/>
          <w:numId w:val="65"/>
        </w:numPr>
        <w:tabs>
          <w:tab w:val="left" w:pos="480"/>
          <w:tab w:val="left" w:pos="496"/>
        </w:tabs>
        <w:spacing w:line="228" w:lineRule="auto"/>
        <w:ind w:right="67" w:hanging="160"/>
        <w:rPr>
          <w:sz w:val="16"/>
        </w:rPr>
      </w:pPr>
      <w:r w:rsidRPr="00283806">
        <w:rPr>
          <w:w w:val="110"/>
          <w:sz w:val="16"/>
        </w:rPr>
        <w:t>Applicability of</w:t>
      </w:r>
      <w:r w:rsidRPr="00283806">
        <w:rPr>
          <w:spacing w:val="-6"/>
          <w:w w:val="110"/>
          <w:sz w:val="16"/>
        </w:rPr>
        <w:t xml:space="preserve"> </w:t>
      </w:r>
      <w:r w:rsidRPr="00283806">
        <w:rPr>
          <w:w w:val="110"/>
          <w:sz w:val="16"/>
        </w:rPr>
        <w:t>Alternative</w:t>
      </w:r>
      <w:r w:rsidRPr="00283806">
        <w:rPr>
          <w:spacing w:val="-6"/>
          <w:w w:val="110"/>
          <w:sz w:val="16"/>
        </w:rPr>
        <w:t xml:space="preserve"> </w:t>
      </w:r>
      <w:r w:rsidRPr="00283806">
        <w:rPr>
          <w:w w:val="110"/>
          <w:sz w:val="16"/>
        </w:rPr>
        <w:t>Standard</w:t>
      </w:r>
      <w:r w:rsidRPr="00283806">
        <w:rPr>
          <w:spacing w:val="-6"/>
          <w:w w:val="110"/>
          <w:sz w:val="16"/>
        </w:rPr>
        <w:t xml:space="preserve"> </w:t>
      </w:r>
      <w:r w:rsidRPr="00283806">
        <w:rPr>
          <w:w w:val="110"/>
          <w:sz w:val="16"/>
        </w:rPr>
        <w:t>in</w:t>
      </w:r>
      <w:r w:rsidRPr="00283806">
        <w:rPr>
          <w:spacing w:val="40"/>
          <w:w w:val="110"/>
          <w:sz w:val="16"/>
        </w:rPr>
        <w:t xml:space="preserve"> </w:t>
      </w:r>
      <w:r w:rsidRPr="00283806">
        <w:rPr>
          <w:w w:val="110"/>
          <w:sz w:val="16"/>
        </w:rPr>
        <w:t>RCRA-Authorized States</w:t>
      </w:r>
    </w:p>
    <w:p w14:paraId="2CFABC67" w14:textId="77777777" w:rsidR="00D67C1E" w:rsidRPr="00283806" w:rsidRDefault="001265CA">
      <w:pPr>
        <w:pStyle w:val="ListParagraph"/>
        <w:numPr>
          <w:ilvl w:val="2"/>
          <w:numId w:val="65"/>
        </w:numPr>
        <w:tabs>
          <w:tab w:val="left" w:pos="496"/>
        </w:tabs>
        <w:spacing w:line="175" w:lineRule="exact"/>
        <w:ind w:left="496" w:hanging="176"/>
        <w:rPr>
          <w:sz w:val="16"/>
        </w:rPr>
      </w:pPr>
      <w:r w:rsidRPr="00283806">
        <w:rPr>
          <w:w w:val="105"/>
          <w:sz w:val="16"/>
        </w:rPr>
        <w:t>Effect</w:t>
      </w:r>
      <w:r w:rsidRPr="00283806">
        <w:rPr>
          <w:spacing w:val="8"/>
          <w:w w:val="105"/>
          <w:sz w:val="16"/>
        </w:rPr>
        <w:t xml:space="preserve"> </w:t>
      </w:r>
      <w:r w:rsidRPr="00283806">
        <w:rPr>
          <w:w w:val="105"/>
          <w:sz w:val="16"/>
        </w:rPr>
        <w:t>on</w:t>
      </w:r>
      <w:r w:rsidRPr="00283806">
        <w:rPr>
          <w:spacing w:val="9"/>
          <w:w w:val="105"/>
          <w:sz w:val="16"/>
        </w:rPr>
        <w:t xml:space="preserve"> </w:t>
      </w:r>
      <w:r w:rsidRPr="00283806">
        <w:rPr>
          <w:w w:val="105"/>
          <w:sz w:val="16"/>
        </w:rPr>
        <w:t>State</w:t>
      </w:r>
      <w:r w:rsidRPr="00283806">
        <w:rPr>
          <w:spacing w:val="9"/>
          <w:w w:val="105"/>
          <w:sz w:val="16"/>
        </w:rPr>
        <w:t xml:space="preserve"> </w:t>
      </w:r>
      <w:r w:rsidRPr="00283806">
        <w:rPr>
          <w:spacing w:val="-2"/>
          <w:w w:val="105"/>
          <w:sz w:val="16"/>
        </w:rPr>
        <w:t>Authorization</w:t>
      </w:r>
    </w:p>
    <w:p w14:paraId="2A1A81DA" w14:textId="77777777" w:rsidR="00D67C1E" w:rsidRPr="00283806" w:rsidRDefault="001265CA">
      <w:pPr>
        <w:spacing w:before="1" w:line="228" w:lineRule="auto"/>
        <w:ind w:left="480" w:hanging="160"/>
        <w:rPr>
          <w:sz w:val="16"/>
        </w:rPr>
      </w:pPr>
      <w:r w:rsidRPr="00283806">
        <w:rPr>
          <w:w w:val="110"/>
          <w:sz w:val="16"/>
        </w:rPr>
        <w:t>I.</w:t>
      </w:r>
      <w:r w:rsidRPr="00283806">
        <w:rPr>
          <w:spacing w:val="-6"/>
          <w:w w:val="110"/>
          <w:sz w:val="16"/>
        </w:rPr>
        <w:t xml:space="preserve"> </w:t>
      </w:r>
      <w:r w:rsidRPr="00283806">
        <w:rPr>
          <w:w w:val="110"/>
          <w:sz w:val="16"/>
        </w:rPr>
        <w:t>MVAC</w:t>
      </w:r>
      <w:r w:rsidRPr="00283806">
        <w:rPr>
          <w:spacing w:val="-6"/>
          <w:w w:val="110"/>
          <w:sz w:val="16"/>
        </w:rPr>
        <w:t xml:space="preserve"> </w:t>
      </w:r>
      <w:r w:rsidRPr="00283806">
        <w:rPr>
          <w:w w:val="110"/>
          <w:sz w:val="16"/>
        </w:rPr>
        <w:t>Servicing</w:t>
      </w:r>
      <w:r w:rsidRPr="00283806">
        <w:rPr>
          <w:spacing w:val="-6"/>
          <w:w w:val="110"/>
          <w:sz w:val="16"/>
        </w:rPr>
        <w:t xml:space="preserve"> </w:t>
      </w:r>
      <w:r w:rsidRPr="00283806">
        <w:rPr>
          <w:w w:val="110"/>
          <w:sz w:val="16"/>
        </w:rPr>
        <w:t>and</w:t>
      </w:r>
      <w:r w:rsidRPr="00283806">
        <w:rPr>
          <w:spacing w:val="-6"/>
          <w:w w:val="110"/>
          <w:sz w:val="16"/>
        </w:rPr>
        <w:t xml:space="preserve"> </w:t>
      </w:r>
      <w:r w:rsidRPr="00283806">
        <w:rPr>
          <w:w w:val="110"/>
          <w:sz w:val="16"/>
        </w:rPr>
        <w:t>Reprocessed</w:t>
      </w:r>
      <w:r w:rsidRPr="00283806">
        <w:rPr>
          <w:spacing w:val="40"/>
          <w:w w:val="110"/>
          <w:sz w:val="16"/>
        </w:rPr>
        <w:t xml:space="preserve"> </w:t>
      </w:r>
      <w:r w:rsidRPr="00283806">
        <w:rPr>
          <w:spacing w:val="-2"/>
          <w:w w:val="110"/>
          <w:sz w:val="16"/>
        </w:rPr>
        <w:t>Material</w:t>
      </w:r>
    </w:p>
    <w:p w14:paraId="55F45825" w14:textId="77777777" w:rsidR="00D67C1E" w:rsidRPr="00283806" w:rsidRDefault="001265CA">
      <w:pPr>
        <w:pStyle w:val="ListParagraph"/>
        <w:numPr>
          <w:ilvl w:val="0"/>
          <w:numId w:val="65"/>
        </w:numPr>
        <w:tabs>
          <w:tab w:val="left" w:pos="363"/>
          <w:tab w:val="left" w:pos="480"/>
        </w:tabs>
        <w:spacing w:line="228" w:lineRule="auto"/>
        <w:ind w:left="480" w:right="157" w:hanging="320"/>
        <w:rPr>
          <w:sz w:val="16"/>
        </w:rPr>
      </w:pPr>
      <w:r w:rsidRPr="00283806">
        <w:rPr>
          <w:w w:val="105"/>
          <w:sz w:val="16"/>
        </w:rPr>
        <w:t>How is EPA treating data reported under</w:t>
      </w:r>
      <w:r w:rsidRPr="00283806">
        <w:rPr>
          <w:spacing w:val="40"/>
          <w:w w:val="105"/>
          <w:sz w:val="16"/>
        </w:rPr>
        <w:t xml:space="preserve"> </w:t>
      </w:r>
      <w:r w:rsidRPr="00283806">
        <w:rPr>
          <w:w w:val="105"/>
          <w:sz w:val="16"/>
        </w:rPr>
        <w:t>this rule?</w:t>
      </w:r>
    </w:p>
    <w:p w14:paraId="19E65604" w14:textId="77777777" w:rsidR="00D67C1E" w:rsidRPr="00283806" w:rsidRDefault="001265CA">
      <w:pPr>
        <w:pStyle w:val="ListParagraph"/>
        <w:numPr>
          <w:ilvl w:val="1"/>
          <w:numId w:val="65"/>
        </w:numPr>
        <w:tabs>
          <w:tab w:val="left" w:pos="480"/>
          <w:tab w:val="left" w:pos="532"/>
        </w:tabs>
        <w:spacing w:line="228" w:lineRule="auto"/>
        <w:ind w:right="200" w:hanging="160"/>
        <w:rPr>
          <w:sz w:val="16"/>
        </w:rPr>
      </w:pPr>
      <w:r w:rsidRPr="00283806">
        <w:rPr>
          <w:w w:val="105"/>
          <w:sz w:val="16"/>
        </w:rPr>
        <w:t>Background on Determinations of</w:t>
      </w:r>
      <w:r w:rsidRPr="00283806">
        <w:rPr>
          <w:spacing w:val="40"/>
          <w:w w:val="105"/>
          <w:sz w:val="16"/>
        </w:rPr>
        <w:t xml:space="preserve"> </w:t>
      </w:r>
      <w:r w:rsidRPr="00283806">
        <w:rPr>
          <w:w w:val="105"/>
          <w:sz w:val="16"/>
        </w:rPr>
        <w:t>Whether Information is Entitled to</w:t>
      </w:r>
      <w:r w:rsidRPr="00283806">
        <w:rPr>
          <w:spacing w:val="40"/>
          <w:w w:val="105"/>
          <w:sz w:val="16"/>
        </w:rPr>
        <w:t xml:space="preserve"> </w:t>
      </w:r>
      <w:r w:rsidRPr="00283806">
        <w:rPr>
          <w:w w:val="105"/>
          <w:sz w:val="16"/>
        </w:rPr>
        <w:t>Treatment as Confidential Information</w:t>
      </w:r>
    </w:p>
    <w:p w14:paraId="347E9160" w14:textId="77777777" w:rsidR="00D67C1E" w:rsidRPr="00283806" w:rsidRDefault="001265CA">
      <w:pPr>
        <w:pStyle w:val="ListParagraph"/>
        <w:numPr>
          <w:ilvl w:val="2"/>
          <w:numId w:val="65"/>
        </w:numPr>
        <w:tabs>
          <w:tab w:val="left" w:pos="480"/>
          <w:tab w:val="left" w:pos="496"/>
        </w:tabs>
        <w:spacing w:line="228" w:lineRule="auto"/>
        <w:ind w:right="396" w:hanging="160"/>
        <w:rPr>
          <w:sz w:val="16"/>
        </w:rPr>
      </w:pPr>
      <w:r w:rsidRPr="00283806">
        <w:rPr>
          <w:w w:val="105"/>
          <w:sz w:val="16"/>
        </w:rPr>
        <w:t>Confidential</w:t>
      </w:r>
      <w:r w:rsidRPr="00283806">
        <w:rPr>
          <w:spacing w:val="21"/>
          <w:w w:val="105"/>
          <w:sz w:val="16"/>
        </w:rPr>
        <w:t xml:space="preserve"> </w:t>
      </w:r>
      <w:r w:rsidRPr="00283806">
        <w:rPr>
          <w:w w:val="105"/>
          <w:sz w:val="16"/>
        </w:rPr>
        <w:t>Treatment of Reported</w:t>
      </w:r>
      <w:r w:rsidRPr="00283806">
        <w:rPr>
          <w:spacing w:val="40"/>
          <w:w w:val="105"/>
          <w:sz w:val="16"/>
        </w:rPr>
        <w:t xml:space="preserve"> </w:t>
      </w:r>
      <w:r w:rsidRPr="00283806">
        <w:rPr>
          <w:spacing w:val="-2"/>
          <w:w w:val="105"/>
          <w:sz w:val="16"/>
        </w:rPr>
        <w:t>Information</w:t>
      </w:r>
    </w:p>
    <w:p w14:paraId="769BD302" w14:textId="77777777" w:rsidR="00D67C1E" w:rsidRPr="00283806" w:rsidRDefault="001265CA">
      <w:pPr>
        <w:pStyle w:val="ListParagraph"/>
        <w:numPr>
          <w:ilvl w:val="2"/>
          <w:numId w:val="65"/>
        </w:numPr>
        <w:tabs>
          <w:tab w:val="left" w:pos="480"/>
          <w:tab w:val="left" w:pos="496"/>
        </w:tabs>
        <w:spacing w:line="228" w:lineRule="auto"/>
        <w:ind w:right="112" w:hanging="160"/>
        <w:rPr>
          <w:sz w:val="16"/>
        </w:rPr>
      </w:pPr>
      <w:r w:rsidRPr="00283806">
        <w:rPr>
          <w:w w:val="105"/>
          <w:sz w:val="16"/>
        </w:rPr>
        <w:t>Emission</w:t>
      </w:r>
      <w:r w:rsidRPr="00283806">
        <w:rPr>
          <w:spacing w:val="21"/>
          <w:w w:val="105"/>
          <w:sz w:val="16"/>
        </w:rPr>
        <w:t xml:space="preserve"> </w:t>
      </w:r>
      <w:r w:rsidRPr="00283806">
        <w:rPr>
          <w:w w:val="105"/>
          <w:sz w:val="16"/>
        </w:rPr>
        <w:t>Data Under section 114 of the</w:t>
      </w:r>
      <w:r w:rsidRPr="00283806">
        <w:rPr>
          <w:spacing w:val="40"/>
          <w:w w:val="105"/>
          <w:sz w:val="16"/>
        </w:rPr>
        <w:t xml:space="preserve"> </w:t>
      </w:r>
      <w:r w:rsidRPr="00283806">
        <w:rPr>
          <w:w w:val="105"/>
          <w:sz w:val="16"/>
        </w:rPr>
        <w:t>Clean Air Act</w:t>
      </w:r>
    </w:p>
    <w:p w14:paraId="52FAEA56" w14:textId="77777777" w:rsidR="00D67C1E" w:rsidRPr="00283806" w:rsidRDefault="001265CA">
      <w:pPr>
        <w:pStyle w:val="ListParagraph"/>
        <w:numPr>
          <w:ilvl w:val="1"/>
          <w:numId w:val="65"/>
        </w:numPr>
        <w:tabs>
          <w:tab w:val="left" w:pos="480"/>
          <w:tab w:val="left" w:pos="514"/>
        </w:tabs>
        <w:spacing w:line="228" w:lineRule="auto"/>
        <w:ind w:right="174" w:hanging="160"/>
        <w:rPr>
          <w:sz w:val="16"/>
        </w:rPr>
      </w:pPr>
      <w:r w:rsidRPr="00283806">
        <w:rPr>
          <w:w w:val="105"/>
          <w:sz w:val="16"/>
        </w:rPr>
        <w:t>Data Elements Reported to EPA Under</w:t>
      </w:r>
      <w:r w:rsidRPr="00283806">
        <w:rPr>
          <w:spacing w:val="40"/>
          <w:w w:val="105"/>
          <w:sz w:val="16"/>
        </w:rPr>
        <w:t xml:space="preserve"> </w:t>
      </w:r>
      <w:r w:rsidRPr="00283806">
        <w:rPr>
          <w:w w:val="105"/>
          <w:sz w:val="16"/>
        </w:rPr>
        <w:t>the Leak Repair Provisions</w:t>
      </w:r>
    </w:p>
    <w:p w14:paraId="7EFCD3C2" w14:textId="77777777" w:rsidR="00D67C1E" w:rsidRPr="00283806" w:rsidRDefault="001265CA">
      <w:pPr>
        <w:pStyle w:val="ListParagraph"/>
        <w:numPr>
          <w:ilvl w:val="1"/>
          <w:numId w:val="65"/>
        </w:numPr>
        <w:tabs>
          <w:tab w:val="left" w:pos="480"/>
          <w:tab w:val="left" w:pos="514"/>
        </w:tabs>
        <w:spacing w:line="228" w:lineRule="auto"/>
        <w:ind w:right="823" w:hanging="160"/>
        <w:rPr>
          <w:sz w:val="16"/>
        </w:rPr>
      </w:pPr>
      <w:r w:rsidRPr="00283806">
        <w:rPr>
          <w:w w:val="105"/>
          <w:sz w:val="16"/>
        </w:rPr>
        <w:t>Data</w:t>
      </w:r>
      <w:r w:rsidRPr="00283806">
        <w:rPr>
          <w:spacing w:val="31"/>
          <w:w w:val="105"/>
          <w:sz w:val="16"/>
        </w:rPr>
        <w:t xml:space="preserve"> </w:t>
      </w:r>
      <w:r w:rsidRPr="00283806">
        <w:rPr>
          <w:w w:val="105"/>
          <w:sz w:val="16"/>
        </w:rPr>
        <w:t>Elements Related to Fire</w:t>
      </w:r>
      <w:r w:rsidRPr="00283806">
        <w:rPr>
          <w:spacing w:val="40"/>
          <w:w w:val="105"/>
          <w:sz w:val="16"/>
        </w:rPr>
        <w:t xml:space="preserve"> </w:t>
      </w:r>
      <w:r w:rsidRPr="00283806">
        <w:rPr>
          <w:spacing w:val="-2"/>
          <w:w w:val="105"/>
          <w:sz w:val="16"/>
        </w:rPr>
        <w:t>Suppression</w:t>
      </w:r>
    </w:p>
    <w:p w14:paraId="4454B69B" w14:textId="77777777" w:rsidR="00D67C1E" w:rsidRPr="00283806" w:rsidRDefault="001265CA">
      <w:pPr>
        <w:pStyle w:val="ListParagraph"/>
        <w:numPr>
          <w:ilvl w:val="0"/>
          <w:numId w:val="65"/>
        </w:numPr>
        <w:tabs>
          <w:tab w:val="left" w:pos="416"/>
          <w:tab w:val="left" w:pos="480"/>
        </w:tabs>
        <w:spacing w:line="228" w:lineRule="auto"/>
        <w:ind w:left="480" w:right="300" w:hanging="320"/>
        <w:rPr>
          <w:sz w:val="16"/>
        </w:rPr>
      </w:pPr>
      <w:r w:rsidRPr="00283806">
        <w:rPr>
          <w:w w:val="105"/>
          <w:sz w:val="16"/>
        </w:rPr>
        <w:t>What are the costs and benefits of this</w:t>
      </w:r>
      <w:r w:rsidRPr="00283806">
        <w:rPr>
          <w:spacing w:val="40"/>
          <w:w w:val="105"/>
          <w:sz w:val="16"/>
        </w:rPr>
        <w:t xml:space="preserve"> </w:t>
      </w:r>
      <w:r w:rsidRPr="00283806">
        <w:rPr>
          <w:spacing w:val="-2"/>
          <w:w w:val="105"/>
          <w:sz w:val="16"/>
        </w:rPr>
        <w:t>action?</w:t>
      </w:r>
    </w:p>
    <w:p w14:paraId="00EE3F57" w14:textId="77777777" w:rsidR="00D67C1E" w:rsidRPr="00283806" w:rsidRDefault="001265CA">
      <w:pPr>
        <w:pStyle w:val="ListParagraph"/>
        <w:numPr>
          <w:ilvl w:val="1"/>
          <w:numId w:val="65"/>
        </w:numPr>
        <w:tabs>
          <w:tab w:val="left" w:pos="532"/>
        </w:tabs>
        <w:spacing w:line="175" w:lineRule="exact"/>
        <w:ind w:left="532" w:hanging="212"/>
        <w:rPr>
          <w:sz w:val="16"/>
        </w:rPr>
      </w:pPr>
      <w:r w:rsidRPr="00283806">
        <w:rPr>
          <w:spacing w:val="-2"/>
          <w:w w:val="105"/>
          <w:sz w:val="16"/>
        </w:rPr>
        <w:t>Background</w:t>
      </w:r>
    </w:p>
    <w:p w14:paraId="4F0096B7" w14:textId="77777777" w:rsidR="00D67C1E" w:rsidRPr="00283806" w:rsidRDefault="001265CA">
      <w:pPr>
        <w:pStyle w:val="ListParagraph"/>
        <w:numPr>
          <w:ilvl w:val="1"/>
          <w:numId w:val="65"/>
        </w:numPr>
        <w:tabs>
          <w:tab w:val="left" w:pos="480"/>
          <w:tab w:val="left" w:pos="514"/>
        </w:tabs>
        <w:spacing w:line="228" w:lineRule="auto"/>
        <w:ind w:right="406" w:hanging="160"/>
        <w:rPr>
          <w:sz w:val="16"/>
        </w:rPr>
      </w:pPr>
      <w:r w:rsidRPr="00283806">
        <w:rPr>
          <w:w w:val="105"/>
          <w:sz w:val="16"/>
        </w:rPr>
        <w:t>Estimated Costs and Benefits of the</w:t>
      </w:r>
      <w:r w:rsidRPr="00283806">
        <w:rPr>
          <w:spacing w:val="40"/>
          <w:w w:val="105"/>
          <w:sz w:val="16"/>
        </w:rPr>
        <w:t xml:space="preserve"> </w:t>
      </w:r>
      <w:r w:rsidRPr="00283806">
        <w:rPr>
          <w:w w:val="105"/>
          <w:sz w:val="16"/>
        </w:rPr>
        <w:t>Final Rule</w:t>
      </w:r>
    </w:p>
    <w:p w14:paraId="64A2C777" w14:textId="77777777" w:rsidR="00D67C1E" w:rsidRPr="00283806" w:rsidRDefault="001265CA">
      <w:pPr>
        <w:pStyle w:val="ListParagraph"/>
        <w:numPr>
          <w:ilvl w:val="2"/>
          <w:numId w:val="65"/>
        </w:numPr>
        <w:tabs>
          <w:tab w:val="left" w:pos="480"/>
          <w:tab w:val="left" w:pos="496"/>
        </w:tabs>
        <w:spacing w:line="228" w:lineRule="auto"/>
        <w:ind w:right="121" w:hanging="160"/>
        <w:rPr>
          <w:sz w:val="16"/>
        </w:rPr>
      </w:pPr>
      <w:r w:rsidRPr="00283806">
        <w:rPr>
          <w:w w:val="105"/>
          <w:sz w:val="16"/>
        </w:rPr>
        <w:t>Total</w:t>
      </w:r>
      <w:r w:rsidRPr="00283806">
        <w:rPr>
          <w:spacing w:val="23"/>
          <w:w w:val="105"/>
          <w:sz w:val="16"/>
        </w:rPr>
        <w:t xml:space="preserve"> </w:t>
      </w:r>
      <w:r w:rsidRPr="00283806">
        <w:rPr>
          <w:w w:val="105"/>
          <w:sz w:val="16"/>
        </w:rPr>
        <w:t>Incremental Costs and Benefits of</w:t>
      </w:r>
      <w:r w:rsidRPr="00283806">
        <w:rPr>
          <w:spacing w:val="40"/>
          <w:w w:val="105"/>
          <w:sz w:val="16"/>
        </w:rPr>
        <w:t xml:space="preserve"> </w:t>
      </w:r>
      <w:r w:rsidRPr="00283806">
        <w:rPr>
          <w:w w:val="105"/>
          <w:sz w:val="16"/>
        </w:rPr>
        <w:t>the Final Rule</w:t>
      </w:r>
    </w:p>
    <w:p w14:paraId="53CB157E" w14:textId="77777777" w:rsidR="00D67C1E" w:rsidRPr="00283806" w:rsidRDefault="001265CA">
      <w:pPr>
        <w:pStyle w:val="ListParagraph"/>
        <w:numPr>
          <w:ilvl w:val="2"/>
          <w:numId w:val="65"/>
        </w:numPr>
        <w:tabs>
          <w:tab w:val="left" w:pos="480"/>
          <w:tab w:val="left" w:pos="496"/>
        </w:tabs>
        <w:spacing w:line="228" w:lineRule="auto"/>
        <w:ind w:right="121" w:hanging="160"/>
        <w:rPr>
          <w:sz w:val="16"/>
        </w:rPr>
      </w:pPr>
      <w:r w:rsidRPr="00283806">
        <w:rPr>
          <w:w w:val="105"/>
          <w:sz w:val="16"/>
        </w:rPr>
        <w:t>Estimating</w:t>
      </w:r>
      <w:r w:rsidRPr="00283806">
        <w:rPr>
          <w:spacing w:val="22"/>
          <w:w w:val="105"/>
          <w:sz w:val="16"/>
        </w:rPr>
        <w:t xml:space="preserve"> </w:t>
      </w:r>
      <w:r w:rsidRPr="00283806">
        <w:rPr>
          <w:w w:val="105"/>
          <w:sz w:val="16"/>
        </w:rPr>
        <w:t>Costs and Benefits Based on</w:t>
      </w:r>
      <w:r w:rsidRPr="00283806">
        <w:rPr>
          <w:spacing w:val="40"/>
          <w:w w:val="105"/>
          <w:sz w:val="16"/>
        </w:rPr>
        <w:t xml:space="preserve"> </w:t>
      </w:r>
      <w:r w:rsidRPr="00283806">
        <w:rPr>
          <w:w w:val="105"/>
          <w:sz w:val="16"/>
        </w:rPr>
        <w:t>Affected Equipment and Appliances</w:t>
      </w:r>
    </w:p>
    <w:p w14:paraId="310466E1" w14:textId="77777777" w:rsidR="00D67C1E" w:rsidRPr="00283806" w:rsidRDefault="001265CA">
      <w:pPr>
        <w:pStyle w:val="ListParagraph"/>
        <w:numPr>
          <w:ilvl w:val="0"/>
          <w:numId w:val="65"/>
        </w:numPr>
        <w:tabs>
          <w:tab w:val="left" w:pos="469"/>
          <w:tab w:val="left" w:pos="480"/>
        </w:tabs>
        <w:spacing w:line="228" w:lineRule="auto"/>
        <w:ind w:left="480" w:right="130" w:hanging="320"/>
        <w:rPr>
          <w:sz w:val="16"/>
        </w:rPr>
      </w:pPr>
      <w:r w:rsidRPr="00283806">
        <w:rPr>
          <w:w w:val="110"/>
          <w:sz w:val="16"/>
        </w:rPr>
        <w:t>How</w:t>
      </w:r>
      <w:r w:rsidRPr="00283806">
        <w:rPr>
          <w:spacing w:val="-10"/>
          <w:w w:val="110"/>
          <w:sz w:val="16"/>
        </w:rPr>
        <w:t xml:space="preserve"> </w:t>
      </w:r>
      <w:r w:rsidRPr="00283806">
        <w:rPr>
          <w:w w:val="110"/>
          <w:sz w:val="16"/>
        </w:rPr>
        <w:t>is</w:t>
      </w:r>
      <w:r w:rsidRPr="00283806">
        <w:rPr>
          <w:spacing w:val="-10"/>
          <w:w w:val="110"/>
          <w:sz w:val="16"/>
        </w:rPr>
        <w:t xml:space="preserve"> </w:t>
      </w:r>
      <w:r w:rsidRPr="00283806">
        <w:rPr>
          <w:w w:val="110"/>
          <w:sz w:val="16"/>
        </w:rPr>
        <w:t>EPA</w:t>
      </w:r>
      <w:r w:rsidRPr="00283806">
        <w:rPr>
          <w:spacing w:val="-10"/>
          <w:w w:val="110"/>
          <w:sz w:val="16"/>
        </w:rPr>
        <w:t xml:space="preserve"> </w:t>
      </w:r>
      <w:r w:rsidRPr="00283806">
        <w:rPr>
          <w:w w:val="110"/>
          <w:sz w:val="16"/>
        </w:rPr>
        <w:t>considering</w:t>
      </w:r>
      <w:r w:rsidRPr="00283806">
        <w:rPr>
          <w:spacing w:val="-9"/>
          <w:w w:val="110"/>
          <w:sz w:val="16"/>
        </w:rPr>
        <w:t xml:space="preserve"> </w:t>
      </w:r>
      <w:r w:rsidRPr="00283806">
        <w:rPr>
          <w:w w:val="110"/>
          <w:sz w:val="16"/>
        </w:rPr>
        <w:t>environmental</w:t>
      </w:r>
      <w:r w:rsidRPr="00283806">
        <w:rPr>
          <w:spacing w:val="40"/>
          <w:w w:val="110"/>
          <w:sz w:val="16"/>
        </w:rPr>
        <w:t xml:space="preserve"> </w:t>
      </w:r>
      <w:r w:rsidRPr="00283806">
        <w:rPr>
          <w:spacing w:val="-2"/>
          <w:w w:val="110"/>
          <w:sz w:val="16"/>
        </w:rPr>
        <w:t>justice?</w:t>
      </w:r>
    </w:p>
    <w:p w14:paraId="10EB92FE" w14:textId="77777777" w:rsidR="00D67C1E" w:rsidRPr="00283806" w:rsidRDefault="001265CA">
      <w:pPr>
        <w:pStyle w:val="ListParagraph"/>
        <w:numPr>
          <w:ilvl w:val="0"/>
          <w:numId w:val="65"/>
        </w:numPr>
        <w:tabs>
          <w:tab w:val="left" w:pos="480"/>
          <w:tab w:val="left" w:pos="523"/>
        </w:tabs>
        <w:spacing w:line="228" w:lineRule="auto"/>
        <w:ind w:left="480" w:right="619" w:hanging="320"/>
        <w:rPr>
          <w:sz w:val="16"/>
        </w:rPr>
      </w:pPr>
      <w:r w:rsidRPr="00283806">
        <w:rPr>
          <w:w w:val="105"/>
          <w:sz w:val="16"/>
        </w:rPr>
        <w:t>How is EPA responding to other</w:t>
      </w:r>
      <w:r w:rsidRPr="00283806">
        <w:rPr>
          <w:spacing w:val="40"/>
          <w:w w:val="105"/>
          <w:sz w:val="16"/>
        </w:rPr>
        <w:t xml:space="preserve"> </w:t>
      </w:r>
      <w:r w:rsidRPr="00283806">
        <w:rPr>
          <w:w w:val="105"/>
          <w:sz w:val="16"/>
        </w:rPr>
        <w:t>comments on the proposed rule?</w:t>
      </w:r>
    </w:p>
    <w:p w14:paraId="3872D82A" w14:textId="77777777" w:rsidR="00D67C1E" w:rsidRPr="00283806" w:rsidRDefault="001265CA">
      <w:pPr>
        <w:pStyle w:val="ListParagraph"/>
        <w:numPr>
          <w:ilvl w:val="0"/>
          <w:numId w:val="65"/>
        </w:numPr>
        <w:tabs>
          <w:tab w:val="left" w:pos="416"/>
        </w:tabs>
        <w:spacing w:line="175" w:lineRule="exact"/>
        <w:ind w:left="416" w:hanging="256"/>
        <w:rPr>
          <w:sz w:val="16"/>
        </w:rPr>
      </w:pPr>
      <w:r w:rsidRPr="00283806">
        <w:rPr>
          <w:w w:val="110"/>
          <w:sz w:val="16"/>
        </w:rPr>
        <w:t>Judicial</w:t>
      </w:r>
      <w:r w:rsidRPr="00283806">
        <w:rPr>
          <w:spacing w:val="14"/>
          <w:w w:val="110"/>
          <w:sz w:val="16"/>
        </w:rPr>
        <w:t xml:space="preserve"> </w:t>
      </w:r>
      <w:r w:rsidRPr="00283806">
        <w:rPr>
          <w:spacing w:val="-2"/>
          <w:w w:val="110"/>
          <w:sz w:val="16"/>
        </w:rPr>
        <w:t>Review</w:t>
      </w:r>
    </w:p>
    <w:p w14:paraId="28DB9E73" w14:textId="77777777" w:rsidR="00D67C1E" w:rsidRPr="00283806" w:rsidRDefault="001265CA">
      <w:pPr>
        <w:pStyle w:val="ListParagraph"/>
        <w:numPr>
          <w:ilvl w:val="0"/>
          <w:numId w:val="65"/>
        </w:numPr>
        <w:tabs>
          <w:tab w:val="left" w:pos="363"/>
        </w:tabs>
        <w:spacing w:line="178" w:lineRule="exact"/>
        <w:ind w:left="363" w:hanging="203"/>
        <w:rPr>
          <w:sz w:val="16"/>
        </w:rPr>
      </w:pPr>
      <w:r w:rsidRPr="00283806">
        <w:rPr>
          <w:spacing w:val="-2"/>
          <w:w w:val="105"/>
          <w:sz w:val="16"/>
        </w:rPr>
        <w:t>Severability</w:t>
      </w:r>
    </w:p>
    <w:p w14:paraId="0C5A576E" w14:textId="77777777" w:rsidR="00D67C1E" w:rsidRPr="00283806" w:rsidRDefault="001265CA">
      <w:pPr>
        <w:pStyle w:val="ListParagraph"/>
        <w:numPr>
          <w:ilvl w:val="0"/>
          <w:numId w:val="65"/>
        </w:numPr>
        <w:tabs>
          <w:tab w:val="left" w:pos="416"/>
        </w:tabs>
        <w:spacing w:line="178" w:lineRule="exact"/>
        <w:ind w:left="416" w:hanging="256"/>
        <w:rPr>
          <w:sz w:val="16"/>
        </w:rPr>
      </w:pPr>
      <w:r w:rsidRPr="00283806">
        <w:rPr>
          <w:w w:val="105"/>
          <w:sz w:val="16"/>
        </w:rPr>
        <w:t>Statutory</w:t>
      </w:r>
      <w:r w:rsidRPr="00283806">
        <w:rPr>
          <w:spacing w:val="12"/>
          <w:w w:val="105"/>
          <w:sz w:val="16"/>
        </w:rPr>
        <w:t xml:space="preserve"> </w:t>
      </w:r>
      <w:r w:rsidRPr="00283806">
        <w:rPr>
          <w:w w:val="105"/>
          <w:sz w:val="16"/>
        </w:rPr>
        <w:t>and</w:t>
      </w:r>
      <w:r w:rsidRPr="00283806">
        <w:rPr>
          <w:spacing w:val="13"/>
          <w:w w:val="105"/>
          <w:sz w:val="16"/>
        </w:rPr>
        <w:t xml:space="preserve"> </w:t>
      </w:r>
      <w:r w:rsidRPr="00283806">
        <w:rPr>
          <w:w w:val="105"/>
          <w:sz w:val="16"/>
        </w:rPr>
        <w:t>Executive</w:t>
      </w:r>
      <w:r w:rsidRPr="00283806">
        <w:rPr>
          <w:spacing w:val="12"/>
          <w:w w:val="105"/>
          <w:sz w:val="16"/>
        </w:rPr>
        <w:t xml:space="preserve"> </w:t>
      </w:r>
      <w:r w:rsidRPr="00283806">
        <w:rPr>
          <w:w w:val="105"/>
          <w:sz w:val="16"/>
        </w:rPr>
        <w:t>Order</w:t>
      </w:r>
      <w:r w:rsidRPr="00283806">
        <w:rPr>
          <w:spacing w:val="12"/>
          <w:w w:val="105"/>
          <w:sz w:val="16"/>
        </w:rPr>
        <w:t xml:space="preserve"> </w:t>
      </w:r>
      <w:r w:rsidRPr="00283806">
        <w:rPr>
          <w:spacing w:val="-2"/>
          <w:w w:val="105"/>
          <w:sz w:val="16"/>
        </w:rPr>
        <w:t>Review</w:t>
      </w:r>
    </w:p>
    <w:p w14:paraId="00D8CC8A" w14:textId="77777777" w:rsidR="00D67C1E" w:rsidRPr="00283806" w:rsidRDefault="001265CA">
      <w:pPr>
        <w:pStyle w:val="ListParagraph"/>
        <w:numPr>
          <w:ilvl w:val="1"/>
          <w:numId w:val="65"/>
        </w:numPr>
        <w:tabs>
          <w:tab w:val="left" w:pos="480"/>
          <w:tab w:val="left" w:pos="532"/>
        </w:tabs>
        <w:spacing w:line="228" w:lineRule="auto"/>
        <w:ind w:right="244" w:hanging="160"/>
        <w:rPr>
          <w:sz w:val="16"/>
        </w:rPr>
      </w:pPr>
      <w:r w:rsidRPr="00283806">
        <w:rPr>
          <w:w w:val="105"/>
          <w:sz w:val="16"/>
        </w:rPr>
        <w:t>Executive Order 12866: Regulatory</w:t>
      </w:r>
      <w:r w:rsidRPr="00283806">
        <w:rPr>
          <w:spacing w:val="40"/>
          <w:w w:val="105"/>
          <w:sz w:val="16"/>
        </w:rPr>
        <w:t xml:space="preserve"> </w:t>
      </w:r>
      <w:r w:rsidRPr="00283806">
        <w:rPr>
          <w:w w:val="105"/>
          <w:sz w:val="16"/>
        </w:rPr>
        <w:t>Planning and Review and Executive</w:t>
      </w:r>
      <w:r w:rsidRPr="00283806">
        <w:rPr>
          <w:spacing w:val="40"/>
          <w:w w:val="105"/>
          <w:sz w:val="16"/>
        </w:rPr>
        <w:t xml:space="preserve"> </w:t>
      </w:r>
      <w:r w:rsidRPr="00283806">
        <w:rPr>
          <w:w w:val="105"/>
          <w:sz w:val="16"/>
        </w:rPr>
        <w:t>Order</w:t>
      </w:r>
      <w:r w:rsidRPr="00283806">
        <w:rPr>
          <w:spacing w:val="-1"/>
          <w:w w:val="105"/>
          <w:sz w:val="16"/>
        </w:rPr>
        <w:t xml:space="preserve"> </w:t>
      </w:r>
      <w:r w:rsidRPr="00283806">
        <w:rPr>
          <w:w w:val="105"/>
          <w:sz w:val="16"/>
        </w:rPr>
        <w:t>14094:</w:t>
      </w:r>
      <w:r w:rsidRPr="00283806">
        <w:rPr>
          <w:spacing w:val="-1"/>
          <w:w w:val="105"/>
          <w:sz w:val="16"/>
        </w:rPr>
        <w:t xml:space="preserve"> </w:t>
      </w:r>
      <w:r w:rsidRPr="00283806">
        <w:rPr>
          <w:w w:val="105"/>
          <w:sz w:val="16"/>
        </w:rPr>
        <w:t>Modernizing</w:t>
      </w:r>
      <w:r w:rsidRPr="00283806">
        <w:rPr>
          <w:spacing w:val="-1"/>
          <w:w w:val="105"/>
          <w:sz w:val="16"/>
        </w:rPr>
        <w:t xml:space="preserve"> </w:t>
      </w:r>
      <w:r w:rsidRPr="00283806">
        <w:rPr>
          <w:w w:val="105"/>
          <w:sz w:val="16"/>
        </w:rPr>
        <w:t>Regulatory</w:t>
      </w:r>
      <w:r w:rsidRPr="00283806">
        <w:rPr>
          <w:spacing w:val="40"/>
          <w:w w:val="105"/>
          <w:sz w:val="16"/>
        </w:rPr>
        <w:t xml:space="preserve"> </w:t>
      </w:r>
      <w:r w:rsidRPr="00283806">
        <w:rPr>
          <w:spacing w:val="-2"/>
          <w:w w:val="105"/>
          <w:sz w:val="16"/>
        </w:rPr>
        <w:t>Review</w:t>
      </w:r>
    </w:p>
    <w:p w14:paraId="182B78BE" w14:textId="77777777" w:rsidR="00D67C1E" w:rsidRPr="00283806" w:rsidRDefault="001265CA">
      <w:pPr>
        <w:pStyle w:val="ListParagraph"/>
        <w:numPr>
          <w:ilvl w:val="1"/>
          <w:numId w:val="65"/>
        </w:numPr>
        <w:tabs>
          <w:tab w:val="left" w:pos="514"/>
        </w:tabs>
        <w:spacing w:line="179" w:lineRule="exact"/>
        <w:ind w:left="514" w:hanging="194"/>
        <w:rPr>
          <w:sz w:val="16"/>
        </w:rPr>
      </w:pPr>
      <w:r w:rsidRPr="00283806">
        <w:rPr>
          <w:sz w:val="16"/>
        </w:rPr>
        <w:t>Paperwork</w:t>
      </w:r>
      <w:r w:rsidRPr="00283806">
        <w:rPr>
          <w:spacing w:val="44"/>
          <w:sz w:val="16"/>
        </w:rPr>
        <w:t xml:space="preserve"> </w:t>
      </w:r>
      <w:r w:rsidRPr="00283806">
        <w:rPr>
          <w:sz w:val="16"/>
        </w:rPr>
        <w:t>Reduction</w:t>
      </w:r>
      <w:r w:rsidRPr="00283806">
        <w:rPr>
          <w:spacing w:val="45"/>
          <w:sz w:val="16"/>
        </w:rPr>
        <w:t xml:space="preserve"> </w:t>
      </w:r>
      <w:r w:rsidRPr="00283806">
        <w:rPr>
          <w:sz w:val="16"/>
        </w:rPr>
        <w:t>Act</w:t>
      </w:r>
      <w:r w:rsidRPr="00283806">
        <w:rPr>
          <w:spacing w:val="45"/>
          <w:sz w:val="16"/>
        </w:rPr>
        <w:t xml:space="preserve"> </w:t>
      </w:r>
      <w:r w:rsidRPr="00283806">
        <w:rPr>
          <w:spacing w:val="-2"/>
          <w:sz w:val="16"/>
        </w:rPr>
        <w:t>(PRA)</w:t>
      </w:r>
    </w:p>
    <w:p w14:paraId="56C3C3C0" w14:textId="77777777" w:rsidR="00D67C1E" w:rsidRPr="00283806" w:rsidRDefault="001265CA">
      <w:pPr>
        <w:pStyle w:val="ListParagraph"/>
        <w:numPr>
          <w:ilvl w:val="1"/>
          <w:numId w:val="65"/>
        </w:numPr>
        <w:tabs>
          <w:tab w:val="left" w:pos="514"/>
        </w:tabs>
        <w:spacing w:line="180" w:lineRule="exact"/>
        <w:ind w:left="514" w:hanging="194"/>
        <w:rPr>
          <w:sz w:val="16"/>
        </w:rPr>
      </w:pPr>
      <w:r w:rsidRPr="00283806">
        <w:rPr>
          <w:w w:val="110"/>
          <w:sz w:val="16"/>
        </w:rPr>
        <w:t>Regulatory</w:t>
      </w:r>
      <w:r w:rsidRPr="00283806">
        <w:rPr>
          <w:spacing w:val="-3"/>
          <w:w w:val="110"/>
          <w:sz w:val="16"/>
        </w:rPr>
        <w:t xml:space="preserve"> </w:t>
      </w:r>
      <w:r w:rsidRPr="00283806">
        <w:rPr>
          <w:w w:val="110"/>
          <w:sz w:val="16"/>
        </w:rPr>
        <w:t>Flexibility</w:t>
      </w:r>
      <w:r w:rsidRPr="00283806">
        <w:rPr>
          <w:spacing w:val="-3"/>
          <w:w w:val="110"/>
          <w:sz w:val="16"/>
        </w:rPr>
        <w:t xml:space="preserve"> </w:t>
      </w:r>
      <w:r w:rsidRPr="00283806">
        <w:rPr>
          <w:w w:val="110"/>
          <w:sz w:val="16"/>
        </w:rPr>
        <w:t>Act</w:t>
      </w:r>
      <w:r w:rsidRPr="00283806">
        <w:rPr>
          <w:spacing w:val="-3"/>
          <w:w w:val="110"/>
          <w:sz w:val="16"/>
        </w:rPr>
        <w:t xml:space="preserve"> </w:t>
      </w:r>
      <w:r w:rsidRPr="00283806">
        <w:rPr>
          <w:spacing w:val="-4"/>
          <w:w w:val="110"/>
          <w:sz w:val="16"/>
        </w:rPr>
        <w:t>(RFA)</w:t>
      </w:r>
    </w:p>
    <w:p w14:paraId="2F3980F8" w14:textId="77777777" w:rsidR="00D67C1E" w:rsidRPr="00283806" w:rsidRDefault="001265CA">
      <w:pPr>
        <w:pStyle w:val="ListParagraph"/>
        <w:numPr>
          <w:ilvl w:val="1"/>
          <w:numId w:val="65"/>
        </w:numPr>
        <w:tabs>
          <w:tab w:val="left" w:pos="480"/>
          <w:tab w:val="left" w:pos="523"/>
        </w:tabs>
        <w:spacing w:before="1" w:line="230" w:lineRule="auto"/>
        <w:ind w:right="600" w:hanging="160"/>
        <w:rPr>
          <w:sz w:val="16"/>
        </w:rPr>
      </w:pPr>
      <w:r w:rsidRPr="00283806">
        <w:rPr>
          <w:w w:val="110"/>
          <w:sz w:val="16"/>
        </w:rPr>
        <w:t>Unfunded</w:t>
      </w:r>
      <w:r w:rsidRPr="00283806">
        <w:rPr>
          <w:spacing w:val="-10"/>
          <w:w w:val="110"/>
          <w:sz w:val="16"/>
        </w:rPr>
        <w:t xml:space="preserve"> </w:t>
      </w:r>
      <w:r w:rsidRPr="00283806">
        <w:rPr>
          <w:w w:val="110"/>
          <w:sz w:val="16"/>
        </w:rPr>
        <w:t>Mandates</w:t>
      </w:r>
      <w:r w:rsidRPr="00283806">
        <w:rPr>
          <w:spacing w:val="-10"/>
          <w:w w:val="110"/>
          <w:sz w:val="16"/>
        </w:rPr>
        <w:t xml:space="preserve"> </w:t>
      </w:r>
      <w:r w:rsidRPr="00283806">
        <w:rPr>
          <w:w w:val="110"/>
          <w:sz w:val="16"/>
        </w:rPr>
        <w:t>Reform</w:t>
      </w:r>
      <w:r w:rsidRPr="00283806">
        <w:rPr>
          <w:spacing w:val="-10"/>
          <w:w w:val="110"/>
          <w:sz w:val="16"/>
        </w:rPr>
        <w:t xml:space="preserve"> </w:t>
      </w:r>
      <w:r w:rsidRPr="00283806">
        <w:rPr>
          <w:w w:val="110"/>
          <w:sz w:val="16"/>
        </w:rPr>
        <w:t>Act</w:t>
      </w:r>
      <w:r w:rsidRPr="00283806">
        <w:rPr>
          <w:spacing w:val="40"/>
          <w:w w:val="110"/>
          <w:sz w:val="16"/>
        </w:rPr>
        <w:t xml:space="preserve"> </w:t>
      </w:r>
      <w:r w:rsidRPr="00283806">
        <w:rPr>
          <w:spacing w:val="-2"/>
          <w:w w:val="110"/>
          <w:sz w:val="16"/>
        </w:rPr>
        <w:t>(UMRA)</w:t>
      </w:r>
    </w:p>
    <w:p w14:paraId="4C156E94" w14:textId="77777777" w:rsidR="00D67C1E" w:rsidRPr="00283806" w:rsidRDefault="001265CA">
      <w:pPr>
        <w:pStyle w:val="ListParagraph"/>
        <w:numPr>
          <w:ilvl w:val="1"/>
          <w:numId w:val="65"/>
        </w:numPr>
        <w:tabs>
          <w:tab w:val="left" w:pos="505"/>
        </w:tabs>
        <w:spacing w:line="178" w:lineRule="exact"/>
        <w:ind w:left="505" w:hanging="185"/>
        <w:jc w:val="both"/>
        <w:rPr>
          <w:sz w:val="16"/>
        </w:rPr>
      </w:pPr>
      <w:r w:rsidRPr="00283806">
        <w:rPr>
          <w:w w:val="105"/>
          <w:sz w:val="16"/>
        </w:rPr>
        <w:t>Executive</w:t>
      </w:r>
      <w:r w:rsidRPr="00283806">
        <w:rPr>
          <w:spacing w:val="4"/>
          <w:w w:val="105"/>
          <w:sz w:val="16"/>
        </w:rPr>
        <w:t xml:space="preserve"> </w:t>
      </w:r>
      <w:r w:rsidRPr="00283806">
        <w:rPr>
          <w:w w:val="105"/>
          <w:sz w:val="16"/>
        </w:rPr>
        <w:t>Order</w:t>
      </w:r>
      <w:r w:rsidRPr="00283806">
        <w:rPr>
          <w:spacing w:val="5"/>
          <w:w w:val="105"/>
          <w:sz w:val="16"/>
        </w:rPr>
        <w:t xml:space="preserve"> </w:t>
      </w:r>
      <w:r w:rsidRPr="00283806">
        <w:rPr>
          <w:w w:val="105"/>
          <w:sz w:val="16"/>
        </w:rPr>
        <w:t>13132:</w:t>
      </w:r>
      <w:r w:rsidRPr="00283806">
        <w:rPr>
          <w:spacing w:val="5"/>
          <w:w w:val="105"/>
          <w:sz w:val="16"/>
        </w:rPr>
        <w:t xml:space="preserve"> </w:t>
      </w:r>
      <w:r w:rsidRPr="00283806">
        <w:rPr>
          <w:spacing w:val="-2"/>
          <w:w w:val="105"/>
          <w:sz w:val="16"/>
        </w:rPr>
        <w:t>Federalism</w:t>
      </w:r>
    </w:p>
    <w:p w14:paraId="6D3FFE5A" w14:textId="77777777" w:rsidR="00D67C1E" w:rsidRPr="00283806" w:rsidRDefault="001265CA">
      <w:pPr>
        <w:pStyle w:val="ListParagraph"/>
        <w:numPr>
          <w:ilvl w:val="1"/>
          <w:numId w:val="65"/>
        </w:numPr>
        <w:tabs>
          <w:tab w:val="left" w:pos="480"/>
          <w:tab w:val="left" w:pos="505"/>
        </w:tabs>
        <w:spacing w:before="2" w:line="230" w:lineRule="auto"/>
        <w:ind w:right="289" w:hanging="160"/>
        <w:jc w:val="both"/>
        <w:rPr>
          <w:sz w:val="16"/>
        </w:rPr>
      </w:pPr>
      <w:r w:rsidRPr="00283806">
        <w:rPr>
          <w:w w:val="105"/>
          <w:sz w:val="16"/>
        </w:rPr>
        <w:t>Executive Order 13175: Consultation</w:t>
      </w:r>
      <w:r w:rsidRPr="00283806">
        <w:rPr>
          <w:spacing w:val="40"/>
          <w:w w:val="105"/>
          <w:sz w:val="16"/>
        </w:rPr>
        <w:t xml:space="preserve"> </w:t>
      </w:r>
      <w:r w:rsidRPr="00283806">
        <w:rPr>
          <w:w w:val="105"/>
          <w:sz w:val="16"/>
        </w:rPr>
        <w:t xml:space="preserve">and Coordination </w:t>
      </w:r>
      <w:proofErr w:type="gramStart"/>
      <w:r w:rsidRPr="00283806">
        <w:rPr>
          <w:w w:val="105"/>
          <w:sz w:val="16"/>
        </w:rPr>
        <w:t>With</w:t>
      </w:r>
      <w:proofErr w:type="gramEnd"/>
      <w:r w:rsidRPr="00283806">
        <w:rPr>
          <w:w w:val="105"/>
          <w:sz w:val="16"/>
        </w:rPr>
        <w:t xml:space="preserve"> Indian Tribal</w:t>
      </w:r>
      <w:r w:rsidRPr="00283806">
        <w:rPr>
          <w:spacing w:val="40"/>
          <w:w w:val="105"/>
          <w:sz w:val="16"/>
        </w:rPr>
        <w:t xml:space="preserve"> </w:t>
      </w:r>
      <w:r w:rsidRPr="00283806">
        <w:rPr>
          <w:spacing w:val="-2"/>
          <w:w w:val="105"/>
          <w:sz w:val="16"/>
        </w:rPr>
        <w:t>Governments</w:t>
      </w:r>
    </w:p>
    <w:p w14:paraId="4B0DB3B0" w14:textId="77777777" w:rsidR="00D67C1E" w:rsidRPr="00283806" w:rsidRDefault="001265CA">
      <w:pPr>
        <w:pStyle w:val="ListParagraph"/>
        <w:numPr>
          <w:ilvl w:val="1"/>
          <w:numId w:val="65"/>
        </w:numPr>
        <w:tabs>
          <w:tab w:val="left" w:pos="480"/>
          <w:tab w:val="left" w:pos="523"/>
        </w:tabs>
        <w:spacing w:line="230" w:lineRule="auto"/>
        <w:ind w:right="271" w:hanging="160"/>
        <w:jc w:val="both"/>
        <w:rPr>
          <w:sz w:val="16"/>
        </w:rPr>
      </w:pPr>
      <w:r w:rsidRPr="00283806">
        <w:rPr>
          <w:w w:val="105"/>
          <w:sz w:val="16"/>
        </w:rPr>
        <w:t>Executive Order 13045: Protection of</w:t>
      </w:r>
      <w:r w:rsidRPr="00283806">
        <w:rPr>
          <w:spacing w:val="40"/>
          <w:w w:val="105"/>
          <w:sz w:val="16"/>
        </w:rPr>
        <w:t xml:space="preserve"> </w:t>
      </w:r>
      <w:r w:rsidRPr="00283806">
        <w:rPr>
          <w:w w:val="105"/>
          <w:sz w:val="16"/>
        </w:rPr>
        <w:t xml:space="preserve">Children </w:t>
      </w:r>
      <w:proofErr w:type="gramStart"/>
      <w:r w:rsidRPr="00283806">
        <w:rPr>
          <w:w w:val="105"/>
          <w:sz w:val="16"/>
        </w:rPr>
        <w:t>From</w:t>
      </w:r>
      <w:proofErr w:type="gramEnd"/>
      <w:r w:rsidRPr="00283806">
        <w:rPr>
          <w:w w:val="105"/>
          <w:sz w:val="16"/>
        </w:rPr>
        <w:t xml:space="preserve"> Environmental Health</w:t>
      </w:r>
      <w:r w:rsidRPr="00283806">
        <w:rPr>
          <w:spacing w:val="40"/>
          <w:w w:val="105"/>
          <w:sz w:val="16"/>
        </w:rPr>
        <w:t xml:space="preserve"> </w:t>
      </w:r>
      <w:r w:rsidRPr="00283806">
        <w:rPr>
          <w:w w:val="105"/>
          <w:sz w:val="16"/>
        </w:rPr>
        <w:t>and Safety Risks</w:t>
      </w:r>
    </w:p>
    <w:p w14:paraId="67B33D7A" w14:textId="77777777" w:rsidR="00D67C1E" w:rsidRPr="00283806" w:rsidRDefault="001265CA">
      <w:pPr>
        <w:pStyle w:val="ListParagraph"/>
        <w:numPr>
          <w:ilvl w:val="1"/>
          <w:numId w:val="65"/>
        </w:numPr>
        <w:tabs>
          <w:tab w:val="left" w:pos="480"/>
          <w:tab w:val="left" w:pos="532"/>
        </w:tabs>
        <w:spacing w:line="230" w:lineRule="auto"/>
        <w:ind w:right="253" w:hanging="160"/>
        <w:rPr>
          <w:sz w:val="16"/>
        </w:rPr>
      </w:pPr>
      <w:r w:rsidRPr="00283806">
        <w:rPr>
          <w:w w:val="105"/>
          <w:sz w:val="16"/>
        </w:rPr>
        <w:t>Executive Order 13211: Actions That</w:t>
      </w:r>
      <w:r w:rsidRPr="00283806">
        <w:rPr>
          <w:spacing w:val="40"/>
          <w:w w:val="105"/>
          <w:sz w:val="16"/>
        </w:rPr>
        <w:t xml:space="preserve"> </w:t>
      </w:r>
      <w:r w:rsidRPr="00283806">
        <w:rPr>
          <w:w w:val="105"/>
          <w:sz w:val="16"/>
        </w:rPr>
        <w:t>Significantly Affect Energy Supply,</w:t>
      </w:r>
      <w:r w:rsidRPr="00283806">
        <w:rPr>
          <w:spacing w:val="40"/>
          <w:w w:val="105"/>
          <w:sz w:val="16"/>
        </w:rPr>
        <w:t xml:space="preserve"> </w:t>
      </w:r>
      <w:r w:rsidRPr="00283806">
        <w:rPr>
          <w:w w:val="105"/>
          <w:sz w:val="16"/>
        </w:rPr>
        <w:t>Distribution, or Use</w:t>
      </w:r>
    </w:p>
    <w:p w14:paraId="624A69A7" w14:textId="77777777" w:rsidR="00D67C1E" w:rsidRPr="00283806" w:rsidRDefault="001265CA">
      <w:pPr>
        <w:pStyle w:val="ListParagraph"/>
        <w:numPr>
          <w:ilvl w:val="1"/>
          <w:numId w:val="65"/>
        </w:numPr>
        <w:tabs>
          <w:tab w:val="left" w:pos="461"/>
          <w:tab w:val="left" w:pos="480"/>
        </w:tabs>
        <w:spacing w:line="230" w:lineRule="auto"/>
        <w:ind w:right="529" w:hanging="160"/>
        <w:rPr>
          <w:sz w:val="16"/>
        </w:rPr>
      </w:pPr>
      <w:r w:rsidRPr="00283806">
        <w:rPr>
          <w:spacing w:val="-2"/>
          <w:w w:val="110"/>
          <w:sz w:val="16"/>
        </w:rPr>
        <w:t>National</w:t>
      </w:r>
      <w:r w:rsidRPr="00283806">
        <w:rPr>
          <w:spacing w:val="-8"/>
          <w:w w:val="110"/>
          <w:sz w:val="16"/>
        </w:rPr>
        <w:t xml:space="preserve"> </w:t>
      </w:r>
      <w:r w:rsidRPr="00283806">
        <w:rPr>
          <w:spacing w:val="-2"/>
          <w:w w:val="110"/>
          <w:sz w:val="16"/>
        </w:rPr>
        <w:t>Technology</w:t>
      </w:r>
      <w:r w:rsidRPr="00283806">
        <w:rPr>
          <w:spacing w:val="-8"/>
          <w:w w:val="110"/>
          <w:sz w:val="16"/>
        </w:rPr>
        <w:t xml:space="preserve"> </w:t>
      </w:r>
      <w:r w:rsidRPr="00283806">
        <w:rPr>
          <w:spacing w:val="-2"/>
          <w:w w:val="110"/>
          <w:sz w:val="16"/>
        </w:rPr>
        <w:t>Transfer</w:t>
      </w:r>
      <w:r w:rsidRPr="00283806">
        <w:rPr>
          <w:spacing w:val="-8"/>
          <w:w w:val="110"/>
          <w:sz w:val="16"/>
        </w:rPr>
        <w:t xml:space="preserve"> </w:t>
      </w:r>
      <w:r w:rsidRPr="00283806">
        <w:rPr>
          <w:spacing w:val="-2"/>
          <w:w w:val="110"/>
          <w:sz w:val="16"/>
        </w:rPr>
        <w:t>and</w:t>
      </w:r>
      <w:r w:rsidRPr="00283806">
        <w:rPr>
          <w:spacing w:val="40"/>
          <w:w w:val="110"/>
          <w:sz w:val="16"/>
        </w:rPr>
        <w:t xml:space="preserve"> </w:t>
      </w:r>
      <w:r w:rsidRPr="00283806">
        <w:rPr>
          <w:w w:val="110"/>
          <w:sz w:val="16"/>
        </w:rPr>
        <w:t>Advancement Act (NTTAA)</w:t>
      </w:r>
    </w:p>
    <w:p w14:paraId="5BC420EE" w14:textId="77777777" w:rsidR="00D67C1E" w:rsidRPr="00283806" w:rsidRDefault="001265CA">
      <w:pPr>
        <w:pStyle w:val="ListParagraph"/>
        <w:numPr>
          <w:ilvl w:val="1"/>
          <w:numId w:val="65"/>
        </w:numPr>
        <w:tabs>
          <w:tab w:val="left" w:pos="461"/>
          <w:tab w:val="left" w:pos="480"/>
        </w:tabs>
        <w:spacing w:line="230" w:lineRule="auto"/>
        <w:ind w:right="58" w:hanging="160"/>
        <w:rPr>
          <w:sz w:val="16"/>
        </w:rPr>
      </w:pPr>
      <w:r w:rsidRPr="00283806">
        <w:rPr>
          <w:w w:val="105"/>
          <w:sz w:val="16"/>
        </w:rPr>
        <w:t>Executive Order 12898: Federal Actions</w:t>
      </w:r>
      <w:r w:rsidRPr="00283806">
        <w:rPr>
          <w:spacing w:val="40"/>
          <w:w w:val="105"/>
          <w:sz w:val="16"/>
        </w:rPr>
        <w:t xml:space="preserve"> </w:t>
      </w:r>
      <w:proofErr w:type="gramStart"/>
      <w:r w:rsidRPr="00283806">
        <w:rPr>
          <w:w w:val="105"/>
          <w:sz w:val="16"/>
        </w:rPr>
        <w:t>To</w:t>
      </w:r>
      <w:proofErr w:type="gramEnd"/>
      <w:r w:rsidRPr="00283806">
        <w:rPr>
          <w:w w:val="105"/>
          <w:sz w:val="16"/>
        </w:rPr>
        <w:t xml:space="preserve"> Address Environmental Justice in</w:t>
      </w:r>
      <w:r w:rsidRPr="00283806">
        <w:rPr>
          <w:spacing w:val="40"/>
          <w:w w:val="105"/>
          <w:sz w:val="16"/>
        </w:rPr>
        <w:t xml:space="preserve"> </w:t>
      </w:r>
      <w:r w:rsidRPr="00283806">
        <w:rPr>
          <w:w w:val="105"/>
          <w:sz w:val="16"/>
        </w:rPr>
        <w:t>Minority Populations and Low-Income</w:t>
      </w:r>
      <w:r w:rsidRPr="00283806">
        <w:rPr>
          <w:spacing w:val="40"/>
          <w:w w:val="105"/>
          <w:sz w:val="16"/>
        </w:rPr>
        <w:t xml:space="preserve"> </w:t>
      </w:r>
      <w:r w:rsidRPr="00283806">
        <w:rPr>
          <w:w w:val="105"/>
          <w:sz w:val="16"/>
        </w:rPr>
        <w:t>Populations and Executive Order 14096:</w:t>
      </w:r>
      <w:r w:rsidRPr="00283806">
        <w:rPr>
          <w:spacing w:val="40"/>
          <w:w w:val="105"/>
          <w:sz w:val="16"/>
        </w:rPr>
        <w:t xml:space="preserve"> </w:t>
      </w:r>
      <w:r w:rsidRPr="00283806">
        <w:rPr>
          <w:w w:val="105"/>
          <w:sz w:val="16"/>
        </w:rPr>
        <w:t>Revitalizing Our Nation’s Commitment</w:t>
      </w:r>
      <w:r w:rsidRPr="00283806">
        <w:rPr>
          <w:spacing w:val="80"/>
          <w:w w:val="105"/>
          <w:sz w:val="16"/>
        </w:rPr>
        <w:t xml:space="preserve"> </w:t>
      </w:r>
      <w:r w:rsidRPr="00283806">
        <w:rPr>
          <w:w w:val="105"/>
          <w:sz w:val="16"/>
        </w:rPr>
        <w:t>to Environmental Justice for All</w:t>
      </w:r>
    </w:p>
    <w:p w14:paraId="0E302E92" w14:textId="77777777" w:rsidR="00D67C1E" w:rsidRPr="00283806" w:rsidRDefault="001265CA">
      <w:pPr>
        <w:pStyle w:val="ListParagraph"/>
        <w:numPr>
          <w:ilvl w:val="1"/>
          <w:numId w:val="65"/>
        </w:numPr>
        <w:tabs>
          <w:tab w:val="left" w:pos="523"/>
        </w:tabs>
        <w:spacing w:line="181" w:lineRule="exact"/>
        <w:ind w:left="523" w:hanging="203"/>
        <w:rPr>
          <w:sz w:val="16"/>
        </w:rPr>
      </w:pPr>
      <w:r w:rsidRPr="00283806">
        <w:rPr>
          <w:sz w:val="16"/>
        </w:rPr>
        <w:t>Congressional</w:t>
      </w:r>
      <w:r w:rsidRPr="00283806">
        <w:rPr>
          <w:spacing w:val="49"/>
          <w:sz w:val="16"/>
        </w:rPr>
        <w:t xml:space="preserve"> </w:t>
      </w:r>
      <w:r w:rsidRPr="00283806">
        <w:rPr>
          <w:sz w:val="16"/>
        </w:rPr>
        <w:t>Review</w:t>
      </w:r>
      <w:r w:rsidRPr="00283806">
        <w:rPr>
          <w:spacing w:val="50"/>
          <w:sz w:val="16"/>
        </w:rPr>
        <w:t xml:space="preserve"> </w:t>
      </w:r>
      <w:r w:rsidRPr="00283806">
        <w:rPr>
          <w:sz w:val="16"/>
        </w:rPr>
        <w:t>Act</w:t>
      </w:r>
      <w:r w:rsidRPr="00283806">
        <w:rPr>
          <w:spacing w:val="49"/>
          <w:sz w:val="16"/>
        </w:rPr>
        <w:t xml:space="preserve"> </w:t>
      </w:r>
      <w:r w:rsidRPr="00283806">
        <w:rPr>
          <w:spacing w:val="-2"/>
          <w:sz w:val="16"/>
        </w:rPr>
        <w:t>(CRA)</w:t>
      </w:r>
    </w:p>
    <w:p w14:paraId="69773DED" w14:textId="77777777" w:rsidR="00D67C1E" w:rsidRPr="00283806" w:rsidRDefault="001265CA">
      <w:pPr>
        <w:pStyle w:val="Heading3"/>
        <w:numPr>
          <w:ilvl w:val="0"/>
          <w:numId w:val="64"/>
        </w:numPr>
        <w:tabs>
          <w:tab w:val="left" w:pos="329"/>
        </w:tabs>
        <w:spacing w:before="100"/>
        <w:ind w:hanging="169"/>
        <w:rPr>
          <w:rFonts w:ascii="Book Antiqua"/>
        </w:rPr>
      </w:pPr>
      <w:r w:rsidRPr="00283806">
        <w:rPr>
          <w:rFonts w:ascii="Book Antiqua"/>
        </w:rPr>
        <w:t>Executive</w:t>
      </w:r>
      <w:r w:rsidRPr="00283806">
        <w:rPr>
          <w:rFonts w:ascii="Book Antiqua"/>
          <w:spacing w:val="19"/>
        </w:rPr>
        <w:t xml:space="preserve"> </w:t>
      </w:r>
      <w:r w:rsidRPr="00283806">
        <w:rPr>
          <w:rFonts w:ascii="Book Antiqua"/>
          <w:spacing w:val="-2"/>
        </w:rPr>
        <w:t>Summary</w:t>
      </w:r>
    </w:p>
    <w:p w14:paraId="1E8F915B" w14:textId="77777777" w:rsidR="00D67C1E" w:rsidRPr="00283806" w:rsidRDefault="001265CA">
      <w:pPr>
        <w:pStyle w:val="ListParagraph"/>
        <w:numPr>
          <w:ilvl w:val="1"/>
          <w:numId w:val="64"/>
        </w:numPr>
        <w:tabs>
          <w:tab w:val="left" w:pos="395"/>
        </w:tabs>
        <w:spacing w:before="99" w:line="220" w:lineRule="auto"/>
        <w:ind w:right="767" w:firstLine="0"/>
        <w:rPr>
          <w:rFonts w:ascii="Book Antiqua"/>
          <w:i/>
          <w:sz w:val="18"/>
        </w:rPr>
      </w:pPr>
      <w:r w:rsidRPr="00283806">
        <w:rPr>
          <w:rFonts w:ascii="Book Antiqua"/>
          <w:i/>
          <w:w w:val="115"/>
          <w:sz w:val="18"/>
        </w:rPr>
        <w:t>What</w:t>
      </w:r>
      <w:r w:rsidRPr="00283806">
        <w:rPr>
          <w:rFonts w:ascii="Book Antiqua"/>
          <w:i/>
          <w:spacing w:val="-5"/>
          <w:w w:val="115"/>
          <w:sz w:val="18"/>
        </w:rPr>
        <w:t xml:space="preserve"> </w:t>
      </w:r>
      <w:r w:rsidRPr="00283806">
        <w:rPr>
          <w:rFonts w:ascii="Book Antiqua"/>
          <w:i/>
          <w:w w:val="115"/>
          <w:sz w:val="18"/>
        </w:rPr>
        <w:t>is</w:t>
      </w:r>
      <w:r w:rsidRPr="00283806">
        <w:rPr>
          <w:rFonts w:ascii="Book Antiqua"/>
          <w:i/>
          <w:spacing w:val="-5"/>
          <w:w w:val="115"/>
          <w:sz w:val="18"/>
        </w:rPr>
        <w:t xml:space="preserve"> </w:t>
      </w:r>
      <w:r w:rsidRPr="00283806">
        <w:rPr>
          <w:rFonts w:ascii="Book Antiqua"/>
          <w:i/>
          <w:w w:val="115"/>
          <w:sz w:val="18"/>
        </w:rPr>
        <w:t>the</w:t>
      </w:r>
      <w:r w:rsidRPr="00283806">
        <w:rPr>
          <w:rFonts w:ascii="Book Antiqua"/>
          <w:i/>
          <w:spacing w:val="-5"/>
          <w:w w:val="115"/>
          <w:sz w:val="18"/>
        </w:rPr>
        <w:t xml:space="preserve"> </w:t>
      </w:r>
      <w:r w:rsidRPr="00283806">
        <w:rPr>
          <w:rFonts w:ascii="Book Antiqua"/>
          <w:i/>
          <w:w w:val="115"/>
          <w:sz w:val="18"/>
        </w:rPr>
        <w:t>purpose</w:t>
      </w:r>
      <w:r w:rsidRPr="00283806">
        <w:rPr>
          <w:rFonts w:ascii="Book Antiqua"/>
          <w:i/>
          <w:spacing w:val="-5"/>
          <w:w w:val="115"/>
          <w:sz w:val="18"/>
        </w:rPr>
        <w:t xml:space="preserve"> </w:t>
      </w:r>
      <w:r w:rsidRPr="00283806">
        <w:rPr>
          <w:rFonts w:ascii="Book Antiqua"/>
          <w:i/>
          <w:w w:val="115"/>
          <w:sz w:val="18"/>
        </w:rPr>
        <w:t>of</w:t>
      </w:r>
      <w:r w:rsidRPr="00283806">
        <w:rPr>
          <w:rFonts w:ascii="Book Antiqua"/>
          <w:i/>
          <w:spacing w:val="-5"/>
          <w:w w:val="115"/>
          <w:sz w:val="18"/>
        </w:rPr>
        <w:t xml:space="preserve"> </w:t>
      </w:r>
      <w:r w:rsidRPr="00283806">
        <w:rPr>
          <w:rFonts w:ascii="Book Antiqua"/>
          <w:i/>
          <w:w w:val="115"/>
          <w:sz w:val="18"/>
        </w:rPr>
        <w:t xml:space="preserve">these </w:t>
      </w:r>
      <w:r w:rsidRPr="00283806">
        <w:rPr>
          <w:rFonts w:ascii="Book Antiqua"/>
          <w:i/>
          <w:spacing w:val="-2"/>
          <w:w w:val="115"/>
          <w:sz w:val="18"/>
        </w:rPr>
        <w:t>regulations?</w:t>
      </w:r>
    </w:p>
    <w:p w14:paraId="04C804E3" w14:textId="77777777" w:rsidR="00D67C1E" w:rsidRPr="00283806" w:rsidRDefault="001265CA">
      <w:pPr>
        <w:pStyle w:val="BodyText"/>
        <w:spacing w:before="55" w:line="228" w:lineRule="auto"/>
        <w:ind w:right="42" w:firstLine="180"/>
      </w:pPr>
      <w:r w:rsidRPr="00283806">
        <w:rPr>
          <w:w w:val="105"/>
        </w:rPr>
        <w:t>The Environmental Protection Agency (EPA) is issuing regulations to</w:t>
      </w:r>
      <w:r w:rsidRPr="00283806">
        <w:rPr>
          <w:spacing w:val="80"/>
          <w:w w:val="105"/>
        </w:rPr>
        <w:t xml:space="preserve"> </w:t>
      </w:r>
      <w:r w:rsidRPr="00283806">
        <w:rPr>
          <w:w w:val="105"/>
        </w:rPr>
        <w:t>implement certain provisions of the American Innovation and</w:t>
      </w:r>
    </w:p>
    <w:p w14:paraId="08702E1E" w14:textId="77777777" w:rsidR="00D67C1E" w:rsidRPr="00283806" w:rsidRDefault="001265CA">
      <w:pPr>
        <w:pStyle w:val="BodyText"/>
        <w:spacing w:before="134" w:line="228" w:lineRule="auto"/>
        <w:ind w:left="152" w:right="171"/>
      </w:pPr>
      <w:r w:rsidRPr="00283806">
        <w:br w:type="column"/>
      </w:r>
      <w:r w:rsidRPr="00283806">
        <w:rPr>
          <w:w w:val="110"/>
        </w:rPr>
        <w:t>Manufacturing</w:t>
      </w:r>
      <w:r w:rsidRPr="00283806">
        <w:rPr>
          <w:spacing w:val="-10"/>
          <w:w w:val="110"/>
        </w:rPr>
        <w:t xml:space="preserve"> </w:t>
      </w:r>
      <w:r w:rsidRPr="00283806">
        <w:rPr>
          <w:w w:val="110"/>
        </w:rPr>
        <w:t>Act</w:t>
      </w:r>
      <w:r w:rsidRPr="00283806">
        <w:rPr>
          <w:spacing w:val="-10"/>
          <w:w w:val="110"/>
        </w:rPr>
        <w:t xml:space="preserve"> </w:t>
      </w:r>
      <w:r w:rsidRPr="00283806">
        <w:rPr>
          <w:w w:val="110"/>
        </w:rPr>
        <w:t>of</w:t>
      </w:r>
      <w:r w:rsidRPr="00283806">
        <w:rPr>
          <w:spacing w:val="-10"/>
          <w:w w:val="110"/>
        </w:rPr>
        <w:t xml:space="preserve"> </w:t>
      </w:r>
      <w:r w:rsidRPr="00283806">
        <w:rPr>
          <w:w w:val="110"/>
        </w:rPr>
        <w:t>2020,</w:t>
      </w:r>
      <w:r w:rsidRPr="00283806">
        <w:rPr>
          <w:spacing w:val="-10"/>
          <w:w w:val="110"/>
        </w:rPr>
        <w:t xml:space="preserve"> </w:t>
      </w:r>
      <w:r w:rsidRPr="00283806">
        <w:rPr>
          <w:w w:val="110"/>
        </w:rPr>
        <w:t>codified</w:t>
      </w:r>
      <w:r w:rsidRPr="00283806">
        <w:rPr>
          <w:spacing w:val="-10"/>
          <w:w w:val="110"/>
        </w:rPr>
        <w:t xml:space="preserve"> </w:t>
      </w:r>
      <w:r w:rsidRPr="00283806">
        <w:rPr>
          <w:w w:val="110"/>
        </w:rPr>
        <w:t>at 42</w:t>
      </w:r>
      <w:r w:rsidRPr="00283806">
        <w:rPr>
          <w:spacing w:val="3"/>
          <w:w w:val="110"/>
        </w:rPr>
        <w:t xml:space="preserve"> </w:t>
      </w:r>
      <w:r w:rsidRPr="00283806">
        <w:rPr>
          <w:w w:val="110"/>
        </w:rPr>
        <w:t>U.S.C.</w:t>
      </w:r>
      <w:r w:rsidRPr="00283806">
        <w:rPr>
          <w:spacing w:val="4"/>
          <w:w w:val="110"/>
        </w:rPr>
        <w:t xml:space="preserve"> </w:t>
      </w:r>
      <w:r w:rsidRPr="00283806">
        <w:rPr>
          <w:w w:val="110"/>
        </w:rPr>
        <w:t>7675</w:t>
      </w:r>
      <w:r w:rsidRPr="00283806">
        <w:rPr>
          <w:spacing w:val="4"/>
          <w:w w:val="110"/>
        </w:rPr>
        <w:t xml:space="preserve"> </w:t>
      </w:r>
      <w:r w:rsidRPr="00283806">
        <w:rPr>
          <w:w w:val="110"/>
        </w:rPr>
        <w:t>(AIM</w:t>
      </w:r>
      <w:r w:rsidRPr="00283806">
        <w:rPr>
          <w:spacing w:val="4"/>
          <w:w w:val="110"/>
        </w:rPr>
        <w:t xml:space="preserve"> </w:t>
      </w:r>
      <w:r w:rsidRPr="00283806">
        <w:rPr>
          <w:w w:val="110"/>
        </w:rPr>
        <w:t>Act</w:t>
      </w:r>
      <w:r w:rsidRPr="00283806">
        <w:rPr>
          <w:spacing w:val="4"/>
          <w:w w:val="110"/>
        </w:rPr>
        <w:t xml:space="preserve"> </w:t>
      </w:r>
      <w:r w:rsidRPr="00283806">
        <w:rPr>
          <w:w w:val="110"/>
        </w:rPr>
        <w:t>or</w:t>
      </w:r>
      <w:r w:rsidRPr="00283806">
        <w:rPr>
          <w:spacing w:val="4"/>
          <w:w w:val="110"/>
        </w:rPr>
        <w:t xml:space="preserve"> </w:t>
      </w:r>
      <w:r w:rsidRPr="00283806">
        <w:rPr>
          <w:w w:val="110"/>
        </w:rPr>
        <w:t>‘‘the</w:t>
      </w:r>
      <w:r w:rsidRPr="00283806">
        <w:rPr>
          <w:spacing w:val="4"/>
          <w:w w:val="110"/>
        </w:rPr>
        <w:t xml:space="preserve"> </w:t>
      </w:r>
      <w:r w:rsidRPr="00283806">
        <w:rPr>
          <w:spacing w:val="-2"/>
          <w:w w:val="110"/>
        </w:rPr>
        <w:t>Act’’).</w:t>
      </w:r>
    </w:p>
    <w:p w14:paraId="52A5EA79" w14:textId="77777777" w:rsidR="00D67C1E" w:rsidRPr="00283806" w:rsidRDefault="001265CA">
      <w:pPr>
        <w:pStyle w:val="BodyText"/>
        <w:spacing w:line="228" w:lineRule="auto"/>
        <w:ind w:left="152" w:right="162"/>
      </w:pPr>
      <w:r w:rsidRPr="00283806">
        <w:rPr>
          <w:w w:val="105"/>
        </w:rPr>
        <w:t>The AIM Act authorizes EPA to address hydrofluorocarbons (HFCs) in three</w:t>
      </w:r>
      <w:r w:rsidRPr="00283806">
        <w:rPr>
          <w:spacing w:val="80"/>
          <w:w w:val="105"/>
        </w:rPr>
        <w:t xml:space="preserve"> </w:t>
      </w:r>
      <w:r w:rsidRPr="00283806">
        <w:rPr>
          <w:w w:val="105"/>
        </w:rPr>
        <w:t>main ways: Phasing down HFC production</w:t>
      </w:r>
      <w:r w:rsidRPr="00283806">
        <w:rPr>
          <w:spacing w:val="40"/>
          <w:w w:val="105"/>
        </w:rPr>
        <w:t xml:space="preserve"> </w:t>
      </w:r>
      <w:r w:rsidRPr="00283806">
        <w:rPr>
          <w:w w:val="105"/>
        </w:rPr>
        <w:t>and</w:t>
      </w:r>
      <w:r w:rsidRPr="00283806">
        <w:rPr>
          <w:spacing w:val="40"/>
          <w:w w:val="105"/>
        </w:rPr>
        <w:t xml:space="preserve"> </w:t>
      </w:r>
      <w:r w:rsidRPr="00283806">
        <w:rPr>
          <w:w w:val="105"/>
        </w:rPr>
        <w:t>consumption</w:t>
      </w:r>
      <w:r w:rsidRPr="00283806">
        <w:rPr>
          <w:spacing w:val="40"/>
          <w:w w:val="105"/>
        </w:rPr>
        <w:t xml:space="preserve"> </w:t>
      </w:r>
      <w:r w:rsidRPr="00283806">
        <w:rPr>
          <w:w w:val="105"/>
        </w:rPr>
        <w:t>through</w:t>
      </w:r>
      <w:r w:rsidRPr="00283806">
        <w:rPr>
          <w:spacing w:val="40"/>
          <w:w w:val="105"/>
        </w:rPr>
        <w:t xml:space="preserve"> </w:t>
      </w:r>
      <w:r w:rsidRPr="00283806">
        <w:rPr>
          <w:w w:val="105"/>
        </w:rPr>
        <w:t xml:space="preserve">an allowance allocation program; </w:t>
      </w:r>
      <w:r w:rsidRPr="00283806">
        <w:rPr>
          <w:w w:val="105"/>
          <w:position w:val="5"/>
          <w:sz w:val="11"/>
        </w:rPr>
        <w:t>1</w:t>
      </w:r>
      <w:r w:rsidRPr="00283806">
        <w:rPr>
          <w:spacing w:val="40"/>
          <w:w w:val="105"/>
          <w:position w:val="5"/>
          <w:sz w:val="11"/>
        </w:rPr>
        <w:t xml:space="preserve"> </w:t>
      </w:r>
      <w:r w:rsidRPr="00283806">
        <w:rPr>
          <w:w w:val="105"/>
        </w:rPr>
        <w:t>facilitating the transition to next- generation technologies by restricting</w:t>
      </w:r>
      <w:r w:rsidRPr="00283806">
        <w:rPr>
          <w:spacing w:val="40"/>
          <w:w w:val="105"/>
        </w:rPr>
        <w:t xml:space="preserve"> </w:t>
      </w:r>
      <w:r w:rsidRPr="00283806">
        <w:rPr>
          <w:w w:val="105"/>
        </w:rPr>
        <w:t>use of these HFCs in the sector or subsectors in which they are used;</w:t>
      </w:r>
      <w:r w:rsidRPr="00283806">
        <w:rPr>
          <w:spacing w:val="-7"/>
          <w:w w:val="105"/>
        </w:rPr>
        <w:t xml:space="preserve"> </w:t>
      </w:r>
      <w:r w:rsidRPr="00283806">
        <w:rPr>
          <w:w w:val="105"/>
          <w:position w:val="5"/>
          <w:sz w:val="11"/>
        </w:rPr>
        <w:t>2</w:t>
      </w:r>
      <w:r w:rsidRPr="00283806">
        <w:rPr>
          <w:spacing w:val="32"/>
          <w:w w:val="105"/>
          <w:position w:val="5"/>
          <w:sz w:val="11"/>
        </w:rPr>
        <w:t xml:space="preserve"> </w:t>
      </w:r>
      <w:r w:rsidRPr="00283806">
        <w:rPr>
          <w:w w:val="105"/>
        </w:rPr>
        <w:t xml:space="preserve">and promulgating certain regulations for purposes of maximizing reclaiming and minimizing releases of HFCs from equipment and ensuring the safety of technicians and consumers. This rulemaking focuses on the third area— establishing certain regulations for HFCs and their substitutes for the purposes of maximizing reclaiming and minimizing releases of HFCs from equipment and ensuring the safety of technicians and </w:t>
      </w:r>
      <w:r w:rsidRPr="00283806">
        <w:rPr>
          <w:spacing w:val="-2"/>
          <w:w w:val="105"/>
        </w:rPr>
        <w:t>consumers.</w:t>
      </w:r>
    </w:p>
    <w:p w14:paraId="4220F8ED" w14:textId="77777777" w:rsidR="00D67C1E" w:rsidRPr="00283806" w:rsidRDefault="001265CA">
      <w:pPr>
        <w:pStyle w:val="BodyText"/>
        <w:spacing w:line="228" w:lineRule="auto"/>
        <w:ind w:left="152" w:right="153" w:firstLine="180"/>
      </w:pPr>
      <w:r w:rsidRPr="00283806">
        <w:rPr>
          <w:w w:val="105"/>
        </w:rPr>
        <w:t>More specifically, subsection (h) of</w:t>
      </w:r>
      <w:r w:rsidRPr="00283806">
        <w:rPr>
          <w:spacing w:val="80"/>
          <w:w w:val="150"/>
        </w:rPr>
        <w:t xml:space="preserve"> </w:t>
      </w:r>
      <w:r w:rsidRPr="00283806">
        <w:rPr>
          <w:w w:val="105"/>
        </w:rPr>
        <w:t>the AIM Act, titled ‘‘Management of Regulated Substances,’’ directs EPA to promulgate regulations to control,</w:t>
      </w:r>
      <w:r w:rsidRPr="00283806">
        <w:rPr>
          <w:spacing w:val="80"/>
          <w:w w:val="105"/>
        </w:rPr>
        <w:t xml:space="preserve"> </w:t>
      </w:r>
      <w:r w:rsidRPr="00283806">
        <w:rPr>
          <w:w w:val="105"/>
        </w:rPr>
        <w:t>where appropriate, any practice,</w:t>
      </w:r>
      <w:r w:rsidRPr="00283806">
        <w:rPr>
          <w:spacing w:val="80"/>
          <w:w w:val="105"/>
        </w:rPr>
        <w:t xml:space="preserve"> </w:t>
      </w:r>
      <w:r w:rsidRPr="00283806">
        <w:rPr>
          <w:w w:val="105"/>
        </w:rPr>
        <w:t>process, or activity regarding the servicing,</w:t>
      </w:r>
      <w:r w:rsidRPr="00283806">
        <w:rPr>
          <w:spacing w:val="40"/>
          <w:w w:val="105"/>
        </w:rPr>
        <w:t xml:space="preserve"> </w:t>
      </w:r>
      <w:r w:rsidRPr="00283806">
        <w:rPr>
          <w:w w:val="105"/>
        </w:rPr>
        <w:t>repair,</w:t>
      </w:r>
      <w:r w:rsidRPr="00283806">
        <w:rPr>
          <w:spacing w:val="40"/>
          <w:w w:val="105"/>
        </w:rPr>
        <w:t xml:space="preserve"> </w:t>
      </w:r>
      <w:r w:rsidRPr="00283806">
        <w:rPr>
          <w:w w:val="105"/>
        </w:rPr>
        <w:t>disposal,</w:t>
      </w:r>
      <w:r w:rsidRPr="00283806">
        <w:rPr>
          <w:spacing w:val="40"/>
          <w:w w:val="105"/>
        </w:rPr>
        <w:t xml:space="preserve"> </w:t>
      </w:r>
      <w:r w:rsidRPr="00283806">
        <w:rPr>
          <w:w w:val="105"/>
        </w:rPr>
        <w:t>or installation of equipment that involves:</w:t>
      </w:r>
      <w:r w:rsidRPr="00283806">
        <w:rPr>
          <w:spacing w:val="80"/>
          <w:w w:val="105"/>
        </w:rPr>
        <w:t xml:space="preserve"> </w:t>
      </w:r>
      <w:r w:rsidRPr="00283806">
        <w:rPr>
          <w:w w:val="105"/>
        </w:rPr>
        <w:t>a regulated substance (used interchangeably with ‘‘HFCs’’ in this rulemaking), a substitute for a regulated substance, the reclaiming of a regulated substance used as a refrigerant, or the reclaiming of a substitute for a regulated substance used as a refrigerant.</w:t>
      </w:r>
    </w:p>
    <w:p w14:paraId="05FA7531" w14:textId="77777777" w:rsidR="00D67C1E" w:rsidRPr="00283806" w:rsidRDefault="001265CA">
      <w:pPr>
        <w:pStyle w:val="BodyText"/>
        <w:spacing w:line="228" w:lineRule="auto"/>
        <w:ind w:left="152" w:right="262" w:firstLine="180"/>
      </w:pPr>
      <w:r w:rsidRPr="00283806">
        <w:rPr>
          <w:w w:val="105"/>
        </w:rPr>
        <w:t>This rulemaking establishes the Emissions Reduction and Reclamation (ER&amp;R) Program to implement the provisions of subsection (h), including its authority to issue regulations to</w:t>
      </w:r>
    </w:p>
    <w:p w14:paraId="746E8B26" w14:textId="77777777" w:rsidR="00D67C1E" w:rsidRPr="00283806" w:rsidRDefault="001265CA">
      <w:pPr>
        <w:pStyle w:val="BodyText"/>
        <w:spacing w:before="5"/>
        <w:ind w:left="0"/>
        <w:rPr>
          <w:sz w:val="10"/>
        </w:rPr>
      </w:pPr>
      <w:r w:rsidRPr="00283806">
        <w:rPr>
          <w:noProof/>
        </w:rPr>
        <mc:AlternateContent>
          <mc:Choice Requires="wps">
            <w:drawing>
              <wp:anchor distT="0" distB="0" distL="0" distR="0" simplePos="0" relativeHeight="251615232" behindDoc="1" locked="0" layoutInCell="1" allowOverlap="1" wp14:anchorId="46991F7F" wp14:editId="6CC0A294">
                <wp:simplePos x="0" y="0"/>
                <wp:positionH relativeFrom="page">
                  <wp:posOffset>5067300</wp:posOffset>
                </wp:positionH>
                <wp:positionV relativeFrom="paragraph">
                  <wp:posOffset>93099</wp:posOffset>
                </wp:positionV>
                <wp:extent cx="635000" cy="1270"/>
                <wp:effectExtent l="0" t="0" r="0" b="0"/>
                <wp:wrapTopAndBottom/>
                <wp:docPr id="13" name="Graphic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D2EA29D" id="Graphic 13" o:spid="_x0000_s1026" alt="&quot;&quot;" style="position:absolute;margin-left:399pt;margin-top:7.35pt;width:50pt;height:.1pt;z-index:-251701248;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" path="m,l635000,e" filled="f" strokeweight=".5pt">
                <v:path arrowok="t"/>
                <w10:wrap type="topAndBottom" anchorx="page"/>
              </v:shape>
            </w:pict>
          </mc:Fallback>
        </mc:AlternateContent>
      </w:r>
    </w:p>
    <w:p w14:paraId="4FDD3367" w14:textId="77777777" w:rsidR="00D67C1E" w:rsidRPr="00283806" w:rsidRDefault="001265CA">
      <w:pPr>
        <w:spacing w:before="40" w:line="232" w:lineRule="auto"/>
        <w:ind w:left="152" w:right="187" w:firstLine="139"/>
        <w:rPr>
          <w:sz w:val="14"/>
        </w:rPr>
      </w:pPr>
      <w:r w:rsidRPr="00283806">
        <w:rPr>
          <w:w w:val="105"/>
          <w:position w:val="4"/>
          <w:sz w:val="9"/>
        </w:rPr>
        <w:t xml:space="preserve">1 </w:t>
      </w:r>
      <w:r w:rsidRPr="00283806">
        <w:rPr>
          <w:w w:val="105"/>
          <w:sz w:val="14"/>
        </w:rPr>
        <w:t>EPA has issued regulations establishing and</w:t>
      </w:r>
      <w:r w:rsidRPr="00283806">
        <w:rPr>
          <w:spacing w:val="40"/>
          <w:w w:val="105"/>
          <w:sz w:val="14"/>
        </w:rPr>
        <w:t xml:space="preserve"> </w:t>
      </w:r>
      <w:r w:rsidRPr="00283806">
        <w:rPr>
          <w:w w:val="105"/>
          <w:sz w:val="14"/>
        </w:rPr>
        <w:t>codifying a framework for phasing down HFC</w:t>
      </w:r>
      <w:r w:rsidRPr="00283806">
        <w:rPr>
          <w:spacing w:val="40"/>
          <w:w w:val="105"/>
          <w:sz w:val="14"/>
        </w:rPr>
        <w:t xml:space="preserve"> </w:t>
      </w:r>
      <w:r w:rsidRPr="00283806">
        <w:rPr>
          <w:w w:val="105"/>
          <w:sz w:val="14"/>
        </w:rPr>
        <w:t>production and consumption through an allowance</w:t>
      </w:r>
      <w:r w:rsidRPr="00283806">
        <w:rPr>
          <w:spacing w:val="40"/>
          <w:w w:val="105"/>
          <w:sz w:val="14"/>
        </w:rPr>
        <w:t xml:space="preserve"> </w:t>
      </w:r>
      <w:r w:rsidRPr="00283806">
        <w:rPr>
          <w:w w:val="105"/>
          <w:sz w:val="14"/>
        </w:rPr>
        <w:t>allocation program, ‘‘Phasedown of</w:t>
      </w:r>
      <w:r w:rsidRPr="00283806">
        <w:rPr>
          <w:spacing w:val="40"/>
          <w:w w:val="105"/>
          <w:sz w:val="14"/>
        </w:rPr>
        <w:t xml:space="preserve"> </w:t>
      </w:r>
      <w:r w:rsidRPr="00283806">
        <w:rPr>
          <w:w w:val="105"/>
          <w:sz w:val="14"/>
        </w:rPr>
        <w:t>Hydrofluorocarbons: Establishing the Allowance</w:t>
      </w:r>
      <w:r w:rsidRPr="00283806">
        <w:rPr>
          <w:spacing w:val="40"/>
          <w:w w:val="105"/>
          <w:sz w:val="14"/>
        </w:rPr>
        <w:t xml:space="preserve"> </w:t>
      </w:r>
      <w:r w:rsidRPr="00283806">
        <w:rPr>
          <w:w w:val="105"/>
          <w:sz w:val="14"/>
        </w:rPr>
        <w:t>Allocation and Trading Program Under the</w:t>
      </w:r>
      <w:r w:rsidRPr="00283806">
        <w:rPr>
          <w:spacing w:val="80"/>
          <w:w w:val="105"/>
          <w:sz w:val="14"/>
        </w:rPr>
        <w:t xml:space="preserve"> </w:t>
      </w:r>
      <w:r w:rsidRPr="00283806">
        <w:rPr>
          <w:w w:val="105"/>
          <w:sz w:val="14"/>
        </w:rPr>
        <w:t>American Innovation and Manufacturing Act’’ (86</w:t>
      </w:r>
      <w:r w:rsidRPr="00283806">
        <w:rPr>
          <w:spacing w:val="80"/>
          <w:w w:val="105"/>
          <w:sz w:val="14"/>
        </w:rPr>
        <w:t xml:space="preserve"> </w:t>
      </w:r>
      <w:r w:rsidRPr="00283806">
        <w:rPr>
          <w:w w:val="105"/>
          <w:sz w:val="14"/>
        </w:rPr>
        <w:t>FR 55116, October 5, 2021)—referred to as the</w:t>
      </w:r>
      <w:r w:rsidRPr="00283806">
        <w:rPr>
          <w:spacing w:val="40"/>
          <w:w w:val="105"/>
          <w:sz w:val="14"/>
        </w:rPr>
        <w:t xml:space="preserve"> </w:t>
      </w:r>
      <w:r w:rsidRPr="00283806">
        <w:rPr>
          <w:w w:val="105"/>
          <w:sz w:val="14"/>
        </w:rPr>
        <w:t>‘‘Allocation Framework Rule’’ throughout this</w:t>
      </w:r>
      <w:r w:rsidRPr="00283806">
        <w:rPr>
          <w:spacing w:val="40"/>
          <w:w w:val="105"/>
          <w:sz w:val="14"/>
        </w:rPr>
        <w:t xml:space="preserve"> </w:t>
      </w:r>
      <w:r w:rsidRPr="00283806">
        <w:rPr>
          <w:w w:val="105"/>
          <w:sz w:val="14"/>
        </w:rPr>
        <w:t>document. EPA finalized a separate rulemaking to</w:t>
      </w:r>
      <w:r w:rsidRPr="00283806">
        <w:rPr>
          <w:spacing w:val="40"/>
          <w:w w:val="105"/>
          <w:sz w:val="14"/>
        </w:rPr>
        <w:t xml:space="preserve"> </w:t>
      </w:r>
      <w:r w:rsidRPr="00283806">
        <w:rPr>
          <w:w w:val="105"/>
          <w:sz w:val="14"/>
        </w:rPr>
        <w:t>update</w:t>
      </w:r>
      <w:r w:rsidRPr="00283806">
        <w:rPr>
          <w:spacing w:val="-1"/>
          <w:w w:val="105"/>
          <w:sz w:val="14"/>
        </w:rPr>
        <w:t xml:space="preserve"> </w:t>
      </w:r>
      <w:r w:rsidRPr="00283806">
        <w:rPr>
          <w:w w:val="105"/>
          <w:sz w:val="14"/>
        </w:rPr>
        <w:t>certain</w:t>
      </w:r>
      <w:r w:rsidRPr="00283806">
        <w:rPr>
          <w:spacing w:val="-1"/>
          <w:w w:val="105"/>
          <w:sz w:val="14"/>
        </w:rPr>
        <w:t xml:space="preserve"> </w:t>
      </w:r>
      <w:r w:rsidRPr="00283806">
        <w:rPr>
          <w:w w:val="105"/>
          <w:sz w:val="14"/>
        </w:rPr>
        <w:t>aspects</w:t>
      </w:r>
      <w:r w:rsidRPr="00283806">
        <w:rPr>
          <w:spacing w:val="-1"/>
          <w:w w:val="105"/>
          <w:sz w:val="14"/>
        </w:rPr>
        <w:t xml:space="preserve"> </w:t>
      </w:r>
      <w:r w:rsidRPr="00283806">
        <w:rPr>
          <w:w w:val="105"/>
          <w:sz w:val="14"/>
        </w:rPr>
        <w:t>of</w:t>
      </w:r>
      <w:r w:rsidRPr="00283806">
        <w:rPr>
          <w:spacing w:val="-1"/>
          <w:w w:val="105"/>
          <w:sz w:val="14"/>
        </w:rPr>
        <w:t xml:space="preserve"> </w:t>
      </w:r>
      <w:r w:rsidRPr="00283806">
        <w:rPr>
          <w:w w:val="105"/>
          <w:sz w:val="14"/>
        </w:rPr>
        <w:t>that</w:t>
      </w:r>
      <w:r w:rsidRPr="00283806">
        <w:rPr>
          <w:spacing w:val="-1"/>
          <w:w w:val="105"/>
          <w:sz w:val="14"/>
        </w:rPr>
        <w:t xml:space="preserve"> </w:t>
      </w:r>
      <w:r w:rsidRPr="00283806">
        <w:rPr>
          <w:w w:val="105"/>
          <w:sz w:val="14"/>
        </w:rPr>
        <w:t>regulatory</w:t>
      </w:r>
      <w:r w:rsidRPr="00283806">
        <w:rPr>
          <w:spacing w:val="-1"/>
          <w:w w:val="105"/>
          <w:sz w:val="14"/>
        </w:rPr>
        <w:t xml:space="preserve"> </w:t>
      </w:r>
      <w:r w:rsidRPr="00283806">
        <w:rPr>
          <w:w w:val="105"/>
          <w:sz w:val="14"/>
        </w:rPr>
        <w:t>framework</w:t>
      </w:r>
      <w:r w:rsidRPr="00283806">
        <w:rPr>
          <w:spacing w:val="40"/>
          <w:w w:val="105"/>
          <w:sz w:val="14"/>
        </w:rPr>
        <w:t xml:space="preserve"> </w:t>
      </w:r>
      <w:r w:rsidRPr="00283806">
        <w:rPr>
          <w:w w:val="105"/>
          <w:sz w:val="14"/>
        </w:rPr>
        <w:t>(see final rule at 88 FR 46836, July 20, 2023)—</w:t>
      </w:r>
      <w:r w:rsidRPr="00283806">
        <w:rPr>
          <w:spacing w:val="40"/>
          <w:w w:val="105"/>
          <w:sz w:val="14"/>
        </w:rPr>
        <w:t xml:space="preserve"> </w:t>
      </w:r>
      <w:r w:rsidRPr="00283806">
        <w:rPr>
          <w:w w:val="105"/>
          <w:sz w:val="14"/>
        </w:rPr>
        <w:t>referred to as the ‘‘2024 Allocation Rule’’</w:t>
      </w:r>
      <w:r w:rsidRPr="00283806">
        <w:rPr>
          <w:spacing w:val="80"/>
          <w:w w:val="105"/>
          <w:sz w:val="14"/>
        </w:rPr>
        <w:t xml:space="preserve"> </w:t>
      </w:r>
      <w:r w:rsidRPr="00283806">
        <w:rPr>
          <w:w w:val="105"/>
          <w:sz w:val="14"/>
        </w:rPr>
        <w:t>throughout this document.</w:t>
      </w:r>
    </w:p>
    <w:p w14:paraId="7409E755" w14:textId="77777777" w:rsidR="00D67C1E" w:rsidRPr="00283806" w:rsidRDefault="001265CA">
      <w:pPr>
        <w:spacing w:before="31" w:line="232" w:lineRule="auto"/>
        <w:ind w:left="152" w:right="201" w:firstLine="139"/>
        <w:rPr>
          <w:sz w:val="14"/>
        </w:rPr>
      </w:pPr>
      <w:r w:rsidRPr="00283806">
        <w:rPr>
          <w:w w:val="105"/>
          <w:position w:val="4"/>
          <w:sz w:val="9"/>
        </w:rPr>
        <w:t xml:space="preserve">2 </w:t>
      </w:r>
      <w:r w:rsidRPr="00283806">
        <w:rPr>
          <w:w w:val="105"/>
          <w:sz w:val="14"/>
        </w:rPr>
        <w:t>EPA has issued regulations addressing the</w:t>
      </w:r>
      <w:r w:rsidRPr="00283806">
        <w:rPr>
          <w:spacing w:val="40"/>
          <w:w w:val="105"/>
          <w:sz w:val="14"/>
        </w:rPr>
        <w:t xml:space="preserve"> </w:t>
      </w:r>
      <w:r w:rsidRPr="00283806">
        <w:rPr>
          <w:w w:val="105"/>
          <w:sz w:val="14"/>
        </w:rPr>
        <w:t>framework for how EPA intends to implement its</w:t>
      </w:r>
      <w:r w:rsidRPr="00283806">
        <w:rPr>
          <w:spacing w:val="40"/>
          <w:w w:val="105"/>
          <w:sz w:val="14"/>
        </w:rPr>
        <w:t xml:space="preserve"> </w:t>
      </w:r>
      <w:r w:rsidRPr="00283806">
        <w:rPr>
          <w:w w:val="105"/>
          <w:sz w:val="14"/>
        </w:rPr>
        <w:t>authority to restrict the use of HFCs in sectors and</w:t>
      </w:r>
      <w:r w:rsidRPr="00283806">
        <w:rPr>
          <w:spacing w:val="40"/>
          <w:w w:val="105"/>
          <w:sz w:val="14"/>
        </w:rPr>
        <w:t xml:space="preserve"> </w:t>
      </w:r>
      <w:r w:rsidRPr="00283806">
        <w:rPr>
          <w:w w:val="105"/>
          <w:sz w:val="14"/>
        </w:rPr>
        <w:t>subsectors where they are used, as well as</w:t>
      </w:r>
      <w:r w:rsidRPr="00283806">
        <w:rPr>
          <w:spacing w:val="40"/>
          <w:w w:val="105"/>
          <w:sz w:val="14"/>
        </w:rPr>
        <w:t xml:space="preserve"> </w:t>
      </w:r>
      <w:r w:rsidRPr="00283806">
        <w:rPr>
          <w:w w:val="105"/>
          <w:sz w:val="14"/>
        </w:rPr>
        <w:t>establishing certain restrictions on the use of HFCs</w:t>
      </w:r>
      <w:r w:rsidRPr="00283806">
        <w:rPr>
          <w:spacing w:val="40"/>
          <w:w w:val="105"/>
          <w:sz w:val="14"/>
        </w:rPr>
        <w:t xml:space="preserve"> </w:t>
      </w:r>
      <w:r w:rsidRPr="00283806">
        <w:rPr>
          <w:w w:val="105"/>
          <w:sz w:val="14"/>
        </w:rPr>
        <w:t>in specific sectors or subsectors in which they are</w:t>
      </w:r>
      <w:r w:rsidRPr="00283806">
        <w:rPr>
          <w:spacing w:val="40"/>
          <w:w w:val="105"/>
          <w:sz w:val="14"/>
        </w:rPr>
        <w:t xml:space="preserve"> </w:t>
      </w:r>
      <w:r w:rsidRPr="00283806">
        <w:rPr>
          <w:w w:val="105"/>
          <w:sz w:val="14"/>
        </w:rPr>
        <w:t>used, ‘‘Phasedown of Hydrofluorocarbons:</w:t>
      </w:r>
      <w:r w:rsidRPr="00283806">
        <w:rPr>
          <w:spacing w:val="40"/>
          <w:w w:val="105"/>
          <w:sz w:val="14"/>
        </w:rPr>
        <w:t xml:space="preserve"> </w:t>
      </w:r>
      <w:r w:rsidRPr="00283806">
        <w:rPr>
          <w:w w:val="105"/>
          <w:sz w:val="14"/>
        </w:rPr>
        <w:t>Restrictions on the Use of Certain</w:t>
      </w:r>
      <w:r w:rsidRPr="00283806">
        <w:rPr>
          <w:spacing w:val="40"/>
          <w:w w:val="105"/>
          <w:sz w:val="14"/>
        </w:rPr>
        <w:t xml:space="preserve"> </w:t>
      </w:r>
      <w:r w:rsidRPr="00283806">
        <w:rPr>
          <w:w w:val="105"/>
          <w:sz w:val="14"/>
        </w:rPr>
        <w:t>Hydrofluorocarbons Under the American</w:t>
      </w:r>
      <w:r w:rsidRPr="00283806">
        <w:rPr>
          <w:spacing w:val="40"/>
          <w:w w:val="105"/>
          <w:sz w:val="14"/>
        </w:rPr>
        <w:t xml:space="preserve"> </w:t>
      </w:r>
      <w:r w:rsidRPr="00283806">
        <w:rPr>
          <w:w w:val="105"/>
          <w:sz w:val="14"/>
        </w:rPr>
        <w:t>Innovation and Manufacturing Act of 2020’’ (88 FR</w:t>
      </w:r>
      <w:r w:rsidRPr="00283806">
        <w:rPr>
          <w:spacing w:val="40"/>
          <w:w w:val="105"/>
          <w:sz w:val="14"/>
        </w:rPr>
        <w:t xml:space="preserve"> </w:t>
      </w:r>
      <w:r w:rsidRPr="00283806">
        <w:rPr>
          <w:w w:val="105"/>
          <w:sz w:val="14"/>
        </w:rPr>
        <w:t>73098,</w:t>
      </w:r>
      <w:r w:rsidRPr="00283806">
        <w:rPr>
          <w:spacing w:val="-4"/>
          <w:w w:val="105"/>
          <w:sz w:val="14"/>
        </w:rPr>
        <w:t xml:space="preserve"> </w:t>
      </w:r>
      <w:r w:rsidRPr="00283806">
        <w:rPr>
          <w:w w:val="105"/>
          <w:sz w:val="14"/>
        </w:rPr>
        <w:t>October</w:t>
      </w:r>
      <w:r w:rsidRPr="00283806">
        <w:rPr>
          <w:spacing w:val="-4"/>
          <w:w w:val="105"/>
          <w:sz w:val="14"/>
        </w:rPr>
        <w:t xml:space="preserve"> </w:t>
      </w:r>
      <w:r w:rsidRPr="00283806">
        <w:rPr>
          <w:w w:val="105"/>
          <w:sz w:val="14"/>
        </w:rPr>
        <w:t>24,</w:t>
      </w:r>
      <w:r w:rsidRPr="00283806">
        <w:rPr>
          <w:spacing w:val="-4"/>
          <w:w w:val="105"/>
          <w:sz w:val="14"/>
        </w:rPr>
        <w:t xml:space="preserve"> </w:t>
      </w:r>
      <w:r w:rsidRPr="00283806">
        <w:rPr>
          <w:w w:val="105"/>
          <w:sz w:val="14"/>
        </w:rPr>
        <w:t>2023)—referred</w:t>
      </w:r>
      <w:r w:rsidRPr="00283806">
        <w:rPr>
          <w:spacing w:val="-4"/>
          <w:w w:val="105"/>
          <w:sz w:val="14"/>
        </w:rPr>
        <w:t xml:space="preserve"> </w:t>
      </w:r>
      <w:r w:rsidRPr="00283806">
        <w:rPr>
          <w:w w:val="105"/>
          <w:sz w:val="14"/>
        </w:rPr>
        <w:t>to</w:t>
      </w:r>
      <w:r w:rsidRPr="00283806">
        <w:rPr>
          <w:spacing w:val="-4"/>
          <w:w w:val="105"/>
          <w:sz w:val="14"/>
        </w:rPr>
        <w:t xml:space="preserve"> </w:t>
      </w:r>
      <w:r w:rsidRPr="00283806">
        <w:rPr>
          <w:w w:val="105"/>
          <w:sz w:val="14"/>
        </w:rPr>
        <w:t>as</w:t>
      </w:r>
      <w:r w:rsidRPr="00283806">
        <w:rPr>
          <w:spacing w:val="-4"/>
          <w:w w:val="105"/>
          <w:sz w:val="14"/>
        </w:rPr>
        <w:t xml:space="preserve"> </w:t>
      </w:r>
      <w:r w:rsidRPr="00283806">
        <w:rPr>
          <w:w w:val="105"/>
          <w:sz w:val="14"/>
        </w:rPr>
        <w:t>the</w:t>
      </w:r>
      <w:r w:rsidRPr="00283806">
        <w:rPr>
          <w:spacing w:val="-4"/>
          <w:w w:val="105"/>
          <w:sz w:val="14"/>
        </w:rPr>
        <w:t xml:space="preserve"> </w:t>
      </w:r>
      <w:r w:rsidRPr="00283806">
        <w:rPr>
          <w:w w:val="105"/>
          <w:sz w:val="14"/>
        </w:rPr>
        <w:t>‘‘2023</w:t>
      </w:r>
      <w:r w:rsidRPr="00283806">
        <w:rPr>
          <w:spacing w:val="40"/>
          <w:w w:val="105"/>
          <w:sz w:val="14"/>
        </w:rPr>
        <w:t xml:space="preserve"> </w:t>
      </w:r>
      <w:r w:rsidRPr="00283806">
        <w:rPr>
          <w:w w:val="105"/>
          <w:sz w:val="14"/>
        </w:rPr>
        <w:t>Technology Transitions Rule’’ throughout this</w:t>
      </w:r>
      <w:r w:rsidRPr="00283806">
        <w:rPr>
          <w:spacing w:val="40"/>
          <w:w w:val="105"/>
          <w:sz w:val="14"/>
        </w:rPr>
        <w:t xml:space="preserve"> </w:t>
      </w:r>
      <w:r w:rsidRPr="00283806">
        <w:rPr>
          <w:w w:val="105"/>
          <w:sz w:val="14"/>
        </w:rPr>
        <w:t>document. EPA issued an interim final rule under</w:t>
      </w:r>
      <w:r w:rsidRPr="00283806">
        <w:rPr>
          <w:spacing w:val="40"/>
          <w:w w:val="105"/>
          <w:sz w:val="14"/>
        </w:rPr>
        <w:t xml:space="preserve"> </w:t>
      </w:r>
      <w:r w:rsidRPr="00283806">
        <w:rPr>
          <w:w w:val="105"/>
          <w:sz w:val="14"/>
        </w:rPr>
        <w:t>the Technology Transitions program further</w:t>
      </w:r>
      <w:r w:rsidRPr="00283806">
        <w:rPr>
          <w:spacing w:val="40"/>
          <w:w w:val="105"/>
          <w:sz w:val="14"/>
        </w:rPr>
        <w:t xml:space="preserve"> </w:t>
      </w:r>
      <w:r w:rsidRPr="00283806">
        <w:rPr>
          <w:w w:val="105"/>
          <w:sz w:val="14"/>
        </w:rPr>
        <w:t>addressing a particular subsector (88 FR 88825,</w:t>
      </w:r>
      <w:r w:rsidRPr="00283806">
        <w:rPr>
          <w:spacing w:val="40"/>
          <w:w w:val="105"/>
          <w:sz w:val="14"/>
        </w:rPr>
        <w:t xml:space="preserve"> </w:t>
      </w:r>
      <w:r w:rsidRPr="00283806">
        <w:rPr>
          <w:w w:val="105"/>
          <w:sz w:val="14"/>
        </w:rPr>
        <w:t>December 26, 2023).</w:t>
      </w:r>
    </w:p>
    <w:p w14:paraId="3AFC9DD1" w14:textId="77777777" w:rsidR="00D67C1E" w:rsidRPr="00283806" w:rsidRDefault="00D67C1E">
      <w:pPr>
        <w:spacing w:line="232" w:lineRule="auto"/>
        <w:rPr>
          <w:sz w:val="14"/>
        </w:rPr>
        <w:sectPr w:rsidR="00D67C1E" w:rsidRPr="00283806">
          <w:pgSz w:w="12240" w:h="15840"/>
          <w:pgMar w:top="1040" w:right="780" w:bottom="280" w:left="740" w:header="627" w:footer="0" w:gutter="0"/>
          <w:cols w:num="3" w:space="720" w:equalWidth="0">
            <w:col w:w="3466" w:space="74"/>
            <w:col w:w="3508" w:space="40"/>
            <w:col w:w="3632"/>
          </w:cols>
        </w:sectPr>
      </w:pPr>
    </w:p>
    <w:p w14:paraId="083F312C" w14:textId="77777777" w:rsidR="00D67C1E" w:rsidRPr="00283806" w:rsidRDefault="001265CA">
      <w:pPr>
        <w:pStyle w:val="BodyText"/>
        <w:spacing w:before="134" w:line="228" w:lineRule="auto"/>
        <w:ind w:right="128"/>
      </w:pPr>
      <w:r w:rsidRPr="00283806">
        <w:rPr>
          <w:w w:val="105"/>
        </w:rPr>
        <w:lastRenderedPageBreak/>
        <w:t>control such practices, processes, or activities, particularly as related to the management, use, and reuse of HFCs</w:t>
      </w:r>
      <w:r w:rsidRPr="00283806">
        <w:rPr>
          <w:spacing w:val="40"/>
          <w:w w:val="105"/>
        </w:rPr>
        <w:t xml:space="preserve"> </w:t>
      </w:r>
      <w:r w:rsidRPr="00283806">
        <w:rPr>
          <w:w w:val="105"/>
        </w:rPr>
        <w:t>and substitutes in equipment. Further, these regulations include provisions to support implementation of, compliance with, and enforcement of requirements under subsection (h) of the AIM Act.</w:t>
      </w:r>
    </w:p>
    <w:p w14:paraId="7B4E1B14" w14:textId="77777777" w:rsidR="00D67C1E" w:rsidRPr="00283806" w:rsidRDefault="001265CA">
      <w:pPr>
        <w:pStyle w:val="BodyText"/>
        <w:spacing w:before="8" w:line="225" w:lineRule="auto"/>
        <w:ind w:right="21" w:firstLine="180"/>
      </w:pPr>
      <w:r w:rsidRPr="00283806">
        <w:rPr>
          <w:w w:val="105"/>
        </w:rPr>
        <w:t>Additionally, EPA is establishing alternative RCRA standards for certain ignitable spent refrigerants being recycled for reuse, as that term is used under RCRA.</w:t>
      </w:r>
      <w:r w:rsidRPr="00283806">
        <w:rPr>
          <w:w w:val="105"/>
          <w:position w:val="5"/>
          <w:sz w:val="11"/>
        </w:rPr>
        <w:t>3</w:t>
      </w:r>
      <w:r w:rsidRPr="00283806">
        <w:rPr>
          <w:spacing w:val="40"/>
          <w:w w:val="105"/>
          <w:position w:val="5"/>
          <w:sz w:val="11"/>
        </w:rPr>
        <w:t xml:space="preserve"> </w:t>
      </w:r>
      <w:r w:rsidRPr="00283806">
        <w:rPr>
          <w:w w:val="105"/>
        </w:rPr>
        <w:t>These standards involve regulatory changes to 40 Code of Federal Regulations</w:t>
      </w:r>
      <w:r w:rsidRPr="00283806">
        <w:rPr>
          <w:spacing w:val="-3"/>
          <w:w w:val="105"/>
        </w:rPr>
        <w:t xml:space="preserve"> </w:t>
      </w:r>
      <w:r w:rsidRPr="00283806">
        <w:rPr>
          <w:w w:val="105"/>
        </w:rPr>
        <w:t>(CFR)</w:t>
      </w:r>
      <w:r w:rsidRPr="00283806">
        <w:rPr>
          <w:spacing w:val="-3"/>
          <w:w w:val="105"/>
        </w:rPr>
        <w:t xml:space="preserve"> </w:t>
      </w:r>
      <w:r w:rsidRPr="00283806">
        <w:rPr>
          <w:w w:val="105"/>
        </w:rPr>
        <w:t>parts</w:t>
      </w:r>
      <w:r w:rsidRPr="00283806">
        <w:rPr>
          <w:spacing w:val="-3"/>
          <w:w w:val="105"/>
        </w:rPr>
        <w:t xml:space="preserve"> </w:t>
      </w:r>
      <w:r w:rsidRPr="00283806">
        <w:rPr>
          <w:w w:val="105"/>
        </w:rPr>
        <w:t>261</w:t>
      </w:r>
      <w:r w:rsidRPr="00283806">
        <w:rPr>
          <w:spacing w:val="-3"/>
          <w:w w:val="105"/>
        </w:rPr>
        <w:t xml:space="preserve"> </w:t>
      </w:r>
      <w:r w:rsidRPr="00283806">
        <w:rPr>
          <w:w w:val="105"/>
        </w:rPr>
        <w:t>through</w:t>
      </w:r>
      <w:r w:rsidRPr="00283806">
        <w:rPr>
          <w:spacing w:val="-3"/>
          <w:w w:val="105"/>
        </w:rPr>
        <w:t xml:space="preserve"> </w:t>
      </w:r>
      <w:r w:rsidRPr="00283806">
        <w:rPr>
          <w:w w:val="105"/>
        </w:rPr>
        <w:t>271 and are separate from the regulations under subsection (h)(1) of the AIM Act. These standards are established under a different set of statutory authorities than the ER&amp;R regulations, and they are part of an independent and distinct</w:t>
      </w:r>
      <w:r w:rsidRPr="00283806">
        <w:rPr>
          <w:spacing w:val="80"/>
          <w:w w:val="105"/>
        </w:rPr>
        <w:t xml:space="preserve"> </w:t>
      </w:r>
      <w:r w:rsidRPr="00283806">
        <w:rPr>
          <w:w w:val="105"/>
        </w:rPr>
        <w:t>regulatory regime. EPA is providing notice</w:t>
      </w:r>
      <w:r w:rsidRPr="00283806">
        <w:rPr>
          <w:spacing w:val="40"/>
          <w:w w:val="105"/>
        </w:rPr>
        <w:t xml:space="preserve"> </w:t>
      </w:r>
      <w:r w:rsidRPr="00283806">
        <w:rPr>
          <w:w w:val="105"/>
        </w:rPr>
        <w:t>of</w:t>
      </w:r>
      <w:r w:rsidRPr="00283806">
        <w:rPr>
          <w:spacing w:val="40"/>
          <w:w w:val="105"/>
        </w:rPr>
        <w:t xml:space="preserve"> </w:t>
      </w:r>
      <w:r w:rsidRPr="00283806">
        <w:rPr>
          <w:w w:val="105"/>
        </w:rPr>
        <w:t>the</w:t>
      </w:r>
      <w:r w:rsidRPr="00283806">
        <w:rPr>
          <w:spacing w:val="40"/>
          <w:w w:val="105"/>
        </w:rPr>
        <w:t xml:space="preserve"> </w:t>
      </w:r>
      <w:r w:rsidRPr="00283806">
        <w:rPr>
          <w:w w:val="105"/>
        </w:rPr>
        <w:t>AIM</w:t>
      </w:r>
      <w:r w:rsidRPr="00283806">
        <w:rPr>
          <w:spacing w:val="40"/>
          <w:w w:val="105"/>
        </w:rPr>
        <w:t xml:space="preserve"> </w:t>
      </w:r>
      <w:r w:rsidRPr="00283806">
        <w:rPr>
          <w:w w:val="105"/>
        </w:rPr>
        <w:t>Act</w:t>
      </w:r>
      <w:r w:rsidRPr="00283806">
        <w:rPr>
          <w:spacing w:val="40"/>
          <w:w w:val="105"/>
        </w:rPr>
        <w:t xml:space="preserve"> </w:t>
      </w:r>
      <w:r w:rsidRPr="00283806">
        <w:rPr>
          <w:w w:val="105"/>
        </w:rPr>
        <w:t>regulations</w:t>
      </w:r>
      <w:r w:rsidRPr="00283806">
        <w:rPr>
          <w:spacing w:val="40"/>
          <w:w w:val="105"/>
        </w:rPr>
        <w:t xml:space="preserve"> </w:t>
      </w:r>
      <w:r w:rsidRPr="00283806">
        <w:rPr>
          <w:w w:val="105"/>
        </w:rPr>
        <w:t xml:space="preserve">and the RCRA regulations in one </w:t>
      </w:r>
      <w:r w:rsidRPr="00283806">
        <w:rPr>
          <w:rFonts w:ascii="Book Antiqua"/>
          <w:b/>
          <w:w w:val="105"/>
        </w:rPr>
        <w:t xml:space="preserve">Federal Register </w:t>
      </w:r>
      <w:r w:rsidRPr="00283806">
        <w:rPr>
          <w:w w:val="105"/>
        </w:rPr>
        <w:t>notice given both the RCRA regulations concerning the recovery and recycling of certain ignitable spent refrigerants and the AIM Act regulations concerning recovery and reclamation of refrigerants may be of interest to some</w:t>
      </w:r>
    </w:p>
    <w:p w14:paraId="7E71D402" w14:textId="77777777" w:rsidR="00D67C1E" w:rsidRPr="00283806" w:rsidRDefault="001265CA">
      <w:pPr>
        <w:pStyle w:val="BodyText"/>
        <w:spacing w:before="11"/>
      </w:pPr>
      <w:r w:rsidRPr="00283806">
        <w:rPr>
          <w:w w:val="105"/>
        </w:rPr>
        <w:t>of</w:t>
      </w:r>
      <w:r w:rsidRPr="00283806">
        <w:rPr>
          <w:spacing w:val="5"/>
          <w:w w:val="105"/>
        </w:rPr>
        <w:t xml:space="preserve"> </w:t>
      </w:r>
      <w:r w:rsidRPr="00283806">
        <w:rPr>
          <w:w w:val="105"/>
        </w:rPr>
        <w:t>the</w:t>
      </w:r>
      <w:r w:rsidRPr="00283806">
        <w:rPr>
          <w:spacing w:val="5"/>
          <w:w w:val="105"/>
        </w:rPr>
        <w:t xml:space="preserve"> </w:t>
      </w:r>
      <w:r w:rsidRPr="00283806">
        <w:rPr>
          <w:w w:val="105"/>
        </w:rPr>
        <w:t>same</w:t>
      </w:r>
      <w:r w:rsidRPr="00283806">
        <w:rPr>
          <w:spacing w:val="6"/>
          <w:w w:val="105"/>
        </w:rPr>
        <w:t xml:space="preserve"> </w:t>
      </w:r>
      <w:r w:rsidRPr="00283806">
        <w:rPr>
          <w:spacing w:val="-2"/>
          <w:w w:val="105"/>
        </w:rPr>
        <w:t>stakeholders.</w:t>
      </w:r>
    </w:p>
    <w:p w14:paraId="6FDF59C5" w14:textId="77777777" w:rsidR="00D67C1E" w:rsidRPr="00283806" w:rsidRDefault="001265CA">
      <w:pPr>
        <w:pStyle w:val="ListParagraph"/>
        <w:numPr>
          <w:ilvl w:val="1"/>
          <w:numId w:val="64"/>
        </w:numPr>
        <w:tabs>
          <w:tab w:val="left" w:pos="375"/>
        </w:tabs>
        <w:spacing w:before="107" w:line="220" w:lineRule="auto"/>
        <w:ind w:right="443" w:firstLine="0"/>
        <w:rPr>
          <w:rFonts w:ascii="Book Antiqua"/>
          <w:i/>
          <w:sz w:val="18"/>
        </w:rPr>
      </w:pPr>
      <w:r w:rsidRPr="00283806">
        <w:rPr>
          <w:rFonts w:ascii="Book Antiqua"/>
          <w:i/>
          <w:w w:val="115"/>
          <w:sz w:val="18"/>
        </w:rPr>
        <w:t>What is the summary of the regulations</w:t>
      </w:r>
      <w:r w:rsidRPr="00283806">
        <w:rPr>
          <w:rFonts w:ascii="Book Antiqua"/>
          <w:i/>
          <w:spacing w:val="-13"/>
          <w:w w:val="115"/>
          <w:sz w:val="18"/>
        </w:rPr>
        <w:t xml:space="preserve"> </w:t>
      </w:r>
      <w:r w:rsidRPr="00283806">
        <w:rPr>
          <w:rFonts w:ascii="Book Antiqua"/>
          <w:i/>
          <w:w w:val="115"/>
          <w:sz w:val="18"/>
        </w:rPr>
        <w:t>finalized</w:t>
      </w:r>
      <w:r w:rsidRPr="00283806">
        <w:rPr>
          <w:rFonts w:ascii="Book Antiqua"/>
          <w:i/>
          <w:spacing w:val="-13"/>
          <w:w w:val="115"/>
          <w:sz w:val="18"/>
        </w:rPr>
        <w:t xml:space="preserve"> </w:t>
      </w:r>
      <w:r w:rsidRPr="00283806">
        <w:rPr>
          <w:rFonts w:ascii="Book Antiqua"/>
          <w:i/>
          <w:w w:val="115"/>
          <w:sz w:val="18"/>
        </w:rPr>
        <w:t>in</w:t>
      </w:r>
      <w:r w:rsidRPr="00283806">
        <w:rPr>
          <w:rFonts w:ascii="Book Antiqua"/>
          <w:i/>
          <w:spacing w:val="-13"/>
          <w:w w:val="115"/>
          <w:sz w:val="18"/>
        </w:rPr>
        <w:t xml:space="preserve"> </w:t>
      </w:r>
      <w:r w:rsidRPr="00283806">
        <w:rPr>
          <w:rFonts w:ascii="Book Antiqua"/>
          <w:i/>
          <w:w w:val="115"/>
          <w:sz w:val="18"/>
        </w:rPr>
        <w:t>this</w:t>
      </w:r>
      <w:r w:rsidRPr="00283806">
        <w:rPr>
          <w:rFonts w:ascii="Book Antiqua"/>
          <w:i/>
          <w:spacing w:val="-13"/>
          <w:w w:val="115"/>
          <w:sz w:val="18"/>
        </w:rPr>
        <w:t xml:space="preserve"> </w:t>
      </w:r>
      <w:r w:rsidRPr="00283806">
        <w:rPr>
          <w:rFonts w:ascii="Book Antiqua"/>
          <w:i/>
          <w:w w:val="115"/>
          <w:sz w:val="18"/>
        </w:rPr>
        <w:t>notice?</w:t>
      </w:r>
    </w:p>
    <w:p w14:paraId="6683BCF2" w14:textId="77777777" w:rsidR="00D67C1E" w:rsidRPr="00283806" w:rsidRDefault="001265CA">
      <w:pPr>
        <w:pStyle w:val="BodyText"/>
        <w:spacing w:before="81" w:line="228" w:lineRule="auto"/>
        <w:ind w:right="72" w:firstLine="180"/>
      </w:pPr>
      <w:r w:rsidRPr="00283806">
        <w:rPr>
          <w:w w:val="105"/>
        </w:rPr>
        <w:t xml:space="preserve">EPA is promulgating two separate and distinct sets of regulations. First, EPA is establishing an ER&amp;R program for the management of HFCs and certain substitutes under subsection (h) of the AIM Act. The Agency </w:t>
      </w:r>
      <w:proofErr w:type="gramStart"/>
      <w:r w:rsidRPr="00283806">
        <w:rPr>
          <w:w w:val="105"/>
        </w:rPr>
        <w:t>is including</w:t>
      </w:r>
      <w:proofErr w:type="gramEnd"/>
      <w:r w:rsidRPr="00283806">
        <w:rPr>
          <w:spacing w:val="40"/>
          <w:w w:val="105"/>
        </w:rPr>
        <w:t xml:space="preserve"> </w:t>
      </w:r>
      <w:r w:rsidRPr="00283806">
        <w:rPr>
          <w:w w:val="105"/>
        </w:rPr>
        <w:t>provisions that address the purposes identified in subsection (h)(1) of the</w:t>
      </w:r>
      <w:r w:rsidRPr="00283806">
        <w:rPr>
          <w:spacing w:val="80"/>
          <w:w w:val="105"/>
        </w:rPr>
        <w:t xml:space="preserve"> </w:t>
      </w:r>
      <w:r w:rsidRPr="00283806">
        <w:rPr>
          <w:w w:val="105"/>
        </w:rPr>
        <w:t>AIM Act of maximizing reclamation, minimizing the release of HFCs from equipment, and ensuring the safety of technicians and consumers.</w:t>
      </w:r>
    </w:p>
    <w:p w14:paraId="66F47CC8" w14:textId="77777777" w:rsidR="00D67C1E" w:rsidRPr="00283806" w:rsidRDefault="001265CA">
      <w:pPr>
        <w:pStyle w:val="BodyText"/>
        <w:spacing w:line="228" w:lineRule="auto"/>
        <w:ind w:right="128"/>
      </w:pPr>
      <w:r w:rsidRPr="00283806">
        <w:rPr>
          <w:w w:val="110"/>
        </w:rPr>
        <w:t>Specifically, the AIM Act regulations include requirements for:</w:t>
      </w:r>
    </w:p>
    <w:p w14:paraId="4C6401F0" w14:textId="77777777" w:rsidR="00D67C1E" w:rsidRPr="00283806" w:rsidRDefault="001265CA">
      <w:pPr>
        <w:pStyle w:val="ListParagraph"/>
        <w:numPr>
          <w:ilvl w:val="2"/>
          <w:numId w:val="64"/>
        </w:numPr>
        <w:tabs>
          <w:tab w:val="left" w:pos="522"/>
        </w:tabs>
        <w:spacing w:line="228" w:lineRule="auto"/>
        <w:ind w:right="348" w:firstLine="180"/>
        <w:rPr>
          <w:sz w:val="18"/>
        </w:rPr>
      </w:pPr>
      <w:r w:rsidRPr="00283806">
        <w:rPr>
          <w:w w:val="105"/>
          <w:sz w:val="18"/>
        </w:rPr>
        <w:t>Leak repair of appliances that contain at least 15 pounds of a refrigerant that contains an HFC or a substitute for an HFC with a global warming potential (GWP) above 53, with specific exceptions;</w:t>
      </w:r>
    </w:p>
    <w:p w14:paraId="33AB22A3" w14:textId="77777777" w:rsidR="00D67C1E" w:rsidRPr="00283806" w:rsidRDefault="001265CA">
      <w:pPr>
        <w:pStyle w:val="ListParagraph"/>
        <w:numPr>
          <w:ilvl w:val="2"/>
          <w:numId w:val="64"/>
        </w:numPr>
        <w:tabs>
          <w:tab w:val="left" w:pos="522"/>
        </w:tabs>
        <w:spacing w:line="228" w:lineRule="auto"/>
        <w:ind w:right="35" w:firstLine="180"/>
        <w:rPr>
          <w:sz w:val="18"/>
        </w:rPr>
      </w:pPr>
      <w:r w:rsidRPr="00283806">
        <w:rPr>
          <w:w w:val="105"/>
          <w:sz w:val="18"/>
        </w:rPr>
        <w:t>Installation and use of an automatic leak detection (ALD) system for certain new and existing appliances containing 1,500 pounds or more of a refrigerant</w:t>
      </w:r>
    </w:p>
    <w:p w14:paraId="475CA7DF" w14:textId="77777777" w:rsidR="00D67C1E" w:rsidRPr="00283806" w:rsidRDefault="001265CA">
      <w:pPr>
        <w:pStyle w:val="BodyText"/>
        <w:spacing w:before="8"/>
        <w:ind w:left="0"/>
        <w:rPr>
          <w:sz w:val="14"/>
        </w:rPr>
      </w:pPr>
      <w:r w:rsidRPr="00283806">
        <w:rPr>
          <w:noProof/>
        </w:rPr>
        <mc:AlternateContent>
          <mc:Choice Requires="wps">
            <w:drawing>
              <wp:anchor distT="0" distB="0" distL="0" distR="0" simplePos="0" relativeHeight="251616256" behindDoc="1" locked="0" layoutInCell="1" allowOverlap="1" wp14:anchorId="4AFBEB7E" wp14:editId="17820AF2">
                <wp:simplePos x="0" y="0"/>
                <wp:positionH relativeFrom="page">
                  <wp:posOffset>571500</wp:posOffset>
                </wp:positionH>
                <wp:positionV relativeFrom="paragraph">
                  <wp:posOffset>124998</wp:posOffset>
                </wp:positionV>
                <wp:extent cx="635000" cy="1270"/>
                <wp:effectExtent l="0" t="0" r="0" b="0"/>
                <wp:wrapTopAndBottom/>
                <wp:docPr id="22" name="Graphic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1CF634" id="Graphic 22" o:spid="_x0000_s1026" alt="&quot;&quot;" style="position:absolute;margin-left:45pt;margin-top:9.85pt;width:50pt;height:.1pt;z-index:-251700224;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" path="m,l635000,e" filled="f" strokeweight=".5pt">
                <v:path arrowok="t"/>
                <w10:wrap type="topAndBottom" anchorx="page"/>
              </v:shape>
            </w:pict>
          </mc:Fallback>
        </mc:AlternateContent>
      </w:r>
    </w:p>
    <w:p w14:paraId="48A0FBFD" w14:textId="77777777" w:rsidR="00D67C1E" w:rsidRPr="00283806" w:rsidRDefault="001265CA">
      <w:pPr>
        <w:spacing w:before="40" w:line="232" w:lineRule="auto"/>
        <w:ind w:left="160" w:right="37" w:firstLine="139"/>
        <w:rPr>
          <w:sz w:val="14"/>
        </w:rPr>
      </w:pPr>
      <w:r w:rsidRPr="00283806">
        <w:rPr>
          <w:w w:val="105"/>
          <w:position w:val="4"/>
          <w:sz w:val="9"/>
        </w:rPr>
        <w:t xml:space="preserve">3 </w:t>
      </w:r>
      <w:r w:rsidRPr="00283806">
        <w:rPr>
          <w:w w:val="105"/>
          <w:sz w:val="14"/>
        </w:rPr>
        <w:t>The</w:t>
      </w:r>
      <w:r w:rsidRPr="00283806">
        <w:rPr>
          <w:spacing w:val="36"/>
          <w:w w:val="105"/>
          <w:sz w:val="14"/>
        </w:rPr>
        <w:t xml:space="preserve"> </w:t>
      </w:r>
      <w:r w:rsidRPr="00283806">
        <w:rPr>
          <w:w w:val="105"/>
          <w:sz w:val="14"/>
        </w:rPr>
        <w:t>terms</w:t>
      </w:r>
      <w:r w:rsidRPr="00283806">
        <w:rPr>
          <w:spacing w:val="36"/>
          <w:w w:val="105"/>
          <w:sz w:val="14"/>
        </w:rPr>
        <w:t xml:space="preserve"> </w:t>
      </w:r>
      <w:r w:rsidRPr="00283806">
        <w:rPr>
          <w:w w:val="105"/>
          <w:sz w:val="14"/>
        </w:rPr>
        <w:t>‘‘reclaim’’</w:t>
      </w:r>
      <w:r w:rsidRPr="00283806">
        <w:rPr>
          <w:spacing w:val="36"/>
          <w:w w:val="105"/>
          <w:sz w:val="14"/>
        </w:rPr>
        <w:t xml:space="preserve"> </w:t>
      </w:r>
      <w:r w:rsidRPr="00283806">
        <w:rPr>
          <w:w w:val="105"/>
          <w:sz w:val="14"/>
        </w:rPr>
        <w:t>and</w:t>
      </w:r>
      <w:r w:rsidRPr="00283806">
        <w:rPr>
          <w:spacing w:val="36"/>
          <w:w w:val="105"/>
          <w:sz w:val="14"/>
        </w:rPr>
        <w:t xml:space="preserve"> </w:t>
      </w:r>
      <w:r w:rsidRPr="00283806">
        <w:rPr>
          <w:w w:val="105"/>
          <w:sz w:val="14"/>
        </w:rPr>
        <w:t>‘‘recycle’’</w:t>
      </w:r>
      <w:r w:rsidRPr="00283806">
        <w:rPr>
          <w:spacing w:val="36"/>
          <w:w w:val="105"/>
          <w:sz w:val="14"/>
        </w:rPr>
        <w:t xml:space="preserve"> </w:t>
      </w:r>
      <w:r w:rsidRPr="00283806">
        <w:rPr>
          <w:w w:val="105"/>
          <w:sz w:val="14"/>
        </w:rPr>
        <w:t>have</w:t>
      </w:r>
      <w:r w:rsidRPr="00283806">
        <w:rPr>
          <w:spacing w:val="40"/>
          <w:w w:val="105"/>
          <w:sz w:val="14"/>
        </w:rPr>
        <w:t xml:space="preserve"> </w:t>
      </w:r>
      <w:r w:rsidRPr="00283806">
        <w:rPr>
          <w:w w:val="105"/>
          <w:sz w:val="14"/>
        </w:rPr>
        <w:t>different regulatory purposes and definitions under</w:t>
      </w:r>
      <w:r w:rsidRPr="00283806">
        <w:rPr>
          <w:spacing w:val="40"/>
          <w:w w:val="105"/>
          <w:sz w:val="14"/>
        </w:rPr>
        <w:t xml:space="preserve"> </w:t>
      </w:r>
      <w:r w:rsidRPr="00283806">
        <w:rPr>
          <w:w w:val="105"/>
          <w:sz w:val="14"/>
        </w:rPr>
        <w:t>RCRA than under the CAA and the AIM Act. Under</w:t>
      </w:r>
      <w:r w:rsidRPr="00283806">
        <w:rPr>
          <w:spacing w:val="40"/>
          <w:w w:val="105"/>
          <w:sz w:val="14"/>
        </w:rPr>
        <w:t xml:space="preserve"> </w:t>
      </w:r>
      <w:r w:rsidRPr="00283806">
        <w:rPr>
          <w:w w:val="105"/>
          <w:sz w:val="14"/>
        </w:rPr>
        <w:t>RCRA,</w:t>
      </w:r>
      <w:r w:rsidRPr="00283806">
        <w:rPr>
          <w:spacing w:val="32"/>
          <w:w w:val="105"/>
          <w:sz w:val="14"/>
        </w:rPr>
        <w:t xml:space="preserve"> </w:t>
      </w:r>
      <w:r w:rsidRPr="00283806">
        <w:rPr>
          <w:w w:val="105"/>
          <w:sz w:val="14"/>
        </w:rPr>
        <w:t>a</w:t>
      </w:r>
      <w:r w:rsidRPr="00283806">
        <w:rPr>
          <w:spacing w:val="32"/>
          <w:w w:val="105"/>
          <w:sz w:val="14"/>
        </w:rPr>
        <w:t xml:space="preserve"> </w:t>
      </w:r>
      <w:r w:rsidRPr="00283806">
        <w:rPr>
          <w:w w:val="105"/>
          <w:sz w:val="14"/>
        </w:rPr>
        <w:t>material</w:t>
      </w:r>
      <w:r w:rsidRPr="00283806">
        <w:rPr>
          <w:spacing w:val="32"/>
          <w:w w:val="105"/>
          <w:sz w:val="14"/>
        </w:rPr>
        <w:t xml:space="preserve"> </w:t>
      </w:r>
      <w:r w:rsidRPr="00283806">
        <w:rPr>
          <w:w w:val="105"/>
          <w:sz w:val="14"/>
        </w:rPr>
        <w:t>is</w:t>
      </w:r>
      <w:r w:rsidRPr="00283806">
        <w:rPr>
          <w:spacing w:val="32"/>
          <w:w w:val="105"/>
          <w:sz w:val="14"/>
        </w:rPr>
        <w:t xml:space="preserve"> </w:t>
      </w:r>
      <w:r w:rsidRPr="00283806">
        <w:rPr>
          <w:w w:val="105"/>
          <w:sz w:val="14"/>
        </w:rPr>
        <w:t>‘‘reclaimed’’</w:t>
      </w:r>
      <w:r w:rsidRPr="00283806">
        <w:rPr>
          <w:spacing w:val="32"/>
          <w:w w:val="105"/>
          <w:sz w:val="14"/>
        </w:rPr>
        <w:t xml:space="preserve"> </w:t>
      </w:r>
      <w:r w:rsidRPr="00283806">
        <w:rPr>
          <w:w w:val="105"/>
          <w:sz w:val="14"/>
        </w:rPr>
        <w:t>if</w:t>
      </w:r>
      <w:r w:rsidRPr="00283806">
        <w:rPr>
          <w:spacing w:val="32"/>
          <w:w w:val="105"/>
          <w:sz w:val="14"/>
        </w:rPr>
        <w:t xml:space="preserve"> </w:t>
      </w:r>
      <w:r w:rsidRPr="00283806">
        <w:rPr>
          <w:w w:val="105"/>
          <w:sz w:val="14"/>
        </w:rPr>
        <w:t>it</w:t>
      </w:r>
      <w:r w:rsidRPr="00283806">
        <w:rPr>
          <w:spacing w:val="32"/>
          <w:w w:val="105"/>
          <w:sz w:val="14"/>
        </w:rPr>
        <w:t xml:space="preserve"> </w:t>
      </w:r>
      <w:r w:rsidRPr="00283806">
        <w:rPr>
          <w:w w:val="105"/>
          <w:sz w:val="14"/>
        </w:rPr>
        <w:t>is</w:t>
      </w:r>
      <w:r w:rsidRPr="00283806">
        <w:rPr>
          <w:spacing w:val="32"/>
          <w:w w:val="105"/>
          <w:sz w:val="14"/>
        </w:rPr>
        <w:t xml:space="preserve"> </w:t>
      </w:r>
      <w:r w:rsidRPr="00283806">
        <w:rPr>
          <w:w w:val="105"/>
          <w:sz w:val="14"/>
        </w:rPr>
        <w:t>processed</w:t>
      </w:r>
      <w:r w:rsidRPr="00283806">
        <w:rPr>
          <w:spacing w:val="40"/>
          <w:w w:val="105"/>
          <w:sz w:val="14"/>
        </w:rPr>
        <w:t xml:space="preserve"> </w:t>
      </w:r>
      <w:r w:rsidRPr="00283806">
        <w:rPr>
          <w:w w:val="105"/>
          <w:sz w:val="14"/>
        </w:rPr>
        <w:t>to recover a usable product, or if it is regenerated.</w:t>
      </w:r>
      <w:r w:rsidRPr="00283806">
        <w:rPr>
          <w:spacing w:val="40"/>
          <w:w w:val="105"/>
          <w:sz w:val="14"/>
        </w:rPr>
        <w:t xml:space="preserve"> </w:t>
      </w:r>
      <w:r w:rsidRPr="00283806">
        <w:rPr>
          <w:w w:val="105"/>
          <w:sz w:val="14"/>
        </w:rPr>
        <w:t>Examples are recovery of lead values from spent</w:t>
      </w:r>
      <w:r w:rsidRPr="00283806">
        <w:rPr>
          <w:spacing w:val="40"/>
          <w:w w:val="105"/>
          <w:sz w:val="14"/>
        </w:rPr>
        <w:t xml:space="preserve"> </w:t>
      </w:r>
      <w:r w:rsidRPr="00283806">
        <w:rPr>
          <w:w w:val="105"/>
          <w:sz w:val="14"/>
        </w:rPr>
        <w:t>batteries and regeneration of spent solvents (See 40</w:t>
      </w:r>
      <w:r w:rsidRPr="00283806">
        <w:rPr>
          <w:spacing w:val="40"/>
          <w:w w:val="105"/>
          <w:sz w:val="14"/>
        </w:rPr>
        <w:t xml:space="preserve"> </w:t>
      </w:r>
      <w:r w:rsidRPr="00283806">
        <w:rPr>
          <w:w w:val="105"/>
          <w:sz w:val="14"/>
        </w:rPr>
        <w:t>CFR 261.1(c)(4)). Reclamation is one of the four</w:t>
      </w:r>
      <w:r w:rsidRPr="00283806">
        <w:rPr>
          <w:spacing w:val="40"/>
          <w:w w:val="105"/>
          <w:sz w:val="14"/>
        </w:rPr>
        <w:t xml:space="preserve"> </w:t>
      </w:r>
      <w:r w:rsidRPr="00283806">
        <w:rPr>
          <w:w w:val="105"/>
          <w:sz w:val="14"/>
        </w:rPr>
        <w:t>types of ‘‘recycling’’ identified in 40 CFR 261.2(c)</w:t>
      </w:r>
    </w:p>
    <w:p w14:paraId="62EFFAEA" w14:textId="77777777" w:rsidR="00D67C1E" w:rsidRPr="00283806" w:rsidRDefault="001265CA">
      <w:pPr>
        <w:spacing w:before="7" w:line="232" w:lineRule="auto"/>
        <w:ind w:left="160"/>
        <w:rPr>
          <w:sz w:val="14"/>
        </w:rPr>
      </w:pPr>
      <w:r w:rsidRPr="00283806">
        <w:rPr>
          <w:w w:val="105"/>
          <w:sz w:val="14"/>
        </w:rPr>
        <w:t xml:space="preserve">that can involve management of </w:t>
      </w:r>
      <w:proofErr w:type="gramStart"/>
      <w:r w:rsidRPr="00283806">
        <w:rPr>
          <w:w w:val="105"/>
          <w:sz w:val="14"/>
        </w:rPr>
        <w:t>a solid</w:t>
      </w:r>
      <w:proofErr w:type="gramEnd"/>
      <w:r w:rsidRPr="00283806">
        <w:rPr>
          <w:w w:val="105"/>
          <w:sz w:val="14"/>
        </w:rPr>
        <w:t xml:space="preserve"> waste under</w:t>
      </w:r>
      <w:r w:rsidRPr="00283806">
        <w:rPr>
          <w:spacing w:val="40"/>
          <w:w w:val="105"/>
          <w:sz w:val="14"/>
        </w:rPr>
        <w:t xml:space="preserve"> </w:t>
      </w:r>
      <w:r w:rsidRPr="00283806">
        <w:rPr>
          <w:spacing w:val="-2"/>
          <w:w w:val="105"/>
          <w:sz w:val="14"/>
        </w:rPr>
        <w:t>RCRA.</w:t>
      </w:r>
    </w:p>
    <w:p w14:paraId="2B79D354" w14:textId="77777777" w:rsidR="00D67C1E" w:rsidRPr="00283806" w:rsidRDefault="001265CA">
      <w:pPr>
        <w:pStyle w:val="BodyText"/>
        <w:spacing w:before="134" w:line="228" w:lineRule="auto"/>
        <w:ind w:left="144" w:right="94"/>
      </w:pPr>
      <w:r w:rsidRPr="00283806">
        <w:br w:type="column"/>
      </w:r>
      <w:r w:rsidRPr="00283806">
        <w:rPr>
          <w:w w:val="105"/>
        </w:rPr>
        <w:t>that contains an HFC or a substitute for an HFC with a GWP above 53;</w:t>
      </w:r>
    </w:p>
    <w:p w14:paraId="7BACFBB4" w14:textId="77777777" w:rsidR="00D67C1E" w:rsidRPr="00283806" w:rsidRDefault="001265CA">
      <w:pPr>
        <w:pStyle w:val="ListParagraph"/>
        <w:numPr>
          <w:ilvl w:val="2"/>
          <w:numId w:val="64"/>
        </w:numPr>
        <w:tabs>
          <w:tab w:val="left" w:pos="506"/>
        </w:tabs>
        <w:spacing w:line="180" w:lineRule="exact"/>
        <w:ind w:left="506" w:hanging="182"/>
        <w:rPr>
          <w:sz w:val="18"/>
        </w:rPr>
      </w:pPr>
      <w:r w:rsidRPr="00283806">
        <w:rPr>
          <w:w w:val="110"/>
          <w:sz w:val="18"/>
        </w:rPr>
        <w:t>A</w:t>
      </w:r>
      <w:r w:rsidRPr="00283806">
        <w:rPr>
          <w:spacing w:val="-11"/>
          <w:w w:val="110"/>
          <w:sz w:val="18"/>
        </w:rPr>
        <w:t xml:space="preserve"> </w:t>
      </w:r>
      <w:r w:rsidRPr="00283806">
        <w:rPr>
          <w:w w:val="110"/>
          <w:sz w:val="18"/>
        </w:rPr>
        <w:t>reclamation</w:t>
      </w:r>
      <w:r w:rsidRPr="00283806">
        <w:rPr>
          <w:spacing w:val="-11"/>
          <w:w w:val="110"/>
          <w:sz w:val="18"/>
        </w:rPr>
        <w:t xml:space="preserve"> </w:t>
      </w:r>
      <w:r w:rsidRPr="00283806">
        <w:rPr>
          <w:w w:val="110"/>
          <w:sz w:val="18"/>
        </w:rPr>
        <w:t>standard</w:t>
      </w:r>
      <w:r w:rsidRPr="00283806">
        <w:rPr>
          <w:spacing w:val="-10"/>
          <w:w w:val="110"/>
          <w:sz w:val="18"/>
        </w:rPr>
        <w:t xml:space="preserve"> </w:t>
      </w:r>
      <w:r w:rsidRPr="00283806">
        <w:rPr>
          <w:w w:val="110"/>
          <w:sz w:val="18"/>
        </w:rPr>
        <w:t>limiting</w:t>
      </w:r>
      <w:r w:rsidRPr="00283806">
        <w:rPr>
          <w:spacing w:val="-11"/>
          <w:w w:val="110"/>
          <w:sz w:val="18"/>
        </w:rPr>
        <w:t xml:space="preserve"> </w:t>
      </w:r>
      <w:r w:rsidRPr="00283806">
        <w:rPr>
          <w:spacing w:val="-5"/>
          <w:w w:val="110"/>
          <w:sz w:val="18"/>
        </w:rPr>
        <w:t>the</w:t>
      </w:r>
    </w:p>
    <w:p w14:paraId="36411F74" w14:textId="77777777" w:rsidR="00D67C1E" w:rsidRPr="00283806" w:rsidRDefault="001265CA">
      <w:pPr>
        <w:pStyle w:val="BodyText"/>
        <w:spacing w:before="3" w:line="228" w:lineRule="auto"/>
        <w:ind w:left="144" w:right="167"/>
      </w:pPr>
      <w:r w:rsidRPr="00283806">
        <w:rPr>
          <w:w w:val="105"/>
        </w:rPr>
        <w:t xml:space="preserve">amount of virgin HFCs that can be contained in reclaimed HFC </w:t>
      </w:r>
      <w:r w:rsidRPr="00283806">
        <w:rPr>
          <w:spacing w:val="-2"/>
          <w:w w:val="105"/>
        </w:rPr>
        <w:t>refrigerants;</w:t>
      </w:r>
    </w:p>
    <w:p w14:paraId="7B6070BD" w14:textId="77777777" w:rsidR="00D67C1E" w:rsidRPr="00283806" w:rsidRDefault="001265CA">
      <w:pPr>
        <w:pStyle w:val="ListParagraph"/>
        <w:numPr>
          <w:ilvl w:val="2"/>
          <w:numId w:val="64"/>
        </w:numPr>
        <w:tabs>
          <w:tab w:val="left" w:pos="506"/>
        </w:tabs>
        <w:spacing w:line="179" w:lineRule="exact"/>
        <w:ind w:left="506" w:hanging="182"/>
        <w:rPr>
          <w:sz w:val="18"/>
        </w:rPr>
      </w:pPr>
      <w:r w:rsidRPr="00283806">
        <w:rPr>
          <w:w w:val="105"/>
          <w:sz w:val="18"/>
        </w:rPr>
        <w:t>The</w:t>
      </w:r>
      <w:r w:rsidRPr="00283806">
        <w:rPr>
          <w:spacing w:val="3"/>
          <w:w w:val="105"/>
          <w:sz w:val="18"/>
        </w:rPr>
        <w:t xml:space="preserve"> </w:t>
      </w:r>
      <w:r w:rsidRPr="00283806">
        <w:rPr>
          <w:w w:val="105"/>
          <w:sz w:val="18"/>
        </w:rPr>
        <w:t>servicing</w:t>
      </w:r>
      <w:r w:rsidRPr="00283806">
        <w:rPr>
          <w:spacing w:val="4"/>
          <w:w w:val="105"/>
          <w:sz w:val="18"/>
        </w:rPr>
        <w:t xml:space="preserve"> </w:t>
      </w:r>
      <w:r w:rsidRPr="00283806">
        <w:rPr>
          <w:w w:val="105"/>
          <w:sz w:val="18"/>
        </w:rPr>
        <w:t>and/or</w:t>
      </w:r>
      <w:r w:rsidRPr="00283806">
        <w:rPr>
          <w:spacing w:val="3"/>
          <w:w w:val="105"/>
          <w:sz w:val="18"/>
        </w:rPr>
        <w:t xml:space="preserve"> </w:t>
      </w:r>
      <w:r w:rsidRPr="00283806">
        <w:rPr>
          <w:w w:val="105"/>
          <w:sz w:val="18"/>
        </w:rPr>
        <w:t>repair</w:t>
      </w:r>
      <w:r w:rsidRPr="00283806">
        <w:rPr>
          <w:spacing w:val="4"/>
          <w:w w:val="105"/>
          <w:sz w:val="18"/>
        </w:rPr>
        <w:t xml:space="preserve"> </w:t>
      </w:r>
      <w:r w:rsidRPr="00283806">
        <w:rPr>
          <w:spacing w:val="-5"/>
          <w:w w:val="105"/>
          <w:sz w:val="18"/>
        </w:rPr>
        <w:t>of</w:t>
      </w:r>
    </w:p>
    <w:p w14:paraId="3DD20D6E" w14:textId="77777777" w:rsidR="00D67C1E" w:rsidRPr="00283806" w:rsidRDefault="001265CA">
      <w:pPr>
        <w:pStyle w:val="BodyText"/>
        <w:spacing w:before="3" w:line="228" w:lineRule="auto"/>
        <w:ind w:left="144" w:right="94"/>
      </w:pPr>
      <w:r w:rsidRPr="00283806">
        <w:rPr>
          <w:w w:val="105"/>
        </w:rPr>
        <w:t>existing equipment in certain refrigeration, air conditioning, and heat pumps (RACHP) subsectors to be done with reclaimed HFCs;</w:t>
      </w:r>
    </w:p>
    <w:p w14:paraId="3E59F7B9" w14:textId="77777777" w:rsidR="00D67C1E" w:rsidRPr="00283806" w:rsidRDefault="001265CA">
      <w:pPr>
        <w:pStyle w:val="ListParagraph"/>
        <w:numPr>
          <w:ilvl w:val="2"/>
          <w:numId w:val="64"/>
        </w:numPr>
        <w:tabs>
          <w:tab w:val="left" w:pos="506"/>
        </w:tabs>
        <w:spacing w:line="179" w:lineRule="exact"/>
        <w:ind w:left="506" w:hanging="182"/>
        <w:rPr>
          <w:sz w:val="18"/>
        </w:rPr>
      </w:pPr>
      <w:r w:rsidRPr="00283806">
        <w:rPr>
          <w:w w:val="105"/>
          <w:sz w:val="18"/>
        </w:rPr>
        <w:t>The</w:t>
      </w:r>
      <w:r w:rsidRPr="00283806">
        <w:rPr>
          <w:spacing w:val="21"/>
          <w:w w:val="105"/>
          <w:sz w:val="18"/>
        </w:rPr>
        <w:t xml:space="preserve"> </w:t>
      </w:r>
      <w:r w:rsidRPr="00283806">
        <w:rPr>
          <w:w w:val="105"/>
          <w:sz w:val="18"/>
        </w:rPr>
        <w:t>servicing,</w:t>
      </w:r>
      <w:r w:rsidRPr="00283806">
        <w:rPr>
          <w:spacing w:val="21"/>
          <w:w w:val="105"/>
          <w:sz w:val="18"/>
        </w:rPr>
        <w:t xml:space="preserve"> </w:t>
      </w:r>
      <w:r w:rsidRPr="00283806">
        <w:rPr>
          <w:w w:val="105"/>
          <w:sz w:val="18"/>
        </w:rPr>
        <w:t>repair,</w:t>
      </w:r>
      <w:r w:rsidRPr="00283806">
        <w:rPr>
          <w:spacing w:val="22"/>
          <w:w w:val="105"/>
          <w:sz w:val="18"/>
        </w:rPr>
        <w:t xml:space="preserve"> </w:t>
      </w:r>
      <w:r w:rsidRPr="00283806">
        <w:rPr>
          <w:w w:val="105"/>
          <w:sz w:val="18"/>
        </w:rPr>
        <w:t>disposal,</w:t>
      </w:r>
      <w:r w:rsidRPr="00283806">
        <w:rPr>
          <w:spacing w:val="21"/>
          <w:w w:val="105"/>
          <w:sz w:val="18"/>
        </w:rPr>
        <w:t xml:space="preserve"> </w:t>
      </w:r>
      <w:r w:rsidRPr="00283806">
        <w:rPr>
          <w:spacing w:val="-5"/>
          <w:w w:val="105"/>
          <w:sz w:val="18"/>
        </w:rPr>
        <w:t>or</w:t>
      </w:r>
    </w:p>
    <w:p w14:paraId="1C8147FB" w14:textId="77777777" w:rsidR="00D67C1E" w:rsidRPr="00283806" w:rsidRDefault="001265CA">
      <w:pPr>
        <w:pStyle w:val="BodyText"/>
        <w:spacing w:before="3" w:line="228" w:lineRule="auto"/>
        <w:ind w:left="144" w:right="17"/>
      </w:pPr>
      <w:r w:rsidRPr="00283806">
        <w:rPr>
          <w:w w:val="105"/>
        </w:rPr>
        <w:t>installation of fire suppression equipment that contains HFCs, with the purpose of minimizing the release of HFCs from that equipment, including requirements for the initial installation and servicing and/or repair of fire suppression equipment to be done with recycled HFCs, as well as requirements related to technician training in the fire suppression sector;</w:t>
      </w:r>
    </w:p>
    <w:p w14:paraId="26B31E82" w14:textId="77777777" w:rsidR="00D67C1E" w:rsidRPr="00283806" w:rsidRDefault="001265CA">
      <w:pPr>
        <w:pStyle w:val="ListParagraph"/>
        <w:numPr>
          <w:ilvl w:val="2"/>
          <w:numId w:val="64"/>
        </w:numPr>
        <w:tabs>
          <w:tab w:val="left" w:pos="506"/>
        </w:tabs>
        <w:spacing w:line="176" w:lineRule="exact"/>
        <w:ind w:left="506" w:hanging="182"/>
        <w:rPr>
          <w:sz w:val="18"/>
        </w:rPr>
      </w:pPr>
      <w:r w:rsidRPr="00283806">
        <w:rPr>
          <w:w w:val="105"/>
          <w:sz w:val="18"/>
        </w:rPr>
        <w:t>Removal</w:t>
      </w:r>
      <w:r w:rsidRPr="00283806">
        <w:rPr>
          <w:spacing w:val="16"/>
          <w:w w:val="105"/>
          <w:sz w:val="18"/>
        </w:rPr>
        <w:t xml:space="preserve"> </w:t>
      </w:r>
      <w:r w:rsidRPr="00283806">
        <w:rPr>
          <w:w w:val="105"/>
          <w:sz w:val="18"/>
        </w:rPr>
        <w:t>of</w:t>
      </w:r>
      <w:r w:rsidRPr="00283806">
        <w:rPr>
          <w:spacing w:val="17"/>
          <w:w w:val="105"/>
          <w:sz w:val="18"/>
        </w:rPr>
        <w:t xml:space="preserve"> </w:t>
      </w:r>
      <w:r w:rsidRPr="00283806">
        <w:rPr>
          <w:w w:val="105"/>
          <w:sz w:val="18"/>
        </w:rPr>
        <w:t>HFCs</w:t>
      </w:r>
      <w:r w:rsidRPr="00283806">
        <w:rPr>
          <w:spacing w:val="17"/>
          <w:w w:val="105"/>
          <w:sz w:val="18"/>
        </w:rPr>
        <w:t xml:space="preserve"> </w:t>
      </w:r>
      <w:r w:rsidRPr="00283806">
        <w:rPr>
          <w:w w:val="105"/>
          <w:sz w:val="18"/>
        </w:rPr>
        <w:t>from</w:t>
      </w:r>
      <w:r w:rsidRPr="00283806">
        <w:rPr>
          <w:spacing w:val="17"/>
          <w:w w:val="105"/>
          <w:sz w:val="18"/>
        </w:rPr>
        <w:t xml:space="preserve"> </w:t>
      </w:r>
      <w:r w:rsidRPr="00283806">
        <w:rPr>
          <w:spacing w:val="-2"/>
          <w:w w:val="105"/>
          <w:sz w:val="18"/>
        </w:rPr>
        <w:t>disposable</w:t>
      </w:r>
    </w:p>
    <w:p w14:paraId="40A62F27" w14:textId="77777777" w:rsidR="00D67C1E" w:rsidRPr="00283806" w:rsidRDefault="001265CA">
      <w:pPr>
        <w:pStyle w:val="BodyText"/>
        <w:spacing w:line="187" w:lineRule="exact"/>
        <w:ind w:left="144"/>
      </w:pPr>
      <w:r w:rsidRPr="00283806">
        <w:rPr>
          <w:w w:val="105"/>
        </w:rPr>
        <w:t>cylinders</w:t>
      </w:r>
      <w:r w:rsidRPr="00283806">
        <w:rPr>
          <w:spacing w:val="14"/>
          <w:w w:val="105"/>
        </w:rPr>
        <w:t xml:space="preserve"> </w:t>
      </w:r>
      <w:r w:rsidRPr="00283806">
        <w:rPr>
          <w:w w:val="105"/>
        </w:rPr>
        <w:t>before</w:t>
      </w:r>
      <w:r w:rsidRPr="00283806">
        <w:rPr>
          <w:spacing w:val="15"/>
          <w:w w:val="105"/>
        </w:rPr>
        <w:t xml:space="preserve"> </w:t>
      </w:r>
      <w:r w:rsidRPr="00283806">
        <w:rPr>
          <w:w w:val="105"/>
        </w:rPr>
        <w:t>discarding;</w:t>
      </w:r>
      <w:r w:rsidRPr="00283806">
        <w:rPr>
          <w:spacing w:val="15"/>
          <w:w w:val="105"/>
        </w:rPr>
        <w:t xml:space="preserve"> </w:t>
      </w:r>
      <w:r w:rsidRPr="00283806">
        <w:rPr>
          <w:spacing w:val="-5"/>
          <w:w w:val="105"/>
        </w:rPr>
        <w:t>and</w:t>
      </w:r>
    </w:p>
    <w:p w14:paraId="426BC169" w14:textId="77777777" w:rsidR="00D67C1E" w:rsidRPr="00283806" w:rsidRDefault="001265CA">
      <w:pPr>
        <w:pStyle w:val="ListParagraph"/>
        <w:numPr>
          <w:ilvl w:val="2"/>
          <w:numId w:val="64"/>
        </w:numPr>
        <w:tabs>
          <w:tab w:val="left" w:pos="506"/>
        </w:tabs>
        <w:spacing w:line="228" w:lineRule="auto"/>
        <w:ind w:left="144" w:right="471" w:firstLine="180"/>
        <w:rPr>
          <w:sz w:val="18"/>
        </w:rPr>
      </w:pPr>
      <w:r w:rsidRPr="00283806">
        <w:rPr>
          <w:w w:val="105"/>
          <w:sz w:val="18"/>
        </w:rPr>
        <w:t xml:space="preserve">Recordkeeping, reporting, and </w:t>
      </w:r>
      <w:r w:rsidRPr="00283806">
        <w:rPr>
          <w:spacing w:val="-2"/>
          <w:w w:val="105"/>
          <w:sz w:val="18"/>
        </w:rPr>
        <w:t>labeling.</w:t>
      </w:r>
    </w:p>
    <w:p w14:paraId="3AE7B59B" w14:textId="77777777" w:rsidR="00D67C1E" w:rsidRPr="00283806" w:rsidRDefault="001265CA">
      <w:pPr>
        <w:spacing w:line="216" w:lineRule="auto"/>
        <w:ind w:left="144" w:right="94" w:firstLine="180"/>
        <w:rPr>
          <w:sz w:val="18"/>
        </w:rPr>
      </w:pPr>
      <w:r w:rsidRPr="00283806">
        <w:rPr>
          <w:rFonts w:ascii="Book Antiqua"/>
          <w:i/>
          <w:w w:val="110"/>
          <w:sz w:val="18"/>
        </w:rPr>
        <w:t xml:space="preserve">Enforcement and compliance. </w:t>
      </w:r>
      <w:r w:rsidRPr="00283806">
        <w:rPr>
          <w:w w:val="110"/>
          <w:sz w:val="18"/>
        </w:rPr>
        <w:t>To support compliance with these</w:t>
      </w:r>
    </w:p>
    <w:p w14:paraId="662EDAB1" w14:textId="77777777" w:rsidR="00D67C1E" w:rsidRPr="00283806" w:rsidRDefault="001265CA">
      <w:pPr>
        <w:pStyle w:val="BodyText"/>
        <w:spacing w:line="228" w:lineRule="auto"/>
        <w:ind w:left="144" w:right="94"/>
      </w:pPr>
      <w:r w:rsidRPr="00283806">
        <w:rPr>
          <w:w w:val="105"/>
        </w:rPr>
        <w:t xml:space="preserve">requirements, EPA is establishing labeling, reporting, and recordkeeping requirements as described in this rulemaking notice. The Agency intends to use a reporting platform the same as or </w:t>
      </w:r>
      <w:proofErr w:type="gramStart"/>
      <w:r w:rsidRPr="00283806">
        <w:rPr>
          <w:w w:val="105"/>
        </w:rPr>
        <w:t>similar to</w:t>
      </w:r>
      <w:proofErr w:type="gramEnd"/>
      <w:r w:rsidRPr="00283806">
        <w:rPr>
          <w:w w:val="105"/>
        </w:rPr>
        <w:t xml:space="preserve"> those used for prior AIM Act </w:t>
      </w:r>
      <w:proofErr w:type="gramStart"/>
      <w:r w:rsidRPr="00283806">
        <w:rPr>
          <w:w w:val="105"/>
        </w:rPr>
        <w:t>rules, and</w:t>
      </w:r>
      <w:proofErr w:type="gramEnd"/>
      <w:r w:rsidRPr="00283806">
        <w:rPr>
          <w:w w:val="105"/>
        </w:rPr>
        <w:t xml:space="preserve"> will consider making information not entitled to confidential treatment, as described in section V of this </w:t>
      </w:r>
      <w:proofErr w:type="gramStart"/>
      <w:r w:rsidRPr="00283806">
        <w:rPr>
          <w:w w:val="105"/>
        </w:rPr>
        <w:t>action,</w:t>
      </w:r>
      <w:proofErr w:type="gramEnd"/>
      <w:r w:rsidRPr="00283806">
        <w:rPr>
          <w:w w:val="105"/>
        </w:rPr>
        <w:t xml:space="preserve"> publicly available.</w:t>
      </w:r>
    </w:p>
    <w:p w14:paraId="2E889AE8" w14:textId="77777777" w:rsidR="00D67C1E" w:rsidRPr="00283806" w:rsidRDefault="001265CA">
      <w:pPr>
        <w:spacing w:line="216" w:lineRule="auto"/>
        <w:ind w:left="144" w:right="94" w:firstLine="180"/>
        <w:rPr>
          <w:sz w:val="18"/>
        </w:rPr>
      </w:pPr>
      <w:r w:rsidRPr="00283806">
        <w:rPr>
          <w:rFonts w:ascii="Book Antiqua"/>
          <w:i/>
          <w:w w:val="110"/>
          <w:sz w:val="18"/>
        </w:rPr>
        <w:t xml:space="preserve">Exemptions for certain applications and other provisions. </w:t>
      </w:r>
      <w:r w:rsidRPr="00283806">
        <w:rPr>
          <w:w w:val="110"/>
          <w:sz w:val="18"/>
        </w:rPr>
        <w:t>Provisions finalized</w:t>
      </w:r>
      <w:r w:rsidRPr="00283806">
        <w:rPr>
          <w:spacing w:val="-6"/>
          <w:w w:val="110"/>
          <w:sz w:val="18"/>
        </w:rPr>
        <w:t xml:space="preserve"> </w:t>
      </w:r>
      <w:r w:rsidRPr="00283806">
        <w:rPr>
          <w:w w:val="110"/>
          <w:sz w:val="18"/>
        </w:rPr>
        <w:t>in</w:t>
      </w:r>
      <w:r w:rsidRPr="00283806">
        <w:rPr>
          <w:spacing w:val="-6"/>
          <w:w w:val="110"/>
          <w:sz w:val="18"/>
        </w:rPr>
        <w:t xml:space="preserve"> </w:t>
      </w:r>
      <w:r w:rsidRPr="00283806">
        <w:rPr>
          <w:w w:val="110"/>
          <w:sz w:val="18"/>
        </w:rPr>
        <w:t>this</w:t>
      </w:r>
      <w:r w:rsidRPr="00283806">
        <w:rPr>
          <w:spacing w:val="-6"/>
          <w:w w:val="110"/>
          <w:sz w:val="18"/>
        </w:rPr>
        <w:t xml:space="preserve"> </w:t>
      </w:r>
      <w:r w:rsidRPr="00283806">
        <w:rPr>
          <w:w w:val="110"/>
          <w:sz w:val="18"/>
        </w:rPr>
        <w:t>action</w:t>
      </w:r>
      <w:r w:rsidRPr="00283806">
        <w:rPr>
          <w:spacing w:val="-6"/>
          <w:w w:val="110"/>
          <w:sz w:val="18"/>
        </w:rPr>
        <w:t xml:space="preserve"> </w:t>
      </w:r>
      <w:r w:rsidRPr="00283806">
        <w:rPr>
          <w:w w:val="110"/>
          <w:sz w:val="18"/>
        </w:rPr>
        <w:t>do</w:t>
      </w:r>
      <w:r w:rsidRPr="00283806">
        <w:rPr>
          <w:spacing w:val="-6"/>
          <w:w w:val="110"/>
          <w:sz w:val="18"/>
        </w:rPr>
        <w:t xml:space="preserve"> </w:t>
      </w:r>
      <w:r w:rsidRPr="00283806">
        <w:rPr>
          <w:w w:val="110"/>
          <w:sz w:val="18"/>
        </w:rPr>
        <w:t>not</w:t>
      </w:r>
      <w:r w:rsidRPr="00283806">
        <w:rPr>
          <w:spacing w:val="-6"/>
          <w:w w:val="110"/>
          <w:sz w:val="18"/>
        </w:rPr>
        <w:t xml:space="preserve"> </w:t>
      </w:r>
      <w:r w:rsidRPr="00283806">
        <w:rPr>
          <w:w w:val="110"/>
          <w:sz w:val="18"/>
        </w:rPr>
        <w:t>apply</w:t>
      </w:r>
      <w:r w:rsidRPr="00283806">
        <w:rPr>
          <w:spacing w:val="-6"/>
          <w:w w:val="110"/>
          <w:sz w:val="18"/>
        </w:rPr>
        <w:t xml:space="preserve"> </w:t>
      </w:r>
      <w:r w:rsidRPr="00283806">
        <w:rPr>
          <w:w w:val="110"/>
          <w:sz w:val="18"/>
        </w:rPr>
        <w:t>to</w:t>
      </w:r>
    </w:p>
    <w:p w14:paraId="49AB919E" w14:textId="77777777" w:rsidR="00D67C1E" w:rsidRPr="00283806" w:rsidRDefault="001265CA">
      <w:pPr>
        <w:pStyle w:val="BodyText"/>
        <w:spacing w:line="228" w:lineRule="auto"/>
        <w:ind w:left="144" w:right="167"/>
      </w:pPr>
      <w:r w:rsidRPr="00283806">
        <w:rPr>
          <w:w w:val="105"/>
        </w:rPr>
        <w:t xml:space="preserve">two applications, mission-critical military end uses and </w:t>
      </w:r>
      <w:proofErr w:type="gramStart"/>
      <w:r w:rsidRPr="00283806">
        <w:rPr>
          <w:w w:val="105"/>
        </w:rPr>
        <w:t>on board</w:t>
      </w:r>
      <w:proofErr w:type="gramEnd"/>
      <w:r w:rsidRPr="00283806">
        <w:rPr>
          <w:w w:val="105"/>
        </w:rPr>
        <w:t xml:space="preserve"> aerospace fire suppression, as listed at 40</w:t>
      </w:r>
      <w:r w:rsidRPr="00283806">
        <w:rPr>
          <w:spacing w:val="-2"/>
          <w:w w:val="105"/>
        </w:rPr>
        <w:t xml:space="preserve"> </w:t>
      </w:r>
      <w:r w:rsidRPr="00283806">
        <w:rPr>
          <w:w w:val="105"/>
        </w:rPr>
        <w:t>CFR</w:t>
      </w:r>
      <w:r w:rsidRPr="00283806">
        <w:rPr>
          <w:spacing w:val="-2"/>
          <w:w w:val="105"/>
        </w:rPr>
        <w:t xml:space="preserve"> </w:t>
      </w:r>
      <w:r w:rsidRPr="00283806">
        <w:rPr>
          <w:w w:val="105"/>
        </w:rPr>
        <w:t>84.13(a),</w:t>
      </w:r>
      <w:r w:rsidRPr="00283806">
        <w:rPr>
          <w:spacing w:val="-2"/>
          <w:w w:val="105"/>
        </w:rPr>
        <w:t xml:space="preserve"> </w:t>
      </w:r>
      <w:r w:rsidRPr="00283806">
        <w:rPr>
          <w:w w:val="105"/>
        </w:rPr>
        <w:t>for</w:t>
      </w:r>
      <w:r w:rsidRPr="00283806">
        <w:rPr>
          <w:spacing w:val="-2"/>
          <w:w w:val="105"/>
        </w:rPr>
        <w:t xml:space="preserve"> </w:t>
      </w:r>
      <w:r w:rsidRPr="00283806">
        <w:rPr>
          <w:w w:val="105"/>
        </w:rPr>
        <w:t>a</w:t>
      </w:r>
      <w:r w:rsidRPr="00283806">
        <w:rPr>
          <w:spacing w:val="-2"/>
          <w:w w:val="105"/>
        </w:rPr>
        <w:t xml:space="preserve"> </w:t>
      </w:r>
      <w:r w:rsidRPr="00283806">
        <w:rPr>
          <w:w w:val="105"/>
        </w:rPr>
        <w:t>year</w:t>
      </w:r>
      <w:r w:rsidRPr="00283806">
        <w:rPr>
          <w:spacing w:val="-2"/>
          <w:w w:val="105"/>
        </w:rPr>
        <w:t xml:space="preserve"> </w:t>
      </w:r>
      <w:r w:rsidRPr="00283806">
        <w:rPr>
          <w:w w:val="105"/>
        </w:rPr>
        <w:t>or</w:t>
      </w:r>
      <w:r w:rsidRPr="00283806">
        <w:rPr>
          <w:spacing w:val="-2"/>
          <w:w w:val="105"/>
        </w:rPr>
        <w:t xml:space="preserve"> </w:t>
      </w:r>
      <w:r w:rsidRPr="00283806">
        <w:rPr>
          <w:w w:val="105"/>
        </w:rPr>
        <w:t>years</w:t>
      </w:r>
      <w:r w:rsidRPr="00283806">
        <w:rPr>
          <w:spacing w:val="-2"/>
          <w:w w:val="105"/>
        </w:rPr>
        <w:t xml:space="preserve"> </w:t>
      </w:r>
      <w:r w:rsidRPr="00283806">
        <w:rPr>
          <w:w w:val="105"/>
        </w:rPr>
        <w:t>for which that application receives an application-specific allowance as defined at 40 CFR 84.3. As such, the provisions established in this action include exemptions for the following applications, for a year or years for which that application receives an application-specific allowance:</w:t>
      </w:r>
    </w:p>
    <w:p w14:paraId="55FE4459" w14:textId="77777777" w:rsidR="00D67C1E" w:rsidRPr="00283806" w:rsidRDefault="001265CA">
      <w:pPr>
        <w:pStyle w:val="ListParagraph"/>
        <w:numPr>
          <w:ilvl w:val="2"/>
          <w:numId w:val="64"/>
        </w:numPr>
        <w:tabs>
          <w:tab w:val="left" w:pos="506"/>
        </w:tabs>
        <w:spacing w:line="175" w:lineRule="exact"/>
        <w:ind w:left="506" w:hanging="182"/>
        <w:rPr>
          <w:sz w:val="18"/>
        </w:rPr>
      </w:pPr>
      <w:r w:rsidRPr="00283806">
        <w:rPr>
          <w:w w:val="105"/>
          <w:sz w:val="18"/>
        </w:rPr>
        <w:t>Mission-critical</w:t>
      </w:r>
      <w:r w:rsidRPr="00283806">
        <w:rPr>
          <w:spacing w:val="28"/>
          <w:w w:val="105"/>
          <w:sz w:val="18"/>
        </w:rPr>
        <w:t xml:space="preserve"> </w:t>
      </w:r>
      <w:r w:rsidRPr="00283806">
        <w:rPr>
          <w:w w:val="105"/>
          <w:sz w:val="18"/>
        </w:rPr>
        <w:t>military</w:t>
      </w:r>
      <w:r w:rsidRPr="00283806">
        <w:rPr>
          <w:spacing w:val="29"/>
          <w:w w:val="105"/>
          <w:sz w:val="18"/>
        </w:rPr>
        <w:t xml:space="preserve"> </w:t>
      </w:r>
      <w:r w:rsidRPr="00283806">
        <w:rPr>
          <w:w w:val="105"/>
          <w:sz w:val="18"/>
        </w:rPr>
        <w:t>end</w:t>
      </w:r>
      <w:r w:rsidRPr="00283806">
        <w:rPr>
          <w:spacing w:val="29"/>
          <w:w w:val="105"/>
          <w:sz w:val="18"/>
        </w:rPr>
        <w:t xml:space="preserve"> </w:t>
      </w:r>
      <w:r w:rsidRPr="00283806">
        <w:rPr>
          <w:spacing w:val="-4"/>
          <w:w w:val="105"/>
          <w:sz w:val="18"/>
        </w:rPr>
        <w:t>uses</w:t>
      </w:r>
    </w:p>
    <w:p w14:paraId="1690DE08" w14:textId="77777777" w:rsidR="00D67C1E" w:rsidRPr="00283806" w:rsidRDefault="001265CA">
      <w:pPr>
        <w:pStyle w:val="BodyText"/>
        <w:spacing w:line="187" w:lineRule="exact"/>
        <w:ind w:left="144"/>
      </w:pPr>
      <w:r w:rsidRPr="00283806">
        <w:rPr>
          <w:spacing w:val="-5"/>
          <w:w w:val="105"/>
        </w:rPr>
        <w:t>and</w:t>
      </w:r>
    </w:p>
    <w:p w14:paraId="4EA28843" w14:textId="77777777" w:rsidR="00D67C1E" w:rsidRPr="00283806" w:rsidRDefault="001265CA">
      <w:pPr>
        <w:pStyle w:val="ListParagraph"/>
        <w:numPr>
          <w:ilvl w:val="2"/>
          <w:numId w:val="64"/>
        </w:numPr>
        <w:tabs>
          <w:tab w:val="left" w:pos="506"/>
        </w:tabs>
        <w:spacing w:line="228" w:lineRule="auto"/>
        <w:ind w:left="144" w:right="1012" w:firstLine="180"/>
        <w:rPr>
          <w:sz w:val="18"/>
        </w:rPr>
      </w:pPr>
      <w:r w:rsidRPr="00283806">
        <w:rPr>
          <w:w w:val="105"/>
          <w:sz w:val="18"/>
        </w:rPr>
        <w:t>On</w:t>
      </w:r>
      <w:r w:rsidRPr="00283806">
        <w:rPr>
          <w:spacing w:val="-3"/>
          <w:w w:val="105"/>
          <w:sz w:val="18"/>
        </w:rPr>
        <w:t xml:space="preserve"> </w:t>
      </w:r>
      <w:r w:rsidRPr="00283806">
        <w:rPr>
          <w:w w:val="105"/>
          <w:sz w:val="18"/>
        </w:rPr>
        <w:t>board</w:t>
      </w:r>
      <w:r w:rsidRPr="00283806">
        <w:rPr>
          <w:spacing w:val="-3"/>
          <w:w w:val="105"/>
          <w:sz w:val="18"/>
        </w:rPr>
        <w:t xml:space="preserve"> </w:t>
      </w:r>
      <w:r w:rsidRPr="00283806">
        <w:rPr>
          <w:w w:val="105"/>
          <w:sz w:val="18"/>
        </w:rPr>
        <w:t>aerospace</w:t>
      </w:r>
      <w:r w:rsidRPr="00283806">
        <w:rPr>
          <w:spacing w:val="-3"/>
          <w:w w:val="105"/>
          <w:sz w:val="18"/>
        </w:rPr>
        <w:t xml:space="preserve"> </w:t>
      </w:r>
      <w:r w:rsidRPr="00283806">
        <w:rPr>
          <w:w w:val="105"/>
          <w:sz w:val="18"/>
        </w:rPr>
        <w:t xml:space="preserve">fire </w:t>
      </w:r>
      <w:r w:rsidRPr="00283806">
        <w:rPr>
          <w:spacing w:val="-2"/>
          <w:w w:val="105"/>
          <w:sz w:val="18"/>
        </w:rPr>
        <w:t>suppression.</w:t>
      </w:r>
    </w:p>
    <w:p w14:paraId="4C524463" w14:textId="77777777" w:rsidR="00D67C1E" w:rsidRPr="00283806" w:rsidRDefault="001265CA">
      <w:pPr>
        <w:pStyle w:val="BodyText"/>
        <w:spacing w:line="223" w:lineRule="auto"/>
        <w:ind w:left="144" w:firstLine="180"/>
      </w:pPr>
      <w:r w:rsidRPr="00283806">
        <w:rPr>
          <w:rFonts w:ascii="Book Antiqua" w:hAnsi="Book Antiqua"/>
          <w:i/>
          <w:w w:val="105"/>
        </w:rPr>
        <w:t>Amendments to the RCRA hazardous</w:t>
      </w:r>
      <w:r w:rsidRPr="00283806">
        <w:rPr>
          <w:rFonts w:ascii="Book Antiqua" w:hAnsi="Book Antiqua"/>
          <w:i/>
          <w:spacing w:val="40"/>
          <w:w w:val="105"/>
        </w:rPr>
        <w:t xml:space="preserve"> </w:t>
      </w:r>
      <w:r w:rsidRPr="00283806">
        <w:rPr>
          <w:rFonts w:ascii="Book Antiqua" w:hAnsi="Book Antiqua"/>
          <w:i/>
          <w:w w:val="105"/>
        </w:rPr>
        <w:t xml:space="preserve">waste regulations. </w:t>
      </w:r>
      <w:r w:rsidRPr="00283806">
        <w:rPr>
          <w:w w:val="105"/>
        </w:rPr>
        <w:t>Second, EPA is amending a separate set of regulations promulgated under RCRA, a separate statutory authority from the AIM Act, to establish alternative standards for ignitable spent refrigerants when ‘‘recycled for reuse,’’ as the term is to be</w:t>
      </w:r>
    </w:p>
    <w:p w14:paraId="0B165FD6" w14:textId="77777777" w:rsidR="00D67C1E" w:rsidRPr="00283806" w:rsidRDefault="001265CA">
      <w:pPr>
        <w:pStyle w:val="BodyText"/>
        <w:spacing w:line="228" w:lineRule="auto"/>
        <w:ind w:left="144"/>
      </w:pPr>
      <w:r w:rsidRPr="00283806">
        <w:rPr>
          <w:w w:val="110"/>
        </w:rPr>
        <w:t xml:space="preserve">defined under RCRA. EPA is establishing that the alternative </w:t>
      </w:r>
      <w:r w:rsidRPr="00283806">
        <w:rPr>
          <w:spacing w:val="-2"/>
          <w:w w:val="110"/>
        </w:rPr>
        <w:t>standards</w:t>
      </w:r>
      <w:r w:rsidRPr="00283806">
        <w:rPr>
          <w:spacing w:val="-9"/>
          <w:w w:val="110"/>
        </w:rPr>
        <w:t xml:space="preserve"> </w:t>
      </w:r>
      <w:r w:rsidRPr="00283806">
        <w:rPr>
          <w:spacing w:val="-2"/>
          <w:w w:val="110"/>
        </w:rPr>
        <w:t>at</w:t>
      </w:r>
      <w:r w:rsidRPr="00283806">
        <w:rPr>
          <w:spacing w:val="-9"/>
          <w:w w:val="110"/>
        </w:rPr>
        <w:t xml:space="preserve"> </w:t>
      </w:r>
      <w:r w:rsidRPr="00283806">
        <w:rPr>
          <w:spacing w:val="-2"/>
          <w:w w:val="110"/>
        </w:rPr>
        <w:t>40</w:t>
      </w:r>
      <w:r w:rsidRPr="00283806">
        <w:rPr>
          <w:spacing w:val="-9"/>
          <w:w w:val="110"/>
        </w:rPr>
        <w:t xml:space="preserve"> </w:t>
      </w:r>
      <w:r w:rsidRPr="00283806">
        <w:rPr>
          <w:spacing w:val="-2"/>
          <w:w w:val="110"/>
        </w:rPr>
        <w:t>CFR</w:t>
      </w:r>
      <w:r w:rsidRPr="00283806">
        <w:rPr>
          <w:spacing w:val="-9"/>
          <w:w w:val="110"/>
        </w:rPr>
        <w:t xml:space="preserve"> </w:t>
      </w:r>
      <w:r w:rsidRPr="00283806">
        <w:rPr>
          <w:spacing w:val="-2"/>
          <w:w w:val="110"/>
        </w:rPr>
        <w:t>part</w:t>
      </w:r>
      <w:r w:rsidRPr="00283806">
        <w:rPr>
          <w:spacing w:val="-9"/>
          <w:w w:val="110"/>
        </w:rPr>
        <w:t xml:space="preserve"> </w:t>
      </w:r>
      <w:r w:rsidRPr="00283806">
        <w:rPr>
          <w:spacing w:val="-2"/>
          <w:w w:val="110"/>
        </w:rPr>
        <w:t>266,</w:t>
      </w:r>
      <w:r w:rsidRPr="00283806">
        <w:rPr>
          <w:spacing w:val="-9"/>
          <w:w w:val="110"/>
        </w:rPr>
        <w:t xml:space="preserve"> </w:t>
      </w:r>
      <w:r w:rsidRPr="00283806">
        <w:rPr>
          <w:spacing w:val="-2"/>
          <w:w w:val="110"/>
        </w:rPr>
        <w:t>subpart</w:t>
      </w:r>
      <w:r w:rsidRPr="00283806">
        <w:rPr>
          <w:spacing w:val="-9"/>
          <w:w w:val="110"/>
        </w:rPr>
        <w:t xml:space="preserve"> </w:t>
      </w:r>
      <w:r w:rsidRPr="00283806">
        <w:rPr>
          <w:spacing w:val="-2"/>
          <w:w w:val="110"/>
        </w:rPr>
        <w:t xml:space="preserve">Q, </w:t>
      </w:r>
      <w:r w:rsidRPr="00283806">
        <w:rPr>
          <w:w w:val="110"/>
        </w:rPr>
        <w:t>under RCRA, apply to HFCs and other</w:t>
      </w:r>
    </w:p>
    <w:p w14:paraId="74674E5C" w14:textId="77777777" w:rsidR="00D67C1E" w:rsidRPr="00283806" w:rsidRDefault="001265CA">
      <w:pPr>
        <w:pStyle w:val="BodyText"/>
        <w:spacing w:before="134" w:line="225" w:lineRule="auto"/>
        <w:ind w:right="174"/>
      </w:pPr>
      <w:r w:rsidRPr="00283806">
        <w:br w:type="column"/>
      </w:r>
      <w:r w:rsidRPr="00283806">
        <w:rPr>
          <w:w w:val="105"/>
        </w:rPr>
        <w:t>substitutes that are lower flammability (</w:t>
      </w:r>
      <w:r w:rsidRPr="00283806">
        <w:rPr>
          <w:rFonts w:ascii="Book Antiqua" w:hAnsi="Book Antiqua"/>
          <w:i/>
          <w:w w:val="105"/>
        </w:rPr>
        <w:t xml:space="preserve">i.e., </w:t>
      </w:r>
      <w:r w:rsidRPr="00283806">
        <w:rPr>
          <w:w w:val="105"/>
        </w:rPr>
        <w:t>that do not belong to flammability Class 3 as classified by the American Society of Heating, Refrigerating and</w:t>
      </w:r>
      <w:r w:rsidRPr="00283806">
        <w:rPr>
          <w:spacing w:val="80"/>
          <w:w w:val="105"/>
        </w:rPr>
        <w:t xml:space="preserve"> </w:t>
      </w:r>
      <w:r w:rsidRPr="00283806">
        <w:rPr>
          <w:w w:val="105"/>
        </w:rPr>
        <w:t>Air-Conditioning Engineers (ASHRAE) Standard 34–2022).</w:t>
      </w:r>
      <w:r w:rsidRPr="00283806">
        <w:rPr>
          <w:w w:val="105"/>
          <w:position w:val="5"/>
          <w:sz w:val="11"/>
        </w:rPr>
        <w:t>4</w:t>
      </w:r>
      <w:r w:rsidRPr="00283806">
        <w:rPr>
          <w:spacing w:val="29"/>
          <w:w w:val="105"/>
          <w:position w:val="5"/>
          <w:sz w:val="11"/>
        </w:rPr>
        <w:t xml:space="preserve"> </w:t>
      </w:r>
      <w:r w:rsidRPr="00283806">
        <w:rPr>
          <w:w w:val="105"/>
        </w:rPr>
        <w:t>EPA is limiting the alternative standards to lower flammability HFCs and substitutes</w:t>
      </w:r>
      <w:r w:rsidRPr="00283806">
        <w:rPr>
          <w:spacing w:val="80"/>
          <w:w w:val="105"/>
        </w:rPr>
        <w:t xml:space="preserve"> </w:t>
      </w:r>
      <w:r w:rsidRPr="00283806">
        <w:rPr>
          <w:w w:val="105"/>
        </w:rPr>
        <w:t>(Class 1, 2, and 2L) because of the lower risk of fire from the collection and recycling for reuse of these refrigerants, and the greater market value of these refrigerants, which supports the conclusion that these spent refrigerants will be recycled for reuse and not stockpiled, mismanaged, or abandoned.</w:t>
      </w:r>
    </w:p>
    <w:p w14:paraId="3A361369" w14:textId="77777777" w:rsidR="00D67C1E" w:rsidRPr="00283806" w:rsidRDefault="001265CA">
      <w:pPr>
        <w:spacing w:line="181" w:lineRule="exact"/>
        <w:ind w:left="340"/>
        <w:rPr>
          <w:sz w:val="18"/>
        </w:rPr>
      </w:pPr>
      <w:r w:rsidRPr="00283806">
        <w:rPr>
          <w:rFonts w:ascii="Book Antiqua"/>
          <w:i/>
          <w:w w:val="105"/>
          <w:sz w:val="18"/>
        </w:rPr>
        <w:t>Other</w:t>
      </w:r>
      <w:r w:rsidRPr="00283806">
        <w:rPr>
          <w:rFonts w:ascii="Book Antiqua"/>
          <w:i/>
          <w:spacing w:val="19"/>
          <w:w w:val="105"/>
          <w:sz w:val="18"/>
        </w:rPr>
        <w:t xml:space="preserve"> </w:t>
      </w:r>
      <w:r w:rsidRPr="00283806">
        <w:rPr>
          <w:rFonts w:ascii="Book Antiqua"/>
          <w:i/>
          <w:w w:val="105"/>
          <w:sz w:val="18"/>
        </w:rPr>
        <w:t>topics.</w:t>
      </w:r>
      <w:r w:rsidRPr="00283806">
        <w:rPr>
          <w:rFonts w:ascii="Book Antiqua"/>
          <w:i/>
          <w:spacing w:val="20"/>
          <w:w w:val="105"/>
          <w:sz w:val="18"/>
        </w:rPr>
        <w:t xml:space="preserve"> </w:t>
      </w:r>
      <w:r w:rsidRPr="00283806">
        <w:rPr>
          <w:w w:val="105"/>
          <w:sz w:val="18"/>
        </w:rPr>
        <w:t>Together</w:t>
      </w:r>
      <w:r w:rsidRPr="00283806">
        <w:rPr>
          <w:spacing w:val="25"/>
          <w:w w:val="105"/>
          <w:sz w:val="18"/>
        </w:rPr>
        <w:t xml:space="preserve"> </w:t>
      </w:r>
      <w:r w:rsidRPr="00283806">
        <w:rPr>
          <w:w w:val="105"/>
          <w:sz w:val="18"/>
        </w:rPr>
        <w:t>with</w:t>
      </w:r>
      <w:r w:rsidRPr="00283806">
        <w:rPr>
          <w:spacing w:val="25"/>
          <w:w w:val="105"/>
          <w:sz w:val="18"/>
        </w:rPr>
        <w:t xml:space="preserve"> </w:t>
      </w:r>
      <w:r w:rsidRPr="00283806">
        <w:rPr>
          <w:spacing w:val="-5"/>
          <w:w w:val="105"/>
          <w:sz w:val="18"/>
        </w:rPr>
        <w:t>the</w:t>
      </w:r>
    </w:p>
    <w:p w14:paraId="479383E0" w14:textId="77777777" w:rsidR="00D67C1E" w:rsidRPr="00283806" w:rsidRDefault="001265CA">
      <w:pPr>
        <w:pStyle w:val="BodyText"/>
        <w:spacing w:line="228" w:lineRule="auto"/>
        <w:ind w:right="132"/>
      </w:pPr>
      <w:proofErr w:type="gramStart"/>
      <w:r w:rsidRPr="00283806">
        <w:rPr>
          <w:w w:val="105"/>
        </w:rPr>
        <w:t>proposal</w:t>
      </w:r>
      <w:proofErr w:type="gramEnd"/>
      <w:r w:rsidRPr="00283806">
        <w:rPr>
          <w:w w:val="105"/>
        </w:rPr>
        <w:t xml:space="preserve"> for this rule, EPA issued an advanced</w:t>
      </w:r>
      <w:r w:rsidRPr="00283806">
        <w:rPr>
          <w:spacing w:val="40"/>
          <w:w w:val="105"/>
        </w:rPr>
        <w:t xml:space="preserve"> </w:t>
      </w:r>
      <w:r w:rsidRPr="00283806">
        <w:rPr>
          <w:w w:val="105"/>
        </w:rPr>
        <w:t>notice</w:t>
      </w:r>
      <w:r w:rsidRPr="00283806">
        <w:rPr>
          <w:spacing w:val="40"/>
          <w:w w:val="105"/>
        </w:rPr>
        <w:t xml:space="preserve"> </w:t>
      </w:r>
      <w:r w:rsidRPr="00283806">
        <w:rPr>
          <w:w w:val="105"/>
        </w:rPr>
        <w:t>of</w:t>
      </w:r>
      <w:r w:rsidRPr="00283806">
        <w:rPr>
          <w:spacing w:val="40"/>
          <w:w w:val="105"/>
        </w:rPr>
        <w:t xml:space="preserve"> </w:t>
      </w:r>
      <w:r w:rsidRPr="00283806">
        <w:rPr>
          <w:w w:val="105"/>
        </w:rPr>
        <w:t xml:space="preserve">proposed rulemaking (ANPRM) seeking information on approaches for establishing requirements for technician training and/or certification. As stated </w:t>
      </w:r>
      <w:proofErr w:type="gramStart"/>
      <w:r w:rsidRPr="00283806">
        <w:rPr>
          <w:w w:val="105"/>
        </w:rPr>
        <w:t>at proposal</w:t>
      </w:r>
      <w:proofErr w:type="gramEnd"/>
      <w:r w:rsidRPr="00283806">
        <w:rPr>
          <w:w w:val="105"/>
        </w:rPr>
        <w:t>, EPA is not addressing technician training in this final rulemaking and accordingly is not responding to comments on the ANPRM in this final rule.</w:t>
      </w:r>
    </w:p>
    <w:p w14:paraId="01371553" w14:textId="77777777" w:rsidR="00D67C1E" w:rsidRPr="00283806" w:rsidRDefault="001265CA">
      <w:pPr>
        <w:pStyle w:val="BodyText"/>
        <w:spacing w:line="175" w:lineRule="exact"/>
        <w:ind w:left="340"/>
      </w:pPr>
      <w:r w:rsidRPr="00283806">
        <w:rPr>
          <w:w w:val="110"/>
        </w:rPr>
        <w:t>Additionally,</w:t>
      </w:r>
      <w:r w:rsidRPr="00283806">
        <w:rPr>
          <w:spacing w:val="10"/>
          <w:w w:val="110"/>
        </w:rPr>
        <w:t xml:space="preserve"> </w:t>
      </w:r>
      <w:r w:rsidRPr="00283806">
        <w:rPr>
          <w:w w:val="110"/>
        </w:rPr>
        <w:t>EPA</w:t>
      </w:r>
      <w:r w:rsidRPr="00283806">
        <w:rPr>
          <w:spacing w:val="10"/>
          <w:w w:val="110"/>
        </w:rPr>
        <w:t xml:space="preserve"> </w:t>
      </w:r>
      <w:r w:rsidRPr="00283806">
        <w:rPr>
          <w:w w:val="110"/>
        </w:rPr>
        <w:t>is</w:t>
      </w:r>
      <w:r w:rsidRPr="00283806">
        <w:rPr>
          <w:spacing w:val="10"/>
          <w:w w:val="110"/>
        </w:rPr>
        <w:t xml:space="preserve"> </w:t>
      </w:r>
      <w:r w:rsidRPr="00283806">
        <w:rPr>
          <w:w w:val="110"/>
        </w:rPr>
        <w:t>not</w:t>
      </w:r>
      <w:r w:rsidRPr="00283806">
        <w:rPr>
          <w:spacing w:val="10"/>
          <w:w w:val="110"/>
        </w:rPr>
        <w:t xml:space="preserve"> </w:t>
      </w:r>
      <w:r w:rsidRPr="00283806">
        <w:rPr>
          <w:w w:val="110"/>
        </w:rPr>
        <w:t>finalizing</w:t>
      </w:r>
      <w:r w:rsidRPr="00283806">
        <w:rPr>
          <w:spacing w:val="10"/>
          <w:w w:val="110"/>
        </w:rPr>
        <w:t xml:space="preserve"> </w:t>
      </w:r>
      <w:r w:rsidRPr="00283806">
        <w:rPr>
          <w:spacing w:val="-5"/>
          <w:w w:val="110"/>
        </w:rPr>
        <w:t>as</w:t>
      </w:r>
    </w:p>
    <w:p w14:paraId="3939C8AD" w14:textId="77777777" w:rsidR="00D67C1E" w:rsidRPr="00283806" w:rsidRDefault="001265CA">
      <w:pPr>
        <w:pStyle w:val="BodyText"/>
        <w:spacing w:before="1" w:line="228" w:lineRule="auto"/>
        <w:ind w:right="151"/>
      </w:pPr>
      <w:proofErr w:type="gramStart"/>
      <w:r w:rsidRPr="00283806">
        <w:rPr>
          <w:w w:val="105"/>
        </w:rPr>
        <w:t>part</w:t>
      </w:r>
      <w:proofErr w:type="gramEnd"/>
      <w:r w:rsidRPr="00283806">
        <w:rPr>
          <w:spacing w:val="40"/>
          <w:w w:val="105"/>
        </w:rPr>
        <w:t xml:space="preserve"> </w:t>
      </w:r>
      <w:r w:rsidRPr="00283806">
        <w:rPr>
          <w:w w:val="105"/>
        </w:rPr>
        <w:t>of</w:t>
      </w:r>
      <w:r w:rsidRPr="00283806">
        <w:rPr>
          <w:spacing w:val="40"/>
          <w:w w:val="105"/>
        </w:rPr>
        <w:t xml:space="preserve"> </w:t>
      </w:r>
      <w:r w:rsidRPr="00283806">
        <w:rPr>
          <w:w w:val="105"/>
        </w:rPr>
        <w:t>this</w:t>
      </w:r>
      <w:r w:rsidRPr="00283806">
        <w:rPr>
          <w:spacing w:val="40"/>
          <w:w w:val="105"/>
        </w:rPr>
        <w:t xml:space="preserve"> </w:t>
      </w:r>
      <w:r w:rsidRPr="00283806">
        <w:rPr>
          <w:w w:val="105"/>
        </w:rPr>
        <w:t>action</w:t>
      </w:r>
      <w:r w:rsidRPr="00283806">
        <w:rPr>
          <w:spacing w:val="40"/>
          <w:w w:val="105"/>
        </w:rPr>
        <w:t xml:space="preserve"> </w:t>
      </w:r>
      <w:r w:rsidRPr="00283806">
        <w:rPr>
          <w:w w:val="105"/>
        </w:rPr>
        <w:t>under</w:t>
      </w:r>
      <w:r w:rsidRPr="00283806">
        <w:rPr>
          <w:spacing w:val="40"/>
          <w:w w:val="105"/>
        </w:rPr>
        <w:t xml:space="preserve"> </w:t>
      </w:r>
      <w:r w:rsidRPr="00283806">
        <w:rPr>
          <w:w w:val="105"/>
        </w:rPr>
        <w:t>the</w:t>
      </w:r>
      <w:r w:rsidRPr="00283806">
        <w:rPr>
          <w:spacing w:val="40"/>
          <w:w w:val="105"/>
        </w:rPr>
        <w:t xml:space="preserve"> </w:t>
      </w:r>
      <w:r w:rsidRPr="00283806">
        <w:rPr>
          <w:w w:val="105"/>
        </w:rPr>
        <w:t>AIM</w:t>
      </w:r>
      <w:r w:rsidRPr="00283806">
        <w:rPr>
          <w:spacing w:val="40"/>
          <w:w w:val="105"/>
        </w:rPr>
        <w:t xml:space="preserve"> </w:t>
      </w:r>
      <w:r w:rsidRPr="00283806">
        <w:rPr>
          <w:w w:val="105"/>
        </w:rPr>
        <w:t xml:space="preserve">Act </w:t>
      </w:r>
      <w:proofErr w:type="gramStart"/>
      <w:r w:rsidRPr="00283806">
        <w:rPr>
          <w:w w:val="105"/>
        </w:rPr>
        <w:t>the</w:t>
      </w:r>
      <w:proofErr w:type="gramEnd"/>
      <w:r w:rsidRPr="00283806">
        <w:rPr>
          <w:w w:val="105"/>
        </w:rPr>
        <w:t xml:space="preserve"> proposed provisions for container tracking of HFCs that could be used in</w:t>
      </w:r>
      <w:r w:rsidRPr="00283806">
        <w:rPr>
          <w:spacing w:val="40"/>
          <w:w w:val="105"/>
        </w:rPr>
        <w:t xml:space="preserve"> </w:t>
      </w:r>
      <w:r w:rsidRPr="00283806">
        <w:rPr>
          <w:w w:val="105"/>
        </w:rPr>
        <w:t>the servicing, repair, and/or installation of refrigerant-containing or fire suppression equipment. EPA is also not finalizing in this action provisions requiring the initial installation of refrigerant-containing equipment in certain subsectors in the RACHP sector</w:t>
      </w:r>
      <w:r w:rsidRPr="00283806">
        <w:rPr>
          <w:spacing w:val="40"/>
          <w:w w:val="105"/>
        </w:rPr>
        <w:t xml:space="preserve"> </w:t>
      </w:r>
      <w:r w:rsidRPr="00283806">
        <w:rPr>
          <w:w w:val="105"/>
        </w:rPr>
        <w:t xml:space="preserve">to be done with reclaimed </w:t>
      </w:r>
      <w:proofErr w:type="gramStart"/>
      <w:r w:rsidRPr="00283806">
        <w:rPr>
          <w:w w:val="105"/>
        </w:rPr>
        <w:t>refrigerant</w:t>
      </w:r>
      <w:proofErr w:type="gramEnd"/>
      <w:r w:rsidRPr="00283806">
        <w:rPr>
          <w:w w:val="105"/>
        </w:rPr>
        <w:t xml:space="preserve"> where HFCs or a blend containing HFCs are used. The Agency intends to further consider those </w:t>
      </w:r>
      <w:proofErr w:type="gramStart"/>
      <w:r w:rsidRPr="00283806">
        <w:rPr>
          <w:w w:val="105"/>
        </w:rPr>
        <w:t>provisions</w:t>
      </w:r>
      <w:proofErr w:type="gramEnd"/>
      <w:r w:rsidRPr="00283806">
        <w:rPr>
          <w:w w:val="105"/>
        </w:rPr>
        <w:t xml:space="preserve"> and the comments submitted on the proposed requirements</w:t>
      </w:r>
      <w:r w:rsidRPr="00283806">
        <w:rPr>
          <w:spacing w:val="-4"/>
          <w:w w:val="105"/>
        </w:rPr>
        <w:t xml:space="preserve"> </w:t>
      </w:r>
      <w:r w:rsidRPr="00283806">
        <w:rPr>
          <w:w w:val="105"/>
        </w:rPr>
        <w:t>before</w:t>
      </w:r>
      <w:r w:rsidRPr="00283806">
        <w:rPr>
          <w:spacing w:val="-4"/>
          <w:w w:val="105"/>
        </w:rPr>
        <w:t xml:space="preserve"> </w:t>
      </w:r>
      <w:r w:rsidRPr="00283806">
        <w:rPr>
          <w:w w:val="105"/>
        </w:rPr>
        <w:t>determining</w:t>
      </w:r>
      <w:r w:rsidRPr="00283806">
        <w:rPr>
          <w:spacing w:val="-4"/>
          <w:w w:val="105"/>
        </w:rPr>
        <w:t xml:space="preserve"> </w:t>
      </w:r>
      <w:r w:rsidRPr="00283806">
        <w:rPr>
          <w:w w:val="105"/>
        </w:rPr>
        <w:t>how</w:t>
      </w:r>
      <w:r w:rsidRPr="00283806">
        <w:rPr>
          <w:spacing w:val="-4"/>
          <w:w w:val="105"/>
        </w:rPr>
        <w:t xml:space="preserve"> </w:t>
      </w:r>
      <w:r w:rsidRPr="00283806">
        <w:rPr>
          <w:w w:val="105"/>
        </w:rPr>
        <w:t>to proceed.</w:t>
      </w:r>
      <w:r w:rsidRPr="00283806">
        <w:rPr>
          <w:spacing w:val="40"/>
          <w:w w:val="105"/>
        </w:rPr>
        <w:t xml:space="preserve"> </w:t>
      </w:r>
      <w:r w:rsidRPr="00283806">
        <w:rPr>
          <w:w w:val="105"/>
        </w:rPr>
        <w:t>As</w:t>
      </w:r>
      <w:r w:rsidRPr="00283806">
        <w:rPr>
          <w:spacing w:val="40"/>
          <w:w w:val="105"/>
        </w:rPr>
        <w:t xml:space="preserve"> </w:t>
      </w:r>
      <w:r w:rsidRPr="00283806">
        <w:rPr>
          <w:w w:val="105"/>
        </w:rPr>
        <w:t>such,</w:t>
      </w:r>
      <w:r w:rsidRPr="00283806">
        <w:rPr>
          <w:spacing w:val="40"/>
          <w:w w:val="105"/>
        </w:rPr>
        <w:t xml:space="preserve"> </w:t>
      </w:r>
      <w:r w:rsidRPr="00283806">
        <w:rPr>
          <w:w w:val="105"/>
        </w:rPr>
        <w:t>EPA</w:t>
      </w:r>
      <w:r w:rsidRPr="00283806">
        <w:rPr>
          <w:spacing w:val="40"/>
          <w:w w:val="105"/>
        </w:rPr>
        <w:t xml:space="preserve"> </w:t>
      </w:r>
      <w:r w:rsidRPr="00283806">
        <w:rPr>
          <w:w w:val="105"/>
        </w:rPr>
        <w:t>need</w:t>
      </w:r>
      <w:r w:rsidRPr="00283806">
        <w:rPr>
          <w:spacing w:val="40"/>
          <w:w w:val="105"/>
        </w:rPr>
        <w:t xml:space="preserve"> </w:t>
      </w:r>
      <w:r w:rsidRPr="00283806">
        <w:rPr>
          <w:w w:val="105"/>
        </w:rPr>
        <w:t xml:space="preserve">not respond to public comments on those proposed requirements as part of this </w:t>
      </w:r>
      <w:r w:rsidRPr="00283806">
        <w:rPr>
          <w:spacing w:val="-2"/>
          <w:w w:val="105"/>
        </w:rPr>
        <w:t>action.</w:t>
      </w:r>
    </w:p>
    <w:p w14:paraId="78D45F2D" w14:textId="77777777" w:rsidR="00D67C1E" w:rsidRPr="00283806" w:rsidRDefault="001265CA">
      <w:pPr>
        <w:pStyle w:val="BodyText"/>
        <w:spacing w:line="171" w:lineRule="exact"/>
        <w:ind w:left="340"/>
      </w:pPr>
      <w:r w:rsidRPr="00283806">
        <w:rPr>
          <w:w w:val="105"/>
        </w:rPr>
        <w:t>EPA</w:t>
      </w:r>
      <w:r w:rsidRPr="00283806">
        <w:rPr>
          <w:spacing w:val="17"/>
          <w:w w:val="105"/>
        </w:rPr>
        <w:t xml:space="preserve"> </w:t>
      </w:r>
      <w:r w:rsidRPr="00283806">
        <w:rPr>
          <w:w w:val="105"/>
        </w:rPr>
        <w:t>received</w:t>
      </w:r>
      <w:r w:rsidRPr="00283806">
        <w:rPr>
          <w:spacing w:val="18"/>
          <w:w w:val="105"/>
        </w:rPr>
        <w:t xml:space="preserve"> </w:t>
      </w:r>
      <w:r w:rsidRPr="00283806">
        <w:rPr>
          <w:w w:val="105"/>
        </w:rPr>
        <w:t>many</w:t>
      </w:r>
      <w:r w:rsidRPr="00283806">
        <w:rPr>
          <w:spacing w:val="17"/>
          <w:w w:val="105"/>
        </w:rPr>
        <w:t xml:space="preserve"> </w:t>
      </w:r>
      <w:r w:rsidRPr="00283806">
        <w:rPr>
          <w:w w:val="105"/>
        </w:rPr>
        <w:t>comments</w:t>
      </w:r>
      <w:r w:rsidRPr="00283806">
        <w:rPr>
          <w:spacing w:val="18"/>
          <w:w w:val="105"/>
        </w:rPr>
        <w:t xml:space="preserve"> </w:t>
      </w:r>
      <w:r w:rsidRPr="00283806">
        <w:rPr>
          <w:w w:val="105"/>
        </w:rPr>
        <w:t>on</w:t>
      </w:r>
      <w:r w:rsidRPr="00283806">
        <w:rPr>
          <w:spacing w:val="17"/>
          <w:w w:val="105"/>
        </w:rPr>
        <w:t xml:space="preserve"> </w:t>
      </w:r>
      <w:r w:rsidRPr="00283806">
        <w:rPr>
          <w:spacing w:val="-4"/>
          <w:w w:val="105"/>
        </w:rPr>
        <w:t>this</w:t>
      </w:r>
    </w:p>
    <w:p w14:paraId="06542DD9" w14:textId="77777777" w:rsidR="00D67C1E" w:rsidRPr="00283806" w:rsidRDefault="001265CA">
      <w:pPr>
        <w:pStyle w:val="BodyText"/>
        <w:spacing w:before="3" w:line="228" w:lineRule="auto"/>
        <w:ind w:right="280"/>
        <w:jc w:val="both"/>
      </w:pPr>
      <w:r w:rsidRPr="00283806">
        <w:rPr>
          <w:w w:val="105"/>
        </w:rPr>
        <w:t>rulemaking, including those that were in general support or opposition of the various</w:t>
      </w:r>
      <w:r w:rsidRPr="00283806">
        <w:rPr>
          <w:spacing w:val="33"/>
          <w:w w:val="105"/>
        </w:rPr>
        <w:t xml:space="preserve"> </w:t>
      </w:r>
      <w:r w:rsidRPr="00283806">
        <w:rPr>
          <w:w w:val="105"/>
        </w:rPr>
        <w:t>provisions.</w:t>
      </w:r>
      <w:r w:rsidRPr="00283806">
        <w:rPr>
          <w:spacing w:val="33"/>
          <w:w w:val="105"/>
        </w:rPr>
        <w:t xml:space="preserve"> </w:t>
      </w:r>
      <w:r w:rsidRPr="00283806">
        <w:rPr>
          <w:w w:val="105"/>
        </w:rPr>
        <w:t>Specific</w:t>
      </w:r>
      <w:r w:rsidRPr="00283806">
        <w:rPr>
          <w:spacing w:val="33"/>
          <w:w w:val="105"/>
        </w:rPr>
        <w:t xml:space="preserve"> </w:t>
      </w:r>
      <w:r w:rsidRPr="00283806">
        <w:rPr>
          <w:spacing w:val="-2"/>
          <w:w w:val="105"/>
        </w:rPr>
        <w:t>comments</w:t>
      </w:r>
    </w:p>
    <w:p w14:paraId="666F91E8" w14:textId="77777777" w:rsidR="00D67C1E" w:rsidRPr="00283806" w:rsidRDefault="001265CA">
      <w:pPr>
        <w:pStyle w:val="BodyText"/>
        <w:spacing w:before="11"/>
        <w:ind w:left="0"/>
        <w:rPr>
          <w:sz w:val="12"/>
        </w:rPr>
      </w:pPr>
      <w:r w:rsidRPr="00283806">
        <w:rPr>
          <w:noProof/>
        </w:rPr>
        <mc:AlternateContent>
          <mc:Choice Requires="wps">
            <w:drawing>
              <wp:anchor distT="0" distB="0" distL="0" distR="0" simplePos="0" relativeHeight="251617280" behindDoc="1" locked="0" layoutInCell="1" allowOverlap="1" wp14:anchorId="5F52ACB4" wp14:editId="2FE86206">
                <wp:simplePos x="0" y="0"/>
                <wp:positionH relativeFrom="page">
                  <wp:posOffset>5067300</wp:posOffset>
                </wp:positionH>
                <wp:positionV relativeFrom="paragraph">
                  <wp:posOffset>111662</wp:posOffset>
                </wp:positionV>
                <wp:extent cx="635000" cy="1270"/>
                <wp:effectExtent l="0" t="0" r="0" b="0"/>
                <wp:wrapTopAndBottom/>
                <wp:docPr id="23" name="Graphic 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73401A" id="Graphic 23" o:spid="_x0000_s1026" alt="&quot;&quot;" style="position:absolute;margin-left:399pt;margin-top:8.8pt;width:50pt;height:.1pt;z-index:-251699200;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" path="m,l635000,e" filled="f" strokeweight=".5pt">
                <v:path arrowok="t"/>
                <w10:wrap type="topAndBottom" anchorx="page"/>
              </v:shape>
            </w:pict>
          </mc:Fallback>
        </mc:AlternateContent>
      </w:r>
    </w:p>
    <w:p w14:paraId="613D5456" w14:textId="77777777" w:rsidR="00D67C1E" w:rsidRPr="00283806" w:rsidRDefault="001265CA">
      <w:pPr>
        <w:spacing w:before="40" w:line="232" w:lineRule="auto"/>
        <w:ind w:left="160" w:right="157" w:firstLine="139"/>
        <w:rPr>
          <w:sz w:val="14"/>
        </w:rPr>
      </w:pPr>
      <w:r w:rsidRPr="00283806">
        <w:rPr>
          <w:w w:val="105"/>
          <w:position w:val="4"/>
          <w:sz w:val="9"/>
        </w:rPr>
        <w:t xml:space="preserve">4 </w:t>
      </w:r>
      <w:r w:rsidRPr="00283806">
        <w:rPr>
          <w:w w:val="105"/>
          <w:sz w:val="14"/>
        </w:rPr>
        <w:t>ASHRAE Standard 34–2022 assigns a safety</w:t>
      </w:r>
      <w:r w:rsidRPr="00283806">
        <w:rPr>
          <w:spacing w:val="80"/>
          <w:w w:val="105"/>
          <w:sz w:val="14"/>
        </w:rPr>
        <w:t xml:space="preserve"> </w:t>
      </w:r>
      <w:r w:rsidRPr="00283806">
        <w:rPr>
          <w:w w:val="105"/>
          <w:sz w:val="14"/>
        </w:rPr>
        <w:t>group classification for each refrigerant that consists</w:t>
      </w:r>
      <w:r w:rsidRPr="00283806">
        <w:rPr>
          <w:spacing w:val="40"/>
          <w:w w:val="105"/>
          <w:sz w:val="14"/>
        </w:rPr>
        <w:t xml:space="preserve"> </w:t>
      </w:r>
      <w:r w:rsidRPr="00283806">
        <w:rPr>
          <w:w w:val="105"/>
          <w:sz w:val="14"/>
        </w:rPr>
        <w:t>of two alphanumeric characters (</w:t>
      </w:r>
      <w:r w:rsidRPr="00283806">
        <w:rPr>
          <w:rFonts w:ascii="Book Antiqua" w:hAnsi="Book Antiqua"/>
          <w:i/>
          <w:w w:val="105"/>
          <w:sz w:val="14"/>
        </w:rPr>
        <w:t xml:space="preserve">e.g., </w:t>
      </w:r>
      <w:r w:rsidRPr="00283806">
        <w:rPr>
          <w:w w:val="105"/>
          <w:sz w:val="14"/>
        </w:rPr>
        <w:t>A2 or B1). The</w:t>
      </w:r>
      <w:r w:rsidRPr="00283806">
        <w:rPr>
          <w:spacing w:val="40"/>
          <w:w w:val="105"/>
          <w:sz w:val="14"/>
        </w:rPr>
        <w:t xml:space="preserve"> </w:t>
      </w:r>
      <w:r w:rsidRPr="00283806">
        <w:rPr>
          <w:w w:val="105"/>
          <w:sz w:val="14"/>
        </w:rPr>
        <w:t xml:space="preserve">capital letter indicates the toxicity </w:t>
      </w:r>
      <w:proofErr w:type="gramStart"/>
      <w:r w:rsidRPr="00283806">
        <w:rPr>
          <w:w w:val="105"/>
          <w:sz w:val="14"/>
        </w:rPr>
        <w:t>class (‘‘A’’</w:t>
      </w:r>
      <w:proofErr w:type="gramEnd"/>
      <w:r w:rsidRPr="00283806">
        <w:rPr>
          <w:w w:val="105"/>
          <w:sz w:val="14"/>
        </w:rPr>
        <w:t xml:space="preserve"> for</w:t>
      </w:r>
      <w:r w:rsidRPr="00283806">
        <w:rPr>
          <w:spacing w:val="40"/>
          <w:w w:val="105"/>
          <w:sz w:val="14"/>
        </w:rPr>
        <w:t xml:space="preserve"> </w:t>
      </w:r>
      <w:r w:rsidRPr="00283806">
        <w:rPr>
          <w:w w:val="105"/>
          <w:sz w:val="14"/>
        </w:rPr>
        <w:t>lower toxicity</w:t>
      </w:r>
      <w:proofErr w:type="gramStart"/>
      <w:r w:rsidRPr="00283806">
        <w:rPr>
          <w:w w:val="105"/>
          <w:sz w:val="14"/>
        </w:rPr>
        <w:t>)</w:t>
      </w:r>
      <w:proofErr w:type="gramEnd"/>
      <w:r w:rsidRPr="00283806">
        <w:rPr>
          <w:w w:val="105"/>
          <w:sz w:val="14"/>
        </w:rPr>
        <w:t xml:space="preserve"> and the numeral denotes the</w:t>
      </w:r>
      <w:r w:rsidRPr="00283806">
        <w:rPr>
          <w:spacing w:val="40"/>
          <w:w w:val="105"/>
          <w:sz w:val="14"/>
        </w:rPr>
        <w:t xml:space="preserve"> </w:t>
      </w:r>
      <w:r w:rsidRPr="00283806">
        <w:rPr>
          <w:w w:val="105"/>
          <w:sz w:val="14"/>
        </w:rPr>
        <w:t>flammability. ASHRAE recognizes three</w:t>
      </w:r>
      <w:r w:rsidRPr="00283806">
        <w:rPr>
          <w:spacing w:val="40"/>
          <w:w w:val="105"/>
          <w:sz w:val="14"/>
        </w:rPr>
        <w:t xml:space="preserve"> </w:t>
      </w:r>
      <w:r w:rsidRPr="00283806">
        <w:rPr>
          <w:w w:val="105"/>
          <w:sz w:val="14"/>
        </w:rPr>
        <w:t>classifications and one subclass for refrigerant</w:t>
      </w:r>
      <w:r w:rsidRPr="00283806">
        <w:rPr>
          <w:spacing w:val="40"/>
          <w:w w:val="105"/>
          <w:sz w:val="14"/>
        </w:rPr>
        <w:t xml:space="preserve"> </w:t>
      </w:r>
      <w:r w:rsidRPr="00283806">
        <w:rPr>
          <w:w w:val="105"/>
          <w:sz w:val="14"/>
        </w:rPr>
        <w:t>flammability. The three main flammability</w:t>
      </w:r>
      <w:r w:rsidRPr="00283806">
        <w:rPr>
          <w:spacing w:val="40"/>
          <w:w w:val="105"/>
          <w:sz w:val="14"/>
        </w:rPr>
        <w:t xml:space="preserve"> </w:t>
      </w:r>
      <w:r w:rsidRPr="00283806">
        <w:rPr>
          <w:w w:val="105"/>
          <w:sz w:val="14"/>
        </w:rPr>
        <w:t>classifications are Class 1, for refrigerants that do</w:t>
      </w:r>
      <w:r w:rsidRPr="00283806">
        <w:rPr>
          <w:spacing w:val="80"/>
          <w:w w:val="105"/>
          <w:sz w:val="14"/>
        </w:rPr>
        <w:t xml:space="preserve"> </w:t>
      </w:r>
      <w:r w:rsidRPr="00283806">
        <w:rPr>
          <w:w w:val="105"/>
          <w:sz w:val="14"/>
        </w:rPr>
        <w:t>not propagate a flame when tested as per the</w:t>
      </w:r>
      <w:r w:rsidRPr="00283806">
        <w:rPr>
          <w:spacing w:val="40"/>
          <w:w w:val="105"/>
          <w:sz w:val="14"/>
        </w:rPr>
        <w:t xml:space="preserve"> </w:t>
      </w:r>
      <w:r w:rsidRPr="00283806">
        <w:rPr>
          <w:w w:val="105"/>
          <w:sz w:val="14"/>
        </w:rPr>
        <w:t>ASHRAE 34 standard, ‘‘Designation and Safety</w:t>
      </w:r>
      <w:r w:rsidRPr="00283806">
        <w:rPr>
          <w:spacing w:val="40"/>
          <w:w w:val="105"/>
          <w:sz w:val="14"/>
        </w:rPr>
        <w:t xml:space="preserve"> </w:t>
      </w:r>
      <w:r w:rsidRPr="00283806">
        <w:rPr>
          <w:w w:val="105"/>
          <w:sz w:val="14"/>
        </w:rPr>
        <w:t>Classification of Refrigerants;’’ Class 2, for</w:t>
      </w:r>
      <w:r w:rsidRPr="00283806">
        <w:rPr>
          <w:spacing w:val="40"/>
          <w:w w:val="105"/>
          <w:sz w:val="14"/>
        </w:rPr>
        <w:t xml:space="preserve"> </w:t>
      </w:r>
      <w:r w:rsidRPr="00283806">
        <w:rPr>
          <w:w w:val="105"/>
          <w:sz w:val="14"/>
        </w:rPr>
        <w:t>refrigerants of lower flammability; and Class 3, for</w:t>
      </w:r>
      <w:r w:rsidRPr="00283806">
        <w:rPr>
          <w:spacing w:val="40"/>
          <w:w w:val="105"/>
          <w:sz w:val="14"/>
        </w:rPr>
        <w:t xml:space="preserve"> </w:t>
      </w:r>
      <w:r w:rsidRPr="00283806">
        <w:rPr>
          <w:w w:val="105"/>
          <w:sz w:val="14"/>
        </w:rPr>
        <w:t>highly flammable refrigerants, such as the</w:t>
      </w:r>
      <w:r w:rsidRPr="00283806">
        <w:rPr>
          <w:spacing w:val="40"/>
          <w:w w:val="105"/>
          <w:sz w:val="14"/>
        </w:rPr>
        <w:t xml:space="preserve"> </w:t>
      </w:r>
      <w:r w:rsidRPr="00283806">
        <w:rPr>
          <w:w w:val="105"/>
          <w:sz w:val="14"/>
        </w:rPr>
        <w:t>hydrocarbon</w:t>
      </w:r>
      <w:r w:rsidRPr="00283806">
        <w:rPr>
          <w:spacing w:val="29"/>
          <w:w w:val="105"/>
          <w:sz w:val="14"/>
        </w:rPr>
        <w:t xml:space="preserve"> </w:t>
      </w:r>
      <w:r w:rsidRPr="00283806">
        <w:rPr>
          <w:w w:val="105"/>
          <w:sz w:val="14"/>
        </w:rPr>
        <w:t>refrigerants.</w:t>
      </w:r>
      <w:r w:rsidRPr="00283806">
        <w:rPr>
          <w:spacing w:val="29"/>
          <w:w w:val="105"/>
          <w:sz w:val="14"/>
        </w:rPr>
        <w:t xml:space="preserve"> </w:t>
      </w:r>
      <w:r w:rsidRPr="00283806">
        <w:rPr>
          <w:w w:val="105"/>
          <w:sz w:val="14"/>
        </w:rPr>
        <w:t>ASHRAE</w:t>
      </w:r>
      <w:r w:rsidRPr="00283806">
        <w:rPr>
          <w:spacing w:val="29"/>
          <w:w w:val="105"/>
          <w:sz w:val="14"/>
        </w:rPr>
        <w:t xml:space="preserve"> </w:t>
      </w:r>
      <w:r w:rsidRPr="00283806">
        <w:rPr>
          <w:w w:val="105"/>
          <w:sz w:val="14"/>
        </w:rPr>
        <w:t>recently</w:t>
      </w:r>
      <w:r w:rsidRPr="00283806">
        <w:rPr>
          <w:spacing w:val="40"/>
          <w:w w:val="105"/>
          <w:sz w:val="14"/>
        </w:rPr>
        <w:t xml:space="preserve"> </w:t>
      </w:r>
      <w:r w:rsidRPr="00283806">
        <w:rPr>
          <w:w w:val="105"/>
          <w:sz w:val="14"/>
        </w:rPr>
        <w:t>updated the safety classification matrix to include</w:t>
      </w:r>
    </w:p>
    <w:p w14:paraId="08D94608" w14:textId="77777777" w:rsidR="00D67C1E" w:rsidRPr="00283806" w:rsidRDefault="001265CA">
      <w:pPr>
        <w:spacing w:before="5" w:line="232" w:lineRule="auto"/>
        <w:ind w:left="160" w:right="286"/>
        <w:rPr>
          <w:sz w:val="14"/>
        </w:rPr>
      </w:pPr>
      <w:r w:rsidRPr="00283806">
        <w:rPr>
          <w:w w:val="105"/>
          <w:sz w:val="14"/>
        </w:rPr>
        <w:t>a new flammability subclass 2L, for flammability</w:t>
      </w:r>
      <w:r w:rsidRPr="00283806">
        <w:rPr>
          <w:spacing w:val="40"/>
          <w:w w:val="105"/>
          <w:sz w:val="14"/>
        </w:rPr>
        <w:t xml:space="preserve"> </w:t>
      </w:r>
      <w:r w:rsidRPr="00283806">
        <w:rPr>
          <w:w w:val="105"/>
          <w:sz w:val="14"/>
        </w:rPr>
        <w:t>Class 2 refrigerants that burn very slowly.</w:t>
      </w:r>
    </w:p>
    <w:p w14:paraId="12604BC5" w14:textId="77777777" w:rsidR="00D67C1E" w:rsidRPr="00283806" w:rsidRDefault="00D67C1E">
      <w:pPr>
        <w:spacing w:line="232" w:lineRule="auto"/>
        <w:rPr>
          <w:sz w:val="14"/>
        </w:rPr>
        <w:sectPr w:rsidR="00D67C1E" w:rsidRPr="00283806">
          <w:headerReference w:type="even" r:id="rId10"/>
          <w:headerReference w:type="default" r:id="rId11"/>
          <w:pgSz w:w="12240" w:h="15840"/>
          <w:pgMar w:top="1040" w:right="780" w:bottom="280" w:left="740" w:header="627" w:footer="0" w:gutter="0"/>
          <w:pgNumType w:start="82684"/>
          <w:cols w:num="3" w:space="720" w:equalWidth="0">
            <w:col w:w="3516" w:space="40"/>
            <w:col w:w="3480" w:space="44"/>
            <w:col w:w="3640"/>
          </w:cols>
        </w:sectPr>
      </w:pPr>
    </w:p>
    <w:p w14:paraId="13477426" w14:textId="77777777" w:rsidR="00D67C1E" w:rsidRPr="00283806" w:rsidRDefault="001265CA">
      <w:pPr>
        <w:pStyle w:val="BodyText"/>
        <w:spacing w:before="136" w:line="225" w:lineRule="auto"/>
        <w:ind w:right="55"/>
      </w:pPr>
      <w:r w:rsidRPr="00283806">
        <w:rPr>
          <w:w w:val="105"/>
        </w:rPr>
        <w:lastRenderedPageBreak/>
        <w:t>as relevant to provisions in this rulemaking are discussed in the respective sections of this rulemaking. Some comments raised issues that are beyond the scope of this rulemaking; because those comments require no response, EPA need not address them in this notice, though in many cases the Agency has noted the submission of</w:t>
      </w:r>
      <w:r w:rsidRPr="00283806">
        <w:rPr>
          <w:spacing w:val="80"/>
          <w:w w:val="105"/>
        </w:rPr>
        <w:t xml:space="preserve"> </w:t>
      </w:r>
      <w:r w:rsidRPr="00283806">
        <w:rPr>
          <w:w w:val="105"/>
        </w:rPr>
        <w:t xml:space="preserve">such comments for informational </w:t>
      </w:r>
      <w:r w:rsidRPr="00283806">
        <w:rPr>
          <w:spacing w:val="-2"/>
          <w:w w:val="105"/>
        </w:rPr>
        <w:t>purposes.</w:t>
      </w:r>
    </w:p>
    <w:p w14:paraId="373F9665" w14:textId="77777777" w:rsidR="00D67C1E" w:rsidRPr="00283806" w:rsidRDefault="001265CA">
      <w:pPr>
        <w:pStyle w:val="ListParagraph"/>
        <w:numPr>
          <w:ilvl w:val="1"/>
          <w:numId w:val="64"/>
        </w:numPr>
        <w:tabs>
          <w:tab w:val="left" w:pos="379"/>
        </w:tabs>
        <w:spacing w:before="103" w:line="218" w:lineRule="auto"/>
        <w:ind w:right="1" w:firstLine="0"/>
        <w:rPr>
          <w:rFonts w:ascii="Book Antiqua"/>
          <w:i/>
          <w:sz w:val="18"/>
        </w:rPr>
      </w:pPr>
      <w:r w:rsidRPr="00283806">
        <w:rPr>
          <w:rFonts w:ascii="Book Antiqua"/>
          <w:i/>
          <w:w w:val="115"/>
          <w:sz w:val="18"/>
        </w:rPr>
        <w:t>What</w:t>
      </w:r>
      <w:r w:rsidRPr="00283806">
        <w:rPr>
          <w:rFonts w:ascii="Book Antiqua"/>
          <w:i/>
          <w:spacing w:val="-9"/>
          <w:w w:val="115"/>
          <w:sz w:val="18"/>
        </w:rPr>
        <w:t xml:space="preserve"> </w:t>
      </w:r>
      <w:r w:rsidRPr="00283806">
        <w:rPr>
          <w:rFonts w:ascii="Book Antiqua"/>
          <w:i/>
          <w:w w:val="115"/>
          <w:sz w:val="18"/>
        </w:rPr>
        <w:t>is</w:t>
      </w:r>
      <w:r w:rsidRPr="00283806">
        <w:rPr>
          <w:rFonts w:ascii="Book Antiqua"/>
          <w:i/>
          <w:spacing w:val="-9"/>
          <w:w w:val="115"/>
          <w:sz w:val="18"/>
        </w:rPr>
        <w:t xml:space="preserve"> </w:t>
      </w:r>
      <w:r w:rsidRPr="00283806">
        <w:rPr>
          <w:rFonts w:ascii="Book Antiqua"/>
          <w:i/>
          <w:w w:val="115"/>
          <w:sz w:val="18"/>
        </w:rPr>
        <w:t>the</w:t>
      </w:r>
      <w:r w:rsidRPr="00283806">
        <w:rPr>
          <w:rFonts w:ascii="Book Antiqua"/>
          <w:i/>
          <w:spacing w:val="-9"/>
          <w:w w:val="115"/>
          <w:sz w:val="18"/>
        </w:rPr>
        <w:t xml:space="preserve"> </w:t>
      </w:r>
      <w:r w:rsidRPr="00283806">
        <w:rPr>
          <w:rFonts w:ascii="Book Antiqua"/>
          <w:i/>
          <w:w w:val="115"/>
          <w:sz w:val="18"/>
        </w:rPr>
        <w:t>summary</w:t>
      </w:r>
      <w:r w:rsidRPr="00283806">
        <w:rPr>
          <w:rFonts w:ascii="Book Antiqua"/>
          <w:i/>
          <w:spacing w:val="-9"/>
          <w:w w:val="115"/>
          <w:sz w:val="18"/>
        </w:rPr>
        <w:t xml:space="preserve"> </w:t>
      </w:r>
      <w:r w:rsidRPr="00283806">
        <w:rPr>
          <w:rFonts w:ascii="Book Antiqua"/>
          <w:i/>
          <w:w w:val="115"/>
          <w:sz w:val="18"/>
        </w:rPr>
        <w:t>of</w:t>
      </w:r>
      <w:r w:rsidRPr="00283806">
        <w:rPr>
          <w:rFonts w:ascii="Book Antiqua"/>
          <w:i/>
          <w:spacing w:val="-9"/>
          <w:w w:val="115"/>
          <w:sz w:val="18"/>
        </w:rPr>
        <w:t xml:space="preserve"> </w:t>
      </w:r>
      <w:r w:rsidRPr="00283806">
        <w:rPr>
          <w:rFonts w:ascii="Book Antiqua"/>
          <w:i/>
          <w:w w:val="115"/>
          <w:sz w:val="18"/>
        </w:rPr>
        <w:t>the</w:t>
      </w:r>
      <w:r w:rsidRPr="00283806">
        <w:rPr>
          <w:rFonts w:ascii="Book Antiqua"/>
          <w:i/>
          <w:spacing w:val="-9"/>
          <w:w w:val="115"/>
          <w:sz w:val="18"/>
        </w:rPr>
        <w:t xml:space="preserve"> </w:t>
      </w:r>
      <w:r w:rsidRPr="00283806">
        <w:rPr>
          <w:rFonts w:ascii="Book Antiqua"/>
          <w:i/>
          <w:w w:val="115"/>
          <w:sz w:val="18"/>
        </w:rPr>
        <w:t>costs</w:t>
      </w:r>
      <w:r w:rsidRPr="00283806">
        <w:rPr>
          <w:rFonts w:ascii="Book Antiqua"/>
          <w:i/>
          <w:spacing w:val="-9"/>
          <w:w w:val="115"/>
          <w:sz w:val="18"/>
        </w:rPr>
        <w:t xml:space="preserve"> </w:t>
      </w:r>
      <w:r w:rsidRPr="00283806">
        <w:rPr>
          <w:rFonts w:ascii="Book Antiqua"/>
          <w:i/>
          <w:w w:val="115"/>
          <w:sz w:val="18"/>
        </w:rPr>
        <w:t xml:space="preserve">and </w:t>
      </w:r>
      <w:r w:rsidRPr="00283806">
        <w:rPr>
          <w:rFonts w:ascii="Book Antiqua"/>
          <w:i/>
          <w:spacing w:val="-2"/>
          <w:w w:val="115"/>
          <w:sz w:val="18"/>
        </w:rPr>
        <w:t>benefits?</w:t>
      </w:r>
    </w:p>
    <w:p w14:paraId="1D796A33" w14:textId="77777777" w:rsidR="00D67C1E" w:rsidRPr="00283806" w:rsidRDefault="001265CA">
      <w:pPr>
        <w:spacing w:before="58" w:line="225" w:lineRule="auto"/>
        <w:ind w:left="160" w:right="38" w:firstLine="180"/>
        <w:rPr>
          <w:sz w:val="18"/>
        </w:rPr>
      </w:pPr>
      <w:r w:rsidRPr="00283806">
        <w:rPr>
          <w:w w:val="110"/>
          <w:sz w:val="18"/>
        </w:rPr>
        <w:t xml:space="preserve">The costs and benefits for the provisions related to managing regulated substances and their substitutes in this rule comes from the </w:t>
      </w:r>
      <w:r w:rsidRPr="00283806">
        <w:rPr>
          <w:rFonts w:ascii="Book Antiqua" w:hAnsi="Book Antiqua"/>
          <w:i/>
          <w:w w:val="110"/>
          <w:sz w:val="18"/>
        </w:rPr>
        <w:t xml:space="preserve">Analysis of the Economic Impact and Benefits of the Final Rule: Management of Certain Hydrofluorocarbons and Substitutes Under Subsection (h) of the American Innovation and Manufacturing Act of 2020 </w:t>
      </w:r>
      <w:r w:rsidRPr="00283806">
        <w:rPr>
          <w:w w:val="110"/>
          <w:sz w:val="18"/>
        </w:rPr>
        <w:t xml:space="preserve">technical </w:t>
      </w:r>
      <w:r w:rsidRPr="00283806">
        <w:rPr>
          <w:sz w:val="18"/>
        </w:rPr>
        <w:t>support document (TSD) (referred to as</w:t>
      </w:r>
      <w:r w:rsidRPr="00283806">
        <w:rPr>
          <w:w w:val="110"/>
          <w:sz w:val="18"/>
        </w:rPr>
        <w:t xml:space="preserve"> the ‘‘Economic Impact and Benefits TSD’’ in this rule) and the </w:t>
      </w:r>
      <w:r w:rsidRPr="00283806">
        <w:rPr>
          <w:rFonts w:ascii="Book Antiqua" w:hAnsi="Book Antiqua"/>
          <w:i/>
          <w:w w:val="110"/>
          <w:sz w:val="18"/>
        </w:rPr>
        <w:t xml:space="preserve">Regulatory Impact Analysis (RIA) Addendum </w:t>
      </w:r>
      <w:r w:rsidRPr="00283806">
        <w:rPr>
          <w:w w:val="110"/>
          <w:sz w:val="18"/>
        </w:rPr>
        <w:t>for this rule (referred to in this rule as the ‘‘RIA addendum’’) contained in the docket</w:t>
      </w:r>
      <w:r w:rsidRPr="00283806">
        <w:rPr>
          <w:spacing w:val="-11"/>
          <w:w w:val="110"/>
          <w:sz w:val="18"/>
        </w:rPr>
        <w:t xml:space="preserve"> </w:t>
      </w:r>
      <w:r w:rsidRPr="00283806">
        <w:rPr>
          <w:w w:val="110"/>
          <w:sz w:val="18"/>
        </w:rPr>
        <w:t>of</w:t>
      </w:r>
      <w:r w:rsidRPr="00283806">
        <w:rPr>
          <w:spacing w:val="-11"/>
          <w:w w:val="110"/>
          <w:sz w:val="18"/>
        </w:rPr>
        <w:t xml:space="preserve"> </w:t>
      </w:r>
      <w:r w:rsidRPr="00283806">
        <w:rPr>
          <w:w w:val="110"/>
          <w:sz w:val="18"/>
        </w:rPr>
        <w:t>this</w:t>
      </w:r>
      <w:r w:rsidRPr="00283806">
        <w:rPr>
          <w:spacing w:val="-11"/>
          <w:w w:val="110"/>
          <w:sz w:val="18"/>
        </w:rPr>
        <w:t xml:space="preserve"> </w:t>
      </w:r>
      <w:r w:rsidRPr="00283806">
        <w:rPr>
          <w:w w:val="110"/>
          <w:sz w:val="18"/>
        </w:rPr>
        <w:t>rule</w:t>
      </w:r>
      <w:r w:rsidRPr="00283806">
        <w:rPr>
          <w:spacing w:val="-11"/>
          <w:w w:val="110"/>
          <w:sz w:val="18"/>
        </w:rPr>
        <w:t xml:space="preserve"> </w:t>
      </w:r>
      <w:r w:rsidRPr="00283806">
        <w:rPr>
          <w:w w:val="110"/>
          <w:sz w:val="18"/>
        </w:rPr>
        <w:t>to</w:t>
      </w:r>
      <w:r w:rsidRPr="00283806">
        <w:rPr>
          <w:spacing w:val="-11"/>
          <w:w w:val="110"/>
          <w:sz w:val="18"/>
        </w:rPr>
        <w:t xml:space="preserve"> </w:t>
      </w:r>
      <w:r w:rsidRPr="00283806">
        <w:rPr>
          <w:w w:val="110"/>
          <w:sz w:val="18"/>
        </w:rPr>
        <w:t>provide</w:t>
      </w:r>
      <w:r w:rsidRPr="00283806">
        <w:rPr>
          <w:spacing w:val="-11"/>
          <w:w w:val="110"/>
          <w:sz w:val="18"/>
        </w:rPr>
        <w:t xml:space="preserve"> </w:t>
      </w:r>
      <w:r w:rsidRPr="00283806">
        <w:rPr>
          <w:w w:val="110"/>
          <w:sz w:val="18"/>
        </w:rPr>
        <w:t>the</w:t>
      </w:r>
      <w:r w:rsidRPr="00283806">
        <w:rPr>
          <w:spacing w:val="-11"/>
          <w:w w:val="110"/>
          <w:sz w:val="18"/>
        </w:rPr>
        <w:t xml:space="preserve"> </w:t>
      </w:r>
      <w:r w:rsidRPr="00283806">
        <w:rPr>
          <w:w w:val="110"/>
          <w:sz w:val="18"/>
        </w:rPr>
        <w:t xml:space="preserve">public with information on the relevant costs and benefits of this action, and to comply with executive orders. EPA notes that the costs and benefits associated with the management of regulated substances and their substitutes under the AIM Act are described and calculated separately from those associated with the amendments to the RCRA hazardous waste regulations. These analyses—as summarized later in this section— highlight the economic costs and benefits of the provisions in this </w:t>
      </w:r>
      <w:r w:rsidRPr="00283806">
        <w:rPr>
          <w:spacing w:val="-2"/>
          <w:w w:val="110"/>
          <w:sz w:val="18"/>
        </w:rPr>
        <w:t>rulemaking.</w:t>
      </w:r>
    </w:p>
    <w:p w14:paraId="55EBE145" w14:textId="77777777" w:rsidR="00D67C1E" w:rsidRPr="00283806" w:rsidRDefault="001265CA">
      <w:pPr>
        <w:pStyle w:val="BodyText"/>
        <w:spacing w:line="151" w:lineRule="exact"/>
        <w:ind w:left="340"/>
      </w:pPr>
      <w:r w:rsidRPr="00283806">
        <w:rPr>
          <w:w w:val="105"/>
        </w:rPr>
        <w:t>Given</w:t>
      </w:r>
      <w:r w:rsidRPr="00283806">
        <w:rPr>
          <w:spacing w:val="15"/>
          <w:w w:val="105"/>
        </w:rPr>
        <w:t xml:space="preserve"> </w:t>
      </w:r>
      <w:r w:rsidRPr="00283806">
        <w:rPr>
          <w:w w:val="105"/>
        </w:rPr>
        <w:t>that</w:t>
      </w:r>
      <w:r w:rsidRPr="00283806">
        <w:rPr>
          <w:spacing w:val="15"/>
          <w:w w:val="105"/>
        </w:rPr>
        <w:t xml:space="preserve"> </w:t>
      </w:r>
      <w:r w:rsidRPr="00283806">
        <w:rPr>
          <w:w w:val="105"/>
        </w:rPr>
        <w:t>the</w:t>
      </w:r>
      <w:r w:rsidRPr="00283806">
        <w:rPr>
          <w:spacing w:val="16"/>
          <w:w w:val="105"/>
        </w:rPr>
        <w:t xml:space="preserve"> </w:t>
      </w:r>
      <w:r w:rsidRPr="00283806">
        <w:rPr>
          <w:w w:val="105"/>
        </w:rPr>
        <w:t>provisions</w:t>
      </w:r>
      <w:r w:rsidRPr="00283806">
        <w:rPr>
          <w:spacing w:val="15"/>
          <w:w w:val="105"/>
        </w:rPr>
        <w:t xml:space="preserve"> </w:t>
      </w:r>
      <w:r w:rsidRPr="00283806">
        <w:rPr>
          <w:spacing w:val="-2"/>
          <w:w w:val="105"/>
        </w:rPr>
        <w:t>being</w:t>
      </w:r>
    </w:p>
    <w:p w14:paraId="552DFD7D" w14:textId="77777777" w:rsidR="00D67C1E" w:rsidRPr="00283806" w:rsidRDefault="001265CA">
      <w:pPr>
        <w:pStyle w:val="BodyText"/>
        <w:spacing w:line="228" w:lineRule="auto"/>
        <w:ind w:right="38"/>
      </w:pPr>
      <w:r w:rsidRPr="00283806">
        <w:rPr>
          <w:w w:val="110"/>
        </w:rPr>
        <w:t>finalized concern the management of HFCs, and HFCs are subject to the phasedown of production and consumption under the AIM Act, the Agency</w:t>
      </w:r>
      <w:r w:rsidRPr="00283806">
        <w:rPr>
          <w:spacing w:val="-4"/>
          <w:w w:val="110"/>
        </w:rPr>
        <w:t xml:space="preserve"> </w:t>
      </w:r>
      <w:r w:rsidRPr="00283806">
        <w:rPr>
          <w:w w:val="110"/>
        </w:rPr>
        <w:t>relied</w:t>
      </w:r>
      <w:r w:rsidRPr="00283806">
        <w:rPr>
          <w:spacing w:val="-4"/>
          <w:w w:val="110"/>
        </w:rPr>
        <w:t xml:space="preserve"> </w:t>
      </w:r>
      <w:r w:rsidRPr="00283806">
        <w:rPr>
          <w:w w:val="110"/>
        </w:rPr>
        <w:t>on</w:t>
      </w:r>
      <w:r w:rsidRPr="00283806">
        <w:rPr>
          <w:spacing w:val="-4"/>
          <w:w w:val="110"/>
        </w:rPr>
        <w:t xml:space="preserve"> </w:t>
      </w:r>
      <w:r w:rsidRPr="00283806">
        <w:rPr>
          <w:w w:val="110"/>
        </w:rPr>
        <w:t>its</w:t>
      </w:r>
      <w:r w:rsidRPr="00283806">
        <w:rPr>
          <w:spacing w:val="-4"/>
          <w:w w:val="110"/>
        </w:rPr>
        <w:t xml:space="preserve"> </w:t>
      </w:r>
      <w:r w:rsidRPr="00283806">
        <w:rPr>
          <w:w w:val="110"/>
        </w:rPr>
        <w:t>previous</w:t>
      </w:r>
      <w:r w:rsidRPr="00283806">
        <w:rPr>
          <w:spacing w:val="-4"/>
          <w:w w:val="110"/>
        </w:rPr>
        <w:t xml:space="preserve"> </w:t>
      </w:r>
      <w:r w:rsidRPr="00283806">
        <w:rPr>
          <w:w w:val="110"/>
        </w:rPr>
        <w:t xml:space="preserve">analyses </w:t>
      </w:r>
      <w:r w:rsidRPr="00283806">
        <w:t>as</w:t>
      </w:r>
      <w:r w:rsidRPr="00283806">
        <w:rPr>
          <w:spacing w:val="24"/>
        </w:rPr>
        <w:t xml:space="preserve"> </w:t>
      </w:r>
      <w:r w:rsidRPr="00283806">
        <w:t>a</w:t>
      </w:r>
      <w:r w:rsidRPr="00283806">
        <w:rPr>
          <w:spacing w:val="24"/>
        </w:rPr>
        <w:t xml:space="preserve"> </w:t>
      </w:r>
      <w:r w:rsidRPr="00283806">
        <w:t>starting</w:t>
      </w:r>
      <w:r w:rsidRPr="00283806">
        <w:rPr>
          <w:spacing w:val="24"/>
        </w:rPr>
        <w:t xml:space="preserve"> </w:t>
      </w:r>
      <w:r w:rsidRPr="00283806">
        <w:t>point</w:t>
      </w:r>
      <w:r w:rsidRPr="00283806">
        <w:rPr>
          <w:spacing w:val="24"/>
        </w:rPr>
        <w:t xml:space="preserve"> </w:t>
      </w:r>
      <w:r w:rsidRPr="00283806">
        <w:t>for</w:t>
      </w:r>
      <w:r w:rsidRPr="00283806">
        <w:rPr>
          <w:spacing w:val="24"/>
        </w:rPr>
        <w:t xml:space="preserve"> </w:t>
      </w:r>
      <w:r w:rsidRPr="00283806">
        <w:t>the</w:t>
      </w:r>
      <w:r w:rsidRPr="00283806">
        <w:rPr>
          <w:spacing w:val="24"/>
        </w:rPr>
        <w:t xml:space="preserve"> </w:t>
      </w:r>
      <w:r w:rsidRPr="00283806">
        <w:t>assessment</w:t>
      </w:r>
      <w:r w:rsidRPr="00283806">
        <w:rPr>
          <w:spacing w:val="24"/>
        </w:rPr>
        <w:t xml:space="preserve"> </w:t>
      </w:r>
      <w:r w:rsidRPr="00283806">
        <w:rPr>
          <w:spacing w:val="-5"/>
        </w:rPr>
        <w:t>of</w:t>
      </w:r>
    </w:p>
    <w:p w14:paraId="6062940D" w14:textId="77777777" w:rsidR="00D67C1E" w:rsidRPr="00283806" w:rsidRDefault="001265CA">
      <w:pPr>
        <w:pStyle w:val="BodyText"/>
        <w:spacing w:before="136" w:line="225" w:lineRule="auto"/>
        <w:ind w:right="38"/>
      </w:pPr>
      <w:r w:rsidRPr="00283806">
        <w:br w:type="column"/>
      </w:r>
      <w:r w:rsidRPr="00283806">
        <w:rPr>
          <w:w w:val="105"/>
        </w:rPr>
        <w:t>Transitions Rule, ‘‘Phasedown of Hydrofluorocarbons: Restrictions on the Use of Certain Hydrofluorocarbons Under the American Innovation and Manufacturing Act of 2020’’ (88 FR</w:t>
      </w:r>
    </w:p>
    <w:p w14:paraId="40D6A94A" w14:textId="77777777" w:rsidR="00D67C1E" w:rsidRPr="00283806" w:rsidRDefault="001265CA">
      <w:pPr>
        <w:pStyle w:val="BodyText"/>
        <w:spacing w:line="225" w:lineRule="auto"/>
        <w:ind w:right="24"/>
      </w:pPr>
      <w:r w:rsidRPr="00283806">
        <w:rPr>
          <w:w w:val="105"/>
        </w:rPr>
        <w:t>73098,</w:t>
      </w:r>
      <w:r w:rsidRPr="00283806">
        <w:rPr>
          <w:spacing w:val="-7"/>
          <w:w w:val="105"/>
        </w:rPr>
        <w:t xml:space="preserve"> </w:t>
      </w:r>
      <w:r w:rsidRPr="00283806">
        <w:rPr>
          <w:w w:val="105"/>
        </w:rPr>
        <w:t>October</w:t>
      </w:r>
      <w:r w:rsidRPr="00283806">
        <w:rPr>
          <w:spacing w:val="-7"/>
          <w:w w:val="105"/>
        </w:rPr>
        <w:t xml:space="preserve"> </w:t>
      </w:r>
      <w:r w:rsidRPr="00283806">
        <w:rPr>
          <w:w w:val="105"/>
        </w:rPr>
        <w:t>24,</w:t>
      </w:r>
      <w:r w:rsidRPr="00283806">
        <w:rPr>
          <w:spacing w:val="-7"/>
          <w:w w:val="105"/>
        </w:rPr>
        <w:t xml:space="preserve"> </w:t>
      </w:r>
      <w:r w:rsidRPr="00283806">
        <w:rPr>
          <w:w w:val="105"/>
        </w:rPr>
        <w:t>2023)</w:t>
      </w:r>
      <w:r w:rsidRPr="00283806">
        <w:rPr>
          <w:spacing w:val="-7"/>
          <w:w w:val="105"/>
        </w:rPr>
        <w:t xml:space="preserve"> </w:t>
      </w:r>
      <w:r w:rsidRPr="00283806">
        <w:rPr>
          <w:w w:val="105"/>
        </w:rPr>
        <w:t>are</w:t>
      </w:r>
      <w:r w:rsidRPr="00283806">
        <w:rPr>
          <w:spacing w:val="-7"/>
          <w:w w:val="105"/>
        </w:rPr>
        <w:t xml:space="preserve"> </w:t>
      </w:r>
      <w:r w:rsidRPr="00283806">
        <w:rPr>
          <w:w w:val="105"/>
        </w:rPr>
        <w:t>assumed</w:t>
      </w:r>
      <w:r w:rsidRPr="00283806">
        <w:rPr>
          <w:spacing w:val="-7"/>
          <w:w w:val="105"/>
        </w:rPr>
        <w:t xml:space="preserve"> </w:t>
      </w:r>
      <w:r w:rsidRPr="00283806">
        <w:rPr>
          <w:w w:val="105"/>
        </w:rPr>
        <w:t>as a baseline for this rule. In this way, EPA analyzed the potential incremental impacts of the rule, attributing benefits only insofar as they are additional to those already assessed in the Allocation Framework Rule RIA, the 2024</w:t>
      </w:r>
      <w:r w:rsidRPr="00283806">
        <w:rPr>
          <w:spacing w:val="40"/>
          <w:w w:val="105"/>
        </w:rPr>
        <w:t xml:space="preserve"> </w:t>
      </w:r>
      <w:r w:rsidRPr="00283806">
        <w:rPr>
          <w:w w:val="105"/>
        </w:rPr>
        <w:t>Allocation</w:t>
      </w:r>
      <w:r w:rsidRPr="00283806">
        <w:rPr>
          <w:spacing w:val="40"/>
          <w:w w:val="105"/>
        </w:rPr>
        <w:t xml:space="preserve"> </w:t>
      </w:r>
      <w:r w:rsidRPr="00283806">
        <w:rPr>
          <w:w w:val="105"/>
        </w:rPr>
        <w:t>Rule</w:t>
      </w:r>
      <w:r w:rsidRPr="00283806">
        <w:rPr>
          <w:spacing w:val="40"/>
          <w:w w:val="105"/>
        </w:rPr>
        <w:t xml:space="preserve"> </w:t>
      </w:r>
      <w:r w:rsidRPr="00283806">
        <w:rPr>
          <w:w w:val="105"/>
        </w:rPr>
        <w:t>RIA</w:t>
      </w:r>
      <w:r w:rsidRPr="00283806">
        <w:rPr>
          <w:spacing w:val="40"/>
          <w:w w:val="105"/>
        </w:rPr>
        <w:t xml:space="preserve"> </w:t>
      </w:r>
      <w:r w:rsidRPr="00283806">
        <w:rPr>
          <w:w w:val="105"/>
        </w:rPr>
        <w:t>Addendum,</w:t>
      </w:r>
      <w:r w:rsidRPr="00283806">
        <w:rPr>
          <w:spacing w:val="40"/>
          <w:w w:val="105"/>
        </w:rPr>
        <w:t xml:space="preserve"> </w:t>
      </w:r>
      <w:r w:rsidRPr="00283806">
        <w:rPr>
          <w:w w:val="105"/>
        </w:rPr>
        <w:t>and</w:t>
      </w:r>
      <w:r w:rsidRPr="00283806">
        <w:rPr>
          <w:spacing w:val="80"/>
          <w:w w:val="105"/>
        </w:rPr>
        <w:t xml:space="preserve"> </w:t>
      </w:r>
      <w:r w:rsidRPr="00283806">
        <w:rPr>
          <w:w w:val="105"/>
        </w:rPr>
        <w:t>the 2023 Technology Transitions Rule RIA Addendum (collectively referred to as ‘‘Allocation and 2023 Technology Transitions Rules’’ in this discussion).</w:t>
      </w:r>
    </w:p>
    <w:p w14:paraId="06294B50" w14:textId="77777777" w:rsidR="00D67C1E" w:rsidRPr="00283806" w:rsidRDefault="001265CA">
      <w:pPr>
        <w:pStyle w:val="BodyText"/>
        <w:spacing w:line="176" w:lineRule="exact"/>
        <w:ind w:left="340"/>
      </w:pPr>
      <w:r w:rsidRPr="00283806">
        <w:rPr>
          <w:w w:val="110"/>
        </w:rPr>
        <w:t>As</w:t>
      </w:r>
      <w:r w:rsidRPr="00283806">
        <w:rPr>
          <w:spacing w:val="-1"/>
          <w:w w:val="110"/>
        </w:rPr>
        <w:t xml:space="preserve"> </w:t>
      </w:r>
      <w:r w:rsidRPr="00283806">
        <w:rPr>
          <w:w w:val="110"/>
        </w:rPr>
        <w:t>detailed</w:t>
      </w:r>
      <w:r w:rsidRPr="00283806">
        <w:rPr>
          <w:spacing w:val="-1"/>
          <w:w w:val="110"/>
        </w:rPr>
        <w:t xml:space="preserve"> </w:t>
      </w:r>
      <w:r w:rsidRPr="00283806">
        <w:rPr>
          <w:w w:val="110"/>
        </w:rPr>
        <w:t>in</w:t>
      </w:r>
      <w:r w:rsidRPr="00283806">
        <w:rPr>
          <w:spacing w:val="-1"/>
          <w:w w:val="110"/>
        </w:rPr>
        <w:t xml:space="preserve"> </w:t>
      </w:r>
      <w:r w:rsidRPr="00283806">
        <w:rPr>
          <w:w w:val="110"/>
        </w:rPr>
        <w:t>the</w:t>
      </w:r>
      <w:r w:rsidRPr="00283806">
        <w:rPr>
          <w:spacing w:val="-1"/>
          <w:w w:val="110"/>
        </w:rPr>
        <w:t xml:space="preserve"> </w:t>
      </w:r>
      <w:r w:rsidRPr="00283806">
        <w:rPr>
          <w:w w:val="110"/>
        </w:rPr>
        <w:t>RIA</w:t>
      </w:r>
      <w:r w:rsidRPr="00283806">
        <w:rPr>
          <w:spacing w:val="-1"/>
          <w:w w:val="110"/>
        </w:rPr>
        <w:t xml:space="preserve"> </w:t>
      </w:r>
      <w:r w:rsidRPr="00283806">
        <w:rPr>
          <w:w w:val="110"/>
        </w:rPr>
        <w:t>addendum</w:t>
      </w:r>
      <w:r w:rsidRPr="00283806">
        <w:rPr>
          <w:spacing w:val="-1"/>
          <w:w w:val="110"/>
        </w:rPr>
        <w:t xml:space="preserve"> </w:t>
      </w:r>
      <w:r w:rsidRPr="00283806">
        <w:rPr>
          <w:spacing w:val="-5"/>
          <w:w w:val="110"/>
        </w:rPr>
        <w:t>and</w:t>
      </w:r>
    </w:p>
    <w:p w14:paraId="793ADDDA" w14:textId="77777777" w:rsidR="00D67C1E" w:rsidRPr="00283806" w:rsidRDefault="001265CA">
      <w:pPr>
        <w:pStyle w:val="BodyText"/>
        <w:spacing w:before="2" w:line="225" w:lineRule="auto"/>
        <w:ind w:right="67"/>
      </w:pPr>
      <w:r w:rsidRPr="00283806">
        <w:rPr>
          <w:w w:val="105"/>
        </w:rPr>
        <w:t>the Economic Impact and Benefits TSD, the number, charge sizes, leak rates, and other characteristics of potentially affected RACHP equipment were estimated</w:t>
      </w:r>
      <w:r w:rsidRPr="00283806">
        <w:rPr>
          <w:spacing w:val="40"/>
          <w:w w:val="105"/>
        </w:rPr>
        <w:t xml:space="preserve"> </w:t>
      </w:r>
      <w:r w:rsidRPr="00283806">
        <w:rPr>
          <w:w w:val="105"/>
        </w:rPr>
        <w:t>using</w:t>
      </w:r>
      <w:r w:rsidRPr="00283806">
        <w:rPr>
          <w:spacing w:val="40"/>
          <w:w w:val="105"/>
        </w:rPr>
        <w:t xml:space="preserve"> </w:t>
      </w:r>
      <w:r w:rsidRPr="00283806">
        <w:rPr>
          <w:w w:val="105"/>
        </w:rPr>
        <w:t>EPA’s</w:t>
      </w:r>
      <w:r w:rsidRPr="00283806">
        <w:rPr>
          <w:spacing w:val="40"/>
          <w:w w:val="105"/>
        </w:rPr>
        <w:t xml:space="preserve"> </w:t>
      </w:r>
      <w:r w:rsidRPr="00283806">
        <w:rPr>
          <w:w w:val="105"/>
        </w:rPr>
        <w:t>Vintaging</w:t>
      </w:r>
      <w:r w:rsidRPr="00283806">
        <w:rPr>
          <w:spacing w:val="40"/>
          <w:w w:val="105"/>
        </w:rPr>
        <w:t xml:space="preserve"> </w:t>
      </w:r>
      <w:r w:rsidRPr="00283806">
        <w:rPr>
          <w:w w:val="105"/>
        </w:rPr>
        <w:t>Model.</w:t>
      </w:r>
      <w:r w:rsidRPr="00283806">
        <w:rPr>
          <w:w w:val="105"/>
          <w:position w:val="5"/>
          <w:sz w:val="11"/>
        </w:rPr>
        <w:t>6</w:t>
      </w:r>
      <w:r w:rsidRPr="00283806">
        <w:rPr>
          <w:spacing w:val="40"/>
          <w:w w:val="105"/>
          <w:position w:val="5"/>
          <w:sz w:val="11"/>
        </w:rPr>
        <w:t xml:space="preserve"> </w:t>
      </w:r>
      <w:r w:rsidRPr="00283806">
        <w:rPr>
          <w:w w:val="105"/>
        </w:rPr>
        <w:t>These estimates served as a</w:t>
      </w:r>
      <w:r w:rsidRPr="00283806">
        <w:rPr>
          <w:spacing w:val="40"/>
          <w:w w:val="105"/>
        </w:rPr>
        <w:t xml:space="preserve"> </w:t>
      </w:r>
      <w:r w:rsidRPr="00283806">
        <w:rPr>
          <w:w w:val="105"/>
        </w:rPr>
        <w:t>basis for calculating the reductions in HFC consumption and emissions from</w:t>
      </w:r>
      <w:r w:rsidRPr="00283806">
        <w:rPr>
          <w:spacing w:val="40"/>
          <w:w w:val="105"/>
        </w:rPr>
        <w:t xml:space="preserve"> </w:t>
      </w:r>
      <w:r w:rsidRPr="00283806">
        <w:rPr>
          <w:w w:val="105"/>
        </w:rPr>
        <w:t>the various requirements of the final</w:t>
      </w:r>
      <w:r w:rsidRPr="00283806">
        <w:rPr>
          <w:spacing w:val="40"/>
          <w:w w:val="105"/>
        </w:rPr>
        <w:t xml:space="preserve"> </w:t>
      </w:r>
      <w:r w:rsidRPr="00283806">
        <w:rPr>
          <w:w w:val="105"/>
        </w:rPr>
        <w:t>rule. As described in the RIA addendum and the Economic Impact and Benefits TSD, the leak repair and ALD system provisions finalized in this rule are assumed to result in the repair of</w:t>
      </w:r>
      <w:r w:rsidRPr="00283806">
        <w:rPr>
          <w:spacing w:val="80"/>
          <w:w w:val="105"/>
        </w:rPr>
        <w:t xml:space="preserve"> </w:t>
      </w:r>
      <w:r w:rsidRPr="00283806">
        <w:rPr>
          <w:w w:val="105"/>
        </w:rPr>
        <w:t>leaking systems earlier than they otherwise would have, leading to</w:t>
      </w:r>
      <w:r w:rsidRPr="00283806">
        <w:rPr>
          <w:spacing w:val="40"/>
          <w:w w:val="105"/>
        </w:rPr>
        <w:t xml:space="preserve"> </w:t>
      </w:r>
      <w:r w:rsidRPr="00283806">
        <w:rPr>
          <w:w w:val="105"/>
        </w:rPr>
        <w:t xml:space="preserve">reduced emissions of HFCs. Provisions requiring reclaimed </w:t>
      </w:r>
      <w:proofErr w:type="gramStart"/>
      <w:r w:rsidRPr="00283806">
        <w:rPr>
          <w:w w:val="105"/>
        </w:rPr>
        <w:t>refrigerant</w:t>
      </w:r>
      <w:proofErr w:type="gramEnd"/>
      <w:r w:rsidRPr="00283806">
        <w:rPr>
          <w:w w:val="105"/>
        </w:rPr>
        <w:t>, requirements for the fire suppression sector, and provisions related to the handling of disposable cylinders are further estimated to result in</w:t>
      </w:r>
      <w:r w:rsidRPr="00283806">
        <w:rPr>
          <w:spacing w:val="40"/>
          <w:w w:val="105"/>
        </w:rPr>
        <w:t xml:space="preserve"> </w:t>
      </w:r>
      <w:r w:rsidRPr="00283806">
        <w:rPr>
          <w:w w:val="105"/>
        </w:rPr>
        <w:t>incremental reductions in HFC</w:t>
      </w:r>
      <w:r w:rsidRPr="00283806">
        <w:rPr>
          <w:spacing w:val="80"/>
          <w:w w:val="105"/>
        </w:rPr>
        <w:t xml:space="preserve"> </w:t>
      </w:r>
      <w:r w:rsidRPr="00283806">
        <w:rPr>
          <w:spacing w:val="-2"/>
          <w:w w:val="105"/>
        </w:rPr>
        <w:t>emissions.</w:t>
      </w:r>
    </w:p>
    <w:p w14:paraId="625DF153" w14:textId="77777777" w:rsidR="00D67C1E" w:rsidRPr="00283806" w:rsidRDefault="001265CA">
      <w:pPr>
        <w:pStyle w:val="BodyText"/>
        <w:spacing w:line="228" w:lineRule="auto"/>
        <w:ind w:firstLine="180"/>
      </w:pPr>
      <w:r w:rsidRPr="00283806">
        <w:rPr>
          <w:w w:val="110"/>
        </w:rPr>
        <w:t>Estimated</w:t>
      </w:r>
      <w:r w:rsidRPr="00283806">
        <w:rPr>
          <w:spacing w:val="-11"/>
          <w:w w:val="110"/>
        </w:rPr>
        <w:t xml:space="preserve"> </w:t>
      </w:r>
      <w:r w:rsidRPr="00283806">
        <w:rPr>
          <w:w w:val="110"/>
        </w:rPr>
        <w:t>reductions</w:t>
      </w:r>
      <w:r w:rsidRPr="00283806">
        <w:rPr>
          <w:spacing w:val="-11"/>
          <w:w w:val="110"/>
        </w:rPr>
        <w:t xml:space="preserve"> </w:t>
      </w:r>
      <w:r w:rsidRPr="00283806">
        <w:rPr>
          <w:w w:val="110"/>
        </w:rPr>
        <w:t>in</w:t>
      </w:r>
      <w:r w:rsidRPr="00283806">
        <w:rPr>
          <w:spacing w:val="-11"/>
          <w:w w:val="110"/>
        </w:rPr>
        <w:t xml:space="preserve"> </w:t>
      </w:r>
      <w:r w:rsidRPr="00283806">
        <w:rPr>
          <w:w w:val="110"/>
        </w:rPr>
        <w:t>HFC</w:t>
      </w:r>
      <w:r w:rsidRPr="00283806">
        <w:rPr>
          <w:spacing w:val="-11"/>
          <w:w w:val="110"/>
        </w:rPr>
        <w:t xml:space="preserve"> </w:t>
      </w:r>
      <w:r w:rsidRPr="00283806">
        <w:rPr>
          <w:w w:val="110"/>
        </w:rPr>
        <w:t>releases from equipment result in climate benefits</w:t>
      </w:r>
      <w:r w:rsidRPr="00283806">
        <w:rPr>
          <w:spacing w:val="-11"/>
          <w:w w:val="110"/>
        </w:rPr>
        <w:t xml:space="preserve"> </w:t>
      </w:r>
      <w:r w:rsidRPr="00283806">
        <w:rPr>
          <w:w w:val="110"/>
        </w:rPr>
        <w:t>due</w:t>
      </w:r>
      <w:r w:rsidRPr="00283806">
        <w:rPr>
          <w:spacing w:val="-11"/>
          <w:w w:val="110"/>
        </w:rPr>
        <w:t xml:space="preserve"> </w:t>
      </w:r>
      <w:r w:rsidRPr="00283806">
        <w:rPr>
          <w:w w:val="110"/>
        </w:rPr>
        <w:t>to</w:t>
      </w:r>
      <w:r w:rsidRPr="00283806">
        <w:rPr>
          <w:spacing w:val="-11"/>
          <w:w w:val="110"/>
        </w:rPr>
        <w:t xml:space="preserve"> </w:t>
      </w:r>
      <w:r w:rsidRPr="00283806">
        <w:rPr>
          <w:w w:val="110"/>
        </w:rPr>
        <w:t>reduced</w:t>
      </w:r>
      <w:r w:rsidRPr="00283806">
        <w:rPr>
          <w:spacing w:val="-11"/>
          <w:w w:val="110"/>
        </w:rPr>
        <w:t xml:space="preserve"> </w:t>
      </w:r>
      <w:r w:rsidRPr="00283806">
        <w:rPr>
          <w:w w:val="110"/>
        </w:rPr>
        <w:t>climate</w:t>
      </w:r>
      <w:r w:rsidRPr="00283806">
        <w:rPr>
          <w:spacing w:val="-11"/>
          <w:w w:val="110"/>
        </w:rPr>
        <w:t xml:space="preserve"> </w:t>
      </w:r>
      <w:r w:rsidRPr="00283806">
        <w:rPr>
          <w:w w:val="110"/>
        </w:rPr>
        <w:t xml:space="preserve">forcing, which have been monetized in the RIA addendum by multiplying avoided </w:t>
      </w:r>
      <w:r w:rsidRPr="00283806">
        <w:rPr>
          <w:spacing w:val="-2"/>
          <w:w w:val="110"/>
        </w:rPr>
        <w:t>emissions</w:t>
      </w:r>
      <w:r w:rsidRPr="00283806">
        <w:rPr>
          <w:spacing w:val="-8"/>
          <w:w w:val="110"/>
        </w:rPr>
        <w:t xml:space="preserve"> </w:t>
      </w:r>
      <w:r w:rsidRPr="00283806">
        <w:rPr>
          <w:spacing w:val="-2"/>
          <w:w w:val="110"/>
        </w:rPr>
        <w:t>by</w:t>
      </w:r>
      <w:r w:rsidRPr="00283806">
        <w:rPr>
          <w:spacing w:val="-8"/>
          <w:w w:val="110"/>
        </w:rPr>
        <w:t xml:space="preserve"> </w:t>
      </w:r>
      <w:r w:rsidRPr="00283806">
        <w:rPr>
          <w:spacing w:val="-2"/>
          <w:w w:val="110"/>
        </w:rPr>
        <w:t>estimates</w:t>
      </w:r>
      <w:r w:rsidRPr="00283806">
        <w:rPr>
          <w:spacing w:val="-8"/>
          <w:w w:val="110"/>
        </w:rPr>
        <w:t xml:space="preserve"> </w:t>
      </w:r>
      <w:r w:rsidRPr="00283806">
        <w:rPr>
          <w:spacing w:val="-2"/>
          <w:w w:val="110"/>
        </w:rPr>
        <w:t>of</w:t>
      </w:r>
      <w:r w:rsidRPr="00283806">
        <w:rPr>
          <w:spacing w:val="-8"/>
          <w:w w:val="110"/>
        </w:rPr>
        <w:t xml:space="preserve"> </w:t>
      </w:r>
      <w:r w:rsidRPr="00283806">
        <w:rPr>
          <w:spacing w:val="-2"/>
          <w:w w:val="110"/>
        </w:rPr>
        <w:t>the</w:t>
      </w:r>
      <w:r w:rsidRPr="00283806">
        <w:rPr>
          <w:spacing w:val="-8"/>
          <w:w w:val="110"/>
        </w:rPr>
        <w:t xml:space="preserve"> </w:t>
      </w:r>
      <w:r w:rsidRPr="00283806">
        <w:rPr>
          <w:spacing w:val="-2"/>
          <w:w w:val="110"/>
        </w:rPr>
        <w:t>social</w:t>
      </w:r>
      <w:r w:rsidRPr="00283806">
        <w:rPr>
          <w:spacing w:val="-8"/>
          <w:w w:val="110"/>
        </w:rPr>
        <w:t xml:space="preserve"> </w:t>
      </w:r>
      <w:r w:rsidRPr="00283806">
        <w:rPr>
          <w:spacing w:val="-2"/>
          <w:w w:val="110"/>
        </w:rPr>
        <w:t xml:space="preserve">cost </w:t>
      </w:r>
      <w:r w:rsidRPr="00283806">
        <w:rPr>
          <w:w w:val="110"/>
        </w:rPr>
        <w:t>of each HFC (collectively referred to as SC–HFC) affected by the rule. The RIA addendum includes these SC–HFC estimates</w:t>
      </w:r>
      <w:r w:rsidRPr="00283806">
        <w:rPr>
          <w:spacing w:val="-4"/>
          <w:w w:val="110"/>
        </w:rPr>
        <w:t xml:space="preserve"> </w:t>
      </w:r>
      <w:r w:rsidRPr="00283806">
        <w:rPr>
          <w:w w:val="110"/>
        </w:rPr>
        <w:t>and</w:t>
      </w:r>
      <w:r w:rsidRPr="00283806">
        <w:rPr>
          <w:spacing w:val="-4"/>
          <w:w w:val="110"/>
        </w:rPr>
        <w:t xml:space="preserve"> </w:t>
      </w:r>
      <w:r w:rsidRPr="00283806">
        <w:rPr>
          <w:w w:val="110"/>
        </w:rPr>
        <w:t>uses</w:t>
      </w:r>
      <w:r w:rsidRPr="00283806">
        <w:rPr>
          <w:spacing w:val="-4"/>
          <w:w w:val="110"/>
        </w:rPr>
        <w:t xml:space="preserve"> </w:t>
      </w:r>
      <w:r w:rsidRPr="00283806">
        <w:rPr>
          <w:w w:val="110"/>
        </w:rPr>
        <w:t>them</w:t>
      </w:r>
      <w:r w:rsidRPr="00283806">
        <w:rPr>
          <w:spacing w:val="-4"/>
          <w:w w:val="110"/>
        </w:rPr>
        <w:t xml:space="preserve"> </w:t>
      </w:r>
      <w:r w:rsidRPr="00283806">
        <w:rPr>
          <w:w w:val="110"/>
        </w:rPr>
        <w:t>in</w:t>
      </w:r>
      <w:r w:rsidRPr="00283806">
        <w:rPr>
          <w:spacing w:val="-4"/>
          <w:w w:val="110"/>
        </w:rPr>
        <w:t xml:space="preserve"> </w:t>
      </w:r>
      <w:r w:rsidRPr="00283806">
        <w:rPr>
          <w:w w:val="110"/>
        </w:rPr>
        <w:t>some</w:t>
      </w:r>
      <w:r w:rsidRPr="00283806">
        <w:rPr>
          <w:spacing w:val="-4"/>
          <w:w w:val="110"/>
        </w:rPr>
        <w:t xml:space="preserve"> </w:t>
      </w:r>
      <w:r w:rsidRPr="00283806">
        <w:rPr>
          <w:w w:val="110"/>
        </w:rPr>
        <w:t>of</w:t>
      </w:r>
      <w:r w:rsidRPr="00283806">
        <w:rPr>
          <w:spacing w:val="-4"/>
          <w:w w:val="110"/>
        </w:rPr>
        <w:t xml:space="preserve"> </w:t>
      </w:r>
      <w:r w:rsidRPr="00283806">
        <w:rPr>
          <w:w w:val="110"/>
        </w:rPr>
        <w:t>the analyses for the purpose of providing</w:t>
      </w:r>
    </w:p>
    <w:p w14:paraId="48FFE42E" w14:textId="77777777" w:rsidR="00D67C1E" w:rsidRPr="00283806" w:rsidRDefault="001265CA">
      <w:pPr>
        <w:pStyle w:val="BodyText"/>
        <w:spacing w:before="129" w:line="235" w:lineRule="auto"/>
        <w:ind w:left="153" w:right="122"/>
      </w:pPr>
      <w:r w:rsidRPr="00283806">
        <w:br w:type="column"/>
      </w:r>
      <w:r w:rsidRPr="00283806">
        <w:rPr>
          <w:w w:val="105"/>
        </w:rPr>
        <w:t>information to the public and to comply with executive orders. Although we utilized the SC–HFC estimates for purposes of those analyses, this action does not rely on those values or the resulting quantification of climate benefits as a record basis for this rule, and we would reach the same</w:t>
      </w:r>
      <w:r w:rsidRPr="00283806">
        <w:rPr>
          <w:spacing w:val="40"/>
          <w:w w:val="105"/>
        </w:rPr>
        <w:t xml:space="preserve"> </w:t>
      </w:r>
      <w:r w:rsidRPr="00283806">
        <w:rPr>
          <w:w w:val="105"/>
        </w:rPr>
        <w:t>conclusions</w:t>
      </w:r>
      <w:r w:rsidRPr="00283806">
        <w:rPr>
          <w:spacing w:val="40"/>
          <w:w w:val="105"/>
        </w:rPr>
        <w:t xml:space="preserve"> </w:t>
      </w:r>
      <w:r w:rsidRPr="00283806">
        <w:rPr>
          <w:w w:val="105"/>
        </w:rPr>
        <w:t>in</w:t>
      </w:r>
      <w:r w:rsidRPr="00283806">
        <w:rPr>
          <w:spacing w:val="40"/>
          <w:w w:val="105"/>
        </w:rPr>
        <w:t xml:space="preserve"> </w:t>
      </w:r>
      <w:r w:rsidRPr="00283806">
        <w:rPr>
          <w:w w:val="105"/>
        </w:rPr>
        <w:t>absence</w:t>
      </w:r>
      <w:r w:rsidRPr="00283806">
        <w:rPr>
          <w:spacing w:val="40"/>
          <w:w w:val="105"/>
        </w:rPr>
        <w:t xml:space="preserve"> </w:t>
      </w:r>
      <w:r w:rsidRPr="00283806">
        <w:rPr>
          <w:w w:val="105"/>
        </w:rPr>
        <w:t>of</w:t>
      </w:r>
      <w:r w:rsidRPr="00283806">
        <w:rPr>
          <w:spacing w:val="40"/>
          <w:w w:val="105"/>
        </w:rPr>
        <w:t xml:space="preserve"> </w:t>
      </w:r>
      <w:r w:rsidRPr="00283806">
        <w:rPr>
          <w:w w:val="105"/>
        </w:rPr>
        <w:t>the</w:t>
      </w:r>
      <w:r w:rsidRPr="00283806">
        <w:rPr>
          <w:spacing w:val="40"/>
          <w:w w:val="105"/>
        </w:rPr>
        <w:t xml:space="preserve"> </w:t>
      </w:r>
      <w:r w:rsidRPr="00283806">
        <w:rPr>
          <w:w w:val="105"/>
        </w:rPr>
        <w:t>social costs of HFCs. In the years 2026 through 2050, EPA estimates the rule will</w:t>
      </w:r>
      <w:r w:rsidRPr="00283806">
        <w:rPr>
          <w:spacing w:val="80"/>
          <w:w w:val="105"/>
        </w:rPr>
        <w:t xml:space="preserve"> </w:t>
      </w:r>
      <w:r w:rsidRPr="00283806">
        <w:rPr>
          <w:w w:val="105"/>
        </w:rPr>
        <w:t>prevent approximately 120 million</w:t>
      </w:r>
      <w:r w:rsidRPr="00283806">
        <w:rPr>
          <w:spacing w:val="40"/>
          <w:w w:val="105"/>
        </w:rPr>
        <w:t xml:space="preserve"> </w:t>
      </w:r>
      <w:r w:rsidRPr="00283806">
        <w:rPr>
          <w:w w:val="105"/>
        </w:rPr>
        <w:t>metric tons of carbon dioxide equivalent (MMTCO</w:t>
      </w:r>
      <w:r w:rsidRPr="00283806">
        <w:rPr>
          <w:rFonts w:ascii="Times New Roman" w:hAnsi="Times New Roman"/>
          <w:w w:val="105"/>
          <w:vertAlign w:val="subscript"/>
        </w:rPr>
        <w:t>2</w:t>
      </w:r>
      <w:r w:rsidRPr="00283806">
        <w:rPr>
          <w:w w:val="105"/>
        </w:rPr>
        <w:t>e) in HFC emissions, and the present value of economic benefit of avoiding the damages associated with those emissions is estimated at $8.4 billion (discounted to 2024 dollars using a three percent discount rate).</w:t>
      </w:r>
      <w:r w:rsidRPr="00283806">
        <w:rPr>
          <w:w w:val="105"/>
          <w:position w:val="5"/>
          <w:sz w:val="11"/>
        </w:rPr>
        <w:t>7</w:t>
      </w:r>
      <w:r w:rsidRPr="00283806">
        <w:rPr>
          <w:spacing w:val="40"/>
          <w:w w:val="105"/>
          <w:position w:val="5"/>
          <w:sz w:val="11"/>
        </w:rPr>
        <w:t xml:space="preserve"> </w:t>
      </w:r>
      <w:r w:rsidRPr="00283806">
        <w:rPr>
          <w:w w:val="105"/>
        </w:rPr>
        <w:t>The annual benefits are estimated to</w:t>
      </w:r>
      <w:r w:rsidRPr="00283806">
        <w:rPr>
          <w:spacing w:val="80"/>
          <w:w w:val="105"/>
        </w:rPr>
        <w:t xml:space="preserve"> </w:t>
      </w:r>
      <w:r w:rsidRPr="00283806">
        <w:rPr>
          <w:w w:val="105"/>
        </w:rPr>
        <w:t>decrease over time due to the HFC phasedown and the transition out of the higher-GWP HFCs, lowering the average GWP of later emissions. For example, it</w:t>
      </w:r>
      <w:r w:rsidRPr="00283806">
        <w:rPr>
          <w:spacing w:val="80"/>
          <w:w w:val="150"/>
        </w:rPr>
        <w:t xml:space="preserve"> </w:t>
      </w:r>
      <w:r w:rsidRPr="00283806">
        <w:rPr>
          <w:w w:val="105"/>
        </w:rPr>
        <w:t>is</w:t>
      </w:r>
      <w:r w:rsidRPr="00283806">
        <w:rPr>
          <w:spacing w:val="34"/>
          <w:w w:val="105"/>
        </w:rPr>
        <w:t xml:space="preserve"> </w:t>
      </w:r>
      <w:r w:rsidRPr="00283806">
        <w:rPr>
          <w:w w:val="105"/>
        </w:rPr>
        <w:t>estimated</w:t>
      </w:r>
      <w:r w:rsidRPr="00283806">
        <w:rPr>
          <w:spacing w:val="34"/>
          <w:w w:val="105"/>
        </w:rPr>
        <w:t xml:space="preserve"> </w:t>
      </w:r>
      <w:r w:rsidRPr="00283806">
        <w:rPr>
          <w:w w:val="105"/>
        </w:rPr>
        <w:t>that</w:t>
      </w:r>
      <w:r w:rsidRPr="00283806">
        <w:rPr>
          <w:spacing w:val="34"/>
          <w:w w:val="105"/>
        </w:rPr>
        <w:t xml:space="preserve"> </w:t>
      </w:r>
      <w:r w:rsidRPr="00283806">
        <w:rPr>
          <w:w w:val="105"/>
        </w:rPr>
        <w:t>the</w:t>
      </w:r>
      <w:r w:rsidRPr="00283806">
        <w:rPr>
          <w:spacing w:val="34"/>
          <w:w w:val="105"/>
        </w:rPr>
        <w:t xml:space="preserve"> </w:t>
      </w:r>
      <w:r w:rsidRPr="00283806">
        <w:rPr>
          <w:w w:val="105"/>
        </w:rPr>
        <w:t>leak</w:t>
      </w:r>
      <w:r w:rsidRPr="00283806">
        <w:rPr>
          <w:spacing w:val="34"/>
          <w:w w:val="105"/>
        </w:rPr>
        <w:t xml:space="preserve"> </w:t>
      </w:r>
      <w:r w:rsidRPr="00283806">
        <w:rPr>
          <w:w w:val="105"/>
        </w:rPr>
        <w:t>repair</w:t>
      </w:r>
      <w:r w:rsidRPr="00283806">
        <w:rPr>
          <w:spacing w:val="34"/>
          <w:w w:val="105"/>
        </w:rPr>
        <w:t xml:space="preserve"> </w:t>
      </w:r>
      <w:r w:rsidRPr="00283806">
        <w:rPr>
          <w:w w:val="105"/>
        </w:rPr>
        <w:t>and ALD system provisions will prevent approximately 5.6 MMTCO</w:t>
      </w:r>
      <w:r w:rsidRPr="00283806">
        <w:rPr>
          <w:rFonts w:ascii="Times New Roman" w:hAnsi="Times New Roman"/>
          <w:w w:val="105"/>
          <w:vertAlign w:val="subscript"/>
        </w:rPr>
        <w:t>2</w:t>
      </w:r>
      <w:r w:rsidRPr="00283806">
        <w:rPr>
          <w:w w:val="105"/>
        </w:rPr>
        <w:t>e of HFC emissions in 2030 and 3.0 MMTCO</w:t>
      </w:r>
      <w:r w:rsidRPr="00283806">
        <w:rPr>
          <w:rFonts w:ascii="Times New Roman" w:hAnsi="Times New Roman"/>
          <w:w w:val="105"/>
          <w:vertAlign w:val="subscript"/>
        </w:rPr>
        <w:t>2</w:t>
      </w:r>
      <w:r w:rsidRPr="00283806">
        <w:rPr>
          <w:w w:val="105"/>
        </w:rPr>
        <w:t xml:space="preserve">e in </w:t>
      </w:r>
      <w:r w:rsidRPr="00283806">
        <w:rPr>
          <w:spacing w:val="-2"/>
          <w:w w:val="105"/>
        </w:rPr>
        <w:t>2040.</w:t>
      </w:r>
    </w:p>
    <w:p w14:paraId="1BE18930" w14:textId="77777777" w:rsidR="00D67C1E" w:rsidRPr="00283806" w:rsidRDefault="001265CA">
      <w:pPr>
        <w:pStyle w:val="BodyText"/>
        <w:spacing w:before="28" w:line="206" w:lineRule="exact"/>
        <w:ind w:left="153" w:right="155" w:firstLine="180"/>
      </w:pPr>
      <w:r w:rsidRPr="00283806">
        <w:rPr>
          <w:w w:val="105"/>
        </w:rPr>
        <w:t>Reducing HFC emissions due to fixing leaks</w:t>
      </w:r>
      <w:r w:rsidRPr="00283806">
        <w:rPr>
          <w:spacing w:val="39"/>
          <w:w w:val="105"/>
        </w:rPr>
        <w:t xml:space="preserve"> </w:t>
      </w:r>
      <w:r w:rsidRPr="00283806">
        <w:rPr>
          <w:w w:val="105"/>
        </w:rPr>
        <w:t>earlier</w:t>
      </w:r>
      <w:r w:rsidRPr="00283806">
        <w:rPr>
          <w:spacing w:val="38"/>
          <w:w w:val="105"/>
        </w:rPr>
        <w:t xml:space="preserve"> </w:t>
      </w:r>
      <w:r w:rsidRPr="00283806">
        <w:rPr>
          <w:w w:val="105"/>
        </w:rPr>
        <w:t>is</w:t>
      </w:r>
      <w:r w:rsidRPr="00283806">
        <w:rPr>
          <w:spacing w:val="39"/>
          <w:w w:val="105"/>
        </w:rPr>
        <w:t xml:space="preserve"> </w:t>
      </w:r>
      <w:r w:rsidRPr="00283806">
        <w:rPr>
          <w:w w:val="105"/>
        </w:rPr>
        <w:t>also</w:t>
      </w:r>
      <w:r w:rsidRPr="00283806">
        <w:rPr>
          <w:spacing w:val="38"/>
          <w:w w:val="105"/>
        </w:rPr>
        <w:t xml:space="preserve"> </w:t>
      </w:r>
      <w:r w:rsidRPr="00283806">
        <w:rPr>
          <w:w w:val="105"/>
        </w:rPr>
        <w:t>anticipated</w:t>
      </w:r>
      <w:r w:rsidRPr="00283806">
        <w:rPr>
          <w:spacing w:val="39"/>
          <w:w w:val="105"/>
        </w:rPr>
        <w:t xml:space="preserve"> </w:t>
      </w:r>
      <w:r w:rsidRPr="00283806">
        <w:rPr>
          <w:w w:val="105"/>
        </w:rPr>
        <w:t>to</w:t>
      </w:r>
      <w:r w:rsidRPr="00283806">
        <w:rPr>
          <w:spacing w:val="38"/>
          <w:w w:val="105"/>
        </w:rPr>
        <w:t xml:space="preserve"> </w:t>
      </w:r>
      <w:r w:rsidRPr="00283806">
        <w:rPr>
          <w:w w:val="105"/>
        </w:rPr>
        <w:t>lead to savings for some system owners and operators, as less new refrigerant needs to be purchased to replace leaked refrigerant. In 2026, it is estimated that the leak repair and ALD provisions will lead to savings of $19.5 million (2022$) based on reduced HFC refrigerant</w:t>
      </w:r>
      <w:r w:rsidRPr="00283806">
        <w:rPr>
          <w:spacing w:val="40"/>
          <w:w w:val="105"/>
        </w:rPr>
        <w:t xml:space="preserve"> </w:t>
      </w:r>
      <w:r w:rsidRPr="00283806">
        <w:rPr>
          <w:w w:val="105"/>
        </w:rPr>
        <w:t>needed to maintain the equipment. We also are aware that a refrigerant- containing appliance would operate less efficiently if not properly charged and maintained, leading to increased energy costs; however, we have not quantified such savings in our analysis. EPA acknowledges</w:t>
      </w:r>
      <w:r w:rsidRPr="00283806">
        <w:rPr>
          <w:spacing w:val="40"/>
          <w:w w:val="105"/>
        </w:rPr>
        <w:t xml:space="preserve"> </w:t>
      </w:r>
      <w:r w:rsidRPr="00283806">
        <w:rPr>
          <w:w w:val="105"/>
        </w:rPr>
        <w:t>that</w:t>
      </w:r>
      <w:r w:rsidRPr="00283806">
        <w:rPr>
          <w:spacing w:val="40"/>
          <w:w w:val="105"/>
        </w:rPr>
        <w:t xml:space="preserve"> </w:t>
      </w:r>
      <w:r w:rsidRPr="00283806">
        <w:rPr>
          <w:w w:val="105"/>
        </w:rPr>
        <w:t>these</w:t>
      </w:r>
      <w:r w:rsidRPr="00283806">
        <w:rPr>
          <w:spacing w:val="40"/>
          <w:w w:val="105"/>
        </w:rPr>
        <w:t xml:space="preserve"> </w:t>
      </w:r>
      <w:r w:rsidRPr="00283806">
        <w:rPr>
          <w:w w:val="105"/>
        </w:rPr>
        <w:t>$19.5</w:t>
      </w:r>
      <w:r w:rsidRPr="00283806">
        <w:rPr>
          <w:spacing w:val="40"/>
          <w:w w:val="105"/>
        </w:rPr>
        <w:t xml:space="preserve"> </w:t>
      </w:r>
      <w:r w:rsidRPr="00283806">
        <w:rPr>
          <w:w w:val="105"/>
        </w:rPr>
        <w:t>million in savings may not completely offset</w:t>
      </w:r>
      <w:r w:rsidRPr="00283806">
        <w:rPr>
          <w:spacing w:val="80"/>
          <w:w w:val="150"/>
        </w:rPr>
        <w:t xml:space="preserve"> </w:t>
      </w:r>
      <w:r w:rsidRPr="00283806">
        <w:rPr>
          <w:w w:val="105"/>
        </w:rPr>
        <w:t>leak repair compliance costs and may</w:t>
      </w:r>
      <w:r w:rsidRPr="00283806">
        <w:rPr>
          <w:spacing w:val="80"/>
          <w:w w:val="105"/>
        </w:rPr>
        <w:t xml:space="preserve"> </w:t>
      </w:r>
      <w:r w:rsidRPr="00283806">
        <w:rPr>
          <w:w w:val="105"/>
        </w:rPr>
        <w:t>not accrue uniformly to all regulated entities. Further, while these provisions have</w:t>
      </w:r>
      <w:r w:rsidRPr="00283806">
        <w:rPr>
          <w:spacing w:val="5"/>
          <w:w w:val="105"/>
        </w:rPr>
        <w:t xml:space="preserve"> </w:t>
      </w:r>
      <w:r w:rsidRPr="00283806">
        <w:rPr>
          <w:w w:val="105"/>
        </w:rPr>
        <w:t>been</w:t>
      </w:r>
      <w:r w:rsidRPr="00283806">
        <w:rPr>
          <w:spacing w:val="6"/>
          <w:w w:val="105"/>
        </w:rPr>
        <w:t xml:space="preserve"> </w:t>
      </w:r>
      <w:r w:rsidRPr="00283806">
        <w:rPr>
          <w:w w:val="105"/>
        </w:rPr>
        <w:t>estimated</w:t>
      </w:r>
      <w:r w:rsidRPr="00283806">
        <w:rPr>
          <w:spacing w:val="6"/>
          <w:w w:val="105"/>
        </w:rPr>
        <w:t xml:space="preserve"> </w:t>
      </w:r>
      <w:r w:rsidRPr="00283806">
        <w:rPr>
          <w:w w:val="105"/>
        </w:rPr>
        <w:t>to</w:t>
      </w:r>
      <w:r w:rsidRPr="00283806">
        <w:rPr>
          <w:spacing w:val="6"/>
          <w:w w:val="105"/>
        </w:rPr>
        <w:t xml:space="preserve"> </w:t>
      </w:r>
      <w:r w:rsidRPr="00283806">
        <w:rPr>
          <w:w w:val="105"/>
        </w:rPr>
        <w:t>result</w:t>
      </w:r>
      <w:r w:rsidRPr="00283806">
        <w:rPr>
          <w:spacing w:val="6"/>
          <w:w w:val="105"/>
        </w:rPr>
        <w:t xml:space="preserve"> </w:t>
      </w:r>
      <w:r w:rsidRPr="00283806">
        <w:rPr>
          <w:w w:val="105"/>
        </w:rPr>
        <w:t>in</w:t>
      </w:r>
      <w:r w:rsidRPr="00283806">
        <w:rPr>
          <w:spacing w:val="6"/>
          <w:w w:val="105"/>
        </w:rPr>
        <w:t xml:space="preserve"> </w:t>
      </w:r>
      <w:r w:rsidRPr="00283806">
        <w:rPr>
          <w:spacing w:val="-2"/>
          <w:w w:val="105"/>
        </w:rPr>
        <w:t>savings,</w:t>
      </w:r>
    </w:p>
    <w:p w14:paraId="3658AD10" w14:textId="77777777" w:rsidR="00D67C1E" w:rsidRPr="00283806" w:rsidRDefault="00D67C1E">
      <w:pPr>
        <w:spacing w:line="206" w:lineRule="exact"/>
        <w:sectPr w:rsidR="00D67C1E" w:rsidRPr="00283806">
          <w:pgSz w:w="12240" w:h="15840"/>
          <w:pgMar w:top="1040" w:right="780" w:bottom="280" w:left="740" w:header="627" w:footer="0" w:gutter="0"/>
          <w:cols w:num="3" w:space="720" w:equalWidth="0">
            <w:col w:w="3486" w:space="54"/>
            <w:col w:w="3507" w:space="39"/>
            <w:col w:w="3634"/>
          </w:cols>
        </w:sectPr>
      </w:pPr>
    </w:p>
    <w:p w14:paraId="02F40241" w14:textId="77777777" w:rsidR="00D67C1E" w:rsidRPr="00283806" w:rsidRDefault="001265CA">
      <w:pPr>
        <w:pStyle w:val="BodyText"/>
        <w:tabs>
          <w:tab w:val="left" w:pos="3699"/>
          <w:tab w:val="left" w:pos="4699"/>
        </w:tabs>
        <w:spacing w:line="139" w:lineRule="exact"/>
      </w:pPr>
      <w:r w:rsidRPr="00283806">
        <w:rPr>
          <w:w w:val="105"/>
        </w:rPr>
        <w:t>costs</w:t>
      </w:r>
      <w:r w:rsidRPr="00283806">
        <w:rPr>
          <w:spacing w:val="8"/>
          <w:w w:val="105"/>
        </w:rPr>
        <w:t xml:space="preserve"> </w:t>
      </w:r>
      <w:r w:rsidRPr="00283806">
        <w:rPr>
          <w:w w:val="105"/>
        </w:rPr>
        <w:t>and</w:t>
      </w:r>
      <w:r w:rsidRPr="00283806">
        <w:rPr>
          <w:spacing w:val="9"/>
          <w:w w:val="105"/>
        </w:rPr>
        <w:t xml:space="preserve"> </w:t>
      </w:r>
      <w:r w:rsidRPr="00283806">
        <w:rPr>
          <w:w w:val="105"/>
        </w:rPr>
        <w:t>benefits</w:t>
      </w:r>
      <w:r w:rsidRPr="00283806">
        <w:rPr>
          <w:spacing w:val="9"/>
          <w:w w:val="105"/>
        </w:rPr>
        <w:t xml:space="preserve"> </w:t>
      </w:r>
      <w:r w:rsidRPr="00283806">
        <w:rPr>
          <w:w w:val="105"/>
        </w:rPr>
        <w:t>of</w:t>
      </w:r>
      <w:r w:rsidRPr="00283806">
        <w:rPr>
          <w:spacing w:val="9"/>
          <w:w w:val="105"/>
        </w:rPr>
        <w:t xml:space="preserve"> </w:t>
      </w:r>
      <w:r w:rsidRPr="00283806">
        <w:rPr>
          <w:w w:val="105"/>
        </w:rPr>
        <w:t>this</w:t>
      </w:r>
      <w:r w:rsidRPr="00283806">
        <w:rPr>
          <w:spacing w:val="9"/>
          <w:w w:val="105"/>
        </w:rPr>
        <w:t xml:space="preserve"> </w:t>
      </w:r>
      <w:r w:rsidRPr="00283806">
        <w:rPr>
          <w:spacing w:val="-2"/>
          <w:w w:val="105"/>
        </w:rPr>
        <w:t>rule.</w:t>
      </w:r>
      <w:r w:rsidRPr="00283806">
        <w:tab/>
      </w:r>
      <w:r w:rsidRPr="00283806">
        <w:rPr>
          <w:u w:val="single"/>
        </w:rPr>
        <w:tab/>
      </w:r>
    </w:p>
    <w:p w14:paraId="66071702" w14:textId="77777777" w:rsidR="00D67C1E" w:rsidRPr="00283806" w:rsidRDefault="001265CA">
      <w:pPr>
        <w:pStyle w:val="BodyText"/>
        <w:spacing w:before="32" w:line="107" w:lineRule="exact"/>
      </w:pPr>
      <w:r w:rsidRPr="00283806">
        <w:br w:type="column"/>
      </w:r>
      <w:r w:rsidRPr="00283806">
        <w:rPr>
          <w:w w:val="105"/>
        </w:rPr>
        <w:t>EPA</w:t>
      </w:r>
      <w:r w:rsidRPr="00283806">
        <w:rPr>
          <w:spacing w:val="9"/>
          <w:w w:val="105"/>
        </w:rPr>
        <w:t xml:space="preserve"> </w:t>
      </w:r>
      <w:r w:rsidRPr="00283806">
        <w:rPr>
          <w:w w:val="105"/>
        </w:rPr>
        <w:t>understands</w:t>
      </w:r>
      <w:r w:rsidRPr="00283806">
        <w:rPr>
          <w:spacing w:val="10"/>
          <w:w w:val="105"/>
        </w:rPr>
        <w:t xml:space="preserve"> </w:t>
      </w:r>
      <w:r w:rsidRPr="00283806">
        <w:rPr>
          <w:w w:val="105"/>
        </w:rPr>
        <w:t>that</w:t>
      </w:r>
      <w:r w:rsidRPr="00283806">
        <w:rPr>
          <w:spacing w:val="9"/>
          <w:w w:val="105"/>
        </w:rPr>
        <w:t xml:space="preserve"> </w:t>
      </w:r>
      <w:r w:rsidRPr="00283806">
        <w:rPr>
          <w:w w:val="105"/>
        </w:rPr>
        <w:t>entities</w:t>
      </w:r>
      <w:r w:rsidRPr="00283806">
        <w:rPr>
          <w:spacing w:val="10"/>
          <w:w w:val="105"/>
        </w:rPr>
        <w:t xml:space="preserve"> </w:t>
      </w:r>
      <w:r w:rsidRPr="00283806">
        <w:rPr>
          <w:w w:val="105"/>
        </w:rPr>
        <w:t>that</w:t>
      </w:r>
      <w:r w:rsidRPr="00283806">
        <w:rPr>
          <w:spacing w:val="10"/>
          <w:w w:val="105"/>
        </w:rPr>
        <w:t xml:space="preserve"> </w:t>
      </w:r>
      <w:r w:rsidRPr="00283806">
        <w:rPr>
          <w:spacing w:val="-5"/>
          <w:w w:val="105"/>
        </w:rPr>
        <w:t>may</w:t>
      </w:r>
    </w:p>
    <w:p w14:paraId="390A85B1" w14:textId="77777777" w:rsidR="00D67C1E" w:rsidRPr="00283806" w:rsidRDefault="00D67C1E">
      <w:pPr>
        <w:spacing w:line="107" w:lineRule="exact"/>
        <w:sectPr w:rsidR="00D67C1E" w:rsidRPr="00283806">
          <w:type w:val="continuous"/>
          <w:pgSz w:w="12240" w:h="15840"/>
          <w:pgMar w:top="880" w:right="780" w:bottom="280" w:left="740" w:header="627" w:footer="0" w:gutter="0"/>
          <w:cols w:num="2" w:space="720" w:equalWidth="0">
            <w:col w:w="4740" w:space="2339"/>
            <w:col w:w="3641"/>
          </w:cols>
        </w:sectPr>
      </w:pPr>
    </w:p>
    <w:p w14:paraId="63B7993C" w14:textId="77777777" w:rsidR="00D67C1E" w:rsidRPr="00283806" w:rsidRDefault="001265CA">
      <w:pPr>
        <w:pStyle w:val="BodyText"/>
        <w:spacing w:before="8" w:line="228" w:lineRule="auto"/>
        <w:ind w:right="82"/>
      </w:pPr>
      <w:r w:rsidRPr="00283806">
        <w:rPr>
          <w:w w:val="105"/>
        </w:rPr>
        <w:t>Specifically, the Allocation Framework Rule, ‘‘Phasedown of Hydrofluorocarbons: Establishing the Allowance Allocation and Trading Program Under the American</w:t>
      </w:r>
      <w:r w:rsidRPr="00283806">
        <w:rPr>
          <w:spacing w:val="40"/>
          <w:w w:val="105"/>
        </w:rPr>
        <w:t xml:space="preserve"> </w:t>
      </w:r>
      <w:r w:rsidRPr="00283806">
        <w:rPr>
          <w:w w:val="105"/>
        </w:rPr>
        <w:t>Innovation and Manufacturing Act’’ (86 FR 55116, October 5, 2021), the 2024 Allocation Rule, ‘‘Phasedown of Hydrofluorocarbons: Allowance Allocation Methodology for 2024 and Later Years’’ (88 FR 46836, July 20,</w:t>
      </w:r>
    </w:p>
    <w:p w14:paraId="157E8D02" w14:textId="77777777" w:rsidR="00D67C1E" w:rsidRPr="00283806" w:rsidRDefault="001265CA">
      <w:pPr>
        <w:pStyle w:val="BodyText"/>
        <w:spacing w:line="198" w:lineRule="exact"/>
      </w:pPr>
      <w:r w:rsidRPr="00283806">
        <w:rPr>
          <w:w w:val="105"/>
        </w:rPr>
        <w:t>2023),</w:t>
      </w:r>
      <w:r w:rsidRPr="00283806">
        <w:rPr>
          <w:w w:val="105"/>
          <w:position w:val="5"/>
          <w:sz w:val="11"/>
        </w:rPr>
        <w:t>5</w:t>
      </w:r>
      <w:r w:rsidRPr="00283806">
        <w:rPr>
          <w:spacing w:val="17"/>
          <w:w w:val="105"/>
          <w:position w:val="5"/>
          <w:sz w:val="11"/>
        </w:rPr>
        <w:t xml:space="preserve"> </w:t>
      </w:r>
      <w:r w:rsidRPr="00283806">
        <w:rPr>
          <w:w w:val="105"/>
        </w:rPr>
        <w:t>and</w:t>
      </w:r>
      <w:r w:rsidRPr="00283806">
        <w:rPr>
          <w:spacing w:val="1"/>
          <w:w w:val="105"/>
        </w:rPr>
        <w:t xml:space="preserve"> </w:t>
      </w:r>
      <w:r w:rsidRPr="00283806">
        <w:rPr>
          <w:w w:val="105"/>
        </w:rPr>
        <w:t>the</w:t>
      </w:r>
      <w:r w:rsidRPr="00283806">
        <w:rPr>
          <w:spacing w:val="1"/>
          <w:w w:val="105"/>
        </w:rPr>
        <w:t xml:space="preserve"> </w:t>
      </w:r>
      <w:r w:rsidRPr="00283806">
        <w:rPr>
          <w:w w:val="105"/>
        </w:rPr>
        <w:t>2023</w:t>
      </w:r>
      <w:r w:rsidRPr="00283806">
        <w:rPr>
          <w:spacing w:val="1"/>
          <w:w w:val="105"/>
        </w:rPr>
        <w:t xml:space="preserve"> </w:t>
      </w:r>
      <w:r w:rsidRPr="00283806">
        <w:rPr>
          <w:spacing w:val="-2"/>
          <w:w w:val="105"/>
        </w:rPr>
        <w:t>Technology</w:t>
      </w:r>
    </w:p>
    <w:p w14:paraId="32F44305" w14:textId="77777777" w:rsidR="00D67C1E" w:rsidRPr="00283806" w:rsidRDefault="001265CA">
      <w:pPr>
        <w:spacing w:before="40" w:line="232" w:lineRule="auto"/>
        <w:ind w:left="160" w:right="56"/>
        <w:rPr>
          <w:sz w:val="14"/>
        </w:rPr>
      </w:pPr>
      <w:r w:rsidRPr="00283806">
        <w:br w:type="column"/>
      </w:r>
      <w:r w:rsidRPr="00283806">
        <w:rPr>
          <w:w w:val="105"/>
          <w:sz w:val="14"/>
        </w:rPr>
        <w:t>allowances starting with calendar year 2024</w:t>
      </w:r>
      <w:r w:rsidRPr="00283806">
        <w:rPr>
          <w:spacing w:val="40"/>
          <w:w w:val="105"/>
          <w:sz w:val="14"/>
        </w:rPr>
        <w:t xml:space="preserve"> </w:t>
      </w:r>
      <w:r w:rsidRPr="00283806">
        <w:rPr>
          <w:w w:val="105"/>
          <w:sz w:val="14"/>
        </w:rPr>
        <w:t>allowances and adjusted the consumption baseline</w:t>
      </w:r>
      <w:r w:rsidRPr="00283806">
        <w:rPr>
          <w:spacing w:val="40"/>
          <w:w w:val="105"/>
          <w:sz w:val="14"/>
        </w:rPr>
        <w:t xml:space="preserve"> </w:t>
      </w:r>
      <w:r w:rsidRPr="00283806">
        <w:rPr>
          <w:w w:val="105"/>
          <w:sz w:val="14"/>
        </w:rPr>
        <w:t>downward by less than 0.5 percent to reflect</w:t>
      </w:r>
      <w:r w:rsidRPr="00283806">
        <w:rPr>
          <w:spacing w:val="40"/>
          <w:w w:val="105"/>
          <w:sz w:val="14"/>
        </w:rPr>
        <w:t xml:space="preserve"> </w:t>
      </w:r>
      <w:r w:rsidRPr="00283806">
        <w:rPr>
          <w:w w:val="105"/>
          <w:sz w:val="14"/>
        </w:rPr>
        <w:t>corrected data, among other changes (88 FR 46836,</w:t>
      </w:r>
      <w:r w:rsidRPr="00283806">
        <w:rPr>
          <w:spacing w:val="40"/>
          <w:w w:val="105"/>
          <w:sz w:val="14"/>
        </w:rPr>
        <w:t xml:space="preserve"> </w:t>
      </w:r>
      <w:r w:rsidRPr="00283806">
        <w:rPr>
          <w:w w:val="105"/>
          <w:sz w:val="14"/>
        </w:rPr>
        <w:t>July 20, 2023). EPA also finalized another</w:t>
      </w:r>
      <w:r w:rsidRPr="00283806">
        <w:rPr>
          <w:spacing w:val="40"/>
          <w:w w:val="105"/>
          <w:sz w:val="14"/>
        </w:rPr>
        <w:t xml:space="preserve"> </w:t>
      </w:r>
      <w:r w:rsidRPr="00283806">
        <w:rPr>
          <w:w w:val="105"/>
          <w:sz w:val="14"/>
        </w:rPr>
        <w:t>rulemaking in 2023 to update the regulations</w:t>
      </w:r>
      <w:r w:rsidRPr="00283806">
        <w:rPr>
          <w:spacing w:val="40"/>
          <w:w w:val="105"/>
          <w:sz w:val="14"/>
        </w:rPr>
        <w:t xml:space="preserve"> </w:t>
      </w:r>
      <w:r w:rsidRPr="00283806">
        <w:rPr>
          <w:w w:val="105"/>
          <w:sz w:val="14"/>
        </w:rPr>
        <w:t>established in the HFC Allocation Framework Rule.</w:t>
      </w:r>
      <w:r w:rsidRPr="00283806">
        <w:rPr>
          <w:spacing w:val="40"/>
          <w:w w:val="105"/>
          <w:sz w:val="14"/>
        </w:rPr>
        <w:t xml:space="preserve"> </w:t>
      </w:r>
      <w:r w:rsidRPr="00283806">
        <w:rPr>
          <w:w w:val="105"/>
          <w:sz w:val="14"/>
        </w:rPr>
        <w:t>That rule ‘‘Phasedown of Hydrofluorocarbons:</w:t>
      </w:r>
      <w:r w:rsidRPr="00283806">
        <w:rPr>
          <w:spacing w:val="40"/>
          <w:w w:val="105"/>
          <w:sz w:val="14"/>
        </w:rPr>
        <w:t xml:space="preserve"> </w:t>
      </w:r>
      <w:r w:rsidRPr="00283806">
        <w:rPr>
          <w:w w:val="105"/>
          <w:sz w:val="14"/>
        </w:rPr>
        <w:t>Adjustment to the Hydrofluorocarbon Baseline,’’</w:t>
      </w:r>
      <w:r w:rsidRPr="00283806">
        <w:rPr>
          <w:spacing w:val="40"/>
          <w:w w:val="105"/>
          <w:sz w:val="14"/>
        </w:rPr>
        <w:t xml:space="preserve"> </w:t>
      </w:r>
      <w:r w:rsidRPr="00283806">
        <w:rPr>
          <w:w w:val="105"/>
          <w:sz w:val="14"/>
        </w:rPr>
        <w:t>amended the production baseline downward by</w:t>
      </w:r>
    </w:p>
    <w:p w14:paraId="5FBBE09F" w14:textId="77777777" w:rsidR="00D67C1E" w:rsidRPr="00283806" w:rsidRDefault="001265CA">
      <w:pPr>
        <w:spacing w:before="5" w:line="162" w:lineRule="exact"/>
        <w:ind w:left="160"/>
        <w:rPr>
          <w:sz w:val="14"/>
        </w:rPr>
      </w:pPr>
      <w:r w:rsidRPr="00283806">
        <w:rPr>
          <w:w w:val="105"/>
          <w:sz w:val="14"/>
        </w:rPr>
        <w:t>0.005</w:t>
      </w:r>
      <w:r w:rsidRPr="00283806">
        <w:rPr>
          <w:spacing w:val="1"/>
          <w:w w:val="105"/>
          <w:sz w:val="14"/>
        </w:rPr>
        <w:t xml:space="preserve"> </w:t>
      </w:r>
      <w:r w:rsidRPr="00283806">
        <w:rPr>
          <w:w w:val="105"/>
          <w:sz w:val="14"/>
        </w:rPr>
        <w:t>percent</w:t>
      </w:r>
      <w:r w:rsidRPr="00283806">
        <w:rPr>
          <w:spacing w:val="1"/>
          <w:w w:val="105"/>
          <w:sz w:val="14"/>
        </w:rPr>
        <w:t xml:space="preserve"> </w:t>
      </w:r>
      <w:r w:rsidRPr="00283806">
        <w:rPr>
          <w:w w:val="105"/>
          <w:sz w:val="14"/>
        </w:rPr>
        <w:t>to</w:t>
      </w:r>
      <w:r w:rsidRPr="00283806">
        <w:rPr>
          <w:spacing w:val="1"/>
          <w:w w:val="105"/>
          <w:sz w:val="14"/>
        </w:rPr>
        <w:t xml:space="preserve"> </w:t>
      </w:r>
      <w:r w:rsidRPr="00283806">
        <w:rPr>
          <w:w w:val="105"/>
          <w:sz w:val="14"/>
        </w:rPr>
        <w:t>reflect</w:t>
      </w:r>
      <w:r w:rsidRPr="00283806">
        <w:rPr>
          <w:spacing w:val="1"/>
          <w:w w:val="105"/>
          <w:sz w:val="14"/>
        </w:rPr>
        <w:t xml:space="preserve"> </w:t>
      </w:r>
      <w:r w:rsidRPr="00283806">
        <w:rPr>
          <w:w w:val="105"/>
          <w:sz w:val="14"/>
        </w:rPr>
        <w:t>corrected</w:t>
      </w:r>
      <w:r w:rsidRPr="00283806">
        <w:rPr>
          <w:spacing w:val="1"/>
          <w:w w:val="105"/>
          <w:sz w:val="14"/>
        </w:rPr>
        <w:t xml:space="preserve"> </w:t>
      </w:r>
      <w:r w:rsidRPr="00283806">
        <w:rPr>
          <w:w w:val="105"/>
          <w:sz w:val="14"/>
        </w:rPr>
        <w:t>data</w:t>
      </w:r>
      <w:r w:rsidRPr="00283806">
        <w:rPr>
          <w:spacing w:val="1"/>
          <w:w w:val="105"/>
          <w:sz w:val="14"/>
        </w:rPr>
        <w:t xml:space="preserve"> </w:t>
      </w:r>
      <w:r w:rsidRPr="00283806">
        <w:rPr>
          <w:w w:val="105"/>
          <w:sz w:val="14"/>
        </w:rPr>
        <w:t>(88</w:t>
      </w:r>
      <w:r w:rsidRPr="00283806">
        <w:rPr>
          <w:spacing w:val="1"/>
          <w:w w:val="105"/>
          <w:sz w:val="14"/>
        </w:rPr>
        <w:t xml:space="preserve"> </w:t>
      </w:r>
      <w:r w:rsidRPr="00283806">
        <w:rPr>
          <w:w w:val="105"/>
          <w:sz w:val="14"/>
        </w:rPr>
        <w:t>FR</w:t>
      </w:r>
      <w:r w:rsidRPr="00283806">
        <w:rPr>
          <w:spacing w:val="2"/>
          <w:w w:val="105"/>
          <w:sz w:val="14"/>
        </w:rPr>
        <w:t xml:space="preserve"> </w:t>
      </w:r>
      <w:r w:rsidRPr="00283806">
        <w:rPr>
          <w:spacing w:val="-2"/>
          <w:w w:val="105"/>
          <w:sz w:val="14"/>
        </w:rPr>
        <w:t>44220,</w:t>
      </w:r>
    </w:p>
    <w:p w14:paraId="45A50A61" w14:textId="77777777" w:rsidR="00D67C1E" w:rsidRPr="00283806" w:rsidRDefault="001265CA">
      <w:pPr>
        <w:spacing w:line="162" w:lineRule="exact"/>
        <w:ind w:left="160"/>
        <w:rPr>
          <w:sz w:val="14"/>
        </w:rPr>
      </w:pPr>
      <w:r w:rsidRPr="00283806">
        <w:rPr>
          <w:w w:val="105"/>
          <w:sz w:val="14"/>
        </w:rPr>
        <w:t>July</w:t>
      </w:r>
      <w:r w:rsidRPr="00283806">
        <w:rPr>
          <w:spacing w:val="13"/>
          <w:w w:val="105"/>
          <w:sz w:val="14"/>
        </w:rPr>
        <w:t xml:space="preserve"> </w:t>
      </w:r>
      <w:r w:rsidRPr="00283806">
        <w:rPr>
          <w:w w:val="105"/>
          <w:sz w:val="14"/>
        </w:rPr>
        <w:t>12,</w:t>
      </w:r>
      <w:r w:rsidRPr="00283806">
        <w:rPr>
          <w:spacing w:val="13"/>
          <w:w w:val="105"/>
          <w:sz w:val="14"/>
        </w:rPr>
        <w:t xml:space="preserve"> </w:t>
      </w:r>
      <w:r w:rsidRPr="00283806">
        <w:rPr>
          <w:spacing w:val="-2"/>
          <w:w w:val="105"/>
          <w:sz w:val="14"/>
        </w:rPr>
        <w:t>2023).</w:t>
      </w:r>
    </w:p>
    <w:p w14:paraId="678C042D" w14:textId="77777777" w:rsidR="00D67C1E" w:rsidRPr="00283806" w:rsidRDefault="001265CA">
      <w:pPr>
        <w:spacing w:before="17" w:line="232" w:lineRule="auto"/>
        <w:ind w:left="160" w:right="56" w:firstLine="139"/>
        <w:rPr>
          <w:sz w:val="14"/>
        </w:rPr>
      </w:pPr>
      <w:r w:rsidRPr="00283806">
        <w:rPr>
          <w:w w:val="110"/>
          <w:position w:val="4"/>
          <w:sz w:val="9"/>
        </w:rPr>
        <w:t xml:space="preserve">6 </w:t>
      </w:r>
      <w:r w:rsidRPr="00283806">
        <w:rPr>
          <w:w w:val="110"/>
          <w:sz w:val="14"/>
        </w:rPr>
        <w:t>U.S. EPA. 2023. EPA’s Vintaging Model</w:t>
      </w:r>
      <w:r w:rsidRPr="00283806">
        <w:rPr>
          <w:spacing w:val="40"/>
          <w:w w:val="110"/>
          <w:sz w:val="14"/>
        </w:rPr>
        <w:t xml:space="preserve"> </w:t>
      </w:r>
      <w:r w:rsidRPr="00283806">
        <w:rPr>
          <w:sz w:val="14"/>
        </w:rPr>
        <w:t>representing the Allocation Framework Rule as</w:t>
      </w:r>
      <w:r w:rsidRPr="00283806">
        <w:rPr>
          <w:spacing w:val="40"/>
          <w:w w:val="110"/>
          <w:sz w:val="14"/>
        </w:rPr>
        <w:t xml:space="preserve"> </w:t>
      </w:r>
      <w:r w:rsidRPr="00283806">
        <w:rPr>
          <w:w w:val="110"/>
          <w:sz w:val="14"/>
        </w:rPr>
        <w:t>modified by the 2024 Allocation Rule RIA</w:t>
      </w:r>
    </w:p>
    <w:p w14:paraId="0189237E" w14:textId="77777777" w:rsidR="00D67C1E" w:rsidRPr="00283806" w:rsidRDefault="001265CA">
      <w:pPr>
        <w:pStyle w:val="BodyText"/>
        <w:spacing w:before="102" w:line="235" w:lineRule="auto"/>
        <w:ind w:left="150" w:right="151"/>
      </w:pPr>
      <w:r w:rsidRPr="00283806">
        <w:br w:type="column"/>
      </w:r>
      <w:r w:rsidRPr="00283806">
        <w:rPr>
          <w:w w:val="105"/>
        </w:rPr>
        <w:t>be affected by these regulations might not perform the practices, processes, or activities that would result in cost savings absent regulation. When entities are reviewing their own economic analyses, some factors may be pertinent that make new technologies or economically favorable best practices less attractive than existing practices, or some market failure may exist that acts as a barrier to businesses’ adoption of</w:t>
      </w:r>
    </w:p>
    <w:p w14:paraId="052356E5" w14:textId="77777777" w:rsidR="00D67C1E" w:rsidRPr="00283806" w:rsidRDefault="00D67C1E">
      <w:pPr>
        <w:spacing w:line="235" w:lineRule="auto"/>
        <w:sectPr w:rsidR="00D67C1E" w:rsidRPr="00283806">
          <w:type w:val="continuous"/>
          <w:pgSz w:w="12240" w:h="15840"/>
          <w:pgMar w:top="880" w:right="780" w:bottom="280" w:left="740" w:header="627" w:footer="0" w:gutter="0"/>
          <w:cols w:num="3" w:space="720" w:equalWidth="0">
            <w:col w:w="3477" w:space="63"/>
            <w:col w:w="3510" w:space="40"/>
            <w:col w:w="3630"/>
          </w:cols>
        </w:sectPr>
      </w:pPr>
    </w:p>
    <w:p w14:paraId="37C9328F" w14:textId="77777777" w:rsidR="00D67C1E" w:rsidRPr="00283806" w:rsidRDefault="001265CA">
      <w:pPr>
        <w:tabs>
          <w:tab w:val="left" w:pos="7239"/>
          <w:tab w:val="left" w:pos="8239"/>
        </w:tabs>
        <w:spacing w:before="1" w:line="152" w:lineRule="exact"/>
        <w:ind w:left="3700"/>
        <w:rPr>
          <w:sz w:val="14"/>
        </w:rPr>
      </w:pPr>
      <w:r w:rsidRPr="00283806">
        <w:rPr>
          <w:noProof/>
        </w:rPr>
        <mc:AlternateContent>
          <mc:Choice Requires="wps">
            <w:drawing>
              <wp:anchor distT="0" distB="0" distL="0" distR="0" simplePos="0" relativeHeight="251613184" behindDoc="0" locked="0" layoutInCell="1" allowOverlap="1" wp14:anchorId="172617B6" wp14:editId="430B1E21">
                <wp:simplePos x="0" y="0"/>
                <wp:positionH relativeFrom="page">
                  <wp:posOffset>571500</wp:posOffset>
                </wp:positionH>
                <wp:positionV relativeFrom="paragraph">
                  <wp:posOffset>76184</wp:posOffset>
                </wp:positionV>
                <wp:extent cx="635000" cy="1270"/>
                <wp:effectExtent l="0" t="0" r="0" b="0"/>
                <wp:wrapNone/>
                <wp:docPr id="24" name="Graphic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CDA06AB" id="Graphic 24" o:spid="_x0000_s1026" alt="&quot;&quot;" style="position:absolute;margin-left:45pt;margin-top:6pt;width:50pt;height:.1pt;z-index:251613184;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" path="m,l635000,e" filled="f" strokeweight=".5pt">
                <v:path arrowok="t"/>
                <w10:wrap anchorx="page"/>
              </v:shape>
            </w:pict>
          </mc:Fallback>
        </mc:AlternateContent>
      </w:r>
      <w:r w:rsidRPr="00283806">
        <w:rPr>
          <w:w w:val="105"/>
          <w:sz w:val="14"/>
        </w:rPr>
        <w:t>Addendum</w:t>
      </w:r>
      <w:r w:rsidRPr="00283806">
        <w:rPr>
          <w:spacing w:val="13"/>
          <w:w w:val="105"/>
          <w:sz w:val="14"/>
        </w:rPr>
        <w:t xml:space="preserve"> </w:t>
      </w:r>
      <w:r w:rsidRPr="00283806">
        <w:rPr>
          <w:w w:val="105"/>
          <w:sz w:val="14"/>
        </w:rPr>
        <w:t>and</w:t>
      </w:r>
      <w:r w:rsidRPr="00283806">
        <w:rPr>
          <w:spacing w:val="14"/>
          <w:w w:val="105"/>
          <w:sz w:val="14"/>
        </w:rPr>
        <w:t xml:space="preserve"> </w:t>
      </w:r>
      <w:r w:rsidRPr="00283806">
        <w:rPr>
          <w:w w:val="105"/>
          <w:sz w:val="14"/>
        </w:rPr>
        <w:t>the</w:t>
      </w:r>
      <w:r w:rsidRPr="00283806">
        <w:rPr>
          <w:spacing w:val="13"/>
          <w:w w:val="105"/>
          <w:sz w:val="14"/>
        </w:rPr>
        <w:t xml:space="preserve"> </w:t>
      </w:r>
      <w:r w:rsidRPr="00283806">
        <w:rPr>
          <w:w w:val="105"/>
          <w:sz w:val="14"/>
        </w:rPr>
        <w:t>2023</w:t>
      </w:r>
      <w:r w:rsidRPr="00283806">
        <w:rPr>
          <w:spacing w:val="14"/>
          <w:w w:val="105"/>
          <w:sz w:val="14"/>
        </w:rPr>
        <w:t xml:space="preserve"> </w:t>
      </w:r>
      <w:r w:rsidRPr="00283806">
        <w:rPr>
          <w:w w:val="105"/>
          <w:sz w:val="14"/>
        </w:rPr>
        <w:t>Technology</w:t>
      </w:r>
      <w:r w:rsidRPr="00283806">
        <w:rPr>
          <w:spacing w:val="14"/>
          <w:w w:val="105"/>
          <w:sz w:val="14"/>
        </w:rPr>
        <w:t xml:space="preserve"> </w:t>
      </w:r>
      <w:r w:rsidRPr="00283806">
        <w:rPr>
          <w:spacing w:val="-2"/>
          <w:w w:val="105"/>
          <w:sz w:val="14"/>
        </w:rPr>
        <w:t>Transitions</w:t>
      </w:r>
      <w:r w:rsidRPr="00283806">
        <w:rPr>
          <w:sz w:val="14"/>
        </w:rPr>
        <w:tab/>
      </w:r>
      <w:r w:rsidRPr="00283806">
        <w:rPr>
          <w:sz w:val="14"/>
          <w:u w:val="single"/>
        </w:rPr>
        <w:tab/>
      </w:r>
    </w:p>
    <w:p w14:paraId="3CA57318" w14:textId="77777777" w:rsidR="00D67C1E" w:rsidRPr="00283806" w:rsidRDefault="00D67C1E">
      <w:pPr>
        <w:spacing w:line="152" w:lineRule="exact"/>
        <w:rPr>
          <w:sz w:val="14"/>
        </w:rPr>
        <w:sectPr w:rsidR="00D67C1E" w:rsidRPr="00283806">
          <w:type w:val="continuous"/>
          <w:pgSz w:w="12240" w:h="15840"/>
          <w:pgMar w:top="880" w:right="780" w:bottom="280" w:left="740" w:header="627" w:footer="0" w:gutter="0"/>
          <w:cols w:space="720"/>
        </w:sectPr>
      </w:pPr>
    </w:p>
    <w:p w14:paraId="323D43D3" w14:textId="77777777" w:rsidR="00D67C1E" w:rsidRPr="00283806" w:rsidRDefault="001265CA">
      <w:pPr>
        <w:spacing w:before="12" w:line="232" w:lineRule="auto"/>
        <w:ind w:left="160" w:right="38" w:firstLine="139"/>
        <w:rPr>
          <w:sz w:val="14"/>
        </w:rPr>
      </w:pPr>
      <w:r w:rsidRPr="00283806">
        <w:rPr>
          <w:spacing w:val="-2"/>
          <w:w w:val="110"/>
          <w:position w:val="4"/>
          <w:sz w:val="9"/>
        </w:rPr>
        <w:t>5</w:t>
      </w:r>
      <w:r w:rsidRPr="00283806">
        <w:rPr>
          <w:spacing w:val="-4"/>
          <w:w w:val="110"/>
          <w:position w:val="4"/>
          <w:sz w:val="9"/>
        </w:rPr>
        <w:t xml:space="preserve"> </w:t>
      </w:r>
      <w:r w:rsidRPr="00283806">
        <w:rPr>
          <w:spacing w:val="-2"/>
          <w:w w:val="110"/>
          <w:sz w:val="14"/>
        </w:rPr>
        <w:t>This rule</w:t>
      </w:r>
      <w:r w:rsidRPr="00283806">
        <w:rPr>
          <w:spacing w:val="-3"/>
          <w:w w:val="110"/>
          <w:sz w:val="14"/>
        </w:rPr>
        <w:t xml:space="preserve"> </w:t>
      </w:r>
      <w:r w:rsidRPr="00283806">
        <w:rPr>
          <w:spacing w:val="-2"/>
          <w:w w:val="110"/>
          <w:sz w:val="14"/>
        </w:rPr>
        <w:t>established</w:t>
      </w:r>
      <w:r w:rsidRPr="00283806">
        <w:rPr>
          <w:spacing w:val="-3"/>
          <w:w w:val="110"/>
          <w:sz w:val="14"/>
        </w:rPr>
        <w:t xml:space="preserve"> </w:t>
      </w:r>
      <w:r w:rsidRPr="00283806">
        <w:rPr>
          <w:spacing w:val="-2"/>
          <w:w w:val="110"/>
          <w:sz w:val="14"/>
        </w:rPr>
        <w:t>the</w:t>
      </w:r>
      <w:r w:rsidRPr="00283806">
        <w:rPr>
          <w:spacing w:val="-3"/>
          <w:w w:val="110"/>
          <w:sz w:val="14"/>
        </w:rPr>
        <w:t xml:space="preserve"> </w:t>
      </w:r>
      <w:r w:rsidRPr="00283806">
        <w:rPr>
          <w:spacing w:val="-2"/>
          <w:w w:val="110"/>
          <w:sz w:val="14"/>
        </w:rPr>
        <w:t>methodology</w:t>
      </w:r>
      <w:r w:rsidRPr="00283806">
        <w:rPr>
          <w:spacing w:val="-3"/>
          <w:w w:val="110"/>
          <w:sz w:val="14"/>
        </w:rPr>
        <w:t xml:space="preserve"> </w:t>
      </w:r>
      <w:r w:rsidRPr="00283806">
        <w:rPr>
          <w:spacing w:val="-2"/>
          <w:w w:val="110"/>
          <w:sz w:val="14"/>
        </w:rPr>
        <w:t>for</w:t>
      </w:r>
      <w:r w:rsidRPr="00283806">
        <w:rPr>
          <w:spacing w:val="40"/>
          <w:w w:val="110"/>
          <w:sz w:val="14"/>
        </w:rPr>
        <w:t xml:space="preserve"> </w:t>
      </w:r>
      <w:r w:rsidRPr="00283806">
        <w:rPr>
          <w:w w:val="110"/>
          <w:sz w:val="14"/>
        </w:rPr>
        <w:t>allocating</w:t>
      </w:r>
      <w:r w:rsidRPr="00283806">
        <w:rPr>
          <w:spacing w:val="-3"/>
          <w:w w:val="110"/>
          <w:sz w:val="14"/>
        </w:rPr>
        <w:t xml:space="preserve"> </w:t>
      </w:r>
      <w:r w:rsidRPr="00283806">
        <w:rPr>
          <w:w w:val="110"/>
          <w:sz w:val="14"/>
        </w:rPr>
        <w:t>HFC</w:t>
      </w:r>
      <w:r w:rsidRPr="00283806">
        <w:rPr>
          <w:spacing w:val="-3"/>
          <w:w w:val="110"/>
          <w:sz w:val="14"/>
        </w:rPr>
        <w:t xml:space="preserve"> </w:t>
      </w:r>
      <w:r w:rsidRPr="00283806">
        <w:rPr>
          <w:w w:val="110"/>
          <w:sz w:val="14"/>
        </w:rPr>
        <w:t>production</w:t>
      </w:r>
      <w:r w:rsidRPr="00283806">
        <w:rPr>
          <w:spacing w:val="-2"/>
          <w:w w:val="110"/>
          <w:sz w:val="14"/>
        </w:rPr>
        <w:t xml:space="preserve"> </w:t>
      </w:r>
      <w:r w:rsidRPr="00283806">
        <w:rPr>
          <w:w w:val="110"/>
          <w:sz w:val="14"/>
        </w:rPr>
        <w:t>and</w:t>
      </w:r>
      <w:r w:rsidRPr="00283806">
        <w:rPr>
          <w:spacing w:val="-3"/>
          <w:w w:val="110"/>
          <w:sz w:val="14"/>
        </w:rPr>
        <w:t xml:space="preserve"> </w:t>
      </w:r>
      <w:r w:rsidRPr="00283806">
        <w:rPr>
          <w:spacing w:val="-2"/>
          <w:w w:val="110"/>
          <w:sz w:val="14"/>
        </w:rPr>
        <w:t>consumption</w:t>
      </w:r>
    </w:p>
    <w:p w14:paraId="735FC2E7" w14:textId="77777777" w:rsidR="00D67C1E" w:rsidRPr="00283806" w:rsidRDefault="001265CA">
      <w:pPr>
        <w:spacing w:before="5" w:line="232" w:lineRule="auto"/>
        <w:ind w:left="160" w:right="38"/>
        <w:rPr>
          <w:sz w:val="14"/>
        </w:rPr>
      </w:pPr>
      <w:r w:rsidRPr="00283806">
        <w:br w:type="column"/>
      </w:r>
      <w:r w:rsidRPr="00283806">
        <w:rPr>
          <w:w w:val="105"/>
          <w:sz w:val="14"/>
        </w:rPr>
        <w:t>Rule RIA Addendum. VM IO file</w:t>
      </w:r>
      <w:r w:rsidRPr="00283806">
        <w:rPr>
          <w:rFonts w:ascii="Symbol" w:hAnsi="Symbol"/>
          <w:w w:val="105"/>
          <w:sz w:val="14"/>
        </w:rPr>
        <w:t></w:t>
      </w:r>
      <w:r w:rsidRPr="00283806">
        <w:rPr>
          <w:w w:val="105"/>
          <w:sz w:val="14"/>
        </w:rPr>
        <w:t>v4.4</w:t>
      </w:r>
      <w:r w:rsidRPr="00283806">
        <w:rPr>
          <w:rFonts w:ascii="Symbol" w:hAnsi="Symbol"/>
          <w:w w:val="105"/>
          <w:sz w:val="14"/>
        </w:rPr>
        <w:t></w:t>
      </w:r>
      <w:r w:rsidRPr="00283806">
        <w:rPr>
          <w:w w:val="105"/>
          <w:sz w:val="14"/>
        </w:rPr>
        <w:t>02.04.16</w:t>
      </w:r>
      <w:r w:rsidRPr="00283806">
        <w:rPr>
          <w:rFonts w:ascii="Symbol" w:hAnsi="Symbol"/>
          <w:w w:val="105"/>
          <w:sz w:val="14"/>
        </w:rPr>
        <w:t></w:t>
      </w:r>
      <w:r w:rsidRPr="00283806">
        <w:rPr>
          <w:rFonts w:ascii="Times New Roman" w:hAnsi="Times New Roman"/>
          <w:spacing w:val="40"/>
          <w:w w:val="105"/>
          <w:sz w:val="14"/>
        </w:rPr>
        <w:t xml:space="preserve"> </w:t>
      </w:r>
      <w:r w:rsidRPr="00283806">
        <w:rPr>
          <w:w w:val="105"/>
          <w:sz w:val="14"/>
        </w:rPr>
        <w:t>Final TT Rule 2023 High Addition.</w:t>
      </w:r>
    </w:p>
    <w:p w14:paraId="3BC4FC2C" w14:textId="77777777" w:rsidR="00D67C1E" w:rsidRPr="00283806" w:rsidRDefault="001265CA">
      <w:pPr>
        <w:spacing w:before="12" w:line="232" w:lineRule="auto"/>
        <w:ind w:left="160" w:right="286" w:firstLine="139"/>
        <w:rPr>
          <w:sz w:val="14"/>
        </w:rPr>
      </w:pPr>
      <w:r w:rsidRPr="00283806">
        <w:br w:type="column"/>
      </w:r>
      <w:r w:rsidRPr="00283806">
        <w:rPr>
          <w:w w:val="105"/>
          <w:position w:val="4"/>
          <w:sz w:val="9"/>
        </w:rPr>
        <w:t xml:space="preserve">7 </w:t>
      </w:r>
      <w:r w:rsidRPr="00283806">
        <w:rPr>
          <w:w w:val="105"/>
          <w:sz w:val="14"/>
        </w:rPr>
        <w:t>Unless stated otherwise, costs and benefits in</w:t>
      </w:r>
      <w:r w:rsidRPr="00283806">
        <w:rPr>
          <w:spacing w:val="40"/>
          <w:w w:val="105"/>
          <w:sz w:val="14"/>
        </w:rPr>
        <w:t xml:space="preserve"> </w:t>
      </w:r>
      <w:r w:rsidRPr="00283806">
        <w:rPr>
          <w:w w:val="105"/>
          <w:sz w:val="14"/>
        </w:rPr>
        <w:t>this section are presented in 2022 dollars.</w:t>
      </w:r>
    </w:p>
    <w:p w14:paraId="0F0AFF53" w14:textId="77777777" w:rsidR="00D67C1E" w:rsidRPr="00283806" w:rsidRDefault="00D67C1E">
      <w:pPr>
        <w:spacing w:line="232" w:lineRule="auto"/>
        <w:rPr>
          <w:sz w:val="14"/>
        </w:rPr>
        <w:sectPr w:rsidR="00D67C1E" w:rsidRPr="00283806">
          <w:type w:val="continuous"/>
          <w:pgSz w:w="12240" w:h="15840"/>
          <w:pgMar w:top="880" w:right="780" w:bottom="280" w:left="740" w:header="627" w:footer="0" w:gutter="0"/>
          <w:cols w:num="3" w:space="720" w:equalWidth="0">
            <w:col w:w="3105" w:space="435"/>
            <w:col w:w="3334" w:space="206"/>
            <w:col w:w="3640"/>
          </w:cols>
        </w:sectPr>
      </w:pPr>
    </w:p>
    <w:p w14:paraId="33F1D6BD" w14:textId="77777777" w:rsidR="00D67C1E" w:rsidRPr="00283806" w:rsidRDefault="001265CA">
      <w:pPr>
        <w:pStyle w:val="BodyText"/>
        <w:spacing w:before="134" w:line="228" w:lineRule="auto"/>
        <w:ind w:left="159" w:right="66"/>
      </w:pPr>
      <w:proofErr w:type="gramStart"/>
      <w:r w:rsidRPr="00283806">
        <w:rPr>
          <w:w w:val="105"/>
        </w:rPr>
        <w:lastRenderedPageBreak/>
        <w:t>the</w:t>
      </w:r>
      <w:proofErr w:type="gramEnd"/>
      <w:r w:rsidRPr="00283806">
        <w:rPr>
          <w:w w:val="105"/>
        </w:rPr>
        <w:t xml:space="preserve"> most profitable course.</w:t>
      </w:r>
      <w:r w:rsidRPr="00283806">
        <w:rPr>
          <w:w w:val="105"/>
          <w:position w:val="5"/>
          <w:sz w:val="11"/>
        </w:rPr>
        <w:t>8</w:t>
      </w:r>
      <w:r w:rsidRPr="00283806">
        <w:rPr>
          <w:spacing w:val="40"/>
          <w:w w:val="105"/>
          <w:position w:val="5"/>
          <w:sz w:val="11"/>
        </w:rPr>
        <w:t xml:space="preserve"> </w:t>
      </w:r>
      <w:r w:rsidRPr="00283806">
        <w:rPr>
          <w:w w:val="105"/>
        </w:rPr>
        <w:t>For example, market failures may exist where there is imperfect information or split incentives, such as decision</w:t>
      </w:r>
      <w:proofErr w:type="gramStart"/>
      <w:r w:rsidRPr="00283806">
        <w:rPr>
          <w:w w:val="105"/>
        </w:rPr>
        <w:t>-</w:t>
      </w:r>
      <w:r w:rsidRPr="00283806">
        <w:rPr>
          <w:spacing w:val="40"/>
          <w:w w:val="105"/>
        </w:rPr>
        <w:t xml:space="preserve"> </w:t>
      </w:r>
      <w:r w:rsidRPr="00283806">
        <w:rPr>
          <w:w w:val="105"/>
        </w:rPr>
        <w:t>makers</w:t>
      </w:r>
      <w:proofErr w:type="gramEnd"/>
      <w:r w:rsidRPr="00283806">
        <w:rPr>
          <w:w w:val="105"/>
        </w:rPr>
        <w:t xml:space="preserve"> not knowing the percentage of energy</w:t>
      </w:r>
      <w:r w:rsidRPr="00283806">
        <w:rPr>
          <w:spacing w:val="-2"/>
          <w:w w:val="105"/>
        </w:rPr>
        <w:t xml:space="preserve"> </w:t>
      </w:r>
      <w:r w:rsidRPr="00283806">
        <w:rPr>
          <w:w w:val="105"/>
        </w:rPr>
        <w:t>use</w:t>
      </w:r>
      <w:r w:rsidRPr="00283806">
        <w:rPr>
          <w:spacing w:val="-2"/>
          <w:w w:val="105"/>
        </w:rPr>
        <w:t xml:space="preserve"> </w:t>
      </w:r>
      <w:r w:rsidRPr="00283806">
        <w:rPr>
          <w:w w:val="105"/>
        </w:rPr>
        <w:t>associated</w:t>
      </w:r>
      <w:r w:rsidRPr="00283806">
        <w:rPr>
          <w:spacing w:val="-2"/>
          <w:w w:val="105"/>
        </w:rPr>
        <w:t xml:space="preserve"> </w:t>
      </w:r>
      <w:r w:rsidRPr="00283806">
        <w:rPr>
          <w:w w:val="105"/>
        </w:rPr>
        <w:t>with</w:t>
      </w:r>
      <w:r w:rsidRPr="00283806">
        <w:rPr>
          <w:spacing w:val="-2"/>
          <w:w w:val="105"/>
        </w:rPr>
        <w:t xml:space="preserve"> </w:t>
      </w:r>
      <w:r w:rsidRPr="00283806">
        <w:rPr>
          <w:w w:val="105"/>
        </w:rPr>
        <w:t>refrigeration or the costs of replacing refrigerant lost from leaking appliances.</w:t>
      </w:r>
    </w:p>
    <w:p w14:paraId="5FC7E45A" w14:textId="77777777" w:rsidR="00D67C1E" w:rsidRPr="00283806" w:rsidRDefault="001265CA">
      <w:pPr>
        <w:pStyle w:val="BodyText"/>
        <w:spacing w:line="175" w:lineRule="exact"/>
        <w:ind w:left="339"/>
      </w:pPr>
      <w:r w:rsidRPr="00283806">
        <w:rPr>
          <w:w w:val="105"/>
        </w:rPr>
        <w:t>The</w:t>
      </w:r>
      <w:r w:rsidRPr="00283806">
        <w:rPr>
          <w:spacing w:val="14"/>
          <w:w w:val="105"/>
        </w:rPr>
        <w:t xml:space="preserve"> </w:t>
      </w:r>
      <w:r w:rsidRPr="00283806">
        <w:rPr>
          <w:w w:val="105"/>
        </w:rPr>
        <w:t>compliance</w:t>
      </w:r>
      <w:r w:rsidRPr="00283806">
        <w:rPr>
          <w:spacing w:val="15"/>
          <w:w w:val="105"/>
        </w:rPr>
        <w:t xml:space="preserve"> </w:t>
      </w:r>
      <w:r w:rsidRPr="00283806">
        <w:rPr>
          <w:w w:val="105"/>
        </w:rPr>
        <w:t>costs</w:t>
      </w:r>
      <w:r w:rsidRPr="00283806">
        <w:rPr>
          <w:spacing w:val="15"/>
          <w:w w:val="105"/>
        </w:rPr>
        <w:t xml:space="preserve"> </w:t>
      </w:r>
      <w:r w:rsidRPr="00283806">
        <w:rPr>
          <w:w w:val="105"/>
        </w:rPr>
        <w:t>of</w:t>
      </w:r>
      <w:r w:rsidRPr="00283806">
        <w:rPr>
          <w:spacing w:val="15"/>
          <w:w w:val="105"/>
        </w:rPr>
        <w:t xml:space="preserve"> </w:t>
      </w:r>
      <w:r w:rsidRPr="00283806">
        <w:rPr>
          <w:w w:val="105"/>
        </w:rPr>
        <w:t>the</w:t>
      </w:r>
      <w:r w:rsidRPr="00283806">
        <w:rPr>
          <w:spacing w:val="15"/>
          <w:w w:val="105"/>
        </w:rPr>
        <w:t xml:space="preserve"> </w:t>
      </w:r>
      <w:r w:rsidRPr="00283806">
        <w:rPr>
          <w:spacing w:val="-4"/>
          <w:w w:val="105"/>
        </w:rPr>
        <w:t>rule</w:t>
      </w:r>
    </w:p>
    <w:p w14:paraId="12904CC8" w14:textId="77777777" w:rsidR="00D67C1E" w:rsidRPr="00283806" w:rsidRDefault="001265CA">
      <w:pPr>
        <w:pStyle w:val="BodyText"/>
        <w:spacing w:before="3" w:line="228" w:lineRule="auto"/>
        <w:ind w:left="159"/>
      </w:pPr>
      <w:r w:rsidRPr="00283806">
        <w:rPr>
          <w:w w:val="105"/>
        </w:rPr>
        <w:t>include recordkeeping and reporting costs, the costs of purchasing and operating ALD systems, costs of</w:t>
      </w:r>
      <w:r w:rsidRPr="00283806">
        <w:rPr>
          <w:spacing w:val="80"/>
          <w:w w:val="150"/>
        </w:rPr>
        <w:t xml:space="preserve"> </w:t>
      </w:r>
      <w:r w:rsidRPr="00283806">
        <w:rPr>
          <w:w w:val="105"/>
        </w:rPr>
        <w:t>required inspections, the cost of</w:t>
      </w:r>
      <w:r w:rsidRPr="00283806">
        <w:rPr>
          <w:spacing w:val="40"/>
          <w:w w:val="105"/>
        </w:rPr>
        <w:t xml:space="preserve"> </w:t>
      </w:r>
      <w:r w:rsidRPr="00283806">
        <w:rPr>
          <w:w w:val="105"/>
        </w:rPr>
        <w:t>repairing leaks earlier than would have been necessary without the provisions, the costs associated with using</w:t>
      </w:r>
      <w:r w:rsidRPr="00283806">
        <w:rPr>
          <w:spacing w:val="80"/>
          <w:w w:val="105"/>
        </w:rPr>
        <w:t xml:space="preserve"> </w:t>
      </w:r>
      <w:r w:rsidRPr="00283806">
        <w:rPr>
          <w:w w:val="105"/>
        </w:rPr>
        <w:t>reclaimed HFCs in certain RACHP subsectors for the servicing of existing equipment (vis a vis virgin</w:t>
      </w:r>
      <w:r w:rsidRPr="00283806">
        <w:rPr>
          <w:spacing w:val="80"/>
          <w:w w:val="105"/>
        </w:rPr>
        <w:t xml:space="preserve"> </w:t>
      </w:r>
      <w:r w:rsidRPr="00283806">
        <w:rPr>
          <w:w w:val="105"/>
        </w:rPr>
        <w:t>manufactured HFCs), the costs</w:t>
      </w:r>
      <w:r w:rsidRPr="00283806">
        <w:rPr>
          <w:spacing w:val="80"/>
          <w:w w:val="105"/>
        </w:rPr>
        <w:t xml:space="preserve"> </w:t>
      </w:r>
      <w:r w:rsidRPr="00283806">
        <w:rPr>
          <w:w w:val="105"/>
        </w:rPr>
        <w:t>associated with minimizing releases of HFCs from fire suppression equipment (including using recycled HFCs in the initial and servicing and/or repair of fire suppression equipment), and the cost of disposable cylinder management requirements. In the years 2026 through 2050, these provisions would result in compliance costs (inclusive of</w:t>
      </w:r>
      <w:r w:rsidRPr="00283806">
        <w:rPr>
          <w:spacing w:val="80"/>
          <w:w w:val="105"/>
        </w:rPr>
        <w:t xml:space="preserve"> </w:t>
      </w:r>
      <w:r w:rsidRPr="00283806">
        <w:rPr>
          <w:w w:val="105"/>
        </w:rPr>
        <w:t>refrigerant savings) with a present value estimated at $1.5 billion (in 2022 dollars discounted to 2024) at a two percent discount rate, $1.3 billion at a three percent</w:t>
      </w:r>
      <w:r w:rsidRPr="00283806">
        <w:rPr>
          <w:spacing w:val="28"/>
          <w:w w:val="105"/>
        </w:rPr>
        <w:t xml:space="preserve"> </w:t>
      </w:r>
      <w:r w:rsidRPr="00283806">
        <w:rPr>
          <w:w w:val="105"/>
        </w:rPr>
        <w:t>discount</w:t>
      </w:r>
      <w:r w:rsidRPr="00283806">
        <w:rPr>
          <w:spacing w:val="30"/>
          <w:w w:val="105"/>
        </w:rPr>
        <w:t xml:space="preserve"> </w:t>
      </w:r>
      <w:r w:rsidRPr="00283806">
        <w:rPr>
          <w:w w:val="105"/>
        </w:rPr>
        <w:t>rate,</w:t>
      </w:r>
      <w:r w:rsidRPr="00283806">
        <w:rPr>
          <w:spacing w:val="30"/>
          <w:w w:val="105"/>
        </w:rPr>
        <w:t xml:space="preserve"> </w:t>
      </w:r>
      <w:r w:rsidRPr="00283806">
        <w:rPr>
          <w:w w:val="105"/>
        </w:rPr>
        <w:t>or</w:t>
      </w:r>
      <w:r w:rsidRPr="00283806">
        <w:rPr>
          <w:spacing w:val="30"/>
          <w:w w:val="105"/>
        </w:rPr>
        <w:t xml:space="preserve"> </w:t>
      </w:r>
      <w:r w:rsidRPr="00283806">
        <w:rPr>
          <w:w w:val="105"/>
        </w:rPr>
        <w:t>$0.9</w:t>
      </w:r>
      <w:r w:rsidRPr="00283806">
        <w:rPr>
          <w:spacing w:val="30"/>
          <w:w w:val="105"/>
        </w:rPr>
        <w:t xml:space="preserve"> </w:t>
      </w:r>
      <w:r w:rsidRPr="00283806">
        <w:rPr>
          <w:w w:val="105"/>
        </w:rPr>
        <w:t>billion</w:t>
      </w:r>
      <w:r w:rsidRPr="00283806">
        <w:rPr>
          <w:spacing w:val="30"/>
          <w:w w:val="105"/>
        </w:rPr>
        <w:t xml:space="preserve"> </w:t>
      </w:r>
      <w:r w:rsidRPr="00283806">
        <w:rPr>
          <w:w w:val="105"/>
        </w:rPr>
        <w:t>at a seven percent discount rate.</w:t>
      </w:r>
    </w:p>
    <w:p w14:paraId="44DE4057" w14:textId="77777777" w:rsidR="00D67C1E" w:rsidRPr="00283806" w:rsidRDefault="001265CA">
      <w:pPr>
        <w:pStyle w:val="BodyText"/>
        <w:spacing w:line="168" w:lineRule="exact"/>
        <w:ind w:left="339"/>
      </w:pPr>
      <w:proofErr w:type="gramStart"/>
      <w:r w:rsidRPr="00283806">
        <w:rPr>
          <w:w w:val="105"/>
        </w:rPr>
        <w:t>Taking</w:t>
      </w:r>
      <w:r w:rsidRPr="00283806">
        <w:rPr>
          <w:spacing w:val="12"/>
          <w:w w:val="105"/>
        </w:rPr>
        <w:t xml:space="preserve"> </w:t>
      </w:r>
      <w:r w:rsidRPr="00283806">
        <w:rPr>
          <w:w w:val="105"/>
        </w:rPr>
        <w:t>into</w:t>
      </w:r>
      <w:r w:rsidRPr="00283806">
        <w:rPr>
          <w:spacing w:val="12"/>
          <w:w w:val="105"/>
        </w:rPr>
        <w:t xml:space="preserve"> </w:t>
      </w:r>
      <w:r w:rsidRPr="00283806">
        <w:rPr>
          <w:w w:val="105"/>
        </w:rPr>
        <w:t>account</w:t>
      </w:r>
      <w:proofErr w:type="gramEnd"/>
      <w:r w:rsidRPr="00283806">
        <w:rPr>
          <w:spacing w:val="12"/>
          <w:w w:val="105"/>
        </w:rPr>
        <w:t xml:space="preserve"> </w:t>
      </w:r>
      <w:r w:rsidRPr="00283806">
        <w:rPr>
          <w:w w:val="105"/>
        </w:rPr>
        <w:t>both</w:t>
      </w:r>
      <w:r w:rsidRPr="00283806">
        <w:rPr>
          <w:spacing w:val="12"/>
          <w:w w:val="105"/>
        </w:rPr>
        <w:t xml:space="preserve"> </w:t>
      </w:r>
      <w:r w:rsidRPr="00283806">
        <w:rPr>
          <w:w w:val="105"/>
        </w:rPr>
        <w:t>benefits</w:t>
      </w:r>
      <w:r w:rsidRPr="00283806">
        <w:rPr>
          <w:spacing w:val="12"/>
          <w:w w:val="105"/>
        </w:rPr>
        <w:t xml:space="preserve"> </w:t>
      </w:r>
      <w:r w:rsidRPr="00283806">
        <w:rPr>
          <w:spacing w:val="-5"/>
          <w:w w:val="105"/>
        </w:rPr>
        <w:t>and</w:t>
      </w:r>
    </w:p>
    <w:p w14:paraId="1D571F7A" w14:textId="77777777" w:rsidR="00D67C1E" w:rsidRPr="00283806" w:rsidRDefault="001265CA">
      <w:pPr>
        <w:pStyle w:val="BodyText"/>
        <w:spacing w:before="3" w:line="228" w:lineRule="auto"/>
        <w:ind w:left="159"/>
      </w:pPr>
      <w:r w:rsidRPr="00283806">
        <w:rPr>
          <w:w w:val="105"/>
        </w:rPr>
        <w:t xml:space="preserve">compliance costs over the 2026 through 2050 </w:t>
      </w:r>
      <w:proofErr w:type="gramStart"/>
      <w:r w:rsidRPr="00283806">
        <w:rPr>
          <w:w w:val="105"/>
        </w:rPr>
        <w:t>time period</w:t>
      </w:r>
      <w:proofErr w:type="gramEnd"/>
      <w:r w:rsidRPr="00283806">
        <w:rPr>
          <w:w w:val="105"/>
        </w:rPr>
        <w:t>, it is estimated that the rule results in present value net benefit (climate benefits, as monetized by application of SC-HFCs, discounted at</w:t>
      </w:r>
    </w:p>
    <w:p w14:paraId="325F44F1" w14:textId="77777777" w:rsidR="00D67C1E" w:rsidRPr="00283806" w:rsidRDefault="001265CA">
      <w:pPr>
        <w:pStyle w:val="BodyText"/>
        <w:spacing w:before="133" w:line="228" w:lineRule="auto"/>
        <w:ind w:left="154" w:right="125"/>
      </w:pPr>
      <w:r w:rsidRPr="00283806">
        <w:br w:type="column"/>
      </w:r>
      <w:r w:rsidRPr="00283806">
        <w:rPr>
          <w:w w:val="105"/>
        </w:rPr>
        <w:t>three percent, minus compliance costs) of $6.9 billion (with compliance costs discounted at two percent) to $7.5 billion (with compliance costs discounted at seven percent).</w:t>
      </w:r>
    </w:p>
    <w:p w14:paraId="0BE49F2E" w14:textId="77777777" w:rsidR="00D67C1E" w:rsidRPr="00283806" w:rsidRDefault="001265CA">
      <w:pPr>
        <w:pStyle w:val="BodyText"/>
        <w:spacing w:line="176" w:lineRule="exact"/>
        <w:ind w:left="334"/>
      </w:pPr>
      <w:r w:rsidRPr="00283806">
        <w:rPr>
          <w:w w:val="110"/>
        </w:rPr>
        <w:t>As</w:t>
      </w:r>
      <w:r w:rsidRPr="00283806">
        <w:rPr>
          <w:spacing w:val="-1"/>
          <w:w w:val="110"/>
        </w:rPr>
        <w:t xml:space="preserve"> </w:t>
      </w:r>
      <w:r w:rsidRPr="00283806">
        <w:rPr>
          <w:w w:val="110"/>
        </w:rPr>
        <w:t>detailed</w:t>
      </w:r>
      <w:r w:rsidRPr="00283806">
        <w:rPr>
          <w:spacing w:val="-1"/>
          <w:w w:val="110"/>
        </w:rPr>
        <w:t xml:space="preserve"> </w:t>
      </w:r>
      <w:r w:rsidRPr="00283806">
        <w:rPr>
          <w:w w:val="110"/>
        </w:rPr>
        <w:t>in</w:t>
      </w:r>
      <w:r w:rsidRPr="00283806">
        <w:rPr>
          <w:spacing w:val="-1"/>
          <w:w w:val="110"/>
        </w:rPr>
        <w:t xml:space="preserve"> </w:t>
      </w:r>
      <w:r w:rsidRPr="00283806">
        <w:rPr>
          <w:w w:val="110"/>
        </w:rPr>
        <w:t>the</w:t>
      </w:r>
      <w:r w:rsidRPr="00283806">
        <w:rPr>
          <w:spacing w:val="-1"/>
          <w:w w:val="110"/>
        </w:rPr>
        <w:t xml:space="preserve"> </w:t>
      </w:r>
      <w:r w:rsidRPr="00283806">
        <w:rPr>
          <w:w w:val="110"/>
        </w:rPr>
        <w:t>RIA</w:t>
      </w:r>
      <w:r w:rsidRPr="00283806">
        <w:rPr>
          <w:spacing w:val="-1"/>
          <w:w w:val="110"/>
        </w:rPr>
        <w:t xml:space="preserve"> </w:t>
      </w:r>
      <w:r w:rsidRPr="00283806">
        <w:rPr>
          <w:w w:val="110"/>
        </w:rPr>
        <w:t>addendum</w:t>
      </w:r>
      <w:r w:rsidRPr="00283806">
        <w:rPr>
          <w:spacing w:val="-1"/>
          <w:w w:val="110"/>
        </w:rPr>
        <w:t xml:space="preserve"> </w:t>
      </w:r>
      <w:r w:rsidRPr="00283806">
        <w:rPr>
          <w:spacing w:val="-5"/>
          <w:w w:val="110"/>
        </w:rPr>
        <w:t>and</w:t>
      </w:r>
    </w:p>
    <w:p w14:paraId="5CBB6214" w14:textId="77777777" w:rsidR="00D67C1E" w:rsidRPr="00283806" w:rsidRDefault="001265CA">
      <w:pPr>
        <w:pStyle w:val="BodyText"/>
        <w:spacing w:before="3" w:line="228" w:lineRule="auto"/>
        <w:ind w:left="154" w:right="49"/>
      </w:pPr>
      <w:r w:rsidRPr="00283806">
        <w:rPr>
          <w:w w:val="105"/>
        </w:rPr>
        <w:t>the Economic Impact and Benefits TSD, these values represent an estimate of potential incremental benefits and assume</w:t>
      </w:r>
      <w:r w:rsidRPr="00283806">
        <w:rPr>
          <w:spacing w:val="40"/>
          <w:w w:val="105"/>
        </w:rPr>
        <w:t xml:space="preserve"> </w:t>
      </w:r>
      <w:r w:rsidRPr="00283806">
        <w:rPr>
          <w:w w:val="105"/>
        </w:rPr>
        <w:t>that</w:t>
      </w:r>
      <w:r w:rsidRPr="00283806">
        <w:rPr>
          <w:spacing w:val="40"/>
          <w:w w:val="105"/>
        </w:rPr>
        <w:t xml:space="preserve"> </w:t>
      </w:r>
      <w:r w:rsidRPr="00283806">
        <w:rPr>
          <w:w w:val="105"/>
        </w:rPr>
        <w:t>industry</w:t>
      </w:r>
      <w:r w:rsidRPr="00283806">
        <w:rPr>
          <w:spacing w:val="40"/>
          <w:w w:val="105"/>
        </w:rPr>
        <w:t xml:space="preserve"> </w:t>
      </w:r>
      <w:r w:rsidRPr="00283806">
        <w:rPr>
          <w:w w:val="105"/>
        </w:rPr>
        <w:t>would</w:t>
      </w:r>
      <w:r w:rsidRPr="00283806">
        <w:rPr>
          <w:spacing w:val="40"/>
          <w:w w:val="105"/>
        </w:rPr>
        <w:t xml:space="preserve"> </w:t>
      </w:r>
      <w:r w:rsidRPr="00283806">
        <w:rPr>
          <w:w w:val="105"/>
        </w:rPr>
        <w:t xml:space="preserve">comply with previous AIM Act regulations as outlined in the 2023 Technology Transitions RIA Addendum </w:t>
      </w:r>
      <w:r w:rsidRPr="00283806">
        <w:rPr>
          <w:w w:val="105"/>
          <w:position w:val="5"/>
          <w:sz w:val="11"/>
        </w:rPr>
        <w:t>9</w:t>
      </w:r>
      <w:r w:rsidRPr="00283806">
        <w:rPr>
          <w:spacing w:val="40"/>
          <w:w w:val="105"/>
          <w:position w:val="5"/>
          <w:sz w:val="11"/>
        </w:rPr>
        <w:t xml:space="preserve"> </w:t>
      </w:r>
      <w:r w:rsidRPr="00283806">
        <w:rPr>
          <w:w w:val="105"/>
        </w:rPr>
        <w:t>but would not undertake certain improvements to leak repair and refrigerant recovery practices in the absence of this rulemaking that were not required by those regulations. Since these assumptions are ultimately uncertain, in the RIA addendum and the Economic Impact and Benefits TSD, EPA has also provided estimates under an additional scenario in which leak repair and recovery improvements do occur in the baseline, thus resulting in lower incremental benefits. The assumptions</w:t>
      </w:r>
      <w:r w:rsidRPr="00283806">
        <w:rPr>
          <w:spacing w:val="80"/>
          <w:w w:val="105"/>
        </w:rPr>
        <w:t xml:space="preserve"> </w:t>
      </w:r>
      <w:r w:rsidRPr="00283806">
        <w:rPr>
          <w:w w:val="105"/>
        </w:rPr>
        <w:t>in this alternative scenario translate into reduced estimates of the incremental effect of the provisions of this final rule since additional impacts are only quantified insofar as they go beyond baseline assumptions of existing policy and industry practice.</w:t>
      </w:r>
    </w:p>
    <w:p w14:paraId="1BAE8637" w14:textId="77777777" w:rsidR="00D67C1E" w:rsidRPr="00283806" w:rsidRDefault="001265CA">
      <w:pPr>
        <w:pStyle w:val="BodyText"/>
        <w:spacing w:line="169" w:lineRule="exact"/>
        <w:ind w:left="334"/>
      </w:pPr>
      <w:r w:rsidRPr="00283806">
        <w:rPr>
          <w:w w:val="105"/>
        </w:rPr>
        <w:t>Some</w:t>
      </w:r>
      <w:r w:rsidRPr="00283806">
        <w:rPr>
          <w:spacing w:val="12"/>
          <w:w w:val="105"/>
        </w:rPr>
        <w:t xml:space="preserve"> </w:t>
      </w:r>
      <w:r w:rsidRPr="00283806">
        <w:rPr>
          <w:w w:val="105"/>
        </w:rPr>
        <w:t>of</w:t>
      </w:r>
      <w:r w:rsidRPr="00283806">
        <w:rPr>
          <w:spacing w:val="12"/>
          <w:w w:val="105"/>
        </w:rPr>
        <w:t xml:space="preserve"> </w:t>
      </w:r>
      <w:r w:rsidRPr="00283806">
        <w:rPr>
          <w:w w:val="105"/>
        </w:rPr>
        <w:t>the</w:t>
      </w:r>
      <w:r w:rsidRPr="00283806">
        <w:rPr>
          <w:spacing w:val="12"/>
          <w:w w:val="105"/>
        </w:rPr>
        <w:t xml:space="preserve"> </w:t>
      </w:r>
      <w:r w:rsidRPr="00283806">
        <w:rPr>
          <w:w w:val="105"/>
        </w:rPr>
        <w:t>information</w:t>
      </w:r>
      <w:r w:rsidRPr="00283806">
        <w:rPr>
          <w:spacing w:val="12"/>
          <w:w w:val="105"/>
        </w:rPr>
        <w:t xml:space="preserve"> </w:t>
      </w:r>
      <w:r w:rsidRPr="00283806">
        <w:rPr>
          <w:spacing w:val="-2"/>
          <w:w w:val="105"/>
        </w:rPr>
        <w:t>regarding</w:t>
      </w:r>
    </w:p>
    <w:p w14:paraId="115FA381" w14:textId="77777777" w:rsidR="00D67C1E" w:rsidRPr="00283806" w:rsidRDefault="001265CA">
      <w:pPr>
        <w:pStyle w:val="BodyText"/>
        <w:spacing w:before="3" w:line="228" w:lineRule="auto"/>
        <w:ind w:left="154" w:right="71"/>
      </w:pPr>
      <w:r w:rsidRPr="00283806">
        <w:rPr>
          <w:w w:val="105"/>
        </w:rPr>
        <w:t xml:space="preserve">projected impacts of certain aspects of the action </w:t>
      </w:r>
      <w:proofErr w:type="gramStart"/>
      <w:r w:rsidRPr="00283806">
        <w:rPr>
          <w:w w:val="105"/>
        </w:rPr>
        <w:t>was</w:t>
      </w:r>
      <w:proofErr w:type="gramEnd"/>
      <w:r w:rsidRPr="00283806">
        <w:rPr>
          <w:w w:val="105"/>
        </w:rPr>
        <w:t xml:space="preserve"> considered by EPA as it finalized this rulemaking. To the extent that EPA has considered such information, it is compiled in the Economic Impact and Benefits TSD, which is in the docket for this</w:t>
      </w:r>
    </w:p>
    <w:p w14:paraId="1D105632" w14:textId="77777777" w:rsidR="00D67C1E" w:rsidRPr="00283806" w:rsidRDefault="001265CA">
      <w:pPr>
        <w:pStyle w:val="BodyText"/>
        <w:spacing w:before="134" w:line="228" w:lineRule="auto"/>
        <w:ind w:left="153" w:right="132"/>
      </w:pPr>
      <w:r w:rsidRPr="00283806">
        <w:br w:type="column"/>
      </w:r>
      <w:r w:rsidRPr="00283806">
        <w:rPr>
          <w:w w:val="105"/>
        </w:rPr>
        <w:t>rulemaking. While EPA has included estimates of the costs and benefits of</w:t>
      </w:r>
      <w:r w:rsidRPr="00283806">
        <w:rPr>
          <w:spacing w:val="80"/>
          <w:w w:val="150"/>
        </w:rPr>
        <w:t xml:space="preserve"> </w:t>
      </w:r>
      <w:r w:rsidRPr="00283806">
        <w:rPr>
          <w:w w:val="105"/>
        </w:rPr>
        <w:t>this rulemaking in the RIA addendum to provide the public with information on the relevant costs and benefits of this action and to comply with Executive Orders, the analysis in the RIA</w:t>
      </w:r>
      <w:r w:rsidRPr="00283806">
        <w:rPr>
          <w:spacing w:val="80"/>
          <w:w w:val="105"/>
        </w:rPr>
        <w:t xml:space="preserve"> </w:t>
      </w:r>
      <w:r w:rsidRPr="00283806">
        <w:rPr>
          <w:w w:val="105"/>
        </w:rPr>
        <w:t>addendum does not form a basis or rationale</w:t>
      </w:r>
      <w:r w:rsidRPr="00283806">
        <w:rPr>
          <w:spacing w:val="33"/>
          <w:w w:val="105"/>
        </w:rPr>
        <w:t xml:space="preserve"> </w:t>
      </w:r>
      <w:r w:rsidRPr="00283806">
        <w:rPr>
          <w:w w:val="105"/>
        </w:rPr>
        <w:t>for</w:t>
      </w:r>
      <w:r w:rsidRPr="00283806">
        <w:rPr>
          <w:spacing w:val="33"/>
          <w:w w:val="105"/>
        </w:rPr>
        <w:t xml:space="preserve"> </w:t>
      </w:r>
      <w:r w:rsidRPr="00283806">
        <w:rPr>
          <w:w w:val="105"/>
        </w:rPr>
        <w:t>any</w:t>
      </w:r>
      <w:r w:rsidRPr="00283806">
        <w:rPr>
          <w:spacing w:val="33"/>
          <w:w w:val="105"/>
        </w:rPr>
        <w:t xml:space="preserve"> </w:t>
      </w:r>
      <w:r w:rsidRPr="00283806">
        <w:rPr>
          <w:w w:val="105"/>
        </w:rPr>
        <w:t>of</w:t>
      </w:r>
      <w:r w:rsidRPr="00283806">
        <w:rPr>
          <w:spacing w:val="33"/>
          <w:w w:val="105"/>
        </w:rPr>
        <w:t xml:space="preserve"> </w:t>
      </w:r>
      <w:r w:rsidRPr="00283806">
        <w:rPr>
          <w:w w:val="105"/>
        </w:rPr>
        <w:t>the</w:t>
      </w:r>
      <w:r w:rsidRPr="00283806">
        <w:rPr>
          <w:spacing w:val="33"/>
          <w:w w:val="105"/>
        </w:rPr>
        <w:t xml:space="preserve"> </w:t>
      </w:r>
      <w:r w:rsidRPr="00283806">
        <w:rPr>
          <w:w w:val="105"/>
        </w:rPr>
        <w:t>provisions</w:t>
      </w:r>
      <w:r w:rsidRPr="00283806">
        <w:rPr>
          <w:spacing w:val="33"/>
          <w:w w:val="105"/>
        </w:rPr>
        <w:t xml:space="preserve"> </w:t>
      </w:r>
      <w:r w:rsidRPr="00283806">
        <w:rPr>
          <w:w w:val="105"/>
        </w:rPr>
        <w:t>EPA is promulgating in this rulemaking.</w:t>
      </w:r>
    </w:p>
    <w:p w14:paraId="16C776D6" w14:textId="77777777" w:rsidR="00D67C1E" w:rsidRPr="00283806" w:rsidRDefault="001265CA">
      <w:pPr>
        <w:pStyle w:val="BodyText"/>
        <w:spacing w:before="39" w:line="228" w:lineRule="auto"/>
        <w:ind w:left="153" w:right="233" w:firstLine="180"/>
      </w:pPr>
      <w:r w:rsidRPr="00283806">
        <w:rPr>
          <w:w w:val="105"/>
        </w:rPr>
        <w:t>Further, as explained previously in this section, although EPA is using the SC-HFCs for purposes of some of the analysis in the RIA addendum, this action does not rely on those SC-HFC estimates as a record basis for the Agency’s action. EPA would reach the conclusions in this rule even in the absence of the SC-HFCs. Additional information on these analyses can be found in section VI of this preamble, as well as the RIA addendum, which is in the docket for this rulemaking.</w:t>
      </w:r>
    </w:p>
    <w:p w14:paraId="7D26ABD5" w14:textId="77777777" w:rsidR="00D67C1E" w:rsidRPr="00283806" w:rsidRDefault="001265CA">
      <w:pPr>
        <w:pStyle w:val="Heading3"/>
        <w:numPr>
          <w:ilvl w:val="0"/>
          <w:numId w:val="64"/>
        </w:numPr>
        <w:tabs>
          <w:tab w:val="left" w:pos="392"/>
        </w:tabs>
        <w:spacing w:before="87"/>
        <w:ind w:left="392" w:hanging="239"/>
        <w:rPr>
          <w:rFonts w:ascii="Book Antiqua"/>
        </w:rPr>
      </w:pPr>
      <w:r w:rsidRPr="00283806">
        <w:rPr>
          <w:rFonts w:ascii="Book Antiqua"/>
        </w:rPr>
        <w:t>General</w:t>
      </w:r>
      <w:r w:rsidRPr="00283806">
        <w:rPr>
          <w:rFonts w:ascii="Book Antiqua"/>
          <w:spacing w:val="10"/>
        </w:rPr>
        <w:t xml:space="preserve"> </w:t>
      </w:r>
      <w:r w:rsidRPr="00283806">
        <w:rPr>
          <w:rFonts w:ascii="Book Antiqua"/>
          <w:spacing w:val="-2"/>
        </w:rPr>
        <w:t>information</w:t>
      </w:r>
    </w:p>
    <w:p w14:paraId="4F9AFE24" w14:textId="77777777" w:rsidR="00D67C1E" w:rsidRPr="00283806" w:rsidRDefault="001265CA">
      <w:pPr>
        <w:pStyle w:val="ListParagraph"/>
        <w:numPr>
          <w:ilvl w:val="1"/>
          <w:numId w:val="64"/>
        </w:numPr>
        <w:tabs>
          <w:tab w:val="left" w:pos="388"/>
        </w:tabs>
        <w:spacing w:before="85"/>
        <w:ind w:left="388" w:hanging="235"/>
        <w:rPr>
          <w:rFonts w:ascii="Book Antiqua"/>
          <w:i/>
          <w:sz w:val="18"/>
        </w:rPr>
      </w:pPr>
      <w:r w:rsidRPr="00283806">
        <w:rPr>
          <w:rFonts w:ascii="Book Antiqua"/>
          <w:i/>
          <w:w w:val="110"/>
          <w:sz w:val="18"/>
        </w:rPr>
        <w:t>Do</w:t>
      </w:r>
      <w:r w:rsidRPr="00283806">
        <w:rPr>
          <w:rFonts w:ascii="Book Antiqua"/>
          <w:i/>
          <w:spacing w:val="13"/>
          <w:w w:val="110"/>
          <w:sz w:val="18"/>
        </w:rPr>
        <w:t xml:space="preserve"> </w:t>
      </w:r>
      <w:r w:rsidRPr="00283806">
        <w:rPr>
          <w:rFonts w:ascii="Book Antiqua"/>
          <w:i/>
          <w:w w:val="110"/>
          <w:sz w:val="18"/>
        </w:rPr>
        <w:t>these</w:t>
      </w:r>
      <w:r w:rsidRPr="00283806">
        <w:rPr>
          <w:rFonts w:ascii="Book Antiqua"/>
          <w:i/>
          <w:spacing w:val="13"/>
          <w:w w:val="110"/>
          <w:sz w:val="18"/>
        </w:rPr>
        <w:t xml:space="preserve"> </w:t>
      </w:r>
      <w:r w:rsidRPr="00283806">
        <w:rPr>
          <w:rFonts w:ascii="Book Antiqua"/>
          <w:i/>
          <w:w w:val="110"/>
          <w:sz w:val="18"/>
        </w:rPr>
        <w:t>regulations</w:t>
      </w:r>
      <w:r w:rsidRPr="00283806">
        <w:rPr>
          <w:rFonts w:ascii="Book Antiqua"/>
          <w:i/>
          <w:spacing w:val="14"/>
          <w:w w:val="110"/>
          <w:sz w:val="18"/>
        </w:rPr>
        <w:t xml:space="preserve"> </w:t>
      </w:r>
      <w:r w:rsidRPr="00283806">
        <w:rPr>
          <w:rFonts w:ascii="Book Antiqua"/>
          <w:i/>
          <w:w w:val="110"/>
          <w:sz w:val="18"/>
        </w:rPr>
        <w:t>apply</w:t>
      </w:r>
      <w:r w:rsidRPr="00283806">
        <w:rPr>
          <w:rFonts w:ascii="Book Antiqua"/>
          <w:i/>
          <w:spacing w:val="13"/>
          <w:w w:val="110"/>
          <w:sz w:val="18"/>
        </w:rPr>
        <w:t xml:space="preserve"> </w:t>
      </w:r>
      <w:r w:rsidRPr="00283806">
        <w:rPr>
          <w:rFonts w:ascii="Book Antiqua"/>
          <w:i/>
          <w:w w:val="110"/>
          <w:sz w:val="18"/>
        </w:rPr>
        <w:t>to</w:t>
      </w:r>
      <w:r w:rsidRPr="00283806">
        <w:rPr>
          <w:rFonts w:ascii="Book Antiqua"/>
          <w:i/>
          <w:spacing w:val="13"/>
          <w:w w:val="110"/>
          <w:sz w:val="18"/>
        </w:rPr>
        <w:t xml:space="preserve"> </w:t>
      </w:r>
      <w:r w:rsidRPr="00283806">
        <w:rPr>
          <w:rFonts w:ascii="Book Antiqua"/>
          <w:i/>
          <w:spacing w:val="-5"/>
          <w:w w:val="110"/>
          <w:sz w:val="18"/>
        </w:rPr>
        <w:t>me?</w:t>
      </w:r>
    </w:p>
    <w:p w14:paraId="08149D59" w14:textId="77777777" w:rsidR="00D67C1E" w:rsidRPr="00283806" w:rsidRDefault="001265CA">
      <w:pPr>
        <w:pStyle w:val="BodyText"/>
        <w:spacing w:before="109" w:line="228" w:lineRule="auto"/>
        <w:ind w:left="153" w:right="250" w:firstLine="180"/>
      </w:pPr>
      <w:r w:rsidRPr="00283806">
        <w:rPr>
          <w:w w:val="105"/>
        </w:rPr>
        <w:t>You may be potentially affected by</w:t>
      </w:r>
      <w:r w:rsidRPr="00283806">
        <w:rPr>
          <w:spacing w:val="80"/>
          <w:w w:val="150"/>
        </w:rPr>
        <w:t xml:space="preserve"> </w:t>
      </w:r>
      <w:r w:rsidRPr="00283806">
        <w:rPr>
          <w:w w:val="105"/>
        </w:rPr>
        <w:t>the regulations established in this final rule if you own, operate, service, repair, recycle, dispose, or install equipment containing HFCs or their substitutes, as well as if you recover, recycle, or</w:t>
      </w:r>
      <w:r w:rsidRPr="00283806">
        <w:rPr>
          <w:spacing w:val="80"/>
          <w:w w:val="105"/>
        </w:rPr>
        <w:t xml:space="preserve"> </w:t>
      </w:r>
      <w:r w:rsidRPr="00283806">
        <w:rPr>
          <w:w w:val="105"/>
        </w:rPr>
        <w:t>reclaim HFCs or their substitutes. You may also be potentially affected if you manufacture or sell equipment containing HFCs or their substitutes.</w:t>
      </w:r>
    </w:p>
    <w:p w14:paraId="19E512E3" w14:textId="77777777" w:rsidR="00D67C1E" w:rsidRPr="00283806" w:rsidRDefault="001265CA">
      <w:pPr>
        <w:pStyle w:val="BodyText"/>
        <w:spacing w:line="228" w:lineRule="auto"/>
        <w:ind w:left="153" w:right="122"/>
      </w:pPr>
      <w:r w:rsidRPr="00283806">
        <w:t>Potentially affected categories, by North</w:t>
      </w:r>
      <w:r w:rsidRPr="00283806">
        <w:rPr>
          <w:spacing w:val="40"/>
          <w:w w:val="110"/>
        </w:rPr>
        <w:t xml:space="preserve"> </w:t>
      </w:r>
      <w:r w:rsidRPr="00283806">
        <w:rPr>
          <w:w w:val="110"/>
        </w:rPr>
        <w:t>American Industrial Classification System (NAICS) code, are included in Table 1.</w:t>
      </w:r>
    </w:p>
    <w:p w14:paraId="041240BF"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06" w:space="40"/>
            <w:col w:w="3501" w:space="39"/>
            <w:col w:w="3634"/>
          </w:cols>
        </w:sectPr>
      </w:pPr>
    </w:p>
    <w:p w14:paraId="4B4A8E4B" w14:textId="77777777" w:rsidR="00D67C1E" w:rsidRPr="00283806" w:rsidRDefault="001265CA">
      <w:pPr>
        <w:pStyle w:val="Heading1"/>
        <w:spacing w:before="130"/>
        <w:ind w:left="78" w:right="40"/>
        <w:jc w:val="center"/>
      </w:pPr>
      <w:r w:rsidRPr="00283806">
        <w:rPr>
          <w:smallCaps/>
        </w:rPr>
        <w:t>Table</w:t>
      </w:r>
      <w:r w:rsidRPr="00283806">
        <w:rPr>
          <w:smallCaps/>
          <w:spacing w:val="17"/>
        </w:rPr>
        <w:t xml:space="preserve"> </w:t>
      </w:r>
      <w:r w:rsidRPr="00283806">
        <w:rPr>
          <w:smallCaps/>
        </w:rPr>
        <w:t>1—NAICS</w:t>
      </w:r>
      <w:r w:rsidRPr="00283806">
        <w:rPr>
          <w:smallCaps/>
          <w:spacing w:val="8"/>
        </w:rPr>
        <w:t xml:space="preserve"> </w:t>
      </w:r>
      <w:r w:rsidRPr="00283806">
        <w:rPr>
          <w:smallCaps/>
        </w:rPr>
        <w:t>Classification</w:t>
      </w:r>
      <w:r w:rsidRPr="00283806">
        <w:rPr>
          <w:smallCaps/>
          <w:spacing w:val="18"/>
        </w:rPr>
        <w:t xml:space="preserve"> </w:t>
      </w:r>
      <w:r w:rsidRPr="00283806">
        <w:rPr>
          <w:smallCaps/>
        </w:rPr>
        <w:t>of</w:t>
      </w:r>
      <w:r w:rsidRPr="00283806">
        <w:rPr>
          <w:smallCaps/>
          <w:spacing w:val="18"/>
        </w:rPr>
        <w:t xml:space="preserve"> </w:t>
      </w:r>
      <w:r w:rsidRPr="00283806">
        <w:rPr>
          <w:smallCaps/>
        </w:rPr>
        <w:t>Potentially</w:t>
      </w:r>
      <w:r w:rsidRPr="00283806">
        <w:rPr>
          <w:smallCaps/>
          <w:spacing w:val="19"/>
        </w:rPr>
        <w:t xml:space="preserve"> </w:t>
      </w:r>
      <w:r w:rsidRPr="00283806">
        <w:rPr>
          <w:smallCaps/>
        </w:rPr>
        <w:t>Affected</w:t>
      </w:r>
      <w:r w:rsidRPr="00283806">
        <w:rPr>
          <w:smallCaps/>
          <w:spacing w:val="18"/>
        </w:rPr>
        <w:t xml:space="preserve"> </w:t>
      </w:r>
      <w:r w:rsidRPr="00283806">
        <w:rPr>
          <w:smallCaps/>
          <w:spacing w:val="-2"/>
        </w:rPr>
        <w:t>Entities</w:t>
      </w:r>
    </w:p>
    <w:p w14:paraId="0641A1DA" w14:textId="77777777" w:rsidR="00D67C1E" w:rsidRPr="00283806" w:rsidRDefault="00D67C1E">
      <w:pPr>
        <w:pStyle w:val="BodyText"/>
        <w:spacing w:after="1"/>
        <w:ind w:left="0"/>
        <w:rPr>
          <w:rFonts w:ascii="Arial"/>
          <w:sz w:val="11"/>
        </w:rPr>
      </w:pPr>
    </w:p>
    <w:tbl>
      <w:tblPr>
        <w:tblW w:w="0" w:type="auto"/>
        <w:tblInd w:w="167" w:type="dxa"/>
        <w:tblLayout w:type="fixed"/>
        <w:tblCellMar>
          <w:left w:w="0" w:type="dxa"/>
          <w:right w:w="0" w:type="dxa"/>
        </w:tblCellMar>
        <w:tblLook w:val="01E0" w:firstRow="1" w:lastRow="1" w:firstColumn="1" w:lastColumn="1" w:noHBand="0" w:noVBand="0"/>
      </w:tblPr>
      <w:tblGrid>
        <w:gridCol w:w="1307"/>
        <w:gridCol w:w="9133"/>
      </w:tblGrid>
      <w:tr w:rsidR="00D67C1E" w:rsidRPr="00283806" w14:paraId="0719CE9E" w14:textId="77777777">
        <w:trPr>
          <w:trHeight w:val="317"/>
        </w:trPr>
        <w:tc>
          <w:tcPr>
            <w:tcW w:w="1307" w:type="dxa"/>
            <w:tcBorders>
              <w:top w:val="single" w:sz="4" w:space="0" w:color="000000"/>
              <w:bottom w:val="single" w:sz="4" w:space="0" w:color="000000"/>
              <w:right w:val="single" w:sz="4" w:space="0" w:color="000000"/>
            </w:tcBorders>
          </w:tcPr>
          <w:p w14:paraId="1EEACA11" w14:textId="77777777" w:rsidR="00D67C1E" w:rsidRPr="00283806" w:rsidRDefault="001265CA">
            <w:pPr>
              <w:pStyle w:val="TableParagraph"/>
              <w:spacing w:before="57" w:line="240" w:lineRule="auto"/>
              <w:ind w:right="76"/>
              <w:rPr>
                <w:sz w:val="16"/>
              </w:rPr>
            </w:pPr>
            <w:r w:rsidRPr="00283806">
              <w:rPr>
                <w:sz w:val="16"/>
              </w:rPr>
              <w:t>NAICS</w:t>
            </w:r>
            <w:r w:rsidRPr="00283806">
              <w:rPr>
                <w:spacing w:val="2"/>
                <w:sz w:val="16"/>
              </w:rPr>
              <w:t xml:space="preserve"> </w:t>
            </w:r>
            <w:r w:rsidRPr="00283806">
              <w:rPr>
                <w:spacing w:val="-4"/>
                <w:sz w:val="16"/>
              </w:rPr>
              <w:t>Code</w:t>
            </w:r>
          </w:p>
        </w:tc>
        <w:tc>
          <w:tcPr>
            <w:tcW w:w="9133" w:type="dxa"/>
            <w:tcBorders>
              <w:top w:val="single" w:sz="4" w:space="0" w:color="000000"/>
              <w:left w:val="single" w:sz="4" w:space="0" w:color="000000"/>
              <w:bottom w:val="single" w:sz="4" w:space="0" w:color="000000"/>
            </w:tcBorders>
          </w:tcPr>
          <w:p w14:paraId="3056A58D" w14:textId="77777777" w:rsidR="00D67C1E" w:rsidRPr="00283806" w:rsidRDefault="001265CA">
            <w:pPr>
              <w:pStyle w:val="TableParagraph"/>
              <w:spacing w:before="57" w:line="240" w:lineRule="auto"/>
              <w:ind w:left="78"/>
              <w:rPr>
                <w:sz w:val="16"/>
              </w:rPr>
            </w:pPr>
            <w:r w:rsidRPr="00283806">
              <w:rPr>
                <w:sz w:val="16"/>
              </w:rPr>
              <w:t>NAICS</w:t>
            </w:r>
            <w:r w:rsidRPr="00283806">
              <w:rPr>
                <w:spacing w:val="2"/>
                <w:sz w:val="16"/>
              </w:rPr>
              <w:t xml:space="preserve"> </w:t>
            </w:r>
            <w:r w:rsidRPr="00283806">
              <w:rPr>
                <w:sz w:val="16"/>
              </w:rPr>
              <w:t>industry</w:t>
            </w:r>
            <w:r w:rsidRPr="00283806">
              <w:rPr>
                <w:spacing w:val="2"/>
                <w:sz w:val="16"/>
              </w:rPr>
              <w:t xml:space="preserve"> </w:t>
            </w:r>
            <w:r w:rsidRPr="00283806">
              <w:rPr>
                <w:spacing w:val="-2"/>
                <w:sz w:val="16"/>
              </w:rPr>
              <w:t>description</w:t>
            </w:r>
          </w:p>
        </w:tc>
      </w:tr>
      <w:tr w:rsidR="00D67C1E" w:rsidRPr="00283806" w14:paraId="7B243839" w14:textId="77777777">
        <w:trPr>
          <w:trHeight w:val="268"/>
        </w:trPr>
        <w:tc>
          <w:tcPr>
            <w:tcW w:w="1307" w:type="dxa"/>
            <w:tcBorders>
              <w:top w:val="single" w:sz="4" w:space="0" w:color="000000"/>
              <w:right w:val="single" w:sz="4" w:space="0" w:color="000000"/>
            </w:tcBorders>
          </w:tcPr>
          <w:p w14:paraId="04184650" w14:textId="77777777" w:rsidR="00D67C1E" w:rsidRPr="00283806" w:rsidRDefault="001265CA">
            <w:pPr>
              <w:pStyle w:val="TableParagraph"/>
              <w:spacing w:before="83" w:line="166" w:lineRule="exact"/>
              <w:ind w:right="69"/>
              <w:rPr>
                <w:sz w:val="16"/>
              </w:rPr>
            </w:pPr>
            <w:r w:rsidRPr="00283806">
              <w:rPr>
                <w:sz w:val="16"/>
              </w:rPr>
              <w:t>236118</w:t>
            </w:r>
            <w:r w:rsidRPr="00283806">
              <w:rPr>
                <w:spacing w:val="11"/>
                <w:sz w:val="16"/>
              </w:rPr>
              <w:t xml:space="preserve"> </w:t>
            </w:r>
            <w:r w:rsidRPr="00283806">
              <w:rPr>
                <w:spacing w:val="-2"/>
                <w:sz w:val="16"/>
              </w:rPr>
              <w:t>..............</w:t>
            </w:r>
          </w:p>
        </w:tc>
        <w:tc>
          <w:tcPr>
            <w:tcW w:w="9133" w:type="dxa"/>
            <w:tcBorders>
              <w:top w:val="single" w:sz="4" w:space="0" w:color="000000"/>
              <w:left w:val="single" w:sz="4" w:space="0" w:color="000000"/>
            </w:tcBorders>
          </w:tcPr>
          <w:p w14:paraId="324E2668" w14:textId="77777777" w:rsidR="00D67C1E" w:rsidRPr="00283806" w:rsidRDefault="001265CA">
            <w:pPr>
              <w:pStyle w:val="TableParagraph"/>
              <w:spacing w:before="83" w:line="166" w:lineRule="exact"/>
              <w:ind w:left="78"/>
              <w:jc w:val="left"/>
              <w:rPr>
                <w:sz w:val="16"/>
              </w:rPr>
            </w:pPr>
            <w:r w:rsidRPr="00283806">
              <w:rPr>
                <w:sz w:val="16"/>
              </w:rPr>
              <w:t xml:space="preserve">Residential </w:t>
            </w:r>
            <w:r w:rsidRPr="00283806">
              <w:rPr>
                <w:spacing w:val="-2"/>
                <w:sz w:val="16"/>
              </w:rPr>
              <w:t>Remodelers.</w:t>
            </w:r>
          </w:p>
        </w:tc>
      </w:tr>
      <w:tr w:rsidR="00D67C1E" w:rsidRPr="00283806" w14:paraId="5EA2D8D9" w14:textId="77777777">
        <w:trPr>
          <w:trHeight w:val="183"/>
        </w:trPr>
        <w:tc>
          <w:tcPr>
            <w:tcW w:w="1307" w:type="dxa"/>
            <w:tcBorders>
              <w:right w:val="single" w:sz="4" w:space="0" w:color="000000"/>
            </w:tcBorders>
          </w:tcPr>
          <w:p w14:paraId="378DD7BF" w14:textId="77777777" w:rsidR="00D67C1E" w:rsidRPr="00283806" w:rsidRDefault="001265CA">
            <w:pPr>
              <w:pStyle w:val="TableParagraph"/>
              <w:spacing w:line="164" w:lineRule="exact"/>
              <w:ind w:right="69"/>
              <w:rPr>
                <w:sz w:val="16"/>
              </w:rPr>
            </w:pPr>
            <w:r w:rsidRPr="00283806">
              <w:rPr>
                <w:sz w:val="16"/>
              </w:rPr>
              <w:t>236220</w:t>
            </w:r>
            <w:r w:rsidRPr="00283806">
              <w:rPr>
                <w:spacing w:val="11"/>
                <w:sz w:val="16"/>
              </w:rPr>
              <w:t xml:space="preserve"> </w:t>
            </w:r>
            <w:r w:rsidRPr="00283806">
              <w:rPr>
                <w:spacing w:val="-2"/>
                <w:sz w:val="16"/>
              </w:rPr>
              <w:t>..............</w:t>
            </w:r>
          </w:p>
        </w:tc>
        <w:tc>
          <w:tcPr>
            <w:tcW w:w="9133" w:type="dxa"/>
            <w:tcBorders>
              <w:left w:val="single" w:sz="4" w:space="0" w:color="000000"/>
            </w:tcBorders>
          </w:tcPr>
          <w:p w14:paraId="579A89BC" w14:textId="77777777" w:rsidR="00D67C1E" w:rsidRPr="00283806" w:rsidRDefault="001265CA">
            <w:pPr>
              <w:pStyle w:val="TableParagraph"/>
              <w:spacing w:line="164" w:lineRule="exact"/>
              <w:ind w:left="78"/>
              <w:jc w:val="left"/>
              <w:rPr>
                <w:sz w:val="16"/>
              </w:rPr>
            </w:pPr>
            <w:r w:rsidRPr="00283806">
              <w:rPr>
                <w:sz w:val="16"/>
              </w:rPr>
              <w:t>Commercial</w:t>
            </w:r>
            <w:r w:rsidRPr="00283806">
              <w:rPr>
                <w:spacing w:val="1"/>
                <w:sz w:val="16"/>
              </w:rPr>
              <w:t xml:space="preserve"> </w:t>
            </w:r>
            <w:r w:rsidRPr="00283806">
              <w:rPr>
                <w:sz w:val="16"/>
              </w:rPr>
              <w:t>and</w:t>
            </w:r>
            <w:r w:rsidRPr="00283806">
              <w:rPr>
                <w:spacing w:val="2"/>
                <w:sz w:val="16"/>
              </w:rPr>
              <w:t xml:space="preserve"> </w:t>
            </w:r>
            <w:r w:rsidRPr="00283806">
              <w:rPr>
                <w:sz w:val="16"/>
              </w:rPr>
              <w:t>Institutional</w:t>
            </w:r>
            <w:r w:rsidRPr="00283806">
              <w:rPr>
                <w:spacing w:val="2"/>
                <w:sz w:val="16"/>
              </w:rPr>
              <w:t xml:space="preserve"> </w:t>
            </w:r>
            <w:r w:rsidRPr="00283806">
              <w:rPr>
                <w:sz w:val="16"/>
              </w:rPr>
              <w:t>Building</w:t>
            </w:r>
            <w:r w:rsidRPr="00283806">
              <w:rPr>
                <w:spacing w:val="2"/>
                <w:sz w:val="16"/>
              </w:rPr>
              <w:t xml:space="preserve"> </w:t>
            </w:r>
            <w:r w:rsidRPr="00283806">
              <w:rPr>
                <w:spacing w:val="-2"/>
                <w:sz w:val="16"/>
              </w:rPr>
              <w:t>Construction.</w:t>
            </w:r>
          </w:p>
        </w:tc>
      </w:tr>
      <w:tr w:rsidR="00D67C1E" w:rsidRPr="00283806" w14:paraId="4B74E064" w14:textId="77777777">
        <w:trPr>
          <w:trHeight w:val="183"/>
        </w:trPr>
        <w:tc>
          <w:tcPr>
            <w:tcW w:w="1307" w:type="dxa"/>
            <w:tcBorders>
              <w:right w:val="single" w:sz="4" w:space="0" w:color="000000"/>
            </w:tcBorders>
          </w:tcPr>
          <w:p w14:paraId="2865D7B9" w14:textId="77777777" w:rsidR="00D67C1E" w:rsidRPr="00283806" w:rsidRDefault="001265CA">
            <w:pPr>
              <w:pStyle w:val="TableParagraph"/>
              <w:spacing w:line="164" w:lineRule="exact"/>
              <w:ind w:right="69"/>
              <w:rPr>
                <w:sz w:val="16"/>
              </w:rPr>
            </w:pPr>
            <w:r w:rsidRPr="00283806">
              <w:rPr>
                <w:sz w:val="16"/>
              </w:rPr>
              <w:t>238220</w:t>
            </w:r>
            <w:r w:rsidRPr="00283806">
              <w:rPr>
                <w:spacing w:val="11"/>
                <w:sz w:val="16"/>
              </w:rPr>
              <w:t xml:space="preserve"> </w:t>
            </w:r>
            <w:r w:rsidRPr="00283806">
              <w:rPr>
                <w:spacing w:val="-2"/>
                <w:sz w:val="16"/>
              </w:rPr>
              <w:t>..............</w:t>
            </w:r>
          </w:p>
        </w:tc>
        <w:tc>
          <w:tcPr>
            <w:tcW w:w="9133" w:type="dxa"/>
            <w:tcBorders>
              <w:left w:val="single" w:sz="4" w:space="0" w:color="000000"/>
            </w:tcBorders>
          </w:tcPr>
          <w:p w14:paraId="66119458" w14:textId="77777777" w:rsidR="00D67C1E" w:rsidRPr="00283806" w:rsidRDefault="001265CA">
            <w:pPr>
              <w:pStyle w:val="TableParagraph"/>
              <w:spacing w:line="164" w:lineRule="exact"/>
              <w:ind w:left="78"/>
              <w:jc w:val="left"/>
              <w:rPr>
                <w:sz w:val="16"/>
              </w:rPr>
            </w:pPr>
            <w:r w:rsidRPr="00283806">
              <w:rPr>
                <w:sz w:val="16"/>
              </w:rPr>
              <w:t>Plumbing,</w:t>
            </w:r>
            <w:r w:rsidRPr="00283806">
              <w:rPr>
                <w:spacing w:val="1"/>
                <w:sz w:val="16"/>
              </w:rPr>
              <w:t xml:space="preserve"> </w:t>
            </w:r>
            <w:r w:rsidRPr="00283806">
              <w:rPr>
                <w:sz w:val="16"/>
              </w:rPr>
              <w:t>Heating,</w:t>
            </w:r>
            <w:r w:rsidRPr="00283806">
              <w:rPr>
                <w:spacing w:val="1"/>
                <w:sz w:val="16"/>
              </w:rPr>
              <w:t xml:space="preserve"> </w:t>
            </w:r>
            <w:r w:rsidRPr="00283806">
              <w:rPr>
                <w:sz w:val="16"/>
              </w:rPr>
              <w:t>and</w:t>
            </w:r>
            <w:r w:rsidRPr="00283806">
              <w:rPr>
                <w:spacing w:val="1"/>
                <w:sz w:val="16"/>
              </w:rPr>
              <w:t xml:space="preserve"> </w:t>
            </w:r>
            <w:r w:rsidRPr="00283806">
              <w:rPr>
                <w:sz w:val="16"/>
              </w:rPr>
              <w:t>Air-Conditioning</w:t>
            </w:r>
            <w:r w:rsidRPr="00283806">
              <w:rPr>
                <w:spacing w:val="1"/>
                <w:sz w:val="16"/>
              </w:rPr>
              <w:t xml:space="preserve"> </w:t>
            </w:r>
            <w:r w:rsidRPr="00283806">
              <w:rPr>
                <w:spacing w:val="-2"/>
                <w:sz w:val="16"/>
              </w:rPr>
              <w:t>Contractors.</w:t>
            </w:r>
          </w:p>
        </w:tc>
      </w:tr>
      <w:tr w:rsidR="00D67C1E" w:rsidRPr="00283806" w14:paraId="17C9AAEF" w14:textId="77777777">
        <w:trPr>
          <w:trHeight w:val="184"/>
        </w:trPr>
        <w:tc>
          <w:tcPr>
            <w:tcW w:w="1307" w:type="dxa"/>
            <w:tcBorders>
              <w:right w:val="single" w:sz="4" w:space="0" w:color="000000"/>
            </w:tcBorders>
          </w:tcPr>
          <w:p w14:paraId="5DD12FCC" w14:textId="77777777" w:rsidR="00D67C1E" w:rsidRPr="00283806" w:rsidRDefault="001265CA">
            <w:pPr>
              <w:pStyle w:val="TableParagraph"/>
              <w:spacing w:line="164" w:lineRule="exact"/>
              <w:ind w:right="69"/>
              <w:rPr>
                <w:sz w:val="16"/>
              </w:rPr>
            </w:pPr>
            <w:r w:rsidRPr="00283806">
              <w:rPr>
                <w:sz w:val="16"/>
              </w:rPr>
              <w:t>238990</w:t>
            </w:r>
            <w:r w:rsidRPr="00283806">
              <w:rPr>
                <w:spacing w:val="11"/>
                <w:sz w:val="16"/>
              </w:rPr>
              <w:t xml:space="preserve"> </w:t>
            </w:r>
            <w:r w:rsidRPr="00283806">
              <w:rPr>
                <w:spacing w:val="-2"/>
                <w:sz w:val="16"/>
              </w:rPr>
              <w:t>..............</w:t>
            </w:r>
          </w:p>
        </w:tc>
        <w:tc>
          <w:tcPr>
            <w:tcW w:w="9133" w:type="dxa"/>
            <w:tcBorders>
              <w:left w:val="single" w:sz="4" w:space="0" w:color="000000"/>
            </w:tcBorders>
          </w:tcPr>
          <w:p w14:paraId="3D238C49" w14:textId="77777777" w:rsidR="00D67C1E" w:rsidRPr="00283806" w:rsidRDefault="001265CA">
            <w:pPr>
              <w:pStyle w:val="TableParagraph"/>
              <w:spacing w:line="164" w:lineRule="exact"/>
              <w:ind w:left="78"/>
              <w:jc w:val="left"/>
              <w:rPr>
                <w:sz w:val="16"/>
              </w:rPr>
            </w:pPr>
            <w:r w:rsidRPr="00283806">
              <w:rPr>
                <w:sz w:val="16"/>
              </w:rPr>
              <w:t>All</w:t>
            </w:r>
            <w:r w:rsidRPr="00283806">
              <w:rPr>
                <w:spacing w:val="4"/>
                <w:sz w:val="16"/>
              </w:rPr>
              <w:t xml:space="preserve"> </w:t>
            </w:r>
            <w:r w:rsidRPr="00283806">
              <w:rPr>
                <w:sz w:val="16"/>
              </w:rPr>
              <w:t>Other</w:t>
            </w:r>
            <w:r w:rsidRPr="00283806">
              <w:rPr>
                <w:spacing w:val="5"/>
                <w:sz w:val="16"/>
              </w:rPr>
              <w:t xml:space="preserve"> </w:t>
            </w:r>
            <w:r w:rsidRPr="00283806">
              <w:rPr>
                <w:sz w:val="16"/>
              </w:rPr>
              <w:t>Specialty</w:t>
            </w:r>
            <w:r w:rsidRPr="00283806">
              <w:rPr>
                <w:spacing w:val="5"/>
                <w:sz w:val="16"/>
              </w:rPr>
              <w:t xml:space="preserve"> </w:t>
            </w:r>
            <w:r w:rsidRPr="00283806">
              <w:rPr>
                <w:sz w:val="16"/>
              </w:rPr>
              <w:t>Trade</w:t>
            </w:r>
            <w:r w:rsidRPr="00283806">
              <w:rPr>
                <w:spacing w:val="5"/>
                <w:sz w:val="16"/>
              </w:rPr>
              <w:t xml:space="preserve"> </w:t>
            </w:r>
            <w:r w:rsidRPr="00283806">
              <w:rPr>
                <w:spacing w:val="-2"/>
                <w:sz w:val="16"/>
              </w:rPr>
              <w:t>Contractors.</w:t>
            </w:r>
          </w:p>
        </w:tc>
      </w:tr>
      <w:tr w:rsidR="00D67C1E" w:rsidRPr="00283806" w14:paraId="0E1877C5" w14:textId="77777777">
        <w:trPr>
          <w:trHeight w:val="183"/>
        </w:trPr>
        <w:tc>
          <w:tcPr>
            <w:tcW w:w="1307" w:type="dxa"/>
            <w:tcBorders>
              <w:right w:val="single" w:sz="4" w:space="0" w:color="000000"/>
            </w:tcBorders>
          </w:tcPr>
          <w:p w14:paraId="2EAF4135" w14:textId="77777777" w:rsidR="00D67C1E" w:rsidRPr="00283806" w:rsidRDefault="001265CA">
            <w:pPr>
              <w:pStyle w:val="TableParagraph"/>
              <w:spacing w:line="164" w:lineRule="exact"/>
              <w:ind w:right="69"/>
              <w:rPr>
                <w:sz w:val="16"/>
              </w:rPr>
            </w:pPr>
            <w:r w:rsidRPr="00283806">
              <w:rPr>
                <w:sz w:val="16"/>
              </w:rPr>
              <w:t>311812</w:t>
            </w:r>
            <w:r w:rsidRPr="00283806">
              <w:rPr>
                <w:spacing w:val="11"/>
                <w:sz w:val="16"/>
              </w:rPr>
              <w:t xml:space="preserve"> </w:t>
            </w:r>
            <w:r w:rsidRPr="00283806">
              <w:rPr>
                <w:spacing w:val="-2"/>
                <w:sz w:val="16"/>
              </w:rPr>
              <w:t>..............</w:t>
            </w:r>
          </w:p>
        </w:tc>
        <w:tc>
          <w:tcPr>
            <w:tcW w:w="9133" w:type="dxa"/>
            <w:tcBorders>
              <w:left w:val="single" w:sz="4" w:space="0" w:color="000000"/>
            </w:tcBorders>
          </w:tcPr>
          <w:p w14:paraId="14655271" w14:textId="77777777" w:rsidR="00D67C1E" w:rsidRPr="00283806" w:rsidRDefault="001265CA">
            <w:pPr>
              <w:pStyle w:val="TableParagraph"/>
              <w:spacing w:line="164" w:lineRule="exact"/>
              <w:ind w:left="78"/>
              <w:jc w:val="left"/>
              <w:rPr>
                <w:sz w:val="16"/>
              </w:rPr>
            </w:pPr>
            <w:r w:rsidRPr="00283806">
              <w:rPr>
                <w:sz w:val="16"/>
              </w:rPr>
              <w:t>Commercial</w:t>
            </w:r>
            <w:r w:rsidRPr="00283806">
              <w:rPr>
                <w:spacing w:val="-1"/>
                <w:sz w:val="16"/>
              </w:rPr>
              <w:t xml:space="preserve"> </w:t>
            </w:r>
            <w:r w:rsidRPr="00283806">
              <w:rPr>
                <w:spacing w:val="-2"/>
                <w:sz w:val="16"/>
              </w:rPr>
              <w:t>Bakeries.</w:t>
            </w:r>
          </w:p>
        </w:tc>
      </w:tr>
      <w:tr w:rsidR="00D67C1E" w:rsidRPr="00283806" w14:paraId="676CD0A6" w14:textId="77777777">
        <w:trPr>
          <w:trHeight w:val="183"/>
        </w:trPr>
        <w:tc>
          <w:tcPr>
            <w:tcW w:w="1307" w:type="dxa"/>
            <w:tcBorders>
              <w:right w:val="single" w:sz="4" w:space="0" w:color="000000"/>
            </w:tcBorders>
          </w:tcPr>
          <w:p w14:paraId="5BB77551" w14:textId="77777777" w:rsidR="00D67C1E" w:rsidRPr="00283806" w:rsidRDefault="001265CA">
            <w:pPr>
              <w:pStyle w:val="TableParagraph"/>
              <w:spacing w:line="164" w:lineRule="exact"/>
              <w:ind w:right="69"/>
              <w:rPr>
                <w:sz w:val="16"/>
              </w:rPr>
            </w:pPr>
            <w:r w:rsidRPr="00283806">
              <w:rPr>
                <w:sz w:val="16"/>
              </w:rPr>
              <w:t>321999</w:t>
            </w:r>
            <w:r w:rsidRPr="00283806">
              <w:rPr>
                <w:spacing w:val="11"/>
                <w:sz w:val="16"/>
              </w:rPr>
              <w:t xml:space="preserve"> </w:t>
            </w:r>
            <w:r w:rsidRPr="00283806">
              <w:rPr>
                <w:spacing w:val="-2"/>
                <w:sz w:val="16"/>
              </w:rPr>
              <w:t>..............</w:t>
            </w:r>
          </w:p>
        </w:tc>
        <w:tc>
          <w:tcPr>
            <w:tcW w:w="9133" w:type="dxa"/>
            <w:tcBorders>
              <w:left w:val="single" w:sz="4" w:space="0" w:color="000000"/>
            </w:tcBorders>
          </w:tcPr>
          <w:p w14:paraId="281C7979" w14:textId="77777777" w:rsidR="00D67C1E" w:rsidRPr="00283806" w:rsidRDefault="001265CA">
            <w:pPr>
              <w:pStyle w:val="TableParagraph"/>
              <w:spacing w:line="164" w:lineRule="exact"/>
              <w:ind w:left="78"/>
              <w:jc w:val="left"/>
              <w:rPr>
                <w:sz w:val="16"/>
              </w:rPr>
            </w:pPr>
            <w:r w:rsidRPr="00283806">
              <w:rPr>
                <w:sz w:val="16"/>
              </w:rPr>
              <w:t>All</w:t>
            </w:r>
            <w:r w:rsidRPr="00283806">
              <w:rPr>
                <w:spacing w:val="4"/>
                <w:sz w:val="16"/>
              </w:rPr>
              <w:t xml:space="preserve"> </w:t>
            </w:r>
            <w:r w:rsidRPr="00283806">
              <w:rPr>
                <w:sz w:val="16"/>
              </w:rPr>
              <w:t>Other</w:t>
            </w:r>
            <w:r w:rsidRPr="00283806">
              <w:rPr>
                <w:spacing w:val="5"/>
                <w:sz w:val="16"/>
              </w:rPr>
              <w:t xml:space="preserve"> </w:t>
            </w:r>
            <w:r w:rsidRPr="00283806">
              <w:rPr>
                <w:sz w:val="16"/>
              </w:rPr>
              <w:t>Miscellaneous</w:t>
            </w:r>
            <w:r w:rsidRPr="00283806">
              <w:rPr>
                <w:spacing w:val="5"/>
                <w:sz w:val="16"/>
              </w:rPr>
              <w:t xml:space="preserve"> </w:t>
            </w:r>
            <w:r w:rsidRPr="00283806">
              <w:rPr>
                <w:sz w:val="16"/>
              </w:rPr>
              <w:t>Wood</w:t>
            </w:r>
            <w:r w:rsidRPr="00283806">
              <w:rPr>
                <w:spacing w:val="5"/>
                <w:sz w:val="16"/>
              </w:rPr>
              <w:t xml:space="preserve"> </w:t>
            </w:r>
            <w:r w:rsidRPr="00283806">
              <w:rPr>
                <w:sz w:val="16"/>
              </w:rPr>
              <w:t>Product</w:t>
            </w:r>
            <w:r w:rsidRPr="00283806">
              <w:rPr>
                <w:spacing w:val="4"/>
                <w:sz w:val="16"/>
              </w:rPr>
              <w:t xml:space="preserve"> </w:t>
            </w:r>
            <w:r w:rsidRPr="00283806">
              <w:rPr>
                <w:spacing w:val="-2"/>
                <w:sz w:val="16"/>
              </w:rPr>
              <w:t>Manufacturing.</w:t>
            </w:r>
          </w:p>
        </w:tc>
      </w:tr>
      <w:tr w:rsidR="00D67C1E" w:rsidRPr="00283806" w14:paraId="78AEE898" w14:textId="77777777">
        <w:trPr>
          <w:trHeight w:val="183"/>
        </w:trPr>
        <w:tc>
          <w:tcPr>
            <w:tcW w:w="1307" w:type="dxa"/>
            <w:tcBorders>
              <w:right w:val="single" w:sz="4" w:space="0" w:color="000000"/>
            </w:tcBorders>
          </w:tcPr>
          <w:p w14:paraId="548D6B43" w14:textId="77777777" w:rsidR="00D67C1E" w:rsidRPr="00283806" w:rsidRDefault="001265CA">
            <w:pPr>
              <w:pStyle w:val="TableParagraph"/>
              <w:spacing w:line="164" w:lineRule="exact"/>
              <w:ind w:right="69"/>
              <w:rPr>
                <w:sz w:val="16"/>
              </w:rPr>
            </w:pPr>
            <w:r w:rsidRPr="00283806">
              <w:rPr>
                <w:sz w:val="16"/>
              </w:rPr>
              <w:t>322299</w:t>
            </w:r>
            <w:r w:rsidRPr="00283806">
              <w:rPr>
                <w:spacing w:val="11"/>
                <w:sz w:val="16"/>
              </w:rPr>
              <w:t xml:space="preserve"> </w:t>
            </w:r>
            <w:r w:rsidRPr="00283806">
              <w:rPr>
                <w:spacing w:val="-2"/>
                <w:sz w:val="16"/>
              </w:rPr>
              <w:t>..............</w:t>
            </w:r>
          </w:p>
        </w:tc>
        <w:tc>
          <w:tcPr>
            <w:tcW w:w="9133" w:type="dxa"/>
            <w:tcBorders>
              <w:left w:val="single" w:sz="4" w:space="0" w:color="000000"/>
            </w:tcBorders>
          </w:tcPr>
          <w:p w14:paraId="5058C5F3" w14:textId="77777777" w:rsidR="00D67C1E" w:rsidRPr="00283806" w:rsidRDefault="001265CA">
            <w:pPr>
              <w:pStyle w:val="TableParagraph"/>
              <w:spacing w:line="164" w:lineRule="exact"/>
              <w:ind w:left="78"/>
              <w:jc w:val="left"/>
              <w:rPr>
                <w:sz w:val="16"/>
              </w:rPr>
            </w:pPr>
            <w:r w:rsidRPr="00283806">
              <w:rPr>
                <w:sz w:val="16"/>
              </w:rPr>
              <w:t>All</w:t>
            </w:r>
            <w:r w:rsidRPr="00283806">
              <w:rPr>
                <w:spacing w:val="5"/>
                <w:sz w:val="16"/>
              </w:rPr>
              <w:t xml:space="preserve"> </w:t>
            </w:r>
            <w:r w:rsidRPr="00283806">
              <w:rPr>
                <w:sz w:val="16"/>
              </w:rPr>
              <w:t>Other</w:t>
            </w:r>
            <w:r w:rsidRPr="00283806">
              <w:rPr>
                <w:spacing w:val="5"/>
                <w:sz w:val="16"/>
              </w:rPr>
              <w:t xml:space="preserve"> </w:t>
            </w:r>
            <w:r w:rsidRPr="00283806">
              <w:rPr>
                <w:sz w:val="16"/>
              </w:rPr>
              <w:t>Converted</w:t>
            </w:r>
            <w:r w:rsidRPr="00283806">
              <w:rPr>
                <w:spacing w:val="5"/>
                <w:sz w:val="16"/>
              </w:rPr>
              <w:t xml:space="preserve"> </w:t>
            </w:r>
            <w:r w:rsidRPr="00283806">
              <w:rPr>
                <w:sz w:val="16"/>
              </w:rPr>
              <w:t>Paper</w:t>
            </w:r>
            <w:r w:rsidRPr="00283806">
              <w:rPr>
                <w:spacing w:val="6"/>
                <w:sz w:val="16"/>
              </w:rPr>
              <w:t xml:space="preserve"> </w:t>
            </w:r>
            <w:r w:rsidRPr="00283806">
              <w:rPr>
                <w:sz w:val="16"/>
              </w:rPr>
              <w:t>Product</w:t>
            </w:r>
            <w:r w:rsidRPr="00283806">
              <w:rPr>
                <w:spacing w:val="5"/>
                <w:sz w:val="16"/>
              </w:rPr>
              <w:t xml:space="preserve"> </w:t>
            </w:r>
            <w:r w:rsidRPr="00283806">
              <w:rPr>
                <w:spacing w:val="-2"/>
                <w:sz w:val="16"/>
              </w:rPr>
              <w:t>Manufacturing.</w:t>
            </w:r>
          </w:p>
        </w:tc>
      </w:tr>
      <w:tr w:rsidR="00D67C1E" w:rsidRPr="00283806" w14:paraId="315809A6" w14:textId="77777777">
        <w:trPr>
          <w:trHeight w:val="183"/>
        </w:trPr>
        <w:tc>
          <w:tcPr>
            <w:tcW w:w="1307" w:type="dxa"/>
            <w:tcBorders>
              <w:right w:val="single" w:sz="4" w:space="0" w:color="000000"/>
            </w:tcBorders>
          </w:tcPr>
          <w:p w14:paraId="691E0FF2" w14:textId="77777777" w:rsidR="00D67C1E" w:rsidRPr="00283806" w:rsidRDefault="001265CA">
            <w:pPr>
              <w:pStyle w:val="TableParagraph"/>
              <w:spacing w:line="164" w:lineRule="exact"/>
              <w:ind w:right="69"/>
              <w:rPr>
                <w:sz w:val="16"/>
              </w:rPr>
            </w:pPr>
            <w:r w:rsidRPr="00283806">
              <w:rPr>
                <w:sz w:val="16"/>
              </w:rPr>
              <w:t>324191</w:t>
            </w:r>
            <w:r w:rsidRPr="00283806">
              <w:rPr>
                <w:spacing w:val="11"/>
                <w:sz w:val="16"/>
              </w:rPr>
              <w:t xml:space="preserve"> </w:t>
            </w:r>
            <w:r w:rsidRPr="00283806">
              <w:rPr>
                <w:spacing w:val="-2"/>
                <w:sz w:val="16"/>
              </w:rPr>
              <w:t>..............</w:t>
            </w:r>
          </w:p>
        </w:tc>
        <w:tc>
          <w:tcPr>
            <w:tcW w:w="9133" w:type="dxa"/>
            <w:tcBorders>
              <w:left w:val="single" w:sz="4" w:space="0" w:color="000000"/>
            </w:tcBorders>
          </w:tcPr>
          <w:p w14:paraId="41569327" w14:textId="77777777" w:rsidR="00D67C1E" w:rsidRPr="00283806" w:rsidRDefault="001265CA">
            <w:pPr>
              <w:pStyle w:val="TableParagraph"/>
              <w:spacing w:line="164" w:lineRule="exact"/>
              <w:ind w:left="78"/>
              <w:jc w:val="left"/>
              <w:rPr>
                <w:sz w:val="16"/>
              </w:rPr>
            </w:pPr>
            <w:r w:rsidRPr="00283806">
              <w:rPr>
                <w:sz w:val="16"/>
              </w:rPr>
              <w:t>Petroleum</w:t>
            </w:r>
            <w:r w:rsidRPr="00283806">
              <w:rPr>
                <w:spacing w:val="4"/>
                <w:sz w:val="16"/>
              </w:rPr>
              <w:t xml:space="preserve"> </w:t>
            </w:r>
            <w:r w:rsidRPr="00283806">
              <w:rPr>
                <w:sz w:val="16"/>
              </w:rPr>
              <w:t>Lubricating</w:t>
            </w:r>
            <w:r w:rsidRPr="00283806">
              <w:rPr>
                <w:spacing w:val="4"/>
                <w:sz w:val="16"/>
              </w:rPr>
              <w:t xml:space="preserve"> </w:t>
            </w:r>
            <w:r w:rsidRPr="00283806">
              <w:rPr>
                <w:sz w:val="16"/>
              </w:rPr>
              <w:t>Oil</w:t>
            </w:r>
            <w:r w:rsidRPr="00283806">
              <w:rPr>
                <w:spacing w:val="4"/>
                <w:sz w:val="16"/>
              </w:rPr>
              <w:t xml:space="preserve"> </w:t>
            </w:r>
            <w:r w:rsidRPr="00283806">
              <w:rPr>
                <w:sz w:val="16"/>
              </w:rPr>
              <w:t>and</w:t>
            </w:r>
            <w:r w:rsidRPr="00283806">
              <w:rPr>
                <w:spacing w:val="4"/>
                <w:sz w:val="16"/>
              </w:rPr>
              <w:t xml:space="preserve"> </w:t>
            </w:r>
            <w:r w:rsidRPr="00283806">
              <w:rPr>
                <w:sz w:val="16"/>
              </w:rPr>
              <w:t>Grease</w:t>
            </w:r>
            <w:r w:rsidRPr="00283806">
              <w:rPr>
                <w:spacing w:val="4"/>
                <w:sz w:val="16"/>
              </w:rPr>
              <w:t xml:space="preserve"> </w:t>
            </w:r>
            <w:r w:rsidRPr="00283806">
              <w:rPr>
                <w:spacing w:val="-2"/>
                <w:sz w:val="16"/>
              </w:rPr>
              <w:t>Manufacturing.</w:t>
            </w:r>
          </w:p>
        </w:tc>
      </w:tr>
      <w:tr w:rsidR="00D67C1E" w:rsidRPr="00283806" w14:paraId="30F90F13" w14:textId="77777777">
        <w:trPr>
          <w:trHeight w:val="183"/>
        </w:trPr>
        <w:tc>
          <w:tcPr>
            <w:tcW w:w="1307" w:type="dxa"/>
            <w:tcBorders>
              <w:right w:val="single" w:sz="4" w:space="0" w:color="000000"/>
            </w:tcBorders>
          </w:tcPr>
          <w:p w14:paraId="1976EDEA" w14:textId="77777777" w:rsidR="00D67C1E" w:rsidRPr="00283806" w:rsidRDefault="001265CA">
            <w:pPr>
              <w:pStyle w:val="TableParagraph"/>
              <w:spacing w:line="164" w:lineRule="exact"/>
              <w:ind w:right="69"/>
              <w:rPr>
                <w:sz w:val="16"/>
              </w:rPr>
            </w:pPr>
            <w:r w:rsidRPr="00283806">
              <w:rPr>
                <w:sz w:val="16"/>
              </w:rPr>
              <w:t>324199</w:t>
            </w:r>
            <w:r w:rsidRPr="00283806">
              <w:rPr>
                <w:spacing w:val="11"/>
                <w:sz w:val="16"/>
              </w:rPr>
              <w:t xml:space="preserve"> </w:t>
            </w:r>
            <w:r w:rsidRPr="00283806">
              <w:rPr>
                <w:spacing w:val="-2"/>
                <w:sz w:val="16"/>
              </w:rPr>
              <w:t>..............</w:t>
            </w:r>
          </w:p>
        </w:tc>
        <w:tc>
          <w:tcPr>
            <w:tcW w:w="9133" w:type="dxa"/>
            <w:tcBorders>
              <w:left w:val="single" w:sz="4" w:space="0" w:color="000000"/>
            </w:tcBorders>
          </w:tcPr>
          <w:p w14:paraId="0291DDDD" w14:textId="77777777" w:rsidR="00D67C1E" w:rsidRPr="00283806" w:rsidRDefault="001265CA">
            <w:pPr>
              <w:pStyle w:val="TableParagraph"/>
              <w:spacing w:line="164" w:lineRule="exact"/>
              <w:ind w:left="78"/>
              <w:jc w:val="left"/>
              <w:rPr>
                <w:sz w:val="16"/>
              </w:rPr>
            </w:pPr>
            <w:r w:rsidRPr="00283806">
              <w:rPr>
                <w:sz w:val="16"/>
              </w:rPr>
              <w:t>All</w:t>
            </w:r>
            <w:r w:rsidRPr="00283806">
              <w:rPr>
                <w:spacing w:val="5"/>
                <w:sz w:val="16"/>
              </w:rPr>
              <w:t xml:space="preserve"> </w:t>
            </w:r>
            <w:r w:rsidRPr="00283806">
              <w:rPr>
                <w:sz w:val="16"/>
              </w:rPr>
              <w:t>Other</w:t>
            </w:r>
            <w:r w:rsidRPr="00283806">
              <w:rPr>
                <w:spacing w:val="5"/>
                <w:sz w:val="16"/>
              </w:rPr>
              <w:t xml:space="preserve"> </w:t>
            </w:r>
            <w:r w:rsidRPr="00283806">
              <w:rPr>
                <w:sz w:val="16"/>
              </w:rPr>
              <w:t>Petroleum</w:t>
            </w:r>
            <w:r w:rsidRPr="00283806">
              <w:rPr>
                <w:spacing w:val="6"/>
                <w:sz w:val="16"/>
              </w:rPr>
              <w:t xml:space="preserve"> </w:t>
            </w:r>
            <w:r w:rsidRPr="00283806">
              <w:rPr>
                <w:sz w:val="16"/>
              </w:rPr>
              <w:t>and</w:t>
            </w:r>
            <w:r w:rsidRPr="00283806">
              <w:rPr>
                <w:spacing w:val="5"/>
                <w:sz w:val="16"/>
              </w:rPr>
              <w:t xml:space="preserve"> </w:t>
            </w:r>
            <w:r w:rsidRPr="00283806">
              <w:rPr>
                <w:sz w:val="16"/>
              </w:rPr>
              <w:t>Coal</w:t>
            </w:r>
            <w:r w:rsidRPr="00283806">
              <w:rPr>
                <w:spacing w:val="6"/>
                <w:sz w:val="16"/>
              </w:rPr>
              <w:t xml:space="preserve"> </w:t>
            </w:r>
            <w:r w:rsidRPr="00283806">
              <w:rPr>
                <w:sz w:val="16"/>
              </w:rPr>
              <w:t>Products</w:t>
            </w:r>
            <w:r w:rsidRPr="00283806">
              <w:rPr>
                <w:spacing w:val="5"/>
                <w:sz w:val="16"/>
              </w:rPr>
              <w:t xml:space="preserve"> </w:t>
            </w:r>
            <w:r w:rsidRPr="00283806">
              <w:rPr>
                <w:spacing w:val="-2"/>
                <w:sz w:val="16"/>
              </w:rPr>
              <w:t>Manufacturing.</w:t>
            </w:r>
          </w:p>
        </w:tc>
      </w:tr>
      <w:tr w:rsidR="00D67C1E" w:rsidRPr="00283806" w14:paraId="1B9DB214" w14:textId="77777777">
        <w:trPr>
          <w:trHeight w:val="183"/>
        </w:trPr>
        <w:tc>
          <w:tcPr>
            <w:tcW w:w="1307" w:type="dxa"/>
            <w:tcBorders>
              <w:right w:val="single" w:sz="4" w:space="0" w:color="000000"/>
            </w:tcBorders>
          </w:tcPr>
          <w:p w14:paraId="5DC410B0" w14:textId="77777777" w:rsidR="00D67C1E" w:rsidRPr="00283806" w:rsidRDefault="001265CA">
            <w:pPr>
              <w:pStyle w:val="TableParagraph"/>
              <w:spacing w:line="164" w:lineRule="exact"/>
              <w:ind w:right="69"/>
              <w:rPr>
                <w:sz w:val="16"/>
              </w:rPr>
            </w:pPr>
            <w:r w:rsidRPr="00283806">
              <w:rPr>
                <w:sz w:val="16"/>
              </w:rPr>
              <w:t>325199</w:t>
            </w:r>
            <w:r w:rsidRPr="00283806">
              <w:rPr>
                <w:spacing w:val="11"/>
                <w:sz w:val="16"/>
              </w:rPr>
              <w:t xml:space="preserve"> </w:t>
            </w:r>
            <w:r w:rsidRPr="00283806">
              <w:rPr>
                <w:spacing w:val="-2"/>
                <w:sz w:val="16"/>
              </w:rPr>
              <w:t>..............</w:t>
            </w:r>
          </w:p>
        </w:tc>
        <w:tc>
          <w:tcPr>
            <w:tcW w:w="9133" w:type="dxa"/>
            <w:tcBorders>
              <w:left w:val="single" w:sz="4" w:space="0" w:color="000000"/>
            </w:tcBorders>
          </w:tcPr>
          <w:p w14:paraId="45C1170A" w14:textId="77777777" w:rsidR="00D67C1E" w:rsidRPr="00283806" w:rsidRDefault="001265CA">
            <w:pPr>
              <w:pStyle w:val="TableParagraph"/>
              <w:spacing w:line="164" w:lineRule="exact"/>
              <w:ind w:left="78"/>
              <w:jc w:val="left"/>
              <w:rPr>
                <w:sz w:val="16"/>
              </w:rPr>
            </w:pPr>
            <w:r w:rsidRPr="00283806">
              <w:rPr>
                <w:sz w:val="16"/>
              </w:rPr>
              <w:t>All</w:t>
            </w:r>
            <w:r w:rsidRPr="00283806">
              <w:rPr>
                <w:spacing w:val="4"/>
                <w:sz w:val="16"/>
              </w:rPr>
              <w:t xml:space="preserve"> </w:t>
            </w:r>
            <w:r w:rsidRPr="00283806">
              <w:rPr>
                <w:sz w:val="16"/>
              </w:rPr>
              <w:t>Other</w:t>
            </w:r>
            <w:r w:rsidRPr="00283806">
              <w:rPr>
                <w:spacing w:val="4"/>
                <w:sz w:val="16"/>
              </w:rPr>
              <w:t xml:space="preserve"> </w:t>
            </w:r>
            <w:r w:rsidRPr="00283806">
              <w:rPr>
                <w:sz w:val="16"/>
              </w:rPr>
              <w:t>Basic</w:t>
            </w:r>
            <w:r w:rsidRPr="00283806">
              <w:rPr>
                <w:spacing w:val="5"/>
                <w:sz w:val="16"/>
              </w:rPr>
              <w:t xml:space="preserve"> </w:t>
            </w:r>
            <w:r w:rsidRPr="00283806">
              <w:rPr>
                <w:sz w:val="16"/>
              </w:rPr>
              <w:t>Organic</w:t>
            </w:r>
            <w:r w:rsidRPr="00283806">
              <w:rPr>
                <w:spacing w:val="4"/>
                <w:sz w:val="16"/>
              </w:rPr>
              <w:t xml:space="preserve"> </w:t>
            </w:r>
            <w:r w:rsidRPr="00283806">
              <w:rPr>
                <w:sz w:val="16"/>
              </w:rPr>
              <w:t>Chemical</w:t>
            </w:r>
            <w:r w:rsidRPr="00283806">
              <w:rPr>
                <w:spacing w:val="5"/>
                <w:sz w:val="16"/>
              </w:rPr>
              <w:t xml:space="preserve"> </w:t>
            </w:r>
            <w:r w:rsidRPr="00283806">
              <w:rPr>
                <w:spacing w:val="-2"/>
                <w:sz w:val="16"/>
              </w:rPr>
              <w:t>Manufacturing.</w:t>
            </w:r>
          </w:p>
        </w:tc>
      </w:tr>
      <w:tr w:rsidR="00D67C1E" w:rsidRPr="00283806" w14:paraId="1771437A" w14:textId="77777777">
        <w:trPr>
          <w:trHeight w:val="184"/>
        </w:trPr>
        <w:tc>
          <w:tcPr>
            <w:tcW w:w="1307" w:type="dxa"/>
            <w:tcBorders>
              <w:right w:val="single" w:sz="4" w:space="0" w:color="000000"/>
            </w:tcBorders>
          </w:tcPr>
          <w:p w14:paraId="0BC55BC5" w14:textId="77777777" w:rsidR="00D67C1E" w:rsidRPr="00283806" w:rsidRDefault="001265CA">
            <w:pPr>
              <w:pStyle w:val="TableParagraph"/>
              <w:spacing w:line="164" w:lineRule="exact"/>
              <w:ind w:right="69"/>
              <w:rPr>
                <w:sz w:val="16"/>
              </w:rPr>
            </w:pPr>
            <w:r w:rsidRPr="00283806">
              <w:rPr>
                <w:sz w:val="16"/>
              </w:rPr>
              <w:t>325211</w:t>
            </w:r>
            <w:r w:rsidRPr="00283806">
              <w:rPr>
                <w:spacing w:val="11"/>
                <w:sz w:val="16"/>
              </w:rPr>
              <w:t xml:space="preserve"> </w:t>
            </w:r>
            <w:r w:rsidRPr="00283806">
              <w:rPr>
                <w:spacing w:val="-2"/>
                <w:sz w:val="16"/>
              </w:rPr>
              <w:t>..............</w:t>
            </w:r>
          </w:p>
        </w:tc>
        <w:tc>
          <w:tcPr>
            <w:tcW w:w="9133" w:type="dxa"/>
            <w:tcBorders>
              <w:left w:val="single" w:sz="4" w:space="0" w:color="000000"/>
            </w:tcBorders>
          </w:tcPr>
          <w:p w14:paraId="2D5E5861" w14:textId="77777777" w:rsidR="00D67C1E" w:rsidRPr="00283806" w:rsidRDefault="001265CA">
            <w:pPr>
              <w:pStyle w:val="TableParagraph"/>
              <w:spacing w:line="164" w:lineRule="exact"/>
              <w:ind w:left="78"/>
              <w:jc w:val="left"/>
              <w:rPr>
                <w:sz w:val="16"/>
              </w:rPr>
            </w:pPr>
            <w:r w:rsidRPr="00283806">
              <w:rPr>
                <w:sz w:val="16"/>
              </w:rPr>
              <w:t>Plastics</w:t>
            </w:r>
            <w:r w:rsidRPr="00283806">
              <w:rPr>
                <w:spacing w:val="3"/>
                <w:sz w:val="16"/>
              </w:rPr>
              <w:t xml:space="preserve"> </w:t>
            </w:r>
            <w:r w:rsidRPr="00283806">
              <w:rPr>
                <w:sz w:val="16"/>
              </w:rPr>
              <w:t>Material</w:t>
            </w:r>
            <w:r w:rsidRPr="00283806">
              <w:rPr>
                <w:spacing w:val="3"/>
                <w:sz w:val="16"/>
              </w:rPr>
              <w:t xml:space="preserve"> </w:t>
            </w:r>
            <w:r w:rsidRPr="00283806">
              <w:rPr>
                <w:sz w:val="16"/>
              </w:rPr>
              <w:t>and</w:t>
            </w:r>
            <w:r w:rsidRPr="00283806">
              <w:rPr>
                <w:spacing w:val="3"/>
                <w:sz w:val="16"/>
              </w:rPr>
              <w:t xml:space="preserve"> </w:t>
            </w:r>
            <w:r w:rsidRPr="00283806">
              <w:rPr>
                <w:sz w:val="16"/>
              </w:rPr>
              <w:t>Resin</w:t>
            </w:r>
            <w:r w:rsidRPr="00283806">
              <w:rPr>
                <w:spacing w:val="4"/>
                <w:sz w:val="16"/>
              </w:rPr>
              <w:t xml:space="preserve"> </w:t>
            </w:r>
            <w:r w:rsidRPr="00283806">
              <w:rPr>
                <w:spacing w:val="-2"/>
                <w:sz w:val="16"/>
              </w:rPr>
              <w:t>Manufacturing.</w:t>
            </w:r>
          </w:p>
        </w:tc>
      </w:tr>
      <w:tr w:rsidR="00D67C1E" w:rsidRPr="00283806" w14:paraId="4D20F345" w14:textId="77777777">
        <w:trPr>
          <w:trHeight w:val="184"/>
        </w:trPr>
        <w:tc>
          <w:tcPr>
            <w:tcW w:w="1307" w:type="dxa"/>
            <w:tcBorders>
              <w:right w:val="single" w:sz="4" w:space="0" w:color="000000"/>
            </w:tcBorders>
          </w:tcPr>
          <w:p w14:paraId="6F3668AC" w14:textId="77777777" w:rsidR="00D67C1E" w:rsidRPr="00283806" w:rsidRDefault="001265CA">
            <w:pPr>
              <w:pStyle w:val="TableParagraph"/>
              <w:spacing w:line="164" w:lineRule="exact"/>
              <w:ind w:right="69"/>
              <w:rPr>
                <w:sz w:val="16"/>
              </w:rPr>
            </w:pPr>
            <w:r w:rsidRPr="00283806">
              <w:rPr>
                <w:sz w:val="16"/>
              </w:rPr>
              <w:t>325412</w:t>
            </w:r>
            <w:r w:rsidRPr="00283806">
              <w:rPr>
                <w:spacing w:val="11"/>
                <w:sz w:val="16"/>
              </w:rPr>
              <w:t xml:space="preserve"> </w:t>
            </w:r>
            <w:r w:rsidRPr="00283806">
              <w:rPr>
                <w:spacing w:val="-2"/>
                <w:sz w:val="16"/>
              </w:rPr>
              <w:t>..............</w:t>
            </w:r>
          </w:p>
        </w:tc>
        <w:tc>
          <w:tcPr>
            <w:tcW w:w="9133" w:type="dxa"/>
            <w:tcBorders>
              <w:left w:val="single" w:sz="4" w:space="0" w:color="000000"/>
            </w:tcBorders>
          </w:tcPr>
          <w:p w14:paraId="155A8805" w14:textId="77777777" w:rsidR="00D67C1E" w:rsidRPr="00283806" w:rsidRDefault="001265CA">
            <w:pPr>
              <w:pStyle w:val="TableParagraph"/>
              <w:spacing w:line="164" w:lineRule="exact"/>
              <w:ind w:left="78"/>
              <w:jc w:val="left"/>
              <w:rPr>
                <w:sz w:val="16"/>
              </w:rPr>
            </w:pPr>
            <w:r w:rsidRPr="00283806">
              <w:rPr>
                <w:sz w:val="16"/>
              </w:rPr>
              <w:t>Pharmaceutical</w:t>
            </w:r>
            <w:r w:rsidRPr="00283806">
              <w:rPr>
                <w:spacing w:val="-2"/>
                <w:sz w:val="16"/>
              </w:rPr>
              <w:t xml:space="preserve"> </w:t>
            </w:r>
            <w:r w:rsidRPr="00283806">
              <w:rPr>
                <w:sz w:val="16"/>
              </w:rPr>
              <w:t>Preparation</w:t>
            </w:r>
            <w:r w:rsidRPr="00283806">
              <w:rPr>
                <w:spacing w:val="-2"/>
                <w:sz w:val="16"/>
              </w:rPr>
              <w:t xml:space="preserve"> Manufacturing.</w:t>
            </w:r>
          </w:p>
        </w:tc>
      </w:tr>
      <w:tr w:rsidR="00D67C1E" w:rsidRPr="00283806" w14:paraId="65595CF3" w14:textId="77777777">
        <w:trPr>
          <w:trHeight w:val="183"/>
        </w:trPr>
        <w:tc>
          <w:tcPr>
            <w:tcW w:w="1307" w:type="dxa"/>
            <w:tcBorders>
              <w:right w:val="single" w:sz="4" w:space="0" w:color="000000"/>
            </w:tcBorders>
          </w:tcPr>
          <w:p w14:paraId="0421748A" w14:textId="77777777" w:rsidR="00D67C1E" w:rsidRPr="00283806" w:rsidRDefault="001265CA">
            <w:pPr>
              <w:pStyle w:val="TableParagraph"/>
              <w:spacing w:line="164" w:lineRule="exact"/>
              <w:ind w:right="69"/>
              <w:rPr>
                <w:sz w:val="16"/>
              </w:rPr>
            </w:pPr>
            <w:r w:rsidRPr="00283806">
              <w:rPr>
                <w:sz w:val="16"/>
              </w:rPr>
              <w:t>325414</w:t>
            </w:r>
            <w:r w:rsidRPr="00283806">
              <w:rPr>
                <w:spacing w:val="11"/>
                <w:sz w:val="16"/>
              </w:rPr>
              <w:t xml:space="preserve"> </w:t>
            </w:r>
            <w:r w:rsidRPr="00283806">
              <w:rPr>
                <w:spacing w:val="-2"/>
                <w:sz w:val="16"/>
              </w:rPr>
              <w:t>..............</w:t>
            </w:r>
          </w:p>
        </w:tc>
        <w:tc>
          <w:tcPr>
            <w:tcW w:w="9133" w:type="dxa"/>
            <w:tcBorders>
              <w:left w:val="single" w:sz="4" w:space="0" w:color="000000"/>
            </w:tcBorders>
          </w:tcPr>
          <w:p w14:paraId="128076C7" w14:textId="77777777" w:rsidR="00D67C1E" w:rsidRPr="00283806" w:rsidRDefault="001265CA">
            <w:pPr>
              <w:pStyle w:val="TableParagraph"/>
              <w:spacing w:line="164" w:lineRule="exact"/>
              <w:ind w:left="78"/>
              <w:jc w:val="left"/>
              <w:rPr>
                <w:sz w:val="16"/>
              </w:rPr>
            </w:pPr>
            <w:r w:rsidRPr="00283806">
              <w:rPr>
                <w:sz w:val="16"/>
              </w:rPr>
              <w:t>Biological</w:t>
            </w:r>
            <w:r w:rsidRPr="00283806">
              <w:rPr>
                <w:spacing w:val="4"/>
                <w:sz w:val="16"/>
              </w:rPr>
              <w:t xml:space="preserve"> </w:t>
            </w:r>
            <w:r w:rsidRPr="00283806">
              <w:rPr>
                <w:sz w:val="16"/>
              </w:rPr>
              <w:t>Product</w:t>
            </w:r>
            <w:r w:rsidRPr="00283806">
              <w:rPr>
                <w:spacing w:val="4"/>
                <w:sz w:val="16"/>
              </w:rPr>
              <w:t xml:space="preserve"> </w:t>
            </w:r>
            <w:r w:rsidRPr="00283806">
              <w:rPr>
                <w:sz w:val="16"/>
              </w:rPr>
              <w:t>(except</w:t>
            </w:r>
            <w:r w:rsidRPr="00283806">
              <w:rPr>
                <w:spacing w:val="4"/>
                <w:sz w:val="16"/>
              </w:rPr>
              <w:t xml:space="preserve"> </w:t>
            </w:r>
            <w:r w:rsidRPr="00283806">
              <w:rPr>
                <w:sz w:val="16"/>
              </w:rPr>
              <w:t>Diagnostic)</w:t>
            </w:r>
            <w:r w:rsidRPr="00283806">
              <w:rPr>
                <w:spacing w:val="5"/>
                <w:sz w:val="16"/>
              </w:rPr>
              <w:t xml:space="preserve"> </w:t>
            </w:r>
            <w:r w:rsidRPr="00283806">
              <w:rPr>
                <w:spacing w:val="-2"/>
                <w:sz w:val="16"/>
              </w:rPr>
              <w:t>Manufacturing.</w:t>
            </w:r>
          </w:p>
        </w:tc>
      </w:tr>
      <w:tr w:rsidR="00D67C1E" w:rsidRPr="00283806" w14:paraId="721C93FE" w14:textId="77777777">
        <w:trPr>
          <w:trHeight w:val="184"/>
        </w:trPr>
        <w:tc>
          <w:tcPr>
            <w:tcW w:w="1307" w:type="dxa"/>
            <w:tcBorders>
              <w:right w:val="single" w:sz="4" w:space="0" w:color="000000"/>
            </w:tcBorders>
          </w:tcPr>
          <w:p w14:paraId="304FBA02" w14:textId="77777777" w:rsidR="00D67C1E" w:rsidRPr="00283806" w:rsidRDefault="001265CA">
            <w:pPr>
              <w:pStyle w:val="TableParagraph"/>
              <w:spacing w:line="164" w:lineRule="exact"/>
              <w:ind w:right="69"/>
              <w:rPr>
                <w:sz w:val="16"/>
              </w:rPr>
            </w:pPr>
            <w:r w:rsidRPr="00283806">
              <w:rPr>
                <w:sz w:val="16"/>
              </w:rPr>
              <w:t>325998</w:t>
            </w:r>
            <w:r w:rsidRPr="00283806">
              <w:rPr>
                <w:spacing w:val="11"/>
                <w:sz w:val="16"/>
              </w:rPr>
              <w:t xml:space="preserve"> </w:t>
            </w:r>
            <w:r w:rsidRPr="00283806">
              <w:rPr>
                <w:spacing w:val="-2"/>
                <w:sz w:val="16"/>
              </w:rPr>
              <w:t>..............</w:t>
            </w:r>
          </w:p>
        </w:tc>
        <w:tc>
          <w:tcPr>
            <w:tcW w:w="9133" w:type="dxa"/>
            <w:tcBorders>
              <w:left w:val="single" w:sz="4" w:space="0" w:color="000000"/>
            </w:tcBorders>
          </w:tcPr>
          <w:p w14:paraId="7D9FAF7F" w14:textId="77777777" w:rsidR="00D67C1E" w:rsidRPr="00283806" w:rsidRDefault="001265CA">
            <w:pPr>
              <w:pStyle w:val="TableParagraph"/>
              <w:spacing w:line="164" w:lineRule="exact"/>
              <w:ind w:left="78"/>
              <w:jc w:val="left"/>
              <w:rPr>
                <w:sz w:val="16"/>
              </w:rPr>
            </w:pPr>
            <w:r w:rsidRPr="00283806">
              <w:rPr>
                <w:sz w:val="16"/>
              </w:rPr>
              <w:t>All</w:t>
            </w:r>
            <w:r w:rsidRPr="00283806">
              <w:rPr>
                <w:spacing w:val="3"/>
                <w:sz w:val="16"/>
              </w:rPr>
              <w:t xml:space="preserve"> </w:t>
            </w:r>
            <w:r w:rsidRPr="00283806">
              <w:rPr>
                <w:sz w:val="16"/>
              </w:rPr>
              <w:t>Other</w:t>
            </w:r>
            <w:r w:rsidRPr="00283806">
              <w:rPr>
                <w:spacing w:val="4"/>
                <w:sz w:val="16"/>
              </w:rPr>
              <w:t xml:space="preserve"> </w:t>
            </w:r>
            <w:r w:rsidRPr="00283806">
              <w:rPr>
                <w:sz w:val="16"/>
              </w:rPr>
              <w:t>Miscellaneous</w:t>
            </w:r>
            <w:r w:rsidRPr="00283806">
              <w:rPr>
                <w:spacing w:val="4"/>
                <w:sz w:val="16"/>
              </w:rPr>
              <w:t xml:space="preserve"> </w:t>
            </w:r>
            <w:r w:rsidRPr="00283806">
              <w:rPr>
                <w:sz w:val="16"/>
              </w:rPr>
              <w:t>Chemical</w:t>
            </w:r>
            <w:r w:rsidRPr="00283806">
              <w:rPr>
                <w:spacing w:val="4"/>
                <w:sz w:val="16"/>
              </w:rPr>
              <w:t xml:space="preserve"> </w:t>
            </w:r>
            <w:r w:rsidRPr="00283806">
              <w:rPr>
                <w:sz w:val="16"/>
              </w:rPr>
              <w:t>Product</w:t>
            </w:r>
            <w:r w:rsidRPr="00283806">
              <w:rPr>
                <w:spacing w:val="3"/>
                <w:sz w:val="16"/>
              </w:rPr>
              <w:t xml:space="preserve"> </w:t>
            </w:r>
            <w:r w:rsidRPr="00283806">
              <w:rPr>
                <w:sz w:val="16"/>
              </w:rPr>
              <w:t>and</w:t>
            </w:r>
            <w:r w:rsidRPr="00283806">
              <w:rPr>
                <w:spacing w:val="4"/>
                <w:sz w:val="16"/>
              </w:rPr>
              <w:t xml:space="preserve"> </w:t>
            </w:r>
            <w:r w:rsidRPr="00283806">
              <w:rPr>
                <w:sz w:val="16"/>
              </w:rPr>
              <w:t>Preparation</w:t>
            </w:r>
            <w:r w:rsidRPr="00283806">
              <w:rPr>
                <w:spacing w:val="4"/>
                <w:sz w:val="16"/>
              </w:rPr>
              <w:t xml:space="preserve"> </w:t>
            </w:r>
            <w:r w:rsidRPr="00283806">
              <w:rPr>
                <w:spacing w:val="-2"/>
                <w:sz w:val="16"/>
              </w:rPr>
              <w:t>Manufacturing.</w:t>
            </w:r>
          </w:p>
        </w:tc>
      </w:tr>
      <w:tr w:rsidR="00D67C1E" w:rsidRPr="00283806" w14:paraId="31DFD231" w14:textId="77777777">
        <w:trPr>
          <w:trHeight w:val="184"/>
        </w:trPr>
        <w:tc>
          <w:tcPr>
            <w:tcW w:w="1307" w:type="dxa"/>
            <w:tcBorders>
              <w:right w:val="single" w:sz="4" w:space="0" w:color="000000"/>
            </w:tcBorders>
          </w:tcPr>
          <w:p w14:paraId="4D667707" w14:textId="77777777" w:rsidR="00D67C1E" w:rsidRPr="00283806" w:rsidRDefault="001265CA">
            <w:pPr>
              <w:pStyle w:val="TableParagraph"/>
              <w:spacing w:line="164" w:lineRule="exact"/>
              <w:ind w:right="69"/>
              <w:rPr>
                <w:sz w:val="16"/>
              </w:rPr>
            </w:pPr>
            <w:r w:rsidRPr="00283806">
              <w:rPr>
                <w:sz w:val="16"/>
              </w:rPr>
              <w:t>326299</w:t>
            </w:r>
            <w:r w:rsidRPr="00283806">
              <w:rPr>
                <w:spacing w:val="11"/>
                <w:sz w:val="16"/>
              </w:rPr>
              <w:t xml:space="preserve"> </w:t>
            </w:r>
            <w:r w:rsidRPr="00283806">
              <w:rPr>
                <w:spacing w:val="-2"/>
                <w:sz w:val="16"/>
              </w:rPr>
              <w:t>..............</w:t>
            </w:r>
          </w:p>
        </w:tc>
        <w:tc>
          <w:tcPr>
            <w:tcW w:w="9133" w:type="dxa"/>
            <w:tcBorders>
              <w:left w:val="single" w:sz="4" w:space="0" w:color="000000"/>
            </w:tcBorders>
          </w:tcPr>
          <w:p w14:paraId="6EF115D7" w14:textId="77777777" w:rsidR="00D67C1E" w:rsidRPr="00283806" w:rsidRDefault="001265CA">
            <w:pPr>
              <w:pStyle w:val="TableParagraph"/>
              <w:spacing w:line="164" w:lineRule="exact"/>
              <w:ind w:left="78"/>
              <w:jc w:val="left"/>
              <w:rPr>
                <w:sz w:val="16"/>
              </w:rPr>
            </w:pPr>
            <w:r w:rsidRPr="00283806">
              <w:rPr>
                <w:sz w:val="16"/>
              </w:rPr>
              <w:t>All</w:t>
            </w:r>
            <w:r w:rsidRPr="00283806">
              <w:rPr>
                <w:spacing w:val="6"/>
                <w:sz w:val="16"/>
              </w:rPr>
              <w:t xml:space="preserve"> </w:t>
            </w:r>
            <w:r w:rsidRPr="00283806">
              <w:rPr>
                <w:sz w:val="16"/>
              </w:rPr>
              <w:t>Other</w:t>
            </w:r>
            <w:r w:rsidRPr="00283806">
              <w:rPr>
                <w:spacing w:val="6"/>
                <w:sz w:val="16"/>
              </w:rPr>
              <w:t xml:space="preserve"> </w:t>
            </w:r>
            <w:r w:rsidRPr="00283806">
              <w:rPr>
                <w:sz w:val="16"/>
              </w:rPr>
              <w:t>Rubber</w:t>
            </w:r>
            <w:r w:rsidRPr="00283806">
              <w:rPr>
                <w:spacing w:val="6"/>
                <w:sz w:val="16"/>
              </w:rPr>
              <w:t xml:space="preserve"> </w:t>
            </w:r>
            <w:r w:rsidRPr="00283806">
              <w:rPr>
                <w:sz w:val="16"/>
              </w:rPr>
              <w:t>Product</w:t>
            </w:r>
            <w:r w:rsidRPr="00283806">
              <w:rPr>
                <w:spacing w:val="6"/>
                <w:sz w:val="16"/>
              </w:rPr>
              <w:t xml:space="preserve"> </w:t>
            </w:r>
            <w:r w:rsidRPr="00283806">
              <w:rPr>
                <w:spacing w:val="-2"/>
                <w:sz w:val="16"/>
              </w:rPr>
              <w:t>Manufacturing.</w:t>
            </w:r>
          </w:p>
        </w:tc>
      </w:tr>
      <w:tr w:rsidR="00D67C1E" w:rsidRPr="00283806" w14:paraId="481D6F08" w14:textId="77777777">
        <w:trPr>
          <w:trHeight w:val="184"/>
        </w:trPr>
        <w:tc>
          <w:tcPr>
            <w:tcW w:w="1307" w:type="dxa"/>
            <w:tcBorders>
              <w:right w:val="single" w:sz="4" w:space="0" w:color="000000"/>
            </w:tcBorders>
          </w:tcPr>
          <w:p w14:paraId="728F69A7" w14:textId="77777777" w:rsidR="00D67C1E" w:rsidRPr="00283806" w:rsidRDefault="001265CA">
            <w:pPr>
              <w:pStyle w:val="TableParagraph"/>
              <w:spacing w:line="164" w:lineRule="exact"/>
              <w:ind w:right="69"/>
              <w:rPr>
                <w:sz w:val="16"/>
              </w:rPr>
            </w:pPr>
            <w:r w:rsidRPr="00283806">
              <w:rPr>
                <w:sz w:val="16"/>
              </w:rPr>
              <w:t>327999</w:t>
            </w:r>
            <w:r w:rsidRPr="00283806">
              <w:rPr>
                <w:spacing w:val="11"/>
                <w:sz w:val="16"/>
              </w:rPr>
              <w:t xml:space="preserve"> </w:t>
            </w:r>
            <w:r w:rsidRPr="00283806">
              <w:rPr>
                <w:spacing w:val="-2"/>
                <w:sz w:val="16"/>
              </w:rPr>
              <w:t>..............</w:t>
            </w:r>
          </w:p>
        </w:tc>
        <w:tc>
          <w:tcPr>
            <w:tcW w:w="9133" w:type="dxa"/>
            <w:tcBorders>
              <w:left w:val="single" w:sz="4" w:space="0" w:color="000000"/>
            </w:tcBorders>
          </w:tcPr>
          <w:p w14:paraId="02D5334B" w14:textId="77777777" w:rsidR="00D67C1E" w:rsidRPr="00283806" w:rsidRDefault="001265CA">
            <w:pPr>
              <w:pStyle w:val="TableParagraph"/>
              <w:spacing w:line="164" w:lineRule="exact"/>
              <w:ind w:left="78"/>
              <w:jc w:val="left"/>
              <w:rPr>
                <w:sz w:val="16"/>
              </w:rPr>
            </w:pPr>
            <w:r w:rsidRPr="00283806">
              <w:rPr>
                <w:sz w:val="16"/>
              </w:rPr>
              <w:t>All</w:t>
            </w:r>
            <w:r w:rsidRPr="00283806">
              <w:rPr>
                <w:spacing w:val="3"/>
                <w:sz w:val="16"/>
              </w:rPr>
              <w:t xml:space="preserve"> </w:t>
            </w:r>
            <w:r w:rsidRPr="00283806">
              <w:rPr>
                <w:sz w:val="16"/>
              </w:rPr>
              <w:t>Other</w:t>
            </w:r>
            <w:r w:rsidRPr="00283806">
              <w:rPr>
                <w:spacing w:val="4"/>
                <w:sz w:val="16"/>
              </w:rPr>
              <w:t xml:space="preserve"> </w:t>
            </w:r>
            <w:r w:rsidRPr="00283806">
              <w:rPr>
                <w:sz w:val="16"/>
              </w:rPr>
              <w:t>Miscellaneous</w:t>
            </w:r>
            <w:r w:rsidRPr="00283806">
              <w:rPr>
                <w:spacing w:val="4"/>
                <w:sz w:val="16"/>
              </w:rPr>
              <w:t xml:space="preserve"> </w:t>
            </w:r>
            <w:r w:rsidRPr="00283806">
              <w:rPr>
                <w:sz w:val="16"/>
              </w:rPr>
              <w:t>Nonmetallic</w:t>
            </w:r>
            <w:r w:rsidRPr="00283806">
              <w:rPr>
                <w:spacing w:val="3"/>
                <w:sz w:val="16"/>
              </w:rPr>
              <w:t xml:space="preserve"> </w:t>
            </w:r>
            <w:r w:rsidRPr="00283806">
              <w:rPr>
                <w:sz w:val="16"/>
              </w:rPr>
              <w:t>Mineral</w:t>
            </w:r>
            <w:r w:rsidRPr="00283806">
              <w:rPr>
                <w:spacing w:val="4"/>
                <w:sz w:val="16"/>
              </w:rPr>
              <w:t xml:space="preserve"> </w:t>
            </w:r>
            <w:r w:rsidRPr="00283806">
              <w:rPr>
                <w:sz w:val="16"/>
              </w:rPr>
              <w:t>Product</w:t>
            </w:r>
            <w:r w:rsidRPr="00283806">
              <w:rPr>
                <w:spacing w:val="4"/>
                <w:sz w:val="16"/>
              </w:rPr>
              <w:t xml:space="preserve"> </w:t>
            </w:r>
            <w:r w:rsidRPr="00283806">
              <w:rPr>
                <w:spacing w:val="-2"/>
                <w:sz w:val="16"/>
              </w:rPr>
              <w:t>Manufacturing.</w:t>
            </w:r>
          </w:p>
        </w:tc>
      </w:tr>
      <w:tr w:rsidR="00D67C1E" w:rsidRPr="00283806" w14:paraId="22A23AFE" w14:textId="77777777">
        <w:trPr>
          <w:trHeight w:val="184"/>
        </w:trPr>
        <w:tc>
          <w:tcPr>
            <w:tcW w:w="1307" w:type="dxa"/>
            <w:tcBorders>
              <w:right w:val="single" w:sz="4" w:space="0" w:color="000000"/>
            </w:tcBorders>
          </w:tcPr>
          <w:p w14:paraId="2C3954E2" w14:textId="77777777" w:rsidR="00D67C1E" w:rsidRPr="00283806" w:rsidRDefault="001265CA">
            <w:pPr>
              <w:pStyle w:val="TableParagraph"/>
              <w:spacing w:line="164" w:lineRule="exact"/>
              <w:ind w:right="69"/>
              <w:rPr>
                <w:sz w:val="16"/>
              </w:rPr>
            </w:pPr>
            <w:r w:rsidRPr="00283806">
              <w:rPr>
                <w:sz w:val="16"/>
              </w:rPr>
              <w:t>332812</w:t>
            </w:r>
            <w:r w:rsidRPr="00283806">
              <w:rPr>
                <w:spacing w:val="11"/>
                <w:sz w:val="16"/>
              </w:rPr>
              <w:t xml:space="preserve"> </w:t>
            </w:r>
            <w:r w:rsidRPr="00283806">
              <w:rPr>
                <w:spacing w:val="-2"/>
                <w:sz w:val="16"/>
              </w:rPr>
              <w:t>..............</w:t>
            </w:r>
          </w:p>
        </w:tc>
        <w:tc>
          <w:tcPr>
            <w:tcW w:w="9133" w:type="dxa"/>
            <w:tcBorders>
              <w:left w:val="single" w:sz="4" w:space="0" w:color="000000"/>
            </w:tcBorders>
          </w:tcPr>
          <w:p w14:paraId="2E7A3DD1" w14:textId="77777777" w:rsidR="00D67C1E" w:rsidRPr="00283806" w:rsidRDefault="001265CA">
            <w:pPr>
              <w:pStyle w:val="TableParagraph"/>
              <w:spacing w:line="164" w:lineRule="exact"/>
              <w:ind w:left="78"/>
              <w:jc w:val="left"/>
              <w:rPr>
                <w:sz w:val="16"/>
              </w:rPr>
            </w:pPr>
            <w:r w:rsidRPr="00283806">
              <w:rPr>
                <w:sz w:val="16"/>
              </w:rPr>
              <w:t>Metal</w:t>
            </w:r>
            <w:r w:rsidRPr="00283806">
              <w:rPr>
                <w:spacing w:val="3"/>
                <w:sz w:val="16"/>
              </w:rPr>
              <w:t xml:space="preserve"> </w:t>
            </w:r>
            <w:r w:rsidRPr="00283806">
              <w:rPr>
                <w:sz w:val="16"/>
              </w:rPr>
              <w:t>Coating,</w:t>
            </w:r>
            <w:r w:rsidRPr="00283806">
              <w:rPr>
                <w:spacing w:val="4"/>
                <w:sz w:val="16"/>
              </w:rPr>
              <w:t xml:space="preserve"> </w:t>
            </w:r>
            <w:r w:rsidRPr="00283806">
              <w:rPr>
                <w:sz w:val="16"/>
              </w:rPr>
              <w:t>Engraving</w:t>
            </w:r>
            <w:r w:rsidRPr="00283806">
              <w:rPr>
                <w:spacing w:val="4"/>
                <w:sz w:val="16"/>
              </w:rPr>
              <w:t xml:space="preserve"> </w:t>
            </w:r>
            <w:r w:rsidRPr="00283806">
              <w:rPr>
                <w:sz w:val="16"/>
              </w:rPr>
              <w:t>(except</w:t>
            </w:r>
            <w:r w:rsidRPr="00283806">
              <w:rPr>
                <w:spacing w:val="4"/>
                <w:sz w:val="16"/>
              </w:rPr>
              <w:t xml:space="preserve"> </w:t>
            </w:r>
            <w:r w:rsidRPr="00283806">
              <w:rPr>
                <w:sz w:val="16"/>
              </w:rPr>
              <w:t>Jewelry</w:t>
            </w:r>
            <w:r w:rsidRPr="00283806">
              <w:rPr>
                <w:spacing w:val="3"/>
                <w:sz w:val="16"/>
              </w:rPr>
              <w:t xml:space="preserve"> </w:t>
            </w:r>
            <w:r w:rsidRPr="00283806">
              <w:rPr>
                <w:sz w:val="16"/>
              </w:rPr>
              <w:t>and</w:t>
            </w:r>
            <w:r w:rsidRPr="00283806">
              <w:rPr>
                <w:spacing w:val="4"/>
                <w:sz w:val="16"/>
              </w:rPr>
              <w:t xml:space="preserve"> </w:t>
            </w:r>
            <w:r w:rsidRPr="00283806">
              <w:rPr>
                <w:sz w:val="16"/>
              </w:rPr>
              <w:t>Silverware),</w:t>
            </w:r>
            <w:r w:rsidRPr="00283806">
              <w:rPr>
                <w:spacing w:val="4"/>
                <w:sz w:val="16"/>
              </w:rPr>
              <w:t xml:space="preserve"> </w:t>
            </w:r>
            <w:r w:rsidRPr="00283806">
              <w:rPr>
                <w:sz w:val="16"/>
              </w:rPr>
              <w:t>and</w:t>
            </w:r>
            <w:r w:rsidRPr="00283806">
              <w:rPr>
                <w:spacing w:val="4"/>
                <w:sz w:val="16"/>
              </w:rPr>
              <w:t xml:space="preserve"> </w:t>
            </w:r>
            <w:r w:rsidRPr="00283806">
              <w:rPr>
                <w:sz w:val="16"/>
              </w:rPr>
              <w:t>Allied</w:t>
            </w:r>
            <w:r w:rsidRPr="00283806">
              <w:rPr>
                <w:spacing w:val="4"/>
                <w:sz w:val="16"/>
              </w:rPr>
              <w:t xml:space="preserve"> </w:t>
            </w:r>
            <w:r w:rsidRPr="00283806">
              <w:rPr>
                <w:sz w:val="16"/>
              </w:rPr>
              <w:t>Services</w:t>
            </w:r>
            <w:r w:rsidRPr="00283806">
              <w:rPr>
                <w:spacing w:val="3"/>
                <w:sz w:val="16"/>
              </w:rPr>
              <w:t xml:space="preserve"> </w:t>
            </w:r>
            <w:r w:rsidRPr="00283806">
              <w:rPr>
                <w:sz w:val="16"/>
              </w:rPr>
              <w:t>to</w:t>
            </w:r>
            <w:r w:rsidRPr="00283806">
              <w:rPr>
                <w:spacing w:val="4"/>
                <w:sz w:val="16"/>
              </w:rPr>
              <w:t xml:space="preserve"> </w:t>
            </w:r>
            <w:r w:rsidRPr="00283806">
              <w:rPr>
                <w:spacing w:val="-2"/>
                <w:sz w:val="16"/>
              </w:rPr>
              <w:t>Manufacturers.</w:t>
            </w:r>
          </w:p>
        </w:tc>
      </w:tr>
      <w:tr w:rsidR="00D67C1E" w:rsidRPr="00283806" w14:paraId="74923DAC" w14:textId="77777777">
        <w:trPr>
          <w:trHeight w:val="184"/>
        </w:trPr>
        <w:tc>
          <w:tcPr>
            <w:tcW w:w="1307" w:type="dxa"/>
            <w:tcBorders>
              <w:right w:val="single" w:sz="4" w:space="0" w:color="000000"/>
            </w:tcBorders>
          </w:tcPr>
          <w:p w14:paraId="44BDE15D" w14:textId="77777777" w:rsidR="00D67C1E" w:rsidRPr="00283806" w:rsidRDefault="001265CA">
            <w:pPr>
              <w:pStyle w:val="TableParagraph"/>
              <w:spacing w:line="164" w:lineRule="exact"/>
              <w:ind w:right="69"/>
              <w:rPr>
                <w:sz w:val="16"/>
              </w:rPr>
            </w:pPr>
            <w:r w:rsidRPr="00283806">
              <w:rPr>
                <w:sz w:val="16"/>
              </w:rPr>
              <w:t>332999</w:t>
            </w:r>
            <w:r w:rsidRPr="00283806">
              <w:rPr>
                <w:spacing w:val="11"/>
                <w:sz w:val="16"/>
              </w:rPr>
              <w:t xml:space="preserve"> </w:t>
            </w:r>
            <w:r w:rsidRPr="00283806">
              <w:rPr>
                <w:spacing w:val="-2"/>
                <w:sz w:val="16"/>
              </w:rPr>
              <w:t>..............</w:t>
            </w:r>
          </w:p>
        </w:tc>
        <w:tc>
          <w:tcPr>
            <w:tcW w:w="9133" w:type="dxa"/>
            <w:tcBorders>
              <w:left w:val="single" w:sz="4" w:space="0" w:color="000000"/>
            </w:tcBorders>
          </w:tcPr>
          <w:p w14:paraId="437B8460" w14:textId="77777777" w:rsidR="00D67C1E" w:rsidRPr="00283806" w:rsidRDefault="001265CA">
            <w:pPr>
              <w:pStyle w:val="TableParagraph"/>
              <w:spacing w:line="164" w:lineRule="exact"/>
              <w:ind w:left="78"/>
              <w:jc w:val="left"/>
              <w:rPr>
                <w:sz w:val="16"/>
              </w:rPr>
            </w:pPr>
            <w:r w:rsidRPr="00283806">
              <w:rPr>
                <w:sz w:val="16"/>
              </w:rPr>
              <w:t>All</w:t>
            </w:r>
            <w:r w:rsidRPr="00283806">
              <w:rPr>
                <w:spacing w:val="4"/>
                <w:sz w:val="16"/>
              </w:rPr>
              <w:t xml:space="preserve"> </w:t>
            </w:r>
            <w:r w:rsidRPr="00283806">
              <w:rPr>
                <w:sz w:val="16"/>
              </w:rPr>
              <w:t>Other</w:t>
            </w:r>
            <w:r w:rsidRPr="00283806">
              <w:rPr>
                <w:spacing w:val="4"/>
                <w:sz w:val="16"/>
              </w:rPr>
              <w:t xml:space="preserve"> </w:t>
            </w:r>
            <w:r w:rsidRPr="00283806">
              <w:rPr>
                <w:sz w:val="16"/>
              </w:rPr>
              <w:t>Miscellaneous</w:t>
            </w:r>
            <w:r w:rsidRPr="00283806">
              <w:rPr>
                <w:spacing w:val="4"/>
                <w:sz w:val="16"/>
              </w:rPr>
              <w:t xml:space="preserve"> </w:t>
            </w:r>
            <w:r w:rsidRPr="00283806">
              <w:rPr>
                <w:sz w:val="16"/>
              </w:rPr>
              <w:t>Fabricated</w:t>
            </w:r>
            <w:r w:rsidRPr="00283806">
              <w:rPr>
                <w:spacing w:val="4"/>
                <w:sz w:val="16"/>
              </w:rPr>
              <w:t xml:space="preserve"> </w:t>
            </w:r>
            <w:r w:rsidRPr="00283806">
              <w:rPr>
                <w:sz w:val="16"/>
              </w:rPr>
              <w:t>Metal</w:t>
            </w:r>
            <w:r w:rsidRPr="00283806">
              <w:rPr>
                <w:spacing w:val="4"/>
                <w:sz w:val="16"/>
              </w:rPr>
              <w:t xml:space="preserve"> </w:t>
            </w:r>
            <w:r w:rsidRPr="00283806">
              <w:rPr>
                <w:sz w:val="16"/>
              </w:rPr>
              <w:t>Product</w:t>
            </w:r>
            <w:r w:rsidRPr="00283806">
              <w:rPr>
                <w:spacing w:val="4"/>
                <w:sz w:val="16"/>
              </w:rPr>
              <w:t xml:space="preserve"> </w:t>
            </w:r>
            <w:r w:rsidRPr="00283806">
              <w:rPr>
                <w:spacing w:val="-2"/>
                <w:sz w:val="16"/>
              </w:rPr>
              <w:t>Manufacturing.</w:t>
            </w:r>
          </w:p>
        </w:tc>
      </w:tr>
      <w:tr w:rsidR="00D67C1E" w:rsidRPr="00283806" w14:paraId="48813A20" w14:textId="77777777">
        <w:trPr>
          <w:trHeight w:val="184"/>
        </w:trPr>
        <w:tc>
          <w:tcPr>
            <w:tcW w:w="1307" w:type="dxa"/>
            <w:tcBorders>
              <w:right w:val="single" w:sz="4" w:space="0" w:color="000000"/>
            </w:tcBorders>
          </w:tcPr>
          <w:p w14:paraId="2954F7C8" w14:textId="77777777" w:rsidR="00D67C1E" w:rsidRPr="00283806" w:rsidRDefault="001265CA">
            <w:pPr>
              <w:pStyle w:val="TableParagraph"/>
              <w:spacing w:line="164" w:lineRule="exact"/>
              <w:ind w:right="69"/>
              <w:rPr>
                <w:sz w:val="16"/>
              </w:rPr>
            </w:pPr>
            <w:r w:rsidRPr="00283806">
              <w:rPr>
                <w:sz w:val="16"/>
              </w:rPr>
              <w:t>333415</w:t>
            </w:r>
            <w:r w:rsidRPr="00283806">
              <w:rPr>
                <w:spacing w:val="11"/>
                <w:sz w:val="16"/>
              </w:rPr>
              <w:t xml:space="preserve"> </w:t>
            </w:r>
            <w:r w:rsidRPr="00283806">
              <w:rPr>
                <w:spacing w:val="-2"/>
                <w:sz w:val="16"/>
              </w:rPr>
              <w:t>..............</w:t>
            </w:r>
          </w:p>
        </w:tc>
        <w:tc>
          <w:tcPr>
            <w:tcW w:w="9133" w:type="dxa"/>
            <w:tcBorders>
              <w:left w:val="single" w:sz="4" w:space="0" w:color="000000"/>
            </w:tcBorders>
          </w:tcPr>
          <w:p w14:paraId="3BB276B8" w14:textId="77777777" w:rsidR="00D67C1E" w:rsidRPr="00283806" w:rsidRDefault="001265CA">
            <w:pPr>
              <w:pStyle w:val="TableParagraph"/>
              <w:spacing w:line="164" w:lineRule="exact"/>
              <w:ind w:left="78"/>
              <w:jc w:val="left"/>
              <w:rPr>
                <w:sz w:val="16"/>
              </w:rPr>
            </w:pPr>
            <w:r w:rsidRPr="00283806">
              <w:rPr>
                <w:sz w:val="16"/>
              </w:rPr>
              <w:t>Air-Conditioning</w:t>
            </w:r>
            <w:r w:rsidRPr="00283806">
              <w:rPr>
                <w:spacing w:val="2"/>
                <w:sz w:val="16"/>
              </w:rPr>
              <w:t xml:space="preserve"> </w:t>
            </w:r>
            <w:r w:rsidRPr="00283806">
              <w:rPr>
                <w:sz w:val="16"/>
              </w:rPr>
              <w:t>and</w:t>
            </w:r>
            <w:r w:rsidRPr="00283806">
              <w:rPr>
                <w:spacing w:val="2"/>
                <w:sz w:val="16"/>
              </w:rPr>
              <w:t xml:space="preserve"> </w:t>
            </w:r>
            <w:r w:rsidRPr="00283806">
              <w:rPr>
                <w:sz w:val="16"/>
              </w:rPr>
              <w:t>Warm</w:t>
            </w:r>
            <w:r w:rsidRPr="00283806">
              <w:rPr>
                <w:spacing w:val="3"/>
                <w:sz w:val="16"/>
              </w:rPr>
              <w:t xml:space="preserve"> </w:t>
            </w:r>
            <w:r w:rsidRPr="00283806">
              <w:rPr>
                <w:sz w:val="16"/>
              </w:rPr>
              <w:t>Air</w:t>
            </w:r>
            <w:r w:rsidRPr="00283806">
              <w:rPr>
                <w:spacing w:val="2"/>
                <w:sz w:val="16"/>
              </w:rPr>
              <w:t xml:space="preserve"> </w:t>
            </w:r>
            <w:r w:rsidRPr="00283806">
              <w:rPr>
                <w:sz w:val="16"/>
              </w:rPr>
              <w:t>Heating</w:t>
            </w:r>
            <w:r w:rsidRPr="00283806">
              <w:rPr>
                <w:spacing w:val="3"/>
                <w:sz w:val="16"/>
              </w:rPr>
              <w:t xml:space="preserve"> </w:t>
            </w:r>
            <w:r w:rsidRPr="00283806">
              <w:rPr>
                <w:sz w:val="16"/>
              </w:rPr>
              <w:t>Equipment</w:t>
            </w:r>
            <w:r w:rsidRPr="00283806">
              <w:rPr>
                <w:spacing w:val="2"/>
                <w:sz w:val="16"/>
              </w:rPr>
              <w:t xml:space="preserve"> </w:t>
            </w:r>
            <w:r w:rsidRPr="00283806">
              <w:rPr>
                <w:sz w:val="16"/>
              </w:rPr>
              <w:t>and</w:t>
            </w:r>
            <w:r w:rsidRPr="00283806">
              <w:rPr>
                <w:spacing w:val="3"/>
                <w:sz w:val="16"/>
              </w:rPr>
              <w:t xml:space="preserve"> </w:t>
            </w:r>
            <w:r w:rsidRPr="00283806">
              <w:rPr>
                <w:sz w:val="16"/>
              </w:rPr>
              <w:t>Commercial</w:t>
            </w:r>
            <w:r w:rsidRPr="00283806">
              <w:rPr>
                <w:spacing w:val="2"/>
                <w:sz w:val="16"/>
              </w:rPr>
              <w:t xml:space="preserve"> </w:t>
            </w:r>
            <w:r w:rsidRPr="00283806">
              <w:rPr>
                <w:sz w:val="16"/>
              </w:rPr>
              <w:t>and</w:t>
            </w:r>
            <w:r w:rsidRPr="00283806">
              <w:rPr>
                <w:spacing w:val="3"/>
                <w:sz w:val="16"/>
              </w:rPr>
              <w:t xml:space="preserve"> </w:t>
            </w:r>
            <w:r w:rsidRPr="00283806">
              <w:rPr>
                <w:sz w:val="16"/>
              </w:rPr>
              <w:t>Industrial</w:t>
            </w:r>
            <w:r w:rsidRPr="00283806">
              <w:rPr>
                <w:spacing w:val="2"/>
                <w:sz w:val="16"/>
              </w:rPr>
              <w:t xml:space="preserve"> </w:t>
            </w:r>
            <w:r w:rsidRPr="00283806">
              <w:rPr>
                <w:sz w:val="16"/>
              </w:rPr>
              <w:t>Refrigeration</w:t>
            </w:r>
            <w:r w:rsidRPr="00283806">
              <w:rPr>
                <w:spacing w:val="3"/>
                <w:sz w:val="16"/>
              </w:rPr>
              <w:t xml:space="preserve"> </w:t>
            </w:r>
            <w:r w:rsidRPr="00283806">
              <w:rPr>
                <w:sz w:val="16"/>
              </w:rPr>
              <w:t>Equipment</w:t>
            </w:r>
            <w:r w:rsidRPr="00283806">
              <w:rPr>
                <w:spacing w:val="2"/>
                <w:sz w:val="16"/>
              </w:rPr>
              <w:t xml:space="preserve"> </w:t>
            </w:r>
            <w:r w:rsidRPr="00283806">
              <w:rPr>
                <w:spacing w:val="-2"/>
                <w:sz w:val="16"/>
              </w:rPr>
              <w:t>Manufacturing.</w:t>
            </w:r>
          </w:p>
        </w:tc>
      </w:tr>
      <w:tr w:rsidR="00D67C1E" w:rsidRPr="00283806" w14:paraId="2C682C35" w14:textId="77777777">
        <w:trPr>
          <w:trHeight w:val="184"/>
        </w:trPr>
        <w:tc>
          <w:tcPr>
            <w:tcW w:w="1307" w:type="dxa"/>
            <w:tcBorders>
              <w:right w:val="single" w:sz="4" w:space="0" w:color="000000"/>
            </w:tcBorders>
          </w:tcPr>
          <w:p w14:paraId="209FA9D4" w14:textId="77777777" w:rsidR="00D67C1E" w:rsidRPr="00283806" w:rsidRDefault="001265CA">
            <w:pPr>
              <w:pStyle w:val="TableParagraph"/>
              <w:spacing w:line="164" w:lineRule="exact"/>
              <w:ind w:right="69"/>
              <w:rPr>
                <w:sz w:val="16"/>
              </w:rPr>
            </w:pPr>
            <w:r w:rsidRPr="00283806">
              <w:rPr>
                <w:sz w:val="16"/>
              </w:rPr>
              <w:t>333511</w:t>
            </w:r>
            <w:r w:rsidRPr="00283806">
              <w:rPr>
                <w:spacing w:val="11"/>
                <w:sz w:val="16"/>
              </w:rPr>
              <w:t xml:space="preserve"> </w:t>
            </w:r>
            <w:r w:rsidRPr="00283806">
              <w:rPr>
                <w:spacing w:val="-2"/>
                <w:sz w:val="16"/>
              </w:rPr>
              <w:t>..............</w:t>
            </w:r>
          </w:p>
        </w:tc>
        <w:tc>
          <w:tcPr>
            <w:tcW w:w="9133" w:type="dxa"/>
            <w:tcBorders>
              <w:left w:val="single" w:sz="4" w:space="0" w:color="000000"/>
            </w:tcBorders>
          </w:tcPr>
          <w:p w14:paraId="2842F971" w14:textId="77777777" w:rsidR="00D67C1E" w:rsidRPr="00283806" w:rsidRDefault="001265CA">
            <w:pPr>
              <w:pStyle w:val="TableParagraph"/>
              <w:spacing w:line="164" w:lineRule="exact"/>
              <w:ind w:left="78"/>
              <w:jc w:val="left"/>
              <w:rPr>
                <w:sz w:val="16"/>
              </w:rPr>
            </w:pPr>
            <w:r w:rsidRPr="00283806">
              <w:rPr>
                <w:sz w:val="16"/>
              </w:rPr>
              <w:t>Industrial</w:t>
            </w:r>
            <w:r w:rsidRPr="00283806">
              <w:rPr>
                <w:spacing w:val="3"/>
                <w:sz w:val="16"/>
              </w:rPr>
              <w:t xml:space="preserve"> </w:t>
            </w:r>
            <w:r w:rsidRPr="00283806">
              <w:rPr>
                <w:sz w:val="16"/>
              </w:rPr>
              <w:t>Mold</w:t>
            </w:r>
            <w:r w:rsidRPr="00283806">
              <w:rPr>
                <w:spacing w:val="3"/>
                <w:sz w:val="16"/>
              </w:rPr>
              <w:t xml:space="preserve"> </w:t>
            </w:r>
            <w:r w:rsidRPr="00283806">
              <w:rPr>
                <w:spacing w:val="-2"/>
                <w:sz w:val="16"/>
              </w:rPr>
              <w:t>Manufacturing.</w:t>
            </w:r>
          </w:p>
        </w:tc>
      </w:tr>
    </w:tbl>
    <w:p w14:paraId="3374C406" w14:textId="77777777" w:rsidR="00D67C1E" w:rsidRPr="00283806" w:rsidRDefault="00D67C1E">
      <w:pPr>
        <w:pStyle w:val="BodyText"/>
        <w:spacing w:before="9"/>
        <w:ind w:left="0"/>
        <w:rPr>
          <w:rFonts w:ascii="Arial"/>
          <w:sz w:val="15"/>
        </w:rPr>
      </w:pPr>
    </w:p>
    <w:p w14:paraId="2190DAB2" w14:textId="77777777" w:rsidR="00D67C1E" w:rsidRPr="00283806" w:rsidRDefault="001265CA">
      <w:pPr>
        <w:tabs>
          <w:tab w:val="left" w:pos="3700"/>
          <w:tab w:val="left" w:pos="7240"/>
        </w:tabs>
        <w:spacing w:line="20" w:lineRule="exact"/>
        <w:ind w:left="160"/>
        <w:rPr>
          <w:rFonts w:ascii="Arial"/>
          <w:sz w:val="2"/>
        </w:rPr>
      </w:pPr>
      <w:r w:rsidRPr="00283806">
        <w:rPr>
          <w:rFonts w:ascii="Arial"/>
          <w:noProof/>
          <w:sz w:val="2"/>
        </w:rPr>
        <mc:AlternateContent>
          <mc:Choice Requires="wpg">
            <w:drawing>
              <wp:inline distT="0" distB="0" distL="0" distR="0" wp14:anchorId="5E709DA6" wp14:editId="50526764">
                <wp:extent cx="635000" cy="6350"/>
                <wp:effectExtent l="9525" t="0" r="3175" b="3175"/>
                <wp:docPr id="25" name="Group 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00" cy="6350"/>
                          <a:chOff x="0" y="0"/>
                          <a:chExt cx="635000" cy="6350"/>
                        </a:xfrm>
                      </wpg:grpSpPr>
                      <wps:wsp>
                        <wps:cNvPr id="26" name="Graphic 26"/>
                        <wps:cNvSpPr/>
                        <wps:spPr>
                          <a:xfrm>
                            <a:off x="0" y="3175"/>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4888218" id="Group 25" o:spid="_x0000_s1026" alt="&quot;&quot;" style="width:50pt;height:.5pt;mso-position-horizontal-relative:char;mso-position-vertical-relative:line" coordsize="635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">
                <v:shape id="Graphic 26" o:spid="_x0000_s1027" style="position:absolute;top:31;width:6350;height:13;visibility:visible;mso-wrap-style:square;v-text-anchor:top" coordsize="635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" path="m,l635000,e" filled="f" strokeweight=".5pt">
                  <v:path arrowok="t"/>
                </v:shape>
                <w10:anchorlock/>
              </v:group>
            </w:pict>
          </mc:Fallback>
        </mc:AlternateContent>
      </w:r>
      <w:r w:rsidRPr="00283806">
        <w:rPr>
          <w:rFonts w:ascii="Arial"/>
          <w:sz w:val="2"/>
        </w:rPr>
        <w:tab/>
      </w:r>
      <w:r w:rsidRPr="00283806">
        <w:rPr>
          <w:rFonts w:ascii="Arial"/>
          <w:noProof/>
          <w:sz w:val="2"/>
        </w:rPr>
        <mc:AlternateContent>
          <mc:Choice Requires="wpg">
            <w:drawing>
              <wp:inline distT="0" distB="0" distL="0" distR="0" wp14:anchorId="004C81E2" wp14:editId="579D6A2D">
                <wp:extent cx="635000" cy="6350"/>
                <wp:effectExtent l="9525" t="0" r="3175" b="3175"/>
                <wp:docPr id="27" name="Group 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00" cy="6350"/>
                          <a:chOff x="0" y="0"/>
                          <a:chExt cx="635000" cy="6350"/>
                        </a:xfrm>
                      </wpg:grpSpPr>
                      <wps:wsp>
                        <wps:cNvPr id="28" name="Graphic 28"/>
                        <wps:cNvSpPr/>
                        <wps:spPr>
                          <a:xfrm>
                            <a:off x="0" y="3175"/>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BDDD2E6" id="Group 27" o:spid="_x0000_s1026" alt="&quot;&quot;" style="width:50pt;height:.5pt;mso-position-horizontal-relative:char;mso-position-vertical-relative:line" coordsize="635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">
                <v:shape id="Graphic 28" o:spid="_x0000_s1027" style="position:absolute;top:31;width:6350;height:13;visibility:visible;mso-wrap-style:square;v-text-anchor:top" coordsize="635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" path="m,l635000,e" filled="f" strokeweight=".5pt">
                  <v:path arrowok="t"/>
                </v:shape>
                <w10:anchorlock/>
              </v:group>
            </w:pict>
          </mc:Fallback>
        </mc:AlternateContent>
      </w:r>
      <w:r w:rsidRPr="00283806">
        <w:rPr>
          <w:rFonts w:ascii="Arial"/>
          <w:sz w:val="2"/>
        </w:rPr>
        <w:tab/>
      </w:r>
      <w:r w:rsidRPr="00283806">
        <w:rPr>
          <w:rFonts w:ascii="Arial"/>
          <w:noProof/>
          <w:sz w:val="2"/>
        </w:rPr>
        <mc:AlternateContent>
          <mc:Choice Requires="wpg">
            <w:drawing>
              <wp:inline distT="0" distB="0" distL="0" distR="0" wp14:anchorId="59F91FEA" wp14:editId="752BAC1C">
                <wp:extent cx="635000" cy="6350"/>
                <wp:effectExtent l="9525" t="0" r="3175" b="3175"/>
                <wp:docPr id="29" name="Group 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00" cy="6350"/>
                          <a:chOff x="0" y="0"/>
                          <a:chExt cx="635000" cy="6350"/>
                        </a:xfrm>
                      </wpg:grpSpPr>
                      <wps:wsp>
                        <wps:cNvPr id="30" name="Graphic 30"/>
                        <wps:cNvSpPr/>
                        <wps:spPr>
                          <a:xfrm>
                            <a:off x="0" y="3175"/>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0E78AD5" id="Group 29" o:spid="_x0000_s1026" alt="&quot;&quot;" style="width:50pt;height:.5pt;mso-position-horizontal-relative:char;mso-position-vertical-relative:line" coordsize="635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">
                <v:shape id="Graphic 30" o:spid="_x0000_s1027" style="position:absolute;top:31;width:6350;height:13;visibility:visible;mso-wrap-style:square;v-text-anchor:top" coordsize="635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" path="m,l635000,e" filled="f" strokeweight=".5pt">
                  <v:path arrowok="t"/>
                </v:shape>
                <w10:anchorlock/>
              </v:group>
            </w:pict>
          </mc:Fallback>
        </mc:AlternateContent>
      </w:r>
    </w:p>
    <w:p w14:paraId="4D22A133" w14:textId="77777777" w:rsidR="00D67C1E" w:rsidRPr="00283806" w:rsidRDefault="00D67C1E">
      <w:pPr>
        <w:spacing w:line="20" w:lineRule="exact"/>
        <w:rPr>
          <w:rFonts w:ascii="Arial"/>
          <w:sz w:val="2"/>
        </w:rPr>
        <w:sectPr w:rsidR="00D67C1E" w:rsidRPr="00283806">
          <w:type w:val="continuous"/>
          <w:pgSz w:w="12240" w:h="15840"/>
          <w:pgMar w:top="880" w:right="780" w:bottom="280" w:left="740" w:header="627" w:footer="0" w:gutter="0"/>
          <w:cols w:space="720"/>
        </w:sectPr>
      </w:pPr>
    </w:p>
    <w:p w14:paraId="448F06C1" w14:textId="77777777" w:rsidR="00D67C1E" w:rsidRPr="00283806" w:rsidRDefault="001265CA">
      <w:pPr>
        <w:spacing w:before="21" w:line="256" w:lineRule="auto"/>
        <w:ind w:left="160" w:right="38" w:firstLine="139"/>
        <w:rPr>
          <w:sz w:val="14"/>
        </w:rPr>
      </w:pPr>
      <w:r w:rsidRPr="00283806">
        <w:rPr>
          <w:w w:val="110"/>
          <w:position w:val="4"/>
          <w:sz w:val="9"/>
        </w:rPr>
        <w:t xml:space="preserve">8 </w:t>
      </w:r>
      <w:r w:rsidRPr="00283806">
        <w:rPr>
          <w:w w:val="110"/>
          <w:sz w:val="14"/>
        </w:rPr>
        <w:t>Klemick, Heather &amp; Kopits, Elizabeth &amp;</w:t>
      </w:r>
      <w:r w:rsidRPr="00283806">
        <w:rPr>
          <w:spacing w:val="40"/>
          <w:w w:val="110"/>
          <w:sz w:val="14"/>
        </w:rPr>
        <w:t xml:space="preserve"> </w:t>
      </w:r>
      <w:r w:rsidRPr="00283806">
        <w:rPr>
          <w:spacing w:val="-2"/>
          <w:w w:val="110"/>
          <w:sz w:val="14"/>
        </w:rPr>
        <w:t>Wolverton, Ann. ‘‘Potential Barriers to Improving</w:t>
      </w:r>
      <w:r w:rsidRPr="00283806">
        <w:rPr>
          <w:spacing w:val="40"/>
          <w:w w:val="110"/>
          <w:sz w:val="14"/>
        </w:rPr>
        <w:t xml:space="preserve"> </w:t>
      </w:r>
      <w:r w:rsidRPr="00283806">
        <w:rPr>
          <w:w w:val="110"/>
          <w:sz w:val="14"/>
        </w:rPr>
        <w:t>Energy Efficiency in Commercial Buildings: The</w:t>
      </w:r>
    </w:p>
    <w:p w14:paraId="3E03032A" w14:textId="77777777" w:rsidR="00D67C1E" w:rsidRPr="00283806" w:rsidRDefault="001265CA">
      <w:pPr>
        <w:spacing w:before="26" w:line="230" w:lineRule="auto"/>
        <w:ind w:left="160" w:right="45"/>
        <w:rPr>
          <w:sz w:val="14"/>
        </w:rPr>
      </w:pPr>
      <w:r w:rsidRPr="00283806">
        <w:br w:type="column"/>
      </w:r>
      <w:r w:rsidRPr="00283806">
        <w:rPr>
          <w:w w:val="105"/>
          <w:sz w:val="14"/>
        </w:rPr>
        <w:t>Case of Supermarket Refrigeration.’’ Journal of</w:t>
      </w:r>
      <w:r w:rsidRPr="00283806">
        <w:rPr>
          <w:spacing w:val="40"/>
          <w:w w:val="105"/>
          <w:sz w:val="14"/>
        </w:rPr>
        <w:t xml:space="preserve"> </w:t>
      </w:r>
      <w:r w:rsidRPr="00283806">
        <w:rPr>
          <w:w w:val="105"/>
          <w:sz w:val="14"/>
        </w:rPr>
        <w:t>Benefit-Cost Analysis. 8, 2017, pp. 1–31.</w:t>
      </w:r>
    </w:p>
    <w:p w14:paraId="149D2F10" w14:textId="77777777" w:rsidR="00D67C1E" w:rsidRPr="00283806" w:rsidRDefault="001265CA">
      <w:pPr>
        <w:spacing w:before="21" w:line="230" w:lineRule="auto"/>
        <w:ind w:left="160" w:firstLine="139"/>
        <w:rPr>
          <w:sz w:val="14"/>
        </w:rPr>
      </w:pPr>
      <w:r w:rsidRPr="00283806">
        <w:rPr>
          <w:w w:val="110"/>
          <w:position w:val="4"/>
          <w:sz w:val="9"/>
        </w:rPr>
        <w:t xml:space="preserve">9 </w:t>
      </w:r>
      <w:r w:rsidRPr="00283806">
        <w:rPr>
          <w:w w:val="110"/>
          <w:sz w:val="14"/>
        </w:rPr>
        <w:t>In the 2023 Technology Transitions RIA</w:t>
      </w:r>
      <w:r w:rsidRPr="00283806">
        <w:rPr>
          <w:spacing w:val="40"/>
          <w:w w:val="110"/>
          <w:sz w:val="14"/>
        </w:rPr>
        <w:t xml:space="preserve"> </w:t>
      </w:r>
      <w:r w:rsidRPr="00283806">
        <w:rPr>
          <w:w w:val="110"/>
          <w:sz w:val="14"/>
        </w:rPr>
        <w:t>Addendum,</w:t>
      </w:r>
      <w:r w:rsidRPr="00283806">
        <w:rPr>
          <w:spacing w:val="-4"/>
          <w:w w:val="110"/>
          <w:sz w:val="14"/>
        </w:rPr>
        <w:t xml:space="preserve"> </w:t>
      </w:r>
      <w:r w:rsidRPr="00283806">
        <w:rPr>
          <w:w w:val="110"/>
          <w:sz w:val="14"/>
        </w:rPr>
        <w:t>EPA</w:t>
      </w:r>
      <w:r w:rsidRPr="00283806">
        <w:rPr>
          <w:spacing w:val="-4"/>
          <w:w w:val="110"/>
          <w:sz w:val="14"/>
        </w:rPr>
        <w:t xml:space="preserve"> </w:t>
      </w:r>
      <w:r w:rsidRPr="00283806">
        <w:rPr>
          <w:w w:val="110"/>
          <w:sz w:val="14"/>
        </w:rPr>
        <w:t>analyzed</w:t>
      </w:r>
      <w:r w:rsidRPr="00283806">
        <w:rPr>
          <w:spacing w:val="-4"/>
          <w:w w:val="110"/>
          <w:sz w:val="14"/>
        </w:rPr>
        <w:t xml:space="preserve"> </w:t>
      </w:r>
      <w:r w:rsidRPr="00283806">
        <w:rPr>
          <w:w w:val="110"/>
          <w:sz w:val="14"/>
        </w:rPr>
        <w:t>a</w:t>
      </w:r>
      <w:r w:rsidRPr="00283806">
        <w:rPr>
          <w:spacing w:val="-4"/>
          <w:w w:val="110"/>
          <w:sz w:val="14"/>
        </w:rPr>
        <w:t xml:space="preserve"> </w:t>
      </w:r>
      <w:r w:rsidRPr="00283806">
        <w:rPr>
          <w:w w:val="110"/>
          <w:sz w:val="14"/>
        </w:rPr>
        <w:t>‘‘base</w:t>
      </w:r>
      <w:r w:rsidRPr="00283806">
        <w:rPr>
          <w:spacing w:val="-4"/>
          <w:w w:val="110"/>
          <w:sz w:val="14"/>
        </w:rPr>
        <w:t xml:space="preserve"> </w:t>
      </w:r>
      <w:r w:rsidRPr="00283806">
        <w:rPr>
          <w:w w:val="110"/>
          <w:sz w:val="14"/>
        </w:rPr>
        <w:t>case’’</w:t>
      </w:r>
      <w:r w:rsidRPr="00283806">
        <w:rPr>
          <w:spacing w:val="-4"/>
          <w:w w:val="110"/>
          <w:sz w:val="14"/>
        </w:rPr>
        <w:t xml:space="preserve"> </w:t>
      </w:r>
      <w:r w:rsidRPr="00283806">
        <w:rPr>
          <w:w w:val="110"/>
          <w:sz w:val="14"/>
        </w:rPr>
        <w:t>and</w:t>
      </w:r>
      <w:r w:rsidRPr="00283806">
        <w:rPr>
          <w:spacing w:val="-4"/>
          <w:w w:val="110"/>
          <w:sz w:val="14"/>
        </w:rPr>
        <w:t xml:space="preserve"> </w:t>
      </w:r>
      <w:r w:rsidRPr="00283806">
        <w:rPr>
          <w:w w:val="110"/>
          <w:sz w:val="14"/>
        </w:rPr>
        <w:t>a</w:t>
      </w:r>
    </w:p>
    <w:p w14:paraId="6D233341" w14:textId="77777777" w:rsidR="00D67C1E" w:rsidRPr="00283806" w:rsidRDefault="001265CA">
      <w:pPr>
        <w:spacing w:before="21"/>
        <w:ind w:left="160" w:right="118"/>
        <w:rPr>
          <w:sz w:val="14"/>
        </w:rPr>
      </w:pPr>
      <w:r w:rsidRPr="00283806">
        <w:br w:type="column"/>
      </w:r>
      <w:r w:rsidRPr="00283806">
        <w:rPr>
          <w:w w:val="110"/>
          <w:sz w:val="14"/>
        </w:rPr>
        <w:t>‘‘high</w:t>
      </w:r>
      <w:r w:rsidRPr="00283806">
        <w:rPr>
          <w:spacing w:val="-9"/>
          <w:w w:val="110"/>
          <w:sz w:val="14"/>
        </w:rPr>
        <w:t xml:space="preserve"> </w:t>
      </w:r>
      <w:r w:rsidRPr="00283806">
        <w:rPr>
          <w:w w:val="110"/>
          <w:sz w:val="14"/>
        </w:rPr>
        <w:t>additionality’’</w:t>
      </w:r>
      <w:r w:rsidRPr="00283806">
        <w:rPr>
          <w:spacing w:val="-8"/>
          <w:w w:val="110"/>
          <w:sz w:val="14"/>
        </w:rPr>
        <w:t xml:space="preserve"> </w:t>
      </w:r>
      <w:r w:rsidRPr="00283806">
        <w:rPr>
          <w:w w:val="110"/>
          <w:sz w:val="14"/>
        </w:rPr>
        <w:t>scenario.</w:t>
      </w:r>
      <w:r w:rsidRPr="00283806">
        <w:rPr>
          <w:spacing w:val="-9"/>
          <w:w w:val="110"/>
          <w:sz w:val="14"/>
        </w:rPr>
        <w:t xml:space="preserve"> </w:t>
      </w:r>
      <w:r w:rsidRPr="00283806">
        <w:rPr>
          <w:w w:val="110"/>
          <w:sz w:val="14"/>
        </w:rPr>
        <w:t>The</w:t>
      </w:r>
      <w:r w:rsidRPr="00283806">
        <w:rPr>
          <w:spacing w:val="-8"/>
          <w:w w:val="110"/>
          <w:sz w:val="14"/>
        </w:rPr>
        <w:t xml:space="preserve"> </w:t>
      </w:r>
      <w:r w:rsidRPr="00283806">
        <w:rPr>
          <w:w w:val="110"/>
          <w:sz w:val="14"/>
        </w:rPr>
        <w:t>former</w:t>
      </w:r>
      <w:r w:rsidRPr="00283806">
        <w:rPr>
          <w:spacing w:val="-9"/>
          <w:w w:val="110"/>
          <w:sz w:val="14"/>
        </w:rPr>
        <w:t xml:space="preserve"> </w:t>
      </w:r>
      <w:r w:rsidRPr="00283806">
        <w:rPr>
          <w:w w:val="110"/>
          <w:sz w:val="14"/>
        </w:rPr>
        <w:t>is</w:t>
      </w:r>
      <w:r w:rsidRPr="00283806">
        <w:rPr>
          <w:spacing w:val="-8"/>
          <w:w w:val="110"/>
          <w:sz w:val="14"/>
        </w:rPr>
        <w:t xml:space="preserve"> </w:t>
      </w:r>
      <w:r w:rsidRPr="00283806">
        <w:rPr>
          <w:w w:val="110"/>
          <w:sz w:val="14"/>
        </w:rPr>
        <w:t>used</w:t>
      </w:r>
      <w:r w:rsidRPr="00283806">
        <w:rPr>
          <w:spacing w:val="-9"/>
          <w:w w:val="110"/>
          <w:sz w:val="14"/>
        </w:rPr>
        <w:t xml:space="preserve"> </w:t>
      </w:r>
      <w:r w:rsidRPr="00283806">
        <w:rPr>
          <w:w w:val="110"/>
          <w:sz w:val="14"/>
        </w:rPr>
        <w:t>as</w:t>
      </w:r>
      <w:r w:rsidRPr="00283806">
        <w:rPr>
          <w:spacing w:val="40"/>
          <w:w w:val="110"/>
          <w:sz w:val="14"/>
        </w:rPr>
        <w:t xml:space="preserve"> </w:t>
      </w:r>
      <w:r w:rsidRPr="00283806">
        <w:rPr>
          <w:w w:val="110"/>
          <w:sz w:val="14"/>
        </w:rPr>
        <w:t>the baseline to analyze the base case scenario for</w:t>
      </w:r>
      <w:r w:rsidRPr="00283806">
        <w:rPr>
          <w:spacing w:val="40"/>
          <w:w w:val="110"/>
          <w:sz w:val="14"/>
        </w:rPr>
        <w:t xml:space="preserve"> </w:t>
      </w:r>
      <w:r w:rsidRPr="00283806">
        <w:rPr>
          <w:w w:val="110"/>
          <w:sz w:val="14"/>
        </w:rPr>
        <w:t>this rule. See the RIA addendum and Economic</w:t>
      </w:r>
      <w:r w:rsidRPr="00283806">
        <w:rPr>
          <w:spacing w:val="40"/>
          <w:w w:val="110"/>
          <w:sz w:val="14"/>
        </w:rPr>
        <w:t xml:space="preserve"> </w:t>
      </w:r>
      <w:r w:rsidRPr="00283806">
        <w:rPr>
          <w:w w:val="110"/>
          <w:sz w:val="14"/>
        </w:rPr>
        <w:t>Impact and Benefits TSD for additional details.</w:t>
      </w:r>
    </w:p>
    <w:p w14:paraId="7A723886" w14:textId="77777777" w:rsidR="00D67C1E" w:rsidRPr="00283806" w:rsidRDefault="00D67C1E">
      <w:pPr>
        <w:rPr>
          <w:sz w:val="14"/>
        </w:rPr>
        <w:sectPr w:rsidR="00D67C1E" w:rsidRPr="00283806">
          <w:type w:val="continuous"/>
          <w:pgSz w:w="12240" w:h="15840"/>
          <w:pgMar w:top="880" w:right="780" w:bottom="280" w:left="740" w:header="627" w:footer="0" w:gutter="0"/>
          <w:cols w:num="3" w:space="720" w:equalWidth="0">
            <w:col w:w="3380" w:space="160"/>
            <w:col w:w="3185" w:space="355"/>
            <w:col w:w="3640"/>
          </w:cols>
        </w:sectPr>
      </w:pPr>
    </w:p>
    <w:p w14:paraId="0AEF6CE3" w14:textId="77777777" w:rsidR="00D67C1E" w:rsidRPr="00283806" w:rsidRDefault="00D67C1E">
      <w:pPr>
        <w:pStyle w:val="BodyText"/>
        <w:spacing w:before="11"/>
        <w:ind w:left="0"/>
        <w:rPr>
          <w:sz w:val="4"/>
        </w:rPr>
      </w:pPr>
    </w:p>
    <w:p w14:paraId="1E30EBDA" w14:textId="77777777" w:rsidR="00D67C1E" w:rsidRPr="00283806" w:rsidRDefault="001265CA">
      <w:pPr>
        <w:pStyle w:val="BodyText"/>
        <w:spacing w:line="20" w:lineRule="exact"/>
        <w:rPr>
          <w:sz w:val="2"/>
        </w:rPr>
      </w:pPr>
      <w:r w:rsidRPr="00283806">
        <w:rPr>
          <w:noProof/>
          <w:sz w:val="2"/>
        </w:rPr>
        <mc:AlternateContent>
          <mc:Choice Requires="wpg">
            <w:drawing>
              <wp:inline distT="0" distB="0" distL="0" distR="0" wp14:anchorId="4A2BD349" wp14:editId="0FA05121">
                <wp:extent cx="6629400" cy="3810"/>
                <wp:effectExtent l="9525" t="0" r="0" b="5715"/>
                <wp:docPr id="38" name="Group 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29400" cy="3810"/>
                          <a:chOff x="0" y="0"/>
                          <a:chExt cx="6629400" cy="3810"/>
                        </a:xfrm>
                      </wpg:grpSpPr>
                      <wps:wsp>
                        <wps:cNvPr id="39" name="Graphic 39"/>
                        <wps:cNvSpPr/>
                        <wps:spPr>
                          <a:xfrm>
                            <a:off x="0" y="1905"/>
                            <a:ext cx="6629400" cy="1270"/>
                          </a:xfrm>
                          <a:custGeom>
                            <a:avLst/>
                            <a:gdLst/>
                            <a:ahLst/>
                            <a:cxnLst/>
                            <a:rect l="l" t="t" r="r" b="b"/>
                            <a:pathLst>
                              <a:path w="6629400">
                                <a:moveTo>
                                  <a:pt x="0" y="0"/>
                                </a:moveTo>
                                <a:lnTo>
                                  <a:pt x="6629400" y="0"/>
                                </a:lnTo>
                              </a:path>
                            </a:pathLst>
                          </a:custGeom>
                          <a:ln w="381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8595437" id="Group 38" o:spid="_x0000_s1026" alt="&quot;&quot;" style="width:522pt;height:.3pt;mso-position-horizontal-relative:char;mso-position-vertical-relative:line" coordsize="66294,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">
                <v:shape id="Graphic 39" o:spid="_x0000_s1027" style="position:absolute;top:19;width:66294;height:12;visibility:visible;mso-wrap-style:square;v-text-anchor:top" coordsize="6629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" path="m,l6629400,e" filled="f" strokeweight=".3pt">
                  <v:path arrowok="t"/>
                </v:shape>
                <w10:anchorlock/>
              </v:group>
            </w:pict>
          </mc:Fallback>
        </mc:AlternateContent>
      </w:r>
    </w:p>
    <w:p w14:paraId="55D4C430" w14:textId="77777777" w:rsidR="00D67C1E" w:rsidRPr="00283806" w:rsidRDefault="001265CA">
      <w:pPr>
        <w:spacing w:before="112"/>
        <w:ind w:left="78" w:right="39"/>
        <w:jc w:val="center"/>
        <w:rPr>
          <w:rFonts w:ascii="Arial" w:hAnsi="Arial"/>
          <w:sz w:val="20"/>
        </w:rPr>
      </w:pPr>
      <w:r w:rsidRPr="00283806">
        <w:rPr>
          <w:rFonts w:ascii="Arial" w:hAnsi="Arial"/>
          <w:sz w:val="20"/>
        </w:rPr>
        <w:t>T</w:t>
      </w:r>
      <w:r w:rsidRPr="00283806">
        <w:rPr>
          <w:rFonts w:ascii="Arial" w:hAnsi="Arial"/>
          <w:sz w:val="16"/>
        </w:rPr>
        <w:t>ABLE</w:t>
      </w:r>
      <w:r w:rsidRPr="00283806">
        <w:rPr>
          <w:rFonts w:ascii="Arial" w:hAnsi="Arial"/>
          <w:spacing w:val="17"/>
          <w:sz w:val="16"/>
        </w:rPr>
        <w:t xml:space="preserve"> </w:t>
      </w:r>
      <w:r w:rsidRPr="00283806">
        <w:rPr>
          <w:rFonts w:ascii="Arial" w:hAnsi="Arial"/>
          <w:sz w:val="20"/>
        </w:rPr>
        <w:t>1—NAICS</w:t>
      </w:r>
      <w:r w:rsidRPr="00283806">
        <w:rPr>
          <w:rFonts w:ascii="Arial" w:hAnsi="Arial"/>
          <w:spacing w:val="6"/>
          <w:sz w:val="20"/>
        </w:rPr>
        <w:t xml:space="preserve"> </w:t>
      </w:r>
      <w:r w:rsidRPr="00283806">
        <w:rPr>
          <w:rFonts w:ascii="Arial" w:hAnsi="Arial"/>
          <w:sz w:val="20"/>
        </w:rPr>
        <w:t>C</w:t>
      </w:r>
      <w:r w:rsidRPr="00283806">
        <w:rPr>
          <w:rFonts w:ascii="Arial" w:hAnsi="Arial"/>
          <w:sz w:val="16"/>
        </w:rPr>
        <w:t>LASSIFICATION</w:t>
      </w:r>
      <w:r w:rsidRPr="00283806">
        <w:rPr>
          <w:rFonts w:ascii="Arial" w:hAnsi="Arial"/>
          <w:spacing w:val="18"/>
          <w:sz w:val="16"/>
        </w:rPr>
        <w:t xml:space="preserve"> </w:t>
      </w:r>
      <w:r w:rsidRPr="00283806">
        <w:rPr>
          <w:rFonts w:ascii="Arial" w:hAnsi="Arial"/>
          <w:sz w:val="16"/>
        </w:rPr>
        <w:t>OF</w:t>
      </w:r>
      <w:r w:rsidRPr="00283806">
        <w:rPr>
          <w:rFonts w:ascii="Arial" w:hAnsi="Arial"/>
          <w:spacing w:val="18"/>
          <w:sz w:val="16"/>
        </w:rPr>
        <w:t xml:space="preserve"> </w:t>
      </w:r>
      <w:r w:rsidRPr="00283806">
        <w:rPr>
          <w:rFonts w:ascii="Arial" w:hAnsi="Arial"/>
          <w:sz w:val="20"/>
        </w:rPr>
        <w:t>P</w:t>
      </w:r>
      <w:r w:rsidRPr="00283806">
        <w:rPr>
          <w:rFonts w:ascii="Arial" w:hAnsi="Arial"/>
          <w:sz w:val="16"/>
        </w:rPr>
        <w:t>OTENTIALLY</w:t>
      </w:r>
      <w:r w:rsidRPr="00283806">
        <w:rPr>
          <w:rFonts w:ascii="Arial" w:hAnsi="Arial"/>
          <w:spacing w:val="18"/>
          <w:sz w:val="16"/>
        </w:rPr>
        <w:t xml:space="preserve"> </w:t>
      </w:r>
      <w:r w:rsidRPr="00283806">
        <w:rPr>
          <w:rFonts w:ascii="Arial" w:hAnsi="Arial"/>
          <w:sz w:val="20"/>
        </w:rPr>
        <w:t>A</w:t>
      </w:r>
      <w:r w:rsidRPr="00283806">
        <w:rPr>
          <w:rFonts w:ascii="Arial" w:hAnsi="Arial"/>
          <w:sz w:val="16"/>
        </w:rPr>
        <w:t>FFECTED</w:t>
      </w:r>
      <w:r w:rsidRPr="00283806">
        <w:rPr>
          <w:rFonts w:ascii="Arial" w:hAnsi="Arial"/>
          <w:spacing w:val="18"/>
          <w:sz w:val="16"/>
        </w:rPr>
        <w:t xml:space="preserve"> </w:t>
      </w:r>
      <w:r w:rsidRPr="00283806">
        <w:rPr>
          <w:rFonts w:ascii="Arial" w:hAnsi="Arial"/>
          <w:sz w:val="20"/>
        </w:rPr>
        <w:t>E</w:t>
      </w:r>
      <w:r w:rsidRPr="00283806">
        <w:rPr>
          <w:rFonts w:ascii="Arial" w:hAnsi="Arial"/>
          <w:sz w:val="16"/>
        </w:rPr>
        <w:t>NTITIES</w:t>
      </w:r>
      <w:r w:rsidRPr="00283806">
        <w:rPr>
          <w:rFonts w:ascii="Arial" w:hAnsi="Arial"/>
          <w:sz w:val="20"/>
        </w:rPr>
        <w:t>—</w:t>
      </w:r>
      <w:r w:rsidRPr="00283806">
        <w:rPr>
          <w:rFonts w:ascii="Arial" w:hAnsi="Arial"/>
          <w:spacing w:val="-2"/>
          <w:sz w:val="20"/>
        </w:rPr>
        <w:t>Continued</w:t>
      </w:r>
    </w:p>
    <w:p w14:paraId="5E7755E7" w14:textId="77777777" w:rsidR="00D67C1E" w:rsidRPr="00283806" w:rsidRDefault="00D67C1E">
      <w:pPr>
        <w:pStyle w:val="BodyText"/>
        <w:spacing w:before="1"/>
        <w:ind w:left="0"/>
        <w:rPr>
          <w:rFonts w:ascii="Arial"/>
          <w:sz w:val="10"/>
        </w:rPr>
      </w:pPr>
    </w:p>
    <w:tbl>
      <w:tblPr>
        <w:tblW w:w="0" w:type="auto"/>
        <w:tblInd w:w="167" w:type="dxa"/>
        <w:tblLayout w:type="fixed"/>
        <w:tblCellMar>
          <w:left w:w="0" w:type="dxa"/>
          <w:right w:w="0" w:type="dxa"/>
        </w:tblCellMar>
        <w:tblLook w:val="01E0" w:firstRow="1" w:lastRow="1" w:firstColumn="1" w:lastColumn="1" w:noHBand="0" w:noVBand="0"/>
      </w:tblPr>
      <w:tblGrid>
        <w:gridCol w:w="1307"/>
        <w:gridCol w:w="9134"/>
      </w:tblGrid>
      <w:tr w:rsidR="00D67C1E" w:rsidRPr="00283806" w14:paraId="377C8D39" w14:textId="77777777">
        <w:trPr>
          <w:trHeight w:val="317"/>
        </w:trPr>
        <w:tc>
          <w:tcPr>
            <w:tcW w:w="1307" w:type="dxa"/>
            <w:tcBorders>
              <w:top w:val="single" w:sz="4" w:space="0" w:color="000000"/>
              <w:bottom w:val="single" w:sz="4" w:space="0" w:color="000000"/>
              <w:right w:val="single" w:sz="4" w:space="0" w:color="000000"/>
            </w:tcBorders>
          </w:tcPr>
          <w:p w14:paraId="23277169" w14:textId="77777777" w:rsidR="00D67C1E" w:rsidRPr="00283806" w:rsidRDefault="001265CA">
            <w:pPr>
              <w:pStyle w:val="TableParagraph"/>
              <w:spacing w:before="57" w:line="240" w:lineRule="auto"/>
              <w:ind w:right="76"/>
              <w:rPr>
                <w:sz w:val="16"/>
              </w:rPr>
            </w:pPr>
            <w:r w:rsidRPr="00283806">
              <w:rPr>
                <w:sz w:val="16"/>
              </w:rPr>
              <w:t>NAICS</w:t>
            </w:r>
            <w:r w:rsidRPr="00283806">
              <w:rPr>
                <w:spacing w:val="2"/>
                <w:sz w:val="16"/>
              </w:rPr>
              <w:t xml:space="preserve"> </w:t>
            </w:r>
            <w:r w:rsidRPr="00283806">
              <w:rPr>
                <w:spacing w:val="-4"/>
                <w:sz w:val="16"/>
              </w:rPr>
              <w:t>Code</w:t>
            </w:r>
          </w:p>
        </w:tc>
        <w:tc>
          <w:tcPr>
            <w:tcW w:w="9134" w:type="dxa"/>
            <w:tcBorders>
              <w:top w:val="single" w:sz="4" w:space="0" w:color="000000"/>
              <w:left w:val="single" w:sz="4" w:space="0" w:color="000000"/>
              <w:bottom w:val="single" w:sz="4" w:space="0" w:color="000000"/>
            </w:tcBorders>
          </w:tcPr>
          <w:p w14:paraId="3B36919A" w14:textId="77777777" w:rsidR="00D67C1E" w:rsidRPr="00283806" w:rsidRDefault="001265CA">
            <w:pPr>
              <w:pStyle w:val="TableParagraph"/>
              <w:spacing w:before="57" w:line="240" w:lineRule="auto"/>
              <w:ind w:left="77"/>
              <w:rPr>
                <w:sz w:val="16"/>
              </w:rPr>
            </w:pPr>
            <w:r w:rsidRPr="00283806">
              <w:rPr>
                <w:sz w:val="16"/>
              </w:rPr>
              <w:t>NAICS</w:t>
            </w:r>
            <w:r w:rsidRPr="00283806">
              <w:rPr>
                <w:spacing w:val="2"/>
                <w:sz w:val="16"/>
              </w:rPr>
              <w:t xml:space="preserve"> </w:t>
            </w:r>
            <w:r w:rsidRPr="00283806">
              <w:rPr>
                <w:sz w:val="16"/>
              </w:rPr>
              <w:t>industry</w:t>
            </w:r>
            <w:r w:rsidRPr="00283806">
              <w:rPr>
                <w:spacing w:val="2"/>
                <w:sz w:val="16"/>
              </w:rPr>
              <w:t xml:space="preserve"> </w:t>
            </w:r>
            <w:r w:rsidRPr="00283806">
              <w:rPr>
                <w:spacing w:val="-2"/>
                <w:sz w:val="16"/>
              </w:rPr>
              <w:t>description</w:t>
            </w:r>
          </w:p>
        </w:tc>
      </w:tr>
      <w:tr w:rsidR="00D67C1E" w:rsidRPr="00283806" w14:paraId="6F3F94D3" w14:textId="77777777">
        <w:trPr>
          <w:trHeight w:val="259"/>
        </w:trPr>
        <w:tc>
          <w:tcPr>
            <w:tcW w:w="1307" w:type="dxa"/>
            <w:tcBorders>
              <w:top w:val="single" w:sz="4" w:space="0" w:color="000000"/>
              <w:right w:val="single" w:sz="4" w:space="0" w:color="000000"/>
            </w:tcBorders>
          </w:tcPr>
          <w:p w14:paraId="40429A1A" w14:textId="77777777" w:rsidR="00D67C1E" w:rsidRPr="00283806" w:rsidRDefault="001265CA">
            <w:pPr>
              <w:pStyle w:val="TableParagraph"/>
              <w:spacing w:before="77" w:line="163" w:lineRule="exact"/>
              <w:ind w:right="69"/>
              <w:rPr>
                <w:sz w:val="16"/>
              </w:rPr>
            </w:pPr>
            <w:r w:rsidRPr="00283806">
              <w:rPr>
                <w:sz w:val="16"/>
              </w:rPr>
              <w:t>333912</w:t>
            </w:r>
            <w:r w:rsidRPr="00283806">
              <w:rPr>
                <w:spacing w:val="11"/>
                <w:sz w:val="16"/>
              </w:rPr>
              <w:t xml:space="preserve"> </w:t>
            </w:r>
            <w:r w:rsidRPr="00283806">
              <w:rPr>
                <w:spacing w:val="-2"/>
                <w:sz w:val="16"/>
              </w:rPr>
              <w:t>..............</w:t>
            </w:r>
          </w:p>
        </w:tc>
        <w:tc>
          <w:tcPr>
            <w:tcW w:w="9134" w:type="dxa"/>
            <w:tcBorders>
              <w:top w:val="single" w:sz="4" w:space="0" w:color="000000"/>
              <w:left w:val="single" w:sz="4" w:space="0" w:color="000000"/>
            </w:tcBorders>
          </w:tcPr>
          <w:p w14:paraId="561E9B7B" w14:textId="77777777" w:rsidR="00D67C1E" w:rsidRPr="00283806" w:rsidRDefault="001265CA">
            <w:pPr>
              <w:pStyle w:val="TableParagraph"/>
              <w:spacing w:before="77" w:line="163" w:lineRule="exact"/>
              <w:ind w:left="78"/>
              <w:jc w:val="left"/>
              <w:rPr>
                <w:sz w:val="16"/>
              </w:rPr>
            </w:pPr>
            <w:r w:rsidRPr="00283806">
              <w:rPr>
                <w:sz w:val="16"/>
              </w:rPr>
              <w:t>Air</w:t>
            </w:r>
            <w:r w:rsidRPr="00283806">
              <w:rPr>
                <w:spacing w:val="4"/>
                <w:sz w:val="16"/>
              </w:rPr>
              <w:t xml:space="preserve"> </w:t>
            </w:r>
            <w:r w:rsidRPr="00283806">
              <w:rPr>
                <w:sz w:val="16"/>
              </w:rPr>
              <w:t>and</w:t>
            </w:r>
            <w:r w:rsidRPr="00283806">
              <w:rPr>
                <w:spacing w:val="5"/>
                <w:sz w:val="16"/>
              </w:rPr>
              <w:t xml:space="preserve"> </w:t>
            </w:r>
            <w:r w:rsidRPr="00283806">
              <w:rPr>
                <w:sz w:val="16"/>
              </w:rPr>
              <w:t>Gas</w:t>
            </w:r>
            <w:r w:rsidRPr="00283806">
              <w:rPr>
                <w:spacing w:val="5"/>
                <w:sz w:val="16"/>
              </w:rPr>
              <w:t xml:space="preserve"> </w:t>
            </w:r>
            <w:r w:rsidRPr="00283806">
              <w:rPr>
                <w:sz w:val="16"/>
              </w:rPr>
              <w:t>Compressor</w:t>
            </w:r>
            <w:r w:rsidRPr="00283806">
              <w:rPr>
                <w:spacing w:val="4"/>
                <w:sz w:val="16"/>
              </w:rPr>
              <w:t xml:space="preserve"> </w:t>
            </w:r>
            <w:r w:rsidRPr="00283806">
              <w:rPr>
                <w:spacing w:val="-2"/>
                <w:sz w:val="16"/>
              </w:rPr>
              <w:t>Manufacturing.</w:t>
            </w:r>
          </w:p>
        </w:tc>
      </w:tr>
      <w:tr w:rsidR="00D67C1E" w:rsidRPr="00283806" w14:paraId="658859BB" w14:textId="77777777">
        <w:trPr>
          <w:trHeight w:val="177"/>
        </w:trPr>
        <w:tc>
          <w:tcPr>
            <w:tcW w:w="1307" w:type="dxa"/>
            <w:tcBorders>
              <w:right w:val="single" w:sz="4" w:space="0" w:color="000000"/>
            </w:tcBorders>
          </w:tcPr>
          <w:p w14:paraId="753D4601" w14:textId="77777777" w:rsidR="00D67C1E" w:rsidRPr="00283806" w:rsidRDefault="001265CA">
            <w:pPr>
              <w:pStyle w:val="TableParagraph"/>
              <w:spacing w:line="158" w:lineRule="exact"/>
              <w:ind w:right="69"/>
              <w:rPr>
                <w:sz w:val="16"/>
              </w:rPr>
            </w:pPr>
            <w:r w:rsidRPr="00283806">
              <w:rPr>
                <w:sz w:val="16"/>
              </w:rPr>
              <w:t>333999</w:t>
            </w:r>
            <w:r w:rsidRPr="00283806">
              <w:rPr>
                <w:spacing w:val="11"/>
                <w:sz w:val="16"/>
              </w:rPr>
              <w:t xml:space="preserve"> </w:t>
            </w:r>
            <w:r w:rsidRPr="00283806">
              <w:rPr>
                <w:spacing w:val="-2"/>
                <w:sz w:val="16"/>
              </w:rPr>
              <w:t>..............</w:t>
            </w:r>
          </w:p>
        </w:tc>
        <w:tc>
          <w:tcPr>
            <w:tcW w:w="9134" w:type="dxa"/>
            <w:tcBorders>
              <w:left w:val="single" w:sz="4" w:space="0" w:color="000000"/>
            </w:tcBorders>
          </w:tcPr>
          <w:p w14:paraId="4AB38F2C" w14:textId="77777777" w:rsidR="00D67C1E" w:rsidRPr="00283806" w:rsidRDefault="001265CA">
            <w:pPr>
              <w:pStyle w:val="TableParagraph"/>
              <w:spacing w:line="158" w:lineRule="exact"/>
              <w:ind w:left="78"/>
              <w:jc w:val="left"/>
              <w:rPr>
                <w:sz w:val="16"/>
              </w:rPr>
            </w:pPr>
            <w:r w:rsidRPr="00283806">
              <w:rPr>
                <w:sz w:val="16"/>
              </w:rPr>
              <w:t>All</w:t>
            </w:r>
            <w:r w:rsidRPr="00283806">
              <w:rPr>
                <w:spacing w:val="2"/>
                <w:sz w:val="16"/>
              </w:rPr>
              <w:t xml:space="preserve"> </w:t>
            </w:r>
            <w:r w:rsidRPr="00283806">
              <w:rPr>
                <w:sz w:val="16"/>
              </w:rPr>
              <w:t>Other</w:t>
            </w:r>
            <w:r w:rsidRPr="00283806">
              <w:rPr>
                <w:spacing w:val="3"/>
                <w:sz w:val="16"/>
              </w:rPr>
              <w:t xml:space="preserve"> </w:t>
            </w:r>
            <w:r w:rsidRPr="00283806">
              <w:rPr>
                <w:sz w:val="16"/>
              </w:rPr>
              <w:t>Miscellaneous</w:t>
            </w:r>
            <w:r w:rsidRPr="00283806">
              <w:rPr>
                <w:spacing w:val="3"/>
                <w:sz w:val="16"/>
              </w:rPr>
              <w:t xml:space="preserve"> </w:t>
            </w:r>
            <w:r w:rsidRPr="00283806">
              <w:rPr>
                <w:sz w:val="16"/>
              </w:rPr>
              <w:t>General</w:t>
            </w:r>
            <w:r w:rsidRPr="00283806">
              <w:rPr>
                <w:spacing w:val="3"/>
                <w:sz w:val="16"/>
              </w:rPr>
              <w:t xml:space="preserve"> </w:t>
            </w:r>
            <w:r w:rsidRPr="00283806">
              <w:rPr>
                <w:sz w:val="16"/>
              </w:rPr>
              <w:t>Purpose</w:t>
            </w:r>
            <w:r w:rsidRPr="00283806">
              <w:rPr>
                <w:spacing w:val="3"/>
                <w:sz w:val="16"/>
              </w:rPr>
              <w:t xml:space="preserve"> </w:t>
            </w:r>
            <w:r w:rsidRPr="00283806">
              <w:rPr>
                <w:sz w:val="16"/>
              </w:rPr>
              <w:t>Machinery</w:t>
            </w:r>
            <w:r w:rsidRPr="00283806">
              <w:rPr>
                <w:spacing w:val="3"/>
                <w:sz w:val="16"/>
              </w:rPr>
              <w:t xml:space="preserve"> </w:t>
            </w:r>
            <w:r w:rsidRPr="00283806">
              <w:rPr>
                <w:spacing w:val="-2"/>
                <w:sz w:val="16"/>
              </w:rPr>
              <w:t>Manufacturing.</w:t>
            </w:r>
          </w:p>
        </w:tc>
      </w:tr>
      <w:tr w:rsidR="00D67C1E" w:rsidRPr="00283806" w14:paraId="7666ADB5" w14:textId="77777777">
        <w:trPr>
          <w:trHeight w:val="177"/>
        </w:trPr>
        <w:tc>
          <w:tcPr>
            <w:tcW w:w="1307" w:type="dxa"/>
            <w:tcBorders>
              <w:right w:val="single" w:sz="4" w:space="0" w:color="000000"/>
            </w:tcBorders>
          </w:tcPr>
          <w:p w14:paraId="3AE75777" w14:textId="77777777" w:rsidR="00D67C1E" w:rsidRPr="00283806" w:rsidRDefault="001265CA">
            <w:pPr>
              <w:pStyle w:val="TableParagraph"/>
              <w:spacing w:line="158" w:lineRule="exact"/>
              <w:ind w:right="69"/>
              <w:rPr>
                <w:sz w:val="16"/>
              </w:rPr>
            </w:pPr>
            <w:r w:rsidRPr="00283806">
              <w:rPr>
                <w:sz w:val="16"/>
              </w:rPr>
              <w:t>334413</w:t>
            </w:r>
            <w:r w:rsidRPr="00283806">
              <w:rPr>
                <w:spacing w:val="11"/>
                <w:sz w:val="16"/>
              </w:rPr>
              <w:t xml:space="preserve"> </w:t>
            </w:r>
            <w:r w:rsidRPr="00283806">
              <w:rPr>
                <w:spacing w:val="-2"/>
                <w:sz w:val="16"/>
              </w:rPr>
              <w:t>..............</w:t>
            </w:r>
          </w:p>
        </w:tc>
        <w:tc>
          <w:tcPr>
            <w:tcW w:w="9134" w:type="dxa"/>
            <w:tcBorders>
              <w:left w:val="single" w:sz="4" w:space="0" w:color="000000"/>
            </w:tcBorders>
          </w:tcPr>
          <w:p w14:paraId="581345B9" w14:textId="77777777" w:rsidR="00D67C1E" w:rsidRPr="00283806" w:rsidRDefault="001265CA">
            <w:pPr>
              <w:pStyle w:val="TableParagraph"/>
              <w:spacing w:line="158" w:lineRule="exact"/>
              <w:ind w:left="78"/>
              <w:jc w:val="left"/>
              <w:rPr>
                <w:sz w:val="16"/>
              </w:rPr>
            </w:pPr>
            <w:r w:rsidRPr="00283806">
              <w:rPr>
                <w:sz w:val="16"/>
              </w:rPr>
              <w:t>Semiconductor</w:t>
            </w:r>
            <w:r w:rsidRPr="00283806">
              <w:rPr>
                <w:spacing w:val="2"/>
                <w:sz w:val="16"/>
              </w:rPr>
              <w:t xml:space="preserve"> </w:t>
            </w:r>
            <w:r w:rsidRPr="00283806">
              <w:rPr>
                <w:sz w:val="16"/>
              </w:rPr>
              <w:t>and</w:t>
            </w:r>
            <w:r w:rsidRPr="00283806">
              <w:rPr>
                <w:spacing w:val="2"/>
                <w:sz w:val="16"/>
              </w:rPr>
              <w:t xml:space="preserve"> </w:t>
            </w:r>
            <w:r w:rsidRPr="00283806">
              <w:rPr>
                <w:sz w:val="16"/>
              </w:rPr>
              <w:t>Related</w:t>
            </w:r>
            <w:r w:rsidRPr="00283806">
              <w:rPr>
                <w:spacing w:val="2"/>
                <w:sz w:val="16"/>
              </w:rPr>
              <w:t xml:space="preserve"> </w:t>
            </w:r>
            <w:r w:rsidRPr="00283806">
              <w:rPr>
                <w:sz w:val="16"/>
              </w:rPr>
              <w:t>Device</w:t>
            </w:r>
            <w:r w:rsidRPr="00283806">
              <w:rPr>
                <w:spacing w:val="2"/>
                <w:sz w:val="16"/>
              </w:rPr>
              <w:t xml:space="preserve"> </w:t>
            </w:r>
            <w:r w:rsidRPr="00283806">
              <w:rPr>
                <w:spacing w:val="-2"/>
                <w:sz w:val="16"/>
              </w:rPr>
              <w:t>Manufacturing.</w:t>
            </w:r>
          </w:p>
        </w:tc>
      </w:tr>
      <w:tr w:rsidR="00D67C1E" w:rsidRPr="00283806" w14:paraId="45B319DD" w14:textId="77777777">
        <w:trPr>
          <w:trHeight w:val="177"/>
        </w:trPr>
        <w:tc>
          <w:tcPr>
            <w:tcW w:w="1307" w:type="dxa"/>
            <w:tcBorders>
              <w:right w:val="single" w:sz="4" w:space="0" w:color="000000"/>
            </w:tcBorders>
          </w:tcPr>
          <w:p w14:paraId="5C230159" w14:textId="77777777" w:rsidR="00D67C1E" w:rsidRPr="00283806" w:rsidRDefault="001265CA">
            <w:pPr>
              <w:pStyle w:val="TableParagraph"/>
              <w:spacing w:line="158" w:lineRule="exact"/>
              <w:ind w:right="69"/>
              <w:rPr>
                <w:sz w:val="16"/>
              </w:rPr>
            </w:pPr>
            <w:r w:rsidRPr="00283806">
              <w:rPr>
                <w:sz w:val="16"/>
              </w:rPr>
              <w:t>334419</w:t>
            </w:r>
            <w:r w:rsidRPr="00283806">
              <w:rPr>
                <w:spacing w:val="11"/>
                <w:sz w:val="16"/>
              </w:rPr>
              <w:t xml:space="preserve"> </w:t>
            </w:r>
            <w:r w:rsidRPr="00283806">
              <w:rPr>
                <w:spacing w:val="-2"/>
                <w:sz w:val="16"/>
              </w:rPr>
              <w:t>..............</w:t>
            </w:r>
          </w:p>
        </w:tc>
        <w:tc>
          <w:tcPr>
            <w:tcW w:w="9134" w:type="dxa"/>
            <w:tcBorders>
              <w:left w:val="single" w:sz="4" w:space="0" w:color="000000"/>
            </w:tcBorders>
          </w:tcPr>
          <w:p w14:paraId="45F79244" w14:textId="77777777" w:rsidR="00D67C1E" w:rsidRPr="00283806" w:rsidRDefault="001265CA">
            <w:pPr>
              <w:pStyle w:val="TableParagraph"/>
              <w:spacing w:line="158" w:lineRule="exact"/>
              <w:ind w:left="78"/>
              <w:jc w:val="left"/>
              <w:rPr>
                <w:sz w:val="16"/>
              </w:rPr>
            </w:pPr>
            <w:r w:rsidRPr="00283806">
              <w:rPr>
                <w:sz w:val="16"/>
              </w:rPr>
              <w:t>Other</w:t>
            </w:r>
            <w:r w:rsidRPr="00283806">
              <w:rPr>
                <w:spacing w:val="2"/>
                <w:sz w:val="16"/>
              </w:rPr>
              <w:t xml:space="preserve"> </w:t>
            </w:r>
            <w:r w:rsidRPr="00283806">
              <w:rPr>
                <w:sz w:val="16"/>
              </w:rPr>
              <w:t>Electronic</w:t>
            </w:r>
            <w:r w:rsidRPr="00283806">
              <w:rPr>
                <w:spacing w:val="3"/>
                <w:sz w:val="16"/>
              </w:rPr>
              <w:t xml:space="preserve"> </w:t>
            </w:r>
            <w:r w:rsidRPr="00283806">
              <w:rPr>
                <w:sz w:val="16"/>
              </w:rPr>
              <w:t>Component</w:t>
            </w:r>
            <w:r w:rsidRPr="00283806">
              <w:rPr>
                <w:spacing w:val="3"/>
                <w:sz w:val="16"/>
              </w:rPr>
              <w:t xml:space="preserve"> </w:t>
            </w:r>
            <w:r w:rsidRPr="00283806">
              <w:rPr>
                <w:spacing w:val="-2"/>
                <w:sz w:val="16"/>
              </w:rPr>
              <w:t>Manufacturing.</w:t>
            </w:r>
          </w:p>
        </w:tc>
      </w:tr>
      <w:tr w:rsidR="00D67C1E" w:rsidRPr="00283806" w14:paraId="777478B6" w14:textId="77777777">
        <w:trPr>
          <w:trHeight w:val="177"/>
        </w:trPr>
        <w:tc>
          <w:tcPr>
            <w:tcW w:w="1307" w:type="dxa"/>
            <w:tcBorders>
              <w:right w:val="single" w:sz="4" w:space="0" w:color="000000"/>
            </w:tcBorders>
          </w:tcPr>
          <w:p w14:paraId="02F400FD" w14:textId="77777777" w:rsidR="00D67C1E" w:rsidRPr="00283806" w:rsidRDefault="001265CA">
            <w:pPr>
              <w:pStyle w:val="TableParagraph"/>
              <w:spacing w:line="158" w:lineRule="exact"/>
              <w:ind w:right="69"/>
              <w:rPr>
                <w:sz w:val="16"/>
              </w:rPr>
            </w:pPr>
            <w:r w:rsidRPr="00283806">
              <w:rPr>
                <w:sz w:val="16"/>
              </w:rPr>
              <w:t>334516</w:t>
            </w:r>
            <w:r w:rsidRPr="00283806">
              <w:rPr>
                <w:spacing w:val="11"/>
                <w:sz w:val="16"/>
              </w:rPr>
              <w:t xml:space="preserve"> </w:t>
            </w:r>
            <w:r w:rsidRPr="00283806">
              <w:rPr>
                <w:spacing w:val="-2"/>
                <w:sz w:val="16"/>
              </w:rPr>
              <w:t>..............</w:t>
            </w:r>
          </w:p>
        </w:tc>
        <w:tc>
          <w:tcPr>
            <w:tcW w:w="9134" w:type="dxa"/>
            <w:tcBorders>
              <w:left w:val="single" w:sz="4" w:space="0" w:color="000000"/>
            </w:tcBorders>
          </w:tcPr>
          <w:p w14:paraId="65D6AB3F" w14:textId="77777777" w:rsidR="00D67C1E" w:rsidRPr="00283806" w:rsidRDefault="001265CA">
            <w:pPr>
              <w:pStyle w:val="TableParagraph"/>
              <w:spacing w:line="158" w:lineRule="exact"/>
              <w:ind w:left="78"/>
              <w:jc w:val="left"/>
              <w:rPr>
                <w:sz w:val="16"/>
              </w:rPr>
            </w:pPr>
            <w:r w:rsidRPr="00283806">
              <w:rPr>
                <w:sz w:val="16"/>
              </w:rPr>
              <w:t>Analytical</w:t>
            </w:r>
            <w:r w:rsidRPr="00283806">
              <w:rPr>
                <w:spacing w:val="3"/>
                <w:sz w:val="16"/>
              </w:rPr>
              <w:t xml:space="preserve"> </w:t>
            </w:r>
            <w:r w:rsidRPr="00283806">
              <w:rPr>
                <w:sz w:val="16"/>
              </w:rPr>
              <w:t>Laboratory</w:t>
            </w:r>
            <w:r w:rsidRPr="00283806">
              <w:rPr>
                <w:spacing w:val="3"/>
                <w:sz w:val="16"/>
              </w:rPr>
              <w:t xml:space="preserve"> </w:t>
            </w:r>
            <w:r w:rsidRPr="00283806">
              <w:rPr>
                <w:sz w:val="16"/>
              </w:rPr>
              <w:t>Instrument</w:t>
            </w:r>
            <w:r w:rsidRPr="00283806">
              <w:rPr>
                <w:spacing w:val="3"/>
                <w:sz w:val="16"/>
              </w:rPr>
              <w:t xml:space="preserve"> </w:t>
            </w:r>
            <w:r w:rsidRPr="00283806">
              <w:rPr>
                <w:spacing w:val="-2"/>
                <w:sz w:val="16"/>
              </w:rPr>
              <w:t>Manufacturing.</w:t>
            </w:r>
          </w:p>
        </w:tc>
      </w:tr>
      <w:tr w:rsidR="00D67C1E" w:rsidRPr="00283806" w14:paraId="4C6D2117" w14:textId="77777777">
        <w:trPr>
          <w:trHeight w:val="178"/>
        </w:trPr>
        <w:tc>
          <w:tcPr>
            <w:tcW w:w="1307" w:type="dxa"/>
            <w:tcBorders>
              <w:right w:val="single" w:sz="4" w:space="0" w:color="000000"/>
            </w:tcBorders>
          </w:tcPr>
          <w:p w14:paraId="4A47D361" w14:textId="77777777" w:rsidR="00D67C1E" w:rsidRPr="00283806" w:rsidRDefault="001265CA">
            <w:pPr>
              <w:pStyle w:val="TableParagraph"/>
              <w:spacing w:line="158" w:lineRule="exact"/>
              <w:ind w:right="69"/>
              <w:rPr>
                <w:sz w:val="16"/>
              </w:rPr>
            </w:pPr>
            <w:r w:rsidRPr="00283806">
              <w:rPr>
                <w:sz w:val="16"/>
              </w:rPr>
              <w:t>335220</w:t>
            </w:r>
            <w:r w:rsidRPr="00283806">
              <w:rPr>
                <w:spacing w:val="11"/>
                <w:sz w:val="16"/>
              </w:rPr>
              <w:t xml:space="preserve"> </w:t>
            </w:r>
            <w:r w:rsidRPr="00283806">
              <w:rPr>
                <w:spacing w:val="-2"/>
                <w:sz w:val="16"/>
              </w:rPr>
              <w:t>..............</w:t>
            </w:r>
          </w:p>
        </w:tc>
        <w:tc>
          <w:tcPr>
            <w:tcW w:w="9134" w:type="dxa"/>
            <w:tcBorders>
              <w:left w:val="single" w:sz="4" w:space="0" w:color="000000"/>
            </w:tcBorders>
          </w:tcPr>
          <w:p w14:paraId="4085146B" w14:textId="77777777" w:rsidR="00D67C1E" w:rsidRPr="00283806" w:rsidRDefault="001265CA">
            <w:pPr>
              <w:pStyle w:val="TableParagraph"/>
              <w:spacing w:line="158" w:lineRule="exact"/>
              <w:ind w:left="78"/>
              <w:jc w:val="left"/>
              <w:rPr>
                <w:sz w:val="16"/>
              </w:rPr>
            </w:pPr>
            <w:r w:rsidRPr="00283806">
              <w:rPr>
                <w:sz w:val="16"/>
              </w:rPr>
              <w:t>Major</w:t>
            </w:r>
            <w:r w:rsidRPr="00283806">
              <w:rPr>
                <w:spacing w:val="1"/>
                <w:sz w:val="16"/>
              </w:rPr>
              <w:t xml:space="preserve"> </w:t>
            </w:r>
            <w:r w:rsidRPr="00283806">
              <w:rPr>
                <w:sz w:val="16"/>
              </w:rPr>
              <w:t>Household</w:t>
            </w:r>
            <w:r w:rsidRPr="00283806">
              <w:rPr>
                <w:spacing w:val="2"/>
                <w:sz w:val="16"/>
              </w:rPr>
              <w:t xml:space="preserve"> </w:t>
            </w:r>
            <w:r w:rsidRPr="00283806">
              <w:rPr>
                <w:sz w:val="16"/>
              </w:rPr>
              <w:t>Appliance</w:t>
            </w:r>
            <w:r w:rsidRPr="00283806">
              <w:rPr>
                <w:spacing w:val="2"/>
                <w:sz w:val="16"/>
              </w:rPr>
              <w:t xml:space="preserve"> </w:t>
            </w:r>
            <w:r w:rsidRPr="00283806">
              <w:rPr>
                <w:spacing w:val="-2"/>
                <w:sz w:val="16"/>
              </w:rPr>
              <w:t>Manufacturing.</w:t>
            </w:r>
          </w:p>
        </w:tc>
      </w:tr>
      <w:tr w:rsidR="00D67C1E" w:rsidRPr="00283806" w14:paraId="1333ADF3" w14:textId="77777777">
        <w:trPr>
          <w:trHeight w:val="177"/>
        </w:trPr>
        <w:tc>
          <w:tcPr>
            <w:tcW w:w="1307" w:type="dxa"/>
            <w:tcBorders>
              <w:right w:val="single" w:sz="4" w:space="0" w:color="000000"/>
            </w:tcBorders>
          </w:tcPr>
          <w:p w14:paraId="119B4F7E" w14:textId="77777777" w:rsidR="00D67C1E" w:rsidRPr="00283806" w:rsidRDefault="001265CA">
            <w:pPr>
              <w:pStyle w:val="TableParagraph"/>
              <w:spacing w:line="158" w:lineRule="exact"/>
              <w:ind w:right="69"/>
              <w:rPr>
                <w:sz w:val="16"/>
              </w:rPr>
            </w:pPr>
            <w:r w:rsidRPr="00283806">
              <w:rPr>
                <w:sz w:val="16"/>
              </w:rPr>
              <w:t>336120</w:t>
            </w:r>
            <w:r w:rsidRPr="00283806">
              <w:rPr>
                <w:spacing w:val="11"/>
                <w:sz w:val="16"/>
              </w:rPr>
              <w:t xml:space="preserve"> </w:t>
            </w:r>
            <w:r w:rsidRPr="00283806">
              <w:rPr>
                <w:spacing w:val="-2"/>
                <w:sz w:val="16"/>
              </w:rPr>
              <w:t>..............</w:t>
            </w:r>
          </w:p>
        </w:tc>
        <w:tc>
          <w:tcPr>
            <w:tcW w:w="9134" w:type="dxa"/>
            <w:tcBorders>
              <w:left w:val="single" w:sz="4" w:space="0" w:color="000000"/>
            </w:tcBorders>
          </w:tcPr>
          <w:p w14:paraId="0E4549FA" w14:textId="77777777" w:rsidR="00D67C1E" w:rsidRPr="00283806" w:rsidRDefault="001265CA">
            <w:pPr>
              <w:pStyle w:val="TableParagraph"/>
              <w:spacing w:line="158" w:lineRule="exact"/>
              <w:ind w:left="78"/>
              <w:jc w:val="left"/>
              <w:rPr>
                <w:sz w:val="16"/>
              </w:rPr>
            </w:pPr>
            <w:r w:rsidRPr="00283806">
              <w:rPr>
                <w:sz w:val="16"/>
              </w:rPr>
              <w:t>Heavy-Duty</w:t>
            </w:r>
            <w:r w:rsidRPr="00283806">
              <w:rPr>
                <w:spacing w:val="3"/>
                <w:sz w:val="16"/>
              </w:rPr>
              <w:t xml:space="preserve"> </w:t>
            </w:r>
            <w:r w:rsidRPr="00283806">
              <w:rPr>
                <w:sz w:val="16"/>
              </w:rPr>
              <w:t>Truck</w:t>
            </w:r>
            <w:r w:rsidRPr="00283806">
              <w:rPr>
                <w:spacing w:val="4"/>
                <w:sz w:val="16"/>
              </w:rPr>
              <w:t xml:space="preserve"> </w:t>
            </w:r>
            <w:r w:rsidRPr="00283806">
              <w:rPr>
                <w:spacing w:val="-2"/>
                <w:sz w:val="16"/>
              </w:rPr>
              <w:t>Manufacturing.</w:t>
            </w:r>
          </w:p>
        </w:tc>
      </w:tr>
      <w:tr w:rsidR="00D67C1E" w:rsidRPr="00283806" w14:paraId="6769646F" w14:textId="77777777">
        <w:trPr>
          <w:trHeight w:val="177"/>
        </w:trPr>
        <w:tc>
          <w:tcPr>
            <w:tcW w:w="1307" w:type="dxa"/>
            <w:tcBorders>
              <w:right w:val="single" w:sz="4" w:space="0" w:color="000000"/>
            </w:tcBorders>
          </w:tcPr>
          <w:p w14:paraId="40A50A9C" w14:textId="77777777" w:rsidR="00D67C1E" w:rsidRPr="00283806" w:rsidRDefault="001265CA">
            <w:pPr>
              <w:pStyle w:val="TableParagraph"/>
              <w:spacing w:line="158" w:lineRule="exact"/>
              <w:ind w:right="69"/>
              <w:rPr>
                <w:sz w:val="16"/>
              </w:rPr>
            </w:pPr>
            <w:r w:rsidRPr="00283806">
              <w:rPr>
                <w:sz w:val="16"/>
              </w:rPr>
              <w:t>336212</w:t>
            </w:r>
            <w:r w:rsidRPr="00283806">
              <w:rPr>
                <w:spacing w:val="11"/>
                <w:sz w:val="16"/>
              </w:rPr>
              <w:t xml:space="preserve"> </w:t>
            </w:r>
            <w:r w:rsidRPr="00283806">
              <w:rPr>
                <w:spacing w:val="-2"/>
                <w:sz w:val="16"/>
              </w:rPr>
              <w:t>..............</w:t>
            </w:r>
          </w:p>
        </w:tc>
        <w:tc>
          <w:tcPr>
            <w:tcW w:w="9134" w:type="dxa"/>
            <w:tcBorders>
              <w:left w:val="single" w:sz="4" w:space="0" w:color="000000"/>
            </w:tcBorders>
          </w:tcPr>
          <w:p w14:paraId="1694D984" w14:textId="77777777" w:rsidR="00D67C1E" w:rsidRPr="00283806" w:rsidRDefault="001265CA">
            <w:pPr>
              <w:pStyle w:val="TableParagraph"/>
              <w:spacing w:line="158" w:lineRule="exact"/>
              <w:ind w:left="78"/>
              <w:jc w:val="left"/>
              <w:rPr>
                <w:sz w:val="16"/>
              </w:rPr>
            </w:pPr>
            <w:r w:rsidRPr="00283806">
              <w:rPr>
                <w:sz w:val="16"/>
              </w:rPr>
              <w:t>Truck</w:t>
            </w:r>
            <w:r w:rsidRPr="00283806">
              <w:rPr>
                <w:spacing w:val="5"/>
                <w:sz w:val="16"/>
              </w:rPr>
              <w:t xml:space="preserve"> </w:t>
            </w:r>
            <w:r w:rsidRPr="00283806">
              <w:rPr>
                <w:sz w:val="16"/>
              </w:rPr>
              <w:t>Trailer</w:t>
            </w:r>
            <w:r w:rsidRPr="00283806">
              <w:rPr>
                <w:spacing w:val="6"/>
                <w:sz w:val="16"/>
              </w:rPr>
              <w:t xml:space="preserve"> </w:t>
            </w:r>
            <w:r w:rsidRPr="00283806">
              <w:rPr>
                <w:spacing w:val="-2"/>
                <w:sz w:val="16"/>
              </w:rPr>
              <w:t>Manufacturing.</w:t>
            </w:r>
          </w:p>
        </w:tc>
      </w:tr>
      <w:tr w:rsidR="00D67C1E" w:rsidRPr="00283806" w14:paraId="055363E4" w14:textId="77777777">
        <w:trPr>
          <w:trHeight w:val="177"/>
        </w:trPr>
        <w:tc>
          <w:tcPr>
            <w:tcW w:w="1307" w:type="dxa"/>
            <w:tcBorders>
              <w:right w:val="single" w:sz="4" w:space="0" w:color="000000"/>
            </w:tcBorders>
          </w:tcPr>
          <w:p w14:paraId="513EDB1A" w14:textId="77777777" w:rsidR="00D67C1E" w:rsidRPr="00283806" w:rsidRDefault="001265CA">
            <w:pPr>
              <w:pStyle w:val="TableParagraph"/>
              <w:spacing w:line="158" w:lineRule="exact"/>
              <w:ind w:right="69"/>
              <w:rPr>
                <w:sz w:val="16"/>
              </w:rPr>
            </w:pPr>
            <w:r w:rsidRPr="00283806">
              <w:rPr>
                <w:sz w:val="16"/>
              </w:rPr>
              <w:t>336214</w:t>
            </w:r>
            <w:r w:rsidRPr="00283806">
              <w:rPr>
                <w:spacing w:val="11"/>
                <w:sz w:val="16"/>
              </w:rPr>
              <w:t xml:space="preserve"> </w:t>
            </w:r>
            <w:r w:rsidRPr="00283806">
              <w:rPr>
                <w:spacing w:val="-2"/>
                <w:sz w:val="16"/>
              </w:rPr>
              <w:t>..............</w:t>
            </w:r>
          </w:p>
        </w:tc>
        <w:tc>
          <w:tcPr>
            <w:tcW w:w="9134" w:type="dxa"/>
            <w:tcBorders>
              <w:left w:val="single" w:sz="4" w:space="0" w:color="000000"/>
            </w:tcBorders>
          </w:tcPr>
          <w:p w14:paraId="73685A0C" w14:textId="77777777" w:rsidR="00D67C1E" w:rsidRPr="00283806" w:rsidRDefault="001265CA">
            <w:pPr>
              <w:pStyle w:val="TableParagraph"/>
              <w:spacing w:line="158" w:lineRule="exact"/>
              <w:ind w:left="78"/>
              <w:jc w:val="left"/>
              <w:rPr>
                <w:sz w:val="16"/>
              </w:rPr>
            </w:pPr>
            <w:r w:rsidRPr="00283806">
              <w:rPr>
                <w:sz w:val="16"/>
              </w:rPr>
              <w:t>Travel</w:t>
            </w:r>
            <w:r w:rsidRPr="00283806">
              <w:rPr>
                <w:spacing w:val="3"/>
                <w:sz w:val="16"/>
              </w:rPr>
              <w:t xml:space="preserve"> </w:t>
            </w:r>
            <w:r w:rsidRPr="00283806">
              <w:rPr>
                <w:sz w:val="16"/>
              </w:rPr>
              <w:t>Trailer</w:t>
            </w:r>
            <w:r w:rsidRPr="00283806">
              <w:rPr>
                <w:spacing w:val="4"/>
                <w:sz w:val="16"/>
              </w:rPr>
              <w:t xml:space="preserve"> </w:t>
            </w:r>
            <w:r w:rsidRPr="00283806">
              <w:rPr>
                <w:sz w:val="16"/>
              </w:rPr>
              <w:t>and</w:t>
            </w:r>
            <w:r w:rsidRPr="00283806">
              <w:rPr>
                <w:spacing w:val="4"/>
                <w:sz w:val="16"/>
              </w:rPr>
              <w:t xml:space="preserve"> </w:t>
            </w:r>
            <w:r w:rsidRPr="00283806">
              <w:rPr>
                <w:sz w:val="16"/>
              </w:rPr>
              <w:t>Camper</w:t>
            </w:r>
            <w:r w:rsidRPr="00283806">
              <w:rPr>
                <w:spacing w:val="3"/>
                <w:sz w:val="16"/>
              </w:rPr>
              <w:t xml:space="preserve"> </w:t>
            </w:r>
            <w:r w:rsidRPr="00283806">
              <w:rPr>
                <w:spacing w:val="-2"/>
                <w:sz w:val="16"/>
              </w:rPr>
              <w:t>Manufacturing.</w:t>
            </w:r>
          </w:p>
        </w:tc>
      </w:tr>
      <w:tr w:rsidR="00D67C1E" w:rsidRPr="00283806" w14:paraId="14861645" w14:textId="77777777">
        <w:trPr>
          <w:trHeight w:val="177"/>
        </w:trPr>
        <w:tc>
          <w:tcPr>
            <w:tcW w:w="1307" w:type="dxa"/>
            <w:tcBorders>
              <w:right w:val="single" w:sz="4" w:space="0" w:color="000000"/>
            </w:tcBorders>
          </w:tcPr>
          <w:p w14:paraId="6B2BDA19" w14:textId="77777777" w:rsidR="00D67C1E" w:rsidRPr="00283806" w:rsidRDefault="001265CA">
            <w:pPr>
              <w:pStyle w:val="TableParagraph"/>
              <w:spacing w:line="158" w:lineRule="exact"/>
              <w:ind w:right="69"/>
              <w:rPr>
                <w:sz w:val="16"/>
              </w:rPr>
            </w:pPr>
            <w:r w:rsidRPr="00283806">
              <w:rPr>
                <w:sz w:val="16"/>
              </w:rPr>
              <w:t>3363</w:t>
            </w:r>
            <w:r w:rsidRPr="00283806">
              <w:rPr>
                <w:spacing w:val="13"/>
                <w:sz w:val="16"/>
              </w:rPr>
              <w:t xml:space="preserve"> </w:t>
            </w:r>
            <w:r w:rsidRPr="00283806">
              <w:rPr>
                <w:spacing w:val="-2"/>
                <w:sz w:val="16"/>
              </w:rPr>
              <w:t>..................</w:t>
            </w:r>
          </w:p>
        </w:tc>
        <w:tc>
          <w:tcPr>
            <w:tcW w:w="9134" w:type="dxa"/>
            <w:tcBorders>
              <w:left w:val="single" w:sz="4" w:space="0" w:color="000000"/>
            </w:tcBorders>
          </w:tcPr>
          <w:p w14:paraId="0C5ADABC" w14:textId="77777777" w:rsidR="00D67C1E" w:rsidRPr="00283806" w:rsidRDefault="001265CA">
            <w:pPr>
              <w:pStyle w:val="TableParagraph"/>
              <w:spacing w:line="158" w:lineRule="exact"/>
              <w:ind w:left="78"/>
              <w:jc w:val="left"/>
              <w:rPr>
                <w:sz w:val="16"/>
              </w:rPr>
            </w:pPr>
            <w:r w:rsidRPr="00283806">
              <w:rPr>
                <w:sz w:val="16"/>
              </w:rPr>
              <w:t>Motor</w:t>
            </w:r>
            <w:r w:rsidRPr="00283806">
              <w:rPr>
                <w:spacing w:val="4"/>
                <w:sz w:val="16"/>
              </w:rPr>
              <w:t xml:space="preserve"> </w:t>
            </w:r>
            <w:r w:rsidRPr="00283806">
              <w:rPr>
                <w:sz w:val="16"/>
              </w:rPr>
              <w:t>Vehicle</w:t>
            </w:r>
            <w:r w:rsidRPr="00283806">
              <w:rPr>
                <w:spacing w:val="5"/>
                <w:sz w:val="16"/>
              </w:rPr>
              <w:t xml:space="preserve"> </w:t>
            </w:r>
            <w:r w:rsidRPr="00283806">
              <w:rPr>
                <w:sz w:val="16"/>
              </w:rPr>
              <w:t>Parts</w:t>
            </w:r>
            <w:r w:rsidRPr="00283806">
              <w:rPr>
                <w:spacing w:val="5"/>
                <w:sz w:val="16"/>
              </w:rPr>
              <w:t xml:space="preserve"> </w:t>
            </w:r>
            <w:r w:rsidRPr="00283806">
              <w:rPr>
                <w:spacing w:val="-2"/>
                <w:sz w:val="16"/>
              </w:rPr>
              <w:t>Manufacturing.</w:t>
            </w:r>
          </w:p>
        </w:tc>
      </w:tr>
      <w:tr w:rsidR="00D67C1E" w:rsidRPr="00283806" w14:paraId="2EC310B6" w14:textId="77777777">
        <w:trPr>
          <w:trHeight w:val="178"/>
        </w:trPr>
        <w:tc>
          <w:tcPr>
            <w:tcW w:w="1307" w:type="dxa"/>
            <w:tcBorders>
              <w:right w:val="single" w:sz="4" w:space="0" w:color="000000"/>
            </w:tcBorders>
          </w:tcPr>
          <w:p w14:paraId="771122D7" w14:textId="77777777" w:rsidR="00D67C1E" w:rsidRPr="00283806" w:rsidRDefault="001265CA">
            <w:pPr>
              <w:pStyle w:val="TableParagraph"/>
              <w:spacing w:line="158" w:lineRule="exact"/>
              <w:ind w:right="69"/>
              <w:rPr>
                <w:sz w:val="16"/>
              </w:rPr>
            </w:pPr>
            <w:r w:rsidRPr="00283806">
              <w:rPr>
                <w:sz w:val="16"/>
              </w:rPr>
              <w:t>3364</w:t>
            </w:r>
            <w:r w:rsidRPr="00283806">
              <w:rPr>
                <w:spacing w:val="13"/>
                <w:sz w:val="16"/>
              </w:rPr>
              <w:t xml:space="preserve"> </w:t>
            </w:r>
            <w:r w:rsidRPr="00283806">
              <w:rPr>
                <w:spacing w:val="-2"/>
                <w:sz w:val="16"/>
              </w:rPr>
              <w:t>..................</w:t>
            </w:r>
          </w:p>
        </w:tc>
        <w:tc>
          <w:tcPr>
            <w:tcW w:w="9134" w:type="dxa"/>
            <w:tcBorders>
              <w:left w:val="single" w:sz="4" w:space="0" w:color="000000"/>
            </w:tcBorders>
          </w:tcPr>
          <w:p w14:paraId="677280C6" w14:textId="77777777" w:rsidR="00D67C1E" w:rsidRPr="00283806" w:rsidRDefault="001265CA">
            <w:pPr>
              <w:pStyle w:val="TableParagraph"/>
              <w:spacing w:line="158" w:lineRule="exact"/>
              <w:ind w:left="78"/>
              <w:jc w:val="left"/>
              <w:rPr>
                <w:sz w:val="16"/>
              </w:rPr>
            </w:pPr>
            <w:r w:rsidRPr="00283806">
              <w:rPr>
                <w:sz w:val="16"/>
              </w:rPr>
              <w:t>Aerospace</w:t>
            </w:r>
            <w:r w:rsidRPr="00283806">
              <w:rPr>
                <w:spacing w:val="5"/>
                <w:sz w:val="16"/>
              </w:rPr>
              <w:t xml:space="preserve"> </w:t>
            </w:r>
            <w:r w:rsidRPr="00283806">
              <w:rPr>
                <w:sz w:val="16"/>
              </w:rPr>
              <w:t>Product</w:t>
            </w:r>
            <w:r w:rsidRPr="00283806">
              <w:rPr>
                <w:spacing w:val="5"/>
                <w:sz w:val="16"/>
              </w:rPr>
              <w:t xml:space="preserve"> </w:t>
            </w:r>
            <w:r w:rsidRPr="00283806">
              <w:rPr>
                <w:sz w:val="16"/>
              </w:rPr>
              <w:t>and</w:t>
            </w:r>
            <w:r w:rsidRPr="00283806">
              <w:rPr>
                <w:spacing w:val="6"/>
                <w:sz w:val="16"/>
              </w:rPr>
              <w:t xml:space="preserve"> </w:t>
            </w:r>
            <w:r w:rsidRPr="00283806">
              <w:rPr>
                <w:sz w:val="16"/>
              </w:rPr>
              <w:t>Parts</w:t>
            </w:r>
            <w:r w:rsidRPr="00283806">
              <w:rPr>
                <w:spacing w:val="5"/>
                <w:sz w:val="16"/>
              </w:rPr>
              <w:t xml:space="preserve"> </w:t>
            </w:r>
            <w:r w:rsidRPr="00283806">
              <w:rPr>
                <w:spacing w:val="-2"/>
                <w:sz w:val="16"/>
              </w:rPr>
              <w:t>Manufacturing.</w:t>
            </w:r>
          </w:p>
        </w:tc>
      </w:tr>
      <w:tr w:rsidR="00D67C1E" w:rsidRPr="00283806" w14:paraId="7B62FE0C" w14:textId="77777777">
        <w:trPr>
          <w:trHeight w:val="179"/>
        </w:trPr>
        <w:tc>
          <w:tcPr>
            <w:tcW w:w="1307" w:type="dxa"/>
            <w:tcBorders>
              <w:right w:val="single" w:sz="4" w:space="0" w:color="000000"/>
            </w:tcBorders>
          </w:tcPr>
          <w:p w14:paraId="0C64D55C" w14:textId="77777777" w:rsidR="00D67C1E" w:rsidRPr="00283806" w:rsidRDefault="001265CA">
            <w:pPr>
              <w:pStyle w:val="TableParagraph"/>
              <w:spacing w:line="159" w:lineRule="exact"/>
              <w:ind w:right="69"/>
              <w:rPr>
                <w:sz w:val="16"/>
              </w:rPr>
            </w:pPr>
            <w:r w:rsidRPr="00283806">
              <w:rPr>
                <w:sz w:val="16"/>
              </w:rPr>
              <w:t>336411</w:t>
            </w:r>
            <w:r w:rsidRPr="00283806">
              <w:rPr>
                <w:spacing w:val="11"/>
                <w:sz w:val="16"/>
              </w:rPr>
              <w:t xml:space="preserve"> </w:t>
            </w:r>
            <w:r w:rsidRPr="00283806">
              <w:rPr>
                <w:spacing w:val="-2"/>
                <w:sz w:val="16"/>
              </w:rPr>
              <w:t>..............</w:t>
            </w:r>
          </w:p>
        </w:tc>
        <w:tc>
          <w:tcPr>
            <w:tcW w:w="9134" w:type="dxa"/>
            <w:tcBorders>
              <w:left w:val="single" w:sz="4" w:space="0" w:color="000000"/>
            </w:tcBorders>
          </w:tcPr>
          <w:p w14:paraId="1359E997" w14:textId="77777777" w:rsidR="00D67C1E" w:rsidRPr="00283806" w:rsidRDefault="001265CA">
            <w:pPr>
              <w:pStyle w:val="TableParagraph"/>
              <w:spacing w:line="159" w:lineRule="exact"/>
              <w:ind w:left="78"/>
              <w:jc w:val="left"/>
              <w:rPr>
                <w:sz w:val="16"/>
              </w:rPr>
            </w:pPr>
            <w:r w:rsidRPr="00283806">
              <w:rPr>
                <w:sz w:val="16"/>
              </w:rPr>
              <w:t>Aircraft</w:t>
            </w:r>
            <w:r w:rsidRPr="00283806">
              <w:rPr>
                <w:spacing w:val="6"/>
                <w:sz w:val="16"/>
              </w:rPr>
              <w:t xml:space="preserve"> </w:t>
            </w:r>
            <w:r w:rsidRPr="00283806">
              <w:rPr>
                <w:spacing w:val="-2"/>
                <w:sz w:val="16"/>
              </w:rPr>
              <w:t>Manufacturing.</w:t>
            </w:r>
          </w:p>
        </w:tc>
      </w:tr>
      <w:tr w:rsidR="00D67C1E" w:rsidRPr="00283806" w14:paraId="5EC01EE7" w14:textId="77777777">
        <w:trPr>
          <w:trHeight w:val="180"/>
        </w:trPr>
        <w:tc>
          <w:tcPr>
            <w:tcW w:w="1307" w:type="dxa"/>
            <w:tcBorders>
              <w:right w:val="single" w:sz="4" w:space="0" w:color="000000"/>
            </w:tcBorders>
          </w:tcPr>
          <w:p w14:paraId="1FB91B68" w14:textId="77777777" w:rsidR="00D67C1E" w:rsidRPr="00283806" w:rsidRDefault="001265CA">
            <w:pPr>
              <w:pStyle w:val="TableParagraph"/>
              <w:ind w:right="69"/>
              <w:rPr>
                <w:sz w:val="16"/>
              </w:rPr>
            </w:pPr>
            <w:r w:rsidRPr="00283806">
              <w:rPr>
                <w:sz w:val="16"/>
              </w:rPr>
              <w:t>336611</w:t>
            </w:r>
            <w:r w:rsidRPr="00283806">
              <w:rPr>
                <w:spacing w:val="11"/>
                <w:sz w:val="16"/>
              </w:rPr>
              <w:t xml:space="preserve"> </w:t>
            </w:r>
            <w:r w:rsidRPr="00283806">
              <w:rPr>
                <w:spacing w:val="-2"/>
                <w:sz w:val="16"/>
              </w:rPr>
              <w:t>..............</w:t>
            </w:r>
          </w:p>
        </w:tc>
        <w:tc>
          <w:tcPr>
            <w:tcW w:w="9134" w:type="dxa"/>
            <w:tcBorders>
              <w:left w:val="single" w:sz="4" w:space="0" w:color="000000"/>
            </w:tcBorders>
          </w:tcPr>
          <w:p w14:paraId="1B5D20CD" w14:textId="77777777" w:rsidR="00D67C1E" w:rsidRPr="00283806" w:rsidRDefault="001265CA">
            <w:pPr>
              <w:pStyle w:val="TableParagraph"/>
              <w:ind w:left="78"/>
              <w:jc w:val="left"/>
              <w:rPr>
                <w:sz w:val="16"/>
              </w:rPr>
            </w:pPr>
            <w:r w:rsidRPr="00283806">
              <w:rPr>
                <w:sz w:val="16"/>
              </w:rPr>
              <w:t>Ship</w:t>
            </w:r>
            <w:r w:rsidRPr="00283806">
              <w:rPr>
                <w:spacing w:val="4"/>
                <w:sz w:val="16"/>
              </w:rPr>
              <w:t xml:space="preserve"> </w:t>
            </w:r>
            <w:r w:rsidRPr="00283806">
              <w:rPr>
                <w:sz w:val="16"/>
              </w:rPr>
              <w:t>Building</w:t>
            </w:r>
            <w:r w:rsidRPr="00283806">
              <w:rPr>
                <w:spacing w:val="4"/>
                <w:sz w:val="16"/>
              </w:rPr>
              <w:t xml:space="preserve"> </w:t>
            </w:r>
            <w:r w:rsidRPr="00283806">
              <w:rPr>
                <w:sz w:val="16"/>
              </w:rPr>
              <w:t>and</w:t>
            </w:r>
            <w:r w:rsidRPr="00283806">
              <w:rPr>
                <w:spacing w:val="4"/>
                <w:sz w:val="16"/>
              </w:rPr>
              <w:t xml:space="preserve"> </w:t>
            </w:r>
            <w:r w:rsidRPr="00283806">
              <w:rPr>
                <w:spacing w:val="-2"/>
                <w:sz w:val="16"/>
              </w:rPr>
              <w:t>Repairing.</w:t>
            </w:r>
          </w:p>
        </w:tc>
      </w:tr>
      <w:tr w:rsidR="00D67C1E" w:rsidRPr="00283806" w14:paraId="38F792A6" w14:textId="77777777">
        <w:trPr>
          <w:trHeight w:val="180"/>
        </w:trPr>
        <w:tc>
          <w:tcPr>
            <w:tcW w:w="1307" w:type="dxa"/>
            <w:tcBorders>
              <w:right w:val="single" w:sz="4" w:space="0" w:color="000000"/>
            </w:tcBorders>
          </w:tcPr>
          <w:p w14:paraId="0B6E7A3C" w14:textId="77777777" w:rsidR="00D67C1E" w:rsidRPr="00283806" w:rsidRDefault="001265CA">
            <w:pPr>
              <w:pStyle w:val="TableParagraph"/>
              <w:ind w:right="69"/>
              <w:rPr>
                <w:sz w:val="16"/>
              </w:rPr>
            </w:pPr>
            <w:r w:rsidRPr="00283806">
              <w:rPr>
                <w:sz w:val="16"/>
              </w:rPr>
              <w:t>336612</w:t>
            </w:r>
            <w:r w:rsidRPr="00283806">
              <w:rPr>
                <w:spacing w:val="11"/>
                <w:sz w:val="16"/>
              </w:rPr>
              <w:t xml:space="preserve"> </w:t>
            </w:r>
            <w:r w:rsidRPr="00283806">
              <w:rPr>
                <w:spacing w:val="-2"/>
                <w:sz w:val="16"/>
              </w:rPr>
              <w:t>..............</w:t>
            </w:r>
          </w:p>
        </w:tc>
        <w:tc>
          <w:tcPr>
            <w:tcW w:w="9134" w:type="dxa"/>
            <w:tcBorders>
              <w:left w:val="single" w:sz="4" w:space="0" w:color="000000"/>
            </w:tcBorders>
          </w:tcPr>
          <w:p w14:paraId="2853FC02" w14:textId="77777777" w:rsidR="00D67C1E" w:rsidRPr="00283806" w:rsidRDefault="001265CA">
            <w:pPr>
              <w:pStyle w:val="TableParagraph"/>
              <w:ind w:left="78"/>
              <w:jc w:val="left"/>
              <w:rPr>
                <w:sz w:val="16"/>
              </w:rPr>
            </w:pPr>
            <w:r w:rsidRPr="00283806">
              <w:rPr>
                <w:sz w:val="16"/>
              </w:rPr>
              <w:t>Boat</w:t>
            </w:r>
            <w:r w:rsidRPr="00283806">
              <w:rPr>
                <w:spacing w:val="4"/>
                <w:sz w:val="16"/>
              </w:rPr>
              <w:t xml:space="preserve"> </w:t>
            </w:r>
            <w:r w:rsidRPr="00283806">
              <w:rPr>
                <w:spacing w:val="-2"/>
                <w:sz w:val="16"/>
              </w:rPr>
              <w:t>Building.</w:t>
            </w:r>
          </w:p>
        </w:tc>
      </w:tr>
      <w:tr w:rsidR="00D67C1E" w:rsidRPr="00283806" w14:paraId="730A8A0D" w14:textId="77777777">
        <w:trPr>
          <w:trHeight w:val="180"/>
        </w:trPr>
        <w:tc>
          <w:tcPr>
            <w:tcW w:w="1307" w:type="dxa"/>
            <w:tcBorders>
              <w:right w:val="single" w:sz="4" w:space="0" w:color="000000"/>
            </w:tcBorders>
          </w:tcPr>
          <w:p w14:paraId="0CC1AD72" w14:textId="77777777" w:rsidR="00D67C1E" w:rsidRPr="00283806" w:rsidRDefault="001265CA">
            <w:pPr>
              <w:pStyle w:val="TableParagraph"/>
              <w:ind w:right="69"/>
              <w:rPr>
                <w:sz w:val="16"/>
              </w:rPr>
            </w:pPr>
            <w:r w:rsidRPr="00283806">
              <w:rPr>
                <w:sz w:val="16"/>
              </w:rPr>
              <w:t>339112</w:t>
            </w:r>
            <w:r w:rsidRPr="00283806">
              <w:rPr>
                <w:spacing w:val="11"/>
                <w:sz w:val="16"/>
              </w:rPr>
              <w:t xml:space="preserve"> </w:t>
            </w:r>
            <w:r w:rsidRPr="00283806">
              <w:rPr>
                <w:spacing w:val="-2"/>
                <w:sz w:val="16"/>
              </w:rPr>
              <w:t>..............</w:t>
            </w:r>
          </w:p>
        </w:tc>
        <w:tc>
          <w:tcPr>
            <w:tcW w:w="9134" w:type="dxa"/>
            <w:tcBorders>
              <w:left w:val="single" w:sz="4" w:space="0" w:color="000000"/>
            </w:tcBorders>
          </w:tcPr>
          <w:p w14:paraId="7D27984C" w14:textId="77777777" w:rsidR="00D67C1E" w:rsidRPr="00283806" w:rsidRDefault="001265CA">
            <w:pPr>
              <w:pStyle w:val="TableParagraph"/>
              <w:ind w:left="78"/>
              <w:jc w:val="left"/>
              <w:rPr>
                <w:sz w:val="16"/>
              </w:rPr>
            </w:pPr>
            <w:r w:rsidRPr="00283806">
              <w:rPr>
                <w:sz w:val="16"/>
              </w:rPr>
              <w:t>Surgical</w:t>
            </w:r>
            <w:r w:rsidRPr="00283806">
              <w:rPr>
                <w:spacing w:val="4"/>
                <w:sz w:val="16"/>
              </w:rPr>
              <w:t xml:space="preserve"> </w:t>
            </w:r>
            <w:r w:rsidRPr="00283806">
              <w:rPr>
                <w:sz w:val="16"/>
              </w:rPr>
              <w:t>and</w:t>
            </w:r>
            <w:r w:rsidRPr="00283806">
              <w:rPr>
                <w:spacing w:val="5"/>
                <w:sz w:val="16"/>
              </w:rPr>
              <w:t xml:space="preserve"> </w:t>
            </w:r>
            <w:r w:rsidRPr="00283806">
              <w:rPr>
                <w:sz w:val="16"/>
              </w:rPr>
              <w:t>Medical</w:t>
            </w:r>
            <w:r w:rsidRPr="00283806">
              <w:rPr>
                <w:spacing w:val="4"/>
                <w:sz w:val="16"/>
              </w:rPr>
              <w:t xml:space="preserve"> </w:t>
            </w:r>
            <w:r w:rsidRPr="00283806">
              <w:rPr>
                <w:sz w:val="16"/>
              </w:rPr>
              <w:t>Instrument</w:t>
            </w:r>
            <w:r w:rsidRPr="00283806">
              <w:rPr>
                <w:spacing w:val="5"/>
                <w:sz w:val="16"/>
              </w:rPr>
              <w:t xml:space="preserve"> </w:t>
            </w:r>
            <w:r w:rsidRPr="00283806">
              <w:rPr>
                <w:spacing w:val="-2"/>
                <w:sz w:val="16"/>
              </w:rPr>
              <w:t>Manufacturing.</w:t>
            </w:r>
          </w:p>
        </w:tc>
      </w:tr>
      <w:tr w:rsidR="00D67C1E" w:rsidRPr="00283806" w14:paraId="5A763A55" w14:textId="77777777">
        <w:trPr>
          <w:trHeight w:val="180"/>
        </w:trPr>
        <w:tc>
          <w:tcPr>
            <w:tcW w:w="1307" w:type="dxa"/>
            <w:tcBorders>
              <w:right w:val="single" w:sz="4" w:space="0" w:color="000000"/>
            </w:tcBorders>
          </w:tcPr>
          <w:p w14:paraId="765F0B08" w14:textId="77777777" w:rsidR="00D67C1E" w:rsidRPr="00283806" w:rsidRDefault="001265CA">
            <w:pPr>
              <w:pStyle w:val="TableParagraph"/>
              <w:ind w:right="69"/>
              <w:rPr>
                <w:sz w:val="16"/>
              </w:rPr>
            </w:pPr>
            <w:r w:rsidRPr="00283806">
              <w:rPr>
                <w:sz w:val="16"/>
              </w:rPr>
              <w:t>339113</w:t>
            </w:r>
            <w:r w:rsidRPr="00283806">
              <w:rPr>
                <w:spacing w:val="11"/>
                <w:sz w:val="16"/>
              </w:rPr>
              <w:t xml:space="preserve"> </w:t>
            </w:r>
            <w:r w:rsidRPr="00283806">
              <w:rPr>
                <w:spacing w:val="-2"/>
                <w:sz w:val="16"/>
              </w:rPr>
              <w:t>..............</w:t>
            </w:r>
          </w:p>
        </w:tc>
        <w:tc>
          <w:tcPr>
            <w:tcW w:w="9134" w:type="dxa"/>
            <w:tcBorders>
              <w:left w:val="single" w:sz="4" w:space="0" w:color="000000"/>
            </w:tcBorders>
          </w:tcPr>
          <w:p w14:paraId="37372AEB" w14:textId="77777777" w:rsidR="00D67C1E" w:rsidRPr="00283806" w:rsidRDefault="001265CA">
            <w:pPr>
              <w:pStyle w:val="TableParagraph"/>
              <w:ind w:left="78"/>
              <w:jc w:val="left"/>
              <w:rPr>
                <w:sz w:val="16"/>
              </w:rPr>
            </w:pPr>
            <w:r w:rsidRPr="00283806">
              <w:rPr>
                <w:sz w:val="16"/>
              </w:rPr>
              <w:t>Surgical</w:t>
            </w:r>
            <w:r w:rsidRPr="00283806">
              <w:rPr>
                <w:spacing w:val="2"/>
                <w:sz w:val="16"/>
              </w:rPr>
              <w:t xml:space="preserve"> </w:t>
            </w:r>
            <w:r w:rsidRPr="00283806">
              <w:rPr>
                <w:sz w:val="16"/>
              </w:rPr>
              <w:t>Appliance</w:t>
            </w:r>
            <w:r w:rsidRPr="00283806">
              <w:rPr>
                <w:spacing w:val="3"/>
                <w:sz w:val="16"/>
              </w:rPr>
              <w:t xml:space="preserve"> </w:t>
            </w:r>
            <w:r w:rsidRPr="00283806">
              <w:rPr>
                <w:sz w:val="16"/>
              </w:rPr>
              <w:t>and</w:t>
            </w:r>
            <w:r w:rsidRPr="00283806">
              <w:rPr>
                <w:spacing w:val="2"/>
                <w:sz w:val="16"/>
              </w:rPr>
              <w:t xml:space="preserve"> </w:t>
            </w:r>
            <w:r w:rsidRPr="00283806">
              <w:rPr>
                <w:sz w:val="16"/>
              </w:rPr>
              <w:t>Supplies</w:t>
            </w:r>
            <w:r w:rsidRPr="00283806">
              <w:rPr>
                <w:spacing w:val="3"/>
                <w:sz w:val="16"/>
              </w:rPr>
              <w:t xml:space="preserve"> </w:t>
            </w:r>
            <w:r w:rsidRPr="00283806">
              <w:rPr>
                <w:spacing w:val="-2"/>
                <w:sz w:val="16"/>
              </w:rPr>
              <w:t>Manufacturing.</w:t>
            </w:r>
          </w:p>
        </w:tc>
      </w:tr>
      <w:tr w:rsidR="00D67C1E" w:rsidRPr="00283806" w14:paraId="62090856" w14:textId="77777777">
        <w:trPr>
          <w:trHeight w:val="180"/>
        </w:trPr>
        <w:tc>
          <w:tcPr>
            <w:tcW w:w="1307" w:type="dxa"/>
            <w:tcBorders>
              <w:right w:val="single" w:sz="4" w:space="0" w:color="000000"/>
            </w:tcBorders>
          </w:tcPr>
          <w:p w14:paraId="04A8BB3B" w14:textId="77777777" w:rsidR="00D67C1E" w:rsidRPr="00283806" w:rsidRDefault="001265CA">
            <w:pPr>
              <w:pStyle w:val="TableParagraph"/>
              <w:ind w:right="69"/>
              <w:rPr>
                <w:sz w:val="16"/>
              </w:rPr>
            </w:pPr>
            <w:r w:rsidRPr="00283806">
              <w:rPr>
                <w:sz w:val="16"/>
              </w:rPr>
              <w:t>339999</w:t>
            </w:r>
            <w:r w:rsidRPr="00283806">
              <w:rPr>
                <w:spacing w:val="11"/>
                <w:sz w:val="16"/>
              </w:rPr>
              <w:t xml:space="preserve"> </w:t>
            </w:r>
            <w:r w:rsidRPr="00283806">
              <w:rPr>
                <w:spacing w:val="-2"/>
                <w:sz w:val="16"/>
              </w:rPr>
              <w:t>..............</w:t>
            </w:r>
          </w:p>
        </w:tc>
        <w:tc>
          <w:tcPr>
            <w:tcW w:w="9134" w:type="dxa"/>
            <w:tcBorders>
              <w:left w:val="single" w:sz="4" w:space="0" w:color="000000"/>
            </w:tcBorders>
          </w:tcPr>
          <w:p w14:paraId="58236C92" w14:textId="77777777" w:rsidR="00D67C1E" w:rsidRPr="00283806" w:rsidRDefault="001265CA">
            <w:pPr>
              <w:pStyle w:val="TableParagraph"/>
              <w:ind w:left="78"/>
              <w:jc w:val="left"/>
              <w:rPr>
                <w:sz w:val="16"/>
              </w:rPr>
            </w:pPr>
            <w:r w:rsidRPr="00283806">
              <w:rPr>
                <w:sz w:val="16"/>
              </w:rPr>
              <w:t>All</w:t>
            </w:r>
            <w:r w:rsidRPr="00283806">
              <w:rPr>
                <w:spacing w:val="4"/>
                <w:sz w:val="16"/>
              </w:rPr>
              <w:t xml:space="preserve"> </w:t>
            </w:r>
            <w:r w:rsidRPr="00283806">
              <w:rPr>
                <w:sz w:val="16"/>
              </w:rPr>
              <w:t>Other</w:t>
            </w:r>
            <w:r w:rsidRPr="00283806">
              <w:rPr>
                <w:spacing w:val="4"/>
                <w:sz w:val="16"/>
              </w:rPr>
              <w:t xml:space="preserve"> </w:t>
            </w:r>
            <w:r w:rsidRPr="00283806">
              <w:rPr>
                <w:sz w:val="16"/>
              </w:rPr>
              <w:t>Miscellaneous</w:t>
            </w:r>
            <w:r w:rsidRPr="00283806">
              <w:rPr>
                <w:spacing w:val="4"/>
                <w:sz w:val="16"/>
              </w:rPr>
              <w:t xml:space="preserve"> </w:t>
            </w:r>
            <w:r w:rsidRPr="00283806">
              <w:rPr>
                <w:spacing w:val="-2"/>
                <w:sz w:val="16"/>
              </w:rPr>
              <w:t>Manufacturing.</w:t>
            </w:r>
          </w:p>
        </w:tc>
      </w:tr>
      <w:tr w:rsidR="00D67C1E" w:rsidRPr="00283806" w14:paraId="4921D53D" w14:textId="77777777">
        <w:trPr>
          <w:trHeight w:val="180"/>
        </w:trPr>
        <w:tc>
          <w:tcPr>
            <w:tcW w:w="1307" w:type="dxa"/>
            <w:tcBorders>
              <w:right w:val="single" w:sz="4" w:space="0" w:color="000000"/>
            </w:tcBorders>
          </w:tcPr>
          <w:p w14:paraId="0F91A948" w14:textId="77777777" w:rsidR="00D67C1E" w:rsidRPr="00283806" w:rsidRDefault="001265CA">
            <w:pPr>
              <w:pStyle w:val="TableParagraph"/>
              <w:ind w:right="69"/>
              <w:rPr>
                <w:sz w:val="16"/>
              </w:rPr>
            </w:pPr>
            <w:r w:rsidRPr="00283806">
              <w:rPr>
                <w:sz w:val="16"/>
              </w:rPr>
              <w:t>423120</w:t>
            </w:r>
            <w:r w:rsidRPr="00283806">
              <w:rPr>
                <w:spacing w:val="11"/>
                <w:sz w:val="16"/>
              </w:rPr>
              <w:t xml:space="preserve"> </w:t>
            </w:r>
            <w:r w:rsidRPr="00283806">
              <w:rPr>
                <w:spacing w:val="-2"/>
                <w:sz w:val="16"/>
              </w:rPr>
              <w:t>..............</w:t>
            </w:r>
          </w:p>
        </w:tc>
        <w:tc>
          <w:tcPr>
            <w:tcW w:w="9134" w:type="dxa"/>
            <w:tcBorders>
              <w:left w:val="single" w:sz="4" w:space="0" w:color="000000"/>
            </w:tcBorders>
          </w:tcPr>
          <w:p w14:paraId="6217E10F" w14:textId="77777777" w:rsidR="00D67C1E" w:rsidRPr="00283806" w:rsidRDefault="001265CA">
            <w:pPr>
              <w:pStyle w:val="TableParagraph"/>
              <w:ind w:left="78"/>
              <w:jc w:val="left"/>
              <w:rPr>
                <w:sz w:val="16"/>
              </w:rPr>
            </w:pPr>
            <w:r w:rsidRPr="00283806">
              <w:rPr>
                <w:sz w:val="16"/>
              </w:rPr>
              <w:t>Motor</w:t>
            </w:r>
            <w:r w:rsidRPr="00283806">
              <w:rPr>
                <w:spacing w:val="3"/>
                <w:sz w:val="16"/>
              </w:rPr>
              <w:t xml:space="preserve"> </w:t>
            </w:r>
            <w:r w:rsidRPr="00283806">
              <w:rPr>
                <w:sz w:val="16"/>
              </w:rPr>
              <w:t>Vehicle</w:t>
            </w:r>
            <w:r w:rsidRPr="00283806">
              <w:rPr>
                <w:spacing w:val="4"/>
                <w:sz w:val="16"/>
              </w:rPr>
              <w:t xml:space="preserve"> </w:t>
            </w:r>
            <w:r w:rsidRPr="00283806">
              <w:rPr>
                <w:sz w:val="16"/>
              </w:rPr>
              <w:t>Supplies</w:t>
            </w:r>
            <w:r w:rsidRPr="00283806">
              <w:rPr>
                <w:spacing w:val="4"/>
                <w:sz w:val="16"/>
              </w:rPr>
              <w:t xml:space="preserve"> </w:t>
            </w:r>
            <w:r w:rsidRPr="00283806">
              <w:rPr>
                <w:sz w:val="16"/>
              </w:rPr>
              <w:t>and</w:t>
            </w:r>
            <w:r w:rsidRPr="00283806">
              <w:rPr>
                <w:spacing w:val="4"/>
                <w:sz w:val="16"/>
              </w:rPr>
              <w:t xml:space="preserve"> </w:t>
            </w:r>
            <w:r w:rsidRPr="00283806">
              <w:rPr>
                <w:sz w:val="16"/>
              </w:rPr>
              <w:t>New</w:t>
            </w:r>
            <w:r w:rsidRPr="00283806">
              <w:rPr>
                <w:spacing w:val="4"/>
                <w:sz w:val="16"/>
              </w:rPr>
              <w:t xml:space="preserve"> </w:t>
            </w:r>
            <w:r w:rsidRPr="00283806">
              <w:rPr>
                <w:sz w:val="16"/>
              </w:rPr>
              <w:t>Parts</w:t>
            </w:r>
            <w:r w:rsidRPr="00283806">
              <w:rPr>
                <w:spacing w:val="4"/>
                <w:sz w:val="16"/>
              </w:rPr>
              <w:t xml:space="preserve"> </w:t>
            </w:r>
            <w:r w:rsidRPr="00283806">
              <w:rPr>
                <w:sz w:val="16"/>
              </w:rPr>
              <w:t>Merchant</w:t>
            </w:r>
            <w:r w:rsidRPr="00283806">
              <w:rPr>
                <w:spacing w:val="4"/>
                <w:sz w:val="16"/>
              </w:rPr>
              <w:t xml:space="preserve"> </w:t>
            </w:r>
            <w:r w:rsidRPr="00283806">
              <w:rPr>
                <w:spacing w:val="-2"/>
                <w:sz w:val="16"/>
              </w:rPr>
              <w:t>Wholesalers.</w:t>
            </w:r>
          </w:p>
        </w:tc>
      </w:tr>
      <w:tr w:rsidR="00D67C1E" w:rsidRPr="00283806" w14:paraId="1C11D836" w14:textId="77777777">
        <w:trPr>
          <w:trHeight w:val="180"/>
        </w:trPr>
        <w:tc>
          <w:tcPr>
            <w:tcW w:w="1307" w:type="dxa"/>
            <w:tcBorders>
              <w:right w:val="single" w:sz="4" w:space="0" w:color="000000"/>
            </w:tcBorders>
          </w:tcPr>
          <w:p w14:paraId="31FE685E" w14:textId="77777777" w:rsidR="00D67C1E" w:rsidRPr="00283806" w:rsidRDefault="001265CA">
            <w:pPr>
              <w:pStyle w:val="TableParagraph"/>
              <w:ind w:right="69"/>
              <w:rPr>
                <w:sz w:val="16"/>
              </w:rPr>
            </w:pPr>
            <w:r w:rsidRPr="00283806">
              <w:rPr>
                <w:sz w:val="16"/>
              </w:rPr>
              <w:t>423450</w:t>
            </w:r>
            <w:r w:rsidRPr="00283806">
              <w:rPr>
                <w:spacing w:val="11"/>
                <w:sz w:val="16"/>
              </w:rPr>
              <w:t xml:space="preserve"> </w:t>
            </w:r>
            <w:r w:rsidRPr="00283806">
              <w:rPr>
                <w:spacing w:val="-2"/>
                <w:sz w:val="16"/>
              </w:rPr>
              <w:t>..............</w:t>
            </w:r>
          </w:p>
        </w:tc>
        <w:tc>
          <w:tcPr>
            <w:tcW w:w="9134" w:type="dxa"/>
            <w:tcBorders>
              <w:left w:val="single" w:sz="4" w:space="0" w:color="000000"/>
            </w:tcBorders>
          </w:tcPr>
          <w:p w14:paraId="07F6A483" w14:textId="77777777" w:rsidR="00D67C1E" w:rsidRPr="00283806" w:rsidRDefault="001265CA">
            <w:pPr>
              <w:pStyle w:val="TableParagraph"/>
              <w:ind w:left="78"/>
              <w:jc w:val="left"/>
              <w:rPr>
                <w:sz w:val="16"/>
              </w:rPr>
            </w:pPr>
            <w:r w:rsidRPr="00283806">
              <w:rPr>
                <w:sz w:val="16"/>
              </w:rPr>
              <w:t>Medical,</w:t>
            </w:r>
            <w:r w:rsidRPr="00283806">
              <w:rPr>
                <w:spacing w:val="2"/>
                <w:sz w:val="16"/>
              </w:rPr>
              <w:t xml:space="preserve"> </w:t>
            </w:r>
            <w:r w:rsidRPr="00283806">
              <w:rPr>
                <w:sz w:val="16"/>
              </w:rPr>
              <w:t>Dental,</w:t>
            </w:r>
            <w:r w:rsidRPr="00283806">
              <w:rPr>
                <w:spacing w:val="3"/>
                <w:sz w:val="16"/>
              </w:rPr>
              <w:t xml:space="preserve"> </w:t>
            </w:r>
            <w:r w:rsidRPr="00283806">
              <w:rPr>
                <w:sz w:val="16"/>
              </w:rPr>
              <w:t>and</w:t>
            </w:r>
            <w:r w:rsidRPr="00283806">
              <w:rPr>
                <w:spacing w:val="3"/>
                <w:sz w:val="16"/>
              </w:rPr>
              <w:t xml:space="preserve"> </w:t>
            </w:r>
            <w:r w:rsidRPr="00283806">
              <w:rPr>
                <w:sz w:val="16"/>
              </w:rPr>
              <w:t>Hospital</w:t>
            </w:r>
            <w:r w:rsidRPr="00283806">
              <w:rPr>
                <w:spacing w:val="2"/>
                <w:sz w:val="16"/>
              </w:rPr>
              <w:t xml:space="preserve"> </w:t>
            </w:r>
            <w:r w:rsidRPr="00283806">
              <w:rPr>
                <w:sz w:val="16"/>
              </w:rPr>
              <w:t>Equipment</w:t>
            </w:r>
            <w:r w:rsidRPr="00283806">
              <w:rPr>
                <w:spacing w:val="3"/>
                <w:sz w:val="16"/>
              </w:rPr>
              <w:t xml:space="preserve"> </w:t>
            </w:r>
            <w:r w:rsidRPr="00283806">
              <w:rPr>
                <w:sz w:val="16"/>
              </w:rPr>
              <w:t>and</w:t>
            </w:r>
            <w:r w:rsidRPr="00283806">
              <w:rPr>
                <w:spacing w:val="3"/>
                <w:sz w:val="16"/>
              </w:rPr>
              <w:t xml:space="preserve"> </w:t>
            </w:r>
            <w:r w:rsidRPr="00283806">
              <w:rPr>
                <w:sz w:val="16"/>
              </w:rPr>
              <w:t>Supplies</w:t>
            </w:r>
            <w:r w:rsidRPr="00283806">
              <w:rPr>
                <w:spacing w:val="2"/>
                <w:sz w:val="16"/>
              </w:rPr>
              <w:t xml:space="preserve"> </w:t>
            </w:r>
            <w:r w:rsidRPr="00283806">
              <w:rPr>
                <w:sz w:val="16"/>
              </w:rPr>
              <w:t>Merchant</w:t>
            </w:r>
            <w:r w:rsidRPr="00283806">
              <w:rPr>
                <w:spacing w:val="3"/>
                <w:sz w:val="16"/>
              </w:rPr>
              <w:t xml:space="preserve"> </w:t>
            </w:r>
            <w:r w:rsidRPr="00283806">
              <w:rPr>
                <w:spacing w:val="-2"/>
                <w:sz w:val="16"/>
              </w:rPr>
              <w:t>Wholesalers.</w:t>
            </w:r>
          </w:p>
        </w:tc>
      </w:tr>
      <w:tr w:rsidR="00D67C1E" w:rsidRPr="00283806" w14:paraId="5F8C934F" w14:textId="77777777">
        <w:trPr>
          <w:trHeight w:val="179"/>
        </w:trPr>
        <w:tc>
          <w:tcPr>
            <w:tcW w:w="1307" w:type="dxa"/>
            <w:tcBorders>
              <w:right w:val="single" w:sz="4" w:space="0" w:color="000000"/>
            </w:tcBorders>
          </w:tcPr>
          <w:p w14:paraId="73A03FF1" w14:textId="77777777" w:rsidR="00D67C1E" w:rsidRPr="00283806" w:rsidRDefault="001265CA">
            <w:pPr>
              <w:pStyle w:val="TableParagraph"/>
              <w:ind w:right="69"/>
              <w:rPr>
                <w:sz w:val="16"/>
              </w:rPr>
            </w:pPr>
            <w:r w:rsidRPr="00283806">
              <w:rPr>
                <w:sz w:val="16"/>
              </w:rPr>
              <w:t>423610</w:t>
            </w:r>
            <w:r w:rsidRPr="00283806">
              <w:rPr>
                <w:spacing w:val="11"/>
                <w:sz w:val="16"/>
              </w:rPr>
              <w:t xml:space="preserve"> </w:t>
            </w:r>
            <w:r w:rsidRPr="00283806">
              <w:rPr>
                <w:spacing w:val="-2"/>
                <w:sz w:val="16"/>
              </w:rPr>
              <w:t>..............</w:t>
            </w:r>
          </w:p>
        </w:tc>
        <w:tc>
          <w:tcPr>
            <w:tcW w:w="9134" w:type="dxa"/>
            <w:tcBorders>
              <w:left w:val="single" w:sz="4" w:space="0" w:color="000000"/>
            </w:tcBorders>
          </w:tcPr>
          <w:p w14:paraId="65C206D2" w14:textId="77777777" w:rsidR="00D67C1E" w:rsidRPr="00283806" w:rsidRDefault="001265CA">
            <w:pPr>
              <w:pStyle w:val="TableParagraph"/>
              <w:ind w:left="78"/>
              <w:jc w:val="left"/>
              <w:rPr>
                <w:sz w:val="16"/>
              </w:rPr>
            </w:pPr>
            <w:r w:rsidRPr="00283806">
              <w:rPr>
                <w:sz w:val="16"/>
              </w:rPr>
              <w:t>Electrical</w:t>
            </w:r>
            <w:r w:rsidRPr="00283806">
              <w:rPr>
                <w:spacing w:val="2"/>
                <w:sz w:val="16"/>
              </w:rPr>
              <w:t xml:space="preserve"> </w:t>
            </w:r>
            <w:r w:rsidRPr="00283806">
              <w:rPr>
                <w:sz w:val="16"/>
              </w:rPr>
              <w:t>Apparatus</w:t>
            </w:r>
            <w:r w:rsidRPr="00283806">
              <w:rPr>
                <w:spacing w:val="2"/>
                <w:sz w:val="16"/>
              </w:rPr>
              <w:t xml:space="preserve"> </w:t>
            </w:r>
            <w:r w:rsidRPr="00283806">
              <w:rPr>
                <w:sz w:val="16"/>
              </w:rPr>
              <w:t>and</w:t>
            </w:r>
            <w:r w:rsidRPr="00283806">
              <w:rPr>
                <w:spacing w:val="2"/>
                <w:sz w:val="16"/>
              </w:rPr>
              <w:t xml:space="preserve"> </w:t>
            </w:r>
            <w:r w:rsidRPr="00283806">
              <w:rPr>
                <w:sz w:val="16"/>
              </w:rPr>
              <w:t>Equipment,</w:t>
            </w:r>
            <w:r w:rsidRPr="00283806">
              <w:rPr>
                <w:spacing w:val="2"/>
                <w:sz w:val="16"/>
              </w:rPr>
              <w:t xml:space="preserve"> </w:t>
            </w:r>
            <w:r w:rsidRPr="00283806">
              <w:rPr>
                <w:sz w:val="16"/>
              </w:rPr>
              <w:t>Wiring</w:t>
            </w:r>
            <w:r w:rsidRPr="00283806">
              <w:rPr>
                <w:spacing w:val="2"/>
                <w:sz w:val="16"/>
              </w:rPr>
              <w:t xml:space="preserve"> </w:t>
            </w:r>
            <w:r w:rsidRPr="00283806">
              <w:rPr>
                <w:sz w:val="16"/>
              </w:rPr>
              <w:t>Supplies,</w:t>
            </w:r>
            <w:r w:rsidRPr="00283806">
              <w:rPr>
                <w:spacing w:val="3"/>
                <w:sz w:val="16"/>
              </w:rPr>
              <w:t xml:space="preserve"> </w:t>
            </w:r>
            <w:r w:rsidRPr="00283806">
              <w:rPr>
                <w:sz w:val="16"/>
              </w:rPr>
              <w:t>and</w:t>
            </w:r>
            <w:r w:rsidRPr="00283806">
              <w:rPr>
                <w:spacing w:val="2"/>
                <w:sz w:val="16"/>
              </w:rPr>
              <w:t xml:space="preserve"> </w:t>
            </w:r>
            <w:r w:rsidRPr="00283806">
              <w:rPr>
                <w:sz w:val="16"/>
              </w:rPr>
              <w:t>Related</w:t>
            </w:r>
            <w:r w:rsidRPr="00283806">
              <w:rPr>
                <w:spacing w:val="2"/>
                <w:sz w:val="16"/>
              </w:rPr>
              <w:t xml:space="preserve"> </w:t>
            </w:r>
            <w:r w:rsidRPr="00283806">
              <w:rPr>
                <w:sz w:val="16"/>
              </w:rPr>
              <w:t>Equipment</w:t>
            </w:r>
            <w:r w:rsidRPr="00283806">
              <w:rPr>
                <w:spacing w:val="2"/>
                <w:sz w:val="16"/>
              </w:rPr>
              <w:t xml:space="preserve"> </w:t>
            </w:r>
            <w:r w:rsidRPr="00283806">
              <w:rPr>
                <w:sz w:val="16"/>
              </w:rPr>
              <w:t>Merchant</w:t>
            </w:r>
            <w:r w:rsidRPr="00283806">
              <w:rPr>
                <w:spacing w:val="2"/>
                <w:sz w:val="16"/>
              </w:rPr>
              <w:t xml:space="preserve"> </w:t>
            </w:r>
            <w:r w:rsidRPr="00283806">
              <w:rPr>
                <w:spacing w:val="-2"/>
                <w:sz w:val="16"/>
              </w:rPr>
              <w:t>Wholesalers.</w:t>
            </w:r>
          </w:p>
        </w:tc>
      </w:tr>
      <w:tr w:rsidR="00D67C1E" w:rsidRPr="00283806" w14:paraId="6B88B827" w14:textId="77777777">
        <w:trPr>
          <w:trHeight w:val="180"/>
        </w:trPr>
        <w:tc>
          <w:tcPr>
            <w:tcW w:w="1307" w:type="dxa"/>
            <w:tcBorders>
              <w:right w:val="single" w:sz="4" w:space="0" w:color="000000"/>
            </w:tcBorders>
          </w:tcPr>
          <w:p w14:paraId="2EFC228E" w14:textId="77777777" w:rsidR="00D67C1E" w:rsidRPr="00283806" w:rsidRDefault="001265CA">
            <w:pPr>
              <w:pStyle w:val="TableParagraph"/>
              <w:ind w:right="69"/>
              <w:rPr>
                <w:sz w:val="16"/>
              </w:rPr>
            </w:pPr>
            <w:r w:rsidRPr="00283806">
              <w:rPr>
                <w:sz w:val="16"/>
              </w:rPr>
              <w:t>423620</w:t>
            </w:r>
            <w:r w:rsidRPr="00283806">
              <w:rPr>
                <w:spacing w:val="11"/>
                <w:sz w:val="16"/>
              </w:rPr>
              <w:t xml:space="preserve"> </w:t>
            </w:r>
            <w:r w:rsidRPr="00283806">
              <w:rPr>
                <w:spacing w:val="-2"/>
                <w:sz w:val="16"/>
              </w:rPr>
              <w:t>..............</w:t>
            </w:r>
          </w:p>
        </w:tc>
        <w:tc>
          <w:tcPr>
            <w:tcW w:w="9134" w:type="dxa"/>
            <w:tcBorders>
              <w:left w:val="single" w:sz="4" w:space="0" w:color="000000"/>
            </w:tcBorders>
          </w:tcPr>
          <w:p w14:paraId="19C667CC" w14:textId="77777777" w:rsidR="00D67C1E" w:rsidRPr="00283806" w:rsidRDefault="001265CA">
            <w:pPr>
              <w:pStyle w:val="TableParagraph"/>
              <w:ind w:left="78"/>
              <w:jc w:val="left"/>
              <w:rPr>
                <w:sz w:val="16"/>
              </w:rPr>
            </w:pPr>
            <w:r w:rsidRPr="00283806">
              <w:rPr>
                <w:sz w:val="16"/>
              </w:rPr>
              <w:t>Household</w:t>
            </w:r>
            <w:r w:rsidRPr="00283806">
              <w:rPr>
                <w:spacing w:val="1"/>
                <w:sz w:val="16"/>
              </w:rPr>
              <w:t xml:space="preserve"> </w:t>
            </w:r>
            <w:r w:rsidRPr="00283806">
              <w:rPr>
                <w:sz w:val="16"/>
              </w:rPr>
              <w:t>Appliances,</w:t>
            </w:r>
            <w:r w:rsidRPr="00283806">
              <w:rPr>
                <w:spacing w:val="2"/>
                <w:sz w:val="16"/>
              </w:rPr>
              <w:t xml:space="preserve"> </w:t>
            </w:r>
            <w:r w:rsidRPr="00283806">
              <w:rPr>
                <w:sz w:val="16"/>
              </w:rPr>
              <w:t>Electric</w:t>
            </w:r>
            <w:r w:rsidRPr="00283806">
              <w:rPr>
                <w:spacing w:val="2"/>
                <w:sz w:val="16"/>
              </w:rPr>
              <w:t xml:space="preserve"> </w:t>
            </w:r>
            <w:r w:rsidRPr="00283806">
              <w:rPr>
                <w:sz w:val="16"/>
              </w:rPr>
              <w:t>Housewares,</w:t>
            </w:r>
            <w:r w:rsidRPr="00283806">
              <w:rPr>
                <w:spacing w:val="2"/>
                <w:sz w:val="16"/>
              </w:rPr>
              <w:t xml:space="preserve"> </w:t>
            </w:r>
            <w:r w:rsidRPr="00283806">
              <w:rPr>
                <w:sz w:val="16"/>
              </w:rPr>
              <w:t>and</w:t>
            </w:r>
            <w:r w:rsidRPr="00283806">
              <w:rPr>
                <w:spacing w:val="1"/>
                <w:sz w:val="16"/>
              </w:rPr>
              <w:t xml:space="preserve"> </w:t>
            </w:r>
            <w:r w:rsidRPr="00283806">
              <w:rPr>
                <w:sz w:val="16"/>
              </w:rPr>
              <w:t>Consumer</w:t>
            </w:r>
            <w:r w:rsidRPr="00283806">
              <w:rPr>
                <w:spacing w:val="2"/>
                <w:sz w:val="16"/>
              </w:rPr>
              <w:t xml:space="preserve"> </w:t>
            </w:r>
            <w:r w:rsidRPr="00283806">
              <w:rPr>
                <w:sz w:val="16"/>
              </w:rPr>
              <w:t>Electronics</w:t>
            </w:r>
            <w:r w:rsidRPr="00283806">
              <w:rPr>
                <w:spacing w:val="2"/>
                <w:sz w:val="16"/>
              </w:rPr>
              <w:t xml:space="preserve"> </w:t>
            </w:r>
            <w:r w:rsidRPr="00283806">
              <w:rPr>
                <w:sz w:val="16"/>
              </w:rPr>
              <w:t>Merchant</w:t>
            </w:r>
            <w:r w:rsidRPr="00283806">
              <w:rPr>
                <w:spacing w:val="2"/>
                <w:sz w:val="16"/>
              </w:rPr>
              <w:t xml:space="preserve"> </w:t>
            </w:r>
            <w:r w:rsidRPr="00283806">
              <w:rPr>
                <w:spacing w:val="-2"/>
                <w:sz w:val="16"/>
              </w:rPr>
              <w:t>Wholesalers.</w:t>
            </w:r>
          </w:p>
        </w:tc>
      </w:tr>
      <w:tr w:rsidR="00D67C1E" w:rsidRPr="00283806" w14:paraId="1A8E62F5" w14:textId="77777777">
        <w:trPr>
          <w:trHeight w:val="180"/>
        </w:trPr>
        <w:tc>
          <w:tcPr>
            <w:tcW w:w="1307" w:type="dxa"/>
            <w:tcBorders>
              <w:right w:val="single" w:sz="4" w:space="0" w:color="000000"/>
            </w:tcBorders>
          </w:tcPr>
          <w:p w14:paraId="770D8F19" w14:textId="77777777" w:rsidR="00D67C1E" w:rsidRPr="00283806" w:rsidRDefault="001265CA">
            <w:pPr>
              <w:pStyle w:val="TableParagraph"/>
              <w:ind w:right="69"/>
              <w:rPr>
                <w:sz w:val="16"/>
              </w:rPr>
            </w:pPr>
            <w:r w:rsidRPr="00283806">
              <w:rPr>
                <w:sz w:val="16"/>
              </w:rPr>
              <w:t>423690</w:t>
            </w:r>
            <w:r w:rsidRPr="00283806">
              <w:rPr>
                <w:spacing w:val="11"/>
                <w:sz w:val="16"/>
              </w:rPr>
              <w:t xml:space="preserve"> </w:t>
            </w:r>
            <w:r w:rsidRPr="00283806">
              <w:rPr>
                <w:spacing w:val="-2"/>
                <w:sz w:val="16"/>
              </w:rPr>
              <w:t>..............</w:t>
            </w:r>
          </w:p>
        </w:tc>
        <w:tc>
          <w:tcPr>
            <w:tcW w:w="9134" w:type="dxa"/>
            <w:tcBorders>
              <w:left w:val="single" w:sz="4" w:space="0" w:color="000000"/>
            </w:tcBorders>
          </w:tcPr>
          <w:p w14:paraId="5E37B7AD" w14:textId="77777777" w:rsidR="00D67C1E" w:rsidRPr="00283806" w:rsidRDefault="001265CA">
            <w:pPr>
              <w:pStyle w:val="TableParagraph"/>
              <w:ind w:left="78"/>
              <w:jc w:val="left"/>
              <w:rPr>
                <w:sz w:val="16"/>
              </w:rPr>
            </w:pPr>
            <w:r w:rsidRPr="00283806">
              <w:rPr>
                <w:sz w:val="16"/>
              </w:rPr>
              <w:t>Other</w:t>
            </w:r>
            <w:r w:rsidRPr="00283806">
              <w:rPr>
                <w:spacing w:val="4"/>
                <w:sz w:val="16"/>
              </w:rPr>
              <w:t xml:space="preserve"> </w:t>
            </w:r>
            <w:r w:rsidRPr="00283806">
              <w:rPr>
                <w:sz w:val="16"/>
              </w:rPr>
              <w:t>Electronic</w:t>
            </w:r>
            <w:r w:rsidRPr="00283806">
              <w:rPr>
                <w:spacing w:val="4"/>
                <w:sz w:val="16"/>
              </w:rPr>
              <w:t xml:space="preserve"> </w:t>
            </w:r>
            <w:r w:rsidRPr="00283806">
              <w:rPr>
                <w:sz w:val="16"/>
              </w:rPr>
              <w:t>Parts</w:t>
            </w:r>
            <w:r w:rsidRPr="00283806">
              <w:rPr>
                <w:spacing w:val="4"/>
                <w:sz w:val="16"/>
              </w:rPr>
              <w:t xml:space="preserve"> </w:t>
            </w:r>
            <w:r w:rsidRPr="00283806">
              <w:rPr>
                <w:sz w:val="16"/>
              </w:rPr>
              <w:t>and</w:t>
            </w:r>
            <w:r w:rsidRPr="00283806">
              <w:rPr>
                <w:spacing w:val="4"/>
                <w:sz w:val="16"/>
              </w:rPr>
              <w:t xml:space="preserve"> </w:t>
            </w:r>
            <w:r w:rsidRPr="00283806">
              <w:rPr>
                <w:sz w:val="16"/>
              </w:rPr>
              <w:t>Equipment</w:t>
            </w:r>
            <w:r w:rsidRPr="00283806">
              <w:rPr>
                <w:spacing w:val="3"/>
                <w:sz w:val="16"/>
              </w:rPr>
              <w:t xml:space="preserve"> </w:t>
            </w:r>
            <w:r w:rsidRPr="00283806">
              <w:rPr>
                <w:sz w:val="16"/>
              </w:rPr>
              <w:t>Merchant</w:t>
            </w:r>
            <w:r w:rsidRPr="00283806">
              <w:rPr>
                <w:spacing w:val="4"/>
                <w:sz w:val="16"/>
              </w:rPr>
              <w:t xml:space="preserve"> </w:t>
            </w:r>
            <w:r w:rsidRPr="00283806">
              <w:rPr>
                <w:spacing w:val="-2"/>
                <w:sz w:val="16"/>
              </w:rPr>
              <w:t>Wholesalers.</w:t>
            </w:r>
          </w:p>
        </w:tc>
      </w:tr>
      <w:tr w:rsidR="00D67C1E" w:rsidRPr="00283806" w14:paraId="1AB11E12" w14:textId="77777777">
        <w:trPr>
          <w:trHeight w:val="180"/>
        </w:trPr>
        <w:tc>
          <w:tcPr>
            <w:tcW w:w="1307" w:type="dxa"/>
            <w:tcBorders>
              <w:right w:val="single" w:sz="4" w:space="0" w:color="000000"/>
            </w:tcBorders>
          </w:tcPr>
          <w:p w14:paraId="63771530" w14:textId="77777777" w:rsidR="00D67C1E" w:rsidRPr="00283806" w:rsidRDefault="001265CA">
            <w:pPr>
              <w:pStyle w:val="TableParagraph"/>
              <w:ind w:right="69"/>
              <w:rPr>
                <w:sz w:val="16"/>
              </w:rPr>
            </w:pPr>
            <w:r w:rsidRPr="00283806">
              <w:rPr>
                <w:sz w:val="16"/>
              </w:rPr>
              <w:t>423720</w:t>
            </w:r>
            <w:r w:rsidRPr="00283806">
              <w:rPr>
                <w:spacing w:val="11"/>
                <w:sz w:val="16"/>
              </w:rPr>
              <w:t xml:space="preserve"> </w:t>
            </w:r>
            <w:r w:rsidRPr="00283806">
              <w:rPr>
                <w:spacing w:val="-2"/>
                <w:sz w:val="16"/>
              </w:rPr>
              <w:t>..............</w:t>
            </w:r>
          </w:p>
        </w:tc>
        <w:tc>
          <w:tcPr>
            <w:tcW w:w="9134" w:type="dxa"/>
            <w:tcBorders>
              <w:left w:val="single" w:sz="4" w:space="0" w:color="000000"/>
            </w:tcBorders>
          </w:tcPr>
          <w:p w14:paraId="6A74B783" w14:textId="77777777" w:rsidR="00D67C1E" w:rsidRPr="00283806" w:rsidRDefault="001265CA">
            <w:pPr>
              <w:pStyle w:val="TableParagraph"/>
              <w:ind w:left="78"/>
              <w:jc w:val="left"/>
              <w:rPr>
                <w:sz w:val="16"/>
              </w:rPr>
            </w:pPr>
            <w:r w:rsidRPr="00283806">
              <w:rPr>
                <w:sz w:val="16"/>
              </w:rPr>
              <w:t>Plumbing</w:t>
            </w:r>
            <w:r w:rsidRPr="00283806">
              <w:rPr>
                <w:spacing w:val="2"/>
                <w:sz w:val="16"/>
              </w:rPr>
              <w:t xml:space="preserve"> </w:t>
            </w:r>
            <w:r w:rsidRPr="00283806">
              <w:rPr>
                <w:sz w:val="16"/>
              </w:rPr>
              <w:t>and</w:t>
            </w:r>
            <w:r w:rsidRPr="00283806">
              <w:rPr>
                <w:spacing w:val="2"/>
                <w:sz w:val="16"/>
              </w:rPr>
              <w:t xml:space="preserve"> </w:t>
            </w:r>
            <w:r w:rsidRPr="00283806">
              <w:rPr>
                <w:sz w:val="16"/>
              </w:rPr>
              <w:t>Heating</w:t>
            </w:r>
            <w:r w:rsidRPr="00283806">
              <w:rPr>
                <w:spacing w:val="2"/>
                <w:sz w:val="16"/>
              </w:rPr>
              <w:t xml:space="preserve"> </w:t>
            </w:r>
            <w:r w:rsidRPr="00283806">
              <w:rPr>
                <w:sz w:val="16"/>
              </w:rPr>
              <w:t>Equipment</w:t>
            </w:r>
            <w:r w:rsidRPr="00283806">
              <w:rPr>
                <w:spacing w:val="2"/>
                <w:sz w:val="16"/>
              </w:rPr>
              <w:t xml:space="preserve"> </w:t>
            </w:r>
            <w:r w:rsidRPr="00283806">
              <w:rPr>
                <w:sz w:val="16"/>
              </w:rPr>
              <w:t>and</w:t>
            </w:r>
            <w:r w:rsidRPr="00283806">
              <w:rPr>
                <w:spacing w:val="3"/>
                <w:sz w:val="16"/>
              </w:rPr>
              <w:t xml:space="preserve"> </w:t>
            </w:r>
            <w:r w:rsidRPr="00283806">
              <w:rPr>
                <w:sz w:val="16"/>
              </w:rPr>
              <w:t>Supplies</w:t>
            </w:r>
            <w:r w:rsidRPr="00283806">
              <w:rPr>
                <w:spacing w:val="2"/>
                <w:sz w:val="16"/>
              </w:rPr>
              <w:t xml:space="preserve"> </w:t>
            </w:r>
            <w:r w:rsidRPr="00283806">
              <w:rPr>
                <w:sz w:val="16"/>
              </w:rPr>
              <w:t>(Hydronics)</w:t>
            </w:r>
            <w:r w:rsidRPr="00283806">
              <w:rPr>
                <w:spacing w:val="2"/>
                <w:sz w:val="16"/>
              </w:rPr>
              <w:t xml:space="preserve"> </w:t>
            </w:r>
            <w:r w:rsidRPr="00283806">
              <w:rPr>
                <w:sz w:val="16"/>
              </w:rPr>
              <w:t>Merchant</w:t>
            </w:r>
            <w:r w:rsidRPr="00283806">
              <w:rPr>
                <w:spacing w:val="2"/>
                <w:sz w:val="16"/>
              </w:rPr>
              <w:t xml:space="preserve"> </w:t>
            </w:r>
            <w:r w:rsidRPr="00283806">
              <w:rPr>
                <w:spacing w:val="-2"/>
                <w:sz w:val="16"/>
              </w:rPr>
              <w:t>Wholesalers.</w:t>
            </w:r>
          </w:p>
        </w:tc>
      </w:tr>
      <w:tr w:rsidR="00D67C1E" w:rsidRPr="00283806" w14:paraId="3183B703" w14:textId="77777777">
        <w:trPr>
          <w:trHeight w:val="180"/>
        </w:trPr>
        <w:tc>
          <w:tcPr>
            <w:tcW w:w="1307" w:type="dxa"/>
            <w:tcBorders>
              <w:right w:val="single" w:sz="4" w:space="0" w:color="000000"/>
            </w:tcBorders>
          </w:tcPr>
          <w:p w14:paraId="17DB4739" w14:textId="77777777" w:rsidR="00D67C1E" w:rsidRPr="00283806" w:rsidRDefault="001265CA">
            <w:pPr>
              <w:pStyle w:val="TableParagraph"/>
              <w:ind w:right="69"/>
              <w:rPr>
                <w:sz w:val="16"/>
              </w:rPr>
            </w:pPr>
            <w:r w:rsidRPr="00283806">
              <w:rPr>
                <w:sz w:val="16"/>
              </w:rPr>
              <w:t>423730</w:t>
            </w:r>
            <w:r w:rsidRPr="00283806">
              <w:rPr>
                <w:spacing w:val="11"/>
                <w:sz w:val="16"/>
              </w:rPr>
              <w:t xml:space="preserve"> </w:t>
            </w:r>
            <w:r w:rsidRPr="00283806">
              <w:rPr>
                <w:spacing w:val="-2"/>
                <w:sz w:val="16"/>
              </w:rPr>
              <w:t>..............</w:t>
            </w:r>
          </w:p>
        </w:tc>
        <w:tc>
          <w:tcPr>
            <w:tcW w:w="9134" w:type="dxa"/>
            <w:tcBorders>
              <w:left w:val="single" w:sz="4" w:space="0" w:color="000000"/>
            </w:tcBorders>
          </w:tcPr>
          <w:p w14:paraId="52480F67" w14:textId="77777777" w:rsidR="00D67C1E" w:rsidRPr="00283806" w:rsidRDefault="001265CA">
            <w:pPr>
              <w:pStyle w:val="TableParagraph"/>
              <w:ind w:left="78"/>
              <w:jc w:val="left"/>
              <w:rPr>
                <w:sz w:val="16"/>
              </w:rPr>
            </w:pPr>
            <w:r w:rsidRPr="00283806">
              <w:rPr>
                <w:sz w:val="16"/>
              </w:rPr>
              <w:t>Warm</w:t>
            </w:r>
            <w:r w:rsidRPr="00283806">
              <w:rPr>
                <w:spacing w:val="2"/>
                <w:sz w:val="16"/>
              </w:rPr>
              <w:t xml:space="preserve"> </w:t>
            </w:r>
            <w:r w:rsidRPr="00283806">
              <w:rPr>
                <w:sz w:val="16"/>
              </w:rPr>
              <w:t>Air</w:t>
            </w:r>
            <w:r w:rsidRPr="00283806">
              <w:rPr>
                <w:spacing w:val="2"/>
                <w:sz w:val="16"/>
              </w:rPr>
              <w:t xml:space="preserve"> </w:t>
            </w:r>
            <w:r w:rsidRPr="00283806">
              <w:rPr>
                <w:sz w:val="16"/>
              </w:rPr>
              <w:t>Heating</w:t>
            </w:r>
            <w:r w:rsidRPr="00283806">
              <w:rPr>
                <w:spacing w:val="3"/>
                <w:sz w:val="16"/>
              </w:rPr>
              <w:t xml:space="preserve"> </w:t>
            </w:r>
            <w:r w:rsidRPr="00283806">
              <w:rPr>
                <w:sz w:val="16"/>
              </w:rPr>
              <w:t>and</w:t>
            </w:r>
            <w:r w:rsidRPr="00283806">
              <w:rPr>
                <w:spacing w:val="2"/>
                <w:sz w:val="16"/>
              </w:rPr>
              <w:t xml:space="preserve"> </w:t>
            </w:r>
            <w:r w:rsidRPr="00283806">
              <w:rPr>
                <w:sz w:val="16"/>
              </w:rPr>
              <w:t>Air-Conditioning</w:t>
            </w:r>
            <w:r w:rsidRPr="00283806">
              <w:rPr>
                <w:spacing w:val="3"/>
                <w:sz w:val="16"/>
              </w:rPr>
              <w:t xml:space="preserve"> </w:t>
            </w:r>
            <w:r w:rsidRPr="00283806">
              <w:rPr>
                <w:sz w:val="16"/>
              </w:rPr>
              <w:t>Equipment</w:t>
            </w:r>
            <w:r w:rsidRPr="00283806">
              <w:rPr>
                <w:spacing w:val="2"/>
                <w:sz w:val="16"/>
              </w:rPr>
              <w:t xml:space="preserve"> </w:t>
            </w:r>
            <w:r w:rsidRPr="00283806">
              <w:rPr>
                <w:sz w:val="16"/>
              </w:rPr>
              <w:t>and</w:t>
            </w:r>
            <w:r w:rsidRPr="00283806">
              <w:rPr>
                <w:spacing w:val="3"/>
                <w:sz w:val="16"/>
              </w:rPr>
              <w:t xml:space="preserve"> </w:t>
            </w:r>
            <w:r w:rsidRPr="00283806">
              <w:rPr>
                <w:sz w:val="16"/>
              </w:rPr>
              <w:t>Supplies</w:t>
            </w:r>
            <w:r w:rsidRPr="00283806">
              <w:rPr>
                <w:spacing w:val="3"/>
                <w:sz w:val="16"/>
              </w:rPr>
              <w:t xml:space="preserve"> </w:t>
            </w:r>
            <w:r w:rsidRPr="00283806">
              <w:rPr>
                <w:sz w:val="16"/>
              </w:rPr>
              <w:t>Merchant</w:t>
            </w:r>
            <w:r w:rsidRPr="00283806">
              <w:rPr>
                <w:spacing w:val="2"/>
                <w:sz w:val="16"/>
              </w:rPr>
              <w:t xml:space="preserve"> </w:t>
            </w:r>
            <w:r w:rsidRPr="00283806">
              <w:rPr>
                <w:spacing w:val="-2"/>
                <w:sz w:val="16"/>
              </w:rPr>
              <w:t>Wholesalers.</w:t>
            </w:r>
          </w:p>
        </w:tc>
      </w:tr>
      <w:tr w:rsidR="00D67C1E" w:rsidRPr="00283806" w14:paraId="145B8AB3" w14:textId="77777777">
        <w:trPr>
          <w:trHeight w:val="180"/>
        </w:trPr>
        <w:tc>
          <w:tcPr>
            <w:tcW w:w="1307" w:type="dxa"/>
            <w:tcBorders>
              <w:right w:val="single" w:sz="4" w:space="0" w:color="000000"/>
            </w:tcBorders>
          </w:tcPr>
          <w:p w14:paraId="2510CAB4" w14:textId="77777777" w:rsidR="00D67C1E" w:rsidRPr="00283806" w:rsidRDefault="001265CA">
            <w:pPr>
              <w:pStyle w:val="TableParagraph"/>
              <w:ind w:right="69"/>
              <w:rPr>
                <w:sz w:val="16"/>
              </w:rPr>
            </w:pPr>
            <w:r w:rsidRPr="00283806">
              <w:rPr>
                <w:sz w:val="16"/>
              </w:rPr>
              <w:t>423740</w:t>
            </w:r>
            <w:r w:rsidRPr="00283806">
              <w:rPr>
                <w:spacing w:val="11"/>
                <w:sz w:val="16"/>
              </w:rPr>
              <w:t xml:space="preserve"> </w:t>
            </w:r>
            <w:r w:rsidRPr="00283806">
              <w:rPr>
                <w:spacing w:val="-2"/>
                <w:sz w:val="16"/>
              </w:rPr>
              <w:t>..............</w:t>
            </w:r>
          </w:p>
        </w:tc>
        <w:tc>
          <w:tcPr>
            <w:tcW w:w="9134" w:type="dxa"/>
            <w:tcBorders>
              <w:left w:val="single" w:sz="4" w:space="0" w:color="000000"/>
            </w:tcBorders>
          </w:tcPr>
          <w:p w14:paraId="103D225A" w14:textId="77777777" w:rsidR="00D67C1E" w:rsidRPr="00283806" w:rsidRDefault="001265CA">
            <w:pPr>
              <w:pStyle w:val="TableParagraph"/>
              <w:ind w:left="78"/>
              <w:jc w:val="left"/>
              <w:rPr>
                <w:sz w:val="16"/>
              </w:rPr>
            </w:pPr>
            <w:r w:rsidRPr="00283806">
              <w:rPr>
                <w:sz w:val="16"/>
              </w:rPr>
              <w:t>Refrigeration</w:t>
            </w:r>
            <w:r w:rsidRPr="00283806">
              <w:rPr>
                <w:spacing w:val="1"/>
                <w:sz w:val="16"/>
              </w:rPr>
              <w:t xml:space="preserve"> </w:t>
            </w:r>
            <w:r w:rsidRPr="00283806">
              <w:rPr>
                <w:sz w:val="16"/>
              </w:rPr>
              <w:t>Equipment</w:t>
            </w:r>
            <w:r w:rsidRPr="00283806">
              <w:rPr>
                <w:spacing w:val="2"/>
                <w:sz w:val="16"/>
              </w:rPr>
              <w:t xml:space="preserve"> </w:t>
            </w:r>
            <w:r w:rsidRPr="00283806">
              <w:rPr>
                <w:sz w:val="16"/>
              </w:rPr>
              <w:t>and</w:t>
            </w:r>
            <w:r w:rsidRPr="00283806">
              <w:rPr>
                <w:spacing w:val="1"/>
                <w:sz w:val="16"/>
              </w:rPr>
              <w:t xml:space="preserve"> </w:t>
            </w:r>
            <w:r w:rsidRPr="00283806">
              <w:rPr>
                <w:sz w:val="16"/>
              </w:rPr>
              <w:t>Supplies</w:t>
            </w:r>
            <w:r w:rsidRPr="00283806">
              <w:rPr>
                <w:spacing w:val="2"/>
                <w:sz w:val="16"/>
              </w:rPr>
              <w:t xml:space="preserve"> </w:t>
            </w:r>
            <w:r w:rsidRPr="00283806">
              <w:rPr>
                <w:sz w:val="16"/>
              </w:rPr>
              <w:t>Merchant</w:t>
            </w:r>
            <w:r w:rsidRPr="00283806">
              <w:rPr>
                <w:spacing w:val="1"/>
                <w:sz w:val="16"/>
              </w:rPr>
              <w:t xml:space="preserve"> </w:t>
            </w:r>
            <w:r w:rsidRPr="00283806">
              <w:rPr>
                <w:spacing w:val="-2"/>
                <w:sz w:val="16"/>
              </w:rPr>
              <w:t>Wholesalers.</w:t>
            </w:r>
          </w:p>
        </w:tc>
      </w:tr>
      <w:tr w:rsidR="00D67C1E" w:rsidRPr="00283806" w14:paraId="49437FE1" w14:textId="77777777">
        <w:trPr>
          <w:trHeight w:val="180"/>
        </w:trPr>
        <w:tc>
          <w:tcPr>
            <w:tcW w:w="1307" w:type="dxa"/>
            <w:tcBorders>
              <w:right w:val="single" w:sz="4" w:space="0" w:color="000000"/>
            </w:tcBorders>
          </w:tcPr>
          <w:p w14:paraId="16E4AAC1" w14:textId="77777777" w:rsidR="00D67C1E" w:rsidRPr="00283806" w:rsidRDefault="001265CA">
            <w:pPr>
              <w:pStyle w:val="TableParagraph"/>
              <w:ind w:right="69"/>
              <w:rPr>
                <w:sz w:val="16"/>
              </w:rPr>
            </w:pPr>
            <w:r w:rsidRPr="00283806">
              <w:rPr>
                <w:sz w:val="16"/>
              </w:rPr>
              <w:t>423830</w:t>
            </w:r>
            <w:r w:rsidRPr="00283806">
              <w:rPr>
                <w:spacing w:val="11"/>
                <w:sz w:val="16"/>
              </w:rPr>
              <w:t xml:space="preserve"> </w:t>
            </w:r>
            <w:r w:rsidRPr="00283806">
              <w:rPr>
                <w:spacing w:val="-2"/>
                <w:sz w:val="16"/>
              </w:rPr>
              <w:t>..............</w:t>
            </w:r>
          </w:p>
        </w:tc>
        <w:tc>
          <w:tcPr>
            <w:tcW w:w="9134" w:type="dxa"/>
            <w:tcBorders>
              <w:left w:val="single" w:sz="4" w:space="0" w:color="000000"/>
            </w:tcBorders>
          </w:tcPr>
          <w:p w14:paraId="5D776AA7" w14:textId="77777777" w:rsidR="00D67C1E" w:rsidRPr="00283806" w:rsidRDefault="001265CA">
            <w:pPr>
              <w:pStyle w:val="TableParagraph"/>
              <w:ind w:left="78"/>
              <w:jc w:val="left"/>
              <w:rPr>
                <w:sz w:val="16"/>
              </w:rPr>
            </w:pPr>
            <w:r w:rsidRPr="00283806">
              <w:rPr>
                <w:sz w:val="16"/>
              </w:rPr>
              <w:t>Industrial</w:t>
            </w:r>
            <w:r w:rsidRPr="00283806">
              <w:rPr>
                <w:spacing w:val="1"/>
                <w:sz w:val="16"/>
              </w:rPr>
              <w:t xml:space="preserve"> </w:t>
            </w:r>
            <w:r w:rsidRPr="00283806">
              <w:rPr>
                <w:sz w:val="16"/>
              </w:rPr>
              <w:t>Machinery</w:t>
            </w:r>
            <w:r w:rsidRPr="00283806">
              <w:rPr>
                <w:spacing w:val="2"/>
                <w:sz w:val="16"/>
              </w:rPr>
              <w:t xml:space="preserve"> </w:t>
            </w:r>
            <w:r w:rsidRPr="00283806">
              <w:rPr>
                <w:sz w:val="16"/>
              </w:rPr>
              <w:t>and</w:t>
            </w:r>
            <w:r w:rsidRPr="00283806">
              <w:rPr>
                <w:spacing w:val="2"/>
                <w:sz w:val="16"/>
              </w:rPr>
              <w:t xml:space="preserve"> </w:t>
            </w:r>
            <w:r w:rsidRPr="00283806">
              <w:rPr>
                <w:sz w:val="16"/>
              </w:rPr>
              <w:t>Equipment</w:t>
            </w:r>
            <w:r w:rsidRPr="00283806">
              <w:rPr>
                <w:spacing w:val="2"/>
                <w:sz w:val="16"/>
              </w:rPr>
              <w:t xml:space="preserve"> </w:t>
            </w:r>
            <w:r w:rsidRPr="00283806">
              <w:rPr>
                <w:sz w:val="16"/>
              </w:rPr>
              <w:t>Merchant</w:t>
            </w:r>
            <w:r w:rsidRPr="00283806">
              <w:rPr>
                <w:spacing w:val="2"/>
                <w:sz w:val="16"/>
              </w:rPr>
              <w:t xml:space="preserve"> </w:t>
            </w:r>
            <w:r w:rsidRPr="00283806">
              <w:rPr>
                <w:spacing w:val="-2"/>
                <w:sz w:val="16"/>
              </w:rPr>
              <w:t>Wholesalers.</w:t>
            </w:r>
          </w:p>
        </w:tc>
      </w:tr>
      <w:tr w:rsidR="00D67C1E" w:rsidRPr="00283806" w14:paraId="3F7487A0" w14:textId="77777777">
        <w:trPr>
          <w:trHeight w:val="180"/>
        </w:trPr>
        <w:tc>
          <w:tcPr>
            <w:tcW w:w="1307" w:type="dxa"/>
            <w:tcBorders>
              <w:right w:val="single" w:sz="4" w:space="0" w:color="000000"/>
            </w:tcBorders>
          </w:tcPr>
          <w:p w14:paraId="3D8DB434" w14:textId="77777777" w:rsidR="00D67C1E" w:rsidRPr="00283806" w:rsidRDefault="001265CA">
            <w:pPr>
              <w:pStyle w:val="TableParagraph"/>
              <w:ind w:right="69"/>
              <w:rPr>
                <w:sz w:val="16"/>
              </w:rPr>
            </w:pPr>
            <w:r w:rsidRPr="00283806">
              <w:rPr>
                <w:sz w:val="16"/>
              </w:rPr>
              <w:t>423840</w:t>
            </w:r>
            <w:r w:rsidRPr="00283806">
              <w:rPr>
                <w:spacing w:val="11"/>
                <w:sz w:val="16"/>
              </w:rPr>
              <w:t xml:space="preserve"> </w:t>
            </w:r>
            <w:r w:rsidRPr="00283806">
              <w:rPr>
                <w:spacing w:val="-2"/>
                <w:sz w:val="16"/>
              </w:rPr>
              <w:t>..............</w:t>
            </w:r>
          </w:p>
        </w:tc>
        <w:tc>
          <w:tcPr>
            <w:tcW w:w="9134" w:type="dxa"/>
            <w:tcBorders>
              <w:left w:val="single" w:sz="4" w:space="0" w:color="000000"/>
            </w:tcBorders>
          </w:tcPr>
          <w:p w14:paraId="00470417" w14:textId="77777777" w:rsidR="00D67C1E" w:rsidRPr="00283806" w:rsidRDefault="001265CA">
            <w:pPr>
              <w:pStyle w:val="TableParagraph"/>
              <w:ind w:left="78"/>
              <w:jc w:val="left"/>
              <w:rPr>
                <w:sz w:val="16"/>
              </w:rPr>
            </w:pPr>
            <w:r w:rsidRPr="00283806">
              <w:rPr>
                <w:sz w:val="16"/>
              </w:rPr>
              <w:t>Industrial</w:t>
            </w:r>
            <w:r w:rsidRPr="00283806">
              <w:rPr>
                <w:spacing w:val="1"/>
                <w:sz w:val="16"/>
              </w:rPr>
              <w:t xml:space="preserve"> </w:t>
            </w:r>
            <w:r w:rsidRPr="00283806">
              <w:rPr>
                <w:sz w:val="16"/>
              </w:rPr>
              <w:t>Supplies</w:t>
            </w:r>
            <w:r w:rsidRPr="00283806">
              <w:rPr>
                <w:spacing w:val="2"/>
                <w:sz w:val="16"/>
              </w:rPr>
              <w:t xml:space="preserve"> </w:t>
            </w:r>
            <w:r w:rsidRPr="00283806">
              <w:rPr>
                <w:sz w:val="16"/>
              </w:rPr>
              <w:t>Merchant</w:t>
            </w:r>
            <w:r w:rsidRPr="00283806">
              <w:rPr>
                <w:spacing w:val="1"/>
                <w:sz w:val="16"/>
              </w:rPr>
              <w:t xml:space="preserve"> </w:t>
            </w:r>
            <w:r w:rsidRPr="00283806">
              <w:rPr>
                <w:spacing w:val="-2"/>
                <w:sz w:val="16"/>
              </w:rPr>
              <w:t>Wholesalers.</w:t>
            </w:r>
          </w:p>
        </w:tc>
      </w:tr>
      <w:tr w:rsidR="00D67C1E" w:rsidRPr="00283806" w14:paraId="52E96ACE" w14:textId="77777777">
        <w:trPr>
          <w:trHeight w:val="180"/>
        </w:trPr>
        <w:tc>
          <w:tcPr>
            <w:tcW w:w="1307" w:type="dxa"/>
            <w:tcBorders>
              <w:right w:val="single" w:sz="4" w:space="0" w:color="000000"/>
            </w:tcBorders>
          </w:tcPr>
          <w:p w14:paraId="7483D17A" w14:textId="77777777" w:rsidR="00D67C1E" w:rsidRPr="00283806" w:rsidRDefault="001265CA">
            <w:pPr>
              <w:pStyle w:val="TableParagraph"/>
              <w:ind w:right="69"/>
              <w:rPr>
                <w:sz w:val="16"/>
              </w:rPr>
            </w:pPr>
            <w:r w:rsidRPr="00283806">
              <w:rPr>
                <w:sz w:val="16"/>
              </w:rPr>
              <w:t>423850</w:t>
            </w:r>
            <w:r w:rsidRPr="00283806">
              <w:rPr>
                <w:spacing w:val="11"/>
                <w:sz w:val="16"/>
              </w:rPr>
              <w:t xml:space="preserve"> </w:t>
            </w:r>
            <w:r w:rsidRPr="00283806">
              <w:rPr>
                <w:spacing w:val="-2"/>
                <w:sz w:val="16"/>
              </w:rPr>
              <w:t>..............</w:t>
            </w:r>
          </w:p>
        </w:tc>
        <w:tc>
          <w:tcPr>
            <w:tcW w:w="9134" w:type="dxa"/>
            <w:tcBorders>
              <w:left w:val="single" w:sz="4" w:space="0" w:color="000000"/>
            </w:tcBorders>
          </w:tcPr>
          <w:p w14:paraId="00082112" w14:textId="77777777" w:rsidR="00D67C1E" w:rsidRPr="00283806" w:rsidRDefault="001265CA">
            <w:pPr>
              <w:pStyle w:val="TableParagraph"/>
              <w:ind w:left="78"/>
              <w:jc w:val="left"/>
              <w:rPr>
                <w:sz w:val="16"/>
              </w:rPr>
            </w:pPr>
            <w:r w:rsidRPr="00283806">
              <w:rPr>
                <w:sz w:val="16"/>
              </w:rPr>
              <w:t>Service</w:t>
            </w:r>
            <w:r w:rsidRPr="00283806">
              <w:rPr>
                <w:spacing w:val="1"/>
                <w:sz w:val="16"/>
              </w:rPr>
              <w:t xml:space="preserve"> </w:t>
            </w:r>
            <w:r w:rsidRPr="00283806">
              <w:rPr>
                <w:sz w:val="16"/>
              </w:rPr>
              <w:t>Establishment</w:t>
            </w:r>
            <w:r w:rsidRPr="00283806">
              <w:rPr>
                <w:spacing w:val="2"/>
                <w:sz w:val="16"/>
              </w:rPr>
              <w:t xml:space="preserve"> </w:t>
            </w:r>
            <w:r w:rsidRPr="00283806">
              <w:rPr>
                <w:sz w:val="16"/>
              </w:rPr>
              <w:t>Equipment</w:t>
            </w:r>
            <w:r w:rsidRPr="00283806">
              <w:rPr>
                <w:spacing w:val="1"/>
                <w:sz w:val="16"/>
              </w:rPr>
              <w:t xml:space="preserve"> </w:t>
            </w:r>
            <w:r w:rsidRPr="00283806">
              <w:rPr>
                <w:sz w:val="16"/>
              </w:rPr>
              <w:t>and</w:t>
            </w:r>
            <w:r w:rsidRPr="00283806">
              <w:rPr>
                <w:spacing w:val="2"/>
                <w:sz w:val="16"/>
              </w:rPr>
              <w:t xml:space="preserve"> </w:t>
            </w:r>
            <w:r w:rsidRPr="00283806">
              <w:rPr>
                <w:sz w:val="16"/>
              </w:rPr>
              <w:t>Supplies</w:t>
            </w:r>
            <w:r w:rsidRPr="00283806">
              <w:rPr>
                <w:spacing w:val="1"/>
                <w:sz w:val="16"/>
              </w:rPr>
              <w:t xml:space="preserve"> </w:t>
            </w:r>
            <w:r w:rsidRPr="00283806">
              <w:rPr>
                <w:sz w:val="16"/>
              </w:rPr>
              <w:t>Merchant</w:t>
            </w:r>
            <w:r w:rsidRPr="00283806">
              <w:rPr>
                <w:spacing w:val="2"/>
                <w:sz w:val="16"/>
              </w:rPr>
              <w:t xml:space="preserve"> </w:t>
            </w:r>
            <w:r w:rsidRPr="00283806">
              <w:rPr>
                <w:spacing w:val="-2"/>
                <w:sz w:val="16"/>
              </w:rPr>
              <w:t>Wholesalers.</w:t>
            </w:r>
          </w:p>
        </w:tc>
      </w:tr>
      <w:tr w:rsidR="00D67C1E" w:rsidRPr="00283806" w14:paraId="6F6F083A" w14:textId="77777777">
        <w:trPr>
          <w:trHeight w:val="180"/>
        </w:trPr>
        <w:tc>
          <w:tcPr>
            <w:tcW w:w="1307" w:type="dxa"/>
            <w:tcBorders>
              <w:right w:val="single" w:sz="4" w:space="0" w:color="000000"/>
            </w:tcBorders>
          </w:tcPr>
          <w:p w14:paraId="5FB354AD" w14:textId="77777777" w:rsidR="00D67C1E" w:rsidRPr="00283806" w:rsidRDefault="001265CA">
            <w:pPr>
              <w:pStyle w:val="TableParagraph"/>
              <w:ind w:right="69"/>
              <w:rPr>
                <w:sz w:val="16"/>
              </w:rPr>
            </w:pPr>
            <w:r w:rsidRPr="00283806">
              <w:rPr>
                <w:sz w:val="16"/>
              </w:rPr>
              <w:t>423860</w:t>
            </w:r>
            <w:r w:rsidRPr="00283806">
              <w:rPr>
                <w:spacing w:val="11"/>
                <w:sz w:val="16"/>
              </w:rPr>
              <w:t xml:space="preserve"> </w:t>
            </w:r>
            <w:r w:rsidRPr="00283806">
              <w:rPr>
                <w:spacing w:val="-2"/>
                <w:sz w:val="16"/>
              </w:rPr>
              <w:t>..............</w:t>
            </w:r>
          </w:p>
        </w:tc>
        <w:tc>
          <w:tcPr>
            <w:tcW w:w="9134" w:type="dxa"/>
            <w:tcBorders>
              <w:left w:val="single" w:sz="4" w:space="0" w:color="000000"/>
            </w:tcBorders>
          </w:tcPr>
          <w:p w14:paraId="7DC45147" w14:textId="77777777" w:rsidR="00D67C1E" w:rsidRPr="00283806" w:rsidRDefault="001265CA">
            <w:pPr>
              <w:pStyle w:val="TableParagraph"/>
              <w:ind w:left="78"/>
              <w:jc w:val="left"/>
              <w:rPr>
                <w:sz w:val="16"/>
              </w:rPr>
            </w:pPr>
            <w:r w:rsidRPr="00283806">
              <w:rPr>
                <w:sz w:val="16"/>
              </w:rPr>
              <w:t>Transportation</w:t>
            </w:r>
            <w:r w:rsidRPr="00283806">
              <w:rPr>
                <w:spacing w:val="3"/>
                <w:sz w:val="16"/>
              </w:rPr>
              <w:t xml:space="preserve"> </w:t>
            </w:r>
            <w:r w:rsidRPr="00283806">
              <w:rPr>
                <w:sz w:val="16"/>
              </w:rPr>
              <w:t>Equipment</w:t>
            </w:r>
            <w:r w:rsidRPr="00283806">
              <w:rPr>
                <w:spacing w:val="3"/>
                <w:sz w:val="16"/>
              </w:rPr>
              <w:t xml:space="preserve"> </w:t>
            </w:r>
            <w:r w:rsidRPr="00283806">
              <w:rPr>
                <w:sz w:val="16"/>
              </w:rPr>
              <w:t>and</w:t>
            </w:r>
            <w:r w:rsidRPr="00283806">
              <w:rPr>
                <w:spacing w:val="3"/>
                <w:sz w:val="16"/>
              </w:rPr>
              <w:t xml:space="preserve"> </w:t>
            </w:r>
            <w:r w:rsidRPr="00283806">
              <w:rPr>
                <w:sz w:val="16"/>
              </w:rPr>
              <w:t>Supplies</w:t>
            </w:r>
            <w:r w:rsidRPr="00283806">
              <w:rPr>
                <w:spacing w:val="3"/>
                <w:sz w:val="16"/>
              </w:rPr>
              <w:t xml:space="preserve"> </w:t>
            </w:r>
            <w:r w:rsidRPr="00283806">
              <w:rPr>
                <w:sz w:val="16"/>
              </w:rPr>
              <w:t>(except</w:t>
            </w:r>
            <w:r w:rsidRPr="00283806">
              <w:rPr>
                <w:spacing w:val="3"/>
                <w:sz w:val="16"/>
              </w:rPr>
              <w:t xml:space="preserve"> </w:t>
            </w:r>
            <w:r w:rsidRPr="00283806">
              <w:rPr>
                <w:sz w:val="16"/>
              </w:rPr>
              <w:t>Motor</w:t>
            </w:r>
            <w:r w:rsidRPr="00283806">
              <w:rPr>
                <w:spacing w:val="3"/>
                <w:sz w:val="16"/>
              </w:rPr>
              <w:t xml:space="preserve"> </w:t>
            </w:r>
            <w:r w:rsidRPr="00283806">
              <w:rPr>
                <w:sz w:val="16"/>
              </w:rPr>
              <w:t>Vehicle)</w:t>
            </w:r>
            <w:r w:rsidRPr="00283806">
              <w:rPr>
                <w:spacing w:val="3"/>
                <w:sz w:val="16"/>
              </w:rPr>
              <w:t xml:space="preserve"> </w:t>
            </w:r>
            <w:r w:rsidRPr="00283806">
              <w:rPr>
                <w:sz w:val="16"/>
              </w:rPr>
              <w:t>Merchant</w:t>
            </w:r>
            <w:r w:rsidRPr="00283806">
              <w:rPr>
                <w:spacing w:val="3"/>
                <w:sz w:val="16"/>
              </w:rPr>
              <w:t xml:space="preserve"> </w:t>
            </w:r>
            <w:r w:rsidRPr="00283806">
              <w:rPr>
                <w:spacing w:val="-2"/>
                <w:sz w:val="16"/>
              </w:rPr>
              <w:t>Wholesalers.</w:t>
            </w:r>
          </w:p>
        </w:tc>
      </w:tr>
      <w:tr w:rsidR="00D67C1E" w:rsidRPr="00283806" w14:paraId="197BD483" w14:textId="77777777">
        <w:trPr>
          <w:trHeight w:val="180"/>
        </w:trPr>
        <w:tc>
          <w:tcPr>
            <w:tcW w:w="1307" w:type="dxa"/>
            <w:tcBorders>
              <w:right w:val="single" w:sz="4" w:space="0" w:color="000000"/>
            </w:tcBorders>
          </w:tcPr>
          <w:p w14:paraId="119B8798" w14:textId="77777777" w:rsidR="00D67C1E" w:rsidRPr="00283806" w:rsidRDefault="001265CA">
            <w:pPr>
              <w:pStyle w:val="TableParagraph"/>
              <w:ind w:right="69"/>
              <w:rPr>
                <w:sz w:val="16"/>
              </w:rPr>
            </w:pPr>
            <w:r w:rsidRPr="00283806">
              <w:rPr>
                <w:sz w:val="16"/>
              </w:rPr>
              <w:t>423990</w:t>
            </w:r>
            <w:r w:rsidRPr="00283806">
              <w:rPr>
                <w:spacing w:val="11"/>
                <w:sz w:val="16"/>
              </w:rPr>
              <w:t xml:space="preserve"> </w:t>
            </w:r>
            <w:r w:rsidRPr="00283806">
              <w:rPr>
                <w:spacing w:val="-2"/>
                <w:sz w:val="16"/>
              </w:rPr>
              <w:t>..............</w:t>
            </w:r>
          </w:p>
        </w:tc>
        <w:tc>
          <w:tcPr>
            <w:tcW w:w="9134" w:type="dxa"/>
            <w:tcBorders>
              <w:left w:val="single" w:sz="4" w:space="0" w:color="000000"/>
            </w:tcBorders>
          </w:tcPr>
          <w:p w14:paraId="16AD82B3" w14:textId="77777777" w:rsidR="00D67C1E" w:rsidRPr="00283806" w:rsidRDefault="001265CA">
            <w:pPr>
              <w:pStyle w:val="TableParagraph"/>
              <w:ind w:left="78"/>
              <w:jc w:val="left"/>
              <w:rPr>
                <w:sz w:val="16"/>
              </w:rPr>
            </w:pPr>
            <w:r w:rsidRPr="00283806">
              <w:rPr>
                <w:sz w:val="16"/>
              </w:rPr>
              <w:t>Other</w:t>
            </w:r>
            <w:r w:rsidRPr="00283806">
              <w:rPr>
                <w:spacing w:val="3"/>
                <w:sz w:val="16"/>
              </w:rPr>
              <w:t xml:space="preserve"> </w:t>
            </w:r>
            <w:r w:rsidRPr="00283806">
              <w:rPr>
                <w:sz w:val="16"/>
              </w:rPr>
              <w:t>Miscellaneous</w:t>
            </w:r>
            <w:r w:rsidRPr="00283806">
              <w:rPr>
                <w:spacing w:val="4"/>
                <w:sz w:val="16"/>
              </w:rPr>
              <w:t xml:space="preserve"> </w:t>
            </w:r>
            <w:r w:rsidRPr="00283806">
              <w:rPr>
                <w:sz w:val="16"/>
              </w:rPr>
              <w:t>Durable</w:t>
            </w:r>
            <w:r w:rsidRPr="00283806">
              <w:rPr>
                <w:spacing w:val="3"/>
                <w:sz w:val="16"/>
              </w:rPr>
              <w:t xml:space="preserve"> </w:t>
            </w:r>
            <w:r w:rsidRPr="00283806">
              <w:rPr>
                <w:sz w:val="16"/>
              </w:rPr>
              <w:t>Goods</w:t>
            </w:r>
            <w:r w:rsidRPr="00283806">
              <w:rPr>
                <w:spacing w:val="4"/>
                <w:sz w:val="16"/>
              </w:rPr>
              <w:t xml:space="preserve"> </w:t>
            </w:r>
            <w:r w:rsidRPr="00283806">
              <w:rPr>
                <w:sz w:val="16"/>
              </w:rPr>
              <w:t>Merchant</w:t>
            </w:r>
            <w:r w:rsidRPr="00283806">
              <w:rPr>
                <w:spacing w:val="3"/>
                <w:sz w:val="16"/>
              </w:rPr>
              <w:t xml:space="preserve"> </w:t>
            </w:r>
            <w:r w:rsidRPr="00283806">
              <w:rPr>
                <w:spacing w:val="-2"/>
                <w:sz w:val="16"/>
              </w:rPr>
              <w:t>Wholesalers.</w:t>
            </w:r>
          </w:p>
        </w:tc>
      </w:tr>
      <w:tr w:rsidR="00D67C1E" w:rsidRPr="00283806" w14:paraId="2AE76C43" w14:textId="77777777">
        <w:trPr>
          <w:trHeight w:val="180"/>
        </w:trPr>
        <w:tc>
          <w:tcPr>
            <w:tcW w:w="1307" w:type="dxa"/>
            <w:tcBorders>
              <w:right w:val="single" w:sz="4" w:space="0" w:color="000000"/>
            </w:tcBorders>
          </w:tcPr>
          <w:p w14:paraId="3E946401" w14:textId="77777777" w:rsidR="00D67C1E" w:rsidRPr="00283806" w:rsidRDefault="001265CA">
            <w:pPr>
              <w:pStyle w:val="TableParagraph"/>
              <w:ind w:right="69"/>
              <w:rPr>
                <w:sz w:val="16"/>
              </w:rPr>
            </w:pPr>
            <w:r w:rsidRPr="00283806">
              <w:rPr>
                <w:sz w:val="16"/>
              </w:rPr>
              <w:t>424690</w:t>
            </w:r>
            <w:r w:rsidRPr="00283806">
              <w:rPr>
                <w:spacing w:val="11"/>
                <w:sz w:val="16"/>
              </w:rPr>
              <w:t xml:space="preserve"> </w:t>
            </w:r>
            <w:r w:rsidRPr="00283806">
              <w:rPr>
                <w:spacing w:val="-2"/>
                <w:sz w:val="16"/>
              </w:rPr>
              <w:t>..............</w:t>
            </w:r>
          </w:p>
        </w:tc>
        <w:tc>
          <w:tcPr>
            <w:tcW w:w="9134" w:type="dxa"/>
            <w:tcBorders>
              <w:left w:val="single" w:sz="4" w:space="0" w:color="000000"/>
            </w:tcBorders>
          </w:tcPr>
          <w:p w14:paraId="5DCD5FF7" w14:textId="77777777" w:rsidR="00D67C1E" w:rsidRPr="00283806" w:rsidRDefault="001265CA">
            <w:pPr>
              <w:pStyle w:val="TableParagraph"/>
              <w:ind w:left="78"/>
              <w:jc w:val="left"/>
              <w:rPr>
                <w:sz w:val="16"/>
              </w:rPr>
            </w:pPr>
            <w:r w:rsidRPr="00283806">
              <w:rPr>
                <w:sz w:val="16"/>
              </w:rPr>
              <w:t>Other</w:t>
            </w:r>
            <w:r w:rsidRPr="00283806">
              <w:rPr>
                <w:spacing w:val="4"/>
                <w:sz w:val="16"/>
              </w:rPr>
              <w:t xml:space="preserve"> </w:t>
            </w:r>
            <w:r w:rsidRPr="00283806">
              <w:rPr>
                <w:sz w:val="16"/>
              </w:rPr>
              <w:t>Chemical</w:t>
            </w:r>
            <w:r w:rsidRPr="00283806">
              <w:rPr>
                <w:spacing w:val="5"/>
                <w:sz w:val="16"/>
              </w:rPr>
              <w:t xml:space="preserve"> </w:t>
            </w:r>
            <w:r w:rsidRPr="00283806">
              <w:rPr>
                <w:sz w:val="16"/>
              </w:rPr>
              <w:t>and</w:t>
            </w:r>
            <w:r w:rsidRPr="00283806">
              <w:rPr>
                <w:spacing w:val="5"/>
                <w:sz w:val="16"/>
              </w:rPr>
              <w:t xml:space="preserve"> </w:t>
            </w:r>
            <w:r w:rsidRPr="00283806">
              <w:rPr>
                <w:sz w:val="16"/>
              </w:rPr>
              <w:t>Allied</w:t>
            </w:r>
            <w:r w:rsidRPr="00283806">
              <w:rPr>
                <w:spacing w:val="4"/>
                <w:sz w:val="16"/>
              </w:rPr>
              <w:t xml:space="preserve"> </w:t>
            </w:r>
            <w:r w:rsidRPr="00283806">
              <w:rPr>
                <w:sz w:val="16"/>
              </w:rPr>
              <w:t>Products</w:t>
            </w:r>
            <w:r w:rsidRPr="00283806">
              <w:rPr>
                <w:spacing w:val="5"/>
                <w:sz w:val="16"/>
              </w:rPr>
              <w:t xml:space="preserve"> </w:t>
            </w:r>
            <w:r w:rsidRPr="00283806">
              <w:rPr>
                <w:sz w:val="16"/>
              </w:rPr>
              <w:t>Merchant</w:t>
            </w:r>
            <w:r w:rsidRPr="00283806">
              <w:rPr>
                <w:spacing w:val="5"/>
                <w:sz w:val="16"/>
              </w:rPr>
              <w:t xml:space="preserve"> </w:t>
            </w:r>
            <w:r w:rsidRPr="00283806">
              <w:rPr>
                <w:spacing w:val="-2"/>
                <w:sz w:val="16"/>
              </w:rPr>
              <w:t>Wholesalers.</w:t>
            </w:r>
          </w:p>
        </w:tc>
      </w:tr>
      <w:tr w:rsidR="00D67C1E" w:rsidRPr="00283806" w14:paraId="62FB0E15" w14:textId="77777777">
        <w:trPr>
          <w:trHeight w:val="180"/>
        </w:trPr>
        <w:tc>
          <w:tcPr>
            <w:tcW w:w="1307" w:type="dxa"/>
            <w:tcBorders>
              <w:right w:val="single" w:sz="4" w:space="0" w:color="000000"/>
            </w:tcBorders>
          </w:tcPr>
          <w:p w14:paraId="0B30FE8A" w14:textId="77777777" w:rsidR="00D67C1E" w:rsidRPr="00283806" w:rsidRDefault="001265CA">
            <w:pPr>
              <w:pStyle w:val="TableParagraph"/>
              <w:ind w:right="69"/>
              <w:rPr>
                <w:sz w:val="16"/>
              </w:rPr>
            </w:pPr>
            <w:r w:rsidRPr="00283806">
              <w:rPr>
                <w:sz w:val="16"/>
              </w:rPr>
              <w:t>424820</w:t>
            </w:r>
            <w:r w:rsidRPr="00283806">
              <w:rPr>
                <w:spacing w:val="11"/>
                <w:sz w:val="16"/>
              </w:rPr>
              <w:t xml:space="preserve"> </w:t>
            </w:r>
            <w:r w:rsidRPr="00283806">
              <w:rPr>
                <w:spacing w:val="-2"/>
                <w:sz w:val="16"/>
              </w:rPr>
              <w:t>..............</w:t>
            </w:r>
          </w:p>
        </w:tc>
        <w:tc>
          <w:tcPr>
            <w:tcW w:w="9134" w:type="dxa"/>
            <w:tcBorders>
              <w:left w:val="single" w:sz="4" w:space="0" w:color="000000"/>
            </w:tcBorders>
          </w:tcPr>
          <w:p w14:paraId="71A1B073" w14:textId="77777777" w:rsidR="00D67C1E" w:rsidRPr="00283806" w:rsidRDefault="001265CA">
            <w:pPr>
              <w:pStyle w:val="TableParagraph"/>
              <w:ind w:left="78"/>
              <w:jc w:val="left"/>
              <w:rPr>
                <w:sz w:val="16"/>
              </w:rPr>
            </w:pPr>
            <w:r w:rsidRPr="00283806">
              <w:rPr>
                <w:sz w:val="16"/>
              </w:rPr>
              <w:t>Wine</w:t>
            </w:r>
            <w:r w:rsidRPr="00283806">
              <w:rPr>
                <w:spacing w:val="2"/>
                <w:sz w:val="16"/>
              </w:rPr>
              <w:t xml:space="preserve"> </w:t>
            </w:r>
            <w:r w:rsidRPr="00283806">
              <w:rPr>
                <w:sz w:val="16"/>
              </w:rPr>
              <w:t>and</w:t>
            </w:r>
            <w:r w:rsidRPr="00283806">
              <w:rPr>
                <w:spacing w:val="3"/>
                <w:sz w:val="16"/>
              </w:rPr>
              <w:t xml:space="preserve"> </w:t>
            </w:r>
            <w:r w:rsidRPr="00283806">
              <w:rPr>
                <w:sz w:val="16"/>
              </w:rPr>
              <w:t>Distilled</w:t>
            </w:r>
            <w:r w:rsidRPr="00283806">
              <w:rPr>
                <w:spacing w:val="3"/>
                <w:sz w:val="16"/>
              </w:rPr>
              <w:t xml:space="preserve"> </w:t>
            </w:r>
            <w:r w:rsidRPr="00283806">
              <w:rPr>
                <w:sz w:val="16"/>
              </w:rPr>
              <w:t>Alcoholic</w:t>
            </w:r>
            <w:r w:rsidRPr="00283806">
              <w:rPr>
                <w:spacing w:val="2"/>
                <w:sz w:val="16"/>
              </w:rPr>
              <w:t xml:space="preserve"> </w:t>
            </w:r>
            <w:r w:rsidRPr="00283806">
              <w:rPr>
                <w:sz w:val="16"/>
              </w:rPr>
              <w:t>Beverage</w:t>
            </w:r>
            <w:r w:rsidRPr="00283806">
              <w:rPr>
                <w:spacing w:val="3"/>
                <w:sz w:val="16"/>
              </w:rPr>
              <w:t xml:space="preserve"> </w:t>
            </w:r>
            <w:r w:rsidRPr="00283806">
              <w:rPr>
                <w:sz w:val="16"/>
              </w:rPr>
              <w:t>Merchant</w:t>
            </w:r>
            <w:r w:rsidRPr="00283806">
              <w:rPr>
                <w:spacing w:val="3"/>
                <w:sz w:val="16"/>
              </w:rPr>
              <w:t xml:space="preserve"> </w:t>
            </w:r>
            <w:r w:rsidRPr="00283806">
              <w:rPr>
                <w:spacing w:val="-2"/>
                <w:sz w:val="16"/>
              </w:rPr>
              <w:t>Wholesalers.</w:t>
            </w:r>
          </w:p>
        </w:tc>
      </w:tr>
      <w:tr w:rsidR="00D67C1E" w:rsidRPr="00283806" w14:paraId="5F612E99" w14:textId="77777777">
        <w:trPr>
          <w:trHeight w:val="180"/>
        </w:trPr>
        <w:tc>
          <w:tcPr>
            <w:tcW w:w="1307" w:type="dxa"/>
            <w:tcBorders>
              <w:right w:val="single" w:sz="4" w:space="0" w:color="000000"/>
            </w:tcBorders>
          </w:tcPr>
          <w:p w14:paraId="54582175" w14:textId="77777777" w:rsidR="00D67C1E" w:rsidRPr="00283806" w:rsidRDefault="001265CA">
            <w:pPr>
              <w:pStyle w:val="TableParagraph"/>
              <w:ind w:right="69"/>
              <w:rPr>
                <w:sz w:val="16"/>
              </w:rPr>
            </w:pPr>
            <w:r w:rsidRPr="00283806">
              <w:rPr>
                <w:sz w:val="16"/>
              </w:rPr>
              <w:t>441310</w:t>
            </w:r>
            <w:r w:rsidRPr="00283806">
              <w:rPr>
                <w:spacing w:val="11"/>
                <w:sz w:val="16"/>
              </w:rPr>
              <w:t xml:space="preserve"> </w:t>
            </w:r>
            <w:r w:rsidRPr="00283806">
              <w:rPr>
                <w:spacing w:val="-2"/>
                <w:sz w:val="16"/>
              </w:rPr>
              <w:t>..............</w:t>
            </w:r>
          </w:p>
        </w:tc>
        <w:tc>
          <w:tcPr>
            <w:tcW w:w="9134" w:type="dxa"/>
            <w:tcBorders>
              <w:left w:val="single" w:sz="4" w:space="0" w:color="000000"/>
            </w:tcBorders>
          </w:tcPr>
          <w:p w14:paraId="54085993" w14:textId="77777777" w:rsidR="00D67C1E" w:rsidRPr="00283806" w:rsidRDefault="001265CA">
            <w:pPr>
              <w:pStyle w:val="TableParagraph"/>
              <w:ind w:left="78"/>
              <w:jc w:val="left"/>
              <w:rPr>
                <w:sz w:val="16"/>
              </w:rPr>
            </w:pPr>
            <w:r w:rsidRPr="00283806">
              <w:rPr>
                <w:sz w:val="16"/>
              </w:rPr>
              <w:t>Automotive</w:t>
            </w:r>
            <w:r w:rsidRPr="00283806">
              <w:rPr>
                <w:spacing w:val="1"/>
                <w:sz w:val="16"/>
              </w:rPr>
              <w:t xml:space="preserve"> </w:t>
            </w:r>
            <w:r w:rsidRPr="00283806">
              <w:rPr>
                <w:sz w:val="16"/>
              </w:rPr>
              <w:t>Parts</w:t>
            </w:r>
            <w:r w:rsidRPr="00283806">
              <w:rPr>
                <w:spacing w:val="2"/>
                <w:sz w:val="16"/>
              </w:rPr>
              <w:t xml:space="preserve"> </w:t>
            </w:r>
            <w:r w:rsidRPr="00283806">
              <w:rPr>
                <w:sz w:val="16"/>
              </w:rPr>
              <w:t>and</w:t>
            </w:r>
            <w:r w:rsidRPr="00283806">
              <w:rPr>
                <w:spacing w:val="2"/>
                <w:sz w:val="16"/>
              </w:rPr>
              <w:t xml:space="preserve"> </w:t>
            </w:r>
            <w:r w:rsidRPr="00283806">
              <w:rPr>
                <w:sz w:val="16"/>
              </w:rPr>
              <w:t>Accessories</w:t>
            </w:r>
            <w:r w:rsidRPr="00283806">
              <w:rPr>
                <w:spacing w:val="3"/>
                <w:sz w:val="16"/>
              </w:rPr>
              <w:t xml:space="preserve"> </w:t>
            </w:r>
            <w:r w:rsidRPr="00283806">
              <w:rPr>
                <w:spacing w:val="-2"/>
                <w:sz w:val="16"/>
              </w:rPr>
              <w:t>Stores.</w:t>
            </w:r>
          </w:p>
        </w:tc>
      </w:tr>
      <w:tr w:rsidR="00D67C1E" w:rsidRPr="00283806" w14:paraId="7225C620" w14:textId="77777777">
        <w:trPr>
          <w:trHeight w:val="180"/>
        </w:trPr>
        <w:tc>
          <w:tcPr>
            <w:tcW w:w="1307" w:type="dxa"/>
            <w:tcBorders>
              <w:right w:val="single" w:sz="4" w:space="0" w:color="000000"/>
            </w:tcBorders>
          </w:tcPr>
          <w:p w14:paraId="2E458763" w14:textId="77777777" w:rsidR="00D67C1E" w:rsidRPr="00283806" w:rsidRDefault="001265CA">
            <w:pPr>
              <w:pStyle w:val="TableParagraph"/>
              <w:ind w:right="69"/>
              <w:rPr>
                <w:sz w:val="16"/>
              </w:rPr>
            </w:pPr>
            <w:r w:rsidRPr="00283806">
              <w:rPr>
                <w:sz w:val="16"/>
              </w:rPr>
              <w:t>443141</w:t>
            </w:r>
            <w:r w:rsidRPr="00283806">
              <w:rPr>
                <w:spacing w:val="11"/>
                <w:sz w:val="16"/>
              </w:rPr>
              <w:t xml:space="preserve"> </w:t>
            </w:r>
            <w:r w:rsidRPr="00283806">
              <w:rPr>
                <w:spacing w:val="-2"/>
                <w:sz w:val="16"/>
              </w:rPr>
              <w:t>..............</w:t>
            </w:r>
          </w:p>
        </w:tc>
        <w:tc>
          <w:tcPr>
            <w:tcW w:w="9134" w:type="dxa"/>
            <w:tcBorders>
              <w:left w:val="single" w:sz="4" w:space="0" w:color="000000"/>
            </w:tcBorders>
          </w:tcPr>
          <w:p w14:paraId="3C67B8B5" w14:textId="77777777" w:rsidR="00D67C1E" w:rsidRPr="00283806" w:rsidRDefault="001265CA">
            <w:pPr>
              <w:pStyle w:val="TableParagraph"/>
              <w:ind w:left="78"/>
              <w:jc w:val="left"/>
              <w:rPr>
                <w:sz w:val="16"/>
              </w:rPr>
            </w:pPr>
            <w:r w:rsidRPr="00283806">
              <w:rPr>
                <w:sz w:val="16"/>
              </w:rPr>
              <w:t>Household Appliance</w:t>
            </w:r>
            <w:r w:rsidRPr="00283806">
              <w:rPr>
                <w:spacing w:val="1"/>
                <w:sz w:val="16"/>
              </w:rPr>
              <w:t xml:space="preserve"> </w:t>
            </w:r>
            <w:r w:rsidRPr="00283806">
              <w:rPr>
                <w:spacing w:val="-2"/>
                <w:sz w:val="16"/>
              </w:rPr>
              <w:t>Stores.</w:t>
            </w:r>
          </w:p>
        </w:tc>
      </w:tr>
      <w:tr w:rsidR="00D67C1E" w:rsidRPr="00283806" w14:paraId="0458046C" w14:textId="77777777">
        <w:trPr>
          <w:trHeight w:val="180"/>
        </w:trPr>
        <w:tc>
          <w:tcPr>
            <w:tcW w:w="1307" w:type="dxa"/>
            <w:tcBorders>
              <w:right w:val="single" w:sz="4" w:space="0" w:color="000000"/>
            </w:tcBorders>
          </w:tcPr>
          <w:p w14:paraId="2E2EB9AE" w14:textId="77777777" w:rsidR="00D67C1E" w:rsidRPr="00283806" w:rsidRDefault="001265CA">
            <w:pPr>
              <w:pStyle w:val="TableParagraph"/>
              <w:ind w:right="69"/>
              <w:rPr>
                <w:sz w:val="16"/>
              </w:rPr>
            </w:pPr>
            <w:r w:rsidRPr="00283806">
              <w:rPr>
                <w:sz w:val="16"/>
              </w:rPr>
              <w:t>444190</w:t>
            </w:r>
            <w:r w:rsidRPr="00283806">
              <w:rPr>
                <w:spacing w:val="11"/>
                <w:sz w:val="16"/>
              </w:rPr>
              <w:t xml:space="preserve"> </w:t>
            </w:r>
            <w:r w:rsidRPr="00283806">
              <w:rPr>
                <w:spacing w:val="-2"/>
                <w:sz w:val="16"/>
              </w:rPr>
              <w:t>..............</w:t>
            </w:r>
          </w:p>
        </w:tc>
        <w:tc>
          <w:tcPr>
            <w:tcW w:w="9134" w:type="dxa"/>
            <w:tcBorders>
              <w:left w:val="single" w:sz="4" w:space="0" w:color="000000"/>
            </w:tcBorders>
          </w:tcPr>
          <w:p w14:paraId="51960C05" w14:textId="77777777" w:rsidR="00D67C1E" w:rsidRPr="00283806" w:rsidRDefault="001265CA">
            <w:pPr>
              <w:pStyle w:val="TableParagraph"/>
              <w:ind w:left="78"/>
              <w:jc w:val="left"/>
              <w:rPr>
                <w:sz w:val="16"/>
              </w:rPr>
            </w:pPr>
            <w:r w:rsidRPr="00283806">
              <w:rPr>
                <w:sz w:val="16"/>
              </w:rPr>
              <w:t>Other</w:t>
            </w:r>
            <w:r w:rsidRPr="00283806">
              <w:rPr>
                <w:spacing w:val="4"/>
                <w:sz w:val="16"/>
              </w:rPr>
              <w:t xml:space="preserve"> </w:t>
            </w:r>
            <w:r w:rsidRPr="00283806">
              <w:rPr>
                <w:sz w:val="16"/>
              </w:rPr>
              <w:t>Building</w:t>
            </w:r>
            <w:r w:rsidRPr="00283806">
              <w:rPr>
                <w:spacing w:val="4"/>
                <w:sz w:val="16"/>
              </w:rPr>
              <w:t xml:space="preserve"> </w:t>
            </w:r>
            <w:r w:rsidRPr="00283806">
              <w:rPr>
                <w:sz w:val="16"/>
              </w:rPr>
              <w:t>Material</w:t>
            </w:r>
            <w:r w:rsidRPr="00283806">
              <w:rPr>
                <w:spacing w:val="4"/>
                <w:sz w:val="16"/>
              </w:rPr>
              <w:t xml:space="preserve"> </w:t>
            </w:r>
            <w:r w:rsidRPr="00283806">
              <w:rPr>
                <w:spacing w:val="-2"/>
                <w:sz w:val="16"/>
              </w:rPr>
              <w:t>Dealers.</w:t>
            </w:r>
          </w:p>
        </w:tc>
      </w:tr>
      <w:tr w:rsidR="00D67C1E" w:rsidRPr="00283806" w14:paraId="0701FFD5" w14:textId="77777777">
        <w:trPr>
          <w:trHeight w:val="180"/>
        </w:trPr>
        <w:tc>
          <w:tcPr>
            <w:tcW w:w="1307" w:type="dxa"/>
            <w:tcBorders>
              <w:right w:val="single" w:sz="4" w:space="0" w:color="000000"/>
            </w:tcBorders>
          </w:tcPr>
          <w:p w14:paraId="3FAE463A" w14:textId="77777777" w:rsidR="00D67C1E" w:rsidRPr="00283806" w:rsidRDefault="001265CA">
            <w:pPr>
              <w:pStyle w:val="TableParagraph"/>
              <w:ind w:right="69"/>
              <w:rPr>
                <w:sz w:val="16"/>
              </w:rPr>
            </w:pPr>
            <w:r w:rsidRPr="00283806">
              <w:rPr>
                <w:sz w:val="16"/>
              </w:rPr>
              <w:t>445110</w:t>
            </w:r>
            <w:r w:rsidRPr="00283806">
              <w:rPr>
                <w:spacing w:val="11"/>
                <w:sz w:val="16"/>
              </w:rPr>
              <w:t xml:space="preserve"> </w:t>
            </w:r>
            <w:r w:rsidRPr="00283806">
              <w:rPr>
                <w:spacing w:val="-2"/>
                <w:sz w:val="16"/>
              </w:rPr>
              <w:t>..............</w:t>
            </w:r>
          </w:p>
        </w:tc>
        <w:tc>
          <w:tcPr>
            <w:tcW w:w="9134" w:type="dxa"/>
            <w:tcBorders>
              <w:left w:val="single" w:sz="4" w:space="0" w:color="000000"/>
            </w:tcBorders>
          </w:tcPr>
          <w:p w14:paraId="1BC8F23E" w14:textId="77777777" w:rsidR="00D67C1E" w:rsidRPr="00283806" w:rsidRDefault="001265CA">
            <w:pPr>
              <w:pStyle w:val="TableParagraph"/>
              <w:ind w:left="78"/>
              <w:jc w:val="left"/>
              <w:rPr>
                <w:sz w:val="16"/>
              </w:rPr>
            </w:pPr>
            <w:r w:rsidRPr="00283806">
              <w:rPr>
                <w:sz w:val="16"/>
              </w:rPr>
              <w:t>Supermarkets</w:t>
            </w:r>
            <w:r w:rsidRPr="00283806">
              <w:rPr>
                <w:spacing w:val="4"/>
                <w:sz w:val="16"/>
              </w:rPr>
              <w:t xml:space="preserve"> </w:t>
            </w:r>
            <w:r w:rsidRPr="00283806">
              <w:rPr>
                <w:sz w:val="16"/>
              </w:rPr>
              <w:t>and</w:t>
            </w:r>
            <w:r w:rsidRPr="00283806">
              <w:rPr>
                <w:spacing w:val="4"/>
                <w:sz w:val="16"/>
              </w:rPr>
              <w:t xml:space="preserve"> </w:t>
            </w:r>
            <w:r w:rsidRPr="00283806">
              <w:rPr>
                <w:sz w:val="16"/>
              </w:rPr>
              <w:t>Other</w:t>
            </w:r>
            <w:r w:rsidRPr="00283806">
              <w:rPr>
                <w:spacing w:val="4"/>
                <w:sz w:val="16"/>
              </w:rPr>
              <w:t xml:space="preserve"> </w:t>
            </w:r>
            <w:r w:rsidRPr="00283806">
              <w:rPr>
                <w:sz w:val="16"/>
              </w:rPr>
              <w:t>Grocery</w:t>
            </w:r>
            <w:r w:rsidRPr="00283806">
              <w:rPr>
                <w:spacing w:val="5"/>
                <w:sz w:val="16"/>
              </w:rPr>
              <w:t xml:space="preserve"> </w:t>
            </w:r>
            <w:r w:rsidRPr="00283806">
              <w:rPr>
                <w:sz w:val="16"/>
              </w:rPr>
              <w:t>(except</w:t>
            </w:r>
            <w:r w:rsidRPr="00283806">
              <w:rPr>
                <w:spacing w:val="4"/>
                <w:sz w:val="16"/>
              </w:rPr>
              <w:t xml:space="preserve"> </w:t>
            </w:r>
            <w:r w:rsidRPr="00283806">
              <w:rPr>
                <w:sz w:val="16"/>
              </w:rPr>
              <w:t>Convenience)</w:t>
            </w:r>
            <w:r w:rsidRPr="00283806">
              <w:rPr>
                <w:spacing w:val="4"/>
                <w:sz w:val="16"/>
              </w:rPr>
              <w:t xml:space="preserve"> </w:t>
            </w:r>
            <w:r w:rsidRPr="00283806">
              <w:rPr>
                <w:spacing w:val="-2"/>
                <w:sz w:val="16"/>
              </w:rPr>
              <w:t>Stores.</w:t>
            </w:r>
          </w:p>
        </w:tc>
      </w:tr>
      <w:tr w:rsidR="00D67C1E" w:rsidRPr="00283806" w14:paraId="47426428" w14:textId="77777777">
        <w:trPr>
          <w:trHeight w:val="180"/>
        </w:trPr>
        <w:tc>
          <w:tcPr>
            <w:tcW w:w="1307" w:type="dxa"/>
            <w:tcBorders>
              <w:right w:val="single" w:sz="4" w:space="0" w:color="000000"/>
            </w:tcBorders>
          </w:tcPr>
          <w:p w14:paraId="72C0308B" w14:textId="77777777" w:rsidR="00D67C1E" w:rsidRPr="00283806" w:rsidRDefault="001265CA">
            <w:pPr>
              <w:pStyle w:val="TableParagraph"/>
              <w:ind w:right="69"/>
              <w:rPr>
                <w:sz w:val="16"/>
              </w:rPr>
            </w:pPr>
            <w:r w:rsidRPr="00283806">
              <w:rPr>
                <w:sz w:val="16"/>
              </w:rPr>
              <w:t>445131</w:t>
            </w:r>
            <w:r w:rsidRPr="00283806">
              <w:rPr>
                <w:spacing w:val="11"/>
                <w:sz w:val="16"/>
              </w:rPr>
              <w:t xml:space="preserve"> </w:t>
            </w:r>
            <w:r w:rsidRPr="00283806">
              <w:rPr>
                <w:spacing w:val="-2"/>
                <w:sz w:val="16"/>
              </w:rPr>
              <w:t>..............</w:t>
            </w:r>
          </w:p>
        </w:tc>
        <w:tc>
          <w:tcPr>
            <w:tcW w:w="9134" w:type="dxa"/>
            <w:tcBorders>
              <w:left w:val="single" w:sz="4" w:space="0" w:color="000000"/>
            </w:tcBorders>
          </w:tcPr>
          <w:p w14:paraId="52133E1B" w14:textId="77777777" w:rsidR="00D67C1E" w:rsidRPr="00283806" w:rsidRDefault="001265CA">
            <w:pPr>
              <w:pStyle w:val="TableParagraph"/>
              <w:ind w:left="78"/>
              <w:jc w:val="left"/>
              <w:rPr>
                <w:sz w:val="16"/>
              </w:rPr>
            </w:pPr>
            <w:r w:rsidRPr="00283806">
              <w:rPr>
                <w:sz w:val="16"/>
              </w:rPr>
              <w:t>Convenience</w:t>
            </w:r>
            <w:r w:rsidRPr="00283806">
              <w:rPr>
                <w:spacing w:val="-2"/>
                <w:sz w:val="16"/>
              </w:rPr>
              <w:t xml:space="preserve"> Retailers.</w:t>
            </w:r>
          </w:p>
        </w:tc>
      </w:tr>
      <w:tr w:rsidR="00D67C1E" w:rsidRPr="00283806" w14:paraId="5695B191" w14:textId="77777777">
        <w:trPr>
          <w:trHeight w:val="180"/>
        </w:trPr>
        <w:tc>
          <w:tcPr>
            <w:tcW w:w="1307" w:type="dxa"/>
            <w:tcBorders>
              <w:right w:val="single" w:sz="4" w:space="0" w:color="000000"/>
            </w:tcBorders>
          </w:tcPr>
          <w:p w14:paraId="59091DE8" w14:textId="77777777" w:rsidR="00D67C1E" w:rsidRPr="00283806" w:rsidRDefault="001265CA">
            <w:pPr>
              <w:pStyle w:val="TableParagraph"/>
              <w:ind w:right="69"/>
              <w:rPr>
                <w:sz w:val="16"/>
              </w:rPr>
            </w:pPr>
            <w:r w:rsidRPr="00283806">
              <w:rPr>
                <w:sz w:val="16"/>
              </w:rPr>
              <w:t>445298</w:t>
            </w:r>
            <w:r w:rsidRPr="00283806">
              <w:rPr>
                <w:spacing w:val="11"/>
                <w:sz w:val="16"/>
              </w:rPr>
              <w:t xml:space="preserve"> </w:t>
            </w:r>
            <w:r w:rsidRPr="00283806">
              <w:rPr>
                <w:spacing w:val="-2"/>
                <w:sz w:val="16"/>
              </w:rPr>
              <w:t>..............</w:t>
            </w:r>
          </w:p>
        </w:tc>
        <w:tc>
          <w:tcPr>
            <w:tcW w:w="9134" w:type="dxa"/>
            <w:tcBorders>
              <w:left w:val="single" w:sz="4" w:space="0" w:color="000000"/>
            </w:tcBorders>
          </w:tcPr>
          <w:p w14:paraId="4DCD4325" w14:textId="77777777" w:rsidR="00D67C1E" w:rsidRPr="00283806" w:rsidRDefault="001265CA">
            <w:pPr>
              <w:pStyle w:val="TableParagraph"/>
              <w:ind w:left="78"/>
              <w:jc w:val="left"/>
              <w:rPr>
                <w:sz w:val="16"/>
              </w:rPr>
            </w:pPr>
            <w:r w:rsidRPr="00283806">
              <w:rPr>
                <w:sz w:val="16"/>
              </w:rPr>
              <w:t>All</w:t>
            </w:r>
            <w:r w:rsidRPr="00283806">
              <w:rPr>
                <w:spacing w:val="5"/>
                <w:sz w:val="16"/>
              </w:rPr>
              <w:t xml:space="preserve"> </w:t>
            </w:r>
            <w:r w:rsidRPr="00283806">
              <w:rPr>
                <w:sz w:val="16"/>
              </w:rPr>
              <w:t>Other</w:t>
            </w:r>
            <w:r w:rsidRPr="00283806">
              <w:rPr>
                <w:spacing w:val="5"/>
                <w:sz w:val="16"/>
              </w:rPr>
              <w:t xml:space="preserve"> </w:t>
            </w:r>
            <w:r w:rsidRPr="00283806">
              <w:rPr>
                <w:sz w:val="16"/>
              </w:rPr>
              <w:t>Specialty</w:t>
            </w:r>
            <w:r w:rsidRPr="00283806">
              <w:rPr>
                <w:spacing w:val="5"/>
                <w:sz w:val="16"/>
              </w:rPr>
              <w:t xml:space="preserve"> </w:t>
            </w:r>
            <w:r w:rsidRPr="00283806">
              <w:rPr>
                <w:sz w:val="16"/>
              </w:rPr>
              <w:t>Food</w:t>
            </w:r>
            <w:r w:rsidRPr="00283806">
              <w:rPr>
                <w:spacing w:val="5"/>
                <w:sz w:val="16"/>
              </w:rPr>
              <w:t xml:space="preserve"> </w:t>
            </w:r>
            <w:r w:rsidRPr="00283806">
              <w:rPr>
                <w:spacing w:val="-2"/>
                <w:sz w:val="16"/>
              </w:rPr>
              <w:t>Retailers.</w:t>
            </w:r>
          </w:p>
        </w:tc>
      </w:tr>
      <w:tr w:rsidR="00D67C1E" w:rsidRPr="00283806" w14:paraId="39E95C03" w14:textId="77777777">
        <w:trPr>
          <w:trHeight w:val="180"/>
        </w:trPr>
        <w:tc>
          <w:tcPr>
            <w:tcW w:w="1307" w:type="dxa"/>
            <w:tcBorders>
              <w:right w:val="single" w:sz="4" w:space="0" w:color="000000"/>
            </w:tcBorders>
          </w:tcPr>
          <w:p w14:paraId="47C9DA52" w14:textId="77777777" w:rsidR="00D67C1E" w:rsidRPr="00283806" w:rsidRDefault="001265CA">
            <w:pPr>
              <w:pStyle w:val="TableParagraph"/>
              <w:ind w:right="69"/>
              <w:rPr>
                <w:sz w:val="16"/>
              </w:rPr>
            </w:pPr>
            <w:r w:rsidRPr="00283806">
              <w:rPr>
                <w:sz w:val="16"/>
              </w:rPr>
              <w:t>446191</w:t>
            </w:r>
            <w:r w:rsidRPr="00283806">
              <w:rPr>
                <w:spacing w:val="11"/>
                <w:sz w:val="16"/>
              </w:rPr>
              <w:t xml:space="preserve"> </w:t>
            </w:r>
            <w:r w:rsidRPr="00283806">
              <w:rPr>
                <w:spacing w:val="-2"/>
                <w:sz w:val="16"/>
              </w:rPr>
              <w:t>..............</w:t>
            </w:r>
          </w:p>
        </w:tc>
        <w:tc>
          <w:tcPr>
            <w:tcW w:w="9134" w:type="dxa"/>
            <w:tcBorders>
              <w:left w:val="single" w:sz="4" w:space="0" w:color="000000"/>
            </w:tcBorders>
          </w:tcPr>
          <w:p w14:paraId="25C9630B" w14:textId="77777777" w:rsidR="00D67C1E" w:rsidRPr="00283806" w:rsidRDefault="001265CA">
            <w:pPr>
              <w:pStyle w:val="TableParagraph"/>
              <w:ind w:left="78"/>
              <w:jc w:val="left"/>
              <w:rPr>
                <w:sz w:val="16"/>
              </w:rPr>
            </w:pPr>
            <w:r w:rsidRPr="00283806">
              <w:rPr>
                <w:sz w:val="16"/>
              </w:rPr>
              <w:t>Food</w:t>
            </w:r>
            <w:r w:rsidRPr="00283806">
              <w:rPr>
                <w:spacing w:val="2"/>
                <w:sz w:val="16"/>
              </w:rPr>
              <w:t xml:space="preserve"> </w:t>
            </w:r>
            <w:r w:rsidRPr="00283806">
              <w:rPr>
                <w:sz w:val="16"/>
              </w:rPr>
              <w:t>(Health)</w:t>
            </w:r>
            <w:r w:rsidRPr="00283806">
              <w:rPr>
                <w:spacing w:val="2"/>
                <w:sz w:val="16"/>
              </w:rPr>
              <w:t xml:space="preserve"> </w:t>
            </w:r>
            <w:r w:rsidRPr="00283806">
              <w:rPr>
                <w:sz w:val="16"/>
              </w:rPr>
              <w:t>Supplement</w:t>
            </w:r>
            <w:r w:rsidRPr="00283806">
              <w:rPr>
                <w:spacing w:val="2"/>
                <w:sz w:val="16"/>
              </w:rPr>
              <w:t xml:space="preserve"> </w:t>
            </w:r>
            <w:r w:rsidRPr="00283806">
              <w:rPr>
                <w:spacing w:val="-2"/>
                <w:sz w:val="16"/>
              </w:rPr>
              <w:t>Stores.</w:t>
            </w:r>
          </w:p>
        </w:tc>
      </w:tr>
      <w:tr w:rsidR="00D67C1E" w:rsidRPr="00283806" w14:paraId="3A3D9531" w14:textId="77777777">
        <w:trPr>
          <w:trHeight w:val="180"/>
        </w:trPr>
        <w:tc>
          <w:tcPr>
            <w:tcW w:w="1307" w:type="dxa"/>
            <w:tcBorders>
              <w:right w:val="single" w:sz="4" w:space="0" w:color="000000"/>
            </w:tcBorders>
          </w:tcPr>
          <w:p w14:paraId="487BAFB6" w14:textId="77777777" w:rsidR="00D67C1E" w:rsidRPr="00283806" w:rsidRDefault="001265CA">
            <w:pPr>
              <w:pStyle w:val="TableParagraph"/>
              <w:ind w:right="69"/>
              <w:rPr>
                <w:sz w:val="16"/>
              </w:rPr>
            </w:pPr>
            <w:r w:rsidRPr="00283806">
              <w:rPr>
                <w:sz w:val="16"/>
              </w:rPr>
              <w:t>449210</w:t>
            </w:r>
            <w:r w:rsidRPr="00283806">
              <w:rPr>
                <w:spacing w:val="11"/>
                <w:sz w:val="16"/>
              </w:rPr>
              <w:t xml:space="preserve"> </w:t>
            </w:r>
            <w:r w:rsidRPr="00283806">
              <w:rPr>
                <w:spacing w:val="-2"/>
                <w:sz w:val="16"/>
              </w:rPr>
              <w:t>..............</w:t>
            </w:r>
          </w:p>
        </w:tc>
        <w:tc>
          <w:tcPr>
            <w:tcW w:w="9134" w:type="dxa"/>
            <w:tcBorders>
              <w:left w:val="single" w:sz="4" w:space="0" w:color="000000"/>
            </w:tcBorders>
          </w:tcPr>
          <w:p w14:paraId="4C10C40A" w14:textId="77777777" w:rsidR="00D67C1E" w:rsidRPr="00283806" w:rsidRDefault="001265CA">
            <w:pPr>
              <w:pStyle w:val="TableParagraph"/>
              <w:ind w:left="78"/>
              <w:jc w:val="left"/>
              <w:rPr>
                <w:sz w:val="16"/>
              </w:rPr>
            </w:pPr>
            <w:r w:rsidRPr="00283806">
              <w:rPr>
                <w:sz w:val="16"/>
              </w:rPr>
              <w:t>Electronics</w:t>
            </w:r>
            <w:r w:rsidRPr="00283806">
              <w:rPr>
                <w:spacing w:val="2"/>
                <w:sz w:val="16"/>
              </w:rPr>
              <w:t xml:space="preserve"> </w:t>
            </w:r>
            <w:r w:rsidRPr="00283806">
              <w:rPr>
                <w:sz w:val="16"/>
              </w:rPr>
              <w:t>and</w:t>
            </w:r>
            <w:r w:rsidRPr="00283806">
              <w:rPr>
                <w:spacing w:val="2"/>
                <w:sz w:val="16"/>
              </w:rPr>
              <w:t xml:space="preserve"> </w:t>
            </w:r>
            <w:r w:rsidRPr="00283806">
              <w:rPr>
                <w:sz w:val="16"/>
              </w:rPr>
              <w:t>Appliance</w:t>
            </w:r>
            <w:r w:rsidRPr="00283806">
              <w:rPr>
                <w:spacing w:val="2"/>
                <w:sz w:val="16"/>
              </w:rPr>
              <w:t xml:space="preserve"> </w:t>
            </w:r>
            <w:r w:rsidRPr="00283806">
              <w:rPr>
                <w:spacing w:val="-2"/>
                <w:sz w:val="16"/>
              </w:rPr>
              <w:t>Retailers.</w:t>
            </w:r>
          </w:p>
        </w:tc>
      </w:tr>
      <w:tr w:rsidR="00D67C1E" w:rsidRPr="00283806" w14:paraId="2A56CBDA" w14:textId="77777777">
        <w:trPr>
          <w:trHeight w:val="180"/>
        </w:trPr>
        <w:tc>
          <w:tcPr>
            <w:tcW w:w="1307" w:type="dxa"/>
            <w:tcBorders>
              <w:right w:val="single" w:sz="4" w:space="0" w:color="000000"/>
            </w:tcBorders>
          </w:tcPr>
          <w:p w14:paraId="67913F4E" w14:textId="77777777" w:rsidR="00D67C1E" w:rsidRPr="00283806" w:rsidRDefault="001265CA">
            <w:pPr>
              <w:pStyle w:val="TableParagraph"/>
              <w:ind w:right="69"/>
              <w:rPr>
                <w:sz w:val="16"/>
              </w:rPr>
            </w:pPr>
            <w:r w:rsidRPr="00283806">
              <w:rPr>
                <w:sz w:val="16"/>
              </w:rPr>
              <w:t>452311</w:t>
            </w:r>
            <w:r w:rsidRPr="00283806">
              <w:rPr>
                <w:spacing w:val="11"/>
                <w:sz w:val="16"/>
              </w:rPr>
              <w:t xml:space="preserve"> </w:t>
            </w:r>
            <w:r w:rsidRPr="00283806">
              <w:rPr>
                <w:spacing w:val="-2"/>
                <w:sz w:val="16"/>
              </w:rPr>
              <w:t>..............</w:t>
            </w:r>
          </w:p>
        </w:tc>
        <w:tc>
          <w:tcPr>
            <w:tcW w:w="9134" w:type="dxa"/>
            <w:tcBorders>
              <w:left w:val="single" w:sz="4" w:space="0" w:color="000000"/>
            </w:tcBorders>
          </w:tcPr>
          <w:p w14:paraId="4A36909E" w14:textId="77777777" w:rsidR="00D67C1E" w:rsidRPr="00283806" w:rsidRDefault="001265CA">
            <w:pPr>
              <w:pStyle w:val="TableParagraph"/>
              <w:ind w:left="78"/>
              <w:jc w:val="left"/>
              <w:rPr>
                <w:sz w:val="16"/>
              </w:rPr>
            </w:pPr>
            <w:r w:rsidRPr="00283806">
              <w:rPr>
                <w:sz w:val="16"/>
              </w:rPr>
              <w:t>Warehouse</w:t>
            </w:r>
            <w:r w:rsidRPr="00283806">
              <w:rPr>
                <w:spacing w:val="3"/>
                <w:sz w:val="16"/>
              </w:rPr>
              <w:t xml:space="preserve"> </w:t>
            </w:r>
            <w:r w:rsidRPr="00283806">
              <w:rPr>
                <w:sz w:val="16"/>
              </w:rPr>
              <w:t>Clubs</w:t>
            </w:r>
            <w:r w:rsidRPr="00283806">
              <w:rPr>
                <w:spacing w:val="3"/>
                <w:sz w:val="16"/>
              </w:rPr>
              <w:t xml:space="preserve"> </w:t>
            </w:r>
            <w:r w:rsidRPr="00283806">
              <w:rPr>
                <w:sz w:val="16"/>
              </w:rPr>
              <w:t>and</w:t>
            </w:r>
            <w:r w:rsidRPr="00283806">
              <w:rPr>
                <w:spacing w:val="3"/>
                <w:sz w:val="16"/>
              </w:rPr>
              <w:t xml:space="preserve"> </w:t>
            </w:r>
            <w:r w:rsidRPr="00283806">
              <w:rPr>
                <w:spacing w:val="-2"/>
                <w:sz w:val="16"/>
              </w:rPr>
              <w:t>Supercenters.</w:t>
            </w:r>
          </w:p>
        </w:tc>
      </w:tr>
      <w:tr w:rsidR="00D67C1E" w:rsidRPr="00283806" w14:paraId="4FFE78F8" w14:textId="77777777">
        <w:trPr>
          <w:trHeight w:val="180"/>
        </w:trPr>
        <w:tc>
          <w:tcPr>
            <w:tcW w:w="1307" w:type="dxa"/>
            <w:tcBorders>
              <w:right w:val="single" w:sz="4" w:space="0" w:color="000000"/>
            </w:tcBorders>
          </w:tcPr>
          <w:p w14:paraId="5ED7247D" w14:textId="77777777" w:rsidR="00D67C1E" w:rsidRPr="00283806" w:rsidRDefault="001265CA">
            <w:pPr>
              <w:pStyle w:val="TableParagraph"/>
              <w:ind w:right="69"/>
              <w:rPr>
                <w:sz w:val="16"/>
              </w:rPr>
            </w:pPr>
            <w:r w:rsidRPr="00283806">
              <w:rPr>
                <w:sz w:val="16"/>
              </w:rPr>
              <w:t>453998</w:t>
            </w:r>
            <w:r w:rsidRPr="00283806">
              <w:rPr>
                <w:spacing w:val="11"/>
                <w:sz w:val="16"/>
              </w:rPr>
              <w:t xml:space="preserve"> </w:t>
            </w:r>
            <w:r w:rsidRPr="00283806">
              <w:rPr>
                <w:spacing w:val="-2"/>
                <w:sz w:val="16"/>
              </w:rPr>
              <w:t>..............</w:t>
            </w:r>
          </w:p>
        </w:tc>
        <w:tc>
          <w:tcPr>
            <w:tcW w:w="9134" w:type="dxa"/>
            <w:tcBorders>
              <w:left w:val="single" w:sz="4" w:space="0" w:color="000000"/>
            </w:tcBorders>
          </w:tcPr>
          <w:p w14:paraId="7E9FB562" w14:textId="77777777" w:rsidR="00D67C1E" w:rsidRPr="00283806" w:rsidRDefault="001265CA">
            <w:pPr>
              <w:pStyle w:val="TableParagraph"/>
              <w:ind w:left="78"/>
              <w:jc w:val="left"/>
              <w:rPr>
                <w:sz w:val="16"/>
              </w:rPr>
            </w:pPr>
            <w:r w:rsidRPr="00283806">
              <w:rPr>
                <w:sz w:val="16"/>
              </w:rPr>
              <w:t>All</w:t>
            </w:r>
            <w:r w:rsidRPr="00283806">
              <w:rPr>
                <w:spacing w:val="4"/>
                <w:sz w:val="16"/>
              </w:rPr>
              <w:t xml:space="preserve"> </w:t>
            </w:r>
            <w:r w:rsidRPr="00283806">
              <w:rPr>
                <w:sz w:val="16"/>
              </w:rPr>
              <w:t>Other</w:t>
            </w:r>
            <w:r w:rsidRPr="00283806">
              <w:rPr>
                <w:spacing w:val="5"/>
                <w:sz w:val="16"/>
              </w:rPr>
              <w:t xml:space="preserve"> </w:t>
            </w:r>
            <w:r w:rsidRPr="00283806">
              <w:rPr>
                <w:sz w:val="16"/>
              </w:rPr>
              <w:t>Miscellaneous</w:t>
            </w:r>
            <w:r w:rsidRPr="00283806">
              <w:rPr>
                <w:spacing w:val="4"/>
                <w:sz w:val="16"/>
              </w:rPr>
              <w:t xml:space="preserve"> </w:t>
            </w:r>
            <w:r w:rsidRPr="00283806">
              <w:rPr>
                <w:sz w:val="16"/>
              </w:rPr>
              <w:t>Store</w:t>
            </w:r>
            <w:r w:rsidRPr="00283806">
              <w:rPr>
                <w:spacing w:val="5"/>
                <w:sz w:val="16"/>
              </w:rPr>
              <w:t xml:space="preserve"> </w:t>
            </w:r>
            <w:r w:rsidRPr="00283806">
              <w:rPr>
                <w:sz w:val="16"/>
              </w:rPr>
              <w:t>Retailers</w:t>
            </w:r>
            <w:r w:rsidRPr="00283806">
              <w:rPr>
                <w:spacing w:val="4"/>
                <w:sz w:val="16"/>
              </w:rPr>
              <w:t xml:space="preserve"> </w:t>
            </w:r>
            <w:r w:rsidRPr="00283806">
              <w:rPr>
                <w:sz w:val="16"/>
              </w:rPr>
              <w:t>(except</w:t>
            </w:r>
            <w:r w:rsidRPr="00283806">
              <w:rPr>
                <w:spacing w:val="5"/>
                <w:sz w:val="16"/>
              </w:rPr>
              <w:t xml:space="preserve"> </w:t>
            </w:r>
            <w:r w:rsidRPr="00283806">
              <w:rPr>
                <w:sz w:val="16"/>
              </w:rPr>
              <w:t>Tobacco</w:t>
            </w:r>
            <w:r w:rsidRPr="00283806">
              <w:rPr>
                <w:spacing w:val="4"/>
                <w:sz w:val="16"/>
              </w:rPr>
              <w:t xml:space="preserve"> </w:t>
            </w:r>
            <w:r w:rsidRPr="00283806">
              <w:rPr>
                <w:spacing w:val="-2"/>
                <w:sz w:val="16"/>
              </w:rPr>
              <w:t>Stores).</w:t>
            </w:r>
          </w:p>
        </w:tc>
      </w:tr>
      <w:tr w:rsidR="00D67C1E" w:rsidRPr="00283806" w14:paraId="378E85E0" w14:textId="77777777">
        <w:trPr>
          <w:trHeight w:val="180"/>
        </w:trPr>
        <w:tc>
          <w:tcPr>
            <w:tcW w:w="1307" w:type="dxa"/>
            <w:tcBorders>
              <w:right w:val="single" w:sz="4" w:space="0" w:color="000000"/>
            </w:tcBorders>
          </w:tcPr>
          <w:p w14:paraId="7073B269" w14:textId="77777777" w:rsidR="00D67C1E" w:rsidRPr="00283806" w:rsidRDefault="001265CA">
            <w:pPr>
              <w:pStyle w:val="TableParagraph"/>
              <w:ind w:right="70"/>
              <w:rPr>
                <w:sz w:val="16"/>
              </w:rPr>
            </w:pPr>
            <w:r w:rsidRPr="00283806">
              <w:rPr>
                <w:sz w:val="16"/>
              </w:rPr>
              <w:t>45711</w:t>
            </w:r>
            <w:r w:rsidRPr="00283806">
              <w:rPr>
                <w:spacing w:val="11"/>
                <w:sz w:val="16"/>
              </w:rPr>
              <w:t xml:space="preserve"> </w:t>
            </w:r>
            <w:r w:rsidRPr="00283806">
              <w:rPr>
                <w:spacing w:val="-2"/>
                <w:sz w:val="16"/>
              </w:rPr>
              <w:t>................</w:t>
            </w:r>
          </w:p>
        </w:tc>
        <w:tc>
          <w:tcPr>
            <w:tcW w:w="9134" w:type="dxa"/>
            <w:tcBorders>
              <w:left w:val="single" w:sz="4" w:space="0" w:color="000000"/>
            </w:tcBorders>
          </w:tcPr>
          <w:p w14:paraId="21904AB3" w14:textId="77777777" w:rsidR="00D67C1E" w:rsidRPr="00283806" w:rsidRDefault="001265CA">
            <w:pPr>
              <w:pStyle w:val="TableParagraph"/>
              <w:ind w:left="78"/>
              <w:jc w:val="left"/>
              <w:rPr>
                <w:sz w:val="16"/>
              </w:rPr>
            </w:pPr>
            <w:r w:rsidRPr="00283806">
              <w:rPr>
                <w:sz w:val="16"/>
              </w:rPr>
              <w:t>Gasoline</w:t>
            </w:r>
            <w:r w:rsidRPr="00283806">
              <w:rPr>
                <w:spacing w:val="4"/>
                <w:sz w:val="16"/>
              </w:rPr>
              <w:t xml:space="preserve"> </w:t>
            </w:r>
            <w:r w:rsidRPr="00283806">
              <w:rPr>
                <w:sz w:val="16"/>
              </w:rPr>
              <w:t>Stations</w:t>
            </w:r>
            <w:r w:rsidRPr="00283806">
              <w:rPr>
                <w:spacing w:val="4"/>
                <w:sz w:val="16"/>
              </w:rPr>
              <w:t xml:space="preserve"> </w:t>
            </w:r>
            <w:proofErr w:type="gramStart"/>
            <w:r w:rsidRPr="00283806">
              <w:rPr>
                <w:sz w:val="16"/>
              </w:rPr>
              <w:t>With</w:t>
            </w:r>
            <w:proofErr w:type="gramEnd"/>
            <w:r w:rsidRPr="00283806">
              <w:rPr>
                <w:spacing w:val="4"/>
                <w:sz w:val="16"/>
              </w:rPr>
              <w:t xml:space="preserve"> </w:t>
            </w:r>
            <w:r w:rsidRPr="00283806">
              <w:rPr>
                <w:sz w:val="16"/>
              </w:rPr>
              <w:t>Convenience</w:t>
            </w:r>
            <w:r w:rsidRPr="00283806">
              <w:rPr>
                <w:spacing w:val="4"/>
                <w:sz w:val="16"/>
              </w:rPr>
              <w:t xml:space="preserve"> </w:t>
            </w:r>
            <w:r w:rsidRPr="00283806">
              <w:rPr>
                <w:spacing w:val="-2"/>
                <w:sz w:val="16"/>
              </w:rPr>
              <w:t>Stores.</w:t>
            </w:r>
          </w:p>
        </w:tc>
      </w:tr>
      <w:tr w:rsidR="00D67C1E" w:rsidRPr="00283806" w14:paraId="68C7DDAD" w14:textId="77777777">
        <w:trPr>
          <w:trHeight w:val="180"/>
        </w:trPr>
        <w:tc>
          <w:tcPr>
            <w:tcW w:w="1307" w:type="dxa"/>
            <w:tcBorders>
              <w:right w:val="single" w:sz="4" w:space="0" w:color="000000"/>
            </w:tcBorders>
          </w:tcPr>
          <w:p w14:paraId="71B2BBD6" w14:textId="77777777" w:rsidR="00D67C1E" w:rsidRPr="00283806" w:rsidRDefault="001265CA">
            <w:pPr>
              <w:pStyle w:val="TableParagraph"/>
              <w:ind w:right="69"/>
              <w:rPr>
                <w:sz w:val="16"/>
              </w:rPr>
            </w:pPr>
            <w:r w:rsidRPr="00283806">
              <w:rPr>
                <w:sz w:val="16"/>
              </w:rPr>
              <w:t>481111</w:t>
            </w:r>
            <w:r w:rsidRPr="00283806">
              <w:rPr>
                <w:spacing w:val="11"/>
                <w:sz w:val="16"/>
              </w:rPr>
              <w:t xml:space="preserve"> </w:t>
            </w:r>
            <w:r w:rsidRPr="00283806">
              <w:rPr>
                <w:spacing w:val="-2"/>
                <w:sz w:val="16"/>
              </w:rPr>
              <w:t>..............</w:t>
            </w:r>
          </w:p>
        </w:tc>
        <w:tc>
          <w:tcPr>
            <w:tcW w:w="9134" w:type="dxa"/>
            <w:tcBorders>
              <w:left w:val="single" w:sz="4" w:space="0" w:color="000000"/>
            </w:tcBorders>
          </w:tcPr>
          <w:p w14:paraId="70DCFC4C" w14:textId="77777777" w:rsidR="00D67C1E" w:rsidRPr="00283806" w:rsidRDefault="001265CA">
            <w:pPr>
              <w:pStyle w:val="TableParagraph"/>
              <w:ind w:left="78"/>
              <w:jc w:val="left"/>
              <w:rPr>
                <w:sz w:val="16"/>
              </w:rPr>
            </w:pPr>
            <w:r w:rsidRPr="00283806">
              <w:rPr>
                <w:sz w:val="16"/>
              </w:rPr>
              <w:t>Scheduled</w:t>
            </w:r>
            <w:r w:rsidRPr="00283806">
              <w:rPr>
                <w:spacing w:val="2"/>
                <w:sz w:val="16"/>
              </w:rPr>
              <w:t xml:space="preserve"> </w:t>
            </w:r>
            <w:r w:rsidRPr="00283806">
              <w:rPr>
                <w:sz w:val="16"/>
              </w:rPr>
              <w:t>Passenger</w:t>
            </w:r>
            <w:r w:rsidRPr="00283806">
              <w:rPr>
                <w:spacing w:val="2"/>
                <w:sz w:val="16"/>
              </w:rPr>
              <w:t xml:space="preserve"> </w:t>
            </w:r>
            <w:r w:rsidRPr="00283806">
              <w:rPr>
                <w:sz w:val="16"/>
              </w:rPr>
              <w:t>Air</w:t>
            </w:r>
            <w:r w:rsidRPr="00283806">
              <w:rPr>
                <w:spacing w:val="2"/>
                <w:sz w:val="16"/>
              </w:rPr>
              <w:t xml:space="preserve"> </w:t>
            </w:r>
            <w:r w:rsidRPr="00283806">
              <w:rPr>
                <w:spacing w:val="-2"/>
                <w:sz w:val="16"/>
              </w:rPr>
              <w:t>Transportation.</w:t>
            </w:r>
          </w:p>
        </w:tc>
      </w:tr>
      <w:tr w:rsidR="00D67C1E" w:rsidRPr="00283806" w14:paraId="4E02037C" w14:textId="77777777">
        <w:trPr>
          <w:trHeight w:val="180"/>
        </w:trPr>
        <w:tc>
          <w:tcPr>
            <w:tcW w:w="1307" w:type="dxa"/>
            <w:tcBorders>
              <w:right w:val="single" w:sz="4" w:space="0" w:color="000000"/>
            </w:tcBorders>
          </w:tcPr>
          <w:p w14:paraId="56902F9B" w14:textId="77777777" w:rsidR="00D67C1E" w:rsidRPr="00283806" w:rsidRDefault="001265CA">
            <w:pPr>
              <w:pStyle w:val="TableParagraph"/>
              <w:ind w:right="69"/>
              <w:rPr>
                <w:sz w:val="16"/>
              </w:rPr>
            </w:pPr>
            <w:r w:rsidRPr="00283806">
              <w:rPr>
                <w:sz w:val="16"/>
              </w:rPr>
              <w:t>488510</w:t>
            </w:r>
            <w:r w:rsidRPr="00283806">
              <w:rPr>
                <w:spacing w:val="11"/>
                <w:sz w:val="16"/>
              </w:rPr>
              <w:t xml:space="preserve"> </w:t>
            </w:r>
            <w:r w:rsidRPr="00283806">
              <w:rPr>
                <w:spacing w:val="-2"/>
                <w:sz w:val="16"/>
              </w:rPr>
              <w:t>..............</w:t>
            </w:r>
          </w:p>
        </w:tc>
        <w:tc>
          <w:tcPr>
            <w:tcW w:w="9134" w:type="dxa"/>
            <w:tcBorders>
              <w:left w:val="single" w:sz="4" w:space="0" w:color="000000"/>
            </w:tcBorders>
          </w:tcPr>
          <w:p w14:paraId="747F2D83" w14:textId="77777777" w:rsidR="00D67C1E" w:rsidRPr="00283806" w:rsidRDefault="001265CA">
            <w:pPr>
              <w:pStyle w:val="TableParagraph"/>
              <w:ind w:left="78"/>
              <w:jc w:val="left"/>
              <w:rPr>
                <w:sz w:val="16"/>
              </w:rPr>
            </w:pPr>
            <w:r w:rsidRPr="00283806">
              <w:rPr>
                <w:sz w:val="16"/>
              </w:rPr>
              <w:t xml:space="preserve">Freight Transportation </w:t>
            </w:r>
            <w:r w:rsidRPr="00283806">
              <w:rPr>
                <w:spacing w:val="-2"/>
                <w:sz w:val="16"/>
              </w:rPr>
              <w:t>Arrangement.</w:t>
            </w:r>
          </w:p>
        </w:tc>
      </w:tr>
      <w:tr w:rsidR="00D67C1E" w:rsidRPr="00283806" w14:paraId="0E517AFB" w14:textId="77777777">
        <w:trPr>
          <w:trHeight w:val="180"/>
        </w:trPr>
        <w:tc>
          <w:tcPr>
            <w:tcW w:w="1307" w:type="dxa"/>
            <w:tcBorders>
              <w:right w:val="single" w:sz="4" w:space="0" w:color="000000"/>
            </w:tcBorders>
          </w:tcPr>
          <w:p w14:paraId="3E4C807E" w14:textId="77777777" w:rsidR="00D67C1E" w:rsidRPr="00283806" w:rsidRDefault="001265CA">
            <w:pPr>
              <w:pStyle w:val="TableParagraph"/>
              <w:ind w:right="69"/>
              <w:rPr>
                <w:sz w:val="16"/>
              </w:rPr>
            </w:pPr>
            <w:r w:rsidRPr="00283806">
              <w:rPr>
                <w:sz w:val="16"/>
              </w:rPr>
              <w:t>493110</w:t>
            </w:r>
            <w:r w:rsidRPr="00283806">
              <w:rPr>
                <w:spacing w:val="11"/>
                <w:sz w:val="16"/>
              </w:rPr>
              <w:t xml:space="preserve"> </w:t>
            </w:r>
            <w:r w:rsidRPr="00283806">
              <w:rPr>
                <w:spacing w:val="-2"/>
                <w:sz w:val="16"/>
              </w:rPr>
              <w:t>..............</w:t>
            </w:r>
          </w:p>
        </w:tc>
        <w:tc>
          <w:tcPr>
            <w:tcW w:w="9134" w:type="dxa"/>
            <w:tcBorders>
              <w:left w:val="single" w:sz="4" w:space="0" w:color="000000"/>
            </w:tcBorders>
          </w:tcPr>
          <w:p w14:paraId="17EA3073" w14:textId="77777777" w:rsidR="00D67C1E" w:rsidRPr="00283806" w:rsidRDefault="001265CA">
            <w:pPr>
              <w:pStyle w:val="TableParagraph"/>
              <w:ind w:left="78"/>
              <w:jc w:val="left"/>
              <w:rPr>
                <w:sz w:val="16"/>
              </w:rPr>
            </w:pPr>
            <w:r w:rsidRPr="00283806">
              <w:rPr>
                <w:sz w:val="16"/>
              </w:rPr>
              <w:t>General</w:t>
            </w:r>
            <w:r w:rsidRPr="00283806">
              <w:rPr>
                <w:spacing w:val="2"/>
                <w:sz w:val="16"/>
              </w:rPr>
              <w:t xml:space="preserve"> </w:t>
            </w:r>
            <w:r w:rsidRPr="00283806">
              <w:rPr>
                <w:sz w:val="16"/>
              </w:rPr>
              <w:t>Warehousing</w:t>
            </w:r>
            <w:r w:rsidRPr="00283806">
              <w:rPr>
                <w:spacing w:val="2"/>
                <w:sz w:val="16"/>
              </w:rPr>
              <w:t xml:space="preserve"> </w:t>
            </w:r>
            <w:r w:rsidRPr="00283806">
              <w:rPr>
                <w:sz w:val="16"/>
              </w:rPr>
              <w:t>and</w:t>
            </w:r>
            <w:r w:rsidRPr="00283806">
              <w:rPr>
                <w:spacing w:val="2"/>
                <w:sz w:val="16"/>
              </w:rPr>
              <w:t xml:space="preserve"> </w:t>
            </w:r>
            <w:r w:rsidRPr="00283806">
              <w:rPr>
                <w:spacing w:val="-2"/>
                <w:sz w:val="16"/>
              </w:rPr>
              <w:t>Storage.</w:t>
            </w:r>
          </w:p>
        </w:tc>
      </w:tr>
      <w:tr w:rsidR="00D67C1E" w:rsidRPr="00283806" w14:paraId="030DCAE6" w14:textId="77777777">
        <w:trPr>
          <w:trHeight w:val="179"/>
        </w:trPr>
        <w:tc>
          <w:tcPr>
            <w:tcW w:w="1307" w:type="dxa"/>
            <w:tcBorders>
              <w:right w:val="single" w:sz="4" w:space="0" w:color="000000"/>
            </w:tcBorders>
          </w:tcPr>
          <w:p w14:paraId="66E7A26F" w14:textId="77777777" w:rsidR="00D67C1E" w:rsidRPr="00283806" w:rsidRDefault="001265CA">
            <w:pPr>
              <w:pStyle w:val="TableParagraph"/>
              <w:ind w:right="69"/>
              <w:rPr>
                <w:sz w:val="16"/>
              </w:rPr>
            </w:pPr>
            <w:r w:rsidRPr="00283806">
              <w:rPr>
                <w:sz w:val="16"/>
              </w:rPr>
              <w:t>531120</w:t>
            </w:r>
            <w:r w:rsidRPr="00283806">
              <w:rPr>
                <w:spacing w:val="11"/>
                <w:sz w:val="16"/>
              </w:rPr>
              <w:t xml:space="preserve"> </w:t>
            </w:r>
            <w:r w:rsidRPr="00283806">
              <w:rPr>
                <w:spacing w:val="-2"/>
                <w:sz w:val="16"/>
              </w:rPr>
              <w:t>..............</w:t>
            </w:r>
          </w:p>
        </w:tc>
        <w:tc>
          <w:tcPr>
            <w:tcW w:w="9134" w:type="dxa"/>
            <w:tcBorders>
              <w:left w:val="single" w:sz="4" w:space="0" w:color="000000"/>
            </w:tcBorders>
          </w:tcPr>
          <w:p w14:paraId="5F4F5F74" w14:textId="77777777" w:rsidR="00D67C1E" w:rsidRPr="00283806" w:rsidRDefault="001265CA">
            <w:pPr>
              <w:pStyle w:val="TableParagraph"/>
              <w:ind w:left="78"/>
              <w:jc w:val="left"/>
              <w:rPr>
                <w:sz w:val="16"/>
              </w:rPr>
            </w:pPr>
            <w:r w:rsidRPr="00283806">
              <w:rPr>
                <w:sz w:val="16"/>
              </w:rPr>
              <w:t>Lessors</w:t>
            </w:r>
            <w:r w:rsidRPr="00283806">
              <w:rPr>
                <w:spacing w:val="3"/>
                <w:sz w:val="16"/>
              </w:rPr>
              <w:t xml:space="preserve"> </w:t>
            </w:r>
            <w:r w:rsidRPr="00283806">
              <w:rPr>
                <w:sz w:val="16"/>
              </w:rPr>
              <w:t>of</w:t>
            </w:r>
            <w:r w:rsidRPr="00283806">
              <w:rPr>
                <w:spacing w:val="4"/>
                <w:sz w:val="16"/>
              </w:rPr>
              <w:t xml:space="preserve"> </w:t>
            </w:r>
            <w:r w:rsidRPr="00283806">
              <w:rPr>
                <w:sz w:val="16"/>
              </w:rPr>
              <w:t>Nonresidential</w:t>
            </w:r>
            <w:r w:rsidRPr="00283806">
              <w:rPr>
                <w:spacing w:val="4"/>
                <w:sz w:val="16"/>
              </w:rPr>
              <w:t xml:space="preserve"> </w:t>
            </w:r>
            <w:r w:rsidRPr="00283806">
              <w:rPr>
                <w:sz w:val="16"/>
              </w:rPr>
              <w:t>Buildings</w:t>
            </w:r>
            <w:r w:rsidRPr="00283806">
              <w:rPr>
                <w:spacing w:val="4"/>
                <w:sz w:val="16"/>
              </w:rPr>
              <w:t xml:space="preserve"> </w:t>
            </w:r>
            <w:r w:rsidRPr="00283806">
              <w:rPr>
                <w:sz w:val="16"/>
              </w:rPr>
              <w:t>(except</w:t>
            </w:r>
            <w:r w:rsidRPr="00283806">
              <w:rPr>
                <w:spacing w:val="3"/>
                <w:sz w:val="16"/>
              </w:rPr>
              <w:t xml:space="preserve"> </w:t>
            </w:r>
            <w:r w:rsidRPr="00283806">
              <w:rPr>
                <w:sz w:val="16"/>
              </w:rPr>
              <w:t>Mini</w:t>
            </w:r>
            <w:r w:rsidRPr="00283806">
              <w:rPr>
                <w:spacing w:val="4"/>
                <w:sz w:val="16"/>
              </w:rPr>
              <w:t xml:space="preserve"> </w:t>
            </w:r>
            <w:r w:rsidRPr="00283806">
              <w:rPr>
                <w:spacing w:val="-2"/>
                <w:sz w:val="16"/>
              </w:rPr>
              <w:t>warehouses).</w:t>
            </w:r>
          </w:p>
        </w:tc>
      </w:tr>
      <w:tr w:rsidR="00D67C1E" w:rsidRPr="00283806" w14:paraId="5BECF5BE" w14:textId="77777777">
        <w:trPr>
          <w:trHeight w:val="179"/>
        </w:trPr>
        <w:tc>
          <w:tcPr>
            <w:tcW w:w="1307" w:type="dxa"/>
            <w:tcBorders>
              <w:right w:val="single" w:sz="4" w:space="0" w:color="000000"/>
            </w:tcBorders>
          </w:tcPr>
          <w:p w14:paraId="432D804B" w14:textId="77777777" w:rsidR="00D67C1E" w:rsidRPr="00283806" w:rsidRDefault="001265CA">
            <w:pPr>
              <w:pStyle w:val="TableParagraph"/>
              <w:ind w:right="69"/>
              <w:rPr>
                <w:sz w:val="16"/>
              </w:rPr>
            </w:pPr>
            <w:r w:rsidRPr="00283806">
              <w:rPr>
                <w:sz w:val="16"/>
              </w:rPr>
              <w:t>541330</w:t>
            </w:r>
            <w:r w:rsidRPr="00283806">
              <w:rPr>
                <w:spacing w:val="11"/>
                <w:sz w:val="16"/>
              </w:rPr>
              <w:t xml:space="preserve"> </w:t>
            </w:r>
            <w:r w:rsidRPr="00283806">
              <w:rPr>
                <w:spacing w:val="-2"/>
                <w:sz w:val="16"/>
              </w:rPr>
              <w:t>..............</w:t>
            </w:r>
          </w:p>
        </w:tc>
        <w:tc>
          <w:tcPr>
            <w:tcW w:w="9134" w:type="dxa"/>
            <w:tcBorders>
              <w:left w:val="single" w:sz="4" w:space="0" w:color="000000"/>
            </w:tcBorders>
          </w:tcPr>
          <w:p w14:paraId="439F9391" w14:textId="77777777" w:rsidR="00D67C1E" w:rsidRPr="00283806" w:rsidRDefault="001265CA">
            <w:pPr>
              <w:pStyle w:val="TableParagraph"/>
              <w:ind w:left="78"/>
              <w:jc w:val="left"/>
              <w:rPr>
                <w:sz w:val="16"/>
              </w:rPr>
            </w:pPr>
            <w:r w:rsidRPr="00283806">
              <w:rPr>
                <w:sz w:val="16"/>
              </w:rPr>
              <w:t>Engineering</w:t>
            </w:r>
            <w:r w:rsidRPr="00283806">
              <w:rPr>
                <w:spacing w:val="-1"/>
                <w:sz w:val="16"/>
              </w:rPr>
              <w:t xml:space="preserve"> </w:t>
            </w:r>
            <w:r w:rsidRPr="00283806">
              <w:rPr>
                <w:spacing w:val="-2"/>
                <w:sz w:val="16"/>
              </w:rPr>
              <w:t>Services.</w:t>
            </w:r>
          </w:p>
        </w:tc>
      </w:tr>
      <w:tr w:rsidR="00D67C1E" w:rsidRPr="00283806" w14:paraId="46252591" w14:textId="77777777">
        <w:trPr>
          <w:trHeight w:val="180"/>
        </w:trPr>
        <w:tc>
          <w:tcPr>
            <w:tcW w:w="1307" w:type="dxa"/>
            <w:tcBorders>
              <w:right w:val="single" w:sz="4" w:space="0" w:color="000000"/>
            </w:tcBorders>
          </w:tcPr>
          <w:p w14:paraId="2C9C7296" w14:textId="77777777" w:rsidR="00D67C1E" w:rsidRPr="00283806" w:rsidRDefault="001265CA">
            <w:pPr>
              <w:pStyle w:val="TableParagraph"/>
              <w:ind w:right="69"/>
              <w:rPr>
                <w:sz w:val="16"/>
              </w:rPr>
            </w:pPr>
            <w:r w:rsidRPr="00283806">
              <w:rPr>
                <w:sz w:val="16"/>
              </w:rPr>
              <w:t>541380</w:t>
            </w:r>
            <w:r w:rsidRPr="00283806">
              <w:rPr>
                <w:spacing w:val="11"/>
                <w:sz w:val="16"/>
              </w:rPr>
              <w:t xml:space="preserve"> </w:t>
            </w:r>
            <w:r w:rsidRPr="00283806">
              <w:rPr>
                <w:spacing w:val="-2"/>
                <w:sz w:val="16"/>
              </w:rPr>
              <w:t>..............</w:t>
            </w:r>
          </w:p>
        </w:tc>
        <w:tc>
          <w:tcPr>
            <w:tcW w:w="9134" w:type="dxa"/>
            <w:tcBorders>
              <w:left w:val="single" w:sz="4" w:space="0" w:color="000000"/>
            </w:tcBorders>
          </w:tcPr>
          <w:p w14:paraId="08E4A1F0" w14:textId="77777777" w:rsidR="00D67C1E" w:rsidRPr="00283806" w:rsidRDefault="001265CA">
            <w:pPr>
              <w:pStyle w:val="TableParagraph"/>
              <w:ind w:left="78"/>
              <w:jc w:val="left"/>
              <w:rPr>
                <w:sz w:val="16"/>
              </w:rPr>
            </w:pPr>
            <w:r w:rsidRPr="00283806">
              <w:rPr>
                <w:sz w:val="16"/>
              </w:rPr>
              <w:t>Testing</w:t>
            </w:r>
            <w:r w:rsidRPr="00283806">
              <w:rPr>
                <w:spacing w:val="2"/>
                <w:sz w:val="16"/>
              </w:rPr>
              <w:t xml:space="preserve"> </w:t>
            </w:r>
            <w:r w:rsidRPr="00283806">
              <w:rPr>
                <w:spacing w:val="-2"/>
                <w:sz w:val="16"/>
              </w:rPr>
              <w:t>Laboratories.</w:t>
            </w:r>
          </w:p>
        </w:tc>
      </w:tr>
      <w:tr w:rsidR="00D67C1E" w:rsidRPr="00283806" w14:paraId="08A90C3F" w14:textId="77777777">
        <w:trPr>
          <w:trHeight w:val="180"/>
        </w:trPr>
        <w:tc>
          <w:tcPr>
            <w:tcW w:w="1307" w:type="dxa"/>
            <w:tcBorders>
              <w:right w:val="single" w:sz="4" w:space="0" w:color="000000"/>
            </w:tcBorders>
          </w:tcPr>
          <w:p w14:paraId="1A1EFA0E" w14:textId="77777777" w:rsidR="00D67C1E" w:rsidRPr="00283806" w:rsidRDefault="001265CA">
            <w:pPr>
              <w:pStyle w:val="TableParagraph"/>
              <w:ind w:right="69"/>
              <w:rPr>
                <w:sz w:val="16"/>
              </w:rPr>
            </w:pPr>
            <w:r w:rsidRPr="00283806">
              <w:rPr>
                <w:sz w:val="16"/>
              </w:rPr>
              <w:t>541512</w:t>
            </w:r>
            <w:r w:rsidRPr="00283806">
              <w:rPr>
                <w:spacing w:val="11"/>
                <w:sz w:val="16"/>
              </w:rPr>
              <w:t xml:space="preserve"> </w:t>
            </w:r>
            <w:r w:rsidRPr="00283806">
              <w:rPr>
                <w:spacing w:val="-2"/>
                <w:sz w:val="16"/>
              </w:rPr>
              <w:t>..............</w:t>
            </w:r>
          </w:p>
        </w:tc>
        <w:tc>
          <w:tcPr>
            <w:tcW w:w="9134" w:type="dxa"/>
            <w:tcBorders>
              <w:left w:val="single" w:sz="4" w:space="0" w:color="000000"/>
            </w:tcBorders>
          </w:tcPr>
          <w:p w14:paraId="316B9E6A" w14:textId="77777777" w:rsidR="00D67C1E" w:rsidRPr="00283806" w:rsidRDefault="001265CA">
            <w:pPr>
              <w:pStyle w:val="TableParagraph"/>
              <w:ind w:left="78"/>
              <w:jc w:val="left"/>
              <w:rPr>
                <w:sz w:val="16"/>
              </w:rPr>
            </w:pPr>
            <w:r w:rsidRPr="00283806">
              <w:rPr>
                <w:sz w:val="16"/>
              </w:rPr>
              <w:t>Computer</w:t>
            </w:r>
            <w:r w:rsidRPr="00283806">
              <w:rPr>
                <w:spacing w:val="2"/>
                <w:sz w:val="16"/>
              </w:rPr>
              <w:t xml:space="preserve"> </w:t>
            </w:r>
            <w:r w:rsidRPr="00283806">
              <w:rPr>
                <w:sz w:val="16"/>
              </w:rPr>
              <w:t>Systems</w:t>
            </w:r>
            <w:r w:rsidRPr="00283806">
              <w:rPr>
                <w:spacing w:val="4"/>
                <w:sz w:val="16"/>
              </w:rPr>
              <w:t xml:space="preserve"> </w:t>
            </w:r>
            <w:r w:rsidRPr="00283806">
              <w:rPr>
                <w:sz w:val="16"/>
              </w:rPr>
              <w:t>Design</w:t>
            </w:r>
            <w:r w:rsidRPr="00283806">
              <w:rPr>
                <w:spacing w:val="4"/>
                <w:sz w:val="16"/>
              </w:rPr>
              <w:t xml:space="preserve"> </w:t>
            </w:r>
            <w:r w:rsidRPr="00283806">
              <w:rPr>
                <w:spacing w:val="-2"/>
                <w:sz w:val="16"/>
              </w:rPr>
              <w:t>Services.</w:t>
            </w:r>
          </w:p>
        </w:tc>
      </w:tr>
      <w:tr w:rsidR="00D67C1E" w:rsidRPr="00283806" w14:paraId="52BB0386" w14:textId="77777777">
        <w:trPr>
          <w:trHeight w:val="180"/>
        </w:trPr>
        <w:tc>
          <w:tcPr>
            <w:tcW w:w="1307" w:type="dxa"/>
            <w:tcBorders>
              <w:right w:val="single" w:sz="4" w:space="0" w:color="000000"/>
            </w:tcBorders>
          </w:tcPr>
          <w:p w14:paraId="58478827" w14:textId="77777777" w:rsidR="00D67C1E" w:rsidRPr="00283806" w:rsidRDefault="001265CA">
            <w:pPr>
              <w:pStyle w:val="TableParagraph"/>
              <w:ind w:right="69"/>
              <w:rPr>
                <w:sz w:val="16"/>
              </w:rPr>
            </w:pPr>
            <w:r w:rsidRPr="00283806">
              <w:rPr>
                <w:sz w:val="16"/>
              </w:rPr>
              <w:t>541519</w:t>
            </w:r>
            <w:r w:rsidRPr="00283806">
              <w:rPr>
                <w:spacing w:val="11"/>
                <w:sz w:val="16"/>
              </w:rPr>
              <w:t xml:space="preserve"> </w:t>
            </w:r>
            <w:r w:rsidRPr="00283806">
              <w:rPr>
                <w:spacing w:val="-2"/>
                <w:sz w:val="16"/>
              </w:rPr>
              <w:t>..............</w:t>
            </w:r>
          </w:p>
        </w:tc>
        <w:tc>
          <w:tcPr>
            <w:tcW w:w="9134" w:type="dxa"/>
            <w:tcBorders>
              <w:left w:val="single" w:sz="4" w:space="0" w:color="000000"/>
            </w:tcBorders>
          </w:tcPr>
          <w:p w14:paraId="4B3F3402" w14:textId="77777777" w:rsidR="00D67C1E" w:rsidRPr="00283806" w:rsidRDefault="001265CA">
            <w:pPr>
              <w:pStyle w:val="TableParagraph"/>
              <w:ind w:left="78"/>
              <w:jc w:val="left"/>
              <w:rPr>
                <w:sz w:val="16"/>
              </w:rPr>
            </w:pPr>
            <w:r w:rsidRPr="00283806">
              <w:rPr>
                <w:sz w:val="16"/>
              </w:rPr>
              <w:t>Other</w:t>
            </w:r>
            <w:r w:rsidRPr="00283806">
              <w:rPr>
                <w:spacing w:val="3"/>
                <w:sz w:val="16"/>
              </w:rPr>
              <w:t xml:space="preserve"> </w:t>
            </w:r>
            <w:r w:rsidRPr="00283806">
              <w:rPr>
                <w:sz w:val="16"/>
              </w:rPr>
              <w:t>Computer</w:t>
            </w:r>
            <w:r w:rsidRPr="00283806">
              <w:rPr>
                <w:spacing w:val="4"/>
                <w:sz w:val="16"/>
              </w:rPr>
              <w:t xml:space="preserve"> </w:t>
            </w:r>
            <w:r w:rsidRPr="00283806">
              <w:rPr>
                <w:sz w:val="16"/>
              </w:rPr>
              <w:t>Related</w:t>
            </w:r>
            <w:r w:rsidRPr="00283806">
              <w:rPr>
                <w:spacing w:val="4"/>
                <w:sz w:val="16"/>
              </w:rPr>
              <w:t xml:space="preserve"> </w:t>
            </w:r>
            <w:r w:rsidRPr="00283806">
              <w:rPr>
                <w:spacing w:val="-2"/>
                <w:sz w:val="16"/>
              </w:rPr>
              <w:t>Services.</w:t>
            </w:r>
          </w:p>
        </w:tc>
      </w:tr>
      <w:tr w:rsidR="00D67C1E" w:rsidRPr="00283806" w14:paraId="5F934572" w14:textId="77777777">
        <w:trPr>
          <w:trHeight w:val="180"/>
        </w:trPr>
        <w:tc>
          <w:tcPr>
            <w:tcW w:w="1307" w:type="dxa"/>
            <w:tcBorders>
              <w:right w:val="single" w:sz="4" w:space="0" w:color="000000"/>
            </w:tcBorders>
          </w:tcPr>
          <w:p w14:paraId="6B82FA80" w14:textId="77777777" w:rsidR="00D67C1E" w:rsidRPr="00283806" w:rsidRDefault="001265CA">
            <w:pPr>
              <w:pStyle w:val="TableParagraph"/>
              <w:ind w:right="69"/>
              <w:rPr>
                <w:sz w:val="16"/>
              </w:rPr>
            </w:pPr>
            <w:r w:rsidRPr="00283806">
              <w:rPr>
                <w:sz w:val="16"/>
              </w:rPr>
              <w:t>541620</w:t>
            </w:r>
            <w:r w:rsidRPr="00283806">
              <w:rPr>
                <w:spacing w:val="11"/>
                <w:sz w:val="16"/>
              </w:rPr>
              <w:t xml:space="preserve"> </w:t>
            </w:r>
            <w:r w:rsidRPr="00283806">
              <w:rPr>
                <w:spacing w:val="-2"/>
                <w:sz w:val="16"/>
              </w:rPr>
              <w:t>..............</w:t>
            </w:r>
          </w:p>
        </w:tc>
        <w:tc>
          <w:tcPr>
            <w:tcW w:w="9134" w:type="dxa"/>
            <w:tcBorders>
              <w:left w:val="single" w:sz="4" w:space="0" w:color="000000"/>
            </w:tcBorders>
          </w:tcPr>
          <w:p w14:paraId="1AD10400" w14:textId="77777777" w:rsidR="00D67C1E" w:rsidRPr="00283806" w:rsidRDefault="001265CA">
            <w:pPr>
              <w:pStyle w:val="TableParagraph"/>
              <w:ind w:left="78"/>
              <w:jc w:val="left"/>
              <w:rPr>
                <w:sz w:val="16"/>
              </w:rPr>
            </w:pPr>
            <w:r w:rsidRPr="00283806">
              <w:rPr>
                <w:sz w:val="16"/>
              </w:rPr>
              <w:t>Environmental</w:t>
            </w:r>
            <w:r w:rsidRPr="00283806">
              <w:rPr>
                <w:spacing w:val="-1"/>
                <w:sz w:val="16"/>
              </w:rPr>
              <w:t xml:space="preserve"> </w:t>
            </w:r>
            <w:r w:rsidRPr="00283806">
              <w:rPr>
                <w:sz w:val="16"/>
              </w:rPr>
              <w:t>Consulting</w:t>
            </w:r>
            <w:r w:rsidRPr="00283806">
              <w:rPr>
                <w:spacing w:val="-1"/>
                <w:sz w:val="16"/>
              </w:rPr>
              <w:t xml:space="preserve"> </w:t>
            </w:r>
            <w:r w:rsidRPr="00283806">
              <w:rPr>
                <w:spacing w:val="-2"/>
                <w:sz w:val="16"/>
              </w:rPr>
              <w:t>Services.</w:t>
            </w:r>
          </w:p>
        </w:tc>
      </w:tr>
      <w:tr w:rsidR="00D67C1E" w:rsidRPr="00283806" w14:paraId="13AFA218" w14:textId="77777777">
        <w:trPr>
          <w:trHeight w:val="180"/>
        </w:trPr>
        <w:tc>
          <w:tcPr>
            <w:tcW w:w="1307" w:type="dxa"/>
            <w:tcBorders>
              <w:right w:val="single" w:sz="4" w:space="0" w:color="000000"/>
            </w:tcBorders>
          </w:tcPr>
          <w:p w14:paraId="2FDC1143" w14:textId="77777777" w:rsidR="00D67C1E" w:rsidRPr="00283806" w:rsidRDefault="001265CA">
            <w:pPr>
              <w:pStyle w:val="TableParagraph"/>
              <w:ind w:right="69"/>
              <w:rPr>
                <w:sz w:val="16"/>
              </w:rPr>
            </w:pPr>
            <w:r w:rsidRPr="00283806">
              <w:rPr>
                <w:sz w:val="16"/>
              </w:rPr>
              <w:t>561210</w:t>
            </w:r>
            <w:r w:rsidRPr="00283806">
              <w:rPr>
                <w:spacing w:val="11"/>
                <w:sz w:val="16"/>
              </w:rPr>
              <w:t xml:space="preserve"> </w:t>
            </w:r>
            <w:r w:rsidRPr="00283806">
              <w:rPr>
                <w:spacing w:val="-2"/>
                <w:sz w:val="16"/>
              </w:rPr>
              <w:t>..............</w:t>
            </w:r>
          </w:p>
        </w:tc>
        <w:tc>
          <w:tcPr>
            <w:tcW w:w="9134" w:type="dxa"/>
            <w:tcBorders>
              <w:left w:val="single" w:sz="4" w:space="0" w:color="000000"/>
            </w:tcBorders>
          </w:tcPr>
          <w:p w14:paraId="288F11EE" w14:textId="77777777" w:rsidR="00D67C1E" w:rsidRPr="00283806" w:rsidRDefault="001265CA">
            <w:pPr>
              <w:pStyle w:val="TableParagraph"/>
              <w:ind w:left="78"/>
              <w:jc w:val="left"/>
              <w:rPr>
                <w:sz w:val="16"/>
              </w:rPr>
            </w:pPr>
            <w:r w:rsidRPr="00283806">
              <w:rPr>
                <w:sz w:val="16"/>
              </w:rPr>
              <w:t>Facilities</w:t>
            </w:r>
            <w:r w:rsidRPr="00283806">
              <w:rPr>
                <w:spacing w:val="2"/>
                <w:sz w:val="16"/>
              </w:rPr>
              <w:t xml:space="preserve"> </w:t>
            </w:r>
            <w:r w:rsidRPr="00283806">
              <w:rPr>
                <w:sz w:val="16"/>
              </w:rPr>
              <w:t>Support</w:t>
            </w:r>
            <w:r w:rsidRPr="00283806">
              <w:rPr>
                <w:spacing w:val="2"/>
                <w:sz w:val="16"/>
              </w:rPr>
              <w:t xml:space="preserve"> </w:t>
            </w:r>
            <w:r w:rsidRPr="00283806">
              <w:rPr>
                <w:spacing w:val="-2"/>
                <w:sz w:val="16"/>
              </w:rPr>
              <w:t>Services.</w:t>
            </w:r>
          </w:p>
        </w:tc>
      </w:tr>
      <w:tr w:rsidR="00D67C1E" w:rsidRPr="00283806" w14:paraId="1C1340F2" w14:textId="77777777">
        <w:trPr>
          <w:trHeight w:val="180"/>
        </w:trPr>
        <w:tc>
          <w:tcPr>
            <w:tcW w:w="1307" w:type="dxa"/>
            <w:tcBorders>
              <w:right w:val="single" w:sz="4" w:space="0" w:color="000000"/>
            </w:tcBorders>
          </w:tcPr>
          <w:p w14:paraId="53EA22E6" w14:textId="77777777" w:rsidR="00D67C1E" w:rsidRPr="00283806" w:rsidRDefault="001265CA">
            <w:pPr>
              <w:pStyle w:val="TableParagraph"/>
              <w:ind w:right="69"/>
              <w:rPr>
                <w:sz w:val="16"/>
              </w:rPr>
            </w:pPr>
            <w:r w:rsidRPr="00283806">
              <w:rPr>
                <w:sz w:val="16"/>
              </w:rPr>
              <w:t>561910</w:t>
            </w:r>
            <w:r w:rsidRPr="00283806">
              <w:rPr>
                <w:spacing w:val="11"/>
                <w:sz w:val="16"/>
              </w:rPr>
              <w:t xml:space="preserve"> </w:t>
            </w:r>
            <w:r w:rsidRPr="00283806">
              <w:rPr>
                <w:spacing w:val="-2"/>
                <w:sz w:val="16"/>
              </w:rPr>
              <w:t>..............</w:t>
            </w:r>
          </w:p>
        </w:tc>
        <w:tc>
          <w:tcPr>
            <w:tcW w:w="9134" w:type="dxa"/>
            <w:tcBorders>
              <w:left w:val="single" w:sz="4" w:space="0" w:color="000000"/>
            </w:tcBorders>
          </w:tcPr>
          <w:p w14:paraId="5849A386" w14:textId="77777777" w:rsidR="00D67C1E" w:rsidRPr="00283806" w:rsidRDefault="001265CA">
            <w:pPr>
              <w:pStyle w:val="TableParagraph"/>
              <w:ind w:left="78"/>
              <w:jc w:val="left"/>
              <w:rPr>
                <w:sz w:val="16"/>
              </w:rPr>
            </w:pPr>
            <w:r w:rsidRPr="00283806">
              <w:rPr>
                <w:sz w:val="16"/>
              </w:rPr>
              <w:t>Packaging</w:t>
            </w:r>
            <w:r w:rsidRPr="00283806">
              <w:rPr>
                <w:spacing w:val="2"/>
                <w:sz w:val="16"/>
              </w:rPr>
              <w:t xml:space="preserve"> </w:t>
            </w:r>
            <w:r w:rsidRPr="00283806">
              <w:rPr>
                <w:sz w:val="16"/>
              </w:rPr>
              <w:t>and</w:t>
            </w:r>
            <w:r w:rsidRPr="00283806">
              <w:rPr>
                <w:spacing w:val="3"/>
                <w:sz w:val="16"/>
              </w:rPr>
              <w:t xml:space="preserve"> </w:t>
            </w:r>
            <w:r w:rsidRPr="00283806">
              <w:rPr>
                <w:sz w:val="16"/>
              </w:rPr>
              <w:t>Labeling</w:t>
            </w:r>
            <w:r w:rsidRPr="00283806">
              <w:rPr>
                <w:spacing w:val="2"/>
                <w:sz w:val="16"/>
              </w:rPr>
              <w:t xml:space="preserve"> </w:t>
            </w:r>
            <w:r w:rsidRPr="00283806">
              <w:rPr>
                <w:spacing w:val="-2"/>
                <w:sz w:val="16"/>
              </w:rPr>
              <w:t>Services.</w:t>
            </w:r>
          </w:p>
        </w:tc>
      </w:tr>
      <w:tr w:rsidR="00D67C1E" w:rsidRPr="00283806" w14:paraId="37968969" w14:textId="77777777">
        <w:trPr>
          <w:trHeight w:val="180"/>
        </w:trPr>
        <w:tc>
          <w:tcPr>
            <w:tcW w:w="1307" w:type="dxa"/>
            <w:tcBorders>
              <w:right w:val="single" w:sz="4" w:space="0" w:color="000000"/>
            </w:tcBorders>
          </w:tcPr>
          <w:p w14:paraId="29AF41A8" w14:textId="77777777" w:rsidR="00D67C1E" w:rsidRPr="00283806" w:rsidRDefault="001265CA">
            <w:pPr>
              <w:pStyle w:val="TableParagraph"/>
              <w:ind w:right="69"/>
              <w:rPr>
                <w:sz w:val="16"/>
              </w:rPr>
            </w:pPr>
            <w:r w:rsidRPr="00283806">
              <w:rPr>
                <w:sz w:val="16"/>
              </w:rPr>
              <w:t>561990</w:t>
            </w:r>
            <w:r w:rsidRPr="00283806">
              <w:rPr>
                <w:spacing w:val="11"/>
                <w:sz w:val="16"/>
              </w:rPr>
              <w:t xml:space="preserve"> </w:t>
            </w:r>
            <w:r w:rsidRPr="00283806">
              <w:rPr>
                <w:spacing w:val="-2"/>
                <w:sz w:val="16"/>
              </w:rPr>
              <w:t>..............</w:t>
            </w:r>
          </w:p>
        </w:tc>
        <w:tc>
          <w:tcPr>
            <w:tcW w:w="9134" w:type="dxa"/>
            <w:tcBorders>
              <w:left w:val="single" w:sz="4" w:space="0" w:color="000000"/>
            </w:tcBorders>
          </w:tcPr>
          <w:p w14:paraId="43769748" w14:textId="77777777" w:rsidR="00D67C1E" w:rsidRPr="00283806" w:rsidRDefault="001265CA">
            <w:pPr>
              <w:pStyle w:val="TableParagraph"/>
              <w:ind w:left="78"/>
              <w:jc w:val="left"/>
              <w:rPr>
                <w:sz w:val="16"/>
              </w:rPr>
            </w:pPr>
            <w:r w:rsidRPr="00283806">
              <w:rPr>
                <w:sz w:val="16"/>
              </w:rPr>
              <w:t>All</w:t>
            </w:r>
            <w:r w:rsidRPr="00283806">
              <w:rPr>
                <w:spacing w:val="5"/>
                <w:sz w:val="16"/>
              </w:rPr>
              <w:t xml:space="preserve"> </w:t>
            </w:r>
            <w:r w:rsidRPr="00283806">
              <w:rPr>
                <w:sz w:val="16"/>
              </w:rPr>
              <w:t>Other</w:t>
            </w:r>
            <w:r w:rsidRPr="00283806">
              <w:rPr>
                <w:spacing w:val="6"/>
                <w:sz w:val="16"/>
              </w:rPr>
              <w:t xml:space="preserve"> </w:t>
            </w:r>
            <w:r w:rsidRPr="00283806">
              <w:rPr>
                <w:sz w:val="16"/>
              </w:rPr>
              <w:t>Support</w:t>
            </w:r>
            <w:r w:rsidRPr="00283806">
              <w:rPr>
                <w:spacing w:val="5"/>
                <w:sz w:val="16"/>
              </w:rPr>
              <w:t xml:space="preserve"> </w:t>
            </w:r>
            <w:r w:rsidRPr="00283806">
              <w:rPr>
                <w:spacing w:val="-2"/>
                <w:sz w:val="16"/>
              </w:rPr>
              <w:t>Services.</w:t>
            </w:r>
          </w:p>
        </w:tc>
      </w:tr>
      <w:tr w:rsidR="00D67C1E" w:rsidRPr="00283806" w14:paraId="69F17AC3" w14:textId="77777777">
        <w:trPr>
          <w:trHeight w:val="180"/>
        </w:trPr>
        <w:tc>
          <w:tcPr>
            <w:tcW w:w="1307" w:type="dxa"/>
            <w:tcBorders>
              <w:right w:val="single" w:sz="4" w:space="0" w:color="000000"/>
            </w:tcBorders>
          </w:tcPr>
          <w:p w14:paraId="25225C56" w14:textId="77777777" w:rsidR="00D67C1E" w:rsidRPr="00283806" w:rsidRDefault="001265CA">
            <w:pPr>
              <w:pStyle w:val="TableParagraph"/>
              <w:ind w:right="69"/>
              <w:rPr>
                <w:sz w:val="16"/>
              </w:rPr>
            </w:pPr>
            <w:r w:rsidRPr="00283806">
              <w:rPr>
                <w:sz w:val="16"/>
              </w:rPr>
              <w:t>562111</w:t>
            </w:r>
            <w:r w:rsidRPr="00283806">
              <w:rPr>
                <w:spacing w:val="11"/>
                <w:sz w:val="16"/>
              </w:rPr>
              <w:t xml:space="preserve"> </w:t>
            </w:r>
            <w:r w:rsidRPr="00283806">
              <w:rPr>
                <w:spacing w:val="-2"/>
                <w:sz w:val="16"/>
              </w:rPr>
              <w:t>..............</w:t>
            </w:r>
          </w:p>
        </w:tc>
        <w:tc>
          <w:tcPr>
            <w:tcW w:w="9134" w:type="dxa"/>
            <w:tcBorders>
              <w:left w:val="single" w:sz="4" w:space="0" w:color="000000"/>
            </w:tcBorders>
          </w:tcPr>
          <w:p w14:paraId="323D04E4" w14:textId="77777777" w:rsidR="00D67C1E" w:rsidRPr="00283806" w:rsidRDefault="001265CA">
            <w:pPr>
              <w:pStyle w:val="TableParagraph"/>
              <w:ind w:left="78"/>
              <w:jc w:val="left"/>
              <w:rPr>
                <w:sz w:val="16"/>
              </w:rPr>
            </w:pPr>
            <w:r w:rsidRPr="00283806">
              <w:rPr>
                <w:sz w:val="16"/>
              </w:rPr>
              <w:t>Solid</w:t>
            </w:r>
            <w:r w:rsidRPr="00283806">
              <w:rPr>
                <w:spacing w:val="6"/>
                <w:sz w:val="16"/>
              </w:rPr>
              <w:t xml:space="preserve"> </w:t>
            </w:r>
            <w:r w:rsidRPr="00283806">
              <w:rPr>
                <w:sz w:val="16"/>
              </w:rPr>
              <w:t>Waste</w:t>
            </w:r>
            <w:r w:rsidRPr="00283806">
              <w:rPr>
                <w:spacing w:val="6"/>
                <w:sz w:val="16"/>
              </w:rPr>
              <w:t xml:space="preserve"> </w:t>
            </w:r>
            <w:r w:rsidRPr="00283806">
              <w:rPr>
                <w:spacing w:val="-2"/>
                <w:sz w:val="16"/>
              </w:rPr>
              <w:t>Collection.</w:t>
            </w:r>
          </w:p>
        </w:tc>
      </w:tr>
      <w:tr w:rsidR="00D67C1E" w:rsidRPr="00283806" w14:paraId="6373F4B1" w14:textId="77777777">
        <w:trPr>
          <w:trHeight w:val="180"/>
        </w:trPr>
        <w:tc>
          <w:tcPr>
            <w:tcW w:w="1307" w:type="dxa"/>
            <w:tcBorders>
              <w:right w:val="single" w:sz="4" w:space="0" w:color="000000"/>
            </w:tcBorders>
          </w:tcPr>
          <w:p w14:paraId="6FFF862B" w14:textId="77777777" w:rsidR="00D67C1E" w:rsidRPr="00283806" w:rsidRDefault="001265CA">
            <w:pPr>
              <w:pStyle w:val="TableParagraph"/>
              <w:ind w:right="69"/>
              <w:rPr>
                <w:sz w:val="16"/>
              </w:rPr>
            </w:pPr>
            <w:r w:rsidRPr="00283806">
              <w:rPr>
                <w:sz w:val="16"/>
              </w:rPr>
              <w:t>562211</w:t>
            </w:r>
            <w:r w:rsidRPr="00283806">
              <w:rPr>
                <w:spacing w:val="11"/>
                <w:sz w:val="16"/>
              </w:rPr>
              <w:t xml:space="preserve"> </w:t>
            </w:r>
            <w:r w:rsidRPr="00283806">
              <w:rPr>
                <w:spacing w:val="-2"/>
                <w:sz w:val="16"/>
              </w:rPr>
              <w:t>..............</w:t>
            </w:r>
          </w:p>
        </w:tc>
        <w:tc>
          <w:tcPr>
            <w:tcW w:w="9134" w:type="dxa"/>
            <w:tcBorders>
              <w:left w:val="single" w:sz="4" w:space="0" w:color="000000"/>
            </w:tcBorders>
          </w:tcPr>
          <w:p w14:paraId="38CB1F13" w14:textId="77777777" w:rsidR="00D67C1E" w:rsidRPr="00283806" w:rsidRDefault="001265CA">
            <w:pPr>
              <w:pStyle w:val="TableParagraph"/>
              <w:ind w:left="78"/>
              <w:jc w:val="left"/>
              <w:rPr>
                <w:sz w:val="16"/>
              </w:rPr>
            </w:pPr>
            <w:r w:rsidRPr="00283806">
              <w:rPr>
                <w:sz w:val="16"/>
              </w:rPr>
              <w:t>Hazardous</w:t>
            </w:r>
            <w:r w:rsidRPr="00283806">
              <w:rPr>
                <w:spacing w:val="5"/>
                <w:sz w:val="16"/>
              </w:rPr>
              <w:t xml:space="preserve"> </w:t>
            </w:r>
            <w:r w:rsidRPr="00283806">
              <w:rPr>
                <w:sz w:val="16"/>
              </w:rPr>
              <w:t>Waste</w:t>
            </w:r>
            <w:r w:rsidRPr="00283806">
              <w:rPr>
                <w:spacing w:val="5"/>
                <w:sz w:val="16"/>
              </w:rPr>
              <w:t xml:space="preserve"> </w:t>
            </w:r>
            <w:r w:rsidRPr="00283806">
              <w:rPr>
                <w:sz w:val="16"/>
              </w:rPr>
              <w:t>Treatment</w:t>
            </w:r>
            <w:r w:rsidRPr="00283806">
              <w:rPr>
                <w:spacing w:val="6"/>
                <w:sz w:val="16"/>
              </w:rPr>
              <w:t xml:space="preserve"> </w:t>
            </w:r>
            <w:r w:rsidRPr="00283806">
              <w:rPr>
                <w:sz w:val="16"/>
              </w:rPr>
              <w:t>and</w:t>
            </w:r>
            <w:r w:rsidRPr="00283806">
              <w:rPr>
                <w:spacing w:val="5"/>
                <w:sz w:val="16"/>
              </w:rPr>
              <w:t xml:space="preserve"> </w:t>
            </w:r>
            <w:r w:rsidRPr="00283806">
              <w:rPr>
                <w:spacing w:val="-2"/>
                <w:sz w:val="16"/>
              </w:rPr>
              <w:t>Disposal.</w:t>
            </w:r>
          </w:p>
        </w:tc>
      </w:tr>
      <w:tr w:rsidR="00D67C1E" w:rsidRPr="00283806" w14:paraId="24DB158D" w14:textId="77777777">
        <w:trPr>
          <w:trHeight w:val="180"/>
        </w:trPr>
        <w:tc>
          <w:tcPr>
            <w:tcW w:w="1307" w:type="dxa"/>
            <w:tcBorders>
              <w:right w:val="single" w:sz="4" w:space="0" w:color="000000"/>
            </w:tcBorders>
          </w:tcPr>
          <w:p w14:paraId="727F0D81" w14:textId="77777777" w:rsidR="00D67C1E" w:rsidRPr="00283806" w:rsidRDefault="001265CA">
            <w:pPr>
              <w:pStyle w:val="TableParagraph"/>
              <w:ind w:right="69"/>
              <w:rPr>
                <w:sz w:val="16"/>
              </w:rPr>
            </w:pPr>
            <w:r w:rsidRPr="00283806">
              <w:rPr>
                <w:sz w:val="16"/>
              </w:rPr>
              <w:t>562920</w:t>
            </w:r>
            <w:r w:rsidRPr="00283806">
              <w:rPr>
                <w:spacing w:val="11"/>
                <w:sz w:val="16"/>
              </w:rPr>
              <w:t xml:space="preserve"> </w:t>
            </w:r>
            <w:r w:rsidRPr="00283806">
              <w:rPr>
                <w:spacing w:val="-2"/>
                <w:sz w:val="16"/>
              </w:rPr>
              <w:t>..............</w:t>
            </w:r>
          </w:p>
        </w:tc>
        <w:tc>
          <w:tcPr>
            <w:tcW w:w="9134" w:type="dxa"/>
            <w:tcBorders>
              <w:left w:val="single" w:sz="4" w:space="0" w:color="000000"/>
            </w:tcBorders>
          </w:tcPr>
          <w:p w14:paraId="0F35FA96" w14:textId="77777777" w:rsidR="00D67C1E" w:rsidRPr="00283806" w:rsidRDefault="001265CA">
            <w:pPr>
              <w:pStyle w:val="TableParagraph"/>
              <w:ind w:left="78"/>
              <w:jc w:val="left"/>
              <w:rPr>
                <w:sz w:val="16"/>
              </w:rPr>
            </w:pPr>
            <w:r w:rsidRPr="00283806">
              <w:rPr>
                <w:sz w:val="16"/>
              </w:rPr>
              <w:t>Materials</w:t>
            </w:r>
            <w:r w:rsidRPr="00283806">
              <w:rPr>
                <w:spacing w:val="1"/>
                <w:sz w:val="16"/>
              </w:rPr>
              <w:t xml:space="preserve"> </w:t>
            </w:r>
            <w:r w:rsidRPr="00283806">
              <w:rPr>
                <w:sz w:val="16"/>
              </w:rPr>
              <w:t>Recovery</w:t>
            </w:r>
            <w:r w:rsidRPr="00283806">
              <w:rPr>
                <w:spacing w:val="1"/>
                <w:sz w:val="16"/>
              </w:rPr>
              <w:t xml:space="preserve"> </w:t>
            </w:r>
            <w:r w:rsidRPr="00283806">
              <w:rPr>
                <w:spacing w:val="-2"/>
                <w:sz w:val="16"/>
              </w:rPr>
              <w:t>Facilities.</w:t>
            </w:r>
          </w:p>
        </w:tc>
      </w:tr>
      <w:tr w:rsidR="00D67C1E" w:rsidRPr="00283806" w14:paraId="75B035D6" w14:textId="77777777">
        <w:trPr>
          <w:trHeight w:val="180"/>
        </w:trPr>
        <w:tc>
          <w:tcPr>
            <w:tcW w:w="1307" w:type="dxa"/>
            <w:tcBorders>
              <w:right w:val="single" w:sz="4" w:space="0" w:color="000000"/>
            </w:tcBorders>
          </w:tcPr>
          <w:p w14:paraId="03D67986" w14:textId="77777777" w:rsidR="00D67C1E" w:rsidRPr="00283806" w:rsidRDefault="001265CA">
            <w:pPr>
              <w:pStyle w:val="TableParagraph"/>
              <w:ind w:right="69"/>
              <w:rPr>
                <w:sz w:val="16"/>
              </w:rPr>
            </w:pPr>
            <w:r w:rsidRPr="00283806">
              <w:rPr>
                <w:sz w:val="16"/>
              </w:rPr>
              <w:t>621498</w:t>
            </w:r>
            <w:r w:rsidRPr="00283806">
              <w:rPr>
                <w:spacing w:val="11"/>
                <w:sz w:val="16"/>
              </w:rPr>
              <w:t xml:space="preserve"> </w:t>
            </w:r>
            <w:r w:rsidRPr="00283806">
              <w:rPr>
                <w:spacing w:val="-2"/>
                <w:sz w:val="16"/>
              </w:rPr>
              <w:t>..............</w:t>
            </w:r>
          </w:p>
        </w:tc>
        <w:tc>
          <w:tcPr>
            <w:tcW w:w="9134" w:type="dxa"/>
            <w:tcBorders>
              <w:left w:val="single" w:sz="4" w:space="0" w:color="000000"/>
            </w:tcBorders>
          </w:tcPr>
          <w:p w14:paraId="5600BF1A" w14:textId="77777777" w:rsidR="00D67C1E" w:rsidRPr="00283806" w:rsidRDefault="001265CA">
            <w:pPr>
              <w:pStyle w:val="TableParagraph"/>
              <w:ind w:left="78"/>
              <w:jc w:val="left"/>
              <w:rPr>
                <w:sz w:val="16"/>
              </w:rPr>
            </w:pPr>
            <w:r w:rsidRPr="00283806">
              <w:rPr>
                <w:sz w:val="16"/>
              </w:rPr>
              <w:t>All</w:t>
            </w:r>
            <w:r w:rsidRPr="00283806">
              <w:rPr>
                <w:spacing w:val="6"/>
                <w:sz w:val="16"/>
              </w:rPr>
              <w:t xml:space="preserve"> </w:t>
            </w:r>
            <w:r w:rsidRPr="00283806">
              <w:rPr>
                <w:sz w:val="16"/>
              </w:rPr>
              <w:t>Other</w:t>
            </w:r>
            <w:r w:rsidRPr="00283806">
              <w:rPr>
                <w:spacing w:val="7"/>
                <w:sz w:val="16"/>
              </w:rPr>
              <w:t xml:space="preserve"> </w:t>
            </w:r>
            <w:r w:rsidRPr="00283806">
              <w:rPr>
                <w:sz w:val="16"/>
              </w:rPr>
              <w:t>Outpatient</w:t>
            </w:r>
            <w:r w:rsidRPr="00283806">
              <w:rPr>
                <w:spacing w:val="7"/>
                <w:sz w:val="16"/>
              </w:rPr>
              <w:t xml:space="preserve"> </w:t>
            </w:r>
            <w:r w:rsidRPr="00283806">
              <w:rPr>
                <w:sz w:val="16"/>
              </w:rPr>
              <w:t>Care</w:t>
            </w:r>
            <w:r w:rsidRPr="00283806">
              <w:rPr>
                <w:spacing w:val="6"/>
                <w:sz w:val="16"/>
              </w:rPr>
              <w:t xml:space="preserve"> </w:t>
            </w:r>
            <w:r w:rsidRPr="00283806">
              <w:rPr>
                <w:spacing w:val="-2"/>
                <w:sz w:val="16"/>
              </w:rPr>
              <w:t>Centers.</w:t>
            </w:r>
          </w:p>
        </w:tc>
      </w:tr>
      <w:tr w:rsidR="00D67C1E" w:rsidRPr="00283806" w14:paraId="486293D2" w14:textId="77777777">
        <w:trPr>
          <w:trHeight w:val="180"/>
        </w:trPr>
        <w:tc>
          <w:tcPr>
            <w:tcW w:w="1307" w:type="dxa"/>
            <w:tcBorders>
              <w:right w:val="single" w:sz="4" w:space="0" w:color="000000"/>
            </w:tcBorders>
          </w:tcPr>
          <w:p w14:paraId="040E5A71" w14:textId="77777777" w:rsidR="00D67C1E" w:rsidRPr="00283806" w:rsidRDefault="001265CA">
            <w:pPr>
              <w:pStyle w:val="TableParagraph"/>
              <w:ind w:right="69"/>
              <w:rPr>
                <w:sz w:val="16"/>
              </w:rPr>
            </w:pPr>
            <w:r w:rsidRPr="00283806">
              <w:rPr>
                <w:sz w:val="16"/>
              </w:rPr>
              <w:t>621999</w:t>
            </w:r>
            <w:r w:rsidRPr="00283806">
              <w:rPr>
                <w:spacing w:val="11"/>
                <w:sz w:val="16"/>
              </w:rPr>
              <w:t xml:space="preserve"> </w:t>
            </w:r>
            <w:r w:rsidRPr="00283806">
              <w:rPr>
                <w:spacing w:val="-2"/>
                <w:sz w:val="16"/>
              </w:rPr>
              <w:t>..............</w:t>
            </w:r>
          </w:p>
        </w:tc>
        <w:tc>
          <w:tcPr>
            <w:tcW w:w="9134" w:type="dxa"/>
            <w:tcBorders>
              <w:left w:val="single" w:sz="4" w:space="0" w:color="000000"/>
            </w:tcBorders>
          </w:tcPr>
          <w:p w14:paraId="35B052BB" w14:textId="77777777" w:rsidR="00D67C1E" w:rsidRPr="00283806" w:rsidRDefault="001265CA">
            <w:pPr>
              <w:pStyle w:val="TableParagraph"/>
              <w:ind w:left="78"/>
              <w:jc w:val="left"/>
              <w:rPr>
                <w:sz w:val="16"/>
              </w:rPr>
            </w:pPr>
            <w:r w:rsidRPr="00283806">
              <w:rPr>
                <w:sz w:val="16"/>
              </w:rPr>
              <w:t>All</w:t>
            </w:r>
            <w:r w:rsidRPr="00283806">
              <w:rPr>
                <w:spacing w:val="3"/>
                <w:sz w:val="16"/>
              </w:rPr>
              <w:t xml:space="preserve"> </w:t>
            </w:r>
            <w:r w:rsidRPr="00283806">
              <w:rPr>
                <w:sz w:val="16"/>
              </w:rPr>
              <w:t>Other</w:t>
            </w:r>
            <w:r w:rsidRPr="00283806">
              <w:rPr>
                <w:spacing w:val="3"/>
                <w:sz w:val="16"/>
              </w:rPr>
              <w:t xml:space="preserve"> </w:t>
            </w:r>
            <w:r w:rsidRPr="00283806">
              <w:rPr>
                <w:sz w:val="16"/>
              </w:rPr>
              <w:t>Miscellaneous</w:t>
            </w:r>
            <w:r w:rsidRPr="00283806">
              <w:rPr>
                <w:spacing w:val="3"/>
                <w:sz w:val="16"/>
              </w:rPr>
              <w:t xml:space="preserve"> </w:t>
            </w:r>
            <w:r w:rsidRPr="00283806">
              <w:rPr>
                <w:sz w:val="16"/>
              </w:rPr>
              <w:t>Ambulatory</w:t>
            </w:r>
            <w:r w:rsidRPr="00283806">
              <w:rPr>
                <w:spacing w:val="4"/>
                <w:sz w:val="16"/>
              </w:rPr>
              <w:t xml:space="preserve"> </w:t>
            </w:r>
            <w:r w:rsidRPr="00283806">
              <w:rPr>
                <w:sz w:val="16"/>
              </w:rPr>
              <w:t>Health</w:t>
            </w:r>
            <w:r w:rsidRPr="00283806">
              <w:rPr>
                <w:spacing w:val="3"/>
                <w:sz w:val="16"/>
              </w:rPr>
              <w:t xml:space="preserve"> </w:t>
            </w:r>
            <w:r w:rsidRPr="00283806">
              <w:rPr>
                <w:sz w:val="16"/>
              </w:rPr>
              <w:t>Care</w:t>
            </w:r>
            <w:r w:rsidRPr="00283806">
              <w:rPr>
                <w:spacing w:val="3"/>
                <w:sz w:val="16"/>
              </w:rPr>
              <w:t xml:space="preserve"> </w:t>
            </w:r>
            <w:r w:rsidRPr="00283806">
              <w:rPr>
                <w:spacing w:val="-2"/>
                <w:sz w:val="16"/>
              </w:rPr>
              <w:t>Services.</w:t>
            </w:r>
          </w:p>
        </w:tc>
      </w:tr>
      <w:tr w:rsidR="00D67C1E" w:rsidRPr="00283806" w14:paraId="4497710F" w14:textId="77777777">
        <w:trPr>
          <w:trHeight w:val="180"/>
        </w:trPr>
        <w:tc>
          <w:tcPr>
            <w:tcW w:w="1307" w:type="dxa"/>
            <w:tcBorders>
              <w:right w:val="single" w:sz="4" w:space="0" w:color="000000"/>
            </w:tcBorders>
          </w:tcPr>
          <w:p w14:paraId="08CDA87F" w14:textId="77777777" w:rsidR="00D67C1E" w:rsidRPr="00283806" w:rsidRDefault="001265CA">
            <w:pPr>
              <w:pStyle w:val="TableParagraph"/>
              <w:ind w:right="70"/>
              <w:rPr>
                <w:sz w:val="16"/>
              </w:rPr>
            </w:pPr>
            <w:r w:rsidRPr="00283806">
              <w:rPr>
                <w:sz w:val="16"/>
              </w:rPr>
              <w:t>72111</w:t>
            </w:r>
            <w:r w:rsidRPr="00283806">
              <w:rPr>
                <w:spacing w:val="11"/>
                <w:sz w:val="16"/>
              </w:rPr>
              <w:t xml:space="preserve"> </w:t>
            </w:r>
            <w:r w:rsidRPr="00283806">
              <w:rPr>
                <w:spacing w:val="-2"/>
                <w:sz w:val="16"/>
              </w:rPr>
              <w:t>................</w:t>
            </w:r>
          </w:p>
        </w:tc>
        <w:tc>
          <w:tcPr>
            <w:tcW w:w="9134" w:type="dxa"/>
            <w:tcBorders>
              <w:left w:val="single" w:sz="4" w:space="0" w:color="000000"/>
            </w:tcBorders>
          </w:tcPr>
          <w:p w14:paraId="54C5D55F" w14:textId="77777777" w:rsidR="00D67C1E" w:rsidRPr="00283806" w:rsidRDefault="001265CA">
            <w:pPr>
              <w:pStyle w:val="TableParagraph"/>
              <w:ind w:left="78"/>
              <w:jc w:val="left"/>
              <w:rPr>
                <w:sz w:val="16"/>
              </w:rPr>
            </w:pPr>
            <w:r w:rsidRPr="00283806">
              <w:rPr>
                <w:sz w:val="16"/>
              </w:rPr>
              <w:t>Hotels</w:t>
            </w:r>
            <w:r w:rsidRPr="00283806">
              <w:rPr>
                <w:spacing w:val="4"/>
                <w:sz w:val="16"/>
              </w:rPr>
              <w:t xml:space="preserve"> </w:t>
            </w:r>
            <w:r w:rsidRPr="00283806">
              <w:rPr>
                <w:sz w:val="16"/>
              </w:rPr>
              <w:t>(Except</w:t>
            </w:r>
            <w:r w:rsidRPr="00283806">
              <w:rPr>
                <w:spacing w:val="5"/>
                <w:sz w:val="16"/>
              </w:rPr>
              <w:t xml:space="preserve"> </w:t>
            </w:r>
            <w:r w:rsidRPr="00283806">
              <w:rPr>
                <w:sz w:val="16"/>
              </w:rPr>
              <w:t>Casino</w:t>
            </w:r>
            <w:r w:rsidRPr="00283806">
              <w:rPr>
                <w:spacing w:val="4"/>
                <w:sz w:val="16"/>
              </w:rPr>
              <w:t xml:space="preserve"> </w:t>
            </w:r>
            <w:r w:rsidRPr="00283806">
              <w:rPr>
                <w:sz w:val="16"/>
              </w:rPr>
              <w:t>Hotels)</w:t>
            </w:r>
            <w:r w:rsidRPr="00283806">
              <w:rPr>
                <w:spacing w:val="5"/>
                <w:sz w:val="16"/>
              </w:rPr>
              <w:t xml:space="preserve"> </w:t>
            </w:r>
            <w:r w:rsidRPr="00283806">
              <w:rPr>
                <w:sz w:val="16"/>
              </w:rPr>
              <w:t>and</w:t>
            </w:r>
            <w:r w:rsidRPr="00283806">
              <w:rPr>
                <w:spacing w:val="4"/>
                <w:sz w:val="16"/>
              </w:rPr>
              <w:t xml:space="preserve"> </w:t>
            </w:r>
            <w:r w:rsidRPr="00283806">
              <w:rPr>
                <w:spacing w:val="-2"/>
                <w:sz w:val="16"/>
              </w:rPr>
              <w:t>Motels.</w:t>
            </w:r>
          </w:p>
        </w:tc>
      </w:tr>
      <w:tr w:rsidR="00D67C1E" w:rsidRPr="00283806" w14:paraId="04848F55" w14:textId="77777777">
        <w:trPr>
          <w:trHeight w:val="180"/>
        </w:trPr>
        <w:tc>
          <w:tcPr>
            <w:tcW w:w="1307" w:type="dxa"/>
            <w:tcBorders>
              <w:right w:val="single" w:sz="4" w:space="0" w:color="000000"/>
            </w:tcBorders>
          </w:tcPr>
          <w:p w14:paraId="00D9143C" w14:textId="77777777" w:rsidR="00D67C1E" w:rsidRPr="00283806" w:rsidRDefault="001265CA">
            <w:pPr>
              <w:pStyle w:val="TableParagraph"/>
              <w:ind w:right="70"/>
              <w:rPr>
                <w:sz w:val="16"/>
              </w:rPr>
            </w:pPr>
            <w:r w:rsidRPr="00283806">
              <w:rPr>
                <w:sz w:val="16"/>
              </w:rPr>
              <w:t>72112</w:t>
            </w:r>
            <w:r w:rsidRPr="00283806">
              <w:rPr>
                <w:spacing w:val="11"/>
                <w:sz w:val="16"/>
              </w:rPr>
              <w:t xml:space="preserve"> </w:t>
            </w:r>
            <w:r w:rsidRPr="00283806">
              <w:rPr>
                <w:spacing w:val="-2"/>
                <w:sz w:val="16"/>
              </w:rPr>
              <w:t>................</w:t>
            </w:r>
          </w:p>
        </w:tc>
        <w:tc>
          <w:tcPr>
            <w:tcW w:w="9134" w:type="dxa"/>
            <w:tcBorders>
              <w:left w:val="single" w:sz="4" w:space="0" w:color="000000"/>
            </w:tcBorders>
          </w:tcPr>
          <w:p w14:paraId="22E9F5B9" w14:textId="77777777" w:rsidR="00D67C1E" w:rsidRPr="00283806" w:rsidRDefault="001265CA">
            <w:pPr>
              <w:pStyle w:val="TableParagraph"/>
              <w:ind w:left="78"/>
              <w:jc w:val="left"/>
              <w:rPr>
                <w:sz w:val="16"/>
              </w:rPr>
            </w:pPr>
            <w:r w:rsidRPr="00283806">
              <w:rPr>
                <w:sz w:val="16"/>
              </w:rPr>
              <w:t>Casino</w:t>
            </w:r>
            <w:r w:rsidRPr="00283806">
              <w:rPr>
                <w:spacing w:val="3"/>
                <w:sz w:val="16"/>
              </w:rPr>
              <w:t xml:space="preserve"> </w:t>
            </w:r>
            <w:r w:rsidRPr="00283806">
              <w:rPr>
                <w:spacing w:val="-2"/>
                <w:sz w:val="16"/>
              </w:rPr>
              <w:t>Hotels.</w:t>
            </w:r>
          </w:p>
        </w:tc>
      </w:tr>
      <w:tr w:rsidR="00D67C1E" w:rsidRPr="00283806" w14:paraId="65C24150" w14:textId="77777777">
        <w:trPr>
          <w:trHeight w:val="180"/>
        </w:trPr>
        <w:tc>
          <w:tcPr>
            <w:tcW w:w="1307" w:type="dxa"/>
            <w:tcBorders>
              <w:right w:val="single" w:sz="4" w:space="0" w:color="000000"/>
            </w:tcBorders>
          </w:tcPr>
          <w:p w14:paraId="6C7B55AE" w14:textId="77777777" w:rsidR="00D67C1E" w:rsidRPr="00283806" w:rsidRDefault="001265CA">
            <w:pPr>
              <w:pStyle w:val="TableParagraph"/>
              <w:ind w:right="70"/>
              <w:rPr>
                <w:sz w:val="16"/>
              </w:rPr>
            </w:pPr>
            <w:r w:rsidRPr="00283806">
              <w:rPr>
                <w:sz w:val="16"/>
              </w:rPr>
              <w:t>72241</w:t>
            </w:r>
            <w:r w:rsidRPr="00283806">
              <w:rPr>
                <w:spacing w:val="11"/>
                <w:sz w:val="16"/>
              </w:rPr>
              <w:t xml:space="preserve"> </w:t>
            </w:r>
            <w:r w:rsidRPr="00283806">
              <w:rPr>
                <w:spacing w:val="-2"/>
                <w:sz w:val="16"/>
              </w:rPr>
              <w:t>................</w:t>
            </w:r>
          </w:p>
        </w:tc>
        <w:tc>
          <w:tcPr>
            <w:tcW w:w="9134" w:type="dxa"/>
            <w:tcBorders>
              <w:left w:val="single" w:sz="4" w:space="0" w:color="000000"/>
            </w:tcBorders>
          </w:tcPr>
          <w:p w14:paraId="5292D355" w14:textId="77777777" w:rsidR="00D67C1E" w:rsidRPr="00283806" w:rsidRDefault="001265CA">
            <w:pPr>
              <w:pStyle w:val="TableParagraph"/>
              <w:ind w:left="78"/>
              <w:jc w:val="left"/>
              <w:rPr>
                <w:sz w:val="16"/>
              </w:rPr>
            </w:pPr>
            <w:r w:rsidRPr="00283806">
              <w:rPr>
                <w:sz w:val="16"/>
              </w:rPr>
              <w:t>Drinking</w:t>
            </w:r>
            <w:r w:rsidRPr="00283806">
              <w:rPr>
                <w:spacing w:val="2"/>
                <w:sz w:val="16"/>
              </w:rPr>
              <w:t xml:space="preserve"> </w:t>
            </w:r>
            <w:r w:rsidRPr="00283806">
              <w:rPr>
                <w:sz w:val="16"/>
              </w:rPr>
              <w:t>Places</w:t>
            </w:r>
            <w:r w:rsidRPr="00283806">
              <w:rPr>
                <w:spacing w:val="2"/>
                <w:sz w:val="16"/>
              </w:rPr>
              <w:t xml:space="preserve"> </w:t>
            </w:r>
            <w:r w:rsidRPr="00283806">
              <w:rPr>
                <w:sz w:val="16"/>
              </w:rPr>
              <w:t>(Alcoholic</w:t>
            </w:r>
            <w:r w:rsidRPr="00283806">
              <w:rPr>
                <w:spacing w:val="2"/>
                <w:sz w:val="16"/>
              </w:rPr>
              <w:t xml:space="preserve"> </w:t>
            </w:r>
            <w:r w:rsidRPr="00283806">
              <w:rPr>
                <w:spacing w:val="-2"/>
                <w:sz w:val="16"/>
              </w:rPr>
              <w:t>Beverages).</w:t>
            </w:r>
          </w:p>
        </w:tc>
      </w:tr>
      <w:tr w:rsidR="00D67C1E" w:rsidRPr="00283806" w14:paraId="302739EE" w14:textId="77777777">
        <w:trPr>
          <w:trHeight w:val="180"/>
        </w:trPr>
        <w:tc>
          <w:tcPr>
            <w:tcW w:w="1307" w:type="dxa"/>
            <w:tcBorders>
              <w:right w:val="single" w:sz="4" w:space="0" w:color="000000"/>
            </w:tcBorders>
          </w:tcPr>
          <w:p w14:paraId="6850874E" w14:textId="77777777" w:rsidR="00D67C1E" w:rsidRPr="00283806" w:rsidRDefault="001265CA">
            <w:pPr>
              <w:pStyle w:val="TableParagraph"/>
              <w:ind w:right="69"/>
              <w:rPr>
                <w:sz w:val="16"/>
              </w:rPr>
            </w:pPr>
            <w:r w:rsidRPr="00283806">
              <w:rPr>
                <w:sz w:val="16"/>
              </w:rPr>
              <w:t>722511</w:t>
            </w:r>
            <w:r w:rsidRPr="00283806">
              <w:rPr>
                <w:spacing w:val="11"/>
                <w:sz w:val="16"/>
              </w:rPr>
              <w:t xml:space="preserve"> </w:t>
            </w:r>
            <w:r w:rsidRPr="00283806">
              <w:rPr>
                <w:spacing w:val="-2"/>
                <w:sz w:val="16"/>
              </w:rPr>
              <w:t>..............</w:t>
            </w:r>
          </w:p>
        </w:tc>
        <w:tc>
          <w:tcPr>
            <w:tcW w:w="9134" w:type="dxa"/>
            <w:tcBorders>
              <w:left w:val="single" w:sz="4" w:space="0" w:color="000000"/>
            </w:tcBorders>
          </w:tcPr>
          <w:p w14:paraId="7463B517" w14:textId="77777777" w:rsidR="00D67C1E" w:rsidRPr="00283806" w:rsidRDefault="001265CA">
            <w:pPr>
              <w:pStyle w:val="TableParagraph"/>
              <w:ind w:left="78"/>
              <w:jc w:val="left"/>
              <w:rPr>
                <w:sz w:val="16"/>
              </w:rPr>
            </w:pPr>
            <w:r w:rsidRPr="00283806">
              <w:rPr>
                <w:sz w:val="16"/>
              </w:rPr>
              <w:t>Full-service</w:t>
            </w:r>
            <w:r w:rsidRPr="00283806">
              <w:rPr>
                <w:spacing w:val="-1"/>
                <w:sz w:val="16"/>
              </w:rPr>
              <w:t xml:space="preserve"> </w:t>
            </w:r>
            <w:r w:rsidRPr="00283806">
              <w:rPr>
                <w:spacing w:val="-2"/>
                <w:sz w:val="16"/>
              </w:rPr>
              <w:t>Restaurants.</w:t>
            </w:r>
          </w:p>
        </w:tc>
      </w:tr>
      <w:tr w:rsidR="00D67C1E" w:rsidRPr="00283806" w14:paraId="326C96C7" w14:textId="77777777">
        <w:trPr>
          <w:trHeight w:val="180"/>
        </w:trPr>
        <w:tc>
          <w:tcPr>
            <w:tcW w:w="1307" w:type="dxa"/>
            <w:tcBorders>
              <w:right w:val="single" w:sz="4" w:space="0" w:color="000000"/>
            </w:tcBorders>
          </w:tcPr>
          <w:p w14:paraId="6BE61BA0" w14:textId="77777777" w:rsidR="00D67C1E" w:rsidRPr="00283806" w:rsidRDefault="001265CA">
            <w:pPr>
              <w:pStyle w:val="TableParagraph"/>
              <w:ind w:right="69"/>
              <w:rPr>
                <w:sz w:val="16"/>
              </w:rPr>
            </w:pPr>
            <w:r w:rsidRPr="00283806">
              <w:rPr>
                <w:sz w:val="16"/>
              </w:rPr>
              <w:t>722513</w:t>
            </w:r>
            <w:r w:rsidRPr="00283806">
              <w:rPr>
                <w:spacing w:val="11"/>
                <w:sz w:val="16"/>
              </w:rPr>
              <w:t xml:space="preserve"> </w:t>
            </w:r>
            <w:r w:rsidRPr="00283806">
              <w:rPr>
                <w:spacing w:val="-2"/>
                <w:sz w:val="16"/>
              </w:rPr>
              <w:t>..............</w:t>
            </w:r>
          </w:p>
        </w:tc>
        <w:tc>
          <w:tcPr>
            <w:tcW w:w="9134" w:type="dxa"/>
            <w:tcBorders>
              <w:left w:val="single" w:sz="4" w:space="0" w:color="000000"/>
            </w:tcBorders>
          </w:tcPr>
          <w:p w14:paraId="75BEC3DB" w14:textId="77777777" w:rsidR="00D67C1E" w:rsidRPr="00283806" w:rsidRDefault="001265CA">
            <w:pPr>
              <w:pStyle w:val="TableParagraph"/>
              <w:ind w:left="78"/>
              <w:jc w:val="left"/>
              <w:rPr>
                <w:sz w:val="16"/>
              </w:rPr>
            </w:pPr>
            <w:r w:rsidRPr="00283806">
              <w:rPr>
                <w:sz w:val="16"/>
              </w:rPr>
              <w:t>Limited-service</w:t>
            </w:r>
            <w:r w:rsidRPr="00283806">
              <w:rPr>
                <w:spacing w:val="-3"/>
                <w:sz w:val="16"/>
              </w:rPr>
              <w:t xml:space="preserve"> </w:t>
            </w:r>
            <w:r w:rsidRPr="00283806">
              <w:rPr>
                <w:spacing w:val="-2"/>
                <w:sz w:val="16"/>
              </w:rPr>
              <w:t>Restaurants.</w:t>
            </w:r>
          </w:p>
        </w:tc>
      </w:tr>
      <w:tr w:rsidR="00D67C1E" w:rsidRPr="00283806" w14:paraId="499918A3" w14:textId="77777777">
        <w:trPr>
          <w:trHeight w:val="180"/>
        </w:trPr>
        <w:tc>
          <w:tcPr>
            <w:tcW w:w="1307" w:type="dxa"/>
            <w:tcBorders>
              <w:right w:val="single" w:sz="4" w:space="0" w:color="000000"/>
            </w:tcBorders>
          </w:tcPr>
          <w:p w14:paraId="0AE131A1" w14:textId="77777777" w:rsidR="00D67C1E" w:rsidRPr="00283806" w:rsidRDefault="001265CA">
            <w:pPr>
              <w:pStyle w:val="TableParagraph"/>
              <w:ind w:right="69"/>
              <w:rPr>
                <w:sz w:val="16"/>
              </w:rPr>
            </w:pPr>
            <w:r w:rsidRPr="00283806">
              <w:rPr>
                <w:sz w:val="16"/>
              </w:rPr>
              <w:t>722514</w:t>
            </w:r>
            <w:r w:rsidRPr="00283806">
              <w:rPr>
                <w:spacing w:val="11"/>
                <w:sz w:val="16"/>
              </w:rPr>
              <w:t xml:space="preserve"> </w:t>
            </w:r>
            <w:r w:rsidRPr="00283806">
              <w:rPr>
                <w:spacing w:val="-2"/>
                <w:sz w:val="16"/>
              </w:rPr>
              <w:t>..............</w:t>
            </w:r>
          </w:p>
        </w:tc>
        <w:tc>
          <w:tcPr>
            <w:tcW w:w="9134" w:type="dxa"/>
            <w:tcBorders>
              <w:left w:val="single" w:sz="4" w:space="0" w:color="000000"/>
            </w:tcBorders>
          </w:tcPr>
          <w:p w14:paraId="7C399F16" w14:textId="77777777" w:rsidR="00D67C1E" w:rsidRPr="00283806" w:rsidRDefault="001265CA">
            <w:pPr>
              <w:pStyle w:val="TableParagraph"/>
              <w:ind w:left="78"/>
              <w:jc w:val="left"/>
              <w:rPr>
                <w:sz w:val="16"/>
              </w:rPr>
            </w:pPr>
            <w:r w:rsidRPr="00283806">
              <w:rPr>
                <w:sz w:val="16"/>
              </w:rPr>
              <w:t>Cafeterias,</w:t>
            </w:r>
            <w:r w:rsidRPr="00283806">
              <w:rPr>
                <w:spacing w:val="4"/>
                <w:sz w:val="16"/>
              </w:rPr>
              <w:t xml:space="preserve"> </w:t>
            </w:r>
            <w:r w:rsidRPr="00283806">
              <w:rPr>
                <w:sz w:val="16"/>
              </w:rPr>
              <w:t>Grill</w:t>
            </w:r>
            <w:r w:rsidRPr="00283806">
              <w:rPr>
                <w:spacing w:val="4"/>
                <w:sz w:val="16"/>
              </w:rPr>
              <w:t xml:space="preserve"> </w:t>
            </w:r>
            <w:r w:rsidRPr="00283806">
              <w:rPr>
                <w:sz w:val="16"/>
              </w:rPr>
              <w:t>Buffets,</w:t>
            </w:r>
            <w:r w:rsidRPr="00283806">
              <w:rPr>
                <w:spacing w:val="5"/>
                <w:sz w:val="16"/>
              </w:rPr>
              <w:t xml:space="preserve"> </w:t>
            </w:r>
            <w:r w:rsidRPr="00283806">
              <w:rPr>
                <w:sz w:val="16"/>
              </w:rPr>
              <w:t>and</w:t>
            </w:r>
            <w:r w:rsidRPr="00283806">
              <w:rPr>
                <w:spacing w:val="5"/>
                <w:sz w:val="16"/>
              </w:rPr>
              <w:t xml:space="preserve"> </w:t>
            </w:r>
            <w:r w:rsidRPr="00283806">
              <w:rPr>
                <w:spacing w:val="-2"/>
                <w:sz w:val="16"/>
              </w:rPr>
              <w:t>Buffets.</w:t>
            </w:r>
          </w:p>
        </w:tc>
      </w:tr>
      <w:tr w:rsidR="00D67C1E" w:rsidRPr="00283806" w14:paraId="46157B04" w14:textId="77777777">
        <w:trPr>
          <w:trHeight w:val="180"/>
        </w:trPr>
        <w:tc>
          <w:tcPr>
            <w:tcW w:w="1307" w:type="dxa"/>
            <w:tcBorders>
              <w:right w:val="single" w:sz="4" w:space="0" w:color="000000"/>
            </w:tcBorders>
          </w:tcPr>
          <w:p w14:paraId="1152F29E" w14:textId="77777777" w:rsidR="00D67C1E" w:rsidRPr="00283806" w:rsidRDefault="001265CA">
            <w:pPr>
              <w:pStyle w:val="TableParagraph"/>
              <w:ind w:right="69"/>
              <w:rPr>
                <w:sz w:val="16"/>
              </w:rPr>
            </w:pPr>
            <w:r w:rsidRPr="00283806">
              <w:rPr>
                <w:sz w:val="16"/>
              </w:rPr>
              <w:t>722515</w:t>
            </w:r>
            <w:r w:rsidRPr="00283806">
              <w:rPr>
                <w:spacing w:val="11"/>
                <w:sz w:val="16"/>
              </w:rPr>
              <w:t xml:space="preserve"> </w:t>
            </w:r>
            <w:r w:rsidRPr="00283806">
              <w:rPr>
                <w:spacing w:val="-2"/>
                <w:sz w:val="16"/>
              </w:rPr>
              <w:t>..............</w:t>
            </w:r>
          </w:p>
        </w:tc>
        <w:tc>
          <w:tcPr>
            <w:tcW w:w="9134" w:type="dxa"/>
            <w:tcBorders>
              <w:left w:val="single" w:sz="4" w:space="0" w:color="000000"/>
            </w:tcBorders>
          </w:tcPr>
          <w:p w14:paraId="3632633A" w14:textId="77777777" w:rsidR="00D67C1E" w:rsidRPr="00283806" w:rsidRDefault="001265CA">
            <w:pPr>
              <w:pStyle w:val="TableParagraph"/>
              <w:ind w:left="78"/>
              <w:jc w:val="left"/>
              <w:rPr>
                <w:sz w:val="16"/>
              </w:rPr>
            </w:pPr>
            <w:r w:rsidRPr="00283806">
              <w:rPr>
                <w:sz w:val="16"/>
              </w:rPr>
              <w:t>Snack</w:t>
            </w:r>
            <w:r w:rsidRPr="00283806">
              <w:rPr>
                <w:spacing w:val="2"/>
                <w:sz w:val="16"/>
              </w:rPr>
              <w:t xml:space="preserve"> </w:t>
            </w:r>
            <w:r w:rsidRPr="00283806">
              <w:rPr>
                <w:sz w:val="16"/>
              </w:rPr>
              <w:t>and</w:t>
            </w:r>
            <w:r w:rsidRPr="00283806">
              <w:rPr>
                <w:spacing w:val="2"/>
                <w:sz w:val="16"/>
              </w:rPr>
              <w:t xml:space="preserve"> </w:t>
            </w:r>
            <w:r w:rsidRPr="00283806">
              <w:rPr>
                <w:sz w:val="16"/>
              </w:rPr>
              <w:t>Nonalcoholic</w:t>
            </w:r>
            <w:r w:rsidRPr="00283806">
              <w:rPr>
                <w:spacing w:val="2"/>
                <w:sz w:val="16"/>
              </w:rPr>
              <w:t xml:space="preserve"> </w:t>
            </w:r>
            <w:r w:rsidRPr="00283806">
              <w:rPr>
                <w:sz w:val="16"/>
              </w:rPr>
              <w:t>Beverage</w:t>
            </w:r>
            <w:r w:rsidRPr="00283806">
              <w:rPr>
                <w:spacing w:val="2"/>
                <w:sz w:val="16"/>
              </w:rPr>
              <w:t xml:space="preserve"> </w:t>
            </w:r>
            <w:r w:rsidRPr="00283806">
              <w:rPr>
                <w:spacing w:val="-2"/>
                <w:sz w:val="16"/>
              </w:rPr>
              <w:t>Bars.</w:t>
            </w:r>
          </w:p>
        </w:tc>
      </w:tr>
      <w:tr w:rsidR="00D67C1E" w:rsidRPr="00283806" w14:paraId="51B4FA7F" w14:textId="77777777">
        <w:trPr>
          <w:trHeight w:val="180"/>
        </w:trPr>
        <w:tc>
          <w:tcPr>
            <w:tcW w:w="1307" w:type="dxa"/>
            <w:tcBorders>
              <w:right w:val="single" w:sz="4" w:space="0" w:color="000000"/>
            </w:tcBorders>
          </w:tcPr>
          <w:p w14:paraId="411D2537" w14:textId="77777777" w:rsidR="00D67C1E" w:rsidRPr="00283806" w:rsidRDefault="001265CA">
            <w:pPr>
              <w:pStyle w:val="TableParagraph"/>
              <w:ind w:right="70"/>
              <w:rPr>
                <w:sz w:val="16"/>
              </w:rPr>
            </w:pPr>
            <w:r w:rsidRPr="00283806">
              <w:rPr>
                <w:sz w:val="16"/>
              </w:rPr>
              <w:t>81119</w:t>
            </w:r>
            <w:r w:rsidRPr="00283806">
              <w:rPr>
                <w:spacing w:val="11"/>
                <w:sz w:val="16"/>
              </w:rPr>
              <w:t xml:space="preserve"> </w:t>
            </w:r>
            <w:r w:rsidRPr="00283806">
              <w:rPr>
                <w:spacing w:val="-2"/>
                <w:sz w:val="16"/>
              </w:rPr>
              <w:t>................</w:t>
            </w:r>
          </w:p>
        </w:tc>
        <w:tc>
          <w:tcPr>
            <w:tcW w:w="9134" w:type="dxa"/>
            <w:tcBorders>
              <w:left w:val="single" w:sz="4" w:space="0" w:color="000000"/>
            </w:tcBorders>
          </w:tcPr>
          <w:p w14:paraId="162983E1" w14:textId="77777777" w:rsidR="00D67C1E" w:rsidRPr="00283806" w:rsidRDefault="001265CA">
            <w:pPr>
              <w:pStyle w:val="TableParagraph"/>
              <w:ind w:left="78"/>
              <w:jc w:val="left"/>
              <w:rPr>
                <w:sz w:val="16"/>
              </w:rPr>
            </w:pPr>
            <w:r w:rsidRPr="00283806">
              <w:rPr>
                <w:sz w:val="16"/>
              </w:rPr>
              <w:t>Other</w:t>
            </w:r>
            <w:r w:rsidRPr="00283806">
              <w:rPr>
                <w:spacing w:val="6"/>
                <w:sz w:val="16"/>
              </w:rPr>
              <w:t xml:space="preserve"> </w:t>
            </w:r>
            <w:r w:rsidRPr="00283806">
              <w:rPr>
                <w:sz w:val="16"/>
              </w:rPr>
              <w:t>Automotive</w:t>
            </w:r>
            <w:r w:rsidRPr="00283806">
              <w:rPr>
                <w:spacing w:val="6"/>
                <w:sz w:val="16"/>
              </w:rPr>
              <w:t xml:space="preserve"> </w:t>
            </w:r>
            <w:r w:rsidRPr="00283806">
              <w:rPr>
                <w:sz w:val="16"/>
              </w:rPr>
              <w:t>Repair</w:t>
            </w:r>
            <w:r w:rsidRPr="00283806">
              <w:rPr>
                <w:spacing w:val="6"/>
                <w:sz w:val="16"/>
              </w:rPr>
              <w:t xml:space="preserve"> </w:t>
            </w:r>
            <w:r w:rsidRPr="00283806">
              <w:rPr>
                <w:sz w:val="16"/>
              </w:rPr>
              <w:t>and</w:t>
            </w:r>
            <w:r w:rsidRPr="00283806">
              <w:rPr>
                <w:spacing w:val="6"/>
                <w:sz w:val="16"/>
              </w:rPr>
              <w:t xml:space="preserve"> </w:t>
            </w:r>
            <w:r w:rsidRPr="00283806">
              <w:rPr>
                <w:spacing w:val="-2"/>
                <w:sz w:val="16"/>
              </w:rPr>
              <w:t>Maintenance.</w:t>
            </w:r>
          </w:p>
        </w:tc>
      </w:tr>
      <w:tr w:rsidR="00D67C1E" w:rsidRPr="00283806" w14:paraId="6C11F9C9" w14:textId="77777777">
        <w:trPr>
          <w:trHeight w:val="180"/>
        </w:trPr>
        <w:tc>
          <w:tcPr>
            <w:tcW w:w="1307" w:type="dxa"/>
            <w:tcBorders>
              <w:right w:val="single" w:sz="4" w:space="0" w:color="000000"/>
            </w:tcBorders>
          </w:tcPr>
          <w:p w14:paraId="26FAB6FA" w14:textId="77777777" w:rsidR="00D67C1E" w:rsidRPr="00283806" w:rsidRDefault="001265CA">
            <w:pPr>
              <w:pStyle w:val="TableParagraph"/>
              <w:ind w:right="69"/>
              <w:rPr>
                <w:sz w:val="16"/>
              </w:rPr>
            </w:pPr>
            <w:r w:rsidRPr="00283806">
              <w:rPr>
                <w:sz w:val="16"/>
              </w:rPr>
              <w:t>811219</w:t>
            </w:r>
            <w:r w:rsidRPr="00283806">
              <w:rPr>
                <w:spacing w:val="11"/>
                <w:sz w:val="16"/>
              </w:rPr>
              <w:t xml:space="preserve"> </w:t>
            </w:r>
            <w:r w:rsidRPr="00283806">
              <w:rPr>
                <w:spacing w:val="-2"/>
                <w:sz w:val="16"/>
              </w:rPr>
              <w:t>..............</w:t>
            </w:r>
          </w:p>
        </w:tc>
        <w:tc>
          <w:tcPr>
            <w:tcW w:w="9134" w:type="dxa"/>
            <w:tcBorders>
              <w:left w:val="single" w:sz="4" w:space="0" w:color="000000"/>
            </w:tcBorders>
          </w:tcPr>
          <w:p w14:paraId="7B4A4A51" w14:textId="77777777" w:rsidR="00D67C1E" w:rsidRPr="00283806" w:rsidRDefault="001265CA">
            <w:pPr>
              <w:pStyle w:val="TableParagraph"/>
              <w:ind w:left="78"/>
              <w:jc w:val="left"/>
              <w:rPr>
                <w:sz w:val="16"/>
              </w:rPr>
            </w:pPr>
            <w:r w:rsidRPr="00283806">
              <w:rPr>
                <w:sz w:val="16"/>
              </w:rPr>
              <w:t>Other</w:t>
            </w:r>
            <w:r w:rsidRPr="00283806">
              <w:rPr>
                <w:spacing w:val="3"/>
                <w:sz w:val="16"/>
              </w:rPr>
              <w:t xml:space="preserve"> </w:t>
            </w:r>
            <w:r w:rsidRPr="00283806">
              <w:rPr>
                <w:sz w:val="16"/>
              </w:rPr>
              <w:t>Electronic</w:t>
            </w:r>
            <w:r w:rsidRPr="00283806">
              <w:rPr>
                <w:spacing w:val="4"/>
                <w:sz w:val="16"/>
              </w:rPr>
              <w:t xml:space="preserve"> </w:t>
            </w:r>
            <w:r w:rsidRPr="00283806">
              <w:rPr>
                <w:sz w:val="16"/>
              </w:rPr>
              <w:t>and</w:t>
            </w:r>
            <w:r w:rsidRPr="00283806">
              <w:rPr>
                <w:spacing w:val="3"/>
                <w:sz w:val="16"/>
              </w:rPr>
              <w:t xml:space="preserve"> </w:t>
            </w:r>
            <w:r w:rsidRPr="00283806">
              <w:rPr>
                <w:sz w:val="16"/>
              </w:rPr>
              <w:t>Precision</w:t>
            </w:r>
            <w:r w:rsidRPr="00283806">
              <w:rPr>
                <w:spacing w:val="4"/>
                <w:sz w:val="16"/>
              </w:rPr>
              <w:t xml:space="preserve"> </w:t>
            </w:r>
            <w:r w:rsidRPr="00283806">
              <w:rPr>
                <w:sz w:val="16"/>
              </w:rPr>
              <w:t>Equipment</w:t>
            </w:r>
            <w:r w:rsidRPr="00283806">
              <w:rPr>
                <w:spacing w:val="3"/>
                <w:sz w:val="16"/>
              </w:rPr>
              <w:t xml:space="preserve"> </w:t>
            </w:r>
            <w:r w:rsidRPr="00283806">
              <w:rPr>
                <w:sz w:val="16"/>
              </w:rPr>
              <w:t>Repair</w:t>
            </w:r>
            <w:r w:rsidRPr="00283806">
              <w:rPr>
                <w:spacing w:val="4"/>
                <w:sz w:val="16"/>
              </w:rPr>
              <w:t xml:space="preserve"> </w:t>
            </w:r>
            <w:r w:rsidRPr="00283806">
              <w:rPr>
                <w:sz w:val="16"/>
              </w:rPr>
              <w:t>and</w:t>
            </w:r>
            <w:r w:rsidRPr="00283806">
              <w:rPr>
                <w:spacing w:val="3"/>
                <w:sz w:val="16"/>
              </w:rPr>
              <w:t xml:space="preserve"> </w:t>
            </w:r>
            <w:r w:rsidRPr="00283806">
              <w:rPr>
                <w:spacing w:val="-2"/>
                <w:sz w:val="16"/>
              </w:rPr>
              <w:t>Maintenance.</w:t>
            </w:r>
          </w:p>
        </w:tc>
      </w:tr>
      <w:tr w:rsidR="00D67C1E" w:rsidRPr="00283806" w14:paraId="1BCFE979" w14:textId="77777777">
        <w:trPr>
          <w:trHeight w:val="180"/>
        </w:trPr>
        <w:tc>
          <w:tcPr>
            <w:tcW w:w="1307" w:type="dxa"/>
            <w:tcBorders>
              <w:right w:val="single" w:sz="4" w:space="0" w:color="000000"/>
            </w:tcBorders>
          </w:tcPr>
          <w:p w14:paraId="08A897AC" w14:textId="77777777" w:rsidR="00D67C1E" w:rsidRPr="00283806" w:rsidRDefault="001265CA">
            <w:pPr>
              <w:pStyle w:val="TableParagraph"/>
              <w:ind w:right="69"/>
              <w:rPr>
                <w:sz w:val="16"/>
              </w:rPr>
            </w:pPr>
            <w:r w:rsidRPr="00283806">
              <w:rPr>
                <w:sz w:val="16"/>
              </w:rPr>
              <w:t>811412</w:t>
            </w:r>
            <w:r w:rsidRPr="00283806">
              <w:rPr>
                <w:spacing w:val="11"/>
                <w:sz w:val="16"/>
              </w:rPr>
              <w:t xml:space="preserve"> </w:t>
            </w:r>
            <w:r w:rsidRPr="00283806">
              <w:rPr>
                <w:spacing w:val="-2"/>
                <w:sz w:val="16"/>
              </w:rPr>
              <w:t>..............</w:t>
            </w:r>
          </w:p>
        </w:tc>
        <w:tc>
          <w:tcPr>
            <w:tcW w:w="9134" w:type="dxa"/>
            <w:tcBorders>
              <w:left w:val="single" w:sz="4" w:space="0" w:color="000000"/>
            </w:tcBorders>
          </w:tcPr>
          <w:p w14:paraId="46CF5A81" w14:textId="77777777" w:rsidR="00D67C1E" w:rsidRPr="00283806" w:rsidRDefault="001265CA">
            <w:pPr>
              <w:pStyle w:val="TableParagraph"/>
              <w:ind w:left="78"/>
              <w:jc w:val="left"/>
              <w:rPr>
                <w:sz w:val="16"/>
              </w:rPr>
            </w:pPr>
            <w:r w:rsidRPr="00283806">
              <w:rPr>
                <w:sz w:val="16"/>
              </w:rPr>
              <w:t>Appliance</w:t>
            </w:r>
            <w:r w:rsidRPr="00283806">
              <w:rPr>
                <w:spacing w:val="3"/>
                <w:sz w:val="16"/>
              </w:rPr>
              <w:t xml:space="preserve"> </w:t>
            </w:r>
            <w:r w:rsidRPr="00283806">
              <w:rPr>
                <w:sz w:val="16"/>
              </w:rPr>
              <w:t>Repair</w:t>
            </w:r>
            <w:r w:rsidRPr="00283806">
              <w:rPr>
                <w:spacing w:val="3"/>
                <w:sz w:val="16"/>
              </w:rPr>
              <w:t xml:space="preserve"> </w:t>
            </w:r>
            <w:r w:rsidRPr="00283806">
              <w:rPr>
                <w:sz w:val="16"/>
              </w:rPr>
              <w:t>and</w:t>
            </w:r>
            <w:r w:rsidRPr="00283806">
              <w:rPr>
                <w:spacing w:val="3"/>
                <w:sz w:val="16"/>
              </w:rPr>
              <w:t xml:space="preserve"> </w:t>
            </w:r>
            <w:r w:rsidRPr="00283806">
              <w:rPr>
                <w:spacing w:val="-2"/>
                <w:sz w:val="16"/>
              </w:rPr>
              <w:t>Maintenance.</w:t>
            </w:r>
          </w:p>
        </w:tc>
      </w:tr>
      <w:tr w:rsidR="00D67C1E" w:rsidRPr="00283806" w14:paraId="6F05E6D6" w14:textId="77777777">
        <w:trPr>
          <w:trHeight w:val="253"/>
        </w:trPr>
        <w:tc>
          <w:tcPr>
            <w:tcW w:w="1307" w:type="dxa"/>
            <w:tcBorders>
              <w:bottom w:val="single" w:sz="4" w:space="0" w:color="000000"/>
              <w:right w:val="single" w:sz="4" w:space="0" w:color="000000"/>
            </w:tcBorders>
          </w:tcPr>
          <w:p w14:paraId="123C7BEF" w14:textId="77777777" w:rsidR="00D67C1E" w:rsidRPr="00283806" w:rsidRDefault="001265CA">
            <w:pPr>
              <w:pStyle w:val="TableParagraph"/>
              <w:spacing w:line="180" w:lineRule="exact"/>
              <w:ind w:right="69"/>
              <w:rPr>
                <w:sz w:val="16"/>
              </w:rPr>
            </w:pPr>
            <w:r w:rsidRPr="00283806">
              <w:rPr>
                <w:sz w:val="16"/>
              </w:rPr>
              <w:t>922160</w:t>
            </w:r>
            <w:r w:rsidRPr="00283806">
              <w:rPr>
                <w:spacing w:val="11"/>
                <w:sz w:val="16"/>
              </w:rPr>
              <w:t xml:space="preserve"> </w:t>
            </w:r>
            <w:r w:rsidRPr="00283806">
              <w:rPr>
                <w:spacing w:val="-2"/>
                <w:sz w:val="16"/>
              </w:rPr>
              <w:t>..............</w:t>
            </w:r>
          </w:p>
        </w:tc>
        <w:tc>
          <w:tcPr>
            <w:tcW w:w="9134" w:type="dxa"/>
            <w:tcBorders>
              <w:left w:val="single" w:sz="4" w:space="0" w:color="000000"/>
              <w:bottom w:val="single" w:sz="4" w:space="0" w:color="000000"/>
            </w:tcBorders>
          </w:tcPr>
          <w:p w14:paraId="356B4369" w14:textId="77777777" w:rsidR="00D67C1E" w:rsidRPr="00283806" w:rsidRDefault="001265CA">
            <w:pPr>
              <w:pStyle w:val="TableParagraph"/>
              <w:spacing w:line="180" w:lineRule="exact"/>
              <w:ind w:left="78"/>
              <w:jc w:val="left"/>
              <w:rPr>
                <w:sz w:val="16"/>
              </w:rPr>
            </w:pPr>
            <w:r w:rsidRPr="00283806">
              <w:rPr>
                <w:sz w:val="16"/>
              </w:rPr>
              <w:t>Fire</w:t>
            </w:r>
            <w:r w:rsidRPr="00283806">
              <w:rPr>
                <w:spacing w:val="5"/>
                <w:sz w:val="16"/>
              </w:rPr>
              <w:t xml:space="preserve"> </w:t>
            </w:r>
            <w:r w:rsidRPr="00283806">
              <w:rPr>
                <w:spacing w:val="-2"/>
                <w:sz w:val="16"/>
              </w:rPr>
              <w:t>Protection.</w:t>
            </w:r>
          </w:p>
        </w:tc>
      </w:tr>
    </w:tbl>
    <w:p w14:paraId="50759BD3" w14:textId="77777777" w:rsidR="00D67C1E" w:rsidRPr="00283806" w:rsidRDefault="00D67C1E">
      <w:pPr>
        <w:spacing w:line="180" w:lineRule="exact"/>
        <w:rPr>
          <w:sz w:val="16"/>
        </w:rPr>
        <w:sectPr w:rsidR="00D67C1E" w:rsidRPr="00283806">
          <w:headerReference w:type="even" r:id="rId12"/>
          <w:headerReference w:type="default" r:id="rId13"/>
          <w:pgSz w:w="12240" w:h="15840"/>
          <w:pgMar w:top="980" w:right="780" w:bottom="280" w:left="740" w:header="627" w:footer="0" w:gutter="0"/>
          <w:pgNumType w:start="82687"/>
          <w:cols w:space="720"/>
        </w:sectPr>
      </w:pPr>
    </w:p>
    <w:p w14:paraId="4AE7BFB3" w14:textId="77777777" w:rsidR="00D67C1E" w:rsidRPr="00283806" w:rsidRDefault="001265CA">
      <w:pPr>
        <w:pStyle w:val="BodyText"/>
        <w:spacing w:before="134" w:line="228" w:lineRule="auto"/>
        <w:ind w:right="22" w:firstLine="180"/>
      </w:pPr>
      <w:r w:rsidRPr="00283806">
        <w:rPr>
          <w:w w:val="105"/>
        </w:rPr>
        <w:lastRenderedPageBreak/>
        <w:t xml:space="preserve">This table is not intended to be </w:t>
      </w:r>
      <w:proofErr w:type="gramStart"/>
      <w:r w:rsidRPr="00283806">
        <w:rPr>
          <w:w w:val="105"/>
        </w:rPr>
        <w:t>exhaustive, but</w:t>
      </w:r>
      <w:proofErr w:type="gramEnd"/>
      <w:r w:rsidRPr="00283806">
        <w:rPr>
          <w:w w:val="105"/>
        </w:rPr>
        <w:t xml:space="preserve"> rather provides a guide for</w:t>
      </w:r>
      <w:r w:rsidRPr="00283806">
        <w:rPr>
          <w:spacing w:val="-1"/>
          <w:w w:val="105"/>
        </w:rPr>
        <w:t xml:space="preserve"> </w:t>
      </w:r>
      <w:r w:rsidRPr="00283806">
        <w:rPr>
          <w:w w:val="105"/>
        </w:rPr>
        <w:t>readers</w:t>
      </w:r>
      <w:r w:rsidRPr="00283806">
        <w:rPr>
          <w:spacing w:val="-1"/>
          <w:w w:val="105"/>
        </w:rPr>
        <w:t xml:space="preserve"> </w:t>
      </w:r>
      <w:r w:rsidRPr="00283806">
        <w:rPr>
          <w:w w:val="105"/>
        </w:rPr>
        <w:t>regarding</w:t>
      </w:r>
      <w:r w:rsidRPr="00283806">
        <w:rPr>
          <w:spacing w:val="-1"/>
          <w:w w:val="105"/>
        </w:rPr>
        <w:t xml:space="preserve"> </w:t>
      </w:r>
      <w:r w:rsidRPr="00283806">
        <w:rPr>
          <w:w w:val="105"/>
        </w:rPr>
        <w:t>entities</w:t>
      </w:r>
      <w:r w:rsidRPr="00283806">
        <w:rPr>
          <w:spacing w:val="-1"/>
          <w:w w:val="105"/>
        </w:rPr>
        <w:t xml:space="preserve"> </w:t>
      </w:r>
      <w:r w:rsidRPr="00283806">
        <w:rPr>
          <w:w w:val="105"/>
        </w:rPr>
        <w:t>likely</w:t>
      </w:r>
      <w:r w:rsidRPr="00283806">
        <w:rPr>
          <w:spacing w:val="-1"/>
          <w:w w:val="105"/>
        </w:rPr>
        <w:t xml:space="preserve"> </w:t>
      </w:r>
      <w:r w:rsidRPr="00283806">
        <w:rPr>
          <w:w w:val="105"/>
        </w:rPr>
        <w:t>to</w:t>
      </w:r>
      <w:r w:rsidRPr="00283806">
        <w:rPr>
          <w:spacing w:val="-1"/>
          <w:w w:val="105"/>
        </w:rPr>
        <w:t xml:space="preserve"> </w:t>
      </w:r>
      <w:r w:rsidRPr="00283806">
        <w:rPr>
          <w:w w:val="105"/>
        </w:rPr>
        <w:t>be regulated by this rulemaking. This table lists the types of entities that EPA</w:t>
      </w:r>
      <w:r w:rsidRPr="00283806">
        <w:rPr>
          <w:spacing w:val="40"/>
          <w:w w:val="105"/>
        </w:rPr>
        <w:t xml:space="preserve"> </w:t>
      </w:r>
      <w:r w:rsidRPr="00283806">
        <w:rPr>
          <w:w w:val="105"/>
        </w:rPr>
        <w:t>expects could potentially be regulated</w:t>
      </w:r>
      <w:r w:rsidRPr="00283806">
        <w:rPr>
          <w:spacing w:val="80"/>
          <w:w w:val="105"/>
        </w:rPr>
        <w:t xml:space="preserve"> </w:t>
      </w:r>
      <w:r w:rsidRPr="00283806">
        <w:rPr>
          <w:w w:val="105"/>
        </w:rPr>
        <w:t xml:space="preserve">by this rulemaking. Other types of entities not listed </w:t>
      </w:r>
      <w:proofErr w:type="gramStart"/>
      <w:r w:rsidRPr="00283806">
        <w:rPr>
          <w:w w:val="105"/>
        </w:rPr>
        <w:t>in</w:t>
      </w:r>
      <w:proofErr w:type="gramEnd"/>
      <w:r w:rsidRPr="00283806">
        <w:rPr>
          <w:w w:val="105"/>
        </w:rPr>
        <w:t xml:space="preserve"> the table could also be regulated. To determine whether</w:t>
      </w:r>
      <w:r w:rsidRPr="00283806">
        <w:rPr>
          <w:spacing w:val="80"/>
          <w:w w:val="105"/>
        </w:rPr>
        <w:t xml:space="preserve"> </w:t>
      </w:r>
      <w:r w:rsidRPr="00283806">
        <w:rPr>
          <w:w w:val="105"/>
        </w:rPr>
        <w:t>your entity may be regulated by this rulemaking, you should carefully</w:t>
      </w:r>
      <w:r w:rsidRPr="00283806">
        <w:rPr>
          <w:spacing w:val="40"/>
          <w:w w:val="105"/>
        </w:rPr>
        <w:t xml:space="preserve"> </w:t>
      </w:r>
      <w:r w:rsidRPr="00283806">
        <w:rPr>
          <w:w w:val="105"/>
        </w:rPr>
        <w:t>examine the regulatory text at the end</w:t>
      </w:r>
    </w:p>
    <w:p w14:paraId="37B20BE5" w14:textId="77777777" w:rsidR="00D67C1E" w:rsidRPr="00283806" w:rsidRDefault="001265CA">
      <w:pPr>
        <w:pStyle w:val="BodyText"/>
        <w:spacing w:line="228" w:lineRule="auto"/>
        <w:ind w:right="81"/>
      </w:pPr>
      <w:r w:rsidRPr="00283806">
        <w:rPr>
          <w:w w:val="105"/>
        </w:rPr>
        <w:t>of this document. If you have questions regarding the applicability of these regulations to a particular entity,</w:t>
      </w:r>
      <w:r w:rsidRPr="00283806">
        <w:rPr>
          <w:spacing w:val="40"/>
          <w:w w:val="105"/>
        </w:rPr>
        <w:t xml:space="preserve"> </w:t>
      </w:r>
      <w:r w:rsidRPr="00283806">
        <w:rPr>
          <w:w w:val="105"/>
        </w:rPr>
        <w:t xml:space="preserve">consult the people listed in the </w:t>
      </w:r>
      <w:r w:rsidRPr="00283806">
        <w:rPr>
          <w:rFonts w:ascii="Arial"/>
          <w:b/>
          <w:w w:val="105"/>
          <w:sz w:val="15"/>
        </w:rPr>
        <w:t xml:space="preserve">FOR </w:t>
      </w:r>
      <w:r w:rsidRPr="00283806">
        <w:rPr>
          <w:rFonts w:ascii="Arial"/>
          <w:b/>
          <w:sz w:val="15"/>
        </w:rPr>
        <w:t>FURTHER</w:t>
      </w:r>
      <w:r w:rsidRPr="00283806">
        <w:rPr>
          <w:rFonts w:ascii="Arial"/>
          <w:b/>
          <w:spacing w:val="-2"/>
          <w:sz w:val="15"/>
        </w:rPr>
        <w:t xml:space="preserve"> </w:t>
      </w:r>
      <w:r w:rsidRPr="00283806">
        <w:rPr>
          <w:rFonts w:ascii="Arial"/>
          <w:b/>
          <w:sz w:val="15"/>
        </w:rPr>
        <w:t>INFORMATION</w:t>
      </w:r>
      <w:r w:rsidRPr="00283806">
        <w:rPr>
          <w:rFonts w:ascii="Arial"/>
          <w:b/>
          <w:spacing w:val="-2"/>
          <w:sz w:val="15"/>
        </w:rPr>
        <w:t xml:space="preserve"> </w:t>
      </w:r>
      <w:r w:rsidRPr="00283806">
        <w:rPr>
          <w:rFonts w:ascii="Arial"/>
          <w:b/>
          <w:sz w:val="15"/>
        </w:rPr>
        <w:t>CONTACT</w:t>
      </w:r>
      <w:r w:rsidRPr="00283806">
        <w:rPr>
          <w:rFonts w:ascii="Arial"/>
          <w:b/>
          <w:spacing w:val="-2"/>
          <w:sz w:val="15"/>
        </w:rPr>
        <w:t xml:space="preserve"> </w:t>
      </w:r>
      <w:r w:rsidRPr="00283806">
        <w:t>section.</w:t>
      </w:r>
    </w:p>
    <w:p w14:paraId="447F302D" w14:textId="77777777" w:rsidR="00D67C1E" w:rsidRPr="00283806" w:rsidRDefault="001265CA">
      <w:pPr>
        <w:pStyle w:val="ListParagraph"/>
        <w:numPr>
          <w:ilvl w:val="1"/>
          <w:numId w:val="64"/>
        </w:numPr>
        <w:tabs>
          <w:tab w:val="left" w:pos="375"/>
        </w:tabs>
        <w:spacing w:before="101" w:line="220" w:lineRule="auto"/>
        <w:ind w:right="389" w:firstLine="0"/>
        <w:rPr>
          <w:rFonts w:ascii="Book Antiqua" w:hAnsi="Book Antiqua"/>
          <w:i/>
          <w:sz w:val="18"/>
        </w:rPr>
      </w:pPr>
      <w:r w:rsidRPr="00283806">
        <w:rPr>
          <w:rFonts w:ascii="Book Antiqua" w:hAnsi="Book Antiqua"/>
          <w:i/>
          <w:w w:val="110"/>
          <w:sz w:val="18"/>
        </w:rPr>
        <w:t>What</w:t>
      </w:r>
      <w:r w:rsidRPr="00283806">
        <w:rPr>
          <w:rFonts w:ascii="Book Antiqua" w:hAnsi="Book Antiqua"/>
          <w:i/>
          <w:spacing w:val="-2"/>
          <w:w w:val="110"/>
          <w:sz w:val="18"/>
        </w:rPr>
        <w:t xml:space="preserve"> </w:t>
      </w:r>
      <w:r w:rsidRPr="00283806">
        <w:rPr>
          <w:rFonts w:ascii="Book Antiqua" w:hAnsi="Book Antiqua"/>
          <w:i/>
          <w:w w:val="110"/>
          <w:sz w:val="18"/>
        </w:rPr>
        <w:t>is</w:t>
      </w:r>
      <w:r w:rsidRPr="00283806">
        <w:rPr>
          <w:rFonts w:ascii="Book Antiqua" w:hAnsi="Book Antiqua"/>
          <w:i/>
          <w:spacing w:val="-2"/>
          <w:w w:val="110"/>
          <w:sz w:val="18"/>
        </w:rPr>
        <w:t xml:space="preserve"> </w:t>
      </w:r>
      <w:r w:rsidRPr="00283806">
        <w:rPr>
          <w:rFonts w:ascii="Book Antiqua" w:hAnsi="Book Antiqua"/>
          <w:i/>
          <w:w w:val="110"/>
          <w:sz w:val="18"/>
        </w:rPr>
        <w:t>EPA’s</w:t>
      </w:r>
      <w:r w:rsidRPr="00283806">
        <w:rPr>
          <w:rFonts w:ascii="Book Antiqua" w:hAnsi="Book Antiqua"/>
          <w:i/>
          <w:spacing w:val="-2"/>
          <w:w w:val="110"/>
          <w:sz w:val="18"/>
        </w:rPr>
        <w:t xml:space="preserve"> </w:t>
      </w:r>
      <w:r w:rsidRPr="00283806">
        <w:rPr>
          <w:rFonts w:ascii="Book Antiqua" w:hAnsi="Book Antiqua"/>
          <w:i/>
          <w:w w:val="110"/>
          <w:sz w:val="18"/>
        </w:rPr>
        <w:t>authority</w:t>
      </w:r>
      <w:r w:rsidRPr="00283806">
        <w:rPr>
          <w:rFonts w:ascii="Book Antiqua" w:hAnsi="Book Antiqua"/>
          <w:i/>
          <w:spacing w:val="-2"/>
          <w:w w:val="110"/>
          <w:sz w:val="18"/>
        </w:rPr>
        <w:t xml:space="preserve"> </w:t>
      </w:r>
      <w:r w:rsidRPr="00283806">
        <w:rPr>
          <w:rFonts w:ascii="Book Antiqua" w:hAnsi="Book Antiqua"/>
          <w:i/>
          <w:w w:val="110"/>
          <w:sz w:val="18"/>
        </w:rPr>
        <w:t>for</w:t>
      </w:r>
      <w:r w:rsidRPr="00283806">
        <w:rPr>
          <w:rFonts w:ascii="Book Antiqua" w:hAnsi="Book Antiqua"/>
          <w:i/>
          <w:spacing w:val="-2"/>
          <w:w w:val="110"/>
          <w:sz w:val="18"/>
        </w:rPr>
        <w:t xml:space="preserve"> </w:t>
      </w:r>
      <w:r w:rsidRPr="00283806">
        <w:rPr>
          <w:rFonts w:ascii="Book Antiqua" w:hAnsi="Book Antiqua"/>
          <w:i/>
          <w:w w:val="110"/>
          <w:sz w:val="18"/>
        </w:rPr>
        <w:t xml:space="preserve">these </w:t>
      </w:r>
      <w:r w:rsidRPr="00283806">
        <w:rPr>
          <w:rFonts w:ascii="Book Antiqua" w:hAnsi="Book Antiqua"/>
          <w:i/>
          <w:spacing w:val="-2"/>
          <w:w w:val="110"/>
          <w:sz w:val="18"/>
        </w:rPr>
        <w:t>regulations?</w:t>
      </w:r>
    </w:p>
    <w:p w14:paraId="5E67FBF9" w14:textId="77777777" w:rsidR="00D67C1E" w:rsidRPr="00283806" w:rsidRDefault="001265CA">
      <w:pPr>
        <w:pStyle w:val="BodyText"/>
        <w:spacing w:before="132" w:line="228" w:lineRule="auto"/>
        <w:ind w:right="28" w:firstLine="180"/>
      </w:pPr>
      <w:r w:rsidRPr="00283806">
        <w:rPr>
          <w:w w:val="105"/>
        </w:rPr>
        <w:t>On December 27, 2020, the AIM Act was enacted as section 103 in Division</w:t>
      </w:r>
      <w:r w:rsidRPr="00283806">
        <w:rPr>
          <w:spacing w:val="80"/>
          <w:w w:val="150"/>
        </w:rPr>
        <w:t xml:space="preserve"> </w:t>
      </w:r>
      <w:r w:rsidRPr="00283806">
        <w:rPr>
          <w:w w:val="105"/>
        </w:rPr>
        <w:t>S, Innovation for the Environment, of</w:t>
      </w:r>
      <w:r w:rsidRPr="00283806">
        <w:rPr>
          <w:spacing w:val="80"/>
          <w:w w:val="105"/>
        </w:rPr>
        <w:t xml:space="preserve"> </w:t>
      </w:r>
      <w:r w:rsidRPr="00283806">
        <w:rPr>
          <w:w w:val="105"/>
        </w:rPr>
        <w:t>the Consolidated Appropriations Act, 2021 (42 U.S.C. 7675). In subsection (k)(1)(A), the AIM Act provides EPA</w:t>
      </w:r>
      <w:r w:rsidRPr="00283806">
        <w:rPr>
          <w:spacing w:val="40"/>
          <w:w w:val="105"/>
        </w:rPr>
        <w:t xml:space="preserve"> </w:t>
      </w:r>
      <w:r w:rsidRPr="00283806">
        <w:rPr>
          <w:w w:val="105"/>
        </w:rPr>
        <w:t>with the authority to promulgate necessary regulations to carry out EPA’s functions under the Act, including its obligations to ensure that the Act’s requirements are satisfied (42 U.S.C.</w:t>
      </w:r>
    </w:p>
    <w:p w14:paraId="563A6030" w14:textId="77777777" w:rsidR="00D67C1E" w:rsidRPr="00283806" w:rsidRDefault="001265CA">
      <w:pPr>
        <w:pStyle w:val="BodyText"/>
        <w:spacing w:line="228" w:lineRule="auto"/>
        <w:ind w:right="104"/>
      </w:pPr>
      <w:r w:rsidRPr="00283806">
        <w:rPr>
          <w:w w:val="105"/>
        </w:rPr>
        <w:t>7675(k)(1)(A)). Subsection (k)(1)(C) of the Act also provides that Clean Air Act (CAA) sections 113, 114, 304, and 307 apply to the AIM Act and any</w:t>
      </w:r>
      <w:r w:rsidRPr="00283806">
        <w:rPr>
          <w:spacing w:val="80"/>
          <w:w w:val="105"/>
        </w:rPr>
        <w:t xml:space="preserve"> </w:t>
      </w:r>
      <w:r w:rsidRPr="00283806">
        <w:rPr>
          <w:w w:val="105"/>
        </w:rPr>
        <w:t>regulations EPA promulgates under the AIM Act as though the AIM Act were</w:t>
      </w:r>
      <w:r w:rsidRPr="00283806">
        <w:rPr>
          <w:spacing w:val="80"/>
          <w:w w:val="105"/>
        </w:rPr>
        <w:t xml:space="preserve"> </w:t>
      </w:r>
      <w:r w:rsidRPr="00283806">
        <w:rPr>
          <w:w w:val="105"/>
        </w:rPr>
        <w:t>part</w:t>
      </w:r>
      <w:r w:rsidRPr="00283806">
        <w:rPr>
          <w:spacing w:val="40"/>
          <w:w w:val="105"/>
        </w:rPr>
        <w:t xml:space="preserve"> </w:t>
      </w:r>
      <w:r w:rsidRPr="00283806">
        <w:rPr>
          <w:w w:val="105"/>
        </w:rPr>
        <w:t>of</w:t>
      </w:r>
      <w:r w:rsidRPr="00283806">
        <w:rPr>
          <w:spacing w:val="40"/>
          <w:w w:val="105"/>
        </w:rPr>
        <w:t xml:space="preserve"> </w:t>
      </w:r>
      <w:r w:rsidRPr="00283806">
        <w:rPr>
          <w:w w:val="105"/>
        </w:rPr>
        <w:t>Title</w:t>
      </w:r>
      <w:r w:rsidRPr="00283806">
        <w:rPr>
          <w:spacing w:val="40"/>
          <w:w w:val="105"/>
        </w:rPr>
        <w:t xml:space="preserve"> </w:t>
      </w:r>
      <w:r w:rsidRPr="00283806">
        <w:rPr>
          <w:w w:val="105"/>
        </w:rPr>
        <w:t>VI</w:t>
      </w:r>
      <w:r w:rsidRPr="00283806">
        <w:rPr>
          <w:spacing w:val="40"/>
          <w:w w:val="105"/>
        </w:rPr>
        <w:t xml:space="preserve"> </w:t>
      </w:r>
      <w:r w:rsidRPr="00283806">
        <w:rPr>
          <w:w w:val="105"/>
        </w:rPr>
        <w:t>of</w:t>
      </w:r>
      <w:r w:rsidRPr="00283806">
        <w:rPr>
          <w:spacing w:val="40"/>
          <w:w w:val="105"/>
        </w:rPr>
        <w:t xml:space="preserve"> </w:t>
      </w:r>
      <w:r w:rsidRPr="00283806">
        <w:rPr>
          <w:w w:val="105"/>
        </w:rPr>
        <w:t>the</w:t>
      </w:r>
      <w:r w:rsidRPr="00283806">
        <w:rPr>
          <w:spacing w:val="40"/>
          <w:w w:val="105"/>
        </w:rPr>
        <w:t xml:space="preserve"> </w:t>
      </w:r>
      <w:r w:rsidRPr="00283806">
        <w:rPr>
          <w:w w:val="105"/>
        </w:rPr>
        <w:t>CAA</w:t>
      </w:r>
      <w:r w:rsidRPr="00283806">
        <w:rPr>
          <w:spacing w:val="40"/>
          <w:w w:val="105"/>
        </w:rPr>
        <w:t xml:space="preserve"> </w:t>
      </w:r>
      <w:r w:rsidRPr="00283806">
        <w:rPr>
          <w:w w:val="105"/>
        </w:rPr>
        <w:t>(42</w:t>
      </w:r>
      <w:r w:rsidRPr="00283806">
        <w:rPr>
          <w:spacing w:val="40"/>
          <w:w w:val="105"/>
        </w:rPr>
        <w:t xml:space="preserve"> </w:t>
      </w:r>
      <w:r w:rsidRPr="00283806">
        <w:rPr>
          <w:w w:val="105"/>
        </w:rPr>
        <w:t>U.S.C.</w:t>
      </w:r>
    </w:p>
    <w:p w14:paraId="1888FE63" w14:textId="77777777" w:rsidR="00D67C1E" w:rsidRPr="00283806" w:rsidRDefault="001265CA">
      <w:pPr>
        <w:pStyle w:val="BodyText"/>
        <w:spacing w:line="228" w:lineRule="auto"/>
        <w:ind w:right="28"/>
      </w:pPr>
      <w:r w:rsidRPr="00283806">
        <w:rPr>
          <w:w w:val="105"/>
        </w:rPr>
        <w:t>7675(k)(1)(C)). Accordingly, the promulgation of these regulations under the AIM Act is subject to CAA section 307(d) (see 42 U.S.C. 7607(d)(1)(I))</w:t>
      </w:r>
    </w:p>
    <w:p w14:paraId="5A93D37C" w14:textId="77777777" w:rsidR="00D67C1E" w:rsidRPr="00283806" w:rsidRDefault="001265CA">
      <w:pPr>
        <w:pStyle w:val="BodyText"/>
        <w:spacing w:line="228" w:lineRule="auto"/>
        <w:ind w:right="28"/>
      </w:pPr>
      <w:r w:rsidRPr="00283806">
        <w:rPr>
          <w:w w:val="105"/>
        </w:rPr>
        <w:t xml:space="preserve">(CAA section 307(d) applies to ‘‘promulgation or revision of regulations under subchapter VI of this chapter ((relating to stratosphere and ozone </w:t>
      </w:r>
      <w:r w:rsidRPr="00283806">
        <w:rPr>
          <w:spacing w:val="-2"/>
          <w:w w:val="105"/>
        </w:rPr>
        <w:t>protection))’’).</w:t>
      </w:r>
    </w:p>
    <w:p w14:paraId="74252CBC" w14:textId="77777777" w:rsidR="00D67C1E" w:rsidRPr="00283806" w:rsidRDefault="001265CA">
      <w:pPr>
        <w:pStyle w:val="BodyText"/>
        <w:spacing w:before="31" w:line="228" w:lineRule="auto"/>
        <w:ind w:right="104" w:firstLine="180"/>
      </w:pPr>
      <w:r w:rsidRPr="00283806">
        <w:rPr>
          <w:w w:val="105"/>
        </w:rPr>
        <w:t>The AIM Act authorizes EPA to address HFCs in three main ways: phasing down HFC production and consumption through an allowance allocation program; facilitating the transition to next-generation technologies by restricting use of these HFCs in the sector or subsectors in which they are used; and promulgating certain regulations for purposes of maximizing reclaiming and minimizing releases of HFCs from equipment and ensuring the safety of technicians and consumers. This rulemaking focuses on</w:t>
      </w:r>
    </w:p>
    <w:p w14:paraId="51322FB1" w14:textId="77777777" w:rsidR="00D67C1E" w:rsidRPr="00283806" w:rsidRDefault="001265CA">
      <w:pPr>
        <w:pStyle w:val="BodyText"/>
        <w:spacing w:before="136" w:line="225" w:lineRule="auto"/>
      </w:pPr>
      <w:r w:rsidRPr="00283806">
        <w:br w:type="column"/>
      </w:r>
      <w:r w:rsidRPr="00283806">
        <w:rPr>
          <w:w w:val="105"/>
        </w:rPr>
        <w:t>minimizing releases of HFCs from equipment and ensuring the safety of technicians and consumers.</w:t>
      </w:r>
    </w:p>
    <w:p w14:paraId="0D5C7BD6" w14:textId="77777777" w:rsidR="00D67C1E" w:rsidRPr="00283806" w:rsidRDefault="001265CA">
      <w:pPr>
        <w:pStyle w:val="BodyText"/>
        <w:spacing w:line="179" w:lineRule="exact"/>
        <w:ind w:left="340"/>
      </w:pPr>
      <w:r w:rsidRPr="00283806">
        <w:rPr>
          <w:w w:val="105"/>
        </w:rPr>
        <w:t>The</w:t>
      </w:r>
      <w:r w:rsidRPr="00283806">
        <w:rPr>
          <w:spacing w:val="20"/>
          <w:w w:val="105"/>
        </w:rPr>
        <w:t xml:space="preserve"> </w:t>
      </w:r>
      <w:r w:rsidRPr="00283806">
        <w:rPr>
          <w:w w:val="105"/>
        </w:rPr>
        <w:t>identification</w:t>
      </w:r>
      <w:r w:rsidRPr="00283806">
        <w:rPr>
          <w:spacing w:val="21"/>
          <w:w w:val="105"/>
        </w:rPr>
        <w:t xml:space="preserve"> </w:t>
      </w:r>
      <w:r w:rsidRPr="00283806">
        <w:rPr>
          <w:w w:val="105"/>
        </w:rPr>
        <w:t>of</w:t>
      </w:r>
      <w:r w:rsidRPr="00283806">
        <w:rPr>
          <w:spacing w:val="21"/>
          <w:w w:val="105"/>
        </w:rPr>
        <w:t xml:space="preserve"> </w:t>
      </w:r>
      <w:r w:rsidRPr="00283806">
        <w:rPr>
          <w:spacing w:val="-2"/>
          <w:w w:val="105"/>
        </w:rPr>
        <w:t>regulated</w:t>
      </w:r>
    </w:p>
    <w:p w14:paraId="30076EC0" w14:textId="77777777" w:rsidR="00D67C1E" w:rsidRPr="00283806" w:rsidRDefault="001265CA">
      <w:pPr>
        <w:pStyle w:val="BodyText"/>
        <w:spacing w:before="4" w:line="225" w:lineRule="auto"/>
        <w:ind w:right="51"/>
      </w:pPr>
      <w:r w:rsidRPr="00283806">
        <w:rPr>
          <w:w w:val="105"/>
        </w:rPr>
        <w:t xml:space="preserve">substances </w:t>
      </w:r>
      <w:proofErr w:type="gramStart"/>
      <w:r w:rsidRPr="00283806">
        <w:rPr>
          <w:w w:val="105"/>
        </w:rPr>
        <w:t>is</w:t>
      </w:r>
      <w:proofErr w:type="gramEnd"/>
      <w:r w:rsidRPr="00283806">
        <w:rPr>
          <w:w w:val="105"/>
        </w:rPr>
        <w:t xml:space="preserve"> addressed under subsection</w:t>
      </w:r>
      <w:r w:rsidRPr="00283806">
        <w:rPr>
          <w:spacing w:val="39"/>
          <w:w w:val="105"/>
        </w:rPr>
        <w:t xml:space="preserve"> </w:t>
      </w:r>
      <w:r w:rsidRPr="00283806">
        <w:rPr>
          <w:w w:val="105"/>
        </w:rPr>
        <w:t>(c)</w:t>
      </w:r>
      <w:r w:rsidRPr="00283806">
        <w:rPr>
          <w:spacing w:val="39"/>
          <w:w w:val="105"/>
        </w:rPr>
        <w:t xml:space="preserve"> </w:t>
      </w:r>
      <w:r w:rsidRPr="00283806">
        <w:rPr>
          <w:w w:val="105"/>
        </w:rPr>
        <w:t>of</w:t>
      </w:r>
      <w:r w:rsidRPr="00283806">
        <w:rPr>
          <w:spacing w:val="39"/>
          <w:w w:val="105"/>
        </w:rPr>
        <w:t xml:space="preserve"> </w:t>
      </w:r>
      <w:r w:rsidRPr="00283806">
        <w:rPr>
          <w:w w:val="105"/>
        </w:rPr>
        <w:t>the</w:t>
      </w:r>
      <w:r w:rsidRPr="00283806">
        <w:rPr>
          <w:spacing w:val="39"/>
          <w:w w:val="105"/>
        </w:rPr>
        <w:t xml:space="preserve"> </w:t>
      </w:r>
      <w:r w:rsidRPr="00283806">
        <w:rPr>
          <w:w w:val="105"/>
        </w:rPr>
        <w:t>Act.</w:t>
      </w:r>
      <w:r w:rsidRPr="00283806">
        <w:rPr>
          <w:spacing w:val="39"/>
          <w:w w:val="105"/>
        </w:rPr>
        <w:t xml:space="preserve"> </w:t>
      </w:r>
      <w:r w:rsidRPr="00283806">
        <w:rPr>
          <w:w w:val="105"/>
        </w:rPr>
        <w:t>The</w:t>
      </w:r>
      <w:r w:rsidRPr="00283806">
        <w:rPr>
          <w:spacing w:val="39"/>
          <w:w w:val="105"/>
        </w:rPr>
        <w:t xml:space="preserve"> </w:t>
      </w:r>
      <w:r w:rsidRPr="00283806">
        <w:rPr>
          <w:w w:val="105"/>
        </w:rPr>
        <w:t>Act</w:t>
      </w:r>
      <w:r w:rsidRPr="00283806">
        <w:rPr>
          <w:spacing w:val="39"/>
          <w:w w:val="105"/>
        </w:rPr>
        <w:t xml:space="preserve"> </w:t>
      </w:r>
      <w:r w:rsidRPr="00283806">
        <w:rPr>
          <w:w w:val="105"/>
        </w:rPr>
        <w:t>lists 18 saturated HFCs, and by reference any of their isomers not so listed, which are covered by the statute’s provisions and are referred to as ‘‘regulated</w:t>
      </w:r>
      <w:r w:rsidRPr="00283806">
        <w:rPr>
          <w:spacing w:val="80"/>
          <w:w w:val="105"/>
        </w:rPr>
        <w:t xml:space="preserve"> </w:t>
      </w:r>
      <w:r w:rsidRPr="00283806">
        <w:rPr>
          <w:w w:val="105"/>
        </w:rPr>
        <w:t xml:space="preserve">substances’’ </w:t>
      </w:r>
      <w:r w:rsidRPr="00283806">
        <w:rPr>
          <w:w w:val="105"/>
          <w:position w:val="5"/>
          <w:sz w:val="11"/>
        </w:rPr>
        <w:t>11</w:t>
      </w:r>
      <w:r w:rsidRPr="00283806">
        <w:rPr>
          <w:spacing w:val="40"/>
          <w:w w:val="105"/>
          <w:position w:val="5"/>
          <w:sz w:val="11"/>
        </w:rPr>
        <w:t xml:space="preserve"> </w:t>
      </w:r>
      <w:r w:rsidRPr="00283806">
        <w:rPr>
          <w:w w:val="105"/>
        </w:rPr>
        <w:t xml:space="preserve">under the Act (42 U.S.C. 7675(c)(1)). Congress also assigned an ‘‘exchange value’’ </w:t>
      </w:r>
      <w:r w:rsidRPr="00283806">
        <w:rPr>
          <w:rFonts w:ascii="Times New Roman" w:hAnsi="Times New Roman"/>
          <w:w w:val="105"/>
          <w:position w:val="4"/>
          <w:sz w:val="11"/>
        </w:rPr>
        <w:t>12 13</w:t>
      </w:r>
      <w:r w:rsidRPr="00283806">
        <w:rPr>
          <w:rFonts w:ascii="Times New Roman" w:hAnsi="Times New Roman"/>
          <w:spacing w:val="40"/>
          <w:w w:val="105"/>
          <w:position w:val="4"/>
          <w:sz w:val="11"/>
        </w:rPr>
        <w:t xml:space="preserve"> </w:t>
      </w:r>
      <w:r w:rsidRPr="00283806">
        <w:rPr>
          <w:w w:val="105"/>
        </w:rPr>
        <w:t xml:space="preserve">to each regulated substance. EPA is also authorized to designate additional </w:t>
      </w:r>
      <w:proofErr w:type="gramStart"/>
      <w:r w:rsidRPr="00283806">
        <w:rPr>
          <w:w w:val="105"/>
        </w:rPr>
        <w:t>substances</w:t>
      </w:r>
      <w:proofErr w:type="gramEnd"/>
      <w:r w:rsidRPr="00283806">
        <w:rPr>
          <w:w w:val="105"/>
        </w:rPr>
        <w:t xml:space="preserve"> as</w:t>
      </w:r>
    </w:p>
    <w:p w14:paraId="28308375" w14:textId="77777777" w:rsidR="00D67C1E" w:rsidRPr="00283806" w:rsidRDefault="001265CA">
      <w:pPr>
        <w:pStyle w:val="BodyText"/>
        <w:spacing w:before="4" w:line="228" w:lineRule="auto"/>
      </w:pPr>
      <w:r w:rsidRPr="00283806">
        <w:rPr>
          <w:w w:val="105"/>
        </w:rPr>
        <w:t>regulated substances if they meet certain criteria; for example, to be listed, the substance must be a saturated HFC that has an exchange value greater than 53 (which</w:t>
      </w:r>
      <w:r w:rsidRPr="00283806">
        <w:rPr>
          <w:spacing w:val="40"/>
          <w:w w:val="105"/>
        </w:rPr>
        <w:t xml:space="preserve"> </w:t>
      </w:r>
      <w:r w:rsidRPr="00283806">
        <w:rPr>
          <w:w w:val="105"/>
        </w:rPr>
        <w:t>is</w:t>
      </w:r>
      <w:r w:rsidRPr="00283806">
        <w:rPr>
          <w:spacing w:val="40"/>
          <w:w w:val="105"/>
        </w:rPr>
        <w:t xml:space="preserve"> </w:t>
      </w:r>
      <w:r w:rsidRPr="00283806">
        <w:rPr>
          <w:w w:val="105"/>
        </w:rPr>
        <w:t>also</w:t>
      </w:r>
      <w:r w:rsidRPr="00283806">
        <w:rPr>
          <w:spacing w:val="40"/>
          <w:w w:val="105"/>
        </w:rPr>
        <w:t xml:space="preserve"> </w:t>
      </w:r>
      <w:r w:rsidRPr="00283806">
        <w:rPr>
          <w:w w:val="105"/>
        </w:rPr>
        <w:t>the</w:t>
      </w:r>
      <w:r w:rsidRPr="00283806">
        <w:rPr>
          <w:spacing w:val="40"/>
          <w:w w:val="105"/>
        </w:rPr>
        <w:t xml:space="preserve"> </w:t>
      </w:r>
      <w:r w:rsidRPr="00283806">
        <w:rPr>
          <w:w w:val="105"/>
        </w:rPr>
        <w:t>lowest</w:t>
      </w:r>
      <w:r w:rsidRPr="00283806">
        <w:rPr>
          <w:spacing w:val="40"/>
          <w:w w:val="105"/>
        </w:rPr>
        <w:t xml:space="preserve"> </w:t>
      </w:r>
      <w:r w:rsidRPr="00283806">
        <w:rPr>
          <w:w w:val="105"/>
        </w:rPr>
        <w:t>exchange value for a regulated substance listed in subsection (c)(1) of the Act) (42 U.S.C.</w:t>
      </w:r>
    </w:p>
    <w:p w14:paraId="682FF2D2" w14:textId="77777777" w:rsidR="00D67C1E" w:rsidRPr="00283806" w:rsidRDefault="001265CA">
      <w:pPr>
        <w:pStyle w:val="BodyText"/>
        <w:spacing w:line="185" w:lineRule="exact"/>
      </w:pPr>
      <w:r w:rsidRPr="00283806">
        <w:rPr>
          <w:spacing w:val="-2"/>
        </w:rPr>
        <w:t>7675(c)(3)).</w:t>
      </w:r>
    </w:p>
    <w:p w14:paraId="128361E5" w14:textId="77777777" w:rsidR="00D67C1E" w:rsidRPr="00283806" w:rsidRDefault="001265CA">
      <w:pPr>
        <w:pStyle w:val="BodyText"/>
        <w:spacing w:line="220" w:lineRule="auto"/>
        <w:ind w:right="30" w:firstLine="180"/>
      </w:pPr>
      <w:r w:rsidRPr="00283806">
        <w:rPr>
          <w:w w:val="105"/>
        </w:rPr>
        <w:t>The regulated substances addressed in this rulemaking may be used neat (</w:t>
      </w:r>
      <w:r w:rsidRPr="00283806">
        <w:rPr>
          <w:rFonts w:ascii="Book Antiqua"/>
          <w:i/>
          <w:w w:val="105"/>
        </w:rPr>
        <w:t>i.e.,</w:t>
      </w:r>
      <w:r w:rsidRPr="00283806">
        <w:rPr>
          <w:rFonts w:ascii="Book Antiqua"/>
          <w:i/>
          <w:spacing w:val="80"/>
          <w:w w:val="150"/>
        </w:rPr>
        <w:t xml:space="preserve"> </w:t>
      </w:r>
      <w:r w:rsidRPr="00283806">
        <w:rPr>
          <w:w w:val="105"/>
        </w:rPr>
        <w:t>as a single component substance) or in</w:t>
      </w:r>
    </w:p>
    <w:p w14:paraId="554F4E7B" w14:textId="77777777" w:rsidR="00D67C1E" w:rsidRPr="00283806" w:rsidRDefault="001265CA">
      <w:pPr>
        <w:pStyle w:val="BodyText"/>
        <w:spacing w:before="3" w:line="228" w:lineRule="auto"/>
        <w:ind w:right="78"/>
      </w:pPr>
      <w:r w:rsidRPr="00283806">
        <w:rPr>
          <w:w w:val="105"/>
        </w:rPr>
        <w:t>a blend with other substances, which may include other regulated substances and/or substitutes for regulated substances. The requirements included in this rulemaking for regulated substances apply regardless of whether the regulated substance is used neat or in a blend. In taking this approach, EPA</w:t>
      </w:r>
      <w:r w:rsidRPr="00283806">
        <w:rPr>
          <w:spacing w:val="40"/>
          <w:w w:val="105"/>
        </w:rPr>
        <w:t xml:space="preserve"> </w:t>
      </w:r>
      <w:r w:rsidRPr="00283806">
        <w:rPr>
          <w:w w:val="105"/>
        </w:rPr>
        <w:t>is not concluding that a blend that uses one or more regulated substances is itself a regulated substance. Rather, the Agency is intending to regulate the regulated substance(s) used within a ‘‘blend of substances’’ (42 U.S.C.</w:t>
      </w:r>
    </w:p>
    <w:p w14:paraId="5E8298AD" w14:textId="77777777" w:rsidR="00D67C1E" w:rsidRPr="00283806" w:rsidRDefault="001265CA">
      <w:pPr>
        <w:pStyle w:val="BodyText"/>
        <w:spacing w:line="228" w:lineRule="auto"/>
      </w:pPr>
      <w:r w:rsidRPr="00283806">
        <w:rPr>
          <w:w w:val="105"/>
        </w:rPr>
        <w:t>7675(c)(3)(B)(ii)), such that the requirements applicable to equipment that uses regulated substances also</w:t>
      </w:r>
    </w:p>
    <w:p w14:paraId="53281670" w14:textId="77777777" w:rsidR="00D67C1E" w:rsidRPr="00283806" w:rsidRDefault="001265CA">
      <w:pPr>
        <w:pStyle w:val="BodyText"/>
        <w:spacing w:before="3"/>
        <w:ind w:left="0"/>
        <w:rPr>
          <w:sz w:val="12"/>
        </w:rPr>
      </w:pPr>
      <w:r w:rsidRPr="00283806">
        <w:rPr>
          <w:noProof/>
        </w:rPr>
        <mc:AlternateContent>
          <mc:Choice Requires="wps">
            <w:drawing>
              <wp:anchor distT="0" distB="0" distL="0" distR="0" simplePos="0" relativeHeight="251618304" behindDoc="1" locked="0" layoutInCell="1" allowOverlap="1" wp14:anchorId="01E185F5" wp14:editId="221EE976">
                <wp:simplePos x="0" y="0"/>
                <wp:positionH relativeFrom="page">
                  <wp:posOffset>2819400</wp:posOffset>
                </wp:positionH>
                <wp:positionV relativeFrom="paragraph">
                  <wp:posOffset>107062</wp:posOffset>
                </wp:positionV>
                <wp:extent cx="635000" cy="1270"/>
                <wp:effectExtent l="0" t="0" r="0" b="0"/>
                <wp:wrapTopAndBottom/>
                <wp:docPr id="40" name="Graphic 4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0A9DB5" id="Graphic 40" o:spid="_x0000_s1026" alt="&quot;&quot;" style="position:absolute;margin-left:222pt;margin-top:8.45pt;width:50pt;height:.1pt;z-index:-251698176;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" path="m,l635000,e" filled="f" strokeweight=".5pt">
                <v:path arrowok="t"/>
                <w10:wrap type="topAndBottom" anchorx="page"/>
              </v:shape>
            </w:pict>
          </mc:Fallback>
        </mc:AlternateContent>
      </w:r>
    </w:p>
    <w:p w14:paraId="43F1AE9D" w14:textId="77777777" w:rsidR="00D67C1E" w:rsidRPr="00283806" w:rsidRDefault="001265CA">
      <w:pPr>
        <w:spacing w:before="40" w:line="232" w:lineRule="auto"/>
        <w:ind w:left="160"/>
        <w:rPr>
          <w:sz w:val="14"/>
        </w:rPr>
      </w:pPr>
      <w:r w:rsidRPr="00283806">
        <w:rPr>
          <w:w w:val="105"/>
          <w:sz w:val="14"/>
        </w:rPr>
        <w:t xml:space="preserve">similar terms and when used as nouns </w:t>
      </w:r>
      <w:proofErr w:type="gramStart"/>
      <w:r w:rsidRPr="00283806">
        <w:rPr>
          <w:w w:val="105"/>
          <w:sz w:val="14"/>
        </w:rPr>
        <w:t>uses</w:t>
      </w:r>
      <w:proofErr w:type="gramEnd"/>
      <w:r w:rsidRPr="00283806">
        <w:rPr>
          <w:w w:val="105"/>
          <w:sz w:val="14"/>
        </w:rPr>
        <w:t xml:space="preserve"> them</w:t>
      </w:r>
      <w:r w:rsidRPr="00283806">
        <w:rPr>
          <w:spacing w:val="40"/>
          <w:w w:val="105"/>
          <w:sz w:val="14"/>
        </w:rPr>
        <w:t xml:space="preserve"> </w:t>
      </w:r>
      <w:r w:rsidRPr="00283806">
        <w:rPr>
          <w:w w:val="105"/>
          <w:sz w:val="14"/>
        </w:rPr>
        <w:t>interchangeably in this ER&amp;R action.</w:t>
      </w:r>
    </w:p>
    <w:p w14:paraId="29C49467" w14:textId="77777777" w:rsidR="00D67C1E" w:rsidRPr="00283806" w:rsidRDefault="001265CA">
      <w:pPr>
        <w:spacing w:before="21" w:line="232" w:lineRule="auto"/>
        <w:ind w:left="160" w:firstLine="140"/>
        <w:rPr>
          <w:sz w:val="14"/>
        </w:rPr>
      </w:pPr>
      <w:r w:rsidRPr="00283806">
        <w:rPr>
          <w:w w:val="105"/>
          <w:position w:val="4"/>
          <w:sz w:val="9"/>
        </w:rPr>
        <w:t xml:space="preserve">11 </w:t>
      </w:r>
      <w:r w:rsidRPr="00283806">
        <w:rPr>
          <w:w w:val="105"/>
          <w:sz w:val="14"/>
        </w:rPr>
        <w:t>As noted previously in this action, ‘‘regulated</w:t>
      </w:r>
      <w:r w:rsidRPr="00283806">
        <w:rPr>
          <w:spacing w:val="40"/>
          <w:w w:val="105"/>
          <w:sz w:val="14"/>
        </w:rPr>
        <w:t xml:space="preserve"> </w:t>
      </w:r>
      <w:r w:rsidRPr="00283806">
        <w:rPr>
          <w:w w:val="105"/>
          <w:sz w:val="14"/>
        </w:rPr>
        <w:t>substance’’ and ‘‘HFC’’ are used interchangeably in</w:t>
      </w:r>
      <w:r w:rsidRPr="00283806">
        <w:rPr>
          <w:spacing w:val="40"/>
          <w:w w:val="105"/>
          <w:sz w:val="14"/>
        </w:rPr>
        <w:t xml:space="preserve"> </w:t>
      </w:r>
      <w:r w:rsidRPr="00283806">
        <w:rPr>
          <w:w w:val="105"/>
          <w:sz w:val="14"/>
        </w:rPr>
        <w:t>this ER&amp;R action.</w:t>
      </w:r>
    </w:p>
    <w:p w14:paraId="757E0550" w14:textId="77777777" w:rsidR="00D67C1E" w:rsidRPr="00283806" w:rsidRDefault="001265CA">
      <w:pPr>
        <w:spacing w:before="23" w:line="232" w:lineRule="auto"/>
        <w:ind w:left="160" w:right="78" w:firstLine="140"/>
        <w:rPr>
          <w:sz w:val="14"/>
        </w:rPr>
      </w:pPr>
      <w:r w:rsidRPr="00283806">
        <w:rPr>
          <w:w w:val="105"/>
          <w:position w:val="4"/>
          <w:sz w:val="9"/>
        </w:rPr>
        <w:t xml:space="preserve">12 </w:t>
      </w:r>
      <w:r w:rsidRPr="00283806">
        <w:rPr>
          <w:w w:val="105"/>
          <w:sz w:val="14"/>
        </w:rPr>
        <w:t>EPA has determined that the exchange values</w:t>
      </w:r>
      <w:r w:rsidRPr="00283806">
        <w:rPr>
          <w:spacing w:val="40"/>
          <w:w w:val="105"/>
          <w:sz w:val="14"/>
        </w:rPr>
        <w:t xml:space="preserve"> </w:t>
      </w:r>
      <w:r w:rsidRPr="00283806">
        <w:rPr>
          <w:w w:val="105"/>
          <w:sz w:val="14"/>
        </w:rPr>
        <w:t>included in subsection (c) of the AIM Act are</w:t>
      </w:r>
      <w:r w:rsidRPr="00283806">
        <w:rPr>
          <w:spacing w:val="40"/>
          <w:w w:val="105"/>
          <w:sz w:val="14"/>
        </w:rPr>
        <w:t xml:space="preserve"> </w:t>
      </w:r>
      <w:r w:rsidRPr="00283806">
        <w:rPr>
          <w:w w:val="105"/>
          <w:sz w:val="14"/>
        </w:rPr>
        <w:t>identical to the GWPs included in the</w:t>
      </w:r>
      <w:r w:rsidRPr="00283806">
        <w:rPr>
          <w:spacing w:val="40"/>
          <w:w w:val="105"/>
          <w:sz w:val="14"/>
        </w:rPr>
        <w:t xml:space="preserve"> </w:t>
      </w:r>
      <w:r w:rsidRPr="00283806">
        <w:rPr>
          <w:w w:val="105"/>
          <w:sz w:val="14"/>
        </w:rPr>
        <w:t>Intergovernmental Panel on Climate Change (IPCC)</w:t>
      </w:r>
      <w:r w:rsidRPr="00283806">
        <w:rPr>
          <w:spacing w:val="40"/>
          <w:w w:val="105"/>
          <w:sz w:val="14"/>
        </w:rPr>
        <w:t xml:space="preserve"> </w:t>
      </w:r>
      <w:r w:rsidRPr="00283806">
        <w:rPr>
          <w:w w:val="105"/>
          <w:sz w:val="14"/>
        </w:rPr>
        <w:t>(2007). EPA uses the terms ‘‘global warming</w:t>
      </w:r>
      <w:r w:rsidRPr="00283806">
        <w:rPr>
          <w:spacing w:val="40"/>
          <w:w w:val="105"/>
          <w:sz w:val="14"/>
        </w:rPr>
        <w:t xml:space="preserve"> </w:t>
      </w:r>
      <w:r w:rsidRPr="00283806">
        <w:rPr>
          <w:w w:val="105"/>
          <w:sz w:val="14"/>
        </w:rPr>
        <w:t>potential,’’ ‘‘GWP,’’ and ‘‘exchange value’’</w:t>
      </w:r>
      <w:r w:rsidRPr="00283806">
        <w:rPr>
          <w:spacing w:val="40"/>
          <w:w w:val="105"/>
          <w:sz w:val="14"/>
        </w:rPr>
        <w:t xml:space="preserve"> </w:t>
      </w:r>
      <w:r w:rsidRPr="00283806">
        <w:rPr>
          <w:w w:val="105"/>
          <w:sz w:val="14"/>
        </w:rPr>
        <w:t>interchangeably in this rulemaking.</w:t>
      </w:r>
    </w:p>
    <w:p w14:paraId="7E9EBC5A" w14:textId="77777777" w:rsidR="00D67C1E" w:rsidRPr="00283806" w:rsidRDefault="001265CA">
      <w:pPr>
        <w:spacing w:before="21" w:line="162" w:lineRule="exact"/>
        <w:ind w:left="300"/>
        <w:rPr>
          <w:sz w:val="14"/>
        </w:rPr>
      </w:pPr>
      <w:r w:rsidRPr="00283806">
        <w:rPr>
          <w:w w:val="115"/>
          <w:position w:val="4"/>
          <w:sz w:val="9"/>
        </w:rPr>
        <w:t>13</w:t>
      </w:r>
      <w:r w:rsidRPr="00283806">
        <w:rPr>
          <w:spacing w:val="-6"/>
          <w:w w:val="115"/>
          <w:position w:val="4"/>
          <w:sz w:val="9"/>
        </w:rPr>
        <w:t xml:space="preserve"> </w:t>
      </w:r>
      <w:r w:rsidRPr="00283806">
        <w:rPr>
          <w:w w:val="115"/>
          <w:sz w:val="14"/>
        </w:rPr>
        <w:t>IPCC</w:t>
      </w:r>
      <w:r w:rsidRPr="00283806">
        <w:rPr>
          <w:spacing w:val="-9"/>
          <w:w w:val="115"/>
          <w:sz w:val="14"/>
        </w:rPr>
        <w:t xml:space="preserve"> </w:t>
      </w:r>
      <w:r w:rsidRPr="00283806">
        <w:rPr>
          <w:w w:val="115"/>
          <w:sz w:val="14"/>
        </w:rPr>
        <w:t>(2007):</w:t>
      </w:r>
      <w:r w:rsidRPr="00283806">
        <w:rPr>
          <w:spacing w:val="-9"/>
          <w:w w:val="115"/>
          <w:sz w:val="14"/>
        </w:rPr>
        <w:t xml:space="preserve"> </w:t>
      </w:r>
      <w:r w:rsidRPr="00283806">
        <w:rPr>
          <w:w w:val="115"/>
          <w:sz w:val="14"/>
        </w:rPr>
        <w:t>Solomon,</w:t>
      </w:r>
      <w:r w:rsidRPr="00283806">
        <w:rPr>
          <w:spacing w:val="-9"/>
          <w:w w:val="115"/>
          <w:sz w:val="14"/>
        </w:rPr>
        <w:t xml:space="preserve"> </w:t>
      </w:r>
      <w:r w:rsidRPr="00283806">
        <w:rPr>
          <w:w w:val="115"/>
          <w:sz w:val="14"/>
        </w:rPr>
        <w:t>S.,</w:t>
      </w:r>
      <w:r w:rsidRPr="00283806">
        <w:rPr>
          <w:spacing w:val="-9"/>
          <w:w w:val="115"/>
          <w:sz w:val="14"/>
        </w:rPr>
        <w:t xml:space="preserve"> </w:t>
      </w:r>
      <w:r w:rsidRPr="00283806">
        <w:rPr>
          <w:w w:val="115"/>
          <w:sz w:val="14"/>
        </w:rPr>
        <w:t>D.</w:t>
      </w:r>
      <w:r w:rsidRPr="00283806">
        <w:rPr>
          <w:spacing w:val="-8"/>
          <w:w w:val="115"/>
          <w:sz w:val="14"/>
        </w:rPr>
        <w:t xml:space="preserve"> </w:t>
      </w:r>
      <w:r w:rsidRPr="00283806">
        <w:rPr>
          <w:w w:val="115"/>
          <w:sz w:val="14"/>
        </w:rPr>
        <w:t>Qin,</w:t>
      </w:r>
      <w:r w:rsidRPr="00283806">
        <w:rPr>
          <w:spacing w:val="-9"/>
          <w:w w:val="115"/>
          <w:sz w:val="14"/>
        </w:rPr>
        <w:t xml:space="preserve"> </w:t>
      </w:r>
      <w:r w:rsidRPr="00283806">
        <w:rPr>
          <w:w w:val="115"/>
          <w:sz w:val="14"/>
        </w:rPr>
        <w:t>M.</w:t>
      </w:r>
      <w:r w:rsidRPr="00283806">
        <w:rPr>
          <w:spacing w:val="-8"/>
          <w:w w:val="115"/>
          <w:sz w:val="14"/>
        </w:rPr>
        <w:t xml:space="preserve"> </w:t>
      </w:r>
      <w:r w:rsidRPr="00283806">
        <w:rPr>
          <w:spacing w:val="-2"/>
          <w:w w:val="115"/>
          <w:sz w:val="14"/>
        </w:rPr>
        <w:t>Manning,</w:t>
      </w:r>
    </w:p>
    <w:p w14:paraId="2AACD749" w14:textId="77777777" w:rsidR="00D67C1E" w:rsidRPr="00283806" w:rsidRDefault="001265CA">
      <w:pPr>
        <w:spacing w:before="2" w:line="232" w:lineRule="auto"/>
        <w:ind w:left="160"/>
        <w:rPr>
          <w:sz w:val="14"/>
        </w:rPr>
      </w:pPr>
      <w:r w:rsidRPr="00283806">
        <w:rPr>
          <w:w w:val="115"/>
          <w:sz w:val="14"/>
        </w:rPr>
        <w:t xml:space="preserve">R.B. Alley, T. Berntsen, N.L. </w:t>
      </w:r>
      <w:proofErr w:type="spellStart"/>
      <w:r w:rsidRPr="00283806">
        <w:rPr>
          <w:w w:val="115"/>
          <w:sz w:val="14"/>
        </w:rPr>
        <w:t>Bindoff</w:t>
      </w:r>
      <w:proofErr w:type="spellEnd"/>
      <w:r w:rsidRPr="00283806">
        <w:rPr>
          <w:w w:val="115"/>
          <w:sz w:val="14"/>
        </w:rPr>
        <w:t>, Z. Chen, A.</w:t>
      </w:r>
      <w:r w:rsidRPr="00283806">
        <w:rPr>
          <w:spacing w:val="40"/>
          <w:w w:val="115"/>
          <w:sz w:val="14"/>
        </w:rPr>
        <w:t xml:space="preserve"> </w:t>
      </w:r>
      <w:proofErr w:type="spellStart"/>
      <w:r w:rsidRPr="00283806">
        <w:rPr>
          <w:w w:val="115"/>
          <w:sz w:val="14"/>
        </w:rPr>
        <w:t>Chidthaisong</w:t>
      </w:r>
      <w:proofErr w:type="spellEnd"/>
      <w:r w:rsidRPr="00283806">
        <w:rPr>
          <w:w w:val="115"/>
          <w:sz w:val="14"/>
        </w:rPr>
        <w:t xml:space="preserve">, J.M. Gregory, G.C. </w:t>
      </w:r>
      <w:proofErr w:type="spellStart"/>
      <w:r w:rsidRPr="00283806">
        <w:rPr>
          <w:w w:val="115"/>
          <w:sz w:val="14"/>
        </w:rPr>
        <w:t>Hegerl</w:t>
      </w:r>
      <w:proofErr w:type="spellEnd"/>
      <w:r w:rsidRPr="00283806">
        <w:rPr>
          <w:w w:val="115"/>
          <w:sz w:val="14"/>
        </w:rPr>
        <w:t>, M.</w:t>
      </w:r>
      <w:r w:rsidRPr="00283806">
        <w:rPr>
          <w:spacing w:val="40"/>
          <w:w w:val="115"/>
          <w:sz w:val="14"/>
        </w:rPr>
        <w:t xml:space="preserve"> </w:t>
      </w:r>
      <w:r w:rsidRPr="00283806">
        <w:rPr>
          <w:w w:val="115"/>
          <w:sz w:val="14"/>
        </w:rPr>
        <w:t>Heimann, B. Hewitson, B.J. Hoskins, F. Joos, J.</w:t>
      </w:r>
      <w:r w:rsidRPr="00283806">
        <w:rPr>
          <w:spacing w:val="40"/>
          <w:w w:val="115"/>
          <w:sz w:val="14"/>
        </w:rPr>
        <w:t xml:space="preserve"> </w:t>
      </w:r>
      <w:proofErr w:type="spellStart"/>
      <w:r w:rsidRPr="00283806">
        <w:rPr>
          <w:w w:val="115"/>
          <w:sz w:val="14"/>
        </w:rPr>
        <w:t>Jouzel</w:t>
      </w:r>
      <w:proofErr w:type="spellEnd"/>
      <w:r w:rsidRPr="00283806">
        <w:rPr>
          <w:w w:val="115"/>
          <w:sz w:val="14"/>
        </w:rPr>
        <w:t>, V. Kattsov, U. Lohmann, T. Matsuno, M.</w:t>
      </w:r>
      <w:r w:rsidRPr="00283806">
        <w:rPr>
          <w:spacing w:val="40"/>
          <w:w w:val="115"/>
          <w:sz w:val="14"/>
        </w:rPr>
        <w:t xml:space="preserve"> </w:t>
      </w:r>
      <w:r w:rsidRPr="00283806">
        <w:rPr>
          <w:w w:val="115"/>
          <w:sz w:val="14"/>
        </w:rPr>
        <w:t>Molina, N. Nicholls, J. Overpeck, G. Raga, V.</w:t>
      </w:r>
      <w:r w:rsidRPr="00283806">
        <w:rPr>
          <w:spacing w:val="40"/>
          <w:w w:val="115"/>
          <w:sz w:val="14"/>
        </w:rPr>
        <w:t xml:space="preserve"> </w:t>
      </w:r>
      <w:r w:rsidRPr="00283806">
        <w:rPr>
          <w:w w:val="110"/>
          <w:sz w:val="14"/>
        </w:rPr>
        <w:t>Ramaswamy,</w:t>
      </w:r>
      <w:r w:rsidRPr="00283806">
        <w:rPr>
          <w:spacing w:val="3"/>
          <w:w w:val="110"/>
          <w:sz w:val="14"/>
        </w:rPr>
        <w:t xml:space="preserve"> </w:t>
      </w:r>
      <w:r w:rsidRPr="00283806">
        <w:rPr>
          <w:w w:val="110"/>
          <w:sz w:val="14"/>
        </w:rPr>
        <w:t>J.</w:t>
      </w:r>
      <w:r w:rsidRPr="00283806">
        <w:rPr>
          <w:spacing w:val="3"/>
          <w:w w:val="110"/>
          <w:sz w:val="14"/>
        </w:rPr>
        <w:t xml:space="preserve"> </w:t>
      </w:r>
      <w:r w:rsidRPr="00283806">
        <w:rPr>
          <w:w w:val="110"/>
          <w:sz w:val="14"/>
        </w:rPr>
        <w:t>Ren,</w:t>
      </w:r>
      <w:r w:rsidRPr="00283806">
        <w:rPr>
          <w:spacing w:val="3"/>
          <w:w w:val="110"/>
          <w:sz w:val="14"/>
        </w:rPr>
        <w:t xml:space="preserve"> </w:t>
      </w:r>
      <w:r w:rsidRPr="00283806">
        <w:rPr>
          <w:w w:val="110"/>
          <w:sz w:val="14"/>
        </w:rPr>
        <w:t>M.</w:t>
      </w:r>
      <w:r w:rsidRPr="00283806">
        <w:rPr>
          <w:spacing w:val="4"/>
          <w:w w:val="110"/>
          <w:sz w:val="14"/>
        </w:rPr>
        <w:t xml:space="preserve"> </w:t>
      </w:r>
      <w:proofErr w:type="spellStart"/>
      <w:r w:rsidRPr="00283806">
        <w:rPr>
          <w:w w:val="110"/>
          <w:sz w:val="14"/>
        </w:rPr>
        <w:t>Rusticucci</w:t>
      </w:r>
      <w:proofErr w:type="spellEnd"/>
      <w:r w:rsidRPr="00283806">
        <w:rPr>
          <w:w w:val="110"/>
          <w:sz w:val="14"/>
        </w:rPr>
        <w:t>,</w:t>
      </w:r>
      <w:r w:rsidRPr="00283806">
        <w:rPr>
          <w:spacing w:val="3"/>
          <w:w w:val="110"/>
          <w:sz w:val="14"/>
        </w:rPr>
        <w:t xml:space="preserve"> </w:t>
      </w:r>
      <w:r w:rsidRPr="00283806">
        <w:rPr>
          <w:w w:val="110"/>
          <w:sz w:val="14"/>
        </w:rPr>
        <w:t>R.</w:t>
      </w:r>
      <w:r w:rsidRPr="00283806">
        <w:rPr>
          <w:spacing w:val="3"/>
          <w:w w:val="110"/>
          <w:sz w:val="14"/>
        </w:rPr>
        <w:t xml:space="preserve"> </w:t>
      </w:r>
      <w:r w:rsidRPr="00283806">
        <w:rPr>
          <w:spacing w:val="-2"/>
          <w:w w:val="110"/>
          <w:sz w:val="14"/>
        </w:rPr>
        <w:t>Somerville,</w:t>
      </w:r>
    </w:p>
    <w:p w14:paraId="43CBD879" w14:textId="77777777" w:rsidR="00D67C1E" w:rsidRPr="00283806" w:rsidRDefault="001265CA">
      <w:pPr>
        <w:spacing w:line="232" w:lineRule="auto"/>
        <w:ind w:left="160"/>
        <w:rPr>
          <w:sz w:val="14"/>
        </w:rPr>
      </w:pPr>
      <w:r w:rsidRPr="00283806">
        <w:rPr>
          <w:w w:val="110"/>
          <w:sz w:val="14"/>
        </w:rPr>
        <w:t>T.F.</w:t>
      </w:r>
      <w:r w:rsidRPr="00283806">
        <w:rPr>
          <w:spacing w:val="-1"/>
          <w:w w:val="110"/>
          <w:sz w:val="14"/>
        </w:rPr>
        <w:t xml:space="preserve"> </w:t>
      </w:r>
      <w:r w:rsidRPr="00283806">
        <w:rPr>
          <w:w w:val="110"/>
          <w:sz w:val="14"/>
        </w:rPr>
        <w:t>Stocker,</w:t>
      </w:r>
      <w:r w:rsidRPr="00283806">
        <w:rPr>
          <w:spacing w:val="-1"/>
          <w:w w:val="110"/>
          <w:sz w:val="14"/>
        </w:rPr>
        <w:t xml:space="preserve"> </w:t>
      </w:r>
      <w:r w:rsidRPr="00283806">
        <w:rPr>
          <w:w w:val="110"/>
          <w:sz w:val="14"/>
        </w:rPr>
        <w:t>P.</w:t>
      </w:r>
      <w:r w:rsidRPr="00283806">
        <w:rPr>
          <w:spacing w:val="-1"/>
          <w:w w:val="110"/>
          <w:sz w:val="14"/>
        </w:rPr>
        <w:t xml:space="preserve"> </w:t>
      </w:r>
      <w:r w:rsidRPr="00283806">
        <w:rPr>
          <w:w w:val="110"/>
          <w:sz w:val="14"/>
        </w:rPr>
        <w:t>Whetton,</w:t>
      </w:r>
      <w:r w:rsidRPr="00283806">
        <w:rPr>
          <w:spacing w:val="-1"/>
          <w:w w:val="110"/>
          <w:sz w:val="14"/>
        </w:rPr>
        <w:t xml:space="preserve"> </w:t>
      </w:r>
      <w:r w:rsidRPr="00283806">
        <w:rPr>
          <w:w w:val="110"/>
          <w:sz w:val="14"/>
        </w:rPr>
        <w:t>R.A.</w:t>
      </w:r>
      <w:r w:rsidRPr="00283806">
        <w:rPr>
          <w:spacing w:val="-1"/>
          <w:w w:val="110"/>
          <w:sz w:val="14"/>
        </w:rPr>
        <w:t xml:space="preserve"> </w:t>
      </w:r>
      <w:r w:rsidRPr="00283806">
        <w:rPr>
          <w:w w:val="110"/>
          <w:sz w:val="14"/>
        </w:rPr>
        <w:t>Wood</w:t>
      </w:r>
      <w:r w:rsidRPr="00283806">
        <w:rPr>
          <w:spacing w:val="-1"/>
          <w:w w:val="110"/>
          <w:sz w:val="14"/>
        </w:rPr>
        <w:t xml:space="preserve"> </w:t>
      </w:r>
      <w:r w:rsidRPr="00283806">
        <w:rPr>
          <w:w w:val="110"/>
          <w:sz w:val="14"/>
        </w:rPr>
        <w:t>and</w:t>
      </w:r>
      <w:r w:rsidRPr="00283806">
        <w:rPr>
          <w:spacing w:val="-1"/>
          <w:w w:val="110"/>
          <w:sz w:val="14"/>
        </w:rPr>
        <w:t xml:space="preserve"> </w:t>
      </w:r>
      <w:r w:rsidRPr="00283806">
        <w:rPr>
          <w:w w:val="110"/>
          <w:sz w:val="14"/>
        </w:rPr>
        <w:t>D.</w:t>
      </w:r>
      <w:r w:rsidRPr="00283806">
        <w:rPr>
          <w:spacing w:val="-1"/>
          <w:w w:val="110"/>
          <w:sz w:val="14"/>
        </w:rPr>
        <w:t xml:space="preserve"> </w:t>
      </w:r>
      <w:proofErr w:type="spellStart"/>
      <w:r w:rsidRPr="00283806">
        <w:rPr>
          <w:w w:val="110"/>
          <w:sz w:val="14"/>
        </w:rPr>
        <w:t>Wratt</w:t>
      </w:r>
      <w:proofErr w:type="spellEnd"/>
      <w:r w:rsidRPr="00283806">
        <w:rPr>
          <w:w w:val="110"/>
          <w:sz w:val="14"/>
        </w:rPr>
        <w:t>,</w:t>
      </w:r>
      <w:r w:rsidRPr="00283806">
        <w:rPr>
          <w:spacing w:val="40"/>
          <w:w w:val="110"/>
          <w:sz w:val="14"/>
        </w:rPr>
        <w:t xml:space="preserve"> </w:t>
      </w:r>
      <w:r w:rsidRPr="00283806">
        <w:rPr>
          <w:w w:val="110"/>
          <w:sz w:val="14"/>
        </w:rPr>
        <w:t>2007: Technical Summary. In: Climate Change</w:t>
      </w:r>
      <w:r w:rsidRPr="00283806">
        <w:rPr>
          <w:spacing w:val="40"/>
          <w:w w:val="110"/>
          <w:sz w:val="14"/>
        </w:rPr>
        <w:t xml:space="preserve"> </w:t>
      </w:r>
      <w:r w:rsidRPr="00283806">
        <w:rPr>
          <w:w w:val="110"/>
          <w:sz w:val="14"/>
        </w:rPr>
        <w:t>2007:</w:t>
      </w:r>
      <w:r w:rsidRPr="00283806">
        <w:rPr>
          <w:spacing w:val="-3"/>
          <w:w w:val="110"/>
          <w:sz w:val="14"/>
        </w:rPr>
        <w:t xml:space="preserve"> </w:t>
      </w:r>
      <w:r w:rsidRPr="00283806">
        <w:rPr>
          <w:w w:val="110"/>
          <w:sz w:val="14"/>
        </w:rPr>
        <w:t>The</w:t>
      </w:r>
      <w:r w:rsidRPr="00283806">
        <w:rPr>
          <w:spacing w:val="-3"/>
          <w:w w:val="110"/>
          <w:sz w:val="14"/>
        </w:rPr>
        <w:t xml:space="preserve"> </w:t>
      </w:r>
      <w:r w:rsidRPr="00283806">
        <w:rPr>
          <w:w w:val="110"/>
          <w:sz w:val="14"/>
        </w:rPr>
        <w:t>Physical</w:t>
      </w:r>
      <w:r w:rsidRPr="00283806">
        <w:rPr>
          <w:spacing w:val="-3"/>
          <w:w w:val="110"/>
          <w:sz w:val="14"/>
        </w:rPr>
        <w:t xml:space="preserve"> </w:t>
      </w:r>
      <w:r w:rsidRPr="00283806">
        <w:rPr>
          <w:w w:val="110"/>
          <w:sz w:val="14"/>
        </w:rPr>
        <w:t>Science</w:t>
      </w:r>
      <w:r w:rsidRPr="00283806">
        <w:rPr>
          <w:spacing w:val="-3"/>
          <w:w w:val="110"/>
          <w:sz w:val="14"/>
        </w:rPr>
        <w:t xml:space="preserve"> </w:t>
      </w:r>
      <w:r w:rsidRPr="00283806">
        <w:rPr>
          <w:w w:val="110"/>
          <w:sz w:val="14"/>
        </w:rPr>
        <w:t>Basis.</w:t>
      </w:r>
      <w:r w:rsidRPr="00283806">
        <w:rPr>
          <w:spacing w:val="-3"/>
          <w:w w:val="110"/>
          <w:sz w:val="14"/>
        </w:rPr>
        <w:t xml:space="preserve"> </w:t>
      </w:r>
      <w:r w:rsidRPr="00283806">
        <w:rPr>
          <w:w w:val="110"/>
          <w:sz w:val="14"/>
        </w:rPr>
        <w:t>Contribution</w:t>
      </w:r>
      <w:r w:rsidRPr="00283806">
        <w:rPr>
          <w:spacing w:val="-3"/>
          <w:w w:val="110"/>
          <w:sz w:val="14"/>
        </w:rPr>
        <w:t xml:space="preserve"> </w:t>
      </w:r>
      <w:r w:rsidRPr="00283806">
        <w:rPr>
          <w:w w:val="110"/>
          <w:sz w:val="14"/>
        </w:rPr>
        <w:t>of</w:t>
      </w:r>
    </w:p>
    <w:p w14:paraId="7E3C6256" w14:textId="77777777" w:rsidR="00D67C1E" w:rsidRPr="00283806" w:rsidRDefault="001265CA">
      <w:pPr>
        <w:pStyle w:val="BodyText"/>
        <w:spacing w:before="135" w:line="225" w:lineRule="auto"/>
        <w:ind w:left="143" w:right="132"/>
      </w:pPr>
      <w:r w:rsidRPr="00283806">
        <w:br w:type="column"/>
      </w:r>
      <w:r w:rsidRPr="00283806">
        <w:rPr>
          <w:w w:val="105"/>
        </w:rPr>
        <w:t>affect equipment that uses regulated substances in blends. This is consistent with approaches that the Agency has taken under the Allocation Framework Rule</w:t>
      </w:r>
      <w:r w:rsidRPr="00283806">
        <w:rPr>
          <w:spacing w:val="3"/>
          <w:w w:val="105"/>
        </w:rPr>
        <w:t xml:space="preserve"> </w:t>
      </w:r>
      <w:r w:rsidRPr="00283806">
        <w:rPr>
          <w:w w:val="105"/>
        </w:rPr>
        <w:t>(86</w:t>
      </w:r>
      <w:r w:rsidRPr="00283806">
        <w:rPr>
          <w:spacing w:val="3"/>
          <w:w w:val="105"/>
        </w:rPr>
        <w:t xml:space="preserve"> </w:t>
      </w:r>
      <w:r w:rsidRPr="00283806">
        <w:rPr>
          <w:w w:val="105"/>
        </w:rPr>
        <w:t>FR</w:t>
      </w:r>
      <w:r w:rsidRPr="00283806">
        <w:rPr>
          <w:spacing w:val="3"/>
          <w:w w:val="105"/>
        </w:rPr>
        <w:t xml:space="preserve"> </w:t>
      </w:r>
      <w:r w:rsidRPr="00283806">
        <w:rPr>
          <w:w w:val="105"/>
        </w:rPr>
        <w:t>55116,</w:t>
      </w:r>
      <w:r w:rsidRPr="00283806">
        <w:rPr>
          <w:spacing w:val="3"/>
          <w:w w:val="105"/>
        </w:rPr>
        <w:t xml:space="preserve"> </w:t>
      </w:r>
      <w:r w:rsidRPr="00283806">
        <w:rPr>
          <w:w w:val="105"/>
        </w:rPr>
        <w:t>October</w:t>
      </w:r>
      <w:r w:rsidRPr="00283806">
        <w:rPr>
          <w:spacing w:val="3"/>
          <w:w w:val="105"/>
        </w:rPr>
        <w:t xml:space="preserve"> </w:t>
      </w:r>
      <w:r w:rsidRPr="00283806">
        <w:rPr>
          <w:w w:val="105"/>
        </w:rPr>
        <w:t>5,</w:t>
      </w:r>
      <w:r w:rsidRPr="00283806">
        <w:rPr>
          <w:spacing w:val="3"/>
          <w:w w:val="105"/>
        </w:rPr>
        <w:t xml:space="preserve"> </w:t>
      </w:r>
      <w:r w:rsidRPr="00283806">
        <w:rPr>
          <w:w w:val="105"/>
        </w:rPr>
        <w:t>2021),</w:t>
      </w:r>
      <w:r w:rsidRPr="00283806">
        <w:rPr>
          <w:spacing w:val="3"/>
          <w:w w:val="105"/>
        </w:rPr>
        <w:t xml:space="preserve"> </w:t>
      </w:r>
      <w:r w:rsidRPr="00283806">
        <w:rPr>
          <w:spacing w:val="-5"/>
          <w:w w:val="105"/>
        </w:rPr>
        <w:t>the</w:t>
      </w:r>
    </w:p>
    <w:p w14:paraId="6D9568E9" w14:textId="77777777" w:rsidR="00D67C1E" w:rsidRPr="00283806" w:rsidRDefault="001265CA">
      <w:pPr>
        <w:pStyle w:val="BodyText"/>
        <w:spacing w:line="192" w:lineRule="exact"/>
        <w:ind w:left="143"/>
      </w:pPr>
      <w:r w:rsidRPr="00283806">
        <w:t>2024</w:t>
      </w:r>
      <w:r w:rsidRPr="00283806">
        <w:rPr>
          <w:spacing w:val="32"/>
        </w:rPr>
        <w:t xml:space="preserve"> </w:t>
      </w:r>
      <w:r w:rsidRPr="00283806">
        <w:t>Allocation</w:t>
      </w:r>
      <w:r w:rsidRPr="00283806">
        <w:rPr>
          <w:spacing w:val="32"/>
        </w:rPr>
        <w:t xml:space="preserve"> </w:t>
      </w:r>
      <w:r w:rsidRPr="00283806">
        <w:t>Rule</w:t>
      </w:r>
      <w:r w:rsidRPr="00283806">
        <w:rPr>
          <w:spacing w:val="33"/>
        </w:rPr>
        <w:t xml:space="preserve"> </w:t>
      </w:r>
      <w:r w:rsidRPr="00283806">
        <w:t>(88</w:t>
      </w:r>
      <w:r w:rsidRPr="00283806">
        <w:rPr>
          <w:spacing w:val="32"/>
        </w:rPr>
        <w:t xml:space="preserve"> </w:t>
      </w:r>
      <w:r w:rsidRPr="00283806">
        <w:t>FR</w:t>
      </w:r>
      <w:r w:rsidRPr="00283806">
        <w:rPr>
          <w:spacing w:val="33"/>
        </w:rPr>
        <w:t xml:space="preserve"> </w:t>
      </w:r>
      <w:r w:rsidRPr="00283806">
        <w:t>46836,</w:t>
      </w:r>
      <w:r w:rsidRPr="00283806">
        <w:rPr>
          <w:spacing w:val="32"/>
        </w:rPr>
        <w:t xml:space="preserve"> </w:t>
      </w:r>
      <w:r w:rsidRPr="00283806">
        <w:rPr>
          <w:spacing w:val="-4"/>
        </w:rPr>
        <w:t>July</w:t>
      </w:r>
    </w:p>
    <w:p w14:paraId="17E6B399" w14:textId="77777777" w:rsidR="00D67C1E" w:rsidRPr="00283806" w:rsidRDefault="001265CA">
      <w:pPr>
        <w:pStyle w:val="BodyText"/>
        <w:spacing w:line="198" w:lineRule="exact"/>
        <w:ind w:left="143"/>
      </w:pPr>
      <w:r w:rsidRPr="00283806">
        <w:rPr>
          <w:w w:val="105"/>
        </w:rPr>
        <w:t>20,</w:t>
      </w:r>
      <w:r w:rsidRPr="00283806">
        <w:rPr>
          <w:spacing w:val="-1"/>
          <w:w w:val="105"/>
        </w:rPr>
        <w:t xml:space="preserve"> </w:t>
      </w:r>
      <w:r w:rsidRPr="00283806">
        <w:rPr>
          <w:w w:val="105"/>
        </w:rPr>
        <w:t>2023), and</w:t>
      </w:r>
      <w:r w:rsidRPr="00283806">
        <w:rPr>
          <w:spacing w:val="-1"/>
          <w:w w:val="105"/>
        </w:rPr>
        <w:t xml:space="preserve"> </w:t>
      </w:r>
      <w:r w:rsidRPr="00283806">
        <w:rPr>
          <w:w w:val="105"/>
        </w:rPr>
        <w:t xml:space="preserve">the 2023 </w:t>
      </w:r>
      <w:r w:rsidRPr="00283806">
        <w:rPr>
          <w:spacing w:val="-2"/>
          <w:w w:val="105"/>
        </w:rPr>
        <w:t>Technology</w:t>
      </w:r>
    </w:p>
    <w:p w14:paraId="0884BF4A" w14:textId="77777777" w:rsidR="00D67C1E" w:rsidRPr="00283806" w:rsidRDefault="001265CA">
      <w:pPr>
        <w:pStyle w:val="BodyText"/>
        <w:spacing w:line="198" w:lineRule="exact"/>
        <w:ind w:left="143"/>
      </w:pPr>
      <w:r w:rsidRPr="00283806">
        <w:rPr>
          <w:w w:val="105"/>
        </w:rPr>
        <w:t>Transitions</w:t>
      </w:r>
      <w:r w:rsidRPr="00283806">
        <w:rPr>
          <w:spacing w:val="6"/>
          <w:w w:val="105"/>
        </w:rPr>
        <w:t xml:space="preserve"> </w:t>
      </w:r>
      <w:r w:rsidRPr="00283806">
        <w:rPr>
          <w:w w:val="105"/>
        </w:rPr>
        <w:t>Rule</w:t>
      </w:r>
      <w:r w:rsidRPr="00283806">
        <w:rPr>
          <w:spacing w:val="6"/>
          <w:w w:val="105"/>
        </w:rPr>
        <w:t xml:space="preserve"> </w:t>
      </w:r>
      <w:r w:rsidRPr="00283806">
        <w:rPr>
          <w:w w:val="105"/>
        </w:rPr>
        <w:t>(88</w:t>
      </w:r>
      <w:r w:rsidRPr="00283806">
        <w:rPr>
          <w:spacing w:val="6"/>
          <w:w w:val="105"/>
        </w:rPr>
        <w:t xml:space="preserve"> </w:t>
      </w:r>
      <w:r w:rsidRPr="00283806">
        <w:rPr>
          <w:w w:val="105"/>
        </w:rPr>
        <w:t>FR</w:t>
      </w:r>
      <w:r w:rsidRPr="00283806">
        <w:rPr>
          <w:spacing w:val="6"/>
          <w:w w:val="105"/>
        </w:rPr>
        <w:t xml:space="preserve"> </w:t>
      </w:r>
      <w:r w:rsidRPr="00283806">
        <w:rPr>
          <w:w w:val="105"/>
        </w:rPr>
        <w:t>73098,</w:t>
      </w:r>
      <w:r w:rsidRPr="00283806">
        <w:rPr>
          <w:spacing w:val="6"/>
          <w:w w:val="105"/>
        </w:rPr>
        <w:t xml:space="preserve"> </w:t>
      </w:r>
      <w:r w:rsidRPr="00283806">
        <w:rPr>
          <w:spacing w:val="-2"/>
          <w:w w:val="105"/>
        </w:rPr>
        <w:t>October</w:t>
      </w:r>
    </w:p>
    <w:p w14:paraId="67AB3107" w14:textId="77777777" w:rsidR="00D67C1E" w:rsidRPr="00283806" w:rsidRDefault="001265CA">
      <w:pPr>
        <w:pStyle w:val="BodyText"/>
        <w:spacing w:before="4" w:line="225" w:lineRule="auto"/>
        <w:ind w:left="143"/>
      </w:pPr>
      <w:r w:rsidRPr="00283806">
        <w:rPr>
          <w:w w:val="105"/>
        </w:rPr>
        <w:t>24, 2023).</w:t>
      </w:r>
      <w:r w:rsidRPr="00283806">
        <w:rPr>
          <w:w w:val="105"/>
          <w:position w:val="5"/>
          <w:sz w:val="11"/>
        </w:rPr>
        <w:t>14</w:t>
      </w:r>
      <w:r w:rsidRPr="00283806">
        <w:rPr>
          <w:spacing w:val="40"/>
          <w:w w:val="105"/>
          <w:position w:val="5"/>
          <w:sz w:val="11"/>
        </w:rPr>
        <w:t xml:space="preserve"> </w:t>
      </w:r>
      <w:r w:rsidRPr="00283806">
        <w:rPr>
          <w:w w:val="105"/>
        </w:rPr>
        <w:t>Furthermore, subsection (h)(1) requires EPA to promulgate regulations addressing certain practices, processes, or activities involving, among other things, a regulated substance or a substitute for a regulated substance (42</w:t>
      </w:r>
    </w:p>
    <w:p w14:paraId="2D84CDC2" w14:textId="77777777" w:rsidR="00D67C1E" w:rsidRPr="00283806" w:rsidRDefault="001265CA">
      <w:pPr>
        <w:pStyle w:val="BodyText"/>
        <w:spacing w:line="192" w:lineRule="exact"/>
        <w:ind w:left="143"/>
      </w:pPr>
      <w:r w:rsidRPr="00283806">
        <w:t>U.S.C.</w:t>
      </w:r>
      <w:r w:rsidRPr="00283806">
        <w:rPr>
          <w:spacing w:val="51"/>
        </w:rPr>
        <w:t xml:space="preserve"> </w:t>
      </w:r>
      <w:r w:rsidRPr="00283806">
        <w:t>7675(h)(1)(A)–(B)).</w:t>
      </w:r>
      <w:r w:rsidRPr="00283806">
        <w:rPr>
          <w:spacing w:val="51"/>
        </w:rPr>
        <w:t xml:space="preserve"> </w:t>
      </w:r>
      <w:r w:rsidRPr="00283806">
        <w:rPr>
          <w:spacing w:val="-2"/>
        </w:rPr>
        <w:t>Consistent</w:t>
      </w:r>
    </w:p>
    <w:p w14:paraId="5AD65AC0" w14:textId="77777777" w:rsidR="00D67C1E" w:rsidRPr="00283806" w:rsidRDefault="001265CA">
      <w:pPr>
        <w:pStyle w:val="BodyText"/>
        <w:spacing w:before="4" w:line="225" w:lineRule="auto"/>
        <w:ind w:left="143" w:right="180"/>
      </w:pPr>
      <w:proofErr w:type="gramStart"/>
      <w:r w:rsidRPr="00283806">
        <w:rPr>
          <w:w w:val="105"/>
        </w:rPr>
        <w:t>with</w:t>
      </w:r>
      <w:proofErr w:type="gramEnd"/>
      <w:r w:rsidRPr="00283806">
        <w:rPr>
          <w:w w:val="105"/>
        </w:rPr>
        <w:t xml:space="preserve"> those provisions, regulatory requirements under subsection (h) may also apply with respect to substitutes for regulated substances, regardless of whether the substitute is used neat or in</w:t>
      </w:r>
      <w:r w:rsidRPr="00283806">
        <w:rPr>
          <w:spacing w:val="40"/>
          <w:w w:val="105"/>
        </w:rPr>
        <w:t xml:space="preserve"> </w:t>
      </w:r>
      <w:r w:rsidRPr="00283806">
        <w:rPr>
          <w:w w:val="105"/>
        </w:rPr>
        <w:t>a blend. In taking this approach for substitutes for a regulated substance,</w:t>
      </w:r>
      <w:r w:rsidRPr="00283806">
        <w:rPr>
          <w:spacing w:val="40"/>
          <w:w w:val="105"/>
        </w:rPr>
        <w:t xml:space="preserve"> </w:t>
      </w:r>
      <w:r w:rsidRPr="00283806">
        <w:rPr>
          <w:w w:val="105"/>
        </w:rPr>
        <w:t>EPA is not concluding that a blend that uses one or more such substitutes that are so regulated is itself a regulated substance under subsection (c) of the</w:t>
      </w:r>
      <w:r w:rsidRPr="00283806">
        <w:rPr>
          <w:spacing w:val="40"/>
          <w:w w:val="105"/>
        </w:rPr>
        <w:t xml:space="preserve"> </w:t>
      </w:r>
      <w:r w:rsidRPr="00283806">
        <w:rPr>
          <w:w w:val="105"/>
        </w:rPr>
        <w:t>Act, nor is EPA designating the</w:t>
      </w:r>
      <w:r w:rsidRPr="00283806">
        <w:rPr>
          <w:spacing w:val="80"/>
          <w:w w:val="105"/>
        </w:rPr>
        <w:t xml:space="preserve"> </w:t>
      </w:r>
      <w:r w:rsidRPr="00283806">
        <w:rPr>
          <w:w w:val="105"/>
        </w:rPr>
        <w:t xml:space="preserve">substitute a regulated substance under subsection (c) of the Act. Rather, such substitutes are simply addressed, as </w:t>
      </w:r>
      <w:proofErr w:type="gramStart"/>
      <w:r w:rsidRPr="00283806">
        <w:rPr>
          <w:w w:val="105"/>
        </w:rPr>
        <w:t>appropriate</w:t>
      </w:r>
      <w:proofErr w:type="gramEnd"/>
      <w:r w:rsidRPr="00283806">
        <w:rPr>
          <w:w w:val="105"/>
        </w:rPr>
        <w:t>, under EPA’s authority to promulgate regulations under</w:t>
      </w:r>
      <w:r w:rsidRPr="00283806">
        <w:rPr>
          <w:spacing w:val="80"/>
          <w:w w:val="105"/>
        </w:rPr>
        <w:t xml:space="preserve"> </w:t>
      </w:r>
      <w:r w:rsidRPr="00283806">
        <w:rPr>
          <w:w w:val="105"/>
        </w:rPr>
        <w:t>subsection (h) for certain practices, processes, or activities that involve a substitute for a regulated substance.</w:t>
      </w:r>
    </w:p>
    <w:p w14:paraId="6C645855" w14:textId="77777777" w:rsidR="00D67C1E" w:rsidRPr="00283806" w:rsidRDefault="001265CA">
      <w:pPr>
        <w:pStyle w:val="BodyText"/>
        <w:spacing w:line="173" w:lineRule="exact"/>
        <w:ind w:left="323"/>
      </w:pPr>
      <w:r w:rsidRPr="00283806">
        <w:rPr>
          <w:w w:val="110"/>
        </w:rPr>
        <w:t>Subsection</w:t>
      </w:r>
      <w:r w:rsidRPr="00283806">
        <w:rPr>
          <w:spacing w:val="-1"/>
          <w:w w:val="110"/>
        </w:rPr>
        <w:t xml:space="preserve"> </w:t>
      </w:r>
      <w:r w:rsidRPr="00283806">
        <w:rPr>
          <w:w w:val="110"/>
        </w:rPr>
        <w:t>(h)</w:t>
      </w:r>
      <w:r w:rsidRPr="00283806">
        <w:rPr>
          <w:spacing w:val="-1"/>
          <w:w w:val="110"/>
        </w:rPr>
        <w:t xml:space="preserve"> </w:t>
      </w:r>
      <w:r w:rsidRPr="00283806">
        <w:rPr>
          <w:w w:val="110"/>
        </w:rPr>
        <w:t>of</w:t>
      </w:r>
      <w:r w:rsidRPr="00283806">
        <w:rPr>
          <w:spacing w:val="-1"/>
          <w:w w:val="110"/>
        </w:rPr>
        <w:t xml:space="preserve"> </w:t>
      </w:r>
      <w:r w:rsidRPr="00283806">
        <w:rPr>
          <w:w w:val="110"/>
        </w:rPr>
        <w:t>the</w:t>
      </w:r>
      <w:r w:rsidRPr="00283806">
        <w:rPr>
          <w:spacing w:val="-1"/>
          <w:w w:val="110"/>
        </w:rPr>
        <w:t xml:space="preserve"> </w:t>
      </w:r>
      <w:r w:rsidRPr="00283806">
        <w:rPr>
          <w:w w:val="110"/>
        </w:rPr>
        <w:t>AIM Act</w:t>
      </w:r>
      <w:r w:rsidRPr="00283806">
        <w:rPr>
          <w:spacing w:val="-1"/>
          <w:w w:val="110"/>
        </w:rPr>
        <w:t xml:space="preserve"> </w:t>
      </w:r>
      <w:r w:rsidRPr="00283806">
        <w:rPr>
          <w:w w:val="110"/>
        </w:rPr>
        <w:t>is</w:t>
      </w:r>
      <w:r w:rsidRPr="00283806">
        <w:rPr>
          <w:spacing w:val="-1"/>
          <w:w w:val="110"/>
        </w:rPr>
        <w:t xml:space="preserve"> </w:t>
      </w:r>
      <w:r w:rsidRPr="00283806">
        <w:rPr>
          <w:spacing w:val="-2"/>
          <w:w w:val="110"/>
        </w:rPr>
        <w:t>titled</w:t>
      </w:r>
    </w:p>
    <w:p w14:paraId="609D93E3" w14:textId="77777777" w:rsidR="00D67C1E" w:rsidRPr="00283806" w:rsidRDefault="001265CA">
      <w:pPr>
        <w:pStyle w:val="BodyText"/>
        <w:spacing w:before="4" w:line="225" w:lineRule="auto"/>
        <w:ind w:left="143" w:right="136"/>
      </w:pPr>
      <w:r w:rsidRPr="00283806">
        <w:rPr>
          <w:w w:val="105"/>
        </w:rPr>
        <w:t>‘‘Management of Regulated Substances.’’ For purposes of maximizing reclaiming and minimizing releases of HFCs from equipment and ensuring the safety of technicians and consumers, subsection (h)(1) directs EPA to promulgate regulations to control, where</w:t>
      </w:r>
      <w:r w:rsidRPr="00283806">
        <w:rPr>
          <w:spacing w:val="40"/>
          <w:w w:val="105"/>
        </w:rPr>
        <w:t xml:space="preserve"> </w:t>
      </w:r>
      <w:r w:rsidRPr="00283806">
        <w:rPr>
          <w:w w:val="105"/>
        </w:rPr>
        <w:t>appropriate, any practice, process, or activity regarding the servicing, repair, disposal, or installation of equipment</w:t>
      </w:r>
      <w:r w:rsidRPr="00283806">
        <w:rPr>
          <w:spacing w:val="40"/>
          <w:w w:val="105"/>
        </w:rPr>
        <w:t xml:space="preserve"> </w:t>
      </w:r>
      <w:r w:rsidRPr="00283806">
        <w:rPr>
          <w:w w:val="105"/>
        </w:rPr>
        <w:t>that involves a regulated substance, a substitute for a regulated substance, the reclaiming of a regulated substance used as a refrigerant, or the reclaiming of a substitute for a regulated substance used as a refrigerant (42 U.S.C. 7675(h)(1)).</w:t>
      </w:r>
    </w:p>
    <w:p w14:paraId="183F5198" w14:textId="77777777" w:rsidR="00D67C1E" w:rsidRPr="00283806" w:rsidRDefault="001265CA">
      <w:pPr>
        <w:pStyle w:val="BodyText"/>
        <w:spacing w:line="228" w:lineRule="auto"/>
        <w:ind w:left="143" w:right="153"/>
      </w:pPr>
      <w:r w:rsidRPr="00283806">
        <w:rPr>
          <w:w w:val="105"/>
        </w:rPr>
        <w:t xml:space="preserve">Subsection (h)(1) further provides that this includes requiring, where appropriate, that any such </w:t>
      </w:r>
      <w:proofErr w:type="gramStart"/>
      <w:r w:rsidRPr="00283806">
        <w:rPr>
          <w:w w:val="105"/>
        </w:rPr>
        <w:t>servicing</w:t>
      </w:r>
      <w:proofErr w:type="gramEnd"/>
      <w:r w:rsidRPr="00283806">
        <w:rPr>
          <w:w w:val="105"/>
        </w:rPr>
        <w:t>, repair, disposal, or installation be performed by a trained technician meeting minimum standards, as determined by EPA. The phrase ‘‘where appropriate’’ in subsection (h)(1) provides EPA discretion to reasonably determine how the regulations under</w:t>
      </w:r>
    </w:p>
    <w:p w14:paraId="5029FDCC"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497" w:space="43"/>
            <w:col w:w="3517" w:space="40"/>
            <w:col w:w="3623"/>
          </w:cols>
        </w:sectPr>
      </w:pPr>
    </w:p>
    <w:p w14:paraId="75FA632F" w14:textId="77777777" w:rsidR="00D67C1E" w:rsidRPr="00283806" w:rsidRDefault="001265CA">
      <w:pPr>
        <w:pStyle w:val="BodyText"/>
        <w:spacing w:line="146" w:lineRule="exact"/>
      </w:pPr>
      <w:r w:rsidRPr="00283806">
        <w:rPr>
          <w:w w:val="105"/>
        </w:rPr>
        <w:t>the</w:t>
      </w:r>
      <w:r w:rsidRPr="00283806">
        <w:rPr>
          <w:spacing w:val="2"/>
          <w:w w:val="105"/>
        </w:rPr>
        <w:t xml:space="preserve"> </w:t>
      </w:r>
      <w:r w:rsidRPr="00283806">
        <w:rPr>
          <w:w w:val="105"/>
        </w:rPr>
        <w:t>third</w:t>
      </w:r>
      <w:r w:rsidRPr="00283806">
        <w:rPr>
          <w:spacing w:val="3"/>
          <w:w w:val="105"/>
        </w:rPr>
        <w:t xml:space="preserve"> </w:t>
      </w:r>
      <w:r w:rsidRPr="00283806">
        <w:rPr>
          <w:w w:val="105"/>
        </w:rPr>
        <w:t>area—establishing</w:t>
      </w:r>
      <w:r w:rsidRPr="00283806">
        <w:rPr>
          <w:spacing w:val="2"/>
          <w:w w:val="105"/>
        </w:rPr>
        <w:t xml:space="preserve"> </w:t>
      </w:r>
      <w:r w:rsidRPr="00283806">
        <w:rPr>
          <w:spacing w:val="-2"/>
          <w:w w:val="105"/>
        </w:rPr>
        <w:t>certain</w:t>
      </w:r>
    </w:p>
    <w:p w14:paraId="21BBE761" w14:textId="77777777" w:rsidR="00D67C1E" w:rsidRPr="00283806" w:rsidRDefault="001265CA">
      <w:pPr>
        <w:tabs>
          <w:tab w:val="left" w:pos="3699"/>
          <w:tab w:val="left" w:pos="4699"/>
        </w:tabs>
        <w:spacing w:before="3" w:line="143" w:lineRule="exact"/>
        <w:ind w:left="160"/>
        <w:rPr>
          <w:sz w:val="14"/>
        </w:rPr>
      </w:pPr>
      <w:r w:rsidRPr="00283806">
        <w:br w:type="column"/>
      </w:r>
      <w:r w:rsidRPr="00283806">
        <w:rPr>
          <w:w w:val="105"/>
          <w:sz w:val="14"/>
        </w:rPr>
        <w:t>Working</w:t>
      </w:r>
      <w:r w:rsidRPr="00283806">
        <w:rPr>
          <w:spacing w:val="8"/>
          <w:w w:val="105"/>
          <w:sz w:val="14"/>
        </w:rPr>
        <w:t xml:space="preserve"> </w:t>
      </w:r>
      <w:r w:rsidRPr="00283806">
        <w:rPr>
          <w:w w:val="105"/>
          <w:sz w:val="14"/>
        </w:rPr>
        <w:t>Group</w:t>
      </w:r>
      <w:r w:rsidRPr="00283806">
        <w:rPr>
          <w:spacing w:val="8"/>
          <w:w w:val="105"/>
          <w:sz w:val="14"/>
        </w:rPr>
        <w:t xml:space="preserve"> </w:t>
      </w:r>
      <w:r w:rsidRPr="00283806">
        <w:rPr>
          <w:w w:val="105"/>
          <w:sz w:val="14"/>
        </w:rPr>
        <w:t>I</w:t>
      </w:r>
      <w:r w:rsidRPr="00283806">
        <w:rPr>
          <w:spacing w:val="9"/>
          <w:w w:val="105"/>
          <w:sz w:val="14"/>
        </w:rPr>
        <w:t xml:space="preserve"> </w:t>
      </w:r>
      <w:r w:rsidRPr="00283806">
        <w:rPr>
          <w:w w:val="105"/>
          <w:sz w:val="14"/>
        </w:rPr>
        <w:t>to</w:t>
      </w:r>
      <w:r w:rsidRPr="00283806">
        <w:rPr>
          <w:spacing w:val="8"/>
          <w:w w:val="105"/>
          <w:sz w:val="14"/>
        </w:rPr>
        <w:t xml:space="preserve"> </w:t>
      </w:r>
      <w:r w:rsidRPr="00283806">
        <w:rPr>
          <w:w w:val="105"/>
          <w:sz w:val="14"/>
        </w:rPr>
        <w:t>the</w:t>
      </w:r>
      <w:r w:rsidRPr="00283806">
        <w:rPr>
          <w:spacing w:val="9"/>
          <w:w w:val="105"/>
          <w:sz w:val="14"/>
        </w:rPr>
        <w:t xml:space="preserve"> </w:t>
      </w:r>
      <w:r w:rsidRPr="00283806">
        <w:rPr>
          <w:w w:val="105"/>
          <w:sz w:val="14"/>
        </w:rPr>
        <w:t>Fourth</w:t>
      </w:r>
      <w:r w:rsidRPr="00283806">
        <w:rPr>
          <w:spacing w:val="8"/>
          <w:w w:val="105"/>
          <w:sz w:val="14"/>
        </w:rPr>
        <w:t xml:space="preserve"> </w:t>
      </w:r>
      <w:r w:rsidRPr="00283806">
        <w:rPr>
          <w:w w:val="105"/>
          <w:sz w:val="14"/>
        </w:rPr>
        <w:t>Assessment</w:t>
      </w:r>
      <w:r w:rsidRPr="00283806">
        <w:rPr>
          <w:spacing w:val="8"/>
          <w:w w:val="105"/>
          <w:sz w:val="14"/>
        </w:rPr>
        <w:t xml:space="preserve"> </w:t>
      </w:r>
      <w:r w:rsidRPr="00283806">
        <w:rPr>
          <w:spacing w:val="-2"/>
          <w:w w:val="105"/>
          <w:sz w:val="14"/>
        </w:rPr>
        <w:t>Report</w:t>
      </w:r>
      <w:r w:rsidRPr="00283806">
        <w:rPr>
          <w:sz w:val="14"/>
        </w:rPr>
        <w:tab/>
      </w:r>
      <w:r w:rsidRPr="00283806">
        <w:rPr>
          <w:sz w:val="14"/>
          <w:u w:val="single"/>
        </w:rPr>
        <w:tab/>
      </w:r>
    </w:p>
    <w:p w14:paraId="40A83DE5" w14:textId="77777777" w:rsidR="00D67C1E" w:rsidRPr="00283806" w:rsidRDefault="00D67C1E">
      <w:pPr>
        <w:spacing w:line="143" w:lineRule="exact"/>
        <w:rPr>
          <w:sz w:val="14"/>
        </w:rPr>
        <w:sectPr w:rsidR="00D67C1E" w:rsidRPr="00283806">
          <w:type w:val="continuous"/>
          <w:pgSz w:w="12240" w:h="15840"/>
          <w:pgMar w:top="880" w:right="780" w:bottom="280" w:left="740" w:header="627" w:footer="0" w:gutter="0"/>
          <w:cols w:num="2" w:space="720" w:equalWidth="0">
            <w:col w:w="3098" w:space="442"/>
            <w:col w:w="7180"/>
          </w:cols>
        </w:sectPr>
      </w:pPr>
    </w:p>
    <w:p w14:paraId="115B42E0" w14:textId="77777777" w:rsidR="00D67C1E" w:rsidRPr="00283806" w:rsidRDefault="001265CA">
      <w:pPr>
        <w:pStyle w:val="BodyText"/>
        <w:spacing w:before="9" w:line="228" w:lineRule="auto"/>
        <w:ind w:right="542"/>
        <w:jc w:val="both"/>
      </w:pPr>
      <w:r w:rsidRPr="00283806">
        <w:rPr>
          <w:w w:val="105"/>
        </w:rPr>
        <w:t>regulations for HFCs and their substitutes</w:t>
      </w:r>
      <w:r w:rsidRPr="00283806">
        <w:rPr>
          <w:spacing w:val="-1"/>
          <w:w w:val="105"/>
        </w:rPr>
        <w:t xml:space="preserve"> </w:t>
      </w:r>
      <w:r w:rsidRPr="00283806">
        <w:rPr>
          <w:w w:val="105"/>
        </w:rPr>
        <w:t>for</w:t>
      </w:r>
      <w:r w:rsidRPr="00283806">
        <w:rPr>
          <w:spacing w:val="-1"/>
          <w:w w:val="105"/>
        </w:rPr>
        <w:t xml:space="preserve"> </w:t>
      </w:r>
      <w:r w:rsidRPr="00283806">
        <w:rPr>
          <w:w w:val="105"/>
        </w:rPr>
        <w:t>the</w:t>
      </w:r>
      <w:r w:rsidRPr="00283806">
        <w:rPr>
          <w:spacing w:val="-1"/>
          <w:w w:val="105"/>
        </w:rPr>
        <w:t xml:space="preserve"> </w:t>
      </w:r>
      <w:r w:rsidRPr="00283806">
        <w:rPr>
          <w:w w:val="105"/>
        </w:rPr>
        <w:t>purposes</w:t>
      </w:r>
      <w:r w:rsidRPr="00283806">
        <w:rPr>
          <w:spacing w:val="-1"/>
          <w:w w:val="105"/>
        </w:rPr>
        <w:t xml:space="preserve"> </w:t>
      </w:r>
      <w:r w:rsidRPr="00283806">
        <w:rPr>
          <w:w w:val="105"/>
        </w:rPr>
        <w:t>of maximizing</w:t>
      </w:r>
      <w:r w:rsidRPr="00283806">
        <w:rPr>
          <w:spacing w:val="37"/>
          <w:w w:val="105"/>
        </w:rPr>
        <w:t xml:space="preserve"> </w:t>
      </w:r>
      <w:r w:rsidRPr="00283806">
        <w:rPr>
          <w:w w:val="105"/>
        </w:rPr>
        <w:t>reclaiming</w:t>
      </w:r>
      <w:r w:rsidRPr="00283806">
        <w:rPr>
          <w:spacing w:val="6"/>
          <w:w w:val="105"/>
        </w:rPr>
        <w:t xml:space="preserve"> </w:t>
      </w:r>
      <w:r w:rsidRPr="00283806">
        <w:rPr>
          <w:w w:val="105"/>
          <w:position w:val="5"/>
          <w:sz w:val="11"/>
        </w:rPr>
        <w:t>10</w:t>
      </w:r>
      <w:r w:rsidRPr="00283806">
        <w:rPr>
          <w:spacing w:val="54"/>
          <w:w w:val="105"/>
          <w:position w:val="5"/>
          <w:sz w:val="11"/>
        </w:rPr>
        <w:t xml:space="preserve"> </w:t>
      </w:r>
      <w:r w:rsidRPr="00283806">
        <w:rPr>
          <w:spacing w:val="-5"/>
          <w:w w:val="105"/>
        </w:rPr>
        <w:t>and</w:t>
      </w:r>
    </w:p>
    <w:p w14:paraId="75214631" w14:textId="77777777" w:rsidR="00D67C1E" w:rsidRPr="00283806" w:rsidRDefault="001265CA">
      <w:pPr>
        <w:pStyle w:val="BodyText"/>
        <w:spacing w:before="1"/>
        <w:ind w:left="0"/>
        <w:rPr>
          <w:sz w:val="12"/>
        </w:rPr>
      </w:pPr>
      <w:r w:rsidRPr="00283806">
        <w:rPr>
          <w:noProof/>
        </w:rPr>
        <mc:AlternateContent>
          <mc:Choice Requires="wps">
            <w:drawing>
              <wp:anchor distT="0" distB="0" distL="0" distR="0" simplePos="0" relativeHeight="251619328" behindDoc="1" locked="0" layoutInCell="1" allowOverlap="1" wp14:anchorId="03EF07EF" wp14:editId="6C441DC4">
                <wp:simplePos x="0" y="0"/>
                <wp:positionH relativeFrom="page">
                  <wp:posOffset>571500</wp:posOffset>
                </wp:positionH>
                <wp:positionV relativeFrom="paragraph">
                  <wp:posOffset>105271</wp:posOffset>
                </wp:positionV>
                <wp:extent cx="635000" cy="1270"/>
                <wp:effectExtent l="0" t="0" r="0" b="0"/>
                <wp:wrapTopAndBottom/>
                <wp:docPr id="41" name="Graphic 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8535DD7" id="Graphic 41" o:spid="_x0000_s1026" alt="&quot;&quot;" style="position:absolute;margin-left:45pt;margin-top:8.3pt;width:50pt;height:.1pt;z-index:-251697152;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" path="m,l635000,e" filled="f" strokeweight=".5pt">
                <v:path arrowok="t"/>
                <w10:wrap type="topAndBottom" anchorx="page"/>
              </v:shape>
            </w:pict>
          </mc:Fallback>
        </mc:AlternateContent>
      </w:r>
    </w:p>
    <w:p w14:paraId="188EB632" w14:textId="77777777" w:rsidR="00D67C1E" w:rsidRPr="00283806" w:rsidRDefault="001265CA">
      <w:pPr>
        <w:spacing w:before="40" w:line="232" w:lineRule="auto"/>
        <w:ind w:left="159" w:right="32" w:firstLine="140"/>
        <w:rPr>
          <w:sz w:val="14"/>
        </w:rPr>
      </w:pPr>
      <w:r w:rsidRPr="00283806">
        <w:rPr>
          <w:w w:val="110"/>
          <w:position w:val="4"/>
          <w:sz w:val="9"/>
        </w:rPr>
        <w:t>10</w:t>
      </w:r>
      <w:r w:rsidRPr="00283806">
        <w:rPr>
          <w:spacing w:val="-6"/>
          <w:w w:val="110"/>
          <w:position w:val="4"/>
          <w:sz w:val="9"/>
        </w:rPr>
        <w:t xml:space="preserve"> </w:t>
      </w:r>
      <w:r w:rsidRPr="00283806">
        <w:rPr>
          <w:w w:val="110"/>
          <w:sz w:val="14"/>
        </w:rPr>
        <w:t>For</w:t>
      </w:r>
      <w:r w:rsidRPr="00283806">
        <w:rPr>
          <w:spacing w:val="-5"/>
          <w:w w:val="110"/>
          <w:sz w:val="14"/>
        </w:rPr>
        <w:t xml:space="preserve"> </w:t>
      </w:r>
      <w:r w:rsidRPr="00283806">
        <w:rPr>
          <w:w w:val="110"/>
          <w:sz w:val="14"/>
        </w:rPr>
        <w:t>purposes</w:t>
      </w:r>
      <w:r w:rsidRPr="00283806">
        <w:rPr>
          <w:spacing w:val="-6"/>
          <w:w w:val="110"/>
          <w:sz w:val="14"/>
        </w:rPr>
        <w:t xml:space="preserve"> </w:t>
      </w:r>
      <w:r w:rsidRPr="00283806">
        <w:rPr>
          <w:w w:val="110"/>
          <w:sz w:val="14"/>
        </w:rPr>
        <w:t>of</w:t>
      </w:r>
      <w:r w:rsidRPr="00283806">
        <w:rPr>
          <w:spacing w:val="-6"/>
          <w:w w:val="110"/>
          <w:sz w:val="14"/>
        </w:rPr>
        <w:t xml:space="preserve"> </w:t>
      </w:r>
      <w:r w:rsidRPr="00283806">
        <w:rPr>
          <w:w w:val="110"/>
          <w:sz w:val="14"/>
        </w:rPr>
        <w:t>this</w:t>
      </w:r>
      <w:r w:rsidRPr="00283806">
        <w:rPr>
          <w:spacing w:val="-6"/>
          <w:w w:val="110"/>
          <w:sz w:val="14"/>
        </w:rPr>
        <w:t xml:space="preserve"> </w:t>
      </w:r>
      <w:r w:rsidRPr="00283806">
        <w:rPr>
          <w:w w:val="110"/>
          <w:sz w:val="14"/>
        </w:rPr>
        <w:t>provision,</w:t>
      </w:r>
      <w:r w:rsidRPr="00283806">
        <w:rPr>
          <w:spacing w:val="-6"/>
          <w:w w:val="110"/>
          <w:sz w:val="14"/>
        </w:rPr>
        <w:t xml:space="preserve"> </w:t>
      </w:r>
      <w:r w:rsidRPr="00283806">
        <w:rPr>
          <w:w w:val="110"/>
          <w:sz w:val="14"/>
        </w:rPr>
        <w:t>EPA</w:t>
      </w:r>
      <w:r w:rsidRPr="00283806">
        <w:rPr>
          <w:spacing w:val="-6"/>
          <w:w w:val="110"/>
          <w:sz w:val="14"/>
        </w:rPr>
        <w:t xml:space="preserve"> </w:t>
      </w:r>
      <w:r w:rsidRPr="00283806">
        <w:rPr>
          <w:w w:val="110"/>
          <w:sz w:val="14"/>
        </w:rPr>
        <w:t>views</w:t>
      </w:r>
      <w:r w:rsidRPr="00283806">
        <w:rPr>
          <w:spacing w:val="40"/>
          <w:w w:val="110"/>
          <w:sz w:val="14"/>
        </w:rPr>
        <w:t xml:space="preserve"> </w:t>
      </w:r>
      <w:r w:rsidRPr="00283806">
        <w:rPr>
          <w:w w:val="110"/>
          <w:sz w:val="14"/>
        </w:rPr>
        <w:t>‘‘reclaim,’’</w:t>
      </w:r>
      <w:r w:rsidRPr="00283806">
        <w:rPr>
          <w:spacing w:val="5"/>
          <w:w w:val="110"/>
          <w:sz w:val="14"/>
        </w:rPr>
        <w:t xml:space="preserve"> </w:t>
      </w:r>
      <w:r w:rsidRPr="00283806">
        <w:rPr>
          <w:w w:val="110"/>
          <w:sz w:val="14"/>
        </w:rPr>
        <w:t>‘‘reclaiming,’’</w:t>
      </w:r>
      <w:r w:rsidRPr="00283806">
        <w:rPr>
          <w:spacing w:val="5"/>
          <w:w w:val="110"/>
          <w:sz w:val="14"/>
        </w:rPr>
        <w:t xml:space="preserve"> </w:t>
      </w:r>
      <w:r w:rsidRPr="00283806">
        <w:rPr>
          <w:w w:val="110"/>
          <w:sz w:val="14"/>
        </w:rPr>
        <w:t>and</w:t>
      </w:r>
      <w:r w:rsidRPr="00283806">
        <w:rPr>
          <w:spacing w:val="5"/>
          <w:w w:val="110"/>
          <w:sz w:val="14"/>
        </w:rPr>
        <w:t xml:space="preserve"> </w:t>
      </w:r>
      <w:r w:rsidRPr="00283806">
        <w:rPr>
          <w:w w:val="110"/>
          <w:sz w:val="14"/>
        </w:rPr>
        <w:t>‘‘reclamation’’</w:t>
      </w:r>
      <w:r w:rsidRPr="00283806">
        <w:rPr>
          <w:spacing w:val="5"/>
          <w:w w:val="110"/>
          <w:sz w:val="14"/>
        </w:rPr>
        <w:t xml:space="preserve"> </w:t>
      </w:r>
      <w:r w:rsidRPr="00283806">
        <w:rPr>
          <w:spacing w:val="-5"/>
          <w:w w:val="110"/>
          <w:sz w:val="14"/>
        </w:rPr>
        <w:t>as</w:t>
      </w:r>
    </w:p>
    <w:p w14:paraId="35F06153" w14:textId="47249279" w:rsidR="00D67C1E" w:rsidRPr="00283806" w:rsidRDefault="001265CA">
      <w:pPr>
        <w:spacing w:before="22" w:line="230" w:lineRule="auto"/>
        <w:ind w:left="159" w:right="38"/>
        <w:rPr>
          <w:sz w:val="14"/>
        </w:rPr>
      </w:pPr>
      <w:r w:rsidRPr="00283806">
        <w:br w:type="column"/>
      </w:r>
      <w:r w:rsidRPr="00283806">
        <w:rPr>
          <w:spacing w:val="-2"/>
          <w:w w:val="110"/>
          <w:sz w:val="14"/>
        </w:rPr>
        <w:t>of the Intergovernmental Panel on Climate Change</w:t>
      </w:r>
      <w:r w:rsidRPr="00283806">
        <w:rPr>
          <w:spacing w:val="40"/>
          <w:w w:val="115"/>
          <w:sz w:val="14"/>
        </w:rPr>
        <w:t xml:space="preserve"> </w:t>
      </w:r>
      <w:r w:rsidRPr="00283806">
        <w:rPr>
          <w:w w:val="115"/>
          <w:sz w:val="14"/>
        </w:rPr>
        <w:t>[Solomon, S., D. Qin, M. Manning, Z. Chen, M.</w:t>
      </w:r>
      <w:r w:rsidRPr="00283806">
        <w:rPr>
          <w:spacing w:val="40"/>
          <w:w w:val="115"/>
          <w:sz w:val="14"/>
        </w:rPr>
        <w:t xml:space="preserve"> </w:t>
      </w:r>
      <w:r w:rsidRPr="00283806">
        <w:rPr>
          <w:w w:val="115"/>
          <w:sz w:val="14"/>
        </w:rPr>
        <w:t>Marquis, K.B. Averyt, M. Tignor and H.L. Miller</w:t>
      </w:r>
      <w:r w:rsidRPr="00283806">
        <w:rPr>
          <w:spacing w:val="40"/>
          <w:w w:val="115"/>
          <w:sz w:val="14"/>
        </w:rPr>
        <w:t xml:space="preserve"> </w:t>
      </w:r>
      <w:r w:rsidRPr="00283806">
        <w:rPr>
          <w:w w:val="110"/>
          <w:sz w:val="14"/>
        </w:rPr>
        <w:t>(eds.)]. Cambridge University Press, Cambridge,</w:t>
      </w:r>
      <w:r w:rsidRPr="00283806">
        <w:rPr>
          <w:spacing w:val="40"/>
          <w:w w:val="115"/>
          <w:sz w:val="14"/>
        </w:rPr>
        <w:t xml:space="preserve"> </w:t>
      </w:r>
      <w:r w:rsidRPr="00283806">
        <w:rPr>
          <w:w w:val="115"/>
          <w:sz w:val="14"/>
        </w:rPr>
        <w:t>United</w:t>
      </w:r>
      <w:r w:rsidRPr="00283806">
        <w:rPr>
          <w:spacing w:val="-5"/>
          <w:w w:val="115"/>
          <w:sz w:val="14"/>
        </w:rPr>
        <w:t xml:space="preserve"> </w:t>
      </w:r>
      <w:r w:rsidRPr="00283806">
        <w:rPr>
          <w:w w:val="115"/>
          <w:sz w:val="14"/>
        </w:rPr>
        <w:t>Kingdom</w:t>
      </w:r>
      <w:r w:rsidRPr="00283806">
        <w:rPr>
          <w:spacing w:val="-5"/>
          <w:w w:val="115"/>
          <w:sz w:val="14"/>
        </w:rPr>
        <w:t xml:space="preserve"> </w:t>
      </w:r>
      <w:r w:rsidRPr="00283806">
        <w:rPr>
          <w:w w:val="115"/>
          <w:sz w:val="14"/>
        </w:rPr>
        <w:t>and</w:t>
      </w:r>
      <w:r w:rsidRPr="00283806">
        <w:rPr>
          <w:spacing w:val="-5"/>
          <w:w w:val="115"/>
          <w:sz w:val="14"/>
        </w:rPr>
        <w:t xml:space="preserve"> </w:t>
      </w:r>
      <w:r w:rsidRPr="00283806">
        <w:rPr>
          <w:w w:val="115"/>
          <w:sz w:val="14"/>
        </w:rPr>
        <w:t>New</w:t>
      </w:r>
      <w:r w:rsidRPr="00283806">
        <w:rPr>
          <w:spacing w:val="-5"/>
          <w:w w:val="115"/>
          <w:sz w:val="14"/>
        </w:rPr>
        <w:t xml:space="preserve"> </w:t>
      </w:r>
      <w:r w:rsidRPr="00283806">
        <w:rPr>
          <w:w w:val="115"/>
          <w:sz w:val="14"/>
        </w:rPr>
        <w:t>York,</w:t>
      </w:r>
      <w:r w:rsidRPr="00283806">
        <w:rPr>
          <w:spacing w:val="-5"/>
          <w:w w:val="115"/>
          <w:sz w:val="14"/>
        </w:rPr>
        <w:t xml:space="preserve"> </w:t>
      </w:r>
      <w:r w:rsidRPr="00283806">
        <w:rPr>
          <w:w w:val="115"/>
          <w:sz w:val="14"/>
        </w:rPr>
        <w:t>NY,</w:t>
      </w:r>
      <w:r w:rsidRPr="00283806">
        <w:rPr>
          <w:spacing w:val="-5"/>
          <w:w w:val="115"/>
          <w:sz w:val="14"/>
        </w:rPr>
        <w:t xml:space="preserve"> </w:t>
      </w:r>
      <w:r w:rsidRPr="00283806">
        <w:rPr>
          <w:w w:val="115"/>
          <w:sz w:val="14"/>
        </w:rPr>
        <w:t>USA</w:t>
      </w:r>
      <w:r w:rsidRPr="00283806">
        <w:rPr>
          <w:spacing w:val="-5"/>
          <w:w w:val="115"/>
          <w:sz w:val="14"/>
        </w:rPr>
        <w:t xml:space="preserve"> </w:t>
      </w:r>
      <w:r w:rsidRPr="00283806">
        <w:rPr>
          <w:rFonts w:ascii="Book Antiqua" w:hAnsi="Book Antiqua"/>
          <w:i/>
          <w:w w:val="115"/>
          <w:sz w:val="14"/>
        </w:rPr>
        <w:t>https:// www.ipcc.ch/report/ar4/wg1</w:t>
      </w:r>
      <w:r w:rsidRPr="00283806">
        <w:rPr>
          <w:w w:val="115"/>
          <w:sz w:val="14"/>
        </w:rPr>
        <w:t>. The IPCC’s Fourth</w:t>
      </w:r>
      <w:r w:rsidRPr="00283806">
        <w:rPr>
          <w:spacing w:val="40"/>
          <w:w w:val="115"/>
          <w:sz w:val="14"/>
        </w:rPr>
        <w:t xml:space="preserve"> </w:t>
      </w:r>
      <w:r w:rsidRPr="00283806">
        <w:rPr>
          <w:spacing w:val="-2"/>
          <w:w w:val="110"/>
          <w:sz w:val="14"/>
        </w:rPr>
        <w:t>Assessment</w:t>
      </w:r>
      <w:r w:rsidRPr="00283806">
        <w:rPr>
          <w:spacing w:val="-3"/>
          <w:w w:val="110"/>
          <w:sz w:val="14"/>
        </w:rPr>
        <w:t xml:space="preserve"> </w:t>
      </w:r>
      <w:r w:rsidRPr="00283806">
        <w:rPr>
          <w:spacing w:val="-2"/>
          <w:w w:val="110"/>
          <w:sz w:val="14"/>
        </w:rPr>
        <w:t>Report</w:t>
      </w:r>
      <w:r w:rsidRPr="00283806">
        <w:rPr>
          <w:spacing w:val="-3"/>
          <w:w w:val="110"/>
          <w:sz w:val="14"/>
        </w:rPr>
        <w:t xml:space="preserve"> </w:t>
      </w:r>
      <w:r w:rsidRPr="00283806">
        <w:rPr>
          <w:spacing w:val="-2"/>
          <w:w w:val="110"/>
          <w:sz w:val="14"/>
        </w:rPr>
        <w:t>is</w:t>
      </w:r>
      <w:r w:rsidRPr="00283806">
        <w:rPr>
          <w:spacing w:val="-3"/>
          <w:w w:val="110"/>
          <w:sz w:val="14"/>
        </w:rPr>
        <w:t xml:space="preserve"> </w:t>
      </w:r>
      <w:r w:rsidRPr="00283806">
        <w:rPr>
          <w:spacing w:val="-2"/>
          <w:w w:val="110"/>
          <w:sz w:val="14"/>
        </w:rPr>
        <w:t>also</w:t>
      </w:r>
      <w:r w:rsidRPr="00283806">
        <w:rPr>
          <w:spacing w:val="-3"/>
          <w:w w:val="110"/>
          <w:sz w:val="14"/>
        </w:rPr>
        <w:t xml:space="preserve"> </w:t>
      </w:r>
      <w:r w:rsidRPr="00283806">
        <w:rPr>
          <w:spacing w:val="-2"/>
          <w:w w:val="110"/>
          <w:sz w:val="14"/>
        </w:rPr>
        <w:t>referred</w:t>
      </w:r>
      <w:r w:rsidRPr="00283806">
        <w:rPr>
          <w:spacing w:val="-3"/>
          <w:w w:val="110"/>
          <w:sz w:val="14"/>
        </w:rPr>
        <w:t xml:space="preserve"> </w:t>
      </w:r>
      <w:r w:rsidRPr="00283806">
        <w:rPr>
          <w:spacing w:val="-2"/>
          <w:w w:val="110"/>
          <w:sz w:val="14"/>
        </w:rPr>
        <w:t>to</w:t>
      </w:r>
      <w:r w:rsidRPr="00283806">
        <w:rPr>
          <w:spacing w:val="-3"/>
          <w:w w:val="110"/>
          <w:sz w:val="14"/>
        </w:rPr>
        <w:t xml:space="preserve"> </w:t>
      </w:r>
      <w:r w:rsidRPr="00283806">
        <w:rPr>
          <w:spacing w:val="-2"/>
          <w:w w:val="110"/>
          <w:sz w:val="14"/>
        </w:rPr>
        <w:t>as</w:t>
      </w:r>
      <w:r w:rsidRPr="00283806">
        <w:rPr>
          <w:spacing w:val="-3"/>
          <w:w w:val="110"/>
          <w:sz w:val="14"/>
        </w:rPr>
        <w:t xml:space="preserve"> </w:t>
      </w:r>
      <w:r w:rsidRPr="00283806">
        <w:rPr>
          <w:spacing w:val="-2"/>
          <w:w w:val="110"/>
          <w:sz w:val="14"/>
        </w:rPr>
        <w:t>IPCC</w:t>
      </w:r>
      <w:r w:rsidRPr="00283806">
        <w:rPr>
          <w:spacing w:val="-3"/>
          <w:w w:val="110"/>
          <w:sz w:val="14"/>
        </w:rPr>
        <w:t xml:space="preserve"> </w:t>
      </w:r>
      <w:r w:rsidRPr="00283806">
        <w:rPr>
          <w:spacing w:val="-2"/>
          <w:w w:val="110"/>
          <w:sz w:val="14"/>
        </w:rPr>
        <w:t>AR4.</w:t>
      </w:r>
    </w:p>
    <w:p w14:paraId="61D279BA" w14:textId="77777777" w:rsidR="00D67C1E" w:rsidRPr="00283806" w:rsidRDefault="001265CA">
      <w:pPr>
        <w:spacing w:before="21" w:line="232" w:lineRule="auto"/>
        <w:ind w:left="159" w:right="151" w:firstLine="140"/>
        <w:rPr>
          <w:sz w:val="14"/>
        </w:rPr>
      </w:pPr>
      <w:r w:rsidRPr="00283806">
        <w:br w:type="column"/>
      </w:r>
      <w:r w:rsidRPr="00283806">
        <w:rPr>
          <w:w w:val="110"/>
          <w:position w:val="4"/>
          <w:sz w:val="9"/>
        </w:rPr>
        <w:t xml:space="preserve">14 </w:t>
      </w:r>
      <w:r w:rsidRPr="00283806">
        <w:rPr>
          <w:w w:val="110"/>
          <w:sz w:val="14"/>
        </w:rPr>
        <w:t>In affirming this aspect of the Allocation</w:t>
      </w:r>
      <w:r w:rsidRPr="00283806">
        <w:rPr>
          <w:spacing w:val="40"/>
          <w:w w:val="110"/>
          <w:sz w:val="14"/>
        </w:rPr>
        <w:t xml:space="preserve"> </w:t>
      </w:r>
      <w:r w:rsidRPr="00283806">
        <w:rPr>
          <w:w w:val="110"/>
          <w:sz w:val="14"/>
        </w:rPr>
        <w:t>Framework Rule, the D.C. Circuit held that ‘‘EPA</w:t>
      </w:r>
      <w:r w:rsidRPr="00283806">
        <w:rPr>
          <w:spacing w:val="40"/>
          <w:w w:val="110"/>
          <w:sz w:val="14"/>
        </w:rPr>
        <w:t xml:space="preserve"> </w:t>
      </w:r>
      <w:r w:rsidRPr="00283806">
        <w:rPr>
          <w:w w:val="110"/>
          <w:sz w:val="14"/>
        </w:rPr>
        <w:t>has statutory authority to regulate HFCs within</w:t>
      </w:r>
      <w:r w:rsidRPr="00283806">
        <w:rPr>
          <w:spacing w:val="40"/>
          <w:w w:val="110"/>
          <w:sz w:val="14"/>
        </w:rPr>
        <w:t xml:space="preserve"> </w:t>
      </w:r>
      <w:r w:rsidRPr="00283806">
        <w:rPr>
          <w:w w:val="110"/>
          <w:sz w:val="14"/>
        </w:rPr>
        <w:t>blends</w:t>
      </w:r>
      <w:r w:rsidRPr="00283806">
        <w:rPr>
          <w:spacing w:val="-3"/>
          <w:w w:val="110"/>
          <w:sz w:val="14"/>
        </w:rPr>
        <w:t xml:space="preserve"> </w:t>
      </w:r>
      <w:r w:rsidRPr="00283806">
        <w:rPr>
          <w:w w:val="110"/>
          <w:sz w:val="14"/>
        </w:rPr>
        <w:t>.</w:t>
      </w:r>
      <w:r w:rsidRPr="00283806">
        <w:rPr>
          <w:spacing w:val="30"/>
          <w:w w:val="110"/>
          <w:sz w:val="14"/>
        </w:rPr>
        <w:t xml:space="preserve"> </w:t>
      </w:r>
      <w:r w:rsidRPr="00283806">
        <w:rPr>
          <w:w w:val="110"/>
          <w:sz w:val="14"/>
        </w:rPr>
        <w:t>.</w:t>
      </w:r>
      <w:r w:rsidRPr="00283806">
        <w:rPr>
          <w:spacing w:val="30"/>
          <w:w w:val="110"/>
          <w:sz w:val="14"/>
        </w:rPr>
        <w:t xml:space="preserve"> </w:t>
      </w:r>
      <w:r w:rsidRPr="00283806">
        <w:rPr>
          <w:w w:val="110"/>
          <w:sz w:val="14"/>
        </w:rPr>
        <w:t>.</w:t>
      </w:r>
      <w:r w:rsidRPr="00283806">
        <w:rPr>
          <w:spacing w:val="-3"/>
          <w:w w:val="110"/>
          <w:sz w:val="14"/>
        </w:rPr>
        <w:t xml:space="preserve"> </w:t>
      </w:r>
      <w:r w:rsidRPr="00283806">
        <w:rPr>
          <w:w w:val="110"/>
          <w:sz w:val="14"/>
        </w:rPr>
        <w:t>because</w:t>
      </w:r>
      <w:r w:rsidRPr="00283806">
        <w:rPr>
          <w:spacing w:val="-3"/>
          <w:w w:val="110"/>
          <w:sz w:val="14"/>
        </w:rPr>
        <w:t xml:space="preserve"> </w:t>
      </w:r>
      <w:r w:rsidRPr="00283806">
        <w:rPr>
          <w:w w:val="110"/>
          <w:sz w:val="14"/>
        </w:rPr>
        <w:t>an</w:t>
      </w:r>
      <w:r w:rsidRPr="00283806">
        <w:rPr>
          <w:spacing w:val="-3"/>
          <w:w w:val="110"/>
          <w:sz w:val="14"/>
        </w:rPr>
        <w:t xml:space="preserve"> </w:t>
      </w:r>
      <w:r w:rsidRPr="00283806">
        <w:rPr>
          <w:w w:val="110"/>
          <w:sz w:val="14"/>
        </w:rPr>
        <w:t>HFC</w:t>
      </w:r>
      <w:r w:rsidRPr="00283806">
        <w:rPr>
          <w:spacing w:val="-3"/>
          <w:w w:val="110"/>
          <w:sz w:val="14"/>
        </w:rPr>
        <w:t xml:space="preserve"> </w:t>
      </w:r>
      <w:r w:rsidRPr="00283806">
        <w:rPr>
          <w:w w:val="110"/>
          <w:sz w:val="14"/>
        </w:rPr>
        <w:t>within</w:t>
      </w:r>
      <w:r w:rsidRPr="00283806">
        <w:rPr>
          <w:spacing w:val="-3"/>
          <w:w w:val="110"/>
          <w:sz w:val="14"/>
        </w:rPr>
        <w:t xml:space="preserve"> </w:t>
      </w:r>
      <w:r w:rsidRPr="00283806">
        <w:rPr>
          <w:w w:val="110"/>
          <w:sz w:val="14"/>
        </w:rPr>
        <w:t>a</w:t>
      </w:r>
      <w:r w:rsidRPr="00283806">
        <w:rPr>
          <w:spacing w:val="-3"/>
          <w:w w:val="110"/>
          <w:sz w:val="14"/>
        </w:rPr>
        <w:t xml:space="preserve"> </w:t>
      </w:r>
      <w:r w:rsidRPr="00283806">
        <w:rPr>
          <w:w w:val="110"/>
          <w:sz w:val="14"/>
        </w:rPr>
        <w:t>blend</w:t>
      </w:r>
      <w:r w:rsidRPr="00283806">
        <w:rPr>
          <w:spacing w:val="-3"/>
          <w:w w:val="110"/>
          <w:sz w:val="14"/>
        </w:rPr>
        <w:t xml:space="preserve"> </w:t>
      </w:r>
      <w:r w:rsidRPr="00283806">
        <w:rPr>
          <w:w w:val="110"/>
          <w:sz w:val="14"/>
        </w:rPr>
        <w:t>remains</w:t>
      </w:r>
      <w:r w:rsidRPr="00283806">
        <w:rPr>
          <w:spacing w:val="40"/>
          <w:w w:val="110"/>
          <w:sz w:val="14"/>
        </w:rPr>
        <w:t xml:space="preserve"> </w:t>
      </w:r>
      <w:r w:rsidRPr="00283806">
        <w:rPr>
          <w:w w:val="110"/>
          <w:sz w:val="14"/>
        </w:rPr>
        <w:t xml:space="preserve">a regulated HFC under the Act.’’ </w:t>
      </w:r>
      <w:r w:rsidRPr="00283806">
        <w:rPr>
          <w:rFonts w:ascii="Book Antiqua" w:hAnsi="Book Antiqua"/>
          <w:i/>
          <w:w w:val="110"/>
          <w:sz w:val="14"/>
        </w:rPr>
        <w:t>Heating, Air</w:t>
      </w:r>
      <w:r w:rsidRPr="00283806">
        <w:rPr>
          <w:rFonts w:ascii="Book Antiqua" w:hAnsi="Book Antiqua"/>
          <w:i/>
          <w:spacing w:val="40"/>
          <w:w w:val="110"/>
          <w:sz w:val="14"/>
        </w:rPr>
        <w:t xml:space="preserve"> </w:t>
      </w:r>
      <w:r w:rsidRPr="00283806">
        <w:rPr>
          <w:rFonts w:ascii="Book Antiqua" w:hAnsi="Book Antiqua"/>
          <w:i/>
          <w:w w:val="110"/>
          <w:sz w:val="14"/>
        </w:rPr>
        <w:t xml:space="preserve">Conditioning &amp; Refrigeration Distributors Int’l </w:t>
      </w:r>
      <w:r w:rsidRPr="00283806">
        <w:rPr>
          <w:w w:val="110"/>
          <w:sz w:val="14"/>
        </w:rPr>
        <w:t>v.</w:t>
      </w:r>
    </w:p>
    <w:p w14:paraId="6294C6D6" w14:textId="77777777" w:rsidR="00D67C1E" w:rsidRPr="00283806" w:rsidRDefault="001265CA">
      <w:pPr>
        <w:spacing w:line="157" w:lineRule="exact"/>
        <w:ind w:left="159"/>
        <w:rPr>
          <w:sz w:val="14"/>
        </w:rPr>
      </w:pPr>
      <w:r w:rsidRPr="00283806">
        <w:rPr>
          <w:rFonts w:ascii="Book Antiqua"/>
          <w:i/>
          <w:w w:val="105"/>
          <w:sz w:val="14"/>
        </w:rPr>
        <w:t>EPA,</w:t>
      </w:r>
      <w:r w:rsidRPr="00283806">
        <w:rPr>
          <w:rFonts w:ascii="Book Antiqua"/>
          <w:i/>
          <w:spacing w:val="4"/>
          <w:w w:val="105"/>
          <w:sz w:val="14"/>
        </w:rPr>
        <w:t xml:space="preserve"> </w:t>
      </w:r>
      <w:r w:rsidRPr="00283806">
        <w:rPr>
          <w:w w:val="105"/>
          <w:sz w:val="14"/>
        </w:rPr>
        <w:t>71</w:t>
      </w:r>
      <w:r w:rsidRPr="00283806">
        <w:rPr>
          <w:spacing w:val="10"/>
          <w:w w:val="105"/>
          <w:sz w:val="14"/>
        </w:rPr>
        <w:t xml:space="preserve"> </w:t>
      </w:r>
      <w:r w:rsidRPr="00283806">
        <w:rPr>
          <w:w w:val="105"/>
          <w:sz w:val="14"/>
        </w:rPr>
        <w:t>F.4th</w:t>
      </w:r>
      <w:r w:rsidRPr="00283806">
        <w:rPr>
          <w:spacing w:val="9"/>
          <w:w w:val="105"/>
          <w:sz w:val="14"/>
        </w:rPr>
        <w:t xml:space="preserve"> </w:t>
      </w:r>
      <w:r w:rsidRPr="00283806">
        <w:rPr>
          <w:w w:val="105"/>
          <w:sz w:val="14"/>
        </w:rPr>
        <w:t>59,</w:t>
      </w:r>
      <w:r w:rsidRPr="00283806">
        <w:rPr>
          <w:spacing w:val="9"/>
          <w:w w:val="105"/>
          <w:sz w:val="14"/>
        </w:rPr>
        <w:t xml:space="preserve"> </w:t>
      </w:r>
      <w:r w:rsidRPr="00283806">
        <w:rPr>
          <w:w w:val="105"/>
          <w:sz w:val="14"/>
        </w:rPr>
        <w:t>64</w:t>
      </w:r>
      <w:r w:rsidRPr="00283806">
        <w:rPr>
          <w:spacing w:val="9"/>
          <w:w w:val="105"/>
          <w:sz w:val="14"/>
        </w:rPr>
        <w:t xml:space="preserve"> </w:t>
      </w:r>
      <w:r w:rsidRPr="00283806">
        <w:rPr>
          <w:w w:val="105"/>
          <w:sz w:val="14"/>
        </w:rPr>
        <w:t>(D.C.</w:t>
      </w:r>
      <w:r w:rsidRPr="00283806">
        <w:rPr>
          <w:spacing w:val="9"/>
          <w:w w:val="105"/>
          <w:sz w:val="14"/>
        </w:rPr>
        <w:t xml:space="preserve"> </w:t>
      </w:r>
      <w:r w:rsidRPr="00283806">
        <w:rPr>
          <w:w w:val="105"/>
          <w:sz w:val="14"/>
        </w:rPr>
        <w:t>Cir.</w:t>
      </w:r>
      <w:r w:rsidRPr="00283806">
        <w:rPr>
          <w:spacing w:val="9"/>
          <w:w w:val="105"/>
          <w:sz w:val="14"/>
        </w:rPr>
        <w:t xml:space="preserve"> </w:t>
      </w:r>
      <w:r w:rsidRPr="00283806">
        <w:rPr>
          <w:spacing w:val="-2"/>
          <w:w w:val="105"/>
          <w:sz w:val="14"/>
        </w:rPr>
        <w:t>2023).</w:t>
      </w:r>
    </w:p>
    <w:p w14:paraId="009CD9A9" w14:textId="77777777" w:rsidR="00D67C1E" w:rsidRPr="00283806" w:rsidRDefault="00D67C1E">
      <w:pPr>
        <w:spacing w:line="157" w:lineRule="exact"/>
        <w:rPr>
          <w:sz w:val="14"/>
        </w:rPr>
        <w:sectPr w:rsidR="00D67C1E" w:rsidRPr="00283806">
          <w:type w:val="continuous"/>
          <w:pgSz w:w="12240" w:h="15840"/>
          <w:pgMar w:top="880" w:right="780" w:bottom="280" w:left="740" w:header="627" w:footer="0" w:gutter="0"/>
          <w:cols w:num="3" w:space="720" w:equalWidth="0">
            <w:col w:w="3201" w:space="339"/>
            <w:col w:w="3456" w:space="84"/>
            <w:col w:w="3640"/>
          </w:cols>
        </w:sectPr>
      </w:pPr>
    </w:p>
    <w:p w14:paraId="1C56DAAD" w14:textId="77777777" w:rsidR="00D67C1E" w:rsidRPr="00283806" w:rsidRDefault="001265CA">
      <w:pPr>
        <w:pStyle w:val="BodyText"/>
        <w:spacing w:before="136" w:line="225" w:lineRule="auto"/>
        <w:ind w:right="53"/>
      </w:pPr>
      <w:r w:rsidRPr="00283806">
        <w:rPr>
          <w:w w:val="105"/>
        </w:rPr>
        <w:lastRenderedPageBreak/>
        <w:t>subsection (h)(1) will apply because ‘‘where appropriate’’ clearly leaves EPA flexibility to determine how to regulate</w:t>
      </w:r>
      <w:r w:rsidRPr="00283806">
        <w:rPr>
          <w:spacing w:val="40"/>
          <w:w w:val="105"/>
        </w:rPr>
        <w:t xml:space="preserve"> </w:t>
      </w:r>
      <w:r w:rsidRPr="00283806">
        <w:rPr>
          <w:w w:val="105"/>
        </w:rPr>
        <w:t>in the context of subsection (h). In exercising its discretion under this provision, EPA has taken a number of considerations into account, such as: the text of subsection (h)(1) itself, including the statutory purposes identified in that provision; the anticipated effectiveness</w:t>
      </w:r>
      <w:r w:rsidRPr="00283806">
        <w:rPr>
          <w:spacing w:val="40"/>
          <w:w w:val="105"/>
        </w:rPr>
        <w:t xml:space="preserve"> </w:t>
      </w:r>
      <w:r w:rsidRPr="00283806">
        <w:rPr>
          <w:w w:val="105"/>
        </w:rPr>
        <w:t>of the requirements under consideration in serving those purposes; the intent of subsection (h), considering the overall context and structure of the AIM Act;</w:t>
      </w:r>
      <w:r w:rsidRPr="00283806">
        <w:rPr>
          <w:spacing w:val="80"/>
          <w:w w:val="150"/>
        </w:rPr>
        <w:t xml:space="preserve"> </w:t>
      </w:r>
      <w:r w:rsidRPr="00283806">
        <w:rPr>
          <w:w w:val="105"/>
        </w:rPr>
        <w:t>and information and insight drawn from EPA’s past experience with the same or similar</w:t>
      </w:r>
      <w:r w:rsidRPr="00283806">
        <w:rPr>
          <w:spacing w:val="40"/>
          <w:w w:val="105"/>
        </w:rPr>
        <w:t xml:space="preserve"> </w:t>
      </w:r>
      <w:r w:rsidRPr="00283806">
        <w:rPr>
          <w:w w:val="105"/>
        </w:rPr>
        <w:t>practices,</w:t>
      </w:r>
      <w:r w:rsidRPr="00283806">
        <w:rPr>
          <w:spacing w:val="40"/>
          <w:w w:val="105"/>
        </w:rPr>
        <w:t xml:space="preserve"> </w:t>
      </w:r>
      <w:r w:rsidRPr="00283806">
        <w:rPr>
          <w:w w:val="105"/>
        </w:rPr>
        <w:t>processes,</w:t>
      </w:r>
      <w:r w:rsidRPr="00283806">
        <w:rPr>
          <w:spacing w:val="40"/>
          <w:w w:val="105"/>
        </w:rPr>
        <w:t xml:space="preserve"> </w:t>
      </w:r>
      <w:r w:rsidRPr="00283806">
        <w:rPr>
          <w:w w:val="105"/>
        </w:rPr>
        <w:t>or activities, as well as sectors, subsectors, and markets, gained from implementing other programs, including under other provisions</w:t>
      </w:r>
      <w:r w:rsidRPr="00283806">
        <w:rPr>
          <w:spacing w:val="17"/>
          <w:w w:val="105"/>
        </w:rPr>
        <w:t xml:space="preserve"> </w:t>
      </w:r>
      <w:r w:rsidRPr="00283806">
        <w:rPr>
          <w:w w:val="105"/>
        </w:rPr>
        <w:t>of</w:t>
      </w:r>
      <w:r w:rsidRPr="00283806">
        <w:rPr>
          <w:spacing w:val="18"/>
          <w:w w:val="105"/>
        </w:rPr>
        <w:t xml:space="preserve"> </w:t>
      </w:r>
      <w:r w:rsidRPr="00283806">
        <w:rPr>
          <w:w w:val="105"/>
        </w:rPr>
        <w:t>the</w:t>
      </w:r>
      <w:r w:rsidRPr="00283806">
        <w:rPr>
          <w:spacing w:val="18"/>
          <w:w w:val="105"/>
        </w:rPr>
        <w:t xml:space="preserve"> </w:t>
      </w:r>
      <w:r w:rsidRPr="00283806">
        <w:rPr>
          <w:w w:val="105"/>
        </w:rPr>
        <w:t>AIM</w:t>
      </w:r>
      <w:r w:rsidRPr="00283806">
        <w:rPr>
          <w:spacing w:val="18"/>
          <w:w w:val="105"/>
        </w:rPr>
        <w:t xml:space="preserve"> </w:t>
      </w:r>
      <w:r w:rsidRPr="00283806">
        <w:rPr>
          <w:w w:val="105"/>
        </w:rPr>
        <w:t>Act</w:t>
      </w:r>
      <w:r w:rsidRPr="00283806">
        <w:rPr>
          <w:spacing w:val="18"/>
          <w:w w:val="105"/>
        </w:rPr>
        <w:t xml:space="preserve"> </w:t>
      </w:r>
      <w:r w:rsidRPr="00283806">
        <w:rPr>
          <w:w w:val="105"/>
        </w:rPr>
        <w:t>and</w:t>
      </w:r>
      <w:r w:rsidRPr="00283806">
        <w:rPr>
          <w:spacing w:val="18"/>
          <w:w w:val="105"/>
        </w:rPr>
        <w:t xml:space="preserve"> </w:t>
      </w:r>
      <w:r w:rsidRPr="00283806">
        <w:rPr>
          <w:w w:val="105"/>
        </w:rPr>
        <w:t>the</w:t>
      </w:r>
      <w:r w:rsidRPr="00283806">
        <w:rPr>
          <w:spacing w:val="18"/>
          <w:w w:val="105"/>
        </w:rPr>
        <w:t xml:space="preserve"> </w:t>
      </w:r>
      <w:r w:rsidRPr="00283806">
        <w:rPr>
          <w:spacing w:val="-4"/>
          <w:w w:val="105"/>
        </w:rPr>
        <w:t>CAA.</w:t>
      </w:r>
    </w:p>
    <w:p w14:paraId="4B0FCDC1" w14:textId="77777777" w:rsidR="00D67C1E" w:rsidRPr="00283806" w:rsidRDefault="001265CA">
      <w:pPr>
        <w:pStyle w:val="BodyText"/>
        <w:spacing w:line="173" w:lineRule="exact"/>
        <w:ind w:left="340"/>
      </w:pPr>
      <w:r w:rsidRPr="00283806">
        <w:rPr>
          <w:w w:val="105"/>
        </w:rPr>
        <w:t>Under</w:t>
      </w:r>
      <w:r w:rsidRPr="00283806">
        <w:rPr>
          <w:spacing w:val="1"/>
          <w:w w:val="105"/>
        </w:rPr>
        <w:t xml:space="preserve"> </w:t>
      </w:r>
      <w:r w:rsidRPr="00283806">
        <w:rPr>
          <w:w w:val="105"/>
        </w:rPr>
        <w:t>subsection</w:t>
      </w:r>
      <w:r w:rsidRPr="00283806">
        <w:rPr>
          <w:spacing w:val="1"/>
          <w:w w:val="105"/>
        </w:rPr>
        <w:t xml:space="preserve"> </w:t>
      </w:r>
      <w:r w:rsidRPr="00283806">
        <w:rPr>
          <w:w w:val="105"/>
        </w:rPr>
        <w:t>(h)(2)(A)</w:t>
      </w:r>
      <w:r w:rsidRPr="00283806">
        <w:rPr>
          <w:spacing w:val="1"/>
          <w:w w:val="105"/>
        </w:rPr>
        <w:t xml:space="preserve"> </w:t>
      </w:r>
      <w:r w:rsidRPr="00283806">
        <w:rPr>
          <w:w w:val="105"/>
        </w:rPr>
        <w:t>of</w:t>
      </w:r>
      <w:r w:rsidRPr="00283806">
        <w:rPr>
          <w:spacing w:val="1"/>
          <w:w w:val="105"/>
        </w:rPr>
        <w:t xml:space="preserve"> </w:t>
      </w:r>
      <w:r w:rsidRPr="00283806">
        <w:rPr>
          <w:w w:val="105"/>
        </w:rPr>
        <w:t>the</w:t>
      </w:r>
      <w:r w:rsidRPr="00283806">
        <w:rPr>
          <w:spacing w:val="2"/>
          <w:w w:val="105"/>
        </w:rPr>
        <w:t xml:space="preserve"> </w:t>
      </w:r>
      <w:r w:rsidRPr="00283806">
        <w:rPr>
          <w:spacing w:val="-5"/>
          <w:w w:val="105"/>
        </w:rPr>
        <w:t>AIM</w:t>
      </w:r>
    </w:p>
    <w:p w14:paraId="38553F37" w14:textId="77777777" w:rsidR="00D67C1E" w:rsidRPr="00283806" w:rsidRDefault="001265CA">
      <w:pPr>
        <w:pStyle w:val="BodyText"/>
        <w:spacing w:before="4" w:line="225" w:lineRule="auto"/>
        <w:ind w:right="9"/>
      </w:pPr>
      <w:r w:rsidRPr="00283806">
        <w:rPr>
          <w:w w:val="105"/>
        </w:rPr>
        <w:t>Act, the Agency ‘‘shall consider the use</w:t>
      </w:r>
      <w:r w:rsidRPr="00283806">
        <w:rPr>
          <w:spacing w:val="80"/>
          <w:w w:val="150"/>
        </w:rPr>
        <w:t xml:space="preserve"> </w:t>
      </w:r>
      <w:r w:rsidRPr="00283806">
        <w:rPr>
          <w:w w:val="105"/>
        </w:rPr>
        <w:t>of authority available .</w:t>
      </w:r>
      <w:r w:rsidRPr="00283806">
        <w:rPr>
          <w:spacing w:val="40"/>
          <w:w w:val="105"/>
        </w:rPr>
        <w:t xml:space="preserve"> </w:t>
      </w:r>
      <w:r w:rsidRPr="00283806">
        <w:rPr>
          <w:w w:val="105"/>
        </w:rPr>
        <w:t>.</w:t>
      </w:r>
      <w:r w:rsidRPr="00283806">
        <w:rPr>
          <w:spacing w:val="40"/>
          <w:w w:val="105"/>
        </w:rPr>
        <w:t xml:space="preserve"> </w:t>
      </w:r>
      <w:r w:rsidRPr="00283806">
        <w:rPr>
          <w:w w:val="105"/>
        </w:rPr>
        <w:t>. under this section to increase opportunities for the reclaiming of regulated substances used as refrigerants.’’ Subsection (h)(2)(B) of the Act further provides that a</w:t>
      </w:r>
      <w:r w:rsidRPr="00283806">
        <w:rPr>
          <w:spacing w:val="80"/>
          <w:w w:val="105"/>
        </w:rPr>
        <w:t xml:space="preserve"> </w:t>
      </w:r>
      <w:r w:rsidRPr="00283806">
        <w:rPr>
          <w:w w:val="105"/>
        </w:rPr>
        <w:t>‘‘regulated substance used as a refrigerant that is recovered shall be reclaimed before the regulated</w:t>
      </w:r>
      <w:r w:rsidRPr="00283806">
        <w:rPr>
          <w:spacing w:val="80"/>
          <w:w w:val="105"/>
        </w:rPr>
        <w:t xml:space="preserve"> </w:t>
      </w:r>
      <w:r w:rsidRPr="00283806">
        <w:rPr>
          <w:w w:val="105"/>
        </w:rPr>
        <w:t>substance is sold or transferred to a new owner, except where the recovered regulated substance is sold or</w:t>
      </w:r>
      <w:r w:rsidRPr="00283806">
        <w:rPr>
          <w:spacing w:val="40"/>
          <w:w w:val="105"/>
        </w:rPr>
        <w:t xml:space="preserve"> </w:t>
      </w:r>
      <w:r w:rsidRPr="00283806">
        <w:rPr>
          <w:w w:val="105"/>
        </w:rPr>
        <w:t xml:space="preserve">transferred to a new owner solely for the purposes of being reclaimed or </w:t>
      </w:r>
      <w:r w:rsidRPr="00283806">
        <w:rPr>
          <w:spacing w:val="-2"/>
          <w:w w:val="105"/>
        </w:rPr>
        <w:t>destroyed.’’</w:t>
      </w:r>
    </w:p>
    <w:p w14:paraId="3966F7E6" w14:textId="77777777" w:rsidR="00D67C1E" w:rsidRPr="00283806" w:rsidRDefault="001265CA">
      <w:pPr>
        <w:pStyle w:val="BodyText"/>
        <w:spacing w:line="175" w:lineRule="exact"/>
        <w:ind w:left="340"/>
      </w:pPr>
      <w:r w:rsidRPr="00283806">
        <w:rPr>
          <w:w w:val="105"/>
        </w:rPr>
        <w:t>Further,</w:t>
      </w:r>
      <w:r w:rsidRPr="00283806">
        <w:rPr>
          <w:spacing w:val="-6"/>
          <w:w w:val="105"/>
        </w:rPr>
        <w:t xml:space="preserve"> </w:t>
      </w:r>
      <w:r w:rsidRPr="00283806">
        <w:rPr>
          <w:w w:val="105"/>
        </w:rPr>
        <w:t>subsection</w:t>
      </w:r>
      <w:r w:rsidRPr="00283806">
        <w:rPr>
          <w:spacing w:val="-5"/>
          <w:w w:val="105"/>
        </w:rPr>
        <w:t xml:space="preserve"> </w:t>
      </w:r>
      <w:r w:rsidRPr="00283806">
        <w:rPr>
          <w:w w:val="105"/>
        </w:rPr>
        <w:t>(h)(3)</w:t>
      </w:r>
      <w:r w:rsidRPr="00283806">
        <w:rPr>
          <w:spacing w:val="-6"/>
          <w:w w:val="105"/>
        </w:rPr>
        <w:t xml:space="preserve"> </w:t>
      </w:r>
      <w:r w:rsidRPr="00283806">
        <w:rPr>
          <w:spacing w:val="-2"/>
          <w:w w:val="105"/>
        </w:rPr>
        <w:t>provides</w:t>
      </w:r>
    </w:p>
    <w:p w14:paraId="3E410101" w14:textId="77777777" w:rsidR="00D67C1E" w:rsidRPr="00283806" w:rsidRDefault="001265CA">
      <w:pPr>
        <w:pStyle w:val="BodyText"/>
        <w:spacing w:before="3" w:line="225" w:lineRule="auto"/>
        <w:ind w:right="21"/>
      </w:pPr>
      <w:r w:rsidRPr="00283806">
        <w:rPr>
          <w:w w:val="105"/>
        </w:rPr>
        <w:t>that in promulgating regulations to carry out subsection (h), EPA may coordinate those regulations with ‘‘any other regulations promulgated by the [EPA] that involve—(A) the same or a similar practice, process, or activity regarding</w:t>
      </w:r>
      <w:r w:rsidRPr="00283806">
        <w:rPr>
          <w:spacing w:val="40"/>
          <w:w w:val="105"/>
        </w:rPr>
        <w:t xml:space="preserve"> </w:t>
      </w:r>
      <w:r w:rsidRPr="00283806">
        <w:rPr>
          <w:w w:val="105"/>
        </w:rPr>
        <w:t>the servicing, repair, disposal, or installation of equipment; or (B) reclaiming.’’ The statute’s use of ‘‘may’’ conveys the Agency discretion to choose whether to coordinate regulations under subsection (h) with other Agency regulations, as well as determine the circumstances in which it is appropriate to undertake such coordination.</w:t>
      </w:r>
    </w:p>
    <w:p w14:paraId="5ED06405" w14:textId="77777777" w:rsidR="00D67C1E" w:rsidRPr="00283806" w:rsidRDefault="001265CA">
      <w:pPr>
        <w:pStyle w:val="BodyText"/>
        <w:spacing w:line="225" w:lineRule="auto"/>
        <w:ind w:right="31"/>
      </w:pPr>
      <w:r w:rsidRPr="00283806">
        <w:rPr>
          <w:w w:val="105"/>
        </w:rPr>
        <w:t>Congress did not define the term ‘‘coordinate’’ in the AIM Act. EPA interprets the term, as used in this context, as encompassing a variety of forms of coordination that could potentially be used for the specified</w:t>
      </w:r>
      <w:r w:rsidRPr="00283806">
        <w:rPr>
          <w:spacing w:val="40"/>
          <w:w w:val="105"/>
        </w:rPr>
        <w:t xml:space="preserve"> </w:t>
      </w:r>
      <w:r w:rsidRPr="00283806">
        <w:rPr>
          <w:w w:val="105"/>
        </w:rPr>
        <w:t>types of regulatory provisions and interprets (h)(3) as conveying discretion to EPA to select the form or forms of coordination</w:t>
      </w:r>
      <w:r w:rsidRPr="00283806">
        <w:rPr>
          <w:spacing w:val="-2"/>
          <w:w w:val="105"/>
        </w:rPr>
        <w:t xml:space="preserve"> </w:t>
      </w:r>
      <w:r w:rsidRPr="00283806">
        <w:rPr>
          <w:w w:val="105"/>
        </w:rPr>
        <w:t>that</w:t>
      </w:r>
      <w:r w:rsidRPr="00283806">
        <w:rPr>
          <w:spacing w:val="-2"/>
          <w:w w:val="105"/>
        </w:rPr>
        <w:t xml:space="preserve"> </w:t>
      </w:r>
      <w:r w:rsidRPr="00283806">
        <w:rPr>
          <w:w w:val="105"/>
        </w:rPr>
        <w:t>are</w:t>
      </w:r>
      <w:r w:rsidRPr="00283806">
        <w:rPr>
          <w:spacing w:val="-2"/>
          <w:w w:val="105"/>
        </w:rPr>
        <w:t xml:space="preserve"> </w:t>
      </w:r>
      <w:r w:rsidRPr="00283806">
        <w:rPr>
          <w:w w:val="105"/>
        </w:rPr>
        <w:t>appropriate</w:t>
      </w:r>
      <w:r w:rsidRPr="00283806">
        <w:rPr>
          <w:spacing w:val="-2"/>
          <w:w w:val="105"/>
        </w:rPr>
        <w:t xml:space="preserve"> </w:t>
      </w:r>
      <w:r w:rsidRPr="00283806">
        <w:rPr>
          <w:w w:val="105"/>
        </w:rPr>
        <w:t>for</w:t>
      </w:r>
      <w:r w:rsidRPr="00283806">
        <w:rPr>
          <w:spacing w:val="-2"/>
          <w:w w:val="105"/>
        </w:rPr>
        <w:t xml:space="preserve"> </w:t>
      </w:r>
      <w:r w:rsidRPr="00283806">
        <w:rPr>
          <w:w w:val="105"/>
        </w:rPr>
        <w:t>the particular circumstances and regulatory provisions under consideration in a</w:t>
      </w:r>
      <w:r w:rsidRPr="00283806">
        <w:rPr>
          <w:spacing w:val="40"/>
          <w:w w:val="105"/>
        </w:rPr>
        <w:t xml:space="preserve"> </w:t>
      </w:r>
      <w:r w:rsidRPr="00283806">
        <w:rPr>
          <w:w w:val="105"/>
        </w:rPr>
        <w:t>given action. This action under subsection (h) of the AIM Act describes whether and where EPA is coordinating with regulations that involve the same</w:t>
      </w:r>
    </w:p>
    <w:p w14:paraId="7B99F9CA" w14:textId="77777777" w:rsidR="00D67C1E" w:rsidRPr="00283806" w:rsidRDefault="001265CA">
      <w:pPr>
        <w:pStyle w:val="BodyText"/>
        <w:spacing w:before="136" w:line="225" w:lineRule="auto"/>
        <w:ind w:left="143" w:right="74"/>
      </w:pPr>
      <w:r w:rsidRPr="00283806">
        <w:br w:type="column"/>
      </w:r>
      <w:r w:rsidRPr="00283806">
        <w:rPr>
          <w:w w:val="105"/>
        </w:rPr>
        <w:t>or similar practices, processes, or activities regarding the servicing, repair, disposal, or installation of equipment or reclaiming, and the Agency’s rationale</w:t>
      </w:r>
      <w:r w:rsidRPr="00283806">
        <w:rPr>
          <w:spacing w:val="80"/>
          <w:w w:val="105"/>
        </w:rPr>
        <w:t xml:space="preserve"> </w:t>
      </w:r>
      <w:r w:rsidRPr="00283806">
        <w:rPr>
          <w:w w:val="105"/>
        </w:rPr>
        <w:t>on the appropriateness of coordinating with these regulations. For example, coordination could include establishing parallel requirements under subsection (h), where appropriate, as in another regulatory regime so that a similar practice, process, or activity in similar equipment is held to similar standards under</w:t>
      </w:r>
      <w:r w:rsidRPr="00283806">
        <w:rPr>
          <w:spacing w:val="40"/>
          <w:w w:val="105"/>
        </w:rPr>
        <w:t xml:space="preserve"> </w:t>
      </w:r>
      <w:r w:rsidRPr="00283806">
        <w:rPr>
          <w:w w:val="105"/>
        </w:rPr>
        <w:t>both</w:t>
      </w:r>
      <w:r w:rsidRPr="00283806">
        <w:rPr>
          <w:spacing w:val="40"/>
          <w:w w:val="105"/>
        </w:rPr>
        <w:t xml:space="preserve"> </w:t>
      </w:r>
      <w:r w:rsidRPr="00283806">
        <w:rPr>
          <w:w w:val="105"/>
        </w:rPr>
        <w:t>regimes.</w:t>
      </w:r>
      <w:r w:rsidRPr="00283806">
        <w:rPr>
          <w:spacing w:val="40"/>
          <w:w w:val="105"/>
        </w:rPr>
        <w:t xml:space="preserve"> </w:t>
      </w:r>
      <w:r w:rsidRPr="00283806">
        <w:rPr>
          <w:w w:val="105"/>
        </w:rPr>
        <w:t>It</w:t>
      </w:r>
      <w:r w:rsidRPr="00283806">
        <w:rPr>
          <w:spacing w:val="40"/>
          <w:w w:val="105"/>
        </w:rPr>
        <w:t xml:space="preserve"> </w:t>
      </w:r>
      <w:r w:rsidRPr="00283806">
        <w:rPr>
          <w:w w:val="105"/>
        </w:rPr>
        <w:t>could</w:t>
      </w:r>
      <w:r w:rsidRPr="00283806">
        <w:rPr>
          <w:spacing w:val="40"/>
          <w:w w:val="105"/>
        </w:rPr>
        <w:t xml:space="preserve"> </w:t>
      </w:r>
      <w:r w:rsidRPr="00283806">
        <w:rPr>
          <w:w w:val="105"/>
        </w:rPr>
        <w:t>also include deciding not to establish requirements under subsection (h) in certain situations, such as when an existing requirement already applies to</w:t>
      </w:r>
      <w:r w:rsidRPr="00283806">
        <w:rPr>
          <w:spacing w:val="80"/>
          <w:w w:val="105"/>
        </w:rPr>
        <w:t xml:space="preserve"> </w:t>
      </w:r>
      <w:r w:rsidRPr="00283806">
        <w:rPr>
          <w:w w:val="105"/>
        </w:rPr>
        <w:t>a similar practice, process, or activity under another set of regulations that</w:t>
      </w:r>
      <w:r w:rsidRPr="00283806">
        <w:rPr>
          <w:spacing w:val="40"/>
          <w:w w:val="105"/>
        </w:rPr>
        <w:t xml:space="preserve"> </w:t>
      </w:r>
      <w:r w:rsidRPr="00283806">
        <w:rPr>
          <w:w w:val="105"/>
        </w:rPr>
        <w:t>EPA views as adequate to also address the purposes of subsection (h).</w:t>
      </w:r>
    </w:p>
    <w:p w14:paraId="5D10C2C0" w14:textId="77777777" w:rsidR="00D67C1E" w:rsidRPr="00283806" w:rsidRDefault="001265CA">
      <w:pPr>
        <w:pStyle w:val="BodyText"/>
        <w:spacing w:line="225" w:lineRule="auto"/>
        <w:ind w:left="143" w:right="54"/>
      </w:pPr>
      <w:r w:rsidRPr="00283806">
        <w:rPr>
          <w:w w:val="105"/>
        </w:rPr>
        <w:t>Coordination could also mean coordinating rulemaking schedules or timing for certain requirements under subsection (h) that cover a similar practice, process, or activity as covered</w:t>
      </w:r>
      <w:r w:rsidRPr="00283806">
        <w:rPr>
          <w:spacing w:val="80"/>
          <w:w w:val="105"/>
        </w:rPr>
        <w:t xml:space="preserve"> </w:t>
      </w:r>
      <w:r w:rsidRPr="00283806">
        <w:rPr>
          <w:w w:val="105"/>
        </w:rPr>
        <w:t>in a previous regulation and would meet the purposes of subsection (h). Finally, coordination may also mean</w:t>
      </w:r>
      <w:r w:rsidRPr="00283806">
        <w:rPr>
          <w:spacing w:val="80"/>
          <w:w w:val="105"/>
        </w:rPr>
        <w:t xml:space="preserve"> </w:t>
      </w:r>
      <w:r w:rsidRPr="00283806">
        <w:rPr>
          <w:w w:val="105"/>
        </w:rPr>
        <w:t>coordinating the requirements under subsection (h) with revisions to regulations under other statutory authorities that address related</w:t>
      </w:r>
      <w:r w:rsidRPr="00283806">
        <w:rPr>
          <w:spacing w:val="40"/>
          <w:w w:val="105"/>
        </w:rPr>
        <w:t xml:space="preserve"> </w:t>
      </w:r>
      <w:r w:rsidRPr="00283806">
        <w:rPr>
          <w:w w:val="105"/>
        </w:rPr>
        <w:t>practices, processes, or activities, with</w:t>
      </w:r>
      <w:r w:rsidRPr="00283806">
        <w:rPr>
          <w:spacing w:val="40"/>
          <w:w w:val="105"/>
        </w:rPr>
        <w:t xml:space="preserve"> </w:t>
      </w:r>
      <w:r w:rsidRPr="00283806">
        <w:rPr>
          <w:w w:val="105"/>
        </w:rPr>
        <w:t>the goal of developing independent regulatory regimes that operate well together to achieve their stated goals.</w:t>
      </w:r>
    </w:p>
    <w:p w14:paraId="670C3011" w14:textId="77777777" w:rsidR="00D67C1E" w:rsidRPr="00283806" w:rsidRDefault="001265CA">
      <w:pPr>
        <w:pStyle w:val="BodyText"/>
        <w:spacing w:line="174" w:lineRule="exact"/>
        <w:ind w:left="323"/>
      </w:pPr>
      <w:r w:rsidRPr="00283806">
        <w:rPr>
          <w:w w:val="105"/>
        </w:rPr>
        <w:t>Subsection</w:t>
      </w:r>
      <w:r w:rsidRPr="00283806">
        <w:rPr>
          <w:spacing w:val="-3"/>
          <w:w w:val="105"/>
        </w:rPr>
        <w:t xml:space="preserve"> </w:t>
      </w:r>
      <w:r w:rsidRPr="00283806">
        <w:rPr>
          <w:w w:val="105"/>
        </w:rPr>
        <w:t>(h)(4)</w:t>
      </w:r>
      <w:r w:rsidRPr="00283806">
        <w:rPr>
          <w:spacing w:val="-2"/>
          <w:w w:val="105"/>
        </w:rPr>
        <w:t xml:space="preserve"> </w:t>
      </w:r>
      <w:r w:rsidRPr="00283806">
        <w:rPr>
          <w:w w:val="105"/>
        </w:rPr>
        <w:t>expressly</w:t>
      </w:r>
      <w:r w:rsidRPr="00283806">
        <w:rPr>
          <w:spacing w:val="-3"/>
          <w:w w:val="105"/>
        </w:rPr>
        <w:t xml:space="preserve"> </w:t>
      </w:r>
      <w:r w:rsidRPr="00283806">
        <w:rPr>
          <w:w w:val="105"/>
        </w:rPr>
        <w:t>states</w:t>
      </w:r>
      <w:r w:rsidRPr="00283806">
        <w:rPr>
          <w:spacing w:val="-2"/>
          <w:w w:val="105"/>
        </w:rPr>
        <w:t xml:space="preserve"> </w:t>
      </w:r>
      <w:r w:rsidRPr="00283806">
        <w:rPr>
          <w:spacing w:val="-4"/>
          <w:w w:val="105"/>
        </w:rPr>
        <w:t>that</w:t>
      </w:r>
    </w:p>
    <w:p w14:paraId="599CE0BA" w14:textId="77777777" w:rsidR="00D67C1E" w:rsidRPr="00283806" w:rsidRDefault="001265CA">
      <w:pPr>
        <w:pStyle w:val="BodyText"/>
        <w:spacing w:line="225" w:lineRule="auto"/>
        <w:ind w:left="143" w:right="54"/>
      </w:pPr>
      <w:r w:rsidRPr="00283806">
        <w:rPr>
          <w:w w:val="105"/>
        </w:rPr>
        <w:t>any rulemaking under subsection (h) shall not apply to a regulated substance or</w:t>
      </w:r>
      <w:r w:rsidRPr="00283806">
        <w:rPr>
          <w:spacing w:val="-1"/>
          <w:w w:val="105"/>
        </w:rPr>
        <w:t xml:space="preserve"> </w:t>
      </w:r>
      <w:r w:rsidRPr="00283806">
        <w:rPr>
          <w:w w:val="105"/>
        </w:rPr>
        <w:t>a</w:t>
      </w:r>
      <w:r w:rsidRPr="00283806">
        <w:rPr>
          <w:spacing w:val="-1"/>
          <w:w w:val="105"/>
        </w:rPr>
        <w:t xml:space="preserve"> </w:t>
      </w:r>
      <w:r w:rsidRPr="00283806">
        <w:rPr>
          <w:w w:val="105"/>
        </w:rPr>
        <w:t>substitute</w:t>
      </w:r>
      <w:r w:rsidRPr="00283806">
        <w:rPr>
          <w:spacing w:val="-1"/>
          <w:w w:val="105"/>
        </w:rPr>
        <w:t xml:space="preserve"> </w:t>
      </w:r>
      <w:r w:rsidRPr="00283806">
        <w:rPr>
          <w:w w:val="105"/>
        </w:rPr>
        <w:t>for</w:t>
      </w:r>
      <w:r w:rsidRPr="00283806">
        <w:rPr>
          <w:spacing w:val="-1"/>
          <w:w w:val="105"/>
        </w:rPr>
        <w:t xml:space="preserve"> </w:t>
      </w:r>
      <w:r w:rsidRPr="00283806">
        <w:rPr>
          <w:w w:val="105"/>
        </w:rPr>
        <w:t>a</w:t>
      </w:r>
      <w:r w:rsidRPr="00283806">
        <w:rPr>
          <w:spacing w:val="-1"/>
          <w:w w:val="105"/>
        </w:rPr>
        <w:t xml:space="preserve"> </w:t>
      </w:r>
      <w:r w:rsidRPr="00283806">
        <w:rPr>
          <w:w w:val="105"/>
        </w:rPr>
        <w:t>regulated</w:t>
      </w:r>
      <w:r w:rsidRPr="00283806">
        <w:rPr>
          <w:spacing w:val="-1"/>
          <w:w w:val="105"/>
        </w:rPr>
        <w:t xml:space="preserve"> </w:t>
      </w:r>
      <w:r w:rsidRPr="00283806">
        <w:rPr>
          <w:w w:val="105"/>
        </w:rPr>
        <w:t xml:space="preserve">substance that is contained in a foam. Thus, the requirements in this rulemaking do not apply to regulated substances or substitutes for regulated substances when those substances are contained in </w:t>
      </w:r>
      <w:r w:rsidRPr="00283806">
        <w:rPr>
          <w:spacing w:val="-2"/>
          <w:w w:val="105"/>
        </w:rPr>
        <w:t>foams.</w:t>
      </w:r>
    </w:p>
    <w:p w14:paraId="726636A1" w14:textId="77777777" w:rsidR="00D67C1E" w:rsidRPr="00283806" w:rsidRDefault="001265CA">
      <w:pPr>
        <w:pStyle w:val="BodyText"/>
        <w:spacing w:line="177" w:lineRule="exact"/>
        <w:ind w:left="323"/>
      </w:pPr>
      <w:r w:rsidRPr="00283806">
        <w:rPr>
          <w:w w:val="105"/>
        </w:rPr>
        <w:t>Finally,</w:t>
      </w:r>
      <w:r w:rsidRPr="00283806">
        <w:rPr>
          <w:spacing w:val="9"/>
          <w:w w:val="105"/>
        </w:rPr>
        <w:t xml:space="preserve"> </w:t>
      </w:r>
      <w:r w:rsidRPr="00283806">
        <w:rPr>
          <w:w w:val="105"/>
        </w:rPr>
        <w:t>subsection</w:t>
      </w:r>
      <w:r w:rsidRPr="00283806">
        <w:rPr>
          <w:spacing w:val="9"/>
          <w:w w:val="105"/>
        </w:rPr>
        <w:t xml:space="preserve"> </w:t>
      </w:r>
      <w:r w:rsidRPr="00283806">
        <w:rPr>
          <w:w w:val="105"/>
        </w:rPr>
        <w:t>(h)(5)</w:t>
      </w:r>
      <w:r w:rsidRPr="00283806">
        <w:rPr>
          <w:spacing w:val="9"/>
          <w:w w:val="105"/>
        </w:rPr>
        <w:t xml:space="preserve"> </w:t>
      </w:r>
      <w:r w:rsidRPr="00283806">
        <w:rPr>
          <w:spacing w:val="-2"/>
          <w:w w:val="105"/>
        </w:rPr>
        <w:t>provides</w:t>
      </w:r>
    </w:p>
    <w:p w14:paraId="564AB061" w14:textId="77777777" w:rsidR="00D67C1E" w:rsidRPr="00283806" w:rsidRDefault="001265CA">
      <w:pPr>
        <w:pStyle w:val="BodyText"/>
        <w:spacing w:line="225" w:lineRule="auto"/>
        <w:ind w:left="143" w:right="7"/>
      </w:pPr>
      <w:r w:rsidRPr="00283806">
        <w:rPr>
          <w:w w:val="105"/>
        </w:rPr>
        <w:t>that, subject to availability of appropriations, EPA shall establish a grant program to award small business grants for the purchase of new specialized equipment for the recycling, recovery, or reclamation of a substitute for a regulated substance, including the purchase of approved refrigerant recycling equipment for recycling, recovery, or reclamation in the service</w:t>
      </w:r>
      <w:r w:rsidRPr="00283806">
        <w:rPr>
          <w:spacing w:val="80"/>
          <w:w w:val="105"/>
        </w:rPr>
        <w:t xml:space="preserve"> </w:t>
      </w:r>
      <w:r w:rsidRPr="00283806">
        <w:rPr>
          <w:w w:val="105"/>
        </w:rPr>
        <w:t>or repair of motor vehicle air</w:t>
      </w:r>
      <w:r w:rsidRPr="00283806">
        <w:rPr>
          <w:spacing w:val="80"/>
          <w:w w:val="105"/>
        </w:rPr>
        <w:t xml:space="preserve"> </w:t>
      </w:r>
      <w:r w:rsidRPr="00283806">
        <w:rPr>
          <w:w w:val="105"/>
        </w:rPr>
        <w:t>conditioner (MVAC) systems. Funds</w:t>
      </w:r>
      <w:r w:rsidRPr="00283806">
        <w:rPr>
          <w:spacing w:val="80"/>
          <w:w w:val="105"/>
        </w:rPr>
        <w:t xml:space="preserve"> </w:t>
      </w:r>
      <w:r w:rsidRPr="00283806">
        <w:rPr>
          <w:w w:val="105"/>
        </w:rPr>
        <w:t>have not been appropriated for this</w:t>
      </w:r>
      <w:r w:rsidRPr="00283806">
        <w:rPr>
          <w:spacing w:val="80"/>
          <w:w w:val="105"/>
        </w:rPr>
        <w:t xml:space="preserve"> </w:t>
      </w:r>
      <w:r w:rsidRPr="00283806">
        <w:rPr>
          <w:w w:val="105"/>
        </w:rPr>
        <w:t xml:space="preserve">grant program. The establishment of this program is outside the scope of this </w:t>
      </w:r>
      <w:r w:rsidRPr="00283806">
        <w:rPr>
          <w:spacing w:val="-2"/>
          <w:w w:val="105"/>
        </w:rPr>
        <w:t>rulemaking.</w:t>
      </w:r>
    </w:p>
    <w:p w14:paraId="0A5D56AD" w14:textId="77777777" w:rsidR="00D67C1E" w:rsidRPr="00283806" w:rsidRDefault="001265CA">
      <w:pPr>
        <w:pStyle w:val="BodyText"/>
        <w:spacing w:line="185" w:lineRule="exact"/>
        <w:ind w:left="323"/>
      </w:pPr>
      <w:r w:rsidRPr="00283806">
        <w:rPr>
          <w:w w:val="110"/>
        </w:rPr>
        <w:t>Through</w:t>
      </w:r>
      <w:r w:rsidRPr="00283806">
        <w:rPr>
          <w:spacing w:val="-9"/>
          <w:w w:val="110"/>
        </w:rPr>
        <w:t xml:space="preserve"> </w:t>
      </w:r>
      <w:r w:rsidRPr="00283806">
        <w:rPr>
          <w:w w:val="110"/>
        </w:rPr>
        <w:t>this</w:t>
      </w:r>
      <w:r w:rsidRPr="00283806">
        <w:rPr>
          <w:spacing w:val="-8"/>
          <w:w w:val="110"/>
        </w:rPr>
        <w:t xml:space="preserve"> </w:t>
      </w:r>
      <w:r w:rsidRPr="00283806">
        <w:rPr>
          <w:w w:val="110"/>
        </w:rPr>
        <w:t>rulemaking,</w:t>
      </w:r>
      <w:r w:rsidRPr="00283806">
        <w:rPr>
          <w:spacing w:val="-8"/>
          <w:w w:val="110"/>
        </w:rPr>
        <w:t xml:space="preserve"> </w:t>
      </w:r>
      <w:r w:rsidRPr="00283806">
        <w:rPr>
          <w:w w:val="110"/>
        </w:rPr>
        <w:t>EPA</w:t>
      </w:r>
      <w:r w:rsidRPr="00283806">
        <w:rPr>
          <w:spacing w:val="-9"/>
          <w:w w:val="110"/>
        </w:rPr>
        <w:t xml:space="preserve"> </w:t>
      </w:r>
      <w:r w:rsidRPr="00283806">
        <w:rPr>
          <w:spacing w:val="-5"/>
          <w:w w:val="110"/>
        </w:rPr>
        <w:t>is</w:t>
      </w:r>
    </w:p>
    <w:p w14:paraId="39D2F1BB" w14:textId="77777777" w:rsidR="00D67C1E" w:rsidRPr="00283806" w:rsidRDefault="001265CA">
      <w:pPr>
        <w:pStyle w:val="BodyText"/>
        <w:spacing w:before="3" w:line="228" w:lineRule="auto"/>
        <w:ind w:left="143"/>
      </w:pPr>
      <w:r w:rsidRPr="00283806">
        <w:rPr>
          <w:w w:val="105"/>
        </w:rPr>
        <w:t>establishing an ER&amp;R program that includes requirements for leak repair for certain equipment containing a refrigerant that contains an HFC or</w:t>
      </w:r>
    </w:p>
    <w:p w14:paraId="6C906654" w14:textId="77777777" w:rsidR="00D67C1E" w:rsidRPr="00283806" w:rsidRDefault="001265CA">
      <w:pPr>
        <w:pStyle w:val="BodyText"/>
        <w:spacing w:before="134" w:line="228" w:lineRule="auto"/>
        <w:ind w:left="144" w:right="197"/>
      </w:pPr>
      <w:r w:rsidRPr="00283806">
        <w:br w:type="column"/>
      </w:r>
      <w:r w:rsidRPr="00283806">
        <w:rPr>
          <w:w w:val="105"/>
        </w:rPr>
        <w:t>certain substitutes for HFCs; installation and use of ALD systems for certain equipment; the servicing and/or repair</w:t>
      </w:r>
      <w:r w:rsidRPr="00283806">
        <w:rPr>
          <w:spacing w:val="40"/>
          <w:w w:val="105"/>
        </w:rPr>
        <w:t xml:space="preserve"> </w:t>
      </w:r>
      <w:r w:rsidRPr="00283806">
        <w:rPr>
          <w:w w:val="105"/>
        </w:rPr>
        <w:t>of refrigerant-containing equipment</w:t>
      </w:r>
      <w:r w:rsidRPr="00283806">
        <w:rPr>
          <w:spacing w:val="80"/>
          <w:w w:val="105"/>
        </w:rPr>
        <w:t xml:space="preserve"> </w:t>
      </w:r>
      <w:r w:rsidRPr="00283806">
        <w:rPr>
          <w:w w:val="105"/>
        </w:rPr>
        <w:t>with reclaimed HFCs in certain RACHP subsectors; requirements for the servicing,</w:t>
      </w:r>
      <w:r w:rsidRPr="00283806">
        <w:rPr>
          <w:spacing w:val="40"/>
          <w:w w:val="105"/>
        </w:rPr>
        <w:t xml:space="preserve"> </w:t>
      </w:r>
      <w:r w:rsidRPr="00283806">
        <w:rPr>
          <w:w w:val="105"/>
        </w:rPr>
        <w:t>repair,</w:t>
      </w:r>
      <w:r w:rsidRPr="00283806">
        <w:rPr>
          <w:spacing w:val="40"/>
          <w:w w:val="105"/>
        </w:rPr>
        <w:t xml:space="preserve"> </w:t>
      </w:r>
      <w:r w:rsidRPr="00283806">
        <w:rPr>
          <w:w w:val="105"/>
        </w:rPr>
        <w:t>disposal,</w:t>
      </w:r>
      <w:r w:rsidRPr="00283806">
        <w:rPr>
          <w:spacing w:val="40"/>
          <w:w w:val="105"/>
        </w:rPr>
        <w:t xml:space="preserve"> </w:t>
      </w:r>
      <w:r w:rsidRPr="00283806">
        <w:rPr>
          <w:w w:val="105"/>
        </w:rPr>
        <w:t>or installation of fire suppression equipment that contains HFCs to be</w:t>
      </w:r>
      <w:r w:rsidRPr="00283806">
        <w:rPr>
          <w:spacing w:val="80"/>
          <w:w w:val="105"/>
        </w:rPr>
        <w:t xml:space="preserve"> </w:t>
      </w:r>
      <w:r w:rsidRPr="00283806">
        <w:rPr>
          <w:w w:val="105"/>
        </w:rPr>
        <w:t>done with recycled HFCs, with the purpose of minimizing the release of HFCs from that equipment, as well as requirements related to technician training in the fire suppression sector; and recovery of HFCs from disposable cylinders before discarding. EPA is also establishing recordkeeping, reporting, and/or labeling requirements pursuant to these provisions.</w:t>
      </w:r>
    </w:p>
    <w:p w14:paraId="7AB284B8" w14:textId="77777777" w:rsidR="00D67C1E" w:rsidRPr="00283806" w:rsidRDefault="001265CA">
      <w:pPr>
        <w:pStyle w:val="BodyText"/>
        <w:spacing w:before="30" w:line="228" w:lineRule="auto"/>
        <w:ind w:left="144" w:right="171" w:firstLine="180"/>
      </w:pPr>
      <w:r w:rsidRPr="00283806">
        <w:rPr>
          <w:w w:val="105"/>
        </w:rPr>
        <w:t>Under subsection (h)(1), EPA is directed to promulgate certain regulations for ‘‘purposes of maximizing the reclaiming and minimizing the</w:t>
      </w:r>
      <w:r w:rsidRPr="00283806">
        <w:rPr>
          <w:spacing w:val="40"/>
          <w:w w:val="105"/>
        </w:rPr>
        <w:t xml:space="preserve"> </w:t>
      </w:r>
      <w:r w:rsidRPr="00283806">
        <w:rPr>
          <w:w w:val="105"/>
        </w:rPr>
        <w:t>release of a regulated substance from equipment and ensuring the safety of technicians and consumers.’’ Subsection</w:t>
      </w:r>
    </w:p>
    <w:p w14:paraId="2D9A8FBD" w14:textId="77777777" w:rsidR="00D67C1E" w:rsidRPr="00283806" w:rsidRDefault="001265CA">
      <w:pPr>
        <w:pStyle w:val="BodyText"/>
        <w:spacing w:line="228" w:lineRule="auto"/>
        <w:ind w:left="144" w:right="155"/>
      </w:pPr>
      <w:r w:rsidRPr="00283806">
        <w:rPr>
          <w:w w:val="105"/>
        </w:rPr>
        <w:t>(h) further specifies that those regulations are to control, where appropriate, any practice, process, or activity regarding the servicing, repair, disposal, or installation of equipment</w:t>
      </w:r>
      <w:r w:rsidRPr="00283806">
        <w:rPr>
          <w:spacing w:val="40"/>
          <w:w w:val="105"/>
        </w:rPr>
        <w:t xml:space="preserve"> </w:t>
      </w:r>
      <w:r w:rsidRPr="00283806">
        <w:rPr>
          <w:w w:val="105"/>
        </w:rPr>
        <w:t>that involves a regulated substance, a substitute for a regulated substance, the reclaiming of a regulated substance used as a refrigerant, or the reclaiming of a substitute</w:t>
      </w:r>
      <w:r w:rsidRPr="00283806">
        <w:rPr>
          <w:spacing w:val="-1"/>
          <w:w w:val="105"/>
        </w:rPr>
        <w:t xml:space="preserve"> </w:t>
      </w:r>
      <w:r w:rsidRPr="00283806">
        <w:rPr>
          <w:w w:val="105"/>
        </w:rPr>
        <w:t>for</w:t>
      </w:r>
      <w:r w:rsidRPr="00283806">
        <w:rPr>
          <w:spacing w:val="-1"/>
          <w:w w:val="105"/>
        </w:rPr>
        <w:t xml:space="preserve"> </w:t>
      </w:r>
      <w:r w:rsidRPr="00283806">
        <w:rPr>
          <w:w w:val="105"/>
        </w:rPr>
        <w:t>a</w:t>
      </w:r>
      <w:r w:rsidRPr="00283806">
        <w:rPr>
          <w:spacing w:val="-1"/>
          <w:w w:val="105"/>
        </w:rPr>
        <w:t xml:space="preserve"> </w:t>
      </w:r>
      <w:r w:rsidRPr="00283806">
        <w:rPr>
          <w:w w:val="105"/>
        </w:rPr>
        <w:t>regulated</w:t>
      </w:r>
      <w:r w:rsidRPr="00283806">
        <w:rPr>
          <w:spacing w:val="-1"/>
          <w:w w:val="105"/>
        </w:rPr>
        <w:t xml:space="preserve"> </w:t>
      </w:r>
      <w:r w:rsidRPr="00283806">
        <w:rPr>
          <w:w w:val="105"/>
        </w:rPr>
        <w:t>substance</w:t>
      </w:r>
      <w:r w:rsidRPr="00283806">
        <w:rPr>
          <w:spacing w:val="-1"/>
          <w:w w:val="105"/>
        </w:rPr>
        <w:t xml:space="preserve"> </w:t>
      </w:r>
      <w:r w:rsidRPr="00283806">
        <w:rPr>
          <w:w w:val="105"/>
        </w:rPr>
        <w:t>used as a refrigerant. Together, the</w:t>
      </w:r>
      <w:r w:rsidRPr="00283806">
        <w:rPr>
          <w:spacing w:val="80"/>
          <w:w w:val="105"/>
        </w:rPr>
        <w:t xml:space="preserve"> </w:t>
      </w:r>
      <w:r w:rsidRPr="00283806">
        <w:rPr>
          <w:w w:val="105"/>
        </w:rPr>
        <w:t>provisions, as summarized here and explained in greater detail in the</w:t>
      </w:r>
      <w:r w:rsidRPr="00283806">
        <w:rPr>
          <w:spacing w:val="80"/>
          <w:w w:val="105"/>
        </w:rPr>
        <w:t xml:space="preserve"> </w:t>
      </w:r>
      <w:r w:rsidRPr="00283806">
        <w:rPr>
          <w:w w:val="105"/>
        </w:rPr>
        <w:t xml:space="preserve">relevant sections of this rulemaking, are designed to further those three purposes described in subsection (h)(1); </w:t>
      </w:r>
      <w:r w:rsidRPr="00283806">
        <w:rPr>
          <w:rFonts w:ascii="Book Antiqua" w:hAnsi="Book Antiqua"/>
          <w:i/>
          <w:w w:val="105"/>
        </w:rPr>
        <w:t xml:space="preserve">i.e., </w:t>
      </w:r>
      <w:r w:rsidRPr="00283806">
        <w:rPr>
          <w:w w:val="105"/>
        </w:rPr>
        <w:t>(1) maximizing reclaiming, (2) minimizing the release of regulated substances from equipment, and (3) ensuring the safety</w:t>
      </w:r>
      <w:r w:rsidRPr="00283806">
        <w:rPr>
          <w:spacing w:val="80"/>
          <w:w w:val="105"/>
        </w:rPr>
        <w:t xml:space="preserve"> </w:t>
      </w:r>
      <w:r w:rsidRPr="00283806">
        <w:rPr>
          <w:w w:val="105"/>
        </w:rPr>
        <w:t>of</w:t>
      </w:r>
      <w:r w:rsidRPr="00283806">
        <w:rPr>
          <w:spacing w:val="40"/>
          <w:w w:val="105"/>
        </w:rPr>
        <w:t xml:space="preserve"> </w:t>
      </w:r>
      <w:r w:rsidRPr="00283806">
        <w:rPr>
          <w:w w:val="105"/>
        </w:rPr>
        <w:t>technicians</w:t>
      </w:r>
      <w:r w:rsidRPr="00283806">
        <w:rPr>
          <w:spacing w:val="40"/>
          <w:w w:val="105"/>
        </w:rPr>
        <w:t xml:space="preserve"> </w:t>
      </w:r>
      <w:r w:rsidRPr="00283806">
        <w:rPr>
          <w:w w:val="105"/>
        </w:rPr>
        <w:t>and</w:t>
      </w:r>
      <w:r w:rsidRPr="00283806">
        <w:rPr>
          <w:spacing w:val="40"/>
          <w:w w:val="105"/>
        </w:rPr>
        <w:t xml:space="preserve"> </w:t>
      </w:r>
      <w:r w:rsidRPr="00283806">
        <w:rPr>
          <w:w w:val="105"/>
        </w:rPr>
        <w:t>consumers, consistent with the scope of regulatory authority under that provision. As EPA interprets the statutory text, the suite of regulations established under</w:t>
      </w:r>
      <w:r w:rsidRPr="00283806">
        <w:rPr>
          <w:spacing w:val="80"/>
          <w:w w:val="105"/>
        </w:rPr>
        <w:t xml:space="preserve"> </w:t>
      </w:r>
      <w:r w:rsidRPr="00283806">
        <w:rPr>
          <w:w w:val="105"/>
        </w:rPr>
        <w:t>subsection (h)(1) of the Act, taken together, are to focus on serving these purposes, though the individual regulatory provisions under subsection (h)(1) need not each connect to all three purposes. This interpretation is integral to establishing an effective regulatory program, as some regulatory provisions that might be considered under (h)(1) may be highly efficacious at addressing one of the regulatory purposes but not address the other two, or alternatively, may be important to support the functioning of the regulatory program as a</w:t>
      </w:r>
      <w:r w:rsidRPr="00283806">
        <w:rPr>
          <w:spacing w:val="32"/>
          <w:w w:val="105"/>
        </w:rPr>
        <w:t xml:space="preserve"> </w:t>
      </w:r>
      <w:r w:rsidRPr="00283806">
        <w:rPr>
          <w:w w:val="105"/>
        </w:rPr>
        <w:t>whole,</w:t>
      </w:r>
      <w:r w:rsidRPr="00283806">
        <w:rPr>
          <w:spacing w:val="32"/>
          <w:w w:val="105"/>
        </w:rPr>
        <w:t xml:space="preserve"> </w:t>
      </w:r>
      <w:r w:rsidRPr="00283806">
        <w:rPr>
          <w:w w:val="105"/>
        </w:rPr>
        <w:t>but</w:t>
      </w:r>
      <w:r w:rsidRPr="00283806">
        <w:rPr>
          <w:spacing w:val="32"/>
          <w:w w:val="105"/>
        </w:rPr>
        <w:t xml:space="preserve"> </w:t>
      </w:r>
      <w:r w:rsidRPr="00283806">
        <w:rPr>
          <w:w w:val="105"/>
        </w:rPr>
        <w:t>not</w:t>
      </w:r>
      <w:r w:rsidRPr="00283806">
        <w:rPr>
          <w:spacing w:val="32"/>
          <w:w w:val="105"/>
        </w:rPr>
        <w:t xml:space="preserve"> </w:t>
      </w:r>
      <w:r w:rsidRPr="00283806">
        <w:rPr>
          <w:w w:val="105"/>
        </w:rPr>
        <w:t>be</w:t>
      </w:r>
      <w:r w:rsidRPr="00283806">
        <w:rPr>
          <w:spacing w:val="32"/>
          <w:w w:val="105"/>
        </w:rPr>
        <w:t xml:space="preserve"> </w:t>
      </w:r>
      <w:r w:rsidRPr="00283806">
        <w:rPr>
          <w:w w:val="105"/>
        </w:rPr>
        <w:t>focused</w:t>
      </w:r>
      <w:r w:rsidRPr="00283806">
        <w:rPr>
          <w:spacing w:val="32"/>
          <w:w w:val="105"/>
        </w:rPr>
        <w:t xml:space="preserve"> </w:t>
      </w:r>
      <w:r w:rsidRPr="00283806">
        <w:rPr>
          <w:w w:val="105"/>
        </w:rPr>
        <w:t>on</w:t>
      </w:r>
      <w:r w:rsidRPr="00283806">
        <w:rPr>
          <w:spacing w:val="32"/>
          <w:w w:val="105"/>
        </w:rPr>
        <w:t xml:space="preserve"> </w:t>
      </w:r>
      <w:r w:rsidRPr="00283806">
        <w:rPr>
          <w:w w:val="105"/>
        </w:rPr>
        <w:t>any</w:t>
      </w:r>
      <w:r w:rsidRPr="00283806">
        <w:rPr>
          <w:spacing w:val="32"/>
          <w:w w:val="105"/>
        </w:rPr>
        <w:t xml:space="preserve"> </w:t>
      </w:r>
      <w:r w:rsidRPr="00283806">
        <w:rPr>
          <w:w w:val="105"/>
        </w:rPr>
        <w:t>of the specific purposes. Accordingly, this understanding of the statutory text will support EPA’s ability to develop</w:t>
      </w:r>
    </w:p>
    <w:p w14:paraId="1D891A1B" w14:textId="77777777" w:rsidR="00D67C1E" w:rsidRPr="00283806" w:rsidRDefault="00D67C1E">
      <w:pPr>
        <w:spacing w:line="228" w:lineRule="auto"/>
        <w:sectPr w:rsidR="00D67C1E" w:rsidRPr="00283806">
          <w:headerReference w:type="even" r:id="rId14"/>
          <w:headerReference w:type="default" r:id="rId15"/>
          <w:pgSz w:w="12240" w:h="15840"/>
          <w:pgMar w:top="1040" w:right="780" w:bottom="280" w:left="740" w:header="627" w:footer="0" w:gutter="0"/>
          <w:pgNumType w:start="82689"/>
          <w:cols w:num="3" w:space="720" w:equalWidth="0">
            <w:col w:w="3517" w:space="40"/>
            <w:col w:w="3499" w:space="39"/>
            <w:col w:w="3625"/>
          </w:cols>
        </w:sectPr>
      </w:pPr>
    </w:p>
    <w:p w14:paraId="2FBB4C7C" w14:textId="77777777" w:rsidR="00D67C1E" w:rsidRPr="00283806" w:rsidRDefault="001265CA">
      <w:pPr>
        <w:pStyle w:val="BodyText"/>
        <w:spacing w:before="136" w:line="225" w:lineRule="auto"/>
      </w:pPr>
      <w:r w:rsidRPr="00283806">
        <w:rPr>
          <w:w w:val="105"/>
        </w:rPr>
        <w:lastRenderedPageBreak/>
        <w:t>regulations</w:t>
      </w:r>
      <w:r w:rsidRPr="00283806">
        <w:rPr>
          <w:spacing w:val="-2"/>
          <w:w w:val="105"/>
        </w:rPr>
        <w:t xml:space="preserve"> </w:t>
      </w:r>
      <w:r w:rsidRPr="00283806">
        <w:rPr>
          <w:w w:val="105"/>
        </w:rPr>
        <w:t>that</w:t>
      </w:r>
      <w:r w:rsidRPr="00283806">
        <w:rPr>
          <w:spacing w:val="-2"/>
          <w:w w:val="105"/>
        </w:rPr>
        <w:t xml:space="preserve"> </w:t>
      </w:r>
      <w:r w:rsidRPr="00283806">
        <w:rPr>
          <w:w w:val="105"/>
        </w:rPr>
        <w:t>work</w:t>
      </w:r>
      <w:r w:rsidRPr="00283806">
        <w:rPr>
          <w:spacing w:val="-2"/>
          <w:w w:val="105"/>
        </w:rPr>
        <w:t xml:space="preserve"> </w:t>
      </w:r>
      <w:r w:rsidRPr="00283806">
        <w:rPr>
          <w:w w:val="105"/>
        </w:rPr>
        <w:t>together</w:t>
      </w:r>
      <w:r w:rsidRPr="00283806">
        <w:rPr>
          <w:spacing w:val="-2"/>
          <w:w w:val="105"/>
        </w:rPr>
        <w:t xml:space="preserve"> </w:t>
      </w:r>
      <w:r w:rsidRPr="00283806">
        <w:rPr>
          <w:w w:val="105"/>
        </w:rPr>
        <w:t>to</w:t>
      </w:r>
      <w:r w:rsidRPr="00283806">
        <w:rPr>
          <w:spacing w:val="-2"/>
          <w:w w:val="105"/>
        </w:rPr>
        <w:t xml:space="preserve"> </w:t>
      </w:r>
      <w:r w:rsidRPr="00283806">
        <w:rPr>
          <w:w w:val="105"/>
        </w:rPr>
        <w:t>help achieve the statutory purposes.</w:t>
      </w:r>
    </w:p>
    <w:p w14:paraId="3F72003F" w14:textId="77777777" w:rsidR="00D67C1E" w:rsidRPr="00283806" w:rsidRDefault="001265CA">
      <w:pPr>
        <w:pStyle w:val="BodyText"/>
        <w:spacing w:line="179" w:lineRule="exact"/>
        <w:ind w:left="340"/>
      </w:pPr>
      <w:r w:rsidRPr="00283806">
        <w:rPr>
          <w:w w:val="105"/>
        </w:rPr>
        <w:t>Together,</w:t>
      </w:r>
      <w:r w:rsidRPr="00283806">
        <w:rPr>
          <w:spacing w:val="13"/>
          <w:w w:val="105"/>
        </w:rPr>
        <w:t xml:space="preserve"> </w:t>
      </w:r>
      <w:r w:rsidRPr="00283806">
        <w:rPr>
          <w:w w:val="105"/>
        </w:rPr>
        <w:t>the</w:t>
      </w:r>
      <w:r w:rsidRPr="00283806">
        <w:rPr>
          <w:spacing w:val="13"/>
          <w:w w:val="105"/>
        </w:rPr>
        <w:t xml:space="preserve"> </w:t>
      </w:r>
      <w:r w:rsidRPr="00283806">
        <w:rPr>
          <w:w w:val="105"/>
        </w:rPr>
        <w:t>provisions</w:t>
      </w:r>
      <w:r w:rsidRPr="00283806">
        <w:rPr>
          <w:spacing w:val="13"/>
          <w:w w:val="105"/>
        </w:rPr>
        <w:t xml:space="preserve"> </w:t>
      </w:r>
      <w:r w:rsidRPr="00283806">
        <w:rPr>
          <w:w w:val="105"/>
        </w:rPr>
        <w:t>in</w:t>
      </w:r>
      <w:r w:rsidRPr="00283806">
        <w:rPr>
          <w:spacing w:val="13"/>
          <w:w w:val="105"/>
        </w:rPr>
        <w:t xml:space="preserve"> </w:t>
      </w:r>
      <w:r w:rsidRPr="00283806">
        <w:rPr>
          <w:w w:val="105"/>
        </w:rPr>
        <w:t>this</w:t>
      </w:r>
      <w:r w:rsidRPr="00283806">
        <w:rPr>
          <w:spacing w:val="13"/>
          <w:w w:val="105"/>
        </w:rPr>
        <w:t xml:space="preserve"> </w:t>
      </w:r>
      <w:r w:rsidRPr="00283806">
        <w:rPr>
          <w:spacing w:val="-2"/>
          <w:w w:val="105"/>
        </w:rPr>
        <w:t>action</w:t>
      </w:r>
    </w:p>
    <w:p w14:paraId="13804A81" w14:textId="77777777" w:rsidR="00D67C1E" w:rsidRPr="00283806" w:rsidRDefault="001265CA">
      <w:pPr>
        <w:pStyle w:val="BodyText"/>
        <w:spacing w:before="4" w:line="225" w:lineRule="auto"/>
      </w:pPr>
      <w:r w:rsidRPr="00283806">
        <w:rPr>
          <w:w w:val="105"/>
        </w:rPr>
        <w:t xml:space="preserve">serve the purposes described in (h)(1), with certain provisions more geared towards one or two of the purposes identified in subsection (h)(1). For example, the provisions related to leak repair in this action are directed at the purpose of minimizing the release of a regulated substance from </w:t>
      </w:r>
      <w:proofErr w:type="gramStart"/>
      <w:r w:rsidRPr="00283806">
        <w:rPr>
          <w:w w:val="105"/>
        </w:rPr>
        <w:t>equipment,</w:t>
      </w:r>
      <w:r w:rsidRPr="00283806">
        <w:rPr>
          <w:spacing w:val="80"/>
          <w:w w:val="105"/>
        </w:rPr>
        <w:t xml:space="preserve"> </w:t>
      </w:r>
      <w:r w:rsidRPr="00283806">
        <w:rPr>
          <w:w w:val="105"/>
        </w:rPr>
        <w:t>but</w:t>
      </w:r>
      <w:proofErr w:type="gramEnd"/>
      <w:r w:rsidRPr="00283806">
        <w:rPr>
          <w:w w:val="105"/>
        </w:rPr>
        <w:t xml:space="preserve"> also help serve the purpose of maximizing</w:t>
      </w:r>
      <w:r w:rsidRPr="00283806">
        <w:rPr>
          <w:spacing w:val="40"/>
          <w:w w:val="105"/>
        </w:rPr>
        <w:t xml:space="preserve"> </w:t>
      </w:r>
      <w:r w:rsidRPr="00283806">
        <w:rPr>
          <w:w w:val="105"/>
        </w:rPr>
        <w:t>the</w:t>
      </w:r>
      <w:r w:rsidRPr="00283806">
        <w:rPr>
          <w:spacing w:val="40"/>
          <w:w w:val="105"/>
        </w:rPr>
        <w:t xml:space="preserve"> </w:t>
      </w:r>
      <w:r w:rsidRPr="00283806">
        <w:rPr>
          <w:w w:val="105"/>
        </w:rPr>
        <w:t>reclaiming</w:t>
      </w:r>
      <w:r w:rsidRPr="00283806">
        <w:rPr>
          <w:spacing w:val="40"/>
          <w:w w:val="105"/>
        </w:rPr>
        <w:t xml:space="preserve"> </w:t>
      </w:r>
      <w:r w:rsidRPr="00283806">
        <w:rPr>
          <w:w w:val="105"/>
        </w:rPr>
        <w:t>of</w:t>
      </w:r>
      <w:r w:rsidRPr="00283806">
        <w:rPr>
          <w:spacing w:val="40"/>
          <w:w w:val="105"/>
        </w:rPr>
        <w:t xml:space="preserve"> </w:t>
      </w:r>
      <w:r w:rsidRPr="00283806">
        <w:rPr>
          <w:w w:val="105"/>
        </w:rPr>
        <w:t>a regulated substance. Those provisions</w:t>
      </w:r>
      <w:r w:rsidRPr="00283806">
        <w:rPr>
          <w:spacing w:val="40"/>
          <w:w w:val="105"/>
        </w:rPr>
        <w:t xml:space="preserve"> </w:t>
      </w:r>
      <w:r w:rsidRPr="00283806">
        <w:rPr>
          <w:w w:val="105"/>
        </w:rPr>
        <w:t>set requirements for when and how equipment</w:t>
      </w:r>
      <w:r w:rsidRPr="00283806">
        <w:rPr>
          <w:spacing w:val="40"/>
          <w:w w:val="105"/>
        </w:rPr>
        <w:t xml:space="preserve"> </w:t>
      </w:r>
      <w:r w:rsidRPr="00283806">
        <w:rPr>
          <w:w w:val="105"/>
        </w:rPr>
        <w:t>must</w:t>
      </w:r>
      <w:r w:rsidRPr="00283806">
        <w:rPr>
          <w:spacing w:val="40"/>
          <w:w w:val="105"/>
        </w:rPr>
        <w:t xml:space="preserve"> </w:t>
      </w:r>
      <w:r w:rsidRPr="00283806">
        <w:rPr>
          <w:w w:val="105"/>
        </w:rPr>
        <w:t>be</w:t>
      </w:r>
      <w:r w:rsidRPr="00283806">
        <w:rPr>
          <w:spacing w:val="40"/>
          <w:w w:val="105"/>
        </w:rPr>
        <w:t xml:space="preserve"> </w:t>
      </w:r>
      <w:r w:rsidRPr="00283806">
        <w:rPr>
          <w:w w:val="105"/>
        </w:rPr>
        <w:t>serviced</w:t>
      </w:r>
      <w:r w:rsidRPr="00283806">
        <w:rPr>
          <w:spacing w:val="40"/>
          <w:w w:val="105"/>
        </w:rPr>
        <w:t xml:space="preserve"> </w:t>
      </w:r>
      <w:r w:rsidRPr="00283806">
        <w:rPr>
          <w:w w:val="105"/>
        </w:rPr>
        <w:t>and</w:t>
      </w:r>
      <w:r w:rsidRPr="00283806">
        <w:rPr>
          <w:spacing w:val="40"/>
          <w:w w:val="105"/>
        </w:rPr>
        <w:t xml:space="preserve"> </w:t>
      </w:r>
      <w:r w:rsidRPr="00283806">
        <w:rPr>
          <w:w w:val="105"/>
        </w:rPr>
        <w:t>leaks in equipment must be repaired. Taking these actions will minimize the release</w:t>
      </w:r>
      <w:r w:rsidRPr="00283806">
        <w:rPr>
          <w:spacing w:val="80"/>
          <w:w w:val="150"/>
        </w:rPr>
        <w:t xml:space="preserve"> </w:t>
      </w:r>
      <w:r w:rsidRPr="00283806">
        <w:rPr>
          <w:w w:val="105"/>
        </w:rPr>
        <w:t>of regulated substances through such leaks, as the sooner a leak is found and repaired, the less HFC will be released from that leak. Further, by limiting the amount of regulated substances released from leaks in equipment, the</w:t>
      </w:r>
      <w:r w:rsidRPr="00283806">
        <w:rPr>
          <w:spacing w:val="80"/>
          <w:w w:val="105"/>
        </w:rPr>
        <w:t xml:space="preserve"> </w:t>
      </w:r>
      <w:r w:rsidRPr="00283806">
        <w:rPr>
          <w:w w:val="105"/>
        </w:rPr>
        <w:t>opportunity to recover and subsequently reclaim these regulated substances increases.</w:t>
      </w:r>
      <w:r w:rsidRPr="00283806">
        <w:rPr>
          <w:spacing w:val="40"/>
          <w:w w:val="105"/>
        </w:rPr>
        <w:t xml:space="preserve"> </w:t>
      </w:r>
      <w:r w:rsidRPr="00283806">
        <w:rPr>
          <w:w w:val="105"/>
        </w:rPr>
        <w:t>Thus,</w:t>
      </w:r>
      <w:r w:rsidRPr="00283806">
        <w:rPr>
          <w:spacing w:val="40"/>
          <w:w w:val="105"/>
        </w:rPr>
        <w:t xml:space="preserve"> </w:t>
      </w:r>
      <w:r w:rsidRPr="00283806">
        <w:rPr>
          <w:w w:val="105"/>
        </w:rPr>
        <w:t>the</w:t>
      </w:r>
      <w:r w:rsidRPr="00283806">
        <w:rPr>
          <w:spacing w:val="40"/>
          <w:w w:val="105"/>
        </w:rPr>
        <w:t xml:space="preserve"> </w:t>
      </w:r>
      <w:r w:rsidRPr="00283806">
        <w:rPr>
          <w:w w:val="105"/>
        </w:rPr>
        <w:t>provisions</w:t>
      </w:r>
      <w:r w:rsidRPr="00283806">
        <w:rPr>
          <w:spacing w:val="40"/>
          <w:w w:val="105"/>
        </w:rPr>
        <w:t xml:space="preserve"> </w:t>
      </w:r>
      <w:r w:rsidRPr="00283806">
        <w:rPr>
          <w:w w:val="105"/>
        </w:rPr>
        <w:t>related to leak repair also help serve the</w:t>
      </w:r>
      <w:r w:rsidRPr="00283806">
        <w:rPr>
          <w:spacing w:val="80"/>
          <w:w w:val="105"/>
        </w:rPr>
        <w:t xml:space="preserve"> </w:t>
      </w:r>
      <w:r w:rsidRPr="00283806">
        <w:rPr>
          <w:w w:val="105"/>
        </w:rPr>
        <w:t>purpose of maximizing the reclaiming of regulated substances.</w:t>
      </w:r>
    </w:p>
    <w:p w14:paraId="3BB6F3A1" w14:textId="77777777" w:rsidR="00D67C1E" w:rsidRPr="00283806" w:rsidRDefault="001265CA">
      <w:pPr>
        <w:pStyle w:val="BodyText"/>
        <w:spacing w:line="170" w:lineRule="exact"/>
        <w:ind w:left="340"/>
      </w:pPr>
      <w:r w:rsidRPr="00283806">
        <w:rPr>
          <w:w w:val="105"/>
        </w:rPr>
        <w:t>Another</w:t>
      </w:r>
      <w:r w:rsidRPr="00283806">
        <w:rPr>
          <w:spacing w:val="15"/>
          <w:w w:val="105"/>
        </w:rPr>
        <w:t xml:space="preserve"> </w:t>
      </w:r>
      <w:r w:rsidRPr="00283806">
        <w:rPr>
          <w:w w:val="105"/>
        </w:rPr>
        <w:t>example</w:t>
      </w:r>
      <w:r w:rsidRPr="00283806">
        <w:rPr>
          <w:spacing w:val="16"/>
          <w:w w:val="105"/>
        </w:rPr>
        <w:t xml:space="preserve"> </w:t>
      </w:r>
      <w:r w:rsidRPr="00283806">
        <w:rPr>
          <w:w w:val="105"/>
        </w:rPr>
        <w:t>is</w:t>
      </w:r>
      <w:r w:rsidRPr="00283806">
        <w:rPr>
          <w:spacing w:val="16"/>
          <w:w w:val="105"/>
        </w:rPr>
        <w:t xml:space="preserve"> </w:t>
      </w:r>
      <w:r w:rsidRPr="00283806">
        <w:rPr>
          <w:w w:val="105"/>
        </w:rPr>
        <w:t>the</w:t>
      </w:r>
      <w:r w:rsidRPr="00283806">
        <w:rPr>
          <w:spacing w:val="16"/>
          <w:w w:val="105"/>
        </w:rPr>
        <w:t xml:space="preserve"> </w:t>
      </w:r>
      <w:r w:rsidRPr="00283806">
        <w:rPr>
          <w:w w:val="105"/>
        </w:rPr>
        <w:t>provisions</w:t>
      </w:r>
      <w:r w:rsidRPr="00283806">
        <w:rPr>
          <w:spacing w:val="16"/>
          <w:w w:val="105"/>
        </w:rPr>
        <w:t xml:space="preserve"> </w:t>
      </w:r>
      <w:r w:rsidRPr="00283806">
        <w:rPr>
          <w:spacing w:val="-5"/>
          <w:w w:val="105"/>
        </w:rPr>
        <w:t>for</w:t>
      </w:r>
    </w:p>
    <w:p w14:paraId="74AD4D3D" w14:textId="77777777" w:rsidR="00D67C1E" w:rsidRPr="00283806" w:rsidRDefault="001265CA">
      <w:pPr>
        <w:pStyle w:val="BodyText"/>
        <w:spacing w:before="3" w:line="225" w:lineRule="auto"/>
        <w:ind w:right="9"/>
      </w:pPr>
      <w:r w:rsidRPr="00283806">
        <w:rPr>
          <w:w w:val="105"/>
        </w:rPr>
        <w:t xml:space="preserve">the installation and use of ALD systems, which, </w:t>
      </w:r>
      <w:proofErr w:type="gramStart"/>
      <w:r w:rsidRPr="00283806">
        <w:rPr>
          <w:w w:val="105"/>
        </w:rPr>
        <w:t>similar to</w:t>
      </w:r>
      <w:proofErr w:type="gramEnd"/>
      <w:r w:rsidRPr="00283806">
        <w:rPr>
          <w:w w:val="105"/>
        </w:rPr>
        <w:t xml:space="preserve"> the leak repair provision, help address the purposes articulated in subsection (h)(1). In general,</w:t>
      </w:r>
      <w:r w:rsidRPr="00283806">
        <w:rPr>
          <w:spacing w:val="40"/>
          <w:w w:val="105"/>
        </w:rPr>
        <w:t xml:space="preserve"> </w:t>
      </w:r>
      <w:r w:rsidRPr="00283806">
        <w:rPr>
          <w:w w:val="105"/>
        </w:rPr>
        <w:t>ALD</w:t>
      </w:r>
      <w:r w:rsidRPr="00283806">
        <w:rPr>
          <w:spacing w:val="40"/>
          <w:w w:val="105"/>
        </w:rPr>
        <w:t xml:space="preserve"> </w:t>
      </w:r>
      <w:r w:rsidRPr="00283806">
        <w:rPr>
          <w:w w:val="105"/>
        </w:rPr>
        <w:t>systems</w:t>
      </w:r>
      <w:r w:rsidRPr="00283806">
        <w:rPr>
          <w:spacing w:val="40"/>
          <w:w w:val="105"/>
        </w:rPr>
        <w:t xml:space="preserve"> </w:t>
      </w:r>
      <w:r w:rsidRPr="00283806">
        <w:rPr>
          <w:w w:val="105"/>
        </w:rPr>
        <w:t>will</w:t>
      </w:r>
      <w:r w:rsidRPr="00283806">
        <w:rPr>
          <w:spacing w:val="40"/>
          <w:w w:val="105"/>
        </w:rPr>
        <w:t xml:space="preserve"> </w:t>
      </w:r>
      <w:r w:rsidRPr="00283806">
        <w:rPr>
          <w:w w:val="105"/>
        </w:rPr>
        <w:t>alert</w:t>
      </w:r>
      <w:r w:rsidRPr="00283806">
        <w:rPr>
          <w:spacing w:val="40"/>
          <w:w w:val="105"/>
        </w:rPr>
        <w:t xml:space="preserve"> </w:t>
      </w:r>
      <w:r w:rsidRPr="00283806">
        <w:rPr>
          <w:w w:val="105"/>
        </w:rPr>
        <w:t>an owner</w:t>
      </w:r>
      <w:r w:rsidRPr="00283806">
        <w:rPr>
          <w:spacing w:val="-7"/>
          <w:w w:val="105"/>
        </w:rPr>
        <w:t xml:space="preserve"> </w:t>
      </w:r>
      <w:r w:rsidRPr="00283806">
        <w:rPr>
          <w:w w:val="105"/>
        </w:rPr>
        <w:t>or</w:t>
      </w:r>
      <w:r w:rsidRPr="00283806">
        <w:rPr>
          <w:spacing w:val="-7"/>
          <w:w w:val="105"/>
        </w:rPr>
        <w:t xml:space="preserve"> </w:t>
      </w:r>
      <w:r w:rsidRPr="00283806">
        <w:rPr>
          <w:w w:val="105"/>
        </w:rPr>
        <w:t>operator</w:t>
      </w:r>
      <w:r w:rsidRPr="00283806">
        <w:rPr>
          <w:spacing w:val="-7"/>
          <w:w w:val="105"/>
        </w:rPr>
        <w:t xml:space="preserve"> </w:t>
      </w:r>
      <w:r w:rsidRPr="00283806">
        <w:rPr>
          <w:w w:val="105"/>
        </w:rPr>
        <w:t>to</w:t>
      </w:r>
      <w:r w:rsidRPr="00283806">
        <w:rPr>
          <w:spacing w:val="-7"/>
          <w:w w:val="105"/>
        </w:rPr>
        <w:t xml:space="preserve"> </w:t>
      </w:r>
      <w:r w:rsidRPr="00283806">
        <w:rPr>
          <w:w w:val="105"/>
        </w:rPr>
        <w:t>leaks</w:t>
      </w:r>
      <w:r w:rsidRPr="00283806">
        <w:rPr>
          <w:spacing w:val="-7"/>
          <w:w w:val="105"/>
        </w:rPr>
        <w:t xml:space="preserve"> </w:t>
      </w:r>
      <w:r w:rsidRPr="00283806">
        <w:rPr>
          <w:w w:val="105"/>
        </w:rPr>
        <w:t>in</w:t>
      </w:r>
      <w:r w:rsidRPr="00283806">
        <w:rPr>
          <w:spacing w:val="-7"/>
          <w:w w:val="105"/>
        </w:rPr>
        <w:t xml:space="preserve"> </w:t>
      </w:r>
      <w:r w:rsidRPr="00283806">
        <w:rPr>
          <w:w w:val="105"/>
        </w:rPr>
        <w:t>refrigerant- containing appliances well before any measurable decrease in the level of performance of the equipment.</w:t>
      </w:r>
    </w:p>
    <w:p w14:paraId="377910A0" w14:textId="77777777" w:rsidR="00D67C1E" w:rsidRPr="00283806" w:rsidRDefault="001265CA">
      <w:pPr>
        <w:pStyle w:val="BodyText"/>
        <w:spacing w:line="225" w:lineRule="auto"/>
        <w:ind w:right="46"/>
      </w:pPr>
      <w:r w:rsidRPr="00283806">
        <w:rPr>
          <w:w w:val="105"/>
        </w:rPr>
        <w:t xml:space="preserve">Identifying and repairing leaks sooner </w:t>
      </w:r>
      <w:proofErr w:type="gramStart"/>
      <w:r w:rsidRPr="00283806">
        <w:rPr>
          <w:w w:val="105"/>
        </w:rPr>
        <w:t>as a result of</w:t>
      </w:r>
      <w:proofErr w:type="gramEnd"/>
      <w:r w:rsidRPr="00283806">
        <w:rPr>
          <w:w w:val="105"/>
        </w:rPr>
        <w:t xml:space="preserve"> detecting the leak with an</w:t>
      </w:r>
      <w:r w:rsidRPr="00283806">
        <w:rPr>
          <w:spacing w:val="80"/>
          <w:w w:val="150"/>
        </w:rPr>
        <w:t xml:space="preserve"> </w:t>
      </w:r>
      <w:r w:rsidRPr="00283806">
        <w:rPr>
          <w:w w:val="105"/>
        </w:rPr>
        <w:t>ALD</w:t>
      </w:r>
      <w:r w:rsidRPr="00283806">
        <w:rPr>
          <w:spacing w:val="40"/>
          <w:w w:val="105"/>
        </w:rPr>
        <w:t xml:space="preserve"> </w:t>
      </w:r>
      <w:r w:rsidRPr="00283806">
        <w:rPr>
          <w:w w:val="105"/>
        </w:rPr>
        <w:t>system</w:t>
      </w:r>
      <w:r w:rsidRPr="00283806">
        <w:rPr>
          <w:spacing w:val="40"/>
          <w:w w:val="105"/>
        </w:rPr>
        <w:t xml:space="preserve"> </w:t>
      </w:r>
      <w:r w:rsidRPr="00283806">
        <w:rPr>
          <w:w w:val="105"/>
        </w:rPr>
        <w:t>will</w:t>
      </w:r>
      <w:r w:rsidRPr="00283806">
        <w:rPr>
          <w:spacing w:val="40"/>
          <w:w w:val="105"/>
        </w:rPr>
        <w:t xml:space="preserve"> </w:t>
      </w:r>
      <w:r w:rsidRPr="00283806">
        <w:rPr>
          <w:w w:val="105"/>
        </w:rPr>
        <w:t>further</w:t>
      </w:r>
      <w:r w:rsidRPr="00283806">
        <w:rPr>
          <w:spacing w:val="40"/>
          <w:w w:val="105"/>
        </w:rPr>
        <w:t xml:space="preserve"> </w:t>
      </w:r>
      <w:r w:rsidRPr="00283806">
        <w:rPr>
          <w:w w:val="105"/>
        </w:rPr>
        <w:t>limit</w:t>
      </w:r>
      <w:r w:rsidRPr="00283806">
        <w:rPr>
          <w:spacing w:val="40"/>
          <w:w w:val="105"/>
        </w:rPr>
        <w:t xml:space="preserve"> </w:t>
      </w:r>
      <w:r w:rsidRPr="00283806">
        <w:rPr>
          <w:w w:val="105"/>
        </w:rPr>
        <w:t>the amount of regulated substance released from the leak and maintain more of the regulated substance within the equipment, where it will be available for eventual recovery and reclamation.</w:t>
      </w:r>
    </w:p>
    <w:p w14:paraId="3A7FA085" w14:textId="77777777" w:rsidR="00D67C1E" w:rsidRPr="00283806" w:rsidRDefault="001265CA">
      <w:pPr>
        <w:pStyle w:val="BodyText"/>
        <w:spacing w:line="177" w:lineRule="exact"/>
        <w:ind w:left="340"/>
      </w:pPr>
      <w:r w:rsidRPr="00283806">
        <w:rPr>
          <w:w w:val="105"/>
        </w:rPr>
        <w:t>In</w:t>
      </w:r>
      <w:r w:rsidRPr="00283806">
        <w:rPr>
          <w:spacing w:val="12"/>
          <w:w w:val="105"/>
        </w:rPr>
        <w:t xml:space="preserve"> </w:t>
      </w:r>
      <w:r w:rsidRPr="00283806">
        <w:rPr>
          <w:w w:val="105"/>
        </w:rPr>
        <w:t>addition</w:t>
      </w:r>
      <w:r w:rsidRPr="00283806">
        <w:rPr>
          <w:spacing w:val="12"/>
          <w:w w:val="105"/>
        </w:rPr>
        <w:t xml:space="preserve"> </w:t>
      </w:r>
      <w:r w:rsidRPr="00283806">
        <w:rPr>
          <w:w w:val="105"/>
        </w:rPr>
        <w:t>to</w:t>
      </w:r>
      <w:r w:rsidRPr="00283806">
        <w:rPr>
          <w:spacing w:val="13"/>
          <w:w w:val="105"/>
        </w:rPr>
        <w:t xml:space="preserve"> </w:t>
      </w:r>
      <w:r w:rsidRPr="00283806">
        <w:rPr>
          <w:spacing w:val="-2"/>
          <w:w w:val="105"/>
        </w:rPr>
        <w:t>establishing</w:t>
      </w:r>
    </w:p>
    <w:p w14:paraId="4D3DD25A" w14:textId="77777777" w:rsidR="00D67C1E" w:rsidRPr="00283806" w:rsidRDefault="001265CA">
      <w:pPr>
        <w:pStyle w:val="BodyText"/>
        <w:spacing w:line="225" w:lineRule="auto"/>
        <w:ind w:right="81"/>
      </w:pPr>
      <w:r w:rsidRPr="00283806">
        <w:rPr>
          <w:w w:val="105"/>
        </w:rPr>
        <w:t>requirements for the management of HFCs and substitutes, this action</w:t>
      </w:r>
      <w:r w:rsidRPr="00283806">
        <w:rPr>
          <w:spacing w:val="80"/>
          <w:w w:val="105"/>
        </w:rPr>
        <w:t xml:space="preserve"> </w:t>
      </w:r>
      <w:r w:rsidRPr="00283806">
        <w:rPr>
          <w:w w:val="105"/>
        </w:rPr>
        <w:t>includes provisions designed to support enforcement and compliance, including recordkeeping and reporting. As stated earlier in this section, subsection (k)(1)(C) of the AIM Act states that CAA section 114 applies to the AIM Act and rules promulgated under it as if the AIM Act</w:t>
      </w:r>
      <w:r w:rsidRPr="00283806">
        <w:rPr>
          <w:spacing w:val="40"/>
          <w:w w:val="105"/>
        </w:rPr>
        <w:t xml:space="preserve"> </w:t>
      </w:r>
      <w:r w:rsidRPr="00283806">
        <w:rPr>
          <w:w w:val="105"/>
        </w:rPr>
        <w:t>were</w:t>
      </w:r>
      <w:r w:rsidRPr="00283806">
        <w:rPr>
          <w:spacing w:val="40"/>
          <w:w w:val="105"/>
        </w:rPr>
        <w:t xml:space="preserve"> </w:t>
      </w:r>
      <w:r w:rsidRPr="00283806">
        <w:rPr>
          <w:w w:val="105"/>
        </w:rPr>
        <w:t>included</w:t>
      </w:r>
      <w:r w:rsidRPr="00283806">
        <w:rPr>
          <w:spacing w:val="40"/>
          <w:w w:val="105"/>
        </w:rPr>
        <w:t xml:space="preserve"> </w:t>
      </w:r>
      <w:r w:rsidRPr="00283806">
        <w:rPr>
          <w:w w:val="105"/>
        </w:rPr>
        <w:t>in</w:t>
      </w:r>
      <w:r w:rsidRPr="00283806">
        <w:rPr>
          <w:spacing w:val="40"/>
          <w:w w:val="105"/>
        </w:rPr>
        <w:t xml:space="preserve"> </w:t>
      </w:r>
      <w:r w:rsidRPr="00283806">
        <w:rPr>
          <w:w w:val="105"/>
        </w:rPr>
        <w:t>CAA</w:t>
      </w:r>
      <w:r w:rsidRPr="00283806">
        <w:rPr>
          <w:spacing w:val="40"/>
          <w:w w:val="105"/>
        </w:rPr>
        <w:t xml:space="preserve"> </w:t>
      </w:r>
      <w:r w:rsidRPr="00283806">
        <w:rPr>
          <w:w w:val="105"/>
        </w:rPr>
        <w:t>Title</w:t>
      </w:r>
      <w:r w:rsidRPr="00283806">
        <w:rPr>
          <w:spacing w:val="40"/>
          <w:w w:val="105"/>
        </w:rPr>
        <w:t xml:space="preserve"> </w:t>
      </w:r>
      <w:r w:rsidRPr="00283806">
        <w:rPr>
          <w:w w:val="105"/>
        </w:rPr>
        <w:t>VI.</w:t>
      </w:r>
    </w:p>
    <w:p w14:paraId="57BB9DD6" w14:textId="77777777" w:rsidR="00D67C1E" w:rsidRPr="00283806" w:rsidRDefault="001265CA">
      <w:pPr>
        <w:pStyle w:val="BodyText"/>
        <w:spacing w:before="134" w:line="228" w:lineRule="auto"/>
        <w:ind w:left="142" w:right="122"/>
      </w:pPr>
      <w:r w:rsidRPr="00283806">
        <w:br w:type="column"/>
      </w:r>
      <w:r w:rsidRPr="00283806">
        <w:rPr>
          <w:w w:val="105"/>
        </w:rPr>
        <w:t>the purposes articulated in subsection (h)(1), even if they may be less directly connected to those purposes if viewed in isolation.</w:t>
      </w:r>
    </w:p>
    <w:p w14:paraId="53A2FE19" w14:textId="77777777" w:rsidR="00D67C1E" w:rsidRPr="00283806" w:rsidRDefault="001265CA">
      <w:pPr>
        <w:pStyle w:val="BodyText"/>
        <w:spacing w:line="179" w:lineRule="exact"/>
        <w:ind w:left="322"/>
      </w:pPr>
      <w:r w:rsidRPr="00283806">
        <w:rPr>
          <w:w w:val="105"/>
        </w:rPr>
        <w:t>EPA</w:t>
      </w:r>
      <w:r w:rsidRPr="00283806">
        <w:rPr>
          <w:spacing w:val="17"/>
          <w:w w:val="105"/>
        </w:rPr>
        <w:t xml:space="preserve"> </w:t>
      </w:r>
      <w:r w:rsidRPr="00283806">
        <w:rPr>
          <w:w w:val="105"/>
        </w:rPr>
        <w:t>is</w:t>
      </w:r>
      <w:r w:rsidRPr="00283806">
        <w:rPr>
          <w:spacing w:val="18"/>
          <w:w w:val="105"/>
        </w:rPr>
        <w:t xml:space="preserve"> </w:t>
      </w:r>
      <w:r w:rsidRPr="00283806">
        <w:rPr>
          <w:w w:val="105"/>
        </w:rPr>
        <w:t>also</w:t>
      </w:r>
      <w:r w:rsidRPr="00283806">
        <w:rPr>
          <w:spacing w:val="18"/>
          <w:w w:val="105"/>
        </w:rPr>
        <w:t xml:space="preserve"> </w:t>
      </w:r>
      <w:r w:rsidRPr="00283806">
        <w:rPr>
          <w:w w:val="105"/>
        </w:rPr>
        <w:t>establishing</w:t>
      </w:r>
      <w:r w:rsidRPr="00283806">
        <w:rPr>
          <w:spacing w:val="17"/>
          <w:w w:val="105"/>
        </w:rPr>
        <w:t xml:space="preserve"> </w:t>
      </w:r>
      <w:r w:rsidRPr="00283806">
        <w:rPr>
          <w:spacing w:val="-2"/>
          <w:w w:val="105"/>
        </w:rPr>
        <w:t>alternative</w:t>
      </w:r>
    </w:p>
    <w:p w14:paraId="2EFAD961" w14:textId="77777777" w:rsidR="00D67C1E" w:rsidRPr="00283806" w:rsidRDefault="001265CA">
      <w:pPr>
        <w:pStyle w:val="BodyText"/>
        <w:spacing w:before="3" w:line="228" w:lineRule="auto"/>
        <w:ind w:left="142" w:right="28"/>
      </w:pPr>
      <w:r w:rsidRPr="00283806">
        <w:rPr>
          <w:w w:val="105"/>
        </w:rPr>
        <w:t>RCRA standards for ignitable spent refrigerants being recycled for reuse. These standards are not part of the regulations under subsection (h)(1) of the AIM Act but rather involve revisions to independent regulatory provisions, under a separate and distinct statutory authority. More specifically, the action under</w:t>
      </w:r>
      <w:r w:rsidRPr="00283806">
        <w:rPr>
          <w:spacing w:val="40"/>
          <w:w w:val="105"/>
        </w:rPr>
        <w:t xml:space="preserve"> </w:t>
      </w:r>
      <w:r w:rsidRPr="00283806">
        <w:rPr>
          <w:w w:val="105"/>
        </w:rPr>
        <w:t>RCRA</w:t>
      </w:r>
      <w:r w:rsidRPr="00283806">
        <w:rPr>
          <w:spacing w:val="40"/>
          <w:w w:val="105"/>
        </w:rPr>
        <w:t xml:space="preserve"> </w:t>
      </w:r>
      <w:r w:rsidRPr="00283806">
        <w:rPr>
          <w:w w:val="105"/>
        </w:rPr>
        <w:t>involves</w:t>
      </w:r>
      <w:r w:rsidRPr="00283806">
        <w:rPr>
          <w:spacing w:val="40"/>
          <w:w w:val="105"/>
        </w:rPr>
        <w:t xml:space="preserve"> </w:t>
      </w:r>
      <w:r w:rsidRPr="00283806">
        <w:rPr>
          <w:w w:val="105"/>
        </w:rPr>
        <w:t>regulatory changes to 40 CFR parts 261 through</w:t>
      </w:r>
      <w:r w:rsidRPr="00283806">
        <w:rPr>
          <w:spacing w:val="40"/>
          <w:w w:val="105"/>
        </w:rPr>
        <w:t xml:space="preserve"> </w:t>
      </w:r>
      <w:r w:rsidRPr="00283806">
        <w:rPr>
          <w:w w:val="105"/>
        </w:rPr>
        <w:t>271, and those changes are made under the authority of sections 2002, 3001,</w:t>
      </w:r>
    </w:p>
    <w:p w14:paraId="68721EF9" w14:textId="77777777" w:rsidR="00D67C1E" w:rsidRPr="00283806" w:rsidRDefault="001265CA">
      <w:pPr>
        <w:pStyle w:val="BodyText"/>
        <w:spacing w:line="191" w:lineRule="exact"/>
        <w:ind w:left="142"/>
      </w:pPr>
      <w:r w:rsidRPr="00283806">
        <w:rPr>
          <w:w w:val="105"/>
        </w:rPr>
        <w:t>3002, 3003, 3004, 3006, and</w:t>
      </w:r>
      <w:r w:rsidRPr="00283806">
        <w:rPr>
          <w:spacing w:val="1"/>
          <w:w w:val="105"/>
        </w:rPr>
        <w:t xml:space="preserve"> </w:t>
      </w:r>
      <w:r w:rsidRPr="00283806">
        <w:rPr>
          <w:w w:val="105"/>
        </w:rPr>
        <w:t xml:space="preserve">3010 of </w:t>
      </w:r>
      <w:r w:rsidRPr="00283806">
        <w:rPr>
          <w:spacing w:val="-5"/>
          <w:w w:val="105"/>
        </w:rPr>
        <w:t>the</w:t>
      </w:r>
    </w:p>
    <w:p w14:paraId="7D1B3442" w14:textId="77777777" w:rsidR="00D67C1E" w:rsidRPr="00283806" w:rsidRDefault="001265CA">
      <w:pPr>
        <w:pStyle w:val="BodyText"/>
        <w:spacing w:before="3" w:line="228" w:lineRule="auto"/>
        <w:ind w:left="142" w:right="28"/>
      </w:pPr>
      <w:r w:rsidRPr="00283806">
        <w:rPr>
          <w:w w:val="105"/>
        </w:rPr>
        <w:t>Solid Waste Disposal Act of 1965 (SWDA), as amended by the Resource Conservation and Recovery Act of 1976, as amended by the Hazardous and Solid Waste Amendments of 1984 (HSWA).</w:t>
      </w:r>
    </w:p>
    <w:p w14:paraId="17B0C735" w14:textId="77777777" w:rsidR="00D67C1E" w:rsidRPr="00283806" w:rsidRDefault="001265CA">
      <w:pPr>
        <w:pStyle w:val="BodyText"/>
        <w:spacing w:line="228" w:lineRule="auto"/>
        <w:ind w:left="142" w:right="122"/>
      </w:pPr>
      <w:r w:rsidRPr="00283806">
        <w:rPr>
          <w:w w:val="105"/>
        </w:rPr>
        <w:t xml:space="preserve">This statute is commonly referred to as </w:t>
      </w:r>
      <w:r w:rsidRPr="00283806">
        <w:rPr>
          <w:spacing w:val="-2"/>
          <w:w w:val="105"/>
        </w:rPr>
        <w:t>‘‘RCRA.’’</w:t>
      </w:r>
    </w:p>
    <w:p w14:paraId="73D70036" w14:textId="77777777" w:rsidR="00D67C1E" w:rsidRPr="00283806" w:rsidRDefault="001265CA">
      <w:pPr>
        <w:pStyle w:val="Heading3"/>
        <w:numPr>
          <w:ilvl w:val="0"/>
          <w:numId w:val="64"/>
        </w:numPr>
        <w:tabs>
          <w:tab w:val="left" w:pos="451"/>
        </w:tabs>
        <w:spacing w:before="88"/>
        <w:ind w:left="451" w:hanging="309"/>
        <w:rPr>
          <w:rFonts w:ascii="Book Antiqua"/>
        </w:rPr>
      </w:pPr>
      <w:r w:rsidRPr="00283806">
        <w:rPr>
          <w:rFonts w:ascii="Book Antiqua"/>
          <w:spacing w:val="-2"/>
        </w:rPr>
        <w:t>Background</w:t>
      </w:r>
    </w:p>
    <w:p w14:paraId="1A300E28" w14:textId="77777777" w:rsidR="00D67C1E" w:rsidRPr="00283806" w:rsidRDefault="001265CA">
      <w:pPr>
        <w:pStyle w:val="ListParagraph"/>
        <w:numPr>
          <w:ilvl w:val="1"/>
          <w:numId w:val="64"/>
        </w:numPr>
        <w:tabs>
          <w:tab w:val="left" w:pos="377"/>
        </w:tabs>
        <w:spacing w:before="85"/>
        <w:ind w:left="377" w:hanging="235"/>
        <w:rPr>
          <w:rFonts w:ascii="Book Antiqua"/>
          <w:i/>
          <w:sz w:val="18"/>
        </w:rPr>
      </w:pPr>
      <w:r w:rsidRPr="00283806">
        <w:rPr>
          <w:rFonts w:ascii="Book Antiqua"/>
          <w:i/>
          <w:w w:val="110"/>
          <w:sz w:val="18"/>
        </w:rPr>
        <w:t>What</w:t>
      </w:r>
      <w:r w:rsidRPr="00283806">
        <w:rPr>
          <w:rFonts w:ascii="Book Antiqua"/>
          <w:i/>
          <w:spacing w:val="8"/>
          <w:w w:val="110"/>
          <w:sz w:val="18"/>
        </w:rPr>
        <w:t xml:space="preserve"> </w:t>
      </w:r>
      <w:r w:rsidRPr="00283806">
        <w:rPr>
          <w:rFonts w:ascii="Book Antiqua"/>
          <w:i/>
          <w:w w:val="110"/>
          <w:sz w:val="18"/>
        </w:rPr>
        <w:t>are</w:t>
      </w:r>
      <w:r w:rsidRPr="00283806">
        <w:rPr>
          <w:rFonts w:ascii="Book Antiqua"/>
          <w:i/>
          <w:spacing w:val="8"/>
          <w:w w:val="110"/>
          <w:sz w:val="18"/>
        </w:rPr>
        <w:t xml:space="preserve"> </w:t>
      </w:r>
      <w:r w:rsidRPr="00283806">
        <w:rPr>
          <w:rFonts w:ascii="Book Antiqua"/>
          <w:i/>
          <w:spacing w:val="-2"/>
          <w:w w:val="110"/>
          <w:sz w:val="18"/>
        </w:rPr>
        <w:t>HFCs?</w:t>
      </w:r>
    </w:p>
    <w:p w14:paraId="409BD5CB" w14:textId="77777777" w:rsidR="00D67C1E" w:rsidRPr="00283806" w:rsidRDefault="001265CA">
      <w:pPr>
        <w:pStyle w:val="BodyText"/>
        <w:spacing w:before="52" w:line="228" w:lineRule="auto"/>
        <w:ind w:left="142" w:right="70" w:firstLine="180"/>
      </w:pPr>
      <w:r w:rsidRPr="00283806">
        <w:rPr>
          <w:w w:val="105"/>
        </w:rPr>
        <w:t xml:space="preserve">HFCs are anthropogenic </w:t>
      </w:r>
      <w:r w:rsidRPr="00283806">
        <w:rPr>
          <w:w w:val="105"/>
          <w:position w:val="5"/>
          <w:sz w:val="11"/>
        </w:rPr>
        <w:t xml:space="preserve">15 </w:t>
      </w:r>
      <w:r w:rsidRPr="00283806">
        <w:rPr>
          <w:w w:val="105"/>
        </w:rPr>
        <w:t>fluorinated chemicals that have no known natural sources. HFCs are used in a variety of applications such as refrigeration and</w:t>
      </w:r>
      <w:r w:rsidRPr="00283806">
        <w:rPr>
          <w:spacing w:val="80"/>
          <w:w w:val="105"/>
        </w:rPr>
        <w:t xml:space="preserve"> </w:t>
      </w:r>
      <w:r w:rsidRPr="00283806">
        <w:rPr>
          <w:w w:val="105"/>
        </w:rPr>
        <w:t xml:space="preserve">air conditioning, foam- blowing agents, solvents, aerosols, and fire suppression. HFCs are potent greenhouse gases (GHGs) with 100-year GWPs (a measure of the relative climatic impact of a GHG) that can be hundreds to thousands of times more potent than carbon dioxide </w:t>
      </w:r>
      <w:r w:rsidRPr="00283806">
        <w:rPr>
          <w:spacing w:val="-2"/>
          <w:w w:val="105"/>
        </w:rPr>
        <w:t>(CO</w:t>
      </w:r>
      <w:r w:rsidRPr="00283806">
        <w:rPr>
          <w:rFonts w:ascii="Times New Roman"/>
          <w:spacing w:val="-2"/>
          <w:w w:val="105"/>
          <w:vertAlign w:val="subscript"/>
        </w:rPr>
        <w:t>2</w:t>
      </w:r>
      <w:r w:rsidRPr="00283806">
        <w:rPr>
          <w:spacing w:val="-2"/>
          <w:w w:val="105"/>
        </w:rPr>
        <w:t>).</w:t>
      </w:r>
    </w:p>
    <w:p w14:paraId="3565AE9A" w14:textId="77777777" w:rsidR="00D67C1E" w:rsidRPr="00283806" w:rsidRDefault="001265CA">
      <w:pPr>
        <w:pStyle w:val="BodyText"/>
        <w:spacing w:line="175" w:lineRule="exact"/>
        <w:ind w:left="322"/>
      </w:pPr>
      <w:r w:rsidRPr="00283806">
        <w:rPr>
          <w:w w:val="110"/>
        </w:rPr>
        <w:t>HFC</w:t>
      </w:r>
      <w:r w:rsidRPr="00283806">
        <w:rPr>
          <w:spacing w:val="-2"/>
          <w:w w:val="110"/>
        </w:rPr>
        <w:t xml:space="preserve"> </w:t>
      </w:r>
      <w:r w:rsidRPr="00283806">
        <w:rPr>
          <w:w w:val="110"/>
        </w:rPr>
        <w:t>use</w:t>
      </w:r>
      <w:r w:rsidRPr="00283806">
        <w:rPr>
          <w:spacing w:val="1"/>
          <w:w w:val="110"/>
        </w:rPr>
        <w:t xml:space="preserve"> </w:t>
      </w:r>
      <w:r w:rsidRPr="00283806">
        <w:rPr>
          <w:w w:val="110"/>
        </w:rPr>
        <w:t>and</w:t>
      </w:r>
      <w:r w:rsidRPr="00283806">
        <w:rPr>
          <w:spacing w:val="1"/>
          <w:w w:val="110"/>
        </w:rPr>
        <w:t xml:space="preserve"> </w:t>
      </w:r>
      <w:r w:rsidRPr="00283806">
        <w:rPr>
          <w:w w:val="110"/>
        </w:rPr>
        <w:t>emissions</w:t>
      </w:r>
      <w:r w:rsidRPr="00283806">
        <w:rPr>
          <w:spacing w:val="-14"/>
          <w:w w:val="110"/>
        </w:rPr>
        <w:t xml:space="preserve"> </w:t>
      </w:r>
      <w:r w:rsidRPr="00283806">
        <w:rPr>
          <w:w w:val="110"/>
          <w:position w:val="5"/>
          <w:sz w:val="11"/>
        </w:rPr>
        <w:t>16</w:t>
      </w:r>
      <w:r w:rsidRPr="00283806">
        <w:rPr>
          <w:spacing w:val="18"/>
          <w:w w:val="110"/>
          <w:position w:val="5"/>
          <w:sz w:val="11"/>
        </w:rPr>
        <w:t xml:space="preserve"> </w:t>
      </w:r>
      <w:r w:rsidRPr="00283806">
        <w:rPr>
          <w:w w:val="110"/>
        </w:rPr>
        <w:t>have</w:t>
      </w:r>
      <w:r w:rsidRPr="00283806">
        <w:rPr>
          <w:spacing w:val="1"/>
          <w:w w:val="110"/>
        </w:rPr>
        <w:t xml:space="preserve"> </w:t>
      </w:r>
      <w:r w:rsidRPr="00283806">
        <w:rPr>
          <w:spacing w:val="-4"/>
          <w:w w:val="110"/>
        </w:rPr>
        <w:t>been</w:t>
      </w:r>
    </w:p>
    <w:p w14:paraId="18E82C54" w14:textId="77777777" w:rsidR="00D67C1E" w:rsidRPr="00283806" w:rsidRDefault="001265CA">
      <w:pPr>
        <w:pStyle w:val="BodyText"/>
        <w:spacing w:before="5" w:line="225" w:lineRule="auto"/>
        <w:ind w:left="142" w:right="70"/>
      </w:pPr>
      <w:r w:rsidRPr="00283806">
        <w:rPr>
          <w:w w:val="105"/>
        </w:rPr>
        <w:t xml:space="preserve">growing worldwide due to the global phaseout of ozone-depleting substances (ODS) under the </w:t>
      </w:r>
      <w:r w:rsidRPr="00283806">
        <w:rPr>
          <w:rFonts w:ascii="Book Antiqua"/>
          <w:i/>
          <w:w w:val="105"/>
        </w:rPr>
        <w:t>Montreal Protocol on Substances</w:t>
      </w:r>
      <w:r w:rsidRPr="00283806">
        <w:rPr>
          <w:rFonts w:ascii="Book Antiqua"/>
          <w:i/>
          <w:spacing w:val="45"/>
          <w:w w:val="105"/>
        </w:rPr>
        <w:t xml:space="preserve"> </w:t>
      </w:r>
      <w:r w:rsidRPr="00283806">
        <w:rPr>
          <w:rFonts w:ascii="Book Antiqua"/>
          <w:i/>
          <w:w w:val="105"/>
        </w:rPr>
        <w:t>that</w:t>
      </w:r>
      <w:r w:rsidRPr="00283806">
        <w:rPr>
          <w:rFonts w:ascii="Book Antiqua"/>
          <w:i/>
          <w:spacing w:val="46"/>
          <w:w w:val="105"/>
        </w:rPr>
        <w:t xml:space="preserve"> </w:t>
      </w:r>
      <w:r w:rsidRPr="00283806">
        <w:rPr>
          <w:rFonts w:ascii="Book Antiqua"/>
          <w:i/>
          <w:w w:val="105"/>
        </w:rPr>
        <w:t>Deplete</w:t>
      </w:r>
      <w:r w:rsidRPr="00283806">
        <w:rPr>
          <w:rFonts w:ascii="Book Antiqua"/>
          <w:i/>
          <w:spacing w:val="46"/>
          <w:w w:val="105"/>
        </w:rPr>
        <w:t xml:space="preserve"> </w:t>
      </w:r>
      <w:r w:rsidRPr="00283806">
        <w:rPr>
          <w:rFonts w:ascii="Book Antiqua"/>
          <w:i/>
          <w:w w:val="105"/>
        </w:rPr>
        <w:t>the</w:t>
      </w:r>
      <w:r w:rsidRPr="00283806">
        <w:rPr>
          <w:rFonts w:ascii="Book Antiqua"/>
          <w:i/>
          <w:spacing w:val="46"/>
          <w:w w:val="105"/>
        </w:rPr>
        <w:t xml:space="preserve"> </w:t>
      </w:r>
      <w:r w:rsidRPr="00283806">
        <w:rPr>
          <w:rFonts w:ascii="Book Antiqua"/>
          <w:i/>
          <w:w w:val="105"/>
        </w:rPr>
        <w:t>Ozone</w:t>
      </w:r>
      <w:r w:rsidRPr="00283806">
        <w:rPr>
          <w:rFonts w:ascii="Book Antiqua"/>
          <w:i/>
          <w:spacing w:val="80"/>
          <w:w w:val="150"/>
        </w:rPr>
        <w:t xml:space="preserve"> </w:t>
      </w:r>
      <w:r w:rsidRPr="00283806">
        <w:rPr>
          <w:rFonts w:ascii="Book Antiqua"/>
          <w:i/>
          <w:w w:val="105"/>
        </w:rPr>
        <w:t xml:space="preserve">Layer </w:t>
      </w:r>
      <w:r w:rsidRPr="00283806">
        <w:rPr>
          <w:w w:val="105"/>
        </w:rPr>
        <w:t>(Montreal Protocol) and the increasing use of refrigeration and air conditioning equipment globally. HFC emissions</w:t>
      </w:r>
      <w:r w:rsidRPr="00283806">
        <w:rPr>
          <w:spacing w:val="40"/>
          <w:w w:val="105"/>
        </w:rPr>
        <w:t xml:space="preserve"> </w:t>
      </w:r>
      <w:r w:rsidRPr="00283806">
        <w:rPr>
          <w:w w:val="105"/>
        </w:rPr>
        <w:t>had</w:t>
      </w:r>
      <w:r w:rsidRPr="00283806">
        <w:rPr>
          <w:spacing w:val="40"/>
          <w:w w:val="105"/>
        </w:rPr>
        <w:t xml:space="preserve"> </w:t>
      </w:r>
      <w:r w:rsidRPr="00283806">
        <w:rPr>
          <w:w w:val="105"/>
        </w:rPr>
        <w:t>previously</w:t>
      </w:r>
      <w:r w:rsidRPr="00283806">
        <w:rPr>
          <w:spacing w:val="40"/>
          <w:w w:val="105"/>
        </w:rPr>
        <w:t xml:space="preserve"> </w:t>
      </w:r>
      <w:r w:rsidRPr="00283806">
        <w:rPr>
          <w:w w:val="105"/>
        </w:rPr>
        <w:t>been projected to increase substantially over the next several decades. In 2016, in Kigali, Rwanda, countries agreed to</w:t>
      </w:r>
      <w:r w:rsidRPr="00283806">
        <w:rPr>
          <w:spacing w:val="40"/>
          <w:w w:val="105"/>
        </w:rPr>
        <w:t xml:space="preserve"> </w:t>
      </w:r>
      <w:r w:rsidRPr="00283806">
        <w:rPr>
          <w:w w:val="105"/>
        </w:rPr>
        <w:t>adopt an amendment to the Montreal Protocol, known as the Kigali Amendment,</w:t>
      </w:r>
      <w:r w:rsidRPr="00283806">
        <w:rPr>
          <w:spacing w:val="40"/>
          <w:w w:val="105"/>
        </w:rPr>
        <w:t xml:space="preserve"> </w:t>
      </w:r>
      <w:r w:rsidRPr="00283806">
        <w:rPr>
          <w:w w:val="105"/>
        </w:rPr>
        <w:t>which</w:t>
      </w:r>
      <w:r w:rsidRPr="00283806">
        <w:rPr>
          <w:spacing w:val="40"/>
          <w:w w:val="105"/>
        </w:rPr>
        <w:t xml:space="preserve"> </w:t>
      </w:r>
      <w:r w:rsidRPr="00283806">
        <w:rPr>
          <w:w w:val="105"/>
        </w:rPr>
        <w:t>provides</w:t>
      </w:r>
      <w:r w:rsidRPr="00283806">
        <w:rPr>
          <w:spacing w:val="40"/>
          <w:w w:val="105"/>
        </w:rPr>
        <w:t xml:space="preserve"> </w:t>
      </w:r>
      <w:r w:rsidRPr="00283806">
        <w:rPr>
          <w:w w:val="105"/>
        </w:rPr>
        <w:t>for</w:t>
      </w:r>
      <w:r w:rsidRPr="00283806">
        <w:rPr>
          <w:spacing w:val="40"/>
          <w:w w:val="105"/>
        </w:rPr>
        <w:t xml:space="preserve"> </w:t>
      </w:r>
      <w:r w:rsidRPr="00283806">
        <w:rPr>
          <w:w w:val="105"/>
        </w:rPr>
        <w:t>a global phasedown of the production and consumption</w:t>
      </w:r>
      <w:r w:rsidRPr="00283806">
        <w:rPr>
          <w:spacing w:val="40"/>
          <w:w w:val="105"/>
        </w:rPr>
        <w:t xml:space="preserve"> </w:t>
      </w:r>
      <w:r w:rsidRPr="00283806">
        <w:rPr>
          <w:w w:val="105"/>
        </w:rPr>
        <w:t>of</w:t>
      </w:r>
      <w:r w:rsidRPr="00283806">
        <w:rPr>
          <w:spacing w:val="40"/>
          <w:w w:val="105"/>
        </w:rPr>
        <w:t xml:space="preserve"> </w:t>
      </w:r>
      <w:r w:rsidRPr="00283806">
        <w:rPr>
          <w:w w:val="105"/>
        </w:rPr>
        <w:t>HFCs.</w:t>
      </w:r>
      <w:r w:rsidRPr="00283806">
        <w:rPr>
          <w:spacing w:val="40"/>
          <w:w w:val="105"/>
        </w:rPr>
        <w:t xml:space="preserve"> </w:t>
      </w:r>
      <w:r w:rsidRPr="00283806">
        <w:rPr>
          <w:w w:val="105"/>
        </w:rPr>
        <w:t>The</w:t>
      </w:r>
      <w:r w:rsidRPr="00283806">
        <w:rPr>
          <w:spacing w:val="40"/>
          <w:w w:val="105"/>
        </w:rPr>
        <w:t xml:space="preserve"> </w:t>
      </w:r>
      <w:r w:rsidRPr="00283806">
        <w:rPr>
          <w:w w:val="105"/>
        </w:rPr>
        <w:t>United</w:t>
      </w:r>
      <w:r w:rsidRPr="00283806">
        <w:rPr>
          <w:spacing w:val="40"/>
          <w:w w:val="105"/>
        </w:rPr>
        <w:t xml:space="preserve"> </w:t>
      </w:r>
      <w:r w:rsidRPr="00283806">
        <w:rPr>
          <w:w w:val="105"/>
        </w:rPr>
        <w:t>States ratified the Kigali Amendment on</w:t>
      </w:r>
    </w:p>
    <w:p w14:paraId="1DF958F3" w14:textId="77777777" w:rsidR="00D67C1E" w:rsidRPr="00283806" w:rsidRDefault="001265CA">
      <w:pPr>
        <w:pStyle w:val="BodyText"/>
        <w:spacing w:before="136" w:line="225" w:lineRule="auto"/>
        <w:ind w:left="153" w:right="121"/>
      </w:pPr>
      <w:r w:rsidRPr="00283806">
        <w:br w:type="column"/>
      </w:r>
      <w:r w:rsidRPr="00283806">
        <w:rPr>
          <w:w w:val="105"/>
        </w:rPr>
        <w:t>October 31, 2022. Global adherence to</w:t>
      </w:r>
      <w:r w:rsidRPr="00283806">
        <w:rPr>
          <w:spacing w:val="40"/>
          <w:w w:val="105"/>
        </w:rPr>
        <w:t xml:space="preserve"> </w:t>
      </w:r>
      <w:r w:rsidRPr="00283806">
        <w:rPr>
          <w:w w:val="105"/>
        </w:rPr>
        <w:t>the</w:t>
      </w:r>
      <w:r w:rsidRPr="00283806">
        <w:rPr>
          <w:spacing w:val="40"/>
          <w:w w:val="105"/>
        </w:rPr>
        <w:t xml:space="preserve"> </w:t>
      </w:r>
      <w:r w:rsidRPr="00283806">
        <w:rPr>
          <w:w w:val="105"/>
        </w:rPr>
        <w:t>Kigali</w:t>
      </w:r>
      <w:r w:rsidRPr="00283806">
        <w:rPr>
          <w:spacing w:val="40"/>
          <w:w w:val="105"/>
        </w:rPr>
        <w:t xml:space="preserve"> </w:t>
      </w:r>
      <w:r w:rsidRPr="00283806">
        <w:rPr>
          <w:w w:val="105"/>
        </w:rPr>
        <w:t>Amendment</w:t>
      </w:r>
      <w:r w:rsidRPr="00283806">
        <w:rPr>
          <w:spacing w:val="40"/>
          <w:w w:val="105"/>
        </w:rPr>
        <w:t xml:space="preserve"> </w:t>
      </w:r>
      <w:r w:rsidRPr="00283806">
        <w:rPr>
          <w:w w:val="105"/>
        </w:rPr>
        <w:t>will</w:t>
      </w:r>
      <w:r w:rsidRPr="00283806">
        <w:rPr>
          <w:spacing w:val="80"/>
          <w:w w:val="105"/>
        </w:rPr>
        <w:t xml:space="preserve"> </w:t>
      </w:r>
      <w:r w:rsidRPr="00283806">
        <w:rPr>
          <w:w w:val="105"/>
        </w:rPr>
        <w:t>substantially reduce future emissions, leading to a peaking of HFC emissions before 2040.</w:t>
      </w:r>
      <w:r w:rsidRPr="00283806">
        <w:rPr>
          <w:rFonts w:ascii="Times New Roman"/>
          <w:w w:val="105"/>
          <w:position w:val="4"/>
          <w:sz w:val="11"/>
        </w:rPr>
        <w:t>17 18</w:t>
      </w:r>
      <w:r w:rsidRPr="00283806">
        <w:rPr>
          <w:rFonts w:ascii="Times New Roman"/>
          <w:spacing w:val="40"/>
          <w:w w:val="105"/>
          <w:position w:val="4"/>
          <w:sz w:val="11"/>
        </w:rPr>
        <w:t xml:space="preserve"> </w:t>
      </w:r>
      <w:r w:rsidRPr="00283806">
        <w:rPr>
          <w:w w:val="105"/>
        </w:rPr>
        <w:t>For additional context, EPA further notes that the G7 Climate, Energy, and Environment ministers met in April 2024 and issued a joint declaration, which included statements recognizing the importance of reducing non-CO</w:t>
      </w:r>
      <w:r w:rsidRPr="00283806">
        <w:rPr>
          <w:rFonts w:ascii="Times New Roman"/>
          <w:w w:val="105"/>
          <w:vertAlign w:val="subscript"/>
        </w:rPr>
        <w:t>2</w:t>
      </w:r>
      <w:r w:rsidRPr="00283806">
        <w:rPr>
          <w:rFonts w:ascii="Times New Roman"/>
          <w:w w:val="105"/>
        </w:rPr>
        <w:t xml:space="preserve"> </w:t>
      </w:r>
      <w:r w:rsidRPr="00283806">
        <w:rPr>
          <w:w w:val="105"/>
        </w:rPr>
        <w:t>carbon emissions and other climate pollutants, including HFCs, and supporting robust implementation of the Kigali Amendment.</w:t>
      </w:r>
      <w:r w:rsidRPr="00283806">
        <w:rPr>
          <w:w w:val="105"/>
          <w:position w:val="5"/>
          <w:sz w:val="11"/>
        </w:rPr>
        <w:t>19</w:t>
      </w:r>
      <w:r w:rsidRPr="00283806">
        <w:rPr>
          <w:spacing w:val="40"/>
          <w:w w:val="105"/>
          <w:position w:val="5"/>
          <w:sz w:val="11"/>
        </w:rPr>
        <w:t xml:space="preserve"> </w:t>
      </w:r>
      <w:r w:rsidRPr="00283806">
        <w:rPr>
          <w:w w:val="105"/>
        </w:rPr>
        <w:t xml:space="preserve">The joint declaration </w:t>
      </w:r>
      <w:r w:rsidRPr="00283806">
        <w:rPr>
          <w:w w:val="105"/>
          <w:position w:val="5"/>
          <w:sz w:val="11"/>
        </w:rPr>
        <w:t>20</w:t>
      </w:r>
      <w:r w:rsidRPr="00283806">
        <w:rPr>
          <w:spacing w:val="40"/>
          <w:w w:val="105"/>
          <w:position w:val="5"/>
          <w:sz w:val="11"/>
        </w:rPr>
        <w:t xml:space="preserve"> </w:t>
      </w:r>
      <w:r w:rsidRPr="00283806">
        <w:rPr>
          <w:w w:val="105"/>
        </w:rPr>
        <w:t>also included the commitment of the relevant</w:t>
      </w:r>
      <w:r w:rsidRPr="00283806">
        <w:rPr>
          <w:spacing w:val="80"/>
          <w:w w:val="105"/>
        </w:rPr>
        <w:t xml:space="preserve"> </w:t>
      </w:r>
      <w:r w:rsidRPr="00283806">
        <w:rPr>
          <w:w w:val="105"/>
        </w:rPr>
        <w:t>governments to, among other things,</w:t>
      </w:r>
      <w:r w:rsidRPr="00283806">
        <w:rPr>
          <w:spacing w:val="80"/>
          <w:w w:val="105"/>
        </w:rPr>
        <w:t xml:space="preserve"> </w:t>
      </w:r>
      <w:r w:rsidRPr="00283806">
        <w:rPr>
          <w:w w:val="105"/>
        </w:rPr>
        <w:t>take concrete actions to reduce non-CO</w:t>
      </w:r>
      <w:r w:rsidRPr="00283806">
        <w:rPr>
          <w:rFonts w:ascii="Times New Roman"/>
          <w:w w:val="105"/>
          <w:vertAlign w:val="subscript"/>
        </w:rPr>
        <w:t>2</w:t>
      </w:r>
      <w:r w:rsidRPr="00283806">
        <w:rPr>
          <w:rFonts w:ascii="Times New Roman"/>
          <w:w w:val="105"/>
        </w:rPr>
        <w:t xml:space="preserve"> </w:t>
      </w:r>
      <w:r w:rsidRPr="00283806">
        <w:rPr>
          <w:w w:val="105"/>
        </w:rPr>
        <w:t>emissions and promote the proper</w:t>
      </w:r>
      <w:r w:rsidRPr="00283806">
        <w:rPr>
          <w:spacing w:val="80"/>
          <w:w w:val="105"/>
        </w:rPr>
        <w:t xml:space="preserve"> </w:t>
      </w:r>
      <w:r w:rsidRPr="00283806">
        <w:rPr>
          <w:w w:val="105"/>
        </w:rPr>
        <w:t>choice of refrigerants as well as the management of HFCs throughout their lifecycle including through leak prevention and end-of-life management of refrigerants.</w:t>
      </w:r>
    </w:p>
    <w:p w14:paraId="01D6323B" w14:textId="77777777" w:rsidR="00D67C1E" w:rsidRPr="00283806" w:rsidRDefault="001265CA">
      <w:pPr>
        <w:pStyle w:val="BodyText"/>
        <w:spacing w:line="172" w:lineRule="exact"/>
        <w:ind w:left="333"/>
      </w:pPr>
      <w:r w:rsidRPr="00283806">
        <w:rPr>
          <w:w w:val="105"/>
        </w:rPr>
        <w:t>Atmospheric</w:t>
      </w:r>
      <w:r w:rsidRPr="00283806">
        <w:rPr>
          <w:spacing w:val="14"/>
          <w:w w:val="105"/>
        </w:rPr>
        <w:t xml:space="preserve"> </w:t>
      </w:r>
      <w:r w:rsidRPr="00283806">
        <w:rPr>
          <w:w w:val="105"/>
        </w:rPr>
        <w:t>observations</w:t>
      </w:r>
      <w:r w:rsidRPr="00283806">
        <w:rPr>
          <w:spacing w:val="14"/>
          <w:w w:val="105"/>
        </w:rPr>
        <w:t xml:space="preserve"> </w:t>
      </w:r>
      <w:r w:rsidRPr="00283806">
        <w:rPr>
          <w:w w:val="105"/>
        </w:rPr>
        <w:t>of</w:t>
      </w:r>
      <w:r w:rsidRPr="00283806">
        <w:rPr>
          <w:spacing w:val="14"/>
          <w:w w:val="105"/>
        </w:rPr>
        <w:t xml:space="preserve"> </w:t>
      </w:r>
      <w:r w:rsidRPr="00283806">
        <w:rPr>
          <w:spacing w:val="-4"/>
          <w:w w:val="105"/>
        </w:rPr>
        <w:t>most</w:t>
      </w:r>
    </w:p>
    <w:p w14:paraId="1151ADA5" w14:textId="77777777" w:rsidR="00D67C1E" w:rsidRPr="00283806" w:rsidRDefault="001265CA">
      <w:pPr>
        <w:pStyle w:val="BodyText"/>
        <w:spacing w:before="3" w:line="225" w:lineRule="auto"/>
        <w:ind w:left="153" w:right="150"/>
        <w:rPr>
          <w:sz w:val="11"/>
        </w:rPr>
      </w:pPr>
      <w:r w:rsidRPr="00283806">
        <w:rPr>
          <w:w w:val="105"/>
        </w:rPr>
        <w:t>currently measured HFCs confirm their abundances are increasing at</w:t>
      </w:r>
      <w:r w:rsidRPr="00283806">
        <w:rPr>
          <w:spacing w:val="40"/>
          <w:w w:val="105"/>
        </w:rPr>
        <w:t xml:space="preserve"> </w:t>
      </w:r>
      <w:r w:rsidRPr="00283806">
        <w:rPr>
          <w:w w:val="105"/>
        </w:rPr>
        <w:t>accelerating rates. Total emissions of HFCs increased by 23 percent from 2012 to 2016</w:t>
      </w:r>
      <w:r w:rsidRPr="00283806">
        <w:rPr>
          <w:spacing w:val="-10"/>
          <w:w w:val="105"/>
        </w:rPr>
        <w:t xml:space="preserve"> </w:t>
      </w:r>
      <w:r w:rsidRPr="00283806">
        <w:rPr>
          <w:w w:val="105"/>
          <w:position w:val="5"/>
          <w:sz w:val="11"/>
        </w:rPr>
        <w:t>21</w:t>
      </w:r>
      <w:r w:rsidRPr="00283806">
        <w:rPr>
          <w:spacing w:val="27"/>
          <w:w w:val="105"/>
          <w:position w:val="5"/>
          <w:sz w:val="11"/>
        </w:rPr>
        <w:t xml:space="preserve"> </w:t>
      </w:r>
      <w:r w:rsidRPr="00283806">
        <w:rPr>
          <w:w w:val="105"/>
        </w:rPr>
        <w:t>and a further 19 percent from 2016 to 2020. The four most abundant HFCs in the atmosphere, in GWP- weighted terms, are HFC–134a, HFC– 125, HFC–23, and HFC–143a.</w:t>
      </w:r>
      <w:r w:rsidRPr="00283806">
        <w:rPr>
          <w:w w:val="105"/>
          <w:position w:val="5"/>
          <w:sz w:val="11"/>
        </w:rPr>
        <w:t>22</w:t>
      </w:r>
    </w:p>
    <w:p w14:paraId="057F4CDE" w14:textId="77777777" w:rsidR="00D67C1E" w:rsidRPr="00283806" w:rsidRDefault="001265CA">
      <w:pPr>
        <w:pStyle w:val="BodyText"/>
        <w:spacing w:line="177" w:lineRule="exact"/>
        <w:ind w:left="0" w:right="26"/>
        <w:jc w:val="center"/>
      </w:pPr>
      <w:r w:rsidRPr="00283806">
        <w:rPr>
          <w:w w:val="110"/>
        </w:rPr>
        <w:t>HFCs</w:t>
      </w:r>
      <w:r w:rsidRPr="00283806">
        <w:rPr>
          <w:spacing w:val="5"/>
          <w:w w:val="110"/>
        </w:rPr>
        <w:t xml:space="preserve"> </w:t>
      </w:r>
      <w:r w:rsidRPr="00283806">
        <w:rPr>
          <w:w w:val="110"/>
        </w:rPr>
        <w:t>excluding</w:t>
      </w:r>
      <w:r w:rsidRPr="00283806">
        <w:rPr>
          <w:spacing w:val="6"/>
          <w:w w:val="110"/>
        </w:rPr>
        <w:t xml:space="preserve"> </w:t>
      </w:r>
      <w:r w:rsidRPr="00283806">
        <w:rPr>
          <w:w w:val="110"/>
        </w:rPr>
        <w:t>HFC–23</w:t>
      </w:r>
      <w:r w:rsidRPr="00283806">
        <w:rPr>
          <w:spacing w:val="5"/>
          <w:w w:val="110"/>
        </w:rPr>
        <w:t xml:space="preserve"> </w:t>
      </w:r>
      <w:r w:rsidRPr="00283806">
        <w:rPr>
          <w:spacing w:val="-2"/>
          <w:w w:val="110"/>
        </w:rPr>
        <w:t>accounted</w:t>
      </w:r>
    </w:p>
    <w:p w14:paraId="7FB4946C" w14:textId="77777777" w:rsidR="00D67C1E" w:rsidRPr="00283806" w:rsidRDefault="001265CA">
      <w:pPr>
        <w:pStyle w:val="BodyText"/>
        <w:spacing w:line="205" w:lineRule="exact"/>
        <w:ind w:left="0" w:right="84"/>
        <w:jc w:val="center"/>
        <w:rPr>
          <w:sz w:val="11"/>
        </w:rPr>
      </w:pPr>
      <w:r w:rsidRPr="00283806">
        <w:t>for</w:t>
      </w:r>
      <w:r w:rsidRPr="00283806">
        <w:rPr>
          <w:spacing w:val="27"/>
        </w:rPr>
        <w:t xml:space="preserve"> </w:t>
      </w:r>
      <w:r w:rsidRPr="00283806">
        <w:t>a</w:t>
      </w:r>
      <w:r w:rsidRPr="00283806">
        <w:rPr>
          <w:spacing w:val="27"/>
        </w:rPr>
        <w:t xml:space="preserve"> </w:t>
      </w:r>
      <w:r w:rsidRPr="00283806">
        <w:t>radiative</w:t>
      </w:r>
      <w:r w:rsidRPr="00283806">
        <w:rPr>
          <w:spacing w:val="28"/>
        </w:rPr>
        <w:t xml:space="preserve"> </w:t>
      </w:r>
      <w:r w:rsidRPr="00283806">
        <w:t>forcing</w:t>
      </w:r>
      <w:r w:rsidRPr="00283806">
        <w:rPr>
          <w:spacing w:val="1"/>
        </w:rPr>
        <w:t xml:space="preserve"> </w:t>
      </w:r>
      <w:r w:rsidRPr="00283806">
        <w:rPr>
          <w:position w:val="5"/>
          <w:sz w:val="11"/>
        </w:rPr>
        <w:t>23</w:t>
      </w:r>
      <w:r w:rsidRPr="00283806">
        <w:rPr>
          <w:spacing w:val="42"/>
          <w:position w:val="5"/>
          <w:sz w:val="11"/>
        </w:rPr>
        <w:t xml:space="preserve"> </w:t>
      </w:r>
      <w:r w:rsidRPr="00283806">
        <w:t>of</w:t>
      </w:r>
      <w:r w:rsidRPr="00283806">
        <w:rPr>
          <w:spacing w:val="28"/>
        </w:rPr>
        <w:t xml:space="preserve"> </w:t>
      </w:r>
      <w:r w:rsidRPr="00283806">
        <w:t>0.025</w:t>
      </w:r>
      <w:r w:rsidRPr="00283806">
        <w:rPr>
          <w:spacing w:val="27"/>
        </w:rPr>
        <w:t xml:space="preserve"> </w:t>
      </w:r>
      <w:r w:rsidRPr="00283806">
        <w:t>W/m</w:t>
      </w:r>
      <w:r w:rsidRPr="00283806">
        <w:rPr>
          <w:spacing w:val="1"/>
        </w:rPr>
        <w:t xml:space="preserve"> </w:t>
      </w:r>
      <w:r w:rsidRPr="00283806">
        <w:rPr>
          <w:spacing w:val="-10"/>
          <w:position w:val="5"/>
          <w:sz w:val="11"/>
        </w:rPr>
        <w:t>2</w:t>
      </w:r>
    </w:p>
    <w:p w14:paraId="4DAEE0C7" w14:textId="77777777" w:rsidR="00D67C1E" w:rsidRPr="00283806" w:rsidRDefault="001265CA">
      <w:pPr>
        <w:pStyle w:val="BodyText"/>
        <w:spacing w:before="10"/>
        <w:ind w:left="0"/>
        <w:rPr>
          <w:sz w:val="12"/>
        </w:rPr>
      </w:pPr>
      <w:r w:rsidRPr="00283806">
        <w:rPr>
          <w:noProof/>
        </w:rPr>
        <mc:AlternateContent>
          <mc:Choice Requires="wps">
            <w:drawing>
              <wp:anchor distT="0" distB="0" distL="0" distR="0" simplePos="0" relativeHeight="251620352" behindDoc="1" locked="0" layoutInCell="1" allowOverlap="1" wp14:anchorId="7724EEC5" wp14:editId="5C620656">
                <wp:simplePos x="0" y="0"/>
                <wp:positionH relativeFrom="page">
                  <wp:posOffset>5067300</wp:posOffset>
                </wp:positionH>
                <wp:positionV relativeFrom="paragraph">
                  <wp:posOffset>110922</wp:posOffset>
                </wp:positionV>
                <wp:extent cx="635000" cy="1270"/>
                <wp:effectExtent l="0" t="0" r="0" b="0"/>
                <wp:wrapTopAndBottom/>
                <wp:docPr id="50" name="Graphic 5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046337" id="Graphic 50" o:spid="_x0000_s1026" alt="&quot;&quot;" style="position:absolute;margin-left:399pt;margin-top:8.75pt;width:50pt;height:.1pt;z-index:-251696128;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" path="m,l635000,e" filled="f" strokeweight=".5pt">
                <v:path arrowok="t"/>
                <w10:wrap type="topAndBottom" anchorx="page"/>
              </v:shape>
            </w:pict>
          </mc:Fallback>
        </mc:AlternateContent>
      </w:r>
    </w:p>
    <w:p w14:paraId="48F221B6" w14:textId="77777777" w:rsidR="00D67C1E" w:rsidRPr="00283806" w:rsidRDefault="001265CA">
      <w:pPr>
        <w:spacing w:before="36"/>
        <w:ind w:left="293"/>
        <w:rPr>
          <w:sz w:val="14"/>
        </w:rPr>
      </w:pPr>
      <w:r w:rsidRPr="00283806">
        <w:rPr>
          <w:w w:val="115"/>
          <w:position w:val="4"/>
          <w:sz w:val="9"/>
        </w:rPr>
        <w:t>17</w:t>
      </w:r>
      <w:r w:rsidRPr="00283806">
        <w:rPr>
          <w:spacing w:val="5"/>
          <w:w w:val="115"/>
          <w:position w:val="4"/>
          <w:sz w:val="9"/>
        </w:rPr>
        <w:t xml:space="preserve"> </w:t>
      </w:r>
      <w:r w:rsidRPr="00283806">
        <w:rPr>
          <w:spacing w:val="-2"/>
          <w:w w:val="115"/>
          <w:sz w:val="14"/>
        </w:rPr>
        <w:t>Ibid.</w:t>
      </w:r>
    </w:p>
    <w:p w14:paraId="0C0420C8" w14:textId="7D747395" w:rsidR="00D67C1E" w:rsidRPr="00283806" w:rsidRDefault="001265CA">
      <w:pPr>
        <w:spacing w:before="19" w:line="230" w:lineRule="auto"/>
        <w:ind w:left="153" w:right="136" w:firstLine="140"/>
        <w:rPr>
          <w:sz w:val="14"/>
        </w:rPr>
      </w:pPr>
      <w:r w:rsidRPr="00283806">
        <w:rPr>
          <w:w w:val="110"/>
          <w:position w:val="4"/>
          <w:sz w:val="9"/>
        </w:rPr>
        <w:t xml:space="preserve">18 </w:t>
      </w:r>
      <w:r w:rsidRPr="00283806">
        <w:rPr>
          <w:w w:val="110"/>
          <w:sz w:val="14"/>
        </w:rPr>
        <w:t>A recent study estimated that global</w:t>
      </w:r>
      <w:r w:rsidRPr="00283806">
        <w:rPr>
          <w:spacing w:val="40"/>
          <w:w w:val="110"/>
          <w:sz w:val="14"/>
        </w:rPr>
        <w:t xml:space="preserve"> </w:t>
      </w:r>
      <w:r w:rsidRPr="00283806">
        <w:rPr>
          <w:w w:val="110"/>
          <w:sz w:val="14"/>
        </w:rPr>
        <w:t>compliance</w:t>
      </w:r>
      <w:r w:rsidRPr="00283806">
        <w:rPr>
          <w:spacing w:val="-9"/>
          <w:w w:val="110"/>
          <w:sz w:val="14"/>
        </w:rPr>
        <w:t xml:space="preserve"> </w:t>
      </w:r>
      <w:r w:rsidRPr="00283806">
        <w:rPr>
          <w:w w:val="110"/>
          <w:sz w:val="14"/>
        </w:rPr>
        <w:t>with</w:t>
      </w:r>
      <w:r w:rsidRPr="00283806">
        <w:rPr>
          <w:spacing w:val="-8"/>
          <w:w w:val="110"/>
          <w:sz w:val="14"/>
        </w:rPr>
        <w:t xml:space="preserve"> </w:t>
      </w:r>
      <w:r w:rsidRPr="00283806">
        <w:rPr>
          <w:w w:val="110"/>
          <w:sz w:val="14"/>
        </w:rPr>
        <w:t>the</w:t>
      </w:r>
      <w:r w:rsidRPr="00283806">
        <w:rPr>
          <w:spacing w:val="-9"/>
          <w:w w:val="110"/>
          <w:sz w:val="14"/>
        </w:rPr>
        <w:t xml:space="preserve"> </w:t>
      </w:r>
      <w:r w:rsidRPr="00283806">
        <w:rPr>
          <w:w w:val="110"/>
          <w:sz w:val="14"/>
        </w:rPr>
        <w:t>Kigali</w:t>
      </w:r>
      <w:r w:rsidRPr="00283806">
        <w:rPr>
          <w:spacing w:val="-8"/>
          <w:w w:val="110"/>
          <w:sz w:val="14"/>
        </w:rPr>
        <w:t xml:space="preserve"> </w:t>
      </w:r>
      <w:r w:rsidRPr="00283806">
        <w:rPr>
          <w:w w:val="110"/>
          <w:sz w:val="14"/>
        </w:rPr>
        <w:t>Amendment</w:t>
      </w:r>
      <w:r w:rsidRPr="00283806">
        <w:rPr>
          <w:spacing w:val="-9"/>
          <w:w w:val="110"/>
          <w:sz w:val="14"/>
        </w:rPr>
        <w:t xml:space="preserve"> </w:t>
      </w:r>
      <w:r w:rsidRPr="00283806">
        <w:rPr>
          <w:w w:val="110"/>
          <w:sz w:val="14"/>
        </w:rPr>
        <w:t>is</w:t>
      </w:r>
      <w:r w:rsidRPr="00283806">
        <w:rPr>
          <w:spacing w:val="-8"/>
          <w:w w:val="110"/>
          <w:sz w:val="14"/>
        </w:rPr>
        <w:t xml:space="preserve"> </w:t>
      </w:r>
      <w:r w:rsidRPr="00283806">
        <w:rPr>
          <w:w w:val="110"/>
          <w:sz w:val="14"/>
        </w:rPr>
        <w:t>expected</w:t>
      </w:r>
      <w:r w:rsidRPr="00283806">
        <w:rPr>
          <w:spacing w:val="40"/>
          <w:w w:val="110"/>
          <w:sz w:val="14"/>
        </w:rPr>
        <w:t xml:space="preserve"> </w:t>
      </w:r>
      <w:r w:rsidRPr="00283806">
        <w:rPr>
          <w:w w:val="110"/>
          <w:sz w:val="14"/>
        </w:rPr>
        <w:t>to lower 2050 annual emissions by 3.0–4.4</w:t>
      </w:r>
      <w:r w:rsidRPr="00283806">
        <w:rPr>
          <w:spacing w:val="40"/>
          <w:w w:val="110"/>
          <w:sz w:val="14"/>
        </w:rPr>
        <w:t xml:space="preserve"> </w:t>
      </w:r>
      <w:r w:rsidRPr="00283806">
        <w:rPr>
          <w:w w:val="110"/>
          <w:position w:val="2"/>
          <w:sz w:val="14"/>
        </w:rPr>
        <w:t>MMTCO</w:t>
      </w:r>
      <w:r w:rsidRPr="00283806">
        <w:rPr>
          <w:rFonts w:ascii="Times New Roman" w:hAnsi="Times New Roman"/>
          <w:w w:val="110"/>
          <w:sz w:val="9"/>
        </w:rPr>
        <w:t>2</w:t>
      </w:r>
      <w:r w:rsidRPr="00283806">
        <w:rPr>
          <w:w w:val="110"/>
          <w:position w:val="2"/>
          <w:sz w:val="14"/>
        </w:rPr>
        <w:t xml:space="preserve">e. </w:t>
      </w:r>
      <w:proofErr w:type="spellStart"/>
      <w:r w:rsidRPr="00283806">
        <w:rPr>
          <w:w w:val="110"/>
          <w:position w:val="2"/>
          <w:sz w:val="14"/>
        </w:rPr>
        <w:t>Guus</w:t>
      </w:r>
      <w:proofErr w:type="spellEnd"/>
      <w:r w:rsidRPr="00283806">
        <w:rPr>
          <w:w w:val="110"/>
          <w:position w:val="2"/>
          <w:sz w:val="14"/>
        </w:rPr>
        <w:t xml:space="preserve"> J.M. </w:t>
      </w:r>
      <w:proofErr w:type="spellStart"/>
      <w:r w:rsidRPr="00283806">
        <w:rPr>
          <w:w w:val="110"/>
          <w:position w:val="2"/>
          <w:sz w:val="14"/>
        </w:rPr>
        <w:t>Velders</w:t>
      </w:r>
      <w:proofErr w:type="spellEnd"/>
      <w:r w:rsidRPr="00283806">
        <w:rPr>
          <w:w w:val="110"/>
          <w:position w:val="2"/>
          <w:sz w:val="14"/>
        </w:rPr>
        <w:t xml:space="preserve"> et al. Projections of</w:t>
      </w:r>
      <w:r w:rsidRPr="00283806">
        <w:rPr>
          <w:spacing w:val="40"/>
          <w:w w:val="110"/>
          <w:position w:val="2"/>
          <w:sz w:val="14"/>
        </w:rPr>
        <w:t xml:space="preserve"> </w:t>
      </w:r>
      <w:r w:rsidRPr="00283806">
        <w:rPr>
          <w:w w:val="110"/>
          <w:sz w:val="14"/>
        </w:rPr>
        <w:t>hydrofluorocarbon (HFC) emissions and the</w:t>
      </w:r>
      <w:r w:rsidRPr="00283806">
        <w:rPr>
          <w:spacing w:val="40"/>
          <w:w w:val="110"/>
          <w:sz w:val="14"/>
        </w:rPr>
        <w:t xml:space="preserve"> </w:t>
      </w:r>
      <w:r w:rsidRPr="00283806">
        <w:rPr>
          <w:w w:val="110"/>
          <w:sz w:val="14"/>
        </w:rPr>
        <w:t>resulting</w:t>
      </w:r>
      <w:r w:rsidRPr="00283806">
        <w:rPr>
          <w:spacing w:val="-7"/>
          <w:w w:val="110"/>
          <w:sz w:val="14"/>
        </w:rPr>
        <w:t xml:space="preserve"> </w:t>
      </w:r>
      <w:r w:rsidRPr="00283806">
        <w:rPr>
          <w:w w:val="110"/>
          <w:sz w:val="14"/>
        </w:rPr>
        <w:t>global</w:t>
      </w:r>
      <w:r w:rsidRPr="00283806">
        <w:rPr>
          <w:spacing w:val="-7"/>
          <w:w w:val="110"/>
          <w:sz w:val="14"/>
        </w:rPr>
        <w:t xml:space="preserve"> </w:t>
      </w:r>
      <w:r w:rsidRPr="00283806">
        <w:rPr>
          <w:w w:val="110"/>
          <w:sz w:val="14"/>
        </w:rPr>
        <w:t>warming</w:t>
      </w:r>
      <w:r w:rsidRPr="00283806">
        <w:rPr>
          <w:spacing w:val="-7"/>
          <w:w w:val="110"/>
          <w:sz w:val="14"/>
        </w:rPr>
        <w:t xml:space="preserve"> </w:t>
      </w:r>
      <w:r w:rsidRPr="00283806">
        <w:rPr>
          <w:w w:val="110"/>
          <w:sz w:val="14"/>
        </w:rPr>
        <w:t>based</w:t>
      </w:r>
      <w:r w:rsidRPr="00283806">
        <w:rPr>
          <w:spacing w:val="-7"/>
          <w:w w:val="110"/>
          <w:sz w:val="14"/>
        </w:rPr>
        <w:t xml:space="preserve"> </w:t>
      </w:r>
      <w:r w:rsidRPr="00283806">
        <w:rPr>
          <w:w w:val="110"/>
          <w:sz w:val="14"/>
        </w:rPr>
        <w:t>on</w:t>
      </w:r>
      <w:r w:rsidRPr="00283806">
        <w:rPr>
          <w:spacing w:val="-7"/>
          <w:w w:val="110"/>
          <w:sz w:val="14"/>
        </w:rPr>
        <w:t xml:space="preserve"> </w:t>
      </w:r>
      <w:r w:rsidRPr="00283806">
        <w:rPr>
          <w:w w:val="110"/>
          <w:sz w:val="14"/>
        </w:rPr>
        <w:t>recent</w:t>
      </w:r>
      <w:r w:rsidRPr="00283806">
        <w:rPr>
          <w:spacing w:val="-7"/>
          <w:w w:val="110"/>
          <w:sz w:val="14"/>
        </w:rPr>
        <w:t xml:space="preserve"> </w:t>
      </w:r>
      <w:r w:rsidRPr="00283806">
        <w:rPr>
          <w:w w:val="110"/>
          <w:sz w:val="14"/>
        </w:rPr>
        <w:t>trends</w:t>
      </w:r>
      <w:r w:rsidRPr="00283806">
        <w:rPr>
          <w:spacing w:val="-7"/>
          <w:w w:val="110"/>
          <w:sz w:val="14"/>
        </w:rPr>
        <w:t xml:space="preserve"> </w:t>
      </w:r>
      <w:r w:rsidRPr="00283806">
        <w:rPr>
          <w:w w:val="110"/>
          <w:sz w:val="14"/>
        </w:rPr>
        <w:t>in</w:t>
      </w:r>
      <w:r w:rsidRPr="00283806">
        <w:rPr>
          <w:spacing w:val="40"/>
          <w:w w:val="110"/>
          <w:sz w:val="14"/>
        </w:rPr>
        <w:t xml:space="preserve"> </w:t>
      </w:r>
      <w:r w:rsidRPr="00283806">
        <w:rPr>
          <w:w w:val="110"/>
          <w:sz w:val="14"/>
        </w:rPr>
        <w:t>observed abundances and current policies. Atmos.</w:t>
      </w:r>
      <w:r w:rsidRPr="00283806">
        <w:rPr>
          <w:spacing w:val="40"/>
          <w:w w:val="110"/>
          <w:sz w:val="14"/>
        </w:rPr>
        <w:t xml:space="preserve"> </w:t>
      </w:r>
      <w:r w:rsidRPr="00283806">
        <w:rPr>
          <w:w w:val="110"/>
          <w:sz w:val="14"/>
        </w:rPr>
        <w:t>Chem. Phys., 22, 6087–6101, 2022. Available at:</w:t>
      </w:r>
      <w:r w:rsidRPr="00283806">
        <w:rPr>
          <w:spacing w:val="40"/>
          <w:w w:val="110"/>
          <w:sz w:val="14"/>
        </w:rPr>
        <w:t xml:space="preserve"> </w:t>
      </w:r>
      <w:r w:rsidRPr="00283806">
        <w:rPr>
          <w:rFonts w:ascii="Book Antiqua" w:hAnsi="Book Antiqua"/>
          <w:i/>
          <w:spacing w:val="-2"/>
          <w:w w:val="110"/>
          <w:sz w:val="14"/>
        </w:rPr>
        <w:t>https://doi.org/10.5194/acp-22-6087-2022</w:t>
      </w:r>
      <w:r w:rsidRPr="00283806">
        <w:rPr>
          <w:spacing w:val="-2"/>
          <w:w w:val="110"/>
          <w:sz w:val="14"/>
        </w:rPr>
        <w:t>.</w:t>
      </w:r>
    </w:p>
    <w:p w14:paraId="156A4E15" w14:textId="3844FA36" w:rsidR="00D67C1E" w:rsidRPr="00283806" w:rsidRDefault="001265CA">
      <w:pPr>
        <w:spacing w:before="12" w:line="223" w:lineRule="auto"/>
        <w:ind w:left="153" w:right="222" w:firstLine="140"/>
        <w:rPr>
          <w:sz w:val="14"/>
        </w:rPr>
      </w:pPr>
      <w:r w:rsidRPr="00283806">
        <w:rPr>
          <w:w w:val="110"/>
          <w:position w:val="4"/>
          <w:sz w:val="9"/>
        </w:rPr>
        <w:t xml:space="preserve">19 </w:t>
      </w:r>
      <w:r w:rsidRPr="00283806">
        <w:rPr>
          <w:w w:val="110"/>
          <w:sz w:val="14"/>
        </w:rPr>
        <w:t>The Ministerial meeting on Climate, Energy</w:t>
      </w:r>
      <w:r w:rsidRPr="00283806">
        <w:rPr>
          <w:spacing w:val="40"/>
          <w:w w:val="110"/>
          <w:sz w:val="14"/>
        </w:rPr>
        <w:t xml:space="preserve"> </w:t>
      </w:r>
      <w:r w:rsidRPr="00283806">
        <w:rPr>
          <w:w w:val="110"/>
          <w:sz w:val="14"/>
        </w:rPr>
        <w:t>and</w:t>
      </w:r>
      <w:r w:rsidRPr="00283806">
        <w:rPr>
          <w:spacing w:val="-9"/>
          <w:w w:val="110"/>
          <w:sz w:val="14"/>
        </w:rPr>
        <w:t xml:space="preserve"> </w:t>
      </w:r>
      <w:r w:rsidRPr="00283806">
        <w:rPr>
          <w:w w:val="110"/>
          <w:sz w:val="14"/>
        </w:rPr>
        <w:t>Environment</w:t>
      </w:r>
      <w:r w:rsidRPr="00283806">
        <w:rPr>
          <w:spacing w:val="-8"/>
          <w:w w:val="110"/>
          <w:sz w:val="14"/>
        </w:rPr>
        <w:t xml:space="preserve"> </w:t>
      </w:r>
      <w:r w:rsidRPr="00283806">
        <w:rPr>
          <w:w w:val="110"/>
          <w:sz w:val="14"/>
        </w:rPr>
        <w:t>ends</w:t>
      </w:r>
      <w:r w:rsidRPr="00283806">
        <w:rPr>
          <w:spacing w:val="-9"/>
          <w:w w:val="110"/>
          <w:sz w:val="14"/>
        </w:rPr>
        <w:t xml:space="preserve"> </w:t>
      </w:r>
      <w:r w:rsidRPr="00283806">
        <w:rPr>
          <w:w w:val="110"/>
          <w:sz w:val="14"/>
        </w:rPr>
        <w:t>with</w:t>
      </w:r>
      <w:r w:rsidRPr="00283806">
        <w:rPr>
          <w:spacing w:val="-8"/>
          <w:w w:val="110"/>
          <w:sz w:val="14"/>
        </w:rPr>
        <w:t xml:space="preserve"> </w:t>
      </w:r>
      <w:r w:rsidRPr="00283806">
        <w:rPr>
          <w:w w:val="110"/>
          <w:sz w:val="14"/>
        </w:rPr>
        <w:t>the</w:t>
      </w:r>
      <w:r w:rsidRPr="00283806">
        <w:rPr>
          <w:spacing w:val="-9"/>
          <w:w w:val="110"/>
          <w:sz w:val="14"/>
        </w:rPr>
        <w:t xml:space="preserve"> </w:t>
      </w:r>
      <w:r w:rsidRPr="00283806">
        <w:rPr>
          <w:w w:val="110"/>
          <w:sz w:val="14"/>
        </w:rPr>
        <w:t>adoption</w:t>
      </w:r>
      <w:r w:rsidRPr="00283806">
        <w:rPr>
          <w:spacing w:val="-8"/>
          <w:w w:val="110"/>
          <w:sz w:val="14"/>
        </w:rPr>
        <w:t xml:space="preserve"> </w:t>
      </w:r>
      <w:r w:rsidRPr="00283806">
        <w:rPr>
          <w:w w:val="110"/>
          <w:sz w:val="14"/>
        </w:rPr>
        <w:t>of</w:t>
      </w:r>
      <w:r w:rsidRPr="00283806">
        <w:rPr>
          <w:spacing w:val="-9"/>
          <w:w w:val="110"/>
          <w:sz w:val="14"/>
        </w:rPr>
        <w:t xml:space="preserve"> </w:t>
      </w:r>
      <w:r w:rsidRPr="00283806">
        <w:rPr>
          <w:w w:val="110"/>
          <w:sz w:val="14"/>
        </w:rPr>
        <w:t>a</w:t>
      </w:r>
      <w:r w:rsidRPr="00283806">
        <w:rPr>
          <w:spacing w:val="-8"/>
          <w:w w:val="110"/>
          <w:sz w:val="14"/>
        </w:rPr>
        <w:t xml:space="preserve"> </w:t>
      </w:r>
      <w:r w:rsidRPr="00283806">
        <w:rPr>
          <w:w w:val="110"/>
          <w:sz w:val="14"/>
        </w:rPr>
        <w:t>joint</w:t>
      </w:r>
      <w:r w:rsidRPr="00283806">
        <w:rPr>
          <w:spacing w:val="40"/>
          <w:w w:val="110"/>
          <w:sz w:val="14"/>
        </w:rPr>
        <w:t xml:space="preserve"> </w:t>
      </w:r>
      <w:r w:rsidRPr="00283806">
        <w:rPr>
          <w:w w:val="110"/>
          <w:sz w:val="14"/>
        </w:rPr>
        <w:t>communique</w:t>
      </w:r>
      <w:r w:rsidRPr="00283806">
        <w:rPr>
          <w:w w:val="110"/>
          <w:position w:val="1"/>
          <w:sz w:val="14"/>
        </w:rPr>
        <w:t>´</w:t>
      </w:r>
      <w:r w:rsidRPr="00283806">
        <w:rPr>
          <w:w w:val="110"/>
          <w:sz w:val="14"/>
        </w:rPr>
        <w:t xml:space="preserve">, April 30, 2024, available: </w:t>
      </w:r>
      <w:r w:rsidRPr="00283806">
        <w:rPr>
          <w:rFonts w:ascii="Book Antiqua" w:hAnsi="Book Antiqua"/>
          <w:i/>
          <w:w w:val="110"/>
          <w:sz w:val="14"/>
        </w:rPr>
        <w:t>https://</w:t>
      </w:r>
      <w:r w:rsidRPr="00283806">
        <w:rPr>
          <w:rFonts w:ascii="Book Antiqua" w:hAnsi="Book Antiqua"/>
          <w:i/>
          <w:spacing w:val="40"/>
          <w:w w:val="110"/>
          <w:sz w:val="14"/>
        </w:rPr>
        <w:t xml:space="preserve"> </w:t>
      </w:r>
      <w:bookmarkStart w:id="0" w:name="_Hlk195005073"/>
      <w:r w:rsidRPr="00283806">
        <w:rPr>
          <w:rFonts w:ascii="Book Antiqua" w:hAnsi="Book Antiqua"/>
          <w:i/>
          <w:spacing w:val="-2"/>
          <w:w w:val="110"/>
          <w:sz w:val="14"/>
        </w:rPr>
        <w:t>www.g7italy.it/en/the-ministerial-meeting-on-</w:t>
      </w:r>
      <w:bookmarkEnd w:id="0"/>
      <w:r w:rsidRPr="00283806">
        <w:rPr>
          <w:rFonts w:ascii="Book Antiqua" w:hAnsi="Book Antiqua"/>
          <w:i/>
          <w:spacing w:val="40"/>
          <w:w w:val="110"/>
          <w:sz w:val="14"/>
        </w:rPr>
        <w:t xml:space="preserve"> </w:t>
      </w:r>
      <w:r w:rsidRPr="00283806">
        <w:rPr>
          <w:rFonts w:ascii="Book Antiqua" w:hAnsi="Book Antiqua"/>
          <w:i/>
          <w:spacing w:val="-2"/>
          <w:w w:val="110"/>
          <w:sz w:val="14"/>
        </w:rPr>
        <w:t>climate-energy-and-environment-ends-with-the-</w:t>
      </w:r>
      <w:r w:rsidRPr="00283806">
        <w:rPr>
          <w:rFonts w:ascii="Book Antiqua" w:hAnsi="Book Antiqua"/>
          <w:i/>
          <w:spacing w:val="40"/>
          <w:w w:val="110"/>
          <w:sz w:val="14"/>
        </w:rPr>
        <w:t xml:space="preserve"> </w:t>
      </w:r>
      <w:r w:rsidRPr="00283806">
        <w:rPr>
          <w:rFonts w:ascii="Book Antiqua" w:hAnsi="Book Antiqua"/>
          <w:i/>
          <w:spacing w:val="-2"/>
          <w:w w:val="110"/>
          <w:sz w:val="14"/>
        </w:rPr>
        <w:t>adoption-of-a-joint-communique/</w:t>
      </w:r>
      <w:r w:rsidRPr="00283806">
        <w:rPr>
          <w:spacing w:val="-2"/>
          <w:w w:val="110"/>
          <w:sz w:val="14"/>
        </w:rPr>
        <w:t>.</w:t>
      </w:r>
    </w:p>
    <w:p w14:paraId="2A4242AA" w14:textId="015C6066" w:rsidR="00D67C1E" w:rsidRPr="00283806" w:rsidRDefault="001265CA">
      <w:pPr>
        <w:spacing w:before="19" w:line="220" w:lineRule="auto"/>
        <w:ind w:left="153" w:right="119" w:firstLine="140"/>
        <w:rPr>
          <w:sz w:val="14"/>
        </w:rPr>
      </w:pPr>
      <w:r w:rsidRPr="00283806">
        <w:rPr>
          <w:w w:val="110"/>
          <w:position w:val="4"/>
          <w:sz w:val="9"/>
        </w:rPr>
        <w:t xml:space="preserve">20 </w:t>
      </w:r>
      <w:r w:rsidRPr="00283806">
        <w:rPr>
          <w:w w:val="110"/>
          <w:sz w:val="14"/>
        </w:rPr>
        <w:t>Climate, Energy and Environment Ministers’</w:t>
      </w:r>
      <w:r w:rsidRPr="00283806">
        <w:rPr>
          <w:spacing w:val="40"/>
          <w:w w:val="110"/>
          <w:sz w:val="14"/>
        </w:rPr>
        <w:t xml:space="preserve"> </w:t>
      </w:r>
      <w:r w:rsidRPr="00283806">
        <w:rPr>
          <w:spacing w:val="-2"/>
          <w:w w:val="110"/>
          <w:sz w:val="14"/>
        </w:rPr>
        <w:t>Meeting</w:t>
      </w:r>
      <w:r w:rsidRPr="00283806">
        <w:rPr>
          <w:spacing w:val="-7"/>
          <w:w w:val="110"/>
          <w:sz w:val="14"/>
        </w:rPr>
        <w:t xml:space="preserve"> </w:t>
      </w:r>
      <w:r w:rsidRPr="00283806">
        <w:rPr>
          <w:spacing w:val="-2"/>
          <w:w w:val="110"/>
          <w:sz w:val="14"/>
        </w:rPr>
        <w:t>Communique</w:t>
      </w:r>
      <w:r w:rsidRPr="00283806">
        <w:rPr>
          <w:spacing w:val="-2"/>
          <w:w w:val="110"/>
          <w:position w:val="1"/>
          <w:sz w:val="14"/>
        </w:rPr>
        <w:t>´</w:t>
      </w:r>
      <w:r w:rsidRPr="00283806">
        <w:rPr>
          <w:spacing w:val="-2"/>
          <w:w w:val="110"/>
          <w:sz w:val="14"/>
        </w:rPr>
        <w:t>,</w:t>
      </w:r>
      <w:r w:rsidRPr="00283806">
        <w:rPr>
          <w:spacing w:val="-6"/>
          <w:w w:val="110"/>
          <w:sz w:val="14"/>
        </w:rPr>
        <w:t xml:space="preserve"> </w:t>
      </w:r>
      <w:r w:rsidRPr="00283806">
        <w:rPr>
          <w:spacing w:val="-2"/>
          <w:w w:val="110"/>
          <w:sz w:val="14"/>
        </w:rPr>
        <w:t>April</w:t>
      </w:r>
      <w:r w:rsidRPr="00283806">
        <w:rPr>
          <w:spacing w:val="-7"/>
          <w:w w:val="110"/>
          <w:sz w:val="14"/>
        </w:rPr>
        <w:t xml:space="preserve"> </w:t>
      </w:r>
      <w:r w:rsidRPr="00283806">
        <w:rPr>
          <w:spacing w:val="-2"/>
          <w:w w:val="110"/>
          <w:sz w:val="14"/>
        </w:rPr>
        <w:t>29–30,</w:t>
      </w:r>
      <w:r w:rsidRPr="00283806">
        <w:rPr>
          <w:spacing w:val="-6"/>
          <w:w w:val="110"/>
          <w:sz w:val="14"/>
        </w:rPr>
        <w:t xml:space="preserve"> </w:t>
      </w:r>
      <w:r w:rsidRPr="00283806">
        <w:rPr>
          <w:spacing w:val="-2"/>
          <w:w w:val="110"/>
          <w:sz w:val="14"/>
        </w:rPr>
        <w:t>2024,</w:t>
      </w:r>
      <w:r w:rsidRPr="00283806">
        <w:rPr>
          <w:spacing w:val="-7"/>
          <w:w w:val="110"/>
          <w:sz w:val="14"/>
        </w:rPr>
        <w:t xml:space="preserve"> </w:t>
      </w:r>
      <w:r w:rsidRPr="00283806">
        <w:rPr>
          <w:spacing w:val="-2"/>
          <w:w w:val="110"/>
          <w:sz w:val="14"/>
        </w:rPr>
        <w:t>available:</w:t>
      </w:r>
      <w:r w:rsidRPr="00283806">
        <w:rPr>
          <w:spacing w:val="40"/>
          <w:w w:val="110"/>
          <w:sz w:val="14"/>
        </w:rPr>
        <w:t xml:space="preserve"> </w:t>
      </w:r>
      <w:r w:rsidRPr="00283806">
        <w:rPr>
          <w:rFonts w:ascii="Book Antiqua" w:hAnsi="Book Antiqua"/>
          <w:i/>
          <w:spacing w:val="-2"/>
          <w:w w:val="110"/>
          <w:sz w:val="14"/>
        </w:rPr>
        <w:t>https://www.g7italy.it/wp-content/uploads/G7-</w:t>
      </w:r>
      <w:r w:rsidRPr="00283806">
        <w:rPr>
          <w:rFonts w:ascii="Book Antiqua" w:hAnsi="Book Antiqua"/>
          <w:i/>
          <w:spacing w:val="40"/>
          <w:w w:val="110"/>
          <w:sz w:val="14"/>
        </w:rPr>
        <w:t xml:space="preserve"> </w:t>
      </w:r>
      <w:r w:rsidRPr="00283806">
        <w:rPr>
          <w:rFonts w:ascii="Book Antiqua" w:hAnsi="Book Antiqua"/>
          <w:i/>
          <w:spacing w:val="-2"/>
          <w:w w:val="110"/>
          <w:sz w:val="14"/>
        </w:rPr>
        <w:t>Climate-Energy-Environment-Ministerial-</w:t>
      </w:r>
      <w:r w:rsidRPr="00283806">
        <w:rPr>
          <w:rFonts w:ascii="Book Antiqua" w:hAnsi="Book Antiqua"/>
          <w:i/>
          <w:spacing w:val="40"/>
          <w:w w:val="110"/>
          <w:sz w:val="14"/>
        </w:rPr>
        <w:t xml:space="preserve"> </w:t>
      </w:r>
      <w:r w:rsidRPr="00283806">
        <w:rPr>
          <w:rFonts w:ascii="Book Antiqua" w:hAnsi="Book Antiqua"/>
          <w:i/>
          <w:spacing w:val="-2"/>
          <w:w w:val="110"/>
          <w:sz w:val="14"/>
        </w:rPr>
        <w:t>Communique</w:t>
      </w:r>
      <w:r w:rsidRPr="00283806">
        <w:rPr>
          <w:rFonts w:ascii="Symbol" w:hAnsi="Symbol"/>
          <w:spacing w:val="-2"/>
          <w:w w:val="110"/>
          <w:sz w:val="14"/>
        </w:rPr>
        <w:t></w:t>
      </w:r>
      <w:r w:rsidRPr="00283806">
        <w:rPr>
          <w:rFonts w:ascii="Book Antiqua" w:hAnsi="Book Antiqua"/>
          <w:i/>
          <w:spacing w:val="-2"/>
          <w:w w:val="110"/>
          <w:sz w:val="14"/>
        </w:rPr>
        <w:t>Final.pdf</w:t>
      </w:r>
      <w:r w:rsidRPr="00283806">
        <w:rPr>
          <w:spacing w:val="-2"/>
          <w:w w:val="110"/>
          <w:sz w:val="14"/>
        </w:rPr>
        <w:t>.</w:t>
      </w:r>
    </w:p>
    <w:p w14:paraId="4B042EBA" w14:textId="50418F98" w:rsidR="00D67C1E" w:rsidRPr="00283806" w:rsidRDefault="001265CA">
      <w:pPr>
        <w:spacing w:line="232" w:lineRule="auto"/>
        <w:ind w:left="153" w:right="220" w:firstLine="140"/>
        <w:rPr>
          <w:rFonts w:ascii="Book Antiqua" w:hAnsi="Book Antiqua"/>
          <w:i/>
          <w:sz w:val="14"/>
        </w:rPr>
      </w:pPr>
      <w:r w:rsidRPr="00283806">
        <w:rPr>
          <w:w w:val="110"/>
          <w:position w:val="4"/>
          <w:sz w:val="9"/>
        </w:rPr>
        <w:t xml:space="preserve">21 </w:t>
      </w:r>
      <w:r w:rsidRPr="00283806">
        <w:rPr>
          <w:w w:val="110"/>
          <w:sz w:val="14"/>
        </w:rPr>
        <w:t>World Meteorological Organization (WMO),</w:t>
      </w:r>
      <w:r w:rsidRPr="00283806">
        <w:rPr>
          <w:spacing w:val="40"/>
          <w:w w:val="110"/>
          <w:sz w:val="14"/>
        </w:rPr>
        <w:t xml:space="preserve"> </w:t>
      </w:r>
      <w:r w:rsidRPr="00283806">
        <w:rPr>
          <w:w w:val="110"/>
          <w:sz w:val="14"/>
        </w:rPr>
        <w:t>Scientific Assessment of Ozone Depletion: 2018,</w:t>
      </w:r>
      <w:r w:rsidRPr="00283806">
        <w:rPr>
          <w:spacing w:val="40"/>
          <w:w w:val="110"/>
          <w:sz w:val="14"/>
        </w:rPr>
        <w:t xml:space="preserve"> </w:t>
      </w:r>
      <w:r w:rsidRPr="00283806">
        <w:rPr>
          <w:w w:val="110"/>
          <w:sz w:val="14"/>
        </w:rPr>
        <w:t>World</w:t>
      </w:r>
      <w:r w:rsidRPr="00283806">
        <w:rPr>
          <w:spacing w:val="-7"/>
          <w:w w:val="110"/>
          <w:sz w:val="14"/>
        </w:rPr>
        <w:t xml:space="preserve"> </w:t>
      </w:r>
      <w:r w:rsidRPr="00283806">
        <w:rPr>
          <w:w w:val="110"/>
          <w:sz w:val="14"/>
        </w:rPr>
        <w:t>Meteorological</w:t>
      </w:r>
      <w:r w:rsidRPr="00283806">
        <w:rPr>
          <w:spacing w:val="-7"/>
          <w:w w:val="110"/>
          <w:sz w:val="14"/>
        </w:rPr>
        <w:t xml:space="preserve"> </w:t>
      </w:r>
      <w:r w:rsidRPr="00283806">
        <w:rPr>
          <w:w w:val="110"/>
          <w:sz w:val="14"/>
        </w:rPr>
        <w:t>Organization,</w:t>
      </w:r>
      <w:r w:rsidRPr="00283806">
        <w:rPr>
          <w:spacing w:val="-7"/>
          <w:w w:val="110"/>
          <w:sz w:val="14"/>
        </w:rPr>
        <w:t xml:space="preserve"> </w:t>
      </w:r>
      <w:r w:rsidRPr="00283806">
        <w:rPr>
          <w:w w:val="110"/>
          <w:sz w:val="14"/>
        </w:rPr>
        <w:t>Global</w:t>
      </w:r>
      <w:r w:rsidRPr="00283806">
        <w:rPr>
          <w:spacing w:val="-7"/>
          <w:w w:val="110"/>
          <w:sz w:val="14"/>
        </w:rPr>
        <w:t xml:space="preserve"> </w:t>
      </w:r>
      <w:r w:rsidRPr="00283806">
        <w:rPr>
          <w:w w:val="110"/>
          <w:sz w:val="14"/>
        </w:rPr>
        <w:t>Ozone</w:t>
      </w:r>
      <w:r w:rsidRPr="00283806">
        <w:rPr>
          <w:spacing w:val="40"/>
          <w:w w:val="110"/>
          <w:sz w:val="14"/>
        </w:rPr>
        <w:t xml:space="preserve"> </w:t>
      </w:r>
      <w:r w:rsidRPr="00283806">
        <w:rPr>
          <w:w w:val="110"/>
          <w:sz w:val="14"/>
        </w:rPr>
        <w:t>Research</w:t>
      </w:r>
      <w:r w:rsidRPr="00283806">
        <w:rPr>
          <w:spacing w:val="-7"/>
          <w:w w:val="110"/>
          <w:sz w:val="14"/>
        </w:rPr>
        <w:t xml:space="preserve"> </w:t>
      </w:r>
      <w:r w:rsidRPr="00283806">
        <w:rPr>
          <w:w w:val="110"/>
          <w:sz w:val="14"/>
        </w:rPr>
        <w:t>and</w:t>
      </w:r>
      <w:r w:rsidRPr="00283806">
        <w:rPr>
          <w:spacing w:val="-7"/>
          <w:w w:val="110"/>
          <w:sz w:val="14"/>
        </w:rPr>
        <w:t xml:space="preserve"> </w:t>
      </w:r>
      <w:r w:rsidRPr="00283806">
        <w:rPr>
          <w:w w:val="110"/>
          <w:sz w:val="14"/>
        </w:rPr>
        <w:t>Monitoring</w:t>
      </w:r>
      <w:r w:rsidRPr="00283806">
        <w:rPr>
          <w:spacing w:val="-7"/>
          <w:w w:val="110"/>
          <w:sz w:val="14"/>
        </w:rPr>
        <w:t xml:space="preserve"> </w:t>
      </w:r>
      <w:r w:rsidRPr="00283806">
        <w:rPr>
          <w:w w:val="110"/>
          <w:sz w:val="14"/>
        </w:rPr>
        <w:t>Project—Report</w:t>
      </w:r>
      <w:r w:rsidRPr="00283806">
        <w:rPr>
          <w:spacing w:val="-7"/>
          <w:w w:val="110"/>
          <w:sz w:val="14"/>
        </w:rPr>
        <w:t xml:space="preserve"> </w:t>
      </w:r>
      <w:r w:rsidRPr="00283806">
        <w:rPr>
          <w:w w:val="110"/>
          <w:sz w:val="14"/>
        </w:rPr>
        <w:t>No.</w:t>
      </w:r>
      <w:r w:rsidRPr="00283806">
        <w:rPr>
          <w:spacing w:val="-7"/>
          <w:w w:val="110"/>
          <w:sz w:val="14"/>
        </w:rPr>
        <w:t xml:space="preserve"> </w:t>
      </w:r>
      <w:r w:rsidRPr="00283806">
        <w:rPr>
          <w:w w:val="110"/>
          <w:sz w:val="14"/>
        </w:rPr>
        <w:t>58,</w:t>
      </w:r>
      <w:r w:rsidRPr="00283806">
        <w:rPr>
          <w:spacing w:val="40"/>
          <w:w w:val="110"/>
          <w:sz w:val="14"/>
        </w:rPr>
        <w:t xml:space="preserve"> </w:t>
      </w:r>
      <w:r w:rsidRPr="00283806">
        <w:rPr>
          <w:w w:val="110"/>
          <w:sz w:val="14"/>
        </w:rPr>
        <w:t>588 pp., Geneva, Switzerland, 2018. Available at:</w:t>
      </w:r>
      <w:r w:rsidRPr="00283806">
        <w:rPr>
          <w:spacing w:val="40"/>
          <w:w w:val="110"/>
          <w:sz w:val="14"/>
        </w:rPr>
        <w:t xml:space="preserve"> </w:t>
      </w:r>
      <w:r w:rsidRPr="00283806">
        <w:rPr>
          <w:rFonts w:ascii="Book Antiqua" w:hAnsi="Book Antiqua"/>
          <w:i/>
          <w:spacing w:val="-2"/>
          <w:w w:val="110"/>
          <w:sz w:val="14"/>
        </w:rPr>
        <w:t>https://ozone.unep.org/sites/default/files/2019-05/</w:t>
      </w:r>
    </w:p>
    <w:p w14:paraId="7A816D88" w14:textId="77777777" w:rsidR="00D67C1E" w:rsidRPr="00283806" w:rsidRDefault="00D67C1E">
      <w:pPr>
        <w:spacing w:line="232" w:lineRule="auto"/>
        <w:rPr>
          <w:rFonts w:ascii="Book Antiqua" w:hAnsi="Book Antiqua"/>
          <w:sz w:val="14"/>
        </w:rPr>
        <w:sectPr w:rsidR="00D67C1E" w:rsidRPr="00283806">
          <w:pgSz w:w="12240" w:h="15840"/>
          <w:pgMar w:top="1040" w:right="780" w:bottom="280" w:left="740" w:header="627" w:footer="0" w:gutter="0"/>
          <w:cols w:num="3" w:space="720" w:equalWidth="0">
            <w:col w:w="3518" w:space="40"/>
            <w:col w:w="3489" w:space="39"/>
            <w:col w:w="3634"/>
          </w:cols>
        </w:sectPr>
      </w:pPr>
    </w:p>
    <w:p w14:paraId="5254040C" w14:textId="77777777" w:rsidR="00D67C1E" w:rsidRPr="00283806" w:rsidRDefault="001265CA">
      <w:pPr>
        <w:pStyle w:val="BodyText"/>
        <w:tabs>
          <w:tab w:val="left" w:pos="3699"/>
          <w:tab w:val="left" w:pos="4699"/>
        </w:tabs>
        <w:spacing w:line="165" w:lineRule="exact"/>
      </w:pPr>
      <w:r w:rsidRPr="00283806">
        <w:rPr>
          <w:w w:val="110"/>
        </w:rPr>
        <w:t>Thus,</w:t>
      </w:r>
      <w:r w:rsidRPr="00283806">
        <w:rPr>
          <w:spacing w:val="6"/>
          <w:w w:val="110"/>
        </w:rPr>
        <w:t xml:space="preserve"> </w:t>
      </w:r>
      <w:r w:rsidRPr="00283806">
        <w:rPr>
          <w:w w:val="110"/>
        </w:rPr>
        <w:t>CAA</w:t>
      </w:r>
      <w:r w:rsidRPr="00283806">
        <w:rPr>
          <w:spacing w:val="6"/>
          <w:w w:val="110"/>
        </w:rPr>
        <w:t xml:space="preserve"> </w:t>
      </w:r>
      <w:r w:rsidRPr="00283806">
        <w:rPr>
          <w:w w:val="110"/>
        </w:rPr>
        <w:t>section</w:t>
      </w:r>
      <w:r w:rsidRPr="00283806">
        <w:rPr>
          <w:spacing w:val="6"/>
          <w:w w:val="110"/>
        </w:rPr>
        <w:t xml:space="preserve"> </w:t>
      </w:r>
      <w:r w:rsidRPr="00283806">
        <w:rPr>
          <w:w w:val="110"/>
        </w:rPr>
        <w:t>114,</w:t>
      </w:r>
      <w:r w:rsidRPr="00283806">
        <w:rPr>
          <w:spacing w:val="6"/>
          <w:w w:val="110"/>
        </w:rPr>
        <w:t xml:space="preserve"> </w:t>
      </w:r>
      <w:r w:rsidRPr="00283806">
        <w:rPr>
          <w:w w:val="110"/>
        </w:rPr>
        <w:t>which</w:t>
      </w:r>
      <w:r w:rsidRPr="00283806">
        <w:rPr>
          <w:spacing w:val="6"/>
          <w:w w:val="110"/>
        </w:rPr>
        <w:t xml:space="preserve"> </w:t>
      </w:r>
      <w:r w:rsidRPr="00283806">
        <w:rPr>
          <w:spacing w:val="-2"/>
          <w:w w:val="110"/>
        </w:rPr>
        <w:t>provides</w:t>
      </w:r>
      <w:r w:rsidRPr="00283806">
        <w:tab/>
      </w:r>
      <w:r w:rsidRPr="00283806">
        <w:rPr>
          <w:u w:val="single"/>
        </w:rPr>
        <w:tab/>
      </w:r>
    </w:p>
    <w:p w14:paraId="7C2C341F" w14:textId="2D0C5EC2" w:rsidR="00D67C1E" w:rsidRPr="00283806" w:rsidRDefault="001265CA">
      <w:pPr>
        <w:spacing w:before="1" w:line="163" w:lineRule="exact"/>
        <w:ind w:left="160"/>
        <w:rPr>
          <w:sz w:val="14"/>
        </w:rPr>
      </w:pPr>
      <w:r w:rsidRPr="00283806">
        <w:br w:type="column"/>
      </w:r>
      <w:r w:rsidRPr="00283806">
        <w:rPr>
          <w:rFonts w:ascii="Book Antiqua"/>
          <w:i/>
          <w:w w:val="110"/>
          <w:sz w:val="14"/>
        </w:rPr>
        <w:t>SAP-2018-Assessment-</w:t>
      </w:r>
      <w:r w:rsidRPr="00283806">
        <w:rPr>
          <w:rFonts w:ascii="Book Antiqua"/>
          <w:i/>
          <w:spacing w:val="-2"/>
          <w:w w:val="110"/>
          <w:sz w:val="14"/>
        </w:rPr>
        <w:t>report.pdf</w:t>
      </w:r>
      <w:r w:rsidRPr="00283806">
        <w:rPr>
          <w:spacing w:val="-2"/>
          <w:w w:val="110"/>
          <w:sz w:val="14"/>
        </w:rPr>
        <w:t>.</w:t>
      </w:r>
    </w:p>
    <w:p w14:paraId="46D87B74" w14:textId="77777777" w:rsidR="00D67C1E" w:rsidRPr="00283806" w:rsidRDefault="00D67C1E">
      <w:pPr>
        <w:spacing w:line="163" w:lineRule="exact"/>
        <w:rPr>
          <w:sz w:val="14"/>
        </w:rPr>
        <w:sectPr w:rsidR="00D67C1E" w:rsidRPr="00283806">
          <w:type w:val="continuous"/>
          <w:pgSz w:w="12240" w:h="15840"/>
          <w:pgMar w:top="880" w:right="780" w:bottom="280" w:left="740" w:header="627" w:footer="0" w:gutter="0"/>
          <w:cols w:num="2" w:space="720" w:equalWidth="0">
            <w:col w:w="4740" w:space="2340"/>
            <w:col w:w="3640"/>
          </w:cols>
        </w:sectPr>
      </w:pPr>
    </w:p>
    <w:p w14:paraId="7A04E415" w14:textId="77777777" w:rsidR="00D67C1E" w:rsidRPr="00283806" w:rsidRDefault="001265CA">
      <w:pPr>
        <w:pStyle w:val="BodyText"/>
        <w:spacing w:before="9" w:line="228" w:lineRule="auto"/>
      </w:pPr>
      <w:r w:rsidRPr="00283806">
        <w:rPr>
          <w:w w:val="105"/>
        </w:rPr>
        <w:t>authority to the EPA Administrator to require recordkeeping and reporting in carrying out provisions of the CAA, also applies to and supports this rulemaking. These provisions and ones like them are integral to establishing an effective regulatory program, and thus are important to the overall efficacy of the HFC management program at achieving</w:t>
      </w:r>
    </w:p>
    <w:p w14:paraId="28AEFCC1" w14:textId="77777777" w:rsidR="00D67C1E" w:rsidRPr="00283806" w:rsidRDefault="001265CA">
      <w:pPr>
        <w:spacing w:before="20" w:line="232" w:lineRule="auto"/>
        <w:ind w:left="160" w:right="123" w:firstLine="140"/>
        <w:rPr>
          <w:sz w:val="14"/>
        </w:rPr>
      </w:pPr>
      <w:r w:rsidRPr="00283806">
        <w:br w:type="column"/>
      </w:r>
      <w:r w:rsidRPr="00283806">
        <w:rPr>
          <w:w w:val="105"/>
          <w:position w:val="4"/>
          <w:sz w:val="9"/>
        </w:rPr>
        <w:t xml:space="preserve">15 </w:t>
      </w:r>
      <w:r w:rsidRPr="00283806">
        <w:rPr>
          <w:w w:val="105"/>
          <w:sz w:val="14"/>
        </w:rPr>
        <w:t>While the overwhelming majority of HFC</w:t>
      </w:r>
      <w:r w:rsidRPr="00283806">
        <w:rPr>
          <w:spacing w:val="40"/>
          <w:w w:val="105"/>
          <w:sz w:val="14"/>
        </w:rPr>
        <w:t xml:space="preserve"> </w:t>
      </w:r>
      <w:r w:rsidRPr="00283806">
        <w:rPr>
          <w:w w:val="105"/>
          <w:sz w:val="14"/>
        </w:rPr>
        <w:t>production is intentional, EPA is aware that HFC–</w:t>
      </w:r>
      <w:r w:rsidRPr="00283806">
        <w:rPr>
          <w:spacing w:val="40"/>
          <w:w w:val="105"/>
          <w:sz w:val="14"/>
        </w:rPr>
        <w:t xml:space="preserve"> </w:t>
      </w:r>
      <w:r w:rsidRPr="00283806">
        <w:rPr>
          <w:w w:val="105"/>
          <w:sz w:val="14"/>
        </w:rPr>
        <w:t>23 can be a byproduct associated with the</w:t>
      </w:r>
      <w:r w:rsidRPr="00283806">
        <w:rPr>
          <w:spacing w:val="40"/>
          <w:w w:val="105"/>
          <w:sz w:val="14"/>
        </w:rPr>
        <w:t xml:space="preserve"> </w:t>
      </w:r>
      <w:r w:rsidRPr="00283806">
        <w:rPr>
          <w:w w:val="105"/>
          <w:sz w:val="14"/>
        </w:rPr>
        <w:t>production of other chemicals, including but not</w:t>
      </w:r>
      <w:r w:rsidRPr="00283806">
        <w:rPr>
          <w:spacing w:val="40"/>
          <w:w w:val="105"/>
          <w:sz w:val="14"/>
        </w:rPr>
        <w:t xml:space="preserve"> </w:t>
      </w:r>
      <w:r w:rsidRPr="00283806">
        <w:rPr>
          <w:w w:val="105"/>
          <w:sz w:val="14"/>
        </w:rPr>
        <w:t>limited to hydrochlorofluorocarbon (HCFC)–22.</w:t>
      </w:r>
    </w:p>
    <w:p w14:paraId="5C234D28" w14:textId="5D826325" w:rsidR="00D67C1E" w:rsidRPr="00283806" w:rsidRDefault="001265CA">
      <w:pPr>
        <w:spacing w:before="25" w:line="230" w:lineRule="auto"/>
        <w:ind w:left="160" w:right="38" w:firstLine="140"/>
        <w:rPr>
          <w:sz w:val="14"/>
        </w:rPr>
      </w:pPr>
      <w:r w:rsidRPr="00283806">
        <w:rPr>
          <w:w w:val="115"/>
          <w:position w:val="4"/>
          <w:sz w:val="9"/>
        </w:rPr>
        <w:t>16</w:t>
      </w:r>
      <w:r w:rsidRPr="00283806">
        <w:rPr>
          <w:spacing w:val="-6"/>
          <w:w w:val="115"/>
          <w:position w:val="4"/>
          <w:sz w:val="9"/>
        </w:rPr>
        <w:t xml:space="preserve"> </w:t>
      </w:r>
      <w:r w:rsidRPr="00283806">
        <w:rPr>
          <w:w w:val="115"/>
          <w:sz w:val="14"/>
        </w:rPr>
        <w:t>World</w:t>
      </w:r>
      <w:r w:rsidRPr="00283806">
        <w:rPr>
          <w:spacing w:val="-9"/>
          <w:w w:val="115"/>
          <w:sz w:val="14"/>
        </w:rPr>
        <w:t xml:space="preserve"> </w:t>
      </w:r>
      <w:r w:rsidRPr="00283806">
        <w:rPr>
          <w:w w:val="115"/>
          <w:sz w:val="14"/>
        </w:rPr>
        <w:t>Meteorological</w:t>
      </w:r>
      <w:r w:rsidRPr="00283806">
        <w:rPr>
          <w:spacing w:val="-9"/>
          <w:w w:val="115"/>
          <w:sz w:val="14"/>
        </w:rPr>
        <w:t xml:space="preserve"> </w:t>
      </w:r>
      <w:r w:rsidRPr="00283806">
        <w:rPr>
          <w:w w:val="115"/>
          <w:sz w:val="14"/>
        </w:rPr>
        <w:t>Organization</w:t>
      </w:r>
      <w:r w:rsidRPr="00283806">
        <w:rPr>
          <w:spacing w:val="-9"/>
          <w:w w:val="115"/>
          <w:sz w:val="14"/>
        </w:rPr>
        <w:t xml:space="preserve"> </w:t>
      </w:r>
      <w:r w:rsidRPr="00283806">
        <w:rPr>
          <w:w w:val="115"/>
          <w:sz w:val="14"/>
        </w:rPr>
        <w:t>(WMO),</w:t>
      </w:r>
      <w:r w:rsidRPr="00283806">
        <w:rPr>
          <w:spacing w:val="40"/>
          <w:w w:val="115"/>
          <w:sz w:val="14"/>
        </w:rPr>
        <w:t xml:space="preserve"> </w:t>
      </w:r>
      <w:r w:rsidRPr="00283806">
        <w:rPr>
          <w:w w:val="115"/>
          <w:sz w:val="14"/>
        </w:rPr>
        <w:t>Scientific</w:t>
      </w:r>
      <w:r w:rsidRPr="00283806">
        <w:rPr>
          <w:spacing w:val="-9"/>
          <w:w w:val="115"/>
          <w:sz w:val="14"/>
        </w:rPr>
        <w:t xml:space="preserve"> </w:t>
      </w:r>
      <w:r w:rsidRPr="00283806">
        <w:rPr>
          <w:w w:val="115"/>
          <w:sz w:val="14"/>
        </w:rPr>
        <w:t>Assessment</w:t>
      </w:r>
      <w:r w:rsidRPr="00283806">
        <w:rPr>
          <w:spacing w:val="-9"/>
          <w:w w:val="115"/>
          <w:sz w:val="14"/>
        </w:rPr>
        <w:t xml:space="preserve"> </w:t>
      </w:r>
      <w:r w:rsidRPr="00283806">
        <w:rPr>
          <w:w w:val="115"/>
          <w:sz w:val="14"/>
        </w:rPr>
        <w:t>of</w:t>
      </w:r>
      <w:r w:rsidRPr="00283806">
        <w:rPr>
          <w:spacing w:val="-9"/>
          <w:w w:val="115"/>
          <w:sz w:val="14"/>
        </w:rPr>
        <w:t xml:space="preserve"> </w:t>
      </w:r>
      <w:r w:rsidRPr="00283806">
        <w:rPr>
          <w:w w:val="115"/>
          <w:sz w:val="14"/>
        </w:rPr>
        <w:t>Ozone</w:t>
      </w:r>
      <w:r w:rsidRPr="00283806">
        <w:rPr>
          <w:spacing w:val="-9"/>
          <w:w w:val="115"/>
          <w:sz w:val="14"/>
        </w:rPr>
        <w:t xml:space="preserve"> </w:t>
      </w:r>
      <w:r w:rsidRPr="00283806">
        <w:rPr>
          <w:w w:val="115"/>
          <w:sz w:val="14"/>
        </w:rPr>
        <w:t>Depletion:</w:t>
      </w:r>
      <w:r w:rsidRPr="00283806">
        <w:rPr>
          <w:spacing w:val="-9"/>
          <w:w w:val="115"/>
          <w:sz w:val="14"/>
        </w:rPr>
        <w:t xml:space="preserve"> </w:t>
      </w:r>
      <w:r w:rsidRPr="00283806">
        <w:rPr>
          <w:w w:val="115"/>
          <w:sz w:val="14"/>
        </w:rPr>
        <w:t>2022,</w:t>
      </w:r>
      <w:r w:rsidRPr="00283806">
        <w:rPr>
          <w:spacing w:val="40"/>
          <w:w w:val="115"/>
          <w:sz w:val="14"/>
        </w:rPr>
        <w:t xml:space="preserve"> </w:t>
      </w:r>
      <w:r w:rsidRPr="00283806">
        <w:rPr>
          <w:w w:val="115"/>
          <w:sz w:val="14"/>
        </w:rPr>
        <w:t>GAW Report No. 278, 509 pp., WMO, Geneva,</w:t>
      </w:r>
      <w:r w:rsidRPr="00283806">
        <w:rPr>
          <w:spacing w:val="40"/>
          <w:w w:val="115"/>
          <w:sz w:val="14"/>
        </w:rPr>
        <w:t xml:space="preserve"> </w:t>
      </w:r>
      <w:r w:rsidRPr="00283806">
        <w:rPr>
          <w:w w:val="115"/>
          <w:sz w:val="14"/>
        </w:rPr>
        <w:t xml:space="preserve">Switzerland, 2022. Available at: </w:t>
      </w:r>
      <w:r w:rsidRPr="00283806">
        <w:rPr>
          <w:rFonts w:ascii="Book Antiqua"/>
          <w:i/>
          <w:w w:val="115"/>
          <w:sz w:val="14"/>
        </w:rPr>
        <w:t xml:space="preserve">https:// </w:t>
      </w:r>
      <w:hyperlink r:id="rId16">
        <w:r w:rsidRPr="00283806">
          <w:rPr>
            <w:rFonts w:ascii="Book Antiqua"/>
            <w:i/>
            <w:spacing w:val="-2"/>
            <w:w w:val="115"/>
            <w:sz w:val="14"/>
          </w:rPr>
          <w:t>ozone.unep.org/system/files/documents/Scientific-</w:t>
        </w:r>
      </w:hyperlink>
      <w:r w:rsidRPr="00283806">
        <w:rPr>
          <w:rFonts w:ascii="Book Antiqua"/>
          <w:i/>
          <w:spacing w:val="40"/>
          <w:w w:val="115"/>
          <w:sz w:val="14"/>
        </w:rPr>
        <w:t xml:space="preserve"> </w:t>
      </w:r>
      <w:hyperlink r:id="rId17">
        <w:r w:rsidRPr="00283806">
          <w:rPr>
            <w:rFonts w:ascii="Book Antiqua"/>
            <w:i/>
            <w:spacing w:val="-2"/>
            <w:w w:val="115"/>
            <w:sz w:val="14"/>
          </w:rPr>
          <w:t>Assessment-of-Ozone-Depletion-2022.pdf</w:t>
        </w:r>
        <w:r w:rsidRPr="00283806">
          <w:rPr>
            <w:spacing w:val="-2"/>
            <w:w w:val="115"/>
            <w:sz w:val="14"/>
          </w:rPr>
          <w:t>.</w:t>
        </w:r>
      </w:hyperlink>
    </w:p>
    <w:p w14:paraId="5153D797" w14:textId="77777777" w:rsidR="00D67C1E" w:rsidRPr="00283806" w:rsidRDefault="001265CA">
      <w:pPr>
        <w:spacing w:before="16"/>
        <w:ind w:left="300"/>
        <w:rPr>
          <w:sz w:val="14"/>
        </w:rPr>
      </w:pPr>
      <w:r w:rsidRPr="00283806">
        <w:br w:type="column"/>
      </w:r>
      <w:r w:rsidRPr="00283806">
        <w:rPr>
          <w:w w:val="110"/>
          <w:position w:val="4"/>
          <w:sz w:val="9"/>
        </w:rPr>
        <w:t>22</w:t>
      </w:r>
      <w:r w:rsidRPr="00283806">
        <w:rPr>
          <w:spacing w:val="10"/>
          <w:w w:val="110"/>
          <w:position w:val="4"/>
          <w:sz w:val="9"/>
        </w:rPr>
        <w:t xml:space="preserve"> </w:t>
      </w:r>
      <w:r w:rsidRPr="00283806">
        <w:rPr>
          <w:w w:val="110"/>
          <w:sz w:val="14"/>
        </w:rPr>
        <w:t>WMO,</w:t>
      </w:r>
      <w:r w:rsidRPr="00283806">
        <w:rPr>
          <w:spacing w:val="23"/>
          <w:w w:val="110"/>
          <w:sz w:val="14"/>
        </w:rPr>
        <w:t xml:space="preserve"> </w:t>
      </w:r>
      <w:r w:rsidRPr="00283806">
        <w:rPr>
          <w:spacing w:val="-2"/>
          <w:w w:val="110"/>
          <w:sz w:val="14"/>
        </w:rPr>
        <w:t>2022.</w:t>
      </w:r>
    </w:p>
    <w:p w14:paraId="18829074" w14:textId="77777777" w:rsidR="00D67C1E" w:rsidRPr="00283806" w:rsidRDefault="001265CA">
      <w:pPr>
        <w:spacing w:before="20" w:line="232" w:lineRule="auto"/>
        <w:ind w:left="160" w:right="180" w:firstLine="140"/>
        <w:rPr>
          <w:sz w:val="14"/>
        </w:rPr>
      </w:pPr>
      <w:r w:rsidRPr="00283806">
        <w:rPr>
          <w:w w:val="105"/>
          <w:position w:val="4"/>
          <w:sz w:val="9"/>
        </w:rPr>
        <w:t xml:space="preserve">23 </w:t>
      </w:r>
      <w:r w:rsidRPr="00283806">
        <w:rPr>
          <w:w w:val="105"/>
          <w:sz w:val="14"/>
        </w:rPr>
        <w:t>Radiative forcing is expressed in units of watts</w:t>
      </w:r>
      <w:r w:rsidRPr="00283806">
        <w:rPr>
          <w:spacing w:val="40"/>
          <w:w w:val="105"/>
          <w:sz w:val="14"/>
        </w:rPr>
        <w:t xml:space="preserve"> </w:t>
      </w:r>
      <w:r w:rsidRPr="00283806">
        <w:rPr>
          <w:w w:val="105"/>
          <w:sz w:val="14"/>
        </w:rPr>
        <w:t>per square meter (W/m</w:t>
      </w:r>
      <w:r w:rsidRPr="00283806">
        <w:rPr>
          <w:w w:val="105"/>
          <w:position w:val="4"/>
          <w:sz w:val="9"/>
        </w:rPr>
        <w:t>2</w:t>
      </w:r>
      <w:r w:rsidRPr="00283806">
        <w:rPr>
          <w:w w:val="105"/>
          <w:sz w:val="14"/>
        </w:rPr>
        <w:t>) and is defined by the IPCC</w:t>
      </w:r>
      <w:r w:rsidRPr="00283806">
        <w:rPr>
          <w:spacing w:val="40"/>
          <w:w w:val="105"/>
          <w:sz w:val="14"/>
        </w:rPr>
        <w:t xml:space="preserve"> </w:t>
      </w:r>
      <w:r w:rsidRPr="00283806">
        <w:rPr>
          <w:w w:val="105"/>
          <w:sz w:val="14"/>
        </w:rPr>
        <w:t>as ‘‘a measure of the influence a factor has in</w:t>
      </w:r>
      <w:r w:rsidRPr="00283806">
        <w:rPr>
          <w:spacing w:val="80"/>
          <w:w w:val="105"/>
          <w:sz w:val="14"/>
        </w:rPr>
        <w:t xml:space="preserve"> </w:t>
      </w:r>
      <w:r w:rsidRPr="00283806">
        <w:rPr>
          <w:w w:val="105"/>
          <w:sz w:val="14"/>
        </w:rPr>
        <w:t>altering the balance of incoming and outgoing</w:t>
      </w:r>
      <w:r w:rsidRPr="00283806">
        <w:rPr>
          <w:spacing w:val="80"/>
          <w:w w:val="105"/>
          <w:sz w:val="14"/>
        </w:rPr>
        <w:t xml:space="preserve"> </w:t>
      </w:r>
      <w:r w:rsidRPr="00283806">
        <w:rPr>
          <w:w w:val="105"/>
          <w:sz w:val="14"/>
        </w:rPr>
        <w:t>energy in the Earth-atmosphere system and is an</w:t>
      </w:r>
      <w:r w:rsidRPr="00283806">
        <w:rPr>
          <w:spacing w:val="40"/>
          <w:w w:val="105"/>
          <w:sz w:val="14"/>
        </w:rPr>
        <w:t xml:space="preserve"> </w:t>
      </w:r>
      <w:r w:rsidRPr="00283806">
        <w:rPr>
          <w:w w:val="105"/>
          <w:sz w:val="14"/>
        </w:rPr>
        <w:t>index of the importance of the factor as a potential</w:t>
      </w:r>
      <w:r w:rsidRPr="00283806">
        <w:rPr>
          <w:spacing w:val="40"/>
          <w:w w:val="105"/>
          <w:sz w:val="14"/>
        </w:rPr>
        <w:t xml:space="preserve"> </w:t>
      </w:r>
      <w:r w:rsidRPr="00283806">
        <w:rPr>
          <w:w w:val="105"/>
          <w:sz w:val="14"/>
        </w:rPr>
        <w:t>climate change mechanism.’’ IPCC, 2007: Climate</w:t>
      </w:r>
      <w:r w:rsidRPr="00283806">
        <w:rPr>
          <w:spacing w:val="40"/>
          <w:w w:val="105"/>
          <w:sz w:val="14"/>
        </w:rPr>
        <w:t xml:space="preserve"> </w:t>
      </w:r>
      <w:r w:rsidRPr="00283806">
        <w:rPr>
          <w:w w:val="105"/>
          <w:sz w:val="14"/>
        </w:rPr>
        <w:t>Change 2007: Synthesis Report. Contribution of</w:t>
      </w:r>
      <w:r w:rsidRPr="00283806">
        <w:rPr>
          <w:spacing w:val="40"/>
          <w:w w:val="105"/>
          <w:sz w:val="14"/>
        </w:rPr>
        <w:t xml:space="preserve"> </w:t>
      </w:r>
      <w:r w:rsidRPr="00283806">
        <w:rPr>
          <w:w w:val="105"/>
          <w:sz w:val="14"/>
        </w:rPr>
        <w:t>Working Groups I, II and III to the Fourth</w:t>
      </w:r>
      <w:r w:rsidRPr="00283806">
        <w:rPr>
          <w:spacing w:val="40"/>
          <w:w w:val="105"/>
          <w:sz w:val="14"/>
        </w:rPr>
        <w:t xml:space="preserve"> </w:t>
      </w:r>
      <w:r w:rsidRPr="00283806">
        <w:rPr>
          <w:w w:val="105"/>
          <w:sz w:val="14"/>
        </w:rPr>
        <w:t>Assessment Report of the Intergovernmental Panel</w:t>
      </w:r>
    </w:p>
    <w:p w14:paraId="63EC6863" w14:textId="77777777" w:rsidR="00D67C1E" w:rsidRPr="00283806" w:rsidRDefault="00D67C1E">
      <w:pPr>
        <w:spacing w:line="232" w:lineRule="auto"/>
        <w:rPr>
          <w:sz w:val="14"/>
        </w:rPr>
        <w:sectPr w:rsidR="00D67C1E" w:rsidRPr="00283806">
          <w:type w:val="continuous"/>
          <w:pgSz w:w="12240" w:h="15840"/>
          <w:pgMar w:top="880" w:right="780" w:bottom="280" w:left="740" w:header="627" w:footer="0" w:gutter="0"/>
          <w:cols w:num="3" w:space="720" w:equalWidth="0">
            <w:col w:w="3496" w:space="44"/>
            <w:col w:w="3472" w:space="68"/>
            <w:col w:w="3640"/>
          </w:cols>
        </w:sectPr>
      </w:pPr>
    </w:p>
    <w:p w14:paraId="7F6D8B48" w14:textId="77777777" w:rsidR="00D67C1E" w:rsidRPr="00283806" w:rsidRDefault="001265CA">
      <w:pPr>
        <w:pStyle w:val="BodyText"/>
        <w:spacing w:before="136" w:line="225" w:lineRule="auto"/>
        <w:ind w:left="159"/>
      </w:pPr>
      <w:r w:rsidRPr="00283806">
        <w:rPr>
          <w:w w:val="105"/>
        </w:rPr>
        <w:lastRenderedPageBreak/>
        <w:t>in 2016, rising to 0.037 W/m</w:t>
      </w:r>
      <w:r w:rsidRPr="00283806">
        <w:rPr>
          <w:w w:val="105"/>
          <w:position w:val="5"/>
          <w:sz w:val="11"/>
        </w:rPr>
        <w:t>2</w:t>
      </w:r>
      <w:r w:rsidRPr="00283806">
        <w:rPr>
          <w:spacing w:val="28"/>
          <w:w w:val="105"/>
          <w:position w:val="5"/>
          <w:sz w:val="11"/>
        </w:rPr>
        <w:t xml:space="preserve"> </w:t>
      </w:r>
      <w:r w:rsidRPr="00283806">
        <w:rPr>
          <w:w w:val="105"/>
        </w:rPr>
        <w:t>in 2020. This is an increase of nearly a third in total HFC forcing relative to 2016. This radiative forcing was projected to increase by an order of magnitude to</w:t>
      </w:r>
    </w:p>
    <w:p w14:paraId="288549E3" w14:textId="77777777" w:rsidR="00D67C1E" w:rsidRPr="00283806" w:rsidRDefault="001265CA">
      <w:pPr>
        <w:pStyle w:val="BodyText"/>
        <w:spacing w:line="225" w:lineRule="auto"/>
        <w:ind w:left="159" w:right="39"/>
        <w:rPr>
          <w:sz w:val="11"/>
        </w:rPr>
      </w:pPr>
      <w:r w:rsidRPr="00283806">
        <w:rPr>
          <w:w w:val="105"/>
        </w:rPr>
        <w:t>0.25 W/m</w:t>
      </w:r>
      <w:r w:rsidRPr="00283806">
        <w:rPr>
          <w:w w:val="105"/>
          <w:position w:val="5"/>
          <w:sz w:val="11"/>
        </w:rPr>
        <w:t>2</w:t>
      </w:r>
      <w:r w:rsidRPr="00283806">
        <w:rPr>
          <w:spacing w:val="40"/>
          <w:w w:val="105"/>
          <w:position w:val="5"/>
          <w:sz w:val="11"/>
        </w:rPr>
        <w:t xml:space="preserve"> </w:t>
      </w:r>
      <w:r w:rsidRPr="00283806">
        <w:rPr>
          <w:w w:val="105"/>
        </w:rPr>
        <w:t>by 2050.</w:t>
      </w:r>
      <w:r w:rsidRPr="00283806">
        <w:rPr>
          <w:w w:val="105"/>
          <w:position w:val="5"/>
          <w:sz w:val="11"/>
        </w:rPr>
        <w:t>24</w:t>
      </w:r>
      <w:r w:rsidRPr="00283806">
        <w:rPr>
          <w:spacing w:val="40"/>
          <w:w w:val="105"/>
          <w:position w:val="5"/>
          <w:sz w:val="11"/>
        </w:rPr>
        <w:t xml:space="preserve"> </w:t>
      </w:r>
      <w:r w:rsidRPr="00283806">
        <w:rPr>
          <w:w w:val="105"/>
        </w:rPr>
        <w:t>If the Kigali Amendment is fully implemented, it is expected to reduce the future radiative forcing due to HFCs (excluding HFC–23) to 0.13 W/m</w:t>
      </w:r>
      <w:r w:rsidRPr="00283806">
        <w:rPr>
          <w:w w:val="105"/>
          <w:position w:val="5"/>
          <w:sz w:val="11"/>
        </w:rPr>
        <w:t>2</w:t>
      </w:r>
      <w:r w:rsidRPr="00283806">
        <w:rPr>
          <w:spacing w:val="40"/>
          <w:w w:val="105"/>
          <w:position w:val="5"/>
          <w:sz w:val="11"/>
        </w:rPr>
        <w:t xml:space="preserve"> </w:t>
      </w:r>
      <w:r w:rsidRPr="00283806">
        <w:rPr>
          <w:w w:val="105"/>
        </w:rPr>
        <w:t>in 2050, which is a reduction of about 50 percent compared with the radiative forcing projected in</w:t>
      </w:r>
      <w:r w:rsidRPr="00283806">
        <w:rPr>
          <w:spacing w:val="40"/>
          <w:w w:val="105"/>
        </w:rPr>
        <w:t xml:space="preserve"> </w:t>
      </w:r>
      <w:r w:rsidRPr="00283806">
        <w:rPr>
          <w:w w:val="105"/>
        </w:rPr>
        <w:t>the business-as-usual scenario of uncontrolled HFCs.</w:t>
      </w:r>
      <w:r w:rsidRPr="00283806">
        <w:rPr>
          <w:w w:val="105"/>
          <w:position w:val="5"/>
          <w:sz w:val="11"/>
        </w:rPr>
        <w:t>25</w:t>
      </w:r>
    </w:p>
    <w:p w14:paraId="1C703F57" w14:textId="77777777" w:rsidR="00D67C1E" w:rsidRPr="00283806" w:rsidRDefault="001265CA">
      <w:pPr>
        <w:pStyle w:val="BodyText"/>
        <w:spacing w:line="177" w:lineRule="exact"/>
        <w:ind w:left="339"/>
      </w:pPr>
      <w:r w:rsidRPr="00283806">
        <w:rPr>
          <w:w w:val="105"/>
        </w:rPr>
        <w:t>There</w:t>
      </w:r>
      <w:r w:rsidRPr="00283806">
        <w:rPr>
          <w:spacing w:val="7"/>
          <w:w w:val="105"/>
        </w:rPr>
        <w:t xml:space="preserve"> </w:t>
      </w:r>
      <w:r w:rsidRPr="00283806">
        <w:rPr>
          <w:w w:val="105"/>
        </w:rPr>
        <w:t>are</w:t>
      </w:r>
      <w:r w:rsidRPr="00283806">
        <w:rPr>
          <w:spacing w:val="7"/>
          <w:w w:val="105"/>
        </w:rPr>
        <w:t xml:space="preserve"> </w:t>
      </w:r>
      <w:r w:rsidRPr="00283806">
        <w:rPr>
          <w:w w:val="105"/>
        </w:rPr>
        <w:t>hundreds</w:t>
      </w:r>
      <w:r w:rsidRPr="00283806">
        <w:rPr>
          <w:spacing w:val="7"/>
          <w:w w:val="105"/>
        </w:rPr>
        <w:t xml:space="preserve"> </w:t>
      </w:r>
      <w:r w:rsidRPr="00283806">
        <w:rPr>
          <w:w w:val="105"/>
        </w:rPr>
        <w:t>of</w:t>
      </w:r>
      <w:r w:rsidRPr="00283806">
        <w:rPr>
          <w:spacing w:val="7"/>
          <w:w w:val="105"/>
        </w:rPr>
        <w:t xml:space="preserve"> </w:t>
      </w:r>
      <w:r w:rsidRPr="00283806">
        <w:rPr>
          <w:w w:val="105"/>
        </w:rPr>
        <w:t>possible</w:t>
      </w:r>
      <w:r w:rsidRPr="00283806">
        <w:rPr>
          <w:spacing w:val="7"/>
          <w:w w:val="105"/>
        </w:rPr>
        <w:t xml:space="preserve"> </w:t>
      </w:r>
      <w:r w:rsidRPr="00283806">
        <w:rPr>
          <w:spacing w:val="-5"/>
          <w:w w:val="105"/>
        </w:rPr>
        <w:t>HFC</w:t>
      </w:r>
    </w:p>
    <w:p w14:paraId="193AB716" w14:textId="77777777" w:rsidR="00D67C1E" w:rsidRPr="00283806" w:rsidRDefault="001265CA">
      <w:pPr>
        <w:pStyle w:val="BodyText"/>
        <w:spacing w:before="2" w:line="225" w:lineRule="auto"/>
        <w:ind w:left="159" w:right="86"/>
      </w:pPr>
      <w:r w:rsidRPr="00283806">
        <w:rPr>
          <w:w w:val="105"/>
        </w:rPr>
        <w:t xml:space="preserve">compounds. The 18 HFCs listed as regulated substances by the AIM Act are some of the </w:t>
      </w:r>
      <w:proofErr w:type="gramStart"/>
      <w:r w:rsidRPr="00283806">
        <w:rPr>
          <w:w w:val="105"/>
        </w:rPr>
        <w:t>most commonly used</w:t>
      </w:r>
      <w:proofErr w:type="gramEnd"/>
      <w:r w:rsidRPr="00283806">
        <w:rPr>
          <w:w w:val="105"/>
        </w:rPr>
        <w:t xml:space="preserve"> HFCs (neat and in blends) and have high impacts as measured by the quantity of each substance emitted, multiplied by their respective GWPs. These 18 HFCs</w:t>
      </w:r>
      <w:r w:rsidRPr="00283806">
        <w:rPr>
          <w:spacing w:val="40"/>
          <w:w w:val="105"/>
        </w:rPr>
        <w:t xml:space="preserve"> </w:t>
      </w:r>
      <w:r w:rsidRPr="00283806">
        <w:rPr>
          <w:w w:val="105"/>
        </w:rPr>
        <w:t>are all saturated, meaning they have</w:t>
      </w:r>
      <w:r w:rsidRPr="00283806">
        <w:rPr>
          <w:spacing w:val="80"/>
          <w:w w:val="105"/>
        </w:rPr>
        <w:t xml:space="preserve"> </w:t>
      </w:r>
      <w:r w:rsidRPr="00283806">
        <w:rPr>
          <w:w w:val="105"/>
        </w:rPr>
        <w:t xml:space="preserve">only single bonds between their atoms, and therefore have longer atmospheric </w:t>
      </w:r>
      <w:r w:rsidRPr="00283806">
        <w:rPr>
          <w:spacing w:val="-2"/>
          <w:w w:val="105"/>
        </w:rPr>
        <w:t>lifetimes.</w:t>
      </w:r>
    </w:p>
    <w:p w14:paraId="7C8E8F98" w14:textId="77777777" w:rsidR="00D67C1E" w:rsidRPr="00283806" w:rsidRDefault="001265CA">
      <w:pPr>
        <w:pStyle w:val="BodyText"/>
        <w:spacing w:line="176" w:lineRule="exact"/>
        <w:ind w:left="339"/>
      </w:pPr>
      <w:r w:rsidRPr="00283806">
        <w:rPr>
          <w:w w:val="105"/>
        </w:rPr>
        <w:t>In</w:t>
      </w:r>
      <w:r w:rsidRPr="00283806">
        <w:rPr>
          <w:spacing w:val="14"/>
          <w:w w:val="105"/>
        </w:rPr>
        <w:t xml:space="preserve"> </w:t>
      </w:r>
      <w:r w:rsidRPr="00283806">
        <w:rPr>
          <w:w w:val="105"/>
        </w:rPr>
        <w:t>the</w:t>
      </w:r>
      <w:r w:rsidRPr="00283806">
        <w:rPr>
          <w:spacing w:val="15"/>
          <w:w w:val="105"/>
        </w:rPr>
        <w:t xml:space="preserve"> </w:t>
      </w:r>
      <w:r w:rsidRPr="00283806">
        <w:rPr>
          <w:w w:val="105"/>
        </w:rPr>
        <w:t>United</w:t>
      </w:r>
      <w:r w:rsidRPr="00283806">
        <w:rPr>
          <w:spacing w:val="15"/>
          <w:w w:val="105"/>
        </w:rPr>
        <w:t xml:space="preserve"> </w:t>
      </w:r>
      <w:r w:rsidRPr="00283806">
        <w:rPr>
          <w:w w:val="105"/>
        </w:rPr>
        <w:t>States,</w:t>
      </w:r>
      <w:r w:rsidRPr="00283806">
        <w:rPr>
          <w:spacing w:val="15"/>
          <w:w w:val="105"/>
        </w:rPr>
        <w:t xml:space="preserve"> </w:t>
      </w:r>
      <w:r w:rsidRPr="00283806">
        <w:rPr>
          <w:w w:val="105"/>
        </w:rPr>
        <w:t>HFCs</w:t>
      </w:r>
      <w:r w:rsidRPr="00283806">
        <w:rPr>
          <w:spacing w:val="15"/>
          <w:w w:val="105"/>
        </w:rPr>
        <w:t xml:space="preserve"> </w:t>
      </w:r>
      <w:r w:rsidRPr="00283806">
        <w:rPr>
          <w:w w:val="105"/>
        </w:rPr>
        <w:t>are</w:t>
      </w:r>
      <w:r w:rsidRPr="00283806">
        <w:rPr>
          <w:spacing w:val="15"/>
          <w:w w:val="105"/>
        </w:rPr>
        <w:t xml:space="preserve"> </w:t>
      </w:r>
      <w:r w:rsidRPr="00283806">
        <w:rPr>
          <w:spacing w:val="-4"/>
          <w:w w:val="105"/>
        </w:rPr>
        <w:t>used</w:t>
      </w:r>
    </w:p>
    <w:p w14:paraId="0427BACD" w14:textId="77777777" w:rsidR="00D67C1E" w:rsidRPr="00283806" w:rsidRDefault="001265CA">
      <w:pPr>
        <w:pStyle w:val="BodyText"/>
        <w:spacing w:before="4" w:line="225" w:lineRule="auto"/>
        <w:ind w:left="159" w:right="67"/>
        <w:rPr>
          <w:sz w:val="11"/>
        </w:rPr>
      </w:pPr>
      <w:r w:rsidRPr="00283806">
        <w:rPr>
          <w:w w:val="105"/>
        </w:rPr>
        <w:t>primarily in refrigeration and air conditioning equipment in homes, commercial buildings, and industrial operations</w:t>
      </w:r>
      <w:r w:rsidRPr="00283806">
        <w:rPr>
          <w:spacing w:val="-1"/>
          <w:w w:val="105"/>
        </w:rPr>
        <w:t xml:space="preserve"> </w:t>
      </w:r>
      <w:r w:rsidRPr="00283806">
        <w:rPr>
          <w:w w:val="105"/>
        </w:rPr>
        <w:t>(approximately</w:t>
      </w:r>
      <w:r w:rsidRPr="00283806">
        <w:rPr>
          <w:spacing w:val="-1"/>
          <w:w w:val="105"/>
        </w:rPr>
        <w:t xml:space="preserve"> </w:t>
      </w:r>
      <w:r w:rsidRPr="00283806">
        <w:rPr>
          <w:w w:val="105"/>
        </w:rPr>
        <w:t>75</w:t>
      </w:r>
      <w:r w:rsidRPr="00283806">
        <w:rPr>
          <w:spacing w:val="-1"/>
          <w:w w:val="105"/>
        </w:rPr>
        <w:t xml:space="preserve"> </w:t>
      </w:r>
      <w:r w:rsidRPr="00283806">
        <w:rPr>
          <w:w w:val="105"/>
        </w:rPr>
        <w:t>percent</w:t>
      </w:r>
      <w:r w:rsidRPr="00283806">
        <w:rPr>
          <w:spacing w:val="-1"/>
          <w:w w:val="105"/>
        </w:rPr>
        <w:t xml:space="preserve"> </w:t>
      </w:r>
      <w:r w:rsidRPr="00283806">
        <w:rPr>
          <w:w w:val="105"/>
        </w:rPr>
        <w:t>of total HFC use in 2018) and in air conditioning in vehicles and</w:t>
      </w:r>
      <w:r w:rsidRPr="00283806">
        <w:rPr>
          <w:spacing w:val="80"/>
          <w:w w:val="105"/>
        </w:rPr>
        <w:t xml:space="preserve"> </w:t>
      </w:r>
      <w:r w:rsidRPr="00283806">
        <w:rPr>
          <w:w w:val="105"/>
        </w:rPr>
        <w:t>refrigerated transport (approximately 8 percent). Smaller amounts are used in foam products (approximately 11 percent), aerosols (approximately 4 percent), fire protection systems (approximately 1 percent), and solvents (approximately 1 percent).</w:t>
      </w:r>
      <w:r w:rsidRPr="00283806">
        <w:rPr>
          <w:w w:val="105"/>
          <w:position w:val="5"/>
          <w:sz w:val="11"/>
        </w:rPr>
        <w:t>26</w:t>
      </w:r>
    </w:p>
    <w:p w14:paraId="0335F243" w14:textId="77777777" w:rsidR="00D67C1E" w:rsidRPr="00283806" w:rsidRDefault="001265CA">
      <w:pPr>
        <w:pStyle w:val="BodyText"/>
        <w:spacing w:before="11"/>
        <w:ind w:left="0"/>
        <w:rPr>
          <w:sz w:val="13"/>
        </w:rPr>
      </w:pPr>
      <w:r w:rsidRPr="00283806">
        <w:rPr>
          <w:noProof/>
        </w:rPr>
        <mc:AlternateContent>
          <mc:Choice Requires="wps">
            <w:drawing>
              <wp:anchor distT="0" distB="0" distL="0" distR="0" simplePos="0" relativeHeight="251621376" behindDoc="1" locked="0" layoutInCell="1" allowOverlap="1" wp14:anchorId="2B9C5FE7" wp14:editId="27DC2ACB">
                <wp:simplePos x="0" y="0"/>
                <wp:positionH relativeFrom="page">
                  <wp:posOffset>571500</wp:posOffset>
                </wp:positionH>
                <wp:positionV relativeFrom="paragraph">
                  <wp:posOffset>119398</wp:posOffset>
                </wp:positionV>
                <wp:extent cx="635000" cy="1270"/>
                <wp:effectExtent l="0" t="0" r="0" b="0"/>
                <wp:wrapTopAndBottom/>
                <wp:docPr id="51" name="Graphic 5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C0762D" id="Graphic 51" o:spid="_x0000_s1026" alt="&quot;&quot;" style="position:absolute;margin-left:45pt;margin-top:9.4pt;width:50pt;height:.1pt;z-index:-251695104;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" path="m,l635000,e" filled="f" strokeweight=".5pt">
                <v:path arrowok="t"/>
                <w10:wrap type="topAndBottom" anchorx="page"/>
              </v:shape>
            </w:pict>
          </mc:Fallback>
        </mc:AlternateContent>
      </w:r>
    </w:p>
    <w:p w14:paraId="479BB920" w14:textId="77777777" w:rsidR="00D67C1E" w:rsidRPr="00283806" w:rsidRDefault="001265CA">
      <w:pPr>
        <w:spacing w:before="36" w:line="162" w:lineRule="exact"/>
        <w:ind w:left="160"/>
        <w:rPr>
          <w:sz w:val="14"/>
        </w:rPr>
      </w:pPr>
      <w:r w:rsidRPr="00283806">
        <w:rPr>
          <w:w w:val="105"/>
          <w:sz w:val="14"/>
        </w:rPr>
        <w:t>on</w:t>
      </w:r>
      <w:r w:rsidRPr="00283806">
        <w:rPr>
          <w:spacing w:val="12"/>
          <w:w w:val="105"/>
          <w:sz w:val="14"/>
        </w:rPr>
        <w:t xml:space="preserve"> </w:t>
      </w:r>
      <w:r w:rsidRPr="00283806">
        <w:rPr>
          <w:w w:val="105"/>
          <w:sz w:val="14"/>
        </w:rPr>
        <w:t>Climate</w:t>
      </w:r>
      <w:r w:rsidRPr="00283806">
        <w:rPr>
          <w:spacing w:val="13"/>
          <w:w w:val="105"/>
          <w:sz w:val="14"/>
        </w:rPr>
        <w:t xml:space="preserve"> </w:t>
      </w:r>
      <w:r w:rsidRPr="00283806">
        <w:rPr>
          <w:w w:val="105"/>
          <w:sz w:val="14"/>
        </w:rPr>
        <w:t>Change</w:t>
      </w:r>
      <w:r w:rsidRPr="00283806">
        <w:rPr>
          <w:spacing w:val="12"/>
          <w:w w:val="105"/>
          <w:sz w:val="14"/>
        </w:rPr>
        <w:t xml:space="preserve"> </w:t>
      </w:r>
      <w:r w:rsidRPr="00283806">
        <w:rPr>
          <w:w w:val="105"/>
          <w:sz w:val="14"/>
        </w:rPr>
        <w:t>[Core</w:t>
      </w:r>
      <w:r w:rsidRPr="00283806">
        <w:rPr>
          <w:spacing w:val="13"/>
          <w:w w:val="105"/>
          <w:sz w:val="14"/>
        </w:rPr>
        <w:t xml:space="preserve"> </w:t>
      </w:r>
      <w:r w:rsidRPr="00283806">
        <w:rPr>
          <w:w w:val="105"/>
          <w:sz w:val="14"/>
        </w:rPr>
        <w:t>Writing</w:t>
      </w:r>
      <w:r w:rsidRPr="00283806">
        <w:rPr>
          <w:spacing w:val="12"/>
          <w:w w:val="105"/>
          <w:sz w:val="14"/>
        </w:rPr>
        <w:t xml:space="preserve"> </w:t>
      </w:r>
      <w:r w:rsidRPr="00283806">
        <w:rPr>
          <w:w w:val="105"/>
          <w:sz w:val="14"/>
        </w:rPr>
        <w:t>Team,</w:t>
      </w:r>
      <w:r w:rsidRPr="00283806">
        <w:rPr>
          <w:spacing w:val="13"/>
          <w:w w:val="105"/>
          <w:sz w:val="14"/>
        </w:rPr>
        <w:t xml:space="preserve"> </w:t>
      </w:r>
      <w:r w:rsidRPr="00283806">
        <w:rPr>
          <w:spacing w:val="-2"/>
          <w:w w:val="105"/>
          <w:sz w:val="14"/>
        </w:rPr>
        <w:t>Pachauri,</w:t>
      </w:r>
    </w:p>
    <w:p w14:paraId="3C19D0BA" w14:textId="1B327885" w:rsidR="00D67C1E" w:rsidRPr="00283806" w:rsidRDefault="001265CA">
      <w:pPr>
        <w:spacing w:before="4" w:line="228" w:lineRule="auto"/>
        <w:ind w:left="160"/>
        <w:rPr>
          <w:sz w:val="14"/>
        </w:rPr>
      </w:pPr>
      <w:r w:rsidRPr="00283806">
        <w:rPr>
          <w:w w:val="115"/>
          <w:sz w:val="14"/>
        </w:rPr>
        <w:t>R.K and Reisinger, A. (eds.)]. IPCC, Geneva,</w:t>
      </w:r>
      <w:r w:rsidRPr="00283806">
        <w:rPr>
          <w:spacing w:val="40"/>
          <w:w w:val="115"/>
          <w:sz w:val="14"/>
        </w:rPr>
        <w:t xml:space="preserve"> </w:t>
      </w:r>
      <w:r w:rsidRPr="00283806">
        <w:rPr>
          <w:w w:val="110"/>
          <w:sz w:val="14"/>
        </w:rPr>
        <w:t xml:space="preserve">Switzerland, 104 pp. </w:t>
      </w:r>
      <w:r w:rsidRPr="00283806">
        <w:rPr>
          <w:rFonts w:ascii="Book Antiqua"/>
          <w:i/>
          <w:w w:val="110"/>
          <w:sz w:val="14"/>
        </w:rPr>
        <w:t>https://www.ipcc.ch/report/</w:t>
      </w:r>
      <w:r w:rsidRPr="00283806">
        <w:rPr>
          <w:rFonts w:ascii="Book Antiqua"/>
          <w:i/>
          <w:w w:val="115"/>
          <w:sz w:val="14"/>
        </w:rPr>
        <w:t xml:space="preserve"> </w:t>
      </w:r>
      <w:r w:rsidRPr="00283806">
        <w:rPr>
          <w:rFonts w:ascii="Book Antiqua"/>
          <w:i/>
          <w:spacing w:val="-2"/>
          <w:w w:val="115"/>
          <w:sz w:val="14"/>
        </w:rPr>
        <w:t>ar4/syr</w:t>
      </w:r>
      <w:r w:rsidRPr="00283806">
        <w:rPr>
          <w:spacing w:val="-2"/>
          <w:w w:val="115"/>
          <w:sz w:val="14"/>
        </w:rPr>
        <w:t>.</w:t>
      </w:r>
    </w:p>
    <w:p w14:paraId="456940B8" w14:textId="77777777" w:rsidR="00D67C1E" w:rsidRPr="00283806" w:rsidRDefault="001265CA">
      <w:pPr>
        <w:spacing w:before="14" w:line="232" w:lineRule="auto"/>
        <w:ind w:left="159" w:right="78" w:firstLine="140"/>
        <w:rPr>
          <w:sz w:val="14"/>
        </w:rPr>
      </w:pPr>
      <w:r w:rsidRPr="00283806">
        <w:rPr>
          <w:w w:val="105"/>
          <w:position w:val="4"/>
          <w:sz w:val="9"/>
        </w:rPr>
        <w:t xml:space="preserve">24 </w:t>
      </w:r>
      <w:proofErr w:type="spellStart"/>
      <w:r w:rsidRPr="00283806">
        <w:rPr>
          <w:w w:val="105"/>
          <w:sz w:val="14"/>
        </w:rPr>
        <w:t>Guus</w:t>
      </w:r>
      <w:proofErr w:type="spellEnd"/>
      <w:r w:rsidRPr="00283806">
        <w:rPr>
          <w:w w:val="105"/>
          <w:sz w:val="14"/>
        </w:rPr>
        <w:t xml:space="preserve"> J.M. </w:t>
      </w:r>
      <w:proofErr w:type="spellStart"/>
      <w:r w:rsidRPr="00283806">
        <w:rPr>
          <w:w w:val="105"/>
          <w:sz w:val="14"/>
        </w:rPr>
        <w:t>Velders</w:t>
      </w:r>
      <w:proofErr w:type="spellEnd"/>
      <w:r w:rsidRPr="00283806">
        <w:rPr>
          <w:w w:val="105"/>
          <w:sz w:val="14"/>
        </w:rPr>
        <w:t>, David W. Fahey, John S.</w:t>
      </w:r>
      <w:r w:rsidRPr="00283806">
        <w:rPr>
          <w:spacing w:val="80"/>
          <w:w w:val="105"/>
          <w:sz w:val="14"/>
        </w:rPr>
        <w:t xml:space="preserve"> </w:t>
      </w:r>
      <w:r w:rsidRPr="00283806">
        <w:rPr>
          <w:w w:val="105"/>
          <w:sz w:val="14"/>
        </w:rPr>
        <w:t>Daniel, Stephen O. Andersen, Mack McFarland,</w:t>
      </w:r>
      <w:r w:rsidRPr="00283806">
        <w:rPr>
          <w:spacing w:val="40"/>
          <w:w w:val="105"/>
          <w:sz w:val="14"/>
        </w:rPr>
        <w:t xml:space="preserve"> </w:t>
      </w:r>
      <w:r w:rsidRPr="00283806">
        <w:rPr>
          <w:w w:val="105"/>
          <w:sz w:val="14"/>
        </w:rPr>
        <w:t>Future atmospheric abundances and climate</w:t>
      </w:r>
      <w:r w:rsidRPr="00283806">
        <w:rPr>
          <w:spacing w:val="40"/>
          <w:w w:val="105"/>
          <w:sz w:val="14"/>
        </w:rPr>
        <w:t xml:space="preserve"> </w:t>
      </w:r>
      <w:r w:rsidRPr="00283806">
        <w:rPr>
          <w:w w:val="105"/>
          <w:sz w:val="14"/>
        </w:rPr>
        <w:t>forcings from scenarios of global and regional</w:t>
      </w:r>
      <w:r w:rsidRPr="00283806">
        <w:rPr>
          <w:spacing w:val="40"/>
          <w:w w:val="105"/>
          <w:sz w:val="14"/>
        </w:rPr>
        <w:t xml:space="preserve"> </w:t>
      </w:r>
      <w:r w:rsidRPr="00283806">
        <w:rPr>
          <w:w w:val="105"/>
          <w:sz w:val="14"/>
        </w:rPr>
        <w:t>hydrofluorocarbon (HFCs) emissions, Atmospheric</w:t>
      </w:r>
      <w:r w:rsidRPr="00283806">
        <w:rPr>
          <w:spacing w:val="40"/>
          <w:w w:val="105"/>
          <w:sz w:val="14"/>
        </w:rPr>
        <w:t xml:space="preserve"> </w:t>
      </w:r>
      <w:r w:rsidRPr="00283806">
        <w:rPr>
          <w:w w:val="105"/>
          <w:sz w:val="14"/>
        </w:rPr>
        <w:t>Environment,</w:t>
      </w:r>
      <w:r w:rsidRPr="00283806">
        <w:rPr>
          <w:spacing w:val="-8"/>
          <w:w w:val="105"/>
          <w:sz w:val="14"/>
        </w:rPr>
        <w:t xml:space="preserve"> </w:t>
      </w:r>
      <w:r w:rsidRPr="00283806">
        <w:rPr>
          <w:w w:val="105"/>
          <w:sz w:val="14"/>
        </w:rPr>
        <w:t>doi:10.1016/j.atmosenv.2015.10.071,</w:t>
      </w:r>
      <w:r w:rsidRPr="00283806">
        <w:rPr>
          <w:spacing w:val="40"/>
          <w:w w:val="105"/>
          <w:sz w:val="14"/>
        </w:rPr>
        <w:t xml:space="preserve"> </w:t>
      </w:r>
      <w:r w:rsidRPr="00283806">
        <w:rPr>
          <w:spacing w:val="-2"/>
          <w:w w:val="105"/>
          <w:sz w:val="14"/>
        </w:rPr>
        <w:t>2015.</w:t>
      </w:r>
    </w:p>
    <w:p w14:paraId="71E4A1D1" w14:textId="77777777" w:rsidR="00D67C1E" w:rsidRPr="00283806" w:rsidRDefault="001265CA">
      <w:pPr>
        <w:spacing w:before="22"/>
        <w:ind w:left="300"/>
        <w:rPr>
          <w:sz w:val="14"/>
        </w:rPr>
      </w:pPr>
      <w:r w:rsidRPr="00283806">
        <w:rPr>
          <w:w w:val="115"/>
          <w:position w:val="4"/>
          <w:sz w:val="9"/>
        </w:rPr>
        <w:t>25</w:t>
      </w:r>
      <w:r w:rsidRPr="00283806">
        <w:rPr>
          <w:spacing w:val="5"/>
          <w:w w:val="115"/>
          <w:position w:val="4"/>
          <w:sz w:val="9"/>
        </w:rPr>
        <w:t xml:space="preserve"> </w:t>
      </w:r>
      <w:r w:rsidRPr="00283806">
        <w:rPr>
          <w:spacing w:val="-2"/>
          <w:w w:val="115"/>
          <w:sz w:val="14"/>
        </w:rPr>
        <w:t>Ibid.</w:t>
      </w:r>
    </w:p>
    <w:p w14:paraId="6B20B9FF" w14:textId="77777777" w:rsidR="00D67C1E" w:rsidRPr="00283806" w:rsidRDefault="001265CA">
      <w:pPr>
        <w:spacing w:before="20" w:line="232" w:lineRule="auto"/>
        <w:ind w:left="159" w:right="97" w:firstLine="140"/>
        <w:rPr>
          <w:sz w:val="14"/>
        </w:rPr>
      </w:pPr>
      <w:r w:rsidRPr="00283806">
        <w:rPr>
          <w:w w:val="105"/>
          <w:position w:val="4"/>
          <w:sz w:val="9"/>
        </w:rPr>
        <w:t xml:space="preserve">26 </w:t>
      </w:r>
      <w:r w:rsidRPr="00283806">
        <w:rPr>
          <w:w w:val="105"/>
          <w:sz w:val="14"/>
        </w:rPr>
        <w:t>Calculations based on EPA’s Vintaging Model,</w:t>
      </w:r>
      <w:r w:rsidRPr="00283806">
        <w:rPr>
          <w:spacing w:val="40"/>
          <w:w w:val="105"/>
          <w:sz w:val="14"/>
        </w:rPr>
        <w:t xml:space="preserve"> </w:t>
      </w:r>
      <w:r w:rsidRPr="00283806">
        <w:rPr>
          <w:w w:val="105"/>
          <w:sz w:val="14"/>
        </w:rPr>
        <w:t>which estimates the annual chemical emissions</w:t>
      </w:r>
      <w:r w:rsidRPr="00283806">
        <w:rPr>
          <w:spacing w:val="40"/>
          <w:w w:val="105"/>
          <w:sz w:val="14"/>
        </w:rPr>
        <w:t xml:space="preserve"> </w:t>
      </w:r>
      <w:r w:rsidRPr="00283806">
        <w:rPr>
          <w:w w:val="105"/>
          <w:sz w:val="14"/>
        </w:rPr>
        <w:t xml:space="preserve">from industry sectors that historically </w:t>
      </w:r>
      <w:proofErr w:type="gramStart"/>
      <w:r w:rsidRPr="00283806">
        <w:rPr>
          <w:w w:val="105"/>
          <w:sz w:val="14"/>
        </w:rPr>
        <w:t>used</w:t>
      </w:r>
      <w:proofErr w:type="gramEnd"/>
      <w:r w:rsidRPr="00283806">
        <w:rPr>
          <w:w w:val="105"/>
          <w:sz w:val="14"/>
        </w:rPr>
        <w:t xml:space="preserve"> ODS,</w:t>
      </w:r>
      <w:r w:rsidRPr="00283806">
        <w:rPr>
          <w:spacing w:val="40"/>
          <w:w w:val="105"/>
          <w:sz w:val="14"/>
        </w:rPr>
        <w:t xml:space="preserve"> </w:t>
      </w:r>
      <w:r w:rsidRPr="00283806">
        <w:rPr>
          <w:w w:val="105"/>
          <w:sz w:val="14"/>
        </w:rPr>
        <w:t>including refrigeration and air conditioning, foam</w:t>
      </w:r>
      <w:r w:rsidRPr="00283806">
        <w:rPr>
          <w:spacing w:val="40"/>
          <w:w w:val="105"/>
          <w:sz w:val="14"/>
        </w:rPr>
        <w:t xml:space="preserve"> </w:t>
      </w:r>
      <w:r w:rsidRPr="00283806">
        <w:rPr>
          <w:w w:val="105"/>
          <w:sz w:val="14"/>
        </w:rPr>
        <w:t>blowing agents, solvents, aerosols, and fire</w:t>
      </w:r>
      <w:r w:rsidRPr="00283806">
        <w:rPr>
          <w:spacing w:val="40"/>
          <w:w w:val="105"/>
          <w:sz w:val="14"/>
        </w:rPr>
        <w:t xml:space="preserve"> </w:t>
      </w:r>
      <w:r w:rsidRPr="00283806">
        <w:rPr>
          <w:w w:val="105"/>
          <w:sz w:val="14"/>
        </w:rPr>
        <w:t>suppression. The model uses information on the</w:t>
      </w:r>
      <w:r w:rsidRPr="00283806">
        <w:rPr>
          <w:spacing w:val="40"/>
          <w:w w:val="105"/>
          <w:sz w:val="14"/>
        </w:rPr>
        <w:t xml:space="preserve"> </w:t>
      </w:r>
      <w:r w:rsidRPr="00283806">
        <w:rPr>
          <w:w w:val="105"/>
          <w:sz w:val="14"/>
        </w:rPr>
        <w:t>market size and growth for each end-use, as well</w:t>
      </w:r>
    </w:p>
    <w:p w14:paraId="618C5B34" w14:textId="77777777" w:rsidR="00D67C1E" w:rsidRPr="00283806" w:rsidRDefault="001265CA">
      <w:pPr>
        <w:spacing w:before="5" w:line="232" w:lineRule="auto"/>
        <w:ind w:left="159" w:right="19"/>
        <w:rPr>
          <w:sz w:val="14"/>
        </w:rPr>
      </w:pPr>
      <w:r w:rsidRPr="00283806">
        <w:rPr>
          <w:w w:val="105"/>
          <w:sz w:val="14"/>
        </w:rPr>
        <w:t>as a history and projections of the market transition</w:t>
      </w:r>
      <w:r w:rsidRPr="00283806">
        <w:rPr>
          <w:spacing w:val="40"/>
          <w:w w:val="105"/>
          <w:sz w:val="14"/>
        </w:rPr>
        <w:t xml:space="preserve"> </w:t>
      </w:r>
      <w:r w:rsidRPr="00283806">
        <w:rPr>
          <w:w w:val="105"/>
          <w:sz w:val="14"/>
        </w:rPr>
        <w:t>from</w:t>
      </w:r>
      <w:r w:rsidRPr="00283806">
        <w:rPr>
          <w:spacing w:val="33"/>
          <w:w w:val="105"/>
          <w:sz w:val="14"/>
        </w:rPr>
        <w:t xml:space="preserve"> </w:t>
      </w:r>
      <w:r w:rsidRPr="00283806">
        <w:rPr>
          <w:w w:val="105"/>
          <w:sz w:val="14"/>
        </w:rPr>
        <w:t>ODS</w:t>
      </w:r>
      <w:r w:rsidRPr="00283806">
        <w:rPr>
          <w:spacing w:val="33"/>
          <w:w w:val="105"/>
          <w:sz w:val="14"/>
        </w:rPr>
        <w:t xml:space="preserve"> </w:t>
      </w:r>
      <w:r w:rsidRPr="00283806">
        <w:rPr>
          <w:w w:val="105"/>
          <w:sz w:val="14"/>
        </w:rPr>
        <w:t>to</w:t>
      </w:r>
      <w:r w:rsidRPr="00283806">
        <w:rPr>
          <w:spacing w:val="33"/>
          <w:w w:val="105"/>
          <w:sz w:val="14"/>
        </w:rPr>
        <w:t xml:space="preserve"> </w:t>
      </w:r>
      <w:r w:rsidRPr="00283806">
        <w:rPr>
          <w:w w:val="105"/>
          <w:sz w:val="14"/>
        </w:rPr>
        <w:t>substitutes.</w:t>
      </w:r>
      <w:r w:rsidRPr="00283806">
        <w:rPr>
          <w:spacing w:val="33"/>
          <w:w w:val="105"/>
          <w:sz w:val="14"/>
        </w:rPr>
        <w:t xml:space="preserve"> </w:t>
      </w:r>
      <w:r w:rsidRPr="00283806">
        <w:rPr>
          <w:w w:val="105"/>
          <w:sz w:val="14"/>
        </w:rPr>
        <w:t>The</w:t>
      </w:r>
      <w:r w:rsidRPr="00283806">
        <w:rPr>
          <w:spacing w:val="33"/>
          <w:w w:val="105"/>
          <w:sz w:val="14"/>
        </w:rPr>
        <w:t xml:space="preserve"> </w:t>
      </w:r>
      <w:r w:rsidRPr="00283806">
        <w:rPr>
          <w:w w:val="105"/>
          <w:sz w:val="14"/>
        </w:rPr>
        <w:t>model</w:t>
      </w:r>
      <w:r w:rsidRPr="00283806">
        <w:rPr>
          <w:spacing w:val="33"/>
          <w:w w:val="105"/>
          <w:sz w:val="14"/>
        </w:rPr>
        <w:t xml:space="preserve"> </w:t>
      </w:r>
      <w:r w:rsidRPr="00283806">
        <w:rPr>
          <w:w w:val="105"/>
          <w:sz w:val="14"/>
        </w:rPr>
        <w:t>tracks</w:t>
      </w:r>
      <w:r w:rsidRPr="00283806">
        <w:rPr>
          <w:spacing w:val="40"/>
          <w:w w:val="105"/>
          <w:sz w:val="14"/>
        </w:rPr>
        <w:t xml:space="preserve"> </w:t>
      </w:r>
      <w:r w:rsidRPr="00283806">
        <w:rPr>
          <w:w w:val="105"/>
          <w:sz w:val="14"/>
        </w:rPr>
        <w:t>emissions of annual ‘‘vintages’’ of new equipment</w:t>
      </w:r>
      <w:r w:rsidRPr="00283806">
        <w:rPr>
          <w:spacing w:val="40"/>
          <w:w w:val="105"/>
          <w:sz w:val="14"/>
        </w:rPr>
        <w:t xml:space="preserve"> </w:t>
      </w:r>
      <w:r w:rsidRPr="00283806">
        <w:rPr>
          <w:w w:val="105"/>
          <w:sz w:val="14"/>
        </w:rPr>
        <w:t xml:space="preserve">that </w:t>
      </w:r>
      <w:proofErr w:type="gramStart"/>
      <w:r w:rsidRPr="00283806">
        <w:rPr>
          <w:w w:val="105"/>
          <w:sz w:val="14"/>
        </w:rPr>
        <w:t>enter into</w:t>
      </w:r>
      <w:proofErr w:type="gramEnd"/>
      <w:r w:rsidRPr="00283806">
        <w:rPr>
          <w:w w:val="105"/>
          <w:sz w:val="14"/>
        </w:rPr>
        <w:t xml:space="preserve"> operation by incorporating</w:t>
      </w:r>
      <w:r w:rsidRPr="00283806">
        <w:rPr>
          <w:spacing w:val="40"/>
          <w:w w:val="105"/>
          <w:sz w:val="14"/>
        </w:rPr>
        <w:t xml:space="preserve"> </w:t>
      </w:r>
      <w:r w:rsidRPr="00283806">
        <w:rPr>
          <w:w w:val="105"/>
          <w:sz w:val="14"/>
        </w:rPr>
        <w:t>information on estimates of the quantity of</w:t>
      </w:r>
      <w:r w:rsidRPr="00283806">
        <w:rPr>
          <w:spacing w:val="40"/>
          <w:w w:val="105"/>
          <w:sz w:val="14"/>
        </w:rPr>
        <w:t xml:space="preserve"> </w:t>
      </w:r>
      <w:r w:rsidRPr="00283806">
        <w:rPr>
          <w:w w:val="105"/>
          <w:sz w:val="14"/>
        </w:rPr>
        <w:t>equipment</w:t>
      </w:r>
      <w:r w:rsidRPr="00283806">
        <w:rPr>
          <w:spacing w:val="33"/>
          <w:w w:val="105"/>
          <w:sz w:val="14"/>
        </w:rPr>
        <w:t xml:space="preserve"> </w:t>
      </w:r>
      <w:r w:rsidRPr="00283806">
        <w:rPr>
          <w:w w:val="105"/>
          <w:sz w:val="14"/>
        </w:rPr>
        <w:t>or</w:t>
      </w:r>
      <w:r w:rsidRPr="00283806">
        <w:rPr>
          <w:spacing w:val="33"/>
          <w:w w:val="105"/>
          <w:sz w:val="14"/>
        </w:rPr>
        <w:t xml:space="preserve"> </w:t>
      </w:r>
      <w:r w:rsidRPr="00283806">
        <w:rPr>
          <w:w w:val="105"/>
          <w:sz w:val="14"/>
        </w:rPr>
        <w:t>products</w:t>
      </w:r>
      <w:r w:rsidRPr="00283806">
        <w:rPr>
          <w:spacing w:val="33"/>
          <w:w w:val="105"/>
          <w:sz w:val="14"/>
        </w:rPr>
        <w:t xml:space="preserve"> </w:t>
      </w:r>
      <w:r w:rsidRPr="00283806">
        <w:rPr>
          <w:w w:val="105"/>
          <w:sz w:val="14"/>
        </w:rPr>
        <w:t>sold,</w:t>
      </w:r>
      <w:r w:rsidRPr="00283806">
        <w:rPr>
          <w:spacing w:val="33"/>
          <w:w w:val="105"/>
          <w:sz w:val="14"/>
        </w:rPr>
        <w:t xml:space="preserve"> </w:t>
      </w:r>
      <w:r w:rsidRPr="00283806">
        <w:rPr>
          <w:w w:val="105"/>
          <w:sz w:val="14"/>
        </w:rPr>
        <w:t>serviced,</w:t>
      </w:r>
      <w:r w:rsidRPr="00283806">
        <w:rPr>
          <w:spacing w:val="33"/>
          <w:w w:val="105"/>
          <w:sz w:val="14"/>
        </w:rPr>
        <w:t xml:space="preserve"> </w:t>
      </w:r>
      <w:r w:rsidRPr="00283806">
        <w:rPr>
          <w:w w:val="105"/>
          <w:sz w:val="14"/>
        </w:rPr>
        <w:t>and</w:t>
      </w:r>
      <w:r w:rsidRPr="00283806">
        <w:rPr>
          <w:spacing w:val="33"/>
          <w:w w:val="105"/>
          <w:sz w:val="14"/>
        </w:rPr>
        <w:t xml:space="preserve"> </w:t>
      </w:r>
      <w:r w:rsidRPr="00283806">
        <w:rPr>
          <w:w w:val="105"/>
          <w:sz w:val="14"/>
        </w:rPr>
        <w:t>retired</w:t>
      </w:r>
      <w:r w:rsidRPr="00283806">
        <w:rPr>
          <w:spacing w:val="40"/>
          <w:w w:val="105"/>
          <w:sz w:val="14"/>
        </w:rPr>
        <w:t xml:space="preserve"> </w:t>
      </w:r>
      <w:r w:rsidRPr="00283806">
        <w:rPr>
          <w:w w:val="105"/>
          <w:sz w:val="14"/>
        </w:rPr>
        <w:t>or converted each year, and the quantity of the</w:t>
      </w:r>
      <w:r w:rsidRPr="00283806">
        <w:rPr>
          <w:spacing w:val="40"/>
          <w:w w:val="105"/>
          <w:sz w:val="14"/>
        </w:rPr>
        <w:t xml:space="preserve"> </w:t>
      </w:r>
      <w:r w:rsidRPr="00283806">
        <w:rPr>
          <w:w w:val="105"/>
          <w:sz w:val="14"/>
        </w:rPr>
        <w:t>compound required to manufacture, charge, and/or</w:t>
      </w:r>
      <w:r w:rsidRPr="00283806">
        <w:rPr>
          <w:spacing w:val="40"/>
          <w:w w:val="105"/>
          <w:sz w:val="14"/>
        </w:rPr>
        <w:t xml:space="preserve"> </w:t>
      </w:r>
      <w:r w:rsidRPr="00283806">
        <w:rPr>
          <w:w w:val="105"/>
          <w:sz w:val="14"/>
        </w:rPr>
        <w:t>maintain the equipment. Additional information on</w:t>
      </w:r>
      <w:r w:rsidRPr="00283806">
        <w:rPr>
          <w:spacing w:val="40"/>
          <w:w w:val="105"/>
          <w:sz w:val="14"/>
        </w:rPr>
        <w:t xml:space="preserve"> </w:t>
      </w:r>
      <w:r w:rsidRPr="00283806">
        <w:rPr>
          <w:w w:val="105"/>
          <w:sz w:val="14"/>
        </w:rPr>
        <w:t>these estimates is available in U.S. EPA, April 2016.</w:t>
      </w:r>
      <w:r w:rsidRPr="00283806">
        <w:rPr>
          <w:spacing w:val="40"/>
          <w:w w:val="105"/>
          <w:sz w:val="14"/>
        </w:rPr>
        <w:t xml:space="preserve"> </w:t>
      </w:r>
      <w:r w:rsidRPr="00283806">
        <w:rPr>
          <w:w w:val="105"/>
          <w:sz w:val="14"/>
        </w:rPr>
        <w:t>EPA Report EPA–430–R–16–002. Inventory of U.S.</w:t>
      </w:r>
    </w:p>
    <w:p w14:paraId="6093C590" w14:textId="77777777" w:rsidR="00D67C1E" w:rsidRPr="00283806" w:rsidRDefault="001265CA">
      <w:pPr>
        <w:pStyle w:val="BodyText"/>
        <w:spacing w:before="136" w:line="225" w:lineRule="auto"/>
        <w:ind w:left="143" w:firstLine="180"/>
      </w:pPr>
      <w:r w:rsidRPr="00283806">
        <w:br w:type="column"/>
      </w:r>
      <w:r w:rsidRPr="00283806">
        <w:rPr>
          <w:w w:val="105"/>
        </w:rPr>
        <w:t>EPA estimated in the Allocation Framework</w:t>
      </w:r>
      <w:r w:rsidRPr="00283806">
        <w:rPr>
          <w:spacing w:val="-1"/>
          <w:w w:val="105"/>
        </w:rPr>
        <w:t xml:space="preserve"> </w:t>
      </w:r>
      <w:r w:rsidRPr="00283806">
        <w:rPr>
          <w:w w:val="105"/>
        </w:rPr>
        <w:t>Rule</w:t>
      </w:r>
      <w:r w:rsidRPr="00283806">
        <w:rPr>
          <w:spacing w:val="-2"/>
          <w:w w:val="105"/>
        </w:rPr>
        <w:t xml:space="preserve"> </w:t>
      </w:r>
      <w:r w:rsidRPr="00283806">
        <w:rPr>
          <w:w w:val="105"/>
        </w:rPr>
        <w:t>(86</w:t>
      </w:r>
      <w:r w:rsidRPr="00283806">
        <w:rPr>
          <w:spacing w:val="-1"/>
          <w:w w:val="105"/>
        </w:rPr>
        <w:t xml:space="preserve"> </w:t>
      </w:r>
      <w:r w:rsidRPr="00283806">
        <w:rPr>
          <w:w w:val="105"/>
        </w:rPr>
        <w:t>FR</w:t>
      </w:r>
      <w:r w:rsidRPr="00283806">
        <w:rPr>
          <w:spacing w:val="-2"/>
          <w:w w:val="105"/>
        </w:rPr>
        <w:t xml:space="preserve"> </w:t>
      </w:r>
      <w:r w:rsidRPr="00283806">
        <w:rPr>
          <w:w w:val="105"/>
        </w:rPr>
        <w:t>55116,</w:t>
      </w:r>
      <w:r w:rsidRPr="00283806">
        <w:rPr>
          <w:spacing w:val="-1"/>
          <w:w w:val="105"/>
        </w:rPr>
        <w:t xml:space="preserve"> </w:t>
      </w:r>
      <w:r w:rsidRPr="00283806">
        <w:rPr>
          <w:w w:val="105"/>
        </w:rPr>
        <w:t>October</w:t>
      </w:r>
    </w:p>
    <w:p w14:paraId="200EFFD4" w14:textId="77777777" w:rsidR="00D67C1E" w:rsidRPr="00283806" w:rsidRDefault="001265CA">
      <w:pPr>
        <w:pStyle w:val="BodyText"/>
        <w:spacing w:line="194" w:lineRule="exact"/>
        <w:ind w:left="143"/>
      </w:pPr>
      <w:r w:rsidRPr="00283806">
        <w:rPr>
          <w:w w:val="105"/>
        </w:rPr>
        <w:t>5,</w:t>
      </w:r>
      <w:r w:rsidRPr="00283806">
        <w:rPr>
          <w:spacing w:val="3"/>
          <w:w w:val="105"/>
        </w:rPr>
        <w:t xml:space="preserve"> </w:t>
      </w:r>
      <w:r w:rsidRPr="00283806">
        <w:rPr>
          <w:w w:val="105"/>
        </w:rPr>
        <w:t>2021)</w:t>
      </w:r>
      <w:r w:rsidRPr="00283806">
        <w:rPr>
          <w:spacing w:val="3"/>
          <w:w w:val="105"/>
        </w:rPr>
        <w:t xml:space="preserve"> </w:t>
      </w:r>
      <w:r w:rsidRPr="00283806">
        <w:rPr>
          <w:w w:val="105"/>
        </w:rPr>
        <w:t>as</w:t>
      </w:r>
      <w:r w:rsidRPr="00283806">
        <w:rPr>
          <w:spacing w:val="3"/>
          <w:w w:val="105"/>
        </w:rPr>
        <w:t xml:space="preserve"> </w:t>
      </w:r>
      <w:r w:rsidRPr="00283806">
        <w:rPr>
          <w:w w:val="105"/>
        </w:rPr>
        <w:t>updated</w:t>
      </w:r>
      <w:r w:rsidRPr="00283806">
        <w:rPr>
          <w:spacing w:val="3"/>
          <w:w w:val="105"/>
        </w:rPr>
        <w:t xml:space="preserve"> </w:t>
      </w:r>
      <w:r w:rsidRPr="00283806">
        <w:rPr>
          <w:w w:val="105"/>
        </w:rPr>
        <w:t>under</w:t>
      </w:r>
      <w:r w:rsidRPr="00283806">
        <w:rPr>
          <w:spacing w:val="3"/>
          <w:w w:val="105"/>
        </w:rPr>
        <w:t xml:space="preserve"> </w:t>
      </w:r>
      <w:r w:rsidRPr="00283806">
        <w:rPr>
          <w:w w:val="105"/>
        </w:rPr>
        <w:t>the</w:t>
      </w:r>
      <w:r w:rsidRPr="00283806">
        <w:rPr>
          <w:spacing w:val="3"/>
          <w:w w:val="105"/>
        </w:rPr>
        <w:t xml:space="preserve"> </w:t>
      </w:r>
      <w:r w:rsidRPr="00283806">
        <w:rPr>
          <w:spacing w:val="-4"/>
          <w:w w:val="105"/>
        </w:rPr>
        <w:t>2024</w:t>
      </w:r>
    </w:p>
    <w:p w14:paraId="7A792BAC" w14:textId="77777777" w:rsidR="00D67C1E" w:rsidRPr="00283806" w:rsidRDefault="001265CA">
      <w:pPr>
        <w:pStyle w:val="BodyText"/>
        <w:spacing w:before="4" w:line="225" w:lineRule="auto"/>
        <w:ind w:left="143"/>
      </w:pPr>
      <w:r w:rsidRPr="00283806">
        <w:rPr>
          <w:w w:val="110"/>
        </w:rPr>
        <w:t>Allocation Rule (88 FR 46836, July 20, 2023), that phasing down HFC production</w:t>
      </w:r>
      <w:r w:rsidRPr="00283806">
        <w:rPr>
          <w:spacing w:val="-9"/>
          <w:w w:val="110"/>
        </w:rPr>
        <w:t xml:space="preserve"> </w:t>
      </w:r>
      <w:r w:rsidRPr="00283806">
        <w:rPr>
          <w:w w:val="110"/>
        </w:rPr>
        <w:t>and</w:t>
      </w:r>
      <w:r w:rsidRPr="00283806">
        <w:rPr>
          <w:spacing w:val="-9"/>
          <w:w w:val="110"/>
        </w:rPr>
        <w:t xml:space="preserve"> </w:t>
      </w:r>
      <w:r w:rsidRPr="00283806">
        <w:rPr>
          <w:w w:val="110"/>
        </w:rPr>
        <w:t>consumption</w:t>
      </w:r>
      <w:r w:rsidRPr="00283806">
        <w:rPr>
          <w:spacing w:val="-9"/>
          <w:w w:val="110"/>
        </w:rPr>
        <w:t xml:space="preserve"> </w:t>
      </w:r>
      <w:r w:rsidRPr="00283806">
        <w:rPr>
          <w:w w:val="110"/>
        </w:rPr>
        <w:t>according to</w:t>
      </w:r>
      <w:r w:rsidRPr="00283806">
        <w:rPr>
          <w:spacing w:val="-4"/>
          <w:w w:val="110"/>
        </w:rPr>
        <w:t xml:space="preserve"> </w:t>
      </w:r>
      <w:r w:rsidRPr="00283806">
        <w:rPr>
          <w:w w:val="110"/>
        </w:rPr>
        <w:t>the</w:t>
      </w:r>
      <w:r w:rsidRPr="00283806">
        <w:rPr>
          <w:spacing w:val="-4"/>
          <w:w w:val="110"/>
        </w:rPr>
        <w:t xml:space="preserve"> </w:t>
      </w:r>
      <w:r w:rsidRPr="00283806">
        <w:rPr>
          <w:w w:val="110"/>
        </w:rPr>
        <w:t>schedule</w:t>
      </w:r>
      <w:r w:rsidRPr="00283806">
        <w:rPr>
          <w:spacing w:val="-4"/>
          <w:w w:val="110"/>
        </w:rPr>
        <w:t xml:space="preserve"> </w:t>
      </w:r>
      <w:r w:rsidRPr="00283806">
        <w:rPr>
          <w:w w:val="110"/>
        </w:rPr>
        <w:t>provided</w:t>
      </w:r>
      <w:r w:rsidRPr="00283806">
        <w:rPr>
          <w:spacing w:val="-4"/>
          <w:w w:val="110"/>
        </w:rPr>
        <w:t xml:space="preserve"> </w:t>
      </w:r>
      <w:r w:rsidRPr="00283806">
        <w:rPr>
          <w:w w:val="110"/>
        </w:rPr>
        <w:t>in</w:t>
      </w:r>
      <w:r w:rsidRPr="00283806">
        <w:rPr>
          <w:spacing w:val="-4"/>
          <w:w w:val="110"/>
        </w:rPr>
        <w:t xml:space="preserve"> </w:t>
      </w:r>
      <w:r w:rsidRPr="00283806">
        <w:rPr>
          <w:w w:val="110"/>
        </w:rPr>
        <w:t>the</w:t>
      </w:r>
      <w:r w:rsidRPr="00283806">
        <w:rPr>
          <w:spacing w:val="-4"/>
          <w:w w:val="110"/>
        </w:rPr>
        <w:t xml:space="preserve"> </w:t>
      </w:r>
      <w:r w:rsidRPr="00283806">
        <w:rPr>
          <w:w w:val="110"/>
        </w:rPr>
        <w:t>AIM</w:t>
      </w:r>
      <w:r w:rsidRPr="00283806">
        <w:rPr>
          <w:spacing w:val="-4"/>
          <w:w w:val="110"/>
        </w:rPr>
        <w:t xml:space="preserve"> </w:t>
      </w:r>
      <w:r w:rsidRPr="00283806">
        <w:rPr>
          <w:w w:val="110"/>
        </w:rPr>
        <w:t>Act will avoid cumulative consumption of 3,156 million metric tons of exchange value equivalent (</w:t>
      </w:r>
      <w:proofErr w:type="spellStart"/>
      <w:r w:rsidRPr="00283806">
        <w:rPr>
          <w:w w:val="110"/>
        </w:rPr>
        <w:t>MMTEVe</w:t>
      </w:r>
      <w:proofErr w:type="spellEnd"/>
      <w:r w:rsidRPr="00283806">
        <w:rPr>
          <w:w w:val="110"/>
        </w:rPr>
        <w:t>) of HFCs in the United States for the years 2022 through 2036. That estimate included both</w:t>
      </w:r>
      <w:r w:rsidRPr="00283806">
        <w:rPr>
          <w:spacing w:val="-1"/>
          <w:w w:val="110"/>
        </w:rPr>
        <w:t xml:space="preserve"> </w:t>
      </w:r>
      <w:proofErr w:type="gramStart"/>
      <w:r w:rsidRPr="00283806">
        <w:rPr>
          <w:w w:val="110"/>
        </w:rPr>
        <w:t>consumption</w:t>
      </w:r>
      <w:proofErr w:type="gramEnd"/>
      <w:r w:rsidRPr="00283806">
        <w:rPr>
          <w:spacing w:val="-1"/>
          <w:w w:val="110"/>
        </w:rPr>
        <w:t xml:space="preserve"> </w:t>
      </w:r>
      <w:r w:rsidRPr="00283806">
        <w:rPr>
          <w:w w:val="110"/>
        </w:rPr>
        <w:t>as</w:t>
      </w:r>
      <w:r w:rsidRPr="00283806">
        <w:rPr>
          <w:spacing w:val="-1"/>
          <w:w w:val="110"/>
        </w:rPr>
        <w:t xml:space="preserve"> </w:t>
      </w:r>
      <w:r w:rsidRPr="00283806">
        <w:rPr>
          <w:w w:val="110"/>
        </w:rPr>
        <w:t>defined</w:t>
      </w:r>
      <w:r w:rsidRPr="00283806">
        <w:rPr>
          <w:spacing w:val="-1"/>
          <w:w w:val="110"/>
        </w:rPr>
        <w:t xml:space="preserve"> </w:t>
      </w:r>
      <w:r w:rsidRPr="00283806">
        <w:rPr>
          <w:w w:val="110"/>
        </w:rPr>
        <w:t>in</w:t>
      </w:r>
      <w:r w:rsidRPr="00283806">
        <w:rPr>
          <w:spacing w:val="-1"/>
          <w:w w:val="110"/>
        </w:rPr>
        <w:t xml:space="preserve"> </w:t>
      </w:r>
      <w:r w:rsidRPr="00283806">
        <w:rPr>
          <w:w w:val="110"/>
        </w:rPr>
        <w:t>40</w:t>
      </w:r>
      <w:r w:rsidRPr="00283806">
        <w:rPr>
          <w:spacing w:val="-1"/>
          <w:w w:val="110"/>
        </w:rPr>
        <w:t xml:space="preserve"> </w:t>
      </w:r>
      <w:r w:rsidRPr="00283806">
        <w:rPr>
          <w:w w:val="110"/>
        </w:rPr>
        <w:t>CFR 84.3—</w:t>
      </w:r>
      <w:r w:rsidRPr="00283806">
        <w:rPr>
          <w:rFonts w:ascii="Book Antiqua" w:hAnsi="Book Antiqua"/>
          <w:i/>
          <w:w w:val="110"/>
        </w:rPr>
        <w:t xml:space="preserve">i.e., </w:t>
      </w:r>
      <w:r w:rsidRPr="00283806">
        <w:rPr>
          <w:w w:val="110"/>
        </w:rPr>
        <w:t>with respect to a regulated substance, bulk production plus bulk imports minus bulk exports—and, although not requiring AIM Act allowances, the amount in imported products containing a regulated substance, less the amount in exported products containing a regulated substance. Annual avoided consumption was estimated at 42 MMTCO</w:t>
      </w:r>
      <w:r w:rsidRPr="00283806">
        <w:rPr>
          <w:rFonts w:ascii="Times New Roman" w:hAnsi="Times New Roman"/>
          <w:w w:val="110"/>
          <w:vertAlign w:val="subscript"/>
        </w:rPr>
        <w:t>2</w:t>
      </w:r>
      <w:r w:rsidRPr="00283806">
        <w:rPr>
          <w:w w:val="110"/>
        </w:rPr>
        <w:t>e in 2022 and 282 MMTCO</w:t>
      </w:r>
      <w:r w:rsidRPr="00283806">
        <w:rPr>
          <w:rFonts w:ascii="Times New Roman" w:hAnsi="Times New Roman"/>
          <w:w w:val="110"/>
          <w:vertAlign w:val="subscript"/>
        </w:rPr>
        <w:t>2</w:t>
      </w:r>
      <w:r w:rsidRPr="00283806">
        <w:rPr>
          <w:w w:val="110"/>
        </w:rPr>
        <w:t>e</w:t>
      </w:r>
    </w:p>
    <w:p w14:paraId="158D6684" w14:textId="77777777" w:rsidR="00D67C1E" w:rsidRPr="00283806" w:rsidRDefault="001265CA">
      <w:pPr>
        <w:pStyle w:val="BodyText"/>
        <w:spacing w:line="177" w:lineRule="exact"/>
        <w:ind w:left="143"/>
      </w:pPr>
      <w:r w:rsidRPr="00283806">
        <w:rPr>
          <w:w w:val="105"/>
        </w:rPr>
        <w:t>in</w:t>
      </w:r>
      <w:r w:rsidRPr="00283806">
        <w:rPr>
          <w:spacing w:val="6"/>
          <w:w w:val="105"/>
        </w:rPr>
        <w:t xml:space="preserve"> </w:t>
      </w:r>
      <w:r w:rsidRPr="00283806">
        <w:rPr>
          <w:w w:val="105"/>
        </w:rPr>
        <w:t>2036.</w:t>
      </w:r>
      <w:r w:rsidRPr="00283806">
        <w:rPr>
          <w:spacing w:val="7"/>
          <w:w w:val="105"/>
        </w:rPr>
        <w:t xml:space="preserve"> </w:t>
      </w:r>
      <w:proofErr w:type="gramStart"/>
      <w:r w:rsidRPr="00283806">
        <w:rPr>
          <w:w w:val="105"/>
        </w:rPr>
        <w:t>In</w:t>
      </w:r>
      <w:r w:rsidRPr="00283806">
        <w:rPr>
          <w:spacing w:val="7"/>
          <w:w w:val="105"/>
        </w:rPr>
        <w:t xml:space="preserve"> </w:t>
      </w:r>
      <w:r w:rsidRPr="00283806">
        <w:rPr>
          <w:w w:val="105"/>
        </w:rPr>
        <w:t>order</w:t>
      </w:r>
      <w:r w:rsidRPr="00283806">
        <w:rPr>
          <w:spacing w:val="7"/>
          <w:w w:val="105"/>
        </w:rPr>
        <w:t xml:space="preserve"> </w:t>
      </w:r>
      <w:r w:rsidRPr="00283806">
        <w:rPr>
          <w:w w:val="105"/>
        </w:rPr>
        <w:t>to</w:t>
      </w:r>
      <w:proofErr w:type="gramEnd"/>
      <w:r w:rsidRPr="00283806">
        <w:rPr>
          <w:spacing w:val="7"/>
          <w:w w:val="105"/>
        </w:rPr>
        <w:t xml:space="preserve"> </w:t>
      </w:r>
      <w:r w:rsidRPr="00283806">
        <w:rPr>
          <w:w w:val="105"/>
        </w:rPr>
        <w:t>calculate</w:t>
      </w:r>
      <w:r w:rsidRPr="00283806">
        <w:rPr>
          <w:spacing w:val="7"/>
          <w:w w:val="105"/>
        </w:rPr>
        <w:t xml:space="preserve"> </w:t>
      </w:r>
      <w:r w:rsidRPr="00283806">
        <w:rPr>
          <w:w w:val="105"/>
        </w:rPr>
        <w:t>the</w:t>
      </w:r>
      <w:r w:rsidRPr="00283806">
        <w:rPr>
          <w:spacing w:val="7"/>
          <w:w w:val="105"/>
        </w:rPr>
        <w:t xml:space="preserve"> </w:t>
      </w:r>
      <w:r w:rsidRPr="00283806">
        <w:rPr>
          <w:spacing w:val="-2"/>
          <w:w w:val="105"/>
        </w:rPr>
        <w:t>climate</w:t>
      </w:r>
    </w:p>
    <w:p w14:paraId="6CA28156" w14:textId="77777777" w:rsidR="00D67C1E" w:rsidRPr="00283806" w:rsidRDefault="001265CA">
      <w:pPr>
        <w:pStyle w:val="BodyText"/>
        <w:spacing w:before="3" w:line="225" w:lineRule="auto"/>
        <w:ind w:left="143" w:right="86"/>
      </w:pPr>
      <w:r w:rsidRPr="00283806">
        <w:rPr>
          <w:w w:val="105"/>
        </w:rPr>
        <w:t xml:space="preserve">benefits associated with consumption </w:t>
      </w:r>
      <w:proofErr w:type="gramStart"/>
      <w:r w:rsidRPr="00283806">
        <w:rPr>
          <w:w w:val="105"/>
        </w:rPr>
        <w:t>abatement,</w:t>
      </w:r>
      <w:proofErr w:type="gramEnd"/>
      <w:r w:rsidRPr="00283806">
        <w:rPr>
          <w:w w:val="105"/>
        </w:rPr>
        <w:t xml:space="preserve"> the consumption changes were expressed in terms of emissions reductions. EPA estimated that for the years 2022 through 2050, the HFC phasedown will avoid emissions of</w:t>
      </w:r>
      <w:r w:rsidRPr="00283806">
        <w:rPr>
          <w:spacing w:val="40"/>
          <w:w w:val="105"/>
        </w:rPr>
        <w:t xml:space="preserve"> </w:t>
      </w:r>
      <w:r w:rsidRPr="00283806">
        <w:rPr>
          <w:w w:val="105"/>
        </w:rPr>
        <w:t>4,560 MMTCO</w:t>
      </w:r>
      <w:r w:rsidRPr="00283806">
        <w:rPr>
          <w:rFonts w:ascii="Times New Roman"/>
          <w:w w:val="105"/>
          <w:vertAlign w:val="subscript"/>
        </w:rPr>
        <w:t>2</w:t>
      </w:r>
      <w:r w:rsidRPr="00283806">
        <w:rPr>
          <w:w w:val="105"/>
        </w:rPr>
        <w:t>e of HFCs in the United States. The annual avoided emissions</w:t>
      </w:r>
      <w:r w:rsidRPr="00283806">
        <w:rPr>
          <w:spacing w:val="40"/>
          <w:w w:val="105"/>
        </w:rPr>
        <w:t xml:space="preserve"> </w:t>
      </w:r>
      <w:r w:rsidRPr="00283806">
        <w:rPr>
          <w:w w:val="105"/>
        </w:rPr>
        <w:t>are estimated at 22 MMTCO</w:t>
      </w:r>
      <w:r w:rsidRPr="00283806">
        <w:rPr>
          <w:rFonts w:ascii="Times New Roman"/>
          <w:w w:val="105"/>
          <w:vertAlign w:val="subscript"/>
        </w:rPr>
        <w:t>2</w:t>
      </w:r>
      <w:r w:rsidRPr="00283806">
        <w:rPr>
          <w:w w:val="105"/>
        </w:rPr>
        <w:t>e in the</w:t>
      </w:r>
      <w:r w:rsidRPr="00283806">
        <w:rPr>
          <w:spacing w:val="40"/>
          <w:w w:val="105"/>
        </w:rPr>
        <w:t xml:space="preserve"> </w:t>
      </w:r>
      <w:r w:rsidRPr="00283806">
        <w:rPr>
          <w:w w:val="105"/>
        </w:rPr>
        <w:t>year 2022 and 171 MMTCO</w:t>
      </w:r>
      <w:r w:rsidRPr="00283806">
        <w:rPr>
          <w:rFonts w:ascii="Times New Roman"/>
          <w:w w:val="105"/>
          <w:vertAlign w:val="subscript"/>
        </w:rPr>
        <w:t>2</w:t>
      </w:r>
      <w:r w:rsidRPr="00283806">
        <w:rPr>
          <w:w w:val="105"/>
        </w:rPr>
        <w:t xml:space="preserve">e in 2036. More information regarding these estimates is provided in the Allocation Framework Rule RIA and the 2024 Allocation Rule RIA Addendum, which can be found in the docket for this </w:t>
      </w:r>
      <w:r w:rsidRPr="00283806">
        <w:rPr>
          <w:spacing w:val="-2"/>
          <w:w w:val="105"/>
        </w:rPr>
        <w:t>rulemaking.</w:t>
      </w:r>
    </w:p>
    <w:p w14:paraId="3148A09A" w14:textId="77777777" w:rsidR="00D67C1E" w:rsidRPr="00283806" w:rsidRDefault="001265CA">
      <w:pPr>
        <w:pStyle w:val="BodyText"/>
        <w:spacing w:line="174" w:lineRule="exact"/>
        <w:ind w:left="323"/>
      </w:pPr>
      <w:r w:rsidRPr="00283806">
        <w:rPr>
          <w:w w:val="110"/>
        </w:rPr>
        <w:t>The</w:t>
      </w:r>
      <w:r w:rsidRPr="00283806">
        <w:rPr>
          <w:spacing w:val="-3"/>
          <w:w w:val="110"/>
        </w:rPr>
        <w:t xml:space="preserve"> </w:t>
      </w:r>
      <w:r w:rsidRPr="00283806">
        <w:rPr>
          <w:w w:val="110"/>
        </w:rPr>
        <w:t>Agency</w:t>
      </w:r>
      <w:r w:rsidRPr="00283806">
        <w:rPr>
          <w:spacing w:val="-2"/>
          <w:w w:val="110"/>
        </w:rPr>
        <w:t xml:space="preserve"> </w:t>
      </w:r>
      <w:r w:rsidRPr="00283806">
        <w:rPr>
          <w:w w:val="110"/>
        </w:rPr>
        <w:t>calculated</w:t>
      </w:r>
      <w:r w:rsidRPr="00283806">
        <w:rPr>
          <w:spacing w:val="-2"/>
          <w:w w:val="110"/>
        </w:rPr>
        <w:t xml:space="preserve"> incremental</w:t>
      </w:r>
    </w:p>
    <w:p w14:paraId="4A45FE33" w14:textId="77777777" w:rsidR="00D67C1E" w:rsidRPr="00283806" w:rsidRDefault="001265CA">
      <w:pPr>
        <w:pStyle w:val="BodyText"/>
        <w:spacing w:before="4" w:line="225" w:lineRule="auto"/>
        <w:ind w:left="143"/>
      </w:pPr>
      <w:r w:rsidRPr="00283806">
        <w:rPr>
          <w:w w:val="105"/>
        </w:rPr>
        <w:t>avoided consumption and emissions under the 2023 Technology Transitions Rule (88 FR 73098, October 24, 2023).</w:t>
      </w:r>
    </w:p>
    <w:p w14:paraId="7A35C497" w14:textId="77777777" w:rsidR="00D67C1E" w:rsidRPr="00283806" w:rsidRDefault="001265CA">
      <w:pPr>
        <w:pStyle w:val="BodyText"/>
        <w:spacing w:line="225" w:lineRule="auto"/>
        <w:ind w:left="143" w:right="124"/>
      </w:pPr>
      <w:r w:rsidRPr="00283806">
        <w:rPr>
          <w:w w:val="105"/>
        </w:rPr>
        <w:t>HFC consumption reductions beyond those from the HFC phasedown as stipulated in the previous paragraph ranged from 720 to 1,113 MMTCO</w:t>
      </w:r>
      <w:r w:rsidRPr="00283806">
        <w:rPr>
          <w:rFonts w:ascii="Times New Roman"/>
          <w:w w:val="105"/>
          <w:vertAlign w:val="subscript"/>
        </w:rPr>
        <w:t>2</w:t>
      </w:r>
      <w:r w:rsidRPr="00283806">
        <w:rPr>
          <w:w w:val="105"/>
        </w:rPr>
        <w:t>e for the years 2025 through 2050. EPA also estimated that the 2023 Technology Transitions Rule will achieve an additional 83 to 876 MMTCO</w:t>
      </w:r>
      <w:r w:rsidRPr="00283806">
        <w:rPr>
          <w:rFonts w:ascii="Times New Roman"/>
          <w:w w:val="105"/>
          <w:vertAlign w:val="subscript"/>
        </w:rPr>
        <w:t>2</w:t>
      </w:r>
      <w:r w:rsidRPr="00283806">
        <w:rPr>
          <w:w w:val="105"/>
        </w:rPr>
        <w:t xml:space="preserve">e of avoided emissions over these years, 2025 through 2050. The 2023 Technology Transitions Rule RIA Addendum, as well as the TSD, </w:t>
      </w:r>
      <w:r w:rsidRPr="00283806">
        <w:rPr>
          <w:rFonts w:ascii="Book Antiqua"/>
          <w:i/>
          <w:w w:val="105"/>
        </w:rPr>
        <w:t>Costs</w:t>
      </w:r>
      <w:r w:rsidRPr="00283806">
        <w:rPr>
          <w:rFonts w:ascii="Book Antiqua"/>
          <w:i/>
          <w:spacing w:val="80"/>
          <w:w w:val="105"/>
        </w:rPr>
        <w:t xml:space="preserve"> </w:t>
      </w:r>
      <w:r w:rsidRPr="00283806">
        <w:rPr>
          <w:rFonts w:ascii="Book Antiqua"/>
          <w:i/>
          <w:w w:val="105"/>
        </w:rPr>
        <w:t xml:space="preserve">and Environmental Impacts, </w:t>
      </w:r>
      <w:r w:rsidRPr="00283806">
        <w:rPr>
          <w:w w:val="105"/>
        </w:rPr>
        <w:t>are</w:t>
      </w:r>
      <w:r w:rsidRPr="00283806">
        <w:rPr>
          <w:spacing w:val="80"/>
          <w:w w:val="105"/>
        </w:rPr>
        <w:t xml:space="preserve"> </w:t>
      </w:r>
      <w:r w:rsidRPr="00283806">
        <w:rPr>
          <w:w w:val="105"/>
        </w:rPr>
        <w:t xml:space="preserve">available in the docket for this </w:t>
      </w:r>
      <w:r w:rsidRPr="00283806">
        <w:rPr>
          <w:spacing w:val="-2"/>
          <w:w w:val="105"/>
        </w:rPr>
        <w:t>rulemaking.</w:t>
      </w:r>
    </w:p>
    <w:p w14:paraId="7BC3BB6E" w14:textId="77777777" w:rsidR="00D67C1E" w:rsidRPr="00283806" w:rsidRDefault="001265CA">
      <w:pPr>
        <w:pStyle w:val="ListParagraph"/>
        <w:numPr>
          <w:ilvl w:val="1"/>
          <w:numId w:val="64"/>
        </w:numPr>
        <w:tabs>
          <w:tab w:val="left" w:pos="358"/>
        </w:tabs>
        <w:spacing w:before="91" w:line="220" w:lineRule="auto"/>
        <w:ind w:left="143" w:right="336" w:firstLine="0"/>
        <w:rPr>
          <w:rFonts w:ascii="Book Antiqua"/>
          <w:i/>
          <w:sz w:val="18"/>
        </w:rPr>
      </w:pPr>
      <w:r w:rsidRPr="00283806">
        <w:rPr>
          <w:rFonts w:ascii="Book Antiqua"/>
          <w:i/>
          <w:w w:val="115"/>
          <w:sz w:val="18"/>
        </w:rPr>
        <w:t>How</w:t>
      </w:r>
      <w:r w:rsidRPr="00283806">
        <w:rPr>
          <w:rFonts w:ascii="Book Antiqua"/>
          <w:i/>
          <w:spacing w:val="-12"/>
          <w:w w:val="115"/>
          <w:sz w:val="18"/>
        </w:rPr>
        <w:t xml:space="preserve"> </w:t>
      </w:r>
      <w:r w:rsidRPr="00283806">
        <w:rPr>
          <w:rFonts w:ascii="Book Antiqua"/>
          <w:i/>
          <w:w w:val="115"/>
          <w:sz w:val="18"/>
        </w:rPr>
        <w:t>do</w:t>
      </w:r>
      <w:r w:rsidRPr="00283806">
        <w:rPr>
          <w:rFonts w:ascii="Book Antiqua"/>
          <w:i/>
          <w:spacing w:val="-12"/>
          <w:w w:val="115"/>
          <w:sz w:val="18"/>
        </w:rPr>
        <w:t xml:space="preserve"> </w:t>
      </w:r>
      <w:r w:rsidRPr="00283806">
        <w:rPr>
          <w:rFonts w:ascii="Book Antiqua"/>
          <w:i/>
          <w:w w:val="115"/>
          <w:sz w:val="18"/>
        </w:rPr>
        <w:t>HFCs</w:t>
      </w:r>
      <w:r w:rsidRPr="00283806">
        <w:rPr>
          <w:rFonts w:ascii="Book Antiqua"/>
          <w:i/>
          <w:spacing w:val="-12"/>
          <w:w w:val="115"/>
          <w:sz w:val="18"/>
        </w:rPr>
        <w:t xml:space="preserve"> </w:t>
      </w:r>
      <w:r w:rsidRPr="00283806">
        <w:rPr>
          <w:rFonts w:ascii="Book Antiqua"/>
          <w:i/>
          <w:w w:val="115"/>
          <w:sz w:val="18"/>
        </w:rPr>
        <w:t>affect</w:t>
      </w:r>
      <w:r w:rsidRPr="00283806">
        <w:rPr>
          <w:rFonts w:ascii="Book Antiqua"/>
          <w:i/>
          <w:spacing w:val="-12"/>
          <w:w w:val="115"/>
          <w:sz w:val="18"/>
        </w:rPr>
        <w:t xml:space="preserve"> </w:t>
      </w:r>
      <w:r w:rsidRPr="00283806">
        <w:rPr>
          <w:rFonts w:ascii="Book Antiqua"/>
          <w:i/>
          <w:w w:val="115"/>
          <w:sz w:val="18"/>
        </w:rPr>
        <w:t>public</w:t>
      </w:r>
      <w:r w:rsidRPr="00283806">
        <w:rPr>
          <w:rFonts w:ascii="Book Antiqua"/>
          <w:i/>
          <w:spacing w:val="-12"/>
          <w:w w:val="115"/>
          <w:sz w:val="18"/>
        </w:rPr>
        <w:t xml:space="preserve"> </w:t>
      </w:r>
      <w:r w:rsidRPr="00283806">
        <w:rPr>
          <w:rFonts w:ascii="Book Antiqua"/>
          <w:i/>
          <w:w w:val="115"/>
          <w:sz w:val="18"/>
        </w:rPr>
        <w:t>health and welfare?</w:t>
      </w:r>
    </w:p>
    <w:p w14:paraId="1EFA5E6E" w14:textId="77777777" w:rsidR="00D67C1E" w:rsidRPr="00283806" w:rsidRDefault="001265CA">
      <w:pPr>
        <w:pStyle w:val="BodyText"/>
        <w:spacing w:before="16" w:line="228" w:lineRule="auto"/>
        <w:ind w:left="143" w:firstLine="180"/>
      </w:pPr>
      <w:r w:rsidRPr="00283806">
        <w:rPr>
          <w:w w:val="105"/>
        </w:rPr>
        <w:t>Elevated concentrations of GHGs including HFCs are and have been warming the planet, leading to changes</w:t>
      </w:r>
    </w:p>
    <w:p w14:paraId="060551FE" w14:textId="77777777" w:rsidR="00D67C1E" w:rsidRPr="00283806" w:rsidRDefault="001265CA">
      <w:pPr>
        <w:pStyle w:val="BodyText"/>
        <w:spacing w:before="136" w:line="225" w:lineRule="auto"/>
        <w:ind w:left="155" w:right="185"/>
      </w:pPr>
      <w:r w:rsidRPr="00283806">
        <w:br w:type="column"/>
      </w:r>
      <w:r w:rsidRPr="00283806">
        <w:rPr>
          <w:w w:val="105"/>
        </w:rPr>
        <w:t xml:space="preserve">weather events; rising seas; and retreating snow and ice. The changes taking place in the atmosphere </w:t>
      </w:r>
      <w:proofErr w:type="gramStart"/>
      <w:r w:rsidRPr="00283806">
        <w:rPr>
          <w:w w:val="105"/>
        </w:rPr>
        <w:t>as a</w:t>
      </w:r>
      <w:r w:rsidRPr="00283806">
        <w:rPr>
          <w:spacing w:val="80"/>
          <w:w w:val="105"/>
        </w:rPr>
        <w:t xml:space="preserve"> </w:t>
      </w:r>
      <w:r w:rsidRPr="00283806">
        <w:rPr>
          <w:w w:val="105"/>
        </w:rPr>
        <w:t>result</w:t>
      </w:r>
      <w:r w:rsidRPr="00283806">
        <w:rPr>
          <w:spacing w:val="40"/>
          <w:w w:val="105"/>
        </w:rPr>
        <w:t xml:space="preserve"> </w:t>
      </w:r>
      <w:r w:rsidRPr="00283806">
        <w:rPr>
          <w:w w:val="105"/>
        </w:rPr>
        <w:t>of</w:t>
      </w:r>
      <w:proofErr w:type="gramEnd"/>
      <w:r w:rsidRPr="00283806">
        <w:rPr>
          <w:spacing w:val="40"/>
          <w:w w:val="105"/>
        </w:rPr>
        <w:t xml:space="preserve"> </w:t>
      </w:r>
      <w:r w:rsidRPr="00283806">
        <w:rPr>
          <w:w w:val="105"/>
        </w:rPr>
        <w:t>the</w:t>
      </w:r>
      <w:r w:rsidRPr="00283806">
        <w:rPr>
          <w:spacing w:val="40"/>
          <w:w w:val="105"/>
        </w:rPr>
        <w:t xml:space="preserve"> </w:t>
      </w:r>
      <w:r w:rsidRPr="00283806">
        <w:rPr>
          <w:w w:val="105"/>
        </w:rPr>
        <w:t>well-documented</w:t>
      </w:r>
      <w:r w:rsidRPr="00283806">
        <w:rPr>
          <w:spacing w:val="40"/>
          <w:w w:val="105"/>
        </w:rPr>
        <w:t xml:space="preserve"> </w:t>
      </w:r>
      <w:r w:rsidRPr="00283806">
        <w:rPr>
          <w:w w:val="105"/>
        </w:rPr>
        <w:t>buildup of GHGs due to human activities are changing the climate at a pace and scale that threatens human health, society,</w:t>
      </w:r>
      <w:r w:rsidRPr="00283806">
        <w:rPr>
          <w:spacing w:val="80"/>
          <w:w w:val="105"/>
        </w:rPr>
        <w:t xml:space="preserve"> </w:t>
      </w:r>
      <w:r w:rsidRPr="00283806">
        <w:rPr>
          <w:w w:val="105"/>
        </w:rPr>
        <w:t>and the natural environment. This</w:t>
      </w:r>
      <w:r w:rsidRPr="00283806">
        <w:rPr>
          <w:spacing w:val="40"/>
          <w:w w:val="105"/>
        </w:rPr>
        <w:t xml:space="preserve"> </w:t>
      </w:r>
      <w:r w:rsidRPr="00283806">
        <w:rPr>
          <w:w w:val="105"/>
        </w:rPr>
        <w:t>section provides some scientific background on climate change to offer additional context for this rulemaking</w:t>
      </w:r>
      <w:r w:rsidRPr="00283806">
        <w:rPr>
          <w:spacing w:val="40"/>
          <w:w w:val="105"/>
        </w:rPr>
        <w:t xml:space="preserve"> </w:t>
      </w:r>
      <w:r w:rsidRPr="00283806">
        <w:rPr>
          <w:w w:val="105"/>
        </w:rPr>
        <w:t>and help the public understand the environmental impacts of GHGs, such as HFCs. Extensive additional information on climate change is available in the scientific assessments and Agency documents that are briefly described in this section, as well as in the technical</w:t>
      </w:r>
      <w:r w:rsidRPr="00283806">
        <w:rPr>
          <w:spacing w:val="40"/>
          <w:w w:val="105"/>
        </w:rPr>
        <w:t xml:space="preserve"> </w:t>
      </w:r>
      <w:r w:rsidRPr="00283806">
        <w:rPr>
          <w:w w:val="105"/>
        </w:rPr>
        <w:t xml:space="preserve">and scientific information supporting </w:t>
      </w:r>
      <w:r w:rsidRPr="00283806">
        <w:rPr>
          <w:spacing w:val="-2"/>
          <w:w w:val="105"/>
        </w:rPr>
        <w:t>them.</w:t>
      </w:r>
    </w:p>
    <w:p w14:paraId="15274150" w14:textId="77777777" w:rsidR="00D67C1E" w:rsidRPr="00283806" w:rsidRDefault="001265CA">
      <w:pPr>
        <w:pStyle w:val="BodyText"/>
        <w:spacing w:line="173" w:lineRule="exact"/>
        <w:ind w:left="335"/>
      </w:pPr>
      <w:r w:rsidRPr="00283806">
        <w:rPr>
          <w:w w:val="105"/>
        </w:rPr>
        <w:t>One</w:t>
      </w:r>
      <w:r w:rsidRPr="00283806">
        <w:rPr>
          <w:spacing w:val="16"/>
          <w:w w:val="105"/>
        </w:rPr>
        <w:t xml:space="preserve"> </w:t>
      </w:r>
      <w:r w:rsidRPr="00283806">
        <w:rPr>
          <w:w w:val="105"/>
        </w:rPr>
        <w:t>of</w:t>
      </w:r>
      <w:r w:rsidRPr="00283806">
        <w:rPr>
          <w:spacing w:val="17"/>
          <w:w w:val="105"/>
        </w:rPr>
        <w:t xml:space="preserve"> </w:t>
      </w:r>
      <w:r w:rsidRPr="00283806">
        <w:rPr>
          <w:w w:val="105"/>
        </w:rPr>
        <w:t>those</w:t>
      </w:r>
      <w:r w:rsidRPr="00283806">
        <w:rPr>
          <w:spacing w:val="17"/>
          <w:w w:val="105"/>
        </w:rPr>
        <w:t xml:space="preserve"> </w:t>
      </w:r>
      <w:r w:rsidRPr="00283806">
        <w:rPr>
          <w:w w:val="105"/>
        </w:rPr>
        <w:t>documents</w:t>
      </w:r>
      <w:r w:rsidRPr="00283806">
        <w:rPr>
          <w:spacing w:val="17"/>
          <w:w w:val="105"/>
        </w:rPr>
        <w:t xml:space="preserve"> </w:t>
      </w:r>
      <w:r w:rsidRPr="00283806">
        <w:rPr>
          <w:w w:val="105"/>
        </w:rPr>
        <w:t>is</w:t>
      </w:r>
      <w:r w:rsidRPr="00283806">
        <w:rPr>
          <w:spacing w:val="17"/>
          <w:w w:val="105"/>
        </w:rPr>
        <w:t xml:space="preserve"> </w:t>
      </w:r>
      <w:r w:rsidRPr="00283806">
        <w:rPr>
          <w:w w:val="105"/>
        </w:rPr>
        <w:t>EPA’s</w:t>
      </w:r>
      <w:r w:rsidRPr="00283806">
        <w:rPr>
          <w:spacing w:val="17"/>
          <w:w w:val="105"/>
        </w:rPr>
        <w:t xml:space="preserve"> </w:t>
      </w:r>
      <w:r w:rsidRPr="00283806">
        <w:rPr>
          <w:spacing w:val="-4"/>
          <w:w w:val="105"/>
        </w:rPr>
        <w:t>2009</w:t>
      </w:r>
    </w:p>
    <w:p w14:paraId="1E014AD8" w14:textId="77777777" w:rsidR="00D67C1E" w:rsidRPr="00283806" w:rsidRDefault="001265CA">
      <w:pPr>
        <w:pStyle w:val="BodyText"/>
        <w:spacing w:before="3" w:line="225" w:lineRule="auto"/>
        <w:ind w:left="155" w:right="231"/>
      </w:pPr>
      <w:r w:rsidRPr="00283806">
        <w:rPr>
          <w:w w:val="105"/>
        </w:rPr>
        <w:t>Endangerment and Cause or Contribute Findings for Greenhouse Gases under CAA section 202(a) (74 FR 66496,</w:t>
      </w:r>
    </w:p>
    <w:p w14:paraId="32A0FD76" w14:textId="77777777" w:rsidR="00D67C1E" w:rsidRPr="00283806" w:rsidRDefault="001265CA">
      <w:pPr>
        <w:pStyle w:val="BodyText"/>
        <w:spacing w:line="225" w:lineRule="auto"/>
        <w:ind w:left="155" w:right="185"/>
      </w:pPr>
      <w:r w:rsidRPr="00283806">
        <w:rPr>
          <w:w w:val="105"/>
        </w:rPr>
        <w:t>December 15, 2009).</w:t>
      </w:r>
      <w:r w:rsidRPr="00283806">
        <w:rPr>
          <w:w w:val="105"/>
          <w:position w:val="5"/>
          <w:sz w:val="11"/>
        </w:rPr>
        <w:t>27</w:t>
      </w:r>
      <w:r w:rsidRPr="00283806">
        <w:rPr>
          <w:spacing w:val="40"/>
          <w:w w:val="105"/>
          <w:position w:val="5"/>
          <w:sz w:val="11"/>
        </w:rPr>
        <w:t xml:space="preserve"> </w:t>
      </w:r>
      <w:r w:rsidRPr="00283806">
        <w:rPr>
          <w:w w:val="105"/>
        </w:rPr>
        <w:t>In the 2009 Endangerment Finding, the</w:t>
      </w:r>
      <w:r w:rsidRPr="00283806">
        <w:rPr>
          <w:spacing w:val="40"/>
          <w:w w:val="105"/>
        </w:rPr>
        <w:t xml:space="preserve"> </w:t>
      </w:r>
      <w:r w:rsidRPr="00283806">
        <w:rPr>
          <w:w w:val="105"/>
        </w:rPr>
        <w:t>Administrator found under CAA section 202(a) that elevated atmospheric concentrations of six key, well-mixed GHGs—CO</w:t>
      </w:r>
      <w:r w:rsidRPr="00283806">
        <w:rPr>
          <w:rFonts w:ascii="Times New Roman" w:hAnsi="Times New Roman"/>
          <w:w w:val="105"/>
          <w:vertAlign w:val="subscript"/>
        </w:rPr>
        <w:t>2</w:t>
      </w:r>
      <w:r w:rsidRPr="00283806">
        <w:rPr>
          <w:w w:val="105"/>
        </w:rPr>
        <w:t>, methane (CH</w:t>
      </w:r>
      <w:r w:rsidRPr="00283806">
        <w:rPr>
          <w:rFonts w:ascii="Times New Roman" w:hAnsi="Times New Roman"/>
          <w:w w:val="105"/>
          <w:vertAlign w:val="subscript"/>
        </w:rPr>
        <w:t>4</w:t>
      </w:r>
      <w:r w:rsidRPr="00283806">
        <w:rPr>
          <w:w w:val="105"/>
        </w:rPr>
        <w:t>), nitrous</w:t>
      </w:r>
      <w:r w:rsidRPr="00283806">
        <w:rPr>
          <w:spacing w:val="80"/>
          <w:w w:val="105"/>
        </w:rPr>
        <w:t xml:space="preserve"> </w:t>
      </w:r>
      <w:r w:rsidRPr="00283806">
        <w:rPr>
          <w:w w:val="105"/>
        </w:rPr>
        <w:t>oxide (N</w:t>
      </w:r>
      <w:r w:rsidRPr="00283806">
        <w:rPr>
          <w:rFonts w:ascii="Times New Roman" w:hAnsi="Times New Roman"/>
          <w:w w:val="105"/>
          <w:vertAlign w:val="subscript"/>
        </w:rPr>
        <w:t>2</w:t>
      </w:r>
      <w:r w:rsidRPr="00283806">
        <w:rPr>
          <w:w w:val="105"/>
        </w:rPr>
        <w:t>O), HFCs, perfluorocarbons (PFCs), and sulfur hexafluoride (SF</w:t>
      </w:r>
      <w:r w:rsidRPr="00283806">
        <w:rPr>
          <w:rFonts w:ascii="Times New Roman" w:hAnsi="Times New Roman"/>
          <w:w w:val="105"/>
          <w:vertAlign w:val="subscript"/>
        </w:rPr>
        <w:t>6</w:t>
      </w:r>
      <w:r w:rsidRPr="00283806">
        <w:rPr>
          <w:w w:val="105"/>
        </w:rPr>
        <w:t>)— ‘‘may reasonably be anticipated to endanger the public health and welfare</w:t>
      </w:r>
      <w:r w:rsidRPr="00283806">
        <w:rPr>
          <w:spacing w:val="40"/>
          <w:w w:val="105"/>
        </w:rPr>
        <w:t xml:space="preserve"> </w:t>
      </w:r>
      <w:r w:rsidRPr="00283806">
        <w:rPr>
          <w:w w:val="105"/>
        </w:rPr>
        <w:t>of current and future generations’’ (74</w:t>
      </w:r>
      <w:r w:rsidRPr="00283806">
        <w:rPr>
          <w:spacing w:val="40"/>
          <w:w w:val="105"/>
        </w:rPr>
        <w:t xml:space="preserve"> </w:t>
      </w:r>
      <w:r w:rsidRPr="00283806">
        <w:rPr>
          <w:w w:val="105"/>
        </w:rPr>
        <w:t>FR 66523, December 15, 2009), and subsequent science and observed changes have confirmed and strengthened the understanding and concerns regarding the climate risks considered in the Finding. The 2009 Endangerment Finding, together with</w:t>
      </w:r>
      <w:r w:rsidRPr="00283806">
        <w:rPr>
          <w:spacing w:val="80"/>
          <w:w w:val="105"/>
        </w:rPr>
        <w:t xml:space="preserve"> </w:t>
      </w:r>
      <w:r w:rsidRPr="00283806">
        <w:rPr>
          <w:w w:val="105"/>
        </w:rPr>
        <w:t>the extensive scientific and technical evidence in the supporting record, documented that climate change caused by human emissions of GHGs (including HFCs) threatens the public health of the population of the United States. It explained that by raising average temperatures, climate change increases the likelihood of heat waves, which are associated with increased deaths and illnesses (74 FR 66497, December 15, 2009). While climate change also likely reduces cold-related mortality, evidence indicates that the increases in heat mortality will be larger than the decreases</w:t>
      </w:r>
      <w:r w:rsidRPr="00283806">
        <w:rPr>
          <w:spacing w:val="40"/>
          <w:w w:val="105"/>
        </w:rPr>
        <w:t xml:space="preserve"> </w:t>
      </w:r>
      <w:r w:rsidRPr="00283806">
        <w:rPr>
          <w:w w:val="105"/>
        </w:rPr>
        <w:t>in</w:t>
      </w:r>
      <w:r w:rsidRPr="00283806">
        <w:rPr>
          <w:spacing w:val="40"/>
          <w:w w:val="105"/>
        </w:rPr>
        <w:t xml:space="preserve"> </w:t>
      </w:r>
      <w:r w:rsidRPr="00283806">
        <w:rPr>
          <w:w w:val="105"/>
        </w:rPr>
        <w:t>cold</w:t>
      </w:r>
      <w:r w:rsidRPr="00283806">
        <w:rPr>
          <w:spacing w:val="40"/>
          <w:w w:val="105"/>
        </w:rPr>
        <w:t xml:space="preserve"> </w:t>
      </w:r>
      <w:r w:rsidRPr="00283806">
        <w:rPr>
          <w:w w:val="105"/>
        </w:rPr>
        <w:t>mortality</w:t>
      </w:r>
      <w:r w:rsidRPr="00283806">
        <w:rPr>
          <w:spacing w:val="40"/>
          <w:w w:val="105"/>
        </w:rPr>
        <w:t xml:space="preserve"> </w:t>
      </w:r>
      <w:r w:rsidRPr="00283806">
        <w:rPr>
          <w:w w:val="105"/>
        </w:rPr>
        <w:t>in</w:t>
      </w:r>
      <w:r w:rsidRPr="00283806">
        <w:rPr>
          <w:spacing w:val="40"/>
          <w:w w:val="105"/>
        </w:rPr>
        <w:t xml:space="preserve"> </w:t>
      </w:r>
      <w:r w:rsidRPr="00283806">
        <w:rPr>
          <w:w w:val="105"/>
        </w:rPr>
        <w:t>the United States (74 FR 66525, December</w:t>
      </w:r>
    </w:p>
    <w:p w14:paraId="65286C29" w14:textId="77777777" w:rsidR="00D67C1E" w:rsidRPr="00283806" w:rsidRDefault="001265CA">
      <w:pPr>
        <w:pStyle w:val="BodyText"/>
        <w:spacing w:line="200" w:lineRule="exact"/>
        <w:ind w:left="155" w:right="197"/>
      </w:pPr>
      <w:r w:rsidRPr="00283806">
        <w:rPr>
          <w:w w:val="105"/>
        </w:rPr>
        <w:t>15, 2009). The 2009 Endangerment Finding further explained that,</w:t>
      </w:r>
      <w:r w:rsidRPr="00283806">
        <w:rPr>
          <w:spacing w:val="40"/>
          <w:w w:val="105"/>
        </w:rPr>
        <w:t xml:space="preserve"> </w:t>
      </w:r>
      <w:r w:rsidRPr="00283806">
        <w:rPr>
          <w:w w:val="105"/>
        </w:rPr>
        <w:t>compared with a future without climate change, climate change is expected to increase tropospheric ozone pollution over broad areas of the United States, including in the largest metropolitan</w:t>
      </w:r>
    </w:p>
    <w:p w14:paraId="5ACA47FF" w14:textId="77777777" w:rsidR="00D67C1E" w:rsidRPr="00283806" w:rsidRDefault="00D67C1E">
      <w:pPr>
        <w:spacing w:line="200" w:lineRule="exact"/>
        <w:sectPr w:rsidR="00D67C1E" w:rsidRPr="00283806">
          <w:pgSz w:w="12240" w:h="15840"/>
          <w:pgMar w:top="1040" w:right="780" w:bottom="280" w:left="740" w:header="627" w:footer="0" w:gutter="0"/>
          <w:cols w:num="3" w:space="720" w:equalWidth="0">
            <w:col w:w="3517" w:space="40"/>
            <w:col w:w="3489" w:space="39"/>
            <w:col w:w="3635"/>
          </w:cols>
        </w:sectPr>
      </w:pPr>
    </w:p>
    <w:p w14:paraId="1D38D915" w14:textId="77777777" w:rsidR="00D67C1E" w:rsidRPr="00283806" w:rsidRDefault="001265CA">
      <w:pPr>
        <w:spacing w:line="67" w:lineRule="exact"/>
        <w:ind w:left="159"/>
        <w:rPr>
          <w:sz w:val="14"/>
        </w:rPr>
      </w:pPr>
      <w:r w:rsidRPr="00283806">
        <w:rPr>
          <w:w w:val="105"/>
          <w:sz w:val="14"/>
        </w:rPr>
        <w:t>Greenhouse</w:t>
      </w:r>
      <w:r w:rsidRPr="00283806">
        <w:rPr>
          <w:spacing w:val="15"/>
          <w:w w:val="105"/>
          <w:sz w:val="14"/>
        </w:rPr>
        <w:t xml:space="preserve"> </w:t>
      </w:r>
      <w:r w:rsidRPr="00283806">
        <w:rPr>
          <w:w w:val="105"/>
          <w:sz w:val="14"/>
        </w:rPr>
        <w:t>Gas</w:t>
      </w:r>
      <w:r w:rsidRPr="00283806">
        <w:rPr>
          <w:spacing w:val="16"/>
          <w:w w:val="105"/>
          <w:sz w:val="14"/>
        </w:rPr>
        <w:t xml:space="preserve"> </w:t>
      </w:r>
      <w:r w:rsidRPr="00283806">
        <w:rPr>
          <w:w w:val="105"/>
          <w:sz w:val="14"/>
        </w:rPr>
        <w:t>Emissions</w:t>
      </w:r>
      <w:r w:rsidRPr="00283806">
        <w:rPr>
          <w:spacing w:val="16"/>
          <w:w w:val="105"/>
          <w:sz w:val="14"/>
        </w:rPr>
        <w:t xml:space="preserve"> </w:t>
      </w:r>
      <w:r w:rsidRPr="00283806">
        <w:rPr>
          <w:w w:val="105"/>
          <w:sz w:val="14"/>
        </w:rPr>
        <w:t>and</w:t>
      </w:r>
      <w:r w:rsidRPr="00283806">
        <w:rPr>
          <w:spacing w:val="16"/>
          <w:w w:val="105"/>
          <w:sz w:val="14"/>
        </w:rPr>
        <w:t xml:space="preserve"> </w:t>
      </w:r>
      <w:r w:rsidRPr="00283806">
        <w:rPr>
          <w:w w:val="105"/>
          <w:sz w:val="14"/>
        </w:rPr>
        <w:t>Sinks:</w:t>
      </w:r>
      <w:r w:rsidRPr="00283806">
        <w:rPr>
          <w:spacing w:val="15"/>
          <w:w w:val="105"/>
          <w:sz w:val="14"/>
        </w:rPr>
        <w:t xml:space="preserve"> </w:t>
      </w:r>
      <w:r w:rsidRPr="00283806">
        <w:rPr>
          <w:spacing w:val="-2"/>
          <w:w w:val="105"/>
          <w:sz w:val="14"/>
        </w:rPr>
        <w:t>1990–2014.</w:t>
      </w:r>
    </w:p>
    <w:p w14:paraId="28ECAD22" w14:textId="2B1D9B05" w:rsidR="00D67C1E" w:rsidRPr="00283806" w:rsidRDefault="001265CA">
      <w:pPr>
        <w:spacing w:line="228" w:lineRule="auto"/>
        <w:ind w:left="159" w:right="38"/>
        <w:rPr>
          <w:rFonts w:ascii="Book Antiqua"/>
          <w:i/>
          <w:sz w:val="14"/>
        </w:rPr>
      </w:pPr>
      <w:r w:rsidRPr="00283806">
        <w:rPr>
          <w:w w:val="115"/>
          <w:sz w:val="14"/>
        </w:rPr>
        <w:t>Available at</w:t>
      </w:r>
      <w:proofErr w:type="gramStart"/>
      <w:r w:rsidRPr="00283806">
        <w:rPr>
          <w:w w:val="115"/>
          <w:sz w:val="14"/>
        </w:rPr>
        <w:t xml:space="preserve">: </w:t>
      </w:r>
      <w:r w:rsidRPr="00283806">
        <w:rPr>
          <w:rFonts w:ascii="Book Antiqua"/>
          <w:i/>
          <w:w w:val="115"/>
          <w:sz w:val="14"/>
        </w:rPr>
        <w:t xml:space="preserve">https://www.epa.gov/ghgemissions/ </w:t>
      </w:r>
      <w:r w:rsidRPr="00283806">
        <w:rPr>
          <w:rFonts w:ascii="Book Antiqua"/>
          <w:i/>
          <w:spacing w:val="-2"/>
          <w:w w:val="110"/>
          <w:sz w:val="14"/>
        </w:rPr>
        <w:t>inventory-us-greenhouse-gas-emissions-and-sinks-</w:t>
      </w:r>
      <w:proofErr w:type="gramEnd"/>
    </w:p>
    <w:p w14:paraId="1ABAB52A" w14:textId="77777777" w:rsidR="00D67C1E" w:rsidRPr="00283806" w:rsidRDefault="001265CA">
      <w:pPr>
        <w:pStyle w:val="BodyText"/>
        <w:tabs>
          <w:tab w:val="left" w:pos="3699"/>
          <w:tab w:val="left" w:pos="4699"/>
        </w:tabs>
        <w:spacing w:line="153" w:lineRule="exact"/>
        <w:ind w:left="159"/>
      </w:pPr>
      <w:r w:rsidRPr="00283806">
        <w:br w:type="column"/>
      </w:r>
      <w:r w:rsidRPr="00283806">
        <w:rPr>
          <w:w w:val="110"/>
        </w:rPr>
        <w:t>in</w:t>
      </w:r>
      <w:r w:rsidRPr="00283806">
        <w:rPr>
          <w:spacing w:val="-5"/>
          <w:w w:val="110"/>
        </w:rPr>
        <w:t xml:space="preserve"> </w:t>
      </w:r>
      <w:r w:rsidRPr="00283806">
        <w:rPr>
          <w:w w:val="110"/>
        </w:rPr>
        <w:t>the</w:t>
      </w:r>
      <w:r w:rsidRPr="00283806">
        <w:rPr>
          <w:spacing w:val="-5"/>
          <w:w w:val="110"/>
        </w:rPr>
        <w:t xml:space="preserve"> </w:t>
      </w:r>
      <w:r w:rsidRPr="00283806">
        <w:rPr>
          <w:w w:val="110"/>
        </w:rPr>
        <w:t>Earth’s</w:t>
      </w:r>
      <w:r w:rsidRPr="00283806">
        <w:rPr>
          <w:spacing w:val="-5"/>
          <w:w w:val="110"/>
        </w:rPr>
        <w:t xml:space="preserve"> </w:t>
      </w:r>
      <w:r w:rsidRPr="00283806">
        <w:rPr>
          <w:w w:val="110"/>
        </w:rPr>
        <w:t>climate</w:t>
      </w:r>
      <w:r w:rsidRPr="00283806">
        <w:rPr>
          <w:spacing w:val="-4"/>
          <w:w w:val="110"/>
        </w:rPr>
        <w:t xml:space="preserve"> </w:t>
      </w:r>
      <w:r w:rsidRPr="00283806">
        <w:rPr>
          <w:w w:val="110"/>
        </w:rPr>
        <w:t>including</w:t>
      </w:r>
      <w:r w:rsidRPr="00283806">
        <w:rPr>
          <w:spacing w:val="-5"/>
          <w:w w:val="110"/>
        </w:rPr>
        <w:t xml:space="preserve"> </w:t>
      </w:r>
      <w:r w:rsidRPr="00283806">
        <w:rPr>
          <w:spacing w:val="-2"/>
          <w:w w:val="110"/>
        </w:rPr>
        <w:t>changes</w:t>
      </w:r>
      <w:r w:rsidRPr="00283806">
        <w:tab/>
      </w:r>
      <w:r w:rsidRPr="00283806">
        <w:rPr>
          <w:u w:val="single"/>
        </w:rPr>
        <w:tab/>
      </w:r>
    </w:p>
    <w:p w14:paraId="07C4CE80" w14:textId="77777777" w:rsidR="00D67C1E" w:rsidRPr="00283806" w:rsidRDefault="001265CA">
      <w:pPr>
        <w:tabs>
          <w:tab w:val="left" w:pos="3839"/>
        </w:tabs>
        <w:spacing w:line="195" w:lineRule="exact"/>
        <w:ind w:left="159"/>
        <w:rPr>
          <w:sz w:val="14"/>
        </w:rPr>
      </w:pPr>
      <w:r w:rsidRPr="00283806">
        <w:rPr>
          <w:w w:val="105"/>
          <w:position w:val="4"/>
          <w:sz w:val="18"/>
        </w:rPr>
        <w:t>in</w:t>
      </w:r>
      <w:r w:rsidRPr="00283806">
        <w:rPr>
          <w:spacing w:val="13"/>
          <w:w w:val="105"/>
          <w:position w:val="4"/>
          <w:sz w:val="18"/>
        </w:rPr>
        <w:t xml:space="preserve"> </w:t>
      </w:r>
      <w:r w:rsidRPr="00283806">
        <w:rPr>
          <w:w w:val="105"/>
          <w:position w:val="4"/>
          <w:sz w:val="18"/>
        </w:rPr>
        <w:t>the</w:t>
      </w:r>
      <w:r w:rsidRPr="00283806">
        <w:rPr>
          <w:spacing w:val="13"/>
          <w:w w:val="105"/>
          <w:position w:val="4"/>
          <w:sz w:val="18"/>
        </w:rPr>
        <w:t xml:space="preserve"> </w:t>
      </w:r>
      <w:r w:rsidRPr="00283806">
        <w:rPr>
          <w:w w:val="105"/>
          <w:position w:val="4"/>
          <w:sz w:val="18"/>
        </w:rPr>
        <w:t>frequency</w:t>
      </w:r>
      <w:r w:rsidRPr="00283806">
        <w:rPr>
          <w:spacing w:val="13"/>
          <w:w w:val="105"/>
          <w:position w:val="4"/>
          <w:sz w:val="18"/>
        </w:rPr>
        <w:t xml:space="preserve"> </w:t>
      </w:r>
      <w:r w:rsidRPr="00283806">
        <w:rPr>
          <w:w w:val="105"/>
          <w:position w:val="4"/>
          <w:sz w:val="18"/>
        </w:rPr>
        <w:t>and</w:t>
      </w:r>
      <w:r w:rsidRPr="00283806">
        <w:rPr>
          <w:spacing w:val="13"/>
          <w:w w:val="105"/>
          <w:position w:val="4"/>
          <w:sz w:val="18"/>
        </w:rPr>
        <w:t xml:space="preserve"> </w:t>
      </w:r>
      <w:r w:rsidRPr="00283806">
        <w:rPr>
          <w:w w:val="105"/>
          <w:position w:val="4"/>
          <w:sz w:val="18"/>
        </w:rPr>
        <w:t>intensity</w:t>
      </w:r>
      <w:r w:rsidRPr="00283806">
        <w:rPr>
          <w:spacing w:val="13"/>
          <w:w w:val="105"/>
          <w:position w:val="4"/>
          <w:sz w:val="18"/>
        </w:rPr>
        <w:t xml:space="preserve"> </w:t>
      </w:r>
      <w:r w:rsidRPr="00283806">
        <w:rPr>
          <w:w w:val="105"/>
          <w:position w:val="4"/>
          <w:sz w:val="18"/>
        </w:rPr>
        <w:t>of</w:t>
      </w:r>
      <w:r w:rsidRPr="00283806">
        <w:rPr>
          <w:spacing w:val="13"/>
          <w:w w:val="105"/>
          <w:position w:val="4"/>
          <w:sz w:val="18"/>
        </w:rPr>
        <w:t xml:space="preserve"> </w:t>
      </w:r>
      <w:r w:rsidRPr="00283806">
        <w:rPr>
          <w:spacing w:val="-4"/>
          <w:w w:val="105"/>
          <w:position w:val="4"/>
          <w:sz w:val="18"/>
        </w:rPr>
        <w:t>heat</w:t>
      </w:r>
      <w:r w:rsidRPr="00283806">
        <w:rPr>
          <w:position w:val="4"/>
          <w:sz w:val="18"/>
        </w:rPr>
        <w:tab/>
      </w:r>
      <w:r w:rsidRPr="00283806">
        <w:rPr>
          <w:w w:val="105"/>
          <w:position w:val="4"/>
          <w:sz w:val="9"/>
        </w:rPr>
        <w:t>27</w:t>
      </w:r>
      <w:r w:rsidRPr="00283806">
        <w:rPr>
          <w:spacing w:val="6"/>
          <w:w w:val="105"/>
          <w:position w:val="4"/>
          <w:sz w:val="9"/>
        </w:rPr>
        <w:t xml:space="preserve"> </w:t>
      </w:r>
      <w:r w:rsidRPr="00283806">
        <w:rPr>
          <w:w w:val="105"/>
          <w:sz w:val="14"/>
        </w:rPr>
        <w:t>In</w:t>
      </w:r>
      <w:r w:rsidRPr="00283806">
        <w:rPr>
          <w:spacing w:val="14"/>
          <w:w w:val="105"/>
          <w:sz w:val="14"/>
        </w:rPr>
        <w:t xml:space="preserve"> </w:t>
      </w:r>
      <w:r w:rsidRPr="00283806">
        <w:rPr>
          <w:w w:val="105"/>
          <w:sz w:val="14"/>
        </w:rPr>
        <w:t>describing</w:t>
      </w:r>
      <w:r w:rsidRPr="00283806">
        <w:rPr>
          <w:spacing w:val="14"/>
          <w:w w:val="105"/>
          <w:sz w:val="14"/>
        </w:rPr>
        <w:t xml:space="preserve"> </w:t>
      </w:r>
      <w:r w:rsidRPr="00283806">
        <w:rPr>
          <w:w w:val="105"/>
          <w:sz w:val="14"/>
        </w:rPr>
        <w:t>these</w:t>
      </w:r>
      <w:r w:rsidRPr="00283806">
        <w:rPr>
          <w:spacing w:val="14"/>
          <w:w w:val="105"/>
          <w:sz w:val="14"/>
        </w:rPr>
        <w:t xml:space="preserve"> </w:t>
      </w:r>
      <w:r w:rsidRPr="00283806">
        <w:rPr>
          <w:w w:val="105"/>
          <w:sz w:val="14"/>
        </w:rPr>
        <w:t>2009</w:t>
      </w:r>
      <w:r w:rsidRPr="00283806">
        <w:rPr>
          <w:spacing w:val="14"/>
          <w:w w:val="105"/>
          <w:sz w:val="14"/>
        </w:rPr>
        <w:t xml:space="preserve"> </w:t>
      </w:r>
      <w:r w:rsidRPr="00283806">
        <w:rPr>
          <w:w w:val="105"/>
          <w:sz w:val="14"/>
        </w:rPr>
        <w:t>Findings,</w:t>
      </w:r>
      <w:r w:rsidRPr="00283806">
        <w:rPr>
          <w:spacing w:val="14"/>
          <w:w w:val="105"/>
          <w:sz w:val="14"/>
        </w:rPr>
        <w:t xml:space="preserve"> </w:t>
      </w:r>
      <w:r w:rsidRPr="00283806">
        <w:rPr>
          <w:w w:val="105"/>
          <w:sz w:val="14"/>
        </w:rPr>
        <w:t>EPA</w:t>
      </w:r>
      <w:r w:rsidRPr="00283806">
        <w:rPr>
          <w:spacing w:val="14"/>
          <w:w w:val="105"/>
          <w:sz w:val="14"/>
        </w:rPr>
        <w:t xml:space="preserve"> </w:t>
      </w:r>
      <w:r w:rsidRPr="00283806">
        <w:rPr>
          <w:spacing w:val="-5"/>
          <w:w w:val="105"/>
          <w:sz w:val="14"/>
        </w:rPr>
        <w:t>is</w:t>
      </w:r>
    </w:p>
    <w:p w14:paraId="2432A77E" w14:textId="77777777" w:rsidR="00D67C1E" w:rsidRPr="00283806" w:rsidRDefault="00D67C1E">
      <w:pPr>
        <w:spacing w:line="195" w:lineRule="exact"/>
        <w:rPr>
          <w:sz w:val="14"/>
        </w:rPr>
        <w:sectPr w:rsidR="00D67C1E" w:rsidRPr="00283806">
          <w:type w:val="continuous"/>
          <w:pgSz w:w="12240" w:h="15840"/>
          <w:pgMar w:top="880" w:right="780" w:bottom="280" w:left="740" w:header="627" w:footer="0" w:gutter="0"/>
          <w:cols w:num="2" w:space="720" w:equalWidth="0">
            <w:col w:w="3438" w:space="102"/>
            <w:col w:w="7180"/>
          </w:cols>
        </w:sectPr>
      </w:pPr>
    </w:p>
    <w:p w14:paraId="46505FF2" w14:textId="4BB446A5" w:rsidR="00D67C1E" w:rsidRPr="00283806" w:rsidRDefault="001265CA">
      <w:pPr>
        <w:spacing w:line="166" w:lineRule="exact"/>
        <w:ind w:left="159"/>
        <w:rPr>
          <w:sz w:val="14"/>
        </w:rPr>
      </w:pPr>
      <w:r w:rsidRPr="00283806">
        <w:rPr>
          <w:rFonts w:ascii="Book Antiqua"/>
          <w:i/>
          <w:w w:val="110"/>
          <w:sz w:val="14"/>
        </w:rPr>
        <w:t>1990-</w:t>
      </w:r>
      <w:r w:rsidRPr="00283806">
        <w:rPr>
          <w:rFonts w:ascii="Book Antiqua"/>
          <w:i/>
          <w:spacing w:val="-2"/>
          <w:w w:val="115"/>
          <w:sz w:val="14"/>
        </w:rPr>
        <w:t>2014</w:t>
      </w:r>
      <w:r w:rsidRPr="00283806">
        <w:rPr>
          <w:spacing w:val="-2"/>
          <w:w w:val="115"/>
          <w:sz w:val="14"/>
        </w:rPr>
        <w:t>.</w:t>
      </w:r>
    </w:p>
    <w:p w14:paraId="147D9238" w14:textId="77777777" w:rsidR="00D67C1E" w:rsidRPr="00283806" w:rsidRDefault="001265CA">
      <w:pPr>
        <w:pStyle w:val="BodyText"/>
        <w:spacing w:line="168" w:lineRule="exact"/>
        <w:ind w:left="159"/>
      </w:pPr>
      <w:r w:rsidRPr="00283806">
        <w:br w:type="column"/>
      </w:r>
      <w:r w:rsidRPr="00283806">
        <w:rPr>
          <w:w w:val="105"/>
        </w:rPr>
        <w:t>waves,</w:t>
      </w:r>
      <w:r w:rsidRPr="00283806">
        <w:rPr>
          <w:spacing w:val="22"/>
          <w:w w:val="105"/>
        </w:rPr>
        <w:t xml:space="preserve"> </w:t>
      </w:r>
      <w:r w:rsidRPr="00283806">
        <w:rPr>
          <w:w w:val="105"/>
        </w:rPr>
        <w:t>precipitation,</w:t>
      </w:r>
      <w:r w:rsidRPr="00283806">
        <w:rPr>
          <w:spacing w:val="23"/>
          <w:w w:val="105"/>
        </w:rPr>
        <w:t xml:space="preserve"> </w:t>
      </w:r>
      <w:r w:rsidRPr="00283806">
        <w:rPr>
          <w:w w:val="105"/>
        </w:rPr>
        <w:t>and</w:t>
      </w:r>
      <w:r w:rsidRPr="00283806">
        <w:rPr>
          <w:spacing w:val="23"/>
          <w:w w:val="105"/>
        </w:rPr>
        <w:t xml:space="preserve"> </w:t>
      </w:r>
      <w:r w:rsidRPr="00283806">
        <w:rPr>
          <w:spacing w:val="-2"/>
          <w:w w:val="105"/>
        </w:rPr>
        <w:t>extreme</w:t>
      </w:r>
    </w:p>
    <w:p w14:paraId="305F36E0" w14:textId="77777777" w:rsidR="00D67C1E" w:rsidRPr="00283806" w:rsidRDefault="001265CA">
      <w:pPr>
        <w:spacing w:line="158" w:lineRule="exact"/>
        <w:ind w:left="159"/>
        <w:rPr>
          <w:sz w:val="14"/>
        </w:rPr>
      </w:pPr>
      <w:r w:rsidRPr="00283806">
        <w:br w:type="column"/>
      </w:r>
      <w:r w:rsidRPr="00283806">
        <w:rPr>
          <w:w w:val="105"/>
          <w:sz w:val="14"/>
        </w:rPr>
        <w:t>neither</w:t>
      </w:r>
      <w:r w:rsidRPr="00283806">
        <w:rPr>
          <w:spacing w:val="5"/>
          <w:w w:val="105"/>
          <w:sz w:val="14"/>
        </w:rPr>
        <w:t xml:space="preserve"> </w:t>
      </w:r>
      <w:r w:rsidRPr="00283806">
        <w:rPr>
          <w:w w:val="105"/>
          <w:sz w:val="14"/>
        </w:rPr>
        <w:t>reopening</w:t>
      </w:r>
      <w:r w:rsidRPr="00283806">
        <w:rPr>
          <w:spacing w:val="6"/>
          <w:w w:val="105"/>
          <w:sz w:val="14"/>
        </w:rPr>
        <w:t xml:space="preserve"> </w:t>
      </w:r>
      <w:r w:rsidRPr="00283806">
        <w:rPr>
          <w:w w:val="105"/>
          <w:sz w:val="14"/>
        </w:rPr>
        <w:t>nor</w:t>
      </w:r>
      <w:r w:rsidRPr="00283806">
        <w:rPr>
          <w:spacing w:val="6"/>
          <w:w w:val="105"/>
          <w:sz w:val="14"/>
        </w:rPr>
        <w:t xml:space="preserve"> </w:t>
      </w:r>
      <w:r w:rsidRPr="00283806">
        <w:rPr>
          <w:w w:val="105"/>
          <w:sz w:val="14"/>
        </w:rPr>
        <w:t>revisiting</w:t>
      </w:r>
      <w:r w:rsidRPr="00283806">
        <w:rPr>
          <w:spacing w:val="6"/>
          <w:w w:val="105"/>
          <w:sz w:val="14"/>
        </w:rPr>
        <w:t xml:space="preserve"> </w:t>
      </w:r>
      <w:r w:rsidRPr="00283806">
        <w:rPr>
          <w:spacing w:val="-2"/>
          <w:w w:val="105"/>
          <w:sz w:val="14"/>
        </w:rPr>
        <w:t>them.</w:t>
      </w:r>
    </w:p>
    <w:p w14:paraId="4FC9029F" w14:textId="77777777" w:rsidR="00D67C1E" w:rsidRPr="00283806" w:rsidRDefault="00D67C1E">
      <w:pPr>
        <w:spacing w:line="158" w:lineRule="exact"/>
        <w:rPr>
          <w:sz w:val="14"/>
        </w:rPr>
        <w:sectPr w:rsidR="00D67C1E" w:rsidRPr="00283806">
          <w:type w:val="continuous"/>
          <w:pgSz w:w="12240" w:h="15840"/>
          <w:pgMar w:top="880" w:right="780" w:bottom="280" w:left="740" w:header="627" w:footer="0" w:gutter="0"/>
          <w:cols w:num="3" w:space="720" w:equalWidth="0">
            <w:col w:w="909" w:space="2631"/>
            <w:col w:w="2998" w:space="542"/>
            <w:col w:w="3640"/>
          </w:cols>
        </w:sectPr>
      </w:pPr>
    </w:p>
    <w:p w14:paraId="6D766008" w14:textId="77777777" w:rsidR="00D67C1E" w:rsidRPr="00283806" w:rsidRDefault="001265CA">
      <w:pPr>
        <w:pStyle w:val="BodyText"/>
        <w:spacing w:before="136" w:line="225" w:lineRule="auto"/>
        <w:ind w:right="48"/>
      </w:pPr>
      <w:r w:rsidRPr="00283806">
        <w:rPr>
          <w:w w:val="105"/>
        </w:rPr>
        <w:lastRenderedPageBreak/>
        <w:t>areas</w:t>
      </w:r>
      <w:r w:rsidRPr="00283806">
        <w:rPr>
          <w:spacing w:val="-1"/>
          <w:w w:val="105"/>
        </w:rPr>
        <w:t xml:space="preserve"> </w:t>
      </w:r>
      <w:r w:rsidRPr="00283806">
        <w:rPr>
          <w:w w:val="105"/>
        </w:rPr>
        <w:t>with</w:t>
      </w:r>
      <w:r w:rsidRPr="00283806">
        <w:rPr>
          <w:spacing w:val="-1"/>
          <w:w w:val="105"/>
        </w:rPr>
        <w:t xml:space="preserve"> </w:t>
      </w:r>
      <w:r w:rsidRPr="00283806">
        <w:rPr>
          <w:w w:val="105"/>
        </w:rPr>
        <w:t>the</w:t>
      </w:r>
      <w:r w:rsidRPr="00283806">
        <w:rPr>
          <w:spacing w:val="-1"/>
          <w:w w:val="105"/>
        </w:rPr>
        <w:t xml:space="preserve"> </w:t>
      </w:r>
      <w:r w:rsidRPr="00283806">
        <w:rPr>
          <w:w w:val="105"/>
        </w:rPr>
        <w:t>worst</w:t>
      </w:r>
      <w:r w:rsidRPr="00283806">
        <w:rPr>
          <w:spacing w:val="-1"/>
          <w:w w:val="105"/>
        </w:rPr>
        <w:t xml:space="preserve"> </w:t>
      </w:r>
      <w:r w:rsidRPr="00283806">
        <w:rPr>
          <w:w w:val="105"/>
        </w:rPr>
        <w:t>tropospheric</w:t>
      </w:r>
      <w:r w:rsidRPr="00283806">
        <w:rPr>
          <w:spacing w:val="-1"/>
          <w:w w:val="105"/>
        </w:rPr>
        <w:t xml:space="preserve"> </w:t>
      </w:r>
      <w:r w:rsidRPr="00283806">
        <w:rPr>
          <w:w w:val="105"/>
        </w:rPr>
        <w:t xml:space="preserve">ozone </w:t>
      </w:r>
      <w:proofErr w:type="gramStart"/>
      <w:r w:rsidRPr="00283806">
        <w:rPr>
          <w:w w:val="105"/>
        </w:rPr>
        <w:t>problems, and</w:t>
      </w:r>
      <w:proofErr w:type="gramEnd"/>
      <w:r w:rsidRPr="00283806">
        <w:rPr>
          <w:w w:val="105"/>
        </w:rPr>
        <w:t xml:space="preserve"> thereby increase the risk of adverse effects on public health (74</w:t>
      </w:r>
      <w:r w:rsidRPr="00283806">
        <w:rPr>
          <w:spacing w:val="40"/>
          <w:w w:val="105"/>
        </w:rPr>
        <w:t xml:space="preserve"> </w:t>
      </w:r>
      <w:r w:rsidRPr="00283806">
        <w:rPr>
          <w:w w:val="105"/>
        </w:rPr>
        <w:t>FR 66525, December 15, 2009). Climate change is also expected to cause more intense hurricanes and more frequent and intense storms of other types and heavy precipitation, with impacts on other areas of public health, such as the potential for increased deaths, injuries, infectious and waterborne diseases, and stress-related disorders (74 FR 66525,</w:t>
      </w:r>
    </w:p>
    <w:p w14:paraId="714EFDAD" w14:textId="77777777" w:rsidR="00D67C1E" w:rsidRPr="00283806" w:rsidRDefault="001265CA">
      <w:pPr>
        <w:pStyle w:val="BodyText"/>
        <w:spacing w:line="225" w:lineRule="auto"/>
      </w:pPr>
      <w:r w:rsidRPr="00283806">
        <w:rPr>
          <w:w w:val="105"/>
        </w:rPr>
        <w:t>December 15, 2009). Children, elderly people, and poor people are among the most vulnerable to these climate-related health effects (74 FR 66498, December</w:t>
      </w:r>
    </w:p>
    <w:p w14:paraId="7E66CFE7" w14:textId="77777777" w:rsidR="00D67C1E" w:rsidRPr="00283806" w:rsidRDefault="001265CA">
      <w:pPr>
        <w:pStyle w:val="BodyText"/>
        <w:spacing w:line="186" w:lineRule="exact"/>
      </w:pPr>
      <w:r w:rsidRPr="00283806">
        <w:rPr>
          <w:w w:val="105"/>
        </w:rPr>
        <w:t>15,</w:t>
      </w:r>
      <w:r w:rsidRPr="00283806">
        <w:rPr>
          <w:spacing w:val="7"/>
          <w:w w:val="105"/>
        </w:rPr>
        <w:t xml:space="preserve"> </w:t>
      </w:r>
      <w:r w:rsidRPr="00283806">
        <w:rPr>
          <w:spacing w:val="-2"/>
          <w:w w:val="105"/>
        </w:rPr>
        <w:t>2009).</w:t>
      </w:r>
    </w:p>
    <w:p w14:paraId="4942CD13" w14:textId="77777777" w:rsidR="00D67C1E" w:rsidRPr="00283806" w:rsidRDefault="001265CA">
      <w:pPr>
        <w:pStyle w:val="BodyText"/>
        <w:spacing w:line="225" w:lineRule="auto"/>
        <w:ind w:left="159" w:firstLine="180"/>
      </w:pPr>
      <w:r w:rsidRPr="00283806">
        <w:rPr>
          <w:w w:val="105"/>
        </w:rPr>
        <w:t>The 2009 Endangerment Finding also documented,</w:t>
      </w:r>
      <w:r w:rsidRPr="00283806">
        <w:rPr>
          <w:spacing w:val="40"/>
          <w:w w:val="105"/>
        </w:rPr>
        <w:t xml:space="preserve"> </w:t>
      </w:r>
      <w:r w:rsidRPr="00283806">
        <w:rPr>
          <w:w w:val="105"/>
        </w:rPr>
        <w:t>together</w:t>
      </w:r>
      <w:r w:rsidRPr="00283806">
        <w:rPr>
          <w:spacing w:val="40"/>
          <w:w w:val="105"/>
        </w:rPr>
        <w:t xml:space="preserve"> </w:t>
      </w:r>
      <w:r w:rsidRPr="00283806">
        <w:rPr>
          <w:w w:val="105"/>
        </w:rPr>
        <w:t>with</w:t>
      </w:r>
      <w:r w:rsidRPr="00283806">
        <w:rPr>
          <w:spacing w:val="40"/>
          <w:w w:val="105"/>
        </w:rPr>
        <w:t xml:space="preserve"> </w:t>
      </w:r>
      <w:r w:rsidRPr="00283806">
        <w:rPr>
          <w:w w:val="105"/>
        </w:rPr>
        <w:t>the extensive scientific and technical evidence in the supporting record, that climate change touches nearly every aspect of public welfare</w:t>
      </w:r>
      <w:r w:rsidRPr="00283806">
        <w:rPr>
          <w:spacing w:val="-1"/>
          <w:w w:val="105"/>
        </w:rPr>
        <w:t xml:space="preserve"> </w:t>
      </w:r>
      <w:r w:rsidRPr="00283806">
        <w:rPr>
          <w:w w:val="105"/>
          <w:position w:val="5"/>
          <w:sz w:val="11"/>
        </w:rPr>
        <w:t>28</w:t>
      </w:r>
      <w:r w:rsidRPr="00283806">
        <w:rPr>
          <w:spacing w:val="40"/>
          <w:w w:val="105"/>
          <w:position w:val="5"/>
          <w:sz w:val="11"/>
        </w:rPr>
        <w:t xml:space="preserve"> </w:t>
      </w:r>
      <w:r w:rsidRPr="00283806">
        <w:rPr>
          <w:w w:val="105"/>
        </w:rPr>
        <w:t>in the United States, including changes in water</w:t>
      </w:r>
      <w:r w:rsidRPr="00283806">
        <w:rPr>
          <w:spacing w:val="80"/>
          <w:w w:val="150"/>
        </w:rPr>
        <w:t xml:space="preserve"> </w:t>
      </w:r>
      <w:r w:rsidRPr="00283806">
        <w:rPr>
          <w:w w:val="105"/>
        </w:rPr>
        <w:t>supply and quality due to increased frequency of drought and extreme</w:t>
      </w:r>
      <w:r w:rsidRPr="00283806">
        <w:rPr>
          <w:spacing w:val="40"/>
          <w:w w:val="105"/>
        </w:rPr>
        <w:t xml:space="preserve"> </w:t>
      </w:r>
      <w:r w:rsidRPr="00283806">
        <w:rPr>
          <w:w w:val="105"/>
        </w:rPr>
        <w:t>rainfall events; increased risk of storm surge and flooding in coastal areas and land loss due to inundation; increases in peak electricity demand and risks to electricity infrastructure; predominantly negative consequences for biodiversity and the provisioning of ecosystem goods and services; and the potential for significant agricultural disruptions and crop failures (though offset to some extent by carbon fertilization). These impacts are also global and may exacerbate problems outside the United States that raise humanitarian, trade,</w:t>
      </w:r>
      <w:r w:rsidRPr="00283806">
        <w:rPr>
          <w:spacing w:val="80"/>
          <w:w w:val="105"/>
        </w:rPr>
        <w:t xml:space="preserve"> </w:t>
      </w:r>
      <w:r w:rsidRPr="00283806">
        <w:rPr>
          <w:w w:val="105"/>
        </w:rPr>
        <w:t>and national security issues for the</w:t>
      </w:r>
      <w:r w:rsidRPr="00283806">
        <w:rPr>
          <w:spacing w:val="40"/>
          <w:w w:val="105"/>
        </w:rPr>
        <w:t xml:space="preserve"> </w:t>
      </w:r>
      <w:r w:rsidRPr="00283806">
        <w:rPr>
          <w:w w:val="105"/>
        </w:rPr>
        <w:t>United States (74 FR 66530, December</w:t>
      </w:r>
    </w:p>
    <w:p w14:paraId="22C22AFF" w14:textId="77777777" w:rsidR="00D67C1E" w:rsidRPr="00283806" w:rsidRDefault="001265CA">
      <w:pPr>
        <w:pStyle w:val="BodyText"/>
        <w:spacing w:line="197" w:lineRule="exact"/>
        <w:ind w:left="159"/>
      </w:pPr>
      <w:r w:rsidRPr="00283806">
        <w:rPr>
          <w:w w:val="105"/>
        </w:rPr>
        <w:t>15,</w:t>
      </w:r>
      <w:r w:rsidRPr="00283806">
        <w:rPr>
          <w:spacing w:val="7"/>
          <w:w w:val="105"/>
        </w:rPr>
        <w:t xml:space="preserve"> </w:t>
      </w:r>
      <w:r w:rsidRPr="00283806">
        <w:rPr>
          <w:spacing w:val="-2"/>
          <w:w w:val="105"/>
        </w:rPr>
        <w:t>2009).</w:t>
      </w:r>
    </w:p>
    <w:p w14:paraId="0DF82AFE" w14:textId="77777777" w:rsidR="00D67C1E" w:rsidRPr="00283806" w:rsidRDefault="001265CA">
      <w:pPr>
        <w:pStyle w:val="BodyText"/>
        <w:spacing w:line="228" w:lineRule="auto"/>
        <w:ind w:left="159" w:firstLine="180"/>
      </w:pPr>
      <w:r w:rsidRPr="00283806">
        <w:rPr>
          <w:w w:val="105"/>
        </w:rPr>
        <w:t>In 2016, the Administrator similarly issued Endangerment and Cause or Contribute Findings for GHG emissions from aircraft under CAA section 231(a)(2)(A) (81 FR 54422, August 15,</w:t>
      </w:r>
    </w:p>
    <w:p w14:paraId="04960827" w14:textId="77777777" w:rsidR="00D67C1E" w:rsidRPr="00283806" w:rsidRDefault="001265CA">
      <w:pPr>
        <w:pStyle w:val="BodyText"/>
        <w:spacing w:line="147" w:lineRule="exact"/>
        <w:ind w:left="159"/>
      </w:pPr>
      <w:r w:rsidRPr="00283806">
        <w:rPr>
          <w:w w:val="105"/>
        </w:rPr>
        <w:t>2016).</w:t>
      </w:r>
      <w:r w:rsidRPr="00283806">
        <w:rPr>
          <w:w w:val="105"/>
          <w:position w:val="5"/>
          <w:sz w:val="11"/>
        </w:rPr>
        <w:t>29</w:t>
      </w:r>
      <w:r w:rsidRPr="00283806">
        <w:rPr>
          <w:spacing w:val="19"/>
          <w:w w:val="105"/>
          <w:position w:val="5"/>
          <w:sz w:val="11"/>
        </w:rPr>
        <w:t xml:space="preserve"> </w:t>
      </w:r>
      <w:r w:rsidRPr="00283806">
        <w:rPr>
          <w:w w:val="105"/>
        </w:rPr>
        <w:t>In</w:t>
      </w:r>
      <w:r w:rsidRPr="00283806">
        <w:rPr>
          <w:spacing w:val="3"/>
          <w:w w:val="105"/>
        </w:rPr>
        <w:t xml:space="preserve"> </w:t>
      </w:r>
      <w:proofErr w:type="gramStart"/>
      <w:r w:rsidRPr="00283806">
        <w:rPr>
          <w:w w:val="105"/>
        </w:rPr>
        <w:t>the</w:t>
      </w:r>
      <w:r w:rsidRPr="00283806">
        <w:rPr>
          <w:spacing w:val="4"/>
          <w:w w:val="105"/>
        </w:rPr>
        <w:t xml:space="preserve"> </w:t>
      </w:r>
      <w:r w:rsidRPr="00283806">
        <w:rPr>
          <w:w w:val="105"/>
        </w:rPr>
        <w:t>2016</w:t>
      </w:r>
      <w:proofErr w:type="gramEnd"/>
      <w:r w:rsidRPr="00283806">
        <w:rPr>
          <w:spacing w:val="3"/>
          <w:w w:val="105"/>
        </w:rPr>
        <w:t xml:space="preserve"> </w:t>
      </w:r>
      <w:r w:rsidRPr="00283806">
        <w:rPr>
          <w:spacing w:val="-2"/>
          <w:w w:val="105"/>
        </w:rPr>
        <w:t>Endangerment</w:t>
      </w:r>
    </w:p>
    <w:p w14:paraId="0AC36449" w14:textId="77777777" w:rsidR="00D67C1E" w:rsidRPr="00283806" w:rsidRDefault="001265CA">
      <w:pPr>
        <w:pStyle w:val="BodyText"/>
        <w:spacing w:before="136" w:line="225" w:lineRule="auto"/>
        <w:ind w:left="143" w:right="51"/>
      </w:pPr>
      <w:r w:rsidRPr="00283806">
        <w:br w:type="column"/>
      </w:r>
      <w:r w:rsidRPr="00283806">
        <w:rPr>
          <w:w w:val="105"/>
        </w:rPr>
        <w:t>Endangerment Findings ‘‘strengthen and further support the judgment that GHGs in the atmosphere may reasonably be anticipated to endanger the public</w:t>
      </w:r>
      <w:r w:rsidRPr="00283806">
        <w:rPr>
          <w:spacing w:val="80"/>
          <w:w w:val="150"/>
        </w:rPr>
        <w:t xml:space="preserve"> </w:t>
      </w:r>
      <w:r w:rsidRPr="00283806">
        <w:rPr>
          <w:w w:val="105"/>
        </w:rPr>
        <w:t>health and welfare of current and future generations’’ (81 FR 54424, August 15,</w:t>
      </w:r>
    </w:p>
    <w:p w14:paraId="04EB0D21" w14:textId="77777777" w:rsidR="00D67C1E" w:rsidRPr="00283806" w:rsidRDefault="001265CA">
      <w:pPr>
        <w:pStyle w:val="BodyText"/>
        <w:spacing w:line="185" w:lineRule="exact"/>
        <w:ind w:left="143"/>
      </w:pPr>
      <w:r w:rsidRPr="00283806">
        <w:rPr>
          <w:spacing w:val="-2"/>
        </w:rPr>
        <w:t>2016).</w:t>
      </w:r>
    </w:p>
    <w:p w14:paraId="48635ED7" w14:textId="77777777" w:rsidR="00D67C1E" w:rsidRPr="00283806" w:rsidRDefault="001265CA">
      <w:pPr>
        <w:pStyle w:val="BodyText"/>
        <w:spacing w:line="225" w:lineRule="auto"/>
        <w:ind w:left="143" w:right="82" w:firstLine="180"/>
      </w:pPr>
      <w:r w:rsidRPr="00283806">
        <w:rPr>
          <w:w w:val="105"/>
        </w:rPr>
        <w:t>Since the 2016 Endangerment</w:t>
      </w:r>
      <w:r w:rsidRPr="00283806">
        <w:rPr>
          <w:spacing w:val="80"/>
          <w:w w:val="105"/>
        </w:rPr>
        <w:t xml:space="preserve"> </w:t>
      </w:r>
      <w:r w:rsidRPr="00283806">
        <w:rPr>
          <w:w w:val="105"/>
        </w:rPr>
        <w:t>Finding, the climate has continued to change, with new records being set for several climate indicators such as global average surface temperatures, GHG concentrations, and sea level rise.</w:t>
      </w:r>
    </w:p>
    <w:p w14:paraId="273A2C42" w14:textId="77777777" w:rsidR="00D67C1E" w:rsidRPr="00283806" w:rsidRDefault="001265CA">
      <w:pPr>
        <w:pStyle w:val="BodyText"/>
        <w:spacing w:line="225" w:lineRule="auto"/>
        <w:ind w:left="143" w:right="39"/>
        <w:rPr>
          <w:rFonts w:ascii="Times New Roman" w:hAnsi="Times New Roman"/>
          <w:sz w:val="11"/>
        </w:rPr>
      </w:pPr>
      <w:r w:rsidRPr="00283806">
        <w:rPr>
          <w:w w:val="105"/>
        </w:rPr>
        <w:t>Moreover, heavy precipitation events have increased in the Eastern United States, while agricultural and ecological drought has increased in the Western United States, along with more intense and larger wildfires.</w:t>
      </w:r>
      <w:r w:rsidRPr="00283806">
        <w:rPr>
          <w:w w:val="105"/>
          <w:position w:val="5"/>
          <w:sz w:val="11"/>
        </w:rPr>
        <w:t>30</w:t>
      </w:r>
      <w:r w:rsidRPr="00283806">
        <w:rPr>
          <w:spacing w:val="40"/>
          <w:w w:val="105"/>
          <w:position w:val="5"/>
          <w:sz w:val="11"/>
        </w:rPr>
        <w:t xml:space="preserve"> </w:t>
      </w:r>
      <w:r w:rsidRPr="00283806">
        <w:rPr>
          <w:w w:val="105"/>
        </w:rPr>
        <w:t>These and other trends are examples of the risks</w:t>
      </w:r>
      <w:r w:rsidRPr="00283806">
        <w:rPr>
          <w:spacing w:val="40"/>
          <w:w w:val="105"/>
        </w:rPr>
        <w:t xml:space="preserve"> </w:t>
      </w:r>
      <w:r w:rsidRPr="00283806">
        <w:rPr>
          <w:w w:val="105"/>
        </w:rPr>
        <w:t>discussed in the 2009 and 2016 Endangerment Findings that have</w:t>
      </w:r>
      <w:r w:rsidRPr="00283806">
        <w:rPr>
          <w:spacing w:val="40"/>
          <w:w w:val="105"/>
        </w:rPr>
        <w:t xml:space="preserve"> </w:t>
      </w:r>
      <w:r w:rsidRPr="00283806">
        <w:rPr>
          <w:w w:val="105"/>
        </w:rPr>
        <w:t>already been experienced. Additionally, major scientific assessments continue to demonstrate advances in our understanding of the climate system and the impacts that GHGs have on public health and welfare both for current and future generations. According to the Intergovernmental Panel on Climate Change’s (IPCC) Sixth Assessment</w:t>
      </w:r>
      <w:r w:rsidRPr="00283806">
        <w:rPr>
          <w:spacing w:val="40"/>
          <w:w w:val="105"/>
        </w:rPr>
        <w:t xml:space="preserve"> </w:t>
      </w:r>
      <w:r w:rsidRPr="00283806">
        <w:rPr>
          <w:w w:val="105"/>
        </w:rPr>
        <w:t xml:space="preserve">Report, ‘‘it is unequivocal that human influence has warmed the atmosphere, ocean and land. Widespread and rapid changes in the atmosphere, ocean, cryosphere and biosphere have occurred.’’ </w:t>
      </w:r>
      <w:r w:rsidRPr="00283806">
        <w:rPr>
          <w:w w:val="105"/>
          <w:position w:val="5"/>
          <w:sz w:val="11"/>
        </w:rPr>
        <w:t>31</w:t>
      </w:r>
      <w:r w:rsidRPr="00283806">
        <w:rPr>
          <w:spacing w:val="40"/>
          <w:w w:val="105"/>
          <w:position w:val="5"/>
          <w:sz w:val="11"/>
        </w:rPr>
        <w:t xml:space="preserve"> </w:t>
      </w:r>
      <w:r w:rsidRPr="00283806">
        <w:rPr>
          <w:w w:val="105"/>
        </w:rPr>
        <w:t>These updated</w:t>
      </w:r>
      <w:r w:rsidRPr="00283806">
        <w:rPr>
          <w:spacing w:val="40"/>
          <w:w w:val="105"/>
        </w:rPr>
        <w:t xml:space="preserve"> </w:t>
      </w:r>
      <w:r w:rsidRPr="00283806">
        <w:rPr>
          <w:w w:val="105"/>
        </w:rPr>
        <w:t>observations and projections document the rapid rate of current and future climate change both globally and in the United States.</w:t>
      </w:r>
      <w:r w:rsidRPr="00283806">
        <w:rPr>
          <w:rFonts w:ascii="Times New Roman" w:hAnsi="Times New Roman"/>
          <w:w w:val="105"/>
          <w:position w:val="4"/>
          <w:sz w:val="11"/>
        </w:rPr>
        <w:t>32 33</w:t>
      </w:r>
    </w:p>
    <w:p w14:paraId="7DC0A4C2" w14:textId="77777777" w:rsidR="00D67C1E" w:rsidRPr="00283806" w:rsidRDefault="001265CA">
      <w:pPr>
        <w:pStyle w:val="ListParagraph"/>
        <w:numPr>
          <w:ilvl w:val="1"/>
          <w:numId w:val="64"/>
        </w:numPr>
        <w:tabs>
          <w:tab w:val="left" w:pos="362"/>
        </w:tabs>
        <w:spacing w:before="94" w:line="220" w:lineRule="auto"/>
        <w:ind w:left="143" w:right="11" w:firstLine="0"/>
        <w:jc w:val="both"/>
        <w:rPr>
          <w:rFonts w:ascii="Book Antiqua"/>
          <w:i/>
          <w:sz w:val="18"/>
        </w:rPr>
      </w:pPr>
      <w:r w:rsidRPr="00283806">
        <w:rPr>
          <w:rFonts w:ascii="Book Antiqua"/>
          <w:i/>
          <w:w w:val="110"/>
          <w:sz w:val="18"/>
        </w:rPr>
        <w:t xml:space="preserve">What regulatory programs addressing refrigerants </w:t>
      </w:r>
      <w:proofErr w:type="gramStart"/>
      <w:r w:rsidRPr="00283806">
        <w:rPr>
          <w:rFonts w:ascii="Book Antiqua"/>
          <w:i/>
          <w:w w:val="110"/>
          <w:sz w:val="18"/>
        </w:rPr>
        <w:t>has</w:t>
      </w:r>
      <w:proofErr w:type="gramEnd"/>
      <w:r w:rsidRPr="00283806">
        <w:rPr>
          <w:rFonts w:ascii="Book Antiqua"/>
          <w:i/>
          <w:w w:val="110"/>
          <w:sz w:val="18"/>
        </w:rPr>
        <w:t xml:space="preserve"> EPA already established under the Clean Air Act?</w:t>
      </w:r>
    </w:p>
    <w:p w14:paraId="627D9CF0" w14:textId="77777777" w:rsidR="00D67C1E" w:rsidRPr="00283806" w:rsidRDefault="001265CA">
      <w:pPr>
        <w:pStyle w:val="BodyText"/>
        <w:spacing w:before="43" w:line="228" w:lineRule="auto"/>
        <w:ind w:left="143" w:firstLine="180"/>
      </w:pPr>
      <w:r w:rsidRPr="00283806">
        <w:rPr>
          <w:w w:val="105"/>
        </w:rPr>
        <w:t>EPA is issuing regulations that are designed to establish a comprehensive HFC management program that serves purposes including maximizing HFC</w:t>
      </w:r>
    </w:p>
    <w:p w14:paraId="07FA83C6" w14:textId="77777777" w:rsidR="00D67C1E" w:rsidRPr="00283806" w:rsidRDefault="001265CA">
      <w:pPr>
        <w:pStyle w:val="BodyText"/>
        <w:spacing w:before="136" w:line="225" w:lineRule="auto"/>
        <w:ind w:left="142" w:right="176"/>
      </w:pPr>
      <w:r w:rsidRPr="00283806">
        <w:br w:type="column"/>
      </w:r>
      <w:r w:rsidRPr="00283806">
        <w:rPr>
          <w:w w:val="105"/>
        </w:rPr>
        <w:t>reclamation and minimizing the release of HFCs from equipment while coordinating these efforts with other similar programs where appropriate.</w:t>
      </w:r>
    </w:p>
    <w:p w14:paraId="309DFB94" w14:textId="77777777" w:rsidR="00D67C1E" w:rsidRPr="00283806" w:rsidRDefault="001265CA">
      <w:pPr>
        <w:pStyle w:val="BodyText"/>
        <w:spacing w:line="225" w:lineRule="auto"/>
        <w:ind w:left="142" w:right="161"/>
      </w:pPr>
      <w:r w:rsidRPr="00283806">
        <w:rPr>
          <w:w w:val="105"/>
        </w:rPr>
        <w:t>EPA</w:t>
      </w:r>
      <w:r w:rsidRPr="00283806">
        <w:rPr>
          <w:spacing w:val="40"/>
          <w:w w:val="105"/>
        </w:rPr>
        <w:t xml:space="preserve"> </w:t>
      </w:r>
      <w:r w:rsidRPr="00283806">
        <w:rPr>
          <w:w w:val="105"/>
        </w:rPr>
        <w:t>has</w:t>
      </w:r>
      <w:r w:rsidRPr="00283806">
        <w:rPr>
          <w:spacing w:val="40"/>
          <w:w w:val="105"/>
        </w:rPr>
        <w:t xml:space="preserve"> </w:t>
      </w:r>
      <w:r w:rsidRPr="00283806">
        <w:rPr>
          <w:w w:val="105"/>
        </w:rPr>
        <w:t>an</w:t>
      </w:r>
      <w:r w:rsidRPr="00283806">
        <w:rPr>
          <w:spacing w:val="40"/>
          <w:w w:val="105"/>
        </w:rPr>
        <w:t xml:space="preserve"> </w:t>
      </w:r>
      <w:r w:rsidRPr="00283806">
        <w:rPr>
          <w:w w:val="105"/>
        </w:rPr>
        <w:t>extensive</w:t>
      </w:r>
      <w:r w:rsidRPr="00283806">
        <w:rPr>
          <w:spacing w:val="40"/>
          <w:w w:val="105"/>
        </w:rPr>
        <w:t xml:space="preserve"> </w:t>
      </w:r>
      <w:r w:rsidRPr="00283806">
        <w:rPr>
          <w:w w:val="105"/>
        </w:rPr>
        <w:t>history</w:t>
      </w:r>
      <w:r w:rsidRPr="00283806">
        <w:rPr>
          <w:spacing w:val="40"/>
          <w:w w:val="105"/>
        </w:rPr>
        <w:t xml:space="preserve"> </w:t>
      </w:r>
      <w:r w:rsidRPr="00283806">
        <w:rPr>
          <w:w w:val="105"/>
        </w:rPr>
        <w:t>under CAA Title VI regulating the sectors in which</w:t>
      </w:r>
      <w:r w:rsidRPr="00283806">
        <w:rPr>
          <w:spacing w:val="40"/>
          <w:w w:val="105"/>
        </w:rPr>
        <w:t xml:space="preserve"> </w:t>
      </w:r>
      <w:r w:rsidRPr="00283806">
        <w:rPr>
          <w:w w:val="105"/>
        </w:rPr>
        <w:t>HFCs</w:t>
      </w:r>
      <w:r w:rsidRPr="00283806">
        <w:rPr>
          <w:spacing w:val="40"/>
          <w:w w:val="105"/>
        </w:rPr>
        <w:t xml:space="preserve"> </w:t>
      </w:r>
      <w:r w:rsidRPr="00283806">
        <w:rPr>
          <w:w w:val="105"/>
        </w:rPr>
        <w:t>and</w:t>
      </w:r>
      <w:r w:rsidRPr="00283806">
        <w:rPr>
          <w:spacing w:val="40"/>
          <w:w w:val="105"/>
        </w:rPr>
        <w:t xml:space="preserve"> </w:t>
      </w:r>
      <w:r w:rsidRPr="00283806">
        <w:rPr>
          <w:w w:val="105"/>
        </w:rPr>
        <w:t>substitutes</w:t>
      </w:r>
      <w:r w:rsidRPr="00283806">
        <w:rPr>
          <w:spacing w:val="40"/>
          <w:w w:val="105"/>
        </w:rPr>
        <w:t xml:space="preserve"> </w:t>
      </w:r>
      <w:r w:rsidRPr="00283806">
        <w:rPr>
          <w:w w:val="105"/>
        </w:rPr>
        <w:t>are typically used, including where they are used as refrigerants and for other purposes. For example, EPA has regulated</w:t>
      </w:r>
      <w:r w:rsidRPr="00283806">
        <w:rPr>
          <w:spacing w:val="-7"/>
          <w:w w:val="105"/>
        </w:rPr>
        <w:t xml:space="preserve"> </w:t>
      </w:r>
      <w:r w:rsidRPr="00283806">
        <w:rPr>
          <w:w w:val="105"/>
        </w:rPr>
        <w:t>stationary</w:t>
      </w:r>
      <w:r w:rsidRPr="00283806">
        <w:rPr>
          <w:spacing w:val="-7"/>
          <w:w w:val="105"/>
        </w:rPr>
        <w:t xml:space="preserve"> </w:t>
      </w:r>
      <w:r w:rsidRPr="00283806">
        <w:rPr>
          <w:w w:val="105"/>
        </w:rPr>
        <w:t>refrigeration</w:t>
      </w:r>
      <w:r w:rsidRPr="00283806">
        <w:rPr>
          <w:spacing w:val="-7"/>
          <w:w w:val="105"/>
        </w:rPr>
        <w:t xml:space="preserve"> </w:t>
      </w:r>
      <w:r w:rsidRPr="00283806">
        <w:rPr>
          <w:w w:val="105"/>
        </w:rPr>
        <w:t>and</w:t>
      </w:r>
      <w:r w:rsidRPr="00283806">
        <w:rPr>
          <w:spacing w:val="-7"/>
          <w:w w:val="105"/>
        </w:rPr>
        <w:t xml:space="preserve"> </w:t>
      </w:r>
      <w:r w:rsidRPr="00283806">
        <w:rPr>
          <w:w w:val="105"/>
        </w:rPr>
        <w:t>air conditioning applications under CAA section 608, as well as MVACs under</w:t>
      </w:r>
      <w:r w:rsidRPr="00283806">
        <w:rPr>
          <w:spacing w:val="80"/>
          <w:w w:val="105"/>
        </w:rPr>
        <w:t xml:space="preserve"> </w:t>
      </w:r>
      <w:r w:rsidRPr="00283806">
        <w:rPr>
          <w:w w:val="105"/>
        </w:rPr>
        <w:t>CAA section 609, and has evaluated alternative substances for refrigeration, air conditioning, and other uses under</w:t>
      </w:r>
      <w:r w:rsidRPr="00283806">
        <w:rPr>
          <w:spacing w:val="40"/>
          <w:w w:val="105"/>
        </w:rPr>
        <w:t xml:space="preserve"> </w:t>
      </w:r>
      <w:r w:rsidRPr="00283806">
        <w:rPr>
          <w:w w:val="105"/>
        </w:rPr>
        <w:t>the Significant New Alternatives Policy (SNAP)</w:t>
      </w:r>
      <w:r w:rsidRPr="00283806">
        <w:rPr>
          <w:spacing w:val="40"/>
          <w:w w:val="105"/>
        </w:rPr>
        <w:t xml:space="preserve"> </w:t>
      </w:r>
      <w:r w:rsidRPr="00283806">
        <w:rPr>
          <w:w w:val="105"/>
        </w:rPr>
        <w:t>program</w:t>
      </w:r>
      <w:r w:rsidRPr="00283806">
        <w:rPr>
          <w:spacing w:val="40"/>
          <w:w w:val="105"/>
        </w:rPr>
        <w:t xml:space="preserve"> </w:t>
      </w:r>
      <w:r w:rsidRPr="00283806">
        <w:rPr>
          <w:w w:val="105"/>
        </w:rPr>
        <w:t>under</w:t>
      </w:r>
      <w:r w:rsidRPr="00283806">
        <w:rPr>
          <w:spacing w:val="40"/>
          <w:w w:val="105"/>
        </w:rPr>
        <w:t xml:space="preserve"> </w:t>
      </w:r>
      <w:r w:rsidRPr="00283806">
        <w:rPr>
          <w:w w:val="105"/>
        </w:rPr>
        <w:t>CAA</w:t>
      </w:r>
      <w:r w:rsidRPr="00283806">
        <w:rPr>
          <w:spacing w:val="40"/>
          <w:w w:val="105"/>
        </w:rPr>
        <w:t xml:space="preserve"> </w:t>
      </w:r>
      <w:r w:rsidRPr="00283806">
        <w:rPr>
          <w:w w:val="105"/>
        </w:rPr>
        <w:t xml:space="preserve">section </w:t>
      </w:r>
      <w:r w:rsidRPr="00283806">
        <w:rPr>
          <w:spacing w:val="-4"/>
          <w:w w:val="105"/>
        </w:rPr>
        <w:t>612.</w:t>
      </w:r>
    </w:p>
    <w:p w14:paraId="37C91C88" w14:textId="77777777" w:rsidR="00D67C1E" w:rsidRPr="00283806" w:rsidRDefault="001265CA">
      <w:pPr>
        <w:pStyle w:val="ListParagraph"/>
        <w:numPr>
          <w:ilvl w:val="0"/>
          <w:numId w:val="63"/>
        </w:numPr>
        <w:tabs>
          <w:tab w:val="left" w:pos="340"/>
        </w:tabs>
        <w:spacing w:before="91" w:line="225" w:lineRule="auto"/>
        <w:ind w:left="142" w:right="300" w:firstLine="0"/>
        <w:rPr>
          <w:sz w:val="18"/>
        </w:rPr>
      </w:pPr>
      <w:r w:rsidRPr="00283806">
        <w:rPr>
          <w:w w:val="110"/>
          <w:sz w:val="18"/>
        </w:rPr>
        <w:t xml:space="preserve">National Recycling and Emission </w:t>
      </w:r>
      <w:r w:rsidRPr="00283806">
        <w:rPr>
          <w:spacing w:val="-2"/>
          <w:w w:val="110"/>
          <w:sz w:val="18"/>
        </w:rPr>
        <w:t>Reduction</w:t>
      </w:r>
      <w:r w:rsidRPr="00283806">
        <w:rPr>
          <w:spacing w:val="-9"/>
          <w:w w:val="110"/>
          <w:sz w:val="18"/>
        </w:rPr>
        <w:t xml:space="preserve"> </w:t>
      </w:r>
      <w:r w:rsidRPr="00283806">
        <w:rPr>
          <w:spacing w:val="-2"/>
          <w:w w:val="110"/>
          <w:sz w:val="18"/>
        </w:rPr>
        <w:t>Program</w:t>
      </w:r>
      <w:r w:rsidRPr="00283806">
        <w:rPr>
          <w:spacing w:val="-9"/>
          <w:w w:val="110"/>
          <w:sz w:val="18"/>
        </w:rPr>
        <w:t xml:space="preserve"> </w:t>
      </w:r>
      <w:r w:rsidRPr="00283806">
        <w:rPr>
          <w:spacing w:val="-2"/>
          <w:w w:val="110"/>
          <w:sz w:val="18"/>
        </w:rPr>
        <w:t>(CAA</w:t>
      </w:r>
      <w:r w:rsidRPr="00283806">
        <w:rPr>
          <w:spacing w:val="-9"/>
          <w:w w:val="110"/>
          <w:sz w:val="18"/>
        </w:rPr>
        <w:t xml:space="preserve"> </w:t>
      </w:r>
      <w:r w:rsidRPr="00283806">
        <w:rPr>
          <w:spacing w:val="-2"/>
          <w:w w:val="110"/>
          <w:sz w:val="18"/>
        </w:rPr>
        <w:t>Section</w:t>
      </w:r>
      <w:r w:rsidRPr="00283806">
        <w:rPr>
          <w:spacing w:val="-9"/>
          <w:w w:val="110"/>
          <w:sz w:val="18"/>
        </w:rPr>
        <w:t xml:space="preserve"> </w:t>
      </w:r>
      <w:r w:rsidRPr="00283806">
        <w:rPr>
          <w:spacing w:val="-2"/>
          <w:w w:val="110"/>
          <w:sz w:val="18"/>
        </w:rPr>
        <w:t>608)</w:t>
      </w:r>
    </w:p>
    <w:p w14:paraId="395856FD" w14:textId="77777777" w:rsidR="00D67C1E" w:rsidRPr="00283806" w:rsidRDefault="001265CA">
      <w:pPr>
        <w:pStyle w:val="BodyText"/>
        <w:spacing w:before="65" w:line="225" w:lineRule="auto"/>
        <w:ind w:left="142" w:right="194" w:firstLine="180"/>
      </w:pPr>
      <w:r w:rsidRPr="00283806">
        <w:rPr>
          <w:w w:val="105"/>
        </w:rPr>
        <w:t>CAA section 608, titled ‘‘National Recycling and Emission Reduction Program,’’ has three main components. First, CAA section 608(a) requires EPA</w:t>
      </w:r>
      <w:r w:rsidRPr="00283806">
        <w:rPr>
          <w:spacing w:val="40"/>
          <w:w w:val="105"/>
        </w:rPr>
        <w:t xml:space="preserve"> </w:t>
      </w:r>
      <w:r w:rsidRPr="00283806">
        <w:rPr>
          <w:w w:val="105"/>
        </w:rPr>
        <w:t>to</w:t>
      </w:r>
      <w:r w:rsidRPr="00283806">
        <w:rPr>
          <w:spacing w:val="-4"/>
          <w:w w:val="105"/>
        </w:rPr>
        <w:t xml:space="preserve"> </w:t>
      </w:r>
      <w:r w:rsidRPr="00283806">
        <w:rPr>
          <w:w w:val="105"/>
        </w:rPr>
        <w:t>establish</w:t>
      </w:r>
      <w:r w:rsidRPr="00283806">
        <w:rPr>
          <w:spacing w:val="-4"/>
          <w:w w:val="105"/>
        </w:rPr>
        <w:t xml:space="preserve"> </w:t>
      </w:r>
      <w:r w:rsidRPr="00283806">
        <w:rPr>
          <w:w w:val="105"/>
        </w:rPr>
        <w:t>standards</w:t>
      </w:r>
      <w:r w:rsidRPr="00283806">
        <w:rPr>
          <w:spacing w:val="-4"/>
          <w:w w:val="105"/>
        </w:rPr>
        <w:t xml:space="preserve"> </w:t>
      </w:r>
      <w:r w:rsidRPr="00283806">
        <w:rPr>
          <w:w w:val="105"/>
        </w:rPr>
        <w:t>and</w:t>
      </w:r>
      <w:r w:rsidRPr="00283806">
        <w:rPr>
          <w:spacing w:val="-4"/>
          <w:w w:val="105"/>
        </w:rPr>
        <w:t xml:space="preserve"> </w:t>
      </w:r>
      <w:r w:rsidRPr="00283806">
        <w:rPr>
          <w:w w:val="105"/>
        </w:rPr>
        <w:t>requirements regarding the use and disposal of class</w:t>
      </w:r>
    </w:p>
    <w:p w14:paraId="0D0DE9A0" w14:textId="77777777" w:rsidR="00D67C1E" w:rsidRPr="00283806" w:rsidRDefault="001265CA">
      <w:pPr>
        <w:pStyle w:val="BodyText"/>
        <w:spacing w:line="225" w:lineRule="auto"/>
        <w:ind w:left="142" w:right="132"/>
      </w:pPr>
      <w:r w:rsidRPr="00283806">
        <w:rPr>
          <w:w w:val="110"/>
        </w:rPr>
        <w:t>I and class II substances.</w:t>
      </w:r>
      <w:r w:rsidRPr="00283806">
        <w:rPr>
          <w:w w:val="110"/>
          <w:position w:val="5"/>
          <w:sz w:val="11"/>
        </w:rPr>
        <w:t>34</w:t>
      </w:r>
      <w:r w:rsidRPr="00283806">
        <w:rPr>
          <w:spacing w:val="31"/>
          <w:w w:val="110"/>
          <w:position w:val="5"/>
          <w:sz w:val="11"/>
        </w:rPr>
        <w:t xml:space="preserve"> </w:t>
      </w:r>
      <w:r w:rsidRPr="00283806">
        <w:rPr>
          <w:w w:val="110"/>
        </w:rPr>
        <w:t>The second component, CAA section 608(b), requires that the regulations issued pursuant to subsection (a) contain requirements for the safe disposal of class</w:t>
      </w:r>
      <w:r w:rsidRPr="00283806">
        <w:rPr>
          <w:spacing w:val="-9"/>
          <w:w w:val="110"/>
        </w:rPr>
        <w:t xml:space="preserve"> </w:t>
      </w:r>
      <w:r w:rsidRPr="00283806">
        <w:rPr>
          <w:w w:val="110"/>
        </w:rPr>
        <w:t>I</w:t>
      </w:r>
      <w:r w:rsidRPr="00283806">
        <w:rPr>
          <w:spacing w:val="-9"/>
          <w:w w:val="110"/>
        </w:rPr>
        <w:t xml:space="preserve"> </w:t>
      </w:r>
      <w:r w:rsidRPr="00283806">
        <w:rPr>
          <w:w w:val="110"/>
        </w:rPr>
        <w:t>and</w:t>
      </w:r>
      <w:r w:rsidRPr="00283806">
        <w:rPr>
          <w:spacing w:val="-9"/>
          <w:w w:val="110"/>
        </w:rPr>
        <w:t xml:space="preserve"> </w:t>
      </w:r>
      <w:r w:rsidRPr="00283806">
        <w:rPr>
          <w:w w:val="110"/>
        </w:rPr>
        <w:t>class</w:t>
      </w:r>
      <w:r w:rsidRPr="00283806">
        <w:rPr>
          <w:spacing w:val="-9"/>
          <w:w w:val="110"/>
        </w:rPr>
        <w:t xml:space="preserve"> </w:t>
      </w:r>
      <w:r w:rsidRPr="00283806">
        <w:rPr>
          <w:w w:val="110"/>
        </w:rPr>
        <w:t>II</w:t>
      </w:r>
      <w:r w:rsidRPr="00283806">
        <w:rPr>
          <w:spacing w:val="-9"/>
          <w:w w:val="110"/>
        </w:rPr>
        <w:t xml:space="preserve"> </w:t>
      </w:r>
      <w:r w:rsidRPr="00283806">
        <w:rPr>
          <w:w w:val="110"/>
        </w:rPr>
        <w:t>substances.</w:t>
      </w:r>
      <w:r w:rsidRPr="00283806">
        <w:rPr>
          <w:spacing w:val="-9"/>
          <w:w w:val="110"/>
        </w:rPr>
        <w:t xml:space="preserve"> </w:t>
      </w:r>
      <w:r w:rsidRPr="00283806">
        <w:rPr>
          <w:w w:val="110"/>
        </w:rPr>
        <w:t>The</w:t>
      </w:r>
      <w:r w:rsidRPr="00283806">
        <w:rPr>
          <w:spacing w:val="-9"/>
          <w:w w:val="110"/>
        </w:rPr>
        <w:t xml:space="preserve"> </w:t>
      </w:r>
      <w:r w:rsidRPr="00283806">
        <w:rPr>
          <w:w w:val="110"/>
        </w:rPr>
        <w:t>third component, CAA section 608(c), prohibits the knowing venting, release, or disposal of ODS refrigerants</w:t>
      </w:r>
      <w:r w:rsidRPr="00283806">
        <w:rPr>
          <w:spacing w:val="-4"/>
          <w:w w:val="110"/>
        </w:rPr>
        <w:t xml:space="preserve"> </w:t>
      </w:r>
      <w:r w:rsidRPr="00283806">
        <w:rPr>
          <w:w w:val="110"/>
          <w:position w:val="5"/>
          <w:sz w:val="11"/>
        </w:rPr>
        <w:t>35</w:t>
      </w:r>
      <w:r w:rsidRPr="00283806">
        <w:rPr>
          <w:spacing w:val="38"/>
          <w:w w:val="110"/>
          <w:position w:val="5"/>
          <w:sz w:val="11"/>
        </w:rPr>
        <w:t xml:space="preserve"> </w:t>
      </w:r>
      <w:r w:rsidRPr="00283806">
        <w:rPr>
          <w:w w:val="110"/>
        </w:rPr>
        <w:t>and their substitutes</w:t>
      </w:r>
      <w:r w:rsidRPr="00283806">
        <w:rPr>
          <w:spacing w:val="-6"/>
          <w:w w:val="110"/>
        </w:rPr>
        <w:t xml:space="preserve"> </w:t>
      </w:r>
      <w:r w:rsidRPr="00283806">
        <w:rPr>
          <w:w w:val="110"/>
          <w:position w:val="5"/>
          <w:sz w:val="11"/>
        </w:rPr>
        <w:t>36</w:t>
      </w:r>
      <w:r w:rsidRPr="00283806">
        <w:rPr>
          <w:spacing w:val="35"/>
          <w:w w:val="110"/>
          <w:position w:val="5"/>
          <w:sz w:val="11"/>
        </w:rPr>
        <w:t xml:space="preserve"> </w:t>
      </w:r>
      <w:proofErr w:type="gramStart"/>
      <w:r w:rsidRPr="00283806">
        <w:rPr>
          <w:w w:val="110"/>
        </w:rPr>
        <w:t>in the course of</w:t>
      </w:r>
      <w:proofErr w:type="gramEnd"/>
      <w:r w:rsidRPr="00283806">
        <w:rPr>
          <w:w w:val="110"/>
        </w:rPr>
        <w:t xml:space="preserve"> maintaining, servicing, repairing, or disposing of appliances or industrial </w:t>
      </w:r>
      <w:r w:rsidRPr="00283806">
        <w:t>process refrigeration (IPR). EPA refers to</w:t>
      </w:r>
      <w:r w:rsidRPr="00283806">
        <w:rPr>
          <w:w w:val="110"/>
        </w:rPr>
        <w:t xml:space="preserve"> this third component as the ‘‘venting prohibition.’’ CAA section 608(c)(1) establishes the venting prohibition for ODS refrigerants effective July 1, 1992, and it includes an exemption from this prohibition </w:t>
      </w:r>
      <w:proofErr w:type="gramStart"/>
      <w:r w:rsidRPr="00283806">
        <w:rPr>
          <w:w w:val="110"/>
        </w:rPr>
        <w:t>for ‘‘[d]e</w:t>
      </w:r>
      <w:proofErr w:type="gramEnd"/>
      <w:r w:rsidRPr="00283806">
        <w:rPr>
          <w:w w:val="110"/>
        </w:rPr>
        <w:t xml:space="preserve"> minimis releases associated with good faith attempts to </w:t>
      </w:r>
      <w:r w:rsidRPr="00283806">
        <w:rPr>
          <w:spacing w:val="-2"/>
          <w:w w:val="110"/>
        </w:rPr>
        <w:t>recapture</w:t>
      </w:r>
      <w:r w:rsidRPr="00283806">
        <w:rPr>
          <w:spacing w:val="-4"/>
          <w:w w:val="110"/>
        </w:rPr>
        <w:t xml:space="preserve"> </w:t>
      </w:r>
      <w:r w:rsidRPr="00283806">
        <w:rPr>
          <w:spacing w:val="-2"/>
          <w:w w:val="110"/>
        </w:rPr>
        <w:t>and</w:t>
      </w:r>
      <w:r w:rsidRPr="00283806">
        <w:rPr>
          <w:spacing w:val="-4"/>
          <w:w w:val="110"/>
        </w:rPr>
        <w:t xml:space="preserve"> </w:t>
      </w:r>
      <w:r w:rsidRPr="00283806">
        <w:rPr>
          <w:spacing w:val="-2"/>
          <w:w w:val="110"/>
        </w:rPr>
        <w:t>recycle</w:t>
      </w:r>
      <w:r w:rsidRPr="00283806">
        <w:rPr>
          <w:spacing w:val="-4"/>
          <w:w w:val="110"/>
        </w:rPr>
        <w:t xml:space="preserve"> </w:t>
      </w:r>
      <w:r w:rsidRPr="00283806">
        <w:rPr>
          <w:spacing w:val="-2"/>
          <w:w w:val="110"/>
        </w:rPr>
        <w:t>or</w:t>
      </w:r>
      <w:r w:rsidRPr="00283806">
        <w:rPr>
          <w:spacing w:val="-4"/>
          <w:w w:val="110"/>
        </w:rPr>
        <w:t xml:space="preserve"> </w:t>
      </w:r>
      <w:r w:rsidRPr="00283806">
        <w:rPr>
          <w:spacing w:val="-2"/>
          <w:w w:val="110"/>
        </w:rPr>
        <w:t>safely</w:t>
      </w:r>
      <w:r w:rsidRPr="00283806">
        <w:rPr>
          <w:spacing w:val="-4"/>
          <w:w w:val="110"/>
        </w:rPr>
        <w:t xml:space="preserve"> </w:t>
      </w:r>
      <w:r w:rsidRPr="00283806">
        <w:rPr>
          <w:spacing w:val="-2"/>
          <w:w w:val="110"/>
        </w:rPr>
        <w:t>dispose’’</w:t>
      </w:r>
    </w:p>
    <w:p w14:paraId="69C85E10"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7" w:space="40"/>
            <w:col w:w="3502" w:space="39"/>
            <w:col w:w="3622"/>
          </w:cols>
        </w:sectPr>
      </w:pPr>
    </w:p>
    <w:p w14:paraId="46CD7BD5" w14:textId="77777777" w:rsidR="00D67C1E" w:rsidRPr="00283806" w:rsidRDefault="001265CA">
      <w:pPr>
        <w:pStyle w:val="BodyText"/>
        <w:tabs>
          <w:tab w:val="left" w:pos="3699"/>
          <w:tab w:val="left" w:pos="4699"/>
        </w:tabs>
        <w:spacing w:before="22" w:line="156" w:lineRule="exact"/>
        <w:ind w:left="159"/>
      </w:pPr>
      <w:r w:rsidRPr="00283806">
        <w:rPr>
          <w:w w:val="105"/>
        </w:rPr>
        <w:t>Finding,</w:t>
      </w:r>
      <w:r w:rsidRPr="00283806">
        <w:rPr>
          <w:spacing w:val="23"/>
          <w:w w:val="105"/>
        </w:rPr>
        <w:t xml:space="preserve"> </w:t>
      </w:r>
      <w:r w:rsidRPr="00283806">
        <w:rPr>
          <w:w w:val="105"/>
        </w:rPr>
        <w:t>the</w:t>
      </w:r>
      <w:r w:rsidRPr="00283806">
        <w:rPr>
          <w:spacing w:val="23"/>
          <w:w w:val="105"/>
        </w:rPr>
        <w:t xml:space="preserve"> </w:t>
      </w:r>
      <w:r w:rsidRPr="00283806">
        <w:rPr>
          <w:w w:val="105"/>
        </w:rPr>
        <w:t>Administrator</w:t>
      </w:r>
      <w:r w:rsidRPr="00283806">
        <w:rPr>
          <w:spacing w:val="24"/>
          <w:w w:val="105"/>
        </w:rPr>
        <w:t xml:space="preserve"> </w:t>
      </w:r>
      <w:r w:rsidRPr="00283806">
        <w:rPr>
          <w:w w:val="105"/>
        </w:rPr>
        <w:t>found</w:t>
      </w:r>
      <w:r w:rsidRPr="00283806">
        <w:rPr>
          <w:spacing w:val="23"/>
          <w:w w:val="105"/>
        </w:rPr>
        <w:t xml:space="preserve"> </w:t>
      </w:r>
      <w:r w:rsidRPr="00283806">
        <w:rPr>
          <w:spacing w:val="-4"/>
          <w:w w:val="105"/>
        </w:rPr>
        <w:t>that</w:t>
      </w:r>
      <w:r w:rsidRPr="00283806">
        <w:tab/>
      </w:r>
      <w:r w:rsidRPr="00283806">
        <w:rPr>
          <w:u w:val="single"/>
        </w:rPr>
        <w:tab/>
      </w:r>
    </w:p>
    <w:p w14:paraId="5414630F" w14:textId="77777777" w:rsidR="00D67C1E" w:rsidRPr="00283806" w:rsidRDefault="001265CA">
      <w:pPr>
        <w:pStyle w:val="BodyText"/>
        <w:spacing w:line="178" w:lineRule="exact"/>
        <w:ind w:left="159"/>
      </w:pPr>
      <w:r w:rsidRPr="00283806">
        <w:br w:type="column"/>
      </w:r>
      <w:r w:rsidRPr="00283806">
        <w:rPr>
          <w:w w:val="105"/>
        </w:rPr>
        <w:t>any</w:t>
      </w:r>
      <w:r w:rsidRPr="00283806">
        <w:rPr>
          <w:spacing w:val="27"/>
          <w:w w:val="105"/>
        </w:rPr>
        <w:t xml:space="preserve"> </w:t>
      </w:r>
      <w:r w:rsidRPr="00283806">
        <w:rPr>
          <w:w w:val="105"/>
        </w:rPr>
        <w:t>such</w:t>
      </w:r>
      <w:r w:rsidRPr="00283806">
        <w:rPr>
          <w:spacing w:val="28"/>
          <w:w w:val="105"/>
        </w:rPr>
        <w:t xml:space="preserve"> </w:t>
      </w:r>
      <w:r w:rsidRPr="00283806">
        <w:rPr>
          <w:w w:val="105"/>
        </w:rPr>
        <w:t>substance.</w:t>
      </w:r>
      <w:r w:rsidRPr="00283806">
        <w:rPr>
          <w:spacing w:val="28"/>
          <w:w w:val="105"/>
        </w:rPr>
        <w:t xml:space="preserve"> </w:t>
      </w:r>
      <w:r w:rsidRPr="00283806">
        <w:rPr>
          <w:w w:val="105"/>
        </w:rPr>
        <w:t>CAA</w:t>
      </w:r>
      <w:r w:rsidRPr="00283806">
        <w:rPr>
          <w:spacing w:val="28"/>
          <w:w w:val="105"/>
        </w:rPr>
        <w:t xml:space="preserve"> </w:t>
      </w:r>
      <w:r w:rsidRPr="00283806">
        <w:rPr>
          <w:spacing w:val="-2"/>
          <w:w w:val="105"/>
        </w:rPr>
        <w:t>section</w:t>
      </w:r>
    </w:p>
    <w:p w14:paraId="2D2917A2" w14:textId="77777777" w:rsidR="00D67C1E" w:rsidRPr="00283806" w:rsidRDefault="00D67C1E">
      <w:pPr>
        <w:spacing w:line="178" w:lineRule="exact"/>
        <w:sectPr w:rsidR="00D67C1E" w:rsidRPr="00283806">
          <w:type w:val="continuous"/>
          <w:pgSz w:w="12240" w:h="15840"/>
          <w:pgMar w:top="880" w:right="780" w:bottom="280" w:left="740" w:header="627" w:footer="0" w:gutter="0"/>
          <w:cols w:num="2" w:space="720" w:equalWidth="0">
            <w:col w:w="4740" w:space="2340"/>
            <w:col w:w="3640"/>
          </w:cols>
        </w:sectPr>
      </w:pPr>
    </w:p>
    <w:p w14:paraId="1C7C6BE2" w14:textId="77777777" w:rsidR="00D67C1E" w:rsidRPr="00283806" w:rsidRDefault="001265CA">
      <w:pPr>
        <w:pStyle w:val="BodyText"/>
        <w:spacing w:before="53" w:line="228" w:lineRule="auto"/>
        <w:ind w:left="159" w:right="24"/>
      </w:pPr>
      <w:proofErr w:type="gramStart"/>
      <w:r w:rsidRPr="00283806">
        <w:rPr>
          <w:w w:val="105"/>
        </w:rPr>
        <w:t>the</w:t>
      </w:r>
      <w:proofErr w:type="gramEnd"/>
      <w:r w:rsidRPr="00283806">
        <w:rPr>
          <w:w w:val="105"/>
        </w:rPr>
        <w:t xml:space="preserve"> body of scientific evidence amassed</w:t>
      </w:r>
      <w:r w:rsidRPr="00283806">
        <w:rPr>
          <w:spacing w:val="40"/>
          <w:w w:val="105"/>
        </w:rPr>
        <w:t xml:space="preserve"> </w:t>
      </w:r>
      <w:r w:rsidRPr="00283806">
        <w:rPr>
          <w:w w:val="105"/>
        </w:rPr>
        <w:t>in</w:t>
      </w:r>
      <w:r w:rsidRPr="00283806">
        <w:rPr>
          <w:spacing w:val="-1"/>
          <w:w w:val="105"/>
        </w:rPr>
        <w:t xml:space="preserve"> </w:t>
      </w:r>
      <w:r w:rsidRPr="00283806">
        <w:rPr>
          <w:w w:val="105"/>
        </w:rPr>
        <w:t>the</w:t>
      </w:r>
      <w:r w:rsidRPr="00283806">
        <w:rPr>
          <w:spacing w:val="-1"/>
          <w:w w:val="105"/>
        </w:rPr>
        <w:t xml:space="preserve"> </w:t>
      </w:r>
      <w:r w:rsidRPr="00283806">
        <w:rPr>
          <w:w w:val="105"/>
        </w:rPr>
        <w:t>record</w:t>
      </w:r>
      <w:r w:rsidRPr="00283806">
        <w:rPr>
          <w:spacing w:val="-1"/>
          <w:w w:val="105"/>
        </w:rPr>
        <w:t xml:space="preserve"> </w:t>
      </w:r>
      <w:r w:rsidRPr="00283806">
        <w:rPr>
          <w:w w:val="105"/>
        </w:rPr>
        <w:t>for</w:t>
      </w:r>
      <w:r w:rsidRPr="00283806">
        <w:rPr>
          <w:spacing w:val="-1"/>
          <w:w w:val="105"/>
        </w:rPr>
        <w:t xml:space="preserve"> </w:t>
      </w:r>
      <w:r w:rsidRPr="00283806">
        <w:rPr>
          <w:w w:val="105"/>
        </w:rPr>
        <w:t>the</w:t>
      </w:r>
      <w:r w:rsidRPr="00283806">
        <w:rPr>
          <w:spacing w:val="-1"/>
          <w:w w:val="105"/>
        </w:rPr>
        <w:t xml:space="preserve"> </w:t>
      </w:r>
      <w:r w:rsidRPr="00283806">
        <w:rPr>
          <w:w w:val="105"/>
        </w:rPr>
        <w:t>2009</w:t>
      </w:r>
      <w:r w:rsidRPr="00283806">
        <w:rPr>
          <w:spacing w:val="-1"/>
          <w:w w:val="105"/>
        </w:rPr>
        <w:t xml:space="preserve"> </w:t>
      </w:r>
      <w:r w:rsidRPr="00283806">
        <w:rPr>
          <w:w w:val="105"/>
        </w:rPr>
        <w:t>Endangerment Finding compellingly supported a</w:t>
      </w:r>
      <w:r w:rsidRPr="00283806">
        <w:rPr>
          <w:spacing w:val="80"/>
          <w:w w:val="150"/>
        </w:rPr>
        <w:t xml:space="preserve"> </w:t>
      </w:r>
      <w:r w:rsidRPr="00283806">
        <w:rPr>
          <w:w w:val="105"/>
        </w:rPr>
        <w:t>similar endangerment finding under</w:t>
      </w:r>
      <w:r w:rsidRPr="00283806">
        <w:rPr>
          <w:spacing w:val="80"/>
          <w:w w:val="150"/>
        </w:rPr>
        <w:t xml:space="preserve"> </w:t>
      </w:r>
      <w:r w:rsidRPr="00283806">
        <w:rPr>
          <w:w w:val="105"/>
        </w:rPr>
        <w:t xml:space="preserve">CAA section 231(a)(2)(A) </w:t>
      </w:r>
      <w:proofErr w:type="gramStart"/>
      <w:r w:rsidRPr="00283806">
        <w:rPr>
          <w:w w:val="105"/>
        </w:rPr>
        <w:t>and also</w:t>
      </w:r>
      <w:proofErr w:type="gramEnd"/>
      <w:r w:rsidRPr="00283806">
        <w:rPr>
          <w:w w:val="105"/>
        </w:rPr>
        <w:t xml:space="preserve"> found that the science assessments released between </w:t>
      </w:r>
      <w:proofErr w:type="gramStart"/>
      <w:r w:rsidRPr="00283806">
        <w:rPr>
          <w:w w:val="105"/>
        </w:rPr>
        <w:t>the 2009</w:t>
      </w:r>
      <w:proofErr w:type="gramEnd"/>
      <w:r w:rsidRPr="00283806">
        <w:rPr>
          <w:w w:val="105"/>
        </w:rPr>
        <w:t xml:space="preserve"> and </w:t>
      </w:r>
      <w:proofErr w:type="gramStart"/>
      <w:r w:rsidRPr="00283806">
        <w:rPr>
          <w:w w:val="105"/>
        </w:rPr>
        <w:t>the 2016</w:t>
      </w:r>
      <w:proofErr w:type="gramEnd"/>
    </w:p>
    <w:p w14:paraId="6C438242" w14:textId="77777777" w:rsidR="00D67C1E" w:rsidRPr="00283806" w:rsidRDefault="001265CA">
      <w:pPr>
        <w:pStyle w:val="BodyText"/>
        <w:spacing w:before="8"/>
        <w:ind w:left="0"/>
        <w:rPr>
          <w:sz w:val="12"/>
        </w:rPr>
      </w:pPr>
      <w:r w:rsidRPr="00283806">
        <w:rPr>
          <w:noProof/>
        </w:rPr>
        <mc:AlternateContent>
          <mc:Choice Requires="wps">
            <w:drawing>
              <wp:anchor distT="0" distB="0" distL="0" distR="0" simplePos="0" relativeHeight="251622400" behindDoc="1" locked="0" layoutInCell="1" allowOverlap="1" wp14:anchorId="16666863" wp14:editId="0FAE1D0F">
                <wp:simplePos x="0" y="0"/>
                <wp:positionH relativeFrom="page">
                  <wp:posOffset>571500</wp:posOffset>
                </wp:positionH>
                <wp:positionV relativeFrom="paragraph">
                  <wp:posOffset>109882</wp:posOffset>
                </wp:positionV>
                <wp:extent cx="635000" cy="1270"/>
                <wp:effectExtent l="0" t="0" r="0" b="0"/>
                <wp:wrapTopAndBottom/>
                <wp:docPr id="52" name="Graphic 5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C573C99" id="Graphic 52" o:spid="_x0000_s1026" alt="&quot;&quot;" style="position:absolute;margin-left:45pt;margin-top:8.65pt;width:50pt;height:.1pt;z-index:-251694080;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" path="m,l635000,e" filled="f" strokeweight=".5pt">
                <v:path arrowok="t"/>
                <w10:wrap type="topAndBottom" anchorx="page"/>
              </v:shape>
            </w:pict>
          </mc:Fallback>
        </mc:AlternateContent>
      </w:r>
    </w:p>
    <w:p w14:paraId="74E910EA" w14:textId="50DBA4CC" w:rsidR="00D67C1E" w:rsidRPr="00283806" w:rsidRDefault="001265CA">
      <w:pPr>
        <w:spacing w:before="34" w:line="232" w:lineRule="auto"/>
        <w:ind w:left="143" w:firstLine="140"/>
        <w:rPr>
          <w:sz w:val="14"/>
        </w:rPr>
      </w:pPr>
      <w:r w:rsidRPr="00283806">
        <w:br w:type="column"/>
      </w:r>
      <w:r w:rsidRPr="00283806">
        <w:rPr>
          <w:w w:val="110"/>
          <w:position w:val="4"/>
          <w:sz w:val="9"/>
        </w:rPr>
        <w:t>30</w:t>
      </w:r>
      <w:r w:rsidRPr="00283806">
        <w:rPr>
          <w:spacing w:val="-4"/>
          <w:w w:val="110"/>
          <w:position w:val="4"/>
          <w:sz w:val="9"/>
        </w:rPr>
        <w:t xml:space="preserve"> </w:t>
      </w:r>
      <w:r w:rsidRPr="00283806">
        <w:rPr>
          <w:w w:val="110"/>
          <w:sz w:val="14"/>
        </w:rPr>
        <w:t>An</w:t>
      </w:r>
      <w:r w:rsidRPr="00283806">
        <w:rPr>
          <w:spacing w:val="-3"/>
          <w:w w:val="110"/>
          <w:sz w:val="14"/>
        </w:rPr>
        <w:t xml:space="preserve"> </w:t>
      </w:r>
      <w:r w:rsidRPr="00283806">
        <w:rPr>
          <w:w w:val="110"/>
          <w:sz w:val="14"/>
        </w:rPr>
        <w:t>additional</w:t>
      </w:r>
      <w:r w:rsidRPr="00283806">
        <w:rPr>
          <w:spacing w:val="-3"/>
          <w:w w:val="110"/>
          <w:sz w:val="14"/>
        </w:rPr>
        <w:t xml:space="preserve"> </w:t>
      </w:r>
      <w:r w:rsidRPr="00283806">
        <w:rPr>
          <w:w w:val="110"/>
          <w:sz w:val="14"/>
        </w:rPr>
        <w:t>resource</w:t>
      </w:r>
      <w:r w:rsidRPr="00283806">
        <w:rPr>
          <w:spacing w:val="-3"/>
          <w:w w:val="110"/>
          <w:sz w:val="14"/>
        </w:rPr>
        <w:t xml:space="preserve"> </w:t>
      </w:r>
      <w:r w:rsidRPr="00283806">
        <w:rPr>
          <w:w w:val="110"/>
          <w:sz w:val="14"/>
        </w:rPr>
        <w:t>for</w:t>
      </w:r>
      <w:r w:rsidRPr="00283806">
        <w:rPr>
          <w:spacing w:val="-3"/>
          <w:w w:val="110"/>
          <w:sz w:val="14"/>
        </w:rPr>
        <w:t xml:space="preserve"> </w:t>
      </w:r>
      <w:r w:rsidRPr="00283806">
        <w:rPr>
          <w:w w:val="110"/>
          <w:sz w:val="14"/>
        </w:rPr>
        <w:t>indicators</w:t>
      </w:r>
      <w:r w:rsidRPr="00283806">
        <w:rPr>
          <w:spacing w:val="-3"/>
          <w:w w:val="110"/>
          <w:sz w:val="14"/>
        </w:rPr>
        <w:t xml:space="preserve"> </w:t>
      </w:r>
      <w:r w:rsidRPr="00283806">
        <w:rPr>
          <w:w w:val="110"/>
          <w:sz w:val="14"/>
        </w:rPr>
        <w:t>can</w:t>
      </w:r>
      <w:r w:rsidRPr="00283806">
        <w:rPr>
          <w:spacing w:val="-3"/>
          <w:w w:val="110"/>
          <w:sz w:val="14"/>
        </w:rPr>
        <w:t xml:space="preserve"> </w:t>
      </w:r>
      <w:r w:rsidRPr="00283806">
        <w:rPr>
          <w:w w:val="110"/>
          <w:sz w:val="14"/>
        </w:rPr>
        <w:t>be</w:t>
      </w:r>
      <w:r w:rsidRPr="00283806">
        <w:rPr>
          <w:spacing w:val="40"/>
          <w:w w:val="115"/>
          <w:sz w:val="14"/>
        </w:rPr>
        <w:t xml:space="preserve"> </w:t>
      </w:r>
      <w:r w:rsidRPr="00283806">
        <w:rPr>
          <w:spacing w:val="-2"/>
          <w:w w:val="115"/>
          <w:sz w:val="14"/>
        </w:rPr>
        <w:t xml:space="preserve">found at </w:t>
      </w:r>
      <w:r w:rsidRPr="00283806">
        <w:rPr>
          <w:rFonts w:ascii="Book Antiqua"/>
          <w:i/>
          <w:spacing w:val="-2"/>
          <w:w w:val="115"/>
          <w:sz w:val="14"/>
        </w:rPr>
        <w:t>https://www.epa.gov/climate-indicators</w:t>
      </w:r>
      <w:r w:rsidRPr="00283806">
        <w:rPr>
          <w:spacing w:val="-2"/>
          <w:w w:val="115"/>
          <w:sz w:val="14"/>
        </w:rPr>
        <w:t>.</w:t>
      </w:r>
    </w:p>
    <w:p w14:paraId="2C3AD36D" w14:textId="77777777" w:rsidR="00D67C1E" w:rsidRPr="00283806" w:rsidRDefault="001265CA">
      <w:pPr>
        <w:spacing w:before="14" w:line="232" w:lineRule="auto"/>
        <w:ind w:left="143" w:firstLine="140"/>
        <w:rPr>
          <w:sz w:val="14"/>
        </w:rPr>
      </w:pPr>
      <w:r w:rsidRPr="00283806">
        <w:rPr>
          <w:w w:val="105"/>
          <w:position w:val="4"/>
          <w:sz w:val="9"/>
        </w:rPr>
        <w:t xml:space="preserve">31 </w:t>
      </w:r>
      <w:r w:rsidRPr="00283806">
        <w:rPr>
          <w:w w:val="105"/>
          <w:sz w:val="14"/>
        </w:rPr>
        <w:t>IPCC, 2021: Summary for Policymakers. In:</w:t>
      </w:r>
      <w:r w:rsidRPr="00283806">
        <w:rPr>
          <w:spacing w:val="40"/>
          <w:w w:val="105"/>
          <w:sz w:val="14"/>
        </w:rPr>
        <w:t xml:space="preserve"> </w:t>
      </w:r>
      <w:r w:rsidRPr="00283806">
        <w:rPr>
          <w:w w:val="105"/>
          <w:sz w:val="14"/>
        </w:rPr>
        <w:t>Climate Change 2021: The Physical Science Basis.</w:t>
      </w:r>
      <w:r w:rsidRPr="00283806">
        <w:rPr>
          <w:spacing w:val="40"/>
          <w:w w:val="105"/>
          <w:sz w:val="14"/>
        </w:rPr>
        <w:t xml:space="preserve"> </w:t>
      </w:r>
      <w:r w:rsidRPr="00283806">
        <w:rPr>
          <w:w w:val="105"/>
          <w:sz w:val="14"/>
        </w:rPr>
        <w:t>Contribution of Working Group I to the Sixth</w:t>
      </w:r>
      <w:r w:rsidRPr="00283806">
        <w:rPr>
          <w:spacing w:val="40"/>
          <w:w w:val="105"/>
          <w:sz w:val="14"/>
        </w:rPr>
        <w:t xml:space="preserve"> </w:t>
      </w:r>
      <w:r w:rsidRPr="00283806">
        <w:rPr>
          <w:w w:val="105"/>
          <w:sz w:val="14"/>
        </w:rPr>
        <w:t>Assessment Report of the Intergovernmental Panel</w:t>
      </w:r>
      <w:r w:rsidRPr="00283806">
        <w:rPr>
          <w:spacing w:val="40"/>
          <w:w w:val="105"/>
          <w:sz w:val="14"/>
        </w:rPr>
        <w:t xml:space="preserve"> </w:t>
      </w:r>
      <w:r w:rsidRPr="00283806">
        <w:rPr>
          <w:w w:val="105"/>
          <w:sz w:val="14"/>
        </w:rPr>
        <w:t>on</w:t>
      </w:r>
      <w:r w:rsidRPr="00283806">
        <w:rPr>
          <w:spacing w:val="19"/>
          <w:w w:val="105"/>
          <w:sz w:val="14"/>
        </w:rPr>
        <w:t xml:space="preserve"> </w:t>
      </w:r>
      <w:r w:rsidRPr="00283806">
        <w:rPr>
          <w:w w:val="105"/>
          <w:sz w:val="14"/>
        </w:rPr>
        <w:t>Climate</w:t>
      </w:r>
      <w:r w:rsidRPr="00283806">
        <w:rPr>
          <w:spacing w:val="19"/>
          <w:w w:val="105"/>
          <w:sz w:val="14"/>
        </w:rPr>
        <w:t xml:space="preserve"> </w:t>
      </w:r>
      <w:r w:rsidRPr="00283806">
        <w:rPr>
          <w:w w:val="105"/>
          <w:sz w:val="14"/>
        </w:rPr>
        <w:t>Change</w:t>
      </w:r>
      <w:r w:rsidRPr="00283806">
        <w:rPr>
          <w:spacing w:val="19"/>
          <w:w w:val="105"/>
          <w:sz w:val="14"/>
        </w:rPr>
        <w:t xml:space="preserve"> </w:t>
      </w:r>
      <w:r w:rsidRPr="00283806">
        <w:rPr>
          <w:w w:val="105"/>
          <w:sz w:val="14"/>
        </w:rPr>
        <w:t>[Masson-Delmotte,</w:t>
      </w:r>
      <w:r w:rsidRPr="00283806">
        <w:rPr>
          <w:spacing w:val="19"/>
          <w:w w:val="105"/>
          <w:sz w:val="14"/>
        </w:rPr>
        <w:t xml:space="preserve"> </w:t>
      </w:r>
      <w:r w:rsidRPr="00283806">
        <w:rPr>
          <w:w w:val="105"/>
          <w:sz w:val="14"/>
        </w:rPr>
        <w:t>V.,</w:t>
      </w:r>
      <w:r w:rsidRPr="00283806">
        <w:rPr>
          <w:spacing w:val="19"/>
          <w:w w:val="105"/>
          <w:sz w:val="14"/>
        </w:rPr>
        <w:t xml:space="preserve"> </w:t>
      </w:r>
      <w:r w:rsidRPr="00283806">
        <w:rPr>
          <w:w w:val="105"/>
          <w:sz w:val="14"/>
        </w:rPr>
        <w:t>P.</w:t>
      </w:r>
      <w:r w:rsidRPr="00283806">
        <w:rPr>
          <w:spacing w:val="19"/>
          <w:w w:val="105"/>
          <w:sz w:val="14"/>
        </w:rPr>
        <w:t xml:space="preserve"> </w:t>
      </w:r>
      <w:r w:rsidRPr="00283806">
        <w:rPr>
          <w:spacing w:val="-2"/>
          <w:w w:val="105"/>
          <w:sz w:val="14"/>
        </w:rPr>
        <w:t>Zhai,</w:t>
      </w:r>
    </w:p>
    <w:p w14:paraId="67CDBE28" w14:textId="77777777" w:rsidR="00D67C1E" w:rsidRPr="00283806" w:rsidRDefault="001265CA">
      <w:pPr>
        <w:spacing w:line="162" w:lineRule="exact"/>
        <w:ind w:left="143"/>
        <w:rPr>
          <w:sz w:val="14"/>
        </w:rPr>
      </w:pPr>
      <w:r w:rsidRPr="00283806">
        <w:rPr>
          <w:spacing w:val="-2"/>
          <w:w w:val="115"/>
          <w:sz w:val="14"/>
        </w:rPr>
        <w:t>A.</w:t>
      </w:r>
      <w:r w:rsidRPr="00283806">
        <w:rPr>
          <w:spacing w:val="-4"/>
          <w:w w:val="115"/>
          <w:sz w:val="14"/>
        </w:rPr>
        <w:t xml:space="preserve"> </w:t>
      </w:r>
      <w:r w:rsidRPr="00283806">
        <w:rPr>
          <w:spacing w:val="-2"/>
          <w:w w:val="115"/>
          <w:sz w:val="14"/>
        </w:rPr>
        <w:t>Pirani,</w:t>
      </w:r>
      <w:r w:rsidRPr="00283806">
        <w:rPr>
          <w:spacing w:val="-3"/>
          <w:w w:val="115"/>
          <w:sz w:val="14"/>
        </w:rPr>
        <w:t xml:space="preserve"> </w:t>
      </w:r>
      <w:r w:rsidRPr="00283806">
        <w:rPr>
          <w:spacing w:val="-2"/>
          <w:w w:val="115"/>
          <w:sz w:val="14"/>
        </w:rPr>
        <w:t>S.L.</w:t>
      </w:r>
      <w:r w:rsidRPr="00283806">
        <w:rPr>
          <w:spacing w:val="-3"/>
          <w:w w:val="115"/>
          <w:sz w:val="14"/>
        </w:rPr>
        <w:t xml:space="preserve"> </w:t>
      </w:r>
      <w:r w:rsidRPr="00283806">
        <w:rPr>
          <w:spacing w:val="-2"/>
          <w:w w:val="115"/>
          <w:sz w:val="14"/>
        </w:rPr>
        <w:t>Connors,</w:t>
      </w:r>
      <w:r w:rsidRPr="00283806">
        <w:rPr>
          <w:spacing w:val="-3"/>
          <w:w w:val="115"/>
          <w:sz w:val="14"/>
        </w:rPr>
        <w:t xml:space="preserve"> </w:t>
      </w:r>
      <w:r w:rsidRPr="00283806">
        <w:rPr>
          <w:spacing w:val="-2"/>
          <w:w w:val="115"/>
          <w:sz w:val="14"/>
        </w:rPr>
        <w:t>C.</w:t>
      </w:r>
      <w:r w:rsidRPr="00283806">
        <w:rPr>
          <w:spacing w:val="-3"/>
          <w:w w:val="115"/>
          <w:sz w:val="14"/>
        </w:rPr>
        <w:t xml:space="preserve"> </w:t>
      </w:r>
      <w:r w:rsidRPr="00283806">
        <w:rPr>
          <w:spacing w:val="-2"/>
          <w:w w:val="115"/>
          <w:sz w:val="14"/>
        </w:rPr>
        <w:t>Pe</w:t>
      </w:r>
      <w:r w:rsidRPr="00283806">
        <w:rPr>
          <w:spacing w:val="-2"/>
          <w:w w:val="115"/>
          <w:position w:val="1"/>
          <w:sz w:val="14"/>
        </w:rPr>
        <w:t>´</w:t>
      </w:r>
      <w:r w:rsidRPr="00283806">
        <w:rPr>
          <w:spacing w:val="-2"/>
          <w:w w:val="115"/>
          <w:sz w:val="14"/>
        </w:rPr>
        <w:t>an,</w:t>
      </w:r>
      <w:r w:rsidRPr="00283806">
        <w:rPr>
          <w:spacing w:val="-4"/>
          <w:w w:val="115"/>
          <w:sz w:val="14"/>
        </w:rPr>
        <w:t xml:space="preserve"> </w:t>
      </w:r>
      <w:r w:rsidRPr="00283806">
        <w:rPr>
          <w:spacing w:val="-2"/>
          <w:w w:val="115"/>
          <w:sz w:val="14"/>
        </w:rPr>
        <w:t>S.</w:t>
      </w:r>
      <w:r w:rsidRPr="00283806">
        <w:rPr>
          <w:spacing w:val="-3"/>
          <w:w w:val="115"/>
          <w:sz w:val="14"/>
        </w:rPr>
        <w:t xml:space="preserve"> </w:t>
      </w:r>
      <w:r w:rsidRPr="00283806">
        <w:rPr>
          <w:spacing w:val="-2"/>
          <w:w w:val="115"/>
          <w:sz w:val="14"/>
        </w:rPr>
        <w:t>Berger,</w:t>
      </w:r>
      <w:r w:rsidRPr="00283806">
        <w:rPr>
          <w:spacing w:val="-3"/>
          <w:w w:val="115"/>
          <w:sz w:val="14"/>
        </w:rPr>
        <w:t xml:space="preserve"> </w:t>
      </w:r>
      <w:r w:rsidRPr="00283806">
        <w:rPr>
          <w:spacing w:val="-2"/>
          <w:w w:val="115"/>
          <w:sz w:val="14"/>
        </w:rPr>
        <w:t>N.</w:t>
      </w:r>
      <w:r w:rsidRPr="00283806">
        <w:rPr>
          <w:spacing w:val="-3"/>
          <w:w w:val="115"/>
          <w:sz w:val="14"/>
        </w:rPr>
        <w:t xml:space="preserve"> </w:t>
      </w:r>
      <w:proofErr w:type="spellStart"/>
      <w:r w:rsidRPr="00283806">
        <w:rPr>
          <w:spacing w:val="-2"/>
          <w:w w:val="115"/>
          <w:sz w:val="14"/>
        </w:rPr>
        <w:t>Caud</w:t>
      </w:r>
      <w:proofErr w:type="spellEnd"/>
      <w:r w:rsidRPr="00283806">
        <w:rPr>
          <w:spacing w:val="-2"/>
          <w:w w:val="115"/>
          <w:sz w:val="14"/>
        </w:rPr>
        <w:t>,</w:t>
      </w:r>
    </w:p>
    <w:p w14:paraId="5B050242" w14:textId="77777777" w:rsidR="00D67C1E" w:rsidRPr="00283806" w:rsidRDefault="001265CA">
      <w:pPr>
        <w:spacing w:line="232" w:lineRule="auto"/>
        <w:ind w:left="143"/>
        <w:rPr>
          <w:sz w:val="14"/>
        </w:rPr>
      </w:pPr>
      <w:r w:rsidRPr="00283806">
        <w:rPr>
          <w:w w:val="115"/>
          <w:sz w:val="14"/>
        </w:rPr>
        <w:t>Y. Chen, L. Goldfarb, M.I. Gomis, M. Huang, K.</w:t>
      </w:r>
      <w:r w:rsidRPr="00283806">
        <w:rPr>
          <w:spacing w:val="40"/>
          <w:w w:val="115"/>
          <w:sz w:val="14"/>
        </w:rPr>
        <w:t xml:space="preserve"> </w:t>
      </w:r>
      <w:r w:rsidRPr="00283806">
        <w:rPr>
          <w:w w:val="110"/>
          <w:sz w:val="14"/>
        </w:rPr>
        <w:t xml:space="preserve">Leitzell, E. </w:t>
      </w:r>
      <w:proofErr w:type="spellStart"/>
      <w:r w:rsidRPr="00283806">
        <w:rPr>
          <w:w w:val="110"/>
          <w:sz w:val="14"/>
        </w:rPr>
        <w:t>Lonnoy</w:t>
      </w:r>
      <w:proofErr w:type="spellEnd"/>
      <w:r w:rsidRPr="00283806">
        <w:rPr>
          <w:w w:val="110"/>
          <w:sz w:val="14"/>
        </w:rPr>
        <w:t>, J.B.R. Matthews, T.K. Maycock,</w:t>
      </w:r>
    </w:p>
    <w:p w14:paraId="6A34963C" w14:textId="77777777" w:rsidR="00D67C1E" w:rsidRPr="00283806" w:rsidRDefault="001265CA">
      <w:pPr>
        <w:pStyle w:val="BodyText"/>
        <w:spacing w:before="10" w:line="225" w:lineRule="auto"/>
        <w:ind w:left="159" w:right="154"/>
      </w:pPr>
      <w:r w:rsidRPr="00283806">
        <w:br w:type="column"/>
      </w:r>
      <w:r w:rsidRPr="00283806">
        <w:rPr>
          <w:w w:val="105"/>
        </w:rPr>
        <w:t>608(c)(2)</w:t>
      </w:r>
      <w:r w:rsidRPr="00283806">
        <w:rPr>
          <w:spacing w:val="-10"/>
          <w:w w:val="105"/>
        </w:rPr>
        <w:t xml:space="preserve"> </w:t>
      </w:r>
      <w:r w:rsidRPr="00283806">
        <w:rPr>
          <w:w w:val="105"/>
        </w:rPr>
        <w:t>extends</w:t>
      </w:r>
      <w:r w:rsidRPr="00283806">
        <w:rPr>
          <w:spacing w:val="-11"/>
          <w:w w:val="105"/>
        </w:rPr>
        <w:t xml:space="preserve"> </w:t>
      </w:r>
      <w:r w:rsidRPr="00283806">
        <w:rPr>
          <w:w w:val="105"/>
        </w:rPr>
        <w:t>CAA</w:t>
      </w:r>
      <w:r w:rsidRPr="00283806">
        <w:rPr>
          <w:spacing w:val="-10"/>
          <w:w w:val="105"/>
        </w:rPr>
        <w:t xml:space="preserve"> </w:t>
      </w:r>
      <w:r w:rsidRPr="00283806">
        <w:rPr>
          <w:w w:val="105"/>
        </w:rPr>
        <w:t>section</w:t>
      </w:r>
      <w:r w:rsidRPr="00283806">
        <w:rPr>
          <w:spacing w:val="-10"/>
          <w:w w:val="105"/>
        </w:rPr>
        <w:t xml:space="preserve"> </w:t>
      </w:r>
      <w:r w:rsidRPr="00283806">
        <w:rPr>
          <w:w w:val="105"/>
        </w:rPr>
        <w:t>608(c)(1) to substitute refrigerants, effective November 15, 1995. CAA section 608(c)(2) also includes a provision that allows the Administrator to exempt a substitute refrigerant from the venting prohibition if he or she determines that such venting, release, or disposal of a</w:t>
      </w:r>
    </w:p>
    <w:p w14:paraId="7E746A16" w14:textId="77777777" w:rsidR="00D67C1E" w:rsidRPr="00283806" w:rsidRDefault="00D67C1E">
      <w:pPr>
        <w:spacing w:line="225" w:lineRule="auto"/>
        <w:sectPr w:rsidR="00D67C1E" w:rsidRPr="00283806">
          <w:type w:val="continuous"/>
          <w:pgSz w:w="12240" w:h="15840"/>
          <w:pgMar w:top="880" w:right="780" w:bottom="280" w:left="740" w:header="627" w:footer="0" w:gutter="0"/>
          <w:cols w:num="3" w:space="720" w:equalWidth="0">
            <w:col w:w="3517" w:space="40"/>
            <w:col w:w="3470" w:space="53"/>
            <w:col w:w="3640"/>
          </w:cols>
        </w:sectPr>
      </w:pPr>
    </w:p>
    <w:p w14:paraId="5316DC94" w14:textId="77777777" w:rsidR="00D67C1E" w:rsidRPr="00283806" w:rsidRDefault="001265CA">
      <w:pPr>
        <w:tabs>
          <w:tab w:val="left" w:pos="3699"/>
          <w:tab w:val="left" w:pos="7239"/>
          <w:tab w:val="left" w:pos="8239"/>
        </w:tabs>
        <w:spacing w:line="159" w:lineRule="exact"/>
        <w:ind w:left="300"/>
        <w:rPr>
          <w:sz w:val="14"/>
        </w:rPr>
      </w:pPr>
      <w:r w:rsidRPr="00283806">
        <w:rPr>
          <w:w w:val="110"/>
          <w:position w:val="4"/>
          <w:sz w:val="9"/>
        </w:rPr>
        <w:t>28</w:t>
      </w:r>
      <w:r w:rsidRPr="00283806">
        <w:rPr>
          <w:spacing w:val="-6"/>
          <w:w w:val="110"/>
          <w:position w:val="4"/>
          <w:sz w:val="9"/>
        </w:rPr>
        <w:t xml:space="preserve"> </w:t>
      </w:r>
      <w:r w:rsidRPr="00283806">
        <w:rPr>
          <w:w w:val="110"/>
          <w:sz w:val="14"/>
        </w:rPr>
        <w:t>The</w:t>
      </w:r>
      <w:r w:rsidRPr="00283806">
        <w:rPr>
          <w:spacing w:val="-6"/>
          <w:w w:val="110"/>
          <w:sz w:val="14"/>
        </w:rPr>
        <w:t xml:space="preserve"> </w:t>
      </w:r>
      <w:r w:rsidRPr="00283806">
        <w:rPr>
          <w:w w:val="110"/>
          <w:sz w:val="14"/>
        </w:rPr>
        <w:t>CAA</w:t>
      </w:r>
      <w:r w:rsidRPr="00283806">
        <w:rPr>
          <w:spacing w:val="-7"/>
          <w:w w:val="110"/>
          <w:sz w:val="14"/>
        </w:rPr>
        <w:t xml:space="preserve"> </w:t>
      </w:r>
      <w:r w:rsidRPr="00283806">
        <w:rPr>
          <w:w w:val="110"/>
          <w:sz w:val="14"/>
        </w:rPr>
        <w:t>states</w:t>
      </w:r>
      <w:r w:rsidRPr="00283806">
        <w:rPr>
          <w:spacing w:val="-6"/>
          <w:w w:val="110"/>
          <w:sz w:val="14"/>
        </w:rPr>
        <w:t xml:space="preserve"> </w:t>
      </w:r>
      <w:r w:rsidRPr="00283806">
        <w:rPr>
          <w:w w:val="110"/>
          <w:sz w:val="14"/>
        </w:rPr>
        <w:t>in</w:t>
      </w:r>
      <w:r w:rsidRPr="00283806">
        <w:rPr>
          <w:spacing w:val="-6"/>
          <w:w w:val="110"/>
          <w:sz w:val="14"/>
        </w:rPr>
        <w:t xml:space="preserve"> </w:t>
      </w:r>
      <w:r w:rsidRPr="00283806">
        <w:rPr>
          <w:w w:val="110"/>
          <w:sz w:val="14"/>
        </w:rPr>
        <w:t>section</w:t>
      </w:r>
      <w:r w:rsidRPr="00283806">
        <w:rPr>
          <w:spacing w:val="-6"/>
          <w:w w:val="110"/>
          <w:sz w:val="14"/>
        </w:rPr>
        <w:t xml:space="preserve"> </w:t>
      </w:r>
      <w:r w:rsidRPr="00283806">
        <w:rPr>
          <w:w w:val="110"/>
          <w:sz w:val="14"/>
        </w:rPr>
        <w:t>302(h)</w:t>
      </w:r>
      <w:r w:rsidRPr="00283806">
        <w:rPr>
          <w:spacing w:val="-6"/>
          <w:w w:val="110"/>
          <w:sz w:val="14"/>
        </w:rPr>
        <w:t xml:space="preserve"> </w:t>
      </w:r>
      <w:r w:rsidRPr="00283806">
        <w:rPr>
          <w:w w:val="110"/>
          <w:sz w:val="14"/>
        </w:rPr>
        <w:t>that</w:t>
      </w:r>
      <w:r w:rsidRPr="00283806">
        <w:rPr>
          <w:spacing w:val="-7"/>
          <w:w w:val="110"/>
          <w:sz w:val="14"/>
        </w:rPr>
        <w:t xml:space="preserve"> </w:t>
      </w:r>
      <w:r w:rsidRPr="00283806">
        <w:rPr>
          <w:spacing w:val="-2"/>
          <w:w w:val="110"/>
          <w:sz w:val="14"/>
        </w:rPr>
        <w:t>‘‘[a]</w:t>
      </w:r>
      <w:proofErr w:type="spellStart"/>
      <w:r w:rsidRPr="00283806">
        <w:rPr>
          <w:spacing w:val="-2"/>
          <w:w w:val="110"/>
          <w:sz w:val="14"/>
        </w:rPr>
        <w:t>ll</w:t>
      </w:r>
      <w:proofErr w:type="spellEnd"/>
      <w:r w:rsidRPr="00283806">
        <w:rPr>
          <w:sz w:val="14"/>
        </w:rPr>
        <w:tab/>
      </w:r>
      <w:r w:rsidRPr="00283806">
        <w:rPr>
          <w:spacing w:val="-2"/>
          <w:w w:val="115"/>
          <w:position w:val="2"/>
          <w:sz w:val="14"/>
        </w:rPr>
        <w:t xml:space="preserve">T. Waterfield, O. </w:t>
      </w:r>
      <w:proofErr w:type="spellStart"/>
      <w:r w:rsidRPr="00283806">
        <w:rPr>
          <w:spacing w:val="-2"/>
          <w:w w:val="115"/>
          <w:position w:val="2"/>
          <w:sz w:val="14"/>
        </w:rPr>
        <w:t>Yelekc¸i</w:t>
      </w:r>
      <w:proofErr w:type="spellEnd"/>
      <w:r w:rsidRPr="00283806">
        <w:rPr>
          <w:spacing w:val="-2"/>
          <w:w w:val="115"/>
          <w:position w:val="2"/>
          <w:sz w:val="14"/>
        </w:rPr>
        <w:t>,</w:t>
      </w:r>
      <w:r w:rsidRPr="00283806">
        <w:rPr>
          <w:spacing w:val="-1"/>
          <w:w w:val="115"/>
          <w:position w:val="2"/>
          <w:sz w:val="14"/>
        </w:rPr>
        <w:t xml:space="preserve"> </w:t>
      </w:r>
      <w:r w:rsidRPr="00283806">
        <w:rPr>
          <w:spacing w:val="-2"/>
          <w:w w:val="115"/>
          <w:position w:val="2"/>
          <w:sz w:val="14"/>
        </w:rPr>
        <w:t>R. Yu, and B.</w:t>
      </w:r>
      <w:r w:rsidRPr="00283806">
        <w:rPr>
          <w:spacing w:val="-1"/>
          <w:w w:val="115"/>
          <w:position w:val="2"/>
          <w:sz w:val="14"/>
        </w:rPr>
        <w:t xml:space="preserve"> </w:t>
      </w:r>
      <w:r w:rsidRPr="00283806">
        <w:rPr>
          <w:spacing w:val="-4"/>
          <w:w w:val="115"/>
          <w:position w:val="2"/>
          <w:sz w:val="14"/>
        </w:rPr>
        <w:t>Zhou</w:t>
      </w:r>
      <w:r w:rsidRPr="00283806">
        <w:rPr>
          <w:position w:val="2"/>
          <w:sz w:val="14"/>
        </w:rPr>
        <w:tab/>
      </w:r>
      <w:r w:rsidRPr="00283806">
        <w:rPr>
          <w:position w:val="2"/>
          <w:sz w:val="14"/>
          <w:u w:val="single"/>
        </w:rPr>
        <w:tab/>
      </w:r>
    </w:p>
    <w:p w14:paraId="2F190D15" w14:textId="77777777" w:rsidR="00D67C1E" w:rsidRPr="00283806" w:rsidRDefault="00D67C1E">
      <w:pPr>
        <w:spacing w:line="159" w:lineRule="exact"/>
        <w:rPr>
          <w:sz w:val="14"/>
        </w:rPr>
        <w:sectPr w:rsidR="00D67C1E" w:rsidRPr="00283806">
          <w:type w:val="continuous"/>
          <w:pgSz w:w="12240" w:h="15840"/>
          <w:pgMar w:top="880" w:right="780" w:bottom="280" w:left="740" w:header="627" w:footer="0" w:gutter="0"/>
          <w:cols w:space="720"/>
        </w:sectPr>
      </w:pPr>
    </w:p>
    <w:p w14:paraId="6F17A702" w14:textId="77777777" w:rsidR="00D67C1E" w:rsidRPr="00283806" w:rsidRDefault="001265CA">
      <w:pPr>
        <w:spacing w:before="24" w:line="232" w:lineRule="auto"/>
        <w:ind w:left="159" w:right="9"/>
        <w:rPr>
          <w:sz w:val="14"/>
        </w:rPr>
      </w:pPr>
      <w:r w:rsidRPr="00283806">
        <w:rPr>
          <w:w w:val="105"/>
          <w:sz w:val="14"/>
        </w:rPr>
        <w:t>language referring to effects on welfare includes,</w:t>
      </w:r>
      <w:r w:rsidRPr="00283806">
        <w:rPr>
          <w:spacing w:val="40"/>
          <w:w w:val="105"/>
          <w:sz w:val="14"/>
        </w:rPr>
        <w:t xml:space="preserve"> </w:t>
      </w:r>
      <w:r w:rsidRPr="00283806">
        <w:rPr>
          <w:w w:val="105"/>
          <w:sz w:val="14"/>
        </w:rPr>
        <w:t>but is not limited to, effects on soils, water, crops,</w:t>
      </w:r>
      <w:r w:rsidRPr="00283806">
        <w:rPr>
          <w:spacing w:val="40"/>
          <w:w w:val="105"/>
          <w:sz w:val="14"/>
        </w:rPr>
        <w:t xml:space="preserve"> </w:t>
      </w:r>
      <w:r w:rsidRPr="00283806">
        <w:rPr>
          <w:w w:val="105"/>
          <w:sz w:val="14"/>
        </w:rPr>
        <w:t>vegetation, manmade materials, animals, wildlife,</w:t>
      </w:r>
      <w:r w:rsidRPr="00283806">
        <w:rPr>
          <w:spacing w:val="40"/>
          <w:w w:val="105"/>
          <w:sz w:val="14"/>
        </w:rPr>
        <w:t xml:space="preserve"> </w:t>
      </w:r>
      <w:r w:rsidRPr="00283806">
        <w:rPr>
          <w:w w:val="105"/>
          <w:sz w:val="14"/>
        </w:rPr>
        <w:t>weather, visibility, and climate, damage to and</w:t>
      </w:r>
      <w:r w:rsidRPr="00283806">
        <w:rPr>
          <w:spacing w:val="40"/>
          <w:w w:val="105"/>
          <w:sz w:val="14"/>
        </w:rPr>
        <w:t xml:space="preserve"> </w:t>
      </w:r>
      <w:r w:rsidRPr="00283806">
        <w:rPr>
          <w:w w:val="105"/>
          <w:sz w:val="14"/>
        </w:rPr>
        <w:t>deterioration of property, and hazards to</w:t>
      </w:r>
      <w:r w:rsidRPr="00283806">
        <w:rPr>
          <w:spacing w:val="40"/>
          <w:w w:val="105"/>
          <w:sz w:val="14"/>
        </w:rPr>
        <w:t xml:space="preserve"> </w:t>
      </w:r>
      <w:r w:rsidRPr="00283806">
        <w:rPr>
          <w:w w:val="105"/>
          <w:sz w:val="14"/>
        </w:rPr>
        <w:t>transportation, as well as effects on economic</w:t>
      </w:r>
      <w:r w:rsidRPr="00283806">
        <w:rPr>
          <w:spacing w:val="40"/>
          <w:w w:val="105"/>
          <w:sz w:val="14"/>
        </w:rPr>
        <w:t xml:space="preserve"> </w:t>
      </w:r>
      <w:r w:rsidRPr="00283806">
        <w:rPr>
          <w:w w:val="105"/>
          <w:sz w:val="14"/>
        </w:rPr>
        <w:t>values and on personal comfort and well-being,</w:t>
      </w:r>
      <w:r w:rsidRPr="00283806">
        <w:rPr>
          <w:spacing w:val="40"/>
          <w:w w:val="105"/>
          <w:sz w:val="14"/>
        </w:rPr>
        <w:t xml:space="preserve"> </w:t>
      </w:r>
      <w:r w:rsidRPr="00283806">
        <w:rPr>
          <w:w w:val="105"/>
          <w:sz w:val="14"/>
        </w:rPr>
        <w:t>whether caused by transformation, conversion, or</w:t>
      </w:r>
      <w:r w:rsidRPr="00283806">
        <w:rPr>
          <w:spacing w:val="40"/>
          <w:w w:val="105"/>
          <w:sz w:val="14"/>
        </w:rPr>
        <w:t xml:space="preserve"> </w:t>
      </w:r>
      <w:r w:rsidRPr="00283806">
        <w:rPr>
          <w:w w:val="105"/>
          <w:sz w:val="14"/>
        </w:rPr>
        <w:t>combination with other air pollutants.’’ 42 U.S.C.</w:t>
      </w:r>
      <w:r w:rsidRPr="00283806">
        <w:rPr>
          <w:spacing w:val="40"/>
          <w:w w:val="105"/>
          <w:sz w:val="14"/>
        </w:rPr>
        <w:t xml:space="preserve"> </w:t>
      </w:r>
      <w:r w:rsidRPr="00283806">
        <w:rPr>
          <w:spacing w:val="-2"/>
          <w:w w:val="105"/>
          <w:sz w:val="14"/>
        </w:rPr>
        <w:t>7602(h).</w:t>
      </w:r>
    </w:p>
    <w:p w14:paraId="796EE365" w14:textId="77777777" w:rsidR="00D67C1E" w:rsidRPr="00283806" w:rsidRDefault="001265CA">
      <w:pPr>
        <w:spacing w:before="28" w:line="232" w:lineRule="auto"/>
        <w:ind w:left="159" w:right="9" w:firstLine="140"/>
        <w:rPr>
          <w:sz w:val="14"/>
        </w:rPr>
      </w:pPr>
      <w:r w:rsidRPr="00283806">
        <w:rPr>
          <w:w w:val="105"/>
          <w:position w:val="4"/>
          <w:sz w:val="9"/>
        </w:rPr>
        <w:t xml:space="preserve">29 </w:t>
      </w:r>
      <w:r w:rsidRPr="00283806">
        <w:rPr>
          <w:w w:val="105"/>
          <w:sz w:val="14"/>
        </w:rPr>
        <w:t>In describing these 2016 Findings, EPA is</w:t>
      </w:r>
      <w:r w:rsidRPr="00283806">
        <w:rPr>
          <w:spacing w:val="40"/>
          <w:w w:val="105"/>
          <w:sz w:val="14"/>
        </w:rPr>
        <w:t xml:space="preserve"> </w:t>
      </w:r>
      <w:r w:rsidRPr="00283806">
        <w:rPr>
          <w:w w:val="105"/>
          <w:sz w:val="14"/>
        </w:rPr>
        <w:t>neither reopening nor revisiting them.</w:t>
      </w:r>
    </w:p>
    <w:p w14:paraId="2E169AA5" w14:textId="77777777" w:rsidR="00D67C1E" w:rsidRPr="00283806" w:rsidRDefault="001265CA">
      <w:pPr>
        <w:spacing w:before="4" w:line="232" w:lineRule="auto"/>
        <w:ind w:left="159" w:right="54"/>
        <w:rPr>
          <w:sz w:val="14"/>
        </w:rPr>
      </w:pPr>
      <w:r w:rsidRPr="00283806">
        <w:br w:type="column"/>
      </w:r>
      <w:r w:rsidRPr="00283806">
        <w:rPr>
          <w:w w:val="110"/>
          <w:sz w:val="14"/>
        </w:rPr>
        <w:t>(eds.)]. Cambridge University Press, Cambridge,</w:t>
      </w:r>
      <w:r w:rsidRPr="00283806">
        <w:rPr>
          <w:spacing w:val="40"/>
          <w:w w:val="110"/>
          <w:sz w:val="14"/>
        </w:rPr>
        <w:t xml:space="preserve"> </w:t>
      </w:r>
      <w:r w:rsidRPr="00283806">
        <w:rPr>
          <w:w w:val="110"/>
          <w:sz w:val="14"/>
        </w:rPr>
        <w:t>United Kingdom and New York, NY, USA, pp. 3–</w:t>
      </w:r>
      <w:r w:rsidRPr="00283806">
        <w:rPr>
          <w:spacing w:val="40"/>
          <w:w w:val="110"/>
          <w:sz w:val="14"/>
        </w:rPr>
        <w:t xml:space="preserve"> </w:t>
      </w:r>
      <w:r w:rsidRPr="00283806">
        <w:rPr>
          <w:spacing w:val="-2"/>
          <w:w w:val="110"/>
          <w:sz w:val="14"/>
        </w:rPr>
        <w:t>32, doi:10.1017/9781009157896.001.</w:t>
      </w:r>
    </w:p>
    <w:p w14:paraId="343776A5" w14:textId="77777777" w:rsidR="00D67C1E" w:rsidRPr="00283806" w:rsidRDefault="001265CA">
      <w:pPr>
        <w:spacing w:before="22" w:line="232" w:lineRule="auto"/>
        <w:ind w:left="160" w:firstLine="140"/>
        <w:rPr>
          <w:sz w:val="14"/>
        </w:rPr>
      </w:pPr>
      <w:r w:rsidRPr="00283806">
        <w:rPr>
          <w:w w:val="110"/>
          <w:position w:val="4"/>
          <w:sz w:val="9"/>
        </w:rPr>
        <w:t>32</w:t>
      </w:r>
      <w:r w:rsidRPr="00283806">
        <w:rPr>
          <w:spacing w:val="-5"/>
          <w:w w:val="110"/>
          <w:position w:val="4"/>
          <w:sz w:val="9"/>
        </w:rPr>
        <w:t xml:space="preserve"> </w:t>
      </w:r>
      <w:r w:rsidRPr="00283806">
        <w:rPr>
          <w:w w:val="110"/>
          <w:sz w:val="14"/>
        </w:rPr>
        <w:t>USGCRP,</w:t>
      </w:r>
      <w:r w:rsidRPr="00283806">
        <w:rPr>
          <w:spacing w:val="-5"/>
          <w:w w:val="110"/>
          <w:sz w:val="14"/>
        </w:rPr>
        <w:t xml:space="preserve"> </w:t>
      </w:r>
      <w:r w:rsidRPr="00283806">
        <w:rPr>
          <w:w w:val="110"/>
          <w:sz w:val="14"/>
        </w:rPr>
        <w:t>2018:</w:t>
      </w:r>
      <w:r w:rsidRPr="00283806">
        <w:rPr>
          <w:spacing w:val="-5"/>
          <w:w w:val="110"/>
          <w:sz w:val="14"/>
        </w:rPr>
        <w:t xml:space="preserve"> </w:t>
      </w:r>
      <w:r w:rsidRPr="00283806">
        <w:rPr>
          <w:w w:val="110"/>
          <w:sz w:val="14"/>
        </w:rPr>
        <w:t>Impacts,</w:t>
      </w:r>
      <w:r w:rsidRPr="00283806">
        <w:rPr>
          <w:spacing w:val="-5"/>
          <w:w w:val="110"/>
          <w:sz w:val="14"/>
        </w:rPr>
        <w:t xml:space="preserve"> </w:t>
      </w:r>
      <w:r w:rsidRPr="00283806">
        <w:rPr>
          <w:w w:val="110"/>
          <w:sz w:val="14"/>
        </w:rPr>
        <w:t>Risks,</w:t>
      </w:r>
      <w:r w:rsidRPr="00283806">
        <w:rPr>
          <w:spacing w:val="-5"/>
          <w:w w:val="110"/>
          <w:sz w:val="14"/>
        </w:rPr>
        <w:t xml:space="preserve"> </w:t>
      </w:r>
      <w:r w:rsidRPr="00283806">
        <w:rPr>
          <w:w w:val="110"/>
          <w:sz w:val="14"/>
        </w:rPr>
        <w:t>and</w:t>
      </w:r>
      <w:r w:rsidRPr="00283806">
        <w:rPr>
          <w:spacing w:val="-5"/>
          <w:w w:val="110"/>
          <w:sz w:val="14"/>
        </w:rPr>
        <w:t xml:space="preserve"> </w:t>
      </w:r>
      <w:r w:rsidRPr="00283806">
        <w:rPr>
          <w:w w:val="110"/>
          <w:sz w:val="14"/>
        </w:rPr>
        <w:t>Adaptation</w:t>
      </w:r>
      <w:r w:rsidRPr="00283806">
        <w:rPr>
          <w:spacing w:val="40"/>
          <w:w w:val="110"/>
          <w:sz w:val="14"/>
        </w:rPr>
        <w:t xml:space="preserve"> </w:t>
      </w:r>
      <w:r w:rsidRPr="00283806">
        <w:rPr>
          <w:w w:val="110"/>
          <w:sz w:val="14"/>
        </w:rPr>
        <w:t>in the United States: Fourth National Climate</w:t>
      </w:r>
      <w:r w:rsidRPr="00283806">
        <w:rPr>
          <w:spacing w:val="40"/>
          <w:w w:val="110"/>
          <w:sz w:val="14"/>
        </w:rPr>
        <w:t xml:space="preserve"> </w:t>
      </w:r>
      <w:r w:rsidRPr="00283806">
        <w:rPr>
          <w:w w:val="110"/>
          <w:sz w:val="14"/>
        </w:rPr>
        <w:t>Assessment, Volume II [Reidmiller, D.R., C.W.</w:t>
      </w:r>
      <w:r w:rsidRPr="00283806">
        <w:rPr>
          <w:spacing w:val="40"/>
          <w:w w:val="110"/>
          <w:sz w:val="14"/>
        </w:rPr>
        <w:t xml:space="preserve"> </w:t>
      </w:r>
      <w:r w:rsidRPr="00283806">
        <w:rPr>
          <w:w w:val="110"/>
          <w:sz w:val="14"/>
        </w:rPr>
        <w:t>Avery, D.R. Easterling, K.E. Kunkel, K.L.M. Lewis,</w:t>
      </w:r>
    </w:p>
    <w:p w14:paraId="4ECF7574" w14:textId="01699BEC" w:rsidR="00D67C1E" w:rsidRPr="00283806" w:rsidRDefault="001265CA">
      <w:pPr>
        <w:spacing w:before="3" w:line="232" w:lineRule="auto"/>
        <w:ind w:left="160" w:right="54"/>
        <w:rPr>
          <w:sz w:val="14"/>
        </w:rPr>
      </w:pPr>
      <w:r w:rsidRPr="00283806">
        <w:rPr>
          <w:w w:val="110"/>
          <w:sz w:val="14"/>
        </w:rPr>
        <w:t>T.K. Maycock, and B.C. Stewart (eds.)]. U.S. Global</w:t>
      </w:r>
      <w:r w:rsidRPr="00283806">
        <w:rPr>
          <w:spacing w:val="40"/>
          <w:w w:val="110"/>
          <w:sz w:val="14"/>
        </w:rPr>
        <w:t xml:space="preserve"> </w:t>
      </w:r>
      <w:r w:rsidRPr="00283806">
        <w:rPr>
          <w:w w:val="110"/>
          <w:sz w:val="14"/>
        </w:rPr>
        <w:t>Change Research Program, Washington, DC, USA,</w:t>
      </w:r>
      <w:r w:rsidRPr="00283806">
        <w:rPr>
          <w:spacing w:val="40"/>
          <w:w w:val="110"/>
          <w:sz w:val="14"/>
        </w:rPr>
        <w:t xml:space="preserve"> </w:t>
      </w:r>
      <w:r w:rsidRPr="00283806">
        <w:rPr>
          <w:w w:val="110"/>
          <w:sz w:val="14"/>
        </w:rPr>
        <w:t xml:space="preserve">1515 pp. </w:t>
      </w:r>
      <w:proofErr w:type="spellStart"/>
      <w:r w:rsidRPr="00283806">
        <w:rPr>
          <w:w w:val="110"/>
          <w:sz w:val="14"/>
        </w:rPr>
        <w:t>doi</w:t>
      </w:r>
      <w:proofErr w:type="spellEnd"/>
      <w:r w:rsidRPr="00283806">
        <w:rPr>
          <w:w w:val="110"/>
          <w:sz w:val="14"/>
        </w:rPr>
        <w:t>: 10.7930/NCA4.2018. Available at:</w:t>
      </w:r>
      <w:r w:rsidRPr="00283806">
        <w:rPr>
          <w:spacing w:val="40"/>
          <w:w w:val="115"/>
          <w:sz w:val="14"/>
        </w:rPr>
        <w:t xml:space="preserve"> </w:t>
      </w:r>
      <w:r w:rsidRPr="00283806">
        <w:rPr>
          <w:rFonts w:ascii="Book Antiqua"/>
          <w:i/>
          <w:spacing w:val="-2"/>
          <w:w w:val="115"/>
          <w:sz w:val="14"/>
        </w:rPr>
        <w:t>https://nca2018.globalchange.gov</w:t>
      </w:r>
      <w:r w:rsidRPr="00283806">
        <w:rPr>
          <w:spacing w:val="-2"/>
          <w:w w:val="115"/>
          <w:sz w:val="14"/>
        </w:rPr>
        <w:t>.</w:t>
      </w:r>
    </w:p>
    <w:p w14:paraId="07D9B0FF" w14:textId="77777777" w:rsidR="00D67C1E" w:rsidRPr="00283806" w:rsidRDefault="001265CA">
      <w:pPr>
        <w:spacing w:before="12"/>
        <w:ind w:left="300"/>
        <w:rPr>
          <w:sz w:val="14"/>
        </w:rPr>
      </w:pPr>
      <w:r w:rsidRPr="00283806">
        <w:rPr>
          <w:w w:val="110"/>
          <w:position w:val="4"/>
          <w:sz w:val="9"/>
        </w:rPr>
        <w:t>33</w:t>
      </w:r>
      <w:r w:rsidRPr="00283806">
        <w:rPr>
          <w:spacing w:val="9"/>
          <w:w w:val="110"/>
          <w:position w:val="4"/>
          <w:sz w:val="9"/>
        </w:rPr>
        <w:t xml:space="preserve"> </w:t>
      </w:r>
      <w:r w:rsidRPr="00283806">
        <w:rPr>
          <w:w w:val="110"/>
          <w:sz w:val="14"/>
        </w:rPr>
        <w:t>IPCC,</w:t>
      </w:r>
      <w:r w:rsidRPr="00283806">
        <w:rPr>
          <w:spacing w:val="21"/>
          <w:w w:val="110"/>
          <w:sz w:val="14"/>
        </w:rPr>
        <w:t xml:space="preserve"> </w:t>
      </w:r>
      <w:r w:rsidRPr="00283806">
        <w:rPr>
          <w:spacing w:val="-2"/>
          <w:w w:val="110"/>
          <w:sz w:val="14"/>
        </w:rPr>
        <w:t>2021.</w:t>
      </w:r>
    </w:p>
    <w:p w14:paraId="4567CF8C" w14:textId="77777777" w:rsidR="00D67C1E" w:rsidRPr="00283806" w:rsidRDefault="001265CA">
      <w:pPr>
        <w:spacing w:before="6" w:line="232" w:lineRule="auto"/>
        <w:ind w:left="159" w:right="199" w:firstLine="140"/>
        <w:rPr>
          <w:sz w:val="14"/>
        </w:rPr>
      </w:pPr>
      <w:r w:rsidRPr="00283806">
        <w:br w:type="column"/>
      </w:r>
      <w:r w:rsidRPr="00283806">
        <w:rPr>
          <w:w w:val="105"/>
          <w:position w:val="4"/>
          <w:sz w:val="9"/>
        </w:rPr>
        <w:t xml:space="preserve">34 </w:t>
      </w:r>
      <w:r w:rsidRPr="00283806">
        <w:rPr>
          <w:w w:val="105"/>
          <w:sz w:val="14"/>
        </w:rPr>
        <w:t>A class I or class II substance is an ozone-</w:t>
      </w:r>
      <w:r w:rsidRPr="00283806">
        <w:rPr>
          <w:spacing w:val="40"/>
          <w:w w:val="105"/>
          <w:sz w:val="14"/>
        </w:rPr>
        <w:t xml:space="preserve"> </w:t>
      </w:r>
      <w:r w:rsidRPr="00283806">
        <w:rPr>
          <w:w w:val="105"/>
          <w:sz w:val="14"/>
        </w:rPr>
        <w:t>depleting substance (ODS) listed at 40 CFR part 82,</w:t>
      </w:r>
      <w:r w:rsidRPr="00283806">
        <w:rPr>
          <w:spacing w:val="40"/>
          <w:w w:val="105"/>
          <w:sz w:val="14"/>
        </w:rPr>
        <w:t xml:space="preserve"> </w:t>
      </w:r>
      <w:r w:rsidRPr="00283806">
        <w:rPr>
          <w:w w:val="105"/>
          <w:sz w:val="14"/>
        </w:rPr>
        <w:t>subpart A, appendix A or appendix B, respectively.</w:t>
      </w:r>
      <w:r w:rsidRPr="00283806">
        <w:rPr>
          <w:spacing w:val="40"/>
          <w:w w:val="105"/>
          <w:sz w:val="14"/>
        </w:rPr>
        <w:t xml:space="preserve"> </w:t>
      </w:r>
      <w:r w:rsidRPr="00283806">
        <w:rPr>
          <w:w w:val="105"/>
          <w:sz w:val="14"/>
        </w:rPr>
        <w:t>This document refers to class I and class II</w:t>
      </w:r>
      <w:r w:rsidRPr="00283806">
        <w:rPr>
          <w:spacing w:val="40"/>
          <w:w w:val="105"/>
          <w:sz w:val="14"/>
        </w:rPr>
        <w:t xml:space="preserve"> </w:t>
      </w:r>
      <w:r w:rsidRPr="00283806">
        <w:rPr>
          <w:w w:val="105"/>
          <w:sz w:val="14"/>
        </w:rPr>
        <w:t>substances collectively as ODS.</w:t>
      </w:r>
    </w:p>
    <w:p w14:paraId="3A920E71" w14:textId="77777777" w:rsidR="00D67C1E" w:rsidRPr="00283806" w:rsidRDefault="001265CA">
      <w:pPr>
        <w:spacing w:before="22" w:line="232" w:lineRule="auto"/>
        <w:ind w:left="159" w:right="351" w:firstLine="140"/>
        <w:rPr>
          <w:sz w:val="14"/>
        </w:rPr>
      </w:pPr>
      <w:r w:rsidRPr="00283806">
        <w:rPr>
          <w:w w:val="105"/>
          <w:position w:val="4"/>
          <w:sz w:val="9"/>
        </w:rPr>
        <w:t xml:space="preserve">35 </w:t>
      </w:r>
      <w:r w:rsidRPr="00283806">
        <w:rPr>
          <w:w w:val="105"/>
          <w:sz w:val="14"/>
        </w:rPr>
        <w:t>The term ‘‘ODS refrigerant’’ as used in this</w:t>
      </w:r>
      <w:r w:rsidRPr="00283806">
        <w:rPr>
          <w:spacing w:val="40"/>
          <w:w w:val="105"/>
          <w:sz w:val="14"/>
        </w:rPr>
        <w:t xml:space="preserve"> </w:t>
      </w:r>
      <w:r w:rsidRPr="00283806">
        <w:rPr>
          <w:w w:val="105"/>
          <w:sz w:val="14"/>
        </w:rPr>
        <w:t>document refers to any refrigerant or refrigerant</w:t>
      </w:r>
      <w:r w:rsidRPr="00283806">
        <w:rPr>
          <w:spacing w:val="40"/>
          <w:w w:val="105"/>
          <w:sz w:val="14"/>
        </w:rPr>
        <w:t xml:space="preserve"> </w:t>
      </w:r>
      <w:r w:rsidRPr="00283806">
        <w:rPr>
          <w:w w:val="105"/>
          <w:sz w:val="14"/>
        </w:rPr>
        <w:t>blend in which one or more of the components is</w:t>
      </w:r>
      <w:r w:rsidRPr="00283806">
        <w:rPr>
          <w:spacing w:val="80"/>
          <w:w w:val="105"/>
          <w:sz w:val="14"/>
        </w:rPr>
        <w:t xml:space="preserve"> </w:t>
      </w:r>
      <w:r w:rsidRPr="00283806">
        <w:rPr>
          <w:w w:val="105"/>
          <w:sz w:val="14"/>
        </w:rPr>
        <w:t>a class I or class II substance.</w:t>
      </w:r>
    </w:p>
    <w:p w14:paraId="1040E410" w14:textId="77777777" w:rsidR="00D67C1E" w:rsidRPr="00283806" w:rsidRDefault="001265CA">
      <w:pPr>
        <w:spacing w:before="23" w:line="232" w:lineRule="auto"/>
        <w:ind w:left="159" w:firstLine="140"/>
        <w:rPr>
          <w:sz w:val="14"/>
        </w:rPr>
      </w:pPr>
      <w:r w:rsidRPr="00283806">
        <w:rPr>
          <w:w w:val="110"/>
          <w:position w:val="4"/>
          <w:sz w:val="9"/>
        </w:rPr>
        <w:t>36</w:t>
      </w:r>
      <w:r w:rsidRPr="00283806">
        <w:rPr>
          <w:spacing w:val="-2"/>
          <w:w w:val="110"/>
          <w:position w:val="4"/>
          <w:sz w:val="9"/>
        </w:rPr>
        <w:t xml:space="preserve"> </w:t>
      </w:r>
      <w:r w:rsidRPr="00283806">
        <w:rPr>
          <w:w w:val="110"/>
          <w:sz w:val="14"/>
        </w:rPr>
        <w:t>The term ‘‘substitute’’ for the purposes of the</w:t>
      </w:r>
      <w:r w:rsidRPr="00283806">
        <w:rPr>
          <w:spacing w:val="40"/>
          <w:w w:val="110"/>
          <w:sz w:val="14"/>
        </w:rPr>
        <w:t xml:space="preserve"> </w:t>
      </w:r>
      <w:r w:rsidRPr="00283806">
        <w:rPr>
          <w:w w:val="110"/>
          <w:sz w:val="14"/>
        </w:rPr>
        <w:t>regulations</w:t>
      </w:r>
      <w:r w:rsidRPr="00283806">
        <w:rPr>
          <w:spacing w:val="-9"/>
          <w:w w:val="110"/>
          <w:sz w:val="14"/>
        </w:rPr>
        <w:t xml:space="preserve"> </w:t>
      </w:r>
      <w:r w:rsidRPr="00283806">
        <w:rPr>
          <w:w w:val="110"/>
          <w:sz w:val="14"/>
        </w:rPr>
        <w:t>under</w:t>
      </w:r>
      <w:r w:rsidRPr="00283806">
        <w:rPr>
          <w:spacing w:val="-8"/>
          <w:w w:val="110"/>
          <w:sz w:val="14"/>
        </w:rPr>
        <w:t xml:space="preserve"> </w:t>
      </w:r>
      <w:r w:rsidRPr="00283806">
        <w:rPr>
          <w:w w:val="110"/>
          <w:sz w:val="14"/>
        </w:rPr>
        <w:t>CAA</w:t>
      </w:r>
      <w:r w:rsidRPr="00283806">
        <w:rPr>
          <w:spacing w:val="-9"/>
          <w:w w:val="110"/>
          <w:sz w:val="14"/>
        </w:rPr>
        <w:t xml:space="preserve"> </w:t>
      </w:r>
      <w:r w:rsidRPr="00283806">
        <w:rPr>
          <w:w w:val="110"/>
          <w:sz w:val="14"/>
        </w:rPr>
        <w:t>section</w:t>
      </w:r>
      <w:r w:rsidRPr="00283806">
        <w:rPr>
          <w:spacing w:val="-8"/>
          <w:w w:val="110"/>
          <w:sz w:val="14"/>
        </w:rPr>
        <w:t xml:space="preserve"> </w:t>
      </w:r>
      <w:r w:rsidRPr="00283806">
        <w:rPr>
          <w:w w:val="110"/>
          <w:sz w:val="14"/>
        </w:rPr>
        <w:t>608</w:t>
      </w:r>
      <w:r w:rsidRPr="00283806">
        <w:rPr>
          <w:spacing w:val="-9"/>
          <w:w w:val="110"/>
          <w:sz w:val="14"/>
        </w:rPr>
        <w:t xml:space="preserve"> </w:t>
      </w:r>
      <w:r w:rsidRPr="00283806">
        <w:rPr>
          <w:w w:val="110"/>
          <w:sz w:val="14"/>
        </w:rPr>
        <w:t>is</w:t>
      </w:r>
      <w:r w:rsidRPr="00283806">
        <w:rPr>
          <w:spacing w:val="-8"/>
          <w:w w:val="110"/>
          <w:sz w:val="14"/>
        </w:rPr>
        <w:t xml:space="preserve"> </w:t>
      </w:r>
      <w:r w:rsidRPr="00283806">
        <w:rPr>
          <w:w w:val="110"/>
          <w:sz w:val="14"/>
        </w:rPr>
        <w:t>defined</w:t>
      </w:r>
      <w:r w:rsidRPr="00283806">
        <w:rPr>
          <w:spacing w:val="-9"/>
          <w:w w:val="110"/>
          <w:sz w:val="14"/>
        </w:rPr>
        <w:t xml:space="preserve"> </w:t>
      </w:r>
      <w:r w:rsidRPr="00283806">
        <w:rPr>
          <w:w w:val="110"/>
          <w:sz w:val="14"/>
        </w:rPr>
        <w:t>at</w:t>
      </w:r>
      <w:r w:rsidRPr="00283806">
        <w:rPr>
          <w:spacing w:val="-8"/>
          <w:w w:val="110"/>
          <w:sz w:val="14"/>
        </w:rPr>
        <w:t xml:space="preserve"> </w:t>
      </w:r>
      <w:r w:rsidRPr="00283806">
        <w:rPr>
          <w:w w:val="110"/>
          <w:sz w:val="14"/>
        </w:rPr>
        <w:t>40</w:t>
      </w:r>
      <w:r w:rsidRPr="00283806">
        <w:rPr>
          <w:spacing w:val="40"/>
          <w:w w:val="110"/>
          <w:sz w:val="14"/>
        </w:rPr>
        <w:t xml:space="preserve"> </w:t>
      </w:r>
      <w:r w:rsidRPr="00283806">
        <w:rPr>
          <w:w w:val="110"/>
          <w:sz w:val="14"/>
        </w:rPr>
        <w:t>CFR 82.152.</w:t>
      </w:r>
    </w:p>
    <w:p w14:paraId="2479F994" w14:textId="77777777" w:rsidR="00D67C1E" w:rsidRPr="00283806" w:rsidRDefault="00D67C1E">
      <w:pPr>
        <w:spacing w:line="232" w:lineRule="auto"/>
        <w:rPr>
          <w:sz w:val="14"/>
        </w:rPr>
        <w:sectPr w:rsidR="00D67C1E" w:rsidRPr="00283806">
          <w:type w:val="continuous"/>
          <w:pgSz w:w="12240" w:h="15840"/>
          <w:pgMar w:top="880" w:right="780" w:bottom="280" w:left="740" w:header="627" w:footer="0" w:gutter="0"/>
          <w:cols w:num="3" w:space="720" w:equalWidth="0">
            <w:col w:w="3403" w:space="137"/>
            <w:col w:w="3484" w:space="56"/>
            <w:col w:w="3640"/>
          </w:cols>
        </w:sectPr>
      </w:pPr>
    </w:p>
    <w:p w14:paraId="76686C58" w14:textId="77777777" w:rsidR="00D67C1E" w:rsidRPr="00283806" w:rsidRDefault="001265CA">
      <w:pPr>
        <w:pStyle w:val="BodyText"/>
        <w:spacing w:before="136" w:line="225" w:lineRule="auto"/>
      </w:pPr>
      <w:r w:rsidRPr="00283806">
        <w:rPr>
          <w:w w:val="105"/>
        </w:rPr>
        <w:lastRenderedPageBreak/>
        <w:t>substitute</w:t>
      </w:r>
      <w:r w:rsidRPr="00283806">
        <w:rPr>
          <w:spacing w:val="-2"/>
          <w:w w:val="105"/>
        </w:rPr>
        <w:t xml:space="preserve"> </w:t>
      </w:r>
      <w:r w:rsidRPr="00283806">
        <w:rPr>
          <w:w w:val="105"/>
        </w:rPr>
        <w:t>refrigerant</w:t>
      </w:r>
      <w:r w:rsidRPr="00283806">
        <w:rPr>
          <w:spacing w:val="-2"/>
          <w:w w:val="105"/>
        </w:rPr>
        <w:t xml:space="preserve"> </w:t>
      </w:r>
      <w:r w:rsidRPr="00283806">
        <w:rPr>
          <w:w w:val="105"/>
        </w:rPr>
        <w:t>‘‘does</w:t>
      </w:r>
      <w:r w:rsidRPr="00283806">
        <w:rPr>
          <w:spacing w:val="-2"/>
          <w:w w:val="105"/>
        </w:rPr>
        <w:t xml:space="preserve"> </w:t>
      </w:r>
      <w:r w:rsidRPr="00283806">
        <w:rPr>
          <w:w w:val="105"/>
        </w:rPr>
        <w:t>not</w:t>
      </w:r>
      <w:r w:rsidRPr="00283806">
        <w:rPr>
          <w:spacing w:val="-2"/>
          <w:w w:val="105"/>
        </w:rPr>
        <w:t xml:space="preserve"> </w:t>
      </w:r>
      <w:r w:rsidRPr="00283806">
        <w:rPr>
          <w:w w:val="105"/>
        </w:rPr>
        <w:t>pose</w:t>
      </w:r>
      <w:r w:rsidRPr="00283806">
        <w:rPr>
          <w:spacing w:val="-2"/>
          <w:w w:val="105"/>
        </w:rPr>
        <w:t xml:space="preserve"> </w:t>
      </w:r>
      <w:r w:rsidRPr="00283806">
        <w:rPr>
          <w:w w:val="105"/>
        </w:rPr>
        <w:t>a threat to the environment.’’</w:t>
      </w:r>
    </w:p>
    <w:p w14:paraId="1F11540C" w14:textId="77777777" w:rsidR="00D67C1E" w:rsidRPr="00283806" w:rsidRDefault="001265CA">
      <w:pPr>
        <w:pStyle w:val="BodyText"/>
        <w:spacing w:line="179" w:lineRule="exact"/>
        <w:ind w:left="340"/>
      </w:pPr>
      <w:r w:rsidRPr="00283806">
        <w:rPr>
          <w:w w:val="105"/>
        </w:rPr>
        <w:t>EPA</w:t>
      </w:r>
      <w:r w:rsidRPr="00283806">
        <w:rPr>
          <w:spacing w:val="12"/>
          <w:w w:val="105"/>
        </w:rPr>
        <w:t xml:space="preserve"> </w:t>
      </w:r>
      <w:r w:rsidRPr="00283806">
        <w:rPr>
          <w:w w:val="105"/>
        </w:rPr>
        <w:t>first</w:t>
      </w:r>
      <w:r w:rsidRPr="00283806">
        <w:rPr>
          <w:spacing w:val="14"/>
          <w:w w:val="105"/>
        </w:rPr>
        <w:t xml:space="preserve"> </w:t>
      </w:r>
      <w:r w:rsidRPr="00283806">
        <w:rPr>
          <w:w w:val="105"/>
        </w:rPr>
        <w:t>issued</w:t>
      </w:r>
      <w:r w:rsidRPr="00283806">
        <w:rPr>
          <w:spacing w:val="14"/>
          <w:w w:val="105"/>
        </w:rPr>
        <w:t xml:space="preserve"> </w:t>
      </w:r>
      <w:r w:rsidRPr="00283806">
        <w:rPr>
          <w:w w:val="105"/>
        </w:rPr>
        <w:t>regulations</w:t>
      </w:r>
      <w:r w:rsidRPr="00283806">
        <w:rPr>
          <w:spacing w:val="15"/>
          <w:w w:val="105"/>
        </w:rPr>
        <w:t xml:space="preserve"> </w:t>
      </w:r>
      <w:r w:rsidRPr="00283806">
        <w:rPr>
          <w:spacing w:val="-2"/>
          <w:w w:val="105"/>
        </w:rPr>
        <w:t>under</w:t>
      </w:r>
    </w:p>
    <w:p w14:paraId="76D20F5F" w14:textId="77777777" w:rsidR="00D67C1E" w:rsidRPr="00283806" w:rsidRDefault="001265CA">
      <w:pPr>
        <w:pStyle w:val="BodyText"/>
        <w:spacing w:before="4" w:line="225" w:lineRule="auto"/>
        <w:ind w:right="97"/>
      </w:pPr>
      <w:r w:rsidRPr="00283806">
        <w:rPr>
          <w:w w:val="105"/>
        </w:rPr>
        <w:t>CAA section 608 on May 14, 1993 (58</w:t>
      </w:r>
      <w:r w:rsidRPr="00283806">
        <w:rPr>
          <w:spacing w:val="80"/>
          <w:w w:val="105"/>
        </w:rPr>
        <w:t xml:space="preserve"> </w:t>
      </w:r>
      <w:r w:rsidRPr="00283806">
        <w:rPr>
          <w:w w:val="105"/>
        </w:rPr>
        <w:t>FR 28660, ‘‘1993 Rule’’), to establish the national refrigerant management program for ODS refrigerants recovered during the service, repair, or disposal of air conditioning and refrigeration appliances. Since then, EPA has revised these regulations, which are found at 40 CFR part 82, subpart F, (‘‘subpart F’’), through subsequent rulemakings published between 1994 and 2020.</w:t>
      </w:r>
    </w:p>
    <w:p w14:paraId="73A4A67F" w14:textId="77777777" w:rsidR="00D67C1E" w:rsidRPr="00283806" w:rsidRDefault="001265CA">
      <w:pPr>
        <w:pStyle w:val="BodyText"/>
        <w:spacing w:line="225" w:lineRule="auto"/>
        <w:ind w:right="9"/>
      </w:pPr>
      <w:r w:rsidRPr="00283806">
        <w:rPr>
          <w:w w:val="105"/>
        </w:rPr>
        <w:t>Regulations issued under CAA section 608 include, among other things, the venting prohibition and sales</w:t>
      </w:r>
      <w:r w:rsidRPr="00283806">
        <w:rPr>
          <w:spacing w:val="80"/>
          <w:w w:val="105"/>
        </w:rPr>
        <w:t xml:space="preserve"> </w:t>
      </w:r>
      <w:r w:rsidRPr="00283806">
        <w:rPr>
          <w:w w:val="105"/>
        </w:rPr>
        <w:t>restrictions for refrigerants (40 CFR 82.154); safe disposal of appliances (40 CFR 82.155); proper practices for the evacuation of refrigerant from</w:t>
      </w:r>
      <w:r w:rsidRPr="00283806">
        <w:rPr>
          <w:spacing w:val="80"/>
          <w:w w:val="105"/>
        </w:rPr>
        <w:t xml:space="preserve"> </w:t>
      </w:r>
      <w:r w:rsidRPr="00283806">
        <w:rPr>
          <w:w w:val="105"/>
        </w:rPr>
        <w:t>appliances (40 CFR 82.156); required practices for appliance maintenance and leak repair (40 CFR 82.157); standards for recovery and/or recycling equipment (40 CFR 82.158); technician and reclaimer certification requirements (40 CFR 82.161 and 82.164, respectively); and reporting and recordkeeping requirements (40 CFR 82.166).</w:t>
      </w:r>
    </w:p>
    <w:p w14:paraId="0E944110" w14:textId="77777777" w:rsidR="00D67C1E" w:rsidRPr="00283806" w:rsidRDefault="001265CA">
      <w:pPr>
        <w:pStyle w:val="BodyText"/>
        <w:spacing w:line="225" w:lineRule="auto"/>
        <w:ind w:right="81"/>
      </w:pPr>
      <w:r w:rsidRPr="00283806">
        <w:rPr>
          <w:w w:val="110"/>
        </w:rPr>
        <w:t>Appendices</w:t>
      </w:r>
      <w:r w:rsidRPr="00283806">
        <w:rPr>
          <w:spacing w:val="-7"/>
          <w:w w:val="110"/>
        </w:rPr>
        <w:t xml:space="preserve"> </w:t>
      </w:r>
      <w:r w:rsidRPr="00283806">
        <w:rPr>
          <w:w w:val="110"/>
        </w:rPr>
        <w:t>A</w:t>
      </w:r>
      <w:r w:rsidRPr="00283806">
        <w:rPr>
          <w:spacing w:val="-7"/>
          <w:w w:val="110"/>
        </w:rPr>
        <w:t xml:space="preserve"> </w:t>
      </w:r>
      <w:r w:rsidRPr="00283806">
        <w:rPr>
          <w:w w:val="110"/>
        </w:rPr>
        <w:t>through</w:t>
      </w:r>
      <w:r w:rsidRPr="00283806">
        <w:rPr>
          <w:spacing w:val="-7"/>
          <w:w w:val="110"/>
        </w:rPr>
        <w:t xml:space="preserve"> </w:t>
      </w:r>
      <w:r w:rsidRPr="00283806">
        <w:rPr>
          <w:w w:val="110"/>
        </w:rPr>
        <w:t>E</w:t>
      </w:r>
      <w:r w:rsidRPr="00283806">
        <w:rPr>
          <w:spacing w:val="-7"/>
          <w:w w:val="110"/>
        </w:rPr>
        <w:t xml:space="preserve"> </w:t>
      </w:r>
      <w:r w:rsidRPr="00283806">
        <w:rPr>
          <w:w w:val="110"/>
        </w:rPr>
        <w:t>at</w:t>
      </w:r>
      <w:r w:rsidRPr="00283806">
        <w:rPr>
          <w:spacing w:val="-7"/>
          <w:w w:val="110"/>
        </w:rPr>
        <w:t xml:space="preserve"> </w:t>
      </w:r>
      <w:r w:rsidRPr="00283806">
        <w:rPr>
          <w:w w:val="110"/>
        </w:rPr>
        <w:t>40</w:t>
      </w:r>
      <w:r w:rsidRPr="00283806">
        <w:rPr>
          <w:spacing w:val="-7"/>
          <w:w w:val="110"/>
        </w:rPr>
        <w:t xml:space="preserve"> </w:t>
      </w:r>
      <w:r w:rsidRPr="00283806">
        <w:rPr>
          <w:w w:val="110"/>
        </w:rPr>
        <w:t>CFR</w:t>
      </w:r>
      <w:r w:rsidRPr="00283806">
        <w:rPr>
          <w:spacing w:val="-7"/>
          <w:w w:val="110"/>
        </w:rPr>
        <w:t xml:space="preserve"> </w:t>
      </w:r>
      <w:r w:rsidRPr="00283806">
        <w:rPr>
          <w:w w:val="110"/>
        </w:rPr>
        <w:t>part 82, subpart F, provide, among other things, specifications for refrigerants; performance</w:t>
      </w:r>
      <w:r w:rsidRPr="00283806">
        <w:rPr>
          <w:spacing w:val="-1"/>
          <w:w w:val="110"/>
        </w:rPr>
        <w:t xml:space="preserve"> </w:t>
      </w:r>
      <w:r w:rsidRPr="00283806">
        <w:rPr>
          <w:w w:val="110"/>
        </w:rPr>
        <w:t>standards</w:t>
      </w:r>
      <w:r w:rsidRPr="00283806">
        <w:rPr>
          <w:spacing w:val="-1"/>
          <w:w w:val="110"/>
        </w:rPr>
        <w:t xml:space="preserve"> </w:t>
      </w:r>
      <w:r w:rsidRPr="00283806">
        <w:rPr>
          <w:w w:val="110"/>
        </w:rPr>
        <w:t>for</w:t>
      </w:r>
      <w:r w:rsidRPr="00283806">
        <w:rPr>
          <w:spacing w:val="-1"/>
          <w:w w:val="110"/>
        </w:rPr>
        <w:t xml:space="preserve"> </w:t>
      </w:r>
      <w:r w:rsidRPr="00283806">
        <w:rPr>
          <w:w w:val="110"/>
        </w:rPr>
        <w:t xml:space="preserve">refrigerant recovery, recycling, and/or reclaiming </w:t>
      </w:r>
      <w:r w:rsidRPr="00283806">
        <w:t>equipment;</w:t>
      </w:r>
      <w:r w:rsidRPr="00283806">
        <w:rPr>
          <w:spacing w:val="40"/>
        </w:rPr>
        <w:t xml:space="preserve"> </w:t>
      </w:r>
      <w:r w:rsidRPr="00283806">
        <w:t>and</w:t>
      </w:r>
      <w:r w:rsidRPr="00283806">
        <w:rPr>
          <w:spacing w:val="40"/>
        </w:rPr>
        <w:t xml:space="preserve"> </w:t>
      </w:r>
      <w:r w:rsidRPr="00283806">
        <w:t>standards</w:t>
      </w:r>
      <w:r w:rsidRPr="00283806">
        <w:rPr>
          <w:spacing w:val="40"/>
        </w:rPr>
        <w:t xml:space="preserve"> </w:t>
      </w:r>
      <w:r w:rsidRPr="00283806">
        <w:t>for</w:t>
      </w:r>
      <w:r w:rsidRPr="00283806">
        <w:rPr>
          <w:spacing w:val="40"/>
        </w:rPr>
        <w:t xml:space="preserve"> </w:t>
      </w:r>
      <w:r w:rsidRPr="00283806">
        <w:t>becoming</w:t>
      </w:r>
      <w:r w:rsidRPr="00283806">
        <w:rPr>
          <w:w w:val="110"/>
        </w:rPr>
        <w:t xml:space="preserve"> a certifying program for technicians.</w:t>
      </w:r>
    </w:p>
    <w:p w14:paraId="6890BE14" w14:textId="77777777" w:rsidR="00D67C1E" w:rsidRPr="00283806" w:rsidRDefault="001265CA">
      <w:pPr>
        <w:pStyle w:val="BodyText"/>
        <w:spacing w:line="178" w:lineRule="exact"/>
        <w:ind w:left="340"/>
      </w:pPr>
      <w:r w:rsidRPr="00283806">
        <w:rPr>
          <w:w w:val="105"/>
        </w:rPr>
        <w:t>As</w:t>
      </w:r>
      <w:r w:rsidRPr="00283806">
        <w:rPr>
          <w:spacing w:val="9"/>
          <w:w w:val="105"/>
        </w:rPr>
        <w:t xml:space="preserve"> </w:t>
      </w:r>
      <w:r w:rsidRPr="00283806">
        <w:rPr>
          <w:w w:val="105"/>
        </w:rPr>
        <w:t>it</w:t>
      </w:r>
      <w:r w:rsidRPr="00283806">
        <w:rPr>
          <w:spacing w:val="10"/>
          <w:w w:val="105"/>
        </w:rPr>
        <w:t xml:space="preserve"> </w:t>
      </w:r>
      <w:r w:rsidRPr="00283806">
        <w:rPr>
          <w:w w:val="105"/>
        </w:rPr>
        <w:t>pertains</w:t>
      </w:r>
      <w:r w:rsidRPr="00283806">
        <w:rPr>
          <w:spacing w:val="9"/>
          <w:w w:val="105"/>
        </w:rPr>
        <w:t xml:space="preserve"> </w:t>
      </w:r>
      <w:r w:rsidRPr="00283806">
        <w:rPr>
          <w:w w:val="105"/>
        </w:rPr>
        <w:t>to</w:t>
      </w:r>
      <w:r w:rsidRPr="00283806">
        <w:rPr>
          <w:spacing w:val="10"/>
          <w:w w:val="105"/>
        </w:rPr>
        <w:t xml:space="preserve"> </w:t>
      </w:r>
      <w:r w:rsidRPr="00283806">
        <w:rPr>
          <w:w w:val="105"/>
        </w:rPr>
        <w:t>regulations</w:t>
      </w:r>
      <w:r w:rsidRPr="00283806">
        <w:rPr>
          <w:spacing w:val="10"/>
          <w:w w:val="105"/>
        </w:rPr>
        <w:t xml:space="preserve"> </w:t>
      </w:r>
      <w:r w:rsidRPr="00283806">
        <w:rPr>
          <w:spacing w:val="-2"/>
          <w:w w:val="105"/>
        </w:rPr>
        <w:t>under</w:t>
      </w:r>
    </w:p>
    <w:p w14:paraId="13D8F91C" w14:textId="77777777" w:rsidR="00D67C1E" w:rsidRPr="00283806" w:rsidRDefault="001265CA">
      <w:pPr>
        <w:pStyle w:val="BodyText"/>
        <w:spacing w:line="225" w:lineRule="auto"/>
      </w:pPr>
      <w:r w:rsidRPr="00283806">
        <w:rPr>
          <w:w w:val="105"/>
        </w:rPr>
        <w:t>CAA section 608, EPA has used the term ‘‘non-exempt substitute’’ to refer to non- ozone depleting refrigerants that have</w:t>
      </w:r>
      <w:r w:rsidRPr="00283806">
        <w:rPr>
          <w:spacing w:val="40"/>
          <w:w w:val="105"/>
        </w:rPr>
        <w:t xml:space="preserve"> </w:t>
      </w:r>
      <w:r w:rsidRPr="00283806">
        <w:rPr>
          <w:w w:val="105"/>
        </w:rPr>
        <w:t>not been exempted from the venting prohibition under CAA section 608(c)(2) and 40 CFR 82.154(a) in the relevant</w:t>
      </w:r>
      <w:r w:rsidRPr="00283806">
        <w:rPr>
          <w:spacing w:val="80"/>
          <w:w w:val="105"/>
        </w:rPr>
        <w:t xml:space="preserve"> </w:t>
      </w:r>
      <w:r w:rsidRPr="00283806">
        <w:rPr>
          <w:w w:val="105"/>
        </w:rPr>
        <w:t>end use. Similarly, the term ‘‘exempt substitute’’ refers to a non-ozone depleting refrigerant that has been exempted from the venting prohibition under</w:t>
      </w:r>
      <w:r w:rsidRPr="00283806">
        <w:rPr>
          <w:spacing w:val="40"/>
          <w:w w:val="105"/>
        </w:rPr>
        <w:t xml:space="preserve"> </w:t>
      </w:r>
      <w:r w:rsidRPr="00283806">
        <w:rPr>
          <w:w w:val="105"/>
        </w:rPr>
        <w:t>CAA</w:t>
      </w:r>
      <w:r w:rsidRPr="00283806">
        <w:rPr>
          <w:spacing w:val="40"/>
          <w:w w:val="105"/>
        </w:rPr>
        <w:t xml:space="preserve"> </w:t>
      </w:r>
      <w:r w:rsidRPr="00283806">
        <w:rPr>
          <w:w w:val="105"/>
        </w:rPr>
        <w:t>section</w:t>
      </w:r>
      <w:r w:rsidRPr="00283806">
        <w:rPr>
          <w:spacing w:val="40"/>
          <w:w w:val="105"/>
        </w:rPr>
        <w:t xml:space="preserve"> </w:t>
      </w:r>
      <w:r w:rsidRPr="00283806">
        <w:rPr>
          <w:w w:val="105"/>
        </w:rPr>
        <w:t>608(c)(2)</w:t>
      </w:r>
      <w:r w:rsidRPr="00283806">
        <w:rPr>
          <w:spacing w:val="40"/>
          <w:w w:val="105"/>
        </w:rPr>
        <w:t xml:space="preserve"> </w:t>
      </w:r>
      <w:r w:rsidRPr="00283806">
        <w:rPr>
          <w:w w:val="105"/>
        </w:rPr>
        <w:t>and</w:t>
      </w:r>
      <w:r w:rsidRPr="00283806">
        <w:rPr>
          <w:spacing w:val="40"/>
          <w:w w:val="105"/>
        </w:rPr>
        <w:t xml:space="preserve"> </w:t>
      </w:r>
      <w:r w:rsidRPr="00283806">
        <w:rPr>
          <w:w w:val="105"/>
        </w:rPr>
        <w:t>40 CFR 82.154(a) in the relevant end use.</w:t>
      </w:r>
    </w:p>
    <w:p w14:paraId="05D9539C" w14:textId="77777777" w:rsidR="00D67C1E" w:rsidRPr="00283806" w:rsidRDefault="001265CA">
      <w:pPr>
        <w:pStyle w:val="BodyText"/>
        <w:spacing w:line="225" w:lineRule="auto"/>
      </w:pPr>
      <w:r w:rsidRPr="00283806">
        <w:rPr>
          <w:w w:val="105"/>
        </w:rPr>
        <w:t>A few exempt substitutes have been exempted from the venting prohibition</w:t>
      </w:r>
      <w:r w:rsidRPr="00283806">
        <w:rPr>
          <w:spacing w:val="80"/>
          <w:w w:val="105"/>
        </w:rPr>
        <w:t xml:space="preserve"> </w:t>
      </w:r>
      <w:r w:rsidRPr="00283806">
        <w:rPr>
          <w:w w:val="105"/>
        </w:rPr>
        <w:t>in</w:t>
      </w:r>
      <w:r w:rsidRPr="00283806">
        <w:rPr>
          <w:spacing w:val="40"/>
          <w:w w:val="105"/>
        </w:rPr>
        <w:t xml:space="preserve"> </w:t>
      </w:r>
      <w:r w:rsidRPr="00283806">
        <w:rPr>
          <w:w w:val="105"/>
        </w:rPr>
        <w:t>all</w:t>
      </w:r>
      <w:r w:rsidRPr="00283806">
        <w:rPr>
          <w:spacing w:val="40"/>
          <w:w w:val="105"/>
        </w:rPr>
        <w:t xml:space="preserve"> </w:t>
      </w:r>
      <w:r w:rsidRPr="00283806">
        <w:rPr>
          <w:w w:val="105"/>
        </w:rPr>
        <w:t>applications.</w:t>
      </w:r>
      <w:r w:rsidRPr="00283806">
        <w:rPr>
          <w:spacing w:val="40"/>
          <w:w w:val="105"/>
        </w:rPr>
        <w:t xml:space="preserve"> </w:t>
      </w:r>
      <w:r w:rsidRPr="00283806">
        <w:rPr>
          <w:w w:val="105"/>
        </w:rPr>
        <w:t>Notably,</w:t>
      </w:r>
      <w:r w:rsidRPr="00283806">
        <w:rPr>
          <w:spacing w:val="40"/>
          <w:w w:val="105"/>
        </w:rPr>
        <w:t xml:space="preserve"> </w:t>
      </w:r>
      <w:r w:rsidRPr="00283806">
        <w:rPr>
          <w:w w:val="105"/>
        </w:rPr>
        <w:t>in</w:t>
      </w:r>
      <w:r w:rsidRPr="00283806">
        <w:rPr>
          <w:spacing w:val="40"/>
          <w:w w:val="105"/>
        </w:rPr>
        <w:t xml:space="preserve"> </w:t>
      </w:r>
      <w:r w:rsidRPr="00283806">
        <w:rPr>
          <w:w w:val="105"/>
        </w:rPr>
        <w:t>2016, EPA updated existing refrigerant management</w:t>
      </w:r>
      <w:r w:rsidRPr="00283806">
        <w:rPr>
          <w:spacing w:val="-4"/>
          <w:w w:val="105"/>
        </w:rPr>
        <w:t xml:space="preserve"> </w:t>
      </w:r>
      <w:r w:rsidRPr="00283806">
        <w:rPr>
          <w:w w:val="105"/>
        </w:rPr>
        <w:t>requirements</w:t>
      </w:r>
      <w:r w:rsidRPr="00283806">
        <w:rPr>
          <w:spacing w:val="-4"/>
          <w:w w:val="105"/>
        </w:rPr>
        <w:t xml:space="preserve"> </w:t>
      </w:r>
      <w:r w:rsidRPr="00283806">
        <w:rPr>
          <w:w w:val="105"/>
        </w:rPr>
        <w:t>and</w:t>
      </w:r>
      <w:r w:rsidRPr="00283806">
        <w:rPr>
          <w:spacing w:val="-4"/>
          <w:w w:val="105"/>
        </w:rPr>
        <w:t xml:space="preserve"> </w:t>
      </w:r>
      <w:r w:rsidRPr="00283806">
        <w:rPr>
          <w:w w:val="105"/>
        </w:rPr>
        <w:t>extended the full set of the subpart F refrigerant management requirements, which prior to that rule applied only to ODS refrigerants,</w:t>
      </w:r>
      <w:r w:rsidRPr="00283806">
        <w:rPr>
          <w:w w:val="105"/>
          <w:position w:val="5"/>
          <w:sz w:val="11"/>
        </w:rPr>
        <w:t>37</w:t>
      </w:r>
      <w:r w:rsidRPr="00283806">
        <w:rPr>
          <w:spacing w:val="40"/>
          <w:w w:val="105"/>
          <w:position w:val="5"/>
          <w:sz w:val="11"/>
        </w:rPr>
        <w:t xml:space="preserve"> </w:t>
      </w:r>
      <w:r w:rsidRPr="00283806">
        <w:rPr>
          <w:w w:val="105"/>
        </w:rPr>
        <w:t xml:space="preserve">to non-exempt substitute refrigerants, such as HFCs and </w:t>
      </w:r>
      <w:proofErr w:type="spellStart"/>
      <w:r w:rsidRPr="00283806">
        <w:rPr>
          <w:w w:val="105"/>
        </w:rPr>
        <w:t>hydrofluoroolefins</w:t>
      </w:r>
      <w:proofErr w:type="spellEnd"/>
      <w:r w:rsidRPr="00283806">
        <w:rPr>
          <w:w w:val="105"/>
        </w:rPr>
        <w:t xml:space="preserve"> (HFOs). See 81 FR 82272 (November 18, 2016), hereafter</w:t>
      </w:r>
    </w:p>
    <w:p w14:paraId="7D693021" w14:textId="77777777" w:rsidR="00D67C1E" w:rsidRPr="00283806" w:rsidRDefault="001265CA">
      <w:pPr>
        <w:pStyle w:val="BodyText"/>
        <w:spacing w:line="225" w:lineRule="auto"/>
      </w:pPr>
      <w:r w:rsidRPr="00283806">
        <w:rPr>
          <w:w w:val="110"/>
        </w:rPr>
        <w:t xml:space="preserve">‘‘2016 CAA Section 608 Rule.’’ Among </w:t>
      </w:r>
      <w:r w:rsidRPr="00283806">
        <w:t>the</w:t>
      </w:r>
      <w:r w:rsidRPr="00283806">
        <w:rPr>
          <w:spacing w:val="31"/>
        </w:rPr>
        <w:t xml:space="preserve"> </w:t>
      </w:r>
      <w:r w:rsidRPr="00283806">
        <w:t>subpart</w:t>
      </w:r>
      <w:r w:rsidRPr="00283806">
        <w:rPr>
          <w:spacing w:val="32"/>
        </w:rPr>
        <w:t xml:space="preserve"> </w:t>
      </w:r>
      <w:r w:rsidRPr="00283806">
        <w:t>F</w:t>
      </w:r>
      <w:r w:rsidRPr="00283806">
        <w:rPr>
          <w:spacing w:val="32"/>
        </w:rPr>
        <w:t xml:space="preserve"> </w:t>
      </w:r>
      <w:r w:rsidRPr="00283806">
        <w:t>requirements</w:t>
      </w:r>
      <w:r w:rsidRPr="00283806">
        <w:rPr>
          <w:spacing w:val="32"/>
        </w:rPr>
        <w:t xml:space="preserve"> </w:t>
      </w:r>
      <w:r w:rsidRPr="00283806">
        <w:t>extended</w:t>
      </w:r>
      <w:r w:rsidRPr="00283806">
        <w:rPr>
          <w:spacing w:val="32"/>
        </w:rPr>
        <w:t xml:space="preserve"> </w:t>
      </w:r>
      <w:r w:rsidRPr="00283806">
        <w:rPr>
          <w:spacing w:val="-5"/>
        </w:rPr>
        <w:t>to</w:t>
      </w:r>
    </w:p>
    <w:p w14:paraId="4768657D" w14:textId="77777777" w:rsidR="00D67C1E" w:rsidRPr="00283806" w:rsidRDefault="001265CA">
      <w:pPr>
        <w:pStyle w:val="BodyText"/>
        <w:ind w:left="0"/>
        <w:rPr>
          <w:sz w:val="10"/>
        </w:rPr>
      </w:pPr>
      <w:r w:rsidRPr="00283806">
        <w:rPr>
          <w:noProof/>
        </w:rPr>
        <mc:AlternateContent>
          <mc:Choice Requires="wps">
            <w:drawing>
              <wp:anchor distT="0" distB="0" distL="0" distR="0" simplePos="0" relativeHeight="251623424" behindDoc="1" locked="0" layoutInCell="1" allowOverlap="1" wp14:anchorId="546A84CC" wp14:editId="2851461F">
                <wp:simplePos x="0" y="0"/>
                <wp:positionH relativeFrom="page">
                  <wp:posOffset>571500</wp:posOffset>
                </wp:positionH>
                <wp:positionV relativeFrom="paragraph">
                  <wp:posOffset>89721</wp:posOffset>
                </wp:positionV>
                <wp:extent cx="635000" cy="1270"/>
                <wp:effectExtent l="0" t="0" r="0" b="0"/>
                <wp:wrapTopAndBottom/>
                <wp:docPr id="53" name="Graphic 5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3B94B17" id="Graphic 53" o:spid="_x0000_s1026" alt="&quot;&quot;" style="position:absolute;margin-left:45pt;margin-top:7.05pt;width:50pt;height:.1pt;z-index:-251693056;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" path="m,l635000,e" filled="f" strokeweight=".5pt">
                <v:path arrowok="t"/>
                <w10:wrap type="topAndBottom" anchorx="page"/>
              </v:shape>
            </w:pict>
          </mc:Fallback>
        </mc:AlternateContent>
      </w:r>
    </w:p>
    <w:p w14:paraId="0B0A3DDC" w14:textId="77777777" w:rsidR="00D67C1E" w:rsidRPr="00283806" w:rsidRDefault="001265CA">
      <w:pPr>
        <w:spacing w:before="42" w:line="228" w:lineRule="auto"/>
        <w:ind w:left="159" w:right="76" w:firstLine="140"/>
        <w:rPr>
          <w:sz w:val="14"/>
        </w:rPr>
      </w:pPr>
      <w:r w:rsidRPr="00283806">
        <w:rPr>
          <w:w w:val="105"/>
          <w:position w:val="4"/>
          <w:sz w:val="9"/>
        </w:rPr>
        <w:t xml:space="preserve">37 </w:t>
      </w:r>
      <w:r w:rsidRPr="00283806">
        <w:rPr>
          <w:w w:val="105"/>
          <w:sz w:val="14"/>
        </w:rPr>
        <w:t>The only 40 CFR part 82, subpart F</w:t>
      </w:r>
      <w:r w:rsidRPr="00283806">
        <w:rPr>
          <w:spacing w:val="40"/>
          <w:w w:val="105"/>
          <w:sz w:val="14"/>
        </w:rPr>
        <w:t xml:space="preserve"> </w:t>
      </w:r>
      <w:r w:rsidRPr="00283806">
        <w:rPr>
          <w:w w:val="105"/>
          <w:sz w:val="14"/>
        </w:rPr>
        <w:t>requirements</w:t>
      </w:r>
      <w:r w:rsidRPr="00283806">
        <w:rPr>
          <w:spacing w:val="-5"/>
          <w:w w:val="105"/>
          <w:sz w:val="14"/>
        </w:rPr>
        <w:t xml:space="preserve"> </w:t>
      </w:r>
      <w:r w:rsidRPr="00283806">
        <w:rPr>
          <w:w w:val="105"/>
          <w:sz w:val="14"/>
        </w:rPr>
        <w:t>that</w:t>
      </w:r>
      <w:r w:rsidRPr="00283806">
        <w:rPr>
          <w:spacing w:val="-5"/>
          <w:w w:val="105"/>
          <w:sz w:val="14"/>
        </w:rPr>
        <w:t xml:space="preserve"> </w:t>
      </w:r>
      <w:r w:rsidRPr="00283806">
        <w:rPr>
          <w:w w:val="105"/>
          <w:sz w:val="14"/>
        </w:rPr>
        <w:t>applied</w:t>
      </w:r>
      <w:r w:rsidRPr="00283806">
        <w:rPr>
          <w:spacing w:val="-5"/>
          <w:w w:val="105"/>
          <w:sz w:val="14"/>
        </w:rPr>
        <w:t xml:space="preserve"> </w:t>
      </w:r>
      <w:r w:rsidRPr="00283806">
        <w:rPr>
          <w:w w:val="105"/>
          <w:sz w:val="14"/>
        </w:rPr>
        <w:t>to</w:t>
      </w:r>
      <w:r w:rsidRPr="00283806">
        <w:rPr>
          <w:spacing w:val="-5"/>
          <w:w w:val="105"/>
          <w:sz w:val="14"/>
        </w:rPr>
        <w:t xml:space="preserve"> </w:t>
      </w:r>
      <w:r w:rsidRPr="00283806">
        <w:rPr>
          <w:w w:val="105"/>
          <w:sz w:val="14"/>
        </w:rPr>
        <w:t>substitute</w:t>
      </w:r>
      <w:r w:rsidRPr="00283806">
        <w:rPr>
          <w:spacing w:val="-5"/>
          <w:w w:val="105"/>
          <w:sz w:val="14"/>
        </w:rPr>
        <w:t xml:space="preserve"> </w:t>
      </w:r>
      <w:r w:rsidRPr="00283806">
        <w:rPr>
          <w:w w:val="105"/>
          <w:sz w:val="14"/>
        </w:rPr>
        <w:t>refrigerants</w:t>
      </w:r>
      <w:r w:rsidRPr="00283806">
        <w:rPr>
          <w:spacing w:val="40"/>
          <w:w w:val="105"/>
          <w:sz w:val="14"/>
        </w:rPr>
        <w:t xml:space="preserve"> </w:t>
      </w:r>
      <w:r w:rsidRPr="00283806">
        <w:rPr>
          <w:w w:val="105"/>
          <w:sz w:val="14"/>
        </w:rPr>
        <w:t>prior to the 2016 CAA Section 608 Rule were the</w:t>
      </w:r>
      <w:r w:rsidRPr="00283806">
        <w:rPr>
          <w:spacing w:val="40"/>
          <w:w w:val="105"/>
          <w:sz w:val="14"/>
        </w:rPr>
        <w:t xml:space="preserve"> </w:t>
      </w:r>
      <w:r w:rsidRPr="00283806">
        <w:rPr>
          <w:w w:val="105"/>
          <w:sz w:val="14"/>
        </w:rPr>
        <w:t>venting prohibition and certain exemptions from</w:t>
      </w:r>
      <w:r w:rsidRPr="00283806">
        <w:rPr>
          <w:spacing w:val="40"/>
          <w:w w:val="105"/>
          <w:sz w:val="14"/>
        </w:rPr>
        <w:t xml:space="preserve"> </w:t>
      </w:r>
      <w:r w:rsidRPr="00283806">
        <w:rPr>
          <w:w w:val="105"/>
          <w:sz w:val="14"/>
        </w:rPr>
        <w:t>that prohibition, as set forth in section 82.154(a).</w:t>
      </w:r>
    </w:p>
    <w:p w14:paraId="22F3E569" w14:textId="77777777" w:rsidR="00D67C1E" w:rsidRPr="00283806" w:rsidRDefault="001265CA">
      <w:pPr>
        <w:pStyle w:val="BodyText"/>
        <w:spacing w:before="134" w:line="228" w:lineRule="auto"/>
        <w:ind w:left="142"/>
      </w:pPr>
      <w:r w:rsidRPr="00283806">
        <w:br w:type="column"/>
      </w:r>
      <w:r w:rsidRPr="00283806">
        <w:rPr>
          <w:w w:val="105"/>
        </w:rPr>
        <w:t>non-exempt substitute refrigerants in</w:t>
      </w:r>
      <w:r w:rsidRPr="00283806">
        <w:rPr>
          <w:spacing w:val="80"/>
          <w:w w:val="105"/>
        </w:rPr>
        <w:t xml:space="preserve"> </w:t>
      </w:r>
      <w:r w:rsidRPr="00283806">
        <w:rPr>
          <w:w w:val="105"/>
        </w:rPr>
        <w:t>the 2016 CAA Section 608 Rule were provisions that restricted the servicing</w:t>
      </w:r>
      <w:r w:rsidRPr="00283806">
        <w:rPr>
          <w:spacing w:val="80"/>
          <w:w w:val="105"/>
        </w:rPr>
        <w:t xml:space="preserve"> </w:t>
      </w:r>
      <w:r w:rsidRPr="00283806">
        <w:rPr>
          <w:w w:val="105"/>
        </w:rPr>
        <w:t>of appliances and the sale of refrigerant</w:t>
      </w:r>
      <w:r w:rsidRPr="00283806">
        <w:rPr>
          <w:spacing w:val="40"/>
          <w:w w:val="105"/>
        </w:rPr>
        <w:t xml:space="preserve"> </w:t>
      </w:r>
      <w:r w:rsidRPr="00283806">
        <w:rPr>
          <w:w w:val="105"/>
        </w:rPr>
        <w:t>to certified technicians; specified the proper evacuation levels before opening an appliance; required the use of</w:t>
      </w:r>
      <w:r w:rsidRPr="00283806">
        <w:rPr>
          <w:spacing w:val="80"/>
          <w:w w:val="105"/>
        </w:rPr>
        <w:t xml:space="preserve"> </w:t>
      </w:r>
      <w:r w:rsidRPr="00283806">
        <w:rPr>
          <w:w w:val="105"/>
        </w:rPr>
        <w:t>certified refrigerant recovery and/or recycling equipment; required</w:t>
      </w:r>
      <w:r w:rsidRPr="00283806">
        <w:rPr>
          <w:spacing w:val="40"/>
          <w:w w:val="105"/>
        </w:rPr>
        <w:t xml:space="preserve"> </w:t>
      </w:r>
      <w:r w:rsidRPr="00283806">
        <w:rPr>
          <w:w w:val="105"/>
        </w:rPr>
        <w:t>refrigerant</w:t>
      </w:r>
      <w:r w:rsidRPr="00283806">
        <w:rPr>
          <w:spacing w:val="-1"/>
          <w:w w:val="105"/>
        </w:rPr>
        <w:t xml:space="preserve"> </w:t>
      </w:r>
      <w:r w:rsidRPr="00283806">
        <w:rPr>
          <w:w w:val="105"/>
        </w:rPr>
        <w:t>be</w:t>
      </w:r>
      <w:r w:rsidRPr="00283806">
        <w:rPr>
          <w:spacing w:val="-1"/>
          <w:w w:val="105"/>
        </w:rPr>
        <w:t xml:space="preserve"> </w:t>
      </w:r>
      <w:r w:rsidRPr="00283806">
        <w:rPr>
          <w:w w:val="105"/>
        </w:rPr>
        <w:t>recovered</w:t>
      </w:r>
      <w:r w:rsidRPr="00283806">
        <w:rPr>
          <w:spacing w:val="-1"/>
          <w:w w:val="105"/>
        </w:rPr>
        <w:t xml:space="preserve"> </w:t>
      </w:r>
      <w:r w:rsidRPr="00283806">
        <w:rPr>
          <w:w w:val="105"/>
        </w:rPr>
        <w:t>from</w:t>
      </w:r>
      <w:r w:rsidRPr="00283806">
        <w:rPr>
          <w:spacing w:val="-1"/>
          <w:w w:val="105"/>
        </w:rPr>
        <w:t xml:space="preserve"> </w:t>
      </w:r>
      <w:r w:rsidRPr="00283806">
        <w:rPr>
          <w:w w:val="105"/>
        </w:rPr>
        <w:t>appliances prior to disposal; required appliances have</w:t>
      </w:r>
      <w:r w:rsidRPr="00283806">
        <w:rPr>
          <w:spacing w:val="-1"/>
          <w:w w:val="105"/>
        </w:rPr>
        <w:t xml:space="preserve"> </w:t>
      </w:r>
      <w:r w:rsidRPr="00283806">
        <w:rPr>
          <w:w w:val="105"/>
        </w:rPr>
        <w:t>a</w:t>
      </w:r>
      <w:r w:rsidRPr="00283806">
        <w:rPr>
          <w:spacing w:val="-1"/>
          <w:w w:val="105"/>
        </w:rPr>
        <w:t xml:space="preserve"> </w:t>
      </w:r>
      <w:r w:rsidRPr="00283806">
        <w:rPr>
          <w:w w:val="105"/>
        </w:rPr>
        <w:t>servicing</w:t>
      </w:r>
      <w:r w:rsidRPr="00283806">
        <w:rPr>
          <w:spacing w:val="-1"/>
          <w:w w:val="105"/>
        </w:rPr>
        <w:t xml:space="preserve"> </w:t>
      </w:r>
      <w:r w:rsidRPr="00283806">
        <w:rPr>
          <w:w w:val="105"/>
        </w:rPr>
        <w:t>aperture</w:t>
      </w:r>
      <w:r w:rsidRPr="00283806">
        <w:rPr>
          <w:spacing w:val="-1"/>
          <w:w w:val="105"/>
        </w:rPr>
        <w:t xml:space="preserve"> </w:t>
      </w:r>
      <w:r w:rsidRPr="00283806">
        <w:rPr>
          <w:w w:val="105"/>
        </w:rPr>
        <w:t>or</w:t>
      </w:r>
      <w:r w:rsidRPr="00283806">
        <w:rPr>
          <w:spacing w:val="-1"/>
          <w:w w:val="105"/>
        </w:rPr>
        <w:t xml:space="preserve"> </w:t>
      </w:r>
      <w:r w:rsidRPr="00283806">
        <w:rPr>
          <w:w w:val="105"/>
        </w:rPr>
        <w:t>process</w:t>
      </w:r>
      <w:r w:rsidRPr="00283806">
        <w:rPr>
          <w:spacing w:val="-1"/>
          <w:w w:val="105"/>
        </w:rPr>
        <w:t xml:space="preserve"> </w:t>
      </w:r>
      <w:r w:rsidRPr="00283806">
        <w:rPr>
          <w:w w:val="105"/>
        </w:rPr>
        <w:t>stub to facilitate refrigerant recovery;</w:t>
      </w:r>
      <w:r w:rsidRPr="00283806">
        <w:rPr>
          <w:spacing w:val="40"/>
          <w:w w:val="105"/>
        </w:rPr>
        <w:t xml:space="preserve"> </w:t>
      </w:r>
      <w:r w:rsidRPr="00283806">
        <w:rPr>
          <w:w w:val="105"/>
        </w:rPr>
        <w:t>required refrigerant reclaimers be certified to reclaim and sell used refrigerant; and established standards</w:t>
      </w:r>
      <w:r w:rsidRPr="00283806">
        <w:rPr>
          <w:spacing w:val="40"/>
          <w:w w:val="105"/>
        </w:rPr>
        <w:t xml:space="preserve"> </w:t>
      </w:r>
      <w:r w:rsidRPr="00283806">
        <w:rPr>
          <w:w w:val="105"/>
        </w:rPr>
        <w:t xml:space="preserve">for technician certification programs, recovery equipment, and the purity of reclaimed refrigerant. The 2016 CAA Section 608 Rule also extended the appliance maintenance and leak repair provisions, currently codified at 40 CFR 82.157, to appliances that contain 50 or more pounds of non-exempt substitute refrigerant. It also made numerous revisions to improve the efficacy of the refrigerant management </w:t>
      </w:r>
      <w:proofErr w:type="gramStart"/>
      <w:r w:rsidRPr="00283806">
        <w:rPr>
          <w:w w:val="105"/>
        </w:rPr>
        <w:t>program as a whole, such as</w:t>
      </w:r>
      <w:proofErr w:type="gramEnd"/>
      <w:r w:rsidRPr="00283806">
        <w:rPr>
          <w:w w:val="105"/>
        </w:rPr>
        <w:t xml:space="preserve"> revisions of regulatory provisions for increased clarity and readability, and removal of provisions that had become obsolete.</w:t>
      </w:r>
    </w:p>
    <w:p w14:paraId="01B4A160" w14:textId="77777777" w:rsidR="00D67C1E" w:rsidRPr="00283806" w:rsidRDefault="001265CA">
      <w:pPr>
        <w:pStyle w:val="BodyText"/>
        <w:spacing w:line="166" w:lineRule="exact"/>
        <w:ind w:left="322"/>
      </w:pPr>
      <w:r w:rsidRPr="00283806">
        <w:rPr>
          <w:w w:val="105"/>
        </w:rPr>
        <w:t>After</w:t>
      </w:r>
      <w:r w:rsidRPr="00283806">
        <w:rPr>
          <w:spacing w:val="16"/>
          <w:w w:val="105"/>
        </w:rPr>
        <w:t xml:space="preserve"> </w:t>
      </w:r>
      <w:proofErr w:type="gramStart"/>
      <w:r w:rsidRPr="00283806">
        <w:rPr>
          <w:w w:val="105"/>
        </w:rPr>
        <w:t>promulgation</w:t>
      </w:r>
      <w:proofErr w:type="gramEnd"/>
      <w:r w:rsidRPr="00283806">
        <w:rPr>
          <w:w w:val="105"/>
        </w:rPr>
        <w:t>,</w:t>
      </w:r>
      <w:r w:rsidRPr="00283806">
        <w:rPr>
          <w:spacing w:val="16"/>
          <w:w w:val="105"/>
        </w:rPr>
        <w:t xml:space="preserve"> </w:t>
      </w:r>
      <w:r w:rsidRPr="00283806">
        <w:rPr>
          <w:w w:val="105"/>
        </w:rPr>
        <w:t>the</w:t>
      </w:r>
      <w:r w:rsidRPr="00283806">
        <w:rPr>
          <w:spacing w:val="16"/>
          <w:w w:val="105"/>
        </w:rPr>
        <w:t xml:space="preserve"> </w:t>
      </w:r>
      <w:r w:rsidRPr="00283806">
        <w:rPr>
          <w:spacing w:val="-2"/>
          <w:w w:val="105"/>
        </w:rPr>
        <w:t>Agency</w:t>
      </w:r>
    </w:p>
    <w:p w14:paraId="099F8425" w14:textId="77777777" w:rsidR="00D67C1E" w:rsidRPr="00283806" w:rsidRDefault="001265CA">
      <w:pPr>
        <w:pStyle w:val="BodyText"/>
        <w:spacing w:before="3" w:line="228" w:lineRule="auto"/>
        <w:ind w:left="142" w:right="26"/>
      </w:pPr>
      <w:r w:rsidRPr="00283806">
        <w:rPr>
          <w:w w:val="105"/>
        </w:rPr>
        <w:t>reviewed the 2016 CAA Section 608</w:t>
      </w:r>
      <w:r w:rsidRPr="00283806">
        <w:rPr>
          <w:spacing w:val="40"/>
          <w:w w:val="105"/>
        </w:rPr>
        <w:t xml:space="preserve"> </w:t>
      </w:r>
      <w:r w:rsidRPr="00283806">
        <w:rPr>
          <w:w w:val="105"/>
        </w:rPr>
        <w:t xml:space="preserve">Rule, focusing </w:t>
      </w:r>
      <w:proofErr w:type="gramStart"/>
      <w:r w:rsidRPr="00283806">
        <w:rPr>
          <w:w w:val="105"/>
        </w:rPr>
        <w:t>in particular on</w:t>
      </w:r>
      <w:proofErr w:type="gramEnd"/>
      <w:r w:rsidRPr="00283806">
        <w:rPr>
          <w:w w:val="105"/>
        </w:rPr>
        <w:t xml:space="preserve"> whether the Agency had the statutory authority</w:t>
      </w:r>
      <w:r w:rsidRPr="00283806">
        <w:rPr>
          <w:spacing w:val="80"/>
          <w:w w:val="105"/>
        </w:rPr>
        <w:t xml:space="preserve"> </w:t>
      </w:r>
      <w:r w:rsidRPr="00283806">
        <w:rPr>
          <w:w w:val="105"/>
        </w:rPr>
        <w:t>to extend the full set of subpart F refrigerant management regulations to non-exempt substitute refrigerants, such as HFCs and HFOs. In 2018, EPA proposed to withdraw the extension of the provisions of 40 CFR 82.157 to appliances using only non-exempt substitute refrigerants (83 FR 49332,</w:t>
      </w:r>
    </w:p>
    <w:p w14:paraId="479D2F9F" w14:textId="77777777" w:rsidR="00D67C1E" w:rsidRPr="00283806" w:rsidRDefault="001265CA">
      <w:pPr>
        <w:pStyle w:val="BodyText"/>
        <w:spacing w:line="192" w:lineRule="exact"/>
        <w:ind w:left="142"/>
      </w:pPr>
      <w:r w:rsidRPr="00283806">
        <w:rPr>
          <w:w w:val="105"/>
        </w:rPr>
        <w:t>October</w:t>
      </w:r>
      <w:r w:rsidRPr="00283806">
        <w:rPr>
          <w:spacing w:val="7"/>
          <w:w w:val="105"/>
        </w:rPr>
        <w:t xml:space="preserve"> </w:t>
      </w:r>
      <w:r w:rsidRPr="00283806">
        <w:rPr>
          <w:w w:val="105"/>
        </w:rPr>
        <w:t>1,</w:t>
      </w:r>
      <w:r w:rsidRPr="00283806">
        <w:rPr>
          <w:spacing w:val="8"/>
          <w:w w:val="105"/>
        </w:rPr>
        <w:t xml:space="preserve"> </w:t>
      </w:r>
      <w:r w:rsidRPr="00283806">
        <w:rPr>
          <w:w w:val="105"/>
        </w:rPr>
        <w:t>2018).</w:t>
      </w:r>
      <w:r w:rsidRPr="00283806">
        <w:rPr>
          <w:w w:val="105"/>
          <w:position w:val="5"/>
          <w:sz w:val="11"/>
        </w:rPr>
        <w:t>38</w:t>
      </w:r>
      <w:r w:rsidRPr="00283806">
        <w:rPr>
          <w:spacing w:val="24"/>
          <w:w w:val="105"/>
          <w:position w:val="5"/>
          <w:sz w:val="11"/>
        </w:rPr>
        <w:t xml:space="preserve"> </w:t>
      </w:r>
      <w:r w:rsidRPr="00283806">
        <w:rPr>
          <w:w w:val="105"/>
        </w:rPr>
        <w:t>In</w:t>
      </w:r>
      <w:r w:rsidRPr="00283806">
        <w:rPr>
          <w:spacing w:val="8"/>
          <w:w w:val="105"/>
        </w:rPr>
        <w:t xml:space="preserve"> </w:t>
      </w:r>
      <w:r w:rsidRPr="00283806">
        <w:rPr>
          <w:w w:val="105"/>
        </w:rPr>
        <w:t>2020,</w:t>
      </w:r>
      <w:r w:rsidRPr="00283806">
        <w:rPr>
          <w:spacing w:val="8"/>
          <w:w w:val="105"/>
        </w:rPr>
        <w:t xml:space="preserve"> </w:t>
      </w:r>
      <w:r w:rsidRPr="00283806">
        <w:rPr>
          <w:spacing w:val="-5"/>
          <w:w w:val="105"/>
        </w:rPr>
        <w:t>EPA</w:t>
      </w:r>
    </w:p>
    <w:p w14:paraId="7438CFB9" w14:textId="77777777" w:rsidR="00D67C1E" w:rsidRPr="00283806" w:rsidRDefault="001265CA">
      <w:pPr>
        <w:pStyle w:val="BodyText"/>
        <w:spacing w:before="3" w:line="228" w:lineRule="auto"/>
        <w:ind w:left="142" w:right="65"/>
      </w:pPr>
      <w:r w:rsidRPr="00283806">
        <w:rPr>
          <w:w w:val="105"/>
        </w:rPr>
        <w:t>published a final rule (85 FR 14150, March 11, 2020, hereafter ‘‘2020 CAA Section 608 Rule’’) withdrawing the extension of the leak repair requirements—including requirements for repairing leaks, conducting leak inspections, and keeping applicable records—for appliances containing only such substitute refrigerants. Other subpart F provisions that were extended to substitute refrigerants in the 2016</w:t>
      </w:r>
      <w:r w:rsidRPr="00283806">
        <w:rPr>
          <w:spacing w:val="40"/>
          <w:w w:val="105"/>
        </w:rPr>
        <w:t xml:space="preserve"> </w:t>
      </w:r>
      <w:r w:rsidRPr="00283806">
        <w:rPr>
          <w:w w:val="105"/>
        </w:rPr>
        <w:t>CAA Section 608 Rule, as mentioned in the previous paragraph, were left in</w:t>
      </w:r>
      <w:r w:rsidRPr="00283806">
        <w:rPr>
          <w:spacing w:val="40"/>
          <w:w w:val="105"/>
        </w:rPr>
        <w:t xml:space="preserve"> </w:t>
      </w:r>
      <w:r w:rsidRPr="00283806">
        <w:rPr>
          <w:w w:val="105"/>
        </w:rPr>
        <w:t>place for appliances containing HFCs</w:t>
      </w:r>
      <w:r w:rsidRPr="00283806">
        <w:rPr>
          <w:spacing w:val="80"/>
          <w:w w:val="105"/>
        </w:rPr>
        <w:t xml:space="preserve"> </w:t>
      </w:r>
      <w:r w:rsidRPr="00283806">
        <w:rPr>
          <w:w w:val="105"/>
        </w:rPr>
        <w:t>and other non-exempt substitute refrigerants. There were no changes to any of the regulatory requirements for ODS</w:t>
      </w:r>
      <w:r w:rsidRPr="00283806">
        <w:rPr>
          <w:spacing w:val="20"/>
          <w:w w:val="105"/>
        </w:rPr>
        <w:t xml:space="preserve"> </w:t>
      </w:r>
      <w:r w:rsidRPr="00283806">
        <w:rPr>
          <w:w w:val="105"/>
        </w:rPr>
        <w:t>in</w:t>
      </w:r>
      <w:r w:rsidRPr="00283806">
        <w:rPr>
          <w:spacing w:val="20"/>
          <w:w w:val="105"/>
        </w:rPr>
        <w:t xml:space="preserve"> </w:t>
      </w:r>
      <w:r w:rsidRPr="00283806">
        <w:rPr>
          <w:w w:val="105"/>
        </w:rPr>
        <w:t>the</w:t>
      </w:r>
      <w:r w:rsidRPr="00283806">
        <w:rPr>
          <w:spacing w:val="20"/>
          <w:w w:val="105"/>
        </w:rPr>
        <w:t xml:space="preserve"> </w:t>
      </w:r>
      <w:r w:rsidRPr="00283806">
        <w:rPr>
          <w:w w:val="105"/>
        </w:rPr>
        <w:t>2020</w:t>
      </w:r>
      <w:r w:rsidRPr="00283806">
        <w:rPr>
          <w:spacing w:val="20"/>
          <w:w w:val="105"/>
        </w:rPr>
        <w:t xml:space="preserve"> </w:t>
      </w:r>
      <w:r w:rsidRPr="00283806">
        <w:rPr>
          <w:w w:val="105"/>
        </w:rPr>
        <w:t>CAA</w:t>
      </w:r>
      <w:r w:rsidRPr="00283806">
        <w:rPr>
          <w:spacing w:val="21"/>
          <w:w w:val="105"/>
        </w:rPr>
        <w:t xml:space="preserve"> </w:t>
      </w:r>
      <w:r w:rsidRPr="00283806">
        <w:rPr>
          <w:w w:val="105"/>
        </w:rPr>
        <w:t>Section</w:t>
      </w:r>
      <w:r w:rsidRPr="00283806">
        <w:rPr>
          <w:spacing w:val="20"/>
          <w:w w:val="105"/>
        </w:rPr>
        <w:t xml:space="preserve"> </w:t>
      </w:r>
      <w:r w:rsidRPr="00283806">
        <w:rPr>
          <w:w w:val="105"/>
        </w:rPr>
        <w:t>608</w:t>
      </w:r>
      <w:r w:rsidRPr="00283806">
        <w:rPr>
          <w:spacing w:val="20"/>
          <w:w w:val="105"/>
        </w:rPr>
        <w:t xml:space="preserve"> </w:t>
      </w:r>
      <w:r w:rsidRPr="00283806">
        <w:rPr>
          <w:spacing w:val="-2"/>
          <w:w w:val="105"/>
        </w:rPr>
        <w:t>Rule.</w:t>
      </w:r>
    </w:p>
    <w:p w14:paraId="4285EF7B" w14:textId="77777777" w:rsidR="00D67C1E" w:rsidRPr="00283806" w:rsidRDefault="001265CA">
      <w:pPr>
        <w:pStyle w:val="BodyText"/>
        <w:spacing w:line="174" w:lineRule="exact"/>
        <w:ind w:left="322"/>
      </w:pPr>
      <w:r w:rsidRPr="00283806">
        <w:rPr>
          <w:w w:val="105"/>
        </w:rPr>
        <w:t>Petitions</w:t>
      </w:r>
      <w:r w:rsidRPr="00283806">
        <w:rPr>
          <w:spacing w:val="11"/>
          <w:w w:val="105"/>
        </w:rPr>
        <w:t xml:space="preserve"> </w:t>
      </w:r>
      <w:r w:rsidRPr="00283806">
        <w:rPr>
          <w:w w:val="105"/>
        </w:rPr>
        <w:t>for</w:t>
      </w:r>
      <w:r w:rsidRPr="00283806">
        <w:rPr>
          <w:spacing w:val="11"/>
          <w:w w:val="105"/>
        </w:rPr>
        <w:t xml:space="preserve"> </w:t>
      </w:r>
      <w:r w:rsidRPr="00283806">
        <w:rPr>
          <w:w w:val="105"/>
        </w:rPr>
        <w:t>judicial</w:t>
      </w:r>
      <w:r w:rsidRPr="00283806">
        <w:rPr>
          <w:spacing w:val="12"/>
          <w:w w:val="105"/>
        </w:rPr>
        <w:t xml:space="preserve"> </w:t>
      </w:r>
      <w:r w:rsidRPr="00283806">
        <w:rPr>
          <w:w w:val="105"/>
        </w:rPr>
        <w:t>review</w:t>
      </w:r>
      <w:r w:rsidRPr="00283806">
        <w:rPr>
          <w:spacing w:val="11"/>
          <w:w w:val="105"/>
        </w:rPr>
        <w:t xml:space="preserve"> </w:t>
      </w:r>
      <w:r w:rsidRPr="00283806">
        <w:rPr>
          <w:w w:val="105"/>
        </w:rPr>
        <w:t>were</w:t>
      </w:r>
      <w:r w:rsidRPr="00283806">
        <w:rPr>
          <w:spacing w:val="12"/>
          <w:w w:val="105"/>
        </w:rPr>
        <w:t xml:space="preserve"> </w:t>
      </w:r>
      <w:r w:rsidRPr="00283806">
        <w:rPr>
          <w:spacing w:val="-2"/>
          <w:w w:val="105"/>
        </w:rPr>
        <w:t>filed</w:t>
      </w:r>
    </w:p>
    <w:p w14:paraId="27412484" w14:textId="77777777" w:rsidR="00D67C1E" w:rsidRPr="00283806" w:rsidRDefault="001265CA">
      <w:pPr>
        <w:pStyle w:val="BodyText"/>
        <w:spacing w:line="206" w:lineRule="exact"/>
        <w:ind w:left="142"/>
      </w:pPr>
      <w:r w:rsidRPr="00283806">
        <w:rPr>
          <w:w w:val="110"/>
        </w:rPr>
        <w:t>on</w:t>
      </w:r>
      <w:r w:rsidRPr="00283806">
        <w:rPr>
          <w:spacing w:val="-3"/>
          <w:w w:val="110"/>
        </w:rPr>
        <w:t xml:space="preserve"> </w:t>
      </w:r>
      <w:r w:rsidRPr="00283806">
        <w:rPr>
          <w:w w:val="110"/>
        </w:rPr>
        <w:t>the</w:t>
      </w:r>
      <w:r w:rsidRPr="00283806">
        <w:rPr>
          <w:spacing w:val="-3"/>
          <w:w w:val="110"/>
        </w:rPr>
        <w:t xml:space="preserve"> </w:t>
      </w:r>
      <w:r w:rsidRPr="00283806">
        <w:rPr>
          <w:w w:val="110"/>
        </w:rPr>
        <w:t>2016</w:t>
      </w:r>
      <w:r w:rsidRPr="00283806">
        <w:rPr>
          <w:spacing w:val="-3"/>
          <w:w w:val="110"/>
        </w:rPr>
        <w:t xml:space="preserve"> </w:t>
      </w:r>
      <w:r w:rsidRPr="00283806">
        <w:rPr>
          <w:w w:val="110"/>
        </w:rPr>
        <w:t>CAA</w:t>
      </w:r>
      <w:r w:rsidRPr="00283806">
        <w:rPr>
          <w:spacing w:val="-3"/>
          <w:w w:val="110"/>
        </w:rPr>
        <w:t xml:space="preserve"> </w:t>
      </w:r>
      <w:r w:rsidRPr="00283806">
        <w:rPr>
          <w:w w:val="110"/>
        </w:rPr>
        <w:t>Section</w:t>
      </w:r>
      <w:r w:rsidRPr="00283806">
        <w:rPr>
          <w:spacing w:val="-3"/>
          <w:w w:val="110"/>
        </w:rPr>
        <w:t xml:space="preserve"> </w:t>
      </w:r>
      <w:r w:rsidRPr="00283806">
        <w:rPr>
          <w:w w:val="110"/>
        </w:rPr>
        <w:t>608</w:t>
      </w:r>
      <w:r w:rsidRPr="00283806">
        <w:rPr>
          <w:spacing w:val="-2"/>
          <w:w w:val="110"/>
        </w:rPr>
        <w:t xml:space="preserve"> </w:t>
      </w:r>
      <w:r w:rsidRPr="00283806">
        <w:rPr>
          <w:w w:val="110"/>
        </w:rPr>
        <w:t>Rule</w:t>
      </w:r>
      <w:r w:rsidRPr="00283806">
        <w:rPr>
          <w:spacing w:val="-3"/>
          <w:w w:val="110"/>
        </w:rPr>
        <w:t xml:space="preserve"> </w:t>
      </w:r>
      <w:r w:rsidRPr="00283806">
        <w:rPr>
          <w:spacing w:val="-5"/>
          <w:w w:val="110"/>
        </w:rPr>
        <w:t>and</w:t>
      </w:r>
    </w:p>
    <w:p w14:paraId="0922A5D6" w14:textId="77777777" w:rsidR="00D67C1E" w:rsidRPr="00283806" w:rsidRDefault="001265CA">
      <w:pPr>
        <w:pStyle w:val="BodyText"/>
        <w:spacing w:before="10"/>
        <w:ind w:left="0"/>
        <w:rPr>
          <w:sz w:val="12"/>
        </w:rPr>
      </w:pPr>
      <w:r w:rsidRPr="00283806">
        <w:rPr>
          <w:noProof/>
        </w:rPr>
        <mc:AlternateContent>
          <mc:Choice Requires="wps">
            <w:drawing>
              <wp:anchor distT="0" distB="0" distL="0" distR="0" simplePos="0" relativeHeight="251624448" behindDoc="1" locked="0" layoutInCell="1" allowOverlap="1" wp14:anchorId="564198AB" wp14:editId="690F0F48">
                <wp:simplePos x="0" y="0"/>
                <wp:positionH relativeFrom="page">
                  <wp:posOffset>2819400</wp:posOffset>
                </wp:positionH>
                <wp:positionV relativeFrom="paragraph">
                  <wp:posOffset>111193</wp:posOffset>
                </wp:positionV>
                <wp:extent cx="635000" cy="1270"/>
                <wp:effectExtent l="0" t="0" r="0" b="0"/>
                <wp:wrapTopAndBottom/>
                <wp:docPr id="54" name="Graphic 5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6ED97DB" id="Graphic 54" o:spid="_x0000_s1026" alt="&quot;&quot;" style="position:absolute;margin-left:222pt;margin-top:8.75pt;width:50pt;height:.1pt;z-index:-251692032;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" path="m,l635000,e" filled="f" strokeweight=".5pt">
                <v:path arrowok="t"/>
                <w10:wrap type="topAndBottom" anchorx="page"/>
              </v:shape>
            </w:pict>
          </mc:Fallback>
        </mc:AlternateContent>
      </w:r>
    </w:p>
    <w:p w14:paraId="1140B9F8" w14:textId="77777777" w:rsidR="00D67C1E" w:rsidRPr="00283806" w:rsidRDefault="001265CA">
      <w:pPr>
        <w:spacing w:before="40" w:line="232" w:lineRule="auto"/>
        <w:ind w:left="142" w:right="74" w:firstLine="140"/>
        <w:rPr>
          <w:sz w:val="14"/>
        </w:rPr>
      </w:pPr>
      <w:r w:rsidRPr="00283806">
        <w:rPr>
          <w:w w:val="105"/>
          <w:position w:val="4"/>
          <w:sz w:val="9"/>
        </w:rPr>
        <w:t xml:space="preserve">38 </w:t>
      </w:r>
      <w:r w:rsidRPr="00283806">
        <w:rPr>
          <w:w w:val="105"/>
          <w:sz w:val="14"/>
        </w:rPr>
        <w:t>Ozone-depleting refrigerants and appliances</w:t>
      </w:r>
      <w:r w:rsidRPr="00283806">
        <w:rPr>
          <w:spacing w:val="40"/>
          <w:w w:val="105"/>
          <w:sz w:val="14"/>
        </w:rPr>
        <w:t xml:space="preserve"> </w:t>
      </w:r>
      <w:r w:rsidRPr="00283806">
        <w:rPr>
          <w:w w:val="105"/>
          <w:sz w:val="14"/>
        </w:rPr>
        <w:t>that contain or use any amount of ODS continue to</w:t>
      </w:r>
      <w:r w:rsidRPr="00283806">
        <w:rPr>
          <w:spacing w:val="40"/>
          <w:w w:val="105"/>
          <w:sz w:val="14"/>
        </w:rPr>
        <w:t xml:space="preserve"> </w:t>
      </w:r>
      <w:r w:rsidRPr="00283806">
        <w:rPr>
          <w:w w:val="105"/>
          <w:sz w:val="14"/>
        </w:rPr>
        <w:t>be subject to all applicable subpart F requirements,</w:t>
      </w:r>
      <w:r w:rsidRPr="00283806">
        <w:rPr>
          <w:spacing w:val="40"/>
          <w:w w:val="105"/>
          <w:sz w:val="14"/>
        </w:rPr>
        <w:t xml:space="preserve"> </w:t>
      </w:r>
      <w:r w:rsidRPr="00283806">
        <w:rPr>
          <w:w w:val="105"/>
          <w:sz w:val="14"/>
        </w:rPr>
        <w:t>including those in 40 CFR 82.157.</w:t>
      </w:r>
    </w:p>
    <w:p w14:paraId="7B2B0D8C" w14:textId="77777777" w:rsidR="00D67C1E" w:rsidRPr="00283806" w:rsidRDefault="001265CA">
      <w:pPr>
        <w:pStyle w:val="BodyText"/>
        <w:spacing w:before="136" w:line="225" w:lineRule="auto"/>
        <w:ind w:left="144" w:right="133"/>
      </w:pPr>
      <w:r w:rsidRPr="00283806">
        <w:br w:type="column"/>
      </w:r>
      <w:r w:rsidRPr="00283806">
        <w:rPr>
          <w:w w:val="105"/>
        </w:rPr>
        <w:t>separately on the 2020 CAA Section 608 Rule. Two industry coalitions, the National Environmental Development Association’s Clean Air Project (NEDA/ CAP) and the Air Permitting Forum</w:t>
      </w:r>
      <w:r w:rsidRPr="00283806">
        <w:rPr>
          <w:spacing w:val="40"/>
          <w:w w:val="105"/>
        </w:rPr>
        <w:t xml:space="preserve"> </w:t>
      </w:r>
      <w:r w:rsidRPr="00283806">
        <w:rPr>
          <w:w w:val="105"/>
        </w:rPr>
        <w:t>(APF), filed petitions for judicial review</w:t>
      </w:r>
      <w:r w:rsidRPr="00283806">
        <w:rPr>
          <w:spacing w:val="40"/>
          <w:w w:val="105"/>
        </w:rPr>
        <w:t xml:space="preserve"> </w:t>
      </w:r>
      <w:r w:rsidRPr="00283806">
        <w:rPr>
          <w:w w:val="105"/>
        </w:rPr>
        <w:t>of</w:t>
      </w:r>
      <w:r w:rsidRPr="00283806">
        <w:rPr>
          <w:spacing w:val="16"/>
          <w:w w:val="105"/>
        </w:rPr>
        <w:t xml:space="preserve"> </w:t>
      </w:r>
      <w:r w:rsidRPr="00283806">
        <w:rPr>
          <w:w w:val="105"/>
        </w:rPr>
        <w:t>the</w:t>
      </w:r>
      <w:r w:rsidRPr="00283806">
        <w:rPr>
          <w:spacing w:val="16"/>
          <w:w w:val="105"/>
        </w:rPr>
        <w:t xml:space="preserve"> </w:t>
      </w:r>
      <w:r w:rsidRPr="00283806">
        <w:rPr>
          <w:w w:val="105"/>
        </w:rPr>
        <w:t>2016</w:t>
      </w:r>
      <w:r w:rsidRPr="00283806">
        <w:rPr>
          <w:spacing w:val="16"/>
          <w:w w:val="105"/>
        </w:rPr>
        <w:t xml:space="preserve"> </w:t>
      </w:r>
      <w:r w:rsidRPr="00283806">
        <w:rPr>
          <w:w w:val="105"/>
        </w:rPr>
        <w:t>CAA</w:t>
      </w:r>
      <w:r w:rsidRPr="00283806">
        <w:rPr>
          <w:spacing w:val="16"/>
          <w:w w:val="105"/>
        </w:rPr>
        <w:t xml:space="preserve"> </w:t>
      </w:r>
      <w:r w:rsidRPr="00283806">
        <w:rPr>
          <w:w w:val="105"/>
        </w:rPr>
        <w:t>Section</w:t>
      </w:r>
      <w:r w:rsidRPr="00283806">
        <w:rPr>
          <w:spacing w:val="16"/>
          <w:w w:val="105"/>
        </w:rPr>
        <w:t xml:space="preserve"> </w:t>
      </w:r>
      <w:r w:rsidRPr="00283806">
        <w:rPr>
          <w:w w:val="105"/>
        </w:rPr>
        <w:t>608</w:t>
      </w:r>
      <w:r w:rsidRPr="00283806">
        <w:rPr>
          <w:spacing w:val="16"/>
          <w:w w:val="105"/>
        </w:rPr>
        <w:t xml:space="preserve"> </w:t>
      </w:r>
      <w:r w:rsidRPr="00283806">
        <w:rPr>
          <w:w w:val="105"/>
        </w:rPr>
        <w:t>Rule</w:t>
      </w:r>
      <w:r w:rsidRPr="00283806">
        <w:rPr>
          <w:spacing w:val="16"/>
          <w:w w:val="105"/>
        </w:rPr>
        <w:t xml:space="preserve"> </w:t>
      </w:r>
      <w:r w:rsidRPr="00283806">
        <w:rPr>
          <w:w w:val="105"/>
        </w:rPr>
        <w:t>in</w:t>
      </w:r>
      <w:r w:rsidRPr="00283806">
        <w:rPr>
          <w:spacing w:val="16"/>
          <w:w w:val="105"/>
        </w:rPr>
        <w:t xml:space="preserve"> </w:t>
      </w:r>
      <w:r w:rsidRPr="00283806">
        <w:rPr>
          <w:spacing w:val="-5"/>
          <w:w w:val="105"/>
        </w:rPr>
        <w:t>the</w:t>
      </w:r>
    </w:p>
    <w:p w14:paraId="3DB3A560" w14:textId="77777777" w:rsidR="00D67C1E" w:rsidRPr="00283806" w:rsidRDefault="001265CA">
      <w:pPr>
        <w:pStyle w:val="BodyText"/>
        <w:spacing w:line="225" w:lineRule="auto"/>
        <w:ind w:left="144" w:right="132"/>
      </w:pPr>
      <w:r w:rsidRPr="00283806">
        <w:rPr>
          <w:w w:val="105"/>
        </w:rPr>
        <w:t>U.S. Court of Appeals for the District of Columbia Circuit (D.C. Circuit) in 2017. APF</w:t>
      </w:r>
      <w:r w:rsidRPr="00283806">
        <w:rPr>
          <w:spacing w:val="40"/>
          <w:w w:val="105"/>
        </w:rPr>
        <w:t xml:space="preserve"> </w:t>
      </w:r>
      <w:r w:rsidRPr="00283806">
        <w:rPr>
          <w:w w:val="105"/>
        </w:rPr>
        <w:t>also</w:t>
      </w:r>
      <w:r w:rsidRPr="00283806">
        <w:rPr>
          <w:spacing w:val="40"/>
          <w:w w:val="105"/>
        </w:rPr>
        <w:t xml:space="preserve"> </w:t>
      </w:r>
      <w:r w:rsidRPr="00283806">
        <w:rPr>
          <w:w w:val="105"/>
        </w:rPr>
        <w:t>filed</w:t>
      </w:r>
      <w:r w:rsidRPr="00283806">
        <w:rPr>
          <w:spacing w:val="40"/>
          <w:w w:val="105"/>
        </w:rPr>
        <w:t xml:space="preserve"> </w:t>
      </w:r>
      <w:r w:rsidRPr="00283806">
        <w:rPr>
          <w:w w:val="105"/>
        </w:rPr>
        <w:t>an</w:t>
      </w:r>
      <w:r w:rsidRPr="00283806">
        <w:rPr>
          <w:spacing w:val="40"/>
          <w:w w:val="105"/>
        </w:rPr>
        <w:t xml:space="preserve"> </w:t>
      </w:r>
      <w:r w:rsidRPr="00283806">
        <w:rPr>
          <w:w w:val="105"/>
        </w:rPr>
        <w:t>administrative</w:t>
      </w:r>
      <w:r w:rsidRPr="00283806">
        <w:rPr>
          <w:spacing w:val="40"/>
          <w:w w:val="105"/>
        </w:rPr>
        <w:t xml:space="preserve"> </w:t>
      </w:r>
      <w:r w:rsidRPr="00283806">
        <w:rPr>
          <w:w w:val="105"/>
        </w:rPr>
        <w:t>petition for reconsideration before EPA regarding the 2016 CAA Section 608 Rule.</w:t>
      </w:r>
      <w:r w:rsidRPr="00283806">
        <w:rPr>
          <w:w w:val="105"/>
          <w:position w:val="5"/>
          <w:sz w:val="11"/>
        </w:rPr>
        <w:t>39</w:t>
      </w:r>
      <w:r w:rsidRPr="00283806">
        <w:rPr>
          <w:spacing w:val="40"/>
          <w:w w:val="105"/>
          <w:position w:val="5"/>
          <w:sz w:val="11"/>
        </w:rPr>
        <w:t xml:space="preserve"> </w:t>
      </w:r>
      <w:r w:rsidRPr="00283806">
        <w:rPr>
          <w:w w:val="105"/>
        </w:rPr>
        <w:t xml:space="preserve">In 2020, the Natural Resources Defense Council (NRDC) and a group of State and municipal petitioners </w:t>
      </w:r>
      <w:r w:rsidRPr="00283806">
        <w:rPr>
          <w:w w:val="105"/>
          <w:position w:val="5"/>
          <w:sz w:val="11"/>
        </w:rPr>
        <w:t>40</w:t>
      </w:r>
      <w:r w:rsidRPr="00283806">
        <w:rPr>
          <w:spacing w:val="40"/>
          <w:w w:val="105"/>
          <w:position w:val="5"/>
          <w:sz w:val="11"/>
        </w:rPr>
        <w:t xml:space="preserve"> </w:t>
      </w:r>
      <w:r w:rsidRPr="00283806">
        <w:rPr>
          <w:w w:val="105"/>
        </w:rPr>
        <w:t>filed petitions for judicial review of the 2020 CAA</w:t>
      </w:r>
      <w:r w:rsidRPr="00283806">
        <w:rPr>
          <w:spacing w:val="40"/>
          <w:w w:val="105"/>
        </w:rPr>
        <w:t xml:space="preserve"> </w:t>
      </w:r>
      <w:r w:rsidRPr="00283806">
        <w:rPr>
          <w:w w:val="105"/>
        </w:rPr>
        <w:t>Section</w:t>
      </w:r>
      <w:r w:rsidRPr="00283806">
        <w:rPr>
          <w:spacing w:val="40"/>
          <w:w w:val="105"/>
        </w:rPr>
        <w:t xml:space="preserve"> </w:t>
      </w:r>
      <w:r w:rsidRPr="00283806">
        <w:rPr>
          <w:w w:val="105"/>
        </w:rPr>
        <w:t>608</w:t>
      </w:r>
      <w:r w:rsidRPr="00283806">
        <w:rPr>
          <w:spacing w:val="40"/>
          <w:w w:val="105"/>
        </w:rPr>
        <w:t xml:space="preserve"> </w:t>
      </w:r>
      <w:r w:rsidRPr="00283806">
        <w:rPr>
          <w:w w:val="105"/>
        </w:rPr>
        <w:t>Rule</w:t>
      </w:r>
      <w:r w:rsidRPr="00283806">
        <w:rPr>
          <w:spacing w:val="40"/>
          <w:w w:val="105"/>
        </w:rPr>
        <w:t xml:space="preserve"> </w:t>
      </w:r>
      <w:r w:rsidRPr="00283806">
        <w:rPr>
          <w:w w:val="105"/>
        </w:rPr>
        <w:t>in</w:t>
      </w:r>
      <w:r w:rsidRPr="00283806">
        <w:rPr>
          <w:spacing w:val="40"/>
          <w:w w:val="105"/>
        </w:rPr>
        <w:t xml:space="preserve"> </w:t>
      </w:r>
      <w:r w:rsidRPr="00283806">
        <w:rPr>
          <w:w w:val="105"/>
        </w:rPr>
        <w:t>the</w:t>
      </w:r>
      <w:r w:rsidRPr="00283806">
        <w:rPr>
          <w:spacing w:val="40"/>
          <w:w w:val="105"/>
        </w:rPr>
        <w:t xml:space="preserve"> </w:t>
      </w:r>
      <w:r w:rsidRPr="00283806">
        <w:rPr>
          <w:w w:val="105"/>
        </w:rPr>
        <w:t>D.C. Circuit. NEDA/CAP also filed an administrative petition regarding the 2020 CAA Section 608 Rule, styled as a petition for reconsideration or in the alternative a petition for rulemaking.</w:t>
      </w:r>
      <w:r w:rsidRPr="00283806">
        <w:rPr>
          <w:w w:val="105"/>
          <w:position w:val="5"/>
          <w:sz w:val="11"/>
        </w:rPr>
        <w:t>41</w:t>
      </w:r>
      <w:r w:rsidRPr="00283806">
        <w:rPr>
          <w:spacing w:val="40"/>
          <w:w w:val="105"/>
          <w:position w:val="5"/>
          <w:sz w:val="11"/>
        </w:rPr>
        <w:t xml:space="preserve"> </w:t>
      </w:r>
      <w:r w:rsidRPr="00283806">
        <w:rPr>
          <w:w w:val="105"/>
        </w:rPr>
        <w:t>These four petitions for review were all consolidated (Case No. 20–1150, D.C.</w:t>
      </w:r>
      <w:r w:rsidRPr="00283806">
        <w:rPr>
          <w:spacing w:val="40"/>
          <w:w w:val="105"/>
        </w:rPr>
        <w:t xml:space="preserve"> </w:t>
      </w:r>
      <w:r w:rsidRPr="00283806">
        <w:rPr>
          <w:w w:val="105"/>
        </w:rPr>
        <w:t>Cir.) in July of 2020, and in August of 2020</w:t>
      </w:r>
      <w:r w:rsidRPr="00283806">
        <w:rPr>
          <w:spacing w:val="-2"/>
          <w:w w:val="105"/>
        </w:rPr>
        <w:t xml:space="preserve"> </w:t>
      </w:r>
      <w:r w:rsidRPr="00283806">
        <w:rPr>
          <w:w w:val="105"/>
        </w:rPr>
        <w:t>the</w:t>
      </w:r>
      <w:r w:rsidRPr="00283806">
        <w:rPr>
          <w:spacing w:val="-2"/>
          <w:w w:val="105"/>
        </w:rPr>
        <w:t xml:space="preserve"> </w:t>
      </w:r>
      <w:r w:rsidRPr="00283806">
        <w:rPr>
          <w:w w:val="105"/>
        </w:rPr>
        <w:t>court</w:t>
      </w:r>
      <w:r w:rsidRPr="00283806">
        <w:rPr>
          <w:spacing w:val="-2"/>
          <w:w w:val="105"/>
        </w:rPr>
        <w:t xml:space="preserve"> </w:t>
      </w:r>
      <w:r w:rsidRPr="00283806">
        <w:rPr>
          <w:w w:val="105"/>
        </w:rPr>
        <w:t>severed</w:t>
      </w:r>
      <w:r w:rsidRPr="00283806">
        <w:rPr>
          <w:spacing w:val="-2"/>
          <w:w w:val="105"/>
        </w:rPr>
        <w:t xml:space="preserve"> </w:t>
      </w:r>
      <w:r w:rsidRPr="00283806">
        <w:rPr>
          <w:w w:val="105"/>
        </w:rPr>
        <w:t>four</w:t>
      </w:r>
      <w:r w:rsidRPr="00283806">
        <w:rPr>
          <w:spacing w:val="-2"/>
          <w:w w:val="105"/>
        </w:rPr>
        <w:t xml:space="preserve"> </w:t>
      </w:r>
      <w:r w:rsidRPr="00283806">
        <w:rPr>
          <w:w w:val="105"/>
        </w:rPr>
        <w:t>issues</w:t>
      </w:r>
      <w:r w:rsidRPr="00283806">
        <w:rPr>
          <w:spacing w:val="-2"/>
          <w:w w:val="105"/>
        </w:rPr>
        <w:t xml:space="preserve"> </w:t>
      </w:r>
      <w:r w:rsidRPr="00283806">
        <w:rPr>
          <w:w w:val="105"/>
        </w:rPr>
        <w:t>raised in NEDA/CAP and APF’s administrative petitions for reconsideration and assigned them to a different case (Case No. 20–1309, D.C. Cir.). Both cases are now being held in abeyance.</w:t>
      </w:r>
    </w:p>
    <w:p w14:paraId="2FDC34E9" w14:textId="77777777" w:rsidR="00D67C1E" w:rsidRPr="00283806" w:rsidRDefault="001265CA">
      <w:pPr>
        <w:pStyle w:val="BodyText"/>
        <w:spacing w:line="172" w:lineRule="exact"/>
        <w:ind w:left="324"/>
      </w:pPr>
      <w:r w:rsidRPr="00283806">
        <w:rPr>
          <w:w w:val="105"/>
        </w:rPr>
        <w:t>The</w:t>
      </w:r>
      <w:r w:rsidRPr="00283806">
        <w:rPr>
          <w:spacing w:val="17"/>
          <w:w w:val="105"/>
        </w:rPr>
        <w:t xml:space="preserve"> </w:t>
      </w:r>
      <w:r w:rsidRPr="00283806">
        <w:rPr>
          <w:w w:val="105"/>
        </w:rPr>
        <w:t>E.O.</w:t>
      </w:r>
      <w:r w:rsidRPr="00283806">
        <w:rPr>
          <w:spacing w:val="17"/>
          <w:w w:val="105"/>
        </w:rPr>
        <w:t xml:space="preserve"> </w:t>
      </w:r>
      <w:r w:rsidRPr="00283806">
        <w:rPr>
          <w:w w:val="105"/>
        </w:rPr>
        <w:t>issued</w:t>
      </w:r>
      <w:r w:rsidRPr="00283806">
        <w:rPr>
          <w:spacing w:val="17"/>
          <w:w w:val="105"/>
        </w:rPr>
        <w:t xml:space="preserve"> </w:t>
      </w:r>
      <w:r w:rsidRPr="00283806">
        <w:rPr>
          <w:w w:val="105"/>
        </w:rPr>
        <w:t>on</w:t>
      </w:r>
      <w:r w:rsidRPr="00283806">
        <w:rPr>
          <w:spacing w:val="17"/>
          <w:w w:val="105"/>
        </w:rPr>
        <w:t xml:space="preserve"> </w:t>
      </w:r>
      <w:r w:rsidRPr="00283806">
        <w:rPr>
          <w:w w:val="105"/>
        </w:rPr>
        <w:t>January</w:t>
      </w:r>
      <w:r w:rsidRPr="00283806">
        <w:rPr>
          <w:spacing w:val="17"/>
          <w:w w:val="105"/>
        </w:rPr>
        <w:t xml:space="preserve"> </w:t>
      </w:r>
      <w:r w:rsidRPr="00283806">
        <w:rPr>
          <w:w w:val="105"/>
        </w:rPr>
        <w:t>20,</w:t>
      </w:r>
      <w:r w:rsidRPr="00283806">
        <w:rPr>
          <w:spacing w:val="18"/>
          <w:w w:val="105"/>
        </w:rPr>
        <w:t xml:space="preserve"> </w:t>
      </w:r>
      <w:r w:rsidRPr="00283806">
        <w:rPr>
          <w:spacing w:val="-2"/>
          <w:w w:val="105"/>
        </w:rPr>
        <w:t>2021,</w:t>
      </w:r>
    </w:p>
    <w:p w14:paraId="2DE68ABD" w14:textId="77777777" w:rsidR="00D67C1E" w:rsidRPr="00283806" w:rsidRDefault="001265CA">
      <w:pPr>
        <w:pStyle w:val="BodyText"/>
        <w:spacing w:before="1" w:line="225" w:lineRule="auto"/>
        <w:ind w:left="144" w:right="271"/>
      </w:pPr>
      <w:r w:rsidRPr="00283806">
        <w:rPr>
          <w:w w:val="105"/>
        </w:rPr>
        <w:t>‘‘Executive Order on Protecting Public Health and the Environment and Restoring Science to Tackle the Climate Crisis,’’ directed review of certain</w:t>
      </w:r>
      <w:r w:rsidRPr="00283806">
        <w:rPr>
          <w:spacing w:val="40"/>
          <w:w w:val="105"/>
        </w:rPr>
        <w:t xml:space="preserve"> </w:t>
      </w:r>
      <w:r w:rsidRPr="00283806">
        <w:rPr>
          <w:w w:val="105"/>
        </w:rPr>
        <w:t>agency actions taken between January 20, 2017, and January 20, 2021 (86 FR</w:t>
      </w:r>
    </w:p>
    <w:p w14:paraId="00654211" w14:textId="77777777" w:rsidR="00D67C1E" w:rsidRPr="00283806" w:rsidRDefault="001265CA">
      <w:pPr>
        <w:pStyle w:val="BodyText"/>
        <w:spacing w:line="192" w:lineRule="exact"/>
        <w:ind w:left="144"/>
      </w:pPr>
      <w:r w:rsidRPr="00283806">
        <w:rPr>
          <w:w w:val="105"/>
        </w:rPr>
        <w:t>7037, January 20,</w:t>
      </w:r>
      <w:r w:rsidRPr="00283806">
        <w:rPr>
          <w:spacing w:val="1"/>
          <w:w w:val="105"/>
        </w:rPr>
        <w:t xml:space="preserve"> </w:t>
      </w:r>
      <w:r w:rsidRPr="00283806">
        <w:rPr>
          <w:w w:val="105"/>
        </w:rPr>
        <w:t>2021). The 2020</w:t>
      </w:r>
      <w:r w:rsidRPr="00283806">
        <w:rPr>
          <w:spacing w:val="1"/>
          <w:w w:val="105"/>
        </w:rPr>
        <w:t xml:space="preserve"> </w:t>
      </w:r>
      <w:r w:rsidRPr="00283806">
        <w:rPr>
          <w:spacing w:val="-5"/>
          <w:w w:val="105"/>
        </w:rPr>
        <w:t>CAA</w:t>
      </w:r>
    </w:p>
    <w:p w14:paraId="47A42BA4" w14:textId="77777777" w:rsidR="00D67C1E" w:rsidRPr="00283806" w:rsidRDefault="001265CA">
      <w:pPr>
        <w:pStyle w:val="BodyText"/>
        <w:spacing w:before="3" w:line="225" w:lineRule="auto"/>
        <w:ind w:left="144" w:right="194"/>
      </w:pPr>
      <w:r w:rsidRPr="00283806">
        <w:rPr>
          <w:w w:val="105"/>
        </w:rPr>
        <w:t xml:space="preserve">Section 608 Rule was one of the actions subject to review. </w:t>
      </w:r>
      <w:proofErr w:type="gramStart"/>
      <w:r w:rsidRPr="00283806">
        <w:rPr>
          <w:w w:val="105"/>
        </w:rPr>
        <w:t>In light of</w:t>
      </w:r>
      <w:proofErr w:type="gramEnd"/>
      <w:r w:rsidRPr="00283806">
        <w:rPr>
          <w:w w:val="105"/>
        </w:rPr>
        <w:t xml:space="preserve"> this review and the Agency’s consideration of subsection (h) of the AIM Act, EPA has developed this rulemaking, which,</w:t>
      </w:r>
      <w:r w:rsidRPr="00283806">
        <w:rPr>
          <w:spacing w:val="40"/>
          <w:w w:val="105"/>
        </w:rPr>
        <w:t xml:space="preserve"> </w:t>
      </w:r>
      <w:r w:rsidRPr="00283806">
        <w:rPr>
          <w:w w:val="105"/>
        </w:rPr>
        <w:t>among other things, involves evaluating the application of leak repair requirements to appliances using HFCs and substitute refrigerants under subsection (h). Because this action is rooted</w:t>
      </w:r>
      <w:r w:rsidRPr="00283806">
        <w:rPr>
          <w:spacing w:val="40"/>
          <w:w w:val="105"/>
        </w:rPr>
        <w:t xml:space="preserve"> </w:t>
      </w:r>
      <w:r w:rsidRPr="00283806">
        <w:rPr>
          <w:w w:val="105"/>
        </w:rPr>
        <w:t>in</w:t>
      </w:r>
      <w:r w:rsidRPr="00283806">
        <w:rPr>
          <w:spacing w:val="40"/>
          <w:w w:val="105"/>
        </w:rPr>
        <w:t xml:space="preserve"> </w:t>
      </w:r>
      <w:r w:rsidRPr="00283806">
        <w:rPr>
          <w:w w:val="105"/>
        </w:rPr>
        <w:t>EPA’s</w:t>
      </w:r>
      <w:r w:rsidRPr="00283806">
        <w:rPr>
          <w:spacing w:val="40"/>
          <w:w w:val="105"/>
        </w:rPr>
        <w:t xml:space="preserve"> </w:t>
      </w:r>
      <w:r w:rsidRPr="00283806">
        <w:rPr>
          <w:w w:val="105"/>
        </w:rPr>
        <w:t>authority</w:t>
      </w:r>
      <w:r w:rsidRPr="00283806">
        <w:rPr>
          <w:spacing w:val="40"/>
          <w:w w:val="105"/>
        </w:rPr>
        <w:t xml:space="preserve"> </w:t>
      </w:r>
      <w:r w:rsidRPr="00283806">
        <w:rPr>
          <w:w w:val="105"/>
        </w:rPr>
        <w:t>under</w:t>
      </w:r>
      <w:r w:rsidRPr="00283806">
        <w:rPr>
          <w:spacing w:val="40"/>
          <w:w w:val="105"/>
        </w:rPr>
        <w:t xml:space="preserve"> </w:t>
      </w:r>
      <w:r w:rsidRPr="00283806">
        <w:rPr>
          <w:w w:val="105"/>
        </w:rPr>
        <w:t>the AIM Act, this rulemaking does not</w:t>
      </w:r>
      <w:r w:rsidRPr="00283806">
        <w:rPr>
          <w:spacing w:val="40"/>
          <w:w w:val="105"/>
        </w:rPr>
        <w:t xml:space="preserve"> </w:t>
      </w:r>
      <w:r w:rsidRPr="00283806">
        <w:rPr>
          <w:w w:val="105"/>
        </w:rPr>
        <w:t>reopen or otherwise address the question of the authority for such requirements under the CAA. Similarly, EPA</w:t>
      </w:r>
      <w:r w:rsidRPr="00283806">
        <w:rPr>
          <w:spacing w:val="36"/>
          <w:w w:val="105"/>
        </w:rPr>
        <w:t xml:space="preserve"> </w:t>
      </w:r>
      <w:r w:rsidRPr="00283806">
        <w:rPr>
          <w:w w:val="105"/>
        </w:rPr>
        <w:t>is</w:t>
      </w:r>
      <w:r w:rsidRPr="00283806">
        <w:rPr>
          <w:spacing w:val="36"/>
          <w:w w:val="105"/>
        </w:rPr>
        <w:t xml:space="preserve"> </w:t>
      </w:r>
      <w:r w:rsidRPr="00283806">
        <w:rPr>
          <w:w w:val="105"/>
        </w:rPr>
        <w:t>not</w:t>
      </w:r>
      <w:r w:rsidRPr="00283806">
        <w:rPr>
          <w:spacing w:val="36"/>
          <w:w w:val="105"/>
        </w:rPr>
        <w:t xml:space="preserve"> </w:t>
      </w:r>
      <w:r w:rsidRPr="00283806">
        <w:rPr>
          <w:w w:val="105"/>
        </w:rPr>
        <w:t>reopening</w:t>
      </w:r>
      <w:r w:rsidRPr="00283806">
        <w:rPr>
          <w:spacing w:val="36"/>
          <w:w w:val="105"/>
        </w:rPr>
        <w:t xml:space="preserve"> </w:t>
      </w:r>
      <w:r w:rsidRPr="00283806">
        <w:rPr>
          <w:w w:val="105"/>
        </w:rPr>
        <w:t>or</w:t>
      </w:r>
      <w:r w:rsidRPr="00283806">
        <w:rPr>
          <w:spacing w:val="36"/>
          <w:w w:val="105"/>
        </w:rPr>
        <w:t xml:space="preserve"> </w:t>
      </w:r>
      <w:r w:rsidRPr="00283806">
        <w:rPr>
          <w:w w:val="105"/>
        </w:rPr>
        <w:t>revisiting</w:t>
      </w:r>
      <w:r w:rsidRPr="00283806">
        <w:rPr>
          <w:spacing w:val="36"/>
          <w:w w:val="105"/>
        </w:rPr>
        <w:t xml:space="preserve"> </w:t>
      </w:r>
      <w:r w:rsidRPr="00283806">
        <w:rPr>
          <w:w w:val="105"/>
        </w:rPr>
        <w:t>any of the regulations under CAA section</w:t>
      </w:r>
      <w:r w:rsidRPr="00283806">
        <w:rPr>
          <w:spacing w:val="80"/>
          <w:w w:val="105"/>
        </w:rPr>
        <w:t xml:space="preserve"> </w:t>
      </w:r>
      <w:r w:rsidRPr="00283806">
        <w:rPr>
          <w:w w:val="105"/>
        </w:rPr>
        <w:t>608 in this rulemaking.</w:t>
      </w:r>
    </w:p>
    <w:p w14:paraId="002B0588" w14:textId="77777777" w:rsidR="00D67C1E" w:rsidRPr="00283806" w:rsidRDefault="001265CA">
      <w:pPr>
        <w:pStyle w:val="BodyText"/>
        <w:spacing w:before="10"/>
        <w:ind w:left="0"/>
        <w:rPr>
          <w:sz w:val="13"/>
        </w:rPr>
      </w:pPr>
      <w:r w:rsidRPr="00283806">
        <w:rPr>
          <w:noProof/>
        </w:rPr>
        <mc:AlternateContent>
          <mc:Choice Requires="wps">
            <w:drawing>
              <wp:anchor distT="0" distB="0" distL="0" distR="0" simplePos="0" relativeHeight="251625472" behindDoc="1" locked="0" layoutInCell="1" allowOverlap="1" wp14:anchorId="3DF3AF5E" wp14:editId="45EBAC3E">
                <wp:simplePos x="0" y="0"/>
                <wp:positionH relativeFrom="page">
                  <wp:posOffset>5067300</wp:posOffset>
                </wp:positionH>
                <wp:positionV relativeFrom="paragraph">
                  <wp:posOffset>118780</wp:posOffset>
                </wp:positionV>
                <wp:extent cx="635000" cy="1270"/>
                <wp:effectExtent l="0" t="0" r="0" b="0"/>
                <wp:wrapTopAndBottom/>
                <wp:docPr id="55" name="Graphic 5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4815472" id="Graphic 55" o:spid="_x0000_s1026" alt="&quot;&quot;" style="position:absolute;margin-left:399pt;margin-top:9.35pt;width:50pt;height:.1pt;z-index:-251691008;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" path="m,l635000,e" filled="f" strokeweight=".5pt">
                <v:path arrowok="t"/>
                <w10:wrap type="topAndBottom" anchorx="page"/>
              </v:shape>
            </w:pict>
          </mc:Fallback>
        </mc:AlternateContent>
      </w:r>
    </w:p>
    <w:p w14:paraId="0D7FD0D5" w14:textId="0FBF4355" w:rsidR="00D67C1E" w:rsidRPr="00283806" w:rsidRDefault="001265CA">
      <w:pPr>
        <w:spacing w:before="41" w:line="230" w:lineRule="auto"/>
        <w:ind w:left="144" w:right="504" w:firstLine="140"/>
        <w:rPr>
          <w:rFonts w:ascii="Book Antiqua"/>
          <w:i/>
          <w:sz w:val="14"/>
        </w:rPr>
      </w:pPr>
      <w:r w:rsidRPr="00283806">
        <w:rPr>
          <w:w w:val="110"/>
          <w:position w:val="4"/>
          <w:sz w:val="9"/>
        </w:rPr>
        <w:t>39</w:t>
      </w:r>
      <w:r w:rsidRPr="00283806">
        <w:rPr>
          <w:spacing w:val="-6"/>
          <w:w w:val="110"/>
          <w:position w:val="4"/>
          <w:sz w:val="9"/>
        </w:rPr>
        <w:t xml:space="preserve"> </w:t>
      </w:r>
      <w:r w:rsidRPr="00283806">
        <w:rPr>
          <w:w w:val="110"/>
          <w:sz w:val="14"/>
        </w:rPr>
        <w:t>APF</w:t>
      </w:r>
      <w:r w:rsidRPr="00283806">
        <w:rPr>
          <w:spacing w:val="-8"/>
          <w:w w:val="110"/>
          <w:sz w:val="14"/>
        </w:rPr>
        <w:t xml:space="preserve"> </w:t>
      </w:r>
      <w:r w:rsidRPr="00283806">
        <w:rPr>
          <w:w w:val="110"/>
          <w:sz w:val="14"/>
        </w:rPr>
        <w:t>Petition</w:t>
      </w:r>
      <w:r w:rsidRPr="00283806">
        <w:rPr>
          <w:spacing w:val="-9"/>
          <w:w w:val="110"/>
          <w:sz w:val="14"/>
        </w:rPr>
        <w:t xml:space="preserve"> </w:t>
      </w:r>
      <w:r w:rsidRPr="00283806">
        <w:rPr>
          <w:w w:val="110"/>
          <w:sz w:val="14"/>
        </w:rPr>
        <w:t>for</w:t>
      </w:r>
      <w:r w:rsidRPr="00283806">
        <w:rPr>
          <w:spacing w:val="-8"/>
          <w:w w:val="110"/>
          <w:sz w:val="14"/>
        </w:rPr>
        <w:t xml:space="preserve"> </w:t>
      </w:r>
      <w:r w:rsidRPr="00283806">
        <w:rPr>
          <w:w w:val="110"/>
          <w:sz w:val="14"/>
        </w:rPr>
        <w:t>Reconsideration,</w:t>
      </w:r>
      <w:r w:rsidRPr="00283806">
        <w:rPr>
          <w:spacing w:val="-9"/>
          <w:w w:val="110"/>
          <w:sz w:val="14"/>
        </w:rPr>
        <w:t xml:space="preserve"> </w:t>
      </w:r>
      <w:r w:rsidRPr="00283806">
        <w:rPr>
          <w:w w:val="110"/>
          <w:sz w:val="14"/>
        </w:rPr>
        <w:t>January</w:t>
      </w:r>
      <w:r w:rsidRPr="00283806">
        <w:rPr>
          <w:spacing w:val="40"/>
          <w:w w:val="110"/>
          <w:sz w:val="14"/>
        </w:rPr>
        <w:t xml:space="preserve"> </w:t>
      </w:r>
      <w:r w:rsidRPr="00283806">
        <w:rPr>
          <w:w w:val="110"/>
          <w:sz w:val="14"/>
        </w:rPr>
        <w:t xml:space="preserve">2017, available: </w:t>
      </w:r>
      <w:r w:rsidRPr="00283806">
        <w:rPr>
          <w:rFonts w:ascii="Book Antiqua"/>
          <w:i/>
          <w:w w:val="110"/>
          <w:sz w:val="14"/>
        </w:rPr>
        <w:t>https://www.regulations.gov/</w:t>
      </w:r>
      <w:r w:rsidRPr="00283806">
        <w:rPr>
          <w:rFonts w:ascii="Book Antiqua"/>
          <w:i/>
          <w:spacing w:val="40"/>
          <w:w w:val="110"/>
          <w:sz w:val="14"/>
        </w:rPr>
        <w:t xml:space="preserve"> </w:t>
      </w:r>
      <w:proofErr w:type="spellStart"/>
      <w:r w:rsidRPr="00283806">
        <w:rPr>
          <w:rFonts w:ascii="Book Antiqua"/>
          <w:i/>
          <w:spacing w:val="-2"/>
          <w:sz w:val="14"/>
        </w:rPr>
        <w:t>document?D</w:t>
      </w:r>
      <w:proofErr w:type="spellEnd"/>
      <w:r w:rsidRPr="00283806">
        <w:rPr>
          <w:rFonts w:ascii="Book Antiqua"/>
          <w:i/>
          <w:spacing w:val="-2"/>
          <w:sz w:val="14"/>
        </w:rPr>
        <w:t>=EPA-HQ-OAR-2015-0453-0228.</w:t>
      </w:r>
    </w:p>
    <w:p w14:paraId="7B7B251D" w14:textId="77777777" w:rsidR="00D67C1E" w:rsidRPr="00283806" w:rsidRDefault="001265CA">
      <w:pPr>
        <w:spacing w:before="14" w:line="232" w:lineRule="auto"/>
        <w:ind w:left="144" w:right="271" w:firstLine="140"/>
        <w:rPr>
          <w:sz w:val="14"/>
        </w:rPr>
      </w:pPr>
      <w:r w:rsidRPr="00283806">
        <w:rPr>
          <w:w w:val="105"/>
          <w:position w:val="4"/>
          <w:sz w:val="9"/>
        </w:rPr>
        <w:t xml:space="preserve">40 </w:t>
      </w:r>
      <w:r w:rsidRPr="00283806">
        <w:rPr>
          <w:w w:val="105"/>
          <w:sz w:val="14"/>
        </w:rPr>
        <w:t>The State and municipal petitioners are the</w:t>
      </w:r>
      <w:r w:rsidRPr="00283806">
        <w:rPr>
          <w:spacing w:val="40"/>
          <w:w w:val="105"/>
          <w:sz w:val="14"/>
        </w:rPr>
        <w:t xml:space="preserve"> </w:t>
      </w:r>
      <w:r w:rsidRPr="00283806">
        <w:rPr>
          <w:w w:val="105"/>
          <w:sz w:val="14"/>
        </w:rPr>
        <w:t>State of New York, State of Connecticut, State of</w:t>
      </w:r>
      <w:r w:rsidRPr="00283806">
        <w:rPr>
          <w:spacing w:val="40"/>
          <w:w w:val="105"/>
          <w:sz w:val="14"/>
        </w:rPr>
        <w:t xml:space="preserve"> </w:t>
      </w:r>
      <w:r w:rsidRPr="00283806">
        <w:rPr>
          <w:w w:val="105"/>
          <w:sz w:val="14"/>
        </w:rPr>
        <w:t>Illinois, State of Maine, State of Maryland, State of</w:t>
      </w:r>
      <w:r w:rsidRPr="00283806">
        <w:rPr>
          <w:spacing w:val="40"/>
          <w:w w:val="105"/>
          <w:sz w:val="14"/>
        </w:rPr>
        <w:t xml:space="preserve"> </w:t>
      </w:r>
      <w:r w:rsidRPr="00283806">
        <w:rPr>
          <w:w w:val="105"/>
          <w:sz w:val="14"/>
        </w:rPr>
        <w:t>Minnesota, State of New Jersey, State of Oregon,</w:t>
      </w:r>
      <w:r w:rsidRPr="00283806">
        <w:rPr>
          <w:spacing w:val="40"/>
          <w:w w:val="105"/>
          <w:sz w:val="14"/>
        </w:rPr>
        <w:t xml:space="preserve"> </w:t>
      </w:r>
      <w:r w:rsidRPr="00283806">
        <w:rPr>
          <w:w w:val="105"/>
          <w:sz w:val="14"/>
        </w:rPr>
        <w:t>Commonwealth of Virginia, State of Washington,</w:t>
      </w:r>
      <w:r w:rsidRPr="00283806">
        <w:rPr>
          <w:spacing w:val="40"/>
          <w:w w:val="105"/>
          <w:sz w:val="14"/>
        </w:rPr>
        <w:t xml:space="preserve"> </w:t>
      </w:r>
      <w:r w:rsidRPr="00283806">
        <w:rPr>
          <w:w w:val="105"/>
          <w:sz w:val="14"/>
        </w:rPr>
        <w:t>District of Columbia, and City of New York.</w:t>
      </w:r>
    </w:p>
    <w:p w14:paraId="3E4BB869" w14:textId="28FD3536" w:rsidR="00D67C1E" w:rsidRPr="00283806" w:rsidRDefault="001265CA">
      <w:pPr>
        <w:spacing w:before="24" w:line="232" w:lineRule="auto"/>
        <w:ind w:left="144" w:right="131" w:firstLine="140"/>
        <w:rPr>
          <w:rFonts w:ascii="Book Antiqua"/>
          <w:i/>
          <w:sz w:val="14"/>
        </w:rPr>
      </w:pPr>
      <w:r w:rsidRPr="00283806">
        <w:rPr>
          <w:w w:val="110"/>
          <w:position w:val="4"/>
          <w:sz w:val="9"/>
        </w:rPr>
        <w:t xml:space="preserve">41 </w:t>
      </w:r>
      <w:r w:rsidRPr="00283806">
        <w:rPr>
          <w:w w:val="110"/>
          <w:sz w:val="14"/>
        </w:rPr>
        <w:t>NEDA/CAP Petitions for Reconsideration/</w:t>
      </w:r>
      <w:r w:rsidRPr="00283806">
        <w:rPr>
          <w:spacing w:val="40"/>
          <w:w w:val="110"/>
          <w:sz w:val="14"/>
        </w:rPr>
        <w:t xml:space="preserve"> </w:t>
      </w:r>
      <w:r w:rsidRPr="00283806">
        <w:rPr>
          <w:w w:val="110"/>
          <w:sz w:val="14"/>
        </w:rPr>
        <w:t>Petition for Rulemaking, May 2020, available:</w:t>
      </w:r>
      <w:r w:rsidRPr="00283806">
        <w:rPr>
          <w:spacing w:val="40"/>
          <w:w w:val="110"/>
          <w:sz w:val="14"/>
        </w:rPr>
        <w:t xml:space="preserve"> </w:t>
      </w:r>
      <w:r w:rsidRPr="00283806">
        <w:rPr>
          <w:rFonts w:ascii="Book Antiqua"/>
          <w:i/>
          <w:spacing w:val="-2"/>
          <w:sz w:val="14"/>
        </w:rPr>
        <w:t>https://www.regulations.gov/document?D=EPA-HQ-</w:t>
      </w:r>
      <w:r w:rsidRPr="00283806">
        <w:rPr>
          <w:rFonts w:ascii="Book Antiqua"/>
          <w:i/>
          <w:spacing w:val="80"/>
          <w:w w:val="110"/>
          <w:sz w:val="14"/>
        </w:rPr>
        <w:t xml:space="preserve">  </w:t>
      </w:r>
      <w:r w:rsidRPr="00283806">
        <w:rPr>
          <w:rFonts w:ascii="Book Antiqua"/>
          <w:i/>
          <w:spacing w:val="-2"/>
          <w:w w:val="110"/>
          <w:sz w:val="14"/>
        </w:rPr>
        <w:t>OAR-2017-0629-0345.</w:t>
      </w:r>
    </w:p>
    <w:p w14:paraId="79EE6F54" w14:textId="77777777" w:rsidR="00D67C1E" w:rsidRPr="00283806" w:rsidRDefault="00D67C1E">
      <w:pPr>
        <w:spacing w:line="232" w:lineRule="auto"/>
        <w:rPr>
          <w:rFonts w:ascii="Book Antiqua"/>
          <w:sz w:val="14"/>
        </w:rPr>
        <w:sectPr w:rsidR="00D67C1E" w:rsidRPr="00283806">
          <w:pgSz w:w="12240" w:h="15840"/>
          <w:pgMar w:top="1040" w:right="780" w:bottom="280" w:left="740" w:header="627" w:footer="0" w:gutter="0"/>
          <w:cols w:num="3" w:space="720" w:equalWidth="0">
            <w:col w:w="3518" w:space="40"/>
            <w:col w:w="3498" w:space="39"/>
            <w:col w:w="3625"/>
          </w:cols>
        </w:sectPr>
      </w:pPr>
    </w:p>
    <w:p w14:paraId="4B31EBE4" w14:textId="77777777" w:rsidR="00D67C1E" w:rsidRPr="00283806" w:rsidRDefault="001265CA">
      <w:pPr>
        <w:pStyle w:val="ListParagraph"/>
        <w:numPr>
          <w:ilvl w:val="0"/>
          <w:numId w:val="63"/>
        </w:numPr>
        <w:tabs>
          <w:tab w:val="left" w:pos="358"/>
        </w:tabs>
        <w:spacing w:before="131" w:line="232" w:lineRule="auto"/>
        <w:ind w:left="160" w:right="274" w:firstLine="0"/>
        <w:rPr>
          <w:sz w:val="18"/>
        </w:rPr>
      </w:pPr>
      <w:r w:rsidRPr="00283806">
        <w:rPr>
          <w:w w:val="110"/>
          <w:sz w:val="18"/>
        </w:rPr>
        <w:lastRenderedPageBreak/>
        <w:t xml:space="preserve">Motor Vehicle Air Conditioning </w:t>
      </w:r>
      <w:r w:rsidRPr="00283806">
        <w:rPr>
          <w:sz w:val="18"/>
        </w:rPr>
        <w:t>Servicing</w:t>
      </w:r>
      <w:r w:rsidRPr="00283806">
        <w:rPr>
          <w:spacing w:val="40"/>
          <w:sz w:val="18"/>
        </w:rPr>
        <w:t xml:space="preserve"> </w:t>
      </w:r>
      <w:r w:rsidRPr="00283806">
        <w:rPr>
          <w:sz w:val="18"/>
        </w:rPr>
        <w:t>Program</w:t>
      </w:r>
      <w:r w:rsidRPr="00283806">
        <w:rPr>
          <w:spacing w:val="40"/>
          <w:sz w:val="18"/>
        </w:rPr>
        <w:t xml:space="preserve"> </w:t>
      </w:r>
      <w:r w:rsidRPr="00283806">
        <w:rPr>
          <w:sz w:val="18"/>
        </w:rPr>
        <w:t>(CAA</w:t>
      </w:r>
      <w:r w:rsidRPr="00283806">
        <w:rPr>
          <w:spacing w:val="40"/>
          <w:sz w:val="18"/>
        </w:rPr>
        <w:t xml:space="preserve"> </w:t>
      </w:r>
      <w:r w:rsidRPr="00283806">
        <w:rPr>
          <w:sz w:val="18"/>
        </w:rPr>
        <w:t>section</w:t>
      </w:r>
      <w:r w:rsidRPr="00283806">
        <w:rPr>
          <w:spacing w:val="40"/>
          <w:sz w:val="18"/>
        </w:rPr>
        <w:t xml:space="preserve"> </w:t>
      </w:r>
      <w:r w:rsidRPr="00283806">
        <w:rPr>
          <w:sz w:val="18"/>
        </w:rPr>
        <w:t>609)</w:t>
      </w:r>
    </w:p>
    <w:p w14:paraId="553365C4" w14:textId="77777777" w:rsidR="00D67C1E" w:rsidRPr="00283806" w:rsidRDefault="001265CA">
      <w:pPr>
        <w:pStyle w:val="BodyText"/>
        <w:spacing w:before="140" w:line="230" w:lineRule="auto"/>
        <w:ind w:firstLine="180"/>
      </w:pPr>
      <w:r w:rsidRPr="00283806">
        <w:rPr>
          <w:w w:val="110"/>
        </w:rPr>
        <w:t>CAA section 609 directs EPA to issue regulations establishing standards and requirements for the servicing of MVACs.</w:t>
      </w:r>
      <w:r w:rsidRPr="00283806">
        <w:rPr>
          <w:spacing w:val="-5"/>
          <w:w w:val="110"/>
        </w:rPr>
        <w:t xml:space="preserve"> </w:t>
      </w:r>
      <w:r w:rsidRPr="00283806">
        <w:rPr>
          <w:w w:val="110"/>
        </w:rPr>
        <w:t>For</w:t>
      </w:r>
      <w:r w:rsidRPr="00283806">
        <w:rPr>
          <w:spacing w:val="-5"/>
          <w:w w:val="110"/>
        </w:rPr>
        <w:t xml:space="preserve"> </w:t>
      </w:r>
      <w:r w:rsidRPr="00283806">
        <w:rPr>
          <w:w w:val="110"/>
        </w:rPr>
        <w:t>purposes</w:t>
      </w:r>
      <w:r w:rsidRPr="00283806">
        <w:rPr>
          <w:spacing w:val="-5"/>
          <w:w w:val="110"/>
        </w:rPr>
        <w:t xml:space="preserve"> </w:t>
      </w:r>
      <w:r w:rsidRPr="00283806">
        <w:rPr>
          <w:w w:val="110"/>
        </w:rPr>
        <w:t>of</w:t>
      </w:r>
      <w:r w:rsidRPr="00283806">
        <w:rPr>
          <w:spacing w:val="-5"/>
          <w:w w:val="110"/>
        </w:rPr>
        <w:t xml:space="preserve"> </w:t>
      </w:r>
      <w:r w:rsidRPr="00283806">
        <w:rPr>
          <w:w w:val="110"/>
        </w:rPr>
        <w:t>the</w:t>
      </w:r>
      <w:r w:rsidRPr="00283806">
        <w:rPr>
          <w:spacing w:val="-5"/>
          <w:w w:val="110"/>
        </w:rPr>
        <w:t xml:space="preserve"> </w:t>
      </w:r>
      <w:r w:rsidRPr="00283806">
        <w:rPr>
          <w:w w:val="110"/>
        </w:rPr>
        <w:t>regulations implementing CAA section 609, ‘‘motor vehicle</w:t>
      </w:r>
      <w:r w:rsidRPr="00283806">
        <w:rPr>
          <w:spacing w:val="-3"/>
          <w:w w:val="110"/>
        </w:rPr>
        <w:t xml:space="preserve"> </w:t>
      </w:r>
      <w:r w:rsidRPr="00283806">
        <w:rPr>
          <w:w w:val="110"/>
        </w:rPr>
        <w:t>air conditioners’’</w:t>
      </w:r>
      <w:r w:rsidRPr="00283806">
        <w:rPr>
          <w:spacing w:val="-14"/>
          <w:w w:val="110"/>
        </w:rPr>
        <w:t xml:space="preserve"> </w:t>
      </w:r>
      <w:r w:rsidRPr="00283806">
        <w:rPr>
          <w:w w:val="110"/>
          <w:position w:val="5"/>
          <w:sz w:val="11"/>
        </w:rPr>
        <w:t>42</w:t>
      </w:r>
      <w:r w:rsidRPr="00283806">
        <w:rPr>
          <w:spacing w:val="17"/>
          <w:w w:val="110"/>
          <w:position w:val="5"/>
          <w:sz w:val="11"/>
        </w:rPr>
        <w:t xml:space="preserve"> </w:t>
      </w:r>
      <w:r w:rsidRPr="00283806">
        <w:rPr>
          <w:w w:val="110"/>
        </w:rPr>
        <w:t>is defined at 40 CFR 82.32(d) as mechanical vapor compression refrigeration equipment used to cool the driver’s or passenger’s compartment</w:t>
      </w:r>
      <w:r w:rsidRPr="00283806">
        <w:rPr>
          <w:spacing w:val="-11"/>
          <w:w w:val="110"/>
        </w:rPr>
        <w:t xml:space="preserve"> </w:t>
      </w:r>
      <w:r w:rsidRPr="00283806">
        <w:rPr>
          <w:w w:val="110"/>
        </w:rPr>
        <w:t>of</w:t>
      </w:r>
      <w:r w:rsidRPr="00283806">
        <w:rPr>
          <w:spacing w:val="-11"/>
          <w:w w:val="110"/>
        </w:rPr>
        <w:t xml:space="preserve"> </w:t>
      </w:r>
      <w:r w:rsidRPr="00283806">
        <w:rPr>
          <w:w w:val="110"/>
        </w:rPr>
        <w:t>any</w:t>
      </w:r>
      <w:r w:rsidRPr="00283806">
        <w:rPr>
          <w:spacing w:val="-11"/>
          <w:w w:val="110"/>
        </w:rPr>
        <w:t xml:space="preserve"> </w:t>
      </w:r>
      <w:r w:rsidRPr="00283806">
        <w:rPr>
          <w:w w:val="110"/>
        </w:rPr>
        <w:t>motor</w:t>
      </w:r>
      <w:r w:rsidRPr="00283806">
        <w:rPr>
          <w:spacing w:val="-11"/>
          <w:w w:val="110"/>
        </w:rPr>
        <w:t xml:space="preserve"> </w:t>
      </w:r>
      <w:r w:rsidRPr="00283806">
        <w:rPr>
          <w:w w:val="110"/>
        </w:rPr>
        <w:t>vehicle.</w:t>
      </w:r>
      <w:r w:rsidRPr="00283806">
        <w:rPr>
          <w:spacing w:val="-11"/>
          <w:w w:val="110"/>
        </w:rPr>
        <w:t xml:space="preserve"> </w:t>
      </w:r>
      <w:r w:rsidRPr="00283806">
        <w:rPr>
          <w:w w:val="110"/>
        </w:rPr>
        <w:t xml:space="preserve">This definition further states that it is not intended to encompass certain hermetically sealed refrigeration systems used on motor vehicles for refrigerated cargo and the air conditioning systems on passenger buses. For purposes of the section CAA </w:t>
      </w:r>
      <w:r w:rsidRPr="00283806">
        <w:rPr>
          <w:spacing w:val="-2"/>
          <w:w w:val="110"/>
        </w:rPr>
        <w:t>section</w:t>
      </w:r>
      <w:r w:rsidRPr="00283806">
        <w:rPr>
          <w:spacing w:val="-6"/>
          <w:w w:val="110"/>
        </w:rPr>
        <w:t xml:space="preserve"> </w:t>
      </w:r>
      <w:r w:rsidRPr="00283806">
        <w:rPr>
          <w:spacing w:val="-2"/>
          <w:w w:val="110"/>
        </w:rPr>
        <w:t>609</w:t>
      </w:r>
      <w:r w:rsidRPr="00283806">
        <w:rPr>
          <w:spacing w:val="-6"/>
          <w:w w:val="110"/>
        </w:rPr>
        <w:t xml:space="preserve"> </w:t>
      </w:r>
      <w:proofErr w:type="gramStart"/>
      <w:r w:rsidRPr="00283806">
        <w:rPr>
          <w:spacing w:val="-2"/>
          <w:w w:val="110"/>
        </w:rPr>
        <w:t>regulations,</w:t>
      </w:r>
      <w:r w:rsidRPr="00283806">
        <w:rPr>
          <w:spacing w:val="-6"/>
          <w:w w:val="110"/>
        </w:rPr>
        <w:t xml:space="preserve"> </w:t>
      </w:r>
      <w:r w:rsidRPr="00283806">
        <w:rPr>
          <w:spacing w:val="-2"/>
          <w:w w:val="110"/>
        </w:rPr>
        <w:t>‘‘</w:t>
      </w:r>
      <w:proofErr w:type="gramEnd"/>
      <w:r w:rsidRPr="00283806">
        <w:rPr>
          <w:spacing w:val="-2"/>
          <w:w w:val="110"/>
        </w:rPr>
        <w:t>motor</w:t>
      </w:r>
      <w:r w:rsidRPr="00283806">
        <w:rPr>
          <w:spacing w:val="-6"/>
          <w:w w:val="110"/>
        </w:rPr>
        <w:t xml:space="preserve"> </w:t>
      </w:r>
      <w:proofErr w:type="gramStart"/>
      <w:r w:rsidRPr="00283806">
        <w:rPr>
          <w:spacing w:val="-2"/>
          <w:w w:val="110"/>
        </w:rPr>
        <w:t xml:space="preserve">vehicle’’ </w:t>
      </w:r>
      <w:r w:rsidRPr="00283806">
        <w:rPr>
          <w:w w:val="110"/>
        </w:rPr>
        <w:t>is</w:t>
      </w:r>
      <w:proofErr w:type="gramEnd"/>
      <w:r w:rsidRPr="00283806">
        <w:rPr>
          <w:w w:val="110"/>
        </w:rPr>
        <w:t xml:space="preserve"> defined at 40 CFR 82.32(c) as any vehicle which is self-propelled and designed for transporting persons or property on a street or highway, including but not limited to passenger cars, light-duty vehicles, and heavy- duty vehicles. This definition further provides that it does not include a vehicle where </w:t>
      </w:r>
      <w:proofErr w:type="gramStart"/>
      <w:r w:rsidRPr="00283806">
        <w:rPr>
          <w:w w:val="110"/>
        </w:rPr>
        <w:t>final</w:t>
      </w:r>
      <w:proofErr w:type="gramEnd"/>
      <w:r w:rsidRPr="00283806">
        <w:rPr>
          <w:w w:val="110"/>
        </w:rPr>
        <w:t xml:space="preserve"> assembly of the vehicle has not been completed by the original equipment manufacturer </w:t>
      </w:r>
      <w:r w:rsidRPr="00283806">
        <w:rPr>
          <w:spacing w:val="-2"/>
          <w:w w:val="110"/>
        </w:rPr>
        <w:t>(OEM).</w:t>
      </w:r>
    </w:p>
    <w:p w14:paraId="2FD3E52C" w14:textId="77777777" w:rsidR="00D67C1E" w:rsidRPr="00283806" w:rsidRDefault="001265CA">
      <w:pPr>
        <w:pStyle w:val="BodyText"/>
        <w:spacing w:before="61" w:line="228" w:lineRule="auto"/>
        <w:ind w:left="159" w:right="74" w:firstLine="180"/>
      </w:pPr>
      <w:r w:rsidRPr="00283806">
        <w:rPr>
          <w:w w:val="105"/>
        </w:rPr>
        <w:t>Under CAA section 609 and</w:t>
      </w:r>
      <w:r w:rsidRPr="00283806">
        <w:rPr>
          <w:spacing w:val="40"/>
          <w:w w:val="105"/>
        </w:rPr>
        <w:t xml:space="preserve"> </w:t>
      </w:r>
      <w:r w:rsidRPr="00283806">
        <w:rPr>
          <w:w w:val="105"/>
        </w:rPr>
        <w:t>regulations that implement it, no person repairing or servicing motor vehicles for consideration (</w:t>
      </w:r>
      <w:r w:rsidRPr="00283806">
        <w:rPr>
          <w:rFonts w:ascii="Book Antiqua"/>
          <w:i/>
          <w:w w:val="105"/>
        </w:rPr>
        <w:t xml:space="preserve">e.g., </w:t>
      </w:r>
      <w:r w:rsidRPr="00283806">
        <w:rPr>
          <w:w w:val="105"/>
        </w:rPr>
        <w:t>payment or bartering) may perform any service on</w:t>
      </w:r>
      <w:r w:rsidRPr="00283806">
        <w:rPr>
          <w:spacing w:val="40"/>
          <w:w w:val="105"/>
        </w:rPr>
        <w:t xml:space="preserve"> </w:t>
      </w:r>
      <w:r w:rsidRPr="00283806">
        <w:rPr>
          <w:w w:val="105"/>
        </w:rPr>
        <w:t>an MVAC that involves the refrigerant</w:t>
      </w:r>
      <w:r w:rsidRPr="00283806">
        <w:rPr>
          <w:spacing w:val="-6"/>
          <w:w w:val="105"/>
        </w:rPr>
        <w:t xml:space="preserve"> </w:t>
      </w:r>
      <w:r w:rsidRPr="00283806">
        <w:rPr>
          <w:w w:val="105"/>
          <w:position w:val="5"/>
          <w:sz w:val="11"/>
        </w:rPr>
        <w:t>43</w:t>
      </w:r>
      <w:r w:rsidRPr="00283806">
        <w:rPr>
          <w:spacing w:val="40"/>
          <w:w w:val="105"/>
          <w:position w:val="5"/>
          <w:sz w:val="11"/>
        </w:rPr>
        <w:t xml:space="preserve"> </w:t>
      </w:r>
      <w:r w:rsidRPr="00283806">
        <w:rPr>
          <w:w w:val="105"/>
        </w:rPr>
        <w:t>without properly using approved refrigerant recovery or recovery and recycling equipment, and no such</w:t>
      </w:r>
      <w:r w:rsidRPr="00283806">
        <w:rPr>
          <w:spacing w:val="80"/>
          <w:w w:val="105"/>
        </w:rPr>
        <w:t xml:space="preserve"> </w:t>
      </w:r>
      <w:r w:rsidRPr="00283806">
        <w:rPr>
          <w:w w:val="105"/>
        </w:rPr>
        <w:t>person may perform such service for consideration unless such person has been properly trained and certified.</w:t>
      </w:r>
    </w:p>
    <w:p w14:paraId="6F0BA212" w14:textId="77777777" w:rsidR="00D67C1E" w:rsidRPr="00283806" w:rsidRDefault="001265CA">
      <w:pPr>
        <w:pStyle w:val="BodyText"/>
        <w:spacing w:before="8" w:line="230" w:lineRule="auto"/>
        <w:ind w:left="159" w:right="68"/>
      </w:pPr>
      <w:r w:rsidRPr="00283806">
        <w:rPr>
          <w:w w:val="105"/>
        </w:rPr>
        <w:t>CAA section 609 also contains restrictions on the sale or distribution,</w:t>
      </w:r>
      <w:r w:rsidRPr="00283806">
        <w:rPr>
          <w:spacing w:val="40"/>
          <w:w w:val="105"/>
        </w:rPr>
        <w:t xml:space="preserve"> </w:t>
      </w:r>
      <w:r w:rsidRPr="00283806">
        <w:rPr>
          <w:w w:val="105"/>
        </w:rPr>
        <w:t>or</w:t>
      </w:r>
      <w:r w:rsidRPr="00283806">
        <w:rPr>
          <w:spacing w:val="15"/>
          <w:w w:val="105"/>
        </w:rPr>
        <w:t xml:space="preserve"> </w:t>
      </w:r>
      <w:r w:rsidRPr="00283806">
        <w:rPr>
          <w:w w:val="105"/>
        </w:rPr>
        <w:t>offer</w:t>
      </w:r>
      <w:r w:rsidRPr="00283806">
        <w:rPr>
          <w:spacing w:val="15"/>
          <w:w w:val="105"/>
        </w:rPr>
        <w:t xml:space="preserve"> </w:t>
      </w:r>
      <w:r w:rsidRPr="00283806">
        <w:rPr>
          <w:w w:val="105"/>
        </w:rPr>
        <w:t>for</w:t>
      </w:r>
      <w:r w:rsidRPr="00283806">
        <w:rPr>
          <w:spacing w:val="15"/>
          <w:w w:val="105"/>
        </w:rPr>
        <w:t xml:space="preserve"> </w:t>
      </w:r>
      <w:r w:rsidRPr="00283806">
        <w:rPr>
          <w:w w:val="105"/>
        </w:rPr>
        <w:t>sale</w:t>
      </w:r>
      <w:r w:rsidRPr="00283806">
        <w:rPr>
          <w:spacing w:val="15"/>
          <w:w w:val="105"/>
        </w:rPr>
        <w:t xml:space="preserve"> </w:t>
      </w:r>
      <w:r w:rsidRPr="00283806">
        <w:rPr>
          <w:w w:val="105"/>
        </w:rPr>
        <w:t>or</w:t>
      </w:r>
      <w:r w:rsidRPr="00283806">
        <w:rPr>
          <w:spacing w:val="15"/>
          <w:w w:val="105"/>
        </w:rPr>
        <w:t xml:space="preserve"> </w:t>
      </w:r>
      <w:r w:rsidRPr="00283806">
        <w:rPr>
          <w:w w:val="105"/>
        </w:rPr>
        <w:t>distribution,</w:t>
      </w:r>
      <w:r w:rsidRPr="00283806">
        <w:rPr>
          <w:spacing w:val="15"/>
          <w:w w:val="105"/>
        </w:rPr>
        <w:t xml:space="preserve"> </w:t>
      </w:r>
      <w:proofErr w:type="gramStart"/>
      <w:r w:rsidRPr="00283806">
        <w:rPr>
          <w:w w:val="105"/>
        </w:rPr>
        <w:t>of</w:t>
      </w:r>
      <w:r w:rsidRPr="00283806">
        <w:rPr>
          <w:spacing w:val="15"/>
          <w:w w:val="105"/>
        </w:rPr>
        <w:t xml:space="preserve"> </w:t>
      </w:r>
      <w:r w:rsidRPr="00283806">
        <w:rPr>
          <w:w w:val="105"/>
        </w:rPr>
        <w:t>class I and</w:t>
      </w:r>
      <w:proofErr w:type="gramEnd"/>
      <w:r w:rsidRPr="00283806">
        <w:rPr>
          <w:w w:val="105"/>
        </w:rPr>
        <w:t xml:space="preserve"> class II substances suitable for use as a refrigerant in MVACs in containers of less than 20 pounds, except </w:t>
      </w:r>
      <w:proofErr w:type="gramStart"/>
      <w:r w:rsidRPr="00283806">
        <w:rPr>
          <w:w w:val="105"/>
        </w:rPr>
        <w:t>to a</w:t>
      </w:r>
      <w:proofErr w:type="gramEnd"/>
    </w:p>
    <w:p w14:paraId="2C558B9E" w14:textId="77777777" w:rsidR="00D67C1E" w:rsidRPr="00283806" w:rsidRDefault="001265CA">
      <w:pPr>
        <w:pStyle w:val="BodyText"/>
        <w:spacing w:before="2"/>
        <w:ind w:left="0"/>
        <w:rPr>
          <w:sz w:val="15"/>
        </w:rPr>
      </w:pPr>
      <w:r w:rsidRPr="00283806">
        <w:rPr>
          <w:noProof/>
        </w:rPr>
        <mc:AlternateContent>
          <mc:Choice Requires="wps">
            <w:drawing>
              <wp:anchor distT="0" distB="0" distL="0" distR="0" simplePos="0" relativeHeight="251626496" behindDoc="1" locked="0" layoutInCell="1" allowOverlap="1" wp14:anchorId="0DE39948" wp14:editId="721CA89F">
                <wp:simplePos x="0" y="0"/>
                <wp:positionH relativeFrom="page">
                  <wp:posOffset>571500</wp:posOffset>
                </wp:positionH>
                <wp:positionV relativeFrom="paragraph">
                  <wp:posOffset>128785</wp:posOffset>
                </wp:positionV>
                <wp:extent cx="635000" cy="1270"/>
                <wp:effectExtent l="0" t="0" r="0" b="0"/>
                <wp:wrapTopAndBottom/>
                <wp:docPr id="56" name="Graphic 5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2E73D52" id="Graphic 56" o:spid="_x0000_s1026" alt="&quot;&quot;" style="position:absolute;margin-left:45pt;margin-top:10.15pt;width:50pt;height:.1pt;z-index:-251689984;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" path="m,l635000,e" filled="f" strokeweight=".5pt">
                <v:path arrowok="t"/>
                <w10:wrap type="topAndBottom" anchorx="page"/>
              </v:shape>
            </w:pict>
          </mc:Fallback>
        </mc:AlternateContent>
      </w:r>
    </w:p>
    <w:p w14:paraId="68DA08A2" w14:textId="77777777" w:rsidR="00D67C1E" w:rsidRPr="00283806" w:rsidRDefault="001265CA">
      <w:pPr>
        <w:spacing w:before="40" w:line="232" w:lineRule="auto"/>
        <w:ind w:left="159" w:right="21" w:firstLine="140"/>
        <w:rPr>
          <w:sz w:val="14"/>
        </w:rPr>
      </w:pPr>
      <w:r w:rsidRPr="00283806">
        <w:rPr>
          <w:w w:val="105"/>
          <w:position w:val="4"/>
          <w:sz w:val="9"/>
        </w:rPr>
        <w:t>42</w:t>
      </w:r>
      <w:r w:rsidRPr="00283806">
        <w:rPr>
          <w:spacing w:val="14"/>
          <w:w w:val="105"/>
          <w:position w:val="4"/>
          <w:sz w:val="9"/>
        </w:rPr>
        <w:t xml:space="preserve"> </w:t>
      </w:r>
      <w:r w:rsidRPr="00283806">
        <w:rPr>
          <w:w w:val="105"/>
          <w:sz w:val="14"/>
        </w:rPr>
        <w:t>A</w:t>
      </w:r>
      <w:r w:rsidRPr="00283806">
        <w:rPr>
          <w:spacing w:val="28"/>
          <w:w w:val="105"/>
          <w:sz w:val="14"/>
        </w:rPr>
        <w:t xml:space="preserve"> </w:t>
      </w:r>
      <w:r w:rsidRPr="00283806">
        <w:rPr>
          <w:w w:val="105"/>
          <w:sz w:val="14"/>
        </w:rPr>
        <w:t>related</w:t>
      </w:r>
      <w:r w:rsidRPr="00283806">
        <w:rPr>
          <w:spacing w:val="28"/>
          <w:w w:val="105"/>
          <w:sz w:val="14"/>
        </w:rPr>
        <w:t xml:space="preserve"> </w:t>
      </w:r>
      <w:r w:rsidRPr="00283806">
        <w:rPr>
          <w:w w:val="105"/>
          <w:sz w:val="14"/>
        </w:rPr>
        <w:t>definition</w:t>
      </w:r>
      <w:r w:rsidRPr="00283806">
        <w:rPr>
          <w:spacing w:val="28"/>
          <w:w w:val="105"/>
          <w:sz w:val="14"/>
        </w:rPr>
        <w:t xml:space="preserve"> </w:t>
      </w:r>
      <w:r w:rsidRPr="00283806">
        <w:rPr>
          <w:w w:val="105"/>
          <w:sz w:val="14"/>
        </w:rPr>
        <w:t>for</w:t>
      </w:r>
      <w:r w:rsidRPr="00283806">
        <w:rPr>
          <w:spacing w:val="28"/>
          <w:w w:val="105"/>
          <w:sz w:val="14"/>
        </w:rPr>
        <w:t xml:space="preserve"> </w:t>
      </w:r>
      <w:r w:rsidRPr="00283806">
        <w:rPr>
          <w:w w:val="105"/>
          <w:sz w:val="14"/>
        </w:rPr>
        <w:t>‘‘MVAC-like</w:t>
      </w:r>
      <w:r w:rsidRPr="00283806">
        <w:rPr>
          <w:spacing w:val="28"/>
          <w:w w:val="105"/>
          <w:sz w:val="14"/>
        </w:rPr>
        <w:t xml:space="preserve"> </w:t>
      </w:r>
      <w:r w:rsidRPr="00283806">
        <w:rPr>
          <w:w w:val="105"/>
          <w:sz w:val="14"/>
        </w:rPr>
        <w:t>appliance’’</w:t>
      </w:r>
      <w:r w:rsidRPr="00283806">
        <w:rPr>
          <w:spacing w:val="40"/>
          <w:w w:val="105"/>
          <w:sz w:val="14"/>
        </w:rPr>
        <w:t xml:space="preserve"> </w:t>
      </w:r>
      <w:r w:rsidRPr="00283806">
        <w:rPr>
          <w:w w:val="105"/>
          <w:sz w:val="14"/>
        </w:rPr>
        <w:t>is found at 40 CFR 82.152: MVAC-like appliance</w:t>
      </w:r>
      <w:r w:rsidRPr="00283806">
        <w:rPr>
          <w:spacing w:val="40"/>
          <w:w w:val="105"/>
          <w:sz w:val="14"/>
        </w:rPr>
        <w:t xml:space="preserve"> </w:t>
      </w:r>
      <w:r w:rsidRPr="00283806">
        <w:rPr>
          <w:w w:val="105"/>
          <w:sz w:val="14"/>
        </w:rPr>
        <w:t>means a mechanical vapor compression, open-drive</w:t>
      </w:r>
      <w:r w:rsidRPr="00283806">
        <w:rPr>
          <w:spacing w:val="40"/>
          <w:w w:val="105"/>
          <w:sz w:val="14"/>
        </w:rPr>
        <w:t xml:space="preserve"> </w:t>
      </w:r>
      <w:r w:rsidRPr="00283806">
        <w:rPr>
          <w:w w:val="105"/>
          <w:sz w:val="14"/>
        </w:rPr>
        <w:t>compressor appliance with a full charge of 20</w:t>
      </w:r>
      <w:r w:rsidRPr="00283806">
        <w:rPr>
          <w:spacing w:val="80"/>
          <w:w w:val="105"/>
          <w:sz w:val="14"/>
        </w:rPr>
        <w:t xml:space="preserve"> </w:t>
      </w:r>
      <w:r w:rsidRPr="00283806">
        <w:rPr>
          <w:w w:val="105"/>
          <w:sz w:val="14"/>
        </w:rPr>
        <w:t>pounds or less of refrigerant used to cool the</w:t>
      </w:r>
      <w:r w:rsidRPr="00283806">
        <w:rPr>
          <w:spacing w:val="80"/>
          <w:w w:val="105"/>
          <w:sz w:val="14"/>
        </w:rPr>
        <w:t xml:space="preserve"> </w:t>
      </w:r>
      <w:r w:rsidRPr="00283806">
        <w:rPr>
          <w:w w:val="105"/>
          <w:sz w:val="14"/>
        </w:rPr>
        <w:t>driver’s or passenger’s compartment of off-road</w:t>
      </w:r>
      <w:r w:rsidRPr="00283806">
        <w:rPr>
          <w:spacing w:val="40"/>
          <w:w w:val="105"/>
          <w:sz w:val="14"/>
        </w:rPr>
        <w:t xml:space="preserve"> </w:t>
      </w:r>
      <w:r w:rsidRPr="00283806">
        <w:rPr>
          <w:w w:val="105"/>
          <w:sz w:val="14"/>
        </w:rPr>
        <w:t>vehicles or equipment. This includes, but is not</w:t>
      </w:r>
      <w:r w:rsidRPr="00283806">
        <w:rPr>
          <w:spacing w:val="40"/>
          <w:w w:val="105"/>
          <w:sz w:val="14"/>
        </w:rPr>
        <w:t xml:space="preserve"> </w:t>
      </w:r>
      <w:r w:rsidRPr="00283806">
        <w:rPr>
          <w:w w:val="105"/>
          <w:sz w:val="14"/>
        </w:rPr>
        <w:t>limited to, the air-conditioning equipment found on</w:t>
      </w:r>
      <w:r w:rsidRPr="00283806">
        <w:rPr>
          <w:spacing w:val="40"/>
          <w:w w:val="105"/>
          <w:sz w:val="14"/>
        </w:rPr>
        <w:t xml:space="preserve"> </w:t>
      </w:r>
      <w:r w:rsidRPr="00283806">
        <w:rPr>
          <w:w w:val="105"/>
          <w:sz w:val="14"/>
        </w:rPr>
        <w:t>agricultural</w:t>
      </w:r>
      <w:r w:rsidRPr="00283806">
        <w:rPr>
          <w:spacing w:val="33"/>
          <w:w w:val="105"/>
          <w:sz w:val="14"/>
        </w:rPr>
        <w:t xml:space="preserve"> </w:t>
      </w:r>
      <w:r w:rsidRPr="00283806">
        <w:rPr>
          <w:w w:val="105"/>
          <w:sz w:val="14"/>
        </w:rPr>
        <w:t>or</w:t>
      </w:r>
      <w:r w:rsidRPr="00283806">
        <w:rPr>
          <w:spacing w:val="33"/>
          <w:w w:val="105"/>
          <w:sz w:val="14"/>
        </w:rPr>
        <w:t xml:space="preserve"> </w:t>
      </w:r>
      <w:r w:rsidRPr="00283806">
        <w:rPr>
          <w:w w:val="105"/>
          <w:sz w:val="14"/>
        </w:rPr>
        <w:t>construction</w:t>
      </w:r>
      <w:r w:rsidRPr="00283806">
        <w:rPr>
          <w:spacing w:val="33"/>
          <w:w w:val="105"/>
          <w:sz w:val="14"/>
        </w:rPr>
        <w:t xml:space="preserve"> </w:t>
      </w:r>
      <w:r w:rsidRPr="00283806">
        <w:rPr>
          <w:w w:val="105"/>
          <w:sz w:val="14"/>
        </w:rPr>
        <w:t>vehicles.</w:t>
      </w:r>
      <w:r w:rsidRPr="00283806">
        <w:rPr>
          <w:spacing w:val="33"/>
          <w:w w:val="105"/>
          <w:sz w:val="14"/>
        </w:rPr>
        <w:t xml:space="preserve"> </w:t>
      </w:r>
      <w:r w:rsidRPr="00283806">
        <w:rPr>
          <w:w w:val="105"/>
          <w:sz w:val="14"/>
        </w:rPr>
        <w:t>This</w:t>
      </w:r>
      <w:r w:rsidRPr="00283806">
        <w:rPr>
          <w:spacing w:val="40"/>
          <w:w w:val="105"/>
          <w:sz w:val="14"/>
        </w:rPr>
        <w:t xml:space="preserve"> </w:t>
      </w:r>
      <w:r w:rsidRPr="00283806">
        <w:rPr>
          <w:w w:val="105"/>
          <w:sz w:val="14"/>
        </w:rPr>
        <w:t>definition is not intended to cover appliances using</w:t>
      </w:r>
      <w:r w:rsidRPr="00283806">
        <w:rPr>
          <w:spacing w:val="40"/>
          <w:w w:val="105"/>
          <w:sz w:val="14"/>
        </w:rPr>
        <w:t xml:space="preserve"> </w:t>
      </w:r>
      <w:r w:rsidRPr="00283806">
        <w:rPr>
          <w:w w:val="105"/>
          <w:sz w:val="14"/>
        </w:rPr>
        <w:t>R–22 refrigerant.</w:t>
      </w:r>
    </w:p>
    <w:p w14:paraId="0F8A1FB2" w14:textId="77777777" w:rsidR="00D67C1E" w:rsidRPr="00283806" w:rsidRDefault="001265CA">
      <w:pPr>
        <w:spacing w:before="28" w:line="232" w:lineRule="auto"/>
        <w:ind w:left="159" w:right="64" w:firstLine="140"/>
        <w:rPr>
          <w:sz w:val="14"/>
        </w:rPr>
      </w:pPr>
      <w:r w:rsidRPr="00283806">
        <w:rPr>
          <w:w w:val="105"/>
          <w:position w:val="4"/>
          <w:sz w:val="9"/>
        </w:rPr>
        <w:t xml:space="preserve">43 </w:t>
      </w:r>
      <w:r w:rsidRPr="00283806">
        <w:rPr>
          <w:w w:val="105"/>
          <w:sz w:val="14"/>
        </w:rPr>
        <w:t>Section 609(b)(1) defines the term</w:t>
      </w:r>
      <w:r w:rsidRPr="00283806">
        <w:rPr>
          <w:spacing w:val="40"/>
          <w:w w:val="105"/>
          <w:sz w:val="14"/>
        </w:rPr>
        <w:t xml:space="preserve"> </w:t>
      </w:r>
      <w:r w:rsidRPr="00283806">
        <w:rPr>
          <w:w w:val="105"/>
          <w:sz w:val="14"/>
        </w:rPr>
        <w:t>‘‘refrigerant,’’ ‘‘[a]s used in this section’’, to mean</w:t>
      </w:r>
      <w:r w:rsidRPr="00283806">
        <w:rPr>
          <w:spacing w:val="40"/>
          <w:w w:val="105"/>
          <w:sz w:val="14"/>
        </w:rPr>
        <w:t xml:space="preserve"> </w:t>
      </w:r>
      <w:r w:rsidRPr="00283806">
        <w:rPr>
          <w:w w:val="105"/>
          <w:sz w:val="14"/>
        </w:rPr>
        <w:t>‘‘any class I or class II substance used in a motor</w:t>
      </w:r>
      <w:r w:rsidRPr="00283806">
        <w:rPr>
          <w:spacing w:val="40"/>
          <w:w w:val="105"/>
          <w:sz w:val="14"/>
        </w:rPr>
        <w:t xml:space="preserve"> </w:t>
      </w:r>
      <w:r w:rsidRPr="00283806">
        <w:rPr>
          <w:w w:val="105"/>
          <w:sz w:val="14"/>
        </w:rPr>
        <w:t>vehicle air conditioner. Effective 5 years after</w:t>
      </w:r>
      <w:r w:rsidRPr="00283806">
        <w:rPr>
          <w:spacing w:val="40"/>
          <w:w w:val="105"/>
          <w:sz w:val="14"/>
        </w:rPr>
        <w:t xml:space="preserve"> </w:t>
      </w:r>
      <w:r w:rsidRPr="00283806">
        <w:rPr>
          <w:w w:val="105"/>
          <w:sz w:val="14"/>
        </w:rPr>
        <w:t>November 15, 1990, the term ‘refrigerant’ shall also</w:t>
      </w:r>
      <w:r w:rsidRPr="00283806">
        <w:rPr>
          <w:spacing w:val="40"/>
          <w:w w:val="105"/>
          <w:sz w:val="14"/>
        </w:rPr>
        <w:t xml:space="preserve"> </w:t>
      </w:r>
      <w:r w:rsidRPr="00283806">
        <w:rPr>
          <w:w w:val="105"/>
          <w:sz w:val="14"/>
        </w:rPr>
        <w:t>include any substitute substance.’’ EPA’s</w:t>
      </w:r>
      <w:r w:rsidRPr="00283806">
        <w:rPr>
          <w:spacing w:val="40"/>
          <w:w w:val="105"/>
          <w:sz w:val="14"/>
        </w:rPr>
        <w:t xml:space="preserve"> </w:t>
      </w:r>
      <w:r w:rsidRPr="00283806">
        <w:rPr>
          <w:w w:val="105"/>
          <w:sz w:val="14"/>
        </w:rPr>
        <w:t>implementing regulations include a parallel</w:t>
      </w:r>
      <w:r w:rsidRPr="00283806">
        <w:rPr>
          <w:spacing w:val="40"/>
          <w:w w:val="105"/>
          <w:sz w:val="14"/>
        </w:rPr>
        <w:t xml:space="preserve"> </w:t>
      </w:r>
      <w:r w:rsidRPr="00283806">
        <w:rPr>
          <w:w w:val="105"/>
          <w:sz w:val="14"/>
        </w:rPr>
        <w:t>definition of this term at 40 CFR 82.32(f).</w:t>
      </w:r>
    </w:p>
    <w:p w14:paraId="40EEB845" w14:textId="77777777" w:rsidR="00D67C1E" w:rsidRPr="00283806" w:rsidRDefault="001265CA">
      <w:pPr>
        <w:pStyle w:val="BodyText"/>
        <w:spacing w:before="135" w:line="225" w:lineRule="auto"/>
        <w:ind w:left="146" w:right="540"/>
      </w:pPr>
      <w:r w:rsidRPr="00283806">
        <w:br w:type="column"/>
      </w:r>
      <w:r w:rsidRPr="00283806">
        <w:rPr>
          <w:w w:val="105"/>
        </w:rPr>
        <w:t>person performing service for consideration on MVAC systems.</w:t>
      </w:r>
    </w:p>
    <w:p w14:paraId="21200948" w14:textId="77777777" w:rsidR="00D67C1E" w:rsidRPr="00283806" w:rsidRDefault="001265CA">
      <w:pPr>
        <w:pStyle w:val="BodyText"/>
        <w:spacing w:line="179" w:lineRule="exact"/>
        <w:ind w:left="326"/>
      </w:pPr>
      <w:r w:rsidRPr="00283806">
        <w:rPr>
          <w:w w:val="105"/>
        </w:rPr>
        <w:t>Regulations</w:t>
      </w:r>
      <w:r w:rsidRPr="00283806">
        <w:rPr>
          <w:spacing w:val="26"/>
          <w:w w:val="105"/>
        </w:rPr>
        <w:t xml:space="preserve"> </w:t>
      </w:r>
      <w:r w:rsidRPr="00283806">
        <w:rPr>
          <w:w w:val="105"/>
        </w:rPr>
        <w:t>issued</w:t>
      </w:r>
      <w:r w:rsidRPr="00283806">
        <w:rPr>
          <w:spacing w:val="27"/>
          <w:w w:val="105"/>
        </w:rPr>
        <w:t xml:space="preserve"> </w:t>
      </w:r>
      <w:r w:rsidRPr="00283806">
        <w:rPr>
          <w:w w:val="105"/>
        </w:rPr>
        <w:t>under</w:t>
      </w:r>
      <w:r w:rsidRPr="00283806">
        <w:rPr>
          <w:spacing w:val="27"/>
          <w:w w:val="105"/>
        </w:rPr>
        <w:t xml:space="preserve"> </w:t>
      </w:r>
      <w:r w:rsidRPr="00283806">
        <w:rPr>
          <w:w w:val="105"/>
        </w:rPr>
        <w:t>CAA</w:t>
      </w:r>
      <w:r w:rsidRPr="00283806">
        <w:rPr>
          <w:spacing w:val="26"/>
          <w:w w:val="105"/>
        </w:rPr>
        <w:t xml:space="preserve"> </w:t>
      </w:r>
      <w:r w:rsidRPr="00283806">
        <w:rPr>
          <w:spacing w:val="-2"/>
          <w:w w:val="105"/>
        </w:rPr>
        <w:t>section</w:t>
      </w:r>
    </w:p>
    <w:p w14:paraId="6510DD4E" w14:textId="77777777" w:rsidR="00D67C1E" w:rsidRPr="00283806" w:rsidRDefault="001265CA">
      <w:pPr>
        <w:pStyle w:val="BodyText"/>
        <w:spacing w:before="4" w:line="225" w:lineRule="auto"/>
        <w:ind w:left="146" w:right="48"/>
      </w:pPr>
      <w:r w:rsidRPr="00283806">
        <w:rPr>
          <w:w w:val="105"/>
        </w:rPr>
        <w:t>609, codified at 40 CFR part 82, subpart B, include, among other things,</w:t>
      </w:r>
      <w:r w:rsidRPr="00283806">
        <w:rPr>
          <w:spacing w:val="40"/>
          <w:w w:val="105"/>
        </w:rPr>
        <w:t xml:space="preserve"> </w:t>
      </w:r>
      <w:r w:rsidRPr="00283806">
        <w:rPr>
          <w:w w:val="105"/>
        </w:rPr>
        <w:t>prohibited and required practices for persons repairing and servicing MVACs for consideration (40 CFR 82.34); requirements for refrigerant handling equipment (40 CFR 82.36); approval processes for independent standards testing organizations (40 CFR 82.38); requirements for certifications that any person servicing or repairing MVACs for consideration must submit to EPA; and related recordkeeping requirements (40 CFR 82.42). Appendices A through F at</w:t>
      </w:r>
      <w:r w:rsidRPr="00283806">
        <w:rPr>
          <w:spacing w:val="40"/>
          <w:w w:val="105"/>
        </w:rPr>
        <w:t xml:space="preserve"> </w:t>
      </w:r>
      <w:r w:rsidRPr="00283806">
        <w:rPr>
          <w:w w:val="105"/>
        </w:rPr>
        <w:t>40 CFR part 82, subpart B, provide minimum operating requirements for equipment used for the recovery, recycling and/or recharging of refrigerant used in MVACs.</w:t>
      </w:r>
    </w:p>
    <w:p w14:paraId="5306E47C" w14:textId="77777777" w:rsidR="00D67C1E" w:rsidRPr="00283806" w:rsidRDefault="001265CA">
      <w:pPr>
        <w:pStyle w:val="BodyText"/>
        <w:spacing w:line="173" w:lineRule="exact"/>
        <w:ind w:left="326"/>
      </w:pPr>
      <w:r w:rsidRPr="00283806">
        <w:rPr>
          <w:w w:val="110"/>
        </w:rPr>
        <w:t>In</w:t>
      </w:r>
      <w:r w:rsidRPr="00283806">
        <w:rPr>
          <w:spacing w:val="-8"/>
          <w:w w:val="110"/>
        </w:rPr>
        <w:t xml:space="preserve"> </w:t>
      </w:r>
      <w:r w:rsidRPr="00283806">
        <w:rPr>
          <w:w w:val="110"/>
        </w:rPr>
        <w:t>1992,</w:t>
      </w:r>
      <w:r w:rsidRPr="00283806">
        <w:rPr>
          <w:spacing w:val="-8"/>
          <w:w w:val="110"/>
        </w:rPr>
        <w:t xml:space="preserve"> </w:t>
      </w:r>
      <w:r w:rsidRPr="00283806">
        <w:rPr>
          <w:w w:val="110"/>
        </w:rPr>
        <w:t>EPA</w:t>
      </w:r>
      <w:r w:rsidRPr="00283806">
        <w:rPr>
          <w:spacing w:val="-8"/>
          <w:w w:val="110"/>
        </w:rPr>
        <w:t xml:space="preserve"> </w:t>
      </w:r>
      <w:r w:rsidRPr="00283806">
        <w:rPr>
          <w:w w:val="110"/>
        </w:rPr>
        <w:t>published</w:t>
      </w:r>
      <w:r w:rsidRPr="00283806">
        <w:rPr>
          <w:spacing w:val="-7"/>
          <w:w w:val="110"/>
        </w:rPr>
        <w:t xml:space="preserve"> </w:t>
      </w:r>
      <w:r w:rsidRPr="00283806">
        <w:rPr>
          <w:w w:val="110"/>
        </w:rPr>
        <w:t>a</w:t>
      </w:r>
      <w:r w:rsidRPr="00283806">
        <w:rPr>
          <w:spacing w:val="-8"/>
          <w:w w:val="110"/>
        </w:rPr>
        <w:t xml:space="preserve"> </w:t>
      </w:r>
      <w:r w:rsidRPr="00283806">
        <w:rPr>
          <w:w w:val="110"/>
        </w:rPr>
        <w:t>rule</w:t>
      </w:r>
      <w:r w:rsidRPr="00283806">
        <w:rPr>
          <w:spacing w:val="-8"/>
          <w:w w:val="110"/>
        </w:rPr>
        <w:t xml:space="preserve"> </w:t>
      </w:r>
      <w:r w:rsidRPr="00283806">
        <w:rPr>
          <w:w w:val="110"/>
        </w:rPr>
        <w:t>(57</w:t>
      </w:r>
      <w:r w:rsidRPr="00283806">
        <w:rPr>
          <w:spacing w:val="-7"/>
          <w:w w:val="110"/>
        </w:rPr>
        <w:t xml:space="preserve"> </w:t>
      </w:r>
      <w:r w:rsidRPr="00283806">
        <w:rPr>
          <w:spacing w:val="-5"/>
          <w:w w:val="110"/>
        </w:rPr>
        <w:t>FR</w:t>
      </w:r>
    </w:p>
    <w:p w14:paraId="4A783925" w14:textId="77777777" w:rsidR="00D67C1E" w:rsidRPr="00283806" w:rsidRDefault="001265CA">
      <w:pPr>
        <w:pStyle w:val="BodyText"/>
        <w:spacing w:before="4" w:line="225" w:lineRule="auto"/>
        <w:ind w:left="146" w:right="3"/>
      </w:pPr>
      <w:r w:rsidRPr="00283806">
        <w:rPr>
          <w:w w:val="105"/>
        </w:rPr>
        <w:t>31242,</w:t>
      </w:r>
      <w:r w:rsidRPr="00283806">
        <w:rPr>
          <w:spacing w:val="40"/>
          <w:w w:val="105"/>
        </w:rPr>
        <w:t xml:space="preserve"> </w:t>
      </w:r>
      <w:r w:rsidRPr="00283806">
        <w:rPr>
          <w:w w:val="105"/>
        </w:rPr>
        <w:t>July</w:t>
      </w:r>
      <w:r w:rsidRPr="00283806">
        <w:rPr>
          <w:spacing w:val="40"/>
          <w:w w:val="105"/>
        </w:rPr>
        <w:t xml:space="preserve"> </w:t>
      </w:r>
      <w:r w:rsidRPr="00283806">
        <w:rPr>
          <w:w w:val="105"/>
        </w:rPr>
        <w:t>14,</w:t>
      </w:r>
      <w:r w:rsidRPr="00283806">
        <w:rPr>
          <w:spacing w:val="40"/>
          <w:w w:val="105"/>
        </w:rPr>
        <w:t xml:space="preserve"> </w:t>
      </w:r>
      <w:r w:rsidRPr="00283806">
        <w:rPr>
          <w:w w:val="105"/>
        </w:rPr>
        <w:t>1992)</w:t>
      </w:r>
      <w:r w:rsidRPr="00283806">
        <w:rPr>
          <w:spacing w:val="40"/>
          <w:w w:val="105"/>
        </w:rPr>
        <w:t xml:space="preserve"> </w:t>
      </w:r>
      <w:r w:rsidRPr="00283806">
        <w:rPr>
          <w:w w:val="105"/>
        </w:rPr>
        <w:t>under</w:t>
      </w:r>
      <w:r w:rsidRPr="00283806">
        <w:rPr>
          <w:spacing w:val="40"/>
          <w:w w:val="105"/>
        </w:rPr>
        <w:t xml:space="preserve"> </w:t>
      </w:r>
      <w:r w:rsidRPr="00283806">
        <w:rPr>
          <w:w w:val="105"/>
        </w:rPr>
        <w:t xml:space="preserve">CAA section 609 establishing standards and requirements for </w:t>
      </w:r>
      <w:proofErr w:type="gramStart"/>
      <w:r w:rsidRPr="00283806">
        <w:rPr>
          <w:w w:val="105"/>
        </w:rPr>
        <w:t>servicing of</w:t>
      </w:r>
      <w:proofErr w:type="gramEnd"/>
      <w:r w:rsidRPr="00283806">
        <w:rPr>
          <w:w w:val="105"/>
        </w:rPr>
        <w:t xml:space="preserve"> MVACs</w:t>
      </w:r>
      <w:r w:rsidRPr="00283806">
        <w:rPr>
          <w:spacing w:val="80"/>
          <w:w w:val="150"/>
        </w:rPr>
        <w:t xml:space="preserve"> </w:t>
      </w:r>
      <w:r w:rsidRPr="00283806">
        <w:rPr>
          <w:w w:val="105"/>
        </w:rPr>
        <w:t>and restricting the sale of small containers of ODS. The regulations,</w:t>
      </w:r>
      <w:r w:rsidRPr="00283806">
        <w:rPr>
          <w:spacing w:val="80"/>
          <w:w w:val="105"/>
        </w:rPr>
        <w:t xml:space="preserve"> </w:t>
      </w:r>
      <w:r w:rsidRPr="00283806">
        <w:rPr>
          <w:w w:val="105"/>
        </w:rPr>
        <w:t xml:space="preserve">which appear in 40 CFR part 82, subpart B, require </w:t>
      </w:r>
      <w:proofErr w:type="gramStart"/>
      <w:r w:rsidRPr="00283806">
        <w:rPr>
          <w:w w:val="105"/>
        </w:rPr>
        <w:t>persons</w:t>
      </w:r>
      <w:proofErr w:type="gramEnd"/>
      <w:r w:rsidRPr="00283806">
        <w:rPr>
          <w:w w:val="105"/>
        </w:rPr>
        <w:t xml:space="preserve"> who repair or service MVACs for consideration to be certified</w:t>
      </w:r>
      <w:r w:rsidRPr="00283806">
        <w:rPr>
          <w:spacing w:val="40"/>
          <w:w w:val="105"/>
        </w:rPr>
        <w:t xml:space="preserve"> </w:t>
      </w:r>
      <w:r w:rsidRPr="00283806">
        <w:rPr>
          <w:w w:val="105"/>
        </w:rPr>
        <w:t>in</w:t>
      </w:r>
      <w:r w:rsidRPr="00283806">
        <w:rPr>
          <w:spacing w:val="40"/>
          <w:w w:val="105"/>
        </w:rPr>
        <w:t xml:space="preserve"> </w:t>
      </w:r>
      <w:r w:rsidRPr="00283806">
        <w:rPr>
          <w:w w:val="105"/>
        </w:rPr>
        <w:t>refrigerant</w:t>
      </w:r>
      <w:r w:rsidRPr="00283806">
        <w:rPr>
          <w:spacing w:val="40"/>
          <w:w w:val="105"/>
        </w:rPr>
        <w:t xml:space="preserve"> </w:t>
      </w:r>
      <w:r w:rsidRPr="00283806">
        <w:rPr>
          <w:w w:val="105"/>
        </w:rPr>
        <w:t>recovery</w:t>
      </w:r>
      <w:r w:rsidRPr="00283806">
        <w:rPr>
          <w:spacing w:val="40"/>
          <w:w w:val="105"/>
        </w:rPr>
        <w:t xml:space="preserve"> </w:t>
      </w:r>
      <w:r w:rsidRPr="00283806">
        <w:rPr>
          <w:w w:val="105"/>
        </w:rPr>
        <w:t>and</w:t>
      </w:r>
      <w:r w:rsidRPr="00283806">
        <w:rPr>
          <w:spacing w:val="40"/>
          <w:w w:val="105"/>
        </w:rPr>
        <w:t xml:space="preserve"> </w:t>
      </w:r>
      <w:r w:rsidRPr="00283806">
        <w:rPr>
          <w:w w:val="105"/>
        </w:rPr>
        <w:t>recycling and</w:t>
      </w:r>
      <w:r w:rsidRPr="00283806">
        <w:rPr>
          <w:spacing w:val="40"/>
          <w:w w:val="105"/>
        </w:rPr>
        <w:t xml:space="preserve"> </w:t>
      </w:r>
      <w:r w:rsidRPr="00283806">
        <w:rPr>
          <w:w w:val="105"/>
        </w:rPr>
        <w:t>to</w:t>
      </w:r>
      <w:r w:rsidRPr="00283806">
        <w:rPr>
          <w:spacing w:val="40"/>
          <w:w w:val="105"/>
        </w:rPr>
        <w:t xml:space="preserve"> </w:t>
      </w:r>
      <w:r w:rsidRPr="00283806">
        <w:rPr>
          <w:w w:val="105"/>
        </w:rPr>
        <w:t>properly</w:t>
      </w:r>
      <w:r w:rsidRPr="00283806">
        <w:rPr>
          <w:spacing w:val="40"/>
          <w:w w:val="105"/>
        </w:rPr>
        <w:t xml:space="preserve"> </w:t>
      </w:r>
      <w:r w:rsidRPr="00283806">
        <w:rPr>
          <w:w w:val="105"/>
        </w:rPr>
        <w:t>use</w:t>
      </w:r>
      <w:r w:rsidRPr="00283806">
        <w:rPr>
          <w:spacing w:val="40"/>
          <w:w w:val="105"/>
        </w:rPr>
        <w:t xml:space="preserve"> </w:t>
      </w:r>
      <w:r w:rsidRPr="00283806">
        <w:rPr>
          <w:w w:val="105"/>
        </w:rPr>
        <w:t>approved equipment when performing service involving the refrigerant. Consistent</w:t>
      </w:r>
      <w:r w:rsidRPr="00283806">
        <w:rPr>
          <w:spacing w:val="80"/>
          <w:w w:val="105"/>
        </w:rPr>
        <w:t xml:space="preserve"> </w:t>
      </w:r>
      <w:r w:rsidRPr="00283806">
        <w:rPr>
          <w:w w:val="105"/>
        </w:rPr>
        <w:t>with the definition in CAA section 609(b)(1), ‘‘refrigerant’’ is defined in subpart B as any class I or class II substance</w:t>
      </w:r>
      <w:r w:rsidRPr="00283806">
        <w:rPr>
          <w:spacing w:val="40"/>
          <w:w w:val="105"/>
        </w:rPr>
        <w:t xml:space="preserve"> </w:t>
      </w:r>
      <w:r w:rsidRPr="00283806">
        <w:rPr>
          <w:w w:val="105"/>
        </w:rPr>
        <w:t>used</w:t>
      </w:r>
      <w:r w:rsidRPr="00283806">
        <w:rPr>
          <w:spacing w:val="40"/>
          <w:w w:val="105"/>
        </w:rPr>
        <w:t xml:space="preserve"> </w:t>
      </w:r>
      <w:r w:rsidRPr="00283806">
        <w:rPr>
          <w:w w:val="105"/>
        </w:rPr>
        <w:t>in</w:t>
      </w:r>
      <w:r w:rsidRPr="00283806">
        <w:rPr>
          <w:spacing w:val="40"/>
          <w:w w:val="105"/>
        </w:rPr>
        <w:t xml:space="preserve"> </w:t>
      </w:r>
      <w:r w:rsidRPr="00283806">
        <w:rPr>
          <w:w w:val="105"/>
        </w:rPr>
        <w:t>MVACs,</w:t>
      </w:r>
      <w:r w:rsidRPr="00283806">
        <w:rPr>
          <w:spacing w:val="40"/>
          <w:w w:val="105"/>
        </w:rPr>
        <w:t xml:space="preserve"> </w:t>
      </w:r>
      <w:r w:rsidRPr="00283806">
        <w:rPr>
          <w:w w:val="105"/>
        </w:rPr>
        <w:t>and</w:t>
      </w:r>
      <w:r w:rsidRPr="00283806">
        <w:rPr>
          <w:spacing w:val="40"/>
          <w:w w:val="105"/>
        </w:rPr>
        <w:t xml:space="preserve"> </w:t>
      </w:r>
      <w:r w:rsidRPr="00283806">
        <w:rPr>
          <w:w w:val="105"/>
        </w:rPr>
        <w:t>to include any substitute substance</w:t>
      </w:r>
      <w:r w:rsidRPr="00283806">
        <w:rPr>
          <w:spacing w:val="80"/>
          <w:w w:val="105"/>
        </w:rPr>
        <w:t xml:space="preserve"> </w:t>
      </w:r>
      <w:r w:rsidRPr="00283806">
        <w:rPr>
          <w:w w:val="105"/>
        </w:rPr>
        <w:t>effective November 15, 1995. The 1992 CAA section 609 Rule also defined approved refrigerant recycling</w:t>
      </w:r>
      <w:r w:rsidRPr="00283806">
        <w:rPr>
          <w:spacing w:val="40"/>
          <w:w w:val="105"/>
        </w:rPr>
        <w:t xml:space="preserve"> </w:t>
      </w:r>
      <w:r w:rsidRPr="00283806">
        <w:rPr>
          <w:w w:val="105"/>
        </w:rPr>
        <w:t>equipment as equipment certified by the Administrator or an approved organization as meeting either one of the standards in 40 CFR 82.36. Such equipment extracts and recycles refrigerant or extracts but does not recycle refrigerant, allowing that refrigerant to be subsequently recycled on-site or to be sent off-site for reclamation.</w:t>
      </w:r>
      <w:r w:rsidRPr="00283806">
        <w:rPr>
          <w:w w:val="105"/>
          <w:position w:val="5"/>
          <w:sz w:val="11"/>
        </w:rPr>
        <w:t>44</w:t>
      </w:r>
      <w:r w:rsidRPr="00283806">
        <w:rPr>
          <w:spacing w:val="40"/>
          <w:w w:val="105"/>
          <w:position w:val="5"/>
          <w:sz w:val="11"/>
        </w:rPr>
        <w:t xml:space="preserve"> </w:t>
      </w:r>
      <w:r w:rsidRPr="00283806">
        <w:rPr>
          <w:w w:val="105"/>
        </w:rPr>
        <w:t>EPA based the regulatory equipment standards in subpart B on those developed by the Society of Automotive</w:t>
      </w:r>
      <w:r w:rsidRPr="00283806">
        <w:rPr>
          <w:spacing w:val="40"/>
          <w:w w:val="105"/>
        </w:rPr>
        <w:t xml:space="preserve"> </w:t>
      </w:r>
      <w:r w:rsidRPr="00283806">
        <w:rPr>
          <w:w w:val="105"/>
        </w:rPr>
        <w:t>Engineers</w:t>
      </w:r>
      <w:r w:rsidRPr="00283806">
        <w:rPr>
          <w:spacing w:val="40"/>
          <w:w w:val="105"/>
        </w:rPr>
        <w:t xml:space="preserve"> </w:t>
      </w:r>
      <w:r w:rsidRPr="00283806">
        <w:rPr>
          <w:w w:val="105"/>
        </w:rPr>
        <w:t>(SAE).</w:t>
      </w:r>
      <w:r w:rsidRPr="00283806">
        <w:rPr>
          <w:spacing w:val="40"/>
          <w:w w:val="105"/>
        </w:rPr>
        <w:t xml:space="preserve"> </w:t>
      </w:r>
      <w:r w:rsidRPr="00283806">
        <w:rPr>
          <w:w w:val="105"/>
        </w:rPr>
        <w:t>They cover service procedures for dichlorodifluoromethane (CFC–12 or R– 12) recover/recycle equipment (SAE J1989, issued in October 1989); test procedures to evaluate R–12 recover/ recycle equipment (SAE J1990, issued in October 1989 and revised in 1991); and</w:t>
      </w:r>
    </w:p>
    <w:p w14:paraId="013520F4" w14:textId="77777777" w:rsidR="00D67C1E" w:rsidRPr="00283806" w:rsidRDefault="001265CA">
      <w:pPr>
        <w:pStyle w:val="BodyText"/>
        <w:ind w:left="0"/>
        <w:rPr>
          <w:sz w:val="12"/>
        </w:rPr>
      </w:pPr>
      <w:r w:rsidRPr="00283806">
        <w:rPr>
          <w:noProof/>
        </w:rPr>
        <mc:AlternateContent>
          <mc:Choice Requires="wps">
            <w:drawing>
              <wp:anchor distT="0" distB="0" distL="0" distR="0" simplePos="0" relativeHeight="251627520" behindDoc="1" locked="0" layoutInCell="1" allowOverlap="1" wp14:anchorId="03CCFA95" wp14:editId="0874D895">
                <wp:simplePos x="0" y="0"/>
                <wp:positionH relativeFrom="page">
                  <wp:posOffset>2819400</wp:posOffset>
                </wp:positionH>
                <wp:positionV relativeFrom="paragraph">
                  <wp:posOffset>104790</wp:posOffset>
                </wp:positionV>
                <wp:extent cx="635000" cy="1270"/>
                <wp:effectExtent l="0" t="0" r="0" b="0"/>
                <wp:wrapTopAndBottom/>
                <wp:docPr id="57" name="Graphic 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D1BF418" id="Graphic 57" o:spid="_x0000_s1026" alt="&quot;&quot;" style="position:absolute;margin-left:222pt;margin-top:8.25pt;width:50pt;height:.1pt;z-index:-251688960;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" path="m,l635000,e" filled="f" strokeweight=".5pt">
                <v:path arrowok="t"/>
                <w10:wrap type="topAndBottom" anchorx="page"/>
              </v:shape>
            </w:pict>
          </mc:Fallback>
        </mc:AlternateContent>
      </w:r>
    </w:p>
    <w:p w14:paraId="6E3DE251" w14:textId="77777777" w:rsidR="00D67C1E" w:rsidRPr="00283806" w:rsidRDefault="001265CA">
      <w:pPr>
        <w:spacing w:before="40" w:line="232" w:lineRule="auto"/>
        <w:ind w:left="146" w:firstLine="140"/>
        <w:rPr>
          <w:sz w:val="14"/>
        </w:rPr>
      </w:pPr>
      <w:r w:rsidRPr="00283806">
        <w:rPr>
          <w:w w:val="105"/>
          <w:position w:val="4"/>
          <w:sz w:val="9"/>
        </w:rPr>
        <w:t>44</w:t>
      </w:r>
      <w:r w:rsidRPr="00283806">
        <w:rPr>
          <w:spacing w:val="-1"/>
          <w:w w:val="105"/>
          <w:position w:val="4"/>
          <w:sz w:val="9"/>
        </w:rPr>
        <w:t xml:space="preserve"> </w:t>
      </w:r>
      <w:r w:rsidRPr="00283806">
        <w:rPr>
          <w:w w:val="105"/>
          <w:sz w:val="14"/>
        </w:rPr>
        <w:t>Equipment that extracts and recycles refrigerant</w:t>
      </w:r>
      <w:r w:rsidRPr="00283806">
        <w:rPr>
          <w:spacing w:val="40"/>
          <w:w w:val="105"/>
          <w:sz w:val="14"/>
        </w:rPr>
        <w:t xml:space="preserve"> </w:t>
      </w:r>
      <w:r w:rsidRPr="00283806">
        <w:rPr>
          <w:w w:val="105"/>
          <w:sz w:val="14"/>
        </w:rPr>
        <w:t>is referred to as recover/recycle equipment.</w:t>
      </w:r>
    </w:p>
    <w:p w14:paraId="572027AD" w14:textId="77777777" w:rsidR="00D67C1E" w:rsidRPr="00283806" w:rsidRDefault="001265CA">
      <w:pPr>
        <w:spacing w:before="1" w:line="232" w:lineRule="auto"/>
        <w:ind w:left="146"/>
        <w:rPr>
          <w:sz w:val="14"/>
        </w:rPr>
      </w:pPr>
      <w:r w:rsidRPr="00283806">
        <w:rPr>
          <w:w w:val="105"/>
          <w:sz w:val="14"/>
        </w:rPr>
        <w:t>Equipment that extracts but does not recycle</w:t>
      </w:r>
      <w:r w:rsidRPr="00283806">
        <w:rPr>
          <w:spacing w:val="40"/>
          <w:w w:val="105"/>
          <w:sz w:val="14"/>
        </w:rPr>
        <w:t xml:space="preserve"> </w:t>
      </w:r>
      <w:r w:rsidRPr="00283806">
        <w:rPr>
          <w:w w:val="105"/>
          <w:sz w:val="14"/>
        </w:rPr>
        <w:t>refrigerant</w:t>
      </w:r>
      <w:r w:rsidRPr="00283806">
        <w:rPr>
          <w:spacing w:val="-5"/>
          <w:w w:val="105"/>
          <w:sz w:val="14"/>
        </w:rPr>
        <w:t xml:space="preserve"> </w:t>
      </w:r>
      <w:r w:rsidRPr="00283806">
        <w:rPr>
          <w:w w:val="105"/>
          <w:sz w:val="14"/>
        </w:rPr>
        <w:t>is</w:t>
      </w:r>
      <w:r w:rsidRPr="00283806">
        <w:rPr>
          <w:spacing w:val="-5"/>
          <w:w w:val="105"/>
          <w:sz w:val="14"/>
        </w:rPr>
        <w:t xml:space="preserve"> </w:t>
      </w:r>
      <w:r w:rsidRPr="00283806">
        <w:rPr>
          <w:w w:val="105"/>
          <w:sz w:val="14"/>
        </w:rPr>
        <w:t>referred</w:t>
      </w:r>
      <w:r w:rsidRPr="00283806">
        <w:rPr>
          <w:spacing w:val="-5"/>
          <w:w w:val="105"/>
          <w:sz w:val="14"/>
        </w:rPr>
        <w:t xml:space="preserve"> </w:t>
      </w:r>
      <w:r w:rsidRPr="00283806">
        <w:rPr>
          <w:w w:val="105"/>
          <w:sz w:val="14"/>
        </w:rPr>
        <w:t>to</w:t>
      </w:r>
      <w:r w:rsidRPr="00283806">
        <w:rPr>
          <w:spacing w:val="-5"/>
          <w:w w:val="105"/>
          <w:sz w:val="14"/>
        </w:rPr>
        <w:t xml:space="preserve"> </w:t>
      </w:r>
      <w:r w:rsidRPr="00283806">
        <w:rPr>
          <w:w w:val="105"/>
          <w:sz w:val="14"/>
        </w:rPr>
        <w:t>as</w:t>
      </w:r>
      <w:r w:rsidRPr="00283806">
        <w:rPr>
          <w:spacing w:val="-5"/>
          <w:w w:val="105"/>
          <w:sz w:val="14"/>
        </w:rPr>
        <w:t xml:space="preserve"> </w:t>
      </w:r>
      <w:r w:rsidRPr="00283806">
        <w:rPr>
          <w:w w:val="105"/>
          <w:sz w:val="14"/>
        </w:rPr>
        <w:t>equipment</w:t>
      </w:r>
      <w:r w:rsidRPr="00283806">
        <w:rPr>
          <w:spacing w:val="-5"/>
          <w:w w:val="105"/>
          <w:sz w:val="14"/>
        </w:rPr>
        <w:t xml:space="preserve"> </w:t>
      </w:r>
      <w:r w:rsidRPr="00283806">
        <w:rPr>
          <w:w w:val="105"/>
          <w:sz w:val="14"/>
        </w:rPr>
        <w:t>that</w:t>
      </w:r>
      <w:r w:rsidRPr="00283806">
        <w:rPr>
          <w:spacing w:val="-5"/>
          <w:w w:val="105"/>
          <w:sz w:val="14"/>
        </w:rPr>
        <w:t xml:space="preserve"> </w:t>
      </w:r>
      <w:r w:rsidRPr="00283806">
        <w:rPr>
          <w:w w:val="105"/>
          <w:sz w:val="14"/>
        </w:rPr>
        <w:t>recovers</w:t>
      </w:r>
      <w:r w:rsidRPr="00283806">
        <w:rPr>
          <w:spacing w:val="40"/>
          <w:w w:val="105"/>
          <w:sz w:val="14"/>
        </w:rPr>
        <w:t xml:space="preserve"> </w:t>
      </w:r>
      <w:r w:rsidRPr="00283806">
        <w:rPr>
          <w:w w:val="105"/>
          <w:sz w:val="14"/>
        </w:rPr>
        <w:t>but does not recycle refrigerant, or as recover-only</w:t>
      </w:r>
      <w:r w:rsidRPr="00283806">
        <w:rPr>
          <w:spacing w:val="40"/>
          <w:w w:val="105"/>
          <w:sz w:val="14"/>
        </w:rPr>
        <w:t xml:space="preserve"> </w:t>
      </w:r>
      <w:r w:rsidRPr="00283806">
        <w:rPr>
          <w:spacing w:val="-2"/>
          <w:w w:val="105"/>
          <w:sz w:val="14"/>
        </w:rPr>
        <w:t>equipment.</w:t>
      </w:r>
    </w:p>
    <w:p w14:paraId="079EEC98" w14:textId="77777777" w:rsidR="00D67C1E" w:rsidRPr="00283806" w:rsidRDefault="001265CA">
      <w:pPr>
        <w:pStyle w:val="BodyText"/>
        <w:spacing w:before="136" w:line="225" w:lineRule="auto"/>
        <w:ind w:left="138" w:right="130"/>
      </w:pPr>
      <w:r w:rsidRPr="00283806">
        <w:br w:type="column"/>
      </w:r>
      <w:r w:rsidRPr="00283806">
        <w:rPr>
          <w:w w:val="105"/>
        </w:rPr>
        <w:t>a purity standard for recycled R–12 refrigerant (SAE J1991, issued in</w:t>
      </w:r>
      <w:r w:rsidRPr="00283806">
        <w:rPr>
          <w:spacing w:val="80"/>
          <w:w w:val="105"/>
        </w:rPr>
        <w:t xml:space="preserve"> </w:t>
      </w:r>
      <w:r w:rsidRPr="00283806">
        <w:rPr>
          <w:w w:val="105"/>
        </w:rPr>
        <w:t>October 1989). Only equipment certified to meet the standards set forth in appendix</w:t>
      </w:r>
      <w:r w:rsidRPr="00283806">
        <w:rPr>
          <w:spacing w:val="35"/>
          <w:w w:val="105"/>
        </w:rPr>
        <w:t xml:space="preserve"> </w:t>
      </w:r>
      <w:r w:rsidRPr="00283806">
        <w:rPr>
          <w:w w:val="105"/>
        </w:rPr>
        <w:t>A</w:t>
      </w:r>
      <w:r w:rsidRPr="00283806">
        <w:rPr>
          <w:spacing w:val="35"/>
          <w:w w:val="105"/>
        </w:rPr>
        <w:t xml:space="preserve"> </w:t>
      </w:r>
      <w:r w:rsidRPr="00283806">
        <w:rPr>
          <w:w w:val="105"/>
        </w:rPr>
        <w:t>at</w:t>
      </w:r>
      <w:r w:rsidRPr="00283806">
        <w:rPr>
          <w:spacing w:val="35"/>
          <w:w w:val="105"/>
        </w:rPr>
        <w:t xml:space="preserve"> </w:t>
      </w:r>
      <w:r w:rsidRPr="00283806">
        <w:rPr>
          <w:w w:val="105"/>
        </w:rPr>
        <w:t>40</w:t>
      </w:r>
      <w:r w:rsidRPr="00283806">
        <w:rPr>
          <w:spacing w:val="35"/>
          <w:w w:val="105"/>
        </w:rPr>
        <w:t xml:space="preserve"> </w:t>
      </w:r>
      <w:r w:rsidRPr="00283806">
        <w:rPr>
          <w:w w:val="105"/>
        </w:rPr>
        <w:t>CFR</w:t>
      </w:r>
      <w:r w:rsidRPr="00283806">
        <w:rPr>
          <w:spacing w:val="35"/>
          <w:w w:val="105"/>
        </w:rPr>
        <w:t xml:space="preserve"> </w:t>
      </w:r>
      <w:r w:rsidRPr="00283806">
        <w:rPr>
          <w:w w:val="105"/>
        </w:rPr>
        <w:t>part</w:t>
      </w:r>
      <w:r w:rsidRPr="00283806">
        <w:rPr>
          <w:spacing w:val="35"/>
          <w:w w:val="105"/>
        </w:rPr>
        <w:t xml:space="preserve"> </w:t>
      </w:r>
      <w:r w:rsidRPr="00283806">
        <w:rPr>
          <w:w w:val="105"/>
        </w:rPr>
        <w:t>82,</w:t>
      </w:r>
      <w:r w:rsidRPr="00283806">
        <w:rPr>
          <w:spacing w:val="35"/>
          <w:w w:val="105"/>
        </w:rPr>
        <w:t xml:space="preserve"> </w:t>
      </w:r>
      <w:r w:rsidRPr="00283806">
        <w:rPr>
          <w:w w:val="105"/>
        </w:rPr>
        <w:t>subpart B, or that meets the criteria for substantially identical equipment, was approved</w:t>
      </w:r>
      <w:r w:rsidRPr="00283806">
        <w:rPr>
          <w:spacing w:val="40"/>
          <w:w w:val="105"/>
        </w:rPr>
        <w:t xml:space="preserve"> </w:t>
      </w:r>
      <w:r w:rsidRPr="00283806">
        <w:rPr>
          <w:w w:val="105"/>
        </w:rPr>
        <w:t>under</w:t>
      </w:r>
      <w:r w:rsidRPr="00283806">
        <w:rPr>
          <w:spacing w:val="40"/>
          <w:w w:val="105"/>
        </w:rPr>
        <w:t xml:space="preserve"> </w:t>
      </w:r>
      <w:r w:rsidRPr="00283806">
        <w:rPr>
          <w:w w:val="105"/>
        </w:rPr>
        <w:t>CAA</w:t>
      </w:r>
      <w:r w:rsidRPr="00283806">
        <w:rPr>
          <w:spacing w:val="40"/>
          <w:w w:val="105"/>
        </w:rPr>
        <w:t xml:space="preserve"> </w:t>
      </w:r>
      <w:r w:rsidRPr="00283806">
        <w:rPr>
          <w:w w:val="105"/>
        </w:rPr>
        <w:t>section</w:t>
      </w:r>
      <w:r w:rsidRPr="00283806">
        <w:rPr>
          <w:spacing w:val="40"/>
          <w:w w:val="105"/>
        </w:rPr>
        <w:t xml:space="preserve"> </w:t>
      </w:r>
      <w:r w:rsidRPr="00283806">
        <w:rPr>
          <w:w w:val="105"/>
        </w:rPr>
        <w:t>609</w:t>
      </w:r>
      <w:r w:rsidRPr="00283806">
        <w:rPr>
          <w:spacing w:val="40"/>
          <w:w w:val="105"/>
        </w:rPr>
        <w:t xml:space="preserve"> </w:t>
      </w:r>
      <w:r w:rsidRPr="00283806">
        <w:rPr>
          <w:w w:val="105"/>
        </w:rPr>
        <w:t xml:space="preserve">for use in the </w:t>
      </w:r>
      <w:proofErr w:type="gramStart"/>
      <w:r w:rsidRPr="00283806">
        <w:rPr>
          <w:w w:val="105"/>
        </w:rPr>
        <w:t>servicing</w:t>
      </w:r>
      <w:proofErr w:type="gramEnd"/>
      <w:r w:rsidRPr="00283806">
        <w:rPr>
          <w:w w:val="105"/>
        </w:rPr>
        <w:t xml:space="preserve"> of MVACs at that</w:t>
      </w:r>
      <w:r w:rsidRPr="00283806">
        <w:rPr>
          <w:spacing w:val="40"/>
          <w:w w:val="105"/>
        </w:rPr>
        <w:t xml:space="preserve"> </w:t>
      </w:r>
      <w:r w:rsidRPr="00283806">
        <w:rPr>
          <w:spacing w:val="-2"/>
          <w:w w:val="105"/>
        </w:rPr>
        <w:t>time.</w:t>
      </w:r>
    </w:p>
    <w:p w14:paraId="76E74767" w14:textId="77777777" w:rsidR="00D67C1E" w:rsidRPr="00283806" w:rsidRDefault="001265CA">
      <w:pPr>
        <w:pStyle w:val="BodyText"/>
        <w:spacing w:line="177" w:lineRule="exact"/>
        <w:ind w:left="318"/>
      </w:pPr>
      <w:r w:rsidRPr="00283806">
        <w:rPr>
          <w:w w:val="110"/>
        </w:rPr>
        <w:t>EPA</w:t>
      </w:r>
      <w:r w:rsidRPr="00283806">
        <w:rPr>
          <w:spacing w:val="-11"/>
          <w:w w:val="110"/>
        </w:rPr>
        <w:t xml:space="preserve"> </w:t>
      </w:r>
      <w:r w:rsidRPr="00283806">
        <w:rPr>
          <w:w w:val="110"/>
        </w:rPr>
        <w:t>issued</w:t>
      </w:r>
      <w:r w:rsidRPr="00283806">
        <w:rPr>
          <w:spacing w:val="-11"/>
          <w:w w:val="110"/>
        </w:rPr>
        <w:t xml:space="preserve"> </w:t>
      </w:r>
      <w:r w:rsidRPr="00283806">
        <w:rPr>
          <w:w w:val="110"/>
        </w:rPr>
        <w:t>another</w:t>
      </w:r>
      <w:r w:rsidRPr="00283806">
        <w:rPr>
          <w:spacing w:val="-11"/>
          <w:w w:val="110"/>
        </w:rPr>
        <w:t xml:space="preserve"> </w:t>
      </w:r>
      <w:r w:rsidRPr="00283806">
        <w:rPr>
          <w:w w:val="110"/>
        </w:rPr>
        <w:t>rule</w:t>
      </w:r>
      <w:r w:rsidRPr="00283806">
        <w:rPr>
          <w:spacing w:val="-10"/>
          <w:w w:val="110"/>
        </w:rPr>
        <w:t xml:space="preserve"> </w:t>
      </w:r>
      <w:r w:rsidRPr="00283806">
        <w:rPr>
          <w:w w:val="110"/>
        </w:rPr>
        <w:t>under</w:t>
      </w:r>
      <w:r w:rsidRPr="00283806">
        <w:rPr>
          <w:spacing w:val="-11"/>
          <w:w w:val="110"/>
        </w:rPr>
        <w:t xml:space="preserve"> </w:t>
      </w:r>
      <w:r w:rsidRPr="00283806">
        <w:rPr>
          <w:spacing w:val="-5"/>
          <w:w w:val="110"/>
        </w:rPr>
        <w:t>CAA</w:t>
      </w:r>
    </w:p>
    <w:p w14:paraId="21AB1F80" w14:textId="77777777" w:rsidR="00D67C1E" w:rsidRPr="00283806" w:rsidRDefault="001265CA">
      <w:pPr>
        <w:pStyle w:val="BodyText"/>
        <w:spacing w:before="4" w:line="225" w:lineRule="auto"/>
        <w:ind w:left="138" w:right="130"/>
      </w:pPr>
      <w:r w:rsidRPr="00283806">
        <w:rPr>
          <w:w w:val="105"/>
        </w:rPr>
        <w:t>section 609 in 1997 (62 FR 68026, December 30, 1997) in response to the increasing</w:t>
      </w:r>
      <w:r w:rsidRPr="00283806">
        <w:rPr>
          <w:spacing w:val="-1"/>
          <w:w w:val="105"/>
        </w:rPr>
        <w:t xml:space="preserve"> </w:t>
      </w:r>
      <w:r w:rsidRPr="00283806">
        <w:rPr>
          <w:w w:val="105"/>
        </w:rPr>
        <w:t>use</w:t>
      </w:r>
      <w:r w:rsidRPr="00283806">
        <w:rPr>
          <w:spacing w:val="-1"/>
          <w:w w:val="105"/>
        </w:rPr>
        <w:t xml:space="preserve"> </w:t>
      </w:r>
      <w:r w:rsidRPr="00283806">
        <w:rPr>
          <w:w w:val="105"/>
        </w:rPr>
        <w:t>of</w:t>
      </w:r>
      <w:r w:rsidRPr="00283806">
        <w:rPr>
          <w:spacing w:val="-1"/>
          <w:w w:val="105"/>
        </w:rPr>
        <w:t xml:space="preserve"> </w:t>
      </w:r>
      <w:r w:rsidRPr="00283806">
        <w:rPr>
          <w:w w:val="105"/>
        </w:rPr>
        <w:t>substitute</w:t>
      </w:r>
      <w:r w:rsidRPr="00283806">
        <w:rPr>
          <w:spacing w:val="-1"/>
          <w:w w:val="105"/>
        </w:rPr>
        <w:t xml:space="preserve"> </w:t>
      </w:r>
      <w:r w:rsidRPr="00283806">
        <w:rPr>
          <w:w w:val="105"/>
        </w:rPr>
        <w:t>refrigerants, particularly 1,1,1,2-tetrafluoroethane (HFC–134a or R–134a). The 1997 CAA</w:t>
      </w:r>
    </w:p>
    <w:p w14:paraId="3CE42653" w14:textId="77777777" w:rsidR="00D67C1E" w:rsidRPr="00283806" w:rsidRDefault="001265CA">
      <w:pPr>
        <w:pStyle w:val="BodyText"/>
        <w:spacing w:line="225" w:lineRule="auto"/>
        <w:ind w:left="138" w:right="182"/>
      </w:pPr>
      <w:r w:rsidRPr="00283806">
        <w:rPr>
          <w:w w:val="105"/>
        </w:rPr>
        <w:t>Section 609 Rule established standards and requirements for the servicing of MVACs that use any refrigerant other than R–12. The rule also stated that refrigerant (whether R–12 or a substitute) recovered from motor vehicles at motor vehicle disposal facilities may be re-used in the MVAC service sector only if it has been</w:t>
      </w:r>
      <w:r w:rsidRPr="00283806">
        <w:rPr>
          <w:spacing w:val="40"/>
          <w:w w:val="105"/>
        </w:rPr>
        <w:t xml:space="preserve"> </w:t>
      </w:r>
      <w:r w:rsidRPr="00283806">
        <w:rPr>
          <w:w w:val="105"/>
        </w:rPr>
        <w:t>properly recovered and recycled by persons who are either employees, owners, or operators of the facilities, or technicians certified under CAA section 609, using approved equipment. This differs from the rules established under CAA section 608, in which no person</w:t>
      </w:r>
      <w:r w:rsidRPr="00283806">
        <w:rPr>
          <w:spacing w:val="40"/>
          <w:w w:val="105"/>
        </w:rPr>
        <w:t xml:space="preserve"> </w:t>
      </w:r>
      <w:r w:rsidRPr="00283806">
        <w:rPr>
          <w:w w:val="105"/>
        </w:rPr>
        <w:t>may</w:t>
      </w:r>
      <w:r w:rsidRPr="00283806">
        <w:rPr>
          <w:spacing w:val="31"/>
          <w:w w:val="105"/>
        </w:rPr>
        <w:t xml:space="preserve"> </w:t>
      </w:r>
      <w:r w:rsidRPr="00283806">
        <w:rPr>
          <w:w w:val="105"/>
        </w:rPr>
        <w:t>sell</w:t>
      </w:r>
      <w:r w:rsidRPr="00283806">
        <w:rPr>
          <w:spacing w:val="31"/>
          <w:w w:val="105"/>
        </w:rPr>
        <w:t xml:space="preserve"> </w:t>
      </w:r>
      <w:r w:rsidRPr="00283806">
        <w:rPr>
          <w:w w:val="105"/>
        </w:rPr>
        <w:t>or</w:t>
      </w:r>
      <w:r w:rsidRPr="00283806">
        <w:rPr>
          <w:spacing w:val="31"/>
          <w:w w:val="105"/>
        </w:rPr>
        <w:t xml:space="preserve"> </w:t>
      </w:r>
      <w:r w:rsidRPr="00283806">
        <w:rPr>
          <w:w w:val="105"/>
        </w:rPr>
        <w:t>distribute,</w:t>
      </w:r>
      <w:r w:rsidRPr="00283806">
        <w:rPr>
          <w:spacing w:val="31"/>
          <w:w w:val="105"/>
        </w:rPr>
        <w:t xml:space="preserve"> </w:t>
      </w:r>
      <w:r w:rsidRPr="00283806">
        <w:rPr>
          <w:w w:val="105"/>
        </w:rPr>
        <w:t>or</w:t>
      </w:r>
      <w:r w:rsidRPr="00283806">
        <w:rPr>
          <w:spacing w:val="31"/>
          <w:w w:val="105"/>
        </w:rPr>
        <w:t xml:space="preserve"> </w:t>
      </w:r>
      <w:r w:rsidRPr="00283806">
        <w:rPr>
          <w:w w:val="105"/>
        </w:rPr>
        <w:t>offer</w:t>
      </w:r>
      <w:r w:rsidRPr="00283806">
        <w:rPr>
          <w:spacing w:val="31"/>
          <w:w w:val="105"/>
        </w:rPr>
        <w:t xml:space="preserve"> </w:t>
      </w:r>
      <w:r w:rsidRPr="00283806">
        <w:rPr>
          <w:w w:val="105"/>
        </w:rPr>
        <w:t>for</w:t>
      </w:r>
      <w:r w:rsidRPr="00283806">
        <w:rPr>
          <w:spacing w:val="31"/>
          <w:w w:val="105"/>
        </w:rPr>
        <w:t xml:space="preserve"> </w:t>
      </w:r>
      <w:r w:rsidRPr="00283806">
        <w:rPr>
          <w:w w:val="105"/>
        </w:rPr>
        <w:t>sale or distribution, used refrigerant (including both ODS and non-exempt substitutes such as HFCs) unless it has first been reclaimed by a certified reclaimer (40 CFR 82.154(d)). The 1997 CAA Section 609 Rule also established conditions under which owners and operators of motor vehicle disposal facilities may sell refrigerant recovered from such vehicles to technicians certified under CAA section 609.</w:t>
      </w:r>
    </w:p>
    <w:p w14:paraId="179F1A2B" w14:textId="77777777" w:rsidR="00D67C1E" w:rsidRPr="00283806" w:rsidRDefault="001265CA">
      <w:pPr>
        <w:pStyle w:val="ListParagraph"/>
        <w:numPr>
          <w:ilvl w:val="0"/>
          <w:numId w:val="63"/>
        </w:numPr>
        <w:tabs>
          <w:tab w:val="left" w:pos="336"/>
        </w:tabs>
        <w:spacing w:before="86" w:line="225" w:lineRule="auto"/>
        <w:ind w:left="138" w:right="321" w:firstLine="0"/>
        <w:rPr>
          <w:sz w:val="18"/>
        </w:rPr>
      </w:pPr>
      <w:r w:rsidRPr="00283806">
        <w:rPr>
          <w:w w:val="105"/>
          <w:sz w:val="18"/>
        </w:rPr>
        <w:t>Significant New Alternatives Policy Program (CAA section 612)</w:t>
      </w:r>
    </w:p>
    <w:p w14:paraId="4DBB9932" w14:textId="77777777" w:rsidR="00D67C1E" w:rsidRPr="00283806" w:rsidRDefault="001265CA">
      <w:pPr>
        <w:pStyle w:val="BodyText"/>
        <w:spacing w:before="65" w:line="225" w:lineRule="auto"/>
        <w:ind w:left="138" w:right="180" w:firstLine="180"/>
      </w:pPr>
      <w:r w:rsidRPr="00283806">
        <w:rPr>
          <w:w w:val="105"/>
        </w:rPr>
        <w:t>EPA identifies and evaluates substitutes for ODS in certain industrial sectors, including RACHP, aerosols, and foams. To a very large extent, HFCs are used in the same sectors and subsectors as where ODS historically have been used. Under SNAP, EPA evaluates acceptability of substitutes for ODS</w:t>
      </w:r>
      <w:r w:rsidRPr="00283806">
        <w:rPr>
          <w:spacing w:val="40"/>
          <w:w w:val="105"/>
        </w:rPr>
        <w:t xml:space="preserve"> </w:t>
      </w:r>
      <w:r w:rsidRPr="00283806">
        <w:rPr>
          <w:w w:val="105"/>
        </w:rPr>
        <w:t>based primarily on the potential human health and environmental risks, relative to other substances used for the same purpose. In so doing, EPA assesses atmospheric effects such as ozone depletion potential (ODP) and GWP, exposure assessments, toxicity data, flammability, and other environmental impacts. This assessment could take a wide range of forms, such as a</w:t>
      </w:r>
      <w:r w:rsidRPr="00283806">
        <w:rPr>
          <w:spacing w:val="40"/>
          <w:w w:val="105"/>
        </w:rPr>
        <w:t xml:space="preserve"> </w:t>
      </w:r>
      <w:r w:rsidRPr="00283806">
        <w:rPr>
          <w:w w:val="105"/>
        </w:rPr>
        <w:t>theoretical evaluation of the properties</w:t>
      </w:r>
      <w:r w:rsidRPr="00283806">
        <w:rPr>
          <w:spacing w:val="40"/>
          <w:w w:val="105"/>
        </w:rPr>
        <w:t xml:space="preserve"> </w:t>
      </w:r>
      <w:r w:rsidRPr="00283806">
        <w:rPr>
          <w:w w:val="105"/>
        </w:rPr>
        <w:t>of the substitute, a computer simulation of the substitute’s performance in the sector or subsector, lab-scale (table-top)</w:t>
      </w:r>
    </w:p>
    <w:p w14:paraId="30F0E822"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4" w:space="40"/>
            <w:col w:w="3508" w:space="39"/>
            <w:col w:w="3619"/>
          </w:cols>
        </w:sectPr>
      </w:pPr>
    </w:p>
    <w:p w14:paraId="25063971" w14:textId="77777777" w:rsidR="00D67C1E" w:rsidRPr="00283806" w:rsidRDefault="001265CA">
      <w:pPr>
        <w:pStyle w:val="BodyText"/>
        <w:spacing w:before="134" w:line="228" w:lineRule="auto"/>
        <w:ind w:right="25"/>
      </w:pPr>
      <w:r w:rsidRPr="00283806">
        <w:rPr>
          <w:w w:val="105"/>
        </w:rPr>
        <w:lastRenderedPageBreak/>
        <w:t xml:space="preserve">evaluations of the substitute, or equipment tests under various </w:t>
      </w:r>
      <w:r w:rsidRPr="00283806">
        <w:rPr>
          <w:spacing w:val="-2"/>
          <w:w w:val="105"/>
        </w:rPr>
        <w:t>conditions.</w:t>
      </w:r>
    </w:p>
    <w:p w14:paraId="7AD67CC3" w14:textId="77777777" w:rsidR="00D67C1E" w:rsidRPr="00283806" w:rsidRDefault="001265CA">
      <w:pPr>
        <w:pStyle w:val="Heading3"/>
        <w:numPr>
          <w:ilvl w:val="0"/>
          <w:numId w:val="64"/>
        </w:numPr>
        <w:tabs>
          <w:tab w:val="left" w:pos="459"/>
        </w:tabs>
        <w:spacing w:before="106" w:line="220" w:lineRule="auto"/>
        <w:ind w:left="160" w:right="745" w:firstLine="0"/>
        <w:rPr>
          <w:rFonts w:ascii="Book Antiqua"/>
        </w:rPr>
      </w:pPr>
      <w:r w:rsidRPr="00283806">
        <w:rPr>
          <w:rFonts w:ascii="Book Antiqua"/>
        </w:rPr>
        <w:t>How is EPA regulating the management</w:t>
      </w:r>
      <w:r w:rsidRPr="00283806">
        <w:rPr>
          <w:rFonts w:ascii="Book Antiqua"/>
          <w:spacing w:val="-3"/>
        </w:rPr>
        <w:t xml:space="preserve"> </w:t>
      </w:r>
      <w:r w:rsidRPr="00283806">
        <w:rPr>
          <w:rFonts w:ascii="Book Antiqua"/>
        </w:rPr>
        <w:t>of</w:t>
      </w:r>
      <w:r w:rsidRPr="00283806">
        <w:rPr>
          <w:rFonts w:ascii="Book Antiqua"/>
          <w:spacing w:val="-3"/>
        </w:rPr>
        <w:t xml:space="preserve"> </w:t>
      </w:r>
      <w:r w:rsidRPr="00283806">
        <w:rPr>
          <w:rFonts w:ascii="Book Antiqua"/>
        </w:rPr>
        <w:t>HFCs</w:t>
      </w:r>
      <w:r w:rsidRPr="00283806">
        <w:rPr>
          <w:rFonts w:ascii="Book Antiqua"/>
          <w:spacing w:val="-3"/>
        </w:rPr>
        <w:t xml:space="preserve"> </w:t>
      </w:r>
      <w:r w:rsidRPr="00283806">
        <w:rPr>
          <w:rFonts w:ascii="Book Antiqua"/>
        </w:rPr>
        <w:t>and</w:t>
      </w:r>
      <w:r w:rsidRPr="00283806">
        <w:rPr>
          <w:rFonts w:ascii="Book Antiqua"/>
          <w:spacing w:val="-3"/>
        </w:rPr>
        <w:t xml:space="preserve"> </w:t>
      </w:r>
      <w:r w:rsidRPr="00283806">
        <w:rPr>
          <w:rFonts w:ascii="Book Antiqua"/>
        </w:rPr>
        <w:t xml:space="preserve">their </w:t>
      </w:r>
      <w:r w:rsidRPr="00283806">
        <w:rPr>
          <w:rFonts w:ascii="Book Antiqua"/>
          <w:spacing w:val="-2"/>
        </w:rPr>
        <w:t>substitutes?</w:t>
      </w:r>
    </w:p>
    <w:p w14:paraId="117D4771" w14:textId="77777777" w:rsidR="00D67C1E" w:rsidRPr="00283806" w:rsidRDefault="001265CA">
      <w:pPr>
        <w:pStyle w:val="BodyText"/>
        <w:spacing w:before="88" w:line="228" w:lineRule="auto"/>
        <w:ind w:firstLine="180"/>
      </w:pPr>
      <w:r w:rsidRPr="00283806">
        <w:rPr>
          <w:w w:val="110"/>
        </w:rPr>
        <w:t>As described in the following sections, EPA is establishing an ER&amp;R program for the management of HFCs under</w:t>
      </w:r>
      <w:r w:rsidRPr="00283806">
        <w:rPr>
          <w:spacing w:val="-11"/>
          <w:w w:val="110"/>
        </w:rPr>
        <w:t xml:space="preserve"> </w:t>
      </w:r>
      <w:r w:rsidRPr="00283806">
        <w:rPr>
          <w:w w:val="110"/>
        </w:rPr>
        <w:t>subsection</w:t>
      </w:r>
      <w:r w:rsidRPr="00283806">
        <w:rPr>
          <w:spacing w:val="-11"/>
          <w:w w:val="110"/>
        </w:rPr>
        <w:t xml:space="preserve"> </w:t>
      </w:r>
      <w:r w:rsidRPr="00283806">
        <w:rPr>
          <w:w w:val="110"/>
        </w:rPr>
        <w:t>(h)</w:t>
      </w:r>
      <w:r w:rsidRPr="00283806">
        <w:rPr>
          <w:spacing w:val="-11"/>
          <w:w w:val="110"/>
        </w:rPr>
        <w:t xml:space="preserve"> </w:t>
      </w:r>
      <w:r w:rsidRPr="00283806">
        <w:rPr>
          <w:w w:val="110"/>
        </w:rPr>
        <w:t>of</w:t>
      </w:r>
      <w:r w:rsidRPr="00283806">
        <w:rPr>
          <w:spacing w:val="-11"/>
          <w:w w:val="110"/>
        </w:rPr>
        <w:t xml:space="preserve"> </w:t>
      </w:r>
      <w:r w:rsidRPr="00283806">
        <w:rPr>
          <w:w w:val="110"/>
        </w:rPr>
        <w:t>the</w:t>
      </w:r>
      <w:r w:rsidRPr="00283806">
        <w:rPr>
          <w:spacing w:val="-11"/>
          <w:w w:val="110"/>
        </w:rPr>
        <w:t xml:space="preserve"> </w:t>
      </w:r>
      <w:r w:rsidRPr="00283806">
        <w:rPr>
          <w:w w:val="110"/>
        </w:rPr>
        <w:t>AIM</w:t>
      </w:r>
      <w:r w:rsidRPr="00283806">
        <w:rPr>
          <w:spacing w:val="-11"/>
          <w:w w:val="110"/>
        </w:rPr>
        <w:t xml:space="preserve"> </w:t>
      </w:r>
      <w:r w:rsidRPr="00283806">
        <w:rPr>
          <w:w w:val="110"/>
        </w:rPr>
        <w:t>Act</w:t>
      </w:r>
      <w:r w:rsidRPr="00283806">
        <w:rPr>
          <w:spacing w:val="-11"/>
          <w:w w:val="110"/>
        </w:rPr>
        <w:t xml:space="preserve"> </w:t>
      </w:r>
      <w:r w:rsidRPr="00283806">
        <w:rPr>
          <w:w w:val="110"/>
        </w:rPr>
        <w:t xml:space="preserve">that </w:t>
      </w:r>
      <w:r w:rsidRPr="00283806">
        <w:t>includes requirements regarding several</w:t>
      </w:r>
      <w:r w:rsidRPr="00283806">
        <w:rPr>
          <w:w w:val="110"/>
        </w:rPr>
        <w:t xml:space="preserve"> topics, including leak repair requirements</w:t>
      </w:r>
      <w:r w:rsidRPr="00283806">
        <w:rPr>
          <w:spacing w:val="-1"/>
          <w:w w:val="110"/>
        </w:rPr>
        <w:t xml:space="preserve"> </w:t>
      </w:r>
      <w:r w:rsidRPr="00283806">
        <w:rPr>
          <w:w w:val="110"/>
        </w:rPr>
        <w:t>for</w:t>
      </w:r>
      <w:r w:rsidRPr="00283806">
        <w:rPr>
          <w:spacing w:val="-1"/>
          <w:w w:val="110"/>
        </w:rPr>
        <w:t xml:space="preserve"> </w:t>
      </w:r>
      <w:r w:rsidRPr="00283806">
        <w:rPr>
          <w:w w:val="110"/>
        </w:rPr>
        <w:t>certain</w:t>
      </w:r>
      <w:r w:rsidRPr="00283806">
        <w:rPr>
          <w:spacing w:val="-1"/>
          <w:w w:val="110"/>
        </w:rPr>
        <w:t xml:space="preserve"> </w:t>
      </w:r>
      <w:r w:rsidRPr="00283806">
        <w:rPr>
          <w:w w:val="110"/>
        </w:rPr>
        <w:t xml:space="preserve">refrigerant- containing appliances and installation and use of ALD systems for certain equipment; requirements for the servicing and/or repair of certain refrigerant-containing equipment; requirements for the servicing, repair, disposal, or installation of fire suppression equipment that contains HFCs, with the purpose of minimizing the release of HFCs from that equipment, including requirements for the initial installation and servicing and/or repair of fire suppression equipment with recycled HFCs, as well as requirements related to technician training in the fire suppression sector; and recovery of HFCs from disposable cylinders before discarding. As discussed in greater detail in section X of this preamble, EPA intends for the </w:t>
      </w:r>
      <w:r w:rsidRPr="00283806">
        <w:t>regulatory provisions established under</w:t>
      </w:r>
      <w:r w:rsidRPr="00283806">
        <w:rPr>
          <w:w w:val="110"/>
        </w:rPr>
        <w:t xml:space="preserve"> subsection (h) of the AIM Act in this final action to be able to stand independently from one another and has designed them accordingly. For example, the leak repair requirements </w:t>
      </w:r>
      <w:r w:rsidRPr="00283806">
        <w:t>for refrigerant-containing appliances are</w:t>
      </w:r>
      <w:r w:rsidRPr="00283806">
        <w:rPr>
          <w:spacing w:val="40"/>
        </w:rPr>
        <w:t xml:space="preserve"> </w:t>
      </w:r>
      <w:r w:rsidRPr="00283806">
        <w:t>designed to operate independently from</w:t>
      </w:r>
      <w:r w:rsidRPr="00283806">
        <w:rPr>
          <w:spacing w:val="40"/>
          <w:w w:val="110"/>
        </w:rPr>
        <w:t xml:space="preserve"> </w:t>
      </w:r>
      <w:r w:rsidRPr="00283806">
        <w:rPr>
          <w:w w:val="110"/>
        </w:rPr>
        <w:t>the requirements for servicing, repair, disposal, or installation of fire suppression equipment.</w:t>
      </w:r>
    </w:p>
    <w:p w14:paraId="0E2A849C" w14:textId="77777777" w:rsidR="00D67C1E" w:rsidRPr="00283806" w:rsidRDefault="001265CA">
      <w:pPr>
        <w:pStyle w:val="ListParagraph"/>
        <w:numPr>
          <w:ilvl w:val="1"/>
          <w:numId w:val="64"/>
        </w:numPr>
        <w:tabs>
          <w:tab w:val="left" w:pos="395"/>
        </w:tabs>
        <w:spacing w:before="90" w:line="220" w:lineRule="auto"/>
        <w:ind w:right="367" w:firstLine="0"/>
        <w:rPr>
          <w:rFonts w:ascii="Book Antiqua"/>
          <w:i/>
          <w:sz w:val="18"/>
        </w:rPr>
      </w:pPr>
      <w:r w:rsidRPr="00283806">
        <w:rPr>
          <w:rFonts w:ascii="Book Antiqua"/>
          <w:i/>
          <w:w w:val="110"/>
          <w:sz w:val="18"/>
        </w:rPr>
        <w:t xml:space="preserve">What definitions </w:t>
      </w:r>
      <w:proofErr w:type="gramStart"/>
      <w:r w:rsidRPr="00283806">
        <w:rPr>
          <w:rFonts w:ascii="Book Antiqua"/>
          <w:i/>
          <w:w w:val="110"/>
          <w:sz w:val="18"/>
        </w:rPr>
        <w:t>is</w:t>
      </w:r>
      <w:proofErr w:type="gramEnd"/>
      <w:r w:rsidRPr="00283806">
        <w:rPr>
          <w:rFonts w:ascii="Book Antiqua"/>
          <w:i/>
          <w:w w:val="110"/>
          <w:sz w:val="18"/>
        </w:rPr>
        <w:t xml:space="preserve"> EPA </w:t>
      </w:r>
      <w:proofErr w:type="gramStart"/>
      <w:r w:rsidRPr="00283806">
        <w:rPr>
          <w:rFonts w:ascii="Book Antiqua"/>
          <w:i/>
          <w:w w:val="110"/>
          <w:sz w:val="18"/>
        </w:rPr>
        <w:t>implementing</w:t>
      </w:r>
      <w:proofErr w:type="gramEnd"/>
      <w:r w:rsidRPr="00283806">
        <w:rPr>
          <w:rFonts w:ascii="Book Antiqua"/>
          <w:i/>
          <w:w w:val="110"/>
          <w:sz w:val="18"/>
        </w:rPr>
        <w:t xml:space="preserve"> under subsection (h)?</w:t>
      </w:r>
    </w:p>
    <w:p w14:paraId="102DFDE3" w14:textId="77777777" w:rsidR="00D67C1E" w:rsidRPr="00283806" w:rsidRDefault="001265CA">
      <w:pPr>
        <w:pStyle w:val="BodyText"/>
        <w:spacing w:before="48" w:line="200" w:lineRule="exact"/>
        <w:ind w:right="25" w:firstLine="180"/>
      </w:pPr>
      <w:r w:rsidRPr="00283806">
        <w:rPr>
          <w:w w:val="105"/>
        </w:rPr>
        <w:t>EPA has operated a refrigerant management</w:t>
      </w:r>
      <w:r w:rsidRPr="00283806">
        <w:rPr>
          <w:spacing w:val="-4"/>
          <w:w w:val="105"/>
        </w:rPr>
        <w:t xml:space="preserve"> </w:t>
      </w:r>
      <w:r w:rsidRPr="00283806">
        <w:rPr>
          <w:w w:val="105"/>
        </w:rPr>
        <w:t>program</w:t>
      </w:r>
      <w:r w:rsidRPr="00283806">
        <w:rPr>
          <w:spacing w:val="-4"/>
          <w:w w:val="105"/>
        </w:rPr>
        <w:t xml:space="preserve"> </w:t>
      </w:r>
      <w:r w:rsidRPr="00283806">
        <w:rPr>
          <w:w w:val="105"/>
        </w:rPr>
        <w:t>for</w:t>
      </w:r>
      <w:r w:rsidRPr="00283806">
        <w:rPr>
          <w:spacing w:val="-4"/>
          <w:w w:val="105"/>
        </w:rPr>
        <w:t xml:space="preserve"> </w:t>
      </w:r>
      <w:r w:rsidRPr="00283806">
        <w:rPr>
          <w:w w:val="105"/>
        </w:rPr>
        <w:t>decades</w:t>
      </w:r>
      <w:r w:rsidRPr="00283806">
        <w:rPr>
          <w:spacing w:val="-4"/>
          <w:w w:val="105"/>
        </w:rPr>
        <w:t xml:space="preserve"> </w:t>
      </w:r>
      <w:r w:rsidRPr="00283806">
        <w:rPr>
          <w:w w:val="105"/>
        </w:rPr>
        <w:t>under the CAA. More recently, EPA</w:t>
      </w:r>
    </w:p>
    <w:p w14:paraId="4F719D32" w14:textId="77777777" w:rsidR="00D67C1E" w:rsidRPr="00283806" w:rsidRDefault="001265CA">
      <w:pPr>
        <w:pStyle w:val="BodyText"/>
        <w:spacing w:before="125" w:line="205" w:lineRule="exact"/>
        <w:ind w:left="155"/>
        <w:rPr>
          <w:sz w:val="11"/>
        </w:rPr>
      </w:pPr>
      <w:r w:rsidRPr="00283806">
        <w:br w:type="column"/>
      </w:r>
      <w:r w:rsidRPr="00283806">
        <w:rPr>
          <w:w w:val="105"/>
        </w:rPr>
        <w:t>88</w:t>
      </w:r>
      <w:r w:rsidRPr="00283806">
        <w:rPr>
          <w:spacing w:val="8"/>
          <w:w w:val="105"/>
        </w:rPr>
        <w:t xml:space="preserve"> </w:t>
      </w:r>
      <w:r w:rsidRPr="00283806">
        <w:rPr>
          <w:w w:val="105"/>
        </w:rPr>
        <w:t>FR</w:t>
      </w:r>
      <w:r w:rsidRPr="00283806">
        <w:rPr>
          <w:spacing w:val="8"/>
          <w:w w:val="105"/>
        </w:rPr>
        <w:t xml:space="preserve"> </w:t>
      </w:r>
      <w:r w:rsidRPr="00283806">
        <w:rPr>
          <w:w w:val="105"/>
        </w:rPr>
        <w:t>46836,</w:t>
      </w:r>
      <w:r w:rsidRPr="00283806">
        <w:rPr>
          <w:spacing w:val="8"/>
          <w:w w:val="105"/>
        </w:rPr>
        <w:t xml:space="preserve"> </w:t>
      </w:r>
      <w:r w:rsidRPr="00283806">
        <w:rPr>
          <w:w w:val="105"/>
        </w:rPr>
        <w:t>July</w:t>
      </w:r>
      <w:r w:rsidRPr="00283806">
        <w:rPr>
          <w:spacing w:val="8"/>
          <w:w w:val="105"/>
        </w:rPr>
        <w:t xml:space="preserve"> </w:t>
      </w:r>
      <w:r w:rsidRPr="00283806">
        <w:rPr>
          <w:w w:val="105"/>
        </w:rPr>
        <w:t>20,</w:t>
      </w:r>
      <w:r w:rsidRPr="00283806">
        <w:rPr>
          <w:spacing w:val="8"/>
          <w:w w:val="105"/>
        </w:rPr>
        <w:t xml:space="preserve"> </w:t>
      </w:r>
      <w:r w:rsidRPr="00283806">
        <w:rPr>
          <w:spacing w:val="-2"/>
          <w:w w:val="105"/>
        </w:rPr>
        <w:t>2023).</w:t>
      </w:r>
      <w:r w:rsidRPr="00283806">
        <w:rPr>
          <w:spacing w:val="-2"/>
          <w:w w:val="105"/>
          <w:position w:val="5"/>
          <w:sz w:val="11"/>
        </w:rPr>
        <w:t>45</w:t>
      </w:r>
    </w:p>
    <w:p w14:paraId="54A855B0" w14:textId="77777777" w:rsidR="00D67C1E" w:rsidRPr="00283806" w:rsidRDefault="001265CA">
      <w:pPr>
        <w:pStyle w:val="BodyText"/>
        <w:spacing w:before="4" w:line="225" w:lineRule="auto"/>
        <w:ind w:left="155"/>
      </w:pPr>
      <w:r w:rsidRPr="00283806">
        <w:rPr>
          <w:w w:val="105"/>
        </w:rPr>
        <w:t>Subsequently, the 2023 Technology Transitions Rule (88 FR 73098, October</w:t>
      </w:r>
    </w:p>
    <w:p w14:paraId="58EC2890" w14:textId="77777777" w:rsidR="00D67C1E" w:rsidRPr="00283806" w:rsidRDefault="001265CA">
      <w:pPr>
        <w:pStyle w:val="BodyText"/>
        <w:spacing w:line="225" w:lineRule="auto"/>
        <w:ind w:left="155" w:right="46"/>
      </w:pPr>
      <w:r w:rsidRPr="00283806">
        <w:rPr>
          <w:w w:val="105"/>
        </w:rPr>
        <w:t>24, 2023) established additional regulatory definitions in 40 CFR part 84, subpart B, at 40 CFR 84.52 to implement subsection (i) of the AIM Act. To</w:t>
      </w:r>
      <w:r w:rsidRPr="00283806">
        <w:rPr>
          <w:spacing w:val="80"/>
          <w:w w:val="105"/>
        </w:rPr>
        <w:t xml:space="preserve"> </w:t>
      </w:r>
      <w:r w:rsidRPr="00283806">
        <w:rPr>
          <w:w w:val="105"/>
        </w:rPr>
        <w:t>maintain consistency, except as</w:t>
      </w:r>
      <w:r w:rsidRPr="00283806">
        <w:rPr>
          <w:spacing w:val="40"/>
          <w:w w:val="105"/>
        </w:rPr>
        <w:t xml:space="preserve"> </w:t>
      </w:r>
      <w:r w:rsidRPr="00283806">
        <w:rPr>
          <w:w w:val="105"/>
        </w:rPr>
        <w:t>otherwise explained in this rule, EPA generally intends to use terms in this rulemaking, and in the new subpart C established by this rule, consistent with their</w:t>
      </w:r>
      <w:r w:rsidRPr="00283806">
        <w:rPr>
          <w:spacing w:val="40"/>
          <w:w w:val="105"/>
        </w:rPr>
        <w:t xml:space="preserve"> </w:t>
      </w:r>
      <w:r w:rsidRPr="00283806">
        <w:rPr>
          <w:w w:val="105"/>
        </w:rPr>
        <w:t>definitions</w:t>
      </w:r>
      <w:r w:rsidRPr="00283806">
        <w:rPr>
          <w:spacing w:val="40"/>
          <w:w w:val="105"/>
        </w:rPr>
        <w:t xml:space="preserve"> </w:t>
      </w:r>
      <w:r w:rsidRPr="00283806">
        <w:rPr>
          <w:w w:val="105"/>
        </w:rPr>
        <w:t>in</w:t>
      </w:r>
      <w:r w:rsidRPr="00283806">
        <w:rPr>
          <w:spacing w:val="40"/>
          <w:w w:val="105"/>
        </w:rPr>
        <w:t xml:space="preserve"> </w:t>
      </w:r>
      <w:r w:rsidRPr="00283806">
        <w:rPr>
          <w:w w:val="105"/>
        </w:rPr>
        <w:t>subparts</w:t>
      </w:r>
      <w:r w:rsidRPr="00283806">
        <w:rPr>
          <w:spacing w:val="40"/>
          <w:w w:val="105"/>
        </w:rPr>
        <w:t xml:space="preserve"> </w:t>
      </w:r>
      <w:r w:rsidRPr="00283806">
        <w:rPr>
          <w:w w:val="105"/>
        </w:rPr>
        <w:t>A</w:t>
      </w:r>
      <w:r w:rsidRPr="00283806">
        <w:rPr>
          <w:spacing w:val="40"/>
          <w:w w:val="105"/>
        </w:rPr>
        <w:t xml:space="preserve"> </w:t>
      </w:r>
      <w:r w:rsidRPr="00283806">
        <w:rPr>
          <w:w w:val="105"/>
        </w:rPr>
        <w:t>and</w:t>
      </w:r>
      <w:r w:rsidRPr="00283806">
        <w:rPr>
          <w:spacing w:val="40"/>
          <w:w w:val="105"/>
        </w:rPr>
        <w:t xml:space="preserve"> </w:t>
      </w:r>
      <w:r w:rsidRPr="00283806">
        <w:rPr>
          <w:w w:val="105"/>
        </w:rPr>
        <w:t>B, but there may be exceptions, such as where one term has different definitions under</w:t>
      </w:r>
      <w:r w:rsidRPr="00283806">
        <w:rPr>
          <w:spacing w:val="40"/>
          <w:w w:val="105"/>
        </w:rPr>
        <w:t xml:space="preserve"> </w:t>
      </w:r>
      <w:r w:rsidRPr="00283806">
        <w:rPr>
          <w:w w:val="105"/>
        </w:rPr>
        <w:t>different</w:t>
      </w:r>
      <w:r w:rsidRPr="00283806">
        <w:rPr>
          <w:spacing w:val="40"/>
          <w:w w:val="105"/>
        </w:rPr>
        <w:t xml:space="preserve"> </w:t>
      </w:r>
      <w:r w:rsidRPr="00283806">
        <w:rPr>
          <w:w w:val="105"/>
        </w:rPr>
        <w:t>subparts.</w:t>
      </w:r>
      <w:r w:rsidRPr="00283806">
        <w:rPr>
          <w:spacing w:val="40"/>
          <w:w w:val="105"/>
        </w:rPr>
        <w:t xml:space="preserve"> </w:t>
      </w:r>
      <w:r w:rsidRPr="00283806">
        <w:rPr>
          <w:w w:val="105"/>
        </w:rPr>
        <w:t>The definitions under subpart A had already been finalized when this rule was proposed. Accordingly, consistent with the proposal, for terms not defined in subpart C but that are defined in subpart A (40 CFR 84.3) those definitions apply. As noted previously, EPA also</w:t>
      </w:r>
      <w:r w:rsidRPr="00283806">
        <w:rPr>
          <w:spacing w:val="80"/>
          <w:w w:val="105"/>
        </w:rPr>
        <w:t xml:space="preserve"> </w:t>
      </w:r>
      <w:r w:rsidRPr="00283806">
        <w:rPr>
          <w:w w:val="105"/>
        </w:rPr>
        <w:t>considered the definitions in subpart B (40 CFR 84.52) in establishing the definitions and regulations in subpart C but is not incorporating those</w:t>
      </w:r>
      <w:r w:rsidRPr="00283806">
        <w:rPr>
          <w:spacing w:val="80"/>
          <w:w w:val="150"/>
        </w:rPr>
        <w:t xml:space="preserve"> </w:t>
      </w:r>
      <w:r w:rsidRPr="00283806">
        <w:rPr>
          <w:w w:val="105"/>
        </w:rPr>
        <w:t>definitions into subpart C, in part to</w:t>
      </w:r>
      <w:r w:rsidRPr="00283806">
        <w:rPr>
          <w:spacing w:val="40"/>
          <w:w w:val="105"/>
        </w:rPr>
        <w:t xml:space="preserve"> </w:t>
      </w:r>
      <w:r w:rsidRPr="00283806">
        <w:rPr>
          <w:w w:val="105"/>
        </w:rPr>
        <w:t>avoid potential confusion if the same term was defined differently in subparts A and B, but not defined in subpart C.</w:t>
      </w:r>
      <w:r w:rsidRPr="00283806">
        <w:rPr>
          <w:spacing w:val="40"/>
          <w:w w:val="105"/>
        </w:rPr>
        <w:t xml:space="preserve"> </w:t>
      </w:r>
      <w:r w:rsidRPr="00283806">
        <w:rPr>
          <w:w w:val="105"/>
        </w:rPr>
        <w:t>EPA is also establishing definitions for terms that are applicable only under 40 CFR part 84, subpart C, and do not have counterparts in the definitions under 40 CFR part 84, subparts A or B.</w:t>
      </w:r>
    </w:p>
    <w:p w14:paraId="76DCFE2A" w14:textId="77777777" w:rsidR="00D67C1E" w:rsidRPr="00283806" w:rsidRDefault="001265CA">
      <w:pPr>
        <w:pStyle w:val="BodyText"/>
        <w:spacing w:line="185" w:lineRule="exact"/>
        <w:ind w:left="335"/>
      </w:pPr>
      <w:r w:rsidRPr="00283806">
        <w:rPr>
          <w:w w:val="105"/>
        </w:rPr>
        <w:t>Many</w:t>
      </w:r>
      <w:r w:rsidRPr="00283806">
        <w:rPr>
          <w:spacing w:val="9"/>
          <w:w w:val="105"/>
        </w:rPr>
        <w:t xml:space="preserve"> </w:t>
      </w:r>
      <w:r w:rsidRPr="00283806">
        <w:rPr>
          <w:w w:val="105"/>
        </w:rPr>
        <w:t>of</w:t>
      </w:r>
      <w:r w:rsidRPr="00283806">
        <w:rPr>
          <w:spacing w:val="10"/>
          <w:w w:val="105"/>
        </w:rPr>
        <w:t xml:space="preserve"> </w:t>
      </w:r>
      <w:r w:rsidRPr="00283806">
        <w:rPr>
          <w:w w:val="105"/>
        </w:rPr>
        <w:t>the</w:t>
      </w:r>
      <w:r w:rsidRPr="00283806">
        <w:rPr>
          <w:spacing w:val="9"/>
          <w:w w:val="105"/>
        </w:rPr>
        <w:t xml:space="preserve"> </w:t>
      </w:r>
      <w:r w:rsidRPr="00283806">
        <w:rPr>
          <w:w w:val="105"/>
        </w:rPr>
        <w:t>terms</w:t>
      </w:r>
      <w:r w:rsidRPr="00283806">
        <w:rPr>
          <w:spacing w:val="10"/>
          <w:w w:val="105"/>
        </w:rPr>
        <w:t xml:space="preserve"> </w:t>
      </w:r>
      <w:r w:rsidRPr="00283806">
        <w:rPr>
          <w:w w:val="105"/>
        </w:rPr>
        <w:t>and</w:t>
      </w:r>
      <w:r w:rsidRPr="00283806">
        <w:rPr>
          <w:spacing w:val="9"/>
          <w:w w:val="105"/>
        </w:rPr>
        <w:t xml:space="preserve"> </w:t>
      </w:r>
      <w:r w:rsidRPr="00283806">
        <w:rPr>
          <w:spacing w:val="-2"/>
          <w:w w:val="105"/>
        </w:rPr>
        <w:t>definitions</w:t>
      </w:r>
    </w:p>
    <w:p w14:paraId="170F9A01" w14:textId="77777777" w:rsidR="00D67C1E" w:rsidRPr="00283806" w:rsidRDefault="001265CA">
      <w:pPr>
        <w:pStyle w:val="BodyText"/>
        <w:spacing w:line="200" w:lineRule="exact"/>
        <w:ind w:left="155" w:right="85"/>
      </w:pPr>
      <w:r w:rsidRPr="00283806">
        <w:rPr>
          <w:w w:val="105"/>
        </w:rPr>
        <w:t xml:space="preserve">considered in this action are </w:t>
      </w:r>
      <w:proofErr w:type="gramStart"/>
      <w:r w:rsidRPr="00283806">
        <w:rPr>
          <w:w w:val="105"/>
        </w:rPr>
        <w:t>similar to</w:t>
      </w:r>
      <w:proofErr w:type="gramEnd"/>
      <w:r w:rsidRPr="00283806">
        <w:rPr>
          <w:w w:val="105"/>
        </w:rPr>
        <w:t xml:space="preserve"> those used to implement programs</w:t>
      </w:r>
      <w:r w:rsidRPr="00283806">
        <w:rPr>
          <w:spacing w:val="40"/>
          <w:w w:val="105"/>
        </w:rPr>
        <w:t xml:space="preserve"> </w:t>
      </w:r>
      <w:r w:rsidRPr="00283806">
        <w:rPr>
          <w:w w:val="105"/>
        </w:rPr>
        <w:t>under CAA sections 608 and 609, with only limited changes as needed to conform</w:t>
      </w:r>
      <w:r w:rsidRPr="00283806">
        <w:rPr>
          <w:spacing w:val="40"/>
          <w:w w:val="105"/>
        </w:rPr>
        <w:t xml:space="preserve"> </w:t>
      </w:r>
      <w:r w:rsidRPr="00283806">
        <w:rPr>
          <w:w w:val="105"/>
        </w:rPr>
        <w:t>with</w:t>
      </w:r>
      <w:r w:rsidRPr="00283806">
        <w:rPr>
          <w:spacing w:val="40"/>
          <w:w w:val="105"/>
        </w:rPr>
        <w:t xml:space="preserve"> </w:t>
      </w:r>
      <w:r w:rsidRPr="00283806">
        <w:rPr>
          <w:w w:val="105"/>
        </w:rPr>
        <w:t>the</w:t>
      </w:r>
      <w:r w:rsidRPr="00283806">
        <w:rPr>
          <w:spacing w:val="40"/>
          <w:w w:val="105"/>
        </w:rPr>
        <w:t xml:space="preserve"> </w:t>
      </w:r>
      <w:r w:rsidRPr="00283806">
        <w:rPr>
          <w:w w:val="105"/>
        </w:rPr>
        <w:t>AIM</w:t>
      </w:r>
      <w:r w:rsidRPr="00283806">
        <w:rPr>
          <w:spacing w:val="40"/>
          <w:w w:val="105"/>
        </w:rPr>
        <w:t xml:space="preserve"> </w:t>
      </w:r>
      <w:r w:rsidRPr="00283806">
        <w:rPr>
          <w:w w:val="105"/>
        </w:rPr>
        <w:t>Act</w:t>
      </w:r>
      <w:r w:rsidRPr="00283806">
        <w:rPr>
          <w:spacing w:val="40"/>
          <w:w w:val="105"/>
        </w:rPr>
        <w:t xml:space="preserve"> </w:t>
      </w:r>
      <w:r w:rsidRPr="00283806">
        <w:rPr>
          <w:w w:val="105"/>
        </w:rPr>
        <w:t>or</w:t>
      </w:r>
      <w:r w:rsidRPr="00283806">
        <w:rPr>
          <w:spacing w:val="40"/>
          <w:w w:val="105"/>
        </w:rPr>
        <w:t xml:space="preserve"> </w:t>
      </w:r>
      <w:r w:rsidRPr="00283806">
        <w:rPr>
          <w:w w:val="105"/>
        </w:rPr>
        <w:t>this action. EPA considered these previously defined terms, from 40 CFR 82.152 and 40 CFR 82.32, where they are used in</w:t>
      </w:r>
      <w:r w:rsidRPr="00283806">
        <w:rPr>
          <w:spacing w:val="80"/>
          <w:w w:val="150"/>
        </w:rPr>
        <w:t xml:space="preserve"> </w:t>
      </w:r>
      <w:r w:rsidRPr="00283806">
        <w:rPr>
          <w:w w:val="105"/>
        </w:rPr>
        <w:t>the same or substantially similar</w:t>
      </w:r>
      <w:r w:rsidRPr="00283806">
        <w:rPr>
          <w:spacing w:val="40"/>
          <w:w w:val="105"/>
        </w:rPr>
        <w:t xml:space="preserve"> </w:t>
      </w:r>
      <w:r w:rsidRPr="00283806">
        <w:rPr>
          <w:w w:val="105"/>
        </w:rPr>
        <w:t>manner. The regulated community for these regulations under subsection (h) and those under CAA sections 608 and 609 overlap; therefore, maintaining the same or similar definitions, where</w:t>
      </w:r>
    </w:p>
    <w:p w14:paraId="4C93DEDF" w14:textId="77777777" w:rsidR="00D67C1E" w:rsidRPr="00283806" w:rsidRDefault="001265CA">
      <w:pPr>
        <w:pStyle w:val="BodyText"/>
        <w:spacing w:before="137" w:line="223" w:lineRule="auto"/>
        <w:ind w:left="154" w:right="164"/>
      </w:pPr>
      <w:r w:rsidRPr="00283806">
        <w:br w:type="column"/>
      </w:r>
      <w:r w:rsidRPr="00283806">
        <w:rPr>
          <w:w w:val="105"/>
        </w:rPr>
        <w:t>sectors covered by 40 CFR part 82, subpart F, where it is necessary or</w:t>
      </w:r>
      <w:r w:rsidRPr="00283806">
        <w:rPr>
          <w:spacing w:val="40"/>
          <w:w w:val="105"/>
        </w:rPr>
        <w:t xml:space="preserve"> </w:t>
      </w:r>
      <w:r w:rsidRPr="00283806">
        <w:rPr>
          <w:w w:val="105"/>
        </w:rPr>
        <w:t>helpful for clarity, EPA is specifying certain definitions that apply to the</w:t>
      </w:r>
      <w:r w:rsidRPr="00283806">
        <w:rPr>
          <w:spacing w:val="80"/>
          <w:w w:val="105"/>
        </w:rPr>
        <w:t xml:space="preserve"> </w:t>
      </w:r>
      <w:r w:rsidRPr="00283806">
        <w:rPr>
          <w:w w:val="105"/>
        </w:rPr>
        <w:t>terms as they refer to refrigerant- containing</w:t>
      </w:r>
      <w:r w:rsidRPr="00283806">
        <w:rPr>
          <w:spacing w:val="40"/>
          <w:w w:val="105"/>
        </w:rPr>
        <w:t xml:space="preserve"> </w:t>
      </w:r>
      <w:r w:rsidRPr="00283806">
        <w:rPr>
          <w:w w:val="105"/>
        </w:rPr>
        <w:t>equipment</w:t>
      </w:r>
      <w:r w:rsidRPr="00283806">
        <w:rPr>
          <w:spacing w:val="40"/>
          <w:w w:val="105"/>
        </w:rPr>
        <w:t xml:space="preserve"> </w:t>
      </w:r>
      <w:r w:rsidRPr="00283806">
        <w:rPr>
          <w:w w:val="105"/>
        </w:rPr>
        <w:t>or</w:t>
      </w:r>
      <w:r w:rsidRPr="00283806">
        <w:rPr>
          <w:spacing w:val="40"/>
          <w:w w:val="105"/>
        </w:rPr>
        <w:t xml:space="preserve"> </w:t>
      </w:r>
      <w:r w:rsidRPr="00283806">
        <w:rPr>
          <w:w w:val="105"/>
        </w:rPr>
        <w:t>as</w:t>
      </w:r>
      <w:r w:rsidRPr="00283806">
        <w:rPr>
          <w:spacing w:val="40"/>
          <w:w w:val="105"/>
        </w:rPr>
        <w:t xml:space="preserve"> </w:t>
      </w:r>
      <w:r w:rsidRPr="00283806">
        <w:rPr>
          <w:w w:val="105"/>
        </w:rPr>
        <w:t>they</w:t>
      </w:r>
      <w:r w:rsidRPr="00283806">
        <w:rPr>
          <w:spacing w:val="40"/>
          <w:w w:val="105"/>
        </w:rPr>
        <w:t xml:space="preserve"> </w:t>
      </w:r>
      <w:r w:rsidRPr="00283806">
        <w:rPr>
          <w:w w:val="105"/>
        </w:rPr>
        <w:t xml:space="preserve">apply to fire suppression equipment (see, </w:t>
      </w:r>
      <w:r w:rsidRPr="00283806">
        <w:rPr>
          <w:rFonts w:ascii="Book Antiqua" w:hAnsi="Book Antiqua"/>
          <w:i/>
          <w:w w:val="105"/>
        </w:rPr>
        <w:t xml:space="preserve">e.g., </w:t>
      </w:r>
      <w:r w:rsidRPr="00283806">
        <w:rPr>
          <w:w w:val="105"/>
        </w:rPr>
        <w:t xml:space="preserve">the definition for ‘‘disposal’’). EPA may consider adding additional subsectors in </w:t>
      </w:r>
      <w:proofErr w:type="gramStart"/>
      <w:r w:rsidRPr="00283806">
        <w:rPr>
          <w:w w:val="105"/>
        </w:rPr>
        <w:t>a future</w:t>
      </w:r>
      <w:proofErr w:type="gramEnd"/>
      <w:r w:rsidRPr="00283806">
        <w:rPr>
          <w:w w:val="105"/>
        </w:rPr>
        <w:t xml:space="preserve"> rulemaking and accordingly</w:t>
      </w:r>
      <w:r w:rsidRPr="00283806">
        <w:rPr>
          <w:spacing w:val="80"/>
          <w:w w:val="150"/>
        </w:rPr>
        <w:t xml:space="preserve"> </w:t>
      </w:r>
      <w:r w:rsidRPr="00283806">
        <w:rPr>
          <w:w w:val="105"/>
        </w:rPr>
        <w:t>may consider updating these definitions in the future.</w:t>
      </w:r>
    </w:p>
    <w:p w14:paraId="5FD9E7ED" w14:textId="77777777" w:rsidR="00D67C1E" w:rsidRPr="00283806" w:rsidRDefault="001265CA">
      <w:pPr>
        <w:pStyle w:val="ListParagraph"/>
        <w:numPr>
          <w:ilvl w:val="0"/>
          <w:numId w:val="62"/>
        </w:numPr>
        <w:tabs>
          <w:tab w:val="left" w:pos="352"/>
        </w:tabs>
        <w:spacing w:before="107" w:line="225" w:lineRule="auto"/>
        <w:ind w:right="182" w:firstLine="0"/>
        <w:rPr>
          <w:sz w:val="18"/>
        </w:rPr>
      </w:pPr>
      <w:r w:rsidRPr="00283806">
        <w:rPr>
          <w:w w:val="105"/>
          <w:sz w:val="18"/>
        </w:rPr>
        <w:t xml:space="preserve">Terms That Did Not Generate Comment and That EPA Is Finalizing as </w:t>
      </w:r>
      <w:r w:rsidRPr="00283806">
        <w:rPr>
          <w:spacing w:val="-2"/>
          <w:w w:val="105"/>
          <w:sz w:val="18"/>
        </w:rPr>
        <w:t>Proposed</w:t>
      </w:r>
    </w:p>
    <w:p w14:paraId="45A363E9" w14:textId="77777777" w:rsidR="00D67C1E" w:rsidRPr="00283806" w:rsidRDefault="001265CA">
      <w:pPr>
        <w:pStyle w:val="BodyText"/>
        <w:spacing w:before="67" w:line="223" w:lineRule="auto"/>
        <w:ind w:left="154" w:right="196" w:firstLine="180"/>
      </w:pPr>
      <w:r w:rsidRPr="00283806">
        <w:rPr>
          <w:w w:val="105"/>
        </w:rPr>
        <w:t>Many proposed definitions did not garner specific comment. For the</w:t>
      </w:r>
      <w:r w:rsidRPr="00283806">
        <w:rPr>
          <w:spacing w:val="40"/>
          <w:w w:val="105"/>
        </w:rPr>
        <w:t xml:space="preserve"> </w:t>
      </w:r>
      <w:r w:rsidRPr="00283806">
        <w:rPr>
          <w:w w:val="105"/>
        </w:rPr>
        <w:t>reasons discussed in the proposed rule, EPA is finalizing the following terms substantively as proposed, although in some instances with minor edits that do not alter their meaning (</w:t>
      </w:r>
      <w:r w:rsidRPr="00283806">
        <w:rPr>
          <w:rFonts w:ascii="Book Antiqua" w:hAnsi="Book Antiqua"/>
          <w:i/>
          <w:w w:val="105"/>
        </w:rPr>
        <w:t xml:space="preserve">e.g., </w:t>
      </w:r>
      <w:r w:rsidRPr="00283806">
        <w:rPr>
          <w:w w:val="105"/>
        </w:rPr>
        <w:t xml:space="preserve">a non- substantive change in a word’s tense or removal of redundant language </w:t>
      </w:r>
      <w:r w:rsidRPr="00283806">
        <w:rPr>
          <w:w w:val="105"/>
          <w:position w:val="5"/>
          <w:sz w:val="11"/>
        </w:rPr>
        <w:t>46</w:t>
      </w:r>
      <w:r w:rsidRPr="00283806">
        <w:rPr>
          <w:w w:val="105"/>
        </w:rPr>
        <w:t>):</w:t>
      </w:r>
    </w:p>
    <w:p w14:paraId="283CC24E" w14:textId="77777777" w:rsidR="00D67C1E" w:rsidRPr="00283806" w:rsidRDefault="001265CA">
      <w:pPr>
        <w:spacing w:line="220" w:lineRule="auto"/>
        <w:ind w:left="154" w:right="282" w:firstLine="180"/>
        <w:rPr>
          <w:sz w:val="18"/>
        </w:rPr>
      </w:pPr>
      <w:r w:rsidRPr="00283806">
        <w:rPr>
          <w:rFonts w:ascii="Book Antiqua"/>
          <w:i/>
          <w:w w:val="105"/>
          <w:sz w:val="18"/>
        </w:rPr>
        <w:t xml:space="preserve">Certified technician </w:t>
      </w:r>
      <w:r w:rsidRPr="00283806">
        <w:rPr>
          <w:w w:val="105"/>
          <w:sz w:val="18"/>
        </w:rPr>
        <w:t>means a technician that has been certified per the provisions at 40 CFR 82.161.</w:t>
      </w:r>
    </w:p>
    <w:p w14:paraId="3DF6E9F3" w14:textId="77777777" w:rsidR="00D67C1E" w:rsidRPr="00283806" w:rsidRDefault="001265CA">
      <w:pPr>
        <w:spacing w:line="184" w:lineRule="exact"/>
        <w:ind w:left="334"/>
        <w:rPr>
          <w:sz w:val="18"/>
        </w:rPr>
      </w:pPr>
      <w:r w:rsidRPr="00283806">
        <w:rPr>
          <w:rFonts w:ascii="Book Antiqua"/>
          <w:i/>
          <w:w w:val="105"/>
          <w:sz w:val="18"/>
        </w:rPr>
        <w:t>Component,</w:t>
      </w:r>
      <w:r w:rsidRPr="00283806">
        <w:rPr>
          <w:rFonts w:ascii="Book Antiqua"/>
          <w:i/>
          <w:spacing w:val="13"/>
          <w:w w:val="105"/>
          <w:sz w:val="18"/>
        </w:rPr>
        <w:t xml:space="preserve"> </w:t>
      </w:r>
      <w:r w:rsidRPr="00283806">
        <w:rPr>
          <w:w w:val="105"/>
          <w:sz w:val="18"/>
        </w:rPr>
        <w:t>as</w:t>
      </w:r>
      <w:r w:rsidRPr="00283806">
        <w:rPr>
          <w:spacing w:val="18"/>
          <w:w w:val="105"/>
          <w:sz w:val="18"/>
        </w:rPr>
        <w:t xml:space="preserve"> </w:t>
      </w:r>
      <w:r w:rsidRPr="00283806">
        <w:rPr>
          <w:w w:val="105"/>
          <w:sz w:val="18"/>
        </w:rPr>
        <w:t>it</w:t>
      </w:r>
      <w:r w:rsidRPr="00283806">
        <w:rPr>
          <w:spacing w:val="19"/>
          <w:w w:val="105"/>
          <w:sz w:val="18"/>
        </w:rPr>
        <w:t xml:space="preserve"> </w:t>
      </w:r>
      <w:r w:rsidRPr="00283806">
        <w:rPr>
          <w:w w:val="105"/>
          <w:sz w:val="18"/>
        </w:rPr>
        <w:t>relates</w:t>
      </w:r>
      <w:r w:rsidRPr="00283806">
        <w:rPr>
          <w:spacing w:val="18"/>
          <w:w w:val="105"/>
          <w:sz w:val="18"/>
        </w:rPr>
        <w:t xml:space="preserve"> </w:t>
      </w:r>
      <w:r w:rsidRPr="00283806">
        <w:rPr>
          <w:w w:val="105"/>
          <w:sz w:val="18"/>
        </w:rPr>
        <w:t>to</w:t>
      </w:r>
      <w:r w:rsidRPr="00283806">
        <w:rPr>
          <w:spacing w:val="19"/>
          <w:w w:val="105"/>
          <w:sz w:val="18"/>
        </w:rPr>
        <w:t xml:space="preserve"> </w:t>
      </w:r>
      <w:r w:rsidRPr="00283806">
        <w:rPr>
          <w:spacing w:val="-10"/>
          <w:w w:val="105"/>
          <w:sz w:val="18"/>
        </w:rPr>
        <w:t>a</w:t>
      </w:r>
    </w:p>
    <w:p w14:paraId="4479F149" w14:textId="77777777" w:rsidR="00D67C1E" w:rsidRPr="00283806" w:rsidRDefault="001265CA">
      <w:pPr>
        <w:pStyle w:val="BodyText"/>
        <w:spacing w:line="225" w:lineRule="auto"/>
        <w:ind w:left="154" w:right="162"/>
      </w:pPr>
      <w:r w:rsidRPr="00283806">
        <w:rPr>
          <w:w w:val="105"/>
        </w:rPr>
        <w:t>refrigerant-containing appliance, means</w:t>
      </w:r>
      <w:r w:rsidRPr="00283806">
        <w:rPr>
          <w:spacing w:val="40"/>
          <w:w w:val="105"/>
        </w:rPr>
        <w:t xml:space="preserve"> </w:t>
      </w:r>
      <w:r w:rsidRPr="00283806">
        <w:rPr>
          <w:w w:val="105"/>
        </w:rPr>
        <w:t xml:space="preserve">a part of the refrigerant circuit within an appliance including but not limited to compressors, condensers, evaporators, receivers, and </w:t>
      </w:r>
      <w:proofErr w:type="gramStart"/>
      <w:r w:rsidRPr="00283806">
        <w:rPr>
          <w:w w:val="105"/>
        </w:rPr>
        <w:t>all of</w:t>
      </w:r>
      <w:proofErr w:type="gramEnd"/>
      <w:r w:rsidRPr="00283806">
        <w:rPr>
          <w:w w:val="105"/>
        </w:rPr>
        <w:t xml:space="preserve"> its connections and </w:t>
      </w:r>
      <w:r w:rsidRPr="00283806">
        <w:rPr>
          <w:spacing w:val="-2"/>
          <w:w w:val="105"/>
        </w:rPr>
        <w:t>subassemblies.</w:t>
      </w:r>
    </w:p>
    <w:p w14:paraId="152A477A" w14:textId="77777777" w:rsidR="00D67C1E" w:rsidRPr="00283806" w:rsidRDefault="001265CA">
      <w:pPr>
        <w:spacing w:line="213" w:lineRule="auto"/>
        <w:ind w:left="154" w:right="928" w:firstLine="180"/>
        <w:rPr>
          <w:sz w:val="18"/>
        </w:rPr>
      </w:pPr>
      <w:r w:rsidRPr="00283806">
        <w:rPr>
          <w:rFonts w:ascii="Book Antiqua"/>
          <w:i/>
          <w:w w:val="105"/>
          <w:sz w:val="18"/>
        </w:rPr>
        <w:t xml:space="preserve">Custom-built </w:t>
      </w:r>
      <w:r w:rsidRPr="00283806">
        <w:rPr>
          <w:w w:val="105"/>
          <w:sz w:val="18"/>
        </w:rPr>
        <w:t>means that the industrial</w:t>
      </w:r>
      <w:r w:rsidRPr="00283806">
        <w:rPr>
          <w:spacing w:val="15"/>
          <w:w w:val="105"/>
          <w:sz w:val="18"/>
        </w:rPr>
        <w:t xml:space="preserve"> </w:t>
      </w:r>
      <w:r w:rsidRPr="00283806">
        <w:rPr>
          <w:w w:val="105"/>
          <w:sz w:val="18"/>
        </w:rPr>
        <w:t>process</w:t>
      </w:r>
      <w:r w:rsidRPr="00283806">
        <w:rPr>
          <w:spacing w:val="15"/>
          <w:w w:val="105"/>
          <w:sz w:val="18"/>
        </w:rPr>
        <w:t xml:space="preserve"> </w:t>
      </w:r>
      <w:r w:rsidRPr="00283806">
        <w:rPr>
          <w:spacing w:val="-2"/>
          <w:w w:val="105"/>
          <w:sz w:val="18"/>
        </w:rPr>
        <w:t>refrigeration</w:t>
      </w:r>
    </w:p>
    <w:p w14:paraId="1204D184" w14:textId="77777777" w:rsidR="00D67C1E" w:rsidRPr="00283806" w:rsidRDefault="001265CA">
      <w:pPr>
        <w:pStyle w:val="BodyText"/>
        <w:spacing w:line="225" w:lineRule="auto"/>
        <w:ind w:left="154" w:right="119"/>
      </w:pPr>
      <w:r w:rsidRPr="00283806">
        <w:rPr>
          <w:w w:val="105"/>
        </w:rPr>
        <w:t>equipment or any of its components cannot be purchased and/or installed without being uniquely designed, fabricated,</w:t>
      </w:r>
      <w:r w:rsidRPr="00283806">
        <w:rPr>
          <w:spacing w:val="-2"/>
          <w:w w:val="105"/>
        </w:rPr>
        <w:t xml:space="preserve"> </w:t>
      </w:r>
      <w:r w:rsidRPr="00283806">
        <w:rPr>
          <w:w w:val="105"/>
        </w:rPr>
        <w:t>and/or</w:t>
      </w:r>
      <w:r w:rsidRPr="00283806">
        <w:rPr>
          <w:spacing w:val="-2"/>
          <w:w w:val="105"/>
        </w:rPr>
        <w:t xml:space="preserve"> </w:t>
      </w:r>
      <w:r w:rsidRPr="00283806">
        <w:rPr>
          <w:w w:val="105"/>
        </w:rPr>
        <w:t>assembled</w:t>
      </w:r>
      <w:r w:rsidRPr="00283806">
        <w:rPr>
          <w:spacing w:val="-2"/>
          <w:w w:val="105"/>
        </w:rPr>
        <w:t xml:space="preserve"> </w:t>
      </w:r>
      <w:r w:rsidRPr="00283806">
        <w:rPr>
          <w:w w:val="105"/>
        </w:rPr>
        <w:t>to</w:t>
      </w:r>
      <w:r w:rsidRPr="00283806">
        <w:rPr>
          <w:spacing w:val="-2"/>
          <w:w w:val="105"/>
        </w:rPr>
        <w:t xml:space="preserve"> </w:t>
      </w:r>
      <w:r w:rsidRPr="00283806">
        <w:rPr>
          <w:w w:val="105"/>
        </w:rPr>
        <w:t>satisfy</w:t>
      </w:r>
      <w:r w:rsidRPr="00283806">
        <w:rPr>
          <w:spacing w:val="-2"/>
          <w:w w:val="105"/>
        </w:rPr>
        <w:t xml:space="preserve"> </w:t>
      </w:r>
      <w:r w:rsidRPr="00283806">
        <w:rPr>
          <w:w w:val="105"/>
        </w:rPr>
        <w:t xml:space="preserve">a specific set of industrial process </w:t>
      </w:r>
      <w:r w:rsidRPr="00283806">
        <w:rPr>
          <w:spacing w:val="-2"/>
          <w:w w:val="105"/>
        </w:rPr>
        <w:t>conditions.</w:t>
      </w:r>
    </w:p>
    <w:p w14:paraId="5DE65F49" w14:textId="77777777" w:rsidR="00D67C1E" w:rsidRPr="00283806" w:rsidRDefault="001265CA">
      <w:pPr>
        <w:spacing w:line="213" w:lineRule="auto"/>
        <w:ind w:left="154" w:right="282" w:firstLine="180"/>
        <w:rPr>
          <w:sz w:val="18"/>
        </w:rPr>
      </w:pPr>
      <w:r w:rsidRPr="00283806">
        <w:rPr>
          <w:rFonts w:ascii="Book Antiqua"/>
          <w:i/>
          <w:w w:val="110"/>
          <w:sz w:val="18"/>
        </w:rPr>
        <w:t xml:space="preserve">Fire suppression technician </w:t>
      </w:r>
      <w:r w:rsidRPr="00283806">
        <w:rPr>
          <w:w w:val="110"/>
          <w:sz w:val="18"/>
        </w:rPr>
        <w:t xml:space="preserve">means any person who </w:t>
      </w:r>
      <w:proofErr w:type="gramStart"/>
      <w:r w:rsidRPr="00283806">
        <w:rPr>
          <w:w w:val="110"/>
          <w:sz w:val="18"/>
        </w:rPr>
        <w:t>in the course of</w:t>
      </w:r>
      <w:proofErr w:type="gramEnd"/>
    </w:p>
    <w:p w14:paraId="69E26569" w14:textId="77777777" w:rsidR="00D67C1E" w:rsidRPr="00283806" w:rsidRDefault="001265CA">
      <w:pPr>
        <w:pStyle w:val="BodyText"/>
        <w:spacing w:line="225" w:lineRule="auto"/>
        <w:ind w:left="154" w:right="282"/>
        <w:rPr>
          <w:sz w:val="11"/>
        </w:rPr>
      </w:pPr>
      <w:r w:rsidRPr="00283806">
        <w:rPr>
          <w:w w:val="105"/>
        </w:rPr>
        <w:t xml:space="preserve">servicing, repair, disposal, or installation of fire suppression equipment could be reasonably expected to violate the integrity of the fire suppression equipment and therefore release fire suppressants </w:t>
      </w:r>
      <w:r w:rsidRPr="00283806">
        <w:rPr>
          <w:w w:val="105"/>
          <w:position w:val="5"/>
          <w:sz w:val="11"/>
        </w:rPr>
        <w:t>47</w:t>
      </w:r>
    </w:p>
    <w:p w14:paraId="2D594A95" w14:textId="77777777" w:rsidR="00D67C1E" w:rsidRPr="00283806" w:rsidRDefault="00D67C1E">
      <w:pPr>
        <w:spacing w:line="225" w:lineRule="auto"/>
        <w:rPr>
          <w:sz w:val="11"/>
        </w:rPr>
        <w:sectPr w:rsidR="00D67C1E" w:rsidRPr="00283806">
          <w:pgSz w:w="12240" w:h="15840"/>
          <w:pgMar w:top="1040" w:right="780" w:bottom="280" w:left="740" w:header="627" w:footer="0" w:gutter="0"/>
          <w:cols w:num="3" w:space="720" w:equalWidth="0">
            <w:col w:w="3505" w:space="40"/>
            <w:col w:w="3502" w:space="39"/>
            <w:col w:w="3634"/>
          </w:cols>
        </w:sectPr>
      </w:pPr>
    </w:p>
    <w:p w14:paraId="558EFD03" w14:textId="77777777" w:rsidR="00D67C1E" w:rsidRPr="00283806" w:rsidRDefault="001265CA">
      <w:pPr>
        <w:pStyle w:val="BodyText"/>
        <w:spacing w:line="200" w:lineRule="exact"/>
        <w:ind w:right="38"/>
      </w:pPr>
      <w:r w:rsidRPr="00283806">
        <w:rPr>
          <w:w w:val="105"/>
        </w:rPr>
        <w:t>established</w:t>
      </w:r>
      <w:r w:rsidRPr="00283806">
        <w:rPr>
          <w:spacing w:val="-10"/>
          <w:w w:val="105"/>
        </w:rPr>
        <w:t xml:space="preserve"> </w:t>
      </w:r>
      <w:r w:rsidRPr="00283806">
        <w:rPr>
          <w:w w:val="105"/>
        </w:rPr>
        <w:t>regulatory</w:t>
      </w:r>
      <w:r w:rsidRPr="00283806">
        <w:rPr>
          <w:spacing w:val="-11"/>
          <w:w w:val="105"/>
        </w:rPr>
        <w:t xml:space="preserve"> </w:t>
      </w:r>
      <w:r w:rsidRPr="00283806">
        <w:rPr>
          <w:w w:val="105"/>
        </w:rPr>
        <w:t>programs</w:t>
      </w:r>
      <w:r w:rsidRPr="00283806">
        <w:rPr>
          <w:spacing w:val="-10"/>
          <w:w w:val="105"/>
        </w:rPr>
        <w:t xml:space="preserve"> </w:t>
      </w:r>
      <w:r w:rsidRPr="00283806">
        <w:rPr>
          <w:w w:val="105"/>
        </w:rPr>
        <w:t>related to the HFC phasedown and the</w:t>
      </w:r>
    </w:p>
    <w:p w14:paraId="698D2F7C" w14:textId="77777777" w:rsidR="00D67C1E" w:rsidRPr="00283806" w:rsidRDefault="001265CA">
      <w:pPr>
        <w:pStyle w:val="BodyText"/>
        <w:spacing w:line="177" w:lineRule="exact"/>
      </w:pPr>
      <w:r w:rsidRPr="00283806">
        <w:br w:type="column"/>
      </w:r>
      <w:r w:rsidRPr="00283806">
        <w:rPr>
          <w:w w:val="105"/>
        </w:rPr>
        <w:t>consistent</w:t>
      </w:r>
      <w:r w:rsidRPr="00283806">
        <w:rPr>
          <w:spacing w:val="26"/>
          <w:w w:val="105"/>
        </w:rPr>
        <w:t xml:space="preserve"> </w:t>
      </w:r>
      <w:r w:rsidRPr="00283806">
        <w:rPr>
          <w:w w:val="105"/>
        </w:rPr>
        <w:t>with</w:t>
      </w:r>
      <w:r w:rsidRPr="00283806">
        <w:rPr>
          <w:spacing w:val="26"/>
          <w:w w:val="105"/>
        </w:rPr>
        <w:t xml:space="preserve"> </w:t>
      </w:r>
      <w:r w:rsidRPr="00283806">
        <w:rPr>
          <w:w w:val="105"/>
        </w:rPr>
        <w:t>AIM</w:t>
      </w:r>
      <w:r w:rsidRPr="00283806">
        <w:rPr>
          <w:spacing w:val="26"/>
          <w:w w:val="105"/>
        </w:rPr>
        <w:t xml:space="preserve"> </w:t>
      </w:r>
      <w:r w:rsidRPr="00283806">
        <w:rPr>
          <w:w w:val="105"/>
        </w:rPr>
        <w:t>Act</w:t>
      </w:r>
      <w:r w:rsidRPr="00283806">
        <w:rPr>
          <w:spacing w:val="26"/>
          <w:w w:val="105"/>
        </w:rPr>
        <w:t xml:space="preserve"> </w:t>
      </w:r>
      <w:r w:rsidRPr="00283806">
        <w:rPr>
          <w:spacing w:val="-2"/>
          <w:w w:val="105"/>
        </w:rPr>
        <w:t>requirements</w:t>
      </w:r>
    </w:p>
    <w:p w14:paraId="68638841" w14:textId="77777777" w:rsidR="00D67C1E" w:rsidRPr="00283806" w:rsidRDefault="001265CA">
      <w:pPr>
        <w:pStyle w:val="BodyText"/>
        <w:spacing w:line="55" w:lineRule="exact"/>
      </w:pPr>
      <w:r w:rsidRPr="00283806">
        <w:rPr>
          <w:w w:val="105"/>
        </w:rPr>
        <w:t>and</w:t>
      </w:r>
      <w:r w:rsidRPr="00283806">
        <w:rPr>
          <w:spacing w:val="9"/>
          <w:w w:val="105"/>
        </w:rPr>
        <w:t xml:space="preserve"> </w:t>
      </w:r>
      <w:r w:rsidRPr="00283806">
        <w:rPr>
          <w:w w:val="105"/>
        </w:rPr>
        <w:t>the</w:t>
      </w:r>
      <w:r w:rsidRPr="00283806">
        <w:rPr>
          <w:spacing w:val="9"/>
          <w:w w:val="105"/>
        </w:rPr>
        <w:t xml:space="preserve"> </w:t>
      </w:r>
      <w:r w:rsidRPr="00283806">
        <w:rPr>
          <w:w w:val="105"/>
        </w:rPr>
        <w:t>purposes</w:t>
      </w:r>
      <w:r w:rsidRPr="00283806">
        <w:rPr>
          <w:spacing w:val="9"/>
          <w:w w:val="105"/>
        </w:rPr>
        <w:t xml:space="preserve"> </w:t>
      </w:r>
      <w:r w:rsidRPr="00283806">
        <w:rPr>
          <w:w w:val="105"/>
        </w:rPr>
        <w:t>of</w:t>
      </w:r>
      <w:r w:rsidRPr="00283806">
        <w:rPr>
          <w:spacing w:val="9"/>
          <w:w w:val="105"/>
        </w:rPr>
        <w:t xml:space="preserve"> </w:t>
      </w:r>
      <w:r w:rsidRPr="00283806">
        <w:rPr>
          <w:w w:val="105"/>
        </w:rPr>
        <w:t>this</w:t>
      </w:r>
      <w:r w:rsidRPr="00283806">
        <w:rPr>
          <w:spacing w:val="9"/>
          <w:w w:val="105"/>
        </w:rPr>
        <w:t xml:space="preserve"> </w:t>
      </w:r>
      <w:r w:rsidRPr="00283806">
        <w:rPr>
          <w:spacing w:val="-2"/>
          <w:w w:val="105"/>
        </w:rPr>
        <w:t>action,</w:t>
      </w:r>
    </w:p>
    <w:p w14:paraId="4D6F0825" w14:textId="77777777" w:rsidR="00D67C1E" w:rsidRPr="00283806" w:rsidRDefault="001265CA">
      <w:pPr>
        <w:pStyle w:val="BodyText"/>
        <w:spacing w:line="50" w:lineRule="exact"/>
      </w:pPr>
      <w:r w:rsidRPr="00283806">
        <w:br w:type="column"/>
      </w:r>
      <w:r w:rsidRPr="00283806">
        <w:rPr>
          <w:w w:val="105"/>
        </w:rPr>
        <w:t>into</w:t>
      </w:r>
      <w:r w:rsidRPr="00283806">
        <w:rPr>
          <w:spacing w:val="8"/>
          <w:w w:val="105"/>
        </w:rPr>
        <w:t xml:space="preserve"> </w:t>
      </w:r>
      <w:r w:rsidRPr="00283806">
        <w:rPr>
          <w:w w:val="105"/>
        </w:rPr>
        <w:t>the</w:t>
      </w:r>
      <w:r w:rsidRPr="00283806">
        <w:rPr>
          <w:spacing w:val="9"/>
          <w:w w:val="105"/>
        </w:rPr>
        <w:t xml:space="preserve"> </w:t>
      </w:r>
      <w:r w:rsidRPr="00283806">
        <w:rPr>
          <w:spacing w:val="-2"/>
          <w:w w:val="105"/>
        </w:rPr>
        <w:t>environment.</w:t>
      </w:r>
    </w:p>
    <w:p w14:paraId="379847D0" w14:textId="77777777" w:rsidR="00D67C1E" w:rsidRPr="00283806" w:rsidRDefault="001265CA">
      <w:pPr>
        <w:spacing w:line="182" w:lineRule="exact"/>
        <w:ind w:left="340"/>
        <w:rPr>
          <w:rFonts w:ascii="Book Antiqua"/>
          <w:i/>
          <w:sz w:val="18"/>
        </w:rPr>
      </w:pPr>
      <w:r w:rsidRPr="00283806">
        <w:rPr>
          <w:rFonts w:ascii="Book Antiqua"/>
          <w:i/>
          <w:w w:val="110"/>
          <w:sz w:val="18"/>
        </w:rPr>
        <w:t>Follow-up</w:t>
      </w:r>
      <w:r w:rsidRPr="00283806">
        <w:rPr>
          <w:rFonts w:ascii="Book Antiqua"/>
          <w:i/>
          <w:spacing w:val="27"/>
          <w:w w:val="110"/>
          <w:sz w:val="18"/>
        </w:rPr>
        <w:t xml:space="preserve"> </w:t>
      </w:r>
      <w:r w:rsidRPr="00283806">
        <w:rPr>
          <w:rFonts w:ascii="Book Antiqua"/>
          <w:i/>
          <w:w w:val="110"/>
          <w:sz w:val="18"/>
        </w:rPr>
        <w:t>verification</w:t>
      </w:r>
      <w:r w:rsidRPr="00283806">
        <w:rPr>
          <w:rFonts w:ascii="Book Antiqua"/>
          <w:i/>
          <w:spacing w:val="27"/>
          <w:w w:val="110"/>
          <w:sz w:val="18"/>
        </w:rPr>
        <w:t xml:space="preserve"> </w:t>
      </w:r>
      <w:r w:rsidRPr="00283806">
        <w:rPr>
          <w:rFonts w:ascii="Book Antiqua"/>
          <w:i/>
          <w:spacing w:val="-2"/>
          <w:w w:val="110"/>
          <w:sz w:val="18"/>
        </w:rPr>
        <w:t>test,</w:t>
      </w:r>
    </w:p>
    <w:p w14:paraId="6807BE44" w14:textId="77777777" w:rsidR="00D67C1E" w:rsidRPr="00283806" w:rsidRDefault="001265CA">
      <w:pPr>
        <w:pStyle w:val="BodyText"/>
        <w:spacing w:before="34" w:line="198" w:lineRule="exact"/>
        <w:ind w:left="9"/>
      </w:pPr>
      <w:r w:rsidRPr="00283806">
        <w:br w:type="column"/>
      </w:r>
      <w:r w:rsidRPr="00283806">
        <w:rPr>
          <w:w w:val="105"/>
        </w:rPr>
        <w:t>as</w:t>
      </w:r>
      <w:r w:rsidRPr="00283806">
        <w:rPr>
          <w:spacing w:val="2"/>
          <w:w w:val="105"/>
        </w:rPr>
        <w:t xml:space="preserve"> </w:t>
      </w:r>
      <w:r w:rsidRPr="00283806">
        <w:rPr>
          <w:spacing w:val="-5"/>
          <w:w w:val="105"/>
        </w:rPr>
        <w:t>it</w:t>
      </w:r>
    </w:p>
    <w:p w14:paraId="0C1B3064" w14:textId="77777777" w:rsidR="00D67C1E" w:rsidRPr="00283806" w:rsidRDefault="00D67C1E">
      <w:pPr>
        <w:spacing w:line="198" w:lineRule="exact"/>
        <w:sectPr w:rsidR="00D67C1E" w:rsidRPr="00283806">
          <w:type w:val="continuous"/>
          <w:pgSz w:w="12240" w:h="15840"/>
          <w:pgMar w:top="880" w:right="780" w:bottom="280" w:left="740" w:header="627" w:footer="0" w:gutter="0"/>
          <w:cols w:num="4" w:space="720" w:equalWidth="0">
            <w:col w:w="3458" w:space="82"/>
            <w:col w:w="3367" w:space="173"/>
            <w:col w:w="2559" w:space="39"/>
            <w:col w:w="1042"/>
          </w:cols>
        </w:sectPr>
      </w:pPr>
    </w:p>
    <w:p w14:paraId="0A1C1F35" w14:textId="77777777" w:rsidR="00D67C1E" w:rsidRPr="00283806" w:rsidRDefault="001265CA">
      <w:pPr>
        <w:pStyle w:val="BodyText"/>
        <w:spacing w:before="38" w:line="228" w:lineRule="auto"/>
        <w:ind w:right="57"/>
      </w:pPr>
      <w:r w:rsidRPr="00283806">
        <w:rPr>
          <w:w w:val="105"/>
        </w:rPr>
        <w:t>technology transitions provisions under the AIM Act. Rules implementing those CAA and AIM Act programs have</w:t>
      </w:r>
      <w:r w:rsidRPr="00283806">
        <w:rPr>
          <w:spacing w:val="40"/>
          <w:w w:val="105"/>
        </w:rPr>
        <w:t xml:space="preserve"> </w:t>
      </w:r>
      <w:r w:rsidRPr="00283806">
        <w:rPr>
          <w:w w:val="105"/>
        </w:rPr>
        <w:t>included defined terms, which EPA was mindful of when proposing and</w:t>
      </w:r>
      <w:r w:rsidRPr="00283806">
        <w:rPr>
          <w:spacing w:val="80"/>
          <w:w w:val="105"/>
        </w:rPr>
        <w:t xml:space="preserve"> </w:t>
      </w:r>
      <w:r w:rsidRPr="00283806">
        <w:rPr>
          <w:w w:val="105"/>
        </w:rPr>
        <w:t>finalizing definitions for the ER&amp;R program under subsection (h) of the</w:t>
      </w:r>
      <w:r w:rsidRPr="00283806">
        <w:rPr>
          <w:spacing w:val="80"/>
          <w:w w:val="105"/>
        </w:rPr>
        <w:t xml:space="preserve"> </w:t>
      </w:r>
      <w:r w:rsidRPr="00283806">
        <w:rPr>
          <w:w w:val="105"/>
        </w:rPr>
        <w:t>AIM Act.</w:t>
      </w:r>
    </w:p>
    <w:p w14:paraId="73E5F48A" w14:textId="77777777" w:rsidR="00D67C1E" w:rsidRPr="00283806" w:rsidRDefault="001265CA">
      <w:pPr>
        <w:pStyle w:val="BodyText"/>
        <w:spacing w:before="8" w:line="228" w:lineRule="auto"/>
        <w:ind w:right="40" w:firstLine="180"/>
      </w:pPr>
      <w:r w:rsidRPr="00283806">
        <w:rPr>
          <w:w w:val="105"/>
        </w:rPr>
        <w:t>The Allocation Framework Rule (86</w:t>
      </w:r>
      <w:r w:rsidRPr="00283806">
        <w:rPr>
          <w:spacing w:val="40"/>
          <w:w w:val="105"/>
        </w:rPr>
        <w:t xml:space="preserve"> </w:t>
      </w:r>
      <w:r w:rsidRPr="00283806">
        <w:rPr>
          <w:w w:val="105"/>
        </w:rPr>
        <w:t>FR 55116, October 5, 2021) established regulatory definitions at 40 CFR part 84, subpart A to implement the framework for phasing down HFCs under the AIM Act, with certain revisions to the definitions section at 40 CFR 84.3 (see</w:t>
      </w:r>
    </w:p>
    <w:p w14:paraId="57E34C7D" w14:textId="77777777" w:rsidR="00D67C1E" w:rsidRPr="00283806" w:rsidRDefault="001265CA">
      <w:pPr>
        <w:pStyle w:val="BodyText"/>
        <w:spacing w:line="177" w:lineRule="exact"/>
      </w:pPr>
      <w:r w:rsidRPr="00283806">
        <w:br w:type="column"/>
      </w:r>
      <w:r w:rsidRPr="00283806">
        <w:rPr>
          <w:w w:val="105"/>
        </w:rPr>
        <w:t>facilitates</w:t>
      </w:r>
      <w:r w:rsidRPr="00283806">
        <w:rPr>
          <w:spacing w:val="15"/>
          <w:w w:val="105"/>
        </w:rPr>
        <w:t xml:space="preserve"> </w:t>
      </w:r>
      <w:r w:rsidRPr="00283806">
        <w:rPr>
          <w:w w:val="105"/>
        </w:rPr>
        <w:t>implementation</w:t>
      </w:r>
      <w:r w:rsidRPr="00283806">
        <w:rPr>
          <w:spacing w:val="16"/>
          <w:w w:val="105"/>
        </w:rPr>
        <w:t xml:space="preserve"> </w:t>
      </w:r>
      <w:r w:rsidRPr="00283806">
        <w:rPr>
          <w:w w:val="105"/>
        </w:rPr>
        <w:t>by</w:t>
      </w:r>
      <w:r w:rsidRPr="00283806">
        <w:rPr>
          <w:spacing w:val="16"/>
          <w:w w:val="105"/>
        </w:rPr>
        <w:t xml:space="preserve"> </w:t>
      </w:r>
      <w:r w:rsidRPr="00283806">
        <w:rPr>
          <w:w w:val="105"/>
        </w:rPr>
        <w:t>those</w:t>
      </w:r>
      <w:r w:rsidRPr="00283806">
        <w:rPr>
          <w:spacing w:val="16"/>
          <w:w w:val="105"/>
        </w:rPr>
        <w:t xml:space="preserve"> </w:t>
      </w:r>
      <w:r w:rsidRPr="00283806">
        <w:rPr>
          <w:spacing w:val="-5"/>
          <w:w w:val="105"/>
        </w:rPr>
        <w:t>who</w:t>
      </w:r>
    </w:p>
    <w:p w14:paraId="45FA4914" w14:textId="77777777" w:rsidR="00D67C1E" w:rsidRPr="00283806" w:rsidRDefault="001265CA">
      <w:pPr>
        <w:pStyle w:val="BodyText"/>
        <w:spacing w:before="3" w:line="228" w:lineRule="auto"/>
        <w:ind w:right="37"/>
      </w:pPr>
      <w:r w:rsidRPr="00283806">
        <w:rPr>
          <w:w w:val="105"/>
        </w:rPr>
        <w:t>have been using and are familiar with these terms. Because EPA’s authority under</w:t>
      </w:r>
      <w:r w:rsidRPr="00283806">
        <w:rPr>
          <w:spacing w:val="18"/>
          <w:w w:val="105"/>
        </w:rPr>
        <w:t xml:space="preserve"> </w:t>
      </w:r>
      <w:r w:rsidRPr="00283806">
        <w:rPr>
          <w:w w:val="105"/>
        </w:rPr>
        <w:t>the</w:t>
      </w:r>
      <w:r w:rsidRPr="00283806">
        <w:rPr>
          <w:spacing w:val="19"/>
          <w:w w:val="105"/>
        </w:rPr>
        <w:t xml:space="preserve"> </w:t>
      </w:r>
      <w:r w:rsidRPr="00283806">
        <w:rPr>
          <w:w w:val="105"/>
        </w:rPr>
        <w:t>AIM</w:t>
      </w:r>
      <w:r w:rsidRPr="00283806">
        <w:rPr>
          <w:spacing w:val="19"/>
          <w:w w:val="105"/>
        </w:rPr>
        <w:t xml:space="preserve"> </w:t>
      </w:r>
      <w:r w:rsidRPr="00283806">
        <w:rPr>
          <w:w w:val="105"/>
        </w:rPr>
        <w:t>Act</w:t>
      </w:r>
      <w:r w:rsidRPr="00283806">
        <w:rPr>
          <w:spacing w:val="19"/>
          <w:w w:val="105"/>
        </w:rPr>
        <w:t xml:space="preserve"> </w:t>
      </w:r>
      <w:r w:rsidRPr="00283806">
        <w:rPr>
          <w:w w:val="105"/>
        </w:rPr>
        <w:t>extends</w:t>
      </w:r>
      <w:r w:rsidRPr="00283806">
        <w:rPr>
          <w:spacing w:val="19"/>
          <w:w w:val="105"/>
        </w:rPr>
        <w:t xml:space="preserve"> </w:t>
      </w:r>
      <w:r w:rsidRPr="00283806">
        <w:rPr>
          <w:w w:val="105"/>
        </w:rPr>
        <w:t>beyond</w:t>
      </w:r>
      <w:r w:rsidRPr="00283806">
        <w:rPr>
          <w:spacing w:val="19"/>
          <w:w w:val="105"/>
        </w:rPr>
        <w:t xml:space="preserve"> </w:t>
      </w:r>
      <w:r w:rsidRPr="00283806">
        <w:rPr>
          <w:spacing w:val="-5"/>
          <w:w w:val="105"/>
        </w:rPr>
        <w:t>the</w:t>
      </w:r>
    </w:p>
    <w:p w14:paraId="2DD24CCC" w14:textId="77777777" w:rsidR="00D67C1E" w:rsidRPr="00283806" w:rsidRDefault="001265CA">
      <w:pPr>
        <w:pStyle w:val="BodyText"/>
        <w:spacing w:before="10"/>
        <w:ind w:left="0"/>
        <w:rPr>
          <w:sz w:val="12"/>
        </w:rPr>
      </w:pPr>
      <w:r w:rsidRPr="00283806">
        <w:rPr>
          <w:noProof/>
        </w:rPr>
        <mc:AlternateContent>
          <mc:Choice Requires="wps">
            <w:drawing>
              <wp:anchor distT="0" distB="0" distL="0" distR="0" simplePos="0" relativeHeight="251628544" behindDoc="1" locked="0" layoutInCell="1" allowOverlap="1" wp14:anchorId="003BE30E" wp14:editId="3AC3BBF8">
                <wp:simplePos x="0" y="0"/>
                <wp:positionH relativeFrom="page">
                  <wp:posOffset>2819400</wp:posOffset>
                </wp:positionH>
                <wp:positionV relativeFrom="paragraph">
                  <wp:posOffset>111537</wp:posOffset>
                </wp:positionV>
                <wp:extent cx="635000" cy="1270"/>
                <wp:effectExtent l="0" t="0" r="0" b="0"/>
                <wp:wrapTopAndBottom/>
                <wp:docPr id="58" name="Graphic 5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F0AEBA" id="Graphic 58" o:spid="_x0000_s1026" alt="&quot;&quot;" style="position:absolute;margin-left:222pt;margin-top:8.8pt;width:50pt;height:.1pt;z-index:-251687936;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" path="m,l635000,e" filled="f" strokeweight=".5pt">
                <v:path arrowok="t"/>
                <w10:wrap type="topAndBottom" anchorx="page"/>
              </v:shape>
            </w:pict>
          </mc:Fallback>
        </mc:AlternateContent>
      </w:r>
    </w:p>
    <w:p w14:paraId="77D9015A" w14:textId="57AF9AAD" w:rsidR="00D67C1E" w:rsidRPr="00283806" w:rsidRDefault="001265CA">
      <w:pPr>
        <w:spacing w:before="40" w:line="232" w:lineRule="auto"/>
        <w:ind w:left="160" w:firstLine="140"/>
        <w:rPr>
          <w:rFonts w:ascii="Book Antiqua" w:hAnsi="Book Antiqua"/>
          <w:i/>
          <w:sz w:val="14"/>
        </w:rPr>
      </w:pPr>
      <w:r w:rsidRPr="00283806">
        <w:rPr>
          <w:w w:val="110"/>
          <w:position w:val="4"/>
          <w:sz w:val="9"/>
        </w:rPr>
        <w:t xml:space="preserve">45 </w:t>
      </w:r>
      <w:r w:rsidRPr="00283806">
        <w:rPr>
          <w:w w:val="110"/>
          <w:sz w:val="14"/>
        </w:rPr>
        <w:t>The revisions in 40 CFR 84.3 are described in</w:t>
      </w:r>
      <w:r w:rsidRPr="00283806">
        <w:rPr>
          <w:spacing w:val="40"/>
          <w:w w:val="110"/>
          <w:sz w:val="14"/>
        </w:rPr>
        <w:t xml:space="preserve"> </w:t>
      </w:r>
      <w:r w:rsidRPr="00283806">
        <w:rPr>
          <w:w w:val="110"/>
          <w:sz w:val="14"/>
        </w:rPr>
        <w:t>EPA’s Allowance Allocation Methodology for 2024</w:t>
      </w:r>
      <w:r w:rsidRPr="00283806">
        <w:rPr>
          <w:spacing w:val="40"/>
          <w:w w:val="110"/>
          <w:sz w:val="14"/>
        </w:rPr>
        <w:t xml:space="preserve"> </w:t>
      </w:r>
      <w:r w:rsidRPr="00283806">
        <w:rPr>
          <w:w w:val="110"/>
          <w:sz w:val="14"/>
        </w:rPr>
        <w:t>and Later Years rule, which was published on July</w:t>
      </w:r>
      <w:r w:rsidRPr="00283806">
        <w:rPr>
          <w:spacing w:val="40"/>
          <w:w w:val="110"/>
          <w:sz w:val="14"/>
        </w:rPr>
        <w:t xml:space="preserve"> </w:t>
      </w:r>
      <w:r w:rsidRPr="00283806">
        <w:rPr>
          <w:sz w:val="14"/>
        </w:rPr>
        <w:t>20, 2023 (88 FR 46836). That rulemaking focuses on</w:t>
      </w:r>
      <w:r w:rsidRPr="00283806">
        <w:rPr>
          <w:spacing w:val="40"/>
          <w:w w:val="110"/>
          <w:sz w:val="14"/>
        </w:rPr>
        <w:t xml:space="preserve"> </w:t>
      </w:r>
      <w:r w:rsidRPr="00283806">
        <w:rPr>
          <w:w w:val="110"/>
          <w:sz w:val="14"/>
        </w:rPr>
        <w:t>the second phase of the HFC phasedown and,</w:t>
      </w:r>
      <w:r w:rsidRPr="00283806">
        <w:rPr>
          <w:spacing w:val="40"/>
          <w:w w:val="110"/>
          <w:sz w:val="14"/>
        </w:rPr>
        <w:t xml:space="preserve"> </w:t>
      </w:r>
      <w:r w:rsidRPr="00283806">
        <w:rPr>
          <w:w w:val="110"/>
          <w:sz w:val="14"/>
        </w:rPr>
        <w:t>among other things, establishes the allocation</w:t>
      </w:r>
      <w:r w:rsidRPr="00283806">
        <w:rPr>
          <w:spacing w:val="40"/>
          <w:w w:val="110"/>
          <w:sz w:val="14"/>
        </w:rPr>
        <w:t xml:space="preserve"> </w:t>
      </w:r>
      <w:r w:rsidRPr="00283806">
        <w:rPr>
          <w:w w:val="110"/>
          <w:sz w:val="14"/>
        </w:rPr>
        <w:t>methodology for the ‘‘general pool’’ of HFC</w:t>
      </w:r>
      <w:r w:rsidRPr="00283806">
        <w:rPr>
          <w:spacing w:val="40"/>
          <w:w w:val="110"/>
          <w:sz w:val="14"/>
        </w:rPr>
        <w:t xml:space="preserve"> </w:t>
      </w:r>
      <w:r w:rsidRPr="00283806">
        <w:rPr>
          <w:w w:val="110"/>
          <w:sz w:val="14"/>
        </w:rPr>
        <w:t>production and consumption allowances for 2024</w:t>
      </w:r>
      <w:r w:rsidRPr="00283806">
        <w:rPr>
          <w:spacing w:val="40"/>
          <w:w w:val="110"/>
          <w:sz w:val="14"/>
        </w:rPr>
        <w:t xml:space="preserve"> </w:t>
      </w:r>
      <w:r w:rsidRPr="00283806">
        <w:rPr>
          <w:w w:val="110"/>
          <w:sz w:val="14"/>
        </w:rPr>
        <w:t xml:space="preserve">through 2028. Available at: </w:t>
      </w:r>
      <w:r w:rsidRPr="00283806">
        <w:rPr>
          <w:rFonts w:ascii="Book Antiqua" w:hAnsi="Book Antiqua"/>
          <w:i/>
          <w:w w:val="110"/>
          <w:sz w:val="14"/>
        </w:rPr>
        <w:t>https://</w:t>
      </w:r>
      <w:r w:rsidRPr="00283806">
        <w:rPr>
          <w:rFonts w:ascii="Book Antiqua" w:hAnsi="Book Antiqua"/>
          <w:i/>
          <w:spacing w:val="40"/>
          <w:w w:val="110"/>
          <w:sz w:val="14"/>
        </w:rPr>
        <w:t xml:space="preserve"> </w:t>
      </w:r>
      <w:r w:rsidRPr="00283806">
        <w:rPr>
          <w:rFonts w:ascii="Book Antiqua" w:hAnsi="Book Antiqua"/>
          <w:i/>
          <w:spacing w:val="-2"/>
          <w:w w:val="110"/>
          <w:sz w:val="14"/>
        </w:rPr>
        <w:t>www.federalregister.gov/documents/2023/07/20/</w:t>
      </w:r>
      <w:r w:rsidRPr="00283806">
        <w:rPr>
          <w:rFonts w:ascii="Book Antiqua" w:hAnsi="Book Antiqua"/>
          <w:i/>
          <w:spacing w:val="80"/>
          <w:w w:val="110"/>
          <w:sz w:val="14"/>
        </w:rPr>
        <w:t xml:space="preserve"> </w:t>
      </w:r>
      <w:r w:rsidRPr="00283806">
        <w:rPr>
          <w:rFonts w:ascii="Book Antiqua" w:hAnsi="Book Antiqua"/>
          <w:i/>
          <w:spacing w:val="-2"/>
          <w:w w:val="110"/>
          <w:sz w:val="14"/>
        </w:rPr>
        <w:t>2023-14312/phasedown-of-hydrofluorocarbons-</w:t>
      </w:r>
      <w:r w:rsidRPr="00283806">
        <w:rPr>
          <w:rFonts w:ascii="Book Antiqua" w:hAnsi="Book Antiqua"/>
          <w:i/>
          <w:spacing w:val="40"/>
          <w:w w:val="110"/>
          <w:sz w:val="14"/>
        </w:rPr>
        <w:t xml:space="preserve"> </w:t>
      </w:r>
      <w:r w:rsidRPr="00283806">
        <w:rPr>
          <w:rFonts w:ascii="Book Antiqua" w:hAnsi="Book Antiqua"/>
          <w:i/>
          <w:spacing w:val="-2"/>
          <w:w w:val="110"/>
          <w:sz w:val="14"/>
        </w:rPr>
        <w:t>allowance-allocation-methodology-for-2024-and-</w:t>
      </w:r>
      <w:r w:rsidRPr="00283806">
        <w:rPr>
          <w:rFonts w:ascii="Book Antiqua" w:hAnsi="Book Antiqua"/>
          <w:i/>
          <w:spacing w:val="80"/>
          <w:w w:val="150"/>
          <w:sz w:val="14"/>
        </w:rPr>
        <w:t xml:space="preserve"> </w:t>
      </w:r>
      <w:r w:rsidRPr="00283806">
        <w:rPr>
          <w:rFonts w:ascii="Book Antiqua" w:hAnsi="Book Antiqua"/>
          <w:i/>
          <w:spacing w:val="-2"/>
          <w:w w:val="110"/>
          <w:sz w:val="14"/>
        </w:rPr>
        <w:t>later-years.</w:t>
      </w:r>
    </w:p>
    <w:p w14:paraId="5B15D254" w14:textId="77777777" w:rsidR="00D67C1E" w:rsidRPr="00283806" w:rsidRDefault="001265CA">
      <w:pPr>
        <w:pStyle w:val="BodyText"/>
        <w:spacing w:line="38" w:lineRule="exact"/>
      </w:pPr>
      <w:r w:rsidRPr="00283806">
        <w:br w:type="column"/>
      </w:r>
      <w:r w:rsidRPr="00283806">
        <w:rPr>
          <w:w w:val="105"/>
        </w:rPr>
        <w:t>relates</w:t>
      </w:r>
      <w:r w:rsidRPr="00283806">
        <w:rPr>
          <w:spacing w:val="-4"/>
          <w:w w:val="105"/>
        </w:rPr>
        <w:t xml:space="preserve"> </w:t>
      </w:r>
      <w:r w:rsidRPr="00283806">
        <w:rPr>
          <w:w w:val="105"/>
        </w:rPr>
        <w:t>to</w:t>
      </w:r>
      <w:r w:rsidRPr="00283806">
        <w:rPr>
          <w:spacing w:val="-4"/>
          <w:w w:val="105"/>
        </w:rPr>
        <w:t xml:space="preserve"> </w:t>
      </w:r>
      <w:r w:rsidRPr="00283806">
        <w:rPr>
          <w:w w:val="105"/>
        </w:rPr>
        <w:t>a</w:t>
      </w:r>
      <w:r w:rsidRPr="00283806">
        <w:rPr>
          <w:spacing w:val="-4"/>
          <w:w w:val="105"/>
        </w:rPr>
        <w:t xml:space="preserve"> </w:t>
      </w:r>
      <w:r w:rsidRPr="00283806">
        <w:rPr>
          <w:w w:val="105"/>
        </w:rPr>
        <w:t>refrigerant-</w:t>
      </w:r>
      <w:r w:rsidRPr="00283806">
        <w:rPr>
          <w:spacing w:val="-2"/>
          <w:w w:val="105"/>
        </w:rPr>
        <w:t>containing</w:t>
      </w:r>
    </w:p>
    <w:p w14:paraId="6F32CB70" w14:textId="77777777" w:rsidR="00D67C1E" w:rsidRPr="00283806" w:rsidRDefault="001265CA">
      <w:pPr>
        <w:pStyle w:val="BodyText"/>
        <w:spacing w:before="3" w:line="228" w:lineRule="auto"/>
        <w:ind w:right="252"/>
      </w:pPr>
      <w:r w:rsidRPr="00283806">
        <w:rPr>
          <w:w w:val="105"/>
        </w:rPr>
        <w:t>appliance, means those tests that involve checking the repairs to an appliance after a successful initial verification test and after the appliance has returned to normal operating characteristics and conditions to verify</w:t>
      </w:r>
    </w:p>
    <w:p w14:paraId="0AB3693F" w14:textId="77777777" w:rsidR="00D67C1E" w:rsidRPr="00283806" w:rsidRDefault="001265CA">
      <w:pPr>
        <w:pStyle w:val="BodyText"/>
        <w:spacing w:before="9"/>
        <w:ind w:left="0"/>
        <w:rPr>
          <w:sz w:val="12"/>
        </w:rPr>
      </w:pPr>
      <w:r w:rsidRPr="00283806">
        <w:rPr>
          <w:noProof/>
        </w:rPr>
        <mc:AlternateContent>
          <mc:Choice Requires="wps">
            <w:drawing>
              <wp:anchor distT="0" distB="0" distL="0" distR="0" simplePos="0" relativeHeight="251629568" behindDoc="1" locked="0" layoutInCell="1" allowOverlap="1" wp14:anchorId="62B79062" wp14:editId="13ACDF70">
                <wp:simplePos x="0" y="0"/>
                <wp:positionH relativeFrom="page">
                  <wp:posOffset>5067300</wp:posOffset>
                </wp:positionH>
                <wp:positionV relativeFrom="paragraph">
                  <wp:posOffset>110317</wp:posOffset>
                </wp:positionV>
                <wp:extent cx="635000" cy="1270"/>
                <wp:effectExtent l="0" t="0" r="0" b="0"/>
                <wp:wrapTopAndBottom/>
                <wp:docPr id="59" name="Graphic 5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F96681" id="Graphic 59" o:spid="_x0000_s1026" alt="&quot;&quot;" style="position:absolute;margin-left:399pt;margin-top:8.7pt;width:50pt;height:.1pt;z-index:-251686912;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" path="m,l635000,e" filled="f" strokeweight=".5pt">
                <v:path arrowok="t"/>
                <w10:wrap type="topAndBottom" anchorx="page"/>
              </v:shape>
            </w:pict>
          </mc:Fallback>
        </mc:AlternateContent>
      </w:r>
    </w:p>
    <w:p w14:paraId="1FD95C8C" w14:textId="77777777" w:rsidR="00D67C1E" w:rsidRPr="00283806" w:rsidRDefault="001265CA">
      <w:pPr>
        <w:spacing w:before="40" w:line="232" w:lineRule="auto"/>
        <w:ind w:left="160" w:right="118" w:firstLine="140"/>
        <w:rPr>
          <w:sz w:val="14"/>
        </w:rPr>
      </w:pPr>
      <w:r w:rsidRPr="00283806">
        <w:rPr>
          <w:w w:val="110"/>
          <w:position w:val="4"/>
          <w:sz w:val="9"/>
        </w:rPr>
        <w:t>46</w:t>
      </w:r>
      <w:r w:rsidRPr="00283806">
        <w:rPr>
          <w:spacing w:val="-4"/>
          <w:w w:val="110"/>
          <w:position w:val="4"/>
          <w:sz w:val="9"/>
        </w:rPr>
        <w:t xml:space="preserve"> </w:t>
      </w:r>
      <w:r w:rsidRPr="00283806">
        <w:rPr>
          <w:w w:val="110"/>
          <w:sz w:val="14"/>
        </w:rPr>
        <w:t>EPA</w:t>
      </w:r>
      <w:r w:rsidRPr="00283806">
        <w:rPr>
          <w:spacing w:val="-3"/>
          <w:w w:val="110"/>
          <w:sz w:val="14"/>
        </w:rPr>
        <w:t xml:space="preserve"> </w:t>
      </w:r>
      <w:r w:rsidRPr="00283806">
        <w:rPr>
          <w:w w:val="110"/>
          <w:sz w:val="14"/>
        </w:rPr>
        <w:t>notes</w:t>
      </w:r>
      <w:r w:rsidRPr="00283806">
        <w:rPr>
          <w:spacing w:val="-3"/>
          <w:w w:val="110"/>
          <w:sz w:val="14"/>
        </w:rPr>
        <w:t xml:space="preserve"> </w:t>
      </w:r>
      <w:r w:rsidRPr="00283806">
        <w:rPr>
          <w:w w:val="110"/>
          <w:sz w:val="14"/>
        </w:rPr>
        <w:t>that</w:t>
      </w:r>
      <w:r w:rsidRPr="00283806">
        <w:rPr>
          <w:spacing w:val="-3"/>
          <w:w w:val="110"/>
          <w:sz w:val="14"/>
        </w:rPr>
        <w:t xml:space="preserve"> </w:t>
      </w:r>
      <w:r w:rsidRPr="00283806">
        <w:rPr>
          <w:w w:val="110"/>
          <w:sz w:val="14"/>
        </w:rPr>
        <w:t>in</w:t>
      </w:r>
      <w:r w:rsidRPr="00283806">
        <w:rPr>
          <w:spacing w:val="-3"/>
          <w:w w:val="110"/>
          <w:sz w:val="14"/>
        </w:rPr>
        <w:t xml:space="preserve"> </w:t>
      </w:r>
      <w:r w:rsidRPr="00283806">
        <w:rPr>
          <w:w w:val="110"/>
          <w:sz w:val="14"/>
        </w:rPr>
        <w:t>a</w:t>
      </w:r>
      <w:r w:rsidRPr="00283806">
        <w:rPr>
          <w:spacing w:val="-3"/>
          <w:w w:val="110"/>
          <w:sz w:val="14"/>
        </w:rPr>
        <w:t xml:space="preserve"> </w:t>
      </w:r>
      <w:r w:rsidRPr="00283806">
        <w:rPr>
          <w:w w:val="110"/>
          <w:sz w:val="14"/>
        </w:rPr>
        <w:t>few</w:t>
      </w:r>
      <w:r w:rsidRPr="00283806">
        <w:rPr>
          <w:spacing w:val="-3"/>
          <w:w w:val="110"/>
          <w:sz w:val="14"/>
        </w:rPr>
        <w:t xml:space="preserve"> </w:t>
      </w:r>
      <w:r w:rsidRPr="00283806">
        <w:rPr>
          <w:w w:val="110"/>
          <w:sz w:val="14"/>
        </w:rPr>
        <w:t>instances</w:t>
      </w:r>
      <w:r w:rsidRPr="00283806">
        <w:rPr>
          <w:spacing w:val="-3"/>
          <w:w w:val="110"/>
          <w:sz w:val="14"/>
        </w:rPr>
        <w:t xml:space="preserve"> </w:t>
      </w:r>
      <w:r w:rsidRPr="00283806">
        <w:rPr>
          <w:w w:val="110"/>
          <w:sz w:val="14"/>
        </w:rPr>
        <w:t>the</w:t>
      </w:r>
      <w:r w:rsidRPr="00283806">
        <w:rPr>
          <w:spacing w:val="-3"/>
          <w:w w:val="110"/>
          <w:sz w:val="14"/>
        </w:rPr>
        <w:t xml:space="preserve"> </w:t>
      </w:r>
      <w:r w:rsidRPr="00283806">
        <w:rPr>
          <w:w w:val="110"/>
          <w:sz w:val="14"/>
        </w:rPr>
        <w:t>proposed</w:t>
      </w:r>
      <w:r w:rsidRPr="00283806">
        <w:rPr>
          <w:spacing w:val="40"/>
          <w:w w:val="110"/>
          <w:sz w:val="14"/>
        </w:rPr>
        <w:t xml:space="preserve"> </w:t>
      </w:r>
      <w:r w:rsidRPr="00283806">
        <w:rPr>
          <w:w w:val="110"/>
          <w:sz w:val="14"/>
        </w:rPr>
        <w:t>definition</w:t>
      </w:r>
      <w:r w:rsidRPr="00283806">
        <w:rPr>
          <w:spacing w:val="-8"/>
          <w:w w:val="110"/>
          <w:sz w:val="14"/>
        </w:rPr>
        <w:t xml:space="preserve"> </w:t>
      </w:r>
      <w:r w:rsidRPr="00283806">
        <w:rPr>
          <w:w w:val="110"/>
          <w:sz w:val="14"/>
        </w:rPr>
        <w:t>for</w:t>
      </w:r>
      <w:r w:rsidRPr="00283806">
        <w:rPr>
          <w:spacing w:val="-8"/>
          <w:w w:val="110"/>
          <w:sz w:val="14"/>
        </w:rPr>
        <w:t xml:space="preserve"> </w:t>
      </w:r>
      <w:r w:rsidRPr="00283806">
        <w:rPr>
          <w:w w:val="110"/>
          <w:sz w:val="14"/>
        </w:rPr>
        <w:t>a</w:t>
      </w:r>
      <w:r w:rsidRPr="00283806">
        <w:rPr>
          <w:spacing w:val="-8"/>
          <w:w w:val="110"/>
          <w:sz w:val="14"/>
        </w:rPr>
        <w:t xml:space="preserve"> </w:t>
      </w:r>
      <w:r w:rsidRPr="00283806">
        <w:rPr>
          <w:w w:val="110"/>
          <w:sz w:val="14"/>
        </w:rPr>
        <w:t>term</w:t>
      </w:r>
      <w:r w:rsidRPr="00283806">
        <w:rPr>
          <w:spacing w:val="-8"/>
          <w:w w:val="110"/>
          <w:sz w:val="14"/>
        </w:rPr>
        <w:t xml:space="preserve"> </w:t>
      </w:r>
      <w:r w:rsidRPr="00283806">
        <w:rPr>
          <w:w w:val="110"/>
          <w:sz w:val="14"/>
        </w:rPr>
        <w:t>included</w:t>
      </w:r>
      <w:r w:rsidRPr="00283806">
        <w:rPr>
          <w:spacing w:val="-8"/>
          <w:w w:val="110"/>
          <w:sz w:val="14"/>
        </w:rPr>
        <w:t xml:space="preserve"> </w:t>
      </w:r>
      <w:r w:rsidRPr="00283806">
        <w:rPr>
          <w:w w:val="110"/>
          <w:sz w:val="14"/>
        </w:rPr>
        <w:t>a</w:t>
      </w:r>
      <w:r w:rsidRPr="00283806">
        <w:rPr>
          <w:spacing w:val="-8"/>
          <w:w w:val="110"/>
          <w:sz w:val="14"/>
        </w:rPr>
        <w:t xml:space="preserve"> </w:t>
      </w:r>
      <w:r w:rsidRPr="00283806">
        <w:rPr>
          <w:w w:val="110"/>
          <w:sz w:val="14"/>
        </w:rPr>
        <w:t>phrase</w:t>
      </w:r>
      <w:r w:rsidRPr="00283806">
        <w:rPr>
          <w:spacing w:val="-8"/>
          <w:w w:val="110"/>
          <w:sz w:val="14"/>
        </w:rPr>
        <w:t xml:space="preserve"> </w:t>
      </w:r>
      <w:r w:rsidRPr="00283806">
        <w:rPr>
          <w:w w:val="110"/>
          <w:sz w:val="14"/>
        </w:rPr>
        <w:t>like</w:t>
      </w:r>
      <w:r w:rsidRPr="00283806">
        <w:rPr>
          <w:spacing w:val="-8"/>
          <w:w w:val="110"/>
          <w:sz w:val="14"/>
        </w:rPr>
        <w:t xml:space="preserve"> </w:t>
      </w:r>
      <w:r w:rsidRPr="00283806">
        <w:rPr>
          <w:w w:val="110"/>
          <w:sz w:val="14"/>
        </w:rPr>
        <w:t>‘‘as</w:t>
      </w:r>
      <w:r w:rsidRPr="00283806">
        <w:rPr>
          <w:spacing w:val="-8"/>
          <w:w w:val="110"/>
          <w:sz w:val="14"/>
        </w:rPr>
        <w:t xml:space="preserve"> </w:t>
      </w:r>
      <w:r w:rsidRPr="00283806">
        <w:rPr>
          <w:w w:val="110"/>
          <w:sz w:val="14"/>
        </w:rPr>
        <w:t>used</w:t>
      </w:r>
      <w:r w:rsidRPr="00283806">
        <w:rPr>
          <w:spacing w:val="40"/>
          <w:w w:val="110"/>
          <w:sz w:val="14"/>
        </w:rPr>
        <w:t xml:space="preserve"> </w:t>
      </w:r>
      <w:r w:rsidRPr="00283806">
        <w:rPr>
          <w:w w:val="110"/>
          <w:sz w:val="14"/>
        </w:rPr>
        <w:t>in this subpart’’ or ‘‘for purposes of this subpart.’’</w:t>
      </w:r>
      <w:r w:rsidRPr="00283806">
        <w:rPr>
          <w:spacing w:val="40"/>
          <w:w w:val="110"/>
          <w:sz w:val="14"/>
        </w:rPr>
        <w:t xml:space="preserve"> </w:t>
      </w:r>
      <w:r w:rsidRPr="00283806">
        <w:rPr>
          <w:w w:val="110"/>
          <w:sz w:val="14"/>
        </w:rPr>
        <w:t>EPA is not including those phrases in the final</w:t>
      </w:r>
      <w:r w:rsidRPr="00283806">
        <w:rPr>
          <w:spacing w:val="40"/>
          <w:w w:val="110"/>
          <w:sz w:val="14"/>
        </w:rPr>
        <w:t xml:space="preserve"> </w:t>
      </w:r>
      <w:r w:rsidRPr="00283806">
        <w:rPr>
          <w:w w:val="110"/>
          <w:sz w:val="14"/>
        </w:rPr>
        <w:t>definitions, as the second sentence of §</w:t>
      </w:r>
      <w:r w:rsidRPr="00283806">
        <w:rPr>
          <w:spacing w:val="-10"/>
          <w:w w:val="110"/>
          <w:sz w:val="14"/>
        </w:rPr>
        <w:t xml:space="preserve"> </w:t>
      </w:r>
      <w:r w:rsidRPr="00283806">
        <w:rPr>
          <w:w w:val="110"/>
          <w:sz w:val="14"/>
        </w:rPr>
        <w:t>84.102 in</w:t>
      </w:r>
      <w:r w:rsidRPr="00283806">
        <w:rPr>
          <w:spacing w:val="40"/>
          <w:w w:val="110"/>
          <w:sz w:val="14"/>
        </w:rPr>
        <w:t xml:space="preserve"> </w:t>
      </w:r>
      <w:r w:rsidRPr="00283806">
        <w:rPr>
          <w:w w:val="110"/>
          <w:sz w:val="14"/>
        </w:rPr>
        <w:t>the final rule already makes clear that the</w:t>
      </w:r>
      <w:r w:rsidRPr="00283806">
        <w:rPr>
          <w:spacing w:val="40"/>
          <w:w w:val="110"/>
          <w:sz w:val="14"/>
        </w:rPr>
        <w:t xml:space="preserve"> </w:t>
      </w:r>
      <w:r w:rsidRPr="00283806">
        <w:rPr>
          <w:w w:val="110"/>
          <w:sz w:val="14"/>
        </w:rPr>
        <w:t>definitions are for ‘‘purposes of this subpart C.’’</w:t>
      </w:r>
    </w:p>
    <w:p w14:paraId="70C02559" w14:textId="77777777" w:rsidR="00D67C1E" w:rsidRPr="00283806" w:rsidRDefault="001265CA">
      <w:pPr>
        <w:spacing w:before="25" w:line="232" w:lineRule="auto"/>
        <w:ind w:left="160" w:right="286" w:firstLine="140"/>
        <w:rPr>
          <w:sz w:val="14"/>
        </w:rPr>
      </w:pPr>
      <w:r w:rsidRPr="00283806">
        <w:rPr>
          <w:w w:val="105"/>
          <w:position w:val="4"/>
          <w:sz w:val="9"/>
        </w:rPr>
        <w:t xml:space="preserve">47 </w:t>
      </w:r>
      <w:r w:rsidRPr="00283806">
        <w:rPr>
          <w:w w:val="105"/>
          <w:sz w:val="14"/>
        </w:rPr>
        <w:t>As described in Section IV.F.1, EPA views the</w:t>
      </w:r>
      <w:r w:rsidRPr="00283806">
        <w:rPr>
          <w:spacing w:val="40"/>
          <w:w w:val="105"/>
          <w:sz w:val="14"/>
        </w:rPr>
        <w:t xml:space="preserve"> </w:t>
      </w:r>
      <w:r w:rsidRPr="00283806">
        <w:rPr>
          <w:w w:val="105"/>
          <w:sz w:val="14"/>
        </w:rPr>
        <w:t>terms, ‘‘fire suppressants’’ and ‘‘fire suppression</w:t>
      </w:r>
      <w:r w:rsidRPr="00283806">
        <w:rPr>
          <w:spacing w:val="40"/>
          <w:w w:val="105"/>
          <w:sz w:val="14"/>
        </w:rPr>
        <w:t xml:space="preserve"> </w:t>
      </w:r>
      <w:r w:rsidRPr="00283806">
        <w:rPr>
          <w:w w:val="105"/>
          <w:sz w:val="14"/>
        </w:rPr>
        <w:t>agents’’ as interchangeable for this rule.</w:t>
      </w:r>
    </w:p>
    <w:p w14:paraId="1665B3E8" w14:textId="77777777" w:rsidR="00D67C1E" w:rsidRPr="00283806" w:rsidRDefault="00D67C1E">
      <w:pPr>
        <w:spacing w:line="232" w:lineRule="auto"/>
        <w:rPr>
          <w:sz w:val="14"/>
        </w:rPr>
        <w:sectPr w:rsidR="00D67C1E" w:rsidRPr="00283806">
          <w:type w:val="continuous"/>
          <w:pgSz w:w="12240" w:h="15840"/>
          <w:pgMar w:top="880" w:right="780" w:bottom="280" w:left="740" w:header="627" w:footer="0" w:gutter="0"/>
          <w:cols w:num="3" w:space="720" w:equalWidth="0">
            <w:col w:w="3486" w:space="54"/>
            <w:col w:w="3495" w:space="45"/>
            <w:col w:w="3640"/>
          </w:cols>
        </w:sectPr>
      </w:pPr>
    </w:p>
    <w:p w14:paraId="56B38666" w14:textId="77777777" w:rsidR="00D67C1E" w:rsidRPr="00283806" w:rsidRDefault="001265CA">
      <w:pPr>
        <w:pStyle w:val="BodyText"/>
        <w:spacing w:before="134" w:line="228" w:lineRule="auto"/>
      </w:pPr>
      <w:r w:rsidRPr="00283806">
        <w:rPr>
          <w:w w:val="105"/>
        </w:rPr>
        <w:lastRenderedPageBreak/>
        <w:t>that the repairs were successful.</w:t>
      </w:r>
      <w:r w:rsidRPr="00283806">
        <w:rPr>
          <w:spacing w:val="40"/>
          <w:w w:val="105"/>
        </w:rPr>
        <w:t xml:space="preserve"> </w:t>
      </w:r>
      <w:r w:rsidRPr="00283806">
        <w:rPr>
          <w:w w:val="105"/>
        </w:rPr>
        <w:t>Potential methods for follow-up verification tests include but are not limited to the use of soap bubbles as appropriate, electronic or ultrasonic</w:t>
      </w:r>
      <w:r w:rsidRPr="00283806">
        <w:rPr>
          <w:spacing w:val="80"/>
          <w:w w:val="105"/>
        </w:rPr>
        <w:t xml:space="preserve"> </w:t>
      </w:r>
      <w:r w:rsidRPr="00283806">
        <w:rPr>
          <w:w w:val="105"/>
        </w:rPr>
        <w:t>leak detectors, pressure or vacuum tests, fluorescent dye and black light, infrared or near infrared tests, and handheld gas detection devices.</w:t>
      </w:r>
    </w:p>
    <w:p w14:paraId="4037DCF5" w14:textId="77777777" w:rsidR="00D67C1E" w:rsidRPr="00283806" w:rsidRDefault="001265CA">
      <w:pPr>
        <w:spacing w:line="186" w:lineRule="exact"/>
        <w:ind w:left="340"/>
        <w:rPr>
          <w:sz w:val="18"/>
        </w:rPr>
      </w:pPr>
      <w:r w:rsidRPr="00283806">
        <w:rPr>
          <w:rFonts w:ascii="Book Antiqua"/>
          <w:i/>
          <w:w w:val="105"/>
          <w:sz w:val="18"/>
        </w:rPr>
        <w:t>Full</w:t>
      </w:r>
      <w:r w:rsidRPr="00283806">
        <w:rPr>
          <w:rFonts w:ascii="Book Antiqua"/>
          <w:i/>
          <w:spacing w:val="8"/>
          <w:w w:val="105"/>
          <w:sz w:val="18"/>
        </w:rPr>
        <w:t xml:space="preserve"> </w:t>
      </w:r>
      <w:r w:rsidRPr="00283806">
        <w:rPr>
          <w:rFonts w:ascii="Book Antiqua"/>
          <w:i/>
          <w:w w:val="105"/>
          <w:sz w:val="18"/>
        </w:rPr>
        <w:t>charge,</w:t>
      </w:r>
      <w:r w:rsidRPr="00283806">
        <w:rPr>
          <w:rFonts w:ascii="Book Antiqua"/>
          <w:i/>
          <w:spacing w:val="9"/>
          <w:w w:val="105"/>
          <w:sz w:val="18"/>
        </w:rPr>
        <w:t xml:space="preserve"> </w:t>
      </w:r>
      <w:r w:rsidRPr="00283806">
        <w:rPr>
          <w:w w:val="105"/>
          <w:sz w:val="18"/>
        </w:rPr>
        <w:t>as</w:t>
      </w:r>
      <w:r w:rsidRPr="00283806">
        <w:rPr>
          <w:spacing w:val="14"/>
          <w:w w:val="105"/>
          <w:sz w:val="18"/>
        </w:rPr>
        <w:t xml:space="preserve"> </w:t>
      </w:r>
      <w:r w:rsidRPr="00283806">
        <w:rPr>
          <w:w w:val="105"/>
          <w:sz w:val="18"/>
        </w:rPr>
        <w:t>it</w:t>
      </w:r>
      <w:r w:rsidRPr="00283806">
        <w:rPr>
          <w:spacing w:val="14"/>
          <w:w w:val="105"/>
          <w:sz w:val="18"/>
        </w:rPr>
        <w:t xml:space="preserve"> </w:t>
      </w:r>
      <w:r w:rsidRPr="00283806">
        <w:rPr>
          <w:w w:val="105"/>
          <w:sz w:val="18"/>
        </w:rPr>
        <w:t>relates</w:t>
      </w:r>
      <w:r w:rsidRPr="00283806">
        <w:rPr>
          <w:spacing w:val="14"/>
          <w:w w:val="105"/>
          <w:sz w:val="18"/>
        </w:rPr>
        <w:t xml:space="preserve"> </w:t>
      </w:r>
      <w:r w:rsidRPr="00283806">
        <w:rPr>
          <w:w w:val="105"/>
          <w:sz w:val="18"/>
        </w:rPr>
        <w:t>to</w:t>
      </w:r>
      <w:r w:rsidRPr="00283806">
        <w:rPr>
          <w:spacing w:val="14"/>
          <w:w w:val="105"/>
          <w:sz w:val="18"/>
        </w:rPr>
        <w:t xml:space="preserve"> </w:t>
      </w:r>
      <w:r w:rsidRPr="00283806">
        <w:rPr>
          <w:spacing w:val="-10"/>
          <w:w w:val="105"/>
          <w:sz w:val="18"/>
        </w:rPr>
        <w:t>a</w:t>
      </w:r>
    </w:p>
    <w:p w14:paraId="3A247E0B" w14:textId="77777777" w:rsidR="00D67C1E" w:rsidRPr="00283806" w:rsidRDefault="001265CA">
      <w:pPr>
        <w:pStyle w:val="BodyText"/>
        <w:spacing w:line="228" w:lineRule="auto"/>
        <w:ind w:right="28"/>
      </w:pPr>
      <w:r w:rsidRPr="00283806">
        <w:rPr>
          <w:w w:val="105"/>
        </w:rPr>
        <w:t xml:space="preserve">refrigerant-containing appliance, means the amount of refrigerant required for normal operating characteristics and conditions of the appliance as determined by using one or a combination of the following four </w:t>
      </w:r>
      <w:r w:rsidRPr="00283806">
        <w:rPr>
          <w:spacing w:val="-2"/>
          <w:w w:val="105"/>
        </w:rPr>
        <w:t>methods:</w:t>
      </w:r>
    </w:p>
    <w:p w14:paraId="25043A13" w14:textId="77777777" w:rsidR="00D67C1E" w:rsidRPr="00283806" w:rsidRDefault="001265CA">
      <w:pPr>
        <w:pStyle w:val="ListParagraph"/>
        <w:numPr>
          <w:ilvl w:val="1"/>
          <w:numId w:val="62"/>
        </w:numPr>
        <w:tabs>
          <w:tab w:val="left" w:pos="608"/>
        </w:tabs>
        <w:spacing w:line="181" w:lineRule="exact"/>
        <w:ind w:left="608" w:hanging="268"/>
        <w:rPr>
          <w:sz w:val="18"/>
        </w:rPr>
      </w:pPr>
      <w:r w:rsidRPr="00283806">
        <w:rPr>
          <w:w w:val="105"/>
          <w:sz w:val="18"/>
        </w:rPr>
        <w:t>Use</w:t>
      </w:r>
      <w:r w:rsidRPr="00283806">
        <w:rPr>
          <w:spacing w:val="11"/>
          <w:w w:val="105"/>
          <w:sz w:val="18"/>
        </w:rPr>
        <w:t xml:space="preserve"> </w:t>
      </w:r>
      <w:r w:rsidRPr="00283806">
        <w:rPr>
          <w:w w:val="105"/>
          <w:sz w:val="18"/>
        </w:rPr>
        <w:t>of</w:t>
      </w:r>
      <w:r w:rsidRPr="00283806">
        <w:rPr>
          <w:spacing w:val="11"/>
          <w:w w:val="105"/>
          <w:sz w:val="18"/>
        </w:rPr>
        <w:t xml:space="preserve"> </w:t>
      </w:r>
      <w:r w:rsidRPr="00283806">
        <w:rPr>
          <w:w w:val="105"/>
          <w:sz w:val="18"/>
        </w:rPr>
        <w:t>the</w:t>
      </w:r>
      <w:r w:rsidRPr="00283806">
        <w:rPr>
          <w:spacing w:val="12"/>
          <w:w w:val="105"/>
          <w:sz w:val="18"/>
        </w:rPr>
        <w:t xml:space="preserve"> </w:t>
      </w:r>
      <w:r w:rsidRPr="00283806">
        <w:rPr>
          <w:spacing w:val="-2"/>
          <w:w w:val="105"/>
          <w:sz w:val="18"/>
        </w:rPr>
        <w:t>equipment</w:t>
      </w:r>
    </w:p>
    <w:p w14:paraId="2E34A8B8" w14:textId="77777777" w:rsidR="00D67C1E" w:rsidRPr="00283806" w:rsidRDefault="001265CA">
      <w:pPr>
        <w:pStyle w:val="BodyText"/>
        <w:spacing w:before="1" w:line="228" w:lineRule="auto"/>
        <w:ind w:right="28"/>
      </w:pPr>
      <w:r w:rsidRPr="00283806">
        <w:rPr>
          <w:w w:val="105"/>
        </w:rPr>
        <w:t xml:space="preserve">manufacturer’s determination of the full </w:t>
      </w:r>
      <w:r w:rsidRPr="00283806">
        <w:rPr>
          <w:spacing w:val="-2"/>
          <w:w w:val="105"/>
        </w:rPr>
        <w:t>charge;</w:t>
      </w:r>
    </w:p>
    <w:p w14:paraId="35396F10" w14:textId="77777777" w:rsidR="00D67C1E" w:rsidRPr="00283806" w:rsidRDefault="001265CA">
      <w:pPr>
        <w:pStyle w:val="ListParagraph"/>
        <w:numPr>
          <w:ilvl w:val="1"/>
          <w:numId w:val="62"/>
        </w:numPr>
        <w:tabs>
          <w:tab w:val="left" w:pos="608"/>
        </w:tabs>
        <w:spacing w:line="184" w:lineRule="exact"/>
        <w:ind w:left="608" w:hanging="268"/>
        <w:rPr>
          <w:sz w:val="18"/>
        </w:rPr>
      </w:pPr>
      <w:r w:rsidRPr="00283806">
        <w:rPr>
          <w:w w:val="105"/>
          <w:sz w:val="18"/>
        </w:rPr>
        <w:t>Use</w:t>
      </w:r>
      <w:r w:rsidRPr="00283806">
        <w:rPr>
          <w:spacing w:val="9"/>
          <w:w w:val="105"/>
          <w:sz w:val="18"/>
        </w:rPr>
        <w:t xml:space="preserve"> </w:t>
      </w:r>
      <w:r w:rsidRPr="00283806">
        <w:rPr>
          <w:w w:val="105"/>
          <w:sz w:val="18"/>
        </w:rPr>
        <w:t>of</w:t>
      </w:r>
      <w:r w:rsidRPr="00283806">
        <w:rPr>
          <w:spacing w:val="9"/>
          <w:w w:val="105"/>
          <w:sz w:val="18"/>
        </w:rPr>
        <w:t xml:space="preserve"> </w:t>
      </w:r>
      <w:r w:rsidRPr="00283806">
        <w:rPr>
          <w:w w:val="105"/>
          <w:sz w:val="18"/>
        </w:rPr>
        <w:t>appropriate</w:t>
      </w:r>
      <w:r w:rsidRPr="00283806">
        <w:rPr>
          <w:spacing w:val="9"/>
          <w:w w:val="105"/>
          <w:sz w:val="18"/>
        </w:rPr>
        <w:t xml:space="preserve"> </w:t>
      </w:r>
      <w:r w:rsidRPr="00283806">
        <w:rPr>
          <w:spacing w:val="-2"/>
          <w:w w:val="105"/>
          <w:sz w:val="18"/>
        </w:rPr>
        <w:t>calculations</w:t>
      </w:r>
    </w:p>
    <w:p w14:paraId="776698F1" w14:textId="77777777" w:rsidR="00D67C1E" w:rsidRPr="00283806" w:rsidRDefault="001265CA">
      <w:pPr>
        <w:pStyle w:val="BodyText"/>
        <w:spacing w:before="3" w:line="228" w:lineRule="auto"/>
        <w:ind w:right="28"/>
      </w:pPr>
      <w:r w:rsidRPr="00283806">
        <w:rPr>
          <w:w w:val="105"/>
        </w:rPr>
        <w:t>based on component sizes, density of refrigerant, volume of piping, and other relevant considerations;</w:t>
      </w:r>
    </w:p>
    <w:p w14:paraId="3606577A" w14:textId="77777777" w:rsidR="00D67C1E" w:rsidRPr="00283806" w:rsidRDefault="001265CA">
      <w:pPr>
        <w:pStyle w:val="ListParagraph"/>
        <w:numPr>
          <w:ilvl w:val="1"/>
          <w:numId w:val="62"/>
        </w:numPr>
        <w:tabs>
          <w:tab w:val="left" w:pos="608"/>
        </w:tabs>
        <w:spacing w:line="183" w:lineRule="exact"/>
        <w:ind w:left="608" w:hanging="268"/>
        <w:rPr>
          <w:sz w:val="18"/>
        </w:rPr>
      </w:pPr>
      <w:r w:rsidRPr="00283806">
        <w:rPr>
          <w:w w:val="105"/>
          <w:sz w:val="18"/>
        </w:rPr>
        <w:t>Use</w:t>
      </w:r>
      <w:r w:rsidRPr="00283806">
        <w:rPr>
          <w:spacing w:val="10"/>
          <w:w w:val="105"/>
          <w:sz w:val="18"/>
        </w:rPr>
        <w:t xml:space="preserve"> </w:t>
      </w:r>
      <w:r w:rsidRPr="00283806">
        <w:rPr>
          <w:w w:val="105"/>
          <w:sz w:val="18"/>
        </w:rPr>
        <w:t>of</w:t>
      </w:r>
      <w:r w:rsidRPr="00283806">
        <w:rPr>
          <w:spacing w:val="10"/>
          <w:w w:val="105"/>
          <w:sz w:val="18"/>
        </w:rPr>
        <w:t xml:space="preserve"> </w:t>
      </w:r>
      <w:r w:rsidRPr="00283806">
        <w:rPr>
          <w:w w:val="105"/>
          <w:sz w:val="18"/>
        </w:rPr>
        <w:t>actual</w:t>
      </w:r>
      <w:r w:rsidRPr="00283806">
        <w:rPr>
          <w:spacing w:val="10"/>
          <w:w w:val="105"/>
          <w:sz w:val="18"/>
        </w:rPr>
        <w:t xml:space="preserve"> </w:t>
      </w:r>
      <w:r w:rsidRPr="00283806">
        <w:rPr>
          <w:w w:val="105"/>
          <w:sz w:val="18"/>
        </w:rPr>
        <w:t>measurements</w:t>
      </w:r>
      <w:r w:rsidRPr="00283806">
        <w:rPr>
          <w:spacing w:val="10"/>
          <w:w w:val="105"/>
          <w:sz w:val="18"/>
        </w:rPr>
        <w:t xml:space="preserve"> </w:t>
      </w:r>
      <w:r w:rsidRPr="00283806">
        <w:rPr>
          <w:w w:val="105"/>
          <w:sz w:val="18"/>
        </w:rPr>
        <w:t>of</w:t>
      </w:r>
      <w:r w:rsidRPr="00283806">
        <w:rPr>
          <w:spacing w:val="10"/>
          <w:w w:val="105"/>
          <w:sz w:val="18"/>
        </w:rPr>
        <w:t xml:space="preserve"> </w:t>
      </w:r>
      <w:r w:rsidRPr="00283806">
        <w:rPr>
          <w:spacing w:val="-5"/>
          <w:w w:val="105"/>
          <w:sz w:val="18"/>
        </w:rPr>
        <w:t>the</w:t>
      </w:r>
    </w:p>
    <w:p w14:paraId="2C56BBF6" w14:textId="77777777" w:rsidR="00D67C1E" w:rsidRPr="00283806" w:rsidRDefault="001265CA">
      <w:pPr>
        <w:pStyle w:val="BodyText"/>
        <w:spacing w:before="3" w:line="228" w:lineRule="auto"/>
        <w:ind w:right="28"/>
      </w:pPr>
      <w:r w:rsidRPr="00283806">
        <w:rPr>
          <w:w w:val="105"/>
        </w:rPr>
        <w:t>amount of refrigerant added to or evacuated from the appliance, including for seasonal variances; and/or</w:t>
      </w:r>
    </w:p>
    <w:p w14:paraId="1675A1A3" w14:textId="77777777" w:rsidR="00D67C1E" w:rsidRPr="00283806" w:rsidRDefault="001265CA">
      <w:pPr>
        <w:pStyle w:val="ListParagraph"/>
        <w:numPr>
          <w:ilvl w:val="1"/>
          <w:numId w:val="62"/>
        </w:numPr>
        <w:tabs>
          <w:tab w:val="left" w:pos="608"/>
        </w:tabs>
        <w:spacing w:line="183" w:lineRule="exact"/>
        <w:ind w:left="608" w:hanging="268"/>
        <w:rPr>
          <w:sz w:val="18"/>
        </w:rPr>
      </w:pPr>
      <w:r w:rsidRPr="00283806">
        <w:rPr>
          <w:w w:val="105"/>
          <w:sz w:val="18"/>
        </w:rPr>
        <w:t>Use</w:t>
      </w:r>
      <w:r w:rsidRPr="00283806">
        <w:rPr>
          <w:spacing w:val="9"/>
          <w:w w:val="105"/>
          <w:sz w:val="18"/>
        </w:rPr>
        <w:t xml:space="preserve"> </w:t>
      </w:r>
      <w:r w:rsidRPr="00283806">
        <w:rPr>
          <w:w w:val="105"/>
          <w:sz w:val="18"/>
        </w:rPr>
        <w:t>of</w:t>
      </w:r>
      <w:r w:rsidRPr="00283806">
        <w:rPr>
          <w:spacing w:val="10"/>
          <w:w w:val="105"/>
          <w:sz w:val="18"/>
        </w:rPr>
        <w:t xml:space="preserve"> </w:t>
      </w:r>
      <w:r w:rsidRPr="00283806">
        <w:rPr>
          <w:w w:val="105"/>
          <w:sz w:val="18"/>
        </w:rPr>
        <w:t>an</w:t>
      </w:r>
      <w:r w:rsidRPr="00283806">
        <w:rPr>
          <w:spacing w:val="9"/>
          <w:w w:val="105"/>
          <w:sz w:val="18"/>
        </w:rPr>
        <w:t xml:space="preserve"> </w:t>
      </w:r>
      <w:r w:rsidRPr="00283806">
        <w:rPr>
          <w:w w:val="105"/>
          <w:sz w:val="18"/>
        </w:rPr>
        <w:t>established</w:t>
      </w:r>
      <w:r w:rsidRPr="00283806">
        <w:rPr>
          <w:spacing w:val="10"/>
          <w:w w:val="105"/>
          <w:sz w:val="18"/>
        </w:rPr>
        <w:t xml:space="preserve"> </w:t>
      </w:r>
      <w:r w:rsidRPr="00283806">
        <w:rPr>
          <w:w w:val="105"/>
          <w:sz w:val="18"/>
        </w:rPr>
        <w:t>range</w:t>
      </w:r>
      <w:r w:rsidRPr="00283806">
        <w:rPr>
          <w:spacing w:val="10"/>
          <w:w w:val="105"/>
          <w:sz w:val="18"/>
        </w:rPr>
        <w:t xml:space="preserve"> </w:t>
      </w:r>
      <w:r w:rsidRPr="00283806">
        <w:rPr>
          <w:spacing w:val="-2"/>
          <w:w w:val="105"/>
          <w:sz w:val="18"/>
        </w:rPr>
        <w:t>based</w:t>
      </w:r>
    </w:p>
    <w:p w14:paraId="39C6B8D1" w14:textId="77777777" w:rsidR="00D67C1E" w:rsidRPr="00283806" w:rsidRDefault="001265CA">
      <w:pPr>
        <w:pStyle w:val="BodyText"/>
        <w:spacing w:before="3" w:line="228" w:lineRule="auto"/>
        <w:ind w:right="28"/>
      </w:pPr>
      <w:r w:rsidRPr="00283806">
        <w:rPr>
          <w:w w:val="105"/>
        </w:rPr>
        <w:t>on the best available data regarding the normal operating characteristics and conditions for the appliance, where the</w:t>
      </w:r>
    </w:p>
    <w:p w14:paraId="17ACF229" w14:textId="77777777" w:rsidR="00D67C1E" w:rsidRPr="00283806" w:rsidRDefault="001265CA">
      <w:pPr>
        <w:pStyle w:val="BodyText"/>
        <w:spacing w:before="135" w:line="225" w:lineRule="auto"/>
        <w:ind w:right="28"/>
      </w:pPr>
      <w:r w:rsidRPr="00283806">
        <w:br w:type="column"/>
      </w:r>
      <w:r w:rsidRPr="00283806">
        <w:rPr>
          <w:w w:val="110"/>
        </w:rPr>
        <w:t>midpoint</w:t>
      </w:r>
      <w:r w:rsidRPr="00283806">
        <w:rPr>
          <w:spacing w:val="-11"/>
          <w:w w:val="110"/>
        </w:rPr>
        <w:t xml:space="preserve"> </w:t>
      </w:r>
      <w:r w:rsidRPr="00283806">
        <w:rPr>
          <w:w w:val="110"/>
        </w:rPr>
        <w:t>of</w:t>
      </w:r>
      <w:r w:rsidRPr="00283806">
        <w:rPr>
          <w:spacing w:val="-11"/>
          <w:w w:val="110"/>
        </w:rPr>
        <w:t xml:space="preserve"> </w:t>
      </w:r>
      <w:r w:rsidRPr="00283806">
        <w:rPr>
          <w:w w:val="110"/>
        </w:rPr>
        <w:t>the</w:t>
      </w:r>
      <w:r w:rsidRPr="00283806">
        <w:rPr>
          <w:spacing w:val="-11"/>
          <w:w w:val="110"/>
        </w:rPr>
        <w:t xml:space="preserve"> </w:t>
      </w:r>
      <w:r w:rsidRPr="00283806">
        <w:rPr>
          <w:w w:val="110"/>
        </w:rPr>
        <w:t>range</w:t>
      </w:r>
      <w:r w:rsidRPr="00283806">
        <w:rPr>
          <w:spacing w:val="-11"/>
          <w:w w:val="110"/>
        </w:rPr>
        <w:t xml:space="preserve"> </w:t>
      </w:r>
      <w:r w:rsidRPr="00283806">
        <w:rPr>
          <w:w w:val="110"/>
        </w:rPr>
        <w:t>will</w:t>
      </w:r>
      <w:r w:rsidRPr="00283806">
        <w:rPr>
          <w:spacing w:val="-11"/>
          <w:w w:val="110"/>
        </w:rPr>
        <w:t xml:space="preserve"> </w:t>
      </w:r>
      <w:r w:rsidRPr="00283806">
        <w:rPr>
          <w:w w:val="110"/>
        </w:rPr>
        <w:t>serve</w:t>
      </w:r>
      <w:r w:rsidRPr="00283806">
        <w:rPr>
          <w:spacing w:val="-11"/>
          <w:w w:val="110"/>
        </w:rPr>
        <w:t xml:space="preserve"> </w:t>
      </w:r>
      <w:r w:rsidRPr="00283806">
        <w:rPr>
          <w:w w:val="110"/>
        </w:rPr>
        <w:t>as</w:t>
      </w:r>
      <w:r w:rsidRPr="00283806">
        <w:rPr>
          <w:spacing w:val="-11"/>
          <w:w w:val="110"/>
        </w:rPr>
        <w:t xml:space="preserve"> </w:t>
      </w:r>
      <w:r w:rsidRPr="00283806">
        <w:rPr>
          <w:w w:val="110"/>
        </w:rPr>
        <w:t>the full charge.</w:t>
      </w:r>
    </w:p>
    <w:p w14:paraId="60D2C644" w14:textId="77777777" w:rsidR="00D67C1E" w:rsidRPr="00283806" w:rsidRDefault="001265CA">
      <w:pPr>
        <w:spacing w:line="213" w:lineRule="auto"/>
        <w:ind w:left="160" w:right="135" w:firstLine="180"/>
        <w:rPr>
          <w:sz w:val="18"/>
        </w:rPr>
      </w:pPr>
      <w:r w:rsidRPr="00283806">
        <w:rPr>
          <w:rFonts w:ascii="Book Antiqua"/>
          <w:i/>
          <w:w w:val="105"/>
          <w:sz w:val="18"/>
        </w:rPr>
        <w:t xml:space="preserve">Initial verification test, </w:t>
      </w:r>
      <w:r w:rsidRPr="00283806">
        <w:rPr>
          <w:w w:val="105"/>
          <w:sz w:val="18"/>
        </w:rPr>
        <w:t>as it relates to</w:t>
      </w:r>
      <w:r w:rsidRPr="00283806">
        <w:rPr>
          <w:spacing w:val="80"/>
          <w:w w:val="105"/>
          <w:sz w:val="18"/>
        </w:rPr>
        <w:t xml:space="preserve"> </w:t>
      </w:r>
      <w:r w:rsidRPr="00283806">
        <w:rPr>
          <w:w w:val="105"/>
          <w:sz w:val="18"/>
        </w:rPr>
        <w:t>a refrigerant-containing appliance,</w:t>
      </w:r>
    </w:p>
    <w:p w14:paraId="110D0176" w14:textId="77777777" w:rsidR="00D67C1E" w:rsidRPr="00283806" w:rsidRDefault="001265CA">
      <w:pPr>
        <w:pStyle w:val="BodyText"/>
        <w:spacing w:line="225" w:lineRule="auto"/>
      </w:pPr>
      <w:r w:rsidRPr="00283806">
        <w:rPr>
          <w:w w:val="105"/>
        </w:rPr>
        <w:t>means those leak tests that are</w:t>
      </w:r>
      <w:r w:rsidRPr="00283806">
        <w:rPr>
          <w:spacing w:val="40"/>
          <w:w w:val="105"/>
        </w:rPr>
        <w:t xml:space="preserve"> </w:t>
      </w:r>
      <w:r w:rsidRPr="00283806">
        <w:rPr>
          <w:w w:val="105"/>
        </w:rPr>
        <w:t xml:space="preserve">conducted after the repair is finished to verify that a leak or </w:t>
      </w:r>
      <w:proofErr w:type="gramStart"/>
      <w:r w:rsidRPr="00283806">
        <w:rPr>
          <w:w w:val="105"/>
        </w:rPr>
        <w:t>leaks have</w:t>
      </w:r>
      <w:proofErr w:type="gramEnd"/>
      <w:r w:rsidRPr="00283806">
        <w:rPr>
          <w:w w:val="105"/>
        </w:rPr>
        <w:t xml:space="preserve"> been repaired</w:t>
      </w:r>
      <w:r w:rsidRPr="00283806">
        <w:rPr>
          <w:spacing w:val="-5"/>
          <w:w w:val="105"/>
        </w:rPr>
        <w:t xml:space="preserve"> </w:t>
      </w:r>
      <w:r w:rsidRPr="00283806">
        <w:rPr>
          <w:w w:val="105"/>
        </w:rPr>
        <w:t>before</w:t>
      </w:r>
      <w:r w:rsidRPr="00283806">
        <w:rPr>
          <w:spacing w:val="-5"/>
          <w:w w:val="105"/>
        </w:rPr>
        <w:t xml:space="preserve"> </w:t>
      </w:r>
      <w:r w:rsidRPr="00283806">
        <w:rPr>
          <w:w w:val="105"/>
        </w:rPr>
        <w:t>refrigerant</w:t>
      </w:r>
      <w:r w:rsidRPr="00283806">
        <w:rPr>
          <w:spacing w:val="-5"/>
          <w:w w:val="105"/>
        </w:rPr>
        <w:t xml:space="preserve"> </w:t>
      </w:r>
      <w:r w:rsidRPr="00283806">
        <w:rPr>
          <w:w w:val="105"/>
        </w:rPr>
        <w:t>is</w:t>
      </w:r>
      <w:r w:rsidRPr="00283806">
        <w:rPr>
          <w:spacing w:val="-5"/>
          <w:w w:val="105"/>
        </w:rPr>
        <w:t xml:space="preserve"> </w:t>
      </w:r>
      <w:r w:rsidRPr="00283806">
        <w:rPr>
          <w:w w:val="105"/>
        </w:rPr>
        <w:t>added</w:t>
      </w:r>
      <w:r w:rsidRPr="00283806">
        <w:rPr>
          <w:spacing w:val="-5"/>
          <w:w w:val="105"/>
        </w:rPr>
        <w:t xml:space="preserve"> </w:t>
      </w:r>
      <w:r w:rsidRPr="00283806">
        <w:rPr>
          <w:w w:val="105"/>
        </w:rPr>
        <w:t>back to the appliance.</w:t>
      </w:r>
    </w:p>
    <w:p w14:paraId="3AFDCEC7" w14:textId="77777777" w:rsidR="00D67C1E" w:rsidRPr="00283806" w:rsidRDefault="001265CA">
      <w:pPr>
        <w:pStyle w:val="BodyText"/>
        <w:spacing w:line="220" w:lineRule="auto"/>
        <w:ind w:right="46" w:firstLine="180"/>
      </w:pPr>
      <w:r w:rsidRPr="00283806">
        <w:rPr>
          <w:rFonts w:ascii="Book Antiqua"/>
          <w:i/>
          <w:w w:val="105"/>
        </w:rPr>
        <w:t xml:space="preserve">Leak inspection, </w:t>
      </w:r>
      <w:r w:rsidRPr="00283806">
        <w:rPr>
          <w:w w:val="105"/>
        </w:rPr>
        <w:t>as it relates to a refrigerant-containing appliance, means the examination of an appliance to</w:t>
      </w:r>
    </w:p>
    <w:p w14:paraId="35F28A00" w14:textId="77777777" w:rsidR="00D67C1E" w:rsidRPr="00283806" w:rsidRDefault="001265CA">
      <w:pPr>
        <w:pStyle w:val="BodyText"/>
        <w:spacing w:line="228" w:lineRule="auto"/>
        <w:ind w:right="47"/>
      </w:pPr>
      <w:r w:rsidRPr="00283806">
        <w:rPr>
          <w:w w:val="105"/>
        </w:rPr>
        <w:t>detect and determine the location of refrigerant leaks. Potential methods include but are not limited to ultrasonic tests, gas-imaging cameras, bubble tests as appropriate, or the use of a leak detection device operated and maintained according to manufacturer guidelines. Methods that determine whether the appliance is leaking refrigerant but not the location of a leak, such as standing pressure/vacuum</w:t>
      </w:r>
      <w:r w:rsidRPr="00283806">
        <w:rPr>
          <w:spacing w:val="40"/>
          <w:w w:val="105"/>
        </w:rPr>
        <w:t xml:space="preserve"> </w:t>
      </w:r>
      <w:r w:rsidRPr="00283806">
        <w:rPr>
          <w:w w:val="105"/>
        </w:rPr>
        <w:t>decay tests, sight glass checks, viewing receiver levels, pressure checks, and charging charts, must be used in conjunction with methods that can determine the location of a leak.</w:t>
      </w:r>
    </w:p>
    <w:p w14:paraId="34A4F672" w14:textId="77777777" w:rsidR="00D67C1E" w:rsidRPr="00283806" w:rsidRDefault="001265CA">
      <w:pPr>
        <w:spacing w:line="178" w:lineRule="exact"/>
        <w:ind w:left="340"/>
        <w:rPr>
          <w:sz w:val="18"/>
        </w:rPr>
      </w:pPr>
      <w:r w:rsidRPr="00283806">
        <w:rPr>
          <w:rFonts w:ascii="Book Antiqua"/>
          <w:i/>
          <w:w w:val="105"/>
          <w:sz w:val="18"/>
        </w:rPr>
        <w:t>Leak</w:t>
      </w:r>
      <w:r w:rsidRPr="00283806">
        <w:rPr>
          <w:rFonts w:ascii="Book Antiqua"/>
          <w:i/>
          <w:spacing w:val="8"/>
          <w:w w:val="105"/>
          <w:sz w:val="18"/>
        </w:rPr>
        <w:t xml:space="preserve"> </w:t>
      </w:r>
      <w:r w:rsidRPr="00283806">
        <w:rPr>
          <w:rFonts w:ascii="Book Antiqua"/>
          <w:i/>
          <w:w w:val="105"/>
          <w:sz w:val="18"/>
        </w:rPr>
        <w:t>rate,</w:t>
      </w:r>
      <w:r w:rsidRPr="00283806">
        <w:rPr>
          <w:rFonts w:ascii="Book Antiqua"/>
          <w:i/>
          <w:spacing w:val="8"/>
          <w:w w:val="105"/>
          <w:sz w:val="18"/>
        </w:rPr>
        <w:t xml:space="preserve"> </w:t>
      </w:r>
      <w:r w:rsidRPr="00283806">
        <w:rPr>
          <w:w w:val="105"/>
          <w:sz w:val="18"/>
        </w:rPr>
        <w:t>as</w:t>
      </w:r>
      <w:r w:rsidRPr="00283806">
        <w:rPr>
          <w:spacing w:val="13"/>
          <w:w w:val="105"/>
          <w:sz w:val="18"/>
        </w:rPr>
        <w:t xml:space="preserve"> </w:t>
      </w:r>
      <w:r w:rsidRPr="00283806">
        <w:rPr>
          <w:w w:val="105"/>
          <w:sz w:val="18"/>
        </w:rPr>
        <w:t>it</w:t>
      </w:r>
      <w:r w:rsidRPr="00283806">
        <w:rPr>
          <w:spacing w:val="13"/>
          <w:w w:val="105"/>
          <w:sz w:val="18"/>
        </w:rPr>
        <w:t xml:space="preserve"> </w:t>
      </w:r>
      <w:r w:rsidRPr="00283806">
        <w:rPr>
          <w:w w:val="105"/>
          <w:sz w:val="18"/>
        </w:rPr>
        <w:t>relates</w:t>
      </w:r>
      <w:r w:rsidRPr="00283806">
        <w:rPr>
          <w:spacing w:val="14"/>
          <w:w w:val="105"/>
          <w:sz w:val="18"/>
        </w:rPr>
        <w:t xml:space="preserve"> </w:t>
      </w:r>
      <w:r w:rsidRPr="00283806">
        <w:rPr>
          <w:w w:val="105"/>
          <w:sz w:val="18"/>
        </w:rPr>
        <w:t>to</w:t>
      </w:r>
      <w:r w:rsidRPr="00283806">
        <w:rPr>
          <w:spacing w:val="13"/>
          <w:w w:val="105"/>
          <w:sz w:val="18"/>
        </w:rPr>
        <w:t xml:space="preserve"> </w:t>
      </w:r>
      <w:r w:rsidRPr="00283806">
        <w:rPr>
          <w:w w:val="105"/>
          <w:sz w:val="18"/>
        </w:rPr>
        <w:t>a</w:t>
      </w:r>
      <w:r w:rsidRPr="00283806">
        <w:rPr>
          <w:spacing w:val="13"/>
          <w:w w:val="105"/>
          <w:sz w:val="18"/>
        </w:rPr>
        <w:t xml:space="preserve"> </w:t>
      </w:r>
      <w:r w:rsidRPr="00283806">
        <w:rPr>
          <w:spacing w:val="-2"/>
          <w:w w:val="105"/>
          <w:sz w:val="18"/>
        </w:rPr>
        <w:t>refrigerant-</w:t>
      </w:r>
    </w:p>
    <w:p w14:paraId="378F4217" w14:textId="77777777" w:rsidR="00D67C1E" w:rsidRPr="00283806" w:rsidRDefault="001265CA">
      <w:pPr>
        <w:pStyle w:val="BodyText"/>
        <w:spacing w:line="228" w:lineRule="auto"/>
        <w:ind w:right="28"/>
      </w:pPr>
      <w:r w:rsidRPr="00283806">
        <w:rPr>
          <w:w w:val="105"/>
        </w:rPr>
        <w:t>containing appliance, means the rate at which an appliance is losing refrigerant, measured between refrigerant charges.</w:t>
      </w:r>
    </w:p>
    <w:p w14:paraId="0DE73B8F" w14:textId="77777777" w:rsidR="00D67C1E" w:rsidRPr="00283806" w:rsidRDefault="001265CA">
      <w:pPr>
        <w:pStyle w:val="BodyText"/>
        <w:spacing w:before="133" w:line="228" w:lineRule="auto"/>
        <w:ind w:right="223"/>
      </w:pPr>
      <w:r w:rsidRPr="00283806">
        <w:br w:type="column"/>
      </w:r>
      <w:r w:rsidRPr="00283806">
        <w:rPr>
          <w:w w:val="105"/>
        </w:rPr>
        <w:t>The leak rate is expressed in terms of</w:t>
      </w:r>
      <w:r w:rsidRPr="00283806">
        <w:rPr>
          <w:spacing w:val="40"/>
          <w:w w:val="105"/>
        </w:rPr>
        <w:t xml:space="preserve"> </w:t>
      </w:r>
      <w:r w:rsidRPr="00283806">
        <w:rPr>
          <w:w w:val="105"/>
        </w:rPr>
        <w:t>the percentage of the appliance’s full charge that would be lost over a 12- month period if the current rate of loss were to continue over that period. The rate must be calculated using one of the following methods. The same method must be used for all appliances subject</w:t>
      </w:r>
      <w:r w:rsidRPr="00283806">
        <w:rPr>
          <w:spacing w:val="40"/>
          <w:w w:val="105"/>
        </w:rPr>
        <w:t xml:space="preserve"> </w:t>
      </w:r>
      <w:r w:rsidRPr="00283806">
        <w:rPr>
          <w:w w:val="105"/>
        </w:rPr>
        <w:t>to the leak repair requirements located at an operating facility.</w:t>
      </w:r>
    </w:p>
    <w:p w14:paraId="7AE49032" w14:textId="77777777" w:rsidR="00D67C1E" w:rsidRPr="00283806" w:rsidRDefault="001265CA">
      <w:pPr>
        <w:pStyle w:val="ListParagraph"/>
        <w:numPr>
          <w:ilvl w:val="0"/>
          <w:numId w:val="61"/>
        </w:numPr>
        <w:tabs>
          <w:tab w:val="left" w:pos="608"/>
        </w:tabs>
        <w:spacing w:before="14"/>
        <w:ind w:left="608" w:hanging="268"/>
        <w:rPr>
          <w:sz w:val="18"/>
        </w:rPr>
      </w:pPr>
      <w:r w:rsidRPr="00283806">
        <w:rPr>
          <w:w w:val="110"/>
          <w:sz w:val="18"/>
        </w:rPr>
        <w:t>Annualizing</w:t>
      </w:r>
      <w:r w:rsidRPr="00283806">
        <w:rPr>
          <w:spacing w:val="14"/>
          <w:w w:val="110"/>
          <w:sz w:val="18"/>
        </w:rPr>
        <w:t xml:space="preserve"> </w:t>
      </w:r>
      <w:r w:rsidRPr="00283806">
        <w:rPr>
          <w:spacing w:val="-2"/>
          <w:w w:val="110"/>
          <w:sz w:val="18"/>
        </w:rPr>
        <w:t>Method.</w:t>
      </w:r>
    </w:p>
    <w:p w14:paraId="2D7CD7A9" w14:textId="77777777" w:rsidR="00D67C1E" w:rsidRPr="00283806" w:rsidRDefault="001265CA">
      <w:pPr>
        <w:pStyle w:val="ListParagraph"/>
        <w:numPr>
          <w:ilvl w:val="1"/>
          <w:numId w:val="61"/>
        </w:numPr>
        <w:tabs>
          <w:tab w:val="left" w:pos="568"/>
        </w:tabs>
        <w:spacing w:before="26" w:line="228" w:lineRule="auto"/>
        <w:ind w:right="132" w:firstLine="180"/>
        <w:rPr>
          <w:sz w:val="18"/>
        </w:rPr>
      </w:pPr>
      <w:r w:rsidRPr="00283806">
        <w:rPr>
          <w:w w:val="105"/>
          <w:sz w:val="18"/>
        </w:rPr>
        <w:t>Step 1. Take the number of pounds of refrigerant added to the appliance to return it to a full charge, whether in one addition or in multiple additions related to same leak, and divide it by the</w:t>
      </w:r>
      <w:r w:rsidRPr="00283806">
        <w:rPr>
          <w:spacing w:val="80"/>
          <w:w w:val="105"/>
          <w:sz w:val="18"/>
        </w:rPr>
        <w:t xml:space="preserve"> </w:t>
      </w:r>
      <w:r w:rsidRPr="00283806">
        <w:rPr>
          <w:w w:val="105"/>
          <w:sz w:val="18"/>
        </w:rPr>
        <w:t xml:space="preserve">number of pounds of refrigerant the appliance normally contains at full </w:t>
      </w:r>
      <w:r w:rsidRPr="00283806">
        <w:rPr>
          <w:spacing w:val="-2"/>
          <w:w w:val="105"/>
          <w:sz w:val="18"/>
        </w:rPr>
        <w:t>charge;</w:t>
      </w:r>
    </w:p>
    <w:p w14:paraId="296A2DDC" w14:textId="77777777" w:rsidR="00D67C1E" w:rsidRPr="00283806" w:rsidRDefault="001265CA">
      <w:pPr>
        <w:pStyle w:val="ListParagraph"/>
        <w:numPr>
          <w:ilvl w:val="1"/>
          <w:numId w:val="61"/>
        </w:numPr>
        <w:tabs>
          <w:tab w:val="left" w:pos="628"/>
        </w:tabs>
        <w:spacing w:before="24" w:line="228" w:lineRule="auto"/>
        <w:ind w:right="123" w:firstLine="180"/>
        <w:rPr>
          <w:sz w:val="18"/>
        </w:rPr>
      </w:pPr>
      <w:r w:rsidRPr="00283806">
        <w:rPr>
          <w:w w:val="105"/>
          <w:sz w:val="18"/>
        </w:rPr>
        <w:t>Step 2. Take the shorter of the number of days that have passed since the</w:t>
      </w:r>
      <w:r w:rsidRPr="00283806">
        <w:rPr>
          <w:spacing w:val="-2"/>
          <w:w w:val="105"/>
          <w:sz w:val="18"/>
        </w:rPr>
        <w:t xml:space="preserve"> </w:t>
      </w:r>
      <w:r w:rsidRPr="00283806">
        <w:rPr>
          <w:w w:val="105"/>
          <w:sz w:val="18"/>
        </w:rPr>
        <w:t>last</w:t>
      </w:r>
      <w:r w:rsidRPr="00283806">
        <w:rPr>
          <w:spacing w:val="-2"/>
          <w:w w:val="105"/>
          <w:sz w:val="18"/>
        </w:rPr>
        <w:t xml:space="preserve"> </w:t>
      </w:r>
      <w:r w:rsidRPr="00283806">
        <w:rPr>
          <w:w w:val="105"/>
          <w:sz w:val="18"/>
        </w:rPr>
        <w:t>day</w:t>
      </w:r>
      <w:r w:rsidRPr="00283806">
        <w:rPr>
          <w:spacing w:val="-2"/>
          <w:w w:val="105"/>
          <w:sz w:val="18"/>
        </w:rPr>
        <w:t xml:space="preserve"> </w:t>
      </w:r>
      <w:r w:rsidRPr="00283806">
        <w:rPr>
          <w:w w:val="105"/>
          <w:sz w:val="18"/>
        </w:rPr>
        <w:t>refrigerant</w:t>
      </w:r>
      <w:r w:rsidRPr="00283806">
        <w:rPr>
          <w:spacing w:val="-2"/>
          <w:w w:val="105"/>
          <w:sz w:val="18"/>
        </w:rPr>
        <w:t xml:space="preserve"> </w:t>
      </w:r>
      <w:r w:rsidRPr="00283806">
        <w:rPr>
          <w:w w:val="105"/>
          <w:sz w:val="18"/>
        </w:rPr>
        <w:t>was</w:t>
      </w:r>
      <w:r w:rsidRPr="00283806">
        <w:rPr>
          <w:spacing w:val="-2"/>
          <w:w w:val="105"/>
          <w:sz w:val="18"/>
        </w:rPr>
        <w:t xml:space="preserve"> </w:t>
      </w:r>
      <w:r w:rsidRPr="00283806">
        <w:rPr>
          <w:w w:val="105"/>
          <w:sz w:val="18"/>
        </w:rPr>
        <w:t>added</w:t>
      </w:r>
      <w:r w:rsidRPr="00283806">
        <w:rPr>
          <w:spacing w:val="-2"/>
          <w:w w:val="105"/>
          <w:sz w:val="18"/>
        </w:rPr>
        <w:t xml:space="preserve"> </w:t>
      </w:r>
      <w:r w:rsidRPr="00283806">
        <w:rPr>
          <w:w w:val="105"/>
          <w:sz w:val="18"/>
        </w:rPr>
        <w:t>or</w:t>
      </w:r>
      <w:r w:rsidRPr="00283806">
        <w:rPr>
          <w:spacing w:val="-2"/>
          <w:w w:val="105"/>
          <w:sz w:val="18"/>
        </w:rPr>
        <w:t xml:space="preserve"> </w:t>
      </w:r>
      <w:r w:rsidRPr="00283806">
        <w:rPr>
          <w:w w:val="105"/>
          <w:sz w:val="18"/>
        </w:rPr>
        <w:t>365 days and divide that number by 365</w:t>
      </w:r>
      <w:r w:rsidRPr="00283806">
        <w:rPr>
          <w:spacing w:val="40"/>
          <w:w w:val="105"/>
          <w:sz w:val="18"/>
        </w:rPr>
        <w:t xml:space="preserve"> </w:t>
      </w:r>
      <w:r w:rsidRPr="00283806">
        <w:rPr>
          <w:spacing w:val="-2"/>
          <w:w w:val="105"/>
          <w:sz w:val="18"/>
        </w:rPr>
        <w:t>days;</w:t>
      </w:r>
    </w:p>
    <w:p w14:paraId="696E24FD" w14:textId="77777777" w:rsidR="00D67C1E" w:rsidRPr="00283806" w:rsidRDefault="001265CA">
      <w:pPr>
        <w:pStyle w:val="ListParagraph"/>
        <w:numPr>
          <w:ilvl w:val="1"/>
          <w:numId w:val="61"/>
        </w:numPr>
        <w:tabs>
          <w:tab w:val="left" w:pos="688"/>
        </w:tabs>
        <w:spacing w:before="26" w:line="228" w:lineRule="auto"/>
        <w:ind w:right="174" w:firstLine="180"/>
        <w:rPr>
          <w:sz w:val="18"/>
        </w:rPr>
      </w:pPr>
      <w:r w:rsidRPr="00283806">
        <w:rPr>
          <w:w w:val="105"/>
          <w:sz w:val="18"/>
        </w:rPr>
        <w:t>Step 3. Take the number calculated in Step 1 and divide it by the number calculated in Step 2; and</w:t>
      </w:r>
    </w:p>
    <w:p w14:paraId="418DF678" w14:textId="77777777" w:rsidR="00D67C1E" w:rsidRPr="00283806" w:rsidRDefault="001265CA">
      <w:pPr>
        <w:pStyle w:val="ListParagraph"/>
        <w:numPr>
          <w:ilvl w:val="1"/>
          <w:numId w:val="61"/>
        </w:numPr>
        <w:tabs>
          <w:tab w:val="left" w:pos="668"/>
        </w:tabs>
        <w:spacing w:before="26" w:line="228" w:lineRule="auto"/>
        <w:ind w:right="243" w:firstLine="180"/>
        <w:rPr>
          <w:sz w:val="18"/>
        </w:rPr>
      </w:pPr>
      <w:r w:rsidRPr="00283806">
        <w:rPr>
          <w:w w:val="105"/>
          <w:sz w:val="18"/>
        </w:rPr>
        <w:t>Step 4. Multiply the number calculated in Step 3 by 100 to calculate</w:t>
      </w:r>
      <w:r w:rsidRPr="00283806">
        <w:rPr>
          <w:spacing w:val="40"/>
          <w:w w:val="105"/>
          <w:sz w:val="18"/>
        </w:rPr>
        <w:t xml:space="preserve"> </w:t>
      </w:r>
      <w:r w:rsidRPr="00283806">
        <w:rPr>
          <w:w w:val="105"/>
          <w:sz w:val="18"/>
        </w:rPr>
        <w:t>a percentage. This method is summarized in the following formula:</w:t>
      </w:r>
    </w:p>
    <w:p w14:paraId="7E353D65" w14:textId="77777777" w:rsidR="00D67C1E" w:rsidRPr="00283806" w:rsidRDefault="00D67C1E">
      <w:pPr>
        <w:spacing w:line="228" w:lineRule="auto"/>
        <w:rPr>
          <w:sz w:val="18"/>
        </w:rPr>
        <w:sectPr w:rsidR="00D67C1E" w:rsidRPr="00283806">
          <w:pgSz w:w="12240" w:h="15840"/>
          <w:pgMar w:top="1040" w:right="780" w:bottom="280" w:left="740" w:header="627" w:footer="0" w:gutter="0"/>
          <w:cols w:num="3" w:space="720" w:equalWidth="0">
            <w:col w:w="3497" w:space="43"/>
            <w:col w:w="3497" w:space="43"/>
            <w:col w:w="3640"/>
          </w:cols>
        </w:sectPr>
      </w:pPr>
    </w:p>
    <w:p w14:paraId="5B8149CB" w14:textId="77777777" w:rsidR="00D67C1E" w:rsidRPr="00283806" w:rsidRDefault="00D67C1E">
      <w:pPr>
        <w:pStyle w:val="BodyText"/>
        <w:spacing w:before="92"/>
        <w:ind w:left="0"/>
        <w:rPr>
          <w:sz w:val="20"/>
        </w:rPr>
      </w:pPr>
    </w:p>
    <w:p w14:paraId="09F8E590" w14:textId="77777777" w:rsidR="00D67C1E" w:rsidRPr="00283806" w:rsidRDefault="001265CA">
      <w:pPr>
        <w:pStyle w:val="BodyText"/>
        <w:ind w:left="700"/>
        <w:rPr>
          <w:sz w:val="20"/>
        </w:rPr>
      </w:pPr>
      <w:r w:rsidRPr="00283806">
        <w:rPr>
          <w:noProof/>
          <w:sz w:val="20"/>
        </w:rPr>
        <w:drawing>
          <wp:inline distT="0" distB="0" distL="0" distR="0" wp14:anchorId="04A13E39" wp14:editId="3289EF70">
            <wp:extent cx="5943600" cy="621791"/>
            <wp:effectExtent l="0" t="0" r="0" b="6985"/>
            <wp:docPr id="60" name="Image 6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a:extLst>
                        <a:ext uri="{C183D7F6-B498-43B3-948B-1728B52AA6E4}">
                          <adec:decorative xmlns:adec="http://schemas.microsoft.com/office/drawing/2017/decorative" val="1"/>
                        </a:ext>
                      </a:extLst>
                    </pic:cNvPr>
                    <pic:cNvPicPr/>
                  </pic:nvPicPr>
                  <pic:blipFill>
                    <a:blip r:embed="rId18" cstate="print"/>
                    <a:stretch>
                      <a:fillRect/>
                    </a:stretch>
                  </pic:blipFill>
                  <pic:spPr>
                    <a:xfrm>
                      <a:off x="0" y="0"/>
                      <a:ext cx="5943600" cy="621791"/>
                    </a:xfrm>
                    <a:prstGeom prst="rect">
                      <a:avLst/>
                    </a:prstGeom>
                  </pic:spPr>
                </pic:pic>
              </a:graphicData>
            </a:graphic>
          </wp:inline>
        </w:drawing>
      </w:r>
    </w:p>
    <w:p w14:paraId="2C8B7F9C" w14:textId="77777777" w:rsidR="00D67C1E" w:rsidRPr="00283806" w:rsidRDefault="00D67C1E">
      <w:pPr>
        <w:pStyle w:val="BodyText"/>
        <w:spacing w:before="35"/>
        <w:ind w:left="0"/>
        <w:rPr>
          <w:sz w:val="20"/>
        </w:rPr>
      </w:pPr>
    </w:p>
    <w:p w14:paraId="7EAB4348" w14:textId="77777777" w:rsidR="00D67C1E" w:rsidRPr="00283806" w:rsidRDefault="00D67C1E">
      <w:pPr>
        <w:rPr>
          <w:sz w:val="20"/>
        </w:rPr>
        <w:sectPr w:rsidR="00D67C1E" w:rsidRPr="00283806">
          <w:type w:val="continuous"/>
          <w:pgSz w:w="12240" w:h="15840"/>
          <w:pgMar w:top="880" w:right="780" w:bottom="280" w:left="740" w:header="627" w:footer="0" w:gutter="0"/>
          <w:cols w:space="720"/>
        </w:sectPr>
      </w:pPr>
    </w:p>
    <w:p w14:paraId="0B412987" w14:textId="77777777" w:rsidR="00D67C1E" w:rsidRPr="00283806" w:rsidRDefault="001265CA">
      <w:pPr>
        <w:pStyle w:val="ListParagraph"/>
        <w:numPr>
          <w:ilvl w:val="0"/>
          <w:numId w:val="61"/>
        </w:numPr>
        <w:tabs>
          <w:tab w:val="left" w:pos="608"/>
        </w:tabs>
        <w:spacing w:before="101" w:line="206" w:lineRule="exact"/>
        <w:ind w:left="608" w:hanging="268"/>
        <w:rPr>
          <w:sz w:val="18"/>
        </w:rPr>
      </w:pPr>
      <w:r w:rsidRPr="00283806">
        <w:rPr>
          <w:w w:val="110"/>
          <w:sz w:val="18"/>
        </w:rPr>
        <w:t>Rolling</w:t>
      </w:r>
      <w:r w:rsidRPr="00283806">
        <w:rPr>
          <w:spacing w:val="-8"/>
          <w:w w:val="110"/>
          <w:sz w:val="18"/>
        </w:rPr>
        <w:t xml:space="preserve"> </w:t>
      </w:r>
      <w:r w:rsidRPr="00283806">
        <w:rPr>
          <w:w w:val="110"/>
          <w:sz w:val="18"/>
        </w:rPr>
        <w:t>Average</w:t>
      </w:r>
      <w:r w:rsidRPr="00283806">
        <w:rPr>
          <w:spacing w:val="-8"/>
          <w:w w:val="110"/>
          <w:sz w:val="18"/>
        </w:rPr>
        <w:t xml:space="preserve"> </w:t>
      </w:r>
      <w:r w:rsidRPr="00283806">
        <w:rPr>
          <w:spacing w:val="-2"/>
          <w:w w:val="110"/>
          <w:sz w:val="18"/>
        </w:rPr>
        <w:t>Method.</w:t>
      </w:r>
    </w:p>
    <w:p w14:paraId="5DE2E9FF" w14:textId="77777777" w:rsidR="00D67C1E" w:rsidRPr="00283806" w:rsidRDefault="001265CA">
      <w:pPr>
        <w:pStyle w:val="ListParagraph"/>
        <w:numPr>
          <w:ilvl w:val="1"/>
          <w:numId w:val="61"/>
        </w:numPr>
        <w:tabs>
          <w:tab w:val="left" w:pos="568"/>
        </w:tabs>
        <w:spacing w:before="3" w:line="228" w:lineRule="auto"/>
        <w:ind w:firstLine="180"/>
        <w:rPr>
          <w:sz w:val="18"/>
        </w:rPr>
      </w:pPr>
      <w:r w:rsidRPr="00283806">
        <w:rPr>
          <w:w w:val="105"/>
          <w:sz w:val="18"/>
        </w:rPr>
        <w:t>Step 1. Take the sum of the pounds of refrigerant added to the appliance</w:t>
      </w:r>
      <w:r w:rsidRPr="00283806">
        <w:rPr>
          <w:spacing w:val="40"/>
          <w:w w:val="105"/>
          <w:sz w:val="18"/>
        </w:rPr>
        <w:t xml:space="preserve"> </w:t>
      </w:r>
      <w:r w:rsidRPr="00283806">
        <w:rPr>
          <w:w w:val="105"/>
          <w:sz w:val="18"/>
        </w:rPr>
        <w:t>over the previous 365-day period (or over the period that has passed since the last successful follow-up verification</w:t>
      </w:r>
    </w:p>
    <w:p w14:paraId="6537C030" w14:textId="77777777" w:rsidR="00D67C1E" w:rsidRPr="00283806" w:rsidRDefault="001265CA">
      <w:pPr>
        <w:pStyle w:val="BodyText"/>
        <w:spacing w:before="102" w:line="237" w:lineRule="auto"/>
        <w:ind w:left="145" w:right="38"/>
        <w:jc w:val="both"/>
      </w:pPr>
      <w:r w:rsidRPr="00283806">
        <w:br w:type="column"/>
      </w:r>
      <w:r w:rsidRPr="00283806">
        <w:rPr>
          <w:w w:val="110"/>
        </w:rPr>
        <w:t>test</w:t>
      </w:r>
      <w:r w:rsidRPr="00283806">
        <w:rPr>
          <w:spacing w:val="-9"/>
          <w:w w:val="110"/>
        </w:rPr>
        <w:t xml:space="preserve"> </w:t>
      </w:r>
      <w:r w:rsidRPr="00283806">
        <w:rPr>
          <w:w w:val="110"/>
        </w:rPr>
        <w:t>showing</w:t>
      </w:r>
      <w:r w:rsidRPr="00283806">
        <w:rPr>
          <w:spacing w:val="-9"/>
          <w:w w:val="110"/>
        </w:rPr>
        <w:t xml:space="preserve"> </w:t>
      </w:r>
      <w:r w:rsidRPr="00283806">
        <w:rPr>
          <w:w w:val="110"/>
        </w:rPr>
        <w:t>all</w:t>
      </w:r>
      <w:r w:rsidRPr="00283806">
        <w:rPr>
          <w:spacing w:val="-9"/>
          <w:w w:val="110"/>
        </w:rPr>
        <w:t xml:space="preserve"> </w:t>
      </w:r>
      <w:r w:rsidRPr="00283806">
        <w:rPr>
          <w:w w:val="110"/>
        </w:rPr>
        <w:t>identified</w:t>
      </w:r>
      <w:r w:rsidRPr="00283806">
        <w:rPr>
          <w:spacing w:val="-9"/>
          <w:w w:val="110"/>
        </w:rPr>
        <w:t xml:space="preserve"> </w:t>
      </w:r>
      <w:r w:rsidRPr="00283806">
        <w:rPr>
          <w:w w:val="110"/>
        </w:rPr>
        <w:t>leaks</w:t>
      </w:r>
      <w:r w:rsidRPr="00283806">
        <w:rPr>
          <w:spacing w:val="-9"/>
          <w:w w:val="110"/>
        </w:rPr>
        <w:t xml:space="preserve"> </w:t>
      </w:r>
      <w:r w:rsidRPr="00283806">
        <w:rPr>
          <w:w w:val="110"/>
        </w:rPr>
        <w:t>in</w:t>
      </w:r>
      <w:r w:rsidRPr="00283806">
        <w:rPr>
          <w:spacing w:val="-9"/>
          <w:w w:val="110"/>
        </w:rPr>
        <w:t xml:space="preserve"> </w:t>
      </w:r>
      <w:r w:rsidRPr="00283806">
        <w:rPr>
          <w:w w:val="110"/>
        </w:rPr>
        <w:t xml:space="preserve">the </w:t>
      </w:r>
      <w:r w:rsidRPr="00283806">
        <w:rPr>
          <w:spacing w:val="-2"/>
          <w:w w:val="110"/>
        </w:rPr>
        <w:t>appliance</w:t>
      </w:r>
      <w:r w:rsidRPr="00283806">
        <w:rPr>
          <w:spacing w:val="-8"/>
          <w:w w:val="110"/>
        </w:rPr>
        <w:t xml:space="preserve"> </w:t>
      </w:r>
      <w:r w:rsidRPr="00283806">
        <w:rPr>
          <w:spacing w:val="-2"/>
          <w:w w:val="110"/>
        </w:rPr>
        <w:t>were</w:t>
      </w:r>
      <w:r w:rsidRPr="00283806">
        <w:rPr>
          <w:spacing w:val="-8"/>
          <w:w w:val="110"/>
        </w:rPr>
        <w:t xml:space="preserve"> </w:t>
      </w:r>
      <w:r w:rsidRPr="00283806">
        <w:rPr>
          <w:spacing w:val="-2"/>
          <w:w w:val="110"/>
        </w:rPr>
        <w:t>repaired,</w:t>
      </w:r>
      <w:r w:rsidRPr="00283806">
        <w:rPr>
          <w:spacing w:val="-8"/>
          <w:w w:val="110"/>
        </w:rPr>
        <w:t xml:space="preserve"> </w:t>
      </w:r>
      <w:r w:rsidRPr="00283806">
        <w:rPr>
          <w:spacing w:val="-2"/>
          <w:w w:val="110"/>
        </w:rPr>
        <w:t>if</w:t>
      </w:r>
      <w:r w:rsidRPr="00283806">
        <w:rPr>
          <w:spacing w:val="-8"/>
          <w:w w:val="110"/>
        </w:rPr>
        <w:t xml:space="preserve"> </w:t>
      </w:r>
      <w:r w:rsidRPr="00283806">
        <w:rPr>
          <w:spacing w:val="-2"/>
          <w:w w:val="110"/>
        </w:rPr>
        <w:t>that</w:t>
      </w:r>
      <w:r w:rsidRPr="00283806">
        <w:rPr>
          <w:spacing w:val="-8"/>
          <w:w w:val="110"/>
        </w:rPr>
        <w:t xml:space="preserve"> </w:t>
      </w:r>
      <w:r w:rsidRPr="00283806">
        <w:rPr>
          <w:spacing w:val="-2"/>
          <w:w w:val="110"/>
        </w:rPr>
        <w:t xml:space="preserve">period </w:t>
      </w:r>
      <w:r w:rsidRPr="00283806">
        <w:rPr>
          <w:w w:val="110"/>
        </w:rPr>
        <w:t>is less than one year);</w:t>
      </w:r>
    </w:p>
    <w:p w14:paraId="26D4E880" w14:textId="77777777" w:rsidR="00D67C1E" w:rsidRPr="00283806" w:rsidRDefault="001265CA">
      <w:pPr>
        <w:pStyle w:val="ListParagraph"/>
        <w:numPr>
          <w:ilvl w:val="1"/>
          <w:numId w:val="61"/>
        </w:numPr>
        <w:tabs>
          <w:tab w:val="left" w:pos="613"/>
        </w:tabs>
        <w:spacing w:before="54" w:line="237" w:lineRule="auto"/>
        <w:ind w:left="145" w:right="119" w:firstLine="180"/>
        <w:jc w:val="both"/>
        <w:rPr>
          <w:sz w:val="18"/>
        </w:rPr>
      </w:pPr>
      <w:r w:rsidRPr="00283806">
        <w:rPr>
          <w:w w:val="105"/>
          <w:sz w:val="18"/>
        </w:rPr>
        <w:t>Step 2. Divide the result of Step</w:t>
      </w:r>
      <w:r w:rsidRPr="00283806">
        <w:rPr>
          <w:spacing w:val="40"/>
          <w:w w:val="105"/>
          <w:sz w:val="18"/>
        </w:rPr>
        <w:t xml:space="preserve"> </w:t>
      </w:r>
      <w:r w:rsidRPr="00283806">
        <w:rPr>
          <w:w w:val="105"/>
          <w:sz w:val="18"/>
        </w:rPr>
        <w:t>1 by the pounds of refrigerant the</w:t>
      </w:r>
    </w:p>
    <w:p w14:paraId="50E84207" w14:textId="77777777" w:rsidR="00D67C1E" w:rsidRPr="00283806" w:rsidRDefault="001265CA">
      <w:pPr>
        <w:pStyle w:val="BodyText"/>
        <w:spacing w:before="110" w:line="228" w:lineRule="auto"/>
        <w:ind w:right="286"/>
      </w:pPr>
      <w:r w:rsidRPr="00283806">
        <w:br w:type="column"/>
      </w:r>
      <w:proofErr w:type="gramStart"/>
      <w:r w:rsidRPr="00283806">
        <w:rPr>
          <w:w w:val="105"/>
        </w:rPr>
        <w:t>appliance</w:t>
      </w:r>
      <w:proofErr w:type="gramEnd"/>
      <w:r w:rsidRPr="00283806">
        <w:rPr>
          <w:w w:val="105"/>
        </w:rPr>
        <w:t xml:space="preserve"> normally contains at full charge; and</w:t>
      </w:r>
    </w:p>
    <w:p w14:paraId="7939E3FA" w14:textId="77777777" w:rsidR="00D67C1E" w:rsidRPr="00283806" w:rsidRDefault="001265CA">
      <w:pPr>
        <w:pStyle w:val="ListParagraph"/>
        <w:numPr>
          <w:ilvl w:val="1"/>
          <w:numId w:val="61"/>
        </w:numPr>
        <w:tabs>
          <w:tab w:val="left" w:pos="688"/>
        </w:tabs>
        <w:spacing w:line="228" w:lineRule="auto"/>
        <w:ind w:right="144" w:firstLine="180"/>
        <w:rPr>
          <w:sz w:val="18"/>
        </w:rPr>
      </w:pPr>
      <w:r w:rsidRPr="00283806">
        <w:rPr>
          <w:w w:val="105"/>
          <w:sz w:val="18"/>
        </w:rPr>
        <w:t>Step 3. Multiply the result of Step</w:t>
      </w:r>
      <w:r w:rsidRPr="00283806">
        <w:rPr>
          <w:spacing w:val="40"/>
          <w:w w:val="105"/>
          <w:sz w:val="18"/>
        </w:rPr>
        <w:t xml:space="preserve"> </w:t>
      </w:r>
      <w:r w:rsidRPr="00283806">
        <w:rPr>
          <w:w w:val="105"/>
          <w:sz w:val="18"/>
        </w:rPr>
        <w:t xml:space="preserve">2 by 100 to obtain a percentage. This method is summarized in the following </w:t>
      </w:r>
      <w:r w:rsidRPr="00283806">
        <w:rPr>
          <w:spacing w:val="-2"/>
          <w:w w:val="105"/>
          <w:sz w:val="18"/>
        </w:rPr>
        <w:t>formula:</w:t>
      </w:r>
    </w:p>
    <w:p w14:paraId="3CEBDB11" w14:textId="77777777" w:rsidR="00D67C1E" w:rsidRPr="00283806" w:rsidRDefault="00D67C1E">
      <w:pPr>
        <w:spacing w:line="228" w:lineRule="auto"/>
        <w:rPr>
          <w:sz w:val="18"/>
        </w:rPr>
        <w:sectPr w:rsidR="00D67C1E" w:rsidRPr="00283806">
          <w:type w:val="continuous"/>
          <w:pgSz w:w="12240" w:h="15840"/>
          <w:pgMar w:top="880" w:right="780" w:bottom="280" w:left="740" w:header="627" w:footer="0" w:gutter="0"/>
          <w:cols w:num="3" w:space="720" w:equalWidth="0">
            <w:col w:w="3515" w:space="40"/>
            <w:col w:w="3362" w:space="163"/>
            <w:col w:w="3640"/>
          </w:cols>
        </w:sectPr>
      </w:pPr>
    </w:p>
    <w:p w14:paraId="3F3FEEB9" w14:textId="77777777" w:rsidR="00D67C1E" w:rsidRPr="00283806" w:rsidRDefault="00D67C1E">
      <w:pPr>
        <w:pStyle w:val="BodyText"/>
        <w:spacing w:before="96" w:after="1"/>
        <w:ind w:left="0"/>
        <w:rPr>
          <w:sz w:val="20"/>
        </w:rPr>
      </w:pPr>
    </w:p>
    <w:p w14:paraId="12B5F6FE" w14:textId="77777777" w:rsidR="00D67C1E" w:rsidRPr="00283806" w:rsidRDefault="001265CA">
      <w:pPr>
        <w:pStyle w:val="BodyText"/>
        <w:ind w:left="700"/>
        <w:rPr>
          <w:sz w:val="20"/>
        </w:rPr>
      </w:pPr>
      <w:r w:rsidRPr="00283806">
        <w:rPr>
          <w:noProof/>
          <w:sz w:val="20"/>
        </w:rPr>
        <w:drawing>
          <wp:inline distT="0" distB="0" distL="0" distR="0" wp14:anchorId="0781BAB5" wp14:editId="65C30FC3">
            <wp:extent cx="5943600" cy="868680"/>
            <wp:effectExtent l="0" t="0" r="0" b="0"/>
            <wp:docPr id="61" name="Image 61" descr="Rolling Average Method Calcul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descr="Rolling Average Method Calculation"/>
                    <pic:cNvPicPr/>
                  </pic:nvPicPr>
                  <pic:blipFill>
                    <a:blip r:embed="rId19" cstate="print"/>
                    <a:stretch>
                      <a:fillRect/>
                    </a:stretch>
                  </pic:blipFill>
                  <pic:spPr>
                    <a:xfrm>
                      <a:off x="0" y="0"/>
                      <a:ext cx="5943600" cy="868680"/>
                    </a:xfrm>
                    <a:prstGeom prst="rect">
                      <a:avLst/>
                    </a:prstGeom>
                  </pic:spPr>
                </pic:pic>
              </a:graphicData>
            </a:graphic>
          </wp:inline>
        </w:drawing>
      </w:r>
    </w:p>
    <w:p w14:paraId="69D12232" w14:textId="77777777" w:rsidR="00D67C1E" w:rsidRPr="00283806" w:rsidRDefault="00D67C1E">
      <w:pPr>
        <w:pStyle w:val="BodyText"/>
        <w:spacing w:before="34"/>
        <w:ind w:left="0"/>
        <w:rPr>
          <w:sz w:val="20"/>
        </w:rPr>
      </w:pPr>
    </w:p>
    <w:p w14:paraId="1719D3A6" w14:textId="77777777" w:rsidR="00D67C1E" w:rsidRPr="00283806" w:rsidRDefault="00D67C1E">
      <w:pPr>
        <w:rPr>
          <w:sz w:val="20"/>
        </w:rPr>
        <w:sectPr w:rsidR="00D67C1E" w:rsidRPr="00283806">
          <w:type w:val="continuous"/>
          <w:pgSz w:w="12240" w:h="15840"/>
          <w:pgMar w:top="880" w:right="780" w:bottom="280" w:left="740" w:header="627" w:footer="0" w:gutter="0"/>
          <w:cols w:space="720"/>
        </w:sectPr>
      </w:pPr>
    </w:p>
    <w:p w14:paraId="54D947F8" w14:textId="77777777" w:rsidR="00D67C1E" w:rsidRPr="00283806" w:rsidRDefault="001265CA">
      <w:pPr>
        <w:pStyle w:val="BodyText"/>
        <w:spacing w:before="102" w:line="237" w:lineRule="auto"/>
        <w:ind w:right="38" w:firstLine="180"/>
      </w:pPr>
      <w:r w:rsidRPr="00283806">
        <w:rPr>
          <w:w w:val="105"/>
        </w:rPr>
        <w:t>EPA further notes that, as discussed</w:t>
      </w:r>
      <w:r w:rsidRPr="00283806">
        <w:rPr>
          <w:spacing w:val="80"/>
          <w:w w:val="105"/>
        </w:rPr>
        <w:t xml:space="preserve"> </w:t>
      </w:r>
      <w:r w:rsidRPr="00283806">
        <w:rPr>
          <w:w w:val="105"/>
        </w:rPr>
        <w:t>in section IV.C.3 of this preamble,</w:t>
      </w:r>
      <w:r w:rsidRPr="00283806">
        <w:rPr>
          <w:spacing w:val="80"/>
          <w:w w:val="150"/>
        </w:rPr>
        <w:t xml:space="preserve"> </w:t>
      </w:r>
      <w:r w:rsidRPr="00283806">
        <w:rPr>
          <w:w w:val="105"/>
        </w:rPr>
        <w:t>owner or operators may preemptively repair leaks prior to adding refrigerant and calculating the leak rate for a refrigerant-containing appliance. After the completion of preemptive repair, an owner or operator must calculate the leak rate to see if the refrigerant- containing appliance was leaking above the applicable leak rate threshold and</w:t>
      </w:r>
    </w:p>
    <w:p w14:paraId="2EAAC591" w14:textId="77777777" w:rsidR="00D67C1E" w:rsidRPr="00283806" w:rsidRDefault="001265CA">
      <w:pPr>
        <w:pStyle w:val="BodyText"/>
        <w:spacing w:before="103" w:line="237" w:lineRule="auto"/>
        <w:ind w:right="33"/>
      </w:pPr>
      <w:r w:rsidRPr="00283806">
        <w:br w:type="column"/>
      </w:r>
      <w:r w:rsidRPr="00283806">
        <w:rPr>
          <w:w w:val="105"/>
        </w:rPr>
        <w:t>complete the full suite of leak repair requirements</w:t>
      </w:r>
      <w:r w:rsidRPr="00283806">
        <w:rPr>
          <w:spacing w:val="3"/>
          <w:w w:val="105"/>
        </w:rPr>
        <w:t xml:space="preserve"> </w:t>
      </w:r>
      <w:r w:rsidRPr="00283806">
        <w:rPr>
          <w:w w:val="105"/>
        </w:rPr>
        <w:t>as</w:t>
      </w:r>
      <w:r w:rsidRPr="00283806">
        <w:rPr>
          <w:spacing w:val="3"/>
          <w:w w:val="105"/>
        </w:rPr>
        <w:t xml:space="preserve"> </w:t>
      </w:r>
      <w:r w:rsidRPr="00283806">
        <w:rPr>
          <w:w w:val="105"/>
        </w:rPr>
        <w:t>described</w:t>
      </w:r>
      <w:r w:rsidRPr="00283806">
        <w:rPr>
          <w:spacing w:val="3"/>
          <w:w w:val="105"/>
        </w:rPr>
        <w:t xml:space="preserve"> </w:t>
      </w:r>
      <w:r w:rsidRPr="00283806">
        <w:rPr>
          <w:w w:val="105"/>
        </w:rPr>
        <w:t>in</w:t>
      </w:r>
      <w:r w:rsidRPr="00283806">
        <w:rPr>
          <w:spacing w:val="3"/>
          <w:w w:val="105"/>
        </w:rPr>
        <w:t xml:space="preserve"> </w:t>
      </w:r>
      <w:r w:rsidRPr="00283806">
        <w:rPr>
          <w:spacing w:val="-2"/>
          <w:w w:val="105"/>
        </w:rPr>
        <w:t>section</w:t>
      </w:r>
    </w:p>
    <w:p w14:paraId="686A28A9" w14:textId="77777777" w:rsidR="00D67C1E" w:rsidRPr="00283806" w:rsidRDefault="001265CA">
      <w:pPr>
        <w:pStyle w:val="BodyText"/>
        <w:spacing w:line="235" w:lineRule="auto"/>
        <w:ind w:right="33"/>
      </w:pPr>
      <w:r w:rsidRPr="00283806">
        <w:rPr>
          <w:w w:val="105"/>
        </w:rPr>
        <w:t>IV.C.3 (</w:t>
      </w:r>
      <w:r w:rsidRPr="00283806">
        <w:rPr>
          <w:rFonts w:ascii="Book Antiqua"/>
          <w:i/>
          <w:w w:val="105"/>
        </w:rPr>
        <w:t xml:space="preserve">e.g., </w:t>
      </w:r>
      <w:r w:rsidRPr="00283806">
        <w:rPr>
          <w:w w:val="105"/>
        </w:rPr>
        <w:t xml:space="preserve">verification tests, leak inspections, etc.) if the appliance was leaking above the applicable threshold. If the refrigerant-containing appliance was found to </w:t>
      </w:r>
      <w:proofErr w:type="gramStart"/>
      <w:r w:rsidRPr="00283806">
        <w:rPr>
          <w:w w:val="105"/>
        </w:rPr>
        <w:t>be leaking</w:t>
      </w:r>
      <w:proofErr w:type="gramEnd"/>
      <w:r w:rsidRPr="00283806">
        <w:rPr>
          <w:w w:val="105"/>
        </w:rPr>
        <w:t xml:space="preserve"> below the applicable leak rate threshold then no further action is necessary after the completion of the preemptive repair. Alternatively, an owner/</w:t>
      </w:r>
      <w:proofErr w:type="gramStart"/>
      <w:r w:rsidRPr="00283806">
        <w:rPr>
          <w:w w:val="105"/>
        </w:rPr>
        <w:t>operators</w:t>
      </w:r>
      <w:proofErr w:type="gramEnd"/>
      <w:r w:rsidRPr="00283806">
        <w:rPr>
          <w:w w:val="105"/>
        </w:rPr>
        <w:t xml:space="preserve"> may</w:t>
      </w:r>
    </w:p>
    <w:p w14:paraId="4BA6C531" w14:textId="77777777" w:rsidR="00D67C1E" w:rsidRPr="00283806" w:rsidRDefault="001265CA">
      <w:pPr>
        <w:pStyle w:val="BodyText"/>
        <w:spacing w:before="107" w:line="232" w:lineRule="auto"/>
        <w:ind w:right="152"/>
      </w:pPr>
      <w:r w:rsidRPr="00283806">
        <w:br w:type="column"/>
      </w:r>
      <w:r w:rsidRPr="00283806">
        <w:rPr>
          <w:w w:val="105"/>
        </w:rPr>
        <w:t>use the amount of refrigerant lost in lieu of the amount of refrigerant added to calculate the leak rate prior to adding refrigerant if they have a valid method</w:t>
      </w:r>
      <w:r w:rsidRPr="00283806">
        <w:rPr>
          <w:spacing w:val="80"/>
          <w:w w:val="105"/>
        </w:rPr>
        <w:t xml:space="preserve"> </w:t>
      </w:r>
      <w:r w:rsidRPr="00283806">
        <w:rPr>
          <w:w w:val="105"/>
        </w:rPr>
        <w:t>of</w:t>
      </w:r>
      <w:r w:rsidRPr="00283806">
        <w:rPr>
          <w:spacing w:val="-1"/>
          <w:w w:val="105"/>
        </w:rPr>
        <w:t xml:space="preserve"> </w:t>
      </w:r>
      <w:r w:rsidRPr="00283806">
        <w:rPr>
          <w:w w:val="105"/>
        </w:rPr>
        <w:t>determining</w:t>
      </w:r>
      <w:r w:rsidRPr="00283806">
        <w:rPr>
          <w:spacing w:val="-1"/>
          <w:w w:val="105"/>
        </w:rPr>
        <w:t xml:space="preserve"> </w:t>
      </w:r>
      <w:r w:rsidRPr="00283806">
        <w:rPr>
          <w:w w:val="105"/>
        </w:rPr>
        <w:t>the</w:t>
      </w:r>
      <w:r w:rsidRPr="00283806">
        <w:rPr>
          <w:spacing w:val="-1"/>
          <w:w w:val="105"/>
        </w:rPr>
        <w:t xml:space="preserve"> </w:t>
      </w:r>
      <w:r w:rsidRPr="00283806">
        <w:rPr>
          <w:w w:val="105"/>
        </w:rPr>
        <w:t>amount</w:t>
      </w:r>
      <w:r w:rsidRPr="00283806">
        <w:rPr>
          <w:spacing w:val="-1"/>
          <w:w w:val="105"/>
        </w:rPr>
        <w:t xml:space="preserve"> </w:t>
      </w:r>
      <w:r w:rsidRPr="00283806">
        <w:rPr>
          <w:w w:val="105"/>
        </w:rPr>
        <w:t>of</w:t>
      </w:r>
      <w:r w:rsidRPr="00283806">
        <w:rPr>
          <w:spacing w:val="-1"/>
          <w:w w:val="105"/>
        </w:rPr>
        <w:t xml:space="preserve"> </w:t>
      </w:r>
      <w:r w:rsidRPr="00283806">
        <w:rPr>
          <w:w w:val="105"/>
        </w:rPr>
        <w:t>refrigerant lost (</w:t>
      </w:r>
      <w:r w:rsidRPr="00283806">
        <w:rPr>
          <w:rFonts w:ascii="Book Antiqua"/>
          <w:i/>
          <w:w w:val="105"/>
        </w:rPr>
        <w:t xml:space="preserve">e.g., </w:t>
      </w:r>
      <w:r w:rsidRPr="00283806">
        <w:rPr>
          <w:w w:val="105"/>
        </w:rPr>
        <w:t>evacuating the appliance and comparing the amount of refrigerant evacuated to the full charge).</w:t>
      </w:r>
    </w:p>
    <w:p w14:paraId="57E7D4EC" w14:textId="77777777" w:rsidR="00D67C1E" w:rsidRPr="00283806" w:rsidRDefault="001265CA">
      <w:pPr>
        <w:pStyle w:val="BodyText"/>
        <w:spacing w:before="63" w:line="228" w:lineRule="auto"/>
        <w:ind w:firstLine="180"/>
      </w:pPr>
      <w:r w:rsidRPr="00283806">
        <w:rPr>
          <w:rFonts w:ascii="Book Antiqua"/>
          <w:i/>
          <w:w w:val="105"/>
        </w:rPr>
        <w:t xml:space="preserve">Mothball, </w:t>
      </w:r>
      <w:r w:rsidRPr="00283806">
        <w:rPr>
          <w:w w:val="105"/>
        </w:rPr>
        <w:t>as it relates to a refrigerant- containing appliance, means to evacuate refrigerant from an appliance, or the</w:t>
      </w:r>
    </w:p>
    <w:p w14:paraId="73E03FB1" w14:textId="77777777" w:rsidR="00D67C1E" w:rsidRPr="00283806" w:rsidRDefault="00D67C1E">
      <w:pPr>
        <w:spacing w:line="228" w:lineRule="auto"/>
        <w:sectPr w:rsidR="00D67C1E" w:rsidRPr="00283806">
          <w:type w:val="continuous"/>
          <w:pgSz w:w="12240" w:h="15840"/>
          <w:pgMar w:top="880" w:right="780" w:bottom="280" w:left="740" w:header="627" w:footer="0" w:gutter="0"/>
          <w:cols w:num="3" w:space="720" w:equalWidth="0">
            <w:col w:w="3487" w:space="53"/>
            <w:col w:w="3437" w:space="103"/>
            <w:col w:w="3640"/>
          </w:cols>
        </w:sectPr>
      </w:pPr>
    </w:p>
    <w:p w14:paraId="7CF860F5" w14:textId="77777777" w:rsidR="00D67C1E" w:rsidRPr="00283806" w:rsidRDefault="001265CA">
      <w:pPr>
        <w:pStyle w:val="BodyText"/>
        <w:spacing w:before="136" w:line="225" w:lineRule="auto"/>
        <w:ind w:right="82"/>
        <w:jc w:val="both"/>
      </w:pPr>
      <w:r w:rsidRPr="00283806">
        <w:rPr>
          <w:w w:val="105"/>
        </w:rPr>
        <w:lastRenderedPageBreak/>
        <w:t>affected isolated section or component of an appliance, to at least atmospheric pressure, and to temporarily shut down that appliance.</w:t>
      </w:r>
    </w:p>
    <w:p w14:paraId="5FAC9A5A" w14:textId="77777777" w:rsidR="00D67C1E" w:rsidRPr="00283806" w:rsidRDefault="001265CA">
      <w:pPr>
        <w:spacing w:line="213" w:lineRule="auto"/>
        <w:ind w:left="160" w:right="83" w:firstLine="180"/>
        <w:rPr>
          <w:sz w:val="18"/>
        </w:rPr>
      </w:pPr>
      <w:r w:rsidRPr="00283806">
        <w:rPr>
          <w:rFonts w:ascii="Book Antiqua"/>
          <w:i/>
          <w:w w:val="105"/>
          <w:sz w:val="18"/>
        </w:rPr>
        <w:t xml:space="preserve">Motor vehicle, </w:t>
      </w:r>
      <w:r w:rsidRPr="00283806">
        <w:rPr>
          <w:w w:val="105"/>
          <w:sz w:val="18"/>
        </w:rPr>
        <w:t>means any vehicle</w:t>
      </w:r>
      <w:r w:rsidRPr="00283806">
        <w:rPr>
          <w:spacing w:val="80"/>
          <w:w w:val="105"/>
          <w:sz w:val="18"/>
        </w:rPr>
        <w:t xml:space="preserve"> </w:t>
      </w:r>
      <w:r w:rsidRPr="00283806">
        <w:rPr>
          <w:w w:val="105"/>
          <w:sz w:val="18"/>
        </w:rPr>
        <w:t>which is self-propelled and designed for</w:t>
      </w:r>
    </w:p>
    <w:p w14:paraId="7BAA5891" w14:textId="77777777" w:rsidR="00D67C1E" w:rsidRPr="00283806" w:rsidRDefault="001265CA">
      <w:pPr>
        <w:pStyle w:val="BodyText"/>
        <w:spacing w:line="225" w:lineRule="auto"/>
        <w:ind w:right="83"/>
      </w:pPr>
      <w:r w:rsidRPr="00283806">
        <w:rPr>
          <w:w w:val="105"/>
        </w:rPr>
        <w:t xml:space="preserve">transporting persons or property on a street or highway, including but not limited to passenger cars, light-duty vehicles, and heavy-duty vehicles. This definition does not include a vehicle where </w:t>
      </w:r>
      <w:proofErr w:type="gramStart"/>
      <w:r w:rsidRPr="00283806">
        <w:rPr>
          <w:w w:val="105"/>
        </w:rPr>
        <w:t>final</w:t>
      </w:r>
      <w:proofErr w:type="gramEnd"/>
      <w:r w:rsidRPr="00283806">
        <w:rPr>
          <w:w w:val="105"/>
        </w:rPr>
        <w:t xml:space="preserve"> assembly of the vehicle has not been completed by the original equipment manufacturer.</w:t>
      </w:r>
    </w:p>
    <w:p w14:paraId="5114A5C4" w14:textId="77777777" w:rsidR="00D67C1E" w:rsidRPr="00283806" w:rsidRDefault="001265CA">
      <w:pPr>
        <w:pStyle w:val="BodyText"/>
        <w:spacing w:line="225" w:lineRule="auto"/>
        <w:ind w:firstLine="180"/>
      </w:pPr>
      <w:proofErr w:type="gramStart"/>
      <w:r w:rsidRPr="00283806">
        <w:rPr>
          <w:rFonts w:ascii="Book Antiqua" w:hAnsi="Book Antiqua"/>
          <w:i/>
          <w:w w:val="105"/>
        </w:rPr>
        <w:t>Motor vehicle air conditioner (MVAC),</w:t>
      </w:r>
      <w:proofErr w:type="gramEnd"/>
      <w:r w:rsidRPr="00283806">
        <w:rPr>
          <w:rFonts w:ascii="Book Antiqua" w:hAnsi="Book Antiqua"/>
          <w:i/>
          <w:w w:val="105"/>
        </w:rPr>
        <w:t xml:space="preserve"> </w:t>
      </w:r>
      <w:r w:rsidRPr="00283806">
        <w:rPr>
          <w:w w:val="105"/>
        </w:rPr>
        <w:t>means mechanical vapor compression refrigerant-containing appliances used</w:t>
      </w:r>
      <w:r w:rsidRPr="00283806">
        <w:rPr>
          <w:spacing w:val="80"/>
          <w:w w:val="105"/>
        </w:rPr>
        <w:t xml:space="preserve"> </w:t>
      </w:r>
      <w:r w:rsidRPr="00283806">
        <w:rPr>
          <w:w w:val="105"/>
        </w:rPr>
        <w:t>to cool the driver’s or passenger’s compartment of any motor vehicle. This definition is intended to have the same meaning as in 40 CFR 82.32.</w:t>
      </w:r>
    </w:p>
    <w:p w14:paraId="20282A0B" w14:textId="77777777" w:rsidR="00D67C1E" w:rsidRPr="00283806" w:rsidRDefault="001265CA">
      <w:pPr>
        <w:pStyle w:val="BodyText"/>
        <w:spacing w:line="225" w:lineRule="auto"/>
        <w:ind w:right="60" w:firstLine="180"/>
      </w:pPr>
      <w:r w:rsidRPr="00283806">
        <w:rPr>
          <w:rFonts w:ascii="Book Antiqua"/>
          <w:i/>
          <w:w w:val="105"/>
        </w:rPr>
        <w:t>Normal operating characteristics and</w:t>
      </w:r>
      <w:r w:rsidRPr="00283806">
        <w:rPr>
          <w:rFonts w:ascii="Book Antiqua"/>
          <w:i/>
          <w:spacing w:val="80"/>
          <w:w w:val="105"/>
        </w:rPr>
        <w:t xml:space="preserve"> </w:t>
      </w:r>
      <w:r w:rsidRPr="00283806">
        <w:rPr>
          <w:rFonts w:ascii="Book Antiqua"/>
          <w:i/>
          <w:w w:val="105"/>
        </w:rPr>
        <w:t xml:space="preserve">conditions, </w:t>
      </w:r>
      <w:r w:rsidRPr="00283806">
        <w:rPr>
          <w:w w:val="105"/>
        </w:rPr>
        <w:t xml:space="preserve">as it relates to a refrigerant- containing appliance, means appliance operating temperatures, pressures, fluid flows, speeds, and other characteristics, including full charge of the appliance, that would be expected for a given process load and ambient condition during normal operation. Normal operating characteristics and conditions are marked by the absence of atypical conditions affecting the operation of the </w:t>
      </w:r>
      <w:r w:rsidRPr="00283806">
        <w:rPr>
          <w:spacing w:val="-2"/>
          <w:w w:val="105"/>
        </w:rPr>
        <w:t>appliance.</w:t>
      </w:r>
    </w:p>
    <w:p w14:paraId="3FE1B9AB" w14:textId="77777777" w:rsidR="00D67C1E" w:rsidRPr="00283806" w:rsidRDefault="001265CA">
      <w:pPr>
        <w:spacing w:line="216" w:lineRule="auto"/>
        <w:ind w:left="160" w:right="83" w:firstLine="180"/>
        <w:rPr>
          <w:sz w:val="18"/>
        </w:rPr>
      </w:pPr>
      <w:r w:rsidRPr="00283806">
        <w:rPr>
          <w:rFonts w:ascii="Book Antiqua"/>
          <w:i/>
          <w:w w:val="105"/>
          <w:sz w:val="18"/>
        </w:rPr>
        <w:t xml:space="preserve">Owner or operator, </w:t>
      </w:r>
      <w:r w:rsidRPr="00283806">
        <w:rPr>
          <w:w w:val="105"/>
          <w:sz w:val="18"/>
        </w:rPr>
        <w:t>means any person who owns, leases, operates, or controls</w:t>
      </w:r>
    </w:p>
    <w:p w14:paraId="519CAE83" w14:textId="77777777" w:rsidR="00D67C1E" w:rsidRPr="00283806" w:rsidRDefault="001265CA">
      <w:pPr>
        <w:pStyle w:val="BodyText"/>
        <w:spacing w:line="228" w:lineRule="auto"/>
        <w:ind w:right="83"/>
      </w:pPr>
      <w:r w:rsidRPr="00283806">
        <w:rPr>
          <w:w w:val="105"/>
        </w:rPr>
        <w:t>any equipment, or who controls or supervises any practice, process, or activity that is subject to any requirement</w:t>
      </w:r>
      <w:r w:rsidRPr="00283806">
        <w:rPr>
          <w:spacing w:val="-2"/>
          <w:w w:val="105"/>
        </w:rPr>
        <w:t xml:space="preserve"> </w:t>
      </w:r>
      <w:r w:rsidRPr="00283806">
        <w:rPr>
          <w:w w:val="105"/>
        </w:rPr>
        <w:t>pursuant</w:t>
      </w:r>
      <w:r w:rsidRPr="00283806">
        <w:rPr>
          <w:spacing w:val="-2"/>
          <w:w w:val="105"/>
        </w:rPr>
        <w:t xml:space="preserve"> </w:t>
      </w:r>
      <w:r w:rsidRPr="00283806">
        <w:rPr>
          <w:w w:val="105"/>
        </w:rPr>
        <w:t>to</w:t>
      </w:r>
      <w:r w:rsidRPr="00283806">
        <w:rPr>
          <w:spacing w:val="-2"/>
          <w:w w:val="105"/>
        </w:rPr>
        <w:t xml:space="preserve"> </w:t>
      </w:r>
      <w:r w:rsidRPr="00283806">
        <w:rPr>
          <w:w w:val="105"/>
        </w:rPr>
        <w:t>this</w:t>
      </w:r>
      <w:r w:rsidRPr="00283806">
        <w:rPr>
          <w:spacing w:val="-2"/>
          <w:w w:val="105"/>
        </w:rPr>
        <w:t xml:space="preserve"> </w:t>
      </w:r>
      <w:r w:rsidRPr="00283806">
        <w:rPr>
          <w:w w:val="105"/>
        </w:rPr>
        <w:t>subpart.</w:t>
      </w:r>
    </w:p>
    <w:p w14:paraId="02DFA5D2" w14:textId="77777777" w:rsidR="00D67C1E" w:rsidRPr="00283806" w:rsidRDefault="001265CA">
      <w:pPr>
        <w:pStyle w:val="BodyText"/>
        <w:spacing w:line="216" w:lineRule="auto"/>
        <w:ind w:firstLine="180"/>
      </w:pPr>
      <w:r w:rsidRPr="00283806">
        <w:rPr>
          <w:rFonts w:ascii="Book Antiqua"/>
          <w:i/>
          <w:w w:val="105"/>
        </w:rPr>
        <w:t xml:space="preserve">Recycling, </w:t>
      </w:r>
      <w:r w:rsidRPr="00283806">
        <w:rPr>
          <w:w w:val="105"/>
        </w:rPr>
        <w:t>when referring to fire suppression or fire suppressants, means</w:t>
      </w:r>
    </w:p>
    <w:p w14:paraId="58E90EAD" w14:textId="77777777" w:rsidR="00D67C1E" w:rsidRPr="00283806" w:rsidRDefault="001265CA">
      <w:pPr>
        <w:pStyle w:val="BodyText"/>
        <w:spacing w:line="228" w:lineRule="auto"/>
        <w:ind w:right="83"/>
      </w:pPr>
      <w:r w:rsidRPr="00283806">
        <w:rPr>
          <w:w w:val="105"/>
        </w:rPr>
        <w:t xml:space="preserve">the testing and/or reprocessing of regulated substances used in the fire suppression sector to certain purity </w:t>
      </w:r>
      <w:r w:rsidRPr="00283806">
        <w:rPr>
          <w:spacing w:val="-2"/>
          <w:w w:val="105"/>
        </w:rPr>
        <w:t>standards.</w:t>
      </w:r>
    </w:p>
    <w:p w14:paraId="7FE4F530" w14:textId="77777777" w:rsidR="00D67C1E" w:rsidRPr="00283806" w:rsidRDefault="001265CA">
      <w:pPr>
        <w:spacing w:line="184" w:lineRule="exact"/>
        <w:ind w:left="160" w:firstLine="180"/>
        <w:rPr>
          <w:sz w:val="18"/>
        </w:rPr>
      </w:pPr>
      <w:r w:rsidRPr="00283806">
        <w:rPr>
          <w:rFonts w:ascii="Book Antiqua"/>
          <w:i/>
          <w:w w:val="105"/>
          <w:sz w:val="18"/>
        </w:rPr>
        <w:t>Refrigerant</w:t>
      </w:r>
      <w:r w:rsidRPr="00283806">
        <w:rPr>
          <w:rFonts w:ascii="Book Antiqua"/>
          <w:i/>
          <w:spacing w:val="10"/>
          <w:w w:val="105"/>
          <w:sz w:val="18"/>
        </w:rPr>
        <w:t xml:space="preserve"> </w:t>
      </w:r>
      <w:r w:rsidRPr="00283806">
        <w:rPr>
          <w:rFonts w:ascii="Book Antiqua"/>
          <w:i/>
          <w:w w:val="105"/>
          <w:sz w:val="18"/>
        </w:rPr>
        <w:t>circuit,</w:t>
      </w:r>
      <w:r w:rsidRPr="00283806">
        <w:rPr>
          <w:rFonts w:ascii="Book Antiqua"/>
          <w:i/>
          <w:spacing w:val="10"/>
          <w:w w:val="105"/>
          <w:sz w:val="18"/>
        </w:rPr>
        <w:t xml:space="preserve"> </w:t>
      </w:r>
      <w:r w:rsidRPr="00283806">
        <w:rPr>
          <w:w w:val="105"/>
          <w:sz w:val="18"/>
        </w:rPr>
        <w:t>as</w:t>
      </w:r>
      <w:r w:rsidRPr="00283806">
        <w:rPr>
          <w:spacing w:val="15"/>
          <w:w w:val="105"/>
          <w:sz w:val="18"/>
        </w:rPr>
        <w:t xml:space="preserve"> </w:t>
      </w:r>
      <w:r w:rsidRPr="00283806">
        <w:rPr>
          <w:w w:val="105"/>
          <w:sz w:val="18"/>
        </w:rPr>
        <w:t>it</w:t>
      </w:r>
      <w:r w:rsidRPr="00283806">
        <w:rPr>
          <w:spacing w:val="16"/>
          <w:w w:val="105"/>
          <w:sz w:val="18"/>
        </w:rPr>
        <w:t xml:space="preserve"> </w:t>
      </w:r>
      <w:r w:rsidRPr="00283806">
        <w:rPr>
          <w:w w:val="105"/>
          <w:sz w:val="18"/>
        </w:rPr>
        <w:t>relates</w:t>
      </w:r>
      <w:r w:rsidRPr="00283806">
        <w:rPr>
          <w:spacing w:val="15"/>
          <w:w w:val="105"/>
          <w:sz w:val="18"/>
        </w:rPr>
        <w:t xml:space="preserve"> </w:t>
      </w:r>
      <w:r w:rsidRPr="00283806">
        <w:rPr>
          <w:w w:val="105"/>
          <w:sz w:val="18"/>
        </w:rPr>
        <w:t>to</w:t>
      </w:r>
      <w:r w:rsidRPr="00283806">
        <w:rPr>
          <w:spacing w:val="16"/>
          <w:w w:val="105"/>
          <w:sz w:val="18"/>
        </w:rPr>
        <w:t xml:space="preserve"> </w:t>
      </w:r>
      <w:r w:rsidRPr="00283806">
        <w:rPr>
          <w:spacing w:val="-10"/>
          <w:w w:val="105"/>
          <w:sz w:val="18"/>
        </w:rPr>
        <w:t>a</w:t>
      </w:r>
    </w:p>
    <w:p w14:paraId="0D9F2A53" w14:textId="77777777" w:rsidR="00D67C1E" w:rsidRPr="00283806" w:rsidRDefault="001265CA">
      <w:pPr>
        <w:pStyle w:val="BodyText"/>
        <w:spacing w:line="228" w:lineRule="auto"/>
        <w:ind w:right="3"/>
      </w:pPr>
      <w:r w:rsidRPr="00283806">
        <w:rPr>
          <w:w w:val="105"/>
        </w:rPr>
        <w:t>refrigerant-containing appliance, means the parts of an appliance that are normally connected to each other (or are separated only by internal valves) and are designed to contain refrigerant.</w:t>
      </w:r>
    </w:p>
    <w:p w14:paraId="2E277D9B" w14:textId="77777777" w:rsidR="00D67C1E" w:rsidRPr="00283806" w:rsidRDefault="001265CA">
      <w:pPr>
        <w:spacing w:line="184" w:lineRule="exact"/>
        <w:ind w:left="340"/>
        <w:rPr>
          <w:sz w:val="18"/>
        </w:rPr>
      </w:pPr>
      <w:proofErr w:type="gramStart"/>
      <w:r w:rsidRPr="00283806">
        <w:rPr>
          <w:rFonts w:ascii="Book Antiqua"/>
          <w:i/>
          <w:w w:val="110"/>
          <w:sz w:val="18"/>
        </w:rPr>
        <w:t>Reprocess,</w:t>
      </w:r>
      <w:proofErr w:type="gramEnd"/>
      <w:r w:rsidRPr="00283806">
        <w:rPr>
          <w:rFonts w:ascii="Book Antiqua"/>
          <w:i/>
          <w:spacing w:val="3"/>
          <w:w w:val="110"/>
          <w:sz w:val="18"/>
        </w:rPr>
        <w:t xml:space="preserve"> </w:t>
      </w:r>
      <w:r w:rsidRPr="00283806">
        <w:rPr>
          <w:w w:val="110"/>
          <w:sz w:val="18"/>
        </w:rPr>
        <w:t>means</w:t>
      </w:r>
      <w:r w:rsidRPr="00283806">
        <w:rPr>
          <w:spacing w:val="9"/>
          <w:w w:val="110"/>
          <w:sz w:val="18"/>
        </w:rPr>
        <w:t xml:space="preserve"> </w:t>
      </w:r>
      <w:r w:rsidRPr="00283806">
        <w:rPr>
          <w:w w:val="110"/>
          <w:sz w:val="18"/>
        </w:rPr>
        <w:t>using</w:t>
      </w:r>
      <w:r w:rsidRPr="00283806">
        <w:rPr>
          <w:spacing w:val="9"/>
          <w:w w:val="110"/>
          <w:sz w:val="18"/>
        </w:rPr>
        <w:t xml:space="preserve"> </w:t>
      </w:r>
      <w:r w:rsidRPr="00283806">
        <w:rPr>
          <w:spacing w:val="-2"/>
          <w:w w:val="110"/>
          <w:sz w:val="18"/>
        </w:rPr>
        <w:t>procedures</w:t>
      </w:r>
    </w:p>
    <w:p w14:paraId="3C0A79C7" w14:textId="77777777" w:rsidR="00D67C1E" w:rsidRPr="00283806" w:rsidRDefault="001265CA">
      <w:pPr>
        <w:pStyle w:val="BodyText"/>
        <w:spacing w:line="228" w:lineRule="auto"/>
        <w:ind w:right="83"/>
      </w:pPr>
      <w:r w:rsidRPr="00283806">
        <w:rPr>
          <w:w w:val="105"/>
        </w:rPr>
        <w:t>such as filtering, drying, distillation,</w:t>
      </w:r>
      <w:r w:rsidRPr="00283806">
        <w:rPr>
          <w:spacing w:val="80"/>
          <w:w w:val="150"/>
        </w:rPr>
        <w:t xml:space="preserve"> </w:t>
      </w:r>
      <w:r w:rsidRPr="00283806">
        <w:rPr>
          <w:w w:val="105"/>
        </w:rPr>
        <w:t>and other chemical procedures to remove impurities from a regulated substance</w:t>
      </w:r>
      <w:r w:rsidRPr="00283806">
        <w:rPr>
          <w:spacing w:val="-2"/>
          <w:w w:val="105"/>
        </w:rPr>
        <w:t xml:space="preserve"> </w:t>
      </w:r>
      <w:r w:rsidRPr="00283806">
        <w:rPr>
          <w:w w:val="105"/>
        </w:rPr>
        <w:t>or</w:t>
      </w:r>
      <w:r w:rsidRPr="00283806">
        <w:rPr>
          <w:spacing w:val="-3"/>
          <w:w w:val="105"/>
        </w:rPr>
        <w:t xml:space="preserve"> </w:t>
      </w:r>
      <w:r w:rsidRPr="00283806">
        <w:rPr>
          <w:w w:val="105"/>
        </w:rPr>
        <w:t>a</w:t>
      </w:r>
      <w:r w:rsidRPr="00283806">
        <w:rPr>
          <w:spacing w:val="-2"/>
          <w:w w:val="105"/>
        </w:rPr>
        <w:t xml:space="preserve"> </w:t>
      </w:r>
      <w:r w:rsidRPr="00283806">
        <w:rPr>
          <w:w w:val="105"/>
        </w:rPr>
        <w:t>substitute</w:t>
      </w:r>
      <w:r w:rsidRPr="00283806">
        <w:rPr>
          <w:spacing w:val="-3"/>
          <w:w w:val="105"/>
        </w:rPr>
        <w:t xml:space="preserve"> </w:t>
      </w:r>
      <w:r w:rsidRPr="00283806">
        <w:rPr>
          <w:w w:val="105"/>
        </w:rPr>
        <w:t>for</w:t>
      </w:r>
      <w:r w:rsidRPr="00283806">
        <w:rPr>
          <w:spacing w:val="-2"/>
          <w:w w:val="105"/>
        </w:rPr>
        <w:t xml:space="preserve"> </w:t>
      </w:r>
      <w:r w:rsidRPr="00283806">
        <w:rPr>
          <w:w w:val="105"/>
        </w:rPr>
        <w:t>a</w:t>
      </w:r>
      <w:r w:rsidRPr="00283806">
        <w:rPr>
          <w:spacing w:val="-3"/>
          <w:w w:val="105"/>
        </w:rPr>
        <w:t xml:space="preserve"> </w:t>
      </w:r>
      <w:r w:rsidRPr="00283806">
        <w:rPr>
          <w:w w:val="105"/>
        </w:rPr>
        <w:t xml:space="preserve">regulated </w:t>
      </w:r>
      <w:r w:rsidRPr="00283806">
        <w:rPr>
          <w:spacing w:val="-2"/>
          <w:w w:val="105"/>
        </w:rPr>
        <w:t>substance.</w:t>
      </w:r>
    </w:p>
    <w:p w14:paraId="78EE924B" w14:textId="77777777" w:rsidR="00D67C1E" w:rsidRPr="00283806" w:rsidRDefault="001265CA">
      <w:pPr>
        <w:pStyle w:val="BodyText"/>
        <w:spacing w:line="216" w:lineRule="auto"/>
        <w:ind w:right="83" w:firstLine="180"/>
      </w:pPr>
      <w:r w:rsidRPr="00283806">
        <w:rPr>
          <w:rFonts w:ascii="Book Antiqua"/>
          <w:i/>
          <w:w w:val="105"/>
        </w:rPr>
        <w:t>Retire,</w:t>
      </w:r>
      <w:r w:rsidRPr="00283806">
        <w:rPr>
          <w:rFonts w:ascii="Book Antiqua"/>
          <w:i/>
          <w:spacing w:val="-7"/>
          <w:w w:val="105"/>
        </w:rPr>
        <w:t xml:space="preserve"> </w:t>
      </w:r>
      <w:r w:rsidRPr="00283806">
        <w:rPr>
          <w:w w:val="105"/>
        </w:rPr>
        <w:t>as</w:t>
      </w:r>
      <w:r w:rsidRPr="00283806">
        <w:rPr>
          <w:spacing w:val="-2"/>
          <w:w w:val="105"/>
        </w:rPr>
        <w:t xml:space="preserve"> </w:t>
      </w:r>
      <w:r w:rsidRPr="00283806">
        <w:rPr>
          <w:w w:val="105"/>
        </w:rPr>
        <w:t>it</w:t>
      </w:r>
      <w:r w:rsidRPr="00283806">
        <w:rPr>
          <w:spacing w:val="-2"/>
          <w:w w:val="105"/>
        </w:rPr>
        <w:t xml:space="preserve"> </w:t>
      </w:r>
      <w:r w:rsidRPr="00283806">
        <w:rPr>
          <w:w w:val="105"/>
        </w:rPr>
        <w:t>relates</w:t>
      </w:r>
      <w:r w:rsidRPr="00283806">
        <w:rPr>
          <w:spacing w:val="-2"/>
          <w:w w:val="105"/>
        </w:rPr>
        <w:t xml:space="preserve"> </w:t>
      </w:r>
      <w:r w:rsidRPr="00283806">
        <w:rPr>
          <w:w w:val="105"/>
        </w:rPr>
        <w:t>to</w:t>
      </w:r>
      <w:r w:rsidRPr="00283806">
        <w:rPr>
          <w:spacing w:val="-2"/>
          <w:w w:val="105"/>
        </w:rPr>
        <w:t xml:space="preserve"> </w:t>
      </w:r>
      <w:r w:rsidRPr="00283806">
        <w:rPr>
          <w:w w:val="105"/>
        </w:rPr>
        <w:t>a</w:t>
      </w:r>
      <w:r w:rsidRPr="00283806">
        <w:rPr>
          <w:spacing w:val="-2"/>
          <w:w w:val="105"/>
        </w:rPr>
        <w:t xml:space="preserve"> </w:t>
      </w:r>
      <w:r w:rsidRPr="00283806">
        <w:rPr>
          <w:w w:val="105"/>
        </w:rPr>
        <w:t>refrigerant- containing appliance, means the</w:t>
      </w:r>
    </w:p>
    <w:p w14:paraId="736F40A1" w14:textId="77777777" w:rsidR="00D67C1E" w:rsidRPr="00283806" w:rsidRDefault="001265CA">
      <w:pPr>
        <w:pStyle w:val="BodyText"/>
        <w:spacing w:line="228" w:lineRule="auto"/>
        <w:ind w:right="83"/>
      </w:pPr>
      <w:r w:rsidRPr="00283806">
        <w:rPr>
          <w:w w:val="105"/>
        </w:rPr>
        <w:t xml:space="preserve">removal of the refrigerant and the disassembly or impairment of the refrigerant circuit such that the appliance </w:t>
      </w:r>
      <w:proofErr w:type="gramStart"/>
      <w:r w:rsidRPr="00283806">
        <w:rPr>
          <w:w w:val="105"/>
        </w:rPr>
        <w:t>as a whole is</w:t>
      </w:r>
      <w:proofErr w:type="gramEnd"/>
      <w:r w:rsidRPr="00283806">
        <w:rPr>
          <w:w w:val="105"/>
        </w:rPr>
        <w:t xml:space="preserve"> rendered unusable</w:t>
      </w:r>
      <w:r w:rsidRPr="00283806">
        <w:rPr>
          <w:spacing w:val="10"/>
          <w:w w:val="105"/>
        </w:rPr>
        <w:t xml:space="preserve"> </w:t>
      </w:r>
      <w:r w:rsidRPr="00283806">
        <w:rPr>
          <w:w w:val="105"/>
        </w:rPr>
        <w:t>by</w:t>
      </w:r>
      <w:r w:rsidRPr="00283806">
        <w:rPr>
          <w:spacing w:val="11"/>
          <w:w w:val="105"/>
        </w:rPr>
        <w:t xml:space="preserve"> </w:t>
      </w:r>
      <w:r w:rsidRPr="00283806">
        <w:rPr>
          <w:w w:val="105"/>
        </w:rPr>
        <w:t>any</w:t>
      </w:r>
      <w:r w:rsidRPr="00283806">
        <w:rPr>
          <w:spacing w:val="11"/>
          <w:w w:val="105"/>
        </w:rPr>
        <w:t xml:space="preserve"> </w:t>
      </w:r>
      <w:r w:rsidRPr="00283806">
        <w:rPr>
          <w:w w:val="105"/>
        </w:rPr>
        <w:t>person</w:t>
      </w:r>
      <w:r w:rsidRPr="00283806">
        <w:rPr>
          <w:spacing w:val="10"/>
          <w:w w:val="105"/>
        </w:rPr>
        <w:t xml:space="preserve"> </w:t>
      </w:r>
      <w:r w:rsidRPr="00283806">
        <w:rPr>
          <w:w w:val="105"/>
        </w:rPr>
        <w:t>in</w:t>
      </w:r>
      <w:r w:rsidRPr="00283806">
        <w:rPr>
          <w:spacing w:val="11"/>
          <w:w w:val="105"/>
        </w:rPr>
        <w:t xml:space="preserve"> </w:t>
      </w:r>
      <w:r w:rsidRPr="00283806">
        <w:rPr>
          <w:w w:val="105"/>
        </w:rPr>
        <w:t>the</w:t>
      </w:r>
      <w:r w:rsidRPr="00283806">
        <w:rPr>
          <w:spacing w:val="11"/>
          <w:w w:val="105"/>
        </w:rPr>
        <w:t xml:space="preserve"> </w:t>
      </w:r>
      <w:r w:rsidRPr="00283806">
        <w:rPr>
          <w:spacing w:val="-2"/>
          <w:w w:val="105"/>
        </w:rPr>
        <w:t>future.</w:t>
      </w:r>
    </w:p>
    <w:p w14:paraId="0E0F4439" w14:textId="77777777" w:rsidR="00D67C1E" w:rsidRPr="00283806" w:rsidRDefault="001265CA">
      <w:pPr>
        <w:spacing w:line="216" w:lineRule="auto"/>
        <w:ind w:left="160" w:right="60" w:firstLine="180"/>
        <w:rPr>
          <w:sz w:val="18"/>
        </w:rPr>
      </w:pPr>
      <w:r w:rsidRPr="00283806">
        <w:rPr>
          <w:rFonts w:ascii="Book Antiqua"/>
          <w:i/>
          <w:w w:val="105"/>
          <w:sz w:val="18"/>
        </w:rPr>
        <w:t xml:space="preserve">Seasonal variance, </w:t>
      </w:r>
      <w:r w:rsidRPr="00283806">
        <w:rPr>
          <w:w w:val="105"/>
          <w:sz w:val="18"/>
        </w:rPr>
        <w:t>as it relates to a refrigerant-containing appliance, means</w:t>
      </w:r>
    </w:p>
    <w:p w14:paraId="7AB8E930" w14:textId="77777777" w:rsidR="00D67C1E" w:rsidRPr="00283806" w:rsidRDefault="001265CA">
      <w:pPr>
        <w:pStyle w:val="BodyText"/>
        <w:spacing w:line="228" w:lineRule="auto"/>
        <w:ind w:right="83"/>
      </w:pPr>
      <w:r w:rsidRPr="00283806">
        <w:rPr>
          <w:w w:val="105"/>
        </w:rPr>
        <w:t>the removal of refrigerant from an appliance due to a change in ambient</w:t>
      </w:r>
    </w:p>
    <w:p w14:paraId="22D6D644" w14:textId="77777777" w:rsidR="00D67C1E" w:rsidRPr="00283806" w:rsidRDefault="001265CA">
      <w:pPr>
        <w:pStyle w:val="BodyText"/>
        <w:spacing w:before="134" w:line="225" w:lineRule="auto"/>
        <w:ind w:left="149" w:right="109"/>
      </w:pPr>
      <w:r w:rsidRPr="00283806">
        <w:br w:type="column"/>
      </w:r>
      <w:r w:rsidRPr="00283806">
        <w:rPr>
          <w:w w:val="105"/>
        </w:rPr>
        <w:t>conditions caused by a change in</w:t>
      </w:r>
      <w:r w:rsidRPr="00283806">
        <w:rPr>
          <w:spacing w:val="80"/>
          <w:w w:val="105"/>
        </w:rPr>
        <w:t xml:space="preserve"> </w:t>
      </w:r>
      <w:r w:rsidRPr="00283806">
        <w:rPr>
          <w:w w:val="105"/>
        </w:rPr>
        <w:t>season, followed by the subsequent addition of an amount that is less than</w:t>
      </w:r>
      <w:r w:rsidRPr="00283806">
        <w:rPr>
          <w:spacing w:val="40"/>
          <w:w w:val="105"/>
        </w:rPr>
        <w:t xml:space="preserve"> </w:t>
      </w:r>
      <w:r w:rsidRPr="00283806">
        <w:rPr>
          <w:w w:val="105"/>
        </w:rPr>
        <w:t>or equal to the amount of refrigerant removed in the prior change in season, where both the removal and addition of refrigerant occurs within one consecutive 12-month period.</w:t>
      </w:r>
    </w:p>
    <w:p w14:paraId="26E6C40C" w14:textId="77777777" w:rsidR="00D67C1E" w:rsidRPr="00283806" w:rsidRDefault="001265CA">
      <w:pPr>
        <w:spacing w:line="220" w:lineRule="auto"/>
        <w:ind w:left="149" w:right="72" w:firstLine="180"/>
        <w:rPr>
          <w:sz w:val="18"/>
        </w:rPr>
      </w:pPr>
      <w:r w:rsidRPr="00283806">
        <w:rPr>
          <w:rFonts w:ascii="Book Antiqua"/>
          <w:i/>
          <w:w w:val="105"/>
          <w:sz w:val="18"/>
        </w:rPr>
        <w:t xml:space="preserve">Stationary refrigerant-containing equipment </w:t>
      </w:r>
      <w:r w:rsidRPr="00283806">
        <w:rPr>
          <w:w w:val="105"/>
          <w:sz w:val="18"/>
        </w:rPr>
        <w:t>means refrigerant-containing equipment, as defined in this subpart, that is not an MVAC or MVAC-like appliance, as defined in this subpart.</w:t>
      </w:r>
    </w:p>
    <w:p w14:paraId="7DFBD5ED" w14:textId="77777777" w:rsidR="00D67C1E" w:rsidRPr="00283806" w:rsidRDefault="001265CA">
      <w:pPr>
        <w:pStyle w:val="BodyText"/>
        <w:spacing w:line="177" w:lineRule="exact"/>
        <w:ind w:left="329"/>
      </w:pPr>
      <w:r w:rsidRPr="00283806">
        <w:rPr>
          <w:w w:val="110"/>
        </w:rPr>
        <w:t>EPA</w:t>
      </w:r>
      <w:r w:rsidRPr="00283806">
        <w:rPr>
          <w:spacing w:val="-7"/>
          <w:w w:val="110"/>
        </w:rPr>
        <w:t xml:space="preserve"> </w:t>
      </w:r>
      <w:r w:rsidRPr="00283806">
        <w:rPr>
          <w:w w:val="110"/>
        </w:rPr>
        <w:t>notes</w:t>
      </w:r>
      <w:r w:rsidRPr="00283806">
        <w:rPr>
          <w:spacing w:val="-7"/>
          <w:w w:val="110"/>
        </w:rPr>
        <w:t xml:space="preserve"> </w:t>
      </w:r>
      <w:r w:rsidRPr="00283806">
        <w:rPr>
          <w:w w:val="110"/>
        </w:rPr>
        <w:t>that</w:t>
      </w:r>
      <w:r w:rsidRPr="00283806">
        <w:rPr>
          <w:spacing w:val="-7"/>
          <w:w w:val="110"/>
        </w:rPr>
        <w:t xml:space="preserve"> </w:t>
      </w:r>
      <w:r w:rsidRPr="00283806">
        <w:rPr>
          <w:w w:val="110"/>
        </w:rPr>
        <w:t>for</w:t>
      </w:r>
      <w:r w:rsidRPr="00283806">
        <w:rPr>
          <w:spacing w:val="-7"/>
          <w:w w:val="110"/>
        </w:rPr>
        <w:t xml:space="preserve"> </w:t>
      </w:r>
      <w:r w:rsidRPr="00283806">
        <w:rPr>
          <w:w w:val="110"/>
        </w:rPr>
        <w:t>this</w:t>
      </w:r>
      <w:r w:rsidRPr="00283806">
        <w:rPr>
          <w:spacing w:val="-7"/>
          <w:w w:val="110"/>
        </w:rPr>
        <w:t xml:space="preserve"> </w:t>
      </w:r>
      <w:r w:rsidRPr="00283806">
        <w:rPr>
          <w:w w:val="110"/>
        </w:rPr>
        <w:t>definition</w:t>
      </w:r>
      <w:r w:rsidRPr="00283806">
        <w:rPr>
          <w:spacing w:val="-7"/>
          <w:w w:val="110"/>
        </w:rPr>
        <w:t xml:space="preserve"> </w:t>
      </w:r>
      <w:r w:rsidRPr="00283806">
        <w:rPr>
          <w:spacing w:val="-5"/>
          <w:w w:val="110"/>
        </w:rPr>
        <w:t>the</w:t>
      </w:r>
    </w:p>
    <w:p w14:paraId="414ACF92" w14:textId="77777777" w:rsidR="00D67C1E" w:rsidRPr="00283806" w:rsidRDefault="001265CA">
      <w:pPr>
        <w:pStyle w:val="BodyText"/>
        <w:spacing w:line="225" w:lineRule="auto"/>
        <w:ind w:left="149"/>
      </w:pPr>
      <w:r w:rsidRPr="00283806">
        <w:rPr>
          <w:w w:val="110"/>
        </w:rPr>
        <w:t>phrase ‘‘motor vehicle air conditioner’’ was</w:t>
      </w:r>
      <w:r w:rsidRPr="00283806">
        <w:rPr>
          <w:spacing w:val="-11"/>
          <w:w w:val="110"/>
        </w:rPr>
        <w:t xml:space="preserve"> </w:t>
      </w:r>
      <w:r w:rsidRPr="00283806">
        <w:rPr>
          <w:w w:val="110"/>
        </w:rPr>
        <w:t>used</w:t>
      </w:r>
      <w:r w:rsidRPr="00283806">
        <w:rPr>
          <w:spacing w:val="-11"/>
          <w:w w:val="110"/>
        </w:rPr>
        <w:t xml:space="preserve"> </w:t>
      </w:r>
      <w:r w:rsidRPr="00283806">
        <w:rPr>
          <w:w w:val="110"/>
        </w:rPr>
        <w:t>in</w:t>
      </w:r>
      <w:r w:rsidRPr="00283806">
        <w:rPr>
          <w:spacing w:val="-11"/>
          <w:w w:val="110"/>
        </w:rPr>
        <w:t xml:space="preserve"> </w:t>
      </w:r>
      <w:r w:rsidRPr="00283806">
        <w:rPr>
          <w:w w:val="110"/>
        </w:rPr>
        <w:t>the</w:t>
      </w:r>
      <w:r w:rsidRPr="00283806">
        <w:rPr>
          <w:spacing w:val="-11"/>
          <w:w w:val="110"/>
        </w:rPr>
        <w:t xml:space="preserve"> </w:t>
      </w:r>
      <w:r w:rsidRPr="00283806">
        <w:rPr>
          <w:w w:val="110"/>
        </w:rPr>
        <w:t>proposed</w:t>
      </w:r>
      <w:r w:rsidRPr="00283806">
        <w:rPr>
          <w:spacing w:val="-11"/>
          <w:w w:val="110"/>
        </w:rPr>
        <w:t xml:space="preserve"> </w:t>
      </w:r>
      <w:r w:rsidRPr="00283806">
        <w:rPr>
          <w:w w:val="110"/>
        </w:rPr>
        <w:t>definition,</w:t>
      </w:r>
      <w:r w:rsidRPr="00283806">
        <w:rPr>
          <w:spacing w:val="-11"/>
          <w:w w:val="110"/>
        </w:rPr>
        <w:t xml:space="preserve"> </w:t>
      </w:r>
      <w:r w:rsidRPr="00283806">
        <w:rPr>
          <w:w w:val="110"/>
        </w:rPr>
        <w:t xml:space="preserve">but in the final definition EPA is replacing that phrase with its abbreviation ‘‘MVAC’’ to maintain consistency with other definitions in this rule. This </w:t>
      </w:r>
      <w:r w:rsidRPr="00283806">
        <w:rPr>
          <w:spacing w:val="-2"/>
          <w:w w:val="110"/>
        </w:rPr>
        <w:t>change</w:t>
      </w:r>
      <w:r w:rsidRPr="00283806">
        <w:rPr>
          <w:spacing w:val="-7"/>
          <w:w w:val="110"/>
        </w:rPr>
        <w:t xml:space="preserve"> </w:t>
      </w:r>
      <w:r w:rsidRPr="00283806">
        <w:rPr>
          <w:spacing w:val="-2"/>
          <w:w w:val="110"/>
        </w:rPr>
        <w:t>does</w:t>
      </w:r>
      <w:r w:rsidRPr="00283806">
        <w:rPr>
          <w:spacing w:val="-7"/>
          <w:w w:val="110"/>
        </w:rPr>
        <w:t xml:space="preserve"> </w:t>
      </w:r>
      <w:r w:rsidRPr="00283806">
        <w:rPr>
          <w:spacing w:val="-2"/>
          <w:w w:val="110"/>
        </w:rPr>
        <w:t>not</w:t>
      </w:r>
      <w:r w:rsidRPr="00283806">
        <w:rPr>
          <w:spacing w:val="-7"/>
          <w:w w:val="110"/>
        </w:rPr>
        <w:t xml:space="preserve"> </w:t>
      </w:r>
      <w:r w:rsidRPr="00283806">
        <w:rPr>
          <w:spacing w:val="-2"/>
          <w:w w:val="110"/>
        </w:rPr>
        <w:t>alter</w:t>
      </w:r>
      <w:r w:rsidRPr="00283806">
        <w:rPr>
          <w:spacing w:val="-7"/>
          <w:w w:val="110"/>
        </w:rPr>
        <w:t xml:space="preserve"> </w:t>
      </w:r>
      <w:r w:rsidRPr="00283806">
        <w:rPr>
          <w:spacing w:val="-2"/>
          <w:w w:val="110"/>
        </w:rPr>
        <w:t>the</w:t>
      </w:r>
      <w:r w:rsidRPr="00283806">
        <w:rPr>
          <w:spacing w:val="-7"/>
          <w:w w:val="110"/>
        </w:rPr>
        <w:t xml:space="preserve"> </w:t>
      </w:r>
      <w:r w:rsidRPr="00283806">
        <w:rPr>
          <w:spacing w:val="-2"/>
          <w:w w:val="110"/>
        </w:rPr>
        <w:t>meaning</w:t>
      </w:r>
      <w:r w:rsidRPr="00283806">
        <w:rPr>
          <w:spacing w:val="-7"/>
          <w:w w:val="110"/>
        </w:rPr>
        <w:t xml:space="preserve"> </w:t>
      </w:r>
      <w:r w:rsidRPr="00283806">
        <w:rPr>
          <w:spacing w:val="-2"/>
          <w:w w:val="110"/>
        </w:rPr>
        <w:t>of</w:t>
      </w:r>
      <w:r w:rsidRPr="00283806">
        <w:rPr>
          <w:spacing w:val="-7"/>
          <w:w w:val="110"/>
        </w:rPr>
        <w:t xml:space="preserve"> </w:t>
      </w:r>
      <w:r w:rsidRPr="00283806">
        <w:rPr>
          <w:spacing w:val="-2"/>
          <w:w w:val="110"/>
        </w:rPr>
        <w:t>the term.</w:t>
      </w:r>
    </w:p>
    <w:p w14:paraId="6E09F239" w14:textId="77777777" w:rsidR="00D67C1E" w:rsidRPr="00283806" w:rsidRDefault="001265CA">
      <w:pPr>
        <w:pStyle w:val="BodyText"/>
        <w:spacing w:line="213" w:lineRule="auto"/>
        <w:ind w:left="149" w:right="72" w:firstLine="180"/>
      </w:pPr>
      <w:r w:rsidRPr="00283806">
        <w:rPr>
          <w:rFonts w:ascii="Book Antiqua"/>
          <w:i/>
          <w:w w:val="105"/>
        </w:rPr>
        <w:t xml:space="preserve">Technician, </w:t>
      </w:r>
      <w:r w:rsidRPr="00283806">
        <w:rPr>
          <w:w w:val="105"/>
        </w:rPr>
        <w:t>as it relates to any person who works with refrigerant-containing</w:t>
      </w:r>
    </w:p>
    <w:p w14:paraId="0E9E5AEA" w14:textId="77777777" w:rsidR="00D67C1E" w:rsidRPr="00283806" w:rsidRDefault="001265CA">
      <w:pPr>
        <w:pStyle w:val="BodyText"/>
        <w:spacing w:line="225" w:lineRule="auto"/>
        <w:ind w:left="149" w:right="98"/>
      </w:pPr>
      <w:r w:rsidRPr="00283806">
        <w:rPr>
          <w:w w:val="105"/>
        </w:rPr>
        <w:t xml:space="preserve">appliances, means any person who </w:t>
      </w:r>
      <w:proofErr w:type="gramStart"/>
      <w:r w:rsidRPr="00283806">
        <w:rPr>
          <w:w w:val="105"/>
        </w:rPr>
        <w:t>in the course of</w:t>
      </w:r>
      <w:proofErr w:type="gramEnd"/>
      <w:r w:rsidRPr="00283806">
        <w:rPr>
          <w:w w:val="105"/>
        </w:rPr>
        <w:t xml:space="preserve"> servicing, repair, or installation of a refrigerant-containing appliance (except MVACs) could be reasonably expected to violate the integrity of the refrigerant circuit and therefore release refrigerants into the environment. Technician also means</w:t>
      </w:r>
      <w:r w:rsidRPr="00283806">
        <w:rPr>
          <w:spacing w:val="40"/>
          <w:w w:val="105"/>
        </w:rPr>
        <w:t xml:space="preserve"> </w:t>
      </w:r>
      <w:r w:rsidRPr="00283806">
        <w:rPr>
          <w:w w:val="105"/>
        </w:rPr>
        <w:t xml:space="preserve">any person who, </w:t>
      </w:r>
      <w:proofErr w:type="gramStart"/>
      <w:r w:rsidRPr="00283806">
        <w:rPr>
          <w:w w:val="105"/>
        </w:rPr>
        <w:t>in the course of</w:t>
      </w:r>
      <w:proofErr w:type="gramEnd"/>
      <w:r w:rsidRPr="00283806">
        <w:rPr>
          <w:w w:val="105"/>
        </w:rPr>
        <w:t xml:space="preserve"> disposal of a refrigerant-containing appliance (except small appliances as defined in 40 CFR 82.152, MVACs, and MVAC-like appliances), could be reasonably expected to violate the integrity of the refrigerant circuit and therefore release refrigerants from the appliance into the environment.</w:t>
      </w:r>
    </w:p>
    <w:p w14:paraId="6C126D31" w14:textId="77777777" w:rsidR="00D67C1E" w:rsidRPr="00283806" w:rsidRDefault="001265CA">
      <w:pPr>
        <w:pStyle w:val="BodyText"/>
        <w:spacing w:line="225" w:lineRule="auto"/>
        <w:ind w:left="149"/>
      </w:pPr>
      <w:r w:rsidRPr="00283806">
        <w:rPr>
          <w:w w:val="105"/>
        </w:rPr>
        <w:t xml:space="preserve">Activities </w:t>
      </w:r>
      <w:proofErr w:type="gramStart"/>
      <w:r w:rsidRPr="00283806">
        <w:rPr>
          <w:w w:val="105"/>
        </w:rPr>
        <w:t>reasonably</w:t>
      </w:r>
      <w:proofErr w:type="gramEnd"/>
      <w:r w:rsidRPr="00283806">
        <w:rPr>
          <w:w w:val="105"/>
        </w:rPr>
        <w:t xml:space="preserve"> expected to violate the integrity of the refrigerant circuit include but are not limited to: Attaching or detaching hoses and gauges to and from the appliance; adding or removing refrigerant; adding or removing components; and cutting the refrigerant line. Activities such as painting the appliance,</w:t>
      </w:r>
      <w:r w:rsidRPr="00283806">
        <w:rPr>
          <w:spacing w:val="40"/>
          <w:w w:val="105"/>
        </w:rPr>
        <w:t xml:space="preserve"> </w:t>
      </w:r>
      <w:r w:rsidRPr="00283806">
        <w:rPr>
          <w:w w:val="105"/>
        </w:rPr>
        <w:t>rewiring</w:t>
      </w:r>
      <w:r w:rsidRPr="00283806">
        <w:rPr>
          <w:spacing w:val="40"/>
          <w:w w:val="105"/>
        </w:rPr>
        <w:t xml:space="preserve"> </w:t>
      </w:r>
      <w:r w:rsidRPr="00283806">
        <w:rPr>
          <w:w w:val="105"/>
        </w:rPr>
        <w:t>an</w:t>
      </w:r>
      <w:r w:rsidRPr="00283806">
        <w:rPr>
          <w:spacing w:val="40"/>
          <w:w w:val="105"/>
        </w:rPr>
        <w:t xml:space="preserve"> </w:t>
      </w:r>
      <w:r w:rsidRPr="00283806">
        <w:rPr>
          <w:w w:val="105"/>
        </w:rPr>
        <w:t>external electrical</w:t>
      </w:r>
      <w:r w:rsidRPr="00283806">
        <w:rPr>
          <w:spacing w:val="40"/>
          <w:w w:val="105"/>
        </w:rPr>
        <w:t xml:space="preserve"> </w:t>
      </w:r>
      <w:r w:rsidRPr="00283806">
        <w:rPr>
          <w:w w:val="105"/>
        </w:rPr>
        <w:t>circuit,</w:t>
      </w:r>
      <w:r w:rsidRPr="00283806">
        <w:rPr>
          <w:spacing w:val="40"/>
          <w:w w:val="105"/>
        </w:rPr>
        <w:t xml:space="preserve"> </w:t>
      </w:r>
      <w:r w:rsidRPr="00283806">
        <w:rPr>
          <w:w w:val="105"/>
        </w:rPr>
        <w:t>replacing</w:t>
      </w:r>
      <w:r w:rsidRPr="00283806">
        <w:rPr>
          <w:spacing w:val="40"/>
          <w:w w:val="105"/>
        </w:rPr>
        <w:t xml:space="preserve"> </w:t>
      </w:r>
      <w:r w:rsidRPr="00283806">
        <w:rPr>
          <w:w w:val="105"/>
        </w:rPr>
        <w:t>insulation</w:t>
      </w:r>
      <w:r w:rsidRPr="00283806">
        <w:rPr>
          <w:spacing w:val="40"/>
          <w:w w:val="105"/>
        </w:rPr>
        <w:t xml:space="preserve"> </w:t>
      </w:r>
      <w:r w:rsidRPr="00283806">
        <w:rPr>
          <w:w w:val="105"/>
        </w:rPr>
        <w:t xml:space="preserve">on a </w:t>
      </w:r>
      <w:proofErr w:type="gramStart"/>
      <w:r w:rsidRPr="00283806">
        <w:rPr>
          <w:w w:val="105"/>
        </w:rPr>
        <w:t>length of pipe</w:t>
      </w:r>
      <w:proofErr w:type="gramEnd"/>
      <w:r w:rsidRPr="00283806">
        <w:rPr>
          <w:w w:val="105"/>
        </w:rPr>
        <w:t>, or tightening nuts</w:t>
      </w:r>
      <w:r w:rsidRPr="00283806">
        <w:rPr>
          <w:spacing w:val="40"/>
          <w:w w:val="105"/>
        </w:rPr>
        <w:t xml:space="preserve"> </w:t>
      </w:r>
      <w:r w:rsidRPr="00283806">
        <w:rPr>
          <w:w w:val="105"/>
        </w:rPr>
        <w:t>and bolts are not reasonably expected to violate the integrity of the refrigerant circuit. Activities conducted on refrigerant-containing appliances that have been properly evacuated pursuant to 40 CFR 82.156 are not reasonably expected to release refrigerants unless the activity includes adding refrigerant</w:t>
      </w:r>
      <w:r w:rsidRPr="00283806">
        <w:rPr>
          <w:spacing w:val="80"/>
          <w:w w:val="105"/>
        </w:rPr>
        <w:t xml:space="preserve"> </w:t>
      </w:r>
      <w:r w:rsidRPr="00283806">
        <w:rPr>
          <w:w w:val="105"/>
        </w:rPr>
        <w:t>to</w:t>
      </w:r>
      <w:r w:rsidRPr="00283806">
        <w:rPr>
          <w:spacing w:val="40"/>
          <w:w w:val="105"/>
        </w:rPr>
        <w:t xml:space="preserve"> </w:t>
      </w:r>
      <w:r w:rsidRPr="00283806">
        <w:rPr>
          <w:w w:val="105"/>
        </w:rPr>
        <w:t>the</w:t>
      </w:r>
      <w:r w:rsidRPr="00283806">
        <w:rPr>
          <w:spacing w:val="40"/>
          <w:w w:val="105"/>
        </w:rPr>
        <w:t xml:space="preserve"> </w:t>
      </w:r>
      <w:r w:rsidRPr="00283806">
        <w:rPr>
          <w:w w:val="105"/>
        </w:rPr>
        <w:t>appliance.</w:t>
      </w:r>
      <w:r w:rsidRPr="00283806">
        <w:rPr>
          <w:spacing w:val="40"/>
          <w:w w:val="105"/>
        </w:rPr>
        <w:t xml:space="preserve"> </w:t>
      </w:r>
      <w:r w:rsidRPr="00283806">
        <w:rPr>
          <w:w w:val="105"/>
        </w:rPr>
        <w:t>Technicians</w:t>
      </w:r>
      <w:r w:rsidRPr="00283806">
        <w:rPr>
          <w:spacing w:val="40"/>
          <w:w w:val="105"/>
        </w:rPr>
        <w:t xml:space="preserve"> </w:t>
      </w:r>
      <w:r w:rsidRPr="00283806">
        <w:rPr>
          <w:w w:val="105"/>
        </w:rPr>
        <w:t>include but are not limited to installers, contractor employees, in-house service personnel, and owners and/or operators of refrigerant-containing appliances.</w:t>
      </w:r>
    </w:p>
    <w:p w14:paraId="19F3D4C2" w14:textId="77777777" w:rsidR="00D67C1E" w:rsidRPr="00283806" w:rsidRDefault="001265CA">
      <w:pPr>
        <w:pStyle w:val="BodyText"/>
        <w:spacing w:line="228" w:lineRule="auto"/>
        <w:ind w:left="149" w:right="72" w:firstLine="180"/>
      </w:pPr>
      <w:r w:rsidRPr="00283806">
        <w:rPr>
          <w:w w:val="105"/>
        </w:rPr>
        <w:t>EPA further notes that this definition deviates slightly from the definition of ‘‘technician’’ at 40 CFR 82.152 to conform with the AIM Act grant of</w:t>
      </w:r>
    </w:p>
    <w:p w14:paraId="3A35D5F1" w14:textId="77777777" w:rsidR="00D67C1E" w:rsidRPr="00283806" w:rsidRDefault="001265CA">
      <w:pPr>
        <w:pStyle w:val="BodyText"/>
        <w:spacing w:before="134" w:line="225" w:lineRule="auto"/>
        <w:ind w:left="153" w:right="163"/>
      </w:pPr>
      <w:r w:rsidRPr="00283806">
        <w:br w:type="column"/>
      </w:r>
      <w:r w:rsidRPr="00283806">
        <w:rPr>
          <w:w w:val="105"/>
        </w:rPr>
        <w:t>authority.</w:t>
      </w:r>
      <w:r w:rsidRPr="00283806">
        <w:rPr>
          <w:spacing w:val="40"/>
          <w:w w:val="105"/>
        </w:rPr>
        <w:t xml:space="preserve"> </w:t>
      </w:r>
      <w:r w:rsidRPr="00283806">
        <w:rPr>
          <w:w w:val="105"/>
        </w:rPr>
        <w:t>EPA</w:t>
      </w:r>
      <w:r w:rsidRPr="00283806">
        <w:rPr>
          <w:spacing w:val="40"/>
          <w:w w:val="105"/>
        </w:rPr>
        <w:t xml:space="preserve"> </w:t>
      </w:r>
      <w:r w:rsidRPr="00283806">
        <w:rPr>
          <w:w w:val="105"/>
        </w:rPr>
        <w:t>is</w:t>
      </w:r>
      <w:r w:rsidRPr="00283806">
        <w:rPr>
          <w:spacing w:val="40"/>
          <w:w w:val="105"/>
        </w:rPr>
        <w:t xml:space="preserve"> </w:t>
      </w:r>
      <w:r w:rsidRPr="00283806">
        <w:rPr>
          <w:w w:val="105"/>
        </w:rPr>
        <w:t>also</w:t>
      </w:r>
      <w:r w:rsidRPr="00283806">
        <w:rPr>
          <w:spacing w:val="40"/>
          <w:w w:val="105"/>
        </w:rPr>
        <w:t xml:space="preserve"> </w:t>
      </w:r>
      <w:r w:rsidRPr="00283806">
        <w:rPr>
          <w:w w:val="105"/>
        </w:rPr>
        <w:t xml:space="preserve">defining ‘‘certified technician’’ to make it clear that EPA is referring to </w:t>
      </w:r>
      <w:proofErr w:type="gramStart"/>
      <w:r w:rsidRPr="00283806">
        <w:rPr>
          <w:w w:val="105"/>
        </w:rPr>
        <w:t>persons</w:t>
      </w:r>
      <w:proofErr w:type="gramEnd"/>
      <w:r w:rsidRPr="00283806">
        <w:rPr>
          <w:w w:val="105"/>
        </w:rPr>
        <w:t xml:space="preserve"> certified per 40 CFR 82.161 for the purposes of these regulations. When specifically referring to technicians certified under 40 CFR part 82, subpart B, the term</w:t>
      </w:r>
      <w:r w:rsidRPr="00283806">
        <w:rPr>
          <w:spacing w:val="40"/>
          <w:w w:val="105"/>
        </w:rPr>
        <w:t xml:space="preserve"> </w:t>
      </w:r>
      <w:r w:rsidRPr="00283806">
        <w:rPr>
          <w:w w:val="105"/>
        </w:rPr>
        <w:t>‘‘609-certified technician’’ is used.</w:t>
      </w:r>
    </w:p>
    <w:p w14:paraId="3E5D529F" w14:textId="77777777" w:rsidR="00D67C1E" w:rsidRPr="00283806" w:rsidRDefault="001265CA">
      <w:pPr>
        <w:pStyle w:val="ListParagraph"/>
        <w:numPr>
          <w:ilvl w:val="0"/>
          <w:numId w:val="62"/>
        </w:numPr>
        <w:tabs>
          <w:tab w:val="left" w:pos="351"/>
        </w:tabs>
        <w:spacing w:before="95" w:line="225" w:lineRule="auto"/>
        <w:ind w:left="153" w:right="461" w:firstLine="0"/>
        <w:rPr>
          <w:sz w:val="18"/>
        </w:rPr>
      </w:pPr>
      <w:r w:rsidRPr="00283806">
        <w:rPr>
          <w:w w:val="105"/>
          <w:sz w:val="18"/>
        </w:rPr>
        <w:t>Terms That Received Comment or That EPA Is Modifying</w:t>
      </w:r>
    </w:p>
    <w:p w14:paraId="1D376FF6" w14:textId="77777777" w:rsidR="00D67C1E" w:rsidRPr="00283806" w:rsidRDefault="001265CA">
      <w:pPr>
        <w:pStyle w:val="BodyText"/>
        <w:spacing w:before="65" w:line="225" w:lineRule="auto"/>
        <w:ind w:left="153" w:right="177" w:firstLine="180"/>
      </w:pPr>
      <w:r w:rsidRPr="00283806">
        <w:rPr>
          <w:w w:val="105"/>
        </w:rPr>
        <w:t>This section discusses comments received on specific proposed</w:t>
      </w:r>
      <w:r w:rsidRPr="00283806">
        <w:rPr>
          <w:spacing w:val="80"/>
          <w:w w:val="105"/>
        </w:rPr>
        <w:t xml:space="preserve"> </w:t>
      </w:r>
      <w:r w:rsidRPr="00283806">
        <w:rPr>
          <w:w w:val="105"/>
        </w:rPr>
        <w:t>definitions, EPA’s responses to those comments, and any changes made to the final definitions in response to those comments. It also includes discussion of certain modifications in the final rule to definitions</w:t>
      </w:r>
      <w:r w:rsidRPr="00283806">
        <w:rPr>
          <w:spacing w:val="40"/>
          <w:w w:val="105"/>
        </w:rPr>
        <w:t xml:space="preserve"> </w:t>
      </w:r>
      <w:r w:rsidRPr="00283806">
        <w:rPr>
          <w:w w:val="105"/>
        </w:rPr>
        <w:t>that</w:t>
      </w:r>
      <w:r w:rsidRPr="00283806">
        <w:rPr>
          <w:spacing w:val="40"/>
          <w:w w:val="105"/>
        </w:rPr>
        <w:t xml:space="preserve"> </w:t>
      </w:r>
      <w:r w:rsidRPr="00283806">
        <w:rPr>
          <w:w w:val="105"/>
        </w:rPr>
        <w:t>did</w:t>
      </w:r>
      <w:r w:rsidRPr="00283806">
        <w:rPr>
          <w:spacing w:val="40"/>
          <w:w w:val="105"/>
        </w:rPr>
        <w:t xml:space="preserve"> </w:t>
      </w:r>
      <w:r w:rsidRPr="00283806">
        <w:rPr>
          <w:w w:val="105"/>
        </w:rPr>
        <w:t>not</w:t>
      </w:r>
      <w:r w:rsidRPr="00283806">
        <w:rPr>
          <w:spacing w:val="40"/>
          <w:w w:val="105"/>
        </w:rPr>
        <w:t xml:space="preserve"> </w:t>
      </w:r>
      <w:r w:rsidRPr="00283806">
        <w:rPr>
          <w:w w:val="105"/>
        </w:rPr>
        <w:t>receive comment as discussed previously.</w:t>
      </w:r>
    </w:p>
    <w:p w14:paraId="72CEEDCE" w14:textId="77777777" w:rsidR="00D67C1E" w:rsidRPr="00283806" w:rsidRDefault="001265CA">
      <w:pPr>
        <w:spacing w:line="182" w:lineRule="exact"/>
        <w:ind w:left="333"/>
        <w:rPr>
          <w:sz w:val="18"/>
        </w:rPr>
      </w:pPr>
      <w:r w:rsidRPr="00283806">
        <w:rPr>
          <w:rFonts w:ascii="Book Antiqua"/>
          <w:i/>
          <w:w w:val="110"/>
          <w:sz w:val="18"/>
        </w:rPr>
        <w:t>Comfort</w:t>
      </w:r>
      <w:r w:rsidRPr="00283806">
        <w:rPr>
          <w:rFonts w:ascii="Book Antiqua"/>
          <w:i/>
          <w:spacing w:val="1"/>
          <w:w w:val="110"/>
          <w:sz w:val="18"/>
        </w:rPr>
        <w:t xml:space="preserve"> </w:t>
      </w:r>
      <w:r w:rsidRPr="00283806">
        <w:rPr>
          <w:rFonts w:ascii="Book Antiqua"/>
          <w:i/>
          <w:w w:val="110"/>
          <w:sz w:val="18"/>
        </w:rPr>
        <w:t>cooling.</w:t>
      </w:r>
      <w:r w:rsidRPr="00283806">
        <w:rPr>
          <w:rFonts w:ascii="Book Antiqua"/>
          <w:i/>
          <w:spacing w:val="1"/>
          <w:w w:val="110"/>
          <w:sz w:val="18"/>
        </w:rPr>
        <w:t xml:space="preserve"> </w:t>
      </w:r>
      <w:r w:rsidRPr="00283806">
        <w:rPr>
          <w:w w:val="110"/>
          <w:sz w:val="18"/>
        </w:rPr>
        <w:t>EPA</w:t>
      </w:r>
      <w:r w:rsidRPr="00283806">
        <w:rPr>
          <w:spacing w:val="7"/>
          <w:w w:val="110"/>
          <w:sz w:val="18"/>
        </w:rPr>
        <w:t xml:space="preserve"> </w:t>
      </w:r>
      <w:r w:rsidRPr="00283806">
        <w:rPr>
          <w:w w:val="110"/>
          <w:sz w:val="18"/>
        </w:rPr>
        <w:t>proposed</w:t>
      </w:r>
      <w:r w:rsidRPr="00283806">
        <w:rPr>
          <w:spacing w:val="7"/>
          <w:w w:val="110"/>
          <w:sz w:val="18"/>
        </w:rPr>
        <w:t xml:space="preserve"> </w:t>
      </w:r>
      <w:r w:rsidRPr="00283806">
        <w:rPr>
          <w:spacing w:val="-5"/>
          <w:w w:val="110"/>
          <w:sz w:val="18"/>
        </w:rPr>
        <w:t>to</w:t>
      </w:r>
    </w:p>
    <w:p w14:paraId="0785F5F2" w14:textId="77777777" w:rsidR="00D67C1E" w:rsidRPr="00283806" w:rsidRDefault="001265CA">
      <w:pPr>
        <w:pStyle w:val="BodyText"/>
        <w:spacing w:line="225" w:lineRule="auto"/>
        <w:ind w:left="153" w:right="200"/>
      </w:pPr>
      <w:r w:rsidRPr="00283806">
        <w:rPr>
          <w:w w:val="105"/>
        </w:rPr>
        <w:t xml:space="preserve">define this term as ‘‘the refrigerant- containing appliances used for air conditioning to provide cooling </w:t>
      </w:r>
      <w:proofErr w:type="gramStart"/>
      <w:r w:rsidRPr="00283806">
        <w:rPr>
          <w:w w:val="105"/>
        </w:rPr>
        <w:t>in order to</w:t>
      </w:r>
      <w:proofErr w:type="gramEnd"/>
      <w:r w:rsidRPr="00283806">
        <w:rPr>
          <w:w w:val="105"/>
        </w:rPr>
        <w:t xml:space="preserve"> control heat and/or humidity in occupied facilities including but not limited to residential, office, and commercial buildings. Comfort cooling appliances</w:t>
      </w:r>
      <w:r w:rsidRPr="00283806">
        <w:rPr>
          <w:spacing w:val="40"/>
          <w:w w:val="105"/>
        </w:rPr>
        <w:t xml:space="preserve"> </w:t>
      </w:r>
      <w:r w:rsidRPr="00283806">
        <w:rPr>
          <w:w w:val="105"/>
        </w:rPr>
        <w:t>include</w:t>
      </w:r>
      <w:r w:rsidRPr="00283806">
        <w:rPr>
          <w:spacing w:val="40"/>
          <w:w w:val="105"/>
        </w:rPr>
        <w:t xml:space="preserve"> </w:t>
      </w:r>
      <w:r w:rsidRPr="00283806">
        <w:rPr>
          <w:w w:val="105"/>
        </w:rPr>
        <w:t>but</w:t>
      </w:r>
      <w:r w:rsidRPr="00283806">
        <w:rPr>
          <w:spacing w:val="40"/>
          <w:w w:val="105"/>
        </w:rPr>
        <w:t xml:space="preserve"> </w:t>
      </w:r>
      <w:r w:rsidRPr="00283806">
        <w:rPr>
          <w:w w:val="105"/>
        </w:rPr>
        <w:t>are</w:t>
      </w:r>
      <w:r w:rsidRPr="00283806">
        <w:rPr>
          <w:spacing w:val="40"/>
          <w:w w:val="105"/>
        </w:rPr>
        <w:t xml:space="preserve"> </w:t>
      </w:r>
      <w:r w:rsidRPr="00283806">
        <w:rPr>
          <w:w w:val="105"/>
        </w:rPr>
        <w:t>not</w:t>
      </w:r>
      <w:r w:rsidRPr="00283806">
        <w:rPr>
          <w:spacing w:val="40"/>
          <w:w w:val="105"/>
        </w:rPr>
        <w:t xml:space="preserve"> </w:t>
      </w:r>
      <w:r w:rsidRPr="00283806">
        <w:rPr>
          <w:w w:val="105"/>
        </w:rPr>
        <w:t>limited to chillers, commercial split systems,</w:t>
      </w:r>
      <w:r w:rsidRPr="00283806">
        <w:rPr>
          <w:spacing w:val="80"/>
          <w:w w:val="105"/>
        </w:rPr>
        <w:t xml:space="preserve"> </w:t>
      </w:r>
      <w:r w:rsidRPr="00283806">
        <w:rPr>
          <w:w w:val="105"/>
        </w:rPr>
        <w:t>and packaged roof-top units.’’</w:t>
      </w:r>
    </w:p>
    <w:p w14:paraId="3938ED00" w14:textId="77777777" w:rsidR="00D67C1E" w:rsidRPr="00283806" w:rsidRDefault="001265CA">
      <w:pPr>
        <w:pStyle w:val="BodyText"/>
        <w:spacing w:line="228" w:lineRule="auto"/>
        <w:ind w:left="153" w:right="230" w:firstLine="180"/>
      </w:pPr>
      <w:r w:rsidRPr="00283806">
        <w:rPr>
          <w:w w:val="105"/>
        </w:rPr>
        <w:t xml:space="preserve">As described </w:t>
      </w:r>
      <w:proofErr w:type="gramStart"/>
      <w:r w:rsidRPr="00283806">
        <w:rPr>
          <w:w w:val="105"/>
        </w:rPr>
        <w:t>below,</w:t>
      </w:r>
      <w:proofErr w:type="gramEnd"/>
      <w:r w:rsidRPr="00283806">
        <w:rPr>
          <w:w w:val="105"/>
        </w:rPr>
        <w:t xml:space="preserve"> after considering public comment on this definition, EPA</w:t>
      </w:r>
      <w:r w:rsidRPr="00283806">
        <w:rPr>
          <w:spacing w:val="40"/>
          <w:w w:val="105"/>
        </w:rPr>
        <w:t xml:space="preserve"> </w:t>
      </w:r>
      <w:r w:rsidRPr="00283806">
        <w:rPr>
          <w:w w:val="105"/>
        </w:rPr>
        <w:t xml:space="preserve">is modifying its definition of ‘‘comfort </w:t>
      </w:r>
      <w:proofErr w:type="gramStart"/>
      <w:r w:rsidRPr="00283806">
        <w:rPr>
          <w:w w:val="105"/>
        </w:rPr>
        <w:t>cooling’’</w:t>
      </w:r>
      <w:proofErr w:type="gramEnd"/>
      <w:r w:rsidRPr="00283806">
        <w:rPr>
          <w:w w:val="105"/>
        </w:rPr>
        <w:t xml:space="preserve"> to include dual-function heat pumps as an additional example of the </w:t>
      </w:r>
      <w:r w:rsidRPr="00283806">
        <w:rPr>
          <w:spacing w:val="-2"/>
          <w:w w:val="105"/>
        </w:rPr>
        <w:t>term.</w:t>
      </w:r>
    </w:p>
    <w:p w14:paraId="57E8F9A8" w14:textId="77777777" w:rsidR="00D67C1E" w:rsidRPr="00283806" w:rsidRDefault="001265CA">
      <w:pPr>
        <w:pStyle w:val="BodyText"/>
        <w:spacing w:line="216" w:lineRule="auto"/>
        <w:ind w:left="153" w:right="177" w:firstLine="180"/>
      </w:pPr>
      <w:r w:rsidRPr="00283806">
        <w:rPr>
          <w:rFonts w:ascii="Book Antiqua" w:hAnsi="Book Antiqua"/>
          <w:i/>
        </w:rPr>
        <w:t xml:space="preserve">Comment: </w:t>
      </w:r>
      <w:r w:rsidRPr="00283806">
        <w:t>One commenter requested</w:t>
      </w:r>
      <w:r w:rsidRPr="00283806">
        <w:rPr>
          <w:spacing w:val="40"/>
          <w:w w:val="110"/>
        </w:rPr>
        <w:t xml:space="preserve"> </w:t>
      </w:r>
      <w:r w:rsidRPr="00283806">
        <w:rPr>
          <w:w w:val="110"/>
        </w:rPr>
        <w:t>that EPA’s definition of ‘‘comfort</w:t>
      </w:r>
    </w:p>
    <w:p w14:paraId="1FBE8803" w14:textId="77777777" w:rsidR="00D67C1E" w:rsidRPr="00283806" w:rsidRDefault="001265CA">
      <w:pPr>
        <w:pStyle w:val="BodyText"/>
        <w:spacing w:line="228" w:lineRule="auto"/>
        <w:ind w:left="153" w:right="323"/>
      </w:pPr>
      <w:proofErr w:type="gramStart"/>
      <w:r w:rsidRPr="00283806">
        <w:rPr>
          <w:w w:val="110"/>
        </w:rPr>
        <w:t>cooling’’</w:t>
      </w:r>
      <w:proofErr w:type="gramEnd"/>
      <w:r w:rsidRPr="00283806">
        <w:rPr>
          <w:spacing w:val="-11"/>
          <w:w w:val="110"/>
        </w:rPr>
        <w:t xml:space="preserve"> </w:t>
      </w:r>
      <w:proofErr w:type="gramStart"/>
      <w:r w:rsidRPr="00283806">
        <w:rPr>
          <w:w w:val="110"/>
        </w:rPr>
        <w:t>include</w:t>
      </w:r>
      <w:proofErr w:type="gramEnd"/>
      <w:r w:rsidRPr="00283806">
        <w:rPr>
          <w:spacing w:val="-11"/>
          <w:w w:val="110"/>
        </w:rPr>
        <w:t xml:space="preserve"> </w:t>
      </w:r>
      <w:r w:rsidRPr="00283806">
        <w:rPr>
          <w:w w:val="110"/>
        </w:rPr>
        <w:t>single-function</w:t>
      </w:r>
      <w:r w:rsidRPr="00283806">
        <w:rPr>
          <w:spacing w:val="-11"/>
          <w:w w:val="110"/>
        </w:rPr>
        <w:t xml:space="preserve"> </w:t>
      </w:r>
      <w:r w:rsidRPr="00283806">
        <w:rPr>
          <w:w w:val="110"/>
        </w:rPr>
        <w:t>(heat only) and dual-function (heating and cooling) heat pump appliances.</w:t>
      </w:r>
    </w:p>
    <w:p w14:paraId="6B7496BB" w14:textId="77777777" w:rsidR="00D67C1E" w:rsidRPr="00283806" w:rsidRDefault="001265CA">
      <w:pPr>
        <w:pStyle w:val="BodyText"/>
        <w:spacing w:line="216" w:lineRule="auto"/>
        <w:ind w:left="153" w:right="163" w:firstLine="180"/>
      </w:pPr>
      <w:r w:rsidRPr="00283806">
        <w:rPr>
          <w:rFonts w:ascii="Book Antiqua"/>
          <w:i/>
          <w:w w:val="110"/>
        </w:rPr>
        <w:t>Response:</w:t>
      </w:r>
      <w:r w:rsidRPr="00283806">
        <w:rPr>
          <w:rFonts w:ascii="Book Antiqua"/>
          <w:i/>
          <w:spacing w:val="-13"/>
          <w:w w:val="110"/>
        </w:rPr>
        <w:t xml:space="preserve"> </w:t>
      </w:r>
      <w:r w:rsidRPr="00283806">
        <w:rPr>
          <w:w w:val="110"/>
        </w:rPr>
        <w:t>EPA</w:t>
      </w:r>
      <w:r w:rsidRPr="00283806">
        <w:rPr>
          <w:spacing w:val="-9"/>
          <w:w w:val="110"/>
        </w:rPr>
        <w:t xml:space="preserve"> </w:t>
      </w:r>
      <w:r w:rsidRPr="00283806">
        <w:rPr>
          <w:w w:val="110"/>
        </w:rPr>
        <w:t>agrees</w:t>
      </w:r>
      <w:r w:rsidRPr="00283806">
        <w:rPr>
          <w:spacing w:val="-9"/>
          <w:w w:val="110"/>
        </w:rPr>
        <w:t xml:space="preserve"> </w:t>
      </w:r>
      <w:r w:rsidRPr="00283806">
        <w:rPr>
          <w:w w:val="110"/>
        </w:rPr>
        <w:t>that</w:t>
      </w:r>
      <w:r w:rsidRPr="00283806">
        <w:rPr>
          <w:spacing w:val="-9"/>
          <w:w w:val="110"/>
        </w:rPr>
        <w:t xml:space="preserve"> </w:t>
      </w:r>
      <w:r w:rsidRPr="00283806">
        <w:rPr>
          <w:w w:val="110"/>
        </w:rPr>
        <w:t xml:space="preserve">dual- </w:t>
      </w:r>
      <w:r w:rsidRPr="00283806">
        <w:t>function</w:t>
      </w:r>
      <w:r w:rsidRPr="00283806">
        <w:rPr>
          <w:spacing w:val="36"/>
        </w:rPr>
        <w:t xml:space="preserve"> </w:t>
      </w:r>
      <w:r w:rsidRPr="00283806">
        <w:t>heat</w:t>
      </w:r>
      <w:r w:rsidRPr="00283806">
        <w:rPr>
          <w:spacing w:val="37"/>
        </w:rPr>
        <w:t xml:space="preserve"> </w:t>
      </w:r>
      <w:r w:rsidRPr="00283806">
        <w:t>pumps</w:t>
      </w:r>
      <w:r w:rsidRPr="00283806">
        <w:rPr>
          <w:spacing w:val="37"/>
        </w:rPr>
        <w:t xml:space="preserve"> </w:t>
      </w:r>
      <w:r w:rsidRPr="00283806">
        <w:t>are</w:t>
      </w:r>
      <w:r w:rsidRPr="00283806">
        <w:rPr>
          <w:spacing w:val="36"/>
        </w:rPr>
        <w:t xml:space="preserve"> </w:t>
      </w:r>
      <w:r w:rsidRPr="00283806">
        <w:rPr>
          <w:spacing w:val="-2"/>
        </w:rPr>
        <w:t>included</w:t>
      </w:r>
    </w:p>
    <w:p w14:paraId="72C77440" w14:textId="77777777" w:rsidR="00D67C1E" w:rsidRPr="00283806" w:rsidRDefault="001265CA">
      <w:pPr>
        <w:pStyle w:val="BodyText"/>
        <w:spacing w:line="228" w:lineRule="auto"/>
        <w:ind w:left="153" w:right="222"/>
      </w:pPr>
      <w:r w:rsidRPr="00283806">
        <w:rPr>
          <w:w w:val="105"/>
        </w:rPr>
        <w:t>within the definition of ‘‘comfort cooling’’ because those appliances provide cooling. To provide another relevant example of comfort cooling applications, EPA is adding dual- function heat pumps to the illustrative list</w:t>
      </w:r>
      <w:r w:rsidRPr="00283806">
        <w:rPr>
          <w:spacing w:val="40"/>
          <w:w w:val="105"/>
        </w:rPr>
        <w:t xml:space="preserve"> </w:t>
      </w:r>
      <w:r w:rsidRPr="00283806">
        <w:rPr>
          <w:w w:val="105"/>
        </w:rPr>
        <w:t>of</w:t>
      </w:r>
      <w:r w:rsidRPr="00283806">
        <w:rPr>
          <w:spacing w:val="40"/>
          <w:w w:val="105"/>
        </w:rPr>
        <w:t xml:space="preserve"> </w:t>
      </w:r>
      <w:r w:rsidRPr="00283806">
        <w:rPr>
          <w:w w:val="105"/>
        </w:rPr>
        <w:t>examples</w:t>
      </w:r>
      <w:r w:rsidRPr="00283806">
        <w:rPr>
          <w:spacing w:val="40"/>
          <w:w w:val="105"/>
        </w:rPr>
        <w:t xml:space="preserve"> </w:t>
      </w:r>
      <w:r w:rsidRPr="00283806">
        <w:rPr>
          <w:w w:val="105"/>
        </w:rPr>
        <w:t>in</w:t>
      </w:r>
      <w:r w:rsidRPr="00283806">
        <w:rPr>
          <w:spacing w:val="40"/>
          <w:w w:val="105"/>
        </w:rPr>
        <w:t xml:space="preserve"> </w:t>
      </w:r>
      <w:r w:rsidRPr="00283806">
        <w:rPr>
          <w:w w:val="105"/>
        </w:rPr>
        <w:t>the</w:t>
      </w:r>
      <w:r w:rsidRPr="00283806">
        <w:rPr>
          <w:spacing w:val="40"/>
          <w:w w:val="105"/>
        </w:rPr>
        <w:t xml:space="preserve"> </w:t>
      </w:r>
      <w:r w:rsidRPr="00283806">
        <w:rPr>
          <w:w w:val="105"/>
        </w:rPr>
        <w:t>definition.</w:t>
      </w:r>
      <w:r w:rsidRPr="00283806">
        <w:rPr>
          <w:spacing w:val="40"/>
          <w:w w:val="105"/>
        </w:rPr>
        <w:t xml:space="preserve"> </w:t>
      </w:r>
      <w:r w:rsidRPr="00283806">
        <w:rPr>
          <w:w w:val="105"/>
        </w:rPr>
        <w:t xml:space="preserve">EPA </w:t>
      </w:r>
      <w:proofErr w:type="gramStart"/>
      <w:r w:rsidRPr="00283806">
        <w:rPr>
          <w:w w:val="105"/>
        </w:rPr>
        <w:t>is not including</w:t>
      </w:r>
      <w:proofErr w:type="gramEnd"/>
      <w:r w:rsidRPr="00283806">
        <w:rPr>
          <w:w w:val="105"/>
        </w:rPr>
        <w:t xml:space="preserve"> single-function heat pump applications as an example of an application included in ‘‘comfort </w:t>
      </w:r>
      <w:proofErr w:type="gramStart"/>
      <w:r w:rsidRPr="00283806">
        <w:rPr>
          <w:w w:val="105"/>
        </w:rPr>
        <w:t>cooling’’</w:t>
      </w:r>
      <w:proofErr w:type="gramEnd"/>
      <w:r w:rsidRPr="00283806">
        <w:rPr>
          <w:w w:val="105"/>
        </w:rPr>
        <w:t xml:space="preserve"> because EPA does not view it</w:t>
      </w:r>
      <w:r w:rsidRPr="00283806">
        <w:rPr>
          <w:spacing w:val="80"/>
          <w:w w:val="105"/>
        </w:rPr>
        <w:t xml:space="preserve"> </w:t>
      </w:r>
      <w:r w:rsidRPr="00283806">
        <w:rPr>
          <w:w w:val="105"/>
        </w:rPr>
        <w:t xml:space="preserve">as fitting within this </w:t>
      </w:r>
      <w:proofErr w:type="gramStart"/>
      <w:r w:rsidRPr="00283806">
        <w:rPr>
          <w:w w:val="105"/>
        </w:rPr>
        <w:t>particular category</w:t>
      </w:r>
      <w:proofErr w:type="gramEnd"/>
      <w:r w:rsidRPr="00283806">
        <w:rPr>
          <w:w w:val="105"/>
        </w:rPr>
        <w:t xml:space="preserve"> as the definition is currently drafted.</w:t>
      </w:r>
    </w:p>
    <w:p w14:paraId="68C39FE0" w14:textId="77777777" w:rsidR="00D67C1E" w:rsidRPr="00283806" w:rsidRDefault="001265CA">
      <w:pPr>
        <w:pStyle w:val="BodyText"/>
        <w:spacing w:line="228" w:lineRule="auto"/>
        <w:ind w:left="153" w:right="230"/>
      </w:pPr>
      <w:r w:rsidRPr="00283806">
        <w:rPr>
          <w:w w:val="105"/>
        </w:rPr>
        <w:t xml:space="preserve">EPA may in the future consider proposing to include single-function heat pump applications under comfort cooling or under a different category of </w:t>
      </w:r>
      <w:r w:rsidRPr="00283806">
        <w:rPr>
          <w:spacing w:val="-2"/>
          <w:w w:val="105"/>
        </w:rPr>
        <w:t>equipment.</w:t>
      </w:r>
    </w:p>
    <w:p w14:paraId="33D9527B" w14:textId="77777777" w:rsidR="00D67C1E" w:rsidRPr="00283806" w:rsidRDefault="001265CA">
      <w:pPr>
        <w:spacing w:line="184" w:lineRule="exact"/>
        <w:ind w:left="333"/>
        <w:rPr>
          <w:sz w:val="18"/>
        </w:rPr>
      </w:pPr>
      <w:r w:rsidRPr="00283806">
        <w:rPr>
          <w:rFonts w:ascii="Book Antiqua"/>
          <w:i/>
          <w:w w:val="110"/>
          <w:sz w:val="18"/>
        </w:rPr>
        <w:t>Commercial</w:t>
      </w:r>
      <w:r w:rsidRPr="00283806">
        <w:rPr>
          <w:rFonts w:ascii="Book Antiqua"/>
          <w:i/>
          <w:spacing w:val="26"/>
          <w:w w:val="110"/>
          <w:sz w:val="18"/>
        </w:rPr>
        <w:t xml:space="preserve"> </w:t>
      </w:r>
      <w:r w:rsidRPr="00283806">
        <w:rPr>
          <w:rFonts w:ascii="Book Antiqua"/>
          <w:i/>
          <w:w w:val="110"/>
          <w:sz w:val="18"/>
        </w:rPr>
        <w:t>refrigeration.</w:t>
      </w:r>
      <w:r w:rsidRPr="00283806">
        <w:rPr>
          <w:rFonts w:ascii="Book Antiqua"/>
          <w:i/>
          <w:spacing w:val="27"/>
          <w:w w:val="110"/>
          <w:sz w:val="18"/>
        </w:rPr>
        <w:t xml:space="preserve"> </w:t>
      </w:r>
      <w:r w:rsidRPr="00283806">
        <w:rPr>
          <w:spacing w:val="-5"/>
          <w:w w:val="110"/>
          <w:sz w:val="18"/>
        </w:rPr>
        <w:t>EPA</w:t>
      </w:r>
    </w:p>
    <w:p w14:paraId="333E070F" w14:textId="77777777" w:rsidR="00D67C1E" w:rsidRPr="00283806" w:rsidRDefault="001265CA">
      <w:pPr>
        <w:pStyle w:val="BodyText"/>
        <w:spacing w:line="228" w:lineRule="auto"/>
        <w:ind w:left="153" w:right="300"/>
      </w:pPr>
      <w:r w:rsidRPr="00283806">
        <w:rPr>
          <w:w w:val="105"/>
        </w:rPr>
        <w:t>proposed this definition to mean ‘‘the refrigerant-containing appliances used in the retail food and cold storage warehouse subsectors. Retail food appliances include the refrigeration equipment found in supermarkets,</w:t>
      </w:r>
    </w:p>
    <w:p w14:paraId="6DA1A423"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1" w:space="40"/>
            <w:col w:w="3497" w:space="39"/>
            <w:col w:w="3633"/>
          </w:cols>
        </w:sectPr>
      </w:pPr>
    </w:p>
    <w:p w14:paraId="6D22BCD0" w14:textId="77777777" w:rsidR="00D67C1E" w:rsidRPr="00283806" w:rsidRDefault="001265CA">
      <w:pPr>
        <w:pStyle w:val="BodyText"/>
        <w:spacing w:before="136" w:line="225" w:lineRule="auto"/>
        <w:ind w:right="98"/>
      </w:pPr>
      <w:r w:rsidRPr="00283806">
        <w:rPr>
          <w:w w:val="105"/>
        </w:rPr>
        <w:lastRenderedPageBreak/>
        <w:t xml:space="preserve">convenience stores, restaurants and other food service establishments. Cold storage includes the refrigeration equipment used to store meat, produce, dairy products, and other perishable </w:t>
      </w:r>
      <w:r w:rsidRPr="00283806">
        <w:rPr>
          <w:spacing w:val="-2"/>
          <w:w w:val="105"/>
        </w:rPr>
        <w:t>goods.’’</w:t>
      </w:r>
    </w:p>
    <w:p w14:paraId="68B25931" w14:textId="77777777" w:rsidR="00D67C1E" w:rsidRPr="00283806" w:rsidRDefault="001265CA">
      <w:pPr>
        <w:pStyle w:val="BodyText"/>
        <w:spacing w:line="178" w:lineRule="exact"/>
        <w:ind w:left="340"/>
      </w:pPr>
      <w:r w:rsidRPr="00283806">
        <w:rPr>
          <w:w w:val="110"/>
        </w:rPr>
        <w:t>EPA</w:t>
      </w:r>
      <w:r w:rsidRPr="00283806">
        <w:rPr>
          <w:spacing w:val="-2"/>
          <w:w w:val="110"/>
        </w:rPr>
        <w:t xml:space="preserve"> </w:t>
      </w:r>
      <w:r w:rsidRPr="00283806">
        <w:rPr>
          <w:w w:val="110"/>
        </w:rPr>
        <w:t>is</w:t>
      </w:r>
      <w:r w:rsidRPr="00283806">
        <w:rPr>
          <w:spacing w:val="-1"/>
          <w:w w:val="110"/>
        </w:rPr>
        <w:t xml:space="preserve"> </w:t>
      </w:r>
      <w:r w:rsidRPr="00283806">
        <w:rPr>
          <w:w w:val="110"/>
        </w:rPr>
        <w:t>finalizing</w:t>
      </w:r>
      <w:r w:rsidRPr="00283806">
        <w:rPr>
          <w:spacing w:val="-1"/>
          <w:w w:val="110"/>
        </w:rPr>
        <w:t xml:space="preserve"> </w:t>
      </w:r>
      <w:r w:rsidRPr="00283806">
        <w:rPr>
          <w:w w:val="110"/>
        </w:rPr>
        <w:t>two</w:t>
      </w:r>
      <w:r w:rsidRPr="00283806">
        <w:rPr>
          <w:spacing w:val="-1"/>
          <w:w w:val="110"/>
        </w:rPr>
        <w:t xml:space="preserve"> </w:t>
      </w:r>
      <w:r w:rsidRPr="00283806">
        <w:rPr>
          <w:w w:val="110"/>
        </w:rPr>
        <w:t>modifications</w:t>
      </w:r>
      <w:r w:rsidRPr="00283806">
        <w:rPr>
          <w:spacing w:val="-1"/>
          <w:w w:val="110"/>
        </w:rPr>
        <w:t xml:space="preserve"> </w:t>
      </w:r>
      <w:r w:rsidRPr="00283806">
        <w:rPr>
          <w:spacing w:val="-5"/>
          <w:w w:val="110"/>
        </w:rPr>
        <w:t>to</w:t>
      </w:r>
    </w:p>
    <w:p w14:paraId="1D14A0B8" w14:textId="77777777" w:rsidR="00D67C1E" w:rsidRPr="00283806" w:rsidRDefault="001265CA">
      <w:pPr>
        <w:pStyle w:val="BodyText"/>
        <w:spacing w:before="4" w:line="225" w:lineRule="auto"/>
      </w:pPr>
      <w:r w:rsidRPr="00283806">
        <w:rPr>
          <w:w w:val="105"/>
        </w:rPr>
        <w:t xml:space="preserve">the proposed definition of ‘‘commercial refrigeration.’’ Both modifications involved replacing the term ‘‘refrigeration equipment’’ in sentences two and three of the proposed definition of the term to ‘‘refrigeration-containing appliance’’ in the finalized term. These changes were made because ‘‘refrigeration equipment’’ is not </w:t>
      </w:r>
      <w:proofErr w:type="gramStart"/>
      <w:r w:rsidRPr="00283806">
        <w:rPr>
          <w:w w:val="105"/>
        </w:rPr>
        <w:t>a defined</w:t>
      </w:r>
      <w:proofErr w:type="gramEnd"/>
      <w:r w:rsidRPr="00283806">
        <w:rPr>
          <w:w w:val="105"/>
        </w:rPr>
        <w:t xml:space="preserve"> term under this subpart, but ‘‘refrigeration-containing appliance’’ is. EPA did not receive </w:t>
      </w:r>
      <w:proofErr w:type="gramStart"/>
      <w:r w:rsidRPr="00283806">
        <w:rPr>
          <w:w w:val="105"/>
        </w:rPr>
        <w:t>comment</w:t>
      </w:r>
      <w:proofErr w:type="gramEnd"/>
      <w:r w:rsidRPr="00283806">
        <w:rPr>
          <w:w w:val="105"/>
        </w:rPr>
        <w:t xml:space="preserve"> on the definition</w:t>
      </w:r>
      <w:r w:rsidRPr="00283806">
        <w:rPr>
          <w:spacing w:val="35"/>
          <w:w w:val="105"/>
        </w:rPr>
        <w:t xml:space="preserve"> </w:t>
      </w:r>
      <w:r w:rsidRPr="00283806">
        <w:rPr>
          <w:w w:val="105"/>
        </w:rPr>
        <w:t>of</w:t>
      </w:r>
      <w:r w:rsidRPr="00283806">
        <w:rPr>
          <w:spacing w:val="35"/>
          <w:w w:val="105"/>
        </w:rPr>
        <w:t xml:space="preserve"> </w:t>
      </w:r>
      <w:r w:rsidRPr="00283806">
        <w:rPr>
          <w:w w:val="105"/>
        </w:rPr>
        <w:t>‘‘commercial</w:t>
      </w:r>
      <w:r w:rsidRPr="00283806">
        <w:rPr>
          <w:spacing w:val="80"/>
          <w:w w:val="150"/>
        </w:rPr>
        <w:t xml:space="preserve"> </w:t>
      </w:r>
      <w:r w:rsidRPr="00283806">
        <w:rPr>
          <w:spacing w:val="-2"/>
          <w:w w:val="105"/>
        </w:rPr>
        <w:t>refrigeration.’’</w:t>
      </w:r>
    </w:p>
    <w:p w14:paraId="3B66663F" w14:textId="77777777" w:rsidR="00D67C1E" w:rsidRPr="00283806" w:rsidRDefault="001265CA">
      <w:pPr>
        <w:pStyle w:val="BodyText"/>
        <w:spacing w:line="213" w:lineRule="auto"/>
        <w:ind w:left="159" w:right="146" w:firstLine="180"/>
      </w:pPr>
      <w:r w:rsidRPr="00283806">
        <w:rPr>
          <w:rFonts w:ascii="Book Antiqua" w:hAnsi="Book Antiqua"/>
          <w:i/>
          <w:w w:val="105"/>
        </w:rPr>
        <w:t xml:space="preserve">Disposal. </w:t>
      </w:r>
      <w:r w:rsidRPr="00283806">
        <w:rPr>
          <w:w w:val="105"/>
        </w:rPr>
        <w:t>EPA’s proposed definition</w:t>
      </w:r>
      <w:r w:rsidRPr="00283806">
        <w:rPr>
          <w:spacing w:val="40"/>
          <w:w w:val="105"/>
        </w:rPr>
        <w:t xml:space="preserve"> </w:t>
      </w:r>
      <w:r w:rsidRPr="00283806">
        <w:rPr>
          <w:w w:val="105"/>
        </w:rPr>
        <w:t>of</w:t>
      </w:r>
      <w:r w:rsidRPr="00283806">
        <w:rPr>
          <w:spacing w:val="9"/>
          <w:w w:val="105"/>
        </w:rPr>
        <w:t xml:space="preserve"> </w:t>
      </w:r>
      <w:r w:rsidRPr="00283806">
        <w:rPr>
          <w:w w:val="105"/>
        </w:rPr>
        <w:t>‘‘disposal’’</w:t>
      </w:r>
      <w:r w:rsidRPr="00283806">
        <w:rPr>
          <w:spacing w:val="9"/>
          <w:w w:val="105"/>
        </w:rPr>
        <w:t xml:space="preserve"> </w:t>
      </w:r>
      <w:r w:rsidRPr="00283806">
        <w:rPr>
          <w:w w:val="105"/>
        </w:rPr>
        <w:t>(see</w:t>
      </w:r>
      <w:r w:rsidRPr="00283806">
        <w:rPr>
          <w:spacing w:val="10"/>
          <w:w w:val="105"/>
        </w:rPr>
        <w:t xml:space="preserve"> </w:t>
      </w:r>
      <w:r w:rsidRPr="00283806">
        <w:rPr>
          <w:w w:val="105"/>
        </w:rPr>
        <w:t>88</w:t>
      </w:r>
      <w:r w:rsidRPr="00283806">
        <w:rPr>
          <w:spacing w:val="9"/>
          <w:w w:val="105"/>
        </w:rPr>
        <w:t xml:space="preserve"> </w:t>
      </w:r>
      <w:r w:rsidRPr="00283806">
        <w:rPr>
          <w:w w:val="105"/>
        </w:rPr>
        <w:t>FR</w:t>
      </w:r>
      <w:r w:rsidRPr="00283806">
        <w:rPr>
          <w:spacing w:val="10"/>
          <w:w w:val="105"/>
        </w:rPr>
        <w:t xml:space="preserve"> </w:t>
      </w:r>
      <w:r w:rsidRPr="00283806">
        <w:rPr>
          <w:w w:val="105"/>
        </w:rPr>
        <w:t>72216,</w:t>
      </w:r>
      <w:r w:rsidRPr="00283806">
        <w:rPr>
          <w:spacing w:val="9"/>
          <w:w w:val="105"/>
        </w:rPr>
        <w:t xml:space="preserve"> </w:t>
      </w:r>
      <w:r w:rsidRPr="00283806">
        <w:rPr>
          <w:spacing w:val="-2"/>
          <w:w w:val="105"/>
        </w:rPr>
        <w:t>72298,</w:t>
      </w:r>
    </w:p>
    <w:p w14:paraId="626D4997" w14:textId="77777777" w:rsidR="00D67C1E" w:rsidRPr="00283806" w:rsidRDefault="001265CA">
      <w:pPr>
        <w:pStyle w:val="BodyText"/>
        <w:spacing w:line="225" w:lineRule="auto"/>
        <w:ind w:left="159" w:right="18"/>
      </w:pPr>
      <w:r w:rsidRPr="00283806">
        <w:rPr>
          <w:w w:val="105"/>
        </w:rPr>
        <w:t>October 19, 2023) applied to ‘‘refrigerant-containing appliances.’’</w:t>
      </w:r>
      <w:r w:rsidRPr="00283806">
        <w:rPr>
          <w:spacing w:val="80"/>
          <w:w w:val="105"/>
        </w:rPr>
        <w:t xml:space="preserve"> </w:t>
      </w:r>
      <w:r w:rsidRPr="00283806">
        <w:rPr>
          <w:w w:val="105"/>
        </w:rPr>
        <w:t>This was done to maintain consistency with the definition of ‘‘disposal’’ in 40 CFR 82.161 which applies to ‘‘appliances.’’ EPA is finalizing a definition of disposal with two parts,</w:t>
      </w:r>
      <w:r w:rsidRPr="00283806">
        <w:rPr>
          <w:spacing w:val="40"/>
          <w:w w:val="105"/>
        </w:rPr>
        <w:t xml:space="preserve"> </w:t>
      </w:r>
      <w:r w:rsidRPr="00283806">
        <w:rPr>
          <w:w w:val="105"/>
        </w:rPr>
        <w:t>with the first part relating to ‘‘refrigerant-containing equipment’’ and the second part relating to ‘‘fire suppression equipment.’’ Furthermore,</w:t>
      </w:r>
      <w:r w:rsidRPr="00283806">
        <w:rPr>
          <w:spacing w:val="40"/>
          <w:w w:val="105"/>
        </w:rPr>
        <w:t xml:space="preserve"> </w:t>
      </w:r>
      <w:r w:rsidRPr="00283806">
        <w:rPr>
          <w:w w:val="105"/>
        </w:rPr>
        <w:t>in the first part of the final definition</w:t>
      </w:r>
      <w:r w:rsidRPr="00283806">
        <w:rPr>
          <w:spacing w:val="80"/>
          <w:w w:val="105"/>
        </w:rPr>
        <w:t xml:space="preserve"> </w:t>
      </w:r>
      <w:r w:rsidRPr="00283806">
        <w:rPr>
          <w:w w:val="105"/>
        </w:rPr>
        <w:t>EPA is using the term ‘‘refrigerant- containing equipment’’ instead of ‘‘refrigerant-containing appliance’’ to more fully align with the regulatory definition with how the term disposal is used under subsection (h)(1) of the AIM Act, which states ‘‘the Administrator</w:t>
      </w:r>
      <w:r w:rsidRPr="00283806">
        <w:rPr>
          <w:spacing w:val="40"/>
          <w:w w:val="105"/>
        </w:rPr>
        <w:t xml:space="preserve"> </w:t>
      </w:r>
      <w:r w:rsidRPr="00283806">
        <w:rPr>
          <w:w w:val="105"/>
        </w:rPr>
        <w:t xml:space="preserve">shall promulgate regulations to control, where appropriate, any practice process or activity regarding servicing, repair, disposal, or installation of </w:t>
      </w:r>
      <w:r w:rsidRPr="00283806">
        <w:rPr>
          <w:rFonts w:ascii="Book Antiqua" w:hAnsi="Book Antiqua"/>
          <w:i/>
          <w:w w:val="105"/>
        </w:rPr>
        <w:t xml:space="preserve">equipment </w:t>
      </w:r>
      <w:r w:rsidRPr="00283806">
        <w:rPr>
          <w:w w:val="105"/>
        </w:rPr>
        <w:t>(emphasis added).’’ ‘‘Refrigerant- containing equipment’’ is broader than ‘‘refrigerant-containing appliance’’ and includes everything covered under the definition of ‘‘refrigerant-containing appliance’’ (</w:t>
      </w:r>
      <w:r w:rsidRPr="00283806">
        <w:rPr>
          <w:rFonts w:ascii="Book Antiqua" w:hAnsi="Book Antiqua"/>
          <w:i/>
          <w:w w:val="105"/>
        </w:rPr>
        <w:t xml:space="preserve">e.g., </w:t>
      </w:r>
      <w:r w:rsidRPr="00283806">
        <w:rPr>
          <w:w w:val="105"/>
        </w:rPr>
        <w:t>any air conditioner, MVAC, refrigerator, chiller, or freezer) while also including refrigerant- containing components. However, the regulatory requirements related to disposal of refrigerant-containing equipment established in this final</w:t>
      </w:r>
      <w:r w:rsidRPr="00283806">
        <w:rPr>
          <w:spacing w:val="80"/>
          <w:w w:val="105"/>
        </w:rPr>
        <w:t xml:space="preserve"> </w:t>
      </w:r>
      <w:r w:rsidRPr="00283806">
        <w:rPr>
          <w:w w:val="105"/>
        </w:rPr>
        <w:t xml:space="preserve">action at 84.106 apply to refrigerant- containing appliances (rather than refrigerant-containing equipment), and this change in the definition is not intended to broaden the scope of these </w:t>
      </w:r>
      <w:r w:rsidRPr="00283806">
        <w:rPr>
          <w:spacing w:val="-2"/>
          <w:w w:val="105"/>
        </w:rPr>
        <w:t>requirements.</w:t>
      </w:r>
    </w:p>
    <w:p w14:paraId="15AD035E" w14:textId="77777777" w:rsidR="00D67C1E" w:rsidRPr="00283806" w:rsidRDefault="001265CA">
      <w:pPr>
        <w:pStyle w:val="BodyText"/>
        <w:spacing w:line="156" w:lineRule="exact"/>
        <w:ind w:left="339"/>
      </w:pPr>
      <w:r w:rsidRPr="00283806">
        <w:rPr>
          <w:w w:val="105"/>
        </w:rPr>
        <w:t>EPA</w:t>
      </w:r>
      <w:r w:rsidRPr="00283806">
        <w:rPr>
          <w:spacing w:val="10"/>
          <w:w w:val="105"/>
        </w:rPr>
        <w:t xml:space="preserve"> </w:t>
      </w:r>
      <w:r w:rsidRPr="00283806">
        <w:rPr>
          <w:w w:val="105"/>
        </w:rPr>
        <w:t>added</w:t>
      </w:r>
      <w:r w:rsidRPr="00283806">
        <w:rPr>
          <w:spacing w:val="11"/>
          <w:w w:val="105"/>
        </w:rPr>
        <w:t xml:space="preserve"> </w:t>
      </w:r>
      <w:r w:rsidRPr="00283806">
        <w:rPr>
          <w:w w:val="105"/>
        </w:rPr>
        <w:t>a</w:t>
      </w:r>
      <w:r w:rsidRPr="00283806">
        <w:rPr>
          <w:spacing w:val="11"/>
          <w:w w:val="105"/>
        </w:rPr>
        <w:t xml:space="preserve"> </w:t>
      </w:r>
      <w:r w:rsidRPr="00283806">
        <w:rPr>
          <w:w w:val="105"/>
        </w:rPr>
        <w:t>second</w:t>
      </w:r>
      <w:r w:rsidRPr="00283806">
        <w:rPr>
          <w:spacing w:val="11"/>
          <w:w w:val="105"/>
        </w:rPr>
        <w:t xml:space="preserve"> </w:t>
      </w:r>
      <w:r w:rsidRPr="00283806">
        <w:rPr>
          <w:w w:val="105"/>
        </w:rPr>
        <w:t>part</w:t>
      </w:r>
      <w:r w:rsidRPr="00283806">
        <w:rPr>
          <w:spacing w:val="10"/>
          <w:w w:val="105"/>
        </w:rPr>
        <w:t xml:space="preserve"> </w:t>
      </w:r>
      <w:r w:rsidRPr="00283806">
        <w:rPr>
          <w:w w:val="105"/>
        </w:rPr>
        <w:t>to</w:t>
      </w:r>
      <w:r w:rsidRPr="00283806">
        <w:rPr>
          <w:spacing w:val="11"/>
          <w:w w:val="105"/>
        </w:rPr>
        <w:t xml:space="preserve"> </w:t>
      </w:r>
      <w:r w:rsidRPr="00283806">
        <w:rPr>
          <w:w w:val="105"/>
        </w:rPr>
        <w:t>the</w:t>
      </w:r>
      <w:r w:rsidRPr="00283806">
        <w:rPr>
          <w:spacing w:val="11"/>
          <w:w w:val="105"/>
        </w:rPr>
        <w:t xml:space="preserve"> </w:t>
      </w:r>
      <w:r w:rsidRPr="00283806">
        <w:rPr>
          <w:spacing w:val="-4"/>
          <w:w w:val="105"/>
        </w:rPr>
        <w:t>final</w:t>
      </w:r>
    </w:p>
    <w:p w14:paraId="2966FB00" w14:textId="77777777" w:rsidR="00D67C1E" w:rsidRPr="00283806" w:rsidRDefault="001265CA">
      <w:pPr>
        <w:pStyle w:val="BodyText"/>
        <w:spacing w:line="228" w:lineRule="auto"/>
        <w:ind w:left="159" w:right="98"/>
      </w:pPr>
      <w:r w:rsidRPr="00283806">
        <w:rPr>
          <w:w w:val="105"/>
        </w:rPr>
        <w:t>definition of disposal to distinguish disposal of fire suppression equipment. Since this final rule regulates the disposal of fire suppression equipment,</w:t>
      </w:r>
    </w:p>
    <w:p w14:paraId="6EB7FE46" w14:textId="77777777" w:rsidR="00D67C1E" w:rsidRPr="00283806" w:rsidRDefault="001265CA">
      <w:pPr>
        <w:pStyle w:val="BodyText"/>
        <w:spacing w:before="134" w:line="228" w:lineRule="auto"/>
        <w:ind w:left="155" w:right="17"/>
      </w:pPr>
      <w:r w:rsidRPr="00283806">
        <w:br w:type="column"/>
      </w:r>
      <w:r w:rsidRPr="00283806">
        <w:rPr>
          <w:w w:val="110"/>
        </w:rPr>
        <w:t xml:space="preserve">which may differ from the disposal of refrigerant-containing equipment, the Agency is specifying how the term ‘‘disposal’’ relates to fire suppression equipment in this subpart, for greater </w:t>
      </w:r>
      <w:r w:rsidRPr="00283806">
        <w:rPr>
          <w:spacing w:val="-2"/>
          <w:w w:val="110"/>
        </w:rPr>
        <w:t>clarity</w:t>
      </w:r>
      <w:r w:rsidRPr="00283806">
        <w:rPr>
          <w:spacing w:val="-3"/>
          <w:w w:val="110"/>
        </w:rPr>
        <w:t xml:space="preserve"> </w:t>
      </w:r>
      <w:r w:rsidRPr="00283806">
        <w:rPr>
          <w:spacing w:val="-2"/>
          <w:w w:val="110"/>
        </w:rPr>
        <w:t>of</w:t>
      </w:r>
      <w:r w:rsidRPr="00283806">
        <w:rPr>
          <w:spacing w:val="-3"/>
          <w:w w:val="110"/>
        </w:rPr>
        <w:t xml:space="preserve"> </w:t>
      </w:r>
      <w:r w:rsidRPr="00283806">
        <w:rPr>
          <w:spacing w:val="-2"/>
          <w:w w:val="110"/>
        </w:rPr>
        <w:t>the</w:t>
      </w:r>
      <w:r w:rsidRPr="00283806">
        <w:rPr>
          <w:spacing w:val="-3"/>
          <w:w w:val="110"/>
        </w:rPr>
        <w:t xml:space="preserve"> </w:t>
      </w:r>
      <w:r w:rsidRPr="00283806">
        <w:rPr>
          <w:spacing w:val="-2"/>
          <w:w w:val="110"/>
        </w:rPr>
        <w:t>regulatory</w:t>
      </w:r>
      <w:r w:rsidRPr="00283806">
        <w:rPr>
          <w:spacing w:val="-3"/>
          <w:w w:val="110"/>
        </w:rPr>
        <w:t xml:space="preserve"> </w:t>
      </w:r>
      <w:r w:rsidRPr="00283806">
        <w:rPr>
          <w:spacing w:val="-2"/>
          <w:w w:val="110"/>
        </w:rPr>
        <w:t>provisions.</w:t>
      </w:r>
      <w:r w:rsidRPr="00283806">
        <w:rPr>
          <w:spacing w:val="-3"/>
          <w:w w:val="110"/>
        </w:rPr>
        <w:t xml:space="preserve"> </w:t>
      </w:r>
      <w:r w:rsidRPr="00283806">
        <w:rPr>
          <w:spacing w:val="-2"/>
          <w:w w:val="110"/>
        </w:rPr>
        <w:t xml:space="preserve">This </w:t>
      </w:r>
      <w:r w:rsidRPr="00283806">
        <w:rPr>
          <w:w w:val="110"/>
        </w:rPr>
        <w:t xml:space="preserve">final definition of disposal is analogous to the definition of ‘‘disposal of halon- containing </w:t>
      </w:r>
      <w:proofErr w:type="gramStart"/>
      <w:r w:rsidRPr="00283806">
        <w:rPr>
          <w:w w:val="110"/>
        </w:rPr>
        <w:t>equipment’’</w:t>
      </w:r>
      <w:proofErr w:type="gramEnd"/>
      <w:r w:rsidRPr="00283806">
        <w:rPr>
          <w:w w:val="110"/>
        </w:rPr>
        <w:t xml:space="preserve"> in the halon </w:t>
      </w:r>
      <w:r w:rsidRPr="00283806">
        <w:rPr>
          <w:spacing w:val="-2"/>
          <w:w w:val="110"/>
        </w:rPr>
        <w:t>emissions</w:t>
      </w:r>
      <w:r w:rsidRPr="00283806">
        <w:rPr>
          <w:spacing w:val="-3"/>
          <w:w w:val="110"/>
        </w:rPr>
        <w:t xml:space="preserve"> </w:t>
      </w:r>
      <w:r w:rsidRPr="00283806">
        <w:rPr>
          <w:spacing w:val="-2"/>
          <w:w w:val="110"/>
        </w:rPr>
        <w:t>reduction</w:t>
      </w:r>
      <w:r w:rsidRPr="00283806">
        <w:rPr>
          <w:spacing w:val="-3"/>
          <w:w w:val="110"/>
        </w:rPr>
        <w:t xml:space="preserve"> </w:t>
      </w:r>
      <w:r w:rsidRPr="00283806">
        <w:rPr>
          <w:spacing w:val="-2"/>
          <w:w w:val="110"/>
        </w:rPr>
        <w:t>requirements</w:t>
      </w:r>
      <w:r w:rsidRPr="00283806">
        <w:rPr>
          <w:spacing w:val="-3"/>
          <w:w w:val="110"/>
        </w:rPr>
        <w:t xml:space="preserve"> </w:t>
      </w:r>
      <w:r w:rsidRPr="00283806">
        <w:rPr>
          <w:spacing w:val="-2"/>
          <w:w w:val="110"/>
        </w:rPr>
        <w:t>at</w:t>
      </w:r>
      <w:r w:rsidRPr="00283806">
        <w:rPr>
          <w:spacing w:val="-3"/>
          <w:w w:val="110"/>
        </w:rPr>
        <w:t xml:space="preserve"> </w:t>
      </w:r>
      <w:r w:rsidRPr="00283806">
        <w:rPr>
          <w:spacing w:val="-2"/>
          <w:w w:val="110"/>
        </w:rPr>
        <w:t xml:space="preserve">40 </w:t>
      </w:r>
      <w:r w:rsidRPr="00283806">
        <w:rPr>
          <w:w w:val="110"/>
        </w:rPr>
        <w:t xml:space="preserve">CFR part 82, subpart H, which EPA referenced in the proposal, describing its intent to propose requirements </w:t>
      </w:r>
      <w:proofErr w:type="gramStart"/>
      <w:r w:rsidRPr="00283806">
        <w:rPr>
          <w:w w:val="110"/>
        </w:rPr>
        <w:t>similar to</w:t>
      </w:r>
      <w:proofErr w:type="gramEnd"/>
      <w:r w:rsidRPr="00283806">
        <w:rPr>
          <w:w w:val="110"/>
        </w:rPr>
        <w:t xml:space="preserve"> those in subpart H. The final definition parallels the definition of disposal at 40 CFR 82.260, with the words ‘‘fire suppression equipment’’ replacing the term ‘‘halon-containing equipment’’ to maintain consistency with regulations for the disposal of halon-containing equipment, including </w:t>
      </w:r>
      <w:r w:rsidRPr="00283806">
        <w:rPr>
          <w:spacing w:val="-2"/>
          <w:w w:val="110"/>
        </w:rPr>
        <w:t>halon-containing</w:t>
      </w:r>
      <w:r w:rsidRPr="00283806">
        <w:rPr>
          <w:spacing w:val="-5"/>
          <w:w w:val="110"/>
        </w:rPr>
        <w:t xml:space="preserve"> </w:t>
      </w:r>
      <w:r w:rsidRPr="00283806">
        <w:rPr>
          <w:spacing w:val="-2"/>
          <w:w w:val="110"/>
        </w:rPr>
        <w:t>equipment</w:t>
      </w:r>
      <w:r w:rsidRPr="00283806">
        <w:rPr>
          <w:spacing w:val="-5"/>
          <w:w w:val="110"/>
        </w:rPr>
        <w:t xml:space="preserve"> </w:t>
      </w:r>
      <w:r w:rsidRPr="00283806">
        <w:rPr>
          <w:spacing w:val="-2"/>
          <w:w w:val="110"/>
        </w:rPr>
        <w:t>used</w:t>
      </w:r>
      <w:r w:rsidRPr="00283806">
        <w:rPr>
          <w:spacing w:val="-6"/>
          <w:w w:val="110"/>
        </w:rPr>
        <w:t xml:space="preserve"> </w:t>
      </w:r>
      <w:r w:rsidRPr="00283806">
        <w:rPr>
          <w:spacing w:val="-2"/>
          <w:w w:val="110"/>
        </w:rPr>
        <w:t>in</w:t>
      </w:r>
      <w:r w:rsidRPr="00283806">
        <w:rPr>
          <w:spacing w:val="-5"/>
          <w:w w:val="110"/>
        </w:rPr>
        <w:t xml:space="preserve"> </w:t>
      </w:r>
      <w:r w:rsidRPr="00283806">
        <w:rPr>
          <w:spacing w:val="-2"/>
          <w:w w:val="110"/>
        </w:rPr>
        <w:t xml:space="preserve">fire </w:t>
      </w:r>
      <w:r w:rsidRPr="00283806">
        <w:rPr>
          <w:w w:val="110"/>
        </w:rPr>
        <w:t>suppression applications. The revised definition can be read in full below:</w:t>
      </w:r>
    </w:p>
    <w:p w14:paraId="23A2A404" w14:textId="77777777" w:rsidR="00D67C1E" w:rsidRPr="00283806" w:rsidRDefault="001265CA">
      <w:pPr>
        <w:spacing w:line="174" w:lineRule="exact"/>
        <w:ind w:left="335"/>
        <w:rPr>
          <w:sz w:val="18"/>
        </w:rPr>
      </w:pPr>
      <w:r w:rsidRPr="00283806">
        <w:rPr>
          <w:rFonts w:ascii="Book Antiqua"/>
          <w:i/>
          <w:w w:val="105"/>
          <w:sz w:val="18"/>
        </w:rPr>
        <w:t>Disposal,</w:t>
      </w:r>
      <w:r w:rsidRPr="00283806">
        <w:rPr>
          <w:rFonts w:ascii="Book Antiqua"/>
          <w:i/>
          <w:spacing w:val="8"/>
          <w:w w:val="105"/>
          <w:sz w:val="18"/>
        </w:rPr>
        <w:t xml:space="preserve"> </w:t>
      </w:r>
      <w:r w:rsidRPr="00283806">
        <w:rPr>
          <w:w w:val="105"/>
          <w:sz w:val="18"/>
        </w:rPr>
        <w:t>as</w:t>
      </w:r>
      <w:r w:rsidRPr="00283806">
        <w:rPr>
          <w:spacing w:val="13"/>
          <w:w w:val="105"/>
          <w:sz w:val="18"/>
        </w:rPr>
        <w:t xml:space="preserve"> </w:t>
      </w:r>
      <w:r w:rsidRPr="00283806">
        <w:rPr>
          <w:w w:val="105"/>
          <w:sz w:val="18"/>
        </w:rPr>
        <w:t>it</w:t>
      </w:r>
      <w:r w:rsidRPr="00283806">
        <w:rPr>
          <w:spacing w:val="13"/>
          <w:w w:val="105"/>
          <w:sz w:val="18"/>
        </w:rPr>
        <w:t xml:space="preserve"> </w:t>
      </w:r>
      <w:r w:rsidRPr="00283806">
        <w:rPr>
          <w:w w:val="105"/>
          <w:sz w:val="18"/>
        </w:rPr>
        <w:t>relates</w:t>
      </w:r>
      <w:r w:rsidRPr="00283806">
        <w:rPr>
          <w:spacing w:val="14"/>
          <w:w w:val="105"/>
          <w:sz w:val="18"/>
        </w:rPr>
        <w:t xml:space="preserve"> </w:t>
      </w:r>
      <w:r w:rsidRPr="00283806">
        <w:rPr>
          <w:w w:val="105"/>
          <w:sz w:val="18"/>
        </w:rPr>
        <w:t>to</w:t>
      </w:r>
      <w:r w:rsidRPr="00283806">
        <w:rPr>
          <w:spacing w:val="13"/>
          <w:w w:val="105"/>
          <w:sz w:val="18"/>
        </w:rPr>
        <w:t xml:space="preserve"> </w:t>
      </w:r>
      <w:r w:rsidRPr="00283806">
        <w:rPr>
          <w:spacing w:val="-2"/>
          <w:w w:val="105"/>
          <w:sz w:val="18"/>
        </w:rPr>
        <w:t>refrigerant-</w:t>
      </w:r>
    </w:p>
    <w:p w14:paraId="317AE62D" w14:textId="77777777" w:rsidR="00D67C1E" w:rsidRPr="00283806" w:rsidRDefault="001265CA">
      <w:pPr>
        <w:pStyle w:val="BodyText"/>
        <w:spacing w:line="228" w:lineRule="auto"/>
        <w:ind w:left="155" w:right="83"/>
      </w:pPr>
      <w:r w:rsidRPr="00283806">
        <w:rPr>
          <w:w w:val="105"/>
        </w:rPr>
        <w:t>containing equipment, means the process</w:t>
      </w:r>
      <w:r w:rsidRPr="00283806">
        <w:rPr>
          <w:spacing w:val="10"/>
          <w:w w:val="105"/>
        </w:rPr>
        <w:t xml:space="preserve"> </w:t>
      </w:r>
      <w:r w:rsidRPr="00283806">
        <w:rPr>
          <w:w w:val="105"/>
        </w:rPr>
        <w:t>leading</w:t>
      </w:r>
      <w:r w:rsidRPr="00283806">
        <w:rPr>
          <w:spacing w:val="10"/>
          <w:w w:val="105"/>
        </w:rPr>
        <w:t xml:space="preserve"> </w:t>
      </w:r>
      <w:r w:rsidRPr="00283806">
        <w:rPr>
          <w:w w:val="105"/>
        </w:rPr>
        <w:t>to</w:t>
      </w:r>
      <w:r w:rsidRPr="00283806">
        <w:rPr>
          <w:spacing w:val="10"/>
          <w:w w:val="105"/>
        </w:rPr>
        <w:t xml:space="preserve"> </w:t>
      </w:r>
      <w:r w:rsidRPr="00283806">
        <w:rPr>
          <w:w w:val="105"/>
        </w:rPr>
        <w:t>and</w:t>
      </w:r>
      <w:r w:rsidRPr="00283806">
        <w:rPr>
          <w:spacing w:val="10"/>
          <w:w w:val="105"/>
        </w:rPr>
        <w:t xml:space="preserve"> </w:t>
      </w:r>
      <w:r w:rsidRPr="00283806">
        <w:rPr>
          <w:spacing w:val="-2"/>
          <w:w w:val="105"/>
        </w:rPr>
        <w:t>including:</w:t>
      </w:r>
    </w:p>
    <w:p w14:paraId="52DD1314" w14:textId="77777777" w:rsidR="00D67C1E" w:rsidRPr="00283806" w:rsidRDefault="001265CA">
      <w:pPr>
        <w:pStyle w:val="ListParagraph"/>
        <w:numPr>
          <w:ilvl w:val="1"/>
          <w:numId w:val="62"/>
        </w:numPr>
        <w:tabs>
          <w:tab w:val="left" w:pos="603"/>
        </w:tabs>
        <w:spacing w:line="180" w:lineRule="exact"/>
        <w:ind w:left="603" w:hanging="268"/>
        <w:rPr>
          <w:sz w:val="18"/>
        </w:rPr>
      </w:pPr>
      <w:r w:rsidRPr="00283806">
        <w:rPr>
          <w:w w:val="110"/>
          <w:sz w:val="18"/>
        </w:rPr>
        <w:t>The</w:t>
      </w:r>
      <w:r w:rsidRPr="00283806">
        <w:rPr>
          <w:spacing w:val="-9"/>
          <w:w w:val="110"/>
          <w:sz w:val="18"/>
        </w:rPr>
        <w:t xml:space="preserve"> </w:t>
      </w:r>
      <w:r w:rsidRPr="00283806">
        <w:rPr>
          <w:w w:val="110"/>
          <w:sz w:val="18"/>
        </w:rPr>
        <w:t>discharge,</w:t>
      </w:r>
      <w:r w:rsidRPr="00283806">
        <w:rPr>
          <w:spacing w:val="-9"/>
          <w:w w:val="110"/>
          <w:sz w:val="18"/>
        </w:rPr>
        <w:t xml:space="preserve"> </w:t>
      </w:r>
      <w:r w:rsidRPr="00283806">
        <w:rPr>
          <w:w w:val="110"/>
          <w:sz w:val="18"/>
        </w:rPr>
        <w:t>deposit,</w:t>
      </w:r>
      <w:r w:rsidRPr="00283806">
        <w:rPr>
          <w:spacing w:val="-9"/>
          <w:w w:val="110"/>
          <w:sz w:val="18"/>
        </w:rPr>
        <w:t xml:space="preserve"> </w:t>
      </w:r>
      <w:r w:rsidRPr="00283806">
        <w:rPr>
          <w:spacing w:val="-2"/>
          <w:w w:val="110"/>
          <w:sz w:val="18"/>
        </w:rPr>
        <w:t>dumping,</w:t>
      </w:r>
    </w:p>
    <w:p w14:paraId="0631D217" w14:textId="77777777" w:rsidR="00D67C1E" w:rsidRPr="00283806" w:rsidRDefault="001265CA">
      <w:pPr>
        <w:pStyle w:val="BodyText"/>
        <w:spacing w:before="1" w:line="228" w:lineRule="auto"/>
        <w:ind w:left="155" w:right="98"/>
      </w:pPr>
      <w:r w:rsidRPr="00283806">
        <w:rPr>
          <w:w w:val="105"/>
        </w:rPr>
        <w:t>or placing of any discarded refrigerant- containing equipment into or on any land or water;</w:t>
      </w:r>
    </w:p>
    <w:p w14:paraId="40557E71" w14:textId="77777777" w:rsidR="00D67C1E" w:rsidRPr="00283806" w:rsidRDefault="001265CA">
      <w:pPr>
        <w:pStyle w:val="ListParagraph"/>
        <w:numPr>
          <w:ilvl w:val="1"/>
          <w:numId w:val="62"/>
        </w:numPr>
        <w:tabs>
          <w:tab w:val="left" w:pos="603"/>
        </w:tabs>
        <w:spacing w:line="179" w:lineRule="exact"/>
        <w:ind w:left="603" w:hanging="268"/>
        <w:rPr>
          <w:sz w:val="18"/>
        </w:rPr>
      </w:pPr>
      <w:r w:rsidRPr="00283806">
        <w:rPr>
          <w:w w:val="105"/>
          <w:sz w:val="18"/>
        </w:rPr>
        <w:t>The</w:t>
      </w:r>
      <w:r w:rsidRPr="00283806">
        <w:rPr>
          <w:spacing w:val="13"/>
          <w:w w:val="105"/>
          <w:sz w:val="18"/>
        </w:rPr>
        <w:t xml:space="preserve"> </w:t>
      </w:r>
      <w:r w:rsidRPr="00283806">
        <w:rPr>
          <w:w w:val="105"/>
          <w:sz w:val="18"/>
        </w:rPr>
        <w:t>disassembly</w:t>
      </w:r>
      <w:r w:rsidRPr="00283806">
        <w:rPr>
          <w:spacing w:val="13"/>
          <w:w w:val="105"/>
          <w:sz w:val="18"/>
        </w:rPr>
        <w:t xml:space="preserve"> </w:t>
      </w:r>
      <w:r w:rsidRPr="00283806">
        <w:rPr>
          <w:w w:val="105"/>
          <w:sz w:val="18"/>
        </w:rPr>
        <w:t>of</w:t>
      </w:r>
      <w:r w:rsidRPr="00283806">
        <w:rPr>
          <w:spacing w:val="14"/>
          <w:w w:val="105"/>
          <w:sz w:val="18"/>
        </w:rPr>
        <w:t xml:space="preserve"> </w:t>
      </w:r>
      <w:r w:rsidRPr="00283806">
        <w:rPr>
          <w:w w:val="105"/>
          <w:sz w:val="18"/>
        </w:rPr>
        <w:t>any</w:t>
      </w:r>
      <w:r w:rsidRPr="00283806">
        <w:rPr>
          <w:spacing w:val="13"/>
          <w:w w:val="105"/>
          <w:sz w:val="18"/>
        </w:rPr>
        <w:t xml:space="preserve"> </w:t>
      </w:r>
      <w:r w:rsidRPr="00283806">
        <w:rPr>
          <w:spacing w:val="-2"/>
          <w:w w:val="105"/>
          <w:sz w:val="18"/>
        </w:rPr>
        <w:t>refrigerant-</w:t>
      </w:r>
    </w:p>
    <w:p w14:paraId="2AE096D5" w14:textId="77777777" w:rsidR="00D67C1E" w:rsidRPr="00283806" w:rsidRDefault="001265CA">
      <w:pPr>
        <w:pStyle w:val="BodyText"/>
        <w:spacing w:before="3" w:line="228" w:lineRule="auto"/>
        <w:ind w:left="155" w:right="64"/>
      </w:pPr>
      <w:r w:rsidRPr="00283806">
        <w:rPr>
          <w:w w:val="105"/>
        </w:rPr>
        <w:t>containing equipment for discharge, deposit, dumping, or placing of its discarded component parts into or on any land or water;</w:t>
      </w:r>
    </w:p>
    <w:p w14:paraId="050744CC" w14:textId="77777777" w:rsidR="00D67C1E" w:rsidRPr="00283806" w:rsidRDefault="001265CA">
      <w:pPr>
        <w:pStyle w:val="ListParagraph"/>
        <w:numPr>
          <w:ilvl w:val="1"/>
          <w:numId w:val="62"/>
        </w:numPr>
        <w:tabs>
          <w:tab w:val="left" w:pos="603"/>
        </w:tabs>
        <w:spacing w:line="181" w:lineRule="exact"/>
        <w:ind w:left="603" w:hanging="268"/>
        <w:rPr>
          <w:sz w:val="18"/>
        </w:rPr>
      </w:pPr>
      <w:r w:rsidRPr="00283806">
        <w:rPr>
          <w:w w:val="105"/>
          <w:sz w:val="18"/>
        </w:rPr>
        <w:t>The</w:t>
      </w:r>
      <w:r w:rsidRPr="00283806">
        <w:rPr>
          <w:spacing w:val="16"/>
          <w:w w:val="105"/>
          <w:sz w:val="18"/>
        </w:rPr>
        <w:t xml:space="preserve"> </w:t>
      </w:r>
      <w:r w:rsidRPr="00283806">
        <w:rPr>
          <w:w w:val="105"/>
          <w:sz w:val="18"/>
        </w:rPr>
        <w:t>vandalism</w:t>
      </w:r>
      <w:r w:rsidRPr="00283806">
        <w:rPr>
          <w:spacing w:val="17"/>
          <w:w w:val="105"/>
          <w:sz w:val="18"/>
        </w:rPr>
        <w:t xml:space="preserve"> </w:t>
      </w:r>
      <w:r w:rsidRPr="00283806">
        <w:rPr>
          <w:w w:val="105"/>
          <w:sz w:val="18"/>
        </w:rPr>
        <w:t>of</w:t>
      </w:r>
      <w:r w:rsidRPr="00283806">
        <w:rPr>
          <w:spacing w:val="17"/>
          <w:w w:val="105"/>
          <w:sz w:val="18"/>
        </w:rPr>
        <w:t xml:space="preserve"> </w:t>
      </w:r>
      <w:r w:rsidRPr="00283806">
        <w:rPr>
          <w:w w:val="105"/>
          <w:sz w:val="18"/>
        </w:rPr>
        <w:t>any</w:t>
      </w:r>
      <w:r w:rsidRPr="00283806">
        <w:rPr>
          <w:spacing w:val="17"/>
          <w:w w:val="105"/>
          <w:sz w:val="18"/>
        </w:rPr>
        <w:t xml:space="preserve"> </w:t>
      </w:r>
      <w:r w:rsidRPr="00283806">
        <w:rPr>
          <w:spacing w:val="-2"/>
          <w:w w:val="105"/>
          <w:sz w:val="18"/>
        </w:rPr>
        <w:t>refrigerant-</w:t>
      </w:r>
    </w:p>
    <w:p w14:paraId="02E6EA4E" w14:textId="77777777" w:rsidR="00D67C1E" w:rsidRPr="00283806" w:rsidRDefault="001265CA">
      <w:pPr>
        <w:pStyle w:val="BodyText"/>
        <w:spacing w:before="3" w:line="228" w:lineRule="auto"/>
        <w:ind w:left="155" w:right="17"/>
      </w:pPr>
      <w:r w:rsidRPr="00283806">
        <w:rPr>
          <w:w w:val="105"/>
        </w:rPr>
        <w:t xml:space="preserve">containing equipment such that the refrigerant is released into the environment or would be released into the environment if it had not been recovered prior to the destructive </w:t>
      </w:r>
      <w:r w:rsidRPr="00283806">
        <w:rPr>
          <w:spacing w:val="-2"/>
          <w:w w:val="105"/>
        </w:rPr>
        <w:t>activity;</w:t>
      </w:r>
    </w:p>
    <w:p w14:paraId="6FB75B8B" w14:textId="77777777" w:rsidR="00D67C1E" w:rsidRPr="00283806" w:rsidRDefault="001265CA">
      <w:pPr>
        <w:pStyle w:val="ListParagraph"/>
        <w:numPr>
          <w:ilvl w:val="1"/>
          <w:numId w:val="62"/>
        </w:numPr>
        <w:tabs>
          <w:tab w:val="left" w:pos="603"/>
        </w:tabs>
        <w:spacing w:line="180" w:lineRule="exact"/>
        <w:ind w:left="603" w:hanging="268"/>
        <w:rPr>
          <w:sz w:val="18"/>
        </w:rPr>
      </w:pPr>
      <w:r w:rsidRPr="00283806">
        <w:rPr>
          <w:w w:val="105"/>
          <w:sz w:val="18"/>
        </w:rPr>
        <w:t>The</w:t>
      </w:r>
      <w:r w:rsidRPr="00283806">
        <w:rPr>
          <w:spacing w:val="13"/>
          <w:w w:val="105"/>
          <w:sz w:val="18"/>
        </w:rPr>
        <w:t xml:space="preserve"> </w:t>
      </w:r>
      <w:r w:rsidRPr="00283806">
        <w:rPr>
          <w:w w:val="105"/>
          <w:sz w:val="18"/>
        </w:rPr>
        <w:t>disassembly</w:t>
      </w:r>
      <w:r w:rsidRPr="00283806">
        <w:rPr>
          <w:spacing w:val="13"/>
          <w:w w:val="105"/>
          <w:sz w:val="18"/>
        </w:rPr>
        <w:t xml:space="preserve"> </w:t>
      </w:r>
      <w:r w:rsidRPr="00283806">
        <w:rPr>
          <w:w w:val="105"/>
          <w:sz w:val="18"/>
        </w:rPr>
        <w:t>of</w:t>
      </w:r>
      <w:r w:rsidRPr="00283806">
        <w:rPr>
          <w:spacing w:val="14"/>
          <w:w w:val="105"/>
          <w:sz w:val="18"/>
        </w:rPr>
        <w:t xml:space="preserve"> </w:t>
      </w:r>
      <w:r w:rsidRPr="00283806">
        <w:rPr>
          <w:w w:val="105"/>
          <w:sz w:val="18"/>
        </w:rPr>
        <w:t>any</w:t>
      </w:r>
      <w:r w:rsidRPr="00283806">
        <w:rPr>
          <w:spacing w:val="13"/>
          <w:w w:val="105"/>
          <w:sz w:val="18"/>
        </w:rPr>
        <w:t xml:space="preserve"> </w:t>
      </w:r>
      <w:r w:rsidRPr="00283806">
        <w:rPr>
          <w:spacing w:val="-2"/>
          <w:w w:val="105"/>
          <w:sz w:val="18"/>
        </w:rPr>
        <w:t>refrigerant-</w:t>
      </w:r>
    </w:p>
    <w:p w14:paraId="683FDFF4" w14:textId="77777777" w:rsidR="00D67C1E" w:rsidRPr="00283806" w:rsidRDefault="001265CA">
      <w:pPr>
        <w:pStyle w:val="BodyText"/>
        <w:spacing w:before="3" w:line="228" w:lineRule="auto"/>
        <w:ind w:left="155" w:right="83"/>
      </w:pPr>
      <w:r w:rsidRPr="00283806">
        <w:rPr>
          <w:w w:val="105"/>
        </w:rPr>
        <w:t>containing equipment for reuse of its component parts; or</w:t>
      </w:r>
    </w:p>
    <w:p w14:paraId="757F792A" w14:textId="77777777" w:rsidR="00D67C1E" w:rsidRPr="00283806" w:rsidRDefault="001265CA">
      <w:pPr>
        <w:pStyle w:val="ListParagraph"/>
        <w:numPr>
          <w:ilvl w:val="1"/>
          <w:numId w:val="62"/>
        </w:numPr>
        <w:tabs>
          <w:tab w:val="left" w:pos="603"/>
        </w:tabs>
        <w:spacing w:line="182" w:lineRule="exact"/>
        <w:ind w:left="603" w:hanging="268"/>
        <w:rPr>
          <w:sz w:val="18"/>
        </w:rPr>
      </w:pPr>
      <w:r w:rsidRPr="00283806">
        <w:rPr>
          <w:w w:val="105"/>
          <w:sz w:val="18"/>
        </w:rPr>
        <w:t>The</w:t>
      </w:r>
      <w:r w:rsidRPr="00283806">
        <w:rPr>
          <w:spacing w:val="16"/>
          <w:w w:val="105"/>
          <w:sz w:val="18"/>
        </w:rPr>
        <w:t xml:space="preserve"> </w:t>
      </w:r>
      <w:r w:rsidRPr="00283806">
        <w:rPr>
          <w:w w:val="105"/>
          <w:sz w:val="18"/>
        </w:rPr>
        <w:t>recycling</w:t>
      </w:r>
      <w:r w:rsidRPr="00283806">
        <w:rPr>
          <w:spacing w:val="16"/>
          <w:w w:val="105"/>
          <w:sz w:val="18"/>
        </w:rPr>
        <w:t xml:space="preserve"> </w:t>
      </w:r>
      <w:r w:rsidRPr="00283806">
        <w:rPr>
          <w:w w:val="105"/>
          <w:sz w:val="18"/>
        </w:rPr>
        <w:t>of</w:t>
      </w:r>
      <w:r w:rsidRPr="00283806">
        <w:rPr>
          <w:spacing w:val="16"/>
          <w:w w:val="105"/>
          <w:sz w:val="18"/>
        </w:rPr>
        <w:t xml:space="preserve"> </w:t>
      </w:r>
      <w:r w:rsidRPr="00283806">
        <w:rPr>
          <w:w w:val="105"/>
          <w:sz w:val="18"/>
        </w:rPr>
        <w:t>any</w:t>
      </w:r>
      <w:r w:rsidRPr="00283806">
        <w:rPr>
          <w:spacing w:val="16"/>
          <w:w w:val="105"/>
          <w:sz w:val="18"/>
        </w:rPr>
        <w:t xml:space="preserve"> </w:t>
      </w:r>
      <w:r w:rsidRPr="00283806">
        <w:rPr>
          <w:spacing w:val="-2"/>
          <w:w w:val="105"/>
          <w:sz w:val="18"/>
        </w:rPr>
        <w:t>refrigerant-</w:t>
      </w:r>
    </w:p>
    <w:p w14:paraId="3658452E" w14:textId="77777777" w:rsidR="00D67C1E" w:rsidRPr="00283806" w:rsidRDefault="001265CA">
      <w:pPr>
        <w:pStyle w:val="BodyText"/>
        <w:spacing w:line="193" w:lineRule="exact"/>
        <w:ind w:left="335" w:hanging="180"/>
      </w:pPr>
      <w:r w:rsidRPr="00283806">
        <w:rPr>
          <w:w w:val="105"/>
        </w:rPr>
        <w:t>containing</w:t>
      </w:r>
      <w:r w:rsidRPr="00283806">
        <w:rPr>
          <w:spacing w:val="15"/>
          <w:w w:val="105"/>
        </w:rPr>
        <w:t xml:space="preserve"> </w:t>
      </w:r>
      <w:r w:rsidRPr="00283806">
        <w:rPr>
          <w:w w:val="105"/>
        </w:rPr>
        <w:t>equipment</w:t>
      </w:r>
      <w:r w:rsidRPr="00283806">
        <w:rPr>
          <w:spacing w:val="16"/>
          <w:w w:val="105"/>
        </w:rPr>
        <w:t xml:space="preserve"> </w:t>
      </w:r>
      <w:r w:rsidRPr="00283806">
        <w:rPr>
          <w:w w:val="105"/>
        </w:rPr>
        <w:t>for</w:t>
      </w:r>
      <w:r w:rsidRPr="00283806">
        <w:rPr>
          <w:spacing w:val="16"/>
          <w:w w:val="105"/>
        </w:rPr>
        <w:t xml:space="preserve"> </w:t>
      </w:r>
      <w:r w:rsidRPr="00283806">
        <w:rPr>
          <w:spacing w:val="-2"/>
          <w:w w:val="105"/>
        </w:rPr>
        <w:t>scrap.</w:t>
      </w:r>
    </w:p>
    <w:p w14:paraId="7362D88A" w14:textId="77777777" w:rsidR="00D67C1E" w:rsidRPr="00283806" w:rsidRDefault="001265CA">
      <w:pPr>
        <w:pStyle w:val="BodyText"/>
        <w:spacing w:before="1" w:line="220" w:lineRule="auto"/>
        <w:ind w:left="155" w:right="83" w:firstLine="180"/>
      </w:pPr>
      <w:r w:rsidRPr="00283806">
        <w:rPr>
          <w:rFonts w:ascii="Book Antiqua"/>
          <w:i/>
          <w:w w:val="105"/>
        </w:rPr>
        <w:t xml:space="preserve">Disposal, </w:t>
      </w:r>
      <w:r w:rsidRPr="00283806">
        <w:rPr>
          <w:w w:val="105"/>
        </w:rPr>
        <w:t>as it relates to fire suppression equipment, means the process leading to and including:</w:t>
      </w:r>
    </w:p>
    <w:p w14:paraId="321A1660" w14:textId="77777777" w:rsidR="00D67C1E" w:rsidRPr="00283806" w:rsidRDefault="001265CA">
      <w:pPr>
        <w:pStyle w:val="ListParagraph"/>
        <w:numPr>
          <w:ilvl w:val="0"/>
          <w:numId w:val="60"/>
        </w:numPr>
        <w:tabs>
          <w:tab w:val="left" w:pos="603"/>
        </w:tabs>
        <w:spacing w:line="186" w:lineRule="exact"/>
        <w:ind w:left="603" w:hanging="268"/>
        <w:rPr>
          <w:sz w:val="18"/>
        </w:rPr>
      </w:pPr>
      <w:r w:rsidRPr="00283806">
        <w:rPr>
          <w:w w:val="110"/>
          <w:sz w:val="18"/>
        </w:rPr>
        <w:t>The</w:t>
      </w:r>
      <w:r w:rsidRPr="00283806">
        <w:rPr>
          <w:spacing w:val="-9"/>
          <w:w w:val="110"/>
          <w:sz w:val="18"/>
        </w:rPr>
        <w:t xml:space="preserve"> </w:t>
      </w:r>
      <w:r w:rsidRPr="00283806">
        <w:rPr>
          <w:w w:val="110"/>
          <w:sz w:val="18"/>
        </w:rPr>
        <w:t>discharge,</w:t>
      </w:r>
      <w:r w:rsidRPr="00283806">
        <w:rPr>
          <w:spacing w:val="-9"/>
          <w:w w:val="110"/>
          <w:sz w:val="18"/>
        </w:rPr>
        <w:t xml:space="preserve"> </w:t>
      </w:r>
      <w:r w:rsidRPr="00283806">
        <w:rPr>
          <w:w w:val="110"/>
          <w:sz w:val="18"/>
        </w:rPr>
        <w:t>deposit,</w:t>
      </w:r>
      <w:r w:rsidRPr="00283806">
        <w:rPr>
          <w:spacing w:val="-9"/>
          <w:w w:val="110"/>
          <w:sz w:val="18"/>
        </w:rPr>
        <w:t xml:space="preserve"> </w:t>
      </w:r>
      <w:r w:rsidRPr="00283806">
        <w:rPr>
          <w:spacing w:val="-2"/>
          <w:w w:val="110"/>
          <w:sz w:val="18"/>
        </w:rPr>
        <w:t>dumping,</w:t>
      </w:r>
    </w:p>
    <w:p w14:paraId="2DD93E9D" w14:textId="77777777" w:rsidR="00D67C1E" w:rsidRPr="00283806" w:rsidRDefault="001265CA">
      <w:pPr>
        <w:pStyle w:val="BodyText"/>
        <w:spacing w:before="3" w:line="228" w:lineRule="auto"/>
        <w:ind w:left="155" w:right="56"/>
      </w:pPr>
      <w:r w:rsidRPr="00283806">
        <w:rPr>
          <w:w w:val="105"/>
        </w:rPr>
        <w:t>or placing of any fire suppression equipment</w:t>
      </w:r>
      <w:r w:rsidRPr="00283806">
        <w:rPr>
          <w:spacing w:val="9"/>
          <w:w w:val="105"/>
        </w:rPr>
        <w:t xml:space="preserve"> </w:t>
      </w:r>
      <w:r w:rsidRPr="00283806">
        <w:rPr>
          <w:w w:val="105"/>
        </w:rPr>
        <w:t>into</w:t>
      </w:r>
      <w:r w:rsidRPr="00283806">
        <w:rPr>
          <w:spacing w:val="10"/>
          <w:w w:val="105"/>
        </w:rPr>
        <w:t xml:space="preserve"> </w:t>
      </w:r>
      <w:r w:rsidRPr="00283806">
        <w:rPr>
          <w:w w:val="105"/>
        </w:rPr>
        <w:t>or</w:t>
      </w:r>
      <w:r w:rsidRPr="00283806">
        <w:rPr>
          <w:spacing w:val="10"/>
          <w:w w:val="105"/>
        </w:rPr>
        <w:t xml:space="preserve"> </w:t>
      </w:r>
      <w:r w:rsidRPr="00283806">
        <w:rPr>
          <w:w w:val="105"/>
        </w:rPr>
        <w:t>on</w:t>
      </w:r>
      <w:r w:rsidRPr="00283806">
        <w:rPr>
          <w:spacing w:val="10"/>
          <w:w w:val="105"/>
        </w:rPr>
        <w:t xml:space="preserve"> </w:t>
      </w:r>
      <w:r w:rsidRPr="00283806">
        <w:rPr>
          <w:w w:val="105"/>
        </w:rPr>
        <w:t>any</w:t>
      </w:r>
      <w:r w:rsidRPr="00283806">
        <w:rPr>
          <w:spacing w:val="10"/>
          <w:w w:val="105"/>
        </w:rPr>
        <w:t xml:space="preserve"> </w:t>
      </w:r>
      <w:r w:rsidRPr="00283806">
        <w:rPr>
          <w:w w:val="105"/>
        </w:rPr>
        <w:t>land</w:t>
      </w:r>
      <w:r w:rsidRPr="00283806">
        <w:rPr>
          <w:spacing w:val="10"/>
          <w:w w:val="105"/>
        </w:rPr>
        <w:t xml:space="preserve"> </w:t>
      </w:r>
      <w:r w:rsidRPr="00283806">
        <w:rPr>
          <w:w w:val="105"/>
        </w:rPr>
        <w:t>or</w:t>
      </w:r>
      <w:r w:rsidRPr="00283806">
        <w:rPr>
          <w:spacing w:val="10"/>
          <w:w w:val="105"/>
        </w:rPr>
        <w:t xml:space="preserve"> </w:t>
      </w:r>
      <w:r w:rsidRPr="00283806">
        <w:rPr>
          <w:spacing w:val="-2"/>
          <w:w w:val="105"/>
        </w:rPr>
        <w:t>water;</w:t>
      </w:r>
    </w:p>
    <w:p w14:paraId="0243C96E" w14:textId="77777777" w:rsidR="00D67C1E" w:rsidRPr="00283806" w:rsidRDefault="001265CA">
      <w:pPr>
        <w:pStyle w:val="ListParagraph"/>
        <w:numPr>
          <w:ilvl w:val="0"/>
          <w:numId w:val="60"/>
        </w:numPr>
        <w:tabs>
          <w:tab w:val="left" w:pos="603"/>
        </w:tabs>
        <w:spacing w:line="182" w:lineRule="exact"/>
        <w:ind w:left="603" w:hanging="268"/>
        <w:rPr>
          <w:sz w:val="18"/>
        </w:rPr>
      </w:pPr>
      <w:r w:rsidRPr="00283806">
        <w:rPr>
          <w:w w:val="105"/>
          <w:sz w:val="18"/>
        </w:rPr>
        <w:t>The</w:t>
      </w:r>
      <w:r w:rsidRPr="00283806">
        <w:rPr>
          <w:spacing w:val="13"/>
          <w:w w:val="105"/>
          <w:sz w:val="18"/>
        </w:rPr>
        <w:t xml:space="preserve"> </w:t>
      </w:r>
      <w:r w:rsidRPr="00283806">
        <w:rPr>
          <w:w w:val="105"/>
          <w:sz w:val="18"/>
        </w:rPr>
        <w:t>disassembly</w:t>
      </w:r>
      <w:r w:rsidRPr="00283806">
        <w:rPr>
          <w:spacing w:val="13"/>
          <w:w w:val="105"/>
          <w:sz w:val="18"/>
        </w:rPr>
        <w:t xml:space="preserve"> </w:t>
      </w:r>
      <w:r w:rsidRPr="00283806">
        <w:rPr>
          <w:w w:val="105"/>
          <w:sz w:val="18"/>
        </w:rPr>
        <w:t>of</w:t>
      </w:r>
      <w:r w:rsidRPr="00283806">
        <w:rPr>
          <w:spacing w:val="14"/>
          <w:w w:val="105"/>
          <w:sz w:val="18"/>
        </w:rPr>
        <w:t xml:space="preserve"> </w:t>
      </w:r>
      <w:r w:rsidRPr="00283806">
        <w:rPr>
          <w:w w:val="105"/>
          <w:sz w:val="18"/>
        </w:rPr>
        <w:t>any</w:t>
      </w:r>
      <w:r w:rsidRPr="00283806">
        <w:rPr>
          <w:spacing w:val="13"/>
          <w:w w:val="105"/>
          <w:sz w:val="18"/>
        </w:rPr>
        <w:t xml:space="preserve"> </w:t>
      </w:r>
      <w:r w:rsidRPr="00283806">
        <w:rPr>
          <w:spacing w:val="-4"/>
          <w:w w:val="105"/>
          <w:sz w:val="18"/>
        </w:rPr>
        <w:t>fire</w:t>
      </w:r>
    </w:p>
    <w:p w14:paraId="7D9343DE" w14:textId="77777777" w:rsidR="00D67C1E" w:rsidRPr="00283806" w:rsidRDefault="001265CA">
      <w:pPr>
        <w:pStyle w:val="BodyText"/>
        <w:spacing w:before="3" w:line="228" w:lineRule="auto"/>
        <w:ind w:left="155" w:right="83"/>
      </w:pPr>
      <w:r w:rsidRPr="00283806">
        <w:rPr>
          <w:w w:val="105"/>
        </w:rPr>
        <w:t>suppression equipment for discharge, deposit, dumping, or placing of its discarded component parts into or on any land or water; or</w:t>
      </w:r>
    </w:p>
    <w:p w14:paraId="159FA3B9" w14:textId="77777777" w:rsidR="00D67C1E" w:rsidRPr="00283806" w:rsidRDefault="001265CA">
      <w:pPr>
        <w:pStyle w:val="ListParagraph"/>
        <w:numPr>
          <w:ilvl w:val="0"/>
          <w:numId w:val="60"/>
        </w:numPr>
        <w:tabs>
          <w:tab w:val="left" w:pos="603"/>
        </w:tabs>
        <w:spacing w:line="181" w:lineRule="exact"/>
        <w:ind w:left="603" w:hanging="268"/>
        <w:rPr>
          <w:sz w:val="18"/>
        </w:rPr>
      </w:pPr>
      <w:r w:rsidRPr="00283806">
        <w:rPr>
          <w:w w:val="105"/>
          <w:sz w:val="18"/>
        </w:rPr>
        <w:t>The</w:t>
      </w:r>
      <w:r w:rsidRPr="00283806">
        <w:rPr>
          <w:spacing w:val="13"/>
          <w:w w:val="105"/>
          <w:sz w:val="18"/>
        </w:rPr>
        <w:t xml:space="preserve"> </w:t>
      </w:r>
      <w:r w:rsidRPr="00283806">
        <w:rPr>
          <w:w w:val="105"/>
          <w:sz w:val="18"/>
        </w:rPr>
        <w:t>disassembly</w:t>
      </w:r>
      <w:r w:rsidRPr="00283806">
        <w:rPr>
          <w:spacing w:val="13"/>
          <w:w w:val="105"/>
          <w:sz w:val="18"/>
        </w:rPr>
        <w:t xml:space="preserve"> </w:t>
      </w:r>
      <w:r w:rsidRPr="00283806">
        <w:rPr>
          <w:w w:val="105"/>
          <w:sz w:val="18"/>
        </w:rPr>
        <w:t>of</w:t>
      </w:r>
      <w:r w:rsidRPr="00283806">
        <w:rPr>
          <w:spacing w:val="14"/>
          <w:w w:val="105"/>
          <w:sz w:val="18"/>
        </w:rPr>
        <w:t xml:space="preserve"> </w:t>
      </w:r>
      <w:r w:rsidRPr="00283806">
        <w:rPr>
          <w:w w:val="105"/>
          <w:sz w:val="18"/>
        </w:rPr>
        <w:t>any</w:t>
      </w:r>
      <w:r w:rsidRPr="00283806">
        <w:rPr>
          <w:spacing w:val="13"/>
          <w:w w:val="105"/>
          <w:sz w:val="18"/>
        </w:rPr>
        <w:t xml:space="preserve"> </w:t>
      </w:r>
      <w:r w:rsidRPr="00283806">
        <w:rPr>
          <w:spacing w:val="-4"/>
          <w:w w:val="105"/>
          <w:sz w:val="18"/>
        </w:rPr>
        <w:t>fire</w:t>
      </w:r>
    </w:p>
    <w:p w14:paraId="2858B55E" w14:textId="77777777" w:rsidR="00D67C1E" w:rsidRPr="00283806" w:rsidRDefault="001265CA">
      <w:pPr>
        <w:pStyle w:val="BodyText"/>
        <w:spacing w:before="3" w:line="228" w:lineRule="auto"/>
        <w:ind w:left="155" w:right="83"/>
      </w:pPr>
      <w:r w:rsidRPr="00283806">
        <w:rPr>
          <w:w w:val="105"/>
        </w:rPr>
        <w:t>suppression equipment for reuse of its component parts.</w:t>
      </w:r>
    </w:p>
    <w:p w14:paraId="6E32A3B9" w14:textId="77777777" w:rsidR="00D67C1E" w:rsidRPr="00283806" w:rsidRDefault="001265CA">
      <w:pPr>
        <w:pStyle w:val="BodyText"/>
        <w:spacing w:line="220" w:lineRule="auto"/>
        <w:ind w:left="155" w:right="83" w:firstLine="180"/>
      </w:pPr>
      <w:r w:rsidRPr="00283806">
        <w:rPr>
          <w:rFonts w:ascii="Book Antiqua"/>
          <w:i/>
          <w:w w:val="105"/>
        </w:rPr>
        <w:t xml:space="preserve">Comment: </w:t>
      </w:r>
      <w:r w:rsidRPr="00283806">
        <w:rPr>
          <w:w w:val="105"/>
        </w:rPr>
        <w:t>One commenter asserted that the proposed definition of disposal (which as originally proposed was</w:t>
      </w:r>
    </w:p>
    <w:p w14:paraId="27BFE279" w14:textId="77777777" w:rsidR="00D67C1E" w:rsidRPr="00283806" w:rsidRDefault="001265CA">
      <w:pPr>
        <w:pStyle w:val="BodyText"/>
        <w:spacing w:line="228" w:lineRule="auto"/>
        <w:ind w:left="155" w:right="83"/>
      </w:pPr>
      <w:r w:rsidRPr="00283806">
        <w:rPr>
          <w:w w:val="105"/>
        </w:rPr>
        <w:t>specific to a ‘‘refrigerant-containing appliance’’) is inconsistent with the principles of safe disposal under 40 CFR</w:t>
      </w:r>
    </w:p>
    <w:p w14:paraId="076015F3" w14:textId="77777777" w:rsidR="00D67C1E" w:rsidRPr="00283806" w:rsidRDefault="001265CA">
      <w:pPr>
        <w:pStyle w:val="BodyText"/>
        <w:spacing w:line="201" w:lineRule="exact"/>
        <w:ind w:left="155"/>
      </w:pPr>
      <w:r w:rsidRPr="00283806">
        <w:rPr>
          <w:w w:val="105"/>
        </w:rPr>
        <w:t>82.155</w:t>
      </w:r>
      <w:r w:rsidRPr="00283806">
        <w:rPr>
          <w:spacing w:val="12"/>
          <w:w w:val="105"/>
        </w:rPr>
        <w:t xml:space="preserve"> </w:t>
      </w:r>
      <w:r w:rsidRPr="00283806">
        <w:rPr>
          <w:w w:val="105"/>
        </w:rPr>
        <w:t>and</w:t>
      </w:r>
      <w:r w:rsidRPr="00283806">
        <w:rPr>
          <w:spacing w:val="13"/>
          <w:w w:val="105"/>
        </w:rPr>
        <w:t xml:space="preserve"> </w:t>
      </w:r>
      <w:r w:rsidRPr="00283806">
        <w:rPr>
          <w:w w:val="105"/>
        </w:rPr>
        <w:t>with</w:t>
      </w:r>
      <w:r w:rsidRPr="00283806">
        <w:rPr>
          <w:spacing w:val="12"/>
          <w:w w:val="105"/>
        </w:rPr>
        <w:t xml:space="preserve"> </w:t>
      </w:r>
      <w:r w:rsidRPr="00283806">
        <w:rPr>
          <w:w w:val="105"/>
        </w:rPr>
        <w:t>the</w:t>
      </w:r>
      <w:r w:rsidRPr="00283806">
        <w:rPr>
          <w:spacing w:val="13"/>
          <w:w w:val="105"/>
        </w:rPr>
        <w:t xml:space="preserve"> </w:t>
      </w:r>
      <w:r w:rsidRPr="00283806">
        <w:rPr>
          <w:w w:val="105"/>
        </w:rPr>
        <w:t>definition</w:t>
      </w:r>
      <w:r w:rsidRPr="00283806">
        <w:rPr>
          <w:spacing w:val="12"/>
          <w:w w:val="105"/>
        </w:rPr>
        <w:t xml:space="preserve"> </w:t>
      </w:r>
      <w:r w:rsidRPr="00283806">
        <w:rPr>
          <w:spacing w:val="-5"/>
          <w:w w:val="105"/>
        </w:rPr>
        <w:t>of</w:t>
      </w:r>
    </w:p>
    <w:p w14:paraId="0C36C487" w14:textId="77777777" w:rsidR="00D67C1E" w:rsidRPr="00283806" w:rsidRDefault="001265CA">
      <w:pPr>
        <w:pStyle w:val="BodyText"/>
        <w:spacing w:before="134" w:line="225" w:lineRule="auto"/>
        <w:ind w:left="144" w:right="210"/>
      </w:pPr>
      <w:r w:rsidRPr="00283806">
        <w:br w:type="column"/>
      </w:r>
      <w:r w:rsidRPr="00283806">
        <w:rPr>
          <w:w w:val="105"/>
        </w:rPr>
        <w:t>disposal under RCRA. The commenter asserted that parts 4 and 5 of the definition incorrectly conflate two different processes (disassembly and recycling). The commenter further</w:t>
      </w:r>
      <w:r w:rsidRPr="00283806">
        <w:rPr>
          <w:spacing w:val="80"/>
          <w:w w:val="105"/>
        </w:rPr>
        <w:t xml:space="preserve"> </w:t>
      </w:r>
      <w:r w:rsidRPr="00283806">
        <w:rPr>
          <w:w w:val="105"/>
        </w:rPr>
        <w:t>stated that since there are ‘‘safe</w:t>
      </w:r>
      <w:r w:rsidRPr="00283806">
        <w:rPr>
          <w:spacing w:val="80"/>
          <w:w w:val="105"/>
        </w:rPr>
        <w:t xml:space="preserve"> </w:t>
      </w:r>
      <w:r w:rsidRPr="00283806">
        <w:rPr>
          <w:w w:val="105"/>
        </w:rPr>
        <w:t>disposal’’ regulations at 40 CFR 82.155,</w:t>
      </w:r>
      <w:r w:rsidRPr="00283806">
        <w:rPr>
          <w:spacing w:val="80"/>
          <w:w w:val="105"/>
        </w:rPr>
        <w:t xml:space="preserve"> </w:t>
      </w:r>
      <w:r w:rsidRPr="00283806">
        <w:rPr>
          <w:w w:val="105"/>
        </w:rPr>
        <w:t>it is counterproductive to have a definition of disposal that includes principles of recycling, because disposal and recycling are entirely different processes. The commenter also stated that the definition of disposal under 40 CFR 82.155 and 40 CFR 84.102 is</w:t>
      </w:r>
    </w:p>
    <w:p w14:paraId="2C1E19D4" w14:textId="77777777" w:rsidR="00D67C1E" w:rsidRPr="00283806" w:rsidRDefault="001265CA">
      <w:pPr>
        <w:pStyle w:val="BodyText"/>
        <w:spacing w:line="225" w:lineRule="auto"/>
        <w:ind w:left="144" w:right="195"/>
      </w:pPr>
      <w:r w:rsidRPr="00283806">
        <w:rPr>
          <w:w w:val="105"/>
        </w:rPr>
        <w:t>incompatible with RCRA’s definition of disposal under 40 CFR 260.10, which does not include practices of</w:t>
      </w:r>
      <w:r w:rsidRPr="00283806">
        <w:rPr>
          <w:spacing w:val="40"/>
          <w:w w:val="105"/>
        </w:rPr>
        <w:t xml:space="preserve"> </w:t>
      </w:r>
      <w:r w:rsidRPr="00283806">
        <w:rPr>
          <w:w w:val="105"/>
        </w:rPr>
        <w:t>disassembly or recycling. The</w:t>
      </w:r>
      <w:r w:rsidRPr="00283806">
        <w:rPr>
          <w:spacing w:val="40"/>
          <w:w w:val="105"/>
        </w:rPr>
        <w:t xml:space="preserve"> </w:t>
      </w:r>
      <w:r w:rsidRPr="00283806">
        <w:rPr>
          <w:w w:val="105"/>
        </w:rPr>
        <w:t>commenter requested that EPA align the proposed definition with those in 40</w:t>
      </w:r>
      <w:r w:rsidRPr="00283806">
        <w:rPr>
          <w:spacing w:val="80"/>
          <w:w w:val="105"/>
        </w:rPr>
        <w:t xml:space="preserve"> </w:t>
      </w:r>
      <w:r w:rsidRPr="00283806">
        <w:rPr>
          <w:w w:val="105"/>
        </w:rPr>
        <w:t xml:space="preserve">CFR 82 subparts B and F to minimize complications and contradictions between </w:t>
      </w:r>
      <w:proofErr w:type="gramStart"/>
      <w:r w:rsidRPr="00283806">
        <w:rPr>
          <w:w w:val="105"/>
        </w:rPr>
        <w:t>these AIM Act subsection (h)</w:t>
      </w:r>
      <w:proofErr w:type="gramEnd"/>
      <w:r w:rsidRPr="00283806">
        <w:rPr>
          <w:w w:val="105"/>
        </w:rPr>
        <w:t xml:space="preserve"> regulations</w:t>
      </w:r>
      <w:r w:rsidRPr="00283806">
        <w:rPr>
          <w:spacing w:val="40"/>
          <w:w w:val="105"/>
        </w:rPr>
        <w:t xml:space="preserve"> </w:t>
      </w:r>
      <w:r w:rsidRPr="00283806">
        <w:rPr>
          <w:w w:val="105"/>
        </w:rPr>
        <w:t>and</w:t>
      </w:r>
      <w:r w:rsidRPr="00283806">
        <w:rPr>
          <w:spacing w:val="40"/>
          <w:w w:val="105"/>
        </w:rPr>
        <w:t xml:space="preserve"> </w:t>
      </w:r>
      <w:r w:rsidRPr="00283806">
        <w:rPr>
          <w:w w:val="105"/>
        </w:rPr>
        <w:t>CAA</w:t>
      </w:r>
      <w:r w:rsidRPr="00283806">
        <w:rPr>
          <w:spacing w:val="40"/>
          <w:w w:val="105"/>
        </w:rPr>
        <w:t xml:space="preserve"> </w:t>
      </w:r>
      <w:r w:rsidRPr="00283806">
        <w:rPr>
          <w:w w:val="105"/>
        </w:rPr>
        <w:t>title</w:t>
      </w:r>
      <w:r w:rsidRPr="00283806">
        <w:rPr>
          <w:spacing w:val="40"/>
          <w:w w:val="105"/>
        </w:rPr>
        <w:t xml:space="preserve"> </w:t>
      </w:r>
      <w:r w:rsidRPr="00283806">
        <w:rPr>
          <w:w w:val="105"/>
        </w:rPr>
        <w:t>VI</w:t>
      </w:r>
      <w:r w:rsidRPr="00283806">
        <w:rPr>
          <w:spacing w:val="40"/>
          <w:w w:val="105"/>
        </w:rPr>
        <w:t xml:space="preserve"> </w:t>
      </w:r>
      <w:r w:rsidRPr="00283806">
        <w:rPr>
          <w:spacing w:val="-2"/>
          <w:w w:val="105"/>
        </w:rPr>
        <w:t>regulations.</w:t>
      </w:r>
    </w:p>
    <w:p w14:paraId="19D1A8FE" w14:textId="77777777" w:rsidR="00D67C1E" w:rsidRPr="00283806" w:rsidRDefault="001265CA">
      <w:pPr>
        <w:pStyle w:val="BodyText"/>
        <w:spacing w:line="213" w:lineRule="auto"/>
        <w:ind w:left="144" w:right="210" w:firstLine="180"/>
      </w:pPr>
      <w:r w:rsidRPr="00283806">
        <w:rPr>
          <w:rFonts w:ascii="Book Antiqua" w:hAnsi="Book Antiqua"/>
          <w:i/>
          <w:w w:val="110"/>
        </w:rPr>
        <w:t xml:space="preserve">Response: </w:t>
      </w:r>
      <w:r w:rsidRPr="00283806">
        <w:rPr>
          <w:w w:val="110"/>
        </w:rPr>
        <w:t>EPA is finalizing a definition</w:t>
      </w:r>
      <w:r w:rsidRPr="00283806">
        <w:rPr>
          <w:spacing w:val="-4"/>
          <w:w w:val="110"/>
        </w:rPr>
        <w:t xml:space="preserve"> </w:t>
      </w:r>
      <w:r w:rsidRPr="00283806">
        <w:rPr>
          <w:w w:val="110"/>
        </w:rPr>
        <w:t>of</w:t>
      </w:r>
      <w:r w:rsidRPr="00283806">
        <w:rPr>
          <w:spacing w:val="-5"/>
          <w:w w:val="110"/>
        </w:rPr>
        <w:t xml:space="preserve"> </w:t>
      </w:r>
      <w:r w:rsidRPr="00283806">
        <w:rPr>
          <w:w w:val="110"/>
        </w:rPr>
        <w:t>‘‘disposal,’’</w:t>
      </w:r>
      <w:r w:rsidRPr="00283806">
        <w:rPr>
          <w:spacing w:val="-4"/>
          <w:w w:val="110"/>
        </w:rPr>
        <w:t xml:space="preserve"> </w:t>
      </w:r>
      <w:r w:rsidRPr="00283806">
        <w:rPr>
          <w:w w:val="110"/>
        </w:rPr>
        <w:t>as</w:t>
      </w:r>
      <w:r w:rsidRPr="00283806">
        <w:rPr>
          <w:spacing w:val="-4"/>
          <w:w w:val="110"/>
        </w:rPr>
        <w:t xml:space="preserve"> </w:t>
      </w:r>
      <w:r w:rsidRPr="00283806">
        <w:rPr>
          <w:w w:val="110"/>
        </w:rPr>
        <w:t>it</w:t>
      </w:r>
      <w:r w:rsidRPr="00283806">
        <w:rPr>
          <w:spacing w:val="-4"/>
          <w:w w:val="110"/>
        </w:rPr>
        <w:t xml:space="preserve"> </w:t>
      </w:r>
      <w:r w:rsidRPr="00283806">
        <w:rPr>
          <w:w w:val="110"/>
        </w:rPr>
        <w:t>relates</w:t>
      </w:r>
      <w:r w:rsidRPr="00283806">
        <w:rPr>
          <w:spacing w:val="-4"/>
          <w:w w:val="110"/>
        </w:rPr>
        <w:t xml:space="preserve"> </w:t>
      </w:r>
      <w:r w:rsidRPr="00283806">
        <w:rPr>
          <w:spacing w:val="-5"/>
          <w:w w:val="110"/>
        </w:rPr>
        <w:t>to</w:t>
      </w:r>
    </w:p>
    <w:p w14:paraId="1B4CDCFC" w14:textId="77777777" w:rsidR="00D67C1E" w:rsidRPr="00283806" w:rsidRDefault="001265CA">
      <w:pPr>
        <w:pStyle w:val="BodyText"/>
        <w:spacing w:line="225" w:lineRule="auto"/>
        <w:ind w:left="144" w:right="142"/>
      </w:pPr>
      <w:r w:rsidRPr="00283806">
        <w:rPr>
          <w:w w:val="105"/>
        </w:rPr>
        <w:t>refrigerant-containing</w:t>
      </w:r>
      <w:r w:rsidRPr="00283806">
        <w:rPr>
          <w:spacing w:val="-2"/>
          <w:w w:val="105"/>
        </w:rPr>
        <w:t xml:space="preserve"> </w:t>
      </w:r>
      <w:r w:rsidRPr="00283806">
        <w:rPr>
          <w:w w:val="105"/>
        </w:rPr>
        <w:t>equipment,</w:t>
      </w:r>
      <w:r w:rsidRPr="00283806">
        <w:rPr>
          <w:spacing w:val="-2"/>
          <w:w w:val="105"/>
        </w:rPr>
        <w:t xml:space="preserve"> </w:t>
      </w:r>
      <w:r w:rsidRPr="00283806">
        <w:rPr>
          <w:w w:val="105"/>
        </w:rPr>
        <w:t>that parallels the definition in 40 CFR</w:t>
      </w:r>
    </w:p>
    <w:p w14:paraId="6EC678AD" w14:textId="77777777" w:rsidR="00D67C1E" w:rsidRPr="00283806" w:rsidRDefault="001265CA">
      <w:pPr>
        <w:pStyle w:val="BodyText"/>
        <w:spacing w:line="225" w:lineRule="auto"/>
        <w:ind w:left="144" w:right="197"/>
      </w:pPr>
      <w:r w:rsidRPr="00283806">
        <w:rPr>
          <w:w w:val="105"/>
        </w:rPr>
        <w:t>82.152. To the extent the commenter is suggesting that the proposed definition</w:t>
      </w:r>
      <w:r w:rsidRPr="00283806">
        <w:rPr>
          <w:spacing w:val="40"/>
          <w:w w:val="105"/>
        </w:rPr>
        <w:t xml:space="preserve"> </w:t>
      </w:r>
      <w:r w:rsidRPr="00283806">
        <w:rPr>
          <w:w w:val="105"/>
        </w:rPr>
        <w:t>of disposal is inconsistent with the requirements in 82.155, EPA disagrees. Rather, the definition in 40 CFR 84.102</w:t>
      </w:r>
      <w:r w:rsidRPr="00283806">
        <w:rPr>
          <w:spacing w:val="80"/>
          <w:w w:val="150"/>
        </w:rPr>
        <w:t xml:space="preserve"> </w:t>
      </w:r>
      <w:r w:rsidRPr="00283806">
        <w:rPr>
          <w:w w:val="105"/>
        </w:rPr>
        <w:t>is analogous to the definition of disposal in 40 CFR part 82, subpart F at 40 CFR 82.152, the safe disposal provisions also found subpart F at 40 CFR 82.155, as</w:t>
      </w:r>
    </w:p>
    <w:p w14:paraId="4F10697A" w14:textId="77777777" w:rsidR="00D67C1E" w:rsidRPr="00283806" w:rsidRDefault="001265CA">
      <w:pPr>
        <w:pStyle w:val="BodyText"/>
        <w:spacing w:line="225" w:lineRule="auto"/>
        <w:ind w:left="144" w:right="121"/>
      </w:pPr>
      <w:r w:rsidRPr="00283806">
        <w:rPr>
          <w:w w:val="105"/>
        </w:rPr>
        <w:t>82.155 does not contain a separate definition of ‘‘disposal.’’ To the extent</w:t>
      </w:r>
      <w:r w:rsidRPr="00283806">
        <w:rPr>
          <w:spacing w:val="80"/>
          <w:w w:val="105"/>
        </w:rPr>
        <w:t xml:space="preserve"> </w:t>
      </w:r>
      <w:r w:rsidRPr="00283806">
        <w:rPr>
          <w:w w:val="105"/>
        </w:rPr>
        <w:t>this comment relates to the</w:t>
      </w:r>
      <w:r w:rsidRPr="00283806">
        <w:rPr>
          <w:spacing w:val="80"/>
          <w:w w:val="105"/>
        </w:rPr>
        <w:t xml:space="preserve"> </w:t>
      </w:r>
      <w:r w:rsidRPr="00283806">
        <w:rPr>
          <w:w w:val="105"/>
        </w:rPr>
        <w:t>requirements</w:t>
      </w:r>
      <w:r w:rsidRPr="00283806">
        <w:rPr>
          <w:spacing w:val="-3"/>
          <w:w w:val="105"/>
        </w:rPr>
        <w:t xml:space="preserve"> </w:t>
      </w:r>
      <w:r w:rsidRPr="00283806">
        <w:rPr>
          <w:w w:val="105"/>
        </w:rPr>
        <w:t>of</w:t>
      </w:r>
      <w:r w:rsidRPr="00283806">
        <w:rPr>
          <w:spacing w:val="-3"/>
          <w:w w:val="105"/>
        </w:rPr>
        <w:t xml:space="preserve"> </w:t>
      </w:r>
      <w:r w:rsidRPr="00283806">
        <w:rPr>
          <w:w w:val="105"/>
        </w:rPr>
        <w:t>or</w:t>
      </w:r>
      <w:r w:rsidRPr="00283806">
        <w:rPr>
          <w:spacing w:val="-3"/>
          <w:w w:val="105"/>
        </w:rPr>
        <w:t xml:space="preserve"> </w:t>
      </w:r>
      <w:r w:rsidRPr="00283806">
        <w:rPr>
          <w:w w:val="105"/>
        </w:rPr>
        <w:t>suggestions</w:t>
      </w:r>
      <w:r w:rsidRPr="00283806">
        <w:rPr>
          <w:spacing w:val="-3"/>
          <w:w w:val="105"/>
        </w:rPr>
        <w:t xml:space="preserve"> </w:t>
      </w:r>
      <w:r w:rsidRPr="00283806">
        <w:rPr>
          <w:w w:val="105"/>
        </w:rPr>
        <w:t>to</w:t>
      </w:r>
      <w:r w:rsidRPr="00283806">
        <w:rPr>
          <w:spacing w:val="-3"/>
          <w:w w:val="105"/>
        </w:rPr>
        <w:t xml:space="preserve"> </w:t>
      </w:r>
      <w:r w:rsidRPr="00283806">
        <w:rPr>
          <w:w w:val="105"/>
        </w:rPr>
        <w:t>change</w:t>
      </w:r>
    </w:p>
    <w:p w14:paraId="43AB4510" w14:textId="77777777" w:rsidR="00D67C1E" w:rsidRPr="00283806" w:rsidRDefault="001265CA">
      <w:pPr>
        <w:pStyle w:val="BodyText"/>
        <w:spacing w:line="225" w:lineRule="auto"/>
        <w:ind w:left="144" w:right="234"/>
      </w:pPr>
      <w:r w:rsidRPr="00283806">
        <w:rPr>
          <w:w w:val="105"/>
        </w:rPr>
        <w:t>82.155 or any other regulations under CAA title VI, it is outside the scope of</w:t>
      </w:r>
      <w:r w:rsidRPr="00283806">
        <w:rPr>
          <w:spacing w:val="40"/>
          <w:w w:val="105"/>
        </w:rPr>
        <w:t xml:space="preserve"> </w:t>
      </w:r>
      <w:r w:rsidRPr="00283806">
        <w:rPr>
          <w:w w:val="105"/>
        </w:rPr>
        <w:t xml:space="preserve">this rulemaking and requires no further </w:t>
      </w:r>
      <w:r w:rsidRPr="00283806">
        <w:rPr>
          <w:spacing w:val="-2"/>
          <w:w w:val="105"/>
        </w:rPr>
        <w:t>response.</w:t>
      </w:r>
    </w:p>
    <w:p w14:paraId="1C854531" w14:textId="77777777" w:rsidR="00D67C1E" w:rsidRPr="00283806" w:rsidRDefault="001265CA">
      <w:pPr>
        <w:pStyle w:val="BodyText"/>
        <w:spacing w:line="179" w:lineRule="exact"/>
        <w:ind w:left="324"/>
      </w:pPr>
      <w:r w:rsidRPr="00283806">
        <w:rPr>
          <w:w w:val="105"/>
        </w:rPr>
        <w:t>EPA</w:t>
      </w:r>
      <w:r w:rsidRPr="00283806">
        <w:rPr>
          <w:spacing w:val="5"/>
          <w:w w:val="105"/>
        </w:rPr>
        <w:t xml:space="preserve"> </w:t>
      </w:r>
      <w:r w:rsidRPr="00283806">
        <w:rPr>
          <w:w w:val="105"/>
        </w:rPr>
        <w:t>disagrees</w:t>
      </w:r>
      <w:r w:rsidRPr="00283806">
        <w:rPr>
          <w:spacing w:val="6"/>
          <w:w w:val="105"/>
        </w:rPr>
        <w:t xml:space="preserve"> </w:t>
      </w:r>
      <w:r w:rsidRPr="00283806">
        <w:rPr>
          <w:w w:val="105"/>
        </w:rPr>
        <w:t>that</w:t>
      </w:r>
      <w:r w:rsidRPr="00283806">
        <w:rPr>
          <w:spacing w:val="6"/>
          <w:w w:val="105"/>
        </w:rPr>
        <w:t xml:space="preserve"> </w:t>
      </w:r>
      <w:r w:rsidRPr="00283806">
        <w:rPr>
          <w:w w:val="105"/>
        </w:rPr>
        <w:t>parts</w:t>
      </w:r>
      <w:r w:rsidRPr="00283806">
        <w:rPr>
          <w:spacing w:val="6"/>
          <w:w w:val="105"/>
        </w:rPr>
        <w:t xml:space="preserve"> </w:t>
      </w:r>
      <w:r w:rsidRPr="00283806">
        <w:rPr>
          <w:w w:val="105"/>
        </w:rPr>
        <w:t>4</w:t>
      </w:r>
      <w:r w:rsidRPr="00283806">
        <w:rPr>
          <w:spacing w:val="5"/>
          <w:w w:val="105"/>
        </w:rPr>
        <w:t xml:space="preserve"> </w:t>
      </w:r>
      <w:r w:rsidRPr="00283806">
        <w:rPr>
          <w:w w:val="105"/>
        </w:rPr>
        <w:t>and</w:t>
      </w:r>
      <w:r w:rsidRPr="00283806">
        <w:rPr>
          <w:spacing w:val="6"/>
          <w:w w:val="105"/>
        </w:rPr>
        <w:t xml:space="preserve"> </w:t>
      </w:r>
      <w:r w:rsidRPr="00283806">
        <w:rPr>
          <w:w w:val="105"/>
        </w:rPr>
        <w:t>5</w:t>
      </w:r>
      <w:r w:rsidRPr="00283806">
        <w:rPr>
          <w:spacing w:val="6"/>
          <w:w w:val="105"/>
        </w:rPr>
        <w:t xml:space="preserve"> </w:t>
      </w:r>
      <w:r w:rsidRPr="00283806">
        <w:rPr>
          <w:w w:val="105"/>
        </w:rPr>
        <w:t>of</w:t>
      </w:r>
      <w:r w:rsidRPr="00283806">
        <w:rPr>
          <w:spacing w:val="6"/>
          <w:w w:val="105"/>
        </w:rPr>
        <w:t xml:space="preserve"> </w:t>
      </w:r>
      <w:r w:rsidRPr="00283806">
        <w:rPr>
          <w:spacing w:val="-5"/>
          <w:w w:val="105"/>
        </w:rPr>
        <w:t>the</w:t>
      </w:r>
    </w:p>
    <w:p w14:paraId="3FBC1C21" w14:textId="77777777" w:rsidR="00D67C1E" w:rsidRPr="00283806" w:rsidRDefault="001265CA">
      <w:pPr>
        <w:pStyle w:val="BodyText"/>
        <w:spacing w:line="225" w:lineRule="auto"/>
        <w:ind w:left="144" w:right="142"/>
      </w:pPr>
      <w:r w:rsidRPr="00283806">
        <w:rPr>
          <w:w w:val="105"/>
        </w:rPr>
        <w:t>proposed definition (see at 88 FR 72216, 72298,</w:t>
      </w:r>
      <w:r w:rsidRPr="00283806">
        <w:rPr>
          <w:spacing w:val="-1"/>
          <w:w w:val="105"/>
        </w:rPr>
        <w:t xml:space="preserve"> </w:t>
      </w:r>
      <w:r w:rsidRPr="00283806">
        <w:rPr>
          <w:w w:val="105"/>
        </w:rPr>
        <w:t>October</w:t>
      </w:r>
      <w:r w:rsidRPr="00283806">
        <w:rPr>
          <w:spacing w:val="-1"/>
          <w:w w:val="105"/>
        </w:rPr>
        <w:t xml:space="preserve"> </w:t>
      </w:r>
      <w:r w:rsidRPr="00283806">
        <w:rPr>
          <w:w w:val="105"/>
        </w:rPr>
        <w:t>19,</w:t>
      </w:r>
      <w:r w:rsidRPr="00283806">
        <w:rPr>
          <w:spacing w:val="-1"/>
          <w:w w:val="105"/>
        </w:rPr>
        <w:t xml:space="preserve"> </w:t>
      </w:r>
      <w:r w:rsidRPr="00283806">
        <w:rPr>
          <w:w w:val="105"/>
        </w:rPr>
        <w:t>2023)</w:t>
      </w:r>
      <w:r w:rsidRPr="00283806">
        <w:rPr>
          <w:spacing w:val="-1"/>
          <w:w w:val="105"/>
        </w:rPr>
        <w:t xml:space="preserve"> </w:t>
      </w:r>
      <w:r w:rsidRPr="00283806">
        <w:rPr>
          <w:w w:val="105"/>
        </w:rPr>
        <w:t>are</w:t>
      </w:r>
      <w:r w:rsidRPr="00283806">
        <w:rPr>
          <w:spacing w:val="-1"/>
          <w:w w:val="105"/>
        </w:rPr>
        <w:t xml:space="preserve"> </w:t>
      </w:r>
      <w:r w:rsidRPr="00283806">
        <w:rPr>
          <w:w w:val="105"/>
        </w:rPr>
        <w:t>incorrectly conflated.</w:t>
      </w:r>
      <w:r w:rsidRPr="00283806">
        <w:rPr>
          <w:spacing w:val="40"/>
          <w:w w:val="105"/>
        </w:rPr>
        <w:t xml:space="preserve"> </w:t>
      </w:r>
      <w:r w:rsidRPr="00283806">
        <w:rPr>
          <w:w w:val="105"/>
        </w:rPr>
        <w:t>Recycling</w:t>
      </w:r>
      <w:r w:rsidRPr="00283806">
        <w:rPr>
          <w:spacing w:val="40"/>
          <w:w w:val="105"/>
        </w:rPr>
        <w:t xml:space="preserve"> </w:t>
      </w:r>
      <w:r w:rsidRPr="00283806">
        <w:rPr>
          <w:w w:val="105"/>
        </w:rPr>
        <w:t>and</w:t>
      </w:r>
      <w:r w:rsidRPr="00283806">
        <w:rPr>
          <w:spacing w:val="40"/>
          <w:w w:val="105"/>
        </w:rPr>
        <w:t xml:space="preserve"> </w:t>
      </w:r>
      <w:r w:rsidRPr="00283806">
        <w:rPr>
          <w:w w:val="105"/>
        </w:rPr>
        <w:t>disassembly for reuse are distinct processes under these regulations, but they are both end- of-life practices for refrigerant- containing equipment. The definition is intended to include a range of end-of-</w:t>
      </w:r>
      <w:r w:rsidRPr="00283806">
        <w:rPr>
          <w:spacing w:val="80"/>
          <w:w w:val="105"/>
        </w:rPr>
        <w:t xml:space="preserve"> </w:t>
      </w:r>
      <w:r w:rsidRPr="00283806">
        <w:rPr>
          <w:w w:val="105"/>
        </w:rPr>
        <w:t>life practices to ensure the requirements cover the range of relevant activities.</w:t>
      </w:r>
    </w:p>
    <w:p w14:paraId="2E8FE1BA" w14:textId="77777777" w:rsidR="00D67C1E" w:rsidRPr="00283806" w:rsidRDefault="001265CA">
      <w:pPr>
        <w:pStyle w:val="BodyText"/>
        <w:spacing w:line="228" w:lineRule="auto"/>
        <w:ind w:left="144" w:right="210"/>
      </w:pPr>
      <w:r w:rsidRPr="00283806">
        <w:rPr>
          <w:w w:val="105"/>
        </w:rPr>
        <w:t xml:space="preserve">The commenter has not provided sufficient rationale for why the relevant requirements under this subpart should not apply to both disassembly and recycling. Accordingly, the Agency is retaining both 4 and 5 in the definition as it relates to refrigerant-containing </w:t>
      </w:r>
      <w:r w:rsidRPr="00283806">
        <w:rPr>
          <w:spacing w:val="-2"/>
          <w:w w:val="105"/>
        </w:rPr>
        <w:t>equipment.</w:t>
      </w:r>
    </w:p>
    <w:p w14:paraId="60D357D6" w14:textId="77777777" w:rsidR="00D67C1E" w:rsidRPr="00283806" w:rsidRDefault="001265CA">
      <w:pPr>
        <w:pStyle w:val="BodyText"/>
        <w:spacing w:line="175" w:lineRule="exact"/>
        <w:ind w:left="324"/>
      </w:pPr>
      <w:r w:rsidRPr="00283806">
        <w:rPr>
          <w:w w:val="105"/>
        </w:rPr>
        <w:t>The</w:t>
      </w:r>
      <w:r w:rsidRPr="00283806">
        <w:rPr>
          <w:spacing w:val="18"/>
          <w:w w:val="105"/>
        </w:rPr>
        <w:t xml:space="preserve"> </w:t>
      </w:r>
      <w:r w:rsidRPr="00283806">
        <w:rPr>
          <w:w w:val="105"/>
        </w:rPr>
        <w:t>definitions</w:t>
      </w:r>
      <w:r w:rsidRPr="00283806">
        <w:rPr>
          <w:spacing w:val="19"/>
          <w:w w:val="105"/>
        </w:rPr>
        <w:t xml:space="preserve"> </w:t>
      </w:r>
      <w:r w:rsidRPr="00283806">
        <w:rPr>
          <w:w w:val="105"/>
        </w:rPr>
        <w:t>of</w:t>
      </w:r>
      <w:r w:rsidRPr="00283806">
        <w:rPr>
          <w:spacing w:val="18"/>
          <w:w w:val="105"/>
        </w:rPr>
        <w:t xml:space="preserve"> </w:t>
      </w:r>
      <w:proofErr w:type="gramStart"/>
      <w:r w:rsidRPr="00283806">
        <w:rPr>
          <w:w w:val="105"/>
        </w:rPr>
        <w:t>recycle</w:t>
      </w:r>
      <w:proofErr w:type="gramEnd"/>
      <w:r w:rsidRPr="00283806">
        <w:rPr>
          <w:spacing w:val="19"/>
          <w:w w:val="105"/>
        </w:rPr>
        <w:t xml:space="preserve"> </w:t>
      </w:r>
      <w:r w:rsidRPr="00283806">
        <w:rPr>
          <w:spacing w:val="-5"/>
          <w:w w:val="105"/>
        </w:rPr>
        <w:t>and</w:t>
      </w:r>
    </w:p>
    <w:p w14:paraId="26DDA095" w14:textId="77777777" w:rsidR="00D67C1E" w:rsidRPr="00283806" w:rsidRDefault="001265CA">
      <w:pPr>
        <w:pStyle w:val="BodyText"/>
        <w:spacing w:line="228" w:lineRule="auto"/>
        <w:ind w:left="144" w:right="210"/>
      </w:pPr>
      <w:r w:rsidRPr="00283806">
        <w:rPr>
          <w:w w:val="105"/>
        </w:rPr>
        <w:t xml:space="preserve">disposal under RCRA </w:t>
      </w:r>
      <w:proofErr w:type="gramStart"/>
      <w:r w:rsidRPr="00283806">
        <w:rPr>
          <w:w w:val="105"/>
        </w:rPr>
        <w:t>are</w:t>
      </w:r>
      <w:proofErr w:type="gramEnd"/>
      <w:r w:rsidRPr="00283806">
        <w:rPr>
          <w:w w:val="105"/>
        </w:rPr>
        <w:t xml:space="preserve"> outside the scope of this rulemaking under subsection (h) of the AIM Act and this</w:t>
      </w:r>
    </w:p>
    <w:p w14:paraId="1F6646ED"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06" w:space="40"/>
            <w:col w:w="3511" w:space="39"/>
            <w:col w:w="3624"/>
          </w:cols>
        </w:sectPr>
      </w:pPr>
    </w:p>
    <w:p w14:paraId="31BBC0EC" w14:textId="77777777" w:rsidR="00D67C1E" w:rsidRPr="00283806" w:rsidRDefault="001265CA">
      <w:pPr>
        <w:spacing w:before="139" w:line="220" w:lineRule="auto"/>
        <w:ind w:left="160" w:right="128"/>
        <w:rPr>
          <w:sz w:val="18"/>
        </w:rPr>
      </w:pPr>
      <w:r w:rsidRPr="00283806">
        <w:rPr>
          <w:w w:val="105"/>
          <w:sz w:val="18"/>
        </w:rPr>
        <w:lastRenderedPageBreak/>
        <w:t xml:space="preserve">action to establish the definitions that will apply for the regulations implementing that provision. For information on public comments on the proposed RCRA alternative standards, and EPA’s responses, please see </w:t>
      </w:r>
      <w:r w:rsidRPr="00283806">
        <w:rPr>
          <w:rFonts w:ascii="Book Antiqua" w:hAnsi="Book Antiqua"/>
          <w:i/>
          <w:w w:val="105"/>
          <w:sz w:val="18"/>
        </w:rPr>
        <w:t>RCRA Alternative</w:t>
      </w:r>
      <w:r w:rsidRPr="00283806">
        <w:rPr>
          <w:rFonts w:ascii="Book Antiqua" w:hAnsi="Book Antiqua"/>
          <w:i/>
          <w:spacing w:val="37"/>
          <w:w w:val="105"/>
          <w:sz w:val="18"/>
        </w:rPr>
        <w:t xml:space="preserve"> </w:t>
      </w:r>
      <w:r w:rsidRPr="00283806">
        <w:rPr>
          <w:rFonts w:ascii="Book Antiqua" w:hAnsi="Book Antiqua"/>
          <w:i/>
          <w:w w:val="105"/>
          <w:sz w:val="18"/>
        </w:rPr>
        <w:t>Standards</w:t>
      </w:r>
      <w:r w:rsidRPr="00283806">
        <w:rPr>
          <w:rFonts w:ascii="Book Antiqua" w:hAnsi="Book Antiqua"/>
          <w:i/>
          <w:spacing w:val="37"/>
          <w:w w:val="105"/>
          <w:sz w:val="18"/>
        </w:rPr>
        <w:t xml:space="preserve"> </w:t>
      </w:r>
      <w:r w:rsidRPr="00283806">
        <w:rPr>
          <w:rFonts w:ascii="Book Antiqua" w:hAnsi="Book Antiqua"/>
          <w:i/>
          <w:w w:val="105"/>
          <w:sz w:val="18"/>
        </w:rPr>
        <w:t>for</w:t>
      </w:r>
      <w:r w:rsidRPr="00283806">
        <w:rPr>
          <w:rFonts w:ascii="Book Antiqua" w:hAnsi="Book Antiqua"/>
          <w:i/>
          <w:spacing w:val="37"/>
          <w:w w:val="105"/>
          <w:sz w:val="18"/>
        </w:rPr>
        <w:t xml:space="preserve"> </w:t>
      </w:r>
      <w:r w:rsidRPr="00283806">
        <w:rPr>
          <w:rFonts w:ascii="Book Antiqua" w:hAnsi="Book Antiqua"/>
          <w:i/>
          <w:w w:val="105"/>
          <w:sz w:val="18"/>
        </w:rPr>
        <w:t>Ignitable</w:t>
      </w:r>
      <w:r w:rsidRPr="00283806">
        <w:rPr>
          <w:rFonts w:ascii="Book Antiqua" w:hAnsi="Book Antiqua"/>
          <w:i/>
          <w:spacing w:val="80"/>
          <w:w w:val="105"/>
          <w:sz w:val="18"/>
        </w:rPr>
        <w:t xml:space="preserve"> </w:t>
      </w:r>
      <w:r w:rsidRPr="00283806">
        <w:rPr>
          <w:rFonts w:ascii="Book Antiqua" w:hAnsi="Book Antiqua"/>
          <w:i/>
          <w:w w:val="105"/>
          <w:sz w:val="18"/>
        </w:rPr>
        <w:t>Spent Refrigerants: Response to</w:t>
      </w:r>
      <w:r w:rsidRPr="00283806">
        <w:rPr>
          <w:rFonts w:ascii="Book Antiqua" w:hAnsi="Book Antiqua"/>
          <w:i/>
          <w:spacing w:val="40"/>
          <w:w w:val="105"/>
          <w:sz w:val="18"/>
        </w:rPr>
        <w:t xml:space="preserve"> </w:t>
      </w:r>
      <w:r w:rsidRPr="00283806">
        <w:rPr>
          <w:rFonts w:ascii="Book Antiqua" w:hAnsi="Book Antiqua"/>
          <w:i/>
          <w:w w:val="105"/>
          <w:sz w:val="18"/>
        </w:rPr>
        <w:t xml:space="preserve">Comments Document, </w:t>
      </w:r>
      <w:r w:rsidRPr="00283806">
        <w:rPr>
          <w:w w:val="105"/>
          <w:sz w:val="18"/>
        </w:rPr>
        <w:t xml:space="preserve">available in the </w:t>
      </w:r>
      <w:r w:rsidRPr="00283806">
        <w:rPr>
          <w:spacing w:val="-2"/>
          <w:w w:val="105"/>
          <w:sz w:val="18"/>
        </w:rPr>
        <w:t>docket.</w:t>
      </w:r>
    </w:p>
    <w:p w14:paraId="0AE4FAE0" w14:textId="77777777" w:rsidR="00D67C1E" w:rsidRPr="00283806" w:rsidRDefault="001265CA">
      <w:pPr>
        <w:pStyle w:val="BodyText"/>
        <w:spacing w:line="223" w:lineRule="auto"/>
        <w:ind w:firstLine="180"/>
      </w:pPr>
      <w:r w:rsidRPr="00283806">
        <w:rPr>
          <w:rFonts w:ascii="Book Antiqua" w:hAnsi="Book Antiqua"/>
          <w:i/>
          <w:w w:val="105"/>
        </w:rPr>
        <w:t xml:space="preserve">Equipment. </w:t>
      </w:r>
      <w:r w:rsidRPr="00283806">
        <w:rPr>
          <w:w w:val="105"/>
        </w:rPr>
        <w:t xml:space="preserve">EPA proposed this definition to mean ‘‘any device that contains, uses, detects or is otherwise connected or associated with a regulated substance or substitute for a regulated substance, including any refrigerant- containing appliance, component, or </w:t>
      </w:r>
      <w:r w:rsidRPr="00283806">
        <w:rPr>
          <w:spacing w:val="-2"/>
          <w:w w:val="105"/>
        </w:rPr>
        <w:t>system.’’</w:t>
      </w:r>
    </w:p>
    <w:p w14:paraId="0D790E63" w14:textId="77777777" w:rsidR="00D67C1E" w:rsidRPr="00283806" w:rsidRDefault="001265CA">
      <w:pPr>
        <w:pStyle w:val="BodyText"/>
        <w:spacing w:line="183" w:lineRule="exact"/>
        <w:ind w:left="340"/>
      </w:pPr>
      <w:r w:rsidRPr="00283806">
        <w:rPr>
          <w:w w:val="110"/>
        </w:rPr>
        <w:t>EPA</w:t>
      </w:r>
      <w:r w:rsidRPr="00283806">
        <w:rPr>
          <w:spacing w:val="2"/>
          <w:w w:val="110"/>
        </w:rPr>
        <w:t xml:space="preserve"> </w:t>
      </w:r>
      <w:r w:rsidRPr="00283806">
        <w:rPr>
          <w:w w:val="110"/>
        </w:rPr>
        <w:t>is</w:t>
      </w:r>
      <w:r w:rsidRPr="00283806">
        <w:rPr>
          <w:spacing w:val="2"/>
          <w:w w:val="110"/>
        </w:rPr>
        <w:t xml:space="preserve"> </w:t>
      </w:r>
      <w:r w:rsidRPr="00283806">
        <w:rPr>
          <w:w w:val="110"/>
        </w:rPr>
        <w:t>modifying</w:t>
      </w:r>
      <w:r w:rsidRPr="00283806">
        <w:rPr>
          <w:spacing w:val="2"/>
          <w:w w:val="110"/>
        </w:rPr>
        <w:t xml:space="preserve"> </w:t>
      </w:r>
      <w:r w:rsidRPr="00283806">
        <w:rPr>
          <w:w w:val="110"/>
        </w:rPr>
        <w:t>its</w:t>
      </w:r>
      <w:r w:rsidRPr="00283806">
        <w:rPr>
          <w:spacing w:val="2"/>
          <w:w w:val="110"/>
        </w:rPr>
        <w:t xml:space="preserve"> </w:t>
      </w:r>
      <w:r w:rsidRPr="00283806">
        <w:rPr>
          <w:w w:val="110"/>
        </w:rPr>
        <w:t>definition</w:t>
      </w:r>
      <w:r w:rsidRPr="00283806">
        <w:rPr>
          <w:spacing w:val="2"/>
          <w:w w:val="110"/>
        </w:rPr>
        <w:t xml:space="preserve"> </w:t>
      </w:r>
      <w:r w:rsidRPr="00283806">
        <w:rPr>
          <w:spacing w:val="-5"/>
          <w:w w:val="110"/>
        </w:rPr>
        <w:t>of</w:t>
      </w:r>
    </w:p>
    <w:p w14:paraId="7829A97A" w14:textId="77777777" w:rsidR="00D67C1E" w:rsidRPr="00283806" w:rsidRDefault="001265CA">
      <w:pPr>
        <w:pStyle w:val="BodyText"/>
        <w:spacing w:line="225" w:lineRule="auto"/>
      </w:pPr>
      <w:r w:rsidRPr="00283806">
        <w:rPr>
          <w:w w:val="105"/>
        </w:rPr>
        <w:t xml:space="preserve">equipment to specify that fire suppression equipment is also included under the definition of equipment. This revision is intended to clarify the definition by providing another illustrative example of equipment that is included in the definition. EPA does not view this list of examples as being exhaustive, </w:t>
      </w:r>
      <w:proofErr w:type="gramStart"/>
      <w:r w:rsidRPr="00283806">
        <w:rPr>
          <w:w w:val="105"/>
        </w:rPr>
        <w:t>however</w:t>
      </w:r>
      <w:proofErr w:type="gramEnd"/>
      <w:r w:rsidRPr="00283806">
        <w:rPr>
          <w:w w:val="105"/>
        </w:rPr>
        <w:t xml:space="preserve"> as it would be unnecessarily cumbersome to list </w:t>
      </w:r>
      <w:proofErr w:type="gramStart"/>
      <w:r w:rsidRPr="00283806">
        <w:rPr>
          <w:w w:val="105"/>
        </w:rPr>
        <w:t>all of</w:t>
      </w:r>
      <w:proofErr w:type="gramEnd"/>
      <w:r w:rsidRPr="00283806">
        <w:rPr>
          <w:w w:val="105"/>
        </w:rPr>
        <w:t xml:space="preserve"> the equipment that is included in the regulatory</w:t>
      </w:r>
      <w:r w:rsidRPr="00283806">
        <w:rPr>
          <w:spacing w:val="40"/>
          <w:w w:val="105"/>
        </w:rPr>
        <w:t xml:space="preserve"> </w:t>
      </w:r>
      <w:r w:rsidRPr="00283806">
        <w:rPr>
          <w:w w:val="105"/>
        </w:rPr>
        <w:t>definition.</w:t>
      </w:r>
      <w:r w:rsidRPr="00283806">
        <w:rPr>
          <w:spacing w:val="40"/>
          <w:w w:val="105"/>
        </w:rPr>
        <w:t xml:space="preserve"> </w:t>
      </w:r>
      <w:r w:rsidRPr="00283806">
        <w:rPr>
          <w:w w:val="105"/>
        </w:rPr>
        <w:t>For</w:t>
      </w:r>
      <w:r w:rsidRPr="00283806">
        <w:rPr>
          <w:spacing w:val="40"/>
          <w:w w:val="105"/>
        </w:rPr>
        <w:t xml:space="preserve"> </w:t>
      </w:r>
      <w:r w:rsidRPr="00283806">
        <w:rPr>
          <w:w w:val="105"/>
        </w:rPr>
        <w:t>example, while not expressly listed in the definition. EPA also understands this definition to include direct and indirect ALD systems, including point detection systems, are a subset of equipment because ALD systems are devices that detect regulated substances or substitutes for regulated substances.</w:t>
      </w:r>
    </w:p>
    <w:p w14:paraId="7157B264" w14:textId="77777777" w:rsidR="00D67C1E" w:rsidRPr="00283806" w:rsidRDefault="001265CA">
      <w:pPr>
        <w:pStyle w:val="BodyText"/>
        <w:spacing w:line="225" w:lineRule="auto"/>
        <w:ind w:right="128"/>
      </w:pPr>
      <w:r w:rsidRPr="00283806">
        <w:rPr>
          <w:w w:val="105"/>
        </w:rPr>
        <w:t>EPA also added the word ‘‘to’’ after the word ‘‘connected’’ to maintain consistency with other definitions that use the phrase ‘‘connected to.’’</w:t>
      </w:r>
    </w:p>
    <w:p w14:paraId="4C6396F2" w14:textId="77777777" w:rsidR="00D67C1E" w:rsidRPr="00283806" w:rsidRDefault="001265CA">
      <w:pPr>
        <w:spacing w:line="213" w:lineRule="auto"/>
        <w:ind w:left="160" w:firstLine="180"/>
        <w:rPr>
          <w:sz w:val="18"/>
        </w:rPr>
      </w:pPr>
      <w:r w:rsidRPr="00283806">
        <w:rPr>
          <w:rFonts w:ascii="Book Antiqua" w:hAnsi="Book Antiqua"/>
          <w:i/>
          <w:w w:val="105"/>
          <w:sz w:val="18"/>
        </w:rPr>
        <w:t xml:space="preserve">Fire suppression equipment. </w:t>
      </w:r>
      <w:r w:rsidRPr="00283806">
        <w:rPr>
          <w:w w:val="105"/>
          <w:sz w:val="18"/>
        </w:rPr>
        <w:t>EPA’s</w:t>
      </w:r>
      <w:r w:rsidRPr="00283806">
        <w:rPr>
          <w:spacing w:val="40"/>
          <w:w w:val="105"/>
          <w:sz w:val="18"/>
        </w:rPr>
        <w:t xml:space="preserve"> </w:t>
      </w:r>
      <w:r w:rsidRPr="00283806">
        <w:rPr>
          <w:w w:val="105"/>
          <w:sz w:val="18"/>
        </w:rPr>
        <w:t>proposed definition of this term (see 88</w:t>
      </w:r>
    </w:p>
    <w:p w14:paraId="23A29C0E" w14:textId="77777777" w:rsidR="00D67C1E" w:rsidRPr="00283806" w:rsidRDefault="001265CA">
      <w:pPr>
        <w:pStyle w:val="BodyText"/>
        <w:spacing w:line="197" w:lineRule="exact"/>
      </w:pPr>
      <w:r w:rsidRPr="00283806">
        <w:rPr>
          <w:w w:val="105"/>
        </w:rPr>
        <w:t>FR</w:t>
      </w:r>
      <w:r w:rsidRPr="00283806">
        <w:rPr>
          <w:spacing w:val="2"/>
          <w:w w:val="105"/>
        </w:rPr>
        <w:t xml:space="preserve"> </w:t>
      </w:r>
      <w:r w:rsidRPr="00283806">
        <w:rPr>
          <w:w w:val="105"/>
        </w:rPr>
        <w:t>72216,</w:t>
      </w:r>
      <w:r w:rsidRPr="00283806">
        <w:rPr>
          <w:spacing w:val="3"/>
          <w:w w:val="105"/>
        </w:rPr>
        <w:t xml:space="preserve"> </w:t>
      </w:r>
      <w:r w:rsidRPr="00283806">
        <w:rPr>
          <w:w w:val="105"/>
        </w:rPr>
        <w:t>72298,</w:t>
      </w:r>
      <w:r w:rsidRPr="00283806">
        <w:rPr>
          <w:spacing w:val="3"/>
          <w:w w:val="105"/>
        </w:rPr>
        <w:t xml:space="preserve"> </w:t>
      </w:r>
      <w:r w:rsidRPr="00283806">
        <w:rPr>
          <w:w w:val="105"/>
        </w:rPr>
        <w:t>October</w:t>
      </w:r>
      <w:r w:rsidRPr="00283806">
        <w:rPr>
          <w:spacing w:val="2"/>
          <w:w w:val="105"/>
        </w:rPr>
        <w:t xml:space="preserve"> </w:t>
      </w:r>
      <w:r w:rsidRPr="00283806">
        <w:rPr>
          <w:w w:val="105"/>
        </w:rPr>
        <w:t>19,</w:t>
      </w:r>
      <w:r w:rsidRPr="00283806">
        <w:rPr>
          <w:spacing w:val="3"/>
          <w:w w:val="105"/>
        </w:rPr>
        <w:t xml:space="preserve"> </w:t>
      </w:r>
      <w:r w:rsidRPr="00283806">
        <w:rPr>
          <w:spacing w:val="-4"/>
          <w:w w:val="105"/>
        </w:rPr>
        <w:t>2023)</w:t>
      </w:r>
    </w:p>
    <w:p w14:paraId="30498C45" w14:textId="77777777" w:rsidR="00D67C1E" w:rsidRPr="00283806" w:rsidRDefault="001265CA">
      <w:pPr>
        <w:pStyle w:val="BodyText"/>
        <w:spacing w:line="225" w:lineRule="auto"/>
        <w:ind w:right="46"/>
      </w:pPr>
      <w:r w:rsidRPr="00283806">
        <w:rPr>
          <w:w w:val="105"/>
        </w:rPr>
        <w:t>described what would be included in</w:t>
      </w:r>
      <w:r w:rsidRPr="00283806">
        <w:rPr>
          <w:spacing w:val="80"/>
          <w:w w:val="150"/>
        </w:rPr>
        <w:t xml:space="preserve"> </w:t>
      </w:r>
      <w:r w:rsidRPr="00283806">
        <w:rPr>
          <w:w w:val="105"/>
        </w:rPr>
        <w:t xml:space="preserve">the definition </w:t>
      </w:r>
      <w:proofErr w:type="gramStart"/>
      <w:r w:rsidRPr="00283806">
        <w:rPr>
          <w:w w:val="105"/>
        </w:rPr>
        <w:t>and also</w:t>
      </w:r>
      <w:proofErr w:type="gramEnd"/>
      <w:r w:rsidRPr="00283806">
        <w:rPr>
          <w:w w:val="105"/>
        </w:rPr>
        <w:t xml:space="preserve"> stated, among other things, that the term would not include mission-critical military end</w:t>
      </w:r>
      <w:r w:rsidRPr="00283806">
        <w:rPr>
          <w:spacing w:val="40"/>
          <w:w w:val="105"/>
        </w:rPr>
        <w:t xml:space="preserve"> </w:t>
      </w:r>
      <w:r w:rsidRPr="00283806">
        <w:rPr>
          <w:w w:val="105"/>
        </w:rPr>
        <w:t>uses and systems used in deployable</w:t>
      </w:r>
      <w:r w:rsidRPr="00283806">
        <w:rPr>
          <w:spacing w:val="80"/>
          <w:w w:val="105"/>
        </w:rPr>
        <w:t xml:space="preserve"> </w:t>
      </w:r>
      <w:r w:rsidRPr="00283806">
        <w:rPr>
          <w:w w:val="105"/>
        </w:rPr>
        <w:t>and expeditionary situations. EPA is modifying the final definition by replacing the phrase ‘‘mission-critical military end uses and systems’’ with ‘‘military equipment’’ to provide greater clarity on situations in which military equipment are exempt from certain provisions</w:t>
      </w:r>
      <w:r w:rsidRPr="00283806">
        <w:rPr>
          <w:spacing w:val="40"/>
          <w:w w:val="105"/>
        </w:rPr>
        <w:t xml:space="preserve"> </w:t>
      </w:r>
      <w:r w:rsidRPr="00283806">
        <w:rPr>
          <w:w w:val="105"/>
        </w:rPr>
        <w:t>of</w:t>
      </w:r>
      <w:r w:rsidRPr="00283806">
        <w:rPr>
          <w:spacing w:val="40"/>
          <w:w w:val="105"/>
        </w:rPr>
        <w:t xml:space="preserve"> </w:t>
      </w:r>
      <w:r w:rsidRPr="00283806">
        <w:rPr>
          <w:w w:val="105"/>
        </w:rPr>
        <w:t>the</w:t>
      </w:r>
      <w:r w:rsidRPr="00283806">
        <w:rPr>
          <w:spacing w:val="40"/>
          <w:w w:val="105"/>
        </w:rPr>
        <w:t xml:space="preserve"> </w:t>
      </w:r>
      <w:r w:rsidRPr="00283806">
        <w:rPr>
          <w:w w:val="105"/>
        </w:rPr>
        <w:t>rule.</w:t>
      </w:r>
      <w:r w:rsidRPr="00283806">
        <w:rPr>
          <w:spacing w:val="40"/>
          <w:w w:val="105"/>
        </w:rPr>
        <w:t xml:space="preserve"> </w:t>
      </w:r>
      <w:r w:rsidRPr="00283806">
        <w:rPr>
          <w:w w:val="105"/>
        </w:rPr>
        <w:t>As</w:t>
      </w:r>
      <w:r w:rsidRPr="00283806">
        <w:rPr>
          <w:spacing w:val="40"/>
          <w:w w:val="105"/>
        </w:rPr>
        <w:t xml:space="preserve"> </w:t>
      </w:r>
      <w:r w:rsidRPr="00283806">
        <w:rPr>
          <w:w w:val="105"/>
        </w:rPr>
        <w:t>discussed later in this section, EPA is amending</w:t>
      </w:r>
      <w:r w:rsidRPr="00283806">
        <w:rPr>
          <w:spacing w:val="80"/>
          <w:w w:val="105"/>
        </w:rPr>
        <w:t xml:space="preserve"> </w:t>
      </w:r>
      <w:r w:rsidRPr="00283806">
        <w:rPr>
          <w:w w:val="105"/>
        </w:rPr>
        <w:t>the definition of refrigerant-containing equipment in the same manner.</w:t>
      </w:r>
    </w:p>
    <w:p w14:paraId="1096FBFA" w14:textId="77777777" w:rsidR="00D67C1E" w:rsidRPr="00283806" w:rsidRDefault="001265CA">
      <w:pPr>
        <w:pStyle w:val="BodyText"/>
        <w:spacing w:line="228" w:lineRule="auto"/>
        <w:ind w:right="99" w:firstLine="180"/>
      </w:pPr>
      <w:r w:rsidRPr="00283806">
        <w:rPr>
          <w:w w:val="105"/>
        </w:rPr>
        <w:t>EPA intended the proposed definition to clarify that certain military</w:t>
      </w:r>
      <w:r w:rsidRPr="00283806">
        <w:rPr>
          <w:spacing w:val="80"/>
          <w:w w:val="105"/>
        </w:rPr>
        <w:t xml:space="preserve"> </w:t>
      </w:r>
      <w:r w:rsidRPr="00283806">
        <w:rPr>
          <w:w w:val="105"/>
        </w:rPr>
        <w:t>equipment would not be subject to regulatory requirements in certain situations. The reference to ‘‘mission- critical military end uses and systems’’ was intended to be analogous to the use</w:t>
      </w:r>
    </w:p>
    <w:p w14:paraId="0B4D4F2F" w14:textId="77777777" w:rsidR="00D67C1E" w:rsidRPr="00283806" w:rsidRDefault="001265CA">
      <w:pPr>
        <w:pStyle w:val="BodyText"/>
        <w:spacing w:before="134" w:line="228" w:lineRule="auto"/>
        <w:ind w:left="144" w:right="62"/>
      </w:pPr>
      <w:r w:rsidRPr="00283806">
        <w:br w:type="column"/>
      </w:r>
      <w:r w:rsidRPr="00283806">
        <w:rPr>
          <w:w w:val="105"/>
        </w:rPr>
        <w:t>of the similar term ‘‘mission-critical military end uses’’ in 40 CFR 84.13(a). After further reflection and</w:t>
      </w:r>
      <w:r w:rsidRPr="00283806">
        <w:rPr>
          <w:spacing w:val="40"/>
          <w:w w:val="105"/>
        </w:rPr>
        <w:t xml:space="preserve"> </w:t>
      </w:r>
      <w:r w:rsidRPr="00283806">
        <w:rPr>
          <w:w w:val="105"/>
        </w:rPr>
        <w:t>consideration of the comments submitted, the Agency has concluded</w:t>
      </w:r>
      <w:r w:rsidRPr="00283806">
        <w:rPr>
          <w:spacing w:val="40"/>
          <w:w w:val="105"/>
        </w:rPr>
        <w:t xml:space="preserve"> </w:t>
      </w:r>
      <w:r w:rsidRPr="00283806">
        <w:rPr>
          <w:w w:val="105"/>
        </w:rPr>
        <w:t>that it would be clearer to separately address the exemption for mission- critical military end uses, and that this approach would better align with how these end-uses are treated under other provisions of the AIM Act. Accordingly,</w:t>
      </w:r>
      <w:r w:rsidRPr="00283806">
        <w:rPr>
          <w:spacing w:val="40"/>
          <w:w w:val="105"/>
        </w:rPr>
        <w:t xml:space="preserve"> </w:t>
      </w:r>
      <w:r w:rsidRPr="00283806">
        <w:rPr>
          <w:w w:val="105"/>
        </w:rPr>
        <w:t>as noted in section I.B, EPA is also establishing an exemption from the ER&amp;R regulations for mission-critical military end uses, as listed at 40 CFR 84.13(a), for a year or years for which</w:t>
      </w:r>
      <w:r w:rsidRPr="00283806">
        <w:rPr>
          <w:spacing w:val="40"/>
          <w:w w:val="105"/>
        </w:rPr>
        <w:t xml:space="preserve"> </w:t>
      </w:r>
      <w:r w:rsidRPr="00283806">
        <w:rPr>
          <w:w w:val="105"/>
        </w:rPr>
        <w:t>the application receives an application- specific</w:t>
      </w:r>
      <w:r w:rsidRPr="00283806">
        <w:rPr>
          <w:spacing w:val="14"/>
          <w:w w:val="105"/>
        </w:rPr>
        <w:t xml:space="preserve"> </w:t>
      </w:r>
      <w:r w:rsidRPr="00283806">
        <w:rPr>
          <w:w w:val="105"/>
        </w:rPr>
        <w:t>allowance</w:t>
      </w:r>
      <w:r w:rsidRPr="00283806">
        <w:rPr>
          <w:spacing w:val="15"/>
          <w:w w:val="105"/>
        </w:rPr>
        <w:t xml:space="preserve"> </w:t>
      </w:r>
      <w:r w:rsidRPr="00283806">
        <w:rPr>
          <w:w w:val="105"/>
        </w:rPr>
        <w:t>as</w:t>
      </w:r>
      <w:r w:rsidRPr="00283806">
        <w:rPr>
          <w:spacing w:val="15"/>
          <w:w w:val="105"/>
        </w:rPr>
        <w:t xml:space="preserve"> </w:t>
      </w:r>
      <w:r w:rsidRPr="00283806">
        <w:rPr>
          <w:w w:val="105"/>
        </w:rPr>
        <w:t>defined</w:t>
      </w:r>
      <w:r w:rsidRPr="00283806">
        <w:rPr>
          <w:spacing w:val="15"/>
          <w:w w:val="105"/>
        </w:rPr>
        <w:t xml:space="preserve"> </w:t>
      </w:r>
      <w:r w:rsidRPr="00283806">
        <w:rPr>
          <w:w w:val="105"/>
        </w:rPr>
        <w:t>at</w:t>
      </w:r>
      <w:r w:rsidRPr="00283806">
        <w:rPr>
          <w:spacing w:val="15"/>
          <w:w w:val="105"/>
        </w:rPr>
        <w:t xml:space="preserve"> </w:t>
      </w:r>
      <w:r w:rsidRPr="00283806">
        <w:rPr>
          <w:w w:val="105"/>
        </w:rPr>
        <w:t>40</w:t>
      </w:r>
      <w:r w:rsidRPr="00283806">
        <w:rPr>
          <w:spacing w:val="15"/>
          <w:w w:val="105"/>
        </w:rPr>
        <w:t xml:space="preserve"> </w:t>
      </w:r>
      <w:r w:rsidRPr="00283806">
        <w:rPr>
          <w:spacing w:val="-5"/>
          <w:w w:val="105"/>
        </w:rPr>
        <w:t>CFR</w:t>
      </w:r>
    </w:p>
    <w:p w14:paraId="2FE37BBE" w14:textId="77777777" w:rsidR="00D67C1E" w:rsidRPr="00283806" w:rsidRDefault="001265CA">
      <w:pPr>
        <w:pStyle w:val="BodyText"/>
        <w:spacing w:line="228" w:lineRule="auto"/>
        <w:ind w:left="144"/>
      </w:pPr>
      <w:r w:rsidRPr="00283806">
        <w:rPr>
          <w:w w:val="105"/>
        </w:rPr>
        <w:t>84.3. This approach mirrors the</w:t>
      </w:r>
      <w:r w:rsidRPr="00283806">
        <w:rPr>
          <w:spacing w:val="40"/>
          <w:w w:val="105"/>
        </w:rPr>
        <w:t xml:space="preserve"> </w:t>
      </w:r>
      <w:r w:rsidRPr="00283806">
        <w:rPr>
          <w:w w:val="105"/>
        </w:rPr>
        <w:t>approach in regulations established under the 2023 Technology Transitions Rule</w:t>
      </w:r>
      <w:r w:rsidRPr="00283806">
        <w:rPr>
          <w:spacing w:val="-7"/>
          <w:w w:val="105"/>
        </w:rPr>
        <w:t xml:space="preserve"> </w:t>
      </w:r>
      <w:r w:rsidRPr="00283806">
        <w:rPr>
          <w:w w:val="105"/>
        </w:rPr>
        <w:t>at</w:t>
      </w:r>
      <w:r w:rsidRPr="00283806">
        <w:rPr>
          <w:spacing w:val="-7"/>
          <w:w w:val="105"/>
        </w:rPr>
        <w:t xml:space="preserve"> </w:t>
      </w:r>
      <w:r w:rsidRPr="00283806">
        <w:rPr>
          <w:w w:val="105"/>
        </w:rPr>
        <w:t>84.56(a)(2)</w:t>
      </w:r>
      <w:r w:rsidRPr="00283806">
        <w:rPr>
          <w:spacing w:val="-7"/>
          <w:w w:val="105"/>
        </w:rPr>
        <w:t xml:space="preserve"> </w:t>
      </w:r>
      <w:r w:rsidRPr="00283806">
        <w:rPr>
          <w:w w:val="105"/>
        </w:rPr>
        <w:t>and</w:t>
      </w:r>
      <w:r w:rsidRPr="00283806">
        <w:rPr>
          <w:spacing w:val="-7"/>
          <w:w w:val="105"/>
        </w:rPr>
        <w:t xml:space="preserve"> </w:t>
      </w:r>
      <w:r w:rsidRPr="00283806">
        <w:rPr>
          <w:w w:val="105"/>
        </w:rPr>
        <w:t>better</w:t>
      </w:r>
      <w:r w:rsidRPr="00283806">
        <w:rPr>
          <w:spacing w:val="-7"/>
          <w:w w:val="105"/>
        </w:rPr>
        <w:t xml:space="preserve"> </w:t>
      </w:r>
      <w:r w:rsidRPr="00283806">
        <w:rPr>
          <w:w w:val="105"/>
        </w:rPr>
        <w:t>aligns</w:t>
      </w:r>
      <w:r w:rsidRPr="00283806">
        <w:rPr>
          <w:spacing w:val="-7"/>
          <w:w w:val="105"/>
        </w:rPr>
        <w:t xml:space="preserve"> </w:t>
      </w:r>
      <w:r w:rsidRPr="00283806">
        <w:rPr>
          <w:w w:val="105"/>
        </w:rPr>
        <w:t>with the regulations under 84.13. Given the addition of this exemption to the regulations finalized in this rule (see 84.114(b)), there is no need to exclude mission-critical military end uses from the definition of fire suppression equipment. With respect to military systems used in deployable and expeditionary situations, as stated in the proposal, there are situations in which the unique design and use of this equipment makes it impossible to</w:t>
      </w:r>
      <w:r w:rsidRPr="00283806">
        <w:rPr>
          <w:spacing w:val="40"/>
          <w:w w:val="105"/>
        </w:rPr>
        <w:t xml:space="preserve"> </w:t>
      </w:r>
      <w:r w:rsidRPr="00283806">
        <w:rPr>
          <w:w w:val="105"/>
        </w:rPr>
        <w:t>recover fire suppression agents during the service, repair, disposal, or installation of such equipment. Because this rule does not define ‘‘end uses’’ or ‘‘systems,’’ EPA is using the broader</w:t>
      </w:r>
      <w:r w:rsidRPr="00283806">
        <w:rPr>
          <w:spacing w:val="80"/>
          <w:w w:val="150"/>
        </w:rPr>
        <w:t xml:space="preserve"> </w:t>
      </w:r>
      <w:r w:rsidRPr="00283806">
        <w:rPr>
          <w:w w:val="105"/>
        </w:rPr>
        <w:t>term ‘‘equipment’’ to improve understanding and clarify its intent that no military equipment used in</w:t>
      </w:r>
      <w:r w:rsidRPr="00283806">
        <w:rPr>
          <w:spacing w:val="40"/>
          <w:w w:val="105"/>
        </w:rPr>
        <w:t xml:space="preserve"> </w:t>
      </w:r>
      <w:r w:rsidRPr="00283806">
        <w:rPr>
          <w:w w:val="105"/>
        </w:rPr>
        <w:t>deployable and expeditionary situations is subject to the regulations for fire suppression equipment in this rule.</w:t>
      </w:r>
    </w:p>
    <w:p w14:paraId="450EEE4E" w14:textId="77777777" w:rsidR="00D67C1E" w:rsidRPr="00283806" w:rsidRDefault="001265CA">
      <w:pPr>
        <w:pStyle w:val="BodyText"/>
        <w:spacing w:before="19" w:line="225" w:lineRule="auto"/>
        <w:ind w:left="144" w:right="7" w:firstLine="180"/>
      </w:pPr>
      <w:r w:rsidRPr="00283806">
        <w:rPr>
          <w:rFonts w:ascii="Book Antiqua" w:hAnsi="Book Antiqua"/>
          <w:i/>
          <w:w w:val="105"/>
        </w:rPr>
        <w:t xml:space="preserve">Comment: </w:t>
      </w:r>
      <w:r w:rsidRPr="00283806">
        <w:rPr>
          <w:w w:val="105"/>
        </w:rPr>
        <w:t>One commenter requested that EPA exclude individual fire extinguishers</w:t>
      </w:r>
      <w:r w:rsidRPr="00283806">
        <w:rPr>
          <w:spacing w:val="40"/>
          <w:w w:val="105"/>
        </w:rPr>
        <w:t xml:space="preserve"> </w:t>
      </w:r>
      <w:r w:rsidRPr="00283806">
        <w:rPr>
          <w:w w:val="105"/>
        </w:rPr>
        <w:t>from</w:t>
      </w:r>
      <w:r w:rsidRPr="00283806">
        <w:rPr>
          <w:spacing w:val="40"/>
          <w:w w:val="105"/>
        </w:rPr>
        <w:t xml:space="preserve"> </w:t>
      </w:r>
      <w:r w:rsidRPr="00283806">
        <w:rPr>
          <w:w w:val="105"/>
        </w:rPr>
        <w:t>the</w:t>
      </w:r>
      <w:r w:rsidRPr="00283806">
        <w:rPr>
          <w:spacing w:val="40"/>
          <w:w w:val="105"/>
        </w:rPr>
        <w:t xml:space="preserve"> </w:t>
      </w:r>
      <w:r w:rsidRPr="00283806">
        <w:rPr>
          <w:w w:val="105"/>
        </w:rPr>
        <w:t>definition</w:t>
      </w:r>
      <w:r w:rsidRPr="00283806">
        <w:rPr>
          <w:spacing w:val="40"/>
          <w:w w:val="105"/>
        </w:rPr>
        <w:t xml:space="preserve"> </w:t>
      </w:r>
      <w:r w:rsidRPr="00283806">
        <w:rPr>
          <w:w w:val="105"/>
        </w:rPr>
        <w:t>of ‘‘fire suppression equipment.’’ Another commenter supported exempting mission-critical military end uses from certain requirements of the rule. This commenter suggested that EPA could improve the clarity of the rule by stating that specific requirements (</w:t>
      </w:r>
      <w:r w:rsidRPr="00283806">
        <w:rPr>
          <w:rFonts w:ascii="Book Antiqua" w:hAnsi="Book Antiqua"/>
          <w:i/>
          <w:w w:val="105"/>
        </w:rPr>
        <w:t xml:space="preserve">e.g., </w:t>
      </w:r>
      <w:r w:rsidRPr="00283806">
        <w:rPr>
          <w:w w:val="105"/>
        </w:rPr>
        <w:t>leak repair, ALD systems) do not apply to mission-critical end uses and systems, rather than embedding the exemption in the definitions of ‘‘refrigerant-</w:t>
      </w:r>
      <w:r w:rsidRPr="00283806">
        <w:rPr>
          <w:spacing w:val="80"/>
          <w:w w:val="105"/>
        </w:rPr>
        <w:t xml:space="preserve"> </w:t>
      </w:r>
      <w:r w:rsidRPr="00283806">
        <w:rPr>
          <w:w w:val="105"/>
        </w:rPr>
        <w:t>containing equipment’’ and ‘‘fire suppression equipment.’’ The</w:t>
      </w:r>
      <w:r w:rsidRPr="00283806">
        <w:rPr>
          <w:spacing w:val="40"/>
          <w:w w:val="105"/>
        </w:rPr>
        <w:t xml:space="preserve"> </w:t>
      </w:r>
      <w:r w:rsidRPr="00283806">
        <w:rPr>
          <w:w w:val="105"/>
        </w:rPr>
        <w:t>commenter further stated that affirmatively stating that certain requirements do not apply to mission- critical military end uses would make</w:t>
      </w:r>
      <w:r w:rsidRPr="00283806">
        <w:rPr>
          <w:spacing w:val="40"/>
          <w:w w:val="105"/>
        </w:rPr>
        <w:t xml:space="preserve"> </w:t>
      </w:r>
      <w:r w:rsidRPr="00283806">
        <w:rPr>
          <w:w w:val="105"/>
        </w:rPr>
        <w:t>this rule consistent with the Allocation Framework Rule and would help</w:t>
      </w:r>
      <w:r w:rsidRPr="00283806">
        <w:rPr>
          <w:spacing w:val="40"/>
          <w:w w:val="105"/>
        </w:rPr>
        <w:t xml:space="preserve"> </w:t>
      </w:r>
      <w:r w:rsidRPr="00283806">
        <w:rPr>
          <w:w w:val="105"/>
        </w:rPr>
        <w:t>improve compliance with this final rule.</w:t>
      </w:r>
    </w:p>
    <w:p w14:paraId="68D90EB5" w14:textId="77777777" w:rsidR="00D67C1E" w:rsidRPr="00283806" w:rsidRDefault="001265CA">
      <w:pPr>
        <w:pStyle w:val="BodyText"/>
        <w:spacing w:before="135" w:line="223" w:lineRule="auto"/>
        <w:ind w:left="144" w:right="271" w:firstLine="180"/>
      </w:pPr>
      <w:r w:rsidRPr="00283806">
        <w:br w:type="column"/>
      </w:r>
      <w:r w:rsidRPr="00283806">
        <w:rPr>
          <w:rFonts w:ascii="Book Antiqua" w:hAnsi="Book Antiqua"/>
          <w:i/>
          <w:w w:val="105"/>
        </w:rPr>
        <w:t xml:space="preserve">Response: </w:t>
      </w:r>
      <w:r w:rsidRPr="00283806">
        <w:rPr>
          <w:w w:val="105"/>
        </w:rPr>
        <w:t>EPA disagrees with the commenter’s request to exclude individual fire extinguishers from the definition of fire suppression equipment. EPA has a long history under the CAA title VI regulations of considering fire suppression as both streaming (</w:t>
      </w:r>
      <w:r w:rsidRPr="00283806">
        <w:rPr>
          <w:rFonts w:ascii="Book Antiqua" w:hAnsi="Book Antiqua"/>
          <w:i/>
          <w:w w:val="105"/>
        </w:rPr>
        <w:t xml:space="preserve">e.g., </w:t>
      </w:r>
      <w:r w:rsidRPr="00283806">
        <w:rPr>
          <w:w w:val="105"/>
        </w:rPr>
        <w:t>fire extinguishers) and total flooding applications. The commenter did not provide sufficient rationale for changing that approach in this rule and EPA is concerned that doing so would limit the ability of this rule to achieve its intended purpose with respect to minimizing releases from fire suppression equipment.</w:t>
      </w:r>
    </w:p>
    <w:p w14:paraId="6A1636EE" w14:textId="77777777" w:rsidR="00D67C1E" w:rsidRPr="00283806" w:rsidRDefault="001265CA">
      <w:pPr>
        <w:pStyle w:val="BodyText"/>
        <w:spacing w:line="225" w:lineRule="auto"/>
        <w:ind w:left="144" w:right="122" w:firstLine="180"/>
      </w:pPr>
      <w:r w:rsidRPr="00283806">
        <w:rPr>
          <w:w w:val="105"/>
        </w:rPr>
        <w:t>In response to the comment</w:t>
      </w:r>
      <w:r w:rsidRPr="00283806">
        <w:rPr>
          <w:spacing w:val="80"/>
          <w:w w:val="105"/>
        </w:rPr>
        <w:t xml:space="preserve"> </w:t>
      </w:r>
      <w:r w:rsidRPr="00283806">
        <w:rPr>
          <w:w w:val="105"/>
        </w:rPr>
        <w:t>suggesting that EPA exempt mission- critical military end uses from certain requirements of the rule separate from the definition, as described above, EPA notes, that it has created a separate exemption in these regulations for mission-critical military end uses, as listed at 40 CFR 84.13(a), for a year or years for which that application receives an application-specific allowance as defined at 40 CFR 84.3. As explained above, EPA is taking this approach,</w:t>
      </w:r>
      <w:r w:rsidRPr="00283806">
        <w:rPr>
          <w:spacing w:val="80"/>
          <w:w w:val="105"/>
        </w:rPr>
        <w:t xml:space="preserve"> </w:t>
      </w:r>
      <w:r w:rsidRPr="00283806">
        <w:rPr>
          <w:w w:val="105"/>
        </w:rPr>
        <w:t>rather</w:t>
      </w:r>
      <w:r w:rsidRPr="00283806">
        <w:rPr>
          <w:spacing w:val="40"/>
          <w:w w:val="105"/>
        </w:rPr>
        <w:t xml:space="preserve"> </w:t>
      </w:r>
      <w:r w:rsidRPr="00283806">
        <w:rPr>
          <w:w w:val="105"/>
        </w:rPr>
        <w:t>than</w:t>
      </w:r>
      <w:r w:rsidRPr="00283806">
        <w:rPr>
          <w:spacing w:val="40"/>
          <w:w w:val="105"/>
        </w:rPr>
        <w:t xml:space="preserve"> </w:t>
      </w:r>
      <w:r w:rsidRPr="00283806">
        <w:rPr>
          <w:w w:val="105"/>
        </w:rPr>
        <w:t>listing</w:t>
      </w:r>
      <w:r w:rsidRPr="00283806">
        <w:rPr>
          <w:spacing w:val="40"/>
          <w:w w:val="105"/>
        </w:rPr>
        <w:t xml:space="preserve"> </w:t>
      </w:r>
      <w:r w:rsidRPr="00283806">
        <w:rPr>
          <w:w w:val="105"/>
        </w:rPr>
        <w:t>the</w:t>
      </w:r>
      <w:r w:rsidRPr="00283806">
        <w:rPr>
          <w:spacing w:val="40"/>
          <w:w w:val="105"/>
        </w:rPr>
        <w:t xml:space="preserve"> </w:t>
      </w:r>
      <w:r w:rsidRPr="00283806">
        <w:rPr>
          <w:w w:val="105"/>
        </w:rPr>
        <w:t>exemption</w:t>
      </w:r>
      <w:r w:rsidRPr="00283806">
        <w:rPr>
          <w:spacing w:val="40"/>
          <w:w w:val="105"/>
        </w:rPr>
        <w:t xml:space="preserve"> </w:t>
      </w:r>
      <w:r w:rsidRPr="00283806">
        <w:rPr>
          <w:w w:val="105"/>
        </w:rPr>
        <w:t>in each specific requirement, as that approach better aligns with the</w:t>
      </w:r>
      <w:r w:rsidRPr="00283806">
        <w:rPr>
          <w:spacing w:val="80"/>
          <w:w w:val="105"/>
        </w:rPr>
        <w:t xml:space="preserve"> </w:t>
      </w:r>
      <w:r w:rsidRPr="00283806">
        <w:rPr>
          <w:w w:val="105"/>
        </w:rPr>
        <w:t>approach under other AIM Act rules, which should ease understanding of the exemption</w:t>
      </w:r>
      <w:r w:rsidRPr="00283806">
        <w:rPr>
          <w:spacing w:val="35"/>
          <w:w w:val="105"/>
        </w:rPr>
        <w:t xml:space="preserve"> </w:t>
      </w:r>
      <w:r w:rsidRPr="00283806">
        <w:rPr>
          <w:w w:val="105"/>
        </w:rPr>
        <w:t>and</w:t>
      </w:r>
      <w:r w:rsidRPr="00283806">
        <w:rPr>
          <w:spacing w:val="35"/>
          <w:w w:val="105"/>
        </w:rPr>
        <w:t xml:space="preserve"> </w:t>
      </w:r>
      <w:r w:rsidRPr="00283806">
        <w:rPr>
          <w:w w:val="105"/>
        </w:rPr>
        <w:t>facilitate</w:t>
      </w:r>
      <w:r w:rsidRPr="00283806">
        <w:rPr>
          <w:spacing w:val="80"/>
          <w:w w:val="105"/>
        </w:rPr>
        <w:t xml:space="preserve"> </w:t>
      </w:r>
      <w:r w:rsidRPr="00283806">
        <w:rPr>
          <w:w w:val="105"/>
        </w:rPr>
        <w:t>implementation and compliance.</w:t>
      </w:r>
    </w:p>
    <w:p w14:paraId="714627FE" w14:textId="77777777" w:rsidR="00D67C1E" w:rsidRPr="00283806" w:rsidRDefault="001265CA">
      <w:pPr>
        <w:spacing w:line="178" w:lineRule="exact"/>
        <w:ind w:left="324"/>
        <w:rPr>
          <w:sz w:val="18"/>
        </w:rPr>
      </w:pPr>
      <w:r w:rsidRPr="00283806">
        <w:rPr>
          <w:rFonts w:ascii="Book Antiqua"/>
          <w:i/>
          <w:w w:val="110"/>
          <w:sz w:val="18"/>
        </w:rPr>
        <w:t>Industrial</w:t>
      </w:r>
      <w:r w:rsidRPr="00283806">
        <w:rPr>
          <w:rFonts w:ascii="Book Antiqua"/>
          <w:i/>
          <w:spacing w:val="22"/>
          <w:w w:val="110"/>
          <w:sz w:val="18"/>
        </w:rPr>
        <w:t xml:space="preserve"> </w:t>
      </w:r>
      <w:r w:rsidRPr="00283806">
        <w:rPr>
          <w:rFonts w:ascii="Book Antiqua"/>
          <w:i/>
          <w:w w:val="110"/>
          <w:sz w:val="18"/>
        </w:rPr>
        <w:t>process</w:t>
      </w:r>
      <w:r w:rsidRPr="00283806">
        <w:rPr>
          <w:rFonts w:ascii="Book Antiqua"/>
          <w:i/>
          <w:spacing w:val="22"/>
          <w:w w:val="110"/>
          <w:sz w:val="18"/>
        </w:rPr>
        <w:t xml:space="preserve"> </w:t>
      </w:r>
      <w:r w:rsidRPr="00283806">
        <w:rPr>
          <w:rFonts w:ascii="Book Antiqua"/>
          <w:i/>
          <w:w w:val="110"/>
          <w:sz w:val="18"/>
        </w:rPr>
        <w:t>refrigeration.</w:t>
      </w:r>
      <w:r w:rsidRPr="00283806">
        <w:rPr>
          <w:rFonts w:ascii="Book Antiqua"/>
          <w:i/>
          <w:spacing w:val="22"/>
          <w:w w:val="110"/>
          <w:sz w:val="18"/>
        </w:rPr>
        <w:t xml:space="preserve"> </w:t>
      </w:r>
      <w:r w:rsidRPr="00283806">
        <w:rPr>
          <w:spacing w:val="-5"/>
          <w:w w:val="110"/>
          <w:sz w:val="18"/>
        </w:rPr>
        <w:t>EPA</w:t>
      </w:r>
    </w:p>
    <w:p w14:paraId="2B792BD1" w14:textId="77777777" w:rsidR="00D67C1E" w:rsidRPr="00283806" w:rsidRDefault="001265CA">
      <w:pPr>
        <w:pStyle w:val="BodyText"/>
        <w:spacing w:line="225" w:lineRule="auto"/>
        <w:ind w:left="144" w:right="162"/>
      </w:pPr>
      <w:r w:rsidRPr="00283806">
        <w:rPr>
          <w:w w:val="105"/>
        </w:rPr>
        <w:t>is finalizing this term as proposed to mean ‘‘complex, customized,</w:t>
      </w:r>
      <w:r w:rsidRPr="00283806">
        <w:rPr>
          <w:spacing w:val="80"/>
          <w:w w:val="105"/>
        </w:rPr>
        <w:t xml:space="preserve"> </w:t>
      </w:r>
      <w:r w:rsidRPr="00283806">
        <w:rPr>
          <w:w w:val="105"/>
        </w:rPr>
        <w:t>refrigerant-containing appliances that are directly linked to the processes used in, for example, the chemical, pharmaceutical, petrochemical, and manufacturing industries. This sector also includes industrial ice machines, appliances used directly in the generation of electricity, and ice rinks. Where one appliance is used for both industrial process refrigeration and</w:t>
      </w:r>
      <w:r w:rsidRPr="00283806">
        <w:rPr>
          <w:spacing w:val="40"/>
          <w:w w:val="105"/>
        </w:rPr>
        <w:t xml:space="preserve"> </w:t>
      </w:r>
      <w:r w:rsidRPr="00283806">
        <w:rPr>
          <w:w w:val="105"/>
        </w:rPr>
        <w:t>other applications, it will be considered industrial process refrigeration equipment if 50 percent or more of its operating capacity is used for industrial process refrigeration.’’</w:t>
      </w:r>
    </w:p>
    <w:p w14:paraId="6292C42B" w14:textId="77777777" w:rsidR="00D67C1E" w:rsidRPr="00283806" w:rsidRDefault="001265CA">
      <w:pPr>
        <w:spacing w:line="179" w:lineRule="exact"/>
        <w:ind w:left="324"/>
        <w:rPr>
          <w:sz w:val="18"/>
        </w:rPr>
      </w:pPr>
      <w:r w:rsidRPr="00283806">
        <w:rPr>
          <w:rFonts w:ascii="Book Antiqua"/>
          <w:i/>
          <w:w w:val="105"/>
          <w:sz w:val="18"/>
        </w:rPr>
        <w:t>Comment:</w:t>
      </w:r>
      <w:r w:rsidRPr="00283806">
        <w:rPr>
          <w:rFonts w:ascii="Book Antiqua"/>
          <w:i/>
          <w:spacing w:val="15"/>
          <w:w w:val="105"/>
          <w:sz w:val="18"/>
        </w:rPr>
        <w:t xml:space="preserve"> </w:t>
      </w:r>
      <w:r w:rsidRPr="00283806">
        <w:rPr>
          <w:w w:val="105"/>
          <w:sz w:val="18"/>
        </w:rPr>
        <w:t>One</w:t>
      </w:r>
      <w:r w:rsidRPr="00283806">
        <w:rPr>
          <w:spacing w:val="20"/>
          <w:w w:val="105"/>
          <w:sz w:val="18"/>
        </w:rPr>
        <w:t xml:space="preserve"> </w:t>
      </w:r>
      <w:r w:rsidRPr="00283806">
        <w:rPr>
          <w:w w:val="105"/>
          <w:sz w:val="18"/>
        </w:rPr>
        <w:t>commenter</w:t>
      </w:r>
      <w:r w:rsidRPr="00283806">
        <w:rPr>
          <w:spacing w:val="20"/>
          <w:w w:val="105"/>
          <w:sz w:val="18"/>
        </w:rPr>
        <w:t xml:space="preserve"> </w:t>
      </w:r>
      <w:r w:rsidRPr="00283806">
        <w:rPr>
          <w:w w:val="105"/>
          <w:sz w:val="18"/>
        </w:rPr>
        <w:t>stated</w:t>
      </w:r>
      <w:r w:rsidRPr="00283806">
        <w:rPr>
          <w:spacing w:val="20"/>
          <w:w w:val="105"/>
          <w:sz w:val="18"/>
        </w:rPr>
        <w:t xml:space="preserve"> </w:t>
      </w:r>
      <w:r w:rsidRPr="00283806">
        <w:rPr>
          <w:spacing w:val="-4"/>
          <w:w w:val="105"/>
          <w:sz w:val="18"/>
        </w:rPr>
        <w:t>that</w:t>
      </w:r>
    </w:p>
    <w:p w14:paraId="337C9E42" w14:textId="77777777" w:rsidR="00D67C1E" w:rsidRPr="00283806" w:rsidRDefault="001265CA">
      <w:pPr>
        <w:pStyle w:val="BodyText"/>
        <w:spacing w:line="225" w:lineRule="auto"/>
        <w:ind w:left="144" w:right="172"/>
      </w:pPr>
      <w:r w:rsidRPr="00283806">
        <w:rPr>
          <w:w w:val="105"/>
        </w:rPr>
        <w:t>in the Technology Transitions program, EPA determined appliances that cool data centers, information technology equipment facilities (ITEFs), computer room cooling equipment, communications rooms, and appliances associated with cooling other spaces dedicated to maintaining the operating temperatures of electronic devices were not IPR or comfort cooling. The commenter further stated that under 40 CFR</w:t>
      </w:r>
      <w:r w:rsidRPr="00283806">
        <w:rPr>
          <w:spacing w:val="-1"/>
          <w:w w:val="105"/>
        </w:rPr>
        <w:t xml:space="preserve"> </w:t>
      </w:r>
      <w:r w:rsidRPr="00283806">
        <w:rPr>
          <w:w w:val="105"/>
        </w:rPr>
        <w:t>part</w:t>
      </w:r>
      <w:r w:rsidRPr="00283806">
        <w:rPr>
          <w:spacing w:val="-1"/>
          <w:w w:val="105"/>
        </w:rPr>
        <w:t xml:space="preserve"> </w:t>
      </w:r>
      <w:r w:rsidRPr="00283806">
        <w:rPr>
          <w:w w:val="105"/>
        </w:rPr>
        <w:t>82,</w:t>
      </w:r>
      <w:r w:rsidRPr="00283806">
        <w:rPr>
          <w:spacing w:val="-1"/>
          <w:w w:val="105"/>
        </w:rPr>
        <w:t xml:space="preserve"> </w:t>
      </w:r>
      <w:r w:rsidRPr="00283806">
        <w:rPr>
          <w:w w:val="105"/>
        </w:rPr>
        <w:t>subpart</w:t>
      </w:r>
      <w:r w:rsidRPr="00283806">
        <w:rPr>
          <w:spacing w:val="-1"/>
          <w:w w:val="105"/>
        </w:rPr>
        <w:t xml:space="preserve"> </w:t>
      </w:r>
      <w:r w:rsidRPr="00283806">
        <w:rPr>
          <w:w w:val="105"/>
        </w:rPr>
        <w:t>F</w:t>
      </w:r>
      <w:r w:rsidRPr="00283806">
        <w:rPr>
          <w:spacing w:val="-1"/>
          <w:w w:val="105"/>
        </w:rPr>
        <w:t xml:space="preserve"> </w:t>
      </w:r>
      <w:r w:rsidRPr="00283806">
        <w:rPr>
          <w:w w:val="105"/>
        </w:rPr>
        <w:t>these</w:t>
      </w:r>
      <w:r w:rsidRPr="00283806">
        <w:rPr>
          <w:spacing w:val="-1"/>
          <w:w w:val="105"/>
        </w:rPr>
        <w:t xml:space="preserve"> </w:t>
      </w:r>
      <w:r w:rsidRPr="00283806">
        <w:rPr>
          <w:w w:val="105"/>
        </w:rPr>
        <w:t>refrigerant- containing devices are comfort cooling. The commenter requested that EPA</w:t>
      </w:r>
    </w:p>
    <w:p w14:paraId="4ED00E63"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6" w:space="40"/>
            <w:col w:w="3500" w:space="39"/>
            <w:col w:w="3625"/>
          </w:cols>
        </w:sectPr>
      </w:pPr>
    </w:p>
    <w:p w14:paraId="1EC4BF96" w14:textId="77777777" w:rsidR="00D67C1E" w:rsidRPr="00283806" w:rsidRDefault="001265CA">
      <w:pPr>
        <w:pStyle w:val="BodyText"/>
        <w:spacing w:before="136" w:line="225" w:lineRule="auto"/>
        <w:ind w:right="21"/>
      </w:pPr>
      <w:r w:rsidRPr="00283806">
        <w:rPr>
          <w:w w:val="105"/>
        </w:rPr>
        <w:lastRenderedPageBreak/>
        <w:t>specify whether these appliances are comfort cooling or IPR. The commenter stated that all industrial facilities have data centers or computer rooms and</w:t>
      </w:r>
      <w:r w:rsidRPr="00283806">
        <w:rPr>
          <w:spacing w:val="40"/>
          <w:w w:val="105"/>
        </w:rPr>
        <w:t xml:space="preserve"> </w:t>
      </w:r>
      <w:r w:rsidRPr="00283806">
        <w:rPr>
          <w:w w:val="105"/>
        </w:rPr>
        <w:t>need to understand how to properly sort their appliances because this impacts leak rate repair triggers and appliance repair time.</w:t>
      </w:r>
    </w:p>
    <w:p w14:paraId="7CF6AC3D" w14:textId="77777777" w:rsidR="00D67C1E" w:rsidRPr="00283806" w:rsidRDefault="001265CA">
      <w:pPr>
        <w:spacing w:line="182" w:lineRule="exact"/>
        <w:ind w:left="160" w:firstLine="180"/>
        <w:rPr>
          <w:sz w:val="18"/>
        </w:rPr>
      </w:pPr>
      <w:r w:rsidRPr="00283806">
        <w:rPr>
          <w:rFonts w:ascii="Book Antiqua"/>
          <w:i/>
          <w:w w:val="105"/>
          <w:sz w:val="18"/>
        </w:rPr>
        <w:t>Response:</w:t>
      </w:r>
      <w:r w:rsidRPr="00283806">
        <w:rPr>
          <w:rFonts w:ascii="Book Antiqua"/>
          <w:i/>
          <w:spacing w:val="22"/>
          <w:w w:val="105"/>
          <w:sz w:val="18"/>
        </w:rPr>
        <w:t xml:space="preserve"> </w:t>
      </w:r>
      <w:r w:rsidRPr="00283806">
        <w:rPr>
          <w:w w:val="105"/>
          <w:sz w:val="18"/>
        </w:rPr>
        <w:t>The</w:t>
      </w:r>
      <w:r w:rsidRPr="00283806">
        <w:rPr>
          <w:spacing w:val="28"/>
          <w:w w:val="105"/>
          <w:sz w:val="18"/>
        </w:rPr>
        <w:t xml:space="preserve"> </w:t>
      </w:r>
      <w:r w:rsidRPr="00283806">
        <w:rPr>
          <w:w w:val="105"/>
          <w:sz w:val="18"/>
        </w:rPr>
        <w:t>commenter</w:t>
      </w:r>
      <w:r w:rsidRPr="00283806">
        <w:rPr>
          <w:spacing w:val="28"/>
          <w:w w:val="105"/>
          <w:sz w:val="18"/>
        </w:rPr>
        <w:t xml:space="preserve"> </w:t>
      </w:r>
      <w:r w:rsidRPr="00283806">
        <w:rPr>
          <w:w w:val="105"/>
          <w:sz w:val="18"/>
        </w:rPr>
        <w:t>is</w:t>
      </w:r>
      <w:r w:rsidRPr="00283806">
        <w:rPr>
          <w:spacing w:val="28"/>
          <w:w w:val="105"/>
          <w:sz w:val="18"/>
        </w:rPr>
        <w:t xml:space="preserve"> </w:t>
      </w:r>
      <w:r w:rsidRPr="00283806">
        <w:rPr>
          <w:spacing w:val="-2"/>
          <w:w w:val="105"/>
          <w:sz w:val="18"/>
        </w:rPr>
        <w:t>correct</w:t>
      </w:r>
    </w:p>
    <w:p w14:paraId="1E3A9CB2" w14:textId="77777777" w:rsidR="00D67C1E" w:rsidRPr="00283806" w:rsidRDefault="001265CA">
      <w:pPr>
        <w:pStyle w:val="BodyText"/>
        <w:spacing w:line="225" w:lineRule="auto"/>
        <w:ind w:right="37"/>
      </w:pPr>
      <w:r w:rsidRPr="00283806">
        <w:rPr>
          <w:w w:val="105"/>
        </w:rPr>
        <w:t>that the definition of ‘‘comfort cooling’’</w:t>
      </w:r>
      <w:r w:rsidRPr="00283806">
        <w:rPr>
          <w:spacing w:val="40"/>
          <w:w w:val="105"/>
        </w:rPr>
        <w:t xml:space="preserve"> </w:t>
      </w:r>
      <w:r w:rsidRPr="00283806">
        <w:rPr>
          <w:w w:val="105"/>
        </w:rPr>
        <w:t>in 40 CFR part 82, subpart F codified at 40 CFR 82.152 includes appliances that cool data centers, ITEF, computer</w:t>
      </w:r>
      <w:r w:rsidRPr="00283806">
        <w:rPr>
          <w:spacing w:val="80"/>
          <w:w w:val="105"/>
        </w:rPr>
        <w:t xml:space="preserve"> </w:t>
      </w:r>
      <w:r w:rsidRPr="00283806">
        <w:rPr>
          <w:w w:val="105"/>
        </w:rPr>
        <w:t>rooms, communications rooms, and electronic devices. EPA intends for its definition of ‘‘industrial process refrigeration’’</w:t>
      </w:r>
      <w:r w:rsidRPr="00283806">
        <w:rPr>
          <w:spacing w:val="-2"/>
          <w:w w:val="105"/>
        </w:rPr>
        <w:t xml:space="preserve"> </w:t>
      </w:r>
      <w:r w:rsidRPr="00283806">
        <w:rPr>
          <w:w w:val="105"/>
        </w:rPr>
        <w:t>under</w:t>
      </w:r>
      <w:r w:rsidRPr="00283806">
        <w:rPr>
          <w:spacing w:val="-2"/>
          <w:w w:val="105"/>
        </w:rPr>
        <w:t xml:space="preserve"> </w:t>
      </w:r>
      <w:r w:rsidRPr="00283806">
        <w:rPr>
          <w:w w:val="105"/>
        </w:rPr>
        <w:t>these</w:t>
      </w:r>
      <w:r w:rsidRPr="00283806">
        <w:rPr>
          <w:spacing w:val="-2"/>
          <w:w w:val="105"/>
        </w:rPr>
        <w:t xml:space="preserve"> </w:t>
      </w:r>
      <w:r w:rsidRPr="00283806">
        <w:rPr>
          <w:w w:val="105"/>
        </w:rPr>
        <w:t>regulations</w:t>
      </w:r>
      <w:r w:rsidRPr="00283806">
        <w:rPr>
          <w:spacing w:val="-2"/>
          <w:w w:val="105"/>
        </w:rPr>
        <w:t xml:space="preserve"> </w:t>
      </w:r>
      <w:r w:rsidRPr="00283806">
        <w:rPr>
          <w:w w:val="105"/>
        </w:rPr>
        <w:t>to parallel the definition within 40 CFR</w:t>
      </w:r>
    </w:p>
    <w:p w14:paraId="499A07F2" w14:textId="77777777" w:rsidR="00D67C1E" w:rsidRPr="00283806" w:rsidRDefault="001265CA">
      <w:pPr>
        <w:pStyle w:val="BodyText"/>
        <w:spacing w:line="225" w:lineRule="auto"/>
        <w:ind w:right="37"/>
      </w:pPr>
      <w:r w:rsidRPr="00283806">
        <w:rPr>
          <w:w w:val="105"/>
        </w:rPr>
        <w:t>82.152 as many of these requirements established for industrial process refrigeration and comfort cooling in this rule are analogous to those that apply under</w:t>
      </w:r>
      <w:r w:rsidRPr="00283806">
        <w:rPr>
          <w:spacing w:val="32"/>
          <w:w w:val="105"/>
        </w:rPr>
        <w:t xml:space="preserve"> </w:t>
      </w:r>
      <w:r w:rsidRPr="00283806">
        <w:rPr>
          <w:w w:val="105"/>
        </w:rPr>
        <w:t>40</w:t>
      </w:r>
      <w:r w:rsidRPr="00283806">
        <w:rPr>
          <w:spacing w:val="32"/>
          <w:w w:val="105"/>
        </w:rPr>
        <w:t xml:space="preserve"> </w:t>
      </w:r>
      <w:r w:rsidRPr="00283806">
        <w:rPr>
          <w:w w:val="105"/>
        </w:rPr>
        <w:t>CFR</w:t>
      </w:r>
      <w:r w:rsidRPr="00283806">
        <w:rPr>
          <w:spacing w:val="32"/>
          <w:w w:val="105"/>
        </w:rPr>
        <w:t xml:space="preserve"> </w:t>
      </w:r>
      <w:r w:rsidRPr="00283806">
        <w:rPr>
          <w:w w:val="105"/>
        </w:rPr>
        <w:t>part</w:t>
      </w:r>
      <w:r w:rsidRPr="00283806">
        <w:rPr>
          <w:spacing w:val="32"/>
          <w:w w:val="105"/>
        </w:rPr>
        <w:t xml:space="preserve"> </w:t>
      </w:r>
      <w:r w:rsidRPr="00283806">
        <w:rPr>
          <w:w w:val="105"/>
        </w:rPr>
        <w:t>82,</w:t>
      </w:r>
      <w:r w:rsidRPr="00283806">
        <w:rPr>
          <w:spacing w:val="32"/>
          <w:w w:val="105"/>
        </w:rPr>
        <w:t xml:space="preserve"> </w:t>
      </w:r>
      <w:r w:rsidRPr="00283806">
        <w:rPr>
          <w:w w:val="105"/>
        </w:rPr>
        <w:t>subpart</w:t>
      </w:r>
      <w:r w:rsidRPr="00283806">
        <w:rPr>
          <w:spacing w:val="32"/>
          <w:w w:val="105"/>
        </w:rPr>
        <w:t xml:space="preserve"> </w:t>
      </w:r>
      <w:r w:rsidRPr="00283806">
        <w:rPr>
          <w:w w:val="105"/>
        </w:rPr>
        <w:t>F</w:t>
      </w:r>
      <w:r w:rsidRPr="00283806">
        <w:rPr>
          <w:spacing w:val="32"/>
          <w:w w:val="105"/>
        </w:rPr>
        <w:t xml:space="preserve"> </w:t>
      </w:r>
      <w:r w:rsidRPr="00283806">
        <w:rPr>
          <w:w w:val="105"/>
        </w:rPr>
        <w:t>and EPA anticipates that using parallel definitions will facilitate understanding</w:t>
      </w:r>
      <w:r w:rsidRPr="00283806">
        <w:rPr>
          <w:spacing w:val="40"/>
          <w:w w:val="105"/>
        </w:rPr>
        <w:t xml:space="preserve"> </w:t>
      </w:r>
      <w:r w:rsidRPr="00283806">
        <w:rPr>
          <w:w w:val="105"/>
        </w:rPr>
        <w:t>of the rule’s requirements amongst regulated entities and support compliance for those entities that</w:t>
      </w:r>
      <w:r w:rsidRPr="00283806">
        <w:rPr>
          <w:spacing w:val="80"/>
          <w:w w:val="105"/>
        </w:rPr>
        <w:t xml:space="preserve"> </w:t>
      </w:r>
      <w:r w:rsidRPr="00283806">
        <w:rPr>
          <w:w w:val="105"/>
        </w:rPr>
        <w:t>already have established approaches to complying with similar requirements for similar equipment under subpart F. Accordingly, the appliances that cool</w:t>
      </w:r>
      <w:r w:rsidRPr="00283806">
        <w:rPr>
          <w:spacing w:val="80"/>
          <w:w w:val="105"/>
        </w:rPr>
        <w:t xml:space="preserve"> </w:t>
      </w:r>
      <w:r w:rsidRPr="00283806">
        <w:rPr>
          <w:w w:val="105"/>
        </w:rPr>
        <w:t>data centers, ITEF, computer room cooling equipment, communications rooms, and appliances associated with cooling other spaces dedicated to maintaining the operating temperatures of electronic devices are considered comfort cooling for purposes of the</w:t>
      </w:r>
      <w:r w:rsidRPr="00283806">
        <w:rPr>
          <w:spacing w:val="80"/>
          <w:w w:val="105"/>
        </w:rPr>
        <w:t xml:space="preserve"> </w:t>
      </w:r>
      <w:r w:rsidRPr="00283806">
        <w:rPr>
          <w:w w:val="105"/>
        </w:rPr>
        <w:t>ER&amp;R program established in this rule.</w:t>
      </w:r>
    </w:p>
    <w:p w14:paraId="352F99FE" w14:textId="77777777" w:rsidR="00D67C1E" w:rsidRPr="00283806" w:rsidRDefault="001265CA">
      <w:pPr>
        <w:spacing w:line="177" w:lineRule="exact"/>
        <w:ind w:left="340"/>
        <w:rPr>
          <w:sz w:val="18"/>
        </w:rPr>
      </w:pPr>
      <w:r w:rsidRPr="00283806">
        <w:rPr>
          <w:rFonts w:ascii="Book Antiqua"/>
          <w:i/>
          <w:w w:val="110"/>
          <w:sz w:val="18"/>
        </w:rPr>
        <w:t>Installation.</w:t>
      </w:r>
      <w:r w:rsidRPr="00283806">
        <w:rPr>
          <w:rFonts w:ascii="Book Antiqua"/>
          <w:i/>
          <w:spacing w:val="8"/>
          <w:w w:val="110"/>
          <w:sz w:val="18"/>
        </w:rPr>
        <w:t xml:space="preserve"> </w:t>
      </w:r>
      <w:r w:rsidRPr="00283806">
        <w:rPr>
          <w:w w:val="110"/>
          <w:sz w:val="18"/>
        </w:rPr>
        <w:t>EPA</w:t>
      </w:r>
      <w:r w:rsidRPr="00283806">
        <w:rPr>
          <w:spacing w:val="13"/>
          <w:w w:val="110"/>
          <w:sz w:val="18"/>
        </w:rPr>
        <w:t xml:space="preserve"> </w:t>
      </w:r>
      <w:r w:rsidRPr="00283806">
        <w:rPr>
          <w:w w:val="110"/>
          <w:sz w:val="18"/>
        </w:rPr>
        <w:t>is</w:t>
      </w:r>
      <w:r w:rsidRPr="00283806">
        <w:rPr>
          <w:spacing w:val="14"/>
          <w:w w:val="110"/>
          <w:sz w:val="18"/>
        </w:rPr>
        <w:t xml:space="preserve"> </w:t>
      </w:r>
      <w:r w:rsidRPr="00283806">
        <w:rPr>
          <w:w w:val="110"/>
          <w:sz w:val="18"/>
        </w:rPr>
        <w:t>finalizing</w:t>
      </w:r>
      <w:r w:rsidRPr="00283806">
        <w:rPr>
          <w:spacing w:val="14"/>
          <w:w w:val="110"/>
          <w:sz w:val="18"/>
        </w:rPr>
        <w:t xml:space="preserve"> </w:t>
      </w:r>
      <w:r w:rsidRPr="00283806">
        <w:rPr>
          <w:spacing w:val="-4"/>
          <w:w w:val="110"/>
          <w:sz w:val="18"/>
        </w:rPr>
        <w:t>this</w:t>
      </w:r>
    </w:p>
    <w:p w14:paraId="7E337F42" w14:textId="77777777" w:rsidR="00D67C1E" w:rsidRPr="00283806" w:rsidRDefault="001265CA">
      <w:pPr>
        <w:pStyle w:val="BodyText"/>
        <w:spacing w:line="225" w:lineRule="auto"/>
        <w:ind w:right="97"/>
      </w:pPr>
      <w:r w:rsidRPr="00283806">
        <w:rPr>
          <w:w w:val="105"/>
        </w:rPr>
        <w:t>term as proposed to mean ‘‘the process of setting up equipment for use, which may include steps such as completing the refrigerant circuit, including charging equipment with a regulated substance or substitute for a regulated substance, or connecting cylinders containing a regulated substance or a substitute</w:t>
      </w:r>
      <w:r w:rsidRPr="00283806">
        <w:rPr>
          <w:spacing w:val="-2"/>
          <w:w w:val="105"/>
        </w:rPr>
        <w:t xml:space="preserve"> </w:t>
      </w:r>
      <w:r w:rsidRPr="00283806">
        <w:rPr>
          <w:w w:val="105"/>
        </w:rPr>
        <w:t>for</w:t>
      </w:r>
      <w:r w:rsidRPr="00283806">
        <w:rPr>
          <w:spacing w:val="-2"/>
          <w:w w:val="105"/>
        </w:rPr>
        <w:t xml:space="preserve"> </w:t>
      </w:r>
      <w:r w:rsidRPr="00283806">
        <w:rPr>
          <w:w w:val="105"/>
        </w:rPr>
        <w:t>a</w:t>
      </w:r>
      <w:r w:rsidRPr="00283806">
        <w:rPr>
          <w:spacing w:val="-2"/>
          <w:w w:val="105"/>
        </w:rPr>
        <w:t xml:space="preserve"> </w:t>
      </w:r>
      <w:r w:rsidRPr="00283806">
        <w:rPr>
          <w:w w:val="105"/>
        </w:rPr>
        <w:t>regulated</w:t>
      </w:r>
      <w:r w:rsidRPr="00283806">
        <w:rPr>
          <w:spacing w:val="-2"/>
          <w:w w:val="105"/>
        </w:rPr>
        <w:t xml:space="preserve"> </w:t>
      </w:r>
      <w:r w:rsidRPr="00283806">
        <w:rPr>
          <w:w w:val="105"/>
        </w:rPr>
        <w:t>substance</w:t>
      </w:r>
      <w:r w:rsidRPr="00283806">
        <w:rPr>
          <w:spacing w:val="-2"/>
          <w:w w:val="105"/>
        </w:rPr>
        <w:t xml:space="preserve"> </w:t>
      </w:r>
      <w:r w:rsidRPr="00283806">
        <w:rPr>
          <w:w w:val="105"/>
        </w:rPr>
        <w:t>to</w:t>
      </w:r>
      <w:r w:rsidRPr="00283806">
        <w:rPr>
          <w:spacing w:val="-2"/>
          <w:w w:val="105"/>
        </w:rPr>
        <w:t xml:space="preserve"> </w:t>
      </w:r>
      <w:r w:rsidRPr="00283806">
        <w:rPr>
          <w:w w:val="105"/>
        </w:rPr>
        <w:t xml:space="preserve">a total flooding fire suppression system, such that the equipment can function and is ready for use for its intended </w:t>
      </w:r>
      <w:r w:rsidRPr="00283806">
        <w:rPr>
          <w:spacing w:val="-2"/>
          <w:w w:val="105"/>
        </w:rPr>
        <w:t>purpose.’’</w:t>
      </w:r>
    </w:p>
    <w:p w14:paraId="18A60CF3" w14:textId="77777777" w:rsidR="00D67C1E" w:rsidRPr="00283806" w:rsidRDefault="001265CA">
      <w:pPr>
        <w:pStyle w:val="BodyText"/>
        <w:spacing w:line="175" w:lineRule="exact"/>
        <w:ind w:left="340"/>
      </w:pPr>
      <w:r w:rsidRPr="00283806">
        <w:rPr>
          <w:w w:val="110"/>
        </w:rPr>
        <w:t xml:space="preserve">The definition of ‘‘installation’’ </w:t>
      </w:r>
      <w:r w:rsidRPr="00283806">
        <w:rPr>
          <w:spacing w:val="-5"/>
          <w:w w:val="110"/>
        </w:rPr>
        <w:t>for</w:t>
      </w:r>
    </w:p>
    <w:p w14:paraId="354B976D" w14:textId="77777777" w:rsidR="00D67C1E" w:rsidRPr="00283806" w:rsidRDefault="001265CA">
      <w:pPr>
        <w:pStyle w:val="BodyText"/>
        <w:spacing w:line="225" w:lineRule="auto"/>
      </w:pPr>
      <w:r w:rsidRPr="00283806">
        <w:rPr>
          <w:w w:val="110"/>
        </w:rPr>
        <w:t xml:space="preserve">purposes of the ER&amp;R program </w:t>
      </w:r>
      <w:proofErr w:type="gramStart"/>
      <w:r w:rsidRPr="00283806">
        <w:rPr>
          <w:w w:val="110"/>
        </w:rPr>
        <w:t>is</w:t>
      </w:r>
      <w:proofErr w:type="gramEnd"/>
      <w:r w:rsidRPr="00283806">
        <w:rPr>
          <w:w w:val="110"/>
        </w:rPr>
        <w:t xml:space="preserve"> broader than a definition for a similar </w:t>
      </w:r>
      <w:r w:rsidRPr="00283806">
        <w:rPr>
          <w:spacing w:val="-2"/>
          <w:w w:val="110"/>
        </w:rPr>
        <w:t>term</w:t>
      </w:r>
      <w:r w:rsidRPr="00283806">
        <w:rPr>
          <w:spacing w:val="-7"/>
          <w:w w:val="110"/>
        </w:rPr>
        <w:t xml:space="preserve"> </w:t>
      </w:r>
      <w:r w:rsidRPr="00283806">
        <w:rPr>
          <w:spacing w:val="-2"/>
          <w:w w:val="110"/>
        </w:rPr>
        <w:t>used</w:t>
      </w:r>
      <w:r w:rsidRPr="00283806">
        <w:rPr>
          <w:spacing w:val="-7"/>
          <w:w w:val="110"/>
        </w:rPr>
        <w:t xml:space="preserve"> </w:t>
      </w:r>
      <w:r w:rsidRPr="00283806">
        <w:rPr>
          <w:spacing w:val="-2"/>
          <w:w w:val="110"/>
        </w:rPr>
        <w:t>in</w:t>
      </w:r>
      <w:r w:rsidRPr="00283806">
        <w:rPr>
          <w:spacing w:val="-7"/>
          <w:w w:val="110"/>
        </w:rPr>
        <w:t xml:space="preserve"> </w:t>
      </w:r>
      <w:r w:rsidRPr="00283806">
        <w:rPr>
          <w:spacing w:val="-2"/>
          <w:w w:val="110"/>
        </w:rPr>
        <w:t>the</w:t>
      </w:r>
      <w:r w:rsidRPr="00283806">
        <w:rPr>
          <w:spacing w:val="-7"/>
          <w:w w:val="110"/>
        </w:rPr>
        <w:t xml:space="preserve"> </w:t>
      </w:r>
      <w:r w:rsidRPr="00283806">
        <w:rPr>
          <w:spacing w:val="-2"/>
          <w:w w:val="110"/>
        </w:rPr>
        <w:t>Technology</w:t>
      </w:r>
      <w:r w:rsidRPr="00283806">
        <w:rPr>
          <w:spacing w:val="-7"/>
          <w:w w:val="110"/>
        </w:rPr>
        <w:t xml:space="preserve"> </w:t>
      </w:r>
      <w:r w:rsidRPr="00283806">
        <w:rPr>
          <w:spacing w:val="-2"/>
          <w:w w:val="110"/>
        </w:rPr>
        <w:t xml:space="preserve">Transitions </w:t>
      </w:r>
      <w:r w:rsidRPr="00283806">
        <w:rPr>
          <w:w w:val="110"/>
        </w:rPr>
        <w:t>program, which is found in 40 CFR part 84, subpart B. Specifically, the</w:t>
      </w:r>
      <w:r w:rsidRPr="00283806">
        <w:rPr>
          <w:spacing w:val="40"/>
          <w:w w:val="110"/>
        </w:rPr>
        <w:t xml:space="preserve"> </w:t>
      </w:r>
      <w:r w:rsidRPr="00283806">
        <w:rPr>
          <w:w w:val="110"/>
        </w:rPr>
        <w:t>definition for ‘‘install’’ in subpart B refers only to the completion of a field- assembled system’s circuit. ‘‘Installation’’ in this rulemaking under subsection (h) includes processes, practices and activities related to installation of equipment that are encompassed in the Technology Transitions program’s definitions for</w:t>
      </w:r>
    </w:p>
    <w:p w14:paraId="2FFCFF93" w14:textId="77777777" w:rsidR="00D67C1E" w:rsidRPr="00283806" w:rsidRDefault="001265CA">
      <w:pPr>
        <w:pStyle w:val="BodyText"/>
        <w:spacing w:before="136" w:line="225" w:lineRule="auto"/>
        <w:ind w:left="143" w:right="93"/>
      </w:pPr>
      <w:r w:rsidRPr="00283806">
        <w:br w:type="column"/>
      </w:r>
      <w:r w:rsidRPr="00283806">
        <w:rPr>
          <w:w w:val="105"/>
        </w:rPr>
        <w:t>both ‘‘installation’’ and ‘‘manufacture’’</w:t>
      </w:r>
      <w:r w:rsidRPr="00283806">
        <w:rPr>
          <w:spacing w:val="80"/>
          <w:w w:val="150"/>
        </w:rPr>
        <w:t xml:space="preserve"> </w:t>
      </w:r>
      <w:r w:rsidRPr="00283806">
        <w:rPr>
          <w:w w:val="105"/>
        </w:rPr>
        <w:t>at 40 CFR 84.52, as well as other types</w:t>
      </w:r>
      <w:r w:rsidRPr="00283806">
        <w:rPr>
          <w:spacing w:val="80"/>
          <w:w w:val="105"/>
        </w:rPr>
        <w:t xml:space="preserve"> </w:t>
      </w:r>
      <w:r w:rsidRPr="00283806">
        <w:rPr>
          <w:w w:val="105"/>
        </w:rPr>
        <w:t>of installation. EPA is establishing a broader definition under subsection (h) to encompass the full range of practices, processes, or activities that are relevant to the installation of equipment that is regulated under this action, or that may be regulated under a future rule under subsection (h). Included under this definition of installation is the process</w:t>
      </w:r>
      <w:r w:rsidRPr="00283806">
        <w:rPr>
          <w:spacing w:val="80"/>
          <w:w w:val="105"/>
        </w:rPr>
        <w:t xml:space="preserve"> </w:t>
      </w:r>
      <w:r w:rsidRPr="00283806">
        <w:rPr>
          <w:w w:val="105"/>
        </w:rPr>
        <w:t>of setting up of ALD systems for use, because ALD systems are considered equipment under this subpart.</w:t>
      </w:r>
    </w:p>
    <w:p w14:paraId="17E56F1D" w14:textId="77777777" w:rsidR="00D67C1E" w:rsidRPr="00283806" w:rsidRDefault="001265CA">
      <w:pPr>
        <w:spacing w:line="180" w:lineRule="exact"/>
        <w:ind w:left="323"/>
        <w:rPr>
          <w:sz w:val="18"/>
        </w:rPr>
      </w:pPr>
      <w:r w:rsidRPr="00283806">
        <w:rPr>
          <w:rFonts w:ascii="Book Antiqua"/>
          <w:i/>
          <w:w w:val="105"/>
          <w:sz w:val="18"/>
        </w:rPr>
        <w:t>Comment:</w:t>
      </w:r>
      <w:r w:rsidRPr="00283806">
        <w:rPr>
          <w:rFonts w:ascii="Book Antiqua"/>
          <w:i/>
          <w:spacing w:val="15"/>
          <w:w w:val="105"/>
          <w:sz w:val="18"/>
        </w:rPr>
        <w:t xml:space="preserve"> </w:t>
      </w:r>
      <w:r w:rsidRPr="00283806">
        <w:rPr>
          <w:w w:val="105"/>
          <w:sz w:val="18"/>
        </w:rPr>
        <w:t>One</w:t>
      </w:r>
      <w:r w:rsidRPr="00283806">
        <w:rPr>
          <w:spacing w:val="20"/>
          <w:w w:val="105"/>
          <w:sz w:val="18"/>
        </w:rPr>
        <w:t xml:space="preserve"> </w:t>
      </w:r>
      <w:r w:rsidRPr="00283806">
        <w:rPr>
          <w:w w:val="105"/>
          <w:sz w:val="18"/>
        </w:rPr>
        <w:t>commenter</w:t>
      </w:r>
      <w:r w:rsidRPr="00283806">
        <w:rPr>
          <w:spacing w:val="20"/>
          <w:w w:val="105"/>
          <w:sz w:val="18"/>
        </w:rPr>
        <w:t xml:space="preserve"> </w:t>
      </w:r>
      <w:r w:rsidRPr="00283806">
        <w:rPr>
          <w:w w:val="105"/>
          <w:sz w:val="18"/>
        </w:rPr>
        <w:t>stated</w:t>
      </w:r>
      <w:r w:rsidRPr="00283806">
        <w:rPr>
          <w:spacing w:val="20"/>
          <w:w w:val="105"/>
          <w:sz w:val="18"/>
        </w:rPr>
        <w:t xml:space="preserve"> </w:t>
      </w:r>
      <w:r w:rsidRPr="00283806">
        <w:rPr>
          <w:spacing w:val="-4"/>
          <w:w w:val="105"/>
          <w:sz w:val="18"/>
        </w:rPr>
        <w:t>that</w:t>
      </w:r>
    </w:p>
    <w:p w14:paraId="57E474AA" w14:textId="77777777" w:rsidR="00D67C1E" w:rsidRPr="00283806" w:rsidRDefault="001265CA">
      <w:pPr>
        <w:pStyle w:val="BodyText"/>
        <w:spacing w:line="225" w:lineRule="auto"/>
        <w:ind w:left="143" w:right="30"/>
      </w:pPr>
      <w:proofErr w:type="gramStart"/>
      <w:r w:rsidRPr="00283806">
        <w:rPr>
          <w:w w:val="105"/>
        </w:rPr>
        <w:t>the</w:t>
      </w:r>
      <w:proofErr w:type="gramEnd"/>
      <w:r w:rsidRPr="00283806">
        <w:rPr>
          <w:w w:val="105"/>
        </w:rPr>
        <w:t xml:space="preserve"> activity of installation is commonly understood to relate to physically</w:t>
      </w:r>
      <w:r w:rsidRPr="00283806">
        <w:rPr>
          <w:spacing w:val="80"/>
          <w:w w:val="105"/>
        </w:rPr>
        <w:t xml:space="preserve"> </w:t>
      </w:r>
      <w:r w:rsidRPr="00283806">
        <w:rPr>
          <w:w w:val="105"/>
        </w:rPr>
        <w:t>placing equipment in a facility or</w:t>
      </w:r>
      <w:r w:rsidRPr="00283806">
        <w:rPr>
          <w:spacing w:val="40"/>
          <w:w w:val="105"/>
        </w:rPr>
        <w:t xml:space="preserve"> </w:t>
      </w:r>
      <w:r w:rsidRPr="00283806">
        <w:rPr>
          <w:w w:val="105"/>
        </w:rPr>
        <w:t>location, not to the initial charging of equipment during manufacture nor the field charging of refrigeration systems during construction. The commenter further maintained that read together, the terms that Congress used in subsection (h)(1) (‘‘servicing, repair, disposal, or installation of equipment’’) naturally</w:t>
      </w:r>
      <w:r w:rsidRPr="00283806">
        <w:rPr>
          <w:spacing w:val="-1"/>
          <w:w w:val="105"/>
        </w:rPr>
        <w:t xml:space="preserve"> </w:t>
      </w:r>
      <w:r w:rsidRPr="00283806">
        <w:rPr>
          <w:w w:val="105"/>
        </w:rPr>
        <w:t>refer</w:t>
      </w:r>
      <w:r w:rsidRPr="00283806">
        <w:rPr>
          <w:spacing w:val="-1"/>
          <w:w w:val="105"/>
        </w:rPr>
        <w:t xml:space="preserve"> </w:t>
      </w:r>
      <w:r w:rsidRPr="00283806">
        <w:rPr>
          <w:w w:val="105"/>
        </w:rPr>
        <w:t>to</w:t>
      </w:r>
      <w:r w:rsidRPr="00283806">
        <w:rPr>
          <w:spacing w:val="-1"/>
          <w:w w:val="105"/>
        </w:rPr>
        <w:t xml:space="preserve"> </w:t>
      </w:r>
      <w:r w:rsidRPr="00283806">
        <w:rPr>
          <w:w w:val="105"/>
        </w:rPr>
        <w:t>work</w:t>
      </w:r>
      <w:r w:rsidRPr="00283806">
        <w:rPr>
          <w:spacing w:val="-1"/>
          <w:w w:val="105"/>
        </w:rPr>
        <w:t xml:space="preserve"> </w:t>
      </w:r>
      <w:r w:rsidRPr="00283806">
        <w:rPr>
          <w:w w:val="105"/>
        </w:rPr>
        <w:t>performed</w:t>
      </w:r>
      <w:r w:rsidRPr="00283806">
        <w:rPr>
          <w:spacing w:val="-1"/>
          <w:w w:val="105"/>
        </w:rPr>
        <w:t xml:space="preserve"> </w:t>
      </w:r>
      <w:r w:rsidRPr="00283806">
        <w:rPr>
          <w:w w:val="105"/>
        </w:rPr>
        <w:t>on</w:t>
      </w:r>
      <w:r w:rsidRPr="00283806">
        <w:rPr>
          <w:spacing w:val="-1"/>
          <w:w w:val="105"/>
        </w:rPr>
        <w:t xml:space="preserve"> </w:t>
      </w:r>
      <w:r w:rsidRPr="00283806">
        <w:rPr>
          <w:w w:val="105"/>
        </w:rPr>
        <w:t>the equipment, not to the design of the equipment or the choice of which refrigerant is used in the equipment.</w:t>
      </w:r>
    </w:p>
    <w:p w14:paraId="725C8262" w14:textId="77777777" w:rsidR="00D67C1E" w:rsidRPr="00283806" w:rsidRDefault="001265CA">
      <w:pPr>
        <w:pStyle w:val="BodyText"/>
        <w:spacing w:line="225" w:lineRule="auto"/>
        <w:ind w:left="143" w:right="21"/>
      </w:pPr>
      <w:r w:rsidRPr="00283806">
        <w:rPr>
          <w:w w:val="105"/>
        </w:rPr>
        <w:t>The commenter asserted that if Congress had intended for EPA to have the ability to mandate what type of refrigerant is used in the equipment, it would more naturally have listed installation first in the serialization of activities, because installation is the first activity in the temporal sequence, followed by</w:t>
      </w:r>
      <w:r w:rsidRPr="00283806">
        <w:rPr>
          <w:spacing w:val="80"/>
          <w:w w:val="105"/>
        </w:rPr>
        <w:t xml:space="preserve"> </w:t>
      </w:r>
      <w:r w:rsidRPr="00283806">
        <w:rPr>
          <w:w w:val="105"/>
        </w:rPr>
        <w:t xml:space="preserve">servicing and repair, and ultimately disposal of the equipment at end of life </w:t>
      </w:r>
      <w:r w:rsidRPr="00283806">
        <w:rPr>
          <w:spacing w:val="-2"/>
          <w:w w:val="105"/>
        </w:rPr>
        <w:t>(EOL).</w:t>
      </w:r>
    </w:p>
    <w:p w14:paraId="6202E7A1" w14:textId="77777777" w:rsidR="00D67C1E" w:rsidRPr="00283806" w:rsidRDefault="001265CA">
      <w:pPr>
        <w:pStyle w:val="BodyText"/>
        <w:spacing w:line="176" w:lineRule="exact"/>
        <w:ind w:left="323"/>
      </w:pPr>
      <w:r w:rsidRPr="00283806">
        <w:rPr>
          <w:w w:val="105"/>
        </w:rPr>
        <w:t>Another</w:t>
      </w:r>
      <w:r w:rsidRPr="00283806">
        <w:rPr>
          <w:spacing w:val="5"/>
          <w:w w:val="105"/>
        </w:rPr>
        <w:t xml:space="preserve"> </w:t>
      </w:r>
      <w:r w:rsidRPr="00283806">
        <w:rPr>
          <w:w w:val="105"/>
        </w:rPr>
        <w:t>commenter</w:t>
      </w:r>
      <w:r w:rsidRPr="00283806">
        <w:rPr>
          <w:spacing w:val="5"/>
          <w:w w:val="105"/>
        </w:rPr>
        <w:t xml:space="preserve"> </w:t>
      </w:r>
      <w:r w:rsidRPr="00283806">
        <w:rPr>
          <w:w w:val="105"/>
        </w:rPr>
        <w:t>stated</w:t>
      </w:r>
      <w:r w:rsidRPr="00283806">
        <w:rPr>
          <w:spacing w:val="5"/>
          <w:w w:val="105"/>
        </w:rPr>
        <w:t xml:space="preserve"> </w:t>
      </w:r>
      <w:r w:rsidRPr="00283806">
        <w:rPr>
          <w:spacing w:val="-4"/>
          <w:w w:val="105"/>
        </w:rPr>
        <w:t>that</w:t>
      </w:r>
    </w:p>
    <w:p w14:paraId="247CF969" w14:textId="77777777" w:rsidR="00D67C1E" w:rsidRPr="00283806" w:rsidRDefault="001265CA">
      <w:pPr>
        <w:pStyle w:val="BodyText"/>
        <w:spacing w:line="225" w:lineRule="auto"/>
        <w:ind w:left="143" w:right="88"/>
      </w:pPr>
      <w:r w:rsidRPr="00283806">
        <w:rPr>
          <w:w w:val="105"/>
        </w:rPr>
        <w:t>subsection (h)(1) contained limited authority regarding servicing, repair, disposal, and installation of equipment, and that the scope of any EPA</w:t>
      </w:r>
      <w:r w:rsidRPr="00283806">
        <w:rPr>
          <w:spacing w:val="40"/>
          <w:w w:val="105"/>
        </w:rPr>
        <w:t xml:space="preserve"> </w:t>
      </w:r>
      <w:r w:rsidRPr="00283806">
        <w:rPr>
          <w:w w:val="105"/>
        </w:rPr>
        <w:t>regulations to implement subsection (h)(1) must remain within these parameters. The commenter further stated that subsection (h) does not contain any provision concerning the ‘‘initial’’ charging of equipment prior to sale or distribution—nor is there any specific mention in the statute of any subsequent charging of existing equipment. The commenter also stated that ‘‘servicing’’ was not defined in the proposed rule and that EPA has not clarified what constitutes ‘‘servicing’’ of existing equipment, although, charging</w:t>
      </w:r>
      <w:r w:rsidRPr="00283806">
        <w:rPr>
          <w:spacing w:val="40"/>
          <w:w w:val="105"/>
        </w:rPr>
        <w:t xml:space="preserve"> </w:t>
      </w:r>
      <w:r w:rsidRPr="00283806">
        <w:rPr>
          <w:w w:val="105"/>
        </w:rPr>
        <w:t xml:space="preserve">of existing equipment could constitute </w:t>
      </w:r>
      <w:r w:rsidRPr="00283806">
        <w:rPr>
          <w:spacing w:val="-2"/>
          <w:w w:val="105"/>
        </w:rPr>
        <w:t>‘‘servicing.’’</w:t>
      </w:r>
    </w:p>
    <w:p w14:paraId="6978F687" w14:textId="77777777" w:rsidR="00D67C1E" w:rsidRPr="00283806" w:rsidRDefault="001265CA">
      <w:pPr>
        <w:pStyle w:val="BodyText"/>
        <w:spacing w:line="216" w:lineRule="auto"/>
        <w:ind w:left="143" w:firstLine="180"/>
      </w:pPr>
      <w:r w:rsidRPr="00283806">
        <w:rPr>
          <w:rFonts w:ascii="Book Antiqua" w:hAnsi="Book Antiqua"/>
          <w:i/>
          <w:w w:val="105"/>
        </w:rPr>
        <w:t xml:space="preserve">Response: </w:t>
      </w:r>
      <w:r w:rsidRPr="00283806">
        <w:rPr>
          <w:w w:val="105"/>
        </w:rPr>
        <w:t>EPA disagrees with commenters that the term ‘‘installation’’</w:t>
      </w:r>
    </w:p>
    <w:p w14:paraId="60967A86" w14:textId="77777777" w:rsidR="00D67C1E" w:rsidRPr="00283806" w:rsidRDefault="001265CA">
      <w:pPr>
        <w:pStyle w:val="BodyText"/>
        <w:spacing w:line="228" w:lineRule="auto"/>
        <w:ind w:left="143" w:right="121"/>
      </w:pPr>
      <w:r w:rsidRPr="00283806">
        <w:rPr>
          <w:w w:val="105"/>
        </w:rPr>
        <w:t>as used in context in subsection (h)(1) of the AIM Act does not include the addition of refrigerant to an appliance. Read in context, in relevant part, subsection (h) directs EPA to establish</w:t>
      </w:r>
    </w:p>
    <w:p w14:paraId="07E74C96" w14:textId="77777777" w:rsidR="00D67C1E" w:rsidRPr="00283806" w:rsidRDefault="001265CA">
      <w:pPr>
        <w:pStyle w:val="BodyText"/>
        <w:spacing w:before="133" w:line="228" w:lineRule="auto"/>
        <w:ind w:left="154" w:right="122"/>
      </w:pPr>
      <w:r w:rsidRPr="00283806">
        <w:br w:type="column"/>
      </w:r>
      <w:r w:rsidRPr="00283806">
        <w:rPr>
          <w:w w:val="105"/>
        </w:rPr>
        <w:t>regulations to ‘‘control, where appropriate, any practice, process, or activity regarding the .</w:t>
      </w:r>
      <w:r w:rsidRPr="00283806">
        <w:rPr>
          <w:spacing w:val="40"/>
          <w:w w:val="105"/>
        </w:rPr>
        <w:t xml:space="preserve"> </w:t>
      </w:r>
      <w:r w:rsidRPr="00283806">
        <w:rPr>
          <w:w w:val="105"/>
        </w:rPr>
        <w:t>.</w:t>
      </w:r>
      <w:r w:rsidRPr="00283806">
        <w:rPr>
          <w:spacing w:val="40"/>
          <w:w w:val="105"/>
        </w:rPr>
        <w:t xml:space="preserve"> </w:t>
      </w:r>
      <w:r w:rsidRPr="00283806">
        <w:rPr>
          <w:w w:val="105"/>
        </w:rPr>
        <w:t>. installation of equipment</w:t>
      </w:r>
      <w:r w:rsidRPr="00283806">
        <w:rPr>
          <w:spacing w:val="35"/>
          <w:w w:val="105"/>
        </w:rPr>
        <w:t xml:space="preserve"> </w:t>
      </w:r>
      <w:r w:rsidRPr="00283806">
        <w:rPr>
          <w:w w:val="105"/>
        </w:rPr>
        <w:t>.</w:t>
      </w:r>
      <w:r w:rsidRPr="00283806">
        <w:rPr>
          <w:spacing w:val="80"/>
          <w:w w:val="105"/>
        </w:rPr>
        <w:t xml:space="preserve"> </w:t>
      </w:r>
      <w:r w:rsidRPr="00283806">
        <w:rPr>
          <w:w w:val="105"/>
        </w:rPr>
        <w:t>.</w:t>
      </w:r>
      <w:r w:rsidRPr="00283806">
        <w:rPr>
          <w:spacing w:val="80"/>
          <w:w w:val="105"/>
        </w:rPr>
        <w:t xml:space="preserve"> </w:t>
      </w:r>
      <w:r w:rsidRPr="00283806">
        <w:rPr>
          <w:w w:val="105"/>
        </w:rPr>
        <w:t>.</w:t>
      </w:r>
      <w:r w:rsidRPr="00283806">
        <w:rPr>
          <w:spacing w:val="35"/>
          <w:w w:val="105"/>
        </w:rPr>
        <w:t xml:space="preserve"> </w:t>
      </w:r>
      <w:r w:rsidRPr="00283806">
        <w:rPr>
          <w:w w:val="105"/>
        </w:rPr>
        <w:t>that</w:t>
      </w:r>
      <w:r w:rsidRPr="00283806">
        <w:rPr>
          <w:spacing w:val="35"/>
          <w:w w:val="105"/>
        </w:rPr>
        <w:t xml:space="preserve"> </w:t>
      </w:r>
      <w:r w:rsidRPr="00283806">
        <w:rPr>
          <w:w w:val="105"/>
        </w:rPr>
        <w:t>involves’’</w:t>
      </w:r>
      <w:r w:rsidRPr="00283806">
        <w:rPr>
          <w:spacing w:val="35"/>
          <w:w w:val="105"/>
        </w:rPr>
        <w:t xml:space="preserve"> </w:t>
      </w:r>
      <w:r w:rsidRPr="00283806">
        <w:rPr>
          <w:w w:val="105"/>
        </w:rPr>
        <w:t>an</w:t>
      </w:r>
      <w:r w:rsidRPr="00283806">
        <w:rPr>
          <w:spacing w:val="35"/>
          <w:w w:val="105"/>
        </w:rPr>
        <w:t xml:space="preserve"> </w:t>
      </w:r>
      <w:r w:rsidRPr="00283806">
        <w:rPr>
          <w:w w:val="105"/>
        </w:rPr>
        <w:t>HFC or a substitute for an HFC or the reclaiming of an HFC or a substitute for an HFC used as a refrigerant. The commenter’s overly narrow interpretation is not the best reading of this provision. For example, it does not account for the full range of practices, processes, or activities that are involved in installation of equipment, and it does not recognize the scope of discretion</w:t>
      </w:r>
      <w:r w:rsidRPr="00283806">
        <w:rPr>
          <w:spacing w:val="80"/>
          <w:w w:val="105"/>
        </w:rPr>
        <w:t xml:space="preserve"> </w:t>
      </w:r>
      <w:r w:rsidRPr="00283806">
        <w:rPr>
          <w:w w:val="105"/>
        </w:rPr>
        <w:t>that subsection (h)(1) conveys to EPA. In directing EPA to regulate ‘‘any practice, process, or activity regarding the .</w:t>
      </w:r>
      <w:r w:rsidRPr="00283806">
        <w:rPr>
          <w:spacing w:val="40"/>
          <w:w w:val="105"/>
        </w:rPr>
        <w:t xml:space="preserve"> </w:t>
      </w:r>
      <w:r w:rsidRPr="00283806">
        <w:rPr>
          <w:w w:val="105"/>
        </w:rPr>
        <w:t>.</w:t>
      </w:r>
      <w:r w:rsidRPr="00283806">
        <w:rPr>
          <w:spacing w:val="40"/>
          <w:w w:val="105"/>
        </w:rPr>
        <w:t xml:space="preserve"> </w:t>
      </w:r>
      <w:r w:rsidRPr="00283806">
        <w:rPr>
          <w:w w:val="105"/>
        </w:rPr>
        <w:t>. installation of equipment’’ ‘‘where appropriate’’ Congress afforded EPA discretion to determine what control measures are appropriate for particular practices, processes, and activities, and also to reach practices, processes, and activities that regard—or relate to— installation, rather than limiting EPA to only addressing practices, processes,</w:t>
      </w:r>
      <w:r w:rsidRPr="00283806">
        <w:rPr>
          <w:spacing w:val="80"/>
          <w:w w:val="150"/>
        </w:rPr>
        <w:t xml:space="preserve"> </w:t>
      </w:r>
      <w:r w:rsidRPr="00283806">
        <w:rPr>
          <w:w w:val="105"/>
        </w:rPr>
        <w:t>and activities that occur directly during the placement of equipment on the site. Thus, EPA interprets this provision to convey regulatory authority that extends to a range of practices, processes, or activities regarding installation, and that includes activities both before and after placement on the site. From a technical perspective, an important part of installation of equipment is to prepare</w:t>
      </w:r>
    </w:p>
    <w:p w14:paraId="4F71CB2B" w14:textId="77777777" w:rsidR="00D67C1E" w:rsidRPr="00283806" w:rsidRDefault="001265CA">
      <w:pPr>
        <w:pStyle w:val="BodyText"/>
        <w:spacing w:before="22" w:line="228" w:lineRule="auto"/>
        <w:ind w:left="154" w:right="182"/>
      </w:pPr>
      <w:proofErr w:type="gramStart"/>
      <w:r w:rsidRPr="00283806">
        <w:rPr>
          <w:w w:val="105"/>
        </w:rPr>
        <w:t>it</w:t>
      </w:r>
      <w:proofErr w:type="gramEnd"/>
      <w:r w:rsidRPr="00283806">
        <w:rPr>
          <w:w w:val="105"/>
        </w:rPr>
        <w:t xml:space="preserve"> </w:t>
      </w:r>
      <w:proofErr w:type="gramStart"/>
      <w:r w:rsidRPr="00283806">
        <w:rPr>
          <w:w w:val="105"/>
        </w:rPr>
        <w:t>for</w:t>
      </w:r>
      <w:proofErr w:type="gramEnd"/>
      <w:r w:rsidRPr="00283806">
        <w:rPr>
          <w:w w:val="105"/>
        </w:rPr>
        <w:t xml:space="preserve"> </w:t>
      </w:r>
      <w:proofErr w:type="gramStart"/>
      <w:r w:rsidRPr="00283806">
        <w:rPr>
          <w:w w:val="105"/>
        </w:rPr>
        <w:t>use, and</w:t>
      </w:r>
      <w:proofErr w:type="gramEnd"/>
      <w:r w:rsidRPr="00283806">
        <w:rPr>
          <w:w w:val="105"/>
        </w:rPr>
        <w:t xml:space="preserve"> adding refrigerant to refrigerant-containing equipment is a critical step in preparing the equipment for use, as the equipment cannot serve its intended use until it has been charged. Thus, charging is part of installation, and activities related to charging of equipment are related to the installation process and within this</w:t>
      </w:r>
      <w:r w:rsidRPr="00283806">
        <w:rPr>
          <w:spacing w:val="40"/>
          <w:w w:val="105"/>
        </w:rPr>
        <w:t xml:space="preserve"> </w:t>
      </w:r>
      <w:r w:rsidRPr="00283806">
        <w:rPr>
          <w:w w:val="105"/>
        </w:rPr>
        <w:t>grant of authority under subsection (h)(1) concerning practices, processes, or activities regarding installation.</w:t>
      </w:r>
    </w:p>
    <w:p w14:paraId="5B8BFEB2" w14:textId="77777777" w:rsidR="00D67C1E" w:rsidRPr="00283806" w:rsidRDefault="001265CA">
      <w:pPr>
        <w:pStyle w:val="BodyText"/>
        <w:spacing w:line="228" w:lineRule="auto"/>
        <w:ind w:left="154" w:right="172"/>
      </w:pPr>
      <w:r w:rsidRPr="00283806">
        <w:rPr>
          <w:w w:val="105"/>
        </w:rPr>
        <w:t xml:space="preserve">Based on this interpretation of the statutory text, EPA </w:t>
      </w:r>
      <w:proofErr w:type="gramStart"/>
      <w:r w:rsidRPr="00283806">
        <w:rPr>
          <w:w w:val="105"/>
        </w:rPr>
        <w:t>is including</w:t>
      </w:r>
      <w:proofErr w:type="gramEnd"/>
      <w:r w:rsidRPr="00283806">
        <w:rPr>
          <w:w w:val="105"/>
        </w:rPr>
        <w:t xml:space="preserve"> the charging of equipment in the definition</w:t>
      </w:r>
      <w:r w:rsidRPr="00283806">
        <w:rPr>
          <w:spacing w:val="40"/>
          <w:w w:val="105"/>
        </w:rPr>
        <w:t xml:space="preserve"> </w:t>
      </w:r>
      <w:r w:rsidRPr="00283806">
        <w:rPr>
          <w:w w:val="105"/>
        </w:rPr>
        <w:t>of ‘‘installation’’ in these regulations implementing subsection (h)(1). EPA agrees with the commenters to the</w:t>
      </w:r>
      <w:r w:rsidRPr="00283806">
        <w:rPr>
          <w:spacing w:val="40"/>
          <w:w w:val="105"/>
        </w:rPr>
        <w:t xml:space="preserve"> </w:t>
      </w:r>
      <w:r w:rsidRPr="00283806">
        <w:rPr>
          <w:w w:val="105"/>
        </w:rPr>
        <w:t>extent that they assert that the terms</w:t>
      </w:r>
      <w:r w:rsidRPr="00283806">
        <w:rPr>
          <w:spacing w:val="40"/>
          <w:w w:val="105"/>
        </w:rPr>
        <w:t xml:space="preserve"> </w:t>
      </w:r>
      <w:r w:rsidRPr="00283806">
        <w:rPr>
          <w:w w:val="105"/>
        </w:rPr>
        <w:t>that Congress used in subsection (h)(1) (‘‘servicing, repair, disposal, or installation</w:t>
      </w:r>
      <w:r w:rsidRPr="00283806">
        <w:rPr>
          <w:spacing w:val="40"/>
          <w:w w:val="105"/>
        </w:rPr>
        <w:t xml:space="preserve"> </w:t>
      </w:r>
      <w:r w:rsidRPr="00283806">
        <w:rPr>
          <w:w w:val="105"/>
        </w:rPr>
        <w:t>of</w:t>
      </w:r>
      <w:r w:rsidRPr="00283806">
        <w:rPr>
          <w:spacing w:val="40"/>
          <w:w w:val="105"/>
        </w:rPr>
        <w:t xml:space="preserve"> </w:t>
      </w:r>
      <w:r w:rsidRPr="00283806">
        <w:rPr>
          <w:w w:val="105"/>
        </w:rPr>
        <w:t>equipment’’)</w:t>
      </w:r>
      <w:r w:rsidRPr="00283806">
        <w:rPr>
          <w:spacing w:val="40"/>
          <w:w w:val="105"/>
        </w:rPr>
        <w:t xml:space="preserve"> </w:t>
      </w:r>
      <w:r w:rsidRPr="00283806">
        <w:rPr>
          <w:w w:val="105"/>
        </w:rPr>
        <w:t>include work performed on the equipment, but for the reasons explained earlier in this response, EPA disagrees that the regulatory authority under subsection (h)(1) is limited to work performed directly on equipment. EPA disagrees with one commenter’s suggested definition of ‘‘installation’’ as it would</w:t>
      </w:r>
      <w:r w:rsidRPr="00283806">
        <w:rPr>
          <w:spacing w:val="40"/>
          <w:w w:val="105"/>
        </w:rPr>
        <w:t xml:space="preserve"> </w:t>
      </w:r>
      <w:r w:rsidRPr="00283806">
        <w:rPr>
          <w:w w:val="105"/>
        </w:rPr>
        <w:t>end at mere placement of the equipment on site and exclude work performed to</w:t>
      </w:r>
    </w:p>
    <w:p w14:paraId="24B6D6D8"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7" w:space="40"/>
            <w:col w:w="3490" w:space="39"/>
            <w:col w:w="3634"/>
          </w:cols>
        </w:sectPr>
      </w:pPr>
    </w:p>
    <w:p w14:paraId="155CF0B1" w14:textId="77777777" w:rsidR="00D67C1E" w:rsidRPr="00283806" w:rsidRDefault="001265CA">
      <w:pPr>
        <w:pStyle w:val="BodyText"/>
        <w:spacing w:before="134" w:line="228" w:lineRule="auto"/>
      </w:pPr>
      <w:r w:rsidRPr="00283806">
        <w:rPr>
          <w:w w:val="105"/>
        </w:rPr>
        <w:lastRenderedPageBreak/>
        <w:t>allow the system to function. Given that the text of subsection (h)(1) of the AIM Act expressly provides that the regulations established are to address practices, processes, or activities regarding the installation of equipment ‘‘that</w:t>
      </w:r>
      <w:r w:rsidRPr="00283806">
        <w:rPr>
          <w:spacing w:val="31"/>
          <w:w w:val="105"/>
        </w:rPr>
        <w:t xml:space="preserve"> </w:t>
      </w:r>
      <w:r w:rsidRPr="00283806">
        <w:rPr>
          <w:w w:val="105"/>
        </w:rPr>
        <w:t>involves</w:t>
      </w:r>
      <w:r w:rsidRPr="00283806">
        <w:rPr>
          <w:spacing w:val="31"/>
          <w:w w:val="105"/>
        </w:rPr>
        <w:t xml:space="preserve"> </w:t>
      </w:r>
      <w:r w:rsidRPr="00283806">
        <w:rPr>
          <w:w w:val="105"/>
        </w:rPr>
        <w:t>a</w:t>
      </w:r>
      <w:r w:rsidRPr="00283806">
        <w:rPr>
          <w:spacing w:val="31"/>
          <w:w w:val="105"/>
        </w:rPr>
        <w:t xml:space="preserve"> </w:t>
      </w:r>
      <w:r w:rsidRPr="00283806">
        <w:rPr>
          <w:w w:val="105"/>
        </w:rPr>
        <w:t>regulated</w:t>
      </w:r>
      <w:r w:rsidRPr="00283806">
        <w:rPr>
          <w:spacing w:val="31"/>
          <w:w w:val="105"/>
        </w:rPr>
        <w:t xml:space="preserve"> </w:t>
      </w:r>
      <w:r w:rsidRPr="00283806">
        <w:rPr>
          <w:w w:val="105"/>
        </w:rPr>
        <w:t>substance</w:t>
      </w:r>
      <w:r w:rsidRPr="00283806">
        <w:rPr>
          <w:spacing w:val="31"/>
          <w:w w:val="105"/>
        </w:rPr>
        <w:t xml:space="preserve"> </w:t>
      </w:r>
      <w:r w:rsidRPr="00283806">
        <w:rPr>
          <w:w w:val="105"/>
        </w:rPr>
        <w:t>or a substitute for a regulated substance,’’ EPA concludes it is not appropriate to create a definition that focuses solely on work on the equipment and excludes work that plainly ‘‘involves’’ an HFC or substitute for an HFC, such as charging equipment. Further the Agency does not ascribe the same meaning to the sequencing of the terms as one of the commenters does, and the commenter’s interpretation is not the best reading of the statutory text as it could eliminate</w:t>
      </w:r>
    </w:p>
    <w:p w14:paraId="298A7012" w14:textId="77777777" w:rsidR="00D67C1E" w:rsidRPr="00283806" w:rsidRDefault="001265CA">
      <w:pPr>
        <w:pStyle w:val="BodyText"/>
        <w:spacing w:line="228" w:lineRule="auto"/>
      </w:pPr>
      <w:r w:rsidRPr="00283806">
        <w:rPr>
          <w:w w:val="105"/>
        </w:rPr>
        <w:t>many aspects of installation without any indication</w:t>
      </w:r>
      <w:r w:rsidRPr="00283806">
        <w:rPr>
          <w:spacing w:val="40"/>
          <w:w w:val="105"/>
        </w:rPr>
        <w:t xml:space="preserve"> </w:t>
      </w:r>
      <w:r w:rsidRPr="00283806">
        <w:rPr>
          <w:w w:val="105"/>
        </w:rPr>
        <w:t>that</w:t>
      </w:r>
      <w:r w:rsidRPr="00283806">
        <w:rPr>
          <w:spacing w:val="40"/>
          <w:w w:val="105"/>
        </w:rPr>
        <w:t xml:space="preserve"> </w:t>
      </w:r>
      <w:r w:rsidRPr="00283806">
        <w:rPr>
          <w:w w:val="105"/>
        </w:rPr>
        <w:t>Congress</w:t>
      </w:r>
      <w:r w:rsidRPr="00283806">
        <w:rPr>
          <w:spacing w:val="40"/>
          <w:w w:val="105"/>
        </w:rPr>
        <w:t xml:space="preserve"> </w:t>
      </w:r>
      <w:r w:rsidRPr="00283806">
        <w:rPr>
          <w:w w:val="105"/>
        </w:rPr>
        <w:t>intended</w:t>
      </w:r>
      <w:r w:rsidRPr="00283806">
        <w:rPr>
          <w:spacing w:val="40"/>
          <w:w w:val="105"/>
        </w:rPr>
        <w:t xml:space="preserve"> </w:t>
      </w:r>
      <w:r w:rsidRPr="00283806">
        <w:rPr>
          <w:w w:val="105"/>
        </w:rPr>
        <w:t>for the term to be so limited. Further, there could be other reasons that Congress put ‘‘installation’’</w:t>
      </w:r>
      <w:r w:rsidRPr="00283806">
        <w:rPr>
          <w:spacing w:val="40"/>
          <w:w w:val="105"/>
        </w:rPr>
        <w:t xml:space="preserve"> </w:t>
      </w:r>
      <w:r w:rsidRPr="00283806">
        <w:rPr>
          <w:w w:val="105"/>
        </w:rPr>
        <w:t>at</w:t>
      </w:r>
      <w:r w:rsidRPr="00283806">
        <w:rPr>
          <w:spacing w:val="40"/>
          <w:w w:val="105"/>
        </w:rPr>
        <w:t xml:space="preserve"> </w:t>
      </w:r>
      <w:r w:rsidRPr="00283806">
        <w:rPr>
          <w:w w:val="105"/>
        </w:rPr>
        <w:t>the</w:t>
      </w:r>
      <w:r w:rsidRPr="00283806">
        <w:rPr>
          <w:spacing w:val="40"/>
          <w:w w:val="105"/>
        </w:rPr>
        <w:t xml:space="preserve"> </w:t>
      </w:r>
      <w:r w:rsidRPr="00283806">
        <w:rPr>
          <w:w w:val="105"/>
        </w:rPr>
        <w:t>end</w:t>
      </w:r>
      <w:r w:rsidRPr="00283806">
        <w:rPr>
          <w:spacing w:val="40"/>
          <w:w w:val="105"/>
        </w:rPr>
        <w:t xml:space="preserve"> </w:t>
      </w:r>
      <w:r w:rsidRPr="00283806">
        <w:rPr>
          <w:w w:val="105"/>
        </w:rPr>
        <w:t>of</w:t>
      </w:r>
      <w:r w:rsidRPr="00283806">
        <w:rPr>
          <w:spacing w:val="40"/>
          <w:w w:val="105"/>
        </w:rPr>
        <w:t xml:space="preserve"> </w:t>
      </w:r>
      <w:r w:rsidRPr="00283806">
        <w:rPr>
          <w:w w:val="105"/>
        </w:rPr>
        <w:t>the sequence. For example, Congress may have been aware of mirroring similar provisions in CAA section 608, such as section 608(a)(1) and (2), which convey authority to establish regulations related to the ‘‘service, repair, or disposal of appliances and industrial process refrigeration.’’ Congress may have added ‘‘installation’’ at the end of the sequence because it was an addition to the terms that were included in section 608.</w:t>
      </w:r>
    </w:p>
    <w:p w14:paraId="3EFA3E1A" w14:textId="77777777" w:rsidR="00D67C1E" w:rsidRPr="00283806" w:rsidRDefault="001265CA">
      <w:pPr>
        <w:pStyle w:val="BodyText"/>
        <w:spacing w:line="228" w:lineRule="auto"/>
        <w:ind w:right="81"/>
      </w:pPr>
      <w:r w:rsidRPr="00283806">
        <w:rPr>
          <w:w w:val="105"/>
        </w:rPr>
        <w:t>Accordingly, EPA does not agree that either</w:t>
      </w:r>
      <w:r w:rsidRPr="00283806">
        <w:rPr>
          <w:spacing w:val="-5"/>
          <w:w w:val="105"/>
        </w:rPr>
        <w:t xml:space="preserve"> </w:t>
      </w:r>
      <w:r w:rsidRPr="00283806">
        <w:rPr>
          <w:w w:val="105"/>
        </w:rPr>
        <w:t>the</w:t>
      </w:r>
      <w:r w:rsidRPr="00283806">
        <w:rPr>
          <w:spacing w:val="-5"/>
          <w:w w:val="105"/>
        </w:rPr>
        <w:t xml:space="preserve"> </w:t>
      </w:r>
      <w:r w:rsidRPr="00283806">
        <w:rPr>
          <w:w w:val="105"/>
        </w:rPr>
        <w:t>interpretation</w:t>
      </w:r>
      <w:r w:rsidRPr="00283806">
        <w:rPr>
          <w:spacing w:val="-5"/>
          <w:w w:val="105"/>
        </w:rPr>
        <w:t xml:space="preserve"> </w:t>
      </w:r>
      <w:r w:rsidRPr="00283806">
        <w:rPr>
          <w:w w:val="105"/>
        </w:rPr>
        <w:t>of</w:t>
      </w:r>
      <w:r w:rsidRPr="00283806">
        <w:rPr>
          <w:spacing w:val="-5"/>
          <w:w w:val="105"/>
        </w:rPr>
        <w:t xml:space="preserve"> </w:t>
      </w:r>
      <w:r w:rsidRPr="00283806">
        <w:rPr>
          <w:w w:val="105"/>
        </w:rPr>
        <w:t>the</w:t>
      </w:r>
      <w:r w:rsidRPr="00283806">
        <w:rPr>
          <w:spacing w:val="-5"/>
          <w:w w:val="105"/>
        </w:rPr>
        <w:t xml:space="preserve"> </w:t>
      </w:r>
      <w:r w:rsidRPr="00283806">
        <w:rPr>
          <w:w w:val="105"/>
        </w:rPr>
        <w:t xml:space="preserve">statutory term ‘‘installation’’ or the definition of the term in the implementation of the statutory text through the regulations should be as limited as commenters </w:t>
      </w:r>
      <w:r w:rsidRPr="00283806">
        <w:rPr>
          <w:spacing w:val="-2"/>
          <w:w w:val="105"/>
        </w:rPr>
        <w:t>suggest.</w:t>
      </w:r>
    </w:p>
    <w:p w14:paraId="212D43F0" w14:textId="77777777" w:rsidR="00D67C1E" w:rsidRPr="00283806" w:rsidRDefault="001265CA">
      <w:pPr>
        <w:pStyle w:val="BodyText"/>
        <w:spacing w:before="19" w:line="228" w:lineRule="auto"/>
        <w:ind w:right="73" w:firstLine="180"/>
      </w:pPr>
      <w:r w:rsidRPr="00283806">
        <w:rPr>
          <w:w w:val="105"/>
        </w:rPr>
        <w:t>EPA disagrees with the comment that EPA</w:t>
      </w:r>
      <w:r w:rsidRPr="00283806">
        <w:rPr>
          <w:spacing w:val="40"/>
          <w:w w:val="105"/>
        </w:rPr>
        <w:t xml:space="preserve"> </w:t>
      </w:r>
      <w:proofErr w:type="gramStart"/>
      <w:r w:rsidRPr="00283806">
        <w:rPr>
          <w:w w:val="105"/>
        </w:rPr>
        <w:t>define</w:t>
      </w:r>
      <w:r w:rsidRPr="00283806">
        <w:rPr>
          <w:spacing w:val="40"/>
          <w:w w:val="105"/>
        </w:rPr>
        <w:t xml:space="preserve"> </w:t>
      </w:r>
      <w:r w:rsidRPr="00283806">
        <w:rPr>
          <w:w w:val="105"/>
        </w:rPr>
        <w:t>‘‘servicing’’</w:t>
      </w:r>
      <w:proofErr w:type="gramEnd"/>
      <w:r w:rsidRPr="00283806">
        <w:rPr>
          <w:spacing w:val="40"/>
          <w:w w:val="105"/>
        </w:rPr>
        <w:t xml:space="preserve"> </w:t>
      </w:r>
      <w:r w:rsidRPr="00283806">
        <w:rPr>
          <w:w w:val="105"/>
        </w:rPr>
        <w:t>in</w:t>
      </w:r>
      <w:r w:rsidRPr="00283806">
        <w:rPr>
          <w:spacing w:val="40"/>
          <w:w w:val="105"/>
        </w:rPr>
        <w:t xml:space="preserve"> </w:t>
      </w:r>
      <w:r w:rsidRPr="00283806">
        <w:rPr>
          <w:w w:val="105"/>
        </w:rPr>
        <w:t>this</w:t>
      </w:r>
      <w:r w:rsidRPr="00283806">
        <w:rPr>
          <w:spacing w:val="40"/>
          <w:w w:val="105"/>
        </w:rPr>
        <w:t xml:space="preserve"> </w:t>
      </w:r>
      <w:r w:rsidRPr="00283806">
        <w:rPr>
          <w:w w:val="105"/>
        </w:rPr>
        <w:t>final rule. EPA did not propose to do so, in</w:t>
      </w:r>
      <w:r w:rsidRPr="00283806">
        <w:rPr>
          <w:spacing w:val="40"/>
          <w:w w:val="105"/>
        </w:rPr>
        <w:t xml:space="preserve"> </w:t>
      </w:r>
      <w:r w:rsidRPr="00283806">
        <w:rPr>
          <w:w w:val="105"/>
        </w:rPr>
        <w:t>part because it expected that the term would be understood by the regulated community without a definition, based</w:t>
      </w:r>
      <w:r w:rsidRPr="00283806">
        <w:rPr>
          <w:spacing w:val="80"/>
          <w:w w:val="105"/>
        </w:rPr>
        <w:t xml:space="preserve"> </w:t>
      </w:r>
      <w:r w:rsidRPr="00283806">
        <w:rPr>
          <w:w w:val="105"/>
        </w:rPr>
        <w:t>in part on its experience with the regulations under CAA section 608, which addresses servicing of appliances without defining the term, and to EPA’s knowledge, that lack of a definition has not hindered implementation of those regulations. EPA interprets installation and servicing to have distinct meanings under subsection (h)(1), as each is listed separately. However, EPA understands that adding refrigerant to existing equipment may also be part of servicing that equipment and does not intend for the inclusion of charging equipment in the regulatory definition of installation</w:t>
      </w:r>
      <w:r w:rsidRPr="00283806">
        <w:rPr>
          <w:spacing w:val="40"/>
          <w:w w:val="105"/>
        </w:rPr>
        <w:t xml:space="preserve"> </w:t>
      </w:r>
      <w:r w:rsidRPr="00283806">
        <w:rPr>
          <w:w w:val="105"/>
        </w:rPr>
        <w:t>to suggest that adding refrigerant to equipment would only occur during installation,</w:t>
      </w:r>
      <w:r w:rsidRPr="00283806">
        <w:rPr>
          <w:spacing w:val="40"/>
          <w:w w:val="105"/>
        </w:rPr>
        <w:t xml:space="preserve"> </w:t>
      </w:r>
      <w:r w:rsidRPr="00283806">
        <w:rPr>
          <w:w w:val="105"/>
        </w:rPr>
        <w:t>but</w:t>
      </w:r>
      <w:r w:rsidRPr="00283806">
        <w:rPr>
          <w:spacing w:val="40"/>
          <w:w w:val="105"/>
        </w:rPr>
        <w:t xml:space="preserve"> </w:t>
      </w:r>
      <w:r w:rsidRPr="00283806">
        <w:rPr>
          <w:w w:val="105"/>
        </w:rPr>
        <w:t>simply</w:t>
      </w:r>
      <w:r w:rsidRPr="00283806">
        <w:rPr>
          <w:spacing w:val="40"/>
          <w:w w:val="105"/>
        </w:rPr>
        <w:t xml:space="preserve"> </w:t>
      </w:r>
      <w:r w:rsidRPr="00283806">
        <w:rPr>
          <w:w w:val="105"/>
        </w:rPr>
        <w:t>that</w:t>
      </w:r>
      <w:r w:rsidRPr="00283806">
        <w:rPr>
          <w:spacing w:val="40"/>
          <w:w w:val="105"/>
        </w:rPr>
        <w:t xml:space="preserve"> </w:t>
      </w:r>
      <w:r w:rsidRPr="00283806">
        <w:rPr>
          <w:w w:val="105"/>
        </w:rPr>
        <w:t>it</w:t>
      </w:r>
      <w:r w:rsidRPr="00283806">
        <w:rPr>
          <w:spacing w:val="40"/>
          <w:w w:val="105"/>
        </w:rPr>
        <w:t xml:space="preserve"> </w:t>
      </w:r>
      <w:r w:rsidRPr="00283806">
        <w:rPr>
          <w:w w:val="105"/>
        </w:rPr>
        <w:t>may occur as part of installation. While EPA</w:t>
      </w:r>
      <w:r w:rsidRPr="00283806">
        <w:rPr>
          <w:spacing w:val="80"/>
          <w:w w:val="105"/>
        </w:rPr>
        <w:t xml:space="preserve"> </w:t>
      </w:r>
      <w:r w:rsidRPr="00283806">
        <w:rPr>
          <w:w w:val="105"/>
        </w:rPr>
        <w:t>is not establishing a definition of</w:t>
      </w:r>
    </w:p>
    <w:p w14:paraId="60941584" w14:textId="77777777" w:rsidR="00D67C1E" w:rsidRPr="00283806" w:rsidRDefault="001265CA">
      <w:pPr>
        <w:pStyle w:val="BodyText"/>
        <w:spacing w:before="134" w:line="225" w:lineRule="auto"/>
        <w:ind w:left="142" w:right="38"/>
      </w:pPr>
      <w:r w:rsidRPr="00283806">
        <w:br w:type="column"/>
      </w:r>
      <w:r w:rsidRPr="00283806">
        <w:rPr>
          <w:w w:val="105"/>
        </w:rPr>
        <w:t>servicing in this rule, it notes that other examples of servicing may include, but are not limited to, activities that involve the opening of the refrigerant loop, such as charging equipment, replacing component parts, or checking for leaks.</w:t>
      </w:r>
    </w:p>
    <w:p w14:paraId="2C0A6629" w14:textId="77777777" w:rsidR="00D67C1E" w:rsidRPr="00283806" w:rsidRDefault="001265CA">
      <w:pPr>
        <w:pStyle w:val="BodyText"/>
        <w:spacing w:line="178" w:lineRule="exact"/>
        <w:ind w:left="322"/>
      </w:pPr>
      <w:r w:rsidRPr="00283806">
        <w:rPr>
          <w:w w:val="105"/>
        </w:rPr>
        <w:t>EPA</w:t>
      </w:r>
      <w:r w:rsidRPr="00283806">
        <w:rPr>
          <w:spacing w:val="14"/>
          <w:w w:val="105"/>
        </w:rPr>
        <w:t xml:space="preserve"> </w:t>
      </w:r>
      <w:r w:rsidRPr="00283806">
        <w:rPr>
          <w:w w:val="105"/>
        </w:rPr>
        <w:t>discusses</w:t>
      </w:r>
      <w:r w:rsidRPr="00283806">
        <w:rPr>
          <w:spacing w:val="14"/>
          <w:w w:val="105"/>
        </w:rPr>
        <w:t xml:space="preserve"> </w:t>
      </w:r>
      <w:r w:rsidRPr="00283806">
        <w:rPr>
          <w:w w:val="105"/>
        </w:rPr>
        <w:t>its</w:t>
      </w:r>
      <w:r w:rsidRPr="00283806">
        <w:rPr>
          <w:spacing w:val="14"/>
          <w:w w:val="105"/>
        </w:rPr>
        <w:t xml:space="preserve"> </w:t>
      </w:r>
      <w:r w:rsidRPr="00283806">
        <w:rPr>
          <w:w w:val="105"/>
        </w:rPr>
        <w:t>authority</w:t>
      </w:r>
      <w:r w:rsidRPr="00283806">
        <w:rPr>
          <w:spacing w:val="14"/>
          <w:w w:val="105"/>
        </w:rPr>
        <w:t xml:space="preserve"> </w:t>
      </w:r>
      <w:r w:rsidRPr="00283806">
        <w:rPr>
          <w:w w:val="105"/>
        </w:rPr>
        <w:t>for</w:t>
      </w:r>
      <w:r w:rsidRPr="00283806">
        <w:rPr>
          <w:spacing w:val="14"/>
          <w:w w:val="105"/>
        </w:rPr>
        <w:t xml:space="preserve"> </w:t>
      </w:r>
      <w:r w:rsidRPr="00283806">
        <w:rPr>
          <w:spacing w:val="-5"/>
          <w:w w:val="105"/>
        </w:rPr>
        <w:t>the</w:t>
      </w:r>
    </w:p>
    <w:p w14:paraId="25FDFA61" w14:textId="77777777" w:rsidR="00D67C1E" w:rsidRPr="00283806" w:rsidRDefault="001265CA">
      <w:pPr>
        <w:pStyle w:val="BodyText"/>
        <w:spacing w:before="4" w:line="225" w:lineRule="auto"/>
        <w:ind w:left="142" w:right="38"/>
      </w:pPr>
      <w:r w:rsidRPr="00283806">
        <w:rPr>
          <w:w w:val="105"/>
        </w:rPr>
        <w:t>requirements finalized in this rule regarding installation and servicing of equipment in greater detail in the relevant sections below.</w:t>
      </w:r>
    </w:p>
    <w:p w14:paraId="1B7B19A8" w14:textId="77777777" w:rsidR="00D67C1E" w:rsidRPr="00283806" w:rsidRDefault="001265CA">
      <w:pPr>
        <w:spacing w:line="213" w:lineRule="auto"/>
        <w:ind w:left="142" w:right="38" w:firstLine="180"/>
        <w:rPr>
          <w:sz w:val="18"/>
        </w:rPr>
      </w:pPr>
      <w:r w:rsidRPr="00283806">
        <w:rPr>
          <w:rFonts w:ascii="Book Antiqua" w:hAnsi="Book Antiqua"/>
          <w:i/>
          <w:w w:val="110"/>
          <w:sz w:val="18"/>
        </w:rPr>
        <w:t>MVAC-like</w:t>
      </w:r>
      <w:r w:rsidRPr="00283806">
        <w:rPr>
          <w:rFonts w:ascii="Book Antiqua" w:hAnsi="Book Antiqua"/>
          <w:i/>
          <w:spacing w:val="-8"/>
          <w:w w:val="110"/>
          <w:sz w:val="18"/>
        </w:rPr>
        <w:t xml:space="preserve"> </w:t>
      </w:r>
      <w:proofErr w:type="gramStart"/>
      <w:r w:rsidRPr="00283806">
        <w:rPr>
          <w:rFonts w:ascii="Book Antiqua" w:hAnsi="Book Antiqua"/>
          <w:i/>
          <w:w w:val="110"/>
          <w:sz w:val="18"/>
        </w:rPr>
        <w:t>appliance</w:t>
      </w:r>
      <w:proofErr w:type="gramEnd"/>
      <w:r w:rsidRPr="00283806">
        <w:rPr>
          <w:rFonts w:ascii="Book Antiqua" w:hAnsi="Book Antiqua"/>
          <w:i/>
          <w:w w:val="110"/>
          <w:sz w:val="18"/>
        </w:rPr>
        <w:t>.</w:t>
      </w:r>
      <w:r w:rsidRPr="00283806">
        <w:rPr>
          <w:rFonts w:ascii="Book Antiqua" w:hAnsi="Book Antiqua"/>
          <w:i/>
          <w:spacing w:val="-8"/>
          <w:w w:val="110"/>
          <w:sz w:val="18"/>
        </w:rPr>
        <w:t xml:space="preserve"> </w:t>
      </w:r>
      <w:r w:rsidRPr="00283806">
        <w:rPr>
          <w:w w:val="110"/>
          <w:sz w:val="18"/>
        </w:rPr>
        <w:t>EPA</w:t>
      </w:r>
      <w:r w:rsidRPr="00283806">
        <w:rPr>
          <w:spacing w:val="-3"/>
          <w:w w:val="110"/>
          <w:sz w:val="18"/>
        </w:rPr>
        <w:t xml:space="preserve"> </w:t>
      </w:r>
      <w:r w:rsidRPr="00283806">
        <w:rPr>
          <w:w w:val="110"/>
          <w:sz w:val="18"/>
        </w:rPr>
        <w:t>proposed this</w:t>
      </w:r>
      <w:r w:rsidRPr="00283806">
        <w:rPr>
          <w:spacing w:val="-9"/>
          <w:w w:val="110"/>
          <w:sz w:val="18"/>
        </w:rPr>
        <w:t xml:space="preserve"> </w:t>
      </w:r>
      <w:r w:rsidRPr="00283806">
        <w:rPr>
          <w:w w:val="110"/>
          <w:sz w:val="18"/>
        </w:rPr>
        <w:t>term</w:t>
      </w:r>
      <w:r w:rsidRPr="00283806">
        <w:rPr>
          <w:spacing w:val="-8"/>
          <w:w w:val="110"/>
          <w:sz w:val="18"/>
        </w:rPr>
        <w:t xml:space="preserve"> </w:t>
      </w:r>
      <w:r w:rsidRPr="00283806">
        <w:rPr>
          <w:w w:val="110"/>
          <w:sz w:val="18"/>
        </w:rPr>
        <w:t>to</w:t>
      </w:r>
      <w:r w:rsidRPr="00283806">
        <w:rPr>
          <w:spacing w:val="-8"/>
          <w:w w:val="110"/>
          <w:sz w:val="18"/>
        </w:rPr>
        <w:t xml:space="preserve"> </w:t>
      </w:r>
      <w:r w:rsidRPr="00283806">
        <w:rPr>
          <w:w w:val="110"/>
          <w:sz w:val="18"/>
        </w:rPr>
        <w:t>mean</w:t>
      </w:r>
      <w:r w:rsidRPr="00283806">
        <w:rPr>
          <w:spacing w:val="-8"/>
          <w:w w:val="110"/>
          <w:sz w:val="18"/>
        </w:rPr>
        <w:t xml:space="preserve"> </w:t>
      </w:r>
      <w:r w:rsidRPr="00283806">
        <w:rPr>
          <w:w w:val="110"/>
          <w:sz w:val="18"/>
        </w:rPr>
        <w:t>‘‘a</w:t>
      </w:r>
      <w:r w:rsidRPr="00283806">
        <w:rPr>
          <w:spacing w:val="-9"/>
          <w:w w:val="110"/>
          <w:sz w:val="18"/>
        </w:rPr>
        <w:t xml:space="preserve"> </w:t>
      </w:r>
      <w:r w:rsidRPr="00283806">
        <w:rPr>
          <w:w w:val="110"/>
          <w:sz w:val="18"/>
        </w:rPr>
        <w:t>mechanical</w:t>
      </w:r>
      <w:r w:rsidRPr="00283806">
        <w:rPr>
          <w:spacing w:val="-8"/>
          <w:w w:val="110"/>
          <w:sz w:val="18"/>
        </w:rPr>
        <w:t xml:space="preserve"> </w:t>
      </w:r>
      <w:r w:rsidRPr="00283806">
        <w:rPr>
          <w:spacing w:val="-2"/>
          <w:w w:val="110"/>
          <w:sz w:val="18"/>
        </w:rPr>
        <w:t>vapor</w:t>
      </w:r>
    </w:p>
    <w:p w14:paraId="5C940145" w14:textId="77777777" w:rsidR="00D67C1E" w:rsidRPr="00283806" w:rsidRDefault="001265CA">
      <w:pPr>
        <w:pStyle w:val="BodyText"/>
        <w:spacing w:line="225" w:lineRule="auto"/>
        <w:ind w:left="142" w:right="114"/>
      </w:pPr>
      <w:r w:rsidRPr="00283806">
        <w:rPr>
          <w:w w:val="105"/>
        </w:rPr>
        <w:t xml:space="preserve">compression, open-drive compressor refrigerant-containing appliance with a full charge of 20 pounds or less of refrigerant used to cool the driver’s or passenger’s compartment of off-road vehicles or equipment. This includes, but is not limited to, the air- conditioning equipment found on agricultural or construction vehicles. This definition is intended to have the same meaning as defined in 40 CFR </w:t>
      </w:r>
      <w:r w:rsidRPr="00283806">
        <w:rPr>
          <w:spacing w:val="-2"/>
          <w:w w:val="105"/>
        </w:rPr>
        <w:t>82.152.’’</w:t>
      </w:r>
    </w:p>
    <w:p w14:paraId="35019998" w14:textId="77777777" w:rsidR="00D67C1E" w:rsidRPr="00283806" w:rsidRDefault="001265CA">
      <w:pPr>
        <w:pStyle w:val="BodyText"/>
        <w:spacing w:line="176" w:lineRule="exact"/>
        <w:ind w:left="322"/>
      </w:pPr>
      <w:r w:rsidRPr="00283806">
        <w:rPr>
          <w:w w:val="110"/>
        </w:rPr>
        <w:t>EPA</w:t>
      </w:r>
      <w:r w:rsidRPr="00283806">
        <w:rPr>
          <w:spacing w:val="3"/>
          <w:w w:val="110"/>
        </w:rPr>
        <w:t xml:space="preserve"> </w:t>
      </w:r>
      <w:r w:rsidRPr="00283806">
        <w:rPr>
          <w:w w:val="110"/>
        </w:rPr>
        <w:t>is</w:t>
      </w:r>
      <w:r w:rsidRPr="00283806">
        <w:rPr>
          <w:spacing w:val="3"/>
          <w:w w:val="110"/>
        </w:rPr>
        <w:t xml:space="preserve"> </w:t>
      </w:r>
      <w:r w:rsidRPr="00283806">
        <w:rPr>
          <w:w w:val="110"/>
        </w:rPr>
        <w:t>modifying</w:t>
      </w:r>
      <w:r w:rsidRPr="00283806">
        <w:rPr>
          <w:spacing w:val="3"/>
          <w:w w:val="110"/>
        </w:rPr>
        <w:t xml:space="preserve"> </w:t>
      </w:r>
      <w:r w:rsidRPr="00283806">
        <w:rPr>
          <w:w w:val="110"/>
        </w:rPr>
        <w:t>its</w:t>
      </w:r>
      <w:r w:rsidRPr="00283806">
        <w:rPr>
          <w:spacing w:val="4"/>
          <w:w w:val="110"/>
        </w:rPr>
        <w:t xml:space="preserve"> </w:t>
      </w:r>
      <w:r w:rsidRPr="00283806">
        <w:rPr>
          <w:spacing w:val="-2"/>
          <w:w w:val="110"/>
        </w:rPr>
        <w:t>proposed</w:t>
      </w:r>
    </w:p>
    <w:p w14:paraId="196E3AC8" w14:textId="77777777" w:rsidR="00D67C1E" w:rsidRPr="00283806" w:rsidRDefault="001265CA">
      <w:pPr>
        <w:pStyle w:val="BodyText"/>
        <w:spacing w:line="225" w:lineRule="auto"/>
        <w:ind w:left="142"/>
      </w:pPr>
      <w:r w:rsidRPr="00283806">
        <w:rPr>
          <w:w w:val="110"/>
        </w:rPr>
        <w:t>definition of ‘‘MVAC-like appliance’’ by deleting the first instance of the phrase ‘‘or equipment’’ and changing the second</w:t>
      </w:r>
      <w:r w:rsidRPr="00283806">
        <w:rPr>
          <w:spacing w:val="-10"/>
          <w:w w:val="110"/>
        </w:rPr>
        <w:t xml:space="preserve"> </w:t>
      </w:r>
      <w:r w:rsidRPr="00283806">
        <w:rPr>
          <w:w w:val="110"/>
        </w:rPr>
        <w:t>instance</w:t>
      </w:r>
      <w:r w:rsidRPr="00283806">
        <w:rPr>
          <w:spacing w:val="-10"/>
          <w:w w:val="110"/>
        </w:rPr>
        <w:t xml:space="preserve"> </w:t>
      </w:r>
      <w:r w:rsidRPr="00283806">
        <w:rPr>
          <w:w w:val="110"/>
        </w:rPr>
        <w:t>of</w:t>
      </w:r>
      <w:r w:rsidRPr="00283806">
        <w:rPr>
          <w:spacing w:val="-10"/>
          <w:w w:val="110"/>
        </w:rPr>
        <w:t xml:space="preserve"> </w:t>
      </w:r>
      <w:r w:rsidRPr="00283806">
        <w:rPr>
          <w:w w:val="110"/>
        </w:rPr>
        <w:t>‘‘or</w:t>
      </w:r>
      <w:r w:rsidRPr="00283806">
        <w:rPr>
          <w:spacing w:val="-10"/>
          <w:w w:val="110"/>
        </w:rPr>
        <w:t xml:space="preserve"> </w:t>
      </w:r>
      <w:r w:rsidRPr="00283806">
        <w:rPr>
          <w:w w:val="110"/>
        </w:rPr>
        <w:t>equipment’’</w:t>
      </w:r>
      <w:r w:rsidRPr="00283806">
        <w:rPr>
          <w:spacing w:val="-10"/>
          <w:w w:val="110"/>
        </w:rPr>
        <w:t xml:space="preserve"> </w:t>
      </w:r>
      <w:r w:rsidRPr="00283806">
        <w:rPr>
          <w:w w:val="110"/>
        </w:rPr>
        <w:t>with ‘‘or appliances.’’ EPA deleted the first instance of the phrase ‘‘or equipment’’ from the definition because the use of the term ‘‘equipment’’ in this instance does not align with the definition of ‘‘equipment’’ as defined in this rulemaking.</w:t>
      </w:r>
      <w:r w:rsidRPr="00283806">
        <w:rPr>
          <w:spacing w:val="-11"/>
          <w:w w:val="110"/>
        </w:rPr>
        <w:t xml:space="preserve"> </w:t>
      </w:r>
      <w:r w:rsidRPr="00283806">
        <w:rPr>
          <w:w w:val="110"/>
        </w:rPr>
        <w:t>This</w:t>
      </w:r>
      <w:r w:rsidRPr="00283806">
        <w:rPr>
          <w:spacing w:val="-11"/>
          <w:w w:val="110"/>
        </w:rPr>
        <w:t xml:space="preserve"> </w:t>
      </w:r>
      <w:r w:rsidRPr="00283806">
        <w:rPr>
          <w:w w:val="110"/>
        </w:rPr>
        <w:t>deletion</w:t>
      </w:r>
      <w:r w:rsidRPr="00283806">
        <w:rPr>
          <w:spacing w:val="-11"/>
          <w:w w:val="110"/>
        </w:rPr>
        <w:t xml:space="preserve"> </w:t>
      </w:r>
      <w:r w:rsidRPr="00283806">
        <w:rPr>
          <w:w w:val="110"/>
        </w:rPr>
        <w:t>is</w:t>
      </w:r>
      <w:r w:rsidRPr="00283806">
        <w:rPr>
          <w:spacing w:val="-11"/>
          <w:w w:val="110"/>
        </w:rPr>
        <w:t xml:space="preserve"> </w:t>
      </w:r>
      <w:r w:rsidRPr="00283806">
        <w:rPr>
          <w:w w:val="110"/>
        </w:rPr>
        <w:t>intended</w:t>
      </w:r>
      <w:r w:rsidRPr="00283806">
        <w:rPr>
          <w:spacing w:val="-11"/>
          <w:w w:val="110"/>
        </w:rPr>
        <w:t xml:space="preserve"> </w:t>
      </w:r>
      <w:r w:rsidRPr="00283806">
        <w:rPr>
          <w:w w:val="110"/>
        </w:rPr>
        <w:t>to clarify</w:t>
      </w:r>
      <w:r w:rsidRPr="00283806">
        <w:rPr>
          <w:spacing w:val="-11"/>
          <w:w w:val="110"/>
        </w:rPr>
        <w:t xml:space="preserve"> </w:t>
      </w:r>
      <w:r w:rsidRPr="00283806">
        <w:rPr>
          <w:w w:val="110"/>
        </w:rPr>
        <w:t>the</w:t>
      </w:r>
      <w:r w:rsidRPr="00283806">
        <w:rPr>
          <w:spacing w:val="-11"/>
          <w:w w:val="110"/>
        </w:rPr>
        <w:t xml:space="preserve"> </w:t>
      </w:r>
      <w:r w:rsidRPr="00283806">
        <w:rPr>
          <w:w w:val="110"/>
        </w:rPr>
        <w:t>intent</w:t>
      </w:r>
      <w:r w:rsidRPr="00283806">
        <w:rPr>
          <w:spacing w:val="-11"/>
          <w:w w:val="110"/>
        </w:rPr>
        <w:t xml:space="preserve"> </w:t>
      </w:r>
      <w:r w:rsidRPr="00283806">
        <w:rPr>
          <w:w w:val="110"/>
        </w:rPr>
        <w:t>of</w:t>
      </w:r>
      <w:r w:rsidRPr="00283806">
        <w:rPr>
          <w:spacing w:val="-10"/>
          <w:w w:val="110"/>
        </w:rPr>
        <w:t xml:space="preserve"> </w:t>
      </w:r>
      <w:r w:rsidRPr="00283806">
        <w:rPr>
          <w:w w:val="110"/>
        </w:rPr>
        <w:t>the</w:t>
      </w:r>
      <w:r w:rsidRPr="00283806">
        <w:rPr>
          <w:spacing w:val="-11"/>
          <w:w w:val="110"/>
        </w:rPr>
        <w:t xml:space="preserve"> </w:t>
      </w:r>
      <w:r w:rsidRPr="00283806">
        <w:rPr>
          <w:w w:val="110"/>
        </w:rPr>
        <w:t>definition,</w:t>
      </w:r>
      <w:r w:rsidRPr="00283806">
        <w:rPr>
          <w:spacing w:val="-11"/>
          <w:w w:val="110"/>
        </w:rPr>
        <w:t xml:space="preserve"> </w:t>
      </w:r>
      <w:r w:rsidRPr="00283806">
        <w:rPr>
          <w:w w:val="110"/>
        </w:rPr>
        <w:t>as</w:t>
      </w:r>
      <w:r w:rsidRPr="00283806">
        <w:rPr>
          <w:spacing w:val="-11"/>
          <w:w w:val="110"/>
        </w:rPr>
        <w:t xml:space="preserve"> </w:t>
      </w:r>
      <w:r w:rsidRPr="00283806">
        <w:rPr>
          <w:w w:val="110"/>
        </w:rPr>
        <w:t>the use of ‘‘equipment’’ in this context of ‘‘off-road vehicles or equipment’’ could have been confusing because it is not being</w:t>
      </w:r>
      <w:r w:rsidRPr="00283806">
        <w:rPr>
          <w:spacing w:val="-6"/>
          <w:w w:val="110"/>
        </w:rPr>
        <w:t xml:space="preserve"> </w:t>
      </w:r>
      <w:r w:rsidRPr="00283806">
        <w:rPr>
          <w:w w:val="110"/>
        </w:rPr>
        <w:t>used</w:t>
      </w:r>
      <w:r w:rsidRPr="00283806">
        <w:rPr>
          <w:spacing w:val="-6"/>
          <w:w w:val="110"/>
        </w:rPr>
        <w:t xml:space="preserve"> </w:t>
      </w:r>
      <w:r w:rsidRPr="00283806">
        <w:rPr>
          <w:w w:val="110"/>
        </w:rPr>
        <w:t>in</w:t>
      </w:r>
      <w:r w:rsidRPr="00283806">
        <w:rPr>
          <w:spacing w:val="-6"/>
          <w:w w:val="110"/>
        </w:rPr>
        <w:t xml:space="preserve"> </w:t>
      </w:r>
      <w:r w:rsidRPr="00283806">
        <w:rPr>
          <w:w w:val="110"/>
        </w:rPr>
        <w:t>the</w:t>
      </w:r>
      <w:r w:rsidRPr="00283806">
        <w:rPr>
          <w:spacing w:val="-6"/>
          <w:w w:val="110"/>
        </w:rPr>
        <w:t xml:space="preserve"> </w:t>
      </w:r>
      <w:r w:rsidRPr="00283806">
        <w:rPr>
          <w:w w:val="110"/>
        </w:rPr>
        <w:t>sense</w:t>
      </w:r>
      <w:r w:rsidRPr="00283806">
        <w:rPr>
          <w:spacing w:val="-6"/>
          <w:w w:val="110"/>
        </w:rPr>
        <w:t xml:space="preserve"> </w:t>
      </w:r>
      <w:r w:rsidRPr="00283806">
        <w:rPr>
          <w:w w:val="110"/>
        </w:rPr>
        <w:t>of</w:t>
      </w:r>
      <w:r w:rsidRPr="00283806">
        <w:rPr>
          <w:spacing w:val="-6"/>
          <w:w w:val="110"/>
        </w:rPr>
        <w:t xml:space="preserve"> </w:t>
      </w:r>
      <w:r w:rsidRPr="00283806">
        <w:rPr>
          <w:w w:val="110"/>
        </w:rPr>
        <w:t>how</w:t>
      </w:r>
      <w:r w:rsidRPr="00283806">
        <w:rPr>
          <w:spacing w:val="-6"/>
          <w:w w:val="110"/>
        </w:rPr>
        <w:t xml:space="preserve"> </w:t>
      </w:r>
      <w:r w:rsidRPr="00283806">
        <w:rPr>
          <w:w w:val="110"/>
        </w:rPr>
        <w:t>the</w:t>
      </w:r>
      <w:r w:rsidRPr="00283806">
        <w:rPr>
          <w:spacing w:val="-6"/>
          <w:w w:val="110"/>
        </w:rPr>
        <w:t xml:space="preserve"> </w:t>
      </w:r>
      <w:r w:rsidRPr="00283806">
        <w:rPr>
          <w:w w:val="110"/>
        </w:rPr>
        <w:t>term ‘‘equipment’’ is defined in these regulations. Regarding the second instance of ‘‘air conditioning equipment’’</w:t>
      </w:r>
      <w:r w:rsidRPr="00283806">
        <w:rPr>
          <w:spacing w:val="-3"/>
          <w:w w:val="110"/>
        </w:rPr>
        <w:t xml:space="preserve"> </w:t>
      </w:r>
      <w:r w:rsidRPr="00283806">
        <w:rPr>
          <w:w w:val="110"/>
        </w:rPr>
        <w:t>EPA</w:t>
      </w:r>
      <w:r w:rsidRPr="00283806">
        <w:rPr>
          <w:spacing w:val="-3"/>
          <w:w w:val="110"/>
        </w:rPr>
        <w:t xml:space="preserve"> </w:t>
      </w:r>
      <w:r w:rsidRPr="00283806">
        <w:rPr>
          <w:w w:val="110"/>
        </w:rPr>
        <w:t>changed</w:t>
      </w:r>
      <w:r w:rsidRPr="00283806">
        <w:rPr>
          <w:spacing w:val="-3"/>
          <w:w w:val="110"/>
        </w:rPr>
        <w:t xml:space="preserve"> </w:t>
      </w:r>
      <w:r w:rsidRPr="00283806">
        <w:rPr>
          <w:w w:val="110"/>
        </w:rPr>
        <w:t>this</w:t>
      </w:r>
      <w:r w:rsidRPr="00283806">
        <w:rPr>
          <w:spacing w:val="-3"/>
          <w:w w:val="110"/>
        </w:rPr>
        <w:t xml:space="preserve"> </w:t>
      </w:r>
      <w:r w:rsidRPr="00283806">
        <w:rPr>
          <w:w w:val="110"/>
        </w:rPr>
        <w:t>language to ‘‘air conditioning appliances’’ to better</w:t>
      </w:r>
      <w:r w:rsidRPr="00283806">
        <w:rPr>
          <w:spacing w:val="-11"/>
          <w:w w:val="110"/>
        </w:rPr>
        <w:t xml:space="preserve"> </w:t>
      </w:r>
      <w:r w:rsidRPr="00283806">
        <w:rPr>
          <w:w w:val="110"/>
        </w:rPr>
        <w:t>align</w:t>
      </w:r>
      <w:r w:rsidRPr="00283806">
        <w:rPr>
          <w:spacing w:val="-11"/>
          <w:w w:val="110"/>
        </w:rPr>
        <w:t xml:space="preserve"> </w:t>
      </w:r>
      <w:r w:rsidRPr="00283806">
        <w:rPr>
          <w:w w:val="110"/>
        </w:rPr>
        <w:t>the</w:t>
      </w:r>
      <w:r w:rsidRPr="00283806">
        <w:rPr>
          <w:spacing w:val="-10"/>
          <w:w w:val="110"/>
        </w:rPr>
        <w:t xml:space="preserve"> </w:t>
      </w:r>
      <w:r w:rsidRPr="00283806">
        <w:rPr>
          <w:w w:val="110"/>
        </w:rPr>
        <w:t>types</w:t>
      </w:r>
      <w:r w:rsidRPr="00283806">
        <w:rPr>
          <w:spacing w:val="-11"/>
          <w:w w:val="110"/>
        </w:rPr>
        <w:t xml:space="preserve"> </w:t>
      </w:r>
      <w:r w:rsidRPr="00283806">
        <w:rPr>
          <w:w w:val="110"/>
        </w:rPr>
        <w:t>of</w:t>
      </w:r>
      <w:r w:rsidRPr="00283806">
        <w:rPr>
          <w:spacing w:val="-11"/>
          <w:w w:val="110"/>
        </w:rPr>
        <w:t xml:space="preserve"> </w:t>
      </w:r>
      <w:r w:rsidRPr="00283806">
        <w:rPr>
          <w:w w:val="110"/>
        </w:rPr>
        <w:t>devices</w:t>
      </w:r>
      <w:r w:rsidRPr="00283806">
        <w:rPr>
          <w:spacing w:val="-10"/>
          <w:w w:val="110"/>
        </w:rPr>
        <w:t xml:space="preserve"> </w:t>
      </w:r>
      <w:r w:rsidRPr="00283806">
        <w:rPr>
          <w:w w:val="110"/>
        </w:rPr>
        <w:t>that</w:t>
      </w:r>
      <w:r w:rsidRPr="00283806">
        <w:rPr>
          <w:spacing w:val="-11"/>
          <w:w w:val="110"/>
        </w:rPr>
        <w:t xml:space="preserve"> </w:t>
      </w:r>
      <w:r w:rsidRPr="00283806">
        <w:rPr>
          <w:w w:val="110"/>
        </w:rPr>
        <w:t>the definition of the term ‘‘MVAC-like appliance’’</w:t>
      </w:r>
      <w:r w:rsidRPr="00283806">
        <w:rPr>
          <w:spacing w:val="-7"/>
          <w:w w:val="110"/>
        </w:rPr>
        <w:t xml:space="preserve"> </w:t>
      </w:r>
      <w:r w:rsidRPr="00283806">
        <w:rPr>
          <w:w w:val="110"/>
        </w:rPr>
        <w:t>covers</w:t>
      </w:r>
      <w:r w:rsidRPr="00283806">
        <w:rPr>
          <w:spacing w:val="-7"/>
          <w:w w:val="110"/>
        </w:rPr>
        <w:t xml:space="preserve"> </w:t>
      </w:r>
      <w:r w:rsidRPr="00283806">
        <w:rPr>
          <w:w w:val="110"/>
        </w:rPr>
        <w:t>under</w:t>
      </w:r>
      <w:r w:rsidRPr="00283806">
        <w:rPr>
          <w:spacing w:val="-7"/>
          <w:w w:val="110"/>
        </w:rPr>
        <w:t xml:space="preserve"> </w:t>
      </w:r>
      <w:r w:rsidRPr="00283806">
        <w:rPr>
          <w:w w:val="110"/>
        </w:rPr>
        <w:t>40</w:t>
      </w:r>
      <w:r w:rsidRPr="00283806">
        <w:rPr>
          <w:spacing w:val="-7"/>
          <w:w w:val="110"/>
        </w:rPr>
        <w:t xml:space="preserve"> </w:t>
      </w:r>
      <w:r w:rsidRPr="00283806">
        <w:rPr>
          <w:w w:val="110"/>
        </w:rPr>
        <w:t>CFR</w:t>
      </w:r>
      <w:r w:rsidRPr="00283806">
        <w:rPr>
          <w:spacing w:val="-7"/>
          <w:w w:val="110"/>
        </w:rPr>
        <w:t xml:space="preserve"> </w:t>
      </w:r>
      <w:r w:rsidRPr="00283806">
        <w:rPr>
          <w:w w:val="110"/>
        </w:rPr>
        <w:t>82.152 with</w:t>
      </w:r>
      <w:r w:rsidRPr="00283806">
        <w:rPr>
          <w:spacing w:val="-9"/>
          <w:w w:val="110"/>
        </w:rPr>
        <w:t xml:space="preserve"> </w:t>
      </w:r>
      <w:r w:rsidRPr="00283806">
        <w:rPr>
          <w:w w:val="110"/>
        </w:rPr>
        <w:t>the</w:t>
      </w:r>
      <w:r w:rsidRPr="00283806">
        <w:rPr>
          <w:spacing w:val="-9"/>
          <w:w w:val="110"/>
        </w:rPr>
        <w:t xml:space="preserve"> </w:t>
      </w:r>
      <w:r w:rsidRPr="00283806">
        <w:rPr>
          <w:w w:val="110"/>
        </w:rPr>
        <w:t>types</w:t>
      </w:r>
      <w:r w:rsidRPr="00283806">
        <w:rPr>
          <w:spacing w:val="-9"/>
          <w:w w:val="110"/>
        </w:rPr>
        <w:t xml:space="preserve"> </w:t>
      </w:r>
      <w:r w:rsidRPr="00283806">
        <w:rPr>
          <w:w w:val="110"/>
        </w:rPr>
        <w:t>of</w:t>
      </w:r>
      <w:r w:rsidRPr="00283806">
        <w:rPr>
          <w:spacing w:val="-9"/>
          <w:w w:val="110"/>
        </w:rPr>
        <w:t xml:space="preserve"> </w:t>
      </w:r>
      <w:r w:rsidRPr="00283806">
        <w:rPr>
          <w:w w:val="110"/>
        </w:rPr>
        <w:t>devices</w:t>
      </w:r>
      <w:r w:rsidRPr="00283806">
        <w:rPr>
          <w:spacing w:val="-9"/>
          <w:w w:val="110"/>
        </w:rPr>
        <w:t xml:space="preserve"> </w:t>
      </w:r>
      <w:r w:rsidRPr="00283806">
        <w:rPr>
          <w:w w:val="110"/>
        </w:rPr>
        <w:t>covered</w:t>
      </w:r>
      <w:r w:rsidRPr="00283806">
        <w:rPr>
          <w:spacing w:val="-9"/>
          <w:w w:val="110"/>
        </w:rPr>
        <w:t xml:space="preserve"> </w:t>
      </w:r>
      <w:r w:rsidRPr="00283806">
        <w:rPr>
          <w:w w:val="110"/>
        </w:rPr>
        <w:t>under this rulemaking. EPA also removed the word ‘‘defined’’ from the definition to maintain consistency with the definition of ‘‘motor vehicle air conditioners.’’ EPA still intends the definition to have the same meaning as in 40 CFR 82.152.</w:t>
      </w:r>
    </w:p>
    <w:p w14:paraId="34D1C6F9" w14:textId="77777777" w:rsidR="00D67C1E" w:rsidRPr="00283806" w:rsidRDefault="001265CA">
      <w:pPr>
        <w:pStyle w:val="BodyText"/>
        <w:spacing w:before="1" w:line="225" w:lineRule="auto"/>
        <w:ind w:left="142" w:right="38" w:firstLine="180"/>
      </w:pPr>
      <w:r w:rsidRPr="00283806">
        <w:rPr>
          <w:rFonts w:ascii="Book Antiqua" w:hAnsi="Book Antiqua"/>
          <w:i/>
          <w:w w:val="105"/>
        </w:rPr>
        <w:t xml:space="preserve">Recover. </w:t>
      </w:r>
      <w:r w:rsidRPr="00283806">
        <w:rPr>
          <w:w w:val="105"/>
        </w:rPr>
        <w:t>EPA proposed this term to mean ‘‘the process by which a regulated substance, or where applicable, a substitute for a regulated substance, is removed, in any condition, from equipment; and stored in an external container, with or without testing or processing the regulated substance or substitute for a regulated substance.’’</w:t>
      </w:r>
    </w:p>
    <w:p w14:paraId="6ECB20C3" w14:textId="77777777" w:rsidR="00D67C1E" w:rsidRPr="00283806" w:rsidRDefault="001265CA">
      <w:pPr>
        <w:pStyle w:val="BodyText"/>
        <w:spacing w:line="184" w:lineRule="exact"/>
        <w:ind w:left="0" w:right="63"/>
        <w:jc w:val="center"/>
      </w:pPr>
      <w:r w:rsidRPr="00283806">
        <w:rPr>
          <w:w w:val="110"/>
        </w:rPr>
        <w:t>EPA</w:t>
      </w:r>
      <w:r w:rsidRPr="00283806">
        <w:rPr>
          <w:spacing w:val="2"/>
          <w:w w:val="110"/>
        </w:rPr>
        <w:t xml:space="preserve"> </w:t>
      </w:r>
      <w:r w:rsidRPr="00283806">
        <w:rPr>
          <w:w w:val="110"/>
        </w:rPr>
        <w:t>is</w:t>
      </w:r>
      <w:r w:rsidRPr="00283806">
        <w:rPr>
          <w:spacing w:val="2"/>
          <w:w w:val="110"/>
        </w:rPr>
        <w:t xml:space="preserve"> </w:t>
      </w:r>
      <w:r w:rsidRPr="00283806">
        <w:rPr>
          <w:w w:val="110"/>
        </w:rPr>
        <w:t>modifying</w:t>
      </w:r>
      <w:r w:rsidRPr="00283806">
        <w:rPr>
          <w:spacing w:val="2"/>
          <w:w w:val="110"/>
        </w:rPr>
        <w:t xml:space="preserve"> </w:t>
      </w:r>
      <w:r w:rsidRPr="00283806">
        <w:rPr>
          <w:w w:val="110"/>
        </w:rPr>
        <w:t>its</w:t>
      </w:r>
      <w:r w:rsidRPr="00283806">
        <w:rPr>
          <w:spacing w:val="2"/>
          <w:w w:val="110"/>
        </w:rPr>
        <w:t xml:space="preserve"> </w:t>
      </w:r>
      <w:r w:rsidRPr="00283806">
        <w:rPr>
          <w:w w:val="110"/>
        </w:rPr>
        <w:t>definition</w:t>
      </w:r>
      <w:r w:rsidRPr="00283806">
        <w:rPr>
          <w:spacing w:val="2"/>
          <w:w w:val="110"/>
        </w:rPr>
        <w:t xml:space="preserve"> </w:t>
      </w:r>
      <w:r w:rsidRPr="00283806">
        <w:rPr>
          <w:spacing w:val="-5"/>
          <w:w w:val="110"/>
        </w:rPr>
        <w:t>of</w:t>
      </w:r>
    </w:p>
    <w:p w14:paraId="01B4BEAC" w14:textId="77777777" w:rsidR="00D67C1E" w:rsidRPr="00283806" w:rsidRDefault="001265CA">
      <w:pPr>
        <w:pStyle w:val="BodyText"/>
        <w:spacing w:line="206" w:lineRule="exact"/>
        <w:ind w:left="0" w:right="22"/>
        <w:jc w:val="center"/>
      </w:pPr>
      <w:r w:rsidRPr="00283806">
        <w:rPr>
          <w:w w:val="105"/>
        </w:rPr>
        <w:t>‘‘recover’’</w:t>
      </w:r>
      <w:r w:rsidRPr="00283806">
        <w:rPr>
          <w:spacing w:val="10"/>
          <w:w w:val="105"/>
        </w:rPr>
        <w:t xml:space="preserve"> </w:t>
      </w:r>
      <w:r w:rsidRPr="00283806">
        <w:rPr>
          <w:w w:val="105"/>
        </w:rPr>
        <w:t>by</w:t>
      </w:r>
      <w:r w:rsidRPr="00283806">
        <w:rPr>
          <w:spacing w:val="11"/>
          <w:w w:val="105"/>
        </w:rPr>
        <w:t xml:space="preserve"> </w:t>
      </w:r>
      <w:r w:rsidRPr="00283806">
        <w:rPr>
          <w:w w:val="105"/>
        </w:rPr>
        <w:t>putting</w:t>
      </w:r>
      <w:r w:rsidRPr="00283806">
        <w:rPr>
          <w:spacing w:val="11"/>
          <w:w w:val="105"/>
        </w:rPr>
        <w:t xml:space="preserve"> </w:t>
      </w:r>
      <w:r w:rsidRPr="00283806">
        <w:rPr>
          <w:w w:val="105"/>
        </w:rPr>
        <w:t>the</w:t>
      </w:r>
      <w:r w:rsidRPr="00283806">
        <w:rPr>
          <w:spacing w:val="11"/>
          <w:w w:val="105"/>
        </w:rPr>
        <w:t xml:space="preserve"> </w:t>
      </w:r>
      <w:r w:rsidRPr="00283806">
        <w:rPr>
          <w:w w:val="105"/>
        </w:rPr>
        <w:t>number</w:t>
      </w:r>
      <w:r w:rsidRPr="00283806">
        <w:rPr>
          <w:spacing w:val="11"/>
          <w:w w:val="105"/>
        </w:rPr>
        <w:t xml:space="preserve"> </w:t>
      </w:r>
      <w:r w:rsidRPr="00283806">
        <w:rPr>
          <w:spacing w:val="-2"/>
          <w:w w:val="105"/>
        </w:rPr>
        <w:t>‘‘(1)’’</w:t>
      </w:r>
    </w:p>
    <w:p w14:paraId="0E037A45" w14:textId="77777777" w:rsidR="00D67C1E" w:rsidRPr="00283806" w:rsidRDefault="001265CA">
      <w:pPr>
        <w:pStyle w:val="BodyText"/>
        <w:spacing w:before="134" w:line="225" w:lineRule="auto"/>
        <w:ind w:left="156" w:right="201"/>
      </w:pPr>
      <w:r w:rsidRPr="00283806">
        <w:br w:type="column"/>
      </w:r>
      <w:r w:rsidRPr="00283806">
        <w:rPr>
          <w:w w:val="105"/>
        </w:rPr>
        <w:t>before the phrase: ‘‘removed, in any condition, from equipment and’’ and the number ‘‘(2)’’ before the phrase ‘‘stored in</w:t>
      </w:r>
      <w:r w:rsidRPr="00283806">
        <w:rPr>
          <w:spacing w:val="40"/>
          <w:w w:val="105"/>
        </w:rPr>
        <w:t xml:space="preserve"> </w:t>
      </w:r>
      <w:r w:rsidRPr="00283806">
        <w:rPr>
          <w:w w:val="105"/>
        </w:rPr>
        <w:t>an</w:t>
      </w:r>
      <w:r w:rsidRPr="00283806">
        <w:rPr>
          <w:spacing w:val="40"/>
          <w:w w:val="105"/>
        </w:rPr>
        <w:t xml:space="preserve"> </w:t>
      </w:r>
      <w:r w:rsidRPr="00283806">
        <w:rPr>
          <w:w w:val="105"/>
        </w:rPr>
        <w:t>external</w:t>
      </w:r>
      <w:r w:rsidRPr="00283806">
        <w:rPr>
          <w:spacing w:val="40"/>
          <w:w w:val="105"/>
        </w:rPr>
        <w:t xml:space="preserve"> </w:t>
      </w:r>
      <w:r w:rsidRPr="00283806">
        <w:rPr>
          <w:w w:val="105"/>
        </w:rPr>
        <w:t>container,</w:t>
      </w:r>
      <w:r w:rsidRPr="00283806">
        <w:rPr>
          <w:spacing w:val="40"/>
          <w:w w:val="105"/>
        </w:rPr>
        <w:t xml:space="preserve"> </w:t>
      </w:r>
      <w:r w:rsidRPr="00283806">
        <w:rPr>
          <w:w w:val="105"/>
        </w:rPr>
        <w:t>with</w:t>
      </w:r>
      <w:r w:rsidRPr="00283806">
        <w:rPr>
          <w:spacing w:val="40"/>
          <w:w w:val="105"/>
        </w:rPr>
        <w:t xml:space="preserve"> </w:t>
      </w:r>
      <w:r w:rsidRPr="00283806">
        <w:rPr>
          <w:w w:val="105"/>
        </w:rPr>
        <w:t>or without testing or processing the regulated substance or substitute for a regulated</w:t>
      </w:r>
      <w:r w:rsidRPr="00283806">
        <w:rPr>
          <w:spacing w:val="40"/>
          <w:w w:val="105"/>
        </w:rPr>
        <w:t xml:space="preserve"> </w:t>
      </w:r>
      <w:r w:rsidRPr="00283806">
        <w:rPr>
          <w:w w:val="105"/>
        </w:rPr>
        <w:t>substance.’’</w:t>
      </w:r>
      <w:r w:rsidRPr="00283806">
        <w:rPr>
          <w:spacing w:val="40"/>
          <w:w w:val="105"/>
        </w:rPr>
        <w:t xml:space="preserve"> </w:t>
      </w:r>
      <w:r w:rsidRPr="00283806">
        <w:rPr>
          <w:w w:val="105"/>
        </w:rPr>
        <w:t>EPA</w:t>
      </w:r>
      <w:r w:rsidRPr="00283806">
        <w:rPr>
          <w:spacing w:val="40"/>
          <w:w w:val="105"/>
        </w:rPr>
        <w:t xml:space="preserve"> </w:t>
      </w:r>
      <w:r w:rsidRPr="00283806">
        <w:rPr>
          <w:w w:val="105"/>
        </w:rPr>
        <w:t>made</w:t>
      </w:r>
      <w:r w:rsidRPr="00283806">
        <w:rPr>
          <w:spacing w:val="40"/>
          <w:w w:val="105"/>
        </w:rPr>
        <w:t xml:space="preserve"> </w:t>
      </w:r>
      <w:r w:rsidRPr="00283806">
        <w:rPr>
          <w:w w:val="105"/>
        </w:rPr>
        <w:t>this edit to clarify the text and to more</w:t>
      </w:r>
      <w:r w:rsidRPr="00283806">
        <w:rPr>
          <w:spacing w:val="80"/>
          <w:w w:val="105"/>
        </w:rPr>
        <w:t xml:space="preserve"> </w:t>
      </w:r>
      <w:r w:rsidRPr="00283806">
        <w:rPr>
          <w:w w:val="105"/>
        </w:rPr>
        <w:t>closely align its definition of ‘‘recover’’ with the corresponding definition in the Act, though the AIM Act separates these two phrases with the letters ‘‘(A)’’ and ‘‘(B)’’ instead of ‘‘(1)’’ and ‘‘(2).’’</w:t>
      </w:r>
    </w:p>
    <w:p w14:paraId="36765BDF" w14:textId="77777777" w:rsidR="00D67C1E" w:rsidRPr="00283806" w:rsidRDefault="001265CA">
      <w:pPr>
        <w:pStyle w:val="BodyText"/>
        <w:spacing w:line="175" w:lineRule="exact"/>
        <w:ind w:left="336"/>
      </w:pPr>
      <w:r w:rsidRPr="00283806">
        <w:rPr>
          <w:w w:val="110"/>
        </w:rPr>
        <w:t>The</w:t>
      </w:r>
      <w:r w:rsidRPr="00283806">
        <w:rPr>
          <w:spacing w:val="-6"/>
          <w:w w:val="110"/>
        </w:rPr>
        <w:t xml:space="preserve"> </w:t>
      </w:r>
      <w:r w:rsidRPr="00283806">
        <w:rPr>
          <w:w w:val="110"/>
        </w:rPr>
        <w:t>term</w:t>
      </w:r>
      <w:r w:rsidRPr="00283806">
        <w:rPr>
          <w:spacing w:val="-6"/>
          <w:w w:val="110"/>
        </w:rPr>
        <w:t xml:space="preserve"> </w:t>
      </w:r>
      <w:r w:rsidRPr="00283806">
        <w:rPr>
          <w:w w:val="110"/>
        </w:rPr>
        <w:t>‘‘recover’’</w:t>
      </w:r>
      <w:r w:rsidRPr="00283806">
        <w:rPr>
          <w:spacing w:val="-6"/>
          <w:w w:val="110"/>
        </w:rPr>
        <w:t xml:space="preserve"> </w:t>
      </w:r>
      <w:r w:rsidRPr="00283806">
        <w:rPr>
          <w:w w:val="110"/>
        </w:rPr>
        <w:t>is</w:t>
      </w:r>
      <w:r w:rsidRPr="00283806">
        <w:rPr>
          <w:spacing w:val="-5"/>
          <w:w w:val="110"/>
        </w:rPr>
        <w:t xml:space="preserve"> </w:t>
      </w:r>
      <w:r w:rsidRPr="00283806">
        <w:rPr>
          <w:w w:val="110"/>
        </w:rPr>
        <w:t>defined</w:t>
      </w:r>
      <w:r w:rsidRPr="00283806">
        <w:rPr>
          <w:spacing w:val="-6"/>
          <w:w w:val="110"/>
        </w:rPr>
        <w:t xml:space="preserve"> </w:t>
      </w:r>
      <w:r w:rsidRPr="00283806">
        <w:rPr>
          <w:w w:val="110"/>
        </w:rPr>
        <w:t>in</w:t>
      </w:r>
      <w:r w:rsidRPr="00283806">
        <w:rPr>
          <w:spacing w:val="-6"/>
          <w:w w:val="110"/>
        </w:rPr>
        <w:t xml:space="preserve"> </w:t>
      </w:r>
      <w:r w:rsidRPr="00283806">
        <w:rPr>
          <w:spacing w:val="-5"/>
          <w:w w:val="110"/>
        </w:rPr>
        <w:t>the</w:t>
      </w:r>
    </w:p>
    <w:p w14:paraId="75AF4A55" w14:textId="77777777" w:rsidR="00D67C1E" w:rsidRPr="00283806" w:rsidRDefault="001265CA">
      <w:pPr>
        <w:pStyle w:val="BodyText"/>
        <w:spacing w:before="4" w:line="225" w:lineRule="auto"/>
        <w:ind w:left="156" w:right="165"/>
      </w:pPr>
      <w:r w:rsidRPr="00283806">
        <w:rPr>
          <w:w w:val="105"/>
        </w:rPr>
        <w:t>AIM Act at subsection (b)(10) as ‘‘the process by which a regulated substance</w:t>
      </w:r>
      <w:r w:rsidRPr="00283806">
        <w:rPr>
          <w:spacing w:val="40"/>
          <w:w w:val="105"/>
        </w:rPr>
        <w:t xml:space="preserve"> </w:t>
      </w:r>
      <w:r w:rsidRPr="00283806">
        <w:rPr>
          <w:w w:val="105"/>
        </w:rPr>
        <w:t>is (A) removed, in any condition, from equipment; and (B) stored in an external container, with or without testing or processing the regulated substance.’’</w:t>
      </w:r>
      <w:r w:rsidRPr="00283806">
        <w:rPr>
          <w:spacing w:val="80"/>
          <w:w w:val="105"/>
        </w:rPr>
        <w:t xml:space="preserve"> </w:t>
      </w:r>
      <w:r w:rsidRPr="00283806">
        <w:rPr>
          <w:w w:val="105"/>
        </w:rPr>
        <w:t>EPA proposed to extend the regulatory definition</w:t>
      </w:r>
      <w:r w:rsidRPr="00283806">
        <w:rPr>
          <w:spacing w:val="40"/>
          <w:w w:val="105"/>
        </w:rPr>
        <w:t xml:space="preserve"> </w:t>
      </w:r>
      <w:r w:rsidRPr="00283806">
        <w:rPr>
          <w:w w:val="105"/>
        </w:rPr>
        <w:t>in</w:t>
      </w:r>
      <w:r w:rsidRPr="00283806">
        <w:rPr>
          <w:spacing w:val="40"/>
          <w:w w:val="105"/>
        </w:rPr>
        <w:t xml:space="preserve"> </w:t>
      </w:r>
      <w:r w:rsidRPr="00283806">
        <w:rPr>
          <w:w w:val="105"/>
        </w:rPr>
        <w:t>these</w:t>
      </w:r>
      <w:r w:rsidRPr="00283806">
        <w:rPr>
          <w:spacing w:val="40"/>
          <w:w w:val="105"/>
        </w:rPr>
        <w:t xml:space="preserve"> </w:t>
      </w:r>
      <w:r w:rsidRPr="00283806">
        <w:rPr>
          <w:w w:val="105"/>
        </w:rPr>
        <w:t>regulations</w:t>
      </w:r>
      <w:r w:rsidRPr="00283806">
        <w:rPr>
          <w:spacing w:val="40"/>
          <w:w w:val="105"/>
        </w:rPr>
        <w:t xml:space="preserve"> </w:t>
      </w:r>
      <w:r w:rsidRPr="00283806">
        <w:rPr>
          <w:w w:val="105"/>
        </w:rPr>
        <w:t>to include ‘‘where applicable, substitutes</w:t>
      </w:r>
      <w:r w:rsidRPr="00283806">
        <w:rPr>
          <w:spacing w:val="40"/>
          <w:w w:val="105"/>
        </w:rPr>
        <w:t xml:space="preserve"> </w:t>
      </w:r>
      <w:r w:rsidRPr="00283806">
        <w:rPr>
          <w:w w:val="105"/>
        </w:rPr>
        <w:t>for regulated substances’’ to support implementation of subsection (h)(1), which authorizes certain regulations involving substitutes for regulated substitutes. Substitutes for regulated substances are used in the same applications and often the same equipment as the regulated substances that they are being used in place of.</w:t>
      </w:r>
    </w:p>
    <w:p w14:paraId="60C3944A" w14:textId="77777777" w:rsidR="00D67C1E" w:rsidRPr="00283806" w:rsidRDefault="001265CA">
      <w:pPr>
        <w:pStyle w:val="BodyText"/>
        <w:spacing w:line="225" w:lineRule="auto"/>
        <w:ind w:left="156" w:right="151"/>
      </w:pPr>
      <w:r w:rsidRPr="00283806">
        <w:rPr>
          <w:w w:val="105"/>
        </w:rPr>
        <w:t>Thus, recovering a substitute for a regulated</w:t>
      </w:r>
      <w:r w:rsidRPr="00283806">
        <w:rPr>
          <w:spacing w:val="40"/>
          <w:w w:val="105"/>
        </w:rPr>
        <w:t xml:space="preserve"> </w:t>
      </w:r>
      <w:r w:rsidRPr="00283806">
        <w:rPr>
          <w:w w:val="105"/>
        </w:rPr>
        <w:t>substance</w:t>
      </w:r>
      <w:r w:rsidRPr="00283806">
        <w:rPr>
          <w:spacing w:val="40"/>
          <w:w w:val="105"/>
        </w:rPr>
        <w:t xml:space="preserve"> </w:t>
      </w:r>
      <w:r w:rsidRPr="00283806">
        <w:rPr>
          <w:w w:val="105"/>
        </w:rPr>
        <w:t>would</w:t>
      </w:r>
      <w:r w:rsidRPr="00283806">
        <w:rPr>
          <w:spacing w:val="40"/>
          <w:w w:val="105"/>
        </w:rPr>
        <w:t xml:space="preserve"> </w:t>
      </w:r>
      <w:r w:rsidRPr="00283806">
        <w:rPr>
          <w:w w:val="105"/>
        </w:rPr>
        <w:t>also</w:t>
      </w:r>
      <w:r w:rsidRPr="00283806">
        <w:rPr>
          <w:spacing w:val="40"/>
          <w:w w:val="105"/>
        </w:rPr>
        <w:t xml:space="preserve"> </w:t>
      </w:r>
      <w:r w:rsidRPr="00283806">
        <w:rPr>
          <w:w w:val="105"/>
        </w:rPr>
        <w:t>occur, as appropriate, during the servicing, repair, or disposal of equipment and could be addressed by regulations under subsection (h)(1).</w:t>
      </w:r>
    </w:p>
    <w:p w14:paraId="4A1CCD00" w14:textId="77777777" w:rsidR="00D67C1E" w:rsidRPr="00283806" w:rsidRDefault="001265CA">
      <w:pPr>
        <w:spacing w:line="183" w:lineRule="exact"/>
        <w:ind w:left="336"/>
        <w:rPr>
          <w:sz w:val="18"/>
        </w:rPr>
      </w:pPr>
      <w:r w:rsidRPr="00283806">
        <w:rPr>
          <w:rFonts w:ascii="Book Antiqua"/>
          <w:i/>
          <w:w w:val="105"/>
          <w:sz w:val="18"/>
        </w:rPr>
        <w:t>Comment:</w:t>
      </w:r>
      <w:r w:rsidRPr="00283806">
        <w:rPr>
          <w:rFonts w:ascii="Book Antiqua"/>
          <w:i/>
          <w:spacing w:val="15"/>
          <w:w w:val="105"/>
          <w:sz w:val="18"/>
        </w:rPr>
        <w:t xml:space="preserve"> </w:t>
      </w:r>
      <w:r w:rsidRPr="00283806">
        <w:rPr>
          <w:w w:val="105"/>
          <w:sz w:val="18"/>
        </w:rPr>
        <w:t>One</w:t>
      </w:r>
      <w:r w:rsidRPr="00283806">
        <w:rPr>
          <w:spacing w:val="20"/>
          <w:w w:val="105"/>
          <w:sz w:val="18"/>
        </w:rPr>
        <w:t xml:space="preserve"> </w:t>
      </w:r>
      <w:r w:rsidRPr="00283806">
        <w:rPr>
          <w:w w:val="105"/>
          <w:sz w:val="18"/>
        </w:rPr>
        <w:t>commenter</w:t>
      </w:r>
      <w:r w:rsidRPr="00283806">
        <w:rPr>
          <w:spacing w:val="20"/>
          <w:w w:val="105"/>
          <w:sz w:val="18"/>
        </w:rPr>
        <w:t xml:space="preserve"> </w:t>
      </w:r>
      <w:r w:rsidRPr="00283806">
        <w:rPr>
          <w:w w:val="105"/>
          <w:sz w:val="18"/>
        </w:rPr>
        <w:t>stated</w:t>
      </w:r>
      <w:r w:rsidRPr="00283806">
        <w:rPr>
          <w:spacing w:val="20"/>
          <w:w w:val="105"/>
          <w:sz w:val="18"/>
        </w:rPr>
        <w:t xml:space="preserve"> </w:t>
      </w:r>
      <w:r w:rsidRPr="00283806">
        <w:rPr>
          <w:spacing w:val="-4"/>
          <w:w w:val="105"/>
          <w:sz w:val="18"/>
        </w:rPr>
        <w:t>that</w:t>
      </w:r>
    </w:p>
    <w:p w14:paraId="4DF144FA" w14:textId="77777777" w:rsidR="00D67C1E" w:rsidRPr="00283806" w:rsidRDefault="001265CA">
      <w:pPr>
        <w:pStyle w:val="BodyText"/>
        <w:spacing w:line="225" w:lineRule="auto"/>
        <w:ind w:left="156" w:right="151"/>
      </w:pPr>
      <w:proofErr w:type="gramStart"/>
      <w:r w:rsidRPr="00283806">
        <w:rPr>
          <w:w w:val="110"/>
        </w:rPr>
        <w:t>the</w:t>
      </w:r>
      <w:proofErr w:type="gramEnd"/>
      <w:r w:rsidRPr="00283806">
        <w:rPr>
          <w:w w:val="110"/>
        </w:rPr>
        <w:t xml:space="preserve"> term ‘‘recover’’ is insufficiently defined under the AIM Act and indicated that this could lead to a loophole where virgin HFCs are placed into</w:t>
      </w:r>
      <w:r w:rsidRPr="00283806">
        <w:rPr>
          <w:spacing w:val="-9"/>
          <w:w w:val="110"/>
        </w:rPr>
        <w:t xml:space="preserve"> </w:t>
      </w:r>
      <w:r w:rsidRPr="00283806">
        <w:rPr>
          <w:w w:val="110"/>
        </w:rPr>
        <w:t>equipment</w:t>
      </w:r>
      <w:r w:rsidRPr="00283806">
        <w:rPr>
          <w:spacing w:val="-9"/>
          <w:w w:val="110"/>
        </w:rPr>
        <w:t xml:space="preserve"> </w:t>
      </w:r>
      <w:r w:rsidRPr="00283806">
        <w:rPr>
          <w:w w:val="110"/>
        </w:rPr>
        <w:t>for</w:t>
      </w:r>
      <w:r w:rsidRPr="00283806">
        <w:rPr>
          <w:spacing w:val="-9"/>
          <w:w w:val="110"/>
        </w:rPr>
        <w:t xml:space="preserve"> </w:t>
      </w:r>
      <w:r w:rsidRPr="00283806">
        <w:rPr>
          <w:w w:val="110"/>
        </w:rPr>
        <w:t>only</w:t>
      </w:r>
      <w:r w:rsidRPr="00283806">
        <w:rPr>
          <w:spacing w:val="-9"/>
          <w:w w:val="110"/>
        </w:rPr>
        <w:t xml:space="preserve"> </w:t>
      </w:r>
      <w:r w:rsidRPr="00283806">
        <w:rPr>
          <w:w w:val="110"/>
        </w:rPr>
        <w:t>a</w:t>
      </w:r>
      <w:r w:rsidRPr="00283806">
        <w:rPr>
          <w:spacing w:val="-9"/>
          <w:w w:val="110"/>
        </w:rPr>
        <w:t xml:space="preserve"> </w:t>
      </w:r>
      <w:r w:rsidRPr="00283806">
        <w:rPr>
          <w:w w:val="110"/>
        </w:rPr>
        <w:t>short</w:t>
      </w:r>
      <w:r w:rsidRPr="00283806">
        <w:rPr>
          <w:spacing w:val="-9"/>
          <w:w w:val="110"/>
        </w:rPr>
        <w:t xml:space="preserve"> </w:t>
      </w:r>
      <w:r w:rsidRPr="00283806">
        <w:rPr>
          <w:w w:val="110"/>
        </w:rPr>
        <w:t xml:space="preserve">amount of time and then labeled as recovered. Another commenter stated that EPA </w:t>
      </w:r>
      <w:r w:rsidRPr="00283806">
        <w:t>should consider recovered refrigerant as</w:t>
      </w:r>
      <w:r w:rsidRPr="00283806">
        <w:rPr>
          <w:w w:val="110"/>
        </w:rPr>
        <w:t xml:space="preserve"> refrigerant ‘‘installed in equipment for </w:t>
      </w:r>
      <w:r w:rsidRPr="00283806">
        <w:rPr>
          <w:spacing w:val="-2"/>
          <w:w w:val="110"/>
        </w:rPr>
        <w:t>the</w:t>
      </w:r>
      <w:r w:rsidRPr="00283806">
        <w:rPr>
          <w:spacing w:val="-5"/>
          <w:w w:val="110"/>
        </w:rPr>
        <w:t xml:space="preserve"> </w:t>
      </w:r>
      <w:r w:rsidRPr="00283806">
        <w:rPr>
          <w:spacing w:val="-2"/>
          <w:w w:val="110"/>
        </w:rPr>
        <w:t>purpose</w:t>
      </w:r>
      <w:r w:rsidRPr="00283806">
        <w:rPr>
          <w:spacing w:val="-5"/>
          <w:w w:val="110"/>
        </w:rPr>
        <w:t xml:space="preserve"> </w:t>
      </w:r>
      <w:r w:rsidRPr="00283806">
        <w:rPr>
          <w:spacing w:val="-2"/>
          <w:w w:val="110"/>
        </w:rPr>
        <w:t>of</w:t>
      </w:r>
      <w:r w:rsidRPr="00283806">
        <w:rPr>
          <w:spacing w:val="-5"/>
          <w:w w:val="110"/>
        </w:rPr>
        <w:t xml:space="preserve"> </w:t>
      </w:r>
      <w:r w:rsidRPr="00283806">
        <w:rPr>
          <w:spacing w:val="-2"/>
          <w:w w:val="110"/>
        </w:rPr>
        <w:t>operating</w:t>
      </w:r>
      <w:r w:rsidRPr="00283806">
        <w:rPr>
          <w:spacing w:val="-5"/>
          <w:w w:val="110"/>
        </w:rPr>
        <w:t xml:space="preserve"> </w:t>
      </w:r>
      <w:r w:rsidRPr="00283806">
        <w:rPr>
          <w:spacing w:val="-2"/>
          <w:w w:val="110"/>
        </w:rPr>
        <w:t>the</w:t>
      </w:r>
      <w:r w:rsidRPr="00283806">
        <w:rPr>
          <w:spacing w:val="-5"/>
          <w:w w:val="110"/>
        </w:rPr>
        <w:t xml:space="preserve"> </w:t>
      </w:r>
      <w:r w:rsidRPr="00283806">
        <w:rPr>
          <w:spacing w:val="-2"/>
          <w:w w:val="110"/>
        </w:rPr>
        <w:t xml:space="preserve">equipment </w:t>
      </w:r>
      <w:r w:rsidRPr="00283806">
        <w:rPr>
          <w:w w:val="110"/>
        </w:rPr>
        <w:t>for an extended amount of time.’’</w:t>
      </w:r>
    </w:p>
    <w:p w14:paraId="3BF00BB4" w14:textId="77777777" w:rsidR="00D67C1E" w:rsidRPr="00283806" w:rsidRDefault="001265CA">
      <w:pPr>
        <w:spacing w:line="181" w:lineRule="exact"/>
        <w:ind w:left="156" w:firstLine="180"/>
        <w:rPr>
          <w:sz w:val="18"/>
        </w:rPr>
      </w:pPr>
      <w:r w:rsidRPr="00283806">
        <w:rPr>
          <w:rFonts w:ascii="Book Antiqua"/>
          <w:i/>
          <w:w w:val="105"/>
          <w:sz w:val="18"/>
        </w:rPr>
        <w:t>Response:</w:t>
      </w:r>
      <w:r w:rsidRPr="00283806">
        <w:rPr>
          <w:rFonts w:ascii="Book Antiqua"/>
          <w:i/>
          <w:spacing w:val="28"/>
          <w:w w:val="105"/>
          <w:sz w:val="18"/>
        </w:rPr>
        <w:t xml:space="preserve"> </w:t>
      </w:r>
      <w:r w:rsidRPr="00283806">
        <w:rPr>
          <w:w w:val="105"/>
          <w:sz w:val="18"/>
        </w:rPr>
        <w:t>EPA</w:t>
      </w:r>
      <w:r w:rsidRPr="00283806">
        <w:rPr>
          <w:spacing w:val="34"/>
          <w:w w:val="105"/>
          <w:sz w:val="18"/>
        </w:rPr>
        <w:t xml:space="preserve"> </w:t>
      </w:r>
      <w:r w:rsidRPr="00283806">
        <w:rPr>
          <w:w w:val="105"/>
          <w:sz w:val="18"/>
        </w:rPr>
        <w:t>responds</w:t>
      </w:r>
      <w:r w:rsidRPr="00283806">
        <w:rPr>
          <w:spacing w:val="34"/>
          <w:w w:val="105"/>
          <w:sz w:val="18"/>
        </w:rPr>
        <w:t xml:space="preserve"> </w:t>
      </w:r>
      <w:r w:rsidRPr="00283806">
        <w:rPr>
          <w:w w:val="105"/>
          <w:sz w:val="18"/>
        </w:rPr>
        <w:t>that,</w:t>
      </w:r>
      <w:r w:rsidRPr="00283806">
        <w:rPr>
          <w:spacing w:val="34"/>
          <w:w w:val="105"/>
          <w:sz w:val="18"/>
        </w:rPr>
        <w:t xml:space="preserve"> </w:t>
      </w:r>
      <w:r w:rsidRPr="00283806">
        <w:rPr>
          <w:spacing w:val="-5"/>
          <w:w w:val="105"/>
          <w:sz w:val="18"/>
        </w:rPr>
        <w:t>as</w:t>
      </w:r>
    </w:p>
    <w:p w14:paraId="02FDCCEA" w14:textId="77777777" w:rsidR="00D67C1E" w:rsidRPr="00283806" w:rsidRDefault="001265CA">
      <w:pPr>
        <w:pStyle w:val="BodyText"/>
        <w:spacing w:line="225" w:lineRule="auto"/>
        <w:ind w:left="156" w:right="178"/>
      </w:pPr>
      <w:r w:rsidRPr="00283806">
        <w:rPr>
          <w:w w:val="105"/>
        </w:rPr>
        <w:t>noted above, subsection (b)(10) of the AIM Act defines ‘‘recover’’ as ‘‘the</w:t>
      </w:r>
      <w:r w:rsidRPr="00283806">
        <w:rPr>
          <w:spacing w:val="40"/>
          <w:w w:val="105"/>
        </w:rPr>
        <w:t xml:space="preserve"> </w:t>
      </w:r>
      <w:r w:rsidRPr="00283806">
        <w:rPr>
          <w:w w:val="105"/>
        </w:rPr>
        <w:t>process by which a regulated substance</w:t>
      </w:r>
      <w:r w:rsidRPr="00283806">
        <w:rPr>
          <w:spacing w:val="40"/>
          <w:w w:val="105"/>
        </w:rPr>
        <w:t xml:space="preserve"> </w:t>
      </w:r>
      <w:r w:rsidRPr="00283806">
        <w:rPr>
          <w:w w:val="105"/>
        </w:rPr>
        <w:t xml:space="preserve">is (A) removed, in any condition, from equipment; and (B) stored in an external container, with or without testing or processing the regulated </w:t>
      </w:r>
      <w:proofErr w:type="gramStart"/>
      <w:r w:rsidRPr="00283806">
        <w:rPr>
          <w:w w:val="105"/>
        </w:rPr>
        <w:t>substance.’</w:t>
      </w:r>
      <w:proofErr w:type="gramEnd"/>
      <w:r w:rsidRPr="00283806">
        <w:rPr>
          <w:w w:val="105"/>
        </w:rPr>
        <w:t>’</w:t>
      </w:r>
      <w:r w:rsidRPr="00283806">
        <w:rPr>
          <w:spacing w:val="40"/>
          <w:w w:val="105"/>
        </w:rPr>
        <w:t xml:space="preserve"> </w:t>
      </w:r>
      <w:r w:rsidRPr="00283806">
        <w:rPr>
          <w:w w:val="105"/>
        </w:rPr>
        <w:t xml:space="preserve">This definition is </w:t>
      </w:r>
      <w:proofErr w:type="gramStart"/>
      <w:r w:rsidRPr="00283806">
        <w:rPr>
          <w:w w:val="105"/>
        </w:rPr>
        <w:t>similar to</w:t>
      </w:r>
      <w:proofErr w:type="gramEnd"/>
      <w:r w:rsidRPr="00283806">
        <w:rPr>
          <w:w w:val="105"/>
        </w:rPr>
        <w:t xml:space="preserve"> the same</w:t>
      </w:r>
      <w:r w:rsidRPr="00283806">
        <w:rPr>
          <w:spacing w:val="40"/>
          <w:w w:val="105"/>
        </w:rPr>
        <w:t xml:space="preserve"> </w:t>
      </w:r>
      <w:r w:rsidRPr="00283806">
        <w:rPr>
          <w:w w:val="105"/>
        </w:rPr>
        <w:t>term</w:t>
      </w:r>
      <w:r w:rsidRPr="00283806">
        <w:rPr>
          <w:spacing w:val="39"/>
          <w:w w:val="105"/>
        </w:rPr>
        <w:t xml:space="preserve"> </w:t>
      </w:r>
      <w:r w:rsidRPr="00283806">
        <w:rPr>
          <w:w w:val="105"/>
        </w:rPr>
        <w:t>as</w:t>
      </w:r>
      <w:r w:rsidRPr="00283806">
        <w:rPr>
          <w:spacing w:val="39"/>
          <w:w w:val="105"/>
        </w:rPr>
        <w:t xml:space="preserve"> </w:t>
      </w:r>
      <w:r w:rsidRPr="00283806">
        <w:rPr>
          <w:w w:val="105"/>
        </w:rPr>
        <w:t>defined</w:t>
      </w:r>
      <w:r w:rsidRPr="00283806">
        <w:rPr>
          <w:spacing w:val="39"/>
          <w:w w:val="105"/>
        </w:rPr>
        <w:t xml:space="preserve"> </w:t>
      </w:r>
      <w:r w:rsidRPr="00283806">
        <w:rPr>
          <w:w w:val="105"/>
        </w:rPr>
        <w:t>in</w:t>
      </w:r>
      <w:r w:rsidRPr="00283806">
        <w:rPr>
          <w:spacing w:val="39"/>
          <w:w w:val="105"/>
        </w:rPr>
        <w:t xml:space="preserve"> </w:t>
      </w:r>
      <w:r w:rsidRPr="00283806">
        <w:rPr>
          <w:w w:val="105"/>
        </w:rPr>
        <w:t>40</w:t>
      </w:r>
      <w:r w:rsidRPr="00283806">
        <w:rPr>
          <w:spacing w:val="39"/>
          <w:w w:val="105"/>
        </w:rPr>
        <w:t xml:space="preserve"> </w:t>
      </w:r>
      <w:r w:rsidRPr="00283806">
        <w:rPr>
          <w:w w:val="105"/>
        </w:rPr>
        <w:t>CFR</w:t>
      </w:r>
      <w:r w:rsidRPr="00283806">
        <w:rPr>
          <w:spacing w:val="39"/>
          <w:w w:val="105"/>
        </w:rPr>
        <w:t xml:space="preserve"> </w:t>
      </w:r>
      <w:r w:rsidRPr="00283806">
        <w:rPr>
          <w:w w:val="105"/>
        </w:rPr>
        <w:t>82.152, which defines ‘‘recover’’ to mean ‘‘to remove refrigerant in any condition</w:t>
      </w:r>
      <w:r w:rsidRPr="00283806">
        <w:rPr>
          <w:spacing w:val="80"/>
          <w:w w:val="105"/>
        </w:rPr>
        <w:t xml:space="preserve"> </w:t>
      </w:r>
      <w:r w:rsidRPr="00283806">
        <w:rPr>
          <w:w w:val="105"/>
        </w:rPr>
        <w:t xml:space="preserve">from an appliance and </w:t>
      </w:r>
      <w:proofErr w:type="gramStart"/>
      <w:r w:rsidRPr="00283806">
        <w:rPr>
          <w:w w:val="105"/>
        </w:rPr>
        <w:t>to store</w:t>
      </w:r>
      <w:proofErr w:type="gramEnd"/>
      <w:r w:rsidRPr="00283806">
        <w:rPr>
          <w:w w:val="105"/>
        </w:rPr>
        <w:t xml:space="preserve"> it in an external container without necessarily testing or processing it in any </w:t>
      </w:r>
      <w:proofErr w:type="gramStart"/>
      <w:r w:rsidRPr="00283806">
        <w:rPr>
          <w:w w:val="105"/>
        </w:rPr>
        <w:t>way.’’</w:t>
      </w:r>
      <w:proofErr w:type="gramEnd"/>
      <w:r w:rsidRPr="00283806">
        <w:rPr>
          <w:w w:val="105"/>
        </w:rPr>
        <w:t xml:space="preserve"> While charging a regulated substance into a piece of equipment and then recovering it without allowing it to be used for its intended purpose could be</w:t>
      </w:r>
    </w:p>
    <w:p w14:paraId="5DAADC49"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8" w:space="40"/>
            <w:col w:w="3487" w:space="39"/>
            <w:col w:w="3636"/>
          </w:cols>
        </w:sectPr>
      </w:pPr>
    </w:p>
    <w:p w14:paraId="7ED1CDF6" w14:textId="77777777" w:rsidR="00D67C1E" w:rsidRPr="00283806" w:rsidRDefault="001265CA">
      <w:pPr>
        <w:pStyle w:val="BodyText"/>
        <w:spacing w:before="136" w:line="225" w:lineRule="auto"/>
        <w:ind w:right="27"/>
      </w:pPr>
      <w:r w:rsidRPr="00283806">
        <w:rPr>
          <w:w w:val="105"/>
        </w:rPr>
        <w:lastRenderedPageBreak/>
        <w:t xml:space="preserve">a loophole, EPA has not encountered confusion around this term under the CAA regulations at 40 CFR 82.152, and the commenters did not provide sufficient rationale to change this aspect of the statutorily defined term in this </w:t>
      </w:r>
      <w:r w:rsidRPr="00283806">
        <w:rPr>
          <w:spacing w:val="-2"/>
          <w:w w:val="105"/>
        </w:rPr>
        <w:t>regulation.</w:t>
      </w:r>
    </w:p>
    <w:p w14:paraId="51D7475C" w14:textId="77777777" w:rsidR="00D67C1E" w:rsidRPr="00283806" w:rsidRDefault="001265CA">
      <w:pPr>
        <w:pStyle w:val="BodyText"/>
        <w:spacing w:line="178" w:lineRule="exact"/>
        <w:ind w:left="340"/>
      </w:pPr>
      <w:r w:rsidRPr="00283806">
        <w:rPr>
          <w:w w:val="105"/>
        </w:rPr>
        <w:t>The</w:t>
      </w:r>
      <w:r w:rsidRPr="00283806">
        <w:rPr>
          <w:spacing w:val="10"/>
          <w:w w:val="105"/>
        </w:rPr>
        <w:t xml:space="preserve"> </w:t>
      </w:r>
      <w:r w:rsidRPr="00283806">
        <w:rPr>
          <w:w w:val="105"/>
        </w:rPr>
        <w:t>Agency</w:t>
      </w:r>
      <w:r w:rsidRPr="00283806">
        <w:rPr>
          <w:spacing w:val="11"/>
          <w:w w:val="105"/>
        </w:rPr>
        <w:t xml:space="preserve"> </w:t>
      </w:r>
      <w:r w:rsidRPr="00283806">
        <w:rPr>
          <w:w w:val="105"/>
        </w:rPr>
        <w:t>however</w:t>
      </w:r>
      <w:r w:rsidRPr="00283806">
        <w:rPr>
          <w:spacing w:val="11"/>
          <w:w w:val="105"/>
        </w:rPr>
        <w:t xml:space="preserve"> </w:t>
      </w:r>
      <w:r w:rsidRPr="00283806">
        <w:rPr>
          <w:w w:val="105"/>
        </w:rPr>
        <w:t>takes</w:t>
      </w:r>
      <w:r w:rsidRPr="00283806">
        <w:rPr>
          <w:spacing w:val="11"/>
          <w:w w:val="105"/>
        </w:rPr>
        <w:t xml:space="preserve"> </w:t>
      </w:r>
      <w:r w:rsidRPr="00283806">
        <w:rPr>
          <w:w w:val="105"/>
        </w:rPr>
        <w:t>note</w:t>
      </w:r>
      <w:r w:rsidRPr="00283806">
        <w:rPr>
          <w:spacing w:val="10"/>
          <w:w w:val="105"/>
        </w:rPr>
        <w:t xml:space="preserve"> </w:t>
      </w:r>
      <w:r w:rsidRPr="00283806">
        <w:rPr>
          <w:w w:val="105"/>
        </w:rPr>
        <w:t>of</w:t>
      </w:r>
      <w:r w:rsidRPr="00283806">
        <w:rPr>
          <w:spacing w:val="11"/>
          <w:w w:val="105"/>
        </w:rPr>
        <w:t xml:space="preserve"> </w:t>
      </w:r>
      <w:r w:rsidRPr="00283806">
        <w:rPr>
          <w:spacing w:val="-5"/>
          <w:w w:val="105"/>
        </w:rPr>
        <w:t>the</w:t>
      </w:r>
    </w:p>
    <w:p w14:paraId="4AD96AF7" w14:textId="77777777" w:rsidR="00D67C1E" w:rsidRPr="00283806" w:rsidRDefault="001265CA">
      <w:pPr>
        <w:pStyle w:val="BodyText"/>
        <w:spacing w:before="4" w:line="225" w:lineRule="auto"/>
        <w:ind w:right="86"/>
      </w:pPr>
      <w:r w:rsidRPr="00283806">
        <w:rPr>
          <w:w w:val="105"/>
        </w:rPr>
        <w:t>scenario the commenter provided as a potential means for circumventing the requirements and views such an approach as inconsistent with the intent of the definition. Moreover, EPA is establishing a definition of ‘‘virgin regulated substance’’ in this rulemaking to make it clear that introduction of a regulated substance to equipment, such as a refrigerant-containing appliance or fire suppression equipment, solely or primarily to convert or attempt to convert its status to a ‘‘used’’ regulated substance and circumvent the intended requirements of this rule is not permissible. A regulated substance that has had no bona fide use in equipment (as described in the definition for</w:t>
      </w:r>
      <w:r w:rsidRPr="00283806">
        <w:rPr>
          <w:spacing w:val="80"/>
          <w:w w:val="105"/>
        </w:rPr>
        <w:t xml:space="preserve"> </w:t>
      </w:r>
      <w:r w:rsidRPr="00283806">
        <w:rPr>
          <w:w w:val="105"/>
        </w:rPr>
        <w:t>‘‘virgin</w:t>
      </w:r>
      <w:r w:rsidRPr="00283806">
        <w:rPr>
          <w:spacing w:val="40"/>
          <w:w w:val="105"/>
        </w:rPr>
        <w:t xml:space="preserve"> </w:t>
      </w:r>
      <w:r w:rsidRPr="00283806">
        <w:rPr>
          <w:w w:val="105"/>
        </w:rPr>
        <w:t>regulated</w:t>
      </w:r>
      <w:r w:rsidRPr="00283806">
        <w:rPr>
          <w:spacing w:val="40"/>
          <w:w w:val="105"/>
        </w:rPr>
        <w:t xml:space="preserve"> </w:t>
      </w:r>
      <w:r w:rsidRPr="00283806">
        <w:rPr>
          <w:w w:val="105"/>
        </w:rPr>
        <w:t>substance’’)</w:t>
      </w:r>
      <w:r w:rsidRPr="00283806">
        <w:rPr>
          <w:spacing w:val="40"/>
          <w:w w:val="105"/>
        </w:rPr>
        <w:t xml:space="preserve"> </w:t>
      </w:r>
      <w:r w:rsidRPr="00283806">
        <w:rPr>
          <w:w w:val="105"/>
        </w:rPr>
        <w:t xml:space="preserve">would still be considered a virgin regulated </w:t>
      </w:r>
      <w:r w:rsidRPr="00283806">
        <w:rPr>
          <w:spacing w:val="-2"/>
          <w:w w:val="105"/>
        </w:rPr>
        <w:t>substance.</w:t>
      </w:r>
    </w:p>
    <w:p w14:paraId="11E957B5" w14:textId="77777777" w:rsidR="00D67C1E" w:rsidRPr="00283806" w:rsidRDefault="001265CA">
      <w:pPr>
        <w:spacing w:line="178" w:lineRule="exact"/>
        <w:ind w:left="340"/>
        <w:rPr>
          <w:sz w:val="18"/>
        </w:rPr>
      </w:pPr>
      <w:r w:rsidRPr="00283806">
        <w:rPr>
          <w:rFonts w:ascii="Book Antiqua"/>
          <w:i/>
          <w:w w:val="110"/>
          <w:sz w:val="18"/>
        </w:rPr>
        <w:t>Refrigerant.</w:t>
      </w:r>
      <w:r w:rsidRPr="00283806">
        <w:rPr>
          <w:rFonts w:ascii="Book Antiqua"/>
          <w:i/>
          <w:spacing w:val="-10"/>
          <w:w w:val="110"/>
          <w:sz w:val="18"/>
        </w:rPr>
        <w:t xml:space="preserve"> </w:t>
      </w:r>
      <w:r w:rsidRPr="00283806">
        <w:rPr>
          <w:w w:val="110"/>
          <w:sz w:val="18"/>
        </w:rPr>
        <w:t>EPA</w:t>
      </w:r>
      <w:r w:rsidRPr="00283806">
        <w:rPr>
          <w:spacing w:val="-4"/>
          <w:w w:val="110"/>
          <w:sz w:val="18"/>
        </w:rPr>
        <w:t xml:space="preserve"> </w:t>
      </w:r>
      <w:r w:rsidRPr="00283806">
        <w:rPr>
          <w:w w:val="110"/>
          <w:sz w:val="18"/>
        </w:rPr>
        <w:t>proposed</w:t>
      </w:r>
      <w:r w:rsidRPr="00283806">
        <w:rPr>
          <w:spacing w:val="-4"/>
          <w:w w:val="110"/>
          <w:sz w:val="18"/>
        </w:rPr>
        <w:t xml:space="preserve"> </w:t>
      </w:r>
      <w:r w:rsidRPr="00283806">
        <w:rPr>
          <w:w w:val="110"/>
          <w:sz w:val="18"/>
        </w:rPr>
        <w:t>this</w:t>
      </w:r>
      <w:r w:rsidRPr="00283806">
        <w:rPr>
          <w:spacing w:val="-4"/>
          <w:w w:val="110"/>
          <w:sz w:val="18"/>
        </w:rPr>
        <w:t xml:space="preserve"> term</w:t>
      </w:r>
    </w:p>
    <w:p w14:paraId="3FD6634A" w14:textId="77777777" w:rsidR="00D67C1E" w:rsidRPr="00283806" w:rsidRDefault="001265CA">
      <w:pPr>
        <w:pStyle w:val="BodyText"/>
        <w:spacing w:line="225" w:lineRule="auto"/>
        <w:ind w:right="90"/>
      </w:pPr>
      <w:r w:rsidRPr="00283806">
        <w:rPr>
          <w:w w:val="105"/>
        </w:rPr>
        <w:t xml:space="preserve">to </w:t>
      </w:r>
      <w:proofErr w:type="gramStart"/>
      <w:r w:rsidRPr="00283806">
        <w:rPr>
          <w:w w:val="105"/>
        </w:rPr>
        <w:t>mean, ‘‘</w:t>
      </w:r>
      <w:proofErr w:type="gramEnd"/>
      <w:r w:rsidRPr="00283806">
        <w:rPr>
          <w:w w:val="105"/>
        </w:rPr>
        <w:t xml:space="preserve">for purposes of this subpart, any substance, including blends and mixtures, </w:t>
      </w:r>
      <w:proofErr w:type="gramStart"/>
      <w:r w:rsidRPr="00283806">
        <w:rPr>
          <w:w w:val="105"/>
        </w:rPr>
        <w:t>consisting in part</w:t>
      </w:r>
      <w:proofErr w:type="gramEnd"/>
      <w:r w:rsidRPr="00283806">
        <w:rPr>
          <w:w w:val="105"/>
        </w:rPr>
        <w:t xml:space="preserve"> or whole of</w:t>
      </w:r>
      <w:r w:rsidRPr="00283806">
        <w:rPr>
          <w:spacing w:val="40"/>
          <w:w w:val="105"/>
        </w:rPr>
        <w:t xml:space="preserve"> </w:t>
      </w:r>
      <w:r w:rsidRPr="00283806">
        <w:rPr>
          <w:w w:val="105"/>
        </w:rPr>
        <w:t>a</w:t>
      </w:r>
      <w:r w:rsidRPr="00283806">
        <w:rPr>
          <w:spacing w:val="-2"/>
          <w:w w:val="105"/>
        </w:rPr>
        <w:t xml:space="preserve"> </w:t>
      </w:r>
      <w:r w:rsidRPr="00283806">
        <w:rPr>
          <w:w w:val="105"/>
        </w:rPr>
        <w:t>regulated</w:t>
      </w:r>
      <w:r w:rsidRPr="00283806">
        <w:rPr>
          <w:spacing w:val="-3"/>
          <w:w w:val="105"/>
        </w:rPr>
        <w:t xml:space="preserve"> </w:t>
      </w:r>
      <w:r w:rsidRPr="00283806">
        <w:rPr>
          <w:w w:val="105"/>
        </w:rPr>
        <w:t>substance</w:t>
      </w:r>
      <w:r w:rsidRPr="00283806">
        <w:rPr>
          <w:spacing w:val="-2"/>
          <w:w w:val="105"/>
        </w:rPr>
        <w:t xml:space="preserve"> </w:t>
      </w:r>
      <w:r w:rsidRPr="00283806">
        <w:rPr>
          <w:w w:val="105"/>
        </w:rPr>
        <w:t>or</w:t>
      </w:r>
      <w:r w:rsidRPr="00283806">
        <w:rPr>
          <w:spacing w:val="-3"/>
          <w:w w:val="105"/>
        </w:rPr>
        <w:t xml:space="preserve"> </w:t>
      </w:r>
      <w:r w:rsidRPr="00283806">
        <w:rPr>
          <w:w w:val="105"/>
        </w:rPr>
        <w:t>a</w:t>
      </w:r>
      <w:r w:rsidRPr="00283806">
        <w:rPr>
          <w:spacing w:val="-2"/>
          <w:w w:val="105"/>
        </w:rPr>
        <w:t xml:space="preserve"> </w:t>
      </w:r>
      <w:r w:rsidRPr="00283806">
        <w:rPr>
          <w:w w:val="105"/>
        </w:rPr>
        <w:t>substitute</w:t>
      </w:r>
      <w:r w:rsidRPr="00283806">
        <w:rPr>
          <w:spacing w:val="-3"/>
          <w:w w:val="105"/>
        </w:rPr>
        <w:t xml:space="preserve"> </w:t>
      </w:r>
      <w:r w:rsidRPr="00283806">
        <w:rPr>
          <w:w w:val="105"/>
        </w:rPr>
        <w:t>for a regulated substance that is used for heat transfer purposes, including those that provide a cooling effect.’’</w:t>
      </w:r>
    </w:p>
    <w:p w14:paraId="1EABF1FD" w14:textId="77777777" w:rsidR="00D67C1E" w:rsidRPr="00283806" w:rsidRDefault="001265CA">
      <w:pPr>
        <w:pStyle w:val="BodyText"/>
        <w:spacing w:line="178" w:lineRule="exact"/>
        <w:ind w:left="340"/>
      </w:pPr>
      <w:r w:rsidRPr="00283806">
        <w:rPr>
          <w:w w:val="110"/>
        </w:rPr>
        <w:t>After</w:t>
      </w:r>
      <w:r w:rsidRPr="00283806">
        <w:rPr>
          <w:spacing w:val="-9"/>
          <w:w w:val="110"/>
        </w:rPr>
        <w:t xml:space="preserve"> </w:t>
      </w:r>
      <w:r w:rsidRPr="00283806">
        <w:rPr>
          <w:w w:val="110"/>
        </w:rPr>
        <w:t>considering</w:t>
      </w:r>
      <w:r w:rsidRPr="00283806">
        <w:rPr>
          <w:spacing w:val="-9"/>
          <w:w w:val="110"/>
        </w:rPr>
        <w:t xml:space="preserve"> </w:t>
      </w:r>
      <w:r w:rsidRPr="00283806">
        <w:rPr>
          <w:w w:val="110"/>
        </w:rPr>
        <w:t>comments,</w:t>
      </w:r>
      <w:r w:rsidRPr="00283806">
        <w:rPr>
          <w:spacing w:val="-8"/>
          <w:w w:val="110"/>
        </w:rPr>
        <w:t xml:space="preserve"> </w:t>
      </w:r>
      <w:r w:rsidRPr="00283806">
        <w:rPr>
          <w:w w:val="110"/>
        </w:rPr>
        <w:t>EPA</w:t>
      </w:r>
      <w:r w:rsidRPr="00283806">
        <w:rPr>
          <w:spacing w:val="-9"/>
          <w:w w:val="110"/>
        </w:rPr>
        <w:t xml:space="preserve"> </w:t>
      </w:r>
      <w:r w:rsidRPr="00283806">
        <w:rPr>
          <w:spacing w:val="-5"/>
          <w:w w:val="110"/>
        </w:rPr>
        <w:t>is</w:t>
      </w:r>
    </w:p>
    <w:p w14:paraId="456F4429" w14:textId="77777777" w:rsidR="00D67C1E" w:rsidRPr="00283806" w:rsidRDefault="001265CA">
      <w:pPr>
        <w:pStyle w:val="BodyText"/>
        <w:spacing w:before="2" w:line="225" w:lineRule="auto"/>
        <w:ind w:right="27"/>
      </w:pPr>
      <w:r w:rsidRPr="00283806">
        <w:rPr>
          <w:w w:val="105"/>
        </w:rPr>
        <w:t>modifying the final definition by</w:t>
      </w:r>
      <w:r w:rsidRPr="00283806">
        <w:rPr>
          <w:spacing w:val="40"/>
          <w:w w:val="105"/>
        </w:rPr>
        <w:t xml:space="preserve"> </w:t>
      </w:r>
      <w:r w:rsidRPr="00283806">
        <w:rPr>
          <w:w w:val="105"/>
        </w:rPr>
        <w:t>replacing the phrase ‘‘including those</w:t>
      </w:r>
      <w:r w:rsidRPr="00283806">
        <w:rPr>
          <w:spacing w:val="40"/>
          <w:w w:val="105"/>
        </w:rPr>
        <w:t xml:space="preserve"> </w:t>
      </w:r>
      <w:r w:rsidRPr="00283806">
        <w:rPr>
          <w:w w:val="105"/>
        </w:rPr>
        <w:t>that provide a cooling effect’’ with the phrase ‘‘and provides a cooling effect.’’ This change aligns with the definition of ‘‘refrigerant’’ in 40 CFR 82.152 and will maintain a consistent understanding of the</w:t>
      </w:r>
      <w:r w:rsidRPr="00283806">
        <w:rPr>
          <w:spacing w:val="29"/>
          <w:w w:val="105"/>
        </w:rPr>
        <w:t xml:space="preserve"> </w:t>
      </w:r>
      <w:r w:rsidRPr="00283806">
        <w:rPr>
          <w:w w:val="105"/>
        </w:rPr>
        <w:t>term</w:t>
      </w:r>
      <w:r w:rsidRPr="00283806">
        <w:rPr>
          <w:spacing w:val="29"/>
          <w:w w:val="105"/>
        </w:rPr>
        <w:t xml:space="preserve"> </w:t>
      </w:r>
      <w:r w:rsidRPr="00283806">
        <w:rPr>
          <w:w w:val="105"/>
        </w:rPr>
        <w:t>in</w:t>
      </w:r>
      <w:r w:rsidRPr="00283806">
        <w:rPr>
          <w:spacing w:val="29"/>
          <w:w w:val="105"/>
        </w:rPr>
        <w:t xml:space="preserve"> </w:t>
      </w:r>
      <w:r w:rsidRPr="00283806">
        <w:rPr>
          <w:w w:val="105"/>
        </w:rPr>
        <w:t>the</w:t>
      </w:r>
      <w:r w:rsidRPr="00283806">
        <w:rPr>
          <w:spacing w:val="29"/>
          <w:w w:val="105"/>
        </w:rPr>
        <w:t xml:space="preserve"> </w:t>
      </w:r>
      <w:r w:rsidRPr="00283806">
        <w:rPr>
          <w:w w:val="105"/>
        </w:rPr>
        <w:t>ER&amp;R</w:t>
      </w:r>
      <w:r w:rsidRPr="00283806">
        <w:rPr>
          <w:spacing w:val="29"/>
          <w:w w:val="105"/>
        </w:rPr>
        <w:t xml:space="preserve"> </w:t>
      </w:r>
      <w:r w:rsidRPr="00283806">
        <w:rPr>
          <w:w w:val="105"/>
        </w:rPr>
        <w:t>program</w:t>
      </w:r>
      <w:r w:rsidRPr="00283806">
        <w:rPr>
          <w:spacing w:val="29"/>
          <w:w w:val="105"/>
        </w:rPr>
        <w:t xml:space="preserve"> </w:t>
      </w:r>
      <w:r w:rsidRPr="00283806">
        <w:rPr>
          <w:w w:val="105"/>
        </w:rPr>
        <w:t>and</w:t>
      </w:r>
      <w:r w:rsidRPr="00283806">
        <w:rPr>
          <w:spacing w:val="29"/>
          <w:w w:val="105"/>
        </w:rPr>
        <w:t xml:space="preserve"> </w:t>
      </w:r>
      <w:r w:rsidRPr="00283806">
        <w:rPr>
          <w:w w:val="105"/>
        </w:rPr>
        <w:t>in the regulations under section 608 of the CAA. EPA is also removing the phrase</w:t>
      </w:r>
      <w:r w:rsidRPr="00283806">
        <w:rPr>
          <w:spacing w:val="40"/>
          <w:w w:val="105"/>
        </w:rPr>
        <w:t xml:space="preserve"> </w:t>
      </w:r>
      <w:r w:rsidRPr="00283806">
        <w:rPr>
          <w:w w:val="105"/>
        </w:rPr>
        <w:t>‘‘for the purposes of this subpart’’ from this definition for reasons stated in section IV.A.1 of this preamble.</w:t>
      </w:r>
    </w:p>
    <w:p w14:paraId="5896BD26" w14:textId="77777777" w:rsidR="00D67C1E" w:rsidRPr="00283806" w:rsidRDefault="001265CA">
      <w:pPr>
        <w:pStyle w:val="BodyText"/>
        <w:spacing w:line="213" w:lineRule="auto"/>
        <w:ind w:right="27" w:firstLine="180"/>
      </w:pPr>
      <w:r w:rsidRPr="00283806">
        <w:rPr>
          <w:rFonts w:ascii="Book Antiqua"/>
          <w:i/>
          <w:w w:val="105"/>
        </w:rPr>
        <w:t xml:space="preserve">Comment: </w:t>
      </w:r>
      <w:r w:rsidRPr="00283806">
        <w:rPr>
          <w:w w:val="105"/>
        </w:rPr>
        <w:t>One commenter asked whether heat transfer fluids that do not</w:t>
      </w:r>
    </w:p>
    <w:p w14:paraId="29E335FE" w14:textId="77777777" w:rsidR="00D67C1E" w:rsidRPr="00283806" w:rsidRDefault="001265CA">
      <w:pPr>
        <w:pStyle w:val="BodyText"/>
        <w:spacing w:line="228" w:lineRule="auto"/>
        <w:ind w:right="6"/>
      </w:pPr>
      <w:r w:rsidRPr="00283806">
        <w:rPr>
          <w:w w:val="105"/>
        </w:rPr>
        <w:t>provide a cooling effect are regulated under this rule. The commenter stated that EPA’s proposed definition could include heat transfer fluids that do not provide a cooling effect, including fluorinated heat transfer fluids (F–</w:t>
      </w:r>
      <w:r w:rsidRPr="00283806">
        <w:rPr>
          <w:spacing w:val="40"/>
          <w:w w:val="105"/>
        </w:rPr>
        <w:t xml:space="preserve"> </w:t>
      </w:r>
      <w:r w:rsidRPr="00283806">
        <w:rPr>
          <w:w w:val="105"/>
        </w:rPr>
        <w:t>HTFs). The commenter indicated that</w:t>
      </w:r>
      <w:r w:rsidRPr="00283806">
        <w:rPr>
          <w:spacing w:val="40"/>
          <w:w w:val="105"/>
        </w:rPr>
        <w:t xml:space="preserve"> </w:t>
      </w:r>
      <w:r w:rsidRPr="00283806">
        <w:rPr>
          <w:w w:val="105"/>
        </w:rPr>
        <w:t>this</w:t>
      </w:r>
      <w:r w:rsidRPr="00283806">
        <w:rPr>
          <w:spacing w:val="40"/>
          <w:w w:val="105"/>
        </w:rPr>
        <w:t xml:space="preserve"> </w:t>
      </w:r>
      <w:r w:rsidRPr="00283806">
        <w:rPr>
          <w:w w:val="105"/>
        </w:rPr>
        <w:t>was</w:t>
      </w:r>
      <w:r w:rsidRPr="00283806">
        <w:rPr>
          <w:spacing w:val="40"/>
          <w:w w:val="105"/>
        </w:rPr>
        <w:t xml:space="preserve"> </w:t>
      </w:r>
      <w:r w:rsidRPr="00283806">
        <w:rPr>
          <w:w w:val="105"/>
        </w:rPr>
        <w:t>likely</w:t>
      </w:r>
      <w:r w:rsidRPr="00283806">
        <w:rPr>
          <w:spacing w:val="40"/>
          <w:w w:val="105"/>
        </w:rPr>
        <w:t xml:space="preserve"> </w:t>
      </w:r>
      <w:r w:rsidRPr="00283806">
        <w:rPr>
          <w:w w:val="105"/>
        </w:rPr>
        <w:t>not</w:t>
      </w:r>
      <w:r w:rsidRPr="00283806">
        <w:rPr>
          <w:spacing w:val="40"/>
          <w:w w:val="105"/>
        </w:rPr>
        <w:t xml:space="preserve"> </w:t>
      </w:r>
      <w:r w:rsidRPr="00283806">
        <w:rPr>
          <w:w w:val="105"/>
        </w:rPr>
        <w:t>EPA’s</w:t>
      </w:r>
      <w:r w:rsidRPr="00283806">
        <w:rPr>
          <w:spacing w:val="40"/>
          <w:w w:val="105"/>
        </w:rPr>
        <w:t xml:space="preserve"> </w:t>
      </w:r>
      <w:r w:rsidRPr="00283806">
        <w:rPr>
          <w:w w:val="105"/>
        </w:rPr>
        <w:t>intention, citing EPA’s rulemaking 69 FR at 11946, 11957 (March 12, 2004), which</w:t>
      </w:r>
      <w:r w:rsidRPr="00283806">
        <w:rPr>
          <w:spacing w:val="80"/>
          <w:w w:val="150"/>
        </w:rPr>
        <w:t xml:space="preserve"> </w:t>
      </w:r>
      <w:r w:rsidRPr="00283806">
        <w:rPr>
          <w:w w:val="105"/>
        </w:rPr>
        <w:t>excluded heat transfer fluids that do not provide a cooling effect. The commenter further stated that F–HTFs have never been</w:t>
      </w:r>
      <w:r w:rsidRPr="00283806">
        <w:rPr>
          <w:spacing w:val="40"/>
          <w:w w:val="105"/>
        </w:rPr>
        <w:t xml:space="preserve"> </w:t>
      </w:r>
      <w:r w:rsidRPr="00283806">
        <w:rPr>
          <w:w w:val="105"/>
        </w:rPr>
        <w:t>used</w:t>
      </w:r>
      <w:r w:rsidRPr="00283806">
        <w:rPr>
          <w:spacing w:val="40"/>
          <w:w w:val="105"/>
        </w:rPr>
        <w:t xml:space="preserve"> </w:t>
      </w:r>
      <w:r w:rsidRPr="00283806">
        <w:rPr>
          <w:w w:val="105"/>
        </w:rPr>
        <w:t>as</w:t>
      </w:r>
      <w:r w:rsidRPr="00283806">
        <w:rPr>
          <w:spacing w:val="40"/>
          <w:w w:val="105"/>
        </w:rPr>
        <w:t xml:space="preserve"> </w:t>
      </w:r>
      <w:r w:rsidRPr="00283806">
        <w:rPr>
          <w:w w:val="105"/>
        </w:rPr>
        <w:t>a</w:t>
      </w:r>
      <w:r w:rsidRPr="00283806">
        <w:rPr>
          <w:spacing w:val="40"/>
          <w:w w:val="105"/>
        </w:rPr>
        <w:t xml:space="preserve"> </w:t>
      </w:r>
      <w:r w:rsidRPr="00283806">
        <w:rPr>
          <w:w w:val="105"/>
        </w:rPr>
        <w:t>substitute</w:t>
      </w:r>
      <w:r w:rsidRPr="00283806">
        <w:rPr>
          <w:spacing w:val="40"/>
          <w:w w:val="105"/>
        </w:rPr>
        <w:t xml:space="preserve"> </w:t>
      </w:r>
      <w:r w:rsidRPr="00283806">
        <w:rPr>
          <w:w w:val="105"/>
        </w:rPr>
        <w:t>for</w:t>
      </w:r>
      <w:r w:rsidRPr="00283806">
        <w:rPr>
          <w:spacing w:val="40"/>
          <w:w w:val="105"/>
        </w:rPr>
        <w:t xml:space="preserve"> </w:t>
      </w:r>
      <w:r w:rsidRPr="00283806">
        <w:rPr>
          <w:w w:val="105"/>
        </w:rPr>
        <w:t>ODS, unlike regulated substances that provide a cooling effect. The commenter</w:t>
      </w:r>
    </w:p>
    <w:p w14:paraId="0C9B2D4A" w14:textId="77777777" w:rsidR="00D67C1E" w:rsidRPr="00283806" w:rsidRDefault="001265CA">
      <w:pPr>
        <w:pStyle w:val="BodyText"/>
        <w:spacing w:before="135" w:line="225" w:lineRule="auto"/>
        <w:ind w:left="145" w:right="67"/>
      </w:pPr>
      <w:r w:rsidRPr="00283806">
        <w:br w:type="column"/>
      </w:r>
      <w:r w:rsidRPr="00283806">
        <w:rPr>
          <w:w w:val="105"/>
        </w:rPr>
        <w:t xml:space="preserve">provided the following alternative </w:t>
      </w:r>
      <w:proofErr w:type="gramStart"/>
      <w:r w:rsidRPr="00283806">
        <w:rPr>
          <w:w w:val="105"/>
        </w:rPr>
        <w:t>definition: ‘‘</w:t>
      </w:r>
      <w:proofErr w:type="gramEnd"/>
      <w:r w:rsidRPr="00283806">
        <w:rPr>
          <w:w w:val="105"/>
        </w:rPr>
        <w:t>Refrigerant, for purposes of this subpart, means any gaseous substance, including blends and mixtures, consisting in part of or whole of a regulated substance or a substitute for a regulated substance that is used in a heat cycle, and reversibly undergoes a phase change from a gas to a liquid, to provide a cooling effect.’’</w:t>
      </w:r>
    </w:p>
    <w:p w14:paraId="38252575" w14:textId="77777777" w:rsidR="00D67C1E" w:rsidRPr="00283806" w:rsidRDefault="001265CA">
      <w:pPr>
        <w:spacing w:line="182" w:lineRule="exact"/>
        <w:ind w:left="325"/>
        <w:rPr>
          <w:sz w:val="18"/>
        </w:rPr>
      </w:pPr>
      <w:r w:rsidRPr="00283806">
        <w:rPr>
          <w:rFonts w:ascii="Book Antiqua"/>
          <w:i/>
          <w:w w:val="110"/>
          <w:sz w:val="18"/>
        </w:rPr>
        <w:t>Response:</w:t>
      </w:r>
      <w:r w:rsidRPr="00283806">
        <w:rPr>
          <w:rFonts w:ascii="Book Antiqua"/>
          <w:i/>
          <w:spacing w:val="2"/>
          <w:w w:val="110"/>
          <w:sz w:val="18"/>
        </w:rPr>
        <w:t xml:space="preserve"> </w:t>
      </w:r>
      <w:r w:rsidRPr="00283806">
        <w:rPr>
          <w:w w:val="110"/>
          <w:sz w:val="18"/>
        </w:rPr>
        <w:t>EPA</w:t>
      </w:r>
      <w:r w:rsidRPr="00283806">
        <w:rPr>
          <w:spacing w:val="8"/>
          <w:w w:val="110"/>
          <w:sz w:val="18"/>
        </w:rPr>
        <w:t xml:space="preserve"> </w:t>
      </w:r>
      <w:r w:rsidRPr="00283806">
        <w:rPr>
          <w:w w:val="110"/>
          <w:sz w:val="18"/>
        </w:rPr>
        <w:t>acknowledges</w:t>
      </w:r>
      <w:r w:rsidRPr="00283806">
        <w:rPr>
          <w:spacing w:val="8"/>
          <w:w w:val="110"/>
          <w:sz w:val="18"/>
        </w:rPr>
        <w:t xml:space="preserve"> </w:t>
      </w:r>
      <w:r w:rsidRPr="00283806">
        <w:rPr>
          <w:spacing w:val="-5"/>
          <w:w w:val="110"/>
          <w:sz w:val="18"/>
        </w:rPr>
        <w:t>the</w:t>
      </w:r>
    </w:p>
    <w:p w14:paraId="041ACE7A" w14:textId="77777777" w:rsidR="00D67C1E" w:rsidRPr="00283806" w:rsidRDefault="001265CA">
      <w:pPr>
        <w:pStyle w:val="BodyText"/>
        <w:spacing w:line="225" w:lineRule="auto"/>
        <w:ind w:left="145" w:right="57"/>
      </w:pPr>
      <w:r w:rsidRPr="00283806">
        <w:rPr>
          <w:w w:val="105"/>
        </w:rPr>
        <w:t xml:space="preserve">commenter’s suggestion for an alternative definition for the term refrigerant and in response agrees with the commenter that F–HTFs that do not circulate through the compressor of a system are not considered refrigerants for the purposes of this rule. EPA has historically treated these fluids separately from refrigerants. However, EPA notes that </w:t>
      </w:r>
      <w:proofErr w:type="gramStart"/>
      <w:r w:rsidRPr="00283806">
        <w:rPr>
          <w:w w:val="105"/>
        </w:rPr>
        <w:t>subsection</w:t>
      </w:r>
      <w:proofErr w:type="gramEnd"/>
      <w:r w:rsidRPr="00283806">
        <w:rPr>
          <w:w w:val="105"/>
        </w:rPr>
        <w:t xml:space="preserve"> (h)(1) of the AIM</w:t>
      </w:r>
      <w:r w:rsidRPr="00283806">
        <w:rPr>
          <w:spacing w:val="40"/>
          <w:w w:val="105"/>
        </w:rPr>
        <w:t xml:space="preserve"> </w:t>
      </w:r>
      <w:r w:rsidRPr="00283806">
        <w:rPr>
          <w:w w:val="105"/>
        </w:rPr>
        <w:t>Act</w:t>
      </w:r>
      <w:r w:rsidRPr="00283806">
        <w:rPr>
          <w:spacing w:val="40"/>
          <w:w w:val="105"/>
        </w:rPr>
        <w:t xml:space="preserve"> </w:t>
      </w:r>
      <w:r w:rsidRPr="00283806">
        <w:rPr>
          <w:w w:val="105"/>
        </w:rPr>
        <w:t>is</w:t>
      </w:r>
      <w:r w:rsidRPr="00283806">
        <w:rPr>
          <w:spacing w:val="40"/>
          <w:w w:val="105"/>
        </w:rPr>
        <w:t xml:space="preserve"> </w:t>
      </w:r>
      <w:r w:rsidRPr="00283806">
        <w:rPr>
          <w:w w:val="105"/>
        </w:rPr>
        <w:t>not</w:t>
      </w:r>
      <w:r w:rsidRPr="00283806">
        <w:rPr>
          <w:spacing w:val="40"/>
          <w:w w:val="105"/>
        </w:rPr>
        <w:t xml:space="preserve"> </w:t>
      </w:r>
      <w:r w:rsidRPr="00283806">
        <w:rPr>
          <w:w w:val="105"/>
        </w:rPr>
        <w:t>limited</w:t>
      </w:r>
      <w:r w:rsidRPr="00283806">
        <w:rPr>
          <w:spacing w:val="40"/>
          <w:w w:val="105"/>
        </w:rPr>
        <w:t xml:space="preserve"> </w:t>
      </w:r>
      <w:r w:rsidRPr="00283806">
        <w:rPr>
          <w:w w:val="105"/>
        </w:rPr>
        <w:t>to</w:t>
      </w:r>
      <w:r w:rsidRPr="00283806">
        <w:rPr>
          <w:spacing w:val="40"/>
          <w:w w:val="105"/>
        </w:rPr>
        <w:t xml:space="preserve"> </w:t>
      </w:r>
      <w:r w:rsidRPr="00283806">
        <w:rPr>
          <w:w w:val="105"/>
        </w:rPr>
        <w:t>refrigerants but</w:t>
      </w:r>
      <w:r w:rsidRPr="00283806">
        <w:rPr>
          <w:spacing w:val="28"/>
          <w:w w:val="105"/>
        </w:rPr>
        <w:t xml:space="preserve"> </w:t>
      </w:r>
      <w:r w:rsidRPr="00283806">
        <w:rPr>
          <w:w w:val="105"/>
        </w:rPr>
        <w:t>rather</w:t>
      </w:r>
      <w:r w:rsidRPr="00283806">
        <w:rPr>
          <w:spacing w:val="28"/>
          <w:w w:val="105"/>
        </w:rPr>
        <w:t xml:space="preserve"> </w:t>
      </w:r>
      <w:r w:rsidRPr="00283806">
        <w:rPr>
          <w:w w:val="105"/>
        </w:rPr>
        <w:t>‘‘equipment</w:t>
      </w:r>
      <w:r w:rsidRPr="00283806">
        <w:rPr>
          <w:spacing w:val="28"/>
          <w:w w:val="105"/>
        </w:rPr>
        <w:t xml:space="preserve"> </w:t>
      </w:r>
      <w:r w:rsidRPr="00283806">
        <w:rPr>
          <w:w w:val="105"/>
        </w:rPr>
        <w:t>.</w:t>
      </w:r>
      <w:r w:rsidRPr="00283806">
        <w:rPr>
          <w:spacing w:val="80"/>
          <w:w w:val="105"/>
        </w:rPr>
        <w:t xml:space="preserve"> </w:t>
      </w:r>
      <w:r w:rsidRPr="00283806">
        <w:rPr>
          <w:w w:val="105"/>
        </w:rPr>
        <w:t>.</w:t>
      </w:r>
      <w:r w:rsidRPr="00283806">
        <w:rPr>
          <w:spacing w:val="80"/>
          <w:w w:val="105"/>
        </w:rPr>
        <w:t xml:space="preserve"> </w:t>
      </w:r>
      <w:r w:rsidRPr="00283806">
        <w:rPr>
          <w:w w:val="105"/>
        </w:rPr>
        <w:t>.</w:t>
      </w:r>
      <w:r w:rsidRPr="00283806">
        <w:rPr>
          <w:spacing w:val="28"/>
          <w:w w:val="105"/>
        </w:rPr>
        <w:t xml:space="preserve"> </w:t>
      </w:r>
      <w:r w:rsidRPr="00283806">
        <w:rPr>
          <w:w w:val="105"/>
        </w:rPr>
        <w:t xml:space="preserve">that involves a regulated substance, or a substitute for a regulated </w:t>
      </w:r>
      <w:proofErr w:type="gramStart"/>
      <w:r w:rsidRPr="00283806">
        <w:rPr>
          <w:w w:val="105"/>
        </w:rPr>
        <w:t>substance.’</w:t>
      </w:r>
      <w:proofErr w:type="gramEnd"/>
      <w:r w:rsidRPr="00283806">
        <w:rPr>
          <w:w w:val="105"/>
        </w:rPr>
        <w:t>’ This rule includes HFCs used as fire suppression agents in fire suppression equipment and in a later rulemaking action could include HFCs used as heat transfer fluids. Furthermore, the commenter’s alternative definition only covers vapor compression systems and not alternative types of refrigeration systems such as non-mechanical heat- transfer with a circulating cooler or a thermosiphon, which EPA has included</w:t>
      </w:r>
      <w:r w:rsidRPr="00283806">
        <w:rPr>
          <w:spacing w:val="40"/>
          <w:w w:val="105"/>
        </w:rPr>
        <w:t xml:space="preserve"> </w:t>
      </w:r>
      <w:r w:rsidRPr="00283806">
        <w:rPr>
          <w:w w:val="105"/>
        </w:rPr>
        <w:t>as an end-use under SNAP. For those reasons, rather than adopting the commenters’ suggested definition, EPA</w:t>
      </w:r>
      <w:r w:rsidRPr="00283806">
        <w:rPr>
          <w:spacing w:val="80"/>
          <w:w w:val="105"/>
        </w:rPr>
        <w:t xml:space="preserve"> </w:t>
      </w:r>
      <w:r w:rsidRPr="00283806">
        <w:rPr>
          <w:w w:val="105"/>
        </w:rPr>
        <w:t>is modifying the proposed definition as described above to clarify that heat transfer fluids that do not provide a cooling effect are not included in the definition of ‘‘refrigerant’’ established in this rule.</w:t>
      </w:r>
    </w:p>
    <w:p w14:paraId="136FD10D" w14:textId="77777777" w:rsidR="00D67C1E" w:rsidRPr="00283806" w:rsidRDefault="001265CA">
      <w:pPr>
        <w:spacing w:line="173" w:lineRule="exact"/>
        <w:ind w:left="325"/>
        <w:rPr>
          <w:rFonts w:ascii="Book Antiqua"/>
          <w:i/>
          <w:sz w:val="18"/>
        </w:rPr>
      </w:pPr>
      <w:r w:rsidRPr="00283806">
        <w:rPr>
          <w:rFonts w:ascii="Book Antiqua"/>
          <w:i/>
          <w:w w:val="110"/>
          <w:sz w:val="18"/>
        </w:rPr>
        <w:t>Refrigerant-containing</w:t>
      </w:r>
      <w:r w:rsidRPr="00283806">
        <w:rPr>
          <w:rFonts w:ascii="Book Antiqua"/>
          <w:i/>
          <w:spacing w:val="16"/>
          <w:w w:val="110"/>
          <w:sz w:val="18"/>
        </w:rPr>
        <w:t xml:space="preserve"> </w:t>
      </w:r>
      <w:r w:rsidRPr="00283806">
        <w:rPr>
          <w:rFonts w:ascii="Book Antiqua"/>
          <w:i/>
          <w:spacing w:val="-2"/>
          <w:w w:val="110"/>
          <w:sz w:val="18"/>
        </w:rPr>
        <w:t>appliance.</w:t>
      </w:r>
    </w:p>
    <w:p w14:paraId="43B39213" w14:textId="77777777" w:rsidR="00D67C1E" w:rsidRPr="00283806" w:rsidRDefault="001265CA">
      <w:pPr>
        <w:pStyle w:val="BodyText"/>
        <w:spacing w:line="225" w:lineRule="auto"/>
        <w:ind w:left="145" w:right="92"/>
      </w:pPr>
      <w:r w:rsidRPr="00283806">
        <w:rPr>
          <w:w w:val="105"/>
        </w:rPr>
        <w:t>EPA proposed this term to mean ‘‘any device that contains and uses a regulated</w:t>
      </w:r>
      <w:r w:rsidRPr="00283806">
        <w:rPr>
          <w:spacing w:val="-4"/>
          <w:w w:val="105"/>
        </w:rPr>
        <w:t xml:space="preserve"> </w:t>
      </w:r>
      <w:r w:rsidRPr="00283806">
        <w:rPr>
          <w:w w:val="105"/>
        </w:rPr>
        <w:t>substance</w:t>
      </w:r>
      <w:r w:rsidRPr="00283806">
        <w:rPr>
          <w:spacing w:val="-4"/>
          <w:w w:val="105"/>
        </w:rPr>
        <w:t xml:space="preserve"> </w:t>
      </w:r>
      <w:r w:rsidRPr="00283806">
        <w:rPr>
          <w:w w:val="105"/>
        </w:rPr>
        <w:t>or</w:t>
      </w:r>
      <w:r w:rsidRPr="00283806">
        <w:rPr>
          <w:spacing w:val="-4"/>
          <w:w w:val="105"/>
        </w:rPr>
        <w:t xml:space="preserve"> </w:t>
      </w:r>
      <w:r w:rsidRPr="00283806">
        <w:rPr>
          <w:w w:val="105"/>
        </w:rPr>
        <w:t>substitute</w:t>
      </w:r>
      <w:r w:rsidRPr="00283806">
        <w:rPr>
          <w:spacing w:val="-4"/>
          <w:w w:val="105"/>
        </w:rPr>
        <w:t xml:space="preserve"> </w:t>
      </w:r>
      <w:r w:rsidRPr="00283806">
        <w:rPr>
          <w:w w:val="105"/>
        </w:rPr>
        <w:t>for</w:t>
      </w:r>
      <w:r w:rsidRPr="00283806">
        <w:rPr>
          <w:spacing w:val="-4"/>
          <w:w w:val="105"/>
        </w:rPr>
        <w:t xml:space="preserve"> </w:t>
      </w:r>
      <w:r w:rsidRPr="00283806">
        <w:rPr>
          <w:w w:val="105"/>
        </w:rPr>
        <w:t xml:space="preserve">a regulated substance as a refrigerant including any air conditioner, motor vehicle air conditioner, refrigerator, chiller, or freezer. For a system with multiple circuits, each independent circuit is considered a separate </w:t>
      </w:r>
      <w:r w:rsidRPr="00283806">
        <w:rPr>
          <w:spacing w:val="-2"/>
          <w:w w:val="105"/>
        </w:rPr>
        <w:t>appliance.’’</w:t>
      </w:r>
    </w:p>
    <w:p w14:paraId="5AF7BF23" w14:textId="77777777" w:rsidR="00D67C1E" w:rsidRPr="00283806" w:rsidRDefault="001265CA">
      <w:pPr>
        <w:pStyle w:val="BodyText"/>
        <w:spacing w:line="177" w:lineRule="exact"/>
        <w:ind w:left="325"/>
      </w:pPr>
      <w:r w:rsidRPr="00283806">
        <w:rPr>
          <w:w w:val="110"/>
        </w:rPr>
        <w:t>After</w:t>
      </w:r>
      <w:r w:rsidRPr="00283806">
        <w:rPr>
          <w:spacing w:val="-9"/>
          <w:w w:val="110"/>
        </w:rPr>
        <w:t xml:space="preserve"> </w:t>
      </w:r>
      <w:r w:rsidRPr="00283806">
        <w:rPr>
          <w:w w:val="110"/>
        </w:rPr>
        <w:t>considering</w:t>
      </w:r>
      <w:r w:rsidRPr="00283806">
        <w:rPr>
          <w:spacing w:val="-9"/>
          <w:w w:val="110"/>
        </w:rPr>
        <w:t xml:space="preserve"> </w:t>
      </w:r>
      <w:r w:rsidRPr="00283806">
        <w:rPr>
          <w:w w:val="110"/>
        </w:rPr>
        <w:t>comments,</w:t>
      </w:r>
      <w:r w:rsidRPr="00283806">
        <w:rPr>
          <w:spacing w:val="-8"/>
          <w:w w:val="110"/>
        </w:rPr>
        <w:t xml:space="preserve"> </w:t>
      </w:r>
      <w:r w:rsidRPr="00283806">
        <w:rPr>
          <w:w w:val="110"/>
        </w:rPr>
        <w:t>EPA</w:t>
      </w:r>
      <w:r w:rsidRPr="00283806">
        <w:rPr>
          <w:spacing w:val="-9"/>
          <w:w w:val="110"/>
        </w:rPr>
        <w:t xml:space="preserve"> </w:t>
      </w:r>
      <w:r w:rsidRPr="00283806">
        <w:rPr>
          <w:spacing w:val="-5"/>
          <w:w w:val="110"/>
        </w:rPr>
        <w:t>is</w:t>
      </w:r>
    </w:p>
    <w:p w14:paraId="6D6C928E" w14:textId="77777777" w:rsidR="00D67C1E" w:rsidRPr="00283806" w:rsidRDefault="001265CA">
      <w:pPr>
        <w:pStyle w:val="BodyText"/>
        <w:spacing w:line="228" w:lineRule="auto"/>
        <w:ind w:left="145" w:right="67"/>
      </w:pPr>
      <w:r w:rsidRPr="00283806">
        <w:rPr>
          <w:w w:val="105"/>
        </w:rPr>
        <w:t>modifying</w:t>
      </w:r>
      <w:r w:rsidRPr="00283806">
        <w:rPr>
          <w:spacing w:val="40"/>
          <w:w w:val="105"/>
        </w:rPr>
        <w:t xml:space="preserve"> </w:t>
      </w:r>
      <w:r w:rsidRPr="00283806">
        <w:rPr>
          <w:w w:val="105"/>
        </w:rPr>
        <w:t>the</w:t>
      </w:r>
      <w:r w:rsidRPr="00283806">
        <w:rPr>
          <w:spacing w:val="40"/>
          <w:w w:val="105"/>
        </w:rPr>
        <w:t xml:space="preserve"> </w:t>
      </w:r>
      <w:r w:rsidRPr="00283806">
        <w:rPr>
          <w:w w:val="105"/>
        </w:rPr>
        <w:t>final</w:t>
      </w:r>
      <w:r w:rsidRPr="00283806">
        <w:rPr>
          <w:spacing w:val="40"/>
          <w:w w:val="105"/>
        </w:rPr>
        <w:t xml:space="preserve"> </w:t>
      </w:r>
      <w:r w:rsidRPr="00283806">
        <w:rPr>
          <w:w w:val="105"/>
        </w:rPr>
        <w:t>definition.</w:t>
      </w:r>
      <w:r w:rsidRPr="00283806">
        <w:rPr>
          <w:spacing w:val="40"/>
          <w:w w:val="105"/>
        </w:rPr>
        <w:t xml:space="preserve"> </w:t>
      </w:r>
      <w:r w:rsidRPr="00283806">
        <w:rPr>
          <w:w w:val="105"/>
        </w:rPr>
        <w:t>First, EPA is removing the phrase ‘‘motor vehicle air conditioner’’ and replacing it with its abbreviation ‘‘MVAC’’ to</w:t>
      </w:r>
      <w:r w:rsidRPr="00283806">
        <w:rPr>
          <w:spacing w:val="40"/>
          <w:w w:val="105"/>
        </w:rPr>
        <w:t xml:space="preserve"> </w:t>
      </w:r>
      <w:r w:rsidRPr="00283806">
        <w:rPr>
          <w:w w:val="105"/>
        </w:rPr>
        <w:t xml:space="preserve">maintain consistency with other definitions where the term ‘‘motor vehicle air </w:t>
      </w:r>
      <w:proofErr w:type="gramStart"/>
      <w:r w:rsidRPr="00283806">
        <w:rPr>
          <w:w w:val="105"/>
        </w:rPr>
        <w:t>conditioner(s)’’</w:t>
      </w:r>
      <w:proofErr w:type="gramEnd"/>
      <w:r w:rsidRPr="00283806">
        <w:rPr>
          <w:w w:val="105"/>
        </w:rPr>
        <w:t xml:space="preserve"> is</w:t>
      </w:r>
      <w:r w:rsidRPr="00283806">
        <w:rPr>
          <w:spacing w:val="40"/>
          <w:w w:val="105"/>
        </w:rPr>
        <w:t xml:space="preserve"> </w:t>
      </w:r>
      <w:r w:rsidRPr="00283806">
        <w:rPr>
          <w:w w:val="105"/>
        </w:rPr>
        <w:t>abbreviated. After the term ‘‘MVAC,’’</w:t>
      </w:r>
      <w:r w:rsidRPr="00283806">
        <w:rPr>
          <w:spacing w:val="80"/>
          <w:w w:val="105"/>
        </w:rPr>
        <w:t xml:space="preserve"> </w:t>
      </w:r>
      <w:r w:rsidRPr="00283806">
        <w:rPr>
          <w:w w:val="105"/>
        </w:rPr>
        <w:t>EPA</w:t>
      </w:r>
      <w:r w:rsidRPr="00283806">
        <w:rPr>
          <w:spacing w:val="40"/>
          <w:w w:val="105"/>
        </w:rPr>
        <w:t xml:space="preserve"> </w:t>
      </w:r>
      <w:r w:rsidRPr="00283806">
        <w:rPr>
          <w:w w:val="105"/>
        </w:rPr>
        <w:t>is</w:t>
      </w:r>
      <w:r w:rsidRPr="00283806">
        <w:rPr>
          <w:spacing w:val="40"/>
          <w:w w:val="105"/>
        </w:rPr>
        <w:t xml:space="preserve"> </w:t>
      </w:r>
      <w:r w:rsidRPr="00283806">
        <w:rPr>
          <w:w w:val="105"/>
        </w:rPr>
        <w:t>also</w:t>
      </w:r>
      <w:r w:rsidRPr="00283806">
        <w:rPr>
          <w:spacing w:val="40"/>
          <w:w w:val="105"/>
        </w:rPr>
        <w:t xml:space="preserve"> </w:t>
      </w:r>
      <w:r w:rsidRPr="00283806">
        <w:rPr>
          <w:w w:val="105"/>
        </w:rPr>
        <w:t>adding</w:t>
      </w:r>
      <w:r w:rsidRPr="00283806">
        <w:rPr>
          <w:spacing w:val="40"/>
          <w:w w:val="105"/>
        </w:rPr>
        <w:t xml:space="preserve"> </w:t>
      </w:r>
      <w:r w:rsidRPr="00283806">
        <w:rPr>
          <w:w w:val="105"/>
        </w:rPr>
        <w:t>the</w:t>
      </w:r>
      <w:r w:rsidRPr="00283806">
        <w:rPr>
          <w:spacing w:val="40"/>
          <w:w w:val="105"/>
        </w:rPr>
        <w:t xml:space="preserve"> </w:t>
      </w:r>
      <w:r w:rsidRPr="00283806">
        <w:rPr>
          <w:w w:val="105"/>
        </w:rPr>
        <w:t>word</w:t>
      </w:r>
      <w:r w:rsidRPr="00283806">
        <w:rPr>
          <w:spacing w:val="40"/>
          <w:w w:val="105"/>
        </w:rPr>
        <w:t xml:space="preserve"> </w:t>
      </w:r>
      <w:r w:rsidRPr="00283806">
        <w:rPr>
          <w:w w:val="105"/>
        </w:rPr>
        <w:t>‘‘MVAC- like appliance’’ to provide another example of a refrigerant-containing appliance. Second, EPA is replacing the</w:t>
      </w:r>
    </w:p>
    <w:p w14:paraId="793F408D" w14:textId="77777777" w:rsidR="00D67C1E" w:rsidRPr="00283806" w:rsidRDefault="001265CA">
      <w:pPr>
        <w:pStyle w:val="BodyText"/>
        <w:spacing w:before="133" w:line="228" w:lineRule="auto"/>
        <w:ind w:right="144"/>
      </w:pPr>
      <w:r w:rsidRPr="00283806">
        <w:br w:type="column"/>
      </w:r>
      <w:r w:rsidRPr="00283806">
        <w:rPr>
          <w:w w:val="110"/>
        </w:rPr>
        <w:t>phrase ‘‘a system with multiple circuits’’</w:t>
      </w:r>
      <w:r w:rsidRPr="00283806">
        <w:rPr>
          <w:spacing w:val="-5"/>
          <w:w w:val="110"/>
        </w:rPr>
        <w:t xml:space="preserve"> </w:t>
      </w:r>
      <w:r w:rsidRPr="00283806">
        <w:rPr>
          <w:w w:val="110"/>
        </w:rPr>
        <w:t>to</w:t>
      </w:r>
      <w:r w:rsidRPr="00283806">
        <w:rPr>
          <w:spacing w:val="-5"/>
          <w:w w:val="110"/>
        </w:rPr>
        <w:t xml:space="preserve"> </w:t>
      </w:r>
      <w:r w:rsidRPr="00283806">
        <w:rPr>
          <w:w w:val="110"/>
        </w:rPr>
        <w:t>‘‘such</w:t>
      </w:r>
      <w:r w:rsidRPr="00283806">
        <w:rPr>
          <w:spacing w:val="-5"/>
          <w:w w:val="110"/>
        </w:rPr>
        <w:t xml:space="preserve"> </w:t>
      </w:r>
      <w:r w:rsidRPr="00283806">
        <w:rPr>
          <w:w w:val="110"/>
        </w:rPr>
        <w:t>devices</w:t>
      </w:r>
      <w:r w:rsidRPr="00283806">
        <w:rPr>
          <w:spacing w:val="-5"/>
          <w:w w:val="110"/>
        </w:rPr>
        <w:t xml:space="preserve"> </w:t>
      </w:r>
      <w:r w:rsidRPr="00283806">
        <w:rPr>
          <w:w w:val="110"/>
        </w:rPr>
        <w:t>with</w:t>
      </w:r>
      <w:r w:rsidRPr="00283806">
        <w:rPr>
          <w:spacing w:val="-5"/>
          <w:w w:val="110"/>
        </w:rPr>
        <w:t xml:space="preserve"> </w:t>
      </w:r>
      <w:r w:rsidRPr="00283806">
        <w:rPr>
          <w:w w:val="110"/>
        </w:rPr>
        <w:t xml:space="preserve">multiple circuits.’’ This edit is intended to increase clarity, as the term ‘‘device’’ is used in the last sentence to maintain a </w:t>
      </w:r>
      <w:r w:rsidRPr="00283806">
        <w:t>parallel sentence structure with the first</w:t>
      </w:r>
      <w:r w:rsidRPr="00283806">
        <w:rPr>
          <w:spacing w:val="40"/>
          <w:w w:val="110"/>
        </w:rPr>
        <w:t xml:space="preserve"> </w:t>
      </w:r>
      <w:r w:rsidRPr="00283806">
        <w:rPr>
          <w:w w:val="110"/>
        </w:rPr>
        <w:t>sentence of the definition, which uses the term ‘‘any device.’’ The final definition also adds ‘‘including but not limited to,’’ to clarify that air conditioners,</w:t>
      </w:r>
      <w:r w:rsidRPr="00283806">
        <w:rPr>
          <w:spacing w:val="-11"/>
          <w:w w:val="110"/>
        </w:rPr>
        <w:t xml:space="preserve"> </w:t>
      </w:r>
      <w:r w:rsidRPr="00283806">
        <w:rPr>
          <w:w w:val="110"/>
        </w:rPr>
        <w:t>refrigerators,</w:t>
      </w:r>
      <w:r w:rsidRPr="00283806">
        <w:rPr>
          <w:spacing w:val="-11"/>
          <w:w w:val="110"/>
        </w:rPr>
        <w:t xml:space="preserve"> </w:t>
      </w:r>
      <w:r w:rsidRPr="00283806">
        <w:rPr>
          <w:w w:val="110"/>
        </w:rPr>
        <w:t>chillers,</w:t>
      </w:r>
      <w:r w:rsidRPr="00283806">
        <w:rPr>
          <w:spacing w:val="-11"/>
          <w:w w:val="110"/>
        </w:rPr>
        <w:t xml:space="preserve"> </w:t>
      </w:r>
      <w:r w:rsidRPr="00283806">
        <w:rPr>
          <w:w w:val="110"/>
        </w:rPr>
        <w:t>and freezers are intended as illustrative examples, but is not an exhaustive list of all possible devices that meet the definition of refrigerant-containing appliances under this subpart. EPA further notes that a refrigerant- containing appliance could be of any size and include residential, commercial, or industrial appliances.</w:t>
      </w:r>
    </w:p>
    <w:p w14:paraId="0A9C61E1" w14:textId="77777777" w:rsidR="00D67C1E" w:rsidRPr="00283806" w:rsidRDefault="001265CA">
      <w:pPr>
        <w:pStyle w:val="BodyText"/>
        <w:spacing w:before="30" w:line="228" w:lineRule="auto"/>
        <w:ind w:right="161" w:firstLine="180"/>
      </w:pPr>
      <w:r w:rsidRPr="00283806">
        <w:rPr>
          <w:w w:val="105"/>
        </w:rPr>
        <w:t>As the term ‘‘refrigerant-containing appliance’’ is not a defined term under the AIM Act, and as the Agency is establishing certain regulatory requirements that apply only to refrigerant-containing appliances in this rule, the regulatory definition is</w:t>
      </w:r>
      <w:r w:rsidRPr="00283806">
        <w:rPr>
          <w:spacing w:val="40"/>
          <w:w w:val="105"/>
        </w:rPr>
        <w:t xml:space="preserve"> </w:t>
      </w:r>
      <w:r w:rsidRPr="00283806">
        <w:rPr>
          <w:w w:val="105"/>
        </w:rPr>
        <w:t>designed to provide clarity as to what types of equipment are subject to those requirements. EPA intends this term to be a subset of the broader category of ‘‘refrigerant-containing equipment’’ which is also defined in this rule as discussed below, and EPA understands that any exclusions from the definition</w:t>
      </w:r>
      <w:r w:rsidRPr="00283806">
        <w:rPr>
          <w:spacing w:val="80"/>
          <w:w w:val="105"/>
        </w:rPr>
        <w:t xml:space="preserve"> </w:t>
      </w:r>
      <w:r w:rsidRPr="00283806">
        <w:rPr>
          <w:w w:val="105"/>
        </w:rPr>
        <w:t>of ‘‘refrigerant-containing equipment’’ would necessarily also apply to refrigerant-containing appliances. EPA notes that this definition differs from</w:t>
      </w:r>
      <w:r w:rsidRPr="00283806">
        <w:rPr>
          <w:spacing w:val="80"/>
          <w:w w:val="105"/>
        </w:rPr>
        <w:t xml:space="preserve"> </w:t>
      </w:r>
      <w:r w:rsidRPr="00283806">
        <w:rPr>
          <w:w w:val="105"/>
        </w:rPr>
        <w:t>the definition of a similar term, ‘‘appliance,’’ under CAA section 608.</w:t>
      </w:r>
    </w:p>
    <w:p w14:paraId="2C63A392" w14:textId="77777777" w:rsidR="00D67C1E" w:rsidRPr="00283806" w:rsidRDefault="001265CA">
      <w:pPr>
        <w:pStyle w:val="BodyText"/>
        <w:spacing w:line="228" w:lineRule="auto"/>
        <w:ind w:right="132"/>
      </w:pPr>
      <w:r w:rsidRPr="00283806">
        <w:rPr>
          <w:w w:val="105"/>
        </w:rPr>
        <w:t>CAA sections 601 and 608 specified that an appliance ‘‘is used for household or commercial purposes,’’ and that phrase also appears in the definition of ‘‘appliance’’ in 40 CFR 82.152. The AIM Act has no analogous provision; rather subsection (h) focuses more broadly on ‘‘equipment.’’ Accordingly, EPA is not including that phrase in defining ‘‘refrigerant-containing appliance’’ for purposes of implementing subsection</w:t>
      </w:r>
    </w:p>
    <w:p w14:paraId="0586DFAD" w14:textId="77777777" w:rsidR="00D67C1E" w:rsidRPr="00283806" w:rsidRDefault="001265CA">
      <w:pPr>
        <w:pStyle w:val="BodyText"/>
        <w:spacing w:line="223" w:lineRule="auto"/>
        <w:ind w:right="132"/>
        <w:jc w:val="both"/>
      </w:pPr>
      <w:r w:rsidRPr="00283806">
        <w:rPr>
          <w:w w:val="110"/>
        </w:rPr>
        <w:t>(h).</w:t>
      </w:r>
      <w:r w:rsidRPr="00283806">
        <w:rPr>
          <w:spacing w:val="-11"/>
          <w:w w:val="110"/>
        </w:rPr>
        <w:t xml:space="preserve"> </w:t>
      </w:r>
      <w:proofErr w:type="gramStart"/>
      <w:r w:rsidRPr="00283806">
        <w:rPr>
          <w:w w:val="110"/>
        </w:rPr>
        <w:t>Similar</w:t>
      </w:r>
      <w:r w:rsidRPr="00283806">
        <w:rPr>
          <w:spacing w:val="-11"/>
          <w:w w:val="110"/>
        </w:rPr>
        <w:t xml:space="preserve"> </w:t>
      </w:r>
      <w:r w:rsidRPr="00283806">
        <w:rPr>
          <w:w w:val="110"/>
        </w:rPr>
        <w:t>to</w:t>
      </w:r>
      <w:proofErr w:type="gramEnd"/>
      <w:r w:rsidRPr="00283806">
        <w:rPr>
          <w:spacing w:val="-11"/>
          <w:w w:val="110"/>
        </w:rPr>
        <w:t xml:space="preserve"> </w:t>
      </w:r>
      <w:r w:rsidRPr="00283806">
        <w:rPr>
          <w:w w:val="110"/>
        </w:rPr>
        <w:t>EPA’s</w:t>
      </w:r>
      <w:r w:rsidRPr="00283806">
        <w:rPr>
          <w:spacing w:val="-11"/>
          <w:w w:val="110"/>
        </w:rPr>
        <w:t xml:space="preserve"> </w:t>
      </w:r>
      <w:r w:rsidRPr="00283806">
        <w:rPr>
          <w:w w:val="110"/>
        </w:rPr>
        <w:t>approach</w:t>
      </w:r>
      <w:r w:rsidRPr="00283806">
        <w:rPr>
          <w:spacing w:val="-11"/>
          <w:w w:val="110"/>
        </w:rPr>
        <w:t xml:space="preserve"> </w:t>
      </w:r>
      <w:r w:rsidRPr="00283806">
        <w:rPr>
          <w:w w:val="110"/>
        </w:rPr>
        <w:t>to</w:t>
      </w:r>
      <w:r w:rsidRPr="00283806">
        <w:rPr>
          <w:spacing w:val="-11"/>
          <w:w w:val="110"/>
        </w:rPr>
        <w:t xml:space="preserve"> </w:t>
      </w:r>
      <w:r w:rsidRPr="00283806">
        <w:rPr>
          <w:w w:val="110"/>
        </w:rPr>
        <w:t>similar equipment</w:t>
      </w:r>
      <w:r w:rsidRPr="00283806">
        <w:rPr>
          <w:spacing w:val="-11"/>
          <w:w w:val="110"/>
        </w:rPr>
        <w:t xml:space="preserve"> </w:t>
      </w:r>
      <w:r w:rsidRPr="00283806">
        <w:rPr>
          <w:w w:val="110"/>
        </w:rPr>
        <w:t>under</w:t>
      </w:r>
      <w:r w:rsidRPr="00283806">
        <w:rPr>
          <w:spacing w:val="-11"/>
          <w:w w:val="110"/>
        </w:rPr>
        <w:t xml:space="preserve"> </w:t>
      </w:r>
      <w:r w:rsidRPr="00283806">
        <w:rPr>
          <w:w w:val="110"/>
        </w:rPr>
        <w:t>the</w:t>
      </w:r>
      <w:r w:rsidRPr="00283806">
        <w:rPr>
          <w:spacing w:val="-11"/>
          <w:w w:val="110"/>
        </w:rPr>
        <w:t xml:space="preserve"> </w:t>
      </w:r>
      <w:r w:rsidRPr="00283806">
        <w:rPr>
          <w:w w:val="110"/>
        </w:rPr>
        <w:t>application</w:t>
      </w:r>
      <w:r w:rsidRPr="00283806">
        <w:rPr>
          <w:spacing w:val="-11"/>
          <w:w w:val="110"/>
        </w:rPr>
        <w:t xml:space="preserve"> </w:t>
      </w:r>
      <w:r w:rsidRPr="00283806">
        <w:rPr>
          <w:w w:val="110"/>
        </w:rPr>
        <w:t>of</w:t>
      </w:r>
      <w:r w:rsidRPr="00283806">
        <w:rPr>
          <w:spacing w:val="-11"/>
          <w:w w:val="110"/>
        </w:rPr>
        <w:t xml:space="preserve"> </w:t>
      </w:r>
      <w:r w:rsidRPr="00283806">
        <w:rPr>
          <w:w w:val="110"/>
        </w:rPr>
        <w:t>title VI of the CAA (</w:t>
      </w:r>
      <w:r w:rsidRPr="00283806">
        <w:rPr>
          <w:rFonts w:ascii="Book Antiqua" w:hAnsi="Book Antiqua"/>
          <w:i/>
          <w:w w:val="110"/>
        </w:rPr>
        <w:t xml:space="preserve">e.g., </w:t>
      </w:r>
      <w:r w:rsidRPr="00283806">
        <w:rPr>
          <w:w w:val="110"/>
        </w:rPr>
        <w:t>under sections CAA sections 608 and 612), EPA is defining</w:t>
      </w:r>
    </w:p>
    <w:p w14:paraId="223F95D7" w14:textId="77777777" w:rsidR="00D67C1E" w:rsidRPr="00283806" w:rsidRDefault="001265CA">
      <w:pPr>
        <w:pStyle w:val="BodyText"/>
        <w:spacing w:line="228" w:lineRule="auto"/>
        <w:ind w:right="159"/>
      </w:pPr>
      <w:r w:rsidRPr="00283806">
        <w:rPr>
          <w:w w:val="105"/>
        </w:rPr>
        <w:t>a ‘‘refrigerant-containing appliance’’ to consist of an independent circuit. The independent circuit provides the</w:t>
      </w:r>
      <w:r w:rsidRPr="00283806">
        <w:rPr>
          <w:spacing w:val="80"/>
          <w:w w:val="105"/>
        </w:rPr>
        <w:t xml:space="preserve"> </w:t>
      </w:r>
      <w:r w:rsidRPr="00283806">
        <w:rPr>
          <w:w w:val="105"/>
        </w:rPr>
        <w:t>desired cooling effect, typically</w:t>
      </w:r>
      <w:r w:rsidRPr="00283806">
        <w:rPr>
          <w:spacing w:val="40"/>
          <w:w w:val="105"/>
        </w:rPr>
        <w:t xml:space="preserve"> </w:t>
      </w:r>
      <w:r w:rsidRPr="00283806">
        <w:rPr>
          <w:w w:val="105"/>
        </w:rPr>
        <w:t>consisting of a compressor, condenser, evaporator, and metering device in an enclosed refrigerant loop. EPA notes</w:t>
      </w:r>
      <w:r w:rsidRPr="00283806">
        <w:rPr>
          <w:spacing w:val="80"/>
          <w:w w:val="105"/>
        </w:rPr>
        <w:t xml:space="preserve"> </w:t>
      </w:r>
      <w:r w:rsidRPr="00283806">
        <w:rPr>
          <w:w w:val="105"/>
        </w:rPr>
        <w:t>that a given piece refrigerant-containing equipment could contain multiple independent circuits and thus be considered as multiple, separate ‘‘refrigerant-containing appliances.’’ For</w:t>
      </w:r>
    </w:p>
    <w:p w14:paraId="7C641019"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5" w:space="40"/>
            <w:col w:w="3482" w:space="43"/>
            <w:col w:w="3640"/>
          </w:cols>
        </w:sectPr>
      </w:pPr>
    </w:p>
    <w:p w14:paraId="25CA9BB9" w14:textId="77777777" w:rsidR="00D67C1E" w:rsidRPr="00283806" w:rsidRDefault="001265CA">
      <w:pPr>
        <w:pStyle w:val="BodyText"/>
        <w:spacing w:before="136" w:line="225" w:lineRule="auto"/>
        <w:ind w:right="78"/>
      </w:pPr>
      <w:r w:rsidRPr="00283806">
        <w:rPr>
          <w:w w:val="105"/>
        </w:rPr>
        <w:lastRenderedPageBreak/>
        <w:t>instance, some food retail cases have been made with multiple independent circuits, each one containing the maximum 150-gram charge limit of propane, thus allowing a single case to address a higher refrigeration load.</w:t>
      </w:r>
    </w:p>
    <w:p w14:paraId="68C4DFCC" w14:textId="77777777" w:rsidR="00D67C1E" w:rsidRPr="00283806" w:rsidRDefault="001265CA">
      <w:pPr>
        <w:spacing w:line="183" w:lineRule="exact"/>
        <w:ind w:left="340"/>
        <w:jc w:val="both"/>
        <w:rPr>
          <w:sz w:val="18"/>
        </w:rPr>
      </w:pPr>
      <w:r w:rsidRPr="00283806">
        <w:rPr>
          <w:rFonts w:ascii="Book Antiqua"/>
          <w:i/>
          <w:w w:val="110"/>
          <w:sz w:val="18"/>
        </w:rPr>
        <w:t>Comment:</w:t>
      </w:r>
      <w:r w:rsidRPr="00283806">
        <w:rPr>
          <w:rFonts w:ascii="Book Antiqua"/>
          <w:i/>
          <w:spacing w:val="8"/>
          <w:w w:val="110"/>
          <w:sz w:val="18"/>
        </w:rPr>
        <w:t xml:space="preserve"> </w:t>
      </w:r>
      <w:r w:rsidRPr="00283806">
        <w:rPr>
          <w:w w:val="110"/>
          <w:sz w:val="18"/>
        </w:rPr>
        <w:t>One</w:t>
      </w:r>
      <w:r w:rsidRPr="00283806">
        <w:rPr>
          <w:spacing w:val="14"/>
          <w:w w:val="110"/>
          <w:sz w:val="18"/>
        </w:rPr>
        <w:t xml:space="preserve"> </w:t>
      </w:r>
      <w:r w:rsidRPr="00283806">
        <w:rPr>
          <w:spacing w:val="-2"/>
          <w:w w:val="110"/>
          <w:sz w:val="18"/>
        </w:rPr>
        <w:t>commenter</w:t>
      </w:r>
    </w:p>
    <w:p w14:paraId="63CA7BE9" w14:textId="77777777" w:rsidR="00D67C1E" w:rsidRPr="00283806" w:rsidRDefault="001265CA">
      <w:pPr>
        <w:pStyle w:val="BodyText"/>
        <w:spacing w:line="225" w:lineRule="auto"/>
        <w:ind w:right="319"/>
        <w:jc w:val="both"/>
      </w:pPr>
      <w:r w:rsidRPr="00283806">
        <w:rPr>
          <w:w w:val="105"/>
        </w:rPr>
        <w:t>recommended that EPA define each independent closed loop circuit as a separate appliance, citing confusion caused by different usage of the term ‘‘appliance’’ by the industry.</w:t>
      </w:r>
    </w:p>
    <w:p w14:paraId="6A007B93" w14:textId="77777777" w:rsidR="00D67C1E" w:rsidRPr="00283806" w:rsidRDefault="001265CA">
      <w:pPr>
        <w:spacing w:line="184" w:lineRule="exact"/>
        <w:ind w:left="160" w:firstLine="180"/>
        <w:jc w:val="both"/>
        <w:rPr>
          <w:sz w:val="18"/>
        </w:rPr>
      </w:pPr>
      <w:r w:rsidRPr="00283806">
        <w:rPr>
          <w:rFonts w:ascii="Book Antiqua"/>
          <w:i/>
          <w:w w:val="110"/>
          <w:sz w:val="18"/>
        </w:rPr>
        <w:t>Response:</w:t>
      </w:r>
      <w:r w:rsidRPr="00283806">
        <w:rPr>
          <w:rFonts w:ascii="Book Antiqua"/>
          <w:i/>
          <w:spacing w:val="-5"/>
          <w:w w:val="110"/>
          <w:sz w:val="18"/>
        </w:rPr>
        <w:t xml:space="preserve"> </w:t>
      </w:r>
      <w:r w:rsidRPr="00283806">
        <w:rPr>
          <w:w w:val="110"/>
          <w:sz w:val="18"/>
        </w:rPr>
        <w:t>EPA</w:t>
      </w:r>
      <w:r w:rsidRPr="00283806">
        <w:rPr>
          <w:spacing w:val="2"/>
          <w:w w:val="110"/>
          <w:sz w:val="18"/>
        </w:rPr>
        <w:t xml:space="preserve"> </w:t>
      </w:r>
      <w:r w:rsidRPr="00283806">
        <w:rPr>
          <w:w w:val="110"/>
          <w:sz w:val="18"/>
        </w:rPr>
        <w:t>agrees</w:t>
      </w:r>
      <w:r w:rsidRPr="00283806">
        <w:rPr>
          <w:spacing w:val="1"/>
          <w:w w:val="110"/>
          <w:sz w:val="18"/>
        </w:rPr>
        <w:t xml:space="preserve"> </w:t>
      </w:r>
      <w:r w:rsidRPr="00283806">
        <w:rPr>
          <w:w w:val="110"/>
          <w:sz w:val="18"/>
        </w:rPr>
        <w:t>that</w:t>
      </w:r>
      <w:r w:rsidRPr="00283806">
        <w:rPr>
          <w:spacing w:val="2"/>
          <w:w w:val="110"/>
          <w:sz w:val="18"/>
        </w:rPr>
        <w:t xml:space="preserve"> </w:t>
      </w:r>
      <w:r w:rsidRPr="00283806">
        <w:rPr>
          <w:spacing w:val="-4"/>
          <w:w w:val="110"/>
          <w:sz w:val="18"/>
        </w:rPr>
        <w:t>each</w:t>
      </w:r>
    </w:p>
    <w:p w14:paraId="2F919FC1" w14:textId="77777777" w:rsidR="00D67C1E" w:rsidRPr="00283806" w:rsidRDefault="001265CA">
      <w:pPr>
        <w:pStyle w:val="BodyText"/>
        <w:spacing w:line="225" w:lineRule="auto"/>
      </w:pPr>
      <w:proofErr w:type="gramStart"/>
      <w:r w:rsidRPr="00283806">
        <w:rPr>
          <w:w w:val="105"/>
        </w:rPr>
        <w:t>independent</w:t>
      </w:r>
      <w:proofErr w:type="gramEnd"/>
      <w:r w:rsidRPr="00283806">
        <w:rPr>
          <w:w w:val="105"/>
        </w:rPr>
        <w:t xml:space="preserve"> closed loop circuit is a separate appliance and has clarified the final definition, as described above.</w:t>
      </w:r>
    </w:p>
    <w:p w14:paraId="00AA716E" w14:textId="77777777" w:rsidR="00D67C1E" w:rsidRPr="00283806" w:rsidRDefault="001265CA">
      <w:pPr>
        <w:pStyle w:val="BodyText"/>
        <w:spacing w:line="223" w:lineRule="auto"/>
        <w:ind w:firstLine="180"/>
      </w:pPr>
      <w:r w:rsidRPr="00283806">
        <w:rPr>
          <w:rFonts w:ascii="Book Antiqua" w:hAnsi="Book Antiqua"/>
          <w:i/>
          <w:w w:val="105"/>
        </w:rPr>
        <w:t>Refrigerant-containing</w:t>
      </w:r>
      <w:r w:rsidRPr="00283806">
        <w:rPr>
          <w:rFonts w:ascii="Book Antiqua" w:hAnsi="Book Antiqua"/>
          <w:i/>
          <w:spacing w:val="79"/>
          <w:w w:val="150"/>
        </w:rPr>
        <w:t xml:space="preserve"> </w:t>
      </w:r>
      <w:r w:rsidRPr="00283806">
        <w:rPr>
          <w:rFonts w:ascii="Book Antiqua" w:hAnsi="Book Antiqua"/>
          <w:i/>
          <w:w w:val="105"/>
        </w:rPr>
        <w:t>equipment.</w:t>
      </w:r>
      <w:r w:rsidRPr="00283806">
        <w:rPr>
          <w:rFonts w:ascii="Book Antiqua" w:hAnsi="Book Antiqua"/>
          <w:i/>
          <w:spacing w:val="80"/>
          <w:w w:val="150"/>
        </w:rPr>
        <w:t xml:space="preserve"> </w:t>
      </w:r>
      <w:r w:rsidRPr="00283806">
        <w:rPr>
          <w:w w:val="105"/>
        </w:rPr>
        <w:t>EPA proposed this term to mean ‘‘equipment that contains, uses, or is otherwise connected or associated with</w:t>
      </w:r>
      <w:r w:rsidRPr="00283806">
        <w:rPr>
          <w:spacing w:val="80"/>
          <w:w w:val="105"/>
        </w:rPr>
        <w:t xml:space="preserve"> </w:t>
      </w:r>
      <w:r w:rsidRPr="00283806">
        <w:rPr>
          <w:w w:val="105"/>
        </w:rPr>
        <w:t>a regulated substance or substitute for a regulated substance that is used as a refrigerant. This definition includes refrigerant-containing components, refrigerant-containing appliances, and MVAC-like appliances. This term does</w:t>
      </w:r>
      <w:r w:rsidRPr="00283806">
        <w:rPr>
          <w:spacing w:val="80"/>
          <w:w w:val="105"/>
        </w:rPr>
        <w:t xml:space="preserve"> </w:t>
      </w:r>
      <w:r w:rsidRPr="00283806">
        <w:rPr>
          <w:w w:val="105"/>
        </w:rPr>
        <w:t>not include mission-critical military end uses</w:t>
      </w:r>
      <w:r w:rsidRPr="00283806">
        <w:rPr>
          <w:spacing w:val="40"/>
          <w:w w:val="105"/>
        </w:rPr>
        <w:t xml:space="preserve"> </w:t>
      </w:r>
      <w:r w:rsidRPr="00283806">
        <w:rPr>
          <w:w w:val="105"/>
        </w:rPr>
        <w:t>and</w:t>
      </w:r>
      <w:r w:rsidRPr="00283806">
        <w:rPr>
          <w:spacing w:val="40"/>
          <w:w w:val="105"/>
        </w:rPr>
        <w:t xml:space="preserve"> </w:t>
      </w:r>
      <w:r w:rsidRPr="00283806">
        <w:rPr>
          <w:w w:val="105"/>
        </w:rPr>
        <w:t>systems</w:t>
      </w:r>
      <w:r w:rsidRPr="00283806">
        <w:rPr>
          <w:spacing w:val="40"/>
          <w:w w:val="105"/>
        </w:rPr>
        <w:t xml:space="preserve"> </w:t>
      </w:r>
      <w:r w:rsidRPr="00283806">
        <w:rPr>
          <w:w w:val="105"/>
        </w:rPr>
        <w:t>used</w:t>
      </w:r>
      <w:r w:rsidRPr="00283806">
        <w:rPr>
          <w:spacing w:val="40"/>
          <w:w w:val="105"/>
        </w:rPr>
        <w:t xml:space="preserve"> </w:t>
      </w:r>
      <w:r w:rsidRPr="00283806">
        <w:rPr>
          <w:w w:val="105"/>
        </w:rPr>
        <w:t>in</w:t>
      </w:r>
      <w:r w:rsidRPr="00283806">
        <w:rPr>
          <w:spacing w:val="40"/>
          <w:w w:val="105"/>
        </w:rPr>
        <w:t xml:space="preserve"> </w:t>
      </w:r>
      <w:r w:rsidRPr="00283806">
        <w:rPr>
          <w:w w:val="105"/>
        </w:rPr>
        <w:t>deployable and expeditionary situations. This term also does not include space vehicles as defined in 40 CFR 84.3.’’</w:t>
      </w:r>
    </w:p>
    <w:p w14:paraId="25CE32EC" w14:textId="77777777" w:rsidR="00D67C1E" w:rsidRPr="00283806" w:rsidRDefault="001265CA">
      <w:pPr>
        <w:pStyle w:val="BodyText"/>
        <w:spacing w:line="225" w:lineRule="auto"/>
        <w:ind w:right="47" w:firstLine="180"/>
      </w:pPr>
      <w:r w:rsidRPr="00283806">
        <w:rPr>
          <w:w w:val="105"/>
        </w:rPr>
        <w:t>EPA is modifying the final definition</w:t>
      </w:r>
      <w:r w:rsidRPr="00283806">
        <w:rPr>
          <w:spacing w:val="40"/>
          <w:w w:val="105"/>
        </w:rPr>
        <w:t xml:space="preserve"> </w:t>
      </w:r>
      <w:r w:rsidRPr="00283806">
        <w:rPr>
          <w:w w:val="105"/>
        </w:rPr>
        <w:t>by replacing the phrase ‘‘mission-</w:t>
      </w:r>
      <w:r w:rsidRPr="00283806">
        <w:rPr>
          <w:spacing w:val="80"/>
          <w:w w:val="105"/>
        </w:rPr>
        <w:t xml:space="preserve"> </w:t>
      </w:r>
      <w:r w:rsidRPr="00283806">
        <w:rPr>
          <w:w w:val="105"/>
        </w:rPr>
        <w:t>critical military end uses and systems’’ with ‘‘military equipment.’’ EPA also added the word ‘‘to’’ after the word ‘‘connected’’ to maintain consistency with other definitions that use the</w:t>
      </w:r>
      <w:r w:rsidRPr="00283806">
        <w:rPr>
          <w:spacing w:val="40"/>
          <w:w w:val="105"/>
        </w:rPr>
        <w:t xml:space="preserve"> </w:t>
      </w:r>
      <w:r w:rsidRPr="00283806">
        <w:rPr>
          <w:w w:val="105"/>
        </w:rPr>
        <w:t>phrase ‘‘connected to.’’ Finally, EPA is removing the phrase ‘‘MVAC-like appliances’’ from the definition because ‘‘MVAC-like</w:t>
      </w:r>
      <w:r w:rsidRPr="00283806">
        <w:rPr>
          <w:spacing w:val="40"/>
          <w:w w:val="105"/>
        </w:rPr>
        <w:t xml:space="preserve"> </w:t>
      </w:r>
      <w:r w:rsidRPr="00283806">
        <w:rPr>
          <w:w w:val="105"/>
        </w:rPr>
        <w:t>appliances’’</w:t>
      </w:r>
      <w:r w:rsidRPr="00283806">
        <w:rPr>
          <w:spacing w:val="40"/>
          <w:w w:val="105"/>
        </w:rPr>
        <w:t xml:space="preserve"> </w:t>
      </w:r>
      <w:r w:rsidRPr="00283806">
        <w:rPr>
          <w:w w:val="105"/>
        </w:rPr>
        <w:t>are</w:t>
      </w:r>
      <w:r w:rsidRPr="00283806">
        <w:rPr>
          <w:spacing w:val="40"/>
          <w:w w:val="105"/>
        </w:rPr>
        <w:t xml:space="preserve"> </w:t>
      </w:r>
      <w:r w:rsidRPr="00283806">
        <w:rPr>
          <w:w w:val="105"/>
        </w:rPr>
        <w:t>examples</w:t>
      </w:r>
      <w:r w:rsidRPr="00283806">
        <w:rPr>
          <w:spacing w:val="40"/>
          <w:w w:val="105"/>
        </w:rPr>
        <w:t xml:space="preserve"> </w:t>
      </w:r>
      <w:r w:rsidRPr="00283806">
        <w:rPr>
          <w:w w:val="105"/>
        </w:rPr>
        <w:t>of refrigeration-containing appliances.</w:t>
      </w:r>
      <w:r w:rsidRPr="00283806">
        <w:rPr>
          <w:spacing w:val="40"/>
          <w:w w:val="105"/>
        </w:rPr>
        <w:t xml:space="preserve"> </w:t>
      </w:r>
      <w:r w:rsidRPr="00283806">
        <w:rPr>
          <w:w w:val="105"/>
        </w:rPr>
        <w:t>As such, keeping the term in the definition would be extraneous.</w:t>
      </w:r>
    </w:p>
    <w:p w14:paraId="728456C8" w14:textId="77777777" w:rsidR="00D67C1E" w:rsidRPr="00283806" w:rsidRDefault="001265CA">
      <w:pPr>
        <w:pStyle w:val="BodyText"/>
        <w:spacing w:line="176" w:lineRule="exact"/>
        <w:ind w:left="340"/>
      </w:pPr>
      <w:r w:rsidRPr="00283806">
        <w:rPr>
          <w:w w:val="110"/>
        </w:rPr>
        <w:t>As</w:t>
      </w:r>
      <w:r w:rsidRPr="00283806">
        <w:rPr>
          <w:spacing w:val="5"/>
          <w:w w:val="110"/>
        </w:rPr>
        <w:t xml:space="preserve"> </w:t>
      </w:r>
      <w:r w:rsidRPr="00283806">
        <w:rPr>
          <w:w w:val="110"/>
        </w:rPr>
        <w:t>finalized,</w:t>
      </w:r>
      <w:r w:rsidRPr="00283806">
        <w:rPr>
          <w:spacing w:val="6"/>
          <w:w w:val="110"/>
        </w:rPr>
        <w:t xml:space="preserve"> </w:t>
      </w:r>
      <w:r w:rsidRPr="00283806">
        <w:rPr>
          <w:w w:val="110"/>
        </w:rPr>
        <w:t>this</w:t>
      </w:r>
      <w:r w:rsidRPr="00283806">
        <w:rPr>
          <w:spacing w:val="5"/>
          <w:w w:val="110"/>
        </w:rPr>
        <w:t xml:space="preserve"> </w:t>
      </w:r>
      <w:r w:rsidRPr="00283806">
        <w:rPr>
          <w:w w:val="110"/>
        </w:rPr>
        <w:t>definition</w:t>
      </w:r>
      <w:r w:rsidRPr="00283806">
        <w:rPr>
          <w:spacing w:val="6"/>
          <w:w w:val="110"/>
        </w:rPr>
        <w:t xml:space="preserve"> </w:t>
      </w:r>
      <w:r w:rsidRPr="00283806">
        <w:rPr>
          <w:spacing w:val="-5"/>
          <w:w w:val="110"/>
        </w:rPr>
        <w:t>of</w:t>
      </w:r>
    </w:p>
    <w:p w14:paraId="5A023433" w14:textId="77777777" w:rsidR="00D67C1E" w:rsidRPr="00283806" w:rsidRDefault="001265CA">
      <w:pPr>
        <w:pStyle w:val="BodyText"/>
        <w:spacing w:line="228" w:lineRule="auto"/>
        <w:ind w:right="26"/>
      </w:pPr>
      <w:r w:rsidRPr="00283806">
        <w:rPr>
          <w:w w:val="105"/>
        </w:rPr>
        <w:t>‘‘refrigerant-containing equipment’’</w:t>
      </w:r>
      <w:r w:rsidRPr="00283806">
        <w:rPr>
          <w:spacing w:val="80"/>
          <w:w w:val="105"/>
        </w:rPr>
        <w:t xml:space="preserve"> </w:t>
      </w:r>
      <w:r w:rsidRPr="00283806">
        <w:rPr>
          <w:w w:val="105"/>
        </w:rPr>
        <w:t>does not include military equipment</w:t>
      </w:r>
      <w:r w:rsidRPr="00283806">
        <w:rPr>
          <w:spacing w:val="40"/>
          <w:w w:val="105"/>
        </w:rPr>
        <w:t xml:space="preserve"> </w:t>
      </w:r>
      <w:r w:rsidRPr="00283806">
        <w:rPr>
          <w:w w:val="105"/>
        </w:rPr>
        <w:t>used in deployable and expeditionary applications, nor does it include space vehicles. These exclusions are based on EPA’s understanding that there are situations in which the unique design</w:t>
      </w:r>
      <w:r w:rsidRPr="00283806">
        <w:rPr>
          <w:spacing w:val="40"/>
          <w:w w:val="105"/>
        </w:rPr>
        <w:t xml:space="preserve"> </w:t>
      </w:r>
      <w:r w:rsidRPr="00283806">
        <w:rPr>
          <w:w w:val="105"/>
        </w:rPr>
        <w:t>and use of military equipment used in deployable and expeditionary situations and</w:t>
      </w:r>
      <w:r w:rsidRPr="00283806">
        <w:rPr>
          <w:spacing w:val="40"/>
          <w:w w:val="105"/>
        </w:rPr>
        <w:t xml:space="preserve"> </w:t>
      </w:r>
      <w:r w:rsidRPr="00283806">
        <w:rPr>
          <w:w w:val="105"/>
        </w:rPr>
        <w:t>space</w:t>
      </w:r>
      <w:r w:rsidRPr="00283806">
        <w:rPr>
          <w:spacing w:val="40"/>
          <w:w w:val="105"/>
        </w:rPr>
        <w:t xml:space="preserve"> </w:t>
      </w:r>
      <w:r w:rsidRPr="00283806">
        <w:rPr>
          <w:w w:val="105"/>
        </w:rPr>
        <w:t>vehicles</w:t>
      </w:r>
      <w:r w:rsidRPr="00283806">
        <w:rPr>
          <w:spacing w:val="40"/>
          <w:w w:val="105"/>
        </w:rPr>
        <w:t xml:space="preserve"> </w:t>
      </w:r>
      <w:r w:rsidRPr="00283806">
        <w:rPr>
          <w:w w:val="105"/>
        </w:rPr>
        <w:t>make</w:t>
      </w:r>
      <w:r w:rsidRPr="00283806">
        <w:rPr>
          <w:spacing w:val="40"/>
          <w:w w:val="105"/>
        </w:rPr>
        <w:t xml:space="preserve"> </w:t>
      </w:r>
      <w:r w:rsidRPr="00283806">
        <w:rPr>
          <w:w w:val="105"/>
        </w:rPr>
        <w:t>it</w:t>
      </w:r>
      <w:r w:rsidRPr="00283806">
        <w:rPr>
          <w:spacing w:val="40"/>
          <w:w w:val="105"/>
        </w:rPr>
        <w:t xml:space="preserve"> </w:t>
      </w:r>
      <w:r w:rsidRPr="00283806">
        <w:rPr>
          <w:w w:val="105"/>
        </w:rPr>
        <w:t>impossible to recover refrigerant during the service, repair, disposal, or installation of the equipment. Likewise, requiring adherence to the leak repair requirements and other provisions for refrigerant-containing equipment in this rulemaking in an active military zone of engagement, including military systems used in deployable and expeditionary situations, could lessen the military effectiveness of the equipment.</w:t>
      </w:r>
    </w:p>
    <w:p w14:paraId="21995C39" w14:textId="77777777" w:rsidR="00D67C1E" w:rsidRPr="00283806" w:rsidRDefault="001265CA">
      <w:pPr>
        <w:pStyle w:val="BodyText"/>
        <w:spacing w:line="228" w:lineRule="auto"/>
      </w:pPr>
      <w:r w:rsidRPr="00283806">
        <w:rPr>
          <w:w w:val="110"/>
        </w:rPr>
        <w:t>Similarly,</w:t>
      </w:r>
      <w:r w:rsidRPr="00283806">
        <w:rPr>
          <w:spacing w:val="-10"/>
          <w:w w:val="110"/>
        </w:rPr>
        <w:t xml:space="preserve"> </w:t>
      </w:r>
      <w:r w:rsidRPr="00283806">
        <w:rPr>
          <w:w w:val="110"/>
        </w:rPr>
        <w:t>the</w:t>
      </w:r>
      <w:r w:rsidRPr="00283806">
        <w:rPr>
          <w:spacing w:val="-10"/>
          <w:w w:val="110"/>
        </w:rPr>
        <w:t xml:space="preserve"> </w:t>
      </w:r>
      <w:r w:rsidRPr="00283806">
        <w:rPr>
          <w:w w:val="110"/>
        </w:rPr>
        <w:t>exclusion</w:t>
      </w:r>
      <w:r w:rsidRPr="00283806">
        <w:rPr>
          <w:spacing w:val="-10"/>
          <w:w w:val="110"/>
        </w:rPr>
        <w:t xml:space="preserve"> </w:t>
      </w:r>
      <w:proofErr w:type="gramStart"/>
      <w:r w:rsidRPr="00283806">
        <w:rPr>
          <w:w w:val="110"/>
        </w:rPr>
        <w:t>for</w:t>
      </w:r>
      <w:proofErr w:type="gramEnd"/>
      <w:r w:rsidRPr="00283806">
        <w:rPr>
          <w:spacing w:val="-10"/>
          <w:w w:val="110"/>
        </w:rPr>
        <w:t xml:space="preserve"> </w:t>
      </w:r>
      <w:r w:rsidRPr="00283806">
        <w:rPr>
          <w:w w:val="110"/>
        </w:rPr>
        <w:t>space vehicles is based on EPA’s</w:t>
      </w:r>
    </w:p>
    <w:p w14:paraId="1373CC6E" w14:textId="77777777" w:rsidR="00D67C1E" w:rsidRPr="00283806" w:rsidRDefault="001265CA">
      <w:pPr>
        <w:pStyle w:val="BodyText"/>
        <w:spacing w:before="135" w:line="225" w:lineRule="auto"/>
        <w:ind w:left="143"/>
      </w:pPr>
      <w:r w:rsidRPr="00283806">
        <w:br w:type="column"/>
      </w:r>
      <w:r w:rsidRPr="00283806">
        <w:rPr>
          <w:w w:val="105"/>
        </w:rPr>
        <w:t>understanding that requiring leak repair and other provisions in this rulemaking for such equipment could lessen their effectiveness.</w:t>
      </w:r>
      <w:r w:rsidRPr="00283806">
        <w:rPr>
          <w:spacing w:val="40"/>
          <w:w w:val="105"/>
        </w:rPr>
        <w:t xml:space="preserve"> </w:t>
      </w:r>
      <w:r w:rsidRPr="00283806">
        <w:rPr>
          <w:w w:val="105"/>
        </w:rPr>
        <w:t>EPA</w:t>
      </w:r>
      <w:r w:rsidRPr="00283806">
        <w:rPr>
          <w:spacing w:val="40"/>
          <w:w w:val="105"/>
        </w:rPr>
        <w:t xml:space="preserve"> </w:t>
      </w:r>
      <w:r w:rsidRPr="00283806">
        <w:rPr>
          <w:w w:val="105"/>
        </w:rPr>
        <w:t>notes</w:t>
      </w:r>
      <w:r w:rsidRPr="00283806">
        <w:rPr>
          <w:spacing w:val="40"/>
          <w:w w:val="105"/>
        </w:rPr>
        <w:t xml:space="preserve"> </w:t>
      </w:r>
      <w:r w:rsidRPr="00283806">
        <w:rPr>
          <w:w w:val="105"/>
        </w:rPr>
        <w:t>that</w:t>
      </w:r>
      <w:r w:rsidRPr="00283806">
        <w:rPr>
          <w:spacing w:val="40"/>
          <w:w w:val="105"/>
        </w:rPr>
        <w:t xml:space="preserve"> </w:t>
      </w:r>
      <w:r w:rsidRPr="00283806">
        <w:rPr>
          <w:w w:val="105"/>
        </w:rPr>
        <w:t>an identical exclusion for military</w:t>
      </w:r>
      <w:r w:rsidRPr="00283806">
        <w:rPr>
          <w:spacing w:val="40"/>
          <w:w w:val="105"/>
        </w:rPr>
        <w:t xml:space="preserve"> </w:t>
      </w:r>
      <w:r w:rsidRPr="00283806">
        <w:rPr>
          <w:w w:val="105"/>
        </w:rPr>
        <w:t>equipment and space vehicles was made in the finalized definition of ‘‘fire suppression equipment.’’ Further, as noted in section I.B and-explained in greater detail in the discussion of the definition for ‘‘fire suppression equipment’’ above, while EPA replaced the</w:t>
      </w:r>
      <w:r w:rsidRPr="00283806">
        <w:rPr>
          <w:spacing w:val="40"/>
          <w:w w:val="105"/>
        </w:rPr>
        <w:t xml:space="preserve"> </w:t>
      </w:r>
      <w:r w:rsidRPr="00283806">
        <w:rPr>
          <w:w w:val="105"/>
        </w:rPr>
        <w:t>phrase</w:t>
      </w:r>
      <w:r w:rsidRPr="00283806">
        <w:rPr>
          <w:spacing w:val="40"/>
          <w:w w:val="105"/>
        </w:rPr>
        <w:t xml:space="preserve"> </w:t>
      </w:r>
      <w:r w:rsidRPr="00283806">
        <w:rPr>
          <w:w w:val="105"/>
        </w:rPr>
        <w:t>‘‘mission-critical</w:t>
      </w:r>
      <w:r w:rsidRPr="00283806">
        <w:rPr>
          <w:spacing w:val="40"/>
          <w:w w:val="105"/>
        </w:rPr>
        <w:t xml:space="preserve"> </w:t>
      </w:r>
      <w:r w:rsidRPr="00283806">
        <w:rPr>
          <w:w w:val="105"/>
        </w:rPr>
        <w:t>military</w:t>
      </w:r>
      <w:r w:rsidRPr="00283806">
        <w:rPr>
          <w:spacing w:val="40"/>
          <w:w w:val="105"/>
        </w:rPr>
        <w:t xml:space="preserve"> </w:t>
      </w:r>
      <w:r w:rsidRPr="00283806">
        <w:rPr>
          <w:w w:val="105"/>
        </w:rPr>
        <w:t>end uses and systems’’ with ‘‘military equipment’’ in this definition, this final rule also includes a separate exemption from the ER&amp;R regulations for mission- critical military end uses (as listed at 40 CFR 84.13(a)), for a year or years for which the application receives an application-specific</w:t>
      </w:r>
      <w:r w:rsidRPr="00283806">
        <w:rPr>
          <w:spacing w:val="35"/>
          <w:w w:val="105"/>
        </w:rPr>
        <w:t xml:space="preserve"> </w:t>
      </w:r>
      <w:r w:rsidRPr="00283806">
        <w:rPr>
          <w:w w:val="105"/>
        </w:rPr>
        <w:t>allowance</w:t>
      </w:r>
      <w:r w:rsidRPr="00283806">
        <w:rPr>
          <w:spacing w:val="35"/>
          <w:w w:val="105"/>
        </w:rPr>
        <w:t xml:space="preserve"> </w:t>
      </w:r>
      <w:r w:rsidRPr="00283806">
        <w:rPr>
          <w:w w:val="105"/>
        </w:rPr>
        <w:t>as</w:t>
      </w:r>
      <w:r w:rsidRPr="00283806">
        <w:rPr>
          <w:spacing w:val="40"/>
          <w:w w:val="105"/>
        </w:rPr>
        <w:t xml:space="preserve"> </w:t>
      </w:r>
      <w:r w:rsidRPr="00283806">
        <w:rPr>
          <w:w w:val="105"/>
        </w:rPr>
        <w:t>defined at 40 CFR 84.3.</w:t>
      </w:r>
    </w:p>
    <w:p w14:paraId="5C7643A5" w14:textId="77777777" w:rsidR="00D67C1E" w:rsidRPr="00283806" w:rsidRDefault="001265CA">
      <w:pPr>
        <w:spacing w:line="177" w:lineRule="exact"/>
        <w:ind w:left="323"/>
        <w:rPr>
          <w:sz w:val="18"/>
        </w:rPr>
      </w:pPr>
      <w:r w:rsidRPr="00283806">
        <w:rPr>
          <w:rFonts w:ascii="Book Antiqua"/>
          <w:i/>
          <w:w w:val="105"/>
          <w:sz w:val="18"/>
        </w:rPr>
        <w:t>Comment:</w:t>
      </w:r>
      <w:r w:rsidRPr="00283806">
        <w:rPr>
          <w:rFonts w:ascii="Book Antiqua"/>
          <w:i/>
          <w:spacing w:val="15"/>
          <w:w w:val="105"/>
          <w:sz w:val="18"/>
        </w:rPr>
        <w:t xml:space="preserve"> </w:t>
      </w:r>
      <w:r w:rsidRPr="00283806">
        <w:rPr>
          <w:w w:val="105"/>
          <w:sz w:val="18"/>
        </w:rPr>
        <w:t>One</w:t>
      </w:r>
      <w:r w:rsidRPr="00283806">
        <w:rPr>
          <w:spacing w:val="20"/>
          <w:w w:val="105"/>
          <w:sz w:val="18"/>
        </w:rPr>
        <w:t xml:space="preserve"> </w:t>
      </w:r>
      <w:r w:rsidRPr="00283806">
        <w:rPr>
          <w:w w:val="105"/>
          <w:sz w:val="18"/>
        </w:rPr>
        <w:t>commenter</w:t>
      </w:r>
      <w:r w:rsidRPr="00283806">
        <w:rPr>
          <w:spacing w:val="20"/>
          <w:w w:val="105"/>
          <w:sz w:val="18"/>
        </w:rPr>
        <w:t xml:space="preserve"> </w:t>
      </w:r>
      <w:r w:rsidRPr="00283806">
        <w:rPr>
          <w:w w:val="105"/>
          <w:sz w:val="18"/>
        </w:rPr>
        <w:t>stated</w:t>
      </w:r>
      <w:r w:rsidRPr="00283806">
        <w:rPr>
          <w:spacing w:val="20"/>
          <w:w w:val="105"/>
          <w:sz w:val="18"/>
        </w:rPr>
        <w:t xml:space="preserve"> </w:t>
      </w:r>
      <w:r w:rsidRPr="00283806">
        <w:rPr>
          <w:spacing w:val="-4"/>
          <w:w w:val="105"/>
          <w:sz w:val="18"/>
        </w:rPr>
        <w:t>that</w:t>
      </w:r>
    </w:p>
    <w:p w14:paraId="400DE6CF" w14:textId="77777777" w:rsidR="00D67C1E" w:rsidRPr="00283806" w:rsidRDefault="001265CA">
      <w:pPr>
        <w:pStyle w:val="BodyText"/>
        <w:spacing w:line="225" w:lineRule="auto"/>
        <w:ind w:left="143" w:right="56"/>
      </w:pPr>
      <w:proofErr w:type="gramStart"/>
      <w:r w:rsidRPr="00283806">
        <w:rPr>
          <w:w w:val="105"/>
        </w:rPr>
        <w:t>the</w:t>
      </w:r>
      <w:proofErr w:type="gramEnd"/>
      <w:r w:rsidRPr="00283806">
        <w:rPr>
          <w:w w:val="105"/>
        </w:rPr>
        <w:t xml:space="preserve"> proposed rule creates confusion by having separate definitions for equipment, refrigerant-containing appliance, and refrigerant-containing equipment. The commenter stated that EPA’s definition of ‘‘refrigerant- containing appliance’’ would have been sufficient for all the instances in which ‘‘equipment’’ or ‘‘refrigerant-containing equipment’’ were used, and that EPA should only finalize a definition for ‘‘refrigerant-containing appliance,’’ and rename it ‘‘refrigerant-containing equipment’’ to be consistent with subsection (h) of the AIM Act.</w:t>
      </w:r>
    </w:p>
    <w:p w14:paraId="705C732E" w14:textId="77777777" w:rsidR="00D67C1E" w:rsidRPr="00283806" w:rsidRDefault="001265CA">
      <w:pPr>
        <w:spacing w:line="180" w:lineRule="exact"/>
        <w:ind w:left="323"/>
        <w:rPr>
          <w:sz w:val="18"/>
        </w:rPr>
      </w:pPr>
      <w:r w:rsidRPr="00283806">
        <w:rPr>
          <w:rFonts w:ascii="Book Antiqua"/>
          <w:i/>
          <w:w w:val="110"/>
          <w:sz w:val="18"/>
        </w:rPr>
        <w:t>Response:</w:t>
      </w:r>
      <w:r w:rsidRPr="00283806">
        <w:rPr>
          <w:rFonts w:ascii="Book Antiqua"/>
          <w:i/>
          <w:spacing w:val="-2"/>
          <w:w w:val="110"/>
          <w:sz w:val="18"/>
        </w:rPr>
        <w:t xml:space="preserve"> </w:t>
      </w:r>
      <w:r w:rsidRPr="00283806">
        <w:rPr>
          <w:w w:val="110"/>
          <w:sz w:val="18"/>
        </w:rPr>
        <w:t>EPA</w:t>
      </w:r>
      <w:r w:rsidRPr="00283806">
        <w:rPr>
          <w:spacing w:val="3"/>
          <w:w w:val="110"/>
          <w:sz w:val="18"/>
        </w:rPr>
        <w:t xml:space="preserve"> </w:t>
      </w:r>
      <w:r w:rsidRPr="00283806">
        <w:rPr>
          <w:w w:val="110"/>
          <w:sz w:val="18"/>
        </w:rPr>
        <w:t>disagrees</w:t>
      </w:r>
      <w:r w:rsidRPr="00283806">
        <w:rPr>
          <w:spacing w:val="4"/>
          <w:w w:val="110"/>
          <w:sz w:val="18"/>
        </w:rPr>
        <w:t xml:space="preserve"> </w:t>
      </w:r>
      <w:r w:rsidRPr="00283806">
        <w:rPr>
          <w:w w:val="110"/>
          <w:sz w:val="18"/>
        </w:rPr>
        <w:t>with</w:t>
      </w:r>
      <w:r w:rsidRPr="00283806">
        <w:rPr>
          <w:spacing w:val="3"/>
          <w:w w:val="110"/>
          <w:sz w:val="18"/>
        </w:rPr>
        <w:t xml:space="preserve"> </w:t>
      </w:r>
      <w:r w:rsidRPr="00283806">
        <w:rPr>
          <w:spacing w:val="-4"/>
          <w:w w:val="110"/>
          <w:sz w:val="18"/>
        </w:rPr>
        <w:t>this</w:t>
      </w:r>
    </w:p>
    <w:p w14:paraId="25BB9FB4" w14:textId="77777777" w:rsidR="00D67C1E" w:rsidRPr="00283806" w:rsidRDefault="001265CA">
      <w:pPr>
        <w:pStyle w:val="BodyText"/>
        <w:spacing w:line="225" w:lineRule="auto"/>
        <w:ind w:left="143" w:right="5"/>
      </w:pPr>
      <w:r w:rsidRPr="00283806">
        <w:rPr>
          <w:w w:val="105"/>
        </w:rPr>
        <w:t>comment, as the terms ‘‘equipment,’’ ‘‘refrigerant-containing equipment,’’ and ‘‘refrigerant-containing appliance’’ are not used interchangeably in the rule.</w:t>
      </w:r>
    </w:p>
    <w:p w14:paraId="29EA76C3" w14:textId="77777777" w:rsidR="00D67C1E" w:rsidRPr="00283806" w:rsidRDefault="001265CA">
      <w:pPr>
        <w:pStyle w:val="BodyText"/>
        <w:spacing w:line="225" w:lineRule="auto"/>
        <w:ind w:left="143" w:right="28"/>
      </w:pPr>
      <w:r w:rsidRPr="00283806">
        <w:rPr>
          <w:w w:val="105"/>
        </w:rPr>
        <w:t>Rather, these three definitions are intended to have distinct meanings. For example, ‘‘refrigerant-containing equipment’’ is a broader category that includes applications that are not covered under ‘‘refrigerant-containing appliance.’’ For example, ‘‘refrigerant- containing equipment’’ includes refrigerant-containing components, whereas the definition of ‘‘refrigerant- containing appliance’’ does not. ‘‘Equipment’’ is an even broader</w:t>
      </w:r>
      <w:r w:rsidRPr="00283806">
        <w:rPr>
          <w:spacing w:val="40"/>
          <w:w w:val="105"/>
        </w:rPr>
        <w:t xml:space="preserve"> </w:t>
      </w:r>
      <w:r w:rsidRPr="00283806">
        <w:rPr>
          <w:w w:val="105"/>
        </w:rPr>
        <w:t xml:space="preserve">category that includes both equipment that does and equipment that does not contain </w:t>
      </w:r>
      <w:proofErr w:type="gramStart"/>
      <w:r w:rsidRPr="00283806">
        <w:rPr>
          <w:w w:val="105"/>
        </w:rPr>
        <w:t>refrigerant</w:t>
      </w:r>
      <w:proofErr w:type="gramEnd"/>
      <w:r w:rsidRPr="00283806">
        <w:rPr>
          <w:w w:val="105"/>
        </w:rPr>
        <w:t>. For example, fire suppression equipment is included in</w:t>
      </w:r>
      <w:r w:rsidRPr="00283806">
        <w:rPr>
          <w:spacing w:val="80"/>
          <w:w w:val="105"/>
        </w:rPr>
        <w:t xml:space="preserve"> </w:t>
      </w:r>
      <w:r w:rsidRPr="00283806">
        <w:rPr>
          <w:w w:val="105"/>
        </w:rPr>
        <w:t xml:space="preserve">the definition of equipment but not the definition of ‘‘refrigerant-containing equipment.’’ Different requirements apply to different types of equipment under the regulations established in this </w:t>
      </w:r>
      <w:r w:rsidRPr="00283806">
        <w:rPr>
          <w:rFonts w:ascii="Book Antiqua" w:hAnsi="Book Antiqua"/>
          <w:i/>
          <w:w w:val="105"/>
        </w:rPr>
        <w:t xml:space="preserve">final rule. </w:t>
      </w:r>
      <w:r w:rsidRPr="00283806">
        <w:rPr>
          <w:w w:val="105"/>
        </w:rPr>
        <w:t>Given these distinctions, EPA</w:t>
      </w:r>
      <w:r w:rsidRPr="00283806">
        <w:rPr>
          <w:spacing w:val="80"/>
          <w:w w:val="105"/>
        </w:rPr>
        <w:t xml:space="preserve"> </w:t>
      </w:r>
      <w:r w:rsidRPr="00283806">
        <w:rPr>
          <w:w w:val="105"/>
        </w:rPr>
        <w:t>is retaining all three of these definitions in the final rule.</w:t>
      </w:r>
    </w:p>
    <w:p w14:paraId="22DADD6D" w14:textId="77777777" w:rsidR="00D67C1E" w:rsidRPr="00283806" w:rsidRDefault="001265CA">
      <w:pPr>
        <w:pStyle w:val="BodyText"/>
        <w:spacing w:line="216" w:lineRule="auto"/>
        <w:ind w:left="143" w:right="62" w:firstLine="180"/>
      </w:pPr>
      <w:r w:rsidRPr="00283806">
        <w:rPr>
          <w:rFonts w:ascii="Book Antiqua" w:hAnsi="Book Antiqua"/>
          <w:i/>
          <w:w w:val="105"/>
        </w:rPr>
        <w:t xml:space="preserve">Repair. </w:t>
      </w:r>
      <w:r w:rsidRPr="00283806">
        <w:rPr>
          <w:w w:val="105"/>
        </w:rPr>
        <w:t>EPA proposed this term to mean, ‘‘for purposes of this subpart and</w:t>
      </w:r>
    </w:p>
    <w:p w14:paraId="416D561F" w14:textId="77777777" w:rsidR="00D67C1E" w:rsidRPr="00283806" w:rsidRDefault="001265CA">
      <w:pPr>
        <w:pStyle w:val="BodyText"/>
        <w:spacing w:before="135" w:line="225" w:lineRule="auto"/>
        <w:ind w:left="144" w:right="173"/>
      </w:pPr>
      <w:r w:rsidRPr="00283806">
        <w:br w:type="column"/>
      </w:r>
      <w:r w:rsidRPr="00283806">
        <w:rPr>
          <w:w w:val="105"/>
        </w:rPr>
        <w:t xml:space="preserve">as it relates to a particular leak in a refrigerant-containing appliance, to mean </w:t>
      </w:r>
      <w:proofErr w:type="gramStart"/>
      <w:r w:rsidRPr="00283806">
        <w:rPr>
          <w:w w:val="105"/>
        </w:rPr>
        <w:t>making adjustments</w:t>
      </w:r>
      <w:proofErr w:type="gramEnd"/>
      <w:r w:rsidRPr="00283806">
        <w:rPr>
          <w:w w:val="105"/>
        </w:rPr>
        <w:t xml:space="preserve"> or other alterations</w:t>
      </w:r>
      <w:r w:rsidRPr="00283806">
        <w:rPr>
          <w:spacing w:val="-8"/>
          <w:w w:val="105"/>
        </w:rPr>
        <w:t xml:space="preserve"> </w:t>
      </w:r>
      <w:r w:rsidRPr="00283806">
        <w:rPr>
          <w:w w:val="105"/>
        </w:rPr>
        <w:t>to</w:t>
      </w:r>
      <w:r w:rsidRPr="00283806">
        <w:rPr>
          <w:spacing w:val="-8"/>
          <w:w w:val="105"/>
        </w:rPr>
        <w:t xml:space="preserve"> </w:t>
      </w:r>
      <w:r w:rsidRPr="00283806">
        <w:rPr>
          <w:w w:val="105"/>
        </w:rPr>
        <w:t>that</w:t>
      </w:r>
      <w:r w:rsidRPr="00283806">
        <w:rPr>
          <w:spacing w:val="-8"/>
          <w:w w:val="105"/>
        </w:rPr>
        <w:t xml:space="preserve"> </w:t>
      </w:r>
      <w:r w:rsidRPr="00283806">
        <w:rPr>
          <w:w w:val="105"/>
        </w:rPr>
        <w:t>refrigerant-containing appliance that have the effect of</w:t>
      </w:r>
      <w:r w:rsidRPr="00283806">
        <w:rPr>
          <w:spacing w:val="40"/>
          <w:w w:val="105"/>
        </w:rPr>
        <w:t xml:space="preserve"> </w:t>
      </w:r>
      <w:r w:rsidRPr="00283806">
        <w:rPr>
          <w:w w:val="105"/>
        </w:rPr>
        <w:t>stopping</w:t>
      </w:r>
      <w:r w:rsidRPr="00283806">
        <w:rPr>
          <w:spacing w:val="-4"/>
          <w:w w:val="105"/>
        </w:rPr>
        <w:t xml:space="preserve"> </w:t>
      </w:r>
      <w:r w:rsidRPr="00283806">
        <w:rPr>
          <w:w w:val="105"/>
        </w:rPr>
        <w:t>leakage</w:t>
      </w:r>
      <w:r w:rsidRPr="00283806">
        <w:rPr>
          <w:spacing w:val="-4"/>
          <w:w w:val="105"/>
        </w:rPr>
        <w:t xml:space="preserve"> </w:t>
      </w:r>
      <w:r w:rsidRPr="00283806">
        <w:rPr>
          <w:w w:val="105"/>
        </w:rPr>
        <w:t>of</w:t>
      </w:r>
      <w:r w:rsidRPr="00283806">
        <w:rPr>
          <w:spacing w:val="-4"/>
          <w:w w:val="105"/>
        </w:rPr>
        <w:t xml:space="preserve"> </w:t>
      </w:r>
      <w:r w:rsidRPr="00283806">
        <w:rPr>
          <w:w w:val="105"/>
        </w:rPr>
        <w:t>refrigerant</w:t>
      </w:r>
      <w:r w:rsidRPr="00283806">
        <w:rPr>
          <w:spacing w:val="-4"/>
          <w:w w:val="105"/>
        </w:rPr>
        <w:t xml:space="preserve"> </w:t>
      </w:r>
      <w:r w:rsidRPr="00283806">
        <w:rPr>
          <w:w w:val="105"/>
        </w:rPr>
        <w:t>from</w:t>
      </w:r>
      <w:r w:rsidRPr="00283806">
        <w:rPr>
          <w:spacing w:val="-4"/>
          <w:w w:val="105"/>
        </w:rPr>
        <w:t xml:space="preserve"> </w:t>
      </w:r>
      <w:r w:rsidRPr="00283806">
        <w:rPr>
          <w:w w:val="105"/>
        </w:rPr>
        <w:t xml:space="preserve">that </w:t>
      </w:r>
      <w:proofErr w:type="gramStart"/>
      <w:r w:rsidRPr="00283806">
        <w:rPr>
          <w:w w:val="105"/>
        </w:rPr>
        <w:t>particular leak</w:t>
      </w:r>
      <w:proofErr w:type="gramEnd"/>
      <w:r w:rsidRPr="00283806">
        <w:rPr>
          <w:w w:val="105"/>
        </w:rPr>
        <w:t>.’’</w:t>
      </w:r>
    </w:p>
    <w:p w14:paraId="1A8DAD98" w14:textId="77777777" w:rsidR="00D67C1E" w:rsidRPr="00283806" w:rsidRDefault="001265CA">
      <w:pPr>
        <w:pStyle w:val="BodyText"/>
        <w:spacing w:line="178" w:lineRule="exact"/>
        <w:ind w:left="324"/>
      </w:pPr>
      <w:r w:rsidRPr="00283806">
        <w:rPr>
          <w:w w:val="110"/>
        </w:rPr>
        <w:t>EPA</w:t>
      </w:r>
      <w:r w:rsidRPr="00283806">
        <w:rPr>
          <w:spacing w:val="-4"/>
          <w:w w:val="110"/>
        </w:rPr>
        <w:t xml:space="preserve"> </w:t>
      </w:r>
      <w:r w:rsidRPr="00283806">
        <w:rPr>
          <w:w w:val="110"/>
        </w:rPr>
        <w:t>is</w:t>
      </w:r>
      <w:r w:rsidRPr="00283806">
        <w:rPr>
          <w:spacing w:val="-3"/>
          <w:w w:val="110"/>
        </w:rPr>
        <w:t xml:space="preserve"> </w:t>
      </w:r>
      <w:r w:rsidRPr="00283806">
        <w:rPr>
          <w:w w:val="110"/>
        </w:rPr>
        <w:t>modifying</w:t>
      </w:r>
      <w:r w:rsidRPr="00283806">
        <w:rPr>
          <w:spacing w:val="-3"/>
          <w:w w:val="110"/>
        </w:rPr>
        <w:t xml:space="preserve"> </w:t>
      </w:r>
      <w:r w:rsidRPr="00283806">
        <w:rPr>
          <w:w w:val="110"/>
        </w:rPr>
        <w:t>this</w:t>
      </w:r>
      <w:r w:rsidRPr="00283806">
        <w:rPr>
          <w:spacing w:val="-4"/>
          <w:w w:val="110"/>
        </w:rPr>
        <w:t xml:space="preserve"> </w:t>
      </w:r>
      <w:r w:rsidRPr="00283806">
        <w:rPr>
          <w:w w:val="110"/>
        </w:rPr>
        <w:t>term</w:t>
      </w:r>
      <w:r w:rsidRPr="00283806">
        <w:rPr>
          <w:spacing w:val="-3"/>
          <w:w w:val="110"/>
        </w:rPr>
        <w:t xml:space="preserve"> </w:t>
      </w:r>
      <w:r w:rsidRPr="00283806">
        <w:rPr>
          <w:spacing w:val="-5"/>
          <w:w w:val="110"/>
        </w:rPr>
        <w:t>by</w:t>
      </w:r>
    </w:p>
    <w:p w14:paraId="48495AE3" w14:textId="77777777" w:rsidR="00D67C1E" w:rsidRPr="00283806" w:rsidRDefault="001265CA">
      <w:pPr>
        <w:pStyle w:val="BodyText"/>
        <w:spacing w:before="4" w:line="225" w:lineRule="auto"/>
        <w:ind w:left="144" w:right="228"/>
      </w:pPr>
      <w:r w:rsidRPr="00283806">
        <w:rPr>
          <w:w w:val="105"/>
        </w:rPr>
        <w:t xml:space="preserve">removing the phrase ‘‘for the purposes of this subpart’’ from this definition for reasons stated in section IV.A.1 of this </w:t>
      </w:r>
      <w:r w:rsidRPr="00283806">
        <w:rPr>
          <w:spacing w:val="-2"/>
          <w:w w:val="105"/>
        </w:rPr>
        <w:t>preamble.</w:t>
      </w:r>
    </w:p>
    <w:p w14:paraId="413098EC" w14:textId="77777777" w:rsidR="00D67C1E" w:rsidRPr="00283806" w:rsidRDefault="001265CA">
      <w:pPr>
        <w:pStyle w:val="BodyText"/>
        <w:spacing w:line="213" w:lineRule="auto"/>
        <w:ind w:left="144" w:right="121" w:firstLine="180"/>
      </w:pPr>
      <w:r w:rsidRPr="00283806">
        <w:rPr>
          <w:rFonts w:ascii="Book Antiqua" w:hAnsi="Book Antiqua"/>
          <w:i/>
          <w:w w:val="105"/>
        </w:rPr>
        <w:t xml:space="preserve">Comment: </w:t>
      </w:r>
      <w:r w:rsidRPr="00283806">
        <w:rPr>
          <w:w w:val="105"/>
        </w:rPr>
        <w:t>One commenter expressed support</w:t>
      </w:r>
      <w:r w:rsidRPr="00283806">
        <w:rPr>
          <w:spacing w:val="17"/>
          <w:w w:val="105"/>
        </w:rPr>
        <w:t xml:space="preserve"> </w:t>
      </w:r>
      <w:r w:rsidRPr="00283806">
        <w:rPr>
          <w:w w:val="105"/>
        </w:rPr>
        <w:t>for</w:t>
      </w:r>
      <w:r w:rsidRPr="00283806">
        <w:rPr>
          <w:spacing w:val="18"/>
          <w:w w:val="105"/>
        </w:rPr>
        <w:t xml:space="preserve"> </w:t>
      </w:r>
      <w:r w:rsidRPr="00283806">
        <w:rPr>
          <w:w w:val="105"/>
        </w:rPr>
        <w:t>EPA’s</w:t>
      </w:r>
      <w:r w:rsidRPr="00283806">
        <w:rPr>
          <w:spacing w:val="18"/>
          <w:w w:val="105"/>
        </w:rPr>
        <w:t xml:space="preserve"> </w:t>
      </w:r>
      <w:r w:rsidRPr="00283806">
        <w:rPr>
          <w:w w:val="105"/>
        </w:rPr>
        <w:t>proposed</w:t>
      </w:r>
      <w:r w:rsidRPr="00283806">
        <w:rPr>
          <w:spacing w:val="18"/>
          <w:w w:val="105"/>
        </w:rPr>
        <w:t xml:space="preserve"> </w:t>
      </w:r>
      <w:r w:rsidRPr="00283806">
        <w:rPr>
          <w:w w:val="105"/>
        </w:rPr>
        <w:t>definition</w:t>
      </w:r>
      <w:r w:rsidRPr="00283806">
        <w:rPr>
          <w:spacing w:val="17"/>
          <w:w w:val="105"/>
        </w:rPr>
        <w:t xml:space="preserve"> </w:t>
      </w:r>
      <w:r w:rsidRPr="00283806">
        <w:rPr>
          <w:spacing w:val="-5"/>
          <w:w w:val="105"/>
        </w:rPr>
        <w:t>of</w:t>
      </w:r>
    </w:p>
    <w:p w14:paraId="00676324" w14:textId="77777777" w:rsidR="00D67C1E" w:rsidRPr="00283806" w:rsidRDefault="001265CA">
      <w:pPr>
        <w:pStyle w:val="BodyText"/>
        <w:spacing w:line="225" w:lineRule="auto"/>
        <w:ind w:left="144" w:right="197"/>
      </w:pPr>
      <w:r w:rsidRPr="00283806">
        <w:rPr>
          <w:w w:val="105"/>
        </w:rPr>
        <w:t xml:space="preserve">repair and </w:t>
      </w:r>
      <w:proofErr w:type="gramStart"/>
      <w:r w:rsidRPr="00283806">
        <w:rPr>
          <w:w w:val="105"/>
        </w:rPr>
        <w:t>the discussion</w:t>
      </w:r>
      <w:proofErr w:type="gramEnd"/>
      <w:r w:rsidRPr="00283806">
        <w:rPr>
          <w:w w:val="105"/>
        </w:rPr>
        <w:t xml:space="preserve"> of the purpose of repair in the preamble of the</w:t>
      </w:r>
      <w:r w:rsidRPr="00283806">
        <w:rPr>
          <w:spacing w:val="80"/>
          <w:w w:val="105"/>
        </w:rPr>
        <w:t xml:space="preserve"> </w:t>
      </w:r>
      <w:r w:rsidRPr="00283806">
        <w:rPr>
          <w:w w:val="105"/>
        </w:rPr>
        <w:t>proposed rule.</w:t>
      </w:r>
    </w:p>
    <w:p w14:paraId="1953018C" w14:textId="77777777" w:rsidR="00D67C1E" w:rsidRPr="00283806" w:rsidRDefault="001265CA">
      <w:pPr>
        <w:pStyle w:val="BodyText"/>
        <w:spacing w:line="213" w:lineRule="auto"/>
        <w:ind w:left="144" w:right="210" w:firstLine="180"/>
      </w:pPr>
      <w:r w:rsidRPr="00283806">
        <w:rPr>
          <w:rFonts w:ascii="Book Antiqua"/>
          <w:i/>
          <w:w w:val="110"/>
        </w:rPr>
        <w:t xml:space="preserve">Response: </w:t>
      </w:r>
      <w:r w:rsidRPr="00283806">
        <w:rPr>
          <w:w w:val="110"/>
        </w:rPr>
        <w:t>After considering comments,</w:t>
      </w:r>
      <w:r w:rsidRPr="00283806">
        <w:rPr>
          <w:spacing w:val="-9"/>
          <w:w w:val="110"/>
        </w:rPr>
        <w:t xml:space="preserve"> </w:t>
      </w:r>
      <w:r w:rsidRPr="00283806">
        <w:rPr>
          <w:w w:val="110"/>
        </w:rPr>
        <w:t>EPA</w:t>
      </w:r>
      <w:r w:rsidRPr="00283806">
        <w:rPr>
          <w:spacing w:val="-9"/>
          <w:w w:val="110"/>
        </w:rPr>
        <w:t xml:space="preserve"> </w:t>
      </w:r>
      <w:r w:rsidRPr="00283806">
        <w:rPr>
          <w:w w:val="110"/>
        </w:rPr>
        <w:t>is</w:t>
      </w:r>
      <w:r w:rsidRPr="00283806">
        <w:rPr>
          <w:spacing w:val="-9"/>
          <w:w w:val="110"/>
        </w:rPr>
        <w:t xml:space="preserve"> </w:t>
      </w:r>
      <w:r w:rsidRPr="00283806">
        <w:rPr>
          <w:w w:val="110"/>
        </w:rPr>
        <w:t>finalizing</w:t>
      </w:r>
      <w:r w:rsidRPr="00283806">
        <w:rPr>
          <w:spacing w:val="-9"/>
          <w:w w:val="110"/>
        </w:rPr>
        <w:t xml:space="preserve"> </w:t>
      </w:r>
      <w:r w:rsidRPr="00283806">
        <w:rPr>
          <w:w w:val="110"/>
        </w:rPr>
        <w:t>the</w:t>
      </w:r>
    </w:p>
    <w:p w14:paraId="206F0472" w14:textId="77777777" w:rsidR="00D67C1E" w:rsidRPr="00283806" w:rsidRDefault="001265CA">
      <w:pPr>
        <w:pStyle w:val="BodyText"/>
        <w:spacing w:line="225" w:lineRule="auto"/>
        <w:ind w:left="144" w:right="210"/>
      </w:pPr>
      <w:r w:rsidRPr="00283806">
        <w:rPr>
          <w:w w:val="105"/>
        </w:rPr>
        <w:t xml:space="preserve">definition of ‘‘repair’’ as proposed, though EPA is deleting the phrase ‘‘for purposes of this subpart’’ from the </w:t>
      </w:r>
      <w:r w:rsidRPr="00283806">
        <w:rPr>
          <w:spacing w:val="-2"/>
          <w:w w:val="105"/>
        </w:rPr>
        <w:t>definition.</w:t>
      </w:r>
    </w:p>
    <w:p w14:paraId="5E0A4E2E" w14:textId="77777777" w:rsidR="00D67C1E" w:rsidRPr="00283806" w:rsidRDefault="001265CA">
      <w:pPr>
        <w:pStyle w:val="BodyText"/>
        <w:spacing w:line="213" w:lineRule="auto"/>
        <w:ind w:left="144" w:right="210" w:firstLine="180"/>
      </w:pPr>
      <w:r w:rsidRPr="00283806">
        <w:rPr>
          <w:rFonts w:ascii="Book Antiqua"/>
          <w:i/>
          <w:w w:val="105"/>
        </w:rPr>
        <w:t xml:space="preserve">Retrofit. </w:t>
      </w:r>
      <w:r w:rsidRPr="00283806">
        <w:rPr>
          <w:w w:val="105"/>
        </w:rPr>
        <w:t>EPA proposed this definition, as it relates to a refrigerant-containing</w:t>
      </w:r>
    </w:p>
    <w:p w14:paraId="4C6612AD" w14:textId="77777777" w:rsidR="00D67C1E" w:rsidRPr="00283806" w:rsidRDefault="001265CA">
      <w:pPr>
        <w:pStyle w:val="BodyText"/>
        <w:spacing w:line="225" w:lineRule="auto"/>
        <w:ind w:left="144" w:right="162"/>
      </w:pPr>
      <w:r w:rsidRPr="00283806">
        <w:rPr>
          <w:w w:val="105"/>
        </w:rPr>
        <w:t>appliance, to mean ‘‘to convert an appliance from one refrigerant to</w:t>
      </w:r>
      <w:r w:rsidRPr="00283806">
        <w:rPr>
          <w:spacing w:val="40"/>
          <w:w w:val="105"/>
        </w:rPr>
        <w:t xml:space="preserve"> </w:t>
      </w:r>
      <w:r w:rsidRPr="00283806">
        <w:rPr>
          <w:w w:val="105"/>
        </w:rPr>
        <w:t>another</w:t>
      </w:r>
      <w:r w:rsidRPr="00283806">
        <w:rPr>
          <w:spacing w:val="-1"/>
          <w:w w:val="105"/>
        </w:rPr>
        <w:t xml:space="preserve"> </w:t>
      </w:r>
      <w:r w:rsidRPr="00283806">
        <w:rPr>
          <w:w w:val="105"/>
        </w:rPr>
        <w:t>refrigerant.</w:t>
      </w:r>
      <w:r w:rsidRPr="00283806">
        <w:rPr>
          <w:spacing w:val="-1"/>
          <w:w w:val="105"/>
        </w:rPr>
        <w:t xml:space="preserve"> </w:t>
      </w:r>
      <w:r w:rsidRPr="00283806">
        <w:rPr>
          <w:w w:val="105"/>
        </w:rPr>
        <w:t>Retrofitting</w:t>
      </w:r>
      <w:r w:rsidRPr="00283806">
        <w:rPr>
          <w:spacing w:val="-1"/>
          <w:w w:val="105"/>
        </w:rPr>
        <w:t xml:space="preserve"> </w:t>
      </w:r>
      <w:r w:rsidRPr="00283806">
        <w:rPr>
          <w:w w:val="105"/>
        </w:rPr>
        <w:t>includes the conversion of the appliance to</w:t>
      </w:r>
      <w:r w:rsidRPr="00283806">
        <w:rPr>
          <w:spacing w:val="40"/>
          <w:w w:val="105"/>
        </w:rPr>
        <w:t xml:space="preserve"> </w:t>
      </w:r>
      <w:r w:rsidRPr="00283806">
        <w:rPr>
          <w:w w:val="105"/>
        </w:rPr>
        <w:t xml:space="preserve">achieve system compatibility with the new refrigerant and may include, but is not limited to, changes in lubricants, gaskets, filters, driers, valves, </w:t>
      </w:r>
      <w:proofErr w:type="spellStart"/>
      <w:r w:rsidRPr="00283806">
        <w:rPr>
          <w:w w:val="105"/>
        </w:rPr>
        <w:t>o-rings</w:t>
      </w:r>
      <w:proofErr w:type="spellEnd"/>
      <w:r w:rsidRPr="00283806">
        <w:rPr>
          <w:w w:val="105"/>
        </w:rPr>
        <w:t>, or appliance components. Retrofits</w:t>
      </w:r>
      <w:r w:rsidRPr="00283806">
        <w:rPr>
          <w:spacing w:val="40"/>
          <w:w w:val="105"/>
        </w:rPr>
        <w:t xml:space="preserve"> </w:t>
      </w:r>
      <w:r w:rsidRPr="00283806">
        <w:rPr>
          <w:w w:val="105"/>
        </w:rPr>
        <w:t>required under this subpart shall be</w:t>
      </w:r>
      <w:r w:rsidRPr="00283806">
        <w:rPr>
          <w:spacing w:val="40"/>
          <w:w w:val="105"/>
        </w:rPr>
        <w:t xml:space="preserve"> </w:t>
      </w:r>
      <w:proofErr w:type="gramStart"/>
      <w:r w:rsidRPr="00283806">
        <w:rPr>
          <w:w w:val="105"/>
        </w:rPr>
        <w:t>done</w:t>
      </w:r>
      <w:proofErr w:type="gramEnd"/>
      <w:r w:rsidRPr="00283806">
        <w:rPr>
          <w:w w:val="105"/>
        </w:rPr>
        <w:t xml:space="preserve"> to a refrigerant with a lower-</w:t>
      </w:r>
      <w:r w:rsidRPr="00283806">
        <w:rPr>
          <w:spacing w:val="80"/>
          <w:w w:val="105"/>
        </w:rPr>
        <w:t xml:space="preserve"> </w:t>
      </w:r>
      <w:r w:rsidRPr="00283806">
        <w:rPr>
          <w:spacing w:val="-2"/>
          <w:w w:val="105"/>
        </w:rPr>
        <w:t>GWP.’’</w:t>
      </w:r>
    </w:p>
    <w:p w14:paraId="02E75A22" w14:textId="77777777" w:rsidR="00D67C1E" w:rsidRPr="00283806" w:rsidRDefault="001265CA">
      <w:pPr>
        <w:pStyle w:val="BodyText"/>
        <w:spacing w:line="176" w:lineRule="exact"/>
        <w:ind w:left="324"/>
      </w:pPr>
      <w:r w:rsidRPr="00283806">
        <w:rPr>
          <w:w w:val="110"/>
        </w:rPr>
        <w:t>EPA</w:t>
      </w:r>
      <w:r w:rsidRPr="00283806">
        <w:rPr>
          <w:spacing w:val="2"/>
          <w:w w:val="110"/>
        </w:rPr>
        <w:t xml:space="preserve"> </w:t>
      </w:r>
      <w:r w:rsidRPr="00283806">
        <w:rPr>
          <w:w w:val="110"/>
        </w:rPr>
        <w:t>is</w:t>
      </w:r>
      <w:r w:rsidRPr="00283806">
        <w:rPr>
          <w:spacing w:val="3"/>
          <w:w w:val="110"/>
        </w:rPr>
        <w:t xml:space="preserve"> </w:t>
      </w:r>
      <w:r w:rsidRPr="00283806">
        <w:rPr>
          <w:w w:val="110"/>
        </w:rPr>
        <w:t>modifying</w:t>
      </w:r>
      <w:r w:rsidRPr="00283806">
        <w:rPr>
          <w:spacing w:val="3"/>
          <w:w w:val="110"/>
        </w:rPr>
        <w:t xml:space="preserve"> </w:t>
      </w:r>
      <w:r w:rsidRPr="00283806">
        <w:rPr>
          <w:w w:val="110"/>
        </w:rPr>
        <w:t>the</w:t>
      </w:r>
      <w:r w:rsidRPr="00283806">
        <w:rPr>
          <w:spacing w:val="3"/>
          <w:w w:val="110"/>
        </w:rPr>
        <w:t xml:space="preserve"> </w:t>
      </w:r>
      <w:r w:rsidRPr="00283806">
        <w:rPr>
          <w:w w:val="110"/>
        </w:rPr>
        <w:t>final</w:t>
      </w:r>
      <w:r w:rsidRPr="00283806">
        <w:rPr>
          <w:spacing w:val="3"/>
          <w:w w:val="110"/>
        </w:rPr>
        <w:t xml:space="preserve"> </w:t>
      </w:r>
      <w:r w:rsidRPr="00283806">
        <w:rPr>
          <w:spacing w:val="-2"/>
          <w:w w:val="110"/>
        </w:rPr>
        <w:t>definition</w:t>
      </w:r>
    </w:p>
    <w:p w14:paraId="00797152" w14:textId="77777777" w:rsidR="00D67C1E" w:rsidRPr="00283806" w:rsidRDefault="001265CA">
      <w:pPr>
        <w:pStyle w:val="BodyText"/>
        <w:spacing w:line="228" w:lineRule="auto"/>
        <w:ind w:left="144" w:right="141"/>
      </w:pPr>
      <w:r w:rsidRPr="00283806">
        <w:rPr>
          <w:w w:val="105"/>
        </w:rPr>
        <w:t>by removing the last sentence requiring that retrofits be done with a refrigerant with a lower-GWP. The proposed definition was meant to prevent the retrofit of refrigerant-containing appliances to a higher-GWP refrigerant</w:t>
      </w:r>
      <w:r w:rsidRPr="00283806">
        <w:rPr>
          <w:spacing w:val="40"/>
          <w:w w:val="105"/>
        </w:rPr>
        <w:t xml:space="preserve"> </w:t>
      </w:r>
      <w:r w:rsidRPr="00283806">
        <w:rPr>
          <w:w w:val="105"/>
        </w:rPr>
        <w:t>as a compliance option. EPA decided in this final rule to not require the retrofit</w:t>
      </w:r>
      <w:r w:rsidRPr="00283806">
        <w:rPr>
          <w:spacing w:val="40"/>
          <w:w w:val="105"/>
        </w:rPr>
        <w:t xml:space="preserve"> </w:t>
      </w:r>
      <w:r w:rsidRPr="00283806">
        <w:rPr>
          <w:w w:val="105"/>
        </w:rPr>
        <w:t>of an appliance to a lower-GWP refrigerant. The Agency acknowledges that there are situations where retrofitting to a lower-GWP refrigerant may not be feasible, such as when there</w:t>
      </w:r>
      <w:r w:rsidRPr="00283806">
        <w:rPr>
          <w:spacing w:val="40"/>
          <w:w w:val="105"/>
        </w:rPr>
        <w:t xml:space="preserve"> </w:t>
      </w:r>
      <w:r w:rsidRPr="00283806">
        <w:rPr>
          <w:w w:val="105"/>
        </w:rPr>
        <w:t>is an inadequate supply of lower-GWP refrigerant or when technical standards do not allow the retrofit from a non- flammable refrigerant to a flammable refrigerant. Some appliances may have a limited number of lower-GWP alternatives, making it more difficult to retrofit a system to meet leak repair requirements. While the owner of a refrigerant-containing appliance has other ways to meet leak repair requirements, such as sufficiently repairing leaks or retiring the system, EPA does not want to limit the number</w:t>
      </w:r>
      <w:r w:rsidRPr="00283806">
        <w:rPr>
          <w:spacing w:val="80"/>
          <w:w w:val="105"/>
        </w:rPr>
        <w:t xml:space="preserve"> </w:t>
      </w:r>
      <w:r w:rsidRPr="00283806">
        <w:rPr>
          <w:w w:val="105"/>
        </w:rPr>
        <w:t>of</w:t>
      </w:r>
      <w:r w:rsidRPr="00283806">
        <w:rPr>
          <w:spacing w:val="40"/>
          <w:w w:val="105"/>
        </w:rPr>
        <w:t xml:space="preserve"> </w:t>
      </w:r>
      <w:r w:rsidRPr="00283806">
        <w:rPr>
          <w:w w:val="105"/>
        </w:rPr>
        <w:t>compliance</w:t>
      </w:r>
      <w:r w:rsidRPr="00283806">
        <w:rPr>
          <w:spacing w:val="40"/>
          <w:w w:val="105"/>
        </w:rPr>
        <w:t xml:space="preserve"> </w:t>
      </w:r>
      <w:r w:rsidRPr="00283806">
        <w:rPr>
          <w:w w:val="105"/>
        </w:rPr>
        <w:t>options</w:t>
      </w:r>
      <w:r w:rsidRPr="00283806">
        <w:rPr>
          <w:spacing w:val="40"/>
          <w:w w:val="105"/>
        </w:rPr>
        <w:t xml:space="preserve"> </w:t>
      </w:r>
      <w:r w:rsidRPr="00283806">
        <w:rPr>
          <w:w w:val="105"/>
        </w:rPr>
        <w:t>by</w:t>
      </w:r>
      <w:r w:rsidRPr="00283806">
        <w:rPr>
          <w:spacing w:val="40"/>
          <w:w w:val="105"/>
        </w:rPr>
        <w:t xml:space="preserve"> </w:t>
      </w:r>
      <w:r w:rsidRPr="00283806">
        <w:rPr>
          <w:w w:val="105"/>
        </w:rPr>
        <w:t>prohibiting the retrofit of an appliance to a higher- GWP refrigerant. EPA emphasizes that it still</w:t>
      </w:r>
      <w:r w:rsidRPr="00283806">
        <w:rPr>
          <w:spacing w:val="4"/>
          <w:w w:val="105"/>
        </w:rPr>
        <w:t xml:space="preserve"> </w:t>
      </w:r>
      <w:r w:rsidRPr="00283806">
        <w:rPr>
          <w:w w:val="105"/>
        </w:rPr>
        <w:t>encourages</w:t>
      </w:r>
      <w:r w:rsidRPr="00283806">
        <w:rPr>
          <w:spacing w:val="4"/>
          <w:w w:val="105"/>
        </w:rPr>
        <w:t xml:space="preserve"> </w:t>
      </w:r>
      <w:r w:rsidRPr="00283806">
        <w:rPr>
          <w:w w:val="105"/>
        </w:rPr>
        <w:t>the</w:t>
      </w:r>
      <w:r w:rsidRPr="00283806">
        <w:rPr>
          <w:spacing w:val="5"/>
          <w:w w:val="105"/>
        </w:rPr>
        <w:t xml:space="preserve"> </w:t>
      </w:r>
      <w:r w:rsidRPr="00283806">
        <w:rPr>
          <w:w w:val="105"/>
        </w:rPr>
        <w:t>retrofit</w:t>
      </w:r>
      <w:r w:rsidRPr="00283806">
        <w:rPr>
          <w:spacing w:val="4"/>
          <w:w w:val="105"/>
        </w:rPr>
        <w:t xml:space="preserve"> </w:t>
      </w:r>
      <w:r w:rsidRPr="00283806">
        <w:rPr>
          <w:w w:val="105"/>
        </w:rPr>
        <w:t>of</w:t>
      </w:r>
      <w:r w:rsidRPr="00283806">
        <w:rPr>
          <w:spacing w:val="5"/>
          <w:w w:val="105"/>
        </w:rPr>
        <w:t xml:space="preserve"> </w:t>
      </w:r>
      <w:r w:rsidRPr="00283806">
        <w:rPr>
          <w:w w:val="105"/>
        </w:rPr>
        <w:t>systems</w:t>
      </w:r>
      <w:r w:rsidRPr="00283806">
        <w:rPr>
          <w:spacing w:val="4"/>
          <w:w w:val="105"/>
        </w:rPr>
        <w:t xml:space="preserve"> </w:t>
      </w:r>
      <w:r w:rsidRPr="00283806">
        <w:rPr>
          <w:spacing w:val="-5"/>
          <w:w w:val="105"/>
        </w:rPr>
        <w:t>to</w:t>
      </w:r>
    </w:p>
    <w:p w14:paraId="4DFCF549"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7" w:space="40"/>
            <w:col w:w="3500" w:space="39"/>
            <w:col w:w="3624"/>
          </w:cols>
        </w:sectPr>
      </w:pPr>
    </w:p>
    <w:p w14:paraId="7C5ADF94" w14:textId="77777777" w:rsidR="00D67C1E" w:rsidRPr="00283806" w:rsidRDefault="001265CA">
      <w:pPr>
        <w:pStyle w:val="BodyText"/>
        <w:spacing w:before="134" w:line="228" w:lineRule="auto"/>
        <w:ind w:right="128"/>
      </w:pPr>
      <w:r w:rsidRPr="00283806">
        <w:rPr>
          <w:w w:val="105"/>
        </w:rPr>
        <w:lastRenderedPageBreak/>
        <w:t>lower-GWP</w:t>
      </w:r>
      <w:r w:rsidRPr="00283806">
        <w:rPr>
          <w:spacing w:val="-10"/>
          <w:w w:val="105"/>
        </w:rPr>
        <w:t xml:space="preserve"> </w:t>
      </w:r>
      <w:r w:rsidRPr="00283806">
        <w:rPr>
          <w:w w:val="105"/>
        </w:rPr>
        <w:t>refrigerants</w:t>
      </w:r>
      <w:r w:rsidRPr="00283806">
        <w:rPr>
          <w:spacing w:val="-11"/>
          <w:w w:val="105"/>
        </w:rPr>
        <w:t xml:space="preserve"> </w:t>
      </w:r>
      <w:r w:rsidRPr="00283806">
        <w:rPr>
          <w:w w:val="105"/>
        </w:rPr>
        <w:t xml:space="preserve">whenever </w:t>
      </w:r>
      <w:r w:rsidRPr="00283806">
        <w:rPr>
          <w:spacing w:val="-2"/>
          <w:w w:val="105"/>
        </w:rPr>
        <w:t>possible.</w:t>
      </w:r>
    </w:p>
    <w:p w14:paraId="45403DB5" w14:textId="77777777" w:rsidR="00D67C1E" w:rsidRPr="00283806" w:rsidRDefault="001265CA">
      <w:pPr>
        <w:pStyle w:val="BodyText"/>
        <w:spacing w:before="21" w:line="225" w:lineRule="auto"/>
        <w:ind w:right="37" w:firstLine="180"/>
      </w:pPr>
      <w:r w:rsidRPr="00283806">
        <w:rPr>
          <w:rFonts w:ascii="Book Antiqua" w:hAnsi="Book Antiqua"/>
          <w:i/>
          <w:w w:val="105"/>
        </w:rPr>
        <w:t xml:space="preserve">Comment: </w:t>
      </w:r>
      <w:r w:rsidRPr="00283806">
        <w:rPr>
          <w:w w:val="105"/>
        </w:rPr>
        <w:t>A few commenters were opposed to a requirement that retrofits always be to a refrigerant with a lower- GWP. One commenter stated that requiring retrofits to only lower-GWP refrigerants would produce logistical challenges, create supply constraints,</w:t>
      </w:r>
      <w:r w:rsidRPr="00283806">
        <w:rPr>
          <w:spacing w:val="40"/>
          <w:w w:val="105"/>
        </w:rPr>
        <w:t xml:space="preserve"> </w:t>
      </w:r>
      <w:r w:rsidRPr="00283806">
        <w:rPr>
          <w:w w:val="105"/>
        </w:rPr>
        <w:t>and increase costs. Another commenter stated that EPA should avoid discouraging retrofits from refrigerants like R–22, R–404A, and R–507A to</w:t>
      </w:r>
      <w:r w:rsidRPr="00283806">
        <w:rPr>
          <w:spacing w:val="40"/>
          <w:w w:val="105"/>
        </w:rPr>
        <w:t xml:space="preserve"> </w:t>
      </w:r>
      <w:r w:rsidRPr="00283806">
        <w:rPr>
          <w:w w:val="105"/>
        </w:rPr>
        <w:t>lower-GWP alternatives that still exceed the GWP limits in the 2023 Technology Transitions Rule (R–448, R–449, R–427, R–407H, and R–407A for commercial</w:t>
      </w:r>
      <w:r w:rsidRPr="00283806">
        <w:rPr>
          <w:spacing w:val="40"/>
          <w:w w:val="105"/>
        </w:rPr>
        <w:t xml:space="preserve"> </w:t>
      </w:r>
      <w:r w:rsidRPr="00283806">
        <w:rPr>
          <w:w w:val="105"/>
        </w:rPr>
        <w:t>and industrial). The commenter stated that transitioning from R–404A to</w:t>
      </w:r>
    </w:p>
    <w:p w14:paraId="4C8C15DB" w14:textId="77777777" w:rsidR="00D67C1E" w:rsidRPr="00283806" w:rsidRDefault="001265CA">
      <w:pPr>
        <w:pStyle w:val="BodyText"/>
        <w:spacing w:before="16" w:line="228" w:lineRule="auto"/>
        <w:ind w:right="8"/>
      </w:pPr>
      <w:r w:rsidRPr="00283806">
        <w:rPr>
          <w:w w:val="105"/>
        </w:rPr>
        <w:t>lower-GWP options will benefit the HFC phasedown. One commenter supported EPA retaining its definition to require retrofits to low-GWP refrigerants and stated that requiring retrofit plans to use lower-GWP refrigerants is consistent with the phasedown and the intent of</w:t>
      </w:r>
      <w:r w:rsidRPr="00283806">
        <w:rPr>
          <w:spacing w:val="80"/>
          <w:w w:val="105"/>
        </w:rPr>
        <w:t xml:space="preserve"> </w:t>
      </w:r>
      <w:r w:rsidRPr="00283806">
        <w:rPr>
          <w:w w:val="105"/>
        </w:rPr>
        <w:t>the AIM Act and may help mitigate ongoing leakage that may occur after the retrofit is completed.</w:t>
      </w:r>
    </w:p>
    <w:p w14:paraId="352F48E1" w14:textId="77777777" w:rsidR="00D67C1E" w:rsidRPr="00283806" w:rsidRDefault="001265CA">
      <w:pPr>
        <w:pStyle w:val="BodyText"/>
        <w:spacing w:line="228" w:lineRule="auto"/>
        <w:ind w:firstLine="180"/>
      </w:pPr>
      <w:r w:rsidRPr="00283806">
        <w:rPr>
          <w:rFonts w:ascii="Book Antiqua"/>
          <w:i/>
          <w:w w:val="105"/>
        </w:rPr>
        <w:t xml:space="preserve">Response: </w:t>
      </w:r>
      <w:r w:rsidRPr="00283806">
        <w:rPr>
          <w:w w:val="105"/>
        </w:rPr>
        <w:t>EPA acknowledges these comments both supporting and</w:t>
      </w:r>
      <w:r w:rsidRPr="00283806">
        <w:rPr>
          <w:spacing w:val="80"/>
          <w:w w:val="150"/>
        </w:rPr>
        <w:t xml:space="preserve"> </w:t>
      </w:r>
      <w:r w:rsidRPr="00283806">
        <w:rPr>
          <w:w w:val="105"/>
        </w:rPr>
        <w:t>opposing the proposed definition. After consideration of these comments, for the reasons discussed above in describing</w:t>
      </w:r>
      <w:r w:rsidRPr="00283806">
        <w:rPr>
          <w:spacing w:val="40"/>
          <w:w w:val="105"/>
        </w:rPr>
        <w:t xml:space="preserve"> </w:t>
      </w:r>
      <w:r w:rsidRPr="00283806">
        <w:rPr>
          <w:w w:val="105"/>
        </w:rPr>
        <w:t xml:space="preserve">the modifications to the proposed definition in the final definition, EPA is not requiring that retrofits use lower- GWP refrigerants in this final rule. As noted </w:t>
      </w:r>
      <w:proofErr w:type="gramStart"/>
      <w:r w:rsidRPr="00283806">
        <w:rPr>
          <w:w w:val="105"/>
        </w:rPr>
        <w:t>above,</w:t>
      </w:r>
      <w:proofErr w:type="gramEnd"/>
      <w:r w:rsidRPr="00283806">
        <w:rPr>
          <w:w w:val="105"/>
        </w:rPr>
        <w:t xml:space="preserve"> while not requiring it, EPA encourages the retrofit of refrigerant- containing appliances to lower-GWP refrigerants whenever possible. With respect to the comments related to the restrictions established in the 2023 Technology Transitions Rule, EPA notes that rule did not address retrofits and that rule applies only to new systems (</w:t>
      </w:r>
      <w:proofErr w:type="gramStart"/>
      <w:r w:rsidRPr="00283806">
        <w:rPr>
          <w:w w:val="105"/>
        </w:rPr>
        <w:t>including for</w:t>
      </w:r>
      <w:proofErr w:type="gramEnd"/>
      <w:r w:rsidRPr="00283806">
        <w:rPr>
          <w:w w:val="105"/>
        </w:rPr>
        <w:t xml:space="preserve"> refrigerant-containing appliances).</w:t>
      </w:r>
      <w:r w:rsidRPr="00283806">
        <w:rPr>
          <w:spacing w:val="40"/>
          <w:w w:val="105"/>
        </w:rPr>
        <w:t xml:space="preserve"> </w:t>
      </w:r>
      <w:r w:rsidRPr="00283806">
        <w:rPr>
          <w:w w:val="105"/>
        </w:rPr>
        <w:t>Additionally,</w:t>
      </w:r>
      <w:r w:rsidRPr="00283806">
        <w:rPr>
          <w:spacing w:val="40"/>
          <w:w w:val="105"/>
        </w:rPr>
        <w:t xml:space="preserve"> </w:t>
      </w:r>
      <w:r w:rsidRPr="00283806">
        <w:rPr>
          <w:w w:val="105"/>
        </w:rPr>
        <w:t>with</w:t>
      </w:r>
      <w:r w:rsidRPr="00283806">
        <w:rPr>
          <w:spacing w:val="40"/>
          <w:w w:val="105"/>
        </w:rPr>
        <w:t xml:space="preserve"> </w:t>
      </w:r>
      <w:r w:rsidRPr="00283806">
        <w:rPr>
          <w:w w:val="105"/>
        </w:rPr>
        <w:t>respect to the comment that requiring retrofits</w:t>
      </w:r>
    </w:p>
    <w:p w14:paraId="720B9CCD" w14:textId="77777777" w:rsidR="00D67C1E" w:rsidRPr="00283806" w:rsidRDefault="001265CA">
      <w:pPr>
        <w:pStyle w:val="BodyText"/>
        <w:spacing w:before="140" w:line="223" w:lineRule="auto"/>
        <w:ind w:left="144" w:right="10" w:firstLine="180"/>
      </w:pPr>
      <w:r w:rsidRPr="00283806">
        <w:br w:type="column"/>
      </w:r>
      <w:r w:rsidRPr="00283806">
        <w:rPr>
          <w:rFonts w:ascii="Book Antiqua" w:hAnsi="Book Antiqua"/>
          <w:i/>
          <w:w w:val="105"/>
        </w:rPr>
        <w:t>Substitute for a regulated substance.</w:t>
      </w:r>
      <w:r w:rsidRPr="00283806">
        <w:rPr>
          <w:rFonts w:ascii="Book Antiqua" w:hAnsi="Book Antiqua"/>
          <w:i/>
          <w:spacing w:val="80"/>
          <w:w w:val="105"/>
        </w:rPr>
        <w:t xml:space="preserve"> </w:t>
      </w:r>
      <w:r w:rsidRPr="00283806">
        <w:rPr>
          <w:w w:val="105"/>
        </w:rPr>
        <w:t>EPA is finalizing this definition as proposed to mean ‘‘a substance that can be used in equipment in the same or similar applications as a regulated substance, to serve the same or a similar purpose, including but not limited to a substance used as a refrigerant in a refrigerant-containing appliance or as a fire suppressant in fire suppression equipment, provided that the substance</w:t>
      </w:r>
      <w:r w:rsidRPr="00283806">
        <w:rPr>
          <w:spacing w:val="40"/>
          <w:w w:val="105"/>
        </w:rPr>
        <w:t xml:space="preserve"> </w:t>
      </w:r>
      <w:r w:rsidRPr="00283806">
        <w:rPr>
          <w:w w:val="105"/>
        </w:rPr>
        <w:t>is not a regulated substance or an ozone- depleting substance.’’</w:t>
      </w:r>
    </w:p>
    <w:p w14:paraId="428B6619" w14:textId="77777777" w:rsidR="00D67C1E" w:rsidRPr="00283806" w:rsidRDefault="001265CA">
      <w:pPr>
        <w:pStyle w:val="BodyText"/>
        <w:spacing w:line="225" w:lineRule="auto"/>
        <w:ind w:left="144" w:right="23" w:firstLine="180"/>
      </w:pPr>
      <w:r w:rsidRPr="00283806">
        <w:rPr>
          <w:w w:val="105"/>
        </w:rPr>
        <w:t>Subsection</w:t>
      </w:r>
      <w:r w:rsidRPr="00283806">
        <w:rPr>
          <w:spacing w:val="-5"/>
          <w:w w:val="105"/>
        </w:rPr>
        <w:t xml:space="preserve"> </w:t>
      </w:r>
      <w:r w:rsidRPr="00283806">
        <w:rPr>
          <w:w w:val="105"/>
        </w:rPr>
        <w:t>(h)(1)</w:t>
      </w:r>
      <w:r w:rsidRPr="00283806">
        <w:rPr>
          <w:spacing w:val="-5"/>
          <w:w w:val="105"/>
        </w:rPr>
        <w:t xml:space="preserve"> </w:t>
      </w:r>
      <w:r w:rsidRPr="00283806">
        <w:rPr>
          <w:w w:val="105"/>
        </w:rPr>
        <w:t>expressly</w:t>
      </w:r>
      <w:r w:rsidRPr="00283806">
        <w:rPr>
          <w:spacing w:val="-5"/>
          <w:w w:val="105"/>
        </w:rPr>
        <w:t xml:space="preserve"> </w:t>
      </w:r>
      <w:r w:rsidRPr="00283806">
        <w:rPr>
          <w:w w:val="105"/>
        </w:rPr>
        <w:t>authorized EPA to promulgate certain regulations involving a regulated substance, a substitute for a regulated substance, the reclaiming of a regulated substance used as a refrigerant, or the reclaiming of a substitute for a regulated substance used as a refrigerant. EPA is defining ‘‘substitute for a regulated substance’’ in this subpart for additional clarity that</w:t>
      </w:r>
      <w:r w:rsidRPr="00283806">
        <w:rPr>
          <w:spacing w:val="80"/>
          <w:w w:val="105"/>
        </w:rPr>
        <w:t xml:space="preserve"> </w:t>
      </w:r>
      <w:r w:rsidRPr="00283806">
        <w:rPr>
          <w:w w:val="105"/>
        </w:rPr>
        <w:t>the</w:t>
      </w:r>
      <w:r w:rsidRPr="00283806">
        <w:rPr>
          <w:spacing w:val="30"/>
          <w:w w:val="105"/>
        </w:rPr>
        <w:t xml:space="preserve"> </w:t>
      </w:r>
      <w:r w:rsidRPr="00283806">
        <w:rPr>
          <w:w w:val="105"/>
        </w:rPr>
        <w:t>use</w:t>
      </w:r>
      <w:r w:rsidRPr="00283806">
        <w:rPr>
          <w:spacing w:val="30"/>
          <w:w w:val="105"/>
        </w:rPr>
        <w:t xml:space="preserve"> </w:t>
      </w:r>
      <w:r w:rsidRPr="00283806">
        <w:rPr>
          <w:w w:val="105"/>
        </w:rPr>
        <w:t>of</w:t>
      </w:r>
      <w:r w:rsidRPr="00283806">
        <w:rPr>
          <w:spacing w:val="30"/>
          <w:w w:val="105"/>
        </w:rPr>
        <w:t xml:space="preserve"> </w:t>
      </w:r>
      <w:r w:rsidRPr="00283806">
        <w:rPr>
          <w:w w:val="105"/>
        </w:rPr>
        <w:t>this</w:t>
      </w:r>
      <w:r w:rsidRPr="00283806">
        <w:rPr>
          <w:spacing w:val="30"/>
          <w:w w:val="105"/>
        </w:rPr>
        <w:t xml:space="preserve"> </w:t>
      </w:r>
      <w:r w:rsidRPr="00283806">
        <w:rPr>
          <w:w w:val="105"/>
        </w:rPr>
        <w:t>term</w:t>
      </w:r>
      <w:r w:rsidRPr="00283806">
        <w:rPr>
          <w:spacing w:val="30"/>
          <w:w w:val="105"/>
        </w:rPr>
        <w:t xml:space="preserve"> </w:t>
      </w:r>
      <w:r w:rsidRPr="00283806">
        <w:rPr>
          <w:w w:val="105"/>
        </w:rPr>
        <w:t>in</w:t>
      </w:r>
      <w:r w:rsidRPr="00283806">
        <w:rPr>
          <w:spacing w:val="30"/>
          <w:w w:val="105"/>
        </w:rPr>
        <w:t xml:space="preserve"> </w:t>
      </w:r>
      <w:r w:rsidRPr="00283806">
        <w:rPr>
          <w:w w:val="105"/>
        </w:rPr>
        <w:t>subsection</w:t>
      </w:r>
      <w:r w:rsidRPr="00283806">
        <w:rPr>
          <w:spacing w:val="30"/>
          <w:w w:val="105"/>
        </w:rPr>
        <w:t xml:space="preserve"> </w:t>
      </w:r>
      <w:r w:rsidRPr="00283806">
        <w:rPr>
          <w:w w:val="105"/>
        </w:rPr>
        <w:t>(h) and</w:t>
      </w:r>
      <w:r w:rsidRPr="00283806">
        <w:rPr>
          <w:spacing w:val="40"/>
          <w:w w:val="105"/>
        </w:rPr>
        <w:t xml:space="preserve"> </w:t>
      </w:r>
      <w:r w:rsidRPr="00283806">
        <w:rPr>
          <w:w w:val="105"/>
        </w:rPr>
        <w:t>in</w:t>
      </w:r>
      <w:r w:rsidRPr="00283806">
        <w:rPr>
          <w:spacing w:val="40"/>
          <w:w w:val="105"/>
        </w:rPr>
        <w:t xml:space="preserve"> </w:t>
      </w:r>
      <w:r w:rsidRPr="00283806">
        <w:rPr>
          <w:w w:val="105"/>
        </w:rPr>
        <w:t>the</w:t>
      </w:r>
      <w:r w:rsidRPr="00283806">
        <w:rPr>
          <w:spacing w:val="40"/>
          <w:w w:val="105"/>
        </w:rPr>
        <w:t xml:space="preserve"> </w:t>
      </w:r>
      <w:r w:rsidRPr="00283806">
        <w:rPr>
          <w:w w:val="105"/>
        </w:rPr>
        <w:t>regulations</w:t>
      </w:r>
      <w:r w:rsidRPr="00283806">
        <w:rPr>
          <w:spacing w:val="40"/>
          <w:w w:val="105"/>
        </w:rPr>
        <w:t xml:space="preserve"> </w:t>
      </w:r>
      <w:r w:rsidRPr="00283806">
        <w:rPr>
          <w:w w:val="105"/>
        </w:rPr>
        <w:t>established</w:t>
      </w:r>
      <w:r w:rsidRPr="00283806">
        <w:rPr>
          <w:spacing w:val="40"/>
          <w:w w:val="105"/>
        </w:rPr>
        <w:t xml:space="preserve"> </w:t>
      </w:r>
      <w:r w:rsidRPr="00283806">
        <w:rPr>
          <w:w w:val="105"/>
        </w:rPr>
        <w:t>in this rule differs from how the term ‘‘substitute’’</w:t>
      </w:r>
      <w:r w:rsidRPr="00283806">
        <w:rPr>
          <w:spacing w:val="40"/>
          <w:w w:val="105"/>
        </w:rPr>
        <w:t xml:space="preserve"> </w:t>
      </w:r>
      <w:r w:rsidRPr="00283806">
        <w:rPr>
          <w:w w:val="105"/>
        </w:rPr>
        <w:t>is</w:t>
      </w:r>
      <w:r w:rsidRPr="00283806">
        <w:rPr>
          <w:spacing w:val="40"/>
          <w:w w:val="105"/>
        </w:rPr>
        <w:t xml:space="preserve"> </w:t>
      </w:r>
      <w:r w:rsidRPr="00283806">
        <w:rPr>
          <w:w w:val="105"/>
        </w:rPr>
        <w:t>used</w:t>
      </w:r>
      <w:r w:rsidRPr="00283806">
        <w:rPr>
          <w:spacing w:val="40"/>
          <w:w w:val="105"/>
        </w:rPr>
        <w:t xml:space="preserve"> </w:t>
      </w:r>
      <w:r w:rsidRPr="00283806">
        <w:rPr>
          <w:w w:val="105"/>
        </w:rPr>
        <w:t>in</w:t>
      </w:r>
      <w:r w:rsidRPr="00283806">
        <w:rPr>
          <w:spacing w:val="40"/>
          <w:w w:val="105"/>
        </w:rPr>
        <w:t xml:space="preserve"> </w:t>
      </w:r>
      <w:r w:rsidRPr="00283806">
        <w:rPr>
          <w:w w:val="105"/>
        </w:rPr>
        <w:t>subsection</w:t>
      </w:r>
      <w:r w:rsidRPr="00283806">
        <w:rPr>
          <w:spacing w:val="40"/>
          <w:w w:val="105"/>
        </w:rPr>
        <w:t xml:space="preserve"> </w:t>
      </w:r>
      <w:r w:rsidRPr="00283806">
        <w:rPr>
          <w:w w:val="105"/>
        </w:rPr>
        <w:t>(i) and defined in 40 CFR part 84, subpart</w:t>
      </w:r>
    </w:p>
    <w:p w14:paraId="78D8B036" w14:textId="77777777" w:rsidR="00D67C1E" w:rsidRPr="00283806" w:rsidRDefault="001265CA">
      <w:pPr>
        <w:pStyle w:val="BodyText"/>
        <w:spacing w:line="225" w:lineRule="auto"/>
        <w:ind w:left="143" w:right="70"/>
      </w:pPr>
      <w:r w:rsidRPr="00283806">
        <w:rPr>
          <w:w w:val="105"/>
        </w:rPr>
        <w:t>B.</w:t>
      </w:r>
      <w:r w:rsidRPr="00283806">
        <w:rPr>
          <w:w w:val="105"/>
          <w:position w:val="5"/>
          <w:sz w:val="11"/>
        </w:rPr>
        <w:t>48</w:t>
      </w:r>
      <w:r w:rsidRPr="00283806">
        <w:rPr>
          <w:spacing w:val="33"/>
          <w:w w:val="105"/>
          <w:position w:val="5"/>
          <w:sz w:val="11"/>
        </w:rPr>
        <w:t xml:space="preserve"> </w:t>
      </w:r>
      <w:r w:rsidRPr="00283806">
        <w:rPr>
          <w:w w:val="105"/>
        </w:rPr>
        <w:t>The definition under subsection (h) makes clear that substitutes do not include HFCs or ODS and are instead a different category of substances. Examples of a substitute for a regulated substance that are encompassed by this definition under subsection (h) include but are not limited to HFOs, hydrocarbons (</w:t>
      </w:r>
      <w:r w:rsidRPr="00283806">
        <w:rPr>
          <w:rFonts w:ascii="Book Antiqua"/>
          <w:i/>
          <w:w w:val="105"/>
        </w:rPr>
        <w:t xml:space="preserve">e.g., </w:t>
      </w:r>
      <w:r w:rsidRPr="00283806">
        <w:rPr>
          <w:w w:val="105"/>
        </w:rPr>
        <w:t>propane, isobutane), ammonia (NH</w:t>
      </w:r>
      <w:r w:rsidRPr="00283806">
        <w:rPr>
          <w:rFonts w:ascii="Times New Roman"/>
          <w:w w:val="105"/>
          <w:vertAlign w:val="subscript"/>
        </w:rPr>
        <w:t>4</w:t>
      </w:r>
      <w:r w:rsidRPr="00283806">
        <w:rPr>
          <w:w w:val="105"/>
        </w:rPr>
        <w:t>), and CO</w:t>
      </w:r>
      <w:r w:rsidRPr="00283806">
        <w:rPr>
          <w:rFonts w:ascii="Times New Roman"/>
          <w:w w:val="105"/>
          <w:vertAlign w:val="subscript"/>
        </w:rPr>
        <w:t>2</w:t>
      </w:r>
      <w:r w:rsidRPr="00283806">
        <w:rPr>
          <w:w w:val="105"/>
        </w:rPr>
        <w:t>. A substitute</w:t>
      </w:r>
      <w:r w:rsidRPr="00283806">
        <w:rPr>
          <w:spacing w:val="80"/>
          <w:w w:val="105"/>
        </w:rPr>
        <w:t xml:space="preserve"> </w:t>
      </w:r>
      <w:r w:rsidRPr="00283806">
        <w:rPr>
          <w:w w:val="105"/>
        </w:rPr>
        <w:t>for a regulated substance may be used neat</w:t>
      </w:r>
      <w:r w:rsidRPr="00283806">
        <w:rPr>
          <w:spacing w:val="36"/>
          <w:w w:val="105"/>
        </w:rPr>
        <w:t xml:space="preserve"> </w:t>
      </w:r>
      <w:r w:rsidRPr="00283806">
        <w:rPr>
          <w:w w:val="105"/>
        </w:rPr>
        <w:t>or</w:t>
      </w:r>
      <w:r w:rsidRPr="00283806">
        <w:rPr>
          <w:spacing w:val="36"/>
          <w:w w:val="105"/>
        </w:rPr>
        <w:t xml:space="preserve"> </w:t>
      </w:r>
      <w:r w:rsidRPr="00283806">
        <w:rPr>
          <w:w w:val="105"/>
        </w:rPr>
        <w:t>in</w:t>
      </w:r>
      <w:r w:rsidRPr="00283806">
        <w:rPr>
          <w:spacing w:val="36"/>
          <w:w w:val="105"/>
        </w:rPr>
        <w:t xml:space="preserve"> </w:t>
      </w:r>
      <w:r w:rsidRPr="00283806">
        <w:rPr>
          <w:w w:val="105"/>
        </w:rPr>
        <w:t>a</w:t>
      </w:r>
      <w:r w:rsidRPr="00283806">
        <w:rPr>
          <w:spacing w:val="36"/>
          <w:w w:val="105"/>
        </w:rPr>
        <w:t xml:space="preserve"> </w:t>
      </w:r>
      <w:r w:rsidRPr="00283806">
        <w:rPr>
          <w:w w:val="105"/>
        </w:rPr>
        <w:t>blend.</w:t>
      </w:r>
      <w:r w:rsidRPr="00283806">
        <w:rPr>
          <w:spacing w:val="36"/>
          <w:w w:val="105"/>
        </w:rPr>
        <w:t xml:space="preserve"> </w:t>
      </w:r>
      <w:r w:rsidRPr="00283806">
        <w:rPr>
          <w:w w:val="105"/>
        </w:rPr>
        <w:t>However,</w:t>
      </w:r>
      <w:r w:rsidRPr="00283806">
        <w:rPr>
          <w:spacing w:val="36"/>
          <w:w w:val="105"/>
        </w:rPr>
        <w:t xml:space="preserve"> </w:t>
      </w:r>
      <w:r w:rsidRPr="00283806">
        <w:rPr>
          <w:w w:val="105"/>
        </w:rPr>
        <w:t>a</w:t>
      </w:r>
      <w:r w:rsidRPr="00283806">
        <w:rPr>
          <w:spacing w:val="36"/>
          <w:w w:val="105"/>
        </w:rPr>
        <w:t xml:space="preserve"> </w:t>
      </w:r>
      <w:r w:rsidRPr="00283806">
        <w:rPr>
          <w:w w:val="105"/>
        </w:rPr>
        <w:t>blend that contains a regulated substance is subject to the requirements that apply under this rule to regulated substances because those requirements apply to regulated substances regardless of whether the regulated substance is used neat</w:t>
      </w:r>
      <w:r w:rsidRPr="00283806">
        <w:rPr>
          <w:spacing w:val="32"/>
          <w:w w:val="105"/>
        </w:rPr>
        <w:t xml:space="preserve"> </w:t>
      </w:r>
      <w:r w:rsidRPr="00283806">
        <w:rPr>
          <w:w w:val="105"/>
        </w:rPr>
        <w:t>or</w:t>
      </w:r>
      <w:r w:rsidRPr="00283806">
        <w:rPr>
          <w:spacing w:val="32"/>
          <w:w w:val="105"/>
        </w:rPr>
        <w:t xml:space="preserve"> </w:t>
      </w:r>
      <w:r w:rsidRPr="00283806">
        <w:rPr>
          <w:w w:val="105"/>
        </w:rPr>
        <w:t>in</w:t>
      </w:r>
      <w:r w:rsidRPr="00283806">
        <w:rPr>
          <w:spacing w:val="32"/>
          <w:w w:val="105"/>
        </w:rPr>
        <w:t xml:space="preserve"> </w:t>
      </w:r>
      <w:r w:rsidRPr="00283806">
        <w:rPr>
          <w:w w:val="105"/>
        </w:rPr>
        <w:t>a</w:t>
      </w:r>
      <w:r w:rsidRPr="00283806">
        <w:rPr>
          <w:spacing w:val="32"/>
          <w:w w:val="105"/>
        </w:rPr>
        <w:t xml:space="preserve"> </w:t>
      </w:r>
      <w:r w:rsidRPr="00283806">
        <w:rPr>
          <w:w w:val="105"/>
        </w:rPr>
        <w:t>blend,</w:t>
      </w:r>
      <w:r w:rsidRPr="00283806">
        <w:rPr>
          <w:spacing w:val="32"/>
          <w:w w:val="105"/>
        </w:rPr>
        <w:t xml:space="preserve"> </w:t>
      </w:r>
      <w:r w:rsidRPr="00283806">
        <w:rPr>
          <w:w w:val="105"/>
        </w:rPr>
        <w:t>as</w:t>
      </w:r>
      <w:r w:rsidRPr="00283806">
        <w:rPr>
          <w:spacing w:val="32"/>
          <w:w w:val="105"/>
        </w:rPr>
        <w:t xml:space="preserve"> </w:t>
      </w:r>
      <w:r w:rsidRPr="00283806">
        <w:rPr>
          <w:w w:val="105"/>
        </w:rPr>
        <w:t>described</w:t>
      </w:r>
      <w:r w:rsidRPr="00283806">
        <w:rPr>
          <w:spacing w:val="32"/>
          <w:w w:val="105"/>
        </w:rPr>
        <w:t xml:space="preserve"> </w:t>
      </w:r>
      <w:r w:rsidRPr="00283806">
        <w:rPr>
          <w:w w:val="105"/>
        </w:rPr>
        <w:t>above in section II.B of this preamble.</w:t>
      </w:r>
    </w:p>
    <w:p w14:paraId="2BECED5F" w14:textId="77777777" w:rsidR="00D67C1E" w:rsidRPr="00283806" w:rsidRDefault="001265CA">
      <w:pPr>
        <w:pStyle w:val="BodyText"/>
        <w:spacing w:line="163" w:lineRule="exact"/>
        <w:ind w:left="324"/>
      </w:pPr>
      <w:r w:rsidRPr="00283806">
        <w:rPr>
          <w:w w:val="105"/>
        </w:rPr>
        <w:t>This</w:t>
      </w:r>
      <w:r w:rsidRPr="00283806">
        <w:rPr>
          <w:spacing w:val="21"/>
          <w:w w:val="105"/>
        </w:rPr>
        <w:t xml:space="preserve"> </w:t>
      </w:r>
      <w:r w:rsidRPr="00283806">
        <w:rPr>
          <w:w w:val="105"/>
        </w:rPr>
        <w:t>distinction</w:t>
      </w:r>
      <w:r w:rsidRPr="00283806">
        <w:rPr>
          <w:spacing w:val="21"/>
          <w:w w:val="105"/>
        </w:rPr>
        <w:t xml:space="preserve"> </w:t>
      </w:r>
      <w:r w:rsidRPr="00283806">
        <w:rPr>
          <w:w w:val="105"/>
        </w:rPr>
        <w:t>between</w:t>
      </w:r>
      <w:r w:rsidRPr="00283806">
        <w:rPr>
          <w:spacing w:val="22"/>
          <w:w w:val="105"/>
        </w:rPr>
        <w:t xml:space="preserve"> </w:t>
      </w:r>
      <w:r w:rsidRPr="00283806">
        <w:rPr>
          <w:spacing w:val="-2"/>
          <w:w w:val="105"/>
        </w:rPr>
        <w:t>substitutes</w:t>
      </w:r>
    </w:p>
    <w:p w14:paraId="3B5B22C3" w14:textId="77777777" w:rsidR="00D67C1E" w:rsidRPr="00283806" w:rsidRDefault="001265CA">
      <w:pPr>
        <w:pStyle w:val="BodyText"/>
        <w:spacing w:line="225" w:lineRule="auto"/>
        <w:ind w:left="144"/>
      </w:pPr>
      <w:r w:rsidRPr="00283806">
        <w:rPr>
          <w:w w:val="105"/>
        </w:rPr>
        <w:t xml:space="preserve">and regulated substances for purposes of these regulations </w:t>
      </w:r>
      <w:proofErr w:type="gramStart"/>
      <w:r w:rsidRPr="00283806">
        <w:rPr>
          <w:w w:val="105"/>
        </w:rPr>
        <w:t>is</w:t>
      </w:r>
      <w:proofErr w:type="gramEnd"/>
      <w:r w:rsidRPr="00283806">
        <w:rPr>
          <w:w w:val="105"/>
        </w:rPr>
        <w:t xml:space="preserve"> also helpful for</w:t>
      </w:r>
    </w:p>
    <w:p w14:paraId="32517718" w14:textId="77777777" w:rsidR="00D67C1E" w:rsidRPr="00283806" w:rsidRDefault="001265CA">
      <w:pPr>
        <w:pStyle w:val="BodyText"/>
        <w:spacing w:before="136" w:line="225" w:lineRule="auto"/>
        <w:ind w:left="142" w:right="173"/>
      </w:pPr>
      <w:r w:rsidRPr="00283806">
        <w:br w:type="column"/>
      </w:r>
      <w:r w:rsidRPr="00283806">
        <w:rPr>
          <w:w w:val="105"/>
        </w:rPr>
        <w:t>implementing certain provisions of this rulemaking that apply differently to regulated substances than to substitutes for regulated substances. For instance, the leak repair requirements apply to all regulated substances but only apply to substitutes for a regulated substance with a GWP greater than 53.</w:t>
      </w:r>
    </w:p>
    <w:p w14:paraId="7A52AEE7" w14:textId="77777777" w:rsidR="00D67C1E" w:rsidRPr="00283806" w:rsidRDefault="001265CA">
      <w:pPr>
        <w:pStyle w:val="BodyText"/>
        <w:spacing w:line="177" w:lineRule="exact"/>
        <w:ind w:left="322"/>
      </w:pPr>
      <w:r w:rsidRPr="00283806">
        <w:rPr>
          <w:w w:val="110"/>
        </w:rPr>
        <w:t>As</w:t>
      </w:r>
      <w:r w:rsidRPr="00283806">
        <w:rPr>
          <w:spacing w:val="-3"/>
          <w:w w:val="110"/>
        </w:rPr>
        <w:t xml:space="preserve"> </w:t>
      </w:r>
      <w:r w:rsidRPr="00283806">
        <w:rPr>
          <w:w w:val="110"/>
        </w:rPr>
        <w:t>noted</w:t>
      </w:r>
      <w:r w:rsidRPr="00283806">
        <w:rPr>
          <w:spacing w:val="-2"/>
          <w:w w:val="110"/>
        </w:rPr>
        <w:t xml:space="preserve"> </w:t>
      </w:r>
      <w:r w:rsidRPr="00283806">
        <w:rPr>
          <w:w w:val="110"/>
        </w:rPr>
        <w:t>in</w:t>
      </w:r>
      <w:r w:rsidRPr="00283806">
        <w:rPr>
          <w:spacing w:val="-3"/>
          <w:w w:val="110"/>
        </w:rPr>
        <w:t xml:space="preserve"> </w:t>
      </w:r>
      <w:r w:rsidRPr="00283806">
        <w:rPr>
          <w:w w:val="110"/>
        </w:rPr>
        <w:t>the</w:t>
      </w:r>
      <w:r w:rsidRPr="00283806">
        <w:rPr>
          <w:spacing w:val="-2"/>
          <w:w w:val="110"/>
        </w:rPr>
        <w:t xml:space="preserve"> </w:t>
      </w:r>
      <w:r w:rsidRPr="00283806">
        <w:rPr>
          <w:w w:val="110"/>
        </w:rPr>
        <w:t>Executive</w:t>
      </w:r>
      <w:r w:rsidRPr="00283806">
        <w:rPr>
          <w:spacing w:val="-3"/>
          <w:w w:val="110"/>
        </w:rPr>
        <w:t xml:space="preserve"> </w:t>
      </w:r>
      <w:r w:rsidRPr="00283806">
        <w:rPr>
          <w:spacing w:val="-2"/>
          <w:w w:val="110"/>
        </w:rPr>
        <w:t>Summary</w:t>
      </w:r>
    </w:p>
    <w:p w14:paraId="510CD64B" w14:textId="77777777" w:rsidR="00D67C1E" w:rsidRPr="00283806" w:rsidRDefault="001265CA">
      <w:pPr>
        <w:pStyle w:val="BodyText"/>
        <w:spacing w:before="4" w:line="225" w:lineRule="auto"/>
        <w:ind w:left="142" w:right="153"/>
      </w:pPr>
      <w:r w:rsidRPr="00283806">
        <w:rPr>
          <w:w w:val="105"/>
        </w:rPr>
        <w:t>of this preamble at section I.A, the terms ‘‘HFC’’ and ‘‘regulated substance’’ are used interchangeably in this preamble. Similarly, the term ‘‘substitute for an HFC’’ may be used interchangeably with ‘‘substitute for a regulated substance’’ in this preamble.</w:t>
      </w:r>
    </w:p>
    <w:p w14:paraId="7485D72E" w14:textId="77777777" w:rsidR="00D67C1E" w:rsidRPr="00283806" w:rsidRDefault="001265CA">
      <w:pPr>
        <w:pStyle w:val="BodyText"/>
        <w:spacing w:line="213" w:lineRule="auto"/>
        <w:ind w:left="142" w:right="132" w:firstLine="180"/>
      </w:pPr>
      <w:r w:rsidRPr="00283806">
        <w:rPr>
          <w:rFonts w:ascii="Book Antiqua"/>
          <w:i/>
          <w:w w:val="105"/>
        </w:rPr>
        <w:t xml:space="preserve">Comment: </w:t>
      </w:r>
      <w:r w:rsidRPr="00283806">
        <w:rPr>
          <w:w w:val="105"/>
        </w:rPr>
        <w:t>One commenter requested further clarification of the definition.</w:t>
      </w:r>
    </w:p>
    <w:p w14:paraId="4D9CFB0B" w14:textId="77777777" w:rsidR="00D67C1E" w:rsidRPr="00283806" w:rsidRDefault="001265CA">
      <w:pPr>
        <w:pStyle w:val="BodyText"/>
        <w:spacing w:line="225" w:lineRule="auto"/>
        <w:ind w:left="142" w:right="121"/>
      </w:pPr>
      <w:r w:rsidRPr="00283806">
        <w:rPr>
          <w:w w:val="105"/>
        </w:rPr>
        <w:t>The commenter stated that the</w:t>
      </w:r>
      <w:r w:rsidRPr="00283806">
        <w:rPr>
          <w:spacing w:val="80"/>
          <w:w w:val="150"/>
        </w:rPr>
        <w:t xml:space="preserve"> </w:t>
      </w:r>
      <w:r w:rsidRPr="00283806">
        <w:rPr>
          <w:w w:val="105"/>
        </w:rPr>
        <w:t>definition</w:t>
      </w:r>
      <w:r w:rsidRPr="00283806">
        <w:rPr>
          <w:spacing w:val="40"/>
          <w:w w:val="105"/>
        </w:rPr>
        <w:t xml:space="preserve"> </w:t>
      </w:r>
      <w:r w:rsidRPr="00283806">
        <w:rPr>
          <w:w w:val="105"/>
        </w:rPr>
        <w:t>of</w:t>
      </w:r>
      <w:r w:rsidRPr="00283806">
        <w:rPr>
          <w:spacing w:val="40"/>
          <w:w w:val="105"/>
        </w:rPr>
        <w:t xml:space="preserve"> </w:t>
      </w:r>
      <w:r w:rsidRPr="00283806">
        <w:rPr>
          <w:w w:val="105"/>
        </w:rPr>
        <w:t>‘‘regulated</w:t>
      </w:r>
      <w:r w:rsidRPr="00283806">
        <w:rPr>
          <w:spacing w:val="40"/>
          <w:w w:val="105"/>
        </w:rPr>
        <w:t xml:space="preserve"> </w:t>
      </w:r>
      <w:r w:rsidRPr="00283806">
        <w:rPr>
          <w:w w:val="105"/>
        </w:rPr>
        <w:t>substance’’</w:t>
      </w:r>
      <w:r w:rsidRPr="00283806">
        <w:rPr>
          <w:spacing w:val="40"/>
          <w:w w:val="105"/>
        </w:rPr>
        <w:t xml:space="preserve"> </w:t>
      </w:r>
      <w:r w:rsidRPr="00283806">
        <w:rPr>
          <w:w w:val="105"/>
        </w:rPr>
        <w:t>in 40 CFR 84.106(a)(1) is easy to understand unlike the definition in 40 CFR 84.106(a)(2). The commenter highlighted the complexity of</w:t>
      </w:r>
      <w:r w:rsidRPr="00283806">
        <w:rPr>
          <w:spacing w:val="40"/>
          <w:w w:val="105"/>
        </w:rPr>
        <w:t xml:space="preserve"> </w:t>
      </w:r>
      <w:r w:rsidRPr="00283806">
        <w:rPr>
          <w:w w:val="105"/>
        </w:rPr>
        <w:t>determining the GWP of a substitute for</w:t>
      </w:r>
      <w:r w:rsidRPr="00283806">
        <w:rPr>
          <w:spacing w:val="80"/>
          <w:w w:val="105"/>
        </w:rPr>
        <w:t xml:space="preserve"> </w:t>
      </w:r>
      <w:r w:rsidRPr="00283806">
        <w:rPr>
          <w:w w:val="105"/>
        </w:rPr>
        <w:t>a regulated substance, because the proposed methodology involved consulting three separate references that may vary in accessibility. The</w:t>
      </w:r>
      <w:r w:rsidRPr="00283806">
        <w:rPr>
          <w:spacing w:val="80"/>
          <w:w w:val="105"/>
        </w:rPr>
        <w:t xml:space="preserve"> </w:t>
      </w:r>
      <w:r w:rsidRPr="00283806">
        <w:rPr>
          <w:w w:val="105"/>
        </w:rPr>
        <w:t>commenter requested that EPA provide</w:t>
      </w:r>
      <w:r w:rsidRPr="00283806">
        <w:rPr>
          <w:spacing w:val="80"/>
          <w:w w:val="105"/>
        </w:rPr>
        <w:t xml:space="preserve"> </w:t>
      </w:r>
      <w:r w:rsidRPr="00283806">
        <w:rPr>
          <w:w w:val="105"/>
        </w:rPr>
        <w:t>a list of all substitutes for regulated substances with a GWP greater than 53, and that the Agency should not list substitutes</w:t>
      </w:r>
      <w:r w:rsidRPr="00283806">
        <w:rPr>
          <w:spacing w:val="-1"/>
          <w:w w:val="105"/>
        </w:rPr>
        <w:t xml:space="preserve"> </w:t>
      </w:r>
      <w:r w:rsidRPr="00283806">
        <w:rPr>
          <w:w w:val="105"/>
        </w:rPr>
        <w:t>for</w:t>
      </w:r>
      <w:r w:rsidRPr="00283806">
        <w:rPr>
          <w:spacing w:val="-1"/>
          <w:w w:val="105"/>
        </w:rPr>
        <w:t xml:space="preserve"> </w:t>
      </w:r>
      <w:r w:rsidRPr="00283806">
        <w:rPr>
          <w:w w:val="105"/>
        </w:rPr>
        <w:t>regulated</w:t>
      </w:r>
      <w:r w:rsidRPr="00283806">
        <w:rPr>
          <w:spacing w:val="-1"/>
          <w:w w:val="105"/>
        </w:rPr>
        <w:t xml:space="preserve"> </w:t>
      </w:r>
      <w:r w:rsidRPr="00283806">
        <w:rPr>
          <w:w w:val="105"/>
        </w:rPr>
        <w:t>substances</w:t>
      </w:r>
      <w:r w:rsidRPr="00283806">
        <w:rPr>
          <w:spacing w:val="-1"/>
          <w:w w:val="105"/>
        </w:rPr>
        <w:t xml:space="preserve"> </w:t>
      </w:r>
      <w:r w:rsidRPr="00283806">
        <w:rPr>
          <w:w w:val="105"/>
        </w:rPr>
        <w:t>with a GWP of less than 53, as doing so contributes to confusion.</w:t>
      </w:r>
    </w:p>
    <w:p w14:paraId="1A57AE3D" w14:textId="77777777" w:rsidR="00D67C1E" w:rsidRPr="00283806" w:rsidRDefault="001265CA">
      <w:pPr>
        <w:spacing w:line="179" w:lineRule="exact"/>
        <w:ind w:left="322"/>
        <w:rPr>
          <w:sz w:val="18"/>
        </w:rPr>
      </w:pPr>
      <w:r w:rsidRPr="00283806">
        <w:rPr>
          <w:rFonts w:ascii="Book Antiqua"/>
          <w:i/>
          <w:w w:val="110"/>
          <w:sz w:val="18"/>
        </w:rPr>
        <w:t>Response:</w:t>
      </w:r>
      <w:r w:rsidRPr="00283806">
        <w:rPr>
          <w:rFonts w:ascii="Book Antiqua"/>
          <w:i/>
          <w:spacing w:val="-4"/>
          <w:w w:val="110"/>
          <w:sz w:val="18"/>
        </w:rPr>
        <w:t xml:space="preserve"> </w:t>
      </w:r>
      <w:r w:rsidRPr="00283806">
        <w:rPr>
          <w:w w:val="110"/>
          <w:sz w:val="18"/>
        </w:rPr>
        <w:t>EPA</w:t>
      </w:r>
      <w:r w:rsidRPr="00283806">
        <w:rPr>
          <w:spacing w:val="1"/>
          <w:w w:val="110"/>
          <w:sz w:val="18"/>
        </w:rPr>
        <w:t xml:space="preserve"> </w:t>
      </w:r>
      <w:r w:rsidRPr="00283806">
        <w:rPr>
          <w:w w:val="110"/>
          <w:sz w:val="18"/>
        </w:rPr>
        <w:t>responds</w:t>
      </w:r>
      <w:r w:rsidRPr="00283806">
        <w:rPr>
          <w:spacing w:val="2"/>
          <w:w w:val="110"/>
          <w:sz w:val="18"/>
        </w:rPr>
        <w:t xml:space="preserve"> </w:t>
      </w:r>
      <w:r w:rsidRPr="00283806">
        <w:rPr>
          <w:w w:val="110"/>
          <w:sz w:val="18"/>
        </w:rPr>
        <w:t>that</w:t>
      </w:r>
      <w:r w:rsidRPr="00283806">
        <w:rPr>
          <w:spacing w:val="1"/>
          <w:w w:val="110"/>
          <w:sz w:val="18"/>
        </w:rPr>
        <w:t xml:space="preserve"> </w:t>
      </w:r>
      <w:r w:rsidRPr="00283806">
        <w:rPr>
          <w:w w:val="110"/>
          <w:sz w:val="18"/>
        </w:rPr>
        <w:t>to</w:t>
      </w:r>
      <w:r w:rsidRPr="00283806">
        <w:rPr>
          <w:spacing w:val="2"/>
          <w:w w:val="110"/>
          <w:sz w:val="18"/>
        </w:rPr>
        <w:t xml:space="preserve"> </w:t>
      </w:r>
      <w:r w:rsidRPr="00283806">
        <w:rPr>
          <w:spacing w:val="-5"/>
          <w:w w:val="110"/>
          <w:sz w:val="18"/>
        </w:rPr>
        <w:t>the</w:t>
      </w:r>
    </w:p>
    <w:p w14:paraId="30C41A73" w14:textId="77777777" w:rsidR="00D67C1E" w:rsidRPr="00283806" w:rsidRDefault="001265CA">
      <w:pPr>
        <w:pStyle w:val="BodyText"/>
        <w:spacing w:line="225" w:lineRule="auto"/>
        <w:ind w:left="142"/>
      </w:pPr>
      <w:r w:rsidRPr="00283806">
        <w:rPr>
          <w:w w:val="105"/>
        </w:rPr>
        <w:t>extent</w:t>
      </w:r>
      <w:r w:rsidRPr="00283806">
        <w:rPr>
          <w:spacing w:val="-1"/>
          <w:w w:val="105"/>
        </w:rPr>
        <w:t xml:space="preserve"> </w:t>
      </w:r>
      <w:r w:rsidRPr="00283806">
        <w:rPr>
          <w:w w:val="105"/>
        </w:rPr>
        <w:t>the</w:t>
      </w:r>
      <w:r w:rsidRPr="00283806">
        <w:rPr>
          <w:spacing w:val="-1"/>
          <w:w w:val="105"/>
        </w:rPr>
        <w:t xml:space="preserve"> </w:t>
      </w:r>
      <w:r w:rsidRPr="00283806">
        <w:rPr>
          <w:w w:val="105"/>
        </w:rPr>
        <w:t>commenter</w:t>
      </w:r>
      <w:r w:rsidRPr="00283806">
        <w:rPr>
          <w:spacing w:val="-1"/>
          <w:w w:val="105"/>
        </w:rPr>
        <w:t xml:space="preserve"> </w:t>
      </w:r>
      <w:r w:rsidRPr="00283806">
        <w:rPr>
          <w:w w:val="105"/>
        </w:rPr>
        <w:t>read</w:t>
      </w:r>
      <w:r w:rsidRPr="00283806">
        <w:rPr>
          <w:spacing w:val="-1"/>
          <w:w w:val="105"/>
        </w:rPr>
        <w:t xml:space="preserve"> </w:t>
      </w:r>
      <w:r w:rsidRPr="00283806">
        <w:rPr>
          <w:w w:val="105"/>
        </w:rPr>
        <w:t>the</w:t>
      </w:r>
      <w:r w:rsidRPr="00283806">
        <w:rPr>
          <w:spacing w:val="-1"/>
          <w:w w:val="105"/>
        </w:rPr>
        <w:t xml:space="preserve"> </w:t>
      </w:r>
      <w:r w:rsidRPr="00283806">
        <w:rPr>
          <w:w w:val="105"/>
        </w:rPr>
        <w:t>proposed regulations at 40 CFR 84.106(a)(1) and</w:t>
      </w:r>
    </w:p>
    <w:p w14:paraId="6E3781C5" w14:textId="77777777" w:rsidR="00D67C1E" w:rsidRPr="00283806" w:rsidRDefault="001265CA">
      <w:pPr>
        <w:pStyle w:val="BodyText"/>
        <w:spacing w:line="225" w:lineRule="auto"/>
        <w:ind w:left="142" w:right="250"/>
      </w:pPr>
      <w:r w:rsidRPr="00283806">
        <w:rPr>
          <w:w w:val="105"/>
        </w:rPr>
        <w:t>(2) as definitions, that interpretation misunderstands the intent of those provisions, which are designed to describe the applicability of the requirements in 40 CFR 84.106, not provide general definitions. To the</w:t>
      </w:r>
      <w:r w:rsidRPr="00283806">
        <w:rPr>
          <w:spacing w:val="80"/>
          <w:w w:val="105"/>
        </w:rPr>
        <w:t xml:space="preserve"> </w:t>
      </w:r>
      <w:r w:rsidRPr="00283806">
        <w:rPr>
          <w:w w:val="105"/>
        </w:rPr>
        <w:t>extent the commenter intended to request the addition of definitions, EPA responds that subsection (c)(1) of the AIM Act lists regulated substances for</w:t>
      </w:r>
      <w:r w:rsidRPr="00283806">
        <w:rPr>
          <w:spacing w:val="80"/>
          <w:w w:val="105"/>
        </w:rPr>
        <w:t xml:space="preserve"> </w:t>
      </w:r>
      <w:r w:rsidRPr="00283806">
        <w:rPr>
          <w:w w:val="105"/>
        </w:rPr>
        <w:t>the purpose of this and other rulemakings under the AIM Act, such as</w:t>
      </w:r>
    </w:p>
    <w:p w14:paraId="627A5428"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6" w:space="40"/>
            <w:col w:w="3502" w:space="39"/>
            <w:col w:w="3623"/>
          </w:cols>
        </w:sectPr>
      </w:pPr>
    </w:p>
    <w:p w14:paraId="09FB6A76" w14:textId="77777777" w:rsidR="00D67C1E" w:rsidRPr="00283806" w:rsidRDefault="001265CA">
      <w:pPr>
        <w:pStyle w:val="BodyText"/>
        <w:tabs>
          <w:tab w:val="left" w:pos="3699"/>
          <w:tab w:val="left" w:pos="4699"/>
          <w:tab w:val="left" w:pos="7239"/>
        </w:tabs>
        <w:spacing w:line="155" w:lineRule="exact"/>
      </w:pPr>
      <w:r w:rsidRPr="00283806">
        <w:rPr>
          <w:w w:val="105"/>
          <w:position w:val="2"/>
        </w:rPr>
        <w:t>to</w:t>
      </w:r>
      <w:r w:rsidRPr="00283806">
        <w:rPr>
          <w:spacing w:val="4"/>
          <w:w w:val="105"/>
          <w:position w:val="2"/>
        </w:rPr>
        <w:t xml:space="preserve"> </w:t>
      </w:r>
      <w:r w:rsidRPr="00283806">
        <w:rPr>
          <w:w w:val="105"/>
          <w:position w:val="2"/>
        </w:rPr>
        <w:t>lower-GWP</w:t>
      </w:r>
      <w:r w:rsidRPr="00283806">
        <w:rPr>
          <w:spacing w:val="4"/>
          <w:w w:val="105"/>
          <w:position w:val="2"/>
        </w:rPr>
        <w:t xml:space="preserve"> </w:t>
      </w:r>
      <w:r w:rsidRPr="00283806">
        <w:rPr>
          <w:w w:val="105"/>
          <w:position w:val="2"/>
        </w:rPr>
        <w:t>refrigerants</w:t>
      </w:r>
      <w:r w:rsidRPr="00283806">
        <w:rPr>
          <w:spacing w:val="4"/>
          <w:w w:val="105"/>
          <w:position w:val="2"/>
        </w:rPr>
        <w:t xml:space="preserve"> </w:t>
      </w:r>
      <w:r w:rsidRPr="00283806">
        <w:rPr>
          <w:w w:val="105"/>
          <w:position w:val="2"/>
        </w:rPr>
        <w:t>may</w:t>
      </w:r>
      <w:r w:rsidRPr="00283806">
        <w:rPr>
          <w:spacing w:val="4"/>
          <w:w w:val="105"/>
          <w:position w:val="2"/>
        </w:rPr>
        <w:t xml:space="preserve"> </w:t>
      </w:r>
      <w:r w:rsidRPr="00283806">
        <w:rPr>
          <w:spacing w:val="-4"/>
          <w:w w:val="105"/>
          <w:position w:val="2"/>
        </w:rPr>
        <w:t>help</w:t>
      </w:r>
      <w:r w:rsidRPr="00283806">
        <w:rPr>
          <w:position w:val="2"/>
        </w:rPr>
        <w:tab/>
      </w:r>
      <w:r w:rsidRPr="00283806">
        <w:rPr>
          <w:position w:val="2"/>
          <w:u w:val="single"/>
        </w:rPr>
        <w:tab/>
      </w:r>
      <w:r w:rsidRPr="00283806">
        <w:rPr>
          <w:position w:val="2"/>
        </w:rPr>
        <w:tab/>
      </w:r>
      <w:r w:rsidRPr="00283806">
        <w:rPr>
          <w:w w:val="105"/>
        </w:rPr>
        <w:t>the</w:t>
      </w:r>
      <w:r w:rsidRPr="00283806">
        <w:rPr>
          <w:spacing w:val="12"/>
          <w:w w:val="105"/>
        </w:rPr>
        <w:t xml:space="preserve"> </w:t>
      </w:r>
      <w:r w:rsidRPr="00283806">
        <w:rPr>
          <w:w w:val="105"/>
        </w:rPr>
        <w:t>Allocation</w:t>
      </w:r>
      <w:r w:rsidRPr="00283806">
        <w:rPr>
          <w:spacing w:val="13"/>
          <w:w w:val="105"/>
        </w:rPr>
        <w:t xml:space="preserve"> </w:t>
      </w:r>
      <w:r w:rsidRPr="00283806">
        <w:rPr>
          <w:w w:val="105"/>
        </w:rPr>
        <w:t>Framework</w:t>
      </w:r>
      <w:r w:rsidRPr="00283806">
        <w:rPr>
          <w:spacing w:val="12"/>
          <w:w w:val="105"/>
        </w:rPr>
        <w:t xml:space="preserve"> </w:t>
      </w:r>
      <w:r w:rsidRPr="00283806">
        <w:rPr>
          <w:w w:val="105"/>
        </w:rPr>
        <w:t>Rule</w:t>
      </w:r>
      <w:r w:rsidRPr="00283806">
        <w:rPr>
          <w:spacing w:val="13"/>
          <w:w w:val="105"/>
        </w:rPr>
        <w:t xml:space="preserve"> </w:t>
      </w:r>
      <w:r w:rsidRPr="00283806">
        <w:rPr>
          <w:w w:val="105"/>
        </w:rPr>
        <w:t>(86</w:t>
      </w:r>
      <w:r w:rsidRPr="00283806">
        <w:rPr>
          <w:spacing w:val="12"/>
          <w:w w:val="105"/>
        </w:rPr>
        <w:t xml:space="preserve"> </w:t>
      </w:r>
      <w:r w:rsidRPr="00283806">
        <w:rPr>
          <w:spacing w:val="-5"/>
          <w:w w:val="105"/>
        </w:rPr>
        <w:t>FR</w:t>
      </w:r>
    </w:p>
    <w:p w14:paraId="0D2FE1E0" w14:textId="77777777" w:rsidR="00D67C1E" w:rsidRPr="00283806" w:rsidRDefault="00D67C1E">
      <w:pPr>
        <w:spacing w:line="155" w:lineRule="exact"/>
        <w:sectPr w:rsidR="00D67C1E" w:rsidRPr="00283806">
          <w:type w:val="continuous"/>
          <w:pgSz w:w="12240" w:h="15840"/>
          <w:pgMar w:top="880" w:right="780" w:bottom="280" w:left="740" w:header="627" w:footer="0" w:gutter="0"/>
          <w:cols w:space="720"/>
        </w:sectPr>
      </w:pPr>
    </w:p>
    <w:p w14:paraId="00F8F9EA" w14:textId="77777777" w:rsidR="00D67C1E" w:rsidRPr="00283806" w:rsidRDefault="001265CA">
      <w:pPr>
        <w:pStyle w:val="BodyText"/>
        <w:spacing w:before="9" w:line="228" w:lineRule="auto"/>
        <w:ind w:right="16"/>
      </w:pPr>
      <w:r w:rsidRPr="00283806">
        <w:rPr>
          <w:w w:val="105"/>
        </w:rPr>
        <w:t>mitigate ongoing leakage after the</w:t>
      </w:r>
      <w:r w:rsidRPr="00283806">
        <w:rPr>
          <w:spacing w:val="40"/>
          <w:w w:val="105"/>
        </w:rPr>
        <w:t xml:space="preserve"> </w:t>
      </w:r>
      <w:r w:rsidRPr="00283806">
        <w:rPr>
          <w:w w:val="105"/>
        </w:rPr>
        <w:t>retrofit is complete, EPA notes that 40 CFR 84.106(h)(4) requires that all leaks be repaired as part of any retrofit plan, which should also ameliorate concerns about ongoing leakage related to the retrofit. Regarding the intent of the Act, the commenter did not provide any rationale to support the position that the intent of the AIM Act was to require retrofits to use lower-GWP refrigerants. EPA further notes that the AIM Act does not expressly address whether a lower- GWP refrigerant should be used for retrofits, and for the reasons explained above, EPA has decided not to establish that requirement in this rule.</w:t>
      </w:r>
    </w:p>
    <w:p w14:paraId="6A982793" w14:textId="77777777" w:rsidR="00D67C1E" w:rsidRPr="00283806" w:rsidRDefault="001265CA">
      <w:pPr>
        <w:spacing w:before="66" w:line="228" w:lineRule="auto"/>
        <w:ind w:left="155" w:firstLine="140"/>
        <w:rPr>
          <w:sz w:val="14"/>
        </w:rPr>
      </w:pPr>
      <w:r w:rsidRPr="00283806">
        <w:br w:type="column"/>
      </w:r>
      <w:r w:rsidRPr="00283806">
        <w:rPr>
          <w:w w:val="105"/>
          <w:position w:val="4"/>
          <w:sz w:val="9"/>
        </w:rPr>
        <w:t xml:space="preserve">48 </w:t>
      </w:r>
      <w:r w:rsidRPr="00283806">
        <w:rPr>
          <w:w w:val="105"/>
          <w:sz w:val="14"/>
        </w:rPr>
        <w:t xml:space="preserve">The definition for </w:t>
      </w:r>
      <w:r w:rsidRPr="00283806">
        <w:rPr>
          <w:rFonts w:ascii="Book Antiqua" w:hAnsi="Book Antiqua"/>
          <w:i/>
          <w:w w:val="105"/>
          <w:sz w:val="14"/>
        </w:rPr>
        <w:t xml:space="preserve">substitute </w:t>
      </w:r>
      <w:r w:rsidRPr="00283806">
        <w:rPr>
          <w:w w:val="105"/>
          <w:sz w:val="14"/>
        </w:rPr>
        <w:t>in the 2023</w:t>
      </w:r>
      <w:r w:rsidRPr="00283806">
        <w:rPr>
          <w:spacing w:val="40"/>
          <w:w w:val="105"/>
          <w:sz w:val="14"/>
        </w:rPr>
        <w:t xml:space="preserve"> </w:t>
      </w:r>
      <w:r w:rsidRPr="00283806">
        <w:rPr>
          <w:w w:val="105"/>
          <w:sz w:val="14"/>
        </w:rPr>
        <w:t>Technology Transitions Rule is: ‘‘any substance,</w:t>
      </w:r>
      <w:r w:rsidRPr="00283806">
        <w:rPr>
          <w:spacing w:val="40"/>
          <w:w w:val="105"/>
          <w:sz w:val="14"/>
        </w:rPr>
        <w:t xml:space="preserve"> </w:t>
      </w:r>
      <w:r w:rsidRPr="00283806">
        <w:rPr>
          <w:w w:val="105"/>
          <w:sz w:val="14"/>
        </w:rPr>
        <w:t>blend, or alternative manufacturing process,</w:t>
      </w:r>
      <w:r w:rsidRPr="00283806">
        <w:rPr>
          <w:spacing w:val="80"/>
          <w:w w:val="105"/>
          <w:sz w:val="14"/>
        </w:rPr>
        <w:t xml:space="preserve"> </w:t>
      </w:r>
      <w:r w:rsidRPr="00283806">
        <w:rPr>
          <w:w w:val="105"/>
          <w:sz w:val="14"/>
        </w:rPr>
        <w:t>whether existing or new, that may be used, or is</w:t>
      </w:r>
      <w:r w:rsidRPr="00283806">
        <w:rPr>
          <w:spacing w:val="40"/>
          <w:w w:val="105"/>
          <w:sz w:val="14"/>
        </w:rPr>
        <w:t xml:space="preserve"> </w:t>
      </w:r>
      <w:r w:rsidRPr="00283806">
        <w:rPr>
          <w:w w:val="105"/>
          <w:sz w:val="14"/>
        </w:rPr>
        <w:t>intended for use, in a sector or subsector with a</w:t>
      </w:r>
      <w:r w:rsidRPr="00283806">
        <w:rPr>
          <w:spacing w:val="40"/>
          <w:w w:val="105"/>
          <w:sz w:val="14"/>
        </w:rPr>
        <w:t xml:space="preserve"> </w:t>
      </w:r>
      <w:r w:rsidRPr="00283806">
        <w:rPr>
          <w:w w:val="105"/>
          <w:sz w:val="14"/>
        </w:rPr>
        <w:t>restriction on the use of regulated substances and</w:t>
      </w:r>
      <w:r w:rsidRPr="00283806">
        <w:rPr>
          <w:spacing w:val="40"/>
          <w:w w:val="105"/>
          <w:sz w:val="14"/>
        </w:rPr>
        <w:t xml:space="preserve"> </w:t>
      </w:r>
      <w:r w:rsidRPr="00283806">
        <w:rPr>
          <w:w w:val="105"/>
          <w:sz w:val="14"/>
        </w:rPr>
        <w:t>that has a lower global warming potential than the</w:t>
      </w:r>
      <w:r w:rsidRPr="00283806">
        <w:rPr>
          <w:spacing w:val="40"/>
          <w:w w:val="105"/>
          <w:sz w:val="14"/>
        </w:rPr>
        <w:t xml:space="preserve"> </w:t>
      </w:r>
      <w:r w:rsidRPr="00283806">
        <w:rPr>
          <w:w w:val="105"/>
          <w:sz w:val="14"/>
        </w:rPr>
        <w:t>GWP limit or restricted list of regulated substances</w:t>
      </w:r>
      <w:r w:rsidRPr="00283806">
        <w:rPr>
          <w:spacing w:val="40"/>
          <w:w w:val="105"/>
          <w:sz w:val="14"/>
        </w:rPr>
        <w:t xml:space="preserve"> </w:t>
      </w:r>
      <w:r w:rsidRPr="00283806">
        <w:rPr>
          <w:w w:val="105"/>
          <w:sz w:val="14"/>
        </w:rPr>
        <w:t>and blends in that sector or subsector.’’ Under this</w:t>
      </w:r>
      <w:r w:rsidRPr="00283806">
        <w:rPr>
          <w:spacing w:val="40"/>
          <w:w w:val="105"/>
          <w:sz w:val="14"/>
        </w:rPr>
        <w:t xml:space="preserve"> </w:t>
      </w:r>
      <w:r w:rsidRPr="00283806">
        <w:rPr>
          <w:w w:val="105"/>
          <w:sz w:val="14"/>
        </w:rPr>
        <w:t>definition, substitutes include regulated substances</w:t>
      </w:r>
      <w:r w:rsidRPr="00283806">
        <w:rPr>
          <w:spacing w:val="40"/>
          <w:w w:val="105"/>
          <w:sz w:val="14"/>
        </w:rPr>
        <w:t xml:space="preserve"> </w:t>
      </w:r>
      <w:r w:rsidRPr="00283806">
        <w:rPr>
          <w:w w:val="105"/>
          <w:sz w:val="14"/>
        </w:rPr>
        <w:t>(</w:t>
      </w:r>
      <w:r w:rsidRPr="00283806">
        <w:rPr>
          <w:rFonts w:ascii="Book Antiqua" w:hAnsi="Book Antiqua"/>
          <w:i/>
          <w:w w:val="105"/>
          <w:sz w:val="14"/>
        </w:rPr>
        <w:t xml:space="preserve">e.g., </w:t>
      </w:r>
      <w:r w:rsidRPr="00283806">
        <w:rPr>
          <w:w w:val="105"/>
          <w:sz w:val="14"/>
        </w:rPr>
        <w:t>HFC–32 used in lieu of R–410A in commercial</w:t>
      </w:r>
      <w:r w:rsidRPr="00283806">
        <w:rPr>
          <w:spacing w:val="40"/>
          <w:w w:val="105"/>
          <w:sz w:val="14"/>
        </w:rPr>
        <w:t xml:space="preserve"> </w:t>
      </w:r>
      <w:r w:rsidRPr="00283806">
        <w:rPr>
          <w:w w:val="105"/>
          <w:sz w:val="14"/>
        </w:rPr>
        <w:t>unitary AC), blends containing regulated substances</w:t>
      </w:r>
      <w:r w:rsidRPr="00283806">
        <w:rPr>
          <w:spacing w:val="40"/>
          <w:w w:val="105"/>
          <w:sz w:val="14"/>
        </w:rPr>
        <w:t xml:space="preserve"> </w:t>
      </w:r>
      <w:r w:rsidRPr="00283806">
        <w:rPr>
          <w:w w:val="105"/>
          <w:sz w:val="14"/>
        </w:rPr>
        <w:t>(</w:t>
      </w:r>
      <w:r w:rsidRPr="00283806">
        <w:rPr>
          <w:rFonts w:ascii="Book Antiqua" w:hAnsi="Book Antiqua"/>
          <w:i/>
          <w:w w:val="105"/>
          <w:sz w:val="14"/>
        </w:rPr>
        <w:t xml:space="preserve">e.g., </w:t>
      </w:r>
      <w:r w:rsidRPr="00283806">
        <w:rPr>
          <w:w w:val="105"/>
          <w:sz w:val="14"/>
        </w:rPr>
        <w:t>R–454B used in lieu of R–410A in residential</w:t>
      </w:r>
      <w:r w:rsidRPr="00283806">
        <w:rPr>
          <w:spacing w:val="40"/>
          <w:w w:val="105"/>
          <w:sz w:val="14"/>
        </w:rPr>
        <w:t xml:space="preserve"> </w:t>
      </w:r>
      <w:r w:rsidRPr="00283806">
        <w:rPr>
          <w:w w:val="105"/>
          <w:sz w:val="14"/>
        </w:rPr>
        <w:t>unitary AC), blends that do not use a regulated</w:t>
      </w:r>
      <w:r w:rsidRPr="00283806">
        <w:rPr>
          <w:spacing w:val="40"/>
          <w:w w:val="105"/>
          <w:sz w:val="14"/>
        </w:rPr>
        <w:t xml:space="preserve"> </w:t>
      </w:r>
      <w:r w:rsidRPr="00283806">
        <w:rPr>
          <w:w w:val="105"/>
          <w:sz w:val="14"/>
        </w:rPr>
        <w:t>substance (</w:t>
      </w:r>
      <w:r w:rsidRPr="00283806">
        <w:rPr>
          <w:rFonts w:ascii="Book Antiqua" w:hAnsi="Book Antiqua"/>
          <w:i/>
          <w:w w:val="105"/>
          <w:sz w:val="14"/>
        </w:rPr>
        <w:t xml:space="preserve">e.g., </w:t>
      </w:r>
      <w:r w:rsidRPr="00283806">
        <w:rPr>
          <w:w w:val="105"/>
          <w:sz w:val="14"/>
        </w:rPr>
        <w:t>R–441A used in lieu of R–410A in</w:t>
      </w:r>
      <w:r w:rsidRPr="00283806">
        <w:rPr>
          <w:spacing w:val="40"/>
          <w:w w:val="105"/>
          <w:sz w:val="14"/>
        </w:rPr>
        <w:t xml:space="preserve"> </w:t>
      </w:r>
      <w:r w:rsidRPr="00283806">
        <w:rPr>
          <w:w w:val="105"/>
          <w:sz w:val="14"/>
        </w:rPr>
        <w:t>window ACs), substances that are not HFCs (</w:t>
      </w:r>
      <w:r w:rsidRPr="00283806">
        <w:rPr>
          <w:rFonts w:ascii="Book Antiqua" w:hAnsi="Book Antiqua"/>
          <w:i/>
          <w:w w:val="105"/>
          <w:sz w:val="14"/>
        </w:rPr>
        <w:t>e.g.,</w:t>
      </w:r>
      <w:r w:rsidRPr="00283806">
        <w:rPr>
          <w:rFonts w:ascii="Book Antiqua" w:hAnsi="Book Antiqua"/>
          <w:i/>
          <w:spacing w:val="40"/>
          <w:w w:val="105"/>
          <w:sz w:val="14"/>
        </w:rPr>
        <w:t xml:space="preserve"> </w:t>
      </w:r>
      <w:r w:rsidRPr="00283806">
        <w:rPr>
          <w:w w:val="105"/>
          <w:position w:val="2"/>
          <w:sz w:val="14"/>
        </w:rPr>
        <w:t>HFOs, hydrocarbons, R–717, and R–744 (CO</w:t>
      </w:r>
      <w:r w:rsidRPr="00283806">
        <w:rPr>
          <w:rFonts w:ascii="Times New Roman" w:hAnsi="Times New Roman"/>
          <w:w w:val="105"/>
          <w:sz w:val="9"/>
        </w:rPr>
        <w:t>2</w:t>
      </w:r>
      <w:r w:rsidRPr="00283806">
        <w:rPr>
          <w:w w:val="105"/>
          <w:position w:val="2"/>
          <w:sz w:val="14"/>
        </w:rPr>
        <w:t>)), and</w:t>
      </w:r>
      <w:r w:rsidRPr="00283806">
        <w:rPr>
          <w:spacing w:val="40"/>
          <w:w w:val="105"/>
          <w:position w:val="2"/>
          <w:sz w:val="14"/>
        </w:rPr>
        <w:t xml:space="preserve"> </w:t>
      </w:r>
      <w:r w:rsidRPr="00283806">
        <w:rPr>
          <w:w w:val="105"/>
          <w:sz w:val="14"/>
        </w:rPr>
        <w:t>not-in-kind</w:t>
      </w:r>
      <w:r w:rsidRPr="00283806">
        <w:rPr>
          <w:spacing w:val="33"/>
          <w:w w:val="105"/>
          <w:sz w:val="14"/>
        </w:rPr>
        <w:t xml:space="preserve"> </w:t>
      </w:r>
      <w:r w:rsidRPr="00283806">
        <w:rPr>
          <w:w w:val="105"/>
          <w:sz w:val="14"/>
        </w:rPr>
        <w:t>technologies</w:t>
      </w:r>
      <w:r w:rsidRPr="00283806">
        <w:rPr>
          <w:spacing w:val="33"/>
          <w:w w:val="105"/>
          <w:sz w:val="14"/>
        </w:rPr>
        <w:t xml:space="preserve"> </w:t>
      </w:r>
      <w:r w:rsidRPr="00283806">
        <w:rPr>
          <w:w w:val="105"/>
          <w:sz w:val="14"/>
        </w:rPr>
        <w:t>(</w:t>
      </w:r>
      <w:r w:rsidRPr="00283806">
        <w:rPr>
          <w:rFonts w:ascii="Book Antiqua" w:hAnsi="Book Antiqua"/>
          <w:i/>
          <w:w w:val="105"/>
          <w:sz w:val="14"/>
        </w:rPr>
        <w:t xml:space="preserve">e.g., </w:t>
      </w:r>
      <w:r w:rsidRPr="00283806">
        <w:rPr>
          <w:w w:val="105"/>
          <w:sz w:val="14"/>
        </w:rPr>
        <w:t>finger-pump</w:t>
      </w:r>
      <w:r w:rsidRPr="00283806">
        <w:rPr>
          <w:spacing w:val="33"/>
          <w:w w:val="105"/>
          <w:sz w:val="14"/>
        </w:rPr>
        <w:t xml:space="preserve"> </w:t>
      </w:r>
      <w:r w:rsidRPr="00283806">
        <w:rPr>
          <w:w w:val="105"/>
          <w:sz w:val="14"/>
        </w:rPr>
        <w:t>bottles</w:t>
      </w:r>
      <w:r w:rsidRPr="00283806">
        <w:rPr>
          <w:spacing w:val="40"/>
          <w:w w:val="105"/>
          <w:sz w:val="14"/>
        </w:rPr>
        <w:t xml:space="preserve"> </w:t>
      </w:r>
      <w:r w:rsidRPr="00283806">
        <w:rPr>
          <w:w w:val="105"/>
          <w:sz w:val="14"/>
        </w:rPr>
        <w:t>in lieu of aerosol cans, or vacuum panels in lieu of</w:t>
      </w:r>
      <w:r w:rsidRPr="00283806">
        <w:rPr>
          <w:spacing w:val="40"/>
          <w:w w:val="105"/>
          <w:sz w:val="14"/>
        </w:rPr>
        <w:t xml:space="preserve"> </w:t>
      </w:r>
      <w:r w:rsidRPr="00283806">
        <w:rPr>
          <w:w w:val="105"/>
          <w:sz w:val="14"/>
        </w:rPr>
        <w:t>foam insulation). (See 88 FR 73098, 73110, October</w:t>
      </w:r>
    </w:p>
    <w:p w14:paraId="6A331AA0" w14:textId="77777777" w:rsidR="00D67C1E" w:rsidRPr="00283806" w:rsidRDefault="001265CA">
      <w:pPr>
        <w:spacing w:line="162" w:lineRule="exact"/>
        <w:ind w:left="155"/>
        <w:rPr>
          <w:sz w:val="14"/>
        </w:rPr>
      </w:pPr>
      <w:r w:rsidRPr="00283806">
        <w:rPr>
          <w:w w:val="105"/>
          <w:sz w:val="14"/>
        </w:rPr>
        <w:t>24,</w:t>
      </w:r>
      <w:r w:rsidRPr="00283806">
        <w:rPr>
          <w:spacing w:val="5"/>
          <w:w w:val="105"/>
          <w:sz w:val="14"/>
        </w:rPr>
        <w:t xml:space="preserve"> </w:t>
      </w:r>
      <w:r w:rsidRPr="00283806">
        <w:rPr>
          <w:spacing w:val="-2"/>
          <w:w w:val="105"/>
          <w:sz w:val="14"/>
        </w:rPr>
        <w:t>2023).</w:t>
      </w:r>
    </w:p>
    <w:p w14:paraId="45916AD4" w14:textId="77777777" w:rsidR="00D67C1E" w:rsidRPr="00283806" w:rsidRDefault="001265CA">
      <w:pPr>
        <w:pStyle w:val="BodyText"/>
        <w:spacing w:before="25" w:line="225" w:lineRule="auto"/>
        <w:ind w:left="150" w:right="122"/>
      </w:pPr>
      <w:r w:rsidRPr="00283806">
        <w:br w:type="column"/>
      </w:r>
      <w:r w:rsidRPr="00283806">
        <w:rPr>
          <w:w w:val="105"/>
        </w:rPr>
        <w:t>55116, October 5, 2021) and the 2023 Technology Transitions Rule (88 FR 73098, October 24, 2023). The term ‘‘regulated substance’’ is defined in part 84, subpart A (40 CFR 84.3), with a current list provided in appendix A to part 84, and this appendix applies to the whole of part 84, including subpart C. Accordingly, EPA concludes it is not necessary to again list the regulated substances with a GWP greater than 53</w:t>
      </w:r>
      <w:r w:rsidRPr="00283806">
        <w:rPr>
          <w:spacing w:val="40"/>
          <w:w w:val="105"/>
        </w:rPr>
        <w:t xml:space="preserve"> </w:t>
      </w:r>
      <w:r w:rsidRPr="00283806">
        <w:rPr>
          <w:w w:val="105"/>
        </w:rPr>
        <w:t>in this action. While subsection (c)(3)(A) of the AIM Act authorizes the Administrator to designate as a</w:t>
      </w:r>
      <w:r w:rsidRPr="00283806">
        <w:rPr>
          <w:spacing w:val="80"/>
          <w:w w:val="105"/>
        </w:rPr>
        <w:t xml:space="preserve"> </w:t>
      </w:r>
      <w:r w:rsidRPr="00283806">
        <w:rPr>
          <w:w w:val="105"/>
        </w:rPr>
        <w:t>regulated substance a substance that is not included in the list in subsection (c)(1) if certain criteria are met, EPA did</w:t>
      </w:r>
    </w:p>
    <w:p w14:paraId="76BC26C5" w14:textId="77777777" w:rsidR="00D67C1E" w:rsidRPr="00283806" w:rsidRDefault="00D67C1E">
      <w:pPr>
        <w:spacing w:line="225" w:lineRule="auto"/>
        <w:sectPr w:rsidR="00D67C1E" w:rsidRPr="00283806">
          <w:type w:val="continuous"/>
          <w:pgSz w:w="12240" w:h="15840"/>
          <w:pgMar w:top="880" w:right="780" w:bottom="280" w:left="740" w:header="627" w:footer="0" w:gutter="0"/>
          <w:cols w:num="3" w:space="720" w:equalWidth="0">
            <w:col w:w="3505" w:space="40"/>
            <w:col w:w="3506" w:space="39"/>
            <w:col w:w="3630"/>
          </w:cols>
        </w:sectPr>
      </w:pPr>
    </w:p>
    <w:p w14:paraId="2B285904" w14:textId="77777777" w:rsidR="00D67C1E" w:rsidRPr="00283806" w:rsidRDefault="001265CA">
      <w:pPr>
        <w:pStyle w:val="BodyText"/>
        <w:spacing w:before="136" w:line="225" w:lineRule="auto"/>
        <w:ind w:right="27"/>
      </w:pPr>
      <w:r w:rsidRPr="00283806">
        <w:rPr>
          <w:w w:val="105"/>
        </w:rPr>
        <w:lastRenderedPageBreak/>
        <w:t xml:space="preserve">not propose to add any regulated substance to the statutory </w:t>
      </w:r>
      <w:proofErr w:type="gramStart"/>
      <w:r w:rsidRPr="00283806">
        <w:rPr>
          <w:w w:val="105"/>
        </w:rPr>
        <w:t>list, and</w:t>
      </w:r>
      <w:proofErr w:type="gramEnd"/>
      <w:r w:rsidRPr="00283806">
        <w:rPr>
          <w:w w:val="105"/>
        </w:rPr>
        <w:t xml:space="preserve"> is not finalizing</w:t>
      </w:r>
      <w:r w:rsidRPr="00283806">
        <w:rPr>
          <w:spacing w:val="40"/>
          <w:w w:val="105"/>
        </w:rPr>
        <w:t xml:space="preserve"> </w:t>
      </w:r>
      <w:r w:rsidRPr="00283806">
        <w:rPr>
          <w:w w:val="105"/>
        </w:rPr>
        <w:t>any</w:t>
      </w:r>
      <w:r w:rsidRPr="00283806">
        <w:rPr>
          <w:spacing w:val="40"/>
          <w:w w:val="105"/>
        </w:rPr>
        <w:t xml:space="preserve"> </w:t>
      </w:r>
      <w:r w:rsidRPr="00283806">
        <w:rPr>
          <w:w w:val="105"/>
        </w:rPr>
        <w:t>addition.</w:t>
      </w:r>
      <w:r w:rsidRPr="00283806">
        <w:rPr>
          <w:spacing w:val="40"/>
          <w:w w:val="105"/>
        </w:rPr>
        <w:t xml:space="preserve"> </w:t>
      </w:r>
      <w:r w:rsidRPr="00283806">
        <w:rPr>
          <w:w w:val="105"/>
        </w:rPr>
        <w:t>To</w:t>
      </w:r>
      <w:r w:rsidRPr="00283806">
        <w:rPr>
          <w:spacing w:val="40"/>
          <w:w w:val="105"/>
        </w:rPr>
        <w:t xml:space="preserve"> </w:t>
      </w:r>
      <w:r w:rsidRPr="00283806">
        <w:rPr>
          <w:w w:val="105"/>
        </w:rPr>
        <w:t>the</w:t>
      </w:r>
      <w:r w:rsidRPr="00283806">
        <w:rPr>
          <w:spacing w:val="40"/>
          <w:w w:val="105"/>
        </w:rPr>
        <w:t xml:space="preserve"> </w:t>
      </w:r>
      <w:r w:rsidRPr="00283806">
        <w:rPr>
          <w:w w:val="105"/>
        </w:rPr>
        <w:t>extent the commenter opposes such a listing, EPA finds that concern is beyond the scope of this rulemaking and thus requires no further response.</w:t>
      </w:r>
    </w:p>
    <w:p w14:paraId="45EBB543" w14:textId="77777777" w:rsidR="00D67C1E" w:rsidRPr="00283806" w:rsidRDefault="001265CA">
      <w:pPr>
        <w:pStyle w:val="BodyText"/>
        <w:spacing w:line="178" w:lineRule="exact"/>
        <w:ind w:left="340"/>
      </w:pPr>
      <w:r w:rsidRPr="00283806">
        <w:rPr>
          <w:w w:val="105"/>
        </w:rPr>
        <w:t>In</w:t>
      </w:r>
      <w:r w:rsidRPr="00283806">
        <w:rPr>
          <w:spacing w:val="3"/>
          <w:w w:val="105"/>
        </w:rPr>
        <w:t xml:space="preserve"> </w:t>
      </w:r>
      <w:r w:rsidRPr="00283806">
        <w:rPr>
          <w:w w:val="105"/>
        </w:rPr>
        <w:t>response</w:t>
      </w:r>
      <w:r w:rsidRPr="00283806">
        <w:rPr>
          <w:spacing w:val="4"/>
          <w:w w:val="105"/>
        </w:rPr>
        <w:t xml:space="preserve"> </w:t>
      </w:r>
      <w:r w:rsidRPr="00283806">
        <w:rPr>
          <w:w w:val="105"/>
        </w:rPr>
        <w:t>to</w:t>
      </w:r>
      <w:r w:rsidRPr="00283806">
        <w:rPr>
          <w:spacing w:val="4"/>
          <w:w w:val="105"/>
        </w:rPr>
        <w:t xml:space="preserve"> </w:t>
      </w:r>
      <w:r w:rsidRPr="00283806">
        <w:rPr>
          <w:w w:val="105"/>
        </w:rPr>
        <w:t>the</w:t>
      </w:r>
      <w:r w:rsidRPr="00283806">
        <w:rPr>
          <w:spacing w:val="4"/>
          <w:w w:val="105"/>
        </w:rPr>
        <w:t xml:space="preserve"> </w:t>
      </w:r>
      <w:proofErr w:type="gramStart"/>
      <w:r w:rsidRPr="00283806">
        <w:rPr>
          <w:spacing w:val="-2"/>
          <w:w w:val="105"/>
        </w:rPr>
        <w:t>commenter’s</w:t>
      </w:r>
      <w:proofErr w:type="gramEnd"/>
    </w:p>
    <w:p w14:paraId="7E9597C3" w14:textId="77777777" w:rsidR="00D67C1E" w:rsidRPr="00283806" w:rsidRDefault="001265CA">
      <w:pPr>
        <w:pStyle w:val="BodyText"/>
        <w:spacing w:before="4" w:line="225" w:lineRule="auto"/>
        <w:ind w:right="106"/>
      </w:pPr>
      <w:r w:rsidRPr="00283806">
        <w:rPr>
          <w:w w:val="105"/>
        </w:rPr>
        <w:t>statements about the complexity of consulting multiple sources to determine the GWP of a substitute for a regulated substance, EPA notes that as described in section IV.C.1 of this preamble, the Agency is not finalizing the methodology to determine GWP of</w:t>
      </w:r>
    </w:p>
    <w:p w14:paraId="4BEC1E88" w14:textId="77777777" w:rsidR="00D67C1E" w:rsidRPr="00283806" w:rsidRDefault="001265CA">
      <w:pPr>
        <w:pStyle w:val="BodyText"/>
        <w:spacing w:line="225" w:lineRule="auto"/>
        <w:ind w:right="27"/>
      </w:pPr>
      <w:r w:rsidRPr="00283806">
        <w:rPr>
          <w:w w:val="105"/>
        </w:rPr>
        <w:t>a substitute for a regulated substance, as proposed. EPA is instead finalizing the provisions to use a list of GWPs for various substitutes for regulated substances codified in the 2023 Technology Transitions Rule at 40 CFR</w:t>
      </w:r>
    </w:p>
    <w:p w14:paraId="3C5C29A3" w14:textId="77777777" w:rsidR="00D67C1E" w:rsidRPr="00283806" w:rsidRDefault="001265CA">
      <w:pPr>
        <w:pStyle w:val="BodyText"/>
        <w:spacing w:line="225" w:lineRule="auto"/>
        <w:ind w:right="312"/>
      </w:pPr>
      <w:r w:rsidRPr="00283806">
        <w:rPr>
          <w:w w:val="110"/>
        </w:rPr>
        <w:t>84.64. EPA is taking this approach because it agrees that having these GWPs in one concise list will limit confusion</w:t>
      </w:r>
      <w:r w:rsidRPr="00283806">
        <w:rPr>
          <w:spacing w:val="-11"/>
          <w:w w:val="110"/>
        </w:rPr>
        <w:t xml:space="preserve"> </w:t>
      </w:r>
      <w:r w:rsidRPr="00283806">
        <w:rPr>
          <w:w w:val="110"/>
        </w:rPr>
        <w:t>and</w:t>
      </w:r>
      <w:r w:rsidRPr="00283806">
        <w:rPr>
          <w:spacing w:val="-11"/>
          <w:w w:val="110"/>
        </w:rPr>
        <w:t xml:space="preserve"> </w:t>
      </w:r>
      <w:r w:rsidRPr="00283806">
        <w:rPr>
          <w:w w:val="110"/>
        </w:rPr>
        <w:t>enhance</w:t>
      </w:r>
      <w:r w:rsidRPr="00283806">
        <w:rPr>
          <w:spacing w:val="-11"/>
          <w:w w:val="110"/>
        </w:rPr>
        <w:t xml:space="preserve"> </w:t>
      </w:r>
      <w:r w:rsidRPr="00283806">
        <w:rPr>
          <w:w w:val="110"/>
        </w:rPr>
        <w:t>accessibility.</w:t>
      </w:r>
    </w:p>
    <w:p w14:paraId="36B63113" w14:textId="77777777" w:rsidR="00D67C1E" w:rsidRPr="00283806" w:rsidRDefault="001265CA">
      <w:pPr>
        <w:spacing w:line="213" w:lineRule="auto"/>
        <w:ind w:left="160" w:right="192" w:firstLine="180"/>
        <w:rPr>
          <w:sz w:val="18"/>
        </w:rPr>
      </w:pPr>
      <w:r w:rsidRPr="00283806">
        <w:rPr>
          <w:rFonts w:ascii="Book Antiqua" w:hAnsi="Book Antiqua"/>
          <w:i/>
          <w:w w:val="110"/>
          <w:sz w:val="18"/>
        </w:rPr>
        <w:t xml:space="preserve">Virgin regulated </w:t>
      </w:r>
      <w:proofErr w:type="gramStart"/>
      <w:r w:rsidRPr="00283806">
        <w:rPr>
          <w:rFonts w:ascii="Book Antiqua" w:hAnsi="Book Antiqua"/>
          <w:i/>
          <w:w w:val="110"/>
          <w:sz w:val="18"/>
        </w:rPr>
        <w:t>substance</w:t>
      </w:r>
      <w:proofErr w:type="gramEnd"/>
      <w:r w:rsidRPr="00283806">
        <w:rPr>
          <w:rFonts w:ascii="Book Antiqua" w:hAnsi="Book Antiqua"/>
          <w:i/>
          <w:w w:val="110"/>
          <w:sz w:val="18"/>
        </w:rPr>
        <w:t xml:space="preserve">. </w:t>
      </w:r>
      <w:r w:rsidRPr="00283806">
        <w:rPr>
          <w:w w:val="110"/>
          <w:sz w:val="18"/>
        </w:rPr>
        <w:t>EPA proposed</w:t>
      </w:r>
      <w:r w:rsidRPr="00283806">
        <w:rPr>
          <w:spacing w:val="-11"/>
          <w:w w:val="110"/>
          <w:sz w:val="18"/>
        </w:rPr>
        <w:t xml:space="preserve"> </w:t>
      </w:r>
      <w:r w:rsidRPr="00283806">
        <w:rPr>
          <w:w w:val="110"/>
          <w:sz w:val="18"/>
        </w:rPr>
        <w:t>this</w:t>
      </w:r>
      <w:r w:rsidRPr="00283806">
        <w:rPr>
          <w:spacing w:val="-11"/>
          <w:w w:val="110"/>
          <w:sz w:val="18"/>
        </w:rPr>
        <w:t xml:space="preserve"> </w:t>
      </w:r>
      <w:r w:rsidRPr="00283806">
        <w:rPr>
          <w:w w:val="110"/>
          <w:sz w:val="18"/>
        </w:rPr>
        <w:t>definition</w:t>
      </w:r>
      <w:r w:rsidRPr="00283806">
        <w:rPr>
          <w:spacing w:val="-11"/>
          <w:w w:val="110"/>
          <w:sz w:val="18"/>
        </w:rPr>
        <w:t xml:space="preserve"> </w:t>
      </w:r>
      <w:r w:rsidRPr="00283806">
        <w:rPr>
          <w:w w:val="110"/>
          <w:sz w:val="18"/>
        </w:rPr>
        <w:t>to</w:t>
      </w:r>
      <w:r w:rsidRPr="00283806">
        <w:rPr>
          <w:spacing w:val="-11"/>
          <w:w w:val="110"/>
          <w:sz w:val="18"/>
        </w:rPr>
        <w:t xml:space="preserve"> </w:t>
      </w:r>
      <w:r w:rsidRPr="00283806">
        <w:rPr>
          <w:w w:val="110"/>
          <w:sz w:val="18"/>
        </w:rPr>
        <w:t>mean</w:t>
      </w:r>
      <w:r w:rsidRPr="00283806">
        <w:rPr>
          <w:spacing w:val="-11"/>
          <w:w w:val="110"/>
          <w:sz w:val="18"/>
        </w:rPr>
        <w:t xml:space="preserve"> </w:t>
      </w:r>
      <w:r w:rsidRPr="00283806">
        <w:rPr>
          <w:w w:val="110"/>
          <w:sz w:val="18"/>
        </w:rPr>
        <w:t>‘‘any</w:t>
      </w:r>
    </w:p>
    <w:p w14:paraId="06857E19" w14:textId="77777777" w:rsidR="00D67C1E" w:rsidRPr="00283806" w:rsidRDefault="001265CA">
      <w:pPr>
        <w:pStyle w:val="BodyText"/>
        <w:spacing w:line="225" w:lineRule="auto"/>
        <w:ind w:right="38"/>
      </w:pPr>
      <w:r w:rsidRPr="00283806">
        <w:rPr>
          <w:w w:val="105"/>
        </w:rPr>
        <w:t>regulated substance that has not had any bona fide use in equipment except for those regulated substances contained in the heel or the residue of a container</w:t>
      </w:r>
      <w:r w:rsidRPr="00283806">
        <w:rPr>
          <w:spacing w:val="80"/>
          <w:w w:val="105"/>
        </w:rPr>
        <w:t xml:space="preserve"> </w:t>
      </w:r>
      <w:r w:rsidRPr="00283806">
        <w:rPr>
          <w:w w:val="105"/>
        </w:rPr>
        <w:t>that has bona fide use in the servicing, repair, or installation of equipment.’’</w:t>
      </w:r>
    </w:p>
    <w:p w14:paraId="4A43308A" w14:textId="77777777" w:rsidR="00D67C1E" w:rsidRPr="00283806" w:rsidRDefault="001265CA">
      <w:pPr>
        <w:pStyle w:val="BodyText"/>
        <w:spacing w:line="178" w:lineRule="exact"/>
        <w:ind w:left="340"/>
      </w:pPr>
      <w:r w:rsidRPr="00283806">
        <w:rPr>
          <w:w w:val="110"/>
        </w:rPr>
        <w:t>EPA</w:t>
      </w:r>
      <w:r w:rsidRPr="00283806">
        <w:rPr>
          <w:spacing w:val="2"/>
          <w:w w:val="110"/>
        </w:rPr>
        <w:t xml:space="preserve"> </w:t>
      </w:r>
      <w:r w:rsidRPr="00283806">
        <w:rPr>
          <w:w w:val="110"/>
        </w:rPr>
        <w:t>is</w:t>
      </w:r>
      <w:r w:rsidRPr="00283806">
        <w:rPr>
          <w:spacing w:val="3"/>
          <w:w w:val="110"/>
        </w:rPr>
        <w:t xml:space="preserve"> </w:t>
      </w:r>
      <w:r w:rsidRPr="00283806">
        <w:rPr>
          <w:w w:val="110"/>
        </w:rPr>
        <w:t>modifying</w:t>
      </w:r>
      <w:r w:rsidRPr="00283806">
        <w:rPr>
          <w:spacing w:val="3"/>
          <w:w w:val="110"/>
        </w:rPr>
        <w:t xml:space="preserve"> </w:t>
      </w:r>
      <w:r w:rsidRPr="00283806">
        <w:rPr>
          <w:w w:val="110"/>
        </w:rPr>
        <w:t>the</w:t>
      </w:r>
      <w:r w:rsidRPr="00283806">
        <w:rPr>
          <w:spacing w:val="3"/>
          <w:w w:val="110"/>
        </w:rPr>
        <w:t xml:space="preserve"> </w:t>
      </w:r>
      <w:r w:rsidRPr="00283806">
        <w:rPr>
          <w:w w:val="110"/>
        </w:rPr>
        <w:t>final</w:t>
      </w:r>
      <w:r w:rsidRPr="00283806">
        <w:rPr>
          <w:spacing w:val="3"/>
          <w:w w:val="110"/>
        </w:rPr>
        <w:t xml:space="preserve"> </w:t>
      </w:r>
      <w:r w:rsidRPr="00283806">
        <w:rPr>
          <w:spacing w:val="-2"/>
          <w:w w:val="110"/>
        </w:rPr>
        <w:t>definition</w:t>
      </w:r>
    </w:p>
    <w:p w14:paraId="0EAA0576" w14:textId="77777777" w:rsidR="00D67C1E" w:rsidRPr="00283806" w:rsidRDefault="001265CA">
      <w:pPr>
        <w:pStyle w:val="BodyText"/>
        <w:spacing w:line="225" w:lineRule="auto"/>
        <w:ind w:right="76"/>
      </w:pPr>
      <w:r w:rsidRPr="00283806">
        <w:rPr>
          <w:w w:val="105"/>
        </w:rPr>
        <w:t>by removing the phrase ‘‘except for</w:t>
      </w:r>
      <w:r w:rsidRPr="00283806">
        <w:rPr>
          <w:spacing w:val="40"/>
          <w:w w:val="105"/>
        </w:rPr>
        <w:t xml:space="preserve"> </w:t>
      </w:r>
      <w:r w:rsidRPr="00283806">
        <w:rPr>
          <w:w w:val="105"/>
        </w:rPr>
        <w:t>those regulated substances contained in the heel or the residue of a container</w:t>
      </w:r>
      <w:r w:rsidRPr="00283806">
        <w:rPr>
          <w:spacing w:val="40"/>
          <w:w w:val="105"/>
        </w:rPr>
        <w:t xml:space="preserve"> </w:t>
      </w:r>
      <w:r w:rsidRPr="00283806">
        <w:rPr>
          <w:w w:val="105"/>
        </w:rPr>
        <w:t>that has bona fide use in the servicing, repair, or installation of equipment.’’</w:t>
      </w:r>
    </w:p>
    <w:p w14:paraId="2BA045DA" w14:textId="77777777" w:rsidR="00D67C1E" w:rsidRPr="00283806" w:rsidRDefault="001265CA">
      <w:pPr>
        <w:pStyle w:val="BodyText"/>
        <w:spacing w:line="178" w:lineRule="exact"/>
        <w:ind w:left="340"/>
      </w:pPr>
      <w:r w:rsidRPr="00283806">
        <w:rPr>
          <w:w w:val="110"/>
        </w:rPr>
        <w:t>EPA’s</w:t>
      </w:r>
      <w:r w:rsidRPr="00283806">
        <w:rPr>
          <w:spacing w:val="-6"/>
          <w:w w:val="110"/>
        </w:rPr>
        <w:t xml:space="preserve"> </w:t>
      </w:r>
      <w:r w:rsidRPr="00283806">
        <w:rPr>
          <w:w w:val="110"/>
        </w:rPr>
        <w:t>proposed</w:t>
      </w:r>
      <w:r w:rsidRPr="00283806">
        <w:rPr>
          <w:spacing w:val="-5"/>
          <w:w w:val="110"/>
        </w:rPr>
        <w:t xml:space="preserve"> </w:t>
      </w:r>
      <w:r w:rsidRPr="00283806">
        <w:rPr>
          <w:w w:val="110"/>
        </w:rPr>
        <w:t>definition</w:t>
      </w:r>
      <w:r w:rsidRPr="00283806">
        <w:rPr>
          <w:spacing w:val="-5"/>
          <w:w w:val="110"/>
        </w:rPr>
        <w:t xml:space="preserve"> </w:t>
      </w:r>
      <w:r w:rsidRPr="00283806">
        <w:rPr>
          <w:w w:val="110"/>
        </w:rPr>
        <w:t>of</w:t>
      </w:r>
      <w:r w:rsidRPr="00283806">
        <w:rPr>
          <w:spacing w:val="-6"/>
          <w:w w:val="110"/>
        </w:rPr>
        <w:t xml:space="preserve"> </w:t>
      </w:r>
      <w:r w:rsidRPr="00283806">
        <w:rPr>
          <w:spacing w:val="-2"/>
          <w:w w:val="110"/>
        </w:rPr>
        <w:t>‘‘virgin</w:t>
      </w:r>
    </w:p>
    <w:p w14:paraId="3EA488B3" w14:textId="77777777" w:rsidR="00D67C1E" w:rsidRPr="00283806" w:rsidRDefault="001265CA">
      <w:pPr>
        <w:pStyle w:val="BodyText"/>
        <w:spacing w:line="228" w:lineRule="auto"/>
        <w:ind w:right="39"/>
      </w:pPr>
      <w:r w:rsidRPr="00283806">
        <w:rPr>
          <w:w w:val="105"/>
        </w:rPr>
        <w:t>regulated substance’’ excluded refrigerant heels because EPA wanted to include refrigerant heels recovered from a container as recovered material for purposes of meeting the reclamation standard. However, EPA concluded that refrigerant heels are best described as ‘‘virgin regulated substances’’ because refrigerant heels have not had a bona</w:t>
      </w:r>
      <w:r w:rsidRPr="00283806">
        <w:rPr>
          <w:spacing w:val="40"/>
          <w:w w:val="105"/>
        </w:rPr>
        <w:t xml:space="preserve"> </w:t>
      </w:r>
      <w:r w:rsidRPr="00283806">
        <w:rPr>
          <w:w w:val="105"/>
        </w:rPr>
        <w:t>fide use in equipment. EPA still recognizes the value of recovered heels, and thus EPA is not counting refrigerant heels that are removed from containers to contribute towards the 15 percent virgin</w:t>
      </w:r>
      <w:r w:rsidRPr="00283806">
        <w:rPr>
          <w:spacing w:val="40"/>
          <w:w w:val="105"/>
        </w:rPr>
        <w:t xml:space="preserve"> </w:t>
      </w:r>
      <w:r w:rsidRPr="00283806">
        <w:rPr>
          <w:w w:val="105"/>
        </w:rPr>
        <w:t>material</w:t>
      </w:r>
      <w:r w:rsidRPr="00283806">
        <w:rPr>
          <w:spacing w:val="40"/>
          <w:w w:val="105"/>
        </w:rPr>
        <w:t xml:space="preserve"> </w:t>
      </w:r>
      <w:r w:rsidRPr="00283806">
        <w:rPr>
          <w:w w:val="105"/>
        </w:rPr>
        <w:t>limit</w:t>
      </w:r>
      <w:r w:rsidRPr="00283806">
        <w:rPr>
          <w:spacing w:val="40"/>
          <w:w w:val="105"/>
        </w:rPr>
        <w:t xml:space="preserve"> </w:t>
      </w:r>
      <w:r w:rsidRPr="00283806">
        <w:rPr>
          <w:w w:val="105"/>
        </w:rPr>
        <w:t>discussed</w:t>
      </w:r>
      <w:r w:rsidRPr="00283806">
        <w:rPr>
          <w:spacing w:val="40"/>
          <w:w w:val="105"/>
        </w:rPr>
        <w:t xml:space="preserve"> </w:t>
      </w:r>
      <w:r w:rsidRPr="00283806">
        <w:rPr>
          <w:w w:val="105"/>
        </w:rPr>
        <w:t>in section IV.E.1 of this preamble.</w:t>
      </w:r>
    </w:p>
    <w:p w14:paraId="491CFFF6" w14:textId="77777777" w:rsidR="00D67C1E" w:rsidRPr="00283806" w:rsidRDefault="001265CA">
      <w:pPr>
        <w:pStyle w:val="BodyText"/>
        <w:spacing w:line="165" w:lineRule="exact"/>
        <w:ind w:left="340"/>
      </w:pPr>
      <w:r w:rsidRPr="00283806">
        <w:rPr>
          <w:w w:val="110"/>
        </w:rPr>
        <w:t>The</w:t>
      </w:r>
      <w:r w:rsidRPr="00283806">
        <w:rPr>
          <w:spacing w:val="1"/>
          <w:w w:val="110"/>
        </w:rPr>
        <w:t xml:space="preserve"> </w:t>
      </w:r>
      <w:r w:rsidRPr="00283806">
        <w:rPr>
          <w:w w:val="110"/>
        </w:rPr>
        <w:t>final</w:t>
      </w:r>
      <w:r w:rsidRPr="00283806">
        <w:rPr>
          <w:spacing w:val="1"/>
          <w:w w:val="110"/>
        </w:rPr>
        <w:t xml:space="preserve"> </w:t>
      </w:r>
      <w:r w:rsidRPr="00283806">
        <w:rPr>
          <w:w w:val="110"/>
        </w:rPr>
        <w:t>definition</w:t>
      </w:r>
      <w:r w:rsidRPr="00283806">
        <w:rPr>
          <w:spacing w:val="1"/>
          <w:w w:val="110"/>
        </w:rPr>
        <w:t xml:space="preserve"> </w:t>
      </w:r>
      <w:r w:rsidRPr="00283806">
        <w:rPr>
          <w:w w:val="110"/>
        </w:rPr>
        <w:t>of</w:t>
      </w:r>
      <w:r w:rsidRPr="00283806">
        <w:rPr>
          <w:spacing w:val="1"/>
          <w:w w:val="110"/>
        </w:rPr>
        <w:t xml:space="preserve"> </w:t>
      </w:r>
      <w:r w:rsidRPr="00283806">
        <w:rPr>
          <w:spacing w:val="-2"/>
          <w:w w:val="110"/>
        </w:rPr>
        <w:t>‘‘virgin</w:t>
      </w:r>
    </w:p>
    <w:p w14:paraId="78945E66" w14:textId="77777777" w:rsidR="00D67C1E" w:rsidRPr="00283806" w:rsidRDefault="001265CA">
      <w:pPr>
        <w:pStyle w:val="BodyText"/>
        <w:spacing w:line="228" w:lineRule="auto"/>
        <w:ind w:right="67"/>
      </w:pPr>
      <w:r w:rsidRPr="00283806">
        <w:rPr>
          <w:w w:val="105"/>
        </w:rPr>
        <w:t>regulated substance’’ makes it clear that the introduction of a regulated</w:t>
      </w:r>
      <w:r w:rsidRPr="00283806">
        <w:rPr>
          <w:spacing w:val="40"/>
          <w:w w:val="105"/>
        </w:rPr>
        <w:t xml:space="preserve"> </w:t>
      </w:r>
      <w:r w:rsidRPr="00283806">
        <w:rPr>
          <w:w w:val="105"/>
        </w:rPr>
        <w:t>substance to equipment, such as a refrigerant-containing appliance or fire suppression equipment, solely to</w:t>
      </w:r>
      <w:r w:rsidRPr="00283806">
        <w:rPr>
          <w:spacing w:val="40"/>
          <w:w w:val="105"/>
        </w:rPr>
        <w:t xml:space="preserve"> </w:t>
      </w:r>
      <w:r w:rsidRPr="00283806">
        <w:rPr>
          <w:w w:val="105"/>
        </w:rPr>
        <w:t>convert its status to a ‘‘used’’ regulated substance and circumvent the intended requirements of this rulemaking is not permissible. This scenario, where a regulated substance is charged into equipment and subsequently recovered without</w:t>
      </w:r>
      <w:r w:rsidRPr="00283806">
        <w:rPr>
          <w:spacing w:val="13"/>
          <w:w w:val="105"/>
        </w:rPr>
        <w:t xml:space="preserve"> </w:t>
      </w:r>
      <w:r w:rsidRPr="00283806">
        <w:rPr>
          <w:w w:val="105"/>
        </w:rPr>
        <w:t>any</w:t>
      </w:r>
      <w:r w:rsidRPr="00283806">
        <w:rPr>
          <w:spacing w:val="13"/>
          <w:w w:val="105"/>
        </w:rPr>
        <w:t xml:space="preserve"> </w:t>
      </w:r>
      <w:r w:rsidRPr="00283806">
        <w:rPr>
          <w:w w:val="105"/>
        </w:rPr>
        <w:t>bona</w:t>
      </w:r>
      <w:r w:rsidRPr="00283806">
        <w:rPr>
          <w:spacing w:val="13"/>
          <w:w w:val="105"/>
        </w:rPr>
        <w:t xml:space="preserve"> </w:t>
      </w:r>
      <w:r w:rsidRPr="00283806">
        <w:rPr>
          <w:w w:val="105"/>
        </w:rPr>
        <w:t>fide</w:t>
      </w:r>
      <w:r w:rsidRPr="00283806">
        <w:rPr>
          <w:spacing w:val="14"/>
          <w:w w:val="105"/>
        </w:rPr>
        <w:t xml:space="preserve"> </w:t>
      </w:r>
      <w:r w:rsidRPr="00283806">
        <w:rPr>
          <w:w w:val="105"/>
        </w:rPr>
        <w:t>use,</w:t>
      </w:r>
      <w:r w:rsidRPr="00283806">
        <w:rPr>
          <w:spacing w:val="13"/>
          <w:w w:val="105"/>
        </w:rPr>
        <w:t xml:space="preserve"> </w:t>
      </w:r>
      <w:r w:rsidRPr="00283806">
        <w:rPr>
          <w:w w:val="105"/>
        </w:rPr>
        <w:t>was</w:t>
      </w:r>
      <w:r w:rsidRPr="00283806">
        <w:rPr>
          <w:spacing w:val="13"/>
          <w:w w:val="105"/>
        </w:rPr>
        <w:t xml:space="preserve"> </w:t>
      </w:r>
      <w:r w:rsidRPr="00283806">
        <w:rPr>
          <w:spacing w:val="-2"/>
          <w:w w:val="105"/>
        </w:rPr>
        <w:t>brought</w:t>
      </w:r>
    </w:p>
    <w:p w14:paraId="6EF66DAE" w14:textId="77777777" w:rsidR="00D67C1E" w:rsidRPr="00283806" w:rsidRDefault="001265CA">
      <w:pPr>
        <w:pStyle w:val="BodyText"/>
        <w:spacing w:before="133" w:line="228" w:lineRule="auto"/>
        <w:ind w:left="145" w:right="40"/>
      </w:pPr>
      <w:r w:rsidRPr="00283806">
        <w:br w:type="column"/>
      </w:r>
      <w:r w:rsidRPr="00283806">
        <w:rPr>
          <w:w w:val="105"/>
        </w:rPr>
        <w:t>to EPA’s attention by stakeholders including during public stakeholder meetings as the Agency developed this rulemaking.</w:t>
      </w:r>
      <w:r w:rsidRPr="00283806">
        <w:rPr>
          <w:w w:val="105"/>
          <w:position w:val="5"/>
          <w:sz w:val="11"/>
        </w:rPr>
        <w:t>49</w:t>
      </w:r>
      <w:r w:rsidRPr="00283806">
        <w:rPr>
          <w:spacing w:val="33"/>
          <w:w w:val="105"/>
          <w:position w:val="5"/>
          <w:sz w:val="11"/>
        </w:rPr>
        <w:t xml:space="preserve"> </w:t>
      </w:r>
      <w:r w:rsidRPr="00283806">
        <w:rPr>
          <w:w w:val="105"/>
        </w:rPr>
        <w:t>This issue was also raised in public comments on the proposed</w:t>
      </w:r>
      <w:r w:rsidRPr="00283806">
        <w:rPr>
          <w:spacing w:val="40"/>
          <w:w w:val="105"/>
        </w:rPr>
        <w:t xml:space="preserve"> </w:t>
      </w:r>
      <w:r w:rsidRPr="00283806">
        <w:rPr>
          <w:w w:val="105"/>
        </w:rPr>
        <w:t>rule, as indicated in the comments summarized immediately below. Under the definition finalized in this rule, a regulated substance that has had no</w:t>
      </w:r>
      <w:r w:rsidRPr="00283806">
        <w:rPr>
          <w:spacing w:val="40"/>
          <w:w w:val="105"/>
        </w:rPr>
        <w:t xml:space="preserve"> </w:t>
      </w:r>
      <w:r w:rsidRPr="00283806">
        <w:rPr>
          <w:w w:val="105"/>
        </w:rPr>
        <w:t>bona fide use in equipment would be considered</w:t>
      </w:r>
      <w:r w:rsidRPr="00283806">
        <w:rPr>
          <w:spacing w:val="8"/>
          <w:w w:val="105"/>
        </w:rPr>
        <w:t xml:space="preserve"> </w:t>
      </w:r>
      <w:r w:rsidRPr="00283806">
        <w:rPr>
          <w:w w:val="105"/>
        </w:rPr>
        <w:t>a</w:t>
      </w:r>
      <w:r w:rsidRPr="00283806">
        <w:rPr>
          <w:spacing w:val="9"/>
          <w:w w:val="105"/>
        </w:rPr>
        <w:t xml:space="preserve"> </w:t>
      </w:r>
      <w:r w:rsidRPr="00283806">
        <w:rPr>
          <w:w w:val="105"/>
        </w:rPr>
        <w:t>virgin</w:t>
      </w:r>
      <w:r w:rsidRPr="00283806">
        <w:rPr>
          <w:spacing w:val="9"/>
          <w:w w:val="105"/>
        </w:rPr>
        <w:t xml:space="preserve"> </w:t>
      </w:r>
      <w:r w:rsidRPr="00283806">
        <w:rPr>
          <w:w w:val="105"/>
        </w:rPr>
        <w:t>regulated</w:t>
      </w:r>
      <w:r w:rsidRPr="00283806">
        <w:rPr>
          <w:spacing w:val="9"/>
          <w:w w:val="105"/>
        </w:rPr>
        <w:t xml:space="preserve"> </w:t>
      </w:r>
      <w:r w:rsidRPr="00283806">
        <w:rPr>
          <w:spacing w:val="-2"/>
          <w:w w:val="105"/>
        </w:rPr>
        <w:t>substance.</w:t>
      </w:r>
    </w:p>
    <w:p w14:paraId="7EDAAB83" w14:textId="77777777" w:rsidR="00D67C1E" w:rsidRPr="00283806" w:rsidRDefault="001265CA">
      <w:pPr>
        <w:pStyle w:val="BodyText"/>
        <w:spacing w:before="72" w:line="228" w:lineRule="auto"/>
        <w:ind w:left="145" w:right="51" w:firstLine="180"/>
      </w:pPr>
      <w:r w:rsidRPr="00283806">
        <w:rPr>
          <w:rFonts w:ascii="Book Antiqua" w:hAnsi="Book Antiqua"/>
          <w:i/>
          <w:w w:val="105"/>
        </w:rPr>
        <w:t xml:space="preserve">Comment: </w:t>
      </w:r>
      <w:r w:rsidRPr="00283806">
        <w:rPr>
          <w:w w:val="105"/>
        </w:rPr>
        <w:t>One commenter stated it is arbitrary and capricious to limit the definition of ‘‘virgin regulated</w:t>
      </w:r>
      <w:r w:rsidRPr="00283806">
        <w:rPr>
          <w:spacing w:val="40"/>
          <w:w w:val="105"/>
        </w:rPr>
        <w:t xml:space="preserve"> </w:t>
      </w:r>
      <w:r w:rsidRPr="00283806">
        <w:rPr>
          <w:w w:val="105"/>
        </w:rPr>
        <w:t>substance’’ to refrigerant without a ‘‘bona fide use’’ in equipment because EPA</w:t>
      </w:r>
      <w:r w:rsidRPr="00283806">
        <w:rPr>
          <w:spacing w:val="40"/>
          <w:w w:val="105"/>
        </w:rPr>
        <w:t xml:space="preserve"> </w:t>
      </w:r>
      <w:r w:rsidRPr="00283806">
        <w:rPr>
          <w:w w:val="105"/>
        </w:rPr>
        <w:t>does</w:t>
      </w:r>
      <w:r w:rsidRPr="00283806">
        <w:rPr>
          <w:spacing w:val="40"/>
          <w:w w:val="105"/>
        </w:rPr>
        <w:t xml:space="preserve"> </w:t>
      </w:r>
      <w:r w:rsidRPr="00283806">
        <w:rPr>
          <w:w w:val="105"/>
        </w:rPr>
        <w:t>not</w:t>
      </w:r>
      <w:r w:rsidRPr="00283806">
        <w:rPr>
          <w:spacing w:val="40"/>
          <w:w w:val="105"/>
        </w:rPr>
        <w:t xml:space="preserve"> </w:t>
      </w:r>
      <w:r w:rsidRPr="00283806">
        <w:rPr>
          <w:w w:val="105"/>
        </w:rPr>
        <w:t>define</w:t>
      </w:r>
      <w:r w:rsidRPr="00283806">
        <w:rPr>
          <w:spacing w:val="40"/>
          <w:w w:val="105"/>
        </w:rPr>
        <w:t xml:space="preserve"> </w:t>
      </w:r>
      <w:r w:rsidRPr="00283806">
        <w:rPr>
          <w:w w:val="105"/>
        </w:rPr>
        <w:t>‘‘bona</w:t>
      </w:r>
      <w:r w:rsidRPr="00283806">
        <w:rPr>
          <w:spacing w:val="40"/>
          <w:w w:val="105"/>
        </w:rPr>
        <w:t xml:space="preserve"> </w:t>
      </w:r>
      <w:r w:rsidRPr="00283806">
        <w:rPr>
          <w:w w:val="105"/>
        </w:rPr>
        <w:t>fide</w:t>
      </w:r>
      <w:r w:rsidRPr="00283806">
        <w:rPr>
          <w:spacing w:val="40"/>
          <w:w w:val="105"/>
        </w:rPr>
        <w:t xml:space="preserve"> </w:t>
      </w:r>
      <w:r w:rsidRPr="00283806">
        <w:rPr>
          <w:w w:val="105"/>
        </w:rPr>
        <w:t xml:space="preserve">use’’ and offers a limited explanation of the term. While the commenter agreed that only refrigerant that was used in an appliance for its intended purpose should qualify as recovered refrigerant, the commenter stated that it is not clear who the compliance obligation to make this determination of ‘‘bona fide use’’ falls on. The commenter further stated that the heel or residue of a container should not by default be considered ‘‘virgin’’ on the basis that it had a bona fide </w:t>
      </w:r>
      <w:proofErr w:type="gramStart"/>
      <w:r w:rsidRPr="00283806">
        <w:rPr>
          <w:w w:val="105"/>
        </w:rPr>
        <w:t>use, but</w:t>
      </w:r>
      <w:proofErr w:type="gramEnd"/>
      <w:r w:rsidRPr="00283806">
        <w:rPr>
          <w:w w:val="105"/>
        </w:rPr>
        <w:t xml:space="preserve"> instead be categorized based on the nature of its origin.</w:t>
      </w:r>
    </w:p>
    <w:p w14:paraId="25F2B1CF" w14:textId="77777777" w:rsidR="00D67C1E" w:rsidRPr="00283806" w:rsidRDefault="001265CA">
      <w:pPr>
        <w:pStyle w:val="BodyText"/>
        <w:spacing w:before="44" w:line="228" w:lineRule="auto"/>
        <w:ind w:left="145" w:firstLine="180"/>
      </w:pPr>
      <w:r w:rsidRPr="00283806">
        <w:rPr>
          <w:w w:val="110"/>
        </w:rPr>
        <w:t xml:space="preserve">Multiple commenters requested that EPA define ‘‘bona fide use.’’ One commenter stated that EPA should define a minimum length of time that </w:t>
      </w:r>
      <w:r w:rsidRPr="00283806">
        <w:rPr>
          <w:spacing w:val="-2"/>
          <w:w w:val="110"/>
        </w:rPr>
        <w:t>refrigerant</w:t>
      </w:r>
      <w:r w:rsidRPr="00283806">
        <w:rPr>
          <w:spacing w:val="-7"/>
          <w:w w:val="110"/>
        </w:rPr>
        <w:t xml:space="preserve"> </w:t>
      </w:r>
      <w:r w:rsidRPr="00283806">
        <w:rPr>
          <w:spacing w:val="-2"/>
          <w:w w:val="110"/>
        </w:rPr>
        <w:t>can</w:t>
      </w:r>
      <w:r w:rsidRPr="00283806">
        <w:rPr>
          <w:spacing w:val="-7"/>
          <w:w w:val="110"/>
        </w:rPr>
        <w:t xml:space="preserve"> </w:t>
      </w:r>
      <w:r w:rsidRPr="00283806">
        <w:rPr>
          <w:spacing w:val="-2"/>
          <w:w w:val="110"/>
        </w:rPr>
        <w:t>be</w:t>
      </w:r>
      <w:r w:rsidRPr="00283806">
        <w:rPr>
          <w:spacing w:val="-7"/>
          <w:w w:val="110"/>
        </w:rPr>
        <w:t xml:space="preserve"> </w:t>
      </w:r>
      <w:r w:rsidRPr="00283806">
        <w:rPr>
          <w:spacing w:val="-2"/>
          <w:w w:val="110"/>
        </w:rPr>
        <w:t>in</w:t>
      </w:r>
      <w:r w:rsidRPr="00283806">
        <w:rPr>
          <w:spacing w:val="-7"/>
          <w:w w:val="110"/>
        </w:rPr>
        <w:t xml:space="preserve"> </w:t>
      </w:r>
      <w:r w:rsidRPr="00283806">
        <w:rPr>
          <w:spacing w:val="-2"/>
          <w:w w:val="110"/>
        </w:rPr>
        <w:t>equipment</w:t>
      </w:r>
      <w:r w:rsidRPr="00283806">
        <w:rPr>
          <w:spacing w:val="-7"/>
          <w:w w:val="110"/>
        </w:rPr>
        <w:t xml:space="preserve"> </w:t>
      </w:r>
      <w:r w:rsidRPr="00283806">
        <w:rPr>
          <w:spacing w:val="-2"/>
          <w:w w:val="110"/>
        </w:rPr>
        <w:t>or</w:t>
      </w:r>
      <w:r w:rsidRPr="00283806">
        <w:rPr>
          <w:spacing w:val="-7"/>
          <w:w w:val="110"/>
        </w:rPr>
        <w:t xml:space="preserve"> </w:t>
      </w:r>
      <w:r w:rsidRPr="00283806">
        <w:rPr>
          <w:spacing w:val="-2"/>
          <w:w w:val="110"/>
        </w:rPr>
        <w:t xml:space="preserve">some </w:t>
      </w:r>
      <w:r w:rsidRPr="00283806">
        <w:rPr>
          <w:w w:val="110"/>
        </w:rPr>
        <w:t>other</w:t>
      </w:r>
      <w:r w:rsidRPr="00283806">
        <w:rPr>
          <w:spacing w:val="-11"/>
          <w:w w:val="110"/>
        </w:rPr>
        <w:t xml:space="preserve"> </w:t>
      </w:r>
      <w:r w:rsidRPr="00283806">
        <w:rPr>
          <w:w w:val="110"/>
        </w:rPr>
        <w:t>objective</w:t>
      </w:r>
      <w:r w:rsidRPr="00283806">
        <w:rPr>
          <w:spacing w:val="-11"/>
          <w:w w:val="110"/>
        </w:rPr>
        <w:t xml:space="preserve"> </w:t>
      </w:r>
      <w:r w:rsidRPr="00283806">
        <w:rPr>
          <w:w w:val="110"/>
        </w:rPr>
        <w:t>criteria</w:t>
      </w:r>
      <w:r w:rsidRPr="00283806">
        <w:rPr>
          <w:spacing w:val="-11"/>
          <w:w w:val="110"/>
        </w:rPr>
        <w:t xml:space="preserve"> </w:t>
      </w:r>
      <w:r w:rsidRPr="00283806">
        <w:rPr>
          <w:w w:val="110"/>
        </w:rPr>
        <w:t>before</w:t>
      </w:r>
      <w:r w:rsidRPr="00283806">
        <w:rPr>
          <w:spacing w:val="-11"/>
          <w:w w:val="110"/>
        </w:rPr>
        <w:t xml:space="preserve"> </w:t>
      </w:r>
      <w:r w:rsidRPr="00283806">
        <w:rPr>
          <w:w w:val="110"/>
        </w:rPr>
        <w:t>it</w:t>
      </w:r>
      <w:r w:rsidRPr="00283806">
        <w:rPr>
          <w:spacing w:val="-11"/>
          <w:w w:val="110"/>
        </w:rPr>
        <w:t xml:space="preserve"> </w:t>
      </w:r>
      <w:r w:rsidRPr="00283806">
        <w:rPr>
          <w:w w:val="110"/>
        </w:rPr>
        <w:t>has</w:t>
      </w:r>
      <w:r w:rsidRPr="00283806">
        <w:rPr>
          <w:spacing w:val="-11"/>
          <w:w w:val="110"/>
        </w:rPr>
        <w:t xml:space="preserve"> </w:t>
      </w:r>
      <w:r w:rsidRPr="00283806">
        <w:rPr>
          <w:w w:val="110"/>
        </w:rPr>
        <w:t>had a ‘‘bona fide use.’’ Another commenter stated</w:t>
      </w:r>
      <w:r w:rsidRPr="00283806">
        <w:rPr>
          <w:spacing w:val="-7"/>
          <w:w w:val="110"/>
        </w:rPr>
        <w:t xml:space="preserve"> </w:t>
      </w:r>
      <w:r w:rsidRPr="00283806">
        <w:rPr>
          <w:w w:val="110"/>
        </w:rPr>
        <w:t>that</w:t>
      </w:r>
      <w:r w:rsidRPr="00283806">
        <w:rPr>
          <w:spacing w:val="-7"/>
          <w:w w:val="110"/>
        </w:rPr>
        <w:t xml:space="preserve"> </w:t>
      </w:r>
      <w:r w:rsidRPr="00283806">
        <w:rPr>
          <w:w w:val="110"/>
        </w:rPr>
        <w:t>the</w:t>
      </w:r>
      <w:r w:rsidRPr="00283806">
        <w:rPr>
          <w:spacing w:val="-7"/>
          <w:w w:val="110"/>
        </w:rPr>
        <w:t xml:space="preserve"> </w:t>
      </w:r>
      <w:r w:rsidRPr="00283806">
        <w:rPr>
          <w:w w:val="110"/>
        </w:rPr>
        <w:t>term</w:t>
      </w:r>
      <w:r w:rsidRPr="00283806">
        <w:rPr>
          <w:spacing w:val="-7"/>
          <w:w w:val="110"/>
        </w:rPr>
        <w:t xml:space="preserve"> </w:t>
      </w:r>
      <w:r w:rsidRPr="00283806">
        <w:rPr>
          <w:w w:val="110"/>
        </w:rPr>
        <w:t>‘‘bona</w:t>
      </w:r>
      <w:r w:rsidRPr="00283806">
        <w:rPr>
          <w:spacing w:val="-7"/>
          <w:w w:val="110"/>
        </w:rPr>
        <w:t xml:space="preserve"> </w:t>
      </w:r>
      <w:r w:rsidRPr="00283806">
        <w:rPr>
          <w:w w:val="110"/>
        </w:rPr>
        <w:t>fide</w:t>
      </w:r>
      <w:r w:rsidRPr="00283806">
        <w:rPr>
          <w:spacing w:val="-7"/>
          <w:w w:val="110"/>
        </w:rPr>
        <w:t xml:space="preserve"> </w:t>
      </w:r>
      <w:r w:rsidRPr="00283806">
        <w:rPr>
          <w:w w:val="110"/>
        </w:rPr>
        <w:t>use’’</w:t>
      </w:r>
      <w:r w:rsidRPr="00283806">
        <w:rPr>
          <w:spacing w:val="-7"/>
          <w:w w:val="110"/>
        </w:rPr>
        <w:t xml:space="preserve"> </w:t>
      </w:r>
      <w:r w:rsidRPr="00283806">
        <w:rPr>
          <w:w w:val="110"/>
        </w:rPr>
        <w:t xml:space="preserve">has never been used in any definition of </w:t>
      </w:r>
      <w:r w:rsidRPr="00283806">
        <w:t>reclaim or reclamation either under title</w:t>
      </w:r>
      <w:r w:rsidRPr="00283806">
        <w:rPr>
          <w:spacing w:val="80"/>
          <w:w w:val="110"/>
        </w:rPr>
        <w:t xml:space="preserve"> </w:t>
      </w:r>
      <w:r w:rsidRPr="00283806">
        <w:rPr>
          <w:w w:val="110"/>
        </w:rPr>
        <w:t>VI of the CAA, the AIM Act, or under</w:t>
      </w:r>
      <w:r w:rsidRPr="00283806">
        <w:rPr>
          <w:spacing w:val="80"/>
          <w:w w:val="110"/>
        </w:rPr>
        <w:t xml:space="preserve"> </w:t>
      </w:r>
      <w:r w:rsidRPr="00283806">
        <w:rPr>
          <w:w w:val="110"/>
        </w:rPr>
        <w:t xml:space="preserve">the Air-Conditioning, Heating, and Refrigeration Institute’s (AHRI) 700 standard for reclamation, and that EPA provides no justification for using the term. Two commenters stated that it is unclear how EPA will determine </w:t>
      </w:r>
      <w:r w:rsidRPr="00283806">
        <w:t>whether refrigerant has had a ‘‘bona fide</w:t>
      </w:r>
      <w:r w:rsidRPr="00283806">
        <w:rPr>
          <w:spacing w:val="40"/>
          <w:w w:val="110"/>
        </w:rPr>
        <w:t xml:space="preserve"> </w:t>
      </w:r>
      <w:proofErr w:type="gramStart"/>
      <w:r w:rsidRPr="00283806">
        <w:rPr>
          <w:w w:val="110"/>
        </w:rPr>
        <w:t>use.’</w:t>
      </w:r>
      <w:proofErr w:type="gramEnd"/>
      <w:r w:rsidRPr="00283806">
        <w:rPr>
          <w:w w:val="110"/>
        </w:rPr>
        <w:t>’ One commenter claimed that not having</w:t>
      </w:r>
      <w:r w:rsidRPr="00283806">
        <w:rPr>
          <w:spacing w:val="-9"/>
          <w:w w:val="110"/>
        </w:rPr>
        <w:t xml:space="preserve"> </w:t>
      </w:r>
      <w:r w:rsidRPr="00283806">
        <w:rPr>
          <w:w w:val="110"/>
        </w:rPr>
        <w:t>a</w:t>
      </w:r>
      <w:r w:rsidRPr="00283806">
        <w:rPr>
          <w:spacing w:val="-9"/>
          <w:w w:val="110"/>
        </w:rPr>
        <w:t xml:space="preserve"> </w:t>
      </w:r>
      <w:r w:rsidRPr="00283806">
        <w:rPr>
          <w:w w:val="110"/>
        </w:rPr>
        <w:t>precise</w:t>
      </w:r>
      <w:r w:rsidRPr="00283806">
        <w:rPr>
          <w:spacing w:val="-9"/>
          <w:w w:val="110"/>
        </w:rPr>
        <w:t xml:space="preserve"> </w:t>
      </w:r>
      <w:r w:rsidRPr="00283806">
        <w:rPr>
          <w:w w:val="110"/>
        </w:rPr>
        <w:t>definition</w:t>
      </w:r>
      <w:r w:rsidRPr="00283806">
        <w:rPr>
          <w:spacing w:val="-9"/>
          <w:w w:val="110"/>
        </w:rPr>
        <w:t xml:space="preserve"> </w:t>
      </w:r>
      <w:r w:rsidRPr="00283806">
        <w:rPr>
          <w:w w:val="110"/>
        </w:rPr>
        <w:t>of</w:t>
      </w:r>
      <w:r w:rsidRPr="00283806">
        <w:rPr>
          <w:spacing w:val="-9"/>
          <w:w w:val="110"/>
        </w:rPr>
        <w:t xml:space="preserve"> </w:t>
      </w:r>
      <w:r w:rsidRPr="00283806">
        <w:rPr>
          <w:w w:val="110"/>
        </w:rPr>
        <w:t>‘‘bona</w:t>
      </w:r>
      <w:r w:rsidRPr="00283806">
        <w:rPr>
          <w:spacing w:val="-9"/>
          <w:w w:val="110"/>
        </w:rPr>
        <w:t xml:space="preserve"> </w:t>
      </w:r>
      <w:r w:rsidRPr="00283806">
        <w:rPr>
          <w:w w:val="110"/>
        </w:rPr>
        <w:t>fide use’’ will undermine the refrigeration industry</w:t>
      </w:r>
      <w:r w:rsidRPr="00283806">
        <w:rPr>
          <w:spacing w:val="-11"/>
          <w:w w:val="110"/>
        </w:rPr>
        <w:t xml:space="preserve"> </w:t>
      </w:r>
      <w:r w:rsidRPr="00283806">
        <w:rPr>
          <w:w w:val="110"/>
        </w:rPr>
        <w:t>and</w:t>
      </w:r>
      <w:r w:rsidRPr="00283806">
        <w:rPr>
          <w:spacing w:val="-11"/>
          <w:w w:val="110"/>
        </w:rPr>
        <w:t xml:space="preserve"> </w:t>
      </w:r>
      <w:r w:rsidRPr="00283806">
        <w:rPr>
          <w:w w:val="110"/>
        </w:rPr>
        <w:t>lead</w:t>
      </w:r>
      <w:r w:rsidRPr="00283806">
        <w:rPr>
          <w:spacing w:val="-11"/>
          <w:w w:val="110"/>
        </w:rPr>
        <w:t xml:space="preserve"> </w:t>
      </w:r>
      <w:r w:rsidRPr="00283806">
        <w:rPr>
          <w:w w:val="110"/>
        </w:rPr>
        <w:t>to</w:t>
      </w:r>
      <w:r w:rsidRPr="00283806">
        <w:rPr>
          <w:spacing w:val="-11"/>
          <w:w w:val="110"/>
        </w:rPr>
        <w:t xml:space="preserve"> </w:t>
      </w:r>
      <w:r w:rsidRPr="00283806">
        <w:rPr>
          <w:w w:val="110"/>
        </w:rPr>
        <w:t>fraud,</w:t>
      </w:r>
      <w:r w:rsidRPr="00283806">
        <w:rPr>
          <w:spacing w:val="-11"/>
          <w:w w:val="110"/>
        </w:rPr>
        <w:t xml:space="preserve"> </w:t>
      </w:r>
      <w:r w:rsidRPr="00283806">
        <w:rPr>
          <w:w w:val="110"/>
        </w:rPr>
        <w:t>since</w:t>
      </w:r>
      <w:r w:rsidRPr="00283806">
        <w:rPr>
          <w:spacing w:val="-11"/>
          <w:w w:val="110"/>
        </w:rPr>
        <w:t xml:space="preserve"> </w:t>
      </w:r>
      <w:r w:rsidRPr="00283806">
        <w:rPr>
          <w:w w:val="110"/>
        </w:rPr>
        <w:t>entities could briefly pass refrigerant through chillers or other equipment and then remove</w:t>
      </w:r>
      <w:r w:rsidRPr="00283806">
        <w:rPr>
          <w:spacing w:val="-5"/>
          <w:w w:val="110"/>
        </w:rPr>
        <w:t xml:space="preserve"> </w:t>
      </w:r>
      <w:r w:rsidRPr="00283806">
        <w:rPr>
          <w:w w:val="110"/>
        </w:rPr>
        <w:t>it,</w:t>
      </w:r>
      <w:r w:rsidRPr="00283806">
        <w:rPr>
          <w:spacing w:val="-5"/>
          <w:w w:val="110"/>
        </w:rPr>
        <w:t xml:space="preserve"> </w:t>
      </w:r>
      <w:r w:rsidRPr="00283806">
        <w:rPr>
          <w:w w:val="110"/>
        </w:rPr>
        <w:t>process</w:t>
      </w:r>
      <w:r w:rsidRPr="00283806">
        <w:rPr>
          <w:spacing w:val="-5"/>
          <w:w w:val="110"/>
        </w:rPr>
        <w:t xml:space="preserve"> </w:t>
      </w:r>
      <w:r w:rsidRPr="00283806">
        <w:rPr>
          <w:w w:val="110"/>
        </w:rPr>
        <w:t>it,</w:t>
      </w:r>
      <w:r w:rsidRPr="00283806">
        <w:rPr>
          <w:spacing w:val="-5"/>
          <w:w w:val="110"/>
        </w:rPr>
        <w:t xml:space="preserve"> </w:t>
      </w:r>
      <w:r w:rsidRPr="00283806">
        <w:rPr>
          <w:w w:val="110"/>
        </w:rPr>
        <w:t>and</w:t>
      </w:r>
      <w:r w:rsidRPr="00283806">
        <w:rPr>
          <w:spacing w:val="-5"/>
          <w:w w:val="110"/>
        </w:rPr>
        <w:t xml:space="preserve"> </w:t>
      </w:r>
      <w:r w:rsidRPr="00283806">
        <w:rPr>
          <w:w w:val="110"/>
        </w:rPr>
        <w:t>send</w:t>
      </w:r>
      <w:r w:rsidRPr="00283806">
        <w:rPr>
          <w:spacing w:val="-5"/>
          <w:w w:val="110"/>
        </w:rPr>
        <w:t xml:space="preserve"> </w:t>
      </w:r>
      <w:r w:rsidRPr="00283806">
        <w:rPr>
          <w:w w:val="110"/>
        </w:rPr>
        <w:t>it</w:t>
      </w:r>
      <w:r w:rsidRPr="00283806">
        <w:rPr>
          <w:spacing w:val="-5"/>
          <w:w w:val="110"/>
        </w:rPr>
        <w:t xml:space="preserve"> </w:t>
      </w:r>
      <w:r w:rsidRPr="00283806">
        <w:rPr>
          <w:w w:val="110"/>
        </w:rPr>
        <w:t>out</w:t>
      </w:r>
      <w:r w:rsidRPr="00283806">
        <w:rPr>
          <w:spacing w:val="-5"/>
          <w:w w:val="110"/>
        </w:rPr>
        <w:t xml:space="preserve"> </w:t>
      </w:r>
      <w:r w:rsidRPr="00283806">
        <w:rPr>
          <w:w w:val="110"/>
        </w:rPr>
        <w:t>for ‘‘AHRI 700 certification.’’ Lastly, one commenter</w:t>
      </w:r>
      <w:r w:rsidRPr="00283806">
        <w:rPr>
          <w:spacing w:val="-11"/>
          <w:w w:val="110"/>
        </w:rPr>
        <w:t xml:space="preserve"> </w:t>
      </w:r>
      <w:r w:rsidRPr="00283806">
        <w:rPr>
          <w:w w:val="110"/>
        </w:rPr>
        <w:t>stated</w:t>
      </w:r>
      <w:r w:rsidRPr="00283806">
        <w:rPr>
          <w:spacing w:val="-11"/>
          <w:w w:val="110"/>
        </w:rPr>
        <w:t xml:space="preserve"> </w:t>
      </w:r>
      <w:r w:rsidRPr="00283806">
        <w:rPr>
          <w:w w:val="110"/>
        </w:rPr>
        <w:t>that</w:t>
      </w:r>
      <w:r w:rsidRPr="00283806">
        <w:rPr>
          <w:spacing w:val="-11"/>
          <w:w w:val="110"/>
        </w:rPr>
        <w:t xml:space="preserve"> </w:t>
      </w:r>
      <w:r w:rsidRPr="00283806">
        <w:rPr>
          <w:w w:val="110"/>
        </w:rPr>
        <w:t>it</w:t>
      </w:r>
      <w:r w:rsidRPr="00283806">
        <w:rPr>
          <w:spacing w:val="-11"/>
          <w:w w:val="110"/>
        </w:rPr>
        <w:t xml:space="preserve"> </w:t>
      </w:r>
      <w:r w:rsidRPr="00283806">
        <w:rPr>
          <w:w w:val="110"/>
        </w:rPr>
        <w:t>is</w:t>
      </w:r>
      <w:r w:rsidRPr="00283806">
        <w:rPr>
          <w:spacing w:val="-11"/>
          <w:w w:val="110"/>
        </w:rPr>
        <w:t xml:space="preserve"> </w:t>
      </w:r>
      <w:r w:rsidRPr="00283806">
        <w:rPr>
          <w:w w:val="110"/>
        </w:rPr>
        <w:t>necessary</w:t>
      </w:r>
      <w:r w:rsidRPr="00283806">
        <w:rPr>
          <w:spacing w:val="-11"/>
          <w:w w:val="110"/>
        </w:rPr>
        <w:t xml:space="preserve"> </w:t>
      </w:r>
      <w:r w:rsidRPr="00283806">
        <w:rPr>
          <w:w w:val="110"/>
        </w:rPr>
        <w:t>to specify the use conditions from which refrigerant</w:t>
      </w:r>
      <w:r w:rsidRPr="00283806">
        <w:rPr>
          <w:spacing w:val="-9"/>
          <w:w w:val="110"/>
        </w:rPr>
        <w:t xml:space="preserve"> </w:t>
      </w:r>
      <w:r w:rsidRPr="00283806">
        <w:rPr>
          <w:w w:val="110"/>
        </w:rPr>
        <w:t>can</w:t>
      </w:r>
      <w:r w:rsidRPr="00283806">
        <w:rPr>
          <w:spacing w:val="-9"/>
          <w:w w:val="110"/>
        </w:rPr>
        <w:t xml:space="preserve"> </w:t>
      </w:r>
      <w:r w:rsidRPr="00283806">
        <w:rPr>
          <w:w w:val="110"/>
        </w:rPr>
        <w:t>be</w:t>
      </w:r>
      <w:r w:rsidRPr="00283806">
        <w:rPr>
          <w:spacing w:val="-9"/>
          <w:w w:val="110"/>
        </w:rPr>
        <w:t xml:space="preserve"> </w:t>
      </w:r>
      <w:r w:rsidRPr="00283806">
        <w:rPr>
          <w:w w:val="110"/>
        </w:rPr>
        <w:t>recovered</w:t>
      </w:r>
      <w:r w:rsidRPr="00283806">
        <w:rPr>
          <w:spacing w:val="-9"/>
          <w:w w:val="110"/>
        </w:rPr>
        <w:t xml:space="preserve"> </w:t>
      </w:r>
      <w:proofErr w:type="gramStart"/>
      <w:r w:rsidRPr="00283806">
        <w:rPr>
          <w:w w:val="110"/>
        </w:rPr>
        <w:t>in</w:t>
      </w:r>
      <w:r w:rsidRPr="00283806">
        <w:rPr>
          <w:spacing w:val="-9"/>
          <w:w w:val="110"/>
        </w:rPr>
        <w:t xml:space="preserve"> </w:t>
      </w:r>
      <w:r w:rsidRPr="00283806">
        <w:rPr>
          <w:w w:val="110"/>
        </w:rPr>
        <w:t>order</w:t>
      </w:r>
      <w:r w:rsidRPr="00283806">
        <w:rPr>
          <w:spacing w:val="-9"/>
          <w:w w:val="110"/>
        </w:rPr>
        <w:t xml:space="preserve"> </w:t>
      </w:r>
      <w:r w:rsidRPr="00283806">
        <w:rPr>
          <w:w w:val="110"/>
        </w:rPr>
        <w:t>to</w:t>
      </w:r>
      <w:proofErr w:type="gramEnd"/>
      <w:r w:rsidRPr="00283806">
        <w:rPr>
          <w:w w:val="110"/>
        </w:rPr>
        <w:t xml:space="preserve"> consider them reclaimed. The commenter asserted this would help avoid the ‘‘potential laundering of</w:t>
      </w:r>
    </w:p>
    <w:p w14:paraId="6A9C175B" w14:textId="77777777" w:rsidR="00D67C1E" w:rsidRPr="00283806" w:rsidRDefault="001265CA">
      <w:pPr>
        <w:pStyle w:val="BodyText"/>
        <w:spacing w:before="3"/>
        <w:ind w:left="0"/>
        <w:rPr>
          <w:sz w:val="14"/>
        </w:rPr>
      </w:pPr>
      <w:r w:rsidRPr="00283806">
        <w:rPr>
          <w:noProof/>
        </w:rPr>
        <mc:AlternateContent>
          <mc:Choice Requires="wps">
            <w:drawing>
              <wp:anchor distT="0" distB="0" distL="0" distR="0" simplePos="0" relativeHeight="251630592" behindDoc="1" locked="0" layoutInCell="1" allowOverlap="1" wp14:anchorId="548AA8E7" wp14:editId="1BC8A57E">
                <wp:simplePos x="0" y="0"/>
                <wp:positionH relativeFrom="page">
                  <wp:posOffset>2819400</wp:posOffset>
                </wp:positionH>
                <wp:positionV relativeFrom="paragraph">
                  <wp:posOffset>121956</wp:posOffset>
                </wp:positionV>
                <wp:extent cx="635000" cy="1270"/>
                <wp:effectExtent l="0" t="0" r="0" b="0"/>
                <wp:wrapTopAndBottom/>
                <wp:docPr id="62" name="Graphic 6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C10B0CF" id="Graphic 62" o:spid="_x0000_s1026" alt="&quot;&quot;" style="position:absolute;margin-left:222pt;margin-top:9.6pt;width:50pt;height:.1pt;z-index:-251685888;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" path="m,l635000,e" filled="f" strokeweight=".5pt">
                <v:path arrowok="t"/>
                <w10:wrap type="topAndBottom" anchorx="page"/>
              </v:shape>
            </w:pict>
          </mc:Fallback>
        </mc:AlternateContent>
      </w:r>
    </w:p>
    <w:p w14:paraId="0138F101" w14:textId="77777777" w:rsidR="00D67C1E" w:rsidRPr="00283806" w:rsidRDefault="001265CA">
      <w:pPr>
        <w:spacing w:before="40" w:line="232" w:lineRule="auto"/>
        <w:ind w:left="145" w:right="38" w:firstLine="140"/>
        <w:rPr>
          <w:sz w:val="14"/>
        </w:rPr>
      </w:pPr>
      <w:r w:rsidRPr="00283806">
        <w:rPr>
          <w:w w:val="105"/>
          <w:position w:val="4"/>
          <w:sz w:val="9"/>
        </w:rPr>
        <w:t xml:space="preserve">49 </w:t>
      </w:r>
      <w:r w:rsidRPr="00283806">
        <w:rPr>
          <w:w w:val="105"/>
          <w:sz w:val="14"/>
        </w:rPr>
        <w:t>EPA held stakeholder meetings for public input</w:t>
      </w:r>
      <w:r w:rsidRPr="00283806">
        <w:rPr>
          <w:spacing w:val="40"/>
          <w:w w:val="105"/>
          <w:sz w:val="14"/>
        </w:rPr>
        <w:t xml:space="preserve"> </w:t>
      </w:r>
      <w:r w:rsidRPr="00283806">
        <w:rPr>
          <w:w w:val="105"/>
          <w:sz w:val="14"/>
        </w:rPr>
        <w:t xml:space="preserve">on November 9, 2022, and March 16, 2023, </w:t>
      </w:r>
      <w:proofErr w:type="gramStart"/>
      <w:r w:rsidRPr="00283806">
        <w:rPr>
          <w:w w:val="105"/>
          <w:sz w:val="14"/>
        </w:rPr>
        <w:t>and also</w:t>
      </w:r>
      <w:proofErr w:type="gramEnd"/>
      <w:r w:rsidRPr="00283806">
        <w:rPr>
          <w:spacing w:val="40"/>
          <w:w w:val="105"/>
          <w:sz w:val="14"/>
        </w:rPr>
        <w:t xml:space="preserve"> </w:t>
      </w:r>
      <w:r w:rsidRPr="00283806">
        <w:rPr>
          <w:w w:val="105"/>
          <w:sz w:val="14"/>
        </w:rPr>
        <w:t>solicited feedback through a webinar for EPA’s</w:t>
      </w:r>
      <w:r w:rsidRPr="00283806">
        <w:rPr>
          <w:spacing w:val="40"/>
          <w:w w:val="105"/>
          <w:sz w:val="14"/>
        </w:rPr>
        <w:t xml:space="preserve"> </w:t>
      </w:r>
      <w:proofErr w:type="spellStart"/>
      <w:r w:rsidRPr="00283806">
        <w:rPr>
          <w:w w:val="105"/>
          <w:sz w:val="14"/>
        </w:rPr>
        <w:t>GreenChill</w:t>
      </w:r>
      <w:proofErr w:type="spellEnd"/>
      <w:r w:rsidRPr="00283806">
        <w:rPr>
          <w:w w:val="105"/>
          <w:sz w:val="14"/>
        </w:rPr>
        <w:t xml:space="preserve"> Partnership program on April 12, 2023.</w:t>
      </w:r>
    </w:p>
    <w:p w14:paraId="008258E8" w14:textId="77777777" w:rsidR="00D67C1E" w:rsidRPr="00283806" w:rsidRDefault="001265CA">
      <w:pPr>
        <w:pStyle w:val="BodyText"/>
        <w:spacing w:before="135" w:line="225" w:lineRule="auto"/>
        <w:ind w:left="154"/>
      </w:pPr>
      <w:r w:rsidRPr="00283806">
        <w:br w:type="column"/>
      </w:r>
      <w:r w:rsidRPr="00283806">
        <w:rPr>
          <w:w w:val="105"/>
        </w:rPr>
        <w:t>newly produced material into the reclamation market.’’</w:t>
      </w:r>
    </w:p>
    <w:p w14:paraId="23996FD6" w14:textId="77777777" w:rsidR="00D67C1E" w:rsidRPr="00283806" w:rsidRDefault="001265CA">
      <w:pPr>
        <w:pStyle w:val="BodyText"/>
        <w:spacing w:line="179" w:lineRule="exact"/>
        <w:ind w:left="334"/>
      </w:pPr>
      <w:r w:rsidRPr="00283806">
        <w:rPr>
          <w:w w:val="105"/>
        </w:rPr>
        <w:t>A</w:t>
      </w:r>
      <w:r w:rsidRPr="00283806">
        <w:rPr>
          <w:spacing w:val="13"/>
          <w:w w:val="105"/>
        </w:rPr>
        <w:t xml:space="preserve"> </w:t>
      </w:r>
      <w:r w:rsidRPr="00283806">
        <w:rPr>
          <w:w w:val="105"/>
        </w:rPr>
        <w:t>few</w:t>
      </w:r>
      <w:r w:rsidRPr="00283806">
        <w:rPr>
          <w:spacing w:val="13"/>
          <w:w w:val="105"/>
        </w:rPr>
        <w:t xml:space="preserve"> </w:t>
      </w:r>
      <w:r w:rsidRPr="00283806">
        <w:rPr>
          <w:w w:val="105"/>
        </w:rPr>
        <w:t>commenters</w:t>
      </w:r>
      <w:r w:rsidRPr="00283806">
        <w:rPr>
          <w:spacing w:val="14"/>
          <w:w w:val="105"/>
        </w:rPr>
        <w:t xml:space="preserve"> </w:t>
      </w:r>
      <w:r w:rsidRPr="00283806">
        <w:rPr>
          <w:w w:val="105"/>
        </w:rPr>
        <w:t>recommended</w:t>
      </w:r>
      <w:r w:rsidRPr="00283806">
        <w:rPr>
          <w:spacing w:val="13"/>
          <w:w w:val="105"/>
        </w:rPr>
        <w:t xml:space="preserve"> </w:t>
      </w:r>
      <w:r w:rsidRPr="00283806">
        <w:rPr>
          <w:spacing w:val="-4"/>
          <w:w w:val="105"/>
        </w:rPr>
        <w:t>that</w:t>
      </w:r>
    </w:p>
    <w:p w14:paraId="50642284" w14:textId="77777777" w:rsidR="00D67C1E" w:rsidRPr="00283806" w:rsidRDefault="001265CA">
      <w:pPr>
        <w:pStyle w:val="BodyText"/>
        <w:spacing w:before="4" w:line="225" w:lineRule="auto"/>
        <w:ind w:left="154" w:right="195"/>
      </w:pPr>
      <w:r w:rsidRPr="00283806">
        <w:rPr>
          <w:w w:val="105"/>
        </w:rPr>
        <w:t xml:space="preserve">EPA </w:t>
      </w:r>
      <w:proofErr w:type="gramStart"/>
      <w:r w:rsidRPr="00283806">
        <w:rPr>
          <w:w w:val="105"/>
        </w:rPr>
        <w:t>distinguish</w:t>
      </w:r>
      <w:proofErr w:type="gramEnd"/>
      <w:r w:rsidRPr="00283806">
        <w:rPr>
          <w:w w:val="105"/>
        </w:rPr>
        <w:t xml:space="preserve"> between virgin refrigerant and recovered heel. One commenter requested that EPA define heel as ‘‘the residual amount of any regulated substance in a disposable cylinder.’’ The commenter stated that residual amounts of regulated</w:t>
      </w:r>
      <w:r w:rsidRPr="00283806">
        <w:rPr>
          <w:spacing w:val="80"/>
          <w:w w:val="105"/>
        </w:rPr>
        <w:t xml:space="preserve"> </w:t>
      </w:r>
      <w:r w:rsidRPr="00283806">
        <w:rPr>
          <w:w w:val="105"/>
        </w:rPr>
        <w:t>substances left in a disposable cylinder that has not had a bona fide use in equipment should be considered a</w:t>
      </w:r>
      <w:r w:rsidRPr="00283806">
        <w:rPr>
          <w:spacing w:val="40"/>
          <w:w w:val="105"/>
        </w:rPr>
        <w:t xml:space="preserve"> </w:t>
      </w:r>
      <w:r w:rsidRPr="00283806">
        <w:rPr>
          <w:w w:val="105"/>
        </w:rPr>
        <w:t>‘‘virgin regulated substance’’ whereas</w:t>
      </w:r>
      <w:r w:rsidRPr="00283806">
        <w:rPr>
          <w:spacing w:val="40"/>
          <w:w w:val="105"/>
        </w:rPr>
        <w:t xml:space="preserve"> </w:t>
      </w:r>
      <w:r w:rsidRPr="00283806">
        <w:rPr>
          <w:w w:val="105"/>
        </w:rPr>
        <w:t>any</w:t>
      </w:r>
      <w:r w:rsidRPr="00283806">
        <w:rPr>
          <w:spacing w:val="40"/>
          <w:w w:val="105"/>
        </w:rPr>
        <w:t xml:space="preserve"> </w:t>
      </w:r>
      <w:r w:rsidRPr="00283806">
        <w:rPr>
          <w:w w:val="105"/>
        </w:rPr>
        <w:t>residual</w:t>
      </w:r>
      <w:r w:rsidRPr="00283806">
        <w:rPr>
          <w:spacing w:val="40"/>
          <w:w w:val="105"/>
        </w:rPr>
        <w:t xml:space="preserve"> </w:t>
      </w:r>
      <w:r w:rsidRPr="00283806">
        <w:rPr>
          <w:w w:val="105"/>
        </w:rPr>
        <w:t>amounts</w:t>
      </w:r>
      <w:r w:rsidRPr="00283806">
        <w:rPr>
          <w:spacing w:val="40"/>
          <w:w w:val="105"/>
        </w:rPr>
        <w:t xml:space="preserve"> </w:t>
      </w:r>
      <w:r w:rsidRPr="00283806">
        <w:rPr>
          <w:w w:val="105"/>
        </w:rPr>
        <w:t>left</w:t>
      </w:r>
      <w:r w:rsidRPr="00283806">
        <w:rPr>
          <w:spacing w:val="40"/>
          <w:w w:val="105"/>
        </w:rPr>
        <w:t xml:space="preserve"> </w:t>
      </w:r>
      <w:r w:rsidRPr="00283806">
        <w:rPr>
          <w:w w:val="105"/>
        </w:rPr>
        <w:t>in</w:t>
      </w:r>
      <w:r w:rsidRPr="00283806">
        <w:rPr>
          <w:spacing w:val="40"/>
          <w:w w:val="105"/>
        </w:rPr>
        <w:t xml:space="preserve"> </w:t>
      </w:r>
      <w:r w:rsidRPr="00283806">
        <w:rPr>
          <w:w w:val="105"/>
        </w:rPr>
        <w:t xml:space="preserve">a disposable cylinder that has had a bona fide use in servicing, repair, or installation should be considered a recoverable substance for reclaim. The commenter remarked that these definitions should only apply to disposable cylinders and </w:t>
      </w:r>
      <w:proofErr w:type="spellStart"/>
      <w:r w:rsidRPr="00283806">
        <w:rPr>
          <w:w w:val="105"/>
        </w:rPr>
        <w:t>not</w:t>
      </w:r>
      <w:proofErr w:type="spellEnd"/>
      <w:r w:rsidRPr="00283806">
        <w:rPr>
          <w:w w:val="105"/>
        </w:rPr>
        <w:t xml:space="preserve"> other types of containers, as those heels are</w:t>
      </w:r>
      <w:r w:rsidRPr="00283806">
        <w:rPr>
          <w:spacing w:val="80"/>
          <w:w w:val="150"/>
        </w:rPr>
        <w:t xml:space="preserve"> </w:t>
      </w:r>
      <w:r w:rsidRPr="00283806">
        <w:rPr>
          <w:w w:val="105"/>
        </w:rPr>
        <w:t>properly accounted for as virgin gas.</w:t>
      </w:r>
    </w:p>
    <w:p w14:paraId="2C8D153B" w14:textId="77777777" w:rsidR="00D67C1E" w:rsidRPr="00283806" w:rsidRDefault="001265CA">
      <w:pPr>
        <w:pStyle w:val="BodyText"/>
        <w:spacing w:line="225" w:lineRule="auto"/>
        <w:ind w:left="154" w:right="231"/>
      </w:pPr>
      <w:r w:rsidRPr="00283806">
        <w:rPr>
          <w:w w:val="105"/>
        </w:rPr>
        <w:t xml:space="preserve">Another commenter </w:t>
      </w:r>
      <w:proofErr w:type="gramStart"/>
      <w:r w:rsidRPr="00283806">
        <w:rPr>
          <w:w w:val="105"/>
        </w:rPr>
        <w:t>suggested</w:t>
      </w:r>
      <w:proofErr w:type="gramEnd"/>
      <w:r w:rsidRPr="00283806">
        <w:rPr>
          <w:w w:val="105"/>
        </w:rPr>
        <w:t xml:space="preserve"> the recovered heel should be considered in the context of cylinders rather than containers to avoid gaming the system of recovering from larger containers.</w:t>
      </w:r>
    </w:p>
    <w:p w14:paraId="3B74508D" w14:textId="77777777" w:rsidR="00D67C1E" w:rsidRPr="00283806" w:rsidRDefault="001265CA">
      <w:pPr>
        <w:pStyle w:val="BodyText"/>
        <w:spacing w:line="225" w:lineRule="auto"/>
        <w:ind w:left="154" w:right="131"/>
      </w:pPr>
      <w:r w:rsidRPr="00283806">
        <w:rPr>
          <w:w w:val="105"/>
        </w:rPr>
        <w:t>Two commenters asserted that EPA should define heel based on how the refrigerant was used or obtained, not on the type of container the refrigerant is</w:t>
      </w:r>
      <w:r w:rsidRPr="00283806">
        <w:rPr>
          <w:spacing w:val="80"/>
          <w:w w:val="105"/>
        </w:rPr>
        <w:t xml:space="preserve"> </w:t>
      </w:r>
      <w:r w:rsidRPr="00283806">
        <w:rPr>
          <w:w w:val="105"/>
        </w:rPr>
        <w:t>in. A commenter gave an example of refrigerant left in an International Organization for Standardization tank or rail car. The commenter stated that</w:t>
      </w:r>
      <w:r w:rsidRPr="00283806">
        <w:rPr>
          <w:spacing w:val="40"/>
          <w:w w:val="105"/>
        </w:rPr>
        <w:t xml:space="preserve"> </w:t>
      </w:r>
      <w:r w:rsidRPr="00283806">
        <w:rPr>
          <w:w w:val="105"/>
        </w:rPr>
        <w:t xml:space="preserve">under EPA’s proposed definition of ‘‘virgin regulated substance,’’ </w:t>
      </w:r>
      <w:proofErr w:type="gramStart"/>
      <w:r w:rsidRPr="00283806">
        <w:rPr>
          <w:w w:val="105"/>
        </w:rPr>
        <w:t>all of</w:t>
      </w:r>
      <w:proofErr w:type="gramEnd"/>
      <w:r w:rsidRPr="00283806">
        <w:rPr>
          <w:w w:val="105"/>
        </w:rPr>
        <w:t xml:space="preserve"> the unused refrigerant in these containers would need to be considered a ‘‘heel’’</w:t>
      </w:r>
      <w:r w:rsidRPr="00283806">
        <w:rPr>
          <w:spacing w:val="40"/>
          <w:w w:val="105"/>
        </w:rPr>
        <w:t xml:space="preserve"> </w:t>
      </w:r>
      <w:r w:rsidRPr="00283806">
        <w:rPr>
          <w:w w:val="105"/>
        </w:rPr>
        <w:t xml:space="preserve">and </w:t>
      </w:r>
      <w:proofErr w:type="gramStart"/>
      <w:r w:rsidRPr="00283806">
        <w:rPr>
          <w:w w:val="105"/>
        </w:rPr>
        <w:t>have to</w:t>
      </w:r>
      <w:proofErr w:type="gramEnd"/>
      <w:r w:rsidRPr="00283806">
        <w:rPr>
          <w:w w:val="105"/>
        </w:rPr>
        <w:t xml:space="preserve"> be reclaimed even though</w:t>
      </w:r>
      <w:r w:rsidRPr="00283806">
        <w:rPr>
          <w:spacing w:val="40"/>
          <w:w w:val="105"/>
        </w:rPr>
        <w:t xml:space="preserve"> </w:t>
      </w:r>
      <w:r w:rsidRPr="00283806">
        <w:rPr>
          <w:w w:val="105"/>
        </w:rPr>
        <w:t>the refrigerant would still have the properties of virgin refrigerant. Another commenter discussed the possibility of large quantities of refrigerant being sent to a reclaimer as ‘‘bona fide heel’’ and asked</w:t>
      </w:r>
      <w:r w:rsidRPr="00283806">
        <w:rPr>
          <w:spacing w:val="40"/>
          <w:w w:val="105"/>
        </w:rPr>
        <w:t xml:space="preserve"> </w:t>
      </w:r>
      <w:r w:rsidRPr="00283806">
        <w:rPr>
          <w:w w:val="105"/>
        </w:rPr>
        <w:t>for</w:t>
      </w:r>
      <w:r w:rsidRPr="00283806">
        <w:rPr>
          <w:spacing w:val="40"/>
          <w:w w:val="105"/>
        </w:rPr>
        <w:t xml:space="preserve"> </w:t>
      </w:r>
      <w:r w:rsidRPr="00283806">
        <w:rPr>
          <w:w w:val="105"/>
        </w:rPr>
        <w:t>clarification</w:t>
      </w:r>
      <w:r w:rsidRPr="00283806">
        <w:rPr>
          <w:spacing w:val="40"/>
          <w:w w:val="105"/>
        </w:rPr>
        <w:t xml:space="preserve"> </w:t>
      </w:r>
      <w:r w:rsidRPr="00283806">
        <w:rPr>
          <w:w w:val="105"/>
        </w:rPr>
        <w:t>on</w:t>
      </w:r>
      <w:r w:rsidRPr="00283806">
        <w:rPr>
          <w:spacing w:val="40"/>
          <w:w w:val="105"/>
        </w:rPr>
        <w:t xml:space="preserve"> </w:t>
      </w:r>
      <w:r w:rsidRPr="00283806">
        <w:rPr>
          <w:w w:val="105"/>
        </w:rPr>
        <w:t>whether</w:t>
      </w:r>
      <w:r w:rsidRPr="00283806">
        <w:rPr>
          <w:spacing w:val="40"/>
          <w:w w:val="105"/>
        </w:rPr>
        <w:t xml:space="preserve"> </w:t>
      </w:r>
      <w:r w:rsidRPr="00283806">
        <w:rPr>
          <w:w w:val="105"/>
        </w:rPr>
        <w:t>a bona fide heel could include the entire contents of a container. One commenter requested that the words ‘‘heel’’ and ‘‘residue’’ both be defined as ‘‘the vapor contents remaining in a container once the last drop of liquid has been</w:t>
      </w:r>
      <w:r w:rsidRPr="00283806">
        <w:rPr>
          <w:spacing w:val="80"/>
          <w:w w:val="105"/>
        </w:rPr>
        <w:t xml:space="preserve"> </w:t>
      </w:r>
      <w:r w:rsidRPr="00283806">
        <w:rPr>
          <w:spacing w:val="-2"/>
          <w:w w:val="105"/>
        </w:rPr>
        <w:t>removed.’’</w:t>
      </w:r>
    </w:p>
    <w:p w14:paraId="7842FC13" w14:textId="77777777" w:rsidR="00D67C1E" w:rsidRPr="00283806" w:rsidRDefault="001265CA">
      <w:pPr>
        <w:spacing w:line="176" w:lineRule="exact"/>
        <w:ind w:left="334"/>
        <w:rPr>
          <w:sz w:val="18"/>
        </w:rPr>
      </w:pPr>
      <w:r w:rsidRPr="00283806">
        <w:rPr>
          <w:rFonts w:ascii="Book Antiqua"/>
          <w:i/>
          <w:w w:val="110"/>
          <w:sz w:val="18"/>
        </w:rPr>
        <w:t>Response:</w:t>
      </w:r>
      <w:r w:rsidRPr="00283806">
        <w:rPr>
          <w:rFonts w:ascii="Book Antiqua"/>
          <w:i/>
          <w:spacing w:val="-6"/>
          <w:w w:val="110"/>
          <w:sz w:val="18"/>
        </w:rPr>
        <w:t xml:space="preserve"> </w:t>
      </w:r>
      <w:r w:rsidRPr="00283806">
        <w:rPr>
          <w:w w:val="110"/>
          <w:sz w:val="18"/>
        </w:rPr>
        <w:t xml:space="preserve">EPA </w:t>
      </w:r>
      <w:proofErr w:type="gramStart"/>
      <w:r w:rsidRPr="00283806">
        <w:rPr>
          <w:w w:val="110"/>
          <w:sz w:val="18"/>
        </w:rPr>
        <w:t>disagrees</w:t>
      </w:r>
      <w:proofErr w:type="gramEnd"/>
      <w:r w:rsidRPr="00283806">
        <w:rPr>
          <w:w w:val="110"/>
          <w:sz w:val="18"/>
        </w:rPr>
        <w:t xml:space="preserve"> that </w:t>
      </w:r>
      <w:r w:rsidRPr="00283806">
        <w:rPr>
          <w:spacing w:val="-2"/>
          <w:w w:val="110"/>
          <w:sz w:val="18"/>
        </w:rPr>
        <w:t>limiting</w:t>
      </w:r>
    </w:p>
    <w:p w14:paraId="3CCD505A" w14:textId="77777777" w:rsidR="00D67C1E" w:rsidRPr="00283806" w:rsidRDefault="001265CA">
      <w:pPr>
        <w:pStyle w:val="BodyText"/>
        <w:spacing w:line="225" w:lineRule="auto"/>
        <w:ind w:left="154" w:right="137"/>
      </w:pPr>
      <w:proofErr w:type="gramStart"/>
      <w:r w:rsidRPr="00283806">
        <w:rPr>
          <w:w w:val="105"/>
        </w:rPr>
        <w:t>the</w:t>
      </w:r>
      <w:proofErr w:type="gramEnd"/>
      <w:r w:rsidRPr="00283806">
        <w:rPr>
          <w:w w:val="105"/>
        </w:rPr>
        <w:t xml:space="preserve"> definition of ‘‘virgin regulated substances’’ to refrigerant that has not had a ‘‘bona fide </w:t>
      </w:r>
      <w:proofErr w:type="gramStart"/>
      <w:r w:rsidRPr="00283806">
        <w:rPr>
          <w:w w:val="105"/>
        </w:rPr>
        <w:t>use’’</w:t>
      </w:r>
      <w:proofErr w:type="gramEnd"/>
      <w:r w:rsidRPr="00283806">
        <w:rPr>
          <w:w w:val="105"/>
        </w:rPr>
        <w:t xml:space="preserve"> in equipment is arbitrary and capricious and, after considering the comments on this topic,</w:t>
      </w:r>
      <w:r w:rsidRPr="00283806">
        <w:rPr>
          <w:spacing w:val="40"/>
          <w:w w:val="105"/>
        </w:rPr>
        <w:t xml:space="preserve"> </w:t>
      </w:r>
      <w:r w:rsidRPr="00283806">
        <w:rPr>
          <w:w w:val="105"/>
        </w:rPr>
        <w:t>is finalizing a definition of ‘‘virgin regulated substance’’ to mean ‘‘any regulated substance that has not had any bona fide use in equipment.’’</w:t>
      </w:r>
      <w:r w:rsidRPr="00283806">
        <w:rPr>
          <w:spacing w:val="40"/>
          <w:w w:val="105"/>
        </w:rPr>
        <w:t xml:space="preserve"> </w:t>
      </w:r>
      <w:r w:rsidRPr="00283806">
        <w:rPr>
          <w:w w:val="105"/>
        </w:rPr>
        <w:t>Commenters did not provide alternate definitions or approaches that would sufficiently address the concerns raised by commenters and stakeholders that</w:t>
      </w:r>
    </w:p>
    <w:p w14:paraId="2B905275"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5" w:space="40"/>
            <w:col w:w="3491" w:space="39"/>
            <w:col w:w="3635"/>
          </w:cols>
        </w:sectPr>
      </w:pPr>
    </w:p>
    <w:p w14:paraId="5AB80A19" w14:textId="77777777" w:rsidR="00D67C1E" w:rsidRPr="00283806" w:rsidRDefault="001265CA">
      <w:pPr>
        <w:pStyle w:val="BodyText"/>
        <w:spacing w:before="131" w:line="232" w:lineRule="auto"/>
        <w:ind w:right="62"/>
      </w:pPr>
      <w:r w:rsidRPr="00283806">
        <w:rPr>
          <w:w w:val="105"/>
        </w:rPr>
        <w:lastRenderedPageBreak/>
        <w:t>entities could briefly pass refrigerant through equipment and claim the refrigerant was recovered. After considering the public input on this</w:t>
      </w:r>
      <w:r w:rsidRPr="00283806">
        <w:rPr>
          <w:spacing w:val="40"/>
          <w:w w:val="105"/>
        </w:rPr>
        <w:t xml:space="preserve"> </w:t>
      </w:r>
      <w:r w:rsidRPr="00283806">
        <w:rPr>
          <w:w w:val="105"/>
        </w:rPr>
        <w:t>issue, the Agency concludes that it is important to finalize a definition of ‘‘virgin regulated substance’’ that indicates that virgin refrigerant is refrigerant that has not had bona fide</w:t>
      </w:r>
      <w:r w:rsidRPr="00283806">
        <w:rPr>
          <w:spacing w:val="80"/>
          <w:w w:val="105"/>
        </w:rPr>
        <w:t xml:space="preserve"> </w:t>
      </w:r>
      <w:r w:rsidRPr="00283806">
        <w:rPr>
          <w:w w:val="105"/>
        </w:rPr>
        <w:t>use in equipment to address these concerns and help ensure the integrity</w:t>
      </w:r>
      <w:r w:rsidRPr="00283806">
        <w:rPr>
          <w:spacing w:val="80"/>
          <w:w w:val="105"/>
        </w:rPr>
        <w:t xml:space="preserve"> </w:t>
      </w:r>
      <w:r w:rsidRPr="00283806">
        <w:rPr>
          <w:w w:val="105"/>
        </w:rPr>
        <w:t xml:space="preserve">of the reclamation requirements. In response to the comment on compliance obligation, EPA notes there is no obligation to </w:t>
      </w:r>
      <w:proofErr w:type="gramStart"/>
      <w:r w:rsidRPr="00283806">
        <w:rPr>
          <w:w w:val="105"/>
        </w:rPr>
        <w:t>make a determination</w:t>
      </w:r>
      <w:proofErr w:type="gramEnd"/>
      <w:r w:rsidRPr="00283806">
        <w:rPr>
          <w:w w:val="105"/>
        </w:rPr>
        <w:t xml:space="preserve"> of bona fide use under the definition itself; however, the definition informs compliance with other regulatory obligations, and to determine the compliance obligation one would need</w:t>
      </w:r>
      <w:r w:rsidRPr="00283806">
        <w:rPr>
          <w:spacing w:val="80"/>
          <w:w w:val="105"/>
        </w:rPr>
        <w:t xml:space="preserve"> </w:t>
      </w:r>
      <w:r w:rsidRPr="00283806">
        <w:rPr>
          <w:w w:val="105"/>
        </w:rPr>
        <w:t xml:space="preserve">to examine the relevant regulatory </w:t>
      </w:r>
      <w:r w:rsidRPr="00283806">
        <w:rPr>
          <w:spacing w:val="-2"/>
          <w:w w:val="105"/>
        </w:rPr>
        <w:t>requirement.</w:t>
      </w:r>
    </w:p>
    <w:p w14:paraId="616858BE" w14:textId="77777777" w:rsidR="00D67C1E" w:rsidRPr="00283806" w:rsidRDefault="001265CA">
      <w:pPr>
        <w:pStyle w:val="BodyText"/>
        <w:spacing w:before="45" w:line="230" w:lineRule="auto"/>
        <w:ind w:right="25" w:firstLine="180"/>
      </w:pPr>
      <w:r w:rsidRPr="00283806">
        <w:rPr>
          <w:w w:val="105"/>
        </w:rPr>
        <w:t>While</w:t>
      </w:r>
      <w:r w:rsidRPr="00283806">
        <w:rPr>
          <w:spacing w:val="40"/>
          <w:w w:val="105"/>
        </w:rPr>
        <w:t xml:space="preserve"> </w:t>
      </w:r>
      <w:r w:rsidRPr="00283806">
        <w:rPr>
          <w:w w:val="105"/>
        </w:rPr>
        <w:t>EPA</w:t>
      </w:r>
      <w:r w:rsidRPr="00283806">
        <w:rPr>
          <w:spacing w:val="40"/>
          <w:w w:val="105"/>
        </w:rPr>
        <w:t xml:space="preserve"> </w:t>
      </w:r>
      <w:r w:rsidRPr="00283806">
        <w:rPr>
          <w:w w:val="105"/>
        </w:rPr>
        <w:t>is</w:t>
      </w:r>
      <w:r w:rsidRPr="00283806">
        <w:rPr>
          <w:spacing w:val="40"/>
          <w:w w:val="105"/>
        </w:rPr>
        <w:t xml:space="preserve"> </w:t>
      </w:r>
      <w:r w:rsidRPr="00283806">
        <w:rPr>
          <w:w w:val="105"/>
        </w:rPr>
        <w:t>not</w:t>
      </w:r>
      <w:r w:rsidRPr="00283806">
        <w:rPr>
          <w:spacing w:val="40"/>
          <w:w w:val="105"/>
        </w:rPr>
        <w:t xml:space="preserve"> </w:t>
      </w:r>
      <w:r w:rsidRPr="00283806">
        <w:rPr>
          <w:w w:val="105"/>
        </w:rPr>
        <w:t>finalizing</w:t>
      </w:r>
      <w:r w:rsidRPr="00283806">
        <w:rPr>
          <w:spacing w:val="40"/>
          <w:w w:val="105"/>
        </w:rPr>
        <w:t xml:space="preserve"> </w:t>
      </w:r>
      <w:r w:rsidRPr="00283806">
        <w:rPr>
          <w:w w:val="105"/>
        </w:rPr>
        <w:t>a definition</w:t>
      </w:r>
      <w:r w:rsidRPr="00283806">
        <w:rPr>
          <w:spacing w:val="40"/>
          <w:w w:val="105"/>
        </w:rPr>
        <w:t xml:space="preserve"> </w:t>
      </w:r>
      <w:r w:rsidRPr="00283806">
        <w:rPr>
          <w:w w:val="105"/>
        </w:rPr>
        <w:t>for</w:t>
      </w:r>
      <w:r w:rsidRPr="00283806">
        <w:rPr>
          <w:spacing w:val="40"/>
          <w:w w:val="105"/>
        </w:rPr>
        <w:t xml:space="preserve"> </w:t>
      </w:r>
      <w:r w:rsidRPr="00283806">
        <w:rPr>
          <w:w w:val="105"/>
        </w:rPr>
        <w:t>‘‘bona</w:t>
      </w:r>
      <w:r w:rsidRPr="00283806">
        <w:rPr>
          <w:spacing w:val="40"/>
          <w:w w:val="105"/>
        </w:rPr>
        <w:t xml:space="preserve"> </w:t>
      </w:r>
      <w:r w:rsidRPr="00283806">
        <w:rPr>
          <w:w w:val="105"/>
        </w:rPr>
        <w:t>fide</w:t>
      </w:r>
      <w:r w:rsidRPr="00283806">
        <w:rPr>
          <w:spacing w:val="40"/>
          <w:w w:val="105"/>
        </w:rPr>
        <w:t xml:space="preserve"> </w:t>
      </w:r>
      <w:r w:rsidRPr="00283806">
        <w:rPr>
          <w:w w:val="105"/>
        </w:rPr>
        <w:t>use’’</w:t>
      </w:r>
      <w:r w:rsidRPr="00283806">
        <w:rPr>
          <w:spacing w:val="40"/>
          <w:w w:val="105"/>
        </w:rPr>
        <w:t xml:space="preserve"> </w:t>
      </w:r>
      <w:r w:rsidRPr="00283806">
        <w:rPr>
          <w:w w:val="105"/>
        </w:rPr>
        <w:t>in</w:t>
      </w:r>
      <w:r w:rsidRPr="00283806">
        <w:rPr>
          <w:spacing w:val="40"/>
          <w:w w:val="105"/>
        </w:rPr>
        <w:t xml:space="preserve"> </w:t>
      </w:r>
      <w:r w:rsidRPr="00283806">
        <w:rPr>
          <w:w w:val="105"/>
        </w:rPr>
        <w:t>this rule, the Agency notes that at a</w:t>
      </w:r>
      <w:r w:rsidRPr="00283806">
        <w:rPr>
          <w:spacing w:val="40"/>
          <w:w w:val="105"/>
        </w:rPr>
        <w:t xml:space="preserve"> </w:t>
      </w:r>
      <w:r w:rsidRPr="00283806">
        <w:rPr>
          <w:w w:val="105"/>
        </w:rPr>
        <w:t>minimum, refrigerant that has had a ‘‘bona fide use’’ is refrigerant that has been used in equipment to transfer heat between materials and then recovered for the purposes of reclamation or disposal.</w:t>
      </w:r>
      <w:r w:rsidRPr="00283806">
        <w:rPr>
          <w:spacing w:val="35"/>
          <w:w w:val="105"/>
        </w:rPr>
        <w:t xml:space="preserve"> </w:t>
      </w:r>
      <w:r w:rsidRPr="00283806">
        <w:rPr>
          <w:w w:val="105"/>
        </w:rPr>
        <w:t>It</w:t>
      </w:r>
      <w:r w:rsidRPr="00283806">
        <w:rPr>
          <w:spacing w:val="35"/>
          <w:w w:val="105"/>
        </w:rPr>
        <w:t xml:space="preserve"> </w:t>
      </w:r>
      <w:r w:rsidRPr="00283806">
        <w:rPr>
          <w:w w:val="105"/>
        </w:rPr>
        <w:t>is</w:t>
      </w:r>
      <w:r w:rsidRPr="00283806">
        <w:rPr>
          <w:spacing w:val="35"/>
          <w:w w:val="105"/>
        </w:rPr>
        <w:t xml:space="preserve"> </w:t>
      </w:r>
      <w:r w:rsidRPr="00283806">
        <w:rPr>
          <w:w w:val="105"/>
        </w:rPr>
        <w:t>EPA’s</w:t>
      </w:r>
      <w:r w:rsidRPr="00283806">
        <w:rPr>
          <w:spacing w:val="35"/>
          <w:w w:val="105"/>
        </w:rPr>
        <w:t xml:space="preserve"> </w:t>
      </w:r>
      <w:r w:rsidRPr="00283806">
        <w:rPr>
          <w:w w:val="105"/>
        </w:rPr>
        <w:t>position</w:t>
      </w:r>
      <w:r w:rsidRPr="00283806">
        <w:rPr>
          <w:spacing w:val="35"/>
          <w:w w:val="105"/>
        </w:rPr>
        <w:t xml:space="preserve"> </w:t>
      </w:r>
      <w:r w:rsidRPr="00283806">
        <w:rPr>
          <w:w w:val="105"/>
        </w:rPr>
        <w:t>that</w:t>
      </w:r>
      <w:r w:rsidRPr="00283806">
        <w:rPr>
          <w:spacing w:val="35"/>
          <w:w w:val="105"/>
        </w:rPr>
        <w:t xml:space="preserve"> </w:t>
      </w:r>
      <w:r w:rsidRPr="00283806">
        <w:rPr>
          <w:w w:val="105"/>
        </w:rPr>
        <w:t>there is no set amount of time that a</w:t>
      </w:r>
      <w:r w:rsidRPr="00283806">
        <w:rPr>
          <w:spacing w:val="40"/>
          <w:w w:val="105"/>
        </w:rPr>
        <w:t xml:space="preserve"> </w:t>
      </w:r>
      <w:r w:rsidRPr="00283806">
        <w:rPr>
          <w:w w:val="105"/>
        </w:rPr>
        <w:t>refrigerant should be used in a system before it is considered to have had a ‘‘bona</w:t>
      </w:r>
      <w:r w:rsidRPr="00283806">
        <w:rPr>
          <w:spacing w:val="40"/>
          <w:w w:val="105"/>
        </w:rPr>
        <w:t xml:space="preserve"> </w:t>
      </w:r>
      <w:r w:rsidRPr="00283806">
        <w:rPr>
          <w:w w:val="105"/>
        </w:rPr>
        <w:t>fide</w:t>
      </w:r>
      <w:r w:rsidRPr="00283806">
        <w:rPr>
          <w:spacing w:val="40"/>
          <w:w w:val="105"/>
        </w:rPr>
        <w:t xml:space="preserve"> </w:t>
      </w:r>
      <w:r w:rsidRPr="00283806">
        <w:rPr>
          <w:w w:val="105"/>
        </w:rPr>
        <w:t>use.’’</w:t>
      </w:r>
      <w:r w:rsidRPr="00283806">
        <w:rPr>
          <w:spacing w:val="40"/>
          <w:w w:val="105"/>
        </w:rPr>
        <w:t xml:space="preserve"> </w:t>
      </w:r>
      <w:r w:rsidRPr="00283806">
        <w:rPr>
          <w:w w:val="105"/>
        </w:rPr>
        <w:t>Since</w:t>
      </w:r>
      <w:r w:rsidRPr="00283806">
        <w:rPr>
          <w:spacing w:val="40"/>
          <w:w w:val="105"/>
        </w:rPr>
        <w:t xml:space="preserve"> </w:t>
      </w:r>
      <w:r w:rsidRPr="00283806">
        <w:rPr>
          <w:w w:val="105"/>
        </w:rPr>
        <w:t>there</w:t>
      </w:r>
      <w:r w:rsidRPr="00283806">
        <w:rPr>
          <w:spacing w:val="40"/>
          <w:w w:val="105"/>
        </w:rPr>
        <w:t xml:space="preserve"> </w:t>
      </w:r>
      <w:r w:rsidRPr="00283806">
        <w:rPr>
          <w:w w:val="105"/>
        </w:rPr>
        <w:t>are</w:t>
      </w:r>
      <w:r w:rsidRPr="00283806">
        <w:rPr>
          <w:spacing w:val="40"/>
          <w:w w:val="105"/>
        </w:rPr>
        <w:t xml:space="preserve"> </w:t>
      </w:r>
      <w:r w:rsidRPr="00283806">
        <w:rPr>
          <w:w w:val="105"/>
        </w:rPr>
        <w:t>a diverse range of applications in which refrigerants are used, and a variety of circumstances around that use, it is not appropriate to define a specific</w:t>
      </w:r>
      <w:r w:rsidRPr="00283806">
        <w:rPr>
          <w:spacing w:val="40"/>
          <w:w w:val="105"/>
        </w:rPr>
        <w:t xml:space="preserve"> </w:t>
      </w:r>
      <w:r w:rsidRPr="00283806">
        <w:rPr>
          <w:w w:val="105"/>
        </w:rPr>
        <w:t>timeframe that applies for all</w:t>
      </w:r>
      <w:r w:rsidRPr="00283806">
        <w:rPr>
          <w:spacing w:val="40"/>
          <w:w w:val="105"/>
        </w:rPr>
        <w:t xml:space="preserve"> </w:t>
      </w:r>
      <w:r w:rsidRPr="00283806">
        <w:rPr>
          <w:w w:val="105"/>
        </w:rPr>
        <w:t xml:space="preserve">refrigerants and applications. However, the amount of time refrigerant is used and other circumstances surrounding its use </w:t>
      </w:r>
      <w:proofErr w:type="gramStart"/>
      <w:r w:rsidRPr="00283806">
        <w:rPr>
          <w:w w:val="105"/>
        </w:rPr>
        <w:t>should together</w:t>
      </w:r>
      <w:proofErr w:type="gramEnd"/>
      <w:r w:rsidRPr="00283806">
        <w:rPr>
          <w:w w:val="105"/>
        </w:rPr>
        <w:t xml:space="preserve"> indicate that the use was for purposes of the equipment’s maintenance or operation, rather than</w:t>
      </w:r>
      <w:r w:rsidRPr="00283806">
        <w:rPr>
          <w:spacing w:val="40"/>
          <w:w w:val="105"/>
        </w:rPr>
        <w:t xml:space="preserve"> </w:t>
      </w:r>
      <w:r w:rsidRPr="00283806">
        <w:rPr>
          <w:w w:val="105"/>
        </w:rPr>
        <w:t>for the purpose of converting or attempting</w:t>
      </w:r>
      <w:r w:rsidRPr="00283806">
        <w:rPr>
          <w:spacing w:val="40"/>
          <w:w w:val="105"/>
        </w:rPr>
        <w:t xml:space="preserve"> </w:t>
      </w:r>
      <w:r w:rsidRPr="00283806">
        <w:rPr>
          <w:w w:val="105"/>
        </w:rPr>
        <w:t>to</w:t>
      </w:r>
      <w:r w:rsidRPr="00283806">
        <w:rPr>
          <w:spacing w:val="40"/>
          <w:w w:val="105"/>
        </w:rPr>
        <w:t xml:space="preserve"> </w:t>
      </w:r>
      <w:r w:rsidRPr="00283806">
        <w:rPr>
          <w:w w:val="105"/>
        </w:rPr>
        <w:t>convert</w:t>
      </w:r>
      <w:r w:rsidRPr="00283806">
        <w:rPr>
          <w:spacing w:val="40"/>
          <w:w w:val="105"/>
        </w:rPr>
        <w:t xml:space="preserve"> </w:t>
      </w:r>
      <w:r w:rsidRPr="00283806">
        <w:rPr>
          <w:w w:val="105"/>
        </w:rPr>
        <w:t>the</w:t>
      </w:r>
      <w:r w:rsidRPr="00283806">
        <w:rPr>
          <w:spacing w:val="40"/>
          <w:w w:val="105"/>
        </w:rPr>
        <w:t xml:space="preserve"> </w:t>
      </w:r>
      <w:r w:rsidRPr="00283806">
        <w:rPr>
          <w:w w:val="105"/>
        </w:rPr>
        <w:t>HFC’s</w:t>
      </w:r>
      <w:r w:rsidRPr="00283806">
        <w:rPr>
          <w:spacing w:val="40"/>
          <w:w w:val="105"/>
        </w:rPr>
        <w:t xml:space="preserve"> </w:t>
      </w:r>
      <w:r w:rsidRPr="00283806">
        <w:rPr>
          <w:w w:val="105"/>
        </w:rPr>
        <w:t>status to a ‘‘used’’ regulated substance and circumvent the requirements of this</w:t>
      </w:r>
      <w:r w:rsidRPr="00283806">
        <w:rPr>
          <w:spacing w:val="80"/>
          <w:w w:val="105"/>
        </w:rPr>
        <w:t xml:space="preserve"> </w:t>
      </w:r>
      <w:r w:rsidRPr="00283806">
        <w:rPr>
          <w:w w:val="105"/>
        </w:rPr>
        <w:t>rule. Examples of ‘‘bona fide use’’ of refrigerant</w:t>
      </w:r>
      <w:r w:rsidRPr="00283806">
        <w:rPr>
          <w:spacing w:val="40"/>
          <w:w w:val="105"/>
        </w:rPr>
        <w:t xml:space="preserve"> </w:t>
      </w:r>
      <w:r w:rsidRPr="00283806">
        <w:rPr>
          <w:w w:val="105"/>
        </w:rPr>
        <w:t>in</w:t>
      </w:r>
      <w:r w:rsidRPr="00283806">
        <w:rPr>
          <w:spacing w:val="40"/>
          <w:w w:val="105"/>
        </w:rPr>
        <w:t xml:space="preserve"> </w:t>
      </w:r>
      <w:r w:rsidRPr="00283806">
        <w:rPr>
          <w:w w:val="105"/>
        </w:rPr>
        <w:t>equipment</w:t>
      </w:r>
      <w:r w:rsidRPr="00283806">
        <w:rPr>
          <w:spacing w:val="40"/>
          <w:w w:val="105"/>
        </w:rPr>
        <w:t xml:space="preserve"> </w:t>
      </w:r>
      <w:r w:rsidRPr="00283806">
        <w:rPr>
          <w:w w:val="105"/>
        </w:rPr>
        <w:t>include,</w:t>
      </w:r>
      <w:r w:rsidRPr="00283806">
        <w:rPr>
          <w:spacing w:val="40"/>
          <w:w w:val="105"/>
        </w:rPr>
        <w:t xml:space="preserve"> </w:t>
      </w:r>
      <w:r w:rsidRPr="00283806">
        <w:rPr>
          <w:w w:val="105"/>
        </w:rPr>
        <w:t>but are not limited to, refrigerant recovered from equipment once the refrigerant becomes contaminated, or refrigerant removed from an appliance due to changes</w:t>
      </w:r>
      <w:r w:rsidRPr="00283806">
        <w:rPr>
          <w:spacing w:val="40"/>
          <w:w w:val="105"/>
        </w:rPr>
        <w:t xml:space="preserve"> </w:t>
      </w:r>
      <w:r w:rsidRPr="00283806">
        <w:rPr>
          <w:w w:val="105"/>
        </w:rPr>
        <w:t>in</w:t>
      </w:r>
      <w:r w:rsidRPr="00283806">
        <w:rPr>
          <w:spacing w:val="40"/>
          <w:w w:val="105"/>
        </w:rPr>
        <w:t xml:space="preserve"> </w:t>
      </w:r>
      <w:r w:rsidRPr="00283806">
        <w:rPr>
          <w:w w:val="105"/>
        </w:rPr>
        <w:t>ambient</w:t>
      </w:r>
      <w:r w:rsidRPr="00283806">
        <w:rPr>
          <w:spacing w:val="40"/>
          <w:w w:val="105"/>
        </w:rPr>
        <w:t xml:space="preserve"> </w:t>
      </w:r>
      <w:r w:rsidRPr="00283806">
        <w:rPr>
          <w:w w:val="105"/>
        </w:rPr>
        <w:t>conditions according to the provisions of seasonal variance in 40 CFR 82.152. Conversely,</w:t>
      </w:r>
      <w:r w:rsidRPr="00283806">
        <w:rPr>
          <w:spacing w:val="80"/>
          <w:w w:val="105"/>
        </w:rPr>
        <w:t xml:space="preserve"> </w:t>
      </w:r>
      <w:r w:rsidRPr="00283806">
        <w:rPr>
          <w:w w:val="105"/>
        </w:rPr>
        <w:t>as indicated previously, passing a regulated substance through equipment and then recovering without an operational reason to do so (</w:t>
      </w:r>
      <w:r w:rsidRPr="00283806">
        <w:rPr>
          <w:rFonts w:ascii="Book Antiqua" w:hAnsi="Book Antiqua"/>
          <w:i/>
          <w:w w:val="105"/>
        </w:rPr>
        <w:t>e.g.,</w:t>
      </w:r>
      <w:r w:rsidRPr="00283806">
        <w:rPr>
          <w:rFonts w:ascii="Book Antiqua" w:hAnsi="Book Antiqua"/>
          <w:i/>
          <w:spacing w:val="80"/>
          <w:w w:val="105"/>
        </w:rPr>
        <w:t xml:space="preserve"> </w:t>
      </w:r>
      <w:r w:rsidRPr="00283806">
        <w:rPr>
          <w:w w:val="105"/>
        </w:rPr>
        <w:t>without an indication of contamination</w:t>
      </w:r>
      <w:r w:rsidRPr="00283806">
        <w:rPr>
          <w:spacing w:val="40"/>
          <w:w w:val="105"/>
        </w:rPr>
        <w:t xml:space="preserve"> </w:t>
      </w:r>
      <w:r w:rsidRPr="00283806">
        <w:rPr>
          <w:w w:val="105"/>
        </w:rPr>
        <w:t>or equipment malfunction), for the purpose of this treating the regulated substance as used, would not be</w:t>
      </w:r>
    </w:p>
    <w:p w14:paraId="7B214DEE" w14:textId="77777777" w:rsidR="00D67C1E" w:rsidRPr="00283806" w:rsidRDefault="001265CA">
      <w:pPr>
        <w:pStyle w:val="BodyText"/>
        <w:spacing w:before="133" w:line="225" w:lineRule="auto"/>
        <w:ind w:left="155" w:right="17"/>
      </w:pPr>
      <w:r w:rsidRPr="00283806">
        <w:br w:type="column"/>
      </w:r>
      <w:r w:rsidRPr="00283806">
        <w:rPr>
          <w:w w:val="105"/>
        </w:rPr>
        <w:t xml:space="preserve">considered bona fide use under this </w:t>
      </w:r>
      <w:r w:rsidRPr="00283806">
        <w:rPr>
          <w:spacing w:val="-2"/>
          <w:w w:val="105"/>
        </w:rPr>
        <w:t>definition.’’</w:t>
      </w:r>
    </w:p>
    <w:p w14:paraId="47B7ACA8" w14:textId="77777777" w:rsidR="00D67C1E" w:rsidRPr="00283806" w:rsidRDefault="001265CA">
      <w:pPr>
        <w:pStyle w:val="BodyText"/>
        <w:spacing w:line="179" w:lineRule="exact"/>
        <w:ind w:left="335"/>
      </w:pPr>
      <w:r w:rsidRPr="00283806">
        <w:rPr>
          <w:w w:val="105"/>
        </w:rPr>
        <w:t>Even</w:t>
      </w:r>
      <w:r w:rsidRPr="00283806">
        <w:rPr>
          <w:spacing w:val="9"/>
          <w:w w:val="105"/>
        </w:rPr>
        <w:t xml:space="preserve"> </w:t>
      </w:r>
      <w:r w:rsidRPr="00283806">
        <w:rPr>
          <w:w w:val="105"/>
        </w:rPr>
        <w:t>assuming</w:t>
      </w:r>
      <w:r w:rsidRPr="00283806">
        <w:rPr>
          <w:spacing w:val="10"/>
          <w:w w:val="105"/>
        </w:rPr>
        <w:t xml:space="preserve"> </w:t>
      </w:r>
      <w:r w:rsidRPr="00283806">
        <w:rPr>
          <w:w w:val="105"/>
        </w:rPr>
        <w:t>the</w:t>
      </w:r>
      <w:r w:rsidRPr="00283806">
        <w:rPr>
          <w:spacing w:val="10"/>
          <w:w w:val="105"/>
        </w:rPr>
        <w:t xml:space="preserve"> </w:t>
      </w:r>
      <w:r w:rsidRPr="00283806">
        <w:rPr>
          <w:w w:val="105"/>
        </w:rPr>
        <w:t>comments</w:t>
      </w:r>
      <w:r w:rsidRPr="00283806">
        <w:rPr>
          <w:spacing w:val="10"/>
          <w:w w:val="105"/>
        </w:rPr>
        <w:t xml:space="preserve"> </w:t>
      </w:r>
      <w:r w:rsidRPr="00283806">
        <w:rPr>
          <w:w w:val="105"/>
        </w:rPr>
        <w:t>that</w:t>
      </w:r>
      <w:r w:rsidRPr="00283806">
        <w:rPr>
          <w:spacing w:val="10"/>
          <w:w w:val="105"/>
        </w:rPr>
        <w:t xml:space="preserve"> </w:t>
      </w:r>
      <w:r w:rsidRPr="00283806">
        <w:rPr>
          <w:spacing w:val="-5"/>
          <w:w w:val="105"/>
        </w:rPr>
        <w:t>the</w:t>
      </w:r>
    </w:p>
    <w:p w14:paraId="6C6772FC" w14:textId="77777777" w:rsidR="00D67C1E" w:rsidRPr="00283806" w:rsidRDefault="001265CA">
      <w:pPr>
        <w:pStyle w:val="BodyText"/>
        <w:spacing w:before="4" w:line="225" w:lineRule="auto"/>
        <w:ind w:left="155"/>
      </w:pPr>
      <w:r w:rsidRPr="00283806">
        <w:rPr>
          <w:w w:val="105"/>
        </w:rPr>
        <w:t xml:space="preserve">term ‘‘bona fide </w:t>
      </w:r>
      <w:proofErr w:type="gramStart"/>
      <w:r w:rsidRPr="00283806">
        <w:rPr>
          <w:w w:val="105"/>
        </w:rPr>
        <w:t>use’’</w:t>
      </w:r>
      <w:proofErr w:type="gramEnd"/>
      <w:r w:rsidRPr="00283806">
        <w:rPr>
          <w:w w:val="105"/>
        </w:rPr>
        <w:t xml:space="preserve"> has not been used previously in other rulemakings or regulatory</w:t>
      </w:r>
      <w:r w:rsidRPr="00283806">
        <w:rPr>
          <w:spacing w:val="40"/>
          <w:w w:val="105"/>
        </w:rPr>
        <w:t xml:space="preserve"> </w:t>
      </w:r>
      <w:r w:rsidRPr="00283806">
        <w:rPr>
          <w:w w:val="105"/>
        </w:rPr>
        <w:t>texts</w:t>
      </w:r>
      <w:r w:rsidRPr="00283806">
        <w:rPr>
          <w:spacing w:val="40"/>
          <w:w w:val="105"/>
        </w:rPr>
        <w:t xml:space="preserve"> </w:t>
      </w:r>
      <w:r w:rsidRPr="00283806">
        <w:rPr>
          <w:w w:val="105"/>
        </w:rPr>
        <w:t>under</w:t>
      </w:r>
      <w:r w:rsidRPr="00283806">
        <w:rPr>
          <w:spacing w:val="40"/>
          <w:w w:val="105"/>
        </w:rPr>
        <w:t xml:space="preserve"> </w:t>
      </w:r>
      <w:r w:rsidRPr="00283806">
        <w:rPr>
          <w:w w:val="105"/>
        </w:rPr>
        <w:t>CAA</w:t>
      </w:r>
      <w:r w:rsidRPr="00283806">
        <w:rPr>
          <w:spacing w:val="40"/>
          <w:w w:val="105"/>
        </w:rPr>
        <w:t xml:space="preserve"> </w:t>
      </w:r>
      <w:r w:rsidRPr="00283806">
        <w:rPr>
          <w:w w:val="105"/>
        </w:rPr>
        <w:t>title</w:t>
      </w:r>
      <w:r w:rsidRPr="00283806">
        <w:rPr>
          <w:spacing w:val="40"/>
          <w:w w:val="105"/>
        </w:rPr>
        <w:t xml:space="preserve"> </w:t>
      </w:r>
      <w:proofErr w:type="gramStart"/>
      <w:r w:rsidRPr="00283806">
        <w:rPr>
          <w:w w:val="105"/>
        </w:rPr>
        <w:t>VI</w:t>
      </w:r>
      <w:proofErr w:type="gramEnd"/>
      <w:r w:rsidRPr="00283806">
        <w:rPr>
          <w:spacing w:val="40"/>
          <w:w w:val="105"/>
        </w:rPr>
        <w:t xml:space="preserve"> </w:t>
      </w:r>
      <w:r w:rsidRPr="00283806">
        <w:rPr>
          <w:w w:val="105"/>
        </w:rPr>
        <w:t>or the</w:t>
      </w:r>
      <w:r w:rsidRPr="00283806">
        <w:rPr>
          <w:spacing w:val="40"/>
          <w:w w:val="105"/>
        </w:rPr>
        <w:t xml:space="preserve"> </w:t>
      </w:r>
      <w:r w:rsidRPr="00283806">
        <w:rPr>
          <w:w w:val="105"/>
        </w:rPr>
        <w:t>AIM</w:t>
      </w:r>
      <w:r w:rsidRPr="00283806">
        <w:rPr>
          <w:spacing w:val="40"/>
          <w:w w:val="105"/>
        </w:rPr>
        <w:t xml:space="preserve"> </w:t>
      </w:r>
      <w:r w:rsidRPr="00283806">
        <w:rPr>
          <w:w w:val="105"/>
        </w:rPr>
        <w:t>Act</w:t>
      </w:r>
      <w:r w:rsidRPr="00283806">
        <w:rPr>
          <w:spacing w:val="40"/>
          <w:w w:val="105"/>
        </w:rPr>
        <w:t xml:space="preserve"> </w:t>
      </w:r>
      <w:r w:rsidRPr="00283806">
        <w:rPr>
          <w:w w:val="105"/>
        </w:rPr>
        <w:t>is</w:t>
      </w:r>
      <w:r w:rsidRPr="00283806">
        <w:rPr>
          <w:spacing w:val="40"/>
          <w:w w:val="105"/>
        </w:rPr>
        <w:t xml:space="preserve"> </w:t>
      </w:r>
      <w:r w:rsidRPr="00283806">
        <w:rPr>
          <w:w w:val="105"/>
        </w:rPr>
        <w:t>true,</w:t>
      </w:r>
      <w:r w:rsidRPr="00283806">
        <w:rPr>
          <w:spacing w:val="40"/>
          <w:w w:val="105"/>
        </w:rPr>
        <w:t xml:space="preserve"> </w:t>
      </w:r>
      <w:r w:rsidRPr="00283806">
        <w:rPr>
          <w:w w:val="105"/>
        </w:rPr>
        <w:t>EPA</w:t>
      </w:r>
      <w:r w:rsidRPr="00283806">
        <w:rPr>
          <w:spacing w:val="40"/>
          <w:w w:val="105"/>
        </w:rPr>
        <w:t xml:space="preserve"> </w:t>
      </w:r>
      <w:r w:rsidRPr="00283806">
        <w:rPr>
          <w:w w:val="105"/>
        </w:rPr>
        <w:t>does</w:t>
      </w:r>
      <w:r w:rsidRPr="00283806">
        <w:rPr>
          <w:spacing w:val="40"/>
          <w:w w:val="105"/>
        </w:rPr>
        <w:t xml:space="preserve"> </w:t>
      </w:r>
      <w:r w:rsidRPr="00283806">
        <w:rPr>
          <w:w w:val="105"/>
        </w:rPr>
        <w:t>not believe that is a reason to not use the term here. EPA’s justification for using the term is to differentiate ‘‘virgin regulated substances’’ from those substances that have been used in equipment for their intended purposes and should no longer be considered</w:t>
      </w:r>
      <w:r w:rsidRPr="00283806">
        <w:rPr>
          <w:spacing w:val="40"/>
          <w:w w:val="105"/>
        </w:rPr>
        <w:t xml:space="preserve"> </w:t>
      </w:r>
      <w:r w:rsidRPr="00283806">
        <w:rPr>
          <w:w w:val="105"/>
        </w:rPr>
        <w:t>virgin refrigerant. Some commenters expressed concern with the definition of recovery because there is the potential that virgin regulated substances would</w:t>
      </w:r>
      <w:r w:rsidRPr="00283806">
        <w:rPr>
          <w:spacing w:val="40"/>
          <w:w w:val="105"/>
        </w:rPr>
        <w:t xml:space="preserve"> </w:t>
      </w:r>
      <w:r w:rsidRPr="00283806">
        <w:rPr>
          <w:w w:val="105"/>
        </w:rPr>
        <w:t>be</w:t>
      </w:r>
      <w:r w:rsidRPr="00283806">
        <w:rPr>
          <w:spacing w:val="40"/>
          <w:w w:val="105"/>
        </w:rPr>
        <w:t xml:space="preserve"> </w:t>
      </w:r>
      <w:r w:rsidRPr="00283806">
        <w:rPr>
          <w:w w:val="105"/>
        </w:rPr>
        <w:t>charged</w:t>
      </w:r>
      <w:r w:rsidRPr="00283806">
        <w:rPr>
          <w:spacing w:val="40"/>
          <w:w w:val="105"/>
        </w:rPr>
        <w:t xml:space="preserve"> </w:t>
      </w:r>
      <w:r w:rsidRPr="00283806">
        <w:rPr>
          <w:w w:val="105"/>
        </w:rPr>
        <w:t>into</w:t>
      </w:r>
      <w:r w:rsidRPr="00283806">
        <w:rPr>
          <w:spacing w:val="40"/>
          <w:w w:val="105"/>
        </w:rPr>
        <w:t xml:space="preserve"> </w:t>
      </w:r>
      <w:r w:rsidRPr="00283806">
        <w:rPr>
          <w:w w:val="105"/>
        </w:rPr>
        <w:t>equipment</w:t>
      </w:r>
      <w:r w:rsidRPr="00283806">
        <w:rPr>
          <w:spacing w:val="40"/>
          <w:w w:val="105"/>
        </w:rPr>
        <w:t xml:space="preserve"> </w:t>
      </w:r>
      <w:r w:rsidRPr="00283806">
        <w:rPr>
          <w:w w:val="105"/>
        </w:rPr>
        <w:t xml:space="preserve">or appliances and then recovered </w:t>
      </w:r>
      <w:proofErr w:type="gramStart"/>
      <w:r w:rsidRPr="00283806">
        <w:rPr>
          <w:w w:val="105"/>
        </w:rPr>
        <w:t>in an attempt to</w:t>
      </w:r>
      <w:proofErr w:type="gramEnd"/>
      <w:r w:rsidRPr="00283806">
        <w:rPr>
          <w:w w:val="105"/>
        </w:rPr>
        <w:t xml:space="preserve"> circumvent regulatory requirements established under this</w:t>
      </w:r>
      <w:r w:rsidRPr="00283806">
        <w:rPr>
          <w:spacing w:val="80"/>
          <w:w w:val="105"/>
        </w:rPr>
        <w:t xml:space="preserve"> </w:t>
      </w:r>
      <w:r w:rsidRPr="00283806">
        <w:rPr>
          <w:w w:val="105"/>
        </w:rPr>
        <w:t>rule. EPA responds that the Agency considers the definition of ‘‘virgin regulated substance’’ for the purposes of these</w:t>
      </w:r>
      <w:r w:rsidRPr="00283806">
        <w:rPr>
          <w:spacing w:val="-2"/>
          <w:w w:val="105"/>
        </w:rPr>
        <w:t xml:space="preserve"> </w:t>
      </w:r>
      <w:r w:rsidRPr="00283806">
        <w:rPr>
          <w:w w:val="105"/>
        </w:rPr>
        <w:t>regulations</w:t>
      </w:r>
      <w:r w:rsidRPr="00283806">
        <w:rPr>
          <w:spacing w:val="-2"/>
          <w:w w:val="105"/>
        </w:rPr>
        <w:t xml:space="preserve"> </w:t>
      </w:r>
      <w:r w:rsidRPr="00283806">
        <w:rPr>
          <w:w w:val="105"/>
        </w:rPr>
        <w:t>under</w:t>
      </w:r>
      <w:r w:rsidRPr="00283806">
        <w:rPr>
          <w:spacing w:val="-2"/>
          <w:w w:val="105"/>
        </w:rPr>
        <w:t xml:space="preserve"> </w:t>
      </w:r>
      <w:r w:rsidRPr="00283806">
        <w:rPr>
          <w:w w:val="105"/>
        </w:rPr>
        <w:t>subsection</w:t>
      </w:r>
      <w:r w:rsidRPr="00283806">
        <w:rPr>
          <w:spacing w:val="-2"/>
          <w:w w:val="105"/>
        </w:rPr>
        <w:t xml:space="preserve"> </w:t>
      </w:r>
      <w:r w:rsidRPr="00283806">
        <w:rPr>
          <w:w w:val="105"/>
        </w:rPr>
        <w:t>(h)</w:t>
      </w:r>
      <w:r w:rsidRPr="00283806">
        <w:rPr>
          <w:spacing w:val="-2"/>
          <w:w w:val="105"/>
        </w:rPr>
        <w:t xml:space="preserve"> </w:t>
      </w:r>
      <w:r w:rsidRPr="00283806">
        <w:rPr>
          <w:w w:val="105"/>
        </w:rPr>
        <w:t>to address those concerns and reiterates that adding refrigerant to an appliance</w:t>
      </w:r>
      <w:r w:rsidRPr="00283806">
        <w:rPr>
          <w:spacing w:val="40"/>
          <w:w w:val="105"/>
        </w:rPr>
        <w:t xml:space="preserve"> </w:t>
      </w:r>
      <w:r w:rsidRPr="00283806">
        <w:rPr>
          <w:w w:val="105"/>
        </w:rPr>
        <w:t xml:space="preserve">for the purpose of recovering it shortly </w:t>
      </w:r>
      <w:proofErr w:type="gramStart"/>
      <w:r w:rsidRPr="00283806">
        <w:rPr>
          <w:w w:val="105"/>
        </w:rPr>
        <w:t>thereafter, and</w:t>
      </w:r>
      <w:proofErr w:type="gramEnd"/>
      <w:r w:rsidRPr="00283806">
        <w:rPr>
          <w:w w:val="105"/>
        </w:rPr>
        <w:t xml:space="preserve"> then considering it</w:t>
      </w:r>
      <w:r w:rsidRPr="00283806">
        <w:rPr>
          <w:spacing w:val="80"/>
          <w:w w:val="105"/>
        </w:rPr>
        <w:t xml:space="preserve"> </w:t>
      </w:r>
      <w:r w:rsidRPr="00283806">
        <w:rPr>
          <w:w w:val="105"/>
        </w:rPr>
        <w:t>‘‘used’’</w:t>
      </w:r>
      <w:r w:rsidRPr="00283806">
        <w:rPr>
          <w:spacing w:val="40"/>
          <w:w w:val="105"/>
        </w:rPr>
        <w:t xml:space="preserve"> </w:t>
      </w:r>
      <w:r w:rsidRPr="00283806">
        <w:rPr>
          <w:w w:val="105"/>
        </w:rPr>
        <w:t>is</w:t>
      </w:r>
      <w:r w:rsidRPr="00283806">
        <w:rPr>
          <w:spacing w:val="40"/>
          <w:w w:val="105"/>
        </w:rPr>
        <w:t xml:space="preserve"> </w:t>
      </w:r>
      <w:r w:rsidRPr="00283806">
        <w:rPr>
          <w:w w:val="105"/>
        </w:rPr>
        <w:t>not</w:t>
      </w:r>
      <w:r w:rsidRPr="00283806">
        <w:rPr>
          <w:spacing w:val="40"/>
          <w:w w:val="105"/>
        </w:rPr>
        <w:t xml:space="preserve"> </w:t>
      </w:r>
      <w:r w:rsidRPr="00283806">
        <w:rPr>
          <w:w w:val="105"/>
        </w:rPr>
        <w:t>considered</w:t>
      </w:r>
      <w:r w:rsidRPr="00283806">
        <w:rPr>
          <w:spacing w:val="40"/>
          <w:w w:val="105"/>
        </w:rPr>
        <w:t xml:space="preserve"> </w:t>
      </w:r>
      <w:r w:rsidRPr="00283806">
        <w:rPr>
          <w:w w:val="105"/>
        </w:rPr>
        <w:t>‘‘bona</w:t>
      </w:r>
      <w:r w:rsidRPr="00283806">
        <w:rPr>
          <w:spacing w:val="40"/>
          <w:w w:val="105"/>
        </w:rPr>
        <w:t xml:space="preserve"> </w:t>
      </w:r>
      <w:r w:rsidRPr="00283806">
        <w:rPr>
          <w:w w:val="105"/>
        </w:rPr>
        <w:t xml:space="preserve">fide </w:t>
      </w:r>
      <w:r w:rsidRPr="00283806">
        <w:rPr>
          <w:spacing w:val="-2"/>
          <w:w w:val="105"/>
        </w:rPr>
        <w:t>use.’’</w:t>
      </w:r>
    </w:p>
    <w:p w14:paraId="57B31219" w14:textId="77777777" w:rsidR="00D67C1E" w:rsidRPr="00283806" w:rsidRDefault="001265CA">
      <w:pPr>
        <w:pStyle w:val="BodyText"/>
        <w:spacing w:line="170" w:lineRule="exact"/>
        <w:ind w:left="335"/>
      </w:pPr>
      <w:r w:rsidRPr="00283806">
        <w:rPr>
          <w:w w:val="105"/>
        </w:rPr>
        <w:t>EPA</w:t>
      </w:r>
      <w:r w:rsidRPr="00283806">
        <w:rPr>
          <w:spacing w:val="14"/>
          <w:w w:val="105"/>
        </w:rPr>
        <w:t xml:space="preserve"> </w:t>
      </w:r>
      <w:r w:rsidRPr="00283806">
        <w:rPr>
          <w:w w:val="105"/>
        </w:rPr>
        <w:t>did</w:t>
      </w:r>
      <w:r w:rsidRPr="00283806">
        <w:rPr>
          <w:spacing w:val="15"/>
          <w:w w:val="105"/>
        </w:rPr>
        <w:t xml:space="preserve"> </w:t>
      </w:r>
      <w:r w:rsidRPr="00283806">
        <w:rPr>
          <w:w w:val="105"/>
        </w:rPr>
        <w:t>not</w:t>
      </w:r>
      <w:r w:rsidRPr="00283806">
        <w:rPr>
          <w:spacing w:val="15"/>
          <w:w w:val="105"/>
        </w:rPr>
        <w:t xml:space="preserve"> </w:t>
      </w:r>
      <w:r w:rsidRPr="00283806">
        <w:rPr>
          <w:w w:val="105"/>
        </w:rPr>
        <w:t>propose</w:t>
      </w:r>
      <w:r w:rsidRPr="00283806">
        <w:rPr>
          <w:spacing w:val="15"/>
          <w:w w:val="105"/>
        </w:rPr>
        <w:t xml:space="preserve"> </w:t>
      </w:r>
      <w:r w:rsidRPr="00283806">
        <w:rPr>
          <w:w w:val="105"/>
        </w:rPr>
        <w:t>and</w:t>
      </w:r>
      <w:r w:rsidRPr="00283806">
        <w:rPr>
          <w:spacing w:val="15"/>
          <w:w w:val="105"/>
        </w:rPr>
        <w:t xml:space="preserve"> </w:t>
      </w:r>
      <w:r w:rsidRPr="00283806">
        <w:rPr>
          <w:w w:val="105"/>
        </w:rPr>
        <w:t>is</w:t>
      </w:r>
      <w:r w:rsidRPr="00283806">
        <w:rPr>
          <w:spacing w:val="15"/>
          <w:w w:val="105"/>
        </w:rPr>
        <w:t xml:space="preserve"> </w:t>
      </w:r>
      <w:r w:rsidRPr="00283806">
        <w:rPr>
          <w:spacing w:val="-5"/>
          <w:w w:val="105"/>
        </w:rPr>
        <w:t>not</w:t>
      </w:r>
    </w:p>
    <w:p w14:paraId="0BCA404C" w14:textId="77777777" w:rsidR="00D67C1E" w:rsidRPr="00283806" w:rsidRDefault="001265CA">
      <w:pPr>
        <w:pStyle w:val="BodyText"/>
        <w:spacing w:before="3" w:line="225" w:lineRule="auto"/>
        <w:ind w:left="155" w:right="136"/>
      </w:pPr>
      <w:r w:rsidRPr="00283806">
        <w:rPr>
          <w:w w:val="105"/>
        </w:rPr>
        <w:t xml:space="preserve">establishing a definition for residue or establishing various definitions for heel based on different types of containers. While in the Economic Impact and Benefits TSD EPA estimates an average </w:t>
      </w:r>
      <w:proofErr w:type="gramStart"/>
      <w:r w:rsidRPr="00283806">
        <w:rPr>
          <w:w w:val="105"/>
        </w:rPr>
        <w:t>refrigerant</w:t>
      </w:r>
      <w:proofErr w:type="gramEnd"/>
      <w:r w:rsidRPr="00283806">
        <w:rPr>
          <w:w w:val="105"/>
        </w:rPr>
        <w:t xml:space="preserve"> heel at a specific percent of</w:t>
      </w:r>
      <w:r w:rsidRPr="00283806">
        <w:rPr>
          <w:spacing w:val="80"/>
          <w:w w:val="105"/>
        </w:rPr>
        <w:t xml:space="preserve"> </w:t>
      </w:r>
      <w:r w:rsidRPr="00283806">
        <w:rPr>
          <w:w w:val="105"/>
        </w:rPr>
        <w:t>a container’s nominal capacity, EPA acknowledges that there may be variations in the amount of HFCs that remain in a container.</w:t>
      </w:r>
    </w:p>
    <w:p w14:paraId="691156B5" w14:textId="77777777" w:rsidR="00D67C1E" w:rsidRPr="00283806" w:rsidRDefault="001265CA">
      <w:pPr>
        <w:pStyle w:val="BodyText"/>
        <w:spacing w:line="177" w:lineRule="exact"/>
        <w:ind w:left="335"/>
      </w:pPr>
      <w:r w:rsidRPr="00283806">
        <w:rPr>
          <w:w w:val="110"/>
        </w:rPr>
        <w:t>The</w:t>
      </w:r>
      <w:r w:rsidRPr="00283806">
        <w:rPr>
          <w:spacing w:val="1"/>
          <w:w w:val="110"/>
        </w:rPr>
        <w:t xml:space="preserve"> </w:t>
      </w:r>
      <w:r w:rsidRPr="00283806">
        <w:rPr>
          <w:w w:val="110"/>
        </w:rPr>
        <w:t>definition</w:t>
      </w:r>
      <w:r w:rsidRPr="00283806">
        <w:rPr>
          <w:spacing w:val="1"/>
          <w:w w:val="110"/>
        </w:rPr>
        <w:t xml:space="preserve"> </w:t>
      </w:r>
      <w:r w:rsidRPr="00283806">
        <w:rPr>
          <w:w w:val="110"/>
        </w:rPr>
        <w:t>of</w:t>
      </w:r>
      <w:r w:rsidRPr="00283806">
        <w:rPr>
          <w:spacing w:val="2"/>
          <w:w w:val="110"/>
        </w:rPr>
        <w:t xml:space="preserve"> </w:t>
      </w:r>
      <w:r w:rsidRPr="00283806">
        <w:rPr>
          <w:w w:val="110"/>
        </w:rPr>
        <w:t>‘‘heel’’</w:t>
      </w:r>
      <w:r w:rsidRPr="00283806">
        <w:rPr>
          <w:spacing w:val="1"/>
          <w:w w:val="110"/>
        </w:rPr>
        <w:t xml:space="preserve"> </w:t>
      </w:r>
      <w:r w:rsidRPr="00283806">
        <w:rPr>
          <w:w w:val="110"/>
        </w:rPr>
        <w:t>in</w:t>
      </w:r>
      <w:r w:rsidRPr="00283806">
        <w:rPr>
          <w:spacing w:val="2"/>
          <w:w w:val="110"/>
        </w:rPr>
        <w:t xml:space="preserve"> </w:t>
      </w:r>
      <w:r w:rsidRPr="00283806">
        <w:rPr>
          <w:w w:val="110"/>
        </w:rPr>
        <w:t>40</w:t>
      </w:r>
      <w:r w:rsidRPr="00283806">
        <w:rPr>
          <w:spacing w:val="1"/>
          <w:w w:val="110"/>
        </w:rPr>
        <w:t xml:space="preserve"> </w:t>
      </w:r>
      <w:r w:rsidRPr="00283806">
        <w:rPr>
          <w:spacing w:val="-5"/>
          <w:w w:val="110"/>
        </w:rPr>
        <w:t>CFR</w:t>
      </w:r>
    </w:p>
    <w:p w14:paraId="5938594F" w14:textId="77777777" w:rsidR="00D67C1E" w:rsidRPr="00283806" w:rsidRDefault="001265CA">
      <w:pPr>
        <w:pStyle w:val="BodyText"/>
        <w:spacing w:before="4" w:line="225" w:lineRule="auto"/>
        <w:ind w:left="155" w:right="62"/>
      </w:pPr>
      <w:r w:rsidRPr="00283806">
        <w:rPr>
          <w:w w:val="105"/>
        </w:rPr>
        <w:t>84.3 to mean ‘‘the amount of a regulated substance that remains in a container after it is discharged or off-loaded (that</w:t>
      </w:r>
      <w:r w:rsidRPr="00283806">
        <w:rPr>
          <w:spacing w:val="80"/>
          <w:w w:val="105"/>
        </w:rPr>
        <w:t xml:space="preserve"> </w:t>
      </w:r>
      <w:r w:rsidRPr="00283806">
        <w:rPr>
          <w:w w:val="105"/>
        </w:rPr>
        <w:t>is no more than 10 percent of the</w:t>
      </w:r>
      <w:r w:rsidRPr="00283806">
        <w:rPr>
          <w:spacing w:val="80"/>
          <w:w w:val="105"/>
        </w:rPr>
        <w:t xml:space="preserve"> </w:t>
      </w:r>
      <w:r w:rsidRPr="00283806">
        <w:rPr>
          <w:w w:val="105"/>
        </w:rPr>
        <w:t>volume of the container)’’ applies to this rulemaking, as EPA is adopting definitions from 40 CFR part 84, subpart A for terms that are not separately defined</w:t>
      </w:r>
      <w:r w:rsidRPr="00283806">
        <w:rPr>
          <w:spacing w:val="40"/>
          <w:w w:val="105"/>
        </w:rPr>
        <w:t xml:space="preserve"> </w:t>
      </w:r>
      <w:r w:rsidRPr="00283806">
        <w:rPr>
          <w:w w:val="105"/>
        </w:rPr>
        <w:t>in</w:t>
      </w:r>
      <w:r w:rsidRPr="00283806">
        <w:rPr>
          <w:spacing w:val="40"/>
          <w:w w:val="105"/>
        </w:rPr>
        <w:t xml:space="preserve"> </w:t>
      </w:r>
      <w:r w:rsidRPr="00283806">
        <w:rPr>
          <w:w w:val="105"/>
        </w:rPr>
        <w:t>this</w:t>
      </w:r>
      <w:r w:rsidRPr="00283806">
        <w:rPr>
          <w:spacing w:val="40"/>
          <w:w w:val="105"/>
        </w:rPr>
        <w:t xml:space="preserve"> </w:t>
      </w:r>
      <w:r w:rsidRPr="00283806">
        <w:rPr>
          <w:w w:val="105"/>
        </w:rPr>
        <w:t>rule.</w:t>
      </w:r>
      <w:r w:rsidRPr="00283806">
        <w:rPr>
          <w:spacing w:val="40"/>
          <w:w w:val="105"/>
        </w:rPr>
        <w:t xml:space="preserve"> </w:t>
      </w:r>
      <w:r w:rsidRPr="00283806">
        <w:rPr>
          <w:w w:val="105"/>
        </w:rPr>
        <w:t>EPA</w:t>
      </w:r>
      <w:r w:rsidRPr="00283806">
        <w:rPr>
          <w:spacing w:val="40"/>
          <w:w w:val="105"/>
        </w:rPr>
        <w:t xml:space="preserve"> </w:t>
      </w:r>
      <w:r w:rsidRPr="00283806">
        <w:rPr>
          <w:w w:val="105"/>
        </w:rPr>
        <w:t>clarifies</w:t>
      </w:r>
      <w:r w:rsidRPr="00283806">
        <w:rPr>
          <w:spacing w:val="40"/>
          <w:w w:val="105"/>
        </w:rPr>
        <w:t xml:space="preserve"> </w:t>
      </w:r>
      <w:r w:rsidRPr="00283806">
        <w:rPr>
          <w:w w:val="105"/>
        </w:rPr>
        <w:t xml:space="preserve">that the heel could never be considered to include more than 10 percent of the container. EPA is not differentiating between refrigerant heels in different types of containers in this rulemaking to maximize the reclamation of refrigerant </w:t>
      </w:r>
      <w:proofErr w:type="gramStart"/>
      <w:r w:rsidRPr="00283806">
        <w:rPr>
          <w:w w:val="105"/>
        </w:rPr>
        <w:t>heel</w:t>
      </w:r>
      <w:proofErr w:type="gramEnd"/>
      <w:r w:rsidRPr="00283806">
        <w:rPr>
          <w:w w:val="105"/>
        </w:rPr>
        <w:t>, except to clarify that the ten</w:t>
      </w:r>
      <w:r w:rsidRPr="00283806">
        <w:rPr>
          <w:spacing w:val="80"/>
          <w:w w:val="105"/>
        </w:rPr>
        <w:t xml:space="preserve"> </w:t>
      </w:r>
      <w:r w:rsidRPr="00283806">
        <w:rPr>
          <w:w w:val="105"/>
        </w:rPr>
        <w:t>percent limit applies regardless of the type of container.</w:t>
      </w:r>
    </w:p>
    <w:p w14:paraId="61C719B1" w14:textId="77777777" w:rsidR="00D67C1E" w:rsidRPr="00283806" w:rsidRDefault="001265CA">
      <w:pPr>
        <w:pStyle w:val="BodyText"/>
        <w:spacing w:line="228" w:lineRule="auto"/>
        <w:ind w:left="155" w:right="71" w:firstLine="180"/>
      </w:pPr>
      <w:r w:rsidRPr="00283806">
        <w:rPr>
          <w:w w:val="105"/>
        </w:rPr>
        <w:t>In response to comments about whether refrigerant should be classified by the nature of its origin, EPA notes</w:t>
      </w:r>
      <w:r w:rsidRPr="00283806">
        <w:rPr>
          <w:spacing w:val="80"/>
          <w:w w:val="105"/>
        </w:rPr>
        <w:t xml:space="preserve"> </w:t>
      </w:r>
      <w:r w:rsidRPr="00283806">
        <w:rPr>
          <w:w w:val="105"/>
        </w:rPr>
        <w:t>that it is distinguishing refrigerant by its prior use, not the type of container it is in. As stated previously, refrigerant that has had bona fide use in equipment</w:t>
      </w:r>
    </w:p>
    <w:p w14:paraId="2E318E04" w14:textId="77777777" w:rsidR="00D67C1E" w:rsidRPr="00283806" w:rsidRDefault="001265CA">
      <w:pPr>
        <w:pStyle w:val="BodyText"/>
        <w:spacing w:before="132" w:line="225" w:lineRule="auto"/>
        <w:ind w:left="144" w:right="122"/>
      </w:pPr>
      <w:r w:rsidRPr="00283806">
        <w:br w:type="column"/>
      </w:r>
      <w:r w:rsidRPr="00283806">
        <w:rPr>
          <w:w w:val="110"/>
        </w:rPr>
        <w:t xml:space="preserve">would be considered recovered material, whereas refrigerant that has not had a bona fide use in equipment would not be considered recovered. In </w:t>
      </w:r>
      <w:r w:rsidRPr="00283806">
        <w:t>response to the comment suggesting that</w:t>
      </w:r>
      <w:r w:rsidRPr="00283806">
        <w:rPr>
          <w:w w:val="110"/>
        </w:rPr>
        <w:t xml:space="preserve"> EPA not specify that refrigerant heel or residue must include only vapor contents in this rulemaking, EPA has decided not to include such a specification, as the Agency</w:t>
      </w:r>
      <w:r w:rsidRPr="00283806">
        <w:rPr>
          <w:spacing w:val="80"/>
          <w:w w:val="110"/>
        </w:rPr>
        <w:t xml:space="preserve"> </w:t>
      </w:r>
      <w:r w:rsidRPr="00283806">
        <w:t>understands that there may be situations</w:t>
      </w:r>
      <w:r w:rsidRPr="00283806">
        <w:rPr>
          <w:w w:val="110"/>
        </w:rPr>
        <w:t xml:space="preserve"> where refrigerant heel is not entirely vapor,</w:t>
      </w:r>
      <w:r w:rsidRPr="00283806">
        <w:rPr>
          <w:spacing w:val="-3"/>
          <w:w w:val="110"/>
        </w:rPr>
        <w:t xml:space="preserve"> </w:t>
      </w:r>
      <w:r w:rsidRPr="00283806">
        <w:rPr>
          <w:w w:val="110"/>
        </w:rPr>
        <w:t>even</w:t>
      </w:r>
      <w:r w:rsidRPr="00283806">
        <w:rPr>
          <w:spacing w:val="-3"/>
          <w:w w:val="110"/>
        </w:rPr>
        <w:t xml:space="preserve"> </w:t>
      </w:r>
      <w:r w:rsidRPr="00283806">
        <w:rPr>
          <w:w w:val="110"/>
        </w:rPr>
        <w:t>if</w:t>
      </w:r>
      <w:r w:rsidRPr="00283806">
        <w:rPr>
          <w:spacing w:val="-3"/>
          <w:w w:val="110"/>
        </w:rPr>
        <w:t xml:space="preserve"> </w:t>
      </w:r>
      <w:r w:rsidRPr="00283806">
        <w:rPr>
          <w:w w:val="110"/>
        </w:rPr>
        <w:t>the</w:t>
      </w:r>
      <w:r w:rsidRPr="00283806">
        <w:rPr>
          <w:spacing w:val="-3"/>
          <w:w w:val="110"/>
        </w:rPr>
        <w:t xml:space="preserve"> </w:t>
      </w:r>
      <w:r w:rsidRPr="00283806">
        <w:rPr>
          <w:w w:val="110"/>
        </w:rPr>
        <w:t>amount</w:t>
      </w:r>
      <w:r w:rsidRPr="00283806">
        <w:rPr>
          <w:spacing w:val="-3"/>
          <w:w w:val="110"/>
        </w:rPr>
        <w:t xml:space="preserve"> </w:t>
      </w:r>
      <w:r w:rsidRPr="00283806">
        <w:rPr>
          <w:w w:val="110"/>
        </w:rPr>
        <w:t>of</w:t>
      </w:r>
      <w:r w:rsidRPr="00283806">
        <w:rPr>
          <w:spacing w:val="-3"/>
          <w:w w:val="110"/>
        </w:rPr>
        <w:t xml:space="preserve"> </w:t>
      </w:r>
      <w:r w:rsidRPr="00283806">
        <w:rPr>
          <w:w w:val="110"/>
        </w:rPr>
        <w:t xml:space="preserve">refrigerant heel remaining in the container is less than 10 percent of the container’s </w:t>
      </w:r>
      <w:r w:rsidRPr="00283806">
        <w:rPr>
          <w:spacing w:val="-2"/>
          <w:w w:val="110"/>
        </w:rPr>
        <w:t>volume.</w:t>
      </w:r>
    </w:p>
    <w:p w14:paraId="3E220CD0" w14:textId="77777777" w:rsidR="00D67C1E" w:rsidRPr="00283806" w:rsidRDefault="001265CA">
      <w:pPr>
        <w:pStyle w:val="ListParagraph"/>
        <w:numPr>
          <w:ilvl w:val="0"/>
          <w:numId w:val="62"/>
        </w:numPr>
        <w:tabs>
          <w:tab w:val="left" w:pos="342"/>
        </w:tabs>
        <w:spacing w:before="92" w:line="225" w:lineRule="auto"/>
        <w:ind w:left="144" w:right="301" w:firstLine="0"/>
        <w:rPr>
          <w:sz w:val="18"/>
        </w:rPr>
      </w:pPr>
      <w:r w:rsidRPr="00283806">
        <w:rPr>
          <w:w w:val="110"/>
          <w:sz w:val="18"/>
        </w:rPr>
        <w:t>What</w:t>
      </w:r>
      <w:r w:rsidRPr="00283806">
        <w:rPr>
          <w:spacing w:val="-11"/>
          <w:w w:val="110"/>
          <w:sz w:val="18"/>
        </w:rPr>
        <w:t xml:space="preserve"> </w:t>
      </w:r>
      <w:r w:rsidRPr="00283806">
        <w:rPr>
          <w:w w:val="110"/>
          <w:sz w:val="18"/>
        </w:rPr>
        <w:t>additional</w:t>
      </w:r>
      <w:r w:rsidRPr="00283806">
        <w:rPr>
          <w:spacing w:val="-11"/>
          <w:w w:val="110"/>
          <w:sz w:val="18"/>
        </w:rPr>
        <w:t xml:space="preserve"> </w:t>
      </w:r>
      <w:r w:rsidRPr="00283806">
        <w:rPr>
          <w:w w:val="110"/>
          <w:sz w:val="18"/>
        </w:rPr>
        <w:t>comments</w:t>
      </w:r>
      <w:r w:rsidRPr="00283806">
        <w:rPr>
          <w:spacing w:val="-11"/>
          <w:w w:val="110"/>
          <w:sz w:val="18"/>
        </w:rPr>
        <w:t xml:space="preserve"> </w:t>
      </w:r>
      <w:r w:rsidRPr="00283806">
        <w:rPr>
          <w:w w:val="110"/>
          <w:sz w:val="18"/>
        </w:rPr>
        <w:t>did</w:t>
      </w:r>
      <w:r w:rsidRPr="00283806">
        <w:rPr>
          <w:spacing w:val="-11"/>
          <w:w w:val="110"/>
          <w:sz w:val="18"/>
        </w:rPr>
        <w:t xml:space="preserve"> </w:t>
      </w:r>
      <w:r w:rsidRPr="00283806">
        <w:rPr>
          <w:w w:val="110"/>
          <w:sz w:val="18"/>
        </w:rPr>
        <w:t>EPA receive on definitions?</w:t>
      </w:r>
    </w:p>
    <w:p w14:paraId="3B526DD7" w14:textId="77777777" w:rsidR="00D67C1E" w:rsidRPr="00283806" w:rsidRDefault="001265CA">
      <w:pPr>
        <w:pStyle w:val="BodyText"/>
        <w:spacing w:before="66" w:line="225" w:lineRule="auto"/>
        <w:ind w:left="144" w:right="172" w:firstLine="180"/>
      </w:pPr>
      <w:r w:rsidRPr="00283806">
        <w:rPr>
          <w:w w:val="105"/>
        </w:rPr>
        <w:t xml:space="preserve">Some commenters suggested that EPA create defined terms that the Agency did not propose. Those terms </w:t>
      </w:r>
      <w:proofErr w:type="gramStart"/>
      <w:r w:rsidRPr="00283806">
        <w:rPr>
          <w:w w:val="105"/>
        </w:rPr>
        <w:t>are:</w:t>
      </w:r>
      <w:proofErr w:type="gramEnd"/>
      <w:r w:rsidRPr="00283806">
        <w:rPr>
          <w:w w:val="105"/>
        </w:rPr>
        <w:t xml:space="preserve"> reclaim, saturated hydrofluorocarbon, regulated substance, substitute, essential use, narrowed use limit, and technology transitions petition. For the reasons discussed in this section, EPA is not establishing definitions for these terms</w:t>
      </w:r>
      <w:r w:rsidRPr="00283806">
        <w:rPr>
          <w:spacing w:val="80"/>
          <w:w w:val="105"/>
        </w:rPr>
        <w:t xml:space="preserve"> </w:t>
      </w:r>
      <w:r w:rsidRPr="00283806">
        <w:rPr>
          <w:w w:val="105"/>
        </w:rPr>
        <w:t>in this action.</w:t>
      </w:r>
    </w:p>
    <w:p w14:paraId="644CA89F" w14:textId="77777777" w:rsidR="00D67C1E" w:rsidRPr="00283806" w:rsidRDefault="001265CA">
      <w:pPr>
        <w:pStyle w:val="BodyText"/>
        <w:spacing w:line="213" w:lineRule="auto"/>
        <w:ind w:left="144" w:right="237" w:firstLine="180"/>
      </w:pPr>
      <w:r w:rsidRPr="00283806">
        <w:rPr>
          <w:rFonts w:ascii="Book Antiqua" w:hAnsi="Book Antiqua"/>
          <w:i/>
          <w:w w:val="105"/>
        </w:rPr>
        <w:t xml:space="preserve">Reclaim: </w:t>
      </w:r>
      <w:r w:rsidRPr="00283806">
        <w:rPr>
          <w:w w:val="105"/>
        </w:rPr>
        <w:t>Multiple commenters requested</w:t>
      </w:r>
      <w:r w:rsidRPr="00283806">
        <w:rPr>
          <w:spacing w:val="19"/>
          <w:w w:val="105"/>
        </w:rPr>
        <w:t xml:space="preserve"> </w:t>
      </w:r>
      <w:r w:rsidRPr="00283806">
        <w:rPr>
          <w:w w:val="105"/>
        </w:rPr>
        <w:t>that</w:t>
      </w:r>
      <w:r w:rsidRPr="00283806">
        <w:rPr>
          <w:spacing w:val="20"/>
          <w:w w:val="105"/>
        </w:rPr>
        <w:t xml:space="preserve"> </w:t>
      </w:r>
      <w:r w:rsidRPr="00283806">
        <w:rPr>
          <w:w w:val="105"/>
        </w:rPr>
        <w:t>EPA</w:t>
      </w:r>
      <w:r w:rsidRPr="00283806">
        <w:rPr>
          <w:spacing w:val="19"/>
          <w:w w:val="105"/>
        </w:rPr>
        <w:t xml:space="preserve"> </w:t>
      </w:r>
      <w:r w:rsidRPr="00283806">
        <w:rPr>
          <w:w w:val="105"/>
        </w:rPr>
        <w:t>define</w:t>
      </w:r>
      <w:r w:rsidRPr="00283806">
        <w:rPr>
          <w:spacing w:val="20"/>
          <w:w w:val="105"/>
        </w:rPr>
        <w:t xml:space="preserve"> </w:t>
      </w:r>
      <w:r w:rsidRPr="00283806">
        <w:rPr>
          <w:w w:val="105"/>
        </w:rPr>
        <w:t>‘‘reclaim’’</w:t>
      </w:r>
      <w:r w:rsidRPr="00283806">
        <w:rPr>
          <w:spacing w:val="19"/>
          <w:w w:val="105"/>
        </w:rPr>
        <w:t xml:space="preserve"> </w:t>
      </w:r>
      <w:r w:rsidRPr="00283806">
        <w:rPr>
          <w:spacing w:val="-5"/>
          <w:w w:val="105"/>
        </w:rPr>
        <w:t>or</w:t>
      </w:r>
    </w:p>
    <w:p w14:paraId="6BEDBB98" w14:textId="77777777" w:rsidR="00D67C1E" w:rsidRPr="00283806" w:rsidRDefault="001265CA">
      <w:pPr>
        <w:pStyle w:val="BodyText"/>
        <w:spacing w:line="225" w:lineRule="auto"/>
        <w:ind w:left="144" w:right="179"/>
      </w:pPr>
      <w:r w:rsidRPr="00283806">
        <w:rPr>
          <w:w w:val="105"/>
        </w:rPr>
        <w:t>a phrase containing the word ‘‘reclaim’’ to improve the clarity of the rule. One commenter claimed that reclaimed refrigerant referred to in 40 CFR 84.112(e) may be refrigerant that either has ‘‘not had bona fide use in</w:t>
      </w:r>
      <w:r w:rsidRPr="00283806">
        <w:rPr>
          <w:spacing w:val="40"/>
          <w:w w:val="105"/>
        </w:rPr>
        <w:t xml:space="preserve"> </w:t>
      </w:r>
      <w:r w:rsidRPr="00283806">
        <w:rPr>
          <w:w w:val="105"/>
        </w:rPr>
        <w:t>equipment’’ or recovered refrigerant (removed from equipment), and that these requirements are not interchangeable because recovered material could be virgin. The</w:t>
      </w:r>
      <w:r w:rsidRPr="00283806">
        <w:rPr>
          <w:spacing w:val="80"/>
          <w:w w:val="105"/>
        </w:rPr>
        <w:t xml:space="preserve"> </w:t>
      </w:r>
      <w:r w:rsidRPr="00283806">
        <w:rPr>
          <w:w w:val="105"/>
        </w:rPr>
        <w:t>commenter asserted that EPA should clarify that reclaimed refrigerant must</w:t>
      </w:r>
      <w:r w:rsidRPr="00283806">
        <w:rPr>
          <w:spacing w:val="40"/>
          <w:w w:val="105"/>
        </w:rPr>
        <w:t xml:space="preserve"> </w:t>
      </w:r>
      <w:r w:rsidRPr="00283806">
        <w:rPr>
          <w:w w:val="105"/>
        </w:rPr>
        <w:t xml:space="preserve">be non-virgin in origin. Another commenter suggested that EPA could consider </w:t>
      </w:r>
      <w:proofErr w:type="gramStart"/>
      <w:r w:rsidRPr="00283806">
        <w:rPr>
          <w:w w:val="105"/>
        </w:rPr>
        <w:t>instituting</w:t>
      </w:r>
      <w:proofErr w:type="gramEnd"/>
      <w:r w:rsidRPr="00283806">
        <w:rPr>
          <w:w w:val="105"/>
        </w:rPr>
        <w:t xml:space="preserve"> a policy in which</w:t>
      </w:r>
      <w:r w:rsidRPr="00283806">
        <w:rPr>
          <w:spacing w:val="80"/>
          <w:w w:val="105"/>
        </w:rPr>
        <w:t xml:space="preserve"> </w:t>
      </w:r>
      <w:r w:rsidRPr="00283806">
        <w:rPr>
          <w:w w:val="105"/>
        </w:rPr>
        <w:t>the amount of material that can be sold by an entity as reclaimed cannot exceed material recovered. Another commenter suggested that EPA should define ‘‘certified reclaimed refrigerant’’ as</w:t>
      </w:r>
      <w:r w:rsidRPr="00283806">
        <w:rPr>
          <w:spacing w:val="40"/>
          <w:w w:val="105"/>
        </w:rPr>
        <w:t xml:space="preserve"> </w:t>
      </w:r>
      <w:r w:rsidRPr="00283806">
        <w:rPr>
          <w:w w:val="105"/>
        </w:rPr>
        <w:t>‘‘used (recovered) refrigerant .</w:t>
      </w:r>
      <w:r w:rsidRPr="00283806">
        <w:rPr>
          <w:spacing w:val="40"/>
          <w:w w:val="105"/>
        </w:rPr>
        <w:t xml:space="preserve"> </w:t>
      </w:r>
      <w:r w:rsidRPr="00283806">
        <w:rPr>
          <w:w w:val="105"/>
        </w:rPr>
        <w:t>.</w:t>
      </w:r>
      <w:r w:rsidRPr="00283806">
        <w:rPr>
          <w:spacing w:val="40"/>
          <w:w w:val="105"/>
        </w:rPr>
        <w:t xml:space="preserve"> </w:t>
      </w:r>
      <w:r w:rsidRPr="00283806">
        <w:rPr>
          <w:w w:val="105"/>
        </w:rPr>
        <w:t>. from</w:t>
      </w:r>
      <w:r w:rsidRPr="00283806">
        <w:rPr>
          <w:spacing w:val="80"/>
          <w:w w:val="105"/>
        </w:rPr>
        <w:t xml:space="preserve"> </w:t>
      </w:r>
      <w:r w:rsidRPr="00283806">
        <w:rPr>
          <w:w w:val="105"/>
        </w:rPr>
        <w:t>a previously operational appliance’’ in line with the California Air Resources Board (CARB) definition.</w:t>
      </w:r>
    </w:p>
    <w:p w14:paraId="1A429C46" w14:textId="77777777" w:rsidR="00D67C1E" w:rsidRPr="00283806" w:rsidRDefault="001265CA">
      <w:pPr>
        <w:pStyle w:val="BodyText"/>
        <w:spacing w:line="225" w:lineRule="auto"/>
        <w:ind w:left="144" w:right="154" w:firstLine="180"/>
      </w:pPr>
      <w:r w:rsidRPr="00283806">
        <w:rPr>
          <w:rFonts w:ascii="Book Antiqua" w:hAnsi="Book Antiqua"/>
          <w:i/>
          <w:w w:val="105"/>
        </w:rPr>
        <w:t>Response:</w:t>
      </w:r>
      <w:r w:rsidRPr="00283806">
        <w:rPr>
          <w:rFonts w:ascii="Book Antiqua" w:hAnsi="Book Antiqua"/>
          <w:i/>
          <w:spacing w:val="40"/>
          <w:w w:val="105"/>
        </w:rPr>
        <w:t xml:space="preserve"> </w:t>
      </w:r>
      <w:r w:rsidRPr="00283806">
        <w:rPr>
          <w:w w:val="105"/>
        </w:rPr>
        <w:t>Subsection</w:t>
      </w:r>
      <w:r w:rsidRPr="00283806">
        <w:rPr>
          <w:spacing w:val="40"/>
          <w:w w:val="105"/>
        </w:rPr>
        <w:t xml:space="preserve"> </w:t>
      </w:r>
      <w:r w:rsidRPr="00283806">
        <w:rPr>
          <w:w w:val="105"/>
        </w:rPr>
        <w:t>(b)(9)</w:t>
      </w:r>
      <w:r w:rsidRPr="00283806">
        <w:rPr>
          <w:spacing w:val="40"/>
          <w:w w:val="105"/>
        </w:rPr>
        <w:t xml:space="preserve"> </w:t>
      </w:r>
      <w:r w:rsidRPr="00283806">
        <w:rPr>
          <w:w w:val="105"/>
        </w:rPr>
        <w:t>of</w:t>
      </w:r>
      <w:r w:rsidRPr="00283806">
        <w:rPr>
          <w:spacing w:val="40"/>
          <w:w w:val="105"/>
        </w:rPr>
        <w:t xml:space="preserve"> </w:t>
      </w:r>
      <w:r w:rsidRPr="00283806">
        <w:rPr>
          <w:w w:val="105"/>
        </w:rPr>
        <w:t>the AIM Act provides a statutory definition for ‘‘reclaim; reclamation.’’ This</w:t>
      </w:r>
      <w:r w:rsidRPr="00283806">
        <w:rPr>
          <w:spacing w:val="40"/>
          <w:w w:val="105"/>
        </w:rPr>
        <w:t xml:space="preserve"> </w:t>
      </w:r>
      <w:r w:rsidRPr="00283806">
        <w:rPr>
          <w:w w:val="105"/>
        </w:rPr>
        <w:t>definition refers to the reprocessing of a recovered</w:t>
      </w:r>
      <w:r w:rsidRPr="00283806">
        <w:rPr>
          <w:spacing w:val="-5"/>
          <w:w w:val="105"/>
        </w:rPr>
        <w:t xml:space="preserve"> </w:t>
      </w:r>
      <w:r w:rsidRPr="00283806">
        <w:rPr>
          <w:w w:val="105"/>
        </w:rPr>
        <w:t>regulated</w:t>
      </w:r>
      <w:r w:rsidRPr="00283806">
        <w:rPr>
          <w:spacing w:val="-5"/>
          <w:w w:val="105"/>
        </w:rPr>
        <w:t xml:space="preserve"> </w:t>
      </w:r>
      <w:r w:rsidRPr="00283806">
        <w:rPr>
          <w:w w:val="105"/>
        </w:rPr>
        <w:t>substance</w:t>
      </w:r>
      <w:r w:rsidRPr="00283806">
        <w:rPr>
          <w:spacing w:val="-5"/>
          <w:w w:val="105"/>
        </w:rPr>
        <w:t xml:space="preserve"> </w:t>
      </w:r>
      <w:r w:rsidRPr="00283806">
        <w:rPr>
          <w:w w:val="105"/>
        </w:rPr>
        <w:t>to</w:t>
      </w:r>
      <w:r w:rsidRPr="00283806">
        <w:rPr>
          <w:spacing w:val="-5"/>
          <w:w w:val="105"/>
        </w:rPr>
        <w:t xml:space="preserve"> </w:t>
      </w:r>
      <w:r w:rsidRPr="00283806">
        <w:rPr>
          <w:w w:val="105"/>
        </w:rPr>
        <w:t>meet</w:t>
      </w:r>
      <w:r w:rsidRPr="00283806">
        <w:rPr>
          <w:spacing w:val="-5"/>
          <w:w w:val="105"/>
        </w:rPr>
        <w:t xml:space="preserve"> </w:t>
      </w:r>
      <w:r w:rsidRPr="00283806">
        <w:rPr>
          <w:w w:val="105"/>
        </w:rPr>
        <w:t>at least the purity described in standard AHRI 700–2016 (or an appropriate successor standard adopted by the Administrator), and that the purity of</w:t>
      </w:r>
      <w:r w:rsidRPr="00283806">
        <w:rPr>
          <w:spacing w:val="80"/>
          <w:w w:val="105"/>
        </w:rPr>
        <w:t xml:space="preserve"> </w:t>
      </w:r>
      <w:r w:rsidRPr="00283806">
        <w:rPr>
          <w:w w:val="105"/>
        </w:rPr>
        <w:t>the reclaimed regulated substances must be verified using, at a minimum, the analytical method described in that standard. EPA promulgated a definition</w:t>
      </w:r>
    </w:p>
    <w:p w14:paraId="0871EC32"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05" w:space="40"/>
            <w:col w:w="3511" w:space="39"/>
            <w:col w:w="3625"/>
          </w:cols>
        </w:sectPr>
      </w:pPr>
    </w:p>
    <w:p w14:paraId="157EE793" w14:textId="77777777" w:rsidR="00D67C1E" w:rsidRPr="00283806" w:rsidRDefault="001265CA">
      <w:pPr>
        <w:pStyle w:val="BodyText"/>
        <w:spacing w:before="136" w:line="225" w:lineRule="auto"/>
        <w:ind w:right="59"/>
      </w:pPr>
      <w:r w:rsidRPr="00283806">
        <w:rPr>
          <w:w w:val="105"/>
        </w:rPr>
        <w:lastRenderedPageBreak/>
        <w:t>for ‘‘reclaim’’ in the Allocation Framework Rule (86 FR 55116, October 5, 2021) that is consistent with the definition provided by the AIM Act and that appears in 40 CFR 84.3. As</w:t>
      </w:r>
      <w:r w:rsidRPr="00283806">
        <w:rPr>
          <w:spacing w:val="80"/>
          <w:w w:val="105"/>
        </w:rPr>
        <w:t xml:space="preserve"> </w:t>
      </w:r>
      <w:r w:rsidRPr="00283806">
        <w:rPr>
          <w:w w:val="105"/>
        </w:rPr>
        <w:t>provided in the regulations established in</w:t>
      </w:r>
      <w:r w:rsidRPr="00283806">
        <w:rPr>
          <w:spacing w:val="33"/>
          <w:w w:val="105"/>
        </w:rPr>
        <w:t xml:space="preserve"> </w:t>
      </w:r>
      <w:r w:rsidRPr="00283806">
        <w:rPr>
          <w:w w:val="105"/>
        </w:rPr>
        <w:t>the</w:t>
      </w:r>
      <w:r w:rsidRPr="00283806">
        <w:rPr>
          <w:spacing w:val="33"/>
          <w:w w:val="105"/>
        </w:rPr>
        <w:t xml:space="preserve"> </w:t>
      </w:r>
      <w:r w:rsidRPr="00283806">
        <w:rPr>
          <w:w w:val="105"/>
        </w:rPr>
        <w:t>final</w:t>
      </w:r>
      <w:r w:rsidRPr="00283806">
        <w:rPr>
          <w:spacing w:val="33"/>
          <w:w w:val="105"/>
        </w:rPr>
        <w:t xml:space="preserve"> </w:t>
      </w:r>
      <w:r w:rsidRPr="00283806">
        <w:rPr>
          <w:w w:val="105"/>
        </w:rPr>
        <w:t>rule,</w:t>
      </w:r>
      <w:r w:rsidRPr="00283806">
        <w:rPr>
          <w:spacing w:val="33"/>
          <w:w w:val="105"/>
        </w:rPr>
        <w:t xml:space="preserve"> </w:t>
      </w:r>
      <w:r w:rsidRPr="00283806">
        <w:rPr>
          <w:w w:val="105"/>
        </w:rPr>
        <w:t>for</w:t>
      </w:r>
      <w:r w:rsidRPr="00283806">
        <w:rPr>
          <w:spacing w:val="33"/>
          <w:w w:val="105"/>
        </w:rPr>
        <w:t xml:space="preserve"> </w:t>
      </w:r>
      <w:r w:rsidRPr="00283806">
        <w:rPr>
          <w:w w:val="105"/>
        </w:rPr>
        <w:t>terms</w:t>
      </w:r>
      <w:r w:rsidRPr="00283806">
        <w:rPr>
          <w:spacing w:val="33"/>
          <w:w w:val="105"/>
        </w:rPr>
        <w:t xml:space="preserve"> </w:t>
      </w:r>
      <w:r w:rsidRPr="00283806">
        <w:rPr>
          <w:w w:val="105"/>
        </w:rPr>
        <w:t>not</w:t>
      </w:r>
      <w:r w:rsidRPr="00283806">
        <w:rPr>
          <w:spacing w:val="33"/>
          <w:w w:val="105"/>
        </w:rPr>
        <w:t xml:space="preserve"> </w:t>
      </w:r>
      <w:r w:rsidRPr="00283806">
        <w:rPr>
          <w:w w:val="105"/>
        </w:rPr>
        <w:t>defined in subpart C but that are defined in section 84.3, the definitions in section</w:t>
      </w:r>
    </w:p>
    <w:p w14:paraId="4086A8BA" w14:textId="77777777" w:rsidR="00D67C1E" w:rsidRPr="00283806" w:rsidRDefault="001265CA">
      <w:pPr>
        <w:pStyle w:val="BodyText"/>
        <w:spacing w:line="225" w:lineRule="auto"/>
      </w:pPr>
      <w:r w:rsidRPr="00283806">
        <w:rPr>
          <w:w w:val="110"/>
        </w:rPr>
        <w:t xml:space="preserve">84.3 shall apply, because the definition in 84.3 is also appropriate for the rule. EPA is not establishing a separate or different definition of ‘‘reclaim’’ in this action. This approach has the further benefit of providing consistency in the use of this term in this action with how it is used in other regulations implementing the AIM Act. Regarding the suggested definition of ‘‘certified reclaimed refrigerant,’’ EPA notes that CARB’s definition of that term includes </w:t>
      </w:r>
      <w:r w:rsidRPr="00283806">
        <w:t>practices meant to ensure that reclaimed</w:t>
      </w:r>
      <w:r w:rsidRPr="00283806">
        <w:rPr>
          <w:spacing w:val="40"/>
        </w:rPr>
        <w:t xml:space="preserve"> </w:t>
      </w:r>
      <w:r w:rsidRPr="00283806">
        <w:t>refrigerant meets certain standards (such</w:t>
      </w:r>
      <w:r w:rsidRPr="00283806">
        <w:rPr>
          <w:w w:val="110"/>
        </w:rPr>
        <w:t xml:space="preserve"> as being from a previously operational appliance).</w:t>
      </w:r>
      <w:r w:rsidRPr="00283806">
        <w:rPr>
          <w:w w:val="110"/>
          <w:position w:val="5"/>
          <w:sz w:val="11"/>
        </w:rPr>
        <w:t>50</w:t>
      </w:r>
      <w:r w:rsidRPr="00283806">
        <w:rPr>
          <w:spacing w:val="40"/>
          <w:w w:val="110"/>
          <w:position w:val="5"/>
          <w:sz w:val="11"/>
        </w:rPr>
        <w:t xml:space="preserve"> </w:t>
      </w:r>
      <w:r w:rsidRPr="00283806">
        <w:rPr>
          <w:w w:val="110"/>
        </w:rPr>
        <w:t>EPA is not finalizing a definition of ‘‘certified reclaimed refrigerant,’’ nor is EPA providing a definition specifying what standards reclaimed refrigerants have to meet beyond what is already required under the AIM Act. In provisions that appear outside of the definition section of the regulations</w:t>
      </w:r>
      <w:r w:rsidRPr="00283806">
        <w:rPr>
          <w:spacing w:val="-11"/>
          <w:w w:val="110"/>
        </w:rPr>
        <w:t xml:space="preserve"> </w:t>
      </w:r>
      <w:r w:rsidRPr="00283806">
        <w:rPr>
          <w:w w:val="110"/>
        </w:rPr>
        <w:t>established</w:t>
      </w:r>
      <w:r w:rsidRPr="00283806">
        <w:rPr>
          <w:spacing w:val="-11"/>
          <w:w w:val="110"/>
        </w:rPr>
        <w:t xml:space="preserve"> </w:t>
      </w:r>
      <w:r w:rsidRPr="00283806">
        <w:rPr>
          <w:w w:val="110"/>
        </w:rPr>
        <w:t>in</w:t>
      </w:r>
      <w:r w:rsidRPr="00283806">
        <w:rPr>
          <w:spacing w:val="-11"/>
          <w:w w:val="110"/>
        </w:rPr>
        <w:t xml:space="preserve"> </w:t>
      </w:r>
      <w:r w:rsidRPr="00283806">
        <w:rPr>
          <w:w w:val="110"/>
        </w:rPr>
        <w:t>this</w:t>
      </w:r>
      <w:r w:rsidRPr="00283806">
        <w:rPr>
          <w:spacing w:val="-11"/>
          <w:w w:val="110"/>
        </w:rPr>
        <w:t xml:space="preserve"> </w:t>
      </w:r>
      <w:r w:rsidRPr="00283806">
        <w:rPr>
          <w:w w:val="110"/>
        </w:rPr>
        <w:t>final</w:t>
      </w:r>
      <w:r w:rsidRPr="00283806">
        <w:rPr>
          <w:spacing w:val="-11"/>
          <w:w w:val="110"/>
        </w:rPr>
        <w:t xml:space="preserve"> </w:t>
      </w:r>
      <w:r w:rsidRPr="00283806">
        <w:rPr>
          <w:w w:val="110"/>
        </w:rPr>
        <w:t xml:space="preserve">rule, </w:t>
      </w:r>
      <w:r w:rsidRPr="00283806">
        <w:rPr>
          <w:spacing w:val="-2"/>
          <w:w w:val="110"/>
        </w:rPr>
        <w:t>EPA</w:t>
      </w:r>
      <w:r w:rsidRPr="00283806">
        <w:rPr>
          <w:spacing w:val="-3"/>
          <w:w w:val="110"/>
        </w:rPr>
        <w:t xml:space="preserve"> </w:t>
      </w:r>
      <w:r w:rsidRPr="00283806">
        <w:rPr>
          <w:spacing w:val="-2"/>
          <w:w w:val="110"/>
        </w:rPr>
        <w:t>is</w:t>
      </w:r>
      <w:r w:rsidRPr="00283806">
        <w:rPr>
          <w:spacing w:val="-3"/>
          <w:w w:val="110"/>
        </w:rPr>
        <w:t xml:space="preserve"> </w:t>
      </w:r>
      <w:r w:rsidRPr="00283806">
        <w:rPr>
          <w:spacing w:val="-2"/>
          <w:w w:val="110"/>
        </w:rPr>
        <w:t>requiring</w:t>
      </w:r>
      <w:r w:rsidRPr="00283806">
        <w:rPr>
          <w:spacing w:val="-3"/>
          <w:w w:val="110"/>
        </w:rPr>
        <w:t xml:space="preserve"> </w:t>
      </w:r>
      <w:r w:rsidRPr="00283806">
        <w:rPr>
          <w:spacing w:val="-2"/>
          <w:w w:val="110"/>
        </w:rPr>
        <w:t>that</w:t>
      </w:r>
      <w:r w:rsidRPr="00283806">
        <w:rPr>
          <w:spacing w:val="-3"/>
          <w:w w:val="110"/>
        </w:rPr>
        <w:t xml:space="preserve"> </w:t>
      </w:r>
      <w:r w:rsidRPr="00283806">
        <w:rPr>
          <w:spacing w:val="-2"/>
          <w:w w:val="110"/>
        </w:rPr>
        <w:t>refrigerant</w:t>
      </w:r>
      <w:r w:rsidRPr="00283806">
        <w:rPr>
          <w:spacing w:val="-3"/>
          <w:w w:val="110"/>
        </w:rPr>
        <w:t xml:space="preserve"> </w:t>
      </w:r>
      <w:r w:rsidRPr="00283806">
        <w:rPr>
          <w:spacing w:val="-2"/>
          <w:w w:val="110"/>
        </w:rPr>
        <w:t xml:space="preserve">contain </w:t>
      </w:r>
      <w:r w:rsidRPr="00283806">
        <w:rPr>
          <w:w w:val="110"/>
        </w:rPr>
        <w:t>no</w:t>
      </w:r>
      <w:r w:rsidRPr="00283806">
        <w:rPr>
          <w:spacing w:val="-11"/>
          <w:w w:val="110"/>
        </w:rPr>
        <w:t xml:space="preserve"> </w:t>
      </w:r>
      <w:r w:rsidRPr="00283806">
        <w:rPr>
          <w:w w:val="110"/>
        </w:rPr>
        <w:t>more</w:t>
      </w:r>
      <w:r w:rsidRPr="00283806">
        <w:rPr>
          <w:spacing w:val="-11"/>
          <w:w w:val="110"/>
        </w:rPr>
        <w:t xml:space="preserve"> </w:t>
      </w:r>
      <w:r w:rsidRPr="00283806">
        <w:rPr>
          <w:w w:val="110"/>
        </w:rPr>
        <w:t>than</w:t>
      </w:r>
      <w:r w:rsidRPr="00283806">
        <w:rPr>
          <w:spacing w:val="-11"/>
          <w:w w:val="110"/>
        </w:rPr>
        <w:t xml:space="preserve"> </w:t>
      </w:r>
      <w:r w:rsidRPr="00283806">
        <w:rPr>
          <w:w w:val="110"/>
        </w:rPr>
        <w:t>15</w:t>
      </w:r>
      <w:r w:rsidRPr="00283806">
        <w:rPr>
          <w:spacing w:val="-11"/>
          <w:w w:val="110"/>
        </w:rPr>
        <w:t xml:space="preserve"> </w:t>
      </w:r>
      <w:r w:rsidRPr="00283806">
        <w:rPr>
          <w:w w:val="110"/>
        </w:rPr>
        <w:t>percent</w:t>
      </w:r>
      <w:r w:rsidRPr="00283806">
        <w:rPr>
          <w:spacing w:val="-11"/>
          <w:w w:val="110"/>
        </w:rPr>
        <w:t xml:space="preserve"> </w:t>
      </w:r>
      <w:r w:rsidRPr="00283806">
        <w:rPr>
          <w:w w:val="110"/>
        </w:rPr>
        <w:t>virgin</w:t>
      </w:r>
      <w:r w:rsidRPr="00283806">
        <w:rPr>
          <w:spacing w:val="-11"/>
          <w:w w:val="110"/>
        </w:rPr>
        <w:t xml:space="preserve"> </w:t>
      </w:r>
      <w:r w:rsidRPr="00283806">
        <w:rPr>
          <w:w w:val="110"/>
        </w:rPr>
        <w:t>material as</w:t>
      </w:r>
      <w:r w:rsidRPr="00283806">
        <w:rPr>
          <w:spacing w:val="-10"/>
          <w:w w:val="110"/>
        </w:rPr>
        <w:t xml:space="preserve"> </w:t>
      </w:r>
      <w:r w:rsidRPr="00283806">
        <w:rPr>
          <w:w w:val="110"/>
        </w:rPr>
        <w:t>specified</w:t>
      </w:r>
      <w:r w:rsidRPr="00283806">
        <w:rPr>
          <w:spacing w:val="-10"/>
          <w:w w:val="110"/>
        </w:rPr>
        <w:t xml:space="preserve"> </w:t>
      </w:r>
      <w:r w:rsidRPr="00283806">
        <w:rPr>
          <w:w w:val="110"/>
        </w:rPr>
        <w:t>in</w:t>
      </w:r>
      <w:r w:rsidRPr="00283806">
        <w:rPr>
          <w:spacing w:val="-10"/>
          <w:w w:val="110"/>
        </w:rPr>
        <w:t xml:space="preserve"> </w:t>
      </w:r>
      <w:r w:rsidRPr="00283806">
        <w:rPr>
          <w:w w:val="110"/>
        </w:rPr>
        <w:t>the</w:t>
      </w:r>
      <w:r w:rsidRPr="00283806">
        <w:rPr>
          <w:spacing w:val="-10"/>
          <w:w w:val="110"/>
        </w:rPr>
        <w:t xml:space="preserve"> </w:t>
      </w:r>
      <w:r w:rsidRPr="00283806">
        <w:rPr>
          <w:w w:val="110"/>
        </w:rPr>
        <w:t>reclamation</w:t>
      </w:r>
      <w:r w:rsidRPr="00283806">
        <w:rPr>
          <w:spacing w:val="-10"/>
          <w:w w:val="110"/>
        </w:rPr>
        <w:t xml:space="preserve"> </w:t>
      </w:r>
      <w:r w:rsidRPr="00283806">
        <w:rPr>
          <w:w w:val="110"/>
        </w:rPr>
        <w:t>standard found in 40 CFR 84.112(a) and that reclaimed refrigerant must meet AHRI standards or other applicable purity specifications.</w:t>
      </w:r>
      <w:r w:rsidRPr="00283806">
        <w:rPr>
          <w:spacing w:val="-11"/>
          <w:w w:val="110"/>
        </w:rPr>
        <w:t xml:space="preserve"> </w:t>
      </w:r>
      <w:r w:rsidRPr="00283806">
        <w:rPr>
          <w:w w:val="110"/>
        </w:rPr>
        <w:t>Because</w:t>
      </w:r>
      <w:r w:rsidRPr="00283806">
        <w:rPr>
          <w:spacing w:val="-11"/>
          <w:w w:val="110"/>
        </w:rPr>
        <w:t xml:space="preserve"> </w:t>
      </w:r>
      <w:r w:rsidRPr="00283806">
        <w:rPr>
          <w:w w:val="110"/>
        </w:rPr>
        <w:t>these</w:t>
      </w:r>
      <w:r w:rsidRPr="00283806">
        <w:rPr>
          <w:spacing w:val="-11"/>
          <w:w w:val="110"/>
        </w:rPr>
        <w:t xml:space="preserve"> </w:t>
      </w:r>
      <w:r w:rsidRPr="00283806">
        <w:rPr>
          <w:w w:val="110"/>
        </w:rPr>
        <w:t>provisions address</w:t>
      </w:r>
      <w:r w:rsidRPr="00283806">
        <w:rPr>
          <w:spacing w:val="-5"/>
          <w:w w:val="110"/>
        </w:rPr>
        <w:t xml:space="preserve"> </w:t>
      </w:r>
      <w:r w:rsidRPr="00283806">
        <w:rPr>
          <w:w w:val="110"/>
        </w:rPr>
        <w:t>the</w:t>
      </w:r>
      <w:r w:rsidRPr="00283806">
        <w:rPr>
          <w:spacing w:val="-5"/>
          <w:w w:val="110"/>
        </w:rPr>
        <w:t xml:space="preserve"> </w:t>
      </w:r>
      <w:r w:rsidRPr="00283806">
        <w:rPr>
          <w:w w:val="110"/>
        </w:rPr>
        <w:t>standards</w:t>
      </w:r>
      <w:r w:rsidRPr="00283806">
        <w:rPr>
          <w:spacing w:val="-5"/>
          <w:w w:val="110"/>
        </w:rPr>
        <w:t xml:space="preserve"> </w:t>
      </w:r>
      <w:r w:rsidRPr="00283806">
        <w:rPr>
          <w:w w:val="110"/>
        </w:rPr>
        <w:t>that</w:t>
      </w:r>
      <w:r w:rsidRPr="00283806">
        <w:rPr>
          <w:spacing w:val="-5"/>
          <w:w w:val="110"/>
        </w:rPr>
        <w:t xml:space="preserve"> </w:t>
      </w:r>
      <w:r w:rsidRPr="00283806">
        <w:rPr>
          <w:w w:val="110"/>
        </w:rPr>
        <w:t>would</w:t>
      </w:r>
      <w:r w:rsidRPr="00283806">
        <w:rPr>
          <w:spacing w:val="-5"/>
          <w:w w:val="110"/>
        </w:rPr>
        <w:t xml:space="preserve"> </w:t>
      </w:r>
      <w:r w:rsidRPr="00283806">
        <w:rPr>
          <w:w w:val="110"/>
        </w:rPr>
        <w:t xml:space="preserve">apply </w:t>
      </w:r>
      <w:r w:rsidRPr="00283806">
        <w:t>for reclaimed refrigerant, EPA concludes</w:t>
      </w:r>
      <w:r w:rsidRPr="00283806">
        <w:rPr>
          <w:spacing w:val="40"/>
          <w:w w:val="110"/>
        </w:rPr>
        <w:t xml:space="preserve"> </w:t>
      </w:r>
      <w:r w:rsidRPr="00283806">
        <w:rPr>
          <w:w w:val="110"/>
        </w:rPr>
        <w:t>that the definitions such as those suggested by the commenters are not necessary. As indicated by these requirements, to the extent that the comments suggest that reclaimed refrigerant cannot include any virgin HFCs, EPA disagrees. EPA further explains its reasons for allowing up to 15</w:t>
      </w:r>
      <w:r w:rsidRPr="00283806">
        <w:rPr>
          <w:spacing w:val="-11"/>
          <w:w w:val="110"/>
        </w:rPr>
        <w:t xml:space="preserve"> </w:t>
      </w:r>
      <w:r w:rsidRPr="00283806">
        <w:rPr>
          <w:w w:val="110"/>
        </w:rPr>
        <w:t>percent</w:t>
      </w:r>
      <w:r w:rsidRPr="00283806">
        <w:rPr>
          <w:spacing w:val="-11"/>
          <w:w w:val="110"/>
        </w:rPr>
        <w:t xml:space="preserve"> </w:t>
      </w:r>
      <w:r w:rsidRPr="00283806">
        <w:rPr>
          <w:w w:val="110"/>
        </w:rPr>
        <w:t>virgin</w:t>
      </w:r>
      <w:r w:rsidRPr="00283806">
        <w:rPr>
          <w:spacing w:val="-11"/>
          <w:w w:val="110"/>
        </w:rPr>
        <w:t xml:space="preserve"> </w:t>
      </w:r>
      <w:r w:rsidRPr="00283806">
        <w:rPr>
          <w:w w:val="110"/>
        </w:rPr>
        <w:t>material</w:t>
      </w:r>
      <w:r w:rsidRPr="00283806">
        <w:rPr>
          <w:spacing w:val="-11"/>
          <w:w w:val="110"/>
        </w:rPr>
        <w:t xml:space="preserve"> </w:t>
      </w:r>
      <w:r w:rsidRPr="00283806">
        <w:rPr>
          <w:w w:val="110"/>
        </w:rPr>
        <w:t>in</w:t>
      </w:r>
      <w:r w:rsidRPr="00283806">
        <w:rPr>
          <w:spacing w:val="-11"/>
          <w:w w:val="110"/>
        </w:rPr>
        <w:t xml:space="preserve"> </w:t>
      </w:r>
      <w:r w:rsidRPr="00283806">
        <w:rPr>
          <w:w w:val="110"/>
        </w:rPr>
        <w:t>refrigerant that meets the reclamation standards established in the rule in section IV.E.1 of</w:t>
      </w:r>
      <w:r w:rsidRPr="00283806">
        <w:rPr>
          <w:spacing w:val="-11"/>
          <w:w w:val="110"/>
        </w:rPr>
        <w:t xml:space="preserve"> </w:t>
      </w:r>
      <w:r w:rsidRPr="00283806">
        <w:rPr>
          <w:w w:val="110"/>
        </w:rPr>
        <w:t>this</w:t>
      </w:r>
      <w:r w:rsidRPr="00283806">
        <w:rPr>
          <w:spacing w:val="-11"/>
          <w:w w:val="110"/>
        </w:rPr>
        <w:t xml:space="preserve"> </w:t>
      </w:r>
      <w:r w:rsidRPr="00283806">
        <w:rPr>
          <w:w w:val="110"/>
        </w:rPr>
        <w:t>preamble.</w:t>
      </w:r>
      <w:r w:rsidRPr="00283806">
        <w:rPr>
          <w:spacing w:val="-11"/>
          <w:w w:val="110"/>
        </w:rPr>
        <w:t xml:space="preserve"> </w:t>
      </w:r>
      <w:r w:rsidRPr="00283806">
        <w:rPr>
          <w:w w:val="110"/>
        </w:rPr>
        <w:t>EPA</w:t>
      </w:r>
      <w:r w:rsidRPr="00283806">
        <w:rPr>
          <w:spacing w:val="-11"/>
          <w:w w:val="110"/>
        </w:rPr>
        <w:t xml:space="preserve"> </w:t>
      </w:r>
      <w:r w:rsidRPr="00283806">
        <w:rPr>
          <w:w w:val="110"/>
        </w:rPr>
        <w:t>disagrees</w:t>
      </w:r>
      <w:r w:rsidRPr="00283806">
        <w:rPr>
          <w:spacing w:val="-11"/>
          <w:w w:val="110"/>
        </w:rPr>
        <w:t xml:space="preserve"> </w:t>
      </w:r>
      <w:r w:rsidRPr="00283806">
        <w:rPr>
          <w:w w:val="110"/>
        </w:rPr>
        <w:t>with</w:t>
      </w:r>
      <w:r w:rsidRPr="00283806">
        <w:rPr>
          <w:spacing w:val="-11"/>
          <w:w w:val="110"/>
        </w:rPr>
        <w:t xml:space="preserve"> </w:t>
      </w:r>
      <w:r w:rsidRPr="00283806">
        <w:rPr>
          <w:w w:val="110"/>
        </w:rPr>
        <w:t>the comment</w:t>
      </w:r>
      <w:r w:rsidRPr="00283806">
        <w:rPr>
          <w:spacing w:val="-9"/>
          <w:w w:val="110"/>
        </w:rPr>
        <w:t xml:space="preserve"> </w:t>
      </w:r>
      <w:r w:rsidRPr="00283806">
        <w:rPr>
          <w:w w:val="110"/>
        </w:rPr>
        <w:t>that</w:t>
      </w:r>
      <w:r w:rsidRPr="00283806">
        <w:rPr>
          <w:spacing w:val="-9"/>
          <w:w w:val="110"/>
        </w:rPr>
        <w:t xml:space="preserve"> </w:t>
      </w:r>
      <w:r w:rsidRPr="00283806">
        <w:rPr>
          <w:w w:val="110"/>
        </w:rPr>
        <w:t>a</w:t>
      </w:r>
      <w:r w:rsidRPr="00283806">
        <w:rPr>
          <w:spacing w:val="-9"/>
          <w:w w:val="110"/>
        </w:rPr>
        <w:t xml:space="preserve"> </w:t>
      </w:r>
      <w:r w:rsidRPr="00283806">
        <w:rPr>
          <w:w w:val="110"/>
        </w:rPr>
        <w:t>reclaimer</w:t>
      </w:r>
      <w:r w:rsidRPr="00283806">
        <w:rPr>
          <w:spacing w:val="-9"/>
          <w:w w:val="110"/>
        </w:rPr>
        <w:t xml:space="preserve"> </w:t>
      </w:r>
      <w:r w:rsidRPr="00283806">
        <w:rPr>
          <w:w w:val="110"/>
        </w:rPr>
        <w:t>should</w:t>
      </w:r>
      <w:r w:rsidRPr="00283806">
        <w:rPr>
          <w:spacing w:val="-9"/>
          <w:w w:val="110"/>
        </w:rPr>
        <w:t xml:space="preserve"> </w:t>
      </w:r>
      <w:r w:rsidRPr="00283806">
        <w:rPr>
          <w:w w:val="110"/>
        </w:rPr>
        <w:t>not</w:t>
      </w:r>
      <w:r w:rsidRPr="00283806">
        <w:rPr>
          <w:spacing w:val="-9"/>
          <w:w w:val="110"/>
        </w:rPr>
        <w:t xml:space="preserve"> </w:t>
      </w:r>
      <w:r w:rsidRPr="00283806">
        <w:rPr>
          <w:w w:val="110"/>
        </w:rPr>
        <w:t xml:space="preserve">be able to sell more reclaimed refrigerant </w:t>
      </w:r>
      <w:r w:rsidRPr="00283806">
        <w:t>than the amount of recovered refrigerant</w:t>
      </w:r>
      <w:r w:rsidRPr="00283806">
        <w:rPr>
          <w:spacing w:val="80"/>
          <w:w w:val="110"/>
        </w:rPr>
        <w:t xml:space="preserve"> </w:t>
      </w:r>
      <w:r w:rsidRPr="00283806">
        <w:rPr>
          <w:w w:val="110"/>
        </w:rPr>
        <w:t xml:space="preserve">it received. Reclaimers often will hold recovered refrigerant until there is </w:t>
      </w:r>
      <w:proofErr w:type="gramStart"/>
      <w:r w:rsidRPr="00283806">
        <w:rPr>
          <w:w w:val="110"/>
        </w:rPr>
        <w:t>a sufficient</w:t>
      </w:r>
      <w:r w:rsidRPr="00283806">
        <w:rPr>
          <w:spacing w:val="-6"/>
          <w:w w:val="110"/>
        </w:rPr>
        <w:t xml:space="preserve"> </w:t>
      </w:r>
      <w:r w:rsidRPr="00283806">
        <w:rPr>
          <w:w w:val="110"/>
        </w:rPr>
        <w:t>quantity</w:t>
      </w:r>
      <w:proofErr w:type="gramEnd"/>
      <w:r w:rsidRPr="00283806">
        <w:rPr>
          <w:spacing w:val="-6"/>
          <w:w w:val="110"/>
        </w:rPr>
        <w:t xml:space="preserve"> </w:t>
      </w:r>
      <w:r w:rsidRPr="00283806">
        <w:rPr>
          <w:w w:val="110"/>
        </w:rPr>
        <w:t>to</w:t>
      </w:r>
      <w:r w:rsidRPr="00283806">
        <w:rPr>
          <w:spacing w:val="-6"/>
          <w:w w:val="110"/>
        </w:rPr>
        <w:t xml:space="preserve"> </w:t>
      </w:r>
      <w:r w:rsidRPr="00283806">
        <w:rPr>
          <w:w w:val="110"/>
        </w:rPr>
        <w:t>process</w:t>
      </w:r>
      <w:r w:rsidRPr="00283806">
        <w:rPr>
          <w:spacing w:val="-6"/>
          <w:w w:val="110"/>
        </w:rPr>
        <w:t xml:space="preserve"> </w:t>
      </w:r>
      <w:r w:rsidRPr="00283806">
        <w:rPr>
          <w:w w:val="110"/>
        </w:rPr>
        <w:t>efficiently or until a change in market conditions. Therefore, the amount reported as reclaimed</w:t>
      </w:r>
      <w:r w:rsidRPr="00283806">
        <w:rPr>
          <w:spacing w:val="-2"/>
          <w:w w:val="110"/>
        </w:rPr>
        <w:t xml:space="preserve"> </w:t>
      </w:r>
      <w:r w:rsidRPr="00283806">
        <w:rPr>
          <w:w w:val="110"/>
        </w:rPr>
        <w:t>will</w:t>
      </w:r>
      <w:r w:rsidRPr="00283806">
        <w:rPr>
          <w:spacing w:val="-2"/>
          <w:w w:val="110"/>
        </w:rPr>
        <w:t xml:space="preserve"> </w:t>
      </w:r>
      <w:r w:rsidRPr="00283806">
        <w:rPr>
          <w:w w:val="110"/>
        </w:rPr>
        <w:t>not</w:t>
      </w:r>
      <w:r w:rsidRPr="00283806">
        <w:rPr>
          <w:spacing w:val="-2"/>
          <w:w w:val="110"/>
        </w:rPr>
        <w:t xml:space="preserve"> </w:t>
      </w:r>
      <w:r w:rsidRPr="00283806">
        <w:rPr>
          <w:w w:val="110"/>
        </w:rPr>
        <w:t>align</w:t>
      </w:r>
      <w:r w:rsidRPr="00283806">
        <w:rPr>
          <w:spacing w:val="-2"/>
          <w:w w:val="110"/>
        </w:rPr>
        <w:t xml:space="preserve"> </w:t>
      </w:r>
      <w:r w:rsidRPr="00283806">
        <w:rPr>
          <w:w w:val="110"/>
        </w:rPr>
        <w:t>with,</w:t>
      </w:r>
      <w:r w:rsidRPr="00283806">
        <w:rPr>
          <w:spacing w:val="-2"/>
          <w:w w:val="110"/>
        </w:rPr>
        <w:t xml:space="preserve"> </w:t>
      </w:r>
      <w:r w:rsidRPr="00283806">
        <w:rPr>
          <w:w w:val="110"/>
        </w:rPr>
        <w:t>and</w:t>
      </w:r>
      <w:r w:rsidRPr="00283806">
        <w:rPr>
          <w:spacing w:val="-2"/>
          <w:w w:val="110"/>
        </w:rPr>
        <w:t xml:space="preserve"> </w:t>
      </w:r>
      <w:r w:rsidRPr="00283806">
        <w:rPr>
          <w:w w:val="110"/>
        </w:rPr>
        <w:t>could potentially</w:t>
      </w:r>
      <w:r w:rsidRPr="00283806">
        <w:rPr>
          <w:spacing w:val="-11"/>
          <w:w w:val="110"/>
        </w:rPr>
        <w:t xml:space="preserve"> </w:t>
      </w:r>
      <w:r w:rsidRPr="00283806">
        <w:rPr>
          <w:w w:val="110"/>
        </w:rPr>
        <w:t>exceed,</w:t>
      </w:r>
      <w:r w:rsidRPr="00283806">
        <w:rPr>
          <w:spacing w:val="-11"/>
          <w:w w:val="110"/>
        </w:rPr>
        <w:t xml:space="preserve"> </w:t>
      </w:r>
      <w:r w:rsidRPr="00283806">
        <w:rPr>
          <w:w w:val="110"/>
        </w:rPr>
        <w:t>the</w:t>
      </w:r>
      <w:r w:rsidRPr="00283806">
        <w:rPr>
          <w:spacing w:val="-11"/>
          <w:w w:val="110"/>
        </w:rPr>
        <w:t xml:space="preserve"> </w:t>
      </w:r>
      <w:r w:rsidRPr="00283806">
        <w:rPr>
          <w:w w:val="110"/>
        </w:rPr>
        <w:t>amount</w:t>
      </w:r>
      <w:r w:rsidRPr="00283806">
        <w:rPr>
          <w:spacing w:val="-11"/>
          <w:w w:val="110"/>
        </w:rPr>
        <w:t xml:space="preserve"> </w:t>
      </w:r>
      <w:r w:rsidRPr="00283806">
        <w:rPr>
          <w:w w:val="110"/>
        </w:rPr>
        <w:t>reported as received.</w:t>
      </w:r>
    </w:p>
    <w:p w14:paraId="0903B580" w14:textId="77777777" w:rsidR="00D67C1E" w:rsidRPr="00283806" w:rsidRDefault="001265CA">
      <w:pPr>
        <w:spacing w:line="165" w:lineRule="exact"/>
        <w:ind w:left="340"/>
        <w:rPr>
          <w:sz w:val="18"/>
        </w:rPr>
      </w:pPr>
      <w:r w:rsidRPr="00283806">
        <w:rPr>
          <w:rFonts w:ascii="Book Antiqua"/>
          <w:i/>
          <w:w w:val="115"/>
          <w:sz w:val="18"/>
        </w:rPr>
        <w:t>Saturated</w:t>
      </w:r>
      <w:r w:rsidRPr="00283806">
        <w:rPr>
          <w:rFonts w:ascii="Book Antiqua"/>
          <w:i/>
          <w:spacing w:val="-7"/>
          <w:w w:val="115"/>
          <w:sz w:val="18"/>
        </w:rPr>
        <w:t xml:space="preserve"> </w:t>
      </w:r>
      <w:r w:rsidRPr="00283806">
        <w:rPr>
          <w:rFonts w:ascii="Book Antiqua"/>
          <w:i/>
          <w:w w:val="115"/>
          <w:sz w:val="18"/>
        </w:rPr>
        <w:t>hydrofluorocarbon:</w:t>
      </w:r>
      <w:r w:rsidRPr="00283806">
        <w:rPr>
          <w:rFonts w:ascii="Book Antiqua"/>
          <w:i/>
          <w:spacing w:val="-6"/>
          <w:w w:val="115"/>
          <w:sz w:val="18"/>
        </w:rPr>
        <w:t xml:space="preserve"> </w:t>
      </w:r>
      <w:r w:rsidRPr="00283806">
        <w:rPr>
          <w:spacing w:val="-5"/>
          <w:w w:val="115"/>
          <w:sz w:val="18"/>
        </w:rPr>
        <w:t>One</w:t>
      </w:r>
    </w:p>
    <w:p w14:paraId="6E569F60" w14:textId="77777777" w:rsidR="00D67C1E" w:rsidRPr="00283806" w:rsidRDefault="001265CA">
      <w:pPr>
        <w:pStyle w:val="BodyText"/>
        <w:spacing w:line="199" w:lineRule="exact"/>
      </w:pPr>
      <w:proofErr w:type="gramStart"/>
      <w:r w:rsidRPr="00283806">
        <w:rPr>
          <w:w w:val="105"/>
        </w:rPr>
        <w:t>commenter</w:t>
      </w:r>
      <w:proofErr w:type="gramEnd"/>
      <w:r w:rsidRPr="00283806">
        <w:rPr>
          <w:spacing w:val="5"/>
          <w:w w:val="105"/>
        </w:rPr>
        <w:t xml:space="preserve"> </w:t>
      </w:r>
      <w:r w:rsidRPr="00283806">
        <w:rPr>
          <w:w w:val="105"/>
        </w:rPr>
        <w:t>requested</w:t>
      </w:r>
      <w:r w:rsidRPr="00283806">
        <w:rPr>
          <w:spacing w:val="6"/>
          <w:w w:val="105"/>
        </w:rPr>
        <w:t xml:space="preserve"> </w:t>
      </w:r>
      <w:r w:rsidRPr="00283806">
        <w:rPr>
          <w:w w:val="105"/>
        </w:rPr>
        <w:t>that</w:t>
      </w:r>
      <w:r w:rsidRPr="00283806">
        <w:rPr>
          <w:spacing w:val="6"/>
          <w:w w:val="105"/>
        </w:rPr>
        <w:t xml:space="preserve"> </w:t>
      </w:r>
      <w:r w:rsidRPr="00283806">
        <w:rPr>
          <w:w w:val="105"/>
        </w:rPr>
        <w:t>EPA</w:t>
      </w:r>
      <w:r w:rsidRPr="00283806">
        <w:rPr>
          <w:spacing w:val="5"/>
          <w:w w:val="105"/>
        </w:rPr>
        <w:t xml:space="preserve"> </w:t>
      </w:r>
      <w:r w:rsidRPr="00283806">
        <w:rPr>
          <w:spacing w:val="-2"/>
          <w:w w:val="105"/>
        </w:rPr>
        <w:t>define</w:t>
      </w:r>
    </w:p>
    <w:p w14:paraId="0C2D28B4" w14:textId="77777777" w:rsidR="00D67C1E" w:rsidRPr="00283806" w:rsidRDefault="001265CA">
      <w:pPr>
        <w:pStyle w:val="BodyText"/>
        <w:spacing w:before="2"/>
        <w:ind w:left="0"/>
        <w:rPr>
          <w:sz w:val="12"/>
        </w:rPr>
      </w:pPr>
      <w:r w:rsidRPr="00283806">
        <w:rPr>
          <w:noProof/>
        </w:rPr>
        <mc:AlternateContent>
          <mc:Choice Requires="wps">
            <w:drawing>
              <wp:anchor distT="0" distB="0" distL="0" distR="0" simplePos="0" relativeHeight="251631616" behindDoc="1" locked="0" layoutInCell="1" allowOverlap="1" wp14:anchorId="21FFF8B9" wp14:editId="323C001B">
                <wp:simplePos x="0" y="0"/>
                <wp:positionH relativeFrom="page">
                  <wp:posOffset>571500</wp:posOffset>
                </wp:positionH>
                <wp:positionV relativeFrom="paragraph">
                  <wp:posOffset>106045</wp:posOffset>
                </wp:positionV>
                <wp:extent cx="635000" cy="1270"/>
                <wp:effectExtent l="0" t="0" r="0" b="0"/>
                <wp:wrapTopAndBottom/>
                <wp:docPr id="63" name="Graphic 6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39D1D50" id="Graphic 63" o:spid="_x0000_s1026" alt="&quot;&quot;" style="position:absolute;margin-left:45pt;margin-top:8.35pt;width:50pt;height:.1pt;z-index:-251684864;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" path="m,l635000,e" filled="f" strokeweight=".5pt">
                <v:path arrowok="t"/>
                <w10:wrap type="topAndBottom" anchorx="page"/>
              </v:shape>
            </w:pict>
          </mc:Fallback>
        </mc:AlternateContent>
      </w:r>
    </w:p>
    <w:p w14:paraId="3B7F3A90" w14:textId="77777777" w:rsidR="00D67C1E" w:rsidRPr="00283806" w:rsidRDefault="001265CA">
      <w:pPr>
        <w:spacing w:before="36"/>
        <w:ind w:left="300"/>
        <w:rPr>
          <w:sz w:val="14"/>
        </w:rPr>
      </w:pPr>
      <w:r w:rsidRPr="00283806">
        <w:rPr>
          <w:w w:val="110"/>
          <w:position w:val="4"/>
          <w:sz w:val="9"/>
        </w:rPr>
        <w:t>50</w:t>
      </w:r>
      <w:r w:rsidRPr="00283806">
        <w:rPr>
          <w:spacing w:val="-2"/>
          <w:w w:val="110"/>
          <w:position w:val="4"/>
          <w:sz w:val="9"/>
        </w:rPr>
        <w:t xml:space="preserve"> </w:t>
      </w:r>
      <w:r w:rsidRPr="00283806">
        <w:rPr>
          <w:w w:val="110"/>
          <w:sz w:val="14"/>
        </w:rPr>
        <w:t>Cal.</w:t>
      </w:r>
      <w:r w:rsidRPr="00283806">
        <w:rPr>
          <w:spacing w:val="3"/>
          <w:w w:val="110"/>
          <w:sz w:val="14"/>
        </w:rPr>
        <w:t xml:space="preserve"> </w:t>
      </w:r>
      <w:r w:rsidRPr="00283806">
        <w:rPr>
          <w:w w:val="110"/>
          <w:sz w:val="14"/>
        </w:rPr>
        <w:t>Code</w:t>
      </w:r>
      <w:r w:rsidRPr="00283806">
        <w:rPr>
          <w:spacing w:val="2"/>
          <w:w w:val="110"/>
          <w:sz w:val="14"/>
        </w:rPr>
        <w:t xml:space="preserve"> </w:t>
      </w:r>
      <w:r w:rsidRPr="00283806">
        <w:rPr>
          <w:w w:val="110"/>
          <w:sz w:val="14"/>
        </w:rPr>
        <w:t>Regs.</w:t>
      </w:r>
      <w:r w:rsidRPr="00283806">
        <w:rPr>
          <w:spacing w:val="2"/>
          <w:w w:val="110"/>
          <w:sz w:val="14"/>
        </w:rPr>
        <w:t xml:space="preserve"> </w:t>
      </w:r>
      <w:r w:rsidRPr="00283806">
        <w:rPr>
          <w:w w:val="110"/>
          <w:sz w:val="14"/>
        </w:rPr>
        <w:t>Tit.</w:t>
      </w:r>
      <w:r w:rsidRPr="00283806">
        <w:rPr>
          <w:spacing w:val="2"/>
          <w:w w:val="110"/>
          <w:sz w:val="14"/>
        </w:rPr>
        <w:t xml:space="preserve"> </w:t>
      </w:r>
      <w:r w:rsidRPr="00283806">
        <w:rPr>
          <w:w w:val="110"/>
          <w:sz w:val="14"/>
        </w:rPr>
        <w:t>17,</w:t>
      </w:r>
      <w:r w:rsidRPr="00283806">
        <w:rPr>
          <w:spacing w:val="2"/>
          <w:w w:val="110"/>
          <w:sz w:val="14"/>
        </w:rPr>
        <w:t xml:space="preserve"> </w:t>
      </w:r>
      <w:r w:rsidRPr="00283806">
        <w:rPr>
          <w:w w:val="110"/>
          <w:sz w:val="14"/>
        </w:rPr>
        <w:t>section</w:t>
      </w:r>
      <w:r w:rsidRPr="00283806">
        <w:rPr>
          <w:spacing w:val="2"/>
          <w:w w:val="110"/>
          <w:sz w:val="14"/>
        </w:rPr>
        <w:t xml:space="preserve"> </w:t>
      </w:r>
      <w:r w:rsidRPr="00283806">
        <w:rPr>
          <w:spacing w:val="-2"/>
          <w:w w:val="110"/>
          <w:sz w:val="14"/>
        </w:rPr>
        <w:t>95373.</w:t>
      </w:r>
    </w:p>
    <w:p w14:paraId="1AF6707E" w14:textId="77777777" w:rsidR="00D67C1E" w:rsidRPr="00283806" w:rsidRDefault="001265CA">
      <w:pPr>
        <w:pStyle w:val="BodyText"/>
        <w:spacing w:before="136" w:line="225" w:lineRule="auto"/>
        <w:ind w:left="143" w:right="50"/>
      </w:pPr>
      <w:r w:rsidRPr="00283806">
        <w:br w:type="column"/>
      </w:r>
      <w:r w:rsidRPr="00283806">
        <w:rPr>
          <w:w w:val="105"/>
        </w:rPr>
        <w:t xml:space="preserve">‘‘saturated’’ as it relates to a hydrofluorocarbon refrigerant and use that term throughout the rulemaking. </w:t>
      </w:r>
      <w:r w:rsidRPr="00283806">
        <w:rPr>
          <w:rFonts w:ascii="Book Antiqua" w:hAnsi="Book Antiqua"/>
          <w:i/>
          <w:w w:val="105"/>
        </w:rPr>
        <w:t xml:space="preserve">Response: </w:t>
      </w:r>
      <w:r w:rsidRPr="00283806">
        <w:rPr>
          <w:w w:val="105"/>
        </w:rPr>
        <w:t>EPA disagrees that there is a need to use or define the term</w:t>
      </w:r>
      <w:r w:rsidRPr="00283806">
        <w:rPr>
          <w:spacing w:val="80"/>
          <w:w w:val="105"/>
        </w:rPr>
        <w:t xml:space="preserve"> </w:t>
      </w:r>
      <w:r w:rsidRPr="00283806">
        <w:rPr>
          <w:w w:val="105"/>
        </w:rPr>
        <w:t>‘‘saturated hydrofluorocarbon’’ for purposes of this action. As described previously, subsection (c)(1) of the AIM Act lists 18 saturated HFCs, and by reference any of their isomers not so listed, that are covered by the statute’s provisions, referred to as ‘‘regulated substances.’’ EPA is also authorized to designate additional substances that</w:t>
      </w:r>
      <w:r w:rsidRPr="00283806">
        <w:rPr>
          <w:spacing w:val="40"/>
          <w:w w:val="105"/>
        </w:rPr>
        <w:t xml:space="preserve"> </w:t>
      </w:r>
      <w:r w:rsidRPr="00283806">
        <w:rPr>
          <w:w w:val="105"/>
        </w:rPr>
        <w:t>meet certain criteria as regulated substances and one of those criteria is that the substance must be a saturated HFC. Further, the term ‘‘regulated substance’’ is defined in part 84, subpart A (40 CFR 84.3), with a current list provided in Appendix A to part 84, and this appendix applies to all of part 84 including subpart C. EPA has also explained that it is using the terms HFC and regulated substances interchangeably in this action. These provisions make clear which HFCs are addressed by this action, obviating any need to define ‘‘saturated’’ by regulation or use the term ‘‘saturated hydrofluorocarbon’’ throughout the regulations established in this rule.</w:t>
      </w:r>
    </w:p>
    <w:p w14:paraId="7B4664DE" w14:textId="77777777" w:rsidR="00D67C1E" w:rsidRPr="00283806" w:rsidRDefault="001265CA">
      <w:pPr>
        <w:spacing w:line="164" w:lineRule="exact"/>
        <w:ind w:left="323"/>
        <w:rPr>
          <w:sz w:val="18"/>
        </w:rPr>
      </w:pPr>
      <w:r w:rsidRPr="00283806">
        <w:rPr>
          <w:rFonts w:ascii="Book Antiqua"/>
          <w:i/>
          <w:w w:val="105"/>
          <w:sz w:val="18"/>
        </w:rPr>
        <w:t>Comment:</w:t>
      </w:r>
      <w:r w:rsidRPr="00283806">
        <w:rPr>
          <w:rFonts w:ascii="Book Antiqua"/>
          <w:i/>
          <w:spacing w:val="22"/>
          <w:w w:val="105"/>
          <w:sz w:val="18"/>
        </w:rPr>
        <w:t xml:space="preserve"> </w:t>
      </w:r>
      <w:r w:rsidRPr="00283806">
        <w:rPr>
          <w:w w:val="105"/>
          <w:sz w:val="18"/>
        </w:rPr>
        <w:t>One</w:t>
      </w:r>
      <w:r w:rsidRPr="00283806">
        <w:rPr>
          <w:spacing w:val="28"/>
          <w:w w:val="105"/>
          <w:sz w:val="18"/>
        </w:rPr>
        <w:t xml:space="preserve"> </w:t>
      </w:r>
      <w:r w:rsidRPr="00283806">
        <w:rPr>
          <w:w w:val="105"/>
          <w:sz w:val="18"/>
        </w:rPr>
        <w:t>commenter</w:t>
      </w:r>
      <w:r w:rsidRPr="00283806">
        <w:rPr>
          <w:spacing w:val="28"/>
          <w:w w:val="105"/>
          <w:sz w:val="18"/>
        </w:rPr>
        <w:t xml:space="preserve"> </w:t>
      </w:r>
      <w:r w:rsidRPr="00283806">
        <w:rPr>
          <w:spacing w:val="-2"/>
          <w:w w:val="105"/>
          <w:sz w:val="18"/>
        </w:rPr>
        <w:t>asserted</w:t>
      </w:r>
    </w:p>
    <w:p w14:paraId="56988358" w14:textId="77777777" w:rsidR="00D67C1E" w:rsidRPr="00283806" w:rsidRDefault="001265CA">
      <w:pPr>
        <w:pStyle w:val="BodyText"/>
        <w:spacing w:line="225" w:lineRule="auto"/>
        <w:ind w:left="143"/>
      </w:pPr>
      <w:r w:rsidRPr="00283806">
        <w:rPr>
          <w:w w:val="110"/>
        </w:rPr>
        <w:t>that the rule should define the terms ‘‘regulated substance,’’ ‘‘substitute,’’ ‘‘essential use,’’ ‘‘narrowed use limit,’’ and ‘‘technology transitions petition.’’ The</w:t>
      </w:r>
      <w:r w:rsidRPr="00283806">
        <w:rPr>
          <w:spacing w:val="-5"/>
          <w:w w:val="110"/>
        </w:rPr>
        <w:t xml:space="preserve"> </w:t>
      </w:r>
      <w:r w:rsidRPr="00283806">
        <w:rPr>
          <w:w w:val="110"/>
        </w:rPr>
        <w:t>commenter</w:t>
      </w:r>
      <w:r w:rsidRPr="00283806">
        <w:rPr>
          <w:spacing w:val="-5"/>
          <w:w w:val="110"/>
        </w:rPr>
        <w:t xml:space="preserve"> </w:t>
      </w:r>
      <w:r w:rsidRPr="00283806">
        <w:rPr>
          <w:w w:val="110"/>
        </w:rPr>
        <w:t>stated</w:t>
      </w:r>
      <w:r w:rsidRPr="00283806">
        <w:rPr>
          <w:spacing w:val="-5"/>
          <w:w w:val="110"/>
        </w:rPr>
        <w:t xml:space="preserve"> </w:t>
      </w:r>
      <w:r w:rsidRPr="00283806">
        <w:rPr>
          <w:w w:val="110"/>
        </w:rPr>
        <w:t>that</w:t>
      </w:r>
      <w:r w:rsidRPr="00283806">
        <w:rPr>
          <w:spacing w:val="-5"/>
          <w:w w:val="110"/>
        </w:rPr>
        <w:t xml:space="preserve"> </w:t>
      </w:r>
      <w:r w:rsidRPr="00283806">
        <w:rPr>
          <w:w w:val="110"/>
        </w:rPr>
        <w:t>these</w:t>
      </w:r>
      <w:r w:rsidRPr="00283806">
        <w:rPr>
          <w:spacing w:val="-5"/>
          <w:w w:val="110"/>
        </w:rPr>
        <w:t xml:space="preserve"> </w:t>
      </w:r>
      <w:r w:rsidRPr="00283806">
        <w:rPr>
          <w:w w:val="110"/>
        </w:rPr>
        <w:t>terms are important to understand the scope and</w:t>
      </w:r>
      <w:r w:rsidRPr="00283806">
        <w:rPr>
          <w:spacing w:val="-9"/>
          <w:w w:val="110"/>
        </w:rPr>
        <w:t xml:space="preserve"> </w:t>
      </w:r>
      <w:r w:rsidRPr="00283806">
        <w:rPr>
          <w:w w:val="110"/>
        </w:rPr>
        <w:t>applicability</w:t>
      </w:r>
      <w:r w:rsidRPr="00283806">
        <w:rPr>
          <w:spacing w:val="-9"/>
          <w:w w:val="110"/>
        </w:rPr>
        <w:t xml:space="preserve"> </w:t>
      </w:r>
      <w:r w:rsidRPr="00283806">
        <w:rPr>
          <w:w w:val="110"/>
        </w:rPr>
        <w:t>of</w:t>
      </w:r>
      <w:r w:rsidRPr="00283806">
        <w:rPr>
          <w:spacing w:val="-9"/>
          <w:w w:val="110"/>
        </w:rPr>
        <w:t xml:space="preserve"> </w:t>
      </w:r>
      <w:r w:rsidRPr="00283806">
        <w:rPr>
          <w:w w:val="110"/>
        </w:rPr>
        <w:t>the</w:t>
      </w:r>
      <w:r w:rsidRPr="00283806">
        <w:rPr>
          <w:spacing w:val="-9"/>
          <w:w w:val="110"/>
        </w:rPr>
        <w:t xml:space="preserve"> </w:t>
      </w:r>
      <w:r w:rsidRPr="00283806">
        <w:rPr>
          <w:w w:val="110"/>
        </w:rPr>
        <w:t>HFC</w:t>
      </w:r>
      <w:r w:rsidRPr="00283806">
        <w:rPr>
          <w:spacing w:val="-9"/>
          <w:w w:val="110"/>
        </w:rPr>
        <w:t xml:space="preserve"> </w:t>
      </w:r>
      <w:r w:rsidRPr="00283806">
        <w:rPr>
          <w:w w:val="110"/>
        </w:rPr>
        <w:t>phasedown program, and not defining these terms could create confusion and inconsistency in interpreting the rule.</w:t>
      </w:r>
    </w:p>
    <w:p w14:paraId="33F3B9FC" w14:textId="77777777" w:rsidR="00D67C1E" w:rsidRPr="00283806" w:rsidRDefault="001265CA">
      <w:pPr>
        <w:spacing w:line="182" w:lineRule="exact"/>
        <w:ind w:left="323"/>
        <w:rPr>
          <w:sz w:val="18"/>
        </w:rPr>
      </w:pPr>
      <w:r w:rsidRPr="00283806">
        <w:rPr>
          <w:rFonts w:ascii="Book Antiqua" w:hAnsi="Book Antiqua"/>
          <w:i/>
          <w:w w:val="110"/>
          <w:sz w:val="18"/>
        </w:rPr>
        <w:t>Response:</w:t>
      </w:r>
      <w:r w:rsidRPr="00283806">
        <w:rPr>
          <w:rFonts w:ascii="Book Antiqua" w:hAnsi="Book Antiqua"/>
          <w:i/>
          <w:spacing w:val="-5"/>
          <w:w w:val="110"/>
          <w:sz w:val="18"/>
        </w:rPr>
        <w:t xml:space="preserve"> </w:t>
      </w:r>
      <w:r w:rsidRPr="00283806">
        <w:rPr>
          <w:w w:val="110"/>
          <w:sz w:val="18"/>
        </w:rPr>
        <w:t>The</w:t>
      </w:r>
      <w:r w:rsidRPr="00283806">
        <w:rPr>
          <w:spacing w:val="2"/>
          <w:w w:val="110"/>
          <w:sz w:val="18"/>
        </w:rPr>
        <w:t xml:space="preserve"> </w:t>
      </w:r>
      <w:r w:rsidRPr="00283806">
        <w:rPr>
          <w:w w:val="110"/>
          <w:sz w:val="18"/>
        </w:rPr>
        <w:t>terms</w:t>
      </w:r>
      <w:r w:rsidRPr="00283806">
        <w:rPr>
          <w:spacing w:val="1"/>
          <w:w w:val="110"/>
          <w:sz w:val="18"/>
        </w:rPr>
        <w:t xml:space="preserve"> </w:t>
      </w:r>
      <w:r w:rsidRPr="00283806">
        <w:rPr>
          <w:w w:val="110"/>
          <w:sz w:val="18"/>
        </w:rPr>
        <w:t>‘‘essential</w:t>
      </w:r>
      <w:r w:rsidRPr="00283806">
        <w:rPr>
          <w:spacing w:val="2"/>
          <w:w w:val="110"/>
          <w:sz w:val="18"/>
        </w:rPr>
        <w:t xml:space="preserve"> </w:t>
      </w:r>
      <w:r w:rsidRPr="00283806">
        <w:rPr>
          <w:spacing w:val="-2"/>
          <w:w w:val="110"/>
          <w:sz w:val="18"/>
        </w:rPr>
        <w:t>use,’’</w:t>
      </w:r>
    </w:p>
    <w:p w14:paraId="2832CB6B" w14:textId="77777777" w:rsidR="00D67C1E" w:rsidRPr="00283806" w:rsidRDefault="001265CA">
      <w:pPr>
        <w:pStyle w:val="BodyText"/>
        <w:spacing w:line="225" w:lineRule="auto"/>
        <w:ind w:left="143"/>
      </w:pPr>
      <w:r w:rsidRPr="00283806">
        <w:rPr>
          <w:w w:val="110"/>
        </w:rPr>
        <w:t xml:space="preserve">‘‘regulated substance,’’ ‘‘narrowed use </w:t>
      </w:r>
      <w:proofErr w:type="gramStart"/>
      <w:r w:rsidRPr="00283806">
        <w:rPr>
          <w:w w:val="110"/>
        </w:rPr>
        <w:t>limit</w:t>
      </w:r>
      <w:proofErr w:type="gramEnd"/>
      <w:r w:rsidRPr="00283806">
        <w:rPr>
          <w:w w:val="110"/>
        </w:rPr>
        <w:t>,</w:t>
      </w:r>
      <w:proofErr w:type="gramStart"/>
      <w:r w:rsidRPr="00283806">
        <w:rPr>
          <w:w w:val="110"/>
        </w:rPr>
        <w:t>’’ ‘‘substitute,’</w:t>
      </w:r>
      <w:proofErr w:type="gramEnd"/>
      <w:r w:rsidRPr="00283806">
        <w:rPr>
          <w:w w:val="110"/>
        </w:rPr>
        <w:t xml:space="preserve">’ and ‘‘technology transitions </w:t>
      </w:r>
      <w:proofErr w:type="gramStart"/>
      <w:r w:rsidRPr="00283806">
        <w:rPr>
          <w:w w:val="110"/>
        </w:rPr>
        <w:t>petition’’</w:t>
      </w:r>
      <w:proofErr w:type="gramEnd"/>
      <w:r w:rsidRPr="00283806">
        <w:rPr>
          <w:w w:val="110"/>
        </w:rPr>
        <w:t xml:space="preserve"> appear to be </w:t>
      </w:r>
      <w:proofErr w:type="gramStart"/>
      <w:r w:rsidRPr="00283806">
        <w:rPr>
          <w:w w:val="110"/>
        </w:rPr>
        <w:t>similar to</w:t>
      </w:r>
      <w:proofErr w:type="gramEnd"/>
      <w:r w:rsidRPr="00283806">
        <w:rPr>
          <w:w w:val="110"/>
        </w:rPr>
        <w:t xml:space="preserve"> or the same as terms used in other regulatory programs under the AIM Act or the CAA. For example, the terms ‘‘essential use’’ and ‘‘regulated substance’’ are defined under the Allowance Allocation program (40 CFR part 84, subpart A), ‘‘narrowed use limit’’ is defined under SNAP (40 CFR part 82, subpart G), and ‘‘substitute’’ and ‘‘technology transitions petition’’ are defined under the Technology Transitions program (40 CFR part 84, </w:t>
      </w:r>
      <w:r w:rsidRPr="00283806">
        <w:t>subpart B), respectively. The commenter</w:t>
      </w:r>
      <w:r w:rsidRPr="00283806">
        <w:rPr>
          <w:w w:val="110"/>
        </w:rPr>
        <w:t xml:space="preserve"> has not explained what relevance such terms would have to this rulemaking and, </w:t>
      </w:r>
      <w:proofErr w:type="gramStart"/>
      <w:r w:rsidRPr="00283806">
        <w:rPr>
          <w:w w:val="110"/>
        </w:rPr>
        <w:t>with the exception of</w:t>
      </w:r>
      <w:proofErr w:type="gramEnd"/>
      <w:r w:rsidRPr="00283806">
        <w:rPr>
          <w:w w:val="110"/>
        </w:rPr>
        <w:t xml:space="preserve"> the term ‘‘regulated substance’’ which is used in the regulations finalized in this action, the connection is not apparent to EPA. With respect to the term ‘‘regulated substance,’’ as explained earlier in this section, because EPA is not defining</w:t>
      </w:r>
    </w:p>
    <w:p w14:paraId="3FB29DAA" w14:textId="77777777" w:rsidR="00D67C1E" w:rsidRPr="00283806" w:rsidRDefault="001265CA">
      <w:pPr>
        <w:pStyle w:val="BodyText"/>
        <w:spacing w:before="136" w:line="225" w:lineRule="auto"/>
        <w:ind w:left="153" w:right="159"/>
      </w:pPr>
      <w:r w:rsidRPr="00283806">
        <w:br w:type="column"/>
      </w:r>
      <w:r w:rsidRPr="00283806">
        <w:rPr>
          <w:w w:val="110"/>
        </w:rPr>
        <w:t>that term separately in subpart C, the definition under 40 CFR 84.3 also applies in subpart C. No additional definition is needed. EPA further notes that while it is not establishing a definition for ‘‘substitute’’ in this rule,</w:t>
      </w:r>
      <w:r w:rsidRPr="00283806">
        <w:rPr>
          <w:spacing w:val="40"/>
          <w:w w:val="110"/>
        </w:rPr>
        <w:t xml:space="preserve"> </w:t>
      </w:r>
      <w:r w:rsidRPr="00283806">
        <w:rPr>
          <w:w w:val="110"/>
        </w:rPr>
        <w:t xml:space="preserve">it is defining the term ‘‘substitute for a </w:t>
      </w:r>
      <w:r w:rsidRPr="00283806">
        <w:t>regulated substance’’ for purposes of the</w:t>
      </w:r>
      <w:r w:rsidRPr="00283806">
        <w:rPr>
          <w:w w:val="110"/>
        </w:rPr>
        <w:t xml:space="preserve"> regulation,</w:t>
      </w:r>
      <w:r w:rsidRPr="00283806">
        <w:rPr>
          <w:spacing w:val="-3"/>
          <w:w w:val="110"/>
        </w:rPr>
        <w:t xml:space="preserve"> </w:t>
      </w:r>
      <w:r w:rsidRPr="00283806">
        <w:rPr>
          <w:w w:val="110"/>
        </w:rPr>
        <w:t>for</w:t>
      </w:r>
      <w:r w:rsidRPr="00283806">
        <w:rPr>
          <w:spacing w:val="-3"/>
          <w:w w:val="110"/>
        </w:rPr>
        <w:t xml:space="preserve"> </w:t>
      </w:r>
      <w:r w:rsidRPr="00283806">
        <w:rPr>
          <w:w w:val="110"/>
        </w:rPr>
        <w:t>the</w:t>
      </w:r>
      <w:r w:rsidRPr="00283806">
        <w:rPr>
          <w:spacing w:val="-3"/>
          <w:w w:val="110"/>
        </w:rPr>
        <w:t xml:space="preserve"> </w:t>
      </w:r>
      <w:r w:rsidRPr="00283806">
        <w:rPr>
          <w:w w:val="110"/>
        </w:rPr>
        <w:t>reasons</w:t>
      </w:r>
      <w:r w:rsidRPr="00283806">
        <w:rPr>
          <w:spacing w:val="-3"/>
          <w:w w:val="110"/>
        </w:rPr>
        <w:t xml:space="preserve"> </w:t>
      </w:r>
      <w:r w:rsidRPr="00283806">
        <w:rPr>
          <w:w w:val="110"/>
        </w:rPr>
        <w:t>discussed</w:t>
      </w:r>
      <w:r w:rsidRPr="00283806">
        <w:rPr>
          <w:spacing w:val="-3"/>
          <w:w w:val="110"/>
        </w:rPr>
        <w:t xml:space="preserve"> </w:t>
      </w:r>
      <w:r w:rsidRPr="00283806">
        <w:rPr>
          <w:w w:val="110"/>
        </w:rPr>
        <w:t>in section IV.A.2 of this preamble.</w:t>
      </w:r>
    </w:p>
    <w:p w14:paraId="42575BC6" w14:textId="77777777" w:rsidR="00D67C1E" w:rsidRPr="00283806" w:rsidRDefault="001265CA">
      <w:pPr>
        <w:pStyle w:val="ListParagraph"/>
        <w:numPr>
          <w:ilvl w:val="1"/>
          <w:numId w:val="64"/>
        </w:numPr>
        <w:tabs>
          <w:tab w:val="left" w:pos="368"/>
        </w:tabs>
        <w:spacing w:before="103" w:line="218" w:lineRule="auto"/>
        <w:ind w:left="153" w:right="602" w:firstLine="0"/>
        <w:rPr>
          <w:rFonts w:ascii="Book Antiqua"/>
          <w:i/>
          <w:sz w:val="18"/>
        </w:rPr>
      </w:pPr>
      <w:r w:rsidRPr="00283806">
        <w:rPr>
          <w:rFonts w:ascii="Book Antiqua"/>
          <w:i/>
          <w:spacing w:val="-2"/>
          <w:w w:val="115"/>
          <w:sz w:val="18"/>
        </w:rPr>
        <w:t>What</w:t>
      </w:r>
      <w:r w:rsidRPr="00283806">
        <w:rPr>
          <w:rFonts w:ascii="Book Antiqua"/>
          <w:i/>
          <w:spacing w:val="-11"/>
          <w:w w:val="115"/>
          <w:sz w:val="18"/>
        </w:rPr>
        <w:t xml:space="preserve"> </w:t>
      </w:r>
      <w:r w:rsidRPr="00283806">
        <w:rPr>
          <w:rFonts w:ascii="Book Antiqua"/>
          <w:i/>
          <w:spacing w:val="-2"/>
          <w:w w:val="115"/>
          <w:sz w:val="18"/>
        </w:rPr>
        <w:t>types</w:t>
      </w:r>
      <w:r w:rsidRPr="00283806">
        <w:rPr>
          <w:rFonts w:ascii="Book Antiqua"/>
          <w:i/>
          <w:spacing w:val="-11"/>
          <w:w w:val="115"/>
          <w:sz w:val="18"/>
        </w:rPr>
        <w:t xml:space="preserve"> </w:t>
      </w:r>
      <w:r w:rsidRPr="00283806">
        <w:rPr>
          <w:rFonts w:ascii="Book Antiqua"/>
          <w:i/>
          <w:spacing w:val="-2"/>
          <w:w w:val="115"/>
          <w:sz w:val="18"/>
        </w:rPr>
        <w:t>of</w:t>
      </w:r>
      <w:r w:rsidRPr="00283806">
        <w:rPr>
          <w:rFonts w:ascii="Book Antiqua"/>
          <w:i/>
          <w:spacing w:val="-10"/>
          <w:w w:val="115"/>
          <w:sz w:val="18"/>
        </w:rPr>
        <w:t xml:space="preserve"> </w:t>
      </w:r>
      <w:r w:rsidRPr="00283806">
        <w:rPr>
          <w:rFonts w:ascii="Book Antiqua"/>
          <w:i/>
          <w:spacing w:val="-2"/>
          <w:w w:val="115"/>
          <w:sz w:val="18"/>
        </w:rPr>
        <w:t>equipment</w:t>
      </w:r>
      <w:r w:rsidRPr="00283806">
        <w:rPr>
          <w:rFonts w:ascii="Book Antiqua"/>
          <w:i/>
          <w:spacing w:val="-11"/>
          <w:w w:val="115"/>
          <w:sz w:val="18"/>
        </w:rPr>
        <w:t xml:space="preserve"> </w:t>
      </w:r>
      <w:r w:rsidRPr="00283806">
        <w:rPr>
          <w:rFonts w:ascii="Book Antiqua"/>
          <w:i/>
          <w:spacing w:val="-2"/>
          <w:w w:val="115"/>
          <w:sz w:val="18"/>
        </w:rPr>
        <w:t>is</w:t>
      </w:r>
      <w:r w:rsidRPr="00283806">
        <w:rPr>
          <w:rFonts w:ascii="Book Antiqua"/>
          <w:i/>
          <w:spacing w:val="-11"/>
          <w:w w:val="115"/>
          <w:sz w:val="18"/>
        </w:rPr>
        <w:t xml:space="preserve"> </w:t>
      </w:r>
      <w:r w:rsidRPr="00283806">
        <w:rPr>
          <w:rFonts w:ascii="Book Antiqua"/>
          <w:i/>
          <w:spacing w:val="-2"/>
          <w:w w:val="115"/>
          <w:sz w:val="18"/>
        </w:rPr>
        <w:t xml:space="preserve">EPA </w:t>
      </w:r>
      <w:proofErr w:type="gramStart"/>
      <w:r w:rsidRPr="00283806">
        <w:rPr>
          <w:rFonts w:ascii="Book Antiqua"/>
          <w:i/>
          <w:w w:val="115"/>
          <w:sz w:val="18"/>
        </w:rPr>
        <w:t>addressing</w:t>
      </w:r>
      <w:proofErr w:type="gramEnd"/>
      <w:r w:rsidRPr="00283806">
        <w:rPr>
          <w:rFonts w:ascii="Book Antiqua"/>
          <w:i/>
          <w:w w:val="115"/>
          <w:sz w:val="18"/>
        </w:rPr>
        <w:t xml:space="preserve"> under subsection (h)?</w:t>
      </w:r>
    </w:p>
    <w:p w14:paraId="2C688CAE" w14:textId="77777777" w:rsidR="00D67C1E" w:rsidRPr="00283806" w:rsidRDefault="001265CA">
      <w:pPr>
        <w:pStyle w:val="BodyText"/>
        <w:spacing w:before="58" w:line="225" w:lineRule="auto"/>
        <w:ind w:left="153" w:right="161" w:firstLine="180"/>
      </w:pPr>
      <w:r w:rsidRPr="00283806">
        <w:rPr>
          <w:w w:val="105"/>
        </w:rPr>
        <w:t>Subsection (h) of the AIM Act</w:t>
      </w:r>
      <w:r w:rsidRPr="00283806">
        <w:rPr>
          <w:spacing w:val="80"/>
          <w:w w:val="105"/>
        </w:rPr>
        <w:t xml:space="preserve"> </w:t>
      </w:r>
      <w:r w:rsidRPr="00283806">
        <w:rPr>
          <w:w w:val="105"/>
        </w:rPr>
        <w:t>provides EPA authority to promulgate regulations to control, where appropriate, any practice, process, or activity related to the servicing, repair, disposal, or installation of equipment that involves HFCs or their substitutes,</w:t>
      </w:r>
      <w:r w:rsidRPr="00283806">
        <w:rPr>
          <w:spacing w:val="40"/>
          <w:w w:val="105"/>
        </w:rPr>
        <w:t xml:space="preserve"> </w:t>
      </w:r>
      <w:r w:rsidRPr="00283806">
        <w:rPr>
          <w:w w:val="105"/>
        </w:rPr>
        <w:t>or the reclaiming of HFCs or their substitutes used as refrigerants. EPA interprets this provision to include authority to regulate, as appropriate, practices, processes, or activities related to any equipment that uses a regulated substance or a substitute for a regulated substance. Regulated substances and their substitutes are typically used in RACHP equipment as a refrigerant.</w:t>
      </w:r>
    </w:p>
    <w:p w14:paraId="41E9A935" w14:textId="77777777" w:rsidR="00D67C1E" w:rsidRPr="00283806" w:rsidRDefault="001265CA">
      <w:pPr>
        <w:pStyle w:val="BodyText"/>
        <w:spacing w:line="225" w:lineRule="auto"/>
        <w:ind w:left="153" w:right="163"/>
      </w:pPr>
      <w:r w:rsidRPr="00283806">
        <w:rPr>
          <w:w w:val="105"/>
        </w:rPr>
        <w:t>Regulated substances and/or their substitutes may also be used in other types of equipment, such as equipment used in aerosols, fire suppression,</w:t>
      </w:r>
      <w:r w:rsidRPr="00283806">
        <w:rPr>
          <w:spacing w:val="40"/>
          <w:w w:val="105"/>
        </w:rPr>
        <w:t xml:space="preserve"> </w:t>
      </w:r>
      <w:r w:rsidRPr="00283806">
        <w:rPr>
          <w:w w:val="105"/>
        </w:rPr>
        <w:t>solvent cleaning, foam blowing, and others. However, as explained in section</w:t>
      </w:r>
    </w:p>
    <w:p w14:paraId="3C0D205C" w14:textId="77777777" w:rsidR="00D67C1E" w:rsidRPr="00283806" w:rsidRDefault="001265CA">
      <w:pPr>
        <w:pStyle w:val="BodyText"/>
        <w:spacing w:line="225" w:lineRule="auto"/>
        <w:ind w:left="153" w:right="132"/>
      </w:pPr>
      <w:r w:rsidRPr="00283806">
        <w:rPr>
          <w:w w:val="105"/>
        </w:rPr>
        <w:t>II.B of this preamble, subsection (h)(4)</w:t>
      </w:r>
      <w:r w:rsidRPr="00283806">
        <w:rPr>
          <w:spacing w:val="80"/>
          <w:w w:val="105"/>
        </w:rPr>
        <w:t xml:space="preserve"> </w:t>
      </w:r>
      <w:r w:rsidRPr="00283806">
        <w:rPr>
          <w:w w:val="105"/>
        </w:rPr>
        <w:t>of the AIM Act expressly provides that any rulemaking under subsection (h) shall not apply to a regulated substance or a substitute for a regulated substance that is contained in a foam. Thus, this rulemaking did not propose and is not finalizing any requirements for</w:t>
      </w:r>
      <w:r w:rsidRPr="00283806">
        <w:rPr>
          <w:spacing w:val="80"/>
          <w:w w:val="105"/>
        </w:rPr>
        <w:t xml:space="preserve"> </w:t>
      </w:r>
      <w:r w:rsidRPr="00283806">
        <w:rPr>
          <w:w w:val="105"/>
        </w:rPr>
        <w:t>regulated substances or their substitutes when they are contained in foams. Accordingly,</w:t>
      </w:r>
      <w:r w:rsidRPr="00283806">
        <w:rPr>
          <w:spacing w:val="40"/>
          <w:w w:val="105"/>
        </w:rPr>
        <w:t xml:space="preserve"> </w:t>
      </w:r>
      <w:r w:rsidRPr="00283806">
        <w:rPr>
          <w:w w:val="105"/>
        </w:rPr>
        <w:t>EPA</w:t>
      </w:r>
      <w:r w:rsidRPr="00283806">
        <w:rPr>
          <w:spacing w:val="40"/>
          <w:w w:val="105"/>
        </w:rPr>
        <w:t xml:space="preserve"> </w:t>
      </w:r>
      <w:r w:rsidRPr="00283806">
        <w:rPr>
          <w:w w:val="105"/>
        </w:rPr>
        <w:t>interprets</w:t>
      </w:r>
      <w:r w:rsidRPr="00283806">
        <w:rPr>
          <w:spacing w:val="40"/>
          <w:w w:val="105"/>
        </w:rPr>
        <w:t xml:space="preserve"> </w:t>
      </w:r>
      <w:r w:rsidRPr="00283806">
        <w:rPr>
          <w:w w:val="105"/>
        </w:rPr>
        <w:t>its authority under subsection (h) to</w:t>
      </w:r>
      <w:r w:rsidRPr="00283806">
        <w:rPr>
          <w:spacing w:val="80"/>
          <w:w w:val="105"/>
        </w:rPr>
        <w:t xml:space="preserve"> </w:t>
      </w:r>
      <w:r w:rsidRPr="00283806">
        <w:rPr>
          <w:w w:val="105"/>
        </w:rPr>
        <w:t>include promulgating regulations that control the types of practices, processes, or activities identified in subsection (h)(1)</w:t>
      </w:r>
      <w:r w:rsidRPr="00283806">
        <w:rPr>
          <w:spacing w:val="-3"/>
          <w:w w:val="105"/>
        </w:rPr>
        <w:t xml:space="preserve"> </w:t>
      </w:r>
      <w:r w:rsidRPr="00283806">
        <w:rPr>
          <w:w w:val="105"/>
        </w:rPr>
        <w:t>in</w:t>
      </w:r>
      <w:r w:rsidRPr="00283806">
        <w:rPr>
          <w:spacing w:val="-3"/>
          <w:w w:val="105"/>
        </w:rPr>
        <w:t xml:space="preserve"> </w:t>
      </w:r>
      <w:r w:rsidRPr="00283806">
        <w:rPr>
          <w:w w:val="105"/>
        </w:rPr>
        <w:t>any</w:t>
      </w:r>
      <w:r w:rsidRPr="00283806">
        <w:rPr>
          <w:spacing w:val="-3"/>
          <w:w w:val="105"/>
        </w:rPr>
        <w:t xml:space="preserve"> </w:t>
      </w:r>
      <w:r w:rsidRPr="00283806">
        <w:rPr>
          <w:w w:val="105"/>
        </w:rPr>
        <w:t>of</w:t>
      </w:r>
      <w:r w:rsidRPr="00283806">
        <w:rPr>
          <w:spacing w:val="-3"/>
          <w:w w:val="105"/>
        </w:rPr>
        <w:t xml:space="preserve"> </w:t>
      </w:r>
      <w:r w:rsidRPr="00283806">
        <w:rPr>
          <w:w w:val="105"/>
        </w:rPr>
        <w:t>those</w:t>
      </w:r>
      <w:r w:rsidRPr="00283806">
        <w:rPr>
          <w:spacing w:val="-3"/>
          <w:w w:val="105"/>
        </w:rPr>
        <w:t xml:space="preserve"> </w:t>
      </w:r>
      <w:r w:rsidRPr="00283806">
        <w:rPr>
          <w:w w:val="105"/>
        </w:rPr>
        <w:t>sectors,</w:t>
      </w:r>
      <w:r w:rsidRPr="00283806">
        <w:rPr>
          <w:spacing w:val="-3"/>
          <w:w w:val="105"/>
        </w:rPr>
        <w:t xml:space="preserve"> </w:t>
      </w:r>
      <w:r w:rsidRPr="00283806">
        <w:rPr>
          <w:w w:val="105"/>
        </w:rPr>
        <w:t>subsectors, or applications, with the limitation that EPA does not interpret its regulatory authority under subsection (h) to extend to HFCs or substitutes for HFCs when they are contained in foams.</w:t>
      </w:r>
    </w:p>
    <w:p w14:paraId="5E9F358C" w14:textId="77777777" w:rsidR="00D67C1E" w:rsidRPr="00283806" w:rsidRDefault="001265CA">
      <w:pPr>
        <w:pStyle w:val="BodyText"/>
        <w:spacing w:line="176" w:lineRule="exact"/>
        <w:ind w:left="333"/>
      </w:pPr>
      <w:r w:rsidRPr="00283806">
        <w:rPr>
          <w:w w:val="105"/>
        </w:rPr>
        <w:t>EPA</w:t>
      </w:r>
      <w:r w:rsidRPr="00283806">
        <w:rPr>
          <w:spacing w:val="11"/>
          <w:w w:val="105"/>
        </w:rPr>
        <w:t xml:space="preserve"> </w:t>
      </w:r>
      <w:r w:rsidRPr="00283806">
        <w:rPr>
          <w:w w:val="105"/>
        </w:rPr>
        <w:t>is</w:t>
      </w:r>
      <w:r w:rsidRPr="00283806">
        <w:rPr>
          <w:spacing w:val="12"/>
          <w:w w:val="105"/>
        </w:rPr>
        <w:t xml:space="preserve"> </w:t>
      </w:r>
      <w:r w:rsidRPr="00283806">
        <w:rPr>
          <w:w w:val="105"/>
        </w:rPr>
        <w:t>establishing</w:t>
      </w:r>
      <w:r w:rsidRPr="00283806">
        <w:rPr>
          <w:spacing w:val="12"/>
          <w:w w:val="105"/>
        </w:rPr>
        <w:t xml:space="preserve"> </w:t>
      </w:r>
      <w:r w:rsidRPr="00283806">
        <w:rPr>
          <w:w w:val="105"/>
        </w:rPr>
        <w:t>requirements</w:t>
      </w:r>
      <w:r w:rsidRPr="00283806">
        <w:rPr>
          <w:spacing w:val="11"/>
          <w:w w:val="105"/>
        </w:rPr>
        <w:t xml:space="preserve"> </w:t>
      </w:r>
      <w:r w:rsidRPr="00283806">
        <w:rPr>
          <w:spacing w:val="-5"/>
          <w:w w:val="105"/>
        </w:rPr>
        <w:t>for</w:t>
      </w:r>
    </w:p>
    <w:p w14:paraId="1CD62AAE" w14:textId="77777777" w:rsidR="00D67C1E" w:rsidRPr="00283806" w:rsidRDefault="001265CA">
      <w:pPr>
        <w:pStyle w:val="BodyText"/>
        <w:spacing w:line="228" w:lineRule="auto"/>
        <w:ind w:left="153" w:right="207"/>
      </w:pPr>
      <w:r w:rsidRPr="00283806">
        <w:rPr>
          <w:w w:val="105"/>
        </w:rPr>
        <w:t>the servicing, repair, disposal, and/or installation of equipment in the RACHP and fire suppression sectors as</w:t>
      </w:r>
      <w:r w:rsidRPr="00283806">
        <w:rPr>
          <w:spacing w:val="80"/>
          <w:w w:val="105"/>
        </w:rPr>
        <w:t xml:space="preserve"> </w:t>
      </w:r>
      <w:r w:rsidRPr="00283806">
        <w:rPr>
          <w:w w:val="105"/>
        </w:rPr>
        <w:t>described in sections IV.C through G of this preamble. EPA interprets</w:t>
      </w:r>
      <w:r w:rsidRPr="00283806">
        <w:rPr>
          <w:spacing w:val="80"/>
          <w:w w:val="105"/>
        </w:rPr>
        <w:t xml:space="preserve"> </w:t>
      </w:r>
      <w:r w:rsidRPr="00283806">
        <w:rPr>
          <w:w w:val="105"/>
        </w:rPr>
        <w:t>subsection (h) to provide authority that could be applied to practices, processes, or activities related to equipment across a broad range of sectors, subsectors, or applications that involve regulated substances and/or their substitutes. At</w:t>
      </w:r>
    </w:p>
    <w:p w14:paraId="5F30217D"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7" w:space="40"/>
            <w:col w:w="3491" w:space="39"/>
            <w:col w:w="3633"/>
          </w:cols>
        </w:sectPr>
      </w:pPr>
    </w:p>
    <w:p w14:paraId="54818ECD" w14:textId="77777777" w:rsidR="00D67C1E" w:rsidRPr="00283806" w:rsidRDefault="001265CA">
      <w:pPr>
        <w:pStyle w:val="BodyText"/>
        <w:spacing w:before="136" w:line="225" w:lineRule="auto"/>
        <w:ind w:right="27"/>
      </w:pPr>
      <w:proofErr w:type="gramStart"/>
      <w:r w:rsidRPr="00283806">
        <w:rPr>
          <w:w w:val="105"/>
        </w:rPr>
        <w:lastRenderedPageBreak/>
        <w:t>this</w:t>
      </w:r>
      <w:proofErr w:type="gramEnd"/>
      <w:r w:rsidRPr="00283806">
        <w:rPr>
          <w:w w:val="105"/>
        </w:rPr>
        <w:t xml:space="preserve"> time, EPA is focusing on certain sectors and subsectors in the requirements finalized in this rulemaking. In future rulemakings, EPA may consider establishing requirements for equipment in other sectors, subsectors, or applications that involve regulated substances and/or their substitutes. The relevant sections of this preamble</w:t>
      </w:r>
      <w:r w:rsidRPr="00283806">
        <w:rPr>
          <w:spacing w:val="-6"/>
          <w:w w:val="105"/>
        </w:rPr>
        <w:t xml:space="preserve"> </w:t>
      </w:r>
      <w:r w:rsidRPr="00283806">
        <w:rPr>
          <w:w w:val="105"/>
        </w:rPr>
        <w:t>describe</w:t>
      </w:r>
      <w:r w:rsidRPr="00283806">
        <w:rPr>
          <w:spacing w:val="-6"/>
          <w:w w:val="105"/>
        </w:rPr>
        <w:t xml:space="preserve"> </w:t>
      </w:r>
      <w:r w:rsidRPr="00283806">
        <w:rPr>
          <w:w w:val="105"/>
        </w:rPr>
        <w:t>the</w:t>
      </w:r>
      <w:r w:rsidRPr="00283806">
        <w:rPr>
          <w:spacing w:val="-6"/>
          <w:w w:val="105"/>
        </w:rPr>
        <w:t xml:space="preserve"> </w:t>
      </w:r>
      <w:r w:rsidRPr="00283806">
        <w:rPr>
          <w:w w:val="105"/>
        </w:rPr>
        <w:t>requirements</w:t>
      </w:r>
      <w:r w:rsidRPr="00283806">
        <w:rPr>
          <w:spacing w:val="-6"/>
          <w:w w:val="105"/>
        </w:rPr>
        <w:t xml:space="preserve"> </w:t>
      </w:r>
      <w:r w:rsidRPr="00283806">
        <w:rPr>
          <w:w w:val="105"/>
        </w:rPr>
        <w:t xml:space="preserve">that EPA is establishing for equipment in certain sectors and subsectors and how EPA understands these sectors and subsectors as relevant for these </w:t>
      </w:r>
      <w:r w:rsidRPr="00283806">
        <w:rPr>
          <w:spacing w:val="-2"/>
          <w:w w:val="105"/>
        </w:rPr>
        <w:t>requirements.</w:t>
      </w:r>
    </w:p>
    <w:p w14:paraId="095038E0" w14:textId="77777777" w:rsidR="00D67C1E" w:rsidRPr="00283806" w:rsidRDefault="001265CA">
      <w:pPr>
        <w:pStyle w:val="BodyText"/>
        <w:spacing w:line="175" w:lineRule="exact"/>
        <w:ind w:left="340"/>
      </w:pPr>
      <w:r w:rsidRPr="00283806">
        <w:rPr>
          <w:w w:val="105"/>
        </w:rPr>
        <w:t>Where</w:t>
      </w:r>
      <w:r w:rsidRPr="00283806">
        <w:rPr>
          <w:spacing w:val="15"/>
          <w:w w:val="105"/>
        </w:rPr>
        <w:t xml:space="preserve"> </w:t>
      </w:r>
      <w:r w:rsidRPr="00283806">
        <w:rPr>
          <w:w w:val="105"/>
        </w:rPr>
        <w:t>EPA</w:t>
      </w:r>
      <w:r w:rsidRPr="00283806">
        <w:rPr>
          <w:spacing w:val="15"/>
          <w:w w:val="105"/>
        </w:rPr>
        <w:t xml:space="preserve"> </w:t>
      </w:r>
      <w:r w:rsidRPr="00283806">
        <w:rPr>
          <w:w w:val="105"/>
        </w:rPr>
        <w:t>is</w:t>
      </w:r>
      <w:r w:rsidRPr="00283806">
        <w:rPr>
          <w:spacing w:val="16"/>
          <w:w w:val="105"/>
        </w:rPr>
        <w:t xml:space="preserve"> </w:t>
      </w:r>
      <w:proofErr w:type="gramStart"/>
      <w:r w:rsidRPr="00283806">
        <w:rPr>
          <w:spacing w:val="-2"/>
          <w:w w:val="105"/>
        </w:rPr>
        <w:t>establishing</w:t>
      </w:r>
      <w:proofErr w:type="gramEnd"/>
    </w:p>
    <w:p w14:paraId="65A29A27" w14:textId="77777777" w:rsidR="00D67C1E" w:rsidRPr="00283806" w:rsidRDefault="001265CA">
      <w:pPr>
        <w:pStyle w:val="BodyText"/>
        <w:spacing w:before="4" w:line="225" w:lineRule="auto"/>
        <w:ind w:right="40"/>
      </w:pPr>
      <w:r w:rsidRPr="00283806">
        <w:rPr>
          <w:w w:val="105"/>
        </w:rPr>
        <w:t>requirements for certain sectors or subsectors, we intend to be consistent with</w:t>
      </w:r>
      <w:r w:rsidRPr="00283806">
        <w:rPr>
          <w:spacing w:val="-3"/>
          <w:w w:val="105"/>
        </w:rPr>
        <w:t xml:space="preserve"> </w:t>
      </w:r>
      <w:r w:rsidRPr="00283806">
        <w:rPr>
          <w:w w:val="105"/>
        </w:rPr>
        <w:t>how</w:t>
      </w:r>
      <w:r w:rsidRPr="00283806">
        <w:rPr>
          <w:spacing w:val="-3"/>
          <w:w w:val="105"/>
        </w:rPr>
        <w:t xml:space="preserve"> </w:t>
      </w:r>
      <w:r w:rsidRPr="00283806">
        <w:rPr>
          <w:w w:val="105"/>
        </w:rPr>
        <w:t>those</w:t>
      </w:r>
      <w:r w:rsidRPr="00283806">
        <w:rPr>
          <w:spacing w:val="-3"/>
          <w:w w:val="105"/>
        </w:rPr>
        <w:t xml:space="preserve"> </w:t>
      </w:r>
      <w:r w:rsidRPr="00283806">
        <w:rPr>
          <w:w w:val="105"/>
        </w:rPr>
        <w:t>sectors</w:t>
      </w:r>
      <w:r w:rsidRPr="00283806">
        <w:rPr>
          <w:spacing w:val="-3"/>
          <w:w w:val="105"/>
        </w:rPr>
        <w:t xml:space="preserve"> </w:t>
      </w:r>
      <w:r w:rsidRPr="00283806">
        <w:rPr>
          <w:w w:val="105"/>
        </w:rPr>
        <w:t>or</w:t>
      </w:r>
      <w:r w:rsidRPr="00283806">
        <w:rPr>
          <w:spacing w:val="-3"/>
          <w:w w:val="105"/>
        </w:rPr>
        <w:t xml:space="preserve"> </w:t>
      </w:r>
      <w:r w:rsidRPr="00283806">
        <w:rPr>
          <w:w w:val="105"/>
        </w:rPr>
        <w:t>subsectors</w:t>
      </w:r>
      <w:r w:rsidRPr="00283806">
        <w:rPr>
          <w:spacing w:val="-3"/>
          <w:w w:val="105"/>
        </w:rPr>
        <w:t xml:space="preserve"> </w:t>
      </w:r>
      <w:r w:rsidRPr="00283806">
        <w:rPr>
          <w:w w:val="105"/>
        </w:rPr>
        <w:t>are understood under other provisions of</w:t>
      </w:r>
      <w:r w:rsidRPr="00283806">
        <w:rPr>
          <w:spacing w:val="40"/>
          <w:w w:val="105"/>
        </w:rPr>
        <w:t xml:space="preserve"> </w:t>
      </w:r>
      <w:r w:rsidRPr="00283806">
        <w:rPr>
          <w:w w:val="105"/>
        </w:rPr>
        <w:t>the AIM Act and/or CAA title VI that address the same sector or subsector, such as subsection (i) of the AIM Act, through the Technology Transitions program. EPA issued a final Technology Transitions Rule on October 24, 2023</w:t>
      </w:r>
    </w:p>
    <w:p w14:paraId="2A00AD86" w14:textId="77777777" w:rsidR="00D67C1E" w:rsidRPr="00283806" w:rsidRDefault="001265CA">
      <w:pPr>
        <w:pStyle w:val="BodyText"/>
        <w:spacing w:before="6" w:line="228" w:lineRule="auto"/>
        <w:ind w:right="97"/>
      </w:pPr>
      <w:r w:rsidRPr="00283806">
        <w:rPr>
          <w:w w:val="105"/>
        </w:rPr>
        <w:t>(88 FR 73098), which provides additional detail on many of the same sectors and subsectors for which this action finalizes certain requirements under subsection (h). EPA also considered how those sectors or subsectors are addressed in the 2023 Technology Transitions Rule in</w:t>
      </w:r>
      <w:r w:rsidRPr="00283806">
        <w:rPr>
          <w:spacing w:val="40"/>
          <w:w w:val="105"/>
        </w:rPr>
        <w:t xml:space="preserve"> </w:t>
      </w:r>
      <w:r w:rsidRPr="00283806">
        <w:rPr>
          <w:w w:val="105"/>
        </w:rPr>
        <w:t>finalizing this rule under subsection (h) of the AIM Act.</w:t>
      </w:r>
    </w:p>
    <w:p w14:paraId="770DC1F9" w14:textId="77777777" w:rsidR="00D67C1E" w:rsidRPr="00283806" w:rsidRDefault="001265CA">
      <w:pPr>
        <w:pStyle w:val="BodyText"/>
        <w:spacing w:line="176" w:lineRule="exact"/>
        <w:ind w:left="340"/>
      </w:pPr>
      <w:r w:rsidRPr="00283806">
        <w:rPr>
          <w:w w:val="110"/>
        </w:rPr>
        <w:t>EPA</w:t>
      </w:r>
      <w:r w:rsidRPr="00283806">
        <w:rPr>
          <w:spacing w:val="-9"/>
          <w:w w:val="110"/>
        </w:rPr>
        <w:t xml:space="preserve"> </w:t>
      </w:r>
      <w:r w:rsidRPr="00283806">
        <w:rPr>
          <w:w w:val="110"/>
        </w:rPr>
        <w:t>is</w:t>
      </w:r>
      <w:r w:rsidRPr="00283806">
        <w:rPr>
          <w:spacing w:val="-9"/>
          <w:w w:val="110"/>
        </w:rPr>
        <w:t xml:space="preserve"> </w:t>
      </w:r>
      <w:r w:rsidRPr="00283806">
        <w:rPr>
          <w:w w:val="110"/>
        </w:rPr>
        <w:t>establishing</w:t>
      </w:r>
      <w:r w:rsidRPr="00283806">
        <w:rPr>
          <w:spacing w:val="-9"/>
          <w:w w:val="110"/>
        </w:rPr>
        <w:t xml:space="preserve"> </w:t>
      </w:r>
      <w:r w:rsidRPr="00283806">
        <w:rPr>
          <w:w w:val="110"/>
        </w:rPr>
        <w:t>certain</w:t>
      </w:r>
      <w:r w:rsidRPr="00283806">
        <w:rPr>
          <w:spacing w:val="-9"/>
          <w:w w:val="110"/>
        </w:rPr>
        <w:t xml:space="preserve"> </w:t>
      </w:r>
      <w:r w:rsidRPr="00283806">
        <w:rPr>
          <w:spacing w:val="-2"/>
          <w:w w:val="110"/>
        </w:rPr>
        <w:t>provisions,</w:t>
      </w:r>
    </w:p>
    <w:p w14:paraId="65D7548E" w14:textId="77777777" w:rsidR="00D67C1E" w:rsidRPr="00283806" w:rsidRDefault="001265CA">
      <w:pPr>
        <w:pStyle w:val="BodyText"/>
        <w:spacing w:before="3" w:line="228" w:lineRule="auto"/>
        <w:ind w:left="159" w:right="78"/>
      </w:pPr>
      <w:r w:rsidRPr="00283806">
        <w:rPr>
          <w:w w:val="105"/>
        </w:rPr>
        <w:t xml:space="preserve">as described later in this preamble, for certain equipment in applicable subsectors within the RACHP sector in this action. Such subsectors within the RACHP sector </w:t>
      </w:r>
      <w:proofErr w:type="gramStart"/>
      <w:r w:rsidRPr="00283806">
        <w:rPr>
          <w:w w:val="105"/>
        </w:rPr>
        <w:t>include:</w:t>
      </w:r>
      <w:proofErr w:type="gramEnd"/>
      <w:r w:rsidRPr="00283806">
        <w:rPr>
          <w:w w:val="105"/>
        </w:rPr>
        <w:t xml:space="preserve"> supermarket systems; refrigerated transport; and automatic</w:t>
      </w:r>
      <w:r w:rsidRPr="00283806">
        <w:rPr>
          <w:spacing w:val="40"/>
          <w:w w:val="105"/>
        </w:rPr>
        <w:t xml:space="preserve"> </w:t>
      </w:r>
      <w:r w:rsidRPr="00283806">
        <w:rPr>
          <w:w w:val="105"/>
        </w:rPr>
        <w:t>commercial</w:t>
      </w:r>
      <w:r w:rsidRPr="00283806">
        <w:rPr>
          <w:spacing w:val="40"/>
          <w:w w:val="105"/>
        </w:rPr>
        <w:t xml:space="preserve"> </w:t>
      </w:r>
      <w:r w:rsidRPr="00283806">
        <w:rPr>
          <w:w w:val="105"/>
        </w:rPr>
        <w:t>ice</w:t>
      </w:r>
      <w:r w:rsidRPr="00283806">
        <w:rPr>
          <w:spacing w:val="40"/>
          <w:w w:val="105"/>
        </w:rPr>
        <w:t xml:space="preserve"> </w:t>
      </w:r>
      <w:r w:rsidRPr="00283806">
        <w:rPr>
          <w:w w:val="105"/>
        </w:rPr>
        <w:t>makers.</w:t>
      </w:r>
      <w:r w:rsidRPr="00283806">
        <w:rPr>
          <w:w w:val="105"/>
          <w:position w:val="5"/>
          <w:sz w:val="11"/>
        </w:rPr>
        <w:t>51</w:t>
      </w:r>
      <w:r w:rsidRPr="00283806">
        <w:rPr>
          <w:spacing w:val="40"/>
          <w:w w:val="105"/>
          <w:position w:val="5"/>
          <w:sz w:val="11"/>
        </w:rPr>
        <w:t xml:space="preserve"> </w:t>
      </w:r>
      <w:r w:rsidRPr="00283806">
        <w:rPr>
          <w:w w:val="105"/>
        </w:rPr>
        <w:t>EPA is also establishing certain provisions for equipment in the fire suppression sector, as described later in this preamble.</w:t>
      </w:r>
    </w:p>
    <w:p w14:paraId="10D3C965" w14:textId="77777777" w:rsidR="00D67C1E" w:rsidRPr="00283806" w:rsidRDefault="001265CA">
      <w:pPr>
        <w:pStyle w:val="ListParagraph"/>
        <w:numPr>
          <w:ilvl w:val="1"/>
          <w:numId w:val="64"/>
        </w:numPr>
        <w:tabs>
          <w:tab w:val="left" w:pos="378"/>
        </w:tabs>
        <w:spacing w:before="87"/>
        <w:ind w:left="378" w:hanging="219"/>
        <w:rPr>
          <w:rFonts w:ascii="Book Antiqua"/>
          <w:i/>
          <w:sz w:val="18"/>
        </w:rPr>
      </w:pPr>
      <w:r w:rsidRPr="00283806">
        <w:rPr>
          <w:rFonts w:ascii="Book Antiqua"/>
          <w:i/>
          <w:w w:val="110"/>
          <w:sz w:val="18"/>
        </w:rPr>
        <w:t>How</w:t>
      </w:r>
      <w:r w:rsidRPr="00283806">
        <w:rPr>
          <w:rFonts w:ascii="Book Antiqua"/>
          <w:i/>
          <w:spacing w:val="5"/>
          <w:w w:val="110"/>
          <w:sz w:val="18"/>
        </w:rPr>
        <w:t xml:space="preserve"> </w:t>
      </w:r>
      <w:r w:rsidRPr="00283806">
        <w:rPr>
          <w:rFonts w:ascii="Book Antiqua"/>
          <w:i/>
          <w:w w:val="110"/>
          <w:sz w:val="18"/>
        </w:rPr>
        <w:t>is</w:t>
      </w:r>
      <w:r w:rsidRPr="00283806">
        <w:rPr>
          <w:rFonts w:ascii="Book Antiqua"/>
          <w:i/>
          <w:spacing w:val="5"/>
          <w:w w:val="110"/>
          <w:sz w:val="18"/>
        </w:rPr>
        <w:t xml:space="preserve"> </w:t>
      </w:r>
      <w:r w:rsidRPr="00283806">
        <w:rPr>
          <w:rFonts w:ascii="Book Antiqua"/>
          <w:i/>
          <w:w w:val="110"/>
          <w:sz w:val="18"/>
        </w:rPr>
        <w:t>EPA</w:t>
      </w:r>
      <w:r w:rsidRPr="00283806">
        <w:rPr>
          <w:rFonts w:ascii="Book Antiqua"/>
          <w:i/>
          <w:spacing w:val="6"/>
          <w:w w:val="110"/>
          <w:sz w:val="18"/>
        </w:rPr>
        <w:t xml:space="preserve"> </w:t>
      </w:r>
      <w:r w:rsidRPr="00283806">
        <w:rPr>
          <w:rFonts w:ascii="Book Antiqua"/>
          <w:i/>
          <w:w w:val="110"/>
          <w:sz w:val="18"/>
        </w:rPr>
        <w:t>addressing</w:t>
      </w:r>
      <w:r w:rsidRPr="00283806">
        <w:rPr>
          <w:rFonts w:ascii="Book Antiqua"/>
          <w:i/>
          <w:spacing w:val="5"/>
          <w:w w:val="110"/>
          <w:sz w:val="18"/>
        </w:rPr>
        <w:t xml:space="preserve"> </w:t>
      </w:r>
      <w:r w:rsidRPr="00283806">
        <w:rPr>
          <w:rFonts w:ascii="Book Antiqua"/>
          <w:i/>
          <w:w w:val="110"/>
          <w:sz w:val="18"/>
        </w:rPr>
        <w:t>leak</w:t>
      </w:r>
      <w:r w:rsidRPr="00283806">
        <w:rPr>
          <w:rFonts w:ascii="Book Antiqua"/>
          <w:i/>
          <w:spacing w:val="5"/>
          <w:w w:val="110"/>
          <w:sz w:val="18"/>
        </w:rPr>
        <w:t xml:space="preserve"> </w:t>
      </w:r>
      <w:r w:rsidRPr="00283806">
        <w:rPr>
          <w:rFonts w:ascii="Book Antiqua"/>
          <w:i/>
          <w:spacing w:val="-2"/>
          <w:w w:val="110"/>
          <w:sz w:val="18"/>
        </w:rPr>
        <w:t>repair?</w:t>
      </w:r>
    </w:p>
    <w:p w14:paraId="27E1DA32" w14:textId="77777777" w:rsidR="00D67C1E" w:rsidRPr="00283806" w:rsidRDefault="001265CA">
      <w:pPr>
        <w:pStyle w:val="BodyText"/>
        <w:spacing w:before="51" w:line="228" w:lineRule="auto"/>
        <w:ind w:left="159" w:right="44" w:firstLine="180"/>
      </w:pPr>
      <w:r w:rsidRPr="00283806">
        <w:rPr>
          <w:w w:val="105"/>
        </w:rPr>
        <w:t>EPA is finalizing aspects of the proposed leak repair requirements, with modifications after consideration of the comments and information received on the proposed rule, as discussed in</w:t>
      </w:r>
      <w:r w:rsidRPr="00283806">
        <w:rPr>
          <w:spacing w:val="40"/>
          <w:w w:val="105"/>
        </w:rPr>
        <w:t xml:space="preserve"> </w:t>
      </w:r>
      <w:r w:rsidRPr="00283806">
        <w:rPr>
          <w:w w:val="105"/>
        </w:rPr>
        <w:t>further detail in the following sections. The Agency is finalizing leak repair requirements for refrigerant-containing</w:t>
      </w:r>
    </w:p>
    <w:p w14:paraId="1E7C73FA" w14:textId="77777777" w:rsidR="00D67C1E" w:rsidRPr="00283806" w:rsidRDefault="001265CA">
      <w:pPr>
        <w:pStyle w:val="BodyText"/>
        <w:spacing w:before="8"/>
        <w:ind w:left="0"/>
        <w:rPr>
          <w:sz w:val="12"/>
        </w:rPr>
      </w:pPr>
      <w:r w:rsidRPr="00283806">
        <w:rPr>
          <w:noProof/>
        </w:rPr>
        <mc:AlternateContent>
          <mc:Choice Requires="wps">
            <w:drawing>
              <wp:anchor distT="0" distB="0" distL="0" distR="0" simplePos="0" relativeHeight="251632640" behindDoc="1" locked="0" layoutInCell="1" allowOverlap="1" wp14:anchorId="2F5FC32F" wp14:editId="2D2F7C53">
                <wp:simplePos x="0" y="0"/>
                <wp:positionH relativeFrom="page">
                  <wp:posOffset>571500</wp:posOffset>
                </wp:positionH>
                <wp:positionV relativeFrom="paragraph">
                  <wp:posOffset>110115</wp:posOffset>
                </wp:positionV>
                <wp:extent cx="635000" cy="1270"/>
                <wp:effectExtent l="0" t="0" r="0" b="0"/>
                <wp:wrapTopAndBottom/>
                <wp:docPr id="64" name="Graphic 6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BEC4BD" id="Graphic 64" o:spid="_x0000_s1026" alt="&quot;&quot;" style="position:absolute;margin-left:45pt;margin-top:8.65pt;width:50pt;height:.1pt;z-index:-251683840;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" path="m,l635000,e" filled="f" strokeweight=".5pt">
                <v:path arrowok="t"/>
                <w10:wrap type="topAndBottom" anchorx="page"/>
              </v:shape>
            </w:pict>
          </mc:Fallback>
        </mc:AlternateContent>
      </w:r>
    </w:p>
    <w:p w14:paraId="277A000F" w14:textId="77777777" w:rsidR="00D67C1E" w:rsidRPr="00283806" w:rsidRDefault="001265CA">
      <w:pPr>
        <w:spacing w:before="40" w:line="232" w:lineRule="auto"/>
        <w:ind w:left="159" w:right="48" w:firstLine="140"/>
        <w:rPr>
          <w:sz w:val="14"/>
        </w:rPr>
      </w:pPr>
      <w:r w:rsidRPr="00283806">
        <w:rPr>
          <w:w w:val="105"/>
          <w:position w:val="4"/>
          <w:sz w:val="9"/>
        </w:rPr>
        <w:t xml:space="preserve">51 </w:t>
      </w:r>
      <w:r w:rsidRPr="00283806">
        <w:rPr>
          <w:w w:val="105"/>
          <w:sz w:val="14"/>
        </w:rPr>
        <w:t>In other actions by EPA, such as the 2023</w:t>
      </w:r>
      <w:r w:rsidRPr="00283806">
        <w:rPr>
          <w:spacing w:val="40"/>
          <w:w w:val="105"/>
          <w:sz w:val="14"/>
        </w:rPr>
        <w:t xml:space="preserve"> </w:t>
      </w:r>
      <w:r w:rsidRPr="00283806">
        <w:rPr>
          <w:w w:val="105"/>
          <w:sz w:val="14"/>
        </w:rPr>
        <w:t>Technology Transitions Rule or rulemakings and/or</w:t>
      </w:r>
      <w:r w:rsidRPr="00283806">
        <w:rPr>
          <w:spacing w:val="40"/>
          <w:w w:val="105"/>
          <w:sz w:val="14"/>
        </w:rPr>
        <w:t xml:space="preserve"> </w:t>
      </w:r>
      <w:r w:rsidRPr="00283806">
        <w:rPr>
          <w:w w:val="105"/>
          <w:sz w:val="14"/>
        </w:rPr>
        <w:t>notices under the SNAP program, EPA refers to this</w:t>
      </w:r>
      <w:r w:rsidRPr="00283806">
        <w:rPr>
          <w:spacing w:val="40"/>
          <w:w w:val="105"/>
          <w:sz w:val="14"/>
        </w:rPr>
        <w:t xml:space="preserve"> </w:t>
      </w:r>
      <w:r w:rsidRPr="00283806">
        <w:rPr>
          <w:w w:val="105"/>
          <w:sz w:val="14"/>
        </w:rPr>
        <w:t>subsector as ‘‘automatic commercial ice machines’’</w:t>
      </w:r>
      <w:r w:rsidRPr="00283806">
        <w:rPr>
          <w:spacing w:val="40"/>
          <w:w w:val="105"/>
          <w:sz w:val="14"/>
        </w:rPr>
        <w:t xml:space="preserve"> </w:t>
      </w:r>
      <w:r w:rsidRPr="00283806">
        <w:rPr>
          <w:w w:val="105"/>
          <w:sz w:val="14"/>
        </w:rPr>
        <w:t>or ‘‘commercial ice machines,’’ respectively. EPA is</w:t>
      </w:r>
      <w:r w:rsidRPr="00283806">
        <w:rPr>
          <w:spacing w:val="40"/>
          <w:w w:val="105"/>
          <w:sz w:val="14"/>
        </w:rPr>
        <w:t xml:space="preserve"> </w:t>
      </w:r>
      <w:r w:rsidRPr="00283806">
        <w:rPr>
          <w:w w:val="105"/>
          <w:sz w:val="14"/>
        </w:rPr>
        <w:t>clarifying that in this rulemaking, we intend for the</w:t>
      </w:r>
      <w:r w:rsidRPr="00283806">
        <w:rPr>
          <w:spacing w:val="40"/>
          <w:w w:val="105"/>
          <w:sz w:val="14"/>
        </w:rPr>
        <w:t xml:space="preserve"> </w:t>
      </w:r>
      <w:r w:rsidRPr="00283806">
        <w:rPr>
          <w:w w:val="105"/>
          <w:sz w:val="14"/>
        </w:rPr>
        <w:t>term ‘‘automatic commercial ice makers’’ to cover</w:t>
      </w:r>
      <w:r w:rsidRPr="00283806">
        <w:rPr>
          <w:spacing w:val="40"/>
          <w:w w:val="105"/>
          <w:sz w:val="14"/>
        </w:rPr>
        <w:t xml:space="preserve"> </w:t>
      </w:r>
      <w:r w:rsidRPr="00283806">
        <w:rPr>
          <w:w w:val="105"/>
          <w:sz w:val="14"/>
        </w:rPr>
        <w:t>the same types of refrigerant-containing equipment</w:t>
      </w:r>
    </w:p>
    <w:p w14:paraId="0E6108CF" w14:textId="77777777" w:rsidR="00D67C1E" w:rsidRPr="00283806" w:rsidRDefault="001265CA">
      <w:pPr>
        <w:pStyle w:val="BodyText"/>
        <w:spacing w:before="136" w:line="225" w:lineRule="auto"/>
        <w:ind w:left="143" w:right="59"/>
      </w:pPr>
      <w:r w:rsidRPr="00283806">
        <w:br w:type="column"/>
      </w:r>
      <w:r w:rsidRPr="00283806">
        <w:rPr>
          <w:w w:val="105"/>
        </w:rPr>
        <w:t>appliances with a charge size of 15 pounds or more that contain an HFC or substitute for an HFC with a GWP</w:t>
      </w:r>
      <w:r w:rsidRPr="00283806">
        <w:rPr>
          <w:spacing w:val="80"/>
          <w:w w:val="105"/>
        </w:rPr>
        <w:t xml:space="preserve"> </w:t>
      </w:r>
      <w:r w:rsidRPr="00283806">
        <w:rPr>
          <w:w w:val="105"/>
        </w:rPr>
        <w:t>greater than 53. In the proposal, EPA bifurcated its compliance dates based on charge size, with refrigerant-containing appliances containing 50 pounds or</w:t>
      </w:r>
      <w:r w:rsidRPr="00283806">
        <w:rPr>
          <w:spacing w:val="80"/>
          <w:w w:val="105"/>
        </w:rPr>
        <w:t xml:space="preserve"> </w:t>
      </w:r>
      <w:r w:rsidRPr="00283806">
        <w:rPr>
          <w:w w:val="105"/>
        </w:rPr>
        <w:t>more needing to comply within 60 days</w:t>
      </w:r>
      <w:r w:rsidRPr="00283806">
        <w:rPr>
          <w:spacing w:val="40"/>
          <w:w w:val="105"/>
        </w:rPr>
        <w:t xml:space="preserve"> </w:t>
      </w:r>
      <w:r w:rsidRPr="00283806">
        <w:rPr>
          <w:w w:val="105"/>
        </w:rPr>
        <w:t xml:space="preserve">of publication in the </w:t>
      </w:r>
      <w:r w:rsidRPr="00283806">
        <w:rPr>
          <w:rFonts w:ascii="Book Antiqua"/>
          <w:b/>
          <w:w w:val="105"/>
        </w:rPr>
        <w:t xml:space="preserve">Federal Register </w:t>
      </w:r>
      <w:r w:rsidRPr="00283806">
        <w:rPr>
          <w:w w:val="105"/>
        </w:rPr>
        <w:t xml:space="preserve">and refrigerant-containing appliances between 15 and 50 pounds having a compliance date of one year after publication in the </w:t>
      </w:r>
      <w:r w:rsidRPr="00283806">
        <w:rPr>
          <w:rFonts w:ascii="Book Antiqua"/>
          <w:b/>
          <w:w w:val="105"/>
        </w:rPr>
        <w:t>Federal Register</w:t>
      </w:r>
      <w:r w:rsidRPr="00283806">
        <w:rPr>
          <w:w w:val="105"/>
        </w:rPr>
        <w:t>. In this final rule, after consideration of the comments, EPA is establishing one compliance date for all applicable appliances: January 1, 2026. The Agency views this change as reasonable to provide additional time for owners or operators with an appliance with a</w:t>
      </w:r>
      <w:r w:rsidRPr="00283806">
        <w:rPr>
          <w:spacing w:val="40"/>
          <w:w w:val="105"/>
        </w:rPr>
        <w:t xml:space="preserve"> </w:t>
      </w:r>
      <w:r w:rsidRPr="00283806">
        <w:rPr>
          <w:w w:val="105"/>
        </w:rPr>
        <w:t>charge size of 50 pounds or more to comply with the leak repair</w:t>
      </w:r>
      <w:r w:rsidRPr="00283806">
        <w:rPr>
          <w:spacing w:val="40"/>
          <w:w w:val="105"/>
        </w:rPr>
        <w:t xml:space="preserve"> </w:t>
      </w:r>
      <w:r w:rsidRPr="00283806">
        <w:rPr>
          <w:w w:val="105"/>
        </w:rPr>
        <w:t>requirements and avoid potential confusion due to varied compliance</w:t>
      </w:r>
      <w:r w:rsidRPr="00283806">
        <w:rPr>
          <w:spacing w:val="40"/>
          <w:w w:val="105"/>
        </w:rPr>
        <w:t xml:space="preserve"> </w:t>
      </w:r>
      <w:r w:rsidRPr="00283806">
        <w:rPr>
          <w:w w:val="105"/>
        </w:rPr>
        <w:t>dates.</w:t>
      </w:r>
      <w:r w:rsidRPr="00283806">
        <w:rPr>
          <w:spacing w:val="40"/>
          <w:w w:val="105"/>
        </w:rPr>
        <w:t xml:space="preserve"> </w:t>
      </w:r>
      <w:r w:rsidRPr="00283806">
        <w:rPr>
          <w:w w:val="105"/>
        </w:rPr>
        <w:t>Additionally,</w:t>
      </w:r>
      <w:r w:rsidRPr="00283806">
        <w:rPr>
          <w:spacing w:val="40"/>
          <w:w w:val="105"/>
        </w:rPr>
        <w:t xml:space="preserve"> </w:t>
      </w:r>
      <w:r w:rsidRPr="00283806">
        <w:rPr>
          <w:w w:val="105"/>
        </w:rPr>
        <w:t>EPA</w:t>
      </w:r>
      <w:r w:rsidRPr="00283806">
        <w:rPr>
          <w:spacing w:val="40"/>
          <w:w w:val="105"/>
        </w:rPr>
        <w:t xml:space="preserve"> </w:t>
      </w:r>
      <w:r w:rsidRPr="00283806">
        <w:rPr>
          <w:w w:val="105"/>
        </w:rPr>
        <w:t>is</w:t>
      </w:r>
      <w:r w:rsidRPr="00283806">
        <w:rPr>
          <w:spacing w:val="40"/>
          <w:w w:val="105"/>
        </w:rPr>
        <w:t xml:space="preserve"> </w:t>
      </w:r>
      <w:r w:rsidRPr="00283806">
        <w:rPr>
          <w:w w:val="105"/>
        </w:rPr>
        <w:t>finalizing</w:t>
      </w:r>
      <w:r w:rsidRPr="00283806">
        <w:rPr>
          <w:spacing w:val="80"/>
          <w:w w:val="105"/>
        </w:rPr>
        <w:t xml:space="preserve"> </w:t>
      </w:r>
      <w:r w:rsidRPr="00283806">
        <w:rPr>
          <w:w w:val="105"/>
        </w:rPr>
        <w:t>the narrow exemption of refrigerant- containing appliances in the residential and light commercial air conditioning</w:t>
      </w:r>
      <w:r w:rsidRPr="00283806">
        <w:rPr>
          <w:spacing w:val="40"/>
          <w:w w:val="105"/>
        </w:rPr>
        <w:t xml:space="preserve"> </w:t>
      </w:r>
      <w:r w:rsidRPr="00283806">
        <w:rPr>
          <w:w w:val="105"/>
        </w:rPr>
        <w:t>and heat pumps subsector from the leak repair provisions in this final rule.</w:t>
      </w:r>
    </w:p>
    <w:p w14:paraId="3B9B9A02" w14:textId="77777777" w:rsidR="00D67C1E" w:rsidRPr="00283806" w:rsidRDefault="001265CA">
      <w:pPr>
        <w:pStyle w:val="ListParagraph"/>
        <w:numPr>
          <w:ilvl w:val="0"/>
          <w:numId w:val="59"/>
        </w:numPr>
        <w:tabs>
          <w:tab w:val="left" w:pos="341"/>
        </w:tabs>
        <w:spacing w:before="72" w:line="225" w:lineRule="auto"/>
        <w:ind w:right="279" w:firstLine="0"/>
        <w:rPr>
          <w:sz w:val="18"/>
        </w:rPr>
      </w:pPr>
      <w:r w:rsidRPr="00283806">
        <w:rPr>
          <w:w w:val="105"/>
          <w:sz w:val="18"/>
        </w:rPr>
        <w:t>What</w:t>
      </w:r>
      <w:r w:rsidRPr="00283806">
        <w:rPr>
          <w:spacing w:val="-7"/>
          <w:w w:val="105"/>
          <w:sz w:val="18"/>
        </w:rPr>
        <w:t xml:space="preserve"> </w:t>
      </w:r>
      <w:r w:rsidRPr="00283806">
        <w:rPr>
          <w:w w:val="105"/>
          <w:sz w:val="18"/>
        </w:rPr>
        <w:t>refrigerants</w:t>
      </w:r>
      <w:r w:rsidRPr="00283806">
        <w:rPr>
          <w:spacing w:val="-7"/>
          <w:w w:val="105"/>
          <w:sz w:val="18"/>
        </w:rPr>
        <w:t xml:space="preserve"> </w:t>
      </w:r>
      <w:r w:rsidRPr="00283806">
        <w:rPr>
          <w:w w:val="105"/>
          <w:sz w:val="18"/>
        </w:rPr>
        <w:t>are</w:t>
      </w:r>
      <w:r w:rsidRPr="00283806">
        <w:rPr>
          <w:spacing w:val="-7"/>
          <w:w w:val="105"/>
          <w:sz w:val="18"/>
        </w:rPr>
        <w:t xml:space="preserve"> </w:t>
      </w:r>
      <w:r w:rsidRPr="00283806">
        <w:rPr>
          <w:w w:val="105"/>
          <w:sz w:val="18"/>
        </w:rPr>
        <w:t>subject</w:t>
      </w:r>
      <w:r w:rsidRPr="00283806">
        <w:rPr>
          <w:spacing w:val="-7"/>
          <w:w w:val="105"/>
          <w:sz w:val="18"/>
        </w:rPr>
        <w:t xml:space="preserve"> </w:t>
      </w:r>
      <w:r w:rsidRPr="00283806">
        <w:rPr>
          <w:w w:val="105"/>
          <w:sz w:val="18"/>
        </w:rPr>
        <w:t>to</w:t>
      </w:r>
      <w:r w:rsidRPr="00283806">
        <w:rPr>
          <w:spacing w:val="-7"/>
          <w:w w:val="105"/>
          <w:sz w:val="18"/>
        </w:rPr>
        <w:t xml:space="preserve"> </w:t>
      </w:r>
      <w:r w:rsidRPr="00283806">
        <w:rPr>
          <w:w w:val="105"/>
          <w:sz w:val="18"/>
        </w:rPr>
        <w:t>the leak repair requirements?</w:t>
      </w:r>
    </w:p>
    <w:p w14:paraId="5B700A07" w14:textId="77777777" w:rsidR="00D67C1E" w:rsidRPr="00283806" w:rsidRDefault="001265CA">
      <w:pPr>
        <w:pStyle w:val="BodyText"/>
        <w:spacing w:before="64" w:line="228" w:lineRule="auto"/>
        <w:ind w:left="143" w:right="1" w:firstLine="180"/>
      </w:pPr>
      <w:r w:rsidRPr="00283806">
        <w:rPr>
          <w:w w:val="105"/>
        </w:rPr>
        <w:t>EPA</w:t>
      </w:r>
      <w:r w:rsidRPr="00283806">
        <w:rPr>
          <w:spacing w:val="40"/>
          <w:w w:val="105"/>
        </w:rPr>
        <w:t xml:space="preserve"> </w:t>
      </w:r>
      <w:r w:rsidRPr="00283806">
        <w:rPr>
          <w:w w:val="105"/>
        </w:rPr>
        <w:t>is</w:t>
      </w:r>
      <w:r w:rsidRPr="00283806">
        <w:rPr>
          <w:spacing w:val="40"/>
          <w:w w:val="105"/>
        </w:rPr>
        <w:t xml:space="preserve"> </w:t>
      </w:r>
      <w:r w:rsidRPr="00283806">
        <w:rPr>
          <w:w w:val="105"/>
        </w:rPr>
        <w:t>finalizing,</w:t>
      </w:r>
      <w:r w:rsidRPr="00283806">
        <w:rPr>
          <w:spacing w:val="40"/>
          <w:w w:val="105"/>
        </w:rPr>
        <w:t xml:space="preserve"> </w:t>
      </w:r>
      <w:r w:rsidRPr="00283806">
        <w:rPr>
          <w:w w:val="105"/>
        </w:rPr>
        <w:t>as</w:t>
      </w:r>
      <w:r w:rsidRPr="00283806">
        <w:rPr>
          <w:spacing w:val="40"/>
          <w:w w:val="105"/>
        </w:rPr>
        <w:t xml:space="preserve"> </w:t>
      </w:r>
      <w:r w:rsidRPr="00283806">
        <w:rPr>
          <w:w w:val="105"/>
        </w:rPr>
        <w:t>proposed,</w:t>
      </w:r>
      <w:r w:rsidRPr="00283806">
        <w:rPr>
          <w:spacing w:val="40"/>
          <w:w w:val="105"/>
        </w:rPr>
        <w:t xml:space="preserve"> </w:t>
      </w:r>
      <w:r w:rsidRPr="00283806">
        <w:rPr>
          <w:w w:val="105"/>
        </w:rPr>
        <w:t xml:space="preserve">that the leak repair requirements apply to certain appliances that contain refrigerants that are composed </w:t>
      </w:r>
      <w:proofErr w:type="gramStart"/>
      <w:r w:rsidRPr="00283806">
        <w:rPr>
          <w:w w:val="105"/>
        </w:rPr>
        <w:t>in</w:t>
      </w:r>
      <w:proofErr w:type="gramEnd"/>
      <w:r w:rsidRPr="00283806">
        <w:rPr>
          <w:w w:val="105"/>
        </w:rPr>
        <w:t xml:space="preserve"> whole or in part of either a regulated substance or a substitute for a regulated substance with a GWP greater than 53, for reasons discussed in the proposal and in this</w:t>
      </w:r>
      <w:r w:rsidRPr="00283806">
        <w:rPr>
          <w:spacing w:val="80"/>
          <w:w w:val="105"/>
        </w:rPr>
        <w:t xml:space="preserve"> </w:t>
      </w:r>
      <w:r w:rsidRPr="00283806">
        <w:rPr>
          <w:w w:val="105"/>
        </w:rPr>
        <w:t>final rule. To determine if the refrigerant contains a regulated substance, the</w:t>
      </w:r>
      <w:r w:rsidRPr="00283806">
        <w:rPr>
          <w:spacing w:val="40"/>
          <w:w w:val="105"/>
        </w:rPr>
        <w:t xml:space="preserve"> </w:t>
      </w:r>
      <w:r w:rsidRPr="00283806">
        <w:rPr>
          <w:w w:val="105"/>
        </w:rPr>
        <w:t>owner</w:t>
      </w:r>
      <w:r w:rsidRPr="00283806">
        <w:rPr>
          <w:spacing w:val="40"/>
          <w:w w:val="105"/>
        </w:rPr>
        <w:t xml:space="preserve"> </w:t>
      </w:r>
      <w:r w:rsidRPr="00283806">
        <w:rPr>
          <w:w w:val="105"/>
        </w:rPr>
        <w:t>or</w:t>
      </w:r>
      <w:r w:rsidRPr="00283806">
        <w:rPr>
          <w:spacing w:val="40"/>
          <w:w w:val="105"/>
        </w:rPr>
        <w:t xml:space="preserve"> </w:t>
      </w:r>
      <w:r w:rsidRPr="00283806">
        <w:rPr>
          <w:w w:val="105"/>
        </w:rPr>
        <w:t>operator</w:t>
      </w:r>
      <w:r w:rsidRPr="00283806">
        <w:rPr>
          <w:spacing w:val="40"/>
          <w:w w:val="105"/>
        </w:rPr>
        <w:t xml:space="preserve"> </w:t>
      </w:r>
      <w:r w:rsidRPr="00283806">
        <w:rPr>
          <w:w w:val="105"/>
        </w:rPr>
        <w:t>should</w:t>
      </w:r>
      <w:r w:rsidRPr="00283806">
        <w:rPr>
          <w:spacing w:val="40"/>
          <w:w w:val="105"/>
        </w:rPr>
        <w:t xml:space="preserve"> </w:t>
      </w:r>
      <w:r w:rsidRPr="00283806">
        <w:rPr>
          <w:w w:val="105"/>
        </w:rPr>
        <w:t>consult</w:t>
      </w:r>
      <w:r w:rsidRPr="00283806">
        <w:rPr>
          <w:spacing w:val="40"/>
          <w:w w:val="105"/>
        </w:rPr>
        <w:t xml:space="preserve"> </w:t>
      </w:r>
      <w:r w:rsidRPr="00283806">
        <w:rPr>
          <w:w w:val="105"/>
        </w:rPr>
        <w:t>the list of regulated substances provided in appendix A to 40 CFR part 84.</w:t>
      </w:r>
      <w:r w:rsidRPr="00283806">
        <w:rPr>
          <w:w w:val="105"/>
          <w:position w:val="5"/>
          <w:sz w:val="11"/>
        </w:rPr>
        <w:t>52</w:t>
      </w:r>
      <w:r w:rsidRPr="00283806">
        <w:rPr>
          <w:spacing w:val="40"/>
          <w:w w:val="105"/>
          <w:position w:val="5"/>
          <w:sz w:val="11"/>
        </w:rPr>
        <w:t xml:space="preserve"> </w:t>
      </w:r>
      <w:r w:rsidRPr="00283806">
        <w:rPr>
          <w:w w:val="105"/>
        </w:rPr>
        <w:t>In the proposed rule, to determine whether an appliance containing a substitute for a regulated substance is required to</w:t>
      </w:r>
      <w:r w:rsidRPr="00283806">
        <w:rPr>
          <w:spacing w:val="40"/>
          <w:w w:val="105"/>
        </w:rPr>
        <w:t xml:space="preserve"> </w:t>
      </w:r>
      <w:r w:rsidRPr="00283806">
        <w:rPr>
          <w:w w:val="105"/>
        </w:rPr>
        <w:t>comply with the leak repair provisions, EPA described the process for determining the GWP of regulated substances and/or their substitutes in</w:t>
      </w:r>
      <w:r w:rsidRPr="00283806">
        <w:rPr>
          <w:spacing w:val="40"/>
          <w:w w:val="105"/>
        </w:rPr>
        <w:t xml:space="preserve"> </w:t>
      </w:r>
      <w:r w:rsidRPr="00283806">
        <w:rPr>
          <w:w w:val="105"/>
        </w:rPr>
        <w:t>the proposed Technology Transitions Rule (87 FR 76738, 76750, December 15,</w:t>
      </w:r>
    </w:p>
    <w:p w14:paraId="743D9D6F" w14:textId="77777777" w:rsidR="00D67C1E" w:rsidRPr="00283806" w:rsidRDefault="001265CA">
      <w:pPr>
        <w:pStyle w:val="BodyText"/>
        <w:spacing w:line="177" w:lineRule="exact"/>
        <w:ind w:left="143"/>
      </w:pPr>
      <w:r w:rsidRPr="00283806">
        <w:rPr>
          <w:w w:val="105"/>
        </w:rPr>
        <w:t>2022).</w:t>
      </w:r>
      <w:r w:rsidRPr="00283806">
        <w:rPr>
          <w:spacing w:val="-4"/>
          <w:w w:val="105"/>
        </w:rPr>
        <w:t xml:space="preserve"> </w:t>
      </w:r>
      <w:r w:rsidRPr="00283806">
        <w:rPr>
          <w:w w:val="105"/>
        </w:rPr>
        <w:t>In</w:t>
      </w:r>
      <w:r w:rsidRPr="00283806">
        <w:rPr>
          <w:spacing w:val="-3"/>
          <w:w w:val="105"/>
        </w:rPr>
        <w:t xml:space="preserve"> </w:t>
      </w:r>
      <w:r w:rsidRPr="00283806">
        <w:rPr>
          <w:w w:val="105"/>
        </w:rPr>
        <w:t>the</w:t>
      </w:r>
      <w:r w:rsidRPr="00283806">
        <w:rPr>
          <w:spacing w:val="-3"/>
          <w:w w:val="105"/>
        </w:rPr>
        <w:t xml:space="preserve"> </w:t>
      </w:r>
      <w:r w:rsidRPr="00283806">
        <w:rPr>
          <w:w w:val="105"/>
        </w:rPr>
        <w:t>2023</w:t>
      </w:r>
      <w:r w:rsidRPr="00283806">
        <w:rPr>
          <w:spacing w:val="-3"/>
          <w:w w:val="105"/>
        </w:rPr>
        <w:t xml:space="preserve"> </w:t>
      </w:r>
      <w:r w:rsidRPr="00283806">
        <w:rPr>
          <w:spacing w:val="-2"/>
          <w:w w:val="105"/>
        </w:rPr>
        <w:t>Technology</w:t>
      </w:r>
    </w:p>
    <w:p w14:paraId="7ACDA4EE" w14:textId="77777777" w:rsidR="00D67C1E" w:rsidRPr="00283806" w:rsidRDefault="001265CA">
      <w:pPr>
        <w:pStyle w:val="BodyText"/>
        <w:spacing w:line="200" w:lineRule="exact"/>
        <w:ind w:left="143" w:right="42"/>
      </w:pPr>
      <w:r w:rsidRPr="00283806">
        <w:rPr>
          <w:w w:val="105"/>
        </w:rPr>
        <w:t xml:space="preserve">Transitions Rule, published in the </w:t>
      </w:r>
      <w:r w:rsidRPr="00283806">
        <w:rPr>
          <w:rFonts w:ascii="Book Antiqua"/>
          <w:b/>
          <w:w w:val="105"/>
        </w:rPr>
        <w:t xml:space="preserve">Federal Register </w:t>
      </w:r>
      <w:r w:rsidRPr="00283806">
        <w:rPr>
          <w:w w:val="105"/>
        </w:rPr>
        <w:t>on October 24, 2023 (88 FR 73098), EPA established a table listing the GWP values for substances that are not regulated substances. In this final rule, EPA is adopting the same approach for determining GWPs for</w:t>
      </w:r>
      <w:r w:rsidRPr="00283806">
        <w:rPr>
          <w:spacing w:val="40"/>
          <w:w w:val="105"/>
        </w:rPr>
        <w:t xml:space="preserve"> </w:t>
      </w:r>
      <w:r w:rsidRPr="00283806">
        <w:rPr>
          <w:w w:val="105"/>
        </w:rPr>
        <w:t>those substances as in the final 2023 Technology</w:t>
      </w:r>
      <w:r w:rsidRPr="00283806">
        <w:rPr>
          <w:spacing w:val="40"/>
          <w:w w:val="105"/>
        </w:rPr>
        <w:t xml:space="preserve"> </w:t>
      </w:r>
      <w:r w:rsidRPr="00283806">
        <w:rPr>
          <w:w w:val="105"/>
        </w:rPr>
        <w:t>Transitions</w:t>
      </w:r>
      <w:r w:rsidRPr="00283806">
        <w:rPr>
          <w:spacing w:val="40"/>
          <w:w w:val="105"/>
        </w:rPr>
        <w:t xml:space="preserve"> </w:t>
      </w:r>
      <w:r w:rsidRPr="00283806">
        <w:rPr>
          <w:w w:val="105"/>
        </w:rPr>
        <w:t>Rule,</w:t>
      </w:r>
      <w:r w:rsidRPr="00283806">
        <w:rPr>
          <w:spacing w:val="40"/>
          <w:w w:val="105"/>
        </w:rPr>
        <w:t xml:space="preserve"> </w:t>
      </w:r>
      <w:r w:rsidRPr="00283806">
        <w:rPr>
          <w:w w:val="105"/>
        </w:rPr>
        <w:t>codified</w:t>
      </w:r>
      <w:r w:rsidRPr="00283806">
        <w:rPr>
          <w:spacing w:val="40"/>
          <w:w w:val="105"/>
        </w:rPr>
        <w:t xml:space="preserve"> </w:t>
      </w:r>
      <w:r w:rsidRPr="00283806">
        <w:rPr>
          <w:w w:val="105"/>
        </w:rPr>
        <w:t>at 40 CFR part 84, subpart B (40 CFR</w:t>
      </w:r>
    </w:p>
    <w:p w14:paraId="3E3D372C" w14:textId="77777777" w:rsidR="00D67C1E" w:rsidRPr="00283806" w:rsidRDefault="001265CA">
      <w:pPr>
        <w:pStyle w:val="BodyText"/>
        <w:spacing w:before="136" w:line="225" w:lineRule="auto"/>
        <w:ind w:left="143" w:right="132"/>
      </w:pPr>
      <w:r w:rsidRPr="00283806">
        <w:br w:type="column"/>
      </w:r>
      <w:r w:rsidRPr="00283806">
        <w:rPr>
          <w:w w:val="105"/>
        </w:rPr>
        <w:t>84.64(a)–(c)) and, for consistency, is referencing the table at 40 CFR 84.64(b) for determining the GWPs of the listed commonly used non-HFC constituents. For purposes of this rulemaking, owners or operators should use the GWPs listed in that table to determine if the refrigerant contains a substitute for an HFC with a GWP greater than 53.</w:t>
      </w:r>
    </w:p>
    <w:p w14:paraId="4D7A5E70" w14:textId="77777777" w:rsidR="00D67C1E" w:rsidRPr="00283806" w:rsidRDefault="001265CA">
      <w:pPr>
        <w:pStyle w:val="BodyText"/>
        <w:spacing w:line="213" w:lineRule="auto"/>
        <w:ind w:left="143" w:right="153" w:firstLine="180"/>
      </w:pPr>
      <w:r w:rsidRPr="00283806">
        <w:rPr>
          <w:rFonts w:ascii="Book Antiqua"/>
          <w:i/>
          <w:w w:val="105"/>
        </w:rPr>
        <w:t xml:space="preserve">Comment: </w:t>
      </w:r>
      <w:r w:rsidRPr="00283806">
        <w:rPr>
          <w:w w:val="105"/>
        </w:rPr>
        <w:t xml:space="preserve">The Agency received multiple comments on the </w:t>
      </w:r>
      <w:proofErr w:type="gramStart"/>
      <w:r w:rsidRPr="00283806">
        <w:rPr>
          <w:w w:val="105"/>
        </w:rPr>
        <w:t>refrigerants</w:t>
      </w:r>
      <w:proofErr w:type="gramEnd"/>
    </w:p>
    <w:p w14:paraId="6A85C527" w14:textId="77777777" w:rsidR="00D67C1E" w:rsidRPr="00283806" w:rsidRDefault="001265CA">
      <w:pPr>
        <w:pStyle w:val="BodyText"/>
        <w:spacing w:line="225" w:lineRule="auto"/>
        <w:ind w:left="143" w:right="152"/>
      </w:pPr>
      <w:r w:rsidRPr="00283806">
        <w:rPr>
          <w:w w:val="105"/>
        </w:rPr>
        <w:t xml:space="preserve">subject to the leak repair provisions, including comments opposing a limit of 53 GWP for substitutes </w:t>
      </w:r>
      <w:proofErr w:type="gramStart"/>
      <w:r w:rsidRPr="00283806">
        <w:rPr>
          <w:w w:val="105"/>
        </w:rPr>
        <w:t>of</w:t>
      </w:r>
      <w:proofErr w:type="gramEnd"/>
      <w:r w:rsidRPr="00283806">
        <w:rPr>
          <w:w w:val="105"/>
        </w:rPr>
        <w:t xml:space="preserve"> HFCs. Some commenters suggested the Agency use a more generic value such as 100 or 150</w:t>
      </w:r>
      <w:r w:rsidRPr="00283806">
        <w:rPr>
          <w:spacing w:val="80"/>
          <w:w w:val="105"/>
        </w:rPr>
        <w:t xml:space="preserve"> </w:t>
      </w:r>
      <w:r w:rsidRPr="00283806">
        <w:rPr>
          <w:w w:val="105"/>
        </w:rPr>
        <w:t>to be consistent with the 2023 Technology</w:t>
      </w:r>
      <w:r w:rsidRPr="00283806">
        <w:rPr>
          <w:spacing w:val="35"/>
          <w:w w:val="105"/>
        </w:rPr>
        <w:t xml:space="preserve"> </w:t>
      </w:r>
      <w:r w:rsidRPr="00283806">
        <w:rPr>
          <w:w w:val="105"/>
        </w:rPr>
        <w:t>Transitions</w:t>
      </w:r>
      <w:r w:rsidRPr="00283806">
        <w:rPr>
          <w:spacing w:val="35"/>
          <w:w w:val="105"/>
        </w:rPr>
        <w:t xml:space="preserve"> </w:t>
      </w:r>
      <w:r w:rsidRPr="00283806">
        <w:rPr>
          <w:w w:val="105"/>
        </w:rPr>
        <w:t>Rule’s</w:t>
      </w:r>
      <w:r w:rsidRPr="00283806">
        <w:rPr>
          <w:spacing w:val="40"/>
          <w:w w:val="105"/>
        </w:rPr>
        <w:t xml:space="preserve"> </w:t>
      </w:r>
      <w:r w:rsidRPr="00283806">
        <w:rPr>
          <w:w w:val="105"/>
        </w:rPr>
        <w:t>approach. Another commenter</w:t>
      </w:r>
      <w:r w:rsidRPr="00283806">
        <w:rPr>
          <w:spacing w:val="40"/>
          <w:w w:val="105"/>
        </w:rPr>
        <w:t xml:space="preserve"> </w:t>
      </w:r>
      <w:r w:rsidRPr="00283806">
        <w:rPr>
          <w:w w:val="105"/>
        </w:rPr>
        <w:t>expressed support for EPA’s continued use of 100-year GWPs for the implementation and administration of provisions</w:t>
      </w:r>
      <w:r w:rsidRPr="00283806">
        <w:rPr>
          <w:spacing w:val="40"/>
          <w:w w:val="105"/>
        </w:rPr>
        <w:t xml:space="preserve"> </w:t>
      </w:r>
      <w:r w:rsidRPr="00283806">
        <w:rPr>
          <w:w w:val="105"/>
        </w:rPr>
        <w:t>under</w:t>
      </w:r>
      <w:r w:rsidRPr="00283806">
        <w:rPr>
          <w:spacing w:val="40"/>
          <w:w w:val="105"/>
        </w:rPr>
        <w:t xml:space="preserve"> </w:t>
      </w:r>
      <w:r w:rsidRPr="00283806">
        <w:rPr>
          <w:w w:val="105"/>
        </w:rPr>
        <w:t>the</w:t>
      </w:r>
      <w:r w:rsidRPr="00283806">
        <w:rPr>
          <w:spacing w:val="40"/>
          <w:w w:val="105"/>
        </w:rPr>
        <w:t xml:space="preserve"> </w:t>
      </w:r>
      <w:r w:rsidRPr="00283806">
        <w:rPr>
          <w:w w:val="105"/>
        </w:rPr>
        <w:t>AIM</w:t>
      </w:r>
      <w:r w:rsidRPr="00283806">
        <w:rPr>
          <w:spacing w:val="40"/>
          <w:w w:val="105"/>
        </w:rPr>
        <w:t xml:space="preserve"> </w:t>
      </w:r>
      <w:r w:rsidRPr="00283806">
        <w:rPr>
          <w:w w:val="105"/>
        </w:rPr>
        <w:t>Act</w:t>
      </w:r>
      <w:r w:rsidRPr="00283806">
        <w:rPr>
          <w:spacing w:val="40"/>
          <w:w w:val="105"/>
        </w:rPr>
        <w:t xml:space="preserve"> </w:t>
      </w:r>
      <w:r w:rsidRPr="00283806">
        <w:rPr>
          <w:w w:val="105"/>
        </w:rPr>
        <w:t>and stated that they oppose the use of 20- year GWPs for the implementation of</w:t>
      </w:r>
      <w:r w:rsidRPr="00283806">
        <w:rPr>
          <w:spacing w:val="40"/>
          <w:w w:val="105"/>
        </w:rPr>
        <w:t xml:space="preserve"> </w:t>
      </w:r>
      <w:r w:rsidRPr="00283806">
        <w:rPr>
          <w:w w:val="105"/>
        </w:rPr>
        <w:t>AIM Act rules. Finally, one commenter described issues with the proposal’s resources to determine the GWPs of constituent</w:t>
      </w:r>
      <w:r w:rsidRPr="00283806">
        <w:rPr>
          <w:spacing w:val="-4"/>
          <w:w w:val="105"/>
        </w:rPr>
        <w:t xml:space="preserve"> </w:t>
      </w:r>
      <w:r w:rsidRPr="00283806">
        <w:rPr>
          <w:w w:val="105"/>
        </w:rPr>
        <w:t>parts</w:t>
      </w:r>
      <w:r w:rsidRPr="00283806">
        <w:rPr>
          <w:spacing w:val="-4"/>
          <w:w w:val="105"/>
        </w:rPr>
        <w:t xml:space="preserve"> </w:t>
      </w:r>
      <w:r w:rsidRPr="00283806">
        <w:rPr>
          <w:w w:val="105"/>
        </w:rPr>
        <w:t>of</w:t>
      </w:r>
      <w:r w:rsidRPr="00283806">
        <w:rPr>
          <w:spacing w:val="-4"/>
          <w:w w:val="105"/>
        </w:rPr>
        <w:t xml:space="preserve"> </w:t>
      </w:r>
      <w:r w:rsidRPr="00283806">
        <w:rPr>
          <w:w w:val="105"/>
        </w:rPr>
        <w:t>refrigerant</w:t>
      </w:r>
      <w:r w:rsidRPr="00283806">
        <w:rPr>
          <w:spacing w:val="-4"/>
          <w:w w:val="105"/>
        </w:rPr>
        <w:t xml:space="preserve"> </w:t>
      </w:r>
      <w:r w:rsidRPr="00283806">
        <w:rPr>
          <w:w w:val="105"/>
        </w:rPr>
        <w:t>blends</w:t>
      </w:r>
      <w:r w:rsidRPr="00283806">
        <w:rPr>
          <w:spacing w:val="-4"/>
          <w:w w:val="105"/>
        </w:rPr>
        <w:t xml:space="preserve"> </w:t>
      </w:r>
      <w:r w:rsidRPr="00283806">
        <w:rPr>
          <w:w w:val="105"/>
        </w:rPr>
        <w:t>or commonly used refrigerant alternatives. The commenter suggests that EPA compile a singular comprehensive list encompassing all substitute substances for</w:t>
      </w:r>
      <w:r w:rsidRPr="00283806">
        <w:rPr>
          <w:spacing w:val="40"/>
          <w:w w:val="105"/>
        </w:rPr>
        <w:t xml:space="preserve"> </w:t>
      </w:r>
      <w:r w:rsidRPr="00283806">
        <w:rPr>
          <w:w w:val="105"/>
        </w:rPr>
        <w:t>GWPs</w:t>
      </w:r>
      <w:r w:rsidRPr="00283806">
        <w:rPr>
          <w:spacing w:val="40"/>
          <w:w w:val="105"/>
        </w:rPr>
        <w:t xml:space="preserve"> </w:t>
      </w:r>
      <w:r w:rsidRPr="00283806">
        <w:rPr>
          <w:w w:val="105"/>
        </w:rPr>
        <w:t>exceeding</w:t>
      </w:r>
      <w:r w:rsidRPr="00283806">
        <w:rPr>
          <w:spacing w:val="40"/>
          <w:w w:val="105"/>
        </w:rPr>
        <w:t xml:space="preserve"> </w:t>
      </w:r>
      <w:r w:rsidRPr="00283806">
        <w:rPr>
          <w:w w:val="105"/>
        </w:rPr>
        <w:t>53.</w:t>
      </w:r>
      <w:r w:rsidRPr="00283806">
        <w:rPr>
          <w:spacing w:val="40"/>
          <w:w w:val="105"/>
        </w:rPr>
        <w:t xml:space="preserve"> </w:t>
      </w:r>
      <w:r w:rsidRPr="00283806">
        <w:rPr>
          <w:w w:val="105"/>
        </w:rPr>
        <w:t>Additionally, the commenter stated that there is no reason to provide reference to substances with GWPs less than 53 to avoid confusion as these substitutes are not subject to this regulation.</w:t>
      </w:r>
    </w:p>
    <w:p w14:paraId="28E95A89" w14:textId="77777777" w:rsidR="00D67C1E" w:rsidRPr="00283806" w:rsidRDefault="001265CA">
      <w:pPr>
        <w:spacing w:line="175" w:lineRule="exact"/>
        <w:ind w:left="323"/>
        <w:rPr>
          <w:sz w:val="18"/>
        </w:rPr>
      </w:pPr>
      <w:r w:rsidRPr="00283806">
        <w:rPr>
          <w:rFonts w:ascii="Book Antiqua"/>
          <w:i/>
          <w:w w:val="105"/>
          <w:sz w:val="18"/>
        </w:rPr>
        <w:t>Response:</w:t>
      </w:r>
      <w:r w:rsidRPr="00283806">
        <w:rPr>
          <w:rFonts w:ascii="Book Antiqua"/>
          <w:i/>
          <w:spacing w:val="18"/>
          <w:w w:val="105"/>
          <w:sz w:val="18"/>
        </w:rPr>
        <w:t xml:space="preserve"> </w:t>
      </w:r>
      <w:r w:rsidRPr="00283806">
        <w:rPr>
          <w:w w:val="105"/>
          <w:sz w:val="18"/>
        </w:rPr>
        <w:t>In</w:t>
      </w:r>
      <w:r w:rsidRPr="00283806">
        <w:rPr>
          <w:spacing w:val="25"/>
          <w:w w:val="105"/>
          <w:sz w:val="18"/>
        </w:rPr>
        <w:t xml:space="preserve"> </w:t>
      </w:r>
      <w:r w:rsidRPr="00283806">
        <w:rPr>
          <w:w w:val="105"/>
          <w:sz w:val="18"/>
        </w:rPr>
        <w:t>response</w:t>
      </w:r>
      <w:r w:rsidRPr="00283806">
        <w:rPr>
          <w:spacing w:val="24"/>
          <w:w w:val="105"/>
          <w:sz w:val="18"/>
        </w:rPr>
        <w:t xml:space="preserve"> </w:t>
      </w:r>
      <w:r w:rsidRPr="00283806">
        <w:rPr>
          <w:w w:val="105"/>
          <w:sz w:val="18"/>
        </w:rPr>
        <w:t>to</w:t>
      </w:r>
      <w:r w:rsidRPr="00283806">
        <w:rPr>
          <w:spacing w:val="24"/>
          <w:w w:val="105"/>
          <w:sz w:val="18"/>
        </w:rPr>
        <w:t xml:space="preserve"> </w:t>
      </w:r>
      <w:r w:rsidRPr="00283806">
        <w:rPr>
          <w:spacing w:val="-2"/>
          <w:w w:val="105"/>
          <w:sz w:val="18"/>
        </w:rPr>
        <w:t>these</w:t>
      </w:r>
    </w:p>
    <w:p w14:paraId="1B430CCB" w14:textId="77777777" w:rsidR="00D67C1E" w:rsidRPr="00283806" w:rsidRDefault="001265CA">
      <w:pPr>
        <w:pStyle w:val="BodyText"/>
        <w:spacing w:line="225" w:lineRule="auto"/>
        <w:ind w:left="143" w:right="153"/>
      </w:pPr>
      <w:r w:rsidRPr="00283806">
        <w:rPr>
          <w:w w:val="105"/>
        </w:rPr>
        <w:t>comments,</w:t>
      </w:r>
      <w:r w:rsidRPr="00283806">
        <w:rPr>
          <w:spacing w:val="40"/>
          <w:w w:val="105"/>
        </w:rPr>
        <w:t xml:space="preserve"> </w:t>
      </w:r>
      <w:r w:rsidRPr="00283806">
        <w:rPr>
          <w:w w:val="105"/>
        </w:rPr>
        <w:t>EPA</w:t>
      </w:r>
      <w:r w:rsidRPr="00283806">
        <w:rPr>
          <w:spacing w:val="40"/>
          <w:w w:val="105"/>
        </w:rPr>
        <w:t xml:space="preserve"> </w:t>
      </w:r>
      <w:r w:rsidRPr="00283806">
        <w:rPr>
          <w:w w:val="105"/>
        </w:rPr>
        <w:t>notes</w:t>
      </w:r>
      <w:r w:rsidRPr="00283806">
        <w:rPr>
          <w:spacing w:val="40"/>
          <w:w w:val="105"/>
        </w:rPr>
        <w:t xml:space="preserve"> </w:t>
      </w:r>
      <w:r w:rsidRPr="00283806">
        <w:rPr>
          <w:w w:val="105"/>
        </w:rPr>
        <w:t>that</w:t>
      </w:r>
      <w:r w:rsidRPr="00283806">
        <w:rPr>
          <w:spacing w:val="40"/>
          <w:w w:val="105"/>
        </w:rPr>
        <w:t xml:space="preserve"> </w:t>
      </w:r>
      <w:r w:rsidRPr="00283806">
        <w:rPr>
          <w:w w:val="105"/>
        </w:rPr>
        <w:t>it</w:t>
      </w:r>
      <w:r w:rsidRPr="00283806">
        <w:rPr>
          <w:spacing w:val="40"/>
          <w:w w:val="105"/>
        </w:rPr>
        <w:t xml:space="preserve"> </w:t>
      </w:r>
      <w:r w:rsidRPr="00283806">
        <w:rPr>
          <w:w w:val="105"/>
        </w:rPr>
        <w:t>is finalizing, as proposed, that the leak repair</w:t>
      </w:r>
      <w:r w:rsidRPr="00283806">
        <w:rPr>
          <w:spacing w:val="-10"/>
          <w:w w:val="105"/>
        </w:rPr>
        <w:t xml:space="preserve"> </w:t>
      </w:r>
      <w:r w:rsidRPr="00283806">
        <w:rPr>
          <w:w w:val="105"/>
        </w:rPr>
        <w:t>requirements</w:t>
      </w:r>
      <w:r w:rsidRPr="00283806">
        <w:rPr>
          <w:spacing w:val="-10"/>
          <w:w w:val="105"/>
        </w:rPr>
        <w:t xml:space="preserve"> </w:t>
      </w:r>
      <w:r w:rsidRPr="00283806">
        <w:rPr>
          <w:w w:val="105"/>
        </w:rPr>
        <w:t>apply</w:t>
      </w:r>
      <w:r w:rsidRPr="00283806">
        <w:rPr>
          <w:spacing w:val="-10"/>
          <w:w w:val="105"/>
        </w:rPr>
        <w:t xml:space="preserve"> </w:t>
      </w:r>
      <w:r w:rsidRPr="00283806">
        <w:rPr>
          <w:w w:val="105"/>
        </w:rPr>
        <w:t>to</w:t>
      </w:r>
      <w:r w:rsidRPr="00283806">
        <w:rPr>
          <w:spacing w:val="-10"/>
          <w:w w:val="105"/>
        </w:rPr>
        <w:t xml:space="preserve"> </w:t>
      </w:r>
      <w:r w:rsidRPr="00283806">
        <w:rPr>
          <w:w w:val="105"/>
        </w:rPr>
        <w:t>refrigerant- containing</w:t>
      </w:r>
      <w:r w:rsidRPr="00283806">
        <w:rPr>
          <w:spacing w:val="40"/>
          <w:w w:val="105"/>
        </w:rPr>
        <w:t xml:space="preserve"> </w:t>
      </w:r>
      <w:r w:rsidRPr="00283806">
        <w:rPr>
          <w:w w:val="105"/>
        </w:rPr>
        <w:t>appliances</w:t>
      </w:r>
      <w:r w:rsidRPr="00283806">
        <w:rPr>
          <w:spacing w:val="40"/>
          <w:w w:val="105"/>
        </w:rPr>
        <w:t xml:space="preserve"> </w:t>
      </w:r>
      <w:r w:rsidRPr="00283806">
        <w:rPr>
          <w:w w:val="105"/>
        </w:rPr>
        <w:t>containing</w:t>
      </w:r>
      <w:r w:rsidRPr="00283806">
        <w:rPr>
          <w:spacing w:val="40"/>
          <w:w w:val="105"/>
        </w:rPr>
        <w:t xml:space="preserve"> </w:t>
      </w:r>
      <w:r w:rsidRPr="00283806">
        <w:rPr>
          <w:w w:val="105"/>
        </w:rPr>
        <w:t xml:space="preserve">an HFC refrigerant or a substitute for HFC refrigerants that </w:t>
      </w:r>
      <w:proofErr w:type="gramStart"/>
      <w:r w:rsidRPr="00283806">
        <w:rPr>
          <w:w w:val="105"/>
        </w:rPr>
        <w:t>has</w:t>
      </w:r>
      <w:proofErr w:type="gramEnd"/>
      <w:r w:rsidRPr="00283806">
        <w:rPr>
          <w:w w:val="105"/>
        </w:rPr>
        <w:t xml:space="preserve"> a GWP above 53.</w:t>
      </w:r>
    </w:p>
    <w:p w14:paraId="764E851C" w14:textId="77777777" w:rsidR="00D67C1E" w:rsidRPr="00283806" w:rsidRDefault="001265CA">
      <w:pPr>
        <w:pStyle w:val="BodyText"/>
        <w:spacing w:line="198" w:lineRule="exact"/>
        <w:ind w:left="143" w:right="141"/>
      </w:pPr>
      <w:r w:rsidRPr="00283806">
        <w:rPr>
          <w:w w:val="105"/>
        </w:rPr>
        <w:t>EPA acknowledges comments seeking consistency across programs for GWP limits and finds it appropriate to</w:t>
      </w:r>
      <w:r w:rsidRPr="00283806">
        <w:rPr>
          <w:spacing w:val="40"/>
          <w:w w:val="105"/>
        </w:rPr>
        <w:t xml:space="preserve"> </w:t>
      </w:r>
      <w:r w:rsidRPr="00283806">
        <w:rPr>
          <w:w w:val="105"/>
        </w:rPr>
        <w:t>continue to use 100-year GWPs for this rulemaking given the AIM Act uses 100- year GWPs. As discussed in the 2023 Technology Transitions Rule, the final limits in that rule were informed by a range of information, including the petitions, the Agency’s evaluation consistent with the factors identified in subsection (i)(4) of the AIM Act, and comments received on that rule. Those considerations do not apply to this rulemaking, which is being undertaken under a different statutory provision</w:t>
      </w:r>
      <w:r w:rsidRPr="00283806">
        <w:rPr>
          <w:spacing w:val="80"/>
          <w:w w:val="105"/>
        </w:rPr>
        <w:t xml:space="preserve"> </w:t>
      </w:r>
      <w:r w:rsidRPr="00283806">
        <w:rPr>
          <w:w w:val="105"/>
        </w:rPr>
        <w:t>and which establishes requirements that apply to certain substitutes for HFCs. As stated in the proposed rule under subsection (h), the GWP of 53 for</w:t>
      </w:r>
    </w:p>
    <w:p w14:paraId="3D557A4F" w14:textId="77777777" w:rsidR="00D67C1E" w:rsidRPr="00283806" w:rsidRDefault="00D67C1E">
      <w:pPr>
        <w:spacing w:line="198" w:lineRule="exact"/>
        <w:sectPr w:rsidR="00D67C1E" w:rsidRPr="00283806">
          <w:pgSz w:w="12240" w:h="15840"/>
          <w:pgMar w:top="1040" w:right="780" w:bottom="280" w:left="740" w:header="627" w:footer="0" w:gutter="0"/>
          <w:cols w:num="3" w:space="720" w:equalWidth="0">
            <w:col w:w="3517" w:space="40"/>
            <w:col w:w="3501" w:space="39"/>
            <w:col w:w="3623"/>
          </w:cols>
        </w:sectPr>
      </w:pPr>
    </w:p>
    <w:p w14:paraId="1341FB59" w14:textId="77777777" w:rsidR="00D67C1E" w:rsidRPr="00283806" w:rsidRDefault="001265CA">
      <w:pPr>
        <w:tabs>
          <w:tab w:val="left" w:pos="3699"/>
          <w:tab w:val="left" w:pos="4699"/>
        </w:tabs>
        <w:spacing w:line="63" w:lineRule="exact"/>
        <w:ind w:left="159"/>
        <w:rPr>
          <w:sz w:val="14"/>
        </w:rPr>
      </w:pPr>
      <w:r w:rsidRPr="00283806">
        <w:rPr>
          <w:w w:val="105"/>
          <w:sz w:val="14"/>
        </w:rPr>
        <w:t>as</w:t>
      </w:r>
      <w:r w:rsidRPr="00283806">
        <w:rPr>
          <w:spacing w:val="10"/>
          <w:w w:val="105"/>
          <w:sz w:val="14"/>
        </w:rPr>
        <w:t xml:space="preserve"> </w:t>
      </w:r>
      <w:r w:rsidRPr="00283806">
        <w:rPr>
          <w:w w:val="105"/>
          <w:sz w:val="14"/>
        </w:rPr>
        <w:t>those</w:t>
      </w:r>
      <w:r w:rsidRPr="00283806">
        <w:rPr>
          <w:spacing w:val="11"/>
          <w:w w:val="105"/>
          <w:sz w:val="14"/>
        </w:rPr>
        <w:t xml:space="preserve"> </w:t>
      </w:r>
      <w:r w:rsidRPr="00283806">
        <w:rPr>
          <w:w w:val="105"/>
          <w:sz w:val="14"/>
        </w:rPr>
        <w:t>covered</w:t>
      </w:r>
      <w:r w:rsidRPr="00283806">
        <w:rPr>
          <w:spacing w:val="10"/>
          <w:w w:val="105"/>
          <w:sz w:val="14"/>
        </w:rPr>
        <w:t xml:space="preserve"> </w:t>
      </w:r>
      <w:r w:rsidRPr="00283806">
        <w:rPr>
          <w:w w:val="105"/>
          <w:sz w:val="14"/>
        </w:rPr>
        <w:t>under</w:t>
      </w:r>
      <w:r w:rsidRPr="00283806">
        <w:rPr>
          <w:spacing w:val="11"/>
          <w:w w:val="105"/>
          <w:sz w:val="14"/>
        </w:rPr>
        <w:t xml:space="preserve"> </w:t>
      </w:r>
      <w:r w:rsidRPr="00283806">
        <w:rPr>
          <w:w w:val="105"/>
          <w:sz w:val="14"/>
        </w:rPr>
        <w:t>‘‘automatic</w:t>
      </w:r>
      <w:r w:rsidRPr="00283806">
        <w:rPr>
          <w:spacing w:val="10"/>
          <w:w w:val="105"/>
          <w:sz w:val="14"/>
        </w:rPr>
        <w:t xml:space="preserve"> </w:t>
      </w:r>
      <w:r w:rsidRPr="00283806">
        <w:rPr>
          <w:w w:val="105"/>
          <w:sz w:val="14"/>
        </w:rPr>
        <w:t>commercial</w:t>
      </w:r>
      <w:r w:rsidRPr="00283806">
        <w:rPr>
          <w:spacing w:val="11"/>
          <w:w w:val="105"/>
          <w:sz w:val="14"/>
        </w:rPr>
        <w:t xml:space="preserve"> </w:t>
      </w:r>
      <w:r w:rsidRPr="00283806">
        <w:rPr>
          <w:spacing w:val="-5"/>
          <w:w w:val="105"/>
          <w:sz w:val="14"/>
        </w:rPr>
        <w:t>ice</w:t>
      </w:r>
      <w:r w:rsidRPr="00283806">
        <w:rPr>
          <w:sz w:val="14"/>
        </w:rPr>
        <w:tab/>
      </w:r>
      <w:r w:rsidRPr="00283806">
        <w:rPr>
          <w:sz w:val="14"/>
          <w:u w:val="single"/>
        </w:rPr>
        <w:tab/>
      </w:r>
    </w:p>
    <w:p w14:paraId="65544638" w14:textId="77777777" w:rsidR="00D67C1E" w:rsidRPr="00283806" w:rsidRDefault="001265CA">
      <w:pPr>
        <w:spacing w:line="158" w:lineRule="exact"/>
        <w:ind w:left="159"/>
        <w:rPr>
          <w:sz w:val="14"/>
        </w:rPr>
      </w:pPr>
      <w:r w:rsidRPr="00283806">
        <w:rPr>
          <w:w w:val="105"/>
          <w:sz w:val="14"/>
        </w:rPr>
        <w:t>machines’’</w:t>
      </w:r>
      <w:r w:rsidRPr="00283806">
        <w:rPr>
          <w:spacing w:val="12"/>
          <w:w w:val="105"/>
          <w:sz w:val="14"/>
        </w:rPr>
        <w:t xml:space="preserve"> </w:t>
      </w:r>
      <w:r w:rsidRPr="00283806">
        <w:rPr>
          <w:w w:val="105"/>
          <w:sz w:val="14"/>
        </w:rPr>
        <w:t>in</w:t>
      </w:r>
      <w:r w:rsidRPr="00283806">
        <w:rPr>
          <w:spacing w:val="13"/>
          <w:w w:val="105"/>
          <w:sz w:val="14"/>
        </w:rPr>
        <w:t xml:space="preserve"> </w:t>
      </w:r>
      <w:r w:rsidRPr="00283806">
        <w:rPr>
          <w:w w:val="105"/>
          <w:sz w:val="14"/>
        </w:rPr>
        <w:t>the</w:t>
      </w:r>
      <w:r w:rsidRPr="00283806">
        <w:rPr>
          <w:spacing w:val="13"/>
          <w:w w:val="105"/>
          <w:sz w:val="14"/>
        </w:rPr>
        <w:t xml:space="preserve"> </w:t>
      </w:r>
      <w:r w:rsidRPr="00283806">
        <w:rPr>
          <w:w w:val="105"/>
          <w:sz w:val="14"/>
        </w:rPr>
        <w:t>2023</w:t>
      </w:r>
      <w:r w:rsidRPr="00283806">
        <w:rPr>
          <w:spacing w:val="12"/>
          <w:w w:val="105"/>
          <w:sz w:val="14"/>
        </w:rPr>
        <w:t xml:space="preserve"> </w:t>
      </w:r>
      <w:r w:rsidRPr="00283806">
        <w:rPr>
          <w:w w:val="105"/>
          <w:sz w:val="14"/>
        </w:rPr>
        <w:t>Technology</w:t>
      </w:r>
      <w:r w:rsidRPr="00283806">
        <w:rPr>
          <w:spacing w:val="13"/>
          <w:w w:val="105"/>
          <w:sz w:val="14"/>
        </w:rPr>
        <w:t xml:space="preserve"> </w:t>
      </w:r>
      <w:r w:rsidRPr="00283806">
        <w:rPr>
          <w:w w:val="105"/>
          <w:sz w:val="14"/>
        </w:rPr>
        <w:t>Transitions</w:t>
      </w:r>
      <w:r w:rsidRPr="00283806">
        <w:rPr>
          <w:spacing w:val="13"/>
          <w:w w:val="105"/>
          <w:sz w:val="14"/>
        </w:rPr>
        <w:t xml:space="preserve"> </w:t>
      </w:r>
      <w:r w:rsidRPr="00283806">
        <w:rPr>
          <w:spacing w:val="-4"/>
          <w:w w:val="105"/>
          <w:sz w:val="14"/>
        </w:rPr>
        <w:t>Rule</w:t>
      </w:r>
    </w:p>
    <w:p w14:paraId="6D16B7B8" w14:textId="77777777" w:rsidR="00D67C1E" w:rsidRPr="00283806" w:rsidRDefault="001265CA">
      <w:pPr>
        <w:pStyle w:val="BodyText"/>
        <w:spacing w:line="150" w:lineRule="exact"/>
        <w:ind w:left="159"/>
      </w:pPr>
      <w:r w:rsidRPr="00283806">
        <w:br w:type="column"/>
      </w:r>
      <w:r w:rsidRPr="00283806">
        <w:rPr>
          <w:w w:val="105"/>
        </w:rPr>
        <w:t>substitutes</w:t>
      </w:r>
      <w:r w:rsidRPr="00283806">
        <w:rPr>
          <w:spacing w:val="14"/>
          <w:w w:val="105"/>
        </w:rPr>
        <w:t xml:space="preserve"> </w:t>
      </w:r>
      <w:r w:rsidRPr="00283806">
        <w:rPr>
          <w:w w:val="105"/>
        </w:rPr>
        <w:t>for</w:t>
      </w:r>
      <w:r w:rsidRPr="00283806">
        <w:rPr>
          <w:spacing w:val="14"/>
          <w:w w:val="105"/>
        </w:rPr>
        <w:t xml:space="preserve"> </w:t>
      </w:r>
      <w:r w:rsidRPr="00283806">
        <w:rPr>
          <w:w w:val="105"/>
        </w:rPr>
        <w:t>HFCs</w:t>
      </w:r>
      <w:r w:rsidRPr="00283806">
        <w:rPr>
          <w:spacing w:val="14"/>
          <w:w w:val="105"/>
        </w:rPr>
        <w:t xml:space="preserve"> </w:t>
      </w:r>
      <w:proofErr w:type="gramStart"/>
      <w:r w:rsidRPr="00283806">
        <w:rPr>
          <w:w w:val="105"/>
        </w:rPr>
        <w:t>was</w:t>
      </w:r>
      <w:proofErr w:type="gramEnd"/>
      <w:r w:rsidRPr="00283806">
        <w:rPr>
          <w:spacing w:val="14"/>
          <w:w w:val="105"/>
        </w:rPr>
        <w:t xml:space="preserve"> </w:t>
      </w:r>
      <w:r w:rsidRPr="00283806">
        <w:rPr>
          <w:w w:val="105"/>
        </w:rPr>
        <w:t>chosen,</w:t>
      </w:r>
      <w:r w:rsidRPr="00283806">
        <w:rPr>
          <w:spacing w:val="14"/>
          <w:w w:val="105"/>
        </w:rPr>
        <w:t xml:space="preserve"> </w:t>
      </w:r>
      <w:r w:rsidRPr="00283806">
        <w:rPr>
          <w:spacing w:val="-2"/>
          <w:w w:val="105"/>
        </w:rPr>
        <w:t>given</w:t>
      </w:r>
    </w:p>
    <w:p w14:paraId="1B9304D5" w14:textId="77777777" w:rsidR="00D67C1E" w:rsidRPr="00283806" w:rsidRDefault="001265CA">
      <w:pPr>
        <w:pStyle w:val="BodyText"/>
        <w:spacing w:line="71" w:lineRule="exact"/>
        <w:ind w:left="159"/>
      </w:pPr>
      <w:r w:rsidRPr="00283806">
        <w:rPr>
          <w:w w:val="105"/>
        </w:rPr>
        <w:t>it</w:t>
      </w:r>
      <w:r w:rsidRPr="00283806">
        <w:rPr>
          <w:spacing w:val="13"/>
          <w:w w:val="105"/>
        </w:rPr>
        <w:t xml:space="preserve"> </w:t>
      </w:r>
      <w:r w:rsidRPr="00283806">
        <w:rPr>
          <w:w w:val="105"/>
        </w:rPr>
        <w:t>is</w:t>
      </w:r>
      <w:r w:rsidRPr="00283806">
        <w:rPr>
          <w:spacing w:val="14"/>
          <w:w w:val="105"/>
        </w:rPr>
        <w:t xml:space="preserve"> </w:t>
      </w:r>
      <w:r w:rsidRPr="00283806">
        <w:rPr>
          <w:w w:val="105"/>
        </w:rPr>
        <w:t>the</w:t>
      </w:r>
      <w:r w:rsidRPr="00283806">
        <w:rPr>
          <w:spacing w:val="14"/>
          <w:w w:val="105"/>
        </w:rPr>
        <w:t xml:space="preserve"> </w:t>
      </w:r>
      <w:r w:rsidRPr="00283806">
        <w:rPr>
          <w:w w:val="105"/>
        </w:rPr>
        <w:t>lowest</w:t>
      </w:r>
      <w:r w:rsidRPr="00283806">
        <w:rPr>
          <w:spacing w:val="14"/>
          <w:w w:val="105"/>
        </w:rPr>
        <w:t xml:space="preserve"> </w:t>
      </w:r>
      <w:r w:rsidRPr="00283806">
        <w:rPr>
          <w:w w:val="105"/>
        </w:rPr>
        <w:t>GWP</w:t>
      </w:r>
      <w:r w:rsidRPr="00283806">
        <w:rPr>
          <w:spacing w:val="14"/>
          <w:w w:val="105"/>
        </w:rPr>
        <w:t xml:space="preserve"> </w:t>
      </w:r>
      <w:r w:rsidRPr="00283806">
        <w:rPr>
          <w:w w:val="105"/>
        </w:rPr>
        <w:t>of</w:t>
      </w:r>
      <w:r w:rsidRPr="00283806">
        <w:rPr>
          <w:spacing w:val="14"/>
          <w:w w:val="105"/>
        </w:rPr>
        <w:t xml:space="preserve"> </w:t>
      </w:r>
      <w:r w:rsidRPr="00283806">
        <w:rPr>
          <w:w w:val="105"/>
        </w:rPr>
        <w:t>the</w:t>
      </w:r>
      <w:r w:rsidRPr="00283806">
        <w:rPr>
          <w:spacing w:val="14"/>
          <w:w w:val="105"/>
        </w:rPr>
        <w:t xml:space="preserve"> </w:t>
      </w:r>
      <w:r w:rsidRPr="00283806">
        <w:rPr>
          <w:w w:val="105"/>
        </w:rPr>
        <w:t>HFCs</w:t>
      </w:r>
      <w:r w:rsidRPr="00283806">
        <w:rPr>
          <w:spacing w:val="14"/>
          <w:w w:val="105"/>
        </w:rPr>
        <w:t xml:space="preserve"> </w:t>
      </w:r>
      <w:r w:rsidRPr="00283806">
        <w:rPr>
          <w:spacing w:val="-4"/>
          <w:w w:val="105"/>
        </w:rPr>
        <w:t>that</w:t>
      </w:r>
    </w:p>
    <w:p w14:paraId="722D23F0" w14:textId="77777777" w:rsidR="00D67C1E" w:rsidRPr="00283806" w:rsidRDefault="00D67C1E">
      <w:pPr>
        <w:spacing w:line="71" w:lineRule="exact"/>
        <w:sectPr w:rsidR="00D67C1E" w:rsidRPr="00283806">
          <w:type w:val="continuous"/>
          <w:pgSz w:w="12240" w:h="15840"/>
          <w:pgMar w:top="880" w:right="780" w:bottom="280" w:left="740" w:header="627" w:footer="0" w:gutter="0"/>
          <w:cols w:num="2" w:space="720" w:equalWidth="0">
            <w:col w:w="4740" w:space="2340"/>
            <w:col w:w="3640"/>
          </w:cols>
        </w:sectPr>
      </w:pPr>
    </w:p>
    <w:p w14:paraId="48C88FBE" w14:textId="77777777" w:rsidR="00D67C1E" w:rsidRPr="00283806" w:rsidRDefault="001265CA">
      <w:pPr>
        <w:spacing w:before="4" w:line="232" w:lineRule="auto"/>
        <w:ind w:left="159" w:right="38"/>
        <w:rPr>
          <w:sz w:val="14"/>
        </w:rPr>
      </w:pPr>
      <w:r w:rsidRPr="00283806">
        <w:rPr>
          <w:w w:val="110"/>
          <w:sz w:val="14"/>
        </w:rPr>
        <w:t>or</w:t>
      </w:r>
      <w:r w:rsidRPr="00283806">
        <w:rPr>
          <w:spacing w:val="-9"/>
          <w:w w:val="110"/>
          <w:sz w:val="14"/>
        </w:rPr>
        <w:t xml:space="preserve"> </w:t>
      </w:r>
      <w:r w:rsidRPr="00283806">
        <w:rPr>
          <w:w w:val="110"/>
          <w:sz w:val="14"/>
        </w:rPr>
        <w:t>those</w:t>
      </w:r>
      <w:r w:rsidRPr="00283806">
        <w:rPr>
          <w:spacing w:val="-8"/>
          <w:w w:val="110"/>
          <w:sz w:val="14"/>
        </w:rPr>
        <w:t xml:space="preserve"> </w:t>
      </w:r>
      <w:r w:rsidRPr="00283806">
        <w:rPr>
          <w:w w:val="110"/>
          <w:sz w:val="14"/>
        </w:rPr>
        <w:t>covered</w:t>
      </w:r>
      <w:r w:rsidRPr="00283806">
        <w:rPr>
          <w:spacing w:val="-9"/>
          <w:w w:val="110"/>
          <w:sz w:val="14"/>
        </w:rPr>
        <w:t xml:space="preserve"> </w:t>
      </w:r>
      <w:r w:rsidRPr="00283806">
        <w:rPr>
          <w:w w:val="110"/>
          <w:sz w:val="14"/>
        </w:rPr>
        <w:t>as</w:t>
      </w:r>
      <w:r w:rsidRPr="00283806">
        <w:rPr>
          <w:spacing w:val="-8"/>
          <w:w w:val="110"/>
          <w:sz w:val="14"/>
        </w:rPr>
        <w:t xml:space="preserve"> </w:t>
      </w:r>
      <w:r w:rsidRPr="00283806">
        <w:rPr>
          <w:w w:val="110"/>
          <w:sz w:val="14"/>
        </w:rPr>
        <w:t>‘‘commercial</w:t>
      </w:r>
      <w:r w:rsidRPr="00283806">
        <w:rPr>
          <w:spacing w:val="-9"/>
          <w:w w:val="110"/>
          <w:sz w:val="14"/>
        </w:rPr>
        <w:t xml:space="preserve"> </w:t>
      </w:r>
      <w:r w:rsidRPr="00283806">
        <w:rPr>
          <w:w w:val="110"/>
          <w:sz w:val="14"/>
        </w:rPr>
        <w:t>ice</w:t>
      </w:r>
      <w:r w:rsidRPr="00283806">
        <w:rPr>
          <w:spacing w:val="-8"/>
          <w:w w:val="110"/>
          <w:sz w:val="14"/>
        </w:rPr>
        <w:t xml:space="preserve"> </w:t>
      </w:r>
      <w:r w:rsidRPr="00283806">
        <w:rPr>
          <w:w w:val="110"/>
          <w:sz w:val="14"/>
        </w:rPr>
        <w:t>machines’’</w:t>
      </w:r>
      <w:r w:rsidRPr="00283806">
        <w:rPr>
          <w:spacing w:val="40"/>
          <w:w w:val="110"/>
          <w:sz w:val="14"/>
        </w:rPr>
        <w:t xml:space="preserve"> </w:t>
      </w:r>
      <w:r w:rsidRPr="00283806">
        <w:rPr>
          <w:w w:val="110"/>
          <w:sz w:val="14"/>
        </w:rPr>
        <w:t>under SNAP.</w:t>
      </w:r>
    </w:p>
    <w:p w14:paraId="513F590B" w14:textId="77777777" w:rsidR="00D67C1E" w:rsidRPr="00283806" w:rsidRDefault="001265CA">
      <w:pPr>
        <w:spacing w:before="4" w:line="232" w:lineRule="auto"/>
        <w:ind w:left="159" w:right="38" w:firstLine="140"/>
        <w:rPr>
          <w:sz w:val="14"/>
        </w:rPr>
      </w:pPr>
      <w:r w:rsidRPr="00283806">
        <w:br w:type="column"/>
      </w:r>
      <w:r w:rsidRPr="00283806">
        <w:rPr>
          <w:w w:val="105"/>
          <w:position w:val="4"/>
          <w:sz w:val="9"/>
        </w:rPr>
        <w:t xml:space="preserve">52 </w:t>
      </w:r>
      <w:r w:rsidRPr="00283806">
        <w:rPr>
          <w:w w:val="105"/>
          <w:sz w:val="14"/>
        </w:rPr>
        <w:t>This list currently matches the list of regulated</w:t>
      </w:r>
      <w:r w:rsidRPr="00283806">
        <w:rPr>
          <w:spacing w:val="40"/>
          <w:w w:val="105"/>
          <w:sz w:val="14"/>
        </w:rPr>
        <w:t xml:space="preserve"> </w:t>
      </w:r>
      <w:r w:rsidRPr="00283806">
        <w:rPr>
          <w:w w:val="105"/>
          <w:sz w:val="14"/>
        </w:rPr>
        <w:t>substances in subsection (c) of the AIM Act.</w:t>
      </w:r>
    </w:p>
    <w:p w14:paraId="0647DFDA" w14:textId="77777777" w:rsidR="00D67C1E" w:rsidRPr="00283806" w:rsidRDefault="001265CA">
      <w:pPr>
        <w:pStyle w:val="BodyText"/>
        <w:spacing w:before="123"/>
        <w:ind w:left="159"/>
      </w:pPr>
      <w:r w:rsidRPr="00283806">
        <w:br w:type="column"/>
      </w:r>
      <w:r w:rsidRPr="00283806">
        <w:rPr>
          <w:w w:val="105"/>
        </w:rPr>
        <w:t>could</w:t>
      </w:r>
      <w:r w:rsidRPr="00283806">
        <w:rPr>
          <w:spacing w:val="9"/>
          <w:w w:val="105"/>
        </w:rPr>
        <w:t xml:space="preserve"> </w:t>
      </w:r>
      <w:r w:rsidRPr="00283806">
        <w:rPr>
          <w:w w:val="105"/>
        </w:rPr>
        <w:t>be</w:t>
      </w:r>
      <w:r w:rsidRPr="00283806">
        <w:rPr>
          <w:spacing w:val="10"/>
          <w:w w:val="105"/>
        </w:rPr>
        <w:t xml:space="preserve"> </w:t>
      </w:r>
      <w:r w:rsidRPr="00283806">
        <w:rPr>
          <w:w w:val="105"/>
        </w:rPr>
        <w:t>listed</w:t>
      </w:r>
      <w:r w:rsidRPr="00283806">
        <w:rPr>
          <w:spacing w:val="10"/>
          <w:w w:val="105"/>
        </w:rPr>
        <w:t xml:space="preserve"> </w:t>
      </w:r>
      <w:r w:rsidRPr="00283806">
        <w:rPr>
          <w:w w:val="105"/>
        </w:rPr>
        <w:t>as</w:t>
      </w:r>
      <w:r w:rsidRPr="00283806">
        <w:rPr>
          <w:spacing w:val="10"/>
          <w:w w:val="105"/>
        </w:rPr>
        <w:t xml:space="preserve"> </w:t>
      </w:r>
      <w:r w:rsidRPr="00283806">
        <w:rPr>
          <w:w w:val="105"/>
        </w:rPr>
        <w:t>a</w:t>
      </w:r>
      <w:r w:rsidRPr="00283806">
        <w:rPr>
          <w:spacing w:val="10"/>
          <w:w w:val="105"/>
        </w:rPr>
        <w:t xml:space="preserve"> </w:t>
      </w:r>
      <w:r w:rsidRPr="00283806">
        <w:rPr>
          <w:w w:val="105"/>
        </w:rPr>
        <w:t>regulated</w:t>
      </w:r>
      <w:r w:rsidRPr="00283806">
        <w:rPr>
          <w:spacing w:val="10"/>
          <w:w w:val="105"/>
        </w:rPr>
        <w:t xml:space="preserve"> </w:t>
      </w:r>
      <w:r w:rsidRPr="00283806">
        <w:rPr>
          <w:spacing w:val="-2"/>
          <w:w w:val="105"/>
        </w:rPr>
        <w:t>substance</w:t>
      </w:r>
    </w:p>
    <w:p w14:paraId="0E637468" w14:textId="77777777" w:rsidR="00D67C1E" w:rsidRPr="00283806" w:rsidRDefault="00D67C1E">
      <w:pPr>
        <w:sectPr w:rsidR="00D67C1E" w:rsidRPr="00283806">
          <w:type w:val="continuous"/>
          <w:pgSz w:w="12240" w:h="15840"/>
          <w:pgMar w:top="880" w:right="780" w:bottom="280" w:left="740" w:header="627" w:footer="0" w:gutter="0"/>
          <w:cols w:num="3" w:space="720" w:equalWidth="0">
            <w:col w:w="3255" w:space="285"/>
            <w:col w:w="3491" w:space="49"/>
            <w:col w:w="3640"/>
          </w:cols>
        </w:sectPr>
      </w:pPr>
    </w:p>
    <w:p w14:paraId="187574D4" w14:textId="77777777" w:rsidR="00D67C1E" w:rsidRPr="00283806" w:rsidRDefault="001265CA">
      <w:pPr>
        <w:pStyle w:val="BodyText"/>
        <w:spacing w:before="134" w:line="228" w:lineRule="auto"/>
        <w:ind w:right="98"/>
      </w:pPr>
      <w:r w:rsidRPr="00283806">
        <w:rPr>
          <w:w w:val="105"/>
        </w:rPr>
        <w:lastRenderedPageBreak/>
        <w:t>under</w:t>
      </w:r>
      <w:r w:rsidRPr="00283806">
        <w:rPr>
          <w:spacing w:val="-1"/>
          <w:w w:val="105"/>
        </w:rPr>
        <w:t xml:space="preserve"> </w:t>
      </w:r>
      <w:r w:rsidRPr="00283806">
        <w:rPr>
          <w:w w:val="105"/>
        </w:rPr>
        <w:t>subsection</w:t>
      </w:r>
      <w:r w:rsidRPr="00283806">
        <w:rPr>
          <w:spacing w:val="-1"/>
          <w:w w:val="105"/>
        </w:rPr>
        <w:t xml:space="preserve"> </w:t>
      </w:r>
      <w:r w:rsidRPr="00283806">
        <w:rPr>
          <w:w w:val="105"/>
        </w:rPr>
        <w:t>(c)(3)(A)(i)(II)</w:t>
      </w:r>
      <w:r w:rsidRPr="00283806">
        <w:rPr>
          <w:spacing w:val="-1"/>
          <w:w w:val="105"/>
        </w:rPr>
        <w:t xml:space="preserve"> </w:t>
      </w:r>
      <w:r w:rsidRPr="00283806">
        <w:rPr>
          <w:w w:val="105"/>
        </w:rPr>
        <w:t>of</w:t>
      </w:r>
      <w:r w:rsidRPr="00283806">
        <w:rPr>
          <w:spacing w:val="-1"/>
          <w:w w:val="105"/>
        </w:rPr>
        <w:t xml:space="preserve"> </w:t>
      </w:r>
      <w:r w:rsidRPr="00283806">
        <w:rPr>
          <w:w w:val="105"/>
        </w:rPr>
        <w:t xml:space="preserve">the AIM Act. For purposes of this rulemaking, the Agency concludes it </w:t>
      </w:r>
      <w:proofErr w:type="gramStart"/>
      <w:r w:rsidRPr="00283806">
        <w:rPr>
          <w:w w:val="105"/>
        </w:rPr>
        <w:t>appropriate</w:t>
      </w:r>
      <w:proofErr w:type="gramEnd"/>
      <w:r w:rsidRPr="00283806">
        <w:rPr>
          <w:w w:val="105"/>
        </w:rPr>
        <w:t xml:space="preserve"> to parallel this statutory provision for the GWPs of the substances that could be designated as regulated substances under the Act.</w:t>
      </w:r>
    </w:p>
    <w:p w14:paraId="6D0FA196" w14:textId="77777777" w:rsidR="00D67C1E" w:rsidRPr="00283806" w:rsidRDefault="001265CA">
      <w:pPr>
        <w:pStyle w:val="BodyText"/>
        <w:spacing w:line="228" w:lineRule="auto"/>
      </w:pPr>
      <w:r w:rsidRPr="00283806">
        <w:rPr>
          <w:w w:val="105"/>
        </w:rPr>
        <w:t>Regardless of GWP, any refrigerant that contains an HFC is covered under the</w:t>
      </w:r>
      <w:r w:rsidRPr="00283806">
        <w:rPr>
          <w:spacing w:val="40"/>
          <w:w w:val="105"/>
        </w:rPr>
        <w:t xml:space="preserve"> </w:t>
      </w:r>
      <w:r w:rsidRPr="00283806">
        <w:rPr>
          <w:w w:val="105"/>
        </w:rPr>
        <w:t>leak repair provisions. Using a GWP of</w:t>
      </w:r>
      <w:r w:rsidRPr="00283806">
        <w:rPr>
          <w:spacing w:val="80"/>
          <w:w w:val="105"/>
        </w:rPr>
        <w:t xml:space="preserve"> </w:t>
      </w:r>
      <w:r w:rsidRPr="00283806">
        <w:rPr>
          <w:w w:val="105"/>
        </w:rPr>
        <w:t>53 for substitutes maintains consistency between the HFCs and their substitutes that are regulated under this rule under subsection (h). Moreover, the Agency notes that currently the vast majority of HFC refrigerants and refrigerant blends containing HFCs in equipment have</w:t>
      </w:r>
      <w:r w:rsidRPr="00283806">
        <w:rPr>
          <w:spacing w:val="40"/>
          <w:w w:val="105"/>
        </w:rPr>
        <w:t xml:space="preserve"> </w:t>
      </w:r>
      <w:r w:rsidRPr="00283806">
        <w:rPr>
          <w:w w:val="105"/>
        </w:rPr>
        <w:t>much higher GWPs, often 20 to 50, or even more than 75 times as high as this cutoff. The Agency is aware of one HFC blend, IKON–A, currently in use for IPR which has a GWP below 53. However,</w:t>
      </w:r>
      <w:r w:rsidRPr="00283806">
        <w:rPr>
          <w:spacing w:val="80"/>
          <w:w w:val="105"/>
        </w:rPr>
        <w:t xml:space="preserve"> </w:t>
      </w:r>
      <w:r w:rsidRPr="00283806">
        <w:rPr>
          <w:w w:val="105"/>
        </w:rPr>
        <w:t>the inclusion of a regulated HFC in the refrigerant blend means that any refrigerant-containing appliances using this blend are subject to the leak repair provisions of this final rule. In the</w:t>
      </w:r>
      <w:r w:rsidRPr="00283806">
        <w:rPr>
          <w:spacing w:val="80"/>
          <w:w w:val="150"/>
        </w:rPr>
        <w:t xml:space="preserve"> </w:t>
      </w:r>
      <w:r w:rsidRPr="00283806">
        <w:rPr>
          <w:w w:val="105"/>
        </w:rPr>
        <w:t>future, EPA may find similar blends acceptable to use in specific</w:t>
      </w:r>
      <w:r w:rsidRPr="00283806">
        <w:rPr>
          <w:spacing w:val="80"/>
          <w:w w:val="105"/>
        </w:rPr>
        <w:t xml:space="preserve"> </w:t>
      </w:r>
      <w:r w:rsidRPr="00283806">
        <w:rPr>
          <w:w w:val="105"/>
        </w:rPr>
        <w:t>applications, under other regulatory programs, but their applicability for the leak</w:t>
      </w:r>
      <w:r w:rsidRPr="00283806">
        <w:rPr>
          <w:spacing w:val="36"/>
          <w:w w:val="105"/>
        </w:rPr>
        <w:t xml:space="preserve"> </w:t>
      </w:r>
      <w:r w:rsidRPr="00283806">
        <w:rPr>
          <w:w w:val="105"/>
        </w:rPr>
        <w:t>repair</w:t>
      </w:r>
      <w:r w:rsidRPr="00283806">
        <w:rPr>
          <w:spacing w:val="36"/>
          <w:w w:val="105"/>
        </w:rPr>
        <w:t xml:space="preserve"> </w:t>
      </w:r>
      <w:r w:rsidRPr="00283806">
        <w:rPr>
          <w:w w:val="105"/>
        </w:rPr>
        <w:t>provisions</w:t>
      </w:r>
      <w:r w:rsidRPr="00283806">
        <w:rPr>
          <w:spacing w:val="36"/>
          <w:w w:val="105"/>
        </w:rPr>
        <w:t xml:space="preserve"> </w:t>
      </w:r>
      <w:r w:rsidRPr="00283806">
        <w:rPr>
          <w:w w:val="105"/>
        </w:rPr>
        <w:t>of</w:t>
      </w:r>
      <w:r w:rsidRPr="00283806">
        <w:rPr>
          <w:spacing w:val="36"/>
          <w:w w:val="105"/>
        </w:rPr>
        <w:t xml:space="preserve"> </w:t>
      </w:r>
      <w:r w:rsidRPr="00283806">
        <w:rPr>
          <w:w w:val="105"/>
        </w:rPr>
        <w:t>this</w:t>
      </w:r>
      <w:r w:rsidRPr="00283806">
        <w:rPr>
          <w:spacing w:val="36"/>
          <w:w w:val="105"/>
        </w:rPr>
        <w:t xml:space="preserve"> </w:t>
      </w:r>
      <w:r w:rsidRPr="00283806">
        <w:rPr>
          <w:w w:val="105"/>
        </w:rPr>
        <w:t>final</w:t>
      </w:r>
      <w:r w:rsidRPr="00283806">
        <w:rPr>
          <w:spacing w:val="36"/>
          <w:w w:val="105"/>
        </w:rPr>
        <w:t xml:space="preserve"> </w:t>
      </w:r>
      <w:r w:rsidRPr="00283806">
        <w:rPr>
          <w:w w:val="105"/>
        </w:rPr>
        <w:t>rule is</w:t>
      </w:r>
      <w:r w:rsidRPr="00283806">
        <w:rPr>
          <w:spacing w:val="38"/>
          <w:w w:val="105"/>
        </w:rPr>
        <w:t xml:space="preserve"> </w:t>
      </w:r>
      <w:r w:rsidRPr="00283806">
        <w:rPr>
          <w:w w:val="105"/>
        </w:rPr>
        <w:t>subject</w:t>
      </w:r>
      <w:r w:rsidRPr="00283806">
        <w:rPr>
          <w:spacing w:val="38"/>
          <w:w w:val="105"/>
        </w:rPr>
        <w:t xml:space="preserve"> </w:t>
      </w:r>
      <w:r w:rsidRPr="00283806">
        <w:rPr>
          <w:w w:val="105"/>
        </w:rPr>
        <w:t>to</w:t>
      </w:r>
      <w:r w:rsidRPr="00283806">
        <w:rPr>
          <w:spacing w:val="38"/>
          <w:w w:val="105"/>
        </w:rPr>
        <w:t xml:space="preserve"> </w:t>
      </w:r>
      <w:r w:rsidRPr="00283806">
        <w:rPr>
          <w:w w:val="105"/>
        </w:rPr>
        <w:t>whether</w:t>
      </w:r>
      <w:r w:rsidRPr="00283806">
        <w:rPr>
          <w:spacing w:val="38"/>
          <w:w w:val="105"/>
        </w:rPr>
        <w:t xml:space="preserve"> </w:t>
      </w:r>
      <w:r w:rsidRPr="00283806">
        <w:rPr>
          <w:w w:val="105"/>
        </w:rPr>
        <w:t>a</w:t>
      </w:r>
      <w:r w:rsidRPr="00283806">
        <w:rPr>
          <w:spacing w:val="38"/>
          <w:w w:val="105"/>
        </w:rPr>
        <w:t xml:space="preserve"> </w:t>
      </w:r>
      <w:r w:rsidRPr="00283806">
        <w:rPr>
          <w:w w:val="105"/>
        </w:rPr>
        <w:t>blend</w:t>
      </w:r>
      <w:r w:rsidRPr="00283806">
        <w:rPr>
          <w:spacing w:val="38"/>
          <w:w w:val="105"/>
        </w:rPr>
        <w:t xml:space="preserve"> </w:t>
      </w:r>
      <w:r w:rsidRPr="00283806">
        <w:rPr>
          <w:w w:val="105"/>
        </w:rPr>
        <w:t>contains an HFC or a substitute with a GWP greater than 53, not the GWP of the</w:t>
      </w:r>
      <w:r w:rsidRPr="00283806">
        <w:rPr>
          <w:spacing w:val="40"/>
          <w:w w:val="105"/>
        </w:rPr>
        <w:t xml:space="preserve"> </w:t>
      </w:r>
      <w:r w:rsidRPr="00283806">
        <w:rPr>
          <w:w w:val="105"/>
        </w:rPr>
        <w:t xml:space="preserve">blend overall. Additionally, EPA acknowledges that over time the refrigerant market is likely to shift, particularly </w:t>
      </w:r>
      <w:proofErr w:type="gramStart"/>
      <w:r w:rsidRPr="00283806">
        <w:rPr>
          <w:w w:val="105"/>
        </w:rPr>
        <w:t>in light of</w:t>
      </w:r>
      <w:proofErr w:type="gramEnd"/>
      <w:r w:rsidRPr="00283806">
        <w:rPr>
          <w:w w:val="105"/>
        </w:rPr>
        <w:t xml:space="preserve"> the HFC phasedown under both the AIM Act and Montreal Protocol, the 2023 Technology Transitions</w:t>
      </w:r>
      <w:r w:rsidRPr="00283806">
        <w:rPr>
          <w:spacing w:val="40"/>
          <w:w w:val="105"/>
        </w:rPr>
        <w:t xml:space="preserve"> </w:t>
      </w:r>
      <w:r w:rsidRPr="00283806">
        <w:rPr>
          <w:w w:val="105"/>
        </w:rPr>
        <w:t>Rule,</w:t>
      </w:r>
      <w:r w:rsidRPr="00283806">
        <w:rPr>
          <w:spacing w:val="40"/>
          <w:w w:val="105"/>
        </w:rPr>
        <w:t xml:space="preserve"> </w:t>
      </w:r>
      <w:r w:rsidRPr="00283806">
        <w:rPr>
          <w:w w:val="105"/>
        </w:rPr>
        <w:t>and</w:t>
      </w:r>
      <w:r w:rsidRPr="00283806">
        <w:rPr>
          <w:spacing w:val="40"/>
          <w:w w:val="105"/>
        </w:rPr>
        <w:t xml:space="preserve"> </w:t>
      </w:r>
      <w:r w:rsidRPr="00283806">
        <w:rPr>
          <w:w w:val="105"/>
        </w:rPr>
        <w:t>business</w:t>
      </w:r>
      <w:r w:rsidRPr="00283806">
        <w:rPr>
          <w:spacing w:val="40"/>
          <w:w w:val="105"/>
        </w:rPr>
        <w:t xml:space="preserve"> </w:t>
      </w:r>
      <w:r w:rsidRPr="00283806">
        <w:rPr>
          <w:w w:val="105"/>
        </w:rPr>
        <w:t>decisions to use refrigerants that do not contain</w:t>
      </w:r>
      <w:r w:rsidRPr="00283806">
        <w:rPr>
          <w:spacing w:val="40"/>
          <w:w w:val="105"/>
        </w:rPr>
        <w:t xml:space="preserve"> </w:t>
      </w:r>
      <w:r w:rsidRPr="00283806">
        <w:rPr>
          <w:w w:val="105"/>
        </w:rPr>
        <w:t>HFCs</w:t>
      </w:r>
      <w:r w:rsidRPr="00283806">
        <w:rPr>
          <w:spacing w:val="40"/>
          <w:w w:val="105"/>
        </w:rPr>
        <w:t xml:space="preserve"> </w:t>
      </w:r>
      <w:r w:rsidRPr="00283806">
        <w:rPr>
          <w:w w:val="105"/>
        </w:rPr>
        <w:t>or</w:t>
      </w:r>
      <w:r w:rsidRPr="00283806">
        <w:rPr>
          <w:spacing w:val="40"/>
          <w:w w:val="105"/>
        </w:rPr>
        <w:t xml:space="preserve"> </w:t>
      </w:r>
      <w:r w:rsidRPr="00283806">
        <w:rPr>
          <w:w w:val="105"/>
        </w:rPr>
        <w:t>a</w:t>
      </w:r>
      <w:r w:rsidRPr="00283806">
        <w:rPr>
          <w:spacing w:val="40"/>
          <w:w w:val="105"/>
        </w:rPr>
        <w:t xml:space="preserve"> </w:t>
      </w:r>
      <w:r w:rsidRPr="00283806">
        <w:rPr>
          <w:w w:val="105"/>
        </w:rPr>
        <w:t>substitute</w:t>
      </w:r>
      <w:r w:rsidRPr="00283806">
        <w:rPr>
          <w:spacing w:val="40"/>
          <w:w w:val="105"/>
        </w:rPr>
        <w:t xml:space="preserve"> </w:t>
      </w:r>
      <w:r w:rsidRPr="00283806">
        <w:rPr>
          <w:w w:val="105"/>
        </w:rPr>
        <w:t>with</w:t>
      </w:r>
      <w:r w:rsidRPr="00283806">
        <w:rPr>
          <w:spacing w:val="40"/>
          <w:w w:val="105"/>
        </w:rPr>
        <w:t xml:space="preserve"> </w:t>
      </w:r>
      <w:r w:rsidRPr="00283806">
        <w:rPr>
          <w:w w:val="105"/>
        </w:rPr>
        <w:t>a GWP above 53.</w:t>
      </w:r>
    </w:p>
    <w:p w14:paraId="0BB6D6A8" w14:textId="77777777" w:rsidR="00D67C1E" w:rsidRPr="00283806" w:rsidRDefault="001265CA">
      <w:pPr>
        <w:pStyle w:val="BodyText"/>
        <w:spacing w:before="18" w:line="228" w:lineRule="auto"/>
        <w:ind w:right="58" w:firstLine="180"/>
      </w:pPr>
      <w:r w:rsidRPr="00283806">
        <w:rPr>
          <w:w w:val="105"/>
        </w:rPr>
        <w:t>EPA is establishing a lower-GWP threshold for the leak repair requirements in this final rule than it established under the 2023 Technology Transitions Rule for the use of an HFC</w:t>
      </w:r>
      <w:r w:rsidRPr="00283806">
        <w:rPr>
          <w:spacing w:val="80"/>
          <w:w w:val="105"/>
        </w:rPr>
        <w:t xml:space="preserve"> </w:t>
      </w:r>
      <w:r w:rsidRPr="00283806">
        <w:rPr>
          <w:w w:val="105"/>
        </w:rPr>
        <w:t>in certain new equipment. EPA</w:t>
      </w:r>
      <w:r w:rsidRPr="00283806">
        <w:rPr>
          <w:spacing w:val="40"/>
          <w:w w:val="105"/>
        </w:rPr>
        <w:t xml:space="preserve"> </w:t>
      </w:r>
      <w:r w:rsidRPr="00283806">
        <w:rPr>
          <w:w w:val="105"/>
        </w:rPr>
        <w:t>considers this lower threshold to be appropriate given the different goals of these regulations. One purpose for regulations under subsection (h), including the leak repair requirements, is minimizing releases of regulated substances from equipment. The 2023 Technology Transitions Rule was focused on restricting the use of higher- GWP HFCs in new equipment.</w:t>
      </w:r>
    </w:p>
    <w:p w14:paraId="00559286" w14:textId="77777777" w:rsidR="00D67C1E" w:rsidRPr="00283806" w:rsidRDefault="001265CA">
      <w:pPr>
        <w:pStyle w:val="BodyText"/>
        <w:spacing w:line="228" w:lineRule="auto"/>
      </w:pPr>
      <w:r w:rsidRPr="00283806">
        <w:rPr>
          <w:w w:val="105"/>
        </w:rPr>
        <w:t>Equipment that is compliant with the subsection (i) requirements may still be regulated under subsection (h) to minimize releases of HFCs from the equipment. Using a GWP of 53 as the cutoff under these regulations will address the release of substitutes with</w:t>
      </w:r>
    </w:p>
    <w:p w14:paraId="6DE2C797" w14:textId="77777777" w:rsidR="00D67C1E" w:rsidRPr="00283806" w:rsidRDefault="001265CA">
      <w:pPr>
        <w:pStyle w:val="BodyText"/>
        <w:spacing w:before="134" w:line="225" w:lineRule="auto"/>
        <w:ind w:right="131"/>
      </w:pPr>
      <w:r w:rsidRPr="00283806">
        <w:br w:type="column"/>
      </w:r>
      <w:r w:rsidRPr="00283806">
        <w:rPr>
          <w:w w:val="105"/>
        </w:rPr>
        <w:t>potentially comparable climate impacts to that of substances that are or could</w:t>
      </w:r>
      <w:r w:rsidRPr="00283806">
        <w:rPr>
          <w:spacing w:val="40"/>
          <w:w w:val="105"/>
        </w:rPr>
        <w:t xml:space="preserve"> </w:t>
      </w:r>
      <w:r w:rsidRPr="00283806">
        <w:rPr>
          <w:w w:val="105"/>
        </w:rPr>
        <w:t>be listed as regulated substances.</w:t>
      </w:r>
    </w:p>
    <w:p w14:paraId="300FCC71" w14:textId="77777777" w:rsidR="00D67C1E" w:rsidRPr="00283806" w:rsidRDefault="001265CA">
      <w:pPr>
        <w:pStyle w:val="BodyText"/>
        <w:spacing w:line="225" w:lineRule="auto"/>
        <w:ind w:right="131"/>
      </w:pPr>
      <w:r w:rsidRPr="00283806">
        <w:rPr>
          <w:w w:val="105"/>
        </w:rPr>
        <w:t>Further, if EPA were to establish a higher-GWP as the threshold, such as 150 or 700, that could create an incentive to switch to a substitute with</w:t>
      </w:r>
      <w:r w:rsidRPr="00283806">
        <w:rPr>
          <w:spacing w:val="40"/>
          <w:w w:val="105"/>
        </w:rPr>
        <w:t xml:space="preserve"> </w:t>
      </w:r>
      <w:r w:rsidRPr="00283806">
        <w:rPr>
          <w:w w:val="105"/>
        </w:rPr>
        <w:t>a GWP greater than 53 but below that 150 or 700 GWP cut off to avoid a need to comply with leak repair requirements, even though those substitutes could have greater climate impact if released than some listed regulated substances.</w:t>
      </w:r>
    </w:p>
    <w:p w14:paraId="6922D228" w14:textId="77777777" w:rsidR="00D67C1E" w:rsidRPr="00283806" w:rsidRDefault="001265CA">
      <w:pPr>
        <w:pStyle w:val="BodyText"/>
        <w:spacing w:line="176" w:lineRule="exact"/>
        <w:ind w:left="340"/>
      </w:pPr>
      <w:r w:rsidRPr="00283806">
        <w:rPr>
          <w:w w:val="105"/>
        </w:rPr>
        <w:t>Regarding</w:t>
      </w:r>
      <w:r w:rsidRPr="00283806">
        <w:rPr>
          <w:spacing w:val="7"/>
          <w:w w:val="105"/>
        </w:rPr>
        <w:t xml:space="preserve"> </w:t>
      </w:r>
      <w:r w:rsidRPr="00283806">
        <w:rPr>
          <w:w w:val="105"/>
        </w:rPr>
        <w:t>the</w:t>
      </w:r>
      <w:r w:rsidRPr="00283806">
        <w:rPr>
          <w:spacing w:val="7"/>
          <w:w w:val="105"/>
        </w:rPr>
        <w:t xml:space="preserve"> </w:t>
      </w:r>
      <w:r w:rsidRPr="00283806">
        <w:rPr>
          <w:w w:val="105"/>
        </w:rPr>
        <w:t>comments</w:t>
      </w:r>
      <w:r w:rsidRPr="00283806">
        <w:rPr>
          <w:spacing w:val="7"/>
          <w:w w:val="105"/>
        </w:rPr>
        <w:t xml:space="preserve"> </w:t>
      </w:r>
      <w:r w:rsidRPr="00283806">
        <w:rPr>
          <w:w w:val="105"/>
        </w:rPr>
        <w:t>related</w:t>
      </w:r>
      <w:r w:rsidRPr="00283806">
        <w:rPr>
          <w:spacing w:val="7"/>
          <w:w w:val="105"/>
        </w:rPr>
        <w:t xml:space="preserve"> </w:t>
      </w:r>
      <w:r w:rsidRPr="00283806">
        <w:rPr>
          <w:spacing w:val="-5"/>
          <w:w w:val="105"/>
        </w:rPr>
        <w:t>to</w:t>
      </w:r>
    </w:p>
    <w:p w14:paraId="77E530D4" w14:textId="77777777" w:rsidR="00D67C1E" w:rsidRPr="00283806" w:rsidRDefault="001265CA">
      <w:pPr>
        <w:pStyle w:val="BodyText"/>
        <w:spacing w:before="3" w:line="225" w:lineRule="auto"/>
        <w:ind w:right="34"/>
      </w:pPr>
      <w:proofErr w:type="gramStart"/>
      <w:r w:rsidRPr="00283806">
        <w:rPr>
          <w:w w:val="105"/>
        </w:rPr>
        <w:t>how</w:t>
      </w:r>
      <w:proofErr w:type="gramEnd"/>
      <w:r w:rsidRPr="00283806">
        <w:rPr>
          <w:w w:val="105"/>
        </w:rPr>
        <w:t xml:space="preserve"> to determine the GWP of</w:t>
      </w:r>
      <w:r w:rsidRPr="00283806">
        <w:rPr>
          <w:spacing w:val="40"/>
          <w:w w:val="105"/>
        </w:rPr>
        <w:t xml:space="preserve"> </w:t>
      </w:r>
      <w:r w:rsidRPr="00283806">
        <w:rPr>
          <w:w w:val="105"/>
        </w:rPr>
        <w:t>substitutes, EPA responds that in the</w:t>
      </w:r>
      <w:r w:rsidRPr="00283806">
        <w:rPr>
          <w:spacing w:val="40"/>
          <w:w w:val="105"/>
        </w:rPr>
        <w:t xml:space="preserve"> </w:t>
      </w:r>
      <w:r w:rsidRPr="00283806">
        <w:rPr>
          <w:w w:val="105"/>
        </w:rPr>
        <w:t>final rule, EPA has streamlined the process for owners or operators to determine the GWP of HFCs or substitutes for HFCs. An owner or operator can view GWP values for regulated substances by consulting the table in appendix A to 40 CFR part 84. Owners or operators can consult the</w:t>
      </w:r>
      <w:r w:rsidRPr="00283806">
        <w:rPr>
          <w:spacing w:val="40"/>
          <w:w w:val="105"/>
        </w:rPr>
        <w:t xml:space="preserve"> </w:t>
      </w:r>
      <w:r w:rsidRPr="00283806">
        <w:rPr>
          <w:w w:val="105"/>
        </w:rPr>
        <w:t xml:space="preserve">table at 40 CFR 84.64(b) </w:t>
      </w:r>
      <w:proofErr w:type="gramStart"/>
      <w:r w:rsidRPr="00283806">
        <w:rPr>
          <w:w w:val="105"/>
        </w:rPr>
        <w:t>for determining</w:t>
      </w:r>
      <w:proofErr w:type="gramEnd"/>
      <w:r w:rsidRPr="00283806">
        <w:rPr>
          <w:w w:val="105"/>
        </w:rPr>
        <w:t xml:space="preserve"> the GWPs of listed commonly used non- HFC constituents to determine if the refrigerant contains substitute for an</w:t>
      </w:r>
      <w:r w:rsidRPr="00283806">
        <w:rPr>
          <w:spacing w:val="40"/>
          <w:w w:val="105"/>
        </w:rPr>
        <w:t xml:space="preserve"> </w:t>
      </w:r>
      <w:r w:rsidRPr="00283806">
        <w:rPr>
          <w:w w:val="105"/>
        </w:rPr>
        <w:t>HFC</w:t>
      </w:r>
      <w:r w:rsidRPr="00283806">
        <w:rPr>
          <w:spacing w:val="37"/>
          <w:w w:val="105"/>
        </w:rPr>
        <w:t xml:space="preserve"> </w:t>
      </w:r>
      <w:r w:rsidRPr="00283806">
        <w:rPr>
          <w:w w:val="105"/>
        </w:rPr>
        <w:t>with</w:t>
      </w:r>
      <w:r w:rsidRPr="00283806">
        <w:rPr>
          <w:spacing w:val="37"/>
          <w:w w:val="105"/>
        </w:rPr>
        <w:t xml:space="preserve"> </w:t>
      </w:r>
      <w:r w:rsidRPr="00283806">
        <w:rPr>
          <w:w w:val="105"/>
        </w:rPr>
        <w:t>a</w:t>
      </w:r>
      <w:r w:rsidRPr="00283806">
        <w:rPr>
          <w:spacing w:val="37"/>
          <w:w w:val="105"/>
        </w:rPr>
        <w:t xml:space="preserve"> </w:t>
      </w:r>
      <w:r w:rsidRPr="00283806">
        <w:rPr>
          <w:w w:val="105"/>
        </w:rPr>
        <w:t>GWP</w:t>
      </w:r>
      <w:r w:rsidRPr="00283806">
        <w:rPr>
          <w:spacing w:val="37"/>
          <w:w w:val="105"/>
        </w:rPr>
        <w:t xml:space="preserve"> </w:t>
      </w:r>
      <w:r w:rsidRPr="00283806">
        <w:rPr>
          <w:w w:val="105"/>
        </w:rPr>
        <w:t>greater</w:t>
      </w:r>
      <w:r w:rsidRPr="00283806">
        <w:rPr>
          <w:spacing w:val="37"/>
          <w:w w:val="105"/>
        </w:rPr>
        <w:t xml:space="preserve"> </w:t>
      </w:r>
      <w:r w:rsidRPr="00283806">
        <w:rPr>
          <w:w w:val="105"/>
        </w:rPr>
        <w:t>than</w:t>
      </w:r>
      <w:r w:rsidRPr="00283806">
        <w:rPr>
          <w:spacing w:val="37"/>
          <w:w w:val="105"/>
        </w:rPr>
        <w:t xml:space="preserve"> </w:t>
      </w:r>
      <w:r w:rsidRPr="00283806">
        <w:rPr>
          <w:w w:val="105"/>
        </w:rPr>
        <w:t>53.</w:t>
      </w:r>
      <w:r w:rsidRPr="00283806">
        <w:rPr>
          <w:spacing w:val="37"/>
          <w:w w:val="105"/>
        </w:rPr>
        <w:t xml:space="preserve"> </w:t>
      </w:r>
      <w:r w:rsidRPr="00283806">
        <w:rPr>
          <w:w w:val="105"/>
        </w:rPr>
        <w:t>The list at 40 CFR 84.64(b) contains substitutes with GWPs less than 53 for purposes of the regulations under subpart B, but EPA disagrees that their inclusion would create confusion, as the regulatory text established in this rulemaking is clear that this list is being consulted for purposes of the subpart C regulations to determine whether a refrigerant contains a regulated substance with a GWP greater than 53.</w:t>
      </w:r>
    </w:p>
    <w:p w14:paraId="2E8F2F3A" w14:textId="77777777" w:rsidR="00D67C1E" w:rsidRPr="00283806" w:rsidRDefault="001265CA">
      <w:pPr>
        <w:spacing w:line="176" w:lineRule="exact"/>
        <w:ind w:left="340"/>
        <w:rPr>
          <w:sz w:val="18"/>
        </w:rPr>
      </w:pPr>
      <w:r w:rsidRPr="00283806">
        <w:rPr>
          <w:rFonts w:ascii="Book Antiqua"/>
          <w:i/>
          <w:w w:val="105"/>
          <w:sz w:val="18"/>
        </w:rPr>
        <w:t>Comment:</w:t>
      </w:r>
      <w:r w:rsidRPr="00283806">
        <w:rPr>
          <w:rFonts w:ascii="Book Antiqua"/>
          <w:i/>
          <w:spacing w:val="19"/>
          <w:w w:val="105"/>
          <w:sz w:val="18"/>
        </w:rPr>
        <w:t xml:space="preserve"> </w:t>
      </w:r>
      <w:r w:rsidRPr="00283806">
        <w:rPr>
          <w:w w:val="105"/>
          <w:sz w:val="18"/>
        </w:rPr>
        <w:t>Two</w:t>
      </w:r>
      <w:r w:rsidRPr="00283806">
        <w:rPr>
          <w:spacing w:val="25"/>
          <w:w w:val="105"/>
          <w:sz w:val="18"/>
        </w:rPr>
        <w:t xml:space="preserve"> </w:t>
      </w:r>
      <w:r w:rsidRPr="00283806">
        <w:rPr>
          <w:w w:val="105"/>
          <w:sz w:val="18"/>
        </w:rPr>
        <w:t>commenters</w:t>
      </w:r>
      <w:r w:rsidRPr="00283806">
        <w:rPr>
          <w:spacing w:val="25"/>
          <w:w w:val="105"/>
          <w:sz w:val="18"/>
        </w:rPr>
        <w:t xml:space="preserve"> </w:t>
      </w:r>
      <w:r w:rsidRPr="00283806">
        <w:rPr>
          <w:spacing w:val="-2"/>
          <w:w w:val="105"/>
          <w:sz w:val="18"/>
        </w:rPr>
        <w:t>stated</w:t>
      </w:r>
    </w:p>
    <w:p w14:paraId="46138170" w14:textId="77777777" w:rsidR="00D67C1E" w:rsidRPr="00283806" w:rsidRDefault="001265CA">
      <w:pPr>
        <w:pStyle w:val="BodyText"/>
        <w:spacing w:line="223" w:lineRule="auto"/>
        <w:ind w:right="63"/>
      </w:pPr>
      <w:r w:rsidRPr="00283806">
        <w:rPr>
          <w:w w:val="105"/>
        </w:rPr>
        <w:t xml:space="preserve">that EPA should consider </w:t>
      </w:r>
      <w:proofErr w:type="gramStart"/>
      <w:r w:rsidRPr="00283806">
        <w:rPr>
          <w:w w:val="105"/>
        </w:rPr>
        <w:t>safety</w:t>
      </w:r>
      <w:proofErr w:type="gramEnd"/>
      <w:r w:rsidRPr="00283806">
        <w:rPr>
          <w:w w:val="105"/>
        </w:rPr>
        <w:t xml:space="preserve"> aspects (</w:t>
      </w:r>
      <w:r w:rsidRPr="00283806">
        <w:rPr>
          <w:rFonts w:ascii="Book Antiqua"/>
          <w:i/>
          <w:w w:val="105"/>
        </w:rPr>
        <w:t xml:space="preserve">e.g., </w:t>
      </w:r>
      <w:r w:rsidRPr="00283806">
        <w:rPr>
          <w:w w:val="105"/>
        </w:rPr>
        <w:t xml:space="preserve">toxicity, flammability) of </w:t>
      </w:r>
      <w:proofErr w:type="gramStart"/>
      <w:r w:rsidRPr="00283806">
        <w:rPr>
          <w:w w:val="105"/>
        </w:rPr>
        <w:t>particular substances</w:t>
      </w:r>
      <w:proofErr w:type="gramEnd"/>
      <w:r w:rsidRPr="00283806">
        <w:rPr>
          <w:w w:val="105"/>
        </w:rPr>
        <w:t xml:space="preserve"> when deciding whether to apply the leak repair provisions, adding that subsection (h) specifically directs</w:t>
      </w:r>
      <w:r w:rsidRPr="00283806">
        <w:rPr>
          <w:spacing w:val="40"/>
          <w:w w:val="105"/>
        </w:rPr>
        <w:t xml:space="preserve"> </w:t>
      </w:r>
      <w:r w:rsidRPr="00283806">
        <w:rPr>
          <w:w w:val="105"/>
        </w:rPr>
        <w:t>the Agency to ensure the safety of technicians and consumers. One commenter asked the Agency to</w:t>
      </w:r>
      <w:r w:rsidRPr="00283806">
        <w:rPr>
          <w:spacing w:val="80"/>
          <w:w w:val="105"/>
        </w:rPr>
        <w:t xml:space="preserve"> </w:t>
      </w:r>
      <w:r w:rsidRPr="00283806">
        <w:rPr>
          <w:w w:val="105"/>
        </w:rPr>
        <w:t>consider whether a system is in direct</w:t>
      </w:r>
    </w:p>
    <w:p w14:paraId="75597675" w14:textId="77777777" w:rsidR="00D67C1E" w:rsidRPr="00283806" w:rsidRDefault="001265CA">
      <w:pPr>
        <w:pStyle w:val="BodyText"/>
        <w:spacing w:before="4" w:line="225" w:lineRule="auto"/>
        <w:ind w:right="58"/>
      </w:pPr>
      <w:r w:rsidRPr="00283806">
        <w:rPr>
          <w:w w:val="105"/>
        </w:rPr>
        <w:t>or indirect contact with building occupants and charge size in its determination around applicability, rather than solely basing mandates on GWP. One of the commenters stated that the 53 GWP limit would drive more use</w:t>
      </w:r>
      <w:r w:rsidRPr="00283806">
        <w:rPr>
          <w:spacing w:val="40"/>
          <w:w w:val="105"/>
        </w:rPr>
        <w:t xml:space="preserve"> </w:t>
      </w:r>
      <w:r w:rsidRPr="00283806">
        <w:rPr>
          <w:w w:val="105"/>
        </w:rPr>
        <w:t>of HFC–152, which the commenter</w:t>
      </w:r>
      <w:r w:rsidRPr="00283806">
        <w:rPr>
          <w:spacing w:val="40"/>
          <w:w w:val="105"/>
        </w:rPr>
        <w:t xml:space="preserve"> </w:t>
      </w:r>
      <w:r w:rsidRPr="00283806">
        <w:rPr>
          <w:w w:val="105"/>
        </w:rPr>
        <w:t>claims is not a viable refrigerant and has historically been used agriculturally as</w:t>
      </w:r>
    </w:p>
    <w:p w14:paraId="04225F5E" w14:textId="77777777" w:rsidR="00D67C1E" w:rsidRPr="00283806" w:rsidRDefault="001265CA">
      <w:pPr>
        <w:pStyle w:val="BodyText"/>
        <w:spacing w:line="188" w:lineRule="exact"/>
      </w:pPr>
      <w:r w:rsidRPr="00283806">
        <w:rPr>
          <w:w w:val="105"/>
        </w:rPr>
        <w:t>a</w:t>
      </w:r>
      <w:r w:rsidRPr="00283806">
        <w:rPr>
          <w:spacing w:val="4"/>
          <w:w w:val="105"/>
        </w:rPr>
        <w:t xml:space="preserve"> </w:t>
      </w:r>
      <w:r w:rsidRPr="00283806">
        <w:rPr>
          <w:spacing w:val="-2"/>
          <w:w w:val="105"/>
        </w:rPr>
        <w:t>rodenticide.</w:t>
      </w:r>
    </w:p>
    <w:p w14:paraId="35B14C2D" w14:textId="77777777" w:rsidR="00D67C1E" w:rsidRPr="00283806" w:rsidRDefault="001265CA">
      <w:pPr>
        <w:pStyle w:val="BodyText"/>
        <w:spacing w:line="228" w:lineRule="auto"/>
        <w:ind w:right="27" w:firstLine="180"/>
      </w:pPr>
      <w:r w:rsidRPr="00283806">
        <w:rPr>
          <w:w w:val="105"/>
        </w:rPr>
        <w:t>The same commenter also requested that the Agency consider the provisions for leak repair under the parameters of safety and performance. The commenter specifically highlighted environmental concerns regarding the toxicity of fluorinated hydrocarbons that contain per- and polyfluoroalkyl substances</w:t>
      </w:r>
    </w:p>
    <w:p w14:paraId="6DC42892" w14:textId="77777777" w:rsidR="00D67C1E" w:rsidRPr="00283806" w:rsidRDefault="001265CA">
      <w:pPr>
        <w:pStyle w:val="BodyText"/>
        <w:spacing w:before="134" w:line="225" w:lineRule="auto"/>
        <w:ind w:left="143" w:right="211"/>
      </w:pPr>
      <w:r w:rsidRPr="00283806">
        <w:br w:type="column"/>
      </w:r>
      <w:r w:rsidRPr="00283806">
        <w:rPr>
          <w:w w:val="105"/>
        </w:rPr>
        <w:t xml:space="preserve">(PFAS) and degrade into trifluoracetic acid (TFA). They suggested that the Agency require leak repair of systems with a charge size of 50 or more pounds for any HFCs, HFOs, or </w:t>
      </w:r>
      <w:proofErr w:type="spellStart"/>
      <w:r w:rsidRPr="00283806">
        <w:rPr>
          <w:w w:val="105"/>
        </w:rPr>
        <w:t>hydrochlorofluoroolefins</w:t>
      </w:r>
      <w:proofErr w:type="spellEnd"/>
      <w:r w:rsidRPr="00283806">
        <w:rPr>
          <w:w w:val="105"/>
        </w:rPr>
        <w:t xml:space="preserve"> (HCFOs) if the decomposition of said substance decomposes into TFA at levels greater than a 10 percent yield. The commenter used HFO–1234yf as an example, which produces byproduct yields of TFA</w:t>
      </w:r>
      <w:r w:rsidRPr="00283806">
        <w:rPr>
          <w:spacing w:val="40"/>
          <w:w w:val="105"/>
        </w:rPr>
        <w:t xml:space="preserve"> </w:t>
      </w:r>
      <w:r w:rsidRPr="00283806">
        <w:rPr>
          <w:w w:val="105"/>
        </w:rPr>
        <w:t>greater than 10 percent.</w:t>
      </w:r>
    </w:p>
    <w:p w14:paraId="19555B28" w14:textId="77777777" w:rsidR="00D67C1E" w:rsidRPr="00283806" w:rsidRDefault="001265CA">
      <w:pPr>
        <w:spacing w:line="181" w:lineRule="exact"/>
        <w:ind w:left="323"/>
        <w:rPr>
          <w:sz w:val="18"/>
        </w:rPr>
      </w:pPr>
      <w:r w:rsidRPr="00283806">
        <w:rPr>
          <w:rFonts w:ascii="Book Antiqua"/>
          <w:i/>
          <w:w w:val="105"/>
          <w:sz w:val="18"/>
        </w:rPr>
        <w:t>Response:</w:t>
      </w:r>
      <w:r w:rsidRPr="00283806">
        <w:rPr>
          <w:rFonts w:ascii="Book Antiqua"/>
          <w:i/>
          <w:spacing w:val="20"/>
          <w:w w:val="105"/>
          <w:sz w:val="18"/>
        </w:rPr>
        <w:t xml:space="preserve"> </w:t>
      </w:r>
      <w:r w:rsidRPr="00283806">
        <w:rPr>
          <w:w w:val="105"/>
          <w:sz w:val="18"/>
        </w:rPr>
        <w:t>With</w:t>
      </w:r>
      <w:r w:rsidRPr="00283806">
        <w:rPr>
          <w:spacing w:val="25"/>
          <w:w w:val="105"/>
          <w:sz w:val="18"/>
        </w:rPr>
        <w:t xml:space="preserve"> </w:t>
      </w:r>
      <w:r w:rsidRPr="00283806">
        <w:rPr>
          <w:w w:val="105"/>
          <w:sz w:val="18"/>
        </w:rPr>
        <w:t>respect</w:t>
      </w:r>
      <w:r w:rsidRPr="00283806">
        <w:rPr>
          <w:spacing w:val="26"/>
          <w:w w:val="105"/>
          <w:sz w:val="18"/>
        </w:rPr>
        <w:t xml:space="preserve"> </w:t>
      </w:r>
      <w:r w:rsidRPr="00283806">
        <w:rPr>
          <w:w w:val="105"/>
          <w:sz w:val="18"/>
        </w:rPr>
        <w:t>to</w:t>
      </w:r>
      <w:r w:rsidRPr="00283806">
        <w:rPr>
          <w:spacing w:val="25"/>
          <w:w w:val="105"/>
          <w:sz w:val="18"/>
        </w:rPr>
        <w:t xml:space="preserve"> </w:t>
      </w:r>
      <w:r w:rsidRPr="00283806">
        <w:rPr>
          <w:spacing w:val="-5"/>
          <w:w w:val="105"/>
          <w:sz w:val="18"/>
        </w:rPr>
        <w:t>the</w:t>
      </w:r>
    </w:p>
    <w:p w14:paraId="7A96D995" w14:textId="77777777" w:rsidR="00D67C1E" w:rsidRPr="00283806" w:rsidRDefault="001265CA">
      <w:pPr>
        <w:pStyle w:val="BodyText"/>
        <w:spacing w:line="225" w:lineRule="auto"/>
        <w:ind w:left="143" w:right="172"/>
      </w:pPr>
      <w:r w:rsidRPr="00283806">
        <w:rPr>
          <w:w w:val="105"/>
        </w:rPr>
        <w:t>comment suggesting that EPA consider performance as a parameter for these regulations, EPA notes that the statutory text under subsection (h)(1) does not mention consideration of performance</w:t>
      </w:r>
      <w:r w:rsidRPr="00283806">
        <w:rPr>
          <w:spacing w:val="40"/>
          <w:w w:val="105"/>
        </w:rPr>
        <w:t xml:space="preserve"> </w:t>
      </w:r>
      <w:r w:rsidRPr="00283806">
        <w:rPr>
          <w:w w:val="105"/>
        </w:rPr>
        <w:t>as a separate parameter in establishing regulations under this provision.</w:t>
      </w:r>
    </w:p>
    <w:p w14:paraId="082610FC" w14:textId="77777777" w:rsidR="00D67C1E" w:rsidRPr="00283806" w:rsidRDefault="001265CA">
      <w:pPr>
        <w:pStyle w:val="BodyText"/>
        <w:spacing w:line="225" w:lineRule="auto"/>
        <w:ind w:left="143" w:right="123"/>
      </w:pPr>
      <w:r w:rsidRPr="00283806">
        <w:rPr>
          <w:w w:val="105"/>
        </w:rPr>
        <w:t xml:space="preserve">Further, the commenter did not provide any supporting analysis or technical information to explain why it would be useful to consider performance as a parameter in establishing the leak repair requirements, or how doing so might affect the final rule. Nothing in the comment suggests that </w:t>
      </w:r>
      <w:proofErr w:type="gramStart"/>
      <w:r w:rsidRPr="00283806">
        <w:rPr>
          <w:w w:val="105"/>
        </w:rPr>
        <w:t>performance</w:t>
      </w:r>
      <w:proofErr w:type="gramEnd"/>
      <w:r w:rsidRPr="00283806">
        <w:rPr>
          <w:w w:val="105"/>
        </w:rPr>
        <w:t xml:space="preserve"> of refrigerant-containing appliances would be negatively affected by this final rule</w:t>
      </w:r>
      <w:r w:rsidRPr="00283806">
        <w:rPr>
          <w:spacing w:val="80"/>
          <w:w w:val="105"/>
        </w:rPr>
        <w:t xml:space="preserve"> </w:t>
      </w:r>
      <w:r w:rsidRPr="00283806">
        <w:rPr>
          <w:w w:val="105"/>
        </w:rPr>
        <w:t>or that this rule would prevent an owner or operator from addressing</w:t>
      </w:r>
      <w:r w:rsidRPr="00283806">
        <w:rPr>
          <w:spacing w:val="40"/>
          <w:w w:val="105"/>
        </w:rPr>
        <w:t xml:space="preserve"> </w:t>
      </w:r>
      <w:r w:rsidRPr="00283806">
        <w:rPr>
          <w:w w:val="105"/>
        </w:rPr>
        <w:t>performance issues as appropriate.</w:t>
      </w:r>
    </w:p>
    <w:p w14:paraId="37663DBB" w14:textId="77777777" w:rsidR="00D67C1E" w:rsidRPr="00283806" w:rsidRDefault="001265CA">
      <w:pPr>
        <w:pStyle w:val="BodyText"/>
        <w:spacing w:line="225" w:lineRule="auto"/>
        <w:ind w:left="143" w:right="211"/>
      </w:pPr>
      <w:r w:rsidRPr="00283806">
        <w:rPr>
          <w:w w:val="105"/>
        </w:rPr>
        <w:t>Thus, the Agency is not using performance as a separate parameter in establishing the final rule’s leak repair requirements. Additionally, the Agency</w:t>
      </w:r>
      <w:r w:rsidRPr="00283806">
        <w:rPr>
          <w:spacing w:val="40"/>
          <w:w w:val="105"/>
        </w:rPr>
        <w:t xml:space="preserve"> </w:t>
      </w:r>
      <w:r w:rsidRPr="00283806">
        <w:rPr>
          <w:w w:val="105"/>
        </w:rPr>
        <w:t>is aware that leaky equipment can have performance issues, and following the requirements in this rule may also have the effect of helping address those</w:t>
      </w:r>
      <w:r w:rsidRPr="00283806">
        <w:rPr>
          <w:spacing w:val="40"/>
          <w:w w:val="105"/>
        </w:rPr>
        <w:t xml:space="preserve"> </w:t>
      </w:r>
      <w:r w:rsidRPr="00283806">
        <w:rPr>
          <w:spacing w:val="-2"/>
          <w:w w:val="105"/>
        </w:rPr>
        <w:t>issues.</w:t>
      </w:r>
    </w:p>
    <w:p w14:paraId="685B12E3" w14:textId="77777777" w:rsidR="00D67C1E" w:rsidRPr="00283806" w:rsidRDefault="001265CA">
      <w:pPr>
        <w:pStyle w:val="BodyText"/>
        <w:spacing w:line="177" w:lineRule="exact"/>
        <w:ind w:left="323"/>
      </w:pPr>
      <w:r w:rsidRPr="00283806">
        <w:rPr>
          <w:w w:val="105"/>
        </w:rPr>
        <w:t>With</w:t>
      </w:r>
      <w:r w:rsidRPr="00283806">
        <w:rPr>
          <w:spacing w:val="8"/>
          <w:w w:val="105"/>
        </w:rPr>
        <w:t xml:space="preserve"> </w:t>
      </w:r>
      <w:r w:rsidRPr="00283806">
        <w:rPr>
          <w:w w:val="105"/>
        </w:rPr>
        <w:t>respect</w:t>
      </w:r>
      <w:r w:rsidRPr="00283806">
        <w:rPr>
          <w:spacing w:val="8"/>
          <w:w w:val="105"/>
        </w:rPr>
        <w:t xml:space="preserve"> </w:t>
      </w:r>
      <w:r w:rsidRPr="00283806">
        <w:rPr>
          <w:w w:val="105"/>
        </w:rPr>
        <w:t>to</w:t>
      </w:r>
      <w:r w:rsidRPr="00283806">
        <w:rPr>
          <w:spacing w:val="9"/>
          <w:w w:val="105"/>
        </w:rPr>
        <w:t xml:space="preserve"> </w:t>
      </w:r>
      <w:r w:rsidRPr="00283806">
        <w:rPr>
          <w:w w:val="105"/>
        </w:rPr>
        <w:t>comments</w:t>
      </w:r>
      <w:r w:rsidRPr="00283806">
        <w:rPr>
          <w:spacing w:val="8"/>
          <w:w w:val="105"/>
        </w:rPr>
        <w:t xml:space="preserve"> </w:t>
      </w:r>
      <w:r w:rsidRPr="00283806">
        <w:rPr>
          <w:w w:val="105"/>
        </w:rPr>
        <w:t>on</w:t>
      </w:r>
      <w:r w:rsidRPr="00283806">
        <w:rPr>
          <w:spacing w:val="9"/>
          <w:w w:val="105"/>
        </w:rPr>
        <w:t xml:space="preserve"> </w:t>
      </w:r>
      <w:r w:rsidRPr="00283806">
        <w:rPr>
          <w:spacing w:val="-2"/>
          <w:w w:val="105"/>
        </w:rPr>
        <w:t>safety,</w:t>
      </w:r>
    </w:p>
    <w:p w14:paraId="08F07425" w14:textId="77777777" w:rsidR="00D67C1E" w:rsidRPr="00283806" w:rsidRDefault="001265CA">
      <w:pPr>
        <w:pStyle w:val="BodyText"/>
        <w:spacing w:line="225" w:lineRule="auto"/>
        <w:ind w:left="143" w:right="156"/>
      </w:pPr>
      <w:r w:rsidRPr="00283806">
        <w:rPr>
          <w:w w:val="105"/>
        </w:rPr>
        <w:t>The</w:t>
      </w:r>
      <w:r w:rsidRPr="00283806">
        <w:rPr>
          <w:spacing w:val="-4"/>
          <w:w w:val="105"/>
        </w:rPr>
        <w:t xml:space="preserve"> </w:t>
      </w:r>
      <w:r w:rsidRPr="00283806">
        <w:rPr>
          <w:w w:val="105"/>
        </w:rPr>
        <w:t>Agency</w:t>
      </w:r>
      <w:r w:rsidRPr="00283806">
        <w:rPr>
          <w:spacing w:val="-4"/>
          <w:w w:val="105"/>
        </w:rPr>
        <w:t xml:space="preserve"> </w:t>
      </w:r>
      <w:r w:rsidRPr="00283806">
        <w:rPr>
          <w:w w:val="105"/>
        </w:rPr>
        <w:t>agrees</w:t>
      </w:r>
      <w:r w:rsidRPr="00283806">
        <w:rPr>
          <w:spacing w:val="-4"/>
          <w:w w:val="105"/>
        </w:rPr>
        <w:t xml:space="preserve"> </w:t>
      </w:r>
      <w:r w:rsidRPr="00283806">
        <w:rPr>
          <w:w w:val="105"/>
        </w:rPr>
        <w:t>that</w:t>
      </w:r>
      <w:r w:rsidRPr="00283806">
        <w:rPr>
          <w:spacing w:val="-4"/>
          <w:w w:val="105"/>
        </w:rPr>
        <w:t xml:space="preserve"> </w:t>
      </w:r>
      <w:r w:rsidRPr="00283806">
        <w:rPr>
          <w:w w:val="105"/>
        </w:rPr>
        <w:t>subsection</w:t>
      </w:r>
      <w:r w:rsidRPr="00283806">
        <w:rPr>
          <w:spacing w:val="-4"/>
          <w:w w:val="105"/>
        </w:rPr>
        <w:t xml:space="preserve"> </w:t>
      </w:r>
      <w:r w:rsidRPr="00283806">
        <w:rPr>
          <w:w w:val="105"/>
        </w:rPr>
        <w:t>(h)(1) of the AIM Act identifies ensuring the safety of technicians and consumers as one of the purposes for regulations</w:t>
      </w:r>
      <w:r w:rsidRPr="00283806">
        <w:rPr>
          <w:spacing w:val="40"/>
          <w:w w:val="105"/>
        </w:rPr>
        <w:t xml:space="preserve"> </w:t>
      </w:r>
      <w:r w:rsidRPr="00283806">
        <w:rPr>
          <w:w w:val="105"/>
        </w:rPr>
        <w:t>under this subsection. EPA has a long history of screening the risks of ODS, HFCs,</w:t>
      </w:r>
      <w:r w:rsidRPr="00283806">
        <w:rPr>
          <w:spacing w:val="40"/>
          <w:w w:val="105"/>
        </w:rPr>
        <w:t xml:space="preserve"> </w:t>
      </w:r>
      <w:r w:rsidRPr="00283806">
        <w:rPr>
          <w:w w:val="105"/>
        </w:rPr>
        <w:t>and</w:t>
      </w:r>
      <w:r w:rsidRPr="00283806">
        <w:rPr>
          <w:spacing w:val="40"/>
          <w:w w:val="105"/>
        </w:rPr>
        <w:t xml:space="preserve"> </w:t>
      </w:r>
      <w:r w:rsidRPr="00283806">
        <w:rPr>
          <w:w w:val="105"/>
        </w:rPr>
        <w:t>their</w:t>
      </w:r>
      <w:r w:rsidRPr="00283806">
        <w:rPr>
          <w:spacing w:val="40"/>
          <w:w w:val="105"/>
        </w:rPr>
        <w:t xml:space="preserve"> </w:t>
      </w:r>
      <w:r w:rsidRPr="00283806">
        <w:rPr>
          <w:w w:val="105"/>
        </w:rPr>
        <w:t>substitutes</w:t>
      </w:r>
      <w:r w:rsidRPr="00283806">
        <w:rPr>
          <w:spacing w:val="40"/>
          <w:w w:val="105"/>
        </w:rPr>
        <w:t xml:space="preserve"> </w:t>
      </w:r>
      <w:r w:rsidRPr="00283806">
        <w:rPr>
          <w:w w:val="105"/>
        </w:rPr>
        <w:t>under</w:t>
      </w:r>
      <w:r w:rsidRPr="00283806">
        <w:rPr>
          <w:spacing w:val="40"/>
          <w:w w:val="105"/>
        </w:rPr>
        <w:t xml:space="preserve"> </w:t>
      </w:r>
      <w:r w:rsidRPr="00283806">
        <w:rPr>
          <w:w w:val="105"/>
        </w:rPr>
        <w:t>SNAP,</w:t>
      </w:r>
      <w:r w:rsidRPr="00283806">
        <w:rPr>
          <w:spacing w:val="40"/>
          <w:w w:val="105"/>
        </w:rPr>
        <w:t xml:space="preserve"> </w:t>
      </w:r>
      <w:r w:rsidRPr="00283806">
        <w:rPr>
          <w:w w:val="105"/>
        </w:rPr>
        <w:t>which</w:t>
      </w:r>
      <w:r w:rsidRPr="00283806">
        <w:rPr>
          <w:spacing w:val="40"/>
          <w:w w:val="105"/>
        </w:rPr>
        <w:t xml:space="preserve"> </w:t>
      </w:r>
      <w:r w:rsidRPr="00283806">
        <w:rPr>
          <w:w w:val="105"/>
        </w:rPr>
        <w:t>for</w:t>
      </w:r>
      <w:r w:rsidRPr="00283806">
        <w:rPr>
          <w:spacing w:val="40"/>
          <w:w w:val="105"/>
        </w:rPr>
        <w:t xml:space="preserve"> </w:t>
      </w:r>
      <w:r w:rsidRPr="00283806">
        <w:rPr>
          <w:w w:val="105"/>
        </w:rPr>
        <w:t>decades</w:t>
      </w:r>
      <w:r w:rsidRPr="00283806">
        <w:rPr>
          <w:spacing w:val="40"/>
          <w:w w:val="105"/>
        </w:rPr>
        <w:t xml:space="preserve"> </w:t>
      </w:r>
      <w:r w:rsidRPr="00283806">
        <w:rPr>
          <w:w w:val="105"/>
        </w:rPr>
        <w:t>has</w:t>
      </w:r>
      <w:r w:rsidRPr="00283806">
        <w:rPr>
          <w:spacing w:val="40"/>
          <w:w w:val="105"/>
        </w:rPr>
        <w:t xml:space="preserve"> </w:t>
      </w:r>
      <w:r w:rsidRPr="00283806">
        <w:rPr>
          <w:w w:val="105"/>
        </w:rPr>
        <w:t xml:space="preserve">provided a list of acceptable alternatives for </w:t>
      </w:r>
      <w:proofErr w:type="gramStart"/>
      <w:r w:rsidRPr="00283806">
        <w:rPr>
          <w:w w:val="105"/>
        </w:rPr>
        <w:t>a number of</w:t>
      </w:r>
      <w:proofErr w:type="gramEnd"/>
      <w:r w:rsidRPr="00283806">
        <w:rPr>
          <w:w w:val="105"/>
        </w:rPr>
        <w:t xml:space="preserve"> sectors. EPA does not view</w:t>
      </w:r>
      <w:r w:rsidRPr="00283806">
        <w:rPr>
          <w:spacing w:val="80"/>
          <w:w w:val="105"/>
        </w:rPr>
        <w:t xml:space="preserve"> </w:t>
      </w:r>
      <w:r w:rsidRPr="00283806">
        <w:rPr>
          <w:w w:val="105"/>
        </w:rPr>
        <w:t>the GWP threshold, and the applicable refrigerants covered in the final rulemaking,</w:t>
      </w:r>
      <w:r w:rsidRPr="00283806">
        <w:rPr>
          <w:spacing w:val="40"/>
          <w:w w:val="105"/>
        </w:rPr>
        <w:t xml:space="preserve"> </w:t>
      </w:r>
      <w:r w:rsidRPr="00283806">
        <w:rPr>
          <w:w w:val="105"/>
        </w:rPr>
        <w:t>as</w:t>
      </w:r>
      <w:r w:rsidRPr="00283806">
        <w:rPr>
          <w:spacing w:val="40"/>
          <w:w w:val="105"/>
        </w:rPr>
        <w:t xml:space="preserve"> </w:t>
      </w:r>
      <w:r w:rsidRPr="00283806">
        <w:rPr>
          <w:w w:val="105"/>
        </w:rPr>
        <w:t>a</w:t>
      </w:r>
      <w:r w:rsidRPr="00283806">
        <w:rPr>
          <w:spacing w:val="40"/>
          <w:w w:val="105"/>
        </w:rPr>
        <w:t xml:space="preserve"> </w:t>
      </w:r>
      <w:r w:rsidRPr="00283806">
        <w:rPr>
          <w:w w:val="105"/>
        </w:rPr>
        <w:t>significant</w:t>
      </w:r>
      <w:r w:rsidRPr="00283806">
        <w:rPr>
          <w:spacing w:val="40"/>
          <w:w w:val="105"/>
        </w:rPr>
        <w:t xml:space="preserve"> </w:t>
      </w:r>
      <w:r w:rsidRPr="00283806">
        <w:rPr>
          <w:w w:val="105"/>
        </w:rPr>
        <w:t>safety</w:t>
      </w:r>
      <w:r w:rsidRPr="00283806">
        <w:rPr>
          <w:spacing w:val="40"/>
          <w:w w:val="105"/>
        </w:rPr>
        <w:t xml:space="preserve"> </w:t>
      </w:r>
      <w:r w:rsidRPr="00283806">
        <w:rPr>
          <w:w w:val="105"/>
        </w:rPr>
        <w:t>risk to technicians and consumers if the refrigerants are properly managed.</w:t>
      </w:r>
    </w:p>
    <w:p w14:paraId="0BA47594" w14:textId="77777777" w:rsidR="00D67C1E" w:rsidRPr="00283806" w:rsidRDefault="001265CA">
      <w:pPr>
        <w:pStyle w:val="BodyText"/>
        <w:spacing w:line="223" w:lineRule="auto"/>
        <w:ind w:left="143" w:right="121"/>
      </w:pPr>
      <w:r w:rsidRPr="00283806">
        <w:rPr>
          <w:w w:val="110"/>
        </w:rPr>
        <w:t>Refrigerants used in appliances have been thoroughly screened for risks associated with toxicity, flammability, asphyxiation, and physical hazards before</w:t>
      </w:r>
      <w:r w:rsidRPr="00283806">
        <w:rPr>
          <w:spacing w:val="-8"/>
          <w:w w:val="110"/>
        </w:rPr>
        <w:t xml:space="preserve"> </w:t>
      </w:r>
      <w:r w:rsidRPr="00283806">
        <w:rPr>
          <w:w w:val="110"/>
        </w:rPr>
        <w:t>being</w:t>
      </w:r>
      <w:r w:rsidRPr="00283806">
        <w:rPr>
          <w:spacing w:val="-8"/>
          <w:w w:val="110"/>
        </w:rPr>
        <w:t xml:space="preserve"> </w:t>
      </w:r>
      <w:r w:rsidRPr="00283806">
        <w:rPr>
          <w:w w:val="110"/>
        </w:rPr>
        <w:t>listed</w:t>
      </w:r>
      <w:r w:rsidRPr="00283806">
        <w:rPr>
          <w:spacing w:val="-8"/>
          <w:w w:val="110"/>
        </w:rPr>
        <w:t xml:space="preserve"> </w:t>
      </w:r>
      <w:r w:rsidRPr="00283806">
        <w:rPr>
          <w:w w:val="110"/>
        </w:rPr>
        <w:t>as</w:t>
      </w:r>
      <w:r w:rsidRPr="00283806">
        <w:rPr>
          <w:spacing w:val="-8"/>
          <w:w w:val="110"/>
        </w:rPr>
        <w:t xml:space="preserve"> </w:t>
      </w:r>
      <w:r w:rsidRPr="00283806">
        <w:rPr>
          <w:w w:val="110"/>
        </w:rPr>
        <w:t>acceptable</w:t>
      </w:r>
      <w:r w:rsidRPr="00283806">
        <w:rPr>
          <w:spacing w:val="-8"/>
          <w:w w:val="110"/>
        </w:rPr>
        <w:t xml:space="preserve"> </w:t>
      </w:r>
      <w:r w:rsidRPr="00283806">
        <w:rPr>
          <w:w w:val="110"/>
        </w:rPr>
        <w:t>for</w:t>
      </w:r>
      <w:r w:rsidRPr="00283806">
        <w:rPr>
          <w:spacing w:val="-8"/>
          <w:w w:val="110"/>
        </w:rPr>
        <w:t xml:space="preserve"> </w:t>
      </w:r>
      <w:r w:rsidRPr="00283806">
        <w:rPr>
          <w:w w:val="110"/>
        </w:rPr>
        <w:t xml:space="preserve">use under SNAP’s comparative risk </w:t>
      </w:r>
      <w:r w:rsidRPr="00283806">
        <w:t>framework. While some refrigerants may</w:t>
      </w:r>
      <w:r w:rsidRPr="00283806">
        <w:rPr>
          <w:w w:val="110"/>
        </w:rPr>
        <w:t xml:space="preserve"> be mildly flammable (</w:t>
      </w:r>
      <w:r w:rsidRPr="00283806">
        <w:rPr>
          <w:rFonts w:ascii="Book Antiqua" w:hAnsi="Book Antiqua"/>
          <w:i/>
          <w:w w:val="110"/>
        </w:rPr>
        <w:t xml:space="preserve">e.g., </w:t>
      </w:r>
      <w:r w:rsidRPr="00283806">
        <w:rPr>
          <w:w w:val="110"/>
        </w:rPr>
        <w:t>A2L refrigerants) or have toxicity (</w:t>
      </w:r>
      <w:r w:rsidRPr="00283806">
        <w:rPr>
          <w:rFonts w:ascii="Book Antiqua" w:hAnsi="Book Antiqua"/>
          <w:i/>
          <w:w w:val="110"/>
        </w:rPr>
        <w:t xml:space="preserve">e.g., </w:t>
      </w:r>
      <w:r w:rsidRPr="00283806">
        <w:rPr>
          <w:w w:val="110"/>
        </w:rPr>
        <w:t>ammonia), proper system design, engineering controls, and other</w:t>
      </w:r>
    </w:p>
    <w:p w14:paraId="3F3F62D7" w14:textId="77777777" w:rsidR="00D67C1E" w:rsidRPr="00283806" w:rsidRDefault="00D67C1E">
      <w:pPr>
        <w:spacing w:line="223" w:lineRule="auto"/>
        <w:sectPr w:rsidR="00D67C1E" w:rsidRPr="00283806">
          <w:pgSz w:w="12240" w:h="15840"/>
          <w:pgMar w:top="1040" w:right="780" w:bottom="280" w:left="740" w:header="627" w:footer="0" w:gutter="0"/>
          <w:cols w:num="3" w:space="720" w:equalWidth="0">
            <w:col w:w="3496" w:space="44"/>
            <w:col w:w="3517" w:space="40"/>
            <w:col w:w="3623"/>
          </w:cols>
        </w:sectPr>
      </w:pPr>
    </w:p>
    <w:p w14:paraId="7DBFB528" w14:textId="77777777" w:rsidR="00D67C1E" w:rsidRPr="00283806" w:rsidRDefault="001265CA">
      <w:pPr>
        <w:pStyle w:val="BodyText"/>
        <w:spacing w:before="134" w:line="228" w:lineRule="auto"/>
        <w:ind w:left="159"/>
      </w:pPr>
      <w:r w:rsidRPr="00283806">
        <w:rPr>
          <w:w w:val="105"/>
        </w:rPr>
        <w:lastRenderedPageBreak/>
        <w:t>techniques mitigate the risk for the use</w:t>
      </w:r>
      <w:r w:rsidRPr="00283806">
        <w:rPr>
          <w:spacing w:val="80"/>
          <w:w w:val="105"/>
        </w:rPr>
        <w:t xml:space="preserve"> </w:t>
      </w:r>
      <w:r w:rsidRPr="00283806">
        <w:rPr>
          <w:w w:val="105"/>
        </w:rPr>
        <w:t>of refrigerants in appliances. EPA also notes the existence of other regulations that address the risks related to specific compounds, like ammonia (</w:t>
      </w:r>
      <w:r w:rsidRPr="00283806">
        <w:rPr>
          <w:rFonts w:ascii="Book Antiqua" w:hAnsi="Book Antiqua"/>
          <w:i/>
          <w:w w:val="105"/>
        </w:rPr>
        <w:t xml:space="preserve">e.g., </w:t>
      </w:r>
      <w:r w:rsidRPr="00283806">
        <w:rPr>
          <w:w w:val="105"/>
        </w:rPr>
        <w:t>EPA’s Risk Management Program under the CAA). EPA disagrees with one commenter’s suggestion to base the applicability of the leak repair requirements on whether the appliance</w:t>
      </w:r>
      <w:r w:rsidRPr="00283806">
        <w:rPr>
          <w:spacing w:val="40"/>
          <w:w w:val="105"/>
        </w:rPr>
        <w:t xml:space="preserve"> </w:t>
      </w:r>
      <w:r w:rsidRPr="00283806">
        <w:rPr>
          <w:w w:val="105"/>
        </w:rPr>
        <w:t>is in direct or indirect contact with building occupants or other suggested factors (</w:t>
      </w:r>
      <w:r w:rsidRPr="00283806">
        <w:rPr>
          <w:rFonts w:ascii="Book Antiqua" w:hAnsi="Book Antiqua"/>
          <w:i/>
          <w:w w:val="105"/>
        </w:rPr>
        <w:t xml:space="preserve">e.g., </w:t>
      </w:r>
      <w:r w:rsidRPr="00283806">
        <w:rPr>
          <w:w w:val="105"/>
        </w:rPr>
        <w:t>toxicity). The commenter</w:t>
      </w:r>
      <w:r w:rsidRPr="00283806">
        <w:rPr>
          <w:spacing w:val="40"/>
          <w:w w:val="105"/>
        </w:rPr>
        <w:t xml:space="preserve"> </w:t>
      </w:r>
      <w:r w:rsidRPr="00283806">
        <w:rPr>
          <w:w w:val="105"/>
        </w:rPr>
        <w:t>has</w:t>
      </w:r>
      <w:r w:rsidRPr="00283806">
        <w:rPr>
          <w:spacing w:val="40"/>
          <w:w w:val="105"/>
        </w:rPr>
        <w:t xml:space="preserve"> </w:t>
      </w:r>
      <w:r w:rsidRPr="00283806">
        <w:rPr>
          <w:w w:val="105"/>
        </w:rPr>
        <w:t>not</w:t>
      </w:r>
      <w:r w:rsidRPr="00283806">
        <w:rPr>
          <w:spacing w:val="40"/>
          <w:w w:val="105"/>
        </w:rPr>
        <w:t xml:space="preserve"> </w:t>
      </w:r>
      <w:r w:rsidRPr="00283806">
        <w:rPr>
          <w:w w:val="105"/>
        </w:rPr>
        <w:t>persuasively</w:t>
      </w:r>
      <w:r w:rsidRPr="00283806">
        <w:rPr>
          <w:spacing w:val="40"/>
          <w:w w:val="105"/>
        </w:rPr>
        <w:t xml:space="preserve"> </w:t>
      </w:r>
      <w:r w:rsidRPr="00283806">
        <w:rPr>
          <w:w w:val="105"/>
        </w:rPr>
        <w:t>explained</w:t>
      </w:r>
      <w:r w:rsidRPr="00283806">
        <w:rPr>
          <w:spacing w:val="40"/>
          <w:w w:val="105"/>
        </w:rPr>
        <w:t xml:space="preserve"> </w:t>
      </w:r>
      <w:r w:rsidRPr="00283806">
        <w:rPr>
          <w:w w:val="105"/>
        </w:rPr>
        <w:t>why such an approach would better serve the goals of ensuring the safety of</w:t>
      </w:r>
      <w:r w:rsidRPr="00283806">
        <w:rPr>
          <w:spacing w:val="40"/>
          <w:w w:val="105"/>
        </w:rPr>
        <w:t xml:space="preserve"> </w:t>
      </w:r>
      <w:r w:rsidRPr="00283806">
        <w:rPr>
          <w:w w:val="105"/>
        </w:rPr>
        <w:t>technicians and consumers than having the leak repair requirements apply to equipment regardless of whether it is in direct or indirect contact with building occupants (or technicians and</w:t>
      </w:r>
      <w:r w:rsidRPr="00283806">
        <w:rPr>
          <w:spacing w:val="40"/>
          <w:w w:val="105"/>
        </w:rPr>
        <w:t xml:space="preserve"> </w:t>
      </w:r>
      <w:r w:rsidRPr="00283806">
        <w:rPr>
          <w:w w:val="105"/>
        </w:rPr>
        <w:t>consumers, for that matter), particularly considering the rigorous evaluation of refrigerants under SNAP’s comparative risk framework and other regulations addressing potential health and safety concerns.</w:t>
      </w:r>
      <w:r w:rsidRPr="00283806">
        <w:rPr>
          <w:spacing w:val="37"/>
          <w:w w:val="105"/>
        </w:rPr>
        <w:t xml:space="preserve"> </w:t>
      </w:r>
      <w:r w:rsidRPr="00283806">
        <w:rPr>
          <w:w w:val="105"/>
        </w:rPr>
        <w:t>It</w:t>
      </w:r>
      <w:r w:rsidRPr="00283806">
        <w:rPr>
          <w:spacing w:val="37"/>
          <w:w w:val="105"/>
        </w:rPr>
        <w:t xml:space="preserve"> </w:t>
      </w:r>
      <w:r w:rsidRPr="00283806">
        <w:rPr>
          <w:w w:val="105"/>
        </w:rPr>
        <w:t>is</w:t>
      </w:r>
      <w:r w:rsidRPr="00283806">
        <w:rPr>
          <w:spacing w:val="37"/>
          <w:w w:val="105"/>
        </w:rPr>
        <w:t xml:space="preserve"> </w:t>
      </w:r>
      <w:r w:rsidRPr="00283806">
        <w:rPr>
          <w:w w:val="105"/>
        </w:rPr>
        <w:t>also</w:t>
      </w:r>
      <w:r w:rsidRPr="00283806">
        <w:rPr>
          <w:spacing w:val="37"/>
          <w:w w:val="105"/>
        </w:rPr>
        <w:t xml:space="preserve"> </w:t>
      </w:r>
      <w:r w:rsidRPr="00283806">
        <w:rPr>
          <w:w w:val="105"/>
        </w:rPr>
        <w:t>not</w:t>
      </w:r>
      <w:r w:rsidRPr="00283806">
        <w:rPr>
          <w:spacing w:val="37"/>
          <w:w w:val="105"/>
        </w:rPr>
        <w:t xml:space="preserve"> </w:t>
      </w:r>
      <w:r w:rsidRPr="00283806">
        <w:rPr>
          <w:w w:val="105"/>
        </w:rPr>
        <w:t>clear</w:t>
      </w:r>
      <w:r w:rsidRPr="00283806">
        <w:rPr>
          <w:spacing w:val="37"/>
          <w:w w:val="105"/>
        </w:rPr>
        <w:t xml:space="preserve"> </w:t>
      </w:r>
      <w:r w:rsidRPr="00283806">
        <w:rPr>
          <w:w w:val="105"/>
        </w:rPr>
        <w:t>how</w:t>
      </w:r>
      <w:r w:rsidRPr="00283806">
        <w:rPr>
          <w:spacing w:val="37"/>
          <w:w w:val="105"/>
        </w:rPr>
        <w:t xml:space="preserve"> </w:t>
      </w:r>
      <w:r w:rsidRPr="00283806">
        <w:rPr>
          <w:w w:val="105"/>
        </w:rPr>
        <w:t>such an approach would serve other statutory goals for regulations under subsection (h)(1) such as maximizing reclamation and minimizing releases of HFCs from equipment. Considering all three purposes, EPA concludes that it is appropriate to apply the leak repair requirements to equipment that is in</w:t>
      </w:r>
      <w:r w:rsidRPr="00283806">
        <w:rPr>
          <w:spacing w:val="40"/>
          <w:w w:val="105"/>
        </w:rPr>
        <w:t xml:space="preserve"> </w:t>
      </w:r>
      <w:r w:rsidRPr="00283806">
        <w:rPr>
          <w:w w:val="105"/>
        </w:rPr>
        <w:t>both direct and indirect contact with consumers. With respect to the</w:t>
      </w:r>
      <w:r w:rsidRPr="00283806">
        <w:rPr>
          <w:spacing w:val="80"/>
          <w:w w:val="150"/>
        </w:rPr>
        <w:t xml:space="preserve"> </w:t>
      </w:r>
      <w:r w:rsidRPr="00283806">
        <w:rPr>
          <w:w w:val="105"/>
        </w:rPr>
        <w:t>comment suggestion that EPA consider charge size in determining applicability</w:t>
      </w:r>
      <w:r w:rsidRPr="00283806">
        <w:rPr>
          <w:spacing w:val="40"/>
          <w:w w:val="105"/>
        </w:rPr>
        <w:t xml:space="preserve"> </w:t>
      </w:r>
      <w:r w:rsidRPr="00283806">
        <w:rPr>
          <w:w w:val="105"/>
        </w:rPr>
        <w:t>of the leak repair provisions, EPA has considered charge size, as discussed in section IV.C.2 of this preamble. In response to one commenter’s specific concern with HFC–152, the Agency responds that we are not aware of any use of HFC–152 in the RACHP sector in the</w:t>
      </w:r>
      <w:r w:rsidRPr="00283806">
        <w:rPr>
          <w:spacing w:val="38"/>
          <w:w w:val="105"/>
        </w:rPr>
        <w:t xml:space="preserve"> </w:t>
      </w:r>
      <w:r w:rsidRPr="00283806">
        <w:rPr>
          <w:w w:val="105"/>
        </w:rPr>
        <w:t>United</w:t>
      </w:r>
      <w:r w:rsidRPr="00283806">
        <w:rPr>
          <w:spacing w:val="37"/>
          <w:w w:val="105"/>
        </w:rPr>
        <w:t xml:space="preserve"> </w:t>
      </w:r>
      <w:r w:rsidRPr="00283806">
        <w:rPr>
          <w:w w:val="105"/>
        </w:rPr>
        <w:t>States.</w:t>
      </w:r>
      <w:r w:rsidRPr="00283806">
        <w:rPr>
          <w:spacing w:val="38"/>
          <w:w w:val="105"/>
        </w:rPr>
        <w:t xml:space="preserve"> </w:t>
      </w:r>
      <w:r w:rsidRPr="00283806">
        <w:rPr>
          <w:w w:val="105"/>
        </w:rPr>
        <w:t>Further,</w:t>
      </w:r>
      <w:r w:rsidRPr="00283806">
        <w:rPr>
          <w:spacing w:val="37"/>
          <w:w w:val="105"/>
        </w:rPr>
        <w:t xml:space="preserve"> </w:t>
      </w:r>
      <w:r w:rsidRPr="00283806">
        <w:rPr>
          <w:w w:val="105"/>
        </w:rPr>
        <w:t>as</w:t>
      </w:r>
      <w:r w:rsidRPr="00283806">
        <w:rPr>
          <w:spacing w:val="38"/>
          <w:w w:val="105"/>
        </w:rPr>
        <w:t xml:space="preserve"> </w:t>
      </w:r>
      <w:r w:rsidRPr="00283806">
        <w:rPr>
          <w:w w:val="105"/>
        </w:rPr>
        <w:t>HFC–152 is a listed regulated substance, if it were used in refrigerants, the leak repair requirements would apply; thus, EPA disagrees that the GWP threshold of 53 for substitutes for HFCs would drive additional use of HFC–152. However,</w:t>
      </w:r>
      <w:r w:rsidRPr="00283806">
        <w:rPr>
          <w:spacing w:val="40"/>
          <w:w w:val="105"/>
        </w:rPr>
        <w:t xml:space="preserve"> </w:t>
      </w:r>
      <w:r w:rsidRPr="00283806">
        <w:rPr>
          <w:w w:val="105"/>
        </w:rPr>
        <w:t>EPA is aware of significant use of HFC– 152a with a GWP of 124, which is also</w:t>
      </w:r>
    </w:p>
    <w:p w14:paraId="3E95C4AE" w14:textId="77777777" w:rsidR="00D67C1E" w:rsidRPr="00283806" w:rsidRDefault="001265CA">
      <w:pPr>
        <w:pStyle w:val="BodyText"/>
        <w:spacing w:line="150" w:lineRule="exact"/>
        <w:ind w:left="159"/>
      </w:pPr>
      <w:r w:rsidRPr="00283806">
        <w:rPr>
          <w:w w:val="105"/>
        </w:rPr>
        <w:t>a</w:t>
      </w:r>
      <w:r w:rsidRPr="00283806">
        <w:rPr>
          <w:spacing w:val="5"/>
          <w:w w:val="105"/>
        </w:rPr>
        <w:t xml:space="preserve"> </w:t>
      </w:r>
      <w:r w:rsidRPr="00283806">
        <w:rPr>
          <w:w w:val="105"/>
        </w:rPr>
        <w:t>regulated</w:t>
      </w:r>
      <w:r w:rsidRPr="00283806">
        <w:rPr>
          <w:spacing w:val="5"/>
          <w:w w:val="105"/>
        </w:rPr>
        <w:t xml:space="preserve"> </w:t>
      </w:r>
      <w:r w:rsidRPr="00283806">
        <w:rPr>
          <w:w w:val="105"/>
        </w:rPr>
        <w:t>substance</w:t>
      </w:r>
      <w:r w:rsidRPr="00283806">
        <w:rPr>
          <w:spacing w:val="5"/>
          <w:w w:val="105"/>
        </w:rPr>
        <w:t xml:space="preserve"> </w:t>
      </w:r>
      <w:r w:rsidRPr="00283806">
        <w:rPr>
          <w:w w:val="105"/>
        </w:rPr>
        <w:t>and</w:t>
      </w:r>
      <w:r w:rsidRPr="00283806">
        <w:rPr>
          <w:spacing w:val="5"/>
          <w:w w:val="105"/>
        </w:rPr>
        <w:t xml:space="preserve"> </w:t>
      </w:r>
      <w:r w:rsidRPr="00283806">
        <w:rPr>
          <w:w w:val="105"/>
        </w:rPr>
        <w:t>above</w:t>
      </w:r>
      <w:r w:rsidRPr="00283806">
        <w:rPr>
          <w:spacing w:val="5"/>
          <w:w w:val="105"/>
        </w:rPr>
        <w:t xml:space="preserve"> </w:t>
      </w:r>
      <w:r w:rsidRPr="00283806">
        <w:rPr>
          <w:w w:val="105"/>
        </w:rPr>
        <w:t>the</w:t>
      </w:r>
      <w:r w:rsidRPr="00283806">
        <w:rPr>
          <w:spacing w:val="5"/>
          <w:w w:val="105"/>
        </w:rPr>
        <w:t xml:space="preserve"> </w:t>
      </w:r>
      <w:r w:rsidRPr="00283806">
        <w:rPr>
          <w:spacing w:val="-5"/>
          <w:w w:val="105"/>
        </w:rPr>
        <w:t>53</w:t>
      </w:r>
    </w:p>
    <w:p w14:paraId="12A71883" w14:textId="77777777" w:rsidR="00D67C1E" w:rsidRPr="00283806" w:rsidRDefault="001265CA">
      <w:pPr>
        <w:pStyle w:val="BodyText"/>
        <w:spacing w:line="200" w:lineRule="exact"/>
        <w:ind w:left="159"/>
      </w:pPr>
      <w:r w:rsidRPr="00283806">
        <w:rPr>
          <w:w w:val="110"/>
        </w:rPr>
        <w:t>GWP</w:t>
      </w:r>
      <w:r w:rsidRPr="00283806">
        <w:rPr>
          <w:spacing w:val="8"/>
          <w:w w:val="110"/>
        </w:rPr>
        <w:t xml:space="preserve"> </w:t>
      </w:r>
      <w:r w:rsidRPr="00283806">
        <w:rPr>
          <w:spacing w:val="-2"/>
          <w:w w:val="110"/>
        </w:rPr>
        <w:t>threshold.</w:t>
      </w:r>
    </w:p>
    <w:p w14:paraId="2F641024" w14:textId="77777777" w:rsidR="00D67C1E" w:rsidRPr="00283806" w:rsidRDefault="001265CA">
      <w:pPr>
        <w:pStyle w:val="BodyText"/>
        <w:spacing w:before="3" w:line="228" w:lineRule="auto"/>
        <w:ind w:left="159" w:right="117" w:firstLine="180"/>
      </w:pPr>
      <w:r w:rsidRPr="00283806">
        <w:rPr>
          <w:w w:val="105"/>
        </w:rPr>
        <w:t>EPA acknowledges the concerns one commenter raised regarding PFAS. There is currently no single commonly agreed definition of PFAS, and whether HFCs, HFOs, or HCFOs are classified as PFAS depends on the definition being used. EPA’s PFAS roadmap sets</w:t>
      </w:r>
      <w:r w:rsidRPr="00283806">
        <w:rPr>
          <w:spacing w:val="40"/>
          <w:w w:val="105"/>
        </w:rPr>
        <w:t xml:space="preserve"> </w:t>
      </w:r>
      <w:r w:rsidRPr="00283806">
        <w:rPr>
          <w:w w:val="105"/>
        </w:rPr>
        <w:t>timelines for specific actions and outlines EPA’s commitments to new policies to safeguard public health, protect the environment, and hold</w:t>
      </w:r>
    </w:p>
    <w:p w14:paraId="2CCBF18C" w14:textId="77777777" w:rsidR="00D67C1E" w:rsidRPr="00283806" w:rsidRDefault="001265CA">
      <w:pPr>
        <w:pStyle w:val="BodyText"/>
        <w:spacing w:before="136" w:line="225" w:lineRule="auto"/>
        <w:ind w:left="154" w:right="29"/>
      </w:pPr>
      <w:r w:rsidRPr="00283806">
        <w:br w:type="column"/>
      </w:r>
      <w:r w:rsidRPr="00283806">
        <w:rPr>
          <w:w w:val="105"/>
        </w:rPr>
        <w:t>polluters accountable.</w:t>
      </w:r>
      <w:r w:rsidRPr="00283806">
        <w:rPr>
          <w:w w:val="105"/>
          <w:position w:val="5"/>
          <w:sz w:val="11"/>
        </w:rPr>
        <w:t>53</w:t>
      </w:r>
      <w:r w:rsidRPr="00283806">
        <w:rPr>
          <w:spacing w:val="40"/>
          <w:w w:val="105"/>
          <w:position w:val="5"/>
          <w:sz w:val="11"/>
        </w:rPr>
        <w:t xml:space="preserve"> </w:t>
      </w:r>
      <w:r w:rsidRPr="00283806">
        <w:rPr>
          <w:w w:val="105"/>
        </w:rPr>
        <w:t>This rule does not in any way establish a definition of PFAS, nor do the leak repair or other requirements in this final rule depend</w:t>
      </w:r>
      <w:r w:rsidRPr="00283806">
        <w:rPr>
          <w:spacing w:val="80"/>
          <w:w w:val="105"/>
        </w:rPr>
        <w:t xml:space="preserve"> </w:t>
      </w:r>
      <w:r w:rsidRPr="00283806">
        <w:rPr>
          <w:w w:val="105"/>
        </w:rPr>
        <w:t>on a specific definition. As previously stated,</w:t>
      </w:r>
      <w:r w:rsidRPr="00283806">
        <w:rPr>
          <w:spacing w:val="40"/>
          <w:w w:val="105"/>
        </w:rPr>
        <w:t xml:space="preserve"> </w:t>
      </w:r>
      <w:r w:rsidRPr="00283806">
        <w:rPr>
          <w:w w:val="105"/>
        </w:rPr>
        <w:t>SNAP</w:t>
      </w:r>
      <w:r w:rsidRPr="00283806">
        <w:rPr>
          <w:spacing w:val="40"/>
          <w:w w:val="105"/>
        </w:rPr>
        <w:t xml:space="preserve"> </w:t>
      </w:r>
      <w:r w:rsidRPr="00283806">
        <w:rPr>
          <w:w w:val="105"/>
        </w:rPr>
        <w:t>already</w:t>
      </w:r>
      <w:r w:rsidRPr="00283806">
        <w:rPr>
          <w:spacing w:val="40"/>
          <w:w w:val="105"/>
        </w:rPr>
        <w:t xml:space="preserve"> </w:t>
      </w:r>
      <w:r w:rsidRPr="00283806">
        <w:rPr>
          <w:w w:val="105"/>
        </w:rPr>
        <w:t>considers potential risks to human health and the environment via its comparative risk framework. Regardless of what</w:t>
      </w:r>
      <w:r w:rsidRPr="00283806">
        <w:rPr>
          <w:spacing w:val="40"/>
          <w:w w:val="105"/>
        </w:rPr>
        <w:t xml:space="preserve"> </w:t>
      </w:r>
      <w:r w:rsidRPr="00283806">
        <w:rPr>
          <w:w w:val="105"/>
        </w:rPr>
        <w:t>definition of PFAS is used, not all PFAS</w:t>
      </w:r>
      <w:r w:rsidRPr="00283806">
        <w:rPr>
          <w:spacing w:val="40"/>
          <w:w w:val="105"/>
        </w:rPr>
        <w:t xml:space="preserve"> </w:t>
      </w:r>
      <w:r w:rsidRPr="00283806">
        <w:rPr>
          <w:w w:val="105"/>
        </w:rPr>
        <w:t>are the same in terms of toxicity, for example.</w:t>
      </w:r>
      <w:r w:rsidRPr="00283806">
        <w:rPr>
          <w:spacing w:val="40"/>
          <w:w w:val="105"/>
        </w:rPr>
        <w:t xml:space="preserve"> </w:t>
      </w:r>
      <w:r w:rsidRPr="00283806">
        <w:rPr>
          <w:w w:val="105"/>
        </w:rPr>
        <w:t>If</w:t>
      </w:r>
      <w:r w:rsidRPr="00283806">
        <w:rPr>
          <w:spacing w:val="40"/>
          <w:w w:val="105"/>
        </w:rPr>
        <w:t xml:space="preserve"> </w:t>
      </w:r>
      <w:r w:rsidRPr="00283806">
        <w:rPr>
          <w:w w:val="105"/>
        </w:rPr>
        <w:t>a</w:t>
      </w:r>
      <w:r w:rsidRPr="00283806">
        <w:rPr>
          <w:spacing w:val="40"/>
          <w:w w:val="105"/>
        </w:rPr>
        <w:t xml:space="preserve"> </w:t>
      </w:r>
      <w:r w:rsidRPr="00283806">
        <w:rPr>
          <w:w w:val="105"/>
        </w:rPr>
        <w:t>chemical</w:t>
      </w:r>
      <w:r w:rsidRPr="00283806">
        <w:rPr>
          <w:spacing w:val="40"/>
          <w:w w:val="105"/>
        </w:rPr>
        <w:t xml:space="preserve"> </w:t>
      </w:r>
      <w:r w:rsidRPr="00283806">
        <w:rPr>
          <w:w w:val="105"/>
        </w:rPr>
        <w:t>has</w:t>
      </w:r>
      <w:r w:rsidRPr="00283806">
        <w:rPr>
          <w:spacing w:val="40"/>
          <w:w w:val="105"/>
        </w:rPr>
        <w:t xml:space="preserve"> </w:t>
      </w:r>
      <w:r w:rsidRPr="00283806">
        <w:rPr>
          <w:w w:val="105"/>
        </w:rPr>
        <w:t>been</w:t>
      </w:r>
      <w:r w:rsidRPr="00283806">
        <w:rPr>
          <w:spacing w:val="40"/>
          <w:w w:val="105"/>
        </w:rPr>
        <w:t xml:space="preserve"> </w:t>
      </w:r>
      <w:r w:rsidRPr="00283806">
        <w:rPr>
          <w:w w:val="105"/>
        </w:rPr>
        <w:t>found to present lower overall risk to human health or the environment, it might be found</w:t>
      </w:r>
      <w:r w:rsidRPr="00283806">
        <w:rPr>
          <w:spacing w:val="40"/>
          <w:w w:val="105"/>
        </w:rPr>
        <w:t xml:space="preserve"> </w:t>
      </w:r>
      <w:r w:rsidRPr="00283806">
        <w:rPr>
          <w:w w:val="105"/>
        </w:rPr>
        <w:t>acceptable</w:t>
      </w:r>
      <w:r w:rsidRPr="00283806">
        <w:rPr>
          <w:spacing w:val="40"/>
          <w:w w:val="105"/>
        </w:rPr>
        <w:t xml:space="preserve"> </w:t>
      </w:r>
      <w:r w:rsidRPr="00283806">
        <w:rPr>
          <w:w w:val="105"/>
        </w:rPr>
        <w:t>under</w:t>
      </w:r>
      <w:r w:rsidRPr="00283806">
        <w:rPr>
          <w:spacing w:val="40"/>
          <w:w w:val="105"/>
        </w:rPr>
        <w:t xml:space="preserve"> </w:t>
      </w:r>
      <w:r w:rsidRPr="00283806">
        <w:rPr>
          <w:w w:val="105"/>
        </w:rPr>
        <w:t xml:space="preserve">SNAP regardless of </w:t>
      </w:r>
      <w:proofErr w:type="gramStart"/>
      <w:r w:rsidRPr="00283806">
        <w:rPr>
          <w:w w:val="105"/>
        </w:rPr>
        <w:t>whether or not</w:t>
      </w:r>
      <w:proofErr w:type="gramEnd"/>
      <w:r w:rsidRPr="00283806">
        <w:rPr>
          <w:w w:val="105"/>
        </w:rPr>
        <w:t xml:space="preserve"> it falls</w:t>
      </w:r>
      <w:r w:rsidRPr="00283806">
        <w:rPr>
          <w:spacing w:val="40"/>
          <w:w w:val="105"/>
        </w:rPr>
        <w:t xml:space="preserve"> </w:t>
      </w:r>
      <w:r w:rsidRPr="00283806">
        <w:rPr>
          <w:w w:val="105"/>
        </w:rPr>
        <w:t>under a particular definition of PFAS. Potential risks to human health or the environment regarding PFAS have been considered directly on a chemical-by- chemical basis and are not based on whether a specific chemical falls into a particular category of substances.</w:t>
      </w:r>
    </w:p>
    <w:p w14:paraId="26FE51BE" w14:textId="77777777" w:rsidR="00D67C1E" w:rsidRPr="00283806" w:rsidRDefault="001265CA">
      <w:pPr>
        <w:pStyle w:val="BodyText"/>
        <w:spacing w:before="2" w:line="228" w:lineRule="auto"/>
        <w:ind w:left="154" w:right="38"/>
      </w:pPr>
      <w:r w:rsidRPr="00283806">
        <w:rPr>
          <w:w w:val="105"/>
        </w:rPr>
        <w:t>Therefore, EPA elected in this final rule to require leak repair for all refrigerants that contain an HFC or an HFC</w:t>
      </w:r>
      <w:r w:rsidRPr="00283806">
        <w:rPr>
          <w:spacing w:val="80"/>
          <w:w w:val="105"/>
        </w:rPr>
        <w:t xml:space="preserve"> </w:t>
      </w:r>
      <w:r w:rsidRPr="00283806">
        <w:rPr>
          <w:w w:val="105"/>
        </w:rPr>
        <w:t xml:space="preserve">substitute with a GWP greater than 53, without regard to </w:t>
      </w:r>
      <w:proofErr w:type="gramStart"/>
      <w:r w:rsidRPr="00283806">
        <w:rPr>
          <w:w w:val="105"/>
        </w:rPr>
        <w:t>whether or not</w:t>
      </w:r>
      <w:proofErr w:type="gramEnd"/>
      <w:r w:rsidRPr="00283806">
        <w:rPr>
          <w:w w:val="105"/>
        </w:rPr>
        <w:t xml:space="preserve"> the substance falls within a particular definition</w:t>
      </w:r>
      <w:r w:rsidRPr="00283806">
        <w:rPr>
          <w:spacing w:val="40"/>
          <w:w w:val="105"/>
        </w:rPr>
        <w:t xml:space="preserve"> </w:t>
      </w:r>
      <w:r w:rsidRPr="00283806">
        <w:rPr>
          <w:w w:val="105"/>
        </w:rPr>
        <w:t>of</w:t>
      </w:r>
      <w:r w:rsidRPr="00283806">
        <w:rPr>
          <w:spacing w:val="40"/>
          <w:w w:val="105"/>
        </w:rPr>
        <w:t xml:space="preserve"> </w:t>
      </w:r>
      <w:r w:rsidRPr="00283806">
        <w:rPr>
          <w:w w:val="105"/>
        </w:rPr>
        <w:t>PFAS.</w:t>
      </w:r>
      <w:r w:rsidRPr="00283806">
        <w:rPr>
          <w:spacing w:val="40"/>
          <w:w w:val="105"/>
        </w:rPr>
        <w:t xml:space="preserve"> </w:t>
      </w:r>
      <w:r w:rsidRPr="00283806">
        <w:rPr>
          <w:w w:val="105"/>
        </w:rPr>
        <w:t>Under</w:t>
      </w:r>
      <w:r w:rsidRPr="00283806">
        <w:rPr>
          <w:spacing w:val="40"/>
          <w:w w:val="105"/>
        </w:rPr>
        <w:t xml:space="preserve"> </w:t>
      </w:r>
      <w:r w:rsidRPr="00283806">
        <w:rPr>
          <w:w w:val="105"/>
        </w:rPr>
        <w:t xml:space="preserve">that approach, regulated entities are not required to use any </w:t>
      </w:r>
      <w:proofErr w:type="gramStart"/>
      <w:r w:rsidRPr="00283806">
        <w:rPr>
          <w:w w:val="105"/>
        </w:rPr>
        <w:t>particular HFC</w:t>
      </w:r>
      <w:proofErr w:type="gramEnd"/>
      <w:r w:rsidRPr="00283806">
        <w:rPr>
          <w:w w:val="105"/>
        </w:rPr>
        <w:t xml:space="preserve"> or HFC substitute, and the approach inherently permits equipment owners and operators to make decisions about what</w:t>
      </w:r>
      <w:r w:rsidRPr="00283806">
        <w:rPr>
          <w:spacing w:val="-9"/>
          <w:w w:val="105"/>
        </w:rPr>
        <w:t xml:space="preserve"> </w:t>
      </w:r>
      <w:r w:rsidRPr="00283806">
        <w:rPr>
          <w:w w:val="105"/>
        </w:rPr>
        <w:t>refrigerants</w:t>
      </w:r>
      <w:r w:rsidRPr="00283806">
        <w:rPr>
          <w:spacing w:val="-9"/>
          <w:w w:val="105"/>
        </w:rPr>
        <w:t xml:space="preserve"> </w:t>
      </w:r>
      <w:r w:rsidRPr="00283806">
        <w:rPr>
          <w:w w:val="105"/>
        </w:rPr>
        <w:t>are</w:t>
      </w:r>
      <w:r w:rsidRPr="00283806">
        <w:rPr>
          <w:spacing w:val="-9"/>
          <w:w w:val="105"/>
        </w:rPr>
        <w:t xml:space="preserve"> </w:t>
      </w:r>
      <w:r w:rsidRPr="00283806">
        <w:rPr>
          <w:w w:val="105"/>
        </w:rPr>
        <w:t>appropriate</w:t>
      </w:r>
      <w:r w:rsidRPr="00283806">
        <w:rPr>
          <w:spacing w:val="-9"/>
          <w:w w:val="105"/>
        </w:rPr>
        <w:t xml:space="preserve"> </w:t>
      </w:r>
      <w:r w:rsidRPr="00283806">
        <w:rPr>
          <w:w w:val="105"/>
        </w:rPr>
        <w:t>for</w:t>
      </w:r>
      <w:r w:rsidRPr="00283806">
        <w:rPr>
          <w:spacing w:val="-9"/>
          <w:w w:val="105"/>
        </w:rPr>
        <w:t xml:space="preserve"> </w:t>
      </w:r>
      <w:r w:rsidRPr="00283806">
        <w:rPr>
          <w:w w:val="105"/>
        </w:rPr>
        <w:t xml:space="preserve">use in their </w:t>
      </w:r>
      <w:proofErr w:type="gramStart"/>
      <w:r w:rsidRPr="00283806">
        <w:rPr>
          <w:w w:val="105"/>
        </w:rPr>
        <w:t>particular equipment</w:t>
      </w:r>
      <w:proofErr w:type="gramEnd"/>
      <w:r w:rsidRPr="00283806">
        <w:rPr>
          <w:w w:val="105"/>
        </w:rPr>
        <w:t>.</w:t>
      </w:r>
    </w:p>
    <w:p w14:paraId="05929D40" w14:textId="77777777" w:rsidR="00D67C1E" w:rsidRPr="00283806" w:rsidRDefault="001265CA">
      <w:pPr>
        <w:pStyle w:val="BodyText"/>
        <w:spacing w:line="174" w:lineRule="exact"/>
        <w:ind w:left="334"/>
      </w:pPr>
      <w:r w:rsidRPr="00283806">
        <w:rPr>
          <w:w w:val="105"/>
        </w:rPr>
        <w:t>Regarding</w:t>
      </w:r>
      <w:r w:rsidRPr="00283806">
        <w:rPr>
          <w:spacing w:val="6"/>
          <w:w w:val="105"/>
        </w:rPr>
        <w:t xml:space="preserve"> </w:t>
      </w:r>
      <w:r w:rsidRPr="00283806">
        <w:rPr>
          <w:w w:val="105"/>
        </w:rPr>
        <w:t>the</w:t>
      </w:r>
      <w:r w:rsidRPr="00283806">
        <w:rPr>
          <w:spacing w:val="6"/>
          <w:w w:val="105"/>
        </w:rPr>
        <w:t xml:space="preserve"> </w:t>
      </w:r>
      <w:r w:rsidRPr="00283806">
        <w:rPr>
          <w:w w:val="105"/>
        </w:rPr>
        <w:t>commenter’s</w:t>
      </w:r>
      <w:r w:rsidRPr="00283806">
        <w:rPr>
          <w:spacing w:val="6"/>
          <w:w w:val="105"/>
        </w:rPr>
        <w:t xml:space="preserve"> </w:t>
      </w:r>
      <w:r w:rsidRPr="00283806">
        <w:rPr>
          <w:spacing w:val="-2"/>
          <w:w w:val="105"/>
        </w:rPr>
        <w:t>related</w:t>
      </w:r>
    </w:p>
    <w:p w14:paraId="64A74EB4" w14:textId="77777777" w:rsidR="00D67C1E" w:rsidRPr="00283806" w:rsidRDefault="001265CA">
      <w:pPr>
        <w:pStyle w:val="BodyText"/>
        <w:spacing w:before="3" w:line="228" w:lineRule="auto"/>
        <w:ind w:left="154" w:right="24"/>
      </w:pPr>
      <w:r w:rsidRPr="00283806">
        <w:rPr>
          <w:w w:val="105"/>
        </w:rPr>
        <w:t>concern regarding atmospheric decomposition of certain HFCs, HFOs,</w:t>
      </w:r>
      <w:r w:rsidRPr="00283806">
        <w:rPr>
          <w:spacing w:val="40"/>
          <w:w w:val="105"/>
        </w:rPr>
        <w:t xml:space="preserve"> </w:t>
      </w:r>
      <w:r w:rsidRPr="00283806">
        <w:rPr>
          <w:w w:val="105"/>
        </w:rPr>
        <w:t>and</w:t>
      </w:r>
      <w:r w:rsidRPr="00283806">
        <w:rPr>
          <w:spacing w:val="30"/>
          <w:w w:val="105"/>
        </w:rPr>
        <w:t xml:space="preserve"> </w:t>
      </w:r>
      <w:r w:rsidRPr="00283806">
        <w:rPr>
          <w:w w:val="105"/>
        </w:rPr>
        <w:t>HCFOs</w:t>
      </w:r>
      <w:r w:rsidRPr="00283806">
        <w:rPr>
          <w:spacing w:val="30"/>
          <w:w w:val="105"/>
        </w:rPr>
        <w:t xml:space="preserve"> </w:t>
      </w:r>
      <w:r w:rsidRPr="00283806">
        <w:rPr>
          <w:w w:val="105"/>
        </w:rPr>
        <w:t>to</w:t>
      </w:r>
      <w:r w:rsidRPr="00283806">
        <w:rPr>
          <w:spacing w:val="30"/>
          <w:w w:val="105"/>
        </w:rPr>
        <w:t xml:space="preserve"> </w:t>
      </w:r>
      <w:r w:rsidRPr="00283806">
        <w:rPr>
          <w:w w:val="105"/>
        </w:rPr>
        <w:t>TFA,</w:t>
      </w:r>
      <w:r w:rsidRPr="00283806">
        <w:rPr>
          <w:spacing w:val="30"/>
          <w:w w:val="105"/>
        </w:rPr>
        <w:t xml:space="preserve"> </w:t>
      </w:r>
      <w:r w:rsidRPr="00283806">
        <w:rPr>
          <w:w w:val="105"/>
        </w:rPr>
        <w:t>EPA</w:t>
      </w:r>
      <w:r w:rsidRPr="00283806">
        <w:rPr>
          <w:spacing w:val="30"/>
          <w:w w:val="105"/>
        </w:rPr>
        <w:t xml:space="preserve"> </w:t>
      </w:r>
      <w:r w:rsidRPr="00283806">
        <w:rPr>
          <w:w w:val="105"/>
        </w:rPr>
        <w:t>notes</w:t>
      </w:r>
      <w:r w:rsidRPr="00283806">
        <w:rPr>
          <w:spacing w:val="30"/>
          <w:w w:val="105"/>
        </w:rPr>
        <w:t xml:space="preserve"> </w:t>
      </w:r>
      <w:r w:rsidRPr="00283806">
        <w:rPr>
          <w:w w:val="105"/>
        </w:rPr>
        <w:t>that</w:t>
      </w:r>
      <w:r w:rsidRPr="00283806">
        <w:rPr>
          <w:spacing w:val="30"/>
          <w:w w:val="105"/>
        </w:rPr>
        <w:t xml:space="preserve"> </w:t>
      </w:r>
      <w:r w:rsidRPr="00283806">
        <w:rPr>
          <w:w w:val="105"/>
        </w:rPr>
        <w:t>TFA is a perfluorinated acid. Where TFA has been included in a particular definition</w:t>
      </w:r>
      <w:r w:rsidRPr="00283806">
        <w:rPr>
          <w:spacing w:val="80"/>
          <w:w w:val="105"/>
        </w:rPr>
        <w:t xml:space="preserve"> </w:t>
      </w:r>
      <w:r w:rsidRPr="00283806">
        <w:rPr>
          <w:w w:val="105"/>
        </w:rPr>
        <w:t xml:space="preserve">of PFAS, it is often part of a class of chemicals containing more than 4,730 substances. According to the Montreal Protocol’s Environmental Effects Assessment Panel (EEAP) </w:t>
      </w:r>
      <w:r w:rsidRPr="00283806">
        <w:rPr>
          <w:w w:val="105"/>
          <w:position w:val="5"/>
          <w:sz w:val="11"/>
        </w:rPr>
        <w:t>54</w:t>
      </w:r>
      <w:r w:rsidRPr="00283806">
        <w:rPr>
          <w:spacing w:val="40"/>
          <w:w w:val="105"/>
          <w:position w:val="5"/>
          <w:sz w:val="11"/>
        </w:rPr>
        <w:t xml:space="preserve"> </w:t>
      </w:r>
      <w:r w:rsidRPr="00283806">
        <w:rPr>
          <w:w w:val="105"/>
        </w:rPr>
        <w:t>about 256 PFAS</w:t>
      </w:r>
      <w:r w:rsidRPr="00283806">
        <w:rPr>
          <w:spacing w:val="40"/>
          <w:w w:val="105"/>
        </w:rPr>
        <w:t xml:space="preserve"> </w:t>
      </w:r>
      <w:r w:rsidRPr="00283806">
        <w:rPr>
          <w:w w:val="105"/>
        </w:rPr>
        <w:t>are</w:t>
      </w:r>
      <w:r w:rsidRPr="00283806">
        <w:rPr>
          <w:spacing w:val="40"/>
          <w:w w:val="105"/>
        </w:rPr>
        <w:t xml:space="preserve"> </w:t>
      </w:r>
      <w:r w:rsidRPr="00283806">
        <w:rPr>
          <w:w w:val="105"/>
        </w:rPr>
        <w:t>in</w:t>
      </w:r>
      <w:r w:rsidRPr="00283806">
        <w:rPr>
          <w:spacing w:val="40"/>
          <w:w w:val="105"/>
        </w:rPr>
        <w:t xml:space="preserve"> </w:t>
      </w:r>
      <w:r w:rsidRPr="00283806">
        <w:rPr>
          <w:w w:val="105"/>
        </w:rPr>
        <w:t>commercial</w:t>
      </w:r>
      <w:r w:rsidRPr="00283806">
        <w:rPr>
          <w:spacing w:val="40"/>
          <w:w w:val="105"/>
        </w:rPr>
        <w:t xml:space="preserve"> </w:t>
      </w:r>
      <w:r w:rsidRPr="00283806">
        <w:rPr>
          <w:w w:val="105"/>
        </w:rPr>
        <w:t>use,</w:t>
      </w:r>
      <w:r w:rsidRPr="00283806">
        <w:rPr>
          <w:spacing w:val="40"/>
          <w:w w:val="105"/>
        </w:rPr>
        <w:t xml:space="preserve"> </w:t>
      </w:r>
      <w:r w:rsidRPr="00283806">
        <w:rPr>
          <w:w w:val="105"/>
        </w:rPr>
        <w:t>with widely differing physical, chemical, and biological properties.</w:t>
      </w:r>
      <w:r w:rsidRPr="00283806">
        <w:rPr>
          <w:w w:val="105"/>
          <w:position w:val="5"/>
          <w:sz w:val="11"/>
        </w:rPr>
        <w:t>55</w:t>
      </w:r>
      <w:r w:rsidRPr="00283806">
        <w:rPr>
          <w:spacing w:val="40"/>
          <w:w w:val="105"/>
          <w:position w:val="5"/>
          <w:sz w:val="11"/>
        </w:rPr>
        <w:t xml:space="preserve"> </w:t>
      </w:r>
      <w:r w:rsidRPr="00283806">
        <w:rPr>
          <w:w w:val="105"/>
        </w:rPr>
        <w:t>The 2022 EEAP Assessment Report</w:t>
      </w:r>
      <w:r w:rsidRPr="00283806">
        <w:rPr>
          <w:spacing w:val="-3"/>
          <w:w w:val="105"/>
        </w:rPr>
        <w:t xml:space="preserve"> </w:t>
      </w:r>
      <w:r w:rsidRPr="00283806">
        <w:rPr>
          <w:w w:val="105"/>
          <w:position w:val="5"/>
          <w:sz w:val="11"/>
        </w:rPr>
        <w:t xml:space="preserve">56 </w:t>
      </w:r>
      <w:r w:rsidRPr="00283806">
        <w:rPr>
          <w:w w:val="105"/>
        </w:rPr>
        <w:t>explained that one source of TFA in the environment is the degradation</w:t>
      </w:r>
      <w:r w:rsidRPr="00283806">
        <w:rPr>
          <w:spacing w:val="40"/>
          <w:w w:val="105"/>
        </w:rPr>
        <w:t xml:space="preserve"> </w:t>
      </w:r>
      <w:r w:rsidRPr="00283806">
        <w:rPr>
          <w:w w:val="105"/>
        </w:rPr>
        <w:t>of</w:t>
      </w:r>
      <w:r w:rsidRPr="00283806">
        <w:rPr>
          <w:spacing w:val="40"/>
          <w:w w:val="105"/>
        </w:rPr>
        <w:t xml:space="preserve"> </w:t>
      </w:r>
      <w:r w:rsidRPr="00283806">
        <w:rPr>
          <w:w w:val="105"/>
        </w:rPr>
        <w:t>some</w:t>
      </w:r>
      <w:r w:rsidRPr="00283806">
        <w:rPr>
          <w:spacing w:val="40"/>
          <w:w w:val="105"/>
        </w:rPr>
        <w:t xml:space="preserve"> </w:t>
      </w:r>
      <w:r w:rsidRPr="00283806">
        <w:rPr>
          <w:w w:val="105"/>
        </w:rPr>
        <w:t>HFCs,</w:t>
      </w:r>
      <w:r w:rsidRPr="00283806">
        <w:rPr>
          <w:spacing w:val="40"/>
          <w:w w:val="105"/>
        </w:rPr>
        <w:t xml:space="preserve"> </w:t>
      </w:r>
      <w:r w:rsidRPr="00283806">
        <w:rPr>
          <w:w w:val="105"/>
        </w:rPr>
        <w:t>HCFCs, HFOs, and HCFOs, while other potential sources</w:t>
      </w:r>
      <w:r w:rsidRPr="00283806">
        <w:rPr>
          <w:spacing w:val="40"/>
          <w:w w:val="105"/>
        </w:rPr>
        <w:t xml:space="preserve"> </w:t>
      </w:r>
      <w:r w:rsidRPr="00283806">
        <w:rPr>
          <w:w w:val="105"/>
        </w:rPr>
        <w:t>of</w:t>
      </w:r>
      <w:r w:rsidRPr="00283806">
        <w:rPr>
          <w:spacing w:val="40"/>
          <w:w w:val="105"/>
        </w:rPr>
        <w:t xml:space="preserve"> </w:t>
      </w:r>
      <w:r w:rsidRPr="00283806">
        <w:rPr>
          <w:w w:val="105"/>
        </w:rPr>
        <w:t>TFA</w:t>
      </w:r>
      <w:r w:rsidRPr="00283806">
        <w:rPr>
          <w:spacing w:val="40"/>
          <w:w w:val="105"/>
        </w:rPr>
        <w:t xml:space="preserve"> </w:t>
      </w:r>
      <w:r w:rsidRPr="00283806">
        <w:rPr>
          <w:w w:val="105"/>
        </w:rPr>
        <w:t>include</w:t>
      </w:r>
      <w:r w:rsidRPr="00283806">
        <w:rPr>
          <w:spacing w:val="40"/>
          <w:w w:val="105"/>
        </w:rPr>
        <w:t xml:space="preserve"> </w:t>
      </w:r>
      <w:r w:rsidRPr="00283806">
        <w:rPr>
          <w:w w:val="105"/>
        </w:rPr>
        <w:t>geogenic sources; effluents and releases from the manufacture of fluorinated chemicals; combustion and degradation of</w:t>
      </w:r>
    </w:p>
    <w:p w14:paraId="018340E9" w14:textId="77777777" w:rsidR="00D67C1E" w:rsidRPr="00283806" w:rsidRDefault="001265CA">
      <w:pPr>
        <w:pStyle w:val="BodyText"/>
        <w:spacing w:before="2"/>
        <w:ind w:left="0"/>
        <w:rPr>
          <w:sz w:val="12"/>
        </w:rPr>
      </w:pPr>
      <w:r w:rsidRPr="00283806">
        <w:rPr>
          <w:noProof/>
        </w:rPr>
        <mc:AlternateContent>
          <mc:Choice Requires="wps">
            <w:drawing>
              <wp:anchor distT="0" distB="0" distL="0" distR="0" simplePos="0" relativeHeight="251633664" behindDoc="1" locked="0" layoutInCell="1" allowOverlap="1" wp14:anchorId="459166E4" wp14:editId="414C001A">
                <wp:simplePos x="0" y="0"/>
                <wp:positionH relativeFrom="page">
                  <wp:posOffset>2819400</wp:posOffset>
                </wp:positionH>
                <wp:positionV relativeFrom="paragraph">
                  <wp:posOffset>106060</wp:posOffset>
                </wp:positionV>
                <wp:extent cx="635000" cy="1270"/>
                <wp:effectExtent l="0" t="0" r="0" b="0"/>
                <wp:wrapTopAndBottom/>
                <wp:docPr id="65" name="Graphic 6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E70A9BF" id="Graphic 65" o:spid="_x0000_s1026" alt="&quot;&quot;" style="position:absolute;margin-left:222pt;margin-top:8.35pt;width:50pt;height:.1pt;z-index:-251682816;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" path="m,l635000,e" filled="f" strokeweight=".5pt">
                <v:path arrowok="t"/>
                <w10:wrap type="topAndBottom" anchorx="page"/>
              </v:shape>
            </w:pict>
          </mc:Fallback>
        </mc:AlternateContent>
      </w:r>
    </w:p>
    <w:p w14:paraId="235DE53E" w14:textId="04E2335D" w:rsidR="00D67C1E" w:rsidRPr="00283806" w:rsidRDefault="001265CA">
      <w:pPr>
        <w:spacing w:before="36"/>
        <w:ind w:left="294"/>
        <w:rPr>
          <w:rFonts w:ascii="Book Antiqua"/>
          <w:i/>
          <w:sz w:val="14"/>
        </w:rPr>
      </w:pPr>
      <w:r w:rsidRPr="00283806">
        <w:rPr>
          <w:w w:val="110"/>
          <w:position w:val="4"/>
          <w:sz w:val="9"/>
        </w:rPr>
        <w:t>53</w:t>
      </w:r>
      <w:r w:rsidRPr="00283806">
        <w:rPr>
          <w:spacing w:val="-1"/>
          <w:w w:val="110"/>
          <w:position w:val="4"/>
          <w:sz w:val="9"/>
        </w:rPr>
        <w:t xml:space="preserve"> </w:t>
      </w:r>
      <w:r w:rsidRPr="00283806">
        <w:rPr>
          <w:w w:val="110"/>
          <w:sz w:val="14"/>
        </w:rPr>
        <w:t>Available</w:t>
      </w:r>
      <w:r w:rsidRPr="00283806">
        <w:rPr>
          <w:spacing w:val="4"/>
          <w:w w:val="110"/>
          <w:sz w:val="14"/>
        </w:rPr>
        <w:t xml:space="preserve"> </w:t>
      </w:r>
      <w:r w:rsidRPr="00283806">
        <w:rPr>
          <w:w w:val="110"/>
          <w:sz w:val="14"/>
        </w:rPr>
        <w:t>at</w:t>
      </w:r>
      <w:r w:rsidRPr="00283806">
        <w:rPr>
          <w:spacing w:val="4"/>
          <w:w w:val="110"/>
          <w:sz w:val="14"/>
        </w:rPr>
        <w:t xml:space="preserve"> </w:t>
      </w:r>
      <w:r w:rsidRPr="00283806">
        <w:rPr>
          <w:rFonts w:ascii="Book Antiqua"/>
          <w:i/>
          <w:spacing w:val="-2"/>
          <w:w w:val="110"/>
          <w:sz w:val="14"/>
        </w:rPr>
        <w:t>https://www.epa.gov/pfas.</w:t>
      </w:r>
    </w:p>
    <w:p w14:paraId="643030A6" w14:textId="77777777" w:rsidR="00D67C1E" w:rsidRPr="00283806" w:rsidRDefault="001265CA">
      <w:pPr>
        <w:spacing w:before="11" w:line="232" w:lineRule="auto"/>
        <w:ind w:left="154" w:right="89" w:firstLine="140"/>
        <w:jc w:val="both"/>
        <w:rPr>
          <w:sz w:val="14"/>
        </w:rPr>
      </w:pPr>
      <w:r w:rsidRPr="00283806">
        <w:rPr>
          <w:w w:val="105"/>
          <w:position w:val="4"/>
          <w:sz w:val="9"/>
        </w:rPr>
        <w:t xml:space="preserve">54 </w:t>
      </w:r>
      <w:r w:rsidRPr="00283806">
        <w:rPr>
          <w:w w:val="105"/>
          <w:sz w:val="14"/>
        </w:rPr>
        <w:t>The EEAP is an advisory body to the Montreal</w:t>
      </w:r>
      <w:r w:rsidRPr="00283806">
        <w:rPr>
          <w:spacing w:val="40"/>
          <w:w w:val="105"/>
          <w:sz w:val="14"/>
        </w:rPr>
        <w:t xml:space="preserve"> </w:t>
      </w:r>
      <w:r w:rsidRPr="00283806">
        <w:rPr>
          <w:w w:val="105"/>
          <w:sz w:val="14"/>
        </w:rPr>
        <w:t>Protocol Parties that evaluates the consequences of</w:t>
      </w:r>
      <w:r w:rsidRPr="00283806">
        <w:rPr>
          <w:spacing w:val="40"/>
          <w:w w:val="105"/>
          <w:sz w:val="14"/>
        </w:rPr>
        <w:t xml:space="preserve"> </w:t>
      </w:r>
      <w:r w:rsidRPr="00283806">
        <w:rPr>
          <w:w w:val="105"/>
          <w:sz w:val="14"/>
        </w:rPr>
        <w:t>stratospheric ozone depletion and additional areas</w:t>
      </w:r>
      <w:r w:rsidRPr="00283806">
        <w:rPr>
          <w:spacing w:val="40"/>
          <w:w w:val="105"/>
          <w:sz w:val="14"/>
        </w:rPr>
        <w:t xml:space="preserve"> </w:t>
      </w:r>
      <w:r w:rsidRPr="00283806">
        <w:rPr>
          <w:w w:val="105"/>
          <w:sz w:val="14"/>
        </w:rPr>
        <w:t>of potential importance to the Montreal Protocol.</w:t>
      </w:r>
    </w:p>
    <w:p w14:paraId="27C72D54" w14:textId="3738758C" w:rsidR="00D67C1E" w:rsidRPr="00283806" w:rsidRDefault="001265CA">
      <w:pPr>
        <w:spacing w:before="24" w:line="232" w:lineRule="auto"/>
        <w:ind w:left="154" w:right="50" w:firstLine="140"/>
        <w:rPr>
          <w:rFonts w:ascii="Book Antiqua"/>
          <w:i/>
          <w:sz w:val="14"/>
        </w:rPr>
      </w:pPr>
      <w:r w:rsidRPr="00283806">
        <w:rPr>
          <w:w w:val="115"/>
          <w:position w:val="4"/>
          <w:sz w:val="9"/>
        </w:rPr>
        <w:t>55</w:t>
      </w:r>
      <w:r w:rsidRPr="00283806">
        <w:rPr>
          <w:spacing w:val="-6"/>
          <w:w w:val="115"/>
          <w:position w:val="4"/>
          <w:sz w:val="9"/>
        </w:rPr>
        <w:t xml:space="preserve"> </w:t>
      </w:r>
      <w:r w:rsidRPr="00283806">
        <w:rPr>
          <w:w w:val="115"/>
          <w:sz w:val="14"/>
        </w:rPr>
        <w:t>UNEP.</w:t>
      </w:r>
      <w:r w:rsidRPr="00283806">
        <w:rPr>
          <w:spacing w:val="-6"/>
          <w:w w:val="115"/>
          <w:sz w:val="14"/>
        </w:rPr>
        <w:t xml:space="preserve"> </w:t>
      </w:r>
      <w:r w:rsidRPr="00283806">
        <w:rPr>
          <w:w w:val="115"/>
          <w:sz w:val="14"/>
        </w:rPr>
        <w:t>2022</w:t>
      </w:r>
      <w:r w:rsidRPr="00283806">
        <w:rPr>
          <w:spacing w:val="-6"/>
          <w:w w:val="115"/>
          <w:sz w:val="14"/>
        </w:rPr>
        <w:t xml:space="preserve"> </w:t>
      </w:r>
      <w:r w:rsidRPr="00283806">
        <w:rPr>
          <w:w w:val="115"/>
          <w:sz w:val="14"/>
        </w:rPr>
        <w:t>Assessment</w:t>
      </w:r>
      <w:r w:rsidRPr="00283806">
        <w:rPr>
          <w:spacing w:val="-6"/>
          <w:w w:val="115"/>
          <w:sz w:val="14"/>
        </w:rPr>
        <w:t xml:space="preserve"> </w:t>
      </w:r>
      <w:r w:rsidRPr="00283806">
        <w:rPr>
          <w:w w:val="115"/>
          <w:sz w:val="14"/>
        </w:rPr>
        <w:t>Report</w:t>
      </w:r>
      <w:r w:rsidRPr="00283806">
        <w:rPr>
          <w:spacing w:val="-6"/>
          <w:w w:val="115"/>
          <w:sz w:val="14"/>
        </w:rPr>
        <w:t xml:space="preserve"> </w:t>
      </w:r>
      <w:r w:rsidRPr="00283806">
        <w:rPr>
          <w:w w:val="115"/>
          <w:sz w:val="14"/>
        </w:rPr>
        <w:t>of</w:t>
      </w:r>
      <w:r w:rsidRPr="00283806">
        <w:rPr>
          <w:spacing w:val="-6"/>
          <w:w w:val="115"/>
          <w:sz w:val="14"/>
        </w:rPr>
        <w:t xml:space="preserve"> </w:t>
      </w:r>
      <w:r w:rsidRPr="00283806">
        <w:rPr>
          <w:w w:val="115"/>
          <w:sz w:val="14"/>
        </w:rPr>
        <w:t>the</w:t>
      </w:r>
      <w:r w:rsidRPr="00283806">
        <w:rPr>
          <w:spacing w:val="40"/>
          <w:w w:val="115"/>
          <w:sz w:val="14"/>
        </w:rPr>
        <w:t xml:space="preserve"> </w:t>
      </w:r>
      <w:r w:rsidRPr="00283806">
        <w:rPr>
          <w:spacing w:val="-2"/>
          <w:w w:val="110"/>
          <w:sz w:val="14"/>
        </w:rPr>
        <w:t>Environmental Effects Assessment Panel. Available</w:t>
      </w:r>
      <w:r w:rsidRPr="00283806">
        <w:rPr>
          <w:spacing w:val="40"/>
          <w:w w:val="115"/>
          <w:sz w:val="14"/>
        </w:rPr>
        <w:t xml:space="preserve"> </w:t>
      </w:r>
      <w:r w:rsidRPr="00283806">
        <w:rPr>
          <w:w w:val="115"/>
          <w:sz w:val="14"/>
        </w:rPr>
        <w:t xml:space="preserve">at: </w:t>
      </w:r>
      <w:r w:rsidRPr="00283806">
        <w:rPr>
          <w:rFonts w:ascii="Book Antiqua"/>
          <w:i/>
          <w:w w:val="115"/>
          <w:sz w:val="14"/>
        </w:rPr>
        <w:t xml:space="preserve">https://ozone.unep.org/system/files/documents/ </w:t>
      </w:r>
      <w:r w:rsidRPr="00283806">
        <w:rPr>
          <w:rFonts w:ascii="Book Antiqua"/>
          <w:i/>
          <w:spacing w:val="-2"/>
          <w:w w:val="115"/>
          <w:sz w:val="14"/>
        </w:rPr>
        <w:t>EEAP-2022-Assessment-Report-May2023.pdf.</w:t>
      </w:r>
    </w:p>
    <w:p w14:paraId="1F22C995" w14:textId="77777777" w:rsidR="00D67C1E" w:rsidRPr="00283806" w:rsidRDefault="001265CA">
      <w:pPr>
        <w:spacing w:before="6"/>
        <w:ind w:left="294"/>
        <w:rPr>
          <w:sz w:val="14"/>
        </w:rPr>
      </w:pPr>
      <w:r w:rsidRPr="00283806">
        <w:rPr>
          <w:w w:val="115"/>
          <w:position w:val="4"/>
          <w:sz w:val="9"/>
        </w:rPr>
        <w:t>56</w:t>
      </w:r>
      <w:r w:rsidRPr="00283806">
        <w:rPr>
          <w:spacing w:val="5"/>
          <w:w w:val="115"/>
          <w:position w:val="4"/>
          <w:sz w:val="9"/>
        </w:rPr>
        <w:t xml:space="preserve"> </w:t>
      </w:r>
      <w:r w:rsidRPr="00283806">
        <w:rPr>
          <w:spacing w:val="-2"/>
          <w:w w:val="115"/>
          <w:sz w:val="14"/>
        </w:rPr>
        <w:t>Ibid.</w:t>
      </w:r>
    </w:p>
    <w:p w14:paraId="149C1958" w14:textId="77777777" w:rsidR="00D67C1E" w:rsidRPr="00283806" w:rsidRDefault="001265CA">
      <w:pPr>
        <w:pStyle w:val="BodyText"/>
        <w:spacing w:before="134" w:line="228" w:lineRule="auto"/>
        <w:ind w:left="144" w:right="131"/>
      </w:pPr>
      <w:r w:rsidRPr="00283806">
        <w:br w:type="column"/>
      </w:r>
      <w:r w:rsidRPr="00283806">
        <w:rPr>
          <w:w w:val="105"/>
        </w:rPr>
        <w:t>fluorinated</w:t>
      </w:r>
      <w:r w:rsidRPr="00283806">
        <w:rPr>
          <w:spacing w:val="40"/>
          <w:w w:val="105"/>
        </w:rPr>
        <w:t xml:space="preserve"> </w:t>
      </w:r>
      <w:r w:rsidRPr="00283806">
        <w:rPr>
          <w:w w:val="105"/>
        </w:rPr>
        <w:t>chemicals</w:t>
      </w:r>
      <w:r w:rsidRPr="00283806">
        <w:rPr>
          <w:spacing w:val="40"/>
          <w:w w:val="105"/>
        </w:rPr>
        <w:t xml:space="preserve"> </w:t>
      </w:r>
      <w:r w:rsidRPr="00283806">
        <w:rPr>
          <w:w w:val="105"/>
        </w:rPr>
        <w:t>in</w:t>
      </w:r>
      <w:r w:rsidRPr="00283806">
        <w:rPr>
          <w:spacing w:val="40"/>
          <w:w w:val="105"/>
        </w:rPr>
        <w:t xml:space="preserve"> </w:t>
      </w:r>
      <w:r w:rsidRPr="00283806">
        <w:rPr>
          <w:w w:val="105"/>
        </w:rPr>
        <w:t>commercial and</w:t>
      </w:r>
      <w:r w:rsidRPr="00283806">
        <w:rPr>
          <w:spacing w:val="40"/>
          <w:w w:val="105"/>
        </w:rPr>
        <w:t xml:space="preserve"> </w:t>
      </w:r>
      <w:r w:rsidRPr="00283806">
        <w:rPr>
          <w:w w:val="105"/>
        </w:rPr>
        <w:t>household</w:t>
      </w:r>
      <w:r w:rsidRPr="00283806">
        <w:rPr>
          <w:spacing w:val="40"/>
          <w:w w:val="105"/>
        </w:rPr>
        <w:t xml:space="preserve"> </w:t>
      </w:r>
      <w:r w:rsidRPr="00283806">
        <w:rPr>
          <w:w w:val="105"/>
        </w:rPr>
        <w:t>waste;</w:t>
      </w:r>
      <w:r w:rsidRPr="00283806">
        <w:rPr>
          <w:spacing w:val="40"/>
          <w:w w:val="105"/>
        </w:rPr>
        <w:t xml:space="preserve"> </w:t>
      </w:r>
      <w:r w:rsidRPr="00283806">
        <w:rPr>
          <w:w w:val="105"/>
        </w:rPr>
        <w:t>and</w:t>
      </w:r>
      <w:r w:rsidRPr="00283806">
        <w:rPr>
          <w:spacing w:val="40"/>
          <w:w w:val="105"/>
        </w:rPr>
        <w:t xml:space="preserve"> </w:t>
      </w:r>
      <w:r w:rsidRPr="00283806">
        <w:rPr>
          <w:w w:val="105"/>
        </w:rPr>
        <w:t>biological and environmental degradation of chemicals such as certain pharmaceuticals and pesticides. The</w:t>
      </w:r>
      <w:r w:rsidRPr="00283806">
        <w:rPr>
          <w:spacing w:val="40"/>
          <w:w w:val="105"/>
        </w:rPr>
        <w:t xml:space="preserve"> </w:t>
      </w:r>
      <w:r w:rsidRPr="00283806">
        <w:rPr>
          <w:w w:val="105"/>
        </w:rPr>
        <w:t>2022 EEAP Assessment Report indicates that while TFA ‘‘is unlikely to cause adverse effects in terrestrial and aquatic organisms, [continued] monitoring and assessment</w:t>
      </w:r>
      <w:r w:rsidRPr="00283806">
        <w:rPr>
          <w:spacing w:val="-1"/>
          <w:w w:val="105"/>
        </w:rPr>
        <w:t xml:space="preserve"> </w:t>
      </w:r>
      <w:r w:rsidRPr="00283806">
        <w:rPr>
          <w:w w:val="105"/>
        </w:rPr>
        <w:t>are</w:t>
      </w:r>
      <w:r w:rsidRPr="00283806">
        <w:rPr>
          <w:spacing w:val="-1"/>
          <w:w w:val="105"/>
        </w:rPr>
        <w:t xml:space="preserve"> </w:t>
      </w:r>
      <w:r w:rsidRPr="00283806">
        <w:rPr>
          <w:w w:val="105"/>
        </w:rPr>
        <w:t>nevertheless</w:t>
      </w:r>
      <w:r w:rsidRPr="00283806">
        <w:rPr>
          <w:spacing w:val="-1"/>
          <w:w w:val="105"/>
        </w:rPr>
        <w:t xml:space="preserve"> </w:t>
      </w:r>
      <w:r w:rsidRPr="00283806">
        <w:rPr>
          <w:w w:val="105"/>
        </w:rPr>
        <w:t>advised</w:t>
      </w:r>
      <w:r w:rsidRPr="00283806">
        <w:rPr>
          <w:spacing w:val="-1"/>
          <w:w w:val="105"/>
        </w:rPr>
        <w:t xml:space="preserve"> </w:t>
      </w:r>
      <w:r w:rsidRPr="00283806">
        <w:rPr>
          <w:w w:val="105"/>
        </w:rPr>
        <w:t>due to</w:t>
      </w:r>
      <w:r w:rsidRPr="00283806">
        <w:rPr>
          <w:spacing w:val="40"/>
          <w:w w:val="105"/>
        </w:rPr>
        <w:t xml:space="preserve"> </w:t>
      </w:r>
      <w:r w:rsidRPr="00283806">
        <w:rPr>
          <w:w w:val="105"/>
        </w:rPr>
        <w:t>uncertainties</w:t>
      </w:r>
      <w:r w:rsidRPr="00283806">
        <w:rPr>
          <w:spacing w:val="40"/>
          <w:w w:val="105"/>
        </w:rPr>
        <w:t xml:space="preserve"> </w:t>
      </w:r>
      <w:r w:rsidRPr="00283806">
        <w:rPr>
          <w:w w:val="105"/>
        </w:rPr>
        <w:t>in</w:t>
      </w:r>
      <w:r w:rsidRPr="00283806">
        <w:rPr>
          <w:spacing w:val="40"/>
          <w:w w:val="105"/>
        </w:rPr>
        <w:t xml:space="preserve"> </w:t>
      </w:r>
      <w:r w:rsidRPr="00283806">
        <w:rPr>
          <w:w w:val="105"/>
        </w:rPr>
        <w:t>the</w:t>
      </w:r>
      <w:r w:rsidRPr="00283806">
        <w:rPr>
          <w:spacing w:val="40"/>
          <w:w w:val="105"/>
        </w:rPr>
        <w:t xml:space="preserve"> </w:t>
      </w:r>
      <w:r w:rsidRPr="00283806">
        <w:rPr>
          <w:w w:val="105"/>
        </w:rPr>
        <w:t>deposition</w:t>
      </w:r>
      <w:r w:rsidRPr="00283806">
        <w:rPr>
          <w:spacing w:val="40"/>
          <w:w w:val="105"/>
        </w:rPr>
        <w:t xml:space="preserve"> </w:t>
      </w:r>
      <w:r w:rsidRPr="00283806">
        <w:rPr>
          <w:w w:val="105"/>
        </w:rPr>
        <w:t>of TFA and its potential effects on marine organisms.’’ The report notes that ‘‘TFA does not bioaccumulate nor is it toxic at the low to moderate exposures currently measured in the environment or those predicted in the distant future.’’ It</w:t>
      </w:r>
      <w:r w:rsidRPr="00283806">
        <w:rPr>
          <w:spacing w:val="80"/>
          <w:w w:val="105"/>
        </w:rPr>
        <w:t xml:space="preserve"> </w:t>
      </w:r>
      <w:r w:rsidRPr="00283806">
        <w:rPr>
          <w:w w:val="105"/>
        </w:rPr>
        <w:t>further explains that because the HCFCs and HFCs are long-lived in the atmosphere, they distribute globally,</w:t>
      </w:r>
      <w:r w:rsidRPr="00283806">
        <w:rPr>
          <w:spacing w:val="80"/>
          <w:w w:val="150"/>
        </w:rPr>
        <w:t xml:space="preserve"> </w:t>
      </w:r>
      <w:r w:rsidRPr="00283806">
        <w:rPr>
          <w:w w:val="105"/>
        </w:rPr>
        <w:t>and TFA from these substances is more evenly deposited. The HFOs and HCFOs have shorter lifetimes in the</w:t>
      </w:r>
      <w:r w:rsidRPr="00283806">
        <w:rPr>
          <w:spacing w:val="80"/>
          <w:w w:val="105"/>
        </w:rPr>
        <w:t xml:space="preserve"> </w:t>
      </w:r>
      <w:r w:rsidRPr="00283806">
        <w:rPr>
          <w:w w:val="105"/>
        </w:rPr>
        <w:t>atmosphere,</w:t>
      </w:r>
      <w:r w:rsidRPr="00283806">
        <w:rPr>
          <w:spacing w:val="40"/>
          <w:w w:val="105"/>
        </w:rPr>
        <w:t xml:space="preserve"> </w:t>
      </w:r>
      <w:r w:rsidRPr="00283806">
        <w:rPr>
          <w:w w:val="105"/>
        </w:rPr>
        <w:t>and</w:t>
      </w:r>
      <w:r w:rsidRPr="00283806">
        <w:rPr>
          <w:spacing w:val="40"/>
          <w:w w:val="105"/>
        </w:rPr>
        <w:t xml:space="preserve"> </w:t>
      </w:r>
      <w:r w:rsidRPr="00283806">
        <w:rPr>
          <w:w w:val="105"/>
        </w:rPr>
        <w:t>deposition</w:t>
      </w:r>
      <w:r w:rsidRPr="00283806">
        <w:rPr>
          <w:spacing w:val="40"/>
          <w:w w:val="105"/>
        </w:rPr>
        <w:t xml:space="preserve"> </w:t>
      </w:r>
      <w:r w:rsidRPr="00283806">
        <w:rPr>
          <w:w w:val="105"/>
        </w:rPr>
        <w:t>of</w:t>
      </w:r>
      <w:r w:rsidRPr="00283806">
        <w:rPr>
          <w:spacing w:val="40"/>
          <w:w w:val="105"/>
        </w:rPr>
        <w:t xml:space="preserve"> </w:t>
      </w:r>
      <w:r w:rsidRPr="00283806">
        <w:rPr>
          <w:w w:val="105"/>
        </w:rPr>
        <w:t>TFA from these substances is likely to be</w:t>
      </w:r>
      <w:r w:rsidRPr="00283806">
        <w:rPr>
          <w:spacing w:val="40"/>
          <w:w w:val="105"/>
        </w:rPr>
        <w:t xml:space="preserve"> </w:t>
      </w:r>
      <w:r w:rsidRPr="00283806">
        <w:rPr>
          <w:w w:val="105"/>
        </w:rPr>
        <w:t>more localized. This will result in</w:t>
      </w:r>
      <w:r w:rsidRPr="00283806">
        <w:rPr>
          <w:spacing w:val="80"/>
          <w:w w:val="150"/>
        </w:rPr>
        <w:t xml:space="preserve"> </w:t>
      </w:r>
      <w:r w:rsidRPr="00283806">
        <w:rPr>
          <w:w w:val="105"/>
        </w:rPr>
        <w:t>greater</w:t>
      </w:r>
      <w:r w:rsidRPr="00283806">
        <w:rPr>
          <w:spacing w:val="-4"/>
          <w:w w:val="105"/>
        </w:rPr>
        <w:t xml:space="preserve"> </w:t>
      </w:r>
      <w:r w:rsidRPr="00283806">
        <w:rPr>
          <w:w w:val="105"/>
        </w:rPr>
        <w:t>concentrations</w:t>
      </w:r>
      <w:r w:rsidRPr="00283806">
        <w:rPr>
          <w:spacing w:val="-4"/>
          <w:w w:val="105"/>
        </w:rPr>
        <w:t xml:space="preserve"> </w:t>
      </w:r>
      <w:r w:rsidRPr="00283806">
        <w:rPr>
          <w:w w:val="105"/>
        </w:rPr>
        <w:t>near</w:t>
      </w:r>
      <w:r w:rsidRPr="00283806">
        <w:rPr>
          <w:spacing w:val="-4"/>
          <w:w w:val="105"/>
        </w:rPr>
        <w:t xml:space="preserve"> </w:t>
      </w:r>
      <w:r w:rsidRPr="00283806">
        <w:rPr>
          <w:w w:val="105"/>
        </w:rPr>
        <w:t>the</w:t>
      </w:r>
      <w:r w:rsidRPr="00283806">
        <w:rPr>
          <w:spacing w:val="-4"/>
          <w:w w:val="105"/>
        </w:rPr>
        <w:t xml:space="preserve"> </w:t>
      </w:r>
      <w:r w:rsidRPr="00283806">
        <w:rPr>
          <w:w w:val="105"/>
        </w:rPr>
        <w:t>locations of release. These greater concentrations are unlikely to present a risk to humans or the environment in these locations,</w:t>
      </w:r>
      <w:r w:rsidRPr="00283806">
        <w:rPr>
          <w:spacing w:val="40"/>
          <w:w w:val="105"/>
        </w:rPr>
        <w:t xml:space="preserve"> </w:t>
      </w:r>
      <w:r w:rsidRPr="00283806">
        <w:rPr>
          <w:w w:val="105"/>
        </w:rPr>
        <w:t>but changes in concentration in surface water (or soil) would respond rapidly to releases. The 2022 Assessment EEAP Report states, ‘‘[monitoring] of the environment for residues of TFA would provide an early warning if trends in concentration indicate rapid increases.’’ EPA reiterates that the SNAP program considers</w:t>
      </w:r>
      <w:r w:rsidRPr="00283806">
        <w:rPr>
          <w:spacing w:val="40"/>
          <w:w w:val="105"/>
        </w:rPr>
        <w:t xml:space="preserve"> </w:t>
      </w:r>
      <w:r w:rsidRPr="00283806">
        <w:rPr>
          <w:w w:val="105"/>
        </w:rPr>
        <w:t>ecotoxicity</w:t>
      </w:r>
      <w:r w:rsidRPr="00283806">
        <w:rPr>
          <w:spacing w:val="40"/>
          <w:w w:val="105"/>
        </w:rPr>
        <w:t xml:space="preserve"> </w:t>
      </w:r>
      <w:r w:rsidRPr="00283806">
        <w:rPr>
          <w:w w:val="105"/>
        </w:rPr>
        <w:t>as</w:t>
      </w:r>
      <w:r w:rsidRPr="00283806">
        <w:rPr>
          <w:spacing w:val="40"/>
          <w:w w:val="105"/>
        </w:rPr>
        <w:t xml:space="preserve"> </w:t>
      </w:r>
      <w:r w:rsidRPr="00283806">
        <w:rPr>
          <w:w w:val="105"/>
        </w:rPr>
        <w:t>a</w:t>
      </w:r>
      <w:r w:rsidRPr="00283806">
        <w:rPr>
          <w:spacing w:val="40"/>
          <w:w w:val="105"/>
        </w:rPr>
        <w:t xml:space="preserve"> </w:t>
      </w:r>
      <w:r w:rsidRPr="00283806">
        <w:rPr>
          <w:w w:val="105"/>
        </w:rPr>
        <w:t>criterion when evaluating alternatives under its comparative risk framework and has considered the potential impacts of TFA in past actions where SNAP found HFO–1234yf acceptable in certain end uses.</w:t>
      </w:r>
      <w:r w:rsidRPr="00283806">
        <w:rPr>
          <w:spacing w:val="40"/>
          <w:w w:val="105"/>
        </w:rPr>
        <w:t xml:space="preserve"> </w:t>
      </w:r>
      <w:r w:rsidRPr="00283806">
        <w:rPr>
          <w:w w:val="105"/>
        </w:rPr>
        <w:t>The</w:t>
      </w:r>
      <w:r w:rsidRPr="00283806">
        <w:rPr>
          <w:spacing w:val="40"/>
          <w:w w:val="105"/>
        </w:rPr>
        <w:t xml:space="preserve"> </w:t>
      </w:r>
      <w:r w:rsidRPr="00283806">
        <w:rPr>
          <w:w w:val="105"/>
        </w:rPr>
        <w:t>myriad</w:t>
      </w:r>
      <w:r w:rsidRPr="00283806">
        <w:rPr>
          <w:spacing w:val="40"/>
          <w:w w:val="105"/>
        </w:rPr>
        <w:t xml:space="preserve"> </w:t>
      </w:r>
      <w:r w:rsidRPr="00283806">
        <w:rPr>
          <w:w w:val="105"/>
        </w:rPr>
        <w:t>studies</w:t>
      </w:r>
      <w:r w:rsidRPr="00283806">
        <w:rPr>
          <w:spacing w:val="40"/>
          <w:w w:val="105"/>
        </w:rPr>
        <w:t xml:space="preserve"> </w:t>
      </w:r>
      <w:r w:rsidRPr="00283806">
        <w:rPr>
          <w:w w:val="105"/>
        </w:rPr>
        <w:t>EPA referenced</w:t>
      </w:r>
      <w:r w:rsidRPr="00283806">
        <w:rPr>
          <w:spacing w:val="40"/>
          <w:w w:val="105"/>
        </w:rPr>
        <w:t xml:space="preserve"> </w:t>
      </w:r>
      <w:r w:rsidRPr="00283806">
        <w:rPr>
          <w:w w:val="105"/>
        </w:rPr>
        <w:t>in</w:t>
      </w:r>
      <w:r w:rsidRPr="00283806">
        <w:rPr>
          <w:spacing w:val="40"/>
          <w:w w:val="105"/>
        </w:rPr>
        <w:t xml:space="preserve"> </w:t>
      </w:r>
      <w:r w:rsidRPr="00283806">
        <w:rPr>
          <w:w w:val="105"/>
        </w:rPr>
        <w:t>those</w:t>
      </w:r>
      <w:r w:rsidRPr="00283806">
        <w:rPr>
          <w:spacing w:val="40"/>
          <w:w w:val="105"/>
        </w:rPr>
        <w:t xml:space="preserve"> </w:t>
      </w:r>
      <w:r w:rsidRPr="00283806">
        <w:rPr>
          <w:w w:val="105"/>
        </w:rPr>
        <w:t>actions</w:t>
      </w:r>
      <w:r w:rsidRPr="00283806">
        <w:rPr>
          <w:spacing w:val="40"/>
          <w:w w:val="105"/>
        </w:rPr>
        <w:t xml:space="preserve"> </w:t>
      </w:r>
      <w:r w:rsidRPr="00283806">
        <w:rPr>
          <w:w w:val="105"/>
        </w:rPr>
        <w:t>all concluded that the additional TFA from HFO–1234yf did not pose a significant additional risk, even if it were assumed</w:t>
      </w:r>
      <w:r w:rsidRPr="00283806">
        <w:rPr>
          <w:spacing w:val="40"/>
          <w:w w:val="105"/>
        </w:rPr>
        <w:t xml:space="preserve"> </w:t>
      </w:r>
      <w:r w:rsidRPr="00283806">
        <w:rPr>
          <w:w w:val="105"/>
        </w:rPr>
        <w:t>to be used as the only refrigerant in all refrigeration and air conditioning equipment (76 FR 17492–17493, March</w:t>
      </w:r>
    </w:p>
    <w:p w14:paraId="438511FF" w14:textId="77777777" w:rsidR="00D67C1E" w:rsidRPr="00283806" w:rsidRDefault="001265CA">
      <w:pPr>
        <w:pStyle w:val="BodyText"/>
        <w:spacing w:line="171" w:lineRule="exact"/>
        <w:ind w:left="144"/>
      </w:pPr>
      <w:r w:rsidRPr="00283806">
        <w:rPr>
          <w:w w:val="105"/>
        </w:rPr>
        <w:t>29,</w:t>
      </w:r>
      <w:r w:rsidRPr="00283806">
        <w:rPr>
          <w:spacing w:val="12"/>
          <w:w w:val="105"/>
        </w:rPr>
        <w:t xml:space="preserve"> </w:t>
      </w:r>
      <w:r w:rsidRPr="00283806">
        <w:rPr>
          <w:w w:val="105"/>
        </w:rPr>
        <w:t>2011).</w:t>
      </w:r>
      <w:r w:rsidRPr="00283806">
        <w:rPr>
          <w:spacing w:val="13"/>
          <w:w w:val="105"/>
        </w:rPr>
        <w:t xml:space="preserve"> </w:t>
      </w:r>
      <w:r w:rsidRPr="00283806">
        <w:rPr>
          <w:w w:val="105"/>
        </w:rPr>
        <w:t>The</w:t>
      </w:r>
      <w:r w:rsidRPr="00283806">
        <w:rPr>
          <w:spacing w:val="12"/>
          <w:w w:val="105"/>
        </w:rPr>
        <w:t xml:space="preserve"> </w:t>
      </w:r>
      <w:r w:rsidRPr="00283806">
        <w:rPr>
          <w:w w:val="105"/>
        </w:rPr>
        <w:t>Agency</w:t>
      </w:r>
      <w:r w:rsidRPr="00283806">
        <w:rPr>
          <w:spacing w:val="13"/>
          <w:w w:val="105"/>
        </w:rPr>
        <w:t xml:space="preserve"> </w:t>
      </w:r>
      <w:r w:rsidRPr="00283806">
        <w:rPr>
          <w:w w:val="105"/>
        </w:rPr>
        <w:t>intends</w:t>
      </w:r>
      <w:r w:rsidRPr="00283806">
        <w:rPr>
          <w:spacing w:val="13"/>
          <w:w w:val="105"/>
        </w:rPr>
        <w:t xml:space="preserve"> </w:t>
      </w:r>
      <w:r w:rsidRPr="00283806">
        <w:rPr>
          <w:spacing w:val="-5"/>
          <w:w w:val="105"/>
        </w:rPr>
        <w:t>to</w:t>
      </w:r>
    </w:p>
    <w:p w14:paraId="631032FC" w14:textId="77777777" w:rsidR="00D67C1E" w:rsidRPr="00283806" w:rsidRDefault="001265CA">
      <w:pPr>
        <w:pStyle w:val="BodyText"/>
        <w:spacing w:before="3" w:line="228" w:lineRule="auto"/>
        <w:ind w:left="144" w:right="290"/>
      </w:pPr>
      <w:r w:rsidRPr="00283806">
        <w:rPr>
          <w:w w:val="105"/>
        </w:rPr>
        <w:t xml:space="preserve">continue its approach to evaluating the potential risks from TFA in the future. However, </w:t>
      </w:r>
      <w:proofErr w:type="gramStart"/>
      <w:r w:rsidRPr="00283806">
        <w:rPr>
          <w:w w:val="105"/>
        </w:rPr>
        <w:t>in light of</w:t>
      </w:r>
      <w:proofErr w:type="gramEnd"/>
      <w:r w:rsidRPr="00283806">
        <w:rPr>
          <w:w w:val="105"/>
        </w:rPr>
        <w:t xml:space="preserve"> this scientific and technical information regarding the potential impacts of TFA from releases of</w:t>
      </w:r>
      <w:r w:rsidRPr="00283806">
        <w:rPr>
          <w:spacing w:val="40"/>
          <w:w w:val="105"/>
        </w:rPr>
        <w:t xml:space="preserve"> </w:t>
      </w:r>
      <w:r w:rsidRPr="00283806">
        <w:rPr>
          <w:w w:val="105"/>
        </w:rPr>
        <w:t>HFCs,</w:t>
      </w:r>
      <w:r w:rsidRPr="00283806">
        <w:rPr>
          <w:spacing w:val="40"/>
          <w:w w:val="105"/>
        </w:rPr>
        <w:t xml:space="preserve"> </w:t>
      </w:r>
      <w:r w:rsidRPr="00283806">
        <w:rPr>
          <w:w w:val="105"/>
        </w:rPr>
        <w:t>HCFCs,</w:t>
      </w:r>
      <w:r w:rsidRPr="00283806">
        <w:rPr>
          <w:spacing w:val="40"/>
          <w:w w:val="105"/>
        </w:rPr>
        <w:t xml:space="preserve"> </w:t>
      </w:r>
      <w:r w:rsidRPr="00283806">
        <w:rPr>
          <w:w w:val="105"/>
        </w:rPr>
        <w:t>HFOs,</w:t>
      </w:r>
      <w:r w:rsidRPr="00283806">
        <w:rPr>
          <w:spacing w:val="40"/>
          <w:w w:val="105"/>
        </w:rPr>
        <w:t xml:space="preserve"> </w:t>
      </w:r>
      <w:r w:rsidRPr="00283806">
        <w:rPr>
          <w:w w:val="105"/>
        </w:rPr>
        <w:t>and</w:t>
      </w:r>
      <w:r w:rsidRPr="00283806">
        <w:rPr>
          <w:spacing w:val="40"/>
          <w:w w:val="105"/>
        </w:rPr>
        <w:t xml:space="preserve"> </w:t>
      </w:r>
      <w:r w:rsidRPr="00283806">
        <w:rPr>
          <w:w w:val="105"/>
        </w:rPr>
        <w:t>HCFOs, EPA does not agree that it is necessary to apply the leak repair requirements based on whether a refrigerant decomposes into TFA at levels greater than a 10 percent yield.</w:t>
      </w:r>
    </w:p>
    <w:p w14:paraId="7F80D518" w14:textId="77777777" w:rsidR="00D67C1E" w:rsidRPr="00283806" w:rsidRDefault="001265CA">
      <w:pPr>
        <w:pStyle w:val="BodyText"/>
        <w:spacing w:before="38" w:line="223" w:lineRule="auto"/>
        <w:ind w:left="144" w:right="302" w:firstLine="180"/>
        <w:jc w:val="both"/>
      </w:pPr>
      <w:r w:rsidRPr="00283806">
        <w:rPr>
          <w:rFonts w:ascii="Book Antiqua"/>
          <w:i/>
          <w:w w:val="105"/>
        </w:rPr>
        <w:t xml:space="preserve">Comment: </w:t>
      </w:r>
      <w:r w:rsidRPr="00283806">
        <w:rPr>
          <w:w w:val="105"/>
        </w:rPr>
        <w:t>Some commenters stated that the leak repair provisions should apply to substitutes regardless of GWP as this would result in decreasing</w:t>
      </w:r>
    </w:p>
    <w:p w14:paraId="0C7BFAF9" w14:textId="77777777" w:rsidR="00D67C1E" w:rsidRPr="00283806" w:rsidRDefault="00D67C1E">
      <w:pPr>
        <w:spacing w:line="223" w:lineRule="auto"/>
        <w:jc w:val="both"/>
        <w:sectPr w:rsidR="00D67C1E" w:rsidRPr="00283806">
          <w:pgSz w:w="12240" w:h="15840"/>
          <w:pgMar w:top="1040" w:right="780" w:bottom="280" w:left="740" w:header="627" w:footer="0" w:gutter="0"/>
          <w:cols w:num="3" w:space="720" w:equalWidth="0">
            <w:col w:w="3506" w:space="40"/>
            <w:col w:w="3511" w:space="39"/>
            <w:col w:w="3624"/>
          </w:cols>
        </w:sectPr>
      </w:pPr>
    </w:p>
    <w:p w14:paraId="0B57E2AD" w14:textId="77777777" w:rsidR="00D67C1E" w:rsidRPr="00283806" w:rsidRDefault="001265CA">
      <w:pPr>
        <w:pStyle w:val="BodyText"/>
        <w:spacing w:before="138" w:line="223" w:lineRule="auto"/>
        <w:ind w:right="54"/>
      </w:pPr>
      <w:r w:rsidRPr="00283806">
        <w:rPr>
          <w:w w:val="105"/>
        </w:rPr>
        <w:lastRenderedPageBreak/>
        <w:t>refrigerant emissions. One commenter suggested that the Agency omit the GWP threshold for ‘‘non-natural’’ (</w:t>
      </w:r>
      <w:r w:rsidRPr="00283806">
        <w:rPr>
          <w:rFonts w:ascii="Book Antiqua" w:hAnsi="Book Antiqua"/>
          <w:i/>
          <w:w w:val="105"/>
        </w:rPr>
        <w:t xml:space="preserve">i.e., </w:t>
      </w:r>
      <w:r w:rsidRPr="00283806">
        <w:rPr>
          <w:w w:val="105"/>
        </w:rPr>
        <w:t>fluorinated) substitute refrigerants. One commenter did not express an opinion</w:t>
      </w:r>
      <w:r w:rsidRPr="00283806">
        <w:rPr>
          <w:spacing w:val="40"/>
          <w:w w:val="105"/>
        </w:rPr>
        <w:t xml:space="preserve"> </w:t>
      </w:r>
      <w:r w:rsidRPr="00283806">
        <w:rPr>
          <w:w w:val="105"/>
        </w:rPr>
        <w:t>on the proposed GWP limit of 53 but appreciated that the Agency could</w:t>
      </w:r>
      <w:r w:rsidRPr="00283806">
        <w:rPr>
          <w:spacing w:val="80"/>
          <w:w w:val="105"/>
        </w:rPr>
        <w:t xml:space="preserve"> </w:t>
      </w:r>
      <w:r w:rsidRPr="00283806">
        <w:rPr>
          <w:w w:val="105"/>
        </w:rPr>
        <w:t>extend</w:t>
      </w:r>
      <w:r w:rsidRPr="00283806">
        <w:rPr>
          <w:spacing w:val="36"/>
          <w:w w:val="105"/>
        </w:rPr>
        <w:t xml:space="preserve"> </w:t>
      </w:r>
      <w:r w:rsidRPr="00283806">
        <w:rPr>
          <w:w w:val="105"/>
        </w:rPr>
        <w:t>beyond</w:t>
      </w:r>
      <w:r w:rsidRPr="00283806">
        <w:rPr>
          <w:spacing w:val="36"/>
          <w:w w:val="105"/>
        </w:rPr>
        <w:t xml:space="preserve"> </w:t>
      </w:r>
      <w:r w:rsidRPr="00283806">
        <w:rPr>
          <w:w w:val="105"/>
        </w:rPr>
        <w:t>a</w:t>
      </w:r>
      <w:r w:rsidRPr="00283806">
        <w:rPr>
          <w:spacing w:val="36"/>
          <w:w w:val="105"/>
        </w:rPr>
        <w:t xml:space="preserve"> </w:t>
      </w:r>
      <w:r w:rsidRPr="00283806">
        <w:rPr>
          <w:w w:val="105"/>
        </w:rPr>
        <w:t>GWP</w:t>
      </w:r>
      <w:r w:rsidRPr="00283806">
        <w:rPr>
          <w:spacing w:val="36"/>
          <w:w w:val="105"/>
        </w:rPr>
        <w:t xml:space="preserve"> </w:t>
      </w:r>
      <w:r w:rsidRPr="00283806">
        <w:rPr>
          <w:w w:val="105"/>
        </w:rPr>
        <w:t>of</w:t>
      </w:r>
      <w:r w:rsidRPr="00283806">
        <w:rPr>
          <w:spacing w:val="36"/>
          <w:w w:val="105"/>
        </w:rPr>
        <w:t xml:space="preserve"> </w:t>
      </w:r>
      <w:r w:rsidRPr="00283806">
        <w:rPr>
          <w:w w:val="105"/>
        </w:rPr>
        <w:t>53</w:t>
      </w:r>
      <w:r w:rsidRPr="00283806">
        <w:rPr>
          <w:spacing w:val="36"/>
          <w:w w:val="105"/>
        </w:rPr>
        <w:t xml:space="preserve"> </w:t>
      </w:r>
      <w:r w:rsidRPr="00283806">
        <w:rPr>
          <w:w w:val="105"/>
        </w:rPr>
        <w:t>in</w:t>
      </w:r>
      <w:r w:rsidRPr="00283806">
        <w:rPr>
          <w:spacing w:val="36"/>
          <w:w w:val="105"/>
        </w:rPr>
        <w:t xml:space="preserve"> </w:t>
      </w:r>
      <w:r w:rsidRPr="00283806">
        <w:rPr>
          <w:w w:val="105"/>
        </w:rPr>
        <w:t xml:space="preserve">the </w:t>
      </w:r>
      <w:r w:rsidRPr="00283806">
        <w:rPr>
          <w:spacing w:val="-2"/>
          <w:w w:val="105"/>
        </w:rPr>
        <w:t>future.</w:t>
      </w:r>
    </w:p>
    <w:p w14:paraId="459FAD83" w14:textId="77777777" w:rsidR="00D67C1E" w:rsidRPr="00283806" w:rsidRDefault="001265CA">
      <w:pPr>
        <w:pStyle w:val="BodyText"/>
        <w:spacing w:line="223" w:lineRule="auto"/>
        <w:ind w:right="106" w:firstLine="180"/>
      </w:pPr>
      <w:r w:rsidRPr="00283806">
        <w:rPr>
          <w:rFonts w:ascii="Book Antiqua"/>
          <w:i/>
          <w:w w:val="105"/>
        </w:rPr>
        <w:t xml:space="preserve">Response: </w:t>
      </w:r>
      <w:r w:rsidRPr="00283806">
        <w:rPr>
          <w:w w:val="105"/>
        </w:rPr>
        <w:t>EPA acknowledges that in the future the Agency could consider whether a GWP limit lower than 53 is appropriate. One of the purposes stated in the AIM Act for regulations under subsection (h) is minimizing releases of regulated substances from equipment, and the 53 GWP threshold in this final rule parallels the lowest listed GWP of regulated substances in the AIM Act.</w:t>
      </w:r>
    </w:p>
    <w:p w14:paraId="19D049F1" w14:textId="77777777" w:rsidR="00D67C1E" w:rsidRPr="00283806" w:rsidRDefault="001265CA">
      <w:pPr>
        <w:pStyle w:val="BodyText"/>
        <w:spacing w:line="225" w:lineRule="auto"/>
        <w:ind w:right="68"/>
      </w:pPr>
      <w:r w:rsidRPr="00283806">
        <w:rPr>
          <w:w w:val="105"/>
        </w:rPr>
        <w:t>Given the range of refrigerants currently in use that have a variety of properties and characteristics (including a wide range</w:t>
      </w:r>
      <w:r w:rsidRPr="00283806">
        <w:rPr>
          <w:spacing w:val="38"/>
          <w:w w:val="105"/>
        </w:rPr>
        <w:t xml:space="preserve"> </w:t>
      </w:r>
      <w:r w:rsidRPr="00283806">
        <w:rPr>
          <w:w w:val="105"/>
        </w:rPr>
        <w:t>of</w:t>
      </w:r>
      <w:r w:rsidRPr="00283806">
        <w:rPr>
          <w:spacing w:val="38"/>
          <w:w w:val="105"/>
        </w:rPr>
        <w:t xml:space="preserve"> </w:t>
      </w:r>
      <w:r w:rsidRPr="00283806">
        <w:rPr>
          <w:w w:val="105"/>
        </w:rPr>
        <w:t>GWPs),</w:t>
      </w:r>
      <w:r w:rsidRPr="00283806">
        <w:rPr>
          <w:spacing w:val="38"/>
          <w:w w:val="105"/>
        </w:rPr>
        <w:t xml:space="preserve"> </w:t>
      </w:r>
      <w:r w:rsidRPr="00283806">
        <w:rPr>
          <w:w w:val="105"/>
        </w:rPr>
        <w:t>EPA</w:t>
      </w:r>
      <w:r w:rsidRPr="00283806">
        <w:rPr>
          <w:spacing w:val="38"/>
          <w:w w:val="105"/>
        </w:rPr>
        <w:t xml:space="preserve"> </w:t>
      </w:r>
      <w:r w:rsidRPr="00283806">
        <w:rPr>
          <w:w w:val="105"/>
        </w:rPr>
        <w:t>concludes</w:t>
      </w:r>
      <w:r w:rsidRPr="00283806">
        <w:rPr>
          <w:spacing w:val="38"/>
          <w:w w:val="105"/>
        </w:rPr>
        <w:t xml:space="preserve"> </w:t>
      </w:r>
      <w:r w:rsidRPr="00283806">
        <w:rPr>
          <w:w w:val="105"/>
        </w:rPr>
        <w:t>that</w:t>
      </w:r>
      <w:r w:rsidRPr="00283806">
        <w:rPr>
          <w:spacing w:val="38"/>
          <w:w w:val="105"/>
        </w:rPr>
        <w:t xml:space="preserve"> </w:t>
      </w:r>
      <w:r w:rsidRPr="00283806">
        <w:rPr>
          <w:w w:val="105"/>
        </w:rPr>
        <w:t>it is appropriate to use a GWP of 53 as the threshold for substitutes for HFCs that would be subject to leak repair requirements in this rulemaking, as that will address the release of substitutes with potentially comparable climate impacts to that of substances that are or could be listed as regulated substances, regardless of whether that substance is</w:t>
      </w:r>
      <w:r w:rsidRPr="00283806">
        <w:rPr>
          <w:spacing w:val="80"/>
          <w:w w:val="105"/>
        </w:rPr>
        <w:t xml:space="preserve"> </w:t>
      </w:r>
      <w:r w:rsidRPr="00283806">
        <w:rPr>
          <w:w w:val="105"/>
        </w:rPr>
        <w:t>a fluorinated substitute. Further, non-</w:t>
      </w:r>
    </w:p>
    <w:p w14:paraId="66B163BD" w14:textId="77777777" w:rsidR="00D67C1E" w:rsidRPr="00283806" w:rsidRDefault="001265CA">
      <w:pPr>
        <w:pStyle w:val="BodyText"/>
        <w:spacing w:line="225" w:lineRule="auto"/>
        <w:ind w:right="26"/>
      </w:pPr>
      <w:r w:rsidRPr="00283806">
        <w:rPr>
          <w:w w:val="105"/>
        </w:rPr>
        <w:t xml:space="preserve">HFC refrigerant substitutes below the 53 GWP threshold do not have commensurate climate impacts on HFCs or their covered substitutes. Therefore, EPA finds it is appropriate to not establish leak repair requirements for non-HFC substitutes with a GWP below 53 </w:t>
      </w:r>
      <w:proofErr w:type="gramStart"/>
      <w:r w:rsidRPr="00283806">
        <w:rPr>
          <w:w w:val="105"/>
        </w:rPr>
        <w:t>at this time</w:t>
      </w:r>
      <w:proofErr w:type="gramEnd"/>
      <w:r w:rsidRPr="00283806">
        <w:rPr>
          <w:w w:val="105"/>
        </w:rPr>
        <w:t>. If EPA becomes aware</w:t>
      </w:r>
    </w:p>
    <w:p w14:paraId="3E4C248C" w14:textId="77777777" w:rsidR="00D67C1E" w:rsidRPr="00283806" w:rsidRDefault="001265CA">
      <w:pPr>
        <w:pStyle w:val="BodyText"/>
        <w:spacing w:line="225" w:lineRule="auto"/>
        <w:ind w:right="90"/>
      </w:pPr>
      <w:r w:rsidRPr="00283806">
        <w:rPr>
          <w:w w:val="105"/>
        </w:rPr>
        <w:t>of concerns related to this limitation as the refrigerant market shifts to lower- GWP substitutes for HFCs, EPA could consider revisiting the requirement via</w:t>
      </w:r>
      <w:r w:rsidRPr="00283806">
        <w:rPr>
          <w:spacing w:val="80"/>
          <w:w w:val="105"/>
        </w:rPr>
        <w:t xml:space="preserve"> </w:t>
      </w:r>
      <w:r w:rsidRPr="00283806">
        <w:rPr>
          <w:w w:val="105"/>
        </w:rPr>
        <w:t>a notice-and-comment rulemaking. By finalizing</w:t>
      </w:r>
      <w:r w:rsidRPr="00283806">
        <w:rPr>
          <w:spacing w:val="40"/>
          <w:w w:val="105"/>
        </w:rPr>
        <w:t xml:space="preserve"> </w:t>
      </w:r>
      <w:r w:rsidRPr="00283806">
        <w:rPr>
          <w:w w:val="105"/>
        </w:rPr>
        <w:t>a</w:t>
      </w:r>
      <w:r w:rsidRPr="00283806">
        <w:rPr>
          <w:spacing w:val="40"/>
          <w:w w:val="105"/>
        </w:rPr>
        <w:t xml:space="preserve"> </w:t>
      </w:r>
      <w:r w:rsidRPr="00283806">
        <w:rPr>
          <w:w w:val="105"/>
        </w:rPr>
        <w:t>GWP</w:t>
      </w:r>
      <w:r w:rsidRPr="00283806">
        <w:rPr>
          <w:spacing w:val="40"/>
          <w:w w:val="105"/>
        </w:rPr>
        <w:t xml:space="preserve"> </w:t>
      </w:r>
      <w:r w:rsidRPr="00283806">
        <w:rPr>
          <w:w w:val="105"/>
        </w:rPr>
        <w:t>threshold</w:t>
      </w:r>
      <w:r w:rsidRPr="00283806">
        <w:rPr>
          <w:spacing w:val="40"/>
          <w:w w:val="105"/>
        </w:rPr>
        <w:t xml:space="preserve"> </w:t>
      </w:r>
      <w:r w:rsidRPr="00283806">
        <w:rPr>
          <w:w w:val="105"/>
        </w:rPr>
        <w:t>of</w:t>
      </w:r>
      <w:r w:rsidRPr="00283806">
        <w:rPr>
          <w:spacing w:val="40"/>
          <w:w w:val="105"/>
        </w:rPr>
        <w:t xml:space="preserve"> </w:t>
      </w:r>
      <w:r w:rsidRPr="00283806">
        <w:rPr>
          <w:w w:val="105"/>
        </w:rPr>
        <w:t>53,</w:t>
      </w:r>
      <w:r w:rsidRPr="00283806">
        <w:rPr>
          <w:spacing w:val="40"/>
          <w:w w:val="105"/>
        </w:rPr>
        <w:t xml:space="preserve"> </w:t>
      </w:r>
      <w:r w:rsidRPr="00283806">
        <w:rPr>
          <w:w w:val="105"/>
        </w:rPr>
        <w:t>as well as the provision to include refrigerant blends with any HFCs as components regardless of their GWPs, EPA is not precluding further consideration of a lower-GWP threshold in the future.</w:t>
      </w:r>
    </w:p>
    <w:p w14:paraId="0A22F55D" w14:textId="77777777" w:rsidR="00D67C1E" w:rsidRPr="00283806" w:rsidRDefault="001265CA">
      <w:pPr>
        <w:pStyle w:val="BodyText"/>
        <w:spacing w:line="176" w:lineRule="exact"/>
        <w:ind w:left="340"/>
      </w:pPr>
      <w:r w:rsidRPr="00283806">
        <w:rPr>
          <w:w w:val="110"/>
        </w:rPr>
        <w:t>The</w:t>
      </w:r>
      <w:r w:rsidRPr="00283806">
        <w:rPr>
          <w:spacing w:val="1"/>
          <w:w w:val="110"/>
        </w:rPr>
        <w:t xml:space="preserve"> </w:t>
      </w:r>
      <w:r w:rsidRPr="00283806">
        <w:rPr>
          <w:w w:val="110"/>
        </w:rPr>
        <w:t>Agency</w:t>
      </w:r>
      <w:r w:rsidRPr="00283806">
        <w:rPr>
          <w:spacing w:val="1"/>
          <w:w w:val="110"/>
        </w:rPr>
        <w:t xml:space="preserve"> </w:t>
      </w:r>
      <w:r w:rsidRPr="00283806">
        <w:rPr>
          <w:w w:val="110"/>
        </w:rPr>
        <w:t>is</w:t>
      </w:r>
      <w:r w:rsidRPr="00283806">
        <w:rPr>
          <w:spacing w:val="1"/>
          <w:w w:val="110"/>
        </w:rPr>
        <w:t xml:space="preserve"> </w:t>
      </w:r>
      <w:r w:rsidRPr="00283806">
        <w:rPr>
          <w:w w:val="110"/>
        </w:rPr>
        <w:t>finalizing</w:t>
      </w:r>
      <w:r w:rsidRPr="00283806">
        <w:rPr>
          <w:spacing w:val="1"/>
          <w:w w:val="110"/>
        </w:rPr>
        <w:t xml:space="preserve"> </w:t>
      </w:r>
      <w:r w:rsidRPr="00283806">
        <w:rPr>
          <w:w w:val="110"/>
        </w:rPr>
        <w:t>leak</w:t>
      </w:r>
      <w:r w:rsidRPr="00283806">
        <w:rPr>
          <w:spacing w:val="1"/>
          <w:w w:val="110"/>
        </w:rPr>
        <w:t xml:space="preserve"> </w:t>
      </w:r>
      <w:proofErr w:type="gramStart"/>
      <w:r w:rsidRPr="00283806">
        <w:rPr>
          <w:spacing w:val="-2"/>
          <w:w w:val="110"/>
        </w:rPr>
        <w:t>repair</w:t>
      </w:r>
      <w:proofErr w:type="gramEnd"/>
    </w:p>
    <w:p w14:paraId="7A2BB6D7" w14:textId="77777777" w:rsidR="00D67C1E" w:rsidRPr="00283806" w:rsidRDefault="001265CA">
      <w:pPr>
        <w:pStyle w:val="BodyText"/>
        <w:spacing w:line="225" w:lineRule="auto"/>
      </w:pPr>
      <w:r w:rsidRPr="00283806">
        <w:rPr>
          <w:w w:val="110"/>
        </w:rPr>
        <w:t xml:space="preserve">requirements for appliances that use a refrigerant blend that contains an ODS and an HFC or a substitute for an HFC with a GWP greater than 53 to simultaneously meet the leak repair provisions promulgated under CAA section 608 at 40 CFR 82.157, and the provisions in this action, to the extent that </w:t>
      </w:r>
      <w:proofErr w:type="gramStart"/>
      <w:r w:rsidRPr="00283806">
        <w:rPr>
          <w:w w:val="110"/>
        </w:rPr>
        <w:t>either set</w:t>
      </w:r>
      <w:proofErr w:type="gramEnd"/>
      <w:r w:rsidRPr="00283806">
        <w:rPr>
          <w:w w:val="110"/>
        </w:rPr>
        <w:t xml:space="preserve"> of requirements is applicable. EPA intends for the leak repair requirements in this rulemaking to be sufficiently consistent with the </w:t>
      </w:r>
      <w:r w:rsidRPr="00283806">
        <w:t>requirements at 40 CFR 82.157 such that</w:t>
      </w:r>
      <w:r w:rsidRPr="00283806">
        <w:rPr>
          <w:w w:val="110"/>
        </w:rPr>
        <w:t xml:space="preserve"> both sets of requirements could be met for refrigerant-containing appliances</w:t>
      </w:r>
    </w:p>
    <w:p w14:paraId="7A124FF0" w14:textId="77777777" w:rsidR="00D67C1E" w:rsidRPr="00283806" w:rsidRDefault="001265CA">
      <w:pPr>
        <w:pStyle w:val="BodyText"/>
        <w:spacing w:before="136" w:line="225" w:lineRule="auto"/>
        <w:ind w:left="145" w:right="38"/>
      </w:pPr>
      <w:r w:rsidRPr="00283806">
        <w:br w:type="column"/>
      </w:r>
      <w:r w:rsidRPr="00283806">
        <w:rPr>
          <w:w w:val="105"/>
        </w:rPr>
        <w:t>that use a refrigerant blend containing</w:t>
      </w:r>
      <w:r w:rsidRPr="00283806">
        <w:rPr>
          <w:spacing w:val="40"/>
          <w:w w:val="105"/>
        </w:rPr>
        <w:t xml:space="preserve"> </w:t>
      </w:r>
      <w:r w:rsidRPr="00283806">
        <w:rPr>
          <w:w w:val="105"/>
        </w:rPr>
        <w:t>an</w:t>
      </w:r>
      <w:r w:rsidRPr="00283806">
        <w:rPr>
          <w:spacing w:val="31"/>
          <w:w w:val="105"/>
        </w:rPr>
        <w:t xml:space="preserve"> </w:t>
      </w:r>
      <w:r w:rsidRPr="00283806">
        <w:rPr>
          <w:w w:val="105"/>
        </w:rPr>
        <w:t>ODS</w:t>
      </w:r>
      <w:r w:rsidRPr="00283806">
        <w:rPr>
          <w:spacing w:val="31"/>
          <w:w w:val="105"/>
        </w:rPr>
        <w:t xml:space="preserve"> </w:t>
      </w:r>
      <w:r w:rsidRPr="00283806">
        <w:rPr>
          <w:w w:val="105"/>
        </w:rPr>
        <w:t>and</w:t>
      </w:r>
      <w:r w:rsidRPr="00283806">
        <w:rPr>
          <w:spacing w:val="31"/>
          <w:w w:val="105"/>
        </w:rPr>
        <w:t xml:space="preserve"> </w:t>
      </w:r>
      <w:r w:rsidRPr="00283806">
        <w:rPr>
          <w:w w:val="105"/>
        </w:rPr>
        <w:t>an</w:t>
      </w:r>
      <w:r w:rsidRPr="00283806">
        <w:rPr>
          <w:spacing w:val="31"/>
          <w:w w:val="105"/>
        </w:rPr>
        <w:t xml:space="preserve"> </w:t>
      </w:r>
      <w:r w:rsidRPr="00283806">
        <w:rPr>
          <w:w w:val="105"/>
        </w:rPr>
        <w:t>HFC</w:t>
      </w:r>
      <w:r w:rsidRPr="00283806">
        <w:rPr>
          <w:spacing w:val="31"/>
          <w:w w:val="105"/>
        </w:rPr>
        <w:t xml:space="preserve"> </w:t>
      </w:r>
      <w:r w:rsidRPr="00283806">
        <w:rPr>
          <w:w w:val="105"/>
        </w:rPr>
        <w:t>or</w:t>
      </w:r>
      <w:r w:rsidRPr="00283806">
        <w:rPr>
          <w:spacing w:val="31"/>
          <w:w w:val="105"/>
        </w:rPr>
        <w:t xml:space="preserve"> </w:t>
      </w:r>
      <w:r w:rsidRPr="00283806">
        <w:rPr>
          <w:w w:val="105"/>
        </w:rPr>
        <w:t>a</w:t>
      </w:r>
      <w:r w:rsidRPr="00283806">
        <w:rPr>
          <w:spacing w:val="31"/>
          <w:w w:val="105"/>
        </w:rPr>
        <w:t xml:space="preserve"> </w:t>
      </w:r>
      <w:r w:rsidRPr="00283806">
        <w:rPr>
          <w:w w:val="105"/>
        </w:rPr>
        <w:t>substitute</w:t>
      </w:r>
      <w:r w:rsidRPr="00283806">
        <w:rPr>
          <w:spacing w:val="31"/>
          <w:w w:val="105"/>
        </w:rPr>
        <w:t xml:space="preserve"> </w:t>
      </w:r>
      <w:r w:rsidRPr="00283806">
        <w:rPr>
          <w:w w:val="105"/>
        </w:rPr>
        <w:t>for an HFC with a GWP above 53 and that have a full charge of 50 or more pounds of refrigerant. Due to the difference in charge sizes for equipment covered by</w:t>
      </w:r>
      <w:r w:rsidRPr="00283806">
        <w:rPr>
          <w:spacing w:val="40"/>
          <w:w w:val="105"/>
        </w:rPr>
        <w:t xml:space="preserve"> </w:t>
      </w:r>
      <w:r w:rsidRPr="00283806">
        <w:rPr>
          <w:w w:val="105"/>
        </w:rPr>
        <w:t>40 CFR 82.157 and the leak repair requirements finalized in this action, such appliances using such a refrigerant blend</w:t>
      </w:r>
      <w:r w:rsidRPr="00283806">
        <w:rPr>
          <w:spacing w:val="35"/>
          <w:w w:val="105"/>
        </w:rPr>
        <w:t xml:space="preserve"> </w:t>
      </w:r>
      <w:r w:rsidRPr="00283806">
        <w:rPr>
          <w:w w:val="105"/>
        </w:rPr>
        <w:t>with</w:t>
      </w:r>
      <w:r w:rsidRPr="00283806">
        <w:rPr>
          <w:spacing w:val="35"/>
          <w:w w:val="105"/>
        </w:rPr>
        <w:t xml:space="preserve"> </w:t>
      </w:r>
      <w:r w:rsidRPr="00283806">
        <w:rPr>
          <w:w w:val="105"/>
        </w:rPr>
        <w:t>a</w:t>
      </w:r>
      <w:r w:rsidRPr="00283806">
        <w:rPr>
          <w:spacing w:val="35"/>
          <w:w w:val="105"/>
        </w:rPr>
        <w:t xml:space="preserve"> </w:t>
      </w:r>
      <w:r w:rsidRPr="00283806">
        <w:rPr>
          <w:w w:val="105"/>
        </w:rPr>
        <w:t>charge</w:t>
      </w:r>
      <w:r w:rsidRPr="00283806">
        <w:rPr>
          <w:spacing w:val="35"/>
          <w:w w:val="105"/>
        </w:rPr>
        <w:t xml:space="preserve"> </w:t>
      </w:r>
      <w:r w:rsidRPr="00283806">
        <w:rPr>
          <w:w w:val="105"/>
        </w:rPr>
        <w:t>size</w:t>
      </w:r>
      <w:r w:rsidRPr="00283806">
        <w:rPr>
          <w:spacing w:val="35"/>
          <w:w w:val="105"/>
        </w:rPr>
        <w:t xml:space="preserve"> </w:t>
      </w:r>
      <w:r w:rsidRPr="00283806">
        <w:rPr>
          <w:w w:val="105"/>
        </w:rPr>
        <w:t>of</w:t>
      </w:r>
      <w:r w:rsidRPr="00283806">
        <w:rPr>
          <w:spacing w:val="35"/>
          <w:w w:val="105"/>
        </w:rPr>
        <w:t xml:space="preserve"> </w:t>
      </w:r>
      <w:r w:rsidRPr="00283806">
        <w:rPr>
          <w:w w:val="105"/>
        </w:rPr>
        <w:t>15</w:t>
      </w:r>
      <w:r w:rsidRPr="00283806">
        <w:rPr>
          <w:spacing w:val="35"/>
          <w:w w:val="105"/>
        </w:rPr>
        <w:t xml:space="preserve"> </w:t>
      </w:r>
      <w:r w:rsidRPr="00283806">
        <w:rPr>
          <w:w w:val="105"/>
        </w:rPr>
        <w:t>pounds or higher but below 50 pounds are only subject to the requirements under subsection (h).</w:t>
      </w:r>
    </w:p>
    <w:p w14:paraId="2B919184" w14:textId="77777777" w:rsidR="00D67C1E" w:rsidRPr="00283806" w:rsidRDefault="001265CA">
      <w:pPr>
        <w:pStyle w:val="BodyText"/>
        <w:spacing w:line="213" w:lineRule="auto"/>
        <w:ind w:left="145" w:right="62" w:firstLine="180"/>
      </w:pPr>
      <w:r w:rsidRPr="00283806">
        <w:rPr>
          <w:rFonts w:ascii="Book Antiqua"/>
          <w:i/>
          <w:w w:val="105"/>
        </w:rPr>
        <w:t xml:space="preserve">Comment: </w:t>
      </w:r>
      <w:r w:rsidRPr="00283806">
        <w:rPr>
          <w:w w:val="105"/>
        </w:rPr>
        <w:t>One commenter stated that the proposed requirements for owners</w:t>
      </w:r>
    </w:p>
    <w:p w14:paraId="0A883B04" w14:textId="77777777" w:rsidR="00D67C1E" w:rsidRPr="00283806" w:rsidRDefault="001265CA">
      <w:pPr>
        <w:pStyle w:val="BodyText"/>
        <w:spacing w:line="225" w:lineRule="auto"/>
        <w:ind w:left="145" w:right="87"/>
      </w:pPr>
      <w:r w:rsidRPr="00283806">
        <w:rPr>
          <w:w w:val="105"/>
        </w:rPr>
        <w:t xml:space="preserve">and operators with </w:t>
      </w:r>
      <w:proofErr w:type="gramStart"/>
      <w:r w:rsidRPr="00283806">
        <w:rPr>
          <w:w w:val="105"/>
        </w:rPr>
        <w:t>an appliance</w:t>
      </w:r>
      <w:proofErr w:type="gramEnd"/>
      <w:r w:rsidRPr="00283806">
        <w:rPr>
          <w:w w:val="105"/>
        </w:rPr>
        <w:t xml:space="preserve"> using both ODS and HFCs were unnecessarily burdensome. The commenter expressed the view that any differences with the</w:t>
      </w:r>
      <w:r w:rsidRPr="00283806">
        <w:rPr>
          <w:spacing w:val="80"/>
          <w:w w:val="105"/>
        </w:rPr>
        <w:t xml:space="preserve"> </w:t>
      </w:r>
      <w:r w:rsidRPr="00283806">
        <w:rPr>
          <w:w w:val="105"/>
        </w:rPr>
        <w:t>40 CFR 82.157 ODS requirements (</w:t>
      </w:r>
      <w:r w:rsidRPr="00283806">
        <w:rPr>
          <w:rFonts w:ascii="Book Antiqua" w:hAnsi="Book Antiqua"/>
          <w:i/>
          <w:w w:val="105"/>
        </w:rPr>
        <w:t xml:space="preserve">e.g., </w:t>
      </w:r>
      <w:r w:rsidRPr="00283806">
        <w:rPr>
          <w:w w:val="105"/>
        </w:rPr>
        <w:t>leak rate calculations, lowering the proposed threshold for chronically leaking appliances) would significantly increase the complexity and burden of requirements. Another commenter requested clarification on the types of appliances containing ODS that would</w:t>
      </w:r>
      <w:r w:rsidRPr="00283806">
        <w:rPr>
          <w:spacing w:val="80"/>
          <w:w w:val="105"/>
        </w:rPr>
        <w:t xml:space="preserve"> </w:t>
      </w:r>
      <w:r w:rsidRPr="00283806">
        <w:rPr>
          <w:w w:val="105"/>
        </w:rPr>
        <w:t xml:space="preserve">be subject to the leak repair provisions. The commenter posited two scenarios. One would imply that all appliances containing only ODS refrigerant are exempt from the provisions of the rule, and the other would imply that appliances regulated by 40 CFR part 82, subpart F are excluded from this rule’s leak repair requirements. One commenter stated that having the requirements be consistent with those for ODS would make it easier for the many end users who are already required to comply with ODS substance </w:t>
      </w:r>
      <w:r w:rsidRPr="00283806">
        <w:rPr>
          <w:spacing w:val="-2"/>
          <w:w w:val="105"/>
        </w:rPr>
        <w:t>requirements.</w:t>
      </w:r>
    </w:p>
    <w:p w14:paraId="274CB590" w14:textId="77777777" w:rsidR="00D67C1E" w:rsidRPr="00283806" w:rsidRDefault="001265CA">
      <w:pPr>
        <w:spacing w:line="166" w:lineRule="exact"/>
        <w:ind w:left="325"/>
        <w:rPr>
          <w:sz w:val="18"/>
        </w:rPr>
      </w:pPr>
      <w:r w:rsidRPr="00283806">
        <w:rPr>
          <w:rFonts w:ascii="Book Antiqua"/>
          <w:i/>
          <w:w w:val="110"/>
          <w:sz w:val="18"/>
        </w:rPr>
        <w:t>Response:</w:t>
      </w:r>
      <w:r w:rsidRPr="00283806">
        <w:rPr>
          <w:rFonts w:ascii="Book Antiqua"/>
          <w:i/>
          <w:spacing w:val="2"/>
          <w:w w:val="110"/>
          <w:sz w:val="18"/>
        </w:rPr>
        <w:t xml:space="preserve"> </w:t>
      </w:r>
      <w:r w:rsidRPr="00283806">
        <w:rPr>
          <w:w w:val="110"/>
          <w:sz w:val="18"/>
        </w:rPr>
        <w:t>EPA</w:t>
      </w:r>
      <w:r w:rsidRPr="00283806">
        <w:rPr>
          <w:spacing w:val="8"/>
          <w:w w:val="110"/>
          <w:sz w:val="18"/>
        </w:rPr>
        <w:t xml:space="preserve"> </w:t>
      </w:r>
      <w:r w:rsidRPr="00283806">
        <w:rPr>
          <w:w w:val="110"/>
          <w:sz w:val="18"/>
        </w:rPr>
        <w:t>acknowledges</w:t>
      </w:r>
      <w:r w:rsidRPr="00283806">
        <w:rPr>
          <w:spacing w:val="8"/>
          <w:w w:val="110"/>
          <w:sz w:val="18"/>
        </w:rPr>
        <w:t xml:space="preserve"> </w:t>
      </w:r>
      <w:r w:rsidRPr="00283806">
        <w:rPr>
          <w:spacing w:val="-4"/>
          <w:w w:val="110"/>
          <w:sz w:val="18"/>
        </w:rPr>
        <w:t>that</w:t>
      </w:r>
    </w:p>
    <w:p w14:paraId="44DE1620" w14:textId="77777777" w:rsidR="00D67C1E" w:rsidRPr="00283806" w:rsidRDefault="001265CA">
      <w:pPr>
        <w:pStyle w:val="BodyText"/>
        <w:spacing w:line="225" w:lineRule="auto"/>
        <w:ind w:left="145"/>
      </w:pPr>
      <w:proofErr w:type="gramStart"/>
      <w:r w:rsidRPr="00283806">
        <w:rPr>
          <w:w w:val="105"/>
        </w:rPr>
        <w:t>where</w:t>
      </w:r>
      <w:proofErr w:type="gramEnd"/>
      <w:r w:rsidRPr="00283806">
        <w:rPr>
          <w:w w:val="105"/>
        </w:rPr>
        <w:t xml:space="preserve"> appropriate, consistent leak</w:t>
      </w:r>
      <w:r w:rsidRPr="00283806">
        <w:rPr>
          <w:spacing w:val="80"/>
          <w:w w:val="105"/>
        </w:rPr>
        <w:t xml:space="preserve"> </w:t>
      </w:r>
      <w:r w:rsidRPr="00283806">
        <w:rPr>
          <w:w w:val="105"/>
        </w:rPr>
        <w:t xml:space="preserve">repair requirements could </w:t>
      </w:r>
      <w:proofErr w:type="gramStart"/>
      <w:r w:rsidRPr="00283806">
        <w:rPr>
          <w:w w:val="105"/>
        </w:rPr>
        <w:t>smooth</w:t>
      </w:r>
      <w:proofErr w:type="gramEnd"/>
      <w:r w:rsidRPr="00283806">
        <w:rPr>
          <w:w w:val="105"/>
        </w:rPr>
        <w:t xml:space="preserve"> implementation of both programs. As described in this section, the conclusion that refrigerant-containing appliances using a refrigerant blend containing an ODS and an HFC or a substitute for an HFC with a GWP greater than 53 is subject to leak repair requirements</w:t>
      </w:r>
      <w:r w:rsidRPr="00283806">
        <w:rPr>
          <w:spacing w:val="40"/>
          <w:w w:val="105"/>
        </w:rPr>
        <w:t xml:space="preserve"> </w:t>
      </w:r>
      <w:r w:rsidRPr="00283806">
        <w:rPr>
          <w:w w:val="105"/>
        </w:rPr>
        <w:t>under both CAA section 608 and subsection (h) of the AIM Act is the</w:t>
      </w:r>
      <w:r w:rsidRPr="00283806">
        <w:rPr>
          <w:spacing w:val="80"/>
          <w:w w:val="105"/>
        </w:rPr>
        <w:t xml:space="preserve"> </w:t>
      </w:r>
      <w:r w:rsidRPr="00283806">
        <w:rPr>
          <w:w w:val="105"/>
        </w:rPr>
        <w:t>result</w:t>
      </w:r>
      <w:r w:rsidRPr="00283806">
        <w:rPr>
          <w:spacing w:val="40"/>
          <w:w w:val="105"/>
        </w:rPr>
        <w:t xml:space="preserve"> </w:t>
      </w:r>
      <w:r w:rsidRPr="00283806">
        <w:rPr>
          <w:w w:val="105"/>
        </w:rPr>
        <w:t>of</w:t>
      </w:r>
      <w:r w:rsidRPr="00283806">
        <w:rPr>
          <w:spacing w:val="40"/>
          <w:w w:val="105"/>
        </w:rPr>
        <w:t xml:space="preserve"> </w:t>
      </w:r>
      <w:r w:rsidRPr="00283806">
        <w:rPr>
          <w:w w:val="105"/>
        </w:rPr>
        <w:t>how</w:t>
      </w:r>
      <w:r w:rsidRPr="00283806">
        <w:rPr>
          <w:spacing w:val="40"/>
          <w:w w:val="105"/>
        </w:rPr>
        <w:t xml:space="preserve"> </w:t>
      </w:r>
      <w:r w:rsidRPr="00283806">
        <w:rPr>
          <w:w w:val="105"/>
        </w:rPr>
        <w:t>applicability</w:t>
      </w:r>
      <w:r w:rsidRPr="00283806">
        <w:rPr>
          <w:spacing w:val="40"/>
          <w:w w:val="105"/>
        </w:rPr>
        <w:t xml:space="preserve"> </w:t>
      </w:r>
      <w:r w:rsidRPr="00283806">
        <w:rPr>
          <w:w w:val="105"/>
        </w:rPr>
        <w:t>is determined for these provisions. EPA intends for the leak repair requirements in this rulemaking to be sufficiently consistent with the requirements under CAA section 608 such that both set sets</w:t>
      </w:r>
      <w:r w:rsidRPr="00283806">
        <w:rPr>
          <w:spacing w:val="80"/>
          <w:w w:val="105"/>
        </w:rPr>
        <w:t xml:space="preserve"> </w:t>
      </w:r>
      <w:r w:rsidRPr="00283806">
        <w:rPr>
          <w:w w:val="105"/>
        </w:rPr>
        <w:t>of requirements could be met for refrigerant-containing appliances using an ODS/HFC blend. The Agency did not reopen the requirements promulgated under CAA section 608, codified at 40</w:t>
      </w:r>
      <w:r w:rsidRPr="00283806">
        <w:rPr>
          <w:spacing w:val="40"/>
          <w:w w:val="105"/>
        </w:rPr>
        <w:t xml:space="preserve"> </w:t>
      </w:r>
      <w:r w:rsidRPr="00283806">
        <w:rPr>
          <w:w w:val="105"/>
        </w:rPr>
        <w:t>CFR part 82, subpart F, in its proposed rule under subsection (h) of the AIM Act and</w:t>
      </w:r>
      <w:r w:rsidRPr="00283806">
        <w:rPr>
          <w:spacing w:val="40"/>
          <w:w w:val="105"/>
        </w:rPr>
        <w:t xml:space="preserve"> </w:t>
      </w:r>
      <w:r w:rsidRPr="00283806">
        <w:rPr>
          <w:w w:val="105"/>
        </w:rPr>
        <w:t>is</w:t>
      </w:r>
      <w:r w:rsidRPr="00283806">
        <w:rPr>
          <w:spacing w:val="40"/>
          <w:w w:val="105"/>
        </w:rPr>
        <w:t xml:space="preserve"> </w:t>
      </w:r>
      <w:r w:rsidRPr="00283806">
        <w:rPr>
          <w:w w:val="105"/>
        </w:rPr>
        <w:t>not</w:t>
      </w:r>
      <w:r w:rsidRPr="00283806">
        <w:rPr>
          <w:spacing w:val="40"/>
          <w:w w:val="105"/>
        </w:rPr>
        <w:t xml:space="preserve"> </w:t>
      </w:r>
      <w:r w:rsidRPr="00283806">
        <w:rPr>
          <w:w w:val="105"/>
        </w:rPr>
        <w:t>amending</w:t>
      </w:r>
      <w:r w:rsidRPr="00283806">
        <w:rPr>
          <w:spacing w:val="40"/>
          <w:w w:val="105"/>
        </w:rPr>
        <w:t xml:space="preserve"> </w:t>
      </w:r>
      <w:r w:rsidRPr="00283806">
        <w:rPr>
          <w:w w:val="105"/>
        </w:rPr>
        <w:t>those</w:t>
      </w:r>
      <w:r w:rsidRPr="00283806">
        <w:rPr>
          <w:spacing w:val="40"/>
          <w:w w:val="105"/>
        </w:rPr>
        <w:t xml:space="preserve"> </w:t>
      </w:r>
      <w:r w:rsidRPr="00283806">
        <w:rPr>
          <w:w w:val="105"/>
        </w:rPr>
        <w:t>regulations in this final rule, including the</w:t>
      </w:r>
    </w:p>
    <w:p w14:paraId="1703A80A" w14:textId="77777777" w:rsidR="00D67C1E" w:rsidRPr="00283806" w:rsidRDefault="001265CA">
      <w:pPr>
        <w:pStyle w:val="BodyText"/>
        <w:spacing w:before="136" w:line="225" w:lineRule="auto"/>
        <w:ind w:left="145" w:right="209"/>
      </w:pPr>
      <w:r w:rsidRPr="00283806">
        <w:br w:type="column"/>
      </w:r>
      <w:r w:rsidRPr="00283806">
        <w:rPr>
          <w:w w:val="110"/>
        </w:rPr>
        <w:t>applicability provisions through this action.</w:t>
      </w:r>
      <w:r w:rsidRPr="00283806">
        <w:rPr>
          <w:spacing w:val="-11"/>
          <w:w w:val="110"/>
        </w:rPr>
        <w:t xml:space="preserve"> </w:t>
      </w:r>
      <w:r w:rsidRPr="00283806">
        <w:rPr>
          <w:w w:val="110"/>
        </w:rPr>
        <w:t>Thus,</w:t>
      </w:r>
      <w:r w:rsidRPr="00283806">
        <w:rPr>
          <w:spacing w:val="-11"/>
          <w:w w:val="110"/>
        </w:rPr>
        <w:t xml:space="preserve"> </w:t>
      </w:r>
      <w:r w:rsidRPr="00283806">
        <w:rPr>
          <w:w w:val="110"/>
        </w:rPr>
        <w:t>those</w:t>
      </w:r>
      <w:r w:rsidRPr="00283806">
        <w:rPr>
          <w:spacing w:val="-11"/>
          <w:w w:val="110"/>
        </w:rPr>
        <w:t xml:space="preserve"> </w:t>
      </w:r>
      <w:r w:rsidRPr="00283806">
        <w:rPr>
          <w:w w:val="110"/>
        </w:rPr>
        <w:t>provisions</w:t>
      </w:r>
      <w:r w:rsidRPr="00283806">
        <w:rPr>
          <w:spacing w:val="-11"/>
          <w:w w:val="110"/>
        </w:rPr>
        <w:t xml:space="preserve"> </w:t>
      </w:r>
      <w:r w:rsidRPr="00283806">
        <w:rPr>
          <w:w w:val="110"/>
        </w:rPr>
        <w:t>continue to apply for appliances using a refrigerant</w:t>
      </w:r>
      <w:r w:rsidRPr="00283806">
        <w:rPr>
          <w:spacing w:val="-11"/>
          <w:w w:val="110"/>
        </w:rPr>
        <w:t xml:space="preserve"> </w:t>
      </w:r>
      <w:r w:rsidRPr="00283806">
        <w:rPr>
          <w:w w:val="110"/>
        </w:rPr>
        <w:t>that</w:t>
      </w:r>
      <w:r w:rsidRPr="00283806">
        <w:rPr>
          <w:spacing w:val="-11"/>
          <w:w w:val="110"/>
        </w:rPr>
        <w:t xml:space="preserve"> </w:t>
      </w:r>
      <w:r w:rsidRPr="00283806">
        <w:rPr>
          <w:w w:val="110"/>
        </w:rPr>
        <w:t>contains</w:t>
      </w:r>
      <w:r w:rsidRPr="00283806">
        <w:rPr>
          <w:spacing w:val="-11"/>
          <w:w w:val="110"/>
        </w:rPr>
        <w:t xml:space="preserve"> </w:t>
      </w:r>
      <w:r w:rsidRPr="00283806">
        <w:rPr>
          <w:w w:val="110"/>
        </w:rPr>
        <w:t>an</w:t>
      </w:r>
      <w:r w:rsidRPr="00283806">
        <w:rPr>
          <w:spacing w:val="-10"/>
          <w:w w:val="110"/>
        </w:rPr>
        <w:t xml:space="preserve"> </w:t>
      </w:r>
      <w:r w:rsidRPr="00283806">
        <w:rPr>
          <w:w w:val="110"/>
        </w:rPr>
        <w:t>ODS</w:t>
      </w:r>
      <w:r w:rsidRPr="00283806">
        <w:rPr>
          <w:spacing w:val="-11"/>
          <w:w w:val="110"/>
        </w:rPr>
        <w:t xml:space="preserve"> </w:t>
      </w:r>
      <w:r w:rsidRPr="00283806">
        <w:rPr>
          <w:w w:val="110"/>
        </w:rPr>
        <w:t>with</w:t>
      </w:r>
      <w:r w:rsidRPr="00283806">
        <w:rPr>
          <w:spacing w:val="-11"/>
          <w:w w:val="110"/>
        </w:rPr>
        <w:t xml:space="preserve"> </w:t>
      </w:r>
      <w:r w:rsidRPr="00283806">
        <w:rPr>
          <w:w w:val="110"/>
        </w:rPr>
        <w:t xml:space="preserve">a full charge of 50 or more pounds of </w:t>
      </w:r>
      <w:r w:rsidRPr="00283806">
        <w:rPr>
          <w:spacing w:val="-2"/>
          <w:w w:val="110"/>
        </w:rPr>
        <w:t>refrigerant.</w:t>
      </w:r>
    </w:p>
    <w:p w14:paraId="02523604" w14:textId="77777777" w:rsidR="00D67C1E" w:rsidRPr="00283806" w:rsidRDefault="001265CA">
      <w:pPr>
        <w:pStyle w:val="BodyText"/>
        <w:spacing w:line="178" w:lineRule="exact"/>
        <w:ind w:left="325"/>
      </w:pPr>
      <w:r w:rsidRPr="00283806">
        <w:rPr>
          <w:w w:val="105"/>
        </w:rPr>
        <w:t xml:space="preserve">In consideration of (h)(3), </w:t>
      </w:r>
      <w:r w:rsidRPr="00283806">
        <w:rPr>
          <w:spacing w:val="-2"/>
          <w:w w:val="105"/>
        </w:rPr>
        <w:t>which</w:t>
      </w:r>
    </w:p>
    <w:p w14:paraId="26EEFBA4" w14:textId="77777777" w:rsidR="00D67C1E" w:rsidRPr="00283806" w:rsidRDefault="001265CA">
      <w:pPr>
        <w:pStyle w:val="BodyText"/>
        <w:spacing w:before="3" w:line="225" w:lineRule="auto"/>
        <w:ind w:left="145" w:right="182"/>
      </w:pPr>
      <w:r w:rsidRPr="00283806">
        <w:rPr>
          <w:w w:val="105"/>
        </w:rPr>
        <w:t>authorizes EPA to coordinate with other similar EPA regulations, including the extensive experience in implementing leak repair requirements under CAA section 608 codified at 40 CFR 82.157, EPA is finalizing many provisions that</w:t>
      </w:r>
      <w:r w:rsidRPr="00283806">
        <w:rPr>
          <w:spacing w:val="40"/>
          <w:w w:val="105"/>
        </w:rPr>
        <w:t xml:space="preserve"> </w:t>
      </w:r>
      <w:r w:rsidRPr="00283806">
        <w:rPr>
          <w:w w:val="105"/>
        </w:rPr>
        <w:t xml:space="preserve">are identical or </w:t>
      </w:r>
      <w:proofErr w:type="gramStart"/>
      <w:r w:rsidRPr="00283806">
        <w:rPr>
          <w:w w:val="105"/>
        </w:rPr>
        <w:t>similar to</w:t>
      </w:r>
      <w:proofErr w:type="gramEnd"/>
      <w:r w:rsidRPr="00283806">
        <w:rPr>
          <w:w w:val="105"/>
        </w:rPr>
        <w:t xml:space="preserve"> those in 40</w:t>
      </w:r>
      <w:r w:rsidRPr="00283806">
        <w:rPr>
          <w:spacing w:val="80"/>
          <w:w w:val="105"/>
        </w:rPr>
        <w:t xml:space="preserve"> </w:t>
      </w:r>
      <w:r w:rsidRPr="00283806">
        <w:rPr>
          <w:w w:val="105"/>
        </w:rPr>
        <w:t>CFR 82.157. Examples include the methodology for determining the leak rate, the timing for repairs, and verification tests. One notable difference between the regulatory requirements under CAA section 608 and subsection</w:t>
      </w:r>
    </w:p>
    <w:p w14:paraId="3938814C" w14:textId="77777777" w:rsidR="00D67C1E" w:rsidRPr="00283806" w:rsidRDefault="001265CA">
      <w:pPr>
        <w:pStyle w:val="BodyText"/>
        <w:spacing w:line="225" w:lineRule="auto"/>
        <w:ind w:left="145" w:right="131"/>
      </w:pPr>
      <w:r w:rsidRPr="00283806">
        <w:rPr>
          <w:w w:val="110"/>
        </w:rPr>
        <w:t xml:space="preserve">(h) of the AIM Act is the applicable charge size, which is discussed in section IV.C.2 of this preamble. The similarities in these requirements should facilitate compliance with both sets of requirements where both apply. Accordingly, EPA does not agree with the comments that complying with the ODS and HFC leak repair provisions simultaneously would be unduly burdensome. Furthermore, the commenters did not provide sufficient data to support this statement or to allow EPA to fully evaluate </w:t>
      </w:r>
      <w:proofErr w:type="gramStart"/>
      <w:r w:rsidRPr="00283806">
        <w:rPr>
          <w:w w:val="110"/>
        </w:rPr>
        <w:t>commenter’s</w:t>
      </w:r>
      <w:proofErr w:type="gramEnd"/>
      <w:r w:rsidRPr="00283806">
        <w:rPr>
          <w:w w:val="110"/>
        </w:rPr>
        <w:t xml:space="preserve"> claims of undue burden and other potential approaches to addressing such burden. The grants of authority under CAA section 608 and subsection (h) of the AIM Act are not identical, and more than 30 years have passed since the issuance of the initial regulations under CAA section 608. Therefore, in some instances, this final rule does differ from the CAA section 608</w:t>
      </w:r>
      <w:r w:rsidRPr="00283806">
        <w:rPr>
          <w:spacing w:val="-6"/>
          <w:w w:val="110"/>
        </w:rPr>
        <w:t xml:space="preserve"> </w:t>
      </w:r>
      <w:r w:rsidRPr="00283806">
        <w:rPr>
          <w:w w:val="110"/>
        </w:rPr>
        <w:t>regulations.</w:t>
      </w:r>
      <w:r w:rsidRPr="00283806">
        <w:rPr>
          <w:spacing w:val="-6"/>
          <w:w w:val="110"/>
        </w:rPr>
        <w:t xml:space="preserve"> </w:t>
      </w:r>
      <w:r w:rsidRPr="00283806">
        <w:rPr>
          <w:w w:val="110"/>
        </w:rPr>
        <w:t>EPA</w:t>
      </w:r>
      <w:r w:rsidRPr="00283806">
        <w:rPr>
          <w:spacing w:val="-6"/>
          <w:w w:val="110"/>
        </w:rPr>
        <w:t xml:space="preserve"> </w:t>
      </w:r>
      <w:r w:rsidRPr="00283806">
        <w:rPr>
          <w:w w:val="110"/>
        </w:rPr>
        <w:t>is</w:t>
      </w:r>
      <w:r w:rsidRPr="00283806">
        <w:rPr>
          <w:spacing w:val="-6"/>
          <w:w w:val="110"/>
        </w:rPr>
        <w:t xml:space="preserve"> </w:t>
      </w:r>
      <w:r w:rsidRPr="00283806">
        <w:rPr>
          <w:w w:val="110"/>
        </w:rPr>
        <w:t>not</w:t>
      </w:r>
      <w:r w:rsidRPr="00283806">
        <w:rPr>
          <w:spacing w:val="-6"/>
          <w:w w:val="110"/>
        </w:rPr>
        <w:t xml:space="preserve"> </w:t>
      </w:r>
      <w:r w:rsidRPr="00283806">
        <w:rPr>
          <w:w w:val="110"/>
        </w:rPr>
        <w:t>establishing an</w:t>
      </w:r>
      <w:r w:rsidRPr="00283806">
        <w:rPr>
          <w:spacing w:val="-5"/>
          <w:w w:val="110"/>
        </w:rPr>
        <w:t xml:space="preserve"> </w:t>
      </w:r>
      <w:r w:rsidRPr="00283806">
        <w:rPr>
          <w:w w:val="110"/>
        </w:rPr>
        <w:t>exemption</w:t>
      </w:r>
      <w:r w:rsidRPr="00283806">
        <w:rPr>
          <w:spacing w:val="-5"/>
          <w:w w:val="110"/>
        </w:rPr>
        <w:t xml:space="preserve"> </w:t>
      </w:r>
      <w:r w:rsidRPr="00283806">
        <w:rPr>
          <w:w w:val="110"/>
        </w:rPr>
        <w:t>from</w:t>
      </w:r>
      <w:r w:rsidRPr="00283806">
        <w:rPr>
          <w:spacing w:val="-5"/>
          <w:w w:val="110"/>
        </w:rPr>
        <w:t xml:space="preserve"> </w:t>
      </w:r>
      <w:r w:rsidRPr="00283806">
        <w:rPr>
          <w:w w:val="110"/>
        </w:rPr>
        <w:t>the</w:t>
      </w:r>
      <w:r w:rsidRPr="00283806">
        <w:rPr>
          <w:spacing w:val="-5"/>
          <w:w w:val="110"/>
        </w:rPr>
        <w:t xml:space="preserve"> </w:t>
      </w:r>
      <w:r w:rsidRPr="00283806">
        <w:rPr>
          <w:w w:val="110"/>
        </w:rPr>
        <w:t>requirements</w:t>
      </w:r>
      <w:r w:rsidRPr="00283806">
        <w:rPr>
          <w:spacing w:val="-5"/>
          <w:w w:val="110"/>
        </w:rPr>
        <w:t xml:space="preserve"> </w:t>
      </w:r>
      <w:r w:rsidRPr="00283806">
        <w:rPr>
          <w:w w:val="110"/>
        </w:rPr>
        <w:t>in this</w:t>
      </w:r>
      <w:r w:rsidRPr="00283806">
        <w:rPr>
          <w:spacing w:val="-11"/>
          <w:w w:val="110"/>
        </w:rPr>
        <w:t xml:space="preserve"> </w:t>
      </w:r>
      <w:r w:rsidRPr="00283806">
        <w:rPr>
          <w:w w:val="110"/>
        </w:rPr>
        <w:t>rule</w:t>
      </w:r>
      <w:r w:rsidRPr="00283806">
        <w:rPr>
          <w:spacing w:val="-11"/>
          <w:w w:val="110"/>
        </w:rPr>
        <w:t xml:space="preserve"> </w:t>
      </w:r>
      <w:r w:rsidRPr="00283806">
        <w:rPr>
          <w:w w:val="110"/>
        </w:rPr>
        <w:t>for</w:t>
      </w:r>
      <w:r w:rsidRPr="00283806">
        <w:rPr>
          <w:spacing w:val="-11"/>
          <w:w w:val="110"/>
        </w:rPr>
        <w:t xml:space="preserve"> </w:t>
      </w:r>
      <w:r w:rsidRPr="00283806">
        <w:rPr>
          <w:w w:val="110"/>
        </w:rPr>
        <w:t>equipment</w:t>
      </w:r>
      <w:r w:rsidRPr="00283806">
        <w:rPr>
          <w:spacing w:val="-11"/>
          <w:w w:val="110"/>
        </w:rPr>
        <w:t xml:space="preserve"> </w:t>
      </w:r>
      <w:r w:rsidRPr="00283806">
        <w:rPr>
          <w:w w:val="110"/>
        </w:rPr>
        <w:t>that</w:t>
      </w:r>
      <w:r w:rsidRPr="00283806">
        <w:rPr>
          <w:spacing w:val="-11"/>
          <w:w w:val="110"/>
        </w:rPr>
        <w:t xml:space="preserve"> </w:t>
      </w:r>
      <w:r w:rsidRPr="00283806">
        <w:rPr>
          <w:w w:val="110"/>
        </w:rPr>
        <w:t>is</w:t>
      </w:r>
      <w:r w:rsidRPr="00283806">
        <w:rPr>
          <w:spacing w:val="-11"/>
          <w:w w:val="110"/>
        </w:rPr>
        <w:t xml:space="preserve"> </w:t>
      </w:r>
      <w:r w:rsidRPr="00283806">
        <w:rPr>
          <w:w w:val="110"/>
        </w:rPr>
        <w:t>subject</w:t>
      </w:r>
      <w:r w:rsidRPr="00283806">
        <w:rPr>
          <w:spacing w:val="-11"/>
          <w:w w:val="110"/>
        </w:rPr>
        <w:t xml:space="preserve"> </w:t>
      </w:r>
      <w:r w:rsidRPr="00283806">
        <w:rPr>
          <w:w w:val="110"/>
        </w:rPr>
        <w:t>to the</w:t>
      </w:r>
      <w:r w:rsidRPr="00283806">
        <w:rPr>
          <w:spacing w:val="-11"/>
          <w:w w:val="110"/>
        </w:rPr>
        <w:t xml:space="preserve"> </w:t>
      </w:r>
      <w:r w:rsidRPr="00283806">
        <w:rPr>
          <w:w w:val="110"/>
        </w:rPr>
        <w:t>requirements</w:t>
      </w:r>
      <w:r w:rsidRPr="00283806">
        <w:rPr>
          <w:spacing w:val="-11"/>
          <w:w w:val="110"/>
        </w:rPr>
        <w:t xml:space="preserve"> </w:t>
      </w:r>
      <w:r w:rsidRPr="00283806">
        <w:rPr>
          <w:w w:val="110"/>
        </w:rPr>
        <w:t>under</w:t>
      </w:r>
      <w:r w:rsidRPr="00283806">
        <w:rPr>
          <w:spacing w:val="-11"/>
          <w:w w:val="110"/>
        </w:rPr>
        <w:t xml:space="preserve"> </w:t>
      </w:r>
      <w:r w:rsidRPr="00283806">
        <w:rPr>
          <w:w w:val="110"/>
        </w:rPr>
        <w:t>40</w:t>
      </w:r>
      <w:r w:rsidRPr="00283806">
        <w:rPr>
          <w:spacing w:val="-10"/>
          <w:w w:val="110"/>
        </w:rPr>
        <w:t xml:space="preserve"> </w:t>
      </w:r>
      <w:r w:rsidRPr="00283806">
        <w:rPr>
          <w:w w:val="110"/>
        </w:rPr>
        <w:t>CFR</w:t>
      </w:r>
      <w:r w:rsidRPr="00283806">
        <w:rPr>
          <w:spacing w:val="-11"/>
          <w:w w:val="110"/>
        </w:rPr>
        <w:t xml:space="preserve"> </w:t>
      </w:r>
      <w:r w:rsidRPr="00283806">
        <w:rPr>
          <w:w w:val="110"/>
        </w:rPr>
        <w:t>part</w:t>
      </w:r>
      <w:r w:rsidRPr="00283806">
        <w:rPr>
          <w:spacing w:val="-11"/>
          <w:w w:val="110"/>
        </w:rPr>
        <w:t xml:space="preserve"> </w:t>
      </w:r>
      <w:r w:rsidRPr="00283806">
        <w:rPr>
          <w:w w:val="110"/>
        </w:rPr>
        <w:t xml:space="preserve">82, subpart F, because, if such equipment also contains an HFC or a substitute for an HFC with a GWP above 53, it is appropriate for it to comply with the leak repair requirements under </w:t>
      </w:r>
      <w:r w:rsidRPr="00283806">
        <w:t>subsection (h)(1). This approach ensures</w:t>
      </w:r>
      <w:r w:rsidRPr="00283806">
        <w:rPr>
          <w:w w:val="110"/>
        </w:rPr>
        <w:t xml:space="preserve"> that such equipment is subject to requirements designed to meet the direction under and the </w:t>
      </w:r>
      <w:proofErr w:type="gramStart"/>
      <w:r w:rsidRPr="00283806">
        <w:rPr>
          <w:w w:val="110"/>
        </w:rPr>
        <w:t>particular statutory</w:t>
      </w:r>
      <w:proofErr w:type="gramEnd"/>
      <w:r w:rsidRPr="00283806">
        <w:rPr>
          <w:w w:val="110"/>
        </w:rPr>
        <w:t xml:space="preserve"> purposes identified in subsection (h), such as maximizing reclaim and minimizing releases of HFCs from equipment.</w:t>
      </w:r>
    </w:p>
    <w:p w14:paraId="47C50C5D" w14:textId="77777777" w:rsidR="00D67C1E" w:rsidRPr="00283806" w:rsidRDefault="001265CA">
      <w:pPr>
        <w:pStyle w:val="BodyText"/>
        <w:spacing w:line="165" w:lineRule="exact"/>
        <w:ind w:left="325"/>
      </w:pPr>
      <w:r w:rsidRPr="00283806">
        <w:rPr>
          <w:w w:val="105"/>
        </w:rPr>
        <w:t>To</w:t>
      </w:r>
      <w:r w:rsidRPr="00283806">
        <w:rPr>
          <w:spacing w:val="7"/>
          <w:w w:val="105"/>
        </w:rPr>
        <w:t xml:space="preserve"> </w:t>
      </w:r>
      <w:r w:rsidRPr="00283806">
        <w:rPr>
          <w:w w:val="105"/>
        </w:rPr>
        <w:t>address</w:t>
      </w:r>
      <w:r w:rsidRPr="00283806">
        <w:rPr>
          <w:spacing w:val="7"/>
          <w:w w:val="105"/>
        </w:rPr>
        <w:t xml:space="preserve"> </w:t>
      </w:r>
      <w:r w:rsidRPr="00283806">
        <w:rPr>
          <w:w w:val="105"/>
        </w:rPr>
        <w:t>one</w:t>
      </w:r>
      <w:r w:rsidRPr="00283806">
        <w:rPr>
          <w:spacing w:val="7"/>
          <w:w w:val="105"/>
        </w:rPr>
        <w:t xml:space="preserve"> </w:t>
      </w:r>
      <w:r w:rsidRPr="00283806">
        <w:rPr>
          <w:w w:val="105"/>
        </w:rPr>
        <w:t>commenter’s</w:t>
      </w:r>
      <w:r w:rsidRPr="00283806">
        <w:rPr>
          <w:spacing w:val="7"/>
          <w:w w:val="105"/>
        </w:rPr>
        <w:t xml:space="preserve"> </w:t>
      </w:r>
      <w:r w:rsidRPr="00283806">
        <w:rPr>
          <w:spacing w:val="-2"/>
          <w:w w:val="105"/>
        </w:rPr>
        <w:t>request</w:t>
      </w:r>
    </w:p>
    <w:p w14:paraId="6D7817C3" w14:textId="77777777" w:rsidR="00D67C1E" w:rsidRPr="00283806" w:rsidRDefault="001265CA">
      <w:pPr>
        <w:pStyle w:val="BodyText"/>
        <w:spacing w:line="225" w:lineRule="auto"/>
        <w:ind w:left="145" w:right="250"/>
      </w:pPr>
      <w:r w:rsidRPr="00283806">
        <w:rPr>
          <w:w w:val="105"/>
        </w:rPr>
        <w:t>for clarity on the overlap of leak repair requirements for appliances containing ODS and HFCs and their substitutes,</w:t>
      </w:r>
      <w:r w:rsidRPr="00283806">
        <w:rPr>
          <w:spacing w:val="40"/>
          <w:w w:val="105"/>
        </w:rPr>
        <w:t xml:space="preserve"> </w:t>
      </w:r>
      <w:r w:rsidRPr="00283806">
        <w:rPr>
          <w:w w:val="105"/>
        </w:rPr>
        <w:t>EPA reiterates that owners and operators would only need to comply with the leak repair provisions under both 40 CFR part 82, subpart F and 40</w:t>
      </w:r>
    </w:p>
    <w:p w14:paraId="333474B9"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5" w:space="40"/>
            <w:col w:w="3500" w:space="39"/>
            <w:col w:w="3626"/>
          </w:cols>
        </w:sectPr>
      </w:pPr>
    </w:p>
    <w:p w14:paraId="7E6EB1CC" w14:textId="77777777" w:rsidR="00D67C1E" w:rsidRPr="00283806" w:rsidRDefault="001265CA">
      <w:pPr>
        <w:pStyle w:val="BodyText"/>
        <w:spacing w:before="136" w:line="225" w:lineRule="auto"/>
        <w:ind w:right="79"/>
      </w:pPr>
      <w:r w:rsidRPr="00283806">
        <w:rPr>
          <w:w w:val="105"/>
        </w:rPr>
        <w:lastRenderedPageBreak/>
        <w:t>CFR part 84, subpart C if the refrigerant- containing appliance uses a refrigerant containing ODS and an HFC or HFC substitute with a GWP greater than 53.</w:t>
      </w:r>
      <w:r w:rsidRPr="00283806">
        <w:rPr>
          <w:spacing w:val="80"/>
          <w:w w:val="105"/>
        </w:rPr>
        <w:t xml:space="preserve"> </w:t>
      </w:r>
      <w:r w:rsidRPr="00283806">
        <w:rPr>
          <w:w w:val="105"/>
        </w:rPr>
        <w:t>If an appliance uses a refrigerant that solely contains ODS (and meets the</w:t>
      </w:r>
      <w:r w:rsidRPr="00283806">
        <w:rPr>
          <w:spacing w:val="80"/>
          <w:w w:val="105"/>
        </w:rPr>
        <w:t xml:space="preserve"> </w:t>
      </w:r>
      <w:r w:rsidRPr="00283806">
        <w:rPr>
          <w:w w:val="105"/>
        </w:rPr>
        <w:t>other applicability criteria), it is subject to 40 CFR part 82, subpart F leak repair requirements, but not the leak repair requirements under this final rule.</w:t>
      </w:r>
    </w:p>
    <w:p w14:paraId="77A7E215" w14:textId="77777777" w:rsidR="00D67C1E" w:rsidRPr="00283806" w:rsidRDefault="001265CA">
      <w:pPr>
        <w:pStyle w:val="BodyText"/>
        <w:spacing w:line="225" w:lineRule="auto"/>
        <w:ind w:right="27"/>
      </w:pPr>
      <w:r w:rsidRPr="00283806">
        <w:rPr>
          <w:w w:val="110"/>
        </w:rPr>
        <w:t>Conversely, if an appliance solely contains</w:t>
      </w:r>
      <w:r w:rsidRPr="00283806">
        <w:rPr>
          <w:spacing w:val="-5"/>
          <w:w w:val="110"/>
        </w:rPr>
        <w:t xml:space="preserve"> </w:t>
      </w:r>
      <w:r w:rsidRPr="00283806">
        <w:rPr>
          <w:w w:val="110"/>
        </w:rPr>
        <w:t>an</w:t>
      </w:r>
      <w:r w:rsidRPr="00283806">
        <w:rPr>
          <w:spacing w:val="-5"/>
          <w:w w:val="110"/>
        </w:rPr>
        <w:t xml:space="preserve"> </w:t>
      </w:r>
      <w:r w:rsidRPr="00283806">
        <w:rPr>
          <w:w w:val="110"/>
        </w:rPr>
        <w:t>HFC</w:t>
      </w:r>
      <w:r w:rsidRPr="00283806">
        <w:rPr>
          <w:spacing w:val="-5"/>
          <w:w w:val="110"/>
        </w:rPr>
        <w:t xml:space="preserve"> </w:t>
      </w:r>
      <w:r w:rsidRPr="00283806">
        <w:rPr>
          <w:w w:val="110"/>
        </w:rPr>
        <w:t>or</w:t>
      </w:r>
      <w:r w:rsidRPr="00283806">
        <w:rPr>
          <w:spacing w:val="-5"/>
          <w:w w:val="110"/>
        </w:rPr>
        <w:t xml:space="preserve"> </w:t>
      </w:r>
      <w:r w:rsidRPr="00283806">
        <w:rPr>
          <w:w w:val="110"/>
        </w:rPr>
        <w:t>HFC</w:t>
      </w:r>
      <w:r w:rsidRPr="00283806">
        <w:rPr>
          <w:spacing w:val="-5"/>
          <w:w w:val="110"/>
        </w:rPr>
        <w:t xml:space="preserve"> </w:t>
      </w:r>
      <w:r w:rsidRPr="00283806">
        <w:rPr>
          <w:w w:val="110"/>
        </w:rPr>
        <w:t>substitute</w:t>
      </w:r>
      <w:r w:rsidRPr="00283806">
        <w:rPr>
          <w:spacing w:val="-5"/>
          <w:w w:val="110"/>
        </w:rPr>
        <w:t xml:space="preserve"> </w:t>
      </w:r>
      <w:r w:rsidRPr="00283806">
        <w:rPr>
          <w:w w:val="110"/>
        </w:rPr>
        <w:t>with a GWP greater than 53 (and meets the other applicability criteria) the owner will</w:t>
      </w:r>
      <w:r w:rsidRPr="00283806">
        <w:rPr>
          <w:spacing w:val="-11"/>
          <w:w w:val="110"/>
        </w:rPr>
        <w:t xml:space="preserve"> </w:t>
      </w:r>
      <w:r w:rsidRPr="00283806">
        <w:rPr>
          <w:w w:val="110"/>
        </w:rPr>
        <w:t>need</w:t>
      </w:r>
      <w:r w:rsidRPr="00283806">
        <w:rPr>
          <w:spacing w:val="-11"/>
          <w:w w:val="110"/>
        </w:rPr>
        <w:t xml:space="preserve"> </w:t>
      </w:r>
      <w:r w:rsidRPr="00283806">
        <w:rPr>
          <w:w w:val="110"/>
        </w:rPr>
        <w:t>to</w:t>
      </w:r>
      <w:r w:rsidRPr="00283806">
        <w:rPr>
          <w:spacing w:val="-10"/>
          <w:w w:val="110"/>
        </w:rPr>
        <w:t xml:space="preserve"> </w:t>
      </w:r>
      <w:r w:rsidRPr="00283806">
        <w:rPr>
          <w:w w:val="110"/>
        </w:rPr>
        <w:t>comply</w:t>
      </w:r>
      <w:r w:rsidRPr="00283806">
        <w:rPr>
          <w:spacing w:val="-11"/>
          <w:w w:val="110"/>
        </w:rPr>
        <w:t xml:space="preserve"> </w:t>
      </w:r>
      <w:r w:rsidRPr="00283806">
        <w:rPr>
          <w:w w:val="110"/>
        </w:rPr>
        <w:t>with</w:t>
      </w:r>
      <w:r w:rsidRPr="00283806">
        <w:rPr>
          <w:spacing w:val="-11"/>
          <w:w w:val="110"/>
        </w:rPr>
        <w:t xml:space="preserve"> </w:t>
      </w:r>
      <w:r w:rsidRPr="00283806">
        <w:rPr>
          <w:w w:val="110"/>
        </w:rPr>
        <w:t>the</w:t>
      </w:r>
      <w:r w:rsidRPr="00283806">
        <w:rPr>
          <w:spacing w:val="-10"/>
          <w:w w:val="110"/>
        </w:rPr>
        <w:t xml:space="preserve"> </w:t>
      </w:r>
      <w:r w:rsidRPr="00283806">
        <w:rPr>
          <w:w w:val="110"/>
        </w:rPr>
        <w:t>leak</w:t>
      </w:r>
      <w:r w:rsidRPr="00283806">
        <w:rPr>
          <w:spacing w:val="-11"/>
          <w:w w:val="110"/>
        </w:rPr>
        <w:t xml:space="preserve"> </w:t>
      </w:r>
      <w:r w:rsidRPr="00283806">
        <w:rPr>
          <w:w w:val="110"/>
        </w:rPr>
        <w:t>repair provisions in this final rule, but not the leak repair requirements in 40 CFR</w:t>
      </w:r>
    </w:p>
    <w:p w14:paraId="7E992CF2" w14:textId="77777777" w:rsidR="00D67C1E" w:rsidRPr="00283806" w:rsidRDefault="001265CA">
      <w:pPr>
        <w:pStyle w:val="BodyText"/>
        <w:spacing w:line="225" w:lineRule="auto"/>
        <w:ind w:right="160"/>
      </w:pPr>
      <w:r w:rsidRPr="00283806">
        <w:rPr>
          <w:w w:val="105"/>
        </w:rPr>
        <w:t>82.157. EPA is not aware of any widespread use of ODS/HFC blends. However, to the extent such blends are in use, requirements under the CAA</w:t>
      </w:r>
      <w:r w:rsidRPr="00283806">
        <w:rPr>
          <w:spacing w:val="40"/>
          <w:w w:val="105"/>
        </w:rPr>
        <w:t xml:space="preserve"> </w:t>
      </w:r>
      <w:r w:rsidRPr="00283806">
        <w:rPr>
          <w:w w:val="105"/>
        </w:rPr>
        <w:t xml:space="preserve">title VI regulations and the CAA itself restrict use of ODS in new and existing equipment, thus further limiting the likelihood of one appliance being subject to the two sets of leak repair </w:t>
      </w:r>
      <w:r w:rsidRPr="00283806">
        <w:rPr>
          <w:spacing w:val="-2"/>
          <w:w w:val="105"/>
        </w:rPr>
        <w:t>requirements.</w:t>
      </w:r>
    </w:p>
    <w:p w14:paraId="555E40B7" w14:textId="77777777" w:rsidR="00D67C1E" w:rsidRPr="00283806" w:rsidRDefault="001265CA">
      <w:pPr>
        <w:pStyle w:val="ListParagraph"/>
        <w:numPr>
          <w:ilvl w:val="0"/>
          <w:numId w:val="59"/>
        </w:numPr>
        <w:tabs>
          <w:tab w:val="left" w:pos="358"/>
        </w:tabs>
        <w:spacing w:before="88" w:line="225" w:lineRule="auto"/>
        <w:ind w:left="160" w:right="67" w:firstLine="0"/>
        <w:rPr>
          <w:sz w:val="18"/>
        </w:rPr>
      </w:pPr>
      <w:r w:rsidRPr="00283806">
        <w:rPr>
          <w:w w:val="105"/>
          <w:sz w:val="18"/>
        </w:rPr>
        <w:t>Appliances with what charge size are subject to the leak repair requirements?</w:t>
      </w:r>
    </w:p>
    <w:p w14:paraId="1BE58F9D" w14:textId="77777777" w:rsidR="00D67C1E" w:rsidRPr="00283806" w:rsidRDefault="001265CA">
      <w:pPr>
        <w:pStyle w:val="BodyText"/>
        <w:spacing w:before="65" w:line="225" w:lineRule="auto"/>
        <w:ind w:right="40" w:firstLine="180"/>
      </w:pPr>
      <w:r w:rsidRPr="00283806">
        <w:rPr>
          <w:w w:val="105"/>
        </w:rPr>
        <w:t>EPA is finalizing that, with certain exceptions,</w:t>
      </w:r>
      <w:r w:rsidRPr="00283806">
        <w:rPr>
          <w:spacing w:val="40"/>
          <w:w w:val="105"/>
        </w:rPr>
        <w:t xml:space="preserve"> </w:t>
      </w:r>
      <w:r w:rsidRPr="00283806">
        <w:rPr>
          <w:w w:val="105"/>
        </w:rPr>
        <w:t>appliances</w:t>
      </w:r>
      <w:r w:rsidRPr="00283806">
        <w:rPr>
          <w:spacing w:val="40"/>
          <w:w w:val="105"/>
        </w:rPr>
        <w:t xml:space="preserve"> </w:t>
      </w:r>
      <w:r w:rsidRPr="00283806">
        <w:rPr>
          <w:w w:val="105"/>
        </w:rPr>
        <w:t>with</w:t>
      </w:r>
      <w:r w:rsidRPr="00283806">
        <w:rPr>
          <w:spacing w:val="40"/>
          <w:w w:val="105"/>
        </w:rPr>
        <w:t xml:space="preserve"> </w:t>
      </w:r>
      <w:r w:rsidRPr="00283806">
        <w:rPr>
          <w:w w:val="105"/>
        </w:rPr>
        <w:t>a</w:t>
      </w:r>
      <w:r w:rsidRPr="00283806">
        <w:rPr>
          <w:spacing w:val="40"/>
          <w:w w:val="105"/>
        </w:rPr>
        <w:t xml:space="preserve"> </w:t>
      </w:r>
      <w:r w:rsidRPr="00283806">
        <w:rPr>
          <w:w w:val="105"/>
        </w:rPr>
        <w:t>charge size of 15 pounds or more of refrigerant that contains a regulated substance or a substitute for a regulated substance with a GWP greater than 53 are subject to the leak repair requirements under subsection (h) of the AIM Act, for</w:t>
      </w:r>
      <w:r w:rsidRPr="00283806">
        <w:rPr>
          <w:spacing w:val="80"/>
          <w:w w:val="105"/>
        </w:rPr>
        <w:t xml:space="preserve"> </w:t>
      </w:r>
      <w:r w:rsidRPr="00283806">
        <w:rPr>
          <w:w w:val="105"/>
        </w:rPr>
        <w:t>reasons discussed in the proposal and in this final rule. This establishes a lower threshold than in the regulations established under CAA section 608</w:t>
      </w:r>
      <w:r w:rsidRPr="00283806">
        <w:rPr>
          <w:spacing w:val="40"/>
          <w:w w:val="105"/>
        </w:rPr>
        <w:t xml:space="preserve"> </w:t>
      </w:r>
      <w:r w:rsidRPr="00283806">
        <w:rPr>
          <w:w w:val="105"/>
        </w:rPr>
        <w:t>nearly 30 years ago. As discussed in the proposal, applying the leak repair requirements to more equipment will reduce the release of HFCs from equipment and increase the amount of HFCs that will be available for recovery and reclamation because of avoided releases</w:t>
      </w:r>
      <w:r w:rsidRPr="00283806">
        <w:rPr>
          <w:spacing w:val="40"/>
          <w:w w:val="105"/>
        </w:rPr>
        <w:t xml:space="preserve"> </w:t>
      </w:r>
      <w:r w:rsidRPr="00283806">
        <w:rPr>
          <w:w w:val="105"/>
        </w:rPr>
        <w:t>of</w:t>
      </w:r>
      <w:r w:rsidRPr="00283806">
        <w:rPr>
          <w:spacing w:val="40"/>
          <w:w w:val="105"/>
        </w:rPr>
        <w:t xml:space="preserve"> </w:t>
      </w:r>
      <w:r w:rsidRPr="00283806">
        <w:rPr>
          <w:w w:val="105"/>
        </w:rPr>
        <w:t>HFCs</w:t>
      </w:r>
      <w:r w:rsidRPr="00283806">
        <w:rPr>
          <w:spacing w:val="40"/>
          <w:w w:val="105"/>
        </w:rPr>
        <w:t xml:space="preserve"> </w:t>
      </w:r>
      <w:r w:rsidRPr="00283806">
        <w:rPr>
          <w:w w:val="105"/>
        </w:rPr>
        <w:t>from</w:t>
      </w:r>
      <w:r w:rsidRPr="00283806">
        <w:rPr>
          <w:spacing w:val="40"/>
          <w:w w:val="105"/>
        </w:rPr>
        <w:t xml:space="preserve"> </w:t>
      </w:r>
      <w:r w:rsidRPr="00283806">
        <w:rPr>
          <w:w w:val="105"/>
        </w:rPr>
        <w:t>leaks.</w:t>
      </w:r>
      <w:r w:rsidRPr="00283806">
        <w:rPr>
          <w:spacing w:val="40"/>
          <w:w w:val="105"/>
        </w:rPr>
        <w:t xml:space="preserve"> </w:t>
      </w:r>
      <w:r w:rsidRPr="00283806">
        <w:rPr>
          <w:w w:val="105"/>
        </w:rPr>
        <w:t>The</w:t>
      </w:r>
      <w:r w:rsidRPr="00283806">
        <w:rPr>
          <w:spacing w:val="40"/>
          <w:w w:val="105"/>
        </w:rPr>
        <w:t xml:space="preserve"> </w:t>
      </w:r>
      <w:r w:rsidRPr="00283806">
        <w:rPr>
          <w:w w:val="105"/>
        </w:rPr>
        <w:t>AIM Act</w:t>
      </w:r>
      <w:r w:rsidRPr="00283806">
        <w:rPr>
          <w:spacing w:val="40"/>
          <w:w w:val="105"/>
        </w:rPr>
        <w:t xml:space="preserve"> </w:t>
      </w:r>
      <w:r w:rsidRPr="00283806">
        <w:rPr>
          <w:w w:val="105"/>
        </w:rPr>
        <w:t>provides</w:t>
      </w:r>
      <w:r w:rsidRPr="00283806">
        <w:rPr>
          <w:spacing w:val="40"/>
          <w:w w:val="105"/>
        </w:rPr>
        <w:t xml:space="preserve"> </w:t>
      </w:r>
      <w:r w:rsidRPr="00283806">
        <w:rPr>
          <w:w w:val="105"/>
        </w:rPr>
        <w:t>a</w:t>
      </w:r>
      <w:r w:rsidRPr="00283806">
        <w:rPr>
          <w:spacing w:val="40"/>
          <w:w w:val="105"/>
        </w:rPr>
        <w:t xml:space="preserve"> </w:t>
      </w:r>
      <w:r w:rsidRPr="00283806">
        <w:rPr>
          <w:w w:val="105"/>
        </w:rPr>
        <w:t>schedule</w:t>
      </w:r>
      <w:r w:rsidRPr="00283806">
        <w:rPr>
          <w:spacing w:val="40"/>
          <w:w w:val="105"/>
        </w:rPr>
        <w:t xml:space="preserve"> </w:t>
      </w:r>
      <w:r w:rsidRPr="00283806">
        <w:rPr>
          <w:w w:val="105"/>
        </w:rPr>
        <w:t>for</w:t>
      </w:r>
      <w:r w:rsidRPr="00283806">
        <w:rPr>
          <w:spacing w:val="40"/>
          <w:w w:val="105"/>
        </w:rPr>
        <w:t xml:space="preserve"> </w:t>
      </w:r>
      <w:r w:rsidRPr="00283806">
        <w:rPr>
          <w:w w:val="105"/>
        </w:rPr>
        <w:t>a phasedown of HFCs, as opposed to the phaseout of ODS under the CAA. Therefore, there may be continued introduction of HFC-containing appliances indefinitely, which is a</w:t>
      </w:r>
      <w:r w:rsidRPr="00283806">
        <w:rPr>
          <w:spacing w:val="40"/>
          <w:w w:val="105"/>
        </w:rPr>
        <w:t xml:space="preserve"> </w:t>
      </w:r>
      <w:r w:rsidRPr="00283806">
        <w:rPr>
          <w:w w:val="105"/>
        </w:rPr>
        <w:t>notable difference from the restrictions on ODS under the CAA. As described</w:t>
      </w:r>
      <w:r w:rsidRPr="00283806">
        <w:rPr>
          <w:spacing w:val="40"/>
          <w:w w:val="105"/>
        </w:rPr>
        <w:t xml:space="preserve"> </w:t>
      </w:r>
      <w:r w:rsidRPr="00283806">
        <w:rPr>
          <w:w w:val="105"/>
        </w:rPr>
        <w:t>more fully in section II.B of this</w:t>
      </w:r>
      <w:r w:rsidRPr="00283806">
        <w:rPr>
          <w:spacing w:val="40"/>
          <w:w w:val="105"/>
        </w:rPr>
        <w:t xml:space="preserve"> </w:t>
      </w:r>
      <w:r w:rsidRPr="00283806">
        <w:rPr>
          <w:w w:val="105"/>
        </w:rPr>
        <w:t>preamble, subsection (h)(1) of the AIM Act tasks the Agency with promulgating ‘‘regulations to control, where appropriate,’’ certain practices,</w:t>
      </w:r>
      <w:r w:rsidRPr="00283806">
        <w:rPr>
          <w:spacing w:val="40"/>
          <w:w w:val="105"/>
        </w:rPr>
        <w:t xml:space="preserve"> </w:t>
      </w:r>
      <w:r w:rsidRPr="00283806">
        <w:rPr>
          <w:w w:val="105"/>
        </w:rPr>
        <w:t>processes, or activities for certain purposes, including minimizing the release of regulated substances from equipment and maximizing the reclamation of regulated substances. As described previously, the phrase ‘‘where</w:t>
      </w:r>
    </w:p>
    <w:p w14:paraId="50C3396C" w14:textId="77777777" w:rsidR="00D67C1E" w:rsidRPr="00283806" w:rsidRDefault="001265CA">
      <w:pPr>
        <w:pStyle w:val="BodyText"/>
        <w:spacing w:before="134" w:line="228" w:lineRule="auto"/>
        <w:ind w:left="145"/>
      </w:pPr>
      <w:r w:rsidRPr="00283806">
        <w:br w:type="column"/>
      </w:r>
      <w:r w:rsidRPr="00283806">
        <w:rPr>
          <w:w w:val="105"/>
        </w:rPr>
        <w:t>appropriate’’ in subsection (h)(1) provides EPA with discretion to reasonably determine how the regulations under subsection (h)(1) will apply, including by making determinations about the charge size threshold of equipment that is subject to the leak repair requirements. In exercising its discretion under this provision, EPA has taken a number of considerations into account, such as: the text of subsection (h)(1) including the statutory purposes identified in that provision; the anticipated effectiveness</w:t>
      </w:r>
      <w:r w:rsidRPr="00283806">
        <w:rPr>
          <w:spacing w:val="40"/>
          <w:w w:val="105"/>
        </w:rPr>
        <w:t xml:space="preserve"> </w:t>
      </w:r>
      <w:r w:rsidRPr="00283806">
        <w:rPr>
          <w:w w:val="105"/>
        </w:rPr>
        <w:t>of the requirements under consideration in serving those purposes; the intent of subsection (h), considering the overall context and structure of the AIM Act;</w:t>
      </w:r>
      <w:r w:rsidRPr="00283806">
        <w:rPr>
          <w:spacing w:val="80"/>
          <w:w w:val="150"/>
        </w:rPr>
        <w:t xml:space="preserve"> </w:t>
      </w:r>
      <w:r w:rsidRPr="00283806">
        <w:rPr>
          <w:w w:val="105"/>
        </w:rPr>
        <w:t>and information and insight drawn from EPA’s past experience with the same or similar</w:t>
      </w:r>
      <w:r w:rsidRPr="00283806">
        <w:rPr>
          <w:spacing w:val="40"/>
          <w:w w:val="105"/>
        </w:rPr>
        <w:t xml:space="preserve"> </w:t>
      </w:r>
      <w:r w:rsidRPr="00283806">
        <w:rPr>
          <w:w w:val="105"/>
        </w:rPr>
        <w:t>practices,</w:t>
      </w:r>
      <w:r w:rsidRPr="00283806">
        <w:rPr>
          <w:spacing w:val="40"/>
          <w:w w:val="105"/>
        </w:rPr>
        <w:t xml:space="preserve"> </w:t>
      </w:r>
      <w:r w:rsidRPr="00283806">
        <w:rPr>
          <w:w w:val="105"/>
        </w:rPr>
        <w:t>processes,</w:t>
      </w:r>
      <w:r w:rsidRPr="00283806">
        <w:rPr>
          <w:spacing w:val="40"/>
          <w:w w:val="105"/>
        </w:rPr>
        <w:t xml:space="preserve"> </w:t>
      </w:r>
      <w:r w:rsidRPr="00283806">
        <w:rPr>
          <w:w w:val="105"/>
        </w:rPr>
        <w:t>or activities, as well as sectors, subsectors, and markets, gained from implementing other programs, including under other provisions of the AIM Act and the CAA.</w:t>
      </w:r>
      <w:r w:rsidRPr="00283806">
        <w:rPr>
          <w:spacing w:val="80"/>
          <w:w w:val="150"/>
        </w:rPr>
        <w:t xml:space="preserve"> </w:t>
      </w:r>
      <w:r w:rsidRPr="00283806">
        <w:rPr>
          <w:w w:val="105"/>
        </w:rPr>
        <w:t>In establishing the 15-pound threshold for leak repair requirements in this rulemaking, EPA considered both the purposes of minimizing the release of HFCs from equipment and maximizing reclamation, as well as other factors as discussed further in other responses to comments in this section. For example, EPA considered information regarding refrigerant-containing appliances where HFCs or their substitutes are currently being used and where they are expected to be used in the coming years; the universe of affected appliances subject</w:t>
      </w:r>
      <w:r w:rsidRPr="00283806">
        <w:rPr>
          <w:spacing w:val="80"/>
          <w:w w:val="150"/>
        </w:rPr>
        <w:t xml:space="preserve"> </w:t>
      </w:r>
      <w:r w:rsidRPr="00283806">
        <w:rPr>
          <w:w w:val="105"/>
        </w:rPr>
        <w:t>to the leak repair requirements at 40</w:t>
      </w:r>
      <w:r w:rsidRPr="00283806">
        <w:rPr>
          <w:spacing w:val="80"/>
          <w:w w:val="105"/>
        </w:rPr>
        <w:t xml:space="preserve"> </w:t>
      </w:r>
      <w:r w:rsidRPr="00283806">
        <w:rPr>
          <w:w w:val="105"/>
        </w:rPr>
        <w:t>CFR 82.157 and how the refrigerant- containing appliances being used in the market and aftermarket has changed</w:t>
      </w:r>
      <w:r w:rsidRPr="00283806">
        <w:rPr>
          <w:spacing w:val="40"/>
          <w:w w:val="105"/>
        </w:rPr>
        <w:t xml:space="preserve"> </w:t>
      </w:r>
      <w:r w:rsidRPr="00283806">
        <w:rPr>
          <w:w w:val="105"/>
        </w:rPr>
        <w:t>over time, including with respect to charge size; and design elements of different types refrigerant-containing appliances with different charge sizes</w:t>
      </w:r>
      <w:r w:rsidRPr="00283806">
        <w:rPr>
          <w:spacing w:val="40"/>
          <w:w w:val="105"/>
        </w:rPr>
        <w:t xml:space="preserve"> </w:t>
      </w:r>
      <w:r w:rsidRPr="00283806">
        <w:rPr>
          <w:w w:val="105"/>
        </w:rPr>
        <w:t>and the propensity of that equipment to leak (</w:t>
      </w:r>
      <w:r w:rsidRPr="00283806">
        <w:rPr>
          <w:rFonts w:ascii="Book Antiqua" w:hAnsi="Book Antiqua"/>
          <w:i/>
          <w:w w:val="105"/>
        </w:rPr>
        <w:t xml:space="preserve">e.g., </w:t>
      </w:r>
      <w:r w:rsidRPr="00283806">
        <w:rPr>
          <w:w w:val="105"/>
        </w:rPr>
        <w:t>whether the equipment is hermetically sealed), as well as whether</w:t>
      </w:r>
      <w:r w:rsidRPr="00283806">
        <w:rPr>
          <w:spacing w:val="40"/>
          <w:w w:val="105"/>
        </w:rPr>
        <w:t xml:space="preserve"> </w:t>
      </w:r>
      <w:r w:rsidRPr="00283806">
        <w:rPr>
          <w:w w:val="105"/>
        </w:rPr>
        <w:t>it</w:t>
      </w:r>
      <w:r w:rsidRPr="00283806">
        <w:rPr>
          <w:spacing w:val="40"/>
          <w:w w:val="105"/>
        </w:rPr>
        <w:t xml:space="preserve"> </w:t>
      </w:r>
      <w:r w:rsidRPr="00283806">
        <w:rPr>
          <w:w w:val="105"/>
        </w:rPr>
        <w:t>is</w:t>
      </w:r>
      <w:r w:rsidRPr="00283806">
        <w:rPr>
          <w:spacing w:val="40"/>
          <w:w w:val="105"/>
        </w:rPr>
        <w:t xml:space="preserve"> </w:t>
      </w:r>
      <w:r w:rsidRPr="00283806">
        <w:rPr>
          <w:w w:val="105"/>
        </w:rPr>
        <w:t>typically</w:t>
      </w:r>
      <w:r w:rsidRPr="00283806">
        <w:rPr>
          <w:spacing w:val="40"/>
          <w:w w:val="105"/>
        </w:rPr>
        <w:t xml:space="preserve"> </w:t>
      </w:r>
      <w:r w:rsidRPr="00283806">
        <w:rPr>
          <w:w w:val="105"/>
        </w:rPr>
        <w:t>repaired</w:t>
      </w:r>
      <w:r w:rsidRPr="00283806">
        <w:rPr>
          <w:spacing w:val="40"/>
          <w:w w:val="105"/>
        </w:rPr>
        <w:t xml:space="preserve"> </w:t>
      </w:r>
      <w:r w:rsidRPr="00283806">
        <w:rPr>
          <w:w w:val="105"/>
        </w:rPr>
        <w:t>for</w:t>
      </w:r>
      <w:r w:rsidRPr="00283806">
        <w:rPr>
          <w:spacing w:val="40"/>
          <w:w w:val="105"/>
        </w:rPr>
        <w:t xml:space="preserve"> </w:t>
      </w:r>
      <w:r w:rsidRPr="00283806">
        <w:rPr>
          <w:w w:val="105"/>
        </w:rPr>
        <w:t>continued use, or alternatively disposed of, if it is not functioning properly. Consideration of these factors informed EPA’s evaluation of the charge sizes of refrigerant-containing appliances for which leak repair is likely to be effective at minimizing releases of refrigerant</w:t>
      </w:r>
      <w:r w:rsidRPr="00283806">
        <w:rPr>
          <w:spacing w:val="40"/>
          <w:w w:val="105"/>
        </w:rPr>
        <w:t xml:space="preserve"> </w:t>
      </w:r>
      <w:r w:rsidRPr="00283806">
        <w:rPr>
          <w:w w:val="105"/>
        </w:rPr>
        <w:t>from appliances and maximizing reclamation. EPA also considered the importance of proper refrigerant management for successful implementation of the phasedown and</w:t>
      </w:r>
      <w:r w:rsidRPr="00283806">
        <w:rPr>
          <w:spacing w:val="40"/>
          <w:w w:val="105"/>
        </w:rPr>
        <w:t xml:space="preserve"> </w:t>
      </w:r>
      <w:r w:rsidRPr="00283806">
        <w:rPr>
          <w:w w:val="105"/>
        </w:rPr>
        <w:t>for</w:t>
      </w:r>
      <w:r w:rsidRPr="00283806">
        <w:rPr>
          <w:spacing w:val="40"/>
          <w:w w:val="105"/>
        </w:rPr>
        <w:t xml:space="preserve"> </w:t>
      </w:r>
      <w:r w:rsidRPr="00283806">
        <w:rPr>
          <w:w w:val="105"/>
        </w:rPr>
        <w:t>supporting</w:t>
      </w:r>
      <w:r w:rsidRPr="00283806">
        <w:rPr>
          <w:spacing w:val="40"/>
          <w:w w:val="105"/>
        </w:rPr>
        <w:t xml:space="preserve"> </w:t>
      </w:r>
      <w:r w:rsidRPr="00283806">
        <w:rPr>
          <w:w w:val="105"/>
        </w:rPr>
        <w:t>the</w:t>
      </w:r>
      <w:r w:rsidRPr="00283806">
        <w:rPr>
          <w:spacing w:val="40"/>
          <w:w w:val="105"/>
        </w:rPr>
        <w:t xml:space="preserve"> </w:t>
      </w:r>
      <w:r w:rsidRPr="00283806">
        <w:rPr>
          <w:w w:val="105"/>
        </w:rPr>
        <w:t>existing</w:t>
      </w:r>
      <w:r w:rsidRPr="00283806">
        <w:rPr>
          <w:spacing w:val="40"/>
          <w:w w:val="105"/>
        </w:rPr>
        <w:t xml:space="preserve"> </w:t>
      </w:r>
      <w:r w:rsidRPr="00283806">
        <w:rPr>
          <w:w w:val="105"/>
        </w:rPr>
        <w:t>installed base of appliances. Based on such considerations, and as discussed in greater detail below, EPA concludes it is appropriate</w:t>
      </w:r>
      <w:r w:rsidRPr="00283806">
        <w:rPr>
          <w:spacing w:val="5"/>
          <w:w w:val="105"/>
        </w:rPr>
        <w:t xml:space="preserve"> </w:t>
      </w:r>
      <w:r w:rsidRPr="00283806">
        <w:rPr>
          <w:w w:val="105"/>
        </w:rPr>
        <w:t>to</w:t>
      </w:r>
      <w:r w:rsidRPr="00283806">
        <w:rPr>
          <w:spacing w:val="5"/>
          <w:w w:val="105"/>
        </w:rPr>
        <w:t xml:space="preserve"> </w:t>
      </w:r>
      <w:r w:rsidRPr="00283806">
        <w:rPr>
          <w:w w:val="105"/>
        </w:rPr>
        <w:t>use</w:t>
      </w:r>
      <w:r w:rsidRPr="00283806">
        <w:rPr>
          <w:spacing w:val="5"/>
          <w:w w:val="105"/>
        </w:rPr>
        <w:t xml:space="preserve"> </w:t>
      </w:r>
      <w:r w:rsidRPr="00283806">
        <w:rPr>
          <w:w w:val="105"/>
        </w:rPr>
        <w:t>a</w:t>
      </w:r>
      <w:r w:rsidRPr="00283806">
        <w:rPr>
          <w:spacing w:val="5"/>
          <w:w w:val="105"/>
        </w:rPr>
        <w:t xml:space="preserve"> </w:t>
      </w:r>
      <w:r w:rsidRPr="00283806">
        <w:rPr>
          <w:w w:val="105"/>
        </w:rPr>
        <w:t>15-pound</w:t>
      </w:r>
      <w:r w:rsidRPr="00283806">
        <w:rPr>
          <w:spacing w:val="6"/>
          <w:w w:val="105"/>
        </w:rPr>
        <w:t xml:space="preserve"> </w:t>
      </w:r>
      <w:r w:rsidRPr="00283806">
        <w:rPr>
          <w:spacing w:val="-2"/>
          <w:w w:val="105"/>
        </w:rPr>
        <w:t>threshold</w:t>
      </w:r>
    </w:p>
    <w:p w14:paraId="6C7ED7B2" w14:textId="77777777" w:rsidR="00D67C1E" w:rsidRPr="00283806" w:rsidRDefault="001265CA">
      <w:pPr>
        <w:pStyle w:val="BodyText"/>
        <w:spacing w:before="132" w:line="228" w:lineRule="auto"/>
        <w:ind w:left="144" w:right="142"/>
      </w:pPr>
      <w:r w:rsidRPr="00283806">
        <w:br w:type="column"/>
      </w:r>
      <w:r w:rsidRPr="00283806">
        <w:rPr>
          <w:w w:val="105"/>
        </w:rPr>
        <w:t>for the leak repair requirements under this rule and that this threshold will further serve the purposes identified in subsection (h)(1) of minimizing the release of HFCs from equipment and maximizing reclamation.</w:t>
      </w:r>
    </w:p>
    <w:p w14:paraId="5925C458" w14:textId="77777777" w:rsidR="00D67C1E" w:rsidRPr="00283806" w:rsidRDefault="001265CA">
      <w:pPr>
        <w:pStyle w:val="BodyText"/>
        <w:spacing w:line="228" w:lineRule="auto"/>
        <w:ind w:left="144" w:right="142" w:firstLine="180"/>
      </w:pPr>
      <w:r w:rsidRPr="00283806">
        <w:rPr>
          <w:w w:val="105"/>
        </w:rPr>
        <w:t>By establishing an applicable charge size of 15 pounds or more of refrigerant, with certain exemptions, the universe of affected appliances covered by the leak repair requirements under subsection</w:t>
      </w:r>
    </w:p>
    <w:p w14:paraId="18EA4767" w14:textId="77777777" w:rsidR="00D67C1E" w:rsidRPr="00283806" w:rsidRDefault="001265CA">
      <w:pPr>
        <w:pStyle w:val="BodyText"/>
        <w:spacing w:line="228" w:lineRule="auto"/>
        <w:ind w:left="144" w:right="198"/>
      </w:pPr>
      <w:r w:rsidRPr="00283806">
        <w:rPr>
          <w:w w:val="105"/>
        </w:rPr>
        <w:t xml:space="preserve">(h) is larger than the universe of appliances containing ODS refrigerants and subject to the leak repair provisions at 40 CFR 82.157. For example, the applicable </w:t>
      </w:r>
      <w:proofErr w:type="gramStart"/>
      <w:r w:rsidRPr="00283806">
        <w:rPr>
          <w:w w:val="105"/>
        </w:rPr>
        <w:t>charge size</w:t>
      </w:r>
      <w:proofErr w:type="gramEnd"/>
      <w:r w:rsidRPr="00283806">
        <w:rPr>
          <w:w w:val="105"/>
        </w:rPr>
        <w:t xml:space="preserve"> of 15 pounds or more of a refrigerant that contains an HFC or substitute refrigerant with a</w:t>
      </w:r>
      <w:r w:rsidRPr="00283806">
        <w:rPr>
          <w:spacing w:val="40"/>
          <w:w w:val="105"/>
        </w:rPr>
        <w:t xml:space="preserve"> </w:t>
      </w:r>
      <w:r w:rsidRPr="00283806">
        <w:rPr>
          <w:w w:val="105"/>
        </w:rPr>
        <w:t xml:space="preserve">GWP above 53 is expected to cover certain appliances in the following </w:t>
      </w:r>
      <w:r w:rsidRPr="00283806">
        <w:rPr>
          <w:spacing w:val="-2"/>
          <w:w w:val="105"/>
        </w:rPr>
        <w:t>subsectors:</w:t>
      </w:r>
    </w:p>
    <w:p w14:paraId="6EC1EF51" w14:textId="77777777" w:rsidR="00D67C1E" w:rsidRPr="00283806" w:rsidRDefault="001265CA">
      <w:pPr>
        <w:pStyle w:val="ListParagraph"/>
        <w:numPr>
          <w:ilvl w:val="0"/>
          <w:numId w:val="58"/>
        </w:numPr>
        <w:tabs>
          <w:tab w:val="left" w:pos="506"/>
        </w:tabs>
        <w:spacing w:line="187" w:lineRule="exact"/>
        <w:ind w:left="506" w:hanging="182"/>
        <w:jc w:val="both"/>
        <w:rPr>
          <w:sz w:val="18"/>
        </w:rPr>
      </w:pPr>
      <w:r w:rsidRPr="00283806">
        <w:rPr>
          <w:w w:val="105"/>
          <w:sz w:val="18"/>
        </w:rPr>
        <w:t>Train</w:t>
      </w:r>
      <w:r w:rsidRPr="00283806">
        <w:rPr>
          <w:spacing w:val="9"/>
          <w:w w:val="105"/>
          <w:sz w:val="18"/>
        </w:rPr>
        <w:t xml:space="preserve"> </w:t>
      </w:r>
      <w:r w:rsidRPr="00283806">
        <w:rPr>
          <w:w w:val="105"/>
          <w:sz w:val="18"/>
        </w:rPr>
        <w:t>air</w:t>
      </w:r>
      <w:r w:rsidRPr="00283806">
        <w:rPr>
          <w:spacing w:val="9"/>
          <w:w w:val="105"/>
          <w:sz w:val="18"/>
        </w:rPr>
        <w:t xml:space="preserve"> </w:t>
      </w:r>
      <w:r w:rsidRPr="00283806">
        <w:rPr>
          <w:spacing w:val="-2"/>
          <w:w w:val="105"/>
          <w:sz w:val="18"/>
        </w:rPr>
        <w:t>conditioning;</w:t>
      </w:r>
    </w:p>
    <w:p w14:paraId="2106D969" w14:textId="77777777" w:rsidR="00D67C1E" w:rsidRPr="00283806" w:rsidRDefault="001265CA">
      <w:pPr>
        <w:pStyle w:val="ListParagraph"/>
        <w:numPr>
          <w:ilvl w:val="0"/>
          <w:numId w:val="58"/>
        </w:numPr>
        <w:tabs>
          <w:tab w:val="left" w:pos="505"/>
        </w:tabs>
        <w:spacing w:before="1" w:line="216" w:lineRule="auto"/>
        <w:ind w:right="138" w:firstLine="179"/>
        <w:jc w:val="both"/>
        <w:rPr>
          <w:sz w:val="11"/>
        </w:rPr>
      </w:pPr>
      <w:r w:rsidRPr="00283806">
        <w:rPr>
          <w:spacing w:val="-2"/>
          <w:w w:val="110"/>
          <w:sz w:val="18"/>
        </w:rPr>
        <w:t>Passenger</w:t>
      </w:r>
      <w:r w:rsidRPr="00283806">
        <w:rPr>
          <w:spacing w:val="-9"/>
          <w:w w:val="110"/>
          <w:sz w:val="18"/>
        </w:rPr>
        <w:t xml:space="preserve"> </w:t>
      </w:r>
      <w:r w:rsidRPr="00283806">
        <w:rPr>
          <w:spacing w:val="-2"/>
          <w:w w:val="110"/>
          <w:sz w:val="18"/>
        </w:rPr>
        <w:t>buses</w:t>
      </w:r>
      <w:r w:rsidRPr="00283806">
        <w:rPr>
          <w:spacing w:val="-7"/>
          <w:w w:val="110"/>
          <w:sz w:val="18"/>
        </w:rPr>
        <w:t xml:space="preserve"> </w:t>
      </w:r>
      <w:r w:rsidRPr="00283806">
        <w:rPr>
          <w:spacing w:val="-2"/>
          <w:w w:val="110"/>
          <w:sz w:val="18"/>
        </w:rPr>
        <w:t>(</w:t>
      </w:r>
      <w:r w:rsidRPr="00283806">
        <w:rPr>
          <w:rFonts w:ascii="Book Antiqua" w:hAnsi="Book Antiqua"/>
          <w:i/>
          <w:spacing w:val="-2"/>
          <w:w w:val="110"/>
          <w:sz w:val="18"/>
        </w:rPr>
        <w:t>e.g.,</w:t>
      </w:r>
      <w:r w:rsidRPr="00283806">
        <w:rPr>
          <w:rFonts w:ascii="Book Antiqua" w:hAnsi="Book Antiqua"/>
          <w:i/>
          <w:spacing w:val="-11"/>
          <w:w w:val="110"/>
          <w:sz w:val="18"/>
        </w:rPr>
        <w:t xml:space="preserve"> </w:t>
      </w:r>
      <w:r w:rsidRPr="00283806">
        <w:rPr>
          <w:spacing w:val="-2"/>
          <w:w w:val="110"/>
          <w:sz w:val="18"/>
        </w:rPr>
        <w:t>school,</w:t>
      </w:r>
      <w:r w:rsidRPr="00283806">
        <w:rPr>
          <w:spacing w:val="-7"/>
          <w:w w:val="110"/>
          <w:sz w:val="18"/>
        </w:rPr>
        <w:t xml:space="preserve"> </w:t>
      </w:r>
      <w:r w:rsidRPr="00283806">
        <w:rPr>
          <w:spacing w:val="-2"/>
          <w:w w:val="110"/>
          <w:sz w:val="18"/>
        </w:rPr>
        <w:t xml:space="preserve">coach, </w:t>
      </w:r>
      <w:r w:rsidRPr="00283806">
        <w:rPr>
          <w:w w:val="110"/>
          <w:sz w:val="18"/>
        </w:rPr>
        <w:t xml:space="preserve">transit, and trolley buses); </w:t>
      </w:r>
      <w:r w:rsidRPr="00283806">
        <w:rPr>
          <w:w w:val="110"/>
          <w:position w:val="4"/>
          <w:sz w:val="11"/>
        </w:rPr>
        <w:t>57</w:t>
      </w:r>
    </w:p>
    <w:p w14:paraId="1ECF42AD" w14:textId="77777777" w:rsidR="00D67C1E" w:rsidRPr="00283806" w:rsidRDefault="001265CA">
      <w:pPr>
        <w:pStyle w:val="ListParagraph"/>
        <w:numPr>
          <w:ilvl w:val="0"/>
          <w:numId w:val="58"/>
        </w:numPr>
        <w:tabs>
          <w:tab w:val="left" w:pos="506"/>
        </w:tabs>
        <w:spacing w:line="197" w:lineRule="exact"/>
        <w:ind w:left="506" w:hanging="182"/>
        <w:jc w:val="both"/>
        <w:rPr>
          <w:sz w:val="18"/>
        </w:rPr>
      </w:pPr>
      <w:r w:rsidRPr="00283806">
        <w:rPr>
          <w:sz w:val="18"/>
        </w:rPr>
        <w:t>Refrigerated</w:t>
      </w:r>
      <w:r w:rsidRPr="00283806">
        <w:rPr>
          <w:spacing w:val="65"/>
          <w:sz w:val="18"/>
        </w:rPr>
        <w:t xml:space="preserve"> </w:t>
      </w:r>
      <w:r w:rsidRPr="00283806">
        <w:rPr>
          <w:sz w:val="18"/>
        </w:rPr>
        <w:t>transport—</w:t>
      </w:r>
      <w:r w:rsidRPr="00283806">
        <w:rPr>
          <w:spacing w:val="-2"/>
          <w:sz w:val="18"/>
        </w:rPr>
        <w:t>rail;</w:t>
      </w:r>
    </w:p>
    <w:p w14:paraId="103D9CCD" w14:textId="77777777" w:rsidR="00D67C1E" w:rsidRPr="00283806" w:rsidRDefault="001265CA">
      <w:pPr>
        <w:pStyle w:val="ListParagraph"/>
        <w:numPr>
          <w:ilvl w:val="0"/>
          <w:numId w:val="58"/>
        </w:numPr>
        <w:tabs>
          <w:tab w:val="left" w:pos="506"/>
        </w:tabs>
        <w:spacing w:before="4" w:line="220" w:lineRule="auto"/>
        <w:ind w:right="148" w:firstLine="180"/>
        <w:jc w:val="both"/>
        <w:rPr>
          <w:sz w:val="18"/>
        </w:rPr>
      </w:pPr>
      <w:r w:rsidRPr="00283806">
        <w:rPr>
          <w:w w:val="105"/>
          <w:sz w:val="18"/>
        </w:rPr>
        <w:t>Large retail food remote condensing units (</w:t>
      </w:r>
      <w:r w:rsidRPr="00283806">
        <w:rPr>
          <w:rFonts w:ascii="Book Antiqua" w:hAnsi="Book Antiqua"/>
          <w:i/>
          <w:w w:val="105"/>
          <w:sz w:val="18"/>
        </w:rPr>
        <w:t xml:space="preserve">e.g., </w:t>
      </w:r>
      <w:r w:rsidRPr="00283806">
        <w:rPr>
          <w:w w:val="105"/>
          <w:sz w:val="18"/>
        </w:rPr>
        <w:t xml:space="preserve">cold rooms in supermarkets); </w:t>
      </w:r>
      <w:r w:rsidRPr="00283806">
        <w:rPr>
          <w:spacing w:val="-4"/>
          <w:w w:val="105"/>
          <w:sz w:val="18"/>
        </w:rPr>
        <w:t>and</w:t>
      </w:r>
    </w:p>
    <w:p w14:paraId="26B50F8F" w14:textId="77777777" w:rsidR="00D67C1E" w:rsidRPr="00283806" w:rsidRDefault="001265CA">
      <w:pPr>
        <w:pStyle w:val="ListParagraph"/>
        <w:numPr>
          <w:ilvl w:val="0"/>
          <w:numId w:val="58"/>
        </w:numPr>
        <w:tabs>
          <w:tab w:val="left" w:pos="506"/>
        </w:tabs>
        <w:spacing w:line="220" w:lineRule="auto"/>
        <w:ind w:right="362" w:firstLine="180"/>
        <w:rPr>
          <w:sz w:val="18"/>
        </w:rPr>
      </w:pPr>
      <w:r w:rsidRPr="00283806">
        <w:rPr>
          <w:w w:val="105"/>
          <w:sz w:val="18"/>
        </w:rPr>
        <w:t>Commercial unitary air conditioning (</w:t>
      </w:r>
      <w:r w:rsidRPr="00283806">
        <w:rPr>
          <w:rFonts w:ascii="Book Antiqua" w:hAnsi="Book Antiqua"/>
          <w:i/>
          <w:w w:val="105"/>
          <w:sz w:val="18"/>
        </w:rPr>
        <w:t xml:space="preserve">e.g., </w:t>
      </w:r>
      <w:r w:rsidRPr="00283806">
        <w:rPr>
          <w:w w:val="105"/>
          <w:sz w:val="18"/>
        </w:rPr>
        <w:t>a system for a mid- sized office building).</w:t>
      </w:r>
    </w:p>
    <w:p w14:paraId="0B22A570" w14:textId="77777777" w:rsidR="00D67C1E" w:rsidRPr="00283806" w:rsidRDefault="001265CA">
      <w:pPr>
        <w:pStyle w:val="BodyText"/>
        <w:spacing w:before="1" w:line="228" w:lineRule="auto"/>
        <w:ind w:left="144" w:right="162" w:firstLine="180"/>
      </w:pPr>
      <w:r w:rsidRPr="00283806">
        <w:rPr>
          <w:w w:val="105"/>
        </w:rPr>
        <w:t>EPA is establishing a 15-pound refrigerant charge size threshold for refrigerant-containing appliances</w:t>
      </w:r>
      <w:r w:rsidRPr="00283806">
        <w:rPr>
          <w:spacing w:val="40"/>
          <w:w w:val="105"/>
        </w:rPr>
        <w:t xml:space="preserve"> </w:t>
      </w:r>
      <w:r w:rsidRPr="00283806">
        <w:rPr>
          <w:w w:val="105"/>
        </w:rPr>
        <w:t>subject to the leak repair requirements</w:t>
      </w:r>
      <w:r w:rsidRPr="00283806">
        <w:rPr>
          <w:spacing w:val="40"/>
          <w:w w:val="105"/>
        </w:rPr>
        <w:t xml:space="preserve"> </w:t>
      </w:r>
      <w:r w:rsidRPr="00283806">
        <w:rPr>
          <w:w w:val="105"/>
        </w:rPr>
        <w:t xml:space="preserve">in this final rule based in part on consideration of an analysis of refrigerant-containing appliances where HFCs or their substitutes are currently being used and where they are expected to be used in the coming years. EPA conducted an analysis </w:t>
      </w:r>
      <w:r w:rsidRPr="00283806">
        <w:rPr>
          <w:w w:val="105"/>
          <w:position w:val="5"/>
          <w:sz w:val="11"/>
        </w:rPr>
        <w:t>58</w:t>
      </w:r>
      <w:r w:rsidRPr="00283806">
        <w:rPr>
          <w:spacing w:val="40"/>
          <w:w w:val="105"/>
          <w:position w:val="5"/>
          <w:sz w:val="11"/>
        </w:rPr>
        <w:t xml:space="preserve"> </w:t>
      </w:r>
      <w:r w:rsidRPr="00283806">
        <w:rPr>
          <w:w w:val="105"/>
        </w:rPr>
        <w:t>using the Vintaging Model to estimate the</w:t>
      </w:r>
      <w:r w:rsidRPr="00283806">
        <w:rPr>
          <w:spacing w:val="80"/>
          <w:w w:val="105"/>
        </w:rPr>
        <w:t xml:space="preserve"> </w:t>
      </w:r>
      <w:r w:rsidRPr="00283806">
        <w:rPr>
          <w:w w:val="105"/>
        </w:rPr>
        <w:t xml:space="preserve">quantity of refrigerants used in equipment of varying charge sizes (also called the ‘‘installed stock’’). The Vintaging Model tracks the transition from ODS to substitutes including HFCs by modeling the total pieces of equipment and average charge sizes— which could vary over time based on vintage and the ODS or </w:t>
      </w:r>
      <w:proofErr w:type="gramStart"/>
      <w:r w:rsidRPr="00283806">
        <w:rPr>
          <w:w w:val="105"/>
        </w:rPr>
        <w:t>substitute</w:t>
      </w:r>
      <w:r w:rsidRPr="00283806">
        <w:rPr>
          <w:spacing w:val="80"/>
          <w:w w:val="105"/>
        </w:rPr>
        <w:t xml:space="preserve"> </w:t>
      </w:r>
      <w:r w:rsidRPr="00283806">
        <w:rPr>
          <w:w w:val="105"/>
        </w:rPr>
        <w:t>used—in</w:t>
      </w:r>
      <w:proofErr w:type="gramEnd"/>
      <w:r w:rsidRPr="00283806">
        <w:rPr>
          <w:w w:val="105"/>
        </w:rPr>
        <w:t xml:space="preserve"> over 60 subsectors. Doing so allows us to analyze the pieces of equipment and total refrigerant in equipment by charge size. A current snapshot of the model’s estimates of the installed stock of HFC and HFC</w:t>
      </w:r>
      <w:r w:rsidRPr="00283806">
        <w:rPr>
          <w:spacing w:val="40"/>
          <w:w w:val="105"/>
        </w:rPr>
        <w:t xml:space="preserve"> </w:t>
      </w:r>
      <w:r w:rsidRPr="00283806">
        <w:rPr>
          <w:w w:val="105"/>
        </w:rPr>
        <w:t>substitute refrigerants in 2025 shows</w:t>
      </w:r>
    </w:p>
    <w:p w14:paraId="4B316DEA" w14:textId="77777777" w:rsidR="00D67C1E" w:rsidRPr="00283806" w:rsidRDefault="001265CA">
      <w:pPr>
        <w:pStyle w:val="BodyText"/>
        <w:ind w:left="0"/>
        <w:rPr>
          <w:sz w:val="11"/>
        </w:rPr>
      </w:pPr>
      <w:r w:rsidRPr="00283806">
        <w:rPr>
          <w:noProof/>
        </w:rPr>
        <mc:AlternateContent>
          <mc:Choice Requires="wps">
            <w:drawing>
              <wp:anchor distT="0" distB="0" distL="0" distR="0" simplePos="0" relativeHeight="251634688" behindDoc="1" locked="0" layoutInCell="1" allowOverlap="1" wp14:anchorId="050555EC" wp14:editId="4B0B3E06">
                <wp:simplePos x="0" y="0"/>
                <wp:positionH relativeFrom="page">
                  <wp:posOffset>5067300</wp:posOffset>
                </wp:positionH>
                <wp:positionV relativeFrom="paragraph">
                  <wp:posOffset>97718</wp:posOffset>
                </wp:positionV>
                <wp:extent cx="635000" cy="1270"/>
                <wp:effectExtent l="0" t="0" r="0" b="0"/>
                <wp:wrapTopAndBottom/>
                <wp:docPr id="66" name="Graphic 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455DB7" id="Graphic 66" o:spid="_x0000_s1026" alt="&quot;&quot;" style="position:absolute;margin-left:399pt;margin-top:7.7pt;width:50pt;height:.1pt;z-index:-251681792;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" path="m,l635000,e" filled="f" strokeweight=".5pt">
                <v:path arrowok="t"/>
                <w10:wrap type="topAndBottom" anchorx="page"/>
              </v:shape>
            </w:pict>
          </mc:Fallback>
        </mc:AlternateContent>
      </w:r>
    </w:p>
    <w:p w14:paraId="425274A3" w14:textId="77777777" w:rsidR="00D67C1E" w:rsidRPr="00283806" w:rsidRDefault="001265CA">
      <w:pPr>
        <w:spacing w:before="40" w:line="232" w:lineRule="auto"/>
        <w:ind w:left="144" w:right="242" w:firstLine="140"/>
        <w:rPr>
          <w:sz w:val="14"/>
        </w:rPr>
      </w:pPr>
      <w:r w:rsidRPr="00283806">
        <w:rPr>
          <w:w w:val="105"/>
          <w:position w:val="4"/>
          <w:sz w:val="9"/>
        </w:rPr>
        <w:t xml:space="preserve">57 </w:t>
      </w:r>
      <w:r w:rsidRPr="00283806">
        <w:rPr>
          <w:w w:val="105"/>
          <w:sz w:val="14"/>
        </w:rPr>
        <w:t>‘‘Bus’’ is defined at 40 CFR 1037.801 and</w:t>
      </w:r>
      <w:r w:rsidRPr="00283806">
        <w:rPr>
          <w:spacing w:val="80"/>
          <w:w w:val="105"/>
          <w:sz w:val="14"/>
        </w:rPr>
        <w:t xml:space="preserve"> </w:t>
      </w:r>
      <w:r w:rsidRPr="00283806">
        <w:rPr>
          <w:w w:val="105"/>
          <w:sz w:val="14"/>
        </w:rPr>
        <w:t>means ‘‘a heavy-duty vehicle designed to carry</w:t>
      </w:r>
      <w:r w:rsidRPr="00283806">
        <w:rPr>
          <w:spacing w:val="40"/>
          <w:w w:val="105"/>
          <w:sz w:val="14"/>
        </w:rPr>
        <w:t xml:space="preserve"> </w:t>
      </w:r>
      <w:r w:rsidRPr="00283806">
        <w:rPr>
          <w:w w:val="105"/>
          <w:sz w:val="14"/>
        </w:rPr>
        <w:t>more than 15 passengers. Buses may include coach</w:t>
      </w:r>
      <w:r w:rsidRPr="00283806">
        <w:rPr>
          <w:spacing w:val="40"/>
          <w:w w:val="105"/>
          <w:sz w:val="14"/>
        </w:rPr>
        <w:t xml:space="preserve"> </w:t>
      </w:r>
      <w:r w:rsidRPr="00283806">
        <w:rPr>
          <w:w w:val="105"/>
          <w:sz w:val="14"/>
        </w:rPr>
        <w:t>buses, school buses, and urban transit buses.’’</w:t>
      </w:r>
    </w:p>
    <w:p w14:paraId="705167C1" w14:textId="77777777" w:rsidR="00D67C1E" w:rsidRPr="00283806" w:rsidRDefault="001265CA">
      <w:pPr>
        <w:spacing w:before="23" w:line="232" w:lineRule="auto"/>
        <w:ind w:left="144" w:right="142" w:firstLine="140"/>
        <w:rPr>
          <w:sz w:val="14"/>
        </w:rPr>
      </w:pPr>
      <w:r w:rsidRPr="00283806">
        <w:rPr>
          <w:w w:val="110"/>
          <w:position w:val="4"/>
          <w:sz w:val="9"/>
        </w:rPr>
        <w:t xml:space="preserve">58 </w:t>
      </w:r>
      <w:r w:rsidRPr="00283806">
        <w:rPr>
          <w:w w:val="110"/>
          <w:sz w:val="14"/>
        </w:rPr>
        <w:t>U.S. EPA. 2023. EPA’s Vintaging Model</w:t>
      </w:r>
      <w:r w:rsidRPr="00283806">
        <w:rPr>
          <w:spacing w:val="40"/>
          <w:w w:val="110"/>
          <w:sz w:val="14"/>
        </w:rPr>
        <w:t xml:space="preserve"> </w:t>
      </w:r>
      <w:r w:rsidRPr="00283806">
        <w:rPr>
          <w:w w:val="110"/>
          <w:sz w:val="14"/>
        </w:rPr>
        <w:t>representing the Allocation Framework Rule as</w:t>
      </w:r>
      <w:r w:rsidRPr="00283806">
        <w:rPr>
          <w:spacing w:val="40"/>
          <w:w w:val="110"/>
          <w:sz w:val="14"/>
        </w:rPr>
        <w:t xml:space="preserve"> </w:t>
      </w:r>
      <w:r w:rsidRPr="00283806">
        <w:rPr>
          <w:w w:val="110"/>
          <w:sz w:val="14"/>
        </w:rPr>
        <w:t>modified by the 2024 Allocation Rule RIA</w:t>
      </w:r>
      <w:r w:rsidRPr="00283806">
        <w:rPr>
          <w:spacing w:val="40"/>
          <w:w w:val="110"/>
          <w:sz w:val="14"/>
        </w:rPr>
        <w:t xml:space="preserve"> </w:t>
      </w:r>
      <w:r w:rsidRPr="00283806">
        <w:rPr>
          <w:spacing w:val="-2"/>
          <w:w w:val="110"/>
          <w:sz w:val="14"/>
        </w:rPr>
        <w:t>Addendum</w:t>
      </w:r>
      <w:r w:rsidRPr="00283806">
        <w:rPr>
          <w:spacing w:val="-3"/>
          <w:w w:val="110"/>
          <w:sz w:val="14"/>
        </w:rPr>
        <w:t xml:space="preserve"> </w:t>
      </w:r>
      <w:r w:rsidRPr="00283806">
        <w:rPr>
          <w:spacing w:val="-2"/>
          <w:w w:val="110"/>
          <w:sz w:val="14"/>
        </w:rPr>
        <w:t>and</w:t>
      </w:r>
      <w:r w:rsidRPr="00283806">
        <w:rPr>
          <w:spacing w:val="-3"/>
          <w:w w:val="110"/>
          <w:sz w:val="14"/>
        </w:rPr>
        <w:t xml:space="preserve"> </w:t>
      </w:r>
      <w:r w:rsidRPr="00283806">
        <w:rPr>
          <w:spacing w:val="-2"/>
          <w:w w:val="110"/>
          <w:sz w:val="14"/>
        </w:rPr>
        <w:t>the</w:t>
      </w:r>
      <w:r w:rsidRPr="00283806">
        <w:rPr>
          <w:spacing w:val="-3"/>
          <w:w w:val="110"/>
          <w:sz w:val="14"/>
        </w:rPr>
        <w:t xml:space="preserve"> </w:t>
      </w:r>
      <w:r w:rsidRPr="00283806">
        <w:rPr>
          <w:spacing w:val="-2"/>
          <w:w w:val="110"/>
          <w:sz w:val="14"/>
        </w:rPr>
        <w:t>2023</w:t>
      </w:r>
      <w:r w:rsidRPr="00283806">
        <w:rPr>
          <w:spacing w:val="-3"/>
          <w:w w:val="110"/>
          <w:sz w:val="14"/>
        </w:rPr>
        <w:t xml:space="preserve"> </w:t>
      </w:r>
      <w:r w:rsidRPr="00283806">
        <w:rPr>
          <w:spacing w:val="-2"/>
          <w:w w:val="110"/>
          <w:sz w:val="14"/>
        </w:rPr>
        <w:t>Technology</w:t>
      </w:r>
      <w:r w:rsidRPr="00283806">
        <w:rPr>
          <w:spacing w:val="-3"/>
          <w:w w:val="110"/>
          <w:sz w:val="14"/>
        </w:rPr>
        <w:t xml:space="preserve"> </w:t>
      </w:r>
      <w:r w:rsidRPr="00283806">
        <w:rPr>
          <w:spacing w:val="-2"/>
          <w:w w:val="110"/>
          <w:sz w:val="14"/>
        </w:rPr>
        <w:t>Transitions</w:t>
      </w:r>
      <w:r w:rsidRPr="00283806">
        <w:rPr>
          <w:spacing w:val="40"/>
          <w:w w:val="110"/>
          <w:sz w:val="14"/>
        </w:rPr>
        <w:t xml:space="preserve"> </w:t>
      </w:r>
      <w:r w:rsidRPr="00283806">
        <w:rPr>
          <w:w w:val="110"/>
          <w:sz w:val="14"/>
        </w:rPr>
        <w:t>Rule</w:t>
      </w:r>
      <w:r w:rsidRPr="00283806">
        <w:rPr>
          <w:spacing w:val="-1"/>
          <w:w w:val="110"/>
          <w:sz w:val="14"/>
        </w:rPr>
        <w:t xml:space="preserve"> </w:t>
      </w:r>
      <w:r w:rsidRPr="00283806">
        <w:rPr>
          <w:w w:val="110"/>
          <w:sz w:val="14"/>
        </w:rPr>
        <w:t>RIA</w:t>
      </w:r>
      <w:r w:rsidRPr="00283806">
        <w:rPr>
          <w:spacing w:val="-1"/>
          <w:w w:val="110"/>
          <w:sz w:val="14"/>
        </w:rPr>
        <w:t xml:space="preserve"> </w:t>
      </w:r>
      <w:r w:rsidRPr="00283806">
        <w:rPr>
          <w:w w:val="110"/>
          <w:sz w:val="14"/>
        </w:rPr>
        <w:t>Addendum.</w:t>
      </w:r>
      <w:r w:rsidRPr="00283806">
        <w:rPr>
          <w:spacing w:val="-1"/>
          <w:w w:val="110"/>
          <w:sz w:val="14"/>
        </w:rPr>
        <w:t xml:space="preserve"> </w:t>
      </w:r>
      <w:r w:rsidRPr="00283806">
        <w:rPr>
          <w:w w:val="110"/>
          <w:sz w:val="14"/>
        </w:rPr>
        <w:t>VM</w:t>
      </w:r>
      <w:r w:rsidRPr="00283806">
        <w:rPr>
          <w:spacing w:val="-1"/>
          <w:w w:val="110"/>
          <w:sz w:val="14"/>
        </w:rPr>
        <w:t xml:space="preserve"> </w:t>
      </w:r>
      <w:r w:rsidRPr="00283806">
        <w:rPr>
          <w:w w:val="110"/>
          <w:sz w:val="14"/>
        </w:rPr>
        <w:t>IO</w:t>
      </w:r>
      <w:r w:rsidRPr="00283806">
        <w:rPr>
          <w:spacing w:val="-1"/>
          <w:w w:val="110"/>
          <w:sz w:val="14"/>
        </w:rPr>
        <w:t xml:space="preserve"> </w:t>
      </w:r>
      <w:r w:rsidRPr="00283806">
        <w:rPr>
          <w:w w:val="110"/>
          <w:sz w:val="14"/>
        </w:rPr>
        <w:t>file</w:t>
      </w:r>
      <w:r w:rsidRPr="00283806">
        <w:rPr>
          <w:rFonts w:ascii="Symbol" w:hAnsi="Symbol"/>
          <w:w w:val="110"/>
          <w:sz w:val="14"/>
        </w:rPr>
        <w:t></w:t>
      </w:r>
      <w:r w:rsidRPr="00283806">
        <w:rPr>
          <w:w w:val="110"/>
          <w:sz w:val="14"/>
        </w:rPr>
        <w:t>v4.4</w:t>
      </w:r>
      <w:r w:rsidRPr="00283806">
        <w:rPr>
          <w:rFonts w:ascii="Symbol" w:hAnsi="Symbol"/>
          <w:w w:val="110"/>
          <w:sz w:val="14"/>
        </w:rPr>
        <w:t></w:t>
      </w:r>
      <w:r w:rsidRPr="00283806">
        <w:rPr>
          <w:w w:val="110"/>
          <w:sz w:val="14"/>
        </w:rPr>
        <w:t>02.04.16</w:t>
      </w:r>
      <w:r w:rsidRPr="00283806">
        <w:rPr>
          <w:rFonts w:ascii="Symbol" w:hAnsi="Symbol"/>
          <w:w w:val="110"/>
          <w:sz w:val="14"/>
        </w:rPr>
        <w:t></w:t>
      </w:r>
      <w:r w:rsidRPr="00283806">
        <w:rPr>
          <w:rFonts w:ascii="Times New Roman" w:hAnsi="Times New Roman"/>
          <w:spacing w:val="40"/>
          <w:w w:val="110"/>
          <w:sz w:val="14"/>
        </w:rPr>
        <w:t xml:space="preserve"> </w:t>
      </w:r>
      <w:r w:rsidRPr="00283806">
        <w:rPr>
          <w:w w:val="110"/>
          <w:sz w:val="14"/>
        </w:rPr>
        <w:t>Final TT Rule 2023 High Addition.</w:t>
      </w:r>
    </w:p>
    <w:p w14:paraId="7E064F72" w14:textId="77777777" w:rsidR="00D67C1E" w:rsidRPr="00283806" w:rsidRDefault="00D67C1E">
      <w:pPr>
        <w:spacing w:line="232" w:lineRule="auto"/>
        <w:rPr>
          <w:sz w:val="14"/>
        </w:rPr>
        <w:sectPr w:rsidR="00D67C1E" w:rsidRPr="00283806">
          <w:pgSz w:w="12240" w:h="15840"/>
          <w:pgMar w:top="1040" w:right="780" w:bottom="280" w:left="740" w:header="627" w:footer="0" w:gutter="0"/>
          <w:cols w:num="3" w:space="720" w:equalWidth="0">
            <w:col w:w="3515" w:space="40"/>
            <w:col w:w="3502" w:space="39"/>
            <w:col w:w="3624"/>
          </w:cols>
        </w:sectPr>
      </w:pPr>
    </w:p>
    <w:p w14:paraId="5322BDD3" w14:textId="77777777" w:rsidR="00D67C1E" w:rsidRPr="00283806" w:rsidRDefault="001265CA">
      <w:pPr>
        <w:pStyle w:val="BodyText"/>
        <w:spacing w:before="136" w:line="225" w:lineRule="auto"/>
        <w:ind w:right="68"/>
      </w:pPr>
      <w:r w:rsidRPr="00283806">
        <w:rPr>
          <w:w w:val="105"/>
        </w:rPr>
        <w:lastRenderedPageBreak/>
        <w:t>that approximately 42 percent of refrigerants (on a weighted carbon dioxide equivalent (CO</w:t>
      </w:r>
      <w:r w:rsidRPr="00283806">
        <w:rPr>
          <w:rFonts w:ascii="Times New Roman"/>
          <w:w w:val="105"/>
          <w:vertAlign w:val="subscript"/>
        </w:rPr>
        <w:t>2</w:t>
      </w:r>
      <w:r w:rsidRPr="00283806">
        <w:rPr>
          <w:w w:val="105"/>
        </w:rPr>
        <w:t>e) basis) are</w:t>
      </w:r>
      <w:r w:rsidRPr="00283806">
        <w:rPr>
          <w:spacing w:val="80"/>
          <w:w w:val="105"/>
        </w:rPr>
        <w:t xml:space="preserve"> </w:t>
      </w:r>
      <w:r w:rsidRPr="00283806">
        <w:rPr>
          <w:w w:val="105"/>
        </w:rPr>
        <w:t>used in appliances with a charge size above 15 pounds. In evaluating where leak</w:t>
      </w:r>
      <w:r w:rsidRPr="00283806">
        <w:rPr>
          <w:spacing w:val="40"/>
          <w:w w:val="105"/>
        </w:rPr>
        <w:t xml:space="preserve"> </w:t>
      </w:r>
      <w:r w:rsidRPr="00283806">
        <w:rPr>
          <w:w w:val="105"/>
        </w:rPr>
        <w:t>repair</w:t>
      </w:r>
      <w:r w:rsidRPr="00283806">
        <w:rPr>
          <w:spacing w:val="40"/>
          <w:w w:val="105"/>
        </w:rPr>
        <w:t xml:space="preserve"> </w:t>
      </w:r>
      <w:r w:rsidRPr="00283806">
        <w:rPr>
          <w:w w:val="105"/>
        </w:rPr>
        <w:t>could</w:t>
      </w:r>
      <w:r w:rsidRPr="00283806">
        <w:rPr>
          <w:spacing w:val="40"/>
          <w:w w:val="105"/>
        </w:rPr>
        <w:t xml:space="preserve"> </w:t>
      </w:r>
      <w:r w:rsidRPr="00283806">
        <w:rPr>
          <w:w w:val="105"/>
        </w:rPr>
        <w:t>be</w:t>
      </w:r>
      <w:r w:rsidRPr="00283806">
        <w:rPr>
          <w:spacing w:val="40"/>
          <w:w w:val="105"/>
        </w:rPr>
        <w:t xml:space="preserve"> </w:t>
      </w:r>
      <w:r w:rsidRPr="00283806">
        <w:rPr>
          <w:w w:val="105"/>
        </w:rPr>
        <w:t>effective</w:t>
      </w:r>
      <w:r w:rsidRPr="00283806">
        <w:rPr>
          <w:spacing w:val="40"/>
          <w:w w:val="105"/>
        </w:rPr>
        <w:t xml:space="preserve"> </w:t>
      </w:r>
      <w:r w:rsidRPr="00283806">
        <w:rPr>
          <w:w w:val="105"/>
        </w:rPr>
        <w:t>at reducing releases of refrigerant from appliances (</w:t>
      </w:r>
      <w:r w:rsidRPr="00283806">
        <w:rPr>
          <w:rFonts w:ascii="Book Antiqua"/>
          <w:i/>
          <w:w w:val="105"/>
        </w:rPr>
        <w:t xml:space="preserve">e.g., </w:t>
      </w:r>
      <w:r w:rsidRPr="00283806">
        <w:rPr>
          <w:w w:val="105"/>
        </w:rPr>
        <w:t>trains and passenger busses), which may result in additional environmental benefits, as well as</w:t>
      </w:r>
      <w:r w:rsidRPr="00283806">
        <w:rPr>
          <w:spacing w:val="40"/>
          <w:w w:val="105"/>
        </w:rPr>
        <w:t xml:space="preserve"> </w:t>
      </w:r>
      <w:r w:rsidRPr="00283806">
        <w:rPr>
          <w:w w:val="105"/>
        </w:rPr>
        <w:t>looking at changes in the RACHP market and aftermarket over the past few decades, EPA finds it appropriate to establish a charge size threshold of 15 pounds for refrigerant-containing appliances to be subject to the leak</w:t>
      </w:r>
      <w:r w:rsidRPr="00283806">
        <w:rPr>
          <w:spacing w:val="80"/>
          <w:w w:val="105"/>
        </w:rPr>
        <w:t xml:space="preserve"> </w:t>
      </w:r>
      <w:r w:rsidRPr="00283806">
        <w:rPr>
          <w:w w:val="105"/>
        </w:rPr>
        <w:t>repair requirements. As a general</w:t>
      </w:r>
      <w:r w:rsidRPr="00283806">
        <w:rPr>
          <w:spacing w:val="80"/>
          <w:w w:val="105"/>
        </w:rPr>
        <w:t xml:space="preserve"> </w:t>
      </w:r>
      <w:r w:rsidRPr="00283806">
        <w:rPr>
          <w:w w:val="105"/>
        </w:rPr>
        <w:t>matter, appliances containing less than</w:t>
      </w:r>
      <w:r w:rsidRPr="00283806">
        <w:rPr>
          <w:spacing w:val="40"/>
          <w:w w:val="105"/>
        </w:rPr>
        <w:t xml:space="preserve"> </w:t>
      </w:r>
      <w:r w:rsidRPr="00283806">
        <w:rPr>
          <w:w w:val="105"/>
        </w:rPr>
        <w:t>15 pounds of refrigerant are</w:t>
      </w:r>
      <w:r w:rsidRPr="00283806">
        <w:rPr>
          <w:spacing w:val="80"/>
          <w:w w:val="150"/>
        </w:rPr>
        <w:t xml:space="preserve"> </w:t>
      </w:r>
      <w:r w:rsidRPr="00283806">
        <w:rPr>
          <w:w w:val="105"/>
        </w:rPr>
        <w:t>significantly more likely to be hermetically sealed (and thus less prone to leaking) and more likely to be</w:t>
      </w:r>
      <w:r w:rsidRPr="00283806">
        <w:rPr>
          <w:spacing w:val="80"/>
          <w:w w:val="105"/>
        </w:rPr>
        <w:t xml:space="preserve"> </w:t>
      </w:r>
      <w:r w:rsidRPr="00283806">
        <w:rPr>
          <w:w w:val="105"/>
        </w:rPr>
        <w:t>replaced rather than be repaired.</w:t>
      </w:r>
    </w:p>
    <w:p w14:paraId="76D939C4" w14:textId="77777777" w:rsidR="00D67C1E" w:rsidRPr="00283806" w:rsidRDefault="001265CA">
      <w:pPr>
        <w:pStyle w:val="BodyText"/>
        <w:spacing w:line="162" w:lineRule="exact"/>
        <w:ind w:left="340"/>
      </w:pPr>
      <w:r w:rsidRPr="00283806">
        <w:rPr>
          <w:w w:val="105"/>
        </w:rPr>
        <w:t>EPA</w:t>
      </w:r>
      <w:r w:rsidRPr="00283806">
        <w:rPr>
          <w:spacing w:val="17"/>
          <w:w w:val="105"/>
        </w:rPr>
        <w:t xml:space="preserve"> </w:t>
      </w:r>
      <w:r w:rsidRPr="00283806">
        <w:rPr>
          <w:w w:val="105"/>
        </w:rPr>
        <w:t>considered</w:t>
      </w:r>
      <w:r w:rsidRPr="00283806">
        <w:rPr>
          <w:spacing w:val="18"/>
          <w:w w:val="105"/>
        </w:rPr>
        <w:t xml:space="preserve"> </w:t>
      </w:r>
      <w:r w:rsidRPr="00283806">
        <w:rPr>
          <w:w w:val="105"/>
        </w:rPr>
        <w:t>the</w:t>
      </w:r>
      <w:r w:rsidRPr="00283806">
        <w:rPr>
          <w:spacing w:val="17"/>
          <w:w w:val="105"/>
        </w:rPr>
        <w:t xml:space="preserve"> </w:t>
      </w:r>
      <w:r w:rsidRPr="00283806">
        <w:rPr>
          <w:spacing w:val="-2"/>
          <w:w w:val="105"/>
        </w:rPr>
        <w:t>statutory</w:t>
      </w:r>
    </w:p>
    <w:p w14:paraId="068A068C" w14:textId="77777777" w:rsidR="00D67C1E" w:rsidRPr="00283806" w:rsidRDefault="001265CA">
      <w:pPr>
        <w:pStyle w:val="BodyText"/>
        <w:spacing w:before="4" w:line="225" w:lineRule="auto"/>
        <w:ind w:right="6"/>
      </w:pPr>
      <w:r w:rsidRPr="00283806">
        <w:rPr>
          <w:w w:val="105"/>
        </w:rPr>
        <w:t>purposes in subsection (h)(1) to maximize the reclaiming and minimize the release of regulated substances from equipment when setting the threshold</w:t>
      </w:r>
      <w:r w:rsidRPr="00283806">
        <w:rPr>
          <w:spacing w:val="40"/>
          <w:w w:val="105"/>
        </w:rPr>
        <w:t xml:space="preserve"> </w:t>
      </w:r>
      <w:r w:rsidRPr="00283806">
        <w:rPr>
          <w:w w:val="105"/>
        </w:rPr>
        <w:t>for appliances covered for the leak</w:t>
      </w:r>
      <w:r w:rsidRPr="00283806">
        <w:rPr>
          <w:spacing w:val="80"/>
          <w:w w:val="105"/>
        </w:rPr>
        <w:t xml:space="preserve"> </w:t>
      </w:r>
      <w:r w:rsidRPr="00283806">
        <w:rPr>
          <w:w w:val="105"/>
        </w:rPr>
        <w:t>repair requirements. These purposes guided</w:t>
      </w:r>
      <w:r w:rsidRPr="00283806">
        <w:rPr>
          <w:spacing w:val="40"/>
          <w:w w:val="105"/>
        </w:rPr>
        <w:t xml:space="preserve"> </w:t>
      </w:r>
      <w:r w:rsidRPr="00283806">
        <w:rPr>
          <w:w w:val="105"/>
        </w:rPr>
        <w:t>EPA’s</w:t>
      </w:r>
      <w:r w:rsidRPr="00283806">
        <w:rPr>
          <w:spacing w:val="40"/>
          <w:w w:val="105"/>
        </w:rPr>
        <w:t xml:space="preserve"> </w:t>
      </w:r>
      <w:r w:rsidRPr="00283806">
        <w:rPr>
          <w:w w:val="105"/>
        </w:rPr>
        <w:t>considerations</w:t>
      </w:r>
      <w:r w:rsidRPr="00283806">
        <w:rPr>
          <w:spacing w:val="40"/>
          <w:w w:val="105"/>
        </w:rPr>
        <w:t xml:space="preserve"> </w:t>
      </w:r>
      <w:r w:rsidRPr="00283806">
        <w:rPr>
          <w:w w:val="105"/>
        </w:rPr>
        <w:t>in exploring different charge sizes, as did the Agency’s consideration of what regulations would be ‘‘appropriate’’ to control the relevant practices, processes, or activities to serve these purposes, consistent with subsection (h)(1).</w:t>
      </w:r>
    </w:p>
    <w:p w14:paraId="7829E386" w14:textId="77777777" w:rsidR="00D67C1E" w:rsidRPr="00283806" w:rsidRDefault="001265CA">
      <w:pPr>
        <w:pStyle w:val="BodyText"/>
        <w:spacing w:line="213" w:lineRule="auto"/>
        <w:ind w:right="128" w:firstLine="180"/>
      </w:pPr>
      <w:r w:rsidRPr="00283806">
        <w:rPr>
          <w:rFonts w:ascii="Book Antiqua"/>
          <w:i/>
          <w:w w:val="105"/>
        </w:rPr>
        <w:t xml:space="preserve">Comment: </w:t>
      </w:r>
      <w:r w:rsidRPr="00283806">
        <w:rPr>
          <w:w w:val="105"/>
        </w:rPr>
        <w:t>EPA received many comments supporting the 15-pound</w:t>
      </w:r>
    </w:p>
    <w:p w14:paraId="7A0A947F" w14:textId="77777777" w:rsidR="00D67C1E" w:rsidRPr="00283806" w:rsidRDefault="001265CA">
      <w:pPr>
        <w:pStyle w:val="BodyText"/>
        <w:spacing w:line="225" w:lineRule="auto"/>
        <w:ind w:right="49"/>
      </w:pPr>
      <w:r w:rsidRPr="00283806">
        <w:rPr>
          <w:w w:val="105"/>
        </w:rPr>
        <w:t xml:space="preserve">charge size threshold. One commenter expressed support of EPA’s proposed rule, stating that HFC emissions do not respect State boundaries and a </w:t>
      </w:r>
      <w:proofErr w:type="gramStart"/>
      <w:r w:rsidRPr="00283806">
        <w:rPr>
          <w:w w:val="105"/>
        </w:rPr>
        <w:t>Federal</w:t>
      </w:r>
      <w:proofErr w:type="gramEnd"/>
      <w:r w:rsidRPr="00283806">
        <w:rPr>
          <w:w w:val="105"/>
        </w:rPr>
        <w:t xml:space="preserve"> approach is critical to avoid piecemeal regulations and facilitate the implementation of industry-wide emissions reductions. Another commenter</w:t>
      </w:r>
      <w:r w:rsidRPr="00283806">
        <w:rPr>
          <w:spacing w:val="-4"/>
          <w:w w:val="105"/>
        </w:rPr>
        <w:t xml:space="preserve"> </w:t>
      </w:r>
      <w:r w:rsidRPr="00283806">
        <w:rPr>
          <w:w w:val="105"/>
        </w:rPr>
        <w:t>stated</w:t>
      </w:r>
      <w:r w:rsidRPr="00283806">
        <w:rPr>
          <w:spacing w:val="-4"/>
          <w:w w:val="105"/>
        </w:rPr>
        <w:t xml:space="preserve"> </w:t>
      </w:r>
      <w:r w:rsidRPr="00283806">
        <w:rPr>
          <w:w w:val="105"/>
        </w:rPr>
        <w:t>that</w:t>
      </w:r>
      <w:r w:rsidRPr="00283806">
        <w:rPr>
          <w:spacing w:val="-4"/>
          <w:w w:val="105"/>
        </w:rPr>
        <w:t xml:space="preserve"> </w:t>
      </w:r>
      <w:r w:rsidRPr="00283806">
        <w:rPr>
          <w:w w:val="105"/>
        </w:rPr>
        <w:t>it</w:t>
      </w:r>
      <w:r w:rsidRPr="00283806">
        <w:rPr>
          <w:spacing w:val="-4"/>
          <w:w w:val="105"/>
        </w:rPr>
        <w:t xml:space="preserve"> </w:t>
      </w:r>
      <w:r w:rsidRPr="00283806">
        <w:rPr>
          <w:w w:val="105"/>
        </w:rPr>
        <w:t>was</w:t>
      </w:r>
      <w:r w:rsidRPr="00283806">
        <w:rPr>
          <w:spacing w:val="-4"/>
          <w:w w:val="105"/>
        </w:rPr>
        <w:t xml:space="preserve"> </w:t>
      </w:r>
      <w:r w:rsidRPr="00283806">
        <w:rPr>
          <w:w w:val="105"/>
        </w:rPr>
        <w:t>reasonable for EPA to have a different charge size threshold than the ODS regulations to preserve the supply of HFC refrigerants. Several commenters in favor of the proposal recommended EPA consider a lower charge size threshold (</w:t>
      </w:r>
      <w:r w:rsidRPr="00283806">
        <w:rPr>
          <w:rFonts w:ascii="Book Antiqua" w:hAnsi="Book Antiqua"/>
          <w:i/>
          <w:w w:val="105"/>
        </w:rPr>
        <w:t xml:space="preserve">e.g., </w:t>
      </w:r>
      <w:r w:rsidRPr="00283806">
        <w:rPr>
          <w:w w:val="105"/>
        </w:rPr>
        <w:t>five pounds) to avoid additional GHG emissions. One commenter suggested a charge threshold size between one and five pounds to include smaller</w:t>
      </w:r>
      <w:r w:rsidRPr="00283806">
        <w:rPr>
          <w:spacing w:val="40"/>
          <w:w w:val="105"/>
        </w:rPr>
        <w:t xml:space="preserve"> </w:t>
      </w:r>
      <w:r w:rsidRPr="00283806">
        <w:rPr>
          <w:w w:val="105"/>
        </w:rPr>
        <w:t>appliances and achieve additional reductions to HFC emissions. Another commenter stated that lowering the charge size threshold decreases the incentive for owners and operators to replace one large system with smaller systems to skirt regulatory obligations. One commenter stated that EPA’s estimates (on a weighted CO</w:t>
      </w:r>
      <w:r w:rsidRPr="00283806">
        <w:rPr>
          <w:rFonts w:ascii="Times New Roman" w:hAnsi="Times New Roman"/>
          <w:w w:val="105"/>
          <w:vertAlign w:val="subscript"/>
        </w:rPr>
        <w:t>2</w:t>
      </w:r>
      <w:r w:rsidRPr="00283806">
        <w:rPr>
          <w:w w:val="105"/>
        </w:rPr>
        <w:t>e basis) show that appliances below 15 pounds account for around 39 percent of total</w:t>
      </w:r>
    </w:p>
    <w:p w14:paraId="02EFC00E" w14:textId="77777777" w:rsidR="00D67C1E" w:rsidRPr="00283806" w:rsidRDefault="001265CA">
      <w:pPr>
        <w:pStyle w:val="BodyText"/>
        <w:spacing w:before="134" w:line="228" w:lineRule="auto"/>
        <w:ind w:left="144" w:right="13"/>
      </w:pPr>
      <w:r w:rsidRPr="00283806">
        <w:br w:type="column"/>
      </w:r>
      <w:r w:rsidRPr="00283806">
        <w:rPr>
          <w:w w:val="105"/>
        </w:rPr>
        <w:t xml:space="preserve">HFC refrigerants. The commenter suggested that lowering the threshold will close the gap on HFC management and build on existing recordkeeping requirements for technicians who evacuate refrigerant from appliances with a full charge between 5 and 50 </w:t>
      </w:r>
      <w:r w:rsidRPr="00283806">
        <w:rPr>
          <w:spacing w:val="-2"/>
          <w:w w:val="105"/>
        </w:rPr>
        <w:t>pounds.</w:t>
      </w:r>
    </w:p>
    <w:p w14:paraId="42A78C90" w14:textId="77777777" w:rsidR="00D67C1E" w:rsidRPr="00283806" w:rsidRDefault="001265CA">
      <w:pPr>
        <w:pStyle w:val="BodyText"/>
        <w:spacing w:before="38" w:line="225" w:lineRule="auto"/>
        <w:ind w:left="144" w:right="93" w:firstLine="180"/>
      </w:pPr>
      <w:r w:rsidRPr="00283806">
        <w:rPr>
          <w:rFonts w:ascii="Book Antiqua"/>
          <w:i/>
          <w:w w:val="105"/>
        </w:rPr>
        <w:t xml:space="preserve">Response: </w:t>
      </w:r>
      <w:r w:rsidRPr="00283806">
        <w:rPr>
          <w:w w:val="105"/>
        </w:rPr>
        <w:t>EPA is finalizing the 15- pound charge size threshold as proposed. The Agency acknowledges</w:t>
      </w:r>
      <w:r w:rsidRPr="00283806">
        <w:rPr>
          <w:spacing w:val="40"/>
          <w:w w:val="105"/>
        </w:rPr>
        <w:t xml:space="preserve"> </w:t>
      </w:r>
      <w:proofErr w:type="gramStart"/>
      <w:r w:rsidRPr="00283806">
        <w:rPr>
          <w:w w:val="105"/>
        </w:rPr>
        <w:t>the numerous</w:t>
      </w:r>
      <w:proofErr w:type="gramEnd"/>
      <w:r w:rsidRPr="00283806">
        <w:rPr>
          <w:w w:val="105"/>
        </w:rPr>
        <w:t xml:space="preserve"> supportive comments for the 15-pound charge size threshold.</w:t>
      </w:r>
    </w:p>
    <w:p w14:paraId="30C841FD" w14:textId="77777777" w:rsidR="00D67C1E" w:rsidRPr="00283806" w:rsidRDefault="001265CA">
      <w:pPr>
        <w:pStyle w:val="BodyText"/>
        <w:spacing w:line="228" w:lineRule="auto"/>
        <w:ind w:left="144" w:right="10"/>
      </w:pPr>
      <w:r w:rsidRPr="00283806">
        <w:rPr>
          <w:w w:val="105"/>
        </w:rPr>
        <w:t>Since the 1990s, when EPA established the 50-pound charge size for ODS refrigerant-containing appliances, there have been changes in appliance design, use,</w:t>
      </w:r>
      <w:r w:rsidRPr="00283806">
        <w:rPr>
          <w:spacing w:val="40"/>
          <w:w w:val="105"/>
        </w:rPr>
        <w:t xml:space="preserve"> </w:t>
      </w:r>
      <w:r w:rsidRPr="00283806">
        <w:rPr>
          <w:w w:val="105"/>
        </w:rPr>
        <w:t>and</w:t>
      </w:r>
      <w:r w:rsidRPr="00283806">
        <w:rPr>
          <w:spacing w:val="40"/>
          <w:w w:val="105"/>
        </w:rPr>
        <w:t xml:space="preserve"> </w:t>
      </w:r>
      <w:r w:rsidRPr="00283806">
        <w:rPr>
          <w:w w:val="105"/>
        </w:rPr>
        <w:t>practices.</w:t>
      </w:r>
      <w:r w:rsidRPr="00283806">
        <w:rPr>
          <w:spacing w:val="40"/>
          <w:w w:val="105"/>
        </w:rPr>
        <w:t xml:space="preserve"> </w:t>
      </w:r>
      <w:r w:rsidRPr="00283806">
        <w:rPr>
          <w:w w:val="105"/>
        </w:rPr>
        <w:t>In</w:t>
      </w:r>
      <w:r w:rsidRPr="00283806">
        <w:rPr>
          <w:spacing w:val="40"/>
          <w:w w:val="105"/>
        </w:rPr>
        <w:t xml:space="preserve"> </w:t>
      </w:r>
      <w:r w:rsidRPr="00283806">
        <w:rPr>
          <w:w w:val="105"/>
        </w:rPr>
        <w:t>2016,</w:t>
      </w:r>
      <w:r w:rsidRPr="00283806">
        <w:rPr>
          <w:spacing w:val="40"/>
          <w:w w:val="105"/>
        </w:rPr>
        <w:t xml:space="preserve"> </w:t>
      </w:r>
      <w:r w:rsidRPr="00283806">
        <w:rPr>
          <w:w w:val="105"/>
        </w:rPr>
        <w:t>EPA updated the leak repair program under CAA</w:t>
      </w:r>
      <w:r w:rsidRPr="00283806">
        <w:rPr>
          <w:spacing w:val="40"/>
          <w:w w:val="105"/>
        </w:rPr>
        <w:t xml:space="preserve"> </w:t>
      </w:r>
      <w:r w:rsidRPr="00283806">
        <w:rPr>
          <w:w w:val="105"/>
        </w:rPr>
        <w:t>section</w:t>
      </w:r>
      <w:r w:rsidRPr="00283806">
        <w:rPr>
          <w:spacing w:val="40"/>
          <w:w w:val="105"/>
        </w:rPr>
        <w:t xml:space="preserve"> </w:t>
      </w:r>
      <w:r w:rsidRPr="00283806">
        <w:rPr>
          <w:w w:val="105"/>
        </w:rPr>
        <w:t>608,</w:t>
      </w:r>
      <w:r w:rsidRPr="00283806">
        <w:rPr>
          <w:spacing w:val="40"/>
          <w:w w:val="105"/>
        </w:rPr>
        <w:t xml:space="preserve"> </w:t>
      </w:r>
      <w:r w:rsidRPr="00283806">
        <w:rPr>
          <w:w w:val="105"/>
        </w:rPr>
        <w:t>partly</w:t>
      </w:r>
      <w:r w:rsidRPr="00283806">
        <w:rPr>
          <w:spacing w:val="40"/>
          <w:w w:val="105"/>
        </w:rPr>
        <w:t xml:space="preserve"> </w:t>
      </w:r>
      <w:r w:rsidRPr="00283806">
        <w:rPr>
          <w:w w:val="105"/>
        </w:rPr>
        <w:t>in consideration of these changes. For the most part, the leak repair provisions for HFCs finalized in this action are consistent with that rule. However, EPA did not change the 50-pound threshold</w:t>
      </w:r>
      <w:r w:rsidRPr="00283806">
        <w:rPr>
          <w:spacing w:val="40"/>
          <w:w w:val="105"/>
        </w:rPr>
        <w:t xml:space="preserve"> </w:t>
      </w:r>
      <w:r w:rsidRPr="00283806">
        <w:rPr>
          <w:w w:val="105"/>
        </w:rPr>
        <w:t>in the 2016 CAA Section 608 Rule, and thus the 15-pound threshold is different from the threshold under the CAA</w:t>
      </w:r>
      <w:r w:rsidRPr="00283806">
        <w:rPr>
          <w:spacing w:val="40"/>
          <w:w w:val="105"/>
        </w:rPr>
        <w:t xml:space="preserve"> </w:t>
      </w:r>
      <w:r w:rsidRPr="00283806">
        <w:rPr>
          <w:w w:val="105"/>
        </w:rPr>
        <w:t>section 608 regulations at 40 CFR part 82, subpart F. Through this notice-and- comment rulemaking, the Agency provided notice of this lower threshold level and considered the public comments received. The Agency’s rationale for a 15-pound threshold is discussed in the proposal and in section</w:t>
      </w:r>
    </w:p>
    <w:p w14:paraId="0D9850F1" w14:textId="77777777" w:rsidR="00D67C1E" w:rsidRPr="00283806" w:rsidRDefault="001265CA">
      <w:pPr>
        <w:pStyle w:val="BodyText"/>
        <w:spacing w:line="186" w:lineRule="exact"/>
        <w:ind w:left="144"/>
      </w:pPr>
      <w:r w:rsidRPr="00283806">
        <w:rPr>
          <w:w w:val="110"/>
        </w:rPr>
        <w:t>IV.C.2</w:t>
      </w:r>
      <w:r w:rsidRPr="00283806">
        <w:rPr>
          <w:spacing w:val="2"/>
          <w:w w:val="110"/>
        </w:rPr>
        <w:t xml:space="preserve"> </w:t>
      </w:r>
      <w:r w:rsidRPr="00283806">
        <w:rPr>
          <w:w w:val="110"/>
        </w:rPr>
        <w:t>of</w:t>
      </w:r>
      <w:r w:rsidRPr="00283806">
        <w:rPr>
          <w:spacing w:val="3"/>
          <w:w w:val="110"/>
        </w:rPr>
        <w:t xml:space="preserve"> </w:t>
      </w:r>
      <w:r w:rsidRPr="00283806">
        <w:rPr>
          <w:w w:val="110"/>
        </w:rPr>
        <w:t>this</w:t>
      </w:r>
      <w:r w:rsidRPr="00283806">
        <w:rPr>
          <w:spacing w:val="2"/>
          <w:w w:val="110"/>
        </w:rPr>
        <w:t xml:space="preserve"> </w:t>
      </w:r>
      <w:r w:rsidRPr="00283806">
        <w:rPr>
          <w:w w:val="110"/>
        </w:rPr>
        <w:t>preamble.</w:t>
      </w:r>
      <w:r w:rsidRPr="00283806">
        <w:rPr>
          <w:spacing w:val="3"/>
          <w:w w:val="110"/>
        </w:rPr>
        <w:t xml:space="preserve"> </w:t>
      </w:r>
      <w:r w:rsidRPr="00283806">
        <w:rPr>
          <w:w w:val="110"/>
        </w:rPr>
        <w:t>As</w:t>
      </w:r>
      <w:r w:rsidRPr="00283806">
        <w:rPr>
          <w:spacing w:val="3"/>
          <w:w w:val="110"/>
        </w:rPr>
        <w:t xml:space="preserve"> </w:t>
      </w:r>
      <w:r w:rsidRPr="00283806">
        <w:rPr>
          <w:spacing w:val="-2"/>
          <w:w w:val="110"/>
        </w:rPr>
        <w:t>discussed</w:t>
      </w:r>
    </w:p>
    <w:p w14:paraId="2765F2B6" w14:textId="77777777" w:rsidR="00D67C1E" w:rsidRPr="00283806" w:rsidRDefault="001265CA">
      <w:pPr>
        <w:pStyle w:val="BodyText"/>
        <w:spacing w:line="228" w:lineRule="auto"/>
        <w:ind w:left="144"/>
      </w:pPr>
      <w:proofErr w:type="gramStart"/>
      <w:r w:rsidRPr="00283806">
        <w:rPr>
          <w:w w:val="105"/>
        </w:rPr>
        <w:t>previously</w:t>
      </w:r>
      <w:proofErr w:type="gramEnd"/>
      <w:r w:rsidRPr="00283806">
        <w:rPr>
          <w:w w:val="105"/>
        </w:rPr>
        <w:t>, applying the leak repair requirements to more refrigerant- containing appliances will reduce the release of HFCs from said appliances</w:t>
      </w:r>
      <w:r w:rsidRPr="00283806">
        <w:rPr>
          <w:spacing w:val="80"/>
          <w:w w:val="150"/>
        </w:rPr>
        <w:t xml:space="preserve"> </w:t>
      </w:r>
      <w:r w:rsidRPr="00283806">
        <w:rPr>
          <w:w w:val="105"/>
        </w:rPr>
        <w:t>and increase the amount of HFCs available to recover that would be otherwise lost because of leakage from appliances. Furthermore, the HFC phasedown will not eliminate the use of HFCs</w:t>
      </w:r>
      <w:r w:rsidRPr="00283806">
        <w:rPr>
          <w:spacing w:val="40"/>
          <w:w w:val="105"/>
        </w:rPr>
        <w:t xml:space="preserve"> </w:t>
      </w:r>
      <w:r w:rsidRPr="00283806">
        <w:rPr>
          <w:w w:val="105"/>
        </w:rPr>
        <w:t>in</w:t>
      </w:r>
      <w:r w:rsidRPr="00283806">
        <w:rPr>
          <w:spacing w:val="40"/>
          <w:w w:val="105"/>
        </w:rPr>
        <w:t xml:space="preserve"> </w:t>
      </w:r>
      <w:r w:rsidRPr="00283806">
        <w:rPr>
          <w:w w:val="105"/>
        </w:rPr>
        <w:t>the</w:t>
      </w:r>
      <w:r w:rsidRPr="00283806">
        <w:rPr>
          <w:spacing w:val="40"/>
          <w:w w:val="105"/>
        </w:rPr>
        <w:t xml:space="preserve"> </w:t>
      </w:r>
      <w:r w:rsidRPr="00283806">
        <w:rPr>
          <w:w w:val="105"/>
        </w:rPr>
        <w:t>U.S.</w:t>
      </w:r>
      <w:r w:rsidRPr="00283806">
        <w:rPr>
          <w:spacing w:val="40"/>
          <w:w w:val="105"/>
        </w:rPr>
        <w:t xml:space="preserve"> </w:t>
      </w:r>
      <w:r w:rsidRPr="00283806">
        <w:rPr>
          <w:w w:val="105"/>
        </w:rPr>
        <w:t>market,</w:t>
      </w:r>
      <w:r w:rsidRPr="00283806">
        <w:rPr>
          <w:spacing w:val="40"/>
          <w:w w:val="105"/>
        </w:rPr>
        <w:t xml:space="preserve"> </w:t>
      </w:r>
      <w:r w:rsidRPr="00283806">
        <w:rPr>
          <w:w w:val="105"/>
        </w:rPr>
        <w:t>so</w:t>
      </w:r>
      <w:r w:rsidRPr="00283806">
        <w:rPr>
          <w:spacing w:val="40"/>
          <w:w w:val="105"/>
        </w:rPr>
        <w:t xml:space="preserve"> </w:t>
      </w:r>
      <w:r w:rsidRPr="00283806">
        <w:rPr>
          <w:w w:val="105"/>
        </w:rPr>
        <w:t>there</w:t>
      </w:r>
      <w:r w:rsidRPr="00283806">
        <w:rPr>
          <w:spacing w:val="40"/>
          <w:w w:val="105"/>
        </w:rPr>
        <w:t xml:space="preserve"> </w:t>
      </w:r>
      <w:r w:rsidRPr="00283806">
        <w:rPr>
          <w:w w:val="105"/>
        </w:rPr>
        <w:t>may be continued introduction of new HFC- containing appliances; thus, proper management of these refrigerant- containing appliances is necessary for</w:t>
      </w:r>
      <w:r w:rsidRPr="00283806">
        <w:rPr>
          <w:spacing w:val="40"/>
          <w:w w:val="105"/>
        </w:rPr>
        <w:t xml:space="preserve"> </w:t>
      </w:r>
      <w:r w:rsidRPr="00283806">
        <w:rPr>
          <w:w w:val="105"/>
        </w:rPr>
        <w:t>the successful implementation of the</w:t>
      </w:r>
      <w:r w:rsidRPr="00283806">
        <w:rPr>
          <w:spacing w:val="80"/>
          <w:w w:val="105"/>
        </w:rPr>
        <w:t xml:space="preserve"> </w:t>
      </w:r>
      <w:r w:rsidRPr="00283806">
        <w:rPr>
          <w:w w:val="105"/>
        </w:rPr>
        <w:t>HFC phasedown, and to ensure there is an</w:t>
      </w:r>
      <w:r w:rsidRPr="00283806">
        <w:rPr>
          <w:spacing w:val="40"/>
          <w:w w:val="105"/>
        </w:rPr>
        <w:t xml:space="preserve"> </w:t>
      </w:r>
      <w:r w:rsidRPr="00283806">
        <w:rPr>
          <w:w w:val="105"/>
        </w:rPr>
        <w:t>adequate</w:t>
      </w:r>
      <w:r w:rsidRPr="00283806">
        <w:rPr>
          <w:spacing w:val="40"/>
          <w:w w:val="105"/>
        </w:rPr>
        <w:t xml:space="preserve"> </w:t>
      </w:r>
      <w:r w:rsidRPr="00283806">
        <w:rPr>
          <w:w w:val="105"/>
        </w:rPr>
        <w:t>supply</w:t>
      </w:r>
      <w:r w:rsidRPr="00283806">
        <w:rPr>
          <w:spacing w:val="40"/>
          <w:w w:val="105"/>
        </w:rPr>
        <w:t xml:space="preserve"> </w:t>
      </w:r>
      <w:r w:rsidRPr="00283806">
        <w:rPr>
          <w:w w:val="105"/>
        </w:rPr>
        <w:t>of</w:t>
      </w:r>
      <w:r w:rsidRPr="00283806">
        <w:rPr>
          <w:spacing w:val="40"/>
          <w:w w:val="105"/>
        </w:rPr>
        <w:t xml:space="preserve"> </w:t>
      </w:r>
      <w:r w:rsidRPr="00283806">
        <w:rPr>
          <w:w w:val="105"/>
        </w:rPr>
        <w:t>reclaimed</w:t>
      </w:r>
      <w:r w:rsidRPr="00283806">
        <w:rPr>
          <w:spacing w:val="40"/>
          <w:w w:val="105"/>
        </w:rPr>
        <w:t xml:space="preserve"> </w:t>
      </w:r>
      <w:r w:rsidRPr="00283806">
        <w:rPr>
          <w:w w:val="105"/>
        </w:rPr>
        <w:t>HFCs to support the existing installed base of HFC-containing appliances. The Agency also disagrees with one commenter’s statement that a lower threshold would disincentivize owners or operators from installing multiple smaller refrigerant- containing appliances to skirt the leak repair requirements of this final rule.</w:t>
      </w:r>
    </w:p>
    <w:p w14:paraId="0D1CFCB3" w14:textId="77777777" w:rsidR="00D67C1E" w:rsidRPr="00283806" w:rsidRDefault="001265CA">
      <w:pPr>
        <w:pStyle w:val="BodyText"/>
        <w:spacing w:line="185" w:lineRule="exact"/>
        <w:ind w:left="144"/>
      </w:pPr>
      <w:r w:rsidRPr="00283806">
        <w:rPr>
          <w:w w:val="105"/>
        </w:rPr>
        <w:t>The</w:t>
      </w:r>
      <w:r w:rsidRPr="00283806">
        <w:rPr>
          <w:spacing w:val="15"/>
          <w:w w:val="105"/>
        </w:rPr>
        <w:t xml:space="preserve"> </w:t>
      </w:r>
      <w:r w:rsidRPr="00283806">
        <w:rPr>
          <w:w w:val="105"/>
        </w:rPr>
        <w:t>15-pound</w:t>
      </w:r>
      <w:r w:rsidRPr="00283806">
        <w:rPr>
          <w:spacing w:val="16"/>
          <w:w w:val="105"/>
        </w:rPr>
        <w:t xml:space="preserve"> </w:t>
      </w:r>
      <w:r w:rsidRPr="00283806">
        <w:rPr>
          <w:w w:val="105"/>
        </w:rPr>
        <w:t>threshold</w:t>
      </w:r>
      <w:r w:rsidRPr="00283806">
        <w:rPr>
          <w:spacing w:val="15"/>
          <w:w w:val="105"/>
        </w:rPr>
        <w:t xml:space="preserve"> </w:t>
      </w:r>
      <w:r w:rsidRPr="00283806">
        <w:rPr>
          <w:w w:val="105"/>
        </w:rPr>
        <w:t>is</w:t>
      </w:r>
      <w:r w:rsidRPr="00283806">
        <w:rPr>
          <w:spacing w:val="16"/>
          <w:w w:val="105"/>
        </w:rPr>
        <w:t xml:space="preserve"> </w:t>
      </w:r>
      <w:r w:rsidRPr="00283806">
        <w:rPr>
          <w:w w:val="105"/>
        </w:rPr>
        <w:t>intended</w:t>
      </w:r>
      <w:r w:rsidRPr="00283806">
        <w:rPr>
          <w:spacing w:val="15"/>
          <w:w w:val="105"/>
        </w:rPr>
        <w:t xml:space="preserve"> </w:t>
      </w:r>
      <w:r w:rsidRPr="00283806">
        <w:rPr>
          <w:spacing w:val="-5"/>
          <w:w w:val="105"/>
        </w:rPr>
        <w:t>to</w:t>
      </w:r>
    </w:p>
    <w:p w14:paraId="2C170491" w14:textId="77777777" w:rsidR="00D67C1E" w:rsidRPr="00283806" w:rsidRDefault="001265CA">
      <w:pPr>
        <w:pStyle w:val="BodyText"/>
        <w:spacing w:before="2" w:line="228" w:lineRule="auto"/>
        <w:ind w:left="144" w:right="13"/>
      </w:pPr>
      <w:r w:rsidRPr="00283806">
        <w:rPr>
          <w:w w:val="105"/>
        </w:rPr>
        <w:t xml:space="preserve">be low enough to hinder efforts to avoid applicability of the leak repair requirements and </w:t>
      </w:r>
      <w:proofErr w:type="gramStart"/>
      <w:r w:rsidRPr="00283806">
        <w:rPr>
          <w:w w:val="105"/>
        </w:rPr>
        <w:t>ensures</w:t>
      </w:r>
      <w:proofErr w:type="gramEnd"/>
      <w:r w:rsidRPr="00283806">
        <w:rPr>
          <w:w w:val="105"/>
        </w:rPr>
        <w:t xml:space="preserve"> a sizeable proportion of refrigerant-containing appliances are subject to the leak repair</w:t>
      </w:r>
    </w:p>
    <w:p w14:paraId="0A170898" w14:textId="77777777" w:rsidR="00D67C1E" w:rsidRPr="00283806" w:rsidRDefault="001265CA">
      <w:pPr>
        <w:pStyle w:val="BodyText"/>
        <w:spacing w:before="134" w:line="225" w:lineRule="auto"/>
        <w:ind w:right="281"/>
      </w:pPr>
      <w:r w:rsidRPr="00283806">
        <w:br w:type="column"/>
      </w:r>
      <w:r w:rsidRPr="00283806">
        <w:rPr>
          <w:w w:val="105"/>
        </w:rPr>
        <w:t>requirements of the final rule. After further evaluation informed by consideration of these comments, EPA is finalizing a 15-pound charge size requirement for HFC and covered HFC substitute refrigerants.</w:t>
      </w:r>
    </w:p>
    <w:p w14:paraId="30B1617F" w14:textId="77777777" w:rsidR="00D67C1E" w:rsidRPr="00283806" w:rsidRDefault="001265CA">
      <w:pPr>
        <w:pStyle w:val="BodyText"/>
        <w:spacing w:line="178" w:lineRule="exact"/>
        <w:ind w:left="340"/>
      </w:pPr>
      <w:r w:rsidRPr="00283806">
        <w:rPr>
          <w:w w:val="105"/>
        </w:rPr>
        <w:t>EPA</w:t>
      </w:r>
      <w:r w:rsidRPr="00283806">
        <w:rPr>
          <w:spacing w:val="14"/>
          <w:w w:val="105"/>
        </w:rPr>
        <w:t xml:space="preserve"> </w:t>
      </w:r>
      <w:r w:rsidRPr="00283806">
        <w:rPr>
          <w:w w:val="105"/>
        </w:rPr>
        <w:t>took</w:t>
      </w:r>
      <w:r w:rsidRPr="00283806">
        <w:rPr>
          <w:spacing w:val="14"/>
          <w:w w:val="105"/>
        </w:rPr>
        <w:t xml:space="preserve"> </w:t>
      </w:r>
      <w:r w:rsidRPr="00283806">
        <w:rPr>
          <w:w w:val="105"/>
        </w:rPr>
        <w:t>comment</w:t>
      </w:r>
      <w:r w:rsidRPr="00283806">
        <w:rPr>
          <w:spacing w:val="14"/>
          <w:w w:val="105"/>
        </w:rPr>
        <w:t xml:space="preserve"> </w:t>
      </w:r>
      <w:proofErr w:type="gramStart"/>
      <w:r w:rsidRPr="00283806">
        <w:rPr>
          <w:w w:val="105"/>
        </w:rPr>
        <w:t>on</w:t>
      </w:r>
      <w:proofErr w:type="gramEnd"/>
      <w:r w:rsidRPr="00283806">
        <w:rPr>
          <w:w w:val="105"/>
        </w:rPr>
        <w:t>,</w:t>
      </w:r>
      <w:r w:rsidRPr="00283806">
        <w:rPr>
          <w:spacing w:val="14"/>
          <w:w w:val="105"/>
        </w:rPr>
        <w:t xml:space="preserve"> </w:t>
      </w:r>
      <w:proofErr w:type="gramStart"/>
      <w:r w:rsidRPr="00283806">
        <w:rPr>
          <w:w w:val="105"/>
        </w:rPr>
        <w:t>but</w:t>
      </w:r>
      <w:proofErr w:type="gramEnd"/>
      <w:r w:rsidRPr="00283806">
        <w:rPr>
          <w:spacing w:val="14"/>
          <w:w w:val="105"/>
        </w:rPr>
        <w:t xml:space="preserve"> </w:t>
      </w:r>
      <w:r w:rsidRPr="00283806">
        <w:rPr>
          <w:w w:val="105"/>
        </w:rPr>
        <w:t>is</w:t>
      </w:r>
      <w:r w:rsidRPr="00283806">
        <w:rPr>
          <w:spacing w:val="14"/>
          <w:w w:val="105"/>
        </w:rPr>
        <w:t xml:space="preserve"> </w:t>
      </w:r>
      <w:r w:rsidRPr="00283806">
        <w:rPr>
          <w:spacing w:val="-5"/>
          <w:w w:val="105"/>
        </w:rPr>
        <w:t>not</w:t>
      </w:r>
    </w:p>
    <w:p w14:paraId="1FF61A68" w14:textId="77777777" w:rsidR="00D67C1E" w:rsidRPr="00283806" w:rsidRDefault="001265CA">
      <w:pPr>
        <w:pStyle w:val="BodyText"/>
        <w:spacing w:before="4" w:line="225" w:lineRule="auto"/>
        <w:ind w:right="122"/>
      </w:pPr>
      <w:proofErr w:type="gramStart"/>
      <w:r w:rsidRPr="00283806">
        <w:rPr>
          <w:w w:val="105"/>
        </w:rPr>
        <w:t>finalizing</w:t>
      </w:r>
      <w:proofErr w:type="gramEnd"/>
      <w:r w:rsidRPr="00283806">
        <w:rPr>
          <w:w w:val="105"/>
        </w:rPr>
        <w:t>, leak repair requirements for equipment with charges of less than 15 pounds. One commenter stated that a lower</w:t>
      </w:r>
      <w:r w:rsidRPr="00283806">
        <w:rPr>
          <w:spacing w:val="40"/>
          <w:w w:val="105"/>
        </w:rPr>
        <w:t xml:space="preserve"> </w:t>
      </w:r>
      <w:r w:rsidRPr="00283806">
        <w:rPr>
          <w:w w:val="105"/>
        </w:rPr>
        <w:t>threshold</w:t>
      </w:r>
      <w:r w:rsidRPr="00283806">
        <w:rPr>
          <w:spacing w:val="40"/>
          <w:w w:val="105"/>
        </w:rPr>
        <w:t xml:space="preserve"> </w:t>
      </w:r>
      <w:r w:rsidRPr="00283806">
        <w:rPr>
          <w:w w:val="105"/>
        </w:rPr>
        <w:t>could</w:t>
      </w:r>
      <w:r w:rsidRPr="00283806">
        <w:rPr>
          <w:spacing w:val="40"/>
          <w:w w:val="105"/>
        </w:rPr>
        <w:t xml:space="preserve"> </w:t>
      </w:r>
      <w:r w:rsidRPr="00283806">
        <w:rPr>
          <w:w w:val="105"/>
        </w:rPr>
        <w:t>bridge</w:t>
      </w:r>
      <w:r w:rsidRPr="00283806">
        <w:rPr>
          <w:spacing w:val="40"/>
          <w:w w:val="105"/>
        </w:rPr>
        <w:t xml:space="preserve"> </w:t>
      </w:r>
      <w:r w:rsidRPr="00283806">
        <w:rPr>
          <w:w w:val="105"/>
        </w:rPr>
        <w:t>that</w:t>
      </w:r>
      <w:r w:rsidRPr="00283806">
        <w:rPr>
          <w:spacing w:val="40"/>
          <w:w w:val="105"/>
        </w:rPr>
        <w:t xml:space="preserve"> </w:t>
      </w:r>
      <w:r w:rsidRPr="00283806">
        <w:rPr>
          <w:w w:val="105"/>
        </w:rPr>
        <w:t>gap on HFC emissions by capturing more refrigerant-containing appliances. While EPA agrees that there could be instances where this may reduce releases of refrigerants, we also note that many refrigerant-containing appliances with charge sizes under 15 pounds are typically hermetically sealed, which means they are less leak prone; these refrigerant-containing appliances are</w:t>
      </w:r>
      <w:r w:rsidRPr="00283806">
        <w:rPr>
          <w:spacing w:val="40"/>
          <w:w w:val="105"/>
        </w:rPr>
        <w:t xml:space="preserve"> </w:t>
      </w:r>
      <w:r w:rsidRPr="00283806">
        <w:rPr>
          <w:w w:val="105"/>
        </w:rPr>
        <w:t>also</w:t>
      </w:r>
      <w:r w:rsidRPr="00283806">
        <w:rPr>
          <w:spacing w:val="40"/>
          <w:w w:val="105"/>
        </w:rPr>
        <w:t xml:space="preserve"> </w:t>
      </w:r>
      <w:r w:rsidRPr="00283806">
        <w:rPr>
          <w:w w:val="105"/>
        </w:rPr>
        <w:t>normally</w:t>
      </w:r>
      <w:r w:rsidRPr="00283806">
        <w:rPr>
          <w:spacing w:val="40"/>
          <w:w w:val="105"/>
        </w:rPr>
        <w:t xml:space="preserve"> </w:t>
      </w:r>
      <w:r w:rsidRPr="00283806">
        <w:rPr>
          <w:w w:val="105"/>
        </w:rPr>
        <w:t>disposed</w:t>
      </w:r>
      <w:r w:rsidRPr="00283806">
        <w:rPr>
          <w:spacing w:val="40"/>
          <w:w w:val="105"/>
        </w:rPr>
        <w:t xml:space="preserve"> </w:t>
      </w:r>
      <w:r w:rsidRPr="00283806">
        <w:rPr>
          <w:w w:val="105"/>
        </w:rPr>
        <w:t>of</w:t>
      </w:r>
      <w:r w:rsidRPr="00283806">
        <w:rPr>
          <w:spacing w:val="40"/>
          <w:w w:val="105"/>
        </w:rPr>
        <w:t xml:space="preserve"> </w:t>
      </w:r>
      <w:r w:rsidRPr="00283806">
        <w:rPr>
          <w:w w:val="105"/>
        </w:rPr>
        <w:t>once</w:t>
      </w:r>
      <w:r w:rsidRPr="00283806">
        <w:rPr>
          <w:spacing w:val="40"/>
          <w:w w:val="105"/>
        </w:rPr>
        <w:t xml:space="preserve"> </w:t>
      </w:r>
      <w:r w:rsidRPr="00283806">
        <w:rPr>
          <w:w w:val="105"/>
        </w:rPr>
        <w:t>they stop functioning properly, rather than being repaired for further use. The commenter stated that lowering the threshold would build on existing requirements to recover refrigerants from small appliances (5 pounds or less) under 40 CFR 82.155, which apply to HFCs.</w:t>
      </w:r>
      <w:r w:rsidRPr="00283806">
        <w:rPr>
          <w:spacing w:val="40"/>
          <w:w w:val="105"/>
        </w:rPr>
        <w:t xml:space="preserve"> </w:t>
      </w:r>
      <w:r w:rsidRPr="00283806">
        <w:rPr>
          <w:w w:val="105"/>
        </w:rPr>
        <w:t>However,</w:t>
      </w:r>
      <w:r w:rsidRPr="00283806">
        <w:rPr>
          <w:spacing w:val="40"/>
          <w:w w:val="105"/>
        </w:rPr>
        <w:t xml:space="preserve"> </w:t>
      </w:r>
      <w:r w:rsidRPr="00283806">
        <w:rPr>
          <w:w w:val="105"/>
        </w:rPr>
        <w:t>as</w:t>
      </w:r>
      <w:r w:rsidRPr="00283806">
        <w:rPr>
          <w:spacing w:val="40"/>
          <w:w w:val="105"/>
        </w:rPr>
        <w:t xml:space="preserve"> </w:t>
      </w:r>
      <w:r w:rsidRPr="00283806">
        <w:rPr>
          <w:w w:val="105"/>
        </w:rPr>
        <w:t>previously</w:t>
      </w:r>
      <w:r w:rsidRPr="00283806">
        <w:rPr>
          <w:spacing w:val="40"/>
          <w:w w:val="105"/>
        </w:rPr>
        <w:t xml:space="preserve"> </w:t>
      </w:r>
      <w:r w:rsidRPr="00283806">
        <w:rPr>
          <w:w w:val="105"/>
        </w:rPr>
        <w:t xml:space="preserve">discussed, these types of </w:t>
      </w:r>
      <w:proofErr w:type="gramStart"/>
      <w:r w:rsidRPr="00283806">
        <w:rPr>
          <w:w w:val="105"/>
        </w:rPr>
        <w:t>refrigerant</w:t>
      </w:r>
      <w:proofErr w:type="gramEnd"/>
      <w:r w:rsidRPr="00283806">
        <w:rPr>
          <w:w w:val="105"/>
        </w:rPr>
        <w:t>- containing appliances are at low risk for leakage. Although the safe disposal requirements for small appliances under CAA section 608 do not address leaks,</w:t>
      </w:r>
      <w:r w:rsidRPr="00283806">
        <w:rPr>
          <w:spacing w:val="80"/>
          <w:w w:val="105"/>
        </w:rPr>
        <w:t xml:space="preserve"> </w:t>
      </w:r>
      <w:r w:rsidRPr="00283806">
        <w:rPr>
          <w:w w:val="105"/>
        </w:rPr>
        <w:t>the provision ensures that the</w:t>
      </w:r>
      <w:r w:rsidRPr="00283806">
        <w:rPr>
          <w:spacing w:val="80"/>
          <w:w w:val="105"/>
        </w:rPr>
        <w:t xml:space="preserve"> </w:t>
      </w:r>
      <w:r w:rsidRPr="00283806">
        <w:rPr>
          <w:w w:val="105"/>
        </w:rPr>
        <w:t>refrigerant within these appliances is</w:t>
      </w:r>
      <w:r w:rsidRPr="00283806">
        <w:rPr>
          <w:spacing w:val="80"/>
          <w:w w:val="150"/>
        </w:rPr>
        <w:t xml:space="preserve"> </w:t>
      </w:r>
      <w:r w:rsidRPr="00283806">
        <w:rPr>
          <w:w w:val="105"/>
        </w:rPr>
        <w:t>not released at disposal. Further, EPA notes that refrigerant-containing appliances between 5 and 15 pounds are still subject to the venting prohibition under section CAA section 608(c) (codified in EPA’s regulations 40 CFR 82.154(a)(1), which prohibits the knowing</w:t>
      </w:r>
      <w:r w:rsidRPr="00283806">
        <w:rPr>
          <w:spacing w:val="40"/>
          <w:w w:val="105"/>
        </w:rPr>
        <w:t xml:space="preserve"> </w:t>
      </w:r>
      <w:r w:rsidRPr="00283806">
        <w:rPr>
          <w:w w:val="105"/>
        </w:rPr>
        <w:t>venting</w:t>
      </w:r>
      <w:r w:rsidRPr="00283806">
        <w:rPr>
          <w:spacing w:val="40"/>
          <w:w w:val="105"/>
        </w:rPr>
        <w:t xml:space="preserve"> </w:t>
      </w:r>
      <w:r w:rsidRPr="00283806">
        <w:rPr>
          <w:w w:val="105"/>
        </w:rPr>
        <w:t>or</w:t>
      </w:r>
      <w:r w:rsidRPr="00283806">
        <w:rPr>
          <w:spacing w:val="40"/>
          <w:w w:val="105"/>
        </w:rPr>
        <w:t xml:space="preserve"> </w:t>
      </w:r>
      <w:r w:rsidRPr="00283806">
        <w:rPr>
          <w:w w:val="105"/>
        </w:rPr>
        <w:t>release</w:t>
      </w:r>
      <w:r w:rsidRPr="00283806">
        <w:rPr>
          <w:spacing w:val="40"/>
          <w:w w:val="105"/>
        </w:rPr>
        <w:t xml:space="preserve"> </w:t>
      </w:r>
      <w:r w:rsidRPr="00283806">
        <w:rPr>
          <w:w w:val="105"/>
        </w:rPr>
        <w:t>of</w:t>
      </w:r>
      <w:r w:rsidRPr="00283806">
        <w:rPr>
          <w:spacing w:val="40"/>
          <w:w w:val="105"/>
        </w:rPr>
        <w:t xml:space="preserve"> </w:t>
      </w:r>
      <w:r w:rsidRPr="00283806">
        <w:rPr>
          <w:w w:val="105"/>
        </w:rPr>
        <w:t>HFCs from refrigerant-containing appliances during the maintaining, servicing, repairing, or disposing of the appliance. While EPA agrees that there could be reasons to consider lowering the charge size threshold to five pounds or lower,</w:t>
      </w:r>
      <w:r w:rsidRPr="00283806">
        <w:rPr>
          <w:spacing w:val="40"/>
          <w:w w:val="105"/>
        </w:rPr>
        <w:t xml:space="preserve"> </w:t>
      </w:r>
      <w:r w:rsidRPr="00283806">
        <w:rPr>
          <w:w w:val="105"/>
        </w:rPr>
        <w:t>the Agency would want to further evaluate various aspects of a lower threshold before proposing to establish one, such as the potential for such a threshold to serve the purposes</w:t>
      </w:r>
      <w:r w:rsidRPr="00283806">
        <w:rPr>
          <w:spacing w:val="40"/>
          <w:w w:val="105"/>
        </w:rPr>
        <w:t xml:space="preserve"> </w:t>
      </w:r>
      <w:r w:rsidRPr="00283806">
        <w:rPr>
          <w:w w:val="105"/>
        </w:rPr>
        <w:t>identified in subsection (h)(1), whether there</w:t>
      </w:r>
      <w:r w:rsidRPr="00283806">
        <w:rPr>
          <w:spacing w:val="-1"/>
          <w:w w:val="105"/>
        </w:rPr>
        <w:t xml:space="preserve"> </w:t>
      </w:r>
      <w:r w:rsidRPr="00283806">
        <w:rPr>
          <w:w w:val="105"/>
        </w:rPr>
        <w:t>are</w:t>
      </w:r>
      <w:r w:rsidRPr="00283806">
        <w:rPr>
          <w:spacing w:val="-1"/>
          <w:w w:val="105"/>
        </w:rPr>
        <w:t xml:space="preserve"> </w:t>
      </w:r>
      <w:r w:rsidRPr="00283806">
        <w:rPr>
          <w:w w:val="105"/>
        </w:rPr>
        <w:t>particular</w:t>
      </w:r>
      <w:r w:rsidRPr="00283806">
        <w:rPr>
          <w:spacing w:val="-1"/>
          <w:w w:val="105"/>
        </w:rPr>
        <w:t xml:space="preserve"> </w:t>
      </w:r>
      <w:r w:rsidRPr="00283806">
        <w:rPr>
          <w:w w:val="105"/>
        </w:rPr>
        <w:t>considerations</w:t>
      </w:r>
      <w:r w:rsidRPr="00283806">
        <w:rPr>
          <w:spacing w:val="-1"/>
          <w:w w:val="105"/>
        </w:rPr>
        <w:t xml:space="preserve"> </w:t>
      </w:r>
      <w:r w:rsidRPr="00283806">
        <w:rPr>
          <w:w w:val="105"/>
        </w:rPr>
        <w:t>about what types of requirements might be appropriate for such appliances,</w:t>
      </w:r>
      <w:r w:rsidRPr="00283806">
        <w:rPr>
          <w:spacing w:val="40"/>
          <w:w w:val="105"/>
        </w:rPr>
        <w:t xml:space="preserve"> </w:t>
      </w:r>
      <w:r w:rsidRPr="00283806">
        <w:rPr>
          <w:w w:val="105"/>
        </w:rPr>
        <w:t>including common design elements for these appliances, and any information available about the occurrence or cause</w:t>
      </w:r>
      <w:r w:rsidRPr="00283806">
        <w:rPr>
          <w:spacing w:val="40"/>
          <w:w w:val="105"/>
        </w:rPr>
        <w:t xml:space="preserve"> </w:t>
      </w:r>
      <w:r w:rsidRPr="00283806">
        <w:rPr>
          <w:w w:val="105"/>
        </w:rPr>
        <w:t>of leaks in such appliances.</w:t>
      </w:r>
    </w:p>
    <w:p w14:paraId="3F5FD662" w14:textId="77777777" w:rsidR="00D67C1E" w:rsidRPr="00283806" w:rsidRDefault="001265CA">
      <w:pPr>
        <w:spacing w:line="165" w:lineRule="exact"/>
        <w:ind w:left="340"/>
        <w:rPr>
          <w:sz w:val="18"/>
        </w:rPr>
      </w:pPr>
      <w:r w:rsidRPr="00283806">
        <w:rPr>
          <w:rFonts w:ascii="Book Antiqua"/>
          <w:i/>
          <w:w w:val="110"/>
          <w:sz w:val="18"/>
        </w:rPr>
        <w:t>Comment:</w:t>
      </w:r>
      <w:r w:rsidRPr="00283806">
        <w:rPr>
          <w:rFonts w:ascii="Book Antiqua"/>
          <w:i/>
          <w:spacing w:val="-4"/>
          <w:w w:val="110"/>
          <w:sz w:val="18"/>
        </w:rPr>
        <w:t xml:space="preserve"> </w:t>
      </w:r>
      <w:proofErr w:type="gramStart"/>
      <w:r w:rsidRPr="00283806">
        <w:rPr>
          <w:w w:val="110"/>
          <w:sz w:val="18"/>
        </w:rPr>
        <w:t>A</w:t>
      </w:r>
      <w:r w:rsidRPr="00283806">
        <w:rPr>
          <w:spacing w:val="2"/>
          <w:w w:val="110"/>
          <w:sz w:val="18"/>
        </w:rPr>
        <w:t xml:space="preserve"> </w:t>
      </w:r>
      <w:r w:rsidRPr="00283806">
        <w:rPr>
          <w:w w:val="110"/>
          <w:sz w:val="18"/>
        </w:rPr>
        <w:t>number</w:t>
      </w:r>
      <w:r w:rsidRPr="00283806">
        <w:rPr>
          <w:spacing w:val="2"/>
          <w:w w:val="110"/>
          <w:sz w:val="18"/>
        </w:rPr>
        <w:t xml:space="preserve"> </w:t>
      </w:r>
      <w:r w:rsidRPr="00283806">
        <w:rPr>
          <w:w w:val="110"/>
          <w:sz w:val="18"/>
        </w:rPr>
        <w:t>of</w:t>
      </w:r>
      <w:proofErr w:type="gramEnd"/>
      <w:r w:rsidRPr="00283806">
        <w:rPr>
          <w:spacing w:val="2"/>
          <w:w w:val="110"/>
          <w:sz w:val="18"/>
        </w:rPr>
        <w:t xml:space="preserve"> </w:t>
      </w:r>
      <w:r w:rsidRPr="00283806">
        <w:rPr>
          <w:spacing w:val="-2"/>
          <w:w w:val="110"/>
          <w:sz w:val="18"/>
        </w:rPr>
        <w:t>commenters</w:t>
      </w:r>
    </w:p>
    <w:p w14:paraId="5AB035D5" w14:textId="77777777" w:rsidR="00D67C1E" w:rsidRPr="00283806" w:rsidRDefault="001265CA">
      <w:pPr>
        <w:pStyle w:val="BodyText"/>
        <w:spacing w:line="225" w:lineRule="auto"/>
        <w:ind w:right="154"/>
      </w:pPr>
      <w:r w:rsidRPr="00283806">
        <w:rPr>
          <w:w w:val="110"/>
        </w:rPr>
        <w:t xml:space="preserve">opposed the 15-pound charge size </w:t>
      </w:r>
      <w:r w:rsidRPr="00283806">
        <w:t>threshold for leak repair and stated that</w:t>
      </w:r>
      <w:r w:rsidRPr="00283806">
        <w:rPr>
          <w:w w:val="110"/>
        </w:rPr>
        <w:t xml:space="preserve"> the</w:t>
      </w:r>
      <w:r w:rsidRPr="00283806">
        <w:rPr>
          <w:spacing w:val="-8"/>
          <w:w w:val="110"/>
        </w:rPr>
        <w:t xml:space="preserve"> </w:t>
      </w:r>
      <w:r w:rsidRPr="00283806">
        <w:rPr>
          <w:w w:val="110"/>
        </w:rPr>
        <w:t>threshold</w:t>
      </w:r>
      <w:r w:rsidRPr="00283806">
        <w:rPr>
          <w:spacing w:val="-8"/>
          <w:w w:val="110"/>
        </w:rPr>
        <w:t xml:space="preserve"> </w:t>
      </w:r>
      <w:r w:rsidRPr="00283806">
        <w:rPr>
          <w:w w:val="110"/>
        </w:rPr>
        <w:t>is</w:t>
      </w:r>
      <w:r w:rsidRPr="00283806">
        <w:rPr>
          <w:spacing w:val="-8"/>
          <w:w w:val="110"/>
        </w:rPr>
        <w:t xml:space="preserve"> </w:t>
      </w:r>
      <w:r w:rsidRPr="00283806">
        <w:rPr>
          <w:w w:val="110"/>
        </w:rPr>
        <w:t>not</w:t>
      </w:r>
      <w:r w:rsidRPr="00283806">
        <w:rPr>
          <w:spacing w:val="-8"/>
          <w:w w:val="110"/>
        </w:rPr>
        <w:t xml:space="preserve"> </w:t>
      </w:r>
      <w:r w:rsidRPr="00283806">
        <w:rPr>
          <w:w w:val="110"/>
        </w:rPr>
        <w:t>cost-effective,</w:t>
      </w:r>
      <w:r w:rsidRPr="00283806">
        <w:rPr>
          <w:spacing w:val="-8"/>
          <w:w w:val="110"/>
        </w:rPr>
        <w:t xml:space="preserve"> </w:t>
      </w:r>
      <w:r w:rsidRPr="00283806">
        <w:rPr>
          <w:w w:val="110"/>
        </w:rPr>
        <w:t>may confuse owners and technicians, will</w:t>
      </w:r>
    </w:p>
    <w:p w14:paraId="350E0A1D"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6" w:space="40"/>
            <w:col w:w="3483" w:space="42"/>
            <w:col w:w="3639"/>
          </w:cols>
        </w:sectPr>
      </w:pPr>
    </w:p>
    <w:p w14:paraId="76A6DD4A" w14:textId="77777777" w:rsidR="00D67C1E" w:rsidRPr="00283806" w:rsidRDefault="001265CA">
      <w:pPr>
        <w:pStyle w:val="BodyText"/>
        <w:spacing w:before="133" w:line="230" w:lineRule="auto"/>
        <w:ind w:right="15"/>
      </w:pPr>
      <w:r w:rsidRPr="00283806">
        <w:rPr>
          <w:w w:val="105"/>
        </w:rPr>
        <w:lastRenderedPageBreak/>
        <w:t xml:space="preserve">increase repair </w:t>
      </w:r>
      <w:proofErr w:type="gramStart"/>
      <w:r w:rsidRPr="00283806">
        <w:rPr>
          <w:w w:val="105"/>
        </w:rPr>
        <w:t>cost, and</w:t>
      </w:r>
      <w:proofErr w:type="gramEnd"/>
      <w:r w:rsidRPr="00283806">
        <w:rPr>
          <w:w w:val="105"/>
        </w:rPr>
        <w:t xml:space="preserve"> will double the regulatory responsibilities for industry</w:t>
      </w:r>
      <w:r w:rsidRPr="00283806">
        <w:rPr>
          <w:spacing w:val="40"/>
          <w:w w:val="105"/>
        </w:rPr>
        <w:t xml:space="preserve"> </w:t>
      </w:r>
      <w:r w:rsidRPr="00283806">
        <w:rPr>
          <w:w w:val="105"/>
        </w:rPr>
        <w:t>as compared to CAA section 608 regulations, without commensurate environmental benefits. Several commenters provided estimates for the number of refrigerant-containing appliances subject to the leak repair requirements, which ranged from two to five times greater than the number of refrigerant-containing appliances that would be subject to the leak repair provisions at a 50-pound threshold.</w:t>
      </w:r>
    </w:p>
    <w:p w14:paraId="7A844927" w14:textId="77777777" w:rsidR="00D67C1E" w:rsidRPr="00283806" w:rsidRDefault="001265CA">
      <w:pPr>
        <w:pStyle w:val="BodyText"/>
        <w:spacing w:line="230" w:lineRule="auto"/>
        <w:ind w:right="48"/>
      </w:pPr>
      <w:r w:rsidRPr="00283806">
        <w:rPr>
          <w:w w:val="105"/>
        </w:rPr>
        <w:t>Several commenters requested that EPA require</w:t>
      </w:r>
      <w:r w:rsidRPr="00283806">
        <w:rPr>
          <w:spacing w:val="30"/>
          <w:w w:val="105"/>
        </w:rPr>
        <w:t xml:space="preserve"> </w:t>
      </w:r>
      <w:r w:rsidRPr="00283806">
        <w:rPr>
          <w:w w:val="105"/>
        </w:rPr>
        <w:t>leak</w:t>
      </w:r>
      <w:r w:rsidRPr="00283806">
        <w:rPr>
          <w:spacing w:val="30"/>
          <w:w w:val="105"/>
        </w:rPr>
        <w:t xml:space="preserve"> </w:t>
      </w:r>
      <w:r w:rsidRPr="00283806">
        <w:rPr>
          <w:w w:val="105"/>
        </w:rPr>
        <w:t>repair</w:t>
      </w:r>
      <w:r w:rsidRPr="00283806">
        <w:rPr>
          <w:spacing w:val="30"/>
          <w:w w:val="105"/>
        </w:rPr>
        <w:t xml:space="preserve"> </w:t>
      </w:r>
      <w:r w:rsidRPr="00283806">
        <w:rPr>
          <w:w w:val="105"/>
        </w:rPr>
        <w:t>for</w:t>
      </w:r>
      <w:r w:rsidRPr="00283806">
        <w:rPr>
          <w:spacing w:val="30"/>
          <w:w w:val="105"/>
        </w:rPr>
        <w:t xml:space="preserve"> </w:t>
      </w:r>
      <w:r w:rsidRPr="00283806">
        <w:rPr>
          <w:w w:val="105"/>
        </w:rPr>
        <w:t>appliances</w:t>
      </w:r>
      <w:r w:rsidRPr="00283806">
        <w:rPr>
          <w:spacing w:val="30"/>
          <w:w w:val="105"/>
        </w:rPr>
        <w:t xml:space="preserve"> </w:t>
      </w:r>
      <w:r w:rsidRPr="00283806">
        <w:rPr>
          <w:w w:val="105"/>
        </w:rPr>
        <w:t>with a full charge of 50 or more pounds as</w:t>
      </w:r>
      <w:r w:rsidRPr="00283806">
        <w:rPr>
          <w:spacing w:val="40"/>
          <w:w w:val="105"/>
        </w:rPr>
        <w:t xml:space="preserve"> </w:t>
      </w:r>
      <w:r w:rsidRPr="00283806">
        <w:rPr>
          <w:w w:val="105"/>
        </w:rPr>
        <w:t>this is the current ODS threshold under CAA section 608 regulations. One commenter claimed that it could be difficult to effectively distinguish</w:t>
      </w:r>
    </w:p>
    <w:p w14:paraId="3FF76550" w14:textId="77777777" w:rsidR="00D67C1E" w:rsidRPr="00283806" w:rsidRDefault="001265CA">
      <w:pPr>
        <w:pStyle w:val="BodyText"/>
        <w:spacing w:line="228" w:lineRule="auto"/>
        <w:ind w:right="48"/>
      </w:pPr>
      <w:r w:rsidRPr="00283806">
        <w:rPr>
          <w:w w:val="105"/>
        </w:rPr>
        <w:t>between units charged with HFCs, ODS, or a combination of both for purposes of compliance,</w:t>
      </w:r>
      <w:r w:rsidRPr="00283806">
        <w:rPr>
          <w:spacing w:val="40"/>
          <w:w w:val="105"/>
        </w:rPr>
        <w:t xml:space="preserve"> </w:t>
      </w:r>
      <w:r w:rsidRPr="00283806">
        <w:rPr>
          <w:w w:val="105"/>
        </w:rPr>
        <w:t>and</w:t>
      </w:r>
      <w:r w:rsidRPr="00283806">
        <w:rPr>
          <w:spacing w:val="40"/>
          <w:w w:val="105"/>
        </w:rPr>
        <w:t xml:space="preserve"> </w:t>
      </w:r>
      <w:r w:rsidRPr="00283806">
        <w:rPr>
          <w:w w:val="105"/>
        </w:rPr>
        <w:t>that</w:t>
      </w:r>
      <w:r w:rsidRPr="00283806">
        <w:rPr>
          <w:spacing w:val="40"/>
          <w:w w:val="105"/>
        </w:rPr>
        <w:t xml:space="preserve"> </w:t>
      </w:r>
      <w:r w:rsidRPr="00283806">
        <w:rPr>
          <w:w w:val="105"/>
        </w:rPr>
        <w:t>it</w:t>
      </w:r>
      <w:r w:rsidRPr="00283806">
        <w:rPr>
          <w:spacing w:val="40"/>
          <w:w w:val="105"/>
        </w:rPr>
        <w:t xml:space="preserve"> </w:t>
      </w:r>
      <w:r w:rsidRPr="00283806">
        <w:rPr>
          <w:w w:val="105"/>
        </w:rPr>
        <w:t>would</w:t>
      </w:r>
      <w:r w:rsidRPr="00283806">
        <w:rPr>
          <w:spacing w:val="40"/>
          <w:w w:val="105"/>
        </w:rPr>
        <w:t xml:space="preserve"> </w:t>
      </w:r>
      <w:r w:rsidRPr="00283806">
        <w:rPr>
          <w:w w:val="105"/>
        </w:rPr>
        <w:t>be difficult for equipment owners and certified technicians to determine the applicability</w:t>
      </w:r>
      <w:r w:rsidRPr="00283806">
        <w:rPr>
          <w:spacing w:val="40"/>
          <w:w w:val="105"/>
        </w:rPr>
        <w:t xml:space="preserve"> </w:t>
      </w:r>
      <w:r w:rsidRPr="00283806">
        <w:rPr>
          <w:w w:val="105"/>
        </w:rPr>
        <w:t>threshold</w:t>
      </w:r>
      <w:r w:rsidRPr="00283806">
        <w:rPr>
          <w:spacing w:val="40"/>
          <w:w w:val="105"/>
        </w:rPr>
        <w:t xml:space="preserve"> </w:t>
      </w:r>
      <w:r w:rsidRPr="00283806">
        <w:rPr>
          <w:w w:val="105"/>
        </w:rPr>
        <w:t>for</w:t>
      </w:r>
      <w:r w:rsidRPr="00283806">
        <w:rPr>
          <w:spacing w:val="40"/>
          <w:w w:val="105"/>
        </w:rPr>
        <w:t xml:space="preserve"> </w:t>
      </w:r>
      <w:r w:rsidRPr="00283806">
        <w:rPr>
          <w:w w:val="105"/>
        </w:rPr>
        <w:t xml:space="preserve">any </w:t>
      </w:r>
      <w:proofErr w:type="gramStart"/>
      <w:r w:rsidRPr="00283806">
        <w:rPr>
          <w:w w:val="105"/>
        </w:rPr>
        <w:t>particular refrigerant/appliance</w:t>
      </w:r>
      <w:proofErr w:type="gramEnd"/>
      <w:r w:rsidRPr="00283806">
        <w:rPr>
          <w:w w:val="105"/>
        </w:rPr>
        <w:t>. The commenter asserted that EPA should maintain the 50-pound threshold for applicability to promote compliance, maintain consistency in operations, and avoid unjustified costs. Another commenter urged EPA to direct leak repair requirements to larger appliances with a charge size of 50 pounds or more, as technological advancements have allowed for smaller charge sizes in appliances and therefore have reduced the potential harm to the environment</w:t>
      </w:r>
      <w:r w:rsidRPr="00283806">
        <w:rPr>
          <w:spacing w:val="80"/>
          <w:w w:val="150"/>
        </w:rPr>
        <w:t xml:space="preserve"> </w:t>
      </w:r>
      <w:r w:rsidRPr="00283806">
        <w:rPr>
          <w:w w:val="105"/>
        </w:rPr>
        <w:t>in the event of a leak. The commenter also asserted that the 15-pound</w:t>
      </w:r>
      <w:r w:rsidRPr="00283806">
        <w:rPr>
          <w:spacing w:val="40"/>
          <w:w w:val="105"/>
        </w:rPr>
        <w:t xml:space="preserve"> </w:t>
      </w:r>
      <w:r w:rsidRPr="00283806">
        <w:rPr>
          <w:w w:val="105"/>
        </w:rPr>
        <w:t xml:space="preserve">threshold could discourage manufacturers from improving the efficiency of refrigeration appliances to reduce overall refrigerant usage. One commenter suggested </w:t>
      </w:r>
      <w:proofErr w:type="gramStart"/>
      <w:r w:rsidRPr="00283806">
        <w:rPr>
          <w:w w:val="105"/>
        </w:rPr>
        <w:t>EPA</w:t>
      </w:r>
      <w:proofErr w:type="gramEnd"/>
      <w:r w:rsidRPr="00283806">
        <w:rPr>
          <w:w w:val="105"/>
        </w:rPr>
        <w:t xml:space="preserve"> wait </w:t>
      </w:r>
      <w:proofErr w:type="gramStart"/>
      <w:r w:rsidRPr="00283806">
        <w:rPr>
          <w:w w:val="105"/>
        </w:rPr>
        <w:t>a period of time</w:t>
      </w:r>
      <w:proofErr w:type="gramEnd"/>
      <w:r w:rsidRPr="00283806">
        <w:rPr>
          <w:w w:val="105"/>
        </w:rPr>
        <w:t xml:space="preserve"> (</w:t>
      </w:r>
      <w:r w:rsidRPr="00283806">
        <w:rPr>
          <w:rFonts w:ascii="Book Antiqua"/>
          <w:i/>
          <w:w w:val="105"/>
        </w:rPr>
        <w:t xml:space="preserve">e.g., </w:t>
      </w:r>
      <w:r w:rsidRPr="00283806">
        <w:rPr>
          <w:w w:val="105"/>
        </w:rPr>
        <w:t>five years) from the</w:t>
      </w:r>
      <w:r w:rsidRPr="00283806">
        <w:rPr>
          <w:spacing w:val="40"/>
          <w:w w:val="105"/>
        </w:rPr>
        <w:t xml:space="preserve"> </w:t>
      </w:r>
      <w:r w:rsidRPr="00283806">
        <w:rPr>
          <w:w w:val="105"/>
        </w:rPr>
        <w:t>effective date of the final rule to see if there</w:t>
      </w:r>
      <w:r w:rsidRPr="00283806">
        <w:rPr>
          <w:spacing w:val="38"/>
          <w:w w:val="105"/>
        </w:rPr>
        <w:t xml:space="preserve"> </w:t>
      </w:r>
      <w:r w:rsidRPr="00283806">
        <w:rPr>
          <w:w w:val="105"/>
        </w:rPr>
        <w:t>is</w:t>
      </w:r>
      <w:r w:rsidRPr="00283806">
        <w:rPr>
          <w:spacing w:val="38"/>
          <w:w w:val="105"/>
        </w:rPr>
        <w:t xml:space="preserve"> </w:t>
      </w:r>
      <w:r w:rsidRPr="00283806">
        <w:rPr>
          <w:w w:val="105"/>
        </w:rPr>
        <w:t>a</w:t>
      </w:r>
      <w:r w:rsidRPr="00283806">
        <w:rPr>
          <w:spacing w:val="38"/>
          <w:w w:val="105"/>
        </w:rPr>
        <w:t xml:space="preserve"> </w:t>
      </w:r>
      <w:r w:rsidRPr="00283806">
        <w:rPr>
          <w:w w:val="105"/>
        </w:rPr>
        <w:t>reduction</w:t>
      </w:r>
      <w:r w:rsidRPr="00283806">
        <w:rPr>
          <w:spacing w:val="38"/>
          <w:w w:val="105"/>
        </w:rPr>
        <w:t xml:space="preserve"> </w:t>
      </w:r>
      <w:r w:rsidRPr="00283806">
        <w:rPr>
          <w:w w:val="105"/>
        </w:rPr>
        <w:t>in</w:t>
      </w:r>
      <w:r w:rsidRPr="00283806">
        <w:rPr>
          <w:spacing w:val="38"/>
          <w:w w:val="105"/>
        </w:rPr>
        <w:t xml:space="preserve"> </w:t>
      </w:r>
      <w:r w:rsidRPr="00283806">
        <w:rPr>
          <w:w w:val="105"/>
        </w:rPr>
        <w:t>HFC</w:t>
      </w:r>
      <w:r w:rsidRPr="00283806">
        <w:rPr>
          <w:spacing w:val="38"/>
          <w:w w:val="105"/>
        </w:rPr>
        <w:t xml:space="preserve"> </w:t>
      </w:r>
      <w:r w:rsidRPr="00283806">
        <w:rPr>
          <w:w w:val="105"/>
        </w:rPr>
        <w:t>use</w:t>
      </w:r>
      <w:r w:rsidRPr="00283806">
        <w:rPr>
          <w:spacing w:val="38"/>
          <w:w w:val="105"/>
        </w:rPr>
        <w:t xml:space="preserve"> </w:t>
      </w:r>
      <w:r w:rsidRPr="00283806">
        <w:rPr>
          <w:w w:val="105"/>
        </w:rPr>
        <w:t>and their corresponding emissions. The commenter recommended that if substantial HFC use and emissions reductions are not observed, then EPA could evaluate and propose a new applicability</w:t>
      </w:r>
      <w:r w:rsidRPr="00283806">
        <w:rPr>
          <w:spacing w:val="35"/>
          <w:w w:val="105"/>
        </w:rPr>
        <w:t xml:space="preserve"> </w:t>
      </w:r>
      <w:r w:rsidRPr="00283806">
        <w:rPr>
          <w:w w:val="105"/>
        </w:rPr>
        <w:t>threshold.</w:t>
      </w:r>
      <w:r w:rsidRPr="00283806">
        <w:rPr>
          <w:spacing w:val="35"/>
          <w:w w:val="105"/>
        </w:rPr>
        <w:t xml:space="preserve"> </w:t>
      </w:r>
      <w:r w:rsidRPr="00283806">
        <w:rPr>
          <w:w w:val="105"/>
        </w:rPr>
        <w:t>Alternatively,</w:t>
      </w:r>
      <w:r w:rsidRPr="00283806">
        <w:rPr>
          <w:spacing w:val="40"/>
          <w:w w:val="105"/>
        </w:rPr>
        <w:t xml:space="preserve"> </w:t>
      </w:r>
      <w:r w:rsidRPr="00283806">
        <w:rPr>
          <w:w w:val="105"/>
        </w:rPr>
        <w:t>the commenter suggested EPA could establish a charge size threshold at 40 pounds, as there have been</w:t>
      </w:r>
      <w:r w:rsidRPr="00283806">
        <w:rPr>
          <w:spacing w:val="80"/>
          <w:w w:val="150"/>
        </w:rPr>
        <w:t xml:space="preserve"> </w:t>
      </w:r>
      <w:r w:rsidRPr="00283806">
        <w:rPr>
          <w:w w:val="105"/>
        </w:rPr>
        <w:t>technological reductions in charge sizes due to the phaseout of ODS. A few commenters recommended that EPA increase the threshold from the</w:t>
      </w:r>
      <w:r w:rsidRPr="00283806">
        <w:rPr>
          <w:spacing w:val="40"/>
          <w:w w:val="105"/>
        </w:rPr>
        <w:t xml:space="preserve"> </w:t>
      </w:r>
      <w:r w:rsidRPr="00283806">
        <w:rPr>
          <w:w w:val="105"/>
        </w:rPr>
        <w:t>proposed 15 pounds to 30, 40, or 50 pounds to better align with CAA section 608 regulations. One commenter</w:t>
      </w:r>
      <w:r w:rsidRPr="00283806">
        <w:rPr>
          <w:spacing w:val="80"/>
          <w:w w:val="105"/>
        </w:rPr>
        <w:t xml:space="preserve"> </w:t>
      </w:r>
      <w:r w:rsidRPr="00283806">
        <w:rPr>
          <w:w w:val="105"/>
        </w:rPr>
        <w:t>claimed the 15-pound threshold does</w:t>
      </w:r>
      <w:r w:rsidRPr="00283806">
        <w:rPr>
          <w:spacing w:val="80"/>
          <w:w w:val="105"/>
        </w:rPr>
        <w:t xml:space="preserve"> </w:t>
      </w:r>
      <w:r w:rsidRPr="00283806">
        <w:rPr>
          <w:w w:val="105"/>
        </w:rPr>
        <w:t>not provide enough environmental benefits to justify the cost increases to</w:t>
      </w:r>
    </w:p>
    <w:p w14:paraId="10F6898E" w14:textId="77777777" w:rsidR="00D67C1E" w:rsidRPr="00283806" w:rsidRDefault="001265CA">
      <w:pPr>
        <w:pStyle w:val="BodyText"/>
        <w:spacing w:before="134" w:line="225" w:lineRule="auto"/>
        <w:ind w:left="156" w:right="25"/>
      </w:pPr>
      <w:r w:rsidRPr="00283806">
        <w:br w:type="column"/>
      </w:r>
      <w:r w:rsidRPr="00283806">
        <w:rPr>
          <w:w w:val="105"/>
        </w:rPr>
        <w:t>small business owners, local school systems, and mass transit operators. The commenter stated that while a 50-pound threshold is preferable, a 30-pound threshold would mitigate some of these costs and challenges. Another</w:t>
      </w:r>
      <w:r w:rsidRPr="00283806">
        <w:rPr>
          <w:spacing w:val="40"/>
          <w:w w:val="105"/>
        </w:rPr>
        <w:t xml:space="preserve"> </w:t>
      </w:r>
      <w:r w:rsidRPr="00283806">
        <w:rPr>
          <w:w w:val="105"/>
        </w:rPr>
        <w:t>commenter stated that the 15-pound threshold was too low and would dramatically increase the number of affected appliances; suggesting that a</w:t>
      </w:r>
    </w:p>
    <w:p w14:paraId="5D07B7BE" w14:textId="77777777" w:rsidR="00D67C1E" w:rsidRPr="00283806" w:rsidRDefault="001265CA">
      <w:pPr>
        <w:pStyle w:val="BodyText"/>
        <w:spacing w:line="225" w:lineRule="auto"/>
        <w:ind w:left="156"/>
      </w:pPr>
      <w:proofErr w:type="gramStart"/>
      <w:r w:rsidRPr="00283806">
        <w:rPr>
          <w:w w:val="105"/>
        </w:rPr>
        <w:t>30</w:t>
      </w:r>
      <w:proofErr w:type="gramEnd"/>
      <w:r w:rsidRPr="00283806">
        <w:rPr>
          <w:w w:val="105"/>
        </w:rPr>
        <w:t>-pound threshold would be more appropriate and still expand upon the CAA regulations.</w:t>
      </w:r>
    </w:p>
    <w:p w14:paraId="0C20E5D8" w14:textId="77777777" w:rsidR="00D67C1E" w:rsidRPr="00283806" w:rsidRDefault="001265CA">
      <w:pPr>
        <w:pStyle w:val="BodyText"/>
        <w:spacing w:line="213" w:lineRule="auto"/>
        <w:ind w:left="156" w:firstLine="180"/>
      </w:pPr>
      <w:r w:rsidRPr="00283806">
        <w:rPr>
          <w:rFonts w:ascii="Book Antiqua"/>
          <w:i/>
          <w:w w:val="105"/>
        </w:rPr>
        <w:t xml:space="preserve">Response: </w:t>
      </w:r>
      <w:r w:rsidRPr="00283806">
        <w:rPr>
          <w:w w:val="105"/>
        </w:rPr>
        <w:t>EPA disagrees with commenters that the 15-pound</w:t>
      </w:r>
    </w:p>
    <w:p w14:paraId="651E3F92" w14:textId="77777777" w:rsidR="00D67C1E" w:rsidRPr="00283806" w:rsidRDefault="001265CA">
      <w:pPr>
        <w:pStyle w:val="BodyText"/>
        <w:spacing w:line="225" w:lineRule="auto"/>
        <w:ind w:left="156" w:right="9"/>
      </w:pPr>
      <w:r w:rsidRPr="00283806">
        <w:rPr>
          <w:w w:val="105"/>
        </w:rPr>
        <w:t>threshold will confuse technicians and facility owners. While this lower threshold will affect different sizes and types of refrigerant-containing</w:t>
      </w:r>
      <w:r w:rsidRPr="00283806">
        <w:rPr>
          <w:spacing w:val="40"/>
          <w:w w:val="105"/>
        </w:rPr>
        <w:t xml:space="preserve"> </w:t>
      </w:r>
      <w:r w:rsidRPr="00283806">
        <w:rPr>
          <w:w w:val="105"/>
        </w:rPr>
        <w:t>appliances than the 50-pound threshold for ODS appliances, the leak repair activities are consistent with the subpart F requirements. Through this notice-and comment rulemaking the Agency informed stakeholders of this lower threshold level and explained the Agency’s rationale for a 15-pound threshold in section IV.C.2 of this preamble. EPA intends to provide information to the regulated community on its website and additional communication about the requirements to affected stakeholders. EPA also disagrees that owners or operators</w:t>
      </w:r>
      <w:r w:rsidRPr="00283806">
        <w:rPr>
          <w:spacing w:val="40"/>
          <w:w w:val="105"/>
        </w:rPr>
        <w:t xml:space="preserve"> </w:t>
      </w:r>
      <w:r w:rsidRPr="00283806">
        <w:rPr>
          <w:w w:val="105"/>
        </w:rPr>
        <w:t>would have difficulty determining what refrigerants are being used within a refrigerant-containing appliance or that they would have difficulty determining the charge size of a refrigerant- containing appliance. An owner or operator should be fully aware of the</w:t>
      </w:r>
      <w:r w:rsidRPr="00283806">
        <w:rPr>
          <w:spacing w:val="40"/>
          <w:w w:val="105"/>
        </w:rPr>
        <w:t xml:space="preserve"> </w:t>
      </w:r>
      <w:r w:rsidRPr="00283806">
        <w:rPr>
          <w:w w:val="105"/>
        </w:rPr>
        <w:t>type of refrigerant that is being used in</w:t>
      </w:r>
    </w:p>
    <w:p w14:paraId="5479B568" w14:textId="77777777" w:rsidR="00D67C1E" w:rsidRPr="00283806" w:rsidRDefault="001265CA">
      <w:pPr>
        <w:pStyle w:val="BodyText"/>
        <w:spacing w:line="225" w:lineRule="auto"/>
        <w:ind w:left="156"/>
      </w:pPr>
      <w:r w:rsidRPr="00283806">
        <w:rPr>
          <w:w w:val="105"/>
        </w:rPr>
        <w:t>a refrigerant-containing appliance, and the determination of an appliance’s full charge (as described in section IV.A.2 of this preamble) is the same as its use under the CAA section 608 regulations.</w:t>
      </w:r>
    </w:p>
    <w:p w14:paraId="5C3129CD" w14:textId="77777777" w:rsidR="00D67C1E" w:rsidRPr="00283806" w:rsidRDefault="001265CA">
      <w:pPr>
        <w:pStyle w:val="BodyText"/>
        <w:spacing w:line="178" w:lineRule="exact"/>
        <w:ind w:left="336"/>
      </w:pPr>
      <w:r w:rsidRPr="00283806">
        <w:rPr>
          <w:w w:val="105"/>
        </w:rPr>
        <w:t>The</w:t>
      </w:r>
      <w:r w:rsidRPr="00283806">
        <w:rPr>
          <w:spacing w:val="15"/>
          <w:w w:val="105"/>
        </w:rPr>
        <w:t xml:space="preserve"> </w:t>
      </w:r>
      <w:r w:rsidRPr="00283806">
        <w:rPr>
          <w:w w:val="105"/>
        </w:rPr>
        <w:t>Agency</w:t>
      </w:r>
      <w:r w:rsidRPr="00283806">
        <w:rPr>
          <w:spacing w:val="15"/>
          <w:w w:val="105"/>
        </w:rPr>
        <w:t xml:space="preserve"> </w:t>
      </w:r>
      <w:r w:rsidRPr="00283806">
        <w:rPr>
          <w:w w:val="105"/>
        </w:rPr>
        <w:t>disagrees</w:t>
      </w:r>
      <w:r w:rsidRPr="00283806">
        <w:rPr>
          <w:spacing w:val="15"/>
          <w:w w:val="105"/>
        </w:rPr>
        <w:t xml:space="preserve"> </w:t>
      </w:r>
      <w:r w:rsidRPr="00283806">
        <w:rPr>
          <w:w w:val="105"/>
        </w:rPr>
        <w:t>with</w:t>
      </w:r>
      <w:r w:rsidRPr="00283806">
        <w:rPr>
          <w:spacing w:val="15"/>
          <w:w w:val="105"/>
        </w:rPr>
        <w:t xml:space="preserve"> </w:t>
      </w:r>
      <w:r w:rsidRPr="00283806">
        <w:rPr>
          <w:spacing w:val="-10"/>
          <w:w w:val="105"/>
        </w:rPr>
        <w:t>a</w:t>
      </w:r>
    </w:p>
    <w:p w14:paraId="651D8133" w14:textId="77777777" w:rsidR="00D67C1E" w:rsidRPr="00283806" w:rsidRDefault="001265CA">
      <w:pPr>
        <w:pStyle w:val="BodyText"/>
        <w:spacing w:line="225" w:lineRule="auto"/>
        <w:ind w:left="156"/>
      </w:pPr>
      <w:proofErr w:type="gramStart"/>
      <w:r w:rsidRPr="00283806">
        <w:rPr>
          <w:w w:val="105"/>
        </w:rPr>
        <w:t>commenter’s</w:t>
      </w:r>
      <w:proofErr w:type="gramEnd"/>
      <w:r w:rsidRPr="00283806">
        <w:rPr>
          <w:w w:val="105"/>
        </w:rPr>
        <w:t xml:space="preserve"> claim that the 15-pound threshold would uniquely burden small businesses, schools, and mass transit operators. Small businesses and schools, depending on equipment type, may fall under the narrow leak repair exemption for residential and light commercial air conditioning and heat pumps, easing some of their regulatory burden. The</w:t>
      </w:r>
      <w:r w:rsidRPr="00283806">
        <w:rPr>
          <w:spacing w:val="40"/>
          <w:w w:val="105"/>
        </w:rPr>
        <w:t xml:space="preserve"> </w:t>
      </w:r>
      <w:r w:rsidRPr="00283806">
        <w:rPr>
          <w:w w:val="105"/>
        </w:rPr>
        <w:t>final rule’s leak repair provision may affect operators of air conditioning on mass transit (</w:t>
      </w:r>
      <w:r w:rsidRPr="00283806">
        <w:rPr>
          <w:rFonts w:ascii="Book Antiqua" w:hAnsi="Book Antiqua"/>
          <w:i/>
          <w:w w:val="105"/>
        </w:rPr>
        <w:t xml:space="preserve">e.g., </w:t>
      </w:r>
      <w:r w:rsidRPr="00283806">
        <w:rPr>
          <w:w w:val="105"/>
        </w:rPr>
        <w:t>trains) and school buses, but the commenter did not</w:t>
      </w:r>
      <w:r w:rsidRPr="00283806">
        <w:rPr>
          <w:spacing w:val="40"/>
          <w:w w:val="105"/>
        </w:rPr>
        <w:t xml:space="preserve"> </w:t>
      </w:r>
      <w:r w:rsidRPr="00283806">
        <w:rPr>
          <w:w w:val="105"/>
        </w:rPr>
        <w:t>provide specific evidence to support</w:t>
      </w:r>
      <w:r w:rsidRPr="00283806">
        <w:rPr>
          <w:spacing w:val="80"/>
          <w:w w:val="105"/>
        </w:rPr>
        <w:t xml:space="preserve"> </w:t>
      </w:r>
      <w:r w:rsidRPr="00283806">
        <w:rPr>
          <w:w w:val="105"/>
        </w:rPr>
        <w:t>their claim that the leak repair requirements would increase costs to an extent that it unduly burdens these refrigerant-containing appliance owners.</w:t>
      </w:r>
    </w:p>
    <w:p w14:paraId="37F278AA" w14:textId="77777777" w:rsidR="00D67C1E" w:rsidRPr="00283806" w:rsidRDefault="001265CA">
      <w:pPr>
        <w:pStyle w:val="BodyText"/>
        <w:spacing w:line="178" w:lineRule="exact"/>
        <w:ind w:left="336"/>
      </w:pPr>
      <w:r w:rsidRPr="00283806">
        <w:rPr>
          <w:w w:val="105"/>
        </w:rPr>
        <w:t>EPA</w:t>
      </w:r>
      <w:r w:rsidRPr="00283806">
        <w:rPr>
          <w:spacing w:val="11"/>
          <w:w w:val="105"/>
        </w:rPr>
        <w:t xml:space="preserve"> </w:t>
      </w:r>
      <w:r w:rsidRPr="00283806">
        <w:rPr>
          <w:w w:val="105"/>
        </w:rPr>
        <w:t>disagrees</w:t>
      </w:r>
      <w:r w:rsidRPr="00283806">
        <w:rPr>
          <w:spacing w:val="12"/>
          <w:w w:val="105"/>
        </w:rPr>
        <w:t xml:space="preserve"> </w:t>
      </w:r>
      <w:r w:rsidRPr="00283806">
        <w:rPr>
          <w:w w:val="105"/>
        </w:rPr>
        <w:t>with</w:t>
      </w:r>
      <w:r w:rsidRPr="00283806">
        <w:rPr>
          <w:spacing w:val="12"/>
          <w:w w:val="105"/>
        </w:rPr>
        <w:t xml:space="preserve"> </w:t>
      </w:r>
      <w:r w:rsidRPr="00283806">
        <w:rPr>
          <w:w w:val="105"/>
        </w:rPr>
        <w:t>a</w:t>
      </w:r>
      <w:r w:rsidRPr="00283806">
        <w:rPr>
          <w:spacing w:val="11"/>
          <w:w w:val="105"/>
        </w:rPr>
        <w:t xml:space="preserve"> </w:t>
      </w:r>
      <w:r w:rsidRPr="00283806">
        <w:rPr>
          <w:spacing w:val="-2"/>
          <w:w w:val="105"/>
        </w:rPr>
        <w:t>commenter’s</w:t>
      </w:r>
    </w:p>
    <w:p w14:paraId="6C0BE440" w14:textId="77777777" w:rsidR="00D67C1E" w:rsidRPr="00283806" w:rsidRDefault="001265CA">
      <w:pPr>
        <w:pStyle w:val="BodyText"/>
        <w:spacing w:line="228" w:lineRule="auto"/>
        <w:ind w:left="156"/>
      </w:pPr>
      <w:r w:rsidRPr="00283806">
        <w:rPr>
          <w:w w:val="105"/>
        </w:rPr>
        <w:t>suggestion to pause the compliance date of the leak repair provisions to see if</w:t>
      </w:r>
    </w:p>
    <w:p w14:paraId="1F406AEE" w14:textId="77777777" w:rsidR="00D67C1E" w:rsidRPr="00283806" w:rsidRDefault="001265CA">
      <w:pPr>
        <w:pStyle w:val="BodyText"/>
        <w:spacing w:before="132" w:line="228" w:lineRule="auto"/>
        <w:ind w:left="142" w:right="132"/>
      </w:pPr>
      <w:r w:rsidRPr="00283806">
        <w:br w:type="column"/>
      </w:r>
      <w:proofErr w:type="gramStart"/>
      <w:r w:rsidRPr="00283806">
        <w:rPr>
          <w:w w:val="105"/>
        </w:rPr>
        <w:t>there</w:t>
      </w:r>
      <w:proofErr w:type="gramEnd"/>
      <w:r w:rsidRPr="00283806">
        <w:rPr>
          <w:w w:val="105"/>
        </w:rPr>
        <w:t xml:space="preserve"> is a substantial reduction in HFC use and emissions. The Agency notes</w:t>
      </w:r>
      <w:r w:rsidRPr="00283806">
        <w:rPr>
          <w:spacing w:val="80"/>
          <w:w w:val="105"/>
        </w:rPr>
        <w:t xml:space="preserve"> </w:t>
      </w:r>
      <w:r w:rsidRPr="00283806">
        <w:rPr>
          <w:w w:val="105"/>
        </w:rPr>
        <w:t>that the HFC phasedown is substantially reducing the production and consumption of HFCs; thus, the overall use</w:t>
      </w:r>
      <w:r w:rsidRPr="00283806">
        <w:rPr>
          <w:spacing w:val="36"/>
          <w:w w:val="105"/>
        </w:rPr>
        <w:t xml:space="preserve"> </w:t>
      </w:r>
      <w:r w:rsidRPr="00283806">
        <w:rPr>
          <w:w w:val="105"/>
        </w:rPr>
        <w:t>of</w:t>
      </w:r>
      <w:r w:rsidRPr="00283806">
        <w:rPr>
          <w:spacing w:val="36"/>
          <w:w w:val="105"/>
        </w:rPr>
        <w:t xml:space="preserve"> </w:t>
      </w:r>
      <w:r w:rsidRPr="00283806">
        <w:rPr>
          <w:w w:val="105"/>
        </w:rPr>
        <w:t>virgin</w:t>
      </w:r>
      <w:r w:rsidRPr="00283806">
        <w:rPr>
          <w:spacing w:val="36"/>
          <w:w w:val="105"/>
        </w:rPr>
        <w:t xml:space="preserve"> </w:t>
      </w:r>
      <w:r w:rsidRPr="00283806">
        <w:rPr>
          <w:w w:val="105"/>
        </w:rPr>
        <w:t>HFCs</w:t>
      </w:r>
      <w:r w:rsidRPr="00283806">
        <w:rPr>
          <w:spacing w:val="36"/>
          <w:w w:val="105"/>
        </w:rPr>
        <w:t xml:space="preserve"> </w:t>
      </w:r>
      <w:r w:rsidRPr="00283806">
        <w:rPr>
          <w:w w:val="105"/>
        </w:rPr>
        <w:t>is</w:t>
      </w:r>
      <w:r w:rsidRPr="00283806">
        <w:rPr>
          <w:spacing w:val="36"/>
          <w:w w:val="105"/>
        </w:rPr>
        <w:t xml:space="preserve"> </w:t>
      </w:r>
      <w:r w:rsidRPr="00283806">
        <w:rPr>
          <w:w w:val="105"/>
        </w:rPr>
        <w:t>going</w:t>
      </w:r>
      <w:r w:rsidRPr="00283806">
        <w:rPr>
          <w:spacing w:val="36"/>
          <w:w w:val="105"/>
        </w:rPr>
        <w:t xml:space="preserve"> </w:t>
      </w:r>
      <w:r w:rsidRPr="00283806">
        <w:rPr>
          <w:w w:val="105"/>
        </w:rPr>
        <w:t>to</w:t>
      </w:r>
      <w:r w:rsidRPr="00283806">
        <w:rPr>
          <w:spacing w:val="36"/>
          <w:w w:val="105"/>
        </w:rPr>
        <w:t xml:space="preserve"> </w:t>
      </w:r>
      <w:r w:rsidRPr="00283806">
        <w:rPr>
          <w:w w:val="105"/>
        </w:rPr>
        <w:t>be reduced as the phasedown progresses. However, as previously stated, the phasedown will not eliminate the production and consumption of HFCs,</w:t>
      </w:r>
      <w:r w:rsidRPr="00283806">
        <w:rPr>
          <w:spacing w:val="40"/>
          <w:w w:val="105"/>
        </w:rPr>
        <w:t xml:space="preserve"> </w:t>
      </w:r>
      <w:r w:rsidRPr="00283806">
        <w:rPr>
          <w:w w:val="105"/>
        </w:rPr>
        <w:t>and specific measures are necessary to limit the impacts of HFCs on the environment and ensure that the supply of</w:t>
      </w:r>
      <w:r w:rsidRPr="00283806">
        <w:rPr>
          <w:spacing w:val="38"/>
          <w:w w:val="105"/>
        </w:rPr>
        <w:t xml:space="preserve"> </w:t>
      </w:r>
      <w:r w:rsidRPr="00283806">
        <w:rPr>
          <w:w w:val="105"/>
        </w:rPr>
        <w:t>HFC</w:t>
      </w:r>
      <w:r w:rsidRPr="00283806">
        <w:rPr>
          <w:spacing w:val="38"/>
          <w:w w:val="105"/>
        </w:rPr>
        <w:t xml:space="preserve"> </w:t>
      </w:r>
      <w:r w:rsidRPr="00283806">
        <w:rPr>
          <w:w w:val="105"/>
        </w:rPr>
        <w:t>refrigerants</w:t>
      </w:r>
      <w:r w:rsidRPr="00283806">
        <w:rPr>
          <w:spacing w:val="38"/>
          <w:w w:val="105"/>
        </w:rPr>
        <w:t xml:space="preserve"> </w:t>
      </w:r>
      <w:r w:rsidRPr="00283806">
        <w:rPr>
          <w:w w:val="105"/>
        </w:rPr>
        <w:t>is</w:t>
      </w:r>
      <w:r w:rsidRPr="00283806">
        <w:rPr>
          <w:spacing w:val="38"/>
          <w:w w:val="105"/>
        </w:rPr>
        <w:t xml:space="preserve"> </w:t>
      </w:r>
      <w:r w:rsidRPr="00283806">
        <w:rPr>
          <w:w w:val="105"/>
        </w:rPr>
        <w:t>available</w:t>
      </w:r>
      <w:r w:rsidRPr="00283806">
        <w:rPr>
          <w:spacing w:val="38"/>
          <w:w w:val="105"/>
        </w:rPr>
        <w:t xml:space="preserve"> </w:t>
      </w:r>
      <w:r w:rsidRPr="00283806">
        <w:rPr>
          <w:w w:val="105"/>
        </w:rPr>
        <w:t>for</w:t>
      </w:r>
      <w:r w:rsidRPr="00283806">
        <w:rPr>
          <w:spacing w:val="38"/>
          <w:w w:val="105"/>
        </w:rPr>
        <w:t xml:space="preserve"> </w:t>
      </w:r>
      <w:r w:rsidRPr="00283806">
        <w:rPr>
          <w:w w:val="105"/>
        </w:rPr>
        <w:t>use in existing systems. This action is</w:t>
      </w:r>
      <w:r w:rsidRPr="00283806">
        <w:rPr>
          <w:spacing w:val="80"/>
          <w:w w:val="105"/>
        </w:rPr>
        <w:t xml:space="preserve"> </w:t>
      </w:r>
      <w:r w:rsidRPr="00283806">
        <w:rPr>
          <w:w w:val="105"/>
        </w:rPr>
        <w:t>focused on implementing subsection (h) of</w:t>
      </w:r>
      <w:r w:rsidRPr="00283806">
        <w:rPr>
          <w:spacing w:val="40"/>
          <w:w w:val="105"/>
        </w:rPr>
        <w:t xml:space="preserve"> </w:t>
      </w:r>
      <w:r w:rsidRPr="00283806">
        <w:rPr>
          <w:w w:val="105"/>
        </w:rPr>
        <w:t>the</w:t>
      </w:r>
      <w:r w:rsidRPr="00283806">
        <w:rPr>
          <w:spacing w:val="40"/>
          <w:w w:val="105"/>
        </w:rPr>
        <w:t xml:space="preserve"> </w:t>
      </w:r>
      <w:r w:rsidRPr="00283806">
        <w:rPr>
          <w:w w:val="105"/>
        </w:rPr>
        <w:t>AIM</w:t>
      </w:r>
      <w:r w:rsidRPr="00283806">
        <w:rPr>
          <w:spacing w:val="40"/>
          <w:w w:val="105"/>
        </w:rPr>
        <w:t xml:space="preserve"> </w:t>
      </w:r>
      <w:r w:rsidRPr="00283806">
        <w:rPr>
          <w:w w:val="105"/>
        </w:rPr>
        <w:t>Act,</w:t>
      </w:r>
      <w:r w:rsidRPr="00283806">
        <w:rPr>
          <w:spacing w:val="40"/>
          <w:w w:val="105"/>
        </w:rPr>
        <w:t xml:space="preserve"> </w:t>
      </w:r>
      <w:r w:rsidRPr="00283806">
        <w:rPr>
          <w:w w:val="105"/>
        </w:rPr>
        <w:t>which</w:t>
      </w:r>
      <w:r w:rsidRPr="00283806">
        <w:rPr>
          <w:spacing w:val="40"/>
          <w:w w:val="105"/>
        </w:rPr>
        <w:t xml:space="preserve"> </w:t>
      </w:r>
      <w:r w:rsidRPr="00283806">
        <w:rPr>
          <w:w w:val="105"/>
        </w:rPr>
        <w:t>establishes distinct authorities focused on minimizing the release of HFCs and maximizing the recovery of HFCs for reclamation. The vast majority of HFCs are used in the RACHP sector and its subsectors; thus, leak repair requirements for this sector are vital to minimizing the release of HFCs and maximizing</w:t>
      </w:r>
      <w:r w:rsidRPr="00283806">
        <w:rPr>
          <w:spacing w:val="35"/>
          <w:w w:val="105"/>
        </w:rPr>
        <w:t xml:space="preserve"> </w:t>
      </w:r>
      <w:r w:rsidRPr="00283806">
        <w:rPr>
          <w:w w:val="105"/>
        </w:rPr>
        <w:t>reclamation.</w:t>
      </w:r>
      <w:r w:rsidRPr="00283806">
        <w:rPr>
          <w:spacing w:val="35"/>
          <w:w w:val="105"/>
        </w:rPr>
        <w:t xml:space="preserve"> </w:t>
      </w:r>
      <w:r w:rsidRPr="00283806">
        <w:rPr>
          <w:w w:val="105"/>
        </w:rPr>
        <w:t>Additionally,</w:t>
      </w:r>
      <w:r w:rsidRPr="00283806">
        <w:rPr>
          <w:spacing w:val="80"/>
          <w:w w:val="105"/>
        </w:rPr>
        <w:t xml:space="preserve"> </w:t>
      </w:r>
      <w:r w:rsidRPr="00283806">
        <w:rPr>
          <w:w w:val="105"/>
        </w:rPr>
        <w:t>in the context of the HFC phasedown,</w:t>
      </w:r>
      <w:r w:rsidRPr="00283806">
        <w:rPr>
          <w:spacing w:val="80"/>
          <w:w w:val="150"/>
        </w:rPr>
        <w:t xml:space="preserve"> </w:t>
      </w:r>
      <w:r w:rsidRPr="00283806">
        <w:rPr>
          <w:w w:val="105"/>
        </w:rPr>
        <w:t>not establishing requirements to limit</w:t>
      </w:r>
      <w:r w:rsidRPr="00283806">
        <w:rPr>
          <w:spacing w:val="40"/>
          <w:w w:val="105"/>
        </w:rPr>
        <w:t xml:space="preserve"> </w:t>
      </w:r>
      <w:r w:rsidRPr="00283806">
        <w:rPr>
          <w:w w:val="105"/>
        </w:rPr>
        <w:t>the release of HFCs will create supply issues as the phasedown progresses.</w:t>
      </w:r>
    </w:p>
    <w:p w14:paraId="0552F3B9" w14:textId="77777777" w:rsidR="00D67C1E" w:rsidRPr="00283806" w:rsidRDefault="001265CA">
      <w:pPr>
        <w:pStyle w:val="BodyText"/>
        <w:spacing w:line="182" w:lineRule="exact"/>
        <w:ind w:left="142"/>
      </w:pPr>
      <w:r w:rsidRPr="00283806">
        <w:rPr>
          <w:w w:val="105"/>
        </w:rPr>
        <w:t>Therefore,</w:t>
      </w:r>
      <w:r w:rsidRPr="00283806">
        <w:rPr>
          <w:spacing w:val="8"/>
          <w:w w:val="105"/>
        </w:rPr>
        <w:t xml:space="preserve"> </w:t>
      </w:r>
      <w:r w:rsidRPr="00283806">
        <w:rPr>
          <w:w w:val="105"/>
        </w:rPr>
        <w:t>the</w:t>
      </w:r>
      <w:r w:rsidRPr="00283806">
        <w:rPr>
          <w:spacing w:val="9"/>
          <w:w w:val="105"/>
        </w:rPr>
        <w:t xml:space="preserve"> </w:t>
      </w:r>
      <w:r w:rsidRPr="00283806">
        <w:rPr>
          <w:w w:val="105"/>
        </w:rPr>
        <w:t>timing</w:t>
      </w:r>
      <w:r w:rsidRPr="00283806">
        <w:rPr>
          <w:spacing w:val="8"/>
          <w:w w:val="105"/>
        </w:rPr>
        <w:t xml:space="preserve"> </w:t>
      </w:r>
      <w:r w:rsidRPr="00283806">
        <w:rPr>
          <w:w w:val="105"/>
        </w:rPr>
        <w:t>of</w:t>
      </w:r>
      <w:r w:rsidRPr="00283806">
        <w:rPr>
          <w:spacing w:val="9"/>
          <w:w w:val="105"/>
        </w:rPr>
        <w:t xml:space="preserve"> </w:t>
      </w:r>
      <w:r w:rsidRPr="00283806">
        <w:rPr>
          <w:w w:val="105"/>
        </w:rPr>
        <w:t>the</w:t>
      </w:r>
      <w:r w:rsidRPr="00283806">
        <w:rPr>
          <w:spacing w:val="9"/>
          <w:w w:val="105"/>
        </w:rPr>
        <w:t xml:space="preserve"> </w:t>
      </w:r>
      <w:r w:rsidRPr="00283806">
        <w:rPr>
          <w:w w:val="105"/>
        </w:rPr>
        <w:t>leak</w:t>
      </w:r>
      <w:r w:rsidRPr="00283806">
        <w:rPr>
          <w:spacing w:val="8"/>
          <w:w w:val="105"/>
        </w:rPr>
        <w:t xml:space="preserve"> </w:t>
      </w:r>
      <w:r w:rsidRPr="00283806">
        <w:rPr>
          <w:spacing w:val="-2"/>
          <w:w w:val="105"/>
        </w:rPr>
        <w:t>repair</w:t>
      </w:r>
    </w:p>
    <w:p w14:paraId="5A5CA9B7" w14:textId="77777777" w:rsidR="00D67C1E" w:rsidRPr="00283806" w:rsidRDefault="001265CA">
      <w:pPr>
        <w:pStyle w:val="BodyText"/>
        <w:spacing w:before="3" w:line="228" w:lineRule="auto"/>
        <w:ind w:left="142" w:right="218"/>
      </w:pPr>
      <w:r w:rsidRPr="00283806">
        <w:rPr>
          <w:w w:val="105"/>
        </w:rPr>
        <w:t xml:space="preserve">requirements in this final rule </w:t>
      </w:r>
      <w:proofErr w:type="gramStart"/>
      <w:r w:rsidRPr="00283806">
        <w:rPr>
          <w:w w:val="105"/>
        </w:rPr>
        <w:t>is</w:t>
      </w:r>
      <w:proofErr w:type="gramEnd"/>
      <w:r w:rsidRPr="00283806">
        <w:rPr>
          <w:w w:val="105"/>
        </w:rPr>
        <w:t xml:space="preserve"> vital to the implementation of the HFC phasedown and </w:t>
      </w:r>
      <w:proofErr w:type="gramStart"/>
      <w:r w:rsidRPr="00283806">
        <w:rPr>
          <w:w w:val="105"/>
        </w:rPr>
        <w:t>ensures</w:t>
      </w:r>
      <w:proofErr w:type="gramEnd"/>
      <w:r w:rsidRPr="00283806">
        <w:rPr>
          <w:w w:val="105"/>
        </w:rPr>
        <w:t xml:space="preserve"> that a supply of reclaimed HFCs is available for owners</w:t>
      </w:r>
      <w:r w:rsidRPr="00283806">
        <w:rPr>
          <w:spacing w:val="40"/>
          <w:w w:val="105"/>
        </w:rPr>
        <w:t xml:space="preserve"> </w:t>
      </w:r>
      <w:r w:rsidRPr="00283806">
        <w:rPr>
          <w:w w:val="105"/>
        </w:rPr>
        <w:t>or operators to continue to use HFCs for their refrigerant-containing appliances. The Agency agrees that additional data may inform future decisions under subsection (h) and more broadly under the AIM Act. Such information could</w:t>
      </w:r>
      <w:r w:rsidRPr="00283806">
        <w:rPr>
          <w:spacing w:val="80"/>
          <w:w w:val="150"/>
        </w:rPr>
        <w:t xml:space="preserve"> </w:t>
      </w:r>
      <w:r w:rsidRPr="00283806">
        <w:rPr>
          <w:w w:val="105"/>
        </w:rPr>
        <w:t>lead to a future notice-and-comment rulemaking that may consider a lower threshold for refrigerant-containing appliances subject to leak repair requirements. However, based on the data available now, the Agency</w:t>
      </w:r>
      <w:r w:rsidRPr="00283806">
        <w:rPr>
          <w:spacing w:val="40"/>
          <w:w w:val="105"/>
        </w:rPr>
        <w:t xml:space="preserve"> </w:t>
      </w:r>
      <w:r w:rsidRPr="00283806">
        <w:rPr>
          <w:w w:val="105"/>
        </w:rPr>
        <w:t>concludes that it is appropriate to proceed with the leak repair requirements for appliances with a full charge size of 15 pounds or more and with a compliance date of January 1, 2026, as part of implementing</w:t>
      </w:r>
      <w:r w:rsidRPr="00283806">
        <w:rPr>
          <w:spacing w:val="40"/>
          <w:w w:val="105"/>
        </w:rPr>
        <w:t xml:space="preserve"> </w:t>
      </w:r>
      <w:r w:rsidRPr="00283806">
        <w:rPr>
          <w:w w:val="105"/>
        </w:rPr>
        <w:t>subsection (h).</w:t>
      </w:r>
    </w:p>
    <w:p w14:paraId="2FE7C373" w14:textId="77777777" w:rsidR="00D67C1E" w:rsidRPr="00283806" w:rsidRDefault="001265CA">
      <w:pPr>
        <w:pStyle w:val="BodyText"/>
        <w:spacing w:before="29" w:line="228" w:lineRule="auto"/>
        <w:ind w:left="142" w:right="202" w:firstLine="180"/>
      </w:pPr>
      <w:r w:rsidRPr="00283806">
        <w:rPr>
          <w:w w:val="105"/>
        </w:rPr>
        <w:t>The Agency also disagrees with some commenters’ assertions that the 15- pound threshold would increase the number of refrigerant-containing appliances subject to leak repair by a factor of two to five times the number</w:t>
      </w:r>
      <w:r w:rsidRPr="00283806">
        <w:rPr>
          <w:spacing w:val="80"/>
          <w:w w:val="105"/>
        </w:rPr>
        <w:t xml:space="preserve"> </w:t>
      </w:r>
      <w:r w:rsidRPr="00283806">
        <w:rPr>
          <w:w w:val="105"/>
        </w:rPr>
        <w:t>of affected appliances under CAA</w:t>
      </w:r>
      <w:r w:rsidRPr="00283806">
        <w:rPr>
          <w:spacing w:val="80"/>
          <w:w w:val="105"/>
        </w:rPr>
        <w:t xml:space="preserve"> </w:t>
      </w:r>
      <w:r w:rsidRPr="00283806">
        <w:rPr>
          <w:w w:val="105"/>
        </w:rPr>
        <w:t>section</w:t>
      </w:r>
      <w:r w:rsidRPr="00283806">
        <w:rPr>
          <w:spacing w:val="27"/>
          <w:w w:val="105"/>
        </w:rPr>
        <w:t xml:space="preserve"> </w:t>
      </w:r>
      <w:r w:rsidRPr="00283806">
        <w:rPr>
          <w:w w:val="105"/>
        </w:rPr>
        <w:t>608.</w:t>
      </w:r>
      <w:r w:rsidRPr="00283806">
        <w:rPr>
          <w:spacing w:val="27"/>
          <w:w w:val="105"/>
        </w:rPr>
        <w:t xml:space="preserve"> </w:t>
      </w:r>
      <w:r w:rsidRPr="00283806">
        <w:rPr>
          <w:w w:val="105"/>
        </w:rPr>
        <w:t>The</w:t>
      </w:r>
      <w:r w:rsidRPr="00283806">
        <w:rPr>
          <w:spacing w:val="27"/>
          <w:w w:val="105"/>
        </w:rPr>
        <w:t xml:space="preserve"> </w:t>
      </w:r>
      <w:r w:rsidRPr="00283806">
        <w:rPr>
          <w:w w:val="105"/>
        </w:rPr>
        <w:t>final</w:t>
      </w:r>
      <w:r w:rsidRPr="00283806">
        <w:rPr>
          <w:spacing w:val="27"/>
          <w:w w:val="105"/>
        </w:rPr>
        <w:t xml:space="preserve"> </w:t>
      </w:r>
      <w:r w:rsidRPr="00283806">
        <w:rPr>
          <w:w w:val="105"/>
        </w:rPr>
        <w:t>rule</w:t>
      </w:r>
      <w:r w:rsidRPr="00283806">
        <w:rPr>
          <w:spacing w:val="27"/>
          <w:w w:val="105"/>
        </w:rPr>
        <w:t xml:space="preserve"> </w:t>
      </w:r>
      <w:r w:rsidRPr="00283806">
        <w:rPr>
          <w:w w:val="105"/>
        </w:rPr>
        <w:t>will</w:t>
      </w:r>
      <w:r w:rsidRPr="00283806">
        <w:rPr>
          <w:spacing w:val="27"/>
          <w:w w:val="105"/>
        </w:rPr>
        <w:t xml:space="preserve"> </w:t>
      </w:r>
      <w:r w:rsidRPr="00283806">
        <w:rPr>
          <w:w w:val="105"/>
        </w:rPr>
        <w:t xml:space="preserve">include a substantial number of new appliances under the leak repair provision but </w:t>
      </w:r>
      <w:proofErr w:type="gramStart"/>
      <w:r w:rsidRPr="00283806">
        <w:rPr>
          <w:w w:val="105"/>
        </w:rPr>
        <w:t>not</w:t>
      </w:r>
      <w:proofErr w:type="gramEnd"/>
      <w:r w:rsidRPr="00283806">
        <w:rPr>
          <w:w w:val="105"/>
        </w:rPr>
        <w:t xml:space="preserve"> the extent claimed by the commenter. Vintaging Model estimates on the total number of refrigerant-containing appliances subject to the leak repair</w:t>
      </w:r>
    </w:p>
    <w:p w14:paraId="6941D0D1"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05" w:space="40"/>
            <w:col w:w="3514" w:space="39"/>
            <w:col w:w="3622"/>
          </w:cols>
        </w:sectPr>
      </w:pPr>
    </w:p>
    <w:p w14:paraId="1CF4CB0D" w14:textId="77777777" w:rsidR="00D67C1E" w:rsidRPr="00283806" w:rsidRDefault="001265CA">
      <w:pPr>
        <w:pStyle w:val="BodyText"/>
        <w:spacing w:before="134" w:line="228" w:lineRule="auto"/>
        <w:ind w:right="41"/>
      </w:pPr>
      <w:r w:rsidRPr="00283806">
        <w:rPr>
          <w:w w:val="105"/>
        </w:rPr>
        <w:lastRenderedPageBreak/>
        <w:t>provisions of the final rule are estimated to affect 971,133 appliances with a charge size between 15 and 50 pounds and 580,653 appliances with a charge size above 50 pounds. As previously stated, EPA understands that the 15- pound threshold does increase the number of refrigerant-containing appliances subject to leak repair. This decision was based on EPA’s evaluation</w:t>
      </w:r>
      <w:r w:rsidRPr="00283806">
        <w:rPr>
          <w:spacing w:val="40"/>
          <w:w w:val="105"/>
        </w:rPr>
        <w:t xml:space="preserve"> </w:t>
      </w:r>
      <w:r w:rsidRPr="00283806">
        <w:rPr>
          <w:w w:val="105"/>
        </w:rPr>
        <w:t>of changes in the RACHP market and aftermarket (</w:t>
      </w:r>
      <w:r w:rsidRPr="00283806">
        <w:rPr>
          <w:rFonts w:ascii="Book Antiqua" w:hAnsi="Book Antiqua"/>
          <w:i/>
          <w:w w:val="105"/>
        </w:rPr>
        <w:t xml:space="preserve">e.g., </w:t>
      </w:r>
      <w:r w:rsidRPr="00283806">
        <w:rPr>
          <w:w w:val="105"/>
        </w:rPr>
        <w:t>the overall reduction</w:t>
      </w:r>
      <w:r w:rsidRPr="00283806">
        <w:rPr>
          <w:spacing w:val="80"/>
          <w:w w:val="105"/>
        </w:rPr>
        <w:t xml:space="preserve"> </w:t>
      </w:r>
      <w:r w:rsidRPr="00283806">
        <w:rPr>
          <w:w w:val="105"/>
        </w:rPr>
        <w:t xml:space="preserve">of refrigerant charge size). With these considerations, EPA determined that capturing refrigerant-containing appliances at charge sizes below 50 pounds will further serve the </w:t>
      </w:r>
      <w:proofErr w:type="gramStart"/>
      <w:r w:rsidRPr="00283806">
        <w:rPr>
          <w:w w:val="105"/>
        </w:rPr>
        <w:t>purposes</w:t>
      </w:r>
      <w:proofErr w:type="gramEnd"/>
      <w:r w:rsidRPr="00283806">
        <w:rPr>
          <w:spacing w:val="80"/>
          <w:w w:val="105"/>
        </w:rPr>
        <w:t xml:space="preserve"> </w:t>
      </w:r>
      <w:r w:rsidRPr="00283806">
        <w:rPr>
          <w:w w:val="105"/>
        </w:rPr>
        <w:t>of minimizing the release of HFCs from equipment. Therefore, the Agency finds</w:t>
      </w:r>
      <w:r w:rsidRPr="00283806">
        <w:rPr>
          <w:spacing w:val="80"/>
          <w:w w:val="105"/>
        </w:rPr>
        <w:t xml:space="preserve"> </w:t>
      </w:r>
      <w:r w:rsidRPr="00283806">
        <w:rPr>
          <w:w w:val="105"/>
        </w:rPr>
        <w:t>it appropriate to establish a charge size threshold of 15 pounds for refrigerant- containing appliances to be subject to</w:t>
      </w:r>
      <w:r w:rsidRPr="00283806">
        <w:rPr>
          <w:spacing w:val="80"/>
          <w:w w:val="105"/>
        </w:rPr>
        <w:t xml:space="preserve"> </w:t>
      </w:r>
      <w:r w:rsidRPr="00283806">
        <w:rPr>
          <w:w w:val="105"/>
        </w:rPr>
        <w:t>the leak repair requirements.</w:t>
      </w:r>
    </w:p>
    <w:p w14:paraId="761E857D" w14:textId="77777777" w:rsidR="00D67C1E" w:rsidRPr="00283806" w:rsidRDefault="001265CA">
      <w:pPr>
        <w:pStyle w:val="BodyText"/>
        <w:spacing w:before="19" w:line="228" w:lineRule="auto"/>
        <w:ind w:right="55" w:firstLine="180"/>
      </w:pPr>
      <w:r w:rsidRPr="00283806">
        <w:rPr>
          <w:w w:val="105"/>
        </w:rPr>
        <w:t>For these reasons EPA also disagrees with one commenter’s claim that refrigerant-containing appliances below 50 pounds should not be subject to the leak repair provision because their reduced charge size has mitigated their potential to harm the environment. The extension of the leak repair requirements to refrigerant-containing appliances below 50 pounds was found to be feasible because of the technological improvements to refrigerant charge size over decades.</w:t>
      </w:r>
    </w:p>
    <w:p w14:paraId="0BF40F77" w14:textId="77777777" w:rsidR="00D67C1E" w:rsidRPr="00283806" w:rsidRDefault="001265CA">
      <w:pPr>
        <w:pStyle w:val="BodyText"/>
        <w:spacing w:line="228" w:lineRule="auto"/>
      </w:pPr>
      <w:r w:rsidRPr="00283806">
        <w:rPr>
          <w:w w:val="105"/>
        </w:rPr>
        <w:t>These changes in charge size in the RACHP sector informed EPA’s decision</w:t>
      </w:r>
      <w:r w:rsidRPr="00283806">
        <w:rPr>
          <w:spacing w:val="80"/>
          <w:w w:val="105"/>
        </w:rPr>
        <w:t xml:space="preserve"> </w:t>
      </w:r>
      <w:r w:rsidRPr="00283806">
        <w:rPr>
          <w:w w:val="105"/>
        </w:rPr>
        <w:t>to capture appliances between 15 and</w:t>
      </w:r>
      <w:r w:rsidRPr="00283806">
        <w:rPr>
          <w:spacing w:val="80"/>
          <w:w w:val="105"/>
        </w:rPr>
        <w:t xml:space="preserve"> </w:t>
      </w:r>
      <w:r w:rsidRPr="00283806">
        <w:rPr>
          <w:w w:val="105"/>
        </w:rPr>
        <w:t>50</w:t>
      </w:r>
      <w:r w:rsidRPr="00283806">
        <w:rPr>
          <w:spacing w:val="40"/>
          <w:w w:val="105"/>
        </w:rPr>
        <w:t xml:space="preserve"> </w:t>
      </w:r>
      <w:r w:rsidRPr="00283806">
        <w:rPr>
          <w:w w:val="105"/>
        </w:rPr>
        <w:t>pounds</w:t>
      </w:r>
      <w:r w:rsidRPr="00283806">
        <w:rPr>
          <w:spacing w:val="40"/>
          <w:w w:val="105"/>
        </w:rPr>
        <w:t xml:space="preserve"> </w:t>
      </w:r>
      <w:r w:rsidRPr="00283806">
        <w:rPr>
          <w:w w:val="105"/>
        </w:rPr>
        <w:t>because</w:t>
      </w:r>
      <w:r w:rsidRPr="00283806">
        <w:rPr>
          <w:spacing w:val="40"/>
          <w:w w:val="105"/>
        </w:rPr>
        <w:t xml:space="preserve"> </w:t>
      </w:r>
      <w:r w:rsidRPr="00283806">
        <w:rPr>
          <w:w w:val="105"/>
        </w:rPr>
        <w:t>those</w:t>
      </w:r>
      <w:r w:rsidRPr="00283806">
        <w:rPr>
          <w:spacing w:val="40"/>
          <w:w w:val="105"/>
        </w:rPr>
        <w:t xml:space="preserve"> </w:t>
      </w:r>
      <w:r w:rsidRPr="00283806">
        <w:rPr>
          <w:w w:val="105"/>
        </w:rPr>
        <w:t>appliances still contain HFCs or covered substitutes that have a detrimental effect on the environment. The reduction in charge size does mitigate the total amount of refrigerant that is capable of being lost during a leak event, but it does not account for the proper management of refrigerant-containing appliances and fixing leaks within said appliances. EPA also disagrees with the commenter’s assertion that lowering the threshold to 15 pounds will deter manufacturers</w:t>
      </w:r>
      <w:r w:rsidRPr="00283806">
        <w:rPr>
          <w:spacing w:val="80"/>
          <w:w w:val="105"/>
        </w:rPr>
        <w:t xml:space="preserve"> </w:t>
      </w:r>
      <w:r w:rsidRPr="00283806">
        <w:rPr>
          <w:w w:val="105"/>
        </w:rPr>
        <w:t>from continuing to make technological advancements to appliance charge size. Manufacturers’ incentives to create smaller refrigerant-containing</w:t>
      </w:r>
      <w:r w:rsidRPr="00283806">
        <w:rPr>
          <w:spacing w:val="40"/>
          <w:w w:val="105"/>
        </w:rPr>
        <w:t xml:space="preserve"> </w:t>
      </w:r>
      <w:r w:rsidRPr="00283806">
        <w:rPr>
          <w:w w:val="105"/>
        </w:rPr>
        <w:t>appliances are not solely based on the charge size threshold for leak repair in this final rule, nor was this the case in</w:t>
      </w:r>
      <w:r w:rsidRPr="00283806">
        <w:rPr>
          <w:spacing w:val="80"/>
          <w:w w:val="105"/>
        </w:rPr>
        <w:t xml:space="preserve"> </w:t>
      </w:r>
      <w:r w:rsidRPr="00283806">
        <w:rPr>
          <w:w w:val="105"/>
        </w:rPr>
        <w:t>the context of the 50-pound threshold under the CAA section 608 regulations. The commenter did not provide additional information to sufficiently</w:t>
      </w:r>
    </w:p>
    <w:p w14:paraId="2D01EFDE" w14:textId="77777777" w:rsidR="00D67C1E" w:rsidRPr="00283806" w:rsidRDefault="001265CA">
      <w:pPr>
        <w:pStyle w:val="BodyText"/>
        <w:spacing w:before="133" w:line="228" w:lineRule="auto"/>
        <w:ind w:left="154" w:right="92" w:firstLine="180"/>
      </w:pPr>
      <w:r w:rsidRPr="00283806">
        <w:br w:type="column"/>
      </w:r>
      <w:r w:rsidRPr="00283806">
        <w:rPr>
          <w:w w:val="105"/>
        </w:rPr>
        <w:t xml:space="preserve">EPA acknowledges commenters’ concerns regarding the costs and benefits associated with leak repair. Further discussion on the costs and benefits associated with this final rule and discussions on the draft RIA addendum and Economic Impact and Benefits TSD can be found in </w:t>
      </w:r>
      <w:proofErr w:type="gramStart"/>
      <w:r w:rsidRPr="00283806">
        <w:rPr>
          <w:w w:val="105"/>
        </w:rPr>
        <w:t>section</w:t>
      </w:r>
      <w:proofErr w:type="gramEnd"/>
    </w:p>
    <w:p w14:paraId="3E5BF4DC" w14:textId="77777777" w:rsidR="00D67C1E" w:rsidRPr="00283806" w:rsidRDefault="001265CA">
      <w:pPr>
        <w:pStyle w:val="BodyText"/>
        <w:spacing w:line="228" w:lineRule="auto"/>
        <w:ind w:left="154" w:right="1"/>
      </w:pPr>
      <w:r w:rsidRPr="00283806">
        <w:rPr>
          <w:w w:val="105"/>
        </w:rPr>
        <w:t>VI.B of this preamble. EPA is not relying on those analyses as a record basis for this rulemaking, and the Agency would reach the same conclusions on the suitability of a 15-pound charge size threshold without those analyses. However, the analyses in the TSD reflect that the leak repair requirements in this final</w:t>
      </w:r>
      <w:r w:rsidRPr="00283806">
        <w:rPr>
          <w:spacing w:val="40"/>
          <w:w w:val="105"/>
        </w:rPr>
        <w:t xml:space="preserve"> </w:t>
      </w:r>
      <w:r w:rsidRPr="00283806">
        <w:rPr>
          <w:w w:val="105"/>
        </w:rPr>
        <w:t>rule</w:t>
      </w:r>
      <w:r w:rsidRPr="00283806">
        <w:rPr>
          <w:spacing w:val="40"/>
          <w:w w:val="105"/>
        </w:rPr>
        <w:t xml:space="preserve"> </w:t>
      </w:r>
      <w:r w:rsidRPr="00283806">
        <w:rPr>
          <w:w w:val="105"/>
        </w:rPr>
        <w:t>will</w:t>
      </w:r>
      <w:r w:rsidRPr="00283806">
        <w:rPr>
          <w:spacing w:val="40"/>
          <w:w w:val="105"/>
        </w:rPr>
        <w:t xml:space="preserve"> </w:t>
      </w:r>
      <w:r w:rsidRPr="00283806">
        <w:rPr>
          <w:w w:val="105"/>
        </w:rPr>
        <w:t>provide</w:t>
      </w:r>
      <w:r w:rsidRPr="00283806">
        <w:rPr>
          <w:spacing w:val="40"/>
          <w:w w:val="105"/>
        </w:rPr>
        <w:t xml:space="preserve"> </w:t>
      </w:r>
      <w:r w:rsidRPr="00283806">
        <w:rPr>
          <w:w w:val="105"/>
        </w:rPr>
        <w:t>several</w:t>
      </w:r>
      <w:r w:rsidRPr="00283806">
        <w:rPr>
          <w:spacing w:val="40"/>
          <w:w w:val="105"/>
        </w:rPr>
        <w:t xml:space="preserve"> </w:t>
      </w:r>
      <w:r w:rsidRPr="00283806">
        <w:rPr>
          <w:w w:val="105"/>
        </w:rPr>
        <w:t>benefits to owners or operators and EPA acknowledges that certain costs will be associated with the implementation of</w:t>
      </w:r>
      <w:r w:rsidRPr="00283806">
        <w:rPr>
          <w:spacing w:val="40"/>
          <w:w w:val="105"/>
        </w:rPr>
        <w:t xml:space="preserve"> </w:t>
      </w:r>
      <w:r w:rsidRPr="00283806">
        <w:rPr>
          <w:w w:val="105"/>
        </w:rPr>
        <w:t>the leak repair provisions. First, the leak repair requirements of this rulemaking are</w:t>
      </w:r>
      <w:r w:rsidRPr="00283806">
        <w:rPr>
          <w:spacing w:val="-1"/>
          <w:w w:val="105"/>
        </w:rPr>
        <w:t xml:space="preserve"> </w:t>
      </w:r>
      <w:r w:rsidRPr="00283806">
        <w:rPr>
          <w:w w:val="105"/>
        </w:rPr>
        <w:t>likely</w:t>
      </w:r>
      <w:r w:rsidRPr="00283806">
        <w:rPr>
          <w:spacing w:val="-1"/>
          <w:w w:val="105"/>
        </w:rPr>
        <w:t xml:space="preserve"> </w:t>
      </w:r>
      <w:r w:rsidRPr="00283806">
        <w:rPr>
          <w:w w:val="105"/>
        </w:rPr>
        <w:t>to</w:t>
      </w:r>
      <w:r w:rsidRPr="00283806">
        <w:rPr>
          <w:spacing w:val="-1"/>
          <w:w w:val="105"/>
        </w:rPr>
        <w:t xml:space="preserve"> </w:t>
      </w:r>
      <w:r w:rsidRPr="00283806">
        <w:rPr>
          <w:w w:val="105"/>
        </w:rPr>
        <w:t>provide</w:t>
      </w:r>
      <w:r w:rsidRPr="00283806">
        <w:rPr>
          <w:spacing w:val="-1"/>
          <w:w w:val="105"/>
        </w:rPr>
        <w:t xml:space="preserve"> </w:t>
      </w:r>
      <w:r w:rsidRPr="00283806">
        <w:rPr>
          <w:w w:val="105"/>
        </w:rPr>
        <w:t>owners</w:t>
      </w:r>
      <w:r w:rsidRPr="00283806">
        <w:rPr>
          <w:spacing w:val="-1"/>
          <w:w w:val="105"/>
        </w:rPr>
        <w:t xml:space="preserve"> </w:t>
      </w:r>
      <w:r w:rsidRPr="00283806">
        <w:rPr>
          <w:w w:val="105"/>
        </w:rPr>
        <w:t>or</w:t>
      </w:r>
      <w:r w:rsidRPr="00283806">
        <w:rPr>
          <w:spacing w:val="-1"/>
          <w:w w:val="105"/>
        </w:rPr>
        <w:t xml:space="preserve"> </w:t>
      </w:r>
      <w:proofErr w:type="gramStart"/>
      <w:r w:rsidRPr="00283806">
        <w:rPr>
          <w:w w:val="105"/>
        </w:rPr>
        <w:t>operators</w:t>
      </w:r>
      <w:proofErr w:type="gramEnd"/>
      <w:r w:rsidRPr="00283806">
        <w:rPr>
          <w:w w:val="105"/>
        </w:rPr>
        <w:t xml:space="preserve"> information that leaks are occurring earlier than would have otherwise been known. Fixing those leaks will reduce</w:t>
      </w:r>
      <w:r w:rsidRPr="00283806">
        <w:rPr>
          <w:spacing w:val="80"/>
          <w:w w:val="150"/>
        </w:rPr>
        <w:t xml:space="preserve"> </w:t>
      </w:r>
      <w:r w:rsidRPr="00283806">
        <w:rPr>
          <w:w w:val="105"/>
        </w:rPr>
        <w:t xml:space="preserve">the amount of </w:t>
      </w:r>
      <w:proofErr w:type="gramStart"/>
      <w:r w:rsidRPr="00283806">
        <w:rPr>
          <w:w w:val="105"/>
        </w:rPr>
        <w:t>refrigerant</w:t>
      </w:r>
      <w:proofErr w:type="gramEnd"/>
      <w:r w:rsidRPr="00283806">
        <w:rPr>
          <w:w w:val="105"/>
        </w:rPr>
        <w:t xml:space="preserve"> needed to be added to the </w:t>
      </w:r>
      <w:proofErr w:type="gramStart"/>
      <w:r w:rsidRPr="00283806">
        <w:rPr>
          <w:w w:val="105"/>
        </w:rPr>
        <w:t>system</w:t>
      </w:r>
      <w:proofErr w:type="gramEnd"/>
      <w:r w:rsidRPr="00283806">
        <w:rPr>
          <w:w w:val="105"/>
        </w:rPr>
        <w:t xml:space="preserve"> thereby reducing refrigerant</w:t>
      </w:r>
      <w:r w:rsidRPr="00283806">
        <w:rPr>
          <w:spacing w:val="-1"/>
          <w:w w:val="105"/>
        </w:rPr>
        <w:t xml:space="preserve"> </w:t>
      </w:r>
      <w:r w:rsidRPr="00283806">
        <w:rPr>
          <w:w w:val="105"/>
        </w:rPr>
        <w:t>costs</w:t>
      </w:r>
      <w:r w:rsidRPr="00283806">
        <w:rPr>
          <w:spacing w:val="-1"/>
          <w:w w:val="105"/>
        </w:rPr>
        <w:t xml:space="preserve"> </w:t>
      </w:r>
      <w:r w:rsidRPr="00283806">
        <w:rPr>
          <w:w w:val="105"/>
        </w:rPr>
        <w:t>for</w:t>
      </w:r>
      <w:r w:rsidRPr="00283806">
        <w:rPr>
          <w:spacing w:val="-1"/>
          <w:w w:val="105"/>
        </w:rPr>
        <w:t xml:space="preserve"> </w:t>
      </w:r>
      <w:r w:rsidRPr="00283806">
        <w:rPr>
          <w:w w:val="105"/>
        </w:rPr>
        <w:t>the</w:t>
      </w:r>
      <w:r w:rsidRPr="00283806">
        <w:rPr>
          <w:spacing w:val="-1"/>
          <w:w w:val="105"/>
        </w:rPr>
        <w:t xml:space="preserve"> </w:t>
      </w:r>
      <w:r w:rsidRPr="00283806">
        <w:rPr>
          <w:w w:val="105"/>
        </w:rPr>
        <w:t>owner/operator. Secondly,</w:t>
      </w:r>
      <w:r w:rsidRPr="00283806">
        <w:rPr>
          <w:spacing w:val="40"/>
          <w:w w:val="105"/>
        </w:rPr>
        <w:t xml:space="preserve"> </w:t>
      </w:r>
      <w:r w:rsidRPr="00283806">
        <w:rPr>
          <w:w w:val="105"/>
        </w:rPr>
        <w:t>a</w:t>
      </w:r>
      <w:r w:rsidRPr="00283806">
        <w:rPr>
          <w:spacing w:val="40"/>
          <w:w w:val="105"/>
        </w:rPr>
        <w:t xml:space="preserve"> </w:t>
      </w:r>
      <w:r w:rsidRPr="00283806">
        <w:rPr>
          <w:w w:val="105"/>
        </w:rPr>
        <w:t>system</w:t>
      </w:r>
      <w:r w:rsidRPr="00283806">
        <w:rPr>
          <w:spacing w:val="40"/>
          <w:w w:val="105"/>
        </w:rPr>
        <w:t xml:space="preserve"> </w:t>
      </w:r>
      <w:r w:rsidRPr="00283806">
        <w:rPr>
          <w:w w:val="105"/>
        </w:rPr>
        <w:t>that</w:t>
      </w:r>
      <w:r w:rsidRPr="00283806">
        <w:rPr>
          <w:spacing w:val="40"/>
          <w:w w:val="105"/>
        </w:rPr>
        <w:t xml:space="preserve"> </w:t>
      </w:r>
      <w:r w:rsidRPr="00283806">
        <w:rPr>
          <w:w w:val="105"/>
        </w:rPr>
        <w:t>is</w:t>
      </w:r>
      <w:r w:rsidRPr="00283806">
        <w:rPr>
          <w:spacing w:val="40"/>
          <w:w w:val="105"/>
        </w:rPr>
        <w:t xml:space="preserve"> </w:t>
      </w:r>
      <w:r w:rsidRPr="00283806">
        <w:rPr>
          <w:w w:val="105"/>
        </w:rPr>
        <w:t>operating with less than the full charge of refrigerant is likely to consume more energy or not provide the desired</w:t>
      </w:r>
      <w:r w:rsidRPr="00283806">
        <w:rPr>
          <w:spacing w:val="80"/>
          <w:w w:val="105"/>
        </w:rPr>
        <w:t xml:space="preserve"> </w:t>
      </w:r>
      <w:r w:rsidRPr="00283806">
        <w:rPr>
          <w:w w:val="105"/>
        </w:rPr>
        <w:t>cooling</w:t>
      </w:r>
      <w:r w:rsidRPr="00283806">
        <w:rPr>
          <w:spacing w:val="40"/>
          <w:w w:val="105"/>
        </w:rPr>
        <w:t xml:space="preserve"> </w:t>
      </w:r>
      <w:r w:rsidRPr="00283806">
        <w:rPr>
          <w:w w:val="105"/>
        </w:rPr>
        <w:t>effect,</w:t>
      </w:r>
      <w:r w:rsidRPr="00283806">
        <w:rPr>
          <w:spacing w:val="40"/>
          <w:w w:val="105"/>
        </w:rPr>
        <w:t xml:space="preserve"> </w:t>
      </w:r>
      <w:r w:rsidRPr="00283806">
        <w:rPr>
          <w:w w:val="105"/>
        </w:rPr>
        <w:t>both</w:t>
      </w:r>
      <w:r w:rsidRPr="00283806">
        <w:rPr>
          <w:spacing w:val="40"/>
          <w:w w:val="105"/>
        </w:rPr>
        <w:t xml:space="preserve"> </w:t>
      </w:r>
      <w:r w:rsidRPr="00283806">
        <w:rPr>
          <w:w w:val="105"/>
        </w:rPr>
        <w:t>of</w:t>
      </w:r>
      <w:r w:rsidRPr="00283806">
        <w:rPr>
          <w:spacing w:val="40"/>
          <w:w w:val="105"/>
        </w:rPr>
        <w:t xml:space="preserve"> </w:t>
      </w:r>
      <w:r w:rsidRPr="00283806">
        <w:rPr>
          <w:w w:val="105"/>
        </w:rPr>
        <w:t>which</w:t>
      </w:r>
      <w:r w:rsidRPr="00283806">
        <w:rPr>
          <w:spacing w:val="40"/>
          <w:w w:val="105"/>
        </w:rPr>
        <w:t xml:space="preserve"> </w:t>
      </w:r>
      <w:r w:rsidRPr="00283806">
        <w:rPr>
          <w:w w:val="105"/>
        </w:rPr>
        <w:t>increase the owner’s operating costs. As an example, a unit cooler with 15 to 50 pounds of refrigerant might be used for</w:t>
      </w:r>
      <w:r w:rsidRPr="00283806">
        <w:rPr>
          <w:spacing w:val="80"/>
          <w:w w:val="150"/>
        </w:rPr>
        <w:t xml:space="preserve"> </w:t>
      </w:r>
      <w:r w:rsidRPr="00283806">
        <w:rPr>
          <w:w w:val="105"/>
        </w:rPr>
        <w:t>a large cold room. If that cooler is not providing the cooling needed, products could spoil, representing a potential</w:t>
      </w:r>
      <w:r w:rsidRPr="00283806">
        <w:rPr>
          <w:spacing w:val="80"/>
          <w:w w:val="105"/>
        </w:rPr>
        <w:t xml:space="preserve"> </w:t>
      </w:r>
      <w:r w:rsidRPr="00283806">
        <w:rPr>
          <w:w w:val="105"/>
        </w:rPr>
        <w:t>large cost to the owner, in addition to</w:t>
      </w:r>
      <w:r w:rsidRPr="00283806">
        <w:rPr>
          <w:spacing w:val="80"/>
          <w:w w:val="150"/>
        </w:rPr>
        <w:t xml:space="preserve"> </w:t>
      </w:r>
      <w:r w:rsidRPr="00283806">
        <w:rPr>
          <w:w w:val="105"/>
        </w:rPr>
        <w:t>the</w:t>
      </w:r>
      <w:r w:rsidRPr="00283806">
        <w:rPr>
          <w:spacing w:val="36"/>
          <w:w w:val="105"/>
        </w:rPr>
        <w:t xml:space="preserve"> </w:t>
      </w:r>
      <w:r w:rsidRPr="00283806">
        <w:rPr>
          <w:w w:val="105"/>
        </w:rPr>
        <w:t>costs</w:t>
      </w:r>
      <w:r w:rsidRPr="00283806">
        <w:rPr>
          <w:spacing w:val="36"/>
          <w:w w:val="105"/>
        </w:rPr>
        <w:t xml:space="preserve"> </w:t>
      </w:r>
      <w:r w:rsidRPr="00283806">
        <w:rPr>
          <w:w w:val="105"/>
        </w:rPr>
        <w:t>of</w:t>
      </w:r>
      <w:r w:rsidRPr="00283806">
        <w:rPr>
          <w:spacing w:val="36"/>
          <w:w w:val="105"/>
        </w:rPr>
        <w:t xml:space="preserve"> </w:t>
      </w:r>
      <w:r w:rsidRPr="00283806">
        <w:rPr>
          <w:w w:val="105"/>
        </w:rPr>
        <w:t>the</w:t>
      </w:r>
      <w:r w:rsidRPr="00283806">
        <w:rPr>
          <w:spacing w:val="36"/>
          <w:w w:val="105"/>
        </w:rPr>
        <w:t xml:space="preserve"> </w:t>
      </w:r>
      <w:r w:rsidRPr="00283806">
        <w:rPr>
          <w:w w:val="105"/>
        </w:rPr>
        <w:t>additional</w:t>
      </w:r>
      <w:r w:rsidRPr="00283806">
        <w:rPr>
          <w:spacing w:val="36"/>
          <w:w w:val="105"/>
        </w:rPr>
        <w:t xml:space="preserve"> </w:t>
      </w:r>
      <w:r w:rsidRPr="00283806">
        <w:rPr>
          <w:w w:val="105"/>
        </w:rPr>
        <w:t>energy</w:t>
      </w:r>
      <w:r w:rsidRPr="00283806">
        <w:rPr>
          <w:spacing w:val="36"/>
          <w:w w:val="105"/>
        </w:rPr>
        <w:t xml:space="preserve"> </w:t>
      </w:r>
      <w:r w:rsidRPr="00283806">
        <w:rPr>
          <w:w w:val="105"/>
        </w:rPr>
        <w:t>used to operate the off-specification equipment, which may be potentially avoided if the owner or operator performs the leak inspection and repair requirements of this rulemaking.</w:t>
      </w:r>
      <w:r w:rsidRPr="00283806">
        <w:rPr>
          <w:w w:val="105"/>
          <w:position w:val="4"/>
          <w:sz w:val="11"/>
        </w:rPr>
        <w:t>59</w:t>
      </w:r>
      <w:r w:rsidRPr="00283806">
        <w:rPr>
          <w:spacing w:val="40"/>
          <w:w w:val="105"/>
          <w:position w:val="4"/>
          <w:sz w:val="11"/>
        </w:rPr>
        <w:t xml:space="preserve"> </w:t>
      </w:r>
      <w:r w:rsidRPr="00283806">
        <w:rPr>
          <w:w w:val="105"/>
        </w:rPr>
        <w:t>Regarding the issue of cost-effectiveness of a 15-pound threshold raised by some commenters, the Agency refers the</w:t>
      </w:r>
      <w:r w:rsidRPr="00283806">
        <w:rPr>
          <w:spacing w:val="40"/>
          <w:w w:val="105"/>
        </w:rPr>
        <w:t xml:space="preserve"> </w:t>
      </w:r>
      <w:r w:rsidRPr="00283806">
        <w:rPr>
          <w:w w:val="105"/>
        </w:rPr>
        <w:t>reader to section VI.B of the preamble. The Agency reiterates that this rulemaking is designed to serve the purposes identified in subsection (h)(1) of the AIM Act, including maximizing reclamation and minimizing the release</w:t>
      </w:r>
      <w:r w:rsidRPr="00283806">
        <w:rPr>
          <w:spacing w:val="40"/>
          <w:w w:val="105"/>
        </w:rPr>
        <w:t xml:space="preserve"> </w:t>
      </w:r>
      <w:r w:rsidRPr="00283806">
        <w:rPr>
          <w:w w:val="105"/>
        </w:rPr>
        <w:t>of</w:t>
      </w:r>
      <w:r w:rsidRPr="00283806">
        <w:rPr>
          <w:spacing w:val="4"/>
          <w:w w:val="105"/>
        </w:rPr>
        <w:t xml:space="preserve"> </w:t>
      </w:r>
      <w:r w:rsidRPr="00283806">
        <w:rPr>
          <w:w w:val="105"/>
        </w:rPr>
        <w:t>regulated</w:t>
      </w:r>
      <w:r w:rsidRPr="00283806">
        <w:rPr>
          <w:spacing w:val="5"/>
          <w:w w:val="105"/>
        </w:rPr>
        <w:t xml:space="preserve"> </w:t>
      </w:r>
      <w:r w:rsidRPr="00283806">
        <w:rPr>
          <w:w w:val="105"/>
        </w:rPr>
        <w:t>substances</w:t>
      </w:r>
      <w:r w:rsidRPr="00283806">
        <w:rPr>
          <w:spacing w:val="4"/>
          <w:w w:val="105"/>
        </w:rPr>
        <w:t xml:space="preserve"> </w:t>
      </w:r>
      <w:r w:rsidRPr="00283806">
        <w:rPr>
          <w:w w:val="105"/>
        </w:rPr>
        <w:t>from</w:t>
      </w:r>
      <w:r w:rsidRPr="00283806">
        <w:rPr>
          <w:spacing w:val="5"/>
          <w:w w:val="105"/>
        </w:rPr>
        <w:t xml:space="preserve"> </w:t>
      </w:r>
      <w:r w:rsidRPr="00283806">
        <w:rPr>
          <w:spacing w:val="-2"/>
          <w:w w:val="105"/>
        </w:rPr>
        <w:t>equipment.</w:t>
      </w:r>
    </w:p>
    <w:p w14:paraId="68CD7443" w14:textId="77777777" w:rsidR="00D67C1E" w:rsidRPr="00283806" w:rsidRDefault="001265CA">
      <w:pPr>
        <w:spacing w:line="180" w:lineRule="exact"/>
        <w:ind w:left="334"/>
        <w:rPr>
          <w:sz w:val="18"/>
        </w:rPr>
      </w:pPr>
      <w:r w:rsidRPr="00283806">
        <w:rPr>
          <w:rFonts w:ascii="Book Antiqua"/>
          <w:i/>
          <w:w w:val="110"/>
          <w:sz w:val="18"/>
        </w:rPr>
        <w:t>Comment:</w:t>
      </w:r>
      <w:r w:rsidRPr="00283806">
        <w:rPr>
          <w:rFonts w:ascii="Book Antiqua"/>
          <w:i/>
          <w:spacing w:val="-6"/>
          <w:w w:val="110"/>
          <w:sz w:val="18"/>
        </w:rPr>
        <w:t xml:space="preserve"> </w:t>
      </w:r>
      <w:r w:rsidRPr="00283806">
        <w:rPr>
          <w:w w:val="110"/>
          <w:sz w:val="18"/>
        </w:rPr>
        <w:t>A commenter</w:t>
      </w:r>
      <w:r w:rsidRPr="00283806">
        <w:rPr>
          <w:spacing w:val="1"/>
          <w:w w:val="110"/>
          <w:sz w:val="18"/>
        </w:rPr>
        <w:t xml:space="preserve"> </w:t>
      </w:r>
      <w:r w:rsidRPr="00283806">
        <w:rPr>
          <w:w w:val="110"/>
          <w:sz w:val="18"/>
        </w:rPr>
        <w:t xml:space="preserve">in </w:t>
      </w:r>
      <w:r w:rsidRPr="00283806">
        <w:rPr>
          <w:spacing w:val="-2"/>
          <w:w w:val="110"/>
          <w:sz w:val="18"/>
        </w:rPr>
        <w:t>opposition</w:t>
      </w:r>
    </w:p>
    <w:p w14:paraId="2CF20E1A" w14:textId="77777777" w:rsidR="00D67C1E" w:rsidRPr="00283806" w:rsidRDefault="001265CA">
      <w:pPr>
        <w:pStyle w:val="BodyText"/>
        <w:spacing w:line="228" w:lineRule="auto"/>
        <w:ind w:left="154" w:right="34"/>
      </w:pPr>
      <w:r w:rsidRPr="00283806">
        <w:rPr>
          <w:w w:val="105"/>
        </w:rPr>
        <w:t>of the 15-pound threshold claimed that the reasoning for changing the charge size threshold appears to be arbitrary and capricious. The commenter claims the</w:t>
      </w:r>
      <w:r w:rsidRPr="00283806">
        <w:rPr>
          <w:spacing w:val="9"/>
          <w:w w:val="105"/>
        </w:rPr>
        <w:t xml:space="preserve"> </w:t>
      </w:r>
      <w:r w:rsidRPr="00283806">
        <w:rPr>
          <w:w w:val="105"/>
        </w:rPr>
        <w:t>reduction</w:t>
      </w:r>
      <w:r w:rsidRPr="00283806">
        <w:rPr>
          <w:spacing w:val="10"/>
          <w:w w:val="105"/>
        </w:rPr>
        <w:t xml:space="preserve"> </w:t>
      </w:r>
      <w:r w:rsidRPr="00283806">
        <w:rPr>
          <w:w w:val="105"/>
        </w:rPr>
        <w:t>is</w:t>
      </w:r>
      <w:r w:rsidRPr="00283806">
        <w:rPr>
          <w:spacing w:val="10"/>
          <w:w w:val="105"/>
        </w:rPr>
        <w:t xml:space="preserve"> </w:t>
      </w:r>
      <w:r w:rsidRPr="00283806">
        <w:rPr>
          <w:w w:val="105"/>
        </w:rPr>
        <w:t>unmerited</w:t>
      </w:r>
      <w:r w:rsidRPr="00283806">
        <w:rPr>
          <w:spacing w:val="10"/>
          <w:w w:val="105"/>
        </w:rPr>
        <w:t xml:space="preserve"> </w:t>
      </w:r>
      <w:r w:rsidRPr="00283806">
        <w:rPr>
          <w:w w:val="105"/>
        </w:rPr>
        <w:t>based</w:t>
      </w:r>
      <w:r w:rsidRPr="00283806">
        <w:rPr>
          <w:spacing w:val="10"/>
          <w:w w:val="105"/>
        </w:rPr>
        <w:t xml:space="preserve"> </w:t>
      </w:r>
      <w:r w:rsidRPr="00283806">
        <w:rPr>
          <w:w w:val="105"/>
        </w:rPr>
        <w:t>on</w:t>
      </w:r>
      <w:r w:rsidRPr="00283806">
        <w:rPr>
          <w:spacing w:val="10"/>
          <w:w w:val="105"/>
        </w:rPr>
        <w:t xml:space="preserve"> </w:t>
      </w:r>
      <w:r w:rsidRPr="00283806">
        <w:rPr>
          <w:spacing w:val="-5"/>
          <w:w w:val="105"/>
        </w:rPr>
        <w:t>the</w:t>
      </w:r>
    </w:p>
    <w:p w14:paraId="5D13B42A" w14:textId="77777777" w:rsidR="00D67C1E" w:rsidRPr="00283806" w:rsidRDefault="001265CA">
      <w:pPr>
        <w:pStyle w:val="BodyText"/>
        <w:spacing w:before="134" w:line="228" w:lineRule="auto"/>
        <w:ind w:left="142" w:right="202"/>
      </w:pPr>
      <w:r w:rsidRPr="00283806">
        <w:br w:type="column"/>
      </w:r>
      <w:r w:rsidRPr="00283806">
        <w:rPr>
          <w:w w:val="105"/>
        </w:rPr>
        <w:t>availability of newer technologies using smaller charge sizes. They further assert the replacement of older appliances</w:t>
      </w:r>
      <w:r w:rsidRPr="00283806">
        <w:rPr>
          <w:spacing w:val="80"/>
          <w:w w:val="105"/>
        </w:rPr>
        <w:t xml:space="preserve"> </w:t>
      </w:r>
      <w:r w:rsidRPr="00283806">
        <w:rPr>
          <w:w w:val="105"/>
        </w:rPr>
        <w:t>with new and more efficient appliances</w:t>
      </w:r>
      <w:r w:rsidRPr="00283806">
        <w:rPr>
          <w:spacing w:val="40"/>
          <w:w w:val="105"/>
        </w:rPr>
        <w:t xml:space="preserve"> </w:t>
      </w:r>
      <w:r w:rsidRPr="00283806">
        <w:rPr>
          <w:w w:val="105"/>
        </w:rPr>
        <w:t>is one of the goalposts of the AIM Act.</w:t>
      </w:r>
      <w:r w:rsidRPr="00283806">
        <w:rPr>
          <w:spacing w:val="40"/>
          <w:w w:val="105"/>
        </w:rPr>
        <w:t xml:space="preserve"> </w:t>
      </w:r>
      <w:r w:rsidRPr="00283806">
        <w:rPr>
          <w:w w:val="105"/>
        </w:rPr>
        <w:t xml:space="preserve">The commenter stated that </w:t>
      </w:r>
      <w:proofErr w:type="gramStart"/>
      <w:r w:rsidRPr="00283806">
        <w:rPr>
          <w:w w:val="105"/>
        </w:rPr>
        <w:t>applicability</w:t>
      </w:r>
      <w:proofErr w:type="gramEnd"/>
      <w:r w:rsidRPr="00283806">
        <w:rPr>
          <w:w w:val="105"/>
        </w:rPr>
        <w:t xml:space="preserve"> of the leak repair and detection requirements will act as a deterrent for replacing appliances and is unnecessary and unreasonable given reductions in available HFC stocks. The Agency also received a similar comment stating that the proposal did not provide clear justifications for lowering the charge</w:t>
      </w:r>
      <w:r w:rsidRPr="00283806">
        <w:rPr>
          <w:spacing w:val="80"/>
          <w:w w:val="105"/>
        </w:rPr>
        <w:t xml:space="preserve"> </w:t>
      </w:r>
      <w:r w:rsidRPr="00283806">
        <w:rPr>
          <w:w w:val="105"/>
        </w:rPr>
        <w:t>size threshold below 50 pounds.</w:t>
      </w:r>
    </w:p>
    <w:p w14:paraId="57F39C5A" w14:textId="77777777" w:rsidR="00D67C1E" w:rsidRPr="00283806" w:rsidRDefault="001265CA">
      <w:pPr>
        <w:pStyle w:val="BodyText"/>
        <w:spacing w:before="32" w:line="228" w:lineRule="auto"/>
        <w:ind w:left="142" w:right="206" w:firstLine="180"/>
      </w:pPr>
      <w:r w:rsidRPr="00283806">
        <w:rPr>
          <w:rFonts w:ascii="Book Antiqua" w:hAnsi="Book Antiqua"/>
          <w:i/>
          <w:w w:val="105"/>
        </w:rPr>
        <w:t xml:space="preserve">Response: </w:t>
      </w:r>
      <w:r w:rsidRPr="00283806">
        <w:rPr>
          <w:w w:val="105"/>
        </w:rPr>
        <w:t>The Agency disagrees that the 15-pound threshold is arbitrary and capricious. Subsection (h)(1) of the AIM Act directs the Agency to promulgate ‘‘regulations to control, where appropriate,’’ certain practices, processes, or activities, for certain purposes, including minimizing the release of regulated substances from equipment and maximizing their reclamation of regulated substances. As explained earlier in this preamble, the phrase ‘‘where appropriate’’ in subsection (h)(1) provides EPA with discretion to reasonably make determinations on how the regulations should apply including, among other things, to select an appropriate charge size threshold for refrigerant-containing appliances subject to the leak repair provision. As previously stated, the Agency is applying leak repair requirements to more refrigerant- containing appliances than under the CAA section 608 rules to reduce the release of HFCs from said appliances</w:t>
      </w:r>
      <w:r w:rsidRPr="00283806">
        <w:rPr>
          <w:spacing w:val="80"/>
          <w:w w:val="105"/>
        </w:rPr>
        <w:t xml:space="preserve"> </w:t>
      </w:r>
      <w:r w:rsidRPr="00283806">
        <w:rPr>
          <w:w w:val="105"/>
        </w:rPr>
        <w:t>and increase the amount of HFCs available for recovery that would otherwise be lost because of leakage from such appliances. Given that the purposes identified for regulations</w:t>
      </w:r>
      <w:r w:rsidRPr="00283806">
        <w:rPr>
          <w:spacing w:val="40"/>
          <w:w w:val="105"/>
        </w:rPr>
        <w:t xml:space="preserve"> </w:t>
      </w:r>
      <w:r w:rsidRPr="00283806">
        <w:rPr>
          <w:w w:val="105"/>
        </w:rPr>
        <w:t>under subsection (h)(1) include maximizing</w:t>
      </w:r>
      <w:r w:rsidRPr="00283806">
        <w:rPr>
          <w:spacing w:val="35"/>
          <w:w w:val="105"/>
        </w:rPr>
        <w:t xml:space="preserve"> </w:t>
      </w:r>
      <w:r w:rsidRPr="00283806">
        <w:rPr>
          <w:w w:val="105"/>
        </w:rPr>
        <w:t>reclamation</w:t>
      </w:r>
      <w:r w:rsidRPr="00283806">
        <w:rPr>
          <w:spacing w:val="35"/>
          <w:w w:val="105"/>
        </w:rPr>
        <w:t xml:space="preserve"> </w:t>
      </w:r>
      <w:r w:rsidRPr="00283806">
        <w:rPr>
          <w:w w:val="105"/>
        </w:rPr>
        <w:t>and</w:t>
      </w:r>
      <w:r w:rsidRPr="00283806">
        <w:rPr>
          <w:spacing w:val="40"/>
          <w:w w:val="105"/>
        </w:rPr>
        <w:t xml:space="preserve"> </w:t>
      </w:r>
      <w:r w:rsidRPr="00283806">
        <w:rPr>
          <w:w w:val="105"/>
        </w:rPr>
        <w:t>minimizing release of HFCs from equipment, EPA interprets the intent of subsection (h)(1) to be that the regulations promulgated under it may apply as broadly as needed to serve those purposes, while also being</w:t>
      </w:r>
      <w:r w:rsidRPr="00283806">
        <w:rPr>
          <w:spacing w:val="80"/>
          <w:w w:val="105"/>
        </w:rPr>
        <w:t xml:space="preserve"> </w:t>
      </w:r>
      <w:r w:rsidRPr="00283806">
        <w:rPr>
          <w:w w:val="105"/>
        </w:rPr>
        <w:t>mindful of the statutory text indicating that the controls should apply ‘‘where appropriate.’’ EPA finds it appropriate</w:t>
      </w:r>
      <w:r w:rsidRPr="00283806">
        <w:rPr>
          <w:spacing w:val="80"/>
          <w:w w:val="105"/>
        </w:rPr>
        <w:t xml:space="preserve"> </w:t>
      </w:r>
      <w:r w:rsidRPr="00283806">
        <w:rPr>
          <w:w w:val="105"/>
        </w:rPr>
        <w:t xml:space="preserve">to apply the leak repair requirements to equipment with a </w:t>
      </w:r>
      <w:proofErr w:type="gramStart"/>
      <w:r w:rsidRPr="00283806">
        <w:rPr>
          <w:w w:val="105"/>
        </w:rPr>
        <w:t>charge</w:t>
      </w:r>
      <w:proofErr w:type="gramEnd"/>
      <w:r w:rsidRPr="00283806">
        <w:rPr>
          <w:w w:val="105"/>
        </w:rPr>
        <w:t xml:space="preserve"> size below 50 pounds for several reasons.</w:t>
      </w:r>
    </w:p>
    <w:p w14:paraId="37C21485" w14:textId="77777777" w:rsidR="00D67C1E" w:rsidRPr="00283806" w:rsidRDefault="001265CA">
      <w:pPr>
        <w:pStyle w:val="BodyText"/>
        <w:spacing w:line="165" w:lineRule="exact"/>
        <w:ind w:left="142"/>
      </w:pPr>
      <w:r w:rsidRPr="00283806">
        <w:rPr>
          <w:w w:val="105"/>
        </w:rPr>
        <w:t>Technological</w:t>
      </w:r>
      <w:r w:rsidRPr="00283806">
        <w:rPr>
          <w:spacing w:val="33"/>
          <w:w w:val="105"/>
        </w:rPr>
        <w:t xml:space="preserve"> </w:t>
      </w:r>
      <w:r w:rsidRPr="00283806">
        <w:rPr>
          <w:w w:val="105"/>
        </w:rPr>
        <w:t>advancements</w:t>
      </w:r>
      <w:r w:rsidRPr="00283806">
        <w:rPr>
          <w:spacing w:val="34"/>
          <w:w w:val="105"/>
        </w:rPr>
        <w:t xml:space="preserve"> </w:t>
      </w:r>
      <w:r w:rsidRPr="00283806">
        <w:rPr>
          <w:spacing w:val="-4"/>
          <w:w w:val="105"/>
        </w:rPr>
        <w:t>have</w:t>
      </w:r>
    </w:p>
    <w:p w14:paraId="2B99F468" w14:textId="77777777" w:rsidR="00D67C1E" w:rsidRPr="00283806" w:rsidRDefault="001265CA">
      <w:pPr>
        <w:pStyle w:val="BodyText"/>
        <w:spacing w:line="228" w:lineRule="auto"/>
        <w:ind w:left="142" w:right="250"/>
      </w:pPr>
      <w:r w:rsidRPr="00283806">
        <w:rPr>
          <w:w w:val="105"/>
        </w:rPr>
        <w:t>lowered the charge sizes of many refrigerant-containing appliances, such</w:t>
      </w:r>
    </w:p>
    <w:p w14:paraId="4C41F533"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06" w:space="40"/>
            <w:col w:w="3512" w:space="39"/>
            <w:col w:w="3623"/>
          </w:cols>
        </w:sectPr>
      </w:pPr>
    </w:p>
    <w:p w14:paraId="196880F1" w14:textId="77777777" w:rsidR="00D67C1E" w:rsidRPr="00283806" w:rsidRDefault="001265CA">
      <w:pPr>
        <w:pStyle w:val="BodyText"/>
        <w:tabs>
          <w:tab w:val="left" w:leader="underscore" w:pos="7239"/>
        </w:tabs>
        <w:spacing w:line="169" w:lineRule="exact"/>
      </w:pPr>
      <w:r w:rsidRPr="00283806">
        <w:rPr>
          <w:w w:val="105"/>
        </w:rPr>
        <w:t>reason</w:t>
      </w:r>
      <w:r w:rsidRPr="00283806">
        <w:rPr>
          <w:spacing w:val="8"/>
          <w:w w:val="105"/>
        </w:rPr>
        <w:t xml:space="preserve"> </w:t>
      </w:r>
      <w:r w:rsidRPr="00283806">
        <w:rPr>
          <w:w w:val="105"/>
        </w:rPr>
        <w:t>that</w:t>
      </w:r>
      <w:r w:rsidRPr="00283806">
        <w:rPr>
          <w:spacing w:val="9"/>
          <w:w w:val="105"/>
        </w:rPr>
        <w:t xml:space="preserve"> </w:t>
      </w:r>
      <w:r w:rsidRPr="00283806">
        <w:rPr>
          <w:w w:val="105"/>
        </w:rPr>
        <w:t>this</w:t>
      </w:r>
      <w:r w:rsidRPr="00283806">
        <w:rPr>
          <w:spacing w:val="8"/>
          <w:w w:val="105"/>
        </w:rPr>
        <w:t xml:space="preserve"> </w:t>
      </w:r>
      <w:r w:rsidRPr="00283806">
        <w:rPr>
          <w:w w:val="105"/>
        </w:rPr>
        <w:t>would</w:t>
      </w:r>
      <w:r w:rsidRPr="00283806">
        <w:rPr>
          <w:spacing w:val="9"/>
          <w:w w:val="105"/>
        </w:rPr>
        <w:t xml:space="preserve"> </w:t>
      </w:r>
      <w:r w:rsidRPr="00283806">
        <w:rPr>
          <w:w w:val="105"/>
        </w:rPr>
        <w:t>be</w:t>
      </w:r>
      <w:r w:rsidRPr="00283806">
        <w:rPr>
          <w:spacing w:val="9"/>
          <w:w w:val="105"/>
        </w:rPr>
        <w:t xml:space="preserve"> </w:t>
      </w:r>
      <w:r w:rsidRPr="00283806">
        <w:rPr>
          <w:w w:val="105"/>
        </w:rPr>
        <w:t>the</w:t>
      </w:r>
      <w:r w:rsidRPr="00283806">
        <w:rPr>
          <w:spacing w:val="8"/>
          <w:w w:val="105"/>
        </w:rPr>
        <w:t xml:space="preserve"> </w:t>
      </w:r>
      <w:r w:rsidRPr="00283806">
        <w:rPr>
          <w:w w:val="105"/>
        </w:rPr>
        <w:t>case,</w:t>
      </w:r>
      <w:r w:rsidRPr="00283806">
        <w:rPr>
          <w:spacing w:val="9"/>
          <w:w w:val="105"/>
        </w:rPr>
        <w:t xml:space="preserve"> </w:t>
      </w:r>
      <w:r w:rsidRPr="00283806">
        <w:rPr>
          <w:spacing w:val="-5"/>
          <w:w w:val="105"/>
        </w:rPr>
        <w:t>and</w:t>
      </w:r>
      <w:r w:rsidRPr="00283806">
        <w:tab/>
      </w:r>
      <w:r w:rsidRPr="00283806">
        <w:rPr>
          <w:w w:val="105"/>
        </w:rPr>
        <w:t>that</w:t>
      </w:r>
      <w:r w:rsidRPr="00283806">
        <w:rPr>
          <w:spacing w:val="8"/>
          <w:w w:val="105"/>
        </w:rPr>
        <w:t xml:space="preserve"> </w:t>
      </w:r>
      <w:r w:rsidRPr="00283806">
        <w:rPr>
          <w:w w:val="105"/>
        </w:rPr>
        <w:t>using</w:t>
      </w:r>
      <w:r w:rsidRPr="00283806">
        <w:rPr>
          <w:spacing w:val="9"/>
          <w:w w:val="105"/>
        </w:rPr>
        <w:t xml:space="preserve"> </w:t>
      </w:r>
      <w:r w:rsidRPr="00283806">
        <w:rPr>
          <w:w w:val="105"/>
        </w:rPr>
        <w:t>a</w:t>
      </w:r>
      <w:r w:rsidRPr="00283806">
        <w:rPr>
          <w:spacing w:val="9"/>
          <w:w w:val="105"/>
        </w:rPr>
        <w:t xml:space="preserve"> </w:t>
      </w:r>
      <w:r w:rsidRPr="00283806">
        <w:rPr>
          <w:w w:val="105"/>
        </w:rPr>
        <w:t>charge</w:t>
      </w:r>
      <w:r w:rsidRPr="00283806">
        <w:rPr>
          <w:spacing w:val="9"/>
          <w:w w:val="105"/>
        </w:rPr>
        <w:t xml:space="preserve"> </w:t>
      </w:r>
      <w:r w:rsidRPr="00283806">
        <w:rPr>
          <w:w w:val="105"/>
        </w:rPr>
        <w:t>size</w:t>
      </w:r>
      <w:r w:rsidRPr="00283806">
        <w:rPr>
          <w:spacing w:val="9"/>
          <w:w w:val="105"/>
        </w:rPr>
        <w:t xml:space="preserve"> </w:t>
      </w:r>
      <w:r w:rsidRPr="00283806">
        <w:rPr>
          <w:w w:val="105"/>
        </w:rPr>
        <w:t>threshold</w:t>
      </w:r>
      <w:r w:rsidRPr="00283806">
        <w:rPr>
          <w:spacing w:val="9"/>
          <w:w w:val="105"/>
        </w:rPr>
        <w:t xml:space="preserve"> </w:t>
      </w:r>
      <w:r w:rsidRPr="00283806">
        <w:rPr>
          <w:w w:val="105"/>
        </w:rPr>
        <w:t>of</w:t>
      </w:r>
      <w:r w:rsidRPr="00283806">
        <w:rPr>
          <w:spacing w:val="9"/>
          <w:w w:val="105"/>
        </w:rPr>
        <w:t xml:space="preserve"> </w:t>
      </w:r>
      <w:r w:rsidRPr="00283806">
        <w:rPr>
          <w:spacing w:val="-5"/>
          <w:w w:val="105"/>
        </w:rPr>
        <w:t>50</w:t>
      </w:r>
    </w:p>
    <w:p w14:paraId="5927681A" w14:textId="77777777" w:rsidR="00D67C1E" w:rsidRPr="00283806" w:rsidRDefault="00D67C1E">
      <w:pPr>
        <w:spacing w:line="169" w:lineRule="exact"/>
        <w:sectPr w:rsidR="00D67C1E" w:rsidRPr="00283806">
          <w:type w:val="continuous"/>
          <w:pgSz w:w="12240" w:h="15840"/>
          <w:pgMar w:top="880" w:right="780" w:bottom="280" w:left="740" w:header="627" w:footer="0" w:gutter="0"/>
          <w:cols w:space="720"/>
        </w:sectPr>
      </w:pPr>
    </w:p>
    <w:p w14:paraId="57D1A362" w14:textId="77777777" w:rsidR="00D67C1E" w:rsidRPr="00283806" w:rsidRDefault="001265CA">
      <w:pPr>
        <w:pStyle w:val="BodyText"/>
        <w:spacing w:before="11" w:line="228" w:lineRule="auto"/>
        <w:ind w:right="38"/>
      </w:pPr>
      <w:r w:rsidRPr="00283806">
        <w:rPr>
          <w:w w:val="105"/>
        </w:rPr>
        <w:t>EPA notes that charge size reductions have occurred over decades because of improvements to appliance design and energy efficiency.</w:t>
      </w:r>
    </w:p>
    <w:p w14:paraId="2075BCB2" w14:textId="79B4151B" w:rsidR="00D67C1E" w:rsidRPr="00283806" w:rsidRDefault="001265CA">
      <w:pPr>
        <w:spacing w:before="5" w:line="230" w:lineRule="auto"/>
        <w:ind w:left="160" w:right="38" w:firstLine="140"/>
        <w:rPr>
          <w:sz w:val="14"/>
        </w:rPr>
      </w:pPr>
      <w:r w:rsidRPr="00283806">
        <w:br w:type="column"/>
      </w:r>
      <w:r w:rsidRPr="00283806">
        <w:rPr>
          <w:w w:val="105"/>
          <w:position w:val="4"/>
          <w:sz w:val="9"/>
        </w:rPr>
        <w:t xml:space="preserve">59 </w:t>
      </w:r>
      <w:r w:rsidRPr="00283806">
        <w:rPr>
          <w:w w:val="105"/>
          <w:sz w:val="14"/>
        </w:rPr>
        <w:t>Impacts of Refrigerant Charge on Air</w:t>
      </w:r>
      <w:r w:rsidRPr="00283806">
        <w:rPr>
          <w:spacing w:val="40"/>
          <w:w w:val="105"/>
          <w:sz w:val="14"/>
        </w:rPr>
        <w:t xml:space="preserve"> </w:t>
      </w:r>
      <w:r w:rsidRPr="00283806">
        <w:rPr>
          <w:w w:val="105"/>
          <w:sz w:val="14"/>
        </w:rPr>
        <w:t>Conditioner and Heat Pump Performance’’ (2010).</w:t>
      </w:r>
      <w:r w:rsidRPr="00283806">
        <w:rPr>
          <w:spacing w:val="40"/>
          <w:w w:val="105"/>
          <w:sz w:val="14"/>
        </w:rPr>
        <w:t xml:space="preserve"> </w:t>
      </w:r>
      <w:r w:rsidRPr="00283806">
        <w:rPr>
          <w:w w:val="105"/>
          <w:sz w:val="14"/>
        </w:rPr>
        <w:t>International Refrigeration and Air Conditioning</w:t>
      </w:r>
      <w:r w:rsidRPr="00283806">
        <w:rPr>
          <w:spacing w:val="40"/>
          <w:w w:val="105"/>
          <w:sz w:val="14"/>
        </w:rPr>
        <w:t xml:space="preserve"> </w:t>
      </w:r>
      <w:r w:rsidRPr="00283806">
        <w:rPr>
          <w:w w:val="105"/>
          <w:sz w:val="14"/>
        </w:rPr>
        <w:t xml:space="preserve">Conference. Paper 1122. Available: </w:t>
      </w:r>
      <w:r w:rsidRPr="00283806">
        <w:rPr>
          <w:rFonts w:ascii="Book Antiqua" w:hAnsi="Book Antiqua"/>
          <w:i/>
          <w:w w:val="105"/>
          <w:sz w:val="14"/>
        </w:rPr>
        <w:t>http://docs.lib.</w:t>
      </w:r>
      <w:r w:rsidRPr="00283806">
        <w:rPr>
          <w:rFonts w:ascii="Book Antiqua" w:hAnsi="Book Antiqua"/>
          <w:i/>
          <w:spacing w:val="40"/>
          <w:w w:val="105"/>
          <w:sz w:val="14"/>
        </w:rPr>
        <w:t xml:space="preserve"> </w:t>
      </w:r>
      <w:r w:rsidRPr="00283806">
        <w:rPr>
          <w:rFonts w:ascii="Book Antiqua" w:hAnsi="Book Antiqua"/>
          <w:i/>
          <w:spacing w:val="-2"/>
          <w:w w:val="105"/>
          <w:sz w:val="14"/>
        </w:rPr>
        <w:t>purdue.edu/</w:t>
      </w:r>
      <w:proofErr w:type="spellStart"/>
      <w:r w:rsidRPr="00283806">
        <w:rPr>
          <w:rFonts w:ascii="Book Antiqua" w:hAnsi="Book Antiqua"/>
          <w:i/>
          <w:spacing w:val="-2"/>
          <w:w w:val="105"/>
          <w:sz w:val="14"/>
        </w:rPr>
        <w:t>iracc</w:t>
      </w:r>
      <w:proofErr w:type="spellEnd"/>
      <w:r w:rsidRPr="00283806">
        <w:rPr>
          <w:rFonts w:ascii="Book Antiqua" w:hAnsi="Book Antiqua"/>
          <w:i/>
          <w:spacing w:val="-2"/>
          <w:w w:val="105"/>
          <w:sz w:val="14"/>
        </w:rPr>
        <w:t>/1122</w:t>
      </w:r>
      <w:r w:rsidRPr="00283806">
        <w:rPr>
          <w:spacing w:val="-2"/>
          <w:w w:val="105"/>
          <w:sz w:val="14"/>
        </w:rPr>
        <w:t>.</w:t>
      </w:r>
    </w:p>
    <w:p w14:paraId="5FD4C730" w14:textId="77777777" w:rsidR="00D67C1E" w:rsidRPr="00283806" w:rsidRDefault="001265CA">
      <w:pPr>
        <w:pStyle w:val="BodyText"/>
        <w:spacing w:before="11" w:line="228" w:lineRule="auto"/>
        <w:ind w:right="286"/>
      </w:pPr>
      <w:r w:rsidRPr="00283806">
        <w:br w:type="column"/>
      </w:r>
      <w:r w:rsidRPr="00283806">
        <w:rPr>
          <w:w w:val="105"/>
        </w:rPr>
        <w:t>pounds today would leave many such appliances unregulated. Refrigerant- containing appliances between 15 and 50 pounds still contain climate-</w:t>
      </w:r>
    </w:p>
    <w:p w14:paraId="00EA6411" w14:textId="77777777" w:rsidR="00D67C1E" w:rsidRPr="00283806" w:rsidRDefault="00D67C1E">
      <w:pPr>
        <w:spacing w:line="228" w:lineRule="auto"/>
        <w:sectPr w:rsidR="00D67C1E" w:rsidRPr="00283806">
          <w:type w:val="continuous"/>
          <w:pgSz w:w="12240" w:h="15840"/>
          <w:pgMar w:top="880" w:right="780" w:bottom="280" w:left="740" w:header="627" w:footer="0" w:gutter="0"/>
          <w:cols w:num="3" w:space="720" w:equalWidth="0">
            <w:col w:w="3407" w:space="133"/>
            <w:col w:w="3438" w:space="102"/>
            <w:col w:w="3640"/>
          </w:cols>
        </w:sectPr>
      </w:pPr>
    </w:p>
    <w:p w14:paraId="3B0D9BAB" w14:textId="77777777" w:rsidR="00D67C1E" w:rsidRPr="00283806" w:rsidRDefault="001265CA">
      <w:pPr>
        <w:pStyle w:val="BodyText"/>
        <w:spacing w:before="134" w:line="228" w:lineRule="auto"/>
        <w:ind w:right="22"/>
      </w:pPr>
      <w:r w:rsidRPr="00283806">
        <w:rPr>
          <w:w w:val="105"/>
        </w:rPr>
        <w:lastRenderedPageBreak/>
        <w:t>damaging HFCs or HFC substitutes that are appropriately addressed under subsection (h)(1). Such appliances can still leak, and if they are not repaired, could release refrigerant, which would not be available for reclamation once it had leaked. Thus, applying the leak</w:t>
      </w:r>
      <w:r w:rsidRPr="00283806">
        <w:rPr>
          <w:spacing w:val="40"/>
          <w:w w:val="105"/>
        </w:rPr>
        <w:t xml:space="preserve"> </w:t>
      </w:r>
      <w:r w:rsidRPr="00283806">
        <w:rPr>
          <w:w w:val="105"/>
        </w:rPr>
        <w:t xml:space="preserve">repair requirements to this equipment is part of the regulatory design to better serve the purposes identified in subsection (h)(1) of maximizing reclamation and minimizing release of HFCs from equipment. With respect to the commenter’s reference to reductions in HFC stocks, EPA notes that the HFC phasedown will greatly reduce the overall consumption and production of HFCs but will not eliminate their use in the U.S. market. Therefore, continued introduction of HFC-containing appliances may still occur, and EPA concludes it is appropriate for theses appliances to be subject to these requirements for the reasons described earlier in this response. For these reasons, EPA finds the 15-pound </w:t>
      </w:r>
      <w:proofErr w:type="gramStart"/>
      <w:r w:rsidRPr="00283806">
        <w:rPr>
          <w:w w:val="105"/>
        </w:rPr>
        <w:t>threshold as</w:t>
      </w:r>
      <w:proofErr w:type="gramEnd"/>
      <w:r w:rsidRPr="00283806">
        <w:rPr>
          <w:w w:val="105"/>
        </w:rPr>
        <w:t xml:space="preserve"> appropriate for serving the purposes described in subsection (h).</w:t>
      </w:r>
    </w:p>
    <w:p w14:paraId="1419D182" w14:textId="77777777" w:rsidR="00D67C1E" w:rsidRPr="00283806" w:rsidRDefault="001265CA">
      <w:pPr>
        <w:pStyle w:val="BodyText"/>
        <w:spacing w:before="26" w:line="228" w:lineRule="auto"/>
        <w:ind w:firstLine="180"/>
      </w:pPr>
      <w:r w:rsidRPr="00283806">
        <w:rPr>
          <w:w w:val="105"/>
        </w:rPr>
        <w:t>The Agency disagrees with the commenter’s assertion that the 15-</w:t>
      </w:r>
      <w:r w:rsidRPr="00283806">
        <w:rPr>
          <w:spacing w:val="40"/>
          <w:w w:val="105"/>
        </w:rPr>
        <w:t xml:space="preserve"> </w:t>
      </w:r>
      <w:r w:rsidRPr="00283806">
        <w:rPr>
          <w:w w:val="105"/>
        </w:rPr>
        <w:t>pound threshold would deter the transition to newer, more efficient refrigerant-containing appliances, as in the Agency’s experience several factors inform the decision of whether to</w:t>
      </w:r>
      <w:r w:rsidRPr="00283806">
        <w:rPr>
          <w:spacing w:val="80"/>
          <w:w w:val="105"/>
        </w:rPr>
        <w:t xml:space="preserve"> </w:t>
      </w:r>
      <w:r w:rsidRPr="00283806">
        <w:rPr>
          <w:w w:val="105"/>
        </w:rPr>
        <w:t>replace equipment and if so, what to replace it with (such as the age, functionality, and costs of operating the existing</w:t>
      </w:r>
      <w:r w:rsidRPr="00283806">
        <w:rPr>
          <w:spacing w:val="40"/>
          <w:w w:val="105"/>
        </w:rPr>
        <w:t xml:space="preserve"> </w:t>
      </w:r>
      <w:r w:rsidRPr="00283806">
        <w:rPr>
          <w:w w:val="105"/>
        </w:rPr>
        <w:t>equipment,</w:t>
      </w:r>
      <w:r w:rsidRPr="00283806">
        <w:rPr>
          <w:spacing w:val="40"/>
          <w:w w:val="105"/>
        </w:rPr>
        <w:t xml:space="preserve"> </w:t>
      </w:r>
      <w:r w:rsidRPr="00283806">
        <w:rPr>
          <w:w w:val="105"/>
        </w:rPr>
        <w:t>and</w:t>
      </w:r>
      <w:r w:rsidRPr="00283806">
        <w:rPr>
          <w:spacing w:val="40"/>
          <w:w w:val="105"/>
        </w:rPr>
        <w:t xml:space="preserve"> </w:t>
      </w:r>
      <w:r w:rsidRPr="00283806">
        <w:rPr>
          <w:w w:val="105"/>
        </w:rPr>
        <w:t>the</w:t>
      </w:r>
      <w:r w:rsidRPr="00283806">
        <w:rPr>
          <w:spacing w:val="40"/>
          <w:w w:val="105"/>
        </w:rPr>
        <w:t xml:space="preserve"> </w:t>
      </w:r>
      <w:r w:rsidRPr="00283806">
        <w:rPr>
          <w:w w:val="105"/>
        </w:rPr>
        <w:t>price</w:t>
      </w:r>
      <w:r w:rsidRPr="00283806">
        <w:rPr>
          <w:spacing w:val="40"/>
          <w:w w:val="105"/>
        </w:rPr>
        <w:t xml:space="preserve"> </w:t>
      </w:r>
      <w:r w:rsidRPr="00283806">
        <w:rPr>
          <w:w w:val="105"/>
        </w:rPr>
        <w:t xml:space="preserve">of new equipment and costs of operating that equipment). EPA notes that the commenter did not provide additional information to support their assertion that such deterrence would </w:t>
      </w:r>
      <w:proofErr w:type="gramStart"/>
      <w:r w:rsidRPr="00283806">
        <w:rPr>
          <w:w w:val="105"/>
        </w:rPr>
        <w:t>actually occur</w:t>
      </w:r>
      <w:proofErr w:type="gramEnd"/>
      <w:r w:rsidRPr="00283806">
        <w:rPr>
          <w:w w:val="105"/>
        </w:rPr>
        <w:t>. EPA is not clear on what the commenter is referring to when it says that one of the goal posts of the Act is</w:t>
      </w:r>
      <w:r w:rsidRPr="00283806">
        <w:rPr>
          <w:spacing w:val="80"/>
          <w:w w:val="150"/>
        </w:rPr>
        <w:t xml:space="preserve"> </w:t>
      </w:r>
      <w:r w:rsidRPr="00283806">
        <w:rPr>
          <w:w w:val="105"/>
        </w:rPr>
        <w:t>the replacement of older equipment</w:t>
      </w:r>
      <w:r w:rsidRPr="00283806">
        <w:rPr>
          <w:spacing w:val="80"/>
          <w:w w:val="105"/>
        </w:rPr>
        <w:t xml:space="preserve"> </w:t>
      </w:r>
      <w:r w:rsidRPr="00283806">
        <w:rPr>
          <w:w w:val="105"/>
        </w:rPr>
        <w:t>with newer and more efficient equipment. To the extent the comment</w:t>
      </w:r>
      <w:r w:rsidRPr="00283806">
        <w:rPr>
          <w:spacing w:val="80"/>
          <w:w w:val="150"/>
        </w:rPr>
        <w:t xml:space="preserve"> </w:t>
      </w:r>
      <w:r w:rsidRPr="00283806">
        <w:rPr>
          <w:w w:val="105"/>
        </w:rPr>
        <w:t>is referring to the implementation of subsection (i) of the AIM Act, EPA</w:t>
      </w:r>
      <w:r w:rsidRPr="00283806">
        <w:rPr>
          <w:spacing w:val="40"/>
          <w:w w:val="105"/>
        </w:rPr>
        <w:t xml:space="preserve"> </w:t>
      </w:r>
      <w:r w:rsidRPr="00283806">
        <w:rPr>
          <w:w w:val="105"/>
        </w:rPr>
        <w:t>clarifies that those provisions are out of the scope of this rulemaking and thus</w:t>
      </w:r>
      <w:r w:rsidRPr="00283806">
        <w:rPr>
          <w:spacing w:val="40"/>
          <w:w w:val="105"/>
        </w:rPr>
        <w:t xml:space="preserve"> </w:t>
      </w:r>
      <w:r w:rsidRPr="00283806">
        <w:rPr>
          <w:w w:val="105"/>
        </w:rPr>
        <w:t xml:space="preserve">any comment addressing those requires no response. To the extent that the comment pertains to appliances subject to the leak repair requirements in this final rule the Agency notes the overall applicability of appliances is subject to </w:t>
      </w:r>
      <w:proofErr w:type="gramStart"/>
      <w:r w:rsidRPr="00283806">
        <w:rPr>
          <w:w w:val="105"/>
        </w:rPr>
        <w:t>whether or not</w:t>
      </w:r>
      <w:proofErr w:type="gramEnd"/>
      <w:r w:rsidRPr="00283806">
        <w:rPr>
          <w:w w:val="105"/>
        </w:rPr>
        <w:t xml:space="preserve"> they contain an HFC or substitute for an HFC with a GWP</w:t>
      </w:r>
      <w:r w:rsidRPr="00283806">
        <w:rPr>
          <w:spacing w:val="80"/>
          <w:w w:val="105"/>
        </w:rPr>
        <w:t xml:space="preserve"> </w:t>
      </w:r>
      <w:r w:rsidRPr="00283806">
        <w:rPr>
          <w:w w:val="105"/>
        </w:rPr>
        <w:t>greater than 53. The final 2023 Technology Transitions Rule applies certain GWP-based restrictions on use of HFCs in new equipment in certain</w:t>
      </w:r>
      <w:r w:rsidRPr="00283806">
        <w:rPr>
          <w:spacing w:val="40"/>
          <w:w w:val="105"/>
        </w:rPr>
        <w:t xml:space="preserve"> </w:t>
      </w:r>
      <w:r w:rsidRPr="00283806">
        <w:rPr>
          <w:w w:val="105"/>
        </w:rPr>
        <w:t>sectors or subsectors in which those HFCs are used. If an equipment owner</w:t>
      </w:r>
    </w:p>
    <w:p w14:paraId="3D8713C3" w14:textId="77777777" w:rsidR="00D67C1E" w:rsidRPr="00283806" w:rsidRDefault="001265CA">
      <w:pPr>
        <w:pStyle w:val="BodyText"/>
        <w:spacing w:before="134" w:line="225" w:lineRule="auto"/>
        <w:ind w:left="154" w:right="29"/>
      </w:pPr>
      <w:r w:rsidRPr="00283806">
        <w:br w:type="column"/>
      </w:r>
      <w:r w:rsidRPr="00283806">
        <w:rPr>
          <w:w w:val="105"/>
        </w:rPr>
        <w:t>were to decide to replace a refrigerant- containing appliance above the 15- pound threshold with a new refrigerant- containing appliance that is subject to under 2023 Technology Transitions</w:t>
      </w:r>
      <w:r w:rsidRPr="00283806">
        <w:rPr>
          <w:spacing w:val="40"/>
          <w:w w:val="105"/>
        </w:rPr>
        <w:t xml:space="preserve"> </w:t>
      </w:r>
      <w:r w:rsidRPr="00283806">
        <w:rPr>
          <w:w w:val="105"/>
        </w:rPr>
        <w:t>Rule, they would need to consider compliance with those requirements. If they also wish to avoid the applicability of leak repair requirements established in this rule to the new appliance, they may have options that would achieve</w:t>
      </w:r>
      <w:r w:rsidRPr="00283806">
        <w:rPr>
          <w:spacing w:val="40"/>
          <w:w w:val="105"/>
        </w:rPr>
        <w:t xml:space="preserve"> </w:t>
      </w:r>
      <w:r w:rsidRPr="00283806">
        <w:rPr>
          <w:w w:val="105"/>
        </w:rPr>
        <w:t>that goal. For example, an owner or operator may be able to select an appliance that uses a refrigerant that does not contain an HFC or a substitute with</w:t>
      </w:r>
      <w:r w:rsidRPr="00283806">
        <w:rPr>
          <w:spacing w:val="32"/>
          <w:w w:val="105"/>
        </w:rPr>
        <w:t xml:space="preserve"> </w:t>
      </w:r>
      <w:r w:rsidRPr="00283806">
        <w:rPr>
          <w:w w:val="105"/>
        </w:rPr>
        <w:t>a</w:t>
      </w:r>
      <w:r w:rsidRPr="00283806">
        <w:rPr>
          <w:spacing w:val="32"/>
          <w:w w:val="105"/>
        </w:rPr>
        <w:t xml:space="preserve"> </w:t>
      </w:r>
      <w:r w:rsidRPr="00283806">
        <w:rPr>
          <w:w w:val="105"/>
        </w:rPr>
        <w:t>GWP</w:t>
      </w:r>
      <w:r w:rsidRPr="00283806">
        <w:rPr>
          <w:spacing w:val="32"/>
          <w:w w:val="105"/>
        </w:rPr>
        <w:t xml:space="preserve"> </w:t>
      </w:r>
      <w:r w:rsidRPr="00283806">
        <w:rPr>
          <w:w w:val="105"/>
        </w:rPr>
        <w:t>greater</w:t>
      </w:r>
      <w:r w:rsidRPr="00283806">
        <w:rPr>
          <w:spacing w:val="32"/>
          <w:w w:val="105"/>
        </w:rPr>
        <w:t xml:space="preserve"> </w:t>
      </w:r>
      <w:r w:rsidRPr="00283806">
        <w:rPr>
          <w:w w:val="105"/>
        </w:rPr>
        <w:t>than</w:t>
      </w:r>
      <w:r w:rsidRPr="00283806">
        <w:rPr>
          <w:spacing w:val="32"/>
          <w:w w:val="105"/>
        </w:rPr>
        <w:t xml:space="preserve"> </w:t>
      </w:r>
      <w:r w:rsidRPr="00283806">
        <w:rPr>
          <w:w w:val="105"/>
        </w:rPr>
        <w:t>53.</w:t>
      </w:r>
      <w:r w:rsidRPr="00283806">
        <w:rPr>
          <w:spacing w:val="32"/>
          <w:w w:val="105"/>
        </w:rPr>
        <w:t xml:space="preserve"> </w:t>
      </w:r>
      <w:r w:rsidRPr="00283806">
        <w:rPr>
          <w:w w:val="105"/>
        </w:rPr>
        <w:t>However, if they are selecting a refrigerant- containing appliance that uses HFCs, it would not serve the purposes identified in subsection (h)(1) of maximizing reclamation and minimizing release of HFCs from equipment to allow that refrigerant-containing appliance to</w:t>
      </w:r>
      <w:r w:rsidRPr="00283806">
        <w:rPr>
          <w:spacing w:val="80"/>
          <w:w w:val="105"/>
        </w:rPr>
        <w:t xml:space="preserve"> </w:t>
      </w:r>
      <w:r w:rsidRPr="00283806">
        <w:rPr>
          <w:w w:val="105"/>
        </w:rPr>
        <w:t xml:space="preserve">avoid application of the leak repair requirements simply because it is new, </w:t>
      </w:r>
      <w:proofErr w:type="gramStart"/>
      <w:r w:rsidRPr="00283806">
        <w:rPr>
          <w:w w:val="105"/>
        </w:rPr>
        <w:t>even</w:t>
      </w:r>
      <w:proofErr w:type="gramEnd"/>
      <w:r w:rsidRPr="00283806">
        <w:rPr>
          <w:w w:val="105"/>
        </w:rPr>
        <w:t xml:space="preserve"> it is more efficient. Thus, their inclusion in the leak repair</w:t>
      </w:r>
      <w:r w:rsidRPr="00283806">
        <w:rPr>
          <w:spacing w:val="80"/>
          <w:w w:val="105"/>
        </w:rPr>
        <w:t xml:space="preserve"> </w:t>
      </w:r>
      <w:r w:rsidRPr="00283806">
        <w:rPr>
          <w:w w:val="105"/>
        </w:rPr>
        <w:t>requirements at the 15-pound threshold is warranted.</w:t>
      </w:r>
    </w:p>
    <w:p w14:paraId="020DE7C6" w14:textId="77777777" w:rsidR="00D67C1E" w:rsidRPr="00283806" w:rsidRDefault="001265CA">
      <w:pPr>
        <w:spacing w:line="175" w:lineRule="exact"/>
        <w:ind w:left="334"/>
        <w:rPr>
          <w:sz w:val="18"/>
        </w:rPr>
      </w:pPr>
      <w:r w:rsidRPr="00283806">
        <w:rPr>
          <w:rFonts w:ascii="Book Antiqua"/>
          <w:i/>
          <w:w w:val="105"/>
          <w:sz w:val="18"/>
        </w:rPr>
        <w:t>Comment:</w:t>
      </w:r>
      <w:r w:rsidRPr="00283806">
        <w:rPr>
          <w:rFonts w:ascii="Book Antiqua"/>
          <w:i/>
          <w:spacing w:val="15"/>
          <w:w w:val="105"/>
          <w:sz w:val="18"/>
        </w:rPr>
        <w:t xml:space="preserve"> </w:t>
      </w:r>
      <w:r w:rsidRPr="00283806">
        <w:rPr>
          <w:w w:val="105"/>
          <w:sz w:val="18"/>
        </w:rPr>
        <w:t>One</w:t>
      </w:r>
      <w:r w:rsidRPr="00283806">
        <w:rPr>
          <w:spacing w:val="20"/>
          <w:w w:val="105"/>
          <w:sz w:val="18"/>
        </w:rPr>
        <w:t xml:space="preserve"> </w:t>
      </w:r>
      <w:r w:rsidRPr="00283806">
        <w:rPr>
          <w:w w:val="105"/>
          <w:sz w:val="18"/>
        </w:rPr>
        <w:t>commenter</w:t>
      </w:r>
      <w:r w:rsidRPr="00283806">
        <w:rPr>
          <w:spacing w:val="20"/>
          <w:w w:val="105"/>
          <w:sz w:val="18"/>
        </w:rPr>
        <w:t xml:space="preserve"> </w:t>
      </w:r>
      <w:r w:rsidRPr="00283806">
        <w:rPr>
          <w:w w:val="105"/>
          <w:sz w:val="18"/>
        </w:rPr>
        <w:t>stated</w:t>
      </w:r>
      <w:r w:rsidRPr="00283806">
        <w:rPr>
          <w:spacing w:val="20"/>
          <w:w w:val="105"/>
          <w:sz w:val="18"/>
        </w:rPr>
        <w:t xml:space="preserve"> </w:t>
      </w:r>
      <w:r w:rsidRPr="00283806">
        <w:rPr>
          <w:spacing w:val="-4"/>
          <w:w w:val="105"/>
          <w:sz w:val="18"/>
        </w:rPr>
        <w:t>that</w:t>
      </w:r>
    </w:p>
    <w:p w14:paraId="6A8158CA" w14:textId="77777777" w:rsidR="00D67C1E" w:rsidRPr="00283806" w:rsidRDefault="001265CA">
      <w:pPr>
        <w:pStyle w:val="BodyText"/>
        <w:spacing w:line="225" w:lineRule="auto"/>
        <w:ind w:left="154" w:right="24"/>
      </w:pPr>
      <w:proofErr w:type="gramStart"/>
      <w:r w:rsidRPr="00283806">
        <w:rPr>
          <w:w w:val="105"/>
        </w:rPr>
        <w:t>many</w:t>
      </w:r>
      <w:proofErr w:type="gramEnd"/>
      <w:r w:rsidRPr="00283806">
        <w:rPr>
          <w:w w:val="105"/>
        </w:rPr>
        <w:t xml:space="preserve"> food industry leaders are part of the </w:t>
      </w:r>
      <w:proofErr w:type="spellStart"/>
      <w:r w:rsidRPr="00283806">
        <w:rPr>
          <w:w w:val="105"/>
        </w:rPr>
        <w:t>GreenChill</w:t>
      </w:r>
      <w:proofErr w:type="spellEnd"/>
      <w:r w:rsidRPr="00283806">
        <w:rPr>
          <w:w w:val="105"/>
        </w:rPr>
        <w:t xml:space="preserve"> voluntary partnership</w:t>
      </w:r>
      <w:r w:rsidRPr="00283806">
        <w:rPr>
          <w:spacing w:val="80"/>
          <w:w w:val="105"/>
        </w:rPr>
        <w:t xml:space="preserve"> </w:t>
      </w:r>
      <w:r w:rsidRPr="00283806">
        <w:rPr>
          <w:w w:val="105"/>
        </w:rPr>
        <w:t>that made charge size reduction a</w:t>
      </w:r>
      <w:r w:rsidRPr="00283806">
        <w:rPr>
          <w:spacing w:val="40"/>
          <w:w w:val="105"/>
        </w:rPr>
        <w:t xml:space="preserve"> </w:t>
      </w:r>
      <w:r w:rsidRPr="00283806">
        <w:rPr>
          <w:w w:val="105"/>
        </w:rPr>
        <w:t xml:space="preserve">priority and challenged equipment manufacturers to lower the amount of refrigerant needed in the retail food industry. The commenter asserted that the current charge size threshold of 50 pounds has served as a motivation to select lower-charge appliances, which leak less refrigerant in situations where catastrophic leaks occur and stated that the proposed threshold penalizes food retailers for the progress under the </w:t>
      </w:r>
      <w:proofErr w:type="spellStart"/>
      <w:r w:rsidRPr="00283806">
        <w:rPr>
          <w:w w:val="105"/>
        </w:rPr>
        <w:t>GreenChill</w:t>
      </w:r>
      <w:proofErr w:type="spellEnd"/>
      <w:r w:rsidRPr="00283806">
        <w:rPr>
          <w:w w:val="105"/>
        </w:rPr>
        <w:t xml:space="preserve"> partnership. The commenter asserts that the lower threshold would decrease any motivation for food</w:t>
      </w:r>
      <w:r w:rsidRPr="00283806">
        <w:rPr>
          <w:spacing w:val="40"/>
          <w:w w:val="105"/>
        </w:rPr>
        <w:t xml:space="preserve"> </w:t>
      </w:r>
      <w:r w:rsidRPr="00283806">
        <w:rPr>
          <w:w w:val="105"/>
        </w:rPr>
        <w:t>retailers to purchase expensive appliances that operate at lower charge sizes below 50 pounds. The commenter also expressed concern that many</w:t>
      </w:r>
      <w:r w:rsidRPr="00283806">
        <w:rPr>
          <w:spacing w:val="40"/>
          <w:w w:val="105"/>
        </w:rPr>
        <w:t xml:space="preserve"> </w:t>
      </w:r>
      <w:r w:rsidRPr="00283806">
        <w:rPr>
          <w:w w:val="105"/>
        </w:rPr>
        <w:t>smaller appliances would need to be added to a company’s recordkeeping, because appliances not previously covered under section 608 would not have</w:t>
      </w:r>
      <w:r w:rsidRPr="00283806">
        <w:rPr>
          <w:spacing w:val="10"/>
          <w:w w:val="105"/>
        </w:rPr>
        <w:t xml:space="preserve"> </w:t>
      </w:r>
      <w:r w:rsidRPr="00283806">
        <w:rPr>
          <w:w w:val="105"/>
        </w:rPr>
        <w:t>had</w:t>
      </w:r>
      <w:r w:rsidRPr="00283806">
        <w:rPr>
          <w:spacing w:val="10"/>
          <w:w w:val="105"/>
        </w:rPr>
        <w:t xml:space="preserve"> </w:t>
      </w:r>
      <w:r w:rsidRPr="00283806">
        <w:rPr>
          <w:w w:val="105"/>
        </w:rPr>
        <w:t>their</w:t>
      </w:r>
      <w:r w:rsidRPr="00283806">
        <w:rPr>
          <w:spacing w:val="10"/>
          <w:w w:val="105"/>
        </w:rPr>
        <w:t xml:space="preserve"> </w:t>
      </w:r>
      <w:r w:rsidRPr="00283806">
        <w:rPr>
          <w:w w:val="105"/>
        </w:rPr>
        <w:t>full</w:t>
      </w:r>
      <w:r w:rsidRPr="00283806">
        <w:rPr>
          <w:spacing w:val="10"/>
          <w:w w:val="105"/>
        </w:rPr>
        <w:t xml:space="preserve"> </w:t>
      </w:r>
      <w:r w:rsidRPr="00283806">
        <w:rPr>
          <w:w w:val="105"/>
        </w:rPr>
        <w:t>charge</w:t>
      </w:r>
      <w:r w:rsidRPr="00283806">
        <w:rPr>
          <w:spacing w:val="10"/>
          <w:w w:val="105"/>
        </w:rPr>
        <w:t xml:space="preserve"> </w:t>
      </w:r>
      <w:r w:rsidRPr="00283806">
        <w:rPr>
          <w:w w:val="105"/>
        </w:rPr>
        <w:t>data</w:t>
      </w:r>
      <w:r w:rsidRPr="00283806">
        <w:rPr>
          <w:spacing w:val="11"/>
          <w:w w:val="105"/>
        </w:rPr>
        <w:t xml:space="preserve"> </w:t>
      </w:r>
      <w:r w:rsidRPr="00283806">
        <w:rPr>
          <w:spacing w:val="-2"/>
          <w:w w:val="105"/>
        </w:rPr>
        <w:t>captured.</w:t>
      </w:r>
    </w:p>
    <w:p w14:paraId="7F38309F" w14:textId="77777777" w:rsidR="00D67C1E" w:rsidRPr="00283806" w:rsidRDefault="001265CA">
      <w:pPr>
        <w:pStyle w:val="BodyText"/>
        <w:spacing w:line="171" w:lineRule="exact"/>
        <w:ind w:left="334"/>
      </w:pPr>
      <w:r w:rsidRPr="00283806">
        <w:rPr>
          <w:w w:val="105"/>
        </w:rPr>
        <w:t>Another</w:t>
      </w:r>
      <w:r w:rsidRPr="00283806">
        <w:rPr>
          <w:spacing w:val="11"/>
          <w:w w:val="105"/>
        </w:rPr>
        <w:t xml:space="preserve"> </w:t>
      </w:r>
      <w:r w:rsidRPr="00283806">
        <w:rPr>
          <w:w w:val="105"/>
        </w:rPr>
        <w:t>commenter</w:t>
      </w:r>
      <w:r w:rsidRPr="00283806">
        <w:rPr>
          <w:spacing w:val="12"/>
          <w:w w:val="105"/>
        </w:rPr>
        <w:t xml:space="preserve"> </w:t>
      </w:r>
      <w:r w:rsidRPr="00283806">
        <w:rPr>
          <w:w w:val="105"/>
        </w:rPr>
        <w:t>indicated</w:t>
      </w:r>
      <w:r w:rsidRPr="00283806">
        <w:rPr>
          <w:spacing w:val="12"/>
          <w:w w:val="105"/>
        </w:rPr>
        <w:t xml:space="preserve"> </w:t>
      </w:r>
      <w:r w:rsidRPr="00283806">
        <w:rPr>
          <w:w w:val="105"/>
        </w:rPr>
        <w:t>that</w:t>
      </w:r>
      <w:r w:rsidRPr="00283806">
        <w:rPr>
          <w:spacing w:val="12"/>
          <w:w w:val="105"/>
        </w:rPr>
        <w:t xml:space="preserve"> </w:t>
      </w:r>
      <w:r w:rsidRPr="00283806">
        <w:rPr>
          <w:spacing w:val="-5"/>
          <w:w w:val="105"/>
        </w:rPr>
        <w:t>the</w:t>
      </w:r>
    </w:p>
    <w:p w14:paraId="29AE428B" w14:textId="77777777" w:rsidR="00D67C1E" w:rsidRPr="00283806" w:rsidRDefault="001265CA">
      <w:pPr>
        <w:pStyle w:val="BodyText"/>
        <w:spacing w:before="3" w:line="225" w:lineRule="auto"/>
        <w:ind w:left="154" w:right="90"/>
      </w:pPr>
      <w:proofErr w:type="gramStart"/>
      <w:r w:rsidRPr="00283806">
        <w:rPr>
          <w:w w:val="105"/>
        </w:rPr>
        <w:t>provision</w:t>
      </w:r>
      <w:proofErr w:type="gramEnd"/>
      <w:r w:rsidRPr="00283806">
        <w:rPr>
          <w:w w:val="105"/>
        </w:rPr>
        <w:t xml:space="preserve"> poses a significant challenge to a cost-conscious industry using centralized HFC systems which are reliable and remain cost-effective for years if well maintained. The</w:t>
      </w:r>
      <w:r w:rsidRPr="00283806">
        <w:rPr>
          <w:spacing w:val="40"/>
          <w:w w:val="105"/>
        </w:rPr>
        <w:t xml:space="preserve"> </w:t>
      </w:r>
      <w:r w:rsidRPr="00283806">
        <w:rPr>
          <w:w w:val="105"/>
        </w:rPr>
        <w:t>commenter</w:t>
      </w:r>
      <w:r w:rsidRPr="00283806">
        <w:rPr>
          <w:spacing w:val="-5"/>
          <w:w w:val="105"/>
        </w:rPr>
        <w:t xml:space="preserve"> </w:t>
      </w:r>
      <w:r w:rsidRPr="00283806">
        <w:rPr>
          <w:w w:val="105"/>
        </w:rPr>
        <w:t>asserted</w:t>
      </w:r>
      <w:r w:rsidRPr="00283806">
        <w:rPr>
          <w:spacing w:val="-5"/>
          <w:w w:val="105"/>
        </w:rPr>
        <w:t xml:space="preserve"> </w:t>
      </w:r>
      <w:r w:rsidRPr="00283806">
        <w:rPr>
          <w:w w:val="105"/>
        </w:rPr>
        <w:t>that</w:t>
      </w:r>
      <w:r w:rsidRPr="00283806">
        <w:rPr>
          <w:spacing w:val="-5"/>
          <w:w w:val="105"/>
        </w:rPr>
        <w:t xml:space="preserve"> </w:t>
      </w:r>
      <w:r w:rsidRPr="00283806">
        <w:rPr>
          <w:w w:val="105"/>
        </w:rPr>
        <w:t>the</w:t>
      </w:r>
      <w:r w:rsidRPr="00283806">
        <w:rPr>
          <w:spacing w:val="-5"/>
          <w:w w:val="105"/>
        </w:rPr>
        <w:t xml:space="preserve"> </w:t>
      </w:r>
      <w:r w:rsidRPr="00283806">
        <w:rPr>
          <w:w w:val="105"/>
        </w:rPr>
        <w:t>leak</w:t>
      </w:r>
      <w:r w:rsidRPr="00283806">
        <w:rPr>
          <w:spacing w:val="-5"/>
          <w:w w:val="105"/>
        </w:rPr>
        <w:t xml:space="preserve"> </w:t>
      </w:r>
      <w:r w:rsidRPr="00283806">
        <w:rPr>
          <w:w w:val="105"/>
        </w:rPr>
        <w:t>repair requirements would force owners or operators who have recently transitioned to HFO systems to transition again or to cause smaller facilities to transition to fan systems which may paradoxically increase</w:t>
      </w:r>
    </w:p>
    <w:p w14:paraId="1D3B8EDD" w14:textId="77777777" w:rsidR="00D67C1E" w:rsidRPr="00283806" w:rsidRDefault="001265CA">
      <w:pPr>
        <w:pStyle w:val="BodyText"/>
        <w:spacing w:before="133" w:line="228" w:lineRule="auto"/>
        <w:ind w:left="153" w:right="177"/>
      </w:pPr>
      <w:r w:rsidRPr="00283806">
        <w:br w:type="column"/>
      </w:r>
      <w:r w:rsidRPr="00283806">
        <w:rPr>
          <w:w w:val="105"/>
        </w:rPr>
        <w:t xml:space="preserve">emissions from electricity generation. The commenter also stated that the rule disproportionately impacts owners or operators in </w:t>
      </w:r>
      <w:proofErr w:type="gramStart"/>
      <w:r w:rsidRPr="00283806">
        <w:rPr>
          <w:w w:val="105"/>
        </w:rPr>
        <w:t>States</w:t>
      </w:r>
      <w:proofErr w:type="gramEnd"/>
      <w:r w:rsidRPr="00283806">
        <w:rPr>
          <w:w w:val="105"/>
        </w:rPr>
        <w:t xml:space="preserve"> with higher heat indexes and limited alternative chilling </w:t>
      </w:r>
      <w:r w:rsidRPr="00283806">
        <w:rPr>
          <w:spacing w:val="-2"/>
          <w:w w:val="105"/>
        </w:rPr>
        <w:t>methods.</w:t>
      </w:r>
    </w:p>
    <w:p w14:paraId="10E468E3" w14:textId="77777777" w:rsidR="00D67C1E" w:rsidRPr="00283806" w:rsidRDefault="001265CA">
      <w:pPr>
        <w:pStyle w:val="BodyText"/>
        <w:spacing w:before="38" w:line="225" w:lineRule="auto"/>
        <w:ind w:left="153" w:right="152" w:firstLine="180"/>
      </w:pPr>
      <w:r w:rsidRPr="00283806">
        <w:rPr>
          <w:rFonts w:ascii="Book Antiqua" w:hAnsi="Book Antiqua"/>
          <w:i/>
          <w:w w:val="105"/>
        </w:rPr>
        <w:t xml:space="preserve">Response: </w:t>
      </w:r>
      <w:r w:rsidRPr="00283806">
        <w:rPr>
          <w:w w:val="105"/>
        </w:rPr>
        <w:t>The Agency disagrees that the final rule’s 15-pound threshold for leak repair unduly burdens the retail food industry. EPA acknowledges that these newer designs may use both less refrigerant overall and refrigerants with lower-GWPs but disagrees that the leak repair requirements penalize food retailers that have switched to such equipment because these requirements apply equally to equipment subject to</w:t>
      </w:r>
      <w:r w:rsidRPr="00283806">
        <w:rPr>
          <w:spacing w:val="40"/>
          <w:w w:val="105"/>
        </w:rPr>
        <w:t xml:space="preserve"> </w:t>
      </w:r>
      <w:r w:rsidRPr="00283806">
        <w:rPr>
          <w:w w:val="105"/>
        </w:rPr>
        <w:t xml:space="preserve">the requirements. Furthermore, the Agency has previously stated that the overall reduction in charge </w:t>
      </w:r>
      <w:proofErr w:type="gramStart"/>
      <w:r w:rsidRPr="00283806">
        <w:rPr>
          <w:w w:val="105"/>
        </w:rPr>
        <w:t>size</w:t>
      </w:r>
      <w:proofErr w:type="gramEnd"/>
      <w:r w:rsidRPr="00283806">
        <w:rPr>
          <w:w w:val="105"/>
        </w:rPr>
        <w:t xml:space="preserve"> the RACHP sector is part of EPA’s rationale for lowering the charge size threshold to 15 pounds. Refrigerant-containing</w:t>
      </w:r>
    </w:p>
    <w:p w14:paraId="25989393" w14:textId="77777777" w:rsidR="00D67C1E" w:rsidRPr="00283806" w:rsidRDefault="001265CA">
      <w:pPr>
        <w:pStyle w:val="BodyText"/>
        <w:spacing w:before="16" w:line="228" w:lineRule="auto"/>
        <w:ind w:left="153" w:right="140"/>
      </w:pPr>
      <w:r w:rsidRPr="00283806">
        <w:rPr>
          <w:w w:val="105"/>
        </w:rPr>
        <w:t>appliances between 15 and 50 pounds still contain HFCs and covered</w:t>
      </w:r>
      <w:r w:rsidRPr="00283806">
        <w:rPr>
          <w:spacing w:val="40"/>
          <w:w w:val="105"/>
        </w:rPr>
        <w:t xml:space="preserve"> </w:t>
      </w:r>
      <w:r w:rsidRPr="00283806">
        <w:rPr>
          <w:w w:val="105"/>
        </w:rPr>
        <w:t>substitutes which have a detrimental effect on the environment. The</w:t>
      </w:r>
      <w:r w:rsidRPr="00283806">
        <w:rPr>
          <w:spacing w:val="80"/>
          <w:w w:val="105"/>
        </w:rPr>
        <w:t xml:space="preserve"> </w:t>
      </w:r>
      <w:r w:rsidRPr="00283806">
        <w:rPr>
          <w:w w:val="105"/>
        </w:rPr>
        <w:t>extension of the leak repair</w:t>
      </w:r>
      <w:r w:rsidRPr="00283806">
        <w:rPr>
          <w:spacing w:val="40"/>
          <w:w w:val="105"/>
        </w:rPr>
        <w:t xml:space="preserve"> </w:t>
      </w:r>
      <w:r w:rsidRPr="00283806">
        <w:rPr>
          <w:w w:val="105"/>
        </w:rPr>
        <w:t>requirements to capture refrigerant- containing appliances between 15 and</w:t>
      </w:r>
      <w:r w:rsidRPr="00283806">
        <w:rPr>
          <w:spacing w:val="40"/>
          <w:w w:val="105"/>
        </w:rPr>
        <w:t xml:space="preserve"> </w:t>
      </w:r>
      <w:r w:rsidRPr="00283806">
        <w:rPr>
          <w:w w:val="105"/>
        </w:rPr>
        <w:t>50</w:t>
      </w:r>
      <w:r w:rsidRPr="00283806">
        <w:rPr>
          <w:spacing w:val="40"/>
          <w:w w:val="105"/>
        </w:rPr>
        <w:t xml:space="preserve"> </w:t>
      </w:r>
      <w:r w:rsidRPr="00283806">
        <w:rPr>
          <w:w w:val="105"/>
        </w:rPr>
        <w:t>pounds</w:t>
      </w:r>
      <w:r w:rsidRPr="00283806">
        <w:rPr>
          <w:spacing w:val="40"/>
          <w:w w:val="105"/>
        </w:rPr>
        <w:t xml:space="preserve"> </w:t>
      </w:r>
      <w:r w:rsidRPr="00283806">
        <w:rPr>
          <w:w w:val="105"/>
        </w:rPr>
        <w:t>will</w:t>
      </w:r>
      <w:r w:rsidRPr="00283806">
        <w:rPr>
          <w:spacing w:val="40"/>
          <w:w w:val="105"/>
        </w:rPr>
        <w:t xml:space="preserve"> </w:t>
      </w:r>
      <w:r w:rsidRPr="00283806">
        <w:rPr>
          <w:w w:val="105"/>
        </w:rPr>
        <w:t>ensure</w:t>
      </w:r>
      <w:r w:rsidRPr="00283806">
        <w:rPr>
          <w:spacing w:val="40"/>
          <w:w w:val="105"/>
        </w:rPr>
        <w:t xml:space="preserve"> </w:t>
      </w:r>
      <w:r w:rsidRPr="00283806">
        <w:rPr>
          <w:w w:val="105"/>
        </w:rPr>
        <w:t>that</w:t>
      </w:r>
      <w:r w:rsidRPr="00283806">
        <w:rPr>
          <w:spacing w:val="40"/>
          <w:w w:val="105"/>
        </w:rPr>
        <w:t xml:space="preserve"> </w:t>
      </w:r>
      <w:proofErr w:type="gramStart"/>
      <w:r w:rsidRPr="00283806">
        <w:rPr>
          <w:w w:val="105"/>
        </w:rPr>
        <w:t>less</w:t>
      </w:r>
      <w:proofErr w:type="gramEnd"/>
      <w:r w:rsidRPr="00283806">
        <w:rPr>
          <w:spacing w:val="40"/>
          <w:w w:val="105"/>
        </w:rPr>
        <w:t xml:space="preserve"> </w:t>
      </w:r>
      <w:r w:rsidRPr="00283806">
        <w:rPr>
          <w:w w:val="105"/>
        </w:rPr>
        <w:t>HFCs are emitted. The Agency responds that the</w:t>
      </w:r>
      <w:r w:rsidRPr="00283806">
        <w:rPr>
          <w:spacing w:val="40"/>
          <w:w w:val="105"/>
        </w:rPr>
        <w:t xml:space="preserve"> </w:t>
      </w:r>
      <w:proofErr w:type="spellStart"/>
      <w:r w:rsidRPr="00283806">
        <w:rPr>
          <w:w w:val="105"/>
        </w:rPr>
        <w:t>GreenChill</w:t>
      </w:r>
      <w:proofErr w:type="spellEnd"/>
      <w:r w:rsidRPr="00283806">
        <w:rPr>
          <w:spacing w:val="40"/>
          <w:w w:val="105"/>
        </w:rPr>
        <w:t xml:space="preserve"> </w:t>
      </w:r>
      <w:r w:rsidRPr="00283806">
        <w:rPr>
          <w:w w:val="105"/>
        </w:rPr>
        <w:t>partnership</w:t>
      </w:r>
      <w:r w:rsidRPr="00283806">
        <w:rPr>
          <w:spacing w:val="40"/>
          <w:w w:val="105"/>
        </w:rPr>
        <w:t xml:space="preserve"> </w:t>
      </w:r>
      <w:r w:rsidRPr="00283806">
        <w:rPr>
          <w:w w:val="105"/>
        </w:rPr>
        <w:t>is</w:t>
      </w:r>
      <w:r w:rsidRPr="00283806">
        <w:rPr>
          <w:spacing w:val="40"/>
          <w:w w:val="105"/>
        </w:rPr>
        <w:t xml:space="preserve"> </w:t>
      </w:r>
      <w:r w:rsidRPr="00283806">
        <w:rPr>
          <w:w w:val="105"/>
        </w:rPr>
        <w:t>a voluntary partnership program and does not require the supermarket industry as</w:t>
      </w:r>
      <w:r w:rsidRPr="00283806">
        <w:rPr>
          <w:spacing w:val="40"/>
          <w:w w:val="105"/>
        </w:rPr>
        <w:t xml:space="preserve"> </w:t>
      </w:r>
      <w:r w:rsidRPr="00283806">
        <w:rPr>
          <w:w w:val="105"/>
        </w:rPr>
        <w:t>a whole or the partnership to meet specific leak repair requirements.</w:t>
      </w:r>
    </w:p>
    <w:p w14:paraId="69623056" w14:textId="77777777" w:rsidR="00D67C1E" w:rsidRPr="00283806" w:rsidRDefault="001265CA">
      <w:pPr>
        <w:pStyle w:val="BodyText"/>
        <w:spacing w:line="228" w:lineRule="auto"/>
        <w:ind w:left="153" w:right="121"/>
      </w:pPr>
      <w:r w:rsidRPr="00283806">
        <w:rPr>
          <w:w w:val="105"/>
        </w:rPr>
        <w:t>Advancements in refrigerant charge</w:t>
      </w:r>
      <w:r w:rsidRPr="00283806">
        <w:rPr>
          <w:spacing w:val="80"/>
          <w:w w:val="105"/>
        </w:rPr>
        <w:t xml:space="preserve"> </w:t>
      </w:r>
      <w:r w:rsidRPr="00283806">
        <w:rPr>
          <w:w w:val="105"/>
        </w:rPr>
        <w:t xml:space="preserve">sizes cannot solely be attributed to the </w:t>
      </w:r>
      <w:proofErr w:type="spellStart"/>
      <w:r w:rsidRPr="00283806">
        <w:rPr>
          <w:w w:val="105"/>
        </w:rPr>
        <w:t>GreenChill</w:t>
      </w:r>
      <w:proofErr w:type="spellEnd"/>
      <w:r w:rsidRPr="00283806">
        <w:rPr>
          <w:w w:val="105"/>
        </w:rPr>
        <w:t xml:space="preserve"> partnership as appliance manufacturers and supermarket owners had incentives to lower the charge size</w:t>
      </w:r>
      <w:r w:rsidRPr="00283806">
        <w:rPr>
          <w:spacing w:val="80"/>
          <w:w w:val="105"/>
        </w:rPr>
        <w:t xml:space="preserve"> </w:t>
      </w:r>
      <w:r w:rsidRPr="00283806">
        <w:rPr>
          <w:w w:val="105"/>
        </w:rPr>
        <w:t xml:space="preserve">of supermarket systems to save on refrigerant costs and improve energy efficiency. The Agency, however, does recognize that supermarkets in the </w:t>
      </w:r>
      <w:proofErr w:type="spellStart"/>
      <w:r w:rsidRPr="00283806">
        <w:rPr>
          <w:w w:val="105"/>
        </w:rPr>
        <w:t>GreenChill</w:t>
      </w:r>
      <w:proofErr w:type="spellEnd"/>
      <w:r w:rsidRPr="00283806">
        <w:rPr>
          <w:w w:val="105"/>
        </w:rPr>
        <w:t xml:space="preserve"> voluntary partnership are uniquely positioned to meet the leak repair requirements as partners have been able to consistently achieve lower leak rates by adopting newer system technologies, using newer refrigerants, applying best practices, and maintaining leak-tight</w:t>
      </w:r>
      <w:r w:rsidRPr="00283806">
        <w:rPr>
          <w:spacing w:val="-10"/>
          <w:w w:val="105"/>
        </w:rPr>
        <w:t xml:space="preserve"> </w:t>
      </w:r>
      <w:r w:rsidRPr="00283806">
        <w:rPr>
          <w:w w:val="105"/>
        </w:rPr>
        <w:t>systems</w:t>
      </w:r>
      <w:r w:rsidRPr="00283806">
        <w:rPr>
          <w:spacing w:val="-11"/>
          <w:w w:val="105"/>
        </w:rPr>
        <w:t xml:space="preserve"> </w:t>
      </w:r>
      <w:r w:rsidRPr="00283806">
        <w:rPr>
          <w:w w:val="105"/>
        </w:rPr>
        <w:t>to</w:t>
      </w:r>
      <w:r w:rsidRPr="00283806">
        <w:rPr>
          <w:spacing w:val="-10"/>
          <w:w w:val="105"/>
        </w:rPr>
        <w:t xml:space="preserve"> </w:t>
      </w:r>
      <w:r w:rsidRPr="00283806">
        <w:rPr>
          <w:w w:val="105"/>
        </w:rPr>
        <w:t>decrease</w:t>
      </w:r>
      <w:r w:rsidRPr="00283806">
        <w:rPr>
          <w:spacing w:val="-10"/>
          <w:w w:val="105"/>
        </w:rPr>
        <w:t xml:space="preserve"> </w:t>
      </w:r>
      <w:r w:rsidRPr="00283806">
        <w:rPr>
          <w:w w:val="105"/>
        </w:rPr>
        <w:t>refrigerant emissions. The Agency also disagrees with the commenters’ framing that the 15-pound threshold would</w:t>
      </w:r>
      <w:r w:rsidRPr="00283806">
        <w:rPr>
          <w:spacing w:val="80"/>
          <w:w w:val="105"/>
        </w:rPr>
        <w:t xml:space="preserve"> </w:t>
      </w:r>
      <w:r w:rsidRPr="00283806">
        <w:rPr>
          <w:w w:val="105"/>
        </w:rPr>
        <w:t>disincentivize owners or operators from investing in refrigerant-containing appliances at lower charge sizes.</w:t>
      </w:r>
    </w:p>
    <w:p w14:paraId="76E54D72" w14:textId="77777777" w:rsidR="00D67C1E" w:rsidRPr="00283806" w:rsidRDefault="001265CA">
      <w:pPr>
        <w:pStyle w:val="BodyText"/>
        <w:spacing w:line="186" w:lineRule="exact"/>
        <w:ind w:left="153"/>
      </w:pPr>
      <w:r w:rsidRPr="00283806">
        <w:rPr>
          <w:w w:val="105"/>
        </w:rPr>
        <w:t>Owners</w:t>
      </w:r>
      <w:r w:rsidRPr="00283806">
        <w:rPr>
          <w:spacing w:val="9"/>
          <w:w w:val="105"/>
        </w:rPr>
        <w:t xml:space="preserve"> </w:t>
      </w:r>
      <w:r w:rsidRPr="00283806">
        <w:rPr>
          <w:w w:val="105"/>
        </w:rPr>
        <w:t>and</w:t>
      </w:r>
      <w:r w:rsidRPr="00283806">
        <w:rPr>
          <w:spacing w:val="10"/>
          <w:w w:val="105"/>
        </w:rPr>
        <w:t xml:space="preserve"> </w:t>
      </w:r>
      <w:r w:rsidRPr="00283806">
        <w:rPr>
          <w:w w:val="105"/>
        </w:rPr>
        <w:t>operators</w:t>
      </w:r>
      <w:r w:rsidRPr="00283806">
        <w:rPr>
          <w:spacing w:val="10"/>
          <w:w w:val="105"/>
        </w:rPr>
        <w:t xml:space="preserve"> </w:t>
      </w:r>
      <w:r w:rsidRPr="00283806">
        <w:rPr>
          <w:w w:val="105"/>
        </w:rPr>
        <w:t>may</w:t>
      </w:r>
      <w:r w:rsidRPr="00283806">
        <w:rPr>
          <w:spacing w:val="9"/>
          <w:w w:val="105"/>
        </w:rPr>
        <w:t xml:space="preserve"> </w:t>
      </w:r>
      <w:r w:rsidRPr="00283806">
        <w:rPr>
          <w:w w:val="105"/>
        </w:rPr>
        <w:t>decide</w:t>
      </w:r>
      <w:r w:rsidRPr="00283806">
        <w:rPr>
          <w:spacing w:val="10"/>
          <w:w w:val="105"/>
        </w:rPr>
        <w:t xml:space="preserve"> </w:t>
      </w:r>
      <w:r w:rsidRPr="00283806">
        <w:rPr>
          <w:spacing w:val="-5"/>
          <w:w w:val="105"/>
        </w:rPr>
        <w:t>to</w:t>
      </w:r>
    </w:p>
    <w:p w14:paraId="55D9186E" w14:textId="77777777" w:rsidR="00D67C1E" w:rsidRPr="00283806" w:rsidRDefault="001265CA">
      <w:pPr>
        <w:pStyle w:val="BodyText"/>
        <w:spacing w:line="228" w:lineRule="auto"/>
        <w:ind w:left="153" w:right="177"/>
      </w:pPr>
      <w:r w:rsidRPr="00283806">
        <w:rPr>
          <w:w w:val="105"/>
        </w:rPr>
        <w:t>transition to refrigerant-containing appliances with smaller charge sizes to save money on refrigerant costs and mitigate the potential of leakage characterized by refrigerant-containing appliances at larger charge sizes. EPA does not find that owners or operators</w:t>
      </w:r>
    </w:p>
    <w:p w14:paraId="048B2448"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06" w:space="40"/>
            <w:col w:w="3502" w:space="39"/>
            <w:col w:w="3633"/>
          </w:cols>
        </w:sectPr>
      </w:pPr>
    </w:p>
    <w:p w14:paraId="68FB9C58" w14:textId="77777777" w:rsidR="00D67C1E" w:rsidRPr="00283806" w:rsidRDefault="001265CA">
      <w:pPr>
        <w:pStyle w:val="BodyText"/>
        <w:spacing w:before="136" w:line="225" w:lineRule="auto"/>
        <w:ind w:right="266"/>
        <w:jc w:val="both"/>
      </w:pPr>
      <w:proofErr w:type="gramStart"/>
      <w:r w:rsidRPr="00283806">
        <w:rPr>
          <w:w w:val="105"/>
        </w:rPr>
        <w:lastRenderedPageBreak/>
        <w:t>would solely</w:t>
      </w:r>
      <w:proofErr w:type="gramEnd"/>
      <w:r w:rsidRPr="00283806">
        <w:rPr>
          <w:w w:val="105"/>
        </w:rPr>
        <w:t xml:space="preserve"> transition to appliances with small charge sizes to avoid leak repair requirements.</w:t>
      </w:r>
    </w:p>
    <w:p w14:paraId="17A9D308" w14:textId="77777777" w:rsidR="00D67C1E" w:rsidRPr="00283806" w:rsidRDefault="001265CA">
      <w:pPr>
        <w:pStyle w:val="BodyText"/>
        <w:spacing w:line="179" w:lineRule="exact"/>
        <w:ind w:left="340"/>
        <w:jc w:val="both"/>
      </w:pPr>
      <w:r w:rsidRPr="00283806">
        <w:rPr>
          <w:w w:val="105"/>
        </w:rPr>
        <w:t>EPA</w:t>
      </w:r>
      <w:r w:rsidRPr="00283806">
        <w:rPr>
          <w:spacing w:val="13"/>
          <w:w w:val="105"/>
        </w:rPr>
        <w:t xml:space="preserve"> </w:t>
      </w:r>
      <w:r w:rsidRPr="00283806">
        <w:rPr>
          <w:w w:val="105"/>
        </w:rPr>
        <w:t>also</w:t>
      </w:r>
      <w:r w:rsidRPr="00283806">
        <w:rPr>
          <w:spacing w:val="13"/>
          <w:w w:val="105"/>
        </w:rPr>
        <w:t xml:space="preserve"> </w:t>
      </w:r>
      <w:r w:rsidRPr="00283806">
        <w:rPr>
          <w:w w:val="105"/>
        </w:rPr>
        <w:t>disagrees</w:t>
      </w:r>
      <w:r w:rsidRPr="00283806">
        <w:rPr>
          <w:spacing w:val="13"/>
          <w:w w:val="105"/>
        </w:rPr>
        <w:t xml:space="preserve"> </w:t>
      </w:r>
      <w:r w:rsidRPr="00283806">
        <w:rPr>
          <w:w w:val="105"/>
        </w:rPr>
        <w:t>with</w:t>
      </w:r>
      <w:r w:rsidRPr="00283806">
        <w:rPr>
          <w:spacing w:val="13"/>
          <w:w w:val="105"/>
        </w:rPr>
        <w:t xml:space="preserve"> </w:t>
      </w:r>
      <w:r w:rsidRPr="00283806">
        <w:rPr>
          <w:spacing w:val="-5"/>
          <w:w w:val="105"/>
        </w:rPr>
        <w:t>one</w:t>
      </w:r>
    </w:p>
    <w:p w14:paraId="6911A56F" w14:textId="77777777" w:rsidR="00D67C1E" w:rsidRPr="00283806" w:rsidRDefault="001265CA">
      <w:pPr>
        <w:pStyle w:val="BodyText"/>
        <w:spacing w:before="4" w:line="225" w:lineRule="auto"/>
      </w:pPr>
      <w:r w:rsidRPr="00283806">
        <w:rPr>
          <w:w w:val="105"/>
        </w:rPr>
        <w:t>commenter’s assertion that owners or operators who have recently</w:t>
      </w:r>
      <w:r w:rsidRPr="00283806">
        <w:rPr>
          <w:spacing w:val="40"/>
          <w:w w:val="105"/>
        </w:rPr>
        <w:t xml:space="preserve"> </w:t>
      </w:r>
      <w:r w:rsidRPr="00283806">
        <w:rPr>
          <w:w w:val="105"/>
        </w:rPr>
        <w:t>transitioned</w:t>
      </w:r>
      <w:r w:rsidRPr="00283806">
        <w:rPr>
          <w:spacing w:val="40"/>
          <w:w w:val="105"/>
        </w:rPr>
        <w:t xml:space="preserve"> </w:t>
      </w:r>
      <w:r w:rsidRPr="00283806">
        <w:rPr>
          <w:w w:val="105"/>
        </w:rPr>
        <w:t>to</w:t>
      </w:r>
      <w:r w:rsidRPr="00283806">
        <w:rPr>
          <w:spacing w:val="40"/>
          <w:w w:val="105"/>
        </w:rPr>
        <w:t xml:space="preserve"> </w:t>
      </w:r>
      <w:r w:rsidRPr="00283806">
        <w:rPr>
          <w:w w:val="105"/>
        </w:rPr>
        <w:t>HFO</w:t>
      </w:r>
      <w:r w:rsidRPr="00283806">
        <w:rPr>
          <w:spacing w:val="40"/>
          <w:w w:val="105"/>
        </w:rPr>
        <w:t xml:space="preserve"> </w:t>
      </w:r>
      <w:r w:rsidRPr="00283806">
        <w:rPr>
          <w:w w:val="105"/>
        </w:rPr>
        <w:t>systems</w:t>
      </w:r>
      <w:r w:rsidRPr="00283806">
        <w:rPr>
          <w:spacing w:val="40"/>
          <w:w w:val="105"/>
        </w:rPr>
        <w:t xml:space="preserve"> </w:t>
      </w:r>
      <w:r w:rsidRPr="00283806">
        <w:rPr>
          <w:w w:val="105"/>
        </w:rPr>
        <w:t>will</w:t>
      </w:r>
      <w:r w:rsidRPr="00283806">
        <w:rPr>
          <w:spacing w:val="40"/>
          <w:w w:val="105"/>
        </w:rPr>
        <w:t xml:space="preserve"> </w:t>
      </w:r>
      <w:r w:rsidRPr="00283806">
        <w:rPr>
          <w:w w:val="105"/>
        </w:rPr>
        <w:t>need to transition again. This final rule is not regulating the transition of refrigerant- containing appliances, rather, the final rule is establishing leak repair requirements for refrigerant-containing appliances with a charge size 15 pounds or greater which use an HFC or</w:t>
      </w:r>
      <w:r w:rsidRPr="00283806">
        <w:rPr>
          <w:spacing w:val="40"/>
          <w:w w:val="105"/>
        </w:rPr>
        <w:t xml:space="preserve"> </w:t>
      </w:r>
      <w:r w:rsidRPr="00283806">
        <w:rPr>
          <w:w w:val="105"/>
        </w:rPr>
        <w:t>substitute for an HFC with a GWP</w:t>
      </w:r>
      <w:r w:rsidRPr="00283806">
        <w:rPr>
          <w:spacing w:val="80"/>
          <w:w w:val="105"/>
        </w:rPr>
        <w:t xml:space="preserve"> </w:t>
      </w:r>
      <w:r w:rsidRPr="00283806">
        <w:rPr>
          <w:w w:val="105"/>
        </w:rPr>
        <w:t>greater than 53. EPA did not propose</w:t>
      </w:r>
      <w:r w:rsidRPr="00283806">
        <w:rPr>
          <w:spacing w:val="80"/>
          <w:w w:val="105"/>
        </w:rPr>
        <w:t xml:space="preserve"> </w:t>
      </w:r>
      <w:r w:rsidRPr="00283806">
        <w:rPr>
          <w:w w:val="105"/>
        </w:rPr>
        <w:t xml:space="preserve">and is not finalizing requirements for refrigerant-containing appliances to transition or be replaced (unless a refrigerant-containing appliance is not able to be repaired and is subject to the retrofit or retirement requirements described in section IV.C.3.f of this preamble). The Agency </w:t>
      </w:r>
      <w:proofErr w:type="gramStart"/>
      <w:r w:rsidRPr="00283806">
        <w:rPr>
          <w:w w:val="105"/>
        </w:rPr>
        <w:t>views</w:t>
      </w:r>
      <w:proofErr w:type="gramEnd"/>
      <w:r w:rsidRPr="00283806">
        <w:rPr>
          <w:w w:val="105"/>
        </w:rPr>
        <w:t xml:space="preserve"> the leak repair requirements of the final rule to provide numerous benefits to owners or operators (</w:t>
      </w:r>
      <w:r w:rsidRPr="00283806">
        <w:rPr>
          <w:rFonts w:ascii="Book Antiqua" w:hAnsi="Book Antiqua"/>
          <w:i/>
          <w:w w:val="105"/>
        </w:rPr>
        <w:t xml:space="preserve">e.g., </w:t>
      </w:r>
      <w:r w:rsidRPr="00283806">
        <w:rPr>
          <w:w w:val="105"/>
        </w:rPr>
        <w:t>reduced costs to replace lost refrigerants due to leaks). As the commenter stated, HFC centralized systems if well maintained can be</w:t>
      </w:r>
      <w:r w:rsidRPr="00283806">
        <w:rPr>
          <w:spacing w:val="40"/>
          <w:w w:val="105"/>
        </w:rPr>
        <w:t xml:space="preserve"> </w:t>
      </w:r>
      <w:r w:rsidRPr="00283806">
        <w:rPr>
          <w:w w:val="105"/>
        </w:rPr>
        <w:t>reliable and cost-effective for owners</w:t>
      </w:r>
      <w:r w:rsidRPr="00283806">
        <w:rPr>
          <w:spacing w:val="40"/>
          <w:w w:val="105"/>
        </w:rPr>
        <w:t xml:space="preserve"> </w:t>
      </w:r>
      <w:r w:rsidRPr="00283806">
        <w:rPr>
          <w:w w:val="105"/>
        </w:rPr>
        <w:t>and operators and the leak repair requirements of the final rule ensure</w:t>
      </w:r>
      <w:r w:rsidRPr="00283806">
        <w:rPr>
          <w:spacing w:val="80"/>
          <w:w w:val="105"/>
        </w:rPr>
        <w:t xml:space="preserve"> </w:t>
      </w:r>
      <w:r w:rsidRPr="00283806">
        <w:rPr>
          <w:w w:val="105"/>
        </w:rPr>
        <w:t>that these systems are well maintained. Further, owners or operators who are using HFOs or HFO blends are only subject to the leak repair requirements</w:t>
      </w:r>
    </w:p>
    <w:p w14:paraId="650470C2" w14:textId="77777777" w:rsidR="00D67C1E" w:rsidRPr="00283806" w:rsidRDefault="001265CA">
      <w:pPr>
        <w:pStyle w:val="BodyText"/>
        <w:spacing w:line="172" w:lineRule="exact"/>
      </w:pPr>
      <w:r w:rsidRPr="00283806">
        <w:t>if</w:t>
      </w:r>
      <w:r w:rsidRPr="00283806">
        <w:rPr>
          <w:spacing w:val="29"/>
        </w:rPr>
        <w:t xml:space="preserve"> </w:t>
      </w:r>
      <w:r w:rsidRPr="00283806">
        <w:t>the</w:t>
      </w:r>
      <w:r w:rsidRPr="00283806">
        <w:rPr>
          <w:spacing w:val="29"/>
        </w:rPr>
        <w:t xml:space="preserve"> </w:t>
      </w:r>
      <w:r w:rsidRPr="00283806">
        <w:t>refrigerant</w:t>
      </w:r>
      <w:r w:rsidRPr="00283806">
        <w:rPr>
          <w:spacing w:val="29"/>
        </w:rPr>
        <w:t xml:space="preserve"> </w:t>
      </w:r>
      <w:r w:rsidRPr="00283806">
        <w:t>used</w:t>
      </w:r>
      <w:r w:rsidRPr="00283806">
        <w:rPr>
          <w:spacing w:val="29"/>
        </w:rPr>
        <w:t xml:space="preserve"> </w:t>
      </w:r>
      <w:r w:rsidRPr="00283806">
        <w:t>contains</w:t>
      </w:r>
      <w:r w:rsidRPr="00283806">
        <w:rPr>
          <w:spacing w:val="29"/>
        </w:rPr>
        <w:t xml:space="preserve"> </w:t>
      </w:r>
      <w:r w:rsidRPr="00283806">
        <w:t>an</w:t>
      </w:r>
      <w:r w:rsidRPr="00283806">
        <w:rPr>
          <w:spacing w:val="29"/>
        </w:rPr>
        <w:t xml:space="preserve"> </w:t>
      </w:r>
      <w:r w:rsidRPr="00283806">
        <w:rPr>
          <w:spacing w:val="-5"/>
        </w:rPr>
        <w:t>HFC</w:t>
      </w:r>
    </w:p>
    <w:p w14:paraId="7666AFB8" w14:textId="77777777" w:rsidR="00D67C1E" w:rsidRPr="00283806" w:rsidRDefault="001265CA">
      <w:pPr>
        <w:pStyle w:val="BodyText"/>
        <w:spacing w:line="198" w:lineRule="exact"/>
        <w:ind w:right="93"/>
      </w:pPr>
      <w:r w:rsidRPr="00283806">
        <w:rPr>
          <w:w w:val="105"/>
        </w:rPr>
        <w:t xml:space="preserve">or has a GWP greater than 53. For these reasons, the Agency also disagrees that smaller facilities will transition to fan refrigeration systems </w:t>
      </w:r>
      <w:proofErr w:type="gramStart"/>
      <w:r w:rsidRPr="00283806">
        <w:rPr>
          <w:w w:val="105"/>
        </w:rPr>
        <w:t>in order to</w:t>
      </w:r>
      <w:proofErr w:type="gramEnd"/>
      <w:r w:rsidRPr="00283806">
        <w:rPr>
          <w:w w:val="105"/>
        </w:rPr>
        <w:t xml:space="preserve"> avoid the leak repair requirements of the final rule. EPA does not foresee fan systems</w:t>
      </w:r>
      <w:r w:rsidRPr="00283806">
        <w:rPr>
          <w:spacing w:val="40"/>
          <w:w w:val="105"/>
        </w:rPr>
        <w:t xml:space="preserve"> </w:t>
      </w:r>
      <w:r w:rsidRPr="00283806">
        <w:rPr>
          <w:w w:val="105"/>
        </w:rPr>
        <w:t>as being a replacement to refrigerant- containing appliances that use HFCs</w:t>
      </w:r>
      <w:r w:rsidRPr="00283806">
        <w:rPr>
          <w:spacing w:val="80"/>
          <w:w w:val="105"/>
        </w:rPr>
        <w:t xml:space="preserve"> </w:t>
      </w:r>
      <w:r w:rsidRPr="00283806">
        <w:rPr>
          <w:w w:val="105"/>
        </w:rPr>
        <w:t>and notes that there are non-HFC</w:t>
      </w:r>
    </w:p>
    <w:p w14:paraId="5C701F9A" w14:textId="77777777" w:rsidR="00D67C1E" w:rsidRPr="00283806" w:rsidRDefault="001265CA">
      <w:pPr>
        <w:pStyle w:val="BodyText"/>
        <w:spacing w:before="136" w:line="225" w:lineRule="auto"/>
        <w:ind w:right="171"/>
      </w:pPr>
      <w:r w:rsidRPr="00283806">
        <w:br w:type="column"/>
      </w:r>
      <w:r w:rsidRPr="00283806">
        <w:rPr>
          <w:w w:val="105"/>
        </w:rPr>
        <w:t>repair</w:t>
      </w:r>
      <w:r w:rsidRPr="00283806">
        <w:rPr>
          <w:spacing w:val="-9"/>
          <w:w w:val="105"/>
        </w:rPr>
        <w:t xml:space="preserve"> </w:t>
      </w:r>
      <w:r w:rsidRPr="00283806">
        <w:rPr>
          <w:w w:val="105"/>
        </w:rPr>
        <w:t>and</w:t>
      </w:r>
      <w:r w:rsidRPr="00283806">
        <w:rPr>
          <w:spacing w:val="-9"/>
          <w:w w:val="105"/>
        </w:rPr>
        <w:t xml:space="preserve"> </w:t>
      </w:r>
      <w:r w:rsidRPr="00283806">
        <w:rPr>
          <w:w w:val="105"/>
        </w:rPr>
        <w:t>management</w:t>
      </w:r>
      <w:r w:rsidRPr="00283806">
        <w:rPr>
          <w:spacing w:val="-9"/>
          <w:w w:val="105"/>
        </w:rPr>
        <w:t xml:space="preserve"> </w:t>
      </w:r>
      <w:r w:rsidRPr="00283806">
        <w:rPr>
          <w:w w:val="105"/>
        </w:rPr>
        <w:t>of</w:t>
      </w:r>
      <w:r w:rsidRPr="00283806">
        <w:rPr>
          <w:spacing w:val="-9"/>
          <w:w w:val="105"/>
        </w:rPr>
        <w:t xml:space="preserve"> </w:t>
      </w:r>
      <w:r w:rsidRPr="00283806">
        <w:rPr>
          <w:w w:val="105"/>
        </w:rPr>
        <w:t>refrigerant- containing appliances in States with higher heat indexes where RACHP is utilized more, will help save owners and operators costs associated with leaky appliances.</w:t>
      </w:r>
    </w:p>
    <w:p w14:paraId="5479373A" w14:textId="77777777" w:rsidR="00D67C1E" w:rsidRPr="00283806" w:rsidRDefault="001265CA">
      <w:pPr>
        <w:pStyle w:val="BodyText"/>
        <w:spacing w:line="178" w:lineRule="exact"/>
        <w:ind w:left="340"/>
      </w:pPr>
      <w:r w:rsidRPr="00283806">
        <w:rPr>
          <w:w w:val="105"/>
        </w:rPr>
        <w:t>EPA</w:t>
      </w:r>
      <w:r w:rsidRPr="00283806">
        <w:rPr>
          <w:spacing w:val="20"/>
          <w:w w:val="105"/>
        </w:rPr>
        <w:t xml:space="preserve"> </w:t>
      </w:r>
      <w:r w:rsidRPr="00283806">
        <w:rPr>
          <w:w w:val="105"/>
        </w:rPr>
        <w:t>is</w:t>
      </w:r>
      <w:r w:rsidRPr="00283806">
        <w:rPr>
          <w:spacing w:val="21"/>
          <w:w w:val="105"/>
        </w:rPr>
        <w:t xml:space="preserve"> </w:t>
      </w:r>
      <w:r w:rsidRPr="00283806">
        <w:rPr>
          <w:w w:val="105"/>
        </w:rPr>
        <w:t>finalizing</w:t>
      </w:r>
      <w:r w:rsidRPr="00283806">
        <w:rPr>
          <w:spacing w:val="21"/>
          <w:w w:val="105"/>
        </w:rPr>
        <w:t xml:space="preserve"> </w:t>
      </w:r>
      <w:r w:rsidRPr="00283806">
        <w:rPr>
          <w:w w:val="105"/>
        </w:rPr>
        <w:t>as</w:t>
      </w:r>
      <w:r w:rsidRPr="00283806">
        <w:rPr>
          <w:spacing w:val="21"/>
          <w:w w:val="105"/>
        </w:rPr>
        <w:t xml:space="preserve"> </w:t>
      </w:r>
      <w:r w:rsidRPr="00283806">
        <w:rPr>
          <w:w w:val="105"/>
        </w:rPr>
        <w:t>proposed,</w:t>
      </w:r>
      <w:r w:rsidRPr="00283806">
        <w:rPr>
          <w:spacing w:val="20"/>
          <w:w w:val="105"/>
        </w:rPr>
        <w:t xml:space="preserve"> </w:t>
      </w:r>
      <w:r w:rsidRPr="00283806">
        <w:rPr>
          <w:spacing w:val="-5"/>
          <w:w w:val="105"/>
        </w:rPr>
        <w:t>the</w:t>
      </w:r>
    </w:p>
    <w:p w14:paraId="49489592" w14:textId="77777777" w:rsidR="00D67C1E" w:rsidRPr="00283806" w:rsidRDefault="001265CA">
      <w:pPr>
        <w:pStyle w:val="BodyText"/>
        <w:spacing w:before="3" w:line="225" w:lineRule="auto"/>
      </w:pPr>
      <w:proofErr w:type="gramStart"/>
      <w:r w:rsidRPr="00283806">
        <w:rPr>
          <w:w w:val="105"/>
        </w:rPr>
        <w:t>exemption</w:t>
      </w:r>
      <w:proofErr w:type="gramEnd"/>
      <w:r w:rsidRPr="00283806">
        <w:rPr>
          <w:w w:val="105"/>
        </w:rPr>
        <w:t xml:space="preserve"> of the residential and light commercial air conditioning and heat pump subsector </w:t>
      </w:r>
      <w:r w:rsidRPr="00283806">
        <w:rPr>
          <w:w w:val="105"/>
          <w:position w:val="5"/>
          <w:sz w:val="11"/>
        </w:rPr>
        <w:t>60</w:t>
      </w:r>
      <w:r w:rsidRPr="00283806">
        <w:rPr>
          <w:spacing w:val="40"/>
          <w:w w:val="105"/>
          <w:position w:val="5"/>
          <w:sz w:val="11"/>
        </w:rPr>
        <w:t xml:space="preserve"> </w:t>
      </w:r>
      <w:r w:rsidRPr="00283806">
        <w:rPr>
          <w:w w:val="105"/>
        </w:rPr>
        <w:t>from the leak repair provisions in the final rule. This</w:t>
      </w:r>
      <w:r w:rsidRPr="00283806">
        <w:rPr>
          <w:spacing w:val="40"/>
          <w:w w:val="105"/>
        </w:rPr>
        <w:t xml:space="preserve"> </w:t>
      </w:r>
      <w:r w:rsidRPr="00283806">
        <w:rPr>
          <w:w w:val="105"/>
        </w:rPr>
        <w:t>subsector is categorized by refrigerant- containing appliances that are used to cool individual rooms, single-family homes, and small commercial buildings. The Agency notes that the description of the subsector is consistent with the description used by the SNAP program since 2009,</w:t>
      </w:r>
      <w:r w:rsidRPr="00283806">
        <w:rPr>
          <w:w w:val="105"/>
          <w:position w:val="5"/>
          <w:sz w:val="11"/>
        </w:rPr>
        <w:t>61</w:t>
      </w:r>
      <w:r w:rsidRPr="00283806">
        <w:rPr>
          <w:spacing w:val="40"/>
          <w:w w:val="105"/>
          <w:position w:val="5"/>
          <w:sz w:val="11"/>
        </w:rPr>
        <w:t xml:space="preserve"> </w:t>
      </w:r>
      <w:r w:rsidRPr="00283806">
        <w:rPr>
          <w:w w:val="105"/>
        </w:rPr>
        <w:t>owners or operators</w:t>
      </w:r>
      <w:r w:rsidRPr="00283806">
        <w:rPr>
          <w:spacing w:val="80"/>
          <w:w w:val="105"/>
        </w:rPr>
        <w:t xml:space="preserve"> </w:t>
      </w:r>
      <w:r w:rsidRPr="00283806">
        <w:rPr>
          <w:w w:val="105"/>
        </w:rPr>
        <w:t xml:space="preserve">should be familiar with the terminology and implementation under the SNAP program. EPA is not providing a regulatory definition of residential and light commercial air conditioning and heat pumps and </w:t>
      </w:r>
      <w:proofErr w:type="gramStart"/>
      <w:r w:rsidRPr="00283806">
        <w:rPr>
          <w:w w:val="105"/>
        </w:rPr>
        <w:t>clarifies</w:t>
      </w:r>
      <w:proofErr w:type="gramEnd"/>
      <w:r w:rsidRPr="00283806">
        <w:rPr>
          <w:w w:val="105"/>
        </w:rPr>
        <w:t xml:space="preserve"> that we are using the terminology developed by</w:t>
      </w:r>
      <w:r w:rsidRPr="00283806">
        <w:rPr>
          <w:spacing w:val="40"/>
          <w:w w:val="105"/>
        </w:rPr>
        <w:t xml:space="preserve"> </w:t>
      </w:r>
      <w:r w:rsidRPr="00283806">
        <w:rPr>
          <w:w w:val="105"/>
        </w:rPr>
        <w:t xml:space="preserve">SNAP to denote the types of </w:t>
      </w:r>
      <w:proofErr w:type="gramStart"/>
      <w:r w:rsidRPr="00283806">
        <w:rPr>
          <w:w w:val="105"/>
        </w:rPr>
        <w:t>refrigerant</w:t>
      </w:r>
      <w:proofErr w:type="gramEnd"/>
      <w:r w:rsidRPr="00283806">
        <w:rPr>
          <w:w w:val="105"/>
        </w:rPr>
        <w:t xml:space="preserve">- containing appliances that would be considered to fall under the subsector. The determination of </w:t>
      </w:r>
      <w:proofErr w:type="gramStart"/>
      <w:r w:rsidRPr="00283806">
        <w:rPr>
          <w:w w:val="105"/>
        </w:rPr>
        <w:t>whether or not</w:t>
      </w:r>
      <w:proofErr w:type="gramEnd"/>
      <w:r w:rsidRPr="00283806">
        <w:rPr>
          <w:w w:val="105"/>
        </w:rPr>
        <w:t xml:space="preserve"> a refrigerant-containing appliance is exempt from the leak repair provision is reliant on such appliances being considered to fall within the parameters of the terminology. As described in the proposal, the vast majority of</w:t>
      </w:r>
    </w:p>
    <w:p w14:paraId="009ED24B" w14:textId="77777777" w:rsidR="00D67C1E" w:rsidRPr="00283806" w:rsidRDefault="001265CA">
      <w:pPr>
        <w:pStyle w:val="BodyText"/>
        <w:spacing w:line="225" w:lineRule="auto"/>
        <w:ind w:right="57"/>
      </w:pPr>
      <w:r w:rsidRPr="00283806">
        <w:rPr>
          <w:w w:val="105"/>
        </w:rPr>
        <w:t>refrigerant-containing appliances in the residential and light air conditioning subsector typically have a charge size of less than 15 pounds; however, EPA is providing an exemption in the case that an appliance is used within this subsector with a charge size of 15 pounds or more. These refrigerant- containing appliances are used in residences (but this subsector does not</w:t>
      </w:r>
    </w:p>
    <w:p w14:paraId="67F628F6" w14:textId="77777777" w:rsidR="00D67C1E" w:rsidRPr="00283806" w:rsidRDefault="001265CA">
      <w:pPr>
        <w:pStyle w:val="BodyText"/>
        <w:spacing w:line="131" w:lineRule="exact"/>
      </w:pPr>
      <w:r w:rsidRPr="00283806">
        <w:rPr>
          <w:w w:val="105"/>
        </w:rPr>
        <w:t>include</w:t>
      </w:r>
      <w:r w:rsidRPr="00283806">
        <w:rPr>
          <w:spacing w:val="22"/>
          <w:w w:val="105"/>
        </w:rPr>
        <w:t xml:space="preserve"> </w:t>
      </w:r>
      <w:r w:rsidRPr="00283806">
        <w:rPr>
          <w:w w:val="105"/>
        </w:rPr>
        <w:t>larger</w:t>
      </w:r>
      <w:r w:rsidRPr="00283806">
        <w:rPr>
          <w:spacing w:val="22"/>
          <w:w w:val="105"/>
        </w:rPr>
        <w:t xml:space="preserve"> </w:t>
      </w:r>
      <w:r w:rsidRPr="00283806">
        <w:rPr>
          <w:w w:val="105"/>
        </w:rPr>
        <w:t>centrally-</w:t>
      </w:r>
      <w:r w:rsidRPr="00283806">
        <w:rPr>
          <w:spacing w:val="-2"/>
          <w:w w:val="105"/>
        </w:rPr>
        <w:t>cooled</w:t>
      </w:r>
    </w:p>
    <w:p w14:paraId="698E5B87" w14:textId="77777777" w:rsidR="00D67C1E" w:rsidRPr="00283806" w:rsidRDefault="001265CA">
      <w:pPr>
        <w:pStyle w:val="BodyText"/>
        <w:spacing w:before="136" w:line="225" w:lineRule="auto"/>
        <w:ind w:left="144" w:right="171"/>
      </w:pPr>
      <w:r w:rsidRPr="00283806">
        <w:br w:type="column"/>
      </w:r>
      <w:r w:rsidRPr="00283806">
        <w:rPr>
          <w:w w:val="105"/>
        </w:rPr>
        <w:t>apartment/condominium buildings— where a chiller is likely used), and small retail and office buildings. The types of specific refrigerant-containing</w:t>
      </w:r>
      <w:r w:rsidRPr="00283806">
        <w:rPr>
          <w:spacing w:val="80"/>
          <w:w w:val="105"/>
        </w:rPr>
        <w:t xml:space="preserve"> </w:t>
      </w:r>
      <w:r w:rsidRPr="00283806">
        <w:rPr>
          <w:w w:val="105"/>
        </w:rPr>
        <w:t>appliances used in this subsector could include but are not limited to:</w:t>
      </w:r>
    </w:p>
    <w:p w14:paraId="155A4082" w14:textId="77777777" w:rsidR="00D67C1E" w:rsidRPr="00283806" w:rsidRDefault="001265CA">
      <w:pPr>
        <w:pStyle w:val="ListParagraph"/>
        <w:numPr>
          <w:ilvl w:val="0"/>
          <w:numId w:val="57"/>
        </w:numPr>
        <w:tabs>
          <w:tab w:val="left" w:pos="506"/>
        </w:tabs>
        <w:spacing w:line="178" w:lineRule="exact"/>
        <w:ind w:left="506" w:hanging="182"/>
        <w:rPr>
          <w:sz w:val="18"/>
        </w:rPr>
      </w:pPr>
      <w:r w:rsidRPr="00283806">
        <w:rPr>
          <w:w w:val="105"/>
          <w:sz w:val="18"/>
        </w:rPr>
        <w:t>Packaged</w:t>
      </w:r>
      <w:r w:rsidRPr="00283806">
        <w:rPr>
          <w:spacing w:val="7"/>
          <w:w w:val="105"/>
          <w:sz w:val="18"/>
        </w:rPr>
        <w:t xml:space="preserve"> </w:t>
      </w:r>
      <w:r w:rsidRPr="00283806">
        <w:rPr>
          <w:w w:val="105"/>
          <w:sz w:val="18"/>
        </w:rPr>
        <w:t>terminal</w:t>
      </w:r>
      <w:r w:rsidRPr="00283806">
        <w:rPr>
          <w:spacing w:val="8"/>
          <w:w w:val="105"/>
          <w:sz w:val="18"/>
        </w:rPr>
        <w:t xml:space="preserve"> </w:t>
      </w:r>
      <w:r w:rsidRPr="00283806">
        <w:rPr>
          <w:w w:val="105"/>
          <w:sz w:val="18"/>
        </w:rPr>
        <w:t>air</w:t>
      </w:r>
      <w:r w:rsidRPr="00283806">
        <w:rPr>
          <w:spacing w:val="8"/>
          <w:w w:val="105"/>
          <w:sz w:val="18"/>
        </w:rPr>
        <w:t xml:space="preserve"> </w:t>
      </w:r>
      <w:r w:rsidRPr="00283806">
        <w:rPr>
          <w:spacing w:val="-2"/>
          <w:w w:val="105"/>
          <w:sz w:val="18"/>
        </w:rPr>
        <w:t>conditioners</w:t>
      </w:r>
    </w:p>
    <w:p w14:paraId="4269755F" w14:textId="77777777" w:rsidR="00D67C1E" w:rsidRPr="00283806" w:rsidRDefault="001265CA">
      <w:pPr>
        <w:pStyle w:val="BodyText"/>
        <w:spacing w:line="186" w:lineRule="exact"/>
        <w:ind w:left="144"/>
      </w:pPr>
      <w:r w:rsidRPr="00283806">
        <w:rPr>
          <w:spacing w:val="-2"/>
          <w:w w:val="110"/>
        </w:rPr>
        <w:t>(PTACs);</w:t>
      </w:r>
    </w:p>
    <w:p w14:paraId="62C8958D" w14:textId="77777777" w:rsidR="00D67C1E" w:rsidRPr="00283806" w:rsidRDefault="001265CA">
      <w:pPr>
        <w:pStyle w:val="ListParagraph"/>
        <w:numPr>
          <w:ilvl w:val="0"/>
          <w:numId w:val="57"/>
        </w:numPr>
        <w:tabs>
          <w:tab w:val="left" w:pos="506"/>
        </w:tabs>
        <w:spacing w:line="225" w:lineRule="auto"/>
        <w:ind w:right="567" w:firstLine="180"/>
        <w:rPr>
          <w:sz w:val="18"/>
        </w:rPr>
      </w:pPr>
      <w:r w:rsidRPr="00283806">
        <w:rPr>
          <w:w w:val="105"/>
          <w:sz w:val="18"/>
        </w:rPr>
        <w:t>Variable</w:t>
      </w:r>
      <w:r w:rsidRPr="00283806">
        <w:rPr>
          <w:spacing w:val="-2"/>
          <w:w w:val="105"/>
          <w:sz w:val="18"/>
        </w:rPr>
        <w:t xml:space="preserve"> </w:t>
      </w:r>
      <w:r w:rsidRPr="00283806">
        <w:rPr>
          <w:w w:val="105"/>
          <w:sz w:val="18"/>
        </w:rPr>
        <w:t>refrigerant</w:t>
      </w:r>
      <w:r w:rsidRPr="00283806">
        <w:rPr>
          <w:spacing w:val="-2"/>
          <w:w w:val="105"/>
          <w:sz w:val="18"/>
        </w:rPr>
        <w:t xml:space="preserve"> </w:t>
      </w:r>
      <w:r w:rsidRPr="00283806">
        <w:rPr>
          <w:w w:val="105"/>
          <w:sz w:val="18"/>
        </w:rPr>
        <w:t>flow</w:t>
      </w:r>
      <w:r w:rsidRPr="00283806">
        <w:rPr>
          <w:spacing w:val="-2"/>
          <w:w w:val="105"/>
          <w:sz w:val="18"/>
        </w:rPr>
        <w:t xml:space="preserve"> </w:t>
      </w:r>
      <w:r w:rsidRPr="00283806">
        <w:rPr>
          <w:w w:val="105"/>
          <w:sz w:val="18"/>
        </w:rPr>
        <w:t xml:space="preserve">(VRF) </w:t>
      </w:r>
      <w:r w:rsidRPr="00283806">
        <w:rPr>
          <w:spacing w:val="-2"/>
          <w:w w:val="105"/>
          <w:sz w:val="18"/>
        </w:rPr>
        <w:t>appliances;</w:t>
      </w:r>
    </w:p>
    <w:p w14:paraId="441E2C79" w14:textId="77777777" w:rsidR="00D67C1E" w:rsidRPr="00283806" w:rsidRDefault="001265CA">
      <w:pPr>
        <w:pStyle w:val="ListParagraph"/>
        <w:numPr>
          <w:ilvl w:val="0"/>
          <w:numId w:val="57"/>
        </w:numPr>
        <w:tabs>
          <w:tab w:val="left" w:pos="506"/>
        </w:tabs>
        <w:spacing w:line="167" w:lineRule="exact"/>
        <w:ind w:left="506" w:hanging="182"/>
        <w:rPr>
          <w:sz w:val="18"/>
        </w:rPr>
      </w:pPr>
      <w:r w:rsidRPr="00283806">
        <w:rPr>
          <w:w w:val="105"/>
          <w:sz w:val="18"/>
        </w:rPr>
        <w:t>Unitary</w:t>
      </w:r>
      <w:r w:rsidRPr="00283806">
        <w:rPr>
          <w:spacing w:val="21"/>
          <w:w w:val="105"/>
          <w:sz w:val="18"/>
        </w:rPr>
        <w:t xml:space="preserve"> </w:t>
      </w:r>
      <w:r w:rsidRPr="00283806">
        <w:rPr>
          <w:w w:val="105"/>
          <w:sz w:val="18"/>
        </w:rPr>
        <w:t>air</w:t>
      </w:r>
      <w:r w:rsidRPr="00283806">
        <w:rPr>
          <w:spacing w:val="22"/>
          <w:w w:val="105"/>
          <w:sz w:val="18"/>
        </w:rPr>
        <w:t xml:space="preserve"> </w:t>
      </w:r>
      <w:r w:rsidRPr="00283806">
        <w:rPr>
          <w:w w:val="105"/>
          <w:sz w:val="18"/>
        </w:rPr>
        <w:t>conditioning;</w:t>
      </w:r>
      <w:r w:rsidRPr="00283806">
        <w:rPr>
          <w:spacing w:val="21"/>
          <w:w w:val="105"/>
          <w:sz w:val="18"/>
        </w:rPr>
        <w:t xml:space="preserve"> </w:t>
      </w:r>
      <w:r w:rsidRPr="00283806">
        <w:rPr>
          <w:spacing w:val="-5"/>
          <w:w w:val="105"/>
          <w:sz w:val="18"/>
        </w:rPr>
        <w:t>and</w:t>
      </w:r>
    </w:p>
    <w:p w14:paraId="549CE729" w14:textId="77777777" w:rsidR="00D67C1E" w:rsidRPr="00283806" w:rsidRDefault="001265CA">
      <w:pPr>
        <w:pStyle w:val="ListParagraph"/>
        <w:numPr>
          <w:ilvl w:val="0"/>
          <w:numId w:val="57"/>
        </w:numPr>
        <w:tabs>
          <w:tab w:val="left" w:pos="506"/>
        </w:tabs>
        <w:spacing w:line="189" w:lineRule="exact"/>
        <w:ind w:left="506" w:hanging="182"/>
        <w:rPr>
          <w:sz w:val="18"/>
        </w:rPr>
      </w:pPr>
      <w:r w:rsidRPr="00283806">
        <w:rPr>
          <w:w w:val="105"/>
          <w:sz w:val="18"/>
        </w:rPr>
        <w:t>Some</w:t>
      </w:r>
      <w:r w:rsidRPr="00283806">
        <w:rPr>
          <w:spacing w:val="7"/>
          <w:w w:val="105"/>
          <w:sz w:val="18"/>
        </w:rPr>
        <w:t xml:space="preserve"> </w:t>
      </w:r>
      <w:r w:rsidRPr="00283806">
        <w:rPr>
          <w:w w:val="105"/>
          <w:sz w:val="18"/>
        </w:rPr>
        <w:t>rooftop</w:t>
      </w:r>
      <w:r w:rsidRPr="00283806">
        <w:rPr>
          <w:spacing w:val="8"/>
          <w:w w:val="105"/>
          <w:sz w:val="18"/>
        </w:rPr>
        <w:t xml:space="preserve"> </w:t>
      </w:r>
      <w:r w:rsidRPr="00283806">
        <w:rPr>
          <w:w w:val="105"/>
          <w:sz w:val="18"/>
        </w:rPr>
        <w:t>air</w:t>
      </w:r>
      <w:r w:rsidRPr="00283806">
        <w:rPr>
          <w:spacing w:val="8"/>
          <w:w w:val="105"/>
          <w:sz w:val="18"/>
        </w:rPr>
        <w:t xml:space="preserve"> </w:t>
      </w:r>
      <w:r w:rsidRPr="00283806">
        <w:rPr>
          <w:spacing w:val="-2"/>
          <w:w w:val="105"/>
          <w:sz w:val="18"/>
        </w:rPr>
        <w:t>conditioning.</w:t>
      </w:r>
    </w:p>
    <w:p w14:paraId="225CFB7E" w14:textId="77777777" w:rsidR="00D67C1E" w:rsidRPr="00283806" w:rsidRDefault="001265CA">
      <w:pPr>
        <w:pStyle w:val="BodyText"/>
        <w:spacing w:line="225" w:lineRule="auto"/>
        <w:ind w:left="144" w:right="171" w:firstLine="180"/>
      </w:pPr>
      <w:r w:rsidRPr="00283806">
        <w:rPr>
          <w:w w:val="105"/>
        </w:rPr>
        <w:t xml:space="preserve">There are several reasons for this exemption. Since </w:t>
      </w:r>
      <w:proofErr w:type="gramStart"/>
      <w:r w:rsidRPr="00283806">
        <w:rPr>
          <w:w w:val="105"/>
        </w:rPr>
        <w:t>the majority of</w:t>
      </w:r>
      <w:proofErr w:type="gramEnd"/>
      <w:r w:rsidRPr="00283806">
        <w:rPr>
          <w:w w:val="105"/>
        </w:rPr>
        <w:t xml:space="preserve"> appliances in this subsector have a refrigerant charge below the 15-pound cutoff for leak repair requirements, enforcement of these appliances may be challenging due to the number of appliances that would be covered.</w:t>
      </w:r>
    </w:p>
    <w:p w14:paraId="6428E451" w14:textId="77777777" w:rsidR="00D67C1E" w:rsidRPr="00283806" w:rsidRDefault="001265CA">
      <w:pPr>
        <w:pStyle w:val="BodyText"/>
        <w:spacing w:line="225" w:lineRule="auto"/>
        <w:ind w:left="144" w:right="271"/>
      </w:pPr>
      <w:r w:rsidRPr="00283806">
        <w:rPr>
          <w:w w:val="105"/>
        </w:rPr>
        <w:t>Further, the number of refrigerant- containing appliances in this subsector may cause additional strain on contractors and technicians who are necessary to complete the repair of leaking appliances. Therefore, EPA’s exemption of appliances in this subsector from the leak repair requirements is administratively more efficient and will facilitate compliance</w:t>
      </w:r>
      <w:r w:rsidRPr="00283806">
        <w:rPr>
          <w:spacing w:val="40"/>
          <w:w w:val="105"/>
        </w:rPr>
        <w:t xml:space="preserve"> </w:t>
      </w:r>
      <w:r w:rsidRPr="00283806">
        <w:rPr>
          <w:w w:val="105"/>
        </w:rPr>
        <w:t xml:space="preserve">of affected appliances under the </w:t>
      </w:r>
      <w:r w:rsidRPr="00283806">
        <w:rPr>
          <w:spacing w:val="-2"/>
          <w:w w:val="105"/>
        </w:rPr>
        <w:t>provision.</w:t>
      </w:r>
    </w:p>
    <w:p w14:paraId="0FCBE593" w14:textId="77777777" w:rsidR="00D67C1E" w:rsidRPr="00283806" w:rsidRDefault="001265CA">
      <w:pPr>
        <w:pStyle w:val="BodyText"/>
        <w:spacing w:line="213" w:lineRule="auto"/>
        <w:ind w:left="144" w:right="171" w:firstLine="180"/>
      </w:pPr>
      <w:r w:rsidRPr="00283806">
        <w:rPr>
          <w:rFonts w:ascii="Book Antiqua"/>
          <w:i/>
          <w:w w:val="105"/>
        </w:rPr>
        <w:t xml:space="preserve">Comment: </w:t>
      </w:r>
      <w:r w:rsidRPr="00283806">
        <w:rPr>
          <w:w w:val="105"/>
        </w:rPr>
        <w:t>EPA received generally positive comments on the exemption of</w:t>
      </w:r>
    </w:p>
    <w:p w14:paraId="1C32EC55" w14:textId="77777777" w:rsidR="00D67C1E" w:rsidRPr="00283806" w:rsidRDefault="001265CA">
      <w:pPr>
        <w:pStyle w:val="BodyText"/>
        <w:spacing w:line="225" w:lineRule="auto"/>
        <w:ind w:left="144" w:right="203"/>
      </w:pPr>
      <w:r w:rsidRPr="00283806">
        <w:rPr>
          <w:w w:val="105"/>
        </w:rPr>
        <w:t xml:space="preserve">residential and light commercial air conditioning with </w:t>
      </w:r>
      <w:proofErr w:type="gramStart"/>
      <w:r w:rsidRPr="00283806">
        <w:rPr>
          <w:w w:val="105"/>
        </w:rPr>
        <w:t>the majority of</w:t>
      </w:r>
      <w:proofErr w:type="gramEnd"/>
      <w:r w:rsidRPr="00283806">
        <w:rPr>
          <w:w w:val="105"/>
        </w:rPr>
        <w:t xml:space="preserve"> comments requesting clarity of what appliances </w:t>
      </w:r>
      <w:proofErr w:type="gramStart"/>
      <w:r w:rsidRPr="00283806">
        <w:rPr>
          <w:w w:val="105"/>
        </w:rPr>
        <w:t>are</w:t>
      </w:r>
      <w:proofErr w:type="gramEnd"/>
      <w:r w:rsidRPr="00283806">
        <w:rPr>
          <w:w w:val="105"/>
        </w:rPr>
        <w:t xml:space="preserve"> covered by the</w:t>
      </w:r>
      <w:r w:rsidRPr="00283806">
        <w:rPr>
          <w:spacing w:val="80"/>
          <w:w w:val="105"/>
        </w:rPr>
        <w:t xml:space="preserve"> </w:t>
      </w:r>
      <w:r w:rsidRPr="00283806">
        <w:rPr>
          <w:w w:val="105"/>
        </w:rPr>
        <w:t>exemption. One commenter stated that codifying a definition for residential and light commercial air conditioning and heat pumps would avoid confusion in</w:t>
      </w:r>
      <w:r w:rsidRPr="00283806">
        <w:rPr>
          <w:spacing w:val="80"/>
          <w:w w:val="150"/>
        </w:rPr>
        <w:t xml:space="preserve"> </w:t>
      </w:r>
      <w:r w:rsidRPr="00283806">
        <w:rPr>
          <w:w w:val="105"/>
        </w:rPr>
        <w:t>the regulated community. Two commenters requested EPA consider codifying the industry definition of light commercial defined as having a cooling capacity below 65,000 BTU/h. One</w:t>
      </w:r>
    </w:p>
    <w:p w14:paraId="68A127A2"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495" w:space="44"/>
            <w:col w:w="3516" w:space="40"/>
            <w:col w:w="3625"/>
          </w:cols>
        </w:sectPr>
      </w:pPr>
    </w:p>
    <w:p w14:paraId="097A58E2" w14:textId="77777777" w:rsidR="00D67C1E" w:rsidRPr="00283806" w:rsidRDefault="001265CA">
      <w:pPr>
        <w:pStyle w:val="BodyText"/>
        <w:tabs>
          <w:tab w:val="left" w:pos="3699"/>
          <w:tab w:val="left" w:pos="4699"/>
        </w:tabs>
        <w:spacing w:line="141" w:lineRule="exact"/>
      </w:pPr>
      <w:r w:rsidRPr="00283806">
        <w:rPr>
          <w:w w:val="105"/>
        </w:rPr>
        <w:t>alternatives</w:t>
      </w:r>
      <w:r w:rsidRPr="00283806">
        <w:rPr>
          <w:spacing w:val="6"/>
          <w:w w:val="105"/>
        </w:rPr>
        <w:t xml:space="preserve"> </w:t>
      </w:r>
      <w:r w:rsidRPr="00283806">
        <w:rPr>
          <w:w w:val="105"/>
        </w:rPr>
        <w:t>available</w:t>
      </w:r>
      <w:r w:rsidRPr="00283806">
        <w:rPr>
          <w:spacing w:val="6"/>
          <w:w w:val="105"/>
        </w:rPr>
        <w:t xml:space="preserve"> </w:t>
      </w:r>
      <w:r w:rsidRPr="00283806">
        <w:rPr>
          <w:w w:val="105"/>
        </w:rPr>
        <w:t>for</w:t>
      </w:r>
      <w:r w:rsidRPr="00283806">
        <w:rPr>
          <w:spacing w:val="6"/>
          <w:w w:val="105"/>
        </w:rPr>
        <w:t xml:space="preserve"> </w:t>
      </w:r>
      <w:r w:rsidRPr="00283806">
        <w:rPr>
          <w:spacing w:val="-2"/>
          <w:w w:val="105"/>
        </w:rPr>
        <w:t>certain</w:t>
      </w:r>
      <w:r w:rsidRPr="00283806">
        <w:tab/>
      </w:r>
      <w:r w:rsidRPr="00283806">
        <w:rPr>
          <w:u w:val="single"/>
        </w:rPr>
        <w:tab/>
      </w:r>
    </w:p>
    <w:p w14:paraId="35B08036" w14:textId="77777777" w:rsidR="00D67C1E" w:rsidRPr="00283806" w:rsidRDefault="001265CA">
      <w:pPr>
        <w:pStyle w:val="BodyText"/>
        <w:spacing w:line="141" w:lineRule="exact"/>
      </w:pPr>
      <w:r w:rsidRPr="00283806">
        <w:br w:type="column"/>
      </w:r>
      <w:r w:rsidRPr="00283806">
        <w:rPr>
          <w:w w:val="105"/>
        </w:rPr>
        <w:t>commenter</w:t>
      </w:r>
      <w:r w:rsidRPr="00283806">
        <w:rPr>
          <w:spacing w:val="11"/>
          <w:w w:val="105"/>
        </w:rPr>
        <w:t xml:space="preserve"> </w:t>
      </w:r>
      <w:r w:rsidRPr="00283806">
        <w:rPr>
          <w:w w:val="105"/>
        </w:rPr>
        <w:t>urged</w:t>
      </w:r>
      <w:r w:rsidRPr="00283806">
        <w:rPr>
          <w:spacing w:val="11"/>
          <w:w w:val="105"/>
        </w:rPr>
        <w:t xml:space="preserve"> </w:t>
      </w:r>
      <w:r w:rsidRPr="00283806">
        <w:rPr>
          <w:w w:val="105"/>
        </w:rPr>
        <w:t>EPA</w:t>
      </w:r>
      <w:r w:rsidRPr="00283806">
        <w:rPr>
          <w:spacing w:val="12"/>
          <w:w w:val="105"/>
        </w:rPr>
        <w:t xml:space="preserve"> </w:t>
      </w:r>
      <w:r w:rsidRPr="00283806">
        <w:rPr>
          <w:w w:val="105"/>
        </w:rPr>
        <w:t>to</w:t>
      </w:r>
      <w:r w:rsidRPr="00283806">
        <w:rPr>
          <w:spacing w:val="11"/>
          <w:w w:val="105"/>
        </w:rPr>
        <w:t xml:space="preserve"> </w:t>
      </w:r>
      <w:r w:rsidRPr="00283806">
        <w:rPr>
          <w:w w:val="105"/>
        </w:rPr>
        <w:t>clarify</w:t>
      </w:r>
      <w:r w:rsidRPr="00283806">
        <w:rPr>
          <w:spacing w:val="12"/>
          <w:w w:val="105"/>
        </w:rPr>
        <w:t xml:space="preserve"> </w:t>
      </w:r>
      <w:r w:rsidRPr="00283806">
        <w:rPr>
          <w:w w:val="105"/>
        </w:rPr>
        <w:t>what</w:t>
      </w:r>
      <w:r w:rsidRPr="00283806">
        <w:rPr>
          <w:spacing w:val="11"/>
          <w:w w:val="105"/>
        </w:rPr>
        <w:t xml:space="preserve"> </w:t>
      </w:r>
      <w:r w:rsidRPr="00283806">
        <w:rPr>
          <w:spacing w:val="-5"/>
          <w:w w:val="105"/>
        </w:rPr>
        <w:t>it</w:t>
      </w:r>
    </w:p>
    <w:p w14:paraId="4F33749A" w14:textId="77777777" w:rsidR="00D67C1E" w:rsidRPr="00283806" w:rsidRDefault="00D67C1E">
      <w:pPr>
        <w:spacing w:line="141" w:lineRule="exact"/>
        <w:sectPr w:rsidR="00D67C1E" w:rsidRPr="00283806">
          <w:type w:val="continuous"/>
          <w:pgSz w:w="12240" w:h="15840"/>
          <w:pgMar w:top="880" w:right="780" w:bottom="280" w:left="740" w:header="627" w:footer="0" w:gutter="0"/>
          <w:cols w:num="2" w:space="720" w:equalWidth="0">
            <w:col w:w="4740" w:space="2340"/>
            <w:col w:w="3640"/>
          </w:cols>
        </w:sectPr>
      </w:pPr>
    </w:p>
    <w:p w14:paraId="040D21BF" w14:textId="77777777" w:rsidR="00D67C1E" w:rsidRPr="00283806" w:rsidRDefault="001265CA">
      <w:pPr>
        <w:pStyle w:val="BodyText"/>
        <w:spacing w:before="61" w:line="225" w:lineRule="auto"/>
        <w:ind w:right="34"/>
      </w:pPr>
      <w:r w:rsidRPr="00283806">
        <w:rPr>
          <w:w w:val="105"/>
        </w:rPr>
        <w:t>refrigerant-containing appliances used by the retail food industry.</w:t>
      </w:r>
    </w:p>
    <w:p w14:paraId="06D46226" w14:textId="77777777" w:rsidR="00D67C1E" w:rsidRPr="00283806" w:rsidRDefault="001265CA">
      <w:pPr>
        <w:pStyle w:val="BodyText"/>
        <w:spacing w:line="179" w:lineRule="exact"/>
        <w:ind w:left="340"/>
      </w:pPr>
      <w:r w:rsidRPr="00283806">
        <w:rPr>
          <w:w w:val="105"/>
        </w:rPr>
        <w:t>EPA</w:t>
      </w:r>
      <w:r w:rsidRPr="00283806">
        <w:rPr>
          <w:spacing w:val="8"/>
          <w:w w:val="105"/>
        </w:rPr>
        <w:t xml:space="preserve"> </w:t>
      </w:r>
      <w:r w:rsidRPr="00283806">
        <w:rPr>
          <w:w w:val="105"/>
        </w:rPr>
        <w:t>also</w:t>
      </w:r>
      <w:r w:rsidRPr="00283806">
        <w:rPr>
          <w:spacing w:val="8"/>
          <w:w w:val="105"/>
        </w:rPr>
        <w:t xml:space="preserve"> </w:t>
      </w:r>
      <w:r w:rsidRPr="00283806">
        <w:rPr>
          <w:w w:val="105"/>
        </w:rPr>
        <w:t>disagrees</w:t>
      </w:r>
      <w:r w:rsidRPr="00283806">
        <w:rPr>
          <w:spacing w:val="9"/>
          <w:w w:val="105"/>
        </w:rPr>
        <w:t xml:space="preserve"> </w:t>
      </w:r>
      <w:r w:rsidRPr="00283806">
        <w:rPr>
          <w:w w:val="105"/>
        </w:rPr>
        <w:t>that</w:t>
      </w:r>
      <w:r w:rsidRPr="00283806">
        <w:rPr>
          <w:spacing w:val="8"/>
          <w:w w:val="105"/>
        </w:rPr>
        <w:t xml:space="preserve"> </w:t>
      </w:r>
      <w:r w:rsidRPr="00283806">
        <w:rPr>
          <w:w w:val="105"/>
        </w:rPr>
        <w:t>the</w:t>
      </w:r>
      <w:r w:rsidRPr="00283806">
        <w:rPr>
          <w:spacing w:val="9"/>
          <w:w w:val="105"/>
        </w:rPr>
        <w:t xml:space="preserve"> </w:t>
      </w:r>
      <w:r w:rsidRPr="00283806">
        <w:rPr>
          <w:w w:val="105"/>
        </w:rPr>
        <w:t>leak</w:t>
      </w:r>
      <w:r w:rsidRPr="00283806">
        <w:rPr>
          <w:spacing w:val="8"/>
          <w:w w:val="105"/>
        </w:rPr>
        <w:t xml:space="preserve"> </w:t>
      </w:r>
      <w:r w:rsidRPr="00283806">
        <w:rPr>
          <w:spacing w:val="-2"/>
          <w:w w:val="105"/>
        </w:rPr>
        <w:t>repair</w:t>
      </w:r>
    </w:p>
    <w:p w14:paraId="1CC60367" w14:textId="77777777" w:rsidR="00D67C1E" w:rsidRPr="00283806" w:rsidRDefault="001265CA">
      <w:pPr>
        <w:pStyle w:val="BodyText"/>
        <w:spacing w:before="3" w:line="225" w:lineRule="auto"/>
        <w:ind w:right="34"/>
      </w:pPr>
      <w:r w:rsidRPr="00283806">
        <w:rPr>
          <w:w w:val="105"/>
        </w:rPr>
        <w:t>requirements</w:t>
      </w:r>
      <w:r w:rsidRPr="00283806">
        <w:rPr>
          <w:spacing w:val="-1"/>
          <w:w w:val="105"/>
        </w:rPr>
        <w:t xml:space="preserve"> </w:t>
      </w:r>
      <w:r w:rsidRPr="00283806">
        <w:rPr>
          <w:w w:val="105"/>
        </w:rPr>
        <w:t>disproportionately</w:t>
      </w:r>
      <w:r w:rsidRPr="00283806">
        <w:rPr>
          <w:spacing w:val="-1"/>
          <w:w w:val="105"/>
        </w:rPr>
        <w:t xml:space="preserve"> </w:t>
      </w:r>
      <w:r w:rsidRPr="00283806">
        <w:rPr>
          <w:w w:val="105"/>
        </w:rPr>
        <w:t xml:space="preserve">impact owners or operators in </w:t>
      </w:r>
      <w:proofErr w:type="gramStart"/>
      <w:r w:rsidRPr="00283806">
        <w:rPr>
          <w:w w:val="105"/>
        </w:rPr>
        <w:t>States</w:t>
      </w:r>
      <w:proofErr w:type="gramEnd"/>
      <w:r w:rsidRPr="00283806">
        <w:rPr>
          <w:w w:val="105"/>
        </w:rPr>
        <w:t xml:space="preserve"> with higher heat indexes and limited alternatives. As stated previously, this rule is not requiring the transition to different alternatives or prohibiting the use of HFCs, rather, the rule is establishing requirements to ensure leaks in refrigerant-containing appliances containing HFCs or covered substitutes are repaired in a timely manner. The Agency understands that differences in ambient temperature will affect the need for RACHP appliances, however, the leak repair requirements apply equally to refrigerant-containing appliances regardless of geographic location. Furthermore, the prompt</w:t>
      </w:r>
    </w:p>
    <w:p w14:paraId="737D57B6" w14:textId="52E0347A" w:rsidR="00D67C1E" w:rsidRPr="00283806" w:rsidRDefault="001265CA">
      <w:pPr>
        <w:spacing w:before="87" w:line="228" w:lineRule="auto"/>
        <w:ind w:left="160" w:right="5" w:firstLine="140"/>
        <w:rPr>
          <w:rFonts w:ascii="Book Antiqua" w:hAnsi="Book Antiqua"/>
          <w:i/>
          <w:sz w:val="14"/>
        </w:rPr>
      </w:pPr>
      <w:r w:rsidRPr="00283806">
        <w:br w:type="column"/>
      </w:r>
      <w:r w:rsidRPr="00283806">
        <w:rPr>
          <w:w w:val="110"/>
          <w:position w:val="4"/>
          <w:sz w:val="9"/>
        </w:rPr>
        <w:t xml:space="preserve">60 </w:t>
      </w:r>
      <w:r w:rsidRPr="00283806">
        <w:rPr>
          <w:w w:val="110"/>
          <w:sz w:val="14"/>
        </w:rPr>
        <w:t>The residential and light commercial air</w:t>
      </w:r>
      <w:r w:rsidRPr="00283806">
        <w:rPr>
          <w:spacing w:val="40"/>
          <w:w w:val="110"/>
          <w:sz w:val="14"/>
        </w:rPr>
        <w:t xml:space="preserve"> </w:t>
      </w:r>
      <w:r w:rsidRPr="00283806">
        <w:rPr>
          <w:w w:val="110"/>
          <w:sz w:val="14"/>
        </w:rPr>
        <w:t>conditioning subsector includes equipment for</w:t>
      </w:r>
      <w:r w:rsidRPr="00283806">
        <w:rPr>
          <w:spacing w:val="40"/>
          <w:w w:val="110"/>
          <w:sz w:val="14"/>
        </w:rPr>
        <w:t xml:space="preserve"> </w:t>
      </w:r>
      <w:r w:rsidRPr="00283806">
        <w:rPr>
          <w:w w:val="110"/>
          <w:sz w:val="14"/>
        </w:rPr>
        <w:t>cooling air in individual rooms, single-family</w:t>
      </w:r>
      <w:r w:rsidRPr="00283806">
        <w:rPr>
          <w:spacing w:val="40"/>
          <w:w w:val="110"/>
          <w:sz w:val="14"/>
        </w:rPr>
        <w:t xml:space="preserve"> </w:t>
      </w:r>
      <w:r w:rsidRPr="00283806">
        <w:rPr>
          <w:w w:val="110"/>
          <w:sz w:val="14"/>
        </w:rPr>
        <w:t>homes, and small commercial buildings, including</w:t>
      </w:r>
      <w:r w:rsidRPr="00283806">
        <w:rPr>
          <w:spacing w:val="40"/>
          <w:w w:val="110"/>
          <w:sz w:val="14"/>
        </w:rPr>
        <w:t xml:space="preserve"> </w:t>
      </w:r>
      <w:r w:rsidRPr="00283806">
        <w:rPr>
          <w:w w:val="110"/>
          <w:sz w:val="14"/>
        </w:rPr>
        <w:t>both self-contained and split systems. Self-</w:t>
      </w:r>
      <w:r w:rsidRPr="00283806">
        <w:rPr>
          <w:spacing w:val="40"/>
          <w:w w:val="110"/>
          <w:sz w:val="14"/>
        </w:rPr>
        <w:t xml:space="preserve"> </w:t>
      </w:r>
      <w:r w:rsidRPr="00283806">
        <w:rPr>
          <w:w w:val="110"/>
          <w:sz w:val="14"/>
        </w:rPr>
        <w:t>contained systems include some rooftop AC units</w:t>
      </w:r>
      <w:r w:rsidRPr="00283806">
        <w:rPr>
          <w:spacing w:val="40"/>
          <w:w w:val="110"/>
          <w:sz w:val="14"/>
        </w:rPr>
        <w:t xml:space="preserve"> </w:t>
      </w:r>
      <w:r w:rsidRPr="00283806">
        <w:rPr>
          <w:w w:val="110"/>
          <w:sz w:val="14"/>
        </w:rPr>
        <w:t>(</w:t>
      </w:r>
      <w:r w:rsidRPr="00283806">
        <w:rPr>
          <w:rFonts w:ascii="Book Antiqua" w:hAnsi="Book Antiqua"/>
          <w:i/>
          <w:w w:val="110"/>
          <w:sz w:val="14"/>
        </w:rPr>
        <w:t xml:space="preserve">e.g., </w:t>
      </w:r>
      <w:r w:rsidRPr="00283806">
        <w:rPr>
          <w:w w:val="110"/>
          <w:sz w:val="14"/>
        </w:rPr>
        <w:t>those ducted to supply conditioned air to</w:t>
      </w:r>
      <w:r w:rsidRPr="00283806">
        <w:rPr>
          <w:spacing w:val="40"/>
          <w:w w:val="110"/>
          <w:sz w:val="14"/>
        </w:rPr>
        <w:t xml:space="preserve"> </w:t>
      </w:r>
      <w:r w:rsidRPr="00283806">
        <w:rPr>
          <w:w w:val="110"/>
          <w:sz w:val="14"/>
        </w:rPr>
        <w:t>multiple spaces) and many types of room ACs,</w:t>
      </w:r>
      <w:r w:rsidRPr="00283806">
        <w:rPr>
          <w:spacing w:val="40"/>
          <w:w w:val="110"/>
          <w:sz w:val="14"/>
        </w:rPr>
        <w:t xml:space="preserve"> </w:t>
      </w:r>
      <w:r w:rsidRPr="00283806">
        <w:rPr>
          <w:w w:val="110"/>
          <w:sz w:val="14"/>
        </w:rPr>
        <w:t>including packaged terminal air conditioners</w:t>
      </w:r>
      <w:r w:rsidRPr="00283806">
        <w:rPr>
          <w:spacing w:val="40"/>
          <w:w w:val="110"/>
          <w:sz w:val="14"/>
        </w:rPr>
        <w:t xml:space="preserve"> </w:t>
      </w:r>
      <w:r w:rsidRPr="00283806">
        <w:rPr>
          <w:w w:val="110"/>
          <w:sz w:val="14"/>
        </w:rPr>
        <w:t>(PTACs),</w:t>
      </w:r>
      <w:r w:rsidRPr="00283806">
        <w:rPr>
          <w:spacing w:val="-2"/>
          <w:w w:val="110"/>
          <w:sz w:val="14"/>
        </w:rPr>
        <w:t xml:space="preserve"> </w:t>
      </w:r>
      <w:r w:rsidRPr="00283806">
        <w:rPr>
          <w:w w:val="110"/>
          <w:sz w:val="14"/>
        </w:rPr>
        <w:t>some</w:t>
      </w:r>
      <w:r w:rsidRPr="00283806">
        <w:rPr>
          <w:spacing w:val="-2"/>
          <w:w w:val="110"/>
          <w:sz w:val="14"/>
        </w:rPr>
        <w:t xml:space="preserve"> </w:t>
      </w:r>
      <w:r w:rsidRPr="00283806">
        <w:rPr>
          <w:w w:val="110"/>
          <w:sz w:val="14"/>
        </w:rPr>
        <w:t>rooftop</w:t>
      </w:r>
      <w:r w:rsidRPr="00283806">
        <w:rPr>
          <w:spacing w:val="-2"/>
          <w:w w:val="110"/>
          <w:sz w:val="14"/>
        </w:rPr>
        <w:t xml:space="preserve"> </w:t>
      </w:r>
      <w:r w:rsidRPr="00283806">
        <w:rPr>
          <w:w w:val="110"/>
          <w:sz w:val="14"/>
        </w:rPr>
        <w:t>AC</w:t>
      </w:r>
      <w:r w:rsidRPr="00283806">
        <w:rPr>
          <w:spacing w:val="-2"/>
          <w:w w:val="110"/>
          <w:sz w:val="14"/>
        </w:rPr>
        <w:t xml:space="preserve"> </w:t>
      </w:r>
      <w:r w:rsidRPr="00283806">
        <w:rPr>
          <w:w w:val="110"/>
          <w:sz w:val="14"/>
        </w:rPr>
        <w:t>units,</w:t>
      </w:r>
      <w:r w:rsidRPr="00283806">
        <w:rPr>
          <w:spacing w:val="-2"/>
          <w:w w:val="110"/>
          <w:sz w:val="14"/>
        </w:rPr>
        <w:t xml:space="preserve"> </w:t>
      </w:r>
      <w:r w:rsidRPr="00283806">
        <w:rPr>
          <w:w w:val="110"/>
          <w:sz w:val="14"/>
        </w:rPr>
        <w:t>window</w:t>
      </w:r>
      <w:r w:rsidRPr="00283806">
        <w:rPr>
          <w:spacing w:val="-2"/>
          <w:w w:val="110"/>
          <w:sz w:val="14"/>
        </w:rPr>
        <w:t xml:space="preserve"> </w:t>
      </w:r>
      <w:r w:rsidRPr="00283806">
        <w:rPr>
          <w:w w:val="110"/>
          <w:sz w:val="14"/>
        </w:rPr>
        <w:t>AC</w:t>
      </w:r>
      <w:r w:rsidRPr="00283806">
        <w:rPr>
          <w:spacing w:val="-2"/>
          <w:w w:val="110"/>
          <w:sz w:val="14"/>
        </w:rPr>
        <w:t xml:space="preserve"> </w:t>
      </w:r>
      <w:r w:rsidRPr="00283806">
        <w:rPr>
          <w:w w:val="110"/>
          <w:sz w:val="14"/>
        </w:rPr>
        <w:t>units,</w:t>
      </w:r>
      <w:r w:rsidRPr="00283806">
        <w:rPr>
          <w:spacing w:val="40"/>
          <w:w w:val="110"/>
          <w:sz w:val="14"/>
        </w:rPr>
        <w:t xml:space="preserve"> </w:t>
      </w:r>
      <w:r w:rsidRPr="00283806">
        <w:rPr>
          <w:w w:val="110"/>
          <w:sz w:val="14"/>
        </w:rPr>
        <w:t>portable room AC units, and wall-mounted self-</w:t>
      </w:r>
      <w:r w:rsidRPr="00283806">
        <w:rPr>
          <w:spacing w:val="40"/>
          <w:w w:val="110"/>
          <w:sz w:val="14"/>
        </w:rPr>
        <w:t xml:space="preserve"> </w:t>
      </w:r>
      <w:r w:rsidRPr="00283806">
        <w:rPr>
          <w:w w:val="110"/>
          <w:sz w:val="14"/>
        </w:rPr>
        <w:t>contained ACs, designed for use in a single room.</w:t>
      </w:r>
      <w:r w:rsidRPr="00283806">
        <w:rPr>
          <w:spacing w:val="40"/>
          <w:w w:val="110"/>
          <w:sz w:val="14"/>
        </w:rPr>
        <w:t xml:space="preserve"> </w:t>
      </w:r>
      <w:r w:rsidRPr="00283806">
        <w:rPr>
          <w:w w:val="110"/>
          <w:sz w:val="14"/>
        </w:rPr>
        <w:t>Split</w:t>
      </w:r>
      <w:r w:rsidRPr="00283806">
        <w:rPr>
          <w:spacing w:val="-9"/>
          <w:w w:val="110"/>
          <w:sz w:val="14"/>
        </w:rPr>
        <w:t xml:space="preserve"> </w:t>
      </w:r>
      <w:r w:rsidRPr="00283806">
        <w:rPr>
          <w:w w:val="110"/>
          <w:sz w:val="14"/>
        </w:rPr>
        <w:t>systems</w:t>
      </w:r>
      <w:r w:rsidRPr="00283806">
        <w:rPr>
          <w:spacing w:val="-8"/>
          <w:w w:val="110"/>
          <w:sz w:val="14"/>
        </w:rPr>
        <w:t xml:space="preserve"> </w:t>
      </w:r>
      <w:r w:rsidRPr="00283806">
        <w:rPr>
          <w:w w:val="110"/>
          <w:sz w:val="14"/>
        </w:rPr>
        <w:t>include</w:t>
      </w:r>
      <w:r w:rsidRPr="00283806">
        <w:rPr>
          <w:spacing w:val="-8"/>
          <w:w w:val="110"/>
          <w:sz w:val="14"/>
        </w:rPr>
        <w:t xml:space="preserve"> </w:t>
      </w:r>
      <w:r w:rsidRPr="00283806">
        <w:rPr>
          <w:w w:val="110"/>
          <w:sz w:val="14"/>
        </w:rPr>
        <w:t>ducted</w:t>
      </w:r>
      <w:r w:rsidRPr="00283806">
        <w:rPr>
          <w:spacing w:val="-9"/>
          <w:w w:val="110"/>
          <w:sz w:val="14"/>
        </w:rPr>
        <w:t xml:space="preserve"> </w:t>
      </w:r>
      <w:r w:rsidRPr="00283806">
        <w:rPr>
          <w:w w:val="110"/>
          <w:sz w:val="14"/>
        </w:rPr>
        <w:t>and</w:t>
      </w:r>
      <w:r w:rsidRPr="00283806">
        <w:rPr>
          <w:spacing w:val="-8"/>
          <w:w w:val="110"/>
          <w:sz w:val="14"/>
        </w:rPr>
        <w:t xml:space="preserve"> </w:t>
      </w:r>
      <w:r w:rsidRPr="00283806">
        <w:rPr>
          <w:w w:val="110"/>
          <w:sz w:val="14"/>
        </w:rPr>
        <w:t>non-ducted</w:t>
      </w:r>
      <w:r w:rsidRPr="00283806">
        <w:rPr>
          <w:spacing w:val="-8"/>
          <w:w w:val="110"/>
          <w:sz w:val="14"/>
        </w:rPr>
        <w:t xml:space="preserve"> </w:t>
      </w:r>
      <w:r w:rsidRPr="00283806">
        <w:rPr>
          <w:w w:val="110"/>
          <w:sz w:val="14"/>
        </w:rPr>
        <w:t>mini-</w:t>
      </w:r>
      <w:r w:rsidRPr="00283806">
        <w:rPr>
          <w:spacing w:val="40"/>
          <w:w w:val="110"/>
          <w:sz w:val="14"/>
        </w:rPr>
        <w:t xml:space="preserve"> </w:t>
      </w:r>
      <w:r w:rsidRPr="00283806">
        <w:rPr>
          <w:w w:val="110"/>
          <w:sz w:val="14"/>
        </w:rPr>
        <w:t>splits (which might also be designed for use in a</w:t>
      </w:r>
      <w:r w:rsidRPr="00283806">
        <w:rPr>
          <w:spacing w:val="40"/>
          <w:w w:val="110"/>
          <w:sz w:val="14"/>
        </w:rPr>
        <w:t xml:space="preserve"> </w:t>
      </w:r>
      <w:r w:rsidRPr="00283806">
        <w:rPr>
          <w:w w:val="110"/>
          <w:sz w:val="14"/>
        </w:rPr>
        <w:t>single room), multi-splits and variable refrigerant</w:t>
      </w:r>
      <w:r w:rsidRPr="00283806">
        <w:rPr>
          <w:spacing w:val="40"/>
          <w:w w:val="110"/>
          <w:sz w:val="14"/>
        </w:rPr>
        <w:t xml:space="preserve"> </w:t>
      </w:r>
      <w:r w:rsidRPr="00283806">
        <w:rPr>
          <w:w w:val="110"/>
          <w:sz w:val="14"/>
        </w:rPr>
        <w:t>flow (VRF) systems, and ducted unitary splits. For</w:t>
      </w:r>
      <w:r w:rsidRPr="00283806">
        <w:rPr>
          <w:spacing w:val="40"/>
          <w:w w:val="110"/>
          <w:sz w:val="14"/>
        </w:rPr>
        <w:t xml:space="preserve"> </w:t>
      </w:r>
      <w:r w:rsidRPr="00283806">
        <w:rPr>
          <w:w w:val="110"/>
          <w:sz w:val="14"/>
        </w:rPr>
        <w:t>additional information on the types of equipment,</w:t>
      </w:r>
      <w:r w:rsidRPr="00283806">
        <w:rPr>
          <w:spacing w:val="40"/>
          <w:w w:val="110"/>
          <w:sz w:val="14"/>
        </w:rPr>
        <w:t xml:space="preserve"> </w:t>
      </w:r>
      <w:r w:rsidRPr="00283806">
        <w:rPr>
          <w:w w:val="110"/>
          <w:sz w:val="14"/>
        </w:rPr>
        <w:t xml:space="preserve">see EPA’s website at </w:t>
      </w:r>
      <w:r w:rsidRPr="00283806">
        <w:rPr>
          <w:rFonts w:ascii="Book Antiqua" w:hAnsi="Book Antiqua"/>
          <w:i/>
          <w:w w:val="110"/>
          <w:sz w:val="14"/>
        </w:rPr>
        <w:t>https://www.epa.gov/snap/</w:t>
      </w:r>
      <w:r w:rsidRPr="00283806">
        <w:rPr>
          <w:rFonts w:ascii="Book Antiqua" w:hAnsi="Book Antiqua"/>
          <w:i/>
          <w:spacing w:val="40"/>
          <w:w w:val="110"/>
          <w:sz w:val="14"/>
        </w:rPr>
        <w:t xml:space="preserve"> </w:t>
      </w:r>
      <w:r w:rsidRPr="00283806">
        <w:rPr>
          <w:rFonts w:ascii="Book Antiqua" w:hAnsi="Book Antiqua"/>
          <w:i/>
          <w:spacing w:val="-2"/>
          <w:w w:val="110"/>
          <w:sz w:val="14"/>
        </w:rPr>
        <w:t>substitutes-residential-and-light-commercial-air-</w:t>
      </w:r>
      <w:r w:rsidRPr="00283806">
        <w:rPr>
          <w:rFonts w:ascii="Book Antiqua" w:hAnsi="Book Antiqua"/>
          <w:i/>
          <w:spacing w:val="40"/>
          <w:w w:val="110"/>
          <w:sz w:val="14"/>
        </w:rPr>
        <w:t xml:space="preserve"> </w:t>
      </w:r>
      <w:r w:rsidRPr="00283806">
        <w:rPr>
          <w:rFonts w:ascii="Book Antiqua" w:hAnsi="Book Antiqua"/>
          <w:i/>
          <w:spacing w:val="-2"/>
          <w:w w:val="110"/>
          <w:sz w:val="14"/>
        </w:rPr>
        <w:t>conditioning-and-heat-pumps.</w:t>
      </w:r>
    </w:p>
    <w:p w14:paraId="2A9AE465" w14:textId="77777777" w:rsidR="00D67C1E" w:rsidRPr="00283806" w:rsidRDefault="001265CA">
      <w:pPr>
        <w:spacing w:before="22" w:line="230" w:lineRule="auto"/>
        <w:ind w:left="160" w:right="5" w:firstLine="140"/>
        <w:rPr>
          <w:sz w:val="14"/>
        </w:rPr>
      </w:pPr>
      <w:r w:rsidRPr="00283806">
        <w:rPr>
          <w:w w:val="105"/>
          <w:position w:val="4"/>
          <w:sz w:val="9"/>
        </w:rPr>
        <w:t xml:space="preserve">61 </w:t>
      </w:r>
      <w:r w:rsidRPr="00283806">
        <w:rPr>
          <w:w w:val="105"/>
          <w:sz w:val="14"/>
        </w:rPr>
        <w:t>This subsector was previously characterized as</w:t>
      </w:r>
      <w:r w:rsidRPr="00283806">
        <w:rPr>
          <w:spacing w:val="40"/>
          <w:w w:val="105"/>
          <w:sz w:val="14"/>
        </w:rPr>
        <w:t xml:space="preserve"> </w:t>
      </w:r>
      <w:r w:rsidRPr="00283806">
        <w:rPr>
          <w:w w:val="105"/>
          <w:sz w:val="14"/>
        </w:rPr>
        <w:t>‘‘household and light commercial air conditioning’’</w:t>
      </w:r>
      <w:r w:rsidRPr="00283806">
        <w:rPr>
          <w:spacing w:val="40"/>
          <w:w w:val="105"/>
          <w:sz w:val="14"/>
        </w:rPr>
        <w:t xml:space="preserve"> </w:t>
      </w:r>
      <w:r w:rsidRPr="00283806">
        <w:rPr>
          <w:w w:val="105"/>
          <w:sz w:val="14"/>
        </w:rPr>
        <w:t>(61 FR 4736, February 8, 1996). EPA later revised</w:t>
      </w:r>
      <w:r w:rsidRPr="00283806">
        <w:rPr>
          <w:spacing w:val="40"/>
          <w:w w:val="105"/>
          <w:sz w:val="14"/>
        </w:rPr>
        <w:t xml:space="preserve"> </w:t>
      </w:r>
      <w:r w:rsidRPr="00283806">
        <w:rPr>
          <w:w w:val="105"/>
          <w:sz w:val="14"/>
        </w:rPr>
        <w:t>this subsector’s name because it was recognized the</w:t>
      </w:r>
      <w:r w:rsidRPr="00283806">
        <w:rPr>
          <w:spacing w:val="40"/>
          <w:w w:val="105"/>
          <w:sz w:val="14"/>
        </w:rPr>
        <w:t xml:space="preserve"> </w:t>
      </w:r>
      <w:r w:rsidRPr="00283806">
        <w:rPr>
          <w:w w:val="105"/>
          <w:sz w:val="14"/>
        </w:rPr>
        <w:t>‘‘house’’ might be taken to exclude other types of</w:t>
      </w:r>
      <w:r w:rsidRPr="00283806">
        <w:rPr>
          <w:spacing w:val="40"/>
          <w:w w:val="105"/>
          <w:sz w:val="14"/>
        </w:rPr>
        <w:t xml:space="preserve"> </w:t>
      </w:r>
      <w:r w:rsidRPr="00283806">
        <w:rPr>
          <w:w w:val="105"/>
          <w:sz w:val="14"/>
        </w:rPr>
        <w:t>dwellings, such as apartments.</w:t>
      </w:r>
    </w:p>
    <w:p w14:paraId="1338B329" w14:textId="77777777" w:rsidR="00D67C1E" w:rsidRPr="00283806" w:rsidRDefault="001265CA">
      <w:pPr>
        <w:pStyle w:val="BodyText"/>
        <w:spacing w:before="9" w:line="228" w:lineRule="auto"/>
        <w:ind w:right="122"/>
      </w:pPr>
      <w:r w:rsidRPr="00283806">
        <w:br w:type="column"/>
      </w:r>
      <w:r w:rsidRPr="00283806">
        <w:rPr>
          <w:w w:val="110"/>
        </w:rPr>
        <w:t>considers a ‘‘small commercial building.’’ One commenter stated that EPA</w:t>
      </w:r>
      <w:r w:rsidRPr="00283806">
        <w:rPr>
          <w:spacing w:val="-8"/>
          <w:w w:val="110"/>
        </w:rPr>
        <w:t xml:space="preserve"> </w:t>
      </w:r>
      <w:r w:rsidRPr="00283806">
        <w:rPr>
          <w:w w:val="110"/>
        </w:rPr>
        <w:t>should</w:t>
      </w:r>
      <w:r w:rsidRPr="00283806">
        <w:rPr>
          <w:spacing w:val="-8"/>
          <w:w w:val="110"/>
        </w:rPr>
        <w:t xml:space="preserve"> </w:t>
      </w:r>
      <w:r w:rsidRPr="00283806">
        <w:rPr>
          <w:w w:val="110"/>
        </w:rPr>
        <w:t>define</w:t>
      </w:r>
      <w:r w:rsidRPr="00283806">
        <w:rPr>
          <w:spacing w:val="-8"/>
          <w:w w:val="110"/>
        </w:rPr>
        <w:t xml:space="preserve"> </w:t>
      </w:r>
      <w:r w:rsidRPr="00283806">
        <w:rPr>
          <w:w w:val="110"/>
        </w:rPr>
        <w:t>residential</w:t>
      </w:r>
      <w:r w:rsidRPr="00283806">
        <w:rPr>
          <w:spacing w:val="-8"/>
          <w:w w:val="110"/>
        </w:rPr>
        <w:t xml:space="preserve"> </w:t>
      </w:r>
      <w:r w:rsidRPr="00283806">
        <w:rPr>
          <w:w w:val="110"/>
        </w:rPr>
        <w:t>and</w:t>
      </w:r>
      <w:r w:rsidRPr="00283806">
        <w:rPr>
          <w:spacing w:val="-8"/>
          <w:w w:val="110"/>
        </w:rPr>
        <w:t xml:space="preserve"> </w:t>
      </w:r>
      <w:r w:rsidRPr="00283806">
        <w:rPr>
          <w:w w:val="110"/>
        </w:rPr>
        <w:t>light commercial refrigeration to be consistent with how SNAP defines the residential and light commercial air conditioning</w:t>
      </w:r>
      <w:r w:rsidRPr="00283806">
        <w:rPr>
          <w:spacing w:val="-11"/>
          <w:w w:val="110"/>
        </w:rPr>
        <w:t xml:space="preserve"> </w:t>
      </w:r>
      <w:r w:rsidRPr="00283806">
        <w:rPr>
          <w:w w:val="110"/>
        </w:rPr>
        <w:t>and</w:t>
      </w:r>
      <w:r w:rsidRPr="00283806">
        <w:rPr>
          <w:spacing w:val="-11"/>
          <w:w w:val="110"/>
        </w:rPr>
        <w:t xml:space="preserve"> </w:t>
      </w:r>
      <w:r w:rsidRPr="00283806">
        <w:rPr>
          <w:w w:val="110"/>
        </w:rPr>
        <w:t>heat</w:t>
      </w:r>
      <w:r w:rsidRPr="00283806">
        <w:rPr>
          <w:spacing w:val="-11"/>
          <w:w w:val="110"/>
        </w:rPr>
        <w:t xml:space="preserve"> </w:t>
      </w:r>
      <w:r w:rsidRPr="00283806">
        <w:rPr>
          <w:w w:val="110"/>
        </w:rPr>
        <w:t>pump</w:t>
      </w:r>
      <w:r w:rsidRPr="00283806">
        <w:rPr>
          <w:spacing w:val="-11"/>
          <w:w w:val="110"/>
        </w:rPr>
        <w:t xml:space="preserve"> </w:t>
      </w:r>
      <w:r w:rsidRPr="00283806">
        <w:rPr>
          <w:w w:val="110"/>
        </w:rPr>
        <w:t>subsector. The</w:t>
      </w:r>
      <w:r w:rsidRPr="00283806">
        <w:rPr>
          <w:spacing w:val="-11"/>
          <w:w w:val="110"/>
        </w:rPr>
        <w:t xml:space="preserve"> </w:t>
      </w:r>
      <w:r w:rsidRPr="00283806">
        <w:rPr>
          <w:w w:val="110"/>
        </w:rPr>
        <w:t>commenter</w:t>
      </w:r>
      <w:r w:rsidRPr="00283806">
        <w:rPr>
          <w:spacing w:val="-11"/>
          <w:w w:val="110"/>
        </w:rPr>
        <w:t xml:space="preserve"> </w:t>
      </w:r>
      <w:r w:rsidRPr="00283806">
        <w:rPr>
          <w:w w:val="110"/>
        </w:rPr>
        <w:t>stated</w:t>
      </w:r>
      <w:r w:rsidRPr="00283806">
        <w:rPr>
          <w:spacing w:val="-11"/>
          <w:w w:val="110"/>
        </w:rPr>
        <w:t xml:space="preserve"> </w:t>
      </w:r>
      <w:r w:rsidRPr="00283806">
        <w:rPr>
          <w:w w:val="110"/>
        </w:rPr>
        <w:t>that</w:t>
      </w:r>
      <w:r w:rsidRPr="00283806">
        <w:rPr>
          <w:spacing w:val="-11"/>
          <w:w w:val="110"/>
        </w:rPr>
        <w:t xml:space="preserve"> </w:t>
      </w:r>
      <w:r w:rsidRPr="00283806">
        <w:rPr>
          <w:w w:val="110"/>
        </w:rPr>
        <w:t>a</w:t>
      </w:r>
      <w:r w:rsidRPr="00283806">
        <w:rPr>
          <w:spacing w:val="-11"/>
          <w:w w:val="110"/>
        </w:rPr>
        <w:t xml:space="preserve"> </w:t>
      </w:r>
      <w:r w:rsidRPr="00283806">
        <w:rPr>
          <w:w w:val="110"/>
        </w:rPr>
        <w:t xml:space="preserve">definition of light commercial air conditioning consistent with SNAP would exclude </w:t>
      </w:r>
      <w:r w:rsidRPr="00283806">
        <w:rPr>
          <w:spacing w:val="-2"/>
          <w:w w:val="110"/>
        </w:rPr>
        <w:t>chillers</w:t>
      </w:r>
      <w:r w:rsidRPr="00283806">
        <w:rPr>
          <w:spacing w:val="-5"/>
          <w:w w:val="110"/>
        </w:rPr>
        <w:t xml:space="preserve"> </w:t>
      </w:r>
      <w:r w:rsidRPr="00283806">
        <w:rPr>
          <w:spacing w:val="-2"/>
          <w:w w:val="110"/>
        </w:rPr>
        <w:t>but</w:t>
      </w:r>
      <w:r w:rsidRPr="00283806">
        <w:rPr>
          <w:spacing w:val="-5"/>
          <w:w w:val="110"/>
        </w:rPr>
        <w:t xml:space="preserve"> </w:t>
      </w:r>
      <w:r w:rsidRPr="00283806">
        <w:rPr>
          <w:spacing w:val="-2"/>
          <w:w w:val="110"/>
        </w:rPr>
        <w:t>include</w:t>
      </w:r>
      <w:r w:rsidRPr="00283806">
        <w:rPr>
          <w:spacing w:val="-5"/>
          <w:w w:val="110"/>
        </w:rPr>
        <w:t xml:space="preserve"> </w:t>
      </w:r>
      <w:r w:rsidRPr="00283806">
        <w:rPr>
          <w:spacing w:val="-2"/>
          <w:w w:val="110"/>
        </w:rPr>
        <w:t>most</w:t>
      </w:r>
      <w:r w:rsidRPr="00283806">
        <w:rPr>
          <w:spacing w:val="-5"/>
          <w:w w:val="110"/>
        </w:rPr>
        <w:t xml:space="preserve"> </w:t>
      </w:r>
      <w:r w:rsidRPr="00283806">
        <w:rPr>
          <w:spacing w:val="-2"/>
          <w:w w:val="110"/>
        </w:rPr>
        <w:t>other</w:t>
      </w:r>
      <w:r w:rsidRPr="00283806">
        <w:rPr>
          <w:spacing w:val="-5"/>
          <w:w w:val="110"/>
        </w:rPr>
        <w:t xml:space="preserve"> </w:t>
      </w:r>
      <w:r w:rsidRPr="00283806">
        <w:rPr>
          <w:spacing w:val="-2"/>
          <w:w w:val="110"/>
        </w:rPr>
        <w:t>forms</w:t>
      </w:r>
      <w:r w:rsidRPr="00283806">
        <w:rPr>
          <w:spacing w:val="-5"/>
          <w:w w:val="110"/>
        </w:rPr>
        <w:t xml:space="preserve"> </w:t>
      </w:r>
      <w:r w:rsidRPr="00283806">
        <w:rPr>
          <w:spacing w:val="-2"/>
          <w:w w:val="110"/>
        </w:rPr>
        <w:t xml:space="preserve">of </w:t>
      </w:r>
      <w:r w:rsidRPr="00283806">
        <w:rPr>
          <w:w w:val="110"/>
        </w:rPr>
        <w:t>household and commercial cooling.</w:t>
      </w:r>
    </w:p>
    <w:p w14:paraId="013DF5C7" w14:textId="77777777" w:rsidR="00D67C1E" w:rsidRPr="00283806" w:rsidRDefault="001265CA">
      <w:pPr>
        <w:pStyle w:val="BodyText"/>
        <w:spacing w:line="228" w:lineRule="auto"/>
        <w:ind w:right="152"/>
      </w:pPr>
      <w:r w:rsidRPr="00283806">
        <w:rPr>
          <w:w w:val="105"/>
        </w:rPr>
        <w:t>Another commenter requested clarification</w:t>
      </w:r>
      <w:r w:rsidRPr="00283806">
        <w:rPr>
          <w:spacing w:val="40"/>
          <w:w w:val="105"/>
        </w:rPr>
        <w:t xml:space="preserve"> </w:t>
      </w:r>
      <w:r w:rsidRPr="00283806">
        <w:rPr>
          <w:w w:val="105"/>
        </w:rPr>
        <w:t>on</w:t>
      </w:r>
      <w:r w:rsidRPr="00283806">
        <w:rPr>
          <w:spacing w:val="40"/>
          <w:w w:val="105"/>
        </w:rPr>
        <w:t xml:space="preserve"> </w:t>
      </w:r>
      <w:r w:rsidRPr="00283806">
        <w:rPr>
          <w:w w:val="105"/>
        </w:rPr>
        <w:t>whether</w:t>
      </w:r>
      <w:r w:rsidRPr="00283806">
        <w:rPr>
          <w:spacing w:val="40"/>
          <w:w w:val="105"/>
        </w:rPr>
        <w:t xml:space="preserve"> </w:t>
      </w:r>
      <w:r w:rsidRPr="00283806">
        <w:rPr>
          <w:w w:val="105"/>
        </w:rPr>
        <w:t>air</w:t>
      </w:r>
      <w:r w:rsidRPr="00283806">
        <w:rPr>
          <w:spacing w:val="40"/>
          <w:w w:val="105"/>
        </w:rPr>
        <w:t xml:space="preserve"> </w:t>
      </w:r>
      <w:r w:rsidRPr="00283806">
        <w:rPr>
          <w:w w:val="105"/>
        </w:rPr>
        <w:t>conditioning systems for supermarkets would be classified as light commercial and therefore exempt from leak repair requirements. The commenter added</w:t>
      </w:r>
      <w:r w:rsidRPr="00283806">
        <w:rPr>
          <w:spacing w:val="40"/>
          <w:w w:val="105"/>
        </w:rPr>
        <w:t xml:space="preserve"> </w:t>
      </w:r>
      <w:r w:rsidRPr="00283806">
        <w:rPr>
          <w:w w:val="105"/>
        </w:rPr>
        <w:t>that if EPA were to clarify that supermarket air conditioning appliances do not fall under light commercial air</w:t>
      </w:r>
    </w:p>
    <w:p w14:paraId="410A8A84" w14:textId="77777777" w:rsidR="00D67C1E" w:rsidRPr="00283806" w:rsidRDefault="00D67C1E">
      <w:pPr>
        <w:spacing w:line="228" w:lineRule="auto"/>
        <w:sectPr w:rsidR="00D67C1E" w:rsidRPr="00283806">
          <w:type w:val="continuous"/>
          <w:pgSz w:w="12240" w:h="15840"/>
          <w:pgMar w:top="880" w:right="780" w:bottom="280" w:left="740" w:header="627" w:footer="0" w:gutter="0"/>
          <w:cols w:num="3" w:space="720" w:equalWidth="0">
            <w:col w:w="3495" w:space="45"/>
            <w:col w:w="3479" w:space="62"/>
            <w:col w:w="3639"/>
          </w:cols>
        </w:sectPr>
      </w:pPr>
    </w:p>
    <w:p w14:paraId="4C70BEC6" w14:textId="77777777" w:rsidR="00D67C1E" w:rsidRPr="00283806" w:rsidRDefault="001265CA">
      <w:pPr>
        <w:pStyle w:val="BodyText"/>
        <w:spacing w:before="136" w:line="225" w:lineRule="auto"/>
        <w:ind w:right="128"/>
      </w:pPr>
      <w:r w:rsidRPr="00283806">
        <w:rPr>
          <w:w w:val="105"/>
        </w:rPr>
        <w:lastRenderedPageBreak/>
        <w:t>conditioning, the Agency would need to evaluate the significant cost burdens associated with the decision.</w:t>
      </w:r>
    </w:p>
    <w:p w14:paraId="1C53888D" w14:textId="77777777" w:rsidR="00D67C1E" w:rsidRPr="00283806" w:rsidRDefault="001265CA">
      <w:pPr>
        <w:spacing w:line="184" w:lineRule="exact"/>
        <w:ind w:left="160" w:firstLine="180"/>
        <w:rPr>
          <w:sz w:val="18"/>
        </w:rPr>
      </w:pPr>
      <w:r w:rsidRPr="00283806">
        <w:rPr>
          <w:rFonts w:ascii="Book Antiqua"/>
          <w:i/>
          <w:w w:val="110"/>
          <w:sz w:val="18"/>
        </w:rPr>
        <w:t>Response:</w:t>
      </w:r>
      <w:r w:rsidRPr="00283806">
        <w:rPr>
          <w:rFonts w:ascii="Book Antiqua"/>
          <w:i/>
          <w:spacing w:val="6"/>
          <w:w w:val="110"/>
          <w:sz w:val="18"/>
        </w:rPr>
        <w:t xml:space="preserve"> </w:t>
      </w:r>
      <w:r w:rsidRPr="00283806">
        <w:rPr>
          <w:w w:val="110"/>
          <w:sz w:val="18"/>
        </w:rPr>
        <w:t>EPA</w:t>
      </w:r>
      <w:r w:rsidRPr="00283806">
        <w:rPr>
          <w:spacing w:val="13"/>
          <w:w w:val="110"/>
          <w:sz w:val="18"/>
        </w:rPr>
        <w:t xml:space="preserve"> </w:t>
      </w:r>
      <w:r w:rsidRPr="00283806">
        <w:rPr>
          <w:w w:val="110"/>
          <w:sz w:val="18"/>
        </w:rPr>
        <w:t>is</w:t>
      </w:r>
      <w:r w:rsidRPr="00283806">
        <w:rPr>
          <w:spacing w:val="12"/>
          <w:w w:val="110"/>
          <w:sz w:val="18"/>
        </w:rPr>
        <w:t xml:space="preserve"> </w:t>
      </w:r>
      <w:r w:rsidRPr="00283806">
        <w:rPr>
          <w:w w:val="110"/>
          <w:sz w:val="18"/>
        </w:rPr>
        <w:t>finalizing</w:t>
      </w:r>
      <w:r w:rsidRPr="00283806">
        <w:rPr>
          <w:spacing w:val="12"/>
          <w:w w:val="110"/>
          <w:sz w:val="18"/>
        </w:rPr>
        <w:t xml:space="preserve"> </w:t>
      </w:r>
      <w:r w:rsidRPr="00283806">
        <w:rPr>
          <w:w w:val="110"/>
          <w:sz w:val="18"/>
        </w:rPr>
        <w:t>the</w:t>
      </w:r>
      <w:r w:rsidRPr="00283806">
        <w:rPr>
          <w:spacing w:val="12"/>
          <w:w w:val="110"/>
          <w:sz w:val="18"/>
        </w:rPr>
        <w:t xml:space="preserve"> </w:t>
      </w:r>
      <w:r w:rsidRPr="00283806">
        <w:rPr>
          <w:spacing w:val="-4"/>
          <w:w w:val="110"/>
          <w:sz w:val="18"/>
        </w:rPr>
        <w:t>leak</w:t>
      </w:r>
    </w:p>
    <w:p w14:paraId="4BAA3BCD" w14:textId="77777777" w:rsidR="00D67C1E" w:rsidRPr="00283806" w:rsidRDefault="001265CA">
      <w:pPr>
        <w:pStyle w:val="BodyText"/>
        <w:spacing w:line="225" w:lineRule="auto"/>
        <w:ind w:right="46"/>
      </w:pPr>
      <w:r w:rsidRPr="00283806">
        <w:rPr>
          <w:w w:val="105"/>
        </w:rPr>
        <w:t>repair exemption of residential and light commercial air conditioning and heat pumps. The Agency acknowledges comments</w:t>
      </w:r>
      <w:r w:rsidRPr="00283806">
        <w:rPr>
          <w:spacing w:val="40"/>
          <w:w w:val="105"/>
        </w:rPr>
        <w:t xml:space="preserve"> </w:t>
      </w:r>
      <w:r w:rsidRPr="00283806">
        <w:rPr>
          <w:w w:val="105"/>
        </w:rPr>
        <w:t>in</w:t>
      </w:r>
      <w:r w:rsidRPr="00283806">
        <w:rPr>
          <w:spacing w:val="40"/>
          <w:w w:val="105"/>
        </w:rPr>
        <w:t xml:space="preserve"> </w:t>
      </w:r>
      <w:r w:rsidRPr="00283806">
        <w:rPr>
          <w:w w:val="105"/>
        </w:rPr>
        <w:t>support</w:t>
      </w:r>
      <w:r w:rsidRPr="00283806">
        <w:rPr>
          <w:spacing w:val="40"/>
          <w:w w:val="105"/>
        </w:rPr>
        <w:t xml:space="preserve"> </w:t>
      </w:r>
      <w:r w:rsidRPr="00283806">
        <w:rPr>
          <w:w w:val="105"/>
        </w:rPr>
        <w:t>of</w:t>
      </w:r>
      <w:r w:rsidRPr="00283806">
        <w:rPr>
          <w:spacing w:val="40"/>
          <w:w w:val="105"/>
        </w:rPr>
        <w:t xml:space="preserve"> </w:t>
      </w:r>
      <w:r w:rsidRPr="00283806">
        <w:rPr>
          <w:w w:val="105"/>
        </w:rPr>
        <w:t>the</w:t>
      </w:r>
      <w:r w:rsidRPr="00283806">
        <w:rPr>
          <w:spacing w:val="40"/>
          <w:w w:val="105"/>
        </w:rPr>
        <w:t xml:space="preserve"> </w:t>
      </w:r>
      <w:r w:rsidRPr="00283806">
        <w:rPr>
          <w:w w:val="105"/>
        </w:rPr>
        <w:t>provision. In response to commenters’ request that EPA better define residential and light commercial air conditioning and heat pumps the Agency has provided additional description and discussion in the preamble of this rule. EPA clarifies that it is not codifying a definition of the subsector nor is it adopting a 65,000 BTU/h industry standard as one commenter suggested, because we find the additional clarification of the subsector</w:t>
      </w:r>
      <w:r w:rsidRPr="00283806">
        <w:rPr>
          <w:spacing w:val="40"/>
          <w:w w:val="105"/>
        </w:rPr>
        <w:t xml:space="preserve"> </w:t>
      </w:r>
      <w:r w:rsidRPr="00283806">
        <w:rPr>
          <w:w w:val="105"/>
        </w:rPr>
        <w:t>included</w:t>
      </w:r>
      <w:r w:rsidRPr="00283806">
        <w:rPr>
          <w:spacing w:val="40"/>
          <w:w w:val="105"/>
        </w:rPr>
        <w:t xml:space="preserve"> </w:t>
      </w:r>
      <w:r w:rsidRPr="00283806">
        <w:rPr>
          <w:w w:val="105"/>
        </w:rPr>
        <w:t>in</w:t>
      </w:r>
      <w:r w:rsidRPr="00283806">
        <w:rPr>
          <w:spacing w:val="40"/>
          <w:w w:val="105"/>
        </w:rPr>
        <w:t xml:space="preserve"> </w:t>
      </w:r>
      <w:r w:rsidRPr="00283806">
        <w:rPr>
          <w:w w:val="105"/>
        </w:rPr>
        <w:t>the</w:t>
      </w:r>
      <w:r w:rsidRPr="00283806">
        <w:rPr>
          <w:spacing w:val="40"/>
          <w:w w:val="105"/>
        </w:rPr>
        <w:t xml:space="preserve"> </w:t>
      </w:r>
      <w:r w:rsidRPr="00283806">
        <w:rPr>
          <w:w w:val="105"/>
        </w:rPr>
        <w:t>preamble</w:t>
      </w:r>
      <w:r w:rsidRPr="00283806">
        <w:rPr>
          <w:spacing w:val="40"/>
          <w:w w:val="105"/>
        </w:rPr>
        <w:t xml:space="preserve"> </w:t>
      </w:r>
      <w:r w:rsidRPr="00283806">
        <w:rPr>
          <w:w w:val="105"/>
        </w:rPr>
        <w:t>to be sufficient in alleviating potential confusion with what refrigerant- containing</w:t>
      </w:r>
      <w:r w:rsidRPr="00283806">
        <w:rPr>
          <w:spacing w:val="40"/>
          <w:w w:val="105"/>
        </w:rPr>
        <w:t xml:space="preserve"> </w:t>
      </w:r>
      <w:r w:rsidRPr="00283806">
        <w:rPr>
          <w:w w:val="105"/>
        </w:rPr>
        <w:t>appliances</w:t>
      </w:r>
      <w:r w:rsidRPr="00283806">
        <w:rPr>
          <w:spacing w:val="40"/>
          <w:w w:val="105"/>
        </w:rPr>
        <w:t xml:space="preserve"> </w:t>
      </w:r>
      <w:r w:rsidRPr="00283806">
        <w:rPr>
          <w:w w:val="105"/>
        </w:rPr>
        <w:t>are</w:t>
      </w:r>
      <w:r w:rsidRPr="00283806">
        <w:rPr>
          <w:spacing w:val="40"/>
          <w:w w:val="105"/>
        </w:rPr>
        <w:t xml:space="preserve"> </w:t>
      </w:r>
      <w:r w:rsidRPr="00283806">
        <w:rPr>
          <w:w w:val="105"/>
        </w:rPr>
        <w:t>included</w:t>
      </w:r>
      <w:r w:rsidRPr="00283806">
        <w:rPr>
          <w:spacing w:val="40"/>
          <w:w w:val="105"/>
        </w:rPr>
        <w:t xml:space="preserve"> </w:t>
      </w:r>
      <w:r w:rsidRPr="00283806">
        <w:rPr>
          <w:w w:val="105"/>
        </w:rPr>
        <w:t xml:space="preserve">in the residential and light commercial air conditioning and heat pumps subsector. The Agency reiterates that </w:t>
      </w:r>
      <w:proofErr w:type="gramStart"/>
      <w:r w:rsidRPr="00283806">
        <w:rPr>
          <w:w w:val="105"/>
        </w:rPr>
        <w:t>the majority</w:t>
      </w:r>
      <w:r w:rsidRPr="00283806">
        <w:rPr>
          <w:spacing w:val="40"/>
          <w:w w:val="105"/>
        </w:rPr>
        <w:t xml:space="preserve"> </w:t>
      </w:r>
      <w:r w:rsidRPr="00283806">
        <w:rPr>
          <w:w w:val="105"/>
        </w:rPr>
        <w:t>of</w:t>
      </w:r>
      <w:proofErr w:type="gramEnd"/>
      <w:r w:rsidRPr="00283806">
        <w:rPr>
          <w:w w:val="105"/>
        </w:rPr>
        <w:t xml:space="preserve"> appliances subject to this narrow exemption are below the final rule’s 15- pound charge size threshold for the leak repair provision. EPA notes that the terminology used for the residential and light commercial air conditioning and heat pumps sector mirrors the terminology created and implemented under</w:t>
      </w:r>
      <w:r w:rsidRPr="00283806">
        <w:rPr>
          <w:spacing w:val="40"/>
          <w:w w:val="105"/>
        </w:rPr>
        <w:t xml:space="preserve"> </w:t>
      </w:r>
      <w:r w:rsidRPr="00283806">
        <w:rPr>
          <w:w w:val="105"/>
        </w:rPr>
        <w:t>the</w:t>
      </w:r>
      <w:r w:rsidRPr="00283806">
        <w:rPr>
          <w:spacing w:val="40"/>
          <w:w w:val="105"/>
        </w:rPr>
        <w:t xml:space="preserve"> </w:t>
      </w:r>
      <w:r w:rsidRPr="00283806">
        <w:rPr>
          <w:w w:val="105"/>
        </w:rPr>
        <w:t>SNAP</w:t>
      </w:r>
      <w:r w:rsidRPr="00283806">
        <w:rPr>
          <w:spacing w:val="40"/>
          <w:w w:val="105"/>
        </w:rPr>
        <w:t xml:space="preserve"> </w:t>
      </w:r>
      <w:r w:rsidRPr="00283806">
        <w:rPr>
          <w:w w:val="105"/>
        </w:rPr>
        <w:t>program</w:t>
      </w:r>
      <w:r w:rsidRPr="00283806">
        <w:rPr>
          <w:spacing w:val="40"/>
          <w:w w:val="105"/>
        </w:rPr>
        <w:t xml:space="preserve"> </w:t>
      </w:r>
      <w:r w:rsidRPr="00283806">
        <w:rPr>
          <w:w w:val="105"/>
        </w:rPr>
        <w:t>under</w:t>
      </w:r>
      <w:r w:rsidRPr="00283806">
        <w:rPr>
          <w:spacing w:val="40"/>
          <w:w w:val="105"/>
        </w:rPr>
        <w:t xml:space="preserve"> </w:t>
      </w:r>
      <w:r w:rsidRPr="00283806">
        <w:rPr>
          <w:w w:val="105"/>
        </w:rPr>
        <w:t>the CAA,</w:t>
      </w:r>
      <w:r w:rsidRPr="00283806">
        <w:rPr>
          <w:spacing w:val="40"/>
          <w:w w:val="105"/>
        </w:rPr>
        <w:t xml:space="preserve"> </w:t>
      </w:r>
      <w:r w:rsidRPr="00283806">
        <w:rPr>
          <w:w w:val="105"/>
        </w:rPr>
        <w:t>which</w:t>
      </w:r>
      <w:r w:rsidRPr="00283806">
        <w:rPr>
          <w:spacing w:val="40"/>
          <w:w w:val="105"/>
        </w:rPr>
        <w:t xml:space="preserve"> </w:t>
      </w:r>
      <w:r w:rsidRPr="00283806">
        <w:rPr>
          <w:w w:val="105"/>
        </w:rPr>
        <w:t>has</w:t>
      </w:r>
      <w:r w:rsidRPr="00283806">
        <w:rPr>
          <w:spacing w:val="40"/>
          <w:w w:val="105"/>
        </w:rPr>
        <w:t xml:space="preserve"> </w:t>
      </w:r>
      <w:r w:rsidRPr="00283806">
        <w:rPr>
          <w:w w:val="105"/>
        </w:rPr>
        <w:t>been</w:t>
      </w:r>
      <w:r w:rsidRPr="00283806">
        <w:rPr>
          <w:spacing w:val="40"/>
          <w:w w:val="105"/>
        </w:rPr>
        <w:t xml:space="preserve"> </w:t>
      </w:r>
      <w:r w:rsidRPr="00283806">
        <w:rPr>
          <w:w w:val="105"/>
        </w:rPr>
        <w:t>used</w:t>
      </w:r>
      <w:r w:rsidRPr="00283806">
        <w:rPr>
          <w:spacing w:val="40"/>
          <w:w w:val="105"/>
        </w:rPr>
        <w:t xml:space="preserve"> </w:t>
      </w:r>
      <w:r w:rsidRPr="00283806">
        <w:rPr>
          <w:w w:val="105"/>
        </w:rPr>
        <w:t>in</w:t>
      </w:r>
      <w:r w:rsidRPr="00283806">
        <w:rPr>
          <w:spacing w:val="40"/>
          <w:w w:val="105"/>
        </w:rPr>
        <w:t xml:space="preserve"> </w:t>
      </w:r>
      <w:r w:rsidRPr="00283806">
        <w:rPr>
          <w:w w:val="105"/>
        </w:rPr>
        <w:t>that context since 2009. As used in the</w:t>
      </w:r>
      <w:r w:rsidRPr="00283806">
        <w:rPr>
          <w:spacing w:val="40"/>
          <w:w w:val="105"/>
        </w:rPr>
        <w:t xml:space="preserve"> </w:t>
      </w:r>
      <w:r w:rsidRPr="00283806">
        <w:rPr>
          <w:w w:val="105"/>
        </w:rPr>
        <w:t>context of SNAP, this residential and</w:t>
      </w:r>
      <w:r w:rsidRPr="00283806">
        <w:rPr>
          <w:spacing w:val="80"/>
          <w:w w:val="105"/>
        </w:rPr>
        <w:t xml:space="preserve"> </w:t>
      </w:r>
      <w:r w:rsidRPr="00283806">
        <w:rPr>
          <w:w w:val="105"/>
        </w:rPr>
        <w:t>light commercial air conditioning and heat</w:t>
      </w:r>
      <w:r w:rsidRPr="00283806">
        <w:rPr>
          <w:spacing w:val="40"/>
          <w:w w:val="105"/>
        </w:rPr>
        <w:t xml:space="preserve"> </w:t>
      </w:r>
      <w:r w:rsidRPr="00283806">
        <w:rPr>
          <w:w w:val="105"/>
        </w:rPr>
        <w:t>pumps</w:t>
      </w:r>
      <w:r w:rsidRPr="00283806">
        <w:rPr>
          <w:spacing w:val="40"/>
          <w:w w:val="105"/>
        </w:rPr>
        <w:t xml:space="preserve"> </w:t>
      </w:r>
      <w:r w:rsidRPr="00283806">
        <w:rPr>
          <w:w w:val="105"/>
        </w:rPr>
        <w:t>end-use</w:t>
      </w:r>
      <w:r w:rsidRPr="00283806">
        <w:rPr>
          <w:spacing w:val="40"/>
          <w:w w:val="105"/>
        </w:rPr>
        <w:t xml:space="preserve"> </w:t>
      </w:r>
      <w:r w:rsidRPr="00283806">
        <w:rPr>
          <w:w w:val="105"/>
        </w:rPr>
        <w:t>includes</w:t>
      </w:r>
      <w:r w:rsidRPr="00283806">
        <w:rPr>
          <w:spacing w:val="40"/>
          <w:w w:val="105"/>
        </w:rPr>
        <w:t xml:space="preserve"> </w:t>
      </w:r>
      <w:r w:rsidRPr="00283806">
        <w:rPr>
          <w:w w:val="105"/>
        </w:rPr>
        <w:t>equipment that cools enclosed spaces in households and commercial premises (excluding chillers) which include room air conditioning such as window units, PTACs and heat pumps, and portable air conditioners; central air conditioners</w:t>
      </w:r>
      <w:r w:rsidRPr="00283806">
        <w:rPr>
          <w:spacing w:val="40"/>
          <w:w w:val="105"/>
        </w:rPr>
        <w:t xml:space="preserve"> </w:t>
      </w:r>
      <w:r w:rsidRPr="00283806">
        <w:rPr>
          <w:w w:val="105"/>
        </w:rPr>
        <w:t>(</w:t>
      </w:r>
      <w:r w:rsidRPr="00283806">
        <w:rPr>
          <w:rFonts w:ascii="Book Antiqua" w:hAnsi="Book Antiqua"/>
          <w:i/>
          <w:w w:val="105"/>
        </w:rPr>
        <w:t xml:space="preserve">i.e., </w:t>
      </w:r>
      <w:r w:rsidRPr="00283806">
        <w:rPr>
          <w:w w:val="105"/>
        </w:rPr>
        <w:t>ducted); non-ducted systems (both mini and multi splits); packaged rooftop units; water-source and ground-source heat pumps; and other products.</w:t>
      </w:r>
    </w:p>
    <w:p w14:paraId="5CC4F240" w14:textId="77777777" w:rsidR="00D67C1E" w:rsidRPr="00283806" w:rsidRDefault="001265CA">
      <w:pPr>
        <w:pStyle w:val="BodyText"/>
        <w:spacing w:line="168" w:lineRule="exact"/>
      </w:pPr>
      <w:r w:rsidRPr="00283806">
        <w:rPr>
          <w:w w:val="105"/>
        </w:rPr>
        <w:t>Residential</w:t>
      </w:r>
      <w:r w:rsidRPr="00283806">
        <w:rPr>
          <w:spacing w:val="20"/>
          <w:w w:val="105"/>
        </w:rPr>
        <w:t xml:space="preserve"> </w:t>
      </w:r>
      <w:r w:rsidRPr="00283806">
        <w:rPr>
          <w:w w:val="105"/>
        </w:rPr>
        <w:t>and</w:t>
      </w:r>
      <w:r w:rsidRPr="00283806">
        <w:rPr>
          <w:spacing w:val="21"/>
          <w:w w:val="105"/>
        </w:rPr>
        <w:t xml:space="preserve"> </w:t>
      </w:r>
      <w:r w:rsidRPr="00283806">
        <w:rPr>
          <w:w w:val="105"/>
        </w:rPr>
        <w:t>light</w:t>
      </w:r>
      <w:r w:rsidRPr="00283806">
        <w:rPr>
          <w:spacing w:val="21"/>
          <w:w w:val="105"/>
        </w:rPr>
        <w:t xml:space="preserve"> </w:t>
      </w:r>
      <w:r w:rsidRPr="00283806">
        <w:rPr>
          <w:w w:val="105"/>
        </w:rPr>
        <w:t>commercial</w:t>
      </w:r>
      <w:r w:rsidRPr="00283806">
        <w:rPr>
          <w:spacing w:val="21"/>
          <w:w w:val="105"/>
        </w:rPr>
        <w:t xml:space="preserve"> </w:t>
      </w:r>
      <w:r w:rsidRPr="00283806">
        <w:rPr>
          <w:spacing w:val="-5"/>
          <w:w w:val="105"/>
        </w:rPr>
        <w:t>air</w:t>
      </w:r>
    </w:p>
    <w:p w14:paraId="0A8E65BC" w14:textId="77777777" w:rsidR="00D67C1E" w:rsidRPr="00283806" w:rsidRDefault="001265CA">
      <w:pPr>
        <w:pStyle w:val="BodyText"/>
        <w:spacing w:line="225" w:lineRule="auto"/>
        <w:ind w:right="128"/>
      </w:pPr>
      <w:r w:rsidRPr="00283806">
        <w:rPr>
          <w:w w:val="105"/>
        </w:rPr>
        <w:t>conditioning and heat pumps are often distinguished from chillers by the fact that they condition the air directly,</w:t>
      </w:r>
    </w:p>
    <w:p w14:paraId="13E180AB" w14:textId="77777777" w:rsidR="00D67C1E" w:rsidRPr="00283806" w:rsidRDefault="001265CA">
      <w:pPr>
        <w:pStyle w:val="BodyText"/>
        <w:spacing w:before="96" w:line="225" w:lineRule="auto"/>
        <w:ind w:left="144"/>
      </w:pPr>
      <w:r w:rsidRPr="00283806">
        <w:br w:type="column"/>
      </w:r>
      <w:r w:rsidRPr="00283806">
        <w:rPr>
          <w:w w:val="105"/>
        </w:rPr>
        <w:t>which provides more clarity of what</w:t>
      </w:r>
      <w:r w:rsidRPr="00283806">
        <w:rPr>
          <w:spacing w:val="40"/>
          <w:w w:val="105"/>
        </w:rPr>
        <w:t xml:space="preserve"> </w:t>
      </w:r>
      <w:r w:rsidRPr="00283806">
        <w:rPr>
          <w:w w:val="105"/>
        </w:rPr>
        <w:t>types of occupant spaces that fall into</w:t>
      </w:r>
      <w:r w:rsidRPr="00283806">
        <w:rPr>
          <w:spacing w:val="80"/>
          <w:w w:val="150"/>
        </w:rPr>
        <w:t xml:space="preserve"> </w:t>
      </w:r>
      <w:r w:rsidRPr="00283806">
        <w:rPr>
          <w:w w:val="105"/>
        </w:rPr>
        <w:t>the category of what EPA refers to as residential and light commercial. For ‘‘residential occupancy’’ some premises include but are not limited to</w:t>
      </w:r>
      <w:r w:rsidRPr="00283806">
        <w:rPr>
          <w:spacing w:val="40"/>
          <w:w w:val="105"/>
        </w:rPr>
        <w:t xml:space="preserve"> </w:t>
      </w:r>
      <w:r w:rsidRPr="00283806">
        <w:rPr>
          <w:w w:val="105"/>
        </w:rPr>
        <w:t>dormitories, hotels, multiunit</w:t>
      </w:r>
      <w:r w:rsidRPr="00283806">
        <w:rPr>
          <w:spacing w:val="40"/>
          <w:w w:val="105"/>
        </w:rPr>
        <w:t xml:space="preserve"> </w:t>
      </w:r>
      <w:r w:rsidRPr="00283806">
        <w:rPr>
          <w:w w:val="105"/>
        </w:rPr>
        <w:t>apartments, and private residences. For ‘‘commercial</w:t>
      </w:r>
      <w:r w:rsidRPr="00283806">
        <w:rPr>
          <w:spacing w:val="35"/>
          <w:w w:val="105"/>
        </w:rPr>
        <w:t xml:space="preserve"> </w:t>
      </w:r>
      <w:r w:rsidRPr="00283806">
        <w:rPr>
          <w:w w:val="105"/>
        </w:rPr>
        <w:t>occupancy’’</w:t>
      </w:r>
      <w:r w:rsidRPr="00283806">
        <w:rPr>
          <w:spacing w:val="35"/>
          <w:w w:val="105"/>
        </w:rPr>
        <w:t xml:space="preserve"> </w:t>
      </w:r>
      <w:r w:rsidRPr="00283806">
        <w:rPr>
          <w:w w:val="105"/>
        </w:rPr>
        <w:t>some</w:t>
      </w:r>
      <w:r w:rsidRPr="00283806">
        <w:rPr>
          <w:spacing w:val="80"/>
          <w:w w:val="105"/>
        </w:rPr>
        <w:t xml:space="preserve"> </w:t>
      </w:r>
      <w:r w:rsidRPr="00283806">
        <w:rPr>
          <w:w w:val="105"/>
        </w:rPr>
        <w:t>premises include office and professional buildings, markets, and other work or storage areas. EPA notes that ASHRAE standards are primarily addressing</w:t>
      </w:r>
      <w:r w:rsidRPr="00283806">
        <w:rPr>
          <w:spacing w:val="40"/>
          <w:w w:val="105"/>
        </w:rPr>
        <w:t xml:space="preserve"> </w:t>
      </w:r>
      <w:r w:rsidRPr="00283806">
        <w:rPr>
          <w:w w:val="105"/>
        </w:rPr>
        <w:t>issues with safety in relation to ‘‘residential occupancy’’ or ‘‘commercial occupancy’’</w:t>
      </w:r>
      <w:r w:rsidRPr="00283806">
        <w:rPr>
          <w:spacing w:val="40"/>
          <w:w w:val="105"/>
        </w:rPr>
        <w:t xml:space="preserve"> </w:t>
      </w:r>
      <w:r w:rsidRPr="00283806">
        <w:rPr>
          <w:w w:val="105"/>
        </w:rPr>
        <w:t>whereas</w:t>
      </w:r>
      <w:r w:rsidRPr="00283806">
        <w:rPr>
          <w:spacing w:val="40"/>
          <w:w w:val="105"/>
        </w:rPr>
        <w:t xml:space="preserve"> </w:t>
      </w:r>
      <w:r w:rsidRPr="00283806">
        <w:rPr>
          <w:w w:val="105"/>
        </w:rPr>
        <w:t>SNAP</w:t>
      </w:r>
      <w:r w:rsidRPr="00283806">
        <w:rPr>
          <w:spacing w:val="40"/>
          <w:w w:val="105"/>
        </w:rPr>
        <w:t xml:space="preserve"> </w:t>
      </w:r>
      <w:r w:rsidRPr="00283806">
        <w:rPr>
          <w:w w:val="105"/>
        </w:rPr>
        <w:t>is</w:t>
      </w:r>
      <w:r w:rsidRPr="00283806">
        <w:rPr>
          <w:spacing w:val="40"/>
          <w:w w:val="105"/>
        </w:rPr>
        <w:t xml:space="preserve"> </w:t>
      </w:r>
      <w:r w:rsidRPr="00283806">
        <w:rPr>
          <w:w w:val="105"/>
        </w:rPr>
        <w:t>addressing</w:t>
      </w:r>
      <w:r w:rsidRPr="00283806">
        <w:rPr>
          <w:spacing w:val="40"/>
          <w:w w:val="105"/>
        </w:rPr>
        <w:t xml:space="preserve"> </w:t>
      </w:r>
      <w:r w:rsidRPr="00283806">
        <w:rPr>
          <w:w w:val="105"/>
        </w:rPr>
        <w:t>the</w:t>
      </w:r>
      <w:r w:rsidRPr="00283806">
        <w:rPr>
          <w:spacing w:val="40"/>
          <w:w w:val="105"/>
        </w:rPr>
        <w:t xml:space="preserve"> </w:t>
      </w:r>
      <w:r w:rsidRPr="00283806">
        <w:rPr>
          <w:w w:val="105"/>
        </w:rPr>
        <w:t>safety</w:t>
      </w:r>
      <w:r w:rsidRPr="00283806">
        <w:rPr>
          <w:spacing w:val="40"/>
          <w:w w:val="105"/>
        </w:rPr>
        <w:t xml:space="preserve"> </w:t>
      </w:r>
      <w:r w:rsidRPr="00283806">
        <w:rPr>
          <w:w w:val="105"/>
        </w:rPr>
        <w:t>and</w:t>
      </w:r>
      <w:r w:rsidRPr="00283806">
        <w:rPr>
          <w:spacing w:val="40"/>
          <w:w w:val="105"/>
        </w:rPr>
        <w:t xml:space="preserve"> </w:t>
      </w:r>
      <w:r w:rsidRPr="00283806">
        <w:rPr>
          <w:w w:val="105"/>
        </w:rPr>
        <w:t>applicability of specific refrigerants which are determined as acceptable for use in specific end-uses. Further, while these descriptions of ‘‘residential occupancy’’ and</w:t>
      </w:r>
      <w:r w:rsidRPr="00283806">
        <w:rPr>
          <w:spacing w:val="40"/>
          <w:w w:val="105"/>
        </w:rPr>
        <w:t xml:space="preserve"> </w:t>
      </w:r>
      <w:r w:rsidRPr="00283806">
        <w:rPr>
          <w:w w:val="105"/>
        </w:rPr>
        <w:t>‘‘commercial</w:t>
      </w:r>
      <w:r w:rsidRPr="00283806">
        <w:rPr>
          <w:spacing w:val="40"/>
          <w:w w:val="105"/>
        </w:rPr>
        <w:t xml:space="preserve"> </w:t>
      </w:r>
      <w:r w:rsidRPr="00283806">
        <w:rPr>
          <w:w w:val="105"/>
        </w:rPr>
        <w:t>occupancy’’</w:t>
      </w:r>
      <w:r w:rsidRPr="00283806">
        <w:rPr>
          <w:spacing w:val="40"/>
          <w:w w:val="105"/>
        </w:rPr>
        <w:t xml:space="preserve"> </w:t>
      </w:r>
      <w:r w:rsidRPr="00283806">
        <w:rPr>
          <w:w w:val="105"/>
        </w:rPr>
        <w:t>are</w:t>
      </w:r>
      <w:r w:rsidRPr="00283806">
        <w:rPr>
          <w:spacing w:val="40"/>
          <w:w w:val="105"/>
        </w:rPr>
        <w:t xml:space="preserve"> </w:t>
      </w:r>
      <w:r w:rsidRPr="00283806">
        <w:rPr>
          <w:w w:val="105"/>
        </w:rPr>
        <w:t>helpful in the determination of the types of premises which may fall within the purview of residential and light commercial,</w:t>
      </w:r>
      <w:r w:rsidRPr="00283806">
        <w:rPr>
          <w:spacing w:val="40"/>
          <w:w w:val="105"/>
        </w:rPr>
        <w:t xml:space="preserve"> </w:t>
      </w:r>
      <w:r w:rsidRPr="00283806">
        <w:rPr>
          <w:w w:val="105"/>
        </w:rPr>
        <w:t>the</w:t>
      </w:r>
      <w:r w:rsidRPr="00283806">
        <w:rPr>
          <w:spacing w:val="40"/>
          <w:w w:val="105"/>
        </w:rPr>
        <w:t xml:space="preserve"> </w:t>
      </w:r>
      <w:r w:rsidRPr="00283806">
        <w:rPr>
          <w:w w:val="105"/>
        </w:rPr>
        <w:t>Agency</w:t>
      </w:r>
      <w:r w:rsidRPr="00283806">
        <w:rPr>
          <w:spacing w:val="40"/>
          <w:w w:val="105"/>
        </w:rPr>
        <w:t xml:space="preserve"> </w:t>
      </w:r>
      <w:r w:rsidRPr="00283806">
        <w:rPr>
          <w:w w:val="105"/>
        </w:rPr>
        <w:t>clarifies</w:t>
      </w:r>
      <w:r w:rsidRPr="00283806">
        <w:rPr>
          <w:spacing w:val="40"/>
          <w:w w:val="105"/>
        </w:rPr>
        <w:t xml:space="preserve"> </w:t>
      </w:r>
      <w:r w:rsidRPr="00283806">
        <w:rPr>
          <w:w w:val="105"/>
        </w:rPr>
        <w:t>that the exemption applies to the categories</w:t>
      </w:r>
      <w:r w:rsidRPr="00283806">
        <w:rPr>
          <w:spacing w:val="80"/>
          <w:w w:val="105"/>
        </w:rPr>
        <w:t xml:space="preserve"> </w:t>
      </w:r>
      <w:r w:rsidRPr="00283806">
        <w:rPr>
          <w:w w:val="105"/>
        </w:rPr>
        <w:t>of refrigerant-containing appliances</w:t>
      </w:r>
      <w:r w:rsidRPr="00283806">
        <w:rPr>
          <w:spacing w:val="80"/>
          <w:w w:val="105"/>
        </w:rPr>
        <w:t xml:space="preserve"> </w:t>
      </w:r>
      <w:r w:rsidRPr="00283806">
        <w:rPr>
          <w:w w:val="105"/>
        </w:rPr>
        <w:t xml:space="preserve">used at these premises. In this final rule, EPA is using the types of </w:t>
      </w:r>
      <w:proofErr w:type="gramStart"/>
      <w:r w:rsidRPr="00283806">
        <w:rPr>
          <w:w w:val="105"/>
        </w:rPr>
        <w:t>refrigerant</w:t>
      </w:r>
      <w:proofErr w:type="gramEnd"/>
      <w:r w:rsidRPr="00283806">
        <w:rPr>
          <w:w w:val="105"/>
        </w:rPr>
        <w:t>- containing appliances described under SNAP’s terminology for residential and light commercial air conditioning and heat pumps to determine what refrigerant-containing appliances fall under the exemption. For example, a central air conditioner being used to provide cooling for occupants in a commercial setting that has the same shape, size, and cooling load as a refrigerant-containing appliance used in</w:t>
      </w:r>
      <w:r w:rsidRPr="00283806">
        <w:rPr>
          <w:spacing w:val="40"/>
          <w:w w:val="105"/>
        </w:rPr>
        <w:t xml:space="preserve"> </w:t>
      </w:r>
      <w:r w:rsidRPr="00283806">
        <w:rPr>
          <w:w w:val="105"/>
        </w:rPr>
        <w:t>a</w:t>
      </w:r>
      <w:r w:rsidRPr="00283806">
        <w:rPr>
          <w:spacing w:val="40"/>
          <w:w w:val="105"/>
        </w:rPr>
        <w:t xml:space="preserve"> </w:t>
      </w:r>
      <w:r w:rsidRPr="00283806">
        <w:rPr>
          <w:w w:val="105"/>
        </w:rPr>
        <w:t>residential</w:t>
      </w:r>
      <w:r w:rsidRPr="00283806">
        <w:rPr>
          <w:spacing w:val="40"/>
          <w:w w:val="105"/>
        </w:rPr>
        <w:t xml:space="preserve"> </w:t>
      </w:r>
      <w:r w:rsidRPr="00283806">
        <w:rPr>
          <w:w w:val="105"/>
        </w:rPr>
        <w:t>setting</w:t>
      </w:r>
      <w:r w:rsidRPr="00283806">
        <w:rPr>
          <w:spacing w:val="40"/>
          <w:w w:val="105"/>
        </w:rPr>
        <w:t xml:space="preserve"> </w:t>
      </w:r>
      <w:r w:rsidRPr="00283806">
        <w:rPr>
          <w:w w:val="105"/>
        </w:rPr>
        <w:t>would</w:t>
      </w:r>
      <w:r w:rsidRPr="00283806">
        <w:rPr>
          <w:spacing w:val="40"/>
          <w:w w:val="105"/>
        </w:rPr>
        <w:t xml:space="preserve"> </w:t>
      </w:r>
      <w:r w:rsidRPr="00283806">
        <w:rPr>
          <w:w w:val="105"/>
        </w:rPr>
        <w:t>fall</w:t>
      </w:r>
      <w:r w:rsidRPr="00283806">
        <w:rPr>
          <w:spacing w:val="40"/>
          <w:w w:val="105"/>
        </w:rPr>
        <w:t xml:space="preserve"> </w:t>
      </w:r>
      <w:r w:rsidRPr="00283806">
        <w:rPr>
          <w:w w:val="105"/>
        </w:rPr>
        <w:t>under this exemption. An air conditioning appliance at a light commercial building would most likely be a rooftop AC unit, which</w:t>
      </w:r>
      <w:r w:rsidRPr="00283806">
        <w:rPr>
          <w:spacing w:val="40"/>
          <w:w w:val="105"/>
        </w:rPr>
        <w:t xml:space="preserve"> </w:t>
      </w:r>
      <w:r w:rsidRPr="00283806">
        <w:rPr>
          <w:w w:val="105"/>
        </w:rPr>
        <w:t>is</w:t>
      </w:r>
      <w:r w:rsidRPr="00283806">
        <w:rPr>
          <w:spacing w:val="40"/>
          <w:w w:val="105"/>
        </w:rPr>
        <w:t xml:space="preserve"> </w:t>
      </w:r>
      <w:r w:rsidRPr="00283806">
        <w:rPr>
          <w:w w:val="105"/>
        </w:rPr>
        <w:t>one</w:t>
      </w:r>
      <w:r w:rsidRPr="00283806">
        <w:rPr>
          <w:spacing w:val="40"/>
          <w:w w:val="105"/>
        </w:rPr>
        <w:t xml:space="preserve"> </w:t>
      </w:r>
      <w:r w:rsidRPr="00283806">
        <w:rPr>
          <w:w w:val="105"/>
        </w:rPr>
        <w:t>type</w:t>
      </w:r>
      <w:r w:rsidRPr="00283806">
        <w:rPr>
          <w:spacing w:val="40"/>
          <w:w w:val="105"/>
        </w:rPr>
        <w:t xml:space="preserve"> </w:t>
      </w:r>
      <w:r w:rsidRPr="00283806">
        <w:rPr>
          <w:w w:val="105"/>
        </w:rPr>
        <w:t>of</w:t>
      </w:r>
      <w:r w:rsidRPr="00283806">
        <w:rPr>
          <w:spacing w:val="40"/>
          <w:w w:val="105"/>
        </w:rPr>
        <w:t xml:space="preserve"> </w:t>
      </w:r>
      <w:r w:rsidRPr="00283806">
        <w:rPr>
          <w:w w:val="105"/>
        </w:rPr>
        <w:t>light</w:t>
      </w:r>
      <w:r w:rsidRPr="00283806">
        <w:rPr>
          <w:spacing w:val="40"/>
          <w:w w:val="105"/>
        </w:rPr>
        <w:t xml:space="preserve"> </w:t>
      </w:r>
      <w:r w:rsidRPr="00283806">
        <w:rPr>
          <w:w w:val="105"/>
        </w:rPr>
        <w:t>commercial air conditioning.</w:t>
      </w:r>
      <w:r w:rsidRPr="00283806">
        <w:rPr>
          <w:w w:val="105"/>
          <w:position w:val="5"/>
          <w:sz w:val="11"/>
        </w:rPr>
        <w:t>63</w:t>
      </w:r>
      <w:r w:rsidRPr="00283806">
        <w:rPr>
          <w:spacing w:val="34"/>
          <w:w w:val="105"/>
          <w:position w:val="5"/>
          <w:sz w:val="11"/>
        </w:rPr>
        <w:t xml:space="preserve"> </w:t>
      </w:r>
      <w:r w:rsidRPr="00283806">
        <w:rPr>
          <w:w w:val="105"/>
        </w:rPr>
        <w:t>In addition to rooftop AC units, other types of air conditioners and heat pumps are part of the</w:t>
      </w:r>
      <w:r w:rsidRPr="00283806">
        <w:rPr>
          <w:spacing w:val="40"/>
          <w:w w:val="105"/>
        </w:rPr>
        <w:t xml:space="preserve"> </w:t>
      </w:r>
      <w:r w:rsidRPr="00283806">
        <w:rPr>
          <w:w w:val="105"/>
        </w:rPr>
        <w:t>residential and light commercial AC and HP</w:t>
      </w:r>
      <w:r w:rsidRPr="00283806">
        <w:rPr>
          <w:spacing w:val="40"/>
          <w:w w:val="105"/>
        </w:rPr>
        <w:t xml:space="preserve"> </w:t>
      </w:r>
      <w:r w:rsidRPr="00283806">
        <w:rPr>
          <w:w w:val="105"/>
        </w:rPr>
        <w:t>subsector</w:t>
      </w:r>
      <w:r w:rsidRPr="00283806">
        <w:rPr>
          <w:spacing w:val="40"/>
          <w:w w:val="105"/>
        </w:rPr>
        <w:t xml:space="preserve"> </w:t>
      </w:r>
      <w:r w:rsidRPr="00283806">
        <w:rPr>
          <w:w w:val="105"/>
        </w:rPr>
        <w:t>and</w:t>
      </w:r>
      <w:r w:rsidRPr="00283806">
        <w:rPr>
          <w:spacing w:val="40"/>
          <w:w w:val="105"/>
        </w:rPr>
        <w:t xml:space="preserve"> </w:t>
      </w:r>
      <w:r w:rsidRPr="00283806">
        <w:rPr>
          <w:w w:val="105"/>
        </w:rPr>
        <w:t>hence</w:t>
      </w:r>
      <w:r w:rsidRPr="00283806">
        <w:rPr>
          <w:spacing w:val="40"/>
          <w:w w:val="105"/>
        </w:rPr>
        <w:t xml:space="preserve"> </w:t>
      </w:r>
      <w:r w:rsidRPr="00283806">
        <w:rPr>
          <w:w w:val="105"/>
        </w:rPr>
        <w:t>are</w:t>
      </w:r>
      <w:r w:rsidRPr="00283806">
        <w:rPr>
          <w:spacing w:val="40"/>
          <w:w w:val="105"/>
        </w:rPr>
        <w:t xml:space="preserve"> </w:t>
      </w:r>
      <w:r w:rsidRPr="00283806">
        <w:rPr>
          <w:w w:val="105"/>
        </w:rPr>
        <w:t>exempt from the leak repair requirements, such as single packaged units, split system central air conditioners and heat pumps,</w:t>
      </w:r>
    </w:p>
    <w:p w14:paraId="4D11C968" w14:textId="77777777" w:rsidR="00D67C1E" w:rsidRPr="00283806" w:rsidRDefault="001265CA">
      <w:pPr>
        <w:pStyle w:val="BodyText"/>
        <w:spacing w:before="136" w:line="225" w:lineRule="auto"/>
        <w:ind w:left="138" w:right="211"/>
      </w:pPr>
      <w:r w:rsidRPr="00283806">
        <w:br w:type="column"/>
      </w:r>
      <w:r w:rsidRPr="00283806">
        <w:rPr>
          <w:w w:val="105"/>
        </w:rPr>
        <w:t>window-mounted air conditioners, through-the-wall units, and portable air conditioners. EPA clarifies that the exemption</w:t>
      </w:r>
      <w:r w:rsidRPr="00283806">
        <w:rPr>
          <w:spacing w:val="35"/>
          <w:w w:val="105"/>
        </w:rPr>
        <w:t xml:space="preserve"> </w:t>
      </w:r>
      <w:r w:rsidRPr="00283806">
        <w:rPr>
          <w:w w:val="105"/>
        </w:rPr>
        <w:t>does</w:t>
      </w:r>
      <w:r w:rsidRPr="00283806">
        <w:rPr>
          <w:spacing w:val="35"/>
          <w:w w:val="105"/>
        </w:rPr>
        <w:t xml:space="preserve"> </w:t>
      </w:r>
      <w:r w:rsidRPr="00283806">
        <w:rPr>
          <w:w w:val="105"/>
        </w:rPr>
        <w:t>not</w:t>
      </w:r>
      <w:r w:rsidRPr="00283806">
        <w:rPr>
          <w:spacing w:val="35"/>
          <w:w w:val="105"/>
        </w:rPr>
        <w:t xml:space="preserve"> </w:t>
      </w:r>
      <w:r w:rsidRPr="00283806">
        <w:rPr>
          <w:w w:val="105"/>
        </w:rPr>
        <w:t>apply</w:t>
      </w:r>
      <w:r w:rsidRPr="00283806">
        <w:rPr>
          <w:spacing w:val="35"/>
          <w:w w:val="105"/>
        </w:rPr>
        <w:t xml:space="preserve"> </w:t>
      </w:r>
      <w:r w:rsidRPr="00283806">
        <w:rPr>
          <w:w w:val="105"/>
        </w:rPr>
        <w:t>to</w:t>
      </w:r>
      <w:r w:rsidRPr="00283806">
        <w:rPr>
          <w:spacing w:val="35"/>
          <w:w w:val="105"/>
        </w:rPr>
        <w:t xml:space="preserve"> </w:t>
      </w:r>
      <w:r w:rsidRPr="00283806">
        <w:rPr>
          <w:w w:val="105"/>
        </w:rPr>
        <w:t>a</w:t>
      </w:r>
      <w:r w:rsidRPr="00283806">
        <w:rPr>
          <w:spacing w:val="35"/>
          <w:w w:val="105"/>
        </w:rPr>
        <w:t xml:space="preserve"> </w:t>
      </w:r>
      <w:r w:rsidRPr="00283806">
        <w:rPr>
          <w:w w:val="105"/>
        </w:rPr>
        <w:t>chiller, a</w:t>
      </w:r>
      <w:r w:rsidRPr="00283806">
        <w:rPr>
          <w:spacing w:val="10"/>
          <w:w w:val="105"/>
        </w:rPr>
        <w:t xml:space="preserve"> </w:t>
      </w:r>
      <w:r w:rsidRPr="00283806">
        <w:rPr>
          <w:w w:val="105"/>
        </w:rPr>
        <w:t>type</w:t>
      </w:r>
      <w:r w:rsidRPr="00283806">
        <w:rPr>
          <w:spacing w:val="11"/>
          <w:w w:val="105"/>
        </w:rPr>
        <w:t xml:space="preserve"> </w:t>
      </w:r>
      <w:r w:rsidRPr="00283806">
        <w:rPr>
          <w:w w:val="105"/>
        </w:rPr>
        <w:t>of</w:t>
      </w:r>
      <w:r w:rsidRPr="00283806">
        <w:rPr>
          <w:spacing w:val="10"/>
          <w:w w:val="105"/>
        </w:rPr>
        <w:t xml:space="preserve"> </w:t>
      </w:r>
      <w:r w:rsidRPr="00283806">
        <w:rPr>
          <w:w w:val="105"/>
        </w:rPr>
        <w:t>air</w:t>
      </w:r>
      <w:r w:rsidRPr="00283806">
        <w:rPr>
          <w:spacing w:val="11"/>
          <w:w w:val="105"/>
        </w:rPr>
        <w:t xml:space="preserve"> </w:t>
      </w:r>
      <w:r w:rsidRPr="00283806">
        <w:rPr>
          <w:w w:val="105"/>
        </w:rPr>
        <w:t>conditioning</w:t>
      </w:r>
      <w:r w:rsidRPr="00283806">
        <w:rPr>
          <w:spacing w:val="11"/>
          <w:w w:val="105"/>
        </w:rPr>
        <w:t xml:space="preserve"> </w:t>
      </w:r>
      <w:r w:rsidRPr="00283806">
        <w:rPr>
          <w:w w:val="105"/>
        </w:rPr>
        <w:t>system</w:t>
      </w:r>
      <w:r w:rsidRPr="00283806">
        <w:rPr>
          <w:spacing w:val="10"/>
          <w:w w:val="105"/>
        </w:rPr>
        <w:t xml:space="preserve"> </w:t>
      </w:r>
      <w:r w:rsidRPr="00283806">
        <w:rPr>
          <w:w w:val="105"/>
        </w:rPr>
        <w:t>that</w:t>
      </w:r>
      <w:r w:rsidRPr="00283806">
        <w:rPr>
          <w:spacing w:val="11"/>
          <w:w w:val="105"/>
        </w:rPr>
        <w:t xml:space="preserve"> </w:t>
      </w:r>
      <w:r w:rsidRPr="00283806">
        <w:rPr>
          <w:spacing w:val="-5"/>
          <w:w w:val="105"/>
        </w:rPr>
        <w:t>is</w:t>
      </w:r>
    </w:p>
    <w:p w14:paraId="3E6877D8" w14:textId="77777777" w:rsidR="00D67C1E" w:rsidRPr="00283806" w:rsidRDefault="001265CA">
      <w:pPr>
        <w:pStyle w:val="BodyText"/>
        <w:spacing w:line="225" w:lineRule="auto"/>
        <w:ind w:left="138" w:right="175"/>
      </w:pPr>
      <w:r w:rsidRPr="00283806">
        <w:rPr>
          <w:w w:val="105"/>
        </w:rPr>
        <w:t>often used to provide comfort cooling to office</w:t>
      </w:r>
      <w:r w:rsidRPr="00283806">
        <w:rPr>
          <w:spacing w:val="40"/>
          <w:w w:val="105"/>
        </w:rPr>
        <w:t xml:space="preserve"> </w:t>
      </w:r>
      <w:r w:rsidRPr="00283806">
        <w:rPr>
          <w:w w:val="105"/>
        </w:rPr>
        <w:t>buildings,</w:t>
      </w:r>
      <w:r w:rsidRPr="00283806">
        <w:rPr>
          <w:spacing w:val="40"/>
          <w:w w:val="105"/>
        </w:rPr>
        <w:t xml:space="preserve"> </w:t>
      </w:r>
      <w:r w:rsidRPr="00283806">
        <w:rPr>
          <w:w w:val="105"/>
        </w:rPr>
        <w:t>malls,</w:t>
      </w:r>
      <w:r w:rsidRPr="00283806">
        <w:rPr>
          <w:spacing w:val="40"/>
          <w:w w:val="105"/>
        </w:rPr>
        <w:t xml:space="preserve"> </w:t>
      </w:r>
      <w:r w:rsidRPr="00283806">
        <w:rPr>
          <w:w w:val="105"/>
        </w:rPr>
        <w:t>stadiums,</w:t>
      </w:r>
      <w:r w:rsidRPr="00283806">
        <w:rPr>
          <w:spacing w:val="40"/>
          <w:w w:val="105"/>
        </w:rPr>
        <w:t xml:space="preserve"> </w:t>
      </w:r>
      <w:r w:rsidRPr="00283806">
        <w:rPr>
          <w:w w:val="105"/>
        </w:rPr>
        <w:t>arenas, hotels, convention centers, airport terminals, etc.</w:t>
      </w:r>
    </w:p>
    <w:p w14:paraId="48CA63DF" w14:textId="77777777" w:rsidR="00D67C1E" w:rsidRPr="00283806" w:rsidRDefault="001265CA">
      <w:pPr>
        <w:pStyle w:val="BodyText"/>
        <w:spacing w:line="179" w:lineRule="exact"/>
        <w:ind w:left="318"/>
      </w:pPr>
      <w:r w:rsidRPr="00283806">
        <w:rPr>
          <w:w w:val="105"/>
        </w:rPr>
        <w:t>In</w:t>
      </w:r>
      <w:r w:rsidRPr="00283806">
        <w:rPr>
          <w:spacing w:val="4"/>
          <w:w w:val="105"/>
        </w:rPr>
        <w:t xml:space="preserve"> </w:t>
      </w:r>
      <w:r w:rsidRPr="00283806">
        <w:rPr>
          <w:w w:val="105"/>
        </w:rPr>
        <w:t>response</w:t>
      </w:r>
      <w:r w:rsidRPr="00283806">
        <w:rPr>
          <w:spacing w:val="5"/>
          <w:w w:val="105"/>
        </w:rPr>
        <w:t xml:space="preserve"> </w:t>
      </w:r>
      <w:r w:rsidRPr="00283806">
        <w:rPr>
          <w:w w:val="105"/>
        </w:rPr>
        <w:t>to</w:t>
      </w:r>
      <w:r w:rsidRPr="00283806">
        <w:rPr>
          <w:spacing w:val="4"/>
          <w:w w:val="105"/>
        </w:rPr>
        <w:t xml:space="preserve"> </w:t>
      </w:r>
      <w:r w:rsidRPr="00283806">
        <w:rPr>
          <w:w w:val="105"/>
        </w:rPr>
        <w:t>the</w:t>
      </w:r>
      <w:r w:rsidRPr="00283806">
        <w:rPr>
          <w:spacing w:val="5"/>
          <w:w w:val="105"/>
        </w:rPr>
        <w:t xml:space="preserve"> </w:t>
      </w:r>
      <w:r w:rsidRPr="00283806">
        <w:rPr>
          <w:w w:val="105"/>
        </w:rPr>
        <w:t>question</w:t>
      </w:r>
      <w:r w:rsidRPr="00283806">
        <w:rPr>
          <w:spacing w:val="4"/>
          <w:w w:val="105"/>
        </w:rPr>
        <w:t xml:space="preserve"> </w:t>
      </w:r>
      <w:r w:rsidRPr="00283806">
        <w:rPr>
          <w:spacing w:val="-2"/>
          <w:w w:val="105"/>
        </w:rPr>
        <w:t>regarding</w:t>
      </w:r>
    </w:p>
    <w:p w14:paraId="17664A04" w14:textId="77777777" w:rsidR="00D67C1E" w:rsidRPr="00283806" w:rsidRDefault="001265CA">
      <w:pPr>
        <w:pStyle w:val="BodyText"/>
        <w:spacing w:before="2" w:line="225" w:lineRule="auto"/>
        <w:ind w:left="138" w:right="228"/>
      </w:pPr>
      <w:r w:rsidRPr="00283806">
        <w:rPr>
          <w:w w:val="105"/>
        </w:rPr>
        <w:t xml:space="preserve">supermarket air conditioning, the Agency clarifies that </w:t>
      </w:r>
      <w:proofErr w:type="gramStart"/>
      <w:r w:rsidRPr="00283806">
        <w:rPr>
          <w:w w:val="105"/>
        </w:rPr>
        <w:t>some</w:t>
      </w:r>
      <w:proofErr w:type="gramEnd"/>
      <w:r w:rsidRPr="00283806">
        <w:rPr>
          <w:w w:val="105"/>
        </w:rPr>
        <w:t xml:space="preserve"> but not all supermarket air conditioning systems would fall under the definition of residential and light commercial air conditioning based on the refrigerant</w:t>
      </w:r>
      <w:proofErr w:type="gramStart"/>
      <w:r w:rsidRPr="00283806">
        <w:rPr>
          <w:w w:val="105"/>
        </w:rPr>
        <w:t>- containing</w:t>
      </w:r>
      <w:proofErr w:type="gramEnd"/>
      <w:r w:rsidRPr="00283806">
        <w:rPr>
          <w:w w:val="105"/>
        </w:rPr>
        <w:t xml:space="preserve"> appliance being used to cool occupants. However, if a supermarket refrigeration rack is providing comfort cooling as well as refrigeration for perishable foods, it would not be</w:t>
      </w:r>
      <w:r w:rsidRPr="00283806">
        <w:rPr>
          <w:spacing w:val="80"/>
          <w:w w:val="105"/>
        </w:rPr>
        <w:t xml:space="preserve"> </w:t>
      </w:r>
      <w:r w:rsidRPr="00283806">
        <w:rPr>
          <w:w w:val="105"/>
        </w:rPr>
        <w:t>exempt from the leak repair requirements (unless it contained less than 15 pounds of a regulated HFC or HFC substitute with a GWP greater than</w:t>
      </w:r>
    </w:p>
    <w:p w14:paraId="4A32336D" w14:textId="77777777" w:rsidR="00D67C1E" w:rsidRPr="00283806" w:rsidRDefault="001265CA">
      <w:pPr>
        <w:pStyle w:val="BodyText"/>
        <w:spacing w:line="225" w:lineRule="auto"/>
        <w:ind w:left="138" w:right="175"/>
      </w:pPr>
      <w:r w:rsidRPr="00283806">
        <w:rPr>
          <w:w w:val="105"/>
        </w:rPr>
        <w:t xml:space="preserve">53) because this type of refrigerant- containing appliance does not fall under the terminology of residential and light commercial AC and HP. With regards to the assertion that there are significant costs if not all supermarket air conditioning systems were exempt from the leak repair requirements, EPA </w:t>
      </w:r>
      <w:proofErr w:type="gramStart"/>
      <w:r w:rsidRPr="00283806">
        <w:rPr>
          <w:w w:val="105"/>
        </w:rPr>
        <w:t>refers the reader</w:t>
      </w:r>
      <w:proofErr w:type="gramEnd"/>
      <w:r w:rsidRPr="00283806">
        <w:rPr>
          <w:w w:val="105"/>
        </w:rPr>
        <w:t xml:space="preserve"> to the Economic Impact and Benefits TSD.</w:t>
      </w:r>
    </w:p>
    <w:p w14:paraId="02EBAA61" w14:textId="77777777" w:rsidR="00D67C1E" w:rsidRPr="00283806" w:rsidRDefault="001265CA">
      <w:pPr>
        <w:pStyle w:val="BodyText"/>
        <w:spacing w:line="213" w:lineRule="auto"/>
        <w:ind w:left="138" w:right="211" w:firstLine="180"/>
      </w:pPr>
      <w:r w:rsidRPr="00283806">
        <w:rPr>
          <w:rFonts w:ascii="Book Antiqua"/>
          <w:i/>
          <w:w w:val="105"/>
        </w:rPr>
        <w:t xml:space="preserve">Comment: </w:t>
      </w:r>
      <w:r w:rsidRPr="00283806">
        <w:rPr>
          <w:w w:val="105"/>
        </w:rPr>
        <w:t>A few commenters suggested that residential and light</w:t>
      </w:r>
    </w:p>
    <w:p w14:paraId="25F3ED2F" w14:textId="77777777" w:rsidR="00D67C1E" w:rsidRPr="00283806" w:rsidRDefault="001265CA">
      <w:pPr>
        <w:pStyle w:val="BodyText"/>
        <w:spacing w:line="225" w:lineRule="auto"/>
        <w:ind w:left="138" w:right="142"/>
      </w:pPr>
      <w:proofErr w:type="gramStart"/>
      <w:r w:rsidRPr="00283806">
        <w:rPr>
          <w:w w:val="105"/>
        </w:rPr>
        <w:t>commercial</w:t>
      </w:r>
      <w:proofErr w:type="gramEnd"/>
      <w:r w:rsidRPr="00283806">
        <w:rPr>
          <w:w w:val="105"/>
        </w:rPr>
        <w:t xml:space="preserve"> air conditioning and heat pump systems should not receive </w:t>
      </w:r>
      <w:proofErr w:type="gramStart"/>
      <w:r w:rsidRPr="00283806">
        <w:rPr>
          <w:w w:val="105"/>
        </w:rPr>
        <w:t>an exemption</w:t>
      </w:r>
      <w:proofErr w:type="gramEnd"/>
      <w:r w:rsidRPr="00283806">
        <w:rPr>
          <w:w w:val="105"/>
        </w:rPr>
        <w:t xml:space="preserve"> from leak repair requirements. Several commenters specifically called out the need to</w:t>
      </w:r>
      <w:r w:rsidRPr="00283806">
        <w:rPr>
          <w:spacing w:val="80"/>
          <w:w w:val="105"/>
        </w:rPr>
        <w:t xml:space="preserve"> </w:t>
      </w:r>
      <w:r w:rsidRPr="00283806">
        <w:rPr>
          <w:w w:val="105"/>
        </w:rPr>
        <w:t>include VRF systems under the leak repair provision. One commenter highlighted that multi-split RACHP and VRF systems can contain large</w:t>
      </w:r>
      <w:r w:rsidRPr="00283806">
        <w:rPr>
          <w:spacing w:val="40"/>
          <w:w w:val="105"/>
        </w:rPr>
        <w:t xml:space="preserve"> </w:t>
      </w:r>
      <w:r w:rsidRPr="00283806">
        <w:rPr>
          <w:w w:val="105"/>
        </w:rPr>
        <w:t xml:space="preserve">refrigerant charges, have many points of potential leakage, and may be more limited </w:t>
      </w:r>
      <w:proofErr w:type="gramStart"/>
      <w:r w:rsidRPr="00283806">
        <w:rPr>
          <w:w w:val="105"/>
        </w:rPr>
        <w:t>in regard to</w:t>
      </w:r>
      <w:proofErr w:type="gramEnd"/>
      <w:r w:rsidRPr="00283806">
        <w:rPr>
          <w:w w:val="105"/>
        </w:rPr>
        <w:t xml:space="preserve"> low-GWP alternatives. Another commenter requested that commercial rooftop systems with a charge size above five pounds be covered under the leak repair provision. The commenter agreed with</w:t>
      </w:r>
    </w:p>
    <w:p w14:paraId="19DEE26B"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6" w:space="40"/>
            <w:col w:w="3507" w:space="39"/>
            <w:col w:w="3618"/>
          </w:cols>
        </w:sectPr>
      </w:pPr>
    </w:p>
    <w:p w14:paraId="16A0F226" w14:textId="77777777" w:rsidR="00D67C1E" w:rsidRPr="00283806" w:rsidRDefault="001265CA">
      <w:pPr>
        <w:pStyle w:val="BodyText"/>
        <w:tabs>
          <w:tab w:val="left" w:pos="3699"/>
          <w:tab w:val="left" w:pos="4699"/>
          <w:tab w:val="left" w:pos="7239"/>
        </w:tabs>
        <w:spacing w:line="169" w:lineRule="exact"/>
      </w:pPr>
      <w:r w:rsidRPr="00283806">
        <w:rPr>
          <w:w w:val="105"/>
        </w:rPr>
        <w:t>rather</w:t>
      </w:r>
      <w:r w:rsidRPr="00283806">
        <w:rPr>
          <w:spacing w:val="-2"/>
          <w:w w:val="105"/>
        </w:rPr>
        <w:t xml:space="preserve"> </w:t>
      </w:r>
      <w:r w:rsidRPr="00283806">
        <w:rPr>
          <w:w w:val="105"/>
        </w:rPr>
        <w:t>than</w:t>
      </w:r>
      <w:r w:rsidRPr="00283806">
        <w:rPr>
          <w:spacing w:val="-2"/>
          <w:w w:val="105"/>
        </w:rPr>
        <w:t xml:space="preserve"> </w:t>
      </w:r>
      <w:r w:rsidRPr="00283806">
        <w:rPr>
          <w:w w:val="105"/>
        </w:rPr>
        <w:t>cool</w:t>
      </w:r>
      <w:r w:rsidRPr="00283806">
        <w:rPr>
          <w:spacing w:val="-1"/>
          <w:w w:val="105"/>
        </w:rPr>
        <w:t xml:space="preserve"> </w:t>
      </w:r>
      <w:r w:rsidRPr="00283806">
        <w:rPr>
          <w:w w:val="105"/>
        </w:rPr>
        <w:t>(or</w:t>
      </w:r>
      <w:r w:rsidRPr="00283806">
        <w:rPr>
          <w:spacing w:val="-2"/>
          <w:w w:val="105"/>
        </w:rPr>
        <w:t xml:space="preserve"> </w:t>
      </w:r>
      <w:r w:rsidRPr="00283806">
        <w:rPr>
          <w:w w:val="105"/>
        </w:rPr>
        <w:t>heat)</w:t>
      </w:r>
      <w:r w:rsidRPr="00283806">
        <w:rPr>
          <w:spacing w:val="-2"/>
          <w:w w:val="105"/>
        </w:rPr>
        <w:t xml:space="preserve"> </w:t>
      </w:r>
      <w:r w:rsidRPr="00283806">
        <w:rPr>
          <w:w w:val="105"/>
        </w:rPr>
        <w:t>water</w:t>
      </w:r>
      <w:r w:rsidRPr="00283806">
        <w:rPr>
          <w:spacing w:val="-1"/>
          <w:w w:val="105"/>
        </w:rPr>
        <w:t xml:space="preserve"> </w:t>
      </w:r>
      <w:r w:rsidRPr="00283806">
        <w:rPr>
          <w:w w:val="105"/>
        </w:rPr>
        <w:t>that</w:t>
      </w:r>
      <w:r w:rsidRPr="00283806">
        <w:rPr>
          <w:spacing w:val="-2"/>
          <w:w w:val="105"/>
        </w:rPr>
        <w:t xml:space="preserve"> </w:t>
      </w:r>
      <w:r w:rsidRPr="00283806">
        <w:rPr>
          <w:spacing w:val="-5"/>
          <w:w w:val="105"/>
        </w:rPr>
        <w:t>is</w:t>
      </w:r>
      <w:r w:rsidRPr="00283806">
        <w:tab/>
      </w:r>
      <w:r w:rsidRPr="00283806">
        <w:rPr>
          <w:u w:val="single"/>
        </w:rPr>
        <w:tab/>
      </w:r>
      <w:r w:rsidRPr="00283806">
        <w:tab/>
      </w:r>
      <w:r w:rsidRPr="00283806">
        <w:rPr>
          <w:w w:val="110"/>
          <w:position w:val="1"/>
        </w:rPr>
        <w:t>the</w:t>
      </w:r>
      <w:r w:rsidRPr="00283806">
        <w:rPr>
          <w:spacing w:val="-4"/>
          <w:w w:val="110"/>
          <w:position w:val="1"/>
        </w:rPr>
        <w:t xml:space="preserve"> </w:t>
      </w:r>
      <w:r w:rsidRPr="00283806">
        <w:rPr>
          <w:w w:val="110"/>
          <w:position w:val="1"/>
        </w:rPr>
        <w:t>Agency’s</w:t>
      </w:r>
      <w:r w:rsidRPr="00283806">
        <w:rPr>
          <w:spacing w:val="-3"/>
          <w:w w:val="110"/>
          <w:position w:val="1"/>
        </w:rPr>
        <w:t xml:space="preserve"> </w:t>
      </w:r>
      <w:r w:rsidRPr="00283806">
        <w:rPr>
          <w:w w:val="110"/>
          <w:position w:val="1"/>
        </w:rPr>
        <w:t>decision</w:t>
      </w:r>
      <w:r w:rsidRPr="00283806">
        <w:rPr>
          <w:spacing w:val="-4"/>
          <w:w w:val="110"/>
          <w:position w:val="1"/>
        </w:rPr>
        <w:t xml:space="preserve"> </w:t>
      </w:r>
      <w:r w:rsidRPr="00283806">
        <w:rPr>
          <w:w w:val="110"/>
          <w:position w:val="1"/>
        </w:rPr>
        <w:t>to</w:t>
      </w:r>
      <w:r w:rsidRPr="00283806">
        <w:rPr>
          <w:spacing w:val="-3"/>
          <w:w w:val="110"/>
          <w:position w:val="1"/>
        </w:rPr>
        <w:t xml:space="preserve"> </w:t>
      </w:r>
      <w:r w:rsidRPr="00283806">
        <w:rPr>
          <w:spacing w:val="-2"/>
          <w:w w:val="110"/>
          <w:position w:val="1"/>
        </w:rPr>
        <w:t>exclude</w:t>
      </w:r>
    </w:p>
    <w:p w14:paraId="37765606" w14:textId="77777777" w:rsidR="00D67C1E" w:rsidRPr="00283806" w:rsidRDefault="00D67C1E">
      <w:pPr>
        <w:spacing w:line="169" w:lineRule="exact"/>
        <w:sectPr w:rsidR="00D67C1E" w:rsidRPr="00283806">
          <w:type w:val="continuous"/>
          <w:pgSz w:w="12240" w:h="15840"/>
          <w:pgMar w:top="880" w:right="780" w:bottom="280" w:left="740" w:header="627" w:footer="0" w:gutter="0"/>
          <w:cols w:space="720"/>
        </w:sectPr>
      </w:pPr>
    </w:p>
    <w:p w14:paraId="51CF0330" w14:textId="77777777" w:rsidR="00D67C1E" w:rsidRPr="00283806" w:rsidRDefault="001265CA">
      <w:pPr>
        <w:pStyle w:val="BodyText"/>
        <w:spacing w:before="24" w:line="225" w:lineRule="auto"/>
        <w:ind w:left="159" w:right="26"/>
      </w:pPr>
      <w:r w:rsidRPr="00283806">
        <w:rPr>
          <w:w w:val="105"/>
        </w:rPr>
        <w:t>then</w:t>
      </w:r>
      <w:r w:rsidRPr="00283806">
        <w:rPr>
          <w:spacing w:val="40"/>
          <w:w w:val="105"/>
        </w:rPr>
        <w:t xml:space="preserve"> </w:t>
      </w:r>
      <w:r w:rsidRPr="00283806">
        <w:rPr>
          <w:w w:val="105"/>
        </w:rPr>
        <w:t>used</w:t>
      </w:r>
      <w:r w:rsidRPr="00283806">
        <w:rPr>
          <w:spacing w:val="40"/>
          <w:w w:val="105"/>
        </w:rPr>
        <w:t xml:space="preserve"> </w:t>
      </w:r>
      <w:r w:rsidRPr="00283806">
        <w:rPr>
          <w:w w:val="105"/>
        </w:rPr>
        <w:t>to</w:t>
      </w:r>
      <w:r w:rsidRPr="00283806">
        <w:rPr>
          <w:spacing w:val="40"/>
          <w:w w:val="105"/>
        </w:rPr>
        <w:t xml:space="preserve"> </w:t>
      </w:r>
      <w:r w:rsidRPr="00283806">
        <w:rPr>
          <w:w w:val="105"/>
        </w:rPr>
        <w:t>condition</w:t>
      </w:r>
      <w:r w:rsidRPr="00283806">
        <w:rPr>
          <w:spacing w:val="40"/>
          <w:w w:val="105"/>
        </w:rPr>
        <w:t xml:space="preserve"> </w:t>
      </w:r>
      <w:r w:rsidRPr="00283806">
        <w:rPr>
          <w:w w:val="105"/>
        </w:rPr>
        <w:t>air.</w:t>
      </w:r>
      <w:r w:rsidRPr="00283806">
        <w:rPr>
          <w:w w:val="105"/>
          <w:position w:val="5"/>
          <w:sz w:val="11"/>
        </w:rPr>
        <w:t>62</w:t>
      </w:r>
      <w:r w:rsidRPr="00283806">
        <w:rPr>
          <w:spacing w:val="40"/>
          <w:w w:val="105"/>
          <w:position w:val="5"/>
          <w:sz w:val="11"/>
        </w:rPr>
        <w:t xml:space="preserve"> </w:t>
      </w:r>
      <w:r w:rsidRPr="00283806">
        <w:rPr>
          <w:w w:val="105"/>
        </w:rPr>
        <w:t>The Agency intends for the term as used in</w:t>
      </w:r>
      <w:r w:rsidRPr="00283806">
        <w:rPr>
          <w:spacing w:val="40"/>
          <w:w w:val="105"/>
        </w:rPr>
        <w:t xml:space="preserve"> </w:t>
      </w:r>
      <w:r w:rsidRPr="00283806">
        <w:rPr>
          <w:w w:val="105"/>
        </w:rPr>
        <w:t>the context of this rulemaking under subsection (h) to have the same meaning as it has under the SNAP program, given the Agency’s experience in regulating</w:t>
      </w:r>
      <w:r w:rsidRPr="00283806">
        <w:rPr>
          <w:spacing w:val="80"/>
          <w:w w:val="105"/>
        </w:rPr>
        <w:t xml:space="preserve"> </w:t>
      </w:r>
      <w:r w:rsidRPr="00283806">
        <w:rPr>
          <w:w w:val="105"/>
        </w:rPr>
        <w:t>this end-use under SNAP and its expectation that the regulated</w:t>
      </w:r>
      <w:r w:rsidRPr="00283806">
        <w:rPr>
          <w:spacing w:val="40"/>
          <w:w w:val="105"/>
        </w:rPr>
        <w:t xml:space="preserve"> </w:t>
      </w:r>
      <w:r w:rsidRPr="00283806">
        <w:rPr>
          <w:w w:val="105"/>
        </w:rPr>
        <w:t>community</w:t>
      </w:r>
      <w:r w:rsidRPr="00283806">
        <w:rPr>
          <w:spacing w:val="40"/>
          <w:w w:val="105"/>
        </w:rPr>
        <w:t xml:space="preserve"> </w:t>
      </w:r>
      <w:r w:rsidRPr="00283806">
        <w:rPr>
          <w:w w:val="105"/>
        </w:rPr>
        <w:t>is</w:t>
      </w:r>
      <w:r w:rsidRPr="00283806">
        <w:rPr>
          <w:spacing w:val="40"/>
          <w:w w:val="105"/>
        </w:rPr>
        <w:t xml:space="preserve"> </w:t>
      </w:r>
      <w:r w:rsidRPr="00283806">
        <w:rPr>
          <w:w w:val="105"/>
        </w:rPr>
        <w:t>familiar</w:t>
      </w:r>
      <w:r w:rsidRPr="00283806">
        <w:rPr>
          <w:spacing w:val="40"/>
          <w:w w:val="105"/>
        </w:rPr>
        <w:t xml:space="preserve"> </w:t>
      </w:r>
      <w:r w:rsidRPr="00283806">
        <w:rPr>
          <w:w w:val="105"/>
        </w:rPr>
        <w:t>with</w:t>
      </w:r>
      <w:r w:rsidRPr="00283806">
        <w:rPr>
          <w:spacing w:val="40"/>
          <w:w w:val="105"/>
        </w:rPr>
        <w:t xml:space="preserve"> </w:t>
      </w:r>
      <w:r w:rsidRPr="00283806">
        <w:rPr>
          <w:w w:val="105"/>
        </w:rPr>
        <w:t>this</w:t>
      </w:r>
      <w:r w:rsidRPr="00283806">
        <w:rPr>
          <w:spacing w:val="40"/>
          <w:w w:val="105"/>
        </w:rPr>
        <w:t xml:space="preserve"> </w:t>
      </w:r>
      <w:r w:rsidRPr="00283806">
        <w:rPr>
          <w:w w:val="105"/>
        </w:rPr>
        <w:t>term and its use under SNAP.</w:t>
      </w:r>
    </w:p>
    <w:p w14:paraId="0DBA2E91" w14:textId="77777777" w:rsidR="00D67C1E" w:rsidRPr="00283806" w:rsidRDefault="001265CA">
      <w:pPr>
        <w:pStyle w:val="BodyText"/>
        <w:spacing w:line="186" w:lineRule="exact"/>
        <w:ind w:left="0" w:right="276"/>
        <w:jc w:val="right"/>
      </w:pPr>
      <w:r w:rsidRPr="00283806">
        <w:rPr>
          <w:w w:val="110"/>
        </w:rPr>
        <w:t>The</w:t>
      </w:r>
      <w:r w:rsidRPr="00283806">
        <w:rPr>
          <w:spacing w:val="-2"/>
          <w:w w:val="110"/>
        </w:rPr>
        <w:t xml:space="preserve"> </w:t>
      </w:r>
      <w:r w:rsidRPr="00283806">
        <w:rPr>
          <w:w w:val="110"/>
        </w:rPr>
        <w:t>SNAP</w:t>
      </w:r>
      <w:r w:rsidRPr="00283806">
        <w:rPr>
          <w:spacing w:val="-2"/>
          <w:w w:val="110"/>
        </w:rPr>
        <w:t xml:space="preserve"> </w:t>
      </w:r>
      <w:r w:rsidRPr="00283806">
        <w:rPr>
          <w:w w:val="110"/>
        </w:rPr>
        <w:t>terminology</w:t>
      </w:r>
      <w:r w:rsidRPr="00283806">
        <w:rPr>
          <w:spacing w:val="-2"/>
          <w:w w:val="110"/>
        </w:rPr>
        <w:t xml:space="preserve"> </w:t>
      </w:r>
      <w:r w:rsidRPr="00283806">
        <w:rPr>
          <w:w w:val="110"/>
        </w:rPr>
        <w:t>is</w:t>
      </w:r>
      <w:r w:rsidRPr="00283806">
        <w:rPr>
          <w:spacing w:val="-2"/>
          <w:w w:val="110"/>
        </w:rPr>
        <w:t xml:space="preserve"> </w:t>
      </w:r>
      <w:r w:rsidRPr="00283806">
        <w:rPr>
          <w:w w:val="110"/>
        </w:rPr>
        <w:t>based,</w:t>
      </w:r>
      <w:r w:rsidRPr="00283806">
        <w:rPr>
          <w:spacing w:val="-2"/>
          <w:w w:val="110"/>
        </w:rPr>
        <w:t xml:space="preserve"> </w:t>
      </w:r>
      <w:r w:rsidRPr="00283806">
        <w:rPr>
          <w:spacing w:val="-5"/>
          <w:w w:val="110"/>
        </w:rPr>
        <w:t>in</w:t>
      </w:r>
    </w:p>
    <w:p w14:paraId="3A993A42" w14:textId="77777777" w:rsidR="00D67C1E" w:rsidRPr="00283806" w:rsidRDefault="001265CA">
      <w:pPr>
        <w:pStyle w:val="BodyText"/>
        <w:spacing w:line="206" w:lineRule="exact"/>
        <w:ind w:left="0" w:right="255"/>
        <w:jc w:val="right"/>
      </w:pPr>
      <w:r w:rsidRPr="00283806">
        <w:rPr>
          <w:w w:val="105"/>
        </w:rPr>
        <w:t>part,</w:t>
      </w:r>
      <w:r w:rsidRPr="00283806">
        <w:rPr>
          <w:spacing w:val="25"/>
          <w:w w:val="105"/>
        </w:rPr>
        <w:t xml:space="preserve"> </w:t>
      </w:r>
      <w:r w:rsidRPr="00283806">
        <w:rPr>
          <w:w w:val="105"/>
        </w:rPr>
        <w:t>on</w:t>
      </w:r>
      <w:r w:rsidRPr="00283806">
        <w:rPr>
          <w:spacing w:val="26"/>
          <w:w w:val="105"/>
        </w:rPr>
        <w:t xml:space="preserve"> </w:t>
      </w:r>
      <w:r w:rsidRPr="00283806">
        <w:rPr>
          <w:w w:val="105"/>
        </w:rPr>
        <w:t>ASHRAE’s</w:t>
      </w:r>
      <w:r w:rsidRPr="00283806">
        <w:rPr>
          <w:spacing w:val="25"/>
          <w:w w:val="105"/>
        </w:rPr>
        <w:t xml:space="preserve"> </w:t>
      </w:r>
      <w:r w:rsidRPr="00283806">
        <w:rPr>
          <w:w w:val="105"/>
        </w:rPr>
        <w:t>standard</w:t>
      </w:r>
      <w:r w:rsidRPr="00283806">
        <w:rPr>
          <w:spacing w:val="26"/>
          <w:w w:val="105"/>
        </w:rPr>
        <w:t xml:space="preserve"> </w:t>
      </w:r>
      <w:r w:rsidRPr="00283806">
        <w:rPr>
          <w:spacing w:val="-2"/>
          <w:w w:val="105"/>
        </w:rPr>
        <w:t>15–2022</w:t>
      </w:r>
    </w:p>
    <w:p w14:paraId="235CB7B1" w14:textId="77777777" w:rsidR="00D67C1E" w:rsidRPr="00283806" w:rsidRDefault="001265CA">
      <w:pPr>
        <w:pStyle w:val="BodyText"/>
        <w:spacing w:before="10"/>
        <w:ind w:left="0"/>
        <w:rPr>
          <w:sz w:val="12"/>
        </w:rPr>
      </w:pPr>
      <w:r w:rsidRPr="00283806">
        <w:rPr>
          <w:noProof/>
        </w:rPr>
        <mc:AlternateContent>
          <mc:Choice Requires="wps">
            <w:drawing>
              <wp:anchor distT="0" distB="0" distL="0" distR="0" simplePos="0" relativeHeight="251635712" behindDoc="1" locked="0" layoutInCell="1" allowOverlap="1" wp14:anchorId="6835E7FB" wp14:editId="71ECD918">
                <wp:simplePos x="0" y="0"/>
                <wp:positionH relativeFrom="page">
                  <wp:posOffset>571500</wp:posOffset>
                </wp:positionH>
                <wp:positionV relativeFrom="paragraph">
                  <wp:posOffset>110984</wp:posOffset>
                </wp:positionV>
                <wp:extent cx="635000" cy="1270"/>
                <wp:effectExtent l="0" t="0" r="0" b="0"/>
                <wp:wrapTopAndBottom/>
                <wp:docPr id="67" name="Graphic 6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667741C" id="Graphic 67" o:spid="_x0000_s1026" alt="&quot;&quot;" style="position:absolute;margin-left:45pt;margin-top:8.75pt;width:50pt;height:.1pt;z-index:-251680768;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" path="m,l635000,e" filled="f" strokeweight=".5pt">
                <v:path arrowok="t"/>
                <w10:wrap type="topAndBottom" anchorx="page"/>
              </v:shape>
            </w:pict>
          </mc:Fallback>
        </mc:AlternateContent>
      </w:r>
    </w:p>
    <w:p w14:paraId="36FFC03E" w14:textId="77777777" w:rsidR="00D67C1E" w:rsidRPr="00283806" w:rsidRDefault="001265CA">
      <w:pPr>
        <w:spacing w:before="36"/>
        <w:ind w:left="300"/>
        <w:rPr>
          <w:sz w:val="14"/>
        </w:rPr>
      </w:pPr>
      <w:r w:rsidRPr="00283806">
        <w:rPr>
          <w:w w:val="105"/>
          <w:position w:val="4"/>
          <w:sz w:val="9"/>
        </w:rPr>
        <w:t>62</w:t>
      </w:r>
      <w:r w:rsidRPr="00283806">
        <w:rPr>
          <w:spacing w:val="3"/>
          <w:w w:val="105"/>
          <w:position w:val="4"/>
          <w:sz w:val="9"/>
        </w:rPr>
        <w:t xml:space="preserve"> </w:t>
      </w:r>
      <w:r w:rsidRPr="00283806">
        <w:rPr>
          <w:w w:val="105"/>
          <w:sz w:val="14"/>
        </w:rPr>
        <w:t>SNAP</w:t>
      </w:r>
      <w:r w:rsidRPr="00283806">
        <w:rPr>
          <w:spacing w:val="10"/>
          <w:w w:val="105"/>
          <w:sz w:val="14"/>
        </w:rPr>
        <w:t xml:space="preserve"> </w:t>
      </w:r>
      <w:r w:rsidRPr="00283806">
        <w:rPr>
          <w:w w:val="105"/>
          <w:sz w:val="14"/>
        </w:rPr>
        <w:t>Notice</w:t>
      </w:r>
      <w:r w:rsidRPr="00283806">
        <w:rPr>
          <w:spacing w:val="9"/>
          <w:w w:val="105"/>
          <w:sz w:val="14"/>
        </w:rPr>
        <w:t xml:space="preserve"> </w:t>
      </w:r>
      <w:r w:rsidRPr="00283806">
        <w:rPr>
          <w:w w:val="105"/>
          <w:sz w:val="14"/>
        </w:rPr>
        <w:t>23</w:t>
      </w:r>
      <w:r w:rsidRPr="00283806">
        <w:rPr>
          <w:spacing w:val="10"/>
          <w:w w:val="105"/>
          <w:sz w:val="14"/>
        </w:rPr>
        <w:t xml:space="preserve"> </w:t>
      </w:r>
      <w:r w:rsidRPr="00283806">
        <w:rPr>
          <w:w w:val="105"/>
          <w:sz w:val="14"/>
        </w:rPr>
        <w:t>(January</w:t>
      </w:r>
      <w:r w:rsidRPr="00283806">
        <w:rPr>
          <w:spacing w:val="10"/>
          <w:w w:val="105"/>
          <w:sz w:val="14"/>
        </w:rPr>
        <w:t xml:space="preserve"> </w:t>
      </w:r>
      <w:r w:rsidRPr="00283806">
        <w:rPr>
          <w:w w:val="105"/>
          <w:sz w:val="14"/>
        </w:rPr>
        <w:t>2,</w:t>
      </w:r>
      <w:r w:rsidRPr="00283806">
        <w:rPr>
          <w:spacing w:val="10"/>
          <w:w w:val="105"/>
          <w:sz w:val="14"/>
        </w:rPr>
        <w:t xml:space="preserve"> </w:t>
      </w:r>
      <w:r w:rsidRPr="00283806">
        <w:rPr>
          <w:w w:val="105"/>
          <w:sz w:val="14"/>
        </w:rPr>
        <w:t>2009;</w:t>
      </w:r>
      <w:r w:rsidRPr="00283806">
        <w:rPr>
          <w:spacing w:val="9"/>
          <w:w w:val="105"/>
          <w:sz w:val="14"/>
        </w:rPr>
        <w:t xml:space="preserve"> </w:t>
      </w:r>
      <w:r w:rsidRPr="00283806">
        <w:rPr>
          <w:w w:val="105"/>
          <w:sz w:val="14"/>
        </w:rPr>
        <w:t>74</w:t>
      </w:r>
      <w:r w:rsidRPr="00283806">
        <w:rPr>
          <w:spacing w:val="10"/>
          <w:w w:val="105"/>
          <w:sz w:val="14"/>
        </w:rPr>
        <w:t xml:space="preserve"> </w:t>
      </w:r>
      <w:r w:rsidRPr="00283806">
        <w:rPr>
          <w:w w:val="105"/>
          <w:sz w:val="14"/>
        </w:rPr>
        <w:t>FR</w:t>
      </w:r>
      <w:r w:rsidRPr="00283806">
        <w:rPr>
          <w:spacing w:val="10"/>
          <w:w w:val="105"/>
          <w:sz w:val="14"/>
        </w:rPr>
        <w:t xml:space="preserve"> </w:t>
      </w:r>
      <w:r w:rsidRPr="00283806">
        <w:rPr>
          <w:spacing w:val="-4"/>
          <w:w w:val="105"/>
          <w:sz w:val="14"/>
        </w:rPr>
        <w:t>21).</w:t>
      </w:r>
    </w:p>
    <w:p w14:paraId="0C7ED42E" w14:textId="59AB7E04" w:rsidR="00D67C1E" w:rsidRPr="00283806" w:rsidRDefault="001265CA">
      <w:pPr>
        <w:spacing w:before="62" w:line="232" w:lineRule="auto"/>
        <w:ind w:left="145" w:right="38" w:firstLine="140"/>
        <w:rPr>
          <w:rFonts w:ascii="Book Antiqua"/>
          <w:i/>
          <w:sz w:val="14"/>
        </w:rPr>
      </w:pPr>
      <w:r w:rsidRPr="00283806">
        <w:br w:type="column"/>
      </w:r>
      <w:r w:rsidRPr="00283806">
        <w:rPr>
          <w:w w:val="105"/>
          <w:position w:val="4"/>
          <w:sz w:val="9"/>
        </w:rPr>
        <w:t xml:space="preserve">63 </w:t>
      </w:r>
      <w:r w:rsidRPr="00283806">
        <w:rPr>
          <w:w w:val="105"/>
          <w:sz w:val="14"/>
        </w:rPr>
        <w:t>The Technology Transitions Rule describes</w:t>
      </w:r>
      <w:r w:rsidRPr="00283806">
        <w:rPr>
          <w:spacing w:val="40"/>
          <w:w w:val="105"/>
          <w:sz w:val="14"/>
        </w:rPr>
        <w:t xml:space="preserve"> </w:t>
      </w:r>
      <w:r w:rsidRPr="00283806">
        <w:rPr>
          <w:w w:val="105"/>
          <w:sz w:val="14"/>
        </w:rPr>
        <w:t>rooftop AC units as products that combine the</w:t>
      </w:r>
      <w:r w:rsidRPr="00283806">
        <w:rPr>
          <w:spacing w:val="40"/>
          <w:w w:val="105"/>
          <w:sz w:val="14"/>
        </w:rPr>
        <w:t xml:space="preserve"> </w:t>
      </w:r>
      <w:r w:rsidRPr="00283806">
        <w:rPr>
          <w:w w:val="105"/>
          <w:sz w:val="14"/>
        </w:rPr>
        <w:t>compressor, condenser, evaporator, and a fan for</w:t>
      </w:r>
      <w:r w:rsidRPr="00283806">
        <w:rPr>
          <w:spacing w:val="40"/>
          <w:w w:val="105"/>
          <w:sz w:val="14"/>
        </w:rPr>
        <w:t xml:space="preserve"> </w:t>
      </w:r>
      <w:r w:rsidRPr="00283806">
        <w:rPr>
          <w:w w:val="105"/>
          <w:sz w:val="14"/>
        </w:rPr>
        <w:t>ventilation in a single package and may contain</w:t>
      </w:r>
      <w:r w:rsidRPr="00283806">
        <w:rPr>
          <w:spacing w:val="40"/>
          <w:w w:val="105"/>
          <w:sz w:val="14"/>
        </w:rPr>
        <w:t xml:space="preserve"> </w:t>
      </w:r>
      <w:r w:rsidRPr="00283806">
        <w:rPr>
          <w:w w:val="105"/>
          <w:sz w:val="14"/>
        </w:rPr>
        <w:t>additional components for filtration and</w:t>
      </w:r>
      <w:r w:rsidRPr="00283806">
        <w:rPr>
          <w:spacing w:val="40"/>
          <w:w w:val="105"/>
          <w:sz w:val="14"/>
        </w:rPr>
        <w:t xml:space="preserve"> </w:t>
      </w:r>
      <w:r w:rsidRPr="00283806">
        <w:rPr>
          <w:w w:val="105"/>
          <w:sz w:val="14"/>
        </w:rPr>
        <w:t>dehumidification. Most units also include dampers</w:t>
      </w:r>
      <w:r w:rsidRPr="00283806">
        <w:rPr>
          <w:spacing w:val="40"/>
          <w:w w:val="105"/>
          <w:sz w:val="14"/>
        </w:rPr>
        <w:t xml:space="preserve"> </w:t>
      </w:r>
      <w:r w:rsidRPr="00283806">
        <w:rPr>
          <w:w w:val="105"/>
          <w:sz w:val="14"/>
        </w:rPr>
        <w:t>to control air intake. Rooftop AC units cool or heat</w:t>
      </w:r>
      <w:r w:rsidRPr="00283806">
        <w:rPr>
          <w:spacing w:val="40"/>
          <w:w w:val="105"/>
          <w:sz w:val="14"/>
        </w:rPr>
        <w:t xml:space="preserve"> </w:t>
      </w:r>
      <w:r w:rsidRPr="00283806">
        <w:rPr>
          <w:w w:val="105"/>
          <w:sz w:val="14"/>
        </w:rPr>
        <w:t>outside air that is then delivered to the space</w:t>
      </w:r>
      <w:r w:rsidRPr="00283806">
        <w:rPr>
          <w:spacing w:val="40"/>
          <w:w w:val="105"/>
          <w:sz w:val="14"/>
        </w:rPr>
        <w:t xml:space="preserve"> </w:t>
      </w:r>
      <w:r w:rsidRPr="00283806">
        <w:rPr>
          <w:w w:val="105"/>
          <w:sz w:val="14"/>
        </w:rPr>
        <w:t>directly through the ceiling or through a duct</w:t>
      </w:r>
      <w:r w:rsidRPr="00283806">
        <w:rPr>
          <w:spacing w:val="40"/>
          <w:w w:val="105"/>
          <w:sz w:val="14"/>
        </w:rPr>
        <w:t xml:space="preserve"> </w:t>
      </w:r>
      <w:r w:rsidRPr="00283806">
        <w:rPr>
          <w:w w:val="105"/>
          <w:sz w:val="14"/>
        </w:rPr>
        <w:t>network. Rooftop AC units are common in small</w:t>
      </w:r>
      <w:r w:rsidRPr="00283806">
        <w:rPr>
          <w:spacing w:val="40"/>
          <w:w w:val="105"/>
          <w:sz w:val="14"/>
        </w:rPr>
        <w:t xml:space="preserve"> </w:t>
      </w:r>
      <w:r w:rsidRPr="00283806">
        <w:rPr>
          <w:w w:val="105"/>
          <w:sz w:val="14"/>
        </w:rPr>
        <w:t>commercial buildings such as a single store in a</w:t>
      </w:r>
      <w:r w:rsidRPr="00283806">
        <w:rPr>
          <w:spacing w:val="80"/>
          <w:w w:val="105"/>
          <w:sz w:val="14"/>
        </w:rPr>
        <w:t xml:space="preserve"> </w:t>
      </w:r>
      <w:r w:rsidRPr="00283806">
        <w:rPr>
          <w:w w:val="105"/>
          <w:sz w:val="14"/>
        </w:rPr>
        <w:t>mall with no indoor passageways between stores.</w:t>
      </w:r>
      <w:r w:rsidRPr="00283806">
        <w:rPr>
          <w:spacing w:val="40"/>
          <w:w w:val="105"/>
          <w:sz w:val="14"/>
        </w:rPr>
        <w:t xml:space="preserve"> </w:t>
      </w:r>
      <w:r w:rsidRPr="00283806">
        <w:rPr>
          <w:w w:val="105"/>
          <w:sz w:val="14"/>
        </w:rPr>
        <w:t>They can also be set up in an array to provide</w:t>
      </w:r>
      <w:r w:rsidRPr="00283806">
        <w:rPr>
          <w:spacing w:val="40"/>
          <w:w w:val="105"/>
          <w:sz w:val="14"/>
        </w:rPr>
        <w:t xml:space="preserve"> </w:t>
      </w:r>
      <w:r w:rsidRPr="00283806">
        <w:rPr>
          <w:w w:val="105"/>
          <w:sz w:val="14"/>
        </w:rPr>
        <w:t>cooling or heating throughout a larger commercial</w:t>
      </w:r>
      <w:r w:rsidRPr="00283806">
        <w:rPr>
          <w:spacing w:val="40"/>
          <w:w w:val="105"/>
          <w:sz w:val="14"/>
        </w:rPr>
        <w:t xml:space="preserve"> </w:t>
      </w:r>
      <w:r w:rsidRPr="00283806">
        <w:rPr>
          <w:w w:val="105"/>
          <w:sz w:val="14"/>
        </w:rPr>
        <w:t>establishment such as a department store or</w:t>
      </w:r>
      <w:r w:rsidRPr="00283806">
        <w:rPr>
          <w:spacing w:val="40"/>
          <w:w w:val="105"/>
          <w:sz w:val="14"/>
        </w:rPr>
        <w:t xml:space="preserve"> </w:t>
      </w:r>
      <w:r w:rsidRPr="00283806">
        <w:rPr>
          <w:w w:val="105"/>
          <w:sz w:val="14"/>
        </w:rPr>
        <w:t xml:space="preserve">supermarket. </w:t>
      </w:r>
      <w:r w:rsidRPr="00283806">
        <w:rPr>
          <w:rFonts w:ascii="Book Antiqua"/>
          <w:i/>
          <w:w w:val="105"/>
          <w:sz w:val="14"/>
        </w:rPr>
        <w:t>https://www.federalregister.gov/d/</w:t>
      </w:r>
      <w:r w:rsidRPr="00283806">
        <w:rPr>
          <w:rFonts w:ascii="Book Antiqua"/>
          <w:i/>
          <w:spacing w:val="80"/>
          <w:w w:val="105"/>
          <w:sz w:val="14"/>
        </w:rPr>
        <w:t xml:space="preserve"> </w:t>
      </w:r>
      <w:r w:rsidRPr="00283806">
        <w:rPr>
          <w:rFonts w:ascii="Book Antiqua"/>
          <w:i/>
          <w:spacing w:val="-2"/>
          <w:w w:val="105"/>
          <w:sz w:val="14"/>
        </w:rPr>
        <w:t>2023-22529/p-903.</w:t>
      </w:r>
    </w:p>
    <w:p w14:paraId="789EB163" w14:textId="77777777" w:rsidR="00D67C1E" w:rsidRPr="00283806" w:rsidRDefault="001265CA">
      <w:pPr>
        <w:pStyle w:val="BodyText"/>
        <w:spacing w:before="10" w:line="225" w:lineRule="auto"/>
        <w:ind w:left="159" w:right="196"/>
      </w:pPr>
      <w:r w:rsidRPr="00283806">
        <w:br w:type="column"/>
      </w:r>
      <w:r w:rsidRPr="00283806">
        <w:rPr>
          <w:w w:val="105"/>
        </w:rPr>
        <w:t>residential systems but encouraged EPA to establish leak repair requirements for light commercial air conditioning and heat pumps. A separate commenter in support of the exemption suggested that the Agency could revisit the leak repair exemption for residential air conditioning and heat pump systems at</w:t>
      </w:r>
      <w:r w:rsidRPr="00283806">
        <w:rPr>
          <w:spacing w:val="80"/>
          <w:w w:val="105"/>
        </w:rPr>
        <w:t xml:space="preserve"> </w:t>
      </w:r>
      <w:r w:rsidRPr="00283806">
        <w:rPr>
          <w:w w:val="105"/>
        </w:rPr>
        <w:t>a future date as leak detection solutions become available and cost-effective for these systems.</w:t>
      </w:r>
    </w:p>
    <w:p w14:paraId="7B082A82" w14:textId="77777777" w:rsidR="00D67C1E" w:rsidRPr="00283806" w:rsidRDefault="001265CA">
      <w:pPr>
        <w:pStyle w:val="BodyText"/>
        <w:spacing w:line="220" w:lineRule="auto"/>
        <w:ind w:left="159" w:right="286" w:firstLine="180"/>
      </w:pPr>
      <w:r w:rsidRPr="00283806">
        <w:rPr>
          <w:rFonts w:ascii="Book Antiqua"/>
          <w:i/>
          <w:w w:val="105"/>
        </w:rPr>
        <w:t xml:space="preserve">Response: </w:t>
      </w:r>
      <w:r w:rsidRPr="00283806">
        <w:rPr>
          <w:w w:val="105"/>
        </w:rPr>
        <w:t>EPA disagrees with comments requesting that the exemption for residential and light</w:t>
      </w:r>
    </w:p>
    <w:p w14:paraId="0353ADB3" w14:textId="77777777" w:rsidR="00D67C1E" w:rsidRPr="00283806" w:rsidRDefault="00D67C1E">
      <w:pPr>
        <w:spacing w:line="220" w:lineRule="auto"/>
        <w:sectPr w:rsidR="00D67C1E" w:rsidRPr="00283806">
          <w:type w:val="continuous"/>
          <w:pgSz w:w="12240" w:h="15840"/>
          <w:pgMar w:top="880" w:right="780" w:bottom="280" w:left="740" w:header="627" w:footer="0" w:gutter="0"/>
          <w:cols w:num="3" w:space="720" w:equalWidth="0">
            <w:col w:w="3515" w:space="40"/>
            <w:col w:w="3481" w:space="44"/>
            <w:col w:w="3640"/>
          </w:cols>
        </w:sectPr>
      </w:pPr>
    </w:p>
    <w:p w14:paraId="3C3B51DE" w14:textId="77777777" w:rsidR="00D67C1E" w:rsidRPr="00283806" w:rsidRDefault="001265CA">
      <w:pPr>
        <w:pStyle w:val="BodyText"/>
        <w:spacing w:before="128" w:line="228" w:lineRule="auto"/>
        <w:ind w:right="44"/>
      </w:pPr>
      <w:r w:rsidRPr="00283806">
        <w:rPr>
          <w:w w:val="105"/>
        </w:rPr>
        <w:lastRenderedPageBreak/>
        <w:t xml:space="preserve">commercial air conditioning </w:t>
      </w:r>
      <w:proofErr w:type="gramStart"/>
      <w:r w:rsidRPr="00283806">
        <w:rPr>
          <w:w w:val="105"/>
        </w:rPr>
        <w:t>not be</w:t>
      </w:r>
      <w:proofErr w:type="gramEnd"/>
      <w:r w:rsidRPr="00283806">
        <w:rPr>
          <w:w w:val="105"/>
        </w:rPr>
        <w:t xml:space="preserve"> finalized. In the context of the 608 ODS regulations, residential and light commercial air conditioning were not anticipated to be affected by the leak repair provisions because of the regulation’s 50-pound charge size threshold. Under the authority of the</w:t>
      </w:r>
      <w:r w:rsidRPr="00283806">
        <w:rPr>
          <w:spacing w:val="80"/>
          <w:w w:val="105"/>
        </w:rPr>
        <w:t xml:space="preserve"> </w:t>
      </w:r>
      <w:r w:rsidRPr="00283806">
        <w:rPr>
          <w:w w:val="105"/>
        </w:rPr>
        <w:t>AIM Act, EPA sought to align with the</w:t>
      </w:r>
      <w:r w:rsidRPr="00283806">
        <w:rPr>
          <w:spacing w:val="80"/>
          <w:w w:val="105"/>
        </w:rPr>
        <w:t xml:space="preserve"> </w:t>
      </w:r>
      <w:r w:rsidRPr="00283806">
        <w:rPr>
          <w:w w:val="105"/>
        </w:rPr>
        <w:t>608 regulations where appropriate and</w:t>
      </w:r>
      <w:r w:rsidRPr="00283806">
        <w:rPr>
          <w:spacing w:val="40"/>
          <w:w w:val="105"/>
        </w:rPr>
        <w:t xml:space="preserve"> </w:t>
      </w:r>
      <w:r w:rsidRPr="00283806">
        <w:rPr>
          <w:w w:val="105"/>
        </w:rPr>
        <w:t xml:space="preserve">to lower the charge size threshold to 15 pounds for reasons as further discussed in section IV.C.1 of the preamble. In the proposed rule, EPA recognized that a lower leak repair </w:t>
      </w:r>
      <w:proofErr w:type="gramStart"/>
      <w:r w:rsidRPr="00283806">
        <w:rPr>
          <w:w w:val="105"/>
        </w:rPr>
        <w:t>charge size</w:t>
      </w:r>
      <w:proofErr w:type="gramEnd"/>
      <w:r w:rsidRPr="00283806">
        <w:rPr>
          <w:w w:val="105"/>
        </w:rPr>
        <w:t xml:space="preserve"> threshold might implicate appliances that are used in the residential and light commercial</w:t>
      </w:r>
      <w:r w:rsidRPr="00283806">
        <w:rPr>
          <w:spacing w:val="40"/>
          <w:w w:val="105"/>
        </w:rPr>
        <w:t xml:space="preserve"> </w:t>
      </w:r>
      <w:r w:rsidRPr="00283806">
        <w:rPr>
          <w:w w:val="105"/>
        </w:rPr>
        <w:t>air conditioning subsector that were not previously subject to leak repair requirements. The Agency notes that the inclusion of refrigerant-containing appliances would greatly expand the number of refrigerant-containing appliances subject to the leak repair requirements and may make the enforcement of the leak repair</w:t>
      </w:r>
      <w:r w:rsidRPr="00283806">
        <w:rPr>
          <w:spacing w:val="80"/>
          <w:w w:val="105"/>
        </w:rPr>
        <w:t xml:space="preserve"> </w:t>
      </w:r>
      <w:r w:rsidRPr="00283806">
        <w:rPr>
          <w:w w:val="105"/>
        </w:rPr>
        <w:t>provisions</w:t>
      </w:r>
      <w:r w:rsidRPr="00283806">
        <w:rPr>
          <w:spacing w:val="40"/>
          <w:w w:val="105"/>
        </w:rPr>
        <w:t xml:space="preserve"> </w:t>
      </w:r>
      <w:r w:rsidRPr="00283806">
        <w:rPr>
          <w:w w:val="105"/>
        </w:rPr>
        <w:t>inefficient.</w:t>
      </w:r>
      <w:r w:rsidRPr="00283806">
        <w:rPr>
          <w:spacing w:val="40"/>
          <w:w w:val="105"/>
        </w:rPr>
        <w:t xml:space="preserve"> </w:t>
      </w:r>
      <w:r w:rsidRPr="00283806">
        <w:rPr>
          <w:w w:val="105"/>
        </w:rPr>
        <w:t>While</w:t>
      </w:r>
      <w:r w:rsidRPr="00283806">
        <w:rPr>
          <w:spacing w:val="40"/>
          <w:w w:val="105"/>
        </w:rPr>
        <w:t xml:space="preserve"> </w:t>
      </w:r>
      <w:r w:rsidRPr="00283806">
        <w:rPr>
          <w:w w:val="105"/>
        </w:rPr>
        <w:t>a</w:t>
      </w:r>
      <w:r w:rsidRPr="00283806">
        <w:rPr>
          <w:spacing w:val="40"/>
          <w:w w:val="105"/>
        </w:rPr>
        <w:t xml:space="preserve"> </w:t>
      </w:r>
      <w:r w:rsidRPr="00283806">
        <w:rPr>
          <w:w w:val="105"/>
        </w:rPr>
        <w:t xml:space="preserve">portion of the refrigerant-containing appliances used in the residential air conditioning subsector may have </w:t>
      </w:r>
      <w:proofErr w:type="gramStart"/>
      <w:r w:rsidRPr="00283806">
        <w:rPr>
          <w:w w:val="105"/>
        </w:rPr>
        <w:t>charge</w:t>
      </w:r>
      <w:proofErr w:type="gramEnd"/>
      <w:r w:rsidRPr="00283806">
        <w:rPr>
          <w:w w:val="105"/>
        </w:rPr>
        <w:t xml:space="preserve"> sizes above</w:t>
      </w:r>
      <w:r w:rsidRPr="00283806">
        <w:rPr>
          <w:spacing w:val="40"/>
          <w:w w:val="105"/>
        </w:rPr>
        <w:t xml:space="preserve"> </w:t>
      </w:r>
      <w:r w:rsidRPr="00283806">
        <w:rPr>
          <w:w w:val="105"/>
        </w:rPr>
        <w:t>15 pounds, the Agency found it prudent</w:t>
      </w:r>
      <w:r w:rsidRPr="00283806">
        <w:rPr>
          <w:spacing w:val="40"/>
          <w:w w:val="105"/>
        </w:rPr>
        <w:t xml:space="preserve"> </w:t>
      </w:r>
      <w:r w:rsidRPr="00283806">
        <w:rPr>
          <w:w w:val="105"/>
        </w:rPr>
        <w:t>to not require wide breadth of leak</w:t>
      </w:r>
      <w:r w:rsidRPr="00283806">
        <w:rPr>
          <w:spacing w:val="80"/>
          <w:w w:val="105"/>
        </w:rPr>
        <w:t xml:space="preserve"> </w:t>
      </w:r>
      <w:r w:rsidRPr="00283806">
        <w:rPr>
          <w:w w:val="105"/>
        </w:rPr>
        <w:t>repair for this category of appliances in the</w:t>
      </w:r>
      <w:r w:rsidRPr="00283806">
        <w:rPr>
          <w:spacing w:val="40"/>
          <w:w w:val="105"/>
        </w:rPr>
        <w:t xml:space="preserve"> </w:t>
      </w:r>
      <w:r w:rsidRPr="00283806">
        <w:rPr>
          <w:w w:val="105"/>
        </w:rPr>
        <w:t>final</w:t>
      </w:r>
      <w:r w:rsidRPr="00283806">
        <w:rPr>
          <w:spacing w:val="40"/>
          <w:w w:val="105"/>
        </w:rPr>
        <w:t xml:space="preserve"> </w:t>
      </w:r>
      <w:r w:rsidRPr="00283806">
        <w:rPr>
          <w:w w:val="105"/>
        </w:rPr>
        <w:t>rule.</w:t>
      </w:r>
      <w:r w:rsidRPr="00283806">
        <w:rPr>
          <w:spacing w:val="40"/>
          <w:w w:val="105"/>
        </w:rPr>
        <w:t xml:space="preserve"> </w:t>
      </w:r>
      <w:r w:rsidRPr="00283806">
        <w:rPr>
          <w:w w:val="105"/>
        </w:rPr>
        <w:t>The</w:t>
      </w:r>
      <w:r w:rsidRPr="00283806">
        <w:rPr>
          <w:spacing w:val="40"/>
          <w:w w:val="105"/>
        </w:rPr>
        <w:t xml:space="preserve"> </w:t>
      </w:r>
      <w:r w:rsidRPr="00283806">
        <w:rPr>
          <w:w w:val="105"/>
        </w:rPr>
        <w:t>Agency</w:t>
      </w:r>
      <w:r w:rsidRPr="00283806">
        <w:rPr>
          <w:spacing w:val="40"/>
          <w:w w:val="105"/>
        </w:rPr>
        <w:t xml:space="preserve"> </w:t>
      </w:r>
      <w:r w:rsidRPr="00283806">
        <w:rPr>
          <w:w w:val="105"/>
        </w:rPr>
        <w:t>also</w:t>
      </w:r>
      <w:r w:rsidRPr="00283806">
        <w:rPr>
          <w:spacing w:val="40"/>
          <w:w w:val="105"/>
        </w:rPr>
        <w:t xml:space="preserve"> </w:t>
      </w:r>
      <w:r w:rsidRPr="00283806">
        <w:rPr>
          <w:w w:val="105"/>
        </w:rPr>
        <w:t xml:space="preserve">notes that the specific exclusion of residential air conditioning may ease implementation for this first rule under subsection (h). With </w:t>
      </w:r>
      <w:proofErr w:type="gramStart"/>
      <w:r w:rsidRPr="00283806">
        <w:rPr>
          <w:w w:val="105"/>
        </w:rPr>
        <w:t>a similar</w:t>
      </w:r>
      <w:proofErr w:type="gramEnd"/>
      <w:r w:rsidRPr="00283806">
        <w:rPr>
          <w:w w:val="105"/>
        </w:rPr>
        <w:t xml:space="preserve"> reasoning, the</w:t>
      </w:r>
      <w:r w:rsidRPr="00283806">
        <w:rPr>
          <w:spacing w:val="40"/>
          <w:w w:val="105"/>
        </w:rPr>
        <w:t xml:space="preserve"> </w:t>
      </w:r>
      <w:r w:rsidRPr="00283806">
        <w:rPr>
          <w:w w:val="105"/>
        </w:rPr>
        <w:t>Agency</w:t>
      </w:r>
      <w:r w:rsidRPr="00283806">
        <w:rPr>
          <w:spacing w:val="40"/>
          <w:w w:val="105"/>
        </w:rPr>
        <w:t xml:space="preserve"> </w:t>
      </w:r>
      <w:r w:rsidRPr="00283806">
        <w:rPr>
          <w:w w:val="105"/>
        </w:rPr>
        <w:t>notes</w:t>
      </w:r>
      <w:r w:rsidRPr="00283806">
        <w:rPr>
          <w:spacing w:val="40"/>
          <w:w w:val="105"/>
        </w:rPr>
        <w:t xml:space="preserve"> </w:t>
      </w:r>
      <w:r w:rsidRPr="00283806">
        <w:rPr>
          <w:w w:val="105"/>
        </w:rPr>
        <w:t>similar</w:t>
      </w:r>
      <w:r w:rsidRPr="00283806">
        <w:rPr>
          <w:spacing w:val="40"/>
          <w:w w:val="105"/>
        </w:rPr>
        <w:t xml:space="preserve"> </w:t>
      </w:r>
      <w:r w:rsidRPr="00283806">
        <w:rPr>
          <w:w w:val="105"/>
        </w:rPr>
        <w:t>concerns would arise from making appliances commonly used in light commercial air conditioning (</w:t>
      </w:r>
      <w:r w:rsidRPr="00283806">
        <w:rPr>
          <w:rFonts w:ascii="Book Antiqua" w:hAnsi="Book Antiqua"/>
          <w:i/>
          <w:w w:val="105"/>
        </w:rPr>
        <w:t xml:space="preserve">e.g., </w:t>
      </w:r>
      <w:r w:rsidRPr="00283806">
        <w:rPr>
          <w:w w:val="105"/>
        </w:rPr>
        <w:t>central air conditioners, rooftop AC units, etc.) adhere to the leak repair requirements. For these reasons the Agency disagrees with one commenter’s recommendation to apply the leak repair requirements to light commercial rooftop systems with a charge size greater than five pounds. As one</w:t>
      </w:r>
      <w:r w:rsidRPr="00283806">
        <w:rPr>
          <w:spacing w:val="40"/>
          <w:w w:val="105"/>
        </w:rPr>
        <w:t xml:space="preserve"> </w:t>
      </w:r>
      <w:r w:rsidRPr="00283806">
        <w:rPr>
          <w:w w:val="105"/>
        </w:rPr>
        <w:t>commenter</w:t>
      </w:r>
      <w:r w:rsidRPr="00283806">
        <w:rPr>
          <w:spacing w:val="40"/>
          <w:w w:val="105"/>
        </w:rPr>
        <w:t xml:space="preserve"> </w:t>
      </w:r>
      <w:r w:rsidRPr="00283806">
        <w:rPr>
          <w:w w:val="105"/>
        </w:rPr>
        <w:t>indicated,</w:t>
      </w:r>
      <w:r w:rsidRPr="00283806">
        <w:rPr>
          <w:spacing w:val="40"/>
          <w:w w:val="105"/>
        </w:rPr>
        <w:t xml:space="preserve"> </w:t>
      </w:r>
      <w:r w:rsidRPr="00283806">
        <w:rPr>
          <w:w w:val="105"/>
        </w:rPr>
        <w:t xml:space="preserve">leak detection could be less costly in the future. The Agency agrees it could, in a future notice-and-comment rulemaking, reconsider the leak repair </w:t>
      </w:r>
      <w:proofErr w:type="gramStart"/>
      <w:r w:rsidRPr="00283806">
        <w:rPr>
          <w:w w:val="105"/>
        </w:rPr>
        <w:t>exemption</w:t>
      </w:r>
      <w:proofErr w:type="gramEnd"/>
      <w:r w:rsidRPr="00283806">
        <w:rPr>
          <w:w w:val="105"/>
        </w:rPr>
        <w:t xml:space="preserve"> for residential and light commercial air conditioning and heat pumps.</w:t>
      </w:r>
    </w:p>
    <w:p w14:paraId="4AC08113" w14:textId="77777777" w:rsidR="00D67C1E" w:rsidRPr="00283806" w:rsidRDefault="001265CA">
      <w:pPr>
        <w:pStyle w:val="BodyText"/>
        <w:spacing w:before="134" w:line="225" w:lineRule="auto"/>
        <w:ind w:left="144" w:right="46"/>
      </w:pPr>
      <w:r w:rsidRPr="00283806">
        <w:br w:type="column"/>
      </w:r>
      <w:r w:rsidRPr="00283806">
        <w:rPr>
          <w:w w:val="105"/>
        </w:rPr>
        <w:t xml:space="preserve">using the SNAP terminology to determine the categories of refrigerant- containing appliances that are exempt from the leak repair provision; VRF appliances have </w:t>
      </w:r>
      <w:proofErr w:type="gramStart"/>
      <w:r w:rsidRPr="00283806">
        <w:rPr>
          <w:w w:val="105"/>
        </w:rPr>
        <w:t>been considered to be</w:t>
      </w:r>
      <w:proofErr w:type="gramEnd"/>
      <w:r w:rsidRPr="00283806">
        <w:rPr>
          <w:w w:val="105"/>
        </w:rPr>
        <w:t xml:space="preserve"> part of that SNAP terminology. In the 2023 Technology Transitions Rule, VRF appliances above 65,000 BTU/h were split off from the residential and light commercial AC and HP subsector, and defined as its own subsector, in part because of the complexity of the design and installation of larger VRF systems. The additional year was given to ensure the effective transition to lower-GWP alternatives in the subsector. Further, annual industry estimates by AHRI </w:t>
      </w:r>
      <w:r w:rsidRPr="00283806">
        <w:rPr>
          <w:w w:val="105"/>
          <w:position w:val="5"/>
          <w:sz w:val="11"/>
        </w:rPr>
        <w:t>64</w:t>
      </w:r>
      <w:r w:rsidRPr="00283806">
        <w:rPr>
          <w:spacing w:val="40"/>
          <w:w w:val="105"/>
          <w:position w:val="5"/>
          <w:sz w:val="11"/>
        </w:rPr>
        <w:t xml:space="preserve"> </w:t>
      </w:r>
      <w:r w:rsidRPr="00283806">
        <w:rPr>
          <w:w w:val="105"/>
        </w:rPr>
        <w:t>show that refrigerant-containing appliances with capacities of 65,000 BTU/h or more constitute roughly three percent of all residential and light commercial refrigerant-containing appliances sold. VRF appliances of this size are a subset of this three percent.</w:t>
      </w:r>
    </w:p>
    <w:p w14:paraId="5624950F" w14:textId="77777777" w:rsidR="00D67C1E" w:rsidRPr="00283806" w:rsidRDefault="001265CA">
      <w:pPr>
        <w:pStyle w:val="BodyText"/>
        <w:spacing w:line="225" w:lineRule="auto"/>
        <w:ind w:left="144" w:right="143"/>
      </w:pPr>
      <w:r w:rsidRPr="00283806">
        <w:rPr>
          <w:w w:val="105"/>
        </w:rPr>
        <w:t>Additionally, EPA did not propose and</w:t>
      </w:r>
      <w:r w:rsidRPr="00283806">
        <w:rPr>
          <w:spacing w:val="40"/>
          <w:w w:val="105"/>
        </w:rPr>
        <w:t xml:space="preserve"> </w:t>
      </w:r>
      <w:r w:rsidRPr="00283806">
        <w:rPr>
          <w:w w:val="105"/>
        </w:rPr>
        <w:t>is not finalizing to separate VRF appliances from the leak repair exemption for the residential and light commercial AC and HP subsector. EPA</w:t>
      </w:r>
      <w:r w:rsidRPr="00283806">
        <w:rPr>
          <w:spacing w:val="40"/>
          <w:w w:val="105"/>
        </w:rPr>
        <w:t xml:space="preserve"> </w:t>
      </w:r>
      <w:r w:rsidRPr="00283806">
        <w:rPr>
          <w:w w:val="105"/>
        </w:rPr>
        <w:t xml:space="preserve">in a future notice-and-comment rulemaking may reconsider the inclusion of certain VRF appliances which currently are exempt from the leak repair requirements of this final </w:t>
      </w:r>
      <w:r w:rsidRPr="00283806">
        <w:rPr>
          <w:spacing w:val="-2"/>
          <w:w w:val="105"/>
        </w:rPr>
        <w:t>rule.</w:t>
      </w:r>
    </w:p>
    <w:p w14:paraId="54775483" w14:textId="77777777" w:rsidR="00D67C1E" w:rsidRPr="00283806" w:rsidRDefault="001265CA">
      <w:pPr>
        <w:pStyle w:val="BodyText"/>
        <w:spacing w:line="176" w:lineRule="exact"/>
        <w:ind w:left="324"/>
      </w:pPr>
      <w:r w:rsidRPr="00283806">
        <w:rPr>
          <w:w w:val="105"/>
        </w:rPr>
        <w:t>The</w:t>
      </w:r>
      <w:r w:rsidRPr="00283806">
        <w:rPr>
          <w:spacing w:val="14"/>
          <w:w w:val="105"/>
        </w:rPr>
        <w:t xml:space="preserve"> </w:t>
      </w:r>
      <w:r w:rsidRPr="00283806">
        <w:rPr>
          <w:w w:val="105"/>
        </w:rPr>
        <w:t>Agency</w:t>
      </w:r>
      <w:r w:rsidRPr="00283806">
        <w:rPr>
          <w:spacing w:val="15"/>
          <w:w w:val="105"/>
        </w:rPr>
        <w:t xml:space="preserve"> </w:t>
      </w:r>
      <w:r w:rsidRPr="00283806">
        <w:rPr>
          <w:w w:val="105"/>
        </w:rPr>
        <w:t>is</w:t>
      </w:r>
      <w:r w:rsidRPr="00283806">
        <w:rPr>
          <w:spacing w:val="14"/>
          <w:w w:val="105"/>
        </w:rPr>
        <w:t xml:space="preserve"> </w:t>
      </w:r>
      <w:r w:rsidRPr="00283806">
        <w:rPr>
          <w:w w:val="105"/>
        </w:rPr>
        <w:t>requiring</w:t>
      </w:r>
      <w:r w:rsidRPr="00283806">
        <w:rPr>
          <w:spacing w:val="15"/>
          <w:w w:val="105"/>
        </w:rPr>
        <w:t xml:space="preserve"> </w:t>
      </w:r>
      <w:r w:rsidRPr="00283806">
        <w:rPr>
          <w:w w:val="105"/>
        </w:rPr>
        <w:t>leak</w:t>
      </w:r>
      <w:r w:rsidRPr="00283806">
        <w:rPr>
          <w:spacing w:val="14"/>
          <w:w w:val="105"/>
        </w:rPr>
        <w:t xml:space="preserve"> </w:t>
      </w:r>
      <w:r w:rsidRPr="00283806">
        <w:rPr>
          <w:spacing w:val="-2"/>
          <w:w w:val="105"/>
        </w:rPr>
        <w:t>repair</w:t>
      </w:r>
    </w:p>
    <w:p w14:paraId="00F20D4B" w14:textId="77777777" w:rsidR="00D67C1E" w:rsidRPr="00283806" w:rsidRDefault="001265CA">
      <w:pPr>
        <w:pStyle w:val="BodyText"/>
        <w:spacing w:line="223" w:lineRule="auto"/>
        <w:ind w:left="144"/>
      </w:pPr>
      <w:r w:rsidRPr="00283806">
        <w:rPr>
          <w:w w:val="105"/>
        </w:rPr>
        <w:t>provisions for new and existing passenger buses,</w:t>
      </w:r>
      <w:r w:rsidRPr="00283806">
        <w:rPr>
          <w:w w:val="105"/>
          <w:position w:val="5"/>
          <w:sz w:val="11"/>
        </w:rPr>
        <w:t>65</w:t>
      </w:r>
      <w:r w:rsidRPr="00283806">
        <w:rPr>
          <w:spacing w:val="40"/>
          <w:w w:val="105"/>
          <w:position w:val="5"/>
          <w:sz w:val="11"/>
        </w:rPr>
        <w:t xml:space="preserve"> </w:t>
      </w:r>
      <w:r w:rsidRPr="00283806">
        <w:rPr>
          <w:w w:val="105"/>
        </w:rPr>
        <w:t xml:space="preserve">including school, coach, transit, and trolley buses with charge sizes at or above 15 pounds. The heavy-duty vehicle category </w:t>
      </w:r>
      <w:r w:rsidRPr="00283806">
        <w:rPr>
          <w:w w:val="105"/>
          <w:position w:val="5"/>
          <w:sz w:val="11"/>
        </w:rPr>
        <w:t>66</w:t>
      </w:r>
      <w:r w:rsidRPr="00283806">
        <w:rPr>
          <w:spacing w:val="40"/>
          <w:w w:val="105"/>
          <w:position w:val="5"/>
          <w:sz w:val="11"/>
        </w:rPr>
        <w:t xml:space="preserve"> </w:t>
      </w:r>
      <w:r w:rsidRPr="00283806">
        <w:rPr>
          <w:w w:val="105"/>
        </w:rPr>
        <w:t>incorporates all motor vehicles with a gross vehicle weight rating of 8,500 pounds or greater. Air conditioning systems used to cool passenger compartments in these buses mainly use HFC–134a</w:t>
      </w:r>
      <w:r w:rsidRPr="00283806">
        <w:rPr>
          <w:spacing w:val="40"/>
          <w:w w:val="105"/>
        </w:rPr>
        <w:t xml:space="preserve"> </w:t>
      </w:r>
      <w:r w:rsidRPr="00283806">
        <w:rPr>
          <w:w w:val="105"/>
        </w:rPr>
        <w:t>or</w:t>
      </w:r>
      <w:r w:rsidRPr="00283806">
        <w:rPr>
          <w:spacing w:val="40"/>
          <w:w w:val="105"/>
        </w:rPr>
        <w:t xml:space="preserve"> </w:t>
      </w:r>
      <w:r w:rsidRPr="00283806">
        <w:rPr>
          <w:w w:val="105"/>
        </w:rPr>
        <w:t>R–407C,</w:t>
      </w:r>
      <w:r w:rsidRPr="00283806">
        <w:rPr>
          <w:w w:val="105"/>
          <w:position w:val="5"/>
          <w:sz w:val="11"/>
        </w:rPr>
        <w:t>67</w:t>
      </w:r>
      <w:r w:rsidRPr="00283806">
        <w:rPr>
          <w:spacing w:val="40"/>
          <w:w w:val="105"/>
          <w:position w:val="5"/>
          <w:sz w:val="11"/>
        </w:rPr>
        <w:t xml:space="preserve"> </w:t>
      </w:r>
      <w:r w:rsidRPr="00283806">
        <w:rPr>
          <w:w w:val="105"/>
        </w:rPr>
        <w:t>and</w:t>
      </w:r>
      <w:r w:rsidRPr="00283806">
        <w:rPr>
          <w:spacing w:val="40"/>
          <w:w w:val="105"/>
        </w:rPr>
        <w:t xml:space="preserve"> </w:t>
      </w:r>
      <w:r w:rsidRPr="00283806">
        <w:rPr>
          <w:w w:val="105"/>
        </w:rPr>
        <w:t>are typically manufactured as a separate</w:t>
      </w:r>
      <w:r w:rsidRPr="00283806">
        <w:rPr>
          <w:spacing w:val="80"/>
          <w:w w:val="105"/>
        </w:rPr>
        <w:t xml:space="preserve"> </w:t>
      </w:r>
      <w:r w:rsidRPr="00283806">
        <w:rPr>
          <w:w w:val="105"/>
        </w:rPr>
        <w:t>unit that is pre-charged with refrigerant and installed onto the vehicle in a separate enclosure (</w:t>
      </w:r>
      <w:r w:rsidRPr="00283806">
        <w:rPr>
          <w:rFonts w:ascii="Book Antiqua" w:hAnsi="Book Antiqua"/>
          <w:i/>
          <w:w w:val="105"/>
        </w:rPr>
        <w:t xml:space="preserve">e.g., </w:t>
      </w:r>
      <w:r w:rsidRPr="00283806">
        <w:rPr>
          <w:w w:val="105"/>
        </w:rPr>
        <w:t>roof mounted). The refrigerant charge for these systems is larger than those for other MVAC systems (</w:t>
      </w:r>
      <w:r w:rsidRPr="00283806">
        <w:rPr>
          <w:rFonts w:ascii="Book Antiqua" w:hAnsi="Book Antiqua"/>
          <w:i/>
          <w:w w:val="105"/>
        </w:rPr>
        <w:t xml:space="preserve">e.g., </w:t>
      </w:r>
      <w:r w:rsidRPr="00283806">
        <w:rPr>
          <w:w w:val="105"/>
        </w:rPr>
        <w:t>light-duty motor vehicles), typically ranging from 15 to 30 pounds. MVAC systems used to cool passenger compartments in light-duty, medium-</w:t>
      </w:r>
    </w:p>
    <w:p w14:paraId="60F4B8B5" w14:textId="77777777" w:rsidR="00D67C1E" w:rsidRPr="00283806" w:rsidRDefault="001265CA">
      <w:pPr>
        <w:pStyle w:val="BodyText"/>
        <w:spacing w:before="136" w:line="225" w:lineRule="auto"/>
        <w:ind w:left="154" w:right="141"/>
        <w:rPr>
          <w:rFonts w:ascii="Times New Roman"/>
          <w:sz w:val="11"/>
        </w:rPr>
      </w:pPr>
      <w:r w:rsidRPr="00283806">
        <w:br w:type="column"/>
      </w:r>
      <w:r w:rsidRPr="00283806">
        <w:rPr>
          <w:w w:val="105"/>
        </w:rPr>
        <w:t>duty, heavy-duty on-road and nonroad (off-road) vehicles are typically charged during vehicle manufacture and the</w:t>
      </w:r>
      <w:r w:rsidRPr="00283806">
        <w:rPr>
          <w:spacing w:val="80"/>
          <w:w w:val="105"/>
        </w:rPr>
        <w:t xml:space="preserve"> </w:t>
      </w:r>
      <w:r w:rsidRPr="00283806">
        <w:rPr>
          <w:w w:val="105"/>
        </w:rPr>
        <w:t>main components are connected by flexible refrigerant lines. MVAC systems in these vehicles typically have charge sizes ranging from one to eight pounds depending on the manufacturer and cab size.</w:t>
      </w:r>
      <w:r w:rsidRPr="00283806">
        <w:rPr>
          <w:rFonts w:ascii="Times New Roman"/>
          <w:w w:val="105"/>
          <w:position w:val="4"/>
          <w:sz w:val="11"/>
        </w:rPr>
        <w:t>68</w:t>
      </w:r>
      <w:r w:rsidRPr="00283806">
        <w:rPr>
          <w:rFonts w:ascii="Times New Roman"/>
          <w:spacing w:val="-8"/>
          <w:w w:val="105"/>
          <w:position w:val="4"/>
          <w:sz w:val="11"/>
        </w:rPr>
        <w:t xml:space="preserve"> </w:t>
      </w:r>
      <w:r w:rsidRPr="00283806">
        <w:rPr>
          <w:rFonts w:ascii="Times New Roman"/>
          <w:w w:val="105"/>
          <w:position w:val="4"/>
          <w:sz w:val="11"/>
        </w:rPr>
        <w:t>69</w:t>
      </w:r>
    </w:p>
    <w:p w14:paraId="275ED604" w14:textId="77777777" w:rsidR="00D67C1E" w:rsidRPr="00283806" w:rsidRDefault="001265CA">
      <w:pPr>
        <w:pStyle w:val="BodyText"/>
        <w:spacing w:line="213" w:lineRule="auto"/>
        <w:ind w:left="154" w:right="122" w:firstLine="180"/>
      </w:pPr>
      <w:r w:rsidRPr="00283806">
        <w:rPr>
          <w:rFonts w:ascii="Book Antiqua" w:hAnsi="Book Antiqua"/>
          <w:i/>
          <w:spacing w:val="-2"/>
          <w:w w:val="110"/>
        </w:rPr>
        <w:t>Comment:</w:t>
      </w:r>
      <w:r w:rsidRPr="00283806">
        <w:rPr>
          <w:rFonts w:ascii="Book Antiqua" w:hAnsi="Book Antiqua"/>
          <w:i/>
          <w:spacing w:val="-11"/>
          <w:w w:val="110"/>
        </w:rPr>
        <w:t xml:space="preserve"> </w:t>
      </w:r>
      <w:r w:rsidRPr="00283806">
        <w:rPr>
          <w:spacing w:val="-2"/>
          <w:w w:val="110"/>
        </w:rPr>
        <w:t>One</w:t>
      </w:r>
      <w:r w:rsidRPr="00283806">
        <w:rPr>
          <w:spacing w:val="-9"/>
          <w:w w:val="110"/>
        </w:rPr>
        <w:t xml:space="preserve"> </w:t>
      </w:r>
      <w:r w:rsidRPr="00283806">
        <w:rPr>
          <w:spacing w:val="-2"/>
          <w:w w:val="110"/>
        </w:rPr>
        <w:t>commenter</w:t>
      </w:r>
      <w:r w:rsidRPr="00283806">
        <w:rPr>
          <w:spacing w:val="-8"/>
          <w:w w:val="110"/>
        </w:rPr>
        <w:t xml:space="preserve"> </w:t>
      </w:r>
      <w:r w:rsidRPr="00283806">
        <w:rPr>
          <w:spacing w:val="-2"/>
          <w:w w:val="110"/>
        </w:rPr>
        <w:t xml:space="preserve">expressed </w:t>
      </w:r>
      <w:r w:rsidRPr="00283806">
        <w:rPr>
          <w:w w:val="110"/>
        </w:rPr>
        <w:t>support for EPA’s inclusion of MVAC</w:t>
      </w:r>
    </w:p>
    <w:p w14:paraId="7C4529B9" w14:textId="77777777" w:rsidR="00D67C1E" w:rsidRPr="00283806" w:rsidRDefault="001265CA">
      <w:pPr>
        <w:pStyle w:val="BodyText"/>
        <w:spacing w:line="225" w:lineRule="auto"/>
        <w:ind w:left="154" w:right="252"/>
      </w:pPr>
      <w:r w:rsidRPr="00283806">
        <w:rPr>
          <w:w w:val="105"/>
        </w:rPr>
        <w:t>systems with charge sizes over 15 pounds in the leak repair provisions. The commenter asserted that these MVAC systems, such as those on buses and trains, may lose large amounts of refrigerant over time.</w:t>
      </w:r>
    </w:p>
    <w:p w14:paraId="045E88FC" w14:textId="77777777" w:rsidR="00D67C1E" w:rsidRPr="00283806" w:rsidRDefault="001265CA">
      <w:pPr>
        <w:spacing w:line="183" w:lineRule="exact"/>
        <w:ind w:left="334"/>
        <w:rPr>
          <w:sz w:val="18"/>
        </w:rPr>
      </w:pPr>
      <w:r w:rsidRPr="00283806">
        <w:rPr>
          <w:rFonts w:ascii="Book Antiqua"/>
          <w:i/>
          <w:w w:val="110"/>
          <w:sz w:val="18"/>
        </w:rPr>
        <w:t>Response:</w:t>
      </w:r>
      <w:r w:rsidRPr="00283806">
        <w:rPr>
          <w:rFonts w:ascii="Book Antiqua"/>
          <w:i/>
          <w:spacing w:val="2"/>
          <w:w w:val="110"/>
          <w:sz w:val="18"/>
        </w:rPr>
        <w:t xml:space="preserve"> </w:t>
      </w:r>
      <w:r w:rsidRPr="00283806">
        <w:rPr>
          <w:w w:val="110"/>
          <w:sz w:val="18"/>
        </w:rPr>
        <w:t>EPA</w:t>
      </w:r>
      <w:r w:rsidRPr="00283806">
        <w:rPr>
          <w:spacing w:val="8"/>
          <w:w w:val="110"/>
          <w:sz w:val="18"/>
        </w:rPr>
        <w:t xml:space="preserve"> </w:t>
      </w:r>
      <w:r w:rsidRPr="00283806">
        <w:rPr>
          <w:w w:val="110"/>
          <w:sz w:val="18"/>
        </w:rPr>
        <w:t>acknowledges</w:t>
      </w:r>
      <w:r w:rsidRPr="00283806">
        <w:rPr>
          <w:spacing w:val="8"/>
          <w:w w:val="110"/>
          <w:sz w:val="18"/>
        </w:rPr>
        <w:t xml:space="preserve"> </w:t>
      </w:r>
      <w:r w:rsidRPr="00283806">
        <w:rPr>
          <w:spacing w:val="-5"/>
          <w:w w:val="110"/>
          <w:sz w:val="18"/>
        </w:rPr>
        <w:t>the</w:t>
      </w:r>
    </w:p>
    <w:p w14:paraId="39B9D8E1" w14:textId="77777777" w:rsidR="00D67C1E" w:rsidRPr="00283806" w:rsidRDefault="001265CA">
      <w:pPr>
        <w:pStyle w:val="BodyText"/>
        <w:spacing w:line="225" w:lineRule="auto"/>
        <w:ind w:left="154" w:right="233"/>
      </w:pPr>
      <w:r w:rsidRPr="00283806">
        <w:t>commenter’s support for this provision</w:t>
      </w:r>
      <w:r w:rsidRPr="00283806">
        <w:rPr>
          <w:w w:val="110"/>
        </w:rPr>
        <w:t xml:space="preserve"> and is finalizing the requirement for MVAC and MVAC-like appliances.</w:t>
      </w:r>
    </w:p>
    <w:p w14:paraId="29C20575" w14:textId="77777777" w:rsidR="00D67C1E" w:rsidRPr="00283806" w:rsidRDefault="001265CA">
      <w:pPr>
        <w:pStyle w:val="BodyText"/>
        <w:spacing w:line="213" w:lineRule="auto"/>
        <w:ind w:left="154" w:right="233" w:firstLine="180"/>
      </w:pPr>
      <w:r w:rsidRPr="00283806">
        <w:rPr>
          <w:rFonts w:ascii="Book Antiqua"/>
          <w:i/>
          <w:w w:val="105"/>
        </w:rPr>
        <w:t xml:space="preserve">Comment: </w:t>
      </w:r>
      <w:r w:rsidRPr="00283806">
        <w:rPr>
          <w:w w:val="105"/>
        </w:rPr>
        <w:t>A commenter questioned the authority of EPA to regulate the</w:t>
      </w:r>
    </w:p>
    <w:p w14:paraId="13582B8E" w14:textId="77777777" w:rsidR="00D67C1E" w:rsidRPr="00283806" w:rsidRDefault="001265CA">
      <w:pPr>
        <w:pStyle w:val="BodyText"/>
        <w:spacing w:line="225" w:lineRule="auto"/>
        <w:ind w:left="154" w:right="130"/>
      </w:pPr>
      <w:r w:rsidRPr="00283806">
        <w:rPr>
          <w:w w:val="110"/>
        </w:rPr>
        <w:t xml:space="preserve">commercial aviation sector, including </w:t>
      </w:r>
      <w:r w:rsidRPr="00283806">
        <w:t>refrigerant-containing appliances aboard</w:t>
      </w:r>
      <w:r w:rsidRPr="00283806">
        <w:rPr>
          <w:w w:val="110"/>
        </w:rPr>
        <w:t xml:space="preserve"> </w:t>
      </w:r>
      <w:r w:rsidRPr="00283806">
        <w:rPr>
          <w:spacing w:val="-2"/>
          <w:w w:val="110"/>
        </w:rPr>
        <w:t>aircraft</w:t>
      </w:r>
      <w:r w:rsidRPr="00283806">
        <w:rPr>
          <w:spacing w:val="-6"/>
          <w:w w:val="110"/>
        </w:rPr>
        <w:t xml:space="preserve"> </w:t>
      </w:r>
      <w:r w:rsidRPr="00283806">
        <w:rPr>
          <w:spacing w:val="-2"/>
          <w:w w:val="110"/>
        </w:rPr>
        <w:t>and</w:t>
      </w:r>
      <w:r w:rsidRPr="00283806">
        <w:rPr>
          <w:spacing w:val="-6"/>
          <w:w w:val="110"/>
        </w:rPr>
        <w:t xml:space="preserve"> </w:t>
      </w:r>
      <w:r w:rsidRPr="00283806">
        <w:rPr>
          <w:spacing w:val="-2"/>
          <w:w w:val="110"/>
        </w:rPr>
        <w:t>at</w:t>
      </w:r>
      <w:r w:rsidRPr="00283806">
        <w:rPr>
          <w:spacing w:val="-6"/>
          <w:w w:val="110"/>
        </w:rPr>
        <w:t xml:space="preserve"> </w:t>
      </w:r>
      <w:r w:rsidRPr="00283806">
        <w:rPr>
          <w:spacing w:val="-2"/>
          <w:w w:val="110"/>
        </w:rPr>
        <w:t>airports</w:t>
      </w:r>
      <w:r w:rsidRPr="00283806">
        <w:rPr>
          <w:spacing w:val="-6"/>
          <w:w w:val="110"/>
        </w:rPr>
        <w:t xml:space="preserve"> </w:t>
      </w:r>
      <w:r w:rsidRPr="00283806">
        <w:rPr>
          <w:spacing w:val="-2"/>
          <w:w w:val="110"/>
        </w:rPr>
        <w:t>and</w:t>
      </w:r>
      <w:r w:rsidRPr="00283806">
        <w:rPr>
          <w:spacing w:val="-6"/>
          <w:w w:val="110"/>
        </w:rPr>
        <w:t xml:space="preserve"> </w:t>
      </w:r>
      <w:r w:rsidRPr="00283806">
        <w:rPr>
          <w:spacing w:val="-2"/>
          <w:w w:val="110"/>
        </w:rPr>
        <w:t>hangars.</w:t>
      </w:r>
      <w:r w:rsidRPr="00283806">
        <w:rPr>
          <w:spacing w:val="-6"/>
          <w:w w:val="110"/>
        </w:rPr>
        <w:t xml:space="preserve"> </w:t>
      </w:r>
      <w:r w:rsidRPr="00283806">
        <w:rPr>
          <w:spacing w:val="-2"/>
          <w:w w:val="110"/>
        </w:rPr>
        <w:t xml:space="preserve">The </w:t>
      </w:r>
      <w:r w:rsidRPr="00283806">
        <w:rPr>
          <w:w w:val="110"/>
        </w:rPr>
        <w:t xml:space="preserve">commenter stated that the Federal Aviation Administration (FAA) has the authority and responsibility to ensure such requirements do not adversely affect efficient operation and aircraft safety. The commenter asserted that EPA has not coordinated with the FAA regarding the potential application of the rule’s requirements. Additionally, </w:t>
      </w:r>
      <w:r w:rsidRPr="00283806">
        <w:rPr>
          <w:spacing w:val="-2"/>
          <w:w w:val="110"/>
        </w:rPr>
        <w:t>the</w:t>
      </w:r>
      <w:r w:rsidRPr="00283806">
        <w:rPr>
          <w:spacing w:val="-6"/>
          <w:w w:val="110"/>
        </w:rPr>
        <w:t xml:space="preserve"> </w:t>
      </w:r>
      <w:r w:rsidRPr="00283806">
        <w:rPr>
          <w:spacing w:val="-2"/>
          <w:w w:val="110"/>
        </w:rPr>
        <w:t>commenter</w:t>
      </w:r>
      <w:r w:rsidRPr="00283806">
        <w:rPr>
          <w:spacing w:val="-6"/>
          <w:w w:val="110"/>
        </w:rPr>
        <w:t xml:space="preserve"> </w:t>
      </w:r>
      <w:r w:rsidRPr="00283806">
        <w:rPr>
          <w:spacing w:val="-2"/>
          <w:w w:val="110"/>
        </w:rPr>
        <w:t>stated</w:t>
      </w:r>
      <w:r w:rsidRPr="00283806">
        <w:rPr>
          <w:spacing w:val="-6"/>
          <w:w w:val="110"/>
        </w:rPr>
        <w:t xml:space="preserve"> </w:t>
      </w:r>
      <w:r w:rsidRPr="00283806">
        <w:rPr>
          <w:spacing w:val="-2"/>
          <w:w w:val="110"/>
        </w:rPr>
        <w:t>that</w:t>
      </w:r>
      <w:r w:rsidRPr="00283806">
        <w:rPr>
          <w:spacing w:val="-6"/>
          <w:w w:val="110"/>
        </w:rPr>
        <w:t xml:space="preserve"> </w:t>
      </w:r>
      <w:r w:rsidRPr="00283806">
        <w:rPr>
          <w:spacing w:val="-2"/>
          <w:w w:val="110"/>
        </w:rPr>
        <w:t>the</w:t>
      </w:r>
      <w:r w:rsidRPr="00283806">
        <w:rPr>
          <w:spacing w:val="-6"/>
          <w:w w:val="110"/>
        </w:rPr>
        <w:t xml:space="preserve"> </w:t>
      </w:r>
      <w:r w:rsidRPr="00283806">
        <w:rPr>
          <w:spacing w:val="-2"/>
          <w:w w:val="110"/>
        </w:rPr>
        <w:t xml:space="preserve">proposed </w:t>
      </w:r>
      <w:r w:rsidRPr="00283806">
        <w:rPr>
          <w:w w:val="110"/>
        </w:rPr>
        <w:t>rule lacked clarity regarding how the rule would apply to the commercial aircraft sector and questioned why the rule did not exempt the commercial aviation</w:t>
      </w:r>
      <w:r w:rsidRPr="00283806">
        <w:rPr>
          <w:spacing w:val="-6"/>
          <w:w w:val="110"/>
        </w:rPr>
        <w:t xml:space="preserve"> </w:t>
      </w:r>
      <w:r w:rsidRPr="00283806">
        <w:rPr>
          <w:w w:val="110"/>
        </w:rPr>
        <w:t>sector</w:t>
      </w:r>
      <w:r w:rsidRPr="00283806">
        <w:rPr>
          <w:spacing w:val="-6"/>
          <w:w w:val="110"/>
        </w:rPr>
        <w:t xml:space="preserve"> </w:t>
      </w:r>
      <w:r w:rsidRPr="00283806">
        <w:rPr>
          <w:w w:val="110"/>
        </w:rPr>
        <w:t>from</w:t>
      </w:r>
      <w:r w:rsidRPr="00283806">
        <w:rPr>
          <w:spacing w:val="-6"/>
          <w:w w:val="110"/>
        </w:rPr>
        <w:t xml:space="preserve"> </w:t>
      </w:r>
      <w:r w:rsidRPr="00283806">
        <w:rPr>
          <w:w w:val="110"/>
        </w:rPr>
        <w:t>the</w:t>
      </w:r>
      <w:r w:rsidRPr="00283806">
        <w:rPr>
          <w:spacing w:val="-6"/>
          <w:w w:val="110"/>
        </w:rPr>
        <w:t xml:space="preserve"> </w:t>
      </w:r>
      <w:r w:rsidRPr="00283806">
        <w:rPr>
          <w:w w:val="110"/>
        </w:rPr>
        <w:t>leak</w:t>
      </w:r>
      <w:r w:rsidRPr="00283806">
        <w:rPr>
          <w:spacing w:val="-6"/>
          <w:w w:val="110"/>
        </w:rPr>
        <w:t xml:space="preserve"> </w:t>
      </w:r>
      <w:r w:rsidRPr="00283806">
        <w:rPr>
          <w:w w:val="110"/>
        </w:rPr>
        <w:t>repair</w:t>
      </w:r>
      <w:r w:rsidRPr="00283806">
        <w:rPr>
          <w:spacing w:val="-6"/>
          <w:w w:val="110"/>
        </w:rPr>
        <w:t xml:space="preserve"> </w:t>
      </w:r>
      <w:r w:rsidRPr="00283806">
        <w:rPr>
          <w:w w:val="110"/>
        </w:rPr>
        <w:t xml:space="preserve">and ALD requirements. Lastly, the </w:t>
      </w:r>
      <w:r w:rsidRPr="00283806">
        <w:t>commenter stated the proposed rule did</w:t>
      </w:r>
      <w:r w:rsidRPr="00283806">
        <w:rPr>
          <w:spacing w:val="40"/>
          <w:w w:val="110"/>
        </w:rPr>
        <w:t xml:space="preserve"> </w:t>
      </w:r>
      <w:r w:rsidRPr="00283806">
        <w:rPr>
          <w:spacing w:val="-2"/>
          <w:w w:val="110"/>
        </w:rPr>
        <w:t>not</w:t>
      </w:r>
      <w:r w:rsidRPr="00283806">
        <w:rPr>
          <w:spacing w:val="-6"/>
          <w:w w:val="110"/>
        </w:rPr>
        <w:t xml:space="preserve"> </w:t>
      </w:r>
      <w:r w:rsidRPr="00283806">
        <w:rPr>
          <w:spacing w:val="-2"/>
          <w:w w:val="110"/>
        </w:rPr>
        <w:t>provide</w:t>
      </w:r>
      <w:r w:rsidRPr="00283806">
        <w:rPr>
          <w:spacing w:val="-6"/>
          <w:w w:val="110"/>
        </w:rPr>
        <w:t xml:space="preserve"> </w:t>
      </w:r>
      <w:r w:rsidRPr="00283806">
        <w:rPr>
          <w:spacing w:val="-2"/>
          <w:w w:val="110"/>
        </w:rPr>
        <w:t>sufficient</w:t>
      </w:r>
      <w:r w:rsidRPr="00283806">
        <w:rPr>
          <w:spacing w:val="-6"/>
          <w:w w:val="110"/>
        </w:rPr>
        <w:t xml:space="preserve"> </w:t>
      </w:r>
      <w:r w:rsidRPr="00283806">
        <w:rPr>
          <w:spacing w:val="-2"/>
          <w:w w:val="110"/>
        </w:rPr>
        <w:t>time</w:t>
      </w:r>
      <w:r w:rsidRPr="00283806">
        <w:rPr>
          <w:spacing w:val="-6"/>
          <w:w w:val="110"/>
        </w:rPr>
        <w:t xml:space="preserve"> </w:t>
      </w:r>
      <w:r w:rsidRPr="00283806">
        <w:rPr>
          <w:spacing w:val="-2"/>
          <w:w w:val="110"/>
        </w:rPr>
        <w:t>for</w:t>
      </w:r>
      <w:r w:rsidRPr="00283806">
        <w:rPr>
          <w:spacing w:val="-6"/>
          <w:w w:val="110"/>
        </w:rPr>
        <w:t xml:space="preserve"> </w:t>
      </w:r>
      <w:r w:rsidRPr="00283806">
        <w:rPr>
          <w:spacing w:val="-2"/>
          <w:w w:val="110"/>
        </w:rPr>
        <w:t>the</w:t>
      </w:r>
      <w:r w:rsidRPr="00283806">
        <w:rPr>
          <w:spacing w:val="-6"/>
          <w:w w:val="110"/>
        </w:rPr>
        <w:t xml:space="preserve"> </w:t>
      </w:r>
      <w:r w:rsidRPr="00283806">
        <w:rPr>
          <w:spacing w:val="-2"/>
          <w:w w:val="110"/>
        </w:rPr>
        <w:t xml:space="preserve">sector </w:t>
      </w:r>
      <w:r w:rsidRPr="00283806">
        <w:rPr>
          <w:w w:val="110"/>
        </w:rPr>
        <w:t>to safely comply with the rule’s leak repair requirements and specified that EPA must extend the applicable leak repair compliance deadlines for commercial aircraft.</w:t>
      </w:r>
    </w:p>
    <w:p w14:paraId="388B9617" w14:textId="77777777" w:rsidR="00D67C1E" w:rsidRPr="00283806" w:rsidRDefault="001265CA">
      <w:pPr>
        <w:pStyle w:val="BodyText"/>
        <w:spacing w:line="225" w:lineRule="auto"/>
        <w:ind w:left="154" w:right="233" w:firstLine="180"/>
      </w:pPr>
      <w:r w:rsidRPr="00283806">
        <w:rPr>
          <w:rFonts w:ascii="Book Antiqua" w:hAnsi="Book Antiqua"/>
          <w:i/>
          <w:w w:val="105"/>
        </w:rPr>
        <w:t xml:space="preserve">Response: </w:t>
      </w:r>
      <w:r w:rsidRPr="00283806">
        <w:rPr>
          <w:w w:val="105"/>
        </w:rPr>
        <w:t>EPA disagrees with the commenter’s broad assertion that EPA does not have the authority to issue regulations pertaining to aircraft and aircraft operations. While EPA agrees that the FAA has jurisdiction over matters related to aircraft safety and operations consistent with its</w:t>
      </w:r>
    </w:p>
    <w:p w14:paraId="5E09D056"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6" w:space="40"/>
            <w:col w:w="3491" w:space="39"/>
            <w:col w:w="3634"/>
          </w:cols>
        </w:sectPr>
      </w:pPr>
    </w:p>
    <w:p w14:paraId="398A673B" w14:textId="77777777" w:rsidR="00D67C1E" w:rsidRPr="00283806" w:rsidRDefault="001265CA">
      <w:pPr>
        <w:pStyle w:val="BodyText"/>
        <w:tabs>
          <w:tab w:val="left" w:pos="3699"/>
          <w:tab w:val="left" w:pos="4699"/>
        </w:tabs>
        <w:spacing w:line="150" w:lineRule="exact"/>
        <w:ind w:left="340"/>
      </w:pPr>
      <w:r w:rsidRPr="00283806">
        <w:rPr>
          <w:w w:val="110"/>
        </w:rPr>
        <w:t>While</w:t>
      </w:r>
      <w:r w:rsidRPr="00283806">
        <w:rPr>
          <w:spacing w:val="-10"/>
          <w:w w:val="110"/>
        </w:rPr>
        <w:t xml:space="preserve"> </w:t>
      </w:r>
      <w:r w:rsidRPr="00283806">
        <w:rPr>
          <w:w w:val="110"/>
        </w:rPr>
        <w:t>EPA</w:t>
      </w:r>
      <w:r w:rsidRPr="00283806">
        <w:rPr>
          <w:spacing w:val="-9"/>
          <w:w w:val="110"/>
        </w:rPr>
        <w:t xml:space="preserve"> </w:t>
      </w:r>
      <w:r w:rsidRPr="00283806">
        <w:rPr>
          <w:w w:val="110"/>
        </w:rPr>
        <w:t>agrees</w:t>
      </w:r>
      <w:r w:rsidRPr="00283806">
        <w:rPr>
          <w:spacing w:val="-9"/>
          <w:w w:val="110"/>
        </w:rPr>
        <w:t xml:space="preserve"> </w:t>
      </w:r>
      <w:r w:rsidRPr="00283806">
        <w:rPr>
          <w:w w:val="110"/>
        </w:rPr>
        <w:t>that</w:t>
      </w:r>
      <w:r w:rsidRPr="00283806">
        <w:rPr>
          <w:spacing w:val="-10"/>
          <w:w w:val="110"/>
        </w:rPr>
        <w:t xml:space="preserve"> </w:t>
      </w:r>
      <w:r w:rsidRPr="00283806">
        <w:rPr>
          <w:spacing w:val="-5"/>
          <w:w w:val="110"/>
        </w:rPr>
        <w:t>VRF</w:t>
      </w:r>
      <w:r w:rsidRPr="00283806">
        <w:tab/>
      </w:r>
      <w:r w:rsidRPr="00283806">
        <w:rPr>
          <w:u w:val="single"/>
        </w:rPr>
        <w:tab/>
      </w:r>
    </w:p>
    <w:p w14:paraId="0DA7232B" w14:textId="77777777" w:rsidR="00D67C1E" w:rsidRPr="00283806" w:rsidRDefault="001265CA">
      <w:pPr>
        <w:pStyle w:val="BodyText"/>
        <w:spacing w:line="150" w:lineRule="exact"/>
        <w:ind w:left="340"/>
      </w:pPr>
      <w:r w:rsidRPr="00283806">
        <w:br w:type="column"/>
      </w:r>
      <w:r w:rsidRPr="00283806">
        <w:rPr>
          <w:w w:val="105"/>
        </w:rPr>
        <w:t>Congressionally</w:t>
      </w:r>
      <w:r w:rsidRPr="00283806">
        <w:rPr>
          <w:spacing w:val="19"/>
          <w:w w:val="105"/>
        </w:rPr>
        <w:t xml:space="preserve"> </w:t>
      </w:r>
      <w:r w:rsidRPr="00283806">
        <w:rPr>
          <w:w w:val="105"/>
        </w:rPr>
        <w:t>mandated</w:t>
      </w:r>
      <w:r w:rsidRPr="00283806">
        <w:rPr>
          <w:spacing w:val="19"/>
          <w:w w:val="105"/>
        </w:rPr>
        <w:t xml:space="preserve"> </w:t>
      </w:r>
      <w:r w:rsidRPr="00283806">
        <w:rPr>
          <w:spacing w:val="-2"/>
          <w:w w:val="105"/>
        </w:rPr>
        <w:t>authorities,</w:t>
      </w:r>
    </w:p>
    <w:p w14:paraId="5FFCEF34" w14:textId="77777777" w:rsidR="00D67C1E" w:rsidRPr="00283806" w:rsidRDefault="00D67C1E">
      <w:pPr>
        <w:spacing w:line="150" w:lineRule="exact"/>
        <w:sectPr w:rsidR="00D67C1E" w:rsidRPr="00283806">
          <w:type w:val="continuous"/>
          <w:pgSz w:w="12240" w:h="15840"/>
          <w:pgMar w:top="880" w:right="780" w:bottom="280" w:left="740" w:header="627" w:footer="0" w:gutter="0"/>
          <w:cols w:num="2" w:space="720" w:equalWidth="0">
            <w:col w:w="4740" w:space="2159"/>
            <w:col w:w="3821"/>
          </w:cols>
        </w:sectPr>
      </w:pPr>
    </w:p>
    <w:p w14:paraId="05717BC8" w14:textId="77777777" w:rsidR="00D67C1E" w:rsidRPr="00283806" w:rsidRDefault="001265CA">
      <w:pPr>
        <w:pStyle w:val="BodyText"/>
        <w:spacing w:line="200" w:lineRule="exact"/>
      </w:pPr>
      <w:r w:rsidRPr="00283806">
        <w:rPr>
          <w:w w:val="105"/>
        </w:rPr>
        <w:t>appliances</w:t>
      </w:r>
      <w:r w:rsidRPr="00283806">
        <w:rPr>
          <w:spacing w:val="21"/>
          <w:w w:val="105"/>
        </w:rPr>
        <w:t xml:space="preserve"> </w:t>
      </w:r>
      <w:r w:rsidRPr="00283806">
        <w:rPr>
          <w:w w:val="105"/>
        </w:rPr>
        <w:t>could</w:t>
      </w:r>
      <w:r w:rsidRPr="00283806">
        <w:rPr>
          <w:spacing w:val="22"/>
          <w:w w:val="105"/>
        </w:rPr>
        <w:t xml:space="preserve"> </w:t>
      </w:r>
      <w:r w:rsidRPr="00283806">
        <w:rPr>
          <w:w w:val="105"/>
        </w:rPr>
        <w:t>have</w:t>
      </w:r>
      <w:r w:rsidRPr="00283806">
        <w:rPr>
          <w:spacing w:val="22"/>
          <w:w w:val="105"/>
        </w:rPr>
        <w:t xml:space="preserve"> </w:t>
      </w:r>
      <w:r w:rsidRPr="00283806">
        <w:rPr>
          <w:w w:val="105"/>
        </w:rPr>
        <w:t>higher</w:t>
      </w:r>
      <w:r w:rsidRPr="00283806">
        <w:rPr>
          <w:spacing w:val="21"/>
          <w:w w:val="105"/>
        </w:rPr>
        <w:t xml:space="preserve"> </w:t>
      </w:r>
      <w:r w:rsidRPr="00283806">
        <w:rPr>
          <w:spacing w:val="-2"/>
          <w:w w:val="105"/>
        </w:rPr>
        <w:t>refrigerant</w:t>
      </w:r>
    </w:p>
    <w:p w14:paraId="6DA64B9F" w14:textId="24332673" w:rsidR="00D67C1E" w:rsidRPr="00283806" w:rsidRDefault="001265CA">
      <w:pPr>
        <w:tabs>
          <w:tab w:val="left" w:pos="3559"/>
          <w:tab w:val="left" w:pos="4559"/>
        </w:tabs>
        <w:spacing w:before="61" w:line="138" w:lineRule="exact"/>
        <w:ind w:left="160"/>
        <w:rPr>
          <w:rFonts w:ascii="Book Antiqua"/>
          <w:i/>
          <w:sz w:val="14"/>
        </w:rPr>
      </w:pPr>
      <w:r w:rsidRPr="00283806">
        <w:br w:type="column"/>
      </w:r>
      <w:r w:rsidRPr="00283806">
        <w:rPr>
          <w:w w:val="110"/>
          <w:position w:val="4"/>
          <w:sz w:val="9"/>
        </w:rPr>
        <w:t>64</w:t>
      </w:r>
      <w:r w:rsidRPr="00283806">
        <w:rPr>
          <w:spacing w:val="-6"/>
          <w:w w:val="110"/>
          <w:position w:val="4"/>
          <w:sz w:val="9"/>
        </w:rPr>
        <w:t xml:space="preserve"> </w:t>
      </w:r>
      <w:r w:rsidRPr="00283806">
        <w:rPr>
          <w:w w:val="110"/>
          <w:sz w:val="14"/>
        </w:rPr>
        <w:t>AHRI</w:t>
      </w:r>
      <w:r w:rsidRPr="00283806">
        <w:rPr>
          <w:spacing w:val="-6"/>
          <w:w w:val="110"/>
          <w:sz w:val="14"/>
        </w:rPr>
        <w:t xml:space="preserve"> </w:t>
      </w:r>
      <w:r w:rsidRPr="00283806">
        <w:rPr>
          <w:w w:val="110"/>
          <w:sz w:val="14"/>
        </w:rPr>
        <w:t>2024;</w:t>
      </w:r>
      <w:r w:rsidRPr="00283806">
        <w:rPr>
          <w:spacing w:val="-5"/>
          <w:w w:val="110"/>
          <w:sz w:val="14"/>
        </w:rPr>
        <w:t xml:space="preserve"> </w:t>
      </w:r>
      <w:r w:rsidRPr="00283806">
        <w:rPr>
          <w:w w:val="110"/>
          <w:sz w:val="14"/>
        </w:rPr>
        <w:t>available</w:t>
      </w:r>
      <w:r w:rsidRPr="00283806">
        <w:rPr>
          <w:spacing w:val="-6"/>
          <w:w w:val="110"/>
          <w:sz w:val="14"/>
        </w:rPr>
        <w:t xml:space="preserve"> </w:t>
      </w:r>
      <w:r w:rsidRPr="00283806">
        <w:rPr>
          <w:w w:val="110"/>
          <w:sz w:val="14"/>
        </w:rPr>
        <w:t>at:</w:t>
      </w:r>
      <w:r w:rsidRPr="00283806">
        <w:rPr>
          <w:spacing w:val="-6"/>
          <w:w w:val="110"/>
          <w:sz w:val="14"/>
        </w:rPr>
        <w:t xml:space="preserve"> </w:t>
      </w:r>
      <w:r w:rsidRPr="00283806">
        <w:rPr>
          <w:rFonts w:ascii="Book Antiqua"/>
          <w:i/>
          <w:spacing w:val="-2"/>
          <w:w w:val="110"/>
          <w:sz w:val="14"/>
        </w:rPr>
        <w:t>https://</w:t>
      </w:r>
      <w:r w:rsidRPr="00283806">
        <w:rPr>
          <w:rFonts w:ascii="Book Antiqua"/>
          <w:i/>
          <w:sz w:val="14"/>
        </w:rPr>
        <w:tab/>
      </w:r>
      <w:r w:rsidRPr="00283806">
        <w:rPr>
          <w:rFonts w:ascii="Book Antiqua"/>
          <w:i/>
          <w:sz w:val="14"/>
          <w:u w:val="single"/>
        </w:rPr>
        <w:tab/>
      </w:r>
    </w:p>
    <w:p w14:paraId="1FAFF3CC" w14:textId="77777777" w:rsidR="00D67C1E" w:rsidRPr="00283806" w:rsidRDefault="00D67C1E">
      <w:pPr>
        <w:spacing w:line="138" w:lineRule="exact"/>
        <w:rPr>
          <w:rFonts w:ascii="Book Antiqua"/>
          <w:sz w:val="14"/>
        </w:rPr>
        <w:sectPr w:rsidR="00D67C1E" w:rsidRPr="00283806">
          <w:type w:val="continuous"/>
          <w:pgSz w:w="12240" w:h="15840"/>
          <w:pgMar w:top="880" w:right="780" w:bottom="280" w:left="740" w:header="627" w:footer="0" w:gutter="0"/>
          <w:cols w:num="2" w:space="720" w:equalWidth="0">
            <w:col w:w="3537" w:space="143"/>
            <w:col w:w="7040"/>
          </w:cols>
        </w:sectPr>
      </w:pPr>
    </w:p>
    <w:p w14:paraId="3C289547" w14:textId="77777777" w:rsidR="00D67C1E" w:rsidRPr="00283806" w:rsidRDefault="001265CA">
      <w:pPr>
        <w:pStyle w:val="BodyText"/>
        <w:spacing w:before="9" w:line="228" w:lineRule="auto"/>
        <w:ind w:right="38"/>
      </w:pPr>
      <w:r w:rsidRPr="00283806">
        <w:rPr>
          <w:w w:val="105"/>
        </w:rPr>
        <w:t>charge sizes, the Agency disagrees that VRF appliances should be excluded</w:t>
      </w:r>
      <w:r w:rsidRPr="00283806">
        <w:rPr>
          <w:spacing w:val="40"/>
          <w:w w:val="105"/>
        </w:rPr>
        <w:t xml:space="preserve"> </w:t>
      </w:r>
      <w:r w:rsidRPr="00283806">
        <w:rPr>
          <w:w w:val="105"/>
        </w:rPr>
        <w:t>from the exemption for leak repair as VRF is a general term describing a type of appliance which is included in the description of the residential and light commercial air conditioning and heat pumps subsector. VRF appliances are refrigerant-containing appliances that can handle differentiated loads. EPA is</w:t>
      </w:r>
    </w:p>
    <w:p w14:paraId="7BF39929" w14:textId="35A2BC43" w:rsidR="00D67C1E" w:rsidRPr="00283806" w:rsidRDefault="001265CA">
      <w:pPr>
        <w:spacing w:before="31" w:line="225" w:lineRule="auto"/>
        <w:ind w:left="160" w:right="94"/>
        <w:rPr>
          <w:rFonts w:ascii="Book Antiqua"/>
          <w:i/>
          <w:sz w:val="14"/>
        </w:rPr>
      </w:pPr>
      <w:r w:rsidRPr="00283806">
        <w:br w:type="column"/>
      </w:r>
      <w:r w:rsidRPr="00283806">
        <w:rPr>
          <w:rFonts w:ascii="Book Antiqua"/>
          <w:i/>
          <w:spacing w:val="-2"/>
          <w:w w:val="115"/>
          <w:sz w:val="14"/>
        </w:rPr>
        <w:t>www.ahrinet.org/analytics/statistics/historical-</w:t>
      </w:r>
      <w:r w:rsidRPr="00283806">
        <w:rPr>
          <w:rFonts w:ascii="Book Antiqua"/>
          <w:i/>
          <w:spacing w:val="40"/>
          <w:w w:val="115"/>
          <w:sz w:val="14"/>
        </w:rPr>
        <w:t xml:space="preserve"> </w:t>
      </w:r>
      <w:r w:rsidRPr="00283806">
        <w:rPr>
          <w:rFonts w:ascii="Book Antiqua"/>
          <w:i/>
          <w:spacing w:val="-2"/>
          <w:w w:val="115"/>
          <w:sz w:val="14"/>
        </w:rPr>
        <w:t>data/central-air-conditioners-and-air-source-heat-</w:t>
      </w:r>
      <w:r w:rsidRPr="00283806">
        <w:rPr>
          <w:rFonts w:ascii="Book Antiqua"/>
          <w:i/>
          <w:spacing w:val="40"/>
          <w:w w:val="115"/>
          <w:sz w:val="14"/>
        </w:rPr>
        <w:t xml:space="preserve"> </w:t>
      </w:r>
      <w:r w:rsidRPr="00283806">
        <w:rPr>
          <w:rFonts w:ascii="Book Antiqua"/>
          <w:i/>
          <w:spacing w:val="-2"/>
          <w:w w:val="115"/>
          <w:sz w:val="14"/>
        </w:rPr>
        <w:t>pumps.</w:t>
      </w:r>
    </w:p>
    <w:p w14:paraId="4B47A7F7" w14:textId="77777777" w:rsidR="00D67C1E" w:rsidRPr="00283806" w:rsidRDefault="001265CA">
      <w:pPr>
        <w:spacing w:before="15" w:line="232" w:lineRule="auto"/>
        <w:ind w:left="160" w:right="82" w:firstLine="140"/>
        <w:rPr>
          <w:sz w:val="14"/>
        </w:rPr>
      </w:pPr>
      <w:r w:rsidRPr="00283806">
        <w:rPr>
          <w:w w:val="105"/>
          <w:position w:val="4"/>
          <w:sz w:val="9"/>
        </w:rPr>
        <w:t xml:space="preserve">65 </w:t>
      </w:r>
      <w:r w:rsidRPr="00283806">
        <w:rPr>
          <w:w w:val="105"/>
          <w:sz w:val="14"/>
        </w:rPr>
        <w:t>‘‘Bus’’ is defined at 40 CFR 1037.801 and</w:t>
      </w:r>
      <w:r w:rsidRPr="00283806">
        <w:rPr>
          <w:spacing w:val="80"/>
          <w:w w:val="105"/>
          <w:sz w:val="14"/>
        </w:rPr>
        <w:t xml:space="preserve"> </w:t>
      </w:r>
      <w:r w:rsidRPr="00283806">
        <w:rPr>
          <w:w w:val="105"/>
          <w:sz w:val="14"/>
        </w:rPr>
        <w:t>means ‘‘a heavy-duty vehicle designed to carry</w:t>
      </w:r>
      <w:r w:rsidRPr="00283806">
        <w:rPr>
          <w:spacing w:val="40"/>
          <w:w w:val="105"/>
          <w:sz w:val="14"/>
        </w:rPr>
        <w:t xml:space="preserve"> </w:t>
      </w:r>
      <w:r w:rsidRPr="00283806">
        <w:rPr>
          <w:w w:val="105"/>
          <w:sz w:val="14"/>
        </w:rPr>
        <w:t>more than 15 passengers. Buses may include coach</w:t>
      </w:r>
      <w:r w:rsidRPr="00283806">
        <w:rPr>
          <w:spacing w:val="40"/>
          <w:w w:val="105"/>
          <w:sz w:val="14"/>
        </w:rPr>
        <w:t xml:space="preserve"> </w:t>
      </w:r>
      <w:r w:rsidRPr="00283806">
        <w:rPr>
          <w:w w:val="105"/>
          <w:sz w:val="14"/>
        </w:rPr>
        <w:t>buses, school buses, and urban transit buses.’’</w:t>
      </w:r>
    </w:p>
    <w:p w14:paraId="17038221" w14:textId="77777777" w:rsidR="00D67C1E" w:rsidRPr="00283806" w:rsidRDefault="001265CA">
      <w:pPr>
        <w:spacing w:before="19"/>
        <w:ind w:left="300"/>
        <w:rPr>
          <w:sz w:val="14"/>
        </w:rPr>
      </w:pPr>
      <w:r w:rsidRPr="00283806">
        <w:rPr>
          <w:w w:val="110"/>
          <w:position w:val="4"/>
          <w:sz w:val="9"/>
        </w:rPr>
        <w:t>66</w:t>
      </w:r>
      <w:r w:rsidRPr="00283806">
        <w:rPr>
          <w:spacing w:val="-3"/>
          <w:w w:val="110"/>
          <w:position w:val="4"/>
          <w:sz w:val="9"/>
        </w:rPr>
        <w:t xml:space="preserve"> </w:t>
      </w:r>
      <w:r w:rsidRPr="00283806">
        <w:rPr>
          <w:w w:val="110"/>
          <w:sz w:val="14"/>
        </w:rPr>
        <w:t xml:space="preserve">Defined at 40 CFR </w:t>
      </w:r>
      <w:r w:rsidRPr="00283806">
        <w:rPr>
          <w:spacing w:val="-2"/>
          <w:w w:val="110"/>
          <w:sz w:val="14"/>
        </w:rPr>
        <w:t>86.1803–01.</w:t>
      </w:r>
    </w:p>
    <w:p w14:paraId="7CA3E5D4" w14:textId="68D96925" w:rsidR="00D67C1E" w:rsidRPr="00283806" w:rsidRDefault="001265CA">
      <w:pPr>
        <w:spacing w:before="21" w:line="230" w:lineRule="auto"/>
        <w:ind w:left="160" w:right="141" w:firstLine="140"/>
        <w:rPr>
          <w:rFonts w:ascii="Book Antiqua"/>
          <w:i/>
          <w:sz w:val="14"/>
        </w:rPr>
      </w:pPr>
      <w:r w:rsidRPr="00283806">
        <w:rPr>
          <w:w w:val="110"/>
          <w:position w:val="4"/>
          <w:sz w:val="9"/>
        </w:rPr>
        <w:t xml:space="preserve">67 </w:t>
      </w:r>
      <w:r w:rsidRPr="00283806">
        <w:rPr>
          <w:w w:val="110"/>
          <w:sz w:val="14"/>
        </w:rPr>
        <w:t>Chemours, Freon</w:t>
      </w:r>
      <w:r w:rsidRPr="00283806">
        <w:rPr>
          <w:w w:val="110"/>
          <w:position w:val="4"/>
          <w:sz w:val="9"/>
        </w:rPr>
        <w:t>TM</w:t>
      </w:r>
      <w:r w:rsidRPr="00283806">
        <w:rPr>
          <w:spacing w:val="17"/>
          <w:w w:val="110"/>
          <w:position w:val="4"/>
          <w:sz w:val="9"/>
        </w:rPr>
        <w:t xml:space="preserve"> </w:t>
      </w:r>
      <w:r w:rsidRPr="00283806">
        <w:rPr>
          <w:w w:val="110"/>
          <w:sz w:val="14"/>
        </w:rPr>
        <w:t>Refrigerant for Bus and</w:t>
      </w:r>
      <w:r w:rsidRPr="00283806">
        <w:rPr>
          <w:spacing w:val="40"/>
          <w:w w:val="115"/>
          <w:sz w:val="14"/>
        </w:rPr>
        <w:t xml:space="preserve"> </w:t>
      </w:r>
      <w:r w:rsidRPr="00283806">
        <w:rPr>
          <w:w w:val="115"/>
          <w:sz w:val="14"/>
        </w:rPr>
        <w:t xml:space="preserve">Rail Air Conditioning; available at: </w:t>
      </w:r>
      <w:r w:rsidRPr="00283806">
        <w:rPr>
          <w:rFonts w:ascii="Book Antiqua"/>
          <w:i/>
          <w:w w:val="115"/>
          <w:sz w:val="14"/>
        </w:rPr>
        <w:t xml:space="preserve">https:// </w:t>
      </w:r>
      <w:r w:rsidRPr="00283806">
        <w:rPr>
          <w:rFonts w:ascii="Book Antiqua"/>
          <w:i/>
          <w:spacing w:val="-2"/>
          <w:w w:val="115"/>
          <w:sz w:val="14"/>
        </w:rPr>
        <w:t>www.freon.com/en/industries/stationary-ac-heat-</w:t>
      </w:r>
      <w:r w:rsidRPr="00283806">
        <w:rPr>
          <w:rFonts w:ascii="Book Antiqua"/>
          <w:i/>
          <w:spacing w:val="40"/>
          <w:w w:val="115"/>
          <w:sz w:val="14"/>
        </w:rPr>
        <w:t xml:space="preserve"> </w:t>
      </w:r>
      <w:r w:rsidRPr="00283806">
        <w:rPr>
          <w:rFonts w:ascii="Book Antiqua"/>
          <w:i/>
          <w:spacing w:val="-2"/>
          <w:w w:val="115"/>
          <w:sz w:val="14"/>
        </w:rPr>
        <w:t>pumps/public-transport-ac.</w:t>
      </w:r>
    </w:p>
    <w:p w14:paraId="36B4FEE9" w14:textId="07FA222B" w:rsidR="00D67C1E" w:rsidRPr="00283806" w:rsidRDefault="001265CA">
      <w:pPr>
        <w:spacing w:before="63" w:line="230" w:lineRule="auto"/>
        <w:ind w:left="160" w:right="338" w:firstLine="140"/>
        <w:rPr>
          <w:rFonts w:ascii="Book Antiqua" w:hAnsi="Book Antiqua"/>
          <w:i/>
          <w:sz w:val="14"/>
        </w:rPr>
      </w:pPr>
      <w:r w:rsidRPr="00283806">
        <w:br w:type="column"/>
      </w:r>
      <w:r w:rsidRPr="00283806">
        <w:rPr>
          <w:w w:val="110"/>
          <w:position w:val="4"/>
          <w:sz w:val="9"/>
        </w:rPr>
        <w:t>68</w:t>
      </w:r>
      <w:r w:rsidRPr="00283806">
        <w:rPr>
          <w:spacing w:val="-2"/>
          <w:w w:val="110"/>
          <w:position w:val="4"/>
          <w:sz w:val="9"/>
        </w:rPr>
        <w:t xml:space="preserve"> </w:t>
      </w:r>
      <w:r w:rsidRPr="00283806">
        <w:rPr>
          <w:w w:val="110"/>
          <w:sz w:val="14"/>
        </w:rPr>
        <w:t>ICF, 2016. Technical Support Document for</w:t>
      </w:r>
      <w:r w:rsidRPr="00283806">
        <w:rPr>
          <w:spacing w:val="40"/>
          <w:w w:val="110"/>
          <w:sz w:val="14"/>
        </w:rPr>
        <w:t xml:space="preserve"> </w:t>
      </w:r>
      <w:r w:rsidRPr="00283806">
        <w:rPr>
          <w:w w:val="110"/>
          <w:sz w:val="14"/>
        </w:rPr>
        <w:t>Acceptability Listing of HFO–1234yf for Motor</w:t>
      </w:r>
      <w:r w:rsidRPr="00283806">
        <w:rPr>
          <w:spacing w:val="40"/>
          <w:w w:val="110"/>
          <w:sz w:val="14"/>
        </w:rPr>
        <w:t xml:space="preserve"> </w:t>
      </w:r>
      <w:r w:rsidRPr="00283806">
        <w:rPr>
          <w:w w:val="110"/>
          <w:sz w:val="14"/>
        </w:rPr>
        <w:t>Vehicle</w:t>
      </w:r>
      <w:r w:rsidRPr="00283806">
        <w:rPr>
          <w:spacing w:val="-4"/>
          <w:w w:val="110"/>
          <w:sz w:val="14"/>
        </w:rPr>
        <w:t xml:space="preserve"> </w:t>
      </w:r>
      <w:r w:rsidRPr="00283806">
        <w:rPr>
          <w:w w:val="110"/>
          <w:sz w:val="14"/>
        </w:rPr>
        <w:t>Air</w:t>
      </w:r>
      <w:r w:rsidRPr="00283806">
        <w:rPr>
          <w:spacing w:val="-4"/>
          <w:w w:val="110"/>
          <w:sz w:val="14"/>
        </w:rPr>
        <w:t xml:space="preserve"> </w:t>
      </w:r>
      <w:r w:rsidRPr="00283806">
        <w:rPr>
          <w:w w:val="110"/>
          <w:sz w:val="14"/>
        </w:rPr>
        <w:t>Conditioning</w:t>
      </w:r>
      <w:r w:rsidRPr="00283806">
        <w:rPr>
          <w:spacing w:val="-4"/>
          <w:w w:val="110"/>
          <w:sz w:val="14"/>
        </w:rPr>
        <w:t xml:space="preserve"> </w:t>
      </w:r>
      <w:r w:rsidRPr="00283806">
        <w:rPr>
          <w:w w:val="110"/>
          <w:sz w:val="14"/>
        </w:rPr>
        <w:t>in</w:t>
      </w:r>
      <w:r w:rsidRPr="00283806">
        <w:rPr>
          <w:spacing w:val="-4"/>
          <w:w w:val="110"/>
          <w:sz w:val="14"/>
        </w:rPr>
        <w:t xml:space="preserve"> </w:t>
      </w:r>
      <w:r w:rsidRPr="00283806">
        <w:rPr>
          <w:w w:val="110"/>
          <w:sz w:val="14"/>
        </w:rPr>
        <w:t>Limited</w:t>
      </w:r>
      <w:r w:rsidRPr="00283806">
        <w:rPr>
          <w:spacing w:val="-4"/>
          <w:w w:val="110"/>
          <w:sz w:val="14"/>
        </w:rPr>
        <w:t xml:space="preserve"> </w:t>
      </w:r>
      <w:r w:rsidRPr="00283806">
        <w:rPr>
          <w:w w:val="110"/>
          <w:sz w:val="14"/>
        </w:rPr>
        <w:t>Heavy-Duty</w:t>
      </w:r>
      <w:r w:rsidRPr="00283806">
        <w:rPr>
          <w:spacing w:val="40"/>
          <w:w w:val="110"/>
          <w:sz w:val="14"/>
        </w:rPr>
        <w:t xml:space="preserve"> </w:t>
      </w:r>
      <w:r w:rsidRPr="00283806">
        <w:rPr>
          <w:w w:val="110"/>
          <w:sz w:val="14"/>
        </w:rPr>
        <w:t xml:space="preserve">Applications. Available at: </w:t>
      </w:r>
      <w:r w:rsidRPr="00283806">
        <w:rPr>
          <w:rFonts w:ascii="Book Antiqua" w:hAnsi="Book Antiqua"/>
          <w:i/>
          <w:w w:val="110"/>
          <w:sz w:val="14"/>
        </w:rPr>
        <w:t>https://</w:t>
      </w:r>
      <w:r w:rsidRPr="00283806">
        <w:rPr>
          <w:rFonts w:ascii="Book Antiqua" w:hAnsi="Book Antiqua"/>
          <w:i/>
          <w:spacing w:val="40"/>
          <w:w w:val="110"/>
          <w:sz w:val="14"/>
        </w:rPr>
        <w:t xml:space="preserve"> </w:t>
      </w:r>
      <w:r w:rsidRPr="00283806">
        <w:rPr>
          <w:rFonts w:ascii="Book Antiqua" w:hAnsi="Book Antiqua"/>
          <w:i/>
          <w:spacing w:val="-2"/>
          <w:w w:val="110"/>
          <w:sz w:val="14"/>
        </w:rPr>
        <w:t>www.regulations.gov/document/EPA-HQ-OAR-</w:t>
      </w:r>
      <w:r w:rsidRPr="00283806">
        <w:rPr>
          <w:rFonts w:ascii="Book Antiqua" w:hAnsi="Book Antiqua"/>
          <w:i/>
          <w:spacing w:val="40"/>
          <w:w w:val="110"/>
          <w:sz w:val="14"/>
        </w:rPr>
        <w:t xml:space="preserve"> </w:t>
      </w:r>
      <w:r w:rsidRPr="00283806">
        <w:rPr>
          <w:rFonts w:ascii="Book Antiqua" w:hAnsi="Book Antiqua"/>
          <w:i/>
          <w:spacing w:val="-2"/>
          <w:w w:val="110"/>
          <w:sz w:val="14"/>
        </w:rPr>
        <w:t>2015-0663-0007.</w:t>
      </w:r>
    </w:p>
    <w:p w14:paraId="58A40516" w14:textId="1D85FAEB" w:rsidR="00D67C1E" w:rsidRPr="00283806" w:rsidRDefault="001265CA">
      <w:pPr>
        <w:spacing w:before="16" w:line="232" w:lineRule="auto"/>
        <w:ind w:left="160" w:right="159" w:firstLine="140"/>
        <w:rPr>
          <w:rFonts w:ascii="Book Antiqua"/>
          <w:i/>
          <w:sz w:val="14"/>
        </w:rPr>
      </w:pPr>
      <w:r w:rsidRPr="00283806">
        <w:rPr>
          <w:w w:val="115"/>
          <w:position w:val="4"/>
          <w:sz w:val="9"/>
        </w:rPr>
        <w:t>69</w:t>
      </w:r>
      <w:r w:rsidRPr="00283806">
        <w:rPr>
          <w:spacing w:val="-6"/>
          <w:w w:val="115"/>
          <w:position w:val="4"/>
          <w:sz w:val="9"/>
        </w:rPr>
        <w:t xml:space="preserve"> </w:t>
      </w:r>
      <w:r w:rsidRPr="00283806">
        <w:rPr>
          <w:w w:val="115"/>
          <w:sz w:val="14"/>
        </w:rPr>
        <w:t>EPA,</w:t>
      </w:r>
      <w:r w:rsidRPr="00283806">
        <w:rPr>
          <w:spacing w:val="-6"/>
          <w:w w:val="115"/>
          <w:sz w:val="14"/>
        </w:rPr>
        <w:t xml:space="preserve"> </w:t>
      </w:r>
      <w:r w:rsidRPr="00283806">
        <w:rPr>
          <w:w w:val="115"/>
          <w:sz w:val="14"/>
        </w:rPr>
        <w:t>2021.</w:t>
      </w:r>
      <w:r w:rsidRPr="00283806">
        <w:rPr>
          <w:spacing w:val="-6"/>
          <w:w w:val="115"/>
          <w:sz w:val="14"/>
        </w:rPr>
        <w:t xml:space="preserve"> </w:t>
      </w:r>
      <w:r w:rsidRPr="00283806">
        <w:rPr>
          <w:w w:val="115"/>
          <w:sz w:val="14"/>
        </w:rPr>
        <w:t>Basic</w:t>
      </w:r>
      <w:r w:rsidRPr="00283806">
        <w:rPr>
          <w:spacing w:val="-6"/>
          <w:w w:val="115"/>
          <w:sz w:val="14"/>
        </w:rPr>
        <w:t xml:space="preserve"> </w:t>
      </w:r>
      <w:r w:rsidRPr="00283806">
        <w:rPr>
          <w:w w:val="115"/>
          <w:sz w:val="14"/>
        </w:rPr>
        <w:t>Information</w:t>
      </w:r>
      <w:r w:rsidRPr="00283806">
        <w:rPr>
          <w:spacing w:val="-6"/>
          <w:w w:val="115"/>
          <w:sz w:val="14"/>
        </w:rPr>
        <w:t xml:space="preserve"> </w:t>
      </w:r>
      <w:r w:rsidRPr="00283806">
        <w:rPr>
          <w:w w:val="115"/>
          <w:sz w:val="14"/>
        </w:rPr>
        <w:t>about</w:t>
      </w:r>
      <w:r w:rsidRPr="00283806">
        <w:rPr>
          <w:spacing w:val="-6"/>
          <w:w w:val="115"/>
          <w:sz w:val="14"/>
        </w:rPr>
        <w:t xml:space="preserve"> </w:t>
      </w:r>
      <w:r w:rsidRPr="00283806">
        <w:rPr>
          <w:w w:val="115"/>
          <w:sz w:val="14"/>
        </w:rPr>
        <w:t>the</w:t>
      </w:r>
      <w:r w:rsidRPr="00283806">
        <w:rPr>
          <w:spacing w:val="40"/>
          <w:w w:val="115"/>
          <w:sz w:val="14"/>
        </w:rPr>
        <w:t xml:space="preserve"> </w:t>
      </w:r>
      <w:r w:rsidRPr="00283806">
        <w:rPr>
          <w:w w:val="110"/>
          <w:sz w:val="14"/>
        </w:rPr>
        <w:t>Emission Standards Reference Guide for On-road</w:t>
      </w:r>
      <w:r w:rsidRPr="00283806">
        <w:rPr>
          <w:spacing w:val="40"/>
          <w:w w:val="115"/>
          <w:sz w:val="14"/>
        </w:rPr>
        <w:t xml:space="preserve"> </w:t>
      </w:r>
      <w:r w:rsidRPr="00283806">
        <w:rPr>
          <w:w w:val="115"/>
          <w:sz w:val="14"/>
        </w:rPr>
        <w:t>and</w:t>
      </w:r>
      <w:r w:rsidRPr="00283806">
        <w:rPr>
          <w:spacing w:val="-6"/>
          <w:w w:val="115"/>
          <w:sz w:val="14"/>
        </w:rPr>
        <w:t xml:space="preserve"> </w:t>
      </w:r>
      <w:r w:rsidRPr="00283806">
        <w:rPr>
          <w:w w:val="115"/>
          <w:sz w:val="14"/>
        </w:rPr>
        <w:t>Nonroad</w:t>
      </w:r>
      <w:r w:rsidRPr="00283806">
        <w:rPr>
          <w:spacing w:val="-6"/>
          <w:w w:val="115"/>
          <w:sz w:val="14"/>
        </w:rPr>
        <w:t xml:space="preserve"> </w:t>
      </w:r>
      <w:r w:rsidRPr="00283806">
        <w:rPr>
          <w:w w:val="115"/>
          <w:sz w:val="14"/>
        </w:rPr>
        <w:t>Vehicles</w:t>
      </w:r>
      <w:r w:rsidRPr="00283806">
        <w:rPr>
          <w:spacing w:val="-6"/>
          <w:w w:val="115"/>
          <w:sz w:val="14"/>
        </w:rPr>
        <w:t xml:space="preserve"> </w:t>
      </w:r>
      <w:r w:rsidRPr="00283806">
        <w:rPr>
          <w:w w:val="115"/>
          <w:sz w:val="14"/>
        </w:rPr>
        <w:t>and</w:t>
      </w:r>
      <w:r w:rsidRPr="00283806">
        <w:rPr>
          <w:spacing w:val="-6"/>
          <w:w w:val="115"/>
          <w:sz w:val="14"/>
        </w:rPr>
        <w:t xml:space="preserve"> </w:t>
      </w:r>
      <w:r w:rsidRPr="00283806">
        <w:rPr>
          <w:w w:val="115"/>
          <w:sz w:val="14"/>
        </w:rPr>
        <w:t>Engines.</w:t>
      </w:r>
      <w:r w:rsidRPr="00283806">
        <w:rPr>
          <w:spacing w:val="-6"/>
          <w:w w:val="115"/>
          <w:sz w:val="14"/>
        </w:rPr>
        <w:t xml:space="preserve"> </w:t>
      </w:r>
      <w:r w:rsidRPr="00283806">
        <w:rPr>
          <w:w w:val="115"/>
          <w:sz w:val="14"/>
        </w:rPr>
        <w:t>Available</w:t>
      </w:r>
      <w:r w:rsidRPr="00283806">
        <w:rPr>
          <w:spacing w:val="-6"/>
          <w:w w:val="115"/>
          <w:sz w:val="14"/>
        </w:rPr>
        <w:t xml:space="preserve"> </w:t>
      </w:r>
      <w:r w:rsidRPr="00283806">
        <w:rPr>
          <w:w w:val="115"/>
          <w:sz w:val="14"/>
        </w:rPr>
        <w:t>at</w:t>
      </w:r>
      <w:r w:rsidRPr="00283806">
        <w:rPr>
          <w:spacing w:val="40"/>
          <w:w w:val="115"/>
          <w:sz w:val="14"/>
        </w:rPr>
        <w:t xml:space="preserve"> </w:t>
      </w:r>
      <w:r w:rsidRPr="00283806">
        <w:rPr>
          <w:rFonts w:ascii="Book Antiqua"/>
          <w:i/>
          <w:spacing w:val="-2"/>
          <w:w w:val="115"/>
          <w:sz w:val="14"/>
        </w:rPr>
        <w:t>https://www.epa.gov/emission-standards-reference-</w:t>
      </w:r>
      <w:r w:rsidRPr="00283806">
        <w:rPr>
          <w:rFonts w:ascii="Book Antiqua"/>
          <w:i/>
          <w:spacing w:val="40"/>
          <w:w w:val="115"/>
          <w:sz w:val="14"/>
        </w:rPr>
        <w:t xml:space="preserve"> </w:t>
      </w:r>
      <w:r w:rsidRPr="00283806">
        <w:rPr>
          <w:rFonts w:ascii="Book Antiqua"/>
          <w:i/>
          <w:spacing w:val="-2"/>
          <w:w w:val="115"/>
          <w:sz w:val="14"/>
        </w:rPr>
        <w:t>guide/basic-information-about-emission-standards-</w:t>
      </w:r>
      <w:r w:rsidRPr="00283806">
        <w:rPr>
          <w:rFonts w:ascii="Book Antiqua"/>
          <w:i/>
          <w:spacing w:val="40"/>
          <w:w w:val="115"/>
          <w:sz w:val="14"/>
        </w:rPr>
        <w:t xml:space="preserve"> </w:t>
      </w:r>
      <w:r w:rsidRPr="00283806">
        <w:rPr>
          <w:rFonts w:ascii="Book Antiqua"/>
          <w:i/>
          <w:spacing w:val="-2"/>
          <w:w w:val="115"/>
          <w:sz w:val="14"/>
        </w:rPr>
        <w:t>reference-guide-road.</w:t>
      </w:r>
    </w:p>
    <w:p w14:paraId="27641208" w14:textId="77777777" w:rsidR="00D67C1E" w:rsidRPr="00283806" w:rsidRDefault="00D67C1E">
      <w:pPr>
        <w:spacing w:line="232" w:lineRule="auto"/>
        <w:rPr>
          <w:rFonts w:ascii="Book Antiqua"/>
          <w:sz w:val="14"/>
        </w:rPr>
        <w:sectPr w:rsidR="00D67C1E" w:rsidRPr="00283806">
          <w:type w:val="continuous"/>
          <w:pgSz w:w="12240" w:h="15840"/>
          <w:pgMar w:top="880" w:right="780" w:bottom="280" w:left="740" w:header="627" w:footer="0" w:gutter="0"/>
          <w:cols w:num="3" w:space="720" w:equalWidth="0">
            <w:col w:w="3425" w:space="115"/>
            <w:col w:w="3480" w:space="60"/>
            <w:col w:w="3640"/>
          </w:cols>
        </w:sectPr>
      </w:pPr>
    </w:p>
    <w:p w14:paraId="45148C1B" w14:textId="77777777" w:rsidR="00D67C1E" w:rsidRPr="00283806" w:rsidRDefault="001265CA">
      <w:pPr>
        <w:pStyle w:val="BodyText"/>
        <w:spacing w:before="136" w:line="225" w:lineRule="auto"/>
        <w:ind w:left="159" w:right="1"/>
      </w:pPr>
      <w:proofErr w:type="gramStart"/>
      <w:r w:rsidRPr="00283806">
        <w:rPr>
          <w:w w:val="110"/>
        </w:rPr>
        <w:lastRenderedPageBreak/>
        <w:t>under</w:t>
      </w:r>
      <w:proofErr w:type="gramEnd"/>
      <w:r w:rsidRPr="00283806">
        <w:rPr>
          <w:w w:val="110"/>
        </w:rPr>
        <w:t xml:space="preserve"> CAA Title VI and the AIM Act,</w:t>
      </w:r>
      <w:r w:rsidRPr="00283806">
        <w:rPr>
          <w:spacing w:val="40"/>
          <w:w w:val="110"/>
        </w:rPr>
        <w:t xml:space="preserve"> </w:t>
      </w:r>
      <w:r w:rsidRPr="00283806">
        <w:rPr>
          <w:w w:val="110"/>
        </w:rPr>
        <w:t>EPA has issued numerous regulations that concern the use of ODS and HFCs</w:t>
      </w:r>
      <w:r w:rsidRPr="00283806">
        <w:rPr>
          <w:spacing w:val="40"/>
          <w:w w:val="110"/>
        </w:rPr>
        <w:t xml:space="preserve"> </w:t>
      </w:r>
      <w:r w:rsidRPr="00283806">
        <w:rPr>
          <w:w w:val="110"/>
        </w:rPr>
        <w:t>in</w:t>
      </w:r>
      <w:r w:rsidRPr="00283806">
        <w:rPr>
          <w:spacing w:val="-8"/>
          <w:w w:val="110"/>
        </w:rPr>
        <w:t xml:space="preserve"> </w:t>
      </w:r>
      <w:r w:rsidRPr="00283806">
        <w:rPr>
          <w:w w:val="110"/>
        </w:rPr>
        <w:t>many</w:t>
      </w:r>
      <w:r w:rsidRPr="00283806">
        <w:rPr>
          <w:spacing w:val="-8"/>
          <w:w w:val="110"/>
        </w:rPr>
        <w:t xml:space="preserve"> </w:t>
      </w:r>
      <w:r w:rsidRPr="00283806">
        <w:rPr>
          <w:w w:val="110"/>
        </w:rPr>
        <w:t>applications</w:t>
      </w:r>
      <w:r w:rsidRPr="00283806">
        <w:rPr>
          <w:spacing w:val="-8"/>
          <w:w w:val="110"/>
        </w:rPr>
        <w:t xml:space="preserve"> </w:t>
      </w:r>
      <w:r w:rsidRPr="00283806">
        <w:rPr>
          <w:w w:val="110"/>
        </w:rPr>
        <w:t>including</w:t>
      </w:r>
      <w:r w:rsidRPr="00283806">
        <w:rPr>
          <w:spacing w:val="-8"/>
          <w:w w:val="110"/>
        </w:rPr>
        <w:t xml:space="preserve"> </w:t>
      </w:r>
      <w:r w:rsidRPr="00283806">
        <w:rPr>
          <w:w w:val="110"/>
        </w:rPr>
        <w:t>onboard aviation and flight operations. With respect to this action, the AIM Act does not exclude aircraft or aircraft operations from the scope of implementing regulations. Notably, the inclusion in subsection (e)(4)(B)(iv) of the statute of ‘‘on board aerospace fire suppression’’ which includes aircraft,</w:t>
      </w:r>
      <w:r w:rsidRPr="00283806">
        <w:rPr>
          <w:w w:val="110"/>
          <w:position w:val="5"/>
          <w:sz w:val="11"/>
        </w:rPr>
        <w:t>70</w:t>
      </w:r>
      <w:r w:rsidRPr="00283806">
        <w:rPr>
          <w:spacing w:val="40"/>
          <w:w w:val="110"/>
          <w:position w:val="5"/>
          <w:sz w:val="11"/>
        </w:rPr>
        <w:t xml:space="preserve"> </w:t>
      </w:r>
      <w:r w:rsidRPr="00283806">
        <w:rPr>
          <w:spacing w:val="-2"/>
          <w:w w:val="110"/>
        </w:rPr>
        <w:t>indicates</w:t>
      </w:r>
      <w:r w:rsidRPr="00283806">
        <w:rPr>
          <w:spacing w:val="-5"/>
          <w:w w:val="110"/>
        </w:rPr>
        <w:t xml:space="preserve"> </w:t>
      </w:r>
      <w:r w:rsidRPr="00283806">
        <w:rPr>
          <w:spacing w:val="-2"/>
          <w:w w:val="110"/>
        </w:rPr>
        <w:t>that</w:t>
      </w:r>
      <w:r w:rsidRPr="00283806">
        <w:rPr>
          <w:spacing w:val="-5"/>
          <w:w w:val="110"/>
        </w:rPr>
        <w:t xml:space="preserve"> </w:t>
      </w:r>
      <w:r w:rsidRPr="00283806">
        <w:rPr>
          <w:spacing w:val="-2"/>
          <w:w w:val="110"/>
        </w:rPr>
        <w:t>Congress</w:t>
      </w:r>
      <w:r w:rsidRPr="00283806">
        <w:rPr>
          <w:spacing w:val="-5"/>
          <w:w w:val="110"/>
        </w:rPr>
        <w:t xml:space="preserve"> </w:t>
      </w:r>
      <w:r w:rsidRPr="00283806">
        <w:rPr>
          <w:spacing w:val="-2"/>
          <w:w w:val="110"/>
        </w:rPr>
        <w:t>did</w:t>
      </w:r>
      <w:r w:rsidRPr="00283806">
        <w:rPr>
          <w:spacing w:val="-5"/>
          <w:w w:val="110"/>
        </w:rPr>
        <w:t xml:space="preserve"> </w:t>
      </w:r>
      <w:r w:rsidRPr="00283806">
        <w:rPr>
          <w:spacing w:val="-2"/>
          <w:w w:val="110"/>
        </w:rPr>
        <w:t>not</w:t>
      </w:r>
      <w:r w:rsidRPr="00283806">
        <w:rPr>
          <w:spacing w:val="-5"/>
          <w:w w:val="110"/>
        </w:rPr>
        <w:t xml:space="preserve"> </w:t>
      </w:r>
      <w:r w:rsidRPr="00283806">
        <w:rPr>
          <w:spacing w:val="-2"/>
          <w:w w:val="110"/>
        </w:rPr>
        <w:t>intend</w:t>
      </w:r>
      <w:r w:rsidRPr="00283806">
        <w:rPr>
          <w:spacing w:val="-5"/>
          <w:w w:val="110"/>
        </w:rPr>
        <w:t xml:space="preserve"> </w:t>
      </w:r>
      <w:r w:rsidRPr="00283806">
        <w:rPr>
          <w:spacing w:val="-2"/>
          <w:w w:val="110"/>
        </w:rPr>
        <w:t xml:space="preserve">to </w:t>
      </w:r>
      <w:r w:rsidRPr="00283806">
        <w:rPr>
          <w:w w:val="110"/>
        </w:rPr>
        <w:t>exempt aircraft and aircraft operations from the AIM Act. In addition, the commenter does not address the provisions</w:t>
      </w:r>
      <w:r w:rsidRPr="00283806">
        <w:rPr>
          <w:spacing w:val="-7"/>
          <w:w w:val="110"/>
        </w:rPr>
        <w:t xml:space="preserve"> </w:t>
      </w:r>
      <w:r w:rsidRPr="00283806">
        <w:rPr>
          <w:w w:val="110"/>
        </w:rPr>
        <w:t>of</w:t>
      </w:r>
      <w:r w:rsidRPr="00283806">
        <w:rPr>
          <w:spacing w:val="-7"/>
          <w:w w:val="110"/>
        </w:rPr>
        <w:t xml:space="preserve"> </w:t>
      </w:r>
      <w:r w:rsidRPr="00283806">
        <w:rPr>
          <w:w w:val="110"/>
        </w:rPr>
        <w:t>subsection</w:t>
      </w:r>
      <w:r w:rsidRPr="00283806">
        <w:rPr>
          <w:spacing w:val="-7"/>
          <w:w w:val="110"/>
        </w:rPr>
        <w:t xml:space="preserve"> </w:t>
      </w:r>
      <w:r w:rsidRPr="00283806">
        <w:rPr>
          <w:w w:val="110"/>
        </w:rPr>
        <w:t>(h)</w:t>
      </w:r>
      <w:r w:rsidRPr="00283806">
        <w:rPr>
          <w:spacing w:val="-7"/>
          <w:w w:val="110"/>
        </w:rPr>
        <w:t xml:space="preserve"> </w:t>
      </w:r>
      <w:r w:rsidRPr="00283806">
        <w:rPr>
          <w:w w:val="110"/>
        </w:rPr>
        <w:t>itself.</w:t>
      </w:r>
      <w:r w:rsidRPr="00283806">
        <w:rPr>
          <w:spacing w:val="-7"/>
          <w:w w:val="110"/>
        </w:rPr>
        <w:t xml:space="preserve"> </w:t>
      </w:r>
      <w:r w:rsidRPr="00283806">
        <w:rPr>
          <w:w w:val="110"/>
        </w:rPr>
        <w:t>None of the text of subsection (h) indicates that Congress contemplated that these provisions would not apply to equipment</w:t>
      </w:r>
      <w:r w:rsidRPr="00283806">
        <w:rPr>
          <w:spacing w:val="-11"/>
          <w:w w:val="110"/>
        </w:rPr>
        <w:t xml:space="preserve"> </w:t>
      </w:r>
      <w:r w:rsidRPr="00283806">
        <w:rPr>
          <w:w w:val="110"/>
        </w:rPr>
        <w:t>used</w:t>
      </w:r>
      <w:r w:rsidRPr="00283806">
        <w:rPr>
          <w:spacing w:val="-11"/>
          <w:w w:val="110"/>
        </w:rPr>
        <w:t xml:space="preserve"> </w:t>
      </w:r>
      <w:r w:rsidRPr="00283806">
        <w:rPr>
          <w:w w:val="110"/>
        </w:rPr>
        <w:t>in</w:t>
      </w:r>
      <w:r w:rsidRPr="00283806">
        <w:rPr>
          <w:spacing w:val="-11"/>
          <w:w w:val="110"/>
        </w:rPr>
        <w:t xml:space="preserve"> </w:t>
      </w:r>
      <w:r w:rsidRPr="00283806">
        <w:rPr>
          <w:w w:val="110"/>
        </w:rPr>
        <w:t>commercial</w:t>
      </w:r>
      <w:r w:rsidRPr="00283806">
        <w:rPr>
          <w:spacing w:val="-11"/>
          <w:w w:val="110"/>
        </w:rPr>
        <w:t xml:space="preserve"> </w:t>
      </w:r>
      <w:r w:rsidRPr="00283806">
        <w:rPr>
          <w:w w:val="110"/>
        </w:rPr>
        <w:t xml:space="preserve">aviation. Congress expressly addressed inapplicability of regulations under (h) in subsection (h)(4), in which it </w:t>
      </w:r>
      <w:proofErr w:type="gramStart"/>
      <w:r w:rsidRPr="00283806">
        <w:rPr>
          <w:w w:val="110"/>
        </w:rPr>
        <w:t>provided that</w:t>
      </w:r>
      <w:proofErr w:type="gramEnd"/>
      <w:r w:rsidRPr="00283806">
        <w:rPr>
          <w:w w:val="110"/>
        </w:rPr>
        <w:t xml:space="preserve"> regulations under subsection (h) shall not apply to HFCs or their substitutes contained in foams. If Congress had intended to exclude equipment</w:t>
      </w:r>
      <w:r w:rsidRPr="00283806">
        <w:rPr>
          <w:spacing w:val="-5"/>
          <w:w w:val="110"/>
        </w:rPr>
        <w:t xml:space="preserve"> </w:t>
      </w:r>
      <w:r w:rsidRPr="00283806">
        <w:rPr>
          <w:w w:val="110"/>
        </w:rPr>
        <w:t>used</w:t>
      </w:r>
      <w:r w:rsidRPr="00283806">
        <w:rPr>
          <w:spacing w:val="-5"/>
          <w:w w:val="110"/>
        </w:rPr>
        <w:t xml:space="preserve"> </w:t>
      </w:r>
      <w:r w:rsidRPr="00283806">
        <w:rPr>
          <w:w w:val="110"/>
        </w:rPr>
        <w:t>in</w:t>
      </w:r>
      <w:r w:rsidRPr="00283806">
        <w:rPr>
          <w:spacing w:val="-5"/>
          <w:w w:val="110"/>
        </w:rPr>
        <w:t xml:space="preserve"> </w:t>
      </w:r>
      <w:r w:rsidRPr="00283806">
        <w:rPr>
          <w:w w:val="110"/>
        </w:rPr>
        <w:t>commercial</w:t>
      </w:r>
      <w:r w:rsidRPr="00283806">
        <w:rPr>
          <w:spacing w:val="-5"/>
          <w:w w:val="110"/>
        </w:rPr>
        <w:t xml:space="preserve"> </w:t>
      </w:r>
      <w:r w:rsidRPr="00283806">
        <w:rPr>
          <w:w w:val="110"/>
        </w:rPr>
        <w:t xml:space="preserve">aviation from regulations promulgated under </w:t>
      </w:r>
      <w:r w:rsidRPr="00283806">
        <w:t>subsection (h), it would be reasonable to</w:t>
      </w:r>
      <w:r w:rsidRPr="00283806">
        <w:rPr>
          <w:spacing w:val="40"/>
          <w:w w:val="110"/>
        </w:rPr>
        <w:t xml:space="preserve"> </w:t>
      </w:r>
      <w:r w:rsidRPr="00283806">
        <w:rPr>
          <w:w w:val="110"/>
        </w:rPr>
        <w:t xml:space="preserve">expect that the statute would include </w:t>
      </w:r>
      <w:r w:rsidRPr="00283806">
        <w:rPr>
          <w:spacing w:val="-2"/>
          <w:w w:val="110"/>
        </w:rPr>
        <w:t xml:space="preserve">similar language creating that exclusion. </w:t>
      </w:r>
      <w:r w:rsidRPr="00283806">
        <w:rPr>
          <w:w w:val="110"/>
        </w:rPr>
        <w:t>Although the comments do not appear to base their objections on the text of subsection</w:t>
      </w:r>
      <w:r w:rsidRPr="00283806">
        <w:rPr>
          <w:spacing w:val="-9"/>
          <w:w w:val="110"/>
        </w:rPr>
        <w:t xml:space="preserve"> </w:t>
      </w:r>
      <w:r w:rsidRPr="00283806">
        <w:rPr>
          <w:w w:val="110"/>
        </w:rPr>
        <w:t>(h),</w:t>
      </w:r>
      <w:r w:rsidRPr="00283806">
        <w:rPr>
          <w:spacing w:val="-9"/>
          <w:w w:val="110"/>
        </w:rPr>
        <w:t xml:space="preserve"> </w:t>
      </w:r>
      <w:r w:rsidRPr="00283806">
        <w:rPr>
          <w:w w:val="110"/>
        </w:rPr>
        <w:t>to</w:t>
      </w:r>
      <w:r w:rsidRPr="00283806">
        <w:rPr>
          <w:spacing w:val="-9"/>
          <w:w w:val="110"/>
        </w:rPr>
        <w:t xml:space="preserve"> </w:t>
      </w:r>
      <w:r w:rsidRPr="00283806">
        <w:rPr>
          <w:w w:val="110"/>
        </w:rPr>
        <w:t>the</w:t>
      </w:r>
      <w:r w:rsidRPr="00283806">
        <w:rPr>
          <w:spacing w:val="-9"/>
          <w:w w:val="110"/>
        </w:rPr>
        <w:t xml:space="preserve"> </w:t>
      </w:r>
      <w:r w:rsidRPr="00283806">
        <w:rPr>
          <w:w w:val="110"/>
        </w:rPr>
        <w:t>extent</w:t>
      </w:r>
      <w:r w:rsidRPr="00283806">
        <w:rPr>
          <w:spacing w:val="-9"/>
          <w:w w:val="110"/>
        </w:rPr>
        <w:t xml:space="preserve"> </w:t>
      </w:r>
      <w:r w:rsidRPr="00283806">
        <w:rPr>
          <w:w w:val="110"/>
        </w:rPr>
        <w:t>they</w:t>
      </w:r>
      <w:r w:rsidRPr="00283806">
        <w:rPr>
          <w:spacing w:val="-9"/>
          <w:w w:val="110"/>
        </w:rPr>
        <w:t xml:space="preserve"> </w:t>
      </w:r>
      <w:r w:rsidRPr="00283806">
        <w:rPr>
          <w:w w:val="110"/>
        </w:rPr>
        <w:t>intend to claim that this rulemaking exceeds EPA’s authority under that provision, EPA notes that it is establishing the subsection</w:t>
      </w:r>
      <w:r w:rsidRPr="00283806">
        <w:rPr>
          <w:spacing w:val="-11"/>
          <w:w w:val="110"/>
        </w:rPr>
        <w:t xml:space="preserve"> </w:t>
      </w:r>
      <w:r w:rsidRPr="00283806">
        <w:rPr>
          <w:w w:val="110"/>
        </w:rPr>
        <w:t>(h)</w:t>
      </w:r>
      <w:r w:rsidRPr="00283806">
        <w:rPr>
          <w:spacing w:val="-11"/>
          <w:w w:val="110"/>
        </w:rPr>
        <w:t xml:space="preserve"> </w:t>
      </w:r>
      <w:r w:rsidRPr="00283806">
        <w:rPr>
          <w:w w:val="110"/>
        </w:rPr>
        <w:t>requirements</w:t>
      </w:r>
      <w:r w:rsidRPr="00283806">
        <w:rPr>
          <w:spacing w:val="-11"/>
          <w:w w:val="110"/>
        </w:rPr>
        <w:t xml:space="preserve"> </w:t>
      </w:r>
      <w:r w:rsidRPr="00283806">
        <w:rPr>
          <w:w w:val="110"/>
        </w:rPr>
        <w:t>in</w:t>
      </w:r>
      <w:r w:rsidRPr="00283806">
        <w:rPr>
          <w:spacing w:val="-11"/>
          <w:w w:val="110"/>
        </w:rPr>
        <w:t xml:space="preserve"> </w:t>
      </w:r>
      <w:r w:rsidRPr="00283806">
        <w:rPr>
          <w:w w:val="110"/>
        </w:rPr>
        <w:t>this</w:t>
      </w:r>
      <w:r w:rsidRPr="00283806">
        <w:rPr>
          <w:spacing w:val="-11"/>
          <w:w w:val="110"/>
        </w:rPr>
        <w:t xml:space="preserve"> </w:t>
      </w:r>
      <w:r w:rsidRPr="00283806">
        <w:rPr>
          <w:w w:val="110"/>
        </w:rPr>
        <w:t>final action</w:t>
      </w:r>
      <w:r w:rsidRPr="00283806">
        <w:rPr>
          <w:spacing w:val="-11"/>
          <w:w w:val="110"/>
        </w:rPr>
        <w:t xml:space="preserve"> </w:t>
      </w:r>
      <w:r w:rsidRPr="00283806">
        <w:rPr>
          <w:w w:val="110"/>
        </w:rPr>
        <w:t>to</w:t>
      </w:r>
      <w:r w:rsidRPr="00283806">
        <w:rPr>
          <w:spacing w:val="-11"/>
          <w:w w:val="110"/>
        </w:rPr>
        <w:t xml:space="preserve"> </w:t>
      </w:r>
      <w:r w:rsidRPr="00283806">
        <w:rPr>
          <w:w w:val="110"/>
        </w:rPr>
        <w:t>control</w:t>
      </w:r>
      <w:r w:rsidRPr="00283806">
        <w:rPr>
          <w:spacing w:val="-11"/>
          <w:w w:val="110"/>
        </w:rPr>
        <w:t xml:space="preserve"> </w:t>
      </w:r>
      <w:r w:rsidRPr="00283806">
        <w:rPr>
          <w:w w:val="110"/>
        </w:rPr>
        <w:t>practices,</w:t>
      </w:r>
      <w:r w:rsidRPr="00283806">
        <w:rPr>
          <w:spacing w:val="-11"/>
          <w:w w:val="110"/>
        </w:rPr>
        <w:t xml:space="preserve"> </w:t>
      </w:r>
      <w:r w:rsidRPr="00283806">
        <w:rPr>
          <w:w w:val="110"/>
        </w:rPr>
        <w:t>processes,</w:t>
      </w:r>
      <w:r w:rsidRPr="00283806">
        <w:rPr>
          <w:spacing w:val="-11"/>
          <w:w w:val="110"/>
        </w:rPr>
        <w:t xml:space="preserve"> </w:t>
      </w:r>
      <w:r w:rsidRPr="00283806">
        <w:rPr>
          <w:w w:val="110"/>
        </w:rPr>
        <w:t>or activities regarding the service, repair, disposal, or installation of equipment that</w:t>
      </w:r>
      <w:r w:rsidRPr="00283806">
        <w:rPr>
          <w:spacing w:val="-5"/>
          <w:w w:val="110"/>
        </w:rPr>
        <w:t xml:space="preserve"> </w:t>
      </w:r>
      <w:r w:rsidRPr="00283806">
        <w:rPr>
          <w:w w:val="110"/>
        </w:rPr>
        <w:t>involves</w:t>
      </w:r>
      <w:r w:rsidRPr="00283806">
        <w:rPr>
          <w:spacing w:val="-5"/>
          <w:w w:val="110"/>
        </w:rPr>
        <w:t xml:space="preserve"> </w:t>
      </w:r>
      <w:r w:rsidRPr="00283806">
        <w:rPr>
          <w:w w:val="110"/>
        </w:rPr>
        <w:t>a</w:t>
      </w:r>
      <w:r w:rsidRPr="00283806">
        <w:rPr>
          <w:spacing w:val="-5"/>
          <w:w w:val="110"/>
        </w:rPr>
        <w:t xml:space="preserve"> </w:t>
      </w:r>
      <w:r w:rsidRPr="00283806">
        <w:rPr>
          <w:w w:val="110"/>
        </w:rPr>
        <w:t>regulated</w:t>
      </w:r>
      <w:r w:rsidRPr="00283806">
        <w:rPr>
          <w:spacing w:val="-5"/>
          <w:w w:val="110"/>
        </w:rPr>
        <w:t xml:space="preserve"> </w:t>
      </w:r>
      <w:r w:rsidRPr="00283806">
        <w:rPr>
          <w:w w:val="110"/>
        </w:rPr>
        <w:t>substance</w:t>
      </w:r>
      <w:r w:rsidRPr="00283806">
        <w:rPr>
          <w:spacing w:val="-5"/>
          <w:w w:val="110"/>
        </w:rPr>
        <w:t xml:space="preserve"> </w:t>
      </w:r>
      <w:r w:rsidRPr="00283806">
        <w:rPr>
          <w:w w:val="110"/>
        </w:rPr>
        <w:t>or</w:t>
      </w:r>
      <w:r w:rsidRPr="00283806">
        <w:rPr>
          <w:spacing w:val="-5"/>
          <w:w w:val="110"/>
        </w:rPr>
        <w:t xml:space="preserve"> </w:t>
      </w:r>
      <w:r w:rsidRPr="00283806">
        <w:rPr>
          <w:w w:val="110"/>
        </w:rPr>
        <w:t>a substitute</w:t>
      </w:r>
      <w:r w:rsidRPr="00283806">
        <w:rPr>
          <w:spacing w:val="-11"/>
          <w:w w:val="110"/>
        </w:rPr>
        <w:t xml:space="preserve"> </w:t>
      </w:r>
      <w:r w:rsidRPr="00283806">
        <w:rPr>
          <w:w w:val="110"/>
        </w:rPr>
        <w:t>for</w:t>
      </w:r>
      <w:r w:rsidRPr="00283806">
        <w:rPr>
          <w:spacing w:val="-11"/>
          <w:w w:val="110"/>
        </w:rPr>
        <w:t xml:space="preserve"> </w:t>
      </w:r>
      <w:r w:rsidRPr="00283806">
        <w:rPr>
          <w:w w:val="110"/>
        </w:rPr>
        <w:t>a</w:t>
      </w:r>
      <w:r w:rsidRPr="00283806">
        <w:rPr>
          <w:spacing w:val="-11"/>
          <w:w w:val="110"/>
        </w:rPr>
        <w:t xml:space="preserve"> </w:t>
      </w:r>
      <w:r w:rsidRPr="00283806">
        <w:rPr>
          <w:w w:val="110"/>
        </w:rPr>
        <w:t>regulated</w:t>
      </w:r>
      <w:r w:rsidRPr="00283806">
        <w:rPr>
          <w:spacing w:val="-11"/>
          <w:w w:val="110"/>
        </w:rPr>
        <w:t xml:space="preserve"> </w:t>
      </w:r>
      <w:r w:rsidRPr="00283806">
        <w:rPr>
          <w:w w:val="110"/>
        </w:rPr>
        <w:t>substance</w:t>
      </w:r>
      <w:r w:rsidRPr="00283806">
        <w:rPr>
          <w:spacing w:val="-11"/>
          <w:w w:val="110"/>
        </w:rPr>
        <w:t xml:space="preserve"> </w:t>
      </w:r>
      <w:r w:rsidRPr="00283806">
        <w:rPr>
          <w:w w:val="110"/>
        </w:rPr>
        <w:t>and to serve the statutory purposes identified in subsection (h). Thus, this final action is within the scope of EPA’s authority under subsection (h)(1), including as it pertains to equipment used in commercial aviation.</w:t>
      </w:r>
    </w:p>
    <w:p w14:paraId="404FC16C" w14:textId="77777777" w:rsidR="00D67C1E" w:rsidRPr="00283806" w:rsidRDefault="001265CA">
      <w:pPr>
        <w:pStyle w:val="BodyText"/>
        <w:spacing w:line="169" w:lineRule="exact"/>
        <w:ind w:left="339"/>
      </w:pPr>
      <w:r w:rsidRPr="00283806">
        <w:rPr>
          <w:w w:val="105"/>
        </w:rPr>
        <w:t>With</w:t>
      </w:r>
      <w:r w:rsidRPr="00283806">
        <w:rPr>
          <w:spacing w:val="5"/>
          <w:w w:val="105"/>
        </w:rPr>
        <w:t xml:space="preserve"> </w:t>
      </w:r>
      <w:r w:rsidRPr="00283806">
        <w:rPr>
          <w:w w:val="105"/>
        </w:rPr>
        <w:t>respect</w:t>
      </w:r>
      <w:r w:rsidRPr="00283806">
        <w:rPr>
          <w:spacing w:val="5"/>
          <w:w w:val="105"/>
        </w:rPr>
        <w:t xml:space="preserve"> </w:t>
      </w:r>
      <w:r w:rsidRPr="00283806">
        <w:rPr>
          <w:w w:val="105"/>
        </w:rPr>
        <w:t>to</w:t>
      </w:r>
      <w:r w:rsidRPr="00283806">
        <w:rPr>
          <w:spacing w:val="5"/>
          <w:w w:val="105"/>
        </w:rPr>
        <w:t xml:space="preserve"> </w:t>
      </w:r>
      <w:r w:rsidRPr="00283806">
        <w:rPr>
          <w:w w:val="105"/>
        </w:rPr>
        <w:t>the</w:t>
      </w:r>
      <w:r w:rsidRPr="00283806">
        <w:rPr>
          <w:spacing w:val="5"/>
          <w:w w:val="105"/>
        </w:rPr>
        <w:t xml:space="preserve"> </w:t>
      </w:r>
      <w:r w:rsidRPr="00283806">
        <w:rPr>
          <w:spacing w:val="-2"/>
          <w:w w:val="105"/>
        </w:rPr>
        <w:t>commenters’</w:t>
      </w:r>
    </w:p>
    <w:p w14:paraId="4EBC2F5D" w14:textId="77777777" w:rsidR="00D67C1E" w:rsidRPr="00283806" w:rsidRDefault="001265CA">
      <w:pPr>
        <w:pStyle w:val="BodyText"/>
        <w:spacing w:before="3" w:line="228" w:lineRule="auto"/>
        <w:ind w:left="159" w:right="53"/>
      </w:pPr>
      <w:r w:rsidRPr="00283806">
        <w:rPr>
          <w:w w:val="110"/>
        </w:rPr>
        <w:t>assertions</w:t>
      </w:r>
      <w:r w:rsidRPr="00283806">
        <w:rPr>
          <w:spacing w:val="-11"/>
          <w:w w:val="110"/>
        </w:rPr>
        <w:t xml:space="preserve"> </w:t>
      </w:r>
      <w:r w:rsidRPr="00283806">
        <w:rPr>
          <w:w w:val="110"/>
        </w:rPr>
        <w:t>that</w:t>
      </w:r>
      <w:r w:rsidRPr="00283806">
        <w:rPr>
          <w:spacing w:val="-11"/>
          <w:w w:val="110"/>
        </w:rPr>
        <w:t xml:space="preserve"> </w:t>
      </w:r>
      <w:r w:rsidRPr="00283806">
        <w:rPr>
          <w:w w:val="110"/>
        </w:rPr>
        <w:t>finalizing</w:t>
      </w:r>
      <w:r w:rsidRPr="00283806">
        <w:rPr>
          <w:spacing w:val="-11"/>
          <w:w w:val="110"/>
        </w:rPr>
        <w:t xml:space="preserve"> </w:t>
      </w:r>
      <w:r w:rsidRPr="00283806">
        <w:rPr>
          <w:w w:val="110"/>
        </w:rPr>
        <w:t>the</w:t>
      </w:r>
      <w:r w:rsidRPr="00283806">
        <w:rPr>
          <w:spacing w:val="-11"/>
          <w:w w:val="110"/>
        </w:rPr>
        <w:t xml:space="preserve"> </w:t>
      </w:r>
      <w:r w:rsidRPr="00283806">
        <w:rPr>
          <w:w w:val="110"/>
        </w:rPr>
        <w:t xml:space="preserve">proposed rule would conflict with the Federal Aviation Act’s statutory purpose and </w:t>
      </w:r>
      <w:r w:rsidRPr="00283806">
        <w:t>scheme and that this statute reserves to</w:t>
      </w:r>
      <w:r w:rsidRPr="00283806">
        <w:rPr>
          <w:w w:val="110"/>
        </w:rPr>
        <w:t xml:space="preserve"> the FAA jurisdiction over matters </w:t>
      </w:r>
      <w:r w:rsidRPr="00283806">
        <w:t>related to aircraft safety and operations</w:t>
      </w:r>
    </w:p>
    <w:p w14:paraId="2471E88A" w14:textId="77777777" w:rsidR="00D67C1E" w:rsidRPr="00283806" w:rsidRDefault="001265CA">
      <w:pPr>
        <w:pStyle w:val="BodyText"/>
        <w:spacing w:before="9"/>
        <w:ind w:left="0"/>
        <w:rPr>
          <w:sz w:val="12"/>
        </w:rPr>
      </w:pPr>
      <w:r w:rsidRPr="00283806">
        <w:rPr>
          <w:noProof/>
        </w:rPr>
        <mc:AlternateContent>
          <mc:Choice Requires="wps">
            <w:drawing>
              <wp:anchor distT="0" distB="0" distL="0" distR="0" simplePos="0" relativeHeight="251636736" behindDoc="1" locked="0" layoutInCell="1" allowOverlap="1" wp14:anchorId="71ED0636" wp14:editId="18AE79A1">
                <wp:simplePos x="0" y="0"/>
                <wp:positionH relativeFrom="page">
                  <wp:posOffset>571500</wp:posOffset>
                </wp:positionH>
                <wp:positionV relativeFrom="paragraph">
                  <wp:posOffset>110499</wp:posOffset>
                </wp:positionV>
                <wp:extent cx="635000" cy="1270"/>
                <wp:effectExtent l="0" t="0" r="0" b="0"/>
                <wp:wrapTopAndBottom/>
                <wp:docPr id="68" name="Graphic 6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CAD6E5" id="Graphic 68" o:spid="_x0000_s1026" alt="&quot;&quot;" style="position:absolute;margin-left:45pt;margin-top:8.7pt;width:50pt;height:.1pt;z-index:-251679744;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" path="m,l635000,e" filled="f" strokeweight=".5pt">
                <v:path arrowok="t"/>
                <w10:wrap type="topAndBottom" anchorx="page"/>
              </v:shape>
            </w:pict>
          </mc:Fallback>
        </mc:AlternateContent>
      </w:r>
    </w:p>
    <w:p w14:paraId="40F2C33C" w14:textId="77777777" w:rsidR="00D67C1E" w:rsidRPr="00283806" w:rsidRDefault="001265CA">
      <w:pPr>
        <w:spacing w:before="45" w:line="223" w:lineRule="auto"/>
        <w:ind w:left="159" w:right="182" w:firstLine="140"/>
        <w:rPr>
          <w:sz w:val="14"/>
        </w:rPr>
      </w:pPr>
      <w:r w:rsidRPr="00283806">
        <w:rPr>
          <w:w w:val="110"/>
          <w:position w:val="4"/>
          <w:sz w:val="9"/>
        </w:rPr>
        <w:t xml:space="preserve">70 </w:t>
      </w:r>
      <w:r w:rsidRPr="00283806">
        <w:rPr>
          <w:w w:val="110"/>
          <w:sz w:val="14"/>
        </w:rPr>
        <w:t xml:space="preserve">EPA’s regulations at 40 CFR 84.3 define </w:t>
      </w:r>
      <w:r w:rsidRPr="00283806">
        <w:rPr>
          <w:rFonts w:ascii="Book Antiqua" w:hAnsi="Book Antiqua"/>
          <w:i/>
          <w:w w:val="110"/>
          <w:sz w:val="14"/>
        </w:rPr>
        <w:t>on</w:t>
      </w:r>
      <w:r w:rsidRPr="00283806">
        <w:rPr>
          <w:rFonts w:ascii="Book Antiqua" w:hAnsi="Book Antiqua"/>
          <w:i/>
          <w:spacing w:val="40"/>
          <w:w w:val="110"/>
          <w:sz w:val="14"/>
        </w:rPr>
        <w:t xml:space="preserve"> </w:t>
      </w:r>
      <w:r w:rsidRPr="00283806">
        <w:rPr>
          <w:rFonts w:ascii="Book Antiqua" w:hAnsi="Book Antiqua"/>
          <w:i/>
          <w:w w:val="110"/>
          <w:sz w:val="14"/>
        </w:rPr>
        <w:t xml:space="preserve">board aerospace fire suppression </w:t>
      </w:r>
      <w:r w:rsidRPr="00283806">
        <w:rPr>
          <w:w w:val="110"/>
          <w:sz w:val="14"/>
        </w:rPr>
        <w:t>to mean ‘‘use of</w:t>
      </w:r>
    </w:p>
    <w:p w14:paraId="3C38AB1D" w14:textId="77777777" w:rsidR="00D67C1E" w:rsidRPr="00283806" w:rsidRDefault="001265CA">
      <w:pPr>
        <w:spacing w:line="232" w:lineRule="auto"/>
        <w:ind w:left="159" w:right="1"/>
        <w:rPr>
          <w:sz w:val="14"/>
        </w:rPr>
      </w:pPr>
      <w:r w:rsidRPr="00283806">
        <w:rPr>
          <w:w w:val="105"/>
          <w:sz w:val="14"/>
        </w:rPr>
        <w:t>a regulated substance in fire suppression equipment</w:t>
      </w:r>
      <w:r w:rsidRPr="00283806">
        <w:rPr>
          <w:spacing w:val="40"/>
          <w:w w:val="105"/>
          <w:sz w:val="14"/>
        </w:rPr>
        <w:t xml:space="preserve"> </w:t>
      </w:r>
      <w:r w:rsidRPr="00283806">
        <w:rPr>
          <w:w w:val="105"/>
          <w:sz w:val="14"/>
        </w:rPr>
        <w:t>used on board commercial and general aviation</w:t>
      </w:r>
      <w:r w:rsidRPr="00283806">
        <w:rPr>
          <w:spacing w:val="40"/>
          <w:w w:val="105"/>
          <w:sz w:val="14"/>
        </w:rPr>
        <w:t xml:space="preserve"> </w:t>
      </w:r>
      <w:r w:rsidRPr="00283806">
        <w:rPr>
          <w:w w:val="105"/>
          <w:sz w:val="14"/>
        </w:rPr>
        <w:t>aircraft, including commercial-derivative aircraft for</w:t>
      </w:r>
      <w:r w:rsidRPr="00283806">
        <w:rPr>
          <w:spacing w:val="40"/>
          <w:w w:val="105"/>
          <w:sz w:val="14"/>
        </w:rPr>
        <w:t xml:space="preserve"> </w:t>
      </w:r>
      <w:r w:rsidRPr="00283806">
        <w:rPr>
          <w:w w:val="105"/>
          <w:sz w:val="14"/>
        </w:rPr>
        <w:t>military</w:t>
      </w:r>
      <w:r w:rsidRPr="00283806">
        <w:rPr>
          <w:spacing w:val="34"/>
          <w:w w:val="105"/>
          <w:sz w:val="14"/>
        </w:rPr>
        <w:t xml:space="preserve"> </w:t>
      </w:r>
      <w:r w:rsidRPr="00283806">
        <w:rPr>
          <w:w w:val="105"/>
          <w:sz w:val="14"/>
        </w:rPr>
        <w:t>use;</w:t>
      </w:r>
      <w:r w:rsidRPr="00283806">
        <w:rPr>
          <w:spacing w:val="34"/>
          <w:w w:val="105"/>
          <w:sz w:val="14"/>
        </w:rPr>
        <w:t xml:space="preserve"> </w:t>
      </w:r>
      <w:r w:rsidRPr="00283806">
        <w:rPr>
          <w:w w:val="105"/>
          <w:sz w:val="14"/>
        </w:rPr>
        <w:t>rotorcraft;</w:t>
      </w:r>
      <w:r w:rsidRPr="00283806">
        <w:rPr>
          <w:spacing w:val="34"/>
          <w:w w:val="105"/>
          <w:sz w:val="14"/>
        </w:rPr>
        <w:t xml:space="preserve"> </w:t>
      </w:r>
      <w:r w:rsidRPr="00283806">
        <w:rPr>
          <w:w w:val="105"/>
          <w:sz w:val="14"/>
        </w:rPr>
        <w:t>and</w:t>
      </w:r>
      <w:r w:rsidRPr="00283806">
        <w:rPr>
          <w:spacing w:val="34"/>
          <w:w w:val="105"/>
          <w:sz w:val="14"/>
        </w:rPr>
        <w:t xml:space="preserve"> </w:t>
      </w:r>
      <w:r w:rsidRPr="00283806">
        <w:rPr>
          <w:w w:val="105"/>
          <w:sz w:val="14"/>
        </w:rPr>
        <w:t>space</w:t>
      </w:r>
      <w:r w:rsidRPr="00283806">
        <w:rPr>
          <w:spacing w:val="34"/>
          <w:w w:val="105"/>
          <w:sz w:val="14"/>
        </w:rPr>
        <w:t xml:space="preserve"> </w:t>
      </w:r>
      <w:r w:rsidRPr="00283806">
        <w:rPr>
          <w:w w:val="105"/>
          <w:sz w:val="14"/>
        </w:rPr>
        <w:t>vehicles.</w:t>
      </w:r>
      <w:r w:rsidRPr="00283806">
        <w:rPr>
          <w:spacing w:val="34"/>
          <w:w w:val="105"/>
          <w:sz w:val="14"/>
        </w:rPr>
        <w:t xml:space="preserve"> </w:t>
      </w:r>
      <w:r w:rsidRPr="00283806">
        <w:rPr>
          <w:w w:val="105"/>
          <w:sz w:val="14"/>
        </w:rPr>
        <w:t>On</w:t>
      </w:r>
      <w:r w:rsidRPr="00283806">
        <w:rPr>
          <w:spacing w:val="40"/>
          <w:w w:val="105"/>
          <w:sz w:val="14"/>
        </w:rPr>
        <w:t xml:space="preserve"> </w:t>
      </w:r>
      <w:r w:rsidRPr="00283806">
        <w:rPr>
          <w:w w:val="105"/>
          <w:sz w:val="14"/>
        </w:rPr>
        <w:t>board commercial aviation fire suppression systems</w:t>
      </w:r>
      <w:r w:rsidRPr="00283806">
        <w:rPr>
          <w:spacing w:val="40"/>
          <w:w w:val="105"/>
          <w:sz w:val="14"/>
        </w:rPr>
        <w:t xml:space="preserve"> </w:t>
      </w:r>
      <w:r w:rsidRPr="00283806">
        <w:rPr>
          <w:w w:val="105"/>
          <w:sz w:val="14"/>
        </w:rPr>
        <w:t>are installed throughout mainline and regional</w:t>
      </w:r>
    </w:p>
    <w:p w14:paraId="65095AF7" w14:textId="77777777" w:rsidR="00D67C1E" w:rsidRPr="00283806" w:rsidRDefault="001265CA">
      <w:pPr>
        <w:pStyle w:val="BodyText"/>
        <w:spacing w:before="132" w:line="230" w:lineRule="auto"/>
        <w:ind w:left="141" w:right="39"/>
      </w:pPr>
      <w:r w:rsidRPr="00283806">
        <w:br w:type="column"/>
      </w:r>
      <w:r w:rsidRPr="00283806">
        <w:rPr>
          <w:w w:val="105"/>
        </w:rPr>
        <w:t>and broadly preempts the field of regulation with respect to commercial aviation, aircraft operations, and aircraft safety, EPA responds that the</w:t>
      </w:r>
      <w:r w:rsidRPr="00283806">
        <w:rPr>
          <w:spacing w:val="40"/>
          <w:w w:val="105"/>
        </w:rPr>
        <w:t xml:space="preserve"> </w:t>
      </w:r>
      <w:r w:rsidRPr="00283806">
        <w:rPr>
          <w:w w:val="105"/>
        </w:rPr>
        <w:t>information presented in the comment letter does not indicate that EPA is generally precluded from including requirements related to the commercial aviation sector in this rulemaking. The comment cites and quotes cases that speak to the pervasive nature of Federal regulation in this area and address the preemption of State and local</w:t>
      </w:r>
      <w:r w:rsidRPr="00283806">
        <w:rPr>
          <w:spacing w:val="40"/>
          <w:w w:val="105"/>
        </w:rPr>
        <w:t xml:space="preserve"> </w:t>
      </w:r>
      <w:r w:rsidRPr="00283806">
        <w:rPr>
          <w:w w:val="105"/>
        </w:rPr>
        <w:t>regulations. However, preemption of State and local laws is not relevant to EPA’s authority to establish regulations under the AIM Act.</w:t>
      </w:r>
    </w:p>
    <w:p w14:paraId="32F390FF" w14:textId="77777777" w:rsidR="00D67C1E" w:rsidRPr="00283806" w:rsidRDefault="001265CA">
      <w:pPr>
        <w:pStyle w:val="BodyText"/>
        <w:spacing w:before="54" w:line="228" w:lineRule="auto"/>
        <w:ind w:left="141" w:right="74" w:firstLine="180"/>
      </w:pPr>
      <w:r w:rsidRPr="00283806">
        <w:rPr>
          <w:w w:val="105"/>
        </w:rPr>
        <w:t>In response to the commenter’s assertions that EPA did not consult with the FAA on these regulations,</w:t>
      </w:r>
      <w:r w:rsidRPr="00283806">
        <w:rPr>
          <w:spacing w:val="40"/>
          <w:w w:val="105"/>
        </w:rPr>
        <w:t xml:space="preserve"> </w:t>
      </w:r>
      <w:r w:rsidRPr="00283806">
        <w:rPr>
          <w:w w:val="105"/>
        </w:rPr>
        <w:t>particularly for any leak repair requirements that may apply to the commercial aviation sector, the Agency notes that it reached out to FAA on certain topics in developing the draft</w:t>
      </w:r>
      <w:r w:rsidRPr="00283806">
        <w:rPr>
          <w:spacing w:val="40"/>
          <w:w w:val="105"/>
        </w:rPr>
        <w:t xml:space="preserve"> </w:t>
      </w:r>
      <w:r w:rsidRPr="00283806">
        <w:rPr>
          <w:w w:val="105"/>
        </w:rPr>
        <w:t>final rule prior to interagency review.</w:t>
      </w:r>
      <w:r w:rsidRPr="00283806">
        <w:rPr>
          <w:w w:val="105"/>
          <w:position w:val="5"/>
          <w:sz w:val="11"/>
        </w:rPr>
        <w:t>71</w:t>
      </w:r>
      <w:r w:rsidRPr="00283806">
        <w:rPr>
          <w:spacing w:val="40"/>
          <w:w w:val="105"/>
          <w:position w:val="5"/>
          <w:sz w:val="11"/>
        </w:rPr>
        <w:t xml:space="preserve"> </w:t>
      </w:r>
      <w:r w:rsidRPr="00283806">
        <w:rPr>
          <w:w w:val="105"/>
        </w:rPr>
        <w:t>Further,</w:t>
      </w:r>
      <w:r w:rsidRPr="00283806">
        <w:rPr>
          <w:spacing w:val="40"/>
          <w:w w:val="105"/>
        </w:rPr>
        <w:t xml:space="preserve"> </w:t>
      </w:r>
      <w:r w:rsidRPr="00283806">
        <w:rPr>
          <w:w w:val="105"/>
        </w:rPr>
        <w:t>FAA</w:t>
      </w:r>
      <w:r w:rsidRPr="00283806">
        <w:rPr>
          <w:spacing w:val="40"/>
          <w:w w:val="105"/>
        </w:rPr>
        <w:t xml:space="preserve"> </w:t>
      </w:r>
      <w:r w:rsidRPr="00283806">
        <w:rPr>
          <w:w w:val="105"/>
        </w:rPr>
        <w:t>and</w:t>
      </w:r>
      <w:r w:rsidRPr="00283806">
        <w:rPr>
          <w:spacing w:val="40"/>
          <w:w w:val="105"/>
        </w:rPr>
        <w:t xml:space="preserve"> </w:t>
      </w:r>
      <w:r w:rsidRPr="00283806">
        <w:rPr>
          <w:w w:val="105"/>
        </w:rPr>
        <w:t>other</w:t>
      </w:r>
      <w:r w:rsidRPr="00283806">
        <w:rPr>
          <w:spacing w:val="40"/>
          <w:w w:val="105"/>
        </w:rPr>
        <w:t xml:space="preserve"> </w:t>
      </w:r>
      <w:r w:rsidRPr="00283806">
        <w:rPr>
          <w:w w:val="105"/>
        </w:rPr>
        <w:t>Federal agencies had an opportunity to review</w:t>
      </w:r>
    </w:p>
    <w:p w14:paraId="450E4341" w14:textId="77777777" w:rsidR="00D67C1E" w:rsidRPr="00283806" w:rsidRDefault="001265CA">
      <w:pPr>
        <w:pStyle w:val="BodyText"/>
        <w:spacing w:line="228" w:lineRule="auto"/>
        <w:ind w:left="141"/>
      </w:pPr>
      <w:r w:rsidRPr="00283806">
        <w:rPr>
          <w:w w:val="105"/>
        </w:rPr>
        <w:t>a draft of the final rule during</w:t>
      </w:r>
      <w:r w:rsidRPr="00283806">
        <w:rPr>
          <w:spacing w:val="40"/>
          <w:w w:val="105"/>
        </w:rPr>
        <w:t xml:space="preserve"> </w:t>
      </w:r>
      <w:r w:rsidRPr="00283806">
        <w:rPr>
          <w:w w:val="105"/>
        </w:rPr>
        <w:t>interagency review. The Agency also notes that these leak repair provisions mostly align with the regulations under CAA</w:t>
      </w:r>
      <w:r w:rsidRPr="00283806">
        <w:rPr>
          <w:spacing w:val="40"/>
          <w:w w:val="105"/>
        </w:rPr>
        <w:t xml:space="preserve"> </w:t>
      </w:r>
      <w:r w:rsidRPr="00283806">
        <w:rPr>
          <w:w w:val="105"/>
        </w:rPr>
        <w:t>section</w:t>
      </w:r>
      <w:r w:rsidRPr="00283806">
        <w:rPr>
          <w:spacing w:val="40"/>
          <w:w w:val="105"/>
        </w:rPr>
        <w:t xml:space="preserve"> </w:t>
      </w:r>
      <w:r w:rsidRPr="00283806">
        <w:rPr>
          <w:w w:val="105"/>
        </w:rPr>
        <w:t>608.</w:t>
      </w:r>
      <w:r w:rsidRPr="00283806">
        <w:rPr>
          <w:spacing w:val="40"/>
          <w:w w:val="105"/>
        </w:rPr>
        <w:t xml:space="preserve"> </w:t>
      </w:r>
      <w:r w:rsidRPr="00283806">
        <w:rPr>
          <w:w w:val="105"/>
        </w:rPr>
        <w:t>For</w:t>
      </w:r>
      <w:r w:rsidRPr="00283806">
        <w:rPr>
          <w:spacing w:val="40"/>
          <w:w w:val="105"/>
        </w:rPr>
        <w:t xml:space="preserve"> </w:t>
      </w:r>
      <w:r w:rsidRPr="00283806">
        <w:rPr>
          <w:w w:val="105"/>
        </w:rPr>
        <w:t>decades</w:t>
      </w:r>
      <w:r w:rsidRPr="00283806">
        <w:rPr>
          <w:spacing w:val="40"/>
          <w:w w:val="105"/>
        </w:rPr>
        <w:t xml:space="preserve"> </w:t>
      </w:r>
      <w:r w:rsidRPr="00283806">
        <w:rPr>
          <w:w w:val="105"/>
        </w:rPr>
        <w:t>these rules have applied to the refrigeration and air conditioning appliances at airports and within aircraft hangers, and the Agency has considered commercial aircraft to be non-MVAC appliances covered under CAA section 608. The Agency also disagrees with the commenter’s argument that owners and operators in the commercial aviation sector do not have enough time to safely comply with the provision. EPA notes</w:t>
      </w:r>
      <w:r w:rsidRPr="00283806">
        <w:rPr>
          <w:spacing w:val="40"/>
          <w:w w:val="105"/>
        </w:rPr>
        <w:t xml:space="preserve"> </w:t>
      </w:r>
      <w:r w:rsidRPr="00283806">
        <w:rPr>
          <w:w w:val="105"/>
        </w:rPr>
        <w:t>that the 30-day timeframe timeline for repairs</w:t>
      </w:r>
      <w:r w:rsidRPr="00283806">
        <w:rPr>
          <w:spacing w:val="38"/>
          <w:w w:val="105"/>
        </w:rPr>
        <w:t xml:space="preserve"> </w:t>
      </w:r>
      <w:r w:rsidRPr="00283806">
        <w:rPr>
          <w:w w:val="105"/>
        </w:rPr>
        <w:t>is</w:t>
      </w:r>
      <w:r w:rsidRPr="00283806">
        <w:rPr>
          <w:spacing w:val="38"/>
          <w:w w:val="105"/>
        </w:rPr>
        <w:t xml:space="preserve"> </w:t>
      </w:r>
      <w:r w:rsidRPr="00283806">
        <w:rPr>
          <w:w w:val="105"/>
        </w:rPr>
        <w:t>the</w:t>
      </w:r>
      <w:r w:rsidRPr="00283806">
        <w:rPr>
          <w:spacing w:val="38"/>
          <w:w w:val="105"/>
        </w:rPr>
        <w:t xml:space="preserve"> </w:t>
      </w:r>
      <w:r w:rsidRPr="00283806">
        <w:rPr>
          <w:w w:val="105"/>
        </w:rPr>
        <w:t>same</w:t>
      </w:r>
      <w:r w:rsidRPr="00283806">
        <w:rPr>
          <w:spacing w:val="38"/>
          <w:w w:val="105"/>
        </w:rPr>
        <w:t xml:space="preserve"> </w:t>
      </w:r>
      <w:r w:rsidRPr="00283806">
        <w:rPr>
          <w:w w:val="105"/>
        </w:rPr>
        <w:t>as</w:t>
      </w:r>
      <w:r w:rsidRPr="00283806">
        <w:rPr>
          <w:spacing w:val="38"/>
          <w:w w:val="105"/>
        </w:rPr>
        <w:t xml:space="preserve"> </w:t>
      </w:r>
      <w:r w:rsidRPr="00283806">
        <w:rPr>
          <w:w w:val="105"/>
        </w:rPr>
        <w:t>in</w:t>
      </w:r>
      <w:r w:rsidRPr="00283806">
        <w:rPr>
          <w:spacing w:val="38"/>
          <w:w w:val="105"/>
        </w:rPr>
        <w:t xml:space="preserve"> </w:t>
      </w:r>
      <w:r w:rsidRPr="00283806">
        <w:rPr>
          <w:w w:val="105"/>
        </w:rPr>
        <w:t>the</w:t>
      </w:r>
      <w:r w:rsidRPr="00283806">
        <w:rPr>
          <w:spacing w:val="38"/>
          <w:w w:val="105"/>
        </w:rPr>
        <w:t xml:space="preserve"> </w:t>
      </w:r>
      <w:r w:rsidRPr="00283806">
        <w:rPr>
          <w:w w:val="105"/>
        </w:rPr>
        <w:t>CAA section 608 rules, which does not</w:t>
      </w:r>
      <w:r w:rsidRPr="00283806">
        <w:rPr>
          <w:spacing w:val="80"/>
          <w:w w:val="105"/>
        </w:rPr>
        <w:t xml:space="preserve"> </w:t>
      </w:r>
      <w:r w:rsidRPr="00283806">
        <w:rPr>
          <w:w w:val="105"/>
        </w:rPr>
        <w:t>exempt the commercial aviation sector. The leak repair provisions also provide owners</w:t>
      </w:r>
      <w:r w:rsidRPr="00283806">
        <w:rPr>
          <w:spacing w:val="-1"/>
          <w:w w:val="105"/>
        </w:rPr>
        <w:t xml:space="preserve"> </w:t>
      </w:r>
      <w:r w:rsidRPr="00283806">
        <w:rPr>
          <w:w w:val="105"/>
        </w:rPr>
        <w:t>or</w:t>
      </w:r>
      <w:r w:rsidRPr="00283806">
        <w:rPr>
          <w:spacing w:val="-1"/>
          <w:w w:val="105"/>
        </w:rPr>
        <w:t xml:space="preserve"> </w:t>
      </w:r>
      <w:proofErr w:type="gramStart"/>
      <w:r w:rsidRPr="00283806">
        <w:rPr>
          <w:w w:val="105"/>
        </w:rPr>
        <w:t>operators</w:t>
      </w:r>
      <w:proofErr w:type="gramEnd"/>
      <w:r w:rsidRPr="00283806">
        <w:rPr>
          <w:spacing w:val="-1"/>
          <w:w w:val="105"/>
        </w:rPr>
        <w:t xml:space="preserve"> </w:t>
      </w:r>
      <w:r w:rsidRPr="00283806">
        <w:rPr>
          <w:w w:val="105"/>
        </w:rPr>
        <w:t>the</w:t>
      </w:r>
      <w:r w:rsidRPr="00283806">
        <w:rPr>
          <w:spacing w:val="-1"/>
          <w:w w:val="105"/>
        </w:rPr>
        <w:t xml:space="preserve"> </w:t>
      </w:r>
      <w:r w:rsidRPr="00283806">
        <w:rPr>
          <w:w w:val="105"/>
        </w:rPr>
        <w:t>ability</w:t>
      </w:r>
      <w:r w:rsidRPr="00283806">
        <w:rPr>
          <w:spacing w:val="-1"/>
          <w:w w:val="105"/>
        </w:rPr>
        <w:t xml:space="preserve"> </w:t>
      </w:r>
      <w:r w:rsidRPr="00283806">
        <w:rPr>
          <w:w w:val="105"/>
        </w:rPr>
        <w:t>to</w:t>
      </w:r>
      <w:r w:rsidRPr="00283806">
        <w:rPr>
          <w:spacing w:val="-1"/>
          <w:w w:val="105"/>
        </w:rPr>
        <w:t xml:space="preserve"> </w:t>
      </w:r>
      <w:r w:rsidRPr="00283806">
        <w:rPr>
          <w:w w:val="105"/>
        </w:rPr>
        <w:t>submit extension requests if some unforeseen circumstances (</w:t>
      </w:r>
      <w:r w:rsidRPr="00283806">
        <w:rPr>
          <w:rFonts w:ascii="Book Antiqua" w:hAnsi="Book Antiqua"/>
          <w:i/>
          <w:w w:val="105"/>
        </w:rPr>
        <w:t xml:space="preserve">e.g., </w:t>
      </w:r>
      <w:r w:rsidRPr="00283806">
        <w:rPr>
          <w:w w:val="105"/>
        </w:rPr>
        <w:t>necessary components to complete leak repair are unavailable during the 30-day leak</w:t>
      </w:r>
      <w:r w:rsidRPr="00283806">
        <w:rPr>
          <w:spacing w:val="80"/>
          <w:w w:val="105"/>
        </w:rPr>
        <w:t xml:space="preserve"> </w:t>
      </w:r>
      <w:r w:rsidRPr="00283806">
        <w:rPr>
          <w:w w:val="105"/>
        </w:rPr>
        <w:t>repair timeframe) prohibit an owner or operator from completing leak repair within the normal 30-day timeframe.</w:t>
      </w:r>
    </w:p>
    <w:p w14:paraId="4F36EC6E" w14:textId="77777777" w:rsidR="00D67C1E" w:rsidRPr="00283806" w:rsidRDefault="001265CA">
      <w:pPr>
        <w:pStyle w:val="BodyText"/>
        <w:spacing w:line="173" w:lineRule="exact"/>
        <w:ind w:left="141"/>
      </w:pPr>
      <w:r w:rsidRPr="00283806">
        <w:rPr>
          <w:w w:val="105"/>
        </w:rPr>
        <w:t>Moreover,</w:t>
      </w:r>
      <w:r w:rsidRPr="00283806">
        <w:rPr>
          <w:spacing w:val="13"/>
          <w:w w:val="105"/>
        </w:rPr>
        <w:t xml:space="preserve"> </w:t>
      </w:r>
      <w:r w:rsidRPr="00283806">
        <w:rPr>
          <w:w w:val="105"/>
        </w:rPr>
        <w:t>the</w:t>
      </w:r>
      <w:r w:rsidRPr="00283806">
        <w:rPr>
          <w:spacing w:val="14"/>
          <w:w w:val="105"/>
        </w:rPr>
        <w:t xml:space="preserve"> </w:t>
      </w:r>
      <w:r w:rsidRPr="00283806">
        <w:rPr>
          <w:w w:val="105"/>
        </w:rPr>
        <w:t>comment</w:t>
      </w:r>
      <w:r w:rsidRPr="00283806">
        <w:rPr>
          <w:spacing w:val="14"/>
          <w:w w:val="105"/>
        </w:rPr>
        <w:t xml:space="preserve"> </w:t>
      </w:r>
      <w:r w:rsidRPr="00283806">
        <w:rPr>
          <w:w w:val="105"/>
        </w:rPr>
        <w:t>also</w:t>
      </w:r>
      <w:r w:rsidRPr="00283806">
        <w:rPr>
          <w:spacing w:val="13"/>
          <w:w w:val="105"/>
        </w:rPr>
        <w:t xml:space="preserve"> </w:t>
      </w:r>
      <w:r w:rsidRPr="00283806">
        <w:rPr>
          <w:w w:val="105"/>
        </w:rPr>
        <w:t>did</w:t>
      </w:r>
      <w:r w:rsidRPr="00283806">
        <w:rPr>
          <w:spacing w:val="14"/>
          <w:w w:val="105"/>
        </w:rPr>
        <w:t xml:space="preserve"> </w:t>
      </w:r>
      <w:r w:rsidRPr="00283806">
        <w:rPr>
          <w:spacing w:val="-5"/>
          <w:w w:val="105"/>
        </w:rPr>
        <w:t>not</w:t>
      </w:r>
    </w:p>
    <w:p w14:paraId="09190D4F" w14:textId="77777777" w:rsidR="00D67C1E" w:rsidRPr="00283806" w:rsidRDefault="001265CA">
      <w:pPr>
        <w:pStyle w:val="BodyText"/>
        <w:spacing w:before="2" w:line="228" w:lineRule="auto"/>
        <w:ind w:left="141" w:right="60"/>
      </w:pPr>
      <w:r w:rsidRPr="00283806">
        <w:rPr>
          <w:w w:val="105"/>
        </w:rPr>
        <w:t>provide substantive evidence as to why aircraft</w:t>
      </w:r>
      <w:r w:rsidRPr="00283806">
        <w:rPr>
          <w:spacing w:val="-1"/>
          <w:w w:val="105"/>
        </w:rPr>
        <w:t xml:space="preserve"> </w:t>
      </w:r>
      <w:r w:rsidRPr="00283806">
        <w:rPr>
          <w:w w:val="105"/>
        </w:rPr>
        <w:t>owners</w:t>
      </w:r>
      <w:r w:rsidRPr="00283806">
        <w:rPr>
          <w:spacing w:val="-1"/>
          <w:w w:val="105"/>
        </w:rPr>
        <w:t xml:space="preserve"> </w:t>
      </w:r>
      <w:r w:rsidRPr="00283806">
        <w:rPr>
          <w:w w:val="105"/>
        </w:rPr>
        <w:t>and</w:t>
      </w:r>
      <w:r w:rsidRPr="00283806">
        <w:rPr>
          <w:spacing w:val="-1"/>
          <w:w w:val="105"/>
        </w:rPr>
        <w:t xml:space="preserve"> </w:t>
      </w:r>
      <w:r w:rsidRPr="00283806">
        <w:rPr>
          <w:w w:val="105"/>
        </w:rPr>
        <w:t>operators</w:t>
      </w:r>
      <w:r w:rsidRPr="00283806">
        <w:rPr>
          <w:spacing w:val="-1"/>
          <w:w w:val="105"/>
        </w:rPr>
        <w:t xml:space="preserve"> </w:t>
      </w:r>
      <w:r w:rsidRPr="00283806">
        <w:rPr>
          <w:w w:val="105"/>
        </w:rPr>
        <w:t>would</w:t>
      </w:r>
      <w:r w:rsidRPr="00283806">
        <w:rPr>
          <w:spacing w:val="-1"/>
          <w:w w:val="105"/>
        </w:rPr>
        <w:t xml:space="preserve"> </w:t>
      </w:r>
      <w:r w:rsidRPr="00283806">
        <w:rPr>
          <w:w w:val="105"/>
        </w:rPr>
        <w:t>not be able to safely comply with the leak repair provisions, nor did the</w:t>
      </w:r>
      <w:r w:rsidRPr="00283806">
        <w:rPr>
          <w:spacing w:val="40"/>
          <w:w w:val="105"/>
        </w:rPr>
        <w:t xml:space="preserve"> </w:t>
      </w:r>
      <w:r w:rsidRPr="00283806">
        <w:rPr>
          <w:w w:val="105"/>
        </w:rPr>
        <w:t>commenter identify any information</w:t>
      </w:r>
      <w:r w:rsidRPr="00283806">
        <w:rPr>
          <w:spacing w:val="80"/>
          <w:w w:val="105"/>
        </w:rPr>
        <w:t xml:space="preserve"> </w:t>
      </w:r>
      <w:r w:rsidRPr="00283806">
        <w:rPr>
          <w:w w:val="105"/>
        </w:rPr>
        <w:t>that suggests that these requirements</w:t>
      </w:r>
    </w:p>
    <w:p w14:paraId="21203EE8" w14:textId="77777777" w:rsidR="00D67C1E" w:rsidRPr="00283806" w:rsidRDefault="001265CA">
      <w:pPr>
        <w:pStyle w:val="BodyText"/>
        <w:spacing w:before="135" w:line="225" w:lineRule="auto"/>
        <w:ind w:left="144" w:right="210"/>
      </w:pPr>
      <w:r w:rsidRPr="00283806">
        <w:br w:type="column"/>
      </w:r>
      <w:r w:rsidRPr="00283806">
        <w:rPr>
          <w:w w:val="105"/>
        </w:rPr>
        <w:t>would adversely affect the proper functioning of aircraft air conditioning.</w:t>
      </w:r>
    </w:p>
    <w:p w14:paraId="6D1A0E63" w14:textId="77777777" w:rsidR="00D67C1E" w:rsidRPr="00283806" w:rsidRDefault="001265CA">
      <w:pPr>
        <w:pStyle w:val="BodyText"/>
        <w:spacing w:line="179" w:lineRule="exact"/>
        <w:ind w:left="324"/>
      </w:pPr>
      <w:r w:rsidRPr="00283806">
        <w:rPr>
          <w:w w:val="105"/>
        </w:rPr>
        <w:t>Finally,</w:t>
      </w:r>
      <w:r w:rsidRPr="00283806">
        <w:rPr>
          <w:spacing w:val="19"/>
          <w:w w:val="105"/>
        </w:rPr>
        <w:t xml:space="preserve"> </w:t>
      </w:r>
      <w:r w:rsidRPr="00283806">
        <w:rPr>
          <w:w w:val="105"/>
        </w:rPr>
        <w:t>EPA</w:t>
      </w:r>
      <w:r w:rsidRPr="00283806">
        <w:rPr>
          <w:spacing w:val="20"/>
          <w:w w:val="105"/>
        </w:rPr>
        <w:t xml:space="preserve"> </w:t>
      </w:r>
      <w:r w:rsidRPr="00283806">
        <w:rPr>
          <w:w w:val="105"/>
        </w:rPr>
        <w:t>notes</w:t>
      </w:r>
      <w:r w:rsidRPr="00283806">
        <w:rPr>
          <w:spacing w:val="19"/>
          <w:w w:val="105"/>
        </w:rPr>
        <w:t xml:space="preserve"> </w:t>
      </w:r>
      <w:r w:rsidRPr="00283806">
        <w:rPr>
          <w:w w:val="105"/>
        </w:rPr>
        <w:t>that</w:t>
      </w:r>
      <w:r w:rsidRPr="00283806">
        <w:rPr>
          <w:spacing w:val="20"/>
          <w:w w:val="105"/>
        </w:rPr>
        <w:t xml:space="preserve"> </w:t>
      </w:r>
      <w:proofErr w:type="gramStart"/>
      <w:r w:rsidRPr="00283806">
        <w:rPr>
          <w:w w:val="105"/>
        </w:rPr>
        <w:t>the</w:t>
      </w:r>
      <w:r w:rsidRPr="00283806">
        <w:rPr>
          <w:spacing w:val="20"/>
          <w:w w:val="105"/>
        </w:rPr>
        <w:t xml:space="preserve"> </w:t>
      </w:r>
      <w:r w:rsidRPr="00283806">
        <w:rPr>
          <w:spacing w:val="-4"/>
          <w:w w:val="105"/>
        </w:rPr>
        <w:t>2023</w:t>
      </w:r>
      <w:proofErr w:type="gramEnd"/>
    </w:p>
    <w:p w14:paraId="1BA6F071" w14:textId="77777777" w:rsidR="00D67C1E" w:rsidRPr="00283806" w:rsidRDefault="001265CA">
      <w:pPr>
        <w:pStyle w:val="BodyText"/>
        <w:spacing w:before="4" w:line="225" w:lineRule="auto"/>
        <w:ind w:left="144" w:right="141"/>
      </w:pPr>
      <w:r w:rsidRPr="00283806">
        <w:rPr>
          <w:w w:val="105"/>
        </w:rPr>
        <w:t xml:space="preserve">Technology Transitions Rule provided a temporary exclusion to onboard galley refrigeration on aircraft due to their unique operating environment and the fact that these units are subject to FAA’s design and installation requirements under 40 CFR 25.1365. The Agency clarified the intention to revisit this application through a notice-and- comment rulemaking no later than five years after the compliance date for retail food refrigeration-stand-alone units— </w:t>
      </w:r>
      <w:r w:rsidRPr="00283806">
        <w:rPr>
          <w:rFonts w:ascii="Book Antiqua" w:hAnsi="Book Antiqua"/>
          <w:i/>
          <w:w w:val="105"/>
        </w:rPr>
        <w:t xml:space="preserve">i.e., </w:t>
      </w:r>
      <w:r w:rsidRPr="00283806">
        <w:rPr>
          <w:w w:val="105"/>
        </w:rPr>
        <w:t>no later than January 1, 2030. The temporary exclusion for this specific application was given in the context of subsection (i) and the transition of sectors and subsectors to lower-GWP alternatives. However as previously discussed elsewhere, the criteria and purposes of subsection (i) and (h) are different. This rulemaking is finalizing leak repair requirements for the</w:t>
      </w:r>
      <w:r w:rsidRPr="00283806">
        <w:rPr>
          <w:spacing w:val="40"/>
          <w:w w:val="105"/>
        </w:rPr>
        <w:t xml:space="preserve"> </w:t>
      </w:r>
      <w:r w:rsidRPr="00283806">
        <w:rPr>
          <w:w w:val="105"/>
        </w:rPr>
        <w:t>purposes of minimizing the release of regulated substances from equipment and maximizing the reclamation of regulated substances. The repair of leaks does not have the same implications for the design and installation of</w:t>
      </w:r>
    </w:p>
    <w:p w14:paraId="6E62D7EB" w14:textId="77777777" w:rsidR="00D67C1E" w:rsidRPr="00283806" w:rsidRDefault="001265CA">
      <w:pPr>
        <w:pStyle w:val="BodyText"/>
        <w:spacing w:line="174" w:lineRule="exact"/>
        <w:ind w:left="144"/>
      </w:pPr>
      <w:r w:rsidRPr="00283806">
        <w:rPr>
          <w:w w:val="105"/>
        </w:rPr>
        <w:t>refrigerant-containing</w:t>
      </w:r>
      <w:r w:rsidRPr="00283806">
        <w:rPr>
          <w:spacing w:val="10"/>
          <w:w w:val="105"/>
        </w:rPr>
        <w:t xml:space="preserve"> </w:t>
      </w:r>
      <w:r w:rsidRPr="00283806">
        <w:rPr>
          <w:w w:val="105"/>
        </w:rPr>
        <w:t>appliances</w:t>
      </w:r>
      <w:r w:rsidRPr="00283806">
        <w:rPr>
          <w:spacing w:val="11"/>
          <w:w w:val="105"/>
        </w:rPr>
        <w:t xml:space="preserve"> </w:t>
      </w:r>
      <w:r w:rsidRPr="00283806">
        <w:rPr>
          <w:spacing w:val="-5"/>
          <w:w w:val="105"/>
        </w:rPr>
        <w:t>as</w:t>
      </w:r>
    </w:p>
    <w:p w14:paraId="61024D67" w14:textId="77777777" w:rsidR="00D67C1E" w:rsidRPr="00283806" w:rsidRDefault="001265CA">
      <w:pPr>
        <w:pStyle w:val="BodyText"/>
        <w:spacing w:before="4" w:line="225" w:lineRule="auto"/>
        <w:ind w:left="144" w:right="184"/>
      </w:pPr>
      <w:r w:rsidRPr="00283806">
        <w:rPr>
          <w:w w:val="105"/>
        </w:rPr>
        <w:t>restrictions on the use of higher-GWP HFC refrigerants. The Agency also notes that the exemption for onboard galley refrigeration does not extend to ground- based appliances used by the</w:t>
      </w:r>
      <w:r w:rsidRPr="00283806">
        <w:rPr>
          <w:spacing w:val="40"/>
          <w:w w:val="105"/>
        </w:rPr>
        <w:t xml:space="preserve"> </w:t>
      </w:r>
      <w:r w:rsidRPr="00283806">
        <w:rPr>
          <w:w w:val="105"/>
        </w:rPr>
        <w:t>commercial aviation industry because maintenance and ground operations are not subject to the same FAA requirements as onboard galley refrigeration. Likewise, the repair of leaks in appliances used in ground and maintenance operations (</w:t>
      </w:r>
      <w:r w:rsidRPr="00283806">
        <w:rPr>
          <w:rFonts w:ascii="Book Antiqua" w:hAnsi="Book Antiqua"/>
          <w:i/>
          <w:w w:val="105"/>
        </w:rPr>
        <w:t xml:space="preserve">e.g., </w:t>
      </w:r>
      <w:r w:rsidRPr="00283806">
        <w:rPr>
          <w:w w:val="105"/>
        </w:rPr>
        <w:t>aircraft hangers) are not exempt from the leak repair requirements in this final rule,</w:t>
      </w:r>
      <w:r w:rsidRPr="00283806">
        <w:rPr>
          <w:spacing w:val="80"/>
          <w:w w:val="105"/>
        </w:rPr>
        <w:t xml:space="preserve"> </w:t>
      </w:r>
      <w:r w:rsidRPr="00283806">
        <w:rPr>
          <w:w w:val="105"/>
        </w:rPr>
        <w:t>nor are they out of the scope of EPA’s authority to regulate appliances at airports or aboard aircraft. With these considerations EPA finds it appropriate to apply the leak repair requirements to the commercial aviation sector.</w:t>
      </w:r>
    </w:p>
    <w:p w14:paraId="30604C26" w14:textId="77777777" w:rsidR="00D67C1E" w:rsidRPr="00283806" w:rsidRDefault="001265CA">
      <w:pPr>
        <w:pStyle w:val="BodyText"/>
        <w:spacing w:line="163" w:lineRule="exact"/>
        <w:ind w:left="324"/>
      </w:pPr>
      <w:r w:rsidRPr="00283806">
        <w:rPr>
          <w:w w:val="110"/>
        </w:rPr>
        <w:t>The Agency</w:t>
      </w:r>
      <w:r w:rsidRPr="00283806">
        <w:rPr>
          <w:spacing w:val="2"/>
          <w:w w:val="110"/>
        </w:rPr>
        <w:t xml:space="preserve"> </w:t>
      </w:r>
      <w:r w:rsidRPr="00283806">
        <w:rPr>
          <w:w w:val="110"/>
        </w:rPr>
        <w:t>is</w:t>
      </w:r>
      <w:r w:rsidRPr="00283806">
        <w:rPr>
          <w:spacing w:val="2"/>
          <w:w w:val="110"/>
        </w:rPr>
        <w:t xml:space="preserve"> </w:t>
      </w:r>
      <w:r w:rsidRPr="00283806">
        <w:rPr>
          <w:w w:val="110"/>
        </w:rPr>
        <w:t>finalizing</w:t>
      </w:r>
      <w:r w:rsidRPr="00283806">
        <w:rPr>
          <w:spacing w:val="2"/>
          <w:w w:val="110"/>
        </w:rPr>
        <w:t xml:space="preserve"> </w:t>
      </w:r>
      <w:proofErr w:type="gramStart"/>
      <w:r w:rsidRPr="00283806">
        <w:rPr>
          <w:w w:val="110"/>
        </w:rPr>
        <w:t>a</w:t>
      </w:r>
      <w:r w:rsidRPr="00283806">
        <w:rPr>
          <w:spacing w:val="3"/>
          <w:w w:val="110"/>
        </w:rPr>
        <w:t xml:space="preserve"> </w:t>
      </w:r>
      <w:r w:rsidRPr="00283806">
        <w:rPr>
          <w:spacing w:val="-2"/>
          <w:w w:val="110"/>
        </w:rPr>
        <w:t>compliance</w:t>
      </w:r>
      <w:proofErr w:type="gramEnd"/>
    </w:p>
    <w:p w14:paraId="79561E93" w14:textId="77777777" w:rsidR="00D67C1E" w:rsidRPr="00283806" w:rsidRDefault="001265CA">
      <w:pPr>
        <w:pStyle w:val="BodyText"/>
        <w:spacing w:line="198" w:lineRule="exact"/>
        <w:ind w:left="144" w:right="189"/>
      </w:pPr>
      <w:r w:rsidRPr="00283806">
        <w:rPr>
          <w:w w:val="105"/>
        </w:rPr>
        <w:t>date of January 1, 2026, for all</w:t>
      </w:r>
      <w:r w:rsidRPr="00283806">
        <w:rPr>
          <w:spacing w:val="80"/>
          <w:w w:val="105"/>
        </w:rPr>
        <w:t xml:space="preserve"> </w:t>
      </w:r>
      <w:r w:rsidRPr="00283806">
        <w:rPr>
          <w:w w:val="105"/>
        </w:rPr>
        <w:t>appliances with charge sizes of 15</w:t>
      </w:r>
      <w:r w:rsidRPr="00283806">
        <w:rPr>
          <w:spacing w:val="40"/>
          <w:w w:val="105"/>
        </w:rPr>
        <w:t xml:space="preserve"> </w:t>
      </w:r>
      <w:r w:rsidRPr="00283806">
        <w:rPr>
          <w:w w:val="105"/>
        </w:rPr>
        <w:t>pounds or more of a refrigerant containing an HFC or a substitute for an HFC with a GWP greater than 53, including for such appliances with a charge size of 50 pounds or more, which is a modification from the proposal. In</w:t>
      </w:r>
      <w:r w:rsidRPr="00283806">
        <w:rPr>
          <w:spacing w:val="40"/>
          <w:w w:val="105"/>
        </w:rPr>
        <w:t xml:space="preserve"> </w:t>
      </w:r>
      <w:r w:rsidRPr="00283806">
        <w:rPr>
          <w:w w:val="105"/>
        </w:rPr>
        <w:t xml:space="preserve">the proposal, the Agency proposed a compliance date of 60 days from publication in the </w:t>
      </w:r>
      <w:r w:rsidRPr="00283806">
        <w:rPr>
          <w:rFonts w:ascii="Book Antiqua"/>
          <w:b/>
          <w:w w:val="105"/>
        </w:rPr>
        <w:t xml:space="preserve">Federal Register </w:t>
      </w:r>
      <w:r w:rsidRPr="00283806">
        <w:rPr>
          <w:w w:val="105"/>
        </w:rPr>
        <w:t>for appliances with a charge size above 50 pounds and a compliance date of one</w:t>
      </w:r>
    </w:p>
    <w:p w14:paraId="77DFE642" w14:textId="77777777" w:rsidR="00D67C1E" w:rsidRPr="00283806" w:rsidRDefault="00D67C1E">
      <w:pPr>
        <w:spacing w:line="198" w:lineRule="exact"/>
        <w:sectPr w:rsidR="00D67C1E" w:rsidRPr="00283806">
          <w:pgSz w:w="12240" w:h="15840"/>
          <w:pgMar w:top="1040" w:right="780" w:bottom="280" w:left="740" w:header="627" w:footer="0" w:gutter="0"/>
          <w:cols w:num="3" w:space="720" w:equalWidth="0">
            <w:col w:w="3519" w:space="40"/>
            <w:col w:w="3498" w:space="39"/>
            <w:col w:w="3624"/>
          </w:cols>
        </w:sectPr>
      </w:pPr>
    </w:p>
    <w:p w14:paraId="639171BA" w14:textId="77777777" w:rsidR="00D67C1E" w:rsidRPr="00283806" w:rsidRDefault="001265CA">
      <w:pPr>
        <w:tabs>
          <w:tab w:val="left" w:pos="3699"/>
          <w:tab w:val="left" w:pos="4699"/>
        </w:tabs>
        <w:spacing w:line="110" w:lineRule="exact"/>
        <w:ind w:left="159"/>
        <w:rPr>
          <w:sz w:val="14"/>
        </w:rPr>
      </w:pPr>
      <w:r w:rsidRPr="00283806">
        <w:rPr>
          <w:w w:val="105"/>
          <w:sz w:val="14"/>
        </w:rPr>
        <w:t>passenger</w:t>
      </w:r>
      <w:r w:rsidRPr="00283806">
        <w:rPr>
          <w:spacing w:val="8"/>
          <w:w w:val="105"/>
          <w:sz w:val="14"/>
        </w:rPr>
        <w:t xml:space="preserve"> </w:t>
      </w:r>
      <w:r w:rsidRPr="00283806">
        <w:rPr>
          <w:w w:val="105"/>
          <w:sz w:val="14"/>
        </w:rPr>
        <w:t>and</w:t>
      </w:r>
      <w:r w:rsidRPr="00283806">
        <w:rPr>
          <w:spacing w:val="9"/>
          <w:w w:val="105"/>
          <w:sz w:val="14"/>
        </w:rPr>
        <w:t xml:space="preserve"> </w:t>
      </w:r>
      <w:proofErr w:type="gramStart"/>
      <w:r w:rsidRPr="00283806">
        <w:rPr>
          <w:w w:val="105"/>
          <w:sz w:val="14"/>
        </w:rPr>
        <w:t>freighter</w:t>
      </w:r>
      <w:proofErr w:type="gramEnd"/>
      <w:r w:rsidRPr="00283806">
        <w:rPr>
          <w:spacing w:val="8"/>
          <w:w w:val="105"/>
          <w:sz w:val="14"/>
        </w:rPr>
        <w:t xml:space="preserve"> </w:t>
      </w:r>
      <w:r w:rsidRPr="00283806">
        <w:rPr>
          <w:w w:val="105"/>
          <w:sz w:val="14"/>
        </w:rPr>
        <w:t>aircraft,</w:t>
      </w:r>
      <w:r w:rsidRPr="00283806">
        <w:rPr>
          <w:spacing w:val="9"/>
          <w:w w:val="105"/>
          <w:sz w:val="14"/>
        </w:rPr>
        <w:t xml:space="preserve"> </w:t>
      </w:r>
      <w:r w:rsidRPr="00283806">
        <w:rPr>
          <w:w w:val="105"/>
          <w:sz w:val="14"/>
        </w:rPr>
        <w:t>including</w:t>
      </w:r>
      <w:r w:rsidRPr="00283806">
        <w:rPr>
          <w:spacing w:val="8"/>
          <w:w w:val="105"/>
          <w:sz w:val="14"/>
        </w:rPr>
        <w:t xml:space="preserve"> </w:t>
      </w:r>
      <w:r w:rsidRPr="00283806">
        <w:rPr>
          <w:spacing w:val="-2"/>
          <w:w w:val="105"/>
          <w:sz w:val="14"/>
        </w:rPr>
        <w:t>engine</w:t>
      </w:r>
      <w:r w:rsidRPr="00283806">
        <w:rPr>
          <w:sz w:val="14"/>
        </w:rPr>
        <w:tab/>
      </w:r>
      <w:r w:rsidRPr="00283806">
        <w:rPr>
          <w:sz w:val="14"/>
          <w:u w:val="single"/>
        </w:rPr>
        <w:tab/>
      </w:r>
    </w:p>
    <w:p w14:paraId="5DC4E13B" w14:textId="77777777" w:rsidR="00D67C1E" w:rsidRPr="00283806" w:rsidRDefault="001265CA">
      <w:pPr>
        <w:pStyle w:val="BodyText"/>
        <w:spacing w:line="110" w:lineRule="exact"/>
        <w:ind w:left="159"/>
      </w:pPr>
      <w:r w:rsidRPr="00283806">
        <w:br w:type="column"/>
      </w:r>
      <w:r w:rsidRPr="00283806">
        <w:rPr>
          <w:w w:val="110"/>
        </w:rPr>
        <w:t>year</w:t>
      </w:r>
      <w:r w:rsidRPr="00283806">
        <w:rPr>
          <w:spacing w:val="-9"/>
          <w:w w:val="110"/>
        </w:rPr>
        <w:t xml:space="preserve"> </w:t>
      </w:r>
      <w:r w:rsidRPr="00283806">
        <w:rPr>
          <w:w w:val="110"/>
        </w:rPr>
        <w:t>from</w:t>
      </w:r>
      <w:r w:rsidRPr="00283806">
        <w:rPr>
          <w:spacing w:val="-9"/>
          <w:w w:val="110"/>
        </w:rPr>
        <w:t xml:space="preserve"> </w:t>
      </w:r>
      <w:r w:rsidRPr="00283806">
        <w:rPr>
          <w:w w:val="110"/>
        </w:rPr>
        <w:t>the</w:t>
      </w:r>
      <w:r w:rsidRPr="00283806">
        <w:rPr>
          <w:spacing w:val="-9"/>
          <w:w w:val="110"/>
        </w:rPr>
        <w:t xml:space="preserve"> </w:t>
      </w:r>
      <w:r w:rsidRPr="00283806">
        <w:rPr>
          <w:w w:val="110"/>
        </w:rPr>
        <w:t>final</w:t>
      </w:r>
      <w:r w:rsidRPr="00283806">
        <w:rPr>
          <w:spacing w:val="-8"/>
          <w:w w:val="110"/>
        </w:rPr>
        <w:t xml:space="preserve"> </w:t>
      </w:r>
      <w:r w:rsidRPr="00283806">
        <w:rPr>
          <w:w w:val="110"/>
        </w:rPr>
        <w:t>rule’s</w:t>
      </w:r>
      <w:r w:rsidRPr="00283806">
        <w:rPr>
          <w:spacing w:val="-9"/>
          <w:w w:val="110"/>
        </w:rPr>
        <w:t xml:space="preserve"> </w:t>
      </w:r>
      <w:r w:rsidRPr="00283806">
        <w:rPr>
          <w:w w:val="110"/>
        </w:rPr>
        <w:t>publication</w:t>
      </w:r>
      <w:r w:rsidRPr="00283806">
        <w:rPr>
          <w:spacing w:val="-9"/>
          <w:w w:val="110"/>
        </w:rPr>
        <w:t xml:space="preserve"> </w:t>
      </w:r>
      <w:r w:rsidRPr="00283806">
        <w:rPr>
          <w:spacing w:val="-5"/>
          <w:w w:val="110"/>
        </w:rPr>
        <w:t>in</w:t>
      </w:r>
    </w:p>
    <w:p w14:paraId="65018D84" w14:textId="77777777" w:rsidR="00D67C1E" w:rsidRPr="00283806" w:rsidRDefault="00D67C1E">
      <w:pPr>
        <w:spacing w:line="110" w:lineRule="exact"/>
        <w:sectPr w:rsidR="00D67C1E" w:rsidRPr="00283806">
          <w:type w:val="continuous"/>
          <w:pgSz w:w="12240" w:h="15840"/>
          <w:pgMar w:top="880" w:right="780" w:bottom="280" w:left="740" w:header="627" w:footer="0" w:gutter="0"/>
          <w:cols w:num="2" w:space="720" w:equalWidth="0">
            <w:col w:w="4740" w:space="2340"/>
            <w:col w:w="3640"/>
          </w:cols>
        </w:sectPr>
      </w:pPr>
    </w:p>
    <w:p w14:paraId="079EEF2D" w14:textId="77777777" w:rsidR="00D67C1E" w:rsidRPr="00283806" w:rsidRDefault="001265CA">
      <w:pPr>
        <w:spacing w:before="4" w:line="232" w:lineRule="auto"/>
        <w:ind w:left="159" w:right="38"/>
        <w:rPr>
          <w:sz w:val="14"/>
        </w:rPr>
      </w:pPr>
      <w:r w:rsidRPr="00283806">
        <w:rPr>
          <w:w w:val="105"/>
          <w:sz w:val="14"/>
        </w:rPr>
        <w:t>nacelles, auxiliary power units (APUs), lavatory</w:t>
      </w:r>
      <w:r w:rsidRPr="00283806">
        <w:rPr>
          <w:spacing w:val="40"/>
          <w:w w:val="105"/>
          <w:sz w:val="14"/>
        </w:rPr>
        <w:t xml:space="preserve"> </w:t>
      </w:r>
      <w:r w:rsidRPr="00283806">
        <w:rPr>
          <w:w w:val="105"/>
          <w:sz w:val="14"/>
        </w:rPr>
        <w:t>trash</w:t>
      </w:r>
      <w:r w:rsidRPr="00283806">
        <w:rPr>
          <w:spacing w:val="-7"/>
          <w:w w:val="105"/>
          <w:sz w:val="14"/>
        </w:rPr>
        <w:t xml:space="preserve"> </w:t>
      </w:r>
      <w:r w:rsidRPr="00283806">
        <w:rPr>
          <w:w w:val="105"/>
          <w:sz w:val="14"/>
        </w:rPr>
        <w:t>receptacles,</w:t>
      </w:r>
      <w:r w:rsidRPr="00283806">
        <w:rPr>
          <w:spacing w:val="-7"/>
          <w:w w:val="105"/>
          <w:sz w:val="14"/>
        </w:rPr>
        <w:t xml:space="preserve"> </w:t>
      </w:r>
      <w:r w:rsidRPr="00283806">
        <w:rPr>
          <w:w w:val="105"/>
          <w:sz w:val="14"/>
        </w:rPr>
        <w:t>baggage/crew</w:t>
      </w:r>
      <w:r w:rsidRPr="00283806">
        <w:rPr>
          <w:spacing w:val="-7"/>
          <w:w w:val="105"/>
          <w:sz w:val="14"/>
        </w:rPr>
        <w:t xml:space="preserve"> </w:t>
      </w:r>
      <w:r w:rsidRPr="00283806">
        <w:rPr>
          <w:w w:val="105"/>
          <w:sz w:val="14"/>
        </w:rPr>
        <w:t>compartments,</w:t>
      </w:r>
      <w:r w:rsidRPr="00283806">
        <w:rPr>
          <w:spacing w:val="-7"/>
          <w:w w:val="105"/>
          <w:sz w:val="14"/>
        </w:rPr>
        <w:t xml:space="preserve"> </w:t>
      </w:r>
      <w:r w:rsidRPr="00283806">
        <w:rPr>
          <w:w w:val="105"/>
          <w:sz w:val="14"/>
        </w:rPr>
        <w:t>and</w:t>
      </w:r>
      <w:r w:rsidRPr="00283806">
        <w:rPr>
          <w:spacing w:val="40"/>
          <w:w w:val="105"/>
          <w:sz w:val="14"/>
        </w:rPr>
        <w:t xml:space="preserve"> </w:t>
      </w:r>
      <w:r w:rsidRPr="00283806">
        <w:rPr>
          <w:w w:val="105"/>
          <w:sz w:val="14"/>
        </w:rPr>
        <w:t>handheld extinguishers.’’</w:t>
      </w:r>
    </w:p>
    <w:p w14:paraId="774A4C3D" w14:textId="77777777" w:rsidR="00D67C1E" w:rsidRPr="00283806" w:rsidRDefault="001265CA">
      <w:pPr>
        <w:spacing w:before="6" w:line="228" w:lineRule="auto"/>
        <w:ind w:left="159" w:firstLine="140"/>
        <w:jc w:val="both"/>
        <w:rPr>
          <w:sz w:val="14"/>
        </w:rPr>
      </w:pPr>
      <w:r w:rsidRPr="00283806">
        <w:br w:type="column"/>
      </w:r>
      <w:r w:rsidRPr="00283806">
        <w:rPr>
          <w:w w:val="110"/>
          <w:position w:val="4"/>
          <w:sz w:val="9"/>
        </w:rPr>
        <w:t>71</w:t>
      </w:r>
      <w:r w:rsidRPr="00283806">
        <w:rPr>
          <w:spacing w:val="-5"/>
          <w:w w:val="110"/>
          <w:position w:val="4"/>
          <w:sz w:val="9"/>
        </w:rPr>
        <w:t xml:space="preserve"> </w:t>
      </w:r>
      <w:r w:rsidRPr="00283806">
        <w:rPr>
          <w:w w:val="110"/>
          <w:sz w:val="14"/>
        </w:rPr>
        <w:t>See</w:t>
      </w:r>
      <w:r w:rsidRPr="00283806">
        <w:rPr>
          <w:spacing w:val="-5"/>
          <w:w w:val="110"/>
          <w:sz w:val="14"/>
        </w:rPr>
        <w:t xml:space="preserve"> </w:t>
      </w:r>
      <w:r w:rsidRPr="00283806">
        <w:rPr>
          <w:w w:val="110"/>
          <w:sz w:val="14"/>
        </w:rPr>
        <w:t>memo</w:t>
      </w:r>
      <w:r w:rsidRPr="00283806">
        <w:rPr>
          <w:spacing w:val="-5"/>
          <w:w w:val="110"/>
          <w:sz w:val="14"/>
        </w:rPr>
        <w:t xml:space="preserve"> </w:t>
      </w:r>
      <w:r w:rsidRPr="00283806">
        <w:rPr>
          <w:w w:val="110"/>
          <w:sz w:val="14"/>
        </w:rPr>
        <w:t>titled</w:t>
      </w:r>
      <w:r w:rsidRPr="00283806">
        <w:rPr>
          <w:spacing w:val="-5"/>
          <w:w w:val="110"/>
          <w:sz w:val="14"/>
        </w:rPr>
        <w:t xml:space="preserve"> </w:t>
      </w:r>
      <w:r w:rsidRPr="00283806">
        <w:rPr>
          <w:rFonts w:ascii="Book Antiqua" w:hAnsi="Book Antiqua"/>
          <w:i/>
          <w:w w:val="110"/>
          <w:sz w:val="14"/>
        </w:rPr>
        <w:t>EPA</w:t>
      </w:r>
      <w:r w:rsidRPr="00283806">
        <w:rPr>
          <w:rFonts w:ascii="Book Antiqua" w:hAnsi="Book Antiqua"/>
          <w:i/>
          <w:spacing w:val="-9"/>
          <w:w w:val="110"/>
          <w:sz w:val="14"/>
        </w:rPr>
        <w:t xml:space="preserve"> </w:t>
      </w:r>
      <w:r w:rsidRPr="00283806">
        <w:rPr>
          <w:rFonts w:ascii="Book Antiqua" w:hAnsi="Book Antiqua"/>
          <w:i/>
          <w:w w:val="110"/>
          <w:sz w:val="14"/>
        </w:rPr>
        <w:t>Questions</w:t>
      </w:r>
      <w:r w:rsidRPr="00283806">
        <w:rPr>
          <w:rFonts w:ascii="Book Antiqua" w:hAnsi="Book Antiqua"/>
          <w:i/>
          <w:spacing w:val="-9"/>
          <w:w w:val="110"/>
          <w:sz w:val="14"/>
        </w:rPr>
        <w:t xml:space="preserve"> </w:t>
      </w:r>
      <w:r w:rsidRPr="00283806">
        <w:rPr>
          <w:rFonts w:ascii="Book Antiqua" w:hAnsi="Book Antiqua"/>
          <w:i/>
          <w:w w:val="110"/>
          <w:sz w:val="14"/>
        </w:rPr>
        <w:t>to</w:t>
      </w:r>
      <w:r w:rsidRPr="00283806">
        <w:rPr>
          <w:rFonts w:ascii="Book Antiqua" w:hAnsi="Book Antiqua"/>
          <w:i/>
          <w:spacing w:val="-9"/>
          <w:w w:val="110"/>
          <w:sz w:val="14"/>
        </w:rPr>
        <w:t xml:space="preserve"> </w:t>
      </w:r>
      <w:r w:rsidRPr="00283806">
        <w:rPr>
          <w:rFonts w:ascii="Book Antiqua" w:hAnsi="Book Antiqua"/>
          <w:i/>
          <w:w w:val="110"/>
          <w:sz w:val="14"/>
        </w:rPr>
        <w:t>FAA,</w:t>
      </w:r>
      <w:r w:rsidRPr="00283806">
        <w:rPr>
          <w:rFonts w:ascii="Book Antiqua" w:hAnsi="Book Antiqua"/>
          <w:i/>
          <w:spacing w:val="-9"/>
          <w:w w:val="110"/>
          <w:sz w:val="14"/>
        </w:rPr>
        <w:t xml:space="preserve"> </w:t>
      </w:r>
      <w:r w:rsidRPr="00283806">
        <w:rPr>
          <w:w w:val="110"/>
          <w:sz w:val="14"/>
        </w:rPr>
        <w:t>which</w:t>
      </w:r>
      <w:r w:rsidRPr="00283806">
        <w:rPr>
          <w:spacing w:val="40"/>
          <w:w w:val="110"/>
          <w:sz w:val="14"/>
        </w:rPr>
        <w:t xml:space="preserve"> </w:t>
      </w:r>
      <w:r w:rsidRPr="00283806">
        <w:rPr>
          <w:w w:val="110"/>
          <w:sz w:val="14"/>
        </w:rPr>
        <w:t>is</w:t>
      </w:r>
      <w:r w:rsidRPr="00283806">
        <w:rPr>
          <w:spacing w:val="-8"/>
          <w:w w:val="110"/>
          <w:sz w:val="14"/>
        </w:rPr>
        <w:t xml:space="preserve"> </w:t>
      </w:r>
      <w:r w:rsidRPr="00283806">
        <w:rPr>
          <w:w w:val="110"/>
          <w:sz w:val="14"/>
        </w:rPr>
        <w:t>available</w:t>
      </w:r>
      <w:r w:rsidRPr="00283806">
        <w:rPr>
          <w:spacing w:val="-8"/>
          <w:w w:val="110"/>
          <w:sz w:val="14"/>
        </w:rPr>
        <w:t xml:space="preserve"> </w:t>
      </w:r>
      <w:r w:rsidRPr="00283806">
        <w:rPr>
          <w:w w:val="110"/>
          <w:sz w:val="14"/>
        </w:rPr>
        <w:t>in</w:t>
      </w:r>
      <w:r w:rsidRPr="00283806">
        <w:rPr>
          <w:spacing w:val="-8"/>
          <w:w w:val="110"/>
          <w:sz w:val="14"/>
        </w:rPr>
        <w:t xml:space="preserve"> </w:t>
      </w:r>
      <w:r w:rsidRPr="00283806">
        <w:rPr>
          <w:w w:val="110"/>
          <w:sz w:val="14"/>
        </w:rPr>
        <w:t>the</w:t>
      </w:r>
      <w:r w:rsidRPr="00283806">
        <w:rPr>
          <w:spacing w:val="-8"/>
          <w:w w:val="110"/>
          <w:sz w:val="14"/>
        </w:rPr>
        <w:t xml:space="preserve"> </w:t>
      </w:r>
      <w:r w:rsidRPr="00283806">
        <w:rPr>
          <w:w w:val="110"/>
          <w:sz w:val="14"/>
        </w:rPr>
        <w:t>docket</w:t>
      </w:r>
      <w:r w:rsidRPr="00283806">
        <w:rPr>
          <w:spacing w:val="-8"/>
          <w:w w:val="110"/>
          <w:sz w:val="14"/>
        </w:rPr>
        <w:t xml:space="preserve"> </w:t>
      </w:r>
      <w:r w:rsidRPr="00283806">
        <w:rPr>
          <w:w w:val="110"/>
          <w:sz w:val="14"/>
        </w:rPr>
        <w:t>for</w:t>
      </w:r>
      <w:r w:rsidRPr="00283806">
        <w:rPr>
          <w:spacing w:val="-8"/>
          <w:w w:val="110"/>
          <w:sz w:val="14"/>
        </w:rPr>
        <w:t xml:space="preserve"> </w:t>
      </w:r>
      <w:r w:rsidRPr="00283806">
        <w:rPr>
          <w:w w:val="110"/>
          <w:sz w:val="14"/>
        </w:rPr>
        <w:t>this</w:t>
      </w:r>
      <w:r w:rsidRPr="00283806">
        <w:rPr>
          <w:spacing w:val="-8"/>
          <w:w w:val="110"/>
          <w:sz w:val="14"/>
        </w:rPr>
        <w:t xml:space="preserve"> </w:t>
      </w:r>
      <w:r w:rsidRPr="00283806">
        <w:rPr>
          <w:w w:val="110"/>
          <w:sz w:val="14"/>
        </w:rPr>
        <w:t>rulemaking,</w:t>
      </w:r>
      <w:r w:rsidRPr="00283806">
        <w:rPr>
          <w:spacing w:val="-8"/>
          <w:w w:val="110"/>
          <w:sz w:val="14"/>
        </w:rPr>
        <w:t xml:space="preserve"> </w:t>
      </w:r>
      <w:r w:rsidRPr="00283806">
        <w:rPr>
          <w:w w:val="110"/>
          <w:sz w:val="14"/>
        </w:rPr>
        <w:t>EPA–</w:t>
      </w:r>
      <w:r w:rsidRPr="00283806">
        <w:rPr>
          <w:spacing w:val="40"/>
          <w:w w:val="110"/>
          <w:sz w:val="14"/>
        </w:rPr>
        <w:t xml:space="preserve"> </w:t>
      </w:r>
      <w:r w:rsidRPr="00283806">
        <w:rPr>
          <w:spacing w:val="-2"/>
          <w:w w:val="110"/>
          <w:sz w:val="14"/>
        </w:rPr>
        <w:t>HQ–OAR–2022–0606.</w:t>
      </w:r>
    </w:p>
    <w:p w14:paraId="785BB785" w14:textId="77777777" w:rsidR="00D67C1E" w:rsidRPr="00283806" w:rsidRDefault="001265CA">
      <w:pPr>
        <w:spacing w:before="98" w:line="218" w:lineRule="auto"/>
        <w:ind w:left="159" w:right="154"/>
        <w:rPr>
          <w:sz w:val="18"/>
        </w:rPr>
      </w:pPr>
      <w:r w:rsidRPr="00283806">
        <w:br w:type="column"/>
      </w:r>
      <w:r w:rsidRPr="00283806">
        <w:rPr>
          <w:w w:val="105"/>
          <w:sz w:val="18"/>
        </w:rPr>
        <w:t xml:space="preserve">the </w:t>
      </w:r>
      <w:r w:rsidRPr="00283806">
        <w:rPr>
          <w:rFonts w:ascii="Book Antiqua"/>
          <w:b/>
          <w:w w:val="105"/>
          <w:sz w:val="18"/>
        </w:rPr>
        <w:t>Federal</w:t>
      </w:r>
      <w:r w:rsidRPr="00283806">
        <w:rPr>
          <w:rFonts w:ascii="Book Antiqua"/>
          <w:b/>
          <w:spacing w:val="-6"/>
          <w:w w:val="105"/>
          <w:sz w:val="18"/>
        </w:rPr>
        <w:t xml:space="preserve"> </w:t>
      </w:r>
      <w:r w:rsidRPr="00283806">
        <w:rPr>
          <w:rFonts w:ascii="Book Antiqua"/>
          <w:b/>
          <w:w w:val="105"/>
          <w:sz w:val="18"/>
        </w:rPr>
        <w:t>Register</w:t>
      </w:r>
      <w:r w:rsidRPr="00283806">
        <w:rPr>
          <w:rFonts w:ascii="Book Antiqua"/>
          <w:b/>
          <w:spacing w:val="-6"/>
          <w:w w:val="105"/>
          <w:sz w:val="18"/>
        </w:rPr>
        <w:t xml:space="preserve"> </w:t>
      </w:r>
      <w:r w:rsidRPr="00283806">
        <w:rPr>
          <w:w w:val="105"/>
          <w:sz w:val="18"/>
        </w:rPr>
        <w:t>for appliances with a charge size between 15 and 50</w:t>
      </w:r>
    </w:p>
    <w:p w14:paraId="719C50CA" w14:textId="77777777" w:rsidR="00D67C1E" w:rsidRPr="00283806" w:rsidRDefault="00D67C1E">
      <w:pPr>
        <w:spacing w:line="218" w:lineRule="auto"/>
        <w:rPr>
          <w:sz w:val="18"/>
        </w:rPr>
        <w:sectPr w:rsidR="00D67C1E" w:rsidRPr="00283806">
          <w:type w:val="continuous"/>
          <w:pgSz w:w="12240" w:h="15840"/>
          <w:pgMar w:top="880" w:right="780" w:bottom="280" w:left="740" w:header="627" w:footer="0" w:gutter="0"/>
          <w:cols w:num="3" w:space="720" w:equalWidth="0">
            <w:col w:w="3489" w:space="51"/>
            <w:col w:w="3463" w:space="77"/>
            <w:col w:w="3640"/>
          </w:cols>
        </w:sectPr>
      </w:pPr>
    </w:p>
    <w:p w14:paraId="14D44FBE" w14:textId="77777777" w:rsidR="00D67C1E" w:rsidRPr="00283806" w:rsidRDefault="001265CA">
      <w:pPr>
        <w:pStyle w:val="BodyText"/>
        <w:spacing w:before="134" w:line="228" w:lineRule="auto"/>
        <w:ind w:right="43"/>
      </w:pPr>
      <w:r w:rsidRPr="00283806">
        <w:rPr>
          <w:w w:val="105"/>
        </w:rPr>
        <w:lastRenderedPageBreak/>
        <w:t>pounds. EPA reasoned that the compliance date for appliances above 50 pounds</w:t>
      </w:r>
      <w:r w:rsidRPr="00283806">
        <w:rPr>
          <w:spacing w:val="40"/>
          <w:w w:val="105"/>
        </w:rPr>
        <w:t xml:space="preserve"> </w:t>
      </w:r>
      <w:r w:rsidRPr="00283806">
        <w:rPr>
          <w:w w:val="105"/>
        </w:rPr>
        <w:t>could</w:t>
      </w:r>
      <w:r w:rsidRPr="00283806">
        <w:rPr>
          <w:spacing w:val="40"/>
          <w:w w:val="105"/>
        </w:rPr>
        <w:t xml:space="preserve"> </w:t>
      </w:r>
      <w:r w:rsidRPr="00283806">
        <w:rPr>
          <w:w w:val="105"/>
        </w:rPr>
        <w:t>be</w:t>
      </w:r>
      <w:r w:rsidRPr="00283806">
        <w:rPr>
          <w:spacing w:val="40"/>
          <w:w w:val="105"/>
        </w:rPr>
        <w:t xml:space="preserve"> </w:t>
      </w:r>
      <w:r w:rsidRPr="00283806">
        <w:rPr>
          <w:w w:val="105"/>
        </w:rPr>
        <w:t>sooner</w:t>
      </w:r>
      <w:r w:rsidRPr="00283806">
        <w:rPr>
          <w:spacing w:val="40"/>
          <w:w w:val="105"/>
        </w:rPr>
        <w:t xml:space="preserve"> </w:t>
      </w:r>
      <w:r w:rsidRPr="00283806">
        <w:rPr>
          <w:w w:val="105"/>
        </w:rPr>
        <w:t>because</w:t>
      </w:r>
      <w:r w:rsidRPr="00283806">
        <w:rPr>
          <w:spacing w:val="40"/>
          <w:w w:val="105"/>
        </w:rPr>
        <w:t xml:space="preserve"> </w:t>
      </w:r>
      <w:r w:rsidRPr="00283806">
        <w:rPr>
          <w:w w:val="105"/>
        </w:rPr>
        <w:t>the leak repair provisions in the final rule</w:t>
      </w:r>
      <w:r w:rsidRPr="00283806">
        <w:rPr>
          <w:spacing w:val="80"/>
          <w:w w:val="105"/>
        </w:rPr>
        <w:t xml:space="preserve"> </w:t>
      </w:r>
      <w:r w:rsidRPr="00283806">
        <w:rPr>
          <w:w w:val="105"/>
        </w:rPr>
        <w:t xml:space="preserve">are </w:t>
      </w:r>
      <w:proofErr w:type="gramStart"/>
      <w:r w:rsidRPr="00283806">
        <w:rPr>
          <w:w w:val="105"/>
        </w:rPr>
        <w:t>similar to</w:t>
      </w:r>
      <w:proofErr w:type="gramEnd"/>
      <w:r w:rsidRPr="00283806">
        <w:rPr>
          <w:w w:val="105"/>
        </w:rPr>
        <w:t xml:space="preserve"> those that have been in place,</w:t>
      </w:r>
      <w:r w:rsidRPr="00283806">
        <w:rPr>
          <w:spacing w:val="40"/>
          <w:w w:val="105"/>
        </w:rPr>
        <w:t xml:space="preserve"> </w:t>
      </w:r>
      <w:r w:rsidRPr="00283806">
        <w:rPr>
          <w:w w:val="105"/>
        </w:rPr>
        <w:t>for</w:t>
      </w:r>
      <w:r w:rsidRPr="00283806">
        <w:rPr>
          <w:spacing w:val="40"/>
          <w:w w:val="105"/>
        </w:rPr>
        <w:t xml:space="preserve"> </w:t>
      </w:r>
      <w:r w:rsidRPr="00283806">
        <w:rPr>
          <w:w w:val="105"/>
        </w:rPr>
        <w:t>some</w:t>
      </w:r>
      <w:r w:rsidRPr="00283806">
        <w:rPr>
          <w:spacing w:val="40"/>
          <w:w w:val="105"/>
        </w:rPr>
        <w:t xml:space="preserve"> </w:t>
      </w:r>
      <w:r w:rsidRPr="00283806">
        <w:rPr>
          <w:w w:val="105"/>
        </w:rPr>
        <w:t>time,</w:t>
      </w:r>
      <w:r w:rsidRPr="00283806">
        <w:rPr>
          <w:spacing w:val="40"/>
          <w:w w:val="105"/>
        </w:rPr>
        <w:t xml:space="preserve"> </w:t>
      </w:r>
      <w:r w:rsidRPr="00283806">
        <w:rPr>
          <w:w w:val="105"/>
        </w:rPr>
        <w:t>for</w:t>
      </w:r>
      <w:r w:rsidRPr="00283806">
        <w:rPr>
          <w:spacing w:val="40"/>
          <w:w w:val="105"/>
        </w:rPr>
        <w:t xml:space="preserve"> </w:t>
      </w:r>
      <w:r w:rsidRPr="00283806">
        <w:rPr>
          <w:w w:val="105"/>
        </w:rPr>
        <w:t>ODS- containing appliances at or above a full charge size of 50 pounds. Further, prior</w:t>
      </w:r>
      <w:r w:rsidRPr="00283806">
        <w:rPr>
          <w:spacing w:val="40"/>
          <w:w w:val="105"/>
        </w:rPr>
        <w:t xml:space="preserve"> </w:t>
      </w:r>
      <w:r w:rsidRPr="00283806">
        <w:rPr>
          <w:w w:val="105"/>
        </w:rPr>
        <w:t>to the rescission in 2020 (85 FR 14150,</w:t>
      </w:r>
    </w:p>
    <w:p w14:paraId="3003F754" w14:textId="77777777" w:rsidR="00D67C1E" w:rsidRPr="00283806" w:rsidRDefault="001265CA">
      <w:pPr>
        <w:pStyle w:val="BodyText"/>
        <w:spacing w:line="193" w:lineRule="exact"/>
      </w:pPr>
      <w:r w:rsidRPr="00283806">
        <w:rPr>
          <w:w w:val="105"/>
        </w:rPr>
        <w:t>March</w:t>
      </w:r>
      <w:r w:rsidRPr="00283806">
        <w:rPr>
          <w:spacing w:val="9"/>
          <w:w w:val="105"/>
        </w:rPr>
        <w:t xml:space="preserve"> </w:t>
      </w:r>
      <w:r w:rsidRPr="00283806">
        <w:rPr>
          <w:w w:val="105"/>
        </w:rPr>
        <w:t>11,</w:t>
      </w:r>
      <w:r w:rsidRPr="00283806">
        <w:rPr>
          <w:spacing w:val="10"/>
          <w:w w:val="105"/>
        </w:rPr>
        <w:t xml:space="preserve"> </w:t>
      </w:r>
      <w:r w:rsidRPr="00283806">
        <w:rPr>
          <w:w w:val="105"/>
        </w:rPr>
        <w:t>2020),</w:t>
      </w:r>
      <w:r w:rsidRPr="00283806">
        <w:rPr>
          <w:spacing w:val="9"/>
          <w:w w:val="105"/>
        </w:rPr>
        <w:t xml:space="preserve"> </w:t>
      </w:r>
      <w:r w:rsidRPr="00283806">
        <w:rPr>
          <w:w w:val="105"/>
        </w:rPr>
        <w:t>the</w:t>
      </w:r>
      <w:r w:rsidRPr="00283806">
        <w:rPr>
          <w:spacing w:val="10"/>
          <w:w w:val="105"/>
        </w:rPr>
        <w:t xml:space="preserve"> </w:t>
      </w:r>
      <w:r w:rsidRPr="00283806">
        <w:rPr>
          <w:w w:val="105"/>
        </w:rPr>
        <w:t>final</w:t>
      </w:r>
      <w:r w:rsidRPr="00283806">
        <w:rPr>
          <w:spacing w:val="9"/>
          <w:w w:val="105"/>
        </w:rPr>
        <w:t xml:space="preserve"> </w:t>
      </w:r>
      <w:r w:rsidRPr="00283806">
        <w:rPr>
          <w:spacing w:val="-2"/>
          <w:w w:val="105"/>
        </w:rPr>
        <w:t>rulemaking</w:t>
      </w:r>
    </w:p>
    <w:p w14:paraId="23341A0C" w14:textId="77777777" w:rsidR="00D67C1E" w:rsidRPr="00283806" w:rsidRDefault="001265CA">
      <w:pPr>
        <w:pStyle w:val="BodyText"/>
        <w:spacing w:line="200" w:lineRule="exact"/>
      </w:pPr>
      <w:r w:rsidRPr="00283806">
        <w:rPr>
          <w:w w:val="105"/>
        </w:rPr>
        <w:t>under</w:t>
      </w:r>
      <w:r w:rsidRPr="00283806">
        <w:rPr>
          <w:spacing w:val="9"/>
          <w:w w:val="105"/>
        </w:rPr>
        <w:t xml:space="preserve"> </w:t>
      </w:r>
      <w:r w:rsidRPr="00283806">
        <w:rPr>
          <w:w w:val="105"/>
        </w:rPr>
        <w:t>CAA</w:t>
      </w:r>
      <w:r w:rsidRPr="00283806">
        <w:rPr>
          <w:spacing w:val="10"/>
          <w:w w:val="105"/>
        </w:rPr>
        <w:t xml:space="preserve"> </w:t>
      </w:r>
      <w:r w:rsidRPr="00283806">
        <w:rPr>
          <w:w w:val="105"/>
        </w:rPr>
        <w:t>section</w:t>
      </w:r>
      <w:r w:rsidRPr="00283806">
        <w:rPr>
          <w:spacing w:val="10"/>
          <w:w w:val="105"/>
        </w:rPr>
        <w:t xml:space="preserve"> </w:t>
      </w:r>
      <w:r w:rsidRPr="00283806">
        <w:rPr>
          <w:w w:val="105"/>
        </w:rPr>
        <w:t>608</w:t>
      </w:r>
      <w:r w:rsidRPr="00283806">
        <w:rPr>
          <w:spacing w:val="10"/>
          <w:w w:val="105"/>
        </w:rPr>
        <w:t xml:space="preserve"> </w:t>
      </w:r>
      <w:r w:rsidRPr="00283806">
        <w:rPr>
          <w:w w:val="105"/>
        </w:rPr>
        <w:t>in</w:t>
      </w:r>
      <w:r w:rsidRPr="00283806">
        <w:rPr>
          <w:spacing w:val="10"/>
          <w:w w:val="105"/>
        </w:rPr>
        <w:t xml:space="preserve"> </w:t>
      </w:r>
      <w:r w:rsidRPr="00283806">
        <w:rPr>
          <w:w w:val="105"/>
        </w:rPr>
        <w:t>2016</w:t>
      </w:r>
      <w:r w:rsidRPr="00283806">
        <w:rPr>
          <w:spacing w:val="9"/>
          <w:w w:val="105"/>
        </w:rPr>
        <w:t xml:space="preserve"> </w:t>
      </w:r>
      <w:r w:rsidRPr="00283806">
        <w:rPr>
          <w:w w:val="105"/>
        </w:rPr>
        <w:t>(81</w:t>
      </w:r>
      <w:r w:rsidRPr="00283806">
        <w:rPr>
          <w:spacing w:val="10"/>
          <w:w w:val="105"/>
        </w:rPr>
        <w:t xml:space="preserve"> </w:t>
      </w:r>
      <w:r w:rsidRPr="00283806">
        <w:rPr>
          <w:spacing w:val="-5"/>
          <w:w w:val="105"/>
        </w:rPr>
        <w:t>FR</w:t>
      </w:r>
    </w:p>
    <w:p w14:paraId="20D8119B" w14:textId="77777777" w:rsidR="00D67C1E" w:rsidRPr="00283806" w:rsidRDefault="001265CA">
      <w:pPr>
        <w:pStyle w:val="BodyText"/>
        <w:spacing w:before="3" w:line="228" w:lineRule="auto"/>
        <w:ind w:right="47"/>
      </w:pPr>
      <w:r w:rsidRPr="00283806">
        <w:rPr>
          <w:w w:val="105"/>
        </w:rPr>
        <w:t>82272,</w:t>
      </w:r>
      <w:r w:rsidRPr="00283806">
        <w:rPr>
          <w:spacing w:val="-1"/>
          <w:w w:val="105"/>
        </w:rPr>
        <w:t xml:space="preserve"> </w:t>
      </w:r>
      <w:r w:rsidRPr="00283806">
        <w:rPr>
          <w:w w:val="105"/>
        </w:rPr>
        <w:t>November</w:t>
      </w:r>
      <w:r w:rsidRPr="00283806">
        <w:rPr>
          <w:spacing w:val="-1"/>
          <w:w w:val="105"/>
        </w:rPr>
        <w:t xml:space="preserve"> </w:t>
      </w:r>
      <w:r w:rsidRPr="00283806">
        <w:rPr>
          <w:w w:val="105"/>
        </w:rPr>
        <w:t>18,</w:t>
      </w:r>
      <w:r w:rsidRPr="00283806">
        <w:rPr>
          <w:spacing w:val="-1"/>
          <w:w w:val="105"/>
        </w:rPr>
        <w:t xml:space="preserve"> </w:t>
      </w:r>
      <w:r w:rsidRPr="00283806">
        <w:rPr>
          <w:w w:val="105"/>
        </w:rPr>
        <w:t>2016)</w:t>
      </w:r>
      <w:r w:rsidRPr="00283806">
        <w:rPr>
          <w:spacing w:val="-1"/>
          <w:w w:val="105"/>
        </w:rPr>
        <w:t xml:space="preserve"> </w:t>
      </w:r>
      <w:r w:rsidRPr="00283806">
        <w:rPr>
          <w:w w:val="105"/>
        </w:rPr>
        <w:t>applied</w:t>
      </w:r>
      <w:r w:rsidRPr="00283806">
        <w:rPr>
          <w:spacing w:val="-1"/>
          <w:w w:val="105"/>
        </w:rPr>
        <w:t xml:space="preserve"> </w:t>
      </w:r>
      <w:r w:rsidRPr="00283806">
        <w:rPr>
          <w:w w:val="105"/>
        </w:rPr>
        <w:t>leak repair provisions for HFC-containing appliances with a charge size of 50 pounds or greater. The 2016 CAA</w:t>
      </w:r>
      <w:r w:rsidRPr="00283806">
        <w:rPr>
          <w:spacing w:val="80"/>
          <w:w w:val="105"/>
        </w:rPr>
        <w:t xml:space="preserve"> </w:t>
      </w:r>
      <w:r w:rsidRPr="00283806">
        <w:rPr>
          <w:w w:val="105"/>
        </w:rPr>
        <w:t>Section 608 Rule became effective on January 1, 2017, and the relevant leak repair requirements for HFCs and other ODS substitutes (now rescinded)</w:t>
      </w:r>
      <w:r w:rsidRPr="00283806">
        <w:rPr>
          <w:spacing w:val="80"/>
          <w:w w:val="105"/>
        </w:rPr>
        <w:t xml:space="preserve"> </w:t>
      </w:r>
      <w:r w:rsidRPr="00283806">
        <w:rPr>
          <w:w w:val="105"/>
        </w:rPr>
        <w:t>applied as of January 1, 2019 (81 FR</w:t>
      </w:r>
    </w:p>
    <w:p w14:paraId="1C283995" w14:textId="77777777" w:rsidR="00D67C1E" w:rsidRPr="00283806" w:rsidRDefault="001265CA">
      <w:pPr>
        <w:pStyle w:val="BodyText"/>
        <w:spacing w:line="193" w:lineRule="exact"/>
      </w:pPr>
      <w:r w:rsidRPr="00283806">
        <w:rPr>
          <w:w w:val="105"/>
        </w:rPr>
        <w:t>82272,</w:t>
      </w:r>
      <w:r w:rsidRPr="00283806">
        <w:rPr>
          <w:spacing w:val="-2"/>
          <w:w w:val="105"/>
        </w:rPr>
        <w:t xml:space="preserve"> </w:t>
      </w:r>
      <w:r w:rsidRPr="00283806">
        <w:rPr>
          <w:w w:val="105"/>
        </w:rPr>
        <w:t>82356,</w:t>
      </w:r>
      <w:r w:rsidRPr="00283806">
        <w:rPr>
          <w:spacing w:val="-1"/>
          <w:w w:val="105"/>
        </w:rPr>
        <w:t xml:space="preserve"> </w:t>
      </w:r>
      <w:r w:rsidRPr="00283806">
        <w:rPr>
          <w:w w:val="105"/>
        </w:rPr>
        <w:t>November</w:t>
      </w:r>
      <w:r w:rsidRPr="00283806">
        <w:rPr>
          <w:spacing w:val="-1"/>
          <w:w w:val="105"/>
        </w:rPr>
        <w:t xml:space="preserve"> </w:t>
      </w:r>
      <w:r w:rsidRPr="00283806">
        <w:rPr>
          <w:w w:val="105"/>
        </w:rPr>
        <w:t>18,</w:t>
      </w:r>
      <w:r w:rsidRPr="00283806">
        <w:rPr>
          <w:spacing w:val="-1"/>
          <w:w w:val="105"/>
        </w:rPr>
        <w:t xml:space="preserve"> </w:t>
      </w:r>
      <w:r w:rsidRPr="00283806">
        <w:rPr>
          <w:spacing w:val="-2"/>
          <w:w w:val="105"/>
        </w:rPr>
        <w:t>2016).</w:t>
      </w:r>
    </w:p>
    <w:p w14:paraId="4E35CD8A" w14:textId="77777777" w:rsidR="00D67C1E" w:rsidRPr="00283806" w:rsidRDefault="001265CA">
      <w:pPr>
        <w:pStyle w:val="BodyText"/>
        <w:spacing w:before="3" w:line="228" w:lineRule="auto"/>
        <w:ind w:right="58"/>
      </w:pPr>
      <w:r w:rsidRPr="00283806">
        <w:rPr>
          <w:w w:val="105"/>
        </w:rPr>
        <w:t>Thus, the Agency reasoned that industry was, at a minimum, familiar with the</w:t>
      </w:r>
      <w:r w:rsidRPr="00283806">
        <w:rPr>
          <w:spacing w:val="80"/>
          <w:w w:val="105"/>
        </w:rPr>
        <w:t xml:space="preserve"> </w:t>
      </w:r>
      <w:r w:rsidRPr="00283806">
        <w:rPr>
          <w:w w:val="105"/>
        </w:rPr>
        <w:t>leak</w:t>
      </w:r>
      <w:r w:rsidRPr="00283806">
        <w:rPr>
          <w:spacing w:val="40"/>
          <w:w w:val="105"/>
        </w:rPr>
        <w:t xml:space="preserve"> </w:t>
      </w:r>
      <w:r w:rsidRPr="00283806">
        <w:rPr>
          <w:w w:val="105"/>
        </w:rPr>
        <w:t>repair</w:t>
      </w:r>
      <w:r w:rsidRPr="00283806">
        <w:rPr>
          <w:spacing w:val="40"/>
          <w:w w:val="105"/>
        </w:rPr>
        <w:t xml:space="preserve"> </w:t>
      </w:r>
      <w:r w:rsidRPr="00283806">
        <w:rPr>
          <w:w w:val="105"/>
        </w:rPr>
        <w:t>provisions</w:t>
      </w:r>
      <w:r w:rsidRPr="00283806">
        <w:rPr>
          <w:spacing w:val="40"/>
          <w:w w:val="105"/>
        </w:rPr>
        <w:t xml:space="preserve"> </w:t>
      </w:r>
      <w:r w:rsidRPr="00283806">
        <w:rPr>
          <w:w w:val="105"/>
        </w:rPr>
        <w:t>under</w:t>
      </w:r>
      <w:r w:rsidRPr="00283806">
        <w:rPr>
          <w:spacing w:val="40"/>
          <w:w w:val="105"/>
        </w:rPr>
        <w:t xml:space="preserve"> </w:t>
      </w:r>
      <w:r w:rsidRPr="00283806">
        <w:rPr>
          <w:w w:val="105"/>
        </w:rPr>
        <w:t>CAA section</w:t>
      </w:r>
      <w:r w:rsidRPr="00283806">
        <w:rPr>
          <w:spacing w:val="39"/>
          <w:w w:val="105"/>
        </w:rPr>
        <w:t xml:space="preserve"> </w:t>
      </w:r>
      <w:r w:rsidRPr="00283806">
        <w:rPr>
          <w:w w:val="105"/>
        </w:rPr>
        <w:t>608,</w:t>
      </w:r>
      <w:r w:rsidRPr="00283806">
        <w:rPr>
          <w:spacing w:val="39"/>
          <w:w w:val="105"/>
        </w:rPr>
        <w:t xml:space="preserve"> </w:t>
      </w:r>
      <w:r w:rsidRPr="00283806">
        <w:rPr>
          <w:w w:val="105"/>
        </w:rPr>
        <w:t>which</w:t>
      </w:r>
      <w:r w:rsidRPr="00283806">
        <w:rPr>
          <w:spacing w:val="39"/>
          <w:w w:val="105"/>
        </w:rPr>
        <w:t xml:space="preserve"> </w:t>
      </w:r>
      <w:r w:rsidRPr="00283806">
        <w:rPr>
          <w:w w:val="105"/>
        </w:rPr>
        <w:t>are</w:t>
      </w:r>
      <w:r w:rsidRPr="00283806">
        <w:rPr>
          <w:spacing w:val="39"/>
          <w:w w:val="105"/>
        </w:rPr>
        <w:t xml:space="preserve"> </w:t>
      </w:r>
      <w:proofErr w:type="gramStart"/>
      <w:r w:rsidRPr="00283806">
        <w:rPr>
          <w:w w:val="105"/>
        </w:rPr>
        <w:t>similar</w:t>
      </w:r>
      <w:r w:rsidRPr="00283806">
        <w:rPr>
          <w:spacing w:val="39"/>
          <w:w w:val="105"/>
        </w:rPr>
        <w:t xml:space="preserve"> </w:t>
      </w:r>
      <w:r w:rsidRPr="00283806">
        <w:rPr>
          <w:w w:val="105"/>
        </w:rPr>
        <w:t>to</w:t>
      </w:r>
      <w:proofErr w:type="gramEnd"/>
      <w:r w:rsidRPr="00283806">
        <w:rPr>
          <w:spacing w:val="39"/>
          <w:w w:val="105"/>
        </w:rPr>
        <w:t xml:space="preserve"> </w:t>
      </w:r>
      <w:r w:rsidRPr="00283806">
        <w:rPr>
          <w:w w:val="105"/>
        </w:rPr>
        <w:t xml:space="preserve">the leak repair requirements established under subsection (h) in this action. </w:t>
      </w:r>
      <w:proofErr w:type="gramStart"/>
      <w:r w:rsidRPr="00283806">
        <w:rPr>
          <w:w w:val="105"/>
        </w:rPr>
        <w:t>In regard to</w:t>
      </w:r>
      <w:proofErr w:type="gramEnd"/>
      <w:r w:rsidRPr="00283806">
        <w:rPr>
          <w:w w:val="105"/>
        </w:rPr>
        <w:t xml:space="preserve"> refrigerant-containing appliances with a full charge that </w:t>
      </w:r>
      <w:proofErr w:type="gramStart"/>
      <w:r w:rsidRPr="00283806">
        <w:rPr>
          <w:w w:val="105"/>
        </w:rPr>
        <w:t>is</w:t>
      </w:r>
      <w:proofErr w:type="gramEnd"/>
      <w:r w:rsidRPr="00283806">
        <w:rPr>
          <w:w w:val="105"/>
        </w:rPr>
        <w:t xml:space="preserve"> at least</w:t>
      </w:r>
      <w:r w:rsidRPr="00283806">
        <w:rPr>
          <w:spacing w:val="34"/>
          <w:w w:val="105"/>
        </w:rPr>
        <w:t xml:space="preserve"> </w:t>
      </w:r>
      <w:r w:rsidRPr="00283806">
        <w:rPr>
          <w:w w:val="105"/>
        </w:rPr>
        <w:t>15</w:t>
      </w:r>
      <w:r w:rsidRPr="00283806">
        <w:rPr>
          <w:spacing w:val="34"/>
          <w:w w:val="105"/>
        </w:rPr>
        <w:t xml:space="preserve"> </w:t>
      </w:r>
      <w:r w:rsidRPr="00283806">
        <w:rPr>
          <w:w w:val="105"/>
        </w:rPr>
        <w:t>pounds</w:t>
      </w:r>
      <w:r w:rsidRPr="00283806">
        <w:rPr>
          <w:spacing w:val="34"/>
          <w:w w:val="105"/>
        </w:rPr>
        <w:t xml:space="preserve"> </w:t>
      </w:r>
      <w:r w:rsidRPr="00283806">
        <w:rPr>
          <w:w w:val="105"/>
        </w:rPr>
        <w:t>but</w:t>
      </w:r>
      <w:r w:rsidRPr="00283806">
        <w:rPr>
          <w:spacing w:val="34"/>
          <w:w w:val="105"/>
        </w:rPr>
        <w:t xml:space="preserve"> </w:t>
      </w:r>
      <w:r w:rsidRPr="00283806">
        <w:rPr>
          <w:w w:val="105"/>
        </w:rPr>
        <w:t>less</w:t>
      </w:r>
      <w:r w:rsidRPr="00283806">
        <w:rPr>
          <w:spacing w:val="34"/>
          <w:w w:val="105"/>
        </w:rPr>
        <w:t xml:space="preserve"> </w:t>
      </w:r>
      <w:r w:rsidRPr="00283806">
        <w:rPr>
          <w:w w:val="105"/>
        </w:rPr>
        <w:t>than</w:t>
      </w:r>
      <w:r w:rsidRPr="00283806">
        <w:rPr>
          <w:spacing w:val="34"/>
          <w:w w:val="105"/>
        </w:rPr>
        <w:t xml:space="preserve"> </w:t>
      </w:r>
      <w:r w:rsidRPr="00283806">
        <w:rPr>
          <w:w w:val="105"/>
        </w:rPr>
        <w:t>50 pounds, the proposal included a slightly longer compliance timeline, as EPA had not previously required leak repair for these appliances. The additional time</w:t>
      </w:r>
      <w:r w:rsidRPr="00283806">
        <w:rPr>
          <w:spacing w:val="80"/>
          <w:w w:val="105"/>
        </w:rPr>
        <w:t xml:space="preserve"> </w:t>
      </w:r>
      <w:r w:rsidRPr="00283806">
        <w:rPr>
          <w:w w:val="105"/>
        </w:rPr>
        <w:t>was intended to allow the regulated community time to familiarize</w:t>
      </w:r>
      <w:r w:rsidRPr="00283806">
        <w:rPr>
          <w:spacing w:val="40"/>
          <w:w w:val="105"/>
        </w:rPr>
        <w:t xml:space="preserve"> </w:t>
      </w:r>
      <w:r w:rsidRPr="00283806">
        <w:rPr>
          <w:w w:val="105"/>
        </w:rPr>
        <w:t xml:space="preserve">themselves with the requirements and </w:t>
      </w:r>
      <w:proofErr w:type="gramStart"/>
      <w:r w:rsidRPr="00283806">
        <w:rPr>
          <w:w w:val="105"/>
        </w:rPr>
        <w:t>make preparations</w:t>
      </w:r>
      <w:proofErr w:type="gramEnd"/>
      <w:r w:rsidRPr="00283806">
        <w:rPr>
          <w:w w:val="105"/>
        </w:rPr>
        <w:t xml:space="preserve"> to comply with them.</w:t>
      </w:r>
    </w:p>
    <w:p w14:paraId="011AFAC2" w14:textId="77777777" w:rsidR="00D67C1E" w:rsidRPr="00283806" w:rsidRDefault="001265CA">
      <w:pPr>
        <w:pStyle w:val="BodyText"/>
        <w:spacing w:before="32" w:line="228" w:lineRule="auto"/>
        <w:ind w:firstLine="180"/>
      </w:pPr>
      <w:r w:rsidRPr="00283806">
        <w:rPr>
          <w:w w:val="105"/>
        </w:rPr>
        <w:t>Based on further consideration and information provided by commenters, EPA is finalizing a single compliance</w:t>
      </w:r>
      <w:r w:rsidRPr="00283806">
        <w:rPr>
          <w:spacing w:val="80"/>
          <w:w w:val="105"/>
        </w:rPr>
        <w:t xml:space="preserve"> </w:t>
      </w:r>
      <w:r w:rsidRPr="00283806">
        <w:rPr>
          <w:w w:val="105"/>
        </w:rPr>
        <w:t xml:space="preserve">date, January 1, 2026, to provide owners and </w:t>
      </w:r>
      <w:proofErr w:type="gramStart"/>
      <w:r w:rsidRPr="00283806">
        <w:rPr>
          <w:w w:val="105"/>
        </w:rPr>
        <w:t>operators</w:t>
      </w:r>
      <w:proofErr w:type="gramEnd"/>
      <w:r w:rsidRPr="00283806">
        <w:rPr>
          <w:w w:val="105"/>
        </w:rPr>
        <w:t xml:space="preserve"> additional time to comply with the leak repair provisions in the</w:t>
      </w:r>
      <w:r w:rsidRPr="00283806">
        <w:rPr>
          <w:spacing w:val="40"/>
          <w:w w:val="105"/>
        </w:rPr>
        <w:t xml:space="preserve"> </w:t>
      </w:r>
      <w:r w:rsidRPr="00283806">
        <w:rPr>
          <w:w w:val="105"/>
        </w:rPr>
        <w:t>final rule. EPA concludes that this additional time will allow parts of the regulated community that may not have previously had to comply with the leak repair requirements under CAA section 608 time to familiarize themselves with the provisions. While EPA still finds, as</w:t>
      </w:r>
      <w:r w:rsidRPr="00283806">
        <w:rPr>
          <w:spacing w:val="80"/>
          <w:w w:val="105"/>
        </w:rPr>
        <w:t xml:space="preserve"> </w:t>
      </w:r>
      <w:proofErr w:type="gramStart"/>
      <w:r w:rsidRPr="00283806">
        <w:rPr>
          <w:w w:val="105"/>
        </w:rPr>
        <w:t>at</w:t>
      </w:r>
      <w:proofErr w:type="gramEnd"/>
      <w:r w:rsidRPr="00283806">
        <w:rPr>
          <w:w w:val="105"/>
        </w:rPr>
        <w:t xml:space="preserve"> proposal, that parts of the regulated community are already familiar with the requirements based on their experience with similar requirements under CAA section 608, EPA concludes that they would also benefit from additional time</w:t>
      </w:r>
      <w:r w:rsidRPr="00283806">
        <w:rPr>
          <w:spacing w:val="40"/>
          <w:w w:val="105"/>
        </w:rPr>
        <w:t xml:space="preserve"> </w:t>
      </w:r>
      <w:r w:rsidRPr="00283806">
        <w:rPr>
          <w:w w:val="105"/>
        </w:rPr>
        <w:t>to prepare for compliance. During the interim period before the leak repair requirements go into effect, owners or operators can begin determining which refrigerant-containing appliances within a</w:t>
      </w:r>
      <w:r w:rsidRPr="00283806">
        <w:rPr>
          <w:spacing w:val="37"/>
          <w:w w:val="105"/>
        </w:rPr>
        <w:t xml:space="preserve"> </w:t>
      </w:r>
      <w:r w:rsidRPr="00283806">
        <w:rPr>
          <w:w w:val="105"/>
        </w:rPr>
        <w:t>facility</w:t>
      </w:r>
      <w:r w:rsidRPr="00283806">
        <w:rPr>
          <w:spacing w:val="37"/>
          <w:w w:val="105"/>
        </w:rPr>
        <w:t xml:space="preserve"> </w:t>
      </w:r>
      <w:r w:rsidRPr="00283806">
        <w:rPr>
          <w:w w:val="105"/>
        </w:rPr>
        <w:t>will</w:t>
      </w:r>
      <w:r w:rsidRPr="00283806">
        <w:rPr>
          <w:spacing w:val="37"/>
          <w:w w:val="105"/>
        </w:rPr>
        <w:t xml:space="preserve"> </w:t>
      </w:r>
      <w:r w:rsidRPr="00283806">
        <w:rPr>
          <w:w w:val="105"/>
        </w:rPr>
        <w:t>be</w:t>
      </w:r>
      <w:r w:rsidRPr="00283806">
        <w:rPr>
          <w:spacing w:val="37"/>
          <w:w w:val="105"/>
        </w:rPr>
        <w:t xml:space="preserve"> </w:t>
      </w:r>
      <w:r w:rsidRPr="00283806">
        <w:rPr>
          <w:w w:val="105"/>
        </w:rPr>
        <w:t>subject</w:t>
      </w:r>
      <w:r w:rsidRPr="00283806">
        <w:rPr>
          <w:spacing w:val="37"/>
          <w:w w:val="105"/>
        </w:rPr>
        <w:t xml:space="preserve"> </w:t>
      </w:r>
      <w:r w:rsidRPr="00283806">
        <w:rPr>
          <w:w w:val="105"/>
        </w:rPr>
        <w:t>to</w:t>
      </w:r>
      <w:r w:rsidRPr="00283806">
        <w:rPr>
          <w:spacing w:val="37"/>
          <w:w w:val="105"/>
        </w:rPr>
        <w:t xml:space="preserve"> </w:t>
      </w:r>
      <w:r w:rsidRPr="00283806">
        <w:rPr>
          <w:w w:val="105"/>
        </w:rPr>
        <w:t>the</w:t>
      </w:r>
      <w:r w:rsidRPr="00283806">
        <w:rPr>
          <w:spacing w:val="37"/>
          <w:w w:val="105"/>
        </w:rPr>
        <w:t xml:space="preserve"> </w:t>
      </w:r>
      <w:r w:rsidRPr="00283806">
        <w:rPr>
          <w:w w:val="105"/>
        </w:rPr>
        <w:t>leak repair requirements, including conducting inventories, determining the refrigerants used within said appliances, and determining the full charge of refrigerant-containing appliances in</w:t>
      </w:r>
    </w:p>
    <w:p w14:paraId="03128CDE" w14:textId="77777777" w:rsidR="00D67C1E" w:rsidRPr="00283806" w:rsidRDefault="001265CA">
      <w:pPr>
        <w:pStyle w:val="BodyText"/>
        <w:spacing w:before="134" w:line="225" w:lineRule="auto"/>
        <w:ind w:left="143" w:right="120"/>
      </w:pPr>
      <w:r w:rsidRPr="00283806">
        <w:br w:type="column"/>
      </w:r>
      <w:r w:rsidRPr="00283806">
        <w:rPr>
          <w:w w:val="105"/>
        </w:rPr>
        <w:t>their ownership. EPA does not expect this process to take an exceptional amount of time; however, the extension to the compliance date is being</w:t>
      </w:r>
      <w:r w:rsidRPr="00283806">
        <w:rPr>
          <w:spacing w:val="80"/>
          <w:w w:val="105"/>
        </w:rPr>
        <w:t xml:space="preserve"> </w:t>
      </w:r>
      <w:r w:rsidRPr="00283806">
        <w:rPr>
          <w:w w:val="105"/>
        </w:rPr>
        <w:t xml:space="preserve">provided to ensure owners and operators can complete the necessary steps to prepare for the leak repair requirements, consistent with this final </w:t>
      </w:r>
      <w:r w:rsidRPr="00283806">
        <w:rPr>
          <w:spacing w:val="-2"/>
          <w:w w:val="105"/>
        </w:rPr>
        <w:t>rule.</w:t>
      </w:r>
    </w:p>
    <w:p w14:paraId="79B2D073" w14:textId="77777777" w:rsidR="00D67C1E" w:rsidRPr="00283806" w:rsidRDefault="001265CA">
      <w:pPr>
        <w:spacing w:line="182" w:lineRule="exact"/>
        <w:ind w:left="143" w:firstLine="180"/>
        <w:rPr>
          <w:sz w:val="18"/>
        </w:rPr>
      </w:pPr>
      <w:r w:rsidRPr="00283806">
        <w:rPr>
          <w:rFonts w:ascii="Book Antiqua"/>
          <w:i/>
          <w:w w:val="110"/>
          <w:sz w:val="18"/>
        </w:rPr>
        <w:t>Comment:</w:t>
      </w:r>
      <w:r w:rsidRPr="00283806">
        <w:rPr>
          <w:rFonts w:ascii="Book Antiqua"/>
          <w:i/>
          <w:spacing w:val="2"/>
          <w:w w:val="110"/>
          <w:sz w:val="18"/>
        </w:rPr>
        <w:t xml:space="preserve"> </w:t>
      </w:r>
      <w:r w:rsidRPr="00283806">
        <w:rPr>
          <w:w w:val="110"/>
          <w:sz w:val="18"/>
        </w:rPr>
        <w:t>The</w:t>
      </w:r>
      <w:r w:rsidRPr="00283806">
        <w:rPr>
          <w:spacing w:val="8"/>
          <w:w w:val="110"/>
          <w:sz w:val="18"/>
        </w:rPr>
        <w:t xml:space="preserve"> </w:t>
      </w:r>
      <w:r w:rsidRPr="00283806">
        <w:rPr>
          <w:w w:val="110"/>
          <w:sz w:val="18"/>
        </w:rPr>
        <w:t>Agency</w:t>
      </w:r>
      <w:r w:rsidRPr="00283806">
        <w:rPr>
          <w:spacing w:val="8"/>
          <w:w w:val="110"/>
          <w:sz w:val="18"/>
        </w:rPr>
        <w:t xml:space="preserve"> </w:t>
      </w:r>
      <w:r w:rsidRPr="00283806">
        <w:rPr>
          <w:spacing w:val="-2"/>
          <w:w w:val="110"/>
          <w:sz w:val="18"/>
        </w:rPr>
        <w:t>received</w:t>
      </w:r>
    </w:p>
    <w:p w14:paraId="5BF3D322" w14:textId="77777777" w:rsidR="00D67C1E" w:rsidRPr="00283806" w:rsidRDefault="001265CA">
      <w:pPr>
        <w:pStyle w:val="BodyText"/>
        <w:spacing w:line="225" w:lineRule="auto"/>
        <w:ind w:left="143" w:right="69"/>
      </w:pPr>
      <w:r w:rsidRPr="00283806">
        <w:rPr>
          <w:w w:val="105"/>
        </w:rPr>
        <w:t xml:space="preserve">mixed comments on the proposed compliance date for the leak repair provisions with </w:t>
      </w:r>
      <w:proofErr w:type="gramStart"/>
      <w:r w:rsidRPr="00283806">
        <w:rPr>
          <w:w w:val="105"/>
        </w:rPr>
        <w:t>the majority of</w:t>
      </w:r>
      <w:proofErr w:type="gramEnd"/>
      <w:r w:rsidRPr="00283806">
        <w:rPr>
          <w:w w:val="105"/>
        </w:rPr>
        <w:t xml:space="preserve"> comments asking EPA to re-evaluate the proposed timeline and provide</w:t>
      </w:r>
      <w:r w:rsidRPr="00283806">
        <w:rPr>
          <w:spacing w:val="40"/>
          <w:w w:val="105"/>
        </w:rPr>
        <w:t xml:space="preserve"> </w:t>
      </w:r>
      <w:r w:rsidRPr="00283806">
        <w:rPr>
          <w:w w:val="105"/>
        </w:rPr>
        <w:t>additional time to comply with the leak repair requirements. Commenters suggested a longer period to allow manufacturers, facility owners and operators, and other stakeholders sufficient time to prepare for the regulations. Suggested compliance timelines ranged from an additional one to three years, with some commenters suggesting staggered compliance timelines based on charge size. One commenter stated that a compliance</w:t>
      </w:r>
      <w:r w:rsidRPr="00283806">
        <w:rPr>
          <w:spacing w:val="40"/>
          <w:w w:val="105"/>
        </w:rPr>
        <w:t xml:space="preserve"> </w:t>
      </w:r>
      <w:r w:rsidRPr="00283806">
        <w:rPr>
          <w:w w:val="105"/>
        </w:rPr>
        <w:t>date after three years from the rule’s finalization would be needed for stakeholders to plan, procure, and implement the leak detection and repair requirements. Another commenter suggested a compliance date two years after finalization so that owners and operators of smaller equipment who</w:t>
      </w:r>
      <w:r w:rsidRPr="00283806">
        <w:rPr>
          <w:spacing w:val="40"/>
          <w:w w:val="105"/>
        </w:rPr>
        <w:t xml:space="preserve"> </w:t>
      </w:r>
      <w:r w:rsidRPr="00283806">
        <w:rPr>
          <w:w w:val="105"/>
        </w:rPr>
        <w:t>may have not previously experienced leak repair requirements could design, procure, set up, and implement a refrigerant management program.</w:t>
      </w:r>
    </w:p>
    <w:p w14:paraId="33F79A8A" w14:textId="77777777" w:rsidR="00D67C1E" w:rsidRPr="00283806" w:rsidRDefault="001265CA">
      <w:pPr>
        <w:pStyle w:val="BodyText"/>
        <w:spacing w:line="170" w:lineRule="exact"/>
        <w:ind w:left="323"/>
      </w:pPr>
      <w:r w:rsidRPr="00283806">
        <w:rPr>
          <w:w w:val="105"/>
        </w:rPr>
        <w:t>One</w:t>
      </w:r>
      <w:r w:rsidRPr="00283806">
        <w:rPr>
          <w:spacing w:val="11"/>
          <w:w w:val="105"/>
        </w:rPr>
        <w:t xml:space="preserve"> </w:t>
      </w:r>
      <w:r w:rsidRPr="00283806">
        <w:rPr>
          <w:w w:val="105"/>
        </w:rPr>
        <w:t>commenter</w:t>
      </w:r>
      <w:r w:rsidRPr="00283806">
        <w:rPr>
          <w:spacing w:val="11"/>
          <w:w w:val="105"/>
        </w:rPr>
        <w:t xml:space="preserve"> </w:t>
      </w:r>
      <w:r w:rsidRPr="00283806">
        <w:rPr>
          <w:w w:val="105"/>
        </w:rPr>
        <w:t>in</w:t>
      </w:r>
      <w:r w:rsidRPr="00283806">
        <w:rPr>
          <w:spacing w:val="11"/>
          <w:w w:val="105"/>
        </w:rPr>
        <w:t xml:space="preserve"> </w:t>
      </w:r>
      <w:r w:rsidRPr="00283806">
        <w:rPr>
          <w:w w:val="105"/>
        </w:rPr>
        <w:t>support</w:t>
      </w:r>
      <w:r w:rsidRPr="00283806">
        <w:rPr>
          <w:spacing w:val="12"/>
          <w:w w:val="105"/>
        </w:rPr>
        <w:t xml:space="preserve"> </w:t>
      </w:r>
      <w:r w:rsidRPr="00283806">
        <w:rPr>
          <w:w w:val="105"/>
        </w:rPr>
        <w:t>of</w:t>
      </w:r>
      <w:r w:rsidRPr="00283806">
        <w:rPr>
          <w:spacing w:val="11"/>
          <w:w w:val="105"/>
        </w:rPr>
        <w:t xml:space="preserve"> </w:t>
      </w:r>
      <w:r w:rsidRPr="00283806">
        <w:rPr>
          <w:spacing w:val="-5"/>
          <w:w w:val="105"/>
        </w:rPr>
        <w:t>the</w:t>
      </w:r>
    </w:p>
    <w:p w14:paraId="3CF07C25" w14:textId="77777777" w:rsidR="00D67C1E" w:rsidRPr="00283806" w:rsidRDefault="001265CA">
      <w:pPr>
        <w:pStyle w:val="BodyText"/>
        <w:spacing w:before="3" w:line="225" w:lineRule="auto"/>
        <w:ind w:left="143"/>
      </w:pPr>
      <w:r w:rsidRPr="00283806">
        <w:rPr>
          <w:w w:val="105"/>
        </w:rPr>
        <w:t>proposed compliance date noted that California has had similar requirements for appliances using more than 50</w:t>
      </w:r>
      <w:r w:rsidRPr="00283806">
        <w:rPr>
          <w:spacing w:val="40"/>
          <w:w w:val="105"/>
        </w:rPr>
        <w:t xml:space="preserve"> </w:t>
      </w:r>
      <w:r w:rsidRPr="00283806">
        <w:rPr>
          <w:w w:val="105"/>
        </w:rPr>
        <w:t>pounds of HFC refrigerants since 2011, highlighting that nationwide appliances using more than 50 pounds of ODS refrigerants have had similar rules for several years. Another commenter suggested both appliance categories (</w:t>
      </w:r>
      <w:r w:rsidRPr="00283806">
        <w:rPr>
          <w:rFonts w:ascii="Book Antiqua" w:hAnsi="Book Antiqua"/>
          <w:i/>
          <w:w w:val="105"/>
        </w:rPr>
        <w:t xml:space="preserve">i.e., </w:t>
      </w:r>
      <w:r w:rsidRPr="00283806">
        <w:rPr>
          <w:w w:val="105"/>
        </w:rPr>
        <w:t>50 pounds and greater, and 15 to 50 pounds) should have the same compliance date of one year after the</w:t>
      </w:r>
      <w:r w:rsidRPr="00283806">
        <w:rPr>
          <w:spacing w:val="40"/>
          <w:w w:val="105"/>
        </w:rPr>
        <w:t xml:space="preserve"> </w:t>
      </w:r>
      <w:r w:rsidRPr="00283806">
        <w:rPr>
          <w:w w:val="105"/>
        </w:rPr>
        <w:t>date of the final rule. The commenter</w:t>
      </w:r>
      <w:r w:rsidRPr="00283806">
        <w:rPr>
          <w:spacing w:val="80"/>
          <w:w w:val="105"/>
        </w:rPr>
        <w:t xml:space="preserve"> </w:t>
      </w:r>
      <w:r w:rsidRPr="00283806">
        <w:rPr>
          <w:w w:val="105"/>
        </w:rPr>
        <w:t>also asserted that appliances with a charge size of above 50 pounds that are using 100 percent substitute refrigerants will need additional time to conduct inventory, determine the applicability of appliances using substitute refrigerants, and determine the full charge of appliances. The commenter suggested that this strategy would avoid market confusion</w:t>
      </w:r>
      <w:r w:rsidRPr="00283806">
        <w:rPr>
          <w:spacing w:val="40"/>
          <w:w w:val="105"/>
        </w:rPr>
        <w:t xml:space="preserve"> </w:t>
      </w:r>
      <w:r w:rsidRPr="00283806">
        <w:rPr>
          <w:w w:val="105"/>
        </w:rPr>
        <w:t>by</w:t>
      </w:r>
      <w:r w:rsidRPr="00283806">
        <w:rPr>
          <w:spacing w:val="40"/>
          <w:w w:val="105"/>
        </w:rPr>
        <w:t xml:space="preserve"> </w:t>
      </w:r>
      <w:r w:rsidRPr="00283806">
        <w:rPr>
          <w:w w:val="105"/>
        </w:rPr>
        <w:t>having</w:t>
      </w:r>
      <w:r w:rsidRPr="00283806">
        <w:rPr>
          <w:spacing w:val="40"/>
          <w:w w:val="105"/>
        </w:rPr>
        <w:t xml:space="preserve"> </w:t>
      </w:r>
      <w:r w:rsidRPr="00283806">
        <w:rPr>
          <w:w w:val="105"/>
        </w:rPr>
        <w:t xml:space="preserve">multiple compliance dates. One commenter, in general support of the leak repair provision, stated the proposal’s compliance timeline </w:t>
      </w:r>
      <w:proofErr w:type="gramStart"/>
      <w:r w:rsidRPr="00283806">
        <w:rPr>
          <w:w w:val="105"/>
        </w:rPr>
        <w:t>presumes</w:t>
      </w:r>
      <w:proofErr w:type="gramEnd"/>
      <w:r w:rsidRPr="00283806">
        <w:rPr>
          <w:w w:val="105"/>
        </w:rPr>
        <w:t xml:space="preserve"> that the regulated</w:t>
      </w:r>
      <w:r w:rsidRPr="00283806">
        <w:rPr>
          <w:spacing w:val="40"/>
          <w:w w:val="105"/>
        </w:rPr>
        <w:t xml:space="preserve"> </w:t>
      </w:r>
      <w:r w:rsidRPr="00283806">
        <w:rPr>
          <w:w w:val="105"/>
        </w:rPr>
        <w:t>community</w:t>
      </w:r>
      <w:r w:rsidRPr="00283806">
        <w:rPr>
          <w:spacing w:val="40"/>
          <w:w w:val="105"/>
        </w:rPr>
        <w:t xml:space="preserve"> </w:t>
      </w:r>
      <w:r w:rsidRPr="00283806">
        <w:rPr>
          <w:w w:val="105"/>
        </w:rPr>
        <w:t>is</w:t>
      </w:r>
      <w:r w:rsidRPr="00283806">
        <w:rPr>
          <w:spacing w:val="40"/>
          <w:w w:val="105"/>
        </w:rPr>
        <w:t xml:space="preserve"> </w:t>
      </w:r>
      <w:r w:rsidRPr="00283806">
        <w:rPr>
          <w:w w:val="105"/>
        </w:rPr>
        <w:t>familiar</w:t>
      </w:r>
      <w:r w:rsidRPr="00283806">
        <w:rPr>
          <w:spacing w:val="40"/>
          <w:w w:val="105"/>
        </w:rPr>
        <w:t xml:space="preserve"> </w:t>
      </w:r>
      <w:r w:rsidRPr="00283806">
        <w:rPr>
          <w:w w:val="105"/>
        </w:rPr>
        <w:t>with the leak repair provision promulgated</w:t>
      </w:r>
    </w:p>
    <w:p w14:paraId="70D77360" w14:textId="77777777" w:rsidR="00D67C1E" w:rsidRPr="00283806" w:rsidRDefault="001265CA">
      <w:pPr>
        <w:pStyle w:val="BodyText"/>
        <w:spacing w:before="134" w:line="225" w:lineRule="auto"/>
        <w:ind w:left="143" w:right="211"/>
      </w:pPr>
      <w:r w:rsidRPr="00283806">
        <w:br w:type="column"/>
      </w:r>
      <w:r w:rsidRPr="00283806">
        <w:rPr>
          <w:w w:val="105"/>
        </w:rPr>
        <w:t xml:space="preserve">under the CAA. The commenter stated that </w:t>
      </w:r>
      <w:proofErr w:type="gramStart"/>
      <w:r w:rsidRPr="00283806">
        <w:rPr>
          <w:w w:val="105"/>
        </w:rPr>
        <w:t>a number of</w:t>
      </w:r>
      <w:proofErr w:type="gramEnd"/>
      <w:r w:rsidRPr="00283806">
        <w:rPr>
          <w:w w:val="105"/>
        </w:rPr>
        <w:t xml:space="preserve"> new facility owners or operators have little to no experience with the CAA section 608 regulations and requirements.</w:t>
      </w:r>
    </w:p>
    <w:p w14:paraId="14722536" w14:textId="77777777" w:rsidR="00D67C1E" w:rsidRPr="00283806" w:rsidRDefault="001265CA">
      <w:pPr>
        <w:pStyle w:val="BodyText"/>
        <w:spacing w:line="213" w:lineRule="auto"/>
        <w:ind w:left="143" w:right="153" w:firstLine="180"/>
      </w:pPr>
      <w:r w:rsidRPr="00283806">
        <w:rPr>
          <w:rFonts w:ascii="Book Antiqua"/>
          <w:i/>
          <w:w w:val="105"/>
        </w:rPr>
        <w:t xml:space="preserve">Response: </w:t>
      </w:r>
      <w:r w:rsidRPr="00283806">
        <w:rPr>
          <w:w w:val="105"/>
        </w:rPr>
        <w:t>Based on further consideration and informed by the</w:t>
      </w:r>
    </w:p>
    <w:p w14:paraId="7A0A3B7E" w14:textId="77777777" w:rsidR="00D67C1E" w:rsidRPr="00283806" w:rsidRDefault="001265CA">
      <w:pPr>
        <w:pStyle w:val="BodyText"/>
        <w:spacing w:line="225" w:lineRule="auto"/>
        <w:ind w:left="143" w:right="248"/>
      </w:pPr>
      <w:r w:rsidRPr="00283806">
        <w:rPr>
          <w:w w:val="105"/>
        </w:rPr>
        <w:t xml:space="preserve">comments, the Agency is finalizing a single compliance date, rather than two dates for the leak repair requirements for appliances with a </w:t>
      </w:r>
      <w:proofErr w:type="gramStart"/>
      <w:r w:rsidRPr="00283806">
        <w:rPr>
          <w:w w:val="105"/>
        </w:rPr>
        <w:t>charge size</w:t>
      </w:r>
      <w:proofErr w:type="gramEnd"/>
      <w:r w:rsidRPr="00283806">
        <w:rPr>
          <w:w w:val="105"/>
        </w:rPr>
        <w:t xml:space="preserve"> of 15 pounds or more. The Agency is providing additional time from what</w:t>
      </w:r>
      <w:r w:rsidRPr="00283806">
        <w:rPr>
          <w:spacing w:val="40"/>
          <w:w w:val="105"/>
        </w:rPr>
        <w:t xml:space="preserve"> </w:t>
      </w:r>
      <w:r w:rsidRPr="00283806">
        <w:rPr>
          <w:w w:val="105"/>
        </w:rPr>
        <w:t xml:space="preserve">was proposed in both instances for owners and operators to prepare to comply with the leak repair requirements. EPA disagrees that a staggered compliance date would cause market confusion, as the Agency has previously implemented staggered compliance dates for </w:t>
      </w:r>
      <w:proofErr w:type="gramStart"/>
      <w:r w:rsidRPr="00283806">
        <w:rPr>
          <w:w w:val="105"/>
        </w:rPr>
        <w:t>a number of</w:t>
      </w:r>
      <w:proofErr w:type="gramEnd"/>
      <w:r w:rsidRPr="00283806">
        <w:rPr>
          <w:w w:val="105"/>
        </w:rPr>
        <w:t xml:space="preserve"> reasons. For example, the ALD</w:t>
      </w:r>
      <w:r w:rsidRPr="00283806">
        <w:rPr>
          <w:spacing w:val="80"/>
          <w:w w:val="105"/>
        </w:rPr>
        <w:t xml:space="preserve"> </w:t>
      </w:r>
      <w:r w:rsidRPr="00283806">
        <w:rPr>
          <w:w w:val="105"/>
        </w:rPr>
        <w:t xml:space="preserve">provision in this final rule has a staggered compliance date for new and existing IPR and commercial refrigeration systems with a full charge of 1,500 pounds or greater to ensure, among other considerations, that adequate supply is available for owners and operators to comply with this </w:t>
      </w:r>
      <w:r w:rsidRPr="00283806">
        <w:rPr>
          <w:spacing w:val="-2"/>
          <w:w w:val="105"/>
        </w:rPr>
        <w:t>provision.</w:t>
      </w:r>
    </w:p>
    <w:p w14:paraId="7599376C" w14:textId="77777777" w:rsidR="00D67C1E" w:rsidRPr="00283806" w:rsidRDefault="001265CA">
      <w:pPr>
        <w:pStyle w:val="BodyText"/>
        <w:spacing w:line="171" w:lineRule="exact"/>
        <w:ind w:left="323"/>
      </w:pPr>
      <w:r w:rsidRPr="00283806">
        <w:rPr>
          <w:w w:val="105"/>
        </w:rPr>
        <w:t>The</w:t>
      </w:r>
      <w:r w:rsidRPr="00283806">
        <w:rPr>
          <w:spacing w:val="17"/>
          <w:w w:val="105"/>
        </w:rPr>
        <w:t xml:space="preserve"> </w:t>
      </w:r>
      <w:r w:rsidRPr="00283806">
        <w:rPr>
          <w:w w:val="105"/>
        </w:rPr>
        <w:t>Agency</w:t>
      </w:r>
      <w:r w:rsidRPr="00283806">
        <w:rPr>
          <w:spacing w:val="17"/>
          <w:w w:val="105"/>
        </w:rPr>
        <w:t xml:space="preserve"> </w:t>
      </w:r>
      <w:proofErr w:type="gramStart"/>
      <w:r w:rsidRPr="00283806">
        <w:rPr>
          <w:w w:val="105"/>
        </w:rPr>
        <w:t>agrees</w:t>
      </w:r>
      <w:proofErr w:type="gramEnd"/>
      <w:r w:rsidRPr="00283806">
        <w:rPr>
          <w:spacing w:val="17"/>
          <w:w w:val="105"/>
        </w:rPr>
        <w:t xml:space="preserve"> </w:t>
      </w:r>
      <w:r w:rsidRPr="00283806">
        <w:rPr>
          <w:w w:val="105"/>
        </w:rPr>
        <w:t>additional</w:t>
      </w:r>
      <w:r w:rsidRPr="00283806">
        <w:rPr>
          <w:spacing w:val="17"/>
          <w:w w:val="105"/>
        </w:rPr>
        <w:t xml:space="preserve"> </w:t>
      </w:r>
      <w:r w:rsidRPr="00283806">
        <w:rPr>
          <w:spacing w:val="-4"/>
          <w:w w:val="105"/>
        </w:rPr>
        <w:t>time</w:t>
      </w:r>
    </w:p>
    <w:p w14:paraId="11F024BF" w14:textId="77777777" w:rsidR="00D67C1E" w:rsidRPr="00283806" w:rsidRDefault="001265CA">
      <w:pPr>
        <w:pStyle w:val="BodyText"/>
        <w:spacing w:line="225" w:lineRule="auto"/>
        <w:ind w:left="143" w:right="132"/>
      </w:pPr>
      <w:r w:rsidRPr="00283806">
        <w:rPr>
          <w:w w:val="105"/>
        </w:rPr>
        <w:t>may be necessary for the owners and operators to prepare to comply with the leak repair provisions in this final rule, specifically for owners or operators that may not have been subject to the CAA section 608 requirements during the three-year period described in this section. The Agency disagrees with one commenter’s claim that new facility owners would not be aware of the leak repair provisions under the CAA. Before the rescission of the CAA section 608 requirements in 2020, facility owners using appliances containing ODS substitutes (</w:t>
      </w:r>
      <w:r w:rsidRPr="00283806">
        <w:rPr>
          <w:rFonts w:ascii="Book Antiqua" w:hAnsi="Book Antiqua"/>
          <w:i/>
          <w:w w:val="105"/>
        </w:rPr>
        <w:t xml:space="preserve">e.g., </w:t>
      </w:r>
      <w:r w:rsidRPr="00283806">
        <w:rPr>
          <w:w w:val="105"/>
        </w:rPr>
        <w:t>HFCs) would have been subject to the leak repair requirements under the CAA for three years. The Agency</w:t>
      </w:r>
      <w:r w:rsidRPr="00283806">
        <w:rPr>
          <w:spacing w:val="37"/>
          <w:w w:val="105"/>
        </w:rPr>
        <w:t xml:space="preserve"> </w:t>
      </w:r>
      <w:r w:rsidRPr="00283806">
        <w:rPr>
          <w:w w:val="105"/>
        </w:rPr>
        <w:t>also</w:t>
      </w:r>
      <w:r w:rsidRPr="00283806">
        <w:rPr>
          <w:spacing w:val="37"/>
          <w:w w:val="105"/>
        </w:rPr>
        <w:t xml:space="preserve"> </w:t>
      </w:r>
      <w:r w:rsidRPr="00283806">
        <w:rPr>
          <w:w w:val="105"/>
        </w:rPr>
        <w:t>notes</w:t>
      </w:r>
      <w:r w:rsidRPr="00283806">
        <w:rPr>
          <w:spacing w:val="37"/>
          <w:w w:val="105"/>
        </w:rPr>
        <w:t xml:space="preserve"> </w:t>
      </w:r>
      <w:r w:rsidRPr="00283806">
        <w:rPr>
          <w:w w:val="105"/>
        </w:rPr>
        <w:t>that</w:t>
      </w:r>
      <w:r w:rsidRPr="00283806">
        <w:rPr>
          <w:spacing w:val="37"/>
          <w:w w:val="105"/>
        </w:rPr>
        <w:t xml:space="preserve"> </w:t>
      </w:r>
      <w:r w:rsidRPr="00283806">
        <w:rPr>
          <w:w w:val="105"/>
        </w:rPr>
        <w:t>not</w:t>
      </w:r>
      <w:r w:rsidRPr="00283806">
        <w:rPr>
          <w:spacing w:val="37"/>
          <w:w w:val="105"/>
        </w:rPr>
        <w:t xml:space="preserve"> </w:t>
      </w:r>
      <w:r w:rsidRPr="00283806">
        <w:rPr>
          <w:w w:val="105"/>
        </w:rPr>
        <w:t>all</w:t>
      </w:r>
      <w:r w:rsidRPr="00283806">
        <w:rPr>
          <w:spacing w:val="37"/>
          <w:w w:val="105"/>
        </w:rPr>
        <w:t xml:space="preserve"> </w:t>
      </w:r>
      <w:r w:rsidRPr="00283806">
        <w:rPr>
          <w:w w:val="105"/>
        </w:rPr>
        <w:t>portions of the 2016 CAA Section 608 Rule were rescinded in the 2020 rule. For example, owners and operators utilizing ODS substitutes, including HFCs, are subject</w:t>
      </w:r>
      <w:r w:rsidRPr="00283806">
        <w:rPr>
          <w:spacing w:val="40"/>
          <w:w w:val="105"/>
        </w:rPr>
        <w:t xml:space="preserve"> </w:t>
      </w:r>
      <w:r w:rsidRPr="00283806">
        <w:rPr>
          <w:w w:val="105"/>
        </w:rPr>
        <w:t>to the venting prohibition (40 CFR 82.154). Thus, owners or operators now subject to the leak repair provisions in this rule should be well acquainted with similar</w:t>
      </w:r>
      <w:r w:rsidRPr="00283806">
        <w:rPr>
          <w:spacing w:val="40"/>
          <w:w w:val="105"/>
        </w:rPr>
        <w:t xml:space="preserve"> </w:t>
      </w:r>
      <w:r w:rsidRPr="00283806">
        <w:rPr>
          <w:w w:val="105"/>
        </w:rPr>
        <w:t>requirements</w:t>
      </w:r>
      <w:r w:rsidRPr="00283806">
        <w:rPr>
          <w:spacing w:val="40"/>
          <w:w w:val="105"/>
        </w:rPr>
        <w:t xml:space="preserve"> </w:t>
      </w:r>
      <w:r w:rsidRPr="00283806">
        <w:rPr>
          <w:w w:val="105"/>
        </w:rPr>
        <w:t>under</w:t>
      </w:r>
      <w:r w:rsidRPr="00283806">
        <w:rPr>
          <w:spacing w:val="40"/>
          <w:w w:val="105"/>
        </w:rPr>
        <w:t xml:space="preserve"> </w:t>
      </w:r>
      <w:r w:rsidRPr="00283806">
        <w:rPr>
          <w:w w:val="105"/>
        </w:rPr>
        <w:t>CAA</w:t>
      </w:r>
      <w:r w:rsidRPr="00283806">
        <w:rPr>
          <w:spacing w:val="40"/>
          <w:w w:val="105"/>
        </w:rPr>
        <w:t xml:space="preserve"> </w:t>
      </w:r>
      <w:r w:rsidRPr="00283806">
        <w:rPr>
          <w:w w:val="105"/>
        </w:rPr>
        <w:t>part 82,</w:t>
      </w:r>
      <w:r w:rsidRPr="00283806">
        <w:rPr>
          <w:spacing w:val="38"/>
          <w:w w:val="105"/>
        </w:rPr>
        <w:t xml:space="preserve"> </w:t>
      </w:r>
      <w:r w:rsidRPr="00283806">
        <w:rPr>
          <w:w w:val="105"/>
        </w:rPr>
        <w:t>subpart</w:t>
      </w:r>
      <w:r w:rsidRPr="00283806">
        <w:rPr>
          <w:spacing w:val="38"/>
          <w:w w:val="105"/>
        </w:rPr>
        <w:t xml:space="preserve"> </w:t>
      </w:r>
      <w:r w:rsidRPr="00283806">
        <w:rPr>
          <w:w w:val="105"/>
        </w:rPr>
        <w:t>F</w:t>
      </w:r>
      <w:r w:rsidRPr="00283806">
        <w:rPr>
          <w:spacing w:val="38"/>
          <w:w w:val="105"/>
        </w:rPr>
        <w:t xml:space="preserve"> </w:t>
      </w:r>
      <w:r w:rsidRPr="00283806">
        <w:rPr>
          <w:w w:val="105"/>
        </w:rPr>
        <w:t>or</w:t>
      </w:r>
      <w:r w:rsidRPr="00283806">
        <w:rPr>
          <w:spacing w:val="38"/>
          <w:w w:val="105"/>
        </w:rPr>
        <w:t xml:space="preserve"> </w:t>
      </w:r>
      <w:r w:rsidRPr="00283806">
        <w:rPr>
          <w:w w:val="105"/>
        </w:rPr>
        <w:t>at</w:t>
      </w:r>
      <w:r w:rsidRPr="00283806">
        <w:rPr>
          <w:spacing w:val="38"/>
          <w:w w:val="105"/>
        </w:rPr>
        <w:t xml:space="preserve"> </w:t>
      </w:r>
      <w:r w:rsidRPr="00283806">
        <w:rPr>
          <w:w w:val="105"/>
        </w:rPr>
        <w:t>a</w:t>
      </w:r>
      <w:r w:rsidRPr="00283806">
        <w:rPr>
          <w:spacing w:val="38"/>
          <w:w w:val="105"/>
        </w:rPr>
        <w:t xml:space="preserve"> </w:t>
      </w:r>
      <w:r w:rsidRPr="00283806">
        <w:rPr>
          <w:w w:val="105"/>
        </w:rPr>
        <w:t>minimum, generally aware of the leak repair requirements under CAA part 82,</w:t>
      </w:r>
      <w:r w:rsidRPr="00283806">
        <w:rPr>
          <w:spacing w:val="40"/>
          <w:w w:val="105"/>
        </w:rPr>
        <w:t xml:space="preserve"> </w:t>
      </w:r>
      <w:r w:rsidRPr="00283806">
        <w:rPr>
          <w:w w:val="105"/>
        </w:rPr>
        <w:t>subpart F. While EPA generally</w:t>
      </w:r>
      <w:r w:rsidRPr="00283806">
        <w:rPr>
          <w:spacing w:val="80"/>
          <w:w w:val="150"/>
        </w:rPr>
        <w:t xml:space="preserve"> </w:t>
      </w:r>
      <w:r w:rsidRPr="00283806">
        <w:rPr>
          <w:w w:val="105"/>
        </w:rPr>
        <w:t>disagrees that newer facility owners are not aware of previous requirements for HFCs or requirements for ODS, to the extent this is true, the Agency provided notice in the proposal with regards to</w:t>
      </w:r>
      <w:r w:rsidRPr="00283806">
        <w:rPr>
          <w:spacing w:val="80"/>
          <w:w w:val="105"/>
        </w:rPr>
        <w:t xml:space="preserve"> </w:t>
      </w:r>
      <w:r w:rsidRPr="00283806">
        <w:rPr>
          <w:w w:val="105"/>
        </w:rPr>
        <w:t>the potential to finalize leak repair</w:t>
      </w:r>
    </w:p>
    <w:p w14:paraId="44BE6643"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7" w:space="40"/>
            <w:col w:w="3501" w:space="39"/>
            <w:col w:w="3623"/>
          </w:cols>
        </w:sectPr>
      </w:pPr>
    </w:p>
    <w:p w14:paraId="5765FEFE" w14:textId="77777777" w:rsidR="00D67C1E" w:rsidRPr="00283806" w:rsidRDefault="001265CA">
      <w:pPr>
        <w:pStyle w:val="BodyText"/>
        <w:spacing w:before="134" w:line="228" w:lineRule="auto"/>
        <w:ind w:right="48"/>
      </w:pPr>
      <w:r w:rsidRPr="00283806">
        <w:rPr>
          <w:w w:val="105"/>
        </w:rPr>
        <w:lastRenderedPageBreak/>
        <w:t>requirements for refrigerant-containing appliances containing HFCs and HFC substitutes with a GWP above 53 and is finalizing a later compliance date allowing more time for owners and operators to familiarize themselves with the requirements.</w:t>
      </w:r>
    </w:p>
    <w:p w14:paraId="7EF42A44" w14:textId="77777777" w:rsidR="00D67C1E" w:rsidRPr="00283806" w:rsidRDefault="001265CA">
      <w:pPr>
        <w:pStyle w:val="BodyText"/>
        <w:spacing w:before="37" w:line="228" w:lineRule="auto"/>
        <w:ind w:firstLine="180"/>
      </w:pPr>
      <w:r w:rsidRPr="00283806">
        <w:rPr>
          <w:w w:val="105"/>
        </w:rPr>
        <w:t>The Agency disagrees that compliance dates beyond January 1, 2026 (</w:t>
      </w:r>
      <w:r w:rsidRPr="00283806">
        <w:rPr>
          <w:rFonts w:ascii="Book Antiqua"/>
          <w:i/>
          <w:w w:val="105"/>
        </w:rPr>
        <w:t xml:space="preserve">e.g., </w:t>
      </w:r>
      <w:r w:rsidRPr="00283806">
        <w:rPr>
          <w:w w:val="105"/>
        </w:rPr>
        <w:t xml:space="preserve">18 months, two years, three years), are needed </w:t>
      </w:r>
      <w:proofErr w:type="gramStart"/>
      <w:r w:rsidRPr="00283806">
        <w:rPr>
          <w:w w:val="105"/>
        </w:rPr>
        <w:t>in order for</w:t>
      </w:r>
      <w:proofErr w:type="gramEnd"/>
      <w:r w:rsidRPr="00283806">
        <w:rPr>
          <w:w w:val="105"/>
        </w:rPr>
        <w:t xml:space="preserve"> owners or operators to</w:t>
      </w:r>
      <w:r w:rsidRPr="00283806">
        <w:rPr>
          <w:spacing w:val="40"/>
          <w:w w:val="105"/>
        </w:rPr>
        <w:t xml:space="preserve"> </w:t>
      </w:r>
      <w:r w:rsidRPr="00283806">
        <w:rPr>
          <w:w w:val="105"/>
        </w:rPr>
        <w:t>comply</w:t>
      </w:r>
      <w:r w:rsidRPr="00283806">
        <w:rPr>
          <w:spacing w:val="40"/>
          <w:w w:val="105"/>
        </w:rPr>
        <w:t xml:space="preserve"> </w:t>
      </w:r>
      <w:r w:rsidRPr="00283806">
        <w:rPr>
          <w:w w:val="105"/>
        </w:rPr>
        <w:t>with</w:t>
      </w:r>
      <w:r w:rsidRPr="00283806">
        <w:rPr>
          <w:spacing w:val="40"/>
          <w:w w:val="105"/>
        </w:rPr>
        <w:t xml:space="preserve"> </w:t>
      </w:r>
      <w:r w:rsidRPr="00283806">
        <w:rPr>
          <w:w w:val="105"/>
        </w:rPr>
        <w:t>the</w:t>
      </w:r>
      <w:r w:rsidRPr="00283806">
        <w:rPr>
          <w:spacing w:val="40"/>
          <w:w w:val="105"/>
        </w:rPr>
        <w:t xml:space="preserve"> </w:t>
      </w:r>
      <w:r w:rsidRPr="00283806">
        <w:rPr>
          <w:w w:val="105"/>
        </w:rPr>
        <w:t>leak</w:t>
      </w:r>
      <w:r w:rsidRPr="00283806">
        <w:rPr>
          <w:spacing w:val="40"/>
          <w:w w:val="105"/>
        </w:rPr>
        <w:t xml:space="preserve"> </w:t>
      </w:r>
      <w:r w:rsidRPr="00283806">
        <w:rPr>
          <w:w w:val="105"/>
        </w:rPr>
        <w:t>repair provision.</w:t>
      </w:r>
      <w:r w:rsidRPr="00283806">
        <w:rPr>
          <w:spacing w:val="40"/>
          <w:w w:val="105"/>
        </w:rPr>
        <w:t xml:space="preserve"> </w:t>
      </w:r>
      <w:r w:rsidRPr="00283806">
        <w:rPr>
          <w:w w:val="105"/>
        </w:rPr>
        <w:t>EPA</w:t>
      </w:r>
      <w:r w:rsidRPr="00283806">
        <w:rPr>
          <w:spacing w:val="40"/>
          <w:w w:val="105"/>
        </w:rPr>
        <w:t xml:space="preserve"> </w:t>
      </w:r>
      <w:r w:rsidRPr="00283806">
        <w:rPr>
          <w:w w:val="105"/>
        </w:rPr>
        <w:t>determined</w:t>
      </w:r>
      <w:r w:rsidRPr="00283806">
        <w:rPr>
          <w:spacing w:val="40"/>
          <w:w w:val="105"/>
        </w:rPr>
        <w:t xml:space="preserve"> </w:t>
      </w:r>
      <w:r w:rsidRPr="00283806">
        <w:rPr>
          <w:w w:val="105"/>
        </w:rPr>
        <w:t>that</w:t>
      </w:r>
      <w:r w:rsidRPr="00283806">
        <w:rPr>
          <w:spacing w:val="40"/>
          <w:w w:val="105"/>
        </w:rPr>
        <w:t xml:space="preserve"> </w:t>
      </w:r>
      <w:r w:rsidRPr="00283806">
        <w:rPr>
          <w:w w:val="105"/>
        </w:rPr>
        <w:t>one year should be sufficient to prepare for the leak repair provision. As discussed previously, the leak repair requirements, aside from the charge size threshold and the limited ALD installation and use requirements, are mostly aligned with</w:t>
      </w:r>
      <w:r w:rsidRPr="00283806">
        <w:rPr>
          <w:spacing w:val="40"/>
          <w:w w:val="105"/>
        </w:rPr>
        <w:t xml:space="preserve"> </w:t>
      </w:r>
      <w:r w:rsidRPr="00283806">
        <w:rPr>
          <w:w w:val="105"/>
        </w:rPr>
        <w:t>the leak repair requirements for ODS under</w:t>
      </w:r>
      <w:r w:rsidRPr="00283806">
        <w:rPr>
          <w:spacing w:val="40"/>
          <w:w w:val="105"/>
        </w:rPr>
        <w:t xml:space="preserve"> </w:t>
      </w:r>
      <w:r w:rsidRPr="00283806">
        <w:rPr>
          <w:w w:val="105"/>
        </w:rPr>
        <w:t>the</w:t>
      </w:r>
      <w:r w:rsidRPr="00283806">
        <w:rPr>
          <w:spacing w:val="40"/>
          <w:w w:val="105"/>
        </w:rPr>
        <w:t xml:space="preserve"> </w:t>
      </w:r>
      <w:r w:rsidRPr="00283806">
        <w:rPr>
          <w:w w:val="105"/>
        </w:rPr>
        <w:t>CAA.</w:t>
      </w:r>
      <w:r w:rsidRPr="00283806">
        <w:rPr>
          <w:spacing w:val="40"/>
          <w:w w:val="105"/>
        </w:rPr>
        <w:t xml:space="preserve"> </w:t>
      </w:r>
      <w:r w:rsidRPr="00283806">
        <w:rPr>
          <w:w w:val="105"/>
        </w:rPr>
        <w:t>Further,</w:t>
      </w:r>
      <w:r w:rsidRPr="00283806">
        <w:rPr>
          <w:spacing w:val="40"/>
          <w:w w:val="105"/>
        </w:rPr>
        <w:t xml:space="preserve"> </w:t>
      </w:r>
      <w:r w:rsidRPr="00283806">
        <w:rPr>
          <w:w w:val="105"/>
        </w:rPr>
        <w:t>the</w:t>
      </w:r>
      <w:r w:rsidRPr="00283806">
        <w:rPr>
          <w:spacing w:val="40"/>
          <w:w w:val="105"/>
        </w:rPr>
        <w:t xml:space="preserve"> </w:t>
      </w:r>
      <w:r w:rsidRPr="00283806">
        <w:rPr>
          <w:w w:val="105"/>
        </w:rPr>
        <w:t>Agency finds the timing of the compliance date</w:t>
      </w:r>
      <w:r w:rsidRPr="00283806">
        <w:rPr>
          <w:spacing w:val="80"/>
          <w:w w:val="105"/>
        </w:rPr>
        <w:t xml:space="preserve"> </w:t>
      </w:r>
      <w:r w:rsidRPr="00283806">
        <w:rPr>
          <w:w w:val="105"/>
        </w:rPr>
        <w:t>to be appropriate, considering the phasedown</w:t>
      </w:r>
      <w:r w:rsidRPr="00283806">
        <w:rPr>
          <w:spacing w:val="40"/>
          <w:w w:val="105"/>
        </w:rPr>
        <w:t xml:space="preserve"> </w:t>
      </w:r>
      <w:r w:rsidRPr="00283806">
        <w:rPr>
          <w:w w:val="105"/>
        </w:rPr>
        <w:t>of</w:t>
      </w:r>
      <w:r w:rsidRPr="00283806">
        <w:rPr>
          <w:spacing w:val="40"/>
          <w:w w:val="105"/>
        </w:rPr>
        <w:t xml:space="preserve"> </w:t>
      </w:r>
      <w:r w:rsidRPr="00283806">
        <w:rPr>
          <w:w w:val="105"/>
        </w:rPr>
        <w:t>HFCs,</w:t>
      </w:r>
      <w:r w:rsidRPr="00283806">
        <w:rPr>
          <w:spacing w:val="40"/>
          <w:w w:val="105"/>
        </w:rPr>
        <w:t xml:space="preserve"> </w:t>
      </w:r>
      <w:r w:rsidRPr="00283806">
        <w:rPr>
          <w:w w:val="105"/>
        </w:rPr>
        <w:t>and</w:t>
      </w:r>
      <w:r w:rsidRPr="00283806">
        <w:rPr>
          <w:spacing w:val="40"/>
          <w:w w:val="105"/>
        </w:rPr>
        <w:t xml:space="preserve"> </w:t>
      </w:r>
      <w:r w:rsidRPr="00283806">
        <w:rPr>
          <w:w w:val="105"/>
        </w:rPr>
        <w:t>does</w:t>
      </w:r>
      <w:r w:rsidRPr="00283806">
        <w:rPr>
          <w:spacing w:val="40"/>
          <w:w w:val="105"/>
        </w:rPr>
        <w:t xml:space="preserve"> </w:t>
      </w:r>
      <w:r w:rsidRPr="00283806">
        <w:rPr>
          <w:w w:val="105"/>
        </w:rPr>
        <w:t>not</w:t>
      </w:r>
      <w:r w:rsidRPr="00283806">
        <w:rPr>
          <w:spacing w:val="40"/>
          <w:w w:val="105"/>
        </w:rPr>
        <w:t xml:space="preserve"> </w:t>
      </w:r>
      <w:r w:rsidRPr="00283806">
        <w:rPr>
          <w:w w:val="105"/>
        </w:rPr>
        <w:t>find it appropriate to delay leak repair of refrigerant-containing appliances that serve the purposes described in subsection (h)(1). Commenters stated that owners and operators need time to plan, procure, and implement the leak repair and detection requirements; however, the commenters did not</w:t>
      </w:r>
      <w:r w:rsidRPr="00283806">
        <w:rPr>
          <w:spacing w:val="40"/>
          <w:w w:val="105"/>
        </w:rPr>
        <w:t xml:space="preserve"> </w:t>
      </w:r>
      <w:r w:rsidRPr="00283806">
        <w:rPr>
          <w:w w:val="105"/>
        </w:rPr>
        <w:t>provide analysis to show that owners</w:t>
      </w:r>
      <w:r w:rsidRPr="00283806">
        <w:rPr>
          <w:spacing w:val="80"/>
          <w:w w:val="105"/>
        </w:rPr>
        <w:t xml:space="preserve"> </w:t>
      </w:r>
      <w:r w:rsidRPr="00283806">
        <w:rPr>
          <w:w w:val="105"/>
        </w:rPr>
        <w:t>and operators would not be able to comply with the leak repair provisions</w:t>
      </w:r>
      <w:r w:rsidRPr="00283806">
        <w:rPr>
          <w:spacing w:val="80"/>
          <w:w w:val="105"/>
        </w:rPr>
        <w:t xml:space="preserve"> </w:t>
      </w:r>
      <w:r w:rsidRPr="00283806">
        <w:rPr>
          <w:w w:val="105"/>
        </w:rPr>
        <w:t>by January 1, 2026, or why any of the longer time frames suggested by commenters would be necessary for compliance. For similar reasons, EPA disagrees with commenters requesting additional time and staggered</w:t>
      </w:r>
      <w:r w:rsidRPr="00283806">
        <w:rPr>
          <w:spacing w:val="40"/>
          <w:w w:val="105"/>
        </w:rPr>
        <w:t xml:space="preserve"> </w:t>
      </w:r>
      <w:r w:rsidRPr="00283806">
        <w:rPr>
          <w:w w:val="105"/>
        </w:rPr>
        <w:t>compliance dates based on charge size. The Agency understands that to some extent, owners and operators may need to conduct inventories of refrigerant- containing appliances under their ownership and determine which appliances are subject to the leak repair provision (i</w:t>
      </w:r>
      <w:r w:rsidRPr="00283806">
        <w:rPr>
          <w:rFonts w:ascii="Book Antiqua"/>
          <w:i/>
          <w:w w:val="105"/>
        </w:rPr>
        <w:t xml:space="preserve">.e., </w:t>
      </w:r>
      <w:r w:rsidRPr="00283806">
        <w:rPr>
          <w:w w:val="105"/>
        </w:rPr>
        <w:t>applicability of</w:t>
      </w:r>
      <w:r w:rsidRPr="00283806">
        <w:rPr>
          <w:spacing w:val="40"/>
          <w:w w:val="105"/>
        </w:rPr>
        <w:t xml:space="preserve"> </w:t>
      </w:r>
      <w:r w:rsidRPr="00283806">
        <w:rPr>
          <w:w w:val="105"/>
        </w:rPr>
        <w:t xml:space="preserve">refrigerant-containing appliances </w:t>
      </w:r>
      <w:proofErr w:type="gramStart"/>
      <w:r w:rsidRPr="00283806">
        <w:rPr>
          <w:w w:val="105"/>
        </w:rPr>
        <w:t>in regard to</w:t>
      </w:r>
      <w:proofErr w:type="gramEnd"/>
      <w:r w:rsidRPr="00283806">
        <w:rPr>
          <w:w w:val="105"/>
        </w:rPr>
        <w:t xml:space="preserve"> charge size and refrigerant being used). The Agency does not view this process to take an exceptional amount of time, as owners or operators should be aware of the full charge and type of refrigerant contained in an appliance from previous service records or manufacturer specifications for the refrigerant-containing appliance. The Agency refers owners or operators to section IV.A.1 of this preamble, if they require guidance, for determining the</w:t>
      </w:r>
      <w:r w:rsidRPr="00283806">
        <w:rPr>
          <w:spacing w:val="80"/>
          <w:w w:val="105"/>
        </w:rPr>
        <w:t xml:space="preserve"> </w:t>
      </w:r>
      <w:r w:rsidRPr="00283806">
        <w:rPr>
          <w:w w:val="105"/>
        </w:rPr>
        <w:t xml:space="preserve">full charge of refrigerant-containing appliances. The Agency also refers owners or operators to section IV.C.1 of this preamble, for further </w:t>
      </w:r>
      <w:proofErr w:type="gramStart"/>
      <w:r w:rsidRPr="00283806">
        <w:rPr>
          <w:w w:val="105"/>
        </w:rPr>
        <w:t>information,</w:t>
      </w:r>
      <w:proofErr w:type="gramEnd"/>
      <w:r w:rsidRPr="00283806">
        <w:rPr>
          <w:w w:val="105"/>
        </w:rPr>
        <w:t xml:space="preserve"> regarding the applicability of HFC substitutes </w:t>
      </w:r>
      <w:proofErr w:type="gramStart"/>
      <w:r w:rsidRPr="00283806">
        <w:rPr>
          <w:w w:val="105"/>
        </w:rPr>
        <w:t>to</w:t>
      </w:r>
      <w:proofErr w:type="gramEnd"/>
      <w:r w:rsidRPr="00283806">
        <w:rPr>
          <w:w w:val="105"/>
        </w:rPr>
        <w:t xml:space="preserve"> the leak repair</w:t>
      </w:r>
    </w:p>
    <w:p w14:paraId="7806644B" w14:textId="77777777" w:rsidR="00D67C1E" w:rsidRPr="00283806" w:rsidRDefault="001265CA">
      <w:pPr>
        <w:pStyle w:val="BodyText"/>
        <w:spacing w:before="134" w:line="225" w:lineRule="auto"/>
        <w:ind w:left="143" w:right="71"/>
      </w:pPr>
      <w:r w:rsidRPr="00283806">
        <w:br w:type="column"/>
      </w:r>
      <w:r w:rsidRPr="00283806">
        <w:rPr>
          <w:w w:val="105"/>
        </w:rPr>
        <w:t>requirements in this final rule. Owners</w:t>
      </w:r>
      <w:r w:rsidRPr="00283806">
        <w:rPr>
          <w:spacing w:val="40"/>
          <w:w w:val="105"/>
        </w:rPr>
        <w:t xml:space="preserve"> </w:t>
      </w:r>
      <w:r w:rsidRPr="00283806">
        <w:rPr>
          <w:w w:val="105"/>
        </w:rPr>
        <w:t>or operators have over a year to determine which refrigerant-containing appliances are subject to the leak repair requirements and resolve any uncertainty concerning the applicability of the refrigerant-containing appliances in their ownership.</w:t>
      </w:r>
    </w:p>
    <w:p w14:paraId="2842792C" w14:textId="77777777" w:rsidR="00D67C1E" w:rsidRPr="00283806" w:rsidRDefault="001265CA">
      <w:pPr>
        <w:pStyle w:val="ListParagraph"/>
        <w:numPr>
          <w:ilvl w:val="0"/>
          <w:numId w:val="59"/>
        </w:numPr>
        <w:tabs>
          <w:tab w:val="left" w:pos="341"/>
        </w:tabs>
        <w:spacing w:before="95" w:line="225" w:lineRule="auto"/>
        <w:ind w:right="270" w:firstLine="0"/>
        <w:rPr>
          <w:sz w:val="18"/>
        </w:rPr>
      </w:pPr>
      <w:r w:rsidRPr="00283806">
        <w:rPr>
          <w:w w:val="105"/>
          <w:sz w:val="18"/>
        </w:rPr>
        <w:t xml:space="preserve">What leak repair provisions </w:t>
      </w:r>
      <w:proofErr w:type="gramStart"/>
      <w:r w:rsidRPr="00283806">
        <w:rPr>
          <w:w w:val="105"/>
          <w:sz w:val="18"/>
        </w:rPr>
        <w:t>is</w:t>
      </w:r>
      <w:proofErr w:type="gramEnd"/>
      <w:r w:rsidRPr="00283806">
        <w:rPr>
          <w:w w:val="105"/>
          <w:sz w:val="18"/>
        </w:rPr>
        <w:t xml:space="preserve"> EPA </w:t>
      </w:r>
      <w:r w:rsidRPr="00283806">
        <w:rPr>
          <w:spacing w:val="-2"/>
          <w:w w:val="105"/>
          <w:sz w:val="18"/>
        </w:rPr>
        <w:t>establishing?</w:t>
      </w:r>
    </w:p>
    <w:p w14:paraId="192F646E" w14:textId="77777777" w:rsidR="00D67C1E" w:rsidRPr="00283806" w:rsidRDefault="001265CA">
      <w:pPr>
        <w:pStyle w:val="BodyText"/>
        <w:spacing w:before="66" w:line="225" w:lineRule="auto"/>
        <w:ind w:left="143" w:firstLine="180"/>
      </w:pPr>
      <w:r w:rsidRPr="00283806">
        <w:rPr>
          <w:w w:val="105"/>
        </w:rPr>
        <w:t>EPA is finalizing the leak repair requirements under subsection (h) largely as proposed. The EPA has made some modifications to the proposed requirements to provide greater clarity</w:t>
      </w:r>
      <w:r w:rsidRPr="00283806">
        <w:rPr>
          <w:spacing w:val="40"/>
          <w:w w:val="105"/>
        </w:rPr>
        <w:t xml:space="preserve"> </w:t>
      </w:r>
      <w:r w:rsidRPr="00283806">
        <w:rPr>
          <w:w w:val="105"/>
        </w:rPr>
        <w:t>or consistency among the provisions. These requirements are part of implementing subsection (h)(1) of the AIM Act, as these provisions control practices, processes, or activities regarding servicing or repair of refrigerant-containing appliances, which are a type of equipment, and involve a regulated substance or a substitute for a regulated substance with a GWP greater than</w:t>
      </w:r>
      <w:r w:rsidRPr="00283806">
        <w:rPr>
          <w:spacing w:val="40"/>
          <w:w w:val="105"/>
        </w:rPr>
        <w:t xml:space="preserve"> </w:t>
      </w:r>
      <w:r w:rsidRPr="00283806">
        <w:rPr>
          <w:w w:val="105"/>
        </w:rPr>
        <w:t>53.</w:t>
      </w:r>
      <w:r w:rsidRPr="00283806">
        <w:rPr>
          <w:spacing w:val="40"/>
          <w:w w:val="105"/>
        </w:rPr>
        <w:t xml:space="preserve"> </w:t>
      </w:r>
      <w:r w:rsidRPr="00283806">
        <w:rPr>
          <w:w w:val="105"/>
        </w:rPr>
        <w:t>As</w:t>
      </w:r>
      <w:r w:rsidRPr="00283806">
        <w:rPr>
          <w:spacing w:val="40"/>
          <w:w w:val="105"/>
        </w:rPr>
        <w:t xml:space="preserve"> </w:t>
      </w:r>
      <w:r w:rsidRPr="00283806">
        <w:rPr>
          <w:w w:val="105"/>
        </w:rPr>
        <w:t>described</w:t>
      </w:r>
      <w:r w:rsidRPr="00283806">
        <w:rPr>
          <w:spacing w:val="40"/>
          <w:w w:val="105"/>
        </w:rPr>
        <w:t xml:space="preserve"> </w:t>
      </w:r>
      <w:r w:rsidRPr="00283806">
        <w:rPr>
          <w:w w:val="105"/>
        </w:rPr>
        <w:t>in</w:t>
      </w:r>
      <w:r w:rsidRPr="00283806">
        <w:rPr>
          <w:spacing w:val="40"/>
          <w:w w:val="105"/>
        </w:rPr>
        <w:t xml:space="preserve"> </w:t>
      </w:r>
      <w:r w:rsidRPr="00283806">
        <w:rPr>
          <w:w w:val="105"/>
        </w:rPr>
        <w:t>section</w:t>
      </w:r>
      <w:r w:rsidRPr="00283806">
        <w:rPr>
          <w:spacing w:val="40"/>
          <w:w w:val="105"/>
        </w:rPr>
        <w:t xml:space="preserve"> </w:t>
      </w:r>
      <w:r w:rsidRPr="00283806">
        <w:rPr>
          <w:w w:val="105"/>
        </w:rPr>
        <w:t>IV.C.2 of this preamble, these leak repair requirements apply to refrigerant- containing appliances with a charge size of 15 pounds or more where the refrigerant contains an HFC or a substitute for an HFC with a GWP</w:t>
      </w:r>
      <w:r w:rsidRPr="00283806">
        <w:rPr>
          <w:spacing w:val="80"/>
          <w:w w:val="105"/>
        </w:rPr>
        <w:t xml:space="preserve"> </w:t>
      </w:r>
      <w:r w:rsidRPr="00283806">
        <w:rPr>
          <w:w w:val="105"/>
        </w:rPr>
        <w:t xml:space="preserve">greater than 53. The leak repair provisions finalized in this rule will require action if such a refrigerant- containing appliance has been determined to </w:t>
      </w:r>
      <w:proofErr w:type="gramStart"/>
      <w:r w:rsidRPr="00283806">
        <w:rPr>
          <w:w w:val="105"/>
        </w:rPr>
        <w:t>be leaking</w:t>
      </w:r>
      <w:proofErr w:type="gramEnd"/>
      <w:r w:rsidRPr="00283806">
        <w:rPr>
          <w:w w:val="105"/>
        </w:rPr>
        <w:t xml:space="preserve"> above the applicable leak rate threshold, pursuant to the regulations. While most of the actions required under the leak repair provisions are triggered by the determination that the refrigerant- containing appliance has leaked above</w:t>
      </w:r>
      <w:r w:rsidRPr="00283806">
        <w:rPr>
          <w:spacing w:val="40"/>
          <w:w w:val="105"/>
        </w:rPr>
        <w:t xml:space="preserve"> </w:t>
      </w:r>
      <w:r w:rsidRPr="00283806">
        <w:rPr>
          <w:w w:val="105"/>
        </w:rPr>
        <w:t>the applicable leak rate threshold, the leak rate calculations and certain recordkeeping requirements apply to refrigerant-containing appliances that</w:t>
      </w:r>
      <w:r w:rsidRPr="00283806">
        <w:rPr>
          <w:spacing w:val="40"/>
          <w:w w:val="105"/>
        </w:rPr>
        <w:t xml:space="preserve"> </w:t>
      </w:r>
      <w:r w:rsidRPr="00283806">
        <w:rPr>
          <w:w w:val="105"/>
        </w:rPr>
        <w:t>are not leaking above the threshold.</w:t>
      </w:r>
    </w:p>
    <w:p w14:paraId="4A2C8276" w14:textId="77777777" w:rsidR="00D67C1E" w:rsidRPr="00283806" w:rsidRDefault="001265CA">
      <w:pPr>
        <w:pStyle w:val="BodyText"/>
        <w:spacing w:line="180" w:lineRule="exact"/>
        <w:ind w:left="143"/>
      </w:pPr>
      <w:r w:rsidRPr="00283806">
        <w:rPr>
          <w:w w:val="105"/>
        </w:rPr>
        <w:t>While</w:t>
      </w:r>
      <w:r w:rsidRPr="00283806">
        <w:rPr>
          <w:spacing w:val="18"/>
          <w:w w:val="105"/>
        </w:rPr>
        <w:t xml:space="preserve"> </w:t>
      </w:r>
      <w:r w:rsidRPr="00283806">
        <w:rPr>
          <w:w w:val="105"/>
        </w:rPr>
        <w:t>EPA</w:t>
      </w:r>
      <w:r w:rsidRPr="00283806">
        <w:rPr>
          <w:spacing w:val="19"/>
          <w:w w:val="105"/>
        </w:rPr>
        <w:t xml:space="preserve"> </w:t>
      </w:r>
      <w:r w:rsidRPr="00283806">
        <w:rPr>
          <w:w w:val="105"/>
        </w:rPr>
        <w:t>is</w:t>
      </w:r>
      <w:r w:rsidRPr="00283806">
        <w:rPr>
          <w:spacing w:val="18"/>
          <w:w w:val="105"/>
        </w:rPr>
        <w:t xml:space="preserve"> </w:t>
      </w:r>
      <w:r w:rsidRPr="00283806">
        <w:rPr>
          <w:w w:val="105"/>
        </w:rPr>
        <w:t>adopting</w:t>
      </w:r>
      <w:r w:rsidRPr="00283806">
        <w:rPr>
          <w:spacing w:val="19"/>
          <w:w w:val="105"/>
        </w:rPr>
        <w:t xml:space="preserve"> </w:t>
      </w:r>
      <w:r w:rsidRPr="00283806">
        <w:rPr>
          <w:w w:val="105"/>
        </w:rPr>
        <w:t>the</w:t>
      </w:r>
      <w:r w:rsidRPr="00283806">
        <w:rPr>
          <w:spacing w:val="18"/>
          <w:w w:val="105"/>
        </w:rPr>
        <w:t xml:space="preserve"> </w:t>
      </w:r>
      <w:r w:rsidRPr="00283806">
        <w:rPr>
          <w:spacing w:val="-4"/>
          <w:w w:val="105"/>
        </w:rPr>
        <w:t>same</w:t>
      </w:r>
    </w:p>
    <w:p w14:paraId="2895D30B" w14:textId="77777777" w:rsidR="00D67C1E" w:rsidRPr="00283806" w:rsidRDefault="001265CA">
      <w:pPr>
        <w:pStyle w:val="BodyText"/>
        <w:spacing w:before="4" w:line="225" w:lineRule="auto"/>
        <w:ind w:left="143"/>
      </w:pPr>
      <w:r w:rsidRPr="00283806">
        <w:rPr>
          <w:w w:val="105"/>
        </w:rPr>
        <w:t>applicable leak rates for the leak repair requirements under subsection (h) as applies under 40 CFR 82.157, as described in section IV.C.3.b of this preamble, EPA is also establishing</w:t>
      </w:r>
      <w:r w:rsidRPr="00283806">
        <w:rPr>
          <w:spacing w:val="80"/>
          <w:w w:val="105"/>
        </w:rPr>
        <w:t xml:space="preserve"> </w:t>
      </w:r>
      <w:r w:rsidRPr="00283806">
        <w:rPr>
          <w:w w:val="105"/>
        </w:rPr>
        <w:t>certain provisions that are different from those included in 40 CFR 82.157, that support identifying and potentially repairing leaks sooner (see section</w:t>
      </w:r>
    </w:p>
    <w:p w14:paraId="16CE0F3C" w14:textId="77777777" w:rsidR="00D67C1E" w:rsidRPr="00283806" w:rsidRDefault="001265CA">
      <w:pPr>
        <w:pStyle w:val="BodyText"/>
        <w:spacing w:before="3" w:line="228" w:lineRule="auto"/>
        <w:ind w:left="143" w:right="1"/>
      </w:pPr>
      <w:r w:rsidRPr="00283806">
        <w:rPr>
          <w:w w:val="105"/>
        </w:rPr>
        <w:t>IV.D.1 of this preamble for requirements for ALD systems).</w:t>
      </w:r>
    </w:p>
    <w:p w14:paraId="7A2B3A26" w14:textId="77777777" w:rsidR="00D67C1E" w:rsidRPr="00283806" w:rsidRDefault="001265CA">
      <w:pPr>
        <w:pStyle w:val="BodyText"/>
        <w:spacing w:line="180" w:lineRule="exact"/>
        <w:ind w:left="323"/>
      </w:pPr>
      <w:r w:rsidRPr="00283806">
        <w:rPr>
          <w:w w:val="105"/>
        </w:rPr>
        <w:t>In</w:t>
      </w:r>
      <w:r w:rsidRPr="00283806">
        <w:rPr>
          <w:spacing w:val="14"/>
          <w:w w:val="105"/>
        </w:rPr>
        <w:t xml:space="preserve"> </w:t>
      </w:r>
      <w:r w:rsidRPr="00283806">
        <w:rPr>
          <w:w w:val="105"/>
        </w:rPr>
        <w:t>the</w:t>
      </w:r>
      <w:r w:rsidRPr="00283806">
        <w:rPr>
          <w:spacing w:val="15"/>
          <w:w w:val="105"/>
        </w:rPr>
        <w:t xml:space="preserve"> </w:t>
      </w:r>
      <w:r w:rsidRPr="00283806">
        <w:rPr>
          <w:w w:val="105"/>
        </w:rPr>
        <w:t>proposal,</w:t>
      </w:r>
      <w:r w:rsidRPr="00283806">
        <w:rPr>
          <w:spacing w:val="15"/>
          <w:w w:val="105"/>
        </w:rPr>
        <w:t xml:space="preserve"> </w:t>
      </w:r>
      <w:r w:rsidRPr="00283806">
        <w:rPr>
          <w:w w:val="105"/>
        </w:rPr>
        <w:t>EPA</w:t>
      </w:r>
      <w:r w:rsidRPr="00283806">
        <w:rPr>
          <w:spacing w:val="15"/>
          <w:w w:val="105"/>
        </w:rPr>
        <w:t xml:space="preserve"> </w:t>
      </w:r>
      <w:r w:rsidRPr="00283806">
        <w:rPr>
          <w:w w:val="105"/>
        </w:rPr>
        <w:t>reviewed</w:t>
      </w:r>
      <w:r w:rsidRPr="00283806">
        <w:rPr>
          <w:spacing w:val="14"/>
          <w:w w:val="105"/>
        </w:rPr>
        <w:t xml:space="preserve"> </w:t>
      </w:r>
      <w:r w:rsidRPr="00283806">
        <w:rPr>
          <w:spacing w:val="-5"/>
          <w:w w:val="105"/>
        </w:rPr>
        <w:t>the</w:t>
      </w:r>
    </w:p>
    <w:p w14:paraId="6762BD56" w14:textId="77777777" w:rsidR="00D67C1E" w:rsidRPr="00283806" w:rsidRDefault="001265CA">
      <w:pPr>
        <w:pStyle w:val="BodyText"/>
        <w:spacing w:before="3" w:line="228" w:lineRule="auto"/>
        <w:ind w:left="143" w:right="42"/>
      </w:pPr>
      <w:r w:rsidRPr="00283806">
        <w:rPr>
          <w:w w:val="105"/>
        </w:rPr>
        <w:t>regulations promulgated under CAA section 608, as codified in 40 CFR part</w:t>
      </w:r>
      <w:r w:rsidRPr="00283806">
        <w:rPr>
          <w:spacing w:val="40"/>
          <w:w w:val="105"/>
        </w:rPr>
        <w:t xml:space="preserve"> </w:t>
      </w:r>
      <w:r w:rsidRPr="00283806">
        <w:rPr>
          <w:w w:val="105"/>
        </w:rPr>
        <w:t>82, subpart F, addressing the same or similar practices, processes, or activities as addressed in this rulemaking to consider the extent appropriate to coordinate requirements in those</w:t>
      </w:r>
    </w:p>
    <w:p w14:paraId="52067E0F" w14:textId="77777777" w:rsidR="00D67C1E" w:rsidRPr="00283806" w:rsidRDefault="001265CA">
      <w:pPr>
        <w:pStyle w:val="BodyText"/>
        <w:spacing w:before="132" w:line="228" w:lineRule="auto"/>
        <w:ind w:left="142" w:right="142"/>
      </w:pPr>
      <w:r w:rsidRPr="00283806">
        <w:br w:type="column"/>
      </w:r>
      <w:r w:rsidRPr="00283806">
        <w:rPr>
          <w:w w:val="110"/>
        </w:rPr>
        <w:t>regulations with those in this action. Specifically, EPA reviewed the leak repair requirements at 40 CFR 82.157, which do not apply to appliances containing HFCs or their substitutes. The leak repair provisions under CAA section 608 contain requirements for practices, processes, and activities related to identifying and repairing leaks in appliances that contain ODS.</w:t>
      </w:r>
      <w:r w:rsidRPr="00283806">
        <w:rPr>
          <w:spacing w:val="40"/>
          <w:w w:val="110"/>
        </w:rPr>
        <w:t xml:space="preserve"> </w:t>
      </w:r>
      <w:r w:rsidRPr="00283806">
        <w:rPr>
          <w:w w:val="110"/>
        </w:rPr>
        <w:t>As discussed further in this section,</w:t>
      </w:r>
      <w:r w:rsidRPr="00283806">
        <w:rPr>
          <w:spacing w:val="40"/>
          <w:w w:val="110"/>
        </w:rPr>
        <w:t xml:space="preserve"> </w:t>
      </w:r>
      <w:r w:rsidRPr="00283806">
        <w:rPr>
          <w:w w:val="110"/>
        </w:rPr>
        <w:t>EPA concludes that it is appropriate to apply these practices, processes, and activities</w:t>
      </w:r>
      <w:r w:rsidRPr="00283806">
        <w:rPr>
          <w:spacing w:val="-11"/>
          <w:w w:val="110"/>
        </w:rPr>
        <w:t xml:space="preserve"> </w:t>
      </w:r>
      <w:r w:rsidRPr="00283806">
        <w:rPr>
          <w:w w:val="110"/>
        </w:rPr>
        <w:t>to</w:t>
      </w:r>
      <w:r w:rsidRPr="00283806">
        <w:rPr>
          <w:spacing w:val="-11"/>
          <w:w w:val="110"/>
        </w:rPr>
        <w:t xml:space="preserve"> </w:t>
      </w:r>
      <w:r w:rsidRPr="00283806">
        <w:rPr>
          <w:w w:val="110"/>
        </w:rPr>
        <w:t>appliances</w:t>
      </w:r>
      <w:r w:rsidRPr="00283806">
        <w:rPr>
          <w:spacing w:val="-11"/>
          <w:w w:val="110"/>
        </w:rPr>
        <w:t xml:space="preserve"> </w:t>
      </w:r>
      <w:r w:rsidRPr="00283806">
        <w:rPr>
          <w:w w:val="110"/>
        </w:rPr>
        <w:t>containing</w:t>
      </w:r>
      <w:r w:rsidRPr="00283806">
        <w:rPr>
          <w:spacing w:val="-11"/>
          <w:w w:val="110"/>
        </w:rPr>
        <w:t xml:space="preserve"> </w:t>
      </w:r>
      <w:r w:rsidRPr="00283806">
        <w:rPr>
          <w:w w:val="110"/>
        </w:rPr>
        <w:t xml:space="preserve">HFCs and certain substitutes for HFCs under subsection (h). EPA notes that in many </w:t>
      </w:r>
      <w:r w:rsidRPr="00283806">
        <w:rPr>
          <w:spacing w:val="-2"/>
          <w:w w:val="110"/>
        </w:rPr>
        <w:t>cases,</w:t>
      </w:r>
      <w:r w:rsidRPr="00283806">
        <w:rPr>
          <w:spacing w:val="-4"/>
          <w:w w:val="110"/>
        </w:rPr>
        <w:t xml:space="preserve"> </w:t>
      </w:r>
      <w:r w:rsidRPr="00283806">
        <w:rPr>
          <w:spacing w:val="-2"/>
          <w:w w:val="110"/>
        </w:rPr>
        <w:t>the</w:t>
      </w:r>
      <w:r w:rsidRPr="00283806">
        <w:rPr>
          <w:spacing w:val="-4"/>
          <w:w w:val="110"/>
        </w:rPr>
        <w:t xml:space="preserve"> </w:t>
      </w:r>
      <w:r w:rsidRPr="00283806">
        <w:rPr>
          <w:spacing w:val="-2"/>
          <w:w w:val="110"/>
        </w:rPr>
        <w:t>same</w:t>
      </w:r>
      <w:r w:rsidRPr="00283806">
        <w:rPr>
          <w:spacing w:val="-4"/>
          <w:w w:val="110"/>
        </w:rPr>
        <w:t xml:space="preserve"> </w:t>
      </w:r>
      <w:r w:rsidRPr="00283806">
        <w:rPr>
          <w:spacing w:val="-2"/>
          <w:w w:val="110"/>
        </w:rPr>
        <w:t>types</w:t>
      </w:r>
      <w:r w:rsidRPr="00283806">
        <w:rPr>
          <w:spacing w:val="-4"/>
          <w:w w:val="110"/>
        </w:rPr>
        <w:t xml:space="preserve"> </w:t>
      </w:r>
      <w:r w:rsidRPr="00283806">
        <w:rPr>
          <w:spacing w:val="-2"/>
          <w:w w:val="110"/>
        </w:rPr>
        <w:t>of</w:t>
      </w:r>
      <w:r w:rsidRPr="00283806">
        <w:rPr>
          <w:spacing w:val="-4"/>
          <w:w w:val="110"/>
        </w:rPr>
        <w:t xml:space="preserve"> </w:t>
      </w:r>
      <w:r w:rsidRPr="00283806">
        <w:rPr>
          <w:spacing w:val="-2"/>
          <w:w w:val="110"/>
        </w:rPr>
        <w:t>appliances</w:t>
      </w:r>
      <w:r w:rsidRPr="00283806">
        <w:rPr>
          <w:spacing w:val="-4"/>
          <w:w w:val="110"/>
        </w:rPr>
        <w:t xml:space="preserve"> </w:t>
      </w:r>
      <w:r w:rsidRPr="00283806">
        <w:rPr>
          <w:spacing w:val="-2"/>
          <w:w w:val="110"/>
        </w:rPr>
        <w:t>(</w:t>
      </w:r>
      <w:r w:rsidRPr="00283806">
        <w:rPr>
          <w:rFonts w:ascii="Book Antiqua"/>
          <w:i/>
          <w:spacing w:val="-2"/>
          <w:w w:val="110"/>
        </w:rPr>
        <w:t xml:space="preserve">e.g., </w:t>
      </w:r>
      <w:r w:rsidRPr="00283806">
        <w:rPr>
          <w:w w:val="110"/>
        </w:rPr>
        <w:t>chillers, rooftop air conditioning units, supermarket systems) are used, since HFCs are substitutes for ODS. EPA did not propose and is not finalizing new requirements in this action where the provisions</w:t>
      </w:r>
      <w:r w:rsidRPr="00283806">
        <w:rPr>
          <w:spacing w:val="-1"/>
          <w:w w:val="110"/>
        </w:rPr>
        <w:t xml:space="preserve"> </w:t>
      </w:r>
      <w:r w:rsidRPr="00283806">
        <w:rPr>
          <w:w w:val="110"/>
        </w:rPr>
        <w:t>in</w:t>
      </w:r>
      <w:r w:rsidRPr="00283806">
        <w:rPr>
          <w:spacing w:val="-1"/>
          <w:w w:val="110"/>
        </w:rPr>
        <w:t xml:space="preserve"> </w:t>
      </w:r>
      <w:r w:rsidRPr="00283806">
        <w:rPr>
          <w:w w:val="110"/>
        </w:rPr>
        <w:t>40</w:t>
      </w:r>
      <w:r w:rsidRPr="00283806">
        <w:rPr>
          <w:spacing w:val="-1"/>
          <w:w w:val="110"/>
        </w:rPr>
        <w:t xml:space="preserve"> </w:t>
      </w:r>
      <w:r w:rsidRPr="00283806">
        <w:rPr>
          <w:w w:val="110"/>
        </w:rPr>
        <w:t>CFR</w:t>
      </w:r>
      <w:r w:rsidRPr="00283806">
        <w:rPr>
          <w:spacing w:val="-1"/>
          <w:w w:val="110"/>
        </w:rPr>
        <w:t xml:space="preserve"> </w:t>
      </w:r>
      <w:r w:rsidRPr="00283806">
        <w:rPr>
          <w:w w:val="110"/>
        </w:rPr>
        <w:t>part</w:t>
      </w:r>
      <w:r w:rsidRPr="00283806">
        <w:rPr>
          <w:spacing w:val="-1"/>
          <w:w w:val="110"/>
        </w:rPr>
        <w:t xml:space="preserve"> </w:t>
      </w:r>
      <w:r w:rsidRPr="00283806">
        <w:rPr>
          <w:w w:val="110"/>
        </w:rPr>
        <w:t>82,</w:t>
      </w:r>
      <w:r w:rsidRPr="00283806">
        <w:rPr>
          <w:spacing w:val="-1"/>
          <w:w w:val="110"/>
        </w:rPr>
        <w:t xml:space="preserve"> </w:t>
      </w:r>
      <w:r w:rsidRPr="00283806">
        <w:rPr>
          <w:w w:val="110"/>
        </w:rPr>
        <w:t>subpart</w:t>
      </w:r>
      <w:r w:rsidRPr="00283806">
        <w:rPr>
          <w:spacing w:val="-1"/>
          <w:w w:val="110"/>
        </w:rPr>
        <w:t xml:space="preserve"> </w:t>
      </w:r>
      <w:r w:rsidRPr="00283806">
        <w:rPr>
          <w:w w:val="110"/>
        </w:rPr>
        <w:t>F already apply to appliances containing HFCs and certain substitutes.</w:t>
      </w:r>
    </w:p>
    <w:p w14:paraId="5E1EDBEA" w14:textId="77777777" w:rsidR="00D67C1E" w:rsidRPr="00283806" w:rsidRDefault="001265CA">
      <w:pPr>
        <w:pStyle w:val="BodyText"/>
        <w:spacing w:before="18" w:line="228" w:lineRule="auto"/>
        <w:ind w:left="142" w:right="173" w:firstLine="180"/>
      </w:pPr>
      <w:r w:rsidRPr="00283806">
        <w:rPr>
          <w:w w:val="105"/>
        </w:rPr>
        <w:t>The following subsections provide additional information on the leak</w:t>
      </w:r>
      <w:r w:rsidRPr="00283806">
        <w:rPr>
          <w:spacing w:val="80"/>
          <w:w w:val="105"/>
        </w:rPr>
        <w:t xml:space="preserve"> </w:t>
      </w:r>
      <w:r w:rsidRPr="00283806">
        <w:rPr>
          <w:w w:val="105"/>
        </w:rPr>
        <w:t>repair requirements established by this final rule. Section IV.C.3.a of this preamble provides information on leak rate calculations, which are required whenever refrigerant is added to a refrigerant-containing appliance. The Agency allows owners or operators to use one of two leak rate calculation methodologies to determine the leak</w:t>
      </w:r>
      <w:r w:rsidRPr="00283806">
        <w:rPr>
          <w:spacing w:val="40"/>
          <w:w w:val="105"/>
        </w:rPr>
        <w:t xml:space="preserve"> </w:t>
      </w:r>
      <w:r w:rsidRPr="00283806">
        <w:rPr>
          <w:w w:val="105"/>
        </w:rPr>
        <w:t>rate of a refrigerant-containing</w:t>
      </w:r>
      <w:r w:rsidRPr="00283806">
        <w:rPr>
          <w:spacing w:val="40"/>
          <w:w w:val="105"/>
        </w:rPr>
        <w:t xml:space="preserve"> </w:t>
      </w:r>
      <w:r w:rsidRPr="00283806">
        <w:rPr>
          <w:w w:val="105"/>
        </w:rPr>
        <w:t>appliance and whether repair is required. Section IV.C.3.b of this preamble describes the timeline for leak repair, requests for leak repair extensions, and applicable leak rate thresholds for refrigerant-containing appliances. The exceedance of a refrigerant-containing appliance’s leak rate threshold triggers the leak repair requirements of this final rule. Section</w:t>
      </w:r>
    </w:p>
    <w:p w14:paraId="60E7915F" w14:textId="77777777" w:rsidR="00D67C1E" w:rsidRPr="00283806" w:rsidRDefault="001265CA">
      <w:pPr>
        <w:pStyle w:val="BodyText"/>
        <w:spacing w:line="228" w:lineRule="auto"/>
        <w:ind w:left="142" w:right="156"/>
      </w:pPr>
      <w:r w:rsidRPr="00283806">
        <w:rPr>
          <w:w w:val="105"/>
        </w:rPr>
        <w:t>IV.C.3.c of this preamble provides information on verification testing,</w:t>
      </w:r>
      <w:r w:rsidRPr="00283806">
        <w:rPr>
          <w:spacing w:val="40"/>
          <w:w w:val="105"/>
        </w:rPr>
        <w:t xml:space="preserve"> </w:t>
      </w:r>
      <w:r w:rsidRPr="00283806">
        <w:rPr>
          <w:w w:val="105"/>
        </w:rPr>
        <w:t>which is necessary to determine that the repair</w:t>
      </w:r>
      <w:r w:rsidRPr="00283806">
        <w:rPr>
          <w:spacing w:val="-1"/>
          <w:w w:val="105"/>
        </w:rPr>
        <w:t xml:space="preserve"> </w:t>
      </w:r>
      <w:r w:rsidRPr="00283806">
        <w:rPr>
          <w:w w:val="105"/>
        </w:rPr>
        <w:t>of</w:t>
      </w:r>
      <w:r w:rsidRPr="00283806">
        <w:rPr>
          <w:spacing w:val="-1"/>
          <w:w w:val="105"/>
        </w:rPr>
        <w:t xml:space="preserve"> </w:t>
      </w:r>
      <w:r w:rsidRPr="00283806">
        <w:rPr>
          <w:w w:val="105"/>
        </w:rPr>
        <w:t>a</w:t>
      </w:r>
      <w:r w:rsidRPr="00283806">
        <w:rPr>
          <w:spacing w:val="-1"/>
          <w:w w:val="105"/>
        </w:rPr>
        <w:t xml:space="preserve"> </w:t>
      </w:r>
      <w:r w:rsidRPr="00283806">
        <w:rPr>
          <w:w w:val="105"/>
        </w:rPr>
        <w:t>leaking</w:t>
      </w:r>
      <w:r w:rsidRPr="00283806">
        <w:rPr>
          <w:spacing w:val="-1"/>
          <w:w w:val="105"/>
        </w:rPr>
        <w:t xml:space="preserve"> </w:t>
      </w:r>
      <w:r w:rsidRPr="00283806">
        <w:rPr>
          <w:w w:val="105"/>
        </w:rPr>
        <w:t>refrigerant-containing appliance has not failed. Section</w:t>
      </w:r>
    </w:p>
    <w:p w14:paraId="2EC0E2E6" w14:textId="77777777" w:rsidR="00D67C1E" w:rsidRPr="00283806" w:rsidRDefault="001265CA">
      <w:pPr>
        <w:pStyle w:val="BodyText"/>
        <w:spacing w:line="228" w:lineRule="auto"/>
        <w:ind w:left="142" w:right="140"/>
      </w:pPr>
      <w:r w:rsidRPr="00283806">
        <w:rPr>
          <w:w w:val="105"/>
        </w:rPr>
        <w:t>IV.C.3.d of this preamble describes the timeline for quarterly and annual leak inspections for appliances that have passed the follow-up verification tests described in section IV.C.3. Leak inspections of recently repaired refrigerant-containing appliances ensure that repairs hold and assist in determining if further repair action is required in the event a repair fails. Section IV.C.3.e of this preamble</w:t>
      </w:r>
      <w:r w:rsidRPr="00283806">
        <w:rPr>
          <w:spacing w:val="80"/>
          <w:w w:val="105"/>
        </w:rPr>
        <w:t xml:space="preserve"> </w:t>
      </w:r>
      <w:r w:rsidRPr="00283806">
        <w:rPr>
          <w:w w:val="105"/>
        </w:rPr>
        <w:t>provides information on chronically leaking appliances, which are subject to specific reporting requirements if a refrigerant-containing appliance</w:t>
      </w:r>
      <w:r w:rsidRPr="00283806">
        <w:rPr>
          <w:spacing w:val="80"/>
          <w:w w:val="105"/>
        </w:rPr>
        <w:t xml:space="preserve"> </w:t>
      </w:r>
      <w:r w:rsidRPr="00283806">
        <w:rPr>
          <w:w w:val="105"/>
        </w:rPr>
        <w:t>expends more than 125 percent of its</w:t>
      </w:r>
    </w:p>
    <w:p w14:paraId="38CD4EEC"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7" w:space="40"/>
            <w:col w:w="3501" w:space="39"/>
            <w:col w:w="3623"/>
          </w:cols>
        </w:sectPr>
      </w:pPr>
    </w:p>
    <w:p w14:paraId="37598482" w14:textId="77777777" w:rsidR="00D67C1E" w:rsidRPr="00283806" w:rsidRDefault="001265CA">
      <w:pPr>
        <w:pStyle w:val="BodyText"/>
        <w:spacing w:before="126" w:line="205" w:lineRule="exact"/>
      </w:pPr>
      <w:r w:rsidRPr="00283806">
        <w:rPr>
          <w:w w:val="110"/>
        </w:rPr>
        <w:lastRenderedPageBreak/>
        <w:t>full</w:t>
      </w:r>
      <w:r w:rsidRPr="00283806">
        <w:rPr>
          <w:spacing w:val="-5"/>
          <w:w w:val="110"/>
        </w:rPr>
        <w:t xml:space="preserve"> </w:t>
      </w:r>
      <w:r w:rsidRPr="00283806">
        <w:rPr>
          <w:w w:val="110"/>
        </w:rPr>
        <w:t>charge</w:t>
      </w:r>
      <w:r w:rsidRPr="00283806">
        <w:rPr>
          <w:spacing w:val="-5"/>
          <w:w w:val="110"/>
        </w:rPr>
        <w:t xml:space="preserve"> </w:t>
      </w:r>
      <w:r w:rsidRPr="00283806">
        <w:rPr>
          <w:w w:val="110"/>
        </w:rPr>
        <w:t>within</w:t>
      </w:r>
      <w:r w:rsidRPr="00283806">
        <w:rPr>
          <w:spacing w:val="-5"/>
          <w:w w:val="110"/>
        </w:rPr>
        <w:t xml:space="preserve"> </w:t>
      </w:r>
      <w:r w:rsidRPr="00283806">
        <w:rPr>
          <w:w w:val="110"/>
        </w:rPr>
        <w:t>a</w:t>
      </w:r>
      <w:r w:rsidRPr="00283806">
        <w:rPr>
          <w:spacing w:val="-5"/>
          <w:w w:val="110"/>
        </w:rPr>
        <w:t xml:space="preserve"> </w:t>
      </w:r>
      <w:r w:rsidRPr="00283806">
        <w:rPr>
          <w:w w:val="110"/>
        </w:rPr>
        <w:t>year.</w:t>
      </w:r>
      <w:r w:rsidRPr="00283806">
        <w:rPr>
          <w:spacing w:val="-5"/>
          <w:w w:val="110"/>
        </w:rPr>
        <w:t xml:space="preserve"> </w:t>
      </w:r>
      <w:r w:rsidRPr="00283806">
        <w:rPr>
          <w:spacing w:val="-2"/>
          <w:w w:val="110"/>
        </w:rPr>
        <w:t>Section</w:t>
      </w:r>
    </w:p>
    <w:p w14:paraId="003D41BA" w14:textId="77777777" w:rsidR="00D67C1E" w:rsidRPr="00283806" w:rsidRDefault="001265CA">
      <w:pPr>
        <w:pStyle w:val="BodyText"/>
        <w:spacing w:before="3" w:line="225" w:lineRule="auto"/>
        <w:ind w:right="67"/>
      </w:pPr>
      <w:r w:rsidRPr="00283806">
        <w:rPr>
          <w:w w:val="105"/>
        </w:rPr>
        <w:t>IV.C.3</w:t>
      </w:r>
      <w:proofErr w:type="gramStart"/>
      <w:r w:rsidRPr="00283806">
        <w:rPr>
          <w:w w:val="105"/>
        </w:rPr>
        <w:t>.f</w:t>
      </w:r>
      <w:proofErr w:type="gramEnd"/>
      <w:r w:rsidRPr="00283806">
        <w:rPr>
          <w:w w:val="105"/>
        </w:rPr>
        <w:t xml:space="preserve"> of this preamble describes the process of submitting retrofit or retirement plans to the Agency in the event a refrigerant-containing appliance cannot be repaired within the leak</w:t>
      </w:r>
      <w:r w:rsidRPr="00283806">
        <w:rPr>
          <w:spacing w:val="40"/>
          <w:w w:val="105"/>
        </w:rPr>
        <w:t xml:space="preserve"> </w:t>
      </w:r>
      <w:r w:rsidRPr="00283806">
        <w:rPr>
          <w:w w:val="105"/>
        </w:rPr>
        <w:t>repair timeframe discussed in section</w:t>
      </w:r>
    </w:p>
    <w:p w14:paraId="490F2F85" w14:textId="77777777" w:rsidR="00D67C1E" w:rsidRPr="00283806" w:rsidRDefault="001265CA">
      <w:pPr>
        <w:pStyle w:val="ListParagraph"/>
        <w:numPr>
          <w:ilvl w:val="2"/>
          <w:numId w:val="56"/>
        </w:numPr>
        <w:tabs>
          <w:tab w:val="left" w:pos="768"/>
        </w:tabs>
        <w:spacing w:line="225" w:lineRule="auto"/>
        <w:ind w:right="174" w:firstLine="0"/>
        <w:rPr>
          <w:sz w:val="18"/>
        </w:rPr>
      </w:pPr>
      <w:r w:rsidRPr="00283806">
        <w:rPr>
          <w:w w:val="105"/>
          <w:sz w:val="18"/>
        </w:rPr>
        <w:t>Finally, section IV.C.3.g of this preamble</w:t>
      </w:r>
      <w:r w:rsidRPr="00283806">
        <w:rPr>
          <w:spacing w:val="-2"/>
          <w:w w:val="105"/>
          <w:sz w:val="18"/>
        </w:rPr>
        <w:t xml:space="preserve"> </w:t>
      </w:r>
      <w:r w:rsidRPr="00283806">
        <w:rPr>
          <w:w w:val="105"/>
          <w:sz w:val="18"/>
        </w:rPr>
        <w:t>describes</w:t>
      </w:r>
      <w:r w:rsidRPr="00283806">
        <w:rPr>
          <w:spacing w:val="-2"/>
          <w:w w:val="105"/>
          <w:sz w:val="18"/>
        </w:rPr>
        <w:t xml:space="preserve"> </w:t>
      </w:r>
      <w:r w:rsidRPr="00283806">
        <w:rPr>
          <w:w w:val="105"/>
          <w:sz w:val="18"/>
        </w:rPr>
        <w:t>recordkeeping</w:t>
      </w:r>
      <w:r w:rsidRPr="00283806">
        <w:rPr>
          <w:spacing w:val="-2"/>
          <w:w w:val="105"/>
          <w:sz w:val="18"/>
        </w:rPr>
        <w:t xml:space="preserve"> </w:t>
      </w:r>
      <w:r w:rsidRPr="00283806">
        <w:rPr>
          <w:w w:val="105"/>
          <w:sz w:val="18"/>
        </w:rPr>
        <w:t>and reporting requirements for owners or operators subject to the leak repair requirements of this final rule.</w:t>
      </w:r>
    </w:p>
    <w:p w14:paraId="669EEEF0" w14:textId="77777777" w:rsidR="00D67C1E" w:rsidRPr="00283806" w:rsidRDefault="001265CA">
      <w:pPr>
        <w:pStyle w:val="BodyText"/>
        <w:spacing w:line="213" w:lineRule="auto"/>
        <w:ind w:right="27" w:firstLine="180"/>
      </w:pPr>
      <w:r w:rsidRPr="00283806">
        <w:rPr>
          <w:rFonts w:ascii="Book Antiqua"/>
          <w:i/>
          <w:w w:val="105"/>
        </w:rPr>
        <w:t xml:space="preserve">Comment: </w:t>
      </w:r>
      <w:r w:rsidRPr="00283806">
        <w:rPr>
          <w:w w:val="105"/>
        </w:rPr>
        <w:t>Several commenters in support of the leak repair and detection</w:t>
      </w:r>
    </w:p>
    <w:p w14:paraId="7A414B72" w14:textId="77777777" w:rsidR="00D67C1E" w:rsidRPr="00283806" w:rsidRDefault="001265CA">
      <w:pPr>
        <w:pStyle w:val="BodyText"/>
        <w:spacing w:line="225" w:lineRule="auto"/>
        <w:ind w:right="46"/>
      </w:pPr>
      <w:r w:rsidRPr="00283806">
        <w:rPr>
          <w:w w:val="105"/>
        </w:rPr>
        <w:t>requirements supported the Agency’s efforts to regulate HFCs, as these requirements broadly enhance activities and practices that further lifecycle refrigerant management (LRM). One of the commenters stated that leak prevention is a cornerstone of LRM and stated that the Agency has clear</w:t>
      </w:r>
      <w:r w:rsidRPr="00283806">
        <w:rPr>
          <w:spacing w:val="40"/>
          <w:w w:val="105"/>
        </w:rPr>
        <w:t xml:space="preserve"> </w:t>
      </w:r>
      <w:r w:rsidRPr="00283806">
        <w:rPr>
          <w:w w:val="105"/>
        </w:rPr>
        <w:t>authority under the AIM Act to promulgate robust leak prevention regulations that support LRM.</w:t>
      </w:r>
    </w:p>
    <w:p w14:paraId="35F84196" w14:textId="77777777" w:rsidR="00D67C1E" w:rsidRPr="00283806" w:rsidRDefault="001265CA">
      <w:pPr>
        <w:pStyle w:val="BodyText"/>
        <w:spacing w:line="213" w:lineRule="auto"/>
        <w:ind w:right="27" w:firstLine="180"/>
      </w:pPr>
      <w:r w:rsidRPr="00283806">
        <w:rPr>
          <w:rFonts w:ascii="Book Antiqua" w:hAnsi="Book Antiqua"/>
          <w:i/>
          <w:w w:val="105"/>
        </w:rPr>
        <w:t xml:space="preserve">Response: </w:t>
      </w:r>
      <w:r w:rsidRPr="00283806">
        <w:rPr>
          <w:w w:val="105"/>
        </w:rPr>
        <w:t>EPA acknowledges commenters’</w:t>
      </w:r>
      <w:r w:rsidRPr="00283806">
        <w:rPr>
          <w:spacing w:val="5"/>
          <w:w w:val="105"/>
        </w:rPr>
        <w:t xml:space="preserve"> </w:t>
      </w:r>
      <w:r w:rsidRPr="00283806">
        <w:rPr>
          <w:w w:val="105"/>
        </w:rPr>
        <w:t>support</w:t>
      </w:r>
      <w:r w:rsidRPr="00283806">
        <w:rPr>
          <w:spacing w:val="6"/>
          <w:w w:val="105"/>
        </w:rPr>
        <w:t xml:space="preserve"> </w:t>
      </w:r>
      <w:r w:rsidRPr="00283806">
        <w:rPr>
          <w:w w:val="105"/>
        </w:rPr>
        <w:t>for</w:t>
      </w:r>
      <w:r w:rsidRPr="00283806">
        <w:rPr>
          <w:spacing w:val="6"/>
          <w:w w:val="105"/>
        </w:rPr>
        <w:t xml:space="preserve"> </w:t>
      </w:r>
      <w:r w:rsidRPr="00283806">
        <w:rPr>
          <w:w w:val="105"/>
        </w:rPr>
        <w:t>the</w:t>
      </w:r>
      <w:r w:rsidRPr="00283806">
        <w:rPr>
          <w:spacing w:val="6"/>
          <w:w w:val="105"/>
        </w:rPr>
        <w:t xml:space="preserve"> </w:t>
      </w:r>
      <w:r w:rsidRPr="00283806">
        <w:rPr>
          <w:w w:val="105"/>
        </w:rPr>
        <w:t>leak</w:t>
      </w:r>
      <w:r w:rsidRPr="00283806">
        <w:rPr>
          <w:spacing w:val="6"/>
          <w:w w:val="105"/>
        </w:rPr>
        <w:t xml:space="preserve"> </w:t>
      </w:r>
      <w:r w:rsidRPr="00283806">
        <w:rPr>
          <w:spacing w:val="-2"/>
          <w:w w:val="105"/>
        </w:rPr>
        <w:t>repair</w:t>
      </w:r>
    </w:p>
    <w:p w14:paraId="0FF8E3FF" w14:textId="77777777" w:rsidR="00D67C1E" w:rsidRPr="00283806" w:rsidRDefault="001265CA">
      <w:pPr>
        <w:pStyle w:val="BodyText"/>
        <w:spacing w:line="225" w:lineRule="auto"/>
        <w:ind w:right="87"/>
      </w:pPr>
      <w:r w:rsidRPr="00283806">
        <w:rPr>
          <w:w w:val="105"/>
        </w:rPr>
        <w:t>and detection requirements in the final rule. While the Agency did not base this rule or its provisions on lifecycle management, EPA agrees that the leak repair and ALD requirements will</w:t>
      </w:r>
      <w:r w:rsidRPr="00283806">
        <w:rPr>
          <w:spacing w:val="80"/>
          <w:w w:val="105"/>
        </w:rPr>
        <w:t xml:space="preserve"> </w:t>
      </w:r>
      <w:r w:rsidRPr="00283806">
        <w:rPr>
          <w:w w:val="105"/>
        </w:rPr>
        <w:t xml:space="preserve">reduce the severity of leak events, minimizing refrigerant </w:t>
      </w:r>
      <w:proofErr w:type="gramStart"/>
      <w:r w:rsidRPr="00283806">
        <w:rPr>
          <w:w w:val="105"/>
        </w:rPr>
        <w:t>lost</w:t>
      </w:r>
      <w:proofErr w:type="gramEnd"/>
      <w:r w:rsidRPr="00283806">
        <w:rPr>
          <w:w w:val="105"/>
        </w:rPr>
        <w:t>. These requirements and other refrigeration management best practices as a part of larger refrigerant management frameworks are important to EPA’s implementation of this final rule to</w:t>
      </w:r>
      <w:r w:rsidRPr="00283806">
        <w:rPr>
          <w:spacing w:val="80"/>
          <w:w w:val="105"/>
        </w:rPr>
        <w:t xml:space="preserve"> </w:t>
      </w:r>
      <w:r w:rsidRPr="00283806">
        <w:rPr>
          <w:w w:val="105"/>
        </w:rPr>
        <w:t>serve the purposes described in subsection (h)(1) of minimizing the release of regulated substances. The Agency also agrees that it has the authority under the AIM Act to regulate HFCs and limit their release through the leak repair and ALD requirements in</w:t>
      </w:r>
      <w:r w:rsidRPr="00283806">
        <w:rPr>
          <w:spacing w:val="80"/>
          <w:w w:val="105"/>
        </w:rPr>
        <w:t xml:space="preserve"> </w:t>
      </w:r>
      <w:r w:rsidRPr="00283806">
        <w:rPr>
          <w:w w:val="105"/>
        </w:rPr>
        <w:t>this final rule.</w:t>
      </w:r>
    </w:p>
    <w:p w14:paraId="5A4F7292" w14:textId="77777777" w:rsidR="00D67C1E" w:rsidRPr="00283806" w:rsidRDefault="001265CA">
      <w:pPr>
        <w:pStyle w:val="ListParagraph"/>
        <w:numPr>
          <w:ilvl w:val="0"/>
          <w:numId w:val="55"/>
        </w:numPr>
        <w:tabs>
          <w:tab w:val="left" w:pos="348"/>
        </w:tabs>
        <w:spacing w:before="66"/>
        <w:ind w:left="348" w:hanging="188"/>
        <w:rPr>
          <w:sz w:val="18"/>
        </w:rPr>
      </w:pPr>
      <w:r w:rsidRPr="00283806">
        <w:rPr>
          <w:w w:val="105"/>
          <w:sz w:val="18"/>
        </w:rPr>
        <w:t>Leak</w:t>
      </w:r>
      <w:r w:rsidRPr="00283806">
        <w:rPr>
          <w:spacing w:val="5"/>
          <w:w w:val="105"/>
          <w:sz w:val="18"/>
        </w:rPr>
        <w:t xml:space="preserve"> </w:t>
      </w:r>
      <w:r w:rsidRPr="00283806">
        <w:rPr>
          <w:w w:val="105"/>
          <w:sz w:val="18"/>
        </w:rPr>
        <w:t>Rate</w:t>
      </w:r>
      <w:r w:rsidRPr="00283806">
        <w:rPr>
          <w:spacing w:val="5"/>
          <w:w w:val="105"/>
          <w:sz w:val="18"/>
        </w:rPr>
        <w:t xml:space="preserve"> </w:t>
      </w:r>
      <w:r w:rsidRPr="00283806">
        <w:rPr>
          <w:spacing w:val="-2"/>
          <w:w w:val="105"/>
          <w:sz w:val="18"/>
        </w:rPr>
        <w:t>Calculations</w:t>
      </w:r>
    </w:p>
    <w:p w14:paraId="34EB2913" w14:textId="77777777" w:rsidR="00D67C1E" w:rsidRPr="00283806" w:rsidRDefault="001265CA">
      <w:pPr>
        <w:pStyle w:val="BodyText"/>
        <w:spacing w:before="62" w:line="228" w:lineRule="auto"/>
        <w:ind w:right="27" w:firstLine="180"/>
      </w:pPr>
      <w:r w:rsidRPr="00283806">
        <w:rPr>
          <w:w w:val="105"/>
        </w:rPr>
        <w:t>EPA is adopting the requirements for leak</w:t>
      </w:r>
      <w:r w:rsidRPr="00283806">
        <w:rPr>
          <w:spacing w:val="13"/>
          <w:w w:val="105"/>
        </w:rPr>
        <w:t xml:space="preserve"> </w:t>
      </w:r>
      <w:r w:rsidRPr="00283806">
        <w:rPr>
          <w:w w:val="105"/>
        </w:rPr>
        <w:t>rate</w:t>
      </w:r>
      <w:r w:rsidRPr="00283806">
        <w:rPr>
          <w:spacing w:val="13"/>
          <w:w w:val="105"/>
        </w:rPr>
        <w:t xml:space="preserve"> </w:t>
      </w:r>
      <w:r w:rsidRPr="00283806">
        <w:rPr>
          <w:w w:val="105"/>
        </w:rPr>
        <w:t>calculations</w:t>
      </w:r>
      <w:r w:rsidRPr="00283806">
        <w:rPr>
          <w:spacing w:val="14"/>
          <w:w w:val="105"/>
        </w:rPr>
        <w:t xml:space="preserve"> </w:t>
      </w:r>
      <w:r w:rsidRPr="00283806">
        <w:rPr>
          <w:w w:val="105"/>
        </w:rPr>
        <w:t>under</w:t>
      </w:r>
      <w:r w:rsidRPr="00283806">
        <w:rPr>
          <w:spacing w:val="13"/>
          <w:w w:val="105"/>
        </w:rPr>
        <w:t xml:space="preserve"> </w:t>
      </w:r>
      <w:r w:rsidRPr="00283806">
        <w:rPr>
          <w:spacing w:val="-2"/>
          <w:w w:val="105"/>
        </w:rPr>
        <w:t>subsection</w:t>
      </w:r>
    </w:p>
    <w:p w14:paraId="3C93962B" w14:textId="77777777" w:rsidR="00D67C1E" w:rsidRPr="00283806" w:rsidRDefault="001265CA">
      <w:pPr>
        <w:pStyle w:val="BodyText"/>
        <w:spacing w:line="228" w:lineRule="auto"/>
        <w:ind w:right="44"/>
      </w:pPr>
      <w:r w:rsidRPr="00283806">
        <w:rPr>
          <w:w w:val="105"/>
        </w:rPr>
        <w:t>(h) largely as proposed, with some modifications as discussed in this</w:t>
      </w:r>
      <w:r w:rsidRPr="00283806">
        <w:rPr>
          <w:spacing w:val="80"/>
          <w:w w:val="105"/>
        </w:rPr>
        <w:t xml:space="preserve"> </w:t>
      </w:r>
      <w:r w:rsidRPr="00283806">
        <w:rPr>
          <w:w w:val="105"/>
        </w:rPr>
        <w:t>section. Thus, refrigerant-containing appliances with a charge size of 15 pounds or more of a refrigerant that contains an HFC or a substitute for an HFC with a GWP greater than 53 are required to conduct a leak rate calculation</w:t>
      </w:r>
      <w:r w:rsidRPr="00283806">
        <w:rPr>
          <w:spacing w:val="40"/>
          <w:w w:val="105"/>
        </w:rPr>
        <w:t xml:space="preserve"> </w:t>
      </w:r>
      <w:r w:rsidRPr="00283806">
        <w:rPr>
          <w:w w:val="105"/>
        </w:rPr>
        <w:t>if</w:t>
      </w:r>
      <w:r w:rsidRPr="00283806">
        <w:rPr>
          <w:spacing w:val="40"/>
          <w:w w:val="105"/>
        </w:rPr>
        <w:t xml:space="preserve"> </w:t>
      </w:r>
      <w:r w:rsidRPr="00283806">
        <w:rPr>
          <w:w w:val="105"/>
        </w:rPr>
        <w:t>the</w:t>
      </w:r>
      <w:r w:rsidRPr="00283806">
        <w:rPr>
          <w:spacing w:val="40"/>
          <w:w w:val="105"/>
        </w:rPr>
        <w:t xml:space="preserve"> </w:t>
      </w:r>
      <w:r w:rsidRPr="00283806">
        <w:rPr>
          <w:w w:val="105"/>
        </w:rPr>
        <w:t>appliance</w:t>
      </w:r>
      <w:r w:rsidRPr="00283806">
        <w:rPr>
          <w:spacing w:val="40"/>
          <w:w w:val="105"/>
        </w:rPr>
        <w:t xml:space="preserve"> </w:t>
      </w:r>
      <w:r w:rsidRPr="00283806">
        <w:rPr>
          <w:w w:val="105"/>
        </w:rPr>
        <w:t>is</w:t>
      </w:r>
      <w:r w:rsidRPr="00283806">
        <w:rPr>
          <w:spacing w:val="40"/>
          <w:w w:val="105"/>
        </w:rPr>
        <w:t xml:space="preserve"> </w:t>
      </w:r>
      <w:r w:rsidRPr="00283806">
        <w:rPr>
          <w:w w:val="105"/>
        </w:rPr>
        <w:t>found</w:t>
      </w:r>
      <w:r w:rsidRPr="00283806">
        <w:rPr>
          <w:spacing w:val="40"/>
          <w:w w:val="105"/>
        </w:rPr>
        <w:t xml:space="preserve"> </w:t>
      </w:r>
      <w:r w:rsidRPr="00283806">
        <w:rPr>
          <w:w w:val="105"/>
        </w:rPr>
        <w:t xml:space="preserve">to be leaking. </w:t>
      </w:r>
      <w:proofErr w:type="gramStart"/>
      <w:r w:rsidRPr="00283806">
        <w:rPr>
          <w:w w:val="105"/>
        </w:rPr>
        <w:t>EPA is</w:t>
      </w:r>
      <w:proofErr w:type="gramEnd"/>
      <w:r w:rsidRPr="00283806">
        <w:rPr>
          <w:w w:val="105"/>
        </w:rPr>
        <w:t xml:space="preserve"> also requiring that the leak rate of covered appliances be calculated every time refrigerant is</w:t>
      </w:r>
      <w:r w:rsidRPr="00283806">
        <w:rPr>
          <w:spacing w:val="40"/>
          <w:w w:val="105"/>
        </w:rPr>
        <w:t xml:space="preserve"> </w:t>
      </w:r>
      <w:r w:rsidRPr="00283806">
        <w:rPr>
          <w:w w:val="105"/>
        </w:rPr>
        <w:t>added to an appliance, unless the</w:t>
      </w:r>
      <w:r w:rsidRPr="00283806">
        <w:rPr>
          <w:spacing w:val="40"/>
          <w:w w:val="105"/>
        </w:rPr>
        <w:t xml:space="preserve"> </w:t>
      </w:r>
      <w:r w:rsidRPr="00283806">
        <w:rPr>
          <w:w w:val="105"/>
        </w:rPr>
        <w:t>addition is made immediately following</w:t>
      </w:r>
      <w:r w:rsidRPr="00283806">
        <w:rPr>
          <w:spacing w:val="80"/>
          <w:w w:val="105"/>
        </w:rPr>
        <w:t xml:space="preserve"> </w:t>
      </w:r>
      <w:r w:rsidRPr="00283806">
        <w:rPr>
          <w:w w:val="105"/>
        </w:rPr>
        <w:t>a</w:t>
      </w:r>
      <w:r w:rsidRPr="00283806">
        <w:rPr>
          <w:spacing w:val="40"/>
          <w:w w:val="105"/>
        </w:rPr>
        <w:t xml:space="preserve"> </w:t>
      </w:r>
      <w:r w:rsidRPr="00283806">
        <w:rPr>
          <w:w w:val="105"/>
        </w:rPr>
        <w:t>retrofit,</w:t>
      </w:r>
      <w:r w:rsidRPr="00283806">
        <w:rPr>
          <w:spacing w:val="40"/>
          <w:w w:val="105"/>
        </w:rPr>
        <w:t xml:space="preserve"> </w:t>
      </w:r>
      <w:r w:rsidRPr="00283806">
        <w:rPr>
          <w:w w:val="105"/>
        </w:rPr>
        <w:t>installation</w:t>
      </w:r>
      <w:r w:rsidRPr="00283806">
        <w:rPr>
          <w:spacing w:val="40"/>
          <w:w w:val="105"/>
        </w:rPr>
        <w:t xml:space="preserve"> </w:t>
      </w:r>
      <w:r w:rsidRPr="00283806">
        <w:rPr>
          <w:w w:val="105"/>
        </w:rPr>
        <w:t>of</w:t>
      </w:r>
      <w:r w:rsidRPr="00283806">
        <w:rPr>
          <w:spacing w:val="40"/>
          <w:w w:val="105"/>
        </w:rPr>
        <w:t xml:space="preserve"> </w:t>
      </w:r>
      <w:r w:rsidRPr="00283806">
        <w:rPr>
          <w:w w:val="105"/>
        </w:rPr>
        <w:t>a</w:t>
      </w:r>
      <w:r w:rsidRPr="00283806">
        <w:rPr>
          <w:spacing w:val="40"/>
          <w:w w:val="105"/>
        </w:rPr>
        <w:t xml:space="preserve"> </w:t>
      </w:r>
      <w:r w:rsidRPr="00283806">
        <w:rPr>
          <w:w w:val="105"/>
        </w:rPr>
        <w:t>new appliance, or qualifies as a seasonal variance, as described in this and subsequent sections. EPA is not</w:t>
      </w:r>
    </w:p>
    <w:p w14:paraId="04F4C86A" w14:textId="77777777" w:rsidR="00D67C1E" w:rsidRPr="00283806" w:rsidRDefault="001265CA">
      <w:pPr>
        <w:pStyle w:val="BodyText"/>
        <w:spacing w:before="134" w:line="228" w:lineRule="auto"/>
        <w:ind w:left="145"/>
      </w:pPr>
      <w:r w:rsidRPr="00283806">
        <w:br w:type="column"/>
      </w:r>
      <w:r w:rsidRPr="00283806">
        <w:rPr>
          <w:w w:val="105"/>
        </w:rPr>
        <w:t>requiring the repair of all leaks; rather, EPA</w:t>
      </w:r>
      <w:r w:rsidRPr="00283806">
        <w:rPr>
          <w:spacing w:val="40"/>
          <w:w w:val="105"/>
        </w:rPr>
        <w:t xml:space="preserve"> </w:t>
      </w:r>
      <w:r w:rsidRPr="00283806">
        <w:rPr>
          <w:w w:val="105"/>
        </w:rPr>
        <w:t>is</w:t>
      </w:r>
      <w:r w:rsidRPr="00283806">
        <w:rPr>
          <w:spacing w:val="40"/>
          <w:w w:val="105"/>
        </w:rPr>
        <w:t xml:space="preserve"> </w:t>
      </w:r>
      <w:r w:rsidRPr="00283806">
        <w:rPr>
          <w:w w:val="105"/>
        </w:rPr>
        <w:t>requiring</w:t>
      </w:r>
      <w:r w:rsidRPr="00283806">
        <w:rPr>
          <w:spacing w:val="40"/>
          <w:w w:val="105"/>
        </w:rPr>
        <w:t xml:space="preserve"> </w:t>
      </w:r>
      <w:r w:rsidRPr="00283806">
        <w:rPr>
          <w:w w:val="105"/>
        </w:rPr>
        <w:t>repair</w:t>
      </w:r>
      <w:r w:rsidRPr="00283806">
        <w:rPr>
          <w:spacing w:val="40"/>
          <w:w w:val="105"/>
        </w:rPr>
        <w:t xml:space="preserve"> </w:t>
      </w:r>
      <w:r w:rsidRPr="00283806">
        <w:rPr>
          <w:w w:val="105"/>
        </w:rPr>
        <w:t>of</w:t>
      </w:r>
      <w:r w:rsidRPr="00283806">
        <w:rPr>
          <w:spacing w:val="40"/>
          <w:w w:val="105"/>
        </w:rPr>
        <w:t xml:space="preserve"> </w:t>
      </w:r>
      <w:r w:rsidRPr="00283806">
        <w:rPr>
          <w:w w:val="105"/>
        </w:rPr>
        <w:t>leaks</w:t>
      </w:r>
      <w:r w:rsidRPr="00283806">
        <w:rPr>
          <w:spacing w:val="40"/>
          <w:w w:val="105"/>
        </w:rPr>
        <w:t xml:space="preserve"> </w:t>
      </w:r>
      <w:r w:rsidRPr="00283806">
        <w:rPr>
          <w:w w:val="105"/>
        </w:rPr>
        <w:t>such that the appliance is below the</w:t>
      </w:r>
      <w:r w:rsidRPr="00283806">
        <w:rPr>
          <w:spacing w:val="80"/>
          <w:w w:val="105"/>
        </w:rPr>
        <w:t xml:space="preserve"> </w:t>
      </w:r>
      <w:r w:rsidRPr="00283806">
        <w:rPr>
          <w:w w:val="105"/>
        </w:rPr>
        <w:t>applicable leak rate threshold consistent with the requirements at 40 CFR 82.157. The</w:t>
      </w:r>
      <w:r w:rsidRPr="00283806">
        <w:rPr>
          <w:spacing w:val="31"/>
          <w:w w:val="105"/>
        </w:rPr>
        <w:t xml:space="preserve"> </w:t>
      </w:r>
      <w:r w:rsidRPr="00283806">
        <w:rPr>
          <w:w w:val="105"/>
        </w:rPr>
        <w:t>calculation</w:t>
      </w:r>
      <w:r w:rsidRPr="00283806">
        <w:rPr>
          <w:spacing w:val="31"/>
          <w:w w:val="105"/>
        </w:rPr>
        <w:t xml:space="preserve"> </w:t>
      </w:r>
      <w:r w:rsidRPr="00283806">
        <w:rPr>
          <w:w w:val="105"/>
        </w:rPr>
        <w:t>of</w:t>
      </w:r>
      <w:r w:rsidRPr="00283806">
        <w:rPr>
          <w:spacing w:val="31"/>
          <w:w w:val="105"/>
        </w:rPr>
        <w:t xml:space="preserve"> </w:t>
      </w:r>
      <w:r w:rsidRPr="00283806">
        <w:rPr>
          <w:w w:val="105"/>
        </w:rPr>
        <w:t>the</w:t>
      </w:r>
      <w:r w:rsidRPr="00283806">
        <w:rPr>
          <w:spacing w:val="31"/>
          <w:w w:val="105"/>
        </w:rPr>
        <w:t xml:space="preserve"> </w:t>
      </w:r>
      <w:r w:rsidRPr="00283806">
        <w:rPr>
          <w:w w:val="105"/>
        </w:rPr>
        <w:t>leak</w:t>
      </w:r>
      <w:r w:rsidRPr="00283806">
        <w:rPr>
          <w:spacing w:val="31"/>
          <w:w w:val="105"/>
        </w:rPr>
        <w:t xml:space="preserve"> </w:t>
      </w:r>
      <w:r w:rsidRPr="00283806">
        <w:rPr>
          <w:w w:val="105"/>
        </w:rPr>
        <w:t>rate</w:t>
      </w:r>
      <w:r w:rsidRPr="00283806">
        <w:rPr>
          <w:spacing w:val="31"/>
          <w:w w:val="105"/>
        </w:rPr>
        <w:t xml:space="preserve"> </w:t>
      </w:r>
      <w:r w:rsidRPr="00283806">
        <w:rPr>
          <w:w w:val="105"/>
        </w:rPr>
        <w:t>is</w:t>
      </w:r>
      <w:r w:rsidRPr="00283806">
        <w:rPr>
          <w:spacing w:val="31"/>
          <w:w w:val="105"/>
        </w:rPr>
        <w:t xml:space="preserve"> </w:t>
      </w:r>
      <w:r w:rsidRPr="00283806">
        <w:rPr>
          <w:w w:val="105"/>
        </w:rPr>
        <w:t>used to determine whether the appliance is leaking above the applicable threshold, which in turn determines whether further action (</w:t>
      </w:r>
      <w:r w:rsidRPr="00283806">
        <w:rPr>
          <w:rFonts w:ascii="Book Antiqua"/>
          <w:i/>
          <w:w w:val="105"/>
        </w:rPr>
        <w:t xml:space="preserve">i.e., </w:t>
      </w:r>
      <w:r w:rsidRPr="00283806">
        <w:rPr>
          <w:w w:val="105"/>
        </w:rPr>
        <w:t>repair) is required.</w:t>
      </w:r>
    </w:p>
    <w:p w14:paraId="3DB9475A" w14:textId="77777777" w:rsidR="00D67C1E" w:rsidRPr="00283806" w:rsidRDefault="001265CA">
      <w:pPr>
        <w:pStyle w:val="BodyText"/>
        <w:spacing w:line="182" w:lineRule="exact"/>
        <w:ind w:left="145"/>
      </w:pPr>
      <w:r w:rsidRPr="00283806">
        <w:rPr>
          <w:w w:val="110"/>
        </w:rPr>
        <w:t>For</w:t>
      </w:r>
      <w:r w:rsidRPr="00283806">
        <w:rPr>
          <w:spacing w:val="-2"/>
          <w:w w:val="110"/>
        </w:rPr>
        <w:t xml:space="preserve"> </w:t>
      </w:r>
      <w:r w:rsidRPr="00283806">
        <w:rPr>
          <w:w w:val="110"/>
        </w:rPr>
        <w:t>example,</w:t>
      </w:r>
      <w:r w:rsidRPr="00283806">
        <w:rPr>
          <w:spacing w:val="-1"/>
          <w:w w:val="110"/>
        </w:rPr>
        <w:t xml:space="preserve"> </w:t>
      </w:r>
      <w:r w:rsidRPr="00283806">
        <w:rPr>
          <w:w w:val="110"/>
        </w:rPr>
        <w:t>if</w:t>
      </w:r>
      <w:r w:rsidRPr="00283806">
        <w:rPr>
          <w:spacing w:val="-1"/>
          <w:w w:val="110"/>
        </w:rPr>
        <w:t xml:space="preserve"> </w:t>
      </w:r>
      <w:r w:rsidRPr="00283806">
        <w:rPr>
          <w:w w:val="110"/>
        </w:rPr>
        <w:t>an</w:t>
      </w:r>
      <w:r w:rsidRPr="00283806">
        <w:rPr>
          <w:spacing w:val="-1"/>
          <w:w w:val="110"/>
        </w:rPr>
        <w:t xml:space="preserve"> </w:t>
      </w:r>
      <w:r w:rsidRPr="00283806">
        <w:rPr>
          <w:w w:val="110"/>
        </w:rPr>
        <w:t>appliance</w:t>
      </w:r>
      <w:r w:rsidRPr="00283806">
        <w:rPr>
          <w:spacing w:val="-1"/>
          <w:w w:val="110"/>
        </w:rPr>
        <w:t xml:space="preserve"> </w:t>
      </w:r>
      <w:r w:rsidRPr="00283806">
        <w:rPr>
          <w:spacing w:val="-2"/>
          <w:w w:val="110"/>
        </w:rPr>
        <w:t>owner</w:t>
      </w:r>
    </w:p>
    <w:p w14:paraId="07F30E0F" w14:textId="77777777" w:rsidR="00D67C1E" w:rsidRPr="00283806" w:rsidRDefault="001265CA">
      <w:pPr>
        <w:pStyle w:val="BodyText"/>
        <w:spacing w:before="3" w:line="228" w:lineRule="auto"/>
        <w:ind w:left="145" w:right="88"/>
      </w:pPr>
      <w:r w:rsidRPr="00283806">
        <w:rPr>
          <w:w w:val="105"/>
        </w:rPr>
        <w:t xml:space="preserve">adds refrigerant to the appliance but does not calculate the leak rate, the owner would have no means of determining if the appliance’s leak rate was below the applicable leak rate threshold. Hence, the owner would not know if further action was warranted. Thus, the leak rate calculations are also used to determine compliance with the leak repair requirements. As stated in the proposal, this </w:t>
      </w:r>
      <w:proofErr w:type="gramStart"/>
      <w:r w:rsidRPr="00283806">
        <w:rPr>
          <w:w w:val="105"/>
        </w:rPr>
        <w:t>rulemaking’s</w:t>
      </w:r>
      <w:proofErr w:type="gramEnd"/>
      <w:r w:rsidRPr="00283806">
        <w:rPr>
          <w:spacing w:val="40"/>
          <w:w w:val="105"/>
        </w:rPr>
        <w:t xml:space="preserve"> </w:t>
      </w:r>
      <w:r w:rsidRPr="00283806">
        <w:rPr>
          <w:w w:val="105"/>
        </w:rPr>
        <w:t xml:space="preserve">approach can contribute to minimizing the </w:t>
      </w:r>
      <w:proofErr w:type="gramStart"/>
      <w:r w:rsidRPr="00283806">
        <w:rPr>
          <w:w w:val="105"/>
        </w:rPr>
        <w:t>releases</w:t>
      </w:r>
      <w:proofErr w:type="gramEnd"/>
      <w:r w:rsidRPr="00283806">
        <w:rPr>
          <w:w w:val="105"/>
        </w:rPr>
        <w:t xml:space="preserve"> of HFCs or their substitutes by requiring more thorough leak inspections and verified repairs sooner.</w:t>
      </w:r>
    </w:p>
    <w:p w14:paraId="126EF812" w14:textId="77777777" w:rsidR="00D67C1E" w:rsidRPr="00283806" w:rsidRDefault="001265CA">
      <w:pPr>
        <w:pStyle w:val="BodyText"/>
        <w:spacing w:before="32" w:line="228" w:lineRule="auto"/>
        <w:ind w:left="145" w:right="34" w:firstLine="180"/>
      </w:pPr>
      <w:r w:rsidRPr="00283806">
        <w:rPr>
          <w:w w:val="105"/>
        </w:rPr>
        <w:t>In this final rule, the Agency is establishing two leak rate calculation methodologies: the annualizing method and the rolling average method. The utilization of leak rate calculation methodologies is analogous to their use under subpart F. The strength of the annualizing method is that it is future oriented and allows the owner or operator to ‘‘close out’’ each leak event</w:t>
      </w:r>
      <w:r w:rsidRPr="00283806">
        <w:rPr>
          <w:spacing w:val="40"/>
          <w:w w:val="105"/>
        </w:rPr>
        <w:t xml:space="preserve"> </w:t>
      </w:r>
      <w:r w:rsidRPr="00283806">
        <w:rPr>
          <w:w w:val="105"/>
        </w:rPr>
        <w:t>so long as the requirements are followed and does not lump past leak events with the current leak event. It considers the amount</w:t>
      </w:r>
      <w:r w:rsidRPr="00283806">
        <w:rPr>
          <w:spacing w:val="40"/>
          <w:w w:val="105"/>
        </w:rPr>
        <w:t xml:space="preserve"> </w:t>
      </w:r>
      <w:r w:rsidRPr="00283806">
        <w:rPr>
          <w:w w:val="105"/>
        </w:rPr>
        <w:t>of</w:t>
      </w:r>
      <w:r w:rsidRPr="00283806">
        <w:rPr>
          <w:spacing w:val="40"/>
          <w:w w:val="105"/>
        </w:rPr>
        <w:t xml:space="preserve"> </w:t>
      </w:r>
      <w:r w:rsidRPr="00283806">
        <w:rPr>
          <w:w w:val="105"/>
        </w:rPr>
        <w:t>time</w:t>
      </w:r>
      <w:r w:rsidRPr="00283806">
        <w:rPr>
          <w:spacing w:val="40"/>
          <w:w w:val="105"/>
        </w:rPr>
        <w:t xml:space="preserve"> </w:t>
      </w:r>
      <w:r w:rsidRPr="00283806">
        <w:rPr>
          <w:w w:val="105"/>
        </w:rPr>
        <w:t>since</w:t>
      </w:r>
      <w:r w:rsidRPr="00283806">
        <w:rPr>
          <w:spacing w:val="40"/>
          <w:w w:val="105"/>
        </w:rPr>
        <w:t xml:space="preserve"> </w:t>
      </w:r>
      <w:r w:rsidRPr="00283806">
        <w:rPr>
          <w:w w:val="105"/>
        </w:rPr>
        <w:t>the</w:t>
      </w:r>
      <w:r w:rsidRPr="00283806">
        <w:rPr>
          <w:spacing w:val="40"/>
          <w:w w:val="105"/>
        </w:rPr>
        <w:t xml:space="preserve"> </w:t>
      </w:r>
      <w:r w:rsidRPr="00283806">
        <w:rPr>
          <w:w w:val="105"/>
        </w:rPr>
        <w:t>last</w:t>
      </w:r>
      <w:r w:rsidRPr="00283806">
        <w:rPr>
          <w:spacing w:val="40"/>
          <w:w w:val="105"/>
        </w:rPr>
        <w:t xml:space="preserve"> </w:t>
      </w:r>
      <w:r w:rsidRPr="00283806">
        <w:rPr>
          <w:w w:val="105"/>
        </w:rPr>
        <w:t>addition of refrigerant and then scales that up to provide a leak rate that projects the amount of refrigerant lost over a whole year if the leak is not fixed. As a result, this formula will yield a higher leak rate for smaller leaks if the amount of time since the last repair was shorter. The rolling average method also has its strengths. It accounts for all refrigerant additions over the past 365 days or</w:t>
      </w:r>
      <w:r w:rsidRPr="00283806">
        <w:rPr>
          <w:spacing w:val="80"/>
          <w:w w:val="105"/>
        </w:rPr>
        <w:t xml:space="preserve"> </w:t>
      </w:r>
      <w:r w:rsidRPr="00283806">
        <w:rPr>
          <w:w w:val="105"/>
        </w:rPr>
        <w:t>since the last successful follow-up verification test showing that all identified leaks were successfully repaired (if less than 365 days). If an owner or operator verifies all identified leaks are repaired, this method allows</w:t>
      </w:r>
      <w:r w:rsidRPr="00283806">
        <w:rPr>
          <w:spacing w:val="80"/>
          <w:w w:val="105"/>
        </w:rPr>
        <w:t xml:space="preserve"> </w:t>
      </w:r>
      <w:r w:rsidRPr="00283806">
        <w:rPr>
          <w:w w:val="105"/>
        </w:rPr>
        <w:t>an owner or operator to ‘‘close out’’ a</w:t>
      </w:r>
      <w:r w:rsidRPr="00283806">
        <w:rPr>
          <w:spacing w:val="40"/>
          <w:w w:val="105"/>
        </w:rPr>
        <w:t xml:space="preserve"> </w:t>
      </w:r>
      <w:r w:rsidRPr="00283806">
        <w:rPr>
          <w:w w:val="105"/>
        </w:rPr>
        <w:t>leak event. If there is no follow-up verification test showing that all identified leaks were successfully repaired within the last year, the leak rate would be based completely on</w:t>
      </w:r>
      <w:r w:rsidRPr="00283806">
        <w:rPr>
          <w:spacing w:val="40"/>
          <w:w w:val="105"/>
        </w:rPr>
        <w:t xml:space="preserve"> </w:t>
      </w:r>
      <w:r w:rsidRPr="00283806">
        <w:rPr>
          <w:w w:val="105"/>
        </w:rPr>
        <w:t>actual</w:t>
      </w:r>
      <w:r w:rsidRPr="00283806">
        <w:rPr>
          <w:spacing w:val="40"/>
          <w:w w:val="105"/>
        </w:rPr>
        <w:t xml:space="preserve"> </w:t>
      </w:r>
      <w:r w:rsidRPr="00283806">
        <w:rPr>
          <w:w w:val="105"/>
        </w:rPr>
        <w:t>leaks</w:t>
      </w:r>
      <w:r w:rsidRPr="00283806">
        <w:rPr>
          <w:spacing w:val="40"/>
          <w:w w:val="105"/>
        </w:rPr>
        <w:t xml:space="preserve"> </w:t>
      </w:r>
      <w:r w:rsidRPr="00283806">
        <w:rPr>
          <w:w w:val="105"/>
        </w:rPr>
        <w:t>in</w:t>
      </w:r>
      <w:r w:rsidRPr="00283806">
        <w:rPr>
          <w:spacing w:val="40"/>
          <w:w w:val="105"/>
        </w:rPr>
        <w:t xml:space="preserve"> </w:t>
      </w:r>
      <w:r w:rsidRPr="00283806">
        <w:rPr>
          <w:w w:val="105"/>
        </w:rPr>
        <w:t>the</w:t>
      </w:r>
      <w:r w:rsidRPr="00283806">
        <w:rPr>
          <w:spacing w:val="40"/>
          <w:w w:val="105"/>
        </w:rPr>
        <w:t xml:space="preserve"> </w:t>
      </w:r>
      <w:r w:rsidRPr="00283806">
        <w:rPr>
          <w:w w:val="105"/>
        </w:rPr>
        <w:t>past</w:t>
      </w:r>
      <w:r w:rsidRPr="00283806">
        <w:rPr>
          <w:spacing w:val="40"/>
          <w:w w:val="105"/>
        </w:rPr>
        <w:t xml:space="preserve"> </w:t>
      </w:r>
      <w:r w:rsidRPr="00283806">
        <w:rPr>
          <w:w w:val="105"/>
        </w:rPr>
        <w:t>year.</w:t>
      </w:r>
      <w:r w:rsidRPr="00283806">
        <w:rPr>
          <w:spacing w:val="40"/>
          <w:w w:val="105"/>
        </w:rPr>
        <w:t xml:space="preserve"> </w:t>
      </w:r>
      <w:r w:rsidRPr="00283806">
        <w:rPr>
          <w:w w:val="105"/>
        </w:rPr>
        <w:t>Owners and operators are provided the</w:t>
      </w:r>
      <w:r w:rsidRPr="00283806">
        <w:rPr>
          <w:spacing w:val="80"/>
          <w:w w:val="105"/>
        </w:rPr>
        <w:t xml:space="preserve"> </w:t>
      </w:r>
      <w:r w:rsidRPr="00283806">
        <w:rPr>
          <w:w w:val="105"/>
        </w:rPr>
        <w:t>flexibility to choose which methodology is most advantageous to their</w:t>
      </w:r>
      <w:r w:rsidRPr="00283806">
        <w:rPr>
          <w:spacing w:val="80"/>
          <w:w w:val="105"/>
        </w:rPr>
        <w:t xml:space="preserve"> </w:t>
      </w:r>
      <w:r w:rsidRPr="00283806">
        <w:rPr>
          <w:w w:val="105"/>
        </w:rPr>
        <w:t>operations. However, under this final</w:t>
      </w:r>
      <w:r w:rsidRPr="00283806">
        <w:rPr>
          <w:spacing w:val="40"/>
          <w:w w:val="105"/>
        </w:rPr>
        <w:t xml:space="preserve"> </w:t>
      </w:r>
      <w:r w:rsidRPr="00283806">
        <w:rPr>
          <w:w w:val="105"/>
        </w:rPr>
        <w:t>rule once a methodology is chosen, the</w:t>
      </w:r>
    </w:p>
    <w:p w14:paraId="462F7ADE" w14:textId="77777777" w:rsidR="00D67C1E" w:rsidRPr="00283806" w:rsidRDefault="001265CA">
      <w:pPr>
        <w:pStyle w:val="BodyText"/>
        <w:spacing w:before="132" w:line="228" w:lineRule="auto"/>
        <w:ind w:right="132"/>
      </w:pPr>
      <w:r w:rsidRPr="00283806">
        <w:br w:type="column"/>
      </w:r>
      <w:proofErr w:type="gramStart"/>
      <w:r w:rsidRPr="00283806">
        <w:rPr>
          <w:w w:val="105"/>
        </w:rPr>
        <w:t>owner</w:t>
      </w:r>
      <w:proofErr w:type="gramEnd"/>
      <w:r w:rsidRPr="00283806">
        <w:rPr>
          <w:w w:val="105"/>
        </w:rPr>
        <w:t xml:space="preserve"> or operator must continue using the same methodology, so leak rate calculations remain consistent. Further, under this final rule, owners or</w:t>
      </w:r>
      <w:r w:rsidRPr="00283806">
        <w:rPr>
          <w:spacing w:val="80"/>
          <w:w w:val="105"/>
        </w:rPr>
        <w:t xml:space="preserve"> </w:t>
      </w:r>
      <w:r w:rsidRPr="00283806">
        <w:rPr>
          <w:w w:val="105"/>
        </w:rPr>
        <w:t>operators are to use the same leak rate calculation methodologies for all</w:t>
      </w:r>
      <w:r w:rsidRPr="00283806">
        <w:rPr>
          <w:spacing w:val="80"/>
          <w:w w:val="105"/>
        </w:rPr>
        <w:t xml:space="preserve"> </w:t>
      </w:r>
      <w:r w:rsidRPr="00283806">
        <w:rPr>
          <w:w w:val="105"/>
        </w:rPr>
        <w:t>affected appliances at a facility. The two methods use two different paradigms to determine leak rate—one is forward- looking/predictive, while the other is backward-looking/retrospective. If an owner or operator were to switch between methods, they would not get an accurate calculation because the time frame being evaluated would be</w:t>
      </w:r>
      <w:r w:rsidRPr="00283806">
        <w:rPr>
          <w:spacing w:val="80"/>
          <w:w w:val="105"/>
        </w:rPr>
        <w:t xml:space="preserve"> </w:t>
      </w:r>
      <w:r w:rsidRPr="00283806">
        <w:rPr>
          <w:w w:val="105"/>
        </w:rPr>
        <w:t xml:space="preserve">different for each method. In either methodology, EPA </w:t>
      </w:r>
      <w:proofErr w:type="gramStart"/>
      <w:r w:rsidRPr="00283806">
        <w:rPr>
          <w:w w:val="105"/>
        </w:rPr>
        <w:t>is establishing</w:t>
      </w:r>
      <w:proofErr w:type="gramEnd"/>
      <w:r w:rsidRPr="00283806">
        <w:rPr>
          <w:w w:val="105"/>
        </w:rPr>
        <w:t xml:space="preserve"> that when calculating the leak rate, any purged refrigerant that is destroyed is</w:t>
      </w:r>
      <w:r w:rsidRPr="00283806">
        <w:rPr>
          <w:spacing w:val="40"/>
          <w:w w:val="105"/>
        </w:rPr>
        <w:t xml:space="preserve"> </w:t>
      </w:r>
      <w:r w:rsidRPr="00283806">
        <w:rPr>
          <w:w w:val="105"/>
        </w:rPr>
        <w:t xml:space="preserve">not counted towards the leak rate. To qualify for this exemption, the purged refrigerant must be destroyed at a verifiable destruction efficiency of 98 percent or greater and the owner or operator must meet certain recordkeeping requirements </w:t>
      </w:r>
      <w:proofErr w:type="gramStart"/>
      <w:r w:rsidRPr="00283806">
        <w:rPr>
          <w:w w:val="105"/>
        </w:rPr>
        <w:t>for the amount of</w:t>
      </w:r>
      <w:proofErr w:type="gramEnd"/>
      <w:r w:rsidRPr="00283806">
        <w:rPr>
          <w:w w:val="105"/>
        </w:rPr>
        <w:t xml:space="preserve"> refrigerant sent for </w:t>
      </w:r>
      <w:r w:rsidRPr="00283806">
        <w:rPr>
          <w:spacing w:val="-2"/>
          <w:w w:val="105"/>
        </w:rPr>
        <w:t>destruction.</w:t>
      </w:r>
    </w:p>
    <w:p w14:paraId="2689768F" w14:textId="77777777" w:rsidR="00D67C1E" w:rsidRPr="00283806" w:rsidRDefault="001265CA">
      <w:pPr>
        <w:pStyle w:val="BodyText"/>
        <w:spacing w:before="26" w:line="228" w:lineRule="auto"/>
        <w:ind w:right="123" w:firstLine="180"/>
      </w:pPr>
      <w:r w:rsidRPr="00283806">
        <w:rPr>
          <w:w w:val="105"/>
        </w:rPr>
        <w:t>EPA</w:t>
      </w:r>
      <w:r w:rsidRPr="00283806">
        <w:rPr>
          <w:spacing w:val="40"/>
          <w:w w:val="105"/>
        </w:rPr>
        <w:t xml:space="preserve"> </w:t>
      </w:r>
      <w:r w:rsidRPr="00283806">
        <w:rPr>
          <w:w w:val="105"/>
        </w:rPr>
        <w:t>is</w:t>
      </w:r>
      <w:r w:rsidRPr="00283806">
        <w:rPr>
          <w:spacing w:val="40"/>
          <w:w w:val="105"/>
        </w:rPr>
        <w:t xml:space="preserve"> </w:t>
      </w:r>
      <w:r w:rsidRPr="00283806">
        <w:rPr>
          <w:w w:val="105"/>
        </w:rPr>
        <w:t>allowing</w:t>
      </w:r>
      <w:r w:rsidRPr="00283806">
        <w:rPr>
          <w:spacing w:val="40"/>
          <w:w w:val="105"/>
        </w:rPr>
        <w:t xml:space="preserve"> </w:t>
      </w:r>
      <w:r w:rsidRPr="00283806">
        <w:rPr>
          <w:w w:val="105"/>
        </w:rPr>
        <w:t>a</w:t>
      </w:r>
      <w:r w:rsidRPr="00283806">
        <w:rPr>
          <w:spacing w:val="40"/>
          <w:w w:val="105"/>
        </w:rPr>
        <w:t xml:space="preserve"> </w:t>
      </w:r>
      <w:r w:rsidRPr="00283806">
        <w:rPr>
          <w:w w:val="105"/>
        </w:rPr>
        <w:t>narrow</w:t>
      </w:r>
      <w:r w:rsidRPr="00283806">
        <w:rPr>
          <w:spacing w:val="40"/>
          <w:w w:val="105"/>
        </w:rPr>
        <w:t xml:space="preserve"> </w:t>
      </w:r>
      <w:r w:rsidRPr="00283806">
        <w:rPr>
          <w:w w:val="105"/>
        </w:rPr>
        <w:t>exception for owners or operators to change their leak rate calculation method in the final rule. There may be some cases, such as change</w:t>
      </w:r>
      <w:r w:rsidRPr="00283806">
        <w:rPr>
          <w:spacing w:val="40"/>
          <w:w w:val="105"/>
        </w:rPr>
        <w:t xml:space="preserve"> </w:t>
      </w:r>
      <w:r w:rsidRPr="00283806">
        <w:rPr>
          <w:w w:val="105"/>
        </w:rPr>
        <w:t>of</w:t>
      </w:r>
      <w:r w:rsidRPr="00283806">
        <w:rPr>
          <w:spacing w:val="40"/>
          <w:w w:val="105"/>
        </w:rPr>
        <w:t xml:space="preserve"> </w:t>
      </w:r>
      <w:r w:rsidRPr="00283806">
        <w:rPr>
          <w:w w:val="105"/>
        </w:rPr>
        <w:t>ownership,</w:t>
      </w:r>
      <w:r w:rsidRPr="00283806">
        <w:rPr>
          <w:spacing w:val="40"/>
          <w:w w:val="105"/>
        </w:rPr>
        <w:t xml:space="preserve"> </w:t>
      </w:r>
      <w:r w:rsidRPr="00283806">
        <w:rPr>
          <w:w w:val="105"/>
        </w:rPr>
        <w:t>where</w:t>
      </w:r>
      <w:r w:rsidRPr="00283806">
        <w:rPr>
          <w:spacing w:val="40"/>
          <w:w w:val="105"/>
        </w:rPr>
        <w:t xml:space="preserve"> </w:t>
      </w:r>
      <w:r w:rsidRPr="00283806">
        <w:rPr>
          <w:w w:val="105"/>
        </w:rPr>
        <w:t>an</w:t>
      </w:r>
      <w:r w:rsidRPr="00283806">
        <w:rPr>
          <w:spacing w:val="40"/>
          <w:w w:val="105"/>
        </w:rPr>
        <w:t xml:space="preserve"> </w:t>
      </w:r>
      <w:r w:rsidRPr="00283806">
        <w:rPr>
          <w:w w:val="105"/>
        </w:rPr>
        <w:t>owner or operator may need to change the leak rate calculation method so that all facilities under their ownership are</w:t>
      </w:r>
      <w:r w:rsidRPr="00283806">
        <w:rPr>
          <w:spacing w:val="80"/>
          <w:w w:val="105"/>
        </w:rPr>
        <w:t xml:space="preserve"> </w:t>
      </w:r>
      <w:r w:rsidRPr="00283806">
        <w:rPr>
          <w:w w:val="105"/>
        </w:rPr>
        <w:t xml:space="preserve">using the same method. EPA views this alignment of the leak rate calculation methodologies across facilities as valuable to consistent management of refrigerant-containing appliances across multiple facilities. </w:t>
      </w:r>
      <w:proofErr w:type="gramStart"/>
      <w:r w:rsidRPr="00283806">
        <w:rPr>
          <w:w w:val="105"/>
        </w:rPr>
        <w:t>In order for</w:t>
      </w:r>
      <w:proofErr w:type="gramEnd"/>
      <w:r w:rsidRPr="00283806">
        <w:rPr>
          <w:w w:val="105"/>
        </w:rPr>
        <w:t xml:space="preserve"> an owner or operator to make this change in leak rate calculation, the owner or operator must meet certain conditions. First, the owner or operator must have recently purchased or otherwise acquired a new facility with a refrigerant-containing appliance that was using a different leak rate calculation method than the current leak rate calculation method used by the owner or operator. Second, the owner or operator must ensure the refrigerant- containing appliances at the purchased facility </w:t>
      </w:r>
      <w:proofErr w:type="gramStart"/>
      <w:r w:rsidRPr="00283806">
        <w:rPr>
          <w:w w:val="105"/>
        </w:rPr>
        <w:t>are leaking</w:t>
      </w:r>
      <w:proofErr w:type="gramEnd"/>
      <w:r w:rsidRPr="00283806">
        <w:rPr>
          <w:w w:val="105"/>
        </w:rPr>
        <w:t xml:space="preserve"> below the applicable leak rate when the leak rate is calculated using both methodologies. Third, if the leak rate calculation is changed, the owner or operator is required to document</w:t>
      </w:r>
      <w:r w:rsidRPr="00283806">
        <w:rPr>
          <w:spacing w:val="40"/>
          <w:w w:val="105"/>
        </w:rPr>
        <w:t xml:space="preserve"> </w:t>
      </w:r>
      <w:r w:rsidRPr="00283806">
        <w:rPr>
          <w:w w:val="105"/>
        </w:rPr>
        <w:t>why</w:t>
      </w:r>
      <w:r w:rsidRPr="00283806">
        <w:rPr>
          <w:spacing w:val="40"/>
          <w:w w:val="105"/>
        </w:rPr>
        <w:t xml:space="preserve"> </w:t>
      </w:r>
      <w:r w:rsidRPr="00283806">
        <w:rPr>
          <w:w w:val="105"/>
        </w:rPr>
        <w:t>the</w:t>
      </w:r>
      <w:r w:rsidRPr="00283806">
        <w:rPr>
          <w:spacing w:val="40"/>
          <w:w w:val="105"/>
        </w:rPr>
        <w:t xml:space="preserve"> </w:t>
      </w:r>
      <w:r w:rsidRPr="00283806">
        <w:rPr>
          <w:w w:val="105"/>
        </w:rPr>
        <w:t>change</w:t>
      </w:r>
      <w:r w:rsidRPr="00283806">
        <w:rPr>
          <w:spacing w:val="40"/>
          <w:w w:val="105"/>
        </w:rPr>
        <w:t xml:space="preserve"> </w:t>
      </w:r>
      <w:r w:rsidRPr="00283806">
        <w:rPr>
          <w:w w:val="105"/>
        </w:rPr>
        <w:t>was</w:t>
      </w:r>
      <w:r w:rsidRPr="00283806">
        <w:rPr>
          <w:spacing w:val="40"/>
          <w:w w:val="105"/>
        </w:rPr>
        <w:t xml:space="preserve"> </w:t>
      </w:r>
      <w:r w:rsidRPr="00283806">
        <w:rPr>
          <w:w w:val="105"/>
        </w:rPr>
        <w:t xml:space="preserve">made, the date the change was made, and that the new leak rate calculation methodology is used </w:t>
      </w:r>
      <w:proofErr w:type="gramStart"/>
      <w:r w:rsidRPr="00283806">
        <w:rPr>
          <w:w w:val="105"/>
        </w:rPr>
        <w:t>consistent</w:t>
      </w:r>
      <w:proofErr w:type="gramEnd"/>
      <w:r w:rsidRPr="00283806">
        <w:rPr>
          <w:w w:val="105"/>
        </w:rPr>
        <w:t xml:space="preserve"> with the record keeping requirements in 40 CFR 84.106(l)(3). EPA clarifies that an owner or operator cannot change their leak rate calculation if it results in the avoidance</w:t>
      </w:r>
      <w:r w:rsidRPr="00283806">
        <w:rPr>
          <w:spacing w:val="80"/>
          <w:w w:val="105"/>
        </w:rPr>
        <w:t xml:space="preserve"> </w:t>
      </w:r>
      <w:r w:rsidRPr="00283806">
        <w:rPr>
          <w:w w:val="105"/>
        </w:rPr>
        <w:t>of leak repair (</w:t>
      </w:r>
      <w:r w:rsidRPr="00283806">
        <w:rPr>
          <w:rFonts w:ascii="Book Antiqua"/>
          <w:i/>
          <w:w w:val="105"/>
        </w:rPr>
        <w:t xml:space="preserve">e.g., </w:t>
      </w:r>
      <w:r w:rsidRPr="00283806">
        <w:rPr>
          <w:w w:val="105"/>
        </w:rPr>
        <w:t>if an appliance</w:t>
      </w:r>
    </w:p>
    <w:p w14:paraId="0296129C"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5" w:space="40"/>
            <w:col w:w="3483" w:space="42"/>
            <w:col w:w="3640"/>
          </w:cols>
        </w:sectPr>
      </w:pPr>
    </w:p>
    <w:p w14:paraId="5254A929" w14:textId="77777777" w:rsidR="00D67C1E" w:rsidRPr="00283806" w:rsidRDefault="001265CA">
      <w:pPr>
        <w:pStyle w:val="BodyText"/>
        <w:spacing w:before="136" w:line="225" w:lineRule="auto"/>
        <w:ind w:right="128"/>
      </w:pPr>
      <w:r w:rsidRPr="00283806">
        <w:rPr>
          <w:w w:val="105"/>
        </w:rPr>
        <w:lastRenderedPageBreak/>
        <w:t>would be over the leak rate threshold using one method and below the threshold using the other method).</w:t>
      </w:r>
    </w:p>
    <w:p w14:paraId="14EA7679" w14:textId="77777777" w:rsidR="00D67C1E" w:rsidRPr="00283806" w:rsidRDefault="001265CA">
      <w:pPr>
        <w:pStyle w:val="BodyText"/>
        <w:spacing w:line="179" w:lineRule="exact"/>
        <w:ind w:left="340"/>
      </w:pPr>
      <w:r w:rsidRPr="00283806">
        <w:rPr>
          <w:w w:val="105"/>
        </w:rPr>
        <w:t>Lastly,</w:t>
      </w:r>
      <w:r w:rsidRPr="00283806">
        <w:rPr>
          <w:spacing w:val="20"/>
          <w:w w:val="105"/>
        </w:rPr>
        <w:t xml:space="preserve"> </w:t>
      </w:r>
      <w:r w:rsidRPr="00283806">
        <w:rPr>
          <w:w w:val="105"/>
        </w:rPr>
        <w:t>EPA</w:t>
      </w:r>
      <w:r w:rsidRPr="00283806">
        <w:rPr>
          <w:spacing w:val="21"/>
          <w:w w:val="105"/>
        </w:rPr>
        <w:t xml:space="preserve"> </w:t>
      </w:r>
      <w:r w:rsidRPr="00283806">
        <w:rPr>
          <w:w w:val="105"/>
        </w:rPr>
        <w:t>acknowledges</w:t>
      </w:r>
      <w:r w:rsidRPr="00283806">
        <w:rPr>
          <w:spacing w:val="21"/>
          <w:w w:val="105"/>
        </w:rPr>
        <w:t xml:space="preserve"> </w:t>
      </w:r>
      <w:r w:rsidRPr="00283806">
        <w:rPr>
          <w:w w:val="105"/>
        </w:rPr>
        <w:t>that</w:t>
      </w:r>
      <w:r w:rsidRPr="00283806">
        <w:rPr>
          <w:spacing w:val="21"/>
          <w:w w:val="105"/>
        </w:rPr>
        <w:t xml:space="preserve"> </w:t>
      </w:r>
      <w:r w:rsidRPr="00283806">
        <w:rPr>
          <w:spacing w:val="-5"/>
          <w:w w:val="105"/>
        </w:rPr>
        <w:t>the</w:t>
      </w:r>
    </w:p>
    <w:p w14:paraId="01CFABA5" w14:textId="77777777" w:rsidR="00D67C1E" w:rsidRPr="00283806" w:rsidRDefault="001265CA">
      <w:pPr>
        <w:pStyle w:val="BodyText"/>
        <w:spacing w:before="4" w:line="225" w:lineRule="auto"/>
        <w:ind w:right="68"/>
      </w:pPr>
      <w:r w:rsidRPr="00283806">
        <w:rPr>
          <w:w w:val="105"/>
        </w:rPr>
        <w:t xml:space="preserve">leak rate calculation requires prior records </w:t>
      </w:r>
      <w:proofErr w:type="gramStart"/>
      <w:r w:rsidRPr="00283806">
        <w:rPr>
          <w:w w:val="105"/>
        </w:rPr>
        <w:t>in order to</w:t>
      </w:r>
      <w:proofErr w:type="gramEnd"/>
      <w:r w:rsidRPr="00283806">
        <w:rPr>
          <w:w w:val="105"/>
        </w:rPr>
        <w:t xml:space="preserve"> calculate the leak rate. Since owners or operators are not required to keep </w:t>
      </w:r>
      <w:proofErr w:type="gramStart"/>
      <w:r w:rsidRPr="00283806">
        <w:rPr>
          <w:w w:val="105"/>
        </w:rPr>
        <w:t>records of additions</w:t>
      </w:r>
      <w:proofErr w:type="gramEnd"/>
      <w:r w:rsidRPr="00283806">
        <w:rPr>
          <w:w w:val="105"/>
        </w:rPr>
        <w:t xml:space="preserve"> of refrigerants to an appliance prior to January 1, 2026, owners or operators may calculate leak rates for appliances containing an HFC or HFC substitute with a GWP greater than 53 as though there were no additions prior to that date. For example, if an owner or operator is using the annualizing</w:t>
      </w:r>
      <w:r w:rsidRPr="00283806">
        <w:rPr>
          <w:spacing w:val="40"/>
          <w:w w:val="105"/>
        </w:rPr>
        <w:t xml:space="preserve"> </w:t>
      </w:r>
      <w:r w:rsidRPr="00283806">
        <w:rPr>
          <w:w w:val="105"/>
        </w:rPr>
        <w:t>method for the first addition of refrigerant in calendar year 2026, the second</w:t>
      </w:r>
      <w:r w:rsidRPr="00283806">
        <w:rPr>
          <w:spacing w:val="-3"/>
          <w:w w:val="105"/>
        </w:rPr>
        <w:t xml:space="preserve"> </w:t>
      </w:r>
      <w:r w:rsidRPr="00283806">
        <w:rPr>
          <w:w w:val="105"/>
        </w:rPr>
        <w:t>term</w:t>
      </w:r>
      <w:r w:rsidRPr="00283806">
        <w:rPr>
          <w:spacing w:val="-3"/>
          <w:w w:val="105"/>
        </w:rPr>
        <w:t xml:space="preserve"> </w:t>
      </w:r>
      <w:r w:rsidRPr="00283806">
        <w:rPr>
          <w:w w:val="105"/>
        </w:rPr>
        <w:t>would</w:t>
      </w:r>
      <w:r w:rsidRPr="00283806">
        <w:rPr>
          <w:spacing w:val="-3"/>
          <w:w w:val="105"/>
        </w:rPr>
        <w:t xml:space="preserve"> </w:t>
      </w:r>
      <w:r w:rsidRPr="00283806">
        <w:rPr>
          <w:w w:val="105"/>
        </w:rPr>
        <w:t>be</w:t>
      </w:r>
      <w:r w:rsidRPr="00283806">
        <w:rPr>
          <w:spacing w:val="-3"/>
          <w:w w:val="105"/>
        </w:rPr>
        <w:t xml:space="preserve"> </w:t>
      </w:r>
      <w:r w:rsidRPr="00283806">
        <w:rPr>
          <w:w w:val="105"/>
        </w:rPr>
        <w:t>365/365</w:t>
      </w:r>
      <w:r w:rsidRPr="00283806">
        <w:rPr>
          <w:spacing w:val="-3"/>
          <w:w w:val="105"/>
        </w:rPr>
        <w:t xml:space="preserve"> </w:t>
      </w:r>
      <w:r w:rsidRPr="00283806">
        <w:rPr>
          <w:w w:val="105"/>
        </w:rPr>
        <w:t>(or</w:t>
      </w:r>
      <w:r w:rsidRPr="00283806">
        <w:rPr>
          <w:spacing w:val="-3"/>
          <w:w w:val="105"/>
        </w:rPr>
        <w:t xml:space="preserve"> </w:t>
      </w:r>
      <w:r w:rsidRPr="00283806">
        <w:rPr>
          <w:w w:val="105"/>
        </w:rPr>
        <w:t>‘‘1’’). For subsequent additions the second term would be 365 divided by the shorter of the number of days since refrigerant was last added or 365.</w:t>
      </w:r>
    </w:p>
    <w:p w14:paraId="16F88873" w14:textId="77777777" w:rsidR="00D67C1E" w:rsidRPr="00283806" w:rsidRDefault="001265CA">
      <w:pPr>
        <w:pStyle w:val="BodyText"/>
        <w:spacing w:line="225" w:lineRule="auto"/>
        <w:ind w:right="-1"/>
      </w:pPr>
      <w:r w:rsidRPr="00283806">
        <w:rPr>
          <w:w w:val="110"/>
        </w:rPr>
        <w:t>Alternatively,</w:t>
      </w:r>
      <w:r w:rsidRPr="00283806">
        <w:rPr>
          <w:spacing w:val="-5"/>
          <w:w w:val="110"/>
        </w:rPr>
        <w:t xml:space="preserve"> </w:t>
      </w:r>
      <w:r w:rsidRPr="00283806">
        <w:rPr>
          <w:w w:val="110"/>
        </w:rPr>
        <w:t>if</w:t>
      </w:r>
      <w:r w:rsidRPr="00283806">
        <w:rPr>
          <w:spacing w:val="-5"/>
          <w:w w:val="110"/>
        </w:rPr>
        <w:t xml:space="preserve"> </w:t>
      </w:r>
      <w:r w:rsidRPr="00283806">
        <w:rPr>
          <w:w w:val="110"/>
        </w:rPr>
        <w:t>an</w:t>
      </w:r>
      <w:r w:rsidRPr="00283806">
        <w:rPr>
          <w:spacing w:val="-5"/>
          <w:w w:val="110"/>
        </w:rPr>
        <w:t xml:space="preserve"> </w:t>
      </w:r>
      <w:r w:rsidRPr="00283806">
        <w:rPr>
          <w:w w:val="110"/>
        </w:rPr>
        <w:t>owner</w:t>
      </w:r>
      <w:r w:rsidRPr="00283806">
        <w:rPr>
          <w:spacing w:val="-5"/>
          <w:w w:val="110"/>
        </w:rPr>
        <w:t xml:space="preserve"> </w:t>
      </w:r>
      <w:r w:rsidRPr="00283806">
        <w:rPr>
          <w:w w:val="110"/>
        </w:rPr>
        <w:t>or</w:t>
      </w:r>
      <w:r w:rsidRPr="00283806">
        <w:rPr>
          <w:spacing w:val="-5"/>
          <w:w w:val="110"/>
        </w:rPr>
        <w:t xml:space="preserve"> </w:t>
      </w:r>
      <w:r w:rsidRPr="00283806">
        <w:rPr>
          <w:w w:val="110"/>
        </w:rPr>
        <w:t>operator</w:t>
      </w:r>
      <w:r w:rsidRPr="00283806">
        <w:rPr>
          <w:spacing w:val="-5"/>
          <w:w w:val="110"/>
        </w:rPr>
        <w:t xml:space="preserve"> </w:t>
      </w:r>
      <w:r w:rsidRPr="00283806">
        <w:rPr>
          <w:w w:val="110"/>
        </w:rPr>
        <w:t xml:space="preserve">is </w:t>
      </w:r>
      <w:r w:rsidRPr="00283806">
        <w:t>using the rolling average method, for the</w:t>
      </w:r>
      <w:r w:rsidRPr="00283806">
        <w:rPr>
          <w:spacing w:val="40"/>
          <w:w w:val="110"/>
        </w:rPr>
        <w:t xml:space="preserve"> </w:t>
      </w:r>
      <w:r w:rsidRPr="00283806">
        <w:rPr>
          <w:w w:val="110"/>
        </w:rPr>
        <w:t xml:space="preserve">first addition of refrigerant in calendar year 2026, the numerator would be the pounds of refrigerant added since the shorter of January 1, 2026, or the last successful follow-up verification test, if one was conducted in 2026. For subsequent additions the numerator would be the pounds of refrigerant added since </w:t>
      </w:r>
      <w:proofErr w:type="gramStart"/>
      <w:r w:rsidRPr="00283806">
        <w:rPr>
          <w:w w:val="110"/>
        </w:rPr>
        <w:t>the</w:t>
      </w:r>
      <w:proofErr w:type="gramEnd"/>
      <w:r w:rsidRPr="00283806">
        <w:rPr>
          <w:w w:val="110"/>
        </w:rPr>
        <w:t xml:space="preserve"> shorter of 365 days or </w:t>
      </w:r>
      <w:r w:rsidRPr="00283806">
        <w:rPr>
          <w:spacing w:val="-2"/>
          <w:w w:val="110"/>
        </w:rPr>
        <w:t xml:space="preserve">the last successful follow-up verification </w:t>
      </w:r>
      <w:r w:rsidRPr="00283806">
        <w:rPr>
          <w:w w:val="110"/>
        </w:rPr>
        <w:t>test. The Agency clarifies that this method of calculating the leak rate is only</w:t>
      </w:r>
      <w:r w:rsidRPr="00283806">
        <w:rPr>
          <w:spacing w:val="-11"/>
          <w:w w:val="110"/>
        </w:rPr>
        <w:t xml:space="preserve"> </w:t>
      </w:r>
      <w:r w:rsidRPr="00283806">
        <w:rPr>
          <w:w w:val="110"/>
        </w:rPr>
        <w:t>allowed</w:t>
      </w:r>
      <w:r w:rsidRPr="00283806">
        <w:rPr>
          <w:spacing w:val="-11"/>
          <w:w w:val="110"/>
        </w:rPr>
        <w:t xml:space="preserve"> </w:t>
      </w:r>
      <w:r w:rsidRPr="00283806">
        <w:rPr>
          <w:w w:val="110"/>
        </w:rPr>
        <w:t>when</w:t>
      </w:r>
      <w:r w:rsidRPr="00283806">
        <w:rPr>
          <w:spacing w:val="-11"/>
          <w:w w:val="110"/>
        </w:rPr>
        <w:t xml:space="preserve"> </w:t>
      </w:r>
      <w:r w:rsidRPr="00283806">
        <w:rPr>
          <w:w w:val="110"/>
        </w:rPr>
        <w:t>previous</w:t>
      </w:r>
      <w:r w:rsidRPr="00283806">
        <w:rPr>
          <w:spacing w:val="-11"/>
          <w:w w:val="110"/>
        </w:rPr>
        <w:t xml:space="preserve"> </w:t>
      </w:r>
      <w:r w:rsidRPr="00283806">
        <w:rPr>
          <w:w w:val="110"/>
        </w:rPr>
        <w:t>records</w:t>
      </w:r>
      <w:r w:rsidRPr="00283806">
        <w:rPr>
          <w:spacing w:val="-11"/>
          <w:w w:val="110"/>
        </w:rPr>
        <w:t xml:space="preserve"> </w:t>
      </w:r>
      <w:r w:rsidRPr="00283806">
        <w:rPr>
          <w:w w:val="110"/>
        </w:rPr>
        <w:t xml:space="preserve">are absent. After the effective date of this provision and the first calculation of an appliance’s leak rate, the owner or </w:t>
      </w:r>
      <w:r w:rsidRPr="00283806">
        <w:t>operator must use the shorter number of</w:t>
      </w:r>
      <w:r w:rsidRPr="00283806">
        <w:rPr>
          <w:w w:val="110"/>
        </w:rPr>
        <w:t xml:space="preserve"> days since refrigerant is added or 365 days for subsequent leak rate </w:t>
      </w:r>
      <w:r w:rsidRPr="00283806">
        <w:rPr>
          <w:spacing w:val="-2"/>
          <w:w w:val="110"/>
        </w:rPr>
        <w:t>calculations.</w:t>
      </w:r>
    </w:p>
    <w:p w14:paraId="57975D66" w14:textId="77777777" w:rsidR="00D67C1E" w:rsidRPr="00283806" w:rsidRDefault="001265CA">
      <w:pPr>
        <w:spacing w:line="177" w:lineRule="exact"/>
        <w:ind w:left="340"/>
        <w:rPr>
          <w:sz w:val="18"/>
        </w:rPr>
      </w:pPr>
      <w:r w:rsidRPr="00283806">
        <w:rPr>
          <w:rFonts w:ascii="Book Antiqua"/>
          <w:i/>
          <w:w w:val="110"/>
          <w:sz w:val="18"/>
        </w:rPr>
        <w:t>Comment:</w:t>
      </w:r>
      <w:r w:rsidRPr="00283806">
        <w:rPr>
          <w:rFonts w:ascii="Book Antiqua"/>
          <w:i/>
          <w:spacing w:val="2"/>
          <w:w w:val="110"/>
          <w:sz w:val="18"/>
        </w:rPr>
        <w:t xml:space="preserve"> </w:t>
      </w:r>
      <w:r w:rsidRPr="00283806">
        <w:rPr>
          <w:w w:val="110"/>
          <w:sz w:val="18"/>
        </w:rPr>
        <w:t>The</w:t>
      </w:r>
      <w:r w:rsidRPr="00283806">
        <w:rPr>
          <w:spacing w:val="8"/>
          <w:w w:val="110"/>
          <w:sz w:val="18"/>
        </w:rPr>
        <w:t xml:space="preserve"> </w:t>
      </w:r>
      <w:r w:rsidRPr="00283806">
        <w:rPr>
          <w:w w:val="110"/>
          <w:sz w:val="18"/>
        </w:rPr>
        <w:t>Agency</w:t>
      </w:r>
      <w:r w:rsidRPr="00283806">
        <w:rPr>
          <w:spacing w:val="8"/>
          <w:w w:val="110"/>
          <w:sz w:val="18"/>
        </w:rPr>
        <w:t xml:space="preserve"> </w:t>
      </w:r>
      <w:r w:rsidRPr="00283806">
        <w:rPr>
          <w:spacing w:val="-2"/>
          <w:w w:val="110"/>
          <w:sz w:val="18"/>
        </w:rPr>
        <w:t>received</w:t>
      </w:r>
    </w:p>
    <w:p w14:paraId="64E6F6AE" w14:textId="77777777" w:rsidR="00D67C1E" w:rsidRPr="00283806" w:rsidRDefault="001265CA">
      <w:pPr>
        <w:pStyle w:val="BodyText"/>
        <w:spacing w:line="225" w:lineRule="auto"/>
        <w:ind w:right="65"/>
      </w:pPr>
      <w:r w:rsidRPr="00283806">
        <w:rPr>
          <w:w w:val="105"/>
        </w:rPr>
        <w:t xml:space="preserve">comments in support of the proposed requirements and </w:t>
      </w:r>
      <w:proofErr w:type="gramStart"/>
      <w:r w:rsidRPr="00283806">
        <w:rPr>
          <w:w w:val="105"/>
        </w:rPr>
        <w:t>its</w:t>
      </w:r>
      <w:proofErr w:type="gramEnd"/>
      <w:r w:rsidRPr="00283806">
        <w:rPr>
          <w:w w:val="105"/>
        </w:rPr>
        <w:t xml:space="preserve"> alignment with the leak rate calculations under 40 CFR part 82, subpart F. One of the commenters requested that the Agency allow a</w:t>
      </w:r>
      <w:r w:rsidRPr="00283806">
        <w:rPr>
          <w:spacing w:val="80"/>
          <w:w w:val="105"/>
        </w:rPr>
        <w:t xml:space="preserve"> </w:t>
      </w:r>
      <w:r w:rsidRPr="00283806">
        <w:rPr>
          <w:w w:val="105"/>
        </w:rPr>
        <w:t>facility to move from the annualizing method to the rolling average method</w:t>
      </w:r>
      <w:r w:rsidRPr="00283806">
        <w:rPr>
          <w:spacing w:val="40"/>
          <w:w w:val="105"/>
        </w:rPr>
        <w:t xml:space="preserve"> </w:t>
      </w:r>
      <w:r w:rsidRPr="00283806">
        <w:rPr>
          <w:w w:val="105"/>
        </w:rPr>
        <w:t>for appliances regulated under 40 CFR part 82, subpart F, and 40 CFR part 84, subpart C, which is what EPA assumes the commenter intended to cite. The commenter claims that facility owners that had been using the annualizing method prior to the 2016 CAA Section 608 Rule continued to use that method due to the lack of compliance assistance and unknowns regarding technicians’ ability to consistently document leak inspections. The commenter suggests that EPA could allow an appliance that has not experienced a leak event in over a year to move to a different leak calculation method.</w:t>
      </w:r>
    </w:p>
    <w:p w14:paraId="0B926F3E" w14:textId="77777777" w:rsidR="00D67C1E" w:rsidRPr="00283806" w:rsidRDefault="001265CA">
      <w:pPr>
        <w:pStyle w:val="BodyText"/>
        <w:spacing w:before="134" w:line="228" w:lineRule="auto"/>
        <w:ind w:left="144" w:right="18" w:firstLine="180"/>
      </w:pPr>
      <w:r w:rsidRPr="00283806">
        <w:br w:type="column"/>
      </w:r>
      <w:r w:rsidRPr="00283806">
        <w:rPr>
          <w:rFonts w:ascii="Book Antiqua" w:hAnsi="Book Antiqua"/>
          <w:i/>
          <w:w w:val="110"/>
        </w:rPr>
        <w:t xml:space="preserve">Response: </w:t>
      </w:r>
      <w:r w:rsidRPr="00283806">
        <w:rPr>
          <w:w w:val="110"/>
        </w:rPr>
        <w:t xml:space="preserve">The Agency acknowledges comments in support of the provision. </w:t>
      </w:r>
      <w:r w:rsidRPr="00283806">
        <w:t>In response to one commenter’s request</w:t>
      </w:r>
      <w:r w:rsidRPr="00283806">
        <w:rPr>
          <w:spacing w:val="80"/>
          <w:w w:val="110"/>
        </w:rPr>
        <w:t xml:space="preserve"> </w:t>
      </w:r>
      <w:r w:rsidRPr="00283806">
        <w:rPr>
          <w:w w:val="110"/>
        </w:rPr>
        <w:t>to allow facility owners to change their leak rate calculation methodology for appliances</w:t>
      </w:r>
      <w:r w:rsidRPr="00283806">
        <w:rPr>
          <w:spacing w:val="-11"/>
          <w:w w:val="110"/>
        </w:rPr>
        <w:t xml:space="preserve"> </w:t>
      </w:r>
      <w:r w:rsidRPr="00283806">
        <w:rPr>
          <w:w w:val="110"/>
        </w:rPr>
        <w:t>regulated</w:t>
      </w:r>
      <w:r w:rsidRPr="00283806">
        <w:rPr>
          <w:spacing w:val="-11"/>
          <w:w w:val="110"/>
        </w:rPr>
        <w:t xml:space="preserve"> </w:t>
      </w:r>
      <w:r w:rsidRPr="00283806">
        <w:rPr>
          <w:w w:val="110"/>
        </w:rPr>
        <w:t>under</w:t>
      </w:r>
      <w:r w:rsidRPr="00283806">
        <w:rPr>
          <w:spacing w:val="-11"/>
          <w:w w:val="110"/>
        </w:rPr>
        <w:t xml:space="preserve"> </w:t>
      </w:r>
      <w:r w:rsidRPr="00283806">
        <w:rPr>
          <w:w w:val="110"/>
        </w:rPr>
        <w:t>40</w:t>
      </w:r>
      <w:r w:rsidRPr="00283806">
        <w:rPr>
          <w:spacing w:val="-11"/>
          <w:w w:val="110"/>
        </w:rPr>
        <w:t xml:space="preserve"> </w:t>
      </w:r>
      <w:r w:rsidRPr="00283806">
        <w:rPr>
          <w:w w:val="110"/>
        </w:rPr>
        <w:t>CFR</w:t>
      </w:r>
      <w:r w:rsidRPr="00283806">
        <w:rPr>
          <w:spacing w:val="-11"/>
          <w:w w:val="110"/>
        </w:rPr>
        <w:t xml:space="preserve"> </w:t>
      </w:r>
      <w:r w:rsidRPr="00283806">
        <w:rPr>
          <w:w w:val="110"/>
        </w:rPr>
        <w:t xml:space="preserve">part 82, subpart F, and 40 CFR part 84, subpart C, EPA </w:t>
      </w:r>
      <w:proofErr w:type="gramStart"/>
      <w:r w:rsidRPr="00283806">
        <w:rPr>
          <w:w w:val="110"/>
        </w:rPr>
        <w:t>notes that comments</w:t>
      </w:r>
      <w:proofErr w:type="gramEnd"/>
      <w:r w:rsidRPr="00283806">
        <w:rPr>
          <w:w w:val="110"/>
        </w:rPr>
        <w:t xml:space="preserve"> related to requirements under 40 CFR part</w:t>
      </w:r>
      <w:r w:rsidRPr="00283806">
        <w:rPr>
          <w:spacing w:val="-7"/>
          <w:w w:val="110"/>
        </w:rPr>
        <w:t xml:space="preserve"> </w:t>
      </w:r>
      <w:r w:rsidRPr="00283806">
        <w:rPr>
          <w:w w:val="110"/>
        </w:rPr>
        <w:t>82,</w:t>
      </w:r>
      <w:r w:rsidRPr="00283806">
        <w:rPr>
          <w:spacing w:val="-7"/>
          <w:w w:val="110"/>
        </w:rPr>
        <w:t xml:space="preserve"> </w:t>
      </w:r>
      <w:r w:rsidRPr="00283806">
        <w:rPr>
          <w:w w:val="110"/>
        </w:rPr>
        <w:t>subpart</w:t>
      </w:r>
      <w:r w:rsidRPr="00283806">
        <w:rPr>
          <w:spacing w:val="-7"/>
          <w:w w:val="110"/>
        </w:rPr>
        <w:t xml:space="preserve"> </w:t>
      </w:r>
      <w:r w:rsidRPr="00283806">
        <w:rPr>
          <w:w w:val="110"/>
        </w:rPr>
        <w:t>F</w:t>
      </w:r>
      <w:r w:rsidRPr="00283806">
        <w:rPr>
          <w:spacing w:val="-7"/>
          <w:w w:val="110"/>
        </w:rPr>
        <w:t xml:space="preserve"> </w:t>
      </w:r>
      <w:r w:rsidRPr="00283806">
        <w:rPr>
          <w:w w:val="110"/>
        </w:rPr>
        <w:t>are</w:t>
      </w:r>
      <w:r w:rsidRPr="00283806">
        <w:rPr>
          <w:spacing w:val="-7"/>
          <w:w w:val="110"/>
        </w:rPr>
        <w:t xml:space="preserve"> </w:t>
      </w:r>
      <w:r w:rsidRPr="00283806">
        <w:rPr>
          <w:w w:val="110"/>
        </w:rPr>
        <w:t>outside</w:t>
      </w:r>
      <w:r w:rsidRPr="00283806">
        <w:rPr>
          <w:spacing w:val="-7"/>
          <w:w w:val="110"/>
        </w:rPr>
        <w:t xml:space="preserve"> </w:t>
      </w:r>
      <w:r w:rsidRPr="00283806">
        <w:rPr>
          <w:w w:val="110"/>
        </w:rPr>
        <w:t>the</w:t>
      </w:r>
      <w:r w:rsidRPr="00283806">
        <w:rPr>
          <w:spacing w:val="-7"/>
          <w:w w:val="110"/>
        </w:rPr>
        <w:t xml:space="preserve"> </w:t>
      </w:r>
      <w:r w:rsidRPr="00283806">
        <w:rPr>
          <w:w w:val="110"/>
        </w:rPr>
        <w:t>scope of this rulemaking and thus require no response. To the extent that the comment</w:t>
      </w:r>
      <w:r w:rsidRPr="00283806">
        <w:rPr>
          <w:spacing w:val="-11"/>
          <w:w w:val="110"/>
        </w:rPr>
        <w:t xml:space="preserve"> </w:t>
      </w:r>
      <w:r w:rsidRPr="00283806">
        <w:rPr>
          <w:w w:val="110"/>
        </w:rPr>
        <w:t>pertains</w:t>
      </w:r>
      <w:r w:rsidRPr="00283806">
        <w:rPr>
          <w:spacing w:val="-11"/>
          <w:w w:val="110"/>
        </w:rPr>
        <w:t xml:space="preserve"> </w:t>
      </w:r>
      <w:r w:rsidRPr="00283806">
        <w:rPr>
          <w:w w:val="110"/>
        </w:rPr>
        <w:t>to</w:t>
      </w:r>
      <w:r w:rsidRPr="00283806">
        <w:rPr>
          <w:spacing w:val="-11"/>
          <w:w w:val="110"/>
        </w:rPr>
        <w:t xml:space="preserve"> </w:t>
      </w:r>
      <w:r w:rsidRPr="00283806">
        <w:rPr>
          <w:w w:val="110"/>
        </w:rPr>
        <w:t>appliances</w:t>
      </w:r>
      <w:r w:rsidRPr="00283806">
        <w:rPr>
          <w:spacing w:val="-11"/>
          <w:w w:val="110"/>
        </w:rPr>
        <w:t xml:space="preserve"> </w:t>
      </w:r>
      <w:r w:rsidRPr="00283806">
        <w:rPr>
          <w:w w:val="110"/>
        </w:rPr>
        <w:t xml:space="preserve">subject to requirements to calculate leak rates under this action, the Agency requires that once a leak rate calculation has been chosen, a facility owner cannot switch to the other method. The leak rate calculation methods use different paradigms to calculate a leak rate, and switching between the two methods would not provide the facility owner with an accurate leak rate calculation. Furthermore, allowing an owner or operator to freely switch between leak calculation methods incentivizes non- compliance with the leak repair requirements in this final rule. As discussed in this section, the two leak </w:t>
      </w:r>
      <w:r w:rsidRPr="00283806">
        <w:t>rate calculation methodologies are using</w:t>
      </w:r>
      <w:r w:rsidRPr="00283806">
        <w:rPr>
          <w:spacing w:val="40"/>
          <w:w w:val="110"/>
        </w:rPr>
        <w:t xml:space="preserve"> </w:t>
      </w:r>
      <w:r w:rsidRPr="00283806">
        <w:rPr>
          <w:w w:val="110"/>
        </w:rPr>
        <w:t>different time frames (</w:t>
      </w:r>
      <w:r w:rsidRPr="00283806">
        <w:rPr>
          <w:rFonts w:ascii="Book Antiqua" w:hAnsi="Book Antiqua"/>
          <w:i/>
          <w:w w:val="110"/>
        </w:rPr>
        <w:t xml:space="preserve">i.e., </w:t>
      </w:r>
      <w:r w:rsidRPr="00283806">
        <w:rPr>
          <w:w w:val="110"/>
        </w:rPr>
        <w:t>the annualizing</w:t>
      </w:r>
      <w:r w:rsidRPr="00283806">
        <w:rPr>
          <w:spacing w:val="-2"/>
          <w:w w:val="110"/>
        </w:rPr>
        <w:t xml:space="preserve"> </w:t>
      </w:r>
      <w:r w:rsidRPr="00283806">
        <w:rPr>
          <w:w w:val="110"/>
        </w:rPr>
        <w:t>method</w:t>
      </w:r>
      <w:r w:rsidRPr="00283806">
        <w:rPr>
          <w:spacing w:val="-2"/>
          <w:w w:val="110"/>
        </w:rPr>
        <w:t xml:space="preserve"> </w:t>
      </w:r>
      <w:r w:rsidRPr="00283806">
        <w:rPr>
          <w:w w:val="110"/>
        </w:rPr>
        <w:t>is</w:t>
      </w:r>
      <w:r w:rsidRPr="00283806">
        <w:rPr>
          <w:spacing w:val="-2"/>
          <w:w w:val="110"/>
        </w:rPr>
        <w:t xml:space="preserve"> </w:t>
      </w:r>
      <w:r w:rsidRPr="00283806">
        <w:rPr>
          <w:w w:val="110"/>
        </w:rPr>
        <w:t>prospective,</w:t>
      </w:r>
      <w:r w:rsidRPr="00283806">
        <w:rPr>
          <w:spacing w:val="-2"/>
          <w:w w:val="110"/>
        </w:rPr>
        <w:t xml:space="preserve"> </w:t>
      </w:r>
      <w:r w:rsidRPr="00283806">
        <w:rPr>
          <w:w w:val="110"/>
        </w:rPr>
        <w:t xml:space="preserve">and the rolling average method is </w:t>
      </w:r>
      <w:r w:rsidRPr="00283806">
        <w:t>retrospective) so switching between the</w:t>
      </w:r>
      <w:r w:rsidRPr="00283806">
        <w:rPr>
          <w:w w:val="110"/>
        </w:rPr>
        <w:t xml:space="preserve"> two methods would create </w:t>
      </w:r>
      <w:r w:rsidRPr="00283806">
        <w:rPr>
          <w:spacing w:val="-2"/>
          <w:w w:val="110"/>
        </w:rPr>
        <w:t>inconsistencies.</w:t>
      </w:r>
    </w:p>
    <w:p w14:paraId="0BC264EF" w14:textId="77777777" w:rsidR="00D67C1E" w:rsidRPr="00283806" w:rsidRDefault="001265CA">
      <w:pPr>
        <w:pStyle w:val="BodyText"/>
        <w:spacing w:before="2" w:line="228" w:lineRule="auto"/>
        <w:ind w:left="144" w:right="33" w:firstLine="180"/>
      </w:pPr>
      <w:r w:rsidRPr="00283806">
        <w:rPr>
          <w:w w:val="105"/>
        </w:rPr>
        <w:t>The Agency is providing a narrow exception for owners or operators to switch</w:t>
      </w:r>
      <w:r w:rsidRPr="00283806">
        <w:rPr>
          <w:spacing w:val="40"/>
          <w:w w:val="105"/>
        </w:rPr>
        <w:t xml:space="preserve"> </w:t>
      </w:r>
      <w:r w:rsidRPr="00283806">
        <w:rPr>
          <w:w w:val="105"/>
        </w:rPr>
        <w:t>their</w:t>
      </w:r>
      <w:r w:rsidRPr="00283806">
        <w:rPr>
          <w:spacing w:val="40"/>
          <w:w w:val="105"/>
        </w:rPr>
        <w:t xml:space="preserve"> </w:t>
      </w:r>
      <w:r w:rsidRPr="00283806">
        <w:rPr>
          <w:w w:val="105"/>
        </w:rPr>
        <w:t>leak</w:t>
      </w:r>
      <w:r w:rsidRPr="00283806">
        <w:rPr>
          <w:spacing w:val="40"/>
          <w:w w:val="105"/>
        </w:rPr>
        <w:t xml:space="preserve"> </w:t>
      </w:r>
      <w:r w:rsidRPr="00283806">
        <w:rPr>
          <w:w w:val="105"/>
        </w:rPr>
        <w:t>rate</w:t>
      </w:r>
      <w:r w:rsidRPr="00283806">
        <w:rPr>
          <w:spacing w:val="40"/>
          <w:w w:val="105"/>
        </w:rPr>
        <w:t xml:space="preserve"> </w:t>
      </w:r>
      <w:r w:rsidRPr="00283806">
        <w:rPr>
          <w:w w:val="105"/>
        </w:rPr>
        <w:t xml:space="preserve">calculation method in the event of a change in ownership if three conditions are met. First, an owner or operator must have recently purchased or otherwise </w:t>
      </w:r>
      <w:proofErr w:type="gramStart"/>
      <w:r w:rsidRPr="00283806">
        <w:rPr>
          <w:w w:val="105"/>
        </w:rPr>
        <w:t>acquire</w:t>
      </w:r>
      <w:proofErr w:type="gramEnd"/>
      <w:r w:rsidRPr="00283806">
        <w:rPr>
          <w:w w:val="105"/>
        </w:rPr>
        <w:t xml:space="preserve"> a separate facility that was using a different leak rate calculation method than the method currently used by the purchaser. Second, the owner or</w:t>
      </w:r>
      <w:r w:rsidRPr="00283806">
        <w:rPr>
          <w:spacing w:val="40"/>
          <w:w w:val="105"/>
        </w:rPr>
        <w:t xml:space="preserve"> </w:t>
      </w:r>
      <w:r w:rsidRPr="00283806">
        <w:rPr>
          <w:w w:val="105"/>
        </w:rPr>
        <w:t>operator</w:t>
      </w:r>
      <w:r w:rsidRPr="00283806">
        <w:rPr>
          <w:spacing w:val="-8"/>
          <w:w w:val="105"/>
        </w:rPr>
        <w:t xml:space="preserve"> </w:t>
      </w:r>
      <w:r w:rsidRPr="00283806">
        <w:rPr>
          <w:w w:val="105"/>
        </w:rPr>
        <w:t>must</w:t>
      </w:r>
      <w:r w:rsidRPr="00283806">
        <w:rPr>
          <w:spacing w:val="-8"/>
          <w:w w:val="105"/>
        </w:rPr>
        <w:t xml:space="preserve"> </w:t>
      </w:r>
      <w:r w:rsidRPr="00283806">
        <w:rPr>
          <w:w w:val="105"/>
        </w:rPr>
        <w:t>ensure</w:t>
      </w:r>
      <w:r w:rsidRPr="00283806">
        <w:rPr>
          <w:spacing w:val="-8"/>
          <w:w w:val="105"/>
        </w:rPr>
        <w:t xml:space="preserve"> </w:t>
      </w:r>
      <w:r w:rsidRPr="00283806">
        <w:rPr>
          <w:w w:val="105"/>
        </w:rPr>
        <w:t>that</w:t>
      </w:r>
      <w:r w:rsidRPr="00283806">
        <w:rPr>
          <w:spacing w:val="-8"/>
          <w:w w:val="105"/>
        </w:rPr>
        <w:t xml:space="preserve"> </w:t>
      </w:r>
      <w:r w:rsidRPr="00283806">
        <w:rPr>
          <w:w w:val="105"/>
        </w:rPr>
        <w:t>all</w:t>
      </w:r>
      <w:r w:rsidRPr="00283806">
        <w:rPr>
          <w:spacing w:val="-8"/>
          <w:w w:val="105"/>
        </w:rPr>
        <w:t xml:space="preserve"> </w:t>
      </w:r>
      <w:r w:rsidRPr="00283806">
        <w:rPr>
          <w:w w:val="105"/>
        </w:rPr>
        <w:t>refrigerant- containing appliances at their facilities are leaking below the applicable leak</w:t>
      </w:r>
      <w:r w:rsidRPr="00283806">
        <w:rPr>
          <w:spacing w:val="80"/>
          <w:w w:val="105"/>
        </w:rPr>
        <w:t xml:space="preserve"> </w:t>
      </w:r>
      <w:r w:rsidRPr="00283806">
        <w:rPr>
          <w:w w:val="105"/>
        </w:rPr>
        <w:t>rate thresholds for said appliances when the leak rate is calculated using both methods. For example, if one supermarket were to purchase another supermarket that was using a different leak rate calculation than the purchaser, the owner or operator may change the leak rate calculation method to ensure that all appliances at their facilities are using the same leak rate calculation.</w:t>
      </w:r>
    </w:p>
    <w:p w14:paraId="3BA6DC46" w14:textId="77777777" w:rsidR="00D67C1E" w:rsidRPr="00283806" w:rsidRDefault="001265CA">
      <w:pPr>
        <w:pStyle w:val="BodyText"/>
        <w:spacing w:line="185" w:lineRule="exact"/>
        <w:ind w:left="144"/>
      </w:pPr>
      <w:r w:rsidRPr="00283806">
        <w:rPr>
          <w:w w:val="105"/>
        </w:rPr>
        <w:t>The owner</w:t>
      </w:r>
      <w:r w:rsidRPr="00283806">
        <w:rPr>
          <w:spacing w:val="1"/>
          <w:w w:val="105"/>
        </w:rPr>
        <w:t xml:space="preserve"> </w:t>
      </w:r>
      <w:r w:rsidRPr="00283806">
        <w:rPr>
          <w:w w:val="105"/>
        </w:rPr>
        <w:t>or</w:t>
      </w:r>
      <w:r w:rsidRPr="00283806">
        <w:rPr>
          <w:spacing w:val="1"/>
          <w:w w:val="105"/>
        </w:rPr>
        <w:t xml:space="preserve"> </w:t>
      </w:r>
      <w:r w:rsidRPr="00283806">
        <w:rPr>
          <w:w w:val="105"/>
        </w:rPr>
        <w:t>operator</w:t>
      </w:r>
      <w:r w:rsidRPr="00283806">
        <w:rPr>
          <w:spacing w:val="1"/>
          <w:w w:val="105"/>
        </w:rPr>
        <w:t xml:space="preserve"> </w:t>
      </w:r>
      <w:r w:rsidRPr="00283806">
        <w:rPr>
          <w:w w:val="105"/>
        </w:rPr>
        <w:t>must</w:t>
      </w:r>
      <w:r w:rsidRPr="00283806">
        <w:rPr>
          <w:spacing w:val="1"/>
          <w:w w:val="105"/>
        </w:rPr>
        <w:t xml:space="preserve"> </w:t>
      </w:r>
      <w:r w:rsidRPr="00283806">
        <w:rPr>
          <w:w w:val="105"/>
        </w:rPr>
        <w:t>ensure</w:t>
      </w:r>
      <w:r w:rsidRPr="00283806">
        <w:rPr>
          <w:spacing w:val="1"/>
          <w:w w:val="105"/>
        </w:rPr>
        <w:t xml:space="preserve"> </w:t>
      </w:r>
      <w:r w:rsidRPr="00283806">
        <w:rPr>
          <w:spacing w:val="-4"/>
          <w:w w:val="105"/>
        </w:rPr>
        <w:t>that</w:t>
      </w:r>
    </w:p>
    <w:p w14:paraId="0B5D2CCB" w14:textId="77777777" w:rsidR="00D67C1E" w:rsidRPr="00283806" w:rsidRDefault="001265CA">
      <w:pPr>
        <w:pStyle w:val="BodyText"/>
        <w:spacing w:before="5" w:line="225" w:lineRule="auto"/>
        <w:ind w:left="144" w:right="22"/>
      </w:pPr>
      <w:r w:rsidRPr="00283806">
        <w:rPr>
          <w:w w:val="105"/>
        </w:rPr>
        <w:t>refrigerant-containing appliances at both facilities are leaking below the</w:t>
      </w:r>
      <w:r w:rsidRPr="00283806">
        <w:rPr>
          <w:spacing w:val="80"/>
          <w:w w:val="105"/>
        </w:rPr>
        <w:t xml:space="preserve"> </w:t>
      </w:r>
      <w:r w:rsidRPr="00283806">
        <w:rPr>
          <w:w w:val="105"/>
        </w:rPr>
        <w:t>applicable leak rate threshold when calculating the leak rate using both methods (</w:t>
      </w:r>
      <w:r w:rsidRPr="00283806">
        <w:rPr>
          <w:rFonts w:ascii="Book Antiqua"/>
          <w:i/>
          <w:w w:val="105"/>
        </w:rPr>
        <w:t xml:space="preserve">i.e., </w:t>
      </w:r>
      <w:r w:rsidRPr="00283806">
        <w:rPr>
          <w:w w:val="105"/>
        </w:rPr>
        <w:t>that there is no</w:t>
      </w:r>
      <w:r w:rsidRPr="00283806">
        <w:rPr>
          <w:spacing w:val="80"/>
          <w:w w:val="105"/>
        </w:rPr>
        <w:t xml:space="preserve"> </w:t>
      </w:r>
      <w:r w:rsidRPr="00283806">
        <w:rPr>
          <w:w w:val="105"/>
        </w:rPr>
        <w:t xml:space="preserve">exceedance of the leak rate threshold under either method) </w:t>
      </w:r>
      <w:proofErr w:type="gramStart"/>
      <w:r w:rsidRPr="00283806">
        <w:rPr>
          <w:w w:val="105"/>
        </w:rPr>
        <w:t>and</w:t>
      </w:r>
      <w:proofErr w:type="gramEnd"/>
      <w:r w:rsidRPr="00283806">
        <w:rPr>
          <w:w w:val="105"/>
        </w:rPr>
        <w:t xml:space="preserve"> must</w:t>
      </w:r>
    </w:p>
    <w:p w14:paraId="108C268A" w14:textId="77777777" w:rsidR="00D67C1E" w:rsidRPr="00283806" w:rsidRDefault="001265CA">
      <w:pPr>
        <w:pStyle w:val="BodyText"/>
        <w:spacing w:before="136" w:line="223" w:lineRule="auto"/>
        <w:ind w:left="142" w:right="188"/>
      </w:pPr>
      <w:r w:rsidRPr="00283806">
        <w:br w:type="column"/>
      </w:r>
      <w:r w:rsidRPr="00283806">
        <w:rPr>
          <w:w w:val="105"/>
        </w:rPr>
        <w:t>document and keep a record of this change. Third, records of this change must be kept in accordance with 40 CFR 84.106(l)(3). EPA clarifies that an owner or operator may not change their leak rate calculation if it results in the avoidance of leak repair (</w:t>
      </w:r>
      <w:r w:rsidRPr="00283806">
        <w:rPr>
          <w:rFonts w:ascii="Book Antiqua"/>
          <w:i/>
          <w:w w:val="105"/>
        </w:rPr>
        <w:t xml:space="preserve">e.g., </w:t>
      </w:r>
      <w:r w:rsidRPr="00283806">
        <w:rPr>
          <w:w w:val="105"/>
        </w:rPr>
        <w:t>if an appliance would be over the leak rate threshold using one method and below</w:t>
      </w:r>
      <w:r w:rsidRPr="00283806">
        <w:rPr>
          <w:spacing w:val="80"/>
          <w:w w:val="105"/>
        </w:rPr>
        <w:t xml:space="preserve"> </w:t>
      </w:r>
      <w:r w:rsidRPr="00283806">
        <w:rPr>
          <w:w w:val="105"/>
        </w:rPr>
        <w:t xml:space="preserve">it </w:t>
      </w:r>
      <w:proofErr w:type="gramStart"/>
      <w:r w:rsidRPr="00283806">
        <w:rPr>
          <w:w w:val="105"/>
        </w:rPr>
        <w:t>using</w:t>
      </w:r>
      <w:proofErr w:type="gramEnd"/>
      <w:r w:rsidRPr="00283806">
        <w:rPr>
          <w:w w:val="105"/>
        </w:rPr>
        <w:t xml:space="preserve"> the other method).</w:t>
      </w:r>
    </w:p>
    <w:p w14:paraId="6BAF37D9" w14:textId="77777777" w:rsidR="00D67C1E" w:rsidRPr="00283806" w:rsidRDefault="001265CA">
      <w:pPr>
        <w:pStyle w:val="BodyText"/>
        <w:spacing w:line="225" w:lineRule="auto"/>
        <w:ind w:left="142" w:right="176" w:firstLine="180"/>
      </w:pPr>
      <w:r w:rsidRPr="00283806">
        <w:rPr>
          <w:rFonts w:ascii="Book Antiqua" w:hAnsi="Book Antiqua"/>
          <w:i/>
          <w:w w:val="105"/>
        </w:rPr>
        <w:t xml:space="preserve">Comment: </w:t>
      </w:r>
      <w:r w:rsidRPr="00283806">
        <w:rPr>
          <w:w w:val="105"/>
        </w:rPr>
        <w:t>One commenter did not support the leak rate methodologies in the proposed rule. One commenter</w:t>
      </w:r>
      <w:r w:rsidRPr="00283806">
        <w:rPr>
          <w:spacing w:val="40"/>
          <w:w w:val="105"/>
        </w:rPr>
        <w:t xml:space="preserve"> </w:t>
      </w:r>
      <w:r w:rsidRPr="00283806">
        <w:rPr>
          <w:w w:val="105"/>
        </w:rPr>
        <w:t>stated the methodologies were unduly complicated and resource-intensive and pose significant challenges for</w:t>
      </w:r>
      <w:r w:rsidRPr="00283806">
        <w:rPr>
          <w:spacing w:val="40"/>
          <w:w w:val="105"/>
        </w:rPr>
        <w:t xml:space="preserve"> </w:t>
      </w:r>
      <w:r w:rsidRPr="00283806">
        <w:rPr>
          <w:w w:val="105"/>
        </w:rPr>
        <w:t>companies that have multiple sites with appliances subject to these</w:t>
      </w:r>
      <w:r w:rsidRPr="00283806">
        <w:rPr>
          <w:spacing w:val="40"/>
          <w:w w:val="105"/>
        </w:rPr>
        <w:t xml:space="preserve"> </w:t>
      </w:r>
      <w:r w:rsidRPr="00283806">
        <w:rPr>
          <w:w w:val="105"/>
        </w:rPr>
        <w:t>requirements. The commenter’s perspective on the rule led them to believe that each leak must be documented separately, with its own verification test. The commenter further asserted that it would be impossible to know how much refrigerant was lost for each leak and that finalizing the</w:t>
      </w:r>
      <w:r w:rsidRPr="00283806">
        <w:rPr>
          <w:spacing w:val="40"/>
          <w:w w:val="105"/>
        </w:rPr>
        <w:t xml:space="preserve"> </w:t>
      </w:r>
      <w:r w:rsidRPr="00283806">
        <w:rPr>
          <w:w w:val="105"/>
        </w:rPr>
        <w:t>proposed methods would thus be arbitrary and capricious. This</w:t>
      </w:r>
      <w:r w:rsidRPr="00283806">
        <w:rPr>
          <w:spacing w:val="40"/>
          <w:w w:val="105"/>
        </w:rPr>
        <w:t xml:space="preserve"> </w:t>
      </w:r>
      <w:r w:rsidRPr="00283806">
        <w:rPr>
          <w:w w:val="105"/>
        </w:rPr>
        <w:t>commenter suggested that EPA could greatly simplify compliance by allowing owners and operators to calculate leak rates (and by setting compliance obligation triggers) based upon the percentage of total full charge that an appliance has leaked, cumulatively, during a calendar year. The commenter incorrectly stated that this calculation would</w:t>
      </w:r>
      <w:r w:rsidRPr="00283806">
        <w:rPr>
          <w:spacing w:val="-1"/>
          <w:w w:val="105"/>
        </w:rPr>
        <w:t xml:space="preserve"> </w:t>
      </w:r>
      <w:r w:rsidRPr="00283806">
        <w:rPr>
          <w:w w:val="105"/>
        </w:rPr>
        <w:t>mirror</w:t>
      </w:r>
      <w:r w:rsidRPr="00283806">
        <w:rPr>
          <w:spacing w:val="-1"/>
          <w:w w:val="105"/>
        </w:rPr>
        <w:t xml:space="preserve"> </w:t>
      </w:r>
      <w:r w:rsidRPr="00283806">
        <w:rPr>
          <w:w w:val="105"/>
        </w:rPr>
        <w:t>the</w:t>
      </w:r>
      <w:r w:rsidRPr="00283806">
        <w:rPr>
          <w:spacing w:val="-1"/>
          <w:w w:val="105"/>
        </w:rPr>
        <w:t xml:space="preserve"> </w:t>
      </w:r>
      <w:r w:rsidRPr="00283806">
        <w:rPr>
          <w:w w:val="105"/>
        </w:rPr>
        <w:t>process</w:t>
      </w:r>
      <w:r w:rsidRPr="00283806">
        <w:rPr>
          <w:spacing w:val="-1"/>
          <w:w w:val="105"/>
        </w:rPr>
        <w:t xml:space="preserve"> </w:t>
      </w:r>
      <w:r w:rsidRPr="00283806">
        <w:rPr>
          <w:w w:val="105"/>
        </w:rPr>
        <w:t>that</w:t>
      </w:r>
      <w:r w:rsidRPr="00283806">
        <w:rPr>
          <w:spacing w:val="-1"/>
          <w:w w:val="105"/>
        </w:rPr>
        <w:t xml:space="preserve"> </w:t>
      </w:r>
      <w:r w:rsidRPr="00283806">
        <w:rPr>
          <w:w w:val="105"/>
        </w:rPr>
        <w:t>owners</w:t>
      </w:r>
      <w:r w:rsidRPr="00283806">
        <w:rPr>
          <w:spacing w:val="-1"/>
          <w:w w:val="105"/>
        </w:rPr>
        <w:t xml:space="preserve"> </w:t>
      </w:r>
      <w:r w:rsidRPr="00283806">
        <w:rPr>
          <w:w w:val="105"/>
        </w:rPr>
        <w:t>or operators use to calculate whether an appliance is above the 125 percent threshold for chronically leaking appliances. The commenter also requested clarification on the leak calculation if there are two</w:t>
      </w:r>
      <w:r w:rsidRPr="00283806">
        <w:rPr>
          <w:spacing w:val="80"/>
          <w:w w:val="150"/>
        </w:rPr>
        <w:t xml:space="preserve"> </w:t>
      </w:r>
      <w:r w:rsidRPr="00283806">
        <w:rPr>
          <w:w w:val="105"/>
        </w:rPr>
        <w:t>simultaneous leaks.</w:t>
      </w:r>
    </w:p>
    <w:p w14:paraId="3BFE771E" w14:textId="77777777" w:rsidR="00D67C1E" w:rsidRPr="00283806" w:rsidRDefault="001265CA">
      <w:pPr>
        <w:spacing w:line="163" w:lineRule="exact"/>
        <w:ind w:left="322"/>
        <w:rPr>
          <w:sz w:val="18"/>
        </w:rPr>
      </w:pPr>
      <w:r w:rsidRPr="00283806">
        <w:rPr>
          <w:rFonts w:ascii="Book Antiqua"/>
          <w:i/>
          <w:w w:val="110"/>
          <w:sz w:val="18"/>
        </w:rPr>
        <w:t>Response:</w:t>
      </w:r>
      <w:r w:rsidRPr="00283806">
        <w:rPr>
          <w:rFonts w:ascii="Book Antiqua"/>
          <w:i/>
          <w:spacing w:val="4"/>
          <w:w w:val="110"/>
          <w:sz w:val="18"/>
        </w:rPr>
        <w:t xml:space="preserve"> </w:t>
      </w:r>
      <w:r w:rsidRPr="00283806">
        <w:rPr>
          <w:w w:val="110"/>
          <w:sz w:val="18"/>
        </w:rPr>
        <w:t>EPA</w:t>
      </w:r>
      <w:r w:rsidRPr="00283806">
        <w:rPr>
          <w:spacing w:val="11"/>
          <w:w w:val="110"/>
          <w:sz w:val="18"/>
        </w:rPr>
        <w:t xml:space="preserve"> </w:t>
      </w:r>
      <w:r w:rsidRPr="00283806">
        <w:rPr>
          <w:w w:val="110"/>
          <w:sz w:val="18"/>
        </w:rPr>
        <w:t>is</w:t>
      </w:r>
      <w:r w:rsidRPr="00283806">
        <w:rPr>
          <w:spacing w:val="10"/>
          <w:w w:val="110"/>
          <w:sz w:val="18"/>
        </w:rPr>
        <w:t xml:space="preserve"> </w:t>
      </w:r>
      <w:r w:rsidRPr="00283806">
        <w:rPr>
          <w:w w:val="110"/>
          <w:sz w:val="18"/>
        </w:rPr>
        <w:t>finalizing</w:t>
      </w:r>
      <w:r w:rsidRPr="00283806">
        <w:rPr>
          <w:spacing w:val="10"/>
          <w:w w:val="110"/>
          <w:sz w:val="18"/>
        </w:rPr>
        <w:t xml:space="preserve"> </w:t>
      </w:r>
      <w:r w:rsidRPr="00283806">
        <w:rPr>
          <w:w w:val="110"/>
          <w:sz w:val="18"/>
        </w:rPr>
        <w:t>use</w:t>
      </w:r>
      <w:r w:rsidRPr="00283806">
        <w:rPr>
          <w:spacing w:val="11"/>
          <w:w w:val="110"/>
          <w:sz w:val="18"/>
        </w:rPr>
        <w:t xml:space="preserve"> </w:t>
      </w:r>
      <w:r w:rsidRPr="00283806">
        <w:rPr>
          <w:w w:val="110"/>
          <w:sz w:val="18"/>
        </w:rPr>
        <w:t>of</w:t>
      </w:r>
      <w:r w:rsidRPr="00283806">
        <w:rPr>
          <w:spacing w:val="10"/>
          <w:w w:val="110"/>
          <w:sz w:val="18"/>
        </w:rPr>
        <w:t xml:space="preserve"> </w:t>
      </w:r>
      <w:r w:rsidRPr="00283806">
        <w:rPr>
          <w:spacing w:val="-5"/>
          <w:w w:val="110"/>
          <w:sz w:val="18"/>
        </w:rPr>
        <w:t>the</w:t>
      </w:r>
    </w:p>
    <w:p w14:paraId="2C2C9A55" w14:textId="77777777" w:rsidR="00D67C1E" w:rsidRPr="00283806" w:rsidRDefault="001265CA">
      <w:pPr>
        <w:pStyle w:val="BodyText"/>
        <w:spacing w:line="225" w:lineRule="auto"/>
        <w:ind w:left="142" w:right="180"/>
      </w:pPr>
      <w:r w:rsidRPr="00283806">
        <w:rPr>
          <w:w w:val="105"/>
        </w:rPr>
        <w:t>methodologies for leak rate calculations as proposed. The Agency notes that the later compliance date as compared with the proposal should provide time for owners and operators that were not subject to the ODS requirements to familiarize themselves with the leak calculation methods. The Agency disagrees with the commenter’s assertion that the methodologies are overly burdensome or complicated. The leak rate calculation methodologies are identical</w:t>
      </w:r>
      <w:r w:rsidRPr="00283806">
        <w:rPr>
          <w:spacing w:val="40"/>
          <w:w w:val="105"/>
        </w:rPr>
        <w:t xml:space="preserve"> </w:t>
      </w:r>
      <w:r w:rsidRPr="00283806">
        <w:rPr>
          <w:w w:val="105"/>
        </w:rPr>
        <w:t>to</w:t>
      </w:r>
      <w:r w:rsidRPr="00283806">
        <w:rPr>
          <w:spacing w:val="40"/>
          <w:w w:val="105"/>
        </w:rPr>
        <w:t xml:space="preserve"> </w:t>
      </w:r>
      <w:r w:rsidRPr="00283806">
        <w:rPr>
          <w:w w:val="105"/>
        </w:rPr>
        <w:t>the</w:t>
      </w:r>
      <w:r w:rsidRPr="00283806">
        <w:rPr>
          <w:spacing w:val="40"/>
          <w:w w:val="105"/>
        </w:rPr>
        <w:t xml:space="preserve"> </w:t>
      </w:r>
      <w:r w:rsidRPr="00283806">
        <w:rPr>
          <w:w w:val="105"/>
        </w:rPr>
        <w:t>requirements</w:t>
      </w:r>
      <w:r w:rsidRPr="00283806">
        <w:rPr>
          <w:spacing w:val="40"/>
          <w:w w:val="105"/>
        </w:rPr>
        <w:t xml:space="preserve"> </w:t>
      </w:r>
      <w:r w:rsidRPr="00283806">
        <w:rPr>
          <w:w w:val="105"/>
        </w:rPr>
        <w:t>in</w:t>
      </w:r>
      <w:r w:rsidRPr="00283806">
        <w:rPr>
          <w:spacing w:val="40"/>
          <w:w w:val="105"/>
        </w:rPr>
        <w:t xml:space="preserve"> </w:t>
      </w:r>
      <w:r w:rsidRPr="00283806">
        <w:rPr>
          <w:w w:val="105"/>
        </w:rPr>
        <w:t>the CAA section 608 regulations that have been successfully used for nearly 30 years (see 1995 CAA Section 608 Rule; 60 FR 40420, August 9, 1995). EPA is</w:t>
      </w:r>
    </w:p>
    <w:p w14:paraId="46297FF4" w14:textId="77777777" w:rsidR="00D67C1E" w:rsidRPr="00283806" w:rsidRDefault="001265CA">
      <w:pPr>
        <w:pStyle w:val="BodyText"/>
        <w:spacing w:line="225" w:lineRule="auto"/>
        <w:ind w:left="142" w:right="260"/>
      </w:pPr>
      <w:proofErr w:type="gramStart"/>
      <w:r w:rsidRPr="00283806">
        <w:rPr>
          <w:w w:val="105"/>
        </w:rPr>
        <w:t>providing owners and operators</w:t>
      </w:r>
      <w:proofErr w:type="gramEnd"/>
      <w:r w:rsidRPr="00283806">
        <w:rPr>
          <w:w w:val="105"/>
        </w:rPr>
        <w:t xml:space="preserve"> flexibility by allowing them to use</w:t>
      </w:r>
      <w:r w:rsidRPr="00283806">
        <w:rPr>
          <w:spacing w:val="80"/>
          <w:w w:val="105"/>
        </w:rPr>
        <w:t xml:space="preserve"> </w:t>
      </w:r>
      <w:r w:rsidRPr="00283806">
        <w:rPr>
          <w:w w:val="105"/>
        </w:rPr>
        <w:t xml:space="preserve">either methodology for a facility, and therefore, the owner and operator can select whichever they judge </w:t>
      </w:r>
      <w:proofErr w:type="gramStart"/>
      <w:r w:rsidRPr="00283806">
        <w:rPr>
          <w:w w:val="105"/>
        </w:rPr>
        <w:t>optimal</w:t>
      </w:r>
      <w:proofErr w:type="gramEnd"/>
      <w:r w:rsidRPr="00283806">
        <w:rPr>
          <w:w w:val="105"/>
        </w:rPr>
        <w:t xml:space="preserve"> for their specific appliances.</w:t>
      </w:r>
    </w:p>
    <w:p w14:paraId="411E7BA6"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6" w:space="40"/>
            <w:col w:w="3502" w:space="39"/>
            <w:col w:w="3623"/>
          </w:cols>
        </w:sectPr>
      </w:pPr>
    </w:p>
    <w:p w14:paraId="497A5822" w14:textId="77777777" w:rsidR="00D67C1E" w:rsidRPr="00283806" w:rsidRDefault="001265CA">
      <w:pPr>
        <w:pStyle w:val="BodyText"/>
        <w:spacing w:before="134" w:line="228" w:lineRule="auto"/>
        <w:ind w:right="38" w:firstLine="180"/>
      </w:pPr>
      <w:r w:rsidRPr="00283806">
        <w:rPr>
          <w:w w:val="105"/>
        </w:rPr>
        <w:lastRenderedPageBreak/>
        <w:t>EPA disagrees with the commenter’s recommended leak calculation method because the annual calculation of a leak rate would allow for refrigerant to be added throughout the year without the determination of a leak rate. The final rule’s basis for leak repair is the determination of whether a leaking appliance has exceeded its applicable</w:t>
      </w:r>
      <w:r w:rsidRPr="00283806">
        <w:rPr>
          <w:spacing w:val="40"/>
          <w:w w:val="105"/>
        </w:rPr>
        <w:t xml:space="preserve"> </w:t>
      </w:r>
      <w:r w:rsidRPr="00283806">
        <w:rPr>
          <w:w w:val="105"/>
        </w:rPr>
        <w:t>leak rate when refrigerant has been added to the appliance, as described in section IV.C.3.b of this preamble. The commenter’s proposed method would allow for the unmitigated release of refrigerant in between leak rate calculations and would not achieve the final rule’s purpose of minimizing the release of refrigerants from appliances. Further, EPA clarifies that the separate provision for chronically leaking appliances does not mirror the leak calculation provision and does not serve the purpose of ensuring appliances leaking above the applicable leak rate threshold are repaired. As further explained in section IV.C.3.e of this preamble, owners and operators of a chronically leaking appliance (an appliance that leaks more than 125 percent of its full charge in one year) are required to submit an annual report describing the efforts to identify leaks and repair the chronically leaking appliance. This provision is intended to provide information to EPA and further support efforts to minimize releases</w:t>
      </w:r>
      <w:r w:rsidRPr="00283806">
        <w:rPr>
          <w:spacing w:val="40"/>
          <w:w w:val="105"/>
        </w:rPr>
        <w:t xml:space="preserve"> </w:t>
      </w:r>
      <w:r w:rsidRPr="00283806">
        <w:rPr>
          <w:w w:val="105"/>
        </w:rPr>
        <w:t xml:space="preserve">from chronically leaking appliances, not to determine when appliance repair is </w:t>
      </w:r>
      <w:r w:rsidRPr="00283806">
        <w:rPr>
          <w:spacing w:val="-2"/>
          <w:w w:val="105"/>
        </w:rPr>
        <w:t>required.</w:t>
      </w:r>
    </w:p>
    <w:p w14:paraId="7593FF78" w14:textId="77777777" w:rsidR="00D67C1E" w:rsidRPr="00283806" w:rsidRDefault="001265CA">
      <w:pPr>
        <w:pStyle w:val="BodyText"/>
        <w:spacing w:before="21" w:line="228" w:lineRule="auto"/>
        <w:ind w:right="61" w:firstLine="180"/>
      </w:pPr>
      <w:r w:rsidRPr="00283806">
        <w:rPr>
          <w:w w:val="105"/>
        </w:rPr>
        <w:t>EPA also disagrees with the commenter’s assertion that the final rule’s leak rate calculation</w:t>
      </w:r>
      <w:r w:rsidRPr="00283806">
        <w:rPr>
          <w:spacing w:val="40"/>
          <w:w w:val="105"/>
        </w:rPr>
        <w:t xml:space="preserve"> </w:t>
      </w:r>
      <w:r w:rsidRPr="00283806">
        <w:rPr>
          <w:w w:val="105"/>
        </w:rPr>
        <w:t>methodologies are arbitrary and capricious. This comment appears to be based on a misunderstanding of how the leak rate calculation applies, as the commenter states that it would be impossible to know how much</w:t>
      </w:r>
      <w:r w:rsidRPr="00283806">
        <w:rPr>
          <w:spacing w:val="40"/>
          <w:w w:val="105"/>
        </w:rPr>
        <w:t xml:space="preserve"> </w:t>
      </w:r>
      <w:r w:rsidRPr="00283806">
        <w:rPr>
          <w:w w:val="105"/>
        </w:rPr>
        <w:t>refrigerant was leaked from each individual</w:t>
      </w:r>
      <w:r w:rsidRPr="00283806">
        <w:rPr>
          <w:spacing w:val="40"/>
          <w:w w:val="105"/>
        </w:rPr>
        <w:t xml:space="preserve"> </w:t>
      </w:r>
      <w:r w:rsidRPr="00283806">
        <w:rPr>
          <w:w w:val="105"/>
        </w:rPr>
        <w:t>leak.</w:t>
      </w:r>
      <w:r w:rsidRPr="00283806">
        <w:rPr>
          <w:spacing w:val="40"/>
          <w:w w:val="105"/>
        </w:rPr>
        <w:t xml:space="preserve"> </w:t>
      </w:r>
      <w:r w:rsidRPr="00283806">
        <w:rPr>
          <w:w w:val="105"/>
        </w:rPr>
        <w:t>The</w:t>
      </w:r>
      <w:r w:rsidRPr="00283806">
        <w:rPr>
          <w:spacing w:val="40"/>
          <w:w w:val="105"/>
        </w:rPr>
        <w:t xml:space="preserve"> </w:t>
      </w:r>
      <w:r w:rsidRPr="00283806">
        <w:rPr>
          <w:w w:val="105"/>
        </w:rPr>
        <w:t>Agency</w:t>
      </w:r>
      <w:r w:rsidRPr="00283806">
        <w:rPr>
          <w:spacing w:val="40"/>
          <w:w w:val="105"/>
        </w:rPr>
        <w:t xml:space="preserve"> </w:t>
      </w:r>
      <w:r w:rsidRPr="00283806">
        <w:rPr>
          <w:w w:val="105"/>
        </w:rPr>
        <w:t>clarifies that the leak rate calculation is required when refrigerant is added to an appliance. The leak repair requirements of the final rule are triggered when an appliance reaches a leak rate above the applicable leak rate thresholds</w:t>
      </w:r>
      <w:r w:rsidRPr="00283806">
        <w:rPr>
          <w:spacing w:val="80"/>
          <w:w w:val="105"/>
        </w:rPr>
        <w:t xml:space="preserve"> </w:t>
      </w:r>
      <w:r w:rsidRPr="00283806">
        <w:rPr>
          <w:w w:val="105"/>
        </w:rPr>
        <w:t xml:space="preserve">described in section IV.C.2.b of this preamble. EPA is not requiring the mandatory repair of all leaks discovered by an appliance owner. The Agency is requiring leak </w:t>
      </w:r>
      <w:proofErr w:type="gramStart"/>
      <w:r w:rsidRPr="00283806">
        <w:rPr>
          <w:w w:val="105"/>
        </w:rPr>
        <w:t>repair</w:t>
      </w:r>
      <w:proofErr w:type="gramEnd"/>
      <w:r w:rsidRPr="00283806">
        <w:rPr>
          <w:w w:val="105"/>
        </w:rPr>
        <w:t xml:space="preserve"> for appliances</w:t>
      </w:r>
      <w:r w:rsidRPr="00283806">
        <w:rPr>
          <w:spacing w:val="40"/>
          <w:w w:val="105"/>
        </w:rPr>
        <w:t xml:space="preserve"> </w:t>
      </w:r>
      <w:r w:rsidRPr="00283806">
        <w:rPr>
          <w:w w:val="105"/>
        </w:rPr>
        <w:t>above the applicable leak rate and requiring the appliance owner to</w:t>
      </w:r>
      <w:r w:rsidRPr="00283806">
        <w:rPr>
          <w:spacing w:val="80"/>
          <w:w w:val="105"/>
        </w:rPr>
        <w:t xml:space="preserve"> </w:t>
      </w:r>
      <w:r w:rsidRPr="00283806">
        <w:rPr>
          <w:w w:val="105"/>
        </w:rPr>
        <w:t>conduct leak repairs so that the</w:t>
      </w:r>
      <w:r w:rsidRPr="00283806">
        <w:rPr>
          <w:spacing w:val="40"/>
          <w:w w:val="105"/>
        </w:rPr>
        <w:t xml:space="preserve"> </w:t>
      </w:r>
      <w:r w:rsidRPr="00283806">
        <w:rPr>
          <w:w w:val="105"/>
        </w:rPr>
        <w:t>appliance is leaking below that</w:t>
      </w:r>
      <w:r w:rsidRPr="00283806">
        <w:rPr>
          <w:spacing w:val="80"/>
          <w:w w:val="105"/>
        </w:rPr>
        <w:t xml:space="preserve"> </w:t>
      </w:r>
      <w:r w:rsidRPr="00283806">
        <w:rPr>
          <w:w w:val="105"/>
        </w:rPr>
        <w:t>threshold. While certain documentation is required for individual leaks, that</w:t>
      </w:r>
      <w:r w:rsidRPr="00283806">
        <w:rPr>
          <w:spacing w:val="80"/>
          <w:w w:val="150"/>
        </w:rPr>
        <w:t xml:space="preserve"> </w:t>
      </w:r>
      <w:r w:rsidRPr="00283806">
        <w:rPr>
          <w:w w:val="105"/>
        </w:rPr>
        <w:t>does not mean that the leak rate</w:t>
      </w:r>
    </w:p>
    <w:p w14:paraId="49BC86BE" w14:textId="77777777" w:rsidR="00D67C1E" w:rsidRPr="00283806" w:rsidRDefault="001265CA">
      <w:pPr>
        <w:pStyle w:val="BodyText"/>
        <w:spacing w:before="136" w:line="223" w:lineRule="auto"/>
        <w:ind w:left="154" w:right="153"/>
      </w:pPr>
      <w:r w:rsidRPr="00283806">
        <w:br w:type="column"/>
      </w:r>
      <w:r w:rsidRPr="00283806">
        <w:rPr>
          <w:w w:val="105"/>
        </w:rPr>
        <w:t>calculation needs to be applied to each leak individually. The commenter also asked for clarity of the leak rate calculation in the event of multiple simultaneous leaks. EPA responds that simultaneous leaks on the same appliance identified at the same time (</w:t>
      </w:r>
      <w:r w:rsidRPr="00283806">
        <w:rPr>
          <w:rFonts w:ascii="Book Antiqua"/>
          <w:i/>
          <w:w w:val="105"/>
        </w:rPr>
        <w:t xml:space="preserve">e.g., </w:t>
      </w:r>
      <w:r w:rsidRPr="00283806">
        <w:rPr>
          <w:w w:val="105"/>
        </w:rPr>
        <w:t>during the same inspection or servicing event) would require just one leak rate calculation. The addition of refrigerant to an appliance triggers the leak rate calculation for the appliance.</w:t>
      </w:r>
      <w:r w:rsidRPr="00283806">
        <w:rPr>
          <w:spacing w:val="80"/>
          <w:w w:val="105"/>
        </w:rPr>
        <w:t xml:space="preserve"> </w:t>
      </w:r>
      <w:r w:rsidRPr="00283806">
        <w:rPr>
          <w:w w:val="105"/>
        </w:rPr>
        <w:t>If the appliance is leaking above the applicable leak rate threshold, the</w:t>
      </w:r>
    </w:p>
    <w:p w14:paraId="608A1371" w14:textId="77777777" w:rsidR="00D67C1E" w:rsidRPr="00283806" w:rsidRDefault="001265CA">
      <w:pPr>
        <w:pStyle w:val="BodyText"/>
        <w:spacing w:before="13" w:line="225" w:lineRule="auto"/>
        <w:ind w:left="154"/>
      </w:pPr>
      <w:proofErr w:type="gramStart"/>
      <w:r w:rsidRPr="00283806">
        <w:rPr>
          <w:w w:val="105"/>
        </w:rPr>
        <w:t>owner</w:t>
      </w:r>
      <w:proofErr w:type="gramEnd"/>
      <w:r w:rsidRPr="00283806">
        <w:rPr>
          <w:w w:val="105"/>
        </w:rPr>
        <w:t xml:space="preserve"> or operator must comply with the leak repair requirement and as part of that process may uncover several leaks within an appliance that may require repair </w:t>
      </w:r>
      <w:proofErr w:type="gramStart"/>
      <w:r w:rsidRPr="00283806">
        <w:rPr>
          <w:w w:val="105"/>
        </w:rPr>
        <w:t>in order to</w:t>
      </w:r>
      <w:proofErr w:type="gramEnd"/>
      <w:r w:rsidRPr="00283806">
        <w:rPr>
          <w:w w:val="105"/>
        </w:rPr>
        <w:t xml:space="preserve"> bring the appliance under the applicable leak rate threshold.</w:t>
      </w:r>
    </w:p>
    <w:p w14:paraId="2C18CFE3" w14:textId="77777777" w:rsidR="00D67C1E" w:rsidRPr="00283806" w:rsidRDefault="001265CA">
      <w:pPr>
        <w:pStyle w:val="BodyText"/>
        <w:spacing w:line="213" w:lineRule="auto"/>
        <w:ind w:left="154" w:right="17" w:firstLine="180"/>
      </w:pPr>
      <w:r w:rsidRPr="00283806">
        <w:rPr>
          <w:rFonts w:ascii="Book Antiqua"/>
          <w:i/>
          <w:w w:val="105"/>
        </w:rPr>
        <w:t xml:space="preserve">Comment: </w:t>
      </w:r>
      <w:r w:rsidRPr="00283806">
        <w:rPr>
          <w:w w:val="105"/>
        </w:rPr>
        <w:t>One commenter recommended that EPA consider</w:t>
      </w:r>
    </w:p>
    <w:p w14:paraId="4EEBF847" w14:textId="77777777" w:rsidR="00D67C1E" w:rsidRPr="00283806" w:rsidRDefault="001265CA">
      <w:pPr>
        <w:pStyle w:val="BodyText"/>
        <w:spacing w:line="225" w:lineRule="auto"/>
        <w:ind w:left="154"/>
      </w:pPr>
      <w:r w:rsidRPr="00283806">
        <w:rPr>
          <w:w w:val="105"/>
        </w:rPr>
        <w:t>allowing leak rate calculations from indirect ALD systems if acceptable accuracy can be demonstrated at least</w:t>
      </w:r>
      <w:r w:rsidRPr="00283806">
        <w:rPr>
          <w:spacing w:val="80"/>
          <w:w w:val="105"/>
        </w:rPr>
        <w:t xml:space="preserve"> </w:t>
      </w:r>
      <w:r w:rsidRPr="00283806">
        <w:rPr>
          <w:w w:val="105"/>
        </w:rPr>
        <w:t xml:space="preserve">85 percent of the time. The commenter claims their manufactured indirect ALD, with reliable data, </w:t>
      </w:r>
      <w:proofErr w:type="gramStart"/>
      <w:r w:rsidRPr="00283806">
        <w:rPr>
          <w:w w:val="105"/>
        </w:rPr>
        <w:t>has the ability to</w:t>
      </w:r>
      <w:proofErr w:type="gramEnd"/>
      <w:r w:rsidRPr="00283806">
        <w:rPr>
          <w:w w:val="105"/>
        </w:rPr>
        <w:t xml:space="preserve"> calculate leak rates (in pounds per day) with</w:t>
      </w:r>
      <w:r w:rsidRPr="00283806">
        <w:rPr>
          <w:spacing w:val="-2"/>
          <w:w w:val="105"/>
        </w:rPr>
        <w:t xml:space="preserve"> </w:t>
      </w:r>
      <w:r w:rsidRPr="00283806">
        <w:rPr>
          <w:w w:val="105"/>
        </w:rPr>
        <w:t>a</w:t>
      </w:r>
      <w:r w:rsidRPr="00283806">
        <w:rPr>
          <w:spacing w:val="-2"/>
          <w:w w:val="105"/>
        </w:rPr>
        <w:t xml:space="preserve"> </w:t>
      </w:r>
      <w:r w:rsidRPr="00283806">
        <w:rPr>
          <w:w w:val="105"/>
        </w:rPr>
        <w:t>margin</w:t>
      </w:r>
      <w:r w:rsidRPr="00283806">
        <w:rPr>
          <w:spacing w:val="-2"/>
          <w:w w:val="105"/>
        </w:rPr>
        <w:t xml:space="preserve"> </w:t>
      </w:r>
      <w:r w:rsidRPr="00283806">
        <w:rPr>
          <w:w w:val="105"/>
        </w:rPr>
        <w:t>of</w:t>
      </w:r>
      <w:r w:rsidRPr="00283806">
        <w:rPr>
          <w:spacing w:val="-2"/>
          <w:w w:val="105"/>
        </w:rPr>
        <w:t xml:space="preserve"> </w:t>
      </w:r>
      <w:r w:rsidRPr="00283806">
        <w:rPr>
          <w:w w:val="105"/>
        </w:rPr>
        <w:t>error</w:t>
      </w:r>
      <w:r w:rsidRPr="00283806">
        <w:rPr>
          <w:spacing w:val="-2"/>
          <w:w w:val="105"/>
        </w:rPr>
        <w:t xml:space="preserve"> </w:t>
      </w:r>
      <w:r w:rsidRPr="00283806">
        <w:rPr>
          <w:w w:val="105"/>
        </w:rPr>
        <w:t>of</w:t>
      </w:r>
      <w:r w:rsidRPr="00283806">
        <w:rPr>
          <w:spacing w:val="-2"/>
          <w:w w:val="105"/>
        </w:rPr>
        <w:t xml:space="preserve"> </w:t>
      </w:r>
      <w:r w:rsidRPr="00283806">
        <w:rPr>
          <w:w w:val="105"/>
        </w:rPr>
        <w:t>+/</w:t>
      </w:r>
      <w:r w:rsidRPr="00283806">
        <w:rPr>
          <w:rFonts w:ascii="Engravers MT" w:hAnsi="Engravers MT"/>
          <w:w w:val="105"/>
        </w:rPr>
        <w:t>¥</w:t>
      </w:r>
      <w:r w:rsidRPr="00283806">
        <w:rPr>
          <w:w w:val="105"/>
        </w:rPr>
        <w:t>25</w:t>
      </w:r>
      <w:r w:rsidRPr="00283806">
        <w:rPr>
          <w:spacing w:val="-2"/>
          <w:w w:val="105"/>
        </w:rPr>
        <w:t xml:space="preserve"> </w:t>
      </w:r>
      <w:r w:rsidRPr="00283806">
        <w:rPr>
          <w:w w:val="105"/>
        </w:rPr>
        <w:t>percent.</w:t>
      </w:r>
    </w:p>
    <w:p w14:paraId="4DA09A34" w14:textId="77777777" w:rsidR="00D67C1E" w:rsidRPr="00283806" w:rsidRDefault="001265CA">
      <w:pPr>
        <w:spacing w:line="182" w:lineRule="exact"/>
        <w:ind w:left="154" w:firstLine="180"/>
        <w:rPr>
          <w:sz w:val="18"/>
        </w:rPr>
      </w:pPr>
      <w:r w:rsidRPr="00283806">
        <w:rPr>
          <w:rFonts w:ascii="Book Antiqua"/>
          <w:i/>
          <w:w w:val="110"/>
          <w:sz w:val="18"/>
        </w:rPr>
        <w:t>Response:</w:t>
      </w:r>
      <w:r w:rsidRPr="00283806">
        <w:rPr>
          <w:rFonts w:ascii="Book Antiqua"/>
          <w:i/>
          <w:spacing w:val="2"/>
          <w:w w:val="110"/>
          <w:sz w:val="18"/>
        </w:rPr>
        <w:t xml:space="preserve"> </w:t>
      </w:r>
      <w:r w:rsidRPr="00283806">
        <w:rPr>
          <w:w w:val="110"/>
          <w:sz w:val="18"/>
        </w:rPr>
        <w:t>EPA</w:t>
      </w:r>
      <w:r w:rsidRPr="00283806">
        <w:rPr>
          <w:spacing w:val="8"/>
          <w:w w:val="110"/>
          <w:sz w:val="18"/>
        </w:rPr>
        <w:t xml:space="preserve"> </w:t>
      </w:r>
      <w:r w:rsidRPr="00283806">
        <w:rPr>
          <w:w w:val="110"/>
          <w:sz w:val="18"/>
        </w:rPr>
        <w:t>acknowledges</w:t>
      </w:r>
      <w:r w:rsidRPr="00283806">
        <w:rPr>
          <w:spacing w:val="8"/>
          <w:w w:val="110"/>
          <w:sz w:val="18"/>
        </w:rPr>
        <w:t xml:space="preserve"> </w:t>
      </w:r>
      <w:r w:rsidRPr="00283806">
        <w:rPr>
          <w:spacing w:val="-5"/>
          <w:w w:val="110"/>
          <w:sz w:val="18"/>
        </w:rPr>
        <w:t>the</w:t>
      </w:r>
    </w:p>
    <w:p w14:paraId="254891A3" w14:textId="77777777" w:rsidR="00D67C1E" w:rsidRPr="00283806" w:rsidRDefault="001265CA">
      <w:pPr>
        <w:pStyle w:val="BodyText"/>
        <w:spacing w:line="225" w:lineRule="auto"/>
        <w:ind w:left="154" w:right="29"/>
      </w:pPr>
      <w:r w:rsidRPr="00283806">
        <w:rPr>
          <w:w w:val="105"/>
        </w:rPr>
        <w:t>suggestion on how indirect ALD could</w:t>
      </w:r>
      <w:r w:rsidRPr="00283806">
        <w:rPr>
          <w:spacing w:val="80"/>
          <w:w w:val="105"/>
        </w:rPr>
        <w:t xml:space="preserve"> </w:t>
      </w:r>
      <w:r w:rsidRPr="00283806">
        <w:rPr>
          <w:w w:val="105"/>
        </w:rPr>
        <w:t>be further used to manage leaks but disagrees that it is an acceptable or</w:t>
      </w:r>
      <w:r w:rsidRPr="00283806">
        <w:rPr>
          <w:spacing w:val="40"/>
          <w:w w:val="105"/>
        </w:rPr>
        <w:t xml:space="preserve"> </w:t>
      </w:r>
      <w:r w:rsidRPr="00283806">
        <w:rPr>
          <w:w w:val="105"/>
        </w:rPr>
        <w:t>viable alternative to the leak rate calculations required by this final rule. Performing a leak rate calculation using one of the methods in the final rule will provide a facility owner with an</w:t>
      </w:r>
      <w:r w:rsidRPr="00283806">
        <w:rPr>
          <w:spacing w:val="80"/>
          <w:w w:val="105"/>
        </w:rPr>
        <w:t xml:space="preserve"> </w:t>
      </w:r>
      <w:r w:rsidRPr="00283806">
        <w:rPr>
          <w:w w:val="105"/>
        </w:rPr>
        <w:t>accurate</w:t>
      </w:r>
      <w:r w:rsidRPr="00283806">
        <w:rPr>
          <w:spacing w:val="-1"/>
          <w:w w:val="105"/>
        </w:rPr>
        <w:t xml:space="preserve"> </w:t>
      </w:r>
      <w:r w:rsidRPr="00283806">
        <w:rPr>
          <w:w w:val="105"/>
        </w:rPr>
        <w:t>leak</w:t>
      </w:r>
      <w:r w:rsidRPr="00283806">
        <w:rPr>
          <w:spacing w:val="-1"/>
          <w:w w:val="105"/>
        </w:rPr>
        <w:t xml:space="preserve"> </w:t>
      </w:r>
      <w:r w:rsidRPr="00283806">
        <w:rPr>
          <w:w w:val="105"/>
        </w:rPr>
        <w:t>rate</w:t>
      </w:r>
      <w:r w:rsidRPr="00283806">
        <w:rPr>
          <w:spacing w:val="-1"/>
          <w:w w:val="105"/>
        </w:rPr>
        <w:t xml:space="preserve"> </w:t>
      </w:r>
      <w:r w:rsidRPr="00283806">
        <w:rPr>
          <w:w w:val="105"/>
        </w:rPr>
        <w:t>to</w:t>
      </w:r>
      <w:r w:rsidRPr="00283806">
        <w:rPr>
          <w:spacing w:val="-1"/>
          <w:w w:val="105"/>
        </w:rPr>
        <w:t xml:space="preserve"> </w:t>
      </w:r>
      <w:r w:rsidRPr="00283806">
        <w:rPr>
          <w:w w:val="105"/>
        </w:rPr>
        <w:t>determine</w:t>
      </w:r>
      <w:r w:rsidRPr="00283806">
        <w:rPr>
          <w:spacing w:val="-1"/>
          <w:w w:val="105"/>
        </w:rPr>
        <w:t xml:space="preserve"> </w:t>
      </w:r>
      <w:r w:rsidRPr="00283806">
        <w:rPr>
          <w:w w:val="105"/>
        </w:rPr>
        <w:t>if</w:t>
      </w:r>
      <w:r w:rsidRPr="00283806">
        <w:rPr>
          <w:spacing w:val="-1"/>
          <w:w w:val="105"/>
        </w:rPr>
        <w:t xml:space="preserve"> </w:t>
      </w:r>
      <w:r w:rsidRPr="00283806">
        <w:rPr>
          <w:w w:val="105"/>
        </w:rPr>
        <w:t xml:space="preserve">further leak repair action is necessary every time. An approach that </w:t>
      </w:r>
      <w:proofErr w:type="gramStart"/>
      <w:r w:rsidRPr="00283806">
        <w:rPr>
          <w:w w:val="105"/>
        </w:rPr>
        <w:t>need</w:t>
      </w:r>
      <w:proofErr w:type="gramEnd"/>
      <w:r w:rsidRPr="00283806">
        <w:rPr>
          <w:w w:val="105"/>
        </w:rPr>
        <w:t xml:space="preserve"> only be demonstrated to be accurate 85 percent of the time, as commenter requested, could</w:t>
      </w:r>
      <w:r w:rsidRPr="00283806">
        <w:rPr>
          <w:spacing w:val="40"/>
          <w:w w:val="105"/>
        </w:rPr>
        <w:t xml:space="preserve"> </w:t>
      </w:r>
      <w:r w:rsidRPr="00283806">
        <w:rPr>
          <w:w w:val="105"/>
        </w:rPr>
        <w:t>result</w:t>
      </w:r>
      <w:r w:rsidRPr="00283806">
        <w:rPr>
          <w:spacing w:val="40"/>
          <w:w w:val="105"/>
        </w:rPr>
        <w:t xml:space="preserve"> </w:t>
      </w:r>
      <w:r w:rsidRPr="00283806">
        <w:rPr>
          <w:w w:val="105"/>
        </w:rPr>
        <w:t>in</w:t>
      </w:r>
      <w:r w:rsidRPr="00283806">
        <w:rPr>
          <w:spacing w:val="40"/>
          <w:w w:val="105"/>
        </w:rPr>
        <w:t xml:space="preserve"> </w:t>
      </w:r>
      <w:r w:rsidRPr="00283806">
        <w:rPr>
          <w:w w:val="105"/>
        </w:rPr>
        <w:t>the</w:t>
      </w:r>
      <w:r w:rsidRPr="00283806">
        <w:rPr>
          <w:spacing w:val="40"/>
          <w:w w:val="105"/>
        </w:rPr>
        <w:t xml:space="preserve"> </w:t>
      </w:r>
      <w:r w:rsidRPr="00283806">
        <w:rPr>
          <w:w w:val="105"/>
        </w:rPr>
        <w:t>failure</w:t>
      </w:r>
      <w:r w:rsidRPr="00283806">
        <w:rPr>
          <w:spacing w:val="40"/>
          <w:w w:val="105"/>
        </w:rPr>
        <w:t xml:space="preserve"> </w:t>
      </w:r>
      <w:r w:rsidRPr="00283806">
        <w:rPr>
          <w:w w:val="105"/>
        </w:rPr>
        <w:t>to</w:t>
      </w:r>
      <w:r w:rsidRPr="00283806">
        <w:rPr>
          <w:spacing w:val="40"/>
          <w:w w:val="105"/>
        </w:rPr>
        <w:t xml:space="preserve"> </w:t>
      </w:r>
      <w:r w:rsidRPr="00283806">
        <w:rPr>
          <w:w w:val="105"/>
        </w:rPr>
        <w:t>identify and address leaks that exceed the leak rate threshold and that this rule intends to address. Additionally, while an</w:t>
      </w:r>
      <w:r w:rsidRPr="00283806">
        <w:rPr>
          <w:spacing w:val="40"/>
          <w:w w:val="105"/>
        </w:rPr>
        <w:t xml:space="preserve"> </w:t>
      </w:r>
      <w:r w:rsidRPr="00283806">
        <w:rPr>
          <w:w w:val="105"/>
        </w:rPr>
        <w:t>indirect ALD system can calculate daily leak rates, the margin of error would cause the leak rate calculation to be inaccurate. The leak rate methodologies provide an accurate snapshot of an appliance’s leak rate when refrigerant is added and provides an owner or operator with an immediate determination of whether an appliance needs to be repaired.</w:t>
      </w:r>
    </w:p>
    <w:p w14:paraId="6C07DE66" w14:textId="77777777" w:rsidR="00D67C1E" w:rsidRPr="00283806" w:rsidRDefault="001265CA">
      <w:pPr>
        <w:spacing w:line="176" w:lineRule="exact"/>
        <w:ind w:left="334"/>
        <w:rPr>
          <w:sz w:val="18"/>
        </w:rPr>
      </w:pPr>
      <w:r w:rsidRPr="00283806">
        <w:rPr>
          <w:rFonts w:ascii="Book Antiqua"/>
          <w:i/>
          <w:w w:val="105"/>
          <w:sz w:val="18"/>
        </w:rPr>
        <w:t>Comment:</w:t>
      </w:r>
      <w:r w:rsidRPr="00283806">
        <w:rPr>
          <w:rFonts w:ascii="Book Antiqua"/>
          <w:i/>
          <w:spacing w:val="22"/>
          <w:w w:val="105"/>
          <w:sz w:val="18"/>
        </w:rPr>
        <w:t xml:space="preserve"> </w:t>
      </w:r>
      <w:r w:rsidRPr="00283806">
        <w:rPr>
          <w:w w:val="105"/>
          <w:sz w:val="18"/>
        </w:rPr>
        <w:t>One</w:t>
      </w:r>
      <w:r w:rsidRPr="00283806">
        <w:rPr>
          <w:spacing w:val="28"/>
          <w:w w:val="105"/>
          <w:sz w:val="18"/>
        </w:rPr>
        <w:t xml:space="preserve"> </w:t>
      </w:r>
      <w:r w:rsidRPr="00283806">
        <w:rPr>
          <w:w w:val="105"/>
          <w:sz w:val="18"/>
        </w:rPr>
        <w:t>commenter</w:t>
      </w:r>
      <w:r w:rsidRPr="00283806">
        <w:rPr>
          <w:spacing w:val="28"/>
          <w:w w:val="105"/>
          <w:sz w:val="18"/>
        </w:rPr>
        <w:t xml:space="preserve"> </w:t>
      </w:r>
      <w:r w:rsidRPr="00283806">
        <w:rPr>
          <w:spacing w:val="-2"/>
          <w:w w:val="105"/>
          <w:sz w:val="18"/>
        </w:rPr>
        <w:t>requested</w:t>
      </w:r>
    </w:p>
    <w:p w14:paraId="04EBD423" w14:textId="77777777" w:rsidR="00D67C1E" w:rsidRPr="00283806" w:rsidRDefault="001265CA">
      <w:pPr>
        <w:pStyle w:val="BodyText"/>
        <w:spacing w:line="228" w:lineRule="auto"/>
        <w:ind w:left="154" w:right="83"/>
      </w:pPr>
      <w:r w:rsidRPr="00283806">
        <w:rPr>
          <w:w w:val="105"/>
        </w:rPr>
        <w:t>clarification on whether the addition of certain components to existing appliances where refrigerant is added would require a leak rate calculation, using</w:t>
      </w:r>
      <w:r w:rsidRPr="00283806">
        <w:rPr>
          <w:spacing w:val="27"/>
          <w:w w:val="105"/>
        </w:rPr>
        <w:t xml:space="preserve"> </w:t>
      </w:r>
      <w:r w:rsidRPr="00283806">
        <w:rPr>
          <w:w w:val="105"/>
        </w:rPr>
        <w:t>the</w:t>
      </w:r>
      <w:r w:rsidRPr="00283806">
        <w:rPr>
          <w:spacing w:val="27"/>
          <w:w w:val="105"/>
        </w:rPr>
        <w:t xml:space="preserve"> </w:t>
      </w:r>
      <w:r w:rsidRPr="00283806">
        <w:rPr>
          <w:w w:val="105"/>
        </w:rPr>
        <w:t>example</w:t>
      </w:r>
      <w:r w:rsidRPr="00283806">
        <w:rPr>
          <w:spacing w:val="27"/>
          <w:w w:val="105"/>
        </w:rPr>
        <w:t xml:space="preserve"> </w:t>
      </w:r>
      <w:r w:rsidRPr="00283806">
        <w:rPr>
          <w:w w:val="105"/>
        </w:rPr>
        <w:t>of</w:t>
      </w:r>
      <w:r w:rsidRPr="00283806">
        <w:rPr>
          <w:spacing w:val="27"/>
          <w:w w:val="105"/>
        </w:rPr>
        <w:t xml:space="preserve"> </w:t>
      </w:r>
      <w:r w:rsidRPr="00283806">
        <w:rPr>
          <w:w w:val="105"/>
        </w:rPr>
        <w:t>an</w:t>
      </w:r>
      <w:r w:rsidRPr="00283806">
        <w:rPr>
          <w:spacing w:val="27"/>
          <w:w w:val="105"/>
        </w:rPr>
        <w:t xml:space="preserve"> </w:t>
      </w:r>
      <w:r w:rsidRPr="00283806">
        <w:rPr>
          <w:w w:val="105"/>
        </w:rPr>
        <w:t>installation</w:t>
      </w:r>
      <w:r w:rsidRPr="00283806">
        <w:rPr>
          <w:spacing w:val="27"/>
          <w:w w:val="105"/>
        </w:rPr>
        <w:t xml:space="preserve"> </w:t>
      </w:r>
      <w:r w:rsidRPr="00283806">
        <w:rPr>
          <w:w w:val="105"/>
        </w:rPr>
        <w:t>of a new refrigerated case in an existing supermarket system. The commenter indicated the addition would</w:t>
      </w:r>
    </w:p>
    <w:p w14:paraId="6635F78A" w14:textId="77777777" w:rsidR="00D67C1E" w:rsidRPr="00283806" w:rsidRDefault="001265CA">
      <w:pPr>
        <w:pStyle w:val="BodyText"/>
        <w:spacing w:line="228" w:lineRule="auto"/>
        <w:ind w:left="154"/>
      </w:pPr>
      <w:r w:rsidRPr="00283806">
        <w:rPr>
          <w:w w:val="105"/>
        </w:rPr>
        <w:t>necessitate a charge size adjustment and the addition of new refrigerant to meet</w:t>
      </w:r>
    </w:p>
    <w:p w14:paraId="3F664525" w14:textId="77777777" w:rsidR="00D67C1E" w:rsidRPr="00283806" w:rsidRDefault="001265CA">
      <w:pPr>
        <w:pStyle w:val="BodyText"/>
        <w:spacing w:before="134" w:line="225" w:lineRule="auto"/>
        <w:ind w:left="143" w:right="132"/>
      </w:pPr>
      <w:r w:rsidRPr="00283806">
        <w:br w:type="column"/>
      </w:r>
      <w:r w:rsidRPr="00283806">
        <w:rPr>
          <w:w w:val="110"/>
        </w:rPr>
        <w:t xml:space="preserve">the appliances’ new BTU/h load. The commenter further stated that in this scenario the refrigerant added to an existing appliance was not to replace </w:t>
      </w:r>
      <w:r w:rsidRPr="00283806">
        <w:rPr>
          <w:spacing w:val="-2"/>
          <w:w w:val="110"/>
        </w:rPr>
        <w:t>leaked</w:t>
      </w:r>
      <w:r w:rsidRPr="00283806">
        <w:rPr>
          <w:spacing w:val="-9"/>
          <w:w w:val="110"/>
        </w:rPr>
        <w:t xml:space="preserve"> </w:t>
      </w:r>
      <w:r w:rsidRPr="00283806">
        <w:rPr>
          <w:spacing w:val="-2"/>
          <w:w w:val="110"/>
        </w:rPr>
        <w:t>refrigerant</w:t>
      </w:r>
      <w:r w:rsidRPr="00283806">
        <w:rPr>
          <w:spacing w:val="-9"/>
          <w:w w:val="110"/>
        </w:rPr>
        <w:t xml:space="preserve"> </w:t>
      </w:r>
      <w:r w:rsidRPr="00283806">
        <w:rPr>
          <w:spacing w:val="-2"/>
          <w:w w:val="110"/>
        </w:rPr>
        <w:t>and</w:t>
      </w:r>
      <w:r w:rsidRPr="00283806">
        <w:rPr>
          <w:spacing w:val="-9"/>
          <w:w w:val="110"/>
        </w:rPr>
        <w:t xml:space="preserve"> </w:t>
      </w:r>
      <w:r w:rsidRPr="00283806">
        <w:rPr>
          <w:spacing w:val="-2"/>
          <w:w w:val="110"/>
        </w:rPr>
        <w:t>that</w:t>
      </w:r>
      <w:r w:rsidRPr="00283806">
        <w:rPr>
          <w:spacing w:val="-9"/>
          <w:w w:val="110"/>
        </w:rPr>
        <w:t xml:space="preserve"> </w:t>
      </w:r>
      <w:r w:rsidRPr="00283806">
        <w:rPr>
          <w:spacing w:val="-2"/>
          <w:w w:val="110"/>
        </w:rPr>
        <w:t>EPA</w:t>
      </w:r>
      <w:r w:rsidRPr="00283806">
        <w:rPr>
          <w:spacing w:val="-9"/>
          <w:w w:val="110"/>
        </w:rPr>
        <w:t xml:space="preserve"> </w:t>
      </w:r>
      <w:r w:rsidRPr="00283806">
        <w:rPr>
          <w:spacing w:val="-2"/>
          <w:w w:val="110"/>
        </w:rPr>
        <w:t xml:space="preserve">should </w:t>
      </w:r>
      <w:r w:rsidRPr="00283806">
        <w:rPr>
          <w:w w:val="110"/>
        </w:rPr>
        <w:t xml:space="preserve">provide an exception to the leak rate calculation provision in these specific </w:t>
      </w:r>
      <w:r w:rsidRPr="00283806">
        <w:rPr>
          <w:spacing w:val="-2"/>
          <w:w w:val="110"/>
        </w:rPr>
        <w:t>cases.</w:t>
      </w:r>
    </w:p>
    <w:p w14:paraId="51777861" w14:textId="77777777" w:rsidR="00D67C1E" w:rsidRPr="00283806" w:rsidRDefault="001265CA">
      <w:pPr>
        <w:pStyle w:val="BodyText"/>
        <w:spacing w:line="213" w:lineRule="auto"/>
        <w:ind w:left="143" w:firstLine="180"/>
      </w:pPr>
      <w:r w:rsidRPr="00283806">
        <w:rPr>
          <w:rFonts w:ascii="Book Antiqua"/>
          <w:i/>
          <w:w w:val="105"/>
        </w:rPr>
        <w:t xml:space="preserve">Response: </w:t>
      </w:r>
      <w:r w:rsidRPr="00283806">
        <w:rPr>
          <w:w w:val="105"/>
        </w:rPr>
        <w:t>EPA clarifies that the immediate addition of refrigerant</w:t>
      </w:r>
    </w:p>
    <w:p w14:paraId="6F51F634" w14:textId="77777777" w:rsidR="00D67C1E" w:rsidRPr="00283806" w:rsidRDefault="001265CA">
      <w:pPr>
        <w:pStyle w:val="BodyText"/>
        <w:spacing w:line="225" w:lineRule="auto"/>
        <w:ind w:left="143" w:right="153"/>
      </w:pPr>
      <w:r w:rsidRPr="00283806">
        <w:rPr>
          <w:w w:val="105"/>
        </w:rPr>
        <w:t xml:space="preserve">following a retrofit, installation of a new appliance, or seasonal variance does not require a leak rate calculation. The Agency agrees that the addition of refrigerant immediately after additional components are added to an existing appliance does not reflect a leak within the </w:t>
      </w:r>
      <w:proofErr w:type="gramStart"/>
      <w:r w:rsidRPr="00283806">
        <w:rPr>
          <w:w w:val="105"/>
        </w:rPr>
        <w:t>appliances, and</w:t>
      </w:r>
      <w:proofErr w:type="gramEnd"/>
      <w:r w:rsidRPr="00283806">
        <w:rPr>
          <w:w w:val="105"/>
        </w:rPr>
        <w:t xml:space="preserve"> thus does not necessitate a leak rate calculation.</w:t>
      </w:r>
    </w:p>
    <w:p w14:paraId="365F2858" w14:textId="77777777" w:rsidR="00D67C1E" w:rsidRPr="00283806" w:rsidRDefault="001265CA">
      <w:pPr>
        <w:pStyle w:val="BodyText"/>
        <w:spacing w:line="225" w:lineRule="auto"/>
        <w:ind w:left="143" w:right="132"/>
      </w:pPr>
      <w:r w:rsidRPr="00283806">
        <w:rPr>
          <w:w w:val="110"/>
        </w:rPr>
        <w:t>However,</w:t>
      </w:r>
      <w:r w:rsidRPr="00283806">
        <w:rPr>
          <w:spacing w:val="-11"/>
          <w:w w:val="110"/>
        </w:rPr>
        <w:t xml:space="preserve"> </w:t>
      </w:r>
      <w:r w:rsidRPr="00283806">
        <w:rPr>
          <w:w w:val="110"/>
        </w:rPr>
        <w:t>EPA</w:t>
      </w:r>
      <w:r w:rsidRPr="00283806">
        <w:rPr>
          <w:spacing w:val="-11"/>
          <w:w w:val="110"/>
        </w:rPr>
        <w:t xml:space="preserve"> </w:t>
      </w:r>
      <w:r w:rsidRPr="00283806">
        <w:rPr>
          <w:w w:val="110"/>
        </w:rPr>
        <w:t>clarifies</w:t>
      </w:r>
      <w:r w:rsidRPr="00283806">
        <w:rPr>
          <w:spacing w:val="-11"/>
          <w:w w:val="110"/>
        </w:rPr>
        <w:t xml:space="preserve"> </w:t>
      </w:r>
      <w:r w:rsidRPr="00283806">
        <w:rPr>
          <w:w w:val="110"/>
        </w:rPr>
        <w:t>that</w:t>
      </w:r>
      <w:r w:rsidRPr="00283806">
        <w:rPr>
          <w:spacing w:val="-11"/>
          <w:w w:val="110"/>
        </w:rPr>
        <w:t xml:space="preserve"> </w:t>
      </w:r>
      <w:r w:rsidRPr="00283806">
        <w:rPr>
          <w:w w:val="110"/>
        </w:rPr>
        <w:t>a</w:t>
      </w:r>
      <w:r w:rsidRPr="00283806">
        <w:rPr>
          <w:spacing w:val="-11"/>
          <w:w w:val="110"/>
        </w:rPr>
        <w:t xml:space="preserve"> </w:t>
      </w:r>
      <w:r w:rsidRPr="00283806">
        <w:rPr>
          <w:w w:val="110"/>
        </w:rPr>
        <w:t>full</w:t>
      </w:r>
      <w:r w:rsidRPr="00283806">
        <w:rPr>
          <w:spacing w:val="-11"/>
          <w:w w:val="110"/>
        </w:rPr>
        <w:t xml:space="preserve"> </w:t>
      </w:r>
      <w:r w:rsidRPr="00283806">
        <w:rPr>
          <w:w w:val="110"/>
        </w:rPr>
        <w:t>charge calculation, as outlined in section</w:t>
      </w:r>
    </w:p>
    <w:p w14:paraId="7B9B90C1" w14:textId="77777777" w:rsidR="00D67C1E" w:rsidRPr="00283806" w:rsidRDefault="001265CA">
      <w:pPr>
        <w:pStyle w:val="BodyText"/>
        <w:spacing w:line="225" w:lineRule="auto"/>
        <w:ind w:left="143" w:right="153"/>
      </w:pPr>
      <w:r w:rsidRPr="00283806">
        <w:rPr>
          <w:w w:val="105"/>
        </w:rPr>
        <w:t xml:space="preserve">IV.A.1 of this </w:t>
      </w:r>
      <w:proofErr w:type="gramStart"/>
      <w:r w:rsidRPr="00283806">
        <w:rPr>
          <w:w w:val="105"/>
        </w:rPr>
        <w:t>preamble,</w:t>
      </w:r>
      <w:proofErr w:type="gramEnd"/>
      <w:r w:rsidRPr="00283806">
        <w:rPr>
          <w:w w:val="105"/>
        </w:rPr>
        <w:t xml:space="preserve"> must be conducted to determine the change in charge size when additional appliances are added to an existing system. The determination of an appliance’s full charge is necessary for subsequent leak rate calculations.</w:t>
      </w:r>
    </w:p>
    <w:p w14:paraId="1A0D45AF" w14:textId="77777777" w:rsidR="00D67C1E" w:rsidRPr="00283806" w:rsidRDefault="001265CA">
      <w:pPr>
        <w:pStyle w:val="ListParagraph"/>
        <w:numPr>
          <w:ilvl w:val="0"/>
          <w:numId w:val="55"/>
        </w:numPr>
        <w:tabs>
          <w:tab w:val="left" w:pos="341"/>
        </w:tabs>
        <w:spacing w:before="85" w:line="225" w:lineRule="auto"/>
        <w:ind w:left="143" w:right="581" w:firstLine="0"/>
        <w:rPr>
          <w:sz w:val="18"/>
        </w:rPr>
      </w:pPr>
      <w:proofErr w:type="gramStart"/>
      <w:r w:rsidRPr="00283806">
        <w:rPr>
          <w:w w:val="105"/>
          <w:sz w:val="18"/>
        </w:rPr>
        <w:t>Requirement</w:t>
      </w:r>
      <w:proofErr w:type="gramEnd"/>
      <w:r w:rsidRPr="00283806">
        <w:rPr>
          <w:w w:val="105"/>
          <w:sz w:val="18"/>
        </w:rPr>
        <w:t xml:space="preserve"> To Repair Leaks, Timing, and Applicable Leak Rates</w:t>
      </w:r>
    </w:p>
    <w:p w14:paraId="0A3710EF" w14:textId="77777777" w:rsidR="00D67C1E" w:rsidRPr="00283806" w:rsidRDefault="001265CA">
      <w:pPr>
        <w:pStyle w:val="BodyText"/>
        <w:spacing w:before="66" w:line="225" w:lineRule="auto"/>
        <w:ind w:left="143" w:right="170" w:firstLine="180"/>
      </w:pPr>
      <w:r w:rsidRPr="00283806">
        <w:rPr>
          <w:w w:val="105"/>
        </w:rPr>
        <w:t>EPA is finalizing several leak repair requirements related to determining when a leak needs to be repaired, the extent of the repair required, and the timing of such repairs as proposed. EPA is requiring the repair of leaks in refrigerant-containing appliances with a charge size of 15 pounds or more with</w:t>
      </w:r>
    </w:p>
    <w:p w14:paraId="7D9169CD" w14:textId="77777777" w:rsidR="00D67C1E" w:rsidRPr="00283806" w:rsidRDefault="001265CA">
      <w:pPr>
        <w:pStyle w:val="BodyText"/>
        <w:spacing w:line="225" w:lineRule="auto"/>
        <w:ind w:left="143" w:right="171"/>
      </w:pPr>
      <w:r w:rsidRPr="00283806">
        <w:rPr>
          <w:w w:val="105"/>
        </w:rPr>
        <w:t xml:space="preserve">a refrigerant that contains </w:t>
      </w:r>
      <w:proofErr w:type="gramStart"/>
      <w:r w:rsidRPr="00283806">
        <w:rPr>
          <w:w w:val="105"/>
        </w:rPr>
        <w:t>an HFC</w:t>
      </w:r>
      <w:proofErr w:type="gramEnd"/>
      <w:r w:rsidRPr="00283806">
        <w:rPr>
          <w:w w:val="105"/>
        </w:rPr>
        <w:t xml:space="preserve"> or a substitute for an HFC with a GWP</w:t>
      </w:r>
      <w:r w:rsidRPr="00283806">
        <w:rPr>
          <w:spacing w:val="40"/>
          <w:w w:val="105"/>
        </w:rPr>
        <w:t xml:space="preserve"> </w:t>
      </w:r>
      <w:r w:rsidRPr="00283806">
        <w:rPr>
          <w:w w:val="105"/>
        </w:rPr>
        <w:t>greater than 53. Under this rulemaking, owners or operators are required to repair an appliance within 30 days (or 120 days if an industrial process shutdown is required) of refrigerant being added to an appliance, if the appliance is leaking above the</w:t>
      </w:r>
      <w:r w:rsidRPr="00283806">
        <w:rPr>
          <w:spacing w:val="80"/>
          <w:w w:val="105"/>
        </w:rPr>
        <w:t xml:space="preserve"> </w:t>
      </w:r>
      <w:r w:rsidRPr="00283806">
        <w:rPr>
          <w:w w:val="105"/>
        </w:rPr>
        <w:t>applicable leak rate. Leaks must be repaired such that the leak rate of the refrigerant-containing appliance is brought below the applicable leak rate. Depending on the nature of the leaks, it may be necessary to repair or replace multiple components or parts of the refrigerant-containing appliance to comply with this requirement. These requirements are consistent with the requirements</w:t>
      </w:r>
      <w:r w:rsidRPr="00283806">
        <w:rPr>
          <w:spacing w:val="-3"/>
          <w:w w:val="105"/>
        </w:rPr>
        <w:t xml:space="preserve"> </w:t>
      </w:r>
      <w:r w:rsidRPr="00283806">
        <w:rPr>
          <w:w w:val="105"/>
        </w:rPr>
        <w:t>found</w:t>
      </w:r>
      <w:r w:rsidRPr="00283806">
        <w:rPr>
          <w:spacing w:val="-3"/>
          <w:w w:val="105"/>
        </w:rPr>
        <w:t xml:space="preserve"> </w:t>
      </w:r>
      <w:r w:rsidRPr="00283806">
        <w:rPr>
          <w:w w:val="105"/>
        </w:rPr>
        <w:t>at</w:t>
      </w:r>
      <w:r w:rsidRPr="00283806">
        <w:rPr>
          <w:spacing w:val="-3"/>
          <w:w w:val="105"/>
        </w:rPr>
        <w:t xml:space="preserve"> </w:t>
      </w:r>
      <w:r w:rsidRPr="00283806">
        <w:rPr>
          <w:w w:val="105"/>
        </w:rPr>
        <w:t>40</w:t>
      </w:r>
      <w:r w:rsidRPr="00283806">
        <w:rPr>
          <w:spacing w:val="-3"/>
          <w:w w:val="105"/>
        </w:rPr>
        <w:t xml:space="preserve"> </w:t>
      </w:r>
      <w:r w:rsidRPr="00283806">
        <w:rPr>
          <w:w w:val="105"/>
        </w:rPr>
        <w:t>CFR</w:t>
      </w:r>
      <w:r w:rsidRPr="00283806">
        <w:rPr>
          <w:spacing w:val="-3"/>
          <w:w w:val="105"/>
        </w:rPr>
        <w:t xml:space="preserve"> </w:t>
      </w:r>
      <w:r w:rsidRPr="00283806">
        <w:rPr>
          <w:w w:val="105"/>
        </w:rPr>
        <w:t>82.157(d) to repair leaks for ODS-containing equipment. Repairing leaks in a timely manner helps serve the purposes identified in subsection (h)(1). For example, timely repair is critical to reducing the emissions of refrigerants from leaking appliances, and thus to minimizing releases of HFCs from equipment. In addition, by repairing leaks in a timely manner, additional</w:t>
      </w:r>
    </w:p>
    <w:p w14:paraId="4E94DA87"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07" w:space="40"/>
            <w:col w:w="3511" w:space="39"/>
            <w:col w:w="3623"/>
          </w:cols>
        </w:sectPr>
      </w:pPr>
    </w:p>
    <w:p w14:paraId="3F904D07" w14:textId="77777777" w:rsidR="00D67C1E" w:rsidRPr="00283806" w:rsidRDefault="001265CA">
      <w:pPr>
        <w:pStyle w:val="BodyText"/>
        <w:spacing w:before="136" w:line="225" w:lineRule="auto"/>
        <w:ind w:right="131"/>
      </w:pPr>
      <w:r w:rsidRPr="00283806">
        <w:rPr>
          <w:w w:val="105"/>
        </w:rPr>
        <w:lastRenderedPageBreak/>
        <w:t xml:space="preserve">HFC refrigerant will be subsequently available for reclamation, which supports maximizing reclaiming of </w:t>
      </w:r>
      <w:r w:rsidRPr="00283806">
        <w:rPr>
          <w:spacing w:val="-2"/>
          <w:w w:val="105"/>
        </w:rPr>
        <w:t>HFCs.</w:t>
      </w:r>
    </w:p>
    <w:p w14:paraId="1DE7D32C" w14:textId="77777777" w:rsidR="00D67C1E" w:rsidRPr="00283806" w:rsidRDefault="001265CA">
      <w:pPr>
        <w:pStyle w:val="BodyText"/>
        <w:spacing w:line="179" w:lineRule="exact"/>
        <w:ind w:left="340"/>
      </w:pPr>
      <w:r w:rsidRPr="00283806">
        <w:rPr>
          <w:w w:val="105"/>
        </w:rPr>
        <w:t>In</w:t>
      </w:r>
      <w:r w:rsidRPr="00283806">
        <w:rPr>
          <w:spacing w:val="6"/>
          <w:w w:val="105"/>
        </w:rPr>
        <w:t xml:space="preserve"> </w:t>
      </w:r>
      <w:r w:rsidRPr="00283806">
        <w:rPr>
          <w:w w:val="105"/>
        </w:rPr>
        <w:t>some</w:t>
      </w:r>
      <w:r w:rsidRPr="00283806">
        <w:rPr>
          <w:spacing w:val="6"/>
          <w:w w:val="105"/>
        </w:rPr>
        <w:t xml:space="preserve"> </w:t>
      </w:r>
      <w:r w:rsidRPr="00283806">
        <w:rPr>
          <w:w w:val="105"/>
        </w:rPr>
        <w:t>unforeseen</w:t>
      </w:r>
      <w:r w:rsidRPr="00283806">
        <w:rPr>
          <w:spacing w:val="6"/>
          <w:w w:val="105"/>
        </w:rPr>
        <w:t xml:space="preserve"> </w:t>
      </w:r>
      <w:r w:rsidRPr="00283806">
        <w:rPr>
          <w:spacing w:val="-2"/>
          <w:w w:val="105"/>
        </w:rPr>
        <w:t>circumstances,</w:t>
      </w:r>
    </w:p>
    <w:p w14:paraId="619CF95A" w14:textId="77777777" w:rsidR="00D67C1E" w:rsidRPr="00283806" w:rsidRDefault="001265CA">
      <w:pPr>
        <w:pStyle w:val="BodyText"/>
        <w:spacing w:before="4" w:line="225" w:lineRule="auto"/>
        <w:ind w:right="18"/>
      </w:pPr>
      <w:r w:rsidRPr="00283806">
        <w:rPr>
          <w:w w:val="105"/>
        </w:rPr>
        <w:t xml:space="preserve">repair of leaks may require additional time beyond that of the 30-day timeframe. EPA is finalizing specific extensions that may be available for owners or operators to repair leaks if certain conditions are met. Among these conditions, EPA is </w:t>
      </w:r>
      <w:proofErr w:type="gramStart"/>
      <w:r w:rsidRPr="00283806">
        <w:rPr>
          <w:w w:val="105"/>
        </w:rPr>
        <w:t>requiring that</w:t>
      </w:r>
      <w:proofErr w:type="gramEnd"/>
      <w:r w:rsidRPr="00283806">
        <w:rPr>
          <w:w w:val="105"/>
        </w:rPr>
        <w:t xml:space="preserve"> one or more must be met to qualify for additional time. Extensions for the leak repair requirements are available if the appliance</w:t>
      </w:r>
      <w:r w:rsidRPr="00283806">
        <w:rPr>
          <w:spacing w:val="40"/>
          <w:w w:val="105"/>
        </w:rPr>
        <w:t xml:space="preserve"> </w:t>
      </w:r>
      <w:proofErr w:type="gramStart"/>
      <w:r w:rsidRPr="00283806">
        <w:rPr>
          <w:w w:val="105"/>
        </w:rPr>
        <w:t>is</w:t>
      </w:r>
      <w:r w:rsidRPr="00283806">
        <w:rPr>
          <w:spacing w:val="40"/>
          <w:w w:val="105"/>
        </w:rPr>
        <w:t xml:space="preserve"> </w:t>
      </w:r>
      <w:r w:rsidRPr="00283806">
        <w:rPr>
          <w:w w:val="105"/>
        </w:rPr>
        <w:t>located</w:t>
      </w:r>
      <w:r w:rsidRPr="00283806">
        <w:rPr>
          <w:spacing w:val="40"/>
          <w:w w:val="105"/>
        </w:rPr>
        <w:t xml:space="preserve"> </w:t>
      </w:r>
      <w:r w:rsidRPr="00283806">
        <w:rPr>
          <w:w w:val="105"/>
        </w:rPr>
        <w:t>in</w:t>
      </w:r>
      <w:proofErr w:type="gramEnd"/>
      <w:r w:rsidRPr="00283806">
        <w:rPr>
          <w:spacing w:val="40"/>
          <w:w w:val="105"/>
        </w:rPr>
        <w:t xml:space="preserve"> </w:t>
      </w:r>
      <w:r w:rsidRPr="00283806">
        <w:rPr>
          <w:w w:val="105"/>
        </w:rPr>
        <w:t>an</w:t>
      </w:r>
      <w:r w:rsidRPr="00283806">
        <w:rPr>
          <w:spacing w:val="40"/>
          <w:w w:val="105"/>
        </w:rPr>
        <w:t xml:space="preserve"> </w:t>
      </w:r>
      <w:r w:rsidRPr="00283806">
        <w:rPr>
          <w:w w:val="105"/>
        </w:rPr>
        <w:t>area</w:t>
      </w:r>
      <w:r w:rsidRPr="00283806">
        <w:rPr>
          <w:spacing w:val="40"/>
          <w:w w:val="105"/>
        </w:rPr>
        <w:t xml:space="preserve"> </w:t>
      </w:r>
      <w:r w:rsidRPr="00283806">
        <w:rPr>
          <w:w w:val="105"/>
        </w:rPr>
        <w:t>subject to radiological contamination or if shutting down the appliance will</w:t>
      </w:r>
      <w:r w:rsidRPr="00283806">
        <w:rPr>
          <w:spacing w:val="80"/>
          <w:w w:val="150"/>
        </w:rPr>
        <w:t xml:space="preserve"> </w:t>
      </w:r>
      <w:r w:rsidRPr="00283806">
        <w:rPr>
          <w:w w:val="105"/>
        </w:rPr>
        <w:t>directly lead to radiological contamination. Additional time is permitted to the extent necessary to allow the completion of the repairs in a safe working environment. Extensions are also available to owners or operators if the requirements of any other Federal, State, local, or tribal regulations make a repair within 30 days (or 120 days if an</w:t>
      </w:r>
    </w:p>
    <w:p w14:paraId="5E16DEA4" w14:textId="77777777" w:rsidR="00D67C1E" w:rsidRPr="00283806" w:rsidRDefault="001265CA">
      <w:pPr>
        <w:pStyle w:val="BodyText"/>
        <w:spacing w:line="225" w:lineRule="auto"/>
      </w:pPr>
      <w:proofErr w:type="gramStart"/>
      <w:r w:rsidRPr="00283806">
        <w:t>industrial</w:t>
      </w:r>
      <w:proofErr w:type="gramEnd"/>
      <w:r w:rsidRPr="00283806">
        <w:t xml:space="preserve"> process shutdown is required)</w:t>
      </w:r>
      <w:r w:rsidRPr="00283806">
        <w:rPr>
          <w:w w:val="110"/>
        </w:rPr>
        <w:t xml:space="preserve"> impossible. Additional time is</w:t>
      </w:r>
      <w:r w:rsidRPr="00283806">
        <w:rPr>
          <w:spacing w:val="40"/>
          <w:w w:val="110"/>
        </w:rPr>
        <w:t xml:space="preserve"> </w:t>
      </w:r>
      <w:r w:rsidRPr="00283806">
        <w:rPr>
          <w:w w:val="110"/>
        </w:rPr>
        <w:t>permitted to the extent needed to comply</w:t>
      </w:r>
      <w:r w:rsidRPr="00283806">
        <w:rPr>
          <w:spacing w:val="-1"/>
          <w:w w:val="110"/>
        </w:rPr>
        <w:t xml:space="preserve"> </w:t>
      </w:r>
      <w:r w:rsidRPr="00283806">
        <w:rPr>
          <w:w w:val="110"/>
        </w:rPr>
        <w:t>with</w:t>
      </w:r>
      <w:r w:rsidRPr="00283806">
        <w:rPr>
          <w:spacing w:val="-1"/>
          <w:w w:val="110"/>
        </w:rPr>
        <w:t xml:space="preserve"> </w:t>
      </w:r>
      <w:r w:rsidRPr="00283806">
        <w:rPr>
          <w:w w:val="110"/>
        </w:rPr>
        <w:t>the</w:t>
      </w:r>
      <w:r w:rsidRPr="00283806">
        <w:rPr>
          <w:spacing w:val="-1"/>
          <w:w w:val="110"/>
        </w:rPr>
        <w:t xml:space="preserve"> </w:t>
      </w:r>
      <w:r w:rsidRPr="00283806">
        <w:rPr>
          <w:w w:val="110"/>
        </w:rPr>
        <w:t>applicable</w:t>
      </w:r>
      <w:r w:rsidRPr="00283806">
        <w:rPr>
          <w:spacing w:val="-1"/>
          <w:w w:val="110"/>
        </w:rPr>
        <w:t xml:space="preserve"> </w:t>
      </w:r>
      <w:r w:rsidRPr="00283806">
        <w:rPr>
          <w:w w:val="110"/>
        </w:rPr>
        <w:t>regulations. EPA is also finalizing extensions for when</w:t>
      </w:r>
      <w:r w:rsidRPr="00283806">
        <w:rPr>
          <w:spacing w:val="-1"/>
          <w:w w:val="110"/>
        </w:rPr>
        <w:t xml:space="preserve"> </w:t>
      </w:r>
      <w:r w:rsidRPr="00283806">
        <w:rPr>
          <w:w w:val="110"/>
        </w:rPr>
        <w:t>needed</w:t>
      </w:r>
      <w:r w:rsidRPr="00283806">
        <w:rPr>
          <w:spacing w:val="-1"/>
          <w:w w:val="110"/>
        </w:rPr>
        <w:t xml:space="preserve"> </w:t>
      </w:r>
      <w:r w:rsidRPr="00283806">
        <w:rPr>
          <w:w w:val="110"/>
        </w:rPr>
        <w:t>components</w:t>
      </w:r>
      <w:r w:rsidRPr="00283806">
        <w:rPr>
          <w:spacing w:val="-1"/>
          <w:w w:val="110"/>
        </w:rPr>
        <w:t xml:space="preserve"> </w:t>
      </w:r>
      <w:r w:rsidRPr="00283806">
        <w:rPr>
          <w:w w:val="110"/>
        </w:rPr>
        <w:t>that</w:t>
      </w:r>
      <w:r w:rsidRPr="00283806">
        <w:rPr>
          <w:spacing w:val="-1"/>
          <w:w w:val="110"/>
        </w:rPr>
        <w:t xml:space="preserve"> </w:t>
      </w:r>
      <w:r w:rsidRPr="00283806">
        <w:rPr>
          <w:w w:val="110"/>
        </w:rPr>
        <w:t>must</w:t>
      </w:r>
      <w:r w:rsidRPr="00283806">
        <w:rPr>
          <w:spacing w:val="-1"/>
          <w:w w:val="110"/>
        </w:rPr>
        <w:t xml:space="preserve"> </w:t>
      </w:r>
      <w:r w:rsidRPr="00283806">
        <w:rPr>
          <w:w w:val="110"/>
        </w:rPr>
        <w:t>be replaced as a part of the leak repair are not available within the leak repair timeframe of 30 days (or 120 days if an industrial process shutdown is required).</w:t>
      </w:r>
      <w:r w:rsidRPr="00283806">
        <w:rPr>
          <w:spacing w:val="-11"/>
          <w:w w:val="110"/>
        </w:rPr>
        <w:t xml:space="preserve"> </w:t>
      </w:r>
      <w:r w:rsidRPr="00283806">
        <w:rPr>
          <w:w w:val="110"/>
        </w:rPr>
        <w:t>In</w:t>
      </w:r>
      <w:r w:rsidRPr="00283806">
        <w:rPr>
          <w:spacing w:val="-11"/>
          <w:w w:val="110"/>
        </w:rPr>
        <w:t xml:space="preserve"> </w:t>
      </w:r>
      <w:r w:rsidRPr="00283806">
        <w:rPr>
          <w:w w:val="110"/>
        </w:rPr>
        <w:t>this</w:t>
      </w:r>
      <w:r w:rsidRPr="00283806">
        <w:rPr>
          <w:spacing w:val="-11"/>
          <w:w w:val="110"/>
        </w:rPr>
        <w:t xml:space="preserve"> </w:t>
      </w:r>
      <w:r w:rsidRPr="00283806">
        <w:rPr>
          <w:w w:val="110"/>
        </w:rPr>
        <w:t>case,</w:t>
      </w:r>
      <w:r w:rsidRPr="00283806">
        <w:rPr>
          <w:spacing w:val="-11"/>
          <w:w w:val="110"/>
        </w:rPr>
        <w:t xml:space="preserve"> </w:t>
      </w:r>
      <w:r w:rsidRPr="00283806">
        <w:rPr>
          <w:w w:val="110"/>
        </w:rPr>
        <w:t>additional</w:t>
      </w:r>
      <w:r w:rsidRPr="00283806">
        <w:rPr>
          <w:spacing w:val="-11"/>
          <w:w w:val="110"/>
        </w:rPr>
        <w:t xml:space="preserve"> </w:t>
      </w:r>
      <w:r w:rsidRPr="00283806">
        <w:rPr>
          <w:w w:val="110"/>
        </w:rPr>
        <w:t>time</w:t>
      </w:r>
      <w:r w:rsidRPr="00283806">
        <w:rPr>
          <w:spacing w:val="-11"/>
          <w:w w:val="110"/>
        </w:rPr>
        <w:t xml:space="preserve"> </w:t>
      </w:r>
      <w:r w:rsidRPr="00283806">
        <w:rPr>
          <w:w w:val="110"/>
        </w:rPr>
        <w:t xml:space="preserve">is permitted </w:t>
      </w:r>
      <w:proofErr w:type="gramStart"/>
      <w:r w:rsidRPr="00283806">
        <w:rPr>
          <w:w w:val="110"/>
        </w:rPr>
        <w:t>of</w:t>
      </w:r>
      <w:proofErr w:type="gramEnd"/>
      <w:r w:rsidRPr="00283806">
        <w:rPr>
          <w:w w:val="110"/>
        </w:rPr>
        <w:t xml:space="preserve"> up to 30 days after receiving the needed component, with the total extension not to exceed 180 days (or 270 days if an industrial process</w:t>
      </w:r>
      <w:r w:rsidRPr="00283806">
        <w:rPr>
          <w:spacing w:val="-9"/>
          <w:w w:val="110"/>
        </w:rPr>
        <w:t xml:space="preserve"> </w:t>
      </w:r>
      <w:r w:rsidRPr="00283806">
        <w:rPr>
          <w:w w:val="110"/>
        </w:rPr>
        <w:t>shutdown</w:t>
      </w:r>
      <w:r w:rsidRPr="00283806">
        <w:rPr>
          <w:spacing w:val="-9"/>
          <w:w w:val="110"/>
        </w:rPr>
        <w:t xml:space="preserve"> </w:t>
      </w:r>
      <w:r w:rsidRPr="00283806">
        <w:rPr>
          <w:w w:val="110"/>
        </w:rPr>
        <w:t>is</w:t>
      </w:r>
      <w:r w:rsidRPr="00283806">
        <w:rPr>
          <w:spacing w:val="-9"/>
          <w:w w:val="110"/>
        </w:rPr>
        <w:t xml:space="preserve"> </w:t>
      </w:r>
      <w:r w:rsidRPr="00283806">
        <w:rPr>
          <w:w w:val="110"/>
        </w:rPr>
        <w:t>required)</w:t>
      </w:r>
      <w:r w:rsidRPr="00283806">
        <w:rPr>
          <w:spacing w:val="-9"/>
          <w:w w:val="110"/>
        </w:rPr>
        <w:t xml:space="preserve"> </w:t>
      </w:r>
      <w:r w:rsidRPr="00283806">
        <w:rPr>
          <w:w w:val="110"/>
        </w:rPr>
        <w:t>from</w:t>
      </w:r>
      <w:r w:rsidRPr="00283806">
        <w:rPr>
          <w:spacing w:val="-9"/>
          <w:w w:val="110"/>
        </w:rPr>
        <w:t xml:space="preserve"> </w:t>
      </w:r>
      <w:r w:rsidRPr="00283806">
        <w:rPr>
          <w:w w:val="110"/>
        </w:rPr>
        <w:t>the date that the appliance exceeded the applicable leak rate. In all cases of potential extensions to the leak repair timeframe,</w:t>
      </w:r>
      <w:r w:rsidRPr="00283806">
        <w:rPr>
          <w:spacing w:val="-2"/>
          <w:w w:val="110"/>
        </w:rPr>
        <w:t xml:space="preserve"> </w:t>
      </w:r>
      <w:r w:rsidRPr="00283806">
        <w:rPr>
          <w:w w:val="110"/>
        </w:rPr>
        <w:t>an</w:t>
      </w:r>
      <w:r w:rsidRPr="00283806">
        <w:rPr>
          <w:spacing w:val="-2"/>
          <w:w w:val="110"/>
        </w:rPr>
        <w:t xml:space="preserve"> </w:t>
      </w:r>
      <w:r w:rsidRPr="00283806">
        <w:rPr>
          <w:w w:val="110"/>
        </w:rPr>
        <w:t>owner</w:t>
      </w:r>
      <w:r w:rsidRPr="00283806">
        <w:rPr>
          <w:spacing w:val="-2"/>
          <w:w w:val="110"/>
        </w:rPr>
        <w:t xml:space="preserve"> </w:t>
      </w:r>
      <w:r w:rsidRPr="00283806">
        <w:rPr>
          <w:w w:val="110"/>
        </w:rPr>
        <w:t>or</w:t>
      </w:r>
      <w:r w:rsidRPr="00283806">
        <w:rPr>
          <w:spacing w:val="-2"/>
          <w:w w:val="110"/>
        </w:rPr>
        <w:t xml:space="preserve"> </w:t>
      </w:r>
      <w:r w:rsidRPr="00283806">
        <w:rPr>
          <w:w w:val="110"/>
        </w:rPr>
        <w:t>operator</w:t>
      </w:r>
      <w:r w:rsidRPr="00283806">
        <w:rPr>
          <w:spacing w:val="-2"/>
          <w:w w:val="110"/>
        </w:rPr>
        <w:t xml:space="preserve"> </w:t>
      </w:r>
      <w:r w:rsidRPr="00283806">
        <w:rPr>
          <w:w w:val="110"/>
        </w:rPr>
        <w:t>is</w:t>
      </w:r>
      <w:r w:rsidRPr="00283806">
        <w:rPr>
          <w:spacing w:val="-2"/>
          <w:w w:val="110"/>
        </w:rPr>
        <w:t xml:space="preserve"> </w:t>
      </w:r>
      <w:r w:rsidRPr="00283806">
        <w:rPr>
          <w:w w:val="110"/>
        </w:rPr>
        <w:t>still required to repair leaks that the technician</w:t>
      </w:r>
      <w:r w:rsidRPr="00283806">
        <w:rPr>
          <w:spacing w:val="-11"/>
          <w:w w:val="110"/>
        </w:rPr>
        <w:t xml:space="preserve"> </w:t>
      </w:r>
      <w:r w:rsidRPr="00283806">
        <w:rPr>
          <w:w w:val="110"/>
        </w:rPr>
        <w:t>has</w:t>
      </w:r>
      <w:r w:rsidRPr="00283806">
        <w:rPr>
          <w:spacing w:val="-11"/>
          <w:w w:val="110"/>
        </w:rPr>
        <w:t xml:space="preserve"> </w:t>
      </w:r>
      <w:r w:rsidRPr="00283806">
        <w:rPr>
          <w:w w:val="110"/>
        </w:rPr>
        <w:t>identified</w:t>
      </w:r>
      <w:r w:rsidRPr="00283806">
        <w:rPr>
          <w:spacing w:val="-11"/>
          <w:w w:val="110"/>
        </w:rPr>
        <w:t xml:space="preserve"> </w:t>
      </w:r>
      <w:r w:rsidRPr="00283806">
        <w:rPr>
          <w:w w:val="110"/>
        </w:rPr>
        <w:t>as</w:t>
      </w:r>
      <w:r w:rsidRPr="00283806">
        <w:rPr>
          <w:spacing w:val="-11"/>
          <w:w w:val="110"/>
        </w:rPr>
        <w:t xml:space="preserve"> </w:t>
      </w:r>
      <w:r w:rsidRPr="00283806">
        <w:rPr>
          <w:w w:val="110"/>
        </w:rPr>
        <w:t>significantly contributing to the exceedance of the applicable leak rate and that do not require additional time and to verify those repairs within the initial 30 days (or 120 days if an industrial process shutdown is required). Owners or operators availing themselves of this flexibility</w:t>
      </w:r>
      <w:r w:rsidRPr="00283806">
        <w:rPr>
          <w:spacing w:val="-11"/>
          <w:w w:val="110"/>
        </w:rPr>
        <w:t xml:space="preserve"> </w:t>
      </w:r>
      <w:r w:rsidRPr="00283806">
        <w:rPr>
          <w:w w:val="110"/>
        </w:rPr>
        <w:t>are</w:t>
      </w:r>
      <w:r w:rsidRPr="00283806">
        <w:rPr>
          <w:spacing w:val="-11"/>
          <w:w w:val="110"/>
        </w:rPr>
        <w:t xml:space="preserve"> </w:t>
      </w:r>
      <w:r w:rsidRPr="00283806">
        <w:rPr>
          <w:w w:val="110"/>
        </w:rPr>
        <w:t>also</w:t>
      </w:r>
      <w:r w:rsidRPr="00283806">
        <w:rPr>
          <w:spacing w:val="-11"/>
          <w:w w:val="110"/>
        </w:rPr>
        <w:t xml:space="preserve"> </w:t>
      </w:r>
      <w:r w:rsidRPr="00283806">
        <w:rPr>
          <w:w w:val="110"/>
        </w:rPr>
        <w:t>required</w:t>
      </w:r>
      <w:r w:rsidRPr="00283806">
        <w:rPr>
          <w:spacing w:val="-11"/>
          <w:w w:val="110"/>
        </w:rPr>
        <w:t xml:space="preserve"> </w:t>
      </w:r>
      <w:r w:rsidRPr="00283806">
        <w:rPr>
          <w:w w:val="110"/>
        </w:rPr>
        <w:t>to</w:t>
      </w:r>
      <w:r w:rsidRPr="00283806">
        <w:rPr>
          <w:spacing w:val="-11"/>
          <w:w w:val="110"/>
        </w:rPr>
        <w:t xml:space="preserve"> </w:t>
      </w:r>
      <w:r w:rsidRPr="00283806">
        <w:rPr>
          <w:w w:val="110"/>
        </w:rPr>
        <w:t>document all repair efforts and provide a reason for</w:t>
      </w:r>
      <w:r w:rsidRPr="00283806">
        <w:rPr>
          <w:spacing w:val="-11"/>
          <w:w w:val="110"/>
        </w:rPr>
        <w:t xml:space="preserve"> </w:t>
      </w:r>
      <w:r w:rsidRPr="00283806">
        <w:rPr>
          <w:w w:val="110"/>
        </w:rPr>
        <w:t>the</w:t>
      </w:r>
      <w:r w:rsidRPr="00283806">
        <w:rPr>
          <w:spacing w:val="-11"/>
          <w:w w:val="110"/>
        </w:rPr>
        <w:t xml:space="preserve"> </w:t>
      </w:r>
      <w:r w:rsidRPr="00283806">
        <w:rPr>
          <w:w w:val="110"/>
        </w:rPr>
        <w:t>inability</w:t>
      </w:r>
      <w:r w:rsidRPr="00283806">
        <w:rPr>
          <w:spacing w:val="-11"/>
          <w:w w:val="110"/>
        </w:rPr>
        <w:t xml:space="preserve"> </w:t>
      </w:r>
      <w:r w:rsidRPr="00283806">
        <w:rPr>
          <w:w w:val="110"/>
        </w:rPr>
        <w:t>to</w:t>
      </w:r>
      <w:r w:rsidRPr="00283806">
        <w:rPr>
          <w:spacing w:val="-11"/>
          <w:w w:val="110"/>
        </w:rPr>
        <w:t xml:space="preserve"> </w:t>
      </w:r>
      <w:r w:rsidRPr="00283806">
        <w:rPr>
          <w:w w:val="110"/>
        </w:rPr>
        <w:t>repair</w:t>
      </w:r>
      <w:r w:rsidRPr="00283806">
        <w:rPr>
          <w:spacing w:val="-11"/>
          <w:w w:val="110"/>
        </w:rPr>
        <w:t xml:space="preserve"> </w:t>
      </w:r>
      <w:r w:rsidRPr="00283806">
        <w:rPr>
          <w:w w:val="110"/>
        </w:rPr>
        <w:t>the</w:t>
      </w:r>
      <w:r w:rsidRPr="00283806">
        <w:rPr>
          <w:spacing w:val="-11"/>
          <w:w w:val="110"/>
        </w:rPr>
        <w:t xml:space="preserve"> </w:t>
      </w:r>
      <w:r w:rsidRPr="00283806">
        <w:rPr>
          <w:w w:val="110"/>
        </w:rPr>
        <w:t>leak</w:t>
      </w:r>
      <w:r w:rsidRPr="00283806">
        <w:rPr>
          <w:spacing w:val="-11"/>
          <w:w w:val="110"/>
        </w:rPr>
        <w:t xml:space="preserve"> </w:t>
      </w:r>
      <w:r w:rsidRPr="00283806">
        <w:rPr>
          <w:w w:val="110"/>
        </w:rPr>
        <w:t xml:space="preserve">within the initial 30-day (or 120-day if an </w:t>
      </w:r>
      <w:r w:rsidRPr="00283806">
        <w:t>industrial process shutdown is required)</w:t>
      </w:r>
      <w:r w:rsidRPr="00283806">
        <w:rPr>
          <w:w w:val="110"/>
        </w:rPr>
        <w:t xml:space="preserve"> </w:t>
      </w:r>
      <w:proofErr w:type="gramStart"/>
      <w:r w:rsidRPr="00283806">
        <w:rPr>
          <w:spacing w:val="-2"/>
          <w:w w:val="110"/>
        </w:rPr>
        <w:t>time</w:t>
      </w:r>
      <w:r w:rsidRPr="00283806">
        <w:rPr>
          <w:spacing w:val="-5"/>
          <w:w w:val="110"/>
        </w:rPr>
        <w:t xml:space="preserve"> </w:t>
      </w:r>
      <w:r w:rsidRPr="00283806">
        <w:rPr>
          <w:spacing w:val="-2"/>
          <w:w w:val="110"/>
        </w:rPr>
        <w:t>period</w:t>
      </w:r>
      <w:proofErr w:type="gramEnd"/>
      <w:r w:rsidRPr="00283806">
        <w:rPr>
          <w:spacing w:val="-2"/>
          <w:w w:val="110"/>
        </w:rPr>
        <w:t>.</w:t>
      </w:r>
      <w:r w:rsidRPr="00283806">
        <w:rPr>
          <w:spacing w:val="-5"/>
          <w:w w:val="110"/>
        </w:rPr>
        <w:t xml:space="preserve"> </w:t>
      </w:r>
      <w:r w:rsidRPr="00283806">
        <w:rPr>
          <w:spacing w:val="-2"/>
          <w:w w:val="110"/>
        </w:rPr>
        <w:t>All</w:t>
      </w:r>
      <w:r w:rsidRPr="00283806">
        <w:rPr>
          <w:spacing w:val="-5"/>
          <w:w w:val="110"/>
        </w:rPr>
        <w:t xml:space="preserve"> </w:t>
      </w:r>
      <w:r w:rsidRPr="00283806">
        <w:rPr>
          <w:spacing w:val="-2"/>
          <w:w w:val="110"/>
        </w:rPr>
        <w:t>extension</w:t>
      </w:r>
      <w:r w:rsidRPr="00283806">
        <w:rPr>
          <w:spacing w:val="-5"/>
          <w:w w:val="110"/>
        </w:rPr>
        <w:t xml:space="preserve"> </w:t>
      </w:r>
      <w:r w:rsidRPr="00283806">
        <w:rPr>
          <w:spacing w:val="-2"/>
          <w:w w:val="110"/>
        </w:rPr>
        <w:t>requests</w:t>
      </w:r>
      <w:r w:rsidRPr="00283806">
        <w:rPr>
          <w:spacing w:val="-5"/>
          <w:w w:val="110"/>
        </w:rPr>
        <w:t xml:space="preserve"> </w:t>
      </w:r>
      <w:r w:rsidRPr="00283806">
        <w:rPr>
          <w:spacing w:val="-2"/>
          <w:w w:val="110"/>
        </w:rPr>
        <w:t xml:space="preserve">must </w:t>
      </w:r>
      <w:r w:rsidRPr="00283806">
        <w:rPr>
          <w:w w:val="110"/>
        </w:rPr>
        <w:t>be submitted electronically using the Agency’s applicable reporting platform and include pertinent information as described in the regulatory text at 40 CFR 84.106.</w:t>
      </w:r>
    </w:p>
    <w:p w14:paraId="2E681777" w14:textId="77777777" w:rsidR="00D67C1E" w:rsidRPr="00283806" w:rsidRDefault="001265CA">
      <w:pPr>
        <w:pStyle w:val="BodyText"/>
        <w:spacing w:line="169" w:lineRule="exact"/>
        <w:ind w:left="340"/>
      </w:pPr>
      <w:r w:rsidRPr="00283806">
        <w:rPr>
          <w:w w:val="105"/>
        </w:rPr>
        <w:t>In</w:t>
      </w:r>
      <w:r w:rsidRPr="00283806">
        <w:rPr>
          <w:spacing w:val="12"/>
          <w:w w:val="105"/>
        </w:rPr>
        <w:t xml:space="preserve"> </w:t>
      </w:r>
      <w:r w:rsidRPr="00283806">
        <w:rPr>
          <w:w w:val="105"/>
        </w:rPr>
        <w:t>the</w:t>
      </w:r>
      <w:r w:rsidRPr="00283806">
        <w:rPr>
          <w:spacing w:val="13"/>
          <w:w w:val="105"/>
        </w:rPr>
        <w:t xml:space="preserve"> </w:t>
      </w:r>
      <w:r w:rsidRPr="00283806">
        <w:rPr>
          <w:w w:val="105"/>
        </w:rPr>
        <w:t>final</w:t>
      </w:r>
      <w:r w:rsidRPr="00283806">
        <w:rPr>
          <w:spacing w:val="12"/>
          <w:w w:val="105"/>
        </w:rPr>
        <w:t xml:space="preserve"> </w:t>
      </w:r>
      <w:r w:rsidRPr="00283806">
        <w:rPr>
          <w:w w:val="105"/>
        </w:rPr>
        <w:t>rule,</w:t>
      </w:r>
      <w:r w:rsidRPr="00283806">
        <w:rPr>
          <w:spacing w:val="13"/>
          <w:w w:val="105"/>
        </w:rPr>
        <w:t xml:space="preserve"> </w:t>
      </w:r>
      <w:r w:rsidRPr="00283806">
        <w:rPr>
          <w:w w:val="105"/>
        </w:rPr>
        <w:t>a</w:t>
      </w:r>
      <w:r w:rsidRPr="00283806">
        <w:rPr>
          <w:spacing w:val="13"/>
          <w:w w:val="105"/>
        </w:rPr>
        <w:t xml:space="preserve"> </w:t>
      </w:r>
      <w:r w:rsidRPr="00283806">
        <w:rPr>
          <w:w w:val="105"/>
        </w:rPr>
        <w:t>leak</w:t>
      </w:r>
      <w:r w:rsidRPr="00283806">
        <w:rPr>
          <w:spacing w:val="12"/>
          <w:w w:val="105"/>
        </w:rPr>
        <w:t xml:space="preserve"> </w:t>
      </w:r>
      <w:r w:rsidRPr="00283806">
        <w:rPr>
          <w:w w:val="105"/>
        </w:rPr>
        <w:t>is</w:t>
      </w:r>
      <w:r w:rsidRPr="00283806">
        <w:rPr>
          <w:spacing w:val="13"/>
          <w:w w:val="105"/>
        </w:rPr>
        <w:t xml:space="preserve"> </w:t>
      </w:r>
      <w:r w:rsidRPr="00283806">
        <w:rPr>
          <w:spacing w:val="-2"/>
          <w:w w:val="105"/>
        </w:rPr>
        <w:t>presumed</w:t>
      </w:r>
    </w:p>
    <w:p w14:paraId="6A58FA8F" w14:textId="77777777" w:rsidR="00D67C1E" w:rsidRPr="00283806" w:rsidRDefault="001265CA">
      <w:pPr>
        <w:pStyle w:val="BodyText"/>
        <w:spacing w:line="206" w:lineRule="exact"/>
      </w:pPr>
      <w:r w:rsidRPr="00283806">
        <w:rPr>
          <w:w w:val="105"/>
        </w:rPr>
        <w:t>to</w:t>
      </w:r>
      <w:r w:rsidRPr="00283806">
        <w:rPr>
          <w:spacing w:val="5"/>
          <w:w w:val="105"/>
        </w:rPr>
        <w:t xml:space="preserve"> </w:t>
      </w:r>
      <w:r w:rsidRPr="00283806">
        <w:rPr>
          <w:w w:val="105"/>
        </w:rPr>
        <w:t>be</w:t>
      </w:r>
      <w:r w:rsidRPr="00283806">
        <w:rPr>
          <w:spacing w:val="5"/>
          <w:w w:val="105"/>
        </w:rPr>
        <w:t xml:space="preserve"> </w:t>
      </w:r>
      <w:r w:rsidRPr="00283806">
        <w:rPr>
          <w:w w:val="105"/>
        </w:rPr>
        <w:t>repaired</w:t>
      </w:r>
      <w:r w:rsidRPr="00283806">
        <w:rPr>
          <w:spacing w:val="6"/>
          <w:w w:val="105"/>
        </w:rPr>
        <w:t xml:space="preserve"> </w:t>
      </w:r>
      <w:r w:rsidRPr="00283806">
        <w:rPr>
          <w:w w:val="105"/>
        </w:rPr>
        <w:t>if</w:t>
      </w:r>
      <w:r w:rsidRPr="00283806">
        <w:rPr>
          <w:spacing w:val="5"/>
          <w:w w:val="105"/>
        </w:rPr>
        <w:t xml:space="preserve"> </w:t>
      </w:r>
      <w:r w:rsidRPr="00283806">
        <w:rPr>
          <w:w w:val="105"/>
        </w:rPr>
        <w:t>there</w:t>
      </w:r>
      <w:r w:rsidRPr="00283806">
        <w:rPr>
          <w:spacing w:val="6"/>
          <w:w w:val="105"/>
        </w:rPr>
        <w:t xml:space="preserve"> </w:t>
      </w:r>
      <w:r w:rsidRPr="00283806">
        <w:rPr>
          <w:w w:val="105"/>
        </w:rPr>
        <w:t>is</w:t>
      </w:r>
      <w:r w:rsidRPr="00283806">
        <w:rPr>
          <w:spacing w:val="5"/>
          <w:w w:val="105"/>
        </w:rPr>
        <w:t xml:space="preserve"> </w:t>
      </w:r>
      <w:r w:rsidRPr="00283806">
        <w:rPr>
          <w:w w:val="105"/>
        </w:rPr>
        <w:t>no</w:t>
      </w:r>
      <w:r w:rsidRPr="00283806">
        <w:rPr>
          <w:spacing w:val="6"/>
          <w:w w:val="105"/>
        </w:rPr>
        <w:t xml:space="preserve"> </w:t>
      </w:r>
      <w:r w:rsidRPr="00283806">
        <w:rPr>
          <w:spacing w:val="-2"/>
          <w:w w:val="105"/>
        </w:rPr>
        <w:t>further</w:t>
      </w:r>
    </w:p>
    <w:p w14:paraId="729120FB" w14:textId="77777777" w:rsidR="00D67C1E" w:rsidRPr="00283806" w:rsidRDefault="001265CA">
      <w:pPr>
        <w:pStyle w:val="BodyText"/>
        <w:spacing w:before="134" w:line="228" w:lineRule="auto"/>
        <w:ind w:left="143" w:right="90"/>
      </w:pPr>
      <w:r w:rsidRPr="00283806">
        <w:br w:type="column"/>
      </w:r>
      <w:r w:rsidRPr="00283806">
        <w:rPr>
          <w:w w:val="105"/>
        </w:rPr>
        <w:t>addition of refrigerant to the equipment for 12 months after the date of repair as demonstrated by a successful follow-up verification test or if there are no leaks identified by either the required</w:t>
      </w:r>
      <w:r w:rsidRPr="00283806">
        <w:rPr>
          <w:spacing w:val="40"/>
          <w:w w:val="105"/>
        </w:rPr>
        <w:t xml:space="preserve"> </w:t>
      </w:r>
      <w:r w:rsidRPr="00283806">
        <w:rPr>
          <w:w w:val="105"/>
        </w:rPr>
        <w:t xml:space="preserve">periodic leak inspection(s) or an ALD system, where applicable. Further information on the requirements for ALD systems </w:t>
      </w:r>
      <w:proofErr w:type="gramStart"/>
      <w:r w:rsidRPr="00283806">
        <w:rPr>
          <w:w w:val="105"/>
        </w:rPr>
        <w:t>are</w:t>
      </w:r>
      <w:proofErr w:type="gramEnd"/>
      <w:r w:rsidRPr="00283806">
        <w:rPr>
          <w:w w:val="105"/>
        </w:rPr>
        <w:t xml:space="preserve"> described in </w:t>
      </w:r>
      <w:proofErr w:type="gramStart"/>
      <w:r w:rsidRPr="00283806">
        <w:rPr>
          <w:w w:val="105"/>
        </w:rPr>
        <w:t>section</w:t>
      </w:r>
      <w:proofErr w:type="gramEnd"/>
    </w:p>
    <w:p w14:paraId="44AB1FA4" w14:textId="77777777" w:rsidR="00D67C1E" w:rsidRPr="00283806" w:rsidRDefault="001265CA">
      <w:pPr>
        <w:pStyle w:val="BodyText"/>
        <w:spacing w:line="228" w:lineRule="auto"/>
        <w:ind w:left="143" w:right="19"/>
      </w:pPr>
      <w:r w:rsidRPr="00283806">
        <w:rPr>
          <w:w w:val="105"/>
        </w:rPr>
        <w:t>IV.D.1 of this preamble. While EPA is requiring ALD systems for certain refrigerant-containing appliances, there may be some cases where an owner or operator chooses to use ALD systems for equipment where it is not required. Whether</w:t>
      </w:r>
      <w:r w:rsidRPr="00283806">
        <w:rPr>
          <w:spacing w:val="36"/>
          <w:w w:val="105"/>
        </w:rPr>
        <w:t xml:space="preserve"> </w:t>
      </w:r>
      <w:r w:rsidRPr="00283806">
        <w:rPr>
          <w:w w:val="105"/>
        </w:rPr>
        <w:t>use</w:t>
      </w:r>
      <w:r w:rsidRPr="00283806">
        <w:rPr>
          <w:spacing w:val="36"/>
          <w:w w:val="105"/>
        </w:rPr>
        <w:t xml:space="preserve"> </w:t>
      </w:r>
      <w:r w:rsidRPr="00283806">
        <w:rPr>
          <w:w w:val="105"/>
        </w:rPr>
        <w:t>of</w:t>
      </w:r>
      <w:r w:rsidRPr="00283806">
        <w:rPr>
          <w:spacing w:val="36"/>
          <w:w w:val="105"/>
        </w:rPr>
        <w:t xml:space="preserve"> </w:t>
      </w:r>
      <w:r w:rsidRPr="00283806">
        <w:rPr>
          <w:w w:val="105"/>
        </w:rPr>
        <w:t>the</w:t>
      </w:r>
      <w:r w:rsidRPr="00283806">
        <w:rPr>
          <w:spacing w:val="36"/>
          <w:w w:val="105"/>
        </w:rPr>
        <w:t xml:space="preserve"> </w:t>
      </w:r>
      <w:r w:rsidRPr="00283806">
        <w:rPr>
          <w:w w:val="105"/>
        </w:rPr>
        <w:t>ALD</w:t>
      </w:r>
      <w:r w:rsidRPr="00283806">
        <w:rPr>
          <w:spacing w:val="36"/>
          <w:w w:val="105"/>
        </w:rPr>
        <w:t xml:space="preserve"> </w:t>
      </w:r>
      <w:r w:rsidRPr="00283806">
        <w:rPr>
          <w:w w:val="105"/>
        </w:rPr>
        <w:t>system</w:t>
      </w:r>
      <w:r w:rsidRPr="00283806">
        <w:rPr>
          <w:spacing w:val="36"/>
          <w:w w:val="105"/>
        </w:rPr>
        <w:t xml:space="preserve"> </w:t>
      </w:r>
      <w:r w:rsidRPr="00283806">
        <w:rPr>
          <w:w w:val="105"/>
        </w:rPr>
        <w:t>is</w:t>
      </w:r>
      <w:r w:rsidRPr="00283806">
        <w:rPr>
          <w:spacing w:val="36"/>
          <w:w w:val="105"/>
        </w:rPr>
        <w:t xml:space="preserve"> </w:t>
      </w:r>
      <w:r w:rsidRPr="00283806">
        <w:rPr>
          <w:w w:val="105"/>
        </w:rPr>
        <w:t>due to requirements in section IV.D.1 of this preamble or used as a compliance</w:t>
      </w:r>
      <w:r w:rsidRPr="00283806">
        <w:rPr>
          <w:spacing w:val="80"/>
          <w:w w:val="105"/>
        </w:rPr>
        <w:t xml:space="preserve"> </w:t>
      </w:r>
      <w:r w:rsidRPr="00283806">
        <w:rPr>
          <w:w w:val="105"/>
        </w:rPr>
        <w:t>option in lieu of leak inspections (see section IV.C.3.d of this preamble) for a specific appliance, if the ALD system detects a leak in the 12-month period after the date of repair as demonstrated by a successful follow-up verification</w:t>
      </w:r>
      <w:r w:rsidRPr="00283806">
        <w:rPr>
          <w:spacing w:val="40"/>
          <w:w w:val="105"/>
        </w:rPr>
        <w:t xml:space="preserve"> </w:t>
      </w:r>
      <w:r w:rsidRPr="00283806">
        <w:rPr>
          <w:w w:val="105"/>
        </w:rPr>
        <w:t>test, the leak repair would be presumed to have subsequently failed, unless the owner or operator can document that</w:t>
      </w:r>
      <w:r w:rsidRPr="00283806">
        <w:rPr>
          <w:spacing w:val="80"/>
          <w:w w:val="105"/>
        </w:rPr>
        <w:t xml:space="preserve"> </w:t>
      </w:r>
      <w:r w:rsidRPr="00283806">
        <w:rPr>
          <w:w w:val="105"/>
        </w:rPr>
        <w:t>the ALD system leak detection was due</w:t>
      </w:r>
      <w:r w:rsidRPr="00283806">
        <w:rPr>
          <w:spacing w:val="40"/>
          <w:w w:val="105"/>
        </w:rPr>
        <w:t xml:space="preserve"> </w:t>
      </w:r>
      <w:r w:rsidRPr="00283806">
        <w:rPr>
          <w:w w:val="105"/>
        </w:rPr>
        <w:t>to a new leak that is unrelated to the previously repaired leak. Such documentation includes, but is not limited to, the records required to be</w:t>
      </w:r>
      <w:r w:rsidRPr="00283806">
        <w:rPr>
          <w:spacing w:val="40"/>
          <w:w w:val="105"/>
        </w:rPr>
        <w:t xml:space="preserve"> </w:t>
      </w:r>
      <w:r w:rsidRPr="00283806">
        <w:rPr>
          <w:w w:val="105"/>
        </w:rPr>
        <w:t xml:space="preserve">kept under 40 CFR 84.108(i). Additional information on leak inspections is described in section IV.C.3.d of this preamble. If an appliance is mothballed, the timeframes for repair, inspections, and verification tests are </w:t>
      </w:r>
      <w:proofErr w:type="gramStart"/>
      <w:r w:rsidRPr="00283806">
        <w:rPr>
          <w:w w:val="105"/>
        </w:rPr>
        <w:t>temporarily suspended</w:t>
      </w:r>
      <w:proofErr w:type="gramEnd"/>
      <w:r w:rsidRPr="00283806">
        <w:rPr>
          <w:w w:val="105"/>
        </w:rPr>
        <w:t xml:space="preserve"> and will resume when additional refrigerant is added to the appliance</w:t>
      </w:r>
      <w:r w:rsidRPr="00283806">
        <w:rPr>
          <w:spacing w:val="40"/>
          <w:w w:val="105"/>
        </w:rPr>
        <w:t xml:space="preserve"> </w:t>
      </w:r>
      <w:r w:rsidRPr="00283806">
        <w:rPr>
          <w:w w:val="105"/>
        </w:rPr>
        <w:t>(or</w:t>
      </w:r>
      <w:r w:rsidRPr="00283806">
        <w:rPr>
          <w:spacing w:val="40"/>
          <w:w w:val="105"/>
        </w:rPr>
        <w:t xml:space="preserve"> </w:t>
      </w:r>
      <w:r w:rsidRPr="00283806">
        <w:rPr>
          <w:w w:val="105"/>
        </w:rPr>
        <w:t>component</w:t>
      </w:r>
      <w:r w:rsidRPr="00283806">
        <w:rPr>
          <w:spacing w:val="40"/>
          <w:w w:val="105"/>
        </w:rPr>
        <w:t xml:space="preserve"> </w:t>
      </w:r>
      <w:r w:rsidRPr="00283806">
        <w:rPr>
          <w:w w:val="105"/>
        </w:rPr>
        <w:t>of</w:t>
      </w:r>
      <w:r w:rsidRPr="00283806">
        <w:rPr>
          <w:spacing w:val="40"/>
          <w:w w:val="105"/>
        </w:rPr>
        <w:t xml:space="preserve"> </w:t>
      </w:r>
      <w:r w:rsidRPr="00283806">
        <w:rPr>
          <w:w w:val="105"/>
        </w:rPr>
        <w:t xml:space="preserve">an appliance if the leaking component was </w:t>
      </w:r>
      <w:r w:rsidRPr="00283806">
        <w:rPr>
          <w:spacing w:val="-2"/>
          <w:w w:val="105"/>
        </w:rPr>
        <w:t>isolated).</w:t>
      </w:r>
    </w:p>
    <w:p w14:paraId="73E9A420" w14:textId="77777777" w:rsidR="00D67C1E" w:rsidRPr="00283806" w:rsidRDefault="001265CA">
      <w:pPr>
        <w:pStyle w:val="BodyText"/>
        <w:spacing w:before="19" w:line="228" w:lineRule="auto"/>
        <w:ind w:left="143" w:right="49" w:firstLine="180"/>
      </w:pPr>
      <w:r w:rsidRPr="00283806">
        <w:rPr>
          <w:rFonts w:ascii="Book Antiqua" w:hAnsi="Book Antiqua"/>
          <w:i/>
          <w:w w:val="105"/>
        </w:rPr>
        <w:t xml:space="preserve">Comment: </w:t>
      </w:r>
      <w:r w:rsidRPr="00283806">
        <w:rPr>
          <w:w w:val="105"/>
        </w:rPr>
        <w:t>EPA received several comments related to the leak repair timeline in the proposed rule. One comment, in support of the leak repair provision, appreciated the clear timeline for leak repair and ability to extend the timeline for repairing leaks to account</w:t>
      </w:r>
      <w:r w:rsidRPr="00283806">
        <w:rPr>
          <w:spacing w:val="80"/>
          <w:w w:val="105"/>
        </w:rPr>
        <w:t xml:space="preserve"> </w:t>
      </w:r>
      <w:r w:rsidRPr="00283806">
        <w:rPr>
          <w:w w:val="105"/>
        </w:rPr>
        <w:t xml:space="preserve">for delays in component shipments and arrivals. Some commenters requested </w:t>
      </w:r>
      <w:proofErr w:type="gramStart"/>
      <w:r w:rsidRPr="00283806">
        <w:rPr>
          <w:w w:val="105"/>
        </w:rPr>
        <w:t>EPA</w:t>
      </w:r>
      <w:proofErr w:type="gramEnd"/>
      <w:r w:rsidRPr="00283806">
        <w:rPr>
          <w:w w:val="105"/>
        </w:rPr>
        <w:t xml:space="preserve"> lower the number of days to repair after initial detection. One commenter suggested the Agency </w:t>
      </w:r>
      <w:proofErr w:type="gramStart"/>
      <w:r w:rsidRPr="00283806">
        <w:rPr>
          <w:w w:val="105"/>
        </w:rPr>
        <w:t>align</w:t>
      </w:r>
      <w:proofErr w:type="gramEnd"/>
      <w:r w:rsidRPr="00283806">
        <w:rPr>
          <w:w w:val="105"/>
        </w:rPr>
        <w:t xml:space="preserve"> its leak</w:t>
      </w:r>
      <w:r w:rsidRPr="00283806">
        <w:rPr>
          <w:spacing w:val="80"/>
          <w:w w:val="105"/>
        </w:rPr>
        <w:t xml:space="preserve"> </w:t>
      </w:r>
      <w:r w:rsidRPr="00283806">
        <w:rPr>
          <w:w w:val="105"/>
        </w:rPr>
        <w:t>repair timeline with CARB, requiring leaks to be repaired within 14 days after initial detection to provide additional emissions reductions and reduce refrigerant costs to appliance owners</w:t>
      </w:r>
      <w:r w:rsidRPr="00283806">
        <w:rPr>
          <w:spacing w:val="80"/>
          <w:w w:val="105"/>
        </w:rPr>
        <w:t xml:space="preserve"> </w:t>
      </w:r>
      <w:r w:rsidRPr="00283806">
        <w:rPr>
          <w:w w:val="105"/>
        </w:rPr>
        <w:t>and operators. The commenter shared that between 2020 and 2022, 99 percent of leak repairs under CARB’s refrigerant management program were completed within the 14-day window. The commenter preferred EPA set the time extension to 45 days from the date of</w:t>
      </w:r>
      <w:r w:rsidRPr="00283806">
        <w:rPr>
          <w:spacing w:val="40"/>
          <w:w w:val="105"/>
        </w:rPr>
        <w:t xml:space="preserve"> </w:t>
      </w:r>
      <w:r w:rsidRPr="00283806">
        <w:rPr>
          <w:w w:val="105"/>
        </w:rPr>
        <w:t>leak detection for situations where</w:t>
      </w:r>
    </w:p>
    <w:p w14:paraId="654A5FC0" w14:textId="77777777" w:rsidR="00D67C1E" w:rsidRPr="00283806" w:rsidRDefault="001265CA">
      <w:pPr>
        <w:pStyle w:val="BodyText"/>
        <w:spacing w:before="133" w:line="228" w:lineRule="auto"/>
        <w:ind w:left="143" w:right="211"/>
      </w:pPr>
      <w:r w:rsidRPr="00283806">
        <w:br w:type="column"/>
      </w:r>
      <w:r w:rsidRPr="00283806">
        <w:rPr>
          <w:w w:val="105"/>
        </w:rPr>
        <w:t xml:space="preserve">certified technicians or necessary components are not available and when an industrial process shutdown is required. The commenter did not support any </w:t>
      </w:r>
      <w:proofErr w:type="gramStart"/>
      <w:r w:rsidRPr="00283806">
        <w:rPr>
          <w:w w:val="105"/>
        </w:rPr>
        <w:t>extension</w:t>
      </w:r>
      <w:proofErr w:type="gramEnd"/>
      <w:r w:rsidRPr="00283806">
        <w:rPr>
          <w:w w:val="105"/>
        </w:rPr>
        <w:t xml:space="preserve"> more than 180 days. Another commenter did not support leak repair extensions for appliances with smaller refrigerant charge sizes.</w:t>
      </w:r>
    </w:p>
    <w:p w14:paraId="714839F7" w14:textId="77777777" w:rsidR="00D67C1E" w:rsidRPr="00283806" w:rsidRDefault="001265CA">
      <w:pPr>
        <w:pStyle w:val="BodyText"/>
        <w:spacing w:before="35" w:line="228" w:lineRule="auto"/>
        <w:ind w:left="143" w:right="196" w:firstLine="180"/>
      </w:pPr>
      <w:r w:rsidRPr="00283806">
        <w:rPr>
          <w:rFonts w:ascii="Book Antiqua" w:hAnsi="Book Antiqua"/>
          <w:i/>
          <w:w w:val="105"/>
        </w:rPr>
        <w:t xml:space="preserve">Response: </w:t>
      </w:r>
      <w:r w:rsidRPr="00283806">
        <w:rPr>
          <w:w w:val="105"/>
        </w:rPr>
        <w:t>The Agency acknowledges the comments in support of the</w:t>
      </w:r>
      <w:r w:rsidRPr="00283806">
        <w:rPr>
          <w:spacing w:val="40"/>
          <w:w w:val="105"/>
        </w:rPr>
        <w:t xml:space="preserve"> </w:t>
      </w:r>
      <w:r w:rsidRPr="00283806">
        <w:rPr>
          <w:w w:val="105"/>
        </w:rPr>
        <w:t>provision. The Agency is finalizing the requirements for the timely repair of leaks as proposed, recognizing that</w:t>
      </w:r>
      <w:r w:rsidRPr="00283806">
        <w:rPr>
          <w:spacing w:val="80"/>
          <w:w w:val="150"/>
        </w:rPr>
        <w:t xml:space="preserve"> </w:t>
      </w:r>
      <w:r w:rsidRPr="00283806">
        <w:rPr>
          <w:w w:val="105"/>
        </w:rPr>
        <w:t>these timelines and the potential extensions are consistent with the longstanding requirements under 40</w:t>
      </w:r>
      <w:r w:rsidRPr="00283806">
        <w:rPr>
          <w:spacing w:val="80"/>
          <w:w w:val="105"/>
        </w:rPr>
        <w:t xml:space="preserve"> </w:t>
      </w:r>
      <w:r w:rsidRPr="00283806">
        <w:rPr>
          <w:w w:val="105"/>
        </w:rPr>
        <w:t>CFR part 82, subpart F. EPA is not finalizing a shorter leak repair timeline</w:t>
      </w:r>
      <w:r w:rsidRPr="00283806">
        <w:rPr>
          <w:spacing w:val="80"/>
          <w:w w:val="105"/>
        </w:rPr>
        <w:t xml:space="preserve"> </w:t>
      </w:r>
      <w:r w:rsidRPr="00283806">
        <w:rPr>
          <w:w w:val="105"/>
        </w:rPr>
        <w:t>in the final rule, as one commenter suggested. The Agency recognizes that leaks often can be adequately repaired</w:t>
      </w:r>
      <w:r w:rsidRPr="00283806">
        <w:rPr>
          <w:spacing w:val="80"/>
          <w:w w:val="150"/>
        </w:rPr>
        <w:t xml:space="preserve"> </w:t>
      </w:r>
      <w:r w:rsidRPr="00283806">
        <w:rPr>
          <w:w w:val="105"/>
        </w:rPr>
        <w:t>in under 30 days, including, as the commenter stated, in as little as 14 days. However, EPA finds it prudent to keep</w:t>
      </w:r>
      <w:r w:rsidRPr="00283806">
        <w:rPr>
          <w:spacing w:val="40"/>
          <w:w w:val="105"/>
        </w:rPr>
        <w:t xml:space="preserve"> </w:t>
      </w:r>
      <w:r w:rsidRPr="00283806">
        <w:rPr>
          <w:w w:val="105"/>
        </w:rPr>
        <w:t xml:space="preserve">the existing leak repair timeline and extensions in part because EPA anticipates that applying a time frame that is consistent with the leak repair timeline under </w:t>
      </w:r>
      <w:proofErr w:type="spellStart"/>
      <w:r w:rsidRPr="00283806">
        <w:rPr>
          <w:w w:val="105"/>
        </w:rPr>
        <w:t>part</w:t>
      </w:r>
      <w:proofErr w:type="spellEnd"/>
      <w:r w:rsidRPr="00283806">
        <w:rPr>
          <w:w w:val="105"/>
        </w:rPr>
        <w:t xml:space="preserve"> 82, subpart F, will facilitate compliance with both regimes and reduce the potential for confusion. The Agency encourages owners or operators to strive to repair leaks as</w:t>
      </w:r>
      <w:r w:rsidRPr="00283806">
        <w:rPr>
          <w:spacing w:val="40"/>
          <w:w w:val="105"/>
        </w:rPr>
        <w:t xml:space="preserve"> </w:t>
      </w:r>
      <w:r w:rsidRPr="00283806">
        <w:rPr>
          <w:w w:val="105"/>
        </w:rPr>
        <w:t xml:space="preserve">soon as practicable and in less than the required timeframes when possible, </w:t>
      </w:r>
      <w:proofErr w:type="gramStart"/>
      <w:r w:rsidRPr="00283806">
        <w:rPr>
          <w:w w:val="105"/>
        </w:rPr>
        <w:t>so</w:t>
      </w:r>
      <w:r w:rsidRPr="00283806">
        <w:rPr>
          <w:spacing w:val="80"/>
          <w:w w:val="105"/>
        </w:rPr>
        <w:t xml:space="preserve"> </w:t>
      </w:r>
      <w:r w:rsidRPr="00283806">
        <w:rPr>
          <w:w w:val="105"/>
        </w:rPr>
        <w:t>as to</w:t>
      </w:r>
      <w:proofErr w:type="gramEnd"/>
      <w:r w:rsidRPr="00283806">
        <w:rPr>
          <w:w w:val="105"/>
        </w:rPr>
        <w:t>, for example, reduce emissions, improve system efficiencies, and avoid spoilage of perishable goods. However,</w:t>
      </w:r>
      <w:r w:rsidRPr="00283806">
        <w:rPr>
          <w:spacing w:val="80"/>
          <w:w w:val="105"/>
        </w:rPr>
        <w:t xml:space="preserve"> </w:t>
      </w:r>
      <w:r w:rsidRPr="00283806">
        <w:rPr>
          <w:w w:val="105"/>
        </w:rPr>
        <w:t xml:space="preserve">in other circumstances the full 30 days may be needed to adequately complete the repairs, so the final rule’s leak repair timeline provides owners or operators with sufficient time and flexibility to repair leaks correctly. The final rule also provides owners or </w:t>
      </w:r>
      <w:proofErr w:type="gramStart"/>
      <w:r w:rsidRPr="00283806">
        <w:rPr>
          <w:w w:val="105"/>
        </w:rPr>
        <w:t>operators</w:t>
      </w:r>
      <w:proofErr w:type="gramEnd"/>
      <w:r w:rsidRPr="00283806">
        <w:rPr>
          <w:w w:val="105"/>
        </w:rPr>
        <w:t xml:space="preserve"> an opportunity to extend the leak repair time up to 180 days (270 in the event</w:t>
      </w:r>
    </w:p>
    <w:p w14:paraId="7AE4A42D" w14:textId="77777777" w:rsidR="00D67C1E" w:rsidRPr="00283806" w:rsidRDefault="001265CA">
      <w:pPr>
        <w:pStyle w:val="BodyText"/>
        <w:spacing w:line="168" w:lineRule="exact"/>
        <w:ind w:left="143"/>
      </w:pPr>
      <w:r w:rsidRPr="00283806">
        <w:rPr>
          <w:w w:val="105"/>
        </w:rPr>
        <w:t>of</w:t>
      </w:r>
      <w:r w:rsidRPr="00283806">
        <w:rPr>
          <w:spacing w:val="11"/>
          <w:w w:val="105"/>
        </w:rPr>
        <w:t xml:space="preserve"> </w:t>
      </w:r>
      <w:r w:rsidRPr="00283806">
        <w:rPr>
          <w:w w:val="105"/>
        </w:rPr>
        <w:t>an</w:t>
      </w:r>
      <w:r w:rsidRPr="00283806">
        <w:rPr>
          <w:spacing w:val="11"/>
          <w:w w:val="105"/>
        </w:rPr>
        <w:t xml:space="preserve"> </w:t>
      </w:r>
      <w:r w:rsidRPr="00283806">
        <w:rPr>
          <w:w w:val="105"/>
        </w:rPr>
        <w:t>industrial</w:t>
      </w:r>
      <w:r w:rsidRPr="00283806">
        <w:rPr>
          <w:spacing w:val="11"/>
          <w:w w:val="105"/>
        </w:rPr>
        <w:t xml:space="preserve"> </w:t>
      </w:r>
      <w:r w:rsidRPr="00283806">
        <w:rPr>
          <w:w w:val="105"/>
        </w:rPr>
        <w:t>process</w:t>
      </w:r>
      <w:r w:rsidRPr="00283806">
        <w:rPr>
          <w:spacing w:val="11"/>
          <w:w w:val="105"/>
        </w:rPr>
        <w:t xml:space="preserve"> </w:t>
      </w:r>
      <w:r w:rsidRPr="00283806">
        <w:rPr>
          <w:w w:val="105"/>
        </w:rPr>
        <w:t>shutdown)</w:t>
      </w:r>
      <w:r w:rsidRPr="00283806">
        <w:rPr>
          <w:spacing w:val="11"/>
          <w:w w:val="105"/>
        </w:rPr>
        <w:t xml:space="preserve"> </w:t>
      </w:r>
      <w:r w:rsidRPr="00283806">
        <w:rPr>
          <w:spacing w:val="-5"/>
          <w:w w:val="105"/>
        </w:rPr>
        <w:t>if</w:t>
      </w:r>
    </w:p>
    <w:p w14:paraId="307B3E78" w14:textId="77777777" w:rsidR="00D67C1E" w:rsidRPr="00283806" w:rsidRDefault="001265CA">
      <w:pPr>
        <w:pStyle w:val="BodyText"/>
        <w:spacing w:before="3" w:line="228" w:lineRule="auto"/>
        <w:ind w:left="143" w:right="166"/>
      </w:pPr>
      <w:r w:rsidRPr="00283806">
        <w:rPr>
          <w:w w:val="105"/>
        </w:rPr>
        <w:t>sufficient reasoning is provided. Additionally, EPA notes that the final rule’s leak repair extension provisions encourage the proper repair of an appliance where additional time is needed.</w:t>
      </w:r>
      <w:r w:rsidRPr="00283806">
        <w:rPr>
          <w:spacing w:val="40"/>
          <w:w w:val="105"/>
        </w:rPr>
        <w:t xml:space="preserve"> </w:t>
      </w:r>
      <w:r w:rsidRPr="00283806">
        <w:rPr>
          <w:w w:val="105"/>
        </w:rPr>
        <w:t>In</w:t>
      </w:r>
      <w:r w:rsidRPr="00283806">
        <w:rPr>
          <w:spacing w:val="40"/>
          <w:w w:val="105"/>
        </w:rPr>
        <w:t xml:space="preserve"> </w:t>
      </w:r>
      <w:r w:rsidRPr="00283806">
        <w:rPr>
          <w:w w:val="105"/>
        </w:rPr>
        <w:t>EPA’s</w:t>
      </w:r>
      <w:r w:rsidRPr="00283806">
        <w:rPr>
          <w:spacing w:val="40"/>
          <w:w w:val="105"/>
        </w:rPr>
        <w:t xml:space="preserve"> </w:t>
      </w:r>
      <w:r w:rsidRPr="00283806">
        <w:rPr>
          <w:w w:val="105"/>
        </w:rPr>
        <w:t>view,</w:t>
      </w:r>
      <w:r w:rsidRPr="00283806">
        <w:rPr>
          <w:spacing w:val="40"/>
          <w:w w:val="105"/>
        </w:rPr>
        <w:t xml:space="preserve"> </w:t>
      </w:r>
      <w:r w:rsidRPr="00283806">
        <w:rPr>
          <w:w w:val="105"/>
        </w:rPr>
        <w:t>such</w:t>
      </w:r>
      <w:r w:rsidRPr="00283806">
        <w:rPr>
          <w:spacing w:val="40"/>
          <w:w w:val="105"/>
        </w:rPr>
        <w:t xml:space="preserve"> </w:t>
      </w:r>
      <w:r w:rsidRPr="00283806">
        <w:rPr>
          <w:w w:val="105"/>
        </w:rPr>
        <w:t>repairs may include the replacement of major components, if necessary, rather than simply patching those components, an approach that may not be successful in the longer term. Furthermore, some owners or operators may prefer to replace a faulty component before they are</w:t>
      </w:r>
      <w:r w:rsidRPr="00283806">
        <w:rPr>
          <w:spacing w:val="-5"/>
          <w:w w:val="105"/>
        </w:rPr>
        <w:t xml:space="preserve"> </w:t>
      </w:r>
      <w:r w:rsidRPr="00283806">
        <w:rPr>
          <w:w w:val="105"/>
        </w:rPr>
        <w:t>required</w:t>
      </w:r>
      <w:r w:rsidRPr="00283806">
        <w:rPr>
          <w:spacing w:val="-5"/>
          <w:w w:val="105"/>
        </w:rPr>
        <w:t xml:space="preserve"> </w:t>
      </w:r>
      <w:r w:rsidRPr="00283806">
        <w:rPr>
          <w:w w:val="105"/>
        </w:rPr>
        <w:t>to</w:t>
      </w:r>
      <w:r w:rsidRPr="00283806">
        <w:rPr>
          <w:spacing w:val="-5"/>
          <w:w w:val="105"/>
        </w:rPr>
        <w:t xml:space="preserve"> </w:t>
      </w:r>
      <w:r w:rsidRPr="00283806">
        <w:rPr>
          <w:w w:val="105"/>
        </w:rPr>
        <w:t>retrofit</w:t>
      </w:r>
      <w:r w:rsidRPr="00283806">
        <w:rPr>
          <w:spacing w:val="-5"/>
          <w:w w:val="105"/>
        </w:rPr>
        <w:t xml:space="preserve"> </w:t>
      </w:r>
      <w:r w:rsidRPr="00283806">
        <w:rPr>
          <w:w w:val="105"/>
        </w:rPr>
        <w:t>or</w:t>
      </w:r>
      <w:r w:rsidRPr="00283806">
        <w:rPr>
          <w:spacing w:val="-5"/>
          <w:w w:val="105"/>
        </w:rPr>
        <w:t xml:space="preserve"> </w:t>
      </w:r>
      <w:r w:rsidRPr="00283806">
        <w:rPr>
          <w:w w:val="105"/>
        </w:rPr>
        <w:t>retire</w:t>
      </w:r>
      <w:r w:rsidRPr="00283806">
        <w:rPr>
          <w:spacing w:val="-5"/>
          <w:w w:val="105"/>
        </w:rPr>
        <w:t xml:space="preserve"> </w:t>
      </w:r>
      <w:r w:rsidRPr="00283806">
        <w:rPr>
          <w:w w:val="105"/>
        </w:rPr>
        <w:t>an</w:t>
      </w:r>
      <w:r w:rsidRPr="00283806">
        <w:rPr>
          <w:spacing w:val="-5"/>
          <w:w w:val="105"/>
        </w:rPr>
        <w:t xml:space="preserve"> </w:t>
      </w:r>
      <w:r w:rsidRPr="00283806">
        <w:rPr>
          <w:w w:val="105"/>
        </w:rPr>
        <w:t>entire appliance and believe this could, in</w:t>
      </w:r>
      <w:r w:rsidRPr="00283806">
        <w:rPr>
          <w:spacing w:val="80"/>
          <w:w w:val="105"/>
        </w:rPr>
        <w:t xml:space="preserve"> </w:t>
      </w:r>
      <w:r w:rsidRPr="00283806">
        <w:rPr>
          <w:w w:val="105"/>
        </w:rPr>
        <w:t>many instances, be an equally effective means to address needed repairs. This extension should also reduce the potentially large burden upon owners or</w:t>
      </w:r>
    </w:p>
    <w:p w14:paraId="03185FA2"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7" w:space="40"/>
            <w:col w:w="3501" w:space="39"/>
            <w:col w:w="3623"/>
          </w:cols>
        </w:sectPr>
      </w:pPr>
    </w:p>
    <w:p w14:paraId="59197BC1" w14:textId="77777777" w:rsidR="00D67C1E" w:rsidRPr="00283806" w:rsidRDefault="001265CA">
      <w:pPr>
        <w:pStyle w:val="BodyText"/>
        <w:spacing w:before="138" w:line="223" w:lineRule="auto"/>
        <w:ind w:right="38"/>
      </w:pPr>
      <w:proofErr w:type="gramStart"/>
      <w:r w:rsidRPr="00283806">
        <w:rPr>
          <w:w w:val="105"/>
        </w:rPr>
        <w:lastRenderedPageBreak/>
        <w:t>operators of</w:t>
      </w:r>
      <w:proofErr w:type="gramEnd"/>
      <w:r w:rsidRPr="00283806">
        <w:rPr>
          <w:w w:val="105"/>
        </w:rPr>
        <w:t xml:space="preserve"> requiring a large-scale retrofit</w:t>
      </w:r>
      <w:r w:rsidRPr="00283806">
        <w:rPr>
          <w:spacing w:val="-3"/>
          <w:w w:val="105"/>
        </w:rPr>
        <w:t xml:space="preserve"> </w:t>
      </w:r>
      <w:r w:rsidRPr="00283806">
        <w:rPr>
          <w:w w:val="105"/>
        </w:rPr>
        <w:t>or</w:t>
      </w:r>
      <w:r w:rsidRPr="00283806">
        <w:rPr>
          <w:spacing w:val="-3"/>
          <w:w w:val="105"/>
        </w:rPr>
        <w:t xml:space="preserve"> </w:t>
      </w:r>
      <w:r w:rsidRPr="00283806">
        <w:rPr>
          <w:w w:val="105"/>
        </w:rPr>
        <w:t>retirement</w:t>
      </w:r>
      <w:r w:rsidRPr="00283806">
        <w:rPr>
          <w:spacing w:val="-3"/>
          <w:w w:val="105"/>
        </w:rPr>
        <w:t xml:space="preserve"> </w:t>
      </w:r>
      <w:r w:rsidRPr="00283806">
        <w:rPr>
          <w:w w:val="105"/>
        </w:rPr>
        <w:t>when</w:t>
      </w:r>
      <w:r w:rsidRPr="00283806">
        <w:rPr>
          <w:spacing w:val="-3"/>
          <w:w w:val="105"/>
        </w:rPr>
        <w:t xml:space="preserve"> </w:t>
      </w:r>
      <w:r w:rsidRPr="00283806">
        <w:rPr>
          <w:w w:val="105"/>
        </w:rPr>
        <w:t>replacing</w:t>
      </w:r>
      <w:r w:rsidRPr="00283806">
        <w:rPr>
          <w:spacing w:val="-3"/>
          <w:w w:val="105"/>
        </w:rPr>
        <w:t xml:space="preserve"> </w:t>
      </w:r>
      <w:r w:rsidRPr="00283806">
        <w:rPr>
          <w:w w:val="105"/>
        </w:rPr>
        <w:t>the leaking component might satisfactorily repair the appliance. For these reasons, EPA disagrees with one commenter’s recommendation that the Agency adopt</w:t>
      </w:r>
      <w:r w:rsidRPr="00283806">
        <w:rPr>
          <w:spacing w:val="80"/>
          <w:w w:val="105"/>
        </w:rPr>
        <w:t xml:space="preserve"> </w:t>
      </w:r>
      <w:r w:rsidRPr="00283806">
        <w:rPr>
          <w:w w:val="105"/>
        </w:rPr>
        <w:t>a shorter leak repair timeline (</w:t>
      </w:r>
      <w:r w:rsidRPr="00283806">
        <w:rPr>
          <w:rFonts w:ascii="Book Antiqua" w:hAnsi="Book Antiqua"/>
          <w:i/>
          <w:w w:val="105"/>
        </w:rPr>
        <w:t xml:space="preserve">i.e., </w:t>
      </w:r>
      <w:r w:rsidRPr="00283806">
        <w:rPr>
          <w:w w:val="105"/>
        </w:rPr>
        <w:t>14 days) or not allow timeline extensions beyond 180 days.</w:t>
      </w:r>
    </w:p>
    <w:p w14:paraId="41AD73E8" w14:textId="77777777" w:rsidR="00D67C1E" w:rsidRPr="00283806" w:rsidRDefault="001265CA">
      <w:pPr>
        <w:pStyle w:val="BodyText"/>
        <w:spacing w:line="225" w:lineRule="auto"/>
        <w:ind w:firstLine="180"/>
      </w:pPr>
      <w:r w:rsidRPr="00283806">
        <w:rPr>
          <w:w w:val="105"/>
        </w:rPr>
        <w:t>EPA is also not differentiating the leak repair timeline based on charge sizes as one commenter recommended. This</w:t>
      </w:r>
      <w:r w:rsidRPr="00283806">
        <w:rPr>
          <w:spacing w:val="80"/>
          <w:w w:val="150"/>
        </w:rPr>
        <w:t xml:space="preserve"> </w:t>
      </w:r>
      <w:r w:rsidRPr="00283806">
        <w:rPr>
          <w:w w:val="105"/>
        </w:rPr>
        <w:t xml:space="preserve">final rule lowered the applicable charge size threshold for leak repair to 15 pounds, extending leak repair requirements to refrigerant-containing appliances not previously subject to the leak repair provisions under </w:t>
      </w:r>
      <w:proofErr w:type="spellStart"/>
      <w:r w:rsidRPr="00283806">
        <w:rPr>
          <w:w w:val="105"/>
        </w:rPr>
        <w:t>part</w:t>
      </w:r>
      <w:proofErr w:type="spellEnd"/>
      <w:r w:rsidRPr="00283806">
        <w:rPr>
          <w:w w:val="105"/>
        </w:rPr>
        <w:t xml:space="preserve"> 82, subpart F. In this action, the leak repair timeline for all appliances is the same regardless of charge sizes. Although appliances at lower charge sizes may be less complex and easier to repair in a timeframe lower than 30 days, the Agency reiterates the final rule’s repair timeline</w:t>
      </w:r>
      <w:r w:rsidRPr="00283806">
        <w:rPr>
          <w:spacing w:val="40"/>
          <w:w w:val="105"/>
        </w:rPr>
        <w:t xml:space="preserve"> </w:t>
      </w:r>
      <w:r w:rsidRPr="00283806">
        <w:rPr>
          <w:w w:val="105"/>
        </w:rPr>
        <w:t>is</w:t>
      </w:r>
      <w:r w:rsidRPr="00283806">
        <w:rPr>
          <w:spacing w:val="40"/>
          <w:w w:val="105"/>
        </w:rPr>
        <w:t xml:space="preserve"> </w:t>
      </w:r>
      <w:r w:rsidRPr="00283806">
        <w:rPr>
          <w:w w:val="105"/>
        </w:rPr>
        <w:t>intended</w:t>
      </w:r>
      <w:r w:rsidRPr="00283806">
        <w:rPr>
          <w:spacing w:val="40"/>
          <w:w w:val="105"/>
        </w:rPr>
        <w:t xml:space="preserve"> </w:t>
      </w:r>
      <w:r w:rsidRPr="00283806">
        <w:rPr>
          <w:w w:val="105"/>
        </w:rPr>
        <w:t>to</w:t>
      </w:r>
      <w:r w:rsidRPr="00283806">
        <w:rPr>
          <w:spacing w:val="40"/>
          <w:w w:val="105"/>
        </w:rPr>
        <w:t xml:space="preserve"> </w:t>
      </w:r>
      <w:r w:rsidRPr="00283806">
        <w:rPr>
          <w:w w:val="105"/>
        </w:rPr>
        <w:t>provide sufficient time to correctly repair appliances below their applicable leak rate thresholds. EPA also notes that smaller refrigerant-containing</w:t>
      </w:r>
      <w:r w:rsidRPr="00283806">
        <w:rPr>
          <w:spacing w:val="80"/>
          <w:w w:val="105"/>
        </w:rPr>
        <w:t xml:space="preserve"> </w:t>
      </w:r>
      <w:r w:rsidRPr="00283806">
        <w:rPr>
          <w:w w:val="105"/>
        </w:rPr>
        <w:t xml:space="preserve">appliances are not precluded from submitting extension requests </w:t>
      </w:r>
      <w:proofErr w:type="gramStart"/>
      <w:r w:rsidRPr="00283806">
        <w:rPr>
          <w:w w:val="105"/>
        </w:rPr>
        <w:t>as long as</w:t>
      </w:r>
      <w:proofErr w:type="gramEnd"/>
      <w:r w:rsidRPr="00283806">
        <w:rPr>
          <w:w w:val="105"/>
        </w:rPr>
        <w:t xml:space="preserve"> the owner/operator has provided sufficient reasoning. The only narrow differentiation in the timing of leak</w:t>
      </w:r>
      <w:r w:rsidRPr="00283806">
        <w:rPr>
          <w:spacing w:val="80"/>
          <w:w w:val="105"/>
        </w:rPr>
        <w:t xml:space="preserve"> </w:t>
      </w:r>
      <w:r w:rsidRPr="00283806">
        <w:rPr>
          <w:w w:val="105"/>
        </w:rPr>
        <w:t>repair in the final rule is for IPR systems in the event of an industrial process shutdown due to the complexity of adequately repairing these refrigerant- containing appliances. Additionally, the Agency views this change as</w:t>
      </w:r>
      <w:r w:rsidRPr="00283806">
        <w:rPr>
          <w:spacing w:val="80"/>
          <w:w w:val="105"/>
        </w:rPr>
        <w:t xml:space="preserve"> </w:t>
      </w:r>
      <w:r w:rsidRPr="00283806">
        <w:rPr>
          <w:w w:val="105"/>
        </w:rPr>
        <w:t xml:space="preserve">unnecessary because the addition of variable leak repair timelines based on charge size may introduce additional complexity and reduce compliance with the provision. As discussed previously, the leak repair timeline under this final rule is consistent with the leak repair timeline under </w:t>
      </w:r>
      <w:proofErr w:type="spellStart"/>
      <w:r w:rsidRPr="00283806">
        <w:rPr>
          <w:w w:val="105"/>
        </w:rPr>
        <w:t>part</w:t>
      </w:r>
      <w:proofErr w:type="spellEnd"/>
      <w:r w:rsidRPr="00283806">
        <w:rPr>
          <w:w w:val="105"/>
        </w:rPr>
        <w:t xml:space="preserve"> 82, subpart F, as a means of facilitating compliance with both regimes and reducing confusion for owners or operators.</w:t>
      </w:r>
    </w:p>
    <w:p w14:paraId="36445F20" w14:textId="77777777" w:rsidR="00D67C1E" w:rsidRPr="00283806" w:rsidRDefault="001265CA">
      <w:pPr>
        <w:spacing w:line="170" w:lineRule="exact"/>
        <w:ind w:left="340"/>
        <w:rPr>
          <w:sz w:val="18"/>
        </w:rPr>
      </w:pPr>
      <w:r w:rsidRPr="00283806">
        <w:rPr>
          <w:rFonts w:ascii="Book Antiqua"/>
          <w:i/>
          <w:w w:val="110"/>
          <w:sz w:val="18"/>
        </w:rPr>
        <w:t>Comment:</w:t>
      </w:r>
      <w:r w:rsidRPr="00283806">
        <w:rPr>
          <w:rFonts w:ascii="Book Antiqua"/>
          <w:i/>
          <w:spacing w:val="6"/>
          <w:w w:val="110"/>
          <w:sz w:val="18"/>
        </w:rPr>
        <w:t xml:space="preserve"> </w:t>
      </w:r>
      <w:r w:rsidRPr="00283806">
        <w:rPr>
          <w:w w:val="110"/>
          <w:sz w:val="18"/>
        </w:rPr>
        <w:t>A</w:t>
      </w:r>
      <w:r w:rsidRPr="00283806">
        <w:rPr>
          <w:spacing w:val="11"/>
          <w:w w:val="110"/>
          <w:sz w:val="18"/>
        </w:rPr>
        <w:t xml:space="preserve"> </w:t>
      </w:r>
      <w:r w:rsidRPr="00283806">
        <w:rPr>
          <w:w w:val="110"/>
          <w:sz w:val="18"/>
        </w:rPr>
        <w:t>few</w:t>
      </w:r>
      <w:r w:rsidRPr="00283806">
        <w:rPr>
          <w:spacing w:val="12"/>
          <w:w w:val="110"/>
          <w:sz w:val="18"/>
        </w:rPr>
        <w:t xml:space="preserve"> </w:t>
      </w:r>
      <w:proofErr w:type="gramStart"/>
      <w:r w:rsidRPr="00283806">
        <w:rPr>
          <w:spacing w:val="-2"/>
          <w:w w:val="110"/>
          <w:sz w:val="18"/>
        </w:rPr>
        <w:t>commenters</w:t>
      </w:r>
      <w:proofErr w:type="gramEnd"/>
    </w:p>
    <w:p w14:paraId="78023247" w14:textId="77777777" w:rsidR="00D67C1E" w:rsidRPr="00283806" w:rsidRDefault="001265CA">
      <w:pPr>
        <w:pStyle w:val="BodyText"/>
        <w:spacing w:line="225" w:lineRule="auto"/>
        <w:ind w:right="27"/>
      </w:pPr>
      <w:r w:rsidRPr="00283806">
        <w:rPr>
          <w:w w:val="105"/>
        </w:rPr>
        <w:t>requested the compliance timelines for leak repair be extended. Two of the commenters emphasized that the complexity and size of supermarket and IPR systems, the current shortage of technicians, the long lead time for obtaining replacement equipment, and potential operational disruptions will make the leak repair timeline</w:t>
      </w:r>
      <w:r w:rsidRPr="00283806">
        <w:rPr>
          <w:spacing w:val="80"/>
          <w:w w:val="150"/>
        </w:rPr>
        <w:t xml:space="preserve"> </w:t>
      </w:r>
      <w:r w:rsidRPr="00283806">
        <w:rPr>
          <w:w w:val="105"/>
        </w:rPr>
        <w:t>unfeasible. One commenter requested that the timeline extension should not</w:t>
      </w:r>
      <w:r w:rsidRPr="00283806">
        <w:rPr>
          <w:spacing w:val="80"/>
          <w:w w:val="105"/>
        </w:rPr>
        <w:t xml:space="preserve"> </w:t>
      </w:r>
      <w:r w:rsidRPr="00283806">
        <w:rPr>
          <w:w w:val="105"/>
        </w:rPr>
        <w:t>be limited to a maximum of 180 or 270 days because the process to identify and repair a leak in IPR appliances is likely</w:t>
      </w:r>
      <w:r w:rsidRPr="00283806">
        <w:rPr>
          <w:spacing w:val="80"/>
          <w:w w:val="105"/>
        </w:rPr>
        <w:t xml:space="preserve"> </w:t>
      </w:r>
      <w:r w:rsidRPr="00283806">
        <w:rPr>
          <w:w w:val="105"/>
        </w:rPr>
        <w:t>to exceed the applicable timeframes.</w:t>
      </w:r>
    </w:p>
    <w:p w14:paraId="074FBDF7" w14:textId="77777777" w:rsidR="00D67C1E" w:rsidRPr="00283806" w:rsidRDefault="001265CA">
      <w:pPr>
        <w:pStyle w:val="BodyText"/>
        <w:spacing w:line="199" w:lineRule="exact"/>
      </w:pPr>
      <w:r w:rsidRPr="00283806">
        <w:rPr>
          <w:w w:val="105"/>
        </w:rPr>
        <w:t>Another</w:t>
      </w:r>
      <w:r w:rsidRPr="00283806">
        <w:rPr>
          <w:spacing w:val="4"/>
          <w:w w:val="105"/>
        </w:rPr>
        <w:t xml:space="preserve"> </w:t>
      </w:r>
      <w:r w:rsidRPr="00283806">
        <w:rPr>
          <w:w w:val="105"/>
        </w:rPr>
        <w:t>commenter</w:t>
      </w:r>
      <w:r w:rsidRPr="00283806">
        <w:rPr>
          <w:spacing w:val="4"/>
          <w:w w:val="105"/>
        </w:rPr>
        <w:t xml:space="preserve"> </w:t>
      </w:r>
      <w:r w:rsidRPr="00283806">
        <w:rPr>
          <w:w w:val="105"/>
        </w:rPr>
        <w:t>suggested</w:t>
      </w:r>
      <w:r w:rsidRPr="00283806">
        <w:rPr>
          <w:spacing w:val="5"/>
          <w:w w:val="105"/>
        </w:rPr>
        <w:t xml:space="preserve"> </w:t>
      </w:r>
      <w:r w:rsidRPr="00283806">
        <w:rPr>
          <w:w w:val="105"/>
        </w:rPr>
        <w:t>that</w:t>
      </w:r>
      <w:r w:rsidRPr="00283806">
        <w:rPr>
          <w:spacing w:val="4"/>
          <w:w w:val="105"/>
        </w:rPr>
        <w:t xml:space="preserve"> </w:t>
      </w:r>
      <w:r w:rsidRPr="00283806">
        <w:rPr>
          <w:spacing w:val="-5"/>
          <w:w w:val="105"/>
        </w:rPr>
        <w:t>all</w:t>
      </w:r>
    </w:p>
    <w:p w14:paraId="19375D10" w14:textId="77777777" w:rsidR="00D67C1E" w:rsidRPr="00283806" w:rsidRDefault="001265CA">
      <w:pPr>
        <w:pStyle w:val="BodyText"/>
        <w:spacing w:before="135" w:line="225" w:lineRule="auto"/>
        <w:ind w:left="145" w:right="31"/>
      </w:pPr>
      <w:r w:rsidRPr="00283806">
        <w:br w:type="column"/>
      </w:r>
      <w:r w:rsidRPr="00283806">
        <w:rPr>
          <w:w w:val="105"/>
        </w:rPr>
        <w:t xml:space="preserve">but </w:t>
      </w:r>
      <w:proofErr w:type="gramStart"/>
      <w:r w:rsidRPr="00283806">
        <w:rPr>
          <w:rFonts w:ascii="Book Antiqua" w:hAnsi="Book Antiqua"/>
          <w:i/>
          <w:w w:val="105"/>
        </w:rPr>
        <w:t>de</w:t>
      </w:r>
      <w:proofErr w:type="gramEnd"/>
      <w:r w:rsidRPr="00283806">
        <w:rPr>
          <w:rFonts w:ascii="Book Antiqua" w:hAnsi="Book Antiqua"/>
          <w:i/>
          <w:w w:val="105"/>
        </w:rPr>
        <w:t xml:space="preserve"> minimis </w:t>
      </w:r>
      <w:r w:rsidRPr="00283806">
        <w:rPr>
          <w:w w:val="105"/>
        </w:rPr>
        <w:t>leaks be identified and repaired ‘‘promptly’’ without a specified deadline. The commenter stated that</w:t>
      </w:r>
      <w:r w:rsidRPr="00283806">
        <w:rPr>
          <w:spacing w:val="80"/>
          <w:w w:val="105"/>
        </w:rPr>
        <w:t xml:space="preserve"> </w:t>
      </w:r>
      <w:r w:rsidRPr="00283806">
        <w:rPr>
          <w:w w:val="105"/>
        </w:rPr>
        <w:t>EPA could require an owner/operator to report the progress of leak repair</w:t>
      </w:r>
      <w:r w:rsidRPr="00283806">
        <w:rPr>
          <w:spacing w:val="40"/>
          <w:w w:val="105"/>
        </w:rPr>
        <w:t xml:space="preserve"> </w:t>
      </w:r>
      <w:r w:rsidRPr="00283806">
        <w:rPr>
          <w:w w:val="105"/>
        </w:rPr>
        <w:t>without an arbitrary mandatory</w:t>
      </w:r>
      <w:r w:rsidRPr="00283806">
        <w:rPr>
          <w:spacing w:val="40"/>
          <w:w w:val="105"/>
        </w:rPr>
        <w:t xml:space="preserve"> </w:t>
      </w:r>
      <w:r w:rsidRPr="00283806">
        <w:rPr>
          <w:w w:val="105"/>
        </w:rPr>
        <w:t>deadline. Alternatively, the commenter suggested EPA should not start the leak repair ‘‘clock’’ when a leak is detected</w:t>
      </w:r>
      <w:r w:rsidRPr="00283806">
        <w:rPr>
          <w:spacing w:val="40"/>
          <w:w w:val="105"/>
        </w:rPr>
        <w:t xml:space="preserve"> </w:t>
      </w:r>
      <w:r w:rsidRPr="00283806">
        <w:rPr>
          <w:w w:val="105"/>
        </w:rPr>
        <w:t>but rather when the exact location of a leak is determined, further claiming this would allow technicians time to implement mitigation measures and therefore reduce any incentive for owners and operators to delay repairs. Another commenter suggested EPA</w:t>
      </w:r>
      <w:r w:rsidRPr="00283806">
        <w:rPr>
          <w:spacing w:val="80"/>
          <w:w w:val="105"/>
        </w:rPr>
        <w:t xml:space="preserve"> </w:t>
      </w:r>
      <w:r w:rsidRPr="00283806">
        <w:rPr>
          <w:w w:val="105"/>
        </w:rPr>
        <w:t xml:space="preserve">could consider an exception process to grant additional time and temporarily or permanently extend the leak repair timeline for situations with technician and component shortages, supply chain disruptions, and other reasonable </w:t>
      </w:r>
      <w:r w:rsidRPr="00283806">
        <w:rPr>
          <w:spacing w:val="-2"/>
          <w:w w:val="105"/>
        </w:rPr>
        <w:t>circumstances.</w:t>
      </w:r>
    </w:p>
    <w:p w14:paraId="7BF9E85B" w14:textId="77777777" w:rsidR="00D67C1E" w:rsidRPr="00283806" w:rsidRDefault="001265CA">
      <w:pPr>
        <w:spacing w:line="167" w:lineRule="exact"/>
        <w:ind w:left="325"/>
        <w:rPr>
          <w:sz w:val="18"/>
        </w:rPr>
      </w:pPr>
      <w:r w:rsidRPr="00283806">
        <w:rPr>
          <w:rFonts w:ascii="Book Antiqua"/>
          <w:i/>
          <w:w w:val="110"/>
          <w:sz w:val="18"/>
        </w:rPr>
        <w:t>Response:</w:t>
      </w:r>
      <w:r w:rsidRPr="00283806">
        <w:rPr>
          <w:rFonts w:ascii="Book Antiqua"/>
          <w:i/>
          <w:spacing w:val="-2"/>
          <w:w w:val="110"/>
          <w:sz w:val="18"/>
        </w:rPr>
        <w:t xml:space="preserve"> </w:t>
      </w:r>
      <w:r w:rsidRPr="00283806">
        <w:rPr>
          <w:w w:val="110"/>
          <w:sz w:val="18"/>
        </w:rPr>
        <w:t>EPA</w:t>
      </w:r>
      <w:r w:rsidRPr="00283806">
        <w:rPr>
          <w:spacing w:val="3"/>
          <w:w w:val="110"/>
          <w:sz w:val="18"/>
        </w:rPr>
        <w:t xml:space="preserve"> </w:t>
      </w:r>
      <w:r w:rsidRPr="00283806">
        <w:rPr>
          <w:w w:val="110"/>
          <w:sz w:val="18"/>
        </w:rPr>
        <w:t>disagrees</w:t>
      </w:r>
      <w:r w:rsidRPr="00283806">
        <w:rPr>
          <w:spacing w:val="4"/>
          <w:w w:val="110"/>
          <w:sz w:val="18"/>
        </w:rPr>
        <w:t xml:space="preserve"> </w:t>
      </w:r>
      <w:r w:rsidRPr="00283806">
        <w:rPr>
          <w:w w:val="110"/>
          <w:sz w:val="18"/>
        </w:rPr>
        <w:t>with</w:t>
      </w:r>
      <w:r w:rsidRPr="00283806">
        <w:rPr>
          <w:spacing w:val="3"/>
          <w:w w:val="110"/>
          <w:sz w:val="18"/>
        </w:rPr>
        <w:t xml:space="preserve"> </w:t>
      </w:r>
      <w:r w:rsidRPr="00283806">
        <w:rPr>
          <w:spacing w:val="-5"/>
          <w:w w:val="110"/>
          <w:sz w:val="18"/>
        </w:rPr>
        <w:t>the</w:t>
      </w:r>
    </w:p>
    <w:p w14:paraId="3D53D814" w14:textId="77777777" w:rsidR="00D67C1E" w:rsidRPr="00283806" w:rsidRDefault="001265CA">
      <w:pPr>
        <w:pStyle w:val="BodyText"/>
        <w:spacing w:line="225" w:lineRule="auto"/>
        <w:ind w:left="145" w:right="84"/>
      </w:pPr>
      <w:r w:rsidRPr="00283806">
        <w:rPr>
          <w:w w:val="105"/>
        </w:rPr>
        <w:t xml:space="preserve">commenter’s recommendation that </w:t>
      </w:r>
      <w:proofErr w:type="gramStart"/>
      <w:r w:rsidRPr="00283806">
        <w:rPr>
          <w:w w:val="105"/>
        </w:rPr>
        <w:t>leak</w:t>
      </w:r>
      <w:proofErr w:type="gramEnd"/>
      <w:r w:rsidRPr="00283806">
        <w:rPr>
          <w:w w:val="105"/>
        </w:rPr>
        <w:t xml:space="preserve"> repairs should not have a set timeline</w:t>
      </w:r>
      <w:r w:rsidRPr="00283806">
        <w:rPr>
          <w:spacing w:val="40"/>
          <w:w w:val="105"/>
        </w:rPr>
        <w:t xml:space="preserve"> </w:t>
      </w:r>
      <w:r w:rsidRPr="00283806">
        <w:rPr>
          <w:w w:val="105"/>
        </w:rPr>
        <w:t>for completion or that EPA should consider an exception process. Timely repair of leaks contributes to reducing emissions. As stated in responses to other similar comments, the Agency understands that repairs often happen faster than the designated timelines.</w:t>
      </w:r>
    </w:p>
    <w:p w14:paraId="54955C31" w14:textId="77777777" w:rsidR="00D67C1E" w:rsidRPr="00283806" w:rsidRDefault="001265CA">
      <w:pPr>
        <w:pStyle w:val="BodyText"/>
        <w:spacing w:line="225" w:lineRule="auto"/>
        <w:ind w:left="145" w:right="23"/>
      </w:pPr>
      <w:r w:rsidRPr="00283806">
        <w:rPr>
          <w:w w:val="105"/>
        </w:rPr>
        <w:t>Regarding IPR appliances, the Agency is aware, as the commenter stated, that IPR appliances are large and complex and may require additional time or operational shutdowns to determine the leak location. The regulation includes a longer timeline for repairs to IPR, which EPA</w:t>
      </w:r>
      <w:r w:rsidRPr="00283806">
        <w:rPr>
          <w:spacing w:val="40"/>
          <w:w w:val="105"/>
        </w:rPr>
        <w:t xml:space="preserve"> </w:t>
      </w:r>
      <w:r w:rsidRPr="00283806">
        <w:rPr>
          <w:w w:val="105"/>
        </w:rPr>
        <w:t>considers</w:t>
      </w:r>
      <w:r w:rsidRPr="00283806">
        <w:rPr>
          <w:spacing w:val="40"/>
          <w:w w:val="105"/>
        </w:rPr>
        <w:t xml:space="preserve"> </w:t>
      </w:r>
      <w:r w:rsidRPr="00283806">
        <w:rPr>
          <w:w w:val="105"/>
        </w:rPr>
        <w:t>appropriate</w:t>
      </w:r>
      <w:r w:rsidRPr="00283806">
        <w:rPr>
          <w:spacing w:val="40"/>
          <w:w w:val="105"/>
        </w:rPr>
        <w:t xml:space="preserve"> </w:t>
      </w:r>
      <w:proofErr w:type="gramStart"/>
      <w:r w:rsidRPr="00283806">
        <w:rPr>
          <w:w w:val="105"/>
        </w:rPr>
        <w:t>in</w:t>
      </w:r>
      <w:r w:rsidRPr="00283806">
        <w:rPr>
          <w:spacing w:val="40"/>
          <w:w w:val="105"/>
        </w:rPr>
        <w:t xml:space="preserve"> </w:t>
      </w:r>
      <w:r w:rsidRPr="00283806">
        <w:rPr>
          <w:w w:val="105"/>
        </w:rPr>
        <w:t>light</w:t>
      </w:r>
      <w:r w:rsidRPr="00283806">
        <w:rPr>
          <w:spacing w:val="40"/>
          <w:w w:val="105"/>
        </w:rPr>
        <w:t xml:space="preserve"> </w:t>
      </w:r>
      <w:r w:rsidRPr="00283806">
        <w:rPr>
          <w:w w:val="105"/>
        </w:rPr>
        <w:t>of</w:t>
      </w:r>
      <w:proofErr w:type="gramEnd"/>
      <w:r w:rsidRPr="00283806">
        <w:rPr>
          <w:w w:val="105"/>
        </w:rPr>
        <w:t xml:space="preserve"> the differences between IPR and other appliances. Similarly, although supermarket systems and commercial refrigeration systems may be complex, owners or operators should typically be able to repair appliance leaks under the applicable threshold within the final rule’s allotted timeframe. For example, the final rule allots up to 180 days for commercial refrigeration appliances</w:t>
      </w:r>
      <w:r w:rsidRPr="00283806">
        <w:rPr>
          <w:spacing w:val="40"/>
          <w:w w:val="105"/>
        </w:rPr>
        <w:t xml:space="preserve"> </w:t>
      </w:r>
      <w:r w:rsidRPr="00283806">
        <w:rPr>
          <w:w w:val="105"/>
        </w:rPr>
        <w:t>(</w:t>
      </w:r>
      <w:r w:rsidRPr="00283806">
        <w:rPr>
          <w:rFonts w:ascii="Book Antiqua" w:hAnsi="Book Antiqua"/>
          <w:i/>
          <w:w w:val="105"/>
        </w:rPr>
        <w:t xml:space="preserve">e.g., </w:t>
      </w:r>
      <w:r w:rsidRPr="00283806">
        <w:rPr>
          <w:w w:val="105"/>
        </w:rPr>
        <w:t>supermarket systems) to complete repairs in the event necessary components or replacement equipment are not readily available (noting that the owner/operator would need to complete the repair within 30 days of receiving</w:t>
      </w:r>
      <w:r w:rsidRPr="00283806">
        <w:rPr>
          <w:spacing w:val="80"/>
          <w:w w:val="105"/>
        </w:rPr>
        <w:t xml:space="preserve"> </w:t>
      </w:r>
      <w:r w:rsidRPr="00283806">
        <w:rPr>
          <w:w w:val="105"/>
        </w:rPr>
        <w:t xml:space="preserve">the missing component or replacement </w:t>
      </w:r>
      <w:r w:rsidRPr="00283806">
        <w:rPr>
          <w:spacing w:val="-2"/>
          <w:w w:val="105"/>
        </w:rPr>
        <w:t>equipment).</w:t>
      </w:r>
    </w:p>
    <w:p w14:paraId="00FEB758" w14:textId="77777777" w:rsidR="00D67C1E" w:rsidRPr="00283806" w:rsidRDefault="001265CA">
      <w:pPr>
        <w:pStyle w:val="BodyText"/>
        <w:spacing w:line="161" w:lineRule="exact"/>
        <w:ind w:left="325"/>
      </w:pPr>
      <w:r w:rsidRPr="00283806">
        <w:rPr>
          <w:w w:val="105"/>
        </w:rPr>
        <w:t>EPA</w:t>
      </w:r>
      <w:r w:rsidRPr="00283806">
        <w:rPr>
          <w:spacing w:val="6"/>
          <w:w w:val="105"/>
        </w:rPr>
        <w:t xml:space="preserve"> </w:t>
      </w:r>
      <w:r w:rsidRPr="00283806">
        <w:rPr>
          <w:w w:val="105"/>
        </w:rPr>
        <w:t>disagrees</w:t>
      </w:r>
      <w:r w:rsidRPr="00283806">
        <w:rPr>
          <w:spacing w:val="7"/>
          <w:w w:val="105"/>
        </w:rPr>
        <w:t xml:space="preserve"> </w:t>
      </w:r>
      <w:r w:rsidRPr="00283806">
        <w:rPr>
          <w:w w:val="105"/>
        </w:rPr>
        <w:t>that</w:t>
      </w:r>
      <w:r w:rsidRPr="00283806">
        <w:rPr>
          <w:spacing w:val="7"/>
          <w:w w:val="105"/>
        </w:rPr>
        <w:t xml:space="preserve"> </w:t>
      </w:r>
      <w:r w:rsidRPr="00283806">
        <w:rPr>
          <w:w w:val="105"/>
        </w:rPr>
        <w:t>owners</w:t>
      </w:r>
      <w:r w:rsidRPr="00283806">
        <w:rPr>
          <w:spacing w:val="6"/>
          <w:w w:val="105"/>
        </w:rPr>
        <w:t xml:space="preserve"> </w:t>
      </w:r>
      <w:r w:rsidRPr="00283806">
        <w:rPr>
          <w:spacing w:val="-5"/>
          <w:w w:val="105"/>
        </w:rPr>
        <w:t>or</w:t>
      </w:r>
    </w:p>
    <w:p w14:paraId="46CC61E4" w14:textId="77777777" w:rsidR="00D67C1E" w:rsidRPr="00283806" w:rsidRDefault="001265CA">
      <w:pPr>
        <w:pStyle w:val="BodyText"/>
        <w:spacing w:line="225" w:lineRule="auto"/>
        <w:ind w:left="145" w:right="9"/>
      </w:pPr>
      <w:r w:rsidRPr="00283806">
        <w:rPr>
          <w:w w:val="105"/>
        </w:rPr>
        <w:t>operators would be unable to determine the location of a leak and repair the leak within 30 days (120 days for an</w:t>
      </w:r>
      <w:r w:rsidRPr="00283806">
        <w:rPr>
          <w:spacing w:val="40"/>
          <w:w w:val="105"/>
        </w:rPr>
        <w:t xml:space="preserve"> </w:t>
      </w:r>
      <w:r w:rsidRPr="00283806">
        <w:rPr>
          <w:w w:val="105"/>
        </w:rPr>
        <w:t>industrial process shutdown). As experience with the CAA section 608 programs shows these have been reasonable timelines, including for IPR and commercial refrigeration appliances with charge sizes of 50 pounds or</w:t>
      </w:r>
    </w:p>
    <w:p w14:paraId="29D44724" w14:textId="77777777" w:rsidR="00D67C1E" w:rsidRPr="00283806" w:rsidRDefault="001265CA">
      <w:pPr>
        <w:pStyle w:val="BodyText"/>
        <w:spacing w:before="136" w:line="225" w:lineRule="auto"/>
        <w:ind w:left="153" w:right="246"/>
      </w:pPr>
      <w:r w:rsidRPr="00283806">
        <w:br w:type="column"/>
      </w:r>
      <w:r w:rsidRPr="00283806">
        <w:t>higher. The Agency also notes that</w:t>
      </w:r>
      <w:r w:rsidRPr="00283806">
        <w:rPr>
          <w:spacing w:val="40"/>
        </w:rPr>
        <w:t xml:space="preserve"> </w:t>
      </w:r>
      <w:r w:rsidRPr="00283806">
        <w:t>extension requests function similarly as</w:t>
      </w:r>
      <w:r w:rsidRPr="00283806">
        <w:rPr>
          <w:spacing w:val="40"/>
        </w:rPr>
        <w:t xml:space="preserve"> </w:t>
      </w:r>
      <w:r w:rsidRPr="00283806">
        <w:t>they</w:t>
      </w:r>
      <w:r w:rsidRPr="00283806">
        <w:rPr>
          <w:spacing w:val="40"/>
        </w:rPr>
        <w:t xml:space="preserve"> </w:t>
      </w:r>
      <w:r w:rsidRPr="00283806">
        <w:t>did</w:t>
      </w:r>
      <w:r w:rsidRPr="00283806">
        <w:rPr>
          <w:spacing w:val="40"/>
        </w:rPr>
        <w:t xml:space="preserve"> </w:t>
      </w:r>
      <w:r w:rsidRPr="00283806">
        <w:t>under</w:t>
      </w:r>
      <w:r w:rsidRPr="00283806">
        <w:rPr>
          <w:spacing w:val="40"/>
        </w:rPr>
        <w:t xml:space="preserve"> </w:t>
      </w:r>
      <w:r w:rsidRPr="00283806">
        <w:t>the</w:t>
      </w:r>
      <w:r w:rsidRPr="00283806">
        <w:rPr>
          <w:spacing w:val="40"/>
        </w:rPr>
        <w:t xml:space="preserve"> </w:t>
      </w:r>
      <w:r w:rsidRPr="00283806">
        <w:t>CAA,</w:t>
      </w:r>
      <w:r w:rsidRPr="00283806">
        <w:rPr>
          <w:spacing w:val="40"/>
        </w:rPr>
        <w:t xml:space="preserve"> </w:t>
      </w:r>
      <w:r w:rsidRPr="00283806">
        <w:t>providing</w:t>
      </w:r>
      <w:r w:rsidRPr="00283806">
        <w:rPr>
          <w:spacing w:val="40"/>
        </w:rPr>
        <w:t xml:space="preserve"> </w:t>
      </w:r>
      <w:r w:rsidRPr="00283806">
        <w:t>a</w:t>
      </w:r>
      <w:r w:rsidRPr="00283806">
        <w:rPr>
          <w:spacing w:val="40"/>
        </w:rPr>
        <w:t xml:space="preserve"> </w:t>
      </w:r>
      <w:r w:rsidRPr="00283806">
        <w:t>process for an owner/operator to extend</w:t>
      </w:r>
      <w:r w:rsidRPr="00283806">
        <w:rPr>
          <w:spacing w:val="40"/>
        </w:rPr>
        <w:t xml:space="preserve"> </w:t>
      </w:r>
      <w:r w:rsidRPr="00283806">
        <w:t>the timeline in the event of technician</w:t>
      </w:r>
      <w:r w:rsidRPr="00283806">
        <w:rPr>
          <w:spacing w:val="80"/>
        </w:rPr>
        <w:t xml:space="preserve"> </w:t>
      </w:r>
      <w:r w:rsidRPr="00283806">
        <w:t>shortages,</w:t>
      </w:r>
      <w:r w:rsidRPr="00283806">
        <w:rPr>
          <w:spacing w:val="44"/>
        </w:rPr>
        <w:t xml:space="preserve"> </w:t>
      </w:r>
      <w:r w:rsidRPr="00283806">
        <w:t>component</w:t>
      </w:r>
      <w:r w:rsidRPr="00283806">
        <w:rPr>
          <w:spacing w:val="44"/>
        </w:rPr>
        <w:t xml:space="preserve"> </w:t>
      </w:r>
      <w:r w:rsidRPr="00283806">
        <w:t>supply</w:t>
      </w:r>
      <w:r w:rsidRPr="00283806">
        <w:rPr>
          <w:spacing w:val="44"/>
        </w:rPr>
        <w:t xml:space="preserve"> </w:t>
      </w:r>
      <w:r w:rsidRPr="00283806">
        <w:t>issues,</w:t>
      </w:r>
      <w:r w:rsidRPr="00283806">
        <w:rPr>
          <w:spacing w:val="80"/>
          <w:w w:val="150"/>
        </w:rPr>
        <w:t xml:space="preserve"> </w:t>
      </w:r>
      <w:r w:rsidRPr="00283806">
        <w:t>and industrial process shutdowns. If an</w:t>
      </w:r>
      <w:r w:rsidRPr="00283806">
        <w:rPr>
          <w:spacing w:val="80"/>
        </w:rPr>
        <w:t xml:space="preserve"> </w:t>
      </w:r>
      <w:r w:rsidRPr="00283806">
        <w:t>extension is not available and the leak</w:t>
      </w:r>
      <w:r w:rsidRPr="00283806">
        <w:rPr>
          <w:spacing w:val="40"/>
        </w:rPr>
        <w:t xml:space="preserve"> </w:t>
      </w:r>
      <w:r w:rsidRPr="00283806">
        <w:t>repair</w:t>
      </w:r>
      <w:r w:rsidRPr="00283806">
        <w:rPr>
          <w:spacing w:val="40"/>
        </w:rPr>
        <w:t xml:space="preserve"> </w:t>
      </w:r>
      <w:r w:rsidRPr="00283806">
        <w:t>requirements</w:t>
      </w:r>
      <w:r w:rsidRPr="00283806">
        <w:rPr>
          <w:spacing w:val="40"/>
        </w:rPr>
        <w:t xml:space="preserve"> </w:t>
      </w:r>
      <w:r w:rsidRPr="00283806">
        <w:t>cannot</w:t>
      </w:r>
      <w:r w:rsidRPr="00283806">
        <w:rPr>
          <w:spacing w:val="40"/>
        </w:rPr>
        <w:t xml:space="preserve"> </w:t>
      </w:r>
      <w:r w:rsidRPr="00283806">
        <w:t>be</w:t>
      </w:r>
      <w:r w:rsidRPr="00283806">
        <w:rPr>
          <w:spacing w:val="40"/>
        </w:rPr>
        <w:t xml:space="preserve"> </w:t>
      </w:r>
      <w:r w:rsidRPr="00283806">
        <w:t>met</w:t>
      </w:r>
      <w:r w:rsidRPr="00283806">
        <w:rPr>
          <w:spacing w:val="40"/>
        </w:rPr>
        <w:t xml:space="preserve"> </w:t>
      </w:r>
      <w:r w:rsidRPr="00283806">
        <w:t>in</w:t>
      </w:r>
      <w:r w:rsidRPr="00283806">
        <w:rPr>
          <w:spacing w:val="40"/>
        </w:rPr>
        <w:t xml:space="preserve"> </w:t>
      </w:r>
      <w:r w:rsidRPr="00283806">
        <w:t>the</w:t>
      </w:r>
      <w:r w:rsidRPr="00283806">
        <w:rPr>
          <w:spacing w:val="40"/>
        </w:rPr>
        <w:t xml:space="preserve"> </w:t>
      </w:r>
      <w:r w:rsidRPr="00283806">
        <w:t>final</w:t>
      </w:r>
      <w:r w:rsidRPr="00283806">
        <w:rPr>
          <w:spacing w:val="40"/>
        </w:rPr>
        <w:t xml:space="preserve"> </w:t>
      </w:r>
      <w:r w:rsidRPr="00283806">
        <w:t>rule’s</w:t>
      </w:r>
      <w:r w:rsidRPr="00283806">
        <w:rPr>
          <w:spacing w:val="40"/>
        </w:rPr>
        <w:t xml:space="preserve"> </w:t>
      </w:r>
      <w:r w:rsidRPr="00283806">
        <w:t>timeframe</w:t>
      </w:r>
      <w:r w:rsidRPr="00283806">
        <w:rPr>
          <w:spacing w:val="40"/>
        </w:rPr>
        <w:t xml:space="preserve"> </w:t>
      </w:r>
      <w:r w:rsidRPr="00283806">
        <w:t>(</w:t>
      </w:r>
      <w:r w:rsidRPr="00283806">
        <w:rPr>
          <w:rFonts w:ascii="Book Antiqua" w:hAnsi="Book Antiqua"/>
          <w:i/>
        </w:rPr>
        <w:t>e.g.,</w:t>
      </w:r>
      <w:r w:rsidRPr="00283806">
        <w:rPr>
          <w:rFonts w:ascii="Book Antiqua" w:hAnsi="Book Antiqua"/>
          <w:i/>
          <w:spacing w:val="40"/>
        </w:rPr>
        <w:t xml:space="preserve"> </w:t>
      </w:r>
      <w:r w:rsidRPr="00283806">
        <w:t>due</w:t>
      </w:r>
      <w:r w:rsidRPr="00283806">
        <w:rPr>
          <w:spacing w:val="40"/>
        </w:rPr>
        <w:t xml:space="preserve"> </w:t>
      </w:r>
      <w:r w:rsidRPr="00283806">
        <w:t>to</w:t>
      </w:r>
      <w:r w:rsidRPr="00283806">
        <w:rPr>
          <w:spacing w:val="40"/>
        </w:rPr>
        <w:t xml:space="preserve"> </w:t>
      </w:r>
      <w:r w:rsidRPr="00283806">
        <w:t>the</w:t>
      </w:r>
      <w:r w:rsidRPr="00283806">
        <w:rPr>
          <w:spacing w:val="40"/>
        </w:rPr>
        <w:t xml:space="preserve"> </w:t>
      </w:r>
      <w:r w:rsidRPr="00283806">
        <w:t>severity</w:t>
      </w:r>
      <w:r w:rsidRPr="00283806">
        <w:rPr>
          <w:spacing w:val="40"/>
        </w:rPr>
        <w:t xml:space="preserve"> </w:t>
      </w:r>
      <w:r w:rsidRPr="00283806">
        <w:t>of</w:t>
      </w:r>
      <w:r w:rsidRPr="00283806">
        <w:rPr>
          <w:spacing w:val="40"/>
        </w:rPr>
        <w:t xml:space="preserve"> </w:t>
      </w:r>
      <w:r w:rsidRPr="00283806">
        <w:t>the</w:t>
      </w:r>
      <w:r w:rsidRPr="00283806">
        <w:rPr>
          <w:spacing w:val="40"/>
        </w:rPr>
        <w:t xml:space="preserve"> </w:t>
      </w:r>
      <w:r w:rsidRPr="00283806">
        <w:t>leak</w:t>
      </w:r>
      <w:r w:rsidRPr="00283806">
        <w:rPr>
          <w:spacing w:val="40"/>
        </w:rPr>
        <w:t xml:space="preserve"> </w:t>
      </w:r>
      <w:r w:rsidRPr="00283806">
        <w:t>or</w:t>
      </w:r>
      <w:r w:rsidRPr="00283806">
        <w:rPr>
          <w:spacing w:val="40"/>
        </w:rPr>
        <w:t xml:space="preserve"> </w:t>
      </w:r>
      <w:r w:rsidRPr="00283806">
        <w:t>condition</w:t>
      </w:r>
      <w:r w:rsidRPr="00283806">
        <w:rPr>
          <w:spacing w:val="40"/>
        </w:rPr>
        <w:t xml:space="preserve"> </w:t>
      </w:r>
      <w:r w:rsidRPr="00283806">
        <w:t>of</w:t>
      </w:r>
      <w:r w:rsidRPr="00283806">
        <w:rPr>
          <w:spacing w:val="40"/>
        </w:rPr>
        <w:t xml:space="preserve"> </w:t>
      </w:r>
      <w:r w:rsidRPr="00283806">
        <w:t>the appliance), the owner or operator</w:t>
      </w:r>
      <w:r w:rsidRPr="00283806">
        <w:rPr>
          <w:spacing w:val="40"/>
        </w:rPr>
        <w:t xml:space="preserve"> </w:t>
      </w:r>
      <w:r w:rsidRPr="00283806">
        <w:t>would need to create a retrofit or</w:t>
      </w:r>
      <w:r w:rsidRPr="00283806">
        <w:rPr>
          <w:spacing w:val="40"/>
        </w:rPr>
        <w:t xml:space="preserve"> </w:t>
      </w:r>
      <w:r w:rsidRPr="00283806">
        <w:t>retirement</w:t>
      </w:r>
      <w:r w:rsidRPr="00283806">
        <w:rPr>
          <w:spacing w:val="40"/>
        </w:rPr>
        <w:t xml:space="preserve"> </w:t>
      </w:r>
      <w:r w:rsidRPr="00283806">
        <w:t>plan</w:t>
      </w:r>
      <w:r w:rsidRPr="00283806">
        <w:rPr>
          <w:spacing w:val="40"/>
        </w:rPr>
        <w:t xml:space="preserve"> </w:t>
      </w:r>
      <w:r w:rsidRPr="00283806">
        <w:t>as</w:t>
      </w:r>
      <w:r w:rsidRPr="00283806">
        <w:rPr>
          <w:spacing w:val="40"/>
        </w:rPr>
        <w:t xml:space="preserve"> </w:t>
      </w:r>
      <w:r w:rsidRPr="00283806">
        <w:t>described</w:t>
      </w:r>
      <w:r w:rsidRPr="00283806">
        <w:rPr>
          <w:spacing w:val="40"/>
        </w:rPr>
        <w:t xml:space="preserve"> </w:t>
      </w:r>
      <w:r w:rsidRPr="00283806">
        <w:t>in</w:t>
      </w:r>
      <w:r w:rsidRPr="00283806">
        <w:rPr>
          <w:spacing w:val="40"/>
        </w:rPr>
        <w:t xml:space="preserve"> </w:t>
      </w:r>
      <w:r w:rsidRPr="00283806">
        <w:t>section</w:t>
      </w:r>
    </w:p>
    <w:p w14:paraId="4FB9F0D1" w14:textId="77777777" w:rsidR="00D67C1E" w:rsidRPr="00283806" w:rsidRDefault="001265CA">
      <w:pPr>
        <w:pStyle w:val="BodyText"/>
        <w:spacing w:before="10" w:line="228" w:lineRule="auto"/>
        <w:ind w:left="153" w:right="196"/>
      </w:pPr>
      <w:r w:rsidRPr="00283806">
        <w:rPr>
          <w:w w:val="105"/>
        </w:rPr>
        <w:t>IV.C.3.f</w:t>
      </w:r>
      <w:r w:rsidRPr="00283806">
        <w:rPr>
          <w:spacing w:val="40"/>
          <w:w w:val="105"/>
        </w:rPr>
        <w:t xml:space="preserve"> </w:t>
      </w:r>
      <w:r w:rsidRPr="00283806">
        <w:rPr>
          <w:w w:val="105"/>
        </w:rPr>
        <w:t>of</w:t>
      </w:r>
      <w:r w:rsidRPr="00283806">
        <w:rPr>
          <w:spacing w:val="40"/>
          <w:w w:val="105"/>
        </w:rPr>
        <w:t xml:space="preserve"> </w:t>
      </w:r>
      <w:r w:rsidRPr="00283806">
        <w:rPr>
          <w:w w:val="105"/>
        </w:rPr>
        <w:t>this</w:t>
      </w:r>
      <w:r w:rsidRPr="00283806">
        <w:rPr>
          <w:spacing w:val="40"/>
          <w:w w:val="105"/>
        </w:rPr>
        <w:t xml:space="preserve"> </w:t>
      </w:r>
      <w:r w:rsidRPr="00283806">
        <w:rPr>
          <w:w w:val="105"/>
        </w:rPr>
        <w:t>preamble.</w:t>
      </w:r>
      <w:r w:rsidRPr="00283806">
        <w:rPr>
          <w:spacing w:val="40"/>
          <w:w w:val="105"/>
        </w:rPr>
        <w:t xml:space="preserve"> </w:t>
      </w:r>
      <w:r w:rsidRPr="00283806">
        <w:rPr>
          <w:w w:val="105"/>
        </w:rPr>
        <w:t>Allowing</w:t>
      </w:r>
      <w:r w:rsidRPr="00283806">
        <w:rPr>
          <w:spacing w:val="40"/>
          <w:w w:val="105"/>
        </w:rPr>
        <w:t xml:space="preserve"> </w:t>
      </w:r>
      <w:r w:rsidRPr="00283806">
        <w:rPr>
          <w:w w:val="105"/>
        </w:rPr>
        <w:t>for an unlimited time to repair leaks would not provide any incentive for an owner or operator to repair the leak, which would</w:t>
      </w:r>
      <w:r w:rsidRPr="00283806">
        <w:rPr>
          <w:spacing w:val="-3"/>
          <w:w w:val="105"/>
        </w:rPr>
        <w:t xml:space="preserve"> </w:t>
      </w:r>
      <w:r w:rsidRPr="00283806">
        <w:rPr>
          <w:w w:val="105"/>
        </w:rPr>
        <w:t>release</w:t>
      </w:r>
      <w:r w:rsidRPr="00283806">
        <w:rPr>
          <w:spacing w:val="-3"/>
          <w:w w:val="105"/>
        </w:rPr>
        <w:t xml:space="preserve"> </w:t>
      </w:r>
      <w:r w:rsidRPr="00283806">
        <w:rPr>
          <w:w w:val="105"/>
        </w:rPr>
        <w:t>more</w:t>
      </w:r>
      <w:r w:rsidRPr="00283806">
        <w:rPr>
          <w:spacing w:val="-3"/>
          <w:w w:val="105"/>
        </w:rPr>
        <w:t xml:space="preserve"> </w:t>
      </w:r>
      <w:r w:rsidRPr="00283806">
        <w:rPr>
          <w:w w:val="105"/>
        </w:rPr>
        <w:t>refrigerant</w:t>
      </w:r>
      <w:r w:rsidRPr="00283806">
        <w:rPr>
          <w:spacing w:val="-3"/>
          <w:w w:val="105"/>
        </w:rPr>
        <w:t xml:space="preserve"> </w:t>
      </w:r>
      <w:r w:rsidRPr="00283806">
        <w:rPr>
          <w:w w:val="105"/>
        </w:rPr>
        <w:t>from</w:t>
      </w:r>
      <w:r w:rsidRPr="00283806">
        <w:rPr>
          <w:spacing w:val="-3"/>
          <w:w w:val="105"/>
        </w:rPr>
        <w:t xml:space="preserve"> </w:t>
      </w:r>
      <w:r w:rsidRPr="00283806">
        <w:rPr>
          <w:w w:val="105"/>
        </w:rPr>
        <w:t>the equipment and thus make less HFCs available for recovery from the</w:t>
      </w:r>
      <w:r w:rsidRPr="00283806">
        <w:rPr>
          <w:spacing w:val="40"/>
          <w:w w:val="105"/>
        </w:rPr>
        <w:t xml:space="preserve"> </w:t>
      </w:r>
      <w:r w:rsidRPr="00283806">
        <w:rPr>
          <w:w w:val="105"/>
        </w:rPr>
        <w:t>appliance and reclamation.</w:t>
      </w:r>
    </w:p>
    <w:p w14:paraId="2B58595E" w14:textId="77777777" w:rsidR="00D67C1E" w:rsidRPr="00283806" w:rsidRDefault="001265CA">
      <w:pPr>
        <w:pStyle w:val="BodyText"/>
        <w:spacing w:before="36" w:line="228" w:lineRule="auto"/>
        <w:ind w:left="153" w:right="132" w:firstLine="180"/>
      </w:pPr>
      <w:r w:rsidRPr="00283806">
        <w:rPr>
          <w:w w:val="105"/>
        </w:rPr>
        <w:t>EPA also disagrees with one commenter’s assertion that the 30-day leak repair timeline is arbitrary. The authority granted to EPA under subsection (h) of the AIM Act directs the Agency to establish certain regulations for purposes including minimizing the release of regulated substances from equipment and maximizing the reclamation of regulated substances.</w:t>
      </w:r>
    </w:p>
    <w:p w14:paraId="77694403" w14:textId="77777777" w:rsidR="00D67C1E" w:rsidRPr="00283806" w:rsidRDefault="001265CA">
      <w:pPr>
        <w:pStyle w:val="BodyText"/>
        <w:spacing w:line="228" w:lineRule="auto"/>
        <w:ind w:left="153" w:right="169"/>
      </w:pPr>
      <w:r w:rsidRPr="00283806">
        <w:rPr>
          <w:w w:val="105"/>
        </w:rPr>
        <w:t>The Agency concludes that the final</w:t>
      </w:r>
      <w:r w:rsidRPr="00283806">
        <w:rPr>
          <w:spacing w:val="80"/>
          <w:w w:val="105"/>
        </w:rPr>
        <w:t xml:space="preserve"> </w:t>
      </w:r>
      <w:r w:rsidRPr="00283806">
        <w:rPr>
          <w:w w:val="105"/>
        </w:rPr>
        <w:t>rule’s leak repair timeline is an</w:t>
      </w:r>
      <w:r w:rsidRPr="00283806">
        <w:rPr>
          <w:spacing w:val="80"/>
          <w:w w:val="105"/>
        </w:rPr>
        <w:t xml:space="preserve"> </w:t>
      </w:r>
      <w:r w:rsidRPr="00283806">
        <w:rPr>
          <w:w w:val="105"/>
        </w:rPr>
        <w:t>important component of the leak repair requirements serving these statutory purposes while also providing owners and operators with the flexibility to</w:t>
      </w:r>
      <w:r w:rsidRPr="00283806">
        <w:rPr>
          <w:spacing w:val="40"/>
          <w:w w:val="105"/>
        </w:rPr>
        <w:t xml:space="preserve"> </w:t>
      </w:r>
      <w:r w:rsidRPr="00283806">
        <w:rPr>
          <w:w w:val="105"/>
        </w:rPr>
        <w:t>repair leaks in a timely and efficient manner. The Agency reiterates that the same leak repair timeline has been in effect under the CAA section 608 regulations for decades. For similar reasons, the Agency disagrees with one commenter’s suggestion to not start the leak repair ‘‘clock’’ until the exact</w:t>
      </w:r>
      <w:r w:rsidRPr="00283806">
        <w:rPr>
          <w:spacing w:val="40"/>
          <w:w w:val="105"/>
        </w:rPr>
        <w:t xml:space="preserve"> </w:t>
      </w:r>
      <w:r w:rsidRPr="00283806">
        <w:rPr>
          <w:w w:val="105"/>
        </w:rPr>
        <w:t>location of the leak is detected. EPA disagrees that this method of leak repair timing would reduce incentive for</w:t>
      </w:r>
      <w:r w:rsidRPr="00283806">
        <w:rPr>
          <w:spacing w:val="40"/>
          <w:w w:val="105"/>
        </w:rPr>
        <w:t xml:space="preserve"> </w:t>
      </w:r>
      <w:r w:rsidRPr="00283806">
        <w:rPr>
          <w:w w:val="105"/>
        </w:rPr>
        <w:t>owners or operators to delay the repair</w:t>
      </w:r>
      <w:r w:rsidRPr="00283806">
        <w:rPr>
          <w:spacing w:val="40"/>
          <w:w w:val="105"/>
        </w:rPr>
        <w:t xml:space="preserve"> </w:t>
      </w:r>
      <w:r w:rsidRPr="00283806">
        <w:rPr>
          <w:w w:val="105"/>
        </w:rPr>
        <w:t>of leaks. The Agency views the commenter’s suggestion as providing an indeterminate amount of time to repair leaks, which in turn incentivizes owners or operators to delay finding and repairing leaks, as the timeline for repair is subject to the discovery of a leak location, not based on the appliance leaking above the applicable leak rate threshold. The final rule provides ample time for owners or operators to determine the source of an appliance’s leak</w:t>
      </w:r>
      <w:r w:rsidRPr="00283806">
        <w:rPr>
          <w:spacing w:val="40"/>
          <w:w w:val="105"/>
        </w:rPr>
        <w:t xml:space="preserve"> </w:t>
      </w:r>
      <w:r w:rsidRPr="00283806">
        <w:rPr>
          <w:w w:val="105"/>
        </w:rPr>
        <w:t>and</w:t>
      </w:r>
      <w:r w:rsidRPr="00283806">
        <w:rPr>
          <w:spacing w:val="40"/>
          <w:w w:val="105"/>
        </w:rPr>
        <w:t xml:space="preserve"> </w:t>
      </w:r>
      <w:r w:rsidRPr="00283806">
        <w:rPr>
          <w:w w:val="105"/>
        </w:rPr>
        <w:t>provides</w:t>
      </w:r>
      <w:r w:rsidRPr="00283806">
        <w:rPr>
          <w:spacing w:val="40"/>
          <w:w w:val="105"/>
        </w:rPr>
        <w:t xml:space="preserve"> </w:t>
      </w:r>
      <w:r w:rsidRPr="00283806">
        <w:rPr>
          <w:w w:val="105"/>
        </w:rPr>
        <w:t>additional</w:t>
      </w:r>
      <w:r w:rsidRPr="00283806">
        <w:rPr>
          <w:spacing w:val="40"/>
          <w:w w:val="105"/>
        </w:rPr>
        <w:t xml:space="preserve"> </w:t>
      </w:r>
      <w:r w:rsidRPr="00283806">
        <w:rPr>
          <w:w w:val="105"/>
        </w:rPr>
        <w:t xml:space="preserve">flexibility to extend the leak repair timeline if certain conditions are met. Thus, the Agency finds the commenter’s suggested approach flawed </w:t>
      </w:r>
      <w:proofErr w:type="gramStart"/>
      <w:r w:rsidRPr="00283806">
        <w:rPr>
          <w:w w:val="105"/>
        </w:rPr>
        <w:t>with regard to</w:t>
      </w:r>
      <w:proofErr w:type="gramEnd"/>
      <w:r w:rsidRPr="00283806">
        <w:rPr>
          <w:spacing w:val="80"/>
          <w:w w:val="105"/>
        </w:rPr>
        <w:t xml:space="preserve"> </w:t>
      </w:r>
      <w:r w:rsidRPr="00283806">
        <w:rPr>
          <w:w w:val="105"/>
        </w:rPr>
        <w:t>repairing leaks in a timely manner. The</w:t>
      </w:r>
    </w:p>
    <w:p w14:paraId="1C631144"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5" w:space="40"/>
            <w:col w:w="3492" w:space="39"/>
            <w:col w:w="3634"/>
          </w:cols>
        </w:sectPr>
      </w:pPr>
    </w:p>
    <w:p w14:paraId="1F9A2004" w14:textId="77777777" w:rsidR="00D67C1E" w:rsidRPr="00283806" w:rsidRDefault="001265CA">
      <w:pPr>
        <w:pStyle w:val="BodyText"/>
        <w:spacing w:before="138" w:line="223" w:lineRule="auto"/>
        <w:ind w:right="110"/>
      </w:pPr>
      <w:r w:rsidRPr="00283806">
        <w:rPr>
          <w:w w:val="105"/>
        </w:rPr>
        <w:lastRenderedPageBreak/>
        <w:t>Agency also disagrees with the commenter’s request that EPA require</w:t>
      </w:r>
      <w:r w:rsidRPr="00283806">
        <w:rPr>
          <w:spacing w:val="40"/>
          <w:w w:val="105"/>
        </w:rPr>
        <w:t xml:space="preserve"> </w:t>
      </w:r>
      <w:r w:rsidRPr="00283806">
        <w:rPr>
          <w:w w:val="105"/>
        </w:rPr>
        <w:t xml:space="preserve">all but </w:t>
      </w:r>
      <w:r w:rsidRPr="00283806">
        <w:rPr>
          <w:rFonts w:ascii="Book Antiqua" w:hAnsi="Book Antiqua"/>
          <w:i/>
          <w:w w:val="105"/>
        </w:rPr>
        <w:t xml:space="preserve">de minimis </w:t>
      </w:r>
      <w:r w:rsidRPr="00283806">
        <w:rPr>
          <w:w w:val="105"/>
        </w:rPr>
        <w:t>leaks to be repaired.</w:t>
      </w:r>
      <w:r w:rsidRPr="00283806">
        <w:rPr>
          <w:spacing w:val="80"/>
          <w:w w:val="105"/>
        </w:rPr>
        <w:t xml:space="preserve"> </w:t>
      </w:r>
      <w:r w:rsidRPr="00283806">
        <w:rPr>
          <w:w w:val="105"/>
        </w:rPr>
        <w:t>In the context of the prohibition on venting or otherwise releasing into the environment any refrigerant under CAA section 608 (40 CFR 82.154), the term ‘‘</w:t>
      </w:r>
      <w:r w:rsidRPr="00283806">
        <w:rPr>
          <w:rFonts w:ascii="Book Antiqua" w:hAnsi="Book Antiqua"/>
          <w:i/>
          <w:w w:val="105"/>
        </w:rPr>
        <w:t>de minimis</w:t>
      </w:r>
      <w:r w:rsidRPr="00283806">
        <w:rPr>
          <w:w w:val="105"/>
        </w:rPr>
        <w:t>’’ refers to releases</w:t>
      </w:r>
      <w:r w:rsidRPr="00283806">
        <w:rPr>
          <w:spacing w:val="40"/>
          <w:w w:val="105"/>
        </w:rPr>
        <w:t xml:space="preserve"> </w:t>
      </w:r>
      <w:r w:rsidRPr="00283806">
        <w:rPr>
          <w:w w:val="105"/>
        </w:rPr>
        <w:t>associated with good faith attempts to recycle and recover refrigerants, noting that such releases are not subject to the prohibition. In other words, were EPA</w:t>
      </w:r>
      <w:r w:rsidRPr="00283806">
        <w:rPr>
          <w:spacing w:val="80"/>
          <w:w w:val="150"/>
        </w:rPr>
        <w:t xml:space="preserve"> </w:t>
      </w:r>
      <w:r w:rsidRPr="00283806">
        <w:rPr>
          <w:w w:val="105"/>
        </w:rPr>
        <w:t xml:space="preserve">to require all but </w:t>
      </w:r>
      <w:r w:rsidRPr="00283806">
        <w:rPr>
          <w:rFonts w:ascii="Book Antiqua" w:hAnsi="Book Antiqua"/>
          <w:i/>
          <w:w w:val="105"/>
        </w:rPr>
        <w:t xml:space="preserve">de minimis </w:t>
      </w:r>
      <w:r w:rsidRPr="00283806">
        <w:rPr>
          <w:w w:val="105"/>
        </w:rPr>
        <w:t>leaks to be repaired, and to interpret the term consistently with how it has been interpreted under CAA section 608, the Agency would be finalizing repair of nearly all leaks, not repairs to below a threshold. That would be a significant change that the Agency did not propose and</w:t>
      </w:r>
      <w:r w:rsidRPr="00283806">
        <w:rPr>
          <w:spacing w:val="17"/>
          <w:w w:val="105"/>
        </w:rPr>
        <w:t xml:space="preserve"> </w:t>
      </w:r>
      <w:r w:rsidRPr="00283806">
        <w:rPr>
          <w:w w:val="105"/>
        </w:rPr>
        <w:t>is</w:t>
      </w:r>
      <w:r w:rsidRPr="00283806">
        <w:rPr>
          <w:spacing w:val="17"/>
          <w:w w:val="105"/>
        </w:rPr>
        <w:t xml:space="preserve"> </w:t>
      </w:r>
      <w:r w:rsidRPr="00283806">
        <w:rPr>
          <w:w w:val="105"/>
        </w:rPr>
        <w:t>not</w:t>
      </w:r>
      <w:r w:rsidRPr="00283806">
        <w:rPr>
          <w:spacing w:val="18"/>
          <w:w w:val="105"/>
        </w:rPr>
        <w:t xml:space="preserve"> </w:t>
      </w:r>
      <w:r w:rsidRPr="00283806">
        <w:rPr>
          <w:w w:val="105"/>
        </w:rPr>
        <w:t>finalizing</w:t>
      </w:r>
      <w:r w:rsidRPr="00283806">
        <w:rPr>
          <w:spacing w:val="17"/>
          <w:w w:val="105"/>
        </w:rPr>
        <w:t xml:space="preserve"> </w:t>
      </w:r>
      <w:r w:rsidRPr="00283806">
        <w:rPr>
          <w:w w:val="105"/>
        </w:rPr>
        <w:t>in</w:t>
      </w:r>
      <w:r w:rsidRPr="00283806">
        <w:rPr>
          <w:spacing w:val="18"/>
          <w:w w:val="105"/>
        </w:rPr>
        <w:t xml:space="preserve"> </w:t>
      </w:r>
      <w:r w:rsidRPr="00283806">
        <w:rPr>
          <w:w w:val="105"/>
        </w:rPr>
        <w:t>this</w:t>
      </w:r>
      <w:r w:rsidRPr="00283806">
        <w:rPr>
          <w:spacing w:val="17"/>
          <w:w w:val="105"/>
        </w:rPr>
        <w:t xml:space="preserve"> </w:t>
      </w:r>
      <w:r w:rsidRPr="00283806">
        <w:rPr>
          <w:spacing w:val="-2"/>
          <w:w w:val="105"/>
        </w:rPr>
        <w:t>rulemaking.</w:t>
      </w:r>
    </w:p>
    <w:p w14:paraId="76CB09C6" w14:textId="77777777" w:rsidR="00D67C1E" w:rsidRPr="00283806" w:rsidRDefault="001265CA">
      <w:pPr>
        <w:pStyle w:val="BodyText"/>
        <w:spacing w:line="223" w:lineRule="auto"/>
        <w:ind w:right="81" w:firstLine="180"/>
      </w:pPr>
      <w:r w:rsidRPr="00283806">
        <w:rPr>
          <w:rFonts w:ascii="Book Antiqua"/>
          <w:i/>
          <w:w w:val="105"/>
        </w:rPr>
        <w:t xml:space="preserve">Comment: </w:t>
      </w:r>
      <w:r w:rsidRPr="00283806">
        <w:rPr>
          <w:w w:val="105"/>
        </w:rPr>
        <w:t xml:space="preserve">One commenter suggested that EPA should also consider a condition that the refrigerant must be removed to trigger the proposed leak validation exclusion for mothballed </w:t>
      </w:r>
      <w:r w:rsidRPr="00283806">
        <w:rPr>
          <w:spacing w:val="-2"/>
          <w:w w:val="105"/>
        </w:rPr>
        <w:t>equipment.</w:t>
      </w:r>
    </w:p>
    <w:p w14:paraId="6642E657" w14:textId="77777777" w:rsidR="00D67C1E" w:rsidRPr="00283806" w:rsidRDefault="001265CA">
      <w:pPr>
        <w:pStyle w:val="BodyText"/>
        <w:spacing w:line="213" w:lineRule="auto"/>
        <w:ind w:right="111" w:firstLine="180"/>
      </w:pPr>
      <w:r w:rsidRPr="00283806">
        <w:rPr>
          <w:rFonts w:ascii="Book Antiqua" w:hAnsi="Book Antiqua"/>
          <w:i/>
          <w:w w:val="105"/>
        </w:rPr>
        <w:t xml:space="preserve">Response: </w:t>
      </w:r>
      <w:r w:rsidRPr="00283806">
        <w:rPr>
          <w:w w:val="105"/>
        </w:rPr>
        <w:t>EPA is unclear as to what the commenter refers to as a ‘‘leak</w:t>
      </w:r>
    </w:p>
    <w:p w14:paraId="2F8B89B9" w14:textId="77777777" w:rsidR="00D67C1E" w:rsidRPr="00283806" w:rsidRDefault="001265CA">
      <w:pPr>
        <w:pStyle w:val="BodyText"/>
        <w:spacing w:line="225" w:lineRule="auto"/>
        <w:ind w:right="40"/>
      </w:pPr>
      <w:r w:rsidRPr="00283806">
        <w:rPr>
          <w:w w:val="105"/>
        </w:rPr>
        <w:t>validation exclusion’’; however, we clarify that mothballed appliances must have their refrigerant evacuated before the leak repair timeline is suspended. The</w:t>
      </w:r>
      <w:r w:rsidRPr="00283806">
        <w:rPr>
          <w:spacing w:val="40"/>
          <w:w w:val="105"/>
        </w:rPr>
        <w:t xml:space="preserve"> </w:t>
      </w:r>
      <w:r w:rsidRPr="00283806">
        <w:rPr>
          <w:w w:val="105"/>
        </w:rPr>
        <w:t>definition</w:t>
      </w:r>
      <w:r w:rsidRPr="00283806">
        <w:rPr>
          <w:spacing w:val="40"/>
          <w:w w:val="105"/>
        </w:rPr>
        <w:t xml:space="preserve"> </w:t>
      </w:r>
      <w:r w:rsidRPr="00283806">
        <w:rPr>
          <w:w w:val="105"/>
        </w:rPr>
        <w:t>of</w:t>
      </w:r>
      <w:r w:rsidRPr="00283806">
        <w:rPr>
          <w:spacing w:val="40"/>
          <w:w w:val="105"/>
        </w:rPr>
        <w:t xml:space="preserve"> </w:t>
      </w:r>
      <w:r w:rsidRPr="00283806">
        <w:rPr>
          <w:w w:val="105"/>
        </w:rPr>
        <w:t>‘‘mothball’’</w:t>
      </w:r>
      <w:r w:rsidRPr="00283806">
        <w:rPr>
          <w:spacing w:val="40"/>
          <w:w w:val="105"/>
        </w:rPr>
        <w:t xml:space="preserve"> </w:t>
      </w:r>
      <w:r w:rsidRPr="00283806">
        <w:rPr>
          <w:w w:val="105"/>
        </w:rPr>
        <w:t>is available at 40 CFR 84.104, which is being</w:t>
      </w:r>
      <w:r w:rsidRPr="00283806">
        <w:rPr>
          <w:spacing w:val="19"/>
          <w:w w:val="105"/>
        </w:rPr>
        <w:t xml:space="preserve"> </w:t>
      </w:r>
      <w:r w:rsidRPr="00283806">
        <w:rPr>
          <w:w w:val="105"/>
        </w:rPr>
        <w:t>finalized</w:t>
      </w:r>
      <w:r w:rsidRPr="00283806">
        <w:rPr>
          <w:spacing w:val="20"/>
          <w:w w:val="105"/>
        </w:rPr>
        <w:t xml:space="preserve"> </w:t>
      </w:r>
      <w:r w:rsidRPr="00283806">
        <w:rPr>
          <w:w w:val="105"/>
        </w:rPr>
        <w:t>in</w:t>
      </w:r>
      <w:r w:rsidRPr="00283806">
        <w:rPr>
          <w:spacing w:val="19"/>
          <w:w w:val="105"/>
        </w:rPr>
        <w:t xml:space="preserve"> </w:t>
      </w:r>
      <w:r w:rsidRPr="00283806">
        <w:rPr>
          <w:w w:val="105"/>
        </w:rPr>
        <w:t>this</w:t>
      </w:r>
      <w:r w:rsidRPr="00283806">
        <w:rPr>
          <w:spacing w:val="20"/>
          <w:w w:val="105"/>
        </w:rPr>
        <w:t xml:space="preserve"> </w:t>
      </w:r>
      <w:r w:rsidRPr="00283806">
        <w:rPr>
          <w:w w:val="105"/>
        </w:rPr>
        <w:t>action,</w:t>
      </w:r>
      <w:r w:rsidRPr="00283806">
        <w:rPr>
          <w:spacing w:val="20"/>
          <w:w w:val="105"/>
        </w:rPr>
        <w:t xml:space="preserve"> </w:t>
      </w:r>
      <w:r w:rsidRPr="00283806">
        <w:rPr>
          <w:w w:val="105"/>
        </w:rPr>
        <w:t>and</w:t>
      </w:r>
      <w:r w:rsidRPr="00283806">
        <w:rPr>
          <w:spacing w:val="19"/>
          <w:w w:val="105"/>
        </w:rPr>
        <w:t xml:space="preserve"> </w:t>
      </w:r>
      <w:r w:rsidRPr="00283806">
        <w:rPr>
          <w:spacing w:val="-2"/>
          <w:w w:val="105"/>
        </w:rPr>
        <w:t>reads:</w:t>
      </w:r>
    </w:p>
    <w:p w14:paraId="172F4A30" w14:textId="77777777" w:rsidR="00D67C1E" w:rsidRPr="00283806" w:rsidRDefault="001265CA">
      <w:pPr>
        <w:pStyle w:val="BodyText"/>
        <w:spacing w:line="213" w:lineRule="auto"/>
        <w:ind w:firstLine="180"/>
      </w:pPr>
      <w:r w:rsidRPr="00283806">
        <w:rPr>
          <w:rFonts w:ascii="Book Antiqua"/>
          <w:i/>
          <w:w w:val="105"/>
        </w:rPr>
        <w:t xml:space="preserve">Mothball, </w:t>
      </w:r>
      <w:r w:rsidRPr="00283806">
        <w:rPr>
          <w:w w:val="105"/>
        </w:rPr>
        <w:t>as it relates to a refrigerant- containing</w:t>
      </w:r>
      <w:r w:rsidRPr="00283806">
        <w:rPr>
          <w:spacing w:val="21"/>
          <w:w w:val="105"/>
        </w:rPr>
        <w:t xml:space="preserve"> </w:t>
      </w:r>
      <w:r w:rsidRPr="00283806">
        <w:rPr>
          <w:w w:val="105"/>
        </w:rPr>
        <w:t>appliance,</w:t>
      </w:r>
      <w:r w:rsidRPr="00283806">
        <w:rPr>
          <w:spacing w:val="22"/>
          <w:w w:val="105"/>
        </w:rPr>
        <w:t xml:space="preserve"> </w:t>
      </w:r>
      <w:r w:rsidRPr="00283806">
        <w:rPr>
          <w:w w:val="105"/>
        </w:rPr>
        <w:t>means</w:t>
      </w:r>
      <w:r w:rsidRPr="00283806">
        <w:rPr>
          <w:spacing w:val="22"/>
          <w:w w:val="105"/>
        </w:rPr>
        <w:t xml:space="preserve"> </w:t>
      </w:r>
      <w:r w:rsidRPr="00283806">
        <w:rPr>
          <w:w w:val="105"/>
        </w:rPr>
        <w:t>to</w:t>
      </w:r>
      <w:r w:rsidRPr="00283806">
        <w:rPr>
          <w:spacing w:val="21"/>
          <w:w w:val="105"/>
        </w:rPr>
        <w:t xml:space="preserve"> </w:t>
      </w:r>
      <w:r w:rsidRPr="00283806">
        <w:rPr>
          <w:spacing w:val="-2"/>
          <w:w w:val="105"/>
        </w:rPr>
        <w:t>evacuate</w:t>
      </w:r>
    </w:p>
    <w:p w14:paraId="0C3DCDF6" w14:textId="77777777" w:rsidR="00D67C1E" w:rsidRPr="00283806" w:rsidRDefault="001265CA">
      <w:pPr>
        <w:pStyle w:val="BodyText"/>
        <w:spacing w:line="225" w:lineRule="auto"/>
        <w:ind w:right="111"/>
      </w:pPr>
      <w:r w:rsidRPr="00283806">
        <w:rPr>
          <w:w w:val="105"/>
        </w:rPr>
        <w:t>refrigerant from an appliance, or the affected isolated section or component of an appliance, to at least atmospheric pressure, and to temporarily shut down that appliance.</w:t>
      </w:r>
    </w:p>
    <w:p w14:paraId="3A130486" w14:textId="77777777" w:rsidR="00D67C1E" w:rsidRPr="00283806" w:rsidRDefault="001265CA">
      <w:pPr>
        <w:pStyle w:val="BodyText"/>
        <w:spacing w:line="178" w:lineRule="exact"/>
        <w:ind w:left="340"/>
      </w:pPr>
      <w:r w:rsidRPr="00283806">
        <w:rPr>
          <w:w w:val="110"/>
        </w:rPr>
        <w:t>EPA is</w:t>
      </w:r>
      <w:r w:rsidRPr="00283806">
        <w:rPr>
          <w:spacing w:val="1"/>
          <w:w w:val="110"/>
        </w:rPr>
        <w:t xml:space="preserve"> </w:t>
      </w:r>
      <w:r w:rsidRPr="00283806">
        <w:rPr>
          <w:w w:val="110"/>
        </w:rPr>
        <w:t>finalizing the</w:t>
      </w:r>
      <w:r w:rsidRPr="00283806">
        <w:rPr>
          <w:spacing w:val="1"/>
          <w:w w:val="110"/>
        </w:rPr>
        <w:t xml:space="preserve"> </w:t>
      </w:r>
      <w:r w:rsidRPr="00283806">
        <w:rPr>
          <w:w w:val="110"/>
        </w:rPr>
        <w:t xml:space="preserve">applicable </w:t>
      </w:r>
      <w:r w:rsidRPr="00283806">
        <w:rPr>
          <w:spacing w:val="-4"/>
          <w:w w:val="110"/>
        </w:rPr>
        <w:t>leak</w:t>
      </w:r>
    </w:p>
    <w:p w14:paraId="06A15E54" w14:textId="77777777" w:rsidR="00D67C1E" w:rsidRPr="00283806" w:rsidRDefault="001265CA">
      <w:pPr>
        <w:pStyle w:val="BodyText"/>
        <w:spacing w:line="225" w:lineRule="auto"/>
        <w:ind w:right="13"/>
      </w:pPr>
      <w:r w:rsidRPr="00283806">
        <w:rPr>
          <w:w w:val="105"/>
        </w:rPr>
        <w:t>rate</w:t>
      </w:r>
      <w:r w:rsidRPr="00283806">
        <w:rPr>
          <w:spacing w:val="-10"/>
          <w:w w:val="105"/>
        </w:rPr>
        <w:t xml:space="preserve"> </w:t>
      </w:r>
      <w:r w:rsidRPr="00283806">
        <w:rPr>
          <w:w w:val="105"/>
        </w:rPr>
        <w:t>thresholds</w:t>
      </w:r>
      <w:r w:rsidRPr="00283806">
        <w:rPr>
          <w:spacing w:val="-11"/>
          <w:w w:val="105"/>
        </w:rPr>
        <w:t xml:space="preserve"> </w:t>
      </w:r>
      <w:r w:rsidRPr="00283806">
        <w:rPr>
          <w:w w:val="105"/>
        </w:rPr>
        <w:t>for</w:t>
      </w:r>
      <w:r w:rsidRPr="00283806">
        <w:rPr>
          <w:spacing w:val="-10"/>
          <w:w w:val="105"/>
        </w:rPr>
        <w:t xml:space="preserve"> </w:t>
      </w:r>
      <w:r w:rsidRPr="00283806">
        <w:rPr>
          <w:w w:val="105"/>
        </w:rPr>
        <w:t>refrigerant-containing appliances with a charge size of 15 pounds or more with a refrigerant that contains an HFC or a substitute for an HFC</w:t>
      </w:r>
      <w:r w:rsidRPr="00283806">
        <w:rPr>
          <w:spacing w:val="40"/>
          <w:w w:val="105"/>
        </w:rPr>
        <w:t xml:space="preserve"> </w:t>
      </w:r>
      <w:r w:rsidRPr="00283806">
        <w:rPr>
          <w:w w:val="105"/>
        </w:rPr>
        <w:t>with</w:t>
      </w:r>
      <w:r w:rsidRPr="00283806">
        <w:rPr>
          <w:spacing w:val="40"/>
          <w:w w:val="105"/>
        </w:rPr>
        <w:t xml:space="preserve"> </w:t>
      </w:r>
      <w:r w:rsidRPr="00283806">
        <w:rPr>
          <w:w w:val="105"/>
        </w:rPr>
        <w:t>a</w:t>
      </w:r>
      <w:r w:rsidRPr="00283806">
        <w:rPr>
          <w:spacing w:val="40"/>
          <w:w w:val="105"/>
        </w:rPr>
        <w:t xml:space="preserve"> </w:t>
      </w:r>
      <w:r w:rsidRPr="00283806">
        <w:rPr>
          <w:w w:val="105"/>
        </w:rPr>
        <w:t>GWP</w:t>
      </w:r>
      <w:r w:rsidRPr="00283806">
        <w:rPr>
          <w:spacing w:val="40"/>
          <w:w w:val="105"/>
        </w:rPr>
        <w:t xml:space="preserve"> </w:t>
      </w:r>
      <w:r w:rsidRPr="00283806">
        <w:rPr>
          <w:w w:val="105"/>
        </w:rPr>
        <w:t>above</w:t>
      </w:r>
      <w:r w:rsidRPr="00283806">
        <w:rPr>
          <w:spacing w:val="40"/>
          <w:w w:val="105"/>
        </w:rPr>
        <w:t xml:space="preserve"> </w:t>
      </w:r>
      <w:r w:rsidRPr="00283806">
        <w:rPr>
          <w:w w:val="105"/>
        </w:rPr>
        <w:t>53</w:t>
      </w:r>
      <w:r w:rsidRPr="00283806">
        <w:rPr>
          <w:spacing w:val="40"/>
          <w:w w:val="105"/>
        </w:rPr>
        <w:t xml:space="preserve"> </w:t>
      </w:r>
      <w:r w:rsidRPr="00283806">
        <w:rPr>
          <w:w w:val="105"/>
        </w:rPr>
        <w:t>as</w:t>
      </w:r>
      <w:r w:rsidRPr="00283806">
        <w:rPr>
          <w:spacing w:val="40"/>
          <w:w w:val="105"/>
        </w:rPr>
        <w:t xml:space="preserve"> </w:t>
      </w:r>
      <w:r w:rsidRPr="00283806">
        <w:rPr>
          <w:w w:val="105"/>
        </w:rPr>
        <w:t>follows: 20 percent leak rate for commercial refrigeration equipment; 30 percent leak rate for IPR equipment; and 10 percent leak rate for comfort cooling appliances, refrigerated transport appliances, or other refrigerant-containing appliances not covered as commercial or industrial process refrigeration appliances. The</w:t>
      </w:r>
      <w:r w:rsidRPr="00283806">
        <w:rPr>
          <w:spacing w:val="40"/>
          <w:w w:val="105"/>
        </w:rPr>
        <w:t xml:space="preserve"> </w:t>
      </w:r>
      <w:r w:rsidRPr="00283806">
        <w:rPr>
          <w:w w:val="105"/>
        </w:rPr>
        <w:t>leak rate thresholds are used to determine whether repair is needed for an appliance that is leaking, as the leak repair requirements are triggered if the appliance exceeds the leak rate</w:t>
      </w:r>
      <w:r w:rsidRPr="00283806">
        <w:rPr>
          <w:spacing w:val="40"/>
          <w:w w:val="105"/>
        </w:rPr>
        <w:t xml:space="preserve"> </w:t>
      </w:r>
      <w:r w:rsidRPr="00283806">
        <w:rPr>
          <w:w w:val="105"/>
        </w:rPr>
        <w:t xml:space="preserve">threshold. </w:t>
      </w:r>
      <w:r w:rsidRPr="00283806">
        <w:rPr>
          <w:rFonts w:ascii="Book Antiqua"/>
          <w:i/>
          <w:w w:val="105"/>
        </w:rPr>
        <w:t xml:space="preserve">See </w:t>
      </w:r>
      <w:r w:rsidRPr="00283806">
        <w:rPr>
          <w:w w:val="105"/>
        </w:rPr>
        <w:t xml:space="preserve">40 CFR 84.106(c)(2). EPA is applying applicable leak rates that mirror those currently in effect for ODS- containing appliances under the 2016 CAA Section 608 Rule. </w:t>
      </w:r>
      <w:r w:rsidRPr="00283806">
        <w:rPr>
          <w:rFonts w:ascii="Book Antiqua"/>
          <w:i/>
          <w:w w:val="105"/>
        </w:rPr>
        <w:t xml:space="preserve">See </w:t>
      </w:r>
      <w:r w:rsidRPr="00283806">
        <w:rPr>
          <w:w w:val="105"/>
        </w:rPr>
        <w:t>40 CFR 82.157(c) (d). These rates were in effect for appliances containing 50 pounds or</w:t>
      </w:r>
    </w:p>
    <w:p w14:paraId="77AC613A" w14:textId="77777777" w:rsidR="00D67C1E" w:rsidRPr="00283806" w:rsidRDefault="001265CA">
      <w:pPr>
        <w:pStyle w:val="BodyText"/>
        <w:spacing w:before="134" w:line="228" w:lineRule="auto"/>
        <w:ind w:left="143"/>
      </w:pPr>
      <w:r w:rsidRPr="00283806">
        <w:br w:type="column"/>
      </w:r>
      <w:proofErr w:type="gramStart"/>
      <w:r w:rsidRPr="00283806">
        <w:rPr>
          <w:w w:val="105"/>
        </w:rPr>
        <w:t>more of</w:t>
      </w:r>
      <w:proofErr w:type="gramEnd"/>
      <w:r w:rsidRPr="00283806">
        <w:rPr>
          <w:w w:val="105"/>
        </w:rPr>
        <w:t xml:space="preserve"> HFCs for </w:t>
      </w:r>
      <w:proofErr w:type="gramStart"/>
      <w:r w:rsidRPr="00283806">
        <w:rPr>
          <w:w w:val="105"/>
        </w:rPr>
        <w:t>a period of time</w:t>
      </w:r>
      <w:proofErr w:type="gramEnd"/>
      <w:r w:rsidRPr="00283806">
        <w:rPr>
          <w:w w:val="105"/>
        </w:rPr>
        <w:t>. After reviewing the information and analysis that supported application of these leak rates to those HFC appliances and considering the provisions of subsection</w:t>
      </w:r>
    </w:p>
    <w:p w14:paraId="2B1AEE6D" w14:textId="77777777" w:rsidR="00D67C1E" w:rsidRPr="00283806" w:rsidRDefault="001265CA">
      <w:pPr>
        <w:pStyle w:val="BodyText"/>
        <w:spacing w:line="228" w:lineRule="auto"/>
        <w:ind w:left="143" w:right="89"/>
      </w:pPr>
      <w:r w:rsidRPr="00283806">
        <w:rPr>
          <w:w w:val="105"/>
        </w:rPr>
        <w:t>(h) and the comments offered on the proposal to extend these thresholds to the equipment subject to the leak repair requirements under this rule, EPA has determined it is appropriate to finalize them, as proposed, in this action.</w:t>
      </w:r>
    </w:p>
    <w:p w14:paraId="433984EB" w14:textId="77777777" w:rsidR="00D67C1E" w:rsidRPr="00283806" w:rsidRDefault="001265CA">
      <w:pPr>
        <w:pStyle w:val="BodyText"/>
        <w:spacing w:line="228" w:lineRule="auto"/>
        <w:ind w:left="143" w:right="156" w:firstLine="180"/>
      </w:pPr>
      <w:r w:rsidRPr="00283806">
        <w:rPr>
          <w:w w:val="105"/>
        </w:rPr>
        <w:t>As discussed in section IV.C.2 of this preamble, EPA is finalizing, as</w:t>
      </w:r>
      <w:r w:rsidRPr="00283806">
        <w:rPr>
          <w:spacing w:val="80"/>
          <w:w w:val="105"/>
        </w:rPr>
        <w:t xml:space="preserve"> </w:t>
      </w:r>
      <w:r w:rsidRPr="00283806">
        <w:rPr>
          <w:w w:val="105"/>
        </w:rPr>
        <w:t>proposed, the application of leak repair requirements to appliances using an HFC and/or a substitute for HFCs with</w:t>
      </w:r>
      <w:r w:rsidRPr="00283806">
        <w:rPr>
          <w:spacing w:val="80"/>
          <w:w w:val="105"/>
        </w:rPr>
        <w:t xml:space="preserve"> </w:t>
      </w:r>
      <w:r w:rsidRPr="00283806">
        <w:rPr>
          <w:w w:val="105"/>
        </w:rPr>
        <w:t>a GWP greater than 53, as a refrigerant (neat or in blends) based on a charge size threshold of 15 pounds or greater, with certain exceptions. EPA is</w:t>
      </w:r>
      <w:r w:rsidRPr="00283806">
        <w:rPr>
          <w:spacing w:val="40"/>
          <w:w w:val="105"/>
        </w:rPr>
        <w:t xml:space="preserve"> </w:t>
      </w:r>
      <w:r w:rsidRPr="00283806">
        <w:rPr>
          <w:w w:val="105"/>
        </w:rPr>
        <w:t>requiring the use of the same leak rate threshold across categories of</w:t>
      </w:r>
    </w:p>
    <w:p w14:paraId="10AD037D" w14:textId="77777777" w:rsidR="00D67C1E" w:rsidRPr="00283806" w:rsidRDefault="001265CA">
      <w:pPr>
        <w:pStyle w:val="BodyText"/>
        <w:spacing w:line="228" w:lineRule="auto"/>
        <w:ind w:left="143" w:right="20"/>
      </w:pPr>
      <w:r w:rsidRPr="00283806">
        <w:rPr>
          <w:w w:val="105"/>
        </w:rPr>
        <w:t>equipment for all covered appliances. In other words, a 20 percent leak trigger rate applies for commercial refrigeration equipment with a full charge size of 15 pounds or more, and a 10 percent trigger leak rate applies for comfort cooling appliances with a full charge size of 15 pounds or more. For refrigerant- containing appliances in certain subsectors and applications that have</w:t>
      </w:r>
      <w:r w:rsidRPr="00283806">
        <w:rPr>
          <w:spacing w:val="80"/>
          <w:w w:val="105"/>
        </w:rPr>
        <w:t xml:space="preserve"> </w:t>
      </w:r>
      <w:r w:rsidRPr="00283806">
        <w:rPr>
          <w:w w:val="105"/>
        </w:rPr>
        <w:t>not been previously covered under 40 CFR 82.157, EPA is finalizing determinations for the applicable leak rates listed in 40 CFR 84.106(c)(2)(iii).</w:t>
      </w:r>
    </w:p>
    <w:p w14:paraId="586B9D43" w14:textId="77777777" w:rsidR="00D67C1E" w:rsidRPr="00283806" w:rsidRDefault="001265CA">
      <w:pPr>
        <w:pStyle w:val="BodyText"/>
        <w:spacing w:line="228" w:lineRule="auto"/>
        <w:ind w:left="143" w:right="35"/>
      </w:pPr>
      <w:r w:rsidRPr="00283806">
        <w:rPr>
          <w:w w:val="105"/>
        </w:rPr>
        <w:t>For</w:t>
      </w:r>
      <w:r w:rsidRPr="00283806">
        <w:rPr>
          <w:spacing w:val="-9"/>
          <w:w w:val="105"/>
        </w:rPr>
        <w:t xml:space="preserve"> </w:t>
      </w:r>
      <w:r w:rsidRPr="00283806">
        <w:rPr>
          <w:w w:val="105"/>
        </w:rPr>
        <w:t>example,</w:t>
      </w:r>
      <w:r w:rsidRPr="00283806">
        <w:rPr>
          <w:spacing w:val="-9"/>
          <w:w w:val="105"/>
        </w:rPr>
        <w:t xml:space="preserve"> </w:t>
      </w:r>
      <w:r w:rsidRPr="00283806">
        <w:rPr>
          <w:w w:val="105"/>
        </w:rPr>
        <w:t>for</w:t>
      </w:r>
      <w:r w:rsidRPr="00283806">
        <w:rPr>
          <w:spacing w:val="-9"/>
          <w:w w:val="105"/>
        </w:rPr>
        <w:t xml:space="preserve"> </w:t>
      </w:r>
      <w:r w:rsidRPr="00283806">
        <w:rPr>
          <w:w w:val="105"/>
        </w:rPr>
        <w:t>refrigerated</w:t>
      </w:r>
      <w:r w:rsidRPr="00283806">
        <w:rPr>
          <w:spacing w:val="-9"/>
          <w:w w:val="105"/>
        </w:rPr>
        <w:t xml:space="preserve"> </w:t>
      </w:r>
      <w:r w:rsidRPr="00283806">
        <w:rPr>
          <w:w w:val="105"/>
        </w:rPr>
        <w:t>transport— rail, EPA is finalizing that this</w:t>
      </w:r>
      <w:r w:rsidRPr="00283806">
        <w:rPr>
          <w:spacing w:val="80"/>
          <w:w w:val="105"/>
        </w:rPr>
        <w:t xml:space="preserve"> </w:t>
      </w:r>
      <w:r w:rsidRPr="00283806">
        <w:rPr>
          <w:w w:val="105"/>
        </w:rPr>
        <w:t>application is considered under the comfort cooling and other appliances category and has an applicable leak rate of 10 percent.</w:t>
      </w:r>
    </w:p>
    <w:p w14:paraId="337CFECA" w14:textId="77777777" w:rsidR="00D67C1E" w:rsidRPr="00283806" w:rsidRDefault="001265CA">
      <w:pPr>
        <w:pStyle w:val="BodyText"/>
        <w:spacing w:line="228" w:lineRule="auto"/>
        <w:ind w:left="143" w:right="92" w:firstLine="180"/>
      </w:pPr>
      <w:r w:rsidRPr="00283806">
        <w:rPr>
          <w:w w:val="105"/>
        </w:rPr>
        <w:t>As noted in the proposal, EPA views these applicable leak rates per the type</w:t>
      </w:r>
      <w:r w:rsidRPr="00283806">
        <w:rPr>
          <w:spacing w:val="40"/>
          <w:w w:val="105"/>
        </w:rPr>
        <w:t xml:space="preserve"> </w:t>
      </w:r>
      <w:r w:rsidRPr="00283806">
        <w:rPr>
          <w:w w:val="105"/>
        </w:rPr>
        <w:t>of appliance as appropriate for the leak repair provisions in this action under subsection (h) of the AIM Act. This rulemaking draws on EPA’s experience implementing similar requirements under CAA section 608, where these thresholds have provided a practical</w:t>
      </w:r>
      <w:r w:rsidRPr="00283806">
        <w:rPr>
          <w:spacing w:val="80"/>
          <w:w w:val="150"/>
        </w:rPr>
        <w:t xml:space="preserve"> </w:t>
      </w:r>
      <w:r w:rsidRPr="00283806">
        <w:rPr>
          <w:w w:val="105"/>
        </w:rPr>
        <w:t>and effective method for determining when leaks must be repaired. In the proposal, the Agency considered</w:t>
      </w:r>
      <w:r w:rsidRPr="00283806">
        <w:rPr>
          <w:spacing w:val="40"/>
          <w:w w:val="105"/>
        </w:rPr>
        <w:t xml:space="preserve"> </w:t>
      </w:r>
      <w:r w:rsidRPr="00283806">
        <w:rPr>
          <w:w w:val="105"/>
        </w:rPr>
        <w:t xml:space="preserve">whether a lower </w:t>
      </w:r>
      <w:proofErr w:type="gramStart"/>
      <w:r w:rsidRPr="00283806">
        <w:rPr>
          <w:w w:val="105"/>
        </w:rPr>
        <w:t>percent</w:t>
      </w:r>
      <w:proofErr w:type="gramEnd"/>
      <w:r w:rsidRPr="00283806">
        <w:rPr>
          <w:w w:val="105"/>
        </w:rPr>
        <w:t xml:space="preserve"> leak rate for some or </w:t>
      </w:r>
      <w:proofErr w:type="gramStart"/>
      <w:r w:rsidRPr="00283806">
        <w:rPr>
          <w:w w:val="105"/>
        </w:rPr>
        <w:t>all of</w:t>
      </w:r>
      <w:proofErr w:type="gramEnd"/>
      <w:r w:rsidRPr="00283806">
        <w:rPr>
          <w:w w:val="105"/>
        </w:rPr>
        <w:t xml:space="preserve"> the categories of</w:t>
      </w:r>
      <w:r w:rsidRPr="00283806">
        <w:rPr>
          <w:spacing w:val="40"/>
          <w:w w:val="105"/>
        </w:rPr>
        <w:t xml:space="preserve"> </w:t>
      </w:r>
      <w:r w:rsidRPr="00283806">
        <w:rPr>
          <w:w w:val="105"/>
        </w:rPr>
        <w:t>appliances would be more appropriate for appliances that contain HFCs and/or substitutes for HFCs. EPA reviewed the docket for the 2016 CAA Section 608 Rule, which lowered the applicable leak rates for each of the appliance categories.</w:t>
      </w:r>
      <w:r w:rsidRPr="00283806">
        <w:rPr>
          <w:rFonts w:ascii="Times New Roman" w:hAnsi="Times New Roman"/>
          <w:w w:val="105"/>
          <w:position w:val="4"/>
          <w:sz w:val="11"/>
        </w:rPr>
        <w:t>72 73</w:t>
      </w:r>
      <w:r w:rsidRPr="00283806">
        <w:rPr>
          <w:rFonts w:ascii="Times New Roman" w:hAnsi="Times New Roman"/>
          <w:spacing w:val="40"/>
          <w:w w:val="105"/>
          <w:position w:val="4"/>
          <w:sz w:val="11"/>
        </w:rPr>
        <w:t xml:space="preserve"> </w:t>
      </w:r>
      <w:r w:rsidRPr="00283806">
        <w:rPr>
          <w:w w:val="105"/>
        </w:rPr>
        <w:t>EPA also evaluated leak</w:t>
      </w:r>
    </w:p>
    <w:p w14:paraId="5D4750FD" w14:textId="77777777" w:rsidR="00D67C1E" w:rsidRPr="00283806" w:rsidRDefault="001265CA">
      <w:pPr>
        <w:pStyle w:val="BodyText"/>
        <w:spacing w:before="7"/>
        <w:ind w:left="0"/>
        <w:rPr>
          <w:sz w:val="9"/>
        </w:rPr>
      </w:pPr>
      <w:r w:rsidRPr="00283806">
        <w:rPr>
          <w:noProof/>
        </w:rPr>
        <mc:AlternateContent>
          <mc:Choice Requires="wps">
            <w:drawing>
              <wp:anchor distT="0" distB="0" distL="0" distR="0" simplePos="0" relativeHeight="251637760" behindDoc="1" locked="0" layoutInCell="1" allowOverlap="1" wp14:anchorId="79DF080A" wp14:editId="66281E0C">
                <wp:simplePos x="0" y="0"/>
                <wp:positionH relativeFrom="page">
                  <wp:posOffset>2819400</wp:posOffset>
                </wp:positionH>
                <wp:positionV relativeFrom="paragraph">
                  <wp:posOffset>87077</wp:posOffset>
                </wp:positionV>
                <wp:extent cx="635000" cy="1270"/>
                <wp:effectExtent l="0" t="0" r="0" b="0"/>
                <wp:wrapTopAndBottom/>
                <wp:docPr id="69" name="Graphic 6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43D9A9C" id="Graphic 69" o:spid="_x0000_s1026" alt="&quot;&quot;" style="position:absolute;margin-left:222pt;margin-top:6.85pt;width:50pt;height:.1pt;z-index:-251678720;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" path="m,l635000,e" filled="f" strokeweight=".5pt">
                <v:path arrowok="t"/>
                <w10:wrap type="topAndBottom" anchorx="page"/>
              </v:shape>
            </w:pict>
          </mc:Fallback>
        </mc:AlternateContent>
      </w:r>
    </w:p>
    <w:p w14:paraId="13FAF04D" w14:textId="77777777" w:rsidR="00D67C1E" w:rsidRPr="00283806" w:rsidRDefault="001265CA">
      <w:pPr>
        <w:spacing w:before="36"/>
        <w:ind w:left="282"/>
        <w:rPr>
          <w:sz w:val="14"/>
        </w:rPr>
      </w:pPr>
      <w:r w:rsidRPr="00283806">
        <w:rPr>
          <w:w w:val="110"/>
          <w:position w:val="4"/>
          <w:sz w:val="9"/>
        </w:rPr>
        <w:t xml:space="preserve">72 </w:t>
      </w:r>
      <w:r w:rsidRPr="00283806">
        <w:rPr>
          <w:w w:val="110"/>
          <w:sz w:val="14"/>
        </w:rPr>
        <w:t>Docket</w:t>
      </w:r>
      <w:r w:rsidRPr="00283806">
        <w:rPr>
          <w:spacing w:val="4"/>
          <w:w w:val="110"/>
          <w:sz w:val="14"/>
        </w:rPr>
        <w:t xml:space="preserve"> </w:t>
      </w:r>
      <w:r w:rsidRPr="00283806">
        <w:rPr>
          <w:w w:val="110"/>
          <w:sz w:val="14"/>
        </w:rPr>
        <w:t>No.</w:t>
      </w:r>
      <w:r w:rsidRPr="00283806">
        <w:rPr>
          <w:spacing w:val="4"/>
          <w:w w:val="110"/>
          <w:sz w:val="14"/>
        </w:rPr>
        <w:t xml:space="preserve"> </w:t>
      </w:r>
      <w:r w:rsidRPr="00283806">
        <w:rPr>
          <w:spacing w:val="-2"/>
          <w:w w:val="110"/>
          <w:sz w:val="14"/>
        </w:rPr>
        <w:t>EPA–HQ–OAR–2015–0453</w:t>
      </w:r>
    </w:p>
    <w:p w14:paraId="1CE16D27" w14:textId="77777777" w:rsidR="00D67C1E" w:rsidRPr="00283806" w:rsidRDefault="001265CA">
      <w:pPr>
        <w:spacing w:before="20" w:line="232" w:lineRule="auto"/>
        <w:ind w:left="142" w:right="74" w:firstLine="140"/>
        <w:rPr>
          <w:sz w:val="14"/>
        </w:rPr>
      </w:pPr>
      <w:r w:rsidRPr="00283806">
        <w:rPr>
          <w:w w:val="105"/>
          <w:position w:val="4"/>
          <w:sz w:val="9"/>
        </w:rPr>
        <w:t xml:space="preserve">73 </w:t>
      </w:r>
      <w:r w:rsidRPr="00283806">
        <w:rPr>
          <w:w w:val="105"/>
          <w:sz w:val="14"/>
        </w:rPr>
        <w:t>For further information, please see the</w:t>
      </w:r>
      <w:r w:rsidRPr="00283806">
        <w:rPr>
          <w:spacing w:val="40"/>
          <w:w w:val="105"/>
          <w:sz w:val="14"/>
        </w:rPr>
        <w:t xml:space="preserve"> </w:t>
      </w:r>
      <w:r w:rsidRPr="00283806">
        <w:rPr>
          <w:w w:val="105"/>
          <w:sz w:val="14"/>
        </w:rPr>
        <w:t>discussion in the 2016 CAA Section 608 Rule at 81</w:t>
      </w:r>
      <w:r w:rsidRPr="00283806">
        <w:rPr>
          <w:spacing w:val="40"/>
          <w:w w:val="105"/>
          <w:sz w:val="14"/>
        </w:rPr>
        <w:t xml:space="preserve"> </w:t>
      </w:r>
      <w:r w:rsidRPr="00283806">
        <w:rPr>
          <w:w w:val="105"/>
          <w:sz w:val="14"/>
        </w:rPr>
        <w:t>FR 82272, 82317 and the technical support</w:t>
      </w:r>
      <w:r w:rsidRPr="00283806">
        <w:rPr>
          <w:spacing w:val="40"/>
          <w:w w:val="105"/>
          <w:sz w:val="14"/>
        </w:rPr>
        <w:t xml:space="preserve"> </w:t>
      </w:r>
      <w:r w:rsidRPr="00283806">
        <w:rPr>
          <w:w w:val="105"/>
          <w:sz w:val="14"/>
        </w:rPr>
        <w:t>document, Analysis of the Economic Impact and</w:t>
      </w:r>
    </w:p>
    <w:p w14:paraId="0F2526F8" w14:textId="77777777" w:rsidR="00D67C1E" w:rsidRPr="00283806" w:rsidRDefault="001265CA">
      <w:pPr>
        <w:pStyle w:val="BodyText"/>
        <w:spacing w:before="136" w:line="225" w:lineRule="auto"/>
        <w:ind w:left="144" w:right="182"/>
      </w:pPr>
      <w:r w:rsidRPr="00283806">
        <w:br w:type="column"/>
      </w:r>
      <w:r w:rsidRPr="00283806">
        <w:rPr>
          <w:w w:val="105"/>
        </w:rPr>
        <w:t>rate data of appliances in each of the applicable categories to determine the appropriate applicable leak rates and reviewed information from stakeholders shared during public meetings held in</w:t>
      </w:r>
      <w:r w:rsidRPr="00283806">
        <w:rPr>
          <w:spacing w:val="40"/>
          <w:w w:val="105"/>
        </w:rPr>
        <w:t xml:space="preserve"> </w:t>
      </w:r>
      <w:r w:rsidRPr="00283806">
        <w:rPr>
          <w:w w:val="105"/>
        </w:rPr>
        <w:t>the development of this rulemaking.</w:t>
      </w:r>
      <w:r w:rsidRPr="00283806">
        <w:rPr>
          <w:w w:val="105"/>
          <w:position w:val="5"/>
          <w:sz w:val="11"/>
        </w:rPr>
        <w:t>74</w:t>
      </w:r>
      <w:r w:rsidRPr="00283806">
        <w:rPr>
          <w:spacing w:val="40"/>
          <w:w w:val="105"/>
          <w:position w:val="5"/>
          <w:sz w:val="11"/>
        </w:rPr>
        <w:t xml:space="preserve"> </w:t>
      </w:r>
      <w:r w:rsidRPr="00283806">
        <w:rPr>
          <w:w w:val="105"/>
        </w:rPr>
        <w:t>EPA did not propose and is not</w:t>
      </w:r>
      <w:r w:rsidRPr="00283806">
        <w:rPr>
          <w:spacing w:val="80"/>
          <w:w w:val="150"/>
        </w:rPr>
        <w:t xml:space="preserve"> </w:t>
      </w:r>
      <w:r w:rsidRPr="00283806">
        <w:rPr>
          <w:w w:val="105"/>
        </w:rPr>
        <w:t>finalizing changes to the applicable leak rates for categories of appliances containing HFCs and covered</w:t>
      </w:r>
      <w:r w:rsidRPr="00283806">
        <w:rPr>
          <w:spacing w:val="80"/>
          <w:w w:val="105"/>
        </w:rPr>
        <w:t xml:space="preserve"> </w:t>
      </w:r>
      <w:r w:rsidRPr="00283806">
        <w:rPr>
          <w:w w:val="105"/>
        </w:rPr>
        <w:t xml:space="preserve">substitutes. However, the Agency notes that we could revisit the applicable leak rates as appropriate to support the overall purposes of subsection (h) in the </w:t>
      </w:r>
      <w:r w:rsidRPr="00283806">
        <w:rPr>
          <w:spacing w:val="-2"/>
          <w:w w:val="105"/>
        </w:rPr>
        <w:t>future.</w:t>
      </w:r>
    </w:p>
    <w:p w14:paraId="1F54BB9B" w14:textId="77777777" w:rsidR="00D67C1E" w:rsidRPr="00283806" w:rsidRDefault="001265CA">
      <w:pPr>
        <w:spacing w:line="180" w:lineRule="exact"/>
        <w:ind w:left="324"/>
        <w:rPr>
          <w:sz w:val="18"/>
        </w:rPr>
      </w:pPr>
      <w:r w:rsidRPr="00283806">
        <w:rPr>
          <w:rFonts w:ascii="Book Antiqua"/>
          <w:i/>
          <w:w w:val="110"/>
          <w:sz w:val="18"/>
        </w:rPr>
        <w:t>Comment:</w:t>
      </w:r>
      <w:r w:rsidRPr="00283806">
        <w:rPr>
          <w:rFonts w:ascii="Book Antiqua"/>
          <w:i/>
          <w:spacing w:val="-2"/>
          <w:w w:val="110"/>
          <w:sz w:val="18"/>
        </w:rPr>
        <w:t xml:space="preserve"> </w:t>
      </w:r>
      <w:r w:rsidRPr="00283806">
        <w:rPr>
          <w:w w:val="110"/>
          <w:sz w:val="18"/>
        </w:rPr>
        <w:t>EPA</w:t>
      </w:r>
      <w:r w:rsidRPr="00283806">
        <w:rPr>
          <w:spacing w:val="5"/>
          <w:w w:val="110"/>
          <w:sz w:val="18"/>
        </w:rPr>
        <w:t xml:space="preserve"> </w:t>
      </w:r>
      <w:r w:rsidRPr="00283806">
        <w:rPr>
          <w:w w:val="110"/>
          <w:sz w:val="18"/>
        </w:rPr>
        <w:t>received</w:t>
      </w:r>
      <w:r w:rsidRPr="00283806">
        <w:rPr>
          <w:spacing w:val="4"/>
          <w:w w:val="110"/>
          <w:sz w:val="18"/>
        </w:rPr>
        <w:t xml:space="preserve"> </w:t>
      </w:r>
      <w:r w:rsidRPr="00283806">
        <w:rPr>
          <w:spacing w:val="-2"/>
          <w:w w:val="110"/>
          <w:sz w:val="18"/>
        </w:rPr>
        <w:t>mixed</w:t>
      </w:r>
    </w:p>
    <w:p w14:paraId="10ADF60A" w14:textId="77777777" w:rsidR="00D67C1E" w:rsidRPr="00283806" w:rsidRDefault="001265CA">
      <w:pPr>
        <w:pStyle w:val="BodyText"/>
        <w:spacing w:line="225" w:lineRule="auto"/>
        <w:ind w:left="144" w:right="208"/>
      </w:pPr>
      <w:r w:rsidRPr="00283806">
        <w:rPr>
          <w:w w:val="105"/>
        </w:rPr>
        <w:t>support for the applicable leak rates for commercial refrigeration, IPR, and comfort cooling. Some commenters stated that EPA could go lower for some of the appliance sectors, and others suggested that EPA increase the leak</w:t>
      </w:r>
      <w:r w:rsidRPr="00283806">
        <w:rPr>
          <w:spacing w:val="40"/>
          <w:w w:val="105"/>
        </w:rPr>
        <w:t xml:space="preserve"> </w:t>
      </w:r>
      <w:r w:rsidRPr="00283806">
        <w:rPr>
          <w:w w:val="105"/>
        </w:rPr>
        <w:t>rate thresholds for certain subsectors.</w:t>
      </w:r>
    </w:p>
    <w:p w14:paraId="7CC4911B" w14:textId="77777777" w:rsidR="00D67C1E" w:rsidRPr="00283806" w:rsidRDefault="001265CA">
      <w:pPr>
        <w:pStyle w:val="BodyText"/>
        <w:spacing w:line="225" w:lineRule="auto"/>
        <w:ind w:left="144" w:right="162"/>
      </w:pPr>
      <w:r w:rsidRPr="00283806">
        <w:rPr>
          <w:w w:val="105"/>
        </w:rPr>
        <w:t>One commenter, in support of the provision, stated that leak rate</w:t>
      </w:r>
      <w:r w:rsidRPr="00283806">
        <w:rPr>
          <w:spacing w:val="40"/>
          <w:w w:val="105"/>
        </w:rPr>
        <w:t xml:space="preserve"> </w:t>
      </w:r>
      <w:r w:rsidRPr="00283806">
        <w:rPr>
          <w:w w:val="105"/>
        </w:rPr>
        <w:t>thresholds aligned with the CAA section 608 regulations are appropriate and should not be further adjusted. Another commenter echoed that the leak rate thresholds did not need to be changed because the final rule would already subject a large group of appliances to mandatory time-limited repairs, reporting, and in some cases, retrofit or retirement. The same commenter stated that lowering the leak rate threshold would make appliances impossible to manage due to the number of appliances affected by the leak repair provisions in the final rule.</w:t>
      </w:r>
    </w:p>
    <w:p w14:paraId="1BFFB0D9" w14:textId="77777777" w:rsidR="00D67C1E" w:rsidRPr="00283806" w:rsidRDefault="001265CA">
      <w:pPr>
        <w:pStyle w:val="BodyText"/>
        <w:spacing w:line="228" w:lineRule="auto"/>
        <w:ind w:left="144" w:right="153" w:firstLine="180"/>
      </w:pPr>
      <w:r w:rsidRPr="00283806">
        <w:rPr>
          <w:w w:val="105"/>
        </w:rPr>
        <w:t xml:space="preserve">Two commenters did not support the proposed leak rates, citing difficulty </w:t>
      </w:r>
      <w:proofErr w:type="gramStart"/>
      <w:r w:rsidRPr="00283806">
        <w:rPr>
          <w:w w:val="105"/>
        </w:rPr>
        <w:t>to manage,</w:t>
      </w:r>
      <w:proofErr w:type="gramEnd"/>
      <w:r w:rsidRPr="00283806">
        <w:rPr>
          <w:w w:val="105"/>
        </w:rPr>
        <w:t xml:space="preserve"> the number of systems it would affect</w:t>
      </w:r>
      <w:r w:rsidRPr="00283806">
        <w:rPr>
          <w:spacing w:val="40"/>
          <w:w w:val="105"/>
        </w:rPr>
        <w:t xml:space="preserve"> </w:t>
      </w:r>
      <w:r w:rsidRPr="00283806">
        <w:rPr>
          <w:w w:val="105"/>
        </w:rPr>
        <w:t>from</w:t>
      </w:r>
      <w:r w:rsidRPr="00283806">
        <w:rPr>
          <w:spacing w:val="40"/>
          <w:w w:val="105"/>
        </w:rPr>
        <w:t xml:space="preserve"> </w:t>
      </w:r>
      <w:r w:rsidRPr="00283806">
        <w:rPr>
          <w:w w:val="105"/>
        </w:rPr>
        <w:t>the</w:t>
      </w:r>
      <w:r w:rsidRPr="00283806">
        <w:rPr>
          <w:spacing w:val="40"/>
          <w:w w:val="105"/>
        </w:rPr>
        <w:t xml:space="preserve"> </w:t>
      </w:r>
      <w:r w:rsidRPr="00283806">
        <w:rPr>
          <w:w w:val="105"/>
        </w:rPr>
        <w:t>outset,</w:t>
      </w:r>
      <w:r w:rsidRPr="00283806">
        <w:rPr>
          <w:spacing w:val="40"/>
          <w:w w:val="105"/>
        </w:rPr>
        <w:t xml:space="preserve"> </w:t>
      </w:r>
      <w:r w:rsidRPr="00283806">
        <w:rPr>
          <w:w w:val="105"/>
        </w:rPr>
        <w:t>and impracticality and burden of the requirements. One commenter stated</w:t>
      </w:r>
      <w:r w:rsidRPr="00283806">
        <w:rPr>
          <w:spacing w:val="40"/>
          <w:w w:val="105"/>
        </w:rPr>
        <w:t xml:space="preserve"> </w:t>
      </w:r>
      <w:r w:rsidRPr="00283806">
        <w:rPr>
          <w:w w:val="105"/>
        </w:rPr>
        <w:t>that small chillers used in the semiconductor industry are not applicable to the provision because leaking chillers are normally removed from service. The commenter requested clarity on whether equipment removed from service is exempt from the leak repair requirement. One of the commenters stated that typical food</w:t>
      </w:r>
      <w:r w:rsidRPr="00283806">
        <w:rPr>
          <w:spacing w:val="40"/>
          <w:w w:val="105"/>
        </w:rPr>
        <w:t xml:space="preserve"> </w:t>
      </w:r>
      <w:r w:rsidRPr="00283806">
        <w:rPr>
          <w:w w:val="105"/>
        </w:rPr>
        <w:t>retail refrigeration appliances have an estimated 25 percent annual leak rate</w:t>
      </w:r>
      <w:r w:rsidRPr="00283806">
        <w:rPr>
          <w:spacing w:val="40"/>
          <w:w w:val="105"/>
        </w:rPr>
        <w:t xml:space="preserve"> </w:t>
      </w:r>
      <w:r w:rsidRPr="00283806">
        <w:rPr>
          <w:w w:val="105"/>
        </w:rPr>
        <w:t>and the rule would force the average supermarket system into immediate repair, verification, and potential retrofit or retirement. The commenter also</w:t>
      </w:r>
    </w:p>
    <w:p w14:paraId="3B302802" w14:textId="77777777" w:rsidR="00D67C1E" w:rsidRPr="00283806" w:rsidRDefault="001265CA">
      <w:pPr>
        <w:pStyle w:val="BodyText"/>
        <w:spacing w:before="5"/>
        <w:ind w:left="0"/>
        <w:rPr>
          <w:sz w:val="11"/>
        </w:rPr>
      </w:pPr>
      <w:r w:rsidRPr="00283806">
        <w:rPr>
          <w:noProof/>
        </w:rPr>
        <mc:AlternateContent>
          <mc:Choice Requires="wps">
            <w:drawing>
              <wp:anchor distT="0" distB="0" distL="0" distR="0" simplePos="0" relativeHeight="251638784" behindDoc="1" locked="0" layoutInCell="1" allowOverlap="1" wp14:anchorId="64BE0C2D" wp14:editId="54B86F48">
                <wp:simplePos x="0" y="0"/>
                <wp:positionH relativeFrom="page">
                  <wp:posOffset>5067300</wp:posOffset>
                </wp:positionH>
                <wp:positionV relativeFrom="paragraph">
                  <wp:posOffset>100893</wp:posOffset>
                </wp:positionV>
                <wp:extent cx="635000" cy="1270"/>
                <wp:effectExtent l="0" t="0" r="0" b="0"/>
                <wp:wrapTopAndBottom/>
                <wp:docPr id="70" name="Graphic 7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0F0C5F1" id="Graphic 70" o:spid="_x0000_s1026" alt="&quot;&quot;" style="position:absolute;margin-left:399pt;margin-top:7.95pt;width:50pt;height:.1pt;z-index:-251677696;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" path="m,l635000,e" filled="f" strokeweight=".5pt">
                <v:path arrowok="t"/>
                <w10:wrap type="topAndBottom" anchorx="page"/>
              </v:shape>
            </w:pict>
          </mc:Fallback>
        </mc:AlternateContent>
      </w:r>
    </w:p>
    <w:p w14:paraId="417BB0E3" w14:textId="77777777" w:rsidR="00D67C1E" w:rsidRPr="00283806" w:rsidRDefault="001265CA">
      <w:pPr>
        <w:spacing w:before="40" w:line="232" w:lineRule="auto"/>
        <w:ind w:left="144" w:right="285"/>
        <w:rPr>
          <w:sz w:val="14"/>
        </w:rPr>
      </w:pPr>
      <w:r w:rsidRPr="00283806">
        <w:rPr>
          <w:w w:val="105"/>
          <w:sz w:val="14"/>
        </w:rPr>
        <w:t>Benefits of Final Revisions to the National</w:t>
      </w:r>
      <w:r w:rsidRPr="00283806">
        <w:rPr>
          <w:spacing w:val="40"/>
          <w:w w:val="105"/>
          <w:sz w:val="14"/>
        </w:rPr>
        <w:t xml:space="preserve"> </w:t>
      </w:r>
      <w:r w:rsidRPr="00283806">
        <w:rPr>
          <w:w w:val="105"/>
          <w:sz w:val="14"/>
        </w:rPr>
        <w:t>Recycling and Emission Reduction Program,</w:t>
      </w:r>
      <w:r w:rsidRPr="00283806">
        <w:rPr>
          <w:spacing w:val="40"/>
          <w:w w:val="105"/>
          <w:sz w:val="14"/>
        </w:rPr>
        <w:t xml:space="preserve"> </w:t>
      </w:r>
      <w:r w:rsidRPr="00283806">
        <w:rPr>
          <w:w w:val="105"/>
          <w:sz w:val="14"/>
        </w:rPr>
        <w:t>available in the docket for the 2016 CAA Section</w:t>
      </w:r>
      <w:r w:rsidRPr="00283806">
        <w:rPr>
          <w:spacing w:val="40"/>
          <w:w w:val="105"/>
          <w:sz w:val="14"/>
        </w:rPr>
        <w:t xml:space="preserve"> </w:t>
      </w:r>
      <w:r w:rsidRPr="00283806">
        <w:rPr>
          <w:w w:val="105"/>
          <w:sz w:val="14"/>
        </w:rPr>
        <w:t>608 Rule (EPA–HQ–OAR–2015–0453)</w:t>
      </w:r>
    </w:p>
    <w:p w14:paraId="413DDE57" w14:textId="77777777" w:rsidR="00D67C1E" w:rsidRPr="00283806" w:rsidRDefault="001265CA">
      <w:pPr>
        <w:spacing w:before="23" w:line="232" w:lineRule="auto"/>
        <w:ind w:left="144" w:right="122" w:firstLine="140"/>
        <w:rPr>
          <w:sz w:val="14"/>
        </w:rPr>
      </w:pPr>
      <w:r w:rsidRPr="00283806">
        <w:rPr>
          <w:w w:val="105"/>
          <w:position w:val="4"/>
          <w:sz w:val="9"/>
        </w:rPr>
        <w:t xml:space="preserve">74 </w:t>
      </w:r>
      <w:r w:rsidRPr="00283806">
        <w:rPr>
          <w:w w:val="105"/>
          <w:sz w:val="14"/>
        </w:rPr>
        <w:t>EPA held stakeholder meetings for public input</w:t>
      </w:r>
      <w:r w:rsidRPr="00283806">
        <w:rPr>
          <w:spacing w:val="40"/>
          <w:w w:val="105"/>
          <w:sz w:val="14"/>
        </w:rPr>
        <w:t xml:space="preserve"> </w:t>
      </w:r>
      <w:r w:rsidRPr="00283806">
        <w:rPr>
          <w:w w:val="105"/>
          <w:sz w:val="14"/>
        </w:rPr>
        <w:t xml:space="preserve">on November 9, 2022, and March 16, 2023, </w:t>
      </w:r>
      <w:proofErr w:type="gramStart"/>
      <w:r w:rsidRPr="00283806">
        <w:rPr>
          <w:w w:val="105"/>
          <w:sz w:val="14"/>
        </w:rPr>
        <w:t>and also</w:t>
      </w:r>
      <w:proofErr w:type="gramEnd"/>
      <w:r w:rsidRPr="00283806">
        <w:rPr>
          <w:spacing w:val="40"/>
          <w:w w:val="105"/>
          <w:sz w:val="14"/>
        </w:rPr>
        <w:t xml:space="preserve"> </w:t>
      </w:r>
      <w:r w:rsidRPr="00283806">
        <w:rPr>
          <w:w w:val="105"/>
          <w:sz w:val="14"/>
        </w:rPr>
        <w:t>solicited feedback through a webinar for EPA’s</w:t>
      </w:r>
      <w:r w:rsidRPr="00283806">
        <w:rPr>
          <w:spacing w:val="40"/>
          <w:w w:val="105"/>
          <w:sz w:val="14"/>
        </w:rPr>
        <w:t xml:space="preserve"> </w:t>
      </w:r>
      <w:proofErr w:type="spellStart"/>
      <w:r w:rsidRPr="00283806">
        <w:rPr>
          <w:w w:val="105"/>
          <w:sz w:val="14"/>
        </w:rPr>
        <w:t>GreenChill</w:t>
      </w:r>
      <w:proofErr w:type="spellEnd"/>
      <w:r w:rsidRPr="00283806">
        <w:rPr>
          <w:w w:val="105"/>
          <w:sz w:val="14"/>
        </w:rPr>
        <w:t xml:space="preserve"> Partnership program on April 12, 2023.</w:t>
      </w:r>
    </w:p>
    <w:p w14:paraId="7D877C54" w14:textId="77777777" w:rsidR="00D67C1E" w:rsidRPr="00283806" w:rsidRDefault="00D67C1E">
      <w:pPr>
        <w:spacing w:line="232" w:lineRule="auto"/>
        <w:rPr>
          <w:sz w:val="14"/>
        </w:rPr>
        <w:sectPr w:rsidR="00D67C1E" w:rsidRPr="00283806">
          <w:pgSz w:w="12240" w:h="15840"/>
          <w:pgMar w:top="1040" w:right="780" w:bottom="280" w:left="740" w:header="627" w:footer="0" w:gutter="0"/>
          <w:cols w:num="3" w:space="720" w:equalWidth="0">
            <w:col w:w="3518" w:space="40"/>
            <w:col w:w="3498" w:space="39"/>
            <w:col w:w="3625"/>
          </w:cols>
        </w:sectPr>
      </w:pPr>
    </w:p>
    <w:p w14:paraId="51B9A2B8" w14:textId="77777777" w:rsidR="00D67C1E" w:rsidRPr="00283806" w:rsidRDefault="001265CA">
      <w:pPr>
        <w:pStyle w:val="BodyText"/>
        <w:spacing w:before="136" w:line="225" w:lineRule="auto"/>
        <w:ind w:right="78"/>
      </w:pPr>
      <w:r w:rsidRPr="00283806">
        <w:rPr>
          <w:w w:val="105"/>
        </w:rPr>
        <w:lastRenderedPageBreak/>
        <w:t>suggested EPA eliminate the leak rate thresholds altogether and allow operators to perform a calendar year leak rate calculation each time the operator adds refrigerant, as owners or operators are incentivized to repair</w:t>
      </w:r>
      <w:r w:rsidRPr="00283806">
        <w:rPr>
          <w:spacing w:val="40"/>
          <w:w w:val="105"/>
        </w:rPr>
        <w:t xml:space="preserve"> </w:t>
      </w:r>
      <w:r w:rsidRPr="00283806">
        <w:rPr>
          <w:w w:val="105"/>
        </w:rPr>
        <w:t>leaks to avoid high refrigerant costs and store operations.</w:t>
      </w:r>
    </w:p>
    <w:p w14:paraId="59A43E97" w14:textId="77777777" w:rsidR="00D67C1E" w:rsidRPr="00283806" w:rsidRDefault="001265CA">
      <w:pPr>
        <w:pStyle w:val="BodyText"/>
        <w:spacing w:line="177" w:lineRule="exact"/>
        <w:ind w:left="340"/>
      </w:pPr>
      <w:r w:rsidRPr="00283806">
        <w:rPr>
          <w:w w:val="105"/>
        </w:rPr>
        <w:t>Several</w:t>
      </w:r>
      <w:r w:rsidRPr="00283806">
        <w:rPr>
          <w:spacing w:val="11"/>
          <w:w w:val="105"/>
        </w:rPr>
        <w:t xml:space="preserve"> </w:t>
      </w:r>
      <w:r w:rsidRPr="00283806">
        <w:rPr>
          <w:w w:val="105"/>
        </w:rPr>
        <w:t>commenters</w:t>
      </w:r>
      <w:r w:rsidRPr="00283806">
        <w:rPr>
          <w:spacing w:val="12"/>
          <w:w w:val="105"/>
        </w:rPr>
        <w:t xml:space="preserve"> </w:t>
      </w:r>
      <w:r w:rsidRPr="00283806">
        <w:rPr>
          <w:w w:val="105"/>
        </w:rPr>
        <w:t>did</w:t>
      </w:r>
      <w:r w:rsidRPr="00283806">
        <w:rPr>
          <w:spacing w:val="12"/>
          <w:w w:val="105"/>
        </w:rPr>
        <w:t xml:space="preserve"> </w:t>
      </w:r>
      <w:r w:rsidRPr="00283806">
        <w:rPr>
          <w:w w:val="105"/>
        </w:rPr>
        <w:t>not</w:t>
      </w:r>
      <w:r w:rsidRPr="00283806">
        <w:rPr>
          <w:spacing w:val="12"/>
          <w:w w:val="105"/>
        </w:rPr>
        <w:t xml:space="preserve"> </w:t>
      </w:r>
      <w:r w:rsidRPr="00283806">
        <w:rPr>
          <w:spacing w:val="-2"/>
          <w:w w:val="105"/>
        </w:rPr>
        <w:t>support</w:t>
      </w:r>
    </w:p>
    <w:p w14:paraId="0D020737" w14:textId="77777777" w:rsidR="00D67C1E" w:rsidRPr="00283806" w:rsidRDefault="001265CA">
      <w:pPr>
        <w:pStyle w:val="BodyText"/>
        <w:spacing w:before="4" w:line="225" w:lineRule="auto"/>
      </w:pPr>
      <w:r w:rsidRPr="00283806">
        <w:rPr>
          <w:w w:val="105"/>
        </w:rPr>
        <w:t>EPA’s proposed leak rate threshold of 20 percent for commercial refrigeration appliances and suggested lower targets</w:t>
      </w:r>
      <w:r w:rsidRPr="00283806">
        <w:rPr>
          <w:spacing w:val="40"/>
          <w:w w:val="105"/>
        </w:rPr>
        <w:t xml:space="preserve"> </w:t>
      </w:r>
      <w:r w:rsidRPr="00283806">
        <w:rPr>
          <w:w w:val="105"/>
        </w:rPr>
        <w:t>to</w:t>
      </w:r>
      <w:r w:rsidRPr="00283806">
        <w:rPr>
          <w:spacing w:val="40"/>
          <w:w w:val="105"/>
        </w:rPr>
        <w:t xml:space="preserve"> </w:t>
      </w:r>
      <w:r w:rsidRPr="00283806">
        <w:rPr>
          <w:w w:val="105"/>
        </w:rPr>
        <w:t>ensure</w:t>
      </w:r>
      <w:r w:rsidRPr="00283806">
        <w:rPr>
          <w:spacing w:val="40"/>
          <w:w w:val="105"/>
        </w:rPr>
        <w:t xml:space="preserve"> </w:t>
      </w:r>
      <w:r w:rsidRPr="00283806">
        <w:rPr>
          <w:w w:val="105"/>
        </w:rPr>
        <w:t>climate</w:t>
      </w:r>
      <w:r w:rsidRPr="00283806">
        <w:rPr>
          <w:spacing w:val="40"/>
          <w:w w:val="105"/>
        </w:rPr>
        <w:t xml:space="preserve"> </w:t>
      </w:r>
      <w:r w:rsidRPr="00283806">
        <w:rPr>
          <w:w w:val="105"/>
        </w:rPr>
        <w:t>and</w:t>
      </w:r>
      <w:r w:rsidRPr="00283806">
        <w:rPr>
          <w:spacing w:val="40"/>
          <w:w w:val="105"/>
        </w:rPr>
        <w:t xml:space="preserve"> </w:t>
      </w:r>
      <w:r w:rsidRPr="00283806">
        <w:rPr>
          <w:w w:val="105"/>
        </w:rPr>
        <w:t>economic benefits. Commenters recommended</w:t>
      </w:r>
      <w:r w:rsidRPr="00283806">
        <w:rPr>
          <w:spacing w:val="80"/>
          <w:w w:val="105"/>
        </w:rPr>
        <w:t xml:space="preserve"> </w:t>
      </w:r>
      <w:r w:rsidRPr="00283806">
        <w:rPr>
          <w:w w:val="105"/>
        </w:rPr>
        <w:t xml:space="preserve">EPA lower the applicable leak rate to 15 percent. One commenter incorrectly stated that the </w:t>
      </w:r>
      <w:proofErr w:type="spellStart"/>
      <w:r w:rsidRPr="00283806">
        <w:rPr>
          <w:w w:val="105"/>
        </w:rPr>
        <w:t>GreenChill</w:t>
      </w:r>
      <w:proofErr w:type="spellEnd"/>
      <w:r w:rsidRPr="00283806">
        <w:rPr>
          <w:w w:val="105"/>
        </w:rPr>
        <w:t xml:space="preserve"> voluntary program</w:t>
      </w:r>
      <w:r w:rsidRPr="00283806">
        <w:rPr>
          <w:spacing w:val="-3"/>
          <w:w w:val="105"/>
        </w:rPr>
        <w:t xml:space="preserve"> </w:t>
      </w:r>
      <w:r w:rsidRPr="00283806">
        <w:rPr>
          <w:w w:val="105"/>
        </w:rPr>
        <w:t>requires</w:t>
      </w:r>
      <w:r w:rsidRPr="00283806">
        <w:rPr>
          <w:spacing w:val="-3"/>
          <w:w w:val="105"/>
        </w:rPr>
        <w:t xml:space="preserve"> </w:t>
      </w:r>
      <w:r w:rsidRPr="00283806">
        <w:rPr>
          <w:w w:val="105"/>
        </w:rPr>
        <w:t>a</w:t>
      </w:r>
      <w:r w:rsidRPr="00283806">
        <w:rPr>
          <w:spacing w:val="-3"/>
          <w:w w:val="105"/>
        </w:rPr>
        <w:t xml:space="preserve"> </w:t>
      </w:r>
      <w:r w:rsidRPr="00283806">
        <w:rPr>
          <w:w w:val="105"/>
        </w:rPr>
        <w:t>maximum</w:t>
      </w:r>
      <w:r w:rsidRPr="00283806">
        <w:rPr>
          <w:spacing w:val="-3"/>
          <w:w w:val="105"/>
        </w:rPr>
        <w:t xml:space="preserve"> </w:t>
      </w:r>
      <w:r w:rsidRPr="00283806">
        <w:rPr>
          <w:w w:val="105"/>
        </w:rPr>
        <w:t>15</w:t>
      </w:r>
      <w:r w:rsidRPr="00283806">
        <w:rPr>
          <w:spacing w:val="-3"/>
          <w:w w:val="105"/>
        </w:rPr>
        <w:t xml:space="preserve"> </w:t>
      </w:r>
      <w:r w:rsidRPr="00283806">
        <w:rPr>
          <w:w w:val="105"/>
        </w:rPr>
        <w:t xml:space="preserve">percent leak rate for stores and 5 percent for the platinum standard, which over half of certified stores in this program have </w:t>
      </w:r>
      <w:r w:rsidRPr="00283806">
        <w:rPr>
          <w:spacing w:val="-2"/>
          <w:w w:val="105"/>
        </w:rPr>
        <w:t>achieved.</w:t>
      </w:r>
    </w:p>
    <w:p w14:paraId="21DB9316" w14:textId="77777777" w:rsidR="00D67C1E" w:rsidRPr="00283806" w:rsidRDefault="001265CA">
      <w:pPr>
        <w:pStyle w:val="BodyText"/>
        <w:spacing w:line="175" w:lineRule="exact"/>
        <w:ind w:left="340"/>
      </w:pPr>
      <w:r w:rsidRPr="00283806">
        <w:rPr>
          <w:w w:val="105"/>
        </w:rPr>
        <w:t>EPA</w:t>
      </w:r>
      <w:r w:rsidRPr="00283806">
        <w:rPr>
          <w:spacing w:val="21"/>
          <w:w w:val="105"/>
        </w:rPr>
        <w:t xml:space="preserve"> </w:t>
      </w:r>
      <w:r w:rsidRPr="00283806">
        <w:rPr>
          <w:w w:val="105"/>
        </w:rPr>
        <w:t>received</w:t>
      </w:r>
      <w:r w:rsidRPr="00283806">
        <w:rPr>
          <w:spacing w:val="21"/>
          <w:w w:val="105"/>
        </w:rPr>
        <w:t xml:space="preserve"> </w:t>
      </w:r>
      <w:r w:rsidRPr="00283806">
        <w:rPr>
          <w:w w:val="105"/>
        </w:rPr>
        <w:t>similar</w:t>
      </w:r>
      <w:r w:rsidRPr="00283806">
        <w:rPr>
          <w:spacing w:val="21"/>
          <w:w w:val="105"/>
        </w:rPr>
        <w:t xml:space="preserve"> </w:t>
      </w:r>
      <w:r w:rsidRPr="00283806">
        <w:rPr>
          <w:spacing w:val="-2"/>
          <w:w w:val="105"/>
        </w:rPr>
        <w:t>comments</w:t>
      </w:r>
    </w:p>
    <w:p w14:paraId="7FA67F1E" w14:textId="77777777" w:rsidR="00D67C1E" w:rsidRPr="00283806" w:rsidRDefault="001265CA">
      <w:pPr>
        <w:pStyle w:val="BodyText"/>
        <w:spacing w:before="3" w:line="225" w:lineRule="auto"/>
        <w:ind w:right="78"/>
      </w:pPr>
      <w:r w:rsidRPr="00283806">
        <w:rPr>
          <w:w w:val="105"/>
        </w:rPr>
        <w:t>regarding the 30 percent leak rate threshold for IPR. Several commenters recommended EPA lower the applicable leak rate for IPR to 20 percent. The commenters also stated that the 20 percent threshold would align with CARB’s refrigerant management</w:t>
      </w:r>
      <w:r w:rsidRPr="00283806">
        <w:rPr>
          <w:spacing w:val="40"/>
          <w:w w:val="105"/>
        </w:rPr>
        <w:t xml:space="preserve"> </w:t>
      </w:r>
      <w:r w:rsidRPr="00283806">
        <w:rPr>
          <w:w w:val="105"/>
        </w:rPr>
        <w:t>program and push more facilities to require mandatory repairs. One commenter stated that an IPR system</w:t>
      </w:r>
      <w:r w:rsidRPr="00283806">
        <w:rPr>
          <w:spacing w:val="40"/>
          <w:w w:val="105"/>
        </w:rPr>
        <w:t xml:space="preserve"> </w:t>
      </w:r>
      <w:r w:rsidRPr="00283806">
        <w:rPr>
          <w:w w:val="105"/>
        </w:rPr>
        <w:t>can leak a quarter of its full charge without triggering any leak repair requirements. The commenter asserted that a facility leaking 25 percent of its refrigerant annually will leak out five times as much refrigerant over the</w:t>
      </w:r>
      <w:r w:rsidRPr="00283806">
        <w:rPr>
          <w:spacing w:val="40"/>
          <w:w w:val="105"/>
        </w:rPr>
        <w:t xml:space="preserve"> </w:t>
      </w:r>
      <w:r w:rsidRPr="00283806">
        <w:rPr>
          <w:w w:val="105"/>
        </w:rPr>
        <w:t>course of its life as will be available to recover when it is eventually retired.</w:t>
      </w:r>
    </w:p>
    <w:p w14:paraId="316790B8" w14:textId="77777777" w:rsidR="00D67C1E" w:rsidRPr="00283806" w:rsidRDefault="001265CA">
      <w:pPr>
        <w:pStyle w:val="BodyText"/>
        <w:spacing w:line="225" w:lineRule="auto"/>
        <w:ind w:right="75"/>
      </w:pPr>
      <w:r w:rsidRPr="00283806">
        <w:rPr>
          <w:w w:val="105"/>
        </w:rPr>
        <w:t>The commenter also stated that trigger leak</w:t>
      </w:r>
      <w:r w:rsidRPr="00283806">
        <w:rPr>
          <w:spacing w:val="-3"/>
          <w:w w:val="105"/>
        </w:rPr>
        <w:t xml:space="preserve"> </w:t>
      </w:r>
      <w:r w:rsidRPr="00283806">
        <w:rPr>
          <w:w w:val="105"/>
        </w:rPr>
        <w:t>rates</w:t>
      </w:r>
      <w:r w:rsidRPr="00283806">
        <w:rPr>
          <w:spacing w:val="-3"/>
          <w:w w:val="105"/>
        </w:rPr>
        <w:t xml:space="preserve"> </w:t>
      </w:r>
      <w:r w:rsidRPr="00283806">
        <w:rPr>
          <w:w w:val="105"/>
        </w:rPr>
        <w:t>create</w:t>
      </w:r>
      <w:r w:rsidRPr="00283806">
        <w:rPr>
          <w:spacing w:val="-3"/>
          <w:w w:val="105"/>
        </w:rPr>
        <w:t xml:space="preserve"> </w:t>
      </w:r>
      <w:r w:rsidRPr="00283806">
        <w:rPr>
          <w:w w:val="105"/>
        </w:rPr>
        <w:t>a</w:t>
      </w:r>
      <w:r w:rsidRPr="00283806">
        <w:rPr>
          <w:spacing w:val="-3"/>
          <w:w w:val="105"/>
        </w:rPr>
        <w:t xml:space="preserve"> </w:t>
      </w:r>
      <w:r w:rsidRPr="00283806">
        <w:rPr>
          <w:w w:val="105"/>
        </w:rPr>
        <w:t>perverse</w:t>
      </w:r>
      <w:r w:rsidRPr="00283806">
        <w:rPr>
          <w:spacing w:val="-3"/>
          <w:w w:val="105"/>
        </w:rPr>
        <w:t xml:space="preserve"> </w:t>
      </w:r>
      <w:r w:rsidRPr="00283806">
        <w:rPr>
          <w:w w:val="105"/>
        </w:rPr>
        <w:t>incentive</w:t>
      </w:r>
      <w:r w:rsidRPr="00283806">
        <w:rPr>
          <w:spacing w:val="-3"/>
          <w:w w:val="105"/>
        </w:rPr>
        <w:t xml:space="preserve"> </w:t>
      </w:r>
      <w:r w:rsidRPr="00283806">
        <w:rPr>
          <w:w w:val="105"/>
        </w:rPr>
        <w:t>for underreporting and repairing leaks and suggested the Agency revisit these thresholds in the future. Another commenter suggested EPA instate a 10 percent leak rate for IPR chillers specifically because they are compact, sealed appliances with a similar design</w:t>
      </w:r>
      <w:r w:rsidRPr="00283806">
        <w:rPr>
          <w:spacing w:val="40"/>
          <w:w w:val="105"/>
        </w:rPr>
        <w:t xml:space="preserve"> </w:t>
      </w:r>
      <w:r w:rsidRPr="00283806">
        <w:rPr>
          <w:w w:val="105"/>
        </w:rPr>
        <w:t>to comfort cooling appliances that have</w:t>
      </w:r>
      <w:r w:rsidRPr="00283806">
        <w:rPr>
          <w:spacing w:val="80"/>
          <w:w w:val="105"/>
        </w:rPr>
        <w:t xml:space="preserve"> </w:t>
      </w:r>
      <w:r w:rsidRPr="00283806">
        <w:rPr>
          <w:w w:val="105"/>
        </w:rPr>
        <w:t>a 10 percent leak rate threshold.</w:t>
      </w:r>
    </w:p>
    <w:p w14:paraId="6D27AF31" w14:textId="77777777" w:rsidR="00D67C1E" w:rsidRPr="00283806" w:rsidRDefault="001265CA">
      <w:pPr>
        <w:pStyle w:val="BodyText"/>
        <w:spacing w:line="225" w:lineRule="auto"/>
        <w:ind w:right="39"/>
      </w:pPr>
      <w:r w:rsidRPr="00283806">
        <w:rPr>
          <w:w w:val="105"/>
        </w:rPr>
        <w:t xml:space="preserve">Another commenter suggested the </w:t>
      </w:r>
      <w:proofErr w:type="gramStart"/>
      <w:r w:rsidRPr="00283806">
        <w:rPr>
          <w:w w:val="105"/>
        </w:rPr>
        <w:t>IPR</w:t>
      </w:r>
      <w:proofErr w:type="gramEnd"/>
      <w:r w:rsidRPr="00283806">
        <w:rPr>
          <w:w w:val="105"/>
        </w:rPr>
        <w:t xml:space="preserve"> and comfort cooling leak rates should align with Washington State’s requirements of 24 percent and 8 percent, respectively. The commenter also urged EPA to consider setting a</w:t>
      </w:r>
      <w:r w:rsidRPr="00283806">
        <w:rPr>
          <w:spacing w:val="80"/>
          <w:w w:val="105"/>
        </w:rPr>
        <w:t xml:space="preserve"> </w:t>
      </w:r>
      <w:r w:rsidRPr="00283806">
        <w:rPr>
          <w:w w:val="105"/>
        </w:rPr>
        <w:t xml:space="preserve">time frame to revisit reducing these leak thresholds to provide greater climate benefits and guarantee that leak detection systems meet minimum </w:t>
      </w:r>
      <w:r w:rsidRPr="00283806">
        <w:rPr>
          <w:spacing w:val="-2"/>
          <w:w w:val="105"/>
        </w:rPr>
        <w:t>standards.</w:t>
      </w:r>
    </w:p>
    <w:p w14:paraId="2678EE87" w14:textId="77777777" w:rsidR="00D67C1E" w:rsidRPr="00283806" w:rsidRDefault="001265CA">
      <w:pPr>
        <w:pStyle w:val="BodyText"/>
        <w:spacing w:line="225" w:lineRule="auto"/>
        <w:ind w:right="78" w:firstLine="180"/>
      </w:pPr>
      <w:r w:rsidRPr="00283806">
        <w:rPr>
          <w:rFonts w:ascii="Book Antiqua"/>
          <w:i/>
          <w:w w:val="105"/>
        </w:rPr>
        <w:t>Response:</w:t>
      </w:r>
      <w:r w:rsidRPr="00283806">
        <w:rPr>
          <w:rFonts w:ascii="Book Antiqua"/>
          <w:i/>
          <w:spacing w:val="40"/>
          <w:w w:val="105"/>
        </w:rPr>
        <w:t xml:space="preserve"> </w:t>
      </w:r>
      <w:r w:rsidRPr="00283806">
        <w:rPr>
          <w:w w:val="105"/>
        </w:rPr>
        <w:t>The</w:t>
      </w:r>
      <w:r w:rsidRPr="00283806">
        <w:rPr>
          <w:spacing w:val="40"/>
          <w:w w:val="105"/>
        </w:rPr>
        <w:t xml:space="preserve"> </w:t>
      </w:r>
      <w:r w:rsidRPr="00283806">
        <w:rPr>
          <w:w w:val="105"/>
        </w:rPr>
        <w:t>Agency</w:t>
      </w:r>
      <w:r w:rsidRPr="00283806">
        <w:rPr>
          <w:spacing w:val="40"/>
          <w:w w:val="105"/>
        </w:rPr>
        <w:t xml:space="preserve"> </w:t>
      </w:r>
      <w:r w:rsidRPr="00283806">
        <w:rPr>
          <w:w w:val="105"/>
        </w:rPr>
        <w:t>is</w:t>
      </w:r>
      <w:r w:rsidRPr="00283806">
        <w:rPr>
          <w:spacing w:val="40"/>
          <w:w w:val="105"/>
        </w:rPr>
        <w:t xml:space="preserve"> </w:t>
      </w:r>
      <w:r w:rsidRPr="00283806">
        <w:rPr>
          <w:w w:val="105"/>
        </w:rPr>
        <w:t>finalizing</w:t>
      </w:r>
      <w:r w:rsidRPr="00283806">
        <w:rPr>
          <w:spacing w:val="40"/>
          <w:w w:val="105"/>
        </w:rPr>
        <w:t xml:space="preserve"> </w:t>
      </w:r>
      <w:r w:rsidRPr="00283806">
        <w:rPr>
          <w:w w:val="105"/>
        </w:rPr>
        <w:t xml:space="preserve">the leak rate thresholds as proposed. When developing the proposed rule, the Agency considered </w:t>
      </w:r>
      <w:proofErr w:type="gramStart"/>
      <w:r w:rsidRPr="00283806">
        <w:rPr>
          <w:w w:val="105"/>
        </w:rPr>
        <w:t>a number of</w:t>
      </w:r>
      <w:proofErr w:type="gramEnd"/>
      <w:r w:rsidRPr="00283806">
        <w:rPr>
          <w:w w:val="105"/>
        </w:rPr>
        <w:t xml:space="preserve"> options for the appropriate leak rate thresholds for commercial refrigeration, IPR, and</w:t>
      </w:r>
    </w:p>
    <w:p w14:paraId="0863711C" w14:textId="77777777" w:rsidR="00D67C1E" w:rsidRPr="00283806" w:rsidRDefault="001265CA">
      <w:pPr>
        <w:pStyle w:val="BodyText"/>
        <w:spacing w:before="134" w:line="228" w:lineRule="auto"/>
        <w:ind w:left="143" w:right="55"/>
      </w:pPr>
      <w:r w:rsidRPr="00283806">
        <w:br w:type="column"/>
      </w:r>
      <w:r w:rsidRPr="00283806">
        <w:rPr>
          <w:w w:val="105"/>
        </w:rPr>
        <w:t>comfort cooling and decided on</w:t>
      </w:r>
      <w:r w:rsidRPr="00283806">
        <w:rPr>
          <w:spacing w:val="40"/>
          <w:w w:val="105"/>
        </w:rPr>
        <w:t xml:space="preserve"> </w:t>
      </w:r>
      <w:r w:rsidRPr="00283806">
        <w:rPr>
          <w:w w:val="105"/>
        </w:rPr>
        <w:t>proposed requirements that were consistent with the trigger rates that were finalized in the 2016 CAA Section 608 Rule. Under the 2016 CAA Section 608 Rule, EPA determined that lowering the leak rate thresholds was reasonable when considering the compliance costs, savings, environmental benefits and fewer emissions of both ODS and, at the time, non-exempt substitute refrigerants (</w:t>
      </w:r>
      <w:r w:rsidRPr="00283806">
        <w:rPr>
          <w:rFonts w:ascii="Book Antiqua"/>
          <w:i/>
          <w:w w:val="105"/>
        </w:rPr>
        <w:t xml:space="preserve">e.g., </w:t>
      </w:r>
      <w:r w:rsidRPr="00283806">
        <w:rPr>
          <w:w w:val="105"/>
        </w:rPr>
        <w:t>HFCs). The Agency found it</w:t>
      </w:r>
      <w:r w:rsidRPr="00283806">
        <w:rPr>
          <w:spacing w:val="80"/>
          <w:w w:val="105"/>
        </w:rPr>
        <w:t xml:space="preserve"> </w:t>
      </w:r>
      <w:r w:rsidRPr="00283806">
        <w:rPr>
          <w:w w:val="105"/>
        </w:rPr>
        <w:t>prudent to align the leak rate thresholds in this final rule with CAA section 608 based on similar factors. Further, the alignment of this provision with leak</w:t>
      </w:r>
      <w:r w:rsidRPr="00283806">
        <w:rPr>
          <w:spacing w:val="80"/>
          <w:w w:val="105"/>
        </w:rPr>
        <w:t xml:space="preserve"> </w:t>
      </w:r>
      <w:r w:rsidRPr="00283806">
        <w:rPr>
          <w:w w:val="105"/>
        </w:rPr>
        <w:t>rate thresholds under CAA section 608 should assist in facilitating compliance with the provision, as owner/operators should be familiar with the similar requirements under CAA section 608.</w:t>
      </w:r>
    </w:p>
    <w:p w14:paraId="69F6FE42" w14:textId="77777777" w:rsidR="00D67C1E" w:rsidRPr="00283806" w:rsidRDefault="001265CA">
      <w:pPr>
        <w:pStyle w:val="BodyText"/>
        <w:spacing w:before="19" w:line="228" w:lineRule="auto"/>
        <w:ind w:left="143" w:right="67"/>
      </w:pPr>
      <w:r w:rsidRPr="00283806">
        <w:rPr>
          <w:w w:val="105"/>
        </w:rPr>
        <w:t>EPA also notes that this rulemaking extends the leak repair requirements to</w:t>
      </w:r>
      <w:r w:rsidRPr="00283806">
        <w:rPr>
          <w:spacing w:val="80"/>
          <w:w w:val="105"/>
        </w:rPr>
        <w:t xml:space="preserve"> </w:t>
      </w:r>
      <w:r w:rsidRPr="00283806">
        <w:rPr>
          <w:w w:val="105"/>
        </w:rPr>
        <w:t>a larger group of appliances that were previously not subject to the leak repair requirements under CAA section 608.</w:t>
      </w:r>
      <w:r w:rsidRPr="00283806">
        <w:rPr>
          <w:spacing w:val="40"/>
          <w:w w:val="105"/>
        </w:rPr>
        <w:t xml:space="preserve"> </w:t>
      </w:r>
      <w:r w:rsidRPr="00283806">
        <w:rPr>
          <w:w w:val="105"/>
        </w:rPr>
        <w:t xml:space="preserve">The Agency wants to ensure that all appliances subject to the leak repair requirements </w:t>
      </w:r>
      <w:proofErr w:type="gramStart"/>
      <w:r w:rsidRPr="00283806">
        <w:rPr>
          <w:w w:val="105"/>
        </w:rPr>
        <w:t>are able to</w:t>
      </w:r>
      <w:proofErr w:type="gramEnd"/>
      <w:r w:rsidRPr="00283806">
        <w:rPr>
          <w:w w:val="105"/>
        </w:rPr>
        <w:t xml:space="preserve"> meet the standards in the provision, and lowering the leak rates at this time may further limit compliance with the provisions of this final rule. Commenters’ views</w:t>
      </w:r>
      <w:r w:rsidRPr="00283806">
        <w:rPr>
          <w:spacing w:val="40"/>
          <w:w w:val="105"/>
        </w:rPr>
        <w:t xml:space="preserve"> </w:t>
      </w:r>
      <w:r w:rsidRPr="00283806">
        <w:rPr>
          <w:w w:val="105"/>
        </w:rPr>
        <w:t xml:space="preserve">include those expressing support for consistency and those suggesting </w:t>
      </w:r>
      <w:proofErr w:type="gramStart"/>
      <w:r w:rsidRPr="00283806">
        <w:rPr>
          <w:w w:val="105"/>
        </w:rPr>
        <w:t>more</w:t>
      </w:r>
      <w:r w:rsidRPr="00283806">
        <w:rPr>
          <w:spacing w:val="40"/>
          <w:w w:val="105"/>
        </w:rPr>
        <w:t xml:space="preserve"> </w:t>
      </w:r>
      <w:r w:rsidRPr="00283806">
        <w:rPr>
          <w:w w:val="105"/>
        </w:rPr>
        <w:t>or less stringent</w:t>
      </w:r>
      <w:proofErr w:type="gramEnd"/>
      <w:r w:rsidRPr="00283806">
        <w:rPr>
          <w:w w:val="105"/>
        </w:rPr>
        <w:t xml:space="preserve"> trigger rates. None of these commenters provided sufficient information to conclude that a </w:t>
      </w:r>
      <w:proofErr w:type="gramStart"/>
      <w:r w:rsidRPr="00283806">
        <w:rPr>
          <w:w w:val="105"/>
        </w:rPr>
        <w:t>more or less stringent</w:t>
      </w:r>
      <w:proofErr w:type="gramEnd"/>
      <w:r w:rsidRPr="00283806">
        <w:rPr>
          <w:w w:val="105"/>
        </w:rPr>
        <w:t xml:space="preserve"> trigger rate is appropriate. Therefore,</w:t>
      </w:r>
      <w:r w:rsidRPr="00283806">
        <w:rPr>
          <w:spacing w:val="40"/>
          <w:w w:val="105"/>
        </w:rPr>
        <w:t xml:space="preserve"> </w:t>
      </w:r>
      <w:r w:rsidRPr="00283806">
        <w:rPr>
          <w:w w:val="105"/>
        </w:rPr>
        <w:t>EPA</w:t>
      </w:r>
      <w:r w:rsidRPr="00283806">
        <w:rPr>
          <w:spacing w:val="40"/>
          <w:w w:val="105"/>
        </w:rPr>
        <w:t xml:space="preserve"> </w:t>
      </w:r>
      <w:r w:rsidRPr="00283806">
        <w:rPr>
          <w:w w:val="105"/>
        </w:rPr>
        <w:t>is</w:t>
      </w:r>
      <w:r w:rsidRPr="00283806">
        <w:rPr>
          <w:spacing w:val="40"/>
          <w:w w:val="105"/>
        </w:rPr>
        <w:t xml:space="preserve"> </w:t>
      </w:r>
      <w:r w:rsidRPr="00283806">
        <w:rPr>
          <w:w w:val="105"/>
        </w:rPr>
        <w:t>finalizing,</w:t>
      </w:r>
      <w:r w:rsidRPr="00283806">
        <w:rPr>
          <w:spacing w:val="40"/>
          <w:w w:val="105"/>
        </w:rPr>
        <w:t xml:space="preserve"> </w:t>
      </w:r>
      <w:r w:rsidRPr="00283806">
        <w:rPr>
          <w:w w:val="105"/>
        </w:rPr>
        <w:t>as proposed, trigger rates that generally align with 40 CFR part 82, subpart F, in agreement with commenters indicating</w:t>
      </w:r>
      <w:r w:rsidRPr="00283806">
        <w:rPr>
          <w:spacing w:val="80"/>
          <w:w w:val="150"/>
        </w:rPr>
        <w:t xml:space="preserve"> </w:t>
      </w:r>
      <w:r w:rsidRPr="00283806">
        <w:rPr>
          <w:w w:val="105"/>
        </w:rPr>
        <w:t>a preference for consistency. EPA notes that we may revisit the leak rate thresholds in the future through a separate notice-and-comment</w:t>
      </w:r>
      <w:r w:rsidRPr="00283806">
        <w:rPr>
          <w:spacing w:val="40"/>
          <w:w w:val="105"/>
        </w:rPr>
        <w:t xml:space="preserve"> </w:t>
      </w:r>
      <w:r w:rsidRPr="00283806">
        <w:rPr>
          <w:w w:val="105"/>
        </w:rPr>
        <w:t>rulemaking if the Agency finds that the alternate thresholds suggested by commenters are warranted.</w:t>
      </w:r>
    </w:p>
    <w:p w14:paraId="438527EE" w14:textId="77777777" w:rsidR="00D67C1E" w:rsidRPr="00283806" w:rsidRDefault="001265CA">
      <w:pPr>
        <w:pStyle w:val="BodyText"/>
        <w:spacing w:line="183" w:lineRule="exact"/>
        <w:ind w:left="143"/>
      </w:pPr>
      <w:r w:rsidRPr="00283806">
        <w:rPr>
          <w:w w:val="105"/>
        </w:rPr>
        <w:t>Furthermore,</w:t>
      </w:r>
      <w:r w:rsidRPr="00283806">
        <w:rPr>
          <w:spacing w:val="9"/>
          <w:w w:val="105"/>
        </w:rPr>
        <w:t xml:space="preserve"> </w:t>
      </w:r>
      <w:r w:rsidRPr="00283806">
        <w:rPr>
          <w:w w:val="105"/>
        </w:rPr>
        <w:t>the</w:t>
      </w:r>
      <w:r w:rsidRPr="00283806">
        <w:rPr>
          <w:spacing w:val="10"/>
          <w:w w:val="105"/>
        </w:rPr>
        <w:t xml:space="preserve"> </w:t>
      </w:r>
      <w:r w:rsidRPr="00283806">
        <w:rPr>
          <w:w w:val="105"/>
        </w:rPr>
        <w:t>Agency</w:t>
      </w:r>
      <w:r w:rsidRPr="00283806">
        <w:rPr>
          <w:spacing w:val="10"/>
          <w:w w:val="105"/>
        </w:rPr>
        <w:t xml:space="preserve"> </w:t>
      </w:r>
      <w:r w:rsidRPr="00283806">
        <w:rPr>
          <w:w w:val="105"/>
        </w:rPr>
        <w:t>disagrees</w:t>
      </w:r>
      <w:r w:rsidRPr="00283806">
        <w:rPr>
          <w:spacing w:val="9"/>
          <w:w w:val="105"/>
        </w:rPr>
        <w:t xml:space="preserve"> </w:t>
      </w:r>
      <w:r w:rsidRPr="00283806">
        <w:rPr>
          <w:spacing w:val="-4"/>
          <w:w w:val="105"/>
        </w:rPr>
        <w:t>with</w:t>
      </w:r>
    </w:p>
    <w:p w14:paraId="6659BC43" w14:textId="77777777" w:rsidR="00D67C1E" w:rsidRPr="00283806" w:rsidRDefault="001265CA">
      <w:pPr>
        <w:pStyle w:val="BodyText"/>
        <w:spacing w:before="3" w:line="228" w:lineRule="auto"/>
        <w:ind w:left="143" w:right="24"/>
      </w:pPr>
      <w:r w:rsidRPr="00283806">
        <w:rPr>
          <w:w w:val="105"/>
        </w:rPr>
        <w:t>one</w:t>
      </w:r>
      <w:r w:rsidRPr="00283806">
        <w:rPr>
          <w:spacing w:val="-4"/>
          <w:w w:val="105"/>
        </w:rPr>
        <w:t xml:space="preserve"> </w:t>
      </w:r>
      <w:r w:rsidRPr="00283806">
        <w:rPr>
          <w:w w:val="105"/>
        </w:rPr>
        <w:t>commenter’s</w:t>
      </w:r>
      <w:r w:rsidRPr="00283806">
        <w:rPr>
          <w:spacing w:val="-4"/>
          <w:w w:val="105"/>
        </w:rPr>
        <w:t xml:space="preserve"> </w:t>
      </w:r>
      <w:r w:rsidRPr="00283806">
        <w:rPr>
          <w:w w:val="105"/>
        </w:rPr>
        <w:t>argument</w:t>
      </w:r>
      <w:r w:rsidRPr="00283806">
        <w:rPr>
          <w:spacing w:val="-4"/>
          <w:w w:val="105"/>
        </w:rPr>
        <w:t xml:space="preserve"> </w:t>
      </w:r>
      <w:r w:rsidRPr="00283806">
        <w:rPr>
          <w:w w:val="105"/>
        </w:rPr>
        <w:t>that</w:t>
      </w:r>
      <w:r w:rsidRPr="00283806">
        <w:rPr>
          <w:spacing w:val="-4"/>
          <w:w w:val="105"/>
        </w:rPr>
        <w:t xml:space="preserve"> </w:t>
      </w:r>
      <w:r w:rsidRPr="00283806">
        <w:rPr>
          <w:w w:val="105"/>
        </w:rPr>
        <w:t>leak</w:t>
      </w:r>
      <w:r w:rsidRPr="00283806">
        <w:rPr>
          <w:spacing w:val="-4"/>
          <w:w w:val="105"/>
        </w:rPr>
        <w:t xml:space="preserve"> </w:t>
      </w:r>
      <w:r w:rsidRPr="00283806">
        <w:rPr>
          <w:w w:val="105"/>
        </w:rPr>
        <w:t>rate thresholds create perverse incentives to underreport leaks and avoid repair of appliances. Leak rate thresholds have been utilized as a method of compliance for leak repair for nearly 30 years under the rationale that fixing all leaks in an appliance may hamper compliance and force appliances into early retrofit or retirement before the end of their useful life.</w:t>
      </w:r>
      <w:r w:rsidRPr="00283806">
        <w:rPr>
          <w:spacing w:val="40"/>
          <w:w w:val="105"/>
        </w:rPr>
        <w:t xml:space="preserve"> </w:t>
      </w:r>
      <w:r w:rsidRPr="00283806">
        <w:rPr>
          <w:w w:val="105"/>
        </w:rPr>
        <w:t>EPA</w:t>
      </w:r>
      <w:r w:rsidRPr="00283806">
        <w:rPr>
          <w:spacing w:val="40"/>
          <w:w w:val="105"/>
        </w:rPr>
        <w:t xml:space="preserve"> </w:t>
      </w:r>
      <w:r w:rsidRPr="00283806">
        <w:rPr>
          <w:w w:val="105"/>
        </w:rPr>
        <w:t>acknowledges</w:t>
      </w:r>
      <w:r w:rsidRPr="00283806">
        <w:rPr>
          <w:spacing w:val="40"/>
          <w:w w:val="105"/>
        </w:rPr>
        <w:t xml:space="preserve"> </w:t>
      </w:r>
      <w:r w:rsidRPr="00283806">
        <w:rPr>
          <w:w w:val="105"/>
        </w:rPr>
        <w:t>that,</w:t>
      </w:r>
      <w:r w:rsidRPr="00283806">
        <w:rPr>
          <w:spacing w:val="40"/>
          <w:w w:val="105"/>
        </w:rPr>
        <w:t xml:space="preserve"> </w:t>
      </w:r>
      <w:r w:rsidRPr="00283806">
        <w:rPr>
          <w:w w:val="105"/>
        </w:rPr>
        <w:t>for example, small pin hole leaks in a complex IPR system may be hard to find and repair and ultimately have a low</w:t>
      </w:r>
      <w:r w:rsidRPr="00283806">
        <w:rPr>
          <w:spacing w:val="80"/>
          <w:w w:val="105"/>
        </w:rPr>
        <w:t xml:space="preserve"> </w:t>
      </w:r>
      <w:r w:rsidRPr="00283806">
        <w:rPr>
          <w:w w:val="105"/>
        </w:rPr>
        <w:t>leak rate compared to larger leak events that push a refrigerant-containing appliance above the applicable leak rate</w:t>
      </w:r>
    </w:p>
    <w:p w14:paraId="1B983846" w14:textId="77777777" w:rsidR="00D67C1E" w:rsidRPr="00283806" w:rsidRDefault="001265CA">
      <w:pPr>
        <w:pStyle w:val="BodyText"/>
        <w:spacing w:before="132" w:line="228" w:lineRule="auto"/>
        <w:ind w:left="143" w:right="210"/>
      </w:pPr>
      <w:r w:rsidRPr="00283806">
        <w:br w:type="column"/>
      </w:r>
      <w:r w:rsidRPr="00283806">
        <w:rPr>
          <w:w w:val="105"/>
        </w:rPr>
        <w:t>threshold. As stated previously in the preamble, when the applicable leak rate is exceeded, repairing those leaks is warranted to minimize the release of refrigerants from equipment.</w:t>
      </w:r>
    </w:p>
    <w:p w14:paraId="39B3986B" w14:textId="77777777" w:rsidR="00D67C1E" w:rsidRPr="00283806" w:rsidRDefault="001265CA">
      <w:pPr>
        <w:pStyle w:val="BodyText"/>
        <w:spacing w:before="18" w:line="228" w:lineRule="auto"/>
        <w:ind w:left="143" w:right="132" w:firstLine="180"/>
      </w:pPr>
      <w:r w:rsidRPr="00283806">
        <w:rPr>
          <w:w w:val="105"/>
        </w:rPr>
        <w:t>EPA disagrees with commenters’ assertions that the leak rate thresholds would be unduly burdensome. While there are more affected appliances</w:t>
      </w:r>
      <w:r w:rsidRPr="00283806">
        <w:rPr>
          <w:spacing w:val="80"/>
          <w:w w:val="105"/>
        </w:rPr>
        <w:t xml:space="preserve"> </w:t>
      </w:r>
      <w:r w:rsidRPr="00283806">
        <w:rPr>
          <w:w w:val="105"/>
        </w:rPr>
        <w:t xml:space="preserve">under this final rule given the lower charge size threshold compared to ODS appliances, the Agency notes that </w:t>
      </w:r>
      <w:proofErr w:type="gramStart"/>
      <w:r w:rsidRPr="00283806">
        <w:rPr>
          <w:w w:val="105"/>
        </w:rPr>
        <w:t>on the whole</w:t>
      </w:r>
      <w:proofErr w:type="gramEnd"/>
      <w:r w:rsidRPr="00283806">
        <w:rPr>
          <w:w w:val="105"/>
        </w:rPr>
        <w:t xml:space="preserve">, commenters supported that 15- pound threshold. Moreover, there have been changes to </w:t>
      </w:r>
      <w:proofErr w:type="gramStart"/>
      <w:r w:rsidRPr="00283806">
        <w:rPr>
          <w:w w:val="105"/>
        </w:rPr>
        <w:t>the appliance</w:t>
      </w:r>
      <w:proofErr w:type="gramEnd"/>
      <w:r w:rsidRPr="00283806">
        <w:rPr>
          <w:w w:val="105"/>
        </w:rPr>
        <w:t xml:space="preserve"> design since the Agency first established leak repair requirements for ODS refrigerant- containing appliances. The Agency does not view applying the leak repair provisions in this final rule, specifically the applicable leak rate threshold, to appliances with a charge size between</w:t>
      </w:r>
      <w:r w:rsidRPr="00283806">
        <w:rPr>
          <w:spacing w:val="80"/>
          <w:w w:val="105"/>
        </w:rPr>
        <w:t xml:space="preserve"> </w:t>
      </w:r>
      <w:r w:rsidRPr="00283806">
        <w:rPr>
          <w:w w:val="105"/>
        </w:rPr>
        <w:t>15 and 50 pounds as unduly</w:t>
      </w:r>
      <w:r w:rsidRPr="00283806">
        <w:rPr>
          <w:spacing w:val="40"/>
          <w:w w:val="105"/>
        </w:rPr>
        <w:t xml:space="preserve"> </w:t>
      </w:r>
      <w:r w:rsidRPr="00283806">
        <w:rPr>
          <w:w w:val="105"/>
        </w:rPr>
        <w:t>burdensome. Many of the appliances</w:t>
      </w:r>
      <w:r w:rsidRPr="00283806">
        <w:rPr>
          <w:spacing w:val="40"/>
          <w:w w:val="105"/>
        </w:rPr>
        <w:t xml:space="preserve"> </w:t>
      </w:r>
      <w:r w:rsidRPr="00283806">
        <w:rPr>
          <w:w w:val="105"/>
        </w:rPr>
        <w:t>with</w:t>
      </w:r>
      <w:r w:rsidRPr="00283806">
        <w:rPr>
          <w:spacing w:val="38"/>
          <w:w w:val="105"/>
        </w:rPr>
        <w:t xml:space="preserve"> </w:t>
      </w:r>
      <w:r w:rsidRPr="00283806">
        <w:rPr>
          <w:w w:val="105"/>
        </w:rPr>
        <w:t>a</w:t>
      </w:r>
      <w:r w:rsidRPr="00283806">
        <w:rPr>
          <w:spacing w:val="38"/>
          <w:w w:val="105"/>
        </w:rPr>
        <w:t xml:space="preserve"> </w:t>
      </w:r>
      <w:r w:rsidRPr="00283806">
        <w:rPr>
          <w:w w:val="105"/>
        </w:rPr>
        <w:t>charge</w:t>
      </w:r>
      <w:r w:rsidRPr="00283806">
        <w:rPr>
          <w:spacing w:val="38"/>
          <w:w w:val="105"/>
        </w:rPr>
        <w:t xml:space="preserve"> </w:t>
      </w:r>
      <w:r w:rsidRPr="00283806">
        <w:rPr>
          <w:w w:val="105"/>
        </w:rPr>
        <w:t>size</w:t>
      </w:r>
      <w:r w:rsidRPr="00283806">
        <w:rPr>
          <w:spacing w:val="38"/>
          <w:w w:val="105"/>
        </w:rPr>
        <w:t xml:space="preserve"> </w:t>
      </w:r>
      <w:r w:rsidRPr="00283806">
        <w:rPr>
          <w:w w:val="105"/>
        </w:rPr>
        <w:t>under</w:t>
      </w:r>
      <w:r w:rsidRPr="00283806">
        <w:rPr>
          <w:spacing w:val="38"/>
          <w:w w:val="105"/>
        </w:rPr>
        <w:t xml:space="preserve"> </w:t>
      </w:r>
      <w:r w:rsidRPr="00283806">
        <w:rPr>
          <w:w w:val="105"/>
        </w:rPr>
        <w:t>50</w:t>
      </w:r>
      <w:r w:rsidRPr="00283806">
        <w:rPr>
          <w:spacing w:val="38"/>
          <w:w w:val="105"/>
        </w:rPr>
        <w:t xml:space="preserve"> </w:t>
      </w:r>
      <w:r w:rsidRPr="00283806">
        <w:rPr>
          <w:w w:val="105"/>
        </w:rPr>
        <w:t>pounds have an applicable leak rate of 10</w:t>
      </w:r>
      <w:r w:rsidRPr="00283806">
        <w:rPr>
          <w:spacing w:val="40"/>
          <w:w w:val="105"/>
        </w:rPr>
        <w:t xml:space="preserve"> </w:t>
      </w:r>
      <w:r w:rsidRPr="00283806">
        <w:rPr>
          <w:w w:val="105"/>
        </w:rPr>
        <w:t>percent (</w:t>
      </w:r>
      <w:r w:rsidRPr="00283806">
        <w:rPr>
          <w:rFonts w:ascii="Book Antiqua" w:hAnsi="Book Antiqua"/>
          <w:i/>
          <w:w w:val="105"/>
        </w:rPr>
        <w:t xml:space="preserve">e.g., </w:t>
      </w:r>
      <w:r w:rsidRPr="00283806">
        <w:rPr>
          <w:w w:val="105"/>
        </w:rPr>
        <w:t>appliances that are not IPR or commercial refrigeration); however, refrigerant-containing appliances at this charge size are at a relatively low risk</w:t>
      </w:r>
    </w:p>
    <w:p w14:paraId="39EB032F" w14:textId="77777777" w:rsidR="00D67C1E" w:rsidRPr="00283806" w:rsidRDefault="001265CA">
      <w:pPr>
        <w:pStyle w:val="BodyText"/>
        <w:spacing w:line="175" w:lineRule="exact"/>
        <w:ind w:left="143"/>
      </w:pPr>
      <w:r w:rsidRPr="00283806">
        <w:rPr>
          <w:w w:val="105"/>
        </w:rPr>
        <w:t>of</w:t>
      </w:r>
      <w:r w:rsidRPr="00283806">
        <w:rPr>
          <w:spacing w:val="9"/>
          <w:w w:val="105"/>
        </w:rPr>
        <w:t xml:space="preserve"> </w:t>
      </w:r>
      <w:r w:rsidRPr="00283806">
        <w:rPr>
          <w:w w:val="105"/>
        </w:rPr>
        <w:t>leaking</w:t>
      </w:r>
      <w:r w:rsidRPr="00283806">
        <w:rPr>
          <w:spacing w:val="9"/>
          <w:w w:val="105"/>
        </w:rPr>
        <w:t xml:space="preserve"> </w:t>
      </w:r>
      <w:r w:rsidRPr="00283806">
        <w:rPr>
          <w:w w:val="105"/>
        </w:rPr>
        <w:t>compared</w:t>
      </w:r>
      <w:r w:rsidRPr="00283806">
        <w:rPr>
          <w:spacing w:val="9"/>
          <w:w w:val="105"/>
        </w:rPr>
        <w:t xml:space="preserve"> </w:t>
      </w:r>
      <w:r w:rsidRPr="00283806">
        <w:rPr>
          <w:w w:val="105"/>
        </w:rPr>
        <w:t>to</w:t>
      </w:r>
      <w:r w:rsidRPr="00283806">
        <w:rPr>
          <w:spacing w:val="9"/>
          <w:w w:val="105"/>
        </w:rPr>
        <w:t xml:space="preserve"> </w:t>
      </w:r>
      <w:r w:rsidRPr="00283806">
        <w:rPr>
          <w:spacing w:val="-2"/>
          <w:w w:val="105"/>
        </w:rPr>
        <w:t>larger</w:t>
      </w:r>
    </w:p>
    <w:p w14:paraId="07E5F267" w14:textId="77777777" w:rsidR="00D67C1E" w:rsidRPr="00283806" w:rsidRDefault="001265CA">
      <w:pPr>
        <w:pStyle w:val="BodyText"/>
        <w:spacing w:before="3" w:line="228" w:lineRule="auto"/>
        <w:ind w:left="143" w:right="210"/>
      </w:pPr>
      <w:r w:rsidRPr="00283806">
        <w:rPr>
          <w:w w:val="105"/>
        </w:rPr>
        <w:t>appliances. Additionally, appliances closer to a charge size of 15 pounds are also more likely to be hermetically sealed and thus have a low leak potential. Furthermore, as detailed in</w:t>
      </w:r>
    </w:p>
    <w:p w14:paraId="1B91021B" w14:textId="77777777" w:rsidR="00D67C1E" w:rsidRPr="00283806" w:rsidRDefault="001265CA">
      <w:pPr>
        <w:pStyle w:val="BodyText"/>
        <w:spacing w:line="228" w:lineRule="auto"/>
        <w:ind w:left="143" w:right="210"/>
      </w:pPr>
      <w:r w:rsidRPr="00283806">
        <w:rPr>
          <w:w w:val="105"/>
        </w:rPr>
        <w:t>IV.C.2 of this preamble, EPA has</w:t>
      </w:r>
      <w:r w:rsidRPr="00283806">
        <w:rPr>
          <w:spacing w:val="80"/>
          <w:w w:val="105"/>
        </w:rPr>
        <w:t xml:space="preserve"> </w:t>
      </w:r>
      <w:r w:rsidRPr="00283806">
        <w:rPr>
          <w:w w:val="105"/>
        </w:rPr>
        <w:t xml:space="preserve">provided a narrow exemption from the leak repair provision for residential and light commercial air conditioning and heat pumps, which will further limit the number of refrigerant-containing appliance subject to the leak repair </w:t>
      </w:r>
      <w:r w:rsidRPr="00283806">
        <w:rPr>
          <w:spacing w:val="-2"/>
          <w:w w:val="105"/>
        </w:rPr>
        <w:t>requirements.</w:t>
      </w:r>
    </w:p>
    <w:p w14:paraId="250A917D" w14:textId="77777777" w:rsidR="00D67C1E" w:rsidRPr="00283806" w:rsidRDefault="001265CA">
      <w:pPr>
        <w:pStyle w:val="BodyText"/>
        <w:spacing w:before="13" w:line="228" w:lineRule="auto"/>
        <w:ind w:left="143" w:right="171" w:firstLine="180"/>
      </w:pPr>
      <w:r w:rsidRPr="00283806">
        <w:rPr>
          <w:w w:val="105"/>
        </w:rPr>
        <w:t>Further, given that HFCs are being phased</w:t>
      </w:r>
      <w:r w:rsidRPr="00283806">
        <w:rPr>
          <w:spacing w:val="40"/>
          <w:w w:val="105"/>
        </w:rPr>
        <w:t xml:space="preserve"> </w:t>
      </w:r>
      <w:r w:rsidRPr="00283806">
        <w:rPr>
          <w:w w:val="105"/>
        </w:rPr>
        <w:t>down</w:t>
      </w:r>
      <w:r w:rsidRPr="00283806">
        <w:rPr>
          <w:spacing w:val="40"/>
          <w:w w:val="105"/>
        </w:rPr>
        <w:t xml:space="preserve"> </w:t>
      </w:r>
      <w:r w:rsidRPr="00283806">
        <w:rPr>
          <w:w w:val="105"/>
        </w:rPr>
        <w:t>as</w:t>
      </w:r>
      <w:r w:rsidRPr="00283806">
        <w:rPr>
          <w:spacing w:val="40"/>
          <w:w w:val="105"/>
        </w:rPr>
        <w:t xml:space="preserve"> </w:t>
      </w:r>
      <w:r w:rsidRPr="00283806">
        <w:rPr>
          <w:w w:val="105"/>
        </w:rPr>
        <w:t>compared</w:t>
      </w:r>
      <w:r w:rsidRPr="00283806">
        <w:rPr>
          <w:spacing w:val="40"/>
          <w:w w:val="105"/>
        </w:rPr>
        <w:t xml:space="preserve"> </w:t>
      </w:r>
      <w:r w:rsidRPr="00283806">
        <w:rPr>
          <w:w w:val="105"/>
        </w:rPr>
        <w:t>to</w:t>
      </w:r>
      <w:r w:rsidRPr="00283806">
        <w:rPr>
          <w:spacing w:val="40"/>
          <w:w w:val="105"/>
        </w:rPr>
        <w:t xml:space="preserve"> </w:t>
      </w:r>
      <w:r w:rsidRPr="00283806">
        <w:rPr>
          <w:w w:val="105"/>
        </w:rPr>
        <w:t>ODS, which are being phased out, HFCs and HFC substitute refrigerants with a GWP greater than 53 can be used indefinitely. Given that there is no date by which</w:t>
      </w:r>
      <w:r w:rsidRPr="00283806">
        <w:rPr>
          <w:spacing w:val="80"/>
          <w:w w:val="105"/>
        </w:rPr>
        <w:t xml:space="preserve"> </w:t>
      </w:r>
      <w:r w:rsidRPr="00283806">
        <w:rPr>
          <w:w w:val="105"/>
        </w:rPr>
        <w:t>HFCs can longer be charged into appliances,</w:t>
      </w:r>
      <w:r w:rsidRPr="00283806">
        <w:rPr>
          <w:spacing w:val="40"/>
          <w:w w:val="105"/>
        </w:rPr>
        <w:t xml:space="preserve"> </w:t>
      </w:r>
      <w:r w:rsidRPr="00283806">
        <w:rPr>
          <w:w w:val="105"/>
        </w:rPr>
        <w:t>it</w:t>
      </w:r>
      <w:r w:rsidRPr="00283806">
        <w:rPr>
          <w:spacing w:val="40"/>
          <w:w w:val="105"/>
        </w:rPr>
        <w:t xml:space="preserve"> </w:t>
      </w:r>
      <w:r w:rsidRPr="00283806">
        <w:rPr>
          <w:w w:val="105"/>
        </w:rPr>
        <w:t>is</w:t>
      </w:r>
      <w:r w:rsidRPr="00283806">
        <w:rPr>
          <w:spacing w:val="40"/>
          <w:w w:val="105"/>
        </w:rPr>
        <w:t xml:space="preserve"> </w:t>
      </w:r>
      <w:r w:rsidRPr="00283806">
        <w:rPr>
          <w:w w:val="105"/>
        </w:rPr>
        <w:t>paramount</w:t>
      </w:r>
      <w:r w:rsidRPr="00283806">
        <w:rPr>
          <w:spacing w:val="40"/>
          <w:w w:val="105"/>
        </w:rPr>
        <w:t xml:space="preserve"> </w:t>
      </w:r>
      <w:r w:rsidRPr="00283806">
        <w:rPr>
          <w:w w:val="105"/>
        </w:rPr>
        <w:t>that</w:t>
      </w:r>
      <w:r w:rsidRPr="00283806">
        <w:rPr>
          <w:spacing w:val="40"/>
          <w:w w:val="105"/>
        </w:rPr>
        <w:t xml:space="preserve"> </w:t>
      </w:r>
      <w:r w:rsidRPr="00283806">
        <w:rPr>
          <w:w w:val="105"/>
        </w:rPr>
        <w:t>EPA take steps to prevent leaks, reduce emissions, and maximize reclamation. Additionally, because the HFC</w:t>
      </w:r>
      <w:r w:rsidRPr="00283806">
        <w:rPr>
          <w:spacing w:val="40"/>
          <w:w w:val="105"/>
        </w:rPr>
        <w:t xml:space="preserve"> </w:t>
      </w:r>
      <w:r w:rsidRPr="00283806">
        <w:rPr>
          <w:w w:val="105"/>
        </w:rPr>
        <w:t>phasedown will greatly limit the supply</w:t>
      </w:r>
      <w:r w:rsidRPr="00283806">
        <w:rPr>
          <w:spacing w:val="40"/>
          <w:w w:val="105"/>
        </w:rPr>
        <w:t xml:space="preserve"> </w:t>
      </w:r>
      <w:r w:rsidRPr="00283806">
        <w:rPr>
          <w:w w:val="105"/>
        </w:rPr>
        <w:t>of virgin HFCs available to service appliances, the timely repair of leaks is required to limit the emissions of HFCs. The</w:t>
      </w:r>
      <w:r w:rsidRPr="00283806">
        <w:rPr>
          <w:spacing w:val="40"/>
          <w:w w:val="105"/>
        </w:rPr>
        <w:t xml:space="preserve"> </w:t>
      </w:r>
      <w:r w:rsidRPr="00283806">
        <w:rPr>
          <w:w w:val="105"/>
        </w:rPr>
        <w:t>leak</w:t>
      </w:r>
      <w:r w:rsidRPr="00283806">
        <w:rPr>
          <w:spacing w:val="40"/>
          <w:w w:val="105"/>
        </w:rPr>
        <w:t xml:space="preserve"> </w:t>
      </w:r>
      <w:r w:rsidRPr="00283806">
        <w:rPr>
          <w:w w:val="105"/>
        </w:rPr>
        <w:t>rate</w:t>
      </w:r>
      <w:r w:rsidRPr="00283806">
        <w:rPr>
          <w:spacing w:val="40"/>
          <w:w w:val="105"/>
        </w:rPr>
        <w:t xml:space="preserve"> </w:t>
      </w:r>
      <w:r w:rsidRPr="00283806">
        <w:rPr>
          <w:w w:val="105"/>
        </w:rPr>
        <w:t>thresholds,</w:t>
      </w:r>
      <w:r w:rsidRPr="00283806">
        <w:rPr>
          <w:spacing w:val="40"/>
          <w:w w:val="105"/>
        </w:rPr>
        <w:t xml:space="preserve"> </w:t>
      </w:r>
      <w:r w:rsidRPr="00283806">
        <w:rPr>
          <w:w w:val="105"/>
        </w:rPr>
        <w:t>in</w:t>
      </w:r>
      <w:r w:rsidRPr="00283806">
        <w:rPr>
          <w:spacing w:val="40"/>
          <w:w w:val="105"/>
        </w:rPr>
        <w:t xml:space="preserve"> </w:t>
      </w:r>
      <w:r w:rsidRPr="00283806">
        <w:rPr>
          <w:w w:val="105"/>
        </w:rPr>
        <w:t>the</w:t>
      </w:r>
      <w:r w:rsidRPr="00283806">
        <w:rPr>
          <w:spacing w:val="40"/>
          <w:w w:val="105"/>
        </w:rPr>
        <w:t xml:space="preserve"> </w:t>
      </w:r>
      <w:r w:rsidRPr="00283806">
        <w:rPr>
          <w:w w:val="105"/>
        </w:rPr>
        <w:t>final rule, facilitate the timely repair of</w:t>
      </w:r>
      <w:r w:rsidRPr="00283806">
        <w:rPr>
          <w:spacing w:val="80"/>
          <w:w w:val="105"/>
        </w:rPr>
        <w:t xml:space="preserve"> </w:t>
      </w:r>
      <w:r w:rsidRPr="00283806">
        <w:rPr>
          <w:w w:val="105"/>
        </w:rPr>
        <w:t>leaking appliances, which will mitigate the amount of refrigerant lost and</w:t>
      </w:r>
      <w:r w:rsidRPr="00283806">
        <w:rPr>
          <w:spacing w:val="40"/>
          <w:w w:val="105"/>
        </w:rPr>
        <w:t xml:space="preserve"> </w:t>
      </w:r>
      <w:r w:rsidRPr="00283806">
        <w:rPr>
          <w:w w:val="105"/>
        </w:rPr>
        <w:t>needed</w:t>
      </w:r>
      <w:r w:rsidRPr="00283806">
        <w:rPr>
          <w:spacing w:val="40"/>
          <w:w w:val="105"/>
        </w:rPr>
        <w:t xml:space="preserve"> </w:t>
      </w:r>
      <w:r w:rsidRPr="00283806">
        <w:rPr>
          <w:w w:val="105"/>
        </w:rPr>
        <w:t>to</w:t>
      </w:r>
      <w:r w:rsidRPr="00283806">
        <w:rPr>
          <w:spacing w:val="40"/>
          <w:w w:val="105"/>
        </w:rPr>
        <w:t xml:space="preserve"> </w:t>
      </w:r>
      <w:r w:rsidRPr="00283806">
        <w:rPr>
          <w:w w:val="105"/>
        </w:rPr>
        <w:t>service</w:t>
      </w:r>
      <w:r w:rsidRPr="00283806">
        <w:rPr>
          <w:spacing w:val="40"/>
          <w:w w:val="105"/>
        </w:rPr>
        <w:t xml:space="preserve"> </w:t>
      </w:r>
      <w:r w:rsidRPr="00283806">
        <w:rPr>
          <w:w w:val="105"/>
        </w:rPr>
        <w:t>an</w:t>
      </w:r>
      <w:r w:rsidRPr="00283806">
        <w:rPr>
          <w:spacing w:val="40"/>
          <w:w w:val="105"/>
        </w:rPr>
        <w:t xml:space="preserve"> </w:t>
      </w:r>
      <w:r w:rsidRPr="00283806">
        <w:rPr>
          <w:w w:val="105"/>
        </w:rPr>
        <w:t>appliance.</w:t>
      </w:r>
      <w:r w:rsidRPr="00283806">
        <w:rPr>
          <w:spacing w:val="40"/>
          <w:w w:val="105"/>
        </w:rPr>
        <w:t xml:space="preserve"> </w:t>
      </w:r>
      <w:r w:rsidRPr="00283806">
        <w:rPr>
          <w:w w:val="105"/>
        </w:rPr>
        <w:t>Leak rate thresholds ensure owners and operators will take appropriate action to repair leaks so that their appliances are below the applicable leak rate threshold.</w:t>
      </w:r>
    </w:p>
    <w:p w14:paraId="217C2D6C"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7" w:space="40"/>
            <w:col w:w="3500" w:space="39"/>
            <w:col w:w="3624"/>
          </w:cols>
        </w:sectPr>
      </w:pPr>
    </w:p>
    <w:p w14:paraId="33E746E0" w14:textId="77777777" w:rsidR="00D67C1E" w:rsidRPr="00283806" w:rsidRDefault="001265CA">
      <w:pPr>
        <w:pStyle w:val="BodyText"/>
        <w:spacing w:before="134" w:line="228" w:lineRule="auto"/>
        <w:ind w:firstLine="180"/>
      </w:pPr>
      <w:proofErr w:type="gramStart"/>
      <w:r w:rsidRPr="00283806">
        <w:rPr>
          <w:w w:val="105"/>
        </w:rPr>
        <w:lastRenderedPageBreak/>
        <w:t>In regard to</w:t>
      </w:r>
      <w:proofErr w:type="gramEnd"/>
      <w:r w:rsidRPr="00283806">
        <w:rPr>
          <w:w w:val="105"/>
        </w:rPr>
        <w:t xml:space="preserve"> chillers used in the semiconductor industry, the commenter stated that small semiconductor chillers are typically removed from service if</w:t>
      </w:r>
      <w:r w:rsidRPr="00283806">
        <w:rPr>
          <w:spacing w:val="80"/>
          <w:w w:val="105"/>
        </w:rPr>
        <w:t xml:space="preserve"> </w:t>
      </w:r>
      <w:r w:rsidRPr="00283806">
        <w:rPr>
          <w:w w:val="105"/>
        </w:rPr>
        <w:t>they begin leaking. EPA understands</w:t>
      </w:r>
      <w:r w:rsidRPr="00283806">
        <w:rPr>
          <w:spacing w:val="80"/>
          <w:w w:val="150"/>
        </w:rPr>
        <w:t xml:space="preserve"> </w:t>
      </w:r>
      <w:r w:rsidRPr="00283806">
        <w:rPr>
          <w:w w:val="105"/>
        </w:rPr>
        <w:t>that these chillers are distinct, hermetically sealed devices that are removed when in need of servicing, and that such servicing is performed at a separate location, including at locations outside</w:t>
      </w:r>
      <w:r w:rsidRPr="00283806">
        <w:rPr>
          <w:spacing w:val="40"/>
          <w:w w:val="105"/>
        </w:rPr>
        <w:t xml:space="preserve"> </w:t>
      </w:r>
      <w:r w:rsidRPr="00283806">
        <w:rPr>
          <w:w w:val="105"/>
        </w:rPr>
        <w:t>of</w:t>
      </w:r>
      <w:r w:rsidRPr="00283806">
        <w:rPr>
          <w:spacing w:val="40"/>
          <w:w w:val="105"/>
        </w:rPr>
        <w:t xml:space="preserve"> </w:t>
      </w:r>
      <w:r w:rsidRPr="00283806">
        <w:rPr>
          <w:w w:val="105"/>
        </w:rPr>
        <w:t>the</w:t>
      </w:r>
      <w:r w:rsidRPr="00283806">
        <w:rPr>
          <w:spacing w:val="40"/>
          <w:w w:val="105"/>
        </w:rPr>
        <w:t xml:space="preserve"> </w:t>
      </w:r>
      <w:r w:rsidRPr="00283806">
        <w:rPr>
          <w:w w:val="105"/>
        </w:rPr>
        <w:t>United</w:t>
      </w:r>
      <w:r w:rsidRPr="00283806">
        <w:rPr>
          <w:spacing w:val="40"/>
          <w:w w:val="105"/>
        </w:rPr>
        <w:t xml:space="preserve"> </w:t>
      </w:r>
      <w:r w:rsidRPr="00283806">
        <w:rPr>
          <w:w w:val="105"/>
        </w:rPr>
        <w:t>States.</w:t>
      </w:r>
      <w:r w:rsidRPr="00283806">
        <w:rPr>
          <w:spacing w:val="40"/>
          <w:w w:val="105"/>
        </w:rPr>
        <w:t xml:space="preserve"> </w:t>
      </w:r>
      <w:r w:rsidRPr="00283806">
        <w:rPr>
          <w:w w:val="105"/>
        </w:rPr>
        <w:t>If</w:t>
      </w:r>
      <w:r w:rsidRPr="00283806">
        <w:rPr>
          <w:spacing w:val="40"/>
          <w:w w:val="105"/>
        </w:rPr>
        <w:t xml:space="preserve"> </w:t>
      </w:r>
      <w:r w:rsidRPr="00283806">
        <w:rPr>
          <w:w w:val="105"/>
        </w:rPr>
        <w:t>the chiller contains less than 15 pounds of refrigerant, as would be the case with many in this industry, the leak repair requirements do not apply. For chillers with 15 pounds of refrigerant or more, the Agency clarifies that appliances removed from service, that have their</w:t>
      </w:r>
      <w:r w:rsidRPr="00283806">
        <w:rPr>
          <w:spacing w:val="80"/>
          <w:w w:val="105"/>
        </w:rPr>
        <w:t xml:space="preserve"> </w:t>
      </w:r>
      <w:r w:rsidRPr="00283806">
        <w:rPr>
          <w:w w:val="105"/>
        </w:rPr>
        <w:t>full charge evacuated and recovered, are not subject to the full suite of the leak repair requirements. An owner/operator may do this to conduct further repairs,</w:t>
      </w:r>
      <w:r w:rsidRPr="00283806">
        <w:rPr>
          <w:spacing w:val="80"/>
          <w:w w:val="150"/>
        </w:rPr>
        <w:t xml:space="preserve"> </w:t>
      </w:r>
      <w:r w:rsidRPr="00283806">
        <w:rPr>
          <w:w w:val="105"/>
        </w:rPr>
        <w:t>to mothball the appliance for future repairs, or due to a retrofit or retirement plan (see section IV.C.3.f of this preamble). In the specific case of these semiconductor chillers, once the determination has been made that the appliance is leaking above the threshold rate and needs to be taken out of service, the owner/operator would need to evacuate</w:t>
      </w:r>
      <w:r w:rsidRPr="00283806">
        <w:rPr>
          <w:spacing w:val="-1"/>
          <w:w w:val="105"/>
        </w:rPr>
        <w:t xml:space="preserve"> </w:t>
      </w:r>
      <w:r w:rsidRPr="00283806">
        <w:rPr>
          <w:w w:val="105"/>
        </w:rPr>
        <w:t>and</w:t>
      </w:r>
      <w:r w:rsidRPr="00283806">
        <w:rPr>
          <w:spacing w:val="-1"/>
          <w:w w:val="105"/>
        </w:rPr>
        <w:t xml:space="preserve"> </w:t>
      </w:r>
      <w:r w:rsidRPr="00283806">
        <w:rPr>
          <w:w w:val="105"/>
        </w:rPr>
        <w:t>recover</w:t>
      </w:r>
      <w:r w:rsidRPr="00283806">
        <w:rPr>
          <w:spacing w:val="-1"/>
          <w:w w:val="105"/>
        </w:rPr>
        <w:t xml:space="preserve"> </w:t>
      </w:r>
      <w:r w:rsidRPr="00283806">
        <w:rPr>
          <w:w w:val="105"/>
        </w:rPr>
        <w:t>all</w:t>
      </w:r>
      <w:r w:rsidRPr="00283806">
        <w:rPr>
          <w:spacing w:val="-1"/>
          <w:w w:val="105"/>
        </w:rPr>
        <w:t xml:space="preserve"> </w:t>
      </w:r>
      <w:r w:rsidRPr="00283806">
        <w:rPr>
          <w:w w:val="105"/>
        </w:rPr>
        <w:t>refrigerant</w:t>
      </w:r>
      <w:r w:rsidRPr="00283806">
        <w:rPr>
          <w:spacing w:val="-1"/>
          <w:w w:val="105"/>
        </w:rPr>
        <w:t xml:space="preserve"> </w:t>
      </w:r>
      <w:r w:rsidRPr="00283806">
        <w:rPr>
          <w:w w:val="105"/>
        </w:rPr>
        <w:t>from the</w:t>
      </w:r>
      <w:r w:rsidRPr="00283806">
        <w:rPr>
          <w:spacing w:val="39"/>
          <w:w w:val="105"/>
        </w:rPr>
        <w:t xml:space="preserve"> </w:t>
      </w:r>
      <w:r w:rsidRPr="00283806">
        <w:rPr>
          <w:w w:val="105"/>
        </w:rPr>
        <w:t>appliance</w:t>
      </w:r>
      <w:r w:rsidRPr="00283806">
        <w:rPr>
          <w:spacing w:val="39"/>
          <w:w w:val="105"/>
        </w:rPr>
        <w:t xml:space="preserve"> </w:t>
      </w:r>
      <w:r w:rsidRPr="00283806">
        <w:rPr>
          <w:w w:val="105"/>
        </w:rPr>
        <w:t>in</w:t>
      </w:r>
      <w:r w:rsidRPr="00283806">
        <w:rPr>
          <w:spacing w:val="39"/>
          <w:w w:val="105"/>
        </w:rPr>
        <w:t xml:space="preserve"> </w:t>
      </w:r>
      <w:r w:rsidRPr="00283806">
        <w:rPr>
          <w:w w:val="105"/>
        </w:rPr>
        <w:t>a</w:t>
      </w:r>
      <w:r w:rsidRPr="00283806">
        <w:rPr>
          <w:spacing w:val="39"/>
          <w:w w:val="105"/>
        </w:rPr>
        <w:t xml:space="preserve"> </w:t>
      </w:r>
      <w:r w:rsidRPr="00283806">
        <w:rPr>
          <w:w w:val="105"/>
        </w:rPr>
        <w:t>way</w:t>
      </w:r>
      <w:r w:rsidRPr="00283806">
        <w:rPr>
          <w:spacing w:val="39"/>
          <w:w w:val="105"/>
        </w:rPr>
        <w:t xml:space="preserve"> </w:t>
      </w:r>
      <w:proofErr w:type="gramStart"/>
      <w:r w:rsidRPr="00283806">
        <w:rPr>
          <w:w w:val="105"/>
        </w:rPr>
        <w:t>similar</w:t>
      </w:r>
      <w:r w:rsidRPr="00283806">
        <w:rPr>
          <w:spacing w:val="39"/>
          <w:w w:val="105"/>
        </w:rPr>
        <w:t xml:space="preserve"> </w:t>
      </w:r>
      <w:r w:rsidRPr="00283806">
        <w:rPr>
          <w:w w:val="105"/>
        </w:rPr>
        <w:t>to</w:t>
      </w:r>
      <w:proofErr w:type="gramEnd"/>
      <w:r w:rsidRPr="00283806">
        <w:rPr>
          <w:spacing w:val="39"/>
          <w:w w:val="105"/>
        </w:rPr>
        <w:t xml:space="preserve"> </w:t>
      </w:r>
      <w:r w:rsidRPr="00283806">
        <w:rPr>
          <w:w w:val="105"/>
        </w:rPr>
        <w:t>how an owner/operator would mothball an appliance. Once repairs are made and</w:t>
      </w:r>
      <w:r w:rsidRPr="00283806">
        <w:rPr>
          <w:spacing w:val="80"/>
          <w:w w:val="105"/>
        </w:rPr>
        <w:t xml:space="preserve"> </w:t>
      </w:r>
      <w:r w:rsidRPr="00283806">
        <w:rPr>
          <w:w w:val="105"/>
        </w:rPr>
        <w:t>the appliance is recharged for service, it</w:t>
      </w:r>
      <w:r w:rsidRPr="00283806">
        <w:rPr>
          <w:spacing w:val="40"/>
          <w:w w:val="105"/>
        </w:rPr>
        <w:t xml:space="preserve"> </w:t>
      </w:r>
      <w:r w:rsidRPr="00283806">
        <w:rPr>
          <w:w w:val="105"/>
        </w:rPr>
        <w:t xml:space="preserve">is required to meet </w:t>
      </w:r>
      <w:proofErr w:type="gramStart"/>
      <w:r w:rsidRPr="00283806">
        <w:rPr>
          <w:w w:val="105"/>
        </w:rPr>
        <w:t>all of</w:t>
      </w:r>
      <w:proofErr w:type="gramEnd"/>
      <w:r w:rsidRPr="00283806">
        <w:rPr>
          <w:w w:val="105"/>
        </w:rPr>
        <w:t xml:space="preserve"> the requirements in the final rule’s leak repair provision.</w:t>
      </w:r>
    </w:p>
    <w:p w14:paraId="4A96D385" w14:textId="77777777" w:rsidR="00D67C1E" w:rsidRPr="00283806" w:rsidRDefault="001265CA">
      <w:pPr>
        <w:pStyle w:val="BodyText"/>
        <w:spacing w:before="21" w:line="228" w:lineRule="auto"/>
        <w:ind w:right="37" w:firstLine="180"/>
      </w:pPr>
      <w:r w:rsidRPr="00283806">
        <w:rPr>
          <w:w w:val="105"/>
        </w:rPr>
        <w:t>EPA also disagrees with one commenter’s suggestion to forgo leak rate thresholds in favor of allowing calendar year leak rate calculations each time the owner or operator adds refrigerant because owners and operators should already be using some methodology for calculating their leak rate after adding refrigerant into an appliance.</w:t>
      </w:r>
      <w:r w:rsidRPr="00283806">
        <w:rPr>
          <w:spacing w:val="40"/>
          <w:w w:val="105"/>
        </w:rPr>
        <w:t xml:space="preserve"> </w:t>
      </w:r>
      <w:r w:rsidRPr="00283806">
        <w:rPr>
          <w:w w:val="105"/>
        </w:rPr>
        <w:t>The</w:t>
      </w:r>
      <w:r w:rsidRPr="00283806">
        <w:rPr>
          <w:spacing w:val="40"/>
          <w:w w:val="105"/>
        </w:rPr>
        <w:t xml:space="preserve"> </w:t>
      </w:r>
      <w:r w:rsidRPr="00283806">
        <w:rPr>
          <w:w w:val="105"/>
        </w:rPr>
        <w:t>Agency</w:t>
      </w:r>
      <w:r w:rsidRPr="00283806">
        <w:rPr>
          <w:spacing w:val="40"/>
          <w:w w:val="105"/>
        </w:rPr>
        <w:t xml:space="preserve"> </w:t>
      </w:r>
      <w:r w:rsidRPr="00283806">
        <w:rPr>
          <w:w w:val="105"/>
        </w:rPr>
        <w:t>clarifies</w:t>
      </w:r>
      <w:r w:rsidRPr="00283806">
        <w:rPr>
          <w:spacing w:val="40"/>
          <w:w w:val="105"/>
        </w:rPr>
        <w:t xml:space="preserve"> </w:t>
      </w:r>
      <w:proofErr w:type="gramStart"/>
      <w:r w:rsidRPr="00283806">
        <w:rPr>
          <w:w w:val="105"/>
        </w:rPr>
        <w:t>that leak</w:t>
      </w:r>
      <w:proofErr w:type="gramEnd"/>
      <w:r w:rsidRPr="00283806">
        <w:rPr>
          <w:w w:val="105"/>
        </w:rPr>
        <w:t xml:space="preserve"> inspections and the calculation of</w:t>
      </w:r>
    </w:p>
    <w:p w14:paraId="173D6E7C" w14:textId="77777777" w:rsidR="00D67C1E" w:rsidRPr="00283806" w:rsidRDefault="001265CA">
      <w:pPr>
        <w:pStyle w:val="BodyText"/>
        <w:spacing w:line="228" w:lineRule="auto"/>
      </w:pPr>
      <w:proofErr w:type="gramStart"/>
      <w:r w:rsidRPr="00283806">
        <w:rPr>
          <w:w w:val="110"/>
        </w:rPr>
        <w:t>a leak</w:t>
      </w:r>
      <w:proofErr w:type="gramEnd"/>
      <w:r w:rsidRPr="00283806">
        <w:rPr>
          <w:w w:val="110"/>
        </w:rPr>
        <w:t xml:space="preserve"> rate does not equate to leak repair.</w:t>
      </w:r>
      <w:r w:rsidRPr="00283806">
        <w:rPr>
          <w:spacing w:val="-11"/>
          <w:w w:val="110"/>
        </w:rPr>
        <w:t xml:space="preserve"> </w:t>
      </w:r>
      <w:r w:rsidRPr="00283806">
        <w:rPr>
          <w:w w:val="110"/>
        </w:rPr>
        <w:t>Under</w:t>
      </w:r>
      <w:r w:rsidRPr="00283806">
        <w:rPr>
          <w:spacing w:val="-11"/>
          <w:w w:val="110"/>
        </w:rPr>
        <w:t xml:space="preserve"> </w:t>
      </w:r>
      <w:r w:rsidRPr="00283806">
        <w:rPr>
          <w:w w:val="110"/>
        </w:rPr>
        <w:t>the</w:t>
      </w:r>
      <w:r w:rsidRPr="00283806">
        <w:rPr>
          <w:spacing w:val="-11"/>
          <w:w w:val="110"/>
        </w:rPr>
        <w:t xml:space="preserve"> </w:t>
      </w:r>
      <w:r w:rsidRPr="00283806">
        <w:rPr>
          <w:w w:val="110"/>
        </w:rPr>
        <w:t>provisions</w:t>
      </w:r>
      <w:r w:rsidRPr="00283806">
        <w:rPr>
          <w:spacing w:val="-11"/>
          <w:w w:val="110"/>
        </w:rPr>
        <w:t xml:space="preserve"> </w:t>
      </w:r>
      <w:r w:rsidRPr="00283806">
        <w:rPr>
          <w:w w:val="110"/>
        </w:rPr>
        <w:t>finalized</w:t>
      </w:r>
      <w:r w:rsidRPr="00283806">
        <w:rPr>
          <w:spacing w:val="-11"/>
          <w:w w:val="110"/>
        </w:rPr>
        <w:t xml:space="preserve"> </w:t>
      </w:r>
      <w:r w:rsidRPr="00283806">
        <w:rPr>
          <w:w w:val="110"/>
        </w:rPr>
        <w:t xml:space="preserve">in this action, if an appliance is leaking </w:t>
      </w:r>
      <w:r w:rsidRPr="00283806">
        <w:t>above the applicable leak rate threshold,</w:t>
      </w:r>
      <w:r w:rsidRPr="00283806">
        <w:rPr>
          <w:spacing w:val="40"/>
          <w:w w:val="110"/>
        </w:rPr>
        <w:t xml:space="preserve"> </w:t>
      </w:r>
      <w:r w:rsidRPr="00283806">
        <w:rPr>
          <w:w w:val="110"/>
        </w:rPr>
        <w:t>the owner or operator must repair any leaks</w:t>
      </w:r>
      <w:r w:rsidRPr="00283806">
        <w:rPr>
          <w:spacing w:val="-11"/>
          <w:w w:val="110"/>
        </w:rPr>
        <w:t xml:space="preserve"> </w:t>
      </w:r>
      <w:r w:rsidRPr="00283806">
        <w:rPr>
          <w:w w:val="110"/>
        </w:rPr>
        <w:t>to</w:t>
      </w:r>
      <w:r w:rsidRPr="00283806">
        <w:rPr>
          <w:spacing w:val="-11"/>
          <w:w w:val="110"/>
        </w:rPr>
        <w:t xml:space="preserve"> </w:t>
      </w:r>
      <w:r w:rsidRPr="00283806">
        <w:rPr>
          <w:w w:val="110"/>
        </w:rPr>
        <w:t>ensure</w:t>
      </w:r>
      <w:r w:rsidRPr="00283806">
        <w:rPr>
          <w:spacing w:val="-11"/>
          <w:w w:val="110"/>
        </w:rPr>
        <w:t xml:space="preserve"> </w:t>
      </w:r>
      <w:r w:rsidRPr="00283806">
        <w:rPr>
          <w:w w:val="110"/>
        </w:rPr>
        <w:t>the</w:t>
      </w:r>
      <w:r w:rsidRPr="00283806">
        <w:rPr>
          <w:spacing w:val="-11"/>
          <w:w w:val="110"/>
        </w:rPr>
        <w:t xml:space="preserve"> </w:t>
      </w:r>
      <w:r w:rsidRPr="00283806">
        <w:rPr>
          <w:w w:val="110"/>
        </w:rPr>
        <w:t>appliance’s</w:t>
      </w:r>
      <w:r w:rsidRPr="00283806">
        <w:rPr>
          <w:spacing w:val="-10"/>
          <w:w w:val="110"/>
        </w:rPr>
        <w:t xml:space="preserve"> </w:t>
      </w:r>
      <w:r w:rsidRPr="00283806">
        <w:rPr>
          <w:w w:val="110"/>
        </w:rPr>
        <w:t>leak</w:t>
      </w:r>
      <w:r w:rsidRPr="00283806">
        <w:rPr>
          <w:spacing w:val="-11"/>
          <w:w w:val="110"/>
        </w:rPr>
        <w:t xml:space="preserve"> </w:t>
      </w:r>
      <w:r w:rsidRPr="00283806">
        <w:rPr>
          <w:w w:val="110"/>
        </w:rPr>
        <w:t>rate is brought below said threshold.</w:t>
      </w:r>
    </w:p>
    <w:p w14:paraId="2AC4445E" w14:textId="77777777" w:rsidR="00D67C1E" w:rsidRPr="00283806" w:rsidRDefault="001265CA">
      <w:pPr>
        <w:pStyle w:val="BodyText"/>
        <w:spacing w:line="228" w:lineRule="auto"/>
        <w:ind w:right="21"/>
      </w:pPr>
      <w:r w:rsidRPr="00283806">
        <w:rPr>
          <w:w w:val="105"/>
        </w:rPr>
        <w:t>Without a leak rate threshold there</w:t>
      </w:r>
      <w:r w:rsidRPr="00283806">
        <w:rPr>
          <w:spacing w:val="40"/>
          <w:w w:val="105"/>
        </w:rPr>
        <w:t xml:space="preserve"> </w:t>
      </w:r>
      <w:r w:rsidRPr="00283806">
        <w:rPr>
          <w:w w:val="105"/>
        </w:rPr>
        <w:t>would not be a clear metric for determining when the leak repair requirements</w:t>
      </w:r>
      <w:r w:rsidRPr="00283806">
        <w:rPr>
          <w:spacing w:val="-8"/>
          <w:w w:val="105"/>
        </w:rPr>
        <w:t xml:space="preserve"> </w:t>
      </w:r>
      <w:r w:rsidRPr="00283806">
        <w:rPr>
          <w:w w:val="105"/>
        </w:rPr>
        <w:t>were</w:t>
      </w:r>
      <w:r w:rsidRPr="00283806">
        <w:rPr>
          <w:spacing w:val="-8"/>
          <w:w w:val="105"/>
        </w:rPr>
        <w:t xml:space="preserve"> </w:t>
      </w:r>
      <w:r w:rsidRPr="00283806">
        <w:rPr>
          <w:w w:val="105"/>
        </w:rPr>
        <w:t>triggered</w:t>
      </w:r>
      <w:r w:rsidRPr="00283806">
        <w:rPr>
          <w:spacing w:val="-8"/>
          <w:w w:val="105"/>
        </w:rPr>
        <w:t xml:space="preserve"> </w:t>
      </w:r>
      <w:r w:rsidRPr="00283806">
        <w:rPr>
          <w:w w:val="105"/>
        </w:rPr>
        <w:t>or</w:t>
      </w:r>
      <w:r w:rsidRPr="00283806">
        <w:rPr>
          <w:spacing w:val="-8"/>
          <w:w w:val="105"/>
        </w:rPr>
        <w:t xml:space="preserve"> </w:t>
      </w:r>
      <w:r w:rsidRPr="00283806">
        <w:rPr>
          <w:w w:val="105"/>
        </w:rPr>
        <w:t>when</w:t>
      </w:r>
      <w:r w:rsidRPr="00283806">
        <w:rPr>
          <w:spacing w:val="-8"/>
          <w:w w:val="105"/>
        </w:rPr>
        <w:t xml:space="preserve"> </w:t>
      </w:r>
      <w:r w:rsidRPr="00283806">
        <w:rPr>
          <w:w w:val="105"/>
        </w:rPr>
        <w:t>the appliance</w:t>
      </w:r>
      <w:r w:rsidRPr="00283806">
        <w:rPr>
          <w:spacing w:val="40"/>
          <w:w w:val="105"/>
        </w:rPr>
        <w:t xml:space="preserve"> </w:t>
      </w:r>
      <w:r w:rsidRPr="00283806">
        <w:rPr>
          <w:w w:val="105"/>
        </w:rPr>
        <w:t>had</w:t>
      </w:r>
      <w:r w:rsidRPr="00283806">
        <w:rPr>
          <w:spacing w:val="40"/>
          <w:w w:val="105"/>
        </w:rPr>
        <w:t xml:space="preserve"> </w:t>
      </w:r>
      <w:r w:rsidRPr="00283806">
        <w:rPr>
          <w:w w:val="105"/>
        </w:rPr>
        <w:t>been</w:t>
      </w:r>
      <w:r w:rsidRPr="00283806">
        <w:rPr>
          <w:spacing w:val="40"/>
          <w:w w:val="105"/>
        </w:rPr>
        <w:t xml:space="preserve"> </w:t>
      </w:r>
      <w:r w:rsidRPr="00283806">
        <w:rPr>
          <w:w w:val="105"/>
        </w:rPr>
        <w:t>sufficiently</w:t>
      </w:r>
      <w:r w:rsidRPr="00283806">
        <w:rPr>
          <w:spacing w:val="40"/>
          <w:w w:val="105"/>
        </w:rPr>
        <w:t xml:space="preserve"> </w:t>
      </w:r>
      <w:r w:rsidRPr="00283806">
        <w:rPr>
          <w:w w:val="105"/>
        </w:rPr>
        <w:t>repaired. The Agency also disagrees that appliance</w:t>
      </w:r>
      <w:r w:rsidRPr="00283806">
        <w:rPr>
          <w:spacing w:val="28"/>
          <w:w w:val="105"/>
        </w:rPr>
        <w:t xml:space="preserve"> </w:t>
      </w:r>
      <w:r w:rsidRPr="00283806">
        <w:rPr>
          <w:w w:val="105"/>
        </w:rPr>
        <w:t>owners</w:t>
      </w:r>
      <w:r w:rsidRPr="00283806">
        <w:rPr>
          <w:spacing w:val="28"/>
          <w:w w:val="105"/>
        </w:rPr>
        <w:t xml:space="preserve"> </w:t>
      </w:r>
      <w:r w:rsidRPr="00283806">
        <w:rPr>
          <w:w w:val="105"/>
        </w:rPr>
        <w:t>would</w:t>
      </w:r>
      <w:r w:rsidRPr="00283806">
        <w:rPr>
          <w:spacing w:val="28"/>
          <w:w w:val="105"/>
        </w:rPr>
        <w:t xml:space="preserve"> </w:t>
      </w:r>
      <w:r w:rsidRPr="00283806">
        <w:rPr>
          <w:w w:val="105"/>
        </w:rPr>
        <w:t>repair</w:t>
      </w:r>
      <w:r w:rsidRPr="00283806">
        <w:rPr>
          <w:spacing w:val="28"/>
          <w:w w:val="105"/>
        </w:rPr>
        <w:t xml:space="preserve"> </w:t>
      </w:r>
      <w:r w:rsidRPr="00283806">
        <w:rPr>
          <w:w w:val="105"/>
        </w:rPr>
        <w:t>leaks</w:t>
      </w:r>
      <w:r w:rsidRPr="00283806">
        <w:rPr>
          <w:spacing w:val="28"/>
          <w:w w:val="105"/>
        </w:rPr>
        <w:t xml:space="preserve"> </w:t>
      </w:r>
      <w:r w:rsidRPr="00283806">
        <w:rPr>
          <w:w w:val="105"/>
        </w:rPr>
        <w:t>in a timely manner based on the incentive</w:t>
      </w:r>
      <w:r w:rsidRPr="00283806">
        <w:rPr>
          <w:spacing w:val="40"/>
          <w:w w:val="105"/>
        </w:rPr>
        <w:t xml:space="preserve"> </w:t>
      </w:r>
      <w:r w:rsidRPr="00283806">
        <w:rPr>
          <w:w w:val="105"/>
        </w:rPr>
        <w:t>to save on refrigerant costs or to avoid operational disruptions alone. While</w:t>
      </w:r>
      <w:r w:rsidRPr="00283806">
        <w:rPr>
          <w:spacing w:val="80"/>
          <w:w w:val="105"/>
        </w:rPr>
        <w:t xml:space="preserve"> </w:t>
      </w:r>
      <w:r w:rsidRPr="00283806">
        <w:rPr>
          <w:w w:val="105"/>
        </w:rPr>
        <w:t xml:space="preserve">EPA agrees that the leak </w:t>
      </w:r>
      <w:proofErr w:type="gramStart"/>
      <w:r w:rsidRPr="00283806">
        <w:rPr>
          <w:w w:val="105"/>
        </w:rPr>
        <w:t>repair</w:t>
      </w:r>
      <w:proofErr w:type="gramEnd"/>
    </w:p>
    <w:p w14:paraId="467FA244" w14:textId="77777777" w:rsidR="00D67C1E" w:rsidRPr="00283806" w:rsidRDefault="001265CA">
      <w:pPr>
        <w:pStyle w:val="BodyText"/>
        <w:spacing w:before="133" w:line="228" w:lineRule="auto"/>
        <w:ind w:left="144" w:right="1"/>
      </w:pPr>
      <w:r w:rsidRPr="00283806">
        <w:br w:type="column"/>
      </w:r>
      <w:r w:rsidRPr="00283806">
        <w:rPr>
          <w:w w:val="105"/>
        </w:rPr>
        <w:t>provisions in this final rule are anticipated</w:t>
      </w:r>
      <w:r w:rsidRPr="00283806">
        <w:rPr>
          <w:spacing w:val="40"/>
          <w:w w:val="105"/>
        </w:rPr>
        <w:t xml:space="preserve"> </w:t>
      </w:r>
      <w:r w:rsidRPr="00283806">
        <w:rPr>
          <w:w w:val="105"/>
        </w:rPr>
        <w:t>to</w:t>
      </w:r>
      <w:r w:rsidRPr="00283806">
        <w:rPr>
          <w:spacing w:val="40"/>
          <w:w w:val="105"/>
        </w:rPr>
        <w:t xml:space="preserve"> </w:t>
      </w:r>
      <w:r w:rsidRPr="00283806">
        <w:rPr>
          <w:w w:val="105"/>
        </w:rPr>
        <w:t>have</w:t>
      </w:r>
      <w:r w:rsidRPr="00283806">
        <w:rPr>
          <w:spacing w:val="40"/>
          <w:w w:val="105"/>
        </w:rPr>
        <w:t xml:space="preserve"> </w:t>
      </w:r>
      <w:r w:rsidRPr="00283806">
        <w:rPr>
          <w:w w:val="105"/>
        </w:rPr>
        <w:t>the</w:t>
      </w:r>
      <w:r w:rsidRPr="00283806">
        <w:rPr>
          <w:spacing w:val="40"/>
          <w:w w:val="105"/>
        </w:rPr>
        <w:t xml:space="preserve"> </w:t>
      </w:r>
      <w:r w:rsidRPr="00283806">
        <w:rPr>
          <w:w w:val="105"/>
        </w:rPr>
        <w:t>effect</w:t>
      </w:r>
      <w:r w:rsidRPr="00283806">
        <w:rPr>
          <w:spacing w:val="40"/>
          <w:w w:val="105"/>
        </w:rPr>
        <w:t xml:space="preserve"> </w:t>
      </w:r>
      <w:r w:rsidRPr="00283806">
        <w:rPr>
          <w:w w:val="105"/>
        </w:rPr>
        <w:t>of avoiding additional refrigerant costs and operational disruptions in many situations, financial motivations to conduct leak repair do not always align with the rule’s purpose of minimizing</w:t>
      </w:r>
      <w:r w:rsidRPr="00283806">
        <w:rPr>
          <w:spacing w:val="80"/>
          <w:w w:val="105"/>
        </w:rPr>
        <w:t xml:space="preserve"> </w:t>
      </w:r>
      <w:r w:rsidRPr="00283806">
        <w:rPr>
          <w:w w:val="105"/>
        </w:rPr>
        <w:t>the release of HFCs and their covered substitutes. For example, an owner/ operator, in some cases, may find it</w:t>
      </w:r>
      <w:r w:rsidRPr="00283806">
        <w:rPr>
          <w:spacing w:val="80"/>
          <w:w w:val="150"/>
        </w:rPr>
        <w:t xml:space="preserve"> </w:t>
      </w:r>
      <w:r w:rsidRPr="00283806">
        <w:rPr>
          <w:w w:val="105"/>
        </w:rPr>
        <w:t>more financially optimal to continually add refrigerant to an appliance instead</w:t>
      </w:r>
      <w:r w:rsidRPr="00283806">
        <w:rPr>
          <w:spacing w:val="80"/>
          <w:w w:val="105"/>
        </w:rPr>
        <w:t xml:space="preserve"> </w:t>
      </w:r>
      <w:r w:rsidRPr="00283806">
        <w:rPr>
          <w:w w:val="105"/>
        </w:rPr>
        <w:t>of repairing it, or an owner/operator</w:t>
      </w:r>
      <w:r w:rsidRPr="00283806">
        <w:rPr>
          <w:spacing w:val="40"/>
          <w:w w:val="105"/>
        </w:rPr>
        <w:t xml:space="preserve"> </w:t>
      </w:r>
      <w:r w:rsidRPr="00283806">
        <w:rPr>
          <w:w w:val="105"/>
        </w:rPr>
        <w:t>may not have adequate information</w:t>
      </w:r>
      <w:r w:rsidRPr="00283806">
        <w:rPr>
          <w:spacing w:val="40"/>
          <w:w w:val="105"/>
        </w:rPr>
        <w:t xml:space="preserve"> </w:t>
      </w:r>
      <w:r w:rsidRPr="00283806">
        <w:rPr>
          <w:w w:val="105"/>
        </w:rPr>
        <w:t>about the costs associated with failure to repair leaks in making decisions about whether to voluntarily repair leaks. In EPA’s view, the leak rate thresholds are an important part of the regulatory design of the leak repair requirements and help ensure that they serve the statutory purposes identified for regulations under subsection (h) to minimize the release of regulated substances from equipment and maximize reclamation.</w:t>
      </w:r>
    </w:p>
    <w:p w14:paraId="2980D58F" w14:textId="77777777" w:rsidR="00D67C1E" w:rsidRPr="00283806" w:rsidRDefault="001265CA">
      <w:pPr>
        <w:pStyle w:val="BodyText"/>
        <w:spacing w:before="27" w:line="228" w:lineRule="auto"/>
        <w:ind w:left="144" w:right="30" w:firstLine="180"/>
      </w:pPr>
      <w:r w:rsidRPr="00283806">
        <w:rPr>
          <w:w w:val="105"/>
        </w:rPr>
        <w:t xml:space="preserve">The commenter also stated that the average annual leak rates for supermarkets </w:t>
      </w:r>
      <w:proofErr w:type="gramStart"/>
      <w:r w:rsidRPr="00283806">
        <w:rPr>
          <w:w w:val="105"/>
        </w:rPr>
        <w:t>is</w:t>
      </w:r>
      <w:proofErr w:type="gramEnd"/>
      <w:r w:rsidRPr="00283806">
        <w:rPr>
          <w:w w:val="105"/>
        </w:rPr>
        <w:t xml:space="preserve"> 25 percent and that the rule would require immediate repair of supermarket systems. The Agency responds that the purpose of the final rule is to minimize the release of regulated substances from appliances. If a</w:t>
      </w:r>
      <w:r w:rsidRPr="00283806">
        <w:rPr>
          <w:spacing w:val="-1"/>
          <w:w w:val="105"/>
        </w:rPr>
        <w:t xml:space="preserve"> </w:t>
      </w:r>
      <w:r w:rsidRPr="00283806">
        <w:rPr>
          <w:w w:val="105"/>
        </w:rPr>
        <w:t>supermarket</w:t>
      </w:r>
      <w:r w:rsidRPr="00283806">
        <w:rPr>
          <w:spacing w:val="-2"/>
          <w:w w:val="105"/>
        </w:rPr>
        <w:t xml:space="preserve"> </w:t>
      </w:r>
      <w:r w:rsidRPr="00283806">
        <w:rPr>
          <w:w w:val="105"/>
        </w:rPr>
        <w:t>system</w:t>
      </w:r>
      <w:r w:rsidRPr="00283806">
        <w:rPr>
          <w:spacing w:val="-1"/>
          <w:w w:val="105"/>
        </w:rPr>
        <w:t xml:space="preserve"> </w:t>
      </w:r>
      <w:r w:rsidRPr="00283806">
        <w:rPr>
          <w:w w:val="105"/>
        </w:rPr>
        <w:t>is</w:t>
      </w:r>
      <w:r w:rsidRPr="00283806">
        <w:rPr>
          <w:spacing w:val="-2"/>
          <w:w w:val="105"/>
        </w:rPr>
        <w:t xml:space="preserve"> </w:t>
      </w:r>
      <w:r w:rsidRPr="00283806">
        <w:rPr>
          <w:w w:val="105"/>
        </w:rPr>
        <w:t>leaking</w:t>
      </w:r>
      <w:r w:rsidRPr="00283806">
        <w:rPr>
          <w:spacing w:val="-1"/>
          <w:w w:val="105"/>
        </w:rPr>
        <w:t xml:space="preserve"> </w:t>
      </w:r>
      <w:r w:rsidRPr="00283806">
        <w:rPr>
          <w:w w:val="105"/>
        </w:rPr>
        <w:t>at</w:t>
      </w:r>
      <w:r w:rsidRPr="00283806">
        <w:rPr>
          <w:spacing w:val="-2"/>
          <w:w w:val="105"/>
        </w:rPr>
        <w:t xml:space="preserve"> </w:t>
      </w:r>
      <w:r w:rsidRPr="00283806">
        <w:rPr>
          <w:w w:val="105"/>
        </w:rPr>
        <w:t>a</w:t>
      </w:r>
      <w:r w:rsidRPr="00283806">
        <w:rPr>
          <w:spacing w:val="-1"/>
          <w:w w:val="105"/>
        </w:rPr>
        <w:t xml:space="preserve"> </w:t>
      </w:r>
      <w:r w:rsidRPr="00283806">
        <w:rPr>
          <w:w w:val="105"/>
        </w:rPr>
        <w:t>rate higher than 20 percent, the owner/ operator would be required to repair leaks to the extent and within the timeframe specified in the final rule.</w:t>
      </w:r>
    </w:p>
    <w:p w14:paraId="4E8D9408" w14:textId="77777777" w:rsidR="00D67C1E" w:rsidRPr="00283806" w:rsidRDefault="001265CA">
      <w:pPr>
        <w:pStyle w:val="BodyText"/>
        <w:spacing w:line="228" w:lineRule="auto"/>
        <w:ind w:left="144"/>
      </w:pPr>
      <w:r w:rsidRPr="00283806">
        <w:rPr>
          <w:w w:val="105"/>
        </w:rPr>
        <w:t>Furthermore, the Agency disagrees with the commenter’s assertion that the final rule would force supermarket owner/ operators to repair and potentially retrofit or retire systems immediately, once the leak repair provisions go into effect, because the average supermarket has an annual leak rate of 25 percent.</w:t>
      </w:r>
    </w:p>
    <w:p w14:paraId="2874E2E1" w14:textId="77777777" w:rsidR="00D67C1E" w:rsidRPr="00283806" w:rsidRDefault="001265CA">
      <w:pPr>
        <w:pStyle w:val="BodyText"/>
        <w:spacing w:line="228" w:lineRule="auto"/>
        <w:ind w:left="144" w:right="139"/>
      </w:pPr>
      <w:r w:rsidRPr="00283806">
        <w:rPr>
          <w:w w:val="105"/>
        </w:rPr>
        <w:t xml:space="preserve">EPA reiterates that the leak repair provisions of this final rule are relatively consistent with the requirements for ODS refrigerants that have been and continue to be in use in supermarkets throughout the United States. EPA has also extended the compliance date for the leak repair provision by more than one year to </w:t>
      </w:r>
      <w:r w:rsidRPr="00283806">
        <w:rPr>
          <w:spacing w:val="-2"/>
          <w:w w:val="105"/>
        </w:rPr>
        <w:t>further accommodate owner/operators’</w:t>
      </w:r>
      <w:r w:rsidRPr="00283806">
        <w:rPr>
          <w:w w:val="105"/>
        </w:rPr>
        <w:t xml:space="preserve"> compliance with the provision.</w:t>
      </w:r>
    </w:p>
    <w:p w14:paraId="2730A1C3" w14:textId="77777777" w:rsidR="00D67C1E" w:rsidRPr="00283806" w:rsidRDefault="001265CA">
      <w:pPr>
        <w:pStyle w:val="BodyText"/>
        <w:spacing w:line="228" w:lineRule="auto"/>
        <w:ind w:left="144" w:right="30"/>
      </w:pPr>
      <w:r w:rsidRPr="00283806">
        <w:rPr>
          <w:w w:val="105"/>
        </w:rPr>
        <w:t>Moreover, the Agency notes that the 25 percent leak rate average that FMI cites for supermarkets is nearly double the</w:t>
      </w:r>
      <w:r w:rsidRPr="00283806">
        <w:rPr>
          <w:spacing w:val="40"/>
          <w:w w:val="105"/>
        </w:rPr>
        <w:t xml:space="preserve"> </w:t>
      </w:r>
      <w:r w:rsidRPr="00283806">
        <w:rPr>
          <w:w w:val="105"/>
        </w:rPr>
        <w:t xml:space="preserve">less than 15 percent average leak rate </w:t>
      </w:r>
      <w:proofErr w:type="spellStart"/>
      <w:r w:rsidRPr="00283806">
        <w:rPr>
          <w:w w:val="105"/>
        </w:rPr>
        <w:t>GreenChill</w:t>
      </w:r>
      <w:proofErr w:type="spellEnd"/>
      <w:r w:rsidRPr="00283806">
        <w:rPr>
          <w:w w:val="105"/>
        </w:rPr>
        <w:t xml:space="preserve"> partners voluntarily report to EPA</w:t>
      </w:r>
      <w:r w:rsidRPr="00283806">
        <w:rPr>
          <w:spacing w:val="40"/>
          <w:w w:val="105"/>
        </w:rPr>
        <w:t xml:space="preserve"> </w:t>
      </w:r>
      <w:r w:rsidRPr="00283806">
        <w:rPr>
          <w:w w:val="105"/>
        </w:rPr>
        <w:t>on</w:t>
      </w:r>
      <w:r w:rsidRPr="00283806">
        <w:rPr>
          <w:spacing w:val="40"/>
          <w:w w:val="105"/>
        </w:rPr>
        <w:t xml:space="preserve"> </w:t>
      </w:r>
      <w:r w:rsidRPr="00283806">
        <w:rPr>
          <w:w w:val="105"/>
        </w:rPr>
        <w:t>an</w:t>
      </w:r>
      <w:r w:rsidRPr="00283806">
        <w:rPr>
          <w:spacing w:val="40"/>
          <w:w w:val="105"/>
        </w:rPr>
        <w:t xml:space="preserve"> </w:t>
      </w:r>
      <w:r w:rsidRPr="00283806">
        <w:rPr>
          <w:w w:val="105"/>
        </w:rPr>
        <w:t>annual</w:t>
      </w:r>
      <w:r w:rsidRPr="00283806">
        <w:rPr>
          <w:spacing w:val="40"/>
          <w:w w:val="105"/>
        </w:rPr>
        <w:t xml:space="preserve"> </w:t>
      </w:r>
      <w:r w:rsidRPr="00283806">
        <w:rPr>
          <w:w w:val="105"/>
        </w:rPr>
        <w:t>basis.</w:t>
      </w:r>
      <w:r w:rsidRPr="00283806">
        <w:rPr>
          <w:spacing w:val="40"/>
          <w:w w:val="105"/>
        </w:rPr>
        <w:t xml:space="preserve"> </w:t>
      </w:r>
      <w:r w:rsidRPr="00283806">
        <w:rPr>
          <w:w w:val="105"/>
        </w:rPr>
        <w:t xml:space="preserve">Many </w:t>
      </w:r>
      <w:proofErr w:type="spellStart"/>
      <w:r w:rsidRPr="00283806">
        <w:rPr>
          <w:w w:val="105"/>
        </w:rPr>
        <w:t>GreenChill</w:t>
      </w:r>
      <w:proofErr w:type="spellEnd"/>
      <w:r w:rsidRPr="00283806">
        <w:rPr>
          <w:w w:val="105"/>
        </w:rPr>
        <w:t xml:space="preserve"> partners have been able to consistently achieve lower leak rates by adopting </w:t>
      </w:r>
      <w:proofErr w:type="gramStart"/>
      <w:r w:rsidRPr="00283806">
        <w:rPr>
          <w:w w:val="105"/>
        </w:rPr>
        <w:t>newer</w:t>
      </w:r>
      <w:proofErr w:type="gramEnd"/>
      <w:r w:rsidRPr="00283806">
        <w:rPr>
          <w:w w:val="105"/>
        </w:rPr>
        <w:t xml:space="preserve"> system technologies, using newer refrigerants, applying best</w:t>
      </w:r>
    </w:p>
    <w:p w14:paraId="0FBA8F62" w14:textId="77777777" w:rsidR="00D67C1E" w:rsidRPr="00283806" w:rsidRDefault="001265CA">
      <w:pPr>
        <w:pStyle w:val="BodyText"/>
        <w:spacing w:before="133" w:line="225" w:lineRule="auto"/>
        <w:ind w:left="143" w:right="173"/>
      </w:pPr>
      <w:r w:rsidRPr="00283806">
        <w:br w:type="column"/>
      </w:r>
      <w:r w:rsidRPr="00283806">
        <w:rPr>
          <w:w w:val="105"/>
        </w:rPr>
        <w:t xml:space="preserve">practices, and maintaining leak-tight systems to decrease refrigerant emissions. The </w:t>
      </w:r>
      <w:proofErr w:type="spellStart"/>
      <w:r w:rsidRPr="00283806">
        <w:rPr>
          <w:w w:val="105"/>
        </w:rPr>
        <w:t>GreenChill</w:t>
      </w:r>
      <w:proofErr w:type="spellEnd"/>
      <w:r w:rsidRPr="00283806">
        <w:rPr>
          <w:w w:val="105"/>
        </w:rPr>
        <w:t xml:space="preserve"> voluntary partnership has also hosted webinars discussing these topics, which are available to the public. The purpose of this rule is to minimize the release of regulated substances from appliances. If any commercial refrigeration system is leaking above the applicable leak rate of 20 percent, an owner or operator is required to take the necessary steps to repair their appliance to the extent required within the timeframe specified in this final rule.</w:t>
      </w:r>
    </w:p>
    <w:p w14:paraId="031B5867" w14:textId="77777777" w:rsidR="00D67C1E" w:rsidRPr="00283806" w:rsidRDefault="001265CA">
      <w:pPr>
        <w:pStyle w:val="BodyText"/>
        <w:spacing w:line="175" w:lineRule="exact"/>
        <w:ind w:left="323"/>
      </w:pPr>
      <w:r w:rsidRPr="00283806">
        <w:rPr>
          <w:w w:val="105"/>
        </w:rPr>
        <w:t>In</w:t>
      </w:r>
      <w:r w:rsidRPr="00283806">
        <w:rPr>
          <w:spacing w:val="4"/>
          <w:w w:val="105"/>
        </w:rPr>
        <w:t xml:space="preserve"> </w:t>
      </w:r>
      <w:r w:rsidRPr="00283806">
        <w:rPr>
          <w:w w:val="105"/>
        </w:rPr>
        <w:t>response</w:t>
      </w:r>
      <w:r w:rsidRPr="00283806">
        <w:rPr>
          <w:spacing w:val="4"/>
          <w:w w:val="105"/>
        </w:rPr>
        <w:t xml:space="preserve"> </w:t>
      </w:r>
      <w:r w:rsidRPr="00283806">
        <w:rPr>
          <w:w w:val="105"/>
        </w:rPr>
        <w:t>to</w:t>
      </w:r>
      <w:r w:rsidRPr="00283806">
        <w:rPr>
          <w:spacing w:val="5"/>
          <w:w w:val="105"/>
        </w:rPr>
        <w:t xml:space="preserve"> </w:t>
      </w:r>
      <w:r w:rsidRPr="00283806">
        <w:rPr>
          <w:w w:val="105"/>
        </w:rPr>
        <w:t>one</w:t>
      </w:r>
      <w:r w:rsidRPr="00283806">
        <w:rPr>
          <w:spacing w:val="4"/>
          <w:w w:val="105"/>
        </w:rPr>
        <w:t xml:space="preserve"> </w:t>
      </w:r>
      <w:r w:rsidRPr="00283806">
        <w:rPr>
          <w:spacing w:val="-2"/>
          <w:w w:val="105"/>
        </w:rPr>
        <w:t>commenter’s</w:t>
      </w:r>
    </w:p>
    <w:p w14:paraId="4B1B2AEE" w14:textId="77777777" w:rsidR="00D67C1E" w:rsidRPr="00283806" w:rsidRDefault="001265CA">
      <w:pPr>
        <w:pStyle w:val="BodyText"/>
        <w:spacing w:before="4" w:line="225" w:lineRule="auto"/>
        <w:ind w:left="143" w:right="194"/>
      </w:pPr>
      <w:r w:rsidRPr="00283806">
        <w:rPr>
          <w:w w:val="105"/>
        </w:rPr>
        <w:t xml:space="preserve">characterization of leak rates reported under the </w:t>
      </w:r>
      <w:proofErr w:type="spellStart"/>
      <w:r w:rsidRPr="00283806">
        <w:rPr>
          <w:w w:val="105"/>
        </w:rPr>
        <w:t>GreenChill</w:t>
      </w:r>
      <w:proofErr w:type="spellEnd"/>
      <w:r w:rsidRPr="00283806">
        <w:rPr>
          <w:w w:val="105"/>
        </w:rPr>
        <w:t xml:space="preserve"> voluntary partnership, the Agency clarifies that </w:t>
      </w:r>
      <w:proofErr w:type="spellStart"/>
      <w:r w:rsidRPr="00283806">
        <w:rPr>
          <w:w w:val="105"/>
        </w:rPr>
        <w:t>GreenChill</w:t>
      </w:r>
      <w:proofErr w:type="spellEnd"/>
      <w:r w:rsidRPr="00283806">
        <w:rPr>
          <w:w w:val="105"/>
        </w:rPr>
        <w:t xml:space="preserve"> does not have any requirements for specific leak rates </w:t>
      </w:r>
      <w:proofErr w:type="gramStart"/>
      <w:r w:rsidRPr="00283806">
        <w:rPr>
          <w:w w:val="105"/>
        </w:rPr>
        <w:t>in order to</w:t>
      </w:r>
      <w:proofErr w:type="gramEnd"/>
      <w:r w:rsidRPr="00283806">
        <w:rPr>
          <w:w w:val="105"/>
        </w:rPr>
        <w:t xml:space="preserve"> be a member. The leak </w:t>
      </w:r>
      <w:proofErr w:type="gramStart"/>
      <w:r w:rsidRPr="00283806">
        <w:rPr>
          <w:w w:val="105"/>
        </w:rPr>
        <w:t>rate thresholds</w:t>
      </w:r>
      <w:proofErr w:type="gramEnd"/>
      <w:r w:rsidRPr="00283806">
        <w:rPr>
          <w:w w:val="105"/>
        </w:rPr>
        <w:t xml:space="preserve"> cited by the commenter are award thresholds used by the Agency to recognize lower leak rates reported to EPA. The partnership represents over a third of U.S. supermarkets; however, the Agency does not know if supermarkets not in the </w:t>
      </w:r>
      <w:proofErr w:type="spellStart"/>
      <w:r w:rsidRPr="00283806">
        <w:rPr>
          <w:w w:val="105"/>
        </w:rPr>
        <w:t>GreenChill</w:t>
      </w:r>
      <w:proofErr w:type="spellEnd"/>
      <w:r w:rsidRPr="00283806">
        <w:rPr>
          <w:w w:val="105"/>
        </w:rPr>
        <w:t xml:space="preserve"> voluntary partnership are doing better or worse than the voluntary members. As previously stated, the Agency may reconsider the leak rate thresholds in a future notice-and-comment rulemaking but cannot justify changes to those thresholds solely </w:t>
      </w:r>
      <w:proofErr w:type="gramStart"/>
      <w:r w:rsidRPr="00283806">
        <w:rPr>
          <w:w w:val="105"/>
        </w:rPr>
        <w:t>on the basis of</w:t>
      </w:r>
      <w:proofErr w:type="gramEnd"/>
      <w:r w:rsidRPr="00283806">
        <w:rPr>
          <w:w w:val="105"/>
        </w:rPr>
        <w:t xml:space="preserve"> voluntary reporting under the</w:t>
      </w:r>
      <w:r w:rsidRPr="00283806">
        <w:rPr>
          <w:spacing w:val="80"/>
          <w:w w:val="105"/>
        </w:rPr>
        <w:t xml:space="preserve"> </w:t>
      </w:r>
      <w:proofErr w:type="spellStart"/>
      <w:r w:rsidRPr="00283806">
        <w:rPr>
          <w:w w:val="105"/>
        </w:rPr>
        <w:t>GreenChill</w:t>
      </w:r>
      <w:proofErr w:type="spellEnd"/>
      <w:r w:rsidRPr="00283806">
        <w:rPr>
          <w:w w:val="105"/>
        </w:rPr>
        <w:t xml:space="preserve"> voluntary partnership.</w:t>
      </w:r>
    </w:p>
    <w:p w14:paraId="6C4AB930" w14:textId="77777777" w:rsidR="00D67C1E" w:rsidRPr="00283806" w:rsidRDefault="001265CA">
      <w:pPr>
        <w:pStyle w:val="ListParagraph"/>
        <w:numPr>
          <w:ilvl w:val="0"/>
          <w:numId w:val="55"/>
        </w:numPr>
        <w:tabs>
          <w:tab w:val="left" w:pos="331"/>
        </w:tabs>
        <w:spacing w:before="79"/>
        <w:ind w:left="331" w:hanging="188"/>
        <w:rPr>
          <w:sz w:val="18"/>
        </w:rPr>
      </w:pPr>
      <w:r w:rsidRPr="00283806">
        <w:rPr>
          <w:w w:val="105"/>
          <w:sz w:val="18"/>
        </w:rPr>
        <w:t>Verification</w:t>
      </w:r>
      <w:r w:rsidRPr="00283806">
        <w:rPr>
          <w:spacing w:val="34"/>
          <w:w w:val="105"/>
          <w:sz w:val="18"/>
        </w:rPr>
        <w:t xml:space="preserve"> </w:t>
      </w:r>
      <w:r w:rsidRPr="00283806">
        <w:rPr>
          <w:spacing w:val="-2"/>
          <w:w w:val="105"/>
          <w:sz w:val="18"/>
        </w:rPr>
        <w:t>Testing</w:t>
      </w:r>
    </w:p>
    <w:p w14:paraId="09AF5748" w14:textId="77777777" w:rsidR="00D67C1E" w:rsidRPr="00283806" w:rsidRDefault="001265CA">
      <w:pPr>
        <w:pStyle w:val="BodyText"/>
        <w:spacing w:before="64" w:line="225" w:lineRule="auto"/>
        <w:ind w:left="143" w:right="121" w:firstLine="180"/>
      </w:pPr>
      <w:r w:rsidRPr="00283806">
        <w:rPr>
          <w:w w:val="105"/>
        </w:rPr>
        <w:t>EPA is finalizing its requirements for initial and follow-up verification tests as proposed.</w:t>
      </w:r>
      <w:r w:rsidRPr="00283806">
        <w:rPr>
          <w:spacing w:val="40"/>
          <w:w w:val="105"/>
        </w:rPr>
        <w:t xml:space="preserve"> </w:t>
      </w:r>
      <w:r w:rsidRPr="00283806">
        <w:rPr>
          <w:w w:val="105"/>
        </w:rPr>
        <w:t>The</w:t>
      </w:r>
      <w:r w:rsidRPr="00283806">
        <w:rPr>
          <w:spacing w:val="40"/>
          <w:w w:val="105"/>
        </w:rPr>
        <w:t xml:space="preserve"> </w:t>
      </w:r>
      <w:r w:rsidRPr="00283806">
        <w:rPr>
          <w:w w:val="105"/>
        </w:rPr>
        <w:t>Agency</w:t>
      </w:r>
      <w:r w:rsidRPr="00283806">
        <w:rPr>
          <w:spacing w:val="40"/>
          <w:w w:val="105"/>
        </w:rPr>
        <w:t xml:space="preserve"> </w:t>
      </w:r>
      <w:proofErr w:type="gramStart"/>
      <w:r w:rsidRPr="00283806">
        <w:rPr>
          <w:w w:val="105"/>
        </w:rPr>
        <w:t>is</w:t>
      </w:r>
      <w:r w:rsidRPr="00283806">
        <w:rPr>
          <w:spacing w:val="40"/>
          <w:w w:val="105"/>
        </w:rPr>
        <w:t xml:space="preserve"> </w:t>
      </w:r>
      <w:r w:rsidRPr="00283806">
        <w:rPr>
          <w:w w:val="105"/>
        </w:rPr>
        <w:t>requiring</w:t>
      </w:r>
      <w:proofErr w:type="gramEnd"/>
      <w:r w:rsidRPr="00283806">
        <w:rPr>
          <w:w w:val="105"/>
        </w:rPr>
        <w:t xml:space="preserve"> initial and follow-up verification for refrigerant-containing appliances with a charge size of 15 pounds or more of a refrigerant that contains an HFC or a substitute for an HFC with a GWP</w:t>
      </w:r>
      <w:r w:rsidRPr="00283806">
        <w:rPr>
          <w:spacing w:val="80"/>
          <w:w w:val="150"/>
        </w:rPr>
        <w:t xml:space="preserve"> </w:t>
      </w:r>
      <w:r w:rsidRPr="00283806">
        <w:rPr>
          <w:w w:val="105"/>
        </w:rPr>
        <w:t>greater than 53 as a part of the leak</w:t>
      </w:r>
      <w:r w:rsidRPr="00283806">
        <w:rPr>
          <w:spacing w:val="40"/>
          <w:w w:val="105"/>
        </w:rPr>
        <w:t xml:space="preserve"> </w:t>
      </w:r>
      <w:r w:rsidRPr="00283806">
        <w:rPr>
          <w:w w:val="105"/>
        </w:rPr>
        <w:t>repair provisions under subsection (h). These requirements are analogous to similar provisions for affected ODS- containing</w:t>
      </w:r>
      <w:r w:rsidRPr="00283806">
        <w:rPr>
          <w:spacing w:val="40"/>
          <w:w w:val="105"/>
        </w:rPr>
        <w:t xml:space="preserve"> </w:t>
      </w:r>
      <w:r w:rsidRPr="00283806">
        <w:rPr>
          <w:w w:val="105"/>
        </w:rPr>
        <w:t>appliances</w:t>
      </w:r>
      <w:r w:rsidRPr="00283806">
        <w:rPr>
          <w:spacing w:val="40"/>
          <w:w w:val="105"/>
        </w:rPr>
        <w:t xml:space="preserve"> </w:t>
      </w:r>
      <w:r w:rsidRPr="00283806">
        <w:rPr>
          <w:w w:val="105"/>
        </w:rPr>
        <w:t>under</w:t>
      </w:r>
      <w:r w:rsidRPr="00283806">
        <w:rPr>
          <w:spacing w:val="40"/>
          <w:w w:val="105"/>
        </w:rPr>
        <w:t xml:space="preserve"> </w:t>
      </w:r>
      <w:r w:rsidRPr="00283806">
        <w:rPr>
          <w:w w:val="105"/>
        </w:rPr>
        <w:t>CAA section 608 under 40 CFR 82.157(e). The final rule requires owners or operators</w:t>
      </w:r>
      <w:r w:rsidRPr="00283806">
        <w:rPr>
          <w:spacing w:val="80"/>
          <w:w w:val="105"/>
        </w:rPr>
        <w:t xml:space="preserve"> </w:t>
      </w:r>
      <w:r w:rsidRPr="00283806">
        <w:rPr>
          <w:w w:val="105"/>
        </w:rPr>
        <w:t>to conduct initial and follow-up verification tests within specified timeframes</w:t>
      </w:r>
      <w:r w:rsidRPr="00283806">
        <w:rPr>
          <w:spacing w:val="39"/>
          <w:w w:val="105"/>
        </w:rPr>
        <w:t xml:space="preserve"> </w:t>
      </w:r>
      <w:r w:rsidRPr="00283806">
        <w:rPr>
          <w:w w:val="105"/>
        </w:rPr>
        <w:t>for</w:t>
      </w:r>
      <w:r w:rsidRPr="00283806">
        <w:rPr>
          <w:spacing w:val="39"/>
          <w:w w:val="105"/>
        </w:rPr>
        <w:t xml:space="preserve"> </w:t>
      </w:r>
      <w:r w:rsidRPr="00283806">
        <w:rPr>
          <w:w w:val="105"/>
        </w:rPr>
        <w:t>each</w:t>
      </w:r>
      <w:r w:rsidRPr="00283806">
        <w:rPr>
          <w:spacing w:val="39"/>
          <w:w w:val="105"/>
        </w:rPr>
        <w:t xml:space="preserve"> </w:t>
      </w:r>
      <w:r w:rsidRPr="00283806">
        <w:rPr>
          <w:w w:val="105"/>
        </w:rPr>
        <w:t>leak</w:t>
      </w:r>
      <w:r w:rsidRPr="00283806">
        <w:rPr>
          <w:spacing w:val="39"/>
          <w:w w:val="105"/>
        </w:rPr>
        <w:t xml:space="preserve"> </w:t>
      </w:r>
      <w:r w:rsidRPr="00283806">
        <w:rPr>
          <w:w w:val="105"/>
        </w:rPr>
        <w:t>that</w:t>
      </w:r>
      <w:r w:rsidRPr="00283806">
        <w:rPr>
          <w:spacing w:val="39"/>
          <w:w w:val="105"/>
        </w:rPr>
        <w:t xml:space="preserve"> </w:t>
      </w:r>
      <w:r w:rsidRPr="00283806">
        <w:rPr>
          <w:w w:val="105"/>
        </w:rPr>
        <w:t>is repaired. The initial verification test is required to be performed within 30 days (or 120 days if an industrial process shutdown is required) of an appliance exceeding the applicable leak rate and must demonstrate that leaks are</w:t>
      </w:r>
      <w:r w:rsidRPr="00283806">
        <w:rPr>
          <w:spacing w:val="40"/>
          <w:w w:val="105"/>
        </w:rPr>
        <w:t xml:space="preserve"> </w:t>
      </w:r>
      <w:r w:rsidRPr="00283806">
        <w:rPr>
          <w:w w:val="105"/>
        </w:rPr>
        <w:t>repaired, where a repair attempt was made.</w:t>
      </w:r>
      <w:r w:rsidRPr="00283806">
        <w:rPr>
          <w:spacing w:val="40"/>
          <w:w w:val="105"/>
        </w:rPr>
        <w:t xml:space="preserve"> </w:t>
      </w:r>
      <w:r w:rsidRPr="00283806">
        <w:rPr>
          <w:w w:val="105"/>
        </w:rPr>
        <w:t>The</w:t>
      </w:r>
      <w:r w:rsidRPr="00283806">
        <w:rPr>
          <w:spacing w:val="40"/>
          <w:w w:val="105"/>
        </w:rPr>
        <w:t xml:space="preserve"> </w:t>
      </w:r>
      <w:r w:rsidRPr="00283806">
        <w:rPr>
          <w:w w:val="105"/>
        </w:rPr>
        <w:t>initial</w:t>
      </w:r>
      <w:r w:rsidRPr="00283806">
        <w:rPr>
          <w:spacing w:val="40"/>
          <w:w w:val="105"/>
        </w:rPr>
        <w:t xml:space="preserve"> </w:t>
      </w:r>
      <w:r w:rsidRPr="00283806">
        <w:rPr>
          <w:w w:val="105"/>
        </w:rPr>
        <w:t>verification</w:t>
      </w:r>
      <w:r w:rsidRPr="00283806">
        <w:rPr>
          <w:spacing w:val="40"/>
          <w:w w:val="105"/>
        </w:rPr>
        <w:t xml:space="preserve"> </w:t>
      </w:r>
      <w:r w:rsidRPr="00283806">
        <w:rPr>
          <w:w w:val="105"/>
        </w:rPr>
        <w:t>test verifies that the leak has been repaired prior to adding refrigerant back into the appliance, and the follow-up</w:t>
      </w:r>
    </w:p>
    <w:p w14:paraId="26B42DEA"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6" w:space="40"/>
            <w:col w:w="3501" w:space="39"/>
            <w:col w:w="3624"/>
          </w:cols>
        </w:sectPr>
      </w:pPr>
    </w:p>
    <w:p w14:paraId="69522BCB" w14:textId="77777777" w:rsidR="00D67C1E" w:rsidRPr="00283806" w:rsidRDefault="001265CA">
      <w:pPr>
        <w:pStyle w:val="BodyText"/>
        <w:spacing w:before="136" w:line="225" w:lineRule="auto"/>
        <w:ind w:right="39"/>
      </w:pPr>
      <w:proofErr w:type="gramStart"/>
      <w:r w:rsidRPr="00283806">
        <w:rPr>
          <w:w w:val="105"/>
        </w:rPr>
        <w:lastRenderedPageBreak/>
        <w:t>verification</w:t>
      </w:r>
      <w:proofErr w:type="gramEnd"/>
      <w:r w:rsidRPr="00283806">
        <w:rPr>
          <w:w w:val="105"/>
        </w:rPr>
        <w:t xml:space="preserve"> test confirms that the repair held after </w:t>
      </w:r>
      <w:proofErr w:type="gramStart"/>
      <w:r w:rsidRPr="00283806">
        <w:rPr>
          <w:w w:val="105"/>
        </w:rPr>
        <w:t>refrigerant</w:t>
      </w:r>
      <w:proofErr w:type="gramEnd"/>
      <w:r w:rsidRPr="00283806">
        <w:rPr>
          <w:w w:val="105"/>
        </w:rPr>
        <w:t xml:space="preserve"> has been added</w:t>
      </w:r>
      <w:r w:rsidRPr="00283806">
        <w:rPr>
          <w:spacing w:val="80"/>
          <w:w w:val="105"/>
        </w:rPr>
        <w:t xml:space="preserve"> </w:t>
      </w:r>
      <w:r w:rsidRPr="00283806">
        <w:rPr>
          <w:w w:val="105"/>
        </w:rPr>
        <w:t>and</w:t>
      </w:r>
      <w:r w:rsidRPr="00283806">
        <w:rPr>
          <w:spacing w:val="40"/>
          <w:w w:val="105"/>
        </w:rPr>
        <w:t xml:space="preserve"> </w:t>
      </w:r>
      <w:r w:rsidRPr="00283806">
        <w:rPr>
          <w:w w:val="105"/>
        </w:rPr>
        <w:t>the</w:t>
      </w:r>
      <w:r w:rsidRPr="00283806">
        <w:rPr>
          <w:spacing w:val="40"/>
          <w:w w:val="105"/>
        </w:rPr>
        <w:t xml:space="preserve"> </w:t>
      </w:r>
      <w:r w:rsidRPr="00283806">
        <w:rPr>
          <w:w w:val="105"/>
        </w:rPr>
        <w:t>appliance</w:t>
      </w:r>
      <w:r w:rsidRPr="00283806">
        <w:rPr>
          <w:spacing w:val="40"/>
          <w:w w:val="105"/>
        </w:rPr>
        <w:t xml:space="preserve"> </w:t>
      </w:r>
      <w:r w:rsidRPr="00283806">
        <w:rPr>
          <w:w w:val="105"/>
        </w:rPr>
        <w:t>has</w:t>
      </w:r>
      <w:r w:rsidRPr="00283806">
        <w:rPr>
          <w:spacing w:val="40"/>
          <w:w w:val="105"/>
        </w:rPr>
        <w:t xml:space="preserve"> </w:t>
      </w:r>
      <w:r w:rsidRPr="00283806">
        <w:rPr>
          <w:w w:val="105"/>
        </w:rPr>
        <w:t>been</w:t>
      </w:r>
      <w:r w:rsidRPr="00283806">
        <w:rPr>
          <w:spacing w:val="40"/>
          <w:w w:val="105"/>
        </w:rPr>
        <w:t xml:space="preserve"> </w:t>
      </w:r>
      <w:r w:rsidRPr="00283806">
        <w:rPr>
          <w:w w:val="105"/>
        </w:rPr>
        <w:t>brought back to normal operating characteristics. The follow-up verification test is</w:t>
      </w:r>
      <w:r w:rsidRPr="00283806">
        <w:rPr>
          <w:spacing w:val="40"/>
          <w:w w:val="105"/>
        </w:rPr>
        <w:t xml:space="preserve"> </w:t>
      </w:r>
      <w:r w:rsidRPr="00283806">
        <w:rPr>
          <w:w w:val="105"/>
        </w:rPr>
        <w:t>required to be conducted within 10 days of a successful initial verification test or 10 days after the appliance has returned to normal operating conditions (if the appliance or isolated component of the appliance was evacuated to perform repairs). The follow-up verification test</w:t>
      </w:r>
      <w:r w:rsidRPr="00283806">
        <w:rPr>
          <w:spacing w:val="80"/>
          <w:w w:val="105"/>
        </w:rPr>
        <w:t xml:space="preserve"> </w:t>
      </w:r>
      <w:r w:rsidRPr="00283806">
        <w:rPr>
          <w:w w:val="105"/>
        </w:rPr>
        <w:t xml:space="preserve">is necessary to confirm that the leak repair has </w:t>
      </w:r>
      <w:proofErr w:type="gramStart"/>
      <w:r w:rsidRPr="00283806">
        <w:rPr>
          <w:w w:val="105"/>
        </w:rPr>
        <w:t>held</w:t>
      </w:r>
      <w:proofErr w:type="gramEnd"/>
      <w:r w:rsidRPr="00283806">
        <w:rPr>
          <w:w w:val="105"/>
        </w:rPr>
        <w:t xml:space="preserve"> after the refrigerant- containing appliance has been</w:t>
      </w:r>
      <w:r w:rsidRPr="00283806">
        <w:rPr>
          <w:spacing w:val="80"/>
          <w:w w:val="105"/>
        </w:rPr>
        <w:t xml:space="preserve"> </w:t>
      </w:r>
      <w:r w:rsidRPr="00283806">
        <w:rPr>
          <w:w w:val="105"/>
        </w:rPr>
        <w:t>recharged, pressurized, and returned to normal operating conditions. If the</w:t>
      </w:r>
      <w:r w:rsidRPr="00283806">
        <w:rPr>
          <w:spacing w:val="80"/>
          <w:w w:val="105"/>
        </w:rPr>
        <w:t xml:space="preserve"> </w:t>
      </w:r>
      <w:r w:rsidRPr="00283806">
        <w:rPr>
          <w:w w:val="105"/>
        </w:rPr>
        <w:t xml:space="preserve">initial or follow-up verification tests </w:t>
      </w:r>
      <w:proofErr w:type="gramStart"/>
      <w:r w:rsidRPr="00283806">
        <w:rPr>
          <w:w w:val="105"/>
        </w:rPr>
        <w:t>indicates</w:t>
      </w:r>
      <w:proofErr w:type="gramEnd"/>
      <w:r w:rsidRPr="00283806">
        <w:rPr>
          <w:w w:val="105"/>
        </w:rPr>
        <w:t xml:space="preserve"> that a leak repair was not successful, the owner or operator may conduct as many additional repairs and initial or follow-up verification tests as needed to achieve a successful leak</w:t>
      </w:r>
      <w:r w:rsidRPr="00283806">
        <w:rPr>
          <w:spacing w:val="40"/>
          <w:w w:val="105"/>
        </w:rPr>
        <w:t xml:space="preserve"> </w:t>
      </w:r>
      <w:r w:rsidRPr="00283806">
        <w:rPr>
          <w:w w:val="105"/>
        </w:rPr>
        <w:t>repair</w:t>
      </w:r>
      <w:r w:rsidRPr="00283806">
        <w:rPr>
          <w:spacing w:val="40"/>
          <w:w w:val="105"/>
        </w:rPr>
        <w:t xml:space="preserve"> </w:t>
      </w:r>
      <w:r w:rsidRPr="00283806">
        <w:rPr>
          <w:w w:val="105"/>
        </w:rPr>
        <w:t>within</w:t>
      </w:r>
      <w:r w:rsidRPr="00283806">
        <w:rPr>
          <w:spacing w:val="40"/>
          <w:w w:val="105"/>
        </w:rPr>
        <w:t xml:space="preserve"> </w:t>
      </w:r>
      <w:r w:rsidRPr="00283806">
        <w:rPr>
          <w:w w:val="105"/>
        </w:rPr>
        <w:t>the</w:t>
      </w:r>
      <w:r w:rsidRPr="00283806">
        <w:rPr>
          <w:spacing w:val="40"/>
          <w:w w:val="105"/>
        </w:rPr>
        <w:t xml:space="preserve"> </w:t>
      </w:r>
      <w:r w:rsidRPr="00283806">
        <w:rPr>
          <w:w w:val="105"/>
        </w:rPr>
        <w:t>applicable</w:t>
      </w:r>
      <w:r w:rsidRPr="00283806">
        <w:rPr>
          <w:spacing w:val="40"/>
          <w:w w:val="105"/>
        </w:rPr>
        <w:t xml:space="preserve"> </w:t>
      </w:r>
      <w:proofErr w:type="gramStart"/>
      <w:r w:rsidRPr="00283806">
        <w:rPr>
          <w:w w:val="105"/>
        </w:rPr>
        <w:t xml:space="preserve">time </w:t>
      </w:r>
      <w:r w:rsidRPr="00283806">
        <w:rPr>
          <w:spacing w:val="-2"/>
          <w:w w:val="105"/>
        </w:rPr>
        <w:t>period</w:t>
      </w:r>
      <w:proofErr w:type="gramEnd"/>
      <w:r w:rsidRPr="00283806">
        <w:rPr>
          <w:spacing w:val="-2"/>
          <w:w w:val="105"/>
        </w:rPr>
        <w:t>.</w:t>
      </w:r>
    </w:p>
    <w:p w14:paraId="1066F705" w14:textId="77777777" w:rsidR="00D67C1E" w:rsidRPr="00283806" w:rsidRDefault="001265CA">
      <w:pPr>
        <w:pStyle w:val="BodyText"/>
        <w:spacing w:line="171" w:lineRule="exact"/>
        <w:ind w:left="340"/>
      </w:pPr>
      <w:r w:rsidRPr="00283806">
        <w:rPr>
          <w:w w:val="105"/>
        </w:rPr>
        <w:t>EPA</w:t>
      </w:r>
      <w:r w:rsidRPr="00283806">
        <w:rPr>
          <w:spacing w:val="12"/>
          <w:w w:val="105"/>
        </w:rPr>
        <w:t xml:space="preserve"> </w:t>
      </w:r>
      <w:r w:rsidRPr="00283806">
        <w:rPr>
          <w:w w:val="105"/>
        </w:rPr>
        <w:t>notes</w:t>
      </w:r>
      <w:r w:rsidRPr="00283806">
        <w:rPr>
          <w:spacing w:val="12"/>
          <w:w w:val="105"/>
        </w:rPr>
        <w:t xml:space="preserve"> </w:t>
      </w:r>
      <w:r w:rsidRPr="00283806">
        <w:rPr>
          <w:w w:val="105"/>
        </w:rPr>
        <w:t>that</w:t>
      </w:r>
      <w:r w:rsidRPr="00283806">
        <w:rPr>
          <w:spacing w:val="12"/>
          <w:w w:val="105"/>
        </w:rPr>
        <w:t xml:space="preserve"> </w:t>
      </w:r>
      <w:r w:rsidRPr="00283806">
        <w:rPr>
          <w:w w:val="105"/>
        </w:rPr>
        <w:t>in</w:t>
      </w:r>
      <w:r w:rsidRPr="00283806">
        <w:rPr>
          <w:spacing w:val="12"/>
          <w:w w:val="105"/>
        </w:rPr>
        <w:t xml:space="preserve"> </w:t>
      </w:r>
      <w:r w:rsidRPr="00283806">
        <w:rPr>
          <w:w w:val="105"/>
        </w:rPr>
        <w:t>some</w:t>
      </w:r>
      <w:r w:rsidRPr="00283806">
        <w:rPr>
          <w:spacing w:val="12"/>
          <w:w w:val="105"/>
        </w:rPr>
        <w:t xml:space="preserve"> </w:t>
      </w:r>
      <w:r w:rsidRPr="00283806">
        <w:rPr>
          <w:w w:val="105"/>
        </w:rPr>
        <w:t>cases,</w:t>
      </w:r>
      <w:r w:rsidRPr="00283806">
        <w:rPr>
          <w:spacing w:val="12"/>
          <w:w w:val="105"/>
        </w:rPr>
        <w:t xml:space="preserve"> </w:t>
      </w:r>
      <w:r w:rsidRPr="00283806">
        <w:rPr>
          <w:spacing w:val="-10"/>
          <w:w w:val="105"/>
        </w:rPr>
        <w:t>a</w:t>
      </w:r>
    </w:p>
    <w:p w14:paraId="591F4059" w14:textId="77777777" w:rsidR="00D67C1E" w:rsidRPr="00283806" w:rsidRDefault="001265CA">
      <w:pPr>
        <w:pStyle w:val="BodyText"/>
        <w:spacing w:before="4" w:line="225" w:lineRule="auto"/>
        <w:ind w:right="28"/>
      </w:pPr>
      <w:r w:rsidRPr="00283806">
        <w:rPr>
          <w:w w:val="105"/>
        </w:rPr>
        <w:t xml:space="preserve">follow-up verification </w:t>
      </w:r>
      <w:proofErr w:type="gramStart"/>
      <w:r w:rsidRPr="00283806">
        <w:rPr>
          <w:w w:val="105"/>
        </w:rPr>
        <w:t>test</w:t>
      </w:r>
      <w:proofErr w:type="gramEnd"/>
      <w:r w:rsidRPr="00283806">
        <w:rPr>
          <w:w w:val="105"/>
        </w:rPr>
        <w:t xml:space="preserve"> may be impossible; for example, when it would be unsafe to be present when the system is at normal operating characteristics</w:t>
      </w:r>
      <w:r w:rsidRPr="00283806">
        <w:rPr>
          <w:spacing w:val="80"/>
          <w:w w:val="105"/>
        </w:rPr>
        <w:t xml:space="preserve"> </w:t>
      </w:r>
      <w:r w:rsidRPr="00283806">
        <w:rPr>
          <w:w w:val="105"/>
        </w:rPr>
        <w:t>and conditions. Where it is unsafe to be present or otherwise impossible to conduct a follow-up verification test when the system is at normal operating characteristics and conditions, the</w:t>
      </w:r>
      <w:r w:rsidRPr="00283806">
        <w:rPr>
          <w:spacing w:val="40"/>
          <w:w w:val="105"/>
        </w:rPr>
        <w:t xml:space="preserve"> </w:t>
      </w:r>
      <w:r w:rsidRPr="00283806">
        <w:rPr>
          <w:w w:val="105"/>
        </w:rPr>
        <w:t>Agency is requiring that where practicable, the follow-up verification</w:t>
      </w:r>
      <w:r w:rsidRPr="00283806">
        <w:rPr>
          <w:spacing w:val="40"/>
          <w:w w:val="105"/>
        </w:rPr>
        <w:t xml:space="preserve"> </w:t>
      </w:r>
      <w:r w:rsidRPr="00283806">
        <w:rPr>
          <w:w w:val="105"/>
        </w:rPr>
        <w:t>test be conducted prior to the system returning to normal operating characteristics and conditions. In such situations, the owner or operator has the burden of showing that it was unsafe to be present when the system is at normal operating</w:t>
      </w:r>
      <w:r w:rsidRPr="00283806">
        <w:rPr>
          <w:spacing w:val="6"/>
          <w:w w:val="105"/>
        </w:rPr>
        <w:t xml:space="preserve"> </w:t>
      </w:r>
      <w:r w:rsidRPr="00283806">
        <w:rPr>
          <w:w w:val="105"/>
        </w:rPr>
        <w:t>characteristics</w:t>
      </w:r>
      <w:r w:rsidRPr="00283806">
        <w:rPr>
          <w:spacing w:val="6"/>
          <w:w w:val="105"/>
        </w:rPr>
        <w:t xml:space="preserve"> </w:t>
      </w:r>
      <w:r w:rsidRPr="00283806">
        <w:rPr>
          <w:w w:val="105"/>
        </w:rPr>
        <w:t>and</w:t>
      </w:r>
      <w:r w:rsidRPr="00283806">
        <w:rPr>
          <w:spacing w:val="7"/>
          <w:w w:val="105"/>
        </w:rPr>
        <w:t xml:space="preserve"> </w:t>
      </w:r>
      <w:r w:rsidRPr="00283806">
        <w:rPr>
          <w:spacing w:val="-2"/>
          <w:w w:val="105"/>
        </w:rPr>
        <w:t>conditions.</w:t>
      </w:r>
    </w:p>
    <w:p w14:paraId="1EF485C1" w14:textId="77777777" w:rsidR="00D67C1E" w:rsidRPr="00283806" w:rsidRDefault="001265CA">
      <w:pPr>
        <w:pStyle w:val="BodyText"/>
        <w:spacing w:line="174" w:lineRule="exact"/>
        <w:ind w:left="340"/>
      </w:pPr>
      <w:r w:rsidRPr="00283806">
        <w:rPr>
          <w:w w:val="110"/>
        </w:rPr>
        <w:t>As</w:t>
      </w:r>
      <w:r w:rsidRPr="00283806">
        <w:rPr>
          <w:spacing w:val="1"/>
          <w:w w:val="110"/>
        </w:rPr>
        <w:t xml:space="preserve"> </w:t>
      </w:r>
      <w:r w:rsidRPr="00283806">
        <w:rPr>
          <w:w w:val="110"/>
        </w:rPr>
        <w:t>discussed</w:t>
      </w:r>
      <w:r w:rsidRPr="00283806">
        <w:rPr>
          <w:spacing w:val="1"/>
          <w:w w:val="110"/>
        </w:rPr>
        <w:t xml:space="preserve"> </w:t>
      </w:r>
      <w:r w:rsidRPr="00283806">
        <w:rPr>
          <w:w w:val="110"/>
        </w:rPr>
        <w:t>in</w:t>
      </w:r>
      <w:r w:rsidRPr="00283806">
        <w:rPr>
          <w:spacing w:val="1"/>
          <w:w w:val="110"/>
        </w:rPr>
        <w:t xml:space="preserve"> </w:t>
      </w:r>
      <w:r w:rsidRPr="00283806">
        <w:rPr>
          <w:w w:val="110"/>
        </w:rPr>
        <w:t>the</w:t>
      </w:r>
      <w:r w:rsidRPr="00283806">
        <w:rPr>
          <w:spacing w:val="1"/>
          <w:w w:val="110"/>
        </w:rPr>
        <w:t xml:space="preserve"> </w:t>
      </w:r>
      <w:r w:rsidRPr="00283806">
        <w:rPr>
          <w:spacing w:val="-2"/>
          <w:w w:val="110"/>
        </w:rPr>
        <w:t>proposal,</w:t>
      </w:r>
    </w:p>
    <w:p w14:paraId="25BBF46A" w14:textId="77777777" w:rsidR="00D67C1E" w:rsidRPr="00283806" w:rsidRDefault="001265CA">
      <w:pPr>
        <w:pStyle w:val="BodyText"/>
        <w:spacing w:before="3" w:line="225" w:lineRule="auto"/>
        <w:ind w:right="53"/>
      </w:pPr>
      <w:proofErr w:type="gramStart"/>
      <w:r w:rsidRPr="00283806">
        <w:rPr>
          <w:w w:val="105"/>
        </w:rPr>
        <w:t>verification</w:t>
      </w:r>
      <w:proofErr w:type="gramEnd"/>
      <w:r w:rsidRPr="00283806">
        <w:rPr>
          <w:w w:val="105"/>
        </w:rPr>
        <w:t xml:space="preserve"> testing involves important practices, processes, and activities regarding the repair and </w:t>
      </w:r>
      <w:proofErr w:type="gramStart"/>
      <w:r w:rsidRPr="00283806">
        <w:rPr>
          <w:w w:val="105"/>
        </w:rPr>
        <w:t>servicing</w:t>
      </w:r>
      <w:proofErr w:type="gramEnd"/>
      <w:r w:rsidRPr="00283806">
        <w:rPr>
          <w:w w:val="105"/>
        </w:rPr>
        <w:t xml:space="preserve"> of equipment. The tests are performed shortly after an appliance has been repaired to confirm that the leak has</w:t>
      </w:r>
      <w:r w:rsidRPr="00283806">
        <w:rPr>
          <w:spacing w:val="40"/>
          <w:w w:val="105"/>
        </w:rPr>
        <w:t xml:space="preserve"> </w:t>
      </w:r>
      <w:r w:rsidRPr="00283806">
        <w:rPr>
          <w:w w:val="105"/>
        </w:rPr>
        <w:t>been successfully repaired. Without the verification tests, it may take additional time for the owner or operator to realize that the repair has been unsuccessful</w:t>
      </w:r>
      <w:r w:rsidRPr="00283806">
        <w:rPr>
          <w:spacing w:val="80"/>
          <w:w w:val="105"/>
        </w:rPr>
        <w:t xml:space="preserve"> </w:t>
      </w:r>
      <w:r w:rsidRPr="00283806">
        <w:rPr>
          <w:w w:val="105"/>
        </w:rPr>
        <w:t xml:space="preserve">and during that time </w:t>
      </w:r>
      <w:proofErr w:type="gramStart"/>
      <w:r w:rsidRPr="00283806">
        <w:rPr>
          <w:w w:val="105"/>
        </w:rPr>
        <w:t>refrigerant</w:t>
      </w:r>
      <w:proofErr w:type="gramEnd"/>
      <w:r w:rsidRPr="00283806">
        <w:rPr>
          <w:w w:val="105"/>
        </w:rPr>
        <w:t xml:space="preserve"> could continue to leak from the appliance. The provision</w:t>
      </w:r>
      <w:r w:rsidRPr="00283806">
        <w:rPr>
          <w:spacing w:val="40"/>
          <w:w w:val="105"/>
        </w:rPr>
        <w:t xml:space="preserve"> </w:t>
      </w:r>
      <w:r w:rsidRPr="00283806">
        <w:rPr>
          <w:w w:val="105"/>
        </w:rPr>
        <w:t>is</w:t>
      </w:r>
      <w:r w:rsidRPr="00283806">
        <w:rPr>
          <w:spacing w:val="40"/>
          <w:w w:val="105"/>
        </w:rPr>
        <w:t xml:space="preserve"> </w:t>
      </w:r>
      <w:r w:rsidRPr="00283806">
        <w:rPr>
          <w:w w:val="105"/>
        </w:rPr>
        <w:t>designed</w:t>
      </w:r>
      <w:r w:rsidRPr="00283806">
        <w:rPr>
          <w:spacing w:val="40"/>
          <w:w w:val="105"/>
        </w:rPr>
        <w:t xml:space="preserve"> </w:t>
      </w:r>
      <w:r w:rsidRPr="00283806">
        <w:rPr>
          <w:w w:val="105"/>
        </w:rPr>
        <w:t>to</w:t>
      </w:r>
      <w:r w:rsidRPr="00283806">
        <w:rPr>
          <w:spacing w:val="40"/>
          <w:w w:val="105"/>
        </w:rPr>
        <w:t xml:space="preserve"> </w:t>
      </w:r>
      <w:r w:rsidRPr="00283806">
        <w:rPr>
          <w:w w:val="105"/>
        </w:rPr>
        <w:t>help</w:t>
      </w:r>
      <w:r w:rsidRPr="00283806">
        <w:rPr>
          <w:spacing w:val="40"/>
          <w:w w:val="105"/>
        </w:rPr>
        <w:t xml:space="preserve"> </w:t>
      </w:r>
      <w:r w:rsidRPr="00283806">
        <w:rPr>
          <w:w w:val="105"/>
        </w:rPr>
        <w:t>ensure that leaks are repaired successfully and that the repair holds, so that repair has the</w:t>
      </w:r>
      <w:r w:rsidRPr="00283806">
        <w:rPr>
          <w:spacing w:val="40"/>
          <w:w w:val="105"/>
        </w:rPr>
        <w:t xml:space="preserve"> </w:t>
      </w:r>
      <w:r w:rsidRPr="00283806">
        <w:rPr>
          <w:w w:val="105"/>
        </w:rPr>
        <w:t>intended</w:t>
      </w:r>
      <w:r w:rsidRPr="00283806">
        <w:rPr>
          <w:spacing w:val="40"/>
          <w:w w:val="105"/>
        </w:rPr>
        <w:t xml:space="preserve"> </w:t>
      </w:r>
      <w:r w:rsidRPr="00283806">
        <w:rPr>
          <w:w w:val="105"/>
        </w:rPr>
        <w:t>effect</w:t>
      </w:r>
      <w:r w:rsidRPr="00283806">
        <w:rPr>
          <w:spacing w:val="40"/>
          <w:w w:val="105"/>
        </w:rPr>
        <w:t xml:space="preserve"> </w:t>
      </w:r>
      <w:r w:rsidRPr="00283806">
        <w:rPr>
          <w:w w:val="105"/>
        </w:rPr>
        <w:t>of</w:t>
      </w:r>
      <w:r w:rsidRPr="00283806">
        <w:rPr>
          <w:spacing w:val="40"/>
          <w:w w:val="105"/>
        </w:rPr>
        <w:t xml:space="preserve"> </w:t>
      </w:r>
      <w:r w:rsidRPr="00283806">
        <w:rPr>
          <w:w w:val="105"/>
        </w:rPr>
        <w:t>limiting refrigerant emissions from the</w:t>
      </w:r>
      <w:r w:rsidRPr="00283806">
        <w:rPr>
          <w:spacing w:val="80"/>
          <w:w w:val="105"/>
        </w:rPr>
        <w:t xml:space="preserve"> </w:t>
      </w:r>
      <w:r w:rsidRPr="00283806">
        <w:rPr>
          <w:w w:val="105"/>
        </w:rPr>
        <w:t>appliance.</w:t>
      </w:r>
      <w:r w:rsidRPr="00283806">
        <w:rPr>
          <w:spacing w:val="40"/>
          <w:w w:val="105"/>
        </w:rPr>
        <w:t xml:space="preserve"> </w:t>
      </w:r>
      <w:r w:rsidRPr="00283806">
        <w:rPr>
          <w:w w:val="105"/>
        </w:rPr>
        <w:t>EPA</w:t>
      </w:r>
      <w:r w:rsidRPr="00283806">
        <w:rPr>
          <w:spacing w:val="40"/>
          <w:w w:val="105"/>
        </w:rPr>
        <w:t xml:space="preserve"> </w:t>
      </w:r>
      <w:r w:rsidRPr="00283806">
        <w:rPr>
          <w:w w:val="105"/>
        </w:rPr>
        <w:t>is</w:t>
      </w:r>
      <w:r w:rsidRPr="00283806">
        <w:rPr>
          <w:spacing w:val="40"/>
          <w:w w:val="105"/>
        </w:rPr>
        <w:t xml:space="preserve"> </w:t>
      </w:r>
      <w:r w:rsidRPr="00283806">
        <w:rPr>
          <w:w w:val="105"/>
        </w:rPr>
        <w:t>finalizing requirements that the verification tests must be performed for all leak repairs to ensure that the leak repair is done correctly</w:t>
      </w:r>
      <w:r w:rsidRPr="00283806">
        <w:rPr>
          <w:spacing w:val="40"/>
          <w:w w:val="105"/>
        </w:rPr>
        <w:t xml:space="preserve"> </w:t>
      </w:r>
      <w:r w:rsidRPr="00283806">
        <w:rPr>
          <w:w w:val="105"/>
        </w:rPr>
        <w:t>the</w:t>
      </w:r>
      <w:r w:rsidRPr="00283806">
        <w:rPr>
          <w:spacing w:val="40"/>
          <w:w w:val="105"/>
        </w:rPr>
        <w:t xml:space="preserve"> </w:t>
      </w:r>
      <w:r w:rsidRPr="00283806">
        <w:rPr>
          <w:w w:val="105"/>
        </w:rPr>
        <w:t>first</w:t>
      </w:r>
      <w:r w:rsidRPr="00283806">
        <w:rPr>
          <w:spacing w:val="40"/>
          <w:w w:val="105"/>
        </w:rPr>
        <w:t xml:space="preserve"> </w:t>
      </w:r>
      <w:r w:rsidRPr="00283806">
        <w:rPr>
          <w:w w:val="105"/>
        </w:rPr>
        <w:t>time,</w:t>
      </w:r>
      <w:r w:rsidRPr="00283806">
        <w:rPr>
          <w:spacing w:val="40"/>
          <w:w w:val="105"/>
        </w:rPr>
        <w:t xml:space="preserve"> </w:t>
      </w:r>
      <w:r w:rsidRPr="00283806">
        <w:rPr>
          <w:w w:val="105"/>
        </w:rPr>
        <w:t>holds,</w:t>
      </w:r>
      <w:r w:rsidRPr="00283806">
        <w:rPr>
          <w:spacing w:val="40"/>
          <w:w w:val="105"/>
        </w:rPr>
        <w:t xml:space="preserve"> </w:t>
      </w:r>
      <w:r w:rsidRPr="00283806">
        <w:rPr>
          <w:w w:val="105"/>
        </w:rPr>
        <w:t>and</w:t>
      </w:r>
      <w:r w:rsidRPr="00283806">
        <w:rPr>
          <w:spacing w:val="40"/>
          <w:w w:val="105"/>
        </w:rPr>
        <w:t xml:space="preserve"> </w:t>
      </w:r>
      <w:r w:rsidRPr="00283806">
        <w:rPr>
          <w:w w:val="105"/>
        </w:rPr>
        <w:t>has its intended effect, which will help minimize releases of HFCs from the</w:t>
      </w:r>
    </w:p>
    <w:p w14:paraId="369C3BEF" w14:textId="77777777" w:rsidR="00D67C1E" w:rsidRPr="00283806" w:rsidRDefault="001265CA">
      <w:pPr>
        <w:pStyle w:val="BodyText"/>
        <w:spacing w:before="134" w:line="228" w:lineRule="auto"/>
        <w:ind w:left="142" w:right="58"/>
      </w:pPr>
      <w:r w:rsidRPr="00283806">
        <w:br w:type="column"/>
      </w:r>
      <w:r w:rsidRPr="00283806">
        <w:rPr>
          <w:w w:val="105"/>
        </w:rPr>
        <w:t>appliance,</w:t>
      </w:r>
      <w:r w:rsidRPr="00283806">
        <w:rPr>
          <w:spacing w:val="40"/>
          <w:w w:val="105"/>
        </w:rPr>
        <w:t xml:space="preserve"> </w:t>
      </w:r>
      <w:proofErr w:type="gramStart"/>
      <w:r w:rsidRPr="00283806">
        <w:rPr>
          <w:w w:val="105"/>
        </w:rPr>
        <w:t>and</w:t>
      </w:r>
      <w:r w:rsidRPr="00283806">
        <w:rPr>
          <w:spacing w:val="40"/>
          <w:w w:val="105"/>
        </w:rPr>
        <w:t xml:space="preserve"> </w:t>
      </w:r>
      <w:r w:rsidRPr="00283806">
        <w:rPr>
          <w:w w:val="105"/>
        </w:rPr>
        <w:t>also</w:t>
      </w:r>
      <w:proofErr w:type="gramEnd"/>
      <w:r w:rsidRPr="00283806">
        <w:rPr>
          <w:spacing w:val="40"/>
          <w:w w:val="105"/>
        </w:rPr>
        <w:t xml:space="preserve"> </w:t>
      </w:r>
      <w:r w:rsidRPr="00283806">
        <w:rPr>
          <w:w w:val="105"/>
        </w:rPr>
        <w:t>help</w:t>
      </w:r>
      <w:r w:rsidRPr="00283806">
        <w:rPr>
          <w:spacing w:val="40"/>
          <w:w w:val="105"/>
        </w:rPr>
        <w:t xml:space="preserve"> </w:t>
      </w:r>
      <w:r w:rsidRPr="00283806">
        <w:rPr>
          <w:w w:val="105"/>
        </w:rPr>
        <w:t>maximize HFCs available for eventual reclamation by limiting such releases.</w:t>
      </w:r>
    </w:p>
    <w:p w14:paraId="22B406DC" w14:textId="77777777" w:rsidR="00D67C1E" w:rsidRPr="00283806" w:rsidRDefault="001265CA">
      <w:pPr>
        <w:pStyle w:val="BodyText"/>
        <w:spacing w:line="225" w:lineRule="auto"/>
        <w:ind w:left="142" w:firstLine="180"/>
      </w:pPr>
      <w:r w:rsidRPr="00283806">
        <w:rPr>
          <w:rFonts w:ascii="Book Antiqua" w:hAnsi="Book Antiqua"/>
          <w:i/>
          <w:w w:val="105"/>
        </w:rPr>
        <w:t xml:space="preserve">Comment: </w:t>
      </w:r>
      <w:r w:rsidRPr="00283806">
        <w:rPr>
          <w:w w:val="105"/>
        </w:rPr>
        <w:t>A commenter stated that a properly commissioned system should not require an additional verification</w:t>
      </w:r>
      <w:r w:rsidRPr="00283806">
        <w:rPr>
          <w:spacing w:val="40"/>
          <w:w w:val="105"/>
        </w:rPr>
        <w:t xml:space="preserve"> </w:t>
      </w:r>
      <w:r w:rsidRPr="00283806">
        <w:rPr>
          <w:w w:val="105"/>
        </w:rPr>
        <w:t>step in later weeks or follow-up leak requirements. They asserted that properly commissioned maintenance work, as required by UL 60335–2–40</w:t>
      </w:r>
      <w:r w:rsidRPr="00283806">
        <w:rPr>
          <w:spacing w:val="80"/>
          <w:w w:val="105"/>
        </w:rPr>
        <w:t xml:space="preserve"> </w:t>
      </w:r>
      <w:r w:rsidRPr="00283806">
        <w:rPr>
          <w:w w:val="105"/>
        </w:rPr>
        <w:t>and UL 60335–2–89, or another appropriate standard should be</w:t>
      </w:r>
      <w:r w:rsidRPr="00283806">
        <w:rPr>
          <w:spacing w:val="40"/>
          <w:w w:val="105"/>
        </w:rPr>
        <w:t xml:space="preserve"> </w:t>
      </w:r>
      <w:r w:rsidRPr="00283806">
        <w:rPr>
          <w:w w:val="105"/>
        </w:rPr>
        <w:t>sufficient. The commenter</w:t>
      </w:r>
      <w:r w:rsidRPr="00283806">
        <w:rPr>
          <w:spacing w:val="80"/>
          <w:w w:val="105"/>
        </w:rPr>
        <w:t xml:space="preserve"> </w:t>
      </w:r>
      <w:r w:rsidRPr="00283806">
        <w:rPr>
          <w:w w:val="105"/>
        </w:rPr>
        <w:t>recommended EPA restrict this requirement to systems with very large charge sizes, perhaps above 500 pounds, to be consistent with other thresholds</w:t>
      </w:r>
      <w:r w:rsidRPr="00283806">
        <w:rPr>
          <w:spacing w:val="80"/>
          <w:w w:val="105"/>
        </w:rPr>
        <w:t xml:space="preserve"> </w:t>
      </w:r>
      <w:r w:rsidRPr="00283806">
        <w:rPr>
          <w:w w:val="105"/>
        </w:rPr>
        <w:t>set in the rule. The commenter also suggested EPA should require reporting</w:t>
      </w:r>
      <w:r w:rsidRPr="00283806">
        <w:rPr>
          <w:spacing w:val="40"/>
          <w:w w:val="105"/>
        </w:rPr>
        <w:t xml:space="preserve"> </w:t>
      </w:r>
      <w:r w:rsidRPr="00283806">
        <w:rPr>
          <w:w w:val="105"/>
        </w:rPr>
        <w:t xml:space="preserve">if a leak is repaired in a system that </w:t>
      </w:r>
      <w:proofErr w:type="gramStart"/>
      <w:r w:rsidRPr="00283806">
        <w:rPr>
          <w:w w:val="105"/>
        </w:rPr>
        <w:t>has</w:t>
      </w:r>
      <w:r w:rsidRPr="00283806">
        <w:rPr>
          <w:spacing w:val="40"/>
          <w:w w:val="105"/>
        </w:rPr>
        <w:t xml:space="preserve"> </w:t>
      </w:r>
      <w:r w:rsidRPr="00283806">
        <w:rPr>
          <w:w w:val="105"/>
        </w:rPr>
        <w:t>to</w:t>
      </w:r>
      <w:proofErr w:type="gramEnd"/>
      <w:r w:rsidRPr="00283806">
        <w:rPr>
          <w:spacing w:val="8"/>
          <w:w w:val="105"/>
        </w:rPr>
        <w:t xml:space="preserve"> </w:t>
      </w:r>
      <w:r w:rsidRPr="00283806">
        <w:rPr>
          <w:w w:val="105"/>
        </w:rPr>
        <w:t>be</w:t>
      </w:r>
      <w:r w:rsidRPr="00283806">
        <w:rPr>
          <w:spacing w:val="8"/>
          <w:w w:val="105"/>
        </w:rPr>
        <w:t xml:space="preserve"> </w:t>
      </w:r>
      <w:r w:rsidRPr="00283806">
        <w:rPr>
          <w:w w:val="105"/>
        </w:rPr>
        <w:t>recharged</w:t>
      </w:r>
      <w:r w:rsidRPr="00283806">
        <w:rPr>
          <w:spacing w:val="8"/>
          <w:w w:val="105"/>
        </w:rPr>
        <w:t xml:space="preserve"> </w:t>
      </w:r>
      <w:r w:rsidRPr="00283806">
        <w:rPr>
          <w:w w:val="105"/>
        </w:rPr>
        <w:t>again</w:t>
      </w:r>
      <w:r w:rsidRPr="00283806">
        <w:rPr>
          <w:spacing w:val="8"/>
          <w:w w:val="105"/>
        </w:rPr>
        <w:t xml:space="preserve"> </w:t>
      </w:r>
      <w:r w:rsidRPr="00283806">
        <w:rPr>
          <w:w w:val="105"/>
        </w:rPr>
        <w:t>within</w:t>
      </w:r>
      <w:r w:rsidRPr="00283806">
        <w:rPr>
          <w:spacing w:val="8"/>
          <w:w w:val="105"/>
        </w:rPr>
        <w:t xml:space="preserve"> </w:t>
      </w:r>
      <w:r w:rsidRPr="00283806">
        <w:rPr>
          <w:w w:val="105"/>
        </w:rPr>
        <w:t>six</w:t>
      </w:r>
      <w:r w:rsidRPr="00283806">
        <w:rPr>
          <w:spacing w:val="9"/>
          <w:w w:val="105"/>
        </w:rPr>
        <w:t xml:space="preserve"> </w:t>
      </w:r>
      <w:r w:rsidRPr="00283806">
        <w:rPr>
          <w:spacing w:val="-2"/>
          <w:w w:val="105"/>
        </w:rPr>
        <w:t>months.</w:t>
      </w:r>
    </w:p>
    <w:p w14:paraId="6F77E0E3" w14:textId="77777777" w:rsidR="00D67C1E" w:rsidRPr="00283806" w:rsidRDefault="001265CA">
      <w:pPr>
        <w:pStyle w:val="BodyText"/>
        <w:spacing w:line="228" w:lineRule="auto"/>
        <w:ind w:left="142" w:firstLine="180"/>
      </w:pPr>
      <w:r w:rsidRPr="00283806">
        <w:rPr>
          <w:rFonts w:ascii="Book Antiqua" w:hAnsi="Book Antiqua"/>
          <w:i/>
          <w:w w:val="110"/>
        </w:rPr>
        <w:t xml:space="preserve">Response: </w:t>
      </w:r>
      <w:r w:rsidRPr="00283806">
        <w:rPr>
          <w:w w:val="110"/>
        </w:rPr>
        <w:t>EPA is finalizing the verification test provision as proposed. The Agency disagrees that properly commissioned maintenance work does not need to go through the leak repair verification process. The standards required by UL 60335–2–40 and UL 60335–2–89 are industry standards, developed</w:t>
      </w:r>
      <w:r w:rsidRPr="00283806">
        <w:rPr>
          <w:spacing w:val="-6"/>
          <w:w w:val="110"/>
        </w:rPr>
        <w:t xml:space="preserve"> </w:t>
      </w:r>
      <w:r w:rsidRPr="00283806">
        <w:rPr>
          <w:w w:val="110"/>
        </w:rPr>
        <w:t>by</w:t>
      </w:r>
      <w:r w:rsidRPr="00283806">
        <w:rPr>
          <w:spacing w:val="-6"/>
          <w:w w:val="110"/>
        </w:rPr>
        <w:t xml:space="preserve"> </w:t>
      </w:r>
      <w:r w:rsidRPr="00283806">
        <w:rPr>
          <w:w w:val="110"/>
        </w:rPr>
        <w:t>consensus</w:t>
      </w:r>
      <w:r w:rsidRPr="00283806">
        <w:rPr>
          <w:spacing w:val="-6"/>
          <w:w w:val="110"/>
        </w:rPr>
        <w:t xml:space="preserve"> </w:t>
      </w:r>
      <w:r w:rsidRPr="00283806">
        <w:rPr>
          <w:w w:val="110"/>
        </w:rPr>
        <w:t>and</w:t>
      </w:r>
      <w:r w:rsidRPr="00283806">
        <w:rPr>
          <w:spacing w:val="-6"/>
          <w:w w:val="110"/>
        </w:rPr>
        <w:t xml:space="preserve"> </w:t>
      </w:r>
      <w:r w:rsidRPr="00283806">
        <w:rPr>
          <w:w w:val="110"/>
        </w:rPr>
        <w:t>concerned with</w:t>
      </w:r>
      <w:r w:rsidRPr="00283806">
        <w:rPr>
          <w:spacing w:val="-11"/>
          <w:w w:val="110"/>
        </w:rPr>
        <w:t xml:space="preserve"> </w:t>
      </w:r>
      <w:r w:rsidRPr="00283806">
        <w:rPr>
          <w:w w:val="110"/>
        </w:rPr>
        <w:t>appliance</w:t>
      </w:r>
      <w:r w:rsidRPr="00283806">
        <w:rPr>
          <w:spacing w:val="-11"/>
          <w:w w:val="110"/>
        </w:rPr>
        <w:t xml:space="preserve"> </w:t>
      </w:r>
      <w:r w:rsidRPr="00283806">
        <w:rPr>
          <w:w w:val="110"/>
        </w:rPr>
        <w:t>design</w:t>
      </w:r>
      <w:r w:rsidRPr="00283806">
        <w:rPr>
          <w:spacing w:val="-11"/>
          <w:w w:val="110"/>
        </w:rPr>
        <w:t xml:space="preserve"> </w:t>
      </w:r>
      <w:r w:rsidRPr="00283806">
        <w:rPr>
          <w:w w:val="110"/>
        </w:rPr>
        <w:t>and</w:t>
      </w:r>
      <w:r w:rsidRPr="00283806">
        <w:rPr>
          <w:spacing w:val="-11"/>
          <w:w w:val="110"/>
        </w:rPr>
        <w:t xml:space="preserve"> </w:t>
      </w:r>
      <w:r w:rsidRPr="00283806">
        <w:rPr>
          <w:w w:val="110"/>
        </w:rPr>
        <w:t xml:space="preserve">manufacture. The standards do not speak to the </w:t>
      </w:r>
      <w:r w:rsidRPr="00283806">
        <w:rPr>
          <w:spacing w:val="-2"/>
          <w:w w:val="110"/>
        </w:rPr>
        <w:t>operations</w:t>
      </w:r>
      <w:r w:rsidRPr="00283806">
        <w:rPr>
          <w:spacing w:val="-6"/>
          <w:w w:val="110"/>
        </w:rPr>
        <w:t xml:space="preserve"> </w:t>
      </w:r>
      <w:r w:rsidRPr="00283806">
        <w:rPr>
          <w:spacing w:val="-2"/>
          <w:w w:val="110"/>
        </w:rPr>
        <w:t>of</w:t>
      </w:r>
      <w:r w:rsidRPr="00283806">
        <w:rPr>
          <w:spacing w:val="-6"/>
          <w:w w:val="110"/>
        </w:rPr>
        <w:t xml:space="preserve"> </w:t>
      </w:r>
      <w:r w:rsidRPr="00283806">
        <w:rPr>
          <w:spacing w:val="-2"/>
          <w:w w:val="110"/>
        </w:rPr>
        <w:t>an</w:t>
      </w:r>
      <w:r w:rsidRPr="00283806">
        <w:rPr>
          <w:spacing w:val="-6"/>
          <w:w w:val="110"/>
        </w:rPr>
        <w:t xml:space="preserve"> </w:t>
      </w:r>
      <w:r w:rsidRPr="00283806">
        <w:rPr>
          <w:spacing w:val="-2"/>
          <w:w w:val="110"/>
        </w:rPr>
        <w:t>appliance</w:t>
      </w:r>
      <w:r w:rsidRPr="00283806">
        <w:rPr>
          <w:spacing w:val="-6"/>
          <w:w w:val="110"/>
        </w:rPr>
        <w:t xml:space="preserve"> </w:t>
      </w:r>
      <w:r w:rsidRPr="00283806">
        <w:rPr>
          <w:spacing w:val="-2"/>
          <w:w w:val="110"/>
        </w:rPr>
        <w:t>over</w:t>
      </w:r>
      <w:r w:rsidRPr="00283806">
        <w:rPr>
          <w:spacing w:val="-6"/>
          <w:w w:val="110"/>
        </w:rPr>
        <w:t xml:space="preserve"> </w:t>
      </w:r>
      <w:r w:rsidRPr="00283806">
        <w:rPr>
          <w:spacing w:val="-2"/>
          <w:w w:val="110"/>
        </w:rPr>
        <w:t xml:space="preserve">multiple </w:t>
      </w:r>
      <w:r w:rsidRPr="00283806">
        <w:rPr>
          <w:w w:val="110"/>
        </w:rPr>
        <w:t>years. Instead, UL standardizes leak prevention requirements in the appliance’s design, standardizes leak detection through sensors or other mechanisms,</w:t>
      </w:r>
      <w:r w:rsidRPr="00283806">
        <w:rPr>
          <w:spacing w:val="-8"/>
          <w:w w:val="110"/>
        </w:rPr>
        <w:t xml:space="preserve"> </w:t>
      </w:r>
      <w:r w:rsidRPr="00283806">
        <w:rPr>
          <w:w w:val="110"/>
        </w:rPr>
        <w:t>and</w:t>
      </w:r>
      <w:r w:rsidRPr="00283806">
        <w:rPr>
          <w:spacing w:val="-8"/>
          <w:w w:val="110"/>
        </w:rPr>
        <w:t xml:space="preserve"> </w:t>
      </w:r>
      <w:r w:rsidRPr="00283806">
        <w:rPr>
          <w:w w:val="110"/>
        </w:rPr>
        <w:t>provides</w:t>
      </w:r>
      <w:r w:rsidRPr="00283806">
        <w:rPr>
          <w:spacing w:val="-8"/>
          <w:w w:val="110"/>
        </w:rPr>
        <w:t xml:space="preserve"> </w:t>
      </w:r>
      <w:r w:rsidRPr="00283806">
        <w:rPr>
          <w:w w:val="110"/>
        </w:rPr>
        <w:t>standards</w:t>
      </w:r>
      <w:r w:rsidRPr="00283806">
        <w:rPr>
          <w:spacing w:val="-8"/>
          <w:w w:val="110"/>
        </w:rPr>
        <w:t xml:space="preserve"> </w:t>
      </w:r>
      <w:r w:rsidRPr="00283806">
        <w:rPr>
          <w:w w:val="110"/>
        </w:rPr>
        <w:t>to mitigate the release of refrigerants via releasable charge considerations.</w:t>
      </w:r>
      <w:r w:rsidRPr="00283806">
        <w:rPr>
          <w:w w:val="110"/>
          <w:position w:val="5"/>
          <w:sz w:val="11"/>
        </w:rPr>
        <w:t>75</w:t>
      </w:r>
      <w:r w:rsidRPr="00283806">
        <w:rPr>
          <w:spacing w:val="40"/>
          <w:w w:val="110"/>
          <w:position w:val="5"/>
          <w:sz w:val="11"/>
        </w:rPr>
        <w:t xml:space="preserve"> </w:t>
      </w:r>
      <w:r w:rsidRPr="00283806">
        <w:rPr>
          <w:w w:val="110"/>
        </w:rPr>
        <w:t>Moreover,</w:t>
      </w:r>
      <w:r w:rsidRPr="00283806">
        <w:rPr>
          <w:spacing w:val="-7"/>
          <w:w w:val="110"/>
        </w:rPr>
        <w:t xml:space="preserve"> </w:t>
      </w:r>
      <w:r w:rsidRPr="00283806">
        <w:rPr>
          <w:w w:val="110"/>
        </w:rPr>
        <w:t>the</w:t>
      </w:r>
      <w:r w:rsidRPr="00283806">
        <w:rPr>
          <w:spacing w:val="-7"/>
          <w:w w:val="110"/>
        </w:rPr>
        <w:t xml:space="preserve"> </w:t>
      </w:r>
      <w:r w:rsidRPr="00283806">
        <w:rPr>
          <w:w w:val="110"/>
        </w:rPr>
        <w:t>leak</w:t>
      </w:r>
      <w:r w:rsidRPr="00283806">
        <w:rPr>
          <w:spacing w:val="-7"/>
          <w:w w:val="110"/>
        </w:rPr>
        <w:t xml:space="preserve"> </w:t>
      </w:r>
      <w:r w:rsidRPr="00283806">
        <w:rPr>
          <w:w w:val="110"/>
        </w:rPr>
        <w:t>repair</w:t>
      </w:r>
      <w:r w:rsidRPr="00283806">
        <w:rPr>
          <w:spacing w:val="-7"/>
          <w:w w:val="110"/>
        </w:rPr>
        <w:t xml:space="preserve"> </w:t>
      </w:r>
      <w:r w:rsidRPr="00283806">
        <w:rPr>
          <w:w w:val="110"/>
        </w:rPr>
        <w:t>requirements and thus the need for verification tests begin when an appliance exceeds its applicable leak rate. If an appliance is well designed and follows practices consistent</w:t>
      </w:r>
      <w:r w:rsidRPr="00283806">
        <w:rPr>
          <w:spacing w:val="-4"/>
          <w:w w:val="110"/>
        </w:rPr>
        <w:t xml:space="preserve"> </w:t>
      </w:r>
      <w:r w:rsidRPr="00283806">
        <w:rPr>
          <w:w w:val="110"/>
        </w:rPr>
        <w:t>with</w:t>
      </w:r>
      <w:r w:rsidRPr="00283806">
        <w:rPr>
          <w:spacing w:val="-4"/>
          <w:w w:val="110"/>
        </w:rPr>
        <w:t xml:space="preserve"> </w:t>
      </w:r>
      <w:r w:rsidRPr="00283806">
        <w:rPr>
          <w:w w:val="110"/>
        </w:rPr>
        <w:t>the</w:t>
      </w:r>
      <w:r w:rsidRPr="00283806">
        <w:rPr>
          <w:spacing w:val="-4"/>
          <w:w w:val="110"/>
        </w:rPr>
        <w:t xml:space="preserve"> </w:t>
      </w:r>
      <w:r w:rsidRPr="00283806">
        <w:rPr>
          <w:w w:val="110"/>
        </w:rPr>
        <w:t>requirements</w:t>
      </w:r>
      <w:r w:rsidRPr="00283806">
        <w:rPr>
          <w:spacing w:val="-4"/>
          <w:w w:val="110"/>
        </w:rPr>
        <w:t xml:space="preserve"> </w:t>
      </w:r>
      <w:r w:rsidRPr="00283806">
        <w:rPr>
          <w:w w:val="110"/>
        </w:rPr>
        <w:t>of</w:t>
      </w:r>
      <w:r w:rsidRPr="00283806">
        <w:rPr>
          <w:spacing w:val="-4"/>
          <w:w w:val="110"/>
        </w:rPr>
        <w:t xml:space="preserve"> </w:t>
      </w:r>
      <w:r w:rsidRPr="00283806">
        <w:rPr>
          <w:w w:val="110"/>
        </w:rPr>
        <w:t>the standard, perhaps there will not be an occurrence of leaks that result in an exceedance of the applicable leak rate and</w:t>
      </w:r>
      <w:r w:rsidRPr="00283806">
        <w:rPr>
          <w:spacing w:val="-11"/>
          <w:w w:val="110"/>
        </w:rPr>
        <w:t xml:space="preserve"> </w:t>
      </w:r>
      <w:r w:rsidRPr="00283806">
        <w:rPr>
          <w:w w:val="110"/>
        </w:rPr>
        <w:t>thus</w:t>
      </w:r>
      <w:r w:rsidRPr="00283806">
        <w:rPr>
          <w:spacing w:val="-11"/>
          <w:w w:val="110"/>
        </w:rPr>
        <w:t xml:space="preserve"> </w:t>
      </w:r>
      <w:r w:rsidRPr="00283806">
        <w:rPr>
          <w:w w:val="110"/>
        </w:rPr>
        <w:t>the</w:t>
      </w:r>
      <w:r w:rsidRPr="00283806">
        <w:rPr>
          <w:spacing w:val="-11"/>
          <w:w w:val="110"/>
        </w:rPr>
        <w:t xml:space="preserve"> </w:t>
      </w:r>
      <w:r w:rsidRPr="00283806">
        <w:rPr>
          <w:w w:val="110"/>
        </w:rPr>
        <w:t>owner/operator</w:t>
      </w:r>
      <w:r w:rsidRPr="00283806">
        <w:rPr>
          <w:spacing w:val="-11"/>
          <w:w w:val="110"/>
        </w:rPr>
        <w:t xml:space="preserve"> </w:t>
      </w:r>
      <w:r w:rsidRPr="00283806">
        <w:rPr>
          <w:w w:val="110"/>
        </w:rPr>
        <w:t>would</w:t>
      </w:r>
      <w:r w:rsidRPr="00283806">
        <w:rPr>
          <w:spacing w:val="-11"/>
          <w:w w:val="110"/>
        </w:rPr>
        <w:t xml:space="preserve"> </w:t>
      </w:r>
      <w:r w:rsidRPr="00283806">
        <w:rPr>
          <w:w w:val="110"/>
        </w:rPr>
        <w:t>not need to proceed with the final rule’s leak repair process.</w:t>
      </w:r>
    </w:p>
    <w:p w14:paraId="64FB62CB" w14:textId="77777777" w:rsidR="00D67C1E" w:rsidRPr="00283806" w:rsidRDefault="001265CA">
      <w:pPr>
        <w:pStyle w:val="BodyText"/>
        <w:spacing w:line="163" w:lineRule="exact"/>
        <w:ind w:left="322"/>
      </w:pPr>
      <w:r w:rsidRPr="00283806">
        <w:rPr>
          <w:w w:val="105"/>
        </w:rPr>
        <w:t>The</w:t>
      </w:r>
      <w:r w:rsidRPr="00283806">
        <w:rPr>
          <w:spacing w:val="10"/>
          <w:w w:val="105"/>
        </w:rPr>
        <w:t xml:space="preserve"> </w:t>
      </w:r>
      <w:r w:rsidRPr="00283806">
        <w:rPr>
          <w:w w:val="105"/>
        </w:rPr>
        <w:t>Agency</w:t>
      </w:r>
      <w:r w:rsidRPr="00283806">
        <w:rPr>
          <w:spacing w:val="11"/>
          <w:w w:val="105"/>
        </w:rPr>
        <w:t xml:space="preserve"> </w:t>
      </w:r>
      <w:r w:rsidRPr="00283806">
        <w:rPr>
          <w:w w:val="105"/>
        </w:rPr>
        <w:t>also</w:t>
      </w:r>
      <w:r w:rsidRPr="00283806">
        <w:rPr>
          <w:spacing w:val="11"/>
          <w:w w:val="105"/>
        </w:rPr>
        <w:t xml:space="preserve"> </w:t>
      </w:r>
      <w:r w:rsidRPr="00283806">
        <w:rPr>
          <w:w w:val="105"/>
        </w:rPr>
        <w:t>disagrees</w:t>
      </w:r>
      <w:r w:rsidRPr="00283806">
        <w:rPr>
          <w:spacing w:val="11"/>
          <w:w w:val="105"/>
        </w:rPr>
        <w:t xml:space="preserve"> </w:t>
      </w:r>
      <w:r w:rsidRPr="00283806">
        <w:rPr>
          <w:w w:val="105"/>
        </w:rPr>
        <w:t>that</w:t>
      </w:r>
      <w:r w:rsidRPr="00283806">
        <w:rPr>
          <w:spacing w:val="11"/>
          <w:w w:val="105"/>
        </w:rPr>
        <w:t xml:space="preserve"> </w:t>
      </w:r>
      <w:r w:rsidRPr="00283806">
        <w:rPr>
          <w:spacing w:val="-5"/>
          <w:w w:val="105"/>
        </w:rPr>
        <w:t>the</w:t>
      </w:r>
    </w:p>
    <w:p w14:paraId="1B09E92E" w14:textId="77777777" w:rsidR="00D67C1E" w:rsidRPr="00283806" w:rsidRDefault="001265CA">
      <w:pPr>
        <w:pStyle w:val="BodyText"/>
        <w:spacing w:before="1" w:line="228" w:lineRule="auto"/>
        <w:ind w:left="142" w:right="58"/>
      </w:pPr>
      <w:proofErr w:type="gramStart"/>
      <w:r w:rsidRPr="00283806">
        <w:rPr>
          <w:w w:val="105"/>
        </w:rPr>
        <w:t>verification</w:t>
      </w:r>
      <w:proofErr w:type="gramEnd"/>
      <w:r w:rsidRPr="00283806">
        <w:rPr>
          <w:spacing w:val="-1"/>
          <w:w w:val="105"/>
        </w:rPr>
        <w:t xml:space="preserve"> </w:t>
      </w:r>
      <w:r w:rsidRPr="00283806">
        <w:rPr>
          <w:w w:val="105"/>
        </w:rPr>
        <w:t>requirement</w:t>
      </w:r>
      <w:r w:rsidRPr="00283806">
        <w:rPr>
          <w:spacing w:val="-1"/>
          <w:w w:val="105"/>
        </w:rPr>
        <w:t xml:space="preserve"> </w:t>
      </w:r>
      <w:proofErr w:type="gramStart"/>
      <w:r w:rsidRPr="00283806">
        <w:rPr>
          <w:w w:val="105"/>
        </w:rPr>
        <w:t>be</w:t>
      </w:r>
      <w:proofErr w:type="gramEnd"/>
      <w:r w:rsidRPr="00283806">
        <w:rPr>
          <w:spacing w:val="-1"/>
          <w:w w:val="105"/>
        </w:rPr>
        <w:t xml:space="preserve"> </w:t>
      </w:r>
      <w:r w:rsidRPr="00283806">
        <w:rPr>
          <w:w w:val="105"/>
        </w:rPr>
        <w:t>restricted</w:t>
      </w:r>
      <w:r w:rsidRPr="00283806">
        <w:rPr>
          <w:spacing w:val="-1"/>
          <w:w w:val="105"/>
        </w:rPr>
        <w:t xml:space="preserve"> </w:t>
      </w:r>
      <w:r w:rsidRPr="00283806">
        <w:rPr>
          <w:w w:val="105"/>
        </w:rPr>
        <w:t xml:space="preserve">to appliances with very large charge sizes because the purpose of the provision is to ensure that leaks are properly repaired and that those repairs hold, such that the repair has its intended effect and emissions are minimized. We also disagree with the suggestion that EPA require reporting if an appliance is recharged within six months of a leak repair, as this is not </w:t>
      </w:r>
      <w:proofErr w:type="gramStart"/>
      <w:r w:rsidRPr="00283806">
        <w:rPr>
          <w:w w:val="105"/>
        </w:rPr>
        <w:t>a reasonable</w:t>
      </w:r>
      <w:proofErr w:type="gramEnd"/>
    </w:p>
    <w:p w14:paraId="66433E9C" w14:textId="77777777" w:rsidR="00D67C1E" w:rsidRPr="00283806" w:rsidRDefault="001265CA">
      <w:pPr>
        <w:pStyle w:val="BodyText"/>
        <w:spacing w:before="6"/>
        <w:ind w:left="0"/>
        <w:rPr>
          <w:sz w:val="12"/>
        </w:rPr>
      </w:pPr>
      <w:r w:rsidRPr="00283806">
        <w:rPr>
          <w:noProof/>
        </w:rPr>
        <mc:AlternateContent>
          <mc:Choice Requires="wps">
            <w:drawing>
              <wp:anchor distT="0" distB="0" distL="0" distR="0" simplePos="0" relativeHeight="251639808" behindDoc="1" locked="0" layoutInCell="1" allowOverlap="1" wp14:anchorId="3B506800" wp14:editId="74A66757">
                <wp:simplePos x="0" y="0"/>
                <wp:positionH relativeFrom="page">
                  <wp:posOffset>2819400</wp:posOffset>
                </wp:positionH>
                <wp:positionV relativeFrom="paragraph">
                  <wp:posOffset>108835</wp:posOffset>
                </wp:positionV>
                <wp:extent cx="635000" cy="1270"/>
                <wp:effectExtent l="0" t="0" r="0" b="0"/>
                <wp:wrapTopAndBottom/>
                <wp:docPr id="71" name="Graphic 7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ACC168" id="Graphic 71" o:spid="_x0000_s1026" alt="&quot;&quot;" style="position:absolute;margin-left:222pt;margin-top:8.55pt;width:50pt;height:.1pt;z-index:-251676672;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" path="m,l635000,e" filled="f" strokeweight=".5pt">
                <v:path arrowok="t"/>
                <w10:wrap type="topAndBottom" anchorx="page"/>
              </v:shape>
            </w:pict>
          </mc:Fallback>
        </mc:AlternateContent>
      </w:r>
    </w:p>
    <w:p w14:paraId="3CC5C9A7" w14:textId="77777777" w:rsidR="00D67C1E" w:rsidRPr="00283806" w:rsidRDefault="001265CA">
      <w:pPr>
        <w:spacing w:before="40" w:line="232" w:lineRule="auto"/>
        <w:ind w:left="142" w:right="58" w:firstLine="140"/>
        <w:rPr>
          <w:sz w:val="14"/>
        </w:rPr>
      </w:pPr>
      <w:r w:rsidRPr="00283806">
        <w:rPr>
          <w:w w:val="105"/>
          <w:position w:val="4"/>
          <w:sz w:val="9"/>
        </w:rPr>
        <w:t xml:space="preserve">75 </w:t>
      </w:r>
      <w:r w:rsidRPr="00283806">
        <w:rPr>
          <w:w w:val="105"/>
          <w:sz w:val="14"/>
        </w:rPr>
        <w:t>ASHRAE Standard 15–2022 defines releasable</w:t>
      </w:r>
      <w:r w:rsidRPr="00283806">
        <w:rPr>
          <w:spacing w:val="40"/>
          <w:w w:val="105"/>
          <w:sz w:val="14"/>
        </w:rPr>
        <w:t xml:space="preserve"> </w:t>
      </w:r>
      <w:r w:rsidRPr="00283806">
        <w:rPr>
          <w:w w:val="105"/>
          <w:sz w:val="14"/>
        </w:rPr>
        <w:t>charge</w:t>
      </w:r>
      <w:r w:rsidRPr="00283806">
        <w:rPr>
          <w:spacing w:val="-2"/>
          <w:w w:val="105"/>
          <w:sz w:val="14"/>
        </w:rPr>
        <w:t xml:space="preserve"> </w:t>
      </w:r>
      <w:r w:rsidRPr="00283806">
        <w:rPr>
          <w:w w:val="105"/>
          <w:sz w:val="14"/>
        </w:rPr>
        <w:t>as</w:t>
      </w:r>
      <w:r w:rsidRPr="00283806">
        <w:rPr>
          <w:spacing w:val="-2"/>
          <w:w w:val="105"/>
          <w:sz w:val="14"/>
        </w:rPr>
        <w:t xml:space="preserve"> </w:t>
      </w:r>
      <w:r w:rsidRPr="00283806">
        <w:rPr>
          <w:w w:val="105"/>
          <w:sz w:val="14"/>
        </w:rPr>
        <w:t>a</w:t>
      </w:r>
      <w:r w:rsidRPr="00283806">
        <w:rPr>
          <w:spacing w:val="-2"/>
          <w:w w:val="105"/>
          <w:sz w:val="14"/>
        </w:rPr>
        <w:t xml:space="preserve"> </w:t>
      </w:r>
      <w:r w:rsidRPr="00283806">
        <w:rPr>
          <w:w w:val="105"/>
          <w:sz w:val="14"/>
        </w:rPr>
        <w:t>portion</w:t>
      </w:r>
      <w:r w:rsidRPr="00283806">
        <w:rPr>
          <w:spacing w:val="-2"/>
          <w:w w:val="105"/>
          <w:sz w:val="14"/>
        </w:rPr>
        <w:t xml:space="preserve"> </w:t>
      </w:r>
      <w:r w:rsidRPr="00283806">
        <w:rPr>
          <w:w w:val="105"/>
          <w:sz w:val="14"/>
        </w:rPr>
        <w:t>of</w:t>
      </w:r>
      <w:r w:rsidRPr="00283806">
        <w:rPr>
          <w:spacing w:val="-2"/>
          <w:w w:val="105"/>
          <w:sz w:val="14"/>
        </w:rPr>
        <w:t xml:space="preserve"> </w:t>
      </w:r>
      <w:r w:rsidRPr="00283806">
        <w:rPr>
          <w:w w:val="105"/>
          <w:sz w:val="14"/>
        </w:rPr>
        <w:t>the</w:t>
      </w:r>
      <w:r w:rsidRPr="00283806">
        <w:rPr>
          <w:spacing w:val="-2"/>
          <w:w w:val="105"/>
          <w:sz w:val="14"/>
        </w:rPr>
        <w:t xml:space="preserve"> </w:t>
      </w:r>
      <w:r w:rsidRPr="00283806">
        <w:rPr>
          <w:w w:val="105"/>
          <w:sz w:val="14"/>
        </w:rPr>
        <w:t>system</w:t>
      </w:r>
      <w:r w:rsidRPr="00283806">
        <w:rPr>
          <w:spacing w:val="-2"/>
          <w:w w:val="105"/>
          <w:sz w:val="14"/>
        </w:rPr>
        <w:t xml:space="preserve"> </w:t>
      </w:r>
      <w:r w:rsidRPr="00283806">
        <w:rPr>
          <w:w w:val="105"/>
          <w:sz w:val="14"/>
        </w:rPr>
        <w:t>refrigerant</w:t>
      </w:r>
      <w:r w:rsidRPr="00283806">
        <w:rPr>
          <w:spacing w:val="-2"/>
          <w:w w:val="105"/>
          <w:sz w:val="14"/>
        </w:rPr>
        <w:t xml:space="preserve"> </w:t>
      </w:r>
      <w:r w:rsidRPr="00283806">
        <w:rPr>
          <w:w w:val="105"/>
          <w:sz w:val="14"/>
        </w:rPr>
        <w:t>charge</w:t>
      </w:r>
      <w:r w:rsidRPr="00283806">
        <w:rPr>
          <w:spacing w:val="40"/>
          <w:w w:val="105"/>
          <w:sz w:val="14"/>
        </w:rPr>
        <w:t xml:space="preserve"> </w:t>
      </w:r>
      <w:r w:rsidRPr="00283806">
        <w:rPr>
          <w:w w:val="105"/>
          <w:sz w:val="14"/>
        </w:rPr>
        <w:t xml:space="preserve">that can be released into a space </w:t>
      </w:r>
      <w:proofErr w:type="gramStart"/>
      <w:r w:rsidRPr="00283806">
        <w:rPr>
          <w:w w:val="105"/>
          <w:sz w:val="14"/>
        </w:rPr>
        <w:t>as a result of</w:t>
      </w:r>
      <w:proofErr w:type="gramEnd"/>
      <w:r w:rsidRPr="00283806">
        <w:rPr>
          <w:w w:val="105"/>
          <w:sz w:val="14"/>
        </w:rPr>
        <w:t xml:space="preserve"> a</w:t>
      </w:r>
      <w:r w:rsidRPr="00283806">
        <w:rPr>
          <w:spacing w:val="40"/>
          <w:w w:val="105"/>
          <w:sz w:val="14"/>
        </w:rPr>
        <w:t xml:space="preserve"> </w:t>
      </w:r>
      <w:r w:rsidRPr="00283806">
        <w:rPr>
          <w:w w:val="105"/>
          <w:sz w:val="14"/>
        </w:rPr>
        <w:t>single point failure.</w:t>
      </w:r>
    </w:p>
    <w:p w14:paraId="0AD5E37D" w14:textId="77777777" w:rsidR="00D67C1E" w:rsidRPr="00283806" w:rsidRDefault="001265CA">
      <w:pPr>
        <w:pStyle w:val="BodyText"/>
        <w:spacing w:before="136" w:line="225" w:lineRule="auto"/>
        <w:ind w:left="144" w:right="161"/>
      </w:pPr>
      <w:r w:rsidRPr="00283806">
        <w:br w:type="column"/>
      </w:r>
      <w:r w:rsidRPr="00283806">
        <w:rPr>
          <w:w w:val="105"/>
        </w:rPr>
        <w:t>substitute for verification tests or leak inspections of repaired appliances. EPA clarifies that a leak is considered</w:t>
      </w:r>
      <w:r w:rsidRPr="00283806">
        <w:rPr>
          <w:spacing w:val="40"/>
          <w:w w:val="105"/>
        </w:rPr>
        <w:t xml:space="preserve"> </w:t>
      </w:r>
      <w:r w:rsidRPr="00283806">
        <w:rPr>
          <w:w w:val="105"/>
        </w:rPr>
        <w:t>repaired if refrigerant is not added</w:t>
      </w:r>
      <w:r w:rsidRPr="00283806">
        <w:rPr>
          <w:spacing w:val="40"/>
          <w:w w:val="105"/>
        </w:rPr>
        <w:t xml:space="preserve"> </w:t>
      </w:r>
      <w:r w:rsidRPr="00283806">
        <w:rPr>
          <w:w w:val="105"/>
        </w:rPr>
        <w:t>within 12 months of the previous leak repair or if there are no leaks identified by either the required periodic leak inspection(s) or an ALD system, where applicable. Verification tests ensure repairs hold and leak inspections verify that the repaired leak has not failed over a 12-month period; both are warranted portions of the leak repair process and support meeting the purposes identified in subsection (h)(1), including minimizing the release of regulated substances from equipment.</w:t>
      </w:r>
    </w:p>
    <w:p w14:paraId="4A84E164" w14:textId="77777777" w:rsidR="00D67C1E" w:rsidRPr="00283806" w:rsidRDefault="001265CA">
      <w:pPr>
        <w:pStyle w:val="ListParagraph"/>
        <w:numPr>
          <w:ilvl w:val="0"/>
          <w:numId w:val="55"/>
        </w:numPr>
        <w:tabs>
          <w:tab w:val="left" w:pos="352"/>
        </w:tabs>
        <w:spacing w:before="81"/>
        <w:ind w:left="352" w:hanging="208"/>
        <w:rPr>
          <w:sz w:val="18"/>
        </w:rPr>
      </w:pPr>
      <w:r w:rsidRPr="00283806">
        <w:rPr>
          <w:w w:val="105"/>
          <w:sz w:val="18"/>
        </w:rPr>
        <w:t>Leak</w:t>
      </w:r>
      <w:r w:rsidRPr="00283806">
        <w:rPr>
          <w:spacing w:val="10"/>
          <w:w w:val="105"/>
          <w:sz w:val="18"/>
        </w:rPr>
        <w:t xml:space="preserve"> </w:t>
      </w:r>
      <w:r w:rsidRPr="00283806">
        <w:rPr>
          <w:spacing w:val="-2"/>
          <w:w w:val="105"/>
          <w:sz w:val="18"/>
        </w:rPr>
        <w:t>Inspections</w:t>
      </w:r>
    </w:p>
    <w:p w14:paraId="66C78EE5" w14:textId="77777777" w:rsidR="00D67C1E" w:rsidRPr="00283806" w:rsidRDefault="001265CA">
      <w:pPr>
        <w:pStyle w:val="BodyText"/>
        <w:spacing w:before="63" w:line="225" w:lineRule="auto"/>
        <w:ind w:left="144" w:right="151" w:firstLine="180"/>
      </w:pPr>
      <w:r w:rsidRPr="00283806">
        <w:rPr>
          <w:w w:val="105"/>
        </w:rPr>
        <w:t>The Agency is finalizing leak</w:t>
      </w:r>
      <w:r w:rsidRPr="00283806">
        <w:rPr>
          <w:spacing w:val="40"/>
          <w:w w:val="105"/>
        </w:rPr>
        <w:t xml:space="preserve"> </w:t>
      </w:r>
      <w:r w:rsidRPr="00283806">
        <w:rPr>
          <w:w w:val="105"/>
        </w:rPr>
        <w:t>inspection requirements as proposed for refrigerant-containing appliances with a charge size of 15 pounds or more of a refrigerant that contains an HFC or substitute for an HFC with a GWP</w:t>
      </w:r>
      <w:r w:rsidRPr="00283806">
        <w:rPr>
          <w:spacing w:val="80"/>
          <w:w w:val="105"/>
        </w:rPr>
        <w:t xml:space="preserve"> </w:t>
      </w:r>
      <w:r w:rsidRPr="00283806">
        <w:rPr>
          <w:w w:val="105"/>
        </w:rPr>
        <w:t>greater than 53 that are found to be leaking above the applicable leak rate threshold. As discussed in the proposal, the leak inspection requirements</w:t>
      </w:r>
      <w:r w:rsidRPr="00283806">
        <w:rPr>
          <w:spacing w:val="80"/>
          <w:w w:val="105"/>
        </w:rPr>
        <w:t xml:space="preserve"> </w:t>
      </w:r>
      <w:r w:rsidRPr="00283806">
        <w:rPr>
          <w:w w:val="105"/>
        </w:rPr>
        <w:t xml:space="preserve">involve processes, practices, and activities regarding the repair of refrigerant-containing appliances that are designed to ensure the long-term effectiveness of a successful leak repair. Thus, the requirements will help minimize any releases of HFCs from equipment over time </w:t>
      </w:r>
      <w:proofErr w:type="gramStart"/>
      <w:r w:rsidRPr="00283806">
        <w:rPr>
          <w:w w:val="105"/>
        </w:rPr>
        <w:t>and also</w:t>
      </w:r>
      <w:proofErr w:type="gramEnd"/>
      <w:r w:rsidRPr="00283806">
        <w:rPr>
          <w:w w:val="105"/>
        </w:rPr>
        <w:t xml:space="preserve"> help maximize HFCs available for eventual reclamation by limiting such releases.</w:t>
      </w:r>
    </w:p>
    <w:p w14:paraId="10C1D1AB" w14:textId="77777777" w:rsidR="00D67C1E" w:rsidRPr="00283806" w:rsidRDefault="001265CA">
      <w:pPr>
        <w:pStyle w:val="BodyText"/>
        <w:spacing w:line="225" w:lineRule="auto"/>
        <w:ind w:left="144" w:right="183"/>
      </w:pPr>
      <w:r w:rsidRPr="00283806">
        <w:rPr>
          <w:w w:val="105"/>
        </w:rPr>
        <w:t>The</w:t>
      </w:r>
      <w:r w:rsidRPr="00283806">
        <w:rPr>
          <w:spacing w:val="-1"/>
          <w:w w:val="105"/>
        </w:rPr>
        <w:t xml:space="preserve"> </w:t>
      </w:r>
      <w:r w:rsidRPr="00283806">
        <w:rPr>
          <w:w w:val="105"/>
        </w:rPr>
        <w:t>owner</w:t>
      </w:r>
      <w:r w:rsidRPr="00283806">
        <w:rPr>
          <w:spacing w:val="-1"/>
          <w:w w:val="105"/>
        </w:rPr>
        <w:t xml:space="preserve"> </w:t>
      </w:r>
      <w:r w:rsidRPr="00283806">
        <w:rPr>
          <w:w w:val="105"/>
        </w:rPr>
        <w:t>or</w:t>
      </w:r>
      <w:r w:rsidRPr="00283806">
        <w:rPr>
          <w:spacing w:val="-1"/>
          <w:w w:val="105"/>
        </w:rPr>
        <w:t xml:space="preserve"> </w:t>
      </w:r>
      <w:r w:rsidRPr="00283806">
        <w:rPr>
          <w:w w:val="105"/>
        </w:rPr>
        <w:t>operator</w:t>
      </w:r>
      <w:r w:rsidRPr="00283806">
        <w:rPr>
          <w:spacing w:val="-1"/>
          <w:w w:val="105"/>
        </w:rPr>
        <w:t xml:space="preserve"> </w:t>
      </w:r>
      <w:r w:rsidRPr="00283806">
        <w:rPr>
          <w:w w:val="105"/>
        </w:rPr>
        <w:t>is</w:t>
      </w:r>
      <w:r w:rsidRPr="00283806">
        <w:rPr>
          <w:spacing w:val="-1"/>
          <w:w w:val="105"/>
        </w:rPr>
        <w:t xml:space="preserve"> </w:t>
      </w:r>
      <w:r w:rsidRPr="00283806">
        <w:rPr>
          <w:w w:val="105"/>
        </w:rPr>
        <w:t>responsible</w:t>
      </w:r>
      <w:r w:rsidRPr="00283806">
        <w:rPr>
          <w:spacing w:val="-1"/>
          <w:w w:val="105"/>
        </w:rPr>
        <w:t xml:space="preserve"> </w:t>
      </w:r>
      <w:r w:rsidRPr="00283806">
        <w:rPr>
          <w:w w:val="105"/>
        </w:rPr>
        <w:t xml:space="preserve">for ensuring that the leak inspections are conducted </w:t>
      </w:r>
      <w:proofErr w:type="gramStart"/>
      <w:r w:rsidRPr="00283806">
        <w:rPr>
          <w:w w:val="105"/>
        </w:rPr>
        <w:t>consistent</w:t>
      </w:r>
      <w:proofErr w:type="gramEnd"/>
      <w:r w:rsidRPr="00283806">
        <w:rPr>
          <w:w w:val="105"/>
        </w:rPr>
        <w:t xml:space="preserve"> with the</w:t>
      </w:r>
      <w:r w:rsidRPr="00283806">
        <w:rPr>
          <w:spacing w:val="80"/>
          <w:w w:val="105"/>
        </w:rPr>
        <w:t xml:space="preserve"> </w:t>
      </w:r>
      <w:r w:rsidRPr="00283806">
        <w:rPr>
          <w:w w:val="105"/>
        </w:rPr>
        <w:t xml:space="preserve">applicable requirements </w:t>
      </w:r>
      <w:proofErr w:type="gramStart"/>
      <w:r w:rsidRPr="00283806">
        <w:rPr>
          <w:w w:val="105"/>
        </w:rPr>
        <w:t>in</w:t>
      </w:r>
      <w:proofErr w:type="gramEnd"/>
      <w:r w:rsidRPr="00283806">
        <w:rPr>
          <w:w w:val="105"/>
        </w:rPr>
        <w:t xml:space="preserve"> 84.106.</w:t>
      </w:r>
    </w:p>
    <w:p w14:paraId="769544DD" w14:textId="77777777" w:rsidR="00D67C1E" w:rsidRPr="00283806" w:rsidRDefault="001265CA">
      <w:pPr>
        <w:pStyle w:val="BodyText"/>
        <w:spacing w:line="179" w:lineRule="exact"/>
        <w:ind w:left="324"/>
      </w:pPr>
      <w:r w:rsidRPr="00283806">
        <w:rPr>
          <w:w w:val="105"/>
        </w:rPr>
        <w:t>Leak</w:t>
      </w:r>
      <w:r w:rsidRPr="00283806">
        <w:rPr>
          <w:spacing w:val="18"/>
          <w:w w:val="105"/>
        </w:rPr>
        <w:t xml:space="preserve"> </w:t>
      </w:r>
      <w:r w:rsidRPr="00283806">
        <w:rPr>
          <w:w w:val="105"/>
        </w:rPr>
        <w:t>inspection</w:t>
      </w:r>
      <w:r w:rsidRPr="00283806">
        <w:rPr>
          <w:spacing w:val="19"/>
          <w:w w:val="105"/>
        </w:rPr>
        <w:t xml:space="preserve"> </w:t>
      </w:r>
      <w:r w:rsidRPr="00283806">
        <w:rPr>
          <w:w w:val="105"/>
        </w:rPr>
        <w:t>frequency</w:t>
      </w:r>
      <w:r w:rsidRPr="00283806">
        <w:rPr>
          <w:spacing w:val="19"/>
          <w:w w:val="105"/>
        </w:rPr>
        <w:t xml:space="preserve"> </w:t>
      </w:r>
      <w:r w:rsidRPr="00283806">
        <w:rPr>
          <w:spacing w:val="-5"/>
          <w:w w:val="105"/>
        </w:rPr>
        <w:t>is</w:t>
      </w:r>
    </w:p>
    <w:p w14:paraId="577FD7E2" w14:textId="77777777" w:rsidR="00D67C1E" w:rsidRPr="00283806" w:rsidRDefault="001265CA">
      <w:pPr>
        <w:pStyle w:val="BodyText"/>
        <w:spacing w:line="225" w:lineRule="auto"/>
        <w:ind w:left="144" w:right="210"/>
      </w:pPr>
      <w:r w:rsidRPr="00283806">
        <w:rPr>
          <w:w w:val="105"/>
        </w:rPr>
        <w:t>dependent on the type of appliance and the size of the appliance (by refrigerant charge size). For commercial refrigeration and IPR appliances that have a charge size of 500 pounds or</w:t>
      </w:r>
      <w:r w:rsidRPr="00283806">
        <w:rPr>
          <w:spacing w:val="40"/>
          <w:w w:val="105"/>
        </w:rPr>
        <w:t xml:space="preserve"> </w:t>
      </w:r>
      <w:r w:rsidRPr="00283806">
        <w:rPr>
          <w:w w:val="105"/>
        </w:rPr>
        <w:t>more of a refrigerant that contains an HFC or a substitute for an HFC with a GWP greater than 53, EPA is requiring leak inspections to be performed every three months after the date of repair as demonstrated by a successful follow-up verification test until the owner or operator can demonstrate that the appliance has not exceeded the applicable leak rate for four consecutive quarters. For commercial refrigeration and IPR appliances that have a charge size between 15 and 500 pounds of a refrigerant that contains an HFC or a substitute for an HFC with a GWP</w:t>
      </w:r>
      <w:r w:rsidRPr="00283806">
        <w:rPr>
          <w:spacing w:val="40"/>
          <w:w w:val="105"/>
        </w:rPr>
        <w:t xml:space="preserve"> </w:t>
      </w:r>
      <w:r w:rsidRPr="00283806">
        <w:rPr>
          <w:w w:val="105"/>
        </w:rPr>
        <w:t>greater than 53, EPA is requiring that leak inspections be performed once per year after the date of repair demonstrated by a successful follow-up verification test until the owner or</w:t>
      </w:r>
    </w:p>
    <w:p w14:paraId="5E89CDD8"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8" w:space="40"/>
            <w:col w:w="3499" w:space="39"/>
            <w:col w:w="3624"/>
          </w:cols>
        </w:sectPr>
      </w:pPr>
    </w:p>
    <w:p w14:paraId="67AAC204" w14:textId="77777777" w:rsidR="00D67C1E" w:rsidRPr="00283806" w:rsidRDefault="001265CA">
      <w:pPr>
        <w:pStyle w:val="BodyText"/>
        <w:spacing w:before="136" w:line="225" w:lineRule="auto"/>
        <w:ind w:right="47"/>
      </w:pPr>
      <w:r w:rsidRPr="00283806">
        <w:rPr>
          <w:w w:val="105"/>
        </w:rPr>
        <w:lastRenderedPageBreak/>
        <w:t>operator can demonstrate that the refrigerant-containing appliance has not exceeded the applicable leak rate for</w:t>
      </w:r>
      <w:r w:rsidRPr="00283806">
        <w:rPr>
          <w:spacing w:val="80"/>
          <w:w w:val="105"/>
        </w:rPr>
        <w:t xml:space="preserve"> </w:t>
      </w:r>
      <w:r w:rsidRPr="00283806">
        <w:rPr>
          <w:w w:val="105"/>
        </w:rPr>
        <w:t>one year (</w:t>
      </w:r>
      <w:r w:rsidRPr="00283806">
        <w:rPr>
          <w:rFonts w:ascii="Book Antiqua"/>
          <w:i/>
          <w:w w:val="105"/>
        </w:rPr>
        <w:t xml:space="preserve">i.e., </w:t>
      </w:r>
      <w:r w:rsidRPr="00283806">
        <w:rPr>
          <w:w w:val="105"/>
        </w:rPr>
        <w:t>12 months). For comfort cooling</w:t>
      </w:r>
      <w:r w:rsidRPr="00283806">
        <w:rPr>
          <w:spacing w:val="32"/>
          <w:w w:val="105"/>
        </w:rPr>
        <w:t xml:space="preserve"> </w:t>
      </w:r>
      <w:r w:rsidRPr="00283806">
        <w:rPr>
          <w:w w:val="105"/>
        </w:rPr>
        <w:t>and</w:t>
      </w:r>
      <w:r w:rsidRPr="00283806">
        <w:rPr>
          <w:spacing w:val="32"/>
          <w:w w:val="105"/>
        </w:rPr>
        <w:t xml:space="preserve"> </w:t>
      </w:r>
      <w:r w:rsidRPr="00283806">
        <w:rPr>
          <w:w w:val="105"/>
        </w:rPr>
        <w:t>other</w:t>
      </w:r>
      <w:r w:rsidRPr="00283806">
        <w:rPr>
          <w:spacing w:val="32"/>
          <w:w w:val="105"/>
        </w:rPr>
        <w:t xml:space="preserve"> </w:t>
      </w:r>
      <w:r w:rsidRPr="00283806">
        <w:rPr>
          <w:w w:val="105"/>
        </w:rPr>
        <w:t>appliances</w:t>
      </w:r>
      <w:r w:rsidRPr="00283806">
        <w:rPr>
          <w:spacing w:val="32"/>
          <w:w w:val="105"/>
        </w:rPr>
        <w:t xml:space="preserve"> </w:t>
      </w:r>
      <w:r w:rsidRPr="00283806">
        <w:rPr>
          <w:w w:val="105"/>
        </w:rPr>
        <w:t>that</w:t>
      </w:r>
      <w:r w:rsidRPr="00283806">
        <w:rPr>
          <w:spacing w:val="32"/>
          <w:w w:val="105"/>
        </w:rPr>
        <w:t xml:space="preserve"> </w:t>
      </w:r>
      <w:r w:rsidRPr="00283806">
        <w:rPr>
          <w:w w:val="105"/>
        </w:rPr>
        <w:t>have a charge size of 15 pounds or above of</w:t>
      </w:r>
    </w:p>
    <w:p w14:paraId="1CE1F889" w14:textId="77777777" w:rsidR="00D67C1E" w:rsidRPr="00283806" w:rsidRDefault="001265CA">
      <w:pPr>
        <w:pStyle w:val="BodyText"/>
        <w:spacing w:line="225" w:lineRule="auto"/>
        <w:ind w:right="88"/>
      </w:pPr>
      <w:r w:rsidRPr="00283806">
        <w:rPr>
          <w:w w:val="105"/>
        </w:rPr>
        <w:t>a refrigerant that contains an HFC or a substitute for an HFC with a GWP above 53, EPA is requiring that leak</w:t>
      </w:r>
      <w:r w:rsidRPr="00283806">
        <w:rPr>
          <w:spacing w:val="80"/>
          <w:w w:val="105"/>
        </w:rPr>
        <w:t xml:space="preserve"> </w:t>
      </w:r>
      <w:r w:rsidRPr="00283806">
        <w:rPr>
          <w:w w:val="105"/>
        </w:rPr>
        <w:t>inspections be performed once per year after the date of repair demonstrated by a successful follow-up verification test until the owner or operator can demonstrate that the equipment has not exceeded the applicable leak rate for</w:t>
      </w:r>
      <w:r w:rsidRPr="00283806">
        <w:rPr>
          <w:spacing w:val="80"/>
          <w:w w:val="105"/>
        </w:rPr>
        <w:t xml:space="preserve"> </w:t>
      </w:r>
      <w:r w:rsidRPr="00283806">
        <w:rPr>
          <w:w w:val="105"/>
        </w:rPr>
        <w:t>one year (</w:t>
      </w:r>
      <w:r w:rsidRPr="00283806">
        <w:rPr>
          <w:rFonts w:ascii="Book Antiqua"/>
          <w:i/>
          <w:w w:val="105"/>
        </w:rPr>
        <w:t xml:space="preserve">i.e., </w:t>
      </w:r>
      <w:r w:rsidRPr="00283806">
        <w:rPr>
          <w:w w:val="105"/>
        </w:rPr>
        <w:t>12 months). In each case,</w:t>
      </w:r>
      <w:r w:rsidRPr="00283806">
        <w:rPr>
          <w:spacing w:val="40"/>
          <w:w w:val="105"/>
        </w:rPr>
        <w:t xml:space="preserve"> </w:t>
      </w:r>
      <w:r w:rsidRPr="00283806">
        <w:rPr>
          <w:w w:val="105"/>
        </w:rPr>
        <w:t>to demonstrate an appliance has not exceeded the applicable leak rate, the leak rate is calculated during a leak inspection as described in section</w:t>
      </w:r>
    </w:p>
    <w:p w14:paraId="24085485" w14:textId="77777777" w:rsidR="00D67C1E" w:rsidRPr="00283806" w:rsidRDefault="001265CA">
      <w:pPr>
        <w:pStyle w:val="ListParagraph"/>
        <w:numPr>
          <w:ilvl w:val="3"/>
          <w:numId w:val="56"/>
        </w:numPr>
        <w:tabs>
          <w:tab w:val="left" w:pos="858"/>
        </w:tabs>
        <w:spacing w:before="12" w:line="225" w:lineRule="auto"/>
        <w:ind w:right="109" w:firstLine="0"/>
        <w:rPr>
          <w:sz w:val="18"/>
        </w:rPr>
      </w:pPr>
      <w:r w:rsidRPr="00283806">
        <w:rPr>
          <w:w w:val="105"/>
          <w:sz w:val="18"/>
        </w:rPr>
        <w:t>of this preamble. EPA is establishing that it is appropriate to require more frequent leak inspections for larger commercial refrigeration and IPR appliances (</w:t>
      </w:r>
      <w:r w:rsidRPr="00283806">
        <w:rPr>
          <w:rFonts w:ascii="Book Antiqua"/>
          <w:i/>
          <w:w w:val="105"/>
          <w:sz w:val="18"/>
        </w:rPr>
        <w:t xml:space="preserve">i.e., </w:t>
      </w:r>
      <w:r w:rsidRPr="00283806">
        <w:rPr>
          <w:w w:val="105"/>
          <w:sz w:val="18"/>
        </w:rPr>
        <w:t>charge sizes at or above</w:t>
      </w:r>
      <w:r w:rsidRPr="00283806">
        <w:rPr>
          <w:spacing w:val="-3"/>
          <w:w w:val="105"/>
          <w:sz w:val="18"/>
        </w:rPr>
        <w:t xml:space="preserve"> </w:t>
      </w:r>
      <w:r w:rsidRPr="00283806">
        <w:rPr>
          <w:w w:val="105"/>
          <w:sz w:val="18"/>
        </w:rPr>
        <w:t>500</w:t>
      </w:r>
      <w:r w:rsidRPr="00283806">
        <w:rPr>
          <w:spacing w:val="-3"/>
          <w:w w:val="105"/>
          <w:sz w:val="18"/>
        </w:rPr>
        <w:t xml:space="preserve"> </w:t>
      </w:r>
      <w:r w:rsidRPr="00283806">
        <w:rPr>
          <w:w w:val="105"/>
          <w:sz w:val="18"/>
        </w:rPr>
        <w:t>pounds),</w:t>
      </w:r>
      <w:r w:rsidRPr="00283806">
        <w:rPr>
          <w:spacing w:val="-3"/>
          <w:w w:val="105"/>
          <w:sz w:val="18"/>
        </w:rPr>
        <w:t xml:space="preserve"> </w:t>
      </w:r>
      <w:r w:rsidRPr="00283806">
        <w:rPr>
          <w:w w:val="105"/>
          <w:sz w:val="18"/>
        </w:rPr>
        <w:t>as</w:t>
      </w:r>
      <w:r w:rsidRPr="00283806">
        <w:rPr>
          <w:spacing w:val="-3"/>
          <w:w w:val="105"/>
          <w:sz w:val="18"/>
        </w:rPr>
        <w:t xml:space="preserve"> </w:t>
      </w:r>
      <w:r w:rsidRPr="00283806">
        <w:rPr>
          <w:w w:val="105"/>
          <w:sz w:val="18"/>
        </w:rPr>
        <w:t>the</w:t>
      </w:r>
      <w:r w:rsidRPr="00283806">
        <w:rPr>
          <w:spacing w:val="-3"/>
          <w:w w:val="105"/>
          <w:sz w:val="18"/>
        </w:rPr>
        <w:t xml:space="preserve"> </w:t>
      </w:r>
      <w:r w:rsidRPr="00283806">
        <w:rPr>
          <w:w w:val="105"/>
          <w:sz w:val="18"/>
        </w:rPr>
        <w:t>larger</w:t>
      </w:r>
      <w:r w:rsidRPr="00283806">
        <w:rPr>
          <w:spacing w:val="-3"/>
          <w:w w:val="105"/>
          <w:sz w:val="18"/>
        </w:rPr>
        <w:t xml:space="preserve"> </w:t>
      </w:r>
      <w:r w:rsidRPr="00283806">
        <w:rPr>
          <w:w w:val="105"/>
          <w:sz w:val="18"/>
        </w:rPr>
        <w:t>charge size means that potential emissions from the appliance are greater if a leak is not properly repaired.</w:t>
      </w:r>
    </w:p>
    <w:p w14:paraId="6E9F475C" w14:textId="77777777" w:rsidR="00D67C1E" w:rsidRPr="00283806" w:rsidRDefault="001265CA">
      <w:pPr>
        <w:pStyle w:val="BodyText"/>
        <w:spacing w:before="43" w:line="228" w:lineRule="auto"/>
        <w:ind w:firstLine="180"/>
      </w:pPr>
      <w:r w:rsidRPr="00283806">
        <w:rPr>
          <w:w w:val="105"/>
        </w:rPr>
        <w:t>EPA is also finalizing the use of ALD systems</w:t>
      </w:r>
      <w:r w:rsidRPr="00283806">
        <w:rPr>
          <w:spacing w:val="39"/>
          <w:w w:val="105"/>
        </w:rPr>
        <w:t xml:space="preserve"> </w:t>
      </w:r>
      <w:r w:rsidRPr="00283806">
        <w:rPr>
          <w:w w:val="105"/>
        </w:rPr>
        <w:t>as</w:t>
      </w:r>
      <w:r w:rsidRPr="00283806">
        <w:rPr>
          <w:spacing w:val="39"/>
          <w:w w:val="105"/>
        </w:rPr>
        <w:t xml:space="preserve"> </w:t>
      </w:r>
      <w:r w:rsidRPr="00283806">
        <w:rPr>
          <w:w w:val="105"/>
        </w:rPr>
        <w:t>a</w:t>
      </w:r>
      <w:r w:rsidRPr="00283806">
        <w:rPr>
          <w:spacing w:val="39"/>
          <w:w w:val="105"/>
        </w:rPr>
        <w:t xml:space="preserve"> </w:t>
      </w:r>
      <w:r w:rsidRPr="00283806">
        <w:rPr>
          <w:w w:val="105"/>
        </w:rPr>
        <w:t>compliance</w:t>
      </w:r>
      <w:r w:rsidRPr="00283806">
        <w:rPr>
          <w:spacing w:val="39"/>
          <w:w w:val="105"/>
        </w:rPr>
        <w:t xml:space="preserve"> </w:t>
      </w:r>
      <w:r w:rsidRPr="00283806">
        <w:rPr>
          <w:w w:val="105"/>
        </w:rPr>
        <w:t>option</w:t>
      </w:r>
      <w:r w:rsidRPr="00283806">
        <w:rPr>
          <w:spacing w:val="39"/>
          <w:w w:val="105"/>
        </w:rPr>
        <w:t xml:space="preserve"> </w:t>
      </w:r>
      <w:r w:rsidRPr="00283806">
        <w:rPr>
          <w:w w:val="105"/>
        </w:rPr>
        <w:t>in</w:t>
      </w:r>
      <w:r w:rsidRPr="00283806">
        <w:rPr>
          <w:spacing w:val="39"/>
          <w:w w:val="105"/>
        </w:rPr>
        <w:t xml:space="preserve"> </w:t>
      </w:r>
      <w:r w:rsidRPr="00283806">
        <w:rPr>
          <w:w w:val="105"/>
        </w:rPr>
        <w:t>lieu of quarterly or annual leak inspections. Owners or operators voluntarily using</w:t>
      </w:r>
      <w:r w:rsidRPr="00283806">
        <w:rPr>
          <w:spacing w:val="80"/>
          <w:w w:val="105"/>
        </w:rPr>
        <w:t xml:space="preserve"> </w:t>
      </w:r>
      <w:r w:rsidRPr="00283806">
        <w:rPr>
          <w:w w:val="105"/>
        </w:rPr>
        <w:t>an ALD system to monitor leaks in a refrigerant-containing appliance that are not subject to the ALD requirements in the final rule (see section IV.D.1 of this preamble) are not required to conduct periodic leak inspections unless an applicable leak rate threshold has been exceeded. Once the applicable threshold has been exceeded the owner or</w:t>
      </w:r>
      <w:r w:rsidRPr="00283806">
        <w:rPr>
          <w:spacing w:val="80"/>
          <w:w w:val="105"/>
        </w:rPr>
        <w:t xml:space="preserve"> </w:t>
      </w:r>
      <w:r w:rsidRPr="00283806">
        <w:rPr>
          <w:w w:val="105"/>
        </w:rPr>
        <w:t>operator is required to perform leak inspections on any portions of the appliance where the ALD system is not monitoring for leaks. Owners or operators choosing to install an ALD system, in lieu of the required leak inspections, must meet the requirements for ALD systems (including annual ALD system audit and calibration requirements). The Agency is also finalizing separate requirements for the use of ALD systems for commercial refrigeration and IPR appliances that have a charge size of 1,500 pounds or more of refrigerant that contains an HFC or a substitute for an HFC with a GWP greater than 53. That is, the leak inspections that are being codified at 40 CFR 84.106(g) and the requirements related to ALD systems that are being codified at 40 CFR 84.108 are separate provisions that apply in different circumstances. For further information and requirements related to ALD</w:t>
      </w:r>
      <w:r w:rsidRPr="00283806">
        <w:rPr>
          <w:spacing w:val="80"/>
          <w:w w:val="105"/>
        </w:rPr>
        <w:t xml:space="preserve"> </w:t>
      </w:r>
      <w:r w:rsidRPr="00283806">
        <w:rPr>
          <w:w w:val="105"/>
        </w:rPr>
        <w:t>systems in this action, refer to section</w:t>
      </w:r>
    </w:p>
    <w:p w14:paraId="6F81747A" w14:textId="77777777" w:rsidR="00D67C1E" w:rsidRPr="00283806" w:rsidRDefault="001265CA">
      <w:pPr>
        <w:pStyle w:val="BodyText"/>
        <w:spacing w:line="184" w:lineRule="exact"/>
      </w:pPr>
      <w:r w:rsidRPr="00283806">
        <w:rPr>
          <w:w w:val="105"/>
        </w:rPr>
        <w:t>IV.D.1</w:t>
      </w:r>
      <w:r w:rsidRPr="00283806">
        <w:rPr>
          <w:spacing w:val="21"/>
          <w:w w:val="105"/>
        </w:rPr>
        <w:t xml:space="preserve"> </w:t>
      </w:r>
      <w:r w:rsidRPr="00283806">
        <w:rPr>
          <w:w w:val="105"/>
        </w:rPr>
        <w:t>of</w:t>
      </w:r>
      <w:r w:rsidRPr="00283806">
        <w:rPr>
          <w:spacing w:val="22"/>
          <w:w w:val="105"/>
        </w:rPr>
        <w:t xml:space="preserve"> </w:t>
      </w:r>
      <w:r w:rsidRPr="00283806">
        <w:rPr>
          <w:w w:val="105"/>
        </w:rPr>
        <w:t>this</w:t>
      </w:r>
      <w:r w:rsidRPr="00283806">
        <w:rPr>
          <w:spacing w:val="22"/>
          <w:w w:val="105"/>
        </w:rPr>
        <w:t xml:space="preserve"> </w:t>
      </w:r>
      <w:r w:rsidRPr="00283806">
        <w:rPr>
          <w:spacing w:val="-2"/>
          <w:w w:val="105"/>
        </w:rPr>
        <w:t>preamble.</w:t>
      </w:r>
    </w:p>
    <w:p w14:paraId="545E676D" w14:textId="77777777" w:rsidR="00D67C1E" w:rsidRPr="00283806" w:rsidRDefault="001265CA">
      <w:pPr>
        <w:pStyle w:val="BodyText"/>
        <w:spacing w:before="133" w:line="228" w:lineRule="auto"/>
        <w:ind w:left="143" w:right="1" w:firstLine="180"/>
      </w:pPr>
      <w:r w:rsidRPr="00283806">
        <w:br w:type="column"/>
      </w:r>
      <w:r w:rsidRPr="00283806">
        <w:rPr>
          <w:rFonts w:ascii="Book Antiqua" w:hAnsi="Book Antiqua"/>
          <w:i/>
          <w:w w:val="105"/>
        </w:rPr>
        <w:t xml:space="preserve">Comment: </w:t>
      </w:r>
      <w:r w:rsidRPr="00283806">
        <w:rPr>
          <w:w w:val="105"/>
        </w:rPr>
        <w:t>EPA received mostly supportive comments on the proposed rule’s leak inspection provisions. One commenter supported the option to use ALD in lieu of quarterly or annual leak inspections</w:t>
      </w:r>
      <w:proofErr w:type="gramStart"/>
      <w:r w:rsidRPr="00283806">
        <w:rPr>
          <w:w w:val="105"/>
        </w:rPr>
        <w:t xml:space="preserve"> Another</w:t>
      </w:r>
      <w:proofErr w:type="gramEnd"/>
      <w:r w:rsidRPr="00283806">
        <w:rPr>
          <w:w w:val="105"/>
        </w:rPr>
        <w:t xml:space="preserve"> commenter supported the provision to require periodic manual leak inspections for portions of the appliance that are not being monitored by an ALD system. The commenter suggested that EPA require quarterly inspections for portions of an appliance with a charge size of 1,500 pounds or more that are not covered by an</w:t>
      </w:r>
      <w:r w:rsidRPr="00283806">
        <w:rPr>
          <w:spacing w:val="40"/>
          <w:w w:val="105"/>
        </w:rPr>
        <w:t xml:space="preserve"> </w:t>
      </w:r>
      <w:r w:rsidRPr="00283806">
        <w:rPr>
          <w:w w:val="105"/>
        </w:rPr>
        <w:t>ALD</w:t>
      </w:r>
      <w:r w:rsidRPr="00283806">
        <w:rPr>
          <w:spacing w:val="40"/>
          <w:w w:val="105"/>
        </w:rPr>
        <w:t xml:space="preserve"> </w:t>
      </w:r>
      <w:r w:rsidRPr="00283806">
        <w:rPr>
          <w:w w:val="105"/>
        </w:rPr>
        <w:t>system</w:t>
      </w:r>
      <w:r w:rsidRPr="00283806">
        <w:rPr>
          <w:spacing w:val="40"/>
          <w:w w:val="105"/>
        </w:rPr>
        <w:t xml:space="preserve"> </w:t>
      </w:r>
      <w:r w:rsidRPr="00283806">
        <w:rPr>
          <w:w w:val="105"/>
        </w:rPr>
        <w:t>regardless</w:t>
      </w:r>
      <w:r w:rsidRPr="00283806">
        <w:rPr>
          <w:spacing w:val="40"/>
          <w:w w:val="105"/>
        </w:rPr>
        <w:t xml:space="preserve"> </w:t>
      </w:r>
      <w:r w:rsidRPr="00283806">
        <w:rPr>
          <w:w w:val="105"/>
        </w:rPr>
        <w:t>of</w:t>
      </w:r>
      <w:r w:rsidRPr="00283806">
        <w:rPr>
          <w:spacing w:val="40"/>
          <w:w w:val="105"/>
        </w:rPr>
        <w:t xml:space="preserve"> </w:t>
      </w:r>
      <w:r w:rsidRPr="00283806">
        <w:rPr>
          <w:w w:val="105"/>
        </w:rPr>
        <w:t>whether the appliance is leaking above its applicable</w:t>
      </w:r>
      <w:r w:rsidRPr="00283806">
        <w:rPr>
          <w:spacing w:val="40"/>
          <w:w w:val="105"/>
        </w:rPr>
        <w:t xml:space="preserve"> </w:t>
      </w:r>
      <w:r w:rsidRPr="00283806">
        <w:rPr>
          <w:w w:val="105"/>
        </w:rPr>
        <w:t>leak</w:t>
      </w:r>
      <w:r w:rsidRPr="00283806">
        <w:rPr>
          <w:spacing w:val="40"/>
          <w:w w:val="105"/>
        </w:rPr>
        <w:t xml:space="preserve"> </w:t>
      </w:r>
      <w:r w:rsidRPr="00283806">
        <w:rPr>
          <w:w w:val="105"/>
        </w:rPr>
        <w:t>rate.</w:t>
      </w:r>
      <w:r w:rsidRPr="00283806">
        <w:rPr>
          <w:spacing w:val="40"/>
          <w:w w:val="105"/>
        </w:rPr>
        <w:t xml:space="preserve"> </w:t>
      </w:r>
      <w:r w:rsidRPr="00283806">
        <w:rPr>
          <w:w w:val="105"/>
        </w:rPr>
        <w:t>Another commenter in support of the varying</w:t>
      </w:r>
      <w:r w:rsidRPr="00283806">
        <w:rPr>
          <w:spacing w:val="80"/>
          <w:w w:val="105"/>
        </w:rPr>
        <w:t xml:space="preserve"> </w:t>
      </w:r>
      <w:r w:rsidRPr="00283806">
        <w:rPr>
          <w:w w:val="105"/>
        </w:rPr>
        <w:t>leak inspection requirements in the final rule encouraged EPA to adopt routine leak inspections regardless of whether the refrigerant-containing appliances are found to be leaking or not. The commenter stated that routine leak inspections are a good way to catch</w:t>
      </w:r>
      <w:r w:rsidRPr="00283806">
        <w:rPr>
          <w:spacing w:val="80"/>
          <w:w w:val="150"/>
        </w:rPr>
        <w:t xml:space="preserve"> </w:t>
      </w:r>
      <w:r w:rsidRPr="00283806">
        <w:rPr>
          <w:w w:val="105"/>
        </w:rPr>
        <w:t>leaks early and prevent high-volume leakage. One commenter requested clarification on whether EPA intended</w:t>
      </w:r>
      <w:r w:rsidRPr="00283806">
        <w:rPr>
          <w:spacing w:val="80"/>
          <w:w w:val="105"/>
        </w:rPr>
        <w:t xml:space="preserve"> </w:t>
      </w:r>
      <w:r w:rsidRPr="00283806">
        <w:rPr>
          <w:w w:val="105"/>
        </w:rPr>
        <w:t>for leak inspections to be performed ‘‘once per year’’ or ‘‘within 365 days of the repair.’’ The commenter suggested</w:t>
      </w:r>
      <w:r w:rsidRPr="00283806">
        <w:rPr>
          <w:spacing w:val="40"/>
          <w:w w:val="105"/>
        </w:rPr>
        <w:t xml:space="preserve"> </w:t>
      </w:r>
      <w:r w:rsidRPr="00283806">
        <w:rPr>
          <w:w w:val="105"/>
        </w:rPr>
        <w:t>the ‘‘within 365 days of the repair’’ interpretation would align with 40 CFR part 82, subpart F.</w:t>
      </w:r>
    </w:p>
    <w:p w14:paraId="44B2AB38" w14:textId="77777777" w:rsidR="00D67C1E" w:rsidRPr="00283806" w:rsidRDefault="001265CA">
      <w:pPr>
        <w:pStyle w:val="BodyText"/>
        <w:spacing w:before="13" w:line="228" w:lineRule="auto"/>
        <w:ind w:left="143" w:firstLine="180"/>
      </w:pPr>
      <w:r w:rsidRPr="00283806">
        <w:rPr>
          <w:rFonts w:ascii="Book Antiqua" w:hAnsi="Book Antiqua"/>
          <w:i/>
          <w:w w:val="105"/>
        </w:rPr>
        <w:t xml:space="preserve">Response: </w:t>
      </w:r>
      <w:r w:rsidRPr="00283806">
        <w:rPr>
          <w:w w:val="105"/>
        </w:rPr>
        <w:t>EPA is finalizing the leak inspection requirements as proposed.</w:t>
      </w:r>
      <w:r w:rsidRPr="00283806">
        <w:rPr>
          <w:spacing w:val="80"/>
          <w:w w:val="105"/>
        </w:rPr>
        <w:t xml:space="preserve"> </w:t>
      </w:r>
      <w:r w:rsidRPr="00283806">
        <w:rPr>
          <w:w w:val="105"/>
        </w:rPr>
        <w:t>We acknowledge the comments in support of the provision. EPA acknowledges one commenter’s support for the use of ALD as a compliance</w:t>
      </w:r>
      <w:r w:rsidRPr="00283806">
        <w:rPr>
          <w:spacing w:val="40"/>
          <w:w w:val="105"/>
        </w:rPr>
        <w:t xml:space="preserve"> </w:t>
      </w:r>
      <w:r w:rsidRPr="00283806">
        <w:rPr>
          <w:w w:val="105"/>
        </w:rPr>
        <w:t xml:space="preserve">option. This decision was based on considerations of previous utilization of ALD systems under CAA section 608 where the Agency provided additional flexibility to facility owners to opt </w:t>
      </w:r>
      <w:proofErr w:type="gramStart"/>
      <w:r w:rsidRPr="00283806">
        <w:rPr>
          <w:w w:val="105"/>
        </w:rPr>
        <w:t>into</w:t>
      </w:r>
      <w:proofErr w:type="gramEnd"/>
      <w:r w:rsidRPr="00283806">
        <w:rPr>
          <w:w w:val="105"/>
        </w:rPr>
        <w:t xml:space="preserve"> ALD. The Agency agrees that routine</w:t>
      </w:r>
      <w:r w:rsidRPr="00283806">
        <w:rPr>
          <w:spacing w:val="80"/>
          <w:w w:val="150"/>
        </w:rPr>
        <w:t xml:space="preserve"> </w:t>
      </w:r>
      <w:r w:rsidRPr="00283806">
        <w:rPr>
          <w:w w:val="105"/>
        </w:rPr>
        <w:t>leak inspections are helpful in</w:t>
      </w:r>
      <w:r w:rsidRPr="00283806">
        <w:rPr>
          <w:spacing w:val="80"/>
          <w:w w:val="105"/>
        </w:rPr>
        <w:t xml:space="preserve"> </w:t>
      </w:r>
      <w:r w:rsidRPr="00283806">
        <w:rPr>
          <w:w w:val="105"/>
        </w:rPr>
        <w:t xml:space="preserve">preventing high-volume </w:t>
      </w:r>
      <w:proofErr w:type="gramStart"/>
      <w:r w:rsidRPr="00283806">
        <w:rPr>
          <w:w w:val="105"/>
        </w:rPr>
        <w:t>leakage</w:t>
      </w:r>
      <w:proofErr w:type="gramEnd"/>
      <w:r w:rsidRPr="00283806">
        <w:rPr>
          <w:w w:val="105"/>
        </w:rPr>
        <w:t xml:space="preserve"> from appliances and generally recommends periodic leak inspections as </w:t>
      </w:r>
      <w:proofErr w:type="gramStart"/>
      <w:r w:rsidRPr="00283806">
        <w:rPr>
          <w:w w:val="105"/>
        </w:rPr>
        <w:t>a best</w:t>
      </w:r>
      <w:proofErr w:type="gramEnd"/>
      <w:r w:rsidRPr="00283806">
        <w:rPr>
          <w:w w:val="105"/>
        </w:rPr>
        <w:t xml:space="preserve"> practice, even for well-maintained appliances. EPA did not propose and is not finalizing the repair of all leaks or more frequent leak inspections;</w:t>
      </w:r>
      <w:r w:rsidRPr="00283806">
        <w:rPr>
          <w:spacing w:val="80"/>
          <w:w w:val="105"/>
        </w:rPr>
        <w:t xml:space="preserve"> </w:t>
      </w:r>
      <w:r w:rsidRPr="00283806">
        <w:rPr>
          <w:w w:val="105"/>
        </w:rPr>
        <w:t>however, the Agency encourages owners or</w:t>
      </w:r>
      <w:r w:rsidRPr="00283806">
        <w:rPr>
          <w:spacing w:val="-7"/>
          <w:w w:val="105"/>
        </w:rPr>
        <w:t xml:space="preserve"> </w:t>
      </w:r>
      <w:r w:rsidRPr="00283806">
        <w:rPr>
          <w:w w:val="105"/>
        </w:rPr>
        <w:t>operators</w:t>
      </w:r>
      <w:r w:rsidRPr="00283806">
        <w:rPr>
          <w:spacing w:val="-7"/>
          <w:w w:val="105"/>
        </w:rPr>
        <w:t xml:space="preserve"> </w:t>
      </w:r>
      <w:r w:rsidRPr="00283806">
        <w:rPr>
          <w:w w:val="105"/>
        </w:rPr>
        <w:t>to</w:t>
      </w:r>
      <w:r w:rsidRPr="00283806">
        <w:rPr>
          <w:spacing w:val="-7"/>
          <w:w w:val="105"/>
        </w:rPr>
        <w:t xml:space="preserve"> </w:t>
      </w:r>
      <w:r w:rsidRPr="00283806">
        <w:rPr>
          <w:w w:val="105"/>
        </w:rPr>
        <w:t>adopt</w:t>
      </w:r>
      <w:r w:rsidRPr="00283806">
        <w:rPr>
          <w:spacing w:val="-7"/>
          <w:w w:val="105"/>
        </w:rPr>
        <w:t xml:space="preserve"> </w:t>
      </w:r>
      <w:r w:rsidRPr="00283806">
        <w:rPr>
          <w:w w:val="105"/>
        </w:rPr>
        <w:t>strategies</w:t>
      </w:r>
      <w:r w:rsidRPr="00283806">
        <w:rPr>
          <w:spacing w:val="-7"/>
          <w:w w:val="105"/>
        </w:rPr>
        <w:t xml:space="preserve"> </w:t>
      </w:r>
      <w:r w:rsidRPr="00283806">
        <w:rPr>
          <w:w w:val="105"/>
        </w:rPr>
        <w:t>to</w:t>
      </w:r>
      <w:r w:rsidRPr="00283806">
        <w:rPr>
          <w:spacing w:val="-7"/>
          <w:w w:val="105"/>
        </w:rPr>
        <w:t xml:space="preserve"> </w:t>
      </w:r>
      <w:r w:rsidRPr="00283806">
        <w:rPr>
          <w:w w:val="105"/>
        </w:rPr>
        <w:t>ensure their refrigerated-containing appliances are operating with minimal leaks. EPA clarifies that leak inspections are not</w:t>
      </w:r>
      <w:r w:rsidRPr="00283806">
        <w:rPr>
          <w:spacing w:val="80"/>
          <w:w w:val="105"/>
        </w:rPr>
        <w:t xml:space="preserve"> </w:t>
      </w:r>
      <w:r w:rsidRPr="00283806">
        <w:rPr>
          <w:w w:val="105"/>
        </w:rPr>
        <w:t>tied to the discovery of a leak, but rather to the determination that an appliance</w:t>
      </w:r>
    </w:p>
    <w:p w14:paraId="155F6F65" w14:textId="77777777" w:rsidR="00D67C1E" w:rsidRPr="00283806" w:rsidRDefault="001265CA">
      <w:pPr>
        <w:pStyle w:val="BodyText"/>
        <w:spacing w:line="174" w:lineRule="exact"/>
        <w:ind w:left="143"/>
      </w:pPr>
      <w:r w:rsidRPr="00283806">
        <w:rPr>
          <w:w w:val="105"/>
        </w:rPr>
        <w:t>is</w:t>
      </w:r>
      <w:r w:rsidRPr="00283806">
        <w:rPr>
          <w:spacing w:val="9"/>
          <w:w w:val="105"/>
        </w:rPr>
        <w:t xml:space="preserve"> </w:t>
      </w:r>
      <w:r w:rsidRPr="00283806">
        <w:rPr>
          <w:w w:val="105"/>
        </w:rPr>
        <w:t>leaking</w:t>
      </w:r>
      <w:r w:rsidRPr="00283806">
        <w:rPr>
          <w:spacing w:val="9"/>
          <w:w w:val="105"/>
        </w:rPr>
        <w:t xml:space="preserve"> </w:t>
      </w:r>
      <w:r w:rsidRPr="00283806">
        <w:rPr>
          <w:w w:val="105"/>
        </w:rPr>
        <w:t>above</w:t>
      </w:r>
      <w:r w:rsidRPr="00283806">
        <w:rPr>
          <w:spacing w:val="9"/>
          <w:w w:val="105"/>
        </w:rPr>
        <w:t xml:space="preserve"> </w:t>
      </w:r>
      <w:r w:rsidRPr="00283806">
        <w:rPr>
          <w:w w:val="105"/>
        </w:rPr>
        <w:t>the</w:t>
      </w:r>
      <w:r w:rsidRPr="00283806">
        <w:rPr>
          <w:spacing w:val="10"/>
          <w:w w:val="105"/>
        </w:rPr>
        <w:t xml:space="preserve"> </w:t>
      </w:r>
      <w:r w:rsidRPr="00283806">
        <w:rPr>
          <w:spacing w:val="-2"/>
          <w:w w:val="105"/>
        </w:rPr>
        <w:t>applicable</w:t>
      </w:r>
    </w:p>
    <w:p w14:paraId="09412653" w14:textId="77777777" w:rsidR="00D67C1E" w:rsidRPr="00283806" w:rsidRDefault="001265CA">
      <w:pPr>
        <w:pStyle w:val="BodyText"/>
        <w:spacing w:before="3" w:line="228" w:lineRule="auto"/>
        <w:ind w:left="143" w:right="71"/>
      </w:pPr>
      <w:r w:rsidRPr="00283806">
        <w:rPr>
          <w:w w:val="105"/>
        </w:rPr>
        <w:t>threshold and occur on a set timeline based on charge size (except for appliances where all portions of the appliance are monitored by ALD). EPA also clarifies that quarterly or annual leak inspections are required for</w:t>
      </w:r>
    </w:p>
    <w:p w14:paraId="2367ED36" w14:textId="77777777" w:rsidR="00D67C1E" w:rsidRPr="00283806" w:rsidRDefault="001265CA">
      <w:pPr>
        <w:pStyle w:val="BodyText"/>
        <w:spacing w:before="133" w:line="225" w:lineRule="auto"/>
        <w:ind w:left="142" w:right="202"/>
      </w:pPr>
      <w:r w:rsidRPr="00283806">
        <w:br w:type="column"/>
      </w:r>
      <w:r w:rsidRPr="00283806">
        <w:rPr>
          <w:w w:val="105"/>
        </w:rPr>
        <w:t>portions of an appliance that are not being monitored by an ALD system</w:t>
      </w:r>
      <w:r w:rsidRPr="00283806">
        <w:rPr>
          <w:spacing w:val="80"/>
          <w:w w:val="150"/>
        </w:rPr>
        <w:t xml:space="preserve"> </w:t>
      </w:r>
      <w:r w:rsidRPr="00283806">
        <w:rPr>
          <w:w w:val="105"/>
        </w:rPr>
        <w:t>when an appliance has exceeded its leak rate threshold. The Agency reiterates</w:t>
      </w:r>
      <w:r w:rsidRPr="00283806">
        <w:rPr>
          <w:spacing w:val="40"/>
          <w:w w:val="105"/>
        </w:rPr>
        <w:t xml:space="preserve"> </w:t>
      </w:r>
      <w:r w:rsidRPr="00283806">
        <w:rPr>
          <w:w w:val="105"/>
        </w:rPr>
        <w:t>that the final rule is requiring the repair of leaks so that the appliance is under</w:t>
      </w:r>
      <w:r w:rsidRPr="00283806">
        <w:rPr>
          <w:spacing w:val="80"/>
          <w:w w:val="105"/>
        </w:rPr>
        <w:t xml:space="preserve"> </w:t>
      </w:r>
      <w:r w:rsidRPr="00283806">
        <w:rPr>
          <w:w w:val="105"/>
        </w:rPr>
        <w:t>the applicable leak rate threshold, not</w:t>
      </w:r>
      <w:r w:rsidRPr="00283806">
        <w:rPr>
          <w:spacing w:val="80"/>
          <w:w w:val="105"/>
        </w:rPr>
        <w:t xml:space="preserve"> </w:t>
      </w:r>
      <w:r w:rsidRPr="00283806">
        <w:rPr>
          <w:w w:val="105"/>
        </w:rPr>
        <w:t>the repair of all leaks. The addition of periodic inspections not related to the final rule’s leak repair timeline would</w:t>
      </w:r>
      <w:r w:rsidRPr="00283806">
        <w:rPr>
          <w:spacing w:val="40"/>
          <w:w w:val="105"/>
        </w:rPr>
        <w:t xml:space="preserve"> </w:t>
      </w:r>
      <w:r w:rsidRPr="00283806">
        <w:rPr>
          <w:w w:val="105"/>
        </w:rPr>
        <w:t>add additional burden to owner/ operators</w:t>
      </w:r>
      <w:r w:rsidRPr="00283806">
        <w:rPr>
          <w:spacing w:val="40"/>
          <w:w w:val="105"/>
        </w:rPr>
        <w:t xml:space="preserve"> </w:t>
      </w:r>
      <w:r w:rsidRPr="00283806">
        <w:rPr>
          <w:w w:val="105"/>
        </w:rPr>
        <w:t>and</w:t>
      </w:r>
      <w:r w:rsidRPr="00283806">
        <w:rPr>
          <w:spacing w:val="40"/>
          <w:w w:val="105"/>
        </w:rPr>
        <w:t xml:space="preserve"> </w:t>
      </w:r>
      <w:r w:rsidRPr="00283806">
        <w:rPr>
          <w:w w:val="105"/>
        </w:rPr>
        <w:t>dampen</w:t>
      </w:r>
      <w:r w:rsidRPr="00283806">
        <w:rPr>
          <w:spacing w:val="40"/>
          <w:w w:val="105"/>
        </w:rPr>
        <w:t xml:space="preserve"> </w:t>
      </w:r>
      <w:r w:rsidRPr="00283806">
        <w:rPr>
          <w:w w:val="105"/>
        </w:rPr>
        <w:t>the</w:t>
      </w:r>
      <w:r w:rsidRPr="00283806">
        <w:rPr>
          <w:spacing w:val="40"/>
          <w:w w:val="105"/>
        </w:rPr>
        <w:t xml:space="preserve"> </w:t>
      </w:r>
      <w:proofErr w:type="gramStart"/>
      <w:r w:rsidRPr="00283806">
        <w:rPr>
          <w:w w:val="105"/>
        </w:rPr>
        <w:t>flexibilities</w:t>
      </w:r>
      <w:proofErr w:type="gramEnd"/>
      <w:r w:rsidRPr="00283806">
        <w:rPr>
          <w:w w:val="105"/>
        </w:rPr>
        <w:t xml:space="preserve"> in the leak repair provision. The Agency may reevaluate the frequency of leak inspections in </w:t>
      </w:r>
      <w:proofErr w:type="gramStart"/>
      <w:r w:rsidRPr="00283806">
        <w:rPr>
          <w:w w:val="105"/>
        </w:rPr>
        <w:t>a future</w:t>
      </w:r>
      <w:proofErr w:type="gramEnd"/>
      <w:r w:rsidRPr="00283806">
        <w:rPr>
          <w:w w:val="105"/>
        </w:rPr>
        <w:t xml:space="preserve"> notice-and- comment rulemaking but is not</w:t>
      </w:r>
      <w:r w:rsidRPr="00283806">
        <w:rPr>
          <w:spacing w:val="80"/>
          <w:w w:val="150"/>
        </w:rPr>
        <w:t xml:space="preserve"> </w:t>
      </w:r>
      <w:r w:rsidRPr="00283806">
        <w:rPr>
          <w:w w:val="105"/>
        </w:rPr>
        <w:t>finalizing additional periodic leak inspections in this rulemaking.</w:t>
      </w:r>
    </w:p>
    <w:p w14:paraId="6503E6CA" w14:textId="77777777" w:rsidR="00D67C1E" w:rsidRPr="00283806" w:rsidRDefault="001265CA">
      <w:pPr>
        <w:pStyle w:val="BodyText"/>
        <w:spacing w:line="174" w:lineRule="exact"/>
        <w:ind w:left="322"/>
      </w:pPr>
      <w:r w:rsidRPr="00283806">
        <w:rPr>
          <w:w w:val="105"/>
        </w:rPr>
        <w:t>The</w:t>
      </w:r>
      <w:r w:rsidRPr="00283806">
        <w:rPr>
          <w:spacing w:val="15"/>
          <w:w w:val="105"/>
        </w:rPr>
        <w:t xml:space="preserve"> </w:t>
      </w:r>
      <w:r w:rsidRPr="00283806">
        <w:rPr>
          <w:w w:val="105"/>
        </w:rPr>
        <w:t>Agency</w:t>
      </w:r>
      <w:r w:rsidRPr="00283806">
        <w:rPr>
          <w:spacing w:val="15"/>
          <w:w w:val="105"/>
        </w:rPr>
        <w:t xml:space="preserve"> </w:t>
      </w:r>
      <w:r w:rsidRPr="00283806">
        <w:rPr>
          <w:w w:val="105"/>
        </w:rPr>
        <w:t>disagrees</w:t>
      </w:r>
      <w:r w:rsidRPr="00283806">
        <w:rPr>
          <w:spacing w:val="15"/>
          <w:w w:val="105"/>
        </w:rPr>
        <w:t xml:space="preserve"> </w:t>
      </w:r>
      <w:r w:rsidRPr="00283806">
        <w:rPr>
          <w:w w:val="105"/>
        </w:rPr>
        <w:t>with</w:t>
      </w:r>
      <w:r w:rsidRPr="00283806">
        <w:rPr>
          <w:spacing w:val="15"/>
          <w:w w:val="105"/>
        </w:rPr>
        <w:t xml:space="preserve"> </w:t>
      </w:r>
      <w:r w:rsidRPr="00283806">
        <w:rPr>
          <w:spacing w:val="-5"/>
          <w:w w:val="105"/>
        </w:rPr>
        <w:t>one</w:t>
      </w:r>
    </w:p>
    <w:p w14:paraId="61B9B9BC" w14:textId="77777777" w:rsidR="00D67C1E" w:rsidRPr="00283806" w:rsidRDefault="001265CA">
      <w:pPr>
        <w:pStyle w:val="BodyText"/>
        <w:spacing w:before="4" w:line="225" w:lineRule="auto"/>
        <w:ind w:left="142" w:right="132"/>
      </w:pPr>
      <w:r w:rsidRPr="00283806">
        <w:rPr>
          <w:w w:val="105"/>
        </w:rPr>
        <w:t>commenter’s suggestion to require periodic inspections of portions of an appliance</w:t>
      </w:r>
      <w:r w:rsidRPr="00283806">
        <w:rPr>
          <w:spacing w:val="40"/>
          <w:w w:val="105"/>
        </w:rPr>
        <w:t xml:space="preserve"> </w:t>
      </w:r>
      <w:r w:rsidRPr="00283806">
        <w:rPr>
          <w:w w:val="105"/>
        </w:rPr>
        <w:t>not</w:t>
      </w:r>
      <w:r w:rsidRPr="00283806">
        <w:rPr>
          <w:spacing w:val="40"/>
          <w:w w:val="105"/>
        </w:rPr>
        <w:t xml:space="preserve"> </w:t>
      </w:r>
      <w:r w:rsidRPr="00283806">
        <w:rPr>
          <w:w w:val="105"/>
        </w:rPr>
        <w:t>covered</w:t>
      </w:r>
      <w:r w:rsidRPr="00283806">
        <w:rPr>
          <w:spacing w:val="40"/>
          <w:w w:val="105"/>
        </w:rPr>
        <w:t xml:space="preserve"> </w:t>
      </w:r>
      <w:r w:rsidRPr="00283806">
        <w:rPr>
          <w:w w:val="105"/>
        </w:rPr>
        <w:t>by</w:t>
      </w:r>
      <w:r w:rsidRPr="00283806">
        <w:rPr>
          <w:spacing w:val="40"/>
          <w:w w:val="105"/>
        </w:rPr>
        <w:t xml:space="preserve"> </w:t>
      </w:r>
      <w:r w:rsidRPr="00283806">
        <w:rPr>
          <w:w w:val="105"/>
        </w:rPr>
        <w:t>an</w:t>
      </w:r>
      <w:r w:rsidRPr="00283806">
        <w:rPr>
          <w:spacing w:val="40"/>
          <w:w w:val="105"/>
        </w:rPr>
        <w:t xml:space="preserve"> </w:t>
      </w:r>
      <w:r w:rsidRPr="00283806">
        <w:rPr>
          <w:w w:val="105"/>
        </w:rPr>
        <w:t>ALD system. EPA views the continuous monitoring of an appliance as serving</w:t>
      </w:r>
      <w:r w:rsidRPr="00283806">
        <w:rPr>
          <w:spacing w:val="80"/>
          <w:w w:val="105"/>
        </w:rPr>
        <w:t xml:space="preserve"> </w:t>
      </w:r>
      <w:r w:rsidRPr="00283806">
        <w:rPr>
          <w:w w:val="105"/>
        </w:rPr>
        <w:t>the function of monitoring for leaks.</w:t>
      </w:r>
      <w:r w:rsidRPr="00283806">
        <w:rPr>
          <w:spacing w:val="40"/>
          <w:w w:val="105"/>
        </w:rPr>
        <w:t xml:space="preserve"> </w:t>
      </w:r>
      <w:r w:rsidRPr="00283806">
        <w:rPr>
          <w:w w:val="105"/>
        </w:rPr>
        <w:t>Thus, a requirement for performing periodic leak inspections on those portions of the appliance is unneeded. The final rule does require leak inspections for portions of the appliance not monitored by ALD when the appliance</w:t>
      </w:r>
      <w:r w:rsidRPr="00283806">
        <w:rPr>
          <w:spacing w:val="40"/>
          <w:w w:val="105"/>
        </w:rPr>
        <w:t xml:space="preserve"> </w:t>
      </w:r>
      <w:r w:rsidRPr="00283806">
        <w:rPr>
          <w:w w:val="105"/>
        </w:rPr>
        <w:t>is</w:t>
      </w:r>
      <w:r w:rsidRPr="00283806">
        <w:rPr>
          <w:spacing w:val="40"/>
          <w:w w:val="105"/>
        </w:rPr>
        <w:t xml:space="preserve"> </w:t>
      </w:r>
      <w:r w:rsidRPr="00283806">
        <w:rPr>
          <w:w w:val="105"/>
        </w:rPr>
        <w:t>leaking</w:t>
      </w:r>
      <w:r w:rsidRPr="00283806">
        <w:rPr>
          <w:spacing w:val="40"/>
          <w:w w:val="105"/>
        </w:rPr>
        <w:t xml:space="preserve"> </w:t>
      </w:r>
      <w:r w:rsidRPr="00283806">
        <w:rPr>
          <w:w w:val="105"/>
        </w:rPr>
        <w:t>above</w:t>
      </w:r>
      <w:r w:rsidRPr="00283806">
        <w:rPr>
          <w:spacing w:val="40"/>
          <w:w w:val="105"/>
        </w:rPr>
        <w:t xml:space="preserve"> </w:t>
      </w:r>
      <w:r w:rsidRPr="00283806">
        <w:rPr>
          <w:w w:val="105"/>
        </w:rPr>
        <w:t>the applicable leak rate; however, this requirement is needed to ensure the repairs of leaks have not failed. Leak inspections serve as a method of determining whether repairs of refrigerant-containing appliances are adequate and if further action is needed.</w:t>
      </w:r>
    </w:p>
    <w:p w14:paraId="2D173FC8" w14:textId="77777777" w:rsidR="00D67C1E" w:rsidRPr="00283806" w:rsidRDefault="001265CA">
      <w:pPr>
        <w:pStyle w:val="BodyText"/>
        <w:spacing w:line="173" w:lineRule="exact"/>
        <w:ind w:left="322"/>
      </w:pPr>
      <w:r w:rsidRPr="00283806">
        <w:rPr>
          <w:w w:val="105"/>
        </w:rPr>
        <w:t>The</w:t>
      </w:r>
      <w:r w:rsidRPr="00283806">
        <w:rPr>
          <w:spacing w:val="19"/>
          <w:w w:val="105"/>
        </w:rPr>
        <w:t xml:space="preserve"> </w:t>
      </w:r>
      <w:r w:rsidRPr="00283806">
        <w:rPr>
          <w:w w:val="105"/>
        </w:rPr>
        <w:t>Agency</w:t>
      </w:r>
      <w:r w:rsidRPr="00283806">
        <w:rPr>
          <w:spacing w:val="19"/>
          <w:w w:val="105"/>
        </w:rPr>
        <w:t xml:space="preserve"> </w:t>
      </w:r>
      <w:r w:rsidRPr="00283806">
        <w:rPr>
          <w:w w:val="105"/>
        </w:rPr>
        <w:t>clarifies</w:t>
      </w:r>
      <w:r w:rsidRPr="00283806">
        <w:rPr>
          <w:spacing w:val="19"/>
          <w:w w:val="105"/>
        </w:rPr>
        <w:t xml:space="preserve"> </w:t>
      </w:r>
      <w:r w:rsidRPr="00283806">
        <w:rPr>
          <w:w w:val="105"/>
        </w:rPr>
        <w:t>that</w:t>
      </w:r>
      <w:r w:rsidRPr="00283806">
        <w:rPr>
          <w:spacing w:val="19"/>
          <w:w w:val="105"/>
        </w:rPr>
        <w:t xml:space="preserve"> </w:t>
      </w:r>
      <w:r w:rsidRPr="00283806">
        <w:rPr>
          <w:spacing w:val="-2"/>
          <w:w w:val="105"/>
        </w:rPr>
        <w:t>quarterly</w:t>
      </w:r>
    </w:p>
    <w:p w14:paraId="6FF6B75E" w14:textId="77777777" w:rsidR="00D67C1E" w:rsidRPr="00283806" w:rsidRDefault="001265CA">
      <w:pPr>
        <w:pStyle w:val="BodyText"/>
        <w:spacing w:before="4" w:line="225" w:lineRule="auto"/>
        <w:ind w:left="142" w:right="132"/>
      </w:pPr>
      <w:r w:rsidRPr="00283806">
        <w:rPr>
          <w:w w:val="105"/>
        </w:rPr>
        <w:t>and annual leak inspections are to be conducted within 365 days from the</w:t>
      </w:r>
      <w:r w:rsidRPr="00283806">
        <w:rPr>
          <w:spacing w:val="80"/>
          <w:w w:val="105"/>
        </w:rPr>
        <w:t xml:space="preserve"> </w:t>
      </w:r>
      <w:r w:rsidRPr="00283806">
        <w:rPr>
          <w:w w:val="105"/>
        </w:rPr>
        <w:t>date of repair, demonstrated by a successful follow-up verification test.</w:t>
      </w:r>
      <w:r w:rsidRPr="00283806">
        <w:rPr>
          <w:spacing w:val="80"/>
          <w:w w:val="105"/>
        </w:rPr>
        <w:t xml:space="preserve"> </w:t>
      </w:r>
      <w:r w:rsidRPr="00283806">
        <w:rPr>
          <w:w w:val="105"/>
        </w:rPr>
        <w:t>For example, an owner or operator of a 500-pound</w:t>
      </w:r>
      <w:r w:rsidRPr="00283806">
        <w:rPr>
          <w:spacing w:val="40"/>
          <w:w w:val="105"/>
        </w:rPr>
        <w:t xml:space="preserve"> </w:t>
      </w:r>
      <w:r w:rsidRPr="00283806">
        <w:rPr>
          <w:w w:val="105"/>
        </w:rPr>
        <w:t>IPR</w:t>
      </w:r>
      <w:r w:rsidRPr="00283806">
        <w:rPr>
          <w:spacing w:val="40"/>
          <w:w w:val="105"/>
        </w:rPr>
        <w:t xml:space="preserve"> </w:t>
      </w:r>
      <w:r w:rsidRPr="00283806">
        <w:rPr>
          <w:w w:val="105"/>
        </w:rPr>
        <w:t>appliance</w:t>
      </w:r>
      <w:r w:rsidRPr="00283806">
        <w:rPr>
          <w:spacing w:val="40"/>
          <w:w w:val="105"/>
        </w:rPr>
        <w:t xml:space="preserve"> </w:t>
      </w:r>
      <w:r w:rsidRPr="00283806">
        <w:rPr>
          <w:w w:val="105"/>
        </w:rPr>
        <w:t>that</w:t>
      </w:r>
      <w:r w:rsidRPr="00283806">
        <w:rPr>
          <w:spacing w:val="40"/>
          <w:w w:val="105"/>
        </w:rPr>
        <w:t xml:space="preserve"> </w:t>
      </w:r>
      <w:r w:rsidRPr="00283806">
        <w:rPr>
          <w:w w:val="105"/>
        </w:rPr>
        <w:t>was found to be leaking above the applicable threshold would need to repair the leaks in the appliance (and conduct</w:t>
      </w:r>
      <w:r w:rsidRPr="00283806">
        <w:rPr>
          <w:spacing w:val="40"/>
          <w:w w:val="105"/>
        </w:rPr>
        <w:t xml:space="preserve"> </w:t>
      </w:r>
      <w:r w:rsidRPr="00283806">
        <w:rPr>
          <w:w w:val="105"/>
        </w:rPr>
        <w:t>verification tests) so that the appliance</w:t>
      </w:r>
      <w:r w:rsidRPr="00283806">
        <w:rPr>
          <w:spacing w:val="80"/>
          <w:w w:val="105"/>
        </w:rPr>
        <w:t xml:space="preserve"> </w:t>
      </w:r>
      <w:r w:rsidRPr="00283806">
        <w:rPr>
          <w:w w:val="105"/>
        </w:rPr>
        <w:t>is below the applicable threshold. The owner or operator, starting from the completion of repair, as demonstrated</w:t>
      </w:r>
      <w:r w:rsidRPr="00283806">
        <w:rPr>
          <w:spacing w:val="80"/>
          <w:w w:val="105"/>
        </w:rPr>
        <w:t xml:space="preserve"> </w:t>
      </w:r>
      <w:r w:rsidRPr="00283806">
        <w:rPr>
          <w:w w:val="105"/>
        </w:rPr>
        <w:t xml:space="preserve">by </w:t>
      </w:r>
      <w:proofErr w:type="gramStart"/>
      <w:r w:rsidRPr="00283806">
        <w:rPr>
          <w:w w:val="105"/>
        </w:rPr>
        <w:t>a of a</w:t>
      </w:r>
      <w:proofErr w:type="gramEnd"/>
      <w:r w:rsidRPr="00283806">
        <w:rPr>
          <w:w w:val="105"/>
        </w:rPr>
        <w:t xml:space="preserve"> successful follow-up</w:t>
      </w:r>
      <w:r w:rsidRPr="00283806">
        <w:rPr>
          <w:spacing w:val="80"/>
          <w:w w:val="105"/>
        </w:rPr>
        <w:t xml:space="preserve"> </w:t>
      </w:r>
      <w:r w:rsidRPr="00283806">
        <w:rPr>
          <w:w w:val="105"/>
        </w:rPr>
        <w:t>verification test, must then conduct quarterly leak inspections for a year and demonstrate that any leaks from the appliance are under the applicable threshold. Leak inspections would then cease until the next leak event above the applicable</w:t>
      </w:r>
      <w:r w:rsidRPr="00283806">
        <w:rPr>
          <w:spacing w:val="40"/>
          <w:w w:val="105"/>
        </w:rPr>
        <w:t xml:space="preserve"> </w:t>
      </w:r>
      <w:r w:rsidRPr="00283806">
        <w:rPr>
          <w:w w:val="105"/>
        </w:rPr>
        <w:t>threshold</w:t>
      </w:r>
      <w:r w:rsidRPr="00283806">
        <w:rPr>
          <w:spacing w:val="40"/>
          <w:w w:val="105"/>
        </w:rPr>
        <w:t xml:space="preserve"> </w:t>
      </w:r>
      <w:r w:rsidRPr="00283806">
        <w:rPr>
          <w:w w:val="105"/>
        </w:rPr>
        <w:t>occurs.</w:t>
      </w:r>
      <w:r w:rsidRPr="00283806">
        <w:rPr>
          <w:spacing w:val="40"/>
          <w:w w:val="105"/>
        </w:rPr>
        <w:t xml:space="preserve"> </w:t>
      </w:r>
      <w:r w:rsidRPr="00283806">
        <w:rPr>
          <w:w w:val="105"/>
        </w:rPr>
        <w:t>The</w:t>
      </w:r>
      <w:r w:rsidRPr="00283806">
        <w:rPr>
          <w:spacing w:val="40"/>
          <w:w w:val="105"/>
        </w:rPr>
        <w:t xml:space="preserve"> </w:t>
      </w:r>
      <w:r w:rsidRPr="00283806">
        <w:rPr>
          <w:w w:val="105"/>
        </w:rPr>
        <w:t>Agency also clarifies that the use of the term ‘‘calendar year’’ in the proposal’s preamble was intended to mean ‘‘365 days’’</w:t>
      </w:r>
      <w:r w:rsidRPr="00283806">
        <w:rPr>
          <w:spacing w:val="38"/>
          <w:w w:val="105"/>
        </w:rPr>
        <w:t xml:space="preserve"> </w:t>
      </w:r>
      <w:r w:rsidRPr="00283806">
        <w:rPr>
          <w:w w:val="105"/>
        </w:rPr>
        <w:t>in</w:t>
      </w:r>
      <w:r w:rsidRPr="00283806">
        <w:rPr>
          <w:spacing w:val="38"/>
          <w:w w:val="105"/>
        </w:rPr>
        <w:t xml:space="preserve"> </w:t>
      </w:r>
      <w:r w:rsidRPr="00283806">
        <w:rPr>
          <w:w w:val="105"/>
        </w:rPr>
        <w:t>the</w:t>
      </w:r>
      <w:r w:rsidRPr="00283806">
        <w:rPr>
          <w:spacing w:val="38"/>
          <w:w w:val="105"/>
        </w:rPr>
        <w:t xml:space="preserve"> </w:t>
      </w:r>
      <w:r w:rsidRPr="00283806">
        <w:rPr>
          <w:w w:val="105"/>
        </w:rPr>
        <w:t>context</w:t>
      </w:r>
      <w:r w:rsidRPr="00283806">
        <w:rPr>
          <w:spacing w:val="38"/>
          <w:w w:val="105"/>
        </w:rPr>
        <w:t xml:space="preserve"> </w:t>
      </w:r>
      <w:r w:rsidRPr="00283806">
        <w:rPr>
          <w:w w:val="105"/>
        </w:rPr>
        <w:t>of</w:t>
      </w:r>
      <w:r w:rsidRPr="00283806">
        <w:rPr>
          <w:spacing w:val="38"/>
          <w:w w:val="105"/>
        </w:rPr>
        <w:t xml:space="preserve"> </w:t>
      </w:r>
      <w:r w:rsidRPr="00283806">
        <w:rPr>
          <w:w w:val="105"/>
        </w:rPr>
        <w:t>the</w:t>
      </w:r>
      <w:r w:rsidRPr="00283806">
        <w:rPr>
          <w:spacing w:val="38"/>
          <w:w w:val="105"/>
        </w:rPr>
        <w:t xml:space="preserve"> </w:t>
      </w:r>
      <w:r w:rsidRPr="00283806">
        <w:rPr>
          <w:w w:val="105"/>
        </w:rPr>
        <w:t>timing</w:t>
      </w:r>
      <w:r w:rsidRPr="00283806">
        <w:rPr>
          <w:spacing w:val="38"/>
          <w:w w:val="105"/>
        </w:rPr>
        <w:t xml:space="preserve"> </w:t>
      </w:r>
      <w:r w:rsidRPr="00283806">
        <w:rPr>
          <w:w w:val="105"/>
        </w:rPr>
        <w:t>of leak inspections.</w:t>
      </w:r>
    </w:p>
    <w:p w14:paraId="66E57793" w14:textId="77777777" w:rsidR="00D67C1E" w:rsidRPr="00283806" w:rsidRDefault="001265CA">
      <w:pPr>
        <w:pStyle w:val="BodyText"/>
        <w:spacing w:line="220" w:lineRule="auto"/>
        <w:ind w:left="142" w:right="132" w:firstLine="180"/>
      </w:pPr>
      <w:r w:rsidRPr="00283806">
        <w:rPr>
          <w:rFonts w:ascii="Book Antiqua"/>
          <w:i/>
          <w:w w:val="105"/>
        </w:rPr>
        <w:t xml:space="preserve">Comment: </w:t>
      </w:r>
      <w:r w:rsidRPr="00283806">
        <w:rPr>
          <w:w w:val="105"/>
        </w:rPr>
        <w:t>One commenter objected to EPA implementing more frequent inspections than currently existing</w:t>
      </w:r>
    </w:p>
    <w:p w14:paraId="0C2927EF" w14:textId="77777777" w:rsidR="00D67C1E" w:rsidRPr="00283806" w:rsidRDefault="00D67C1E">
      <w:pPr>
        <w:spacing w:line="220" w:lineRule="auto"/>
        <w:sectPr w:rsidR="00D67C1E" w:rsidRPr="00283806">
          <w:pgSz w:w="12240" w:h="15840"/>
          <w:pgMar w:top="1040" w:right="780" w:bottom="280" w:left="740" w:header="627" w:footer="0" w:gutter="0"/>
          <w:cols w:num="3" w:space="720" w:equalWidth="0">
            <w:col w:w="3517" w:space="40"/>
            <w:col w:w="3501" w:space="39"/>
            <w:col w:w="3623"/>
          </w:cols>
        </w:sectPr>
      </w:pPr>
    </w:p>
    <w:p w14:paraId="21EDB406" w14:textId="77777777" w:rsidR="00D67C1E" w:rsidRPr="00283806" w:rsidRDefault="001265CA">
      <w:pPr>
        <w:pStyle w:val="BodyText"/>
        <w:spacing w:before="136" w:line="225" w:lineRule="auto"/>
        <w:ind w:right="85"/>
      </w:pPr>
      <w:r w:rsidRPr="00283806">
        <w:rPr>
          <w:w w:val="105"/>
        </w:rPr>
        <w:lastRenderedPageBreak/>
        <w:t>requirements under 40 CFR part 82, subpart F. Specifically, the commenter stated EPA should not require more frequent inspections than annually for systems between 15 and 500 pounds, and asserted that owners and operators would experience significant burden from more frequent inspections given the increase in appliances covered by</w:t>
      </w:r>
      <w:r w:rsidRPr="00283806">
        <w:rPr>
          <w:spacing w:val="40"/>
          <w:w w:val="105"/>
        </w:rPr>
        <w:t xml:space="preserve"> </w:t>
      </w:r>
      <w:r w:rsidRPr="00283806">
        <w:rPr>
          <w:w w:val="105"/>
        </w:rPr>
        <w:t>the 15-pound threshold, the process for sniffing, and the additional work required if a leak is found. While the comment was less clear on this point, it also stated the view that it is not necessary to increase the frequency of leak inspections to be more than annual for equipment with a charge of 500 pounds or more.</w:t>
      </w:r>
    </w:p>
    <w:p w14:paraId="3720067F" w14:textId="77777777" w:rsidR="00D67C1E" w:rsidRPr="00283806" w:rsidRDefault="001265CA">
      <w:pPr>
        <w:spacing w:line="179" w:lineRule="exact"/>
        <w:ind w:left="340"/>
        <w:rPr>
          <w:sz w:val="18"/>
        </w:rPr>
      </w:pPr>
      <w:r w:rsidRPr="00283806">
        <w:rPr>
          <w:rFonts w:ascii="Book Antiqua"/>
          <w:i/>
          <w:w w:val="110"/>
          <w:sz w:val="18"/>
        </w:rPr>
        <w:t>Response:</w:t>
      </w:r>
      <w:r w:rsidRPr="00283806">
        <w:rPr>
          <w:rFonts w:ascii="Book Antiqua"/>
          <w:i/>
          <w:spacing w:val="5"/>
          <w:w w:val="110"/>
          <w:sz w:val="18"/>
        </w:rPr>
        <w:t xml:space="preserve"> </w:t>
      </w:r>
      <w:r w:rsidRPr="00283806">
        <w:rPr>
          <w:w w:val="110"/>
          <w:sz w:val="18"/>
        </w:rPr>
        <w:t>The</w:t>
      </w:r>
      <w:r w:rsidRPr="00283806">
        <w:rPr>
          <w:spacing w:val="11"/>
          <w:w w:val="110"/>
          <w:sz w:val="18"/>
        </w:rPr>
        <w:t xml:space="preserve"> </w:t>
      </w:r>
      <w:r w:rsidRPr="00283806">
        <w:rPr>
          <w:w w:val="110"/>
          <w:sz w:val="18"/>
        </w:rPr>
        <w:t>Agency</w:t>
      </w:r>
      <w:r w:rsidRPr="00283806">
        <w:rPr>
          <w:spacing w:val="12"/>
          <w:w w:val="110"/>
          <w:sz w:val="18"/>
        </w:rPr>
        <w:t xml:space="preserve"> </w:t>
      </w:r>
      <w:r w:rsidRPr="00283806">
        <w:rPr>
          <w:w w:val="110"/>
          <w:sz w:val="18"/>
        </w:rPr>
        <w:t>clarifies</w:t>
      </w:r>
      <w:r w:rsidRPr="00283806">
        <w:rPr>
          <w:spacing w:val="11"/>
          <w:w w:val="110"/>
          <w:sz w:val="18"/>
        </w:rPr>
        <w:t xml:space="preserve"> </w:t>
      </w:r>
      <w:r w:rsidRPr="00283806">
        <w:rPr>
          <w:spacing w:val="-4"/>
          <w:w w:val="110"/>
          <w:sz w:val="18"/>
        </w:rPr>
        <w:t>that</w:t>
      </w:r>
    </w:p>
    <w:p w14:paraId="62A61871" w14:textId="77777777" w:rsidR="00D67C1E" w:rsidRPr="00283806" w:rsidRDefault="001265CA">
      <w:pPr>
        <w:pStyle w:val="BodyText"/>
        <w:spacing w:line="223" w:lineRule="auto"/>
        <w:ind w:right="39"/>
      </w:pPr>
      <w:proofErr w:type="gramStart"/>
      <w:r w:rsidRPr="00283806">
        <w:rPr>
          <w:w w:val="105"/>
        </w:rPr>
        <w:t>the</w:t>
      </w:r>
      <w:proofErr w:type="gramEnd"/>
      <w:r w:rsidRPr="00283806">
        <w:rPr>
          <w:w w:val="105"/>
        </w:rPr>
        <w:t xml:space="preserve"> final rule’s leak inspection requirements mirror the frequency of similar requirements under 40 CFR part 82.157(g). The Agency disagrees with</w:t>
      </w:r>
      <w:r w:rsidRPr="00283806">
        <w:rPr>
          <w:spacing w:val="80"/>
          <w:w w:val="105"/>
        </w:rPr>
        <w:t xml:space="preserve"> </w:t>
      </w:r>
      <w:r w:rsidRPr="00283806">
        <w:rPr>
          <w:w w:val="105"/>
        </w:rPr>
        <w:t>the commenter’s recommendation to</w:t>
      </w:r>
      <w:r w:rsidRPr="00283806">
        <w:rPr>
          <w:spacing w:val="40"/>
          <w:w w:val="105"/>
        </w:rPr>
        <w:t xml:space="preserve"> </w:t>
      </w:r>
      <w:r w:rsidRPr="00283806">
        <w:rPr>
          <w:w w:val="105"/>
        </w:rPr>
        <w:t>only require annual leak inspections for all charge sizes. EPA is requiring quarterly inspections of appliances with charge sizes above 500 pounds given the risk of additional leaking (</w:t>
      </w:r>
      <w:r w:rsidRPr="00283806">
        <w:rPr>
          <w:rFonts w:ascii="Book Antiqua" w:hAnsi="Book Antiqua"/>
          <w:i/>
          <w:w w:val="105"/>
        </w:rPr>
        <w:t xml:space="preserve">e.g., </w:t>
      </w:r>
      <w:r w:rsidRPr="00283806">
        <w:rPr>
          <w:w w:val="105"/>
        </w:rPr>
        <w:t>that the leak could recur) once an appliance has exceeded the leak rate threshold and given that such large systems could release more refrigerant than smaller systems if additional leaking occurs.</w:t>
      </w:r>
    </w:p>
    <w:p w14:paraId="19048CE2" w14:textId="77777777" w:rsidR="00D67C1E" w:rsidRPr="00283806" w:rsidRDefault="001265CA">
      <w:pPr>
        <w:pStyle w:val="BodyText"/>
        <w:spacing w:before="15" w:line="225" w:lineRule="auto"/>
        <w:ind w:right="171"/>
      </w:pPr>
      <w:r w:rsidRPr="00283806">
        <w:rPr>
          <w:w w:val="105"/>
        </w:rPr>
        <w:t>With these considerations, it is critical to ensure larger appliances are more frequently monitored for leaks.</w:t>
      </w:r>
    </w:p>
    <w:p w14:paraId="5E9D67CE" w14:textId="77777777" w:rsidR="00D67C1E" w:rsidRPr="00283806" w:rsidRDefault="001265CA">
      <w:pPr>
        <w:pStyle w:val="BodyText"/>
        <w:spacing w:line="225" w:lineRule="auto"/>
      </w:pPr>
      <w:r w:rsidRPr="00283806">
        <w:rPr>
          <w:w w:val="105"/>
        </w:rPr>
        <w:t>Quarterly leak inspections for large refrigerant-containing appliances ensure that</w:t>
      </w:r>
      <w:r w:rsidRPr="00283806">
        <w:rPr>
          <w:spacing w:val="-8"/>
          <w:w w:val="105"/>
        </w:rPr>
        <w:t xml:space="preserve"> </w:t>
      </w:r>
      <w:r w:rsidRPr="00283806">
        <w:rPr>
          <w:w w:val="105"/>
        </w:rPr>
        <w:t>the</w:t>
      </w:r>
      <w:r w:rsidRPr="00283806">
        <w:rPr>
          <w:spacing w:val="-8"/>
          <w:w w:val="105"/>
        </w:rPr>
        <w:t xml:space="preserve"> </w:t>
      </w:r>
      <w:r w:rsidRPr="00283806">
        <w:rPr>
          <w:w w:val="105"/>
        </w:rPr>
        <w:t>leak</w:t>
      </w:r>
      <w:r w:rsidRPr="00283806">
        <w:rPr>
          <w:spacing w:val="-8"/>
          <w:w w:val="105"/>
        </w:rPr>
        <w:t xml:space="preserve"> </w:t>
      </w:r>
      <w:r w:rsidRPr="00283806">
        <w:rPr>
          <w:w w:val="105"/>
        </w:rPr>
        <w:t>repair</w:t>
      </w:r>
      <w:r w:rsidRPr="00283806">
        <w:rPr>
          <w:spacing w:val="-8"/>
          <w:w w:val="105"/>
        </w:rPr>
        <w:t xml:space="preserve"> </w:t>
      </w:r>
      <w:r w:rsidRPr="00283806">
        <w:rPr>
          <w:w w:val="105"/>
        </w:rPr>
        <w:t>requirements</w:t>
      </w:r>
      <w:r w:rsidRPr="00283806">
        <w:rPr>
          <w:spacing w:val="-8"/>
          <w:w w:val="105"/>
        </w:rPr>
        <w:t xml:space="preserve"> </w:t>
      </w:r>
      <w:r w:rsidRPr="00283806">
        <w:rPr>
          <w:w w:val="105"/>
        </w:rPr>
        <w:t>operate as</w:t>
      </w:r>
      <w:r w:rsidRPr="00283806">
        <w:rPr>
          <w:spacing w:val="40"/>
          <w:w w:val="105"/>
        </w:rPr>
        <w:t xml:space="preserve"> </w:t>
      </w:r>
      <w:r w:rsidRPr="00283806">
        <w:rPr>
          <w:w w:val="105"/>
        </w:rPr>
        <w:t>intended</w:t>
      </w:r>
      <w:r w:rsidRPr="00283806">
        <w:rPr>
          <w:spacing w:val="40"/>
          <w:w w:val="105"/>
        </w:rPr>
        <w:t xml:space="preserve"> </w:t>
      </w:r>
      <w:r w:rsidRPr="00283806">
        <w:rPr>
          <w:w w:val="105"/>
        </w:rPr>
        <w:t>to</w:t>
      </w:r>
      <w:r w:rsidRPr="00283806">
        <w:rPr>
          <w:spacing w:val="40"/>
          <w:w w:val="105"/>
        </w:rPr>
        <w:t xml:space="preserve"> </w:t>
      </w:r>
      <w:r w:rsidRPr="00283806">
        <w:rPr>
          <w:w w:val="105"/>
        </w:rPr>
        <w:t>minimize</w:t>
      </w:r>
      <w:r w:rsidRPr="00283806">
        <w:rPr>
          <w:spacing w:val="40"/>
          <w:w w:val="105"/>
        </w:rPr>
        <w:t xml:space="preserve"> </w:t>
      </w:r>
      <w:r w:rsidRPr="00283806">
        <w:rPr>
          <w:w w:val="105"/>
        </w:rPr>
        <w:t>releases</w:t>
      </w:r>
      <w:r w:rsidRPr="00283806">
        <w:rPr>
          <w:spacing w:val="40"/>
          <w:w w:val="105"/>
        </w:rPr>
        <w:t xml:space="preserve"> </w:t>
      </w:r>
      <w:r w:rsidRPr="00283806">
        <w:rPr>
          <w:w w:val="105"/>
        </w:rPr>
        <w:t>of HFCs from equipment, consistent with</w:t>
      </w:r>
      <w:r w:rsidRPr="00283806">
        <w:rPr>
          <w:spacing w:val="40"/>
          <w:w w:val="105"/>
        </w:rPr>
        <w:t xml:space="preserve"> </w:t>
      </w:r>
      <w:r w:rsidRPr="00283806">
        <w:rPr>
          <w:w w:val="105"/>
        </w:rPr>
        <w:t>the</w:t>
      </w:r>
      <w:r w:rsidRPr="00283806">
        <w:rPr>
          <w:spacing w:val="40"/>
          <w:w w:val="105"/>
        </w:rPr>
        <w:t xml:space="preserve"> </w:t>
      </w:r>
      <w:r w:rsidRPr="00283806">
        <w:rPr>
          <w:w w:val="105"/>
        </w:rPr>
        <w:t>purposes</w:t>
      </w:r>
      <w:r w:rsidRPr="00283806">
        <w:rPr>
          <w:spacing w:val="40"/>
          <w:w w:val="105"/>
        </w:rPr>
        <w:t xml:space="preserve"> </w:t>
      </w:r>
      <w:r w:rsidRPr="00283806">
        <w:rPr>
          <w:w w:val="105"/>
        </w:rPr>
        <w:t>identified</w:t>
      </w:r>
      <w:r w:rsidRPr="00283806">
        <w:rPr>
          <w:spacing w:val="40"/>
          <w:w w:val="105"/>
        </w:rPr>
        <w:t xml:space="preserve"> </w:t>
      </w:r>
      <w:r w:rsidRPr="00283806">
        <w:rPr>
          <w:w w:val="105"/>
        </w:rPr>
        <w:t>in</w:t>
      </w:r>
      <w:r w:rsidRPr="00283806">
        <w:rPr>
          <w:spacing w:val="40"/>
          <w:w w:val="105"/>
        </w:rPr>
        <w:t xml:space="preserve"> </w:t>
      </w:r>
      <w:r w:rsidRPr="00283806">
        <w:rPr>
          <w:w w:val="105"/>
        </w:rPr>
        <w:t xml:space="preserve">subsection </w:t>
      </w:r>
      <w:r w:rsidRPr="00283806">
        <w:rPr>
          <w:spacing w:val="-4"/>
          <w:w w:val="105"/>
        </w:rPr>
        <w:t>(h).</w:t>
      </w:r>
    </w:p>
    <w:p w14:paraId="57A44265" w14:textId="77777777" w:rsidR="00D67C1E" w:rsidRPr="00283806" w:rsidRDefault="001265CA">
      <w:pPr>
        <w:pStyle w:val="ListParagraph"/>
        <w:numPr>
          <w:ilvl w:val="0"/>
          <w:numId w:val="55"/>
        </w:numPr>
        <w:tabs>
          <w:tab w:val="left" w:pos="348"/>
        </w:tabs>
        <w:spacing w:before="84"/>
        <w:ind w:left="348" w:hanging="188"/>
        <w:rPr>
          <w:sz w:val="18"/>
        </w:rPr>
      </w:pPr>
      <w:r w:rsidRPr="00283806">
        <w:rPr>
          <w:w w:val="110"/>
          <w:sz w:val="18"/>
        </w:rPr>
        <w:t>Chronically</w:t>
      </w:r>
      <w:r w:rsidRPr="00283806">
        <w:rPr>
          <w:spacing w:val="-5"/>
          <w:w w:val="110"/>
          <w:sz w:val="18"/>
        </w:rPr>
        <w:t xml:space="preserve"> </w:t>
      </w:r>
      <w:r w:rsidRPr="00283806">
        <w:rPr>
          <w:w w:val="110"/>
          <w:sz w:val="18"/>
        </w:rPr>
        <w:t>Leaking</w:t>
      </w:r>
      <w:r w:rsidRPr="00283806">
        <w:rPr>
          <w:spacing w:val="-4"/>
          <w:w w:val="110"/>
          <w:sz w:val="18"/>
        </w:rPr>
        <w:t xml:space="preserve"> </w:t>
      </w:r>
      <w:r w:rsidRPr="00283806">
        <w:rPr>
          <w:spacing w:val="-2"/>
          <w:w w:val="110"/>
          <w:sz w:val="18"/>
        </w:rPr>
        <w:t>Appliances</w:t>
      </w:r>
    </w:p>
    <w:p w14:paraId="5394007F" w14:textId="77777777" w:rsidR="00D67C1E" w:rsidRPr="00283806" w:rsidRDefault="001265CA">
      <w:pPr>
        <w:pStyle w:val="BodyText"/>
        <w:spacing w:before="63" w:line="225" w:lineRule="auto"/>
        <w:ind w:right="8" w:firstLine="180"/>
      </w:pPr>
      <w:r w:rsidRPr="00283806">
        <w:rPr>
          <w:w w:val="105"/>
        </w:rPr>
        <w:t>As part of the leak repair provisions under subsection (h), EPA is finalizing specific requirements for refrigerant- containing appliances with a charge size of 15 pounds or more of a refrigerant</w:t>
      </w:r>
      <w:r w:rsidRPr="00283806">
        <w:rPr>
          <w:spacing w:val="40"/>
          <w:w w:val="105"/>
        </w:rPr>
        <w:t xml:space="preserve"> </w:t>
      </w:r>
      <w:r w:rsidRPr="00283806">
        <w:rPr>
          <w:w w:val="105"/>
        </w:rPr>
        <w:t>that contains an HFC or a substitute for an HFC with a GWP greater than 53 that meet the criteria for a chronically</w:t>
      </w:r>
      <w:r w:rsidRPr="00283806">
        <w:rPr>
          <w:spacing w:val="80"/>
          <w:w w:val="105"/>
        </w:rPr>
        <w:t xml:space="preserve"> </w:t>
      </w:r>
      <w:r w:rsidRPr="00283806">
        <w:rPr>
          <w:w w:val="105"/>
        </w:rPr>
        <w:t xml:space="preserve">leaking appliance. The requirements are designed to gather information and support efforts to address such chronic leaks, which have the effect of </w:t>
      </w:r>
      <w:proofErr w:type="gramStart"/>
      <w:r w:rsidRPr="00283806">
        <w:rPr>
          <w:w w:val="105"/>
        </w:rPr>
        <w:t>further minimizing</w:t>
      </w:r>
      <w:proofErr w:type="gramEnd"/>
      <w:r w:rsidRPr="00283806">
        <w:rPr>
          <w:w w:val="105"/>
        </w:rPr>
        <w:t xml:space="preserve"> emissions from equipment.</w:t>
      </w:r>
      <w:r w:rsidRPr="00283806">
        <w:rPr>
          <w:spacing w:val="80"/>
          <w:w w:val="105"/>
        </w:rPr>
        <w:t xml:space="preserve"> </w:t>
      </w:r>
      <w:r w:rsidRPr="00283806">
        <w:rPr>
          <w:w w:val="105"/>
        </w:rPr>
        <w:t>A refrigerant-containing appliance is considered a chronically leaking appliance if it leaks 125 percent or more of its full charge within a calendar year. The</w:t>
      </w:r>
      <w:r w:rsidRPr="00283806">
        <w:rPr>
          <w:spacing w:val="40"/>
          <w:w w:val="105"/>
        </w:rPr>
        <w:t xml:space="preserve"> </w:t>
      </w:r>
      <w:r w:rsidRPr="00283806">
        <w:rPr>
          <w:w w:val="105"/>
        </w:rPr>
        <w:t>requirements</w:t>
      </w:r>
      <w:r w:rsidRPr="00283806">
        <w:rPr>
          <w:spacing w:val="40"/>
          <w:w w:val="105"/>
        </w:rPr>
        <w:t xml:space="preserve"> </w:t>
      </w:r>
      <w:r w:rsidRPr="00283806">
        <w:rPr>
          <w:w w:val="105"/>
        </w:rPr>
        <w:t>for</w:t>
      </w:r>
      <w:r w:rsidRPr="00283806">
        <w:rPr>
          <w:spacing w:val="40"/>
          <w:w w:val="105"/>
        </w:rPr>
        <w:t xml:space="preserve"> </w:t>
      </w:r>
      <w:r w:rsidRPr="00283806">
        <w:rPr>
          <w:w w:val="105"/>
        </w:rPr>
        <w:t>chronically leaking appliances are similar, but not identical to, analogous requirements under 40 CFR 82.157(j). In the final rule, EPA is requiring reporting for covered refrigerant-containing appliances that</w:t>
      </w:r>
    </w:p>
    <w:p w14:paraId="6FE3DFE0" w14:textId="77777777" w:rsidR="00D67C1E" w:rsidRPr="00283806" w:rsidRDefault="001265CA">
      <w:pPr>
        <w:pStyle w:val="BodyText"/>
        <w:spacing w:before="136" w:line="225" w:lineRule="auto"/>
        <w:ind w:left="144" w:right="38"/>
      </w:pPr>
      <w:r w:rsidRPr="00283806">
        <w:br w:type="column"/>
      </w:r>
      <w:r w:rsidRPr="00283806">
        <w:rPr>
          <w:w w:val="105"/>
        </w:rPr>
        <w:t>meet the criteria to be considered chronically leaking. Submitted reports must describe the efforts taken to identify leaks and repair the appliance.</w:t>
      </w:r>
    </w:p>
    <w:p w14:paraId="1410891E" w14:textId="77777777" w:rsidR="00D67C1E" w:rsidRPr="00283806" w:rsidRDefault="001265CA">
      <w:pPr>
        <w:pStyle w:val="BodyText"/>
        <w:spacing w:line="179" w:lineRule="exact"/>
        <w:ind w:left="324"/>
      </w:pPr>
      <w:r w:rsidRPr="00283806">
        <w:rPr>
          <w:w w:val="105"/>
        </w:rPr>
        <w:t>To</w:t>
      </w:r>
      <w:r w:rsidRPr="00283806">
        <w:rPr>
          <w:spacing w:val="-1"/>
          <w:w w:val="105"/>
        </w:rPr>
        <w:t xml:space="preserve"> </w:t>
      </w:r>
      <w:r w:rsidRPr="00283806">
        <w:rPr>
          <w:w w:val="105"/>
        </w:rPr>
        <w:t>better serve</w:t>
      </w:r>
      <w:r w:rsidRPr="00283806">
        <w:rPr>
          <w:spacing w:val="-1"/>
          <w:w w:val="105"/>
        </w:rPr>
        <w:t xml:space="preserve"> </w:t>
      </w:r>
      <w:r w:rsidRPr="00283806">
        <w:rPr>
          <w:w w:val="105"/>
        </w:rPr>
        <w:t>the purposes</w:t>
      </w:r>
      <w:r w:rsidRPr="00283806">
        <w:rPr>
          <w:spacing w:val="-1"/>
          <w:w w:val="105"/>
        </w:rPr>
        <w:t xml:space="preserve"> </w:t>
      </w:r>
      <w:r w:rsidRPr="00283806">
        <w:rPr>
          <w:spacing w:val="-5"/>
          <w:w w:val="105"/>
        </w:rPr>
        <w:t>of</w:t>
      </w:r>
    </w:p>
    <w:p w14:paraId="5968F75F" w14:textId="77777777" w:rsidR="00D67C1E" w:rsidRPr="00283806" w:rsidRDefault="001265CA">
      <w:pPr>
        <w:pStyle w:val="BodyText"/>
        <w:spacing w:before="3" w:line="225" w:lineRule="auto"/>
        <w:ind w:left="144" w:right="28"/>
      </w:pPr>
      <w:r w:rsidRPr="00283806">
        <w:rPr>
          <w:w w:val="105"/>
        </w:rPr>
        <w:t xml:space="preserve">minimizing releases of regulated substances and </w:t>
      </w:r>
      <w:proofErr w:type="gramStart"/>
      <w:r w:rsidRPr="00283806">
        <w:rPr>
          <w:w w:val="105"/>
        </w:rPr>
        <w:t>allow</w:t>
      </w:r>
      <w:proofErr w:type="gramEnd"/>
      <w:r w:rsidRPr="00283806">
        <w:rPr>
          <w:w w:val="105"/>
        </w:rPr>
        <w:t xml:space="preserve"> EPA to verify the information being reported more easily, EPA is standardizing the reporting format for chronically leaking</w:t>
      </w:r>
      <w:r w:rsidRPr="00283806">
        <w:rPr>
          <w:spacing w:val="40"/>
          <w:w w:val="105"/>
        </w:rPr>
        <w:t xml:space="preserve"> </w:t>
      </w:r>
      <w:r w:rsidRPr="00283806">
        <w:rPr>
          <w:w w:val="105"/>
        </w:rPr>
        <w:t xml:space="preserve">appliances. EPA is </w:t>
      </w:r>
      <w:proofErr w:type="gramStart"/>
      <w:r w:rsidRPr="00283806">
        <w:rPr>
          <w:w w:val="105"/>
        </w:rPr>
        <w:t>requiring</w:t>
      </w:r>
      <w:proofErr w:type="gramEnd"/>
      <w:r w:rsidRPr="00283806">
        <w:rPr>
          <w:w w:val="105"/>
        </w:rPr>
        <w:t xml:space="preserve"> that the reports must be submitted no later than March 1 of the following calendar year</w:t>
      </w:r>
      <w:r w:rsidRPr="00283806">
        <w:rPr>
          <w:spacing w:val="80"/>
          <w:w w:val="105"/>
        </w:rPr>
        <w:t xml:space="preserve"> </w:t>
      </w:r>
      <w:r w:rsidRPr="00283806">
        <w:rPr>
          <w:w w:val="105"/>
        </w:rPr>
        <w:t xml:space="preserve">of the </w:t>
      </w:r>
      <w:r w:rsidRPr="00283806">
        <w:rPr>
          <w:rFonts w:ascii="Symbol" w:hAnsi="Symbol"/>
          <w:w w:val="105"/>
        </w:rPr>
        <w:t></w:t>
      </w:r>
      <w:r w:rsidRPr="00283806">
        <w:rPr>
          <w:w w:val="105"/>
        </w:rPr>
        <w:t>125 percent leak. EPA is</w:t>
      </w:r>
      <w:r w:rsidRPr="00283806">
        <w:rPr>
          <w:spacing w:val="40"/>
          <w:w w:val="105"/>
        </w:rPr>
        <w:t xml:space="preserve"> </w:t>
      </w:r>
      <w:r w:rsidRPr="00283806">
        <w:rPr>
          <w:w w:val="105"/>
        </w:rPr>
        <w:t>requiring that these reports cover basic identification information (</w:t>
      </w:r>
      <w:r w:rsidRPr="00283806">
        <w:rPr>
          <w:rFonts w:ascii="Book Antiqua" w:hAnsi="Book Antiqua"/>
          <w:i/>
          <w:w w:val="105"/>
        </w:rPr>
        <w:t xml:space="preserve">i.e., </w:t>
      </w:r>
      <w:r w:rsidRPr="00283806">
        <w:rPr>
          <w:w w:val="105"/>
        </w:rPr>
        <w:t>owner name, facility name, facility address where appliance is located, and</w:t>
      </w:r>
      <w:r w:rsidRPr="00283806">
        <w:rPr>
          <w:spacing w:val="40"/>
          <w:w w:val="105"/>
        </w:rPr>
        <w:t xml:space="preserve"> </w:t>
      </w:r>
      <w:r w:rsidRPr="00283806">
        <w:rPr>
          <w:w w:val="105"/>
        </w:rPr>
        <w:t>appliance ID or description), appliance type (comfort cooling, IPR, or</w:t>
      </w:r>
      <w:r w:rsidRPr="00283806">
        <w:rPr>
          <w:spacing w:val="40"/>
          <w:w w:val="105"/>
        </w:rPr>
        <w:t xml:space="preserve"> </w:t>
      </w:r>
      <w:r w:rsidRPr="00283806">
        <w:rPr>
          <w:w w:val="105"/>
        </w:rPr>
        <w:t>commercial refrigeration), refrigerant type, full charge of appliance (pounds), annual percent refrigerant loss, dates of refrigerant addition, amounts of refrigerant added, date of last successful follow-up verification test, explanation</w:t>
      </w:r>
      <w:r w:rsidRPr="00283806">
        <w:rPr>
          <w:spacing w:val="40"/>
          <w:w w:val="105"/>
        </w:rPr>
        <w:t xml:space="preserve"> </w:t>
      </w:r>
      <w:r w:rsidRPr="00283806">
        <w:rPr>
          <w:w w:val="105"/>
        </w:rPr>
        <w:t>of cause of refrigerant losses, repair actions taken, a signature from an authorized company official, and</w:t>
      </w:r>
      <w:r w:rsidRPr="00283806">
        <w:rPr>
          <w:spacing w:val="40"/>
          <w:w w:val="105"/>
        </w:rPr>
        <w:t xml:space="preserve"> </w:t>
      </w:r>
      <w:r w:rsidRPr="00283806">
        <w:rPr>
          <w:w w:val="105"/>
        </w:rPr>
        <w:t>whether</w:t>
      </w:r>
      <w:r w:rsidRPr="00283806">
        <w:rPr>
          <w:spacing w:val="-3"/>
          <w:w w:val="105"/>
        </w:rPr>
        <w:t xml:space="preserve"> </w:t>
      </w:r>
      <w:r w:rsidRPr="00283806">
        <w:rPr>
          <w:w w:val="105"/>
        </w:rPr>
        <w:t>a</w:t>
      </w:r>
      <w:r w:rsidRPr="00283806">
        <w:rPr>
          <w:spacing w:val="-3"/>
          <w:w w:val="105"/>
        </w:rPr>
        <w:t xml:space="preserve"> </w:t>
      </w:r>
      <w:r w:rsidRPr="00283806">
        <w:rPr>
          <w:w w:val="105"/>
        </w:rPr>
        <w:t>retrofit</w:t>
      </w:r>
      <w:r w:rsidRPr="00283806">
        <w:rPr>
          <w:spacing w:val="-3"/>
          <w:w w:val="105"/>
        </w:rPr>
        <w:t xml:space="preserve"> </w:t>
      </w:r>
      <w:r w:rsidRPr="00283806">
        <w:rPr>
          <w:w w:val="105"/>
        </w:rPr>
        <w:t>or</w:t>
      </w:r>
      <w:r w:rsidRPr="00283806">
        <w:rPr>
          <w:spacing w:val="-3"/>
          <w:w w:val="105"/>
        </w:rPr>
        <w:t xml:space="preserve"> </w:t>
      </w:r>
      <w:r w:rsidRPr="00283806">
        <w:rPr>
          <w:w w:val="105"/>
        </w:rPr>
        <w:t>retirement</w:t>
      </w:r>
      <w:r w:rsidRPr="00283806">
        <w:rPr>
          <w:spacing w:val="-3"/>
          <w:w w:val="105"/>
        </w:rPr>
        <w:t xml:space="preserve"> </w:t>
      </w:r>
      <w:r w:rsidRPr="00283806">
        <w:rPr>
          <w:w w:val="105"/>
        </w:rPr>
        <w:t>plan</w:t>
      </w:r>
      <w:r w:rsidRPr="00283806">
        <w:rPr>
          <w:spacing w:val="-3"/>
          <w:w w:val="105"/>
        </w:rPr>
        <w:t xml:space="preserve"> </w:t>
      </w:r>
      <w:r w:rsidRPr="00283806">
        <w:rPr>
          <w:w w:val="105"/>
        </w:rPr>
        <w:t>has been</w:t>
      </w:r>
      <w:r w:rsidRPr="00283806">
        <w:rPr>
          <w:spacing w:val="36"/>
          <w:w w:val="105"/>
        </w:rPr>
        <w:t xml:space="preserve"> </w:t>
      </w:r>
      <w:r w:rsidRPr="00283806">
        <w:rPr>
          <w:w w:val="105"/>
        </w:rPr>
        <w:t>developed</w:t>
      </w:r>
      <w:r w:rsidRPr="00283806">
        <w:rPr>
          <w:spacing w:val="36"/>
          <w:w w:val="105"/>
        </w:rPr>
        <w:t xml:space="preserve"> </w:t>
      </w:r>
      <w:r w:rsidRPr="00283806">
        <w:rPr>
          <w:w w:val="105"/>
        </w:rPr>
        <w:t>for</w:t>
      </w:r>
      <w:r w:rsidRPr="00283806">
        <w:rPr>
          <w:spacing w:val="36"/>
          <w:w w:val="105"/>
        </w:rPr>
        <w:t xml:space="preserve"> </w:t>
      </w:r>
      <w:r w:rsidRPr="00283806">
        <w:rPr>
          <w:w w:val="105"/>
        </w:rPr>
        <w:t>the</w:t>
      </w:r>
      <w:r w:rsidRPr="00283806">
        <w:rPr>
          <w:spacing w:val="36"/>
          <w:w w:val="105"/>
        </w:rPr>
        <w:t xml:space="preserve"> </w:t>
      </w:r>
      <w:r w:rsidRPr="00283806">
        <w:rPr>
          <w:w w:val="105"/>
        </w:rPr>
        <w:t>appliance,</w:t>
      </w:r>
      <w:r w:rsidRPr="00283806">
        <w:rPr>
          <w:spacing w:val="36"/>
          <w:w w:val="105"/>
        </w:rPr>
        <w:t xml:space="preserve"> </w:t>
      </w:r>
      <w:r w:rsidRPr="00283806">
        <w:rPr>
          <w:w w:val="105"/>
        </w:rPr>
        <w:t>and, if so, the anticipated date of retrofit or retirement. EPA proposed and is finalizing that these reports be</w:t>
      </w:r>
      <w:r w:rsidRPr="00283806">
        <w:rPr>
          <w:spacing w:val="40"/>
          <w:w w:val="105"/>
        </w:rPr>
        <w:t xml:space="preserve"> </w:t>
      </w:r>
      <w:r w:rsidRPr="00283806">
        <w:rPr>
          <w:w w:val="105"/>
        </w:rPr>
        <w:t>submitted electronically using the Agency’s applicable reporting platform. The information in these reports would either be contained in the records EPA</w:t>
      </w:r>
      <w:r w:rsidRPr="00283806">
        <w:rPr>
          <w:spacing w:val="80"/>
          <w:w w:val="150"/>
        </w:rPr>
        <w:t xml:space="preserve"> </w:t>
      </w:r>
      <w:r w:rsidRPr="00283806">
        <w:rPr>
          <w:w w:val="105"/>
        </w:rPr>
        <w:t>is establishing that owner or operators are required to maintain or is the type</w:t>
      </w:r>
      <w:r w:rsidRPr="00283806">
        <w:rPr>
          <w:spacing w:val="80"/>
          <w:w w:val="150"/>
        </w:rPr>
        <w:t xml:space="preserve"> </w:t>
      </w:r>
      <w:r w:rsidRPr="00283806">
        <w:rPr>
          <w:w w:val="105"/>
        </w:rPr>
        <w:t>of information that is on hand during</w:t>
      </w:r>
    </w:p>
    <w:p w14:paraId="2AE6EF8C" w14:textId="77777777" w:rsidR="00D67C1E" w:rsidRPr="00283806" w:rsidRDefault="001265CA">
      <w:pPr>
        <w:pStyle w:val="BodyText"/>
        <w:spacing w:line="162" w:lineRule="exact"/>
        <w:ind w:left="144"/>
      </w:pPr>
      <w:r w:rsidRPr="00283806">
        <w:rPr>
          <w:w w:val="105"/>
        </w:rPr>
        <w:t>the</w:t>
      </w:r>
      <w:r w:rsidRPr="00283806">
        <w:rPr>
          <w:spacing w:val="9"/>
          <w:w w:val="105"/>
        </w:rPr>
        <w:t xml:space="preserve"> </w:t>
      </w:r>
      <w:r w:rsidRPr="00283806">
        <w:rPr>
          <w:w w:val="105"/>
        </w:rPr>
        <w:t>ordinary</w:t>
      </w:r>
      <w:r w:rsidRPr="00283806">
        <w:rPr>
          <w:spacing w:val="10"/>
          <w:w w:val="105"/>
        </w:rPr>
        <w:t xml:space="preserve"> </w:t>
      </w:r>
      <w:r w:rsidRPr="00283806">
        <w:rPr>
          <w:w w:val="105"/>
        </w:rPr>
        <w:t>course</w:t>
      </w:r>
      <w:r w:rsidRPr="00283806">
        <w:rPr>
          <w:spacing w:val="9"/>
          <w:w w:val="105"/>
        </w:rPr>
        <w:t xml:space="preserve"> </w:t>
      </w:r>
      <w:r w:rsidRPr="00283806">
        <w:rPr>
          <w:w w:val="105"/>
        </w:rPr>
        <w:t>of</w:t>
      </w:r>
      <w:r w:rsidRPr="00283806">
        <w:rPr>
          <w:spacing w:val="10"/>
          <w:w w:val="105"/>
        </w:rPr>
        <w:t xml:space="preserve"> </w:t>
      </w:r>
      <w:r w:rsidRPr="00283806">
        <w:rPr>
          <w:w w:val="105"/>
        </w:rPr>
        <w:t>business.</w:t>
      </w:r>
      <w:r w:rsidRPr="00283806">
        <w:rPr>
          <w:spacing w:val="10"/>
          <w:w w:val="105"/>
        </w:rPr>
        <w:t xml:space="preserve"> </w:t>
      </w:r>
      <w:r w:rsidRPr="00283806">
        <w:rPr>
          <w:spacing w:val="-2"/>
          <w:w w:val="105"/>
        </w:rPr>
        <w:t>Because</w:t>
      </w:r>
    </w:p>
    <w:p w14:paraId="7880A73F" w14:textId="77777777" w:rsidR="00D67C1E" w:rsidRPr="00283806" w:rsidRDefault="001265CA">
      <w:pPr>
        <w:pStyle w:val="BodyText"/>
        <w:spacing w:before="4" w:line="225" w:lineRule="auto"/>
        <w:ind w:left="144" w:right="88"/>
      </w:pPr>
      <w:r w:rsidRPr="00283806">
        <w:rPr>
          <w:w w:val="105"/>
        </w:rPr>
        <w:t>of the amount of refrigerant emitted, chronically leaking appliances warrant special attention. These reporting requirements for chronically leaking equipment are designed to help ensure that owners or operators are complying with the leak repair provisions and that they have taken appropriate steps to identify the leaks and correct the root cause of those leaks. These reports will allow EPA to evaluate compliance with the regulatory requirements and to identify entities that may benefit from compliance assistance and other outreach efforts. These reports will also allow EPA to assess common root</w:t>
      </w:r>
      <w:r w:rsidRPr="00283806">
        <w:rPr>
          <w:spacing w:val="80"/>
          <w:w w:val="105"/>
        </w:rPr>
        <w:t xml:space="preserve"> </w:t>
      </w:r>
      <w:r w:rsidRPr="00283806">
        <w:rPr>
          <w:w w:val="105"/>
        </w:rPr>
        <w:t>causes for appliances that chronically leak, which would facilitate</w:t>
      </w:r>
      <w:r w:rsidRPr="00283806">
        <w:rPr>
          <w:spacing w:val="40"/>
          <w:w w:val="105"/>
        </w:rPr>
        <w:t xml:space="preserve"> </w:t>
      </w:r>
      <w:r w:rsidRPr="00283806">
        <w:rPr>
          <w:w w:val="105"/>
        </w:rPr>
        <w:t>consideration of approaches to mitigate these leaks and minimize the releases of HFCs from such equipment. EPA discusses whether this information is entitled to confidential treatment in section V.A.1 of this preamble.</w:t>
      </w:r>
    </w:p>
    <w:p w14:paraId="7A9D1079" w14:textId="77777777" w:rsidR="00D67C1E" w:rsidRPr="00283806" w:rsidRDefault="001265CA">
      <w:pPr>
        <w:spacing w:line="178" w:lineRule="exact"/>
        <w:ind w:left="324"/>
        <w:rPr>
          <w:sz w:val="18"/>
        </w:rPr>
      </w:pPr>
      <w:r w:rsidRPr="00283806">
        <w:rPr>
          <w:rFonts w:ascii="Book Antiqua"/>
          <w:i/>
          <w:w w:val="105"/>
          <w:sz w:val="18"/>
        </w:rPr>
        <w:t>Comment:</w:t>
      </w:r>
      <w:r w:rsidRPr="00283806">
        <w:rPr>
          <w:rFonts w:ascii="Book Antiqua"/>
          <w:i/>
          <w:spacing w:val="34"/>
          <w:w w:val="105"/>
          <w:sz w:val="18"/>
        </w:rPr>
        <w:t xml:space="preserve"> </w:t>
      </w:r>
      <w:r w:rsidRPr="00283806">
        <w:rPr>
          <w:w w:val="105"/>
          <w:sz w:val="18"/>
        </w:rPr>
        <w:t>Some</w:t>
      </w:r>
      <w:r w:rsidRPr="00283806">
        <w:rPr>
          <w:spacing w:val="40"/>
          <w:w w:val="105"/>
          <w:sz w:val="18"/>
        </w:rPr>
        <w:t xml:space="preserve"> </w:t>
      </w:r>
      <w:proofErr w:type="gramStart"/>
      <w:r w:rsidRPr="00283806">
        <w:rPr>
          <w:spacing w:val="-2"/>
          <w:w w:val="105"/>
          <w:sz w:val="18"/>
        </w:rPr>
        <w:t>commenters</w:t>
      </w:r>
      <w:proofErr w:type="gramEnd"/>
    </w:p>
    <w:p w14:paraId="768DE412" w14:textId="77777777" w:rsidR="00D67C1E" w:rsidRPr="00283806" w:rsidRDefault="001265CA">
      <w:pPr>
        <w:pStyle w:val="BodyText"/>
        <w:spacing w:line="228" w:lineRule="auto"/>
        <w:ind w:left="144"/>
      </w:pPr>
      <w:r w:rsidRPr="00283806">
        <w:rPr>
          <w:w w:val="105"/>
        </w:rPr>
        <w:t>suggested that EPA should require reporting when system leak rates exceed</w:t>
      </w:r>
    </w:p>
    <w:p w14:paraId="3C7378F5" w14:textId="77777777" w:rsidR="00D67C1E" w:rsidRPr="00283806" w:rsidRDefault="001265CA">
      <w:pPr>
        <w:pStyle w:val="BodyText"/>
        <w:spacing w:before="135" w:line="225" w:lineRule="auto"/>
        <w:ind w:left="154" w:right="132"/>
      </w:pPr>
      <w:r w:rsidRPr="00283806">
        <w:br w:type="column"/>
      </w:r>
      <w:r w:rsidRPr="00283806">
        <w:rPr>
          <w:w w:val="105"/>
        </w:rPr>
        <w:t>110 percent per year rather than the proposed 125 percent value. One commenter indicated that this lower threshold would support close monitoring of systems that experience a loss of full charge so that unrepaired faults are repaired. One commenter suggested that EPA should set a quicker timeline for required leak repairs for chronically leaking appliances.</w:t>
      </w:r>
    </w:p>
    <w:p w14:paraId="34F41091" w14:textId="77777777" w:rsidR="00D67C1E" w:rsidRPr="00283806" w:rsidRDefault="001265CA">
      <w:pPr>
        <w:spacing w:line="182" w:lineRule="exact"/>
        <w:ind w:left="334"/>
        <w:rPr>
          <w:sz w:val="18"/>
        </w:rPr>
      </w:pPr>
      <w:r w:rsidRPr="00283806">
        <w:rPr>
          <w:rFonts w:ascii="Book Antiqua"/>
          <w:i/>
          <w:w w:val="110"/>
          <w:sz w:val="18"/>
        </w:rPr>
        <w:t>Response:</w:t>
      </w:r>
      <w:r w:rsidRPr="00283806">
        <w:rPr>
          <w:rFonts w:ascii="Book Antiqua"/>
          <w:i/>
          <w:spacing w:val="8"/>
          <w:w w:val="110"/>
          <w:sz w:val="18"/>
        </w:rPr>
        <w:t xml:space="preserve"> </w:t>
      </w:r>
      <w:r w:rsidRPr="00283806">
        <w:rPr>
          <w:w w:val="110"/>
          <w:sz w:val="18"/>
        </w:rPr>
        <w:t>The</w:t>
      </w:r>
      <w:r w:rsidRPr="00283806">
        <w:rPr>
          <w:spacing w:val="14"/>
          <w:w w:val="110"/>
          <w:sz w:val="18"/>
        </w:rPr>
        <w:t xml:space="preserve"> </w:t>
      </w:r>
      <w:r w:rsidRPr="00283806">
        <w:rPr>
          <w:w w:val="110"/>
          <w:sz w:val="18"/>
        </w:rPr>
        <w:t>Agency</w:t>
      </w:r>
      <w:r w:rsidRPr="00283806">
        <w:rPr>
          <w:spacing w:val="14"/>
          <w:w w:val="110"/>
          <w:sz w:val="18"/>
        </w:rPr>
        <w:t xml:space="preserve"> </w:t>
      </w:r>
      <w:r w:rsidRPr="00283806">
        <w:rPr>
          <w:w w:val="110"/>
          <w:sz w:val="18"/>
        </w:rPr>
        <w:t>is</w:t>
      </w:r>
      <w:r w:rsidRPr="00283806">
        <w:rPr>
          <w:spacing w:val="14"/>
          <w:w w:val="110"/>
          <w:sz w:val="18"/>
        </w:rPr>
        <w:t xml:space="preserve"> </w:t>
      </w:r>
      <w:r w:rsidRPr="00283806">
        <w:rPr>
          <w:spacing w:val="-2"/>
          <w:w w:val="110"/>
          <w:sz w:val="18"/>
        </w:rPr>
        <w:t>finalizing</w:t>
      </w:r>
    </w:p>
    <w:p w14:paraId="122C620C" w14:textId="77777777" w:rsidR="00D67C1E" w:rsidRPr="00283806" w:rsidRDefault="001265CA">
      <w:pPr>
        <w:pStyle w:val="BodyText"/>
        <w:spacing w:line="225" w:lineRule="auto"/>
        <w:ind w:left="154" w:right="131"/>
      </w:pPr>
      <w:r w:rsidRPr="00283806">
        <w:rPr>
          <w:w w:val="105"/>
        </w:rPr>
        <w:t>the chronically leaking appliances provision as proposed. EPA acknowledges the comments suggesting that</w:t>
      </w:r>
      <w:r w:rsidRPr="00283806">
        <w:rPr>
          <w:spacing w:val="40"/>
          <w:w w:val="105"/>
        </w:rPr>
        <w:t xml:space="preserve"> </w:t>
      </w:r>
      <w:r w:rsidRPr="00283806">
        <w:rPr>
          <w:w w:val="105"/>
        </w:rPr>
        <w:t>it</w:t>
      </w:r>
      <w:r w:rsidRPr="00283806">
        <w:rPr>
          <w:spacing w:val="40"/>
          <w:w w:val="105"/>
        </w:rPr>
        <w:t xml:space="preserve"> </w:t>
      </w:r>
      <w:r w:rsidRPr="00283806">
        <w:rPr>
          <w:w w:val="105"/>
        </w:rPr>
        <w:t>should</w:t>
      </w:r>
      <w:r w:rsidRPr="00283806">
        <w:rPr>
          <w:spacing w:val="40"/>
          <w:w w:val="105"/>
        </w:rPr>
        <w:t xml:space="preserve"> </w:t>
      </w:r>
      <w:r w:rsidRPr="00283806">
        <w:rPr>
          <w:w w:val="105"/>
        </w:rPr>
        <w:t>lower</w:t>
      </w:r>
      <w:r w:rsidRPr="00283806">
        <w:rPr>
          <w:spacing w:val="40"/>
          <w:w w:val="105"/>
        </w:rPr>
        <w:t xml:space="preserve"> </w:t>
      </w:r>
      <w:r w:rsidRPr="00283806">
        <w:rPr>
          <w:w w:val="105"/>
        </w:rPr>
        <w:t>the</w:t>
      </w:r>
      <w:r w:rsidRPr="00283806">
        <w:rPr>
          <w:spacing w:val="40"/>
          <w:w w:val="105"/>
        </w:rPr>
        <w:t xml:space="preserve"> </w:t>
      </w:r>
      <w:r w:rsidRPr="00283806">
        <w:rPr>
          <w:w w:val="105"/>
        </w:rPr>
        <w:t>chronic</w:t>
      </w:r>
      <w:r w:rsidRPr="00283806">
        <w:rPr>
          <w:spacing w:val="40"/>
          <w:w w:val="105"/>
        </w:rPr>
        <w:t xml:space="preserve"> </w:t>
      </w:r>
      <w:r w:rsidRPr="00283806">
        <w:rPr>
          <w:w w:val="105"/>
        </w:rPr>
        <w:t>leak rate but finds the 125 percent threshold more appropriate, as the Agency intends to focus on gathering information from chronically leaking appliances and to avoid capture of refrigerant-containing appliances affected by unavoidable</w:t>
      </w:r>
      <w:r w:rsidRPr="00283806">
        <w:rPr>
          <w:spacing w:val="40"/>
          <w:w w:val="105"/>
        </w:rPr>
        <w:t xml:space="preserve"> </w:t>
      </w:r>
      <w:r w:rsidRPr="00283806">
        <w:rPr>
          <w:w w:val="105"/>
        </w:rPr>
        <w:t>losses that do not reflect a chronic issue. The 125 percent threshold allows the Agency to focus on chronic leakers, as systems would have to lose their full charge and then a significant quantity more to trigger the requirements. The Agency also notes that the 125 percent threshold aligns with the chronic leak rate established in the CAA section 608 regulations</w:t>
      </w:r>
      <w:r w:rsidRPr="00283806">
        <w:rPr>
          <w:spacing w:val="40"/>
          <w:w w:val="105"/>
        </w:rPr>
        <w:t xml:space="preserve"> </w:t>
      </w:r>
      <w:r w:rsidRPr="00283806">
        <w:rPr>
          <w:w w:val="105"/>
        </w:rPr>
        <w:t>which</w:t>
      </w:r>
      <w:r w:rsidRPr="00283806">
        <w:rPr>
          <w:spacing w:val="40"/>
          <w:w w:val="105"/>
        </w:rPr>
        <w:t xml:space="preserve"> </w:t>
      </w:r>
      <w:r w:rsidRPr="00283806">
        <w:rPr>
          <w:w w:val="105"/>
        </w:rPr>
        <w:t>may</w:t>
      </w:r>
      <w:r w:rsidRPr="00283806">
        <w:rPr>
          <w:spacing w:val="40"/>
          <w:w w:val="105"/>
        </w:rPr>
        <w:t xml:space="preserve"> </w:t>
      </w:r>
      <w:r w:rsidRPr="00283806">
        <w:rPr>
          <w:w w:val="105"/>
        </w:rPr>
        <w:t>allow</w:t>
      </w:r>
      <w:r w:rsidRPr="00283806">
        <w:rPr>
          <w:spacing w:val="40"/>
          <w:w w:val="105"/>
        </w:rPr>
        <w:t xml:space="preserve"> </w:t>
      </w:r>
      <w:r w:rsidRPr="00283806">
        <w:rPr>
          <w:w w:val="105"/>
        </w:rPr>
        <w:t>the Agency to compare or combine information obtained under this</w:t>
      </w:r>
      <w:r w:rsidRPr="00283806">
        <w:rPr>
          <w:spacing w:val="80"/>
          <w:w w:val="105"/>
        </w:rPr>
        <w:t xml:space="preserve"> </w:t>
      </w:r>
      <w:r w:rsidRPr="00283806">
        <w:rPr>
          <w:w w:val="105"/>
        </w:rPr>
        <w:t>program with that obtained under CAA section 608 and develop a better understanding of the issues that lead to chronic leaking across a broader group</w:t>
      </w:r>
      <w:r w:rsidRPr="00283806">
        <w:rPr>
          <w:spacing w:val="80"/>
          <w:w w:val="105"/>
        </w:rPr>
        <w:t xml:space="preserve"> </w:t>
      </w:r>
      <w:r w:rsidRPr="00283806">
        <w:rPr>
          <w:w w:val="105"/>
        </w:rPr>
        <w:t>of appliances. In response to the commenter’s view that a chronic leak</w:t>
      </w:r>
      <w:r w:rsidRPr="00283806">
        <w:rPr>
          <w:spacing w:val="40"/>
          <w:w w:val="105"/>
        </w:rPr>
        <w:t xml:space="preserve"> </w:t>
      </w:r>
      <w:r w:rsidRPr="00283806">
        <w:rPr>
          <w:w w:val="105"/>
        </w:rPr>
        <w:t>rate of 110 percent would support closer monitoring of appliances, especially appliances with large charge sizes, the Agency notes that a chronic leak rate of 110 percent may still capture appliances affected by unavoidable losses and thus dilute focus on the target group of appliances. One commenter requested that chronically leaking appliances be required to repair leaks on a quicker timeline.</w:t>
      </w:r>
      <w:r w:rsidRPr="00283806">
        <w:rPr>
          <w:spacing w:val="40"/>
          <w:w w:val="105"/>
        </w:rPr>
        <w:t xml:space="preserve"> </w:t>
      </w:r>
      <w:r w:rsidRPr="00283806">
        <w:rPr>
          <w:w w:val="105"/>
        </w:rPr>
        <w:t>EPA</w:t>
      </w:r>
      <w:r w:rsidRPr="00283806">
        <w:rPr>
          <w:spacing w:val="40"/>
          <w:w w:val="105"/>
        </w:rPr>
        <w:t xml:space="preserve"> </w:t>
      </w:r>
      <w:r w:rsidRPr="00283806">
        <w:rPr>
          <w:w w:val="105"/>
        </w:rPr>
        <w:t>responds</w:t>
      </w:r>
      <w:r w:rsidRPr="00283806">
        <w:rPr>
          <w:spacing w:val="40"/>
          <w:w w:val="105"/>
        </w:rPr>
        <w:t xml:space="preserve"> </w:t>
      </w:r>
      <w:r w:rsidRPr="00283806">
        <w:rPr>
          <w:w w:val="105"/>
        </w:rPr>
        <w:t>that</w:t>
      </w:r>
      <w:r w:rsidRPr="00283806">
        <w:rPr>
          <w:spacing w:val="40"/>
          <w:w w:val="105"/>
        </w:rPr>
        <w:t xml:space="preserve"> </w:t>
      </w:r>
      <w:r w:rsidRPr="00283806">
        <w:rPr>
          <w:w w:val="105"/>
        </w:rPr>
        <w:t xml:space="preserve">the timeline for </w:t>
      </w:r>
      <w:proofErr w:type="gramStart"/>
      <w:r w:rsidRPr="00283806">
        <w:rPr>
          <w:w w:val="105"/>
        </w:rPr>
        <w:t>repair of</w:t>
      </w:r>
      <w:proofErr w:type="gramEnd"/>
      <w:r w:rsidRPr="00283806">
        <w:rPr>
          <w:w w:val="105"/>
        </w:rPr>
        <w:t xml:space="preserve"> a chronically</w:t>
      </w:r>
      <w:r w:rsidRPr="00283806">
        <w:rPr>
          <w:spacing w:val="40"/>
          <w:w w:val="105"/>
        </w:rPr>
        <w:t xml:space="preserve"> </w:t>
      </w:r>
      <w:r w:rsidRPr="00283806">
        <w:rPr>
          <w:w w:val="105"/>
        </w:rPr>
        <w:t>leaking appliance is the same as for any other appliance that triggers the leak repair requirements. The Agency further notes that some chronically leaking appliances would be subject to the retrofit or retirement provisions in the final rule, for example, if they continue</w:t>
      </w:r>
      <w:r w:rsidRPr="00283806">
        <w:rPr>
          <w:spacing w:val="80"/>
          <w:w w:val="150"/>
        </w:rPr>
        <w:t xml:space="preserve"> </w:t>
      </w:r>
      <w:r w:rsidRPr="00283806">
        <w:rPr>
          <w:w w:val="105"/>
        </w:rPr>
        <w:t>to leak above the applicable leak rate after having conducted the required repairs and verification tests.</w:t>
      </w:r>
    </w:p>
    <w:p w14:paraId="4BBA11E4" w14:textId="77777777" w:rsidR="00D67C1E" w:rsidRPr="00283806" w:rsidRDefault="001265CA">
      <w:pPr>
        <w:spacing w:line="167" w:lineRule="exact"/>
        <w:ind w:left="334"/>
        <w:rPr>
          <w:sz w:val="18"/>
        </w:rPr>
      </w:pPr>
      <w:r w:rsidRPr="00283806">
        <w:rPr>
          <w:rFonts w:ascii="Book Antiqua"/>
          <w:i/>
          <w:w w:val="105"/>
          <w:sz w:val="18"/>
        </w:rPr>
        <w:t>Comment:</w:t>
      </w:r>
      <w:r w:rsidRPr="00283806">
        <w:rPr>
          <w:rFonts w:ascii="Book Antiqua"/>
          <w:i/>
          <w:spacing w:val="34"/>
          <w:w w:val="105"/>
          <w:sz w:val="18"/>
        </w:rPr>
        <w:t xml:space="preserve"> </w:t>
      </w:r>
      <w:r w:rsidRPr="00283806">
        <w:rPr>
          <w:w w:val="105"/>
          <w:sz w:val="18"/>
        </w:rPr>
        <w:t>Another</w:t>
      </w:r>
      <w:r w:rsidRPr="00283806">
        <w:rPr>
          <w:spacing w:val="40"/>
          <w:w w:val="105"/>
          <w:sz w:val="18"/>
        </w:rPr>
        <w:t xml:space="preserve"> </w:t>
      </w:r>
      <w:r w:rsidRPr="00283806">
        <w:rPr>
          <w:spacing w:val="-2"/>
          <w:w w:val="105"/>
          <w:sz w:val="18"/>
        </w:rPr>
        <w:t>commenter</w:t>
      </w:r>
    </w:p>
    <w:p w14:paraId="3C4D4620" w14:textId="77777777" w:rsidR="00D67C1E" w:rsidRPr="00283806" w:rsidRDefault="001265CA">
      <w:pPr>
        <w:pStyle w:val="BodyText"/>
        <w:spacing w:line="225" w:lineRule="auto"/>
        <w:ind w:left="154" w:right="119"/>
      </w:pPr>
      <w:r w:rsidRPr="00283806">
        <w:rPr>
          <w:w w:val="105"/>
        </w:rPr>
        <w:t>suggested an alternative to EPA’s proposal to require reporting when system leak rates exceed 125 percent in one year. The commenter suggested the annual leak rate percentage to require reporting should be 100 percent plus the allowed annual leak rate percentage for</w:t>
      </w:r>
    </w:p>
    <w:p w14:paraId="7B87FB7C"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6" w:space="40"/>
            <w:col w:w="3491" w:space="39"/>
            <w:col w:w="3634"/>
          </w:cols>
        </w:sectPr>
      </w:pPr>
    </w:p>
    <w:p w14:paraId="2AC7B74A" w14:textId="77777777" w:rsidR="00D67C1E" w:rsidRPr="00283806" w:rsidRDefault="001265CA">
      <w:pPr>
        <w:pStyle w:val="BodyText"/>
        <w:spacing w:before="136" w:line="225" w:lineRule="auto"/>
      </w:pPr>
      <w:r w:rsidRPr="00283806">
        <w:rPr>
          <w:w w:val="110"/>
        </w:rPr>
        <w:lastRenderedPageBreak/>
        <w:t xml:space="preserve">an equipment category plus five percent. Alternatively, the commenter suggested that EPA could choose a lower percentage and allow an </w:t>
      </w:r>
      <w:r w:rsidRPr="00283806">
        <w:rPr>
          <w:spacing w:val="-2"/>
          <w:w w:val="110"/>
        </w:rPr>
        <w:t>exception</w:t>
      </w:r>
      <w:r w:rsidRPr="00283806">
        <w:rPr>
          <w:spacing w:val="-5"/>
          <w:w w:val="110"/>
        </w:rPr>
        <w:t xml:space="preserve"> </w:t>
      </w:r>
      <w:r w:rsidRPr="00283806">
        <w:rPr>
          <w:spacing w:val="-2"/>
          <w:w w:val="110"/>
        </w:rPr>
        <w:t>for</w:t>
      </w:r>
      <w:r w:rsidRPr="00283806">
        <w:rPr>
          <w:spacing w:val="-5"/>
          <w:w w:val="110"/>
        </w:rPr>
        <w:t xml:space="preserve"> </w:t>
      </w:r>
      <w:r w:rsidRPr="00283806">
        <w:rPr>
          <w:spacing w:val="-2"/>
          <w:w w:val="110"/>
        </w:rPr>
        <w:t>a</w:t>
      </w:r>
      <w:r w:rsidRPr="00283806">
        <w:rPr>
          <w:spacing w:val="-5"/>
          <w:w w:val="110"/>
        </w:rPr>
        <w:t xml:space="preserve"> </w:t>
      </w:r>
      <w:r w:rsidRPr="00283806">
        <w:rPr>
          <w:spacing w:val="-2"/>
          <w:w w:val="110"/>
        </w:rPr>
        <w:t>single</w:t>
      </w:r>
      <w:r w:rsidRPr="00283806">
        <w:rPr>
          <w:spacing w:val="-5"/>
          <w:w w:val="110"/>
        </w:rPr>
        <w:t xml:space="preserve"> </w:t>
      </w:r>
      <w:r w:rsidRPr="00283806">
        <w:rPr>
          <w:spacing w:val="-2"/>
          <w:w w:val="110"/>
        </w:rPr>
        <w:t>catastrophic</w:t>
      </w:r>
      <w:r w:rsidRPr="00283806">
        <w:rPr>
          <w:spacing w:val="-5"/>
          <w:w w:val="110"/>
        </w:rPr>
        <w:t xml:space="preserve"> </w:t>
      </w:r>
      <w:r w:rsidRPr="00283806">
        <w:rPr>
          <w:spacing w:val="-2"/>
          <w:w w:val="110"/>
        </w:rPr>
        <w:t>leak.</w:t>
      </w:r>
    </w:p>
    <w:p w14:paraId="4ACF5372" w14:textId="77777777" w:rsidR="00D67C1E" w:rsidRPr="00283806" w:rsidRDefault="001265CA">
      <w:pPr>
        <w:pStyle w:val="BodyText"/>
        <w:spacing w:line="213" w:lineRule="auto"/>
        <w:ind w:right="128" w:firstLine="180"/>
      </w:pPr>
      <w:r w:rsidRPr="00283806">
        <w:rPr>
          <w:rFonts w:ascii="Book Antiqua" w:hAnsi="Book Antiqua"/>
          <w:i/>
          <w:w w:val="105"/>
        </w:rPr>
        <w:t xml:space="preserve">Response: </w:t>
      </w:r>
      <w:r w:rsidRPr="00283806">
        <w:rPr>
          <w:w w:val="105"/>
        </w:rPr>
        <w:t>EPA disagrees with the commenter’s</w:t>
      </w:r>
      <w:r w:rsidRPr="00283806">
        <w:rPr>
          <w:spacing w:val="9"/>
          <w:w w:val="105"/>
        </w:rPr>
        <w:t xml:space="preserve"> </w:t>
      </w:r>
      <w:r w:rsidRPr="00283806">
        <w:rPr>
          <w:w w:val="105"/>
        </w:rPr>
        <w:t>suggested</w:t>
      </w:r>
      <w:r w:rsidRPr="00283806">
        <w:rPr>
          <w:spacing w:val="10"/>
          <w:w w:val="105"/>
        </w:rPr>
        <w:t xml:space="preserve"> </w:t>
      </w:r>
      <w:r w:rsidRPr="00283806">
        <w:rPr>
          <w:w w:val="105"/>
        </w:rPr>
        <w:t>approach.</w:t>
      </w:r>
      <w:r w:rsidRPr="00283806">
        <w:rPr>
          <w:spacing w:val="9"/>
          <w:w w:val="105"/>
        </w:rPr>
        <w:t xml:space="preserve"> </w:t>
      </w:r>
      <w:r w:rsidRPr="00283806">
        <w:rPr>
          <w:spacing w:val="-5"/>
          <w:w w:val="105"/>
        </w:rPr>
        <w:t>The</w:t>
      </w:r>
    </w:p>
    <w:p w14:paraId="0EC113C9" w14:textId="77777777" w:rsidR="00D67C1E" w:rsidRPr="00283806" w:rsidRDefault="001265CA">
      <w:pPr>
        <w:pStyle w:val="BodyText"/>
        <w:spacing w:line="225" w:lineRule="auto"/>
        <w:ind w:right="51"/>
      </w:pPr>
      <w:r w:rsidRPr="00283806">
        <w:rPr>
          <w:w w:val="105"/>
        </w:rPr>
        <w:t>commenter’s suggestion would allow certain appliances (</w:t>
      </w:r>
      <w:r w:rsidRPr="00283806">
        <w:rPr>
          <w:rFonts w:ascii="Book Antiqua" w:hAnsi="Book Antiqua"/>
          <w:i/>
          <w:w w:val="105"/>
        </w:rPr>
        <w:t xml:space="preserve">i.e., </w:t>
      </w:r>
      <w:r w:rsidRPr="00283806">
        <w:rPr>
          <w:w w:val="105"/>
        </w:rPr>
        <w:t xml:space="preserve">IPR) to leak 135 percent in one year before becoming subject to the chronic leaker provision. Thus, for some appliances, the commenter’s suggested approach would prevent EPA from obtaining information about certain appliances that may chronically leak but not at such a high </w:t>
      </w:r>
      <w:proofErr w:type="gramStart"/>
      <w:r w:rsidRPr="00283806">
        <w:rPr>
          <w:w w:val="105"/>
        </w:rPr>
        <w:t>rate, and</w:t>
      </w:r>
      <w:proofErr w:type="gramEnd"/>
      <w:r w:rsidRPr="00283806">
        <w:rPr>
          <w:w w:val="105"/>
        </w:rPr>
        <w:t xml:space="preserve"> thus might limit the Agency’s understanding of the issues that may</w:t>
      </w:r>
      <w:r w:rsidRPr="00283806">
        <w:rPr>
          <w:spacing w:val="40"/>
          <w:w w:val="105"/>
        </w:rPr>
        <w:t xml:space="preserve"> </w:t>
      </w:r>
      <w:r w:rsidRPr="00283806">
        <w:rPr>
          <w:w w:val="105"/>
        </w:rPr>
        <w:t>lead to chronic leaking at the 125</w:t>
      </w:r>
      <w:r w:rsidRPr="00283806">
        <w:rPr>
          <w:spacing w:val="80"/>
          <w:w w:val="105"/>
        </w:rPr>
        <w:t xml:space="preserve"> </w:t>
      </w:r>
      <w:r w:rsidRPr="00283806">
        <w:rPr>
          <w:w w:val="105"/>
        </w:rPr>
        <w:t>percent threshold. This approach would also differ from the approach under the CAA</w:t>
      </w:r>
      <w:r w:rsidRPr="00283806">
        <w:rPr>
          <w:spacing w:val="40"/>
          <w:w w:val="105"/>
        </w:rPr>
        <w:t xml:space="preserve"> </w:t>
      </w:r>
      <w:r w:rsidRPr="00283806">
        <w:rPr>
          <w:w w:val="105"/>
        </w:rPr>
        <w:t>section</w:t>
      </w:r>
      <w:r w:rsidRPr="00283806">
        <w:rPr>
          <w:spacing w:val="40"/>
          <w:w w:val="105"/>
        </w:rPr>
        <w:t xml:space="preserve"> </w:t>
      </w:r>
      <w:r w:rsidRPr="00283806">
        <w:rPr>
          <w:w w:val="105"/>
        </w:rPr>
        <w:t>608</w:t>
      </w:r>
      <w:r w:rsidRPr="00283806">
        <w:rPr>
          <w:spacing w:val="40"/>
          <w:w w:val="105"/>
        </w:rPr>
        <w:t xml:space="preserve"> </w:t>
      </w:r>
      <w:r w:rsidRPr="00283806">
        <w:rPr>
          <w:w w:val="105"/>
        </w:rPr>
        <w:t>regulations,</w:t>
      </w:r>
      <w:r w:rsidRPr="00283806">
        <w:rPr>
          <w:spacing w:val="40"/>
          <w:w w:val="105"/>
        </w:rPr>
        <w:t xml:space="preserve"> </w:t>
      </w:r>
      <w:r w:rsidRPr="00283806">
        <w:rPr>
          <w:w w:val="105"/>
        </w:rPr>
        <w:t>which may limit the Agency’s ability to</w:t>
      </w:r>
      <w:r w:rsidRPr="00283806">
        <w:rPr>
          <w:spacing w:val="80"/>
          <w:w w:val="105"/>
        </w:rPr>
        <w:t xml:space="preserve"> </w:t>
      </w:r>
      <w:r w:rsidRPr="00283806">
        <w:rPr>
          <w:w w:val="105"/>
        </w:rPr>
        <w:t>compare or combine the information obtained under this program with that obtained</w:t>
      </w:r>
      <w:r w:rsidRPr="00283806">
        <w:rPr>
          <w:spacing w:val="40"/>
          <w:w w:val="105"/>
        </w:rPr>
        <w:t xml:space="preserve"> </w:t>
      </w:r>
      <w:r w:rsidRPr="00283806">
        <w:rPr>
          <w:w w:val="105"/>
        </w:rPr>
        <w:t>under</w:t>
      </w:r>
      <w:r w:rsidRPr="00283806">
        <w:rPr>
          <w:spacing w:val="40"/>
          <w:w w:val="105"/>
        </w:rPr>
        <w:t xml:space="preserve"> </w:t>
      </w:r>
      <w:r w:rsidRPr="00283806">
        <w:rPr>
          <w:w w:val="105"/>
        </w:rPr>
        <w:t>CAA</w:t>
      </w:r>
      <w:r w:rsidRPr="00283806">
        <w:rPr>
          <w:spacing w:val="40"/>
          <w:w w:val="105"/>
        </w:rPr>
        <w:t xml:space="preserve"> </w:t>
      </w:r>
      <w:r w:rsidRPr="00283806">
        <w:rPr>
          <w:w w:val="105"/>
        </w:rPr>
        <w:t>section</w:t>
      </w:r>
      <w:r w:rsidRPr="00283806">
        <w:rPr>
          <w:spacing w:val="40"/>
          <w:w w:val="105"/>
        </w:rPr>
        <w:t xml:space="preserve"> </w:t>
      </w:r>
      <w:r w:rsidRPr="00283806">
        <w:rPr>
          <w:w w:val="105"/>
        </w:rPr>
        <w:t>608.</w:t>
      </w:r>
      <w:r w:rsidRPr="00283806">
        <w:rPr>
          <w:spacing w:val="40"/>
          <w:w w:val="105"/>
        </w:rPr>
        <w:t xml:space="preserve"> </w:t>
      </w:r>
      <w:r w:rsidRPr="00283806">
        <w:rPr>
          <w:w w:val="105"/>
        </w:rPr>
        <w:t>For the same reason, EPA is not adopting a lower percentage together with an exception for a single catastrophic leak event because EPA is not persuaded that this approach would allow us to obtain information</w:t>
      </w:r>
      <w:r w:rsidRPr="00283806">
        <w:rPr>
          <w:spacing w:val="40"/>
          <w:w w:val="105"/>
        </w:rPr>
        <w:t xml:space="preserve"> </w:t>
      </w:r>
      <w:r w:rsidRPr="00283806">
        <w:rPr>
          <w:w w:val="105"/>
        </w:rPr>
        <w:t>focused</w:t>
      </w:r>
      <w:r w:rsidRPr="00283806">
        <w:rPr>
          <w:spacing w:val="40"/>
          <w:w w:val="105"/>
        </w:rPr>
        <w:t xml:space="preserve"> </w:t>
      </w:r>
      <w:r w:rsidRPr="00283806">
        <w:rPr>
          <w:w w:val="105"/>
        </w:rPr>
        <w:t>on</w:t>
      </w:r>
      <w:r w:rsidRPr="00283806">
        <w:rPr>
          <w:spacing w:val="40"/>
          <w:w w:val="105"/>
        </w:rPr>
        <w:t xml:space="preserve"> </w:t>
      </w:r>
      <w:r w:rsidRPr="00283806">
        <w:rPr>
          <w:w w:val="105"/>
        </w:rPr>
        <w:t>the</w:t>
      </w:r>
      <w:r w:rsidRPr="00283806">
        <w:rPr>
          <w:spacing w:val="40"/>
          <w:w w:val="105"/>
        </w:rPr>
        <w:t xml:space="preserve"> </w:t>
      </w:r>
      <w:r w:rsidRPr="00283806">
        <w:rPr>
          <w:w w:val="105"/>
        </w:rPr>
        <w:t>appliances of most interest under this requirement.</w:t>
      </w:r>
    </w:p>
    <w:p w14:paraId="2020B18E" w14:textId="77777777" w:rsidR="00D67C1E" w:rsidRPr="00283806" w:rsidRDefault="001265CA">
      <w:pPr>
        <w:spacing w:line="166" w:lineRule="exact"/>
        <w:ind w:left="340"/>
        <w:rPr>
          <w:sz w:val="18"/>
        </w:rPr>
      </w:pPr>
      <w:r w:rsidRPr="00283806">
        <w:rPr>
          <w:rFonts w:ascii="Book Antiqua"/>
          <w:i/>
          <w:w w:val="105"/>
          <w:sz w:val="18"/>
        </w:rPr>
        <w:t>Comment:</w:t>
      </w:r>
      <w:r w:rsidRPr="00283806">
        <w:rPr>
          <w:rFonts w:ascii="Book Antiqua"/>
          <w:i/>
          <w:spacing w:val="15"/>
          <w:w w:val="105"/>
          <w:sz w:val="18"/>
        </w:rPr>
        <w:t xml:space="preserve"> </w:t>
      </w:r>
      <w:r w:rsidRPr="00283806">
        <w:rPr>
          <w:w w:val="105"/>
          <w:sz w:val="18"/>
        </w:rPr>
        <w:t>One</w:t>
      </w:r>
      <w:r w:rsidRPr="00283806">
        <w:rPr>
          <w:spacing w:val="20"/>
          <w:w w:val="105"/>
          <w:sz w:val="18"/>
        </w:rPr>
        <w:t xml:space="preserve"> </w:t>
      </w:r>
      <w:r w:rsidRPr="00283806">
        <w:rPr>
          <w:w w:val="105"/>
          <w:sz w:val="18"/>
        </w:rPr>
        <w:t>commenter</w:t>
      </w:r>
      <w:r w:rsidRPr="00283806">
        <w:rPr>
          <w:spacing w:val="20"/>
          <w:w w:val="105"/>
          <w:sz w:val="18"/>
        </w:rPr>
        <w:t xml:space="preserve"> </w:t>
      </w:r>
      <w:r w:rsidRPr="00283806">
        <w:rPr>
          <w:w w:val="105"/>
          <w:sz w:val="18"/>
        </w:rPr>
        <w:t>stated</w:t>
      </w:r>
      <w:r w:rsidRPr="00283806">
        <w:rPr>
          <w:spacing w:val="20"/>
          <w:w w:val="105"/>
          <w:sz w:val="18"/>
        </w:rPr>
        <w:t xml:space="preserve"> </w:t>
      </w:r>
      <w:r w:rsidRPr="00283806">
        <w:rPr>
          <w:spacing w:val="-4"/>
          <w:w w:val="105"/>
          <w:sz w:val="18"/>
        </w:rPr>
        <w:t>that</w:t>
      </w:r>
    </w:p>
    <w:p w14:paraId="21485C85" w14:textId="77777777" w:rsidR="00D67C1E" w:rsidRPr="00283806" w:rsidRDefault="001265CA">
      <w:pPr>
        <w:pStyle w:val="BodyText"/>
        <w:spacing w:line="225" w:lineRule="auto"/>
        <w:ind w:right="27"/>
      </w:pPr>
      <w:proofErr w:type="gramStart"/>
      <w:r w:rsidRPr="00283806">
        <w:rPr>
          <w:w w:val="105"/>
        </w:rPr>
        <w:t>if</w:t>
      </w:r>
      <w:proofErr w:type="gramEnd"/>
      <w:r w:rsidRPr="00283806">
        <w:rPr>
          <w:w w:val="105"/>
        </w:rPr>
        <w:t xml:space="preserve"> EPA lowers the leak repair threshold</w:t>
      </w:r>
      <w:r w:rsidRPr="00283806">
        <w:rPr>
          <w:spacing w:val="80"/>
          <w:w w:val="105"/>
        </w:rPr>
        <w:t xml:space="preserve"> </w:t>
      </w:r>
      <w:r w:rsidRPr="00283806">
        <w:rPr>
          <w:w w:val="105"/>
        </w:rPr>
        <w:t xml:space="preserve">to appliances with a charge size of 15 pounds, there will be </w:t>
      </w:r>
      <w:proofErr w:type="gramStart"/>
      <w:r w:rsidRPr="00283806">
        <w:rPr>
          <w:w w:val="105"/>
        </w:rPr>
        <w:t>a large number of</w:t>
      </w:r>
      <w:proofErr w:type="gramEnd"/>
      <w:r w:rsidRPr="00283806">
        <w:rPr>
          <w:w w:val="105"/>
        </w:rPr>
        <w:t xml:space="preserve"> reportable, chronically leaking</w:t>
      </w:r>
      <w:r w:rsidRPr="00283806">
        <w:rPr>
          <w:spacing w:val="40"/>
          <w:w w:val="105"/>
        </w:rPr>
        <w:t xml:space="preserve"> </w:t>
      </w:r>
      <w:r w:rsidRPr="00283806">
        <w:rPr>
          <w:w w:val="105"/>
        </w:rPr>
        <w:t>appliances with full charge sizes</w:t>
      </w:r>
      <w:r w:rsidRPr="00283806">
        <w:rPr>
          <w:spacing w:val="40"/>
          <w:w w:val="105"/>
        </w:rPr>
        <w:t xml:space="preserve"> </w:t>
      </w:r>
      <w:r w:rsidRPr="00283806">
        <w:rPr>
          <w:w w:val="105"/>
        </w:rPr>
        <w:t xml:space="preserve">between 15 and 49 pounds. The commenter stated that appliances with small charge sizes tend to lose their entire charge size before anyone realizes there is a leak, and therefore any appliance with more than one leak in a calendar year will be reportable to EPA. The commenter further claimed that the amount of refrigerant added to these small appliances does not necessarily reflect the amount of </w:t>
      </w:r>
      <w:proofErr w:type="gramStart"/>
      <w:r w:rsidRPr="00283806">
        <w:rPr>
          <w:w w:val="105"/>
        </w:rPr>
        <w:t>refrigerant</w:t>
      </w:r>
      <w:proofErr w:type="gramEnd"/>
      <w:r w:rsidRPr="00283806">
        <w:rPr>
          <w:w w:val="105"/>
        </w:rPr>
        <w:t xml:space="preserve"> leaked out</w:t>
      </w:r>
      <w:r w:rsidRPr="00283806">
        <w:rPr>
          <w:spacing w:val="40"/>
          <w:w w:val="105"/>
        </w:rPr>
        <w:t xml:space="preserve"> </w:t>
      </w:r>
      <w:r w:rsidRPr="00283806">
        <w:rPr>
          <w:w w:val="105"/>
        </w:rPr>
        <w:t>of</w:t>
      </w:r>
      <w:r w:rsidRPr="00283806">
        <w:rPr>
          <w:spacing w:val="40"/>
          <w:w w:val="105"/>
        </w:rPr>
        <w:t xml:space="preserve"> </w:t>
      </w:r>
      <w:r w:rsidRPr="00283806">
        <w:rPr>
          <w:w w:val="105"/>
        </w:rPr>
        <w:t>them,</w:t>
      </w:r>
      <w:r w:rsidRPr="00283806">
        <w:rPr>
          <w:spacing w:val="40"/>
          <w:w w:val="105"/>
        </w:rPr>
        <w:t xml:space="preserve"> </w:t>
      </w:r>
      <w:r w:rsidRPr="00283806">
        <w:rPr>
          <w:w w:val="105"/>
        </w:rPr>
        <w:t>and</w:t>
      </w:r>
      <w:r w:rsidRPr="00283806">
        <w:rPr>
          <w:spacing w:val="40"/>
          <w:w w:val="105"/>
        </w:rPr>
        <w:t xml:space="preserve"> </w:t>
      </w:r>
      <w:r w:rsidRPr="00283806">
        <w:rPr>
          <w:w w:val="105"/>
        </w:rPr>
        <w:t>that</w:t>
      </w:r>
      <w:r w:rsidRPr="00283806">
        <w:rPr>
          <w:spacing w:val="40"/>
          <w:w w:val="105"/>
        </w:rPr>
        <w:t xml:space="preserve"> </w:t>
      </w:r>
      <w:r w:rsidRPr="00283806">
        <w:rPr>
          <w:w w:val="105"/>
        </w:rPr>
        <w:t>technicians</w:t>
      </w:r>
      <w:r w:rsidRPr="00283806">
        <w:rPr>
          <w:spacing w:val="40"/>
          <w:w w:val="105"/>
        </w:rPr>
        <w:t xml:space="preserve"> </w:t>
      </w:r>
      <w:r w:rsidRPr="00283806">
        <w:rPr>
          <w:w w:val="105"/>
        </w:rPr>
        <w:t>tend to put whole cylinders worth of refrigerant into appliances whether the appliance requires it or not, because technicians</w:t>
      </w:r>
      <w:r w:rsidRPr="00283806">
        <w:rPr>
          <w:spacing w:val="40"/>
          <w:w w:val="105"/>
        </w:rPr>
        <w:t xml:space="preserve"> </w:t>
      </w:r>
      <w:r w:rsidRPr="00283806">
        <w:rPr>
          <w:w w:val="105"/>
        </w:rPr>
        <w:t>do</w:t>
      </w:r>
      <w:r w:rsidRPr="00283806">
        <w:rPr>
          <w:spacing w:val="40"/>
          <w:w w:val="105"/>
        </w:rPr>
        <w:t xml:space="preserve"> </w:t>
      </w:r>
      <w:r w:rsidRPr="00283806">
        <w:rPr>
          <w:w w:val="105"/>
        </w:rPr>
        <w:t>not</w:t>
      </w:r>
      <w:r w:rsidRPr="00283806">
        <w:rPr>
          <w:spacing w:val="40"/>
          <w:w w:val="105"/>
        </w:rPr>
        <w:t xml:space="preserve"> </w:t>
      </w:r>
      <w:r w:rsidRPr="00283806">
        <w:rPr>
          <w:w w:val="105"/>
        </w:rPr>
        <w:t>like</w:t>
      </w:r>
      <w:r w:rsidRPr="00283806">
        <w:rPr>
          <w:spacing w:val="40"/>
          <w:w w:val="105"/>
        </w:rPr>
        <w:t xml:space="preserve"> </w:t>
      </w:r>
      <w:r w:rsidRPr="00283806">
        <w:rPr>
          <w:w w:val="105"/>
        </w:rPr>
        <w:t xml:space="preserve">carrying partially empty cylinders on </w:t>
      </w:r>
      <w:proofErr w:type="gramStart"/>
      <w:r w:rsidRPr="00283806">
        <w:rPr>
          <w:w w:val="105"/>
        </w:rPr>
        <w:t>their</w:t>
      </w:r>
      <w:proofErr w:type="gramEnd"/>
    </w:p>
    <w:p w14:paraId="70121C2D" w14:textId="77777777" w:rsidR="00D67C1E" w:rsidRPr="00283806" w:rsidRDefault="001265CA">
      <w:pPr>
        <w:pStyle w:val="BodyText"/>
        <w:spacing w:line="225" w:lineRule="auto"/>
        <w:ind w:right="27"/>
      </w:pPr>
      <w:r w:rsidRPr="00283806">
        <w:rPr>
          <w:w w:val="105"/>
        </w:rPr>
        <w:t>trucks. The commenter asserted that this would lead to a larger number of chronically leaking appliances, not because these appliances are in fact leaking chronically, but rather because</w:t>
      </w:r>
      <w:r w:rsidRPr="00283806">
        <w:rPr>
          <w:spacing w:val="80"/>
          <w:w w:val="105"/>
        </w:rPr>
        <w:t xml:space="preserve"> </w:t>
      </w:r>
      <w:r w:rsidRPr="00283806">
        <w:rPr>
          <w:w w:val="105"/>
        </w:rPr>
        <w:t>of the nature and size of the appliances that would be regulated under the proposed rule.</w:t>
      </w:r>
    </w:p>
    <w:p w14:paraId="01CFDD97" w14:textId="77777777" w:rsidR="00D67C1E" w:rsidRPr="00283806" w:rsidRDefault="001265CA">
      <w:pPr>
        <w:pStyle w:val="BodyText"/>
        <w:spacing w:line="225" w:lineRule="auto"/>
        <w:ind w:right="128" w:firstLine="180"/>
      </w:pPr>
      <w:r w:rsidRPr="00283806">
        <w:rPr>
          <w:rFonts w:ascii="Book Antiqua" w:hAnsi="Book Antiqua"/>
          <w:i/>
          <w:w w:val="105"/>
        </w:rPr>
        <w:t xml:space="preserve">Response: </w:t>
      </w:r>
      <w:r w:rsidRPr="00283806">
        <w:rPr>
          <w:w w:val="105"/>
        </w:rPr>
        <w:t xml:space="preserve">EPA views the chronic leak reports as necessary to </w:t>
      </w:r>
      <w:proofErr w:type="gramStart"/>
      <w:r w:rsidRPr="00283806">
        <w:rPr>
          <w:w w:val="105"/>
        </w:rPr>
        <w:t>supporting</w:t>
      </w:r>
      <w:proofErr w:type="gramEnd"/>
      <w:r w:rsidRPr="00283806">
        <w:rPr>
          <w:w w:val="105"/>
        </w:rPr>
        <w:t xml:space="preserve"> the Agency’s efforts to reduce emissions of refrigerants from appliances. EPA does not view an increase in chronic leak</w:t>
      </w:r>
    </w:p>
    <w:p w14:paraId="1E74AB6C" w14:textId="77777777" w:rsidR="00D67C1E" w:rsidRPr="00283806" w:rsidRDefault="001265CA">
      <w:pPr>
        <w:pStyle w:val="BodyText"/>
        <w:spacing w:before="136" w:line="225" w:lineRule="auto"/>
        <w:ind w:left="144"/>
      </w:pPr>
      <w:r w:rsidRPr="00283806">
        <w:br w:type="column"/>
      </w:r>
      <w:r w:rsidRPr="00283806">
        <w:rPr>
          <w:w w:val="105"/>
        </w:rPr>
        <w:t>reporting for appliances below 50 pounds negatively because the Agency wants to ascertain issues with refrigerant-containing appliances and better understand why such appliances at all charge sizes are chronically</w:t>
      </w:r>
      <w:r w:rsidRPr="00283806">
        <w:rPr>
          <w:spacing w:val="80"/>
          <w:w w:val="105"/>
        </w:rPr>
        <w:t xml:space="preserve"> </w:t>
      </w:r>
      <w:r w:rsidRPr="00283806">
        <w:rPr>
          <w:w w:val="105"/>
        </w:rPr>
        <w:t>leaking. For example, as the commenter stated some appliances with small</w:t>
      </w:r>
      <w:r w:rsidRPr="00283806">
        <w:rPr>
          <w:spacing w:val="40"/>
          <w:w w:val="105"/>
        </w:rPr>
        <w:t xml:space="preserve"> </w:t>
      </w:r>
      <w:r w:rsidRPr="00283806">
        <w:rPr>
          <w:w w:val="105"/>
        </w:rPr>
        <w:t>charge sizes lose their full charge very quickly, and the Agency wants to know why</w:t>
      </w:r>
      <w:r w:rsidRPr="00283806">
        <w:rPr>
          <w:spacing w:val="40"/>
          <w:w w:val="105"/>
        </w:rPr>
        <w:t xml:space="preserve"> </w:t>
      </w:r>
      <w:r w:rsidRPr="00283806">
        <w:rPr>
          <w:w w:val="105"/>
        </w:rPr>
        <w:t>these</w:t>
      </w:r>
      <w:r w:rsidRPr="00283806">
        <w:rPr>
          <w:spacing w:val="40"/>
          <w:w w:val="105"/>
        </w:rPr>
        <w:t xml:space="preserve"> </w:t>
      </w:r>
      <w:r w:rsidRPr="00283806">
        <w:rPr>
          <w:w w:val="105"/>
        </w:rPr>
        <w:t>appliances</w:t>
      </w:r>
      <w:r w:rsidRPr="00283806">
        <w:rPr>
          <w:spacing w:val="40"/>
          <w:w w:val="105"/>
        </w:rPr>
        <w:t xml:space="preserve"> </w:t>
      </w:r>
      <w:r w:rsidRPr="00283806">
        <w:rPr>
          <w:w w:val="105"/>
        </w:rPr>
        <w:t>are</w:t>
      </w:r>
      <w:r w:rsidRPr="00283806">
        <w:rPr>
          <w:spacing w:val="40"/>
          <w:w w:val="105"/>
        </w:rPr>
        <w:t xml:space="preserve"> </w:t>
      </w:r>
      <w:r w:rsidRPr="00283806">
        <w:rPr>
          <w:w w:val="105"/>
        </w:rPr>
        <w:t>leaking</w:t>
      </w:r>
      <w:r w:rsidRPr="00283806">
        <w:rPr>
          <w:spacing w:val="40"/>
          <w:w w:val="105"/>
        </w:rPr>
        <w:t xml:space="preserve"> </w:t>
      </w:r>
      <w:r w:rsidRPr="00283806">
        <w:rPr>
          <w:w w:val="105"/>
        </w:rPr>
        <w:t>at such a high rate and what owners or operators</w:t>
      </w:r>
      <w:r w:rsidRPr="00283806">
        <w:rPr>
          <w:spacing w:val="-3"/>
          <w:w w:val="105"/>
        </w:rPr>
        <w:t xml:space="preserve"> </w:t>
      </w:r>
      <w:r w:rsidRPr="00283806">
        <w:rPr>
          <w:w w:val="105"/>
        </w:rPr>
        <w:t>are</w:t>
      </w:r>
      <w:r w:rsidRPr="00283806">
        <w:rPr>
          <w:spacing w:val="-3"/>
          <w:w w:val="105"/>
        </w:rPr>
        <w:t xml:space="preserve"> </w:t>
      </w:r>
      <w:r w:rsidRPr="00283806">
        <w:rPr>
          <w:w w:val="105"/>
        </w:rPr>
        <w:t>doing</w:t>
      </w:r>
      <w:r w:rsidRPr="00283806">
        <w:rPr>
          <w:spacing w:val="-3"/>
          <w:w w:val="105"/>
        </w:rPr>
        <w:t xml:space="preserve"> </w:t>
      </w:r>
      <w:r w:rsidRPr="00283806">
        <w:rPr>
          <w:w w:val="105"/>
        </w:rPr>
        <w:t>to</w:t>
      </w:r>
      <w:r w:rsidRPr="00283806">
        <w:rPr>
          <w:spacing w:val="-3"/>
          <w:w w:val="105"/>
        </w:rPr>
        <w:t xml:space="preserve"> </w:t>
      </w:r>
      <w:r w:rsidRPr="00283806">
        <w:rPr>
          <w:w w:val="105"/>
        </w:rPr>
        <w:t>repair</w:t>
      </w:r>
      <w:r w:rsidRPr="00283806">
        <w:rPr>
          <w:spacing w:val="-3"/>
          <w:w w:val="105"/>
        </w:rPr>
        <w:t xml:space="preserve"> </w:t>
      </w:r>
      <w:r w:rsidRPr="00283806">
        <w:rPr>
          <w:w w:val="105"/>
        </w:rPr>
        <w:t>the</w:t>
      </w:r>
      <w:r w:rsidRPr="00283806">
        <w:rPr>
          <w:spacing w:val="-3"/>
          <w:w w:val="105"/>
        </w:rPr>
        <w:t xml:space="preserve"> </w:t>
      </w:r>
      <w:r w:rsidRPr="00283806">
        <w:rPr>
          <w:w w:val="105"/>
        </w:rPr>
        <w:t>leaks</w:t>
      </w:r>
      <w:r w:rsidRPr="00283806">
        <w:rPr>
          <w:spacing w:val="-3"/>
          <w:w w:val="105"/>
        </w:rPr>
        <w:t xml:space="preserve"> </w:t>
      </w:r>
      <w:r w:rsidRPr="00283806">
        <w:rPr>
          <w:w w:val="105"/>
        </w:rPr>
        <w:t>to ensure that the appliances are no longer chronically leaking. The Agency</w:t>
      </w:r>
      <w:r w:rsidRPr="00283806">
        <w:rPr>
          <w:spacing w:val="40"/>
          <w:w w:val="105"/>
        </w:rPr>
        <w:t xml:space="preserve"> </w:t>
      </w:r>
      <w:r w:rsidRPr="00283806">
        <w:rPr>
          <w:w w:val="105"/>
        </w:rPr>
        <w:t>disagrees that these appliances would not be considered chronically leaking because of their size or the way they are serviced. EPA also notes that the commenter’s description of servicing a small appliance is concerning because</w:t>
      </w:r>
      <w:r w:rsidRPr="00283806">
        <w:rPr>
          <w:spacing w:val="40"/>
          <w:w w:val="105"/>
        </w:rPr>
        <w:t xml:space="preserve"> </w:t>
      </w:r>
      <w:r w:rsidRPr="00283806">
        <w:rPr>
          <w:w w:val="105"/>
        </w:rPr>
        <w:t>the overcharging of an appliance may lead to additional issues with leaks. It</w:t>
      </w:r>
    </w:p>
    <w:p w14:paraId="7CE0FF3D" w14:textId="77777777" w:rsidR="00D67C1E" w:rsidRPr="00283806" w:rsidRDefault="001265CA">
      <w:pPr>
        <w:pStyle w:val="BodyText"/>
        <w:spacing w:line="225" w:lineRule="auto"/>
        <w:ind w:left="144" w:right="59"/>
      </w:pPr>
      <w:proofErr w:type="gramStart"/>
      <w:r w:rsidRPr="00283806">
        <w:rPr>
          <w:w w:val="105"/>
        </w:rPr>
        <w:t>is</w:t>
      </w:r>
      <w:proofErr w:type="gramEnd"/>
      <w:r w:rsidRPr="00283806">
        <w:rPr>
          <w:w w:val="105"/>
        </w:rPr>
        <w:t xml:space="preserve"> unclear from the commenter’s description why a technician would potentially overcharge a system simply to avoid having to carry partial</w:t>
      </w:r>
      <w:r w:rsidRPr="00283806">
        <w:rPr>
          <w:spacing w:val="40"/>
          <w:w w:val="105"/>
        </w:rPr>
        <w:t xml:space="preserve"> </w:t>
      </w:r>
      <w:r w:rsidRPr="00283806">
        <w:rPr>
          <w:w w:val="105"/>
        </w:rPr>
        <w:t>cylinders. Regardless of the</w:t>
      </w:r>
      <w:r w:rsidRPr="00283806">
        <w:rPr>
          <w:spacing w:val="80"/>
          <w:w w:val="105"/>
        </w:rPr>
        <w:t xml:space="preserve"> </w:t>
      </w:r>
      <w:r w:rsidRPr="00283806">
        <w:rPr>
          <w:w w:val="105"/>
        </w:rPr>
        <w:t>commenter’s example, any appliance leaking more than 125 percent of its full charge in one year is subject to the final rule’s chronic leak reporting.</w:t>
      </w:r>
    </w:p>
    <w:p w14:paraId="5EACB00F" w14:textId="77777777" w:rsidR="00D67C1E" w:rsidRPr="00283806" w:rsidRDefault="001265CA">
      <w:pPr>
        <w:pStyle w:val="ListParagraph"/>
        <w:numPr>
          <w:ilvl w:val="0"/>
          <w:numId w:val="55"/>
        </w:numPr>
        <w:tabs>
          <w:tab w:val="left" w:pos="302"/>
          <w:tab w:val="left" w:pos="324"/>
        </w:tabs>
        <w:spacing w:before="27" w:line="260" w:lineRule="atLeast"/>
        <w:ind w:left="324" w:right="587" w:hanging="180"/>
        <w:rPr>
          <w:sz w:val="18"/>
        </w:rPr>
      </w:pPr>
      <w:r w:rsidRPr="00283806">
        <w:rPr>
          <w:w w:val="105"/>
          <w:sz w:val="18"/>
        </w:rPr>
        <w:t>Retrofit and Retirement Plans EPA is finalizing aspects of the</w:t>
      </w:r>
    </w:p>
    <w:p w14:paraId="21EB14AE" w14:textId="77777777" w:rsidR="00D67C1E" w:rsidRPr="00283806" w:rsidRDefault="001265CA">
      <w:pPr>
        <w:pStyle w:val="BodyText"/>
        <w:spacing w:before="1" w:line="225" w:lineRule="auto"/>
        <w:ind w:left="144" w:right="5"/>
      </w:pPr>
      <w:r w:rsidRPr="00283806">
        <w:rPr>
          <w:w w:val="105"/>
        </w:rPr>
        <w:t>proposed retrofit and retirement plan provision, with modifications after consideration of the comments and information received on the proposed rule. EPA is requiring the development</w:t>
      </w:r>
      <w:r w:rsidRPr="00283806">
        <w:rPr>
          <w:spacing w:val="40"/>
          <w:w w:val="105"/>
        </w:rPr>
        <w:t xml:space="preserve"> </w:t>
      </w:r>
      <w:r w:rsidRPr="00283806">
        <w:rPr>
          <w:w w:val="105"/>
        </w:rPr>
        <w:t>of retrofit and retirement plans for refrigerant-containing appliances that contain HFCs and certain substitutes for HFCs, where leaks cannot be repaired,</w:t>
      </w:r>
      <w:r w:rsidRPr="00283806">
        <w:rPr>
          <w:spacing w:val="80"/>
          <w:w w:val="105"/>
        </w:rPr>
        <w:t xml:space="preserve"> </w:t>
      </w:r>
      <w:r w:rsidRPr="00283806">
        <w:rPr>
          <w:w w:val="105"/>
        </w:rPr>
        <w:t>or when an owner or operator chooses</w:t>
      </w:r>
      <w:r w:rsidRPr="00283806">
        <w:rPr>
          <w:spacing w:val="40"/>
          <w:w w:val="105"/>
        </w:rPr>
        <w:t xml:space="preserve"> </w:t>
      </w:r>
      <w:r w:rsidRPr="00283806">
        <w:rPr>
          <w:w w:val="105"/>
        </w:rPr>
        <w:t>to retrofit or retire an appliance rather than repair a leak. As further discussed</w:t>
      </w:r>
      <w:r w:rsidRPr="00283806">
        <w:rPr>
          <w:spacing w:val="40"/>
          <w:w w:val="105"/>
        </w:rPr>
        <w:t xml:space="preserve"> </w:t>
      </w:r>
      <w:r w:rsidRPr="00283806">
        <w:rPr>
          <w:w w:val="105"/>
        </w:rPr>
        <w:t>in</w:t>
      </w:r>
      <w:r w:rsidRPr="00283806">
        <w:rPr>
          <w:spacing w:val="35"/>
          <w:w w:val="105"/>
        </w:rPr>
        <w:t xml:space="preserve"> </w:t>
      </w:r>
      <w:r w:rsidRPr="00283806">
        <w:rPr>
          <w:w w:val="105"/>
        </w:rPr>
        <w:t>section</w:t>
      </w:r>
      <w:r w:rsidRPr="00283806">
        <w:rPr>
          <w:spacing w:val="35"/>
          <w:w w:val="105"/>
        </w:rPr>
        <w:t xml:space="preserve"> </w:t>
      </w:r>
      <w:r w:rsidRPr="00283806">
        <w:rPr>
          <w:w w:val="105"/>
        </w:rPr>
        <w:t>IV.A.2</w:t>
      </w:r>
      <w:r w:rsidRPr="00283806">
        <w:rPr>
          <w:spacing w:val="35"/>
          <w:w w:val="105"/>
        </w:rPr>
        <w:t xml:space="preserve"> </w:t>
      </w:r>
      <w:r w:rsidRPr="00283806">
        <w:rPr>
          <w:w w:val="105"/>
        </w:rPr>
        <w:t>of</w:t>
      </w:r>
      <w:r w:rsidRPr="00283806">
        <w:rPr>
          <w:spacing w:val="35"/>
          <w:w w:val="105"/>
        </w:rPr>
        <w:t xml:space="preserve"> </w:t>
      </w:r>
      <w:r w:rsidRPr="00283806">
        <w:rPr>
          <w:w w:val="105"/>
        </w:rPr>
        <w:t>this</w:t>
      </w:r>
      <w:r w:rsidRPr="00283806">
        <w:rPr>
          <w:spacing w:val="35"/>
          <w:w w:val="105"/>
        </w:rPr>
        <w:t xml:space="preserve"> </w:t>
      </w:r>
      <w:r w:rsidRPr="00283806">
        <w:rPr>
          <w:w w:val="105"/>
        </w:rPr>
        <w:t>preamble,</w:t>
      </w:r>
      <w:r w:rsidRPr="00283806">
        <w:rPr>
          <w:spacing w:val="35"/>
          <w:w w:val="105"/>
        </w:rPr>
        <w:t xml:space="preserve"> </w:t>
      </w:r>
      <w:r w:rsidRPr="00283806">
        <w:rPr>
          <w:w w:val="105"/>
        </w:rPr>
        <w:t>EPA is not finalizing the aspect of the proposed definition of retrofit that</w:t>
      </w:r>
      <w:r w:rsidRPr="00283806">
        <w:rPr>
          <w:spacing w:val="40"/>
          <w:w w:val="105"/>
        </w:rPr>
        <w:t xml:space="preserve"> </w:t>
      </w:r>
      <w:r w:rsidRPr="00283806">
        <w:rPr>
          <w:w w:val="105"/>
        </w:rPr>
        <w:t>would require that a retrofit be to a lower-GWP alternative than the original refrigerant; thus, the final rule allows</w:t>
      </w:r>
      <w:r w:rsidRPr="00283806">
        <w:rPr>
          <w:spacing w:val="80"/>
          <w:w w:val="105"/>
        </w:rPr>
        <w:t xml:space="preserve"> </w:t>
      </w:r>
      <w:r w:rsidRPr="00283806">
        <w:rPr>
          <w:w w:val="105"/>
        </w:rPr>
        <w:t xml:space="preserve">the retrofit of refrigerant-containing appliances to a refrigerant that does not have a lower-GWP than the original refrigerant. This determination is based on consideration of the potential compliance burden of requiring retrofits to lower-GWP refrigerants for certain appliances subject to the leak repair provision. However, the Agency encourages owner/operators to choose lower-GWP options when considering </w:t>
      </w:r>
      <w:r w:rsidRPr="00283806">
        <w:rPr>
          <w:spacing w:val="-2"/>
          <w:w w:val="105"/>
        </w:rPr>
        <w:t>retrofits.</w:t>
      </w:r>
    </w:p>
    <w:p w14:paraId="528519E5" w14:textId="77777777" w:rsidR="00D67C1E" w:rsidRPr="00283806" w:rsidRDefault="001265CA">
      <w:pPr>
        <w:pStyle w:val="BodyText"/>
        <w:spacing w:line="228" w:lineRule="auto"/>
        <w:ind w:left="144" w:right="77" w:firstLine="180"/>
      </w:pPr>
      <w:r w:rsidRPr="00283806">
        <w:rPr>
          <w:w w:val="105"/>
        </w:rPr>
        <w:t>The final rule provides the details on the timing for creating a retrofit or retirement</w:t>
      </w:r>
      <w:r w:rsidRPr="00283806">
        <w:rPr>
          <w:spacing w:val="-5"/>
          <w:w w:val="105"/>
        </w:rPr>
        <w:t xml:space="preserve"> </w:t>
      </w:r>
      <w:r w:rsidRPr="00283806">
        <w:rPr>
          <w:w w:val="105"/>
        </w:rPr>
        <w:t>plan</w:t>
      </w:r>
      <w:r w:rsidRPr="00283806">
        <w:rPr>
          <w:spacing w:val="-5"/>
          <w:w w:val="105"/>
        </w:rPr>
        <w:t xml:space="preserve"> </w:t>
      </w:r>
      <w:r w:rsidRPr="00283806">
        <w:rPr>
          <w:w w:val="105"/>
        </w:rPr>
        <w:t>for</w:t>
      </w:r>
      <w:r w:rsidRPr="00283806">
        <w:rPr>
          <w:spacing w:val="-5"/>
          <w:w w:val="105"/>
        </w:rPr>
        <w:t xml:space="preserve"> </w:t>
      </w:r>
      <w:proofErr w:type="gramStart"/>
      <w:r w:rsidRPr="00283806">
        <w:rPr>
          <w:w w:val="105"/>
        </w:rPr>
        <w:t>covered</w:t>
      </w:r>
      <w:proofErr w:type="gramEnd"/>
      <w:r w:rsidRPr="00283806">
        <w:rPr>
          <w:spacing w:val="-5"/>
          <w:w w:val="105"/>
        </w:rPr>
        <w:t xml:space="preserve"> </w:t>
      </w:r>
      <w:r w:rsidRPr="00283806">
        <w:rPr>
          <w:w w:val="105"/>
        </w:rPr>
        <w:t>refrigerant- containing appliances, and what must</w:t>
      </w:r>
    </w:p>
    <w:p w14:paraId="573F595B" w14:textId="77777777" w:rsidR="00D67C1E" w:rsidRPr="00283806" w:rsidRDefault="001265CA">
      <w:pPr>
        <w:pStyle w:val="BodyText"/>
        <w:spacing w:before="135" w:line="225" w:lineRule="auto"/>
        <w:ind w:right="199"/>
      </w:pPr>
      <w:r w:rsidRPr="00283806">
        <w:br w:type="column"/>
      </w:r>
      <w:r w:rsidRPr="00283806">
        <w:rPr>
          <w:w w:val="105"/>
        </w:rPr>
        <w:t xml:space="preserve">be contained in a retrofit or retirement plan. EPA is </w:t>
      </w:r>
      <w:proofErr w:type="gramStart"/>
      <w:r w:rsidRPr="00283806">
        <w:rPr>
          <w:w w:val="105"/>
        </w:rPr>
        <w:t>requiring</w:t>
      </w:r>
      <w:proofErr w:type="gramEnd"/>
      <w:r w:rsidRPr="00283806">
        <w:rPr>
          <w:w w:val="105"/>
        </w:rPr>
        <w:t xml:space="preserve"> that a retrofit or retirement plan be created within 30 days of certain scenarios. The Agency understands this timing is sufficient for an owner or operator to either attempt to repair the leak with all the necessary requirements as described in section</w:t>
      </w:r>
    </w:p>
    <w:p w14:paraId="3453D8DE" w14:textId="77777777" w:rsidR="00D67C1E" w:rsidRPr="00283806" w:rsidRDefault="001265CA">
      <w:pPr>
        <w:pStyle w:val="ListParagraph"/>
        <w:numPr>
          <w:ilvl w:val="3"/>
          <w:numId w:val="56"/>
        </w:numPr>
        <w:tabs>
          <w:tab w:val="left" w:pos="868"/>
        </w:tabs>
        <w:spacing w:line="225" w:lineRule="auto"/>
        <w:ind w:right="122" w:firstLine="0"/>
        <w:rPr>
          <w:sz w:val="18"/>
        </w:rPr>
      </w:pPr>
      <w:r w:rsidRPr="00283806">
        <w:rPr>
          <w:w w:val="105"/>
          <w:sz w:val="18"/>
        </w:rPr>
        <w:t>of this preamble or make a business decision to directly begin the retrofit or retirement process. It is necessary to cap this timing requirement to minimize emissions from leaks in the case where an owner or operator fails to take any action after finding that their applicable refrigerant-containing appliance</w:t>
      </w:r>
      <w:r w:rsidRPr="00283806">
        <w:rPr>
          <w:spacing w:val="40"/>
          <w:w w:val="105"/>
          <w:sz w:val="18"/>
        </w:rPr>
        <w:t xml:space="preserve"> </w:t>
      </w:r>
      <w:r w:rsidRPr="00283806">
        <w:rPr>
          <w:w w:val="105"/>
          <w:sz w:val="18"/>
        </w:rPr>
        <w:t>is</w:t>
      </w:r>
      <w:r w:rsidRPr="00283806">
        <w:rPr>
          <w:spacing w:val="40"/>
          <w:w w:val="105"/>
          <w:sz w:val="18"/>
        </w:rPr>
        <w:t xml:space="preserve"> </w:t>
      </w:r>
      <w:r w:rsidRPr="00283806">
        <w:rPr>
          <w:w w:val="105"/>
          <w:sz w:val="18"/>
        </w:rPr>
        <w:t>leaking</w:t>
      </w:r>
      <w:r w:rsidRPr="00283806">
        <w:rPr>
          <w:spacing w:val="40"/>
          <w:w w:val="105"/>
          <w:sz w:val="18"/>
        </w:rPr>
        <w:t xml:space="preserve"> </w:t>
      </w:r>
      <w:r w:rsidRPr="00283806">
        <w:rPr>
          <w:w w:val="105"/>
          <w:sz w:val="18"/>
        </w:rPr>
        <w:t>above</w:t>
      </w:r>
      <w:r w:rsidRPr="00283806">
        <w:rPr>
          <w:spacing w:val="40"/>
          <w:w w:val="105"/>
          <w:sz w:val="18"/>
        </w:rPr>
        <w:t xml:space="preserve"> </w:t>
      </w:r>
      <w:r w:rsidRPr="00283806">
        <w:rPr>
          <w:w w:val="105"/>
          <w:sz w:val="18"/>
        </w:rPr>
        <w:t>the applicable leak threshold. After 30 days, the owner or operator must begin developing a retrofit or retirement plan. The</w:t>
      </w:r>
      <w:r w:rsidRPr="00283806">
        <w:rPr>
          <w:spacing w:val="40"/>
          <w:w w:val="105"/>
          <w:sz w:val="18"/>
        </w:rPr>
        <w:t xml:space="preserve"> </w:t>
      </w:r>
      <w:r w:rsidRPr="00283806">
        <w:rPr>
          <w:w w:val="105"/>
          <w:sz w:val="18"/>
        </w:rPr>
        <w:t>following</w:t>
      </w:r>
      <w:r w:rsidRPr="00283806">
        <w:rPr>
          <w:spacing w:val="40"/>
          <w:w w:val="105"/>
          <w:sz w:val="18"/>
        </w:rPr>
        <w:t xml:space="preserve"> </w:t>
      </w:r>
      <w:r w:rsidRPr="00283806">
        <w:rPr>
          <w:w w:val="105"/>
          <w:sz w:val="18"/>
        </w:rPr>
        <w:t>scenarios</w:t>
      </w:r>
      <w:r w:rsidRPr="00283806">
        <w:rPr>
          <w:spacing w:val="40"/>
          <w:w w:val="105"/>
          <w:sz w:val="18"/>
        </w:rPr>
        <w:t xml:space="preserve"> </w:t>
      </w:r>
      <w:r w:rsidRPr="00283806">
        <w:rPr>
          <w:w w:val="105"/>
          <w:sz w:val="18"/>
        </w:rPr>
        <w:t>describe</w:t>
      </w:r>
      <w:r w:rsidRPr="00283806">
        <w:rPr>
          <w:spacing w:val="40"/>
          <w:w w:val="105"/>
          <w:sz w:val="18"/>
        </w:rPr>
        <w:t xml:space="preserve"> </w:t>
      </w:r>
      <w:r w:rsidRPr="00283806">
        <w:rPr>
          <w:w w:val="105"/>
          <w:sz w:val="18"/>
        </w:rPr>
        <w:t xml:space="preserve">when a retrofit or retirement plan must be </w:t>
      </w:r>
      <w:r w:rsidRPr="00283806">
        <w:rPr>
          <w:spacing w:val="-2"/>
          <w:w w:val="105"/>
          <w:sz w:val="18"/>
        </w:rPr>
        <w:t>developed:</w:t>
      </w:r>
    </w:p>
    <w:p w14:paraId="0FB38A34" w14:textId="77777777" w:rsidR="00D67C1E" w:rsidRPr="00283806" w:rsidRDefault="001265CA">
      <w:pPr>
        <w:pStyle w:val="ListParagraph"/>
        <w:numPr>
          <w:ilvl w:val="4"/>
          <w:numId w:val="56"/>
        </w:numPr>
        <w:tabs>
          <w:tab w:val="left" w:pos="522"/>
        </w:tabs>
        <w:spacing w:line="175" w:lineRule="exact"/>
        <w:ind w:hanging="182"/>
        <w:rPr>
          <w:sz w:val="18"/>
        </w:rPr>
      </w:pPr>
      <w:r w:rsidRPr="00283806">
        <w:rPr>
          <w:sz w:val="18"/>
        </w:rPr>
        <w:t>A</w:t>
      </w:r>
      <w:r w:rsidRPr="00283806">
        <w:rPr>
          <w:spacing w:val="56"/>
          <w:sz w:val="18"/>
        </w:rPr>
        <w:t xml:space="preserve"> </w:t>
      </w:r>
      <w:r w:rsidRPr="00283806">
        <w:rPr>
          <w:sz w:val="18"/>
        </w:rPr>
        <w:t>refrigerant-containing</w:t>
      </w:r>
      <w:r w:rsidRPr="00283806">
        <w:rPr>
          <w:spacing w:val="57"/>
          <w:sz w:val="18"/>
        </w:rPr>
        <w:t xml:space="preserve"> </w:t>
      </w:r>
      <w:r w:rsidRPr="00283806">
        <w:rPr>
          <w:spacing w:val="-2"/>
          <w:sz w:val="18"/>
        </w:rPr>
        <w:t>appliance</w:t>
      </w:r>
    </w:p>
    <w:p w14:paraId="75C9A04A" w14:textId="77777777" w:rsidR="00D67C1E" w:rsidRPr="00283806" w:rsidRDefault="001265CA">
      <w:pPr>
        <w:pStyle w:val="BodyText"/>
        <w:spacing w:before="1" w:line="225" w:lineRule="auto"/>
        <w:ind w:right="154"/>
      </w:pPr>
      <w:r w:rsidRPr="00283806">
        <w:rPr>
          <w:w w:val="105"/>
        </w:rPr>
        <w:t>is leaking above the applicable leak rate, and the owner or operator intends to retrofit or retire the appliance rather than repair the leak;</w:t>
      </w:r>
    </w:p>
    <w:p w14:paraId="531727F3" w14:textId="77777777" w:rsidR="00D67C1E" w:rsidRPr="00283806" w:rsidRDefault="001265CA">
      <w:pPr>
        <w:pStyle w:val="ListParagraph"/>
        <w:numPr>
          <w:ilvl w:val="4"/>
          <w:numId w:val="56"/>
        </w:numPr>
        <w:tabs>
          <w:tab w:val="left" w:pos="522"/>
        </w:tabs>
        <w:spacing w:line="179" w:lineRule="exact"/>
        <w:ind w:hanging="182"/>
        <w:rPr>
          <w:sz w:val="18"/>
        </w:rPr>
      </w:pPr>
      <w:r w:rsidRPr="00283806">
        <w:rPr>
          <w:sz w:val="18"/>
        </w:rPr>
        <w:t>A</w:t>
      </w:r>
      <w:r w:rsidRPr="00283806">
        <w:rPr>
          <w:spacing w:val="56"/>
          <w:sz w:val="18"/>
        </w:rPr>
        <w:t xml:space="preserve"> </w:t>
      </w:r>
      <w:r w:rsidRPr="00283806">
        <w:rPr>
          <w:sz w:val="18"/>
        </w:rPr>
        <w:t>refrigerant-containing</w:t>
      </w:r>
      <w:r w:rsidRPr="00283806">
        <w:rPr>
          <w:spacing w:val="57"/>
          <w:sz w:val="18"/>
        </w:rPr>
        <w:t xml:space="preserve"> </w:t>
      </w:r>
      <w:r w:rsidRPr="00283806">
        <w:rPr>
          <w:spacing w:val="-2"/>
          <w:sz w:val="18"/>
        </w:rPr>
        <w:t>appliance</w:t>
      </w:r>
    </w:p>
    <w:p w14:paraId="3A6472DD" w14:textId="77777777" w:rsidR="00D67C1E" w:rsidRPr="00283806" w:rsidRDefault="001265CA">
      <w:pPr>
        <w:pStyle w:val="BodyText"/>
        <w:spacing w:before="4" w:line="225" w:lineRule="auto"/>
        <w:ind w:right="154"/>
      </w:pPr>
      <w:r w:rsidRPr="00283806">
        <w:rPr>
          <w:w w:val="105"/>
        </w:rPr>
        <w:t>is leaking above the applicable leak rate, and the owner or operator fails to take action to identify or repair the leak; or</w:t>
      </w:r>
    </w:p>
    <w:p w14:paraId="3A975D1B" w14:textId="77777777" w:rsidR="00D67C1E" w:rsidRPr="00283806" w:rsidRDefault="001265CA">
      <w:pPr>
        <w:pStyle w:val="ListParagraph"/>
        <w:numPr>
          <w:ilvl w:val="4"/>
          <w:numId w:val="56"/>
        </w:numPr>
        <w:tabs>
          <w:tab w:val="left" w:pos="522"/>
        </w:tabs>
        <w:spacing w:line="179" w:lineRule="exact"/>
        <w:ind w:hanging="182"/>
        <w:rPr>
          <w:sz w:val="18"/>
        </w:rPr>
      </w:pPr>
      <w:r w:rsidRPr="00283806">
        <w:rPr>
          <w:sz w:val="18"/>
        </w:rPr>
        <w:t>A</w:t>
      </w:r>
      <w:r w:rsidRPr="00283806">
        <w:rPr>
          <w:spacing w:val="56"/>
          <w:sz w:val="18"/>
        </w:rPr>
        <w:t xml:space="preserve"> </w:t>
      </w:r>
      <w:r w:rsidRPr="00283806">
        <w:rPr>
          <w:sz w:val="18"/>
        </w:rPr>
        <w:t>refrigerant-containing</w:t>
      </w:r>
      <w:r w:rsidRPr="00283806">
        <w:rPr>
          <w:spacing w:val="57"/>
          <w:sz w:val="18"/>
        </w:rPr>
        <w:t xml:space="preserve"> </w:t>
      </w:r>
      <w:r w:rsidRPr="00283806">
        <w:rPr>
          <w:spacing w:val="-2"/>
          <w:sz w:val="18"/>
        </w:rPr>
        <w:t>appliance</w:t>
      </w:r>
    </w:p>
    <w:p w14:paraId="5BDB9FF6" w14:textId="77777777" w:rsidR="00D67C1E" w:rsidRPr="00283806" w:rsidRDefault="001265CA">
      <w:pPr>
        <w:pStyle w:val="BodyText"/>
        <w:spacing w:before="4" w:line="225" w:lineRule="auto"/>
        <w:ind w:right="252"/>
      </w:pPr>
      <w:r w:rsidRPr="00283806">
        <w:rPr>
          <w:w w:val="105"/>
        </w:rPr>
        <w:t>is continuing to leak above the applicable leak rate after an attempted leak repair and verification testing.</w:t>
      </w:r>
    </w:p>
    <w:p w14:paraId="13948154" w14:textId="77777777" w:rsidR="00D67C1E" w:rsidRPr="00283806" w:rsidRDefault="001265CA">
      <w:pPr>
        <w:pStyle w:val="BodyText"/>
        <w:spacing w:line="179" w:lineRule="exact"/>
        <w:ind w:left="340"/>
      </w:pPr>
      <w:r w:rsidRPr="00283806">
        <w:rPr>
          <w:w w:val="105"/>
        </w:rPr>
        <w:t>EPA</w:t>
      </w:r>
      <w:r w:rsidRPr="00283806">
        <w:rPr>
          <w:spacing w:val="6"/>
          <w:w w:val="105"/>
        </w:rPr>
        <w:t xml:space="preserve"> </w:t>
      </w:r>
      <w:proofErr w:type="gramStart"/>
      <w:r w:rsidRPr="00283806">
        <w:rPr>
          <w:w w:val="105"/>
        </w:rPr>
        <w:t>is</w:t>
      </w:r>
      <w:r w:rsidRPr="00283806">
        <w:rPr>
          <w:spacing w:val="7"/>
          <w:w w:val="105"/>
        </w:rPr>
        <w:t xml:space="preserve"> </w:t>
      </w:r>
      <w:r w:rsidRPr="00283806">
        <w:rPr>
          <w:w w:val="105"/>
        </w:rPr>
        <w:t>requiring</w:t>
      </w:r>
      <w:r w:rsidRPr="00283806">
        <w:rPr>
          <w:spacing w:val="6"/>
          <w:w w:val="105"/>
        </w:rPr>
        <w:t xml:space="preserve"> </w:t>
      </w:r>
      <w:r w:rsidRPr="00283806">
        <w:rPr>
          <w:w w:val="105"/>
        </w:rPr>
        <w:t>that</w:t>
      </w:r>
      <w:r w:rsidRPr="00283806">
        <w:rPr>
          <w:spacing w:val="7"/>
          <w:w w:val="105"/>
        </w:rPr>
        <w:t xml:space="preserve"> </w:t>
      </w:r>
      <w:r w:rsidRPr="00283806">
        <w:rPr>
          <w:w w:val="105"/>
        </w:rPr>
        <w:t>the</w:t>
      </w:r>
      <w:proofErr w:type="gramEnd"/>
      <w:r w:rsidRPr="00283806">
        <w:rPr>
          <w:spacing w:val="7"/>
          <w:w w:val="105"/>
        </w:rPr>
        <w:t xml:space="preserve"> </w:t>
      </w:r>
      <w:r w:rsidRPr="00283806">
        <w:rPr>
          <w:w w:val="105"/>
        </w:rPr>
        <w:t>retrofit</w:t>
      </w:r>
      <w:r w:rsidRPr="00283806">
        <w:rPr>
          <w:spacing w:val="6"/>
          <w:w w:val="105"/>
        </w:rPr>
        <w:t xml:space="preserve"> </w:t>
      </w:r>
      <w:r w:rsidRPr="00283806">
        <w:rPr>
          <w:spacing w:val="-5"/>
          <w:w w:val="105"/>
        </w:rPr>
        <w:t>or</w:t>
      </w:r>
    </w:p>
    <w:p w14:paraId="433228A4" w14:textId="77777777" w:rsidR="00D67C1E" w:rsidRPr="00283806" w:rsidRDefault="001265CA">
      <w:pPr>
        <w:pStyle w:val="BodyText"/>
        <w:spacing w:before="3" w:line="225" w:lineRule="auto"/>
        <w:ind w:right="199"/>
      </w:pPr>
      <w:r w:rsidRPr="00283806">
        <w:rPr>
          <w:w w:val="105"/>
        </w:rPr>
        <w:t>retirement plan include information regarding the location of the appliance, characteristics of the appliance, a procedure for how the appliance will be converted to accommodate a different refrigerant (if the appliance is being retrofitted), plans for the disposition of any recovered refrigerant and the appliance (if the appliance is being retired), and a schedule for the completion of the appliance retrofit or retirement. Characteristics of the appliance that will be retrofitted or retired include the type and full charge</w:t>
      </w:r>
      <w:r w:rsidRPr="00283806">
        <w:rPr>
          <w:spacing w:val="80"/>
          <w:w w:val="105"/>
        </w:rPr>
        <w:t xml:space="preserve"> </w:t>
      </w:r>
      <w:r w:rsidRPr="00283806">
        <w:rPr>
          <w:w w:val="105"/>
        </w:rPr>
        <w:t>of the refrigerant used in the appliance, and for retrofitting, the type and full charge of the refrigerant to which the appliance will be retrofitted. In</w:t>
      </w:r>
      <w:r w:rsidRPr="00283806">
        <w:rPr>
          <w:spacing w:val="40"/>
          <w:w w:val="105"/>
        </w:rPr>
        <w:t xml:space="preserve"> </w:t>
      </w:r>
      <w:r w:rsidRPr="00283806">
        <w:rPr>
          <w:w w:val="105"/>
        </w:rPr>
        <w:t>describing how the appliance will be retrofitted, the owner or operator must include an itemized procedure for converting the appliance to a different refrigerant, including changes required for compatibility. This also includes any changes for compatibility that relate to safety considerations to ensure the</w:t>
      </w:r>
      <w:r w:rsidRPr="00283806">
        <w:rPr>
          <w:spacing w:val="80"/>
          <w:w w:val="105"/>
        </w:rPr>
        <w:t xml:space="preserve"> </w:t>
      </w:r>
      <w:r w:rsidRPr="00283806">
        <w:rPr>
          <w:w w:val="105"/>
        </w:rPr>
        <w:t>safety of technicians and consumers when converting an appliance to a different refrigerant, which further</w:t>
      </w:r>
      <w:r w:rsidRPr="00283806">
        <w:rPr>
          <w:spacing w:val="40"/>
          <w:w w:val="105"/>
        </w:rPr>
        <w:t xml:space="preserve"> </w:t>
      </w:r>
      <w:r w:rsidRPr="00283806">
        <w:rPr>
          <w:w w:val="105"/>
        </w:rPr>
        <w:t xml:space="preserve">serves one of the purposes identified in subsection (h)(1). </w:t>
      </w:r>
      <w:proofErr w:type="gramStart"/>
      <w:r w:rsidRPr="00283806">
        <w:rPr>
          <w:w w:val="105"/>
        </w:rPr>
        <w:t>EPA is also requiring that the</w:t>
      </w:r>
      <w:proofErr w:type="gramEnd"/>
      <w:r w:rsidRPr="00283806">
        <w:rPr>
          <w:w w:val="105"/>
        </w:rPr>
        <w:t xml:space="preserve"> retrofit or retirement </w:t>
      </w:r>
      <w:proofErr w:type="gramStart"/>
      <w:r w:rsidRPr="00283806">
        <w:rPr>
          <w:w w:val="105"/>
        </w:rPr>
        <w:t>plan</w:t>
      </w:r>
      <w:proofErr w:type="gramEnd"/>
      <w:r w:rsidRPr="00283806">
        <w:rPr>
          <w:w w:val="105"/>
        </w:rPr>
        <w:t xml:space="preserve"> must</w:t>
      </w:r>
    </w:p>
    <w:p w14:paraId="764DED19"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6" w:space="40"/>
            <w:col w:w="3469" w:space="55"/>
            <w:col w:w="3640"/>
          </w:cols>
        </w:sectPr>
      </w:pPr>
    </w:p>
    <w:p w14:paraId="268DC9E6" w14:textId="77777777" w:rsidR="00D67C1E" w:rsidRPr="00283806" w:rsidRDefault="001265CA">
      <w:pPr>
        <w:pStyle w:val="BodyText"/>
        <w:spacing w:before="136" w:line="225" w:lineRule="auto"/>
      </w:pPr>
      <w:r w:rsidRPr="00283806">
        <w:rPr>
          <w:w w:val="105"/>
        </w:rPr>
        <w:lastRenderedPageBreak/>
        <w:t>include information on how any recovered refrigerant is being dispositioned. In the case of retiring an appliance, the retirement plan needs to include how the appliance is being disposed of. EPA is establishing that the retrofit or retirement plan must include</w:t>
      </w:r>
      <w:r w:rsidRPr="00283806">
        <w:rPr>
          <w:spacing w:val="80"/>
          <w:w w:val="105"/>
        </w:rPr>
        <w:t xml:space="preserve"> </w:t>
      </w:r>
      <w:r w:rsidRPr="00283806">
        <w:rPr>
          <w:w w:val="105"/>
        </w:rPr>
        <w:t>a schedule for completion of the retrofit or</w:t>
      </w:r>
      <w:r w:rsidRPr="00283806">
        <w:rPr>
          <w:spacing w:val="40"/>
          <w:w w:val="105"/>
        </w:rPr>
        <w:t xml:space="preserve"> </w:t>
      </w:r>
      <w:r w:rsidRPr="00283806">
        <w:rPr>
          <w:w w:val="105"/>
        </w:rPr>
        <w:t>retirement</w:t>
      </w:r>
      <w:r w:rsidRPr="00283806">
        <w:rPr>
          <w:spacing w:val="40"/>
          <w:w w:val="105"/>
        </w:rPr>
        <w:t xml:space="preserve"> </w:t>
      </w:r>
      <w:r w:rsidRPr="00283806">
        <w:rPr>
          <w:w w:val="105"/>
        </w:rPr>
        <w:t>and,</w:t>
      </w:r>
      <w:r w:rsidRPr="00283806">
        <w:rPr>
          <w:spacing w:val="40"/>
          <w:w w:val="105"/>
        </w:rPr>
        <w:t xml:space="preserve"> </w:t>
      </w:r>
      <w:r w:rsidRPr="00283806">
        <w:rPr>
          <w:w w:val="105"/>
        </w:rPr>
        <w:t>unless</w:t>
      </w:r>
      <w:r w:rsidRPr="00283806">
        <w:rPr>
          <w:spacing w:val="40"/>
          <w:w w:val="105"/>
        </w:rPr>
        <w:t xml:space="preserve"> </w:t>
      </w:r>
      <w:r w:rsidRPr="00283806">
        <w:rPr>
          <w:w w:val="105"/>
        </w:rPr>
        <w:t>additional time is granted, that the schedule may</w:t>
      </w:r>
      <w:r w:rsidRPr="00283806">
        <w:rPr>
          <w:spacing w:val="40"/>
          <w:w w:val="105"/>
        </w:rPr>
        <w:t xml:space="preserve"> </w:t>
      </w:r>
      <w:r w:rsidRPr="00283806">
        <w:rPr>
          <w:w w:val="105"/>
        </w:rPr>
        <w:t>not exceed one year of the plan’s date (not to exceed 12 months from when the plan was finalized). Owners or operators may request relief from the provisions of a retrofit or retirement plan if they are able to prove that an appliance is no longer leaking above the applicable leak rate within 180 days of creating the plan and they agree to repair all identified leaks within one year of the plan’s date. The owner or operator is required to submit specified information to EPA, including information regarding leaks in the appliance, descriptions of the work completed/to be completed, and more, per 40 CFR 84.106(h)(5)(ii).</w:t>
      </w:r>
    </w:p>
    <w:p w14:paraId="28875319" w14:textId="77777777" w:rsidR="00D67C1E" w:rsidRPr="00283806" w:rsidRDefault="001265CA">
      <w:pPr>
        <w:pStyle w:val="BodyText"/>
        <w:spacing w:line="171" w:lineRule="exact"/>
        <w:ind w:left="340"/>
      </w:pPr>
      <w:r w:rsidRPr="00283806">
        <w:rPr>
          <w:w w:val="105"/>
        </w:rPr>
        <w:t>For</w:t>
      </w:r>
      <w:r w:rsidRPr="00283806">
        <w:rPr>
          <w:spacing w:val="13"/>
          <w:w w:val="105"/>
        </w:rPr>
        <w:t xml:space="preserve"> </w:t>
      </w:r>
      <w:r w:rsidRPr="00283806">
        <w:rPr>
          <w:w w:val="105"/>
        </w:rPr>
        <w:t>IPR</w:t>
      </w:r>
      <w:r w:rsidRPr="00283806">
        <w:rPr>
          <w:spacing w:val="14"/>
          <w:w w:val="105"/>
        </w:rPr>
        <w:t xml:space="preserve"> </w:t>
      </w:r>
      <w:r w:rsidRPr="00283806">
        <w:rPr>
          <w:w w:val="105"/>
        </w:rPr>
        <w:t>equipment,</w:t>
      </w:r>
      <w:r w:rsidRPr="00283806">
        <w:rPr>
          <w:spacing w:val="14"/>
          <w:w w:val="105"/>
        </w:rPr>
        <w:t xml:space="preserve"> </w:t>
      </w:r>
      <w:r w:rsidRPr="00283806">
        <w:rPr>
          <w:spacing w:val="-2"/>
          <w:w w:val="105"/>
        </w:rPr>
        <w:t>extension</w:t>
      </w:r>
    </w:p>
    <w:p w14:paraId="6A8BB80D" w14:textId="77777777" w:rsidR="00D67C1E" w:rsidRPr="00283806" w:rsidRDefault="001265CA">
      <w:pPr>
        <w:pStyle w:val="BodyText"/>
        <w:spacing w:before="4" w:line="225" w:lineRule="auto"/>
        <w:ind w:left="159"/>
      </w:pPr>
      <w:r w:rsidRPr="00283806">
        <w:rPr>
          <w:w w:val="105"/>
        </w:rPr>
        <w:t>requests are allowed in cases where requirements or other applicable</w:t>
      </w:r>
      <w:r w:rsidRPr="00283806">
        <w:rPr>
          <w:spacing w:val="40"/>
          <w:w w:val="105"/>
        </w:rPr>
        <w:t xml:space="preserve"> </w:t>
      </w:r>
      <w:r w:rsidRPr="00283806">
        <w:rPr>
          <w:w w:val="105"/>
        </w:rPr>
        <w:t>Federal, State, local, or tribal regulations make it impossible to complete the retrofit or retirement within one year. In this case, owners or operators could be permitted additional time to the extent needed to comply with the applicable regulations. EPA is also establishing a provision that allows for extensions to</w:t>
      </w:r>
      <w:r w:rsidRPr="00283806">
        <w:rPr>
          <w:spacing w:val="80"/>
          <w:w w:val="105"/>
        </w:rPr>
        <w:t xml:space="preserve"> </w:t>
      </w:r>
      <w:r w:rsidRPr="00283806">
        <w:rPr>
          <w:w w:val="105"/>
        </w:rPr>
        <w:t>be requested for IPR equipment if the equipment is custom-built and the supplier of the appliance or one of its components has quoted a delivery time</w:t>
      </w:r>
      <w:r w:rsidRPr="00283806">
        <w:rPr>
          <w:spacing w:val="40"/>
          <w:w w:val="105"/>
        </w:rPr>
        <w:t xml:space="preserve"> </w:t>
      </w:r>
      <w:r w:rsidRPr="00283806">
        <w:rPr>
          <w:w w:val="105"/>
        </w:rPr>
        <w:t>of more than 30 weeks. In such cases,</w:t>
      </w:r>
      <w:r w:rsidRPr="00283806">
        <w:rPr>
          <w:spacing w:val="80"/>
          <w:w w:val="150"/>
        </w:rPr>
        <w:t xml:space="preserve"> </w:t>
      </w:r>
      <w:r w:rsidRPr="00283806">
        <w:rPr>
          <w:w w:val="105"/>
        </w:rPr>
        <w:t xml:space="preserve">the appliance or component must be installed within 120 days of receipt. If additional time is needed, the owner or operator would need to submit a request for the additional time to EPA. Further, extensions can be requested to complete a retrofit or retirement if the IPR equipment </w:t>
      </w:r>
      <w:proofErr w:type="gramStart"/>
      <w:r w:rsidRPr="00283806">
        <w:rPr>
          <w:w w:val="105"/>
        </w:rPr>
        <w:t>is located in</w:t>
      </w:r>
      <w:proofErr w:type="gramEnd"/>
      <w:r w:rsidRPr="00283806">
        <w:rPr>
          <w:w w:val="105"/>
        </w:rPr>
        <w:t xml:space="preserve"> an area subject</w:t>
      </w:r>
      <w:r w:rsidRPr="00283806">
        <w:rPr>
          <w:spacing w:val="80"/>
          <w:w w:val="105"/>
        </w:rPr>
        <w:t xml:space="preserve"> </w:t>
      </w:r>
      <w:r w:rsidRPr="00283806">
        <w:rPr>
          <w:w w:val="105"/>
        </w:rPr>
        <w:t>to radiological contamination or if shutting</w:t>
      </w:r>
      <w:r w:rsidRPr="00283806">
        <w:rPr>
          <w:spacing w:val="40"/>
          <w:w w:val="105"/>
        </w:rPr>
        <w:t xml:space="preserve"> </w:t>
      </w:r>
      <w:r w:rsidRPr="00283806">
        <w:rPr>
          <w:w w:val="105"/>
        </w:rPr>
        <w:t>down</w:t>
      </w:r>
      <w:r w:rsidRPr="00283806">
        <w:rPr>
          <w:spacing w:val="40"/>
          <w:w w:val="105"/>
        </w:rPr>
        <w:t xml:space="preserve"> </w:t>
      </w:r>
      <w:r w:rsidRPr="00283806">
        <w:rPr>
          <w:w w:val="105"/>
        </w:rPr>
        <w:t>the</w:t>
      </w:r>
      <w:r w:rsidRPr="00283806">
        <w:rPr>
          <w:spacing w:val="40"/>
          <w:w w:val="105"/>
        </w:rPr>
        <w:t xml:space="preserve"> </w:t>
      </w:r>
      <w:r w:rsidRPr="00283806">
        <w:rPr>
          <w:w w:val="105"/>
        </w:rPr>
        <w:t>appliance</w:t>
      </w:r>
      <w:r w:rsidRPr="00283806">
        <w:rPr>
          <w:spacing w:val="40"/>
          <w:w w:val="105"/>
        </w:rPr>
        <w:t xml:space="preserve"> </w:t>
      </w:r>
      <w:r w:rsidRPr="00283806">
        <w:rPr>
          <w:w w:val="105"/>
        </w:rPr>
        <w:t>will directly lead to radiological contamination. In this case, EPA is allowing additional time to the extent necessary to complete the retrofit in a safe working environment. EPA did not propose and is not finalizing extensions specifically applicable to federally</w:t>
      </w:r>
      <w:r w:rsidRPr="00283806">
        <w:rPr>
          <w:spacing w:val="80"/>
          <w:w w:val="105"/>
        </w:rPr>
        <w:t xml:space="preserve"> </w:t>
      </w:r>
      <w:r w:rsidRPr="00283806">
        <w:rPr>
          <w:w w:val="105"/>
        </w:rPr>
        <w:t xml:space="preserve">owned equipment (see, </w:t>
      </w:r>
      <w:r w:rsidRPr="00283806">
        <w:rPr>
          <w:rFonts w:ascii="Book Antiqua"/>
          <w:i/>
          <w:w w:val="105"/>
        </w:rPr>
        <w:t xml:space="preserve">e.g., </w:t>
      </w:r>
      <w:r w:rsidRPr="00283806">
        <w:rPr>
          <w:w w:val="105"/>
        </w:rPr>
        <w:t>the provisions at 40 CFR 82.157(i)(3)). EPA discussed in the proposal that these circumstances can be addressed under the other extension provisions.</w:t>
      </w:r>
    </w:p>
    <w:p w14:paraId="0D20BFFD" w14:textId="77777777" w:rsidR="00D67C1E" w:rsidRPr="00283806" w:rsidRDefault="001265CA">
      <w:pPr>
        <w:pStyle w:val="BodyText"/>
        <w:spacing w:line="157" w:lineRule="exact"/>
        <w:ind w:left="339"/>
      </w:pPr>
      <w:r w:rsidRPr="00283806">
        <w:rPr>
          <w:w w:val="105"/>
        </w:rPr>
        <w:t>As</w:t>
      </w:r>
      <w:r w:rsidRPr="00283806">
        <w:rPr>
          <w:spacing w:val="15"/>
          <w:w w:val="105"/>
        </w:rPr>
        <w:t xml:space="preserve"> </w:t>
      </w:r>
      <w:r w:rsidRPr="00283806">
        <w:rPr>
          <w:w w:val="105"/>
        </w:rPr>
        <w:t>noted</w:t>
      </w:r>
      <w:r w:rsidRPr="00283806">
        <w:rPr>
          <w:spacing w:val="16"/>
          <w:w w:val="105"/>
        </w:rPr>
        <w:t xml:space="preserve"> </w:t>
      </w:r>
      <w:r w:rsidRPr="00283806">
        <w:rPr>
          <w:w w:val="105"/>
        </w:rPr>
        <w:t>in</w:t>
      </w:r>
      <w:r w:rsidRPr="00283806">
        <w:rPr>
          <w:spacing w:val="16"/>
          <w:w w:val="105"/>
        </w:rPr>
        <w:t xml:space="preserve"> </w:t>
      </w:r>
      <w:r w:rsidRPr="00283806">
        <w:rPr>
          <w:w w:val="105"/>
        </w:rPr>
        <w:t>the</w:t>
      </w:r>
      <w:r w:rsidRPr="00283806">
        <w:rPr>
          <w:spacing w:val="15"/>
          <w:w w:val="105"/>
        </w:rPr>
        <w:t xml:space="preserve"> </w:t>
      </w:r>
      <w:r w:rsidRPr="00283806">
        <w:rPr>
          <w:w w:val="105"/>
        </w:rPr>
        <w:t>proposal,</w:t>
      </w:r>
      <w:r w:rsidRPr="00283806">
        <w:rPr>
          <w:spacing w:val="16"/>
          <w:w w:val="105"/>
        </w:rPr>
        <w:t xml:space="preserve"> </w:t>
      </w:r>
      <w:r w:rsidRPr="00283806">
        <w:rPr>
          <w:spacing w:val="-2"/>
          <w:w w:val="105"/>
        </w:rPr>
        <w:t>these</w:t>
      </w:r>
    </w:p>
    <w:p w14:paraId="3C720AA7" w14:textId="77777777" w:rsidR="00D67C1E" w:rsidRPr="00283806" w:rsidRDefault="001265CA">
      <w:pPr>
        <w:pStyle w:val="BodyText"/>
        <w:spacing w:before="3" w:line="225" w:lineRule="auto"/>
        <w:ind w:left="159" w:right="57"/>
      </w:pPr>
      <w:r w:rsidRPr="00283806">
        <w:rPr>
          <w:w w:val="105"/>
        </w:rPr>
        <w:t>requirements reduce emissions by capping</w:t>
      </w:r>
      <w:r w:rsidRPr="00283806">
        <w:rPr>
          <w:spacing w:val="40"/>
          <w:w w:val="105"/>
        </w:rPr>
        <w:t xml:space="preserve"> </w:t>
      </w:r>
      <w:r w:rsidRPr="00283806">
        <w:rPr>
          <w:w w:val="105"/>
        </w:rPr>
        <w:t>the</w:t>
      </w:r>
      <w:r w:rsidRPr="00283806">
        <w:rPr>
          <w:spacing w:val="40"/>
          <w:w w:val="105"/>
        </w:rPr>
        <w:t xml:space="preserve"> </w:t>
      </w:r>
      <w:r w:rsidRPr="00283806">
        <w:rPr>
          <w:w w:val="105"/>
        </w:rPr>
        <w:t>amount</w:t>
      </w:r>
      <w:r w:rsidRPr="00283806">
        <w:rPr>
          <w:spacing w:val="40"/>
          <w:w w:val="105"/>
        </w:rPr>
        <w:t xml:space="preserve"> </w:t>
      </w:r>
      <w:r w:rsidRPr="00283806">
        <w:rPr>
          <w:w w:val="105"/>
        </w:rPr>
        <w:t>of</w:t>
      </w:r>
      <w:r w:rsidRPr="00283806">
        <w:rPr>
          <w:spacing w:val="40"/>
          <w:w w:val="105"/>
        </w:rPr>
        <w:t xml:space="preserve"> </w:t>
      </w:r>
      <w:r w:rsidRPr="00283806">
        <w:rPr>
          <w:w w:val="105"/>
        </w:rPr>
        <w:t>time</w:t>
      </w:r>
      <w:r w:rsidRPr="00283806">
        <w:rPr>
          <w:spacing w:val="40"/>
          <w:w w:val="105"/>
        </w:rPr>
        <w:t xml:space="preserve"> </w:t>
      </w:r>
      <w:r w:rsidRPr="00283806">
        <w:rPr>
          <w:w w:val="105"/>
        </w:rPr>
        <w:t>an appliance can remain in operation when it is known to be leaking above the leak</w:t>
      </w:r>
    </w:p>
    <w:p w14:paraId="7E0F75EA" w14:textId="77777777" w:rsidR="00D67C1E" w:rsidRPr="00283806" w:rsidRDefault="001265CA">
      <w:pPr>
        <w:pStyle w:val="BodyText"/>
        <w:spacing w:before="136" w:line="225" w:lineRule="auto"/>
        <w:ind w:left="144"/>
      </w:pPr>
      <w:r w:rsidRPr="00283806">
        <w:br w:type="column"/>
      </w:r>
      <w:r w:rsidRPr="00283806">
        <w:rPr>
          <w:w w:val="105"/>
        </w:rPr>
        <w:t>rate threshold. Developing the retrofit or retirement plan is a key process in ensuring that each step of the plan is successfully performed such that</w:t>
      </w:r>
      <w:r w:rsidRPr="00283806">
        <w:rPr>
          <w:spacing w:val="80"/>
          <w:w w:val="105"/>
        </w:rPr>
        <w:t xml:space="preserve"> </w:t>
      </w:r>
      <w:r w:rsidRPr="00283806">
        <w:rPr>
          <w:w w:val="105"/>
        </w:rPr>
        <w:t>releases of HFCs are minimized and the reclaiming of the HFCs can be</w:t>
      </w:r>
      <w:r w:rsidRPr="00283806">
        <w:rPr>
          <w:spacing w:val="80"/>
          <w:w w:val="105"/>
        </w:rPr>
        <w:t xml:space="preserve"> </w:t>
      </w:r>
      <w:r w:rsidRPr="00283806">
        <w:rPr>
          <w:w w:val="105"/>
        </w:rPr>
        <w:t>maximized. Owners or operators may choose to retrofit or retire a leaking appliance</w:t>
      </w:r>
      <w:r w:rsidRPr="00283806">
        <w:rPr>
          <w:spacing w:val="37"/>
          <w:w w:val="105"/>
        </w:rPr>
        <w:t xml:space="preserve"> </w:t>
      </w:r>
      <w:r w:rsidRPr="00283806">
        <w:rPr>
          <w:w w:val="105"/>
        </w:rPr>
        <w:t>rather</w:t>
      </w:r>
      <w:r w:rsidRPr="00283806">
        <w:rPr>
          <w:spacing w:val="37"/>
          <w:w w:val="105"/>
        </w:rPr>
        <w:t xml:space="preserve"> </w:t>
      </w:r>
      <w:r w:rsidRPr="00283806">
        <w:rPr>
          <w:w w:val="105"/>
        </w:rPr>
        <w:t>than</w:t>
      </w:r>
      <w:r w:rsidRPr="00283806">
        <w:rPr>
          <w:spacing w:val="37"/>
          <w:w w:val="105"/>
        </w:rPr>
        <w:t xml:space="preserve"> </w:t>
      </w:r>
      <w:r w:rsidRPr="00283806">
        <w:rPr>
          <w:w w:val="105"/>
        </w:rPr>
        <w:t>repair</w:t>
      </w:r>
      <w:r w:rsidRPr="00283806">
        <w:rPr>
          <w:spacing w:val="37"/>
          <w:w w:val="105"/>
        </w:rPr>
        <w:t xml:space="preserve"> </w:t>
      </w:r>
      <w:r w:rsidRPr="00283806">
        <w:rPr>
          <w:w w:val="105"/>
        </w:rPr>
        <w:t>a</w:t>
      </w:r>
      <w:r w:rsidRPr="00283806">
        <w:rPr>
          <w:spacing w:val="37"/>
          <w:w w:val="105"/>
        </w:rPr>
        <w:t xml:space="preserve"> </w:t>
      </w:r>
      <w:r w:rsidRPr="00283806">
        <w:rPr>
          <w:w w:val="105"/>
        </w:rPr>
        <w:t>leak,</w:t>
      </w:r>
      <w:r w:rsidRPr="00283806">
        <w:rPr>
          <w:spacing w:val="37"/>
          <w:w w:val="105"/>
        </w:rPr>
        <w:t xml:space="preserve"> </w:t>
      </w:r>
      <w:r w:rsidRPr="00283806">
        <w:rPr>
          <w:w w:val="105"/>
        </w:rPr>
        <w:t>or, in some situations, may be required to retrofit or retire the appliance if successful leak repair cannot be</w:t>
      </w:r>
      <w:r w:rsidRPr="00283806">
        <w:rPr>
          <w:spacing w:val="80"/>
          <w:w w:val="105"/>
        </w:rPr>
        <w:t xml:space="preserve"> </w:t>
      </w:r>
      <w:r w:rsidRPr="00283806">
        <w:rPr>
          <w:w w:val="105"/>
        </w:rPr>
        <w:t xml:space="preserve">achieved and verified. The requirements </w:t>
      </w:r>
      <w:proofErr w:type="gramStart"/>
      <w:r w:rsidRPr="00283806">
        <w:rPr>
          <w:w w:val="105"/>
        </w:rPr>
        <w:t>also further</w:t>
      </w:r>
      <w:proofErr w:type="gramEnd"/>
      <w:r w:rsidRPr="00283806">
        <w:rPr>
          <w:w w:val="105"/>
        </w:rPr>
        <w:t xml:space="preserve"> serve the </w:t>
      </w:r>
      <w:proofErr w:type="gramStart"/>
      <w:r w:rsidRPr="00283806">
        <w:rPr>
          <w:w w:val="105"/>
        </w:rPr>
        <w:t>purposes</w:t>
      </w:r>
      <w:proofErr w:type="gramEnd"/>
      <w:r w:rsidRPr="00283806">
        <w:rPr>
          <w:w w:val="105"/>
        </w:rPr>
        <w:t xml:space="preserve"> of minimizing releases and maximizing the reclaiming of HFCs, as proper retrofit or retirement of a leaking appliance helps ensure that further HFC emissions from such equipment are mitigated.</w:t>
      </w:r>
    </w:p>
    <w:p w14:paraId="322B9CA0" w14:textId="77777777" w:rsidR="00D67C1E" w:rsidRPr="00283806" w:rsidRDefault="001265CA">
      <w:pPr>
        <w:pStyle w:val="BodyText"/>
        <w:spacing w:line="225" w:lineRule="auto"/>
        <w:ind w:left="144" w:right="118"/>
      </w:pPr>
      <w:r w:rsidRPr="00283806">
        <w:rPr>
          <w:w w:val="105"/>
        </w:rPr>
        <w:t xml:space="preserve">Additionally, in the process of retrofitting or retiring an appliance, the refrigerant that was remaining in the leaking appliance must be recovered and could then subsequently be </w:t>
      </w:r>
      <w:r w:rsidRPr="00283806">
        <w:rPr>
          <w:spacing w:val="-2"/>
          <w:w w:val="105"/>
        </w:rPr>
        <w:t>reclaimed.</w:t>
      </w:r>
    </w:p>
    <w:p w14:paraId="4E248176" w14:textId="77777777" w:rsidR="00D67C1E" w:rsidRPr="00283806" w:rsidRDefault="001265CA">
      <w:pPr>
        <w:pStyle w:val="BodyText"/>
        <w:spacing w:line="213" w:lineRule="auto"/>
        <w:ind w:left="144" w:firstLine="180"/>
      </w:pPr>
      <w:r w:rsidRPr="00283806">
        <w:rPr>
          <w:rFonts w:ascii="Book Antiqua" w:hAnsi="Book Antiqua"/>
          <w:i/>
          <w:w w:val="105"/>
        </w:rPr>
        <w:t xml:space="preserve">Comment: </w:t>
      </w:r>
      <w:r w:rsidRPr="00283806">
        <w:rPr>
          <w:w w:val="105"/>
        </w:rPr>
        <w:t>Several commenters provided recommendations for EPA’s</w:t>
      </w:r>
    </w:p>
    <w:p w14:paraId="698775D0" w14:textId="77777777" w:rsidR="00D67C1E" w:rsidRPr="00283806" w:rsidRDefault="001265CA">
      <w:pPr>
        <w:pStyle w:val="BodyText"/>
        <w:spacing w:line="225" w:lineRule="auto"/>
        <w:ind w:left="144"/>
      </w:pPr>
      <w:r w:rsidRPr="00283806">
        <w:rPr>
          <w:w w:val="105"/>
        </w:rPr>
        <w:t>proposal regarding retrofit and retirement plans. Two commenters requested that retrofit and retirement plans include a provision to retrofit an appliance with a lower-GWP refrigerant. Another commenter suggested EPA</w:t>
      </w:r>
      <w:r w:rsidRPr="00283806">
        <w:rPr>
          <w:spacing w:val="80"/>
          <w:w w:val="105"/>
        </w:rPr>
        <w:t xml:space="preserve"> </w:t>
      </w:r>
      <w:r w:rsidRPr="00283806">
        <w:rPr>
          <w:w w:val="105"/>
        </w:rPr>
        <w:t>allow</w:t>
      </w:r>
      <w:r w:rsidRPr="00283806">
        <w:rPr>
          <w:spacing w:val="36"/>
          <w:w w:val="105"/>
        </w:rPr>
        <w:t xml:space="preserve"> </w:t>
      </w:r>
      <w:r w:rsidRPr="00283806">
        <w:rPr>
          <w:w w:val="105"/>
        </w:rPr>
        <w:t>for</w:t>
      </w:r>
      <w:r w:rsidRPr="00283806">
        <w:rPr>
          <w:spacing w:val="36"/>
          <w:w w:val="105"/>
        </w:rPr>
        <w:t xml:space="preserve"> </w:t>
      </w:r>
      <w:r w:rsidRPr="00283806">
        <w:rPr>
          <w:w w:val="105"/>
        </w:rPr>
        <w:t>a</w:t>
      </w:r>
      <w:r w:rsidRPr="00283806">
        <w:rPr>
          <w:spacing w:val="36"/>
          <w:w w:val="105"/>
        </w:rPr>
        <w:t xml:space="preserve"> </w:t>
      </w:r>
      <w:r w:rsidRPr="00283806">
        <w:rPr>
          <w:w w:val="105"/>
        </w:rPr>
        <w:t>repair</w:t>
      </w:r>
      <w:r w:rsidRPr="00283806">
        <w:rPr>
          <w:spacing w:val="36"/>
          <w:w w:val="105"/>
        </w:rPr>
        <w:t xml:space="preserve"> </w:t>
      </w:r>
      <w:r w:rsidRPr="00283806">
        <w:rPr>
          <w:w w:val="105"/>
        </w:rPr>
        <w:t>plan</w:t>
      </w:r>
      <w:r w:rsidRPr="00283806">
        <w:rPr>
          <w:spacing w:val="36"/>
          <w:w w:val="105"/>
        </w:rPr>
        <w:t xml:space="preserve"> </w:t>
      </w:r>
      <w:r w:rsidRPr="00283806">
        <w:rPr>
          <w:w w:val="105"/>
        </w:rPr>
        <w:t>for</w:t>
      </w:r>
      <w:r w:rsidRPr="00283806">
        <w:rPr>
          <w:spacing w:val="36"/>
          <w:w w:val="105"/>
        </w:rPr>
        <w:t xml:space="preserve"> </w:t>
      </w:r>
      <w:r w:rsidRPr="00283806">
        <w:rPr>
          <w:w w:val="105"/>
        </w:rPr>
        <w:t>IPR appliances to ensure continued</w:t>
      </w:r>
      <w:r w:rsidRPr="00283806">
        <w:rPr>
          <w:spacing w:val="80"/>
          <w:w w:val="105"/>
        </w:rPr>
        <w:t xml:space="preserve"> </w:t>
      </w:r>
      <w:r w:rsidRPr="00283806">
        <w:rPr>
          <w:w w:val="105"/>
        </w:rPr>
        <w:t>operation of industrial manufacturing processes that rely on IPR systems to continue to operate while the owner or operator pursues repair of the appliance. Specifically,</w:t>
      </w:r>
      <w:r w:rsidRPr="00283806">
        <w:rPr>
          <w:spacing w:val="40"/>
          <w:w w:val="105"/>
        </w:rPr>
        <w:t xml:space="preserve"> </w:t>
      </w:r>
      <w:r w:rsidRPr="00283806">
        <w:rPr>
          <w:w w:val="105"/>
        </w:rPr>
        <w:t>the</w:t>
      </w:r>
      <w:r w:rsidRPr="00283806">
        <w:rPr>
          <w:spacing w:val="40"/>
          <w:w w:val="105"/>
        </w:rPr>
        <w:t xml:space="preserve"> </w:t>
      </w:r>
      <w:r w:rsidRPr="00283806">
        <w:rPr>
          <w:w w:val="105"/>
        </w:rPr>
        <w:t>commenter</w:t>
      </w:r>
      <w:r w:rsidRPr="00283806">
        <w:rPr>
          <w:spacing w:val="40"/>
          <w:w w:val="105"/>
        </w:rPr>
        <w:t xml:space="preserve"> </w:t>
      </w:r>
      <w:r w:rsidRPr="00283806">
        <w:rPr>
          <w:w w:val="105"/>
        </w:rPr>
        <w:t>stated</w:t>
      </w:r>
      <w:r w:rsidRPr="00283806">
        <w:rPr>
          <w:spacing w:val="40"/>
          <w:w w:val="105"/>
        </w:rPr>
        <w:t xml:space="preserve"> </w:t>
      </w:r>
      <w:r w:rsidRPr="00283806">
        <w:rPr>
          <w:w w:val="105"/>
        </w:rPr>
        <w:t>that it is unfeasible to retrofit IPR appliances with evaporator temperatures below</w:t>
      </w:r>
    </w:p>
    <w:p w14:paraId="0CBFA6A0" w14:textId="77777777" w:rsidR="00D67C1E" w:rsidRPr="00283806" w:rsidRDefault="001265CA">
      <w:pPr>
        <w:pStyle w:val="BodyText"/>
        <w:spacing w:line="189" w:lineRule="exact"/>
        <w:ind w:left="144"/>
      </w:pPr>
      <w:r w:rsidRPr="00283806">
        <w:rPr>
          <w:rFonts w:ascii="Engravers MT" w:hAnsi="Engravers MT"/>
          <w:w w:val="105"/>
        </w:rPr>
        <w:t>¥</w:t>
      </w:r>
      <w:r w:rsidRPr="00283806">
        <w:rPr>
          <w:w w:val="105"/>
        </w:rPr>
        <w:t>50</w:t>
      </w:r>
      <w:r w:rsidRPr="00283806">
        <w:rPr>
          <w:spacing w:val="-10"/>
          <w:w w:val="105"/>
        </w:rPr>
        <w:t xml:space="preserve"> </w:t>
      </w:r>
      <w:r w:rsidRPr="00283806">
        <w:rPr>
          <w:rFonts w:ascii="Symbol" w:hAnsi="Symbol"/>
          <w:w w:val="105"/>
        </w:rPr>
        <w:t></w:t>
      </w:r>
      <w:r w:rsidRPr="00283806">
        <w:rPr>
          <w:w w:val="105"/>
        </w:rPr>
        <w:t>C</w:t>
      </w:r>
      <w:r w:rsidRPr="00283806">
        <w:rPr>
          <w:spacing w:val="-4"/>
          <w:w w:val="105"/>
        </w:rPr>
        <w:t xml:space="preserve"> </w:t>
      </w:r>
      <w:r w:rsidRPr="00283806">
        <w:rPr>
          <w:w w:val="105"/>
        </w:rPr>
        <w:t>(</w:t>
      </w:r>
      <w:r w:rsidRPr="00283806">
        <w:rPr>
          <w:rFonts w:ascii="Engravers MT" w:hAnsi="Engravers MT"/>
          <w:w w:val="105"/>
        </w:rPr>
        <w:t>¥</w:t>
      </w:r>
      <w:r w:rsidRPr="00283806">
        <w:rPr>
          <w:w w:val="105"/>
        </w:rPr>
        <w:t>58</w:t>
      </w:r>
      <w:r w:rsidRPr="00283806">
        <w:rPr>
          <w:spacing w:val="-12"/>
          <w:w w:val="105"/>
        </w:rPr>
        <w:t xml:space="preserve"> </w:t>
      </w:r>
      <w:r w:rsidRPr="00283806">
        <w:rPr>
          <w:rFonts w:ascii="Symbol" w:hAnsi="Symbol"/>
          <w:w w:val="105"/>
        </w:rPr>
        <w:t></w:t>
      </w:r>
      <w:r w:rsidRPr="00283806">
        <w:rPr>
          <w:w w:val="105"/>
        </w:rPr>
        <w:t>F)</w:t>
      </w:r>
      <w:r w:rsidRPr="00283806">
        <w:rPr>
          <w:spacing w:val="-4"/>
          <w:w w:val="105"/>
        </w:rPr>
        <w:t xml:space="preserve"> </w:t>
      </w:r>
      <w:r w:rsidRPr="00283806">
        <w:rPr>
          <w:w w:val="105"/>
        </w:rPr>
        <w:t>because</w:t>
      </w:r>
      <w:r w:rsidRPr="00283806">
        <w:rPr>
          <w:spacing w:val="-4"/>
          <w:w w:val="105"/>
        </w:rPr>
        <w:t xml:space="preserve"> low-</w:t>
      </w:r>
    </w:p>
    <w:p w14:paraId="2F67F77B" w14:textId="77777777" w:rsidR="00D67C1E" w:rsidRPr="00283806" w:rsidRDefault="001265CA">
      <w:pPr>
        <w:pStyle w:val="BodyText"/>
        <w:spacing w:line="225" w:lineRule="auto"/>
        <w:ind w:left="144" w:right="64"/>
      </w:pPr>
      <w:proofErr w:type="gramStart"/>
      <w:r w:rsidRPr="00283806">
        <w:rPr>
          <w:w w:val="105"/>
        </w:rPr>
        <w:t>temperature</w:t>
      </w:r>
      <w:proofErr w:type="gramEnd"/>
      <w:r w:rsidRPr="00283806">
        <w:rPr>
          <w:w w:val="105"/>
        </w:rPr>
        <w:t xml:space="preserve"> appliances are typically not retrofitted and have limited lower-GWP options, as demonstrated by the 2023 Technology Transitions Rule exclusion</w:t>
      </w:r>
      <w:r w:rsidRPr="00283806">
        <w:rPr>
          <w:spacing w:val="80"/>
          <w:w w:val="105"/>
        </w:rPr>
        <w:t xml:space="preserve"> </w:t>
      </w:r>
      <w:r w:rsidRPr="00283806">
        <w:rPr>
          <w:w w:val="105"/>
        </w:rPr>
        <w:t>of these systems. The commenter stated that the design and replacement of these systems may take several years, and a repair plan should allow the facility to continue operations while taking the necessary steps to address the leaks.</w:t>
      </w:r>
    </w:p>
    <w:p w14:paraId="428DFBBB" w14:textId="77777777" w:rsidR="00D67C1E" w:rsidRPr="00283806" w:rsidRDefault="001265CA">
      <w:pPr>
        <w:pStyle w:val="BodyText"/>
        <w:spacing w:line="213" w:lineRule="auto"/>
        <w:ind w:left="144" w:firstLine="180"/>
      </w:pPr>
      <w:r w:rsidRPr="00283806">
        <w:rPr>
          <w:rFonts w:ascii="Book Antiqua"/>
          <w:i/>
          <w:w w:val="110"/>
        </w:rPr>
        <w:t>Response:</w:t>
      </w:r>
      <w:r w:rsidRPr="00283806">
        <w:rPr>
          <w:rFonts w:ascii="Book Antiqua"/>
          <w:i/>
          <w:spacing w:val="-3"/>
          <w:w w:val="110"/>
        </w:rPr>
        <w:t xml:space="preserve"> </w:t>
      </w:r>
      <w:r w:rsidRPr="00283806">
        <w:rPr>
          <w:w w:val="110"/>
        </w:rPr>
        <w:t>EPA is finalizing aspects of the proposed retrofit and retirement</w:t>
      </w:r>
    </w:p>
    <w:p w14:paraId="5BFF0ACD" w14:textId="77777777" w:rsidR="00D67C1E" w:rsidRPr="00283806" w:rsidRDefault="001265CA">
      <w:pPr>
        <w:pStyle w:val="BodyText"/>
        <w:spacing w:line="225" w:lineRule="auto"/>
        <w:ind w:left="144" w:right="125"/>
      </w:pPr>
      <w:r w:rsidRPr="00283806">
        <w:rPr>
          <w:w w:val="105"/>
        </w:rPr>
        <w:t>plan provision, with modifications after consideration of the comments and information received on the proposed rule. In the final rule, the Agency is not requiring that retrofit plans must transition to lower-GWP refrigerants (see section IV.A.2 of this preamble).</w:t>
      </w:r>
    </w:p>
    <w:p w14:paraId="624E3A74" w14:textId="77777777" w:rsidR="00D67C1E" w:rsidRPr="00283806" w:rsidRDefault="001265CA">
      <w:pPr>
        <w:pStyle w:val="BodyText"/>
        <w:spacing w:line="225" w:lineRule="auto"/>
        <w:ind w:left="144" w:right="1"/>
      </w:pPr>
      <w:r w:rsidRPr="00283806">
        <w:rPr>
          <w:w w:val="105"/>
        </w:rPr>
        <w:t>The decision of what type of retrofit is appropriate when a refrigerant- containing appliance cannot be repaired is the decision of the owner/operator; however, EPA encourages owners or operators</w:t>
      </w:r>
      <w:r w:rsidRPr="00283806">
        <w:rPr>
          <w:spacing w:val="-4"/>
          <w:w w:val="105"/>
        </w:rPr>
        <w:t xml:space="preserve"> </w:t>
      </w:r>
      <w:r w:rsidRPr="00283806">
        <w:rPr>
          <w:w w:val="105"/>
        </w:rPr>
        <w:t>to</w:t>
      </w:r>
      <w:r w:rsidRPr="00283806">
        <w:rPr>
          <w:spacing w:val="-4"/>
          <w:w w:val="105"/>
        </w:rPr>
        <w:t xml:space="preserve"> </w:t>
      </w:r>
      <w:r w:rsidRPr="00283806">
        <w:rPr>
          <w:w w:val="105"/>
        </w:rPr>
        <w:t>retrofit</w:t>
      </w:r>
      <w:r w:rsidRPr="00283806">
        <w:rPr>
          <w:spacing w:val="-4"/>
          <w:w w:val="105"/>
        </w:rPr>
        <w:t xml:space="preserve"> </w:t>
      </w:r>
      <w:r w:rsidRPr="00283806">
        <w:rPr>
          <w:w w:val="105"/>
        </w:rPr>
        <w:t>appliances</w:t>
      </w:r>
      <w:r w:rsidRPr="00283806">
        <w:rPr>
          <w:spacing w:val="-4"/>
          <w:w w:val="105"/>
        </w:rPr>
        <w:t xml:space="preserve"> </w:t>
      </w:r>
      <w:r w:rsidRPr="00283806">
        <w:rPr>
          <w:w w:val="105"/>
        </w:rPr>
        <w:t>to</w:t>
      </w:r>
      <w:r w:rsidRPr="00283806">
        <w:rPr>
          <w:spacing w:val="-4"/>
          <w:w w:val="105"/>
        </w:rPr>
        <w:t xml:space="preserve"> </w:t>
      </w:r>
      <w:r w:rsidRPr="00283806">
        <w:rPr>
          <w:w w:val="105"/>
        </w:rPr>
        <w:t>lower- GWP refrigerants. It is also up to the</w:t>
      </w:r>
    </w:p>
    <w:p w14:paraId="6E256821" w14:textId="77777777" w:rsidR="00D67C1E" w:rsidRPr="00283806" w:rsidRDefault="001265CA">
      <w:pPr>
        <w:pStyle w:val="BodyText"/>
        <w:spacing w:before="134" w:line="228" w:lineRule="auto"/>
        <w:ind w:left="143" w:right="210"/>
      </w:pPr>
      <w:r w:rsidRPr="00283806">
        <w:br w:type="column"/>
      </w:r>
      <w:r w:rsidRPr="00283806">
        <w:rPr>
          <w:w w:val="105"/>
        </w:rPr>
        <w:t>discretion of the owner or operator to decide if an appliance can be retrofitted or retired and replaced when an owner</w:t>
      </w:r>
      <w:r w:rsidRPr="00283806">
        <w:rPr>
          <w:spacing w:val="40"/>
          <w:w w:val="105"/>
        </w:rPr>
        <w:t xml:space="preserve"> </w:t>
      </w:r>
      <w:r w:rsidRPr="00283806">
        <w:rPr>
          <w:w w:val="105"/>
        </w:rPr>
        <w:t>or operator cannot repair a leak below the applicable threshold within the final rule’s provided leak repair timeframe.</w:t>
      </w:r>
    </w:p>
    <w:p w14:paraId="2C189AB9" w14:textId="77777777" w:rsidR="00D67C1E" w:rsidRPr="00283806" w:rsidRDefault="001265CA">
      <w:pPr>
        <w:pStyle w:val="BodyText"/>
        <w:spacing w:line="225" w:lineRule="auto"/>
        <w:ind w:left="143" w:right="207"/>
      </w:pPr>
      <w:r w:rsidRPr="00283806">
        <w:rPr>
          <w:w w:val="105"/>
        </w:rPr>
        <w:t>While some commenters suggest the Agency should require retrofitted appliances to use lower-GWP refrigerants, EPA has determined that requiring the use of lower-GWP refrigerants may pose a compliance</w:t>
      </w:r>
      <w:r w:rsidRPr="00283806">
        <w:rPr>
          <w:spacing w:val="80"/>
          <w:w w:val="105"/>
        </w:rPr>
        <w:t xml:space="preserve"> </w:t>
      </w:r>
      <w:r w:rsidRPr="00283806">
        <w:rPr>
          <w:w w:val="105"/>
        </w:rPr>
        <w:t xml:space="preserve">issue with the provision. For certain appliances with limited lower-GWP alternatives, the proposal’s definition of retrofit would have limited said appliances from having the option to retrofit. As previously discussed in this section, the retrofit and retirement provision </w:t>
      </w:r>
      <w:proofErr w:type="gramStart"/>
      <w:r w:rsidRPr="00283806">
        <w:rPr>
          <w:w w:val="105"/>
        </w:rPr>
        <w:t>reduces</w:t>
      </w:r>
      <w:proofErr w:type="gramEnd"/>
      <w:r w:rsidRPr="00283806">
        <w:rPr>
          <w:w w:val="105"/>
        </w:rPr>
        <w:t xml:space="preserve"> emissions of HFCs</w:t>
      </w:r>
      <w:r w:rsidRPr="00283806">
        <w:rPr>
          <w:spacing w:val="80"/>
          <w:w w:val="150"/>
        </w:rPr>
        <w:t xml:space="preserve"> </w:t>
      </w:r>
      <w:r w:rsidRPr="00283806">
        <w:rPr>
          <w:w w:val="105"/>
        </w:rPr>
        <w:t xml:space="preserve">and covered substitutes by capping the amount of time an appliance can remain in operation when it is known to </w:t>
      </w:r>
      <w:proofErr w:type="gramStart"/>
      <w:r w:rsidRPr="00283806">
        <w:rPr>
          <w:w w:val="105"/>
        </w:rPr>
        <w:t>be leaking</w:t>
      </w:r>
      <w:proofErr w:type="gramEnd"/>
      <w:r w:rsidRPr="00283806">
        <w:rPr>
          <w:w w:val="105"/>
        </w:rPr>
        <w:t xml:space="preserve"> above the applicable leak rate threshold. Limiting certain appliance owners to one method of compliance</w:t>
      </w:r>
      <w:r w:rsidRPr="00283806">
        <w:rPr>
          <w:spacing w:val="40"/>
          <w:w w:val="105"/>
        </w:rPr>
        <w:t xml:space="preserve"> </w:t>
      </w:r>
      <w:r w:rsidRPr="00283806">
        <w:rPr>
          <w:w w:val="105"/>
        </w:rPr>
        <w:t>(</w:t>
      </w:r>
      <w:r w:rsidRPr="00283806">
        <w:rPr>
          <w:rFonts w:ascii="Book Antiqua" w:hAnsi="Book Antiqua"/>
          <w:i/>
          <w:w w:val="105"/>
        </w:rPr>
        <w:t xml:space="preserve">i.e., </w:t>
      </w:r>
      <w:r w:rsidRPr="00283806">
        <w:rPr>
          <w:w w:val="105"/>
        </w:rPr>
        <w:t>retirement) would not further the purpose of this rule to reduce emissions from equipment and may increase non- compliance</w:t>
      </w:r>
      <w:r w:rsidRPr="00283806">
        <w:rPr>
          <w:spacing w:val="40"/>
          <w:w w:val="105"/>
        </w:rPr>
        <w:t xml:space="preserve"> </w:t>
      </w:r>
      <w:r w:rsidRPr="00283806">
        <w:rPr>
          <w:w w:val="105"/>
        </w:rPr>
        <w:t>with</w:t>
      </w:r>
      <w:r w:rsidRPr="00283806">
        <w:rPr>
          <w:spacing w:val="40"/>
          <w:w w:val="105"/>
        </w:rPr>
        <w:t xml:space="preserve"> </w:t>
      </w:r>
      <w:r w:rsidRPr="00283806">
        <w:rPr>
          <w:w w:val="105"/>
        </w:rPr>
        <w:t>the</w:t>
      </w:r>
      <w:r w:rsidRPr="00283806">
        <w:rPr>
          <w:spacing w:val="40"/>
          <w:w w:val="105"/>
        </w:rPr>
        <w:t xml:space="preserve"> </w:t>
      </w:r>
      <w:r w:rsidRPr="00283806">
        <w:rPr>
          <w:w w:val="105"/>
        </w:rPr>
        <w:t>provision</w:t>
      </w:r>
      <w:r w:rsidRPr="00283806">
        <w:rPr>
          <w:spacing w:val="40"/>
          <w:w w:val="105"/>
        </w:rPr>
        <w:t xml:space="preserve"> </w:t>
      </w:r>
      <w:r w:rsidRPr="00283806">
        <w:rPr>
          <w:w w:val="105"/>
        </w:rPr>
        <w:t>in certain instances (</w:t>
      </w:r>
      <w:r w:rsidRPr="00283806">
        <w:rPr>
          <w:rFonts w:ascii="Book Antiqua" w:hAnsi="Book Antiqua"/>
          <w:i/>
          <w:w w:val="105"/>
        </w:rPr>
        <w:t xml:space="preserve">e.g., </w:t>
      </w:r>
      <w:r w:rsidRPr="00283806">
        <w:rPr>
          <w:w w:val="105"/>
        </w:rPr>
        <w:t>an owner or operator is unable to retrofit an</w:t>
      </w:r>
      <w:r w:rsidRPr="00283806">
        <w:rPr>
          <w:spacing w:val="40"/>
          <w:w w:val="105"/>
        </w:rPr>
        <w:t xml:space="preserve"> </w:t>
      </w:r>
      <w:r w:rsidRPr="00283806">
        <w:rPr>
          <w:w w:val="105"/>
        </w:rPr>
        <w:t>appliance with a lower-GWP</w:t>
      </w:r>
      <w:r w:rsidRPr="00283806">
        <w:rPr>
          <w:spacing w:val="80"/>
          <w:w w:val="105"/>
        </w:rPr>
        <w:t xml:space="preserve"> </w:t>
      </w:r>
      <w:r w:rsidRPr="00283806">
        <w:rPr>
          <w:w w:val="105"/>
        </w:rPr>
        <w:t>refrigerant). EPA notes that not all appliances are fit to be retrofitted; however, the proposal’s definition of retrofit may have been too restrictive in how appliances could be retrofitted to comply with the leak repair provisions</w:t>
      </w:r>
      <w:r w:rsidRPr="00283806">
        <w:rPr>
          <w:spacing w:val="80"/>
          <w:w w:val="105"/>
        </w:rPr>
        <w:t xml:space="preserve"> </w:t>
      </w:r>
      <w:r w:rsidRPr="00283806">
        <w:rPr>
          <w:w w:val="105"/>
        </w:rPr>
        <w:t>in the final rule.</w:t>
      </w:r>
    </w:p>
    <w:p w14:paraId="46F471DD" w14:textId="77777777" w:rsidR="00D67C1E" w:rsidRPr="00283806" w:rsidRDefault="001265CA">
      <w:pPr>
        <w:pStyle w:val="BodyText"/>
        <w:spacing w:before="72" w:line="228" w:lineRule="auto"/>
        <w:ind w:left="143" w:right="188" w:firstLine="180"/>
      </w:pPr>
      <w:r w:rsidRPr="00283806">
        <w:rPr>
          <w:w w:val="105"/>
        </w:rPr>
        <w:t>EPA disagrees with one commenter’s request to allow for a repair plan for appliances incapable of repairing leaks</w:t>
      </w:r>
      <w:r w:rsidRPr="00283806">
        <w:rPr>
          <w:spacing w:val="80"/>
          <w:w w:val="105"/>
        </w:rPr>
        <w:t xml:space="preserve"> </w:t>
      </w:r>
      <w:r w:rsidRPr="00283806">
        <w:rPr>
          <w:w w:val="105"/>
        </w:rPr>
        <w:t>in the final rule’s specified timeframe. The continuous operation of an</w:t>
      </w:r>
      <w:r w:rsidRPr="00283806">
        <w:rPr>
          <w:spacing w:val="40"/>
          <w:w w:val="105"/>
        </w:rPr>
        <w:t xml:space="preserve"> </w:t>
      </w:r>
      <w:r w:rsidRPr="00283806">
        <w:rPr>
          <w:w w:val="105"/>
        </w:rPr>
        <w:t xml:space="preserve">appliance that is leaking above its applicable leak rate threshold is directly opposed to reducing emissions and further serving the purposes outlined in subsection (h)(1). The commenter’s suggested repair plan would not adequately address leaks in a timely manner </w:t>
      </w:r>
      <w:proofErr w:type="gramStart"/>
      <w:r w:rsidRPr="00283806">
        <w:rPr>
          <w:w w:val="105"/>
        </w:rPr>
        <w:t>in order to</w:t>
      </w:r>
      <w:proofErr w:type="gramEnd"/>
      <w:r w:rsidRPr="00283806">
        <w:rPr>
          <w:w w:val="105"/>
        </w:rPr>
        <w:t xml:space="preserve"> minimize the release of refrigerants. and continued operation of the appliance would necessitate the addition of more refrigerant that would also</w:t>
      </w:r>
      <w:r w:rsidRPr="00283806">
        <w:rPr>
          <w:spacing w:val="33"/>
          <w:w w:val="105"/>
        </w:rPr>
        <w:t xml:space="preserve"> </w:t>
      </w:r>
      <w:r w:rsidRPr="00283806">
        <w:rPr>
          <w:w w:val="105"/>
        </w:rPr>
        <w:t>be</w:t>
      </w:r>
      <w:r w:rsidRPr="00283806">
        <w:rPr>
          <w:spacing w:val="33"/>
          <w:w w:val="105"/>
        </w:rPr>
        <w:t xml:space="preserve"> </w:t>
      </w:r>
      <w:r w:rsidRPr="00283806">
        <w:rPr>
          <w:w w:val="105"/>
        </w:rPr>
        <w:t>at</w:t>
      </w:r>
      <w:r w:rsidRPr="00283806">
        <w:rPr>
          <w:spacing w:val="33"/>
          <w:w w:val="105"/>
        </w:rPr>
        <w:t xml:space="preserve"> </w:t>
      </w:r>
      <w:r w:rsidRPr="00283806">
        <w:rPr>
          <w:w w:val="105"/>
        </w:rPr>
        <w:t>risk</w:t>
      </w:r>
      <w:r w:rsidRPr="00283806">
        <w:rPr>
          <w:spacing w:val="33"/>
          <w:w w:val="105"/>
        </w:rPr>
        <w:t xml:space="preserve"> </w:t>
      </w:r>
      <w:r w:rsidRPr="00283806">
        <w:rPr>
          <w:w w:val="105"/>
        </w:rPr>
        <w:t>of</w:t>
      </w:r>
      <w:r w:rsidRPr="00283806">
        <w:rPr>
          <w:spacing w:val="33"/>
          <w:w w:val="105"/>
        </w:rPr>
        <w:t xml:space="preserve"> </w:t>
      </w:r>
      <w:r w:rsidRPr="00283806">
        <w:rPr>
          <w:w w:val="105"/>
        </w:rPr>
        <w:t>being</w:t>
      </w:r>
      <w:r w:rsidRPr="00283806">
        <w:rPr>
          <w:spacing w:val="33"/>
          <w:w w:val="105"/>
        </w:rPr>
        <w:t xml:space="preserve"> </w:t>
      </w:r>
      <w:r w:rsidRPr="00283806">
        <w:rPr>
          <w:w w:val="105"/>
        </w:rPr>
        <w:t>emitted.</w:t>
      </w:r>
      <w:r w:rsidRPr="00283806">
        <w:rPr>
          <w:spacing w:val="33"/>
          <w:w w:val="105"/>
        </w:rPr>
        <w:t xml:space="preserve"> </w:t>
      </w:r>
      <w:r w:rsidRPr="00283806">
        <w:rPr>
          <w:w w:val="105"/>
        </w:rPr>
        <w:t>The final rule provides 12 months from the approval of a retrofit or retirement plan to retrofit or replace a system. There is also the ability to extend the implementation of an owner or operator’s retrofit or retirement plan by one year if certain conditions are met.</w:t>
      </w:r>
    </w:p>
    <w:p w14:paraId="2AC11024" w14:textId="77777777" w:rsidR="00D67C1E" w:rsidRPr="00283806" w:rsidRDefault="001265CA">
      <w:pPr>
        <w:pStyle w:val="BodyText"/>
        <w:spacing w:line="185" w:lineRule="exact"/>
        <w:ind w:left="143"/>
      </w:pPr>
      <w:r w:rsidRPr="00283806">
        <w:rPr>
          <w:w w:val="105"/>
        </w:rPr>
        <w:t>The</w:t>
      </w:r>
      <w:r w:rsidRPr="00283806">
        <w:rPr>
          <w:spacing w:val="17"/>
          <w:w w:val="105"/>
        </w:rPr>
        <w:t xml:space="preserve"> </w:t>
      </w:r>
      <w:r w:rsidRPr="00283806">
        <w:rPr>
          <w:w w:val="105"/>
        </w:rPr>
        <w:t>Agency</w:t>
      </w:r>
      <w:r w:rsidRPr="00283806">
        <w:rPr>
          <w:spacing w:val="18"/>
          <w:w w:val="105"/>
        </w:rPr>
        <w:t xml:space="preserve"> </w:t>
      </w:r>
      <w:r w:rsidRPr="00283806">
        <w:rPr>
          <w:w w:val="105"/>
        </w:rPr>
        <w:t>finds</w:t>
      </w:r>
      <w:r w:rsidRPr="00283806">
        <w:rPr>
          <w:spacing w:val="17"/>
          <w:w w:val="105"/>
        </w:rPr>
        <w:t xml:space="preserve"> </w:t>
      </w:r>
      <w:r w:rsidRPr="00283806">
        <w:rPr>
          <w:w w:val="105"/>
        </w:rPr>
        <w:t>this</w:t>
      </w:r>
      <w:r w:rsidRPr="00283806">
        <w:rPr>
          <w:spacing w:val="18"/>
          <w:w w:val="105"/>
        </w:rPr>
        <w:t xml:space="preserve"> </w:t>
      </w:r>
      <w:r w:rsidRPr="00283806">
        <w:rPr>
          <w:w w:val="105"/>
        </w:rPr>
        <w:t>timing</w:t>
      </w:r>
      <w:r w:rsidRPr="00283806">
        <w:rPr>
          <w:spacing w:val="17"/>
          <w:w w:val="105"/>
        </w:rPr>
        <w:t xml:space="preserve"> </w:t>
      </w:r>
      <w:r w:rsidRPr="00283806">
        <w:rPr>
          <w:w w:val="105"/>
        </w:rPr>
        <w:t>to</w:t>
      </w:r>
      <w:r w:rsidRPr="00283806">
        <w:rPr>
          <w:spacing w:val="18"/>
          <w:w w:val="105"/>
        </w:rPr>
        <w:t xml:space="preserve"> </w:t>
      </w:r>
      <w:r w:rsidRPr="00283806">
        <w:rPr>
          <w:spacing w:val="-5"/>
          <w:w w:val="105"/>
        </w:rPr>
        <w:t>be</w:t>
      </w:r>
    </w:p>
    <w:p w14:paraId="4B94FB49" w14:textId="77777777" w:rsidR="00D67C1E" w:rsidRPr="00283806" w:rsidRDefault="001265CA">
      <w:pPr>
        <w:pStyle w:val="BodyText"/>
        <w:spacing w:before="3" w:line="228" w:lineRule="auto"/>
        <w:ind w:left="143" w:right="210"/>
      </w:pPr>
      <w:r w:rsidRPr="00283806">
        <w:rPr>
          <w:w w:val="105"/>
        </w:rPr>
        <w:t>sufficient and notes that the commenter did not provide sufficient evidence to prove that these specific IPR systems</w:t>
      </w:r>
    </w:p>
    <w:p w14:paraId="2D7900EE"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6" w:space="40"/>
            <w:col w:w="3501" w:space="39"/>
            <w:col w:w="3624"/>
          </w:cols>
        </w:sectPr>
      </w:pPr>
    </w:p>
    <w:p w14:paraId="16256309" w14:textId="77777777" w:rsidR="00D67C1E" w:rsidRPr="00283806" w:rsidRDefault="001265CA">
      <w:pPr>
        <w:pStyle w:val="BodyText"/>
        <w:spacing w:before="134" w:line="228" w:lineRule="auto"/>
        <w:ind w:right="38"/>
      </w:pPr>
      <w:r w:rsidRPr="00283806">
        <w:rPr>
          <w:w w:val="105"/>
        </w:rPr>
        <w:lastRenderedPageBreak/>
        <w:t xml:space="preserve">take an exceptionally long time to replace. </w:t>
      </w:r>
      <w:proofErr w:type="gramStart"/>
      <w:r w:rsidRPr="00283806">
        <w:rPr>
          <w:w w:val="105"/>
        </w:rPr>
        <w:t>In regard to</w:t>
      </w:r>
      <w:proofErr w:type="gramEnd"/>
      <w:r w:rsidRPr="00283806">
        <w:rPr>
          <w:w w:val="105"/>
        </w:rPr>
        <w:t xml:space="preserve"> the commenter’s concerns on retrofitting not typically being an option for certain low- temperature IPR systems due to limited lower-GWP options, EPA reiterates that changes to the definition of retrofit should permit the retrofit of these appliances. This change should provide owners and operators with the option to retrofit or retire an appliance, even</w:t>
      </w:r>
      <w:r w:rsidRPr="00283806">
        <w:rPr>
          <w:spacing w:val="40"/>
          <w:w w:val="105"/>
        </w:rPr>
        <w:t xml:space="preserve"> </w:t>
      </w:r>
      <w:r w:rsidRPr="00283806">
        <w:rPr>
          <w:w w:val="105"/>
        </w:rPr>
        <w:t>under the circumstances described by the commenter.</w:t>
      </w:r>
    </w:p>
    <w:p w14:paraId="33550911" w14:textId="77777777" w:rsidR="00D67C1E" w:rsidRPr="00283806" w:rsidRDefault="001265CA">
      <w:pPr>
        <w:pStyle w:val="BodyText"/>
        <w:spacing w:before="17" w:line="223" w:lineRule="auto"/>
        <w:ind w:right="37" w:firstLine="180"/>
      </w:pPr>
      <w:r w:rsidRPr="00283806">
        <w:rPr>
          <w:rFonts w:ascii="Book Antiqua"/>
          <w:i/>
          <w:w w:val="105"/>
        </w:rPr>
        <w:t xml:space="preserve">Comment: </w:t>
      </w:r>
      <w:r w:rsidRPr="00283806">
        <w:rPr>
          <w:w w:val="105"/>
        </w:rPr>
        <w:t>One commenter stated that 30 days is inadequate to develop a retrofit and retirement plan for complex appliances like supermarket systems.</w:t>
      </w:r>
    </w:p>
    <w:p w14:paraId="60499EE0" w14:textId="77777777" w:rsidR="00D67C1E" w:rsidRPr="00283806" w:rsidRDefault="001265CA">
      <w:pPr>
        <w:pStyle w:val="BodyText"/>
        <w:spacing w:before="2" w:line="228" w:lineRule="auto"/>
        <w:ind w:right="9"/>
      </w:pPr>
      <w:r w:rsidRPr="00283806">
        <w:rPr>
          <w:w w:val="105"/>
        </w:rPr>
        <w:t>The commenter claimed that multiple repair attempts may be necessary to effectuate a repair and stated that</w:t>
      </w:r>
      <w:r w:rsidRPr="00283806">
        <w:rPr>
          <w:spacing w:val="40"/>
          <w:w w:val="105"/>
        </w:rPr>
        <w:t xml:space="preserve"> </w:t>
      </w:r>
      <w:r w:rsidRPr="00283806">
        <w:rPr>
          <w:w w:val="105"/>
        </w:rPr>
        <w:t>owners or operators would not have the opportunity to conduct multiple repair attempts and would therefore be pushed into developing a retrofit and retirement plan. Further, the commenter asserted that there is uncertainty on the</w:t>
      </w:r>
      <w:r w:rsidRPr="00283806">
        <w:rPr>
          <w:spacing w:val="40"/>
          <w:w w:val="105"/>
        </w:rPr>
        <w:t xml:space="preserve"> </w:t>
      </w:r>
      <w:r w:rsidRPr="00283806">
        <w:rPr>
          <w:w w:val="105"/>
        </w:rPr>
        <w:t>timeframe to complete retrofit or retirement plans because the approval of extension</w:t>
      </w:r>
      <w:r w:rsidRPr="00283806">
        <w:rPr>
          <w:spacing w:val="40"/>
          <w:w w:val="105"/>
        </w:rPr>
        <w:t xml:space="preserve"> </w:t>
      </w:r>
      <w:r w:rsidRPr="00283806">
        <w:rPr>
          <w:w w:val="105"/>
        </w:rPr>
        <w:t>requests</w:t>
      </w:r>
      <w:r w:rsidRPr="00283806">
        <w:rPr>
          <w:spacing w:val="40"/>
          <w:w w:val="105"/>
        </w:rPr>
        <w:t xml:space="preserve"> </w:t>
      </w:r>
      <w:r w:rsidRPr="00283806">
        <w:rPr>
          <w:w w:val="105"/>
        </w:rPr>
        <w:t>is</w:t>
      </w:r>
      <w:r w:rsidRPr="00283806">
        <w:rPr>
          <w:spacing w:val="40"/>
          <w:w w:val="105"/>
        </w:rPr>
        <w:t xml:space="preserve"> </w:t>
      </w:r>
      <w:r w:rsidRPr="00283806">
        <w:rPr>
          <w:w w:val="105"/>
        </w:rPr>
        <w:t>at</w:t>
      </w:r>
      <w:r w:rsidRPr="00283806">
        <w:rPr>
          <w:spacing w:val="40"/>
          <w:w w:val="105"/>
        </w:rPr>
        <w:t xml:space="preserve"> </w:t>
      </w:r>
      <w:r w:rsidRPr="00283806">
        <w:rPr>
          <w:w w:val="105"/>
        </w:rPr>
        <w:t>EPA’s discretion. For these reasons, the commenter suggested EPA extend the time to create a retrofit and retirement plan to 90 days to allow for sufficient development of the plan. Additionally,</w:t>
      </w:r>
      <w:r w:rsidRPr="00283806">
        <w:rPr>
          <w:spacing w:val="40"/>
          <w:w w:val="105"/>
        </w:rPr>
        <w:t xml:space="preserve"> </w:t>
      </w:r>
      <w:r w:rsidRPr="00283806">
        <w:rPr>
          <w:w w:val="105"/>
        </w:rPr>
        <w:t>the commenter suggested EPA could adopt retrofit or retirement planning if</w:t>
      </w:r>
      <w:r w:rsidRPr="00283806">
        <w:rPr>
          <w:spacing w:val="40"/>
          <w:w w:val="105"/>
        </w:rPr>
        <w:t xml:space="preserve"> </w:t>
      </w:r>
      <w:r w:rsidRPr="00283806">
        <w:rPr>
          <w:w w:val="105"/>
        </w:rPr>
        <w:t>an appliance has two or more leaks during which a certain percentage of the full charge is lost in a calendar year. The commenter also proposed an alternative relief provision if the owner or operator has a zero percent leak rate for the first 180 days of the following calendar year.</w:t>
      </w:r>
    </w:p>
    <w:p w14:paraId="0360DF14" w14:textId="77777777" w:rsidR="00D67C1E" w:rsidRPr="00283806" w:rsidRDefault="001265CA">
      <w:pPr>
        <w:pStyle w:val="BodyText"/>
        <w:spacing w:before="7" w:line="228" w:lineRule="auto"/>
        <w:ind w:right="17" w:firstLine="180"/>
      </w:pPr>
      <w:r w:rsidRPr="00283806">
        <w:rPr>
          <w:w w:val="105"/>
        </w:rPr>
        <w:t>The commenter also asserted that the rule exceeds EPA’s authority under the AIM Act because it would undermine</w:t>
      </w:r>
      <w:r w:rsidRPr="00283806">
        <w:rPr>
          <w:spacing w:val="80"/>
          <w:w w:val="105"/>
        </w:rPr>
        <w:t xml:space="preserve"> </w:t>
      </w:r>
      <w:r w:rsidRPr="00283806">
        <w:rPr>
          <w:w w:val="105"/>
        </w:rPr>
        <w:t>key flexibilities intended by Congress in phasing down HFCs. The commenter asserted that the AIM Act does not</w:t>
      </w:r>
      <w:r w:rsidRPr="00283806">
        <w:rPr>
          <w:spacing w:val="80"/>
          <w:w w:val="105"/>
        </w:rPr>
        <w:t xml:space="preserve"> </w:t>
      </w:r>
      <w:r w:rsidRPr="00283806">
        <w:rPr>
          <w:w w:val="105"/>
        </w:rPr>
        <w:t>confer limitless authority to EPA to impose the expansive and unnecessarily burdensome leak detection and repair requirements set forth in the proposed rule. The commenter also claimed that subsection (h) does not authorize the Agency to compel retrofit of existing refrigeration appliances with lower-</w:t>
      </w:r>
      <w:r w:rsidRPr="00283806">
        <w:rPr>
          <w:spacing w:val="40"/>
          <w:w w:val="105"/>
        </w:rPr>
        <w:t xml:space="preserve"> </w:t>
      </w:r>
      <w:r w:rsidRPr="00283806">
        <w:rPr>
          <w:w w:val="105"/>
        </w:rPr>
        <w:t>GWP refrigerants or to require system retrofit</w:t>
      </w:r>
      <w:r w:rsidRPr="00283806">
        <w:rPr>
          <w:spacing w:val="-4"/>
          <w:w w:val="105"/>
        </w:rPr>
        <w:t xml:space="preserve"> </w:t>
      </w:r>
      <w:r w:rsidRPr="00283806">
        <w:rPr>
          <w:w w:val="105"/>
        </w:rPr>
        <w:t>or</w:t>
      </w:r>
      <w:r w:rsidRPr="00283806">
        <w:rPr>
          <w:spacing w:val="-4"/>
          <w:w w:val="105"/>
        </w:rPr>
        <w:t xml:space="preserve"> </w:t>
      </w:r>
      <w:r w:rsidRPr="00283806">
        <w:rPr>
          <w:w w:val="105"/>
        </w:rPr>
        <w:t>retirement</w:t>
      </w:r>
      <w:r w:rsidRPr="00283806">
        <w:rPr>
          <w:spacing w:val="-4"/>
          <w:w w:val="105"/>
        </w:rPr>
        <w:t xml:space="preserve"> </w:t>
      </w:r>
      <w:r w:rsidRPr="00283806">
        <w:rPr>
          <w:w w:val="105"/>
        </w:rPr>
        <w:t>in</w:t>
      </w:r>
      <w:r w:rsidRPr="00283806">
        <w:rPr>
          <w:spacing w:val="-4"/>
          <w:w w:val="105"/>
        </w:rPr>
        <w:t xml:space="preserve"> </w:t>
      </w:r>
      <w:r w:rsidRPr="00283806">
        <w:rPr>
          <w:w w:val="105"/>
        </w:rPr>
        <w:t>situations</w:t>
      </w:r>
      <w:r w:rsidRPr="00283806">
        <w:rPr>
          <w:spacing w:val="-4"/>
          <w:w w:val="105"/>
        </w:rPr>
        <w:t xml:space="preserve"> </w:t>
      </w:r>
      <w:r w:rsidRPr="00283806">
        <w:rPr>
          <w:w w:val="105"/>
        </w:rPr>
        <w:t>where leaks cannot be addressed under the narrow leak repair timeline in the final rule. The commenter further stated that finalizing these requirements would contravene the congressional intent that EPA establish a market-based</w:t>
      </w:r>
      <w:r w:rsidRPr="00283806">
        <w:rPr>
          <w:spacing w:val="40"/>
          <w:w w:val="105"/>
        </w:rPr>
        <w:t xml:space="preserve"> </w:t>
      </w:r>
      <w:r w:rsidRPr="00283806">
        <w:rPr>
          <w:w w:val="105"/>
        </w:rPr>
        <w:t>mechanism to phase down HFCs in an economically efficient way and that existing systems be exempt from</w:t>
      </w:r>
    </w:p>
    <w:p w14:paraId="365AC4BA" w14:textId="77777777" w:rsidR="00D67C1E" w:rsidRPr="00283806" w:rsidRDefault="001265CA">
      <w:pPr>
        <w:pStyle w:val="BodyText"/>
        <w:spacing w:before="134" w:line="225" w:lineRule="auto"/>
        <w:ind w:left="144" w:right="26"/>
      </w:pPr>
      <w:r w:rsidRPr="00283806">
        <w:br w:type="column"/>
      </w:r>
      <w:r w:rsidRPr="00283806">
        <w:rPr>
          <w:w w:val="105"/>
        </w:rPr>
        <w:t>technology-forcing regulations, which</w:t>
      </w:r>
      <w:r w:rsidRPr="00283806">
        <w:rPr>
          <w:spacing w:val="80"/>
          <w:w w:val="105"/>
        </w:rPr>
        <w:t xml:space="preserve"> </w:t>
      </w:r>
      <w:r w:rsidRPr="00283806">
        <w:rPr>
          <w:w w:val="105"/>
        </w:rPr>
        <w:t>are only authorized under subsection (i).</w:t>
      </w:r>
    </w:p>
    <w:p w14:paraId="5339F1D4" w14:textId="77777777" w:rsidR="00D67C1E" w:rsidRPr="00283806" w:rsidRDefault="001265CA">
      <w:pPr>
        <w:spacing w:line="185" w:lineRule="exact"/>
        <w:ind w:left="324"/>
        <w:rPr>
          <w:sz w:val="18"/>
        </w:rPr>
      </w:pPr>
      <w:r w:rsidRPr="00283806">
        <w:rPr>
          <w:rFonts w:ascii="Book Antiqua"/>
          <w:i/>
          <w:w w:val="110"/>
          <w:sz w:val="18"/>
        </w:rPr>
        <w:t>Response:</w:t>
      </w:r>
      <w:r w:rsidRPr="00283806">
        <w:rPr>
          <w:rFonts w:ascii="Book Antiqua"/>
          <w:i/>
          <w:spacing w:val="-5"/>
          <w:w w:val="110"/>
          <w:sz w:val="18"/>
        </w:rPr>
        <w:t xml:space="preserve"> </w:t>
      </w:r>
      <w:r w:rsidRPr="00283806">
        <w:rPr>
          <w:w w:val="110"/>
          <w:sz w:val="18"/>
        </w:rPr>
        <w:t>The</w:t>
      </w:r>
      <w:r w:rsidRPr="00283806">
        <w:rPr>
          <w:spacing w:val="2"/>
          <w:w w:val="110"/>
          <w:sz w:val="18"/>
        </w:rPr>
        <w:t xml:space="preserve"> </w:t>
      </w:r>
      <w:r w:rsidRPr="00283806">
        <w:rPr>
          <w:w w:val="110"/>
          <w:sz w:val="18"/>
        </w:rPr>
        <w:t>Agency</w:t>
      </w:r>
      <w:r w:rsidRPr="00283806">
        <w:rPr>
          <w:spacing w:val="1"/>
          <w:w w:val="110"/>
          <w:sz w:val="18"/>
        </w:rPr>
        <w:t xml:space="preserve"> </w:t>
      </w:r>
      <w:proofErr w:type="gramStart"/>
      <w:r w:rsidRPr="00283806">
        <w:rPr>
          <w:w w:val="110"/>
          <w:sz w:val="18"/>
        </w:rPr>
        <w:t>disagrees</w:t>
      </w:r>
      <w:proofErr w:type="gramEnd"/>
      <w:r w:rsidRPr="00283806">
        <w:rPr>
          <w:spacing w:val="2"/>
          <w:w w:val="110"/>
          <w:sz w:val="18"/>
        </w:rPr>
        <w:t xml:space="preserve"> </w:t>
      </w:r>
      <w:r w:rsidRPr="00283806">
        <w:rPr>
          <w:spacing w:val="-4"/>
          <w:w w:val="110"/>
          <w:sz w:val="18"/>
        </w:rPr>
        <w:t>that</w:t>
      </w:r>
    </w:p>
    <w:p w14:paraId="70FF3F2F" w14:textId="77777777" w:rsidR="00D67C1E" w:rsidRPr="00283806" w:rsidRDefault="001265CA">
      <w:pPr>
        <w:pStyle w:val="BodyText"/>
        <w:spacing w:line="225" w:lineRule="auto"/>
        <w:ind w:left="144" w:right="139"/>
      </w:pPr>
      <w:r w:rsidRPr="00283806">
        <w:rPr>
          <w:w w:val="105"/>
        </w:rPr>
        <w:t>30 days is not enough time to prepare</w:t>
      </w:r>
      <w:r w:rsidRPr="00283806">
        <w:rPr>
          <w:spacing w:val="80"/>
          <w:w w:val="105"/>
        </w:rPr>
        <w:t xml:space="preserve"> </w:t>
      </w:r>
      <w:r w:rsidRPr="00283806">
        <w:rPr>
          <w:w w:val="105"/>
        </w:rPr>
        <w:t>a</w:t>
      </w:r>
      <w:r w:rsidRPr="00283806">
        <w:rPr>
          <w:spacing w:val="-1"/>
          <w:w w:val="105"/>
        </w:rPr>
        <w:t xml:space="preserve"> </w:t>
      </w:r>
      <w:r w:rsidRPr="00283806">
        <w:rPr>
          <w:w w:val="105"/>
        </w:rPr>
        <w:t>retrofit</w:t>
      </w:r>
      <w:r w:rsidRPr="00283806">
        <w:rPr>
          <w:spacing w:val="-1"/>
          <w:w w:val="105"/>
        </w:rPr>
        <w:t xml:space="preserve"> </w:t>
      </w:r>
      <w:r w:rsidRPr="00283806">
        <w:rPr>
          <w:w w:val="105"/>
        </w:rPr>
        <w:t>or</w:t>
      </w:r>
      <w:r w:rsidRPr="00283806">
        <w:rPr>
          <w:spacing w:val="-1"/>
          <w:w w:val="105"/>
        </w:rPr>
        <w:t xml:space="preserve"> </w:t>
      </w:r>
      <w:r w:rsidRPr="00283806">
        <w:rPr>
          <w:w w:val="105"/>
        </w:rPr>
        <w:t>retirement</w:t>
      </w:r>
      <w:r w:rsidRPr="00283806">
        <w:rPr>
          <w:spacing w:val="-1"/>
          <w:w w:val="105"/>
        </w:rPr>
        <w:t xml:space="preserve"> </w:t>
      </w:r>
      <w:r w:rsidRPr="00283806">
        <w:rPr>
          <w:w w:val="105"/>
        </w:rPr>
        <w:t>plan.</w:t>
      </w:r>
      <w:r w:rsidRPr="00283806">
        <w:rPr>
          <w:spacing w:val="-1"/>
          <w:w w:val="105"/>
        </w:rPr>
        <w:t xml:space="preserve"> </w:t>
      </w:r>
      <w:r w:rsidRPr="00283806">
        <w:rPr>
          <w:w w:val="105"/>
        </w:rPr>
        <w:t>Owners</w:t>
      </w:r>
      <w:r w:rsidRPr="00283806">
        <w:rPr>
          <w:spacing w:val="-1"/>
          <w:w w:val="105"/>
        </w:rPr>
        <w:t xml:space="preserve"> </w:t>
      </w:r>
      <w:r w:rsidRPr="00283806">
        <w:rPr>
          <w:w w:val="105"/>
        </w:rPr>
        <w:t>or</w:t>
      </w:r>
    </w:p>
    <w:p w14:paraId="0B27E0DE" w14:textId="77777777" w:rsidR="00D67C1E" w:rsidRPr="00283806" w:rsidRDefault="001265CA">
      <w:pPr>
        <w:pStyle w:val="BodyText"/>
        <w:spacing w:line="225" w:lineRule="auto"/>
        <w:ind w:left="144"/>
      </w:pPr>
      <w:r w:rsidRPr="00283806">
        <w:t>operators will typically know during the</w:t>
      </w:r>
      <w:r w:rsidRPr="00283806">
        <w:rPr>
          <w:spacing w:val="80"/>
        </w:rPr>
        <w:t xml:space="preserve"> </w:t>
      </w:r>
      <w:r w:rsidRPr="00283806">
        <w:t>leak repair process whether they will</w:t>
      </w:r>
      <w:r w:rsidRPr="00283806">
        <w:rPr>
          <w:spacing w:val="40"/>
        </w:rPr>
        <w:t xml:space="preserve"> </w:t>
      </w:r>
      <w:r w:rsidRPr="00283806">
        <w:t>retrofit or retire an appliance. Some</w:t>
      </w:r>
      <w:r w:rsidRPr="00283806">
        <w:rPr>
          <w:spacing w:val="40"/>
        </w:rPr>
        <w:t xml:space="preserve"> </w:t>
      </w:r>
      <w:r w:rsidRPr="00283806">
        <w:t>owners or operators might also prefer to</w:t>
      </w:r>
      <w:r w:rsidRPr="00283806">
        <w:rPr>
          <w:spacing w:val="40"/>
        </w:rPr>
        <w:t xml:space="preserve"> </w:t>
      </w:r>
      <w:r w:rsidRPr="00283806">
        <w:t>opt</w:t>
      </w:r>
      <w:r w:rsidRPr="00283806">
        <w:rPr>
          <w:spacing w:val="40"/>
        </w:rPr>
        <w:t xml:space="preserve"> </w:t>
      </w:r>
      <w:r w:rsidRPr="00283806">
        <w:t>into</w:t>
      </w:r>
      <w:r w:rsidRPr="00283806">
        <w:rPr>
          <w:spacing w:val="40"/>
        </w:rPr>
        <w:t xml:space="preserve"> </w:t>
      </w:r>
      <w:r w:rsidRPr="00283806">
        <w:t>a</w:t>
      </w:r>
      <w:r w:rsidRPr="00283806">
        <w:rPr>
          <w:spacing w:val="40"/>
        </w:rPr>
        <w:t xml:space="preserve"> </w:t>
      </w:r>
      <w:r w:rsidRPr="00283806">
        <w:t>retrofit</w:t>
      </w:r>
      <w:r w:rsidRPr="00283806">
        <w:rPr>
          <w:spacing w:val="40"/>
        </w:rPr>
        <w:t xml:space="preserve"> </w:t>
      </w:r>
      <w:r w:rsidRPr="00283806">
        <w:t>or</w:t>
      </w:r>
      <w:r w:rsidRPr="00283806">
        <w:rPr>
          <w:spacing w:val="40"/>
        </w:rPr>
        <w:t xml:space="preserve"> </w:t>
      </w:r>
      <w:r w:rsidRPr="00283806">
        <w:t>retirement</w:t>
      </w:r>
      <w:r w:rsidRPr="00283806">
        <w:rPr>
          <w:spacing w:val="40"/>
        </w:rPr>
        <w:t xml:space="preserve"> </w:t>
      </w:r>
      <w:r w:rsidRPr="00283806">
        <w:t>plan</w:t>
      </w:r>
      <w:r w:rsidRPr="00283806">
        <w:rPr>
          <w:spacing w:val="40"/>
        </w:rPr>
        <w:t xml:space="preserve"> </w:t>
      </w:r>
      <w:r w:rsidRPr="00283806">
        <w:t>in</w:t>
      </w:r>
      <w:r w:rsidRPr="00283806">
        <w:rPr>
          <w:spacing w:val="40"/>
        </w:rPr>
        <w:t xml:space="preserve"> </w:t>
      </w:r>
      <w:r w:rsidRPr="00283806">
        <w:t>lieu of attempting a leak repair or if the</w:t>
      </w:r>
      <w:r w:rsidRPr="00283806">
        <w:rPr>
          <w:spacing w:val="40"/>
        </w:rPr>
        <w:t xml:space="preserve"> </w:t>
      </w:r>
      <w:r w:rsidRPr="00283806">
        <w:t>appliance</w:t>
      </w:r>
      <w:r w:rsidRPr="00283806">
        <w:rPr>
          <w:spacing w:val="40"/>
        </w:rPr>
        <w:t xml:space="preserve"> </w:t>
      </w:r>
      <w:r w:rsidRPr="00283806">
        <w:t>is</w:t>
      </w:r>
      <w:r w:rsidRPr="00283806">
        <w:rPr>
          <w:spacing w:val="40"/>
        </w:rPr>
        <w:t xml:space="preserve"> </w:t>
      </w:r>
      <w:r w:rsidRPr="00283806">
        <w:t>continuing</w:t>
      </w:r>
      <w:r w:rsidRPr="00283806">
        <w:rPr>
          <w:spacing w:val="40"/>
        </w:rPr>
        <w:t xml:space="preserve"> </w:t>
      </w:r>
      <w:r w:rsidRPr="00283806">
        <w:t>to</w:t>
      </w:r>
      <w:r w:rsidRPr="00283806">
        <w:rPr>
          <w:spacing w:val="40"/>
        </w:rPr>
        <w:t xml:space="preserve"> </w:t>
      </w:r>
      <w:r w:rsidRPr="00283806">
        <w:t>leak</w:t>
      </w:r>
      <w:r w:rsidRPr="00283806">
        <w:rPr>
          <w:spacing w:val="40"/>
        </w:rPr>
        <w:t xml:space="preserve"> </w:t>
      </w:r>
      <w:r w:rsidRPr="00283806">
        <w:t>above</w:t>
      </w:r>
      <w:r w:rsidRPr="00283806">
        <w:rPr>
          <w:spacing w:val="80"/>
          <w:w w:val="150"/>
        </w:rPr>
        <w:t xml:space="preserve"> </w:t>
      </w:r>
      <w:r w:rsidRPr="00283806">
        <w:t>the</w:t>
      </w:r>
      <w:r w:rsidRPr="00283806">
        <w:rPr>
          <w:spacing w:val="40"/>
        </w:rPr>
        <w:t xml:space="preserve"> </w:t>
      </w:r>
      <w:r w:rsidRPr="00283806">
        <w:t>applicable</w:t>
      </w:r>
      <w:r w:rsidRPr="00283806">
        <w:rPr>
          <w:spacing w:val="40"/>
        </w:rPr>
        <w:t xml:space="preserve"> </w:t>
      </w:r>
      <w:r w:rsidRPr="00283806">
        <w:t>leak</w:t>
      </w:r>
      <w:r w:rsidRPr="00283806">
        <w:rPr>
          <w:spacing w:val="40"/>
        </w:rPr>
        <w:t xml:space="preserve"> </w:t>
      </w:r>
      <w:r w:rsidRPr="00283806">
        <w:t>rate</w:t>
      </w:r>
      <w:r w:rsidRPr="00283806">
        <w:rPr>
          <w:spacing w:val="40"/>
        </w:rPr>
        <w:t xml:space="preserve"> </w:t>
      </w:r>
      <w:r w:rsidRPr="00283806">
        <w:t>after</w:t>
      </w:r>
      <w:r w:rsidRPr="00283806">
        <w:rPr>
          <w:spacing w:val="40"/>
        </w:rPr>
        <w:t xml:space="preserve"> </w:t>
      </w:r>
      <w:r w:rsidRPr="00283806">
        <w:t>an</w:t>
      </w:r>
      <w:r w:rsidRPr="00283806">
        <w:rPr>
          <w:spacing w:val="40"/>
        </w:rPr>
        <w:t xml:space="preserve"> </w:t>
      </w:r>
      <w:r w:rsidRPr="00283806">
        <w:t>attempted leak repair(s) and verification</w:t>
      </w:r>
      <w:r w:rsidRPr="00283806">
        <w:rPr>
          <w:spacing w:val="40"/>
        </w:rPr>
        <w:t xml:space="preserve"> </w:t>
      </w:r>
      <w:r w:rsidRPr="00283806">
        <w:t>testing.</w:t>
      </w:r>
      <w:r w:rsidRPr="00283806">
        <w:rPr>
          <w:spacing w:val="40"/>
        </w:rPr>
        <w:t xml:space="preserve"> </w:t>
      </w:r>
      <w:r w:rsidRPr="00283806">
        <w:t>The</w:t>
      </w:r>
      <w:r w:rsidRPr="00283806">
        <w:rPr>
          <w:spacing w:val="40"/>
        </w:rPr>
        <w:t xml:space="preserve"> </w:t>
      </w:r>
      <w:r w:rsidRPr="00283806">
        <w:t>Agency</w:t>
      </w:r>
      <w:r w:rsidRPr="00283806">
        <w:rPr>
          <w:spacing w:val="40"/>
        </w:rPr>
        <w:t xml:space="preserve"> </w:t>
      </w:r>
      <w:r w:rsidRPr="00283806">
        <w:t>clarifies</w:t>
      </w:r>
      <w:r w:rsidRPr="00283806">
        <w:rPr>
          <w:spacing w:val="40"/>
        </w:rPr>
        <w:t xml:space="preserve"> </w:t>
      </w:r>
      <w:r w:rsidRPr="00283806">
        <w:t>that</w:t>
      </w:r>
      <w:r w:rsidRPr="00283806">
        <w:rPr>
          <w:spacing w:val="40"/>
        </w:rPr>
        <w:t xml:space="preserve"> </w:t>
      </w:r>
      <w:r w:rsidRPr="00283806">
        <w:t>the</w:t>
      </w:r>
      <w:r w:rsidRPr="00283806">
        <w:rPr>
          <w:spacing w:val="80"/>
        </w:rPr>
        <w:t xml:space="preserve"> </w:t>
      </w:r>
      <w:r w:rsidRPr="00283806">
        <w:t>leak</w:t>
      </w:r>
      <w:r w:rsidRPr="00283806">
        <w:rPr>
          <w:spacing w:val="40"/>
        </w:rPr>
        <w:t xml:space="preserve"> </w:t>
      </w:r>
      <w:r w:rsidRPr="00283806">
        <w:t>repair</w:t>
      </w:r>
      <w:r w:rsidRPr="00283806">
        <w:rPr>
          <w:spacing w:val="40"/>
        </w:rPr>
        <w:t xml:space="preserve"> </w:t>
      </w:r>
      <w:r w:rsidRPr="00283806">
        <w:t>provision</w:t>
      </w:r>
      <w:r w:rsidRPr="00283806">
        <w:rPr>
          <w:spacing w:val="40"/>
        </w:rPr>
        <w:t xml:space="preserve"> </w:t>
      </w:r>
      <w:r w:rsidRPr="00283806">
        <w:t>does</w:t>
      </w:r>
      <w:r w:rsidRPr="00283806">
        <w:rPr>
          <w:spacing w:val="40"/>
        </w:rPr>
        <w:t xml:space="preserve"> </w:t>
      </w:r>
      <w:r w:rsidRPr="00283806">
        <w:t>not</w:t>
      </w:r>
      <w:r w:rsidRPr="00283806">
        <w:rPr>
          <w:spacing w:val="40"/>
        </w:rPr>
        <w:t xml:space="preserve"> </w:t>
      </w:r>
      <w:r w:rsidRPr="00283806">
        <w:t>bar</w:t>
      </w:r>
      <w:r w:rsidRPr="00283806">
        <w:rPr>
          <w:spacing w:val="40"/>
        </w:rPr>
        <w:t xml:space="preserve"> </w:t>
      </w:r>
      <w:r w:rsidRPr="00283806">
        <w:t>owners or operators from conducting</w:t>
      </w:r>
      <w:r w:rsidRPr="00283806">
        <w:rPr>
          <w:spacing w:val="40"/>
        </w:rPr>
        <w:t xml:space="preserve"> </w:t>
      </w:r>
      <w:r w:rsidRPr="00283806">
        <w:t>multiple</w:t>
      </w:r>
      <w:r w:rsidRPr="00283806">
        <w:rPr>
          <w:spacing w:val="57"/>
        </w:rPr>
        <w:t xml:space="preserve"> </w:t>
      </w:r>
      <w:r w:rsidRPr="00283806">
        <w:t>repair</w:t>
      </w:r>
      <w:r w:rsidRPr="00283806">
        <w:rPr>
          <w:spacing w:val="57"/>
        </w:rPr>
        <w:t xml:space="preserve"> </w:t>
      </w:r>
      <w:r w:rsidRPr="00283806">
        <w:t>attempts</w:t>
      </w:r>
      <w:r w:rsidRPr="00283806">
        <w:rPr>
          <w:spacing w:val="58"/>
        </w:rPr>
        <w:t xml:space="preserve"> </w:t>
      </w:r>
      <w:r w:rsidRPr="00283806">
        <w:t>and</w:t>
      </w:r>
      <w:r w:rsidRPr="00283806">
        <w:rPr>
          <w:spacing w:val="80"/>
          <w:w w:val="150"/>
        </w:rPr>
        <w:t xml:space="preserve"> </w:t>
      </w:r>
      <w:r w:rsidRPr="00283806">
        <w:t>verification tests within the leak repair</w:t>
      </w:r>
      <w:r w:rsidRPr="00283806">
        <w:rPr>
          <w:spacing w:val="40"/>
        </w:rPr>
        <w:t xml:space="preserve"> </w:t>
      </w:r>
      <w:r w:rsidRPr="00283806">
        <w:t>timeline</w:t>
      </w:r>
      <w:r w:rsidRPr="00283806">
        <w:rPr>
          <w:spacing w:val="40"/>
        </w:rPr>
        <w:t xml:space="preserve"> </w:t>
      </w:r>
      <w:r w:rsidRPr="00283806">
        <w:t>described</w:t>
      </w:r>
      <w:r w:rsidRPr="00283806">
        <w:rPr>
          <w:spacing w:val="40"/>
        </w:rPr>
        <w:t xml:space="preserve"> </w:t>
      </w:r>
      <w:r w:rsidRPr="00283806">
        <w:t>in</w:t>
      </w:r>
      <w:r w:rsidRPr="00283806">
        <w:rPr>
          <w:spacing w:val="40"/>
        </w:rPr>
        <w:t xml:space="preserve"> </w:t>
      </w:r>
      <w:r w:rsidRPr="00283806">
        <w:t>section</w:t>
      </w:r>
      <w:r w:rsidRPr="00283806">
        <w:rPr>
          <w:spacing w:val="40"/>
        </w:rPr>
        <w:t xml:space="preserve"> </w:t>
      </w:r>
      <w:r w:rsidRPr="00283806">
        <w:t>IV.C.3.b</w:t>
      </w:r>
      <w:r w:rsidRPr="00283806">
        <w:rPr>
          <w:spacing w:val="40"/>
        </w:rPr>
        <w:t xml:space="preserve"> </w:t>
      </w:r>
      <w:r w:rsidRPr="00283806">
        <w:t>of</w:t>
      </w:r>
      <w:r w:rsidRPr="00283806">
        <w:rPr>
          <w:spacing w:val="40"/>
        </w:rPr>
        <w:t xml:space="preserve"> </w:t>
      </w:r>
      <w:r w:rsidRPr="00283806">
        <w:t>this preamble, contrary to the</w:t>
      </w:r>
      <w:r w:rsidRPr="00283806">
        <w:rPr>
          <w:spacing w:val="80"/>
        </w:rPr>
        <w:t xml:space="preserve"> </w:t>
      </w:r>
      <w:r w:rsidRPr="00283806">
        <w:t>commenter’s claim. If the owner or</w:t>
      </w:r>
      <w:r w:rsidRPr="00283806">
        <w:rPr>
          <w:spacing w:val="40"/>
        </w:rPr>
        <w:t xml:space="preserve"> </w:t>
      </w:r>
      <w:r w:rsidRPr="00283806">
        <w:t>operation</w:t>
      </w:r>
      <w:r w:rsidRPr="00283806">
        <w:rPr>
          <w:spacing w:val="30"/>
        </w:rPr>
        <w:t xml:space="preserve"> </w:t>
      </w:r>
      <w:r w:rsidRPr="00283806">
        <w:t>intends</w:t>
      </w:r>
      <w:r w:rsidRPr="00283806">
        <w:rPr>
          <w:spacing w:val="30"/>
        </w:rPr>
        <w:t xml:space="preserve"> </w:t>
      </w:r>
      <w:r w:rsidRPr="00283806">
        <w:t>to</w:t>
      </w:r>
      <w:r w:rsidRPr="00283806">
        <w:rPr>
          <w:spacing w:val="30"/>
        </w:rPr>
        <w:t xml:space="preserve"> </w:t>
      </w:r>
      <w:r w:rsidRPr="00283806">
        <w:t>repair</w:t>
      </w:r>
      <w:r w:rsidRPr="00283806">
        <w:rPr>
          <w:spacing w:val="30"/>
        </w:rPr>
        <w:t xml:space="preserve"> </w:t>
      </w:r>
      <w:r w:rsidRPr="00283806">
        <w:t>the</w:t>
      </w:r>
      <w:r w:rsidRPr="00283806">
        <w:rPr>
          <w:spacing w:val="30"/>
        </w:rPr>
        <w:t xml:space="preserve"> </w:t>
      </w:r>
      <w:r w:rsidRPr="00283806">
        <w:t>leaks</w:t>
      </w:r>
      <w:r w:rsidRPr="00283806">
        <w:rPr>
          <w:spacing w:val="30"/>
        </w:rPr>
        <w:t xml:space="preserve"> </w:t>
      </w:r>
      <w:r w:rsidRPr="00283806">
        <w:t>and</w:t>
      </w:r>
      <w:r w:rsidRPr="00283806">
        <w:rPr>
          <w:spacing w:val="40"/>
        </w:rPr>
        <w:t xml:space="preserve"> </w:t>
      </w:r>
      <w:r w:rsidRPr="00283806">
        <w:t>a repair is attempted, the retrofit or</w:t>
      </w:r>
      <w:r w:rsidRPr="00283806">
        <w:rPr>
          <w:spacing w:val="40"/>
        </w:rPr>
        <w:t xml:space="preserve"> </w:t>
      </w:r>
      <w:r w:rsidRPr="00283806">
        <w:t>retirement requirement in this final rule</w:t>
      </w:r>
      <w:r w:rsidRPr="00283806">
        <w:rPr>
          <w:spacing w:val="40"/>
        </w:rPr>
        <w:t xml:space="preserve"> </w:t>
      </w:r>
      <w:r w:rsidRPr="00283806">
        <w:t>does not begin until the required repairs</w:t>
      </w:r>
      <w:r w:rsidRPr="00283806">
        <w:rPr>
          <w:spacing w:val="40"/>
        </w:rPr>
        <w:t xml:space="preserve"> </w:t>
      </w:r>
      <w:r w:rsidRPr="00283806">
        <w:t>and</w:t>
      </w:r>
      <w:r w:rsidRPr="00283806">
        <w:rPr>
          <w:spacing w:val="40"/>
        </w:rPr>
        <w:t xml:space="preserve"> </w:t>
      </w:r>
      <w:r w:rsidRPr="00283806">
        <w:t>verification</w:t>
      </w:r>
      <w:r w:rsidRPr="00283806">
        <w:rPr>
          <w:spacing w:val="40"/>
        </w:rPr>
        <w:t xml:space="preserve"> </w:t>
      </w:r>
      <w:r w:rsidRPr="00283806">
        <w:t>tests</w:t>
      </w:r>
      <w:r w:rsidRPr="00283806">
        <w:rPr>
          <w:spacing w:val="40"/>
        </w:rPr>
        <w:t xml:space="preserve"> </w:t>
      </w:r>
      <w:r w:rsidRPr="00283806">
        <w:t>have</w:t>
      </w:r>
      <w:r w:rsidRPr="00283806">
        <w:rPr>
          <w:spacing w:val="40"/>
        </w:rPr>
        <w:t xml:space="preserve"> </w:t>
      </w:r>
      <w:r w:rsidRPr="00283806">
        <w:t>been</w:t>
      </w:r>
      <w:r w:rsidRPr="00283806">
        <w:rPr>
          <w:spacing w:val="40"/>
        </w:rPr>
        <w:t xml:space="preserve"> </w:t>
      </w:r>
      <w:r w:rsidRPr="00283806">
        <w:t>completed</w:t>
      </w:r>
      <w:r w:rsidRPr="00283806">
        <w:rPr>
          <w:spacing w:val="40"/>
        </w:rPr>
        <w:t xml:space="preserve"> </w:t>
      </w:r>
      <w:r w:rsidRPr="00283806">
        <w:t>but</w:t>
      </w:r>
      <w:r w:rsidRPr="00283806">
        <w:rPr>
          <w:spacing w:val="40"/>
        </w:rPr>
        <w:t xml:space="preserve"> </w:t>
      </w:r>
      <w:r w:rsidRPr="00283806">
        <w:t>the</w:t>
      </w:r>
      <w:r w:rsidRPr="00283806">
        <w:rPr>
          <w:spacing w:val="40"/>
        </w:rPr>
        <w:t xml:space="preserve"> </w:t>
      </w:r>
      <w:r w:rsidRPr="00283806">
        <w:t>appliance</w:t>
      </w:r>
      <w:r w:rsidRPr="00283806">
        <w:rPr>
          <w:spacing w:val="40"/>
        </w:rPr>
        <w:t xml:space="preserve"> </w:t>
      </w:r>
      <w:r w:rsidRPr="00283806">
        <w:t>has</w:t>
      </w:r>
      <w:r w:rsidRPr="00283806">
        <w:rPr>
          <w:spacing w:val="40"/>
        </w:rPr>
        <w:t xml:space="preserve"> </w:t>
      </w:r>
      <w:r w:rsidRPr="00283806">
        <w:t>not</w:t>
      </w:r>
      <w:r w:rsidRPr="00283806">
        <w:rPr>
          <w:spacing w:val="40"/>
        </w:rPr>
        <w:t xml:space="preserve"> </w:t>
      </w:r>
      <w:r w:rsidRPr="00283806">
        <w:t>been brought below the applicable leak</w:t>
      </w:r>
      <w:r w:rsidRPr="00283806">
        <w:rPr>
          <w:spacing w:val="40"/>
        </w:rPr>
        <w:t xml:space="preserve"> </w:t>
      </w:r>
      <w:r w:rsidRPr="00283806">
        <w:t>rate threshold in the allotted leak repair</w:t>
      </w:r>
      <w:r w:rsidRPr="00283806">
        <w:rPr>
          <w:spacing w:val="40"/>
        </w:rPr>
        <w:t xml:space="preserve"> </w:t>
      </w:r>
      <w:r w:rsidRPr="00283806">
        <w:t>timeframe (see 40 CFR 84.106(h)(1)(iii)).</w:t>
      </w:r>
      <w:r w:rsidRPr="00283806">
        <w:rPr>
          <w:spacing w:val="80"/>
        </w:rPr>
        <w:t xml:space="preserve"> </w:t>
      </w:r>
      <w:r w:rsidRPr="00283806">
        <w:t>If</w:t>
      </w:r>
      <w:r w:rsidRPr="00283806">
        <w:rPr>
          <w:spacing w:val="40"/>
        </w:rPr>
        <w:t xml:space="preserve"> </w:t>
      </w:r>
      <w:r w:rsidRPr="00283806">
        <w:t>the</w:t>
      </w:r>
      <w:r w:rsidRPr="00283806">
        <w:rPr>
          <w:spacing w:val="40"/>
        </w:rPr>
        <w:t xml:space="preserve"> </w:t>
      </w:r>
      <w:r w:rsidRPr="00283806">
        <w:t>initial</w:t>
      </w:r>
      <w:r w:rsidRPr="00283806">
        <w:rPr>
          <w:spacing w:val="40"/>
        </w:rPr>
        <w:t xml:space="preserve"> </w:t>
      </w:r>
      <w:r w:rsidRPr="00283806">
        <w:t>verification</w:t>
      </w:r>
      <w:r w:rsidRPr="00283806">
        <w:rPr>
          <w:spacing w:val="40"/>
        </w:rPr>
        <w:t xml:space="preserve"> </w:t>
      </w:r>
      <w:r w:rsidRPr="00283806">
        <w:t>test</w:t>
      </w:r>
      <w:r w:rsidRPr="00283806">
        <w:rPr>
          <w:spacing w:val="40"/>
        </w:rPr>
        <w:t xml:space="preserve"> </w:t>
      </w:r>
      <w:r w:rsidRPr="00283806">
        <w:t>indicates</w:t>
      </w:r>
      <w:r w:rsidRPr="00283806">
        <w:rPr>
          <w:spacing w:val="40"/>
        </w:rPr>
        <w:t xml:space="preserve"> </w:t>
      </w:r>
      <w:r w:rsidRPr="00283806">
        <w:t>that</w:t>
      </w:r>
      <w:r w:rsidRPr="00283806">
        <w:rPr>
          <w:spacing w:val="40"/>
        </w:rPr>
        <w:t xml:space="preserve"> </w:t>
      </w:r>
      <w:r w:rsidRPr="00283806">
        <w:t>the</w:t>
      </w:r>
      <w:r w:rsidRPr="00283806">
        <w:rPr>
          <w:spacing w:val="40"/>
        </w:rPr>
        <w:t xml:space="preserve"> </w:t>
      </w:r>
      <w:r w:rsidRPr="00283806">
        <w:t>repairs</w:t>
      </w:r>
      <w:r w:rsidRPr="00283806">
        <w:rPr>
          <w:spacing w:val="40"/>
        </w:rPr>
        <w:t xml:space="preserve"> </w:t>
      </w:r>
      <w:r w:rsidRPr="00283806">
        <w:t>have</w:t>
      </w:r>
      <w:r w:rsidRPr="00283806">
        <w:rPr>
          <w:spacing w:val="40"/>
        </w:rPr>
        <w:t xml:space="preserve"> </w:t>
      </w:r>
      <w:r w:rsidRPr="00283806">
        <w:t>not</w:t>
      </w:r>
      <w:r w:rsidRPr="00283806">
        <w:rPr>
          <w:spacing w:val="40"/>
        </w:rPr>
        <w:t xml:space="preserve"> </w:t>
      </w:r>
      <w:r w:rsidRPr="00283806">
        <w:t>been</w:t>
      </w:r>
      <w:r w:rsidRPr="00283806">
        <w:rPr>
          <w:spacing w:val="40"/>
        </w:rPr>
        <w:t xml:space="preserve"> </w:t>
      </w:r>
      <w:r w:rsidRPr="00283806">
        <w:t>successful, the owner or operator may</w:t>
      </w:r>
      <w:r w:rsidRPr="00283806">
        <w:rPr>
          <w:spacing w:val="40"/>
        </w:rPr>
        <w:t xml:space="preserve"> </w:t>
      </w:r>
      <w:r w:rsidRPr="00283806">
        <w:t>conduct as many additional repairs and</w:t>
      </w:r>
      <w:r w:rsidRPr="00283806">
        <w:rPr>
          <w:spacing w:val="80"/>
        </w:rPr>
        <w:t xml:space="preserve"> </w:t>
      </w:r>
      <w:r w:rsidRPr="00283806">
        <w:t>initial</w:t>
      </w:r>
      <w:r w:rsidRPr="00283806">
        <w:rPr>
          <w:spacing w:val="47"/>
        </w:rPr>
        <w:t xml:space="preserve"> </w:t>
      </w:r>
      <w:r w:rsidRPr="00283806">
        <w:t>verification</w:t>
      </w:r>
      <w:r w:rsidRPr="00283806">
        <w:rPr>
          <w:spacing w:val="47"/>
        </w:rPr>
        <w:t xml:space="preserve"> </w:t>
      </w:r>
      <w:r w:rsidRPr="00283806">
        <w:t>tests</w:t>
      </w:r>
      <w:r w:rsidRPr="00283806">
        <w:rPr>
          <w:spacing w:val="47"/>
        </w:rPr>
        <w:t xml:space="preserve"> </w:t>
      </w:r>
      <w:r w:rsidRPr="00283806">
        <w:t>as</w:t>
      </w:r>
      <w:r w:rsidRPr="00283806">
        <w:rPr>
          <w:spacing w:val="47"/>
        </w:rPr>
        <w:t xml:space="preserve"> </w:t>
      </w:r>
      <w:r w:rsidRPr="00283806">
        <w:t>needed</w:t>
      </w:r>
      <w:r w:rsidRPr="00283806">
        <w:rPr>
          <w:spacing w:val="80"/>
          <w:w w:val="150"/>
        </w:rPr>
        <w:t xml:space="preserve"> </w:t>
      </w:r>
      <w:r w:rsidRPr="00283806">
        <w:t>within</w:t>
      </w:r>
      <w:r w:rsidRPr="00283806">
        <w:rPr>
          <w:spacing w:val="40"/>
        </w:rPr>
        <w:t xml:space="preserve"> </w:t>
      </w:r>
      <w:r w:rsidRPr="00283806">
        <w:t>the</w:t>
      </w:r>
      <w:r w:rsidRPr="00283806">
        <w:rPr>
          <w:spacing w:val="40"/>
        </w:rPr>
        <w:t xml:space="preserve"> </w:t>
      </w:r>
      <w:r w:rsidRPr="00283806">
        <w:t>applicable</w:t>
      </w:r>
      <w:r w:rsidRPr="00283806">
        <w:rPr>
          <w:spacing w:val="40"/>
        </w:rPr>
        <w:t xml:space="preserve"> </w:t>
      </w:r>
      <w:r w:rsidRPr="00283806">
        <w:t>time</w:t>
      </w:r>
      <w:r w:rsidRPr="00283806">
        <w:rPr>
          <w:spacing w:val="40"/>
        </w:rPr>
        <w:t xml:space="preserve"> </w:t>
      </w:r>
      <w:r w:rsidRPr="00283806">
        <w:t>period</w:t>
      </w:r>
      <w:r w:rsidRPr="00283806">
        <w:rPr>
          <w:spacing w:val="40"/>
        </w:rPr>
        <w:t xml:space="preserve"> </w:t>
      </w:r>
      <w:r w:rsidRPr="00283806">
        <w:t>(see</w:t>
      </w:r>
      <w:r w:rsidRPr="00283806">
        <w:rPr>
          <w:spacing w:val="80"/>
        </w:rPr>
        <w:t xml:space="preserve"> </w:t>
      </w:r>
      <w:r w:rsidRPr="00283806">
        <w:t>40 CFR 84.106(e)(1)(iii)) and may also</w:t>
      </w:r>
      <w:r w:rsidRPr="00283806">
        <w:rPr>
          <w:spacing w:val="40"/>
        </w:rPr>
        <w:t xml:space="preserve"> </w:t>
      </w:r>
      <w:r w:rsidRPr="00283806">
        <w:t>request an extension if the applicable</w:t>
      </w:r>
      <w:r w:rsidRPr="00283806">
        <w:rPr>
          <w:spacing w:val="40"/>
        </w:rPr>
        <w:t xml:space="preserve"> </w:t>
      </w:r>
      <w:r w:rsidRPr="00283806">
        <w:t>requirements under 40 CFR 84.106(f) are</w:t>
      </w:r>
      <w:r w:rsidRPr="00283806">
        <w:rPr>
          <w:spacing w:val="40"/>
        </w:rPr>
        <w:t xml:space="preserve"> </w:t>
      </w:r>
      <w:r w:rsidRPr="00283806">
        <w:t>met; such requests are considered</w:t>
      </w:r>
      <w:r w:rsidRPr="00283806">
        <w:rPr>
          <w:spacing w:val="40"/>
        </w:rPr>
        <w:t xml:space="preserve"> </w:t>
      </w:r>
      <w:r w:rsidRPr="00283806">
        <w:t>approved</w:t>
      </w:r>
      <w:r w:rsidRPr="00283806">
        <w:rPr>
          <w:spacing w:val="47"/>
        </w:rPr>
        <w:t xml:space="preserve"> </w:t>
      </w:r>
      <w:r w:rsidRPr="00283806">
        <w:t>unless</w:t>
      </w:r>
      <w:r w:rsidRPr="00283806">
        <w:rPr>
          <w:spacing w:val="47"/>
        </w:rPr>
        <w:t xml:space="preserve"> </w:t>
      </w:r>
      <w:r w:rsidRPr="00283806">
        <w:t>EPA</w:t>
      </w:r>
      <w:r w:rsidRPr="00283806">
        <w:rPr>
          <w:spacing w:val="47"/>
        </w:rPr>
        <w:t xml:space="preserve"> </w:t>
      </w:r>
      <w:r w:rsidRPr="00283806">
        <w:t>notifies</w:t>
      </w:r>
      <w:r w:rsidRPr="00283806">
        <w:rPr>
          <w:spacing w:val="47"/>
        </w:rPr>
        <w:t xml:space="preserve"> </w:t>
      </w:r>
      <w:r w:rsidRPr="00283806">
        <w:t>the</w:t>
      </w:r>
      <w:r w:rsidRPr="00283806">
        <w:rPr>
          <w:spacing w:val="80"/>
        </w:rPr>
        <w:t xml:space="preserve"> </w:t>
      </w:r>
      <w:r w:rsidRPr="00283806">
        <w:t>owners or operators otherwise.</w:t>
      </w:r>
    </w:p>
    <w:p w14:paraId="13EA629E" w14:textId="77777777" w:rsidR="00D67C1E" w:rsidRPr="00283806" w:rsidRDefault="001265CA">
      <w:pPr>
        <w:pStyle w:val="BodyText"/>
        <w:spacing w:line="180" w:lineRule="exact"/>
        <w:ind w:left="144"/>
      </w:pPr>
      <w:r w:rsidRPr="00283806">
        <w:rPr>
          <w:w w:val="105"/>
        </w:rPr>
        <w:t>Additionally,</w:t>
      </w:r>
      <w:r w:rsidRPr="00283806">
        <w:rPr>
          <w:spacing w:val="30"/>
          <w:w w:val="105"/>
        </w:rPr>
        <w:t xml:space="preserve"> </w:t>
      </w:r>
      <w:r w:rsidRPr="00283806">
        <w:rPr>
          <w:w w:val="105"/>
        </w:rPr>
        <w:t>the</w:t>
      </w:r>
      <w:r w:rsidRPr="00283806">
        <w:rPr>
          <w:spacing w:val="30"/>
          <w:w w:val="105"/>
        </w:rPr>
        <w:t xml:space="preserve"> </w:t>
      </w:r>
      <w:r w:rsidRPr="00283806">
        <w:rPr>
          <w:w w:val="105"/>
        </w:rPr>
        <w:t>required</w:t>
      </w:r>
      <w:r w:rsidRPr="00283806">
        <w:rPr>
          <w:spacing w:val="30"/>
          <w:w w:val="105"/>
        </w:rPr>
        <w:t xml:space="preserve"> </w:t>
      </w:r>
      <w:r w:rsidRPr="00283806">
        <w:rPr>
          <w:spacing w:val="-2"/>
          <w:w w:val="105"/>
        </w:rPr>
        <w:t>information</w:t>
      </w:r>
    </w:p>
    <w:p w14:paraId="21D60332" w14:textId="77777777" w:rsidR="00D67C1E" w:rsidRPr="00283806" w:rsidRDefault="001265CA">
      <w:pPr>
        <w:pStyle w:val="BodyText"/>
        <w:spacing w:before="2" w:line="225" w:lineRule="auto"/>
        <w:ind w:left="144" w:right="24"/>
      </w:pPr>
      <w:r w:rsidRPr="00283806">
        <w:rPr>
          <w:w w:val="105"/>
        </w:rPr>
        <w:t xml:space="preserve">(40 CFR 84.106(h)(2)) for retrofit or retirement plans should be readily available to the owner or operator. EPA clarifies that retrofit or retirement plans are not required to be submitted to the Agency; the plans must be retained as </w:t>
      </w:r>
      <w:proofErr w:type="gramStart"/>
      <w:r w:rsidRPr="00283806">
        <w:rPr>
          <w:w w:val="105"/>
        </w:rPr>
        <w:t>record</w:t>
      </w:r>
      <w:proofErr w:type="gramEnd"/>
      <w:r w:rsidRPr="00283806">
        <w:rPr>
          <w:w w:val="105"/>
        </w:rPr>
        <w:t xml:space="preserve"> on the site of the refrigerant- containing appliance that can be made readily available for inspection by EPA. Therefore, there is no uncertainty </w:t>
      </w:r>
      <w:proofErr w:type="gramStart"/>
      <w:r w:rsidRPr="00283806">
        <w:rPr>
          <w:w w:val="105"/>
        </w:rPr>
        <w:t>with</w:t>
      </w:r>
      <w:proofErr w:type="gramEnd"/>
      <w:r w:rsidRPr="00283806">
        <w:rPr>
          <w:w w:val="105"/>
        </w:rPr>
        <w:t xml:space="preserve"> whether the Agency would accept a retrofit or retirement plan, because it is not required to be reported to the</w:t>
      </w:r>
      <w:r w:rsidRPr="00283806">
        <w:rPr>
          <w:spacing w:val="40"/>
          <w:w w:val="105"/>
        </w:rPr>
        <w:t xml:space="preserve"> </w:t>
      </w:r>
      <w:r w:rsidRPr="00283806">
        <w:rPr>
          <w:w w:val="105"/>
        </w:rPr>
        <w:t>Agency unless the owner or operator is requesting relief from a retrofit or retirement</w:t>
      </w:r>
      <w:r w:rsidRPr="00283806">
        <w:rPr>
          <w:spacing w:val="-6"/>
          <w:w w:val="105"/>
        </w:rPr>
        <w:t xml:space="preserve"> </w:t>
      </w:r>
      <w:r w:rsidRPr="00283806">
        <w:rPr>
          <w:w w:val="105"/>
        </w:rPr>
        <w:t>plan</w:t>
      </w:r>
      <w:r w:rsidRPr="00283806">
        <w:rPr>
          <w:spacing w:val="-6"/>
          <w:w w:val="105"/>
        </w:rPr>
        <w:t xml:space="preserve"> </w:t>
      </w:r>
      <w:r w:rsidRPr="00283806">
        <w:rPr>
          <w:w w:val="105"/>
        </w:rPr>
        <w:t>or</w:t>
      </w:r>
      <w:r w:rsidRPr="00283806">
        <w:rPr>
          <w:spacing w:val="-6"/>
          <w:w w:val="105"/>
        </w:rPr>
        <w:t xml:space="preserve"> </w:t>
      </w:r>
      <w:r w:rsidRPr="00283806">
        <w:rPr>
          <w:w w:val="105"/>
        </w:rPr>
        <w:t>the</w:t>
      </w:r>
      <w:r w:rsidRPr="00283806">
        <w:rPr>
          <w:spacing w:val="-6"/>
          <w:w w:val="105"/>
        </w:rPr>
        <w:t xml:space="preserve"> </w:t>
      </w:r>
      <w:r w:rsidRPr="00283806">
        <w:rPr>
          <w:w w:val="105"/>
        </w:rPr>
        <w:t>owner</w:t>
      </w:r>
      <w:r w:rsidRPr="00283806">
        <w:rPr>
          <w:spacing w:val="-6"/>
          <w:w w:val="105"/>
        </w:rPr>
        <w:t xml:space="preserve"> </w:t>
      </w:r>
      <w:r w:rsidRPr="00283806">
        <w:rPr>
          <w:w w:val="105"/>
        </w:rPr>
        <w:t>or</w:t>
      </w:r>
      <w:r w:rsidRPr="00283806">
        <w:rPr>
          <w:spacing w:val="-6"/>
          <w:w w:val="105"/>
        </w:rPr>
        <w:t xml:space="preserve"> </w:t>
      </w:r>
      <w:r w:rsidRPr="00283806">
        <w:rPr>
          <w:w w:val="105"/>
        </w:rPr>
        <w:t xml:space="preserve">operator is requesting an extension in time to complete the retrofit or retirement of an appliance. Further, the Agency is providing clarity in the final rule that a retrofit or retirement plan is necessary </w:t>
      </w:r>
      <w:r w:rsidRPr="00283806">
        <w:rPr>
          <w:spacing w:val="-4"/>
          <w:w w:val="105"/>
        </w:rPr>
        <w:t>when:</w:t>
      </w:r>
    </w:p>
    <w:p w14:paraId="2A4546B1" w14:textId="77777777" w:rsidR="00D67C1E" w:rsidRPr="00283806" w:rsidRDefault="001265CA">
      <w:pPr>
        <w:pStyle w:val="ListParagraph"/>
        <w:numPr>
          <w:ilvl w:val="4"/>
          <w:numId w:val="56"/>
        </w:numPr>
        <w:tabs>
          <w:tab w:val="left" w:pos="506"/>
        </w:tabs>
        <w:spacing w:line="173" w:lineRule="exact"/>
        <w:ind w:left="506" w:hanging="182"/>
        <w:rPr>
          <w:sz w:val="18"/>
        </w:rPr>
      </w:pPr>
      <w:r w:rsidRPr="00283806">
        <w:rPr>
          <w:sz w:val="18"/>
        </w:rPr>
        <w:t>A</w:t>
      </w:r>
      <w:r w:rsidRPr="00283806">
        <w:rPr>
          <w:spacing w:val="56"/>
          <w:sz w:val="18"/>
        </w:rPr>
        <w:t xml:space="preserve"> </w:t>
      </w:r>
      <w:r w:rsidRPr="00283806">
        <w:rPr>
          <w:sz w:val="18"/>
        </w:rPr>
        <w:t>refrigerant-containing</w:t>
      </w:r>
      <w:r w:rsidRPr="00283806">
        <w:rPr>
          <w:spacing w:val="57"/>
          <w:sz w:val="18"/>
        </w:rPr>
        <w:t xml:space="preserve"> </w:t>
      </w:r>
      <w:r w:rsidRPr="00283806">
        <w:rPr>
          <w:spacing w:val="-2"/>
          <w:sz w:val="18"/>
        </w:rPr>
        <w:t>appliance</w:t>
      </w:r>
    </w:p>
    <w:p w14:paraId="3EB5D09D" w14:textId="77777777" w:rsidR="00D67C1E" w:rsidRPr="00283806" w:rsidRDefault="001265CA">
      <w:pPr>
        <w:pStyle w:val="BodyText"/>
        <w:spacing w:before="3" w:line="228" w:lineRule="auto"/>
        <w:ind w:left="144"/>
      </w:pPr>
      <w:r w:rsidRPr="00283806">
        <w:rPr>
          <w:w w:val="105"/>
        </w:rPr>
        <w:t>is leaking above the applicable leak rate, and the owner or operator intends to</w:t>
      </w:r>
    </w:p>
    <w:p w14:paraId="6010E87B" w14:textId="77777777" w:rsidR="00D67C1E" w:rsidRPr="00283806" w:rsidRDefault="001265CA">
      <w:pPr>
        <w:pStyle w:val="BodyText"/>
        <w:spacing w:before="134" w:line="225" w:lineRule="auto"/>
        <w:ind w:left="143" w:right="210"/>
      </w:pPr>
      <w:r w:rsidRPr="00283806">
        <w:br w:type="column"/>
      </w:r>
      <w:r w:rsidRPr="00283806">
        <w:rPr>
          <w:w w:val="105"/>
        </w:rPr>
        <w:t>retrofit</w:t>
      </w:r>
      <w:r w:rsidRPr="00283806">
        <w:rPr>
          <w:spacing w:val="-7"/>
          <w:w w:val="105"/>
        </w:rPr>
        <w:t xml:space="preserve"> </w:t>
      </w:r>
      <w:r w:rsidRPr="00283806">
        <w:rPr>
          <w:w w:val="105"/>
        </w:rPr>
        <w:t>or</w:t>
      </w:r>
      <w:r w:rsidRPr="00283806">
        <w:rPr>
          <w:spacing w:val="-7"/>
          <w:w w:val="105"/>
        </w:rPr>
        <w:t xml:space="preserve"> </w:t>
      </w:r>
      <w:r w:rsidRPr="00283806">
        <w:rPr>
          <w:w w:val="105"/>
        </w:rPr>
        <w:t>retire</w:t>
      </w:r>
      <w:r w:rsidRPr="00283806">
        <w:rPr>
          <w:spacing w:val="-7"/>
          <w:w w:val="105"/>
        </w:rPr>
        <w:t xml:space="preserve"> </w:t>
      </w:r>
      <w:r w:rsidRPr="00283806">
        <w:rPr>
          <w:w w:val="105"/>
        </w:rPr>
        <w:t>the</w:t>
      </w:r>
      <w:r w:rsidRPr="00283806">
        <w:rPr>
          <w:spacing w:val="-7"/>
          <w:w w:val="105"/>
        </w:rPr>
        <w:t xml:space="preserve"> </w:t>
      </w:r>
      <w:r w:rsidRPr="00283806">
        <w:rPr>
          <w:w w:val="105"/>
        </w:rPr>
        <w:t>appliance</w:t>
      </w:r>
      <w:r w:rsidRPr="00283806">
        <w:rPr>
          <w:spacing w:val="-7"/>
          <w:w w:val="105"/>
        </w:rPr>
        <w:t xml:space="preserve"> </w:t>
      </w:r>
      <w:r w:rsidRPr="00283806">
        <w:rPr>
          <w:w w:val="105"/>
        </w:rPr>
        <w:t>rather than repair the leak;</w:t>
      </w:r>
    </w:p>
    <w:p w14:paraId="03B3A189" w14:textId="77777777" w:rsidR="00D67C1E" w:rsidRPr="00283806" w:rsidRDefault="001265CA">
      <w:pPr>
        <w:pStyle w:val="ListParagraph"/>
        <w:numPr>
          <w:ilvl w:val="4"/>
          <w:numId w:val="56"/>
        </w:numPr>
        <w:tabs>
          <w:tab w:val="left" w:pos="505"/>
        </w:tabs>
        <w:spacing w:line="179" w:lineRule="exact"/>
        <w:ind w:left="505" w:hanging="182"/>
        <w:rPr>
          <w:sz w:val="18"/>
        </w:rPr>
      </w:pPr>
      <w:r w:rsidRPr="00283806">
        <w:rPr>
          <w:sz w:val="18"/>
        </w:rPr>
        <w:t>A</w:t>
      </w:r>
      <w:r w:rsidRPr="00283806">
        <w:rPr>
          <w:spacing w:val="56"/>
          <w:sz w:val="18"/>
        </w:rPr>
        <w:t xml:space="preserve"> </w:t>
      </w:r>
      <w:r w:rsidRPr="00283806">
        <w:rPr>
          <w:sz w:val="18"/>
        </w:rPr>
        <w:t>refrigerant-containing</w:t>
      </w:r>
      <w:r w:rsidRPr="00283806">
        <w:rPr>
          <w:spacing w:val="57"/>
          <w:sz w:val="18"/>
        </w:rPr>
        <w:t xml:space="preserve"> </w:t>
      </w:r>
      <w:r w:rsidRPr="00283806">
        <w:rPr>
          <w:spacing w:val="-2"/>
          <w:sz w:val="18"/>
        </w:rPr>
        <w:t>appliance</w:t>
      </w:r>
    </w:p>
    <w:p w14:paraId="1D48B8FF" w14:textId="77777777" w:rsidR="00D67C1E" w:rsidRPr="00283806" w:rsidRDefault="001265CA">
      <w:pPr>
        <w:pStyle w:val="BodyText"/>
        <w:spacing w:before="4" w:line="225" w:lineRule="auto"/>
        <w:ind w:left="143" w:right="121"/>
      </w:pPr>
      <w:r w:rsidRPr="00283806">
        <w:rPr>
          <w:w w:val="105"/>
        </w:rPr>
        <w:t>is leaking above the applicable leak rate, and the owner or operator fails to take action to identify or repair the leak; or</w:t>
      </w:r>
    </w:p>
    <w:p w14:paraId="09EDD945" w14:textId="77777777" w:rsidR="00D67C1E" w:rsidRPr="00283806" w:rsidRDefault="001265CA">
      <w:pPr>
        <w:pStyle w:val="ListParagraph"/>
        <w:numPr>
          <w:ilvl w:val="4"/>
          <w:numId w:val="56"/>
        </w:numPr>
        <w:tabs>
          <w:tab w:val="left" w:pos="505"/>
        </w:tabs>
        <w:spacing w:line="179" w:lineRule="exact"/>
        <w:ind w:left="505" w:hanging="182"/>
        <w:rPr>
          <w:sz w:val="18"/>
        </w:rPr>
      </w:pPr>
      <w:r w:rsidRPr="00283806">
        <w:rPr>
          <w:sz w:val="18"/>
        </w:rPr>
        <w:t>A</w:t>
      </w:r>
      <w:r w:rsidRPr="00283806">
        <w:rPr>
          <w:spacing w:val="56"/>
          <w:sz w:val="18"/>
        </w:rPr>
        <w:t xml:space="preserve"> </w:t>
      </w:r>
      <w:r w:rsidRPr="00283806">
        <w:rPr>
          <w:sz w:val="18"/>
        </w:rPr>
        <w:t>refrigerant-containing</w:t>
      </w:r>
      <w:r w:rsidRPr="00283806">
        <w:rPr>
          <w:spacing w:val="57"/>
          <w:sz w:val="18"/>
        </w:rPr>
        <w:t xml:space="preserve"> </w:t>
      </w:r>
      <w:r w:rsidRPr="00283806">
        <w:rPr>
          <w:spacing w:val="-2"/>
          <w:sz w:val="18"/>
        </w:rPr>
        <w:t>appliance</w:t>
      </w:r>
    </w:p>
    <w:p w14:paraId="04B4DC40" w14:textId="77777777" w:rsidR="00D67C1E" w:rsidRPr="00283806" w:rsidRDefault="001265CA">
      <w:pPr>
        <w:pStyle w:val="BodyText"/>
        <w:spacing w:before="4" w:line="225" w:lineRule="auto"/>
        <w:ind w:left="143" w:right="180"/>
      </w:pPr>
      <w:r w:rsidRPr="00283806">
        <w:rPr>
          <w:w w:val="105"/>
        </w:rPr>
        <w:t>is continuing to leak above the</w:t>
      </w:r>
      <w:r w:rsidRPr="00283806">
        <w:rPr>
          <w:spacing w:val="40"/>
          <w:w w:val="105"/>
        </w:rPr>
        <w:t xml:space="preserve"> </w:t>
      </w:r>
      <w:r w:rsidRPr="00283806">
        <w:rPr>
          <w:w w:val="105"/>
        </w:rPr>
        <w:t>applicable leak rate, even after</w:t>
      </w:r>
      <w:r w:rsidRPr="00283806">
        <w:rPr>
          <w:spacing w:val="40"/>
          <w:w w:val="105"/>
        </w:rPr>
        <w:t xml:space="preserve"> </w:t>
      </w:r>
      <w:r w:rsidRPr="00283806">
        <w:rPr>
          <w:w w:val="105"/>
        </w:rPr>
        <w:t>attempted</w:t>
      </w:r>
      <w:r w:rsidRPr="00283806">
        <w:rPr>
          <w:spacing w:val="-3"/>
          <w:w w:val="105"/>
        </w:rPr>
        <w:t xml:space="preserve"> </w:t>
      </w:r>
      <w:r w:rsidRPr="00283806">
        <w:rPr>
          <w:w w:val="105"/>
        </w:rPr>
        <w:t>leak</w:t>
      </w:r>
      <w:r w:rsidRPr="00283806">
        <w:rPr>
          <w:spacing w:val="-3"/>
          <w:w w:val="105"/>
        </w:rPr>
        <w:t xml:space="preserve"> </w:t>
      </w:r>
      <w:r w:rsidRPr="00283806">
        <w:rPr>
          <w:w w:val="105"/>
        </w:rPr>
        <w:t>repair(s)</w:t>
      </w:r>
      <w:r w:rsidRPr="00283806">
        <w:rPr>
          <w:spacing w:val="-3"/>
          <w:w w:val="105"/>
        </w:rPr>
        <w:t xml:space="preserve"> </w:t>
      </w:r>
      <w:r w:rsidRPr="00283806">
        <w:rPr>
          <w:w w:val="105"/>
        </w:rPr>
        <w:t>and</w:t>
      </w:r>
      <w:r w:rsidRPr="00283806">
        <w:rPr>
          <w:spacing w:val="-3"/>
          <w:w w:val="105"/>
        </w:rPr>
        <w:t xml:space="preserve"> </w:t>
      </w:r>
      <w:r w:rsidRPr="00283806">
        <w:rPr>
          <w:w w:val="105"/>
        </w:rPr>
        <w:t xml:space="preserve">verification </w:t>
      </w:r>
      <w:r w:rsidRPr="00283806">
        <w:rPr>
          <w:spacing w:val="-2"/>
          <w:w w:val="105"/>
        </w:rPr>
        <w:t>testing.</w:t>
      </w:r>
    </w:p>
    <w:p w14:paraId="29722EDC" w14:textId="77777777" w:rsidR="00D67C1E" w:rsidRPr="00283806" w:rsidRDefault="001265CA">
      <w:pPr>
        <w:pStyle w:val="BodyText"/>
        <w:spacing w:line="179" w:lineRule="exact"/>
        <w:ind w:left="323"/>
      </w:pPr>
      <w:r w:rsidRPr="00283806">
        <w:rPr>
          <w:w w:val="105"/>
        </w:rPr>
        <w:t>EPA</w:t>
      </w:r>
      <w:r w:rsidRPr="00283806">
        <w:rPr>
          <w:spacing w:val="13"/>
          <w:w w:val="105"/>
        </w:rPr>
        <w:t xml:space="preserve"> </w:t>
      </w:r>
      <w:r w:rsidRPr="00283806">
        <w:rPr>
          <w:w w:val="105"/>
        </w:rPr>
        <w:t>also</w:t>
      </w:r>
      <w:r w:rsidRPr="00283806">
        <w:rPr>
          <w:spacing w:val="13"/>
          <w:w w:val="105"/>
        </w:rPr>
        <w:t xml:space="preserve"> </w:t>
      </w:r>
      <w:r w:rsidRPr="00283806">
        <w:rPr>
          <w:w w:val="105"/>
        </w:rPr>
        <w:t>disagrees</w:t>
      </w:r>
      <w:r w:rsidRPr="00283806">
        <w:rPr>
          <w:spacing w:val="13"/>
          <w:w w:val="105"/>
        </w:rPr>
        <w:t xml:space="preserve"> </w:t>
      </w:r>
      <w:r w:rsidRPr="00283806">
        <w:rPr>
          <w:w w:val="105"/>
        </w:rPr>
        <w:t>with</w:t>
      </w:r>
      <w:r w:rsidRPr="00283806">
        <w:rPr>
          <w:spacing w:val="13"/>
          <w:w w:val="105"/>
        </w:rPr>
        <w:t xml:space="preserve"> </w:t>
      </w:r>
      <w:r w:rsidRPr="00283806">
        <w:rPr>
          <w:spacing w:val="-5"/>
          <w:w w:val="105"/>
        </w:rPr>
        <w:t>the</w:t>
      </w:r>
    </w:p>
    <w:p w14:paraId="1C7C7CD3" w14:textId="77777777" w:rsidR="00D67C1E" w:rsidRPr="00283806" w:rsidRDefault="001265CA">
      <w:pPr>
        <w:pStyle w:val="BodyText"/>
        <w:spacing w:before="4" w:line="225" w:lineRule="auto"/>
        <w:ind w:left="143" w:right="122"/>
      </w:pPr>
      <w:r w:rsidRPr="00283806">
        <w:rPr>
          <w:w w:val="105"/>
        </w:rPr>
        <w:t>commenter’s suggested alternative approaches to a retrofit or retirement plan because they would inadequately address emissions from appliances that are leaking above the applicable leak</w:t>
      </w:r>
      <w:r w:rsidRPr="00283806">
        <w:rPr>
          <w:spacing w:val="80"/>
          <w:w w:val="105"/>
        </w:rPr>
        <w:t xml:space="preserve"> </w:t>
      </w:r>
      <w:r w:rsidRPr="00283806">
        <w:rPr>
          <w:w w:val="105"/>
        </w:rPr>
        <w:t>rate threshold compared to the requirements EPA proposed and is finalizing in this rulemaking. Providing</w:t>
      </w:r>
      <w:r w:rsidRPr="00283806">
        <w:rPr>
          <w:spacing w:val="40"/>
          <w:w w:val="105"/>
        </w:rPr>
        <w:t xml:space="preserve"> </w:t>
      </w:r>
      <w:r w:rsidRPr="00283806">
        <w:rPr>
          <w:w w:val="105"/>
        </w:rPr>
        <w:t>90 days as the default period to develop</w:t>
      </w:r>
      <w:r w:rsidRPr="00283806">
        <w:rPr>
          <w:spacing w:val="80"/>
          <w:w w:val="105"/>
        </w:rPr>
        <w:t xml:space="preserve"> </w:t>
      </w:r>
      <w:r w:rsidRPr="00283806">
        <w:rPr>
          <w:w w:val="105"/>
        </w:rPr>
        <w:t>a retrofit or retirement plan would delay planning for and implementation of certain measures to address such appliances,</w:t>
      </w:r>
      <w:r w:rsidRPr="00283806">
        <w:rPr>
          <w:spacing w:val="40"/>
          <w:w w:val="105"/>
        </w:rPr>
        <w:t xml:space="preserve"> </w:t>
      </w:r>
      <w:r w:rsidRPr="00283806">
        <w:rPr>
          <w:w w:val="105"/>
        </w:rPr>
        <w:t>including</w:t>
      </w:r>
      <w:r w:rsidRPr="00283806">
        <w:rPr>
          <w:spacing w:val="40"/>
          <w:w w:val="105"/>
        </w:rPr>
        <w:t xml:space="preserve"> </w:t>
      </w:r>
      <w:r w:rsidRPr="00283806">
        <w:rPr>
          <w:w w:val="105"/>
        </w:rPr>
        <w:t>in</w:t>
      </w:r>
      <w:r w:rsidRPr="00283806">
        <w:rPr>
          <w:spacing w:val="40"/>
          <w:w w:val="105"/>
        </w:rPr>
        <w:t xml:space="preserve"> </w:t>
      </w:r>
      <w:r w:rsidRPr="00283806">
        <w:rPr>
          <w:w w:val="105"/>
        </w:rPr>
        <w:t>situations where the owner or operator could comply with the 30-day timeframe for</w:t>
      </w:r>
      <w:r w:rsidRPr="00283806">
        <w:rPr>
          <w:spacing w:val="40"/>
          <w:w w:val="105"/>
        </w:rPr>
        <w:t xml:space="preserve"> </w:t>
      </w:r>
      <w:r w:rsidRPr="00283806">
        <w:rPr>
          <w:w w:val="105"/>
        </w:rPr>
        <w:t>the plan. Similarly, waiting for an end-</w:t>
      </w:r>
      <w:r w:rsidRPr="00283806">
        <w:rPr>
          <w:spacing w:val="80"/>
          <w:w w:val="105"/>
        </w:rPr>
        <w:t xml:space="preserve"> </w:t>
      </w:r>
      <w:r w:rsidRPr="00283806">
        <w:rPr>
          <w:w w:val="105"/>
        </w:rPr>
        <w:t>of-year</w:t>
      </w:r>
      <w:r w:rsidRPr="00283806">
        <w:rPr>
          <w:spacing w:val="40"/>
          <w:w w:val="105"/>
        </w:rPr>
        <w:t xml:space="preserve"> </w:t>
      </w:r>
      <w:r w:rsidRPr="00283806">
        <w:rPr>
          <w:w w:val="105"/>
        </w:rPr>
        <w:t>calculation</w:t>
      </w:r>
      <w:r w:rsidRPr="00283806">
        <w:rPr>
          <w:spacing w:val="40"/>
          <w:w w:val="105"/>
        </w:rPr>
        <w:t xml:space="preserve"> </w:t>
      </w:r>
      <w:r w:rsidRPr="00283806">
        <w:rPr>
          <w:w w:val="105"/>
        </w:rPr>
        <w:t>to</w:t>
      </w:r>
      <w:r w:rsidRPr="00283806">
        <w:rPr>
          <w:spacing w:val="40"/>
          <w:w w:val="105"/>
        </w:rPr>
        <w:t xml:space="preserve"> </w:t>
      </w:r>
      <w:r w:rsidRPr="00283806">
        <w:rPr>
          <w:w w:val="105"/>
        </w:rPr>
        <w:t>determine whether an appliance requires retrofit or retirement would lead to an indeterminant amount of refrigerant being emitted during the year. Thus, the commenter’s proposals would not promptly address emissions from refrigerant-containing appliances and would further delay the process for retrofitting or retiring a refrigerant- containing appliance that continues to leak above the applicable leak rate threshold, including in situations where the leaks cannot be repaired; those appliances would be expected to</w:t>
      </w:r>
      <w:r w:rsidRPr="00283806">
        <w:rPr>
          <w:spacing w:val="40"/>
          <w:w w:val="105"/>
        </w:rPr>
        <w:t xml:space="preserve"> </w:t>
      </w:r>
      <w:r w:rsidRPr="00283806">
        <w:rPr>
          <w:w w:val="105"/>
        </w:rPr>
        <w:t>continue to leak above the applicable threshold</w:t>
      </w:r>
      <w:r w:rsidRPr="00283806">
        <w:rPr>
          <w:spacing w:val="40"/>
          <w:w w:val="105"/>
        </w:rPr>
        <w:t xml:space="preserve"> </w:t>
      </w:r>
      <w:r w:rsidRPr="00283806">
        <w:rPr>
          <w:w w:val="105"/>
        </w:rPr>
        <w:t>during</w:t>
      </w:r>
      <w:r w:rsidRPr="00283806">
        <w:rPr>
          <w:spacing w:val="40"/>
          <w:w w:val="105"/>
        </w:rPr>
        <w:t xml:space="preserve"> </w:t>
      </w:r>
      <w:r w:rsidRPr="00283806">
        <w:rPr>
          <w:w w:val="105"/>
        </w:rPr>
        <w:t>that</w:t>
      </w:r>
      <w:r w:rsidRPr="00283806">
        <w:rPr>
          <w:spacing w:val="40"/>
          <w:w w:val="105"/>
        </w:rPr>
        <w:t xml:space="preserve"> </w:t>
      </w:r>
      <w:r w:rsidRPr="00283806">
        <w:rPr>
          <w:w w:val="105"/>
        </w:rPr>
        <w:t>delay,</w:t>
      </w:r>
      <w:r w:rsidRPr="00283806">
        <w:rPr>
          <w:spacing w:val="40"/>
          <w:w w:val="105"/>
        </w:rPr>
        <w:t xml:space="preserve"> </w:t>
      </w:r>
      <w:r w:rsidRPr="00283806">
        <w:rPr>
          <w:w w:val="105"/>
        </w:rPr>
        <w:t>thus leading to additional emissions from these appliances. For these reasons, the commenter’s proposals would not be a well-suited approach compared to the provisions for retrofit and retirement plans</w:t>
      </w:r>
      <w:r w:rsidRPr="00283806">
        <w:rPr>
          <w:spacing w:val="40"/>
          <w:w w:val="105"/>
        </w:rPr>
        <w:t xml:space="preserve"> </w:t>
      </w:r>
      <w:r w:rsidRPr="00283806">
        <w:rPr>
          <w:w w:val="105"/>
        </w:rPr>
        <w:t>that</w:t>
      </w:r>
      <w:r w:rsidRPr="00283806">
        <w:rPr>
          <w:spacing w:val="40"/>
          <w:w w:val="105"/>
        </w:rPr>
        <w:t xml:space="preserve"> </w:t>
      </w:r>
      <w:r w:rsidRPr="00283806">
        <w:rPr>
          <w:w w:val="105"/>
        </w:rPr>
        <w:t>EPA</w:t>
      </w:r>
      <w:r w:rsidRPr="00283806">
        <w:rPr>
          <w:spacing w:val="40"/>
          <w:w w:val="105"/>
        </w:rPr>
        <w:t xml:space="preserve"> </w:t>
      </w:r>
      <w:r w:rsidRPr="00283806">
        <w:rPr>
          <w:w w:val="105"/>
        </w:rPr>
        <w:t>proposed</w:t>
      </w:r>
      <w:r w:rsidRPr="00283806">
        <w:rPr>
          <w:spacing w:val="40"/>
          <w:w w:val="105"/>
        </w:rPr>
        <w:t xml:space="preserve"> </w:t>
      </w:r>
      <w:r w:rsidRPr="00283806">
        <w:rPr>
          <w:w w:val="105"/>
        </w:rPr>
        <w:t>and</w:t>
      </w:r>
      <w:r w:rsidRPr="00283806">
        <w:rPr>
          <w:spacing w:val="40"/>
          <w:w w:val="105"/>
        </w:rPr>
        <w:t xml:space="preserve"> </w:t>
      </w:r>
      <w:r w:rsidRPr="00283806">
        <w:rPr>
          <w:w w:val="105"/>
        </w:rPr>
        <w:t>is finalizing to minimize releases from equipment and maximize reclamation. Additionally, the commenter’s</w:t>
      </w:r>
      <w:r w:rsidRPr="00283806">
        <w:rPr>
          <w:spacing w:val="80"/>
          <w:w w:val="105"/>
        </w:rPr>
        <w:t xml:space="preserve"> </w:t>
      </w:r>
      <w:r w:rsidRPr="00283806">
        <w:rPr>
          <w:w w:val="105"/>
        </w:rPr>
        <w:t>alternative to the relief provision is not reasonable, as having a zero percent leak rate in the first 180 days of the following calendar year could cause the relief provision to fall well outside the timeframe for retrofit and retirement plans. The Agency clarifies that retrofit and</w:t>
      </w:r>
      <w:r w:rsidRPr="00283806">
        <w:rPr>
          <w:spacing w:val="35"/>
          <w:w w:val="105"/>
        </w:rPr>
        <w:t xml:space="preserve"> </w:t>
      </w:r>
      <w:r w:rsidRPr="00283806">
        <w:rPr>
          <w:w w:val="105"/>
        </w:rPr>
        <w:t>retirement</w:t>
      </w:r>
      <w:r w:rsidRPr="00283806">
        <w:rPr>
          <w:spacing w:val="35"/>
          <w:w w:val="105"/>
        </w:rPr>
        <w:t xml:space="preserve"> </w:t>
      </w:r>
      <w:r w:rsidRPr="00283806">
        <w:rPr>
          <w:w w:val="105"/>
        </w:rPr>
        <w:t>plans</w:t>
      </w:r>
      <w:r w:rsidRPr="00283806">
        <w:rPr>
          <w:spacing w:val="35"/>
          <w:w w:val="105"/>
        </w:rPr>
        <w:t xml:space="preserve"> </w:t>
      </w:r>
      <w:r w:rsidRPr="00283806">
        <w:rPr>
          <w:w w:val="105"/>
        </w:rPr>
        <w:t>are</w:t>
      </w:r>
      <w:r w:rsidRPr="00283806">
        <w:rPr>
          <w:spacing w:val="35"/>
          <w:w w:val="105"/>
        </w:rPr>
        <w:t xml:space="preserve"> </w:t>
      </w:r>
      <w:r w:rsidRPr="00283806">
        <w:rPr>
          <w:w w:val="105"/>
        </w:rPr>
        <w:t>to</w:t>
      </w:r>
      <w:r w:rsidRPr="00283806">
        <w:rPr>
          <w:spacing w:val="35"/>
          <w:w w:val="105"/>
        </w:rPr>
        <w:t xml:space="preserve"> </w:t>
      </w:r>
      <w:r w:rsidRPr="00283806">
        <w:rPr>
          <w:w w:val="105"/>
        </w:rPr>
        <w:t xml:space="preserve">be </w:t>
      </w:r>
      <w:r w:rsidRPr="00283806">
        <w:rPr>
          <w:rFonts w:ascii="Book Antiqua" w:hAnsi="Book Antiqua"/>
          <w:i/>
          <w:w w:val="105"/>
        </w:rPr>
        <w:t xml:space="preserve">completed </w:t>
      </w:r>
      <w:r w:rsidRPr="00283806">
        <w:rPr>
          <w:w w:val="105"/>
        </w:rPr>
        <w:t>within 12 months of</w:t>
      </w:r>
      <w:r w:rsidRPr="00283806">
        <w:rPr>
          <w:spacing w:val="80"/>
          <w:w w:val="105"/>
        </w:rPr>
        <w:t xml:space="preserve"> </w:t>
      </w:r>
      <w:r w:rsidRPr="00283806">
        <w:rPr>
          <w:w w:val="105"/>
        </w:rPr>
        <w:t>submitting the retrofit and retirement plan, unless an extension as outlined in</w:t>
      </w:r>
      <w:r w:rsidRPr="00283806">
        <w:rPr>
          <w:spacing w:val="40"/>
          <w:w w:val="105"/>
        </w:rPr>
        <w:t xml:space="preserve"> </w:t>
      </w:r>
      <w:r w:rsidRPr="00283806">
        <w:rPr>
          <w:w w:val="105"/>
        </w:rPr>
        <w:t>40 CFR 84.106(i) applies. The provision</w:t>
      </w:r>
      <w:r w:rsidRPr="00283806">
        <w:rPr>
          <w:spacing w:val="40"/>
          <w:w w:val="105"/>
        </w:rPr>
        <w:t xml:space="preserve"> </w:t>
      </w:r>
      <w:r w:rsidRPr="00283806">
        <w:rPr>
          <w:w w:val="105"/>
        </w:rPr>
        <w:t>is not based on the calendar year; rather, the timeframe is based on the owner or operator not repairing leaks below the</w:t>
      </w:r>
    </w:p>
    <w:p w14:paraId="6ECD6864"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6" w:space="40"/>
            <w:col w:w="3501" w:space="39"/>
            <w:col w:w="3624"/>
          </w:cols>
        </w:sectPr>
      </w:pPr>
    </w:p>
    <w:p w14:paraId="592AB7F1" w14:textId="77777777" w:rsidR="00D67C1E" w:rsidRPr="00283806" w:rsidRDefault="001265CA">
      <w:pPr>
        <w:pStyle w:val="BodyText"/>
        <w:spacing w:before="134" w:line="228" w:lineRule="auto"/>
        <w:ind w:right="69"/>
        <w:jc w:val="both"/>
      </w:pPr>
      <w:r w:rsidRPr="00283806">
        <w:rPr>
          <w:w w:val="105"/>
        </w:rPr>
        <w:lastRenderedPageBreak/>
        <w:t>applicable threshold within the allotted time for leak repair and thus needing to develop a retrofit or retirement plan.</w:t>
      </w:r>
    </w:p>
    <w:p w14:paraId="56DF7CE1" w14:textId="77777777" w:rsidR="00D67C1E" w:rsidRPr="00283806" w:rsidRDefault="001265CA">
      <w:pPr>
        <w:pStyle w:val="BodyText"/>
        <w:spacing w:line="228" w:lineRule="auto"/>
        <w:ind w:right="99"/>
      </w:pPr>
      <w:r w:rsidRPr="00283806">
        <w:rPr>
          <w:w w:val="105"/>
        </w:rPr>
        <w:t>Specifically, the timeframe for completion of a retrofit or retirement plan begins when an owner or operator submits</w:t>
      </w:r>
      <w:r w:rsidRPr="00283806">
        <w:rPr>
          <w:spacing w:val="-4"/>
          <w:w w:val="105"/>
        </w:rPr>
        <w:t xml:space="preserve"> </w:t>
      </w:r>
      <w:r w:rsidRPr="00283806">
        <w:rPr>
          <w:w w:val="105"/>
        </w:rPr>
        <w:t>their</w:t>
      </w:r>
      <w:r w:rsidRPr="00283806">
        <w:rPr>
          <w:spacing w:val="-4"/>
          <w:w w:val="105"/>
        </w:rPr>
        <w:t xml:space="preserve"> </w:t>
      </w:r>
      <w:r w:rsidRPr="00283806">
        <w:rPr>
          <w:w w:val="105"/>
        </w:rPr>
        <w:t>retrofit</w:t>
      </w:r>
      <w:r w:rsidRPr="00283806">
        <w:rPr>
          <w:spacing w:val="-4"/>
          <w:w w:val="105"/>
        </w:rPr>
        <w:t xml:space="preserve"> </w:t>
      </w:r>
      <w:r w:rsidRPr="00283806">
        <w:rPr>
          <w:w w:val="105"/>
        </w:rPr>
        <w:t>or</w:t>
      </w:r>
      <w:r w:rsidRPr="00283806">
        <w:rPr>
          <w:spacing w:val="-4"/>
          <w:w w:val="105"/>
        </w:rPr>
        <w:t xml:space="preserve"> </w:t>
      </w:r>
      <w:r w:rsidRPr="00283806">
        <w:rPr>
          <w:w w:val="105"/>
        </w:rPr>
        <w:t>retirement</w:t>
      </w:r>
      <w:r w:rsidRPr="00283806">
        <w:rPr>
          <w:spacing w:val="-4"/>
          <w:w w:val="105"/>
        </w:rPr>
        <w:t xml:space="preserve"> </w:t>
      </w:r>
      <w:r w:rsidRPr="00283806">
        <w:rPr>
          <w:w w:val="105"/>
        </w:rPr>
        <w:t xml:space="preserve">plan to the Agency. Owners or operators can apply for relief from their retrofit or retirement plan within 180 days of the plan’s date if, among other things, they can establish the appliance is repaired and no longer leaking above the applicable leak rate. EPA also </w:t>
      </w:r>
      <w:proofErr w:type="gramStart"/>
      <w:r w:rsidRPr="00283806">
        <w:rPr>
          <w:w w:val="105"/>
        </w:rPr>
        <w:t>clarifies</w:t>
      </w:r>
      <w:proofErr w:type="gramEnd"/>
      <w:r w:rsidRPr="00283806">
        <w:rPr>
          <w:w w:val="105"/>
        </w:rPr>
        <w:t xml:space="preserve"> that the Agency is not requiring appliances to have a zero percent leak rate, because this may be unreasonable for certain appliances at certain charge sizes. Owners or operators must simply ensure that an appliance is leaking below an appliance’s applicable leak</w:t>
      </w:r>
      <w:r w:rsidRPr="00283806">
        <w:rPr>
          <w:spacing w:val="40"/>
          <w:w w:val="105"/>
        </w:rPr>
        <w:t xml:space="preserve"> </w:t>
      </w:r>
      <w:r w:rsidRPr="00283806">
        <w:rPr>
          <w:w w:val="105"/>
        </w:rPr>
        <w:t>rate threshold and meet the other requirements listed in 40 CFR 84.106(h)(5)(ii) to apply for relief from their retrofit or retirement plans.</w:t>
      </w:r>
    </w:p>
    <w:p w14:paraId="56C6A5E5" w14:textId="77777777" w:rsidR="00D67C1E" w:rsidRPr="00283806" w:rsidRDefault="001265CA">
      <w:pPr>
        <w:pStyle w:val="BodyText"/>
        <w:spacing w:before="28" w:line="228" w:lineRule="auto"/>
        <w:ind w:firstLine="180"/>
      </w:pPr>
      <w:r w:rsidRPr="00283806">
        <w:rPr>
          <w:w w:val="105"/>
        </w:rPr>
        <w:t>With respect to the comments on</w:t>
      </w:r>
      <w:r w:rsidRPr="00283806">
        <w:rPr>
          <w:spacing w:val="80"/>
          <w:w w:val="105"/>
        </w:rPr>
        <w:t xml:space="preserve"> </w:t>
      </w:r>
      <w:r w:rsidRPr="00283806">
        <w:rPr>
          <w:w w:val="105"/>
        </w:rPr>
        <w:t>EPA’s</w:t>
      </w:r>
      <w:r w:rsidRPr="00283806">
        <w:rPr>
          <w:spacing w:val="36"/>
          <w:w w:val="105"/>
        </w:rPr>
        <w:t xml:space="preserve"> </w:t>
      </w:r>
      <w:r w:rsidRPr="00283806">
        <w:rPr>
          <w:w w:val="105"/>
        </w:rPr>
        <w:t>legal</w:t>
      </w:r>
      <w:r w:rsidRPr="00283806">
        <w:rPr>
          <w:spacing w:val="36"/>
          <w:w w:val="105"/>
        </w:rPr>
        <w:t xml:space="preserve"> </w:t>
      </w:r>
      <w:r w:rsidRPr="00283806">
        <w:rPr>
          <w:w w:val="105"/>
        </w:rPr>
        <w:t>authority,</w:t>
      </w:r>
      <w:r w:rsidRPr="00283806">
        <w:rPr>
          <w:spacing w:val="36"/>
          <w:w w:val="105"/>
        </w:rPr>
        <w:t xml:space="preserve"> </w:t>
      </w:r>
      <w:r w:rsidRPr="00283806">
        <w:rPr>
          <w:w w:val="105"/>
        </w:rPr>
        <w:t>EPA</w:t>
      </w:r>
      <w:r w:rsidRPr="00283806">
        <w:rPr>
          <w:spacing w:val="36"/>
          <w:w w:val="105"/>
        </w:rPr>
        <w:t xml:space="preserve"> </w:t>
      </w:r>
      <w:r w:rsidRPr="00283806">
        <w:rPr>
          <w:w w:val="105"/>
        </w:rPr>
        <w:t>notes</w:t>
      </w:r>
      <w:r w:rsidRPr="00283806">
        <w:rPr>
          <w:spacing w:val="36"/>
          <w:w w:val="105"/>
        </w:rPr>
        <w:t xml:space="preserve"> </w:t>
      </w:r>
      <w:r w:rsidRPr="00283806">
        <w:rPr>
          <w:w w:val="105"/>
        </w:rPr>
        <w:t>that</w:t>
      </w:r>
      <w:r w:rsidRPr="00283806">
        <w:rPr>
          <w:spacing w:val="36"/>
          <w:w w:val="105"/>
        </w:rPr>
        <w:t xml:space="preserve"> </w:t>
      </w:r>
      <w:r w:rsidRPr="00283806">
        <w:rPr>
          <w:w w:val="105"/>
        </w:rPr>
        <w:t>it is not further addressing the comments on whether it has legal authority to require that retrofits use a lower-GWP refrigerant because it is not finalizing such a requirement in this action. EPA disagrees with the comments that subsection (h) does not authorize the Agency to require system retrofit or retirement in situations where leaks cannot be addressed under the narrow leak repair timeline, and with those that claim the requirement contravenes congressional intent. EPA interprets its regulatory authority under subsection (h)(1) to include authority to establish requirements related to the prevention and repair of leaks for equipment containing</w:t>
      </w:r>
      <w:r w:rsidRPr="00283806">
        <w:rPr>
          <w:spacing w:val="40"/>
          <w:w w:val="105"/>
        </w:rPr>
        <w:t xml:space="preserve"> </w:t>
      </w:r>
      <w:r w:rsidRPr="00283806">
        <w:rPr>
          <w:w w:val="105"/>
        </w:rPr>
        <w:t>HFCs</w:t>
      </w:r>
      <w:r w:rsidRPr="00283806">
        <w:rPr>
          <w:spacing w:val="40"/>
          <w:w w:val="105"/>
        </w:rPr>
        <w:t xml:space="preserve"> </w:t>
      </w:r>
      <w:r w:rsidRPr="00283806">
        <w:rPr>
          <w:w w:val="105"/>
        </w:rPr>
        <w:t>or</w:t>
      </w:r>
      <w:r w:rsidRPr="00283806">
        <w:rPr>
          <w:spacing w:val="40"/>
          <w:w w:val="105"/>
        </w:rPr>
        <w:t xml:space="preserve"> </w:t>
      </w:r>
      <w:r w:rsidRPr="00283806">
        <w:rPr>
          <w:w w:val="105"/>
        </w:rPr>
        <w:t>substitutes</w:t>
      </w:r>
      <w:r w:rsidRPr="00283806">
        <w:rPr>
          <w:spacing w:val="40"/>
          <w:w w:val="105"/>
        </w:rPr>
        <w:t xml:space="preserve"> </w:t>
      </w:r>
      <w:r w:rsidRPr="00283806">
        <w:rPr>
          <w:w w:val="105"/>
        </w:rPr>
        <w:t>for HFCs, as such requirements control practices, processes, and activities regarding the servicing, repair, disposal, or installation of equipment. These requirements also implement the purposes identified in subsection (h) of minimizing releases of HFCs from equipment and maximizing reclamation. The leak detection and repair requirements finalized in this rule, including the retrofit or retirement requirements, fit squarely within this grant of authority. The retrofit or retirement requirements apply when the leak has not been repaired consistent with the regulatory requirements and</w:t>
      </w:r>
      <w:r w:rsidRPr="00283806">
        <w:rPr>
          <w:spacing w:val="80"/>
          <w:w w:val="105"/>
        </w:rPr>
        <w:t xml:space="preserve"> </w:t>
      </w:r>
      <w:r w:rsidRPr="00283806">
        <w:rPr>
          <w:w w:val="105"/>
        </w:rPr>
        <w:t>are designed to ensure that additional action is taken to address such leaks and limit the ongoing release of the refrigerant to the environment, thus serving the purposes identified in subsection (h) of maximizing</w:t>
      </w:r>
      <w:r w:rsidRPr="00283806">
        <w:rPr>
          <w:spacing w:val="80"/>
          <w:w w:val="105"/>
        </w:rPr>
        <w:t xml:space="preserve"> </w:t>
      </w:r>
      <w:r w:rsidRPr="00283806">
        <w:rPr>
          <w:w w:val="105"/>
        </w:rPr>
        <w:t>reclamation and minimizing release of</w:t>
      </w:r>
    </w:p>
    <w:p w14:paraId="1DD71A16" w14:textId="77777777" w:rsidR="00D67C1E" w:rsidRPr="00283806" w:rsidRDefault="001265CA">
      <w:pPr>
        <w:pStyle w:val="BodyText"/>
        <w:spacing w:before="133" w:line="228" w:lineRule="auto"/>
        <w:ind w:left="142" w:right="31"/>
      </w:pPr>
      <w:r w:rsidRPr="00283806">
        <w:br w:type="column"/>
      </w:r>
      <w:r w:rsidRPr="00283806">
        <w:rPr>
          <w:w w:val="105"/>
        </w:rPr>
        <w:t>HFCs from equipment. The types of activities taken as part of retrofit or retirement—such as modifications to the appliance needed to convert it to a new refrigerant, switching the refrigerant from the old to the new refrigerant, and repairing all identified leaks for a</w:t>
      </w:r>
      <w:r w:rsidRPr="00283806">
        <w:rPr>
          <w:spacing w:val="80"/>
          <w:w w:val="105"/>
        </w:rPr>
        <w:t xml:space="preserve"> </w:t>
      </w:r>
      <w:r w:rsidRPr="00283806">
        <w:rPr>
          <w:w w:val="105"/>
        </w:rPr>
        <w:t>retrofit, or actions to retire and dispose</w:t>
      </w:r>
      <w:r w:rsidRPr="00283806">
        <w:rPr>
          <w:spacing w:val="40"/>
          <w:w w:val="105"/>
        </w:rPr>
        <w:t xml:space="preserve"> </w:t>
      </w:r>
      <w:r w:rsidRPr="00283806">
        <w:rPr>
          <w:w w:val="105"/>
        </w:rPr>
        <w:t>of the appliance in the case of a retirement—are typical examples of the kinds activities related to the servicing, repair, installation, or disposal of equipment that Congress authorized</w:t>
      </w:r>
      <w:r w:rsidRPr="00283806">
        <w:rPr>
          <w:spacing w:val="80"/>
          <w:w w:val="105"/>
        </w:rPr>
        <w:t xml:space="preserve"> </w:t>
      </w:r>
      <w:r w:rsidRPr="00283806">
        <w:rPr>
          <w:w w:val="105"/>
        </w:rPr>
        <w:t>EPA to control through regulations</w:t>
      </w:r>
      <w:r w:rsidRPr="00283806">
        <w:rPr>
          <w:spacing w:val="80"/>
          <w:w w:val="105"/>
        </w:rPr>
        <w:t xml:space="preserve"> </w:t>
      </w:r>
      <w:r w:rsidRPr="00283806">
        <w:rPr>
          <w:w w:val="105"/>
        </w:rPr>
        <w:t>under subsection (h).</w:t>
      </w:r>
    </w:p>
    <w:p w14:paraId="601073F0" w14:textId="77777777" w:rsidR="00D67C1E" w:rsidRPr="00283806" w:rsidRDefault="001265CA">
      <w:pPr>
        <w:pStyle w:val="BodyText"/>
        <w:spacing w:before="32" w:line="228" w:lineRule="auto"/>
        <w:ind w:left="142" w:right="49" w:firstLine="180"/>
      </w:pPr>
      <w:r w:rsidRPr="00283806">
        <w:rPr>
          <w:w w:val="105"/>
        </w:rPr>
        <w:t>EPA also disagrees with the commenter’s characterization of Congressional intent, as that characterization ignores the role of subsection (h) in the overall statutory scheme. The AIM Act contains a variety</w:t>
      </w:r>
      <w:r w:rsidRPr="00283806">
        <w:rPr>
          <w:spacing w:val="80"/>
          <w:w w:val="105"/>
        </w:rPr>
        <w:t xml:space="preserve"> </w:t>
      </w:r>
      <w:r w:rsidRPr="00283806">
        <w:rPr>
          <w:w w:val="105"/>
        </w:rPr>
        <w:t>of provisions that are targeted at addressing different aspects of regulated substances. This rule does not address</w:t>
      </w:r>
      <w:r w:rsidRPr="00283806">
        <w:rPr>
          <w:spacing w:val="40"/>
          <w:w w:val="105"/>
        </w:rPr>
        <w:t xml:space="preserve"> </w:t>
      </w:r>
      <w:r w:rsidRPr="00283806">
        <w:rPr>
          <w:w w:val="105"/>
        </w:rPr>
        <w:t>the Act’s phasedown provisions, nor</w:t>
      </w:r>
      <w:r w:rsidRPr="00283806">
        <w:rPr>
          <w:spacing w:val="80"/>
          <w:w w:val="105"/>
        </w:rPr>
        <w:t xml:space="preserve"> </w:t>
      </w:r>
      <w:r w:rsidRPr="00283806">
        <w:rPr>
          <w:w w:val="105"/>
        </w:rPr>
        <w:t>does it address the technology transition provisions; thus, comments directed at those provisions are beyond the scope of this rulemaking and require no further response. However, to the extent that</w:t>
      </w:r>
      <w:r w:rsidRPr="00283806">
        <w:rPr>
          <w:spacing w:val="80"/>
          <w:w w:val="150"/>
        </w:rPr>
        <w:t xml:space="preserve"> </w:t>
      </w:r>
      <w:r w:rsidRPr="00283806">
        <w:rPr>
          <w:w w:val="105"/>
        </w:rPr>
        <w:t>the comment suggests that these aspects of the AIM Act preclude EPA from</w:t>
      </w:r>
      <w:r w:rsidRPr="00283806">
        <w:rPr>
          <w:spacing w:val="80"/>
          <w:w w:val="150"/>
        </w:rPr>
        <w:t xml:space="preserve"> </w:t>
      </w:r>
      <w:r w:rsidRPr="00283806">
        <w:rPr>
          <w:w w:val="105"/>
        </w:rPr>
        <w:t>issuing regulations that subsection (h) directs it to issue, EPA disagrees.</w:t>
      </w:r>
    </w:p>
    <w:p w14:paraId="723CB5FF" w14:textId="77777777" w:rsidR="00D67C1E" w:rsidRPr="00283806" w:rsidRDefault="001265CA">
      <w:pPr>
        <w:pStyle w:val="BodyText"/>
        <w:spacing w:line="228" w:lineRule="auto"/>
        <w:ind w:left="142"/>
      </w:pPr>
      <w:r w:rsidRPr="00283806">
        <w:rPr>
          <w:w w:val="110"/>
        </w:rPr>
        <w:t>Rather, EPA views the Act as providing separate and distinct regulatory authorities, which can be implemented in ways that reinforce and complement one another. EPA also disagrees with the commenter’s implication that technology-forcing</w:t>
      </w:r>
      <w:r w:rsidRPr="00283806">
        <w:rPr>
          <w:spacing w:val="-4"/>
          <w:w w:val="110"/>
        </w:rPr>
        <w:t xml:space="preserve"> </w:t>
      </w:r>
      <w:r w:rsidRPr="00283806">
        <w:rPr>
          <w:w w:val="110"/>
        </w:rPr>
        <w:t>regulations</w:t>
      </w:r>
      <w:r w:rsidRPr="00283806">
        <w:rPr>
          <w:spacing w:val="-4"/>
          <w:w w:val="110"/>
        </w:rPr>
        <w:t xml:space="preserve"> </w:t>
      </w:r>
      <w:r w:rsidRPr="00283806">
        <w:rPr>
          <w:w w:val="110"/>
        </w:rPr>
        <w:t>are</w:t>
      </w:r>
      <w:r w:rsidRPr="00283806">
        <w:rPr>
          <w:spacing w:val="-4"/>
          <w:w w:val="110"/>
        </w:rPr>
        <w:t xml:space="preserve"> </w:t>
      </w:r>
      <w:r w:rsidRPr="00283806">
        <w:rPr>
          <w:w w:val="110"/>
        </w:rPr>
        <w:t>only authorized under subsection (i) of the Act. The plain text of the Act includes</w:t>
      </w:r>
      <w:r w:rsidRPr="00283806">
        <w:rPr>
          <w:spacing w:val="40"/>
          <w:w w:val="110"/>
        </w:rPr>
        <w:t xml:space="preserve"> </w:t>
      </w:r>
      <w:r w:rsidRPr="00283806">
        <w:rPr>
          <w:w w:val="110"/>
        </w:rPr>
        <w:t>no such limitation. Interpreting the Act to include one would limit EPA’s ability to fulfill the direction and achieve the purposes</w:t>
      </w:r>
      <w:r w:rsidRPr="00283806">
        <w:rPr>
          <w:spacing w:val="-11"/>
          <w:w w:val="110"/>
        </w:rPr>
        <w:t xml:space="preserve"> </w:t>
      </w:r>
      <w:r w:rsidRPr="00283806">
        <w:rPr>
          <w:w w:val="110"/>
        </w:rPr>
        <w:t>stated</w:t>
      </w:r>
      <w:r w:rsidRPr="00283806">
        <w:rPr>
          <w:spacing w:val="-11"/>
          <w:w w:val="110"/>
        </w:rPr>
        <w:t xml:space="preserve"> </w:t>
      </w:r>
      <w:r w:rsidRPr="00283806">
        <w:rPr>
          <w:w w:val="110"/>
        </w:rPr>
        <w:t>in</w:t>
      </w:r>
      <w:r w:rsidRPr="00283806">
        <w:rPr>
          <w:spacing w:val="-11"/>
          <w:w w:val="110"/>
        </w:rPr>
        <w:t xml:space="preserve"> </w:t>
      </w:r>
      <w:r w:rsidRPr="00283806">
        <w:rPr>
          <w:w w:val="110"/>
        </w:rPr>
        <w:t>subsection</w:t>
      </w:r>
      <w:r w:rsidRPr="00283806">
        <w:rPr>
          <w:spacing w:val="-11"/>
          <w:w w:val="110"/>
        </w:rPr>
        <w:t xml:space="preserve"> </w:t>
      </w:r>
      <w:r w:rsidRPr="00283806">
        <w:rPr>
          <w:w w:val="110"/>
        </w:rPr>
        <w:t>(h).</w:t>
      </w:r>
      <w:r w:rsidRPr="00283806">
        <w:rPr>
          <w:spacing w:val="-11"/>
          <w:w w:val="110"/>
        </w:rPr>
        <w:t xml:space="preserve"> </w:t>
      </w:r>
      <w:r w:rsidRPr="00283806">
        <w:rPr>
          <w:w w:val="110"/>
        </w:rPr>
        <w:t xml:space="preserve">While EPA acknowledges that subsection (i)(7)(B), entitled ‘‘Applicability of Rules,’’ includes the limitation that a </w:t>
      </w:r>
      <w:r w:rsidRPr="00283806">
        <w:t>‘‘rule promulgated under this subsection</w:t>
      </w:r>
      <w:r w:rsidRPr="00283806">
        <w:rPr>
          <w:spacing w:val="40"/>
          <w:w w:val="110"/>
        </w:rPr>
        <w:t xml:space="preserve"> </w:t>
      </w:r>
      <w:r w:rsidRPr="00283806">
        <w:rPr>
          <w:w w:val="110"/>
        </w:rPr>
        <w:t>shall not apply .</w:t>
      </w:r>
      <w:r w:rsidRPr="00283806">
        <w:rPr>
          <w:spacing w:val="40"/>
          <w:w w:val="110"/>
        </w:rPr>
        <w:t xml:space="preserve"> </w:t>
      </w:r>
      <w:r w:rsidRPr="00283806">
        <w:rPr>
          <w:w w:val="110"/>
        </w:rPr>
        <w:t>.</w:t>
      </w:r>
      <w:r w:rsidRPr="00283806">
        <w:rPr>
          <w:spacing w:val="40"/>
          <w:w w:val="110"/>
        </w:rPr>
        <w:t xml:space="preserve"> </w:t>
      </w:r>
      <w:r w:rsidRPr="00283806">
        <w:rPr>
          <w:w w:val="110"/>
        </w:rPr>
        <w:t>. except for a retrofit application,</w:t>
      </w:r>
      <w:r w:rsidRPr="00283806">
        <w:rPr>
          <w:spacing w:val="-5"/>
          <w:w w:val="110"/>
        </w:rPr>
        <w:t xml:space="preserve"> </w:t>
      </w:r>
      <w:r w:rsidRPr="00283806">
        <w:rPr>
          <w:w w:val="110"/>
        </w:rPr>
        <w:t>equipment</w:t>
      </w:r>
      <w:r w:rsidRPr="00283806">
        <w:rPr>
          <w:spacing w:val="-5"/>
          <w:w w:val="110"/>
        </w:rPr>
        <w:t xml:space="preserve"> </w:t>
      </w:r>
      <w:r w:rsidRPr="00283806">
        <w:rPr>
          <w:w w:val="110"/>
        </w:rPr>
        <w:t>in</w:t>
      </w:r>
      <w:r w:rsidRPr="00283806">
        <w:rPr>
          <w:spacing w:val="-5"/>
          <w:w w:val="110"/>
        </w:rPr>
        <w:t xml:space="preserve"> </w:t>
      </w:r>
      <w:r w:rsidRPr="00283806">
        <w:rPr>
          <w:w w:val="110"/>
        </w:rPr>
        <w:t>existence</w:t>
      </w:r>
      <w:r w:rsidRPr="00283806">
        <w:rPr>
          <w:spacing w:val="-5"/>
          <w:w w:val="110"/>
        </w:rPr>
        <w:t xml:space="preserve"> </w:t>
      </w:r>
      <w:r w:rsidRPr="00283806">
        <w:rPr>
          <w:w w:val="110"/>
        </w:rPr>
        <w:t>in</w:t>
      </w:r>
      <w:r w:rsidRPr="00283806">
        <w:rPr>
          <w:spacing w:val="-5"/>
          <w:w w:val="110"/>
        </w:rPr>
        <w:t xml:space="preserve"> </w:t>
      </w:r>
      <w:r w:rsidRPr="00283806">
        <w:rPr>
          <w:w w:val="110"/>
        </w:rPr>
        <w:t xml:space="preserve">a </w:t>
      </w:r>
      <w:r w:rsidRPr="00283806">
        <w:t>sector or subsector before December 27,</w:t>
      </w:r>
      <w:r w:rsidRPr="00283806">
        <w:rPr>
          <w:w w:val="110"/>
        </w:rPr>
        <w:t xml:space="preserve"> 2020,’’</w:t>
      </w:r>
      <w:r w:rsidRPr="00283806">
        <w:rPr>
          <w:spacing w:val="-11"/>
          <w:w w:val="110"/>
        </w:rPr>
        <w:t xml:space="preserve"> </w:t>
      </w:r>
      <w:r w:rsidRPr="00283806">
        <w:rPr>
          <w:w w:val="110"/>
        </w:rPr>
        <w:t>that</w:t>
      </w:r>
      <w:r w:rsidRPr="00283806">
        <w:rPr>
          <w:spacing w:val="-11"/>
          <w:w w:val="110"/>
        </w:rPr>
        <w:t xml:space="preserve"> </w:t>
      </w:r>
      <w:r w:rsidRPr="00283806">
        <w:rPr>
          <w:w w:val="110"/>
        </w:rPr>
        <w:t>restriction</w:t>
      </w:r>
      <w:r w:rsidRPr="00283806">
        <w:rPr>
          <w:spacing w:val="-11"/>
          <w:w w:val="110"/>
        </w:rPr>
        <w:t xml:space="preserve"> </w:t>
      </w:r>
      <w:r w:rsidRPr="00283806">
        <w:rPr>
          <w:w w:val="110"/>
        </w:rPr>
        <w:t>expressly</w:t>
      </w:r>
      <w:r w:rsidRPr="00283806">
        <w:rPr>
          <w:spacing w:val="-11"/>
          <w:w w:val="110"/>
        </w:rPr>
        <w:t xml:space="preserve"> </w:t>
      </w:r>
      <w:r w:rsidRPr="00283806">
        <w:rPr>
          <w:w w:val="110"/>
        </w:rPr>
        <w:t>applies only to rules issued under subsection (i); it does not apply to rules promulgated</w:t>
      </w:r>
      <w:r w:rsidRPr="00283806">
        <w:rPr>
          <w:spacing w:val="-11"/>
          <w:w w:val="110"/>
        </w:rPr>
        <w:t xml:space="preserve"> </w:t>
      </w:r>
      <w:r w:rsidRPr="00283806">
        <w:rPr>
          <w:w w:val="110"/>
        </w:rPr>
        <w:t>under</w:t>
      </w:r>
      <w:r w:rsidRPr="00283806">
        <w:rPr>
          <w:spacing w:val="-11"/>
          <w:w w:val="110"/>
        </w:rPr>
        <w:t xml:space="preserve"> </w:t>
      </w:r>
      <w:r w:rsidRPr="00283806">
        <w:rPr>
          <w:w w:val="110"/>
        </w:rPr>
        <w:t>subsection</w:t>
      </w:r>
      <w:r w:rsidRPr="00283806">
        <w:rPr>
          <w:spacing w:val="-11"/>
          <w:w w:val="110"/>
        </w:rPr>
        <w:t xml:space="preserve"> </w:t>
      </w:r>
      <w:r w:rsidRPr="00283806">
        <w:rPr>
          <w:w w:val="110"/>
        </w:rPr>
        <w:t>(h),</w:t>
      </w:r>
      <w:r w:rsidRPr="00283806">
        <w:rPr>
          <w:spacing w:val="-11"/>
          <w:w w:val="110"/>
        </w:rPr>
        <w:t xml:space="preserve"> </w:t>
      </w:r>
      <w:r w:rsidRPr="00283806">
        <w:rPr>
          <w:w w:val="110"/>
        </w:rPr>
        <w:t>such as this rule. In fact, subsection (h) includes its own provision addressing inapplicability</w:t>
      </w:r>
      <w:r w:rsidRPr="00283806">
        <w:rPr>
          <w:spacing w:val="-11"/>
          <w:w w:val="110"/>
        </w:rPr>
        <w:t xml:space="preserve"> </w:t>
      </w:r>
      <w:r w:rsidRPr="00283806">
        <w:rPr>
          <w:w w:val="110"/>
        </w:rPr>
        <w:t>for</w:t>
      </w:r>
      <w:r w:rsidRPr="00283806">
        <w:rPr>
          <w:spacing w:val="-11"/>
          <w:w w:val="110"/>
        </w:rPr>
        <w:t xml:space="preserve"> </w:t>
      </w:r>
      <w:r w:rsidRPr="00283806">
        <w:rPr>
          <w:w w:val="110"/>
        </w:rPr>
        <w:t>regulations</w:t>
      </w:r>
      <w:r w:rsidRPr="00283806">
        <w:rPr>
          <w:spacing w:val="-11"/>
          <w:w w:val="110"/>
        </w:rPr>
        <w:t xml:space="preserve"> </w:t>
      </w:r>
      <w:r w:rsidRPr="00283806">
        <w:rPr>
          <w:w w:val="110"/>
        </w:rPr>
        <w:t>under</w:t>
      </w:r>
      <w:r w:rsidRPr="00283806">
        <w:rPr>
          <w:spacing w:val="-11"/>
          <w:w w:val="110"/>
        </w:rPr>
        <w:t xml:space="preserve"> </w:t>
      </w:r>
      <w:r w:rsidRPr="00283806">
        <w:rPr>
          <w:w w:val="110"/>
        </w:rPr>
        <w:t xml:space="preserve">(h) at (subsection (h)(4) entitled ‘‘Inapplicability’’). That provision does not mention any limitation on </w:t>
      </w:r>
      <w:proofErr w:type="gramStart"/>
      <w:r w:rsidRPr="00283806">
        <w:rPr>
          <w:w w:val="110"/>
        </w:rPr>
        <w:t>application</w:t>
      </w:r>
      <w:proofErr w:type="gramEnd"/>
      <w:r w:rsidRPr="00283806">
        <w:rPr>
          <w:w w:val="110"/>
        </w:rPr>
        <w:t xml:space="preserve"> of the rules to existing equipment.</w:t>
      </w:r>
      <w:r w:rsidRPr="00283806">
        <w:rPr>
          <w:spacing w:val="-11"/>
          <w:w w:val="110"/>
        </w:rPr>
        <w:t xml:space="preserve"> </w:t>
      </w:r>
      <w:r w:rsidRPr="00283806">
        <w:rPr>
          <w:w w:val="110"/>
        </w:rPr>
        <w:t>If</w:t>
      </w:r>
      <w:r w:rsidRPr="00283806">
        <w:rPr>
          <w:spacing w:val="-11"/>
          <w:w w:val="110"/>
        </w:rPr>
        <w:t xml:space="preserve"> </w:t>
      </w:r>
      <w:r w:rsidRPr="00283806">
        <w:rPr>
          <w:w w:val="110"/>
        </w:rPr>
        <w:t>Congress</w:t>
      </w:r>
      <w:r w:rsidRPr="00283806">
        <w:rPr>
          <w:spacing w:val="-11"/>
          <w:w w:val="110"/>
        </w:rPr>
        <w:t xml:space="preserve"> </w:t>
      </w:r>
      <w:r w:rsidRPr="00283806">
        <w:rPr>
          <w:w w:val="110"/>
        </w:rPr>
        <w:t>had</w:t>
      </w:r>
      <w:r w:rsidRPr="00283806">
        <w:rPr>
          <w:spacing w:val="-11"/>
          <w:w w:val="110"/>
        </w:rPr>
        <w:t xml:space="preserve"> </w:t>
      </w:r>
      <w:r w:rsidRPr="00283806">
        <w:rPr>
          <w:w w:val="110"/>
        </w:rPr>
        <w:t>intended</w:t>
      </w:r>
      <w:r w:rsidRPr="00283806">
        <w:rPr>
          <w:spacing w:val="-11"/>
          <w:w w:val="110"/>
        </w:rPr>
        <w:t xml:space="preserve"> </w:t>
      </w:r>
      <w:r w:rsidRPr="00283806">
        <w:rPr>
          <w:w w:val="110"/>
        </w:rPr>
        <w:t>for such a limitation to apply under subsection</w:t>
      </w:r>
      <w:r w:rsidRPr="00283806">
        <w:rPr>
          <w:spacing w:val="-11"/>
          <w:w w:val="110"/>
        </w:rPr>
        <w:t xml:space="preserve"> </w:t>
      </w:r>
      <w:r w:rsidRPr="00283806">
        <w:rPr>
          <w:w w:val="110"/>
        </w:rPr>
        <w:t>(h),</w:t>
      </w:r>
      <w:r w:rsidRPr="00283806">
        <w:rPr>
          <w:spacing w:val="-11"/>
          <w:w w:val="110"/>
        </w:rPr>
        <w:t xml:space="preserve"> </w:t>
      </w:r>
      <w:r w:rsidRPr="00283806">
        <w:rPr>
          <w:w w:val="110"/>
        </w:rPr>
        <w:t>it</w:t>
      </w:r>
      <w:r w:rsidRPr="00283806">
        <w:rPr>
          <w:spacing w:val="-11"/>
          <w:w w:val="110"/>
        </w:rPr>
        <w:t xml:space="preserve"> </w:t>
      </w:r>
      <w:r w:rsidRPr="00283806">
        <w:rPr>
          <w:w w:val="110"/>
        </w:rPr>
        <w:t>is</w:t>
      </w:r>
      <w:r w:rsidRPr="00283806">
        <w:rPr>
          <w:spacing w:val="-11"/>
          <w:w w:val="110"/>
        </w:rPr>
        <w:t xml:space="preserve"> </w:t>
      </w:r>
      <w:r w:rsidRPr="00283806">
        <w:rPr>
          <w:w w:val="110"/>
        </w:rPr>
        <w:t>reasonable</w:t>
      </w:r>
      <w:r w:rsidRPr="00283806">
        <w:rPr>
          <w:spacing w:val="-11"/>
          <w:w w:val="110"/>
        </w:rPr>
        <w:t xml:space="preserve"> </w:t>
      </w:r>
      <w:r w:rsidRPr="00283806">
        <w:rPr>
          <w:w w:val="110"/>
        </w:rPr>
        <w:t>to</w:t>
      </w:r>
      <w:r w:rsidRPr="00283806">
        <w:rPr>
          <w:spacing w:val="-11"/>
          <w:w w:val="110"/>
        </w:rPr>
        <w:t xml:space="preserve"> </w:t>
      </w:r>
      <w:r w:rsidRPr="00283806">
        <w:rPr>
          <w:w w:val="110"/>
        </w:rPr>
        <w:t>expect</w:t>
      </w:r>
    </w:p>
    <w:p w14:paraId="1E1EE27D" w14:textId="77777777" w:rsidR="00D67C1E" w:rsidRPr="00283806" w:rsidRDefault="001265CA">
      <w:pPr>
        <w:pStyle w:val="BodyText"/>
        <w:spacing w:before="133" w:line="225" w:lineRule="auto"/>
        <w:ind w:left="143" w:right="211"/>
      </w:pPr>
      <w:r w:rsidRPr="00283806">
        <w:br w:type="column"/>
      </w:r>
      <w:r w:rsidRPr="00283806">
        <w:rPr>
          <w:w w:val="105"/>
        </w:rPr>
        <w:t>that legislators would have explicitly included it in this provision, as they did</w:t>
      </w:r>
      <w:r w:rsidRPr="00283806">
        <w:rPr>
          <w:spacing w:val="40"/>
          <w:w w:val="105"/>
        </w:rPr>
        <w:t xml:space="preserve"> </w:t>
      </w:r>
      <w:r w:rsidRPr="00283806">
        <w:rPr>
          <w:w w:val="105"/>
        </w:rPr>
        <w:t>in subsection (i)(7)(B).</w:t>
      </w:r>
    </w:p>
    <w:p w14:paraId="21E389CA" w14:textId="77777777" w:rsidR="00D67C1E" w:rsidRPr="00283806" w:rsidRDefault="001265CA">
      <w:pPr>
        <w:pStyle w:val="BodyText"/>
        <w:spacing w:line="179" w:lineRule="exact"/>
        <w:ind w:left="323"/>
      </w:pPr>
      <w:r w:rsidRPr="00283806">
        <w:rPr>
          <w:w w:val="105"/>
        </w:rPr>
        <w:t>Regarding</w:t>
      </w:r>
      <w:r w:rsidRPr="00283806">
        <w:rPr>
          <w:spacing w:val="6"/>
          <w:w w:val="105"/>
        </w:rPr>
        <w:t xml:space="preserve"> </w:t>
      </w:r>
      <w:r w:rsidRPr="00283806">
        <w:rPr>
          <w:w w:val="105"/>
        </w:rPr>
        <w:t>the</w:t>
      </w:r>
      <w:r w:rsidRPr="00283806">
        <w:rPr>
          <w:spacing w:val="6"/>
          <w:w w:val="105"/>
        </w:rPr>
        <w:t xml:space="preserve"> </w:t>
      </w:r>
      <w:r w:rsidRPr="00283806">
        <w:rPr>
          <w:w w:val="105"/>
        </w:rPr>
        <w:t>commenter’s</w:t>
      </w:r>
      <w:r w:rsidRPr="00283806">
        <w:rPr>
          <w:spacing w:val="6"/>
          <w:w w:val="105"/>
        </w:rPr>
        <w:t xml:space="preserve"> </w:t>
      </w:r>
      <w:r w:rsidRPr="00283806">
        <w:rPr>
          <w:spacing w:val="-2"/>
          <w:w w:val="105"/>
        </w:rPr>
        <w:t>assertion</w:t>
      </w:r>
    </w:p>
    <w:p w14:paraId="3129BC96" w14:textId="77777777" w:rsidR="00D67C1E" w:rsidRPr="00283806" w:rsidRDefault="001265CA">
      <w:pPr>
        <w:pStyle w:val="BodyText"/>
        <w:spacing w:before="4" w:line="225" w:lineRule="auto"/>
        <w:ind w:left="143" w:right="142"/>
      </w:pPr>
      <w:r w:rsidRPr="00283806">
        <w:rPr>
          <w:w w:val="105"/>
        </w:rPr>
        <w:t>that the AIM Act does not confer</w:t>
      </w:r>
      <w:r w:rsidRPr="00283806">
        <w:rPr>
          <w:spacing w:val="80"/>
          <w:w w:val="105"/>
        </w:rPr>
        <w:t xml:space="preserve"> </w:t>
      </w:r>
      <w:r w:rsidRPr="00283806">
        <w:rPr>
          <w:w w:val="105"/>
        </w:rPr>
        <w:t>limitless authority to EPA to impose the proposed ‘‘expansive’’ and</w:t>
      </w:r>
      <w:r w:rsidRPr="00283806">
        <w:rPr>
          <w:spacing w:val="40"/>
          <w:w w:val="105"/>
        </w:rPr>
        <w:t xml:space="preserve"> </w:t>
      </w:r>
      <w:r w:rsidRPr="00283806">
        <w:rPr>
          <w:w w:val="105"/>
        </w:rPr>
        <w:t>‘‘unnecessarily burdensome’’ leak detection and repair requirements, the Agency does not view the AIM Act as conferring limitless authority. Instead, EPA concludes that in this rule the requirements</w:t>
      </w:r>
      <w:r w:rsidRPr="00283806">
        <w:rPr>
          <w:spacing w:val="-1"/>
          <w:w w:val="105"/>
        </w:rPr>
        <w:t xml:space="preserve"> </w:t>
      </w:r>
      <w:r w:rsidRPr="00283806">
        <w:rPr>
          <w:w w:val="105"/>
        </w:rPr>
        <w:t>that</w:t>
      </w:r>
      <w:r w:rsidRPr="00283806">
        <w:rPr>
          <w:spacing w:val="-1"/>
          <w:w w:val="105"/>
        </w:rPr>
        <w:t xml:space="preserve"> </w:t>
      </w:r>
      <w:r w:rsidRPr="00283806">
        <w:rPr>
          <w:w w:val="105"/>
        </w:rPr>
        <w:t>are</w:t>
      </w:r>
      <w:r w:rsidRPr="00283806">
        <w:rPr>
          <w:spacing w:val="-1"/>
          <w:w w:val="105"/>
        </w:rPr>
        <w:t xml:space="preserve"> </w:t>
      </w:r>
      <w:r w:rsidRPr="00283806">
        <w:rPr>
          <w:w w:val="105"/>
        </w:rPr>
        <w:t>being</w:t>
      </w:r>
      <w:r w:rsidRPr="00283806">
        <w:rPr>
          <w:spacing w:val="-1"/>
          <w:w w:val="105"/>
        </w:rPr>
        <w:t xml:space="preserve"> </w:t>
      </w:r>
      <w:r w:rsidRPr="00283806">
        <w:rPr>
          <w:w w:val="105"/>
        </w:rPr>
        <w:t>finalized</w:t>
      </w:r>
      <w:r w:rsidRPr="00283806">
        <w:rPr>
          <w:spacing w:val="-1"/>
          <w:w w:val="105"/>
        </w:rPr>
        <w:t xml:space="preserve"> </w:t>
      </w:r>
      <w:r w:rsidRPr="00283806">
        <w:rPr>
          <w:w w:val="105"/>
        </w:rPr>
        <w:t>are well within the scope of authority provided by the AIM Act and are consistent with subsection (h), for the reasons described previously in this response and elsewhere in this final</w:t>
      </w:r>
      <w:r w:rsidRPr="00283806">
        <w:rPr>
          <w:spacing w:val="80"/>
          <w:w w:val="105"/>
        </w:rPr>
        <w:t xml:space="preserve"> </w:t>
      </w:r>
      <w:r w:rsidRPr="00283806">
        <w:rPr>
          <w:w w:val="105"/>
        </w:rPr>
        <w:t>rule. EPA disagrees with the characterization of this rule as ‘‘unnecessarily burdensome’’ for the reasons described in section IV.C.2 of</w:t>
      </w:r>
      <w:r w:rsidRPr="00283806">
        <w:rPr>
          <w:spacing w:val="80"/>
          <w:w w:val="105"/>
        </w:rPr>
        <w:t xml:space="preserve"> </w:t>
      </w:r>
      <w:r w:rsidRPr="00283806">
        <w:rPr>
          <w:w w:val="105"/>
        </w:rPr>
        <w:t>this preamble. Further, the Agency has explained why these requirements are appropriate for serving the purposes under subsection (h) as described throughout this section of the preamble.</w:t>
      </w:r>
    </w:p>
    <w:p w14:paraId="293494CB" w14:textId="77777777" w:rsidR="00D67C1E" w:rsidRPr="00283806" w:rsidRDefault="001265CA">
      <w:pPr>
        <w:spacing w:line="177" w:lineRule="exact"/>
        <w:ind w:left="323"/>
        <w:rPr>
          <w:sz w:val="18"/>
        </w:rPr>
      </w:pPr>
      <w:r w:rsidRPr="00283806">
        <w:rPr>
          <w:rFonts w:ascii="Book Antiqua"/>
          <w:i/>
          <w:w w:val="110"/>
          <w:sz w:val="18"/>
        </w:rPr>
        <w:t>Comment:</w:t>
      </w:r>
      <w:r w:rsidRPr="00283806">
        <w:rPr>
          <w:rFonts w:ascii="Book Antiqua"/>
          <w:i/>
          <w:spacing w:val="8"/>
          <w:w w:val="110"/>
          <w:sz w:val="18"/>
        </w:rPr>
        <w:t xml:space="preserve"> </w:t>
      </w:r>
      <w:r w:rsidRPr="00283806">
        <w:rPr>
          <w:w w:val="110"/>
          <w:sz w:val="18"/>
        </w:rPr>
        <w:t>One</w:t>
      </w:r>
      <w:r w:rsidRPr="00283806">
        <w:rPr>
          <w:spacing w:val="14"/>
          <w:w w:val="110"/>
          <w:sz w:val="18"/>
        </w:rPr>
        <w:t xml:space="preserve"> </w:t>
      </w:r>
      <w:r w:rsidRPr="00283806">
        <w:rPr>
          <w:spacing w:val="-2"/>
          <w:w w:val="110"/>
          <w:sz w:val="18"/>
        </w:rPr>
        <w:t>commenter</w:t>
      </w:r>
    </w:p>
    <w:p w14:paraId="613D0277" w14:textId="77777777" w:rsidR="00D67C1E" w:rsidRPr="00283806" w:rsidRDefault="001265CA">
      <w:pPr>
        <w:pStyle w:val="BodyText"/>
        <w:spacing w:line="225" w:lineRule="auto"/>
        <w:ind w:left="143" w:right="250"/>
      </w:pPr>
      <w:r w:rsidRPr="00283806">
        <w:rPr>
          <w:w w:val="105"/>
        </w:rPr>
        <w:t>recommended that EPA align the requirements for retrofit or retirement plans with the CAA section 608 regulations to reduce uncertainty and compliance costs. The commenter also suggested that EPA consider merging the entire leak detection and repair programs under CAA section 608 and subsection (h) of the AIM Act into one regulation to help streamline the respective requirements and avoid confusion in compliance on the part of owners and operators.</w:t>
      </w:r>
    </w:p>
    <w:p w14:paraId="7C947D72" w14:textId="77777777" w:rsidR="00D67C1E" w:rsidRPr="00283806" w:rsidRDefault="001265CA">
      <w:pPr>
        <w:pStyle w:val="BodyText"/>
        <w:spacing w:line="213" w:lineRule="auto"/>
        <w:ind w:left="143" w:right="211" w:firstLine="180"/>
      </w:pPr>
      <w:r w:rsidRPr="00283806">
        <w:rPr>
          <w:rFonts w:ascii="Book Antiqua"/>
          <w:i/>
          <w:w w:val="105"/>
        </w:rPr>
        <w:t xml:space="preserve">Response: </w:t>
      </w:r>
      <w:r w:rsidRPr="00283806">
        <w:rPr>
          <w:w w:val="105"/>
        </w:rPr>
        <w:t>EPA clarifies that this specific provision and many other leak</w:t>
      </w:r>
    </w:p>
    <w:p w14:paraId="679D8608" w14:textId="77777777" w:rsidR="00D67C1E" w:rsidRPr="00283806" w:rsidRDefault="001265CA">
      <w:pPr>
        <w:pStyle w:val="BodyText"/>
        <w:spacing w:line="223" w:lineRule="auto"/>
        <w:ind w:left="143" w:right="180"/>
      </w:pPr>
      <w:r w:rsidRPr="00283806">
        <w:rPr>
          <w:w w:val="105"/>
        </w:rPr>
        <w:t>repair provisions in the final rule largely aligned with regulations under CAA section 608. When creating this final</w:t>
      </w:r>
      <w:r w:rsidRPr="00283806">
        <w:rPr>
          <w:spacing w:val="80"/>
          <w:w w:val="105"/>
        </w:rPr>
        <w:t xml:space="preserve"> </w:t>
      </w:r>
      <w:r w:rsidRPr="00283806">
        <w:rPr>
          <w:w w:val="105"/>
        </w:rPr>
        <w:t>rule, EPA looked to align the provisions with the CAA while also building on the CAA</w:t>
      </w:r>
      <w:r w:rsidRPr="00283806">
        <w:rPr>
          <w:spacing w:val="40"/>
          <w:w w:val="105"/>
        </w:rPr>
        <w:t xml:space="preserve"> </w:t>
      </w:r>
      <w:r w:rsidRPr="00283806">
        <w:rPr>
          <w:w w:val="105"/>
        </w:rPr>
        <w:t>regulations</w:t>
      </w:r>
      <w:r w:rsidRPr="00283806">
        <w:rPr>
          <w:spacing w:val="40"/>
          <w:w w:val="105"/>
        </w:rPr>
        <w:t xml:space="preserve"> </w:t>
      </w:r>
      <w:r w:rsidRPr="00283806">
        <w:rPr>
          <w:w w:val="105"/>
        </w:rPr>
        <w:t>where</w:t>
      </w:r>
      <w:r w:rsidRPr="00283806">
        <w:rPr>
          <w:spacing w:val="40"/>
          <w:w w:val="105"/>
        </w:rPr>
        <w:t xml:space="preserve"> </w:t>
      </w:r>
      <w:r w:rsidRPr="00283806">
        <w:rPr>
          <w:w w:val="105"/>
        </w:rPr>
        <w:t>appropriate (</w:t>
      </w:r>
      <w:r w:rsidRPr="00283806">
        <w:rPr>
          <w:rFonts w:ascii="Book Antiqua"/>
          <w:i/>
          <w:w w:val="105"/>
        </w:rPr>
        <w:t xml:space="preserve">e.g., </w:t>
      </w:r>
      <w:r w:rsidRPr="00283806">
        <w:rPr>
          <w:w w:val="105"/>
        </w:rPr>
        <w:t>changing the charge size threshold to 15 pounds for leak repair).</w:t>
      </w:r>
    </w:p>
    <w:p w14:paraId="212BD86B" w14:textId="77777777" w:rsidR="00D67C1E" w:rsidRPr="00283806" w:rsidRDefault="001265CA">
      <w:pPr>
        <w:pStyle w:val="BodyText"/>
        <w:spacing w:line="225" w:lineRule="auto"/>
        <w:ind w:left="143" w:right="122"/>
      </w:pPr>
      <w:r w:rsidRPr="00283806">
        <w:rPr>
          <w:w w:val="105"/>
        </w:rPr>
        <w:t>Additionally, EPA notes that the leak repair</w:t>
      </w:r>
      <w:r w:rsidRPr="00283806">
        <w:rPr>
          <w:spacing w:val="40"/>
          <w:w w:val="105"/>
        </w:rPr>
        <w:t xml:space="preserve"> </w:t>
      </w:r>
      <w:r w:rsidRPr="00283806">
        <w:rPr>
          <w:w w:val="105"/>
        </w:rPr>
        <w:t>rules</w:t>
      </w:r>
      <w:r w:rsidRPr="00283806">
        <w:rPr>
          <w:spacing w:val="40"/>
          <w:w w:val="105"/>
        </w:rPr>
        <w:t xml:space="preserve"> </w:t>
      </w:r>
      <w:r w:rsidRPr="00283806">
        <w:rPr>
          <w:w w:val="105"/>
        </w:rPr>
        <w:t>under</w:t>
      </w:r>
      <w:r w:rsidRPr="00283806">
        <w:rPr>
          <w:spacing w:val="40"/>
          <w:w w:val="105"/>
        </w:rPr>
        <w:t xml:space="preserve"> </w:t>
      </w:r>
      <w:r w:rsidRPr="00283806">
        <w:rPr>
          <w:w w:val="105"/>
        </w:rPr>
        <w:t>the</w:t>
      </w:r>
      <w:r w:rsidRPr="00283806">
        <w:rPr>
          <w:spacing w:val="40"/>
          <w:w w:val="105"/>
        </w:rPr>
        <w:t xml:space="preserve"> </w:t>
      </w:r>
      <w:r w:rsidRPr="00283806">
        <w:rPr>
          <w:w w:val="105"/>
        </w:rPr>
        <w:t>CAA</w:t>
      </w:r>
      <w:r w:rsidRPr="00283806">
        <w:rPr>
          <w:spacing w:val="40"/>
          <w:w w:val="105"/>
        </w:rPr>
        <w:t xml:space="preserve"> </w:t>
      </w:r>
      <w:r w:rsidRPr="00283806">
        <w:rPr>
          <w:w w:val="105"/>
        </w:rPr>
        <w:t>and</w:t>
      </w:r>
      <w:r w:rsidRPr="00283806">
        <w:rPr>
          <w:spacing w:val="40"/>
          <w:w w:val="105"/>
        </w:rPr>
        <w:t xml:space="preserve"> </w:t>
      </w:r>
      <w:r w:rsidRPr="00283806">
        <w:rPr>
          <w:w w:val="105"/>
        </w:rPr>
        <w:t>this final rule were promulgated under two separate statutory authorities, and that the Agency did not propose to reopen</w:t>
      </w:r>
      <w:r w:rsidRPr="00283806">
        <w:rPr>
          <w:spacing w:val="80"/>
          <w:w w:val="105"/>
        </w:rPr>
        <w:t xml:space="preserve"> </w:t>
      </w:r>
      <w:r w:rsidRPr="00283806">
        <w:rPr>
          <w:w w:val="105"/>
        </w:rPr>
        <w:t xml:space="preserve">the requirements under the CAA as part of this rulemaking. Thus, the Agency is not merging the requirements in the way the commenter </w:t>
      </w:r>
      <w:proofErr w:type="gramStart"/>
      <w:r w:rsidRPr="00283806">
        <w:rPr>
          <w:w w:val="105"/>
        </w:rPr>
        <w:t>suggest</w:t>
      </w:r>
      <w:proofErr w:type="gramEnd"/>
      <w:r w:rsidRPr="00283806">
        <w:rPr>
          <w:w w:val="105"/>
        </w:rPr>
        <w:t xml:space="preserve"> in this action.</w:t>
      </w:r>
    </w:p>
    <w:p w14:paraId="2A1A4FD9" w14:textId="77777777" w:rsidR="00D67C1E" w:rsidRPr="00283806" w:rsidRDefault="001265CA">
      <w:pPr>
        <w:pStyle w:val="BodyText"/>
        <w:spacing w:line="228" w:lineRule="auto"/>
        <w:ind w:left="143" w:right="250"/>
      </w:pPr>
      <w:r w:rsidRPr="00283806">
        <w:rPr>
          <w:w w:val="105"/>
        </w:rPr>
        <w:t>However, as previously stated we have evaluated how to make the leak repair provisions under the CAA and AIM Act streamlined and understandable. EPA disagrees that this final rule will cause confusion for owners and operators. As stated previously, this final rule is</w:t>
      </w:r>
      <w:r w:rsidRPr="00283806">
        <w:rPr>
          <w:spacing w:val="40"/>
          <w:w w:val="105"/>
        </w:rPr>
        <w:t xml:space="preserve"> </w:t>
      </w:r>
      <w:r w:rsidRPr="00283806">
        <w:rPr>
          <w:w w:val="105"/>
        </w:rPr>
        <w:t>largely aligned with the leak repair requirements under CAA section 608.</w:t>
      </w:r>
    </w:p>
    <w:p w14:paraId="4E75FC8A"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8" w:space="40"/>
            <w:col w:w="3500" w:space="39"/>
            <w:col w:w="3623"/>
          </w:cols>
        </w:sectPr>
      </w:pPr>
    </w:p>
    <w:p w14:paraId="1F6629A1" w14:textId="77777777" w:rsidR="00D67C1E" w:rsidRPr="00283806" w:rsidRDefault="001265CA">
      <w:pPr>
        <w:pStyle w:val="ListParagraph"/>
        <w:numPr>
          <w:ilvl w:val="0"/>
          <w:numId w:val="55"/>
        </w:numPr>
        <w:tabs>
          <w:tab w:val="left" w:pos="340"/>
          <w:tab w:val="left" w:pos="348"/>
        </w:tabs>
        <w:spacing w:before="67" w:line="270" w:lineRule="atLeast"/>
        <w:ind w:left="340" w:right="538" w:hanging="180"/>
        <w:rPr>
          <w:sz w:val="18"/>
        </w:rPr>
      </w:pPr>
      <w:r w:rsidRPr="00283806">
        <w:rPr>
          <w:w w:val="105"/>
          <w:sz w:val="18"/>
        </w:rPr>
        <w:lastRenderedPageBreak/>
        <w:t xml:space="preserve">Recordkeeping and Reporting EPA </w:t>
      </w:r>
      <w:proofErr w:type="gramStart"/>
      <w:r w:rsidRPr="00283806">
        <w:rPr>
          <w:w w:val="105"/>
          <w:sz w:val="18"/>
        </w:rPr>
        <w:t>is requiring</w:t>
      </w:r>
      <w:proofErr w:type="gramEnd"/>
      <w:r w:rsidRPr="00283806">
        <w:rPr>
          <w:w w:val="105"/>
          <w:sz w:val="18"/>
        </w:rPr>
        <w:t xml:space="preserve"> recordkeeping</w:t>
      </w:r>
    </w:p>
    <w:p w14:paraId="2D57C3C1" w14:textId="77777777" w:rsidR="00D67C1E" w:rsidRPr="00283806" w:rsidRDefault="001265CA">
      <w:pPr>
        <w:pStyle w:val="BodyText"/>
        <w:spacing w:before="3" w:line="228" w:lineRule="auto"/>
        <w:ind w:right="36"/>
      </w:pPr>
      <w:r w:rsidRPr="00283806">
        <w:rPr>
          <w:w w:val="105"/>
        </w:rPr>
        <w:t xml:space="preserve">requirements for refrigerant-containing appliances with a charge size of 15 pounds or more of a refrigerant containing an HFC or a substitute for an HFC with a GWP above 53 under subsection (h) that are </w:t>
      </w:r>
      <w:proofErr w:type="gramStart"/>
      <w:r w:rsidRPr="00283806">
        <w:rPr>
          <w:w w:val="105"/>
        </w:rPr>
        <w:t>similar to</w:t>
      </w:r>
      <w:proofErr w:type="gramEnd"/>
      <w:r w:rsidRPr="00283806">
        <w:rPr>
          <w:w w:val="105"/>
        </w:rPr>
        <w:t xml:space="preserve"> those</w:t>
      </w:r>
      <w:r w:rsidRPr="00283806">
        <w:rPr>
          <w:spacing w:val="40"/>
          <w:w w:val="105"/>
        </w:rPr>
        <w:t xml:space="preserve"> </w:t>
      </w:r>
      <w:r w:rsidRPr="00283806">
        <w:rPr>
          <w:w w:val="105"/>
        </w:rPr>
        <w:t>at 40 CFR 82.157(l). Where EPA is establishing requirements for recordkeeping, the record must be maintained for three years in either paper or electronic format. An owner or operator may contract out the record generation responsibilities but retains ultimate liability for compliance and must be able to access these records electronically or in hard copy from the facility where the appliance is located.</w:t>
      </w:r>
      <w:r w:rsidRPr="00283806">
        <w:rPr>
          <w:spacing w:val="40"/>
          <w:w w:val="105"/>
        </w:rPr>
        <w:t xml:space="preserve"> </w:t>
      </w:r>
      <w:r w:rsidRPr="00283806">
        <w:rPr>
          <w:w w:val="105"/>
        </w:rPr>
        <w:t>All recordkeeping requirements can be found in 40 CFR 84.106(l). These</w:t>
      </w:r>
      <w:r w:rsidRPr="00283806">
        <w:rPr>
          <w:spacing w:val="40"/>
          <w:w w:val="105"/>
        </w:rPr>
        <w:t xml:space="preserve"> </w:t>
      </w:r>
      <w:r w:rsidRPr="00283806">
        <w:rPr>
          <w:w w:val="105"/>
        </w:rPr>
        <w:t>records are the primary means for the facility to demonstrate compliance with the leak repair requirements, and EPA will review them when evaluating compliance. EPA will access these records in various ways, including, but not limited to, on-site review of the records or requesting them via an information request. In general, EPA is establishing the following</w:t>
      </w:r>
      <w:r w:rsidRPr="00283806">
        <w:rPr>
          <w:spacing w:val="80"/>
          <w:w w:val="105"/>
        </w:rPr>
        <w:t xml:space="preserve"> </w:t>
      </w:r>
      <w:r w:rsidRPr="00283806">
        <w:rPr>
          <w:w w:val="105"/>
        </w:rPr>
        <w:t>recordkeeping requirements for owners and operators under subsection (h):</w:t>
      </w:r>
    </w:p>
    <w:p w14:paraId="1AFD9AC8" w14:textId="77777777" w:rsidR="00D67C1E" w:rsidRPr="00283806" w:rsidRDefault="001265CA">
      <w:pPr>
        <w:pStyle w:val="ListParagraph"/>
        <w:numPr>
          <w:ilvl w:val="1"/>
          <w:numId w:val="55"/>
        </w:numPr>
        <w:tabs>
          <w:tab w:val="left" w:pos="522"/>
        </w:tabs>
        <w:spacing w:line="178" w:lineRule="exact"/>
        <w:ind w:left="522" w:hanging="182"/>
        <w:rPr>
          <w:sz w:val="18"/>
        </w:rPr>
      </w:pPr>
      <w:r w:rsidRPr="00283806">
        <w:rPr>
          <w:w w:val="105"/>
          <w:sz w:val="18"/>
        </w:rPr>
        <w:t>Maintain</w:t>
      </w:r>
      <w:r w:rsidRPr="00283806">
        <w:rPr>
          <w:spacing w:val="18"/>
          <w:w w:val="105"/>
          <w:sz w:val="18"/>
        </w:rPr>
        <w:t xml:space="preserve"> </w:t>
      </w:r>
      <w:r w:rsidRPr="00283806">
        <w:rPr>
          <w:w w:val="105"/>
          <w:sz w:val="18"/>
        </w:rPr>
        <w:t>records</w:t>
      </w:r>
      <w:r w:rsidRPr="00283806">
        <w:rPr>
          <w:spacing w:val="19"/>
          <w:w w:val="105"/>
          <w:sz w:val="18"/>
        </w:rPr>
        <w:t xml:space="preserve"> </w:t>
      </w:r>
      <w:r w:rsidRPr="00283806">
        <w:rPr>
          <w:w w:val="105"/>
          <w:sz w:val="18"/>
        </w:rPr>
        <w:t>documenting</w:t>
      </w:r>
      <w:r w:rsidRPr="00283806">
        <w:rPr>
          <w:spacing w:val="19"/>
          <w:w w:val="105"/>
          <w:sz w:val="18"/>
        </w:rPr>
        <w:t xml:space="preserve"> </w:t>
      </w:r>
      <w:r w:rsidRPr="00283806">
        <w:rPr>
          <w:spacing w:val="-5"/>
          <w:w w:val="105"/>
          <w:sz w:val="18"/>
        </w:rPr>
        <w:t>the</w:t>
      </w:r>
    </w:p>
    <w:p w14:paraId="0E27B211" w14:textId="77777777" w:rsidR="00D67C1E" w:rsidRPr="00283806" w:rsidRDefault="001265CA">
      <w:pPr>
        <w:pStyle w:val="BodyText"/>
        <w:spacing w:line="193" w:lineRule="exact"/>
      </w:pPr>
      <w:r w:rsidRPr="00283806">
        <w:rPr>
          <w:w w:val="110"/>
        </w:rPr>
        <w:t>full</w:t>
      </w:r>
      <w:r w:rsidRPr="00283806">
        <w:rPr>
          <w:spacing w:val="-4"/>
          <w:w w:val="110"/>
        </w:rPr>
        <w:t xml:space="preserve"> </w:t>
      </w:r>
      <w:r w:rsidRPr="00283806">
        <w:rPr>
          <w:w w:val="110"/>
        </w:rPr>
        <w:t>charge</w:t>
      </w:r>
      <w:r w:rsidRPr="00283806">
        <w:rPr>
          <w:spacing w:val="-3"/>
          <w:w w:val="110"/>
        </w:rPr>
        <w:t xml:space="preserve"> </w:t>
      </w:r>
      <w:r w:rsidRPr="00283806">
        <w:rPr>
          <w:w w:val="110"/>
        </w:rPr>
        <w:t>of</w:t>
      </w:r>
      <w:r w:rsidRPr="00283806">
        <w:rPr>
          <w:spacing w:val="-3"/>
          <w:w w:val="110"/>
        </w:rPr>
        <w:t xml:space="preserve"> </w:t>
      </w:r>
      <w:r w:rsidRPr="00283806">
        <w:rPr>
          <w:spacing w:val="-2"/>
          <w:w w:val="110"/>
        </w:rPr>
        <w:t>appliances;</w:t>
      </w:r>
    </w:p>
    <w:p w14:paraId="23E6EDA0" w14:textId="77777777" w:rsidR="00D67C1E" w:rsidRPr="00283806" w:rsidRDefault="001265CA">
      <w:pPr>
        <w:pStyle w:val="ListParagraph"/>
        <w:numPr>
          <w:ilvl w:val="1"/>
          <w:numId w:val="55"/>
        </w:numPr>
        <w:tabs>
          <w:tab w:val="left" w:pos="522"/>
        </w:tabs>
        <w:spacing w:line="228" w:lineRule="auto"/>
        <w:ind w:right="20" w:firstLine="180"/>
        <w:rPr>
          <w:sz w:val="18"/>
        </w:rPr>
      </w:pPr>
      <w:r w:rsidRPr="00283806">
        <w:rPr>
          <w:w w:val="105"/>
          <w:sz w:val="18"/>
        </w:rPr>
        <w:t>Maintain records, such as invoices or other documentation showing when refrigerant</w:t>
      </w:r>
      <w:r w:rsidRPr="00283806">
        <w:rPr>
          <w:spacing w:val="-2"/>
          <w:w w:val="105"/>
          <w:sz w:val="18"/>
        </w:rPr>
        <w:t xml:space="preserve"> </w:t>
      </w:r>
      <w:r w:rsidRPr="00283806">
        <w:rPr>
          <w:w w:val="105"/>
          <w:sz w:val="18"/>
        </w:rPr>
        <w:t>is</w:t>
      </w:r>
      <w:r w:rsidRPr="00283806">
        <w:rPr>
          <w:spacing w:val="-2"/>
          <w:w w:val="105"/>
          <w:sz w:val="18"/>
        </w:rPr>
        <w:t xml:space="preserve"> </w:t>
      </w:r>
      <w:r w:rsidRPr="00283806">
        <w:rPr>
          <w:w w:val="105"/>
          <w:sz w:val="18"/>
        </w:rPr>
        <w:t>added</w:t>
      </w:r>
      <w:r w:rsidRPr="00283806">
        <w:rPr>
          <w:spacing w:val="-2"/>
          <w:w w:val="105"/>
          <w:sz w:val="18"/>
        </w:rPr>
        <w:t xml:space="preserve"> </w:t>
      </w:r>
      <w:r w:rsidRPr="00283806">
        <w:rPr>
          <w:w w:val="105"/>
          <w:sz w:val="18"/>
        </w:rPr>
        <w:t>or</w:t>
      </w:r>
      <w:r w:rsidRPr="00283806">
        <w:rPr>
          <w:spacing w:val="-2"/>
          <w:w w:val="105"/>
          <w:sz w:val="18"/>
        </w:rPr>
        <w:t xml:space="preserve"> </w:t>
      </w:r>
      <w:r w:rsidRPr="00283806">
        <w:rPr>
          <w:w w:val="105"/>
          <w:sz w:val="18"/>
        </w:rPr>
        <w:t>removed</w:t>
      </w:r>
      <w:r w:rsidRPr="00283806">
        <w:rPr>
          <w:spacing w:val="-2"/>
          <w:w w:val="105"/>
          <w:sz w:val="18"/>
        </w:rPr>
        <w:t xml:space="preserve"> </w:t>
      </w:r>
      <w:r w:rsidRPr="00283806">
        <w:rPr>
          <w:w w:val="105"/>
          <w:sz w:val="18"/>
        </w:rPr>
        <w:t>from</w:t>
      </w:r>
      <w:r w:rsidRPr="00283806">
        <w:rPr>
          <w:spacing w:val="-2"/>
          <w:w w:val="105"/>
          <w:sz w:val="18"/>
        </w:rPr>
        <w:t xml:space="preserve"> </w:t>
      </w:r>
      <w:r w:rsidRPr="00283806">
        <w:rPr>
          <w:w w:val="105"/>
          <w:sz w:val="18"/>
        </w:rPr>
        <w:t>an appliance, when a leak inspection is performed, when a verification test is conducted, and when service or maintenance is performed;</w:t>
      </w:r>
    </w:p>
    <w:p w14:paraId="6D36D67C" w14:textId="77777777" w:rsidR="00D67C1E" w:rsidRPr="00283806" w:rsidRDefault="001265CA">
      <w:pPr>
        <w:pStyle w:val="ListParagraph"/>
        <w:numPr>
          <w:ilvl w:val="1"/>
          <w:numId w:val="55"/>
        </w:numPr>
        <w:tabs>
          <w:tab w:val="left" w:pos="522"/>
        </w:tabs>
        <w:spacing w:line="190" w:lineRule="exact"/>
        <w:ind w:left="522" w:hanging="182"/>
        <w:rPr>
          <w:sz w:val="18"/>
        </w:rPr>
      </w:pPr>
      <w:r w:rsidRPr="00283806">
        <w:rPr>
          <w:w w:val="105"/>
          <w:sz w:val="18"/>
        </w:rPr>
        <w:t>Maintain</w:t>
      </w:r>
      <w:r w:rsidRPr="00283806">
        <w:rPr>
          <w:spacing w:val="1"/>
          <w:w w:val="105"/>
          <w:sz w:val="18"/>
        </w:rPr>
        <w:t xml:space="preserve"> </w:t>
      </w:r>
      <w:r w:rsidRPr="00283806">
        <w:rPr>
          <w:w w:val="105"/>
          <w:sz w:val="18"/>
        </w:rPr>
        <w:t>retrofit</w:t>
      </w:r>
      <w:r w:rsidRPr="00283806">
        <w:rPr>
          <w:spacing w:val="1"/>
          <w:w w:val="105"/>
          <w:sz w:val="18"/>
        </w:rPr>
        <w:t xml:space="preserve"> </w:t>
      </w:r>
      <w:r w:rsidRPr="00283806">
        <w:rPr>
          <w:w w:val="105"/>
          <w:sz w:val="18"/>
        </w:rPr>
        <w:t>and/or</w:t>
      </w:r>
      <w:r w:rsidRPr="00283806">
        <w:rPr>
          <w:spacing w:val="2"/>
          <w:w w:val="105"/>
          <w:sz w:val="18"/>
        </w:rPr>
        <w:t xml:space="preserve"> </w:t>
      </w:r>
      <w:r w:rsidRPr="00283806">
        <w:rPr>
          <w:spacing w:val="-2"/>
          <w:w w:val="105"/>
          <w:sz w:val="18"/>
        </w:rPr>
        <w:t>retirement</w:t>
      </w:r>
    </w:p>
    <w:p w14:paraId="6BCF3833" w14:textId="77777777" w:rsidR="00D67C1E" w:rsidRPr="00283806" w:rsidRDefault="001265CA">
      <w:pPr>
        <w:pStyle w:val="BodyText"/>
        <w:spacing w:line="193" w:lineRule="exact"/>
      </w:pPr>
      <w:r w:rsidRPr="00283806">
        <w:rPr>
          <w:spacing w:val="-2"/>
          <w:w w:val="110"/>
        </w:rPr>
        <w:t>plans;</w:t>
      </w:r>
    </w:p>
    <w:p w14:paraId="07ABDEC3" w14:textId="77777777" w:rsidR="00D67C1E" w:rsidRPr="00283806" w:rsidRDefault="001265CA">
      <w:pPr>
        <w:pStyle w:val="ListParagraph"/>
        <w:numPr>
          <w:ilvl w:val="1"/>
          <w:numId w:val="55"/>
        </w:numPr>
        <w:tabs>
          <w:tab w:val="left" w:pos="522"/>
        </w:tabs>
        <w:spacing w:line="228" w:lineRule="auto"/>
        <w:ind w:right="126" w:firstLine="180"/>
        <w:rPr>
          <w:sz w:val="18"/>
        </w:rPr>
      </w:pPr>
      <w:r w:rsidRPr="00283806">
        <w:rPr>
          <w:w w:val="105"/>
          <w:sz w:val="18"/>
        </w:rPr>
        <w:t>Maintain</w:t>
      </w:r>
      <w:r w:rsidRPr="00283806">
        <w:rPr>
          <w:spacing w:val="-3"/>
          <w:w w:val="105"/>
          <w:sz w:val="18"/>
        </w:rPr>
        <w:t xml:space="preserve"> </w:t>
      </w:r>
      <w:r w:rsidRPr="00283806">
        <w:rPr>
          <w:w w:val="105"/>
          <w:sz w:val="18"/>
        </w:rPr>
        <w:t>retrofit</w:t>
      </w:r>
      <w:r w:rsidRPr="00283806">
        <w:rPr>
          <w:spacing w:val="-3"/>
          <w:w w:val="105"/>
          <w:sz w:val="18"/>
        </w:rPr>
        <w:t xml:space="preserve"> </w:t>
      </w:r>
      <w:r w:rsidRPr="00283806">
        <w:rPr>
          <w:w w:val="105"/>
          <w:sz w:val="18"/>
        </w:rPr>
        <w:t>and/or</w:t>
      </w:r>
      <w:r w:rsidRPr="00283806">
        <w:rPr>
          <w:spacing w:val="-3"/>
          <w:w w:val="105"/>
          <w:sz w:val="18"/>
        </w:rPr>
        <w:t xml:space="preserve"> </w:t>
      </w:r>
      <w:r w:rsidRPr="00283806">
        <w:rPr>
          <w:w w:val="105"/>
          <w:sz w:val="18"/>
        </w:rPr>
        <w:t>extension requests submitted to EPA;</w:t>
      </w:r>
    </w:p>
    <w:p w14:paraId="678D9769" w14:textId="77777777" w:rsidR="00D67C1E" w:rsidRPr="00283806" w:rsidRDefault="001265CA">
      <w:pPr>
        <w:pStyle w:val="ListParagraph"/>
        <w:numPr>
          <w:ilvl w:val="1"/>
          <w:numId w:val="55"/>
        </w:numPr>
        <w:tabs>
          <w:tab w:val="left" w:pos="522"/>
        </w:tabs>
        <w:spacing w:line="192" w:lineRule="exact"/>
        <w:ind w:left="522" w:hanging="182"/>
        <w:rPr>
          <w:sz w:val="18"/>
        </w:rPr>
      </w:pPr>
      <w:r w:rsidRPr="00283806">
        <w:rPr>
          <w:w w:val="105"/>
          <w:sz w:val="18"/>
        </w:rPr>
        <w:t>If</w:t>
      </w:r>
      <w:r w:rsidRPr="00283806">
        <w:rPr>
          <w:spacing w:val="10"/>
          <w:w w:val="105"/>
          <w:sz w:val="18"/>
        </w:rPr>
        <w:t xml:space="preserve"> </w:t>
      </w:r>
      <w:r w:rsidRPr="00283806">
        <w:rPr>
          <w:w w:val="105"/>
          <w:sz w:val="18"/>
        </w:rPr>
        <w:t>a</w:t>
      </w:r>
      <w:r w:rsidRPr="00283806">
        <w:rPr>
          <w:spacing w:val="10"/>
          <w:w w:val="105"/>
          <w:sz w:val="18"/>
        </w:rPr>
        <w:t xml:space="preserve"> </w:t>
      </w:r>
      <w:r w:rsidRPr="00283806">
        <w:rPr>
          <w:w w:val="105"/>
          <w:sz w:val="18"/>
        </w:rPr>
        <w:t>system</w:t>
      </w:r>
      <w:r w:rsidRPr="00283806">
        <w:rPr>
          <w:spacing w:val="10"/>
          <w:w w:val="105"/>
          <w:sz w:val="18"/>
        </w:rPr>
        <w:t xml:space="preserve"> </w:t>
      </w:r>
      <w:r w:rsidRPr="00283806">
        <w:rPr>
          <w:w w:val="105"/>
          <w:sz w:val="18"/>
        </w:rPr>
        <w:t>is</w:t>
      </w:r>
      <w:r w:rsidRPr="00283806">
        <w:rPr>
          <w:spacing w:val="10"/>
          <w:w w:val="105"/>
          <w:sz w:val="18"/>
        </w:rPr>
        <w:t xml:space="preserve"> </w:t>
      </w:r>
      <w:r w:rsidRPr="00283806">
        <w:rPr>
          <w:w w:val="105"/>
          <w:sz w:val="18"/>
        </w:rPr>
        <w:t>mothballed</w:t>
      </w:r>
      <w:r w:rsidRPr="00283806">
        <w:rPr>
          <w:spacing w:val="10"/>
          <w:w w:val="105"/>
          <w:sz w:val="18"/>
        </w:rPr>
        <w:t xml:space="preserve"> </w:t>
      </w:r>
      <w:r w:rsidRPr="00283806">
        <w:rPr>
          <w:spacing w:val="-5"/>
          <w:w w:val="105"/>
          <w:sz w:val="18"/>
        </w:rPr>
        <w:t>to</w:t>
      </w:r>
    </w:p>
    <w:p w14:paraId="3DF6764E" w14:textId="77777777" w:rsidR="00D67C1E" w:rsidRPr="00283806" w:rsidRDefault="001265CA">
      <w:pPr>
        <w:pStyle w:val="BodyText"/>
        <w:spacing w:line="225" w:lineRule="auto"/>
        <w:ind w:right="64"/>
      </w:pPr>
      <w:r w:rsidRPr="00283806">
        <w:rPr>
          <w:w w:val="105"/>
        </w:rPr>
        <w:t>suspend a deadline, maintain records documenting when the system was mothballed and when it was brought back on-line (</w:t>
      </w:r>
      <w:r w:rsidRPr="00283806">
        <w:rPr>
          <w:rFonts w:ascii="Book Antiqua"/>
          <w:i/>
          <w:w w:val="105"/>
        </w:rPr>
        <w:t xml:space="preserve">i.e., </w:t>
      </w:r>
      <w:r w:rsidRPr="00283806">
        <w:rPr>
          <w:w w:val="105"/>
        </w:rPr>
        <w:t>when refrigerant was added back into the appliance or isolated component of the appliance);</w:t>
      </w:r>
    </w:p>
    <w:p w14:paraId="33255C0A" w14:textId="77777777" w:rsidR="00D67C1E" w:rsidRPr="00283806" w:rsidRDefault="001265CA">
      <w:pPr>
        <w:pStyle w:val="ListParagraph"/>
        <w:numPr>
          <w:ilvl w:val="1"/>
          <w:numId w:val="55"/>
        </w:numPr>
        <w:tabs>
          <w:tab w:val="left" w:pos="522"/>
        </w:tabs>
        <w:spacing w:line="191" w:lineRule="exact"/>
        <w:ind w:left="522" w:hanging="182"/>
        <w:rPr>
          <w:sz w:val="18"/>
        </w:rPr>
      </w:pPr>
      <w:r w:rsidRPr="00283806">
        <w:rPr>
          <w:w w:val="105"/>
          <w:sz w:val="18"/>
        </w:rPr>
        <w:t>Maintain</w:t>
      </w:r>
      <w:r w:rsidRPr="00283806">
        <w:rPr>
          <w:spacing w:val="11"/>
          <w:w w:val="105"/>
          <w:sz w:val="18"/>
        </w:rPr>
        <w:t xml:space="preserve"> </w:t>
      </w:r>
      <w:r w:rsidRPr="00283806">
        <w:rPr>
          <w:w w:val="105"/>
          <w:sz w:val="18"/>
        </w:rPr>
        <w:t>records</w:t>
      </w:r>
      <w:r w:rsidRPr="00283806">
        <w:rPr>
          <w:spacing w:val="11"/>
          <w:w w:val="105"/>
          <w:sz w:val="18"/>
        </w:rPr>
        <w:t xml:space="preserve"> </w:t>
      </w:r>
      <w:r w:rsidRPr="00283806">
        <w:rPr>
          <w:w w:val="105"/>
          <w:sz w:val="18"/>
        </w:rPr>
        <w:t>of</w:t>
      </w:r>
      <w:r w:rsidRPr="00283806">
        <w:rPr>
          <w:spacing w:val="11"/>
          <w:w w:val="105"/>
          <w:sz w:val="18"/>
        </w:rPr>
        <w:t xml:space="preserve"> </w:t>
      </w:r>
      <w:r w:rsidRPr="00283806">
        <w:rPr>
          <w:w w:val="105"/>
          <w:sz w:val="18"/>
        </w:rPr>
        <w:t>purged</w:t>
      </w:r>
      <w:r w:rsidRPr="00283806">
        <w:rPr>
          <w:spacing w:val="12"/>
          <w:w w:val="105"/>
          <w:sz w:val="18"/>
        </w:rPr>
        <w:t xml:space="preserve"> </w:t>
      </w:r>
      <w:r w:rsidRPr="00283806">
        <w:rPr>
          <w:spacing w:val="-5"/>
          <w:w w:val="105"/>
          <w:sz w:val="18"/>
        </w:rPr>
        <w:t>and</w:t>
      </w:r>
    </w:p>
    <w:p w14:paraId="3B48ACF9" w14:textId="77777777" w:rsidR="00D67C1E" w:rsidRPr="00283806" w:rsidRDefault="001265CA">
      <w:pPr>
        <w:pStyle w:val="BodyText"/>
        <w:spacing w:before="1" w:line="228" w:lineRule="auto"/>
      </w:pPr>
      <w:r w:rsidRPr="00283806">
        <w:rPr>
          <w:w w:val="105"/>
        </w:rPr>
        <w:t>destroyed refrigerant if excluding such refrigerant from the leak rate;</w:t>
      </w:r>
    </w:p>
    <w:p w14:paraId="6E208EEA" w14:textId="77777777" w:rsidR="00D67C1E" w:rsidRPr="00283806" w:rsidRDefault="001265CA">
      <w:pPr>
        <w:pStyle w:val="ListParagraph"/>
        <w:numPr>
          <w:ilvl w:val="1"/>
          <w:numId w:val="55"/>
        </w:numPr>
        <w:tabs>
          <w:tab w:val="left" w:pos="522"/>
        </w:tabs>
        <w:spacing w:line="192" w:lineRule="exact"/>
        <w:ind w:left="522" w:hanging="182"/>
        <w:rPr>
          <w:sz w:val="18"/>
        </w:rPr>
      </w:pPr>
      <w:r w:rsidRPr="00283806">
        <w:rPr>
          <w:w w:val="105"/>
          <w:sz w:val="18"/>
        </w:rPr>
        <w:t>Maintain</w:t>
      </w:r>
      <w:r w:rsidRPr="00283806">
        <w:rPr>
          <w:spacing w:val="4"/>
          <w:w w:val="105"/>
          <w:sz w:val="18"/>
        </w:rPr>
        <w:t xml:space="preserve"> </w:t>
      </w:r>
      <w:r w:rsidRPr="00283806">
        <w:rPr>
          <w:w w:val="105"/>
          <w:sz w:val="18"/>
        </w:rPr>
        <w:t>records</w:t>
      </w:r>
      <w:r w:rsidRPr="00283806">
        <w:rPr>
          <w:spacing w:val="5"/>
          <w:w w:val="105"/>
          <w:sz w:val="18"/>
        </w:rPr>
        <w:t xml:space="preserve"> </w:t>
      </w:r>
      <w:r w:rsidRPr="00283806">
        <w:rPr>
          <w:w w:val="105"/>
          <w:sz w:val="18"/>
        </w:rPr>
        <w:t>to</w:t>
      </w:r>
      <w:r w:rsidRPr="00283806">
        <w:rPr>
          <w:spacing w:val="5"/>
          <w:w w:val="105"/>
          <w:sz w:val="18"/>
        </w:rPr>
        <w:t xml:space="preserve"> </w:t>
      </w:r>
      <w:r w:rsidRPr="00283806">
        <w:rPr>
          <w:w w:val="105"/>
          <w:sz w:val="18"/>
        </w:rPr>
        <w:t>demonstrate</w:t>
      </w:r>
      <w:r w:rsidRPr="00283806">
        <w:rPr>
          <w:spacing w:val="5"/>
          <w:w w:val="105"/>
          <w:sz w:val="18"/>
        </w:rPr>
        <w:t xml:space="preserve"> </w:t>
      </w:r>
      <w:r w:rsidRPr="00283806">
        <w:rPr>
          <w:spacing w:val="-10"/>
          <w:w w:val="105"/>
          <w:sz w:val="18"/>
        </w:rPr>
        <w:t>a</w:t>
      </w:r>
    </w:p>
    <w:p w14:paraId="7217ABA1" w14:textId="77777777" w:rsidR="00D67C1E" w:rsidRPr="00283806" w:rsidRDefault="001265CA">
      <w:pPr>
        <w:pStyle w:val="BodyText"/>
        <w:spacing w:line="193" w:lineRule="exact"/>
      </w:pPr>
      <w:r w:rsidRPr="00283806">
        <w:rPr>
          <w:w w:val="105"/>
        </w:rPr>
        <w:t>seasonal</w:t>
      </w:r>
      <w:r w:rsidRPr="00283806">
        <w:rPr>
          <w:spacing w:val="10"/>
          <w:w w:val="105"/>
        </w:rPr>
        <w:t xml:space="preserve"> </w:t>
      </w:r>
      <w:r w:rsidRPr="00283806">
        <w:rPr>
          <w:w w:val="105"/>
        </w:rPr>
        <w:t>variance;</w:t>
      </w:r>
      <w:r w:rsidRPr="00283806">
        <w:rPr>
          <w:spacing w:val="11"/>
          <w:w w:val="105"/>
        </w:rPr>
        <w:t xml:space="preserve"> </w:t>
      </w:r>
      <w:r w:rsidRPr="00283806">
        <w:rPr>
          <w:spacing w:val="-5"/>
          <w:w w:val="105"/>
        </w:rPr>
        <w:t>and</w:t>
      </w:r>
    </w:p>
    <w:p w14:paraId="11202CD0" w14:textId="77777777" w:rsidR="00D67C1E" w:rsidRPr="00283806" w:rsidRDefault="001265CA">
      <w:pPr>
        <w:pStyle w:val="ListParagraph"/>
        <w:numPr>
          <w:ilvl w:val="1"/>
          <w:numId w:val="55"/>
        </w:numPr>
        <w:tabs>
          <w:tab w:val="left" w:pos="522"/>
        </w:tabs>
        <w:spacing w:line="228" w:lineRule="auto"/>
        <w:ind w:right="200" w:firstLine="180"/>
        <w:rPr>
          <w:sz w:val="18"/>
        </w:rPr>
      </w:pPr>
      <w:r w:rsidRPr="00283806">
        <w:rPr>
          <w:w w:val="105"/>
          <w:sz w:val="18"/>
        </w:rPr>
        <w:t>Maintain copies of any reports submitted to EPA under the reporting requirements in this action.</w:t>
      </w:r>
    </w:p>
    <w:p w14:paraId="1A63DBA4" w14:textId="77777777" w:rsidR="00D67C1E" w:rsidRPr="00283806" w:rsidRDefault="001265CA">
      <w:pPr>
        <w:pStyle w:val="BodyText"/>
        <w:spacing w:line="228" w:lineRule="auto"/>
        <w:ind w:firstLine="180"/>
      </w:pPr>
      <w:proofErr w:type="gramStart"/>
      <w:r w:rsidRPr="00283806">
        <w:rPr>
          <w:w w:val="105"/>
        </w:rPr>
        <w:t>EPA is</w:t>
      </w:r>
      <w:proofErr w:type="gramEnd"/>
      <w:r w:rsidRPr="00283806">
        <w:rPr>
          <w:w w:val="105"/>
        </w:rPr>
        <w:t xml:space="preserve"> also requiring reporting and recordkeeping</w:t>
      </w:r>
      <w:r w:rsidRPr="00283806">
        <w:rPr>
          <w:spacing w:val="-10"/>
          <w:w w:val="105"/>
        </w:rPr>
        <w:t xml:space="preserve"> </w:t>
      </w:r>
      <w:r w:rsidRPr="00283806">
        <w:rPr>
          <w:w w:val="105"/>
        </w:rPr>
        <w:t>for</w:t>
      </w:r>
      <w:r w:rsidRPr="00283806">
        <w:rPr>
          <w:spacing w:val="-11"/>
          <w:w w:val="105"/>
        </w:rPr>
        <w:t xml:space="preserve"> </w:t>
      </w:r>
      <w:r w:rsidRPr="00283806">
        <w:rPr>
          <w:w w:val="105"/>
        </w:rPr>
        <w:t xml:space="preserve">refrigerant-containing appliances with a charge size of 15 pounds or more of a refrigerant containing an HFC or a substitute for an HFC with a GWP above 53 under subsection (h) that are </w:t>
      </w:r>
      <w:proofErr w:type="gramStart"/>
      <w:r w:rsidRPr="00283806">
        <w:rPr>
          <w:w w:val="105"/>
        </w:rPr>
        <w:t>similar to</w:t>
      </w:r>
      <w:proofErr w:type="gramEnd"/>
      <w:r w:rsidRPr="00283806">
        <w:rPr>
          <w:w w:val="105"/>
        </w:rPr>
        <w:t xml:space="preserve"> those</w:t>
      </w:r>
    </w:p>
    <w:p w14:paraId="03EDDF46" w14:textId="77777777" w:rsidR="00D67C1E" w:rsidRPr="00283806" w:rsidRDefault="001265CA">
      <w:pPr>
        <w:pStyle w:val="BodyText"/>
        <w:spacing w:before="135" w:line="225" w:lineRule="auto"/>
        <w:ind w:right="78"/>
      </w:pPr>
      <w:r w:rsidRPr="00283806">
        <w:br w:type="column"/>
      </w:r>
      <w:r w:rsidRPr="00283806">
        <w:rPr>
          <w:w w:val="105"/>
        </w:rPr>
        <w:t xml:space="preserve">at 40 CFR 82.157(m). The reporting requirements include notifications to EPA that include specified information </w:t>
      </w:r>
      <w:r w:rsidRPr="00283806">
        <w:rPr>
          <w:spacing w:val="-4"/>
          <w:w w:val="105"/>
        </w:rPr>
        <w:t>when:</w:t>
      </w:r>
    </w:p>
    <w:p w14:paraId="579B38D9" w14:textId="77777777" w:rsidR="00D67C1E" w:rsidRPr="00283806" w:rsidRDefault="001265CA">
      <w:pPr>
        <w:pStyle w:val="ListParagraph"/>
        <w:numPr>
          <w:ilvl w:val="1"/>
          <w:numId w:val="55"/>
        </w:numPr>
        <w:tabs>
          <w:tab w:val="left" w:pos="522"/>
        </w:tabs>
        <w:spacing w:line="179" w:lineRule="exact"/>
        <w:ind w:left="522" w:hanging="182"/>
        <w:rPr>
          <w:sz w:val="18"/>
        </w:rPr>
      </w:pPr>
      <w:r w:rsidRPr="00283806">
        <w:rPr>
          <w:w w:val="105"/>
          <w:sz w:val="18"/>
        </w:rPr>
        <w:t>The</w:t>
      </w:r>
      <w:r w:rsidRPr="00283806">
        <w:rPr>
          <w:spacing w:val="2"/>
          <w:w w:val="105"/>
          <w:sz w:val="18"/>
        </w:rPr>
        <w:t xml:space="preserve"> </w:t>
      </w:r>
      <w:r w:rsidRPr="00283806">
        <w:rPr>
          <w:w w:val="105"/>
          <w:sz w:val="18"/>
        </w:rPr>
        <w:t>owner</w:t>
      </w:r>
      <w:r w:rsidRPr="00283806">
        <w:rPr>
          <w:spacing w:val="3"/>
          <w:w w:val="105"/>
          <w:sz w:val="18"/>
        </w:rPr>
        <w:t xml:space="preserve"> </w:t>
      </w:r>
      <w:r w:rsidRPr="00283806">
        <w:rPr>
          <w:w w:val="105"/>
          <w:sz w:val="18"/>
        </w:rPr>
        <w:t>or</w:t>
      </w:r>
      <w:r w:rsidRPr="00283806">
        <w:rPr>
          <w:spacing w:val="2"/>
          <w:w w:val="105"/>
          <w:sz w:val="18"/>
        </w:rPr>
        <w:t xml:space="preserve"> </w:t>
      </w:r>
      <w:r w:rsidRPr="00283806">
        <w:rPr>
          <w:w w:val="105"/>
          <w:sz w:val="18"/>
        </w:rPr>
        <w:t>operator</w:t>
      </w:r>
      <w:r w:rsidRPr="00283806">
        <w:rPr>
          <w:spacing w:val="3"/>
          <w:w w:val="105"/>
          <w:sz w:val="18"/>
        </w:rPr>
        <w:t xml:space="preserve"> </w:t>
      </w:r>
      <w:r w:rsidRPr="00283806">
        <w:rPr>
          <w:w w:val="105"/>
          <w:sz w:val="18"/>
        </w:rPr>
        <w:t>is</w:t>
      </w:r>
      <w:r w:rsidRPr="00283806">
        <w:rPr>
          <w:spacing w:val="2"/>
          <w:w w:val="105"/>
          <w:sz w:val="18"/>
        </w:rPr>
        <w:t xml:space="preserve"> </w:t>
      </w:r>
      <w:r w:rsidRPr="00283806">
        <w:rPr>
          <w:w w:val="105"/>
          <w:sz w:val="18"/>
        </w:rPr>
        <w:t>seeking</w:t>
      </w:r>
      <w:r w:rsidRPr="00283806">
        <w:rPr>
          <w:spacing w:val="3"/>
          <w:w w:val="105"/>
          <w:sz w:val="18"/>
        </w:rPr>
        <w:t xml:space="preserve"> </w:t>
      </w:r>
      <w:r w:rsidRPr="00283806">
        <w:rPr>
          <w:spacing w:val="-5"/>
          <w:w w:val="105"/>
          <w:sz w:val="18"/>
        </w:rPr>
        <w:t>an</w:t>
      </w:r>
    </w:p>
    <w:p w14:paraId="78E0D46A" w14:textId="77777777" w:rsidR="00D67C1E" w:rsidRPr="00283806" w:rsidRDefault="001265CA">
      <w:pPr>
        <w:pStyle w:val="BodyText"/>
        <w:spacing w:line="186" w:lineRule="exact"/>
      </w:pPr>
      <w:r w:rsidRPr="00283806">
        <w:rPr>
          <w:w w:val="105"/>
        </w:rPr>
        <w:t>extension</w:t>
      </w:r>
      <w:r w:rsidRPr="00283806">
        <w:rPr>
          <w:spacing w:val="15"/>
          <w:w w:val="105"/>
        </w:rPr>
        <w:t xml:space="preserve"> </w:t>
      </w:r>
      <w:r w:rsidRPr="00283806">
        <w:rPr>
          <w:w w:val="105"/>
        </w:rPr>
        <w:t>to</w:t>
      </w:r>
      <w:r w:rsidRPr="00283806">
        <w:rPr>
          <w:spacing w:val="15"/>
          <w:w w:val="105"/>
        </w:rPr>
        <w:t xml:space="preserve"> </w:t>
      </w:r>
      <w:r w:rsidRPr="00283806">
        <w:rPr>
          <w:w w:val="105"/>
        </w:rPr>
        <w:t>complete</w:t>
      </w:r>
      <w:r w:rsidRPr="00283806">
        <w:rPr>
          <w:spacing w:val="15"/>
          <w:w w:val="105"/>
        </w:rPr>
        <w:t xml:space="preserve"> </w:t>
      </w:r>
      <w:r w:rsidRPr="00283806">
        <w:rPr>
          <w:spacing w:val="-2"/>
          <w:w w:val="105"/>
        </w:rPr>
        <w:t>repairs;</w:t>
      </w:r>
    </w:p>
    <w:p w14:paraId="6441E2D0" w14:textId="77777777" w:rsidR="00D67C1E" w:rsidRPr="00283806" w:rsidRDefault="001265CA">
      <w:pPr>
        <w:pStyle w:val="ListParagraph"/>
        <w:numPr>
          <w:ilvl w:val="1"/>
          <w:numId w:val="55"/>
        </w:numPr>
        <w:tabs>
          <w:tab w:val="left" w:pos="522"/>
        </w:tabs>
        <w:spacing w:line="225" w:lineRule="auto"/>
        <w:ind w:right="35" w:firstLine="180"/>
        <w:rPr>
          <w:sz w:val="18"/>
        </w:rPr>
      </w:pPr>
      <w:r w:rsidRPr="00283806">
        <w:rPr>
          <w:w w:val="105"/>
          <w:sz w:val="18"/>
        </w:rPr>
        <w:t>The owner or operator is seeking an extension to complete a retrofit or retirement plan;</w:t>
      </w:r>
    </w:p>
    <w:p w14:paraId="4EA72C97" w14:textId="77777777" w:rsidR="00D67C1E" w:rsidRPr="00283806" w:rsidRDefault="001265CA">
      <w:pPr>
        <w:pStyle w:val="ListParagraph"/>
        <w:numPr>
          <w:ilvl w:val="1"/>
          <w:numId w:val="55"/>
        </w:numPr>
        <w:tabs>
          <w:tab w:val="left" w:pos="522"/>
        </w:tabs>
        <w:spacing w:line="179" w:lineRule="exact"/>
        <w:ind w:left="522" w:hanging="182"/>
        <w:rPr>
          <w:sz w:val="18"/>
        </w:rPr>
      </w:pPr>
      <w:r w:rsidRPr="00283806">
        <w:rPr>
          <w:w w:val="105"/>
          <w:sz w:val="18"/>
        </w:rPr>
        <w:t>The</w:t>
      </w:r>
      <w:r w:rsidRPr="00283806">
        <w:rPr>
          <w:spacing w:val="1"/>
          <w:w w:val="105"/>
          <w:sz w:val="18"/>
        </w:rPr>
        <w:t xml:space="preserve"> </w:t>
      </w:r>
      <w:r w:rsidRPr="00283806">
        <w:rPr>
          <w:w w:val="105"/>
          <w:sz w:val="18"/>
        </w:rPr>
        <w:t>owner</w:t>
      </w:r>
      <w:r w:rsidRPr="00283806">
        <w:rPr>
          <w:spacing w:val="2"/>
          <w:w w:val="105"/>
          <w:sz w:val="18"/>
        </w:rPr>
        <w:t xml:space="preserve"> </w:t>
      </w:r>
      <w:r w:rsidRPr="00283806">
        <w:rPr>
          <w:w w:val="105"/>
          <w:sz w:val="18"/>
        </w:rPr>
        <w:t>or</w:t>
      </w:r>
      <w:r w:rsidRPr="00283806">
        <w:rPr>
          <w:spacing w:val="2"/>
          <w:w w:val="105"/>
          <w:sz w:val="18"/>
        </w:rPr>
        <w:t xml:space="preserve"> </w:t>
      </w:r>
      <w:r w:rsidRPr="00283806">
        <w:rPr>
          <w:w w:val="105"/>
          <w:sz w:val="18"/>
        </w:rPr>
        <w:t>operator</w:t>
      </w:r>
      <w:r w:rsidRPr="00283806">
        <w:rPr>
          <w:spacing w:val="1"/>
          <w:w w:val="105"/>
          <w:sz w:val="18"/>
        </w:rPr>
        <w:t xml:space="preserve"> </w:t>
      </w:r>
      <w:r w:rsidRPr="00283806">
        <w:rPr>
          <w:w w:val="105"/>
          <w:sz w:val="18"/>
        </w:rPr>
        <w:t>is</w:t>
      </w:r>
      <w:r w:rsidRPr="00283806">
        <w:rPr>
          <w:spacing w:val="2"/>
          <w:w w:val="105"/>
          <w:sz w:val="18"/>
        </w:rPr>
        <w:t xml:space="preserve"> </w:t>
      </w:r>
      <w:r w:rsidRPr="00283806">
        <w:rPr>
          <w:spacing w:val="-2"/>
          <w:w w:val="105"/>
          <w:sz w:val="18"/>
        </w:rPr>
        <w:t>seeking</w:t>
      </w:r>
    </w:p>
    <w:p w14:paraId="7E666D53" w14:textId="77777777" w:rsidR="00D67C1E" w:rsidRPr="00283806" w:rsidRDefault="001265CA">
      <w:pPr>
        <w:pStyle w:val="BodyText"/>
        <w:spacing w:line="225" w:lineRule="auto"/>
      </w:pPr>
      <w:r w:rsidRPr="00283806">
        <w:rPr>
          <w:w w:val="105"/>
        </w:rPr>
        <w:t>relief</w:t>
      </w:r>
      <w:r w:rsidRPr="00283806">
        <w:rPr>
          <w:spacing w:val="-1"/>
          <w:w w:val="105"/>
        </w:rPr>
        <w:t xml:space="preserve"> </w:t>
      </w:r>
      <w:r w:rsidRPr="00283806">
        <w:rPr>
          <w:w w:val="105"/>
        </w:rPr>
        <w:t>from</w:t>
      </w:r>
      <w:r w:rsidRPr="00283806">
        <w:rPr>
          <w:spacing w:val="-1"/>
          <w:w w:val="105"/>
        </w:rPr>
        <w:t xml:space="preserve"> </w:t>
      </w:r>
      <w:r w:rsidRPr="00283806">
        <w:rPr>
          <w:w w:val="105"/>
        </w:rPr>
        <w:t>the</w:t>
      </w:r>
      <w:r w:rsidRPr="00283806">
        <w:rPr>
          <w:spacing w:val="-1"/>
          <w:w w:val="105"/>
        </w:rPr>
        <w:t xml:space="preserve"> </w:t>
      </w:r>
      <w:r w:rsidRPr="00283806">
        <w:rPr>
          <w:w w:val="105"/>
        </w:rPr>
        <w:t>obligation</w:t>
      </w:r>
      <w:r w:rsidRPr="00283806">
        <w:rPr>
          <w:spacing w:val="-1"/>
          <w:w w:val="105"/>
        </w:rPr>
        <w:t xml:space="preserve"> </w:t>
      </w:r>
      <w:r w:rsidRPr="00283806">
        <w:rPr>
          <w:w w:val="105"/>
        </w:rPr>
        <w:t>to</w:t>
      </w:r>
      <w:r w:rsidRPr="00283806">
        <w:rPr>
          <w:spacing w:val="-1"/>
          <w:w w:val="105"/>
        </w:rPr>
        <w:t xml:space="preserve"> </w:t>
      </w:r>
      <w:r w:rsidRPr="00283806">
        <w:rPr>
          <w:w w:val="105"/>
        </w:rPr>
        <w:t>retrofit</w:t>
      </w:r>
      <w:r w:rsidRPr="00283806">
        <w:rPr>
          <w:spacing w:val="-1"/>
          <w:w w:val="105"/>
        </w:rPr>
        <w:t xml:space="preserve"> </w:t>
      </w:r>
      <w:r w:rsidRPr="00283806">
        <w:rPr>
          <w:w w:val="105"/>
        </w:rPr>
        <w:t>or retire an appliance;</w:t>
      </w:r>
    </w:p>
    <w:p w14:paraId="3A7D0C81" w14:textId="77777777" w:rsidR="00D67C1E" w:rsidRPr="00283806" w:rsidRDefault="001265CA">
      <w:pPr>
        <w:pStyle w:val="ListParagraph"/>
        <w:numPr>
          <w:ilvl w:val="1"/>
          <w:numId w:val="55"/>
        </w:numPr>
        <w:tabs>
          <w:tab w:val="left" w:pos="522"/>
        </w:tabs>
        <w:spacing w:line="179" w:lineRule="exact"/>
        <w:ind w:left="522" w:hanging="182"/>
        <w:rPr>
          <w:sz w:val="18"/>
        </w:rPr>
      </w:pPr>
      <w:r w:rsidRPr="00283806">
        <w:rPr>
          <w:w w:val="110"/>
          <w:sz w:val="18"/>
        </w:rPr>
        <w:t>An</w:t>
      </w:r>
      <w:r w:rsidRPr="00283806">
        <w:rPr>
          <w:spacing w:val="-11"/>
          <w:w w:val="110"/>
          <w:sz w:val="18"/>
        </w:rPr>
        <w:t xml:space="preserve"> </w:t>
      </w:r>
      <w:r w:rsidRPr="00283806">
        <w:rPr>
          <w:w w:val="110"/>
          <w:sz w:val="18"/>
        </w:rPr>
        <w:t>appliance</w:t>
      </w:r>
      <w:r w:rsidRPr="00283806">
        <w:rPr>
          <w:spacing w:val="-11"/>
          <w:w w:val="110"/>
          <w:sz w:val="18"/>
        </w:rPr>
        <w:t xml:space="preserve"> </w:t>
      </w:r>
      <w:r w:rsidRPr="00283806">
        <w:rPr>
          <w:w w:val="110"/>
          <w:sz w:val="18"/>
        </w:rPr>
        <w:t>leaks</w:t>
      </w:r>
      <w:r w:rsidRPr="00283806">
        <w:rPr>
          <w:spacing w:val="-10"/>
          <w:w w:val="110"/>
          <w:sz w:val="18"/>
        </w:rPr>
        <w:t xml:space="preserve"> </w:t>
      </w:r>
      <w:r w:rsidRPr="00283806">
        <w:rPr>
          <w:w w:val="110"/>
          <w:sz w:val="18"/>
        </w:rPr>
        <w:t>125</w:t>
      </w:r>
      <w:r w:rsidRPr="00283806">
        <w:rPr>
          <w:spacing w:val="-11"/>
          <w:w w:val="110"/>
          <w:sz w:val="18"/>
        </w:rPr>
        <w:t xml:space="preserve"> </w:t>
      </w:r>
      <w:r w:rsidRPr="00283806">
        <w:rPr>
          <w:w w:val="110"/>
          <w:sz w:val="18"/>
        </w:rPr>
        <w:t>percent</w:t>
      </w:r>
      <w:r w:rsidRPr="00283806">
        <w:rPr>
          <w:spacing w:val="-10"/>
          <w:w w:val="110"/>
          <w:sz w:val="18"/>
        </w:rPr>
        <w:t xml:space="preserve"> </w:t>
      </w:r>
      <w:r w:rsidRPr="00283806">
        <w:rPr>
          <w:spacing w:val="-5"/>
          <w:w w:val="110"/>
          <w:sz w:val="18"/>
        </w:rPr>
        <w:t>or</w:t>
      </w:r>
    </w:p>
    <w:p w14:paraId="6A55745F" w14:textId="77777777" w:rsidR="00D67C1E" w:rsidRPr="00283806" w:rsidRDefault="001265CA">
      <w:pPr>
        <w:pStyle w:val="BodyText"/>
        <w:spacing w:line="225" w:lineRule="auto"/>
        <w:ind w:right="97"/>
      </w:pPr>
      <w:r w:rsidRPr="00283806">
        <w:rPr>
          <w:w w:val="105"/>
        </w:rPr>
        <w:t xml:space="preserve">more of the full charge in a calendar </w:t>
      </w:r>
      <w:r w:rsidRPr="00283806">
        <w:rPr>
          <w:spacing w:val="-2"/>
          <w:w w:val="105"/>
        </w:rPr>
        <w:t>year;</w:t>
      </w:r>
    </w:p>
    <w:p w14:paraId="6B5E5399" w14:textId="77777777" w:rsidR="00D67C1E" w:rsidRPr="00283806" w:rsidRDefault="001265CA">
      <w:pPr>
        <w:pStyle w:val="ListParagraph"/>
        <w:numPr>
          <w:ilvl w:val="1"/>
          <w:numId w:val="55"/>
        </w:numPr>
        <w:tabs>
          <w:tab w:val="left" w:pos="522"/>
        </w:tabs>
        <w:spacing w:line="179" w:lineRule="exact"/>
        <w:ind w:left="522" w:hanging="182"/>
        <w:rPr>
          <w:sz w:val="18"/>
        </w:rPr>
      </w:pPr>
      <w:r w:rsidRPr="00283806">
        <w:rPr>
          <w:w w:val="105"/>
          <w:sz w:val="18"/>
        </w:rPr>
        <w:t>The</w:t>
      </w:r>
      <w:r w:rsidRPr="00283806">
        <w:rPr>
          <w:spacing w:val="1"/>
          <w:w w:val="105"/>
          <w:sz w:val="18"/>
        </w:rPr>
        <w:t xml:space="preserve"> </w:t>
      </w:r>
      <w:r w:rsidRPr="00283806">
        <w:rPr>
          <w:w w:val="105"/>
          <w:sz w:val="18"/>
        </w:rPr>
        <w:t>owner</w:t>
      </w:r>
      <w:r w:rsidRPr="00283806">
        <w:rPr>
          <w:spacing w:val="2"/>
          <w:w w:val="105"/>
          <w:sz w:val="18"/>
        </w:rPr>
        <w:t xml:space="preserve"> </w:t>
      </w:r>
      <w:r w:rsidRPr="00283806">
        <w:rPr>
          <w:w w:val="105"/>
          <w:sz w:val="18"/>
        </w:rPr>
        <w:t>or</w:t>
      </w:r>
      <w:r w:rsidRPr="00283806">
        <w:rPr>
          <w:spacing w:val="2"/>
          <w:w w:val="105"/>
          <w:sz w:val="18"/>
        </w:rPr>
        <w:t xml:space="preserve"> </w:t>
      </w:r>
      <w:r w:rsidRPr="00283806">
        <w:rPr>
          <w:w w:val="105"/>
          <w:sz w:val="18"/>
        </w:rPr>
        <w:t>operator</w:t>
      </w:r>
      <w:r w:rsidRPr="00283806">
        <w:rPr>
          <w:spacing w:val="1"/>
          <w:w w:val="105"/>
          <w:sz w:val="18"/>
        </w:rPr>
        <w:t xml:space="preserve"> </w:t>
      </w:r>
      <w:r w:rsidRPr="00283806">
        <w:rPr>
          <w:w w:val="105"/>
          <w:sz w:val="18"/>
        </w:rPr>
        <w:t>is</w:t>
      </w:r>
      <w:r w:rsidRPr="00283806">
        <w:rPr>
          <w:spacing w:val="2"/>
          <w:w w:val="105"/>
          <w:sz w:val="18"/>
        </w:rPr>
        <w:t xml:space="preserve"> </w:t>
      </w:r>
      <w:r w:rsidRPr="00283806">
        <w:rPr>
          <w:spacing w:val="-2"/>
          <w:w w:val="105"/>
          <w:sz w:val="18"/>
        </w:rPr>
        <w:t>excluding</w:t>
      </w:r>
    </w:p>
    <w:p w14:paraId="1CBA14C9" w14:textId="77777777" w:rsidR="00D67C1E" w:rsidRPr="00283806" w:rsidRDefault="001265CA">
      <w:pPr>
        <w:pStyle w:val="BodyText"/>
        <w:spacing w:before="3" w:line="225" w:lineRule="auto"/>
        <w:ind w:right="257"/>
        <w:jc w:val="both"/>
      </w:pPr>
      <w:r w:rsidRPr="00283806">
        <w:rPr>
          <w:w w:val="105"/>
        </w:rPr>
        <w:t>purged</w:t>
      </w:r>
      <w:r w:rsidRPr="00283806">
        <w:rPr>
          <w:spacing w:val="-11"/>
          <w:w w:val="105"/>
        </w:rPr>
        <w:t xml:space="preserve"> </w:t>
      </w:r>
      <w:r w:rsidRPr="00283806">
        <w:rPr>
          <w:w w:val="105"/>
        </w:rPr>
        <w:t>refrigerants</w:t>
      </w:r>
      <w:r w:rsidRPr="00283806">
        <w:rPr>
          <w:spacing w:val="-10"/>
          <w:w w:val="105"/>
        </w:rPr>
        <w:t xml:space="preserve"> </w:t>
      </w:r>
      <w:r w:rsidRPr="00283806">
        <w:rPr>
          <w:w w:val="105"/>
        </w:rPr>
        <w:t>that</w:t>
      </w:r>
      <w:r w:rsidRPr="00283806">
        <w:rPr>
          <w:spacing w:val="-11"/>
          <w:w w:val="105"/>
        </w:rPr>
        <w:t xml:space="preserve"> </w:t>
      </w:r>
      <w:r w:rsidRPr="00283806">
        <w:rPr>
          <w:w w:val="105"/>
        </w:rPr>
        <w:t>are</w:t>
      </w:r>
      <w:r w:rsidRPr="00283806">
        <w:rPr>
          <w:spacing w:val="-10"/>
          <w:w w:val="105"/>
        </w:rPr>
        <w:t xml:space="preserve"> </w:t>
      </w:r>
      <w:r w:rsidRPr="00283806">
        <w:rPr>
          <w:w w:val="105"/>
        </w:rPr>
        <w:t>destroyed from annual leak rate calculations for the first time.</w:t>
      </w:r>
    </w:p>
    <w:p w14:paraId="29BC34C5" w14:textId="77777777" w:rsidR="00D67C1E" w:rsidRPr="00283806" w:rsidRDefault="001265CA">
      <w:pPr>
        <w:pStyle w:val="BodyText"/>
        <w:spacing w:line="179" w:lineRule="exact"/>
        <w:ind w:left="340"/>
        <w:jc w:val="both"/>
      </w:pPr>
      <w:r w:rsidRPr="00283806">
        <w:rPr>
          <w:w w:val="110"/>
        </w:rPr>
        <w:t>Additional</w:t>
      </w:r>
      <w:r w:rsidRPr="00283806">
        <w:rPr>
          <w:spacing w:val="1"/>
          <w:w w:val="110"/>
        </w:rPr>
        <w:t xml:space="preserve"> </w:t>
      </w:r>
      <w:r w:rsidRPr="00283806">
        <w:rPr>
          <w:w w:val="110"/>
        </w:rPr>
        <w:t>detail</w:t>
      </w:r>
      <w:r w:rsidRPr="00283806">
        <w:rPr>
          <w:spacing w:val="1"/>
          <w:w w:val="110"/>
        </w:rPr>
        <w:t xml:space="preserve"> </w:t>
      </w:r>
      <w:r w:rsidRPr="00283806">
        <w:rPr>
          <w:w w:val="110"/>
        </w:rPr>
        <w:t>on</w:t>
      </w:r>
      <w:r w:rsidRPr="00283806">
        <w:rPr>
          <w:spacing w:val="2"/>
          <w:w w:val="110"/>
        </w:rPr>
        <w:t xml:space="preserve"> </w:t>
      </w:r>
      <w:r w:rsidRPr="00283806">
        <w:rPr>
          <w:spacing w:val="-4"/>
          <w:w w:val="110"/>
        </w:rPr>
        <w:t>these</w:t>
      </w:r>
    </w:p>
    <w:p w14:paraId="34412390" w14:textId="77777777" w:rsidR="00D67C1E" w:rsidRPr="00283806" w:rsidRDefault="001265CA">
      <w:pPr>
        <w:pStyle w:val="BodyText"/>
        <w:spacing w:before="4" w:line="225" w:lineRule="auto"/>
        <w:ind w:right="57"/>
      </w:pPr>
      <w:r w:rsidRPr="00283806">
        <w:rPr>
          <w:w w:val="105"/>
        </w:rPr>
        <w:t xml:space="preserve">recordkeeping requirements </w:t>
      </w:r>
      <w:proofErr w:type="gramStart"/>
      <w:r w:rsidRPr="00283806">
        <w:rPr>
          <w:w w:val="105"/>
        </w:rPr>
        <w:t>is</w:t>
      </w:r>
      <w:proofErr w:type="gramEnd"/>
      <w:r w:rsidRPr="00283806">
        <w:rPr>
          <w:w w:val="105"/>
        </w:rPr>
        <w:t xml:space="preserve"> available at 40 CFR 84.106(l). The recordkeeping and reporting requirements in this</w:t>
      </w:r>
      <w:r w:rsidRPr="00283806">
        <w:rPr>
          <w:spacing w:val="40"/>
          <w:w w:val="105"/>
        </w:rPr>
        <w:t xml:space="preserve"> </w:t>
      </w:r>
      <w:r w:rsidRPr="00283806">
        <w:rPr>
          <w:w w:val="105"/>
        </w:rPr>
        <w:t>action for ALD systems are described in section IV.D.2 of this preamble.</w:t>
      </w:r>
    </w:p>
    <w:p w14:paraId="41FE156B" w14:textId="77777777" w:rsidR="00D67C1E" w:rsidRPr="00283806" w:rsidRDefault="001265CA">
      <w:pPr>
        <w:pStyle w:val="BodyText"/>
        <w:spacing w:line="178" w:lineRule="exact"/>
        <w:ind w:left="340"/>
      </w:pPr>
      <w:r w:rsidRPr="00283806">
        <w:rPr>
          <w:w w:val="110"/>
        </w:rPr>
        <w:t>As</w:t>
      </w:r>
      <w:r w:rsidRPr="00283806">
        <w:rPr>
          <w:spacing w:val="-3"/>
          <w:w w:val="110"/>
        </w:rPr>
        <w:t xml:space="preserve"> </w:t>
      </w:r>
      <w:r w:rsidRPr="00283806">
        <w:rPr>
          <w:w w:val="110"/>
        </w:rPr>
        <w:t>discussed</w:t>
      </w:r>
      <w:r w:rsidRPr="00283806">
        <w:rPr>
          <w:spacing w:val="-2"/>
          <w:w w:val="110"/>
        </w:rPr>
        <w:t xml:space="preserve"> </w:t>
      </w:r>
      <w:r w:rsidRPr="00283806">
        <w:rPr>
          <w:w w:val="110"/>
        </w:rPr>
        <w:t>in</w:t>
      </w:r>
      <w:r w:rsidRPr="00283806">
        <w:rPr>
          <w:spacing w:val="-3"/>
          <w:w w:val="110"/>
        </w:rPr>
        <w:t xml:space="preserve"> </w:t>
      </w:r>
      <w:r w:rsidRPr="00283806">
        <w:rPr>
          <w:w w:val="110"/>
        </w:rPr>
        <w:t>the</w:t>
      </w:r>
      <w:r w:rsidRPr="00283806">
        <w:rPr>
          <w:spacing w:val="-2"/>
          <w:w w:val="110"/>
        </w:rPr>
        <w:t xml:space="preserve"> </w:t>
      </w:r>
      <w:r w:rsidRPr="00283806">
        <w:rPr>
          <w:w w:val="110"/>
        </w:rPr>
        <w:t>proposal,</w:t>
      </w:r>
      <w:r w:rsidRPr="00283806">
        <w:rPr>
          <w:spacing w:val="-2"/>
          <w:w w:val="110"/>
        </w:rPr>
        <w:t xml:space="preserve"> </w:t>
      </w:r>
      <w:r w:rsidRPr="00283806">
        <w:rPr>
          <w:spacing w:val="-5"/>
          <w:w w:val="110"/>
        </w:rPr>
        <w:t>the</w:t>
      </w:r>
    </w:p>
    <w:p w14:paraId="4B8875FF" w14:textId="77777777" w:rsidR="00D67C1E" w:rsidRPr="00283806" w:rsidRDefault="001265CA">
      <w:pPr>
        <w:pStyle w:val="BodyText"/>
        <w:spacing w:before="4" w:line="225" w:lineRule="auto"/>
      </w:pPr>
      <w:r w:rsidRPr="00283806">
        <w:rPr>
          <w:w w:val="105"/>
        </w:rPr>
        <w:t>recordkeeping and reporting requirements support compliance with the</w:t>
      </w:r>
      <w:r w:rsidRPr="00283806">
        <w:rPr>
          <w:spacing w:val="40"/>
          <w:w w:val="105"/>
        </w:rPr>
        <w:t xml:space="preserve"> </w:t>
      </w:r>
      <w:r w:rsidRPr="00283806">
        <w:rPr>
          <w:w w:val="105"/>
        </w:rPr>
        <w:t>leak</w:t>
      </w:r>
      <w:r w:rsidRPr="00283806">
        <w:rPr>
          <w:spacing w:val="40"/>
          <w:w w:val="105"/>
        </w:rPr>
        <w:t xml:space="preserve"> </w:t>
      </w:r>
      <w:r w:rsidRPr="00283806">
        <w:rPr>
          <w:w w:val="105"/>
        </w:rPr>
        <w:t>repair</w:t>
      </w:r>
      <w:r w:rsidRPr="00283806">
        <w:rPr>
          <w:spacing w:val="40"/>
          <w:w w:val="105"/>
        </w:rPr>
        <w:t xml:space="preserve"> </w:t>
      </w:r>
      <w:r w:rsidRPr="00283806">
        <w:rPr>
          <w:w w:val="105"/>
        </w:rPr>
        <w:t>provisions</w:t>
      </w:r>
      <w:r w:rsidRPr="00283806">
        <w:rPr>
          <w:spacing w:val="40"/>
          <w:w w:val="105"/>
        </w:rPr>
        <w:t xml:space="preserve"> </w:t>
      </w:r>
      <w:r w:rsidRPr="00283806">
        <w:rPr>
          <w:w w:val="105"/>
        </w:rPr>
        <w:t>under</w:t>
      </w:r>
      <w:r w:rsidRPr="00283806">
        <w:rPr>
          <w:spacing w:val="40"/>
          <w:w w:val="105"/>
        </w:rPr>
        <w:t xml:space="preserve"> </w:t>
      </w:r>
      <w:r w:rsidRPr="00283806">
        <w:rPr>
          <w:w w:val="105"/>
        </w:rPr>
        <w:t xml:space="preserve">the final rule for applicable refrigerant- containing appliances that contain HFCs or certain substitutes for HFCs as a refrigerant. For example, the requirements will control recordkeeping and reporting practices, processes, or activities for servicing and repair that </w:t>
      </w:r>
      <w:proofErr w:type="gramStart"/>
      <w:r w:rsidRPr="00283806">
        <w:rPr>
          <w:w w:val="105"/>
        </w:rPr>
        <w:t>involves</w:t>
      </w:r>
      <w:proofErr w:type="gramEnd"/>
      <w:r w:rsidRPr="00283806">
        <w:rPr>
          <w:spacing w:val="40"/>
          <w:w w:val="105"/>
        </w:rPr>
        <w:t xml:space="preserve"> </w:t>
      </w:r>
      <w:r w:rsidRPr="00283806">
        <w:rPr>
          <w:w w:val="105"/>
        </w:rPr>
        <w:t>HFCs</w:t>
      </w:r>
      <w:r w:rsidRPr="00283806">
        <w:rPr>
          <w:spacing w:val="40"/>
          <w:w w:val="105"/>
        </w:rPr>
        <w:t xml:space="preserve"> </w:t>
      </w:r>
      <w:r w:rsidRPr="00283806">
        <w:rPr>
          <w:w w:val="105"/>
        </w:rPr>
        <w:t>or</w:t>
      </w:r>
      <w:r w:rsidRPr="00283806">
        <w:rPr>
          <w:spacing w:val="40"/>
          <w:w w:val="105"/>
        </w:rPr>
        <w:t xml:space="preserve"> </w:t>
      </w:r>
      <w:r w:rsidRPr="00283806">
        <w:rPr>
          <w:w w:val="105"/>
        </w:rPr>
        <w:t>a</w:t>
      </w:r>
      <w:r w:rsidRPr="00283806">
        <w:rPr>
          <w:spacing w:val="40"/>
          <w:w w:val="105"/>
        </w:rPr>
        <w:t xml:space="preserve"> </w:t>
      </w:r>
      <w:r w:rsidRPr="00283806">
        <w:rPr>
          <w:w w:val="105"/>
        </w:rPr>
        <w:t>substitute</w:t>
      </w:r>
      <w:r w:rsidRPr="00283806">
        <w:rPr>
          <w:spacing w:val="40"/>
          <w:w w:val="105"/>
        </w:rPr>
        <w:t xml:space="preserve"> </w:t>
      </w:r>
      <w:r w:rsidRPr="00283806">
        <w:rPr>
          <w:w w:val="105"/>
        </w:rPr>
        <w:t>for</w:t>
      </w:r>
      <w:r w:rsidRPr="00283806">
        <w:rPr>
          <w:spacing w:val="40"/>
          <w:w w:val="105"/>
        </w:rPr>
        <w:t xml:space="preserve"> </w:t>
      </w:r>
      <w:r w:rsidRPr="00283806">
        <w:rPr>
          <w:w w:val="105"/>
        </w:rPr>
        <w:t>an HFC. As discussed in section II.B of this preamble, EPA’s authority to require recordkeeping and reporting under the AIM</w:t>
      </w:r>
      <w:r w:rsidRPr="00283806">
        <w:rPr>
          <w:spacing w:val="40"/>
          <w:w w:val="105"/>
        </w:rPr>
        <w:t xml:space="preserve"> </w:t>
      </w:r>
      <w:r w:rsidRPr="00283806">
        <w:rPr>
          <w:w w:val="105"/>
        </w:rPr>
        <w:t>Act</w:t>
      </w:r>
      <w:r w:rsidRPr="00283806">
        <w:rPr>
          <w:spacing w:val="40"/>
          <w:w w:val="105"/>
        </w:rPr>
        <w:t xml:space="preserve"> </w:t>
      </w:r>
      <w:r w:rsidRPr="00283806">
        <w:rPr>
          <w:w w:val="105"/>
        </w:rPr>
        <w:t>is</w:t>
      </w:r>
      <w:r w:rsidRPr="00283806">
        <w:rPr>
          <w:spacing w:val="40"/>
          <w:w w:val="105"/>
        </w:rPr>
        <w:t xml:space="preserve"> </w:t>
      </w:r>
      <w:r w:rsidRPr="00283806">
        <w:rPr>
          <w:w w:val="105"/>
        </w:rPr>
        <w:t>also</w:t>
      </w:r>
      <w:r w:rsidRPr="00283806">
        <w:rPr>
          <w:spacing w:val="40"/>
          <w:w w:val="105"/>
        </w:rPr>
        <w:t xml:space="preserve"> </w:t>
      </w:r>
      <w:r w:rsidRPr="00283806">
        <w:rPr>
          <w:w w:val="105"/>
        </w:rPr>
        <w:t>supported</w:t>
      </w:r>
      <w:r w:rsidRPr="00283806">
        <w:rPr>
          <w:spacing w:val="40"/>
          <w:w w:val="105"/>
        </w:rPr>
        <w:t xml:space="preserve"> </w:t>
      </w:r>
      <w:r w:rsidRPr="00283806">
        <w:rPr>
          <w:w w:val="105"/>
        </w:rPr>
        <w:t>by</w:t>
      </w:r>
      <w:r w:rsidRPr="00283806">
        <w:rPr>
          <w:spacing w:val="40"/>
          <w:w w:val="105"/>
        </w:rPr>
        <w:t xml:space="preserve"> </w:t>
      </w:r>
      <w:r w:rsidRPr="00283806">
        <w:rPr>
          <w:w w:val="105"/>
        </w:rPr>
        <w:t>section 114</w:t>
      </w:r>
      <w:r w:rsidRPr="00283806">
        <w:rPr>
          <w:spacing w:val="40"/>
          <w:w w:val="105"/>
        </w:rPr>
        <w:t xml:space="preserve"> </w:t>
      </w:r>
      <w:r w:rsidRPr="00283806">
        <w:rPr>
          <w:w w:val="105"/>
        </w:rPr>
        <w:t>of</w:t>
      </w:r>
      <w:r w:rsidRPr="00283806">
        <w:rPr>
          <w:spacing w:val="40"/>
          <w:w w:val="105"/>
        </w:rPr>
        <w:t xml:space="preserve"> </w:t>
      </w:r>
      <w:r w:rsidRPr="00283806">
        <w:rPr>
          <w:w w:val="105"/>
        </w:rPr>
        <w:t>the</w:t>
      </w:r>
      <w:r w:rsidRPr="00283806">
        <w:rPr>
          <w:spacing w:val="40"/>
          <w:w w:val="105"/>
        </w:rPr>
        <w:t xml:space="preserve"> </w:t>
      </w:r>
      <w:r w:rsidRPr="00283806">
        <w:rPr>
          <w:w w:val="105"/>
        </w:rPr>
        <w:t>CAA,</w:t>
      </w:r>
      <w:r w:rsidRPr="00283806">
        <w:rPr>
          <w:spacing w:val="40"/>
          <w:w w:val="105"/>
        </w:rPr>
        <w:t xml:space="preserve"> </w:t>
      </w:r>
      <w:r w:rsidRPr="00283806">
        <w:rPr>
          <w:w w:val="105"/>
        </w:rPr>
        <w:t>which</w:t>
      </w:r>
      <w:r w:rsidRPr="00283806">
        <w:rPr>
          <w:spacing w:val="40"/>
          <w:w w:val="105"/>
        </w:rPr>
        <w:t xml:space="preserve"> </w:t>
      </w:r>
      <w:r w:rsidRPr="00283806">
        <w:rPr>
          <w:w w:val="105"/>
        </w:rPr>
        <w:t>applies</w:t>
      </w:r>
      <w:r w:rsidRPr="00283806">
        <w:rPr>
          <w:spacing w:val="40"/>
          <w:w w:val="105"/>
        </w:rPr>
        <w:t xml:space="preserve"> </w:t>
      </w:r>
      <w:r w:rsidRPr="00283806">
        <w:rPr>
          <w:w w:val="105"/>
        </w:rPr>
        <w:t>to</w:t>
      </w:r>
      <w:r w:rsidRPr="00283806">
        <w:rPr>
          <w:spacing w:val="40"/>
          <w:w w:val="105"/>
        </w:rPr>
        <w:t xml:space="preserve"> </w:t>
      </w:r>
      <w:r w:rsidRPr="00283806">
        <w:rPr>
          <w:w w:val="105"/>
        </w:rPr>
        <w:t>the AIM Act and rules promulgated under</w:t>
      </w:r>
    </w:p>
    <w:p w14:paraId="4D23A675" w14:textId="77777777" w:rsidR="00D67C1E" w:rsidRPr="00283806" w:rsidRDefault="001265CA">
      <w:pPr>
        <w:pStyle w:val="BodyText"/>
        <w:spacing w:before="16" w:line="228" w:lineRule="auto"/>
        <w:ind w:right="48"/>
      </w:pPr>
      <w:r w:rsidRPr="00283806">
        <w:rPr>
          <w:w w:val="105"/>
        </w:rPr>
        <w:t xml:space="preserve">it </w:t>
      </w:r>
      <w:proofErr w:type="spellStart"/>
      <w:r w:rsidRPr="00283806">
        <w:rPr>
          <w:w w:val="105"/>
        </w:rPr>
        <w:t>as</w:t>
      </w:r>
      <w:proofErr w:type="spellEnd"/>
      <w:r w:rsidRPr="00283806">
        <w:rPr>
          <w:w w:val="105"/>
        </w:rPr>
        <w:t xml:space="preserve"> provided in subsection (k)(1)(C) of the AIM Act. The recordkeeping and requirements related to the leak repair requirements under this rulemaking are applicable</w:t>
      </w:r>
      <w:r w:rsidRPr="00283806">
        <w:rPr>
          <w:spacing w:val="40"/>
          <w:w w:val="105"/>
        </w:rPr>
        <w:t xml:space="preserve"> </w:t>
      </w:r>
      <w:r w:rsidRPr="00283806">
        <w:rPr>
          <w:w w:val="105"/>
        </w:rPr>
        <w:t>to</w:t>
      </w:r>
      <w:r w:rsidRPr="00283806">
        <w:rPr>
          <w:spacing w:val="40"/>
          <w:w w:val="105"/>
        </w:rPr>
        <w:t xml:space="preserve"> </w:t>
      </w:r>
      <w:r w:rsidRPr="00283806">
        <w:rPr>
          <w:w w:val="105"/>
        </w:rPr>
        <w:t>the</w:t>
      </w:r>
      <w:r w:rsidRPr="00283806">
        <w:rPr>
          <w:spacing w:val="40"/>
          <w:w w:val="105"/>
        </w:rPr>
        <w:t xml:space="preserve"> </w:t>
      </w:r>
      <w:r w:rsidRPr="00283806">
        <w:rPr>
          <w:w w:val="105"/>
        </w:rPr>
        <w:t>full</w:t>
      </w:r>
      <w:r w:rsidRPr="00283806">
        <w:rPr>
          <w:spacing w:val="40"/>
          <w:w w:val="105"/>
        </w:rPr>
        <w:t xml:space="preserve"> </w:t>
      </w:r>
      <w:r w:rsidRPr="00283806">
        <w:rPr>
          <w:w w:val="105"/>
        </w:rPr>
        <w:t>range</w:t>
      </w:r>
      <w:r w:rsidRPr="00283806">
        <w:rPr>
          <w:spacing w:val="40"/>
          <w:w w:val="105"/>
        </w:rPr>
        <w:t xml:space="preserve"> </w:t>
      </w:r>
      <w:r w:rsidRPr="00283806">
        <w:rPr>
          <w:w w:val="105"/>
        </w:rPr>
        <w:t>of appliances that are subject to the leak repair provisions, including those containing at least 15 pounds of refrigerant with limited exemptions, as described in section IV.C.2.b of this preamble for certain appliances. The recordkeeping and reporting requirements provide critical information about whether required actions were taken and are part of the suite</w:t>
      </w:r>
      <w:r w:rsidRPr="00283806">
        <w:rPr>
          <w:spacing w:val="40"/>
          <w:w w:val="105"/>
        </w:rPr>
        <w:t xml:space="preserve"> </w:t>
      </w:r>
      <w:r w:rsidRPr="00283806">
        <w:rPr>
          <w:w w:val="105"/>
        </w:rPr>
        <w:t>of</w:t>
      </w:r>
      <w:r w:rsidRPr="00283806">
        <w:rPr>
          <w:spacing w:val="40"/>
          <w:w w:val="105"/>
        </w:rPr>
        <w:t xml:space="preserve"> </w:t>
      </w:r>
      <w:r w:rsidRPr="00283806">
        <w:rPr>
          <w:w w:val="105"/>
        </w:rPr>
        <w:t>compliance</w:t>
      </w:r>
      <w:r w:rsidRPr="00283806">
        <w:rPr>
          <w:spacing w:val="40"/>
          <w:w w:val="105"/>
        </w:rPr>
        <w:t xml:space="preserve"> </w:t>
      </w:r>
      <w:r w:rsidRPr="00283806">
        <w:rPr>
          <w:w w:val="105"/>
        </w:rPr>
        <w:t>tools</w:t>
      </w:r>
      <w:r w:rsidRPr="00283806">
        <w:rPr>
          <w:spacing w:val="40"/>
          <w:w w:val="105"/>
        </w:rPr>
        <w:t xml:space="preserve"> </w:t>
      </w:r>
      <w:r w:rsidRPr="00283806">
        <w:rPr>
          <w:w w:val="105"/>
        </w:rPr>
        <w:t>included</w:t>
      </w:r>
      <w:r w:rsidRPr="00283806">
        <w:rPr>
          <w:spacing w:val="40"/>
          <w:w w:val="105"/>
        </w:rPr>
        <w:t xml:space="preserve"> </w:t>
      </w:r>
      <w:r w:rsidRPr="00283806">
        <w:rPr>
          <w:w w:val="105"/>
        </w:rPr>
        <w:t>in this rule. Compliance with the overall leak repair requirements is intended to minimize the release of refrigerants, and the Agency considers these recordkeeping and reporting requirements</w:t>
      </w:r>
      <w:r w:rsidRPr="00283806">
        <w:rPr>
          <w:spacing w:val="-5"/>
          <w:w w:val="105"/>
        </w:rPr>
        <w:t xml:space="preserve"> </w:t>
      </w:r>
      <w:r w:rsidRPr="00283806">
        <w:rPr>
          <w:w w:val="105"/>
        </w:rPr>
        <w:t>necessary</w:t>
      </w:r>
      <w:r w:rsidRPr="00283806">
        <w:rPr>
          <w:spacing w:val="-5"/>
          <w:w w:val="105"/>
        </w:rPr>
        <w:t xml:space="preserve"> </w:t>
      </w:r>
      <w:r w:rsidRPr="00283806">
        <w:rPr>
          <w:w w:val="105"/>
        </w:rPr>
        <w:t>to</w:t>
      </w:r>
      <w:r w:rsidRPr="00283806">
        <w:rPr>
          <w:spacing w:val="-5"/>
          <w:w w:val="105"/>
        </w:rPr>
        <w:t xml:space="preserve"> </w:t>
      </w:r>
      <w:r w:rsidRPr="00283806">
        <w:rPr>
          <w:w w:val="105"/>
        </w:rPr>
        <w:t>readily</w:t>
      </w:r>
      <w:r w:rsidRPr="00283806">
        <w:rPr>
          <w:spacing w:val="-5"/>
          <w:w w:val="105"/>
        </w:rPr>
        <w:t xml:space="preserve"> </w:t>
      </w:r>
      <w:r w:rsidRPr="00283806">
        <w:rPr>
          <w:w w:val="105"/>
        </w:rPr>
        <w:t>assess compliance. Records that demonstrate noncompliance or are incomplete may</w:t>
      </w:r>
      <w:r w:rsidRPr="00283806">
        <w:rPr>
          <w:spacing w:val="80"/>
          <w:w w:val="105"/>
        </w:rPr>
        <w:t xml:space="preserve"> </w:t>
      </w:r>
      <w:r w:rsidRPr="00283806">
        <w:rPr>
          <w:w w:val="105"/>
        </w:rPr>
        <w:t>be used for enforcement purposes. The requirements are informed in part by</w:t>
      </w:r>
    </w:p>
    <w:p w14:paraId="6BB5A2C7" w14:textId="77777777" w:rsidR="00D67C1E" w:rsidRPr="00283806" w:rsidRDefault="001265CA">
      <w:pPr>
        <w:pStyle w:val="BodyText"/>
        <w:spacing w:before="134" w:line="225" w:lineRule="auto"/>
        <w:ind w:left="143" w:right="211"/>
      </w:pPr>
      <w:r w:rsidRPr="00283806">
        <w:br w:type="column"/>
      </w:r>
      <w:r w:rsidRPr="00283806">
        <w:rPr>
          <w:w w:val="105"/>
        </w:rPr>
        <w:t>EPA’s consideration of its experience implementing similar regulations under CAA section 608 at 40 CFR 82.157 and the recordkeeping and reporting requirements that have been used to ensure compliance with those</w:t>
      </w:r>
      <w:r w:rsidRPr="00283806">
        <w:rPr>
          <w:spacing w:val="40"/>
          <w:w w:val="105"/>
        </w:rPr>
        <w:t xml:space="preserve"> </w:t>
      </w:r>
      <w:r w:rsidRPr="00283806">
        <w:rPr>
          <w:spacing w:val="-2"/>
          <w:w w:val="105"/>
        </w:rPr>
        <w:t>provisions.</w:t>
      </w:r>
    </w:p>
    <w:p w14:paraId="3232A90D" w14:textId="77777777" w:rsidR="00D67C1E" w:rsidRPr="00283806" w:rsidRDefault="001265CA">
      <w:pPr>
        <w:pStyle w:val="BodyText"/>
        <w:spacing w:line="178" w:lineRule="exact"/>
        <w:ind w:left="323"/>
      </w:pPr>
      <w:r w:rsidRPr="00283806">
        <w:rPr>
          <w:w w:val="105"/>
        </w:rPr>
        <w:t>Furthermore,</w:t>
      </w:r>
      <w:r w:rsidRPr="00283806">
        <w:rPr>
          <w:spacing w:val="7"/>
          <w:w w:val="105"/>
        </w:rPr>
        <w:t xml:space="preserve"> </w:t>
      </w:r>
      <w:r w:rsidRPr="00283806">
        <w:rPr>
          <w:w w:val="105"/>
        </w:rPr>
        <w:t>EPA</w:t>
      </w:r>
      <w:r w:rsidRPr="00283806">
        <w:rPr>
          <w:spacing w:val="8"/>
          <w:w w:val="105"/>
        </w:rPr>
        <w:t xml:space="preserve"> </w:t>
      </w:r>
      <w:r w:rsidRPr="00283806">
        <w:rPr>
          <w:w w:val="105"/>
        </w:rPr>
        <w:t>notes</w:t>
      </w:r>
      <w:r w:rsidRPr="00283806">
        <w:rPr>
          <w:spacing w:val="7"/>
          <w:w w:val="105"/>
        </w:rPr>
        <w:t xml:space="preserve"> </w:t>
      </w:r>
      <w:r w:rsidRPr="00283806">
        <w:rPr>
          <w:w w:val="105"/>
        </w:rPr>
        <w:t>that</w:t>
      </w:r>
      <w:r w:rsidRPr="00283806">
        <w:rPr>
          <w:spacing w:val="8"/>
          <w:w w:val="105"/>
        </w:rPr>
        <w:t xml:space="preserve"> </w:t>
      </w:r>
      <w:r w:rsidRPr="00283806">
        <w:rPr>
          <w:w w:val="105"/>
        </w:rPr>
        <w:t>there</w:t>
      </w:r>
      <w:r w:rsidRPr="00283806">
        <w:rPr>
          <w:spacing w:val="7"/>
          <w:w w:val="105"/>
        </w:rPr>
        <w:t xml:space="preserve"> </w:t>
      </w:r>
      <w:r w:rsidRPr="00283806">
        <w:rPr>
          <w:spacing w:val="-5"/>
          <w:w w:val="105"/>
        </w:rPr>
        <w:t>are</w:t>
      </w:r>
    </w:p>
    <w:p w14:paraId="5C8C1BD5" w14:textId="77777777" w:rsidR="00D67C1E" w:rsidRPr="00283806" w:rsidRDefault="001265CA">
      <w:pPr>
        <w:pStyle w:val="BodyText"/>
        <w:spacing w:before="4" w:line="225" w:lineRule="auto"/>
        <w:ind w:left="143" w:right="296"/>
      </w:pPr>
      <w:r w:rsidRPr="00283806">
        <w:t>existing recordkeeping requirements at</w:t>
      </w:r>
      <w:r w:rsidRPr="00283806">
        <w:rPr>
          <w:spacing w:val="40"/>
        </w:rPr>
        <w:t xml:space="preserve"> </w:t>
      </w:r>
      <w:r w:rsidRPr="00283806">
        <w:t>40 CFR 82.156(a)(3) for technicians</w:t>
      </w:r>
      <w:r w:rsidRPr="00283806">
        <w:rPr>
          <w:spacing w:val="40"/>
        </w:rPr>
        <w:t xml:space="preserve"> </w:t>
      </w:r>
      <w:r w:rsidRPr="00283806">
        <w:t xml:space="preserve">evacuating </w:t>
      </w:r>
      <w:proofErr w:type="gramStart"/>
      <w:r w:rsidRPr="00283806">
        <w:t>refrigerant</w:t>
      </w:r>
      <w:proofErr w:type="gramEnd"/>
      <w:r w:rsidRPr="00283806">
        <w:t xml:space="preserve"> from appliances</w:t>
      </w:r>
      <w:r w:rsidRPr="00283806">
        <w:rPr>
          <w:spacing w:val="40"/>
        </w:rPr>
        <w:t xml:space="preserve"> </w:t>
      </w:r>
      <w:r w:rsidRPr="00283806">
        <w:t>with</w:t>
      </w:r>
      <w:r w:rsidRPr="00283806">
        <w:rPr>
          <w:spacing w:val="40"/>
        </w:rPr>
        <w:t xml:space="preserve"> </w:t>
      </w:r>
      <w:r w:rsidRPr="00283806">
        <w:t>a</w:t>
      </w:r>
      <w:r w:rsidRPr="00283806">
        <w:rPr>
          <w:spacing w:val="40"/>
        </w:rPr>
        <w:t xml:space="preserve"> </w:t>
      </w:r>
      <w:r w:rsidRPr="00283806">
        <w:t>full</w:t>
      </w:r>
      <w:r w:rsidRPr="00283806">
        <w:rPr>
          <w:spacing w:val="40"/>
        </w:rPr>
        <w:t xml:space="preserve"> </w:t>
      </w:r>
      <w:r w:rsidRPr="00283806">
        <w:t>charge</w:t>
      </w:r>
      <w:r w:rsidRPr="00283806">
        <w:rPr>
          <w:spacing w:val="40"/>
        </w:rPr>
        <w:t xml:space="preserve"> </w:t>
      </w:r>
      <w:r w:rsidRPr="00283806">
        <w:t>of</w:t>
      </w:r>
      <w:r w:rsidRPr="00283806">
        <w:rPr>
          <w:spacing w:val="40"/>
        </w:rPr>
        <w:t xml:space="preserve"> </w:t>
      </w:r>
      <w:r w:rsidRPr="00283806">
        <w:t>more</w:t>
      </w:r>
      <w:r w:rsidRPr="00283806">
        <w:rPr>
          <w:spacing w:val="40"/>
        </w:rPr>
        <w:t xml:space="preserve"> </w:t>
      </w:r>
      <w:r w:rsidRPr="00283806">
        <w:t>than</w:t>
      </w:r>
      <w:r w:rsidRPr="00283806">
        <w:rPr>
          <w:spacing w:val="40"/>
        </w:rPr>
        <w:t xml:space="preserve"> </w:t>
      </w:r>
      <w:r w:rsidRPr="00283806">
        <w:t>5</w:t>
      </w:r>
      <w:r w:rsidRPr="00283806">
        <w:rPr>
          <w:spacing w:val="40"/>
        </w:rPr>
        <w:t xml:space="preserve"> </w:t>
      </w:r>
      <w:r w:rsidRPr="00283806">
        <w:t>and</w:t>
      </w:r>
      <w:r w:rsidRPr="00283806">
        <w:rPr>
          <w:spacing w:val="40"/>
        </w:rPr>
        <w:t xml:space="preserve"> </w:t>
      </w:r>
      <w:r w:rsidRPr="00283806">
        <w:t>less than 50 pounds of refrigerant for</w:t>
      </w:r>
      <w:r w:rsidRPr="00283806">
        <w:rPr>
          <w:spacing w:val="40"/>
        </w:rPr>
        <w:t xml:space="preserve"> </w:t>
      </w:r>
      <w:r w:rsidRPr="00283806">
        <w:t>purposes of disposal of that appliance.</w:t>
      </w:r>
      <w:r w:rsidRPr="00283806">
        <w:rPr>
          <w:spacing w:val="80"/>
        </w:rPr>
        <w:t xml:space="preserve"> </w:t>
      </w:r>
      <w:r w:rsidRPr="00283806">
        <w:t>These records are used to assess</w:t>
      </w:r>
      <w:r w:rsidRPr="00283806">
        <w:rPr>
          <w:spacing w:val="40"/>
        </w:rPr>
        <w:t xml:space="preserve"> </w:t>
      </w:r>
      <w:r w:rsidRPr="00283806">
        <w:t>technicians’</w:t>
      </w:r>
      <w:r w:rsidRPr="00283806">
        <w:rPr>
          <w:spacing w:val="40"/>
        </w:rPr>
        <w:t xml:space="preserve"> </w:t>
      </w:r>
      <w:r w:rsidRPr="00283806">
        <w:t>compliance</w:t>
      </w:r>
      <w:r w:rsidRPr="00283806">
        <w:rPr>
          <w:spacing w:val="40"/>
        </w:rPr>
        <w:t xml:space="preserve"> </w:t>
      </w:r>
      <w:r w:rsidRPr="00283806">
        <w:t>with</w:t>
      </w:r>
      <w:r w:rsidRPr="00283806">
        <w:rPr>
          <w:spacing w:val="40"/>
        </w:rPr>
        <w:t xml:space="preserve"> </w:t>
      </w:r>
      <w:r w:rsidRPr="00283806">
        <w:t>the</w:t>
      </w:r>
      <w:r w:rsidRPr="00283806">
        <w:rPr>
          <w:spacing w:val="40"/>
        </w:rPr>
        <w:t xml:space="preserve"> </w:t>
      </w:r>
      <w:r w:rsidRPr="00283806">
        <w:t>disposal requirements for appliances</w:t>
      </w:r>
      <w:r w:rsidRPr="00283806">
        <w:rPr>
          <w:spacing w:val="40"/>
        </w:rPr>
        <w:t xml:space="preserve"> </w:t>
      </w:r>
      <w:r w:rsidRPr="00283806">
        <w:t>between 5 to 50 pounds under 40 CFR</w:t>
      </w:r>
      <w:r w:rsidRPr="00283806">
        <w:rPr>
          <w:spacing w:val="40"/>
        </w:rPr>
        <w:t xml:space="preserve"> </w:t>
      </w:r>
      <w:r w:rsidRPr="00283806">
        <w:t>part 82, subpart F and are not related to</w:t>
      </w:r>
      <w:r w:rsidRPr="00283806">
        <w:rPr>
          <w:spacing w:val="40"/>
        </w:rPr>
        <w:t xml:space="preserve"> </w:t>
      </w:r>
      <w:r w:rsidRPr="00283806">
        <w:t>the owner/operator’s compliance with</w:t>
      </w:r>
      <w:r w:rsidRPr="00283806">
        <w:rPr>
          <w:spacing w:val="80"/>
        </w:rPr>
        <w:t xml:space="preserve"> </w:t>
      </w:r>
      <w:r w:rsidRPr="00283806">
        <w:t>the leak repair requirements.</w:t>
      </w:r>
    </w:p>
    <w:p w14:paraId="0614987E" w14:textId="77777777" w:rsidR="00D67C1E" w:rsidRPr="00283806" w:rsidRDefault="001265CA">
      <w:pPr>
        <w:pStyle w:val="BodyText"/>
        <w:spacing w:line="225" w:lineRule="auto"/>
        <w:ind w:left="143" w:right="163"/>
      </w:pPr>
      <w:r w:rsidRPr="00283806">
        <w:rPr>
          <w:w w:val="105"/>
        </w:rPr>
        <w:t>Additionally, EPA notes that the bulk of the appliances covered by the recordkeeping requirements at 40 CFR 82.156(a)(3) are residential air conditioning appliances, which are exempt from the leak repair provisions</w:t>
      </w:r>
      <w:r w:rsidRPr="00283806">
        <w:rPr>
          <w:spacing w:val="40"/>
          <w:w w:val="105"/>
        </w:rPr>
        <w:t xml:space="preserve"> </w:t>
      </w:r>
      <w:r w:rsidRPr="00283806">
        <w:rPr>
          <w:w w:val="105"/>
        </w:rPr>
        <w:t>in</w:t>
      </w:r>
      <w:r w:rsidRPr="00283806">
        <w:rPr>
          <w:spacing w:val="36"/>
          <w:w w:val="105"/>
        </w:rPr>
        <w:t xml:space="preserve"> </w:t>
      </w:r>
      <w:r w:rsidRPr="00283806">
        <w:rPr>
          <w:w w:val="105"/>
        </w:rPr>
        <w:t>this</w:t>
      </w:r>
      <w:r w:rsidRPr="00283806">
        <w:rPr>
          <w:spacing w:val="36"/>
          <w:w w:val="105"/>
        </w:rPr>
        <w:t xml:space="preserve"> </w:t>
      </w:r>
      <w:r w:rsidRPr="00283806">
        <w:rPr>
          <w:w w:val="105"/>
        </w:rPr>
        <w:t>action.</w:t>
      </w:r>
      <w:r w:rsidRPr="00283806">
        <w:rPr>
          <w:spacing w:val="36"/>
          <w:w w:val="105"/>
        </w:rPr>
        <w:t xml:space="preserve"> </w:t>
      </w:r>
      <w:r w:rsidRPr="00283806">
        <w:rPr>
          <w:w w:val="105"/>
        </w:rPr>
        <w:t>EPA</w:t>
      </w:r>
      <w:r w:rsidRPr="00283806">
        <w:rPr>
          <w:spacing w:val="36"/>
          <w:w w:val="105"/>
        </w:rPr>
        <w:t xml:space="preserve"> </w:t>
      </w:r>
      <w:r w:rsidRPr="00283806">
        <w:rPr>
          <w:w w:val="105"/>
        </w:rPr>
        <w:t>did</w:t>
      </w:r>
      <w:r w:rsidRPr="00283806">
        <w:rPr>
          <w:spacing w:val="36"/>
          <w:w w:val="105"/>
        </w:rPr>
        <w:t xml:space="preserve"> </w:t>
      </w:r>
      <w:r w:rsidRPr="00283806">
        <w:rPr>
          <w:w w:val="105"/>
        </w:rPr>
        <w:t>not</w:t>
      </w:r>
      <w:r w:rsidRPr="00283806">
        <w:rPr>
          <w:spacing w:val="36"/>
          <w:w w:val="105"/>
        </w:rPr>
        <w:t xml:space="preserve"> </w:t>
      </w:r>
      <w:r w:rsidRPr="00283806">
        <w:rPr>
          <w:w w:val="105"/>
        </w:rPr>
        <w:t>reopen</w:t>
      </w:r>
      <w:r w:rsidRPr="00283806">
        <w:rPr>
          <w:spacing w:val="36"/>
          <w:w w:val="105"/>
        </w:rPr>
        <w:t xml:space="preserve"> </w:t>
      </w:r>
      <w:r w:rsidRPr="00283806">
        <w:rPr>
          <w:w w:val="105"/>
        </w:rPr>
        <w:t>any of the provisions in 40 CFR part 82 through this notice-and-comment rulemaking,</w:t>
      </w:r>
      <w:r w:rsidRPr="00283806">
        <w:rPr>
          <w:spacing w:val="40"/>
          <w:w w:val="105"/>
        </w:rPr>
        <w:t xml:space="preserve"> </w:t>
      </w:r>
      <w:r w:rsidRPr="00283806">
        <w:rPr>
          <w:w w:val="105"/>
        </w:rPr>
        <w:t>and</w:t>
      </w:r>
      <w:r w:rsidRPr="00283806">
        <w:rPr>
          <w:spacing w:val="40"/>
          <w:w w:val="105"/>
        </w:rPr>
        <w:t xml:space="preserve"> </w:t>
      </w:r>
      <w:r w:rsidRPr="00283806">
        <w:rPr>
          <w:w w:val="105"/>
        </w:rPr>
        <w:t>thus</w:t>
      </w:r>
      <w:r w:rsidRPr="00283806">
        <w:rPr>
          <w:spacing w:val="40"/>
          <w:w w:val="105"/>
        </w:rPr>
        <w:t xml:space="preserve"> </w:t>
      </w:r>
      <w:r w:rsidRPr="00283806">
        <w:rPr>
          <w:w w:val="105"/>
        </w:rPr>
        <w:t>the</w:t>
      </w:r>
      <w:r w:rsidRPr="00283806">
        <w:rPr>
          <w:spacing w:val="40"/>
          <w:w w:val="105"/>
        </w:rPr>
        <w:t xml:space="preserve"> </w:t>
      </w:r>
      <w:r w:rsidRPr="00283806">
        <w:rPr>
          <w:w w:val="105"/>
        </w:rPr>
        <w:t>Agency</w:t>
      </w:r>
      <w:r w:rsidRPr="00283806">
        <w:rPr>
          <w:spacing w:val="40"/>
          <w:w w:val="105"/>
        </w:rPr>
        <w:t xml:space="preserve"> </w:t>
      </w:r>
      <w:r w:rsidRPr="00283806">
        <w:rPr>
          <w:w w:val="105"/>
        </w:rPr>
        <w:t xml:space="preserve">did not propose any changes to the referenced recordkeeping requirements. The Agency does not view these recordkeeping requirements as </w:t>
      </w:r>
      <w:proofErr w:type="gramStart"/>
      <w:r w:rsidRPr="00283806">
        <w:rPr>
          <w:w w:val="105"/>
        </w:rPr>
        <w:t>being in conflict with</w:t>
      </w:r>
      <w:proofErr w:type="gramEnd"/>
      <w:r w:rsidRPr="00283806">
        <w:rPr>
          <w:w w:val="105"/>
        </w:rPr>
        <w:t xml:space="preserve"> the leak repair requirements in this final rule, nor does the Agency view them as redundant.</w:t>
      </w:r>
    </w:p>
    <w:p w14:paraId="5F2AD2A4" w14:textId="77777777" w:rsidR="00D67C1E" w:rsidRPr="00283806" w:rsidRDefault="001265CA">
      <w:pPr>
        <w:spacing w:line="179" w:lineRule="exact"/>
        <w:ind w:left="323"/>
        <w:rPr>
          <w:sz w:val="18"/>
        </w:rPr>
      </w:pPr>
      <w:r w:rsidRPr="00283806">
        <w:rPr>
          <w:rFonts w:ascii="Book Antiqua"/>
          <w:i/>
          <w:w w:val="110"/>
          <w:sz w:val="18"/>
        </w:rPr>
        <w:t>Comment:</w:t>
      </w:r>
      <w:r w:rsidRPr="00283806">
        <w:rPr>
          <w:rFonts w:ascii="Book Antiqua"/>
          <w:i/>
          <w:spacing w:val="-8"/>
          <w:w w:val="110"/>
          <w:sz w:val="18"/>
        </w:rPr>
        <w:t xml:space="preserve"> </w:t>
      </w:r>
      <w:r w:rsidRPr="00283806">
        <w:rPr>
          <w:w w:val="110"/>
          <w:sz w:val="18"/>
        </w:rPr>
        <w:t>A</w:t>
      </w:r>
      <w:r w:rsidRPr="00283806">
        <w:rPr>
          <w:spacing w:val="-3"/>
          <w:w w:val="110"/>
          <w:sz w:val="18"/>
        </w:rPr>
        <w:t xml:space="preserve"> </w:t>
      </w:r>
      <w:r w:rsidRPr="00283806">
        <w:rPr>
          <w:w w:val="110"/>
          <w:sz w:val="18"/>
        </w:rPr>
        <w:t>commenter</w:t>
      </w:r>
      <w:r w:rsidRPr="00283806">
        <w:rPr>
          <w:spacing w:val="-2"/>
          <w:w w:val="110"/>
          <w:sz w:val="18"/>
        </w:rPr>
        <w:t xml:space="preserve"> requested</w:t>
      </w:r>
    </w:p>
    <w:p w14:paraId="08DFD89D" w14:textId="77777777" w:rsidR="00D67C1E" w:rsidRPr="00283806" w:rsidRDefault="001265CA">
      <w:pPr>
        <w:pStyle w:val="BodyText"/>
        <w:spacing w:line="225" w:lineRule="auto"/>
        <w:ind w:left="143" w:right="194"/>
      </w:pPr>
      <w:r w:rsidRPr="00283806">
        <w:rPr>
          <w:w w:val="105"/>
        </w:rPr>
        <w:t>clarification on the effective date of leak repair requirements as it relates to recordkeeping, considering the leak rate calculation methodologies would</w:t>
      </w:r>
      <w:r w:rsidRPr="00283806">
        <w:rPr>
          <w:spacing w:val="80"/>
          <w:w w:val="105"/>
        </w:rPr>
        <w:t xml:space="preserve"> </w:t>
      </w:r>
      <w:r w:rsidRPr="00283806">
        <w:rPr>
          <w:w w:val="105"/>
        </w:rPr>
        <w:t xml:space="preserve">require existing records </w:t>
      </w:r>
      <w:proofErr w:type="gramStart"/>
      <w:r w:rsidRPr="00283806">
        <w:rPr>
          <w:w w:val="105"/>
        </w:rPr>
        <w:t>in order to</w:t>
      </w:r>
      <w:proofErr w:type="gramEnd"/>
      <w:r w:rsidRPr="00283806">
        <w:rPr>
          <w:w w:val="105"/>
        </w:rPr>
        <w:t xml:space="preserve"> determine the leak rate. The commenter stated that some facilities with appliances with a charge size greater than 50 pounds may not have records because of the lack of existing leak</w:t>
      </w:r>
      <w:r w:rsidRPr="00283806">
        <w:rPr>
          <w:spacing w:val="80"/>
          <w:w w:val="105"/>
        </w:rPr>
        <w:t xml:space="preserve"> </w:t>
      </w:r>
      <w:r w:rsidRPr="00283806">
        <w:rPr>
          <w:w w:val="105"/>
        </w:rPr>
        <w:t>repair requirements. The commenter requests clarity on what owners or operators should do if records are unavailable to determine the leak rate and determine if repairs are required.</w:t>
      </w:r>
    </w:p>
    <w:p w14:paraId="0E85BC41" w14:textId="77777777" w:rsidR="00D67C1E" w:rsidRPr="00283806" w:rsidRDefault="001265CA">
      <w:pPr>
        <w:spacing w:line="180" w:lineRule="exact"/>
        <w:ind w:left="323"/>
        <w:rPr>
          <w:sz w:val="18"/>
        </w:rPr>
      </w:pPr>
      <w:r w:rsidRPr="00283806">
        <w:rPr>
          <w:rFonts w:ascii="Book Antiqua"/>
          <w:i/>
          <w:w w:val="110"/>
          <w:sz w:val="18"/>
        </w:rPr>
        <w:t>Response:</w:t>
      </w:r>
      <w:r w:rsidRPr="00283806">
        <w:rPr>
          <w:rFonts w:ascii="Book Antiqua"/>
          <w:i/>
          <w:spacing w:val="2"/>
          <w:w w:val="110"/>
          <w:sz w:val="18"/>
        </w:rPr>
        <w:t xml:space="preserve"> </w:t>
      </w:r>
      <w:r w:rsidRPr="00283806">
        <w:rPr>
          <w:w w:val="110"/>
          <w:sz w:val="18"/>
        </w:rPr>
        <w:t>EPA</w:t>
      </w:r>
      <w:r w:rsidRPr="00283806">
        <w:rPr>
          <w:spacing w:val="8"/>
          <w:w w:val="110"/>
          <w:sz w:val="18"/>
        </w:rPr>
        <w:t xml:space="preserve"> </w:t>
      </w:r>
      <w:r w:rsidRPr="00283806">
        <w:rPr>
          <w:w w:val="110"/>
          <w:sz w:val="18"/>
        </w:rPr>
        <w:t>acknowledges</w:t>
      </w:r>
      <w:r w:rsidRPr="00283806">
        <w:rPr>
          <w:spacing w:val="8"/>
          <w:w w:val="110"/>
          <w:sz w:val="18"/>
        </w:rPr>
        <w:t xml:space="preserve"> </w:t>
      </w:r>
      <w:r w:rsidRPr="00283806">
        <w:rPr>
          <w:spacing w:val="-5"/>
          <w:w w:val="110"/>
          <w:sz w:val="18"/>
        </w:rPr>
        <w:t>the</w:t>
      </w:r>
    </w:p>
    <w:p w14:paraId="3B93CC73" w14:textId="77777777" w:rsidR="00D67C1E" w:rsidRPr="00283806" w:rsidRDefault="001265CA">
      <w:pPr>
        <w:pStyle w:val="BodyText"/>
        <w:spacing w:line="225" w:lineRule="auto"/>
        <w:ind w:left="143" w:right="203"/>
      </w:pPr>
      <w:r w:rsidRPr="00283806">
        <w:rPr>
          <w:w w:val="105"/>
        </w:rPr>
        <w:t>commenter’s concerns about accurately calculating the leak rate of appliances without previously available records. As discussed in section IV.C.3.a of this preamble, because no records are required for addition of refrigerants to</w:t>
      </w:r>
      <w:r w:rsidRPr="00283806">
        <w:rPr>
          <w:spacing w:val="40"/>
          <w:w w:val="105"/>
        </w:rPr>
        <w:t xml:space="preserve"> </w:t>
      </w:r>
      <w:r w:rsidRPr="00283806">
        <w:rPr>
          <w:w w:val="105"/>
        </w:rPr>
        <w:t>an appliance prior to January 1, 2026, owners or operators may calculate leak rates for appliances containing an HFC</w:t>
      </w:r>
      <w:r w:rsidRPr="00283806">
        <w:rPr>
          <w:spacing w:val="80"/>
          <w:w w:val="105"/>
        </w:rPr>
        <w:t xml:space="preserve"> </w:t>
      </w:r>
      <w:r w:rsidRPr="00283806">
        <w:rPr>
          <w:w w:val="105"/>
        </w:rPr>
        <w:t>or HFC substitute with a GWP greater than 53 as though there were no additions prior to that date. For</w:t>
      </w:r>
      <w:r w:rsidRPr="00283806">
        <w:rPr>
          <w:spacing w:val="80"/>
          <w:w w:val="150"/>
        </w:rPr>
        <w:t xml:space="preserve"> </w:t>
      </w:r>
      <w:r w:rsidRPr="00283806">
        <w:rPr>
          <w:w w:val="105"/>
        </w:rPr>
        <w:t>example, if an owner or operator is</w:t>
      </w:r>
      <w:r w:rsidRPr="00283806">
        <w:rPr>
          <w:spacing w:val="80"/>
          <w:w w:val="150"/>
        </w:rPr>
        <w:t xml:space="preserve"> </w:t>
      </w:r>
      <w:r w:rsidRPr="00283806">
        <w:rPr>
          <w:w w:val="105"/>
        </w:rPr>
        <w:t>using the annualizing method for the</w:t>
      </w:r>
    </w:p>
    <w:p w14:paraId="30173284"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469" w:space="71"/>
            <w:col w:w="3517" w:space="40"/>
            <w:col w:w="3623"/>
          </w:cols>
        </w:sectPr>
      </w:pPr>
    </w:p>
    <w:p w14:paraId="04F9CA86" w14:textId="77777777" w:rsidR="00D67C1E" w:rsidRPr="00283806" w:rsidRDefault="001265CA">
      <w:pPr>
        <w:pStyle w:val="BodyText"/>
        <w:spacing w:before="136" w:line="225" w:lineRule="auto"/>
        <w:ind w:right="25"/>
      </w:pPr>
      <w:r w:rsidRPr="00283806">
        <w:rPr>
          <w:w w:val="105"/>
        </w:rPr>
        <w:lastRenderedPageBreak/>
        <w:t>first addition of refrigerant in calendar year 2026, the second term would be 365/365 (or ‘‘1’’). For subsequent additions the second term would be 365 divided by the shorter of the number of days since refrigerant was last added or</w:t>
      </w:r>
    </w:p>
    <w:p w14:paraId="7DDB1E9D" w14:textId="77777777" w:rsidR="00D67C1E" w:rsidRPr="00283806" w:rsidRDefault="001265CA">
      <w:pPr>
        <w:pStyle w:val="BodyText"/>
        <w:spacing w:line="225" w:lineRule="auto"/>
        <w:ind w:right="87"/>
      </w:pPr>
      <w:r w:rsidRPr="00283806">
        <w:rPr>
          <w:w w:val="110"/>
        </w:rPr>
        <w:t>365. Alternatively, if an owner or operator is using the rolling average method for the first addition of refrigerant in calendar year 2026, the numerator would be the pounds of refrigerant added since the shorter of January 1, 2026, or the last successful follow-up verification test, if one was conducted in 2026. For subsequent additions</w:t>
      </w:r>
      <w:r w:rsidRPr="00283806">
        <w:rPr>
          <w:spacing w:val="-5"/>
          <w:w w:val="110"/>
        </w:rPr>
        <w:t xml:space="preserve"> </w:t>
      </w:r>
      <w:r w:rsidRPr="00283806">
        <w:rPr>
          <w:w w:val="110"/>
        </w:rPr>
        <w:t>the</w:t>
      </w:r>
      <w:r w:rsidRPr="00283806">
        <w:rPr>
          <w:spacing w:val="-5"/>
          <w:w w:val="110"/>
        </w:rPr>
        <w:t xml:space="preserve"> </w:t>
      </w:r>
      <w:r w:rsidRPr="00283806">
        <w:rPr>
          <w:w w:val="110"/>
        </w:rPr>
        <w:t>numerator</w:t>
      </w:r>
      <w:r w:rsidRPr="00283806">
        <w:rPr>
          <w:spacing w:val="-5"/>
          <w:w w:val="110"/>
        </w:rPr>
        <w:t xml:space="preserve"> </w:t>
      </w:r>
      <w:r w:rsidRPr="00283806">
        <w:rPr>
          <w:w w:val="110"/>
        </w:rPr>
        <w:t>is</w:t>
      </w:r>
      <w:r w:rsidRPr="00283806">
        <w:rPr>
          <w:spacing w:val="-5"/>
          <w:w w:val="110"/>
        </w:rPr>
        <w:t xml:space="preserve"> </w:t>
      </w:r>
      <w:r w:rsidRPr="00283806">
        <w:rPr>
          <w:w w:val="110"/>
        </w:rPr>
        <w:t>the</w:t>
      </w:r>
      <w:r w:rsidRPr="00283806">
        <w:rPr>
          <w:spacing w:val="-5"/>
          <w:w w:val="110"/>
        </w:rPr>
        <w:t xml:space="preserve"> </w:t>
      </w:r>
      <w:r w:rsidRPr="00283806">
        <w:rPr>
          <w:w w:val="110"/>
        </w:rPr>
        <w:t xml:space="preserve">pounds </w:t>
      </w:r>
      <w:r w:rsidRPr="00283806">
        <w:t>of refrigerant added since the shorter of</w:t>
      </w:r>
      <w:r w:rsidRPr="00283806">
        <w:rPr>
          <w:w w:val="110"/>
        </w:rPr>
        <w:t xml:space="preserve"> 365 days or the last successful follow- up verification test.</w:t>
      </w:r>
    </w:p>
    <w:p w14:paraId="5A32661E" w14:textId="77777777" w:rsidR="00D67C1E" w:rsidRPr="00283806" w:rsidRDefault="001265CA">
      <w:pPr>
        <w:pStyle w:val="BodyText"/>
        <w:spacing w:line="213" w:lineRule="auto"/>
        <w:ind w:right="25" w:firstLine="180"/>
      </w:pPr>
      <w:r w:rsidRPr="00283806">
        <w:rPr>
          <w:rFonts w:ascii="Book Antiqua"/>
          <w:i/>
          <w:w w:val="105"/>
        </w:rPr>
        <w:t xml:space="preserve">Comment: </w:t>
      </w:r>
      <w:r w:rsidRPr="00283806">
        <w:rPr>
          <w:w w:val="105"/>
        </w:rPr>
        <w:t>One commenter requested the Agency clearly state in the</w:t>
      </w:r>
    </w:p>
    <w:p w14:paraId="5A847B1E" w14:textId="77777777" w:rsidR="00D67C1E" w:rsidRPr="00283806" w:rsidRDefault="001265CA">
      <w:pPr>
        <w:pStyle w:val="BodyText"/>
        <w:spacing w:line="225" w:lineRule="auto"/>
        <w:ind w:right="46"/>
      </w:pPr>
      <w:r w:rsidRPr="00283806">
        <w:rPr>
          <w:w w:val="105"/>
        </w:rPr>
        <w:t xml:space="preserve">regulatory text how and where required information is submitted electronically so the regulated community knows where and how to transmit the required </w:t>
      </w:r>
      <w:r w:rsidRPr="00283806">
        <w:rPr>
          <w:spacing w:val="-2"/>
          <w:w w:val="105"/>
        </w:rPr>
        <w:t>information.</w:t>
      </w:r>
    </w:p>
    <w:p w14:paraId="27740F28" w14:textId="77777777" w:rsidR="00D67C1E" w:rsidRPr="00283806" w:rsidRDefault="001265CA">
      <w:pPr>
        <w:pStyle w:val="BodyText"/>
        <w:spacing w:line="213" w:lineRule="auto"/>
        <w:ind w:right="120" w:firstLine="180"/>
      </w:pPr>
      <w:r w:rsidRPr="00283806">
        <w:rPr>
          <w:rFonts w:ascii="Book Antiqua"/>
          <w:i/>
          <w:w w:val="105"/>
        </w:rPr>
        <w:t xml:space="preserve">Response: </w:t>
      </w:r>
      <w:r w:rsidRPr="00283806">
        <w:rPr>
          <w:w w:val="105"/>
        </w:rPr>
        <w:t>EPA is creating a web- based</w:t>
      </w:r>
      <w:r w:rsidRPr="00283806">
        <w:rPr>
          <w:spacing w:val="-8"/>
          <w:w w:val="105"/>
        </w:rPr>
        <w:t xml:space="preserve"> </w:t>
      </w:r>
      <w:r w:rsidRPr="00283806">
        <w:rPr>
          <w:w w:val="105"/>
        </w:rPr>
        <w:t>platform</w:t>
      </w:r>
      <w:r w:rsidRPr="00283806">
        <w:rPr>
          <w:spacing w:val="-8"/>
          <w:w w:val="105"/>
        </w:rPr>
        <w:t xml:space="preserve"> </w:t>
      </w:r>
      <w:r w:rsidRPr="00283806">
        <w:rPr>
          <w:w w:val="105"/>
        </w:rPr>
        <w:t>for</w:t>
      </w:r>
      <w:r w:rsidRPr="00283806">
        <w:rPr>
          <w:spacing w:val="-8"/>
          <w:w w:val="105"/>
        </w:rPr>
        <w:t xml:space="preserve"> </w:t>
      </w:r>
      <w:r w:rsidRPr="00283806">
        <w:rPr>
          <w:w w:val="105"/>
        </w:rPr>
        <w:t>owners</w:t>
      </w:r>
      <w:r w:rsidRPr="00283806">
        <w:rPr>
          <w:spacing w:val="-8"/>
          <w:w w:val="105"/>
        </w:rPr>
        <w:t xml:space="preserve"> </w:t>
      </w:r>
      <w:r w:rsidRPr="00283806">
        <w:rPr>
          <w:w w:val="105"/>
        </w:rPr>
        <w:t>or</w:t>
      </w:r>
      <w:r w:rsidRPr="00283806">
        <w:rPr>
          <w:spacing w:val="-8"/>
          <w:w w:val="105"/>
        </w:rPr>
        <w:t xml:space="preserve"> </w:t>
      </w:r>
      <w:r w:rsidRPr="00283806">
        <w:rPr>
          <w:w w:val="105"/>
        </w:rPr>
        <w:t>operators</w:t>
      </w:r>
    </w:p>
    <w:p w14:paraId="2A764288" w14:textId="33F3F6C6" w:rsidR="00D67C1E" w:rsidRPr="00283806" w:rsidRDefault="001265CA">
      <w:pPr>
        <w:spacing w:line="223" w:lineRule="auto"/>
        <w:ind w:left="160" w:right="86"/>
        <w:rPr>
          <w:sz w:val="18"/>
        </w:rPr>
      </w:pPr>
      <w:r w:rsidRPr="00283806">
        <w:rPr>
          <w:w w:val="110"/>
          <w:sz w:val="18"/>
        </w:rPr>
        <w:t xml:space="preserve">to submit requests for extensions, chronic leak reports, and other </w:t>
      </w:r>
      <w:r w:rsidRPr="00283806">
        <w:rPr>
          <w:sz w:val="18"/>
        </w:rPr>
        <w:t>reportable materials to the Agency. The</w:t>
      </w:r>
      <w:r w:rsidRPr="00283806">
        <w:rPr>
          <w:spacing w:val="40"/>
          <w:w w:val="110"/>
          <w:sz w:val="18"/>
        </w:rPr>
        <w:t xml:space="preserve"> </w:t>
      </w:r>
      <w:r w:rsidRPr="00283806">
        <w:rPr>
          <w:w w:val="110"/>
          <w:sz w:val="18"/>
        </w:rPr>
        <w:t>Agency intends to provide additional information</w:t>
      </w:r>
      <w:r w:rsidRPr="00283806">
        <w:rPr>
          <w:spacing w:val="-11"/>
          <w:w w:val="110"/>
          <w:sz w:val="18"/>
        </w:rPr>
        <w:t xml:space="preserve"> </w:t>
      </w:r>
      <w:r w:rsidRPr="00283806">
        <w:rPr>
          <w:w w:val="110"/>
          <w:sz w:val="18"/>
        </w:rPr>
        <w:t>and</w:t>
      </w:r>
      <w:r w:rsidRPr="00283806">
        <w:rPr>
          <w:spacing w:val="-11"/>
          <w:w w:val="110"/>
          <w:sz w:val="18"/>
        </w:rPr>
        <w:t xml:space="preserve"> </w:t>
      </w:r>
      <w:r w:rsidRPr="00283806">
        <w:rPr>
          <w:w w:val="110"/>
          <w:sz w:val="18"/>
        </w:rPr>
        <w:t>guidance</w:t>
      </w:r>
      <w:r w:rsidRPr="00283806">
        <w:rPr>
          <w:spacing w:val="-11"/>
          <w:w w:val="110"/>
          <w:sz w:val="18"/>
        </w:rPr>
        <w:t xml:space="preserve"> </w:t>
      </w:r>
      <w:r w:rsidRPr="00283806">
        <w:rPr>
          <w:w w:val="110"/>
          <w:sz w:val="18"/>
        </w:rPr>
        <w:t>on</w:t>
      </w:r>
      <w:r w:rsidRPr="00283806">
        <w:rPr>
          <w:spacing w:val="-11"/>
          <w:w w:val="110"/>
          <w:sz w:val="18"/>
        </w:rPr>
        <w:t xml:space="preserve"> </w:t>
      </w:r>
      <w:r w:rsidRPr="00283806">
        <w:rPr>
          <w:w w:val="110"/>
          <w:sz w:val="18"/>
        </w:rPr>
        <w:t xml:space="preserve">reporting at </w:t>
      </w:r>
      <w:r w:rsidRPr="00283806">
        <w:rPr>
          <w:rFonts w:ascii="Book Antiqua"/>
          <w:i/>
          <w:w w:val="110"/>
          <w:sz w:val="18"/>
        </w:rPr>
        <w:t xml:space="preserve">https://www.epa.gov/climate-hfcs- </w:t>
      </w:r>
      <w:r w:rsidRPr="00283806">
        <w:rPr>
          <w:rFonts w:ascii="Book Antiqua"/>
          <w:i/>
          <w:spacing w:val="-2"/>
          <w:w w:val="110"/>
          <w:sz w:val="18"/>
        </w:rPr>
        <w:t>reduction/managing-use-and-reuse-</w:t>
      </w:r>
      <w:r w:rsidRPr="00283806">
        <w:rPr>
          <w:rFonts w:ascii="Book Antiqua"/>
          <w:i/>
          <w:spacing w:val="80"/>
          <w:w w:val="150"/>
          <w:sz w:val="18"/>
        </w:rPr>
        <w:t xml:space="preserve"> </w:t>
      </w:r>
      <w:proofErr w:type="spellStart"/>
      <w:r w:rsidRPr="00283806">
        <w:rPr>
          <w:rFonts w:ascii="Book Antiqua"/>
          <w:i/>
          <w:spacing w:val="-2"/>
          <w:w w:val="110"/>
          <w:sz w:val="18"/>
        </w:rPr>
        <w:t>hfcs</w:t>
      </w:r>
      <w:proofErr w:type="spellEnd"/>
      <w:r w:rsidRPr="00283806">
        <w:rPr>
          <w:rFonts w:ascii="Book Antiqua"/>
          <w:i/>
          <w:spacing w:val="-2"/>
          <w:w w:val="110"/>
          <w:sz w:val="18"/>
        </w:rPr>
        <w:t>-and-substitutes</w:t>
      </w:r>
      <w:r w:rsidRPr="00283806">
        <w:rPr>
          <w:spacing w:val="-2"/>
          <w:w w:val="110"/>
          <w:sz w:val="18"/>
        </w:rPr>
        <w:t>.</w:t>
      </w:r>
    </w:p>
    <w:p w14:paraId="15E31C72" w14:textId="77777777" w:rsidR="00D67C1E" w:rsidRPr="00283806" w:rsidRDefault="001265CA">
      <w:pPr>
        <w:pStyle w:val="BodyText"/>
        <w:spacing w:line="216" w:lineRule="auto"/>
        <w:ind w:right="25" w:firstLine="180"/>
      </w:pPr>
      <w:r w:rsidRPr="00283806">
        <w:rPr>
          <w:rFonts w:ascii="Book Antiqua"/>
          <w:i/>
          <w:w w:val="105"/>
        </w:rPr>
        <w:t xml:space="preserve">Comment: </w:t>
      </w:r>
      <w:r w:rsidRPr="00283806">
        <w:rPr>
          <w:w w:val="105"/>
        </w:rPr>
        <w:t>One commenter suggested that recordkeeping and reporting</w:t>
      </w:r>
    </w:p>
    <w:p w14:paraId="44C70E5E" w14:textId="77777777" w:rsidR="00D67C1E" w:rsidRPr="00283806" w:rsidRDefault="001265CA">
      <w:pPr>
        <w:pStyle w:val="BodyText"/>
        <w:spacing w:line="228" w:lineRule="auto"/>
        <w:ind w:right="87"/>
      </w:pPr>
      <w:r w:rsidRPr="00283806">
        <w:rPr>
          <w:w w:val="105"/>
        </w:rPr>
        <w:t>requirements should not apply to residences, families, and landlords unless a threshold of several owned units is surpassed.</w:t>
      </w:r>
    </w:p>
    <w:p w14:paraId="237EF488" w14:textId="77777777" w:rsidR="00D67C1E" w:rsidRPr="00283806" w:rsidRDefault="001265CA">
      <w:pPr>
        <w:pStyle w:val="BodyText"/>
        <w:spacing w:line="216" w:lineRule="auto"/>
        <w:ind w:right="25" w:firstLine="180"/>
      </w:pPr>
      <w:r w:rsidRPr="00283806">
        <w:rPr>
          <w:rFonts w:ascii="Book Antiqua"/>
          <w:i/>
          <w:w w:val="110"/>
        </w:rPr>
        <w:t>Response:</w:t>
      </w:r>
      <w:r w:rsidRPr="00283806">
        <w:rPr>
          <w:rFonts w:ascii="Book Antiqua"/>
          <w:i/>
          <w:spacing w:val="-3"/>
          <w:w w:val="110"/>
        </w:rPr>
        <w:t xml:space="preserve"> </w:t>
      </w:r>
      <w:r w:rsidRPr="00283806">
        <w:rPr>
          <w:w w:val="110"/>
        </w:rPr>
        <w:t>As previously discussed in section IV.C.2 of this preamble, EPA is</w:t>
      </w:r>
    </w:p>
    <w:p w14:paraId="5877CAB7" w14:textId="77777777" w:rsidR="00D67C1E" w:rsidRPr="00283806" w:rsidRDefault="001265CA">
      <w:pPr>
        <w:pStyle w:val="BodyText"/>
        <w:spacing w:line="228" w:lineRule="auto"/>
        <w:ind w:right="87"/>
      </w:pPr>
      <w:r w:rsidRPr="00283806">
        <w:rPr>
          <w:w w:val="105"/>
        </w:rPr>
        <w:t>exempting appliances in the residential and light commercial air conditioning and heat pump subsector from the leak repair provisions of the final rule and those appliances are not subject to recordkeeping and reporting. EPA did not propose and is not finalizing any recordkeeping and reporting requirements for homeowners or landlords using air conditioning appliances in this subsector.</w:t>
      </w:r>
    </w:p>
    <w:p w14:paraId="06A8A8FF" w14:textId="77777777" w:rsidR="00D67C1E" w:rsidRPr="00283806" w:rsidRDefault="001265CA">
      <w:pPr>
        <w:pStyle w:val="ListParagraph"/>
        <w:numPr>
          <w:ilvl w:val="1"/>
          <w:numId w:val="64"/>
        </w:numPr>
        <w:tabs>
          <w:tab w:val="left" w:pos="389"/>
        </w:tabs>
        <w:spacing w:before="69" w:line="220" w:lineRule="auto"/>
        <w:ind w:right="462" w:firstLine="0"/>
        <w:rPr>
          <w:rFonts w:ascii="Book Antiqua"/>
          <w:i/>
          <w:sz w:val="18"/>
        </w:rPr>
      </w:pPr>
      <w:r w:rsidRPr="00283806">
        <w:rPr>
          <w:rFonts w:ascii="Book Antiqua"/>
          <w:i/>
          <w:w w:val="115"/>
          <w:sz w:val="18"/>
        </w:rPr>
        <w:t>How is EPA establishing requirements</w:t>
      </w:r>
      <w:r w:rsidRPr="00283806">
        <w:rPr>
          <w:rFonts w:ascii="Book Antiqua"/>
          <w:i/>
          <w:spacing w:val="-12"/>
          <w:w w:val="115"/>
          <w:sz w:val="18"/>
        </w:rPr>
        <w:t xml:space="preserve"> </w:t>
      </w:r>
      <w:r w:rsidRPr="00283806">
        <w:rPr>
          <w:rFonts w:ascii="Book Antiqua"/>
          <w:i/>
          <w:w w:val="115"/>
          <w:sz w:val="18"/>
        </w:rPr>
        <w:t>for</w:t>
      </w:r>
      <w:r w:rsidRPr="00283806">
        <w:rPr>
          <w:rFonts w:ascii="Book Antiqua"/>
          <w:i/>
          <w:spacing w:val="-12"/>
          <w:w w:val="115"/>
          <w:sz w:val="18"/>
        </w:rPr>
        <w:t xml:space="preserve"> </w:t>
      </w:r>
      <w:r w:rsidRPr="00283806">
        <w:rPr>
          <w:rFonts w:ascii="Book Antiqua"/>
          <w:i/>
          <w:w w:val="115"/>
          <w:sz w:val="18"/>
        </w:rPr>
        <w:t>the</w:t>
      </w:r>
      <w:r w:rsidRPr="00283806">
        <w:rPr>
          <w:rFonts w:ascii="Book Antiqua"/>
          <w:i/>
          <w:spacing w:val="-12"/>
          <w:w w:val="115"/>
          <w:sz w:val="18"/>
        </w:rPr>
        <w:t xml:space="preserve"> </w:t>
      </w:r>
      <w:r w:rsidRPr="00283806">
        <w:rPr>
          <w:rFonts w:ascii="Book Antiqua"/>
          <w:i/>
          <w:w w:val="115"/>
          <w:sz w:val="18"/>
        </w:rPr>
        <w:t>installation</w:t>
      </w:r>
      <w:r w:rsidRPr="00283806">
        <w:rPr>
          <w:rFonts w:ascii="Book Antiqua"/>
          <w:i/>
          <w:spacing w:val="-12"/>
          <w:w w:val="115"/>
          <w:sz w:val="18"/>
        </w:rPr>
        <w:t xml:space="preserve"> </w:t>
      </w:r>
      <w:r w:rsidRPr="00283806">
        <w:rPr>
          <w:rFonts w:ascii="Book Antiqua"/>
          <w:i/>
          <w:w w:val="115"/>
          <w:sz w:val="18"/>
        </w:rPr>
        <w:t>of automatic leak detection systems?</w:t>
      </w:r>
    </w:p>
    <w:p w14:paraId="0F68024D" w14:textId="77777777" w:rsidR="00D67C1E" w:rsidRPr="00283806" w:rsidRDefault="001265CA">
      <w:pPr>
        <w:pStyle w:val="BodyText"/>
        <w:spacing w:before="56" w:line="228" w:lineRule="auto"/>
        <w:ind w:right="46" w:firstLine="180"/>
      </w:pPr>
      <w:r w:rsidRPr="00283806">
        <w:rPr>
          <w:w w:val="105"/>
        </w:rPr>
        <w:t xml:space="preserve">EPA is finalizing aspects of the proposed ALD requirements, with modifications after consideration of the comments and information received on the proposed rule. EPA is finalizing that ALD systems must be installed and used for new and </w:t>
      </w:r>
      <w:proofErr w:type="gramStart"/>
      <w:r w:rsidRPr="00283806">
        <w:rPr>
          <w:w w:val="105"/>
        </w:rPr>
        <w:t>certain existing refrigerant-</w:t>
      </w:r>
      <w:proofErr w:type="gramEnd"/>
      <w:r w:rsidRPr="00283806">
        <w:rPr>
          <w:w w:val="105"/>
        </w:rPr>
        <w:t xml:space="preserve"> containing appliances in the IPR and commercial refrigeration subsectors</w:t>
      </w:r>
      <w:r w:rsidRPr="00283806">
        <w:rPr>
          <w:spacing w:val="40"/>
          <w:w w:val="105"/>
        </w:rPr>
        <w:t xml:space="preserve"> </w:t>
      </w:r>
      <w:r w:rsidRPr="00283806">
        <w:rPr>
          <w:w w:val="105"/>
        </w:rPr>
        <w:t>with a charge size of 1,500 pounds or</w:t>
      </w:r>
    </w:p>
    <w:p w14:paraId="242CF846" w14:textId="77777777" w:rsidR="00D67C1E" w:rsidRPr="00283806" w:rsidRDefault="001265CA">
      <w:pPr>
        <w:pStyle w:val="BodyText"/>
        <w:spacing w:before="132" w:line="230" w:lineRule="auto"/>
        <w:ind w:left="155" w:right="18"/>
      </w:pPr>
      <w:r w:rsidRPr="00283806">
        <w:br w:type="column"/>
      </w:r>
      <w:r w:rsidRPr="00283806">
        <w:rPr>
          <w:w w:val="105"/>
        </w:rPr>
        <w:t xml:space="preserve">more. This provision applies to those refrigerant-containing appliances in the IPR or commercial refrigeration subsector that </w:t>
      </w:r>
      <w:proofErr w:type="gramStart"/>
      <w:r w:rsidRPr="00283806">
        <w:rPr>
          <w:w w:val="105"/>
        </w:rPr>
        <w:t>contain</w:t>
      </w:r>
      <w:proofErr w:type="gramEnd"/>
      <w:r w:rsidRPr="00283806">
        <w:rPr>
          <w:w w:val="105"/>
        </w:rPr>
        <w:t xml:space="preserve"> </w:t>
      </w:r>
      <w:proofErr w:type="gramStart"/>
      <w:r w:rsidRPr="00283806">
        <w:rPr>
          <w:w w:val="105"/>
        </w:rPr>
        <w:t>an HFC</w:t>
      </w:r>
      <w:proofErr w:type="gramEnd"/>
      <w:r w:rsidRPr="00283806">
        <w:rPr>
          <w:w w:val="105"/>
        </w:rPr>
        <w:t xml:space="preserve"> or a substitute for an HFC with a GWP</w:t>
      </w:r>
      <w:r w:rsidRPr="00283806">
        <w:rPr>
          <w:spacing w:val="80"/>
          <w:w w:val="105"/>
        </w:rPr>
        <w:t xml:space="preserve"> </w:t>
      </w:r>
      <w:r w:rsidRPr="00283806">
        <w:rPr>
          <w:w w:val="105"/>
        </w:rPr>
        <w:t xml:space="preserve">greater than 53. In the proposal, new refrigerant-containing appliances installed after 60 days of the publication of the final rule in the </w:t>
      </w:r>
      <w:r w:rsidRPr="00283806">
        <w:rPr>
          <w:rFonts w:ascii="Book Antiqua"/>
          <w:b/>
          <w:w w:val="105"/>
        </w:rPr>
        <w:t xml:space="preserve">Federal Register </w:t>
      </w:r>
      <w:r w:rsidRPr="00283806">
        <w:rPr>
          <w:w w:val="105"/>
        </w:rPr>
        <w:t xml:space="preserve">were required to install and use an ALD within 30 days of appliance installation. EPA proposed that existing refrigerant- containing appliances </w:t>
      </w:r>
      <w:proofErr w:type="gramStart"/>
      <w:r w:rsidRPr="00283806">
        <w:rPr>
          <w:w w:val="105"/>
        </w:rPr>
        <w:t>installed before</w:t>
      </w:r>
      <w:proofErr w:type="gramEnd"/>
      <w:r w:rsidRPr="00283806">
        <w:rPr>
          <w:spacing w:val="80"/>
          <w:w w:val="105"/>
        </w:rPr>
        <w:t xml:space="preserve"> </w:t>
      </w:r>
      <w:r w:rsidRPr="00283806">
        <w:rPr>
          <w:w w:val="105"/>
        </w:rPr>
        <w:t xml:space="preserve">60 days after the date of publication of the final rule in the </w:t>
      </w:r>
      <w:r w:rsidRPr="00283806">
        <w:rPr>
          <w:rFonts w:ascii="Book Antiqua"/>
          <w:b/>
          <w:w w:val="105"/>
        </w:rPr>
        <w:t xml:space="preserve">Federal Register </w:t>
      </w:r>
      <w:r w:rsidRPr="00283806">
        <w:rPr>
          <w:w w:val="105"/>
        </w:rPr>
        <w:t>were required to install and use an ALD system by one year after the date of publication of the final rule in the</w:t>
      </w:r>
      <w:r w:rsidRPr="00283806">
        <w:rPr>
          <w:spacing w:val="40"/>
          <w:w w:val="105"/>
        </w:rPr>
        <w:t xml:space="preserve"> </w:t>
      </w:r>
      <w:r w:rsidRPr="00283806">
        <w:rPr>
          <w:rFonts w:ascii="Book Antiqua"/>
          <w:b/>
          <w:w w:val="105"/>
        </w:rPr>
        <w:t>Federal Register</w:t>
      </w:r>
      <w:r w:rsidRPr="00283806">
        <w:rPr>
          <w:w w:val="105"/>
        </w:rPr>
        <w:t>. EPA is finalizing that beginning January 1, 2026, new refrigerant-containing appliances with a full charge of 1,500-pounds or greater in the IPR and commercial refrigeration subsectors are required to install an</w:t>
      </w:r>
      <w:r w:rsidRPr="00283806">
        <w:rPr>
          <w:spacing w:val="80"/>
          <w:w w:val="150"/>
        </w:rPr>
        <w:t xml:space="preserve"> </w:t>
      </w:r>
      <w:r w:rsidRPr="00283806">
        <w:rPr>
          <w:w w:val="105"/>
        </w:rPr>
        <w:t>ALD system as a part of the overall appliance installation, either during the installation of the new appliance or within 30 days from when the new appliance is installed. Generally depending on the type of ALD system,</w:t>
      </w:r>
    </w:p>
    <w:p w14:paraId="6C3D6706" w14:textId="77777777" w:rsidR="00D67C1E" w:rsidRPr="00283806" w:rsidRDefault="001265CA">
      <w:pPr>
        <w:pStyle w:val="BodyText"/>
        <w:spacing w:before="16" w:line="232" w:lineRule="auto"/>
        <w:ind w:left="155" w:right="38"/>
      </w:pPr>
      <w:proofErr w:type="gramStart"/>
      <w:r w:rsidRPr="00283806">
        <w:rPr>
          <w:w w:val="105"/>
        </w:rPr>
        <w:t>it</w:t>
      </w:r>
      <w:proofErr w:type="gramEnd"/>
      <w:r w:rsidRPr="00283806">
        <w:rPr>
          <w:w w:val="105"/>
        </w:rPr>
        <w:t xml:space="preserve"> may be more practicable to install an ALD system during the appliance installation. The compliance date for the installation and use of ALD systems is over one year later than proposed to provide additional time for new</w:t>
      </w:r>
      <w:r w:rsidRPr="00283806">
        <w:rPr>
          <w:spacing w:val="40"/>
          <w:w w:val="105"/>
        </w:rPr>
        <w:t xml:space="preserve"> </w:t>
      </w:r>
      <w:r w:rsidRPr="00283806">
        <w:rPr>
          <w:w w:val="105"/>
        </w:rPr>
        <w:t>appliance owners to procure and install ALD systems because additional time</w:t>
      </w:r>
      <w:r w:rsidRPr="00283806">
        <w:rPr>
          <w:spacing w:val="40"/>
          <w:w w:val="105"/>
        </w:rPr>
        <w:t xml:space="preserve"> </w:t>
      </w:r>
      <w:r w:rsidRPr="00283806">
        <w:rPr>
          <w:w w:val="105"/>
        </w:rPr>
        <w:t>may be needed to secure a contractor or technician to install the ALD system, or there may be unforeseen delays in acquiring an ALD system. For existing</w:t>
      </w:r>
      <w:r w:rsidRPr="00283806">
        <w:rPr>
          <w:spacing w:val="40"/>
          <w:w w:val="105"/>
        </w:rPr>
        <w:t xml:space="preserve"> </w:t>
      </w:r>
      <w:r w:rsidRPr="00283806">
        <w:rPr>
          <w:w w:val="105"/>
        </w:rPr>
        <w:t>IPR and commercial refrigeration appliances installed on or after January</w:t>
      </w:r>
      <w:r w:rsidRPr="00283806">
        <w:rPr>
          <w:spacing w:val="80"/>
          <w:w w:val="105"/>
        </w:rPr>
        <w:t xml:space="preserve"> </w:t>
      </w:r>
      <w:r w:rsidRPr="00283806">
        <w:rPr>
          <w:w w:val="105"/>
        </w:rPr>
        <w:t xml:space="preserve">1, 2017, and before January 1, 2026, EPA is </w:t>
      </w:r>
      <w:proofErr w:type="gramStart"/>
      <w:r w:rsidRPr="00283806">
        <w:rPr>
          <w:w w:val="105"/>
        </w:rPr>
        <w:t>requiring</w:t>
      </w:r>
      <w:proofErr w:type="gramEnd"/>
      <w:r w:rsidRPr="00283806">
        <w:rPr>
          <w:w w:val="105"/>
        </w:rPr>
        <w:t xml:space="preserve"> that ALD systems be</w:t>
      </w:r>
      <w:r w:rsidRPr="00283806">
        <w:rPr>
          <w:spacing w:val="80"/>
          <w:w w:val="105"/>
        </w:rPr>
        <w:t xml:space="preserve"> </w:t>
      </w:r>
      <w:r w:rsidRPr="00283806">
        <w:rPr>
          <w:w w:val="105"/>
        </w:rPr>
        <w:t>installed and used by January 1, 2027.</w:t>
      </w:r>
    </w:p>
    <w:p w14:paraId="0AA649F8" w14:textId="77777777" w:rsidR="00D67C1E" w:rsidRPr="00283806" w:rsidRDefault="001265CA">
      <w:pPr>
        <w:pStyle w:val="BodyText"/>
        <w:spacing w:line="190" w:lineRule="exact"/>
        <w:ind w:left="155"/>
      </w:pPr>
      <w:r w:rsidRPr="00283806">
        <w:rPr>
          <w:w w:val="105"/>
        </w:rPr>
        <w:t>The</w:t>
      </w:r>
      <w:r w:rsidRPr="00283806">
        <w:rPr>
          <w:spacing w:val="13"/>
          <w:w w:val="105"/>
        </w:rPr>
        <w:t xml:space="preserve"> </w:t>
      </w:r>
      <w:r w:rsidRPr="00283806">
        <w:rPr>
          <w:w w:val="105"/>
        </w:rPr>
        <w:t>change</w:t>
      </w:r>
      <w:r w:rsidRPr="00283806">
        <w:rPr>
          <w:spacing w:val="14"/>
          <w:w w:val="105"/>
        </w:rPr>
        <w:t xml:space="preserve"> </w:t>
      </w:r>
      <w:r w:rsidRPr="00283806">
        <w:rPr>
          <w:w w:val="105"/>
        </w:rPr>
        <w:t>to</w:t>
      </w:r>
      <w:r w:rsidRPr="00283806">
        <w:rPr>
          <w:spacing w:val="13"/>
          <w:w w:val="105"/>
        </w:rPr>
        <w:t xml:space="preserve"> </w:t>
      </w:r>
      <w:r w:rsidRPr="00283806">
        <w:rPr>
          <w:w w:val="105"/>
        </w:rPr>
        <w:t>the</w:t>
      </w:r>
      <w:r w:rsidRPr="00283806">
        <w:rPr>
          <w:spacing w:val="14"/>
          <w:w w:val="105"/>
        </w:rPr>
        <w:t xml:space="preserve"> </w:t>
      </w:r>
      <w:r w:rsidRPr="00283806">
        <w:rPr>
          <w:w w:val="105"/>
        </w:rPr>
        <w:t>compliance</w:t>
      </w:r>
      <w:r w:rsidRPr="00283806">
        <w:rPr>
          <w:spacing w:val="13"/>
          <w:w w:val="105"/>
        </w:rPr>
        <w:t xml:space="preserve"> </w:t>
      </w:r>
      <w:r w:rsidRPr="00283806">
        <w:rPr>
          <w:w w:val="105"/>
        </w:rPr>
        <w:t>date</w:t>
      </w:r>
      <w:r w:rsidRPr="00283806">
        <w:rPr>
          <w:spacing w:val="13"/>
          <w:w w:val="105"/>
        </w:rPr>
        <w:t xml:space="preserve"> </w:t>
      </w:r>
      <w:r w:rsidRPr="00283806">
        <w:rPr>
          <w:spacing w:val="-5"/>
          <w:w w:val="105"/>
        </w:rPr>
        <w:t>and</w:t>
      </w:r>
    </w:p>
    <w:p w14:paraId="28705B14" w14:textId="77777777" w:rsidR="00D67C1E" w:rsidRPr="00283806" w:rsidRDefault="001265CA">
      <w:pPr>
        <w:pStyle w:val="BodyText"/>
        <w:spacing w:before="3" w:line="230" w:lineRule="auto"/>
        <w:ind w:left="155" w:right="117"/>
      </w:pPr>
      <w:r w:rsidRPr="00283806">
        <w:rPr>
          <w:w w:val="105"/>
        </w:rPr>
        <w:t>applicability for existing IPR and commercial refrigeration appliances with a full charge of 1,500 pounds or greater was informed by commenters and further considerations by EPA to ease potential supply issues and facilitate compliance with this</w:t>
      </w:r>
      <w:r w:rsidRPr="00283806">
        <w:rPr>
          <w:spacing w:val="40"/>
          <w:w w:val="105"/>
        </w:rPr>
        <w:t xml:space="preserve"> </w:t>
      </w:r>
      <w:r w:rsidRPr="00283806">
        <w:rPr>
          <w:w w:val="105"/>
        </w:rPr>
        <w:t>provision. For these appliances, the compliance date has been extended by one year (</w:t>
      </w:r>
      <w:r w:rsidRPr="00283806">
        <w:rPr>
          <w:rFonts w:ascii="Book Antiqua"/>
          <w:i/>
          <w:w w:val="105"/>
        </w:rPr>
        <w:t xml:space="preserve">i.e., </w:t>
      </w:r>
      <w:r w:rsidRPr="00283806">
        <w:rPr>
          <w:w w:val="105"/>
        </w:rPr>
        <w:t>to January 1, 2027) to allow additional time for existing appliances to comply with the</w:t>
      </w:r>
      <w:r w:rsidRPr="00283806">
        <w:rPr>
          <w:spacing w:val="40"/>
          <w:w w:val="105"/>
        </w:rPr>
        <w:t xml:space="preserve"> </w:t>
      </w:r>
      <w:r w:rsidRPr="00283806">
        <w:rPr>
          <w:w w:val="105"/>
        </w:rPr>
        <w:t>provision, and the applicability of appliances affected by this provision</w:t>
      </w:r>
      <w:r w:rsidRPr="00283806">
        <w:rPr>
          <w:spacing w:val="40"/>
          <w:w w:val="105"/>
        </w:rPr>
        <w:t xml:space="preserve"> </w:t>
      </w:r>
      <w:r w:rsidRPr="00283806">
        <w:rPr>
          <w:w w:val="105"/>
        </w:rPr>
        <w:t>has</w:t>
      </w:r>
      <w:r w:rsidRPr="00283806">
        <w:rPr>
          <w:spacing w:val="-2"/>
          <w:w w:val="105"/>
        </w:rPr>
        <w:t xml:space="preserve"> </w:t>
      </w:r>
      <w:r w:rsidRPr="00283806">
        <w:rPr>
          <w:w w:val="105"/>
        </w:rPr>
        <w:t>been</w:t>
      </w:r>
      <w:r w:rsidRPr="00283806">
        <w:rPr>
          <w:spacing w:val="-2"/>
          <w:w w:val="105"/>
        </w:rPr>
        <w:t xml:space="preserve"> </w:t>
      </w:r>
      <w:r w:rsidRPr="00283806">
        <w:rPr>
          <w:w w:val="105"/>
        </w:rPr>
        <w:t>altered</w:t>
      </w:r>
      <w:r w:rsidRPr="00283806">
        <w:rPr>
          <w:spacing w:val="-2"/>
          <w:w w:val="105"/>
        </w:rPr>
        <w:t xml:space="preserve"> </w:t>
      </w:r>
      <w:r w:rsidRPr="00283806">
        <w:rPr>
          <w:w w:val="105"/>
        </w:rPr>
        <w:t>to</w:t>
      </w:r>
      <w:r w:rsidRPr="00283806">
        <w:rPr>
          <w:spacing w:val="-2"/>
          <w:w w:val="105"/>
        </w:rPr>
        <w:t xml:space="preserve"> </w:t>
      </w:r>
      <w:r w:rsidRPr="00283806">
        <w:rPr>
          <w:w w:val="105"/>
        </w:rPr>
        <w:t>ensure</w:t>
      </w:r>
      <w:r w:rsidRPr="00283806">
        <w:rPr>
          <w:spacing w:val="-2"/>
          <w:w w:val="105"/>
        </w:rPr>
        <w:t xml:space="preserve"> </w:t>
      </w:r>
      <w:r w:rsidRPr="00283806">
        <w:rPr>
          <w:w w:val="105"/>
        </w:rPr>
        <w:t>that</w:t>
      </w:r>
      <w:r w:rsidRPr="00283806">
        <w:rPr>
          <w:spacing w:val="-2"/>
          <w:w w:val="105"/>
        </w:rPr>
        <w:t xml:space="preserve"> </w:t>
      </w:r>
      <w:r w:rsidRPr="00283806">
        <w:rPr>
          <w:w w:val="105"/>
        </w:rPr>
        <w:t>a</w:t>
      </w:r>
      <w:r w:rsidRPr="00283806">
        <w:rPr>
          <w:spacing w:val="-2"/>
          <w:w w:val="105"/>
        </w:rPr>
        <w:t xml:space="preserve"> </w:t>
      </w:r>
      <w:r w:rsidRPr="00283806">
        <w:rPr>
          <w:w w:val="105"/>
        </w:rPr>
        <w:t>proper supply of ALD systems is available to owners and operators. Further discussion of this change can be found later in this section.</w:t>
      </w:r>
    </w:p>
    <w:p w14:paraId="7962D9A4" w14:textId="77777777" w:rsidR="00D67C1E" w:rsidRPr="00283806" w:rsidRDefault="001265CA">
      <w:pPr>
        <w:pStyle w:val="BodyText"/>
        <w:spacing w:before="131" w:line="225" w:lineRule="auto"/>
        <w:ind w:left="144" w:right="161" w:firstLine="180"/>
      </w:pPr>
      <w:r w:rsidRPr="00283806">
        <w:br w:type="column"/>
      </w:r>
      <w:r w:rsidRPr="00283806">
        <w:rPr>
          <w:w w:val="105"/>
        </w:rPr>
        <w:t>As discussed in the proposal, ALD systems serve the purposes described in subsection</w:t>
      </w:r>
      <w:r w:rsidRPr="00283806">
        <w:rPr>
          <w:spacing w:val="-1"/>
          <w:w w:val="105"/>
        </w:rPr>
        <w:t xml:space="preserve"> </w:t>
      </w:r>
      <w:r w:rsidRPr="00283806">
        <w:rPr>
          <w:w w:val="105"/>
        </w:rPr>
        <w:t>(h)(1)</w:t>
      </w:r>
      <w:r w:rsidRPr="00283806">
        <w:rPr>
          <w:spacing w:val="-1"/>
          <w:w w:val="105"/>
        </w:rPr>
        <w:t xml:space="preserve"> </w:t>
      </w:r>
      <w:r w:rsidRPr="00283806">
        <w:rPr>
          <w:w w:val="105"/>
        </w:rPr>
        <w:t>to</w:t>
      </w:r>
      <w:r w:rsidRPr="00283806">
        <w:rPr>
          <w:spacing w:val="-1"/>
          <w:w w:val="105"/>
        </w:rPr>
        <w:t xml:space="preserve"> </w:t>
      </w:r>
      <w:r w:rsidRPr="00283806">
        <w:rPr>
          <w:w w:val="105"/>
        </w:rPr>
        <w:t>control</w:t>
      </w:r>
      <w:r w:rsidRPr="00283806">
        <w:rPr>
          <w:spacing w:val="-1"/>
          <w:w w:val="105"/>
        </w:rPr>
        <w:t xml:space="preserve"> </w:t>
      </w:r>
      <w:r w:rsidRPr="00283806">
        <w:rPr>
          <w:w w:val="105"/>
        </w:rPr>
        <w:t>any</w:t>
      </w:r>
      <w:r w:rsidRPr="00283806">
        <w:rPr>
          <w:spacing w:val="-1"/>
          <w:w w:val="105"/>
        </w:rPr>
        <w:t xml:space="preserve"> </w:t>
      </w:r>
      <w:r w:rsidRPr="00283806">
        <w:rPr>
          <w:w w:val="105"/>
        </w:rPr>
        <w:t>practice, process, or activity regarding servicing, repair,</w:t>
      </w:r>
      <w:r w:rsidRPr="00283806">
        <w:rPr>
          <w:spacing w:val="40"/>
          <w:w w:val="105"/>
        </w:rPr>
        <w:t xml:space="preserve"> </w:t>
      </w:r>
      <w:r w:rsidRPr="00283806">
        <w:rPr>
          <w:w w:val="105"/>
        </w:rPr>
        <w:t>or</w:t>
      </w:r>
      <w:r w:rsidRPr="00283806">
        <w:rPr>
          <w:spacing w:val="40"/>
          <w:w w:val="105"/>
        </w:rPr>
        <w:t xml:space="preserve"> </w:t>
      </w:r>
      <w:r w:rsidRPr="00283806">
        <w:rPr>
          <w:w w:val="105"/>
        </w:rPr>
        <w:t>installation</w:t>
      </w:r>
      <w:r w:rsidRPr="00283806">
        <w:rPr>
          <w:spacing w:val="40"/>
          <w:w w:val="105"/>
        </w:rPr>
        <w:t xml:space="preserve"> </w:t>
      </w:r>
      <w:r w:rsidRPr="00283806">
        <w:rPr>
          <w:w w:val="105"/>
        </w:rPr>
        <w:t>of</w:t>
      </w:r>
      <w:r w:rsidRPr="00283806">
        <w:rPr>
          <w:spacing w:val="40"/>
          <w:w w:val="105"/>
        </w:rPr>
        <w:t xml:space="preserve"> </w:t>
      </w:r>
      <w:r w:rsidRPr="00283806">
        <w:rPr>
          <w:w w:val="105"/>
        </w:rPr>
        <w:t>such appliances, that involves a regulated substance or a substitute for a regulated substance. When an ALD system detects</w:t>
      </w:r>
      <w:r w:rsidRPr="00283806">
        <w:rPr>
          <w:spacing w:val="40"/>
          <w:w w:val="105"/>
        </w:rPr>
        <w:t xml:space="preserve"> </w:t>
      </w:r>
      <w:r w:rsidRPr="00283806">
        <w:rPr>
          <w:w w:val="105"/>
        </w:rPr>
        <w:t>a leak in a refrigerant-containing appliance</w:t>
      </w:r>
      <w:r w:rsidRPr="00283806">
        <w:rPr>
          <w:spacing w:val="40"/>
          <w:w w:val="105"/>
        </w:rPr>
        <w:t xml:space="preserve"> </w:t>
      </w:r>
      <w:r w:rsidRPr="00283806">
        <w:rPr>
          <w:w w:val="105"/>
        </w:rPr>
        <w:t>covered</w:t>
      </w:r>
      <w:r w:rsidRPr="00283806">
        <w:rPr>
          <w:spacing w:val="40"/>
          <w:w w:val="105"/>
        </w:rPr>
        <w:t xml:space="preserve"> </w:t>
      </w:r>
      <w:r w:rsidRPr="00283806">
        <w:rPr>
          <w:w w:val="105"/>
        </w:rPr>
        <w:t>by</w:t>
      </w:r>
      <w:r w:rsidRPr="00283806">
        <w:rPr>
          <w:spacing w:val="40"/>
          <w:w w:val="105"/>
        </w:rPr>
        <w:t xml:space="preserve"> </w:t>
      </w:r>
      <w:r w:rsidRPr="00283806">
        <w:rPr>
          <w:w w:val="105"/>
        </w:rPr>
        <w:t>this</w:t>
      </w:r>
      <w:r w:rsidRPr="00283806">
        <w:rPr>
          <w:spacing w:val="40"/>
          <w:w w:val="105"/>
        </w:rPr>
        <w:t xml:space="preserve"> </w:t>
      </w:r>
      <w:r w:rsidRPr="00283806">
        <w:rPr>
          <w:w w:val="105"/>
        </w:rPr>
        <w:t>rule,</w:t>
      </w:r>
      <w:r w:rsidRPr="00283806">
        <w:rPr>
          <w:spacing w:val="40"/>
          <w:w w:val="105"/>
        </w:rPr>
        <w:t xml:space="preserve"> </w:t>
      </w:r>
      <w:r w:rsidRPr="00283806">
        <w:rPr>
          <w:w w:val="105"/>
        </w:rPr>
        <w:t>an owner or operator of the appliance is required to either perform practices, processes,</w:t>
      </w:r>
      <w:r w:rsidRPr="00283806">
        <w:rPr>
          <w:spacing w:val="-2"/>
          <w:w w:val="105"/>
        </w:rPr>
        <w:t xml:space="preserve"> </w:t>
      </w:r>
      <w:r w:rsidRPr="00283806">
        <w:rPr>
          <w:w w:val="105"/>
        </w:rPr>
        <w:t>and/or</w:t>
      </w:r>
      <w:r w:rsidRPr="00283806">
        <w:rPr>
          <w:spacing w:val="-2"/>
          <w:w w:val="105"/>
        </w:rPr>
        <w:t xml:space="preserve"> </w:t>
      </w:r>
      <w:r w:rsidRPr="00283806">
        <w:rPr>
          <w:w w:val="105"/>
        </w:rPr>
        <w:t>activities</w:t>
      </w:r>
      <w:r w:rsidRPr="00283806">
        <w:rPr>
          <w:spacing w:val="-2"/>
          <w:w w:val="105"/>
        </w:rPr>
        <w:t xml:space="preserve"> </w:t>
      </w:r>
      <w:r w:rsidRPr="00283806">
        <w:rPr>
          <w:w w:val="105"/>
        </w:rPr>
        <w:t>to</w:t>
      </w:r>
      <w:r w:rsidRPr="00283806">
        <w:rPr>
          <w:spacing w:val="-2"/>
          <w:w w:val="105"/>
        </w:rPr>
        <w:t xml:space="preserve"> </w:t>
      </w:r>
      <w:r w:rsidRPr="00283806">
        <w:rPr>
          <w:w w:val="105"/>
        </w:rPr>
        <w:t>determine whether service or repair of the appliance</w:t>
      </w:r>
      <w:r w:rsidRPr="00283806">
        <w:rPr>
          <w:spacing w:val="40"/>
          <w:w w:val="105"/>
        </w:rPr>
        <w:t xml:space="preserve"> </w:t>
      </w:r>
      <w:r w:rsidRPr="00283806">
        <w:rPr>
          <w:w w:val="105"/>
        </w:rPr>
        <w:t>is</w:t>
      </w:r>
      <w:r w:rsidRPr="00283806">
        <w:rPr>
          <w:spacing w:val="40"/>
          <w:w w:val="105"/>
        </w:rPr>
        <w:t xml:space="preserve"> </w:t>
      </w:r>
      <w:r w:rsidRPr="00283806">
        <w:rPr>
          <w:w w:val="105"/>
        </w:rPr>
        <w:t>necessary</w:t>
      </w:r>
      <w:r w:rsidRPr="00283806">
        <w:rPr>
          <w:spacing w:val="40"/>
          <w:w w:val="105"/>
        </w:rPr>
        <w:t xml:space="preserve"> </w:t>
      </w:r>
      <w:r w:rsidRPr="00283806">
        <w:rPr>
          <w:w w:val="105"/>
        </w:rPr>
        <w:t>(</w:t>
      </w:r>
      <w:r w:rsidRPr="00283806">
        <w:rPr>
          <w:rFonts w:ascii="Book Antiqua"/>
          <w:i/>
          <w:w w:val="105"/>
        </w:rPr>
        <w:t>i.e.,</w:t>
      </w:r>
      <w:r w:rsidRPr="00283806">
        <w:rPr>
          <w:rFonts w:ascii="Book Antiqua"/>
          <w:i/>
          <w:spacing w:val="40"/>
          <w:w w:val="105"/>
        </w:rPr>
        <w:t xml:space="preserve"> </w:t>
      </w:r>
      <w:r w:rsidRPr="00283806">
        <w:rPr>
          <w:w w:val="105"/>
        </w:rPr>
        <w:t>calculating a leak rate and assessing it compared to the applicable leak rate for the type of appliance) or, alternatively,</w:t>
      </w:r>
      <w:r w:rsidRPr="00283806">
        <w:rPr>
          <w:spacing w:val="40"/>
          <w:w w:val="105"/>
        </w:rPr>
        <w:t xml:space="preserve"> </w:t>
      </w:r>
      <w:r w:rsidRPr="00283806">
        <w:rPr>
          <w:w w:val="105"/>
        </w:rPr>
        <w:t>preemptively repair the leak (</w:t>
      </w:r>
      <w:r w:rsidRPr="00283806">
        <w:rPr>
          <w:rFonts w:ascii="Book Antiqua"/>
          <w:i/>
          <w:w w:val="105"/>
        </w:rPr>
        <w:t xml:space="preserve">i.e., </w:t>
      </w:r>
      <w:r w:rsidRPr="00283806">
        <w:rPr>
          <w:w w:val="105"/>
        </w:rPr>
        <w:t>before adding refrigerant and calculating the leak rate). The Agency is explicitly encouraging preemptive repair of a leak as</w:t>
      </w:r>
      <w:r w:rsidRPr="00283806">
        <w:rPr>
          <w:spacing w:val="40"/>
          <w:w w:val="105"/>
        </w:rPr>
        <w:t xml:space="preserve"> </w:t>
      </w:r>
      <w:r w:rsidRPr="00283806">
        <w:rPr>
          <w:w w:val="105"/>
        </w:rPr>
        <w:t>a</w:t>
      </w:r>
      <w:r w:rsidRPr="00283806">
        <w:rPr>
          <w:spacing w:val="40"/>
          <w:w w:val="105"/>
        </w:rPr>
        <w:t xml:space="preserve"> </w:t>
      </w:r>
      <w:r w:rsidRPr="00283806">
        <w:rPr>
          <w:w w:val="105"/>
        </w:rPr>
        <w:t>compliance</w:t>
      </w:r>
      <w:r w:rsidRPr="00283806">
        <w:rPr>
          <w:spacing w:val="40"/>
          <w:w w:val="105"/>
        </w:rPr>
        <w:t xml:space="preserve"> </w:t>
      </w:r>
      <w:r w:rsidRPr="00283806">
        <w:rPr>
          <w:w w:val="105"/>
        </w:rPr>
        <w:t>option</w:t>
      </w:r>
      <w:r w:rsidRPr="00283806">
        <w:rPr>
          <w:spacing w:val="40"/>
          <w:w w:val="105"/>
        </w:rPr>
        <w:t xml:space="preserve"> </w:t>
      </w:r>
      <w:r w:rsidRPr="00283806">
        <w:rPr>
          <w:w w:val="105"/>
        </w:rPr>
        <w:t>to</w:t>
      </w:r>
      <w:r w:rsidRPr="00283806">
        <w:rPr>
          <w:spacing w:val="40"/>
          <w:w w:val="105"/>
        </w:rPr>
        <w:t xml:space="preserve"> </w:t>
      </w:r>
      <w:r w:rsidRPr="00283806">
        <w:rPr>
          <w:w w:val="105"/>
        </w:rPr>
        <w:t>avoid</w:t>
      </w:r>
      <w:r w:rsidRPr="00283806">
        <w:rPr>
          <w:spacing w:val="40"/>
          <w:w w:val="105"/>
        </w:rPr>
        <w:t xml:space="preserve"> </w:t>
      </w:r>
      <w:r w:rsidRPr="00283806">
        <w:rPr>
          <w:w w:val="105"/>
        </w:rPr>
        <w:t>the need to add refrigerant to an appliance with a known leak (which would otherwise generally be necessary to calculate the leak rate and determine if the applicable leak rate is exceeded). If the preemptive repair is being used as</w:t>
      </w:r>
    </w:p>
    <w:p w14:paraId="60445E70" w14:textId="77777777" w:rsidR="00D67C1E" w:rsidRPr="00283806" w:rsidRDefault="001265CA">
      <w:pPr>
        <w:pStyle w:val="BodyText"/>
        <w:spacing w:before="25" w:line="228" w:lineRule="auto"/>
        <w:ind w:left="144" w:right="228"/>
      </w:pPr>
      <w:r w:rsidRPr="00283806">
        <w:rPr>
          <w:w w:val="105"/>
        </w:rPr>
        <w:t xml:space="preserve">a compliance option, it must occur within 30 days (or 120 days </w:t>
      </w:r>
      <w:proofErr w:type="gramStart"/>
      <w:r w:rsidRPr="00283806">
        <w:rPr>
          <w:w w:val="105"/>
        </w:rPr>
        <w:t>where</w:t>
      </w:r>
      <w:proofErr w:type="gramEnd"/>
      <w:r w:rsidRPr="00283806">
        <w:rPr>
          <w:w w:val="105"/>
        </w:rPr>
        <w:t xml:space="preserve"> an industrial process shutdown is necessary) of the alert. Taken together, these requirements are expected to facilitate prompt repair of leaks, which further helps minimize releases of regulated substances from equipment and maximize the amounts of regulated substances remaining in the equipment for eventual recovery and reclamation.</w:t>
      </w:r>
    </w:p>
    <w:p w14:paraId="39E7E440" w14:textId="77777777" w:rsidR="00D67C1E" w:rsidRPr="00283806" w:rsidRDefault="001265CA">
      <w:pPr>
        <w:pStyle w:val="BodyText"/>
        <w:spacing w:before="35" w:line="228" w:lineRule="auto"/>
        <w:ind w:left="144" w:right="143" w:firstLine="180"/>
      </w:pPr>
      <w:r w:rsidRPr="00283806">
        <w:rPr>
          <w:w w:val="105"/>
        </w:rPr>
        <w:t>In the case of preemptive repair, this compliance option provides the opportunity to repair an appliance that</w:t>
      </w:r>
      <w:r w:rsidRPr="00283806">
        <w:rPr>
          <w:spacing w:val="80"/>
          <w:w w:val="105"/>
        </w:rPr>
        <w:t xml:space="preserve"> </w:t>
      </w:r>
      <w:r w:rsidRPr="00283806">
        <w:rPr>
          <w:w w:val="105"/>
        </w:rPr>
        <w:t>is known to be leaking prior to the addition of refrigerant. When refrigerant is added to an appliance that underwent preemptive repair, a leak rate</w:t>
      </w:r>
      <w:r w:rsidRPr="00283806">
        <w:rPr>
          <w:spacing w:val="80"/>
          <w:w w:val="105"/>
        </w:rPr>
        <w:t xml:space="preserve"> </w:t>
      </w:r>
      <w:r w:rsidRPr="00283806">
        <w:rPr>
          <w:w w:val="105"/>
        </w:rPr>
        <w:t>calculation is still required after the addition of refrigerant. Owners or operators choosing to preemptively repair identified leaks per 40 CFR 84.108(h)(2)</w:t>
      </w:r>
      <w:r w:rsidRPr="00283806">
        <w:rPr>
          <w:spacing w:val="-4"/>
          <w:w w:val="105"/>
        </w:rPr>
        <w:t xml:space="preserve"> </w:t>
      </w:r>
      <w:r w:rsidRPr="00283806">
        <w:rPr>
          <w:w w:val="105"/>
        </w:rPr>
        <w:t>are</w:t>
      </w:r>
      <w:r w:rsidRPr="00283806">
        <w:rPr>
          <w:spacing w:val="-4"/>
          <w:w w:val="105"/>
        </w:rPr>
        <w:t xml:space="preserve"> </w:t>
      </w:r>
      <w:r w:rsidRPr="00283806">
        <w:rPr>
          <w:w w:val="105"/>
        </w:rPr>
        <w:t>not</w:t>
      </w:r>
      <w:r w:rsidRPr="00283806">
        <w:rPr>
          <w:spacing w:val="-4"/>
          <w:w w:val="105"/>
        </w:rPr>
        <w:t xml:space="preserve"> </w:t>
      </w:r>
      <w:r w:rsidRPr="00283806">
        <w:rPr>
          <w:w w:val="105"/>
        </w:rPr>
        <w:t>required</w:t>
      </w:r>
      <w:r w:rsidRPr="00283806">
        <w:rPr>
          <w:spacing w:val="-4"/>
          <w:w w:val="105"/>
        </w:rPr>
        <w:t xml:space="preserve"> </w:t>
      </w:r>
      <w:r w:rsidRPr="00283806">
        <w:rPr>
          <w:w w:val="105"/>
        </w:rPr>
        <w:t>to</w:t>
      </w:r>
      <w:r w:rsidRPr="00283806">
        <w:rPr>
          <w:spacing w:val="-4"/>
          <w:w w:val="105"/>
        </w:rPr>
        <w:t xml:space="preserve"> </w:t>
      </w:r>
      <w:r w:rsidRPr="00283806">
        <w:rPr>
          <w:w w:val="105"/>
        </w:rPr>
        <w:t>conduct an</w:t>
      </w:r>
      <w:r w:rsidRPr="00283806">
        <w:rPr>
          <w:spacing w:val="40"/>
          <w:w w:val="105"/>
        </w:rPr>
        <w:t xml:space="preserve"> </w:t>
      </w:r>
      <w:r w:rsidRPr="00283806">
        <w:rPr>
          <w:w w:val="105"/>
        </w:rPr>
        <w:t>initial</w:t>
      </w:r>
      <w:r w:rsidRPr="00283806">
        <w:rPr>
          <w:spacing w:val="40"/>
          <w:w w:val="105"/>
        </w:rPr>
        <w:t xml:space="preserve"> </w:t>
      </w:r>
      <w:r w:rsidRPr="00283806">
        <w:rPr>
          <w:w w:val="105"/>
        </w:rPr>
        <w:t>or</w:t>
      </w:r>
      <w:r w:rsidRPr="00283806">
        <w:rPr>
          <w:spacing w:val="40"/>
          <w:w w:val="105"/>
        </w:rPr>
        <w:t xml:space="preserve"> </w:t>
      </w:r>
      <w:r w:rsidRPr="00283806">
        <w:rPr>
          <w:w w:val="105"/>
        </w:rPr>
        <w:t>follow-up</w:t>
      </w:r>
      <w:r w:rsidRPr="00283806">
        <w:rPr>
          <w:spacing w:val="40"/>
          <w:w w:val="105"/>
        </w:rPr>
        <w:t xml:space="preserve"> </w:t>
      </w:r>
      <w:r w:rsidRPr="00283806">
        <w:rPr>
          <w:w w:val="105"/>
        </w:rPr>
        <w:t>verification</w:t>
      </w:r>
      <w:r w:rsidRPr="00283806">
        <w:rPr>
          <w:spacing w:val="40"/>
          <w:w w:val="105"/>
        </w:rPr>
        <w:t xml:space="preserve"> </w:t>
      </w:r>
      <w:r w:rsidRPr="00283806">
        <w:rPr>
          <w:w w:val="105"/>
        </w:rPr>
        <w:t>test at the time of leak repair, unless the calculated leak rate performed after refrigerant is added is above the applicable leak rate. If the refrigerant- containing appliance is found to be leaking above the applicable leak rate threshold after preemptive repair the</w:t>
      </w:r>
      <w:r w:rsidRPr="00283806">
        <w:rPr>
          <w:spacing w:val="80"/>
          <w:w w:val="105"/>
        </w:rPr>
        <w:t xml:space="preserve"> </w:t>
      </w:r>
      <w:r w:rsidRPr="00283806">
        <w:rPr>
          <w:w w:val="105"/>
        </w:rPr>
        <w:t>full suite of leak repair requirements (</w:t>
      </w:r>
      <w:r w:rsidRPr="00283806">
        <w:rPr>
          <w:rFonts w:ascii="Book Antiqua"/>
          <w:i/>
          <w:w w:val="105"/>
        </w:rPr>
        <w:t xml:space="preserve">e.g., </w:t>
      </w:r>
      <w:r w:rsidRPr="00283806">
        <w:rPr>
          <w:w w:val="105"/>
        </w:rPr>
        <w:t>initial and follow-up verification tests) will still apply. EPA clarifies that owners or operators using the rolling average method must continue to use</w:t>
      </w:r>
      <w:r w:rsidRPr="00283806">
        <w:rPr>
          <w:spacing w:val="80"/>
          <w:w w:val="105"/>
        </w:rPr>
        <w:t xml:space="preserve"> </w:t>
      </w:r>
      <w:r w:rsidRPr="00283806">
        <w:rPr>
          <w:w w:val="105"/>
        </w:rPr>
        <w:t>the date of the last successful follow-up verification test or 365 days, whichever</w:t>
      </w:r>
      <w:r w:rsidRPr="00283806">
        <w:rPr>
          <w:spacing w:val="40"/>
          <w:w w:val="105"/>
        </w:rPr>
        <w:t xml:space="preserve"> </w:t>
      </w:r>
      <w:r w:rsidRPr="00283806">
        <w:rPr>
          <w:w w:val="105"/>
        </w:rPr>
        <w:t>is shorter, to calculate the leak rate. If</w:t>
      </w:r>
    </w:p>
    <w:p w14:paraId="102C44DE"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05" w:space="40"/>
            <w:col w:w="3512" w:space="39"/>
            <w:col w:w="3624"/>
          </w:cols>
        </w:sectPr>
      </w:pPr>
    </w:p>
    <w:p w14:paraId="0D5AB56B" w14:textId="77777777" w:rsidR="00D67C1E" w:rsidRPr="00283806" w:rsidRDefault="001265CA">
      <w:pPr>
        <w:pStyle w:val="BodyText"/>
        <w:spacing w:before="136" w:line="225" w:lineRule="auto"/>
      </w:pPr>
      <w:r w:rsidRPr="00283806">
        <w:rPr>
          <w:w w:val="105"/>
        </w:rPr>
        <w:lastRenderedPageBreak/>
        <w:t>multiple preemptive repairs (and associated refrigerant additions) are conducted within a time frame since the shorter of the last successful follow-up verification test or 365 days, the cumulative pounds of refrigerant added since the last successful follow-up verification test, or 365 days should be used to calculate the leak rate. For example, over a period of six months an owner</w:t>
      </w:r>
      <w:r w:rsidRPr="00283806">
        <w:rPr>
          <w:spacing w:val="24"/>
          <w:w w:val="105"/>
        </w:rPr>
        <w:t xml:space="preserve"> </w:t>
      </w:r>
      <w:r w:rsidRPr="00283806">
        <w:rPr>
          <w:w w:val="105"/>
        </w:rPr>
        <w:t>or</w:t>
      </w:r>
      <w:r w:rsidRPr="00283806">
        <w:rPr>
          <w:spacing w:val="24"/>
          <w:w w:val="105"/>
        </w:rPr>
        <w:t xml:space="preserve"> </w:t>
      </w:r>
      <w:r w:rsidRPr="00283806">
        <w:rPr>
          <w:w w:val="105"/>
        </w:rPr>
        <w:t>operator’s</w:t>
      </w:r>
      <w:r w:rsidRPr="00283806">
        <w:rPr>
          <w:spacing w:val="24"/>
          <w:w w:val="105"/>
        </w:rPr>
        <w:t xml:space="preserve"> </w:t>
      </w:r>
      <w:r w:rsidRPr="00283806">
        <w:rPr>
          <w:w w:val="105"/>
        </w:rPr>
        <w:t>ALD</w:t>
      </w:r>
      <w:r w:rsidRPr="00283806">
        <w:rPr>
          <w:spacing w:val="24"/>
          <w:w w:val="105"/>
        </w:rPr>
        <w:t xml:space="preserve"> </w:t>
      </w:r>
      <w:r w:rsidRPr="00283806">
        <w:rPr>
          <w:w w:val="105"/>
        </w:rPr>
        <w:t>alerts</w:t>
      </w:r>
      <w:r w:rsidRPr="00283806">
        <w:rPr>
          <w:spacing w:val="24"/>
          <w:w w:val="105"/>
        </w:rPr>
        <w:t xml:space="preserve"> </w:t>
      </w:r>
      <w:r w:rsidRPr="00283806">
        <w:rPr>
          <w:w w:val="105"/>
        </w:rPr>
        <w:t>them</w:t>
      </w:r>
      <w:r w:rsidRPr="00283806">
        <w:rPr>
          <w:spacing w:val="24"/>
          <w:w w:val="105"/>
        </w:rPr>
        <w:t xml:space="preserve"> </w:t>
      </w:r>
      <w:r w:rsidRPr="00283806">
        <w:rPr>
          <w:w w:val="105"/>
        </w:rPr>
        <w:t>of a leak three times. The owner or operator, each time the ALD alarm alerts them,</w:t>
      </w:r>
      <w:r w:rsidRPr="00283806">
        <w:rPr>
          <w:spacing w:val="-4"/>
          <w:w w:val="105"/>
        </w:rPr>
        <w:t xml:space="preserve"> </w:t>
      </w:r>
      <w:r w:rsidRPr="00283806">
        <w:rPr>
          <w:w w:val="105"/>
        </w:rPr>
        <w:t>preemptively</w:t>
      </w:r>
      <w:r w:rsidRPr="00283806">
        <w:rPr>
          <w:spacing w:val="-4"/>
          <w:w w:val="105"/>
        </w:rPr>
        <w:t xml:space="preserve"> </w:t>
      </w:r>
      <w:r w:rsidRPr="00283806">
        <w:rPr>
          <w:w w:val="105"/>
        </w:rPr>
        <w:t>repairs</w:t>
      </w:r>
      <w:r w:rsidRPr="00283806">
        <w:rPr>
          <w:spacing w:val="-4"/>
          <w:w w:val="105"/>
        </w:rPr>
        <w:t xml:space="preserve"> </w:t>
      </w:r>
      <w:r w:rsidRPr="00283806">
        <w:rPr>
          <w:w w:val="105"/>
        </w:rPr>
        <w:t>a</w:t>
      </w:r>
      <w:r w:rsidRPr="00283806">
        <w:rPr>
          <w:spacing w:val="-4"/>
          <w:w w:val="105"/>
        </w:rPr>
        <w:t xml:space="preserve"> </w:t>
      </w:r>
      <w:r w:rsidRPr="00283806">
        <w:rPr>
          <w:w w:val="105"/>
        </w:rPr>
        <w:t>refrigerant- containing appliance and calculates the leak rate using the rolling average method. For the first refrigerant</w:t>
      </w:r>
      <w:r w:rsidRPr="00283806">
        <w:rPr>
          <w:spacing w:val="80"/>
          <w:w w:val="105"/>
        </w:rPr>
        <w:t xml:space="preserve"> </w:t>
      </w:r>
      <w:r w:rsidRPr="00283806">
        <w:rPr>
          <w:w w:val="105"/>
        </w:rPr>
        <w:t>addition, the owner or operator uses the number of pounds added since the shorter of 365 days or the last successful follow-up verification test. For subsequent leaks detected by an ALD system, the owner or operator would</w:t>
      </w:r>
      <w:r w:rsidRPr="00283806">
        <w:rPr>
          <w:spacing w:val="80"/>
          <w:w w:val="105"/>
        </w:rPr>
        <w:t xml:space="preserve"> </w:t>
      </w:r>
      <w:r w:rsidRPr="00283806">
        <w:rPr>
          <w:w w:val="105"/>
        </w:rPr>
        <w:t>use the cumulative amount of</w:t>
      </w:r>
      <w:r w:rsidRPr="00283806">
        <w:rPr>
          <w:spacing w:val="80"/>
          <w:w w:val="105"/>
        </w:rPr>
        <w:t xml:space="preserve"> </w:t>
      </w:r>
      <w:r w:rsidRPr="00283806">
        <w:rPr>
          <w:w w:val="105"/>
        </w:rPr>
        <w:t>refrigerant added since the shorter of</w:t>
      </w:r>
      <w:r w:rsidRPr="00283806">
        <w:rPr>
          <w:spacing w:val="40"/>
          <w:w w:val="105"/>
        </w:rPr>
        <w:t xml:space="preserve"> </w:t>
      </w:r>
      <w:r w:rsidRPr="00283806">
        <w:rPr>
          <w:w w:val="105"/>
        </w:rPr>
        <w:t>365 days or the last successful follow-</w:t>
      </w:r>
      <w:r w:rsidRPr="00283806">
        <w:rPr>
          <w:spacing w:val="80"/>
          <w:w w:val="150"/>
        </w:rPr>
        <w:t xml:space="preserve"> </w:t>
      </w:r>
      <w:r w:rsidRPr="00283806">
        <w:rPr>
          <w:w w:val="105"/>
        </w:rPr>
        <w:t xml:space="preserve">up verification test. If the cumulative amount of refrigerant added causes the refrigerant-containing appliance to exceed its applicable leak rate, then the owner or operator must follow through with the full suite of leak repair </w:t>
      </w:r>
      <w:r w:rsidRPr="00283806">
        <w:rPr>
          <w:spacing w:val="-2"/>
          <w:w w:val="105"/>
        </w:rPr>
        <w:t>requirements.</w:t>
      </w:r>
    </w:p>
    <w:p w14:paraId="6BEE8942" w14:textId="77777777" w:rsidR="00D67C1E" w:rsidRPr="00283806" w:rsidRDefault="001265CA">
      <w:pPr>
        <w:pStyle w:val="BodyText"/>
        <w:spacing w:line="168" w:lineRule="exact"/>
        <w:ind w:left="340"/>
      </w:pPr>
      <w:r w:rsidRPr="00283806">
        <w:rPr>
          <w:w w:val="105"/>
        </w:rPr>
        <w:t>The</w:t>
      </w:r>
      <w:r w:rsidRPr="00283806">
        <w:rPr>
          <w:spacing w:val="9"/>
          <w:w w:val="105"/>
        </w:rPr>
        <w:t xml:space="preserve"> </w:t>
      </w:r>
      <w:r w:rsidRPr="00283806">
        <w:rPr>
          <w:w w:val="105"/>
        </w:rPr>
        <w:t>preemptive</w:t>
      </w:r>
      <w:r w:rsidRPr="00283806">
        <w:rPr>
          <w:spacing w:val="10"/>
          <w:w w:val="105"/>
        </w:rPr>
        <w:t xml:space="preserve"> </w:t>
      </w:r>
      <w:r w:rsidRPr="00283806">
        <w:rPr>
          <w:w w:val="105"/>
        </w:rPr>
        <w:t>repair</w:t>
      </w:r>
      <w:r w:rsidRPr="00283806">
        <w:rPr>
          <w:spacing w:val="9"/>
          <w:w w:val="105"/>
        </w:rPr>
        <w:t xml:space="preserve"> </w:t>
      </w:r>
      <w:r w:rsidRPr="00283806">
        <w:rPr>
          <w:w w:val="105"/>
        </w:rPr>
        <w:t>actions</w:t>
      </w:r>
      <w:r w:rsidRPr="00283806">
        <w:rPr>
          <w:spacing w:val="10"/>
          <w:w w:val="105"/>
        </w:rPr>
        <w:t xml:space="preserve"> </w:t>
      </w:r>
      <w:r w:rsidRPr="00283806">
        <w:rPr>
          <w:w w:val="105"/>
        </w:rPr>
        <w:t>can</w:t>
      </w:r>
      <w:r w:rsidRPr="00283806">
        <w:rPr>
          <w:spacing w:val="9"/>
          <w:w w:val="105"/>
        </w:rPr>
        <w:t xml:space="preserve"> </w:t>
      </w:r>
      <w:r w:rsidRPr="00283806">
        <w:rPr>
          <w:spacing w:val="-5"/>
          <w:w w:val="105"/>
        </w:rPr>
        <w:t>be</w:t>
      </w:r>
    </w:p>
    <w:p w14:paraId="39149C71" w14:textId="77777777" w:rsidR="00D67C1E" w:rsidRPr="00283806" w:rsidRDefault="001265CA">
      <w:pPr>
        <w:pStyle w:val="BodyText"/>
        <w:spacing w:before="4" w:line="225" w:lineRule="auto"/>
        <w:ind w:right="38"/>
      </w:pPr>
      <w:proofErr w:type="gramStart"/>
      <w:r w:rsidRPr="00283806">
        <w:rPr>
          <w:w w:val="105"/>
        </w:rPr>
        <w:t>considered in</w:t>
      </w:r>
      <w:proofErr w:type="gramEnd"/>
      <w:r w:rsidRPr="00283806">
        <w:rPr>
          <w:w w:val="105"/>
        </w:rPr>
        <w:t xml:space="preserve"> determining whether the suite of leak repair requirements triggered by the exceedance of the applicable leak threshold have been satisfied, but the owner or operator of the appliance would still need to ensure that the leaks had been repaired according to the definition of repair and that the other requirements in 40 CFR</w:t>
      </w:r>
    </w:p>
    <w:p w14:paraId="66C27171" w14:textId="77777777" w:rsidR="00D67C1E" w:rsidRPr="00283806" w:rsidRDefault="001265CA">
      <w:pPr>
        <w:pStyle w:val="BodyText"/>
        <w:spacing w:line="223" w:lineRule="auto"/>
        <w:ind w:right="46"/>
      </w:pPr>
      <w:r w:rsidRPr="00283806">
        <w:rPr>
          <w:w w:val="105"/>
        </w:rPr>
        <w:t>84.106 (</w:t>
      </w:r>
      <w:r w:rsidRPr="00283806">
        <w:rPr>
          <w:rFonts w:ascii="Book Antiqua"/>
          <w:i/>
          <w:w w:val="105"/>
        </w:rPr>
        <w:t xml:space="preserve">e.g., </w:t>
      </w:r>
      <w:r w:rsidRPr="00283806">
        <w:rPr>
          <w:w w:val="105"/>
        </w:rPr>
        <w:t>initial and follow-up verification tests, leak inspections</w:t>
      </w:r>
      <w:r w:rsidRPr="00283806">
        <w:rPr>
          <w:spacing w:val="40"/>
          <w:w w:val="105"/>
        </w:rPr>
        <w:t xml:space="preserve"> </w:t>
      </w:r>
      <w:r w:rsidRPr="00283806">
        <w:rPr>
          <w:w w:val="105"/>
        </w:rPr>
        <w:t xml:space="preserve">(where applicable) and related recordkeeping) </w:t>
      </w:r>
      <w:proofErr w:type="gramStart"/>
      <w:r w:rsidRPr="00283806">
        <w:rPr>
          <w:w w:val="105"/>
        </w:rPr>
        <w:t>had been</w:t>
      </w:r>
      <w:proofErr w:type="gramEnd"/>
      <w:r w:rsidRPr="00283806">
        <w:rPr>
          <w:w w:val="105"/>
        </w:rPr>
        <w:t xml:space="preserve"> met. The</w:t>
      </w:r>
      <w:r w:rsidRPr="00283806">
        <w:rPr>
          <w:spacing w:val="40"/>
          <w:w w:val="105"/>
        </w:rPr>
        <w:t xml:space="preserve"> </w:t>
      </w:r>
      <w:r w:rsidRPr="00283806">
        <w:rPr>
          <w:w w:val="105"/>
        </w:rPr>
        <w:t>timing of the leak repair requirements is the same as described in section</w:t>
      </w:r>
    </w:p>
    <w:p w14:paraId="4C86E673" w14:textId="77777777" w:rsidR="00D67C1E" w:rsidRPr="00283806" w:rsidRDefault="001265CA">
      <w:pPr>
        <w:pStyle w:val="BodyText"/>
        <w:spacing w:line="225" w:lineRule="auto"/>
        <w:ind w:right="8"/>
      </w:pPr>
      <w:r w:rsidRPr="00283806">
        <w:rPr>
          <w:w w:val="105"/>
        </w:rPr>
        <w:t>IV.C.3.b of this preamble. If an owner or operator finds that the leak rate for a refrigerant-containing appliance is</w:t>
      </w:r>
      <w:r w:rsidRPr="00283806">
        <w:rPr>
          <w:spacing w:val="80"/>
          <w:w w:val="105"/>
        </w:rPr>
        <w:t xml:space="preserve"> </w:t>
      </w:r>
      <w:r w:rsidRPr="00283806">
        <w:rPr>
          <w:w w:val="105"/>
        </w:rPr>
        <w:t>above the applicable leak rate threshold,</w:t>
      </w:r>
    </w:p>
    <w:p w14:paraId="6E43A0EB" w14:textId="77777777" w:rsidR="00D67C1E" w:rsidRPr="00283806" w:rsidRDefault="001265CA">
      <w:pPr>
        <w:pStyle w:val="BodyText"/>
        <w:spacing w:before="132" w:line="230" w:lineRule="auto"/>
        <w:ind w:left="153" w:right="72"/>
      </w:pPr>
      <w:r w:rsidRPr="00283806">
        <w:br w:type="column"/>
      </w:r>
      <w:r w:rsidRPr="00283806">
        <w:rPr>
          <w:w w:val="105"/>
        </w:rPr>
        <w:t>that are being codified at 40 CFR 84.108 to be separate. However, in certain circumstances the use of ALD systems that meet certain requirements under the 40 CFR 84.108 is a compliance</w:t>
      </w:r>
      <w:r w:rsidRPr="00283806">
        <w:rPr>
          <w:spacing w:val="40"/>
          <w:w w:val="105"/>
        </w:rPr>
        <w:t xml:space="preserve"> </w:t>
      </w:r>
      <w:r w:rsidRPr="00283806">
        <w:rPr>
          <w:w w:val="105"/>
        </w:rPr>
        <w:t>option that may be used in lieu of quarterly or annual leak inspections.</w:t>
      </w:r>
    </w:p>
    <w:p w14:paraId="33813ABA" w14:textId="77777777" w:rsidR="00D67C1E" w:rsidRPr="00283806" w:rsidRDefault="001265CA">
      <w:pPr>
        <w:pStyle w:val="BodyText"/>
        <w:spacing w:line="230" w:lineRule="auto"/>
        <w:ind w:left="153" w:right="57"/>
      </w:pPr>
      <w:r w:rsidRPr="00283806">
        <w:rPr>
          <w:w w:val="105"/>
        </w:rPr>
        <w:t>Further, the regulations under CAA section 608 include provisions where an owner or operator of a covered</w:t>
      </w:r>
      <w:r w:rsidRPr="00283806">
        <w:rPr>
          <w:spacing w:val="80"/>
          <w:w w:val="105"/>
        </w:rPr>
        <w:t xml:space="preserve"> </w:t>
      </w:r>
      <w:r w:rsidRPr="00283806">
        <w:rPr>
          <w:w w:val="105"/>
        </w:rPr>
        <w:t>appliance with ODS refrigerants may choose to use an ALD system in place</w:t>
      </w:r>
    </w:p>
    <w:p w14:paraId="7FB6C603" w14:textId="77777777" w:rsidR="00D67C1E" w:rsidRPr="00283806" w:rsidRDefault="001265CA">
      <w:pPr>
        <w:pStyle w:val="BodyText"/>
        <w:spacing w:line="228" w:lineRule="auto"/>
        <w:ind w:left="153"/>
      </w:pPr>
      <w:r w:rsidRPr="00283806">
        <w:rPr>
          <w:w w:val="105"/>
        </w:rPr>
        <w:t>of</w:t>
      </w:r>
      <w:r w:rsidRPr="00283806">
        <w:rPr>
          <w:spacing w:val="40"/>
          <w:w w:val="105"/>
        </w:rPr>
        <w:t xml:space="preserve"> </w:t>
      </w:r>
      <w:r w:rsidRPr="00283806">
        <w:rPr>
          <w:w w:val="105"/>
        </w:rPr>
        <w:t>performing</w:t>
      </w:r>
      <w:r w:rsidRPr="00283806">
        <w:rPr>
          <w:spacing w:val="40"/>
          <w:w w:val="105"/>
        </w:rPr>
        <w:t xml:space="preserve"> </w:t>
      </w:r>
      <w:r w:rsidRPr="00283806">
        <w:rPr>
          <w:w w:val="105"/>
        </w:rPr>
        <w:t>regular</w:t>
      </w:r>
      <w:r w:rsidRPr="00283806">
        <w:rPr>
          <w:spacing w:val="40"/>
          <w:w w:val="105"/>
        </w:rPr>
        <w:t xml:space="preserve"> </w:t>
      </w:r>
      <w:r w:rsidRPr="00283806">
        <w:rPr>
          <w:w w:val="105"/>
        </w:rPr>
        <w:t>leak</w:t>
      </w:r>
      <w:r w:rsidRPr="00283806">
        <w:rPr>
          <w:spacing w:val="40"/>
          <w:w w:val="105"/>
        </w:rPr>
        <w:t xml:space="preserve"> </w:t>
      </w:r>
      <w:r w:rsidRPr="00283806">
        <w:rPr>
          <w:w w:val="105"/>
        </w:rPr>
        <w:t>inspections as part of the leak repair provisions at</w:t>
      </w:r>
      <w:r w:rsidRPr="00283806">
        <w:rPr>
          <w:spacing w:val="80"/>
          <w:w w:val="150"/>
        </w:rPr>
        <w:t xml:space="preserve"> </w:t>
      </w:r>
      <w:r w:rsidRPr="00283806">
        <w:rPr>
          <w:w w:val="105"/>
        </w:rPr>
        <w:t>40 CFR 82.157. Nothing in this final rule changes</w:t>
      </w:r>
      <w:r w:rsidRPr="00283806">
        <w:rPr>
          <w:spacing w:val="40"/>
          <w:w w:val="105"/>
        </w:rPr>
        <w:t xml:space="preserve"> </w:t>
      </w:r>
      <w:r w:rsidRPr="00283806">
        <w:rPr>
          <w:w w:val="105"/>
        </w:rPr>
        <w:t>the</w:t>
      </w:r>
      <w:r w:rsidRPr="00283806">
        <w:rPr>
          <w:spacing w:val="40"/>
          <w:w w:val="105"/>
        </w:rPr>
        <w:t xml:space="preserve"> </w:t>
      </w:r>
      <w:r w:rsidRPr="00283806">
        <w:rPr>
          <w:w w:val="105"/>
        </w:rPr>
        <w:t>requirements</w:t>
      </w:r>
      <w:r w:rsidRPr="00283806">
        <w:rPr>
          <w:spacing w:val="40"/>
          <w:w w:val="105"/>
        </w:rPr>
        <w:t xml:space="preserve"> </w:t>
      </w:r>
      <w:r w:rsidRPr="00283806">
        <w:rPr>
          <w:w w:val="105"/>
        </w:rPr>
        <w:t>related</w:t>
      </w:r>
      <w:r w:rsidRPr="00283806">
        <w:rPr>
          <w:spacing w:val="40"/>
          <w:w w:val="105"/>
        </w:rPr>
        <w:t xml:space="preserve"> </w:t>
      </w:r>
      <w:r w:rsidRPr="00283806">
        <w:rPr>
          <w:w w:val="105"/>
        </w:rPr>
        <w:t xml:space="preserve">to ALD systems under CAA section 608 for equipment containing only ODS refrigerants. In other words, an owner or operator of an appliance that uses ODS- containing refrigerants will continue to be required to meet </w:t>
      </w:r>
      <w:proofErr w:type="gramStart"/>
      <w:r w:rsidRPr="00283806">
        <w:rPr>
          <w:w w:val="105"/>
        </w:rPr>
        <w:t>any and all</w:t>
      </w:r>
      <w:proofErr w:type="gramEnd"/>
      <w:r w:rsidRPr="00283806">
        <w:rPr>
          <w:w w:val="105"/>
        </w:rPr>
        <w:t xml:space="preserve"> requirements under 40 CFR 82.157 for that appliance, including if they choose</w:t>
      </w:r>
      <w:r w:rsidRPr="00283806">
        <w:rPr>
          <w:spacing w:val="80"/>
          <w:w w:val="105"/>
        </w:rPr>
        <w:t xml:space="preserve"> </w:t>
      </w:r>
      <w:r w:rsidRPr="00283806">
        <w:rPr>
          <w:w w:val="105"/>
        </w:rPr>
        <w:t>to use an ALD system to comply with requirements under 40 CFR 82.157.</w:t>
      </w:r>
    </w:p>
    <w:p w14:paraId="21D75621" w14:textId="77777777" w:rsidR="00D67C1E" w:rsidRPr="00283806" w:rsidRDefault="001265CA">
      <w:pPr>
        <w:pStyle w:val="BodyText"/>
        <w:spacing w:before="24" w:line="228" w:lineRule="auto"/>
        <w:ind w:left="153" w:right="57" w:firstLine="180"/>
      </w:pPr>
      <w:r w:rsidRPr="00283806">
        <w:rPr>
          <w:w w:val="105"/>
        </w:rPr>
        <w:t>EPA understands that for reasons</w:t>
      </w:r>
      <w:r w:rsidRPr="00283806">
        <w:rPr>
          <w:spacing w:val="40"/>
          <w:w w:val="105"/>
        </w:rPr>
        <w:t xml:space="preserve"> </w:t>
      </w:r>
      <w:r w:rsidRPr="00283806">
        <w:rPr>
          <w:w w:val="105"/>
        </w:rPr>
        <w:t>other than this rule, ALD systems are already in use to a certain extent. For example, some owners or operators may already use ALD systems to serve as an early warning system for detecting and repairing leaks. Some owners or operators may choose to install ALD systems from an economic perspective</w:t>
      </w:r>
      <w:r w:rsidRPr="00283806">
        <w:rPr>
          <w:spacing w:val="40"/>
          <w:w w:val="105"/>
        </w:rPr>
        <w:t xml:space="preserve"> </w:t>
      </w:r>
      <w:r w:rsidRPr="00283806">
        <w:rPr>
          <w:w w:val="105"/>
        </w:rPr>
        <w:t>as early detection and repair of leaks</w:t>
      </w:r>
      <w:r w:rsidRPr="00283806">
        <w:rPr>
          <w:spacing w:val="80"/>
          <w:w w:val="150"/>
        </w:rPr>
        <w:t xml:space="preserve"> </w:t>
      </w:r>
      <w:r w:rsidRPr="00283806">
        <w:rPr>
          <w:w w:val="105"/>
        </w:rPr>
        <w:t>can avoid costs of replacing the released refrigerant and operating equipment at suboptimal levels and/or the loss of perishable products due to failure to maintain required cooling. Further, the Agency is aware of safety standards that apply when using certain HFCs and/or substitutes for HFCs that have been classified as lower flammability. Lower flammability refrigerants in this context are those that are classified by ASHRAE as A2L refrigerants.</w:t>
      </w:r>
      <w:r w:rsidRPr="00283806">
        <w:rPr>
          <w:w w:val="105"/>
          <w:position w:val="5"/>
          <w:sz w:val="11"/>
        </w:rPr>
        <w:t>76</w:t>
      </w:r>
      <w:r w:rsidRPr="00283806">
        <w:rPr>
          <w:spacing w:val="40"/>
          <w:w w:val="105"/>
          <w:position w:val="5"/>
          <w:sz w:val="11"/>
        </w:rPr>
        <w:t xml:space="preserve"> </w:t>
      </w:r>
      <w:r w:rsidRPr="00283806">
        <w:rPr>
          <w:w w:val="105"/>
        </w:rPr>
        <w:t>UL Standard 60335–2–40 currently requires the use</w:t>
      </w:r>
      <w:r w:rsidRPr="00283806">
        <w:rPr>
          <w:spacing w:val="40"/>
          <w:w w:val="105"/>
        </w:rPr>
        <w:t xml:space="preserve"> </w:t>
      </w:r>
      <w:r w:rsidRPr="00283806">
        <w:rPr>
          <w:w w:val="105"/>
        </w:rPr>
        <w:t>of leak detectors for electrical heat pumps, air conditioners and dehumidifiers containing A2L</w:t>
      </w:r>
    </w:p>
    <w:p w14:paraId="5D0FFF56" w14:textId="77777777" w:rsidR="00D67C1E" w:rsidRPr="00283806" w:rsidRDefault="001265CA">
      <w:pPr>
        <w:pStyle w:val="BodyText"/>
        <w:spacing w:before="132" w:line="230" w:lineRule="auto"/>
        <w:ind w:left="145" w:right="171" w:hanging="1"/>
      </w:pPr>
      <w:r w:rsidRPr="00283806">
        <w:br w:type="column"/>
      </w:r>
      <w:r w:rsidRPr="00283806">
        <w:rPr>
          <w:w w:val="105"/>
        </w:rPr>
        <w:t>refrigerants.</w:t>
      </w:r>
      <w:r w:rsidRPr="00283806">
        <w:rPr>
          <w:w w:val="105"/>
          <w:position w:val="5"/>
          <w:sz w:val="11"/>
        </w:rPr>
        <w:t>77 78</w:t>
      </w:r>
      <w:r w:rsidRPr="00283806">
        <w:rPr>
          <w:spacing w:val="40"/>
          <w:w w:val="105"/>
          <w:position w:val="5"/>
          <w:sz w:val="11"/>
        </w:rPr>
        <w:t xml:space="preserve"> </w:t>
      </w:r>
      <w:r w:rsidRPr="00283806">
        <w:rPr>
          <w:w w:val="105"/>
        </w:rPr>
        <w:t>Under that standard, leak detectors that detect pressure loss are required in cases where the prescribed A2L charge limit is exceeded (which is typically around four pounds for permanently installed applications). That standard also prescribes that refrigerant leak detectors be installed at the</w:t>
      </w:r>
      <w:r w:rsidRPr="00283806">
        <w:rPr>
          <w:spacing w:val="40"/>
          <w:w w:val="105"/>
        </w:rPr>
        <w:t xml:space="preserve"> </w:t>
      </w:r>
      <w:r w:rsidRPr="00283806">
        <w:rPr>
          <w:w w:val="105"/>
        </w:rPr>
        <w:t>factory</w:t>
      </w:r>
      <w:r w:rsidRPr="00283806">
        <w:rPr>
          <w:spacing w:val="40"/>
          <w:w w:val="105"/>
        </w:rPr>
        <w:t xml:space="preserve"> </w:t>
      </w:r>
      <w:r w:rsidRPr="00283806">
        <w:rPr>
          <w:w w:val="105"/>
        </w:rPr>
        <w:t>for</w:t>
      </w:r>
      <w:r w:rsidRPr="00283806">
        <w:rPr>
          <w:spacing w:val="40"/>
          <w:w w:val="105"/>
        </w:rPr>
        <w:t xml:space="preserve"> </w:t>
      </w:r>
      <w:r w:rsidRPr="00283806">
        <w:rPr>
          <w:w w:val="105"/>
        </w:rPr>
        <w:t>applicable</w:t>
      </w:r>
      <w:r w:rsidRPr="00283806">
        <w:rPr>
          <w:spacing w:val="40"/>
          <w:w w:val="105"/>
        </w:rPr>
        <w:t xml:space="preserve"> </w:t>
      </w:r>
      <w:r w:rsidRPr="00283806">
        <w:rPr>
          <w:w w:val="105"/>
        </w:rPr>
        <w:t xml:space="preserve">appliances and have factory-established set points for detection to avoid potential buildup of concentrations of flammable </w:t>
      </w:r>
      <w:r w:rsidRPr="00283806">
        <w:rPr>
          <w:spacing w:val="-2"/>
          <w:w w:val="105"/>
        </w:rPr>
        <w:t>refrigerants.</w:t>
      </w:r>
    </w:p>
    <w:p w14:paraId="49C36DCB" w14:textId="77777777" w:rsidR="00D67C1E" w:rsidRPr="00283806" w:rsidRDefault="001265CA">
      <w:pPr>
        <w:pStyle w:val="BodyText"/>
        <w:spacing w:before="16" w:line="228" w:lineRule="auto"/>
        <w:ind w:left="145" w:right="162" w:firstLine="180"/>
      </w:pPr>
      <w:r w:rsidRPr="00283806">
        <w:rPr>
          <w:rFonts w:ascii="Book Antiqua" w:hAnsi="Book Antiqua"/>
          <w:i/>
          <w:w w:val="105"/>
        </w:rPr>
        <w:t xml:space="preserve">Comment: </w:t>
      </w:r>
      <w:r w:rsidRPr="00283806">
        <w:rPr>
          <w:w w:val="105"/>
        </w:rPr>
        <w:t>EPA received overall</w:t>
      </w:r>
      <w:r w:rsidRPr="00283806">
        <w:rPr>
          <w:spacing w:val="40"/>
          <w:w w:val="105"/>
        </w:rPr>
        <w:t xml:space="preserve"> </w:t>
      </w:r>
      <w:r w:rsidRPr="00283806">
        <w:rPr>
          <w:w w:val="105"/>
        </w:rPr>
        <w:t>support</w:t>
      </w:r>
      <w:r w:rsidRPr="00283806">
        <w:rPr>
          <w:spacing w:val="40"/>
          <w:w w:val="105"/>
        </w:rPr>
        <w:t xml:space="preserve"> </w:t>
      </w:r>
      <w:r w:rsidRPr="00283806">
        <w:rPr>
          <w:w w:val="105"/>
        </w:rPr>
        <w:t>for</w:t>
      </w:r>
      <w:r w:rsidRPr="00283806">
        <w:rPr>
          <w:spacing w:val="40"/>
          <w:w w:val="105"/>
        </w:rPr>
        <w:t xml:space="preserve"> </w:t>
      </w:r>
      <w:r w:rsidRPr="00283806">
        <w:rPr>
          <w:w w:val="105"/>
        </w:rPr>
        <w:t>the</w:t>
      </w:r>
      <w:r w:rsidRPr="00283806">
        <w:rPr>
          <w:spacing w:val="40"/>
          <w:w w:val="105"/>
        </w:rPr>
        <w:t xml:space="preserve"> </w:t>
      </w:r>
      <w:r w:rsidRPr="00283806">
        <w:rPr>
          <w:w w:val="105"/>
        </w:rPr>
        <w:t>proposed</w:t>
      </w:r>
      <w:r w:rsidRPr="00283806">
        <w:rPr>
          <w:spacing w:val="40"/>
          <w:w w:val="105"/>
        </w:rPr>
        <w:t xml:space="preserve"> </w:t>
      </w:r>
      <w:r w:rsidRPr="00283806">
        <w:rPr>
          <w:w w:val="105"/>
        </w:rPr>
        <w:t>ALD provision. One commenter stated that they strongly support any measures that will strengthen leak management practices. The commenter indicated that the greater stringency under the proposal, as compared to a similar leak repair provision in CAA section 608 and the requirements for ALD systems, will help detect leaks early and thereby mitigate environmental and financials risks associated with high-volume refrigerant leakage. The commenter also stated the ALD requirements will strengthen the State refrigerant management program requirements in California and Washington. Another commenter similarly expressed support for the provision stating that ALD systems leverage technology to mitigate leakage and strengthen refrigerant management programs. Two</w:t>
      </w:r>
      <w:r w:rsidRPr="00283806">
        <w:rPr>
          <w:spacing w:val="40"/>
          <w:w w:val="105"/>
        </w:rPr>
        <w:t xml:space="preserve"> </w:t>
      </w:r>
      <w:r w:rsidRPr="00283806">
        <w:rPr>
          <w:w w:val="105"/>
        </w:rPr>
        <w:t>commenters supported EPA’s efforts to implement leak detection and repair requirements through the AIM Act. One</w:t>
      </w:r>
      <w:r w:rsidRPr="00283806">
        <w:rPr>
          <w:spacing w:val="40"/>
          <w:w w:val="105"/>
        </w:rPr>
        <w:t xml:space="preserve"> </w:t>
      </w:r>
      <w:r w:rsidRPr="00283806">
        <w:rPr>
          <w:w w:val="105"/>
        </w:rPr>
        <w:t>of the commenters shared that their refrigerant managers have found ALD systems useful for reducing fugitive refrigerant emissions and maximizing equipment performance and energy efficiency. Another commenter in</w:t>
      </w:r>
      <w:r w:rsidRPr="00283806">
        <w:rPr>
          <w:spacing w:val="40"/>
          <w:w w:val="105"/>
        </w:rPr>
        <w:t xml:space="preserve"> </w:t>
      </w:r>
      <w:r w:rsidRPr="00283806">
        <w:rPr>
          <w:w w:val="105"/>
        </w:rPr>
        <w:t>support emphasized their shared goal to reduce leakage of HFCs and measurably reduce GHG emissions in the United States. Two commenters expressed support for the use of ALD systems for commercial refrigeration and IPR appliances with a charge size of 1,500</w:t>
      </w:r>
    </w:p>
    <w:p w14:paraId="6957DFA2"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07" w:space="40"/>
            <w:col w:w="3509" w:space="39"/>
            <w:col w:w="3625"/>
          </w:cols>
        </w:sectPr>
      </w:pPr>
    </w:p>
    <w:p w14:paraId="6B2B305A" w14:textId="77777777" w:rsidR="00D67C1E" w:rsidRPr="00283806" w:rsidRDefault="001265CA">
      <w:pPr>
        <w:pStyle w:val="BodyText"/>
        <w:tabs>
          <w:tab w:val="left" w:pos="3699"/>
          <w:tab w:val="left" w:pos="4699"/>
        </w:tabs>
        <w:spacing w:line="183" w:lineRule="exact"/>
      </w:pPr>
      <w:r w:rsidRPr="00283806">
        <w:rPr>
          <w:w w:val="105"/>
        </w:rPr>
        <w:t>the</w:t>
      </w:r>
      <w:r w:rsidRPr="00283806">
        <w:rPr>
          <w:spacing w:val="2"/>
          <w:w w:val="105"/>
        </w:rPr>
        <w:t xml:space="preserve"> </w:t>
      </w:r>
      <w:r w:rsidRPr="00283806">
        <w:rPr>
          <w:w w:val="105"/>
        </w:rPr>
        <w:t>owner</w:t>
      </w:r>
      <w:r w:rsidRPr="00283806">
        <w:rPr>
          <w:spacing w:val="3"/>
          <w:w w:val="105"/>
        </w:rPr>
        <w:t xml:space="preserve"> </w:t>
      </w:r>
      <w:r w:rsidRPr="00283806">
        <w:rPr>
          <w:w w:val="105"/>
        </w:rPr>
        <w:t>or</w:t>
      </w:r>
      <w:r w:rsidRPr="00283806">
        <w:rPr>
          <w:spacing w:val="3"/>
          <w:w w:val="105"/>
        </w:rPr>
        <w:t xml:space="preserve"> </w:t>
      </w:r>
      <w:r w:rsidRPr="00283806">
        <w:rPr>
          <w:w w:val="105"/>
        </w:rPr>
        <w:t>operator</w:t>
      </w:r>
      <w:r w:rsidRPr="00283806">
        <w:rPr>
          <w:spacing w:val="3"/>
          <w:w w:val="105"/>
        </w:rPr>
        <w:t xml:space="preserve"> </w:t>
      </w:r>
      <w:r w:rsidRPr="00283806">
        <w:rPr>
          <w:w w:val="105"/>
        </w:rPr>
        <w:t>must</w:t>
      </w:r>
      <w:r w:rsidRPr="00283806">
        <w:rPr>
          <w:spacing w:val="3"/>
          <w:w w:val="105"/>
        </w:rPr>
        <w:t xml:space="preserve"> </w:t>
      </w:r>
      <w:r w:rsidRPr="00283806">
        <w:rPr>
          <w:w w:val="105"/>
        </w:rPr>
        <w:t>conduct</w:t>
      </w:r>
      <w:r w:rsidRPr="00283806">
        <w:rPr>
          <w:spacing w:val="3"/>
          <w:w w:val="105"/>
        </w:rPr>
        <w:t xml:space="preserve"> </w:t>
      </w:r>
      <w:r w:rsidRPr="00283806">
        <w:rPr>
          <w:spacing w:val="-5"/>
          <w:w w:val="105"/>
        </w:rPr>
        <w:t>an</w:t>
      </w:r>
      <w:r w:rsidRPr="00283806">
        <w:tab/>
      </w:r>
      <w:r w:rsidRPr="00283806">
        <w:rPr>
          <w:u w:val="single"/>
        </w:rPr>
        <w:tab/>
      </w:r>
    </w:p>
    <w:p w14:paraId="72EAD91D" w14:textId="77777777" w:rsidR="00D67C1E" w:rsidRPr="00283806" w:rsidRDefault="001265CA">
      <w:pPr>
        <w:pStyle w:val="BodyText"/>
        <w:spacing w:before="24" w:line="159" w:lineRule="exact"/>
      </w:pPr>
      <w:r w:rsidRPr="00283806">
        <w:br w:type="column"/>
      </w:r>
      <w:r w:rsidRPr="00283806">
        <w:rPr>
          <w:w w:val="105"/>
        </w:rPr>
        <w:t>pounds</w:t>
      </w:r>
      <w:r w:rsidRPr="00283806">
        <w:rPr>
          <w:spacing w:val="11"/>
          <w:w w:val="105"/>
        </w:rPr>
        <w:t xml:space="preserve"> </w:t>
      </w:r>
      <w:r w:rsidRPr="00283806">
        <w:rPr>
          <w:w w:val="105"/>
        </w:rPr>
        <w:t>or</w:t>
      </w:r>
      <w:r w:rsidRPr="00283806">
        <w:rPr>
          <w:spacing w:val="11"/>
          <w:w w:val="105"/>
        </w:rPr>
        <w:t xml:space="preserve"> </w:t>
      </w:r>
      <w:r w:rsidRPr="00283806">
        <w:rPr>
          <w:w w:val="105"/>
        </w:rPr>
        <w:t>more</w:t>
      </w:r>
      <w:r w:rsidRPr="00283806">
        <w:rPr>
          <w:spacing w:val="12"/>
          <w:w w:val="105"/>
        </w:rPr>
        <w:t xml:space="preserve"> </w:t>
      </w:r>
      <w:r w:rsidRPr="00283806">
        <w:rPr>
          <w:w w:val="105"/>
        </w:rPr>
        <w:t>of</w:t>
      </w:r>
      <w:r w:rsidRPr="00283806">
        <w:rPr>
          <w:spacing w:val="11"/>
          <w:w w:val="105"/>
        </w:rPr>
        <w:t xml:space="preserve"> </w:t>
      </w:r>
      <w:r w:rsidRPr="00283806">
        <w:rPr>
          <w:w w:val="105"/>
        </w:rPr>
        <w:t>HFC-</w:t>
      </w:r>
      <w:r w:rsidRPr="00283806">
        <w:rPr>
          <w:spacing w:val="-2"/>
          <w:w w:val="105"/>
        </w:rPr>
        <w:t>containing</w:t>
      </w:r>
    </w:p>
    <w:p w14:paraId="36982772" w14:textId="77777777" w:rsidR="00D67C1E" w:rsidRPr="00283806" w:rsidRDefault="00D67C1E">
      <w:pPr>
        <w:spacing w:line="159" w:lineRule="exact"/>
        <w:sectPr w:rsidR="00D67C1E" w:rsidRPr="00283806">
          <w:type w:val="continuous"/>
          <w:pgSz w:w="12240" w:h="15840"/>
          <w:pgMar w:top="880" w:right="780" w:bottom="280" w:left="740" w:header="627" w:footer="0" w:gutter="0"/>
          <w:cols w:num="2" w:space="720" w:equalWidth="0">
            <w:col w:w="4740" w:space="2340"/>
            <w:col w:w="3640"/>
          </w:cols>
        </w:sectPr>
      </w:pPr>
    </w:p>
    <w:p w14:paraId="062E0846" w14:textId="77777777" w:rsidR="00D67C1E" w:rsidRPr="00283806" w:rsidRDefault="001265CA">
      <w:pPr>
        <w:pStyle w:val="BodyText"/>
        <w:spacing w:before="10" w:line="225" w:lineRule="auto"/>
        <w:ind w:right="128"/>
      </w:pPr>
      <w:r w:rsidRPr="00283806">
        <w:rPr>
          <w:w w:val="105"/>
        </w:rPr>
        <w:t>initial verification test in the 30-day timeframe for preemptive repair. A follow-up verification test must be conducted within 10 days of the successful initial verification tests, and leak inspections for portions of the refrigerant-containing appliance not monitored by an ALD system would begin after the date of a successful follow-up verification test.</w:t>
      </w:r>
    </w:p>
    <w:p w14:paraId="2F002053" w14:textId="77777777" w:rsidR="00D67C1E" w:rsidRPr="00283806" w:rsidRDefault="001265CA">
      <w:pPr>
        <w:pStyle w:val="BodyText"/>
        <w:spacing w:line="177" w:lineRule="exact"/>
        <w:ind w:left="340"/>
      </w:pPr>
      <w:r w:rsidRPr="00283806">
        <w:rPr>
          <w:w w:val="110"/>
        </w:rPr>
        <w:t>As</w:t>
      </w:r>
      <w:r w:rsidRPr="00283806">
        <w:rPr>
          <w:spacing w:val="-2"/>
          <w:w w:val="110"/>
        </w:rPr>
        <w:t xml:space="preserve"> </w:t>
      </w:r>
      <w:r w:rsidRPr="00283806">
        <w:rPr>
          <w:w w:val="110"/>
        </w:rPr>
        <w:t>previously</w:t>
      </w:r>
      <w:r w:rsidRPr="00283806">
        <w:rPr>
          <w:spacing w:val="-1"/>
          <w:w w:val="110"/>
        </w:rPr>
        <w:t xml:space="preserve"> </w:t>
      </w:r>
      <w:r w:rsidRPr="00283806">
        <w:rPr>
          <w:w w:val="110"/>
        </w:rPr>
        <w:t>discussed</w:t>
      </w:r>
      <w:r w:rsidRPr="00283806">
        <w:rPr>
          <w:spacing w:val="-1"/>
          <w:w w:val="110"/>
        </w:rPr>
        <w:t xml:space="preserve"> </w:t>
      </w:r>
      <w:r w:rsidRPr="00283806">
        <w:rPr>
          <w:w w:val="110"/>
        </w:rPr>
        <w:t>in</w:t>
      </w:r>
      <w:r w:rsidRPr="00283806">
        <w:rPr>
          <w:spacing w:val="-1"/>
          <w:w w:val="110"/>
        </w:rPr>
        <w:t xml:space="preserve"> </w:t>
      </w:r>
      <w:r w:rsidRPr="00283806">
        <w:rPr>
          <w:spacing w:val="-2"/>
          <w:w w:val="110"/>
        </w:rPr>
        <w:t>section</w:t>
      </w:r>
    </w:p>
    <w:p w14:paraId="32E4E127" w14:textId="77777777" w:rsidR="00D67C1E" w:rsidRPr="00283806" w:rsidRDefault="001265CA">
      <w:pPr>
        <w:pStyle w:val="BodyText"/>
        <w:spacing w:before="4" w:line="225" w:lineRule="auto"/>
      </w:pPr>
      <w:r w:rsidRPr="00283806">
        <w:rPr>
          <w:w w:val="105"/>
        </w:rPr>
        <w:t>IV.C.3.d of this preamble, EPA considers the leak inspections that are being codified at 40 CFR 84.106(g) and the requirements related to ALD systems</w:t>
      </w:r>
    </w:p>
    <w:p w14:paraId="119E5635" w14:textId="77777777" w:rsidR="00D67C1E" w:rsidRPr="00283806" w:rsidRDefault="001265CA">
      <w:pPr>
        <w:spacing w:before="82" w:line="232" w:lineRule="auto"/>
        <w:ind w:left="143" w:firstLine="140"/>
        <w:rPr>
          <w:sz w:val="14"/>
        </w:rPr>
      </w:pPr>
      <w:r w:rsidRPr="00283806">
        <w:br w:type="column"/>
      </w:r>
      <w:r w:rsidRPr="00283806">
        <w:rPr>
          <w:w w:val="105"/>
          <w:position w:val="4"/>
          <w:sz w:val="9"/>
        </w:rPr>
        <w:t xml:space="preserve">76 </w:t>
      </w:r>
      <w:r w:rsidRPr="00283806">
        <w:rPr>
          <w:w w:val="105"/>
          <w:sz w:val="14"/>
        </w:rPr>
        <w:t>ASHRAE Standard 34–2022 assigns a safety</w:t>
      </w:r>
      <w:r w:rsidRPr="00283806">
        <w:rPr>
          <w:spacing w:val="40"/>
          <w:w w:val="105"/>
          <w:sz w:val="14"/>
        </w:rPr>
        <w:t xml:space="preserve"> </w:t>
      </w:r>
      <w:r w:rsidRPr="00283806">
        <w:rPr>
          <w:w w:val="105"/>
          <w:sz w:val="14"/>
        </w:rPr>
        <w:t>group classification for each refrigerant which</w:t>
      </w:r>
      <w:r w:rsidRPr="00283806">
        <w:rPr>
          <w:spacing w:val="40"/>
          <w:w w:val="105"/>
          <w:sz w:val="14"/>
        </w:rPr>
        <w:t xml:space="preserve"> </w:t>
      </w:r>
      <w:r w:rsidRPr="00283806">
        <w:rPr>
          <w:w w:val="105"/>
          <w:sz w:val="14"/>
        </w:rPr>
        <w:t>consists of two alphanumeric characters (</w:t>
      </w:r>
      <w:r w:rsidRPr="00283806">
        <w:rPr>
          <w:rFonts w:ascii="Book Antiqua" w:hAnsi="Book Antiqua"/>
          <w:i/>
          <w:w w:val="105"/>
          <w:sz w:val="14"/>
        </w:rPr>
        <w:t xml:space="preserve">e.g., </w:t>
      </w:r>
      <w:r w:rsidRPr="00283806">
        <w:rPr>
          <w:w w:val="105"/>
          <w:sz w:val="14"/>
        </w:rPr>
        <w:t>A2 or</w:t>
      </w:r>
      <w:r w:rsidRPr="00283806">
        <w:rPr>
          <w:spacing w:val="40"/>
          <w:w w:val="105"/>
          <w:sz w:val="14"/>
        </w:rPr>
        <w:t xml:space="preserve"> </w:t>
      </w:r>
      <w:r w:rsidRPr="00283806">
        <w:rPr>
          <w:w w:val="105"/>
          <w:sz w:val="14"/>
        </w:rPr>
        <w:t xml:space="preserve">B1). The capital letter indicates the toxicity </w:t>
      </w:r>
      <w:proofErr w:type="gramStart"/>
      <w:r w:rsidRPr="00283806">
        <w:rPr>
          <w:w w:val="105"/>
          <w:sz w:val="14"/>
        </w:rPr>
        <w:t>class</w:t>
      </w:r>
      <w:r w:rsidRPr="00283806">
        <w:rPr>
          <w:spacing w:val="40"/>
          <w:w w:val="105"/>
          <w:sz w:val="14"/>
        </w:rPr>
        <w:t xml:space="preserve"> </w:t>
      </w:r>
      <w:r w:rsidRPr="00283806">
        <w:rPr>
          <w:w w:val="105"/>
          <w:sz w:val="14"/>
        </w:rPr>
        <w:t>(‘‘A’’</w:t>
      </w:r>
      <w:proofErr w:type="gramEnd"/>
      <w:r w:rsidRPr="00283806">
        <w:rPr>
          <w:spacing w:val="30"/>
          <w:w w:val="105"/>
          <w:sz w:val="14"/>
        </w:rPr>
        <w:t xml:space="preserve"> </w:t>
      </w:r>
      <w:r w:rsidRPr="00283806">
        <w:rPr>
          <w:w w:val="105"/>
          <w:sz w:val="14"/>
        </w:rPr>
        <w:t>for</w:t>
      </w:r>
      <w:r w:rsidRPr="00283806">
        <w:rPr>
          <w:spacing w:val="30"/>
          <w:w w:val="105"/>
          <w:sz w:val="14"/>
        </w:rPr>
        <w:t xml:space="preserve"> </w:t>
      </w:r>
      <w:r w:rsidRPr="00283806">
        <w:rPr>
          <w:w w:val="105"/>
          <w:sz w:val="14"/>
        </w:rPr>
        <w:t>lower</w:t>
      </w:r>
      <w:r w:rsidRPr="00283806">
        <w:rPr>
          <w:spacing w:val="30"/>
          <w:w w:val="105"/>
          <w:sz w:val="14"/>
        </w:rPr>
        <w:t xml:space="preserve"> </w:t>
      </w:r>
      <w:r w:rsidRPr="00283806">
        <w:rPr>
          <w:w w:val="105"/>
          <w:sz w:val="14"/>
        </w:rPr>
        <w:t>toxicity</w:t>
      </w:r>
      <w:proofErr w:type="gramStart"/>
      <w:r w:rsidRPr="00283806">
        <w:rPr>
          <w:w w:val="105"/>
          <w:sz w:val="14"/>
        </w:rPr>
        <w:t>)</w:t>
      </w:r>
      <w:proofErr w:type="gramEnd"/>
      <w:r w:rsidRPr="00283806">
        <w:rPr>
          <w:spacing w:val="30"/>
          <w:w w:val="105"/>
          <w:sz w:val="14"/>
        </w:rPr>
        <w:t xml:space="preserve"> </w:t>
      </w:r>
      <w:r w:rsidRPr="00283806">
        <w:rPr>
          <w:w w:val="105"/>
          <w:sz w:val="14"/>
        </w:rPr>
        <w:t>and</w:t>
      </w:r>
      <w:r w:rsidRPr="00283806">
        <w:rPr>
          <w:spacing w:val="30"/>
          <w:w w:val="105"/>
          <w:sz w:val="14"/>
        </w:rPr>
        <w:t xml:space="preserve"> </w:t>
      </w:r>
      <w:r w:rsidRPr="00283806">
        <w:rPr>
          <w:w w:val="105"/>
          <w:sz w:val="14"/>
        </w:rPr>
        <w:t>the</w:t>
      </w:r>
      <w:r w:rsidRPr="00283806">
        <w:rPr>
          <w:spacing w:val="30"/>
          <w:w w:val="105"/>
          <w:sz w:val="14"/>
        </w:rPr>
        <w:t xml:space="preserve"> </w:t>
      </w:r>
      <w:r w:rsidRPr="00283806">
        <w:rPr>
          <w:w w:val="105"/>
          <w:sz w:val="14"/>
        </w:rPr>
        <w:t>numeral</w:t>
      </w:r>
      <w:r w:rsidRPr="00283806">
        <w:rPr>
          <w:spacing w:val="30"/>
          <w:w w:val="105"/>
          <w:sz w:val="14"/>
        </w:rPr>
        <w:t xml:space="preserve"> </w:t>
      </w:r>
      <w:r w:rsidRPr="00283806">
        <w:rPr>
          <w:w w:val="105"/>
          <w:sz w:val="14"/>
        </w:rPr>
        <w:t>denotes</w:t>
      </w:r>
      <w:r w:rsidRPr="00283806">
        <w:rPr>
          <w:spacing w:val="40"/>
          <w:w w:val="105"/>
          <w:sz w:val="14"/>
        </w:rPr>
        <w:t xml:space="preserve"> </w:t>
      </w:r>
      <w:r w:rsidRPr="00283806">
        <w:rPr>
          <w:w w:val="105"/>
          <w:sz w:val="14"/>
        </w:rPr>
        <w:t>the flammability. ASHRAE recognizes three</w:t>
      </w:r>
      <w:r w:rsidRPr="00283806">
        <w:rPr>
          <w:spacing w:val="40"/>
          <w:w w:val="105"/>
          <w:sz w:val="14"/>
        </w:rPr>
        <w:t xml:space="preserve"> </w:t>
      </w:r>
      <w:r w:rsidRPr="00283806">
        <w:rPr>
          <w:w w:val="105"/>
          <w:sz w:val="14"/>
        </w:rPr>
        <w:t>classifications and one subclass for refrigerant</w:t>
      </w:r>
      <w:r w:rsidRPr="00283806">
        <w:rPr>
          <w:spacing w:val="40"/>
          <w:w w:val="105"/>
          <w:sz w:val="14"/>
        </w:rPr>
        <w:t xml:space="preserve"> </w:t>
      </w:r>
      <w:r w:rsidRPr="00283806">
        <w:rPr>
          <w:w w:val="105"/>
          <w:sz w:val="14"/>
        </w:rPr>
        <w:t>flammability. The three main flammability</w:t>
      </w:r>
      <w:r w:rsidRPr="00283806">
        <w:rPr>
          <w:spacing w:val="40"/>
          <w:w w:val="105"/>
          <w:sz w:val="14"/>
        </w:rPr>
        <w:t xml:space="preserve"> </w:t>
      </w:r>
      <w:r w:rsidRPr="00283806">
        <w:rPr>
          <w:w w:val="105"/>
          <w:sz w:val="14"/>
        </w:rPr>
        <w:t>classifications are Class 1, for refrigerants that do</w:t>
      </w:r>
      <w:r w:rsidRPr="00283806">
        <w:rPr>
          <w:spacing w:val="40"/>
          <w:w w:val="105"/>
          <w:sz w:val="14"/>
        </w:rPr>
        <w:t xml:space="preserve"> </w:t>
      </w:r>
      <w:r w:rsidRPr="00283806">
        <w:rPr>
          <w:w w:val="105"/>
          <w:sz w:val="14"/>
        </w:rPr>
        <w:t>not propagate a flame when tested as per the</w:t>
      </w:r>
      <w:r w:rsidRPr="00283806">
        <w:rPr>
          <w:spacing w:val="40"/>
          <w:w w:val="105"/>
          <w:sz w:val="14"/>
        </w:rPr>
        <w:t xml:space="preserve"> </w:t>
      </w:r>
      <w:r w:rsidRPr="00283806">
        <w:rPr>
          <w:w w:val="105"/>
          <w:sz w:val="14"/>
        </w:rPr>
        <w:t>ASHRAE 34 standard, ‘‘Designation and Safety</w:t>
      </w:r>
      <w:r w:rsidRPr="00283806">
        <w:rPr>
          <w:spacing w:val="40"/>
          <w:w w:val="105"/>
          <w:sz w:val="14"/>
        </w:rPr>
        <w:t xml:space="preserve"> </w:t>
      </w:r>
      <w:r w:rsidRPr="00283806">
        <w:rPr>
          <w:w w:val="105"/>
          <w:sz w:val="14"/>
        </w:rPr>
        <w:t>Classification of Refrigerants;’’ Class 2, for</w:t>
      </w:r>
      <w:r w:rsidRPr="00283806">
        <w:rPr>
          <w:spacing w:val="40"/>
          <w:w w:val="105"/>
          <w:sz w:val="14"/>
        </w:rPr>
        <w:t xml:space="preserve"> </w:t>
      </w:r>
      <w:r w:rsidRPr="00283806">
        <w:rPr>
          <w:w w:val="105"/>
          <w:sz w:val="14"/>
        </w:rPr>
        <w:t>refrigerants of lower flammability; and Class 3, for</w:t>
      </w:r>
      <w:r w:rsidRPr="00283806">
        <w:rPr>
          <w:spacing w:val="40"/>
          <w:w w:val="105"/>
          <w:sz w:val="14"/>
        </w:rPr>
        <w:t xml:space="preserve"> </w:t>
      </w:r>
      <w:r w:rsidRPr="00283806">
        <w:rPr>
          <w:w w:val="105"/>
          <w:sz w:val="14"/>
        </w:rPr>
        <w:t>highly flammable refrigerants, such as the</w:t>
      </w:r>
      <w:r w:rsidRPr="00283806">
        <w:rPr>
          <w:spacing w:val="40"/>
          <w:w w:val="105"/>
          <w:sz w:val="14"/>
        </w:rPr>
        <w:t xml:space="preserve"> </w:t>
      </w:r>
      <w:r w:rsidRPr="00283806">
        <w:rPr>
          <w:w w:val="105"/>
          <w:sz w:val="14"/>
        </w:rPr>
        <w:t>hydrocarbon refrigerants. ASHRAE recently</w:t>
      </w:r>
      <w:r w:rsidRPr="00283806">
        <w:rPr>
          <w:spacing w:val="80"/>
          <w:w w:val="105"/>
          <w:sz w:val="14"/>
        </w:rPr>
        <w:t xml:space="preserve"> </w:t>
      </w:r>
      <w:r w:rsidRPr="00283806">
        <w:rPr>
          <w:w w:val="105"/>
          <w:sz w:val="14"/>
        </w:rPr>
        <w:t>updated</w:t>
      </w:r>
      <w:r w:rsidRPr="00283806">
        <w:rPr>
          <w:spacing w:val="27"/>
          <w:w w:val="105"/>
          <w:sz w:val="14"/>
        </w:rPr>
        <w:t xml:space="preserve"> </w:t>
      </w:r>
      <w:r w:rsidRPr="00283806">
        <w:rPr>
          <w:w w:val="105"/>
          <w:sz w:val="14"/>
        </w:rPr>
        <w:t>the</w:t>
      </w:r>
      <w:r w:rsidRPr="00283806">
        <w:rPr>
          <w:spacing w:val="27"/>
          <w:w w:val="105"/>
          <w:sz w:val="14"/>
        </w:rPr>
        <w:t xml:space="preserve"> </w:t>
      </w:r>
      <w:r w:rsidRPr="00283806">
        <w:rPr>
          <w:w w:val="105"/>
          <w:sz w:val="14"/>
        </w:rPr>
        <w:t>safety</w:t>
      </w:r>
      <w:r w:rsidRPr="00283806">
        <w:rPr>
          <w:spacing w:val="27"/>
          <w:w w:val="105"/>
          <w:sz w:val="14"/>
        </w:rPr>
        <w:t xml:space="preserve"> </w:t>
      </w:r>
      <w:r w:rsidRPr="00283806">
        <w:rPr>
          <w:w w:val="105"/>
          <w:sz w:val="14"/>
        </w:rPr>
        <w:t>classification</w:t>
      </w:r>
      <w:r w:rsidRPr="00283806">
        <w:rPr>
          <w:spacing w:val="27"/>
          <w:w w:val="105"/>
          <w:sz w:val="14"/>
        </w:rPr>
        <w:t xml:space="preserve"> </w:t>
      </w:r>
      <w:r w:rsidRPr="00283806">
        <w:rPr>
          <w:w w:val="105"/>
          <w:sz w:val="14"/>
        </w:rPr>
        <w:t>matrix</w:t>
      </w:r>
      <w:r w:rsidRPr="00283806">
        <w:rPr>
          <w:spacing w:val="27"/>
          <w:w w:val="105"/>
          <w:sz w:val="14"/>
        </w:rPr>
        <w:t xml:space="preserve"> </w:t>
      </w:r>
      <w:r w:rsidRPr="00283806">
        <w:rPr>
          <w:w w:val="105"/>
          <w:sz w:val="14"/>
        </w:rPr>
        <w:t>to</w:t>
      </w:r>
      <w:r w:rsidRPr="00283806">
        <w:rPr>
          <w:spacing w:val="27"/>
          <w:w w:val="105"/>
          <w:sz w:val="14"/>
        </w:rPr>
        <w:t xml:space="preserve"> </w:t>
      </w:r>
      <w:r w:rsidRPr="00283806">
        <w:rPr>
          <w:w w:val="105"/>
          <w:sz w:val="14"/>
        </w:rPr>
        <w:t>include</w:t>
      </w:r>
      <w:r w:rsidRPr="00283806">
        <w:rPr>
          <w:spacing w:val="40"/>
          <w:w w:val="105"/>
          <w:sz w:val="14"/>
        </w:rPr>
        <w:t xml:space="preserve"> </w:t>
      </w:r>
      <w:r w:rsidRPr="00283806">
        <w:rPr>
          <w:w w:val="105"/>
          <w:sz w:val="14"/>
        </w:rPr>
        <w:t>a new flammability subclass 2L, for flammability</w:t>
      </w:r>
      <w:r w:rsidRPr="00283806">
        <w:rPr>
          <w:spacing w:val="40"/>
          <w:w w:val="105"/>
          <w:sz w:val="14"/>
        </w:rPr>
        <w:t xml:space="preserve"> </w:t>
      </w:r>
      <w:r w:rsidRPr="00283806">
        <w:rPr>
          <w:w w:val="105"/>
          <w:sz w:val="14"/>
        </w:rPr>
        <w:t>Class 2 refrigerants that burn very slowly.</w:t>
      </w:r>
    </w:p>
    <w:p w14:paraId="025DFC36" w14:textId="77777777" w:rsidR="00D67C1E" w:rsidRPr="00283806" w:rsidRDefault="001265CA">
      <w:pPr>
        <w:pStyle w:val="BodyText"/>
        <w:spacing w:before="49" w:line="228" w:lineRule="auto"/>
        <w:ind w:right="286"/>
      </w:pPr>
      <w:r w:rsidRPr="00283806">
        <w:br w:type="column"/>
      </w:r>
      <w:r w:rsidRPr="00283806">
        <w:rPr>
          <w:w w:val="105"/>
        </w:rPr>
        <w:t>appliances. One of the commenters asked that EPA examine any comments from manufacturers of equipment and ALD systems to ensure compliance timelines can be met without delaying the installation of new equipment or</w:t>
      </w:r>
    </w:p>
    <w:p w14:paraId="6AA145A2" w14:textId="77777777" w:rsidR="00D67C1E" w:rsidRPr="00283806" w:rsidRDefault="001265CA">
      <w:pPr>
        <w:pStyle w:val="BodyText"/>
        <w:spacing w:before="5"/>
        <w:ind w:left="0"/>
        <w:rPr>
          <w:sz w:val="15"/>
        </w:rPr>
      </w:pPr>
      <w:r w:rsidRPr="00283806">
        <w:rPr>
          <w:noProof/>
        </w:rPr>
        <mc:AlternateContent>
          <mc:Choice Requires="wps">
            <w:drawing>
              <wp:anchor distT="0" distB="0" distL="0" distR="0" simplePos="0" relativeHeight="251640832" behindDoc="1" locked="0" layoutInCell="1" allowOverlap="1" wp14:anchorId="5B79637C" wp14:editId="19C8C509">
                <wp:simplePos x="0" y="0"/>
                <wp:positionH relativeFrom="page">
                  <wp:posOffset>5067300</wp:posOffset>
                </wp:positionH>
                <wp:positionV relativeFrom="paragraph">
                  <wp:posOffset>130527</wp:posOffset>
                </wp:positionV>
                <wp:extent cx="635000" cy="1270"/>
                <wp:effectExtent l="0" t="0" r="0" b="0"/>
                <wp:wrapTopAndBottom/>
                <wp:docPr id="72" name="Graphic 7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7FB6B40" id="Graphic 72" o:spid="_x0000_s1026" alt="&quot;&quot;" style="position:absolute;margin-left:399pt;margin-top:10.3pt;width:50pt;height:.1pt;z-index:-251675648;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" path="m,l635000,e" filled="f" strokeweight=".5pt">
                <v:path arrowok="t"/>
                <w10:wrap type="topAndBottom" anchorx="page"/>
              </v:shape>
            </w:pict>
          </mc:Fallback>
        </mc:AlternateContent>
      </w:r>
    </w:p>
    <w:p w14:paraId="47F94387" w14:textId="341B30B4" w:rsidR="00D67C1E" w:rsidRPr="00283806" w:rsidRDefault="001265CA">
      <w:pPr>
        <w:spacing w:before="42" w:line="228" w:lineRule="auto"/>
        <w:ind w:left="160" w:right="449" w:firstLine="140"/>
        <w:rPr>
          <w:sz w:val="14"/>
        </w:rPr>
      </w:pPr>
      <w:r w:rsidRPr="00283806">
        <w:rPr>
          <w:w w:val="110"/>
          <w:position w:val="4"/>
          <w:sz w:val="9"/>
        </w:rPr>
        <w:t>77</w:t>
      </w:r>
      <w:r w:rsidRPr="00283806">
        <w:rPr>
          <w:spacing w:val="-6"/>
          <w:w w:val="110"/>
          <w:position w:val="4"/>
          <w:sz w:val="9"/>
        </w:rPr>
        <w:t xml:space="preserve"> </w:t>
      </w:r>
      <w:r w:rsidRPr="00283806">
        <w:rPr>
          <w:w w:val="110"/>
          <w:sz w:val="14"/>
        </w:rPr>
        <w:t>UL.</w:t>
      </w:r>
      <w:r w:rsidRPr="00283806">
        <w:rPr>
          <w:spacing w:val="-8"/>
          <w:w w:val="110"/>
          <w:sz w:val="14"/>
        </w:rPr>
        <w:t xml:space="preserve"> </w:t>
      </w:r>
      <w:r w:rsidRPr="00283806">
        <w:rPr>
          <w:w w:val="110"/>
          <w:sz w:val="14"/>
        </w:rPr>
        <w:t>2019.</w:t>
      </w:r>
      <w:r w:rsidRPr="00283806">
        <w:rPr>
          <w:spacing w:val="-9"/>
          <w:w w:val="110"/>
          <w:sz w:val="14"/>
        </w:rPr>
        <w:t xml:space="preserve"> </w:t>
      </w:r>
      <w:r w:rsidRPr="00283806">
        <w:rPr>
          <w:w w:val="110"/>
          <w:sz w:val="14"/>
        </w:rPr>
        <w:t>‘‘Understanding</w:t>
      </w:r>
      <w:r w:rsidRPr="00283806">
        <w:rPr>
          <w:spacing w:val="-8"/>
          <w:w w:val="110"/>
          <w:sz w:val="14"/>
        </w:rPr>
        <w:t xml:space="preserve"> </w:t>
      </w:r>
      <w:r w:rsidRPr="00283806">
        <w:rPr>
          <w:w w:val="110"/>
          <w:sz w:val="14"/>
        </w:rPr>
        <w:t>UL</w:t>
      </w:r>
      <w:r w:rsidRPr="00283806">
        <w:rPr>
          <w:spacing w:val="-9"/>
          <w:w w:val="110"/>
          <w:sz w:val="14"/>
        </w:rPr>
        <w:t xml:space="preserve"> </w:t>
      </w:r>
      <w:r w:rsidRPr="00283806">
        <w:rPr>
          <w:w w:val="110"/>
          <w:sz w:val="14"/>
        </w:rPr>
        <w:t>60335–2–40</w:t>
      </w:r>
      <w:r w:rsidRPr="00283806">
        <w:rPr>
          <w:spacing w:val="40"/>
          <w:w w:val="110"/>
          <w:sz w:val="14"/>
        </w:rPr>
        <w:t xml:space="preserve"> </w:t>
      </w:r>
      <w:r w:rsidRPr="00283806">
        <w:rPr>
          <w:w w:val="110"/>
          <w:sz w:val="14"/>
        </w:rPr>
        <w:t xml:space="preserve">Refrigerant Detector Requirements.’’ </w:t>
      </w:r>
      <w:r w:rsidRPr="00283806">
        <w:rPr>
          <w:rFonts w:ascii="Book Antiqua" w:hAnsi="Book Antiqua"/>
          <w:i/>
          <w:w w:val="110"/>
          <w:sz w:val="14"/>
        </w:rPr>
        <w:t>https://</w:t>
      </w:r>
      <w:r w:rsidRPr="00283806">
        <w:rPr>
          <w:rFonts w:ascii="Book Antiqua" w:hAnsi="Book Antiqua"/>
          <w:i/>
          <w:spacing w:val="40"/>
          <w:w w:val="110"/>
          <w:sz w:val="14"/>
        </w:rPr>
        <w:t xml:space="preserve"> </w:t>
      </w:r>
      <w:r w:rsidRPr="00283806">
        <w:rPr>
          <w:rFonts w:ascii="Book Antiqua" w:hAnsi="Book Antiqua"/>
          <w:i/>
          <w:spacing w:val="-2"/>
          <w:w w:val="110"/>
          <w:sz w:val="14"/>
        </w:rPr>
        <w:t>www.ul.com/insights/updated-requirements-</w:t>
      </w:r>
      <w:r w:rsidRPr="00283806">
        <w:rPr>
          <w:rFonts w:ascii="Book Antiqua" w:hAnsi="Book Antiqua"/>
          <w:i/>
          <w:spacing w:val="40"/>
          <w:w w:val="110"/>
          <w:sz w:val="14"/>
        </w:rPr>
        <w:t xml:space="preserve"> </w:t>
      </w:r>
      <w:r w:rsidRPr="00283806">
        <w:rPr>
          <w:rFonts w:ascii="Book Antiqua" w:hAnsi="Book Antiqua"/>
          <w:i/>
          <w:spacing w:val="-2"/>
          <w:w w:val="110"/>
          <w:sz w:val="14"/>
        </w:rPr>
        <w:t>refrigerant-detection-systems</w:t>
      </w:r>
      <w:r w:rsidRPr="00283806">
        <w:rPr>
          <w:spacing w:val="-2"/>
          <w:w w:val="110"/>
          <w:sz w:val="14"/>
        </w:rPr>
        <w:t>.</w:t>
      </w:r>
    </w:p>
    <w:p w14:paraId="40A05D32" w14:textId="77777777" w:rsidR="00D67C1E" w:rsidRPr="00283806" w:rsidRDefault="001265CA">
      <w:pPr>
        <w:spacing w:before="10" w:line="162" w:lineRule="exact"/>
        <w:ind w:left="300"/>
        <w:rPr>
          <w:sz w:val="14"/>
        </w:rPr>
      </w:pPr>
      <w:r w:rsidRPr="00283806">
        <w:rPr>
          <w:w w:val="110"/>
          <w:position w:val="4"/>
          <w:sz w:val="9"/>
        </w:rPr>
        <w:t>78</w:t>
      </w:r>
      <w:r w:rsidRPr="00283806">
        <w:rPr>
          <w:spacing w:val="-6"/>
          <w:w w:val="110"/>
          <w:position w:val="4"/>
          <w:sz w:val="9"/>
        </w:rPr>
        <w:t xml:space="preserve"> </w:t>
      </w:r>
      <w:r w:rsidRPr="00283806">
        <w:rPr>
          <w:w w:val="110"/>
          <w:sz w:val="14"/>
        </w:rPr>
        <w:t>UL</w:t>
      </w:r>
      <w:r w:rsidRPr="00283806">
        <w:rPr>
          <w:spacing w:val="-7"/>
          <w:w w:val="110"/>
          <w:sz w:val="14"/>
        </w:rPr>
        <w:t xml:space="preserve"> </w:t>
      </w:r>
      <w:r w:rsidRPr="00283806">
        <w:rPr>
          <w:w w:val="110"/>
          <w:sz w:val="14"/>
        </w:rPr>
        <w:t>60335–2–40,</w:t>
      </w:r>
      <w:r w:rsidRPr="00283806">
        <w:rPr>
          <w:spacing w:val="-6"/>
          <w:w w:val="110"/>
          <w:sz w:val="14"/>
        </w:rPr>
        <w:t xml:space="preserve"> </w:t>
      </w:r>
      <w:r w:rsidRPr="00283806">
        <w:rPr>
          <w:w w:val="110"/>
          <w:sz w:val="14"/>
        </w:rPr>
        <w:t>2019.</w:t>
      </w:r>
      <w:r w:rsidRPr="00283806">
        <w:rPr>
          <w:spacing w:val="-6"/>
          <w:w w:val="110"/>
          <w:sz w:val="14"/>
        </w:rPr>
        <w:t xml:space="preserve"> </w:t>
      </w:r>
      <w:r w:rsidRPr="00283806">
        <w:rPr>
          <w:w w:val="110"/>
          <w:sz w:val="14"/>
        </w:rPr>
        <w:t>Household</w:t>
      </w:r>
      <w:r w:rsidRPr="00283806">
        <w:rPr>
          <w:spacing w:val="-7"/>
          <w:w w:val="110"/>
          <w:sz w:val="14"/>
        </w:rPr>
        <w:t xml:space="preserve"> </w:t>
      </w:r>
      <w:r w:rsidRPr="00283806">
        <w:rPr>
          <w:w w:val="110"/>
          <w:sz w:val="14"/>
        </w:rPr>
        <w:t>And</w:t>
      </w:r>
      <w:r w:rsidRPr="00283806">
        <w:rPr>
          <w:spacing w:val="-6"/>
          <w:w w:val="110"/>
          <w:sz w:val="14"/>
        </w:rPr>
        <w:t xml:space="preserve"> </w:t>
      </w:r>
      <w:r w:rsidRPr="00283806">
        <w:rPr>
          <w:spacing w:val="-2"/>
          <w:w w:val="110"/>
          <w:sz w:val="14"/>
        </w:rPr>
        <w:t>Similar</w:t>
      </w:r>
    </w:p>
    <w:p w14:paraId="6324281F" w14:textId="77777777" w:rsidR="00D67C1E" w:rsidRPr="00283806" w:rsidRDefault="001265CA">
      <w:pPr>
        <w:spacing w:before="2" w:line="232" w:lineRule="auto"/>
        <w:ind w:left="160" w:right="151"/>
        <w:rPr>
          <w:sz w:val="14"/>
        </w:rPr>
      </w:pPr>
      <w:r w:rsidRPr="00283806">
        <w:rPr>
          <w:w w:val="105"/>
          <w:sz w:val="14"/>
        </w:rPr>
        <w:t>Electrical Appliances—Safety—Part 2–40:</w:t>
      </w:r>
      <w:r w:rsidRPr="00283806">
        <w:rPr>
          <w:spacing w:val="80"/>
          <w:w w:val="105"/>
          <w:sz w:val="14"/>
        </w:rPr>
        <w:t xml:space="preserve"> </w:t>
      </w:r>
      <w:proofErr w:type="gramStart"/>
      <w:r w:rsidRPr="00283806">
        <w:rPr>
          <w:w w:val="105"/>
          <w:sz w:val="14"/>
        </w:rPr>
        <w:t>Particular Requirements</w:t>
      </w:r>
      <w:proofErr w:type="gramEnd"/>
      <w:r w:rsidRPr="00283806">
        <w:rPr>
          <w:w w:val="105"/>
          <w:sz w:val="14"/>
        </w:rPr>
        <w:t xml:space="preserve"> for Electrical Heat Pumps,</w:t>
      </w:r>
      <w:r w:rsidRPr="00283806">
        <w:rPr>
          <w:spacing w:val="40"/>
          <w:w w:val="105"/>
          <w:sz w:val="14"/>
        </w:rPr>
        <w:t xml:space="preserve"> </w:t>
      </w:r>
      <w:r w:rsidRPr="00283806">
        <w:rPr>
          <w:w w:val="105"/>
          <w:sz w:val="14"/>
        </w:rPr>
        <w:t>Air-Conditioners and Dehumidifiers. Third Edition.</w:t>
      </w:r>
      <w:r w:rsidRPr="00283806">
        <w:rPr>
          <w:spacing w:val="40"/>
          <w:w w:val="105"/>
          <w:sz w:val="14"/>
        </w:rPr>
        <w:t xml:space="preserve"> </w:t>
      </w:r>
      <w:r w:rsidRPr="00283806">
        <w:rPr>
          <w:w w:val="105"/>
          <w:sz w:val="14"/>
        </w:rPr>
        <w:t>November 1, 2019.</w:t>
      </w:r>
    </w:p>
    <w:p w14:paraId="7D2408BF" w14:textId="77777777" w:rsidR="00D67C1E" w:rsidRPr="00283806" w:rsidRDefault="00D67C1E">
      <w:pPr>
        <w:spacing w:line="232" w:lineRule="auto"/>
        <w:rPr>
          <w:sz w:val="14"/>
        </w:rPr>
        <w:sectPr w:rsidR="00D67C1E" w:rsidRPr="00283806">
          <w:type w:val="continuous"/>
          <w:pgSz w:w="12240" w:h="15840"/>
          <w:pgMar w:top="880" w:right="780" w:bottom="280" w:left="740" w:header="627" w:footer="0" w:gutter="0"/>
          <w:cols w:num="3" w:space="720" w:equalWidth="0">
            <w:col w:w="3517" w:space="40"/>
            <w:col w:w="3463" w:space="60"/>
            <w:col w:w="3640"/>
          </w:cols>
        </w:sectPr>
      </w:pPr>
    </w:p>
    <w:p w14:paraId="6A707F45" w14:textId="77777777" w:rsidR="00D67C1E" w:rsidRPr="00283806" w:rsidRDefault="001265CA">
      <w:pPr>
        <w:pStyle w:val="BodyText"/>
        <w:spacing w:before="131" w:line="232" w:lineRule="auto"/>
        <w:ind w:right="9"/>
      </w:pPr>
      <w:r w:rsidRPr="00283806">
        <w:rPr>
          <w:w w:val="105"/>
        </w:rPr>
        <w:lastRenderedPageBreak/>
        <w:t>implementation of ALD systems on existing equipment.</w:t>
      </w:r>
    </w:p>
    <w:p w14:paraId="78CF6BE1" w14:textId="77777777" w:rsidR="00D67C1E" w:rsidRPr="00283806" w:rsidRDefault="001265CA">
      <w:pPr>
        <w:pStyle w:val="BodyText"/>
        <w:spacing w:before="58" w:line="232" w:lineRule="auto"/>
        <w:ind w:right="9" w:firstLine="180"/>
      </w:pPr>
      <w:r w:rsidRPr="00283806">
        <w:rPr>
          <w:w w:val="105"/>
        </w:rPr>
        <w:t>Several commenters in support of the ALD requirements discussed how the provision would provide additional benefits and/or support existing efforts for refrigerant management. One commenter stated that ALD systems</w:t>
      </w:r>
      <w:r w:rsidRPr="00283806">
        <w:rPr>
          <w:spacing w:val="40"/>
          <w:w w:val="105"/>
        </w:rPr>
        <w:t xml:space="preserve"> </w:t>
      </w:r>
      <w:r w:rsidRPr="00283806">
        <w:rPr>
          <w:w w:val="105"/>
        </w:rPr>
        <w:t>align with their commitment to environmental stewardship while maintaining the highest standards of service quality. Another commenter in support of the leak repair and ALD requirements stated the provisions would minimize releases from equipment and significantly reduce</w:t>
      </w:r>
      <w:r w:rsidRPr="00283806">
        <w:rPr>
          <w:spacing w:val="80"/>
          <w:w w:val="105"/>
        </w:rPr>
        <w:t xml:space="preserve"> </w:t>
      </w:r>
      <w:r w:rsidRPr="00283806">
        <w:rPr>
          <w:w w:val="105"/>
        </w:rPr>
        <w:t xml:space="preserve">costs for businesses. The commenter provided information that estimated each supermarket in the United States leaks roughly 875 pounds of HFCs per year at a rate of two parts per million (ppm) to 182 ppm, and all supermarkets in the United States leak emissions equivalent to burning 49 billion pounds of coal. As discussed in section IV.C.3, several commenters supported the ALD provisions as the provisions further apply </w:t>
      </w:r>
      <w:proofErr w:type="gramStart"/>
      <w:r w:rsidRPr="00283806">
        <w:rPr>
          <w:w w:val="105"/>
        </w:rPr>
        <w:t>a LRM</w:t>
      </w:r>
      <w:proofErr w:type="gramEnd"/>
      <w:r w:rsidRPr="00283806">
        <w:rPr>
          <w:w w:val="105"/>
        </w:rPr>
        <w:t xml:space="preserve"> approach to HFC </w:t>
      </w:r>
      <w:r w:rsidRPr="00283806">
        <w:rPr>
          <w:spacing w:val="-2"/>
          <w:w w:val="105"/>
        </w:rPr>
        <w:t>management.</w:t>
      </w:r>
    </w:p>
    <w:p w14:paraId="486A9392" w14:textId="77777777" w:rsidR="00D67C1E" w:rsidRPr="00283806" w:rsidRDefault="001265CA">
      <w:pPr>
        <w:pStyle w:val="BodyText"/>
        <w:spacing w:before="40" w:line="232" w:lineRule="auto"/>
        <w:ind w:right="25" w:firstLine="180"/>
      </w:pPr>
      <w:r w:rsidRPr="00283806">
        <w:rPr>
          <w:w w:val="105"/>
        </w:rPr>
        <w:t>Conversely, one commenter stated the proposed ALD requirements are not consistent with part 82 ODS requirements, where ALD systems are a compliance option, and should be amended to align with those requirements. As further discussed in section</w:t>
      </w:r>
      <w:r w:rsidRPr="00283806">
        <w:rPr>
          <w:spacing w:val="40"/>
          <w:w w:val="105"/>
        </w:rPr>
        <w:t xml:space="preserve"> </w:t>
      </w:r>
      <w:r w:rsidRPr="00283806">
        <w:rPr>
          <w:w w:val="105"/>
        </w:rPr>
        <w:t>IV.C.3.f</w:t>
      </w:r>
      <w:r w:rsidRPr="00283806">
        <w:rPr>
          <w:spacing w:val="40"/>
          <w:w w:val="105"/>
        </w:rPr>
        <w:t xml:space="preserve"> </w:t>
      </w:r>
      <w:r w:rsidRPr="00283806">
        <w:rPr>
          <w:w w:val="105"/>
        </w:rPr>
        <w:t>of</w:t>
      </w:r>
      <w:r w:rsidRPr="00283806">
        <w:rPr>
          <w:spacing w:val="40"/>
          <w:w w:val="105"/>
        </w:rPr>
        <w:t xml:space="preserve"> </w:t>
      </w:r>
      <w:r w:rsidRPr="00283806">
        <w:rPr>
          <w:w w:val="105"/>
        </w:rPr>
        <w:t>this</w:t>
      </w:r>
      <w:r w:rsidRPr="00283806">
        <w:rPr>
          <w:spacing w:val="40"/>
          <w:w w:val="105"/>
        </w:rPr>
        <w:t xml:space="preserve"> </w:t>
      </w:r>
      <w:r w:rsidRPr="00283806">
        <w:rPr>
          <w:w w:val="105"/>
        </w:rPr>
        <w:t>preamble, another commenter asserted that the AIM Act does not confer limitless authority to EPA to impose the</w:t>
      </w:r>
      <w:r w:rsidRPr="00283806">
        <w:rPr>
          <w:spacing w:val="80"/>
          <w:w w:val="105"/>
        </w:rPr>
        <w:t xml:space="preserve"> </w:t>
      </w:r>
      <w:r w:rsidRPr="00283806">
        <w:rPr>
          <w:w w:val="105"/>
        </w:rPr>
        <w:t xml:space="preserve">expansive and unnecessarily burdensome leak detection and repair requirements set forth in the proposed </w:t>
      </w:r>
      <w:r w:rsidRPr="00283806">
        <w:rPr>
          <w:spacing w:val="-2"/>
          <w:w w:val="105"/>
        </w:rPr>
        <w:t>rule.</w:t>
      </w:r>
    </w:p>
    <w:p w14:paraId="3BAC1331" w14:textId="77777777" w:rsidR="00D67C1E" w:rsidRPr="00283806" w:rsidRDefault="001265CA">
      <w:pPr>
        <w:pStyle w:val="BodyText"/>
        <w:spacing w:before="54" w:line="225" w:lineRule="auto"/>
        <w:ind w:right="63" w:firstLine="180"/>
      </w:pPr>
      <w:r w:rsidRPr="00283806">
        <w:rPr>
          <w:rFonts w:ascii="Book Antiqua"/>
          <w:i/>
          <w:w w:val="105"/>
        </w:rPr>
        <w:t xml:space="preserve">Response: </w:t>
      </w:r>
      <w:r w:rsidRPr="00283806">
        <w:rPr>
          <w:w w:val="105"/>
        </w:rPr>
        <w:t xml:space="preserve">EPA is finalizing required use of ALD systems for a specific set of IPR and commercial refrigeration appliances with a </w:t>
      </w:r>
      <w:proofErr w:type="gramStart"/>
      <w:r w:rsidRPr="00283806">
        <w:rPr>
          <w:w w:val="105"/>
        </w:rPr>
        <w:t>charge size</w:t>
      </w:r>
      <w:proofErr w:type="gramEnd"/>
      <w:r w:rsidRPr="00283806">
        <w:rPr>
          <w:w w:val="105"/>
        </w:rPr>
        <w:t xml:space="preserve"> of 1,500</w:t>
      </w:r>
    </w:p>
    <w:p w14:paraId="53691FC2" w14:textId="77777777" w:rsidR="00D67C1E" w:rsidRPr="00283806" w:rsidRDefault="001265CA">
      <w:pPr>
        <w:pStyle w:val="BodyText"/>
        <w:spacing w:line="202" w:lineRule="exact"/>
        <w:ind w:right="9"/>
      </w:pPr>
      <w:r w:rsidRPr="00283806">
        <w:rPr>
          <w:w w:val="105"/>
        </w:rPr>
        <w:t>pounds or more. The Agency acknowledges comments in support of</w:t>
      </w:r>
    </w:p>
    <w:p w14:paraId="02F430F8" w14:textId="77777777" w:rsidR="00D67C1E" w:rsidRPr="00283806" w:rsidRDefault="001265CA">
      <w:pPr>
        <w:pStyle w:val="BodyText"/>
        <w:spacing w:before="131" w:line="228" w:lineRule="auto"/>
      </w:pPr>
      <w:r w:rsidRPr="00283806">
        <w:br w:type="column"/>
      </w:r>
      <w:proofErr w:type="gramStart"/>
      <w:r w:rsidRPr="00283806">
        <w:rPr>
          <w:w w:val="105"/>
        </w:rPr>
        <w:t>the</w:t>
      </w:r>
      <w:proofErr w:type="gramEnd"/>
      <w:r w:rsidRPr="00283806">
        <w:rPr>
          <w:w w:val="105"/>
        </w:rPr>
        <w:t xml:space="preserve"> requirements under the AIM Act.</w:t>
      </w:r>
      <w:r w:rsidRPr="00283806">
        <w:rPr>
          <w:w w:val="105"/>
          <w:position w:val="4"/>
          <w:sz w:val="11"/>
        </w:rPr>
        <w:t>79</w:t>
      </w:r>
      <w:r w:rsidRPr="00283806">
        <w:rPr>
          <w:spacing w:val="40"/>
          <w:w w:val="105"/>
          <w:position w:val="4"/>
          <w:sz w:val="11"/>
        </w:rPr>
        <w:t xml:space="preserve"> </w:t>
      </w:r>
      <w:r w:rsidRPr="00283806">
        <w:rPr>
          <w:w w:val="105"/>
        </w:rPr>
        <w:t xml:space="preserve">EPA acknowledges these comments and other comments in support of the </w:t>
      </w:r>
      <w:r w:rsidRPr="00283806">
        <w:rPr>
          <w:spacing w:val="-2"/>
          <w:w w:val="105"/>
        </w:rPr>
        <w:t>provision.</w:t>
      </w:r>
    </w:p>
    <w:p w14:paraId="6D074540" w14:textId="77777777" w:rsidR="00D67C1E" w:rsidRPr="00283806" w:rsidRDefault="001265CA">
      <w:pPr>
        <w:pStyle w:val="BodyText"/>
        <w:spacing w:line="182" w:lineRule="exact"/>
        <w:ind w:left="340"/>
      </w:pPr>
      <w:r w:rsidRPr="00283806">
        <w:t>The</w:t>
      </w:r>
      <w:r w:rsidRPr="00283806">
        <w:rPr>
          <w:spacing w:val="57"/>
        </w:rPr>
        <w:t xml:space="preserve"> </w:t>
      </w:r>
      <w:r w:rsidRPr="00283806">
        <w:t>Agency</w:t>
      </w:r>
      <w:r w:rsidRPr="00283806">
        <w:rPr>
          <w:spacing w:val="57"/>
        </w:rPr>
        <w:t xml:space="preserve"> </w:t>
      </w:r>
      <w:r w:rsidRPr="00283806">
        <w:t>acknowledges</w:t>
      </w:r>
      <w:r w:rsidRPr="00283806">
        <w:rPr>
          <w:spacing w:val="57"/>
        </w:rPr>
        <w:t xml:space="preserve"> </w:t>
      </w:r>
      <w:r w:rsidRPr="00283806">
        <w:rPr>
          <w:spacing w:val="-2"/>
        </w:rPr>
        <w:t>comments</w:t>
      </w:r>
    </w:p>
    <w:p w14:paraId="4AF89A11" w14:textId="77777777" w:rsidR="00D67C1E" w:rsidRPr="00283806" w:rsidRDefault="001265CA">
      <w:pPr>
        <w:pStyle w:val="BodyText"/>
        <w:spacing w:before="3" w:line="228" w:lineRule="auto"/>
        <w:ind w:right="98"/>
      </w:pPr>
      <w:r w:rsidRPr="00283806">
        <w:rPr>
          <w:w w:val="105"/>
        </w:rPr>
        <w:t>in support of the use of ALD in IPR and commercial refrigeration with a full charge of 1,500 pounds or greater. The applicability and charge size threshold</w:t>
      </w:r>
      <w:r w:rsidRPr="00283806">
        <w:rPr>
          <w:spacing w:val="40"/>
          <w:w w:val="105"/>
        </w:rPr>
        <w:t xml:space="preserve"> </w:t>
      </w:r>
      <w:r w:rsidRPr="00283806">
        <w:rPr>
          <w:w w:val="105"/>
        </w:rPr>
        <w:t>of the provisions are discussed in</w:t>
      </w:r>
      <w:r w:rsidRPr="00283806">
        <w:rPr>
          <w:spacing w:val="40"/>
          <w:w w:val="105"/>
        </w:rPr>
        <w:t xml:space="preserve"> </w:t>
      </w:r>
      <w:r w:rsidRPr="00283806">
        <w:rPr>
          <w:w w:val="105"/>
        </w:rPr>
        <w:t>further depth later in section IV.D.1.</w:t>
      </w:r>
    </w:p>
    <w:p w14:paraId="3E3B6BA5" w14:textId="77777777" w:rsidR="00D67C1E" w:rsidRPr="00283806" w:rsidRDefault="001265CA">
      <w:pPr>
        <w:pStyle w:val="BodyText"/>
        <w:spacing w:line="228" w:lineRule="auto"/>
      </w:pPr>
      <w:r w:rsidRPr="00283806">
        <w:rPr>
          <w:w w:val="105"/>
        </w:rPr>
        <w:t xml:space="preserve">The </w:t>
      </w:r>
      <w:proofErr w:type="gramStart"/>
      <w:r w:rsidRPr="00283806">
        <w:rPr>
          <w:w w:val="105"/>
        </w:rPr>
        <w:t>Agency did review</w:t>
      </w:r>
      <w:proofErr w:type="gramEnd"/>
      <w:r w:rsidRPr="00283806">
        <w:rPr>
          <w:w w:val="105"/>
        </w:rPr>
        <w:t xml:space="preserve"> comments from ALD system manufacturers, per the commenter’s suggestion, and has responded accordingly throughout section IV.D.</w:t>
      </w:r>
    </w:p>
    <w:p w14:paraId="089D813F" w14:textId="77777777" w:rsidR="00D67C1E" w:rsidRPr="00283806" w:rsidRDefault="001265CA">
      <w:pPr>
        <w:pStyle w:val="BodyText"/>
        <w:spacing w:line="180" w:lineRule="exact"/>
        <w:ind w:left="340"/>
      </w:pPr>
      <w:r w:rsidRPr="00283806">
        <w:rPr>
          <w:w w:val="105"/>
        </w:rPr>
        <w:t>The</w:t>
      </w:r>
      <w:r w:rsidRPr="00283806">
        <w:rPr>
          <w:spacing w:val="15"/>
          <w:w w:val="105"/>
        </w:rPr>
        <w:t xml:space="preserve"> </w:t>
      </w:r>
      <w:r w:rsidRPr="00283806">
        <w:rPr>
          <w:w w:val="105"/>
        </w:rPr>
        <w:t>Agency</w:t>
      </w:r>
      <w:r w:rsidRPr="00283806">
        <w:rPr>
          <w:spacing w:val="15"/>
          <w:w w:val="105"/>
        </w:rPr>
        <w:t xml:space="preserve"> </w:t>
      </w:r>
      <w:r w:rsidRPr="00283806">
        <w:rPr>
          <w:w w:val="105"/>
        </w:rPr>
        <w:t>disagrees</w:t>
      </w:r>
      <w:r w:rsidRPr="00283806">
        <w:rPr>
          <w:spacing w:val="15"/>
          <w:w w:val="105"/>
        </w:rPr>
        <w:t xml:space="preserve"> </w:t>
      </w:r>
      <w:r w:rsidRPr="00283806">
        <w:rPr>
          <w:w w:val="105"/>
        </w:rPr>
        <w:t>with</w:t>
      </w:r>
      <w:r w:rsidRPr="00283806">
        <w:rPr>
          <w:spacing w:val="15"/>
          <w:w w:val="105"/>
        </w:rPr>
        <w:t xml:space="preserve"> </w:t>
      </w:r>
      <w:r w:rsidRPr="00283806">
        <w:rPr>
          <w:spacing w:val="-5"/>
          <w:w w:val="105"/>
        </w:rPr>
        <w:t>one</w:t>
      </w:r>
    </w:p>
    <w:p w14:paraId="1D73FB5F" w14:textId="77777777" w:rsidR="00D67C1E" w:rsidRPr="00283806" w:rsidRDefault="001265CA">
      <w:pPr>
        <w:pStyle w:val="BodyText"/>
        <w:spacing w:line="200" w:lineRule="exact"/>
        <w:ind w:right="9"/>
      </w:pPr>
      <w:r w:rsidRPr="00283806">
        <w:rPr>
          <w:w w:val="105"/>
        </w:rPr>
        <w:t>commenter’s suggestion that the Agency realign the ALD provision with 40 CFR part 82, subpart F and leave the utilization of ALD systems solely as a compliance option. The rules in 40 CFR part 82, subpart F are based on CAA section</w:t>
      </w:r>
      <w:r w:rsidRPr="00283806">
        <w:rPr>
          <w:spacing w:val="38"/>
          <w:w w:val="105"/>
        </w:rPr>
        <w:t xml:space="preserve"> </w:t>
      </w:r>
      <w:r w:rsidRPr="00283806">
        <w:rPr>
          <w:w w:val="105"/>
        </w:rPr>
        <w:t>608</w:t>
      </w:r>
      <w:r w:rsidRPr="00283806">
        <w:rPr>
          <w:spacing w:val="38"/>
          <w:w w:val="105"/>
        </w:rPr>
        <w:t xml:space="preserve"> </w:t>
      </w:r>
      <w:r w:rsidRPr="00283806">
        <w:rPr>
          <w:w w:val="105"/>
        </w:rPr>
        <w:t>which</w:t>
      </w:r>
      <w:r w:rsidRPr="00283806">
        <w:rPr>
          <w:spacing w:val="38"/>
          <w:w w:val="105"/>
        </w:rPr>
        <w:t xml:space="preserve"> </w:t>
      </w:r>
      <w:r w:rsidRPr="00283806">
        <w:rPr>
          <w:w w:val="105"/>
        </w:rPr>
        <w:t>is</w:t>
      </w:r>
      <w:r w:rsidRPr="00283806">
        <w:rPr>
          <w:spacing w:val="38"/>
          <w:w w:val="105"/>
        </w:rPr>
        <w:t xml:space="preserve"> </w:t>
      </w:r>
      <w:r w:rsidRPr="00283806">
        <w:rPr>
          <w:w w:val="105"/>
        </w:rPr>
        <w:t>based</w:t>
      </w:r>
      <w:r w:rsidRPr="00283806">
        <w:rPr>
          <w:spacing w:val="38"/>
          <w:w w:val="105"/>
        </w:rPr>
        <w:t xml:space="preserve"> </w:t>
      </w:r>
      <w:r w:rsidRPr="00283806">
        <w:rPr>
          <w:w w:val="105"/>
        </w:rPr>
        <w:t>on</w:t>
      </w:r>
      <w:r w:rsidRPr="00283806">
        <w:rPr>
          <w:spacing w:val="38"/>
          <w:w w:val="105"/>
        </w:rPr>
        <w:t xml:space="preserve"> </w:t>
      </w:r>
      <w:r w:rsidRPr="00283806">
        <w:rPr>
          <w:w w:val="105"/>
        </w:rPr>
        <w:t>a different statutory provision. While EPA concluded that it is appropriate to align many aspects of the leak repair requirements in this rule with those under CAA section 608, for certain requirements, such as this one, the conclusion to finalize a provision that is different from the requirement under CAA section 608 is also appropriate. In the time since EPA finalized that requirement in 2016, ALD systems of many types, direct and indirect, are now more widely available and the Agency</w:t>
      </w:r>
      <w:r w:rsidRPr="00283806">
        <w:rPr>
          <w:spacing w:val="40"/>
          <w:w w:val="105"/>
        </w:rPr>
        <w:t xml:space="preserve"> </w:t>
      </w:r>
      <w:r w:rsidRPr="00283806">
        <w:rPr>
          <w:w w:val="105"/>
        </w:rPr>
        <w:t>has developed a better understanding of how these various kinds of ALD systems could</w:t>
      </w:r>
      <w:r w:rsidRPr="00283806">
        <w:rPr>
          <w:spacing w:val="40"/>
          <w:w w:val="105"/>
        </w:rPr>
        <w:t xml:space="preserve"> </w:t>
      </w:r>
      <w:r w:rsidRPr="00283806">
        <w:rPr>
          <w:w w:val="105"/>
        </w:rPr>
        <w:t>be</w:t>
      </w:r>
      <w:r w:rsidRPr="00283806">
        <w:rPr>
          <w:spacing w:val="40"/>
          <w:w w:val="105"/>
        </w:rPr>
        <w:t xml:space="preserve"> </w:t>
      </w:r>
      <w:r w:rsidRPr="00283806">
        <w:rPr>
          <w:w w:val="105"/>
        </w:rPr>
        <w:t>used</w:t>
      </w:r>
      <w:r w:rsidRPr="00283806">
        <w:rPr>
          <w:spacing w:val="40"/>
          <w:w w:val="105"/>
        </w:rPr>
        <w:t xml:space="preserve"> </w:t>
      </w:r>
      <w:r w:rsidRPr="00283806">
        <w:rPr>
          <w:w w:val="105"/>
        </w:rPr>
        <w:t>to</w:t>
      </w:r>
      <w:r w:rsidRPr="00283806">
        <w:rPr>
          <w:spacing w:val="40"/>
          <w:w w:val="105"/>
        </w:rPr>
        <w:t xml:space="preserve"> </w:t>
      </w:r>
      <w:r w:rsidRPr="00283806">
        <w:rPr>
          <w:w w:val="105"/>
        </w:rPr>
        <w:t>achieve</w:t>
      </w:r>
      <w:r w:rsidRPr="00283806">
        <w:rPr>
          <w:spacing w:val="40"/>
          <w:w w:val="105"/>
        </w:rPr>
        <w:t xml:space="preserve"> </w:t>
      </w:r>
      <w:r w:rsidRPr="00283806">
        <w:rPr>
          <w:w w:val="105"/>
        </w:rPr>
        <w:t>the</w:t>
      </w:r>
      <w:r w:rsidRPr="00283806">
        <w:rPr>
          <w:spacing w:val="40"/>
          <w:w w:val="105"/>
        </w:rPr>
        <w:t xml:space="preserve"> </w:t>
      </w:r>
      <w:r w:rsidRPr="00283806">
        <w:rPr>
          <w:w w:val="105"/>
        </w:rPr>
        <w:t>purposes of subsection (h). As discussed</w:t>
      </w:r>
      <w:r w:rsidRPr="00283806">
        <w:rPr>
          <w:spacing w:val="40"/>
          <w:w w:val="105"/>
        </w:rPr>
        <w:t xml:space="preserve"> </w:t>
      </w:r>
      <w:r w:rsidRPr="00283806">
        <w:rPr>
          <w:w w:val="105"/>
        </w:rPr>
        <w:t>previously in this section, the Agency is aware</w:t>
      </w:r>
      <w:r w:rsidRPr="00283806">
        <w:rPr>
          <w:spacing w:val="40"/>
          <w:w w:val="105"/>
        </w:rPr>
        <w:t xml:space="preserve"> </w:t>
      </w:r>
      <w:r w:rsidRPr="00283806">
        <w:rPr>
          <w:w w:val="105"/>
        </w:rPr>
        <w:t>of</w:t>
      </w:r>
      <w:r w:rsidRPr="00283806">
        <w:rPr>
          <w:spacing w:val="40"/>
          <w:w w:val="105"/>
        </w:rPr>
        <w:t xml:space="preserve"> </w:t>
      </w:r>
      <w:r w:rsidRPr="00283806">
        <w:rPr>
          <w:w w:val="105"/>
        </w:rPr>
        <w:t>widespread</w:t>
      </w:r>
      <w:r w:rsidRPr="00283806">
        <w:rPr>
          <w:spacing w:val="40"/>
          <w:w w:val="105"/>
        </w:rPr>
        <w:t xml:space="preserve"> </w:t>
      </w:r>
      <w:r w:rsidRPr="00283806">
        <w:rPr>
          <w:w w:val="105"/>
        </w:rPr>
        <w:t>use</w:t>
      </w:r>
      <w:r w:rsidRPr="00283806">
        <w:rPr>
          <w:spacing w:val="40"/>
          <w:w w:val="105"/>
        </w:rPr>
        <w:t xml:space="preserve"> </w:t>
      </w:r>
      <w:r w:rsidRPr="00283806">
        <w:rPr>
          <w:w w:val="105"/>
        </w:rPr>
        <w:t>of</w:t>
      </w:r>
      <w:r w:rsidRPr="00283806">
        <w:rPr>
          <w:spacing w:val="40"/>
          <w:w w:val="105"/>
        </w:rPr>
        <w:t xml:space="preserve"> </w:t>
      </w:r>
      <w:r w:rsidRPr="00283806">
        <w:rPr>
          <w:w w:val="105"/>
        </w:rPr>
        <w:t>ALD systems used to comply with safety standards. The same or similar ALD systems can be utilized for the purposes of leak detection to support the ALD requirements. Moreover, ALD systems have been used by those seeking to monitor their systems for various</w:t>
      </w:r>
      <w:r w:rsidRPr="00283806">
        <w:rPr>
          <w:spacing w:val="40"/>
          <w:w w:val="105"/>
        </w:rPr>
        <w:t xml:space="preserve"> </w:t>
      </w:r>
      <w:r w:rsidRPr="00283806">
        <w:rPr>
          <w:w w:val="105"/>
        </w:rPr>
        <w:t xml:space="preserve">reasons besides compliance with regulations ranging from </w:t>
      </w:r>
      <w:proofErr w:type="gramStart"/>
      <w:r w:rsidRPr="00283806">
        <w:rPr>
          <w:w w:val="105"/>
        </w:rPr>
        <w:t>meeting</w:t>
      </w:r>
      <w:proofErr w:type="gramEnd"/>
    </w:p>
    <w:p w14:paraId="057F28CF" w14:textId="77777777" w:rsidR="00D67C1E" w:rsidRPr="00283806" w:rsidRDefault="001265CA">
      <w:pPr>
        <w:pStyle w:val="BodyText"/>
        <w:spacing w:before="135" w:line="225" w:lineRule="auto"/>
        <w:ind w:left="154" w:right="181"/>
      </w:pPr>
      <w:r w:rsidRPr="00283806">
        <w:br w:type="column"/>
      </w:r>
      <w:r w:rsidRPr="00283806">
        <w:rPr>
          <w:w w:val="105"/>
        </w:rPr>
        <w:t>environmental stewardship goals to reducing costs of refrigerant by</w:t>
      </w:r>
      <w:r w:rsidRPr="00283806">
        <w:rPr>
          <w:spacing w:val="80"/>
          <w:w w:val="105"/>
        </w:rPr>
        <w:t xml:space="preserve"> </w:t>
      </w:r>
      <w:r w:rsidRPr="00283806">
        <w:rPr>
          <w:w w:val="105"/>
        </w:rPr>
        <w:t>detecting and subsequently repairing leaks. EPA views leaky refrigerant- containing appliances with high charges as appliances where the utilization of ALD systems is particularly valuable, given that it may take some time for an owner or operator to become aware of a leak through other methods and given</w:t>
      </w:r>
      <w:r w:rsidRPr="00283806">
        <w:rPr>
          <w:spacing w:val="40"/>
          <w:w w:val="105"/>
        </w:rPr>
        <w:t xml:space="preserve"> </w:t>
      </w:r>
      <w:r w:rsidRPr="00283806">
        <w:rPr>
          <w:w w:val="105"/>
        </w:rPr>
        <w:t>the amount of refrigerant that could leak from the system while a leak is undetected. The requirements in the</w:t>
      </w:r>
      <w:r w:rsidRPr="00283806">
        <w:rPr>
          <w:spacing w:val="40"/>
          <w:w w:val="105"/>
        </w:rPr>
        <w:t xml:space="preserve"> </w:t>
      </w:r>
      <w:r w:rsidRPr="00283806">
        <w:rPr>
          <w:w w:val="105"/>
        </w:rPr>
        <w:t>final rule for commercial refrigeration and IPR appliances with a charge size of 1,500 pounds or greater to install and</w:t>
      </w:r>
      <w:r w:rsidRPr="00283806">
        <w:rPr>
          <w:spacing w:val="40"/>
          <w:w w:val="105"/>
        </w:rPr>
        <w:t xml:space="preserve"> </w:t>
      </w:r>
      <w:r w:rsidRPr="00283806">
        <w:rPr>
          <w:w w:val="105"/>
        </w:rPr>
        <w:t>use ALD systems will help owners or operators identify leaks in such equipment earlier so that they can take corrective action to limit the release of refrigerant from the leak. Detection of leaks in equipment is a critical step in minimizing the release of HFCs from</w:t>
      </w:r>
      <w:r w:rsidRPr="00283806">
        <w:rPr>
          <w:spacing w:val="80"/>
          <w:w w:val="150"/>
        </w:rPr>
        <w:t xml:space="preserve"> </w:t>
      </w:r>
      <w:r w:rsidRPr="00283806">
        <w:rPr>
          <w:w w:val="105"/>
        </w:rPr>
        <w:t>that equipment. Thus, requiring use of ALD in systems with charges of this magnitude is one way that the regulations work to achieve the purpose identified in subsection (h)(1) of minimizing releases of HFCs from equipment. Because the HFCs that</w:t>
      </w:r>
      <w:r w:rsidRPr="00283806">
        <w:rPr>
          <w:spacing w:val="40"/>
          <w:w w:val="105"/>
        </w:rPr>
        <w:t xml:space="preserve"> </w:t>
      </w:r>
      <w:r w:rsidRPr="00283806">
        <w:rPr>
          <w:w w:val="105"/>
        </w:rPr>
        <w:t>remain in the equipment can later be recovered and reclaimed, this requirement also helps serve the</w:t>
      </w:r>
      <w:r w:rsidRPr="00283806">
        <w:rPr>
          <w:spacing w:val="40"/>
          <w:w w:val="105"/>
        </w:rPr>
        <w:t xml:space="preserve"> </w:t>
      </w:r>
      <w:r w:rsidRPr="00283806">
        <w:rPr>
          <w:w w:val="105"/>
        </w:rPr>
        <w:t>purpose</w:t>
      </w:r>
      <w:r w:rsidRPr="00283806">
        <w:rPr>
          <w:spacing w:val="40"/>
          <w:w w:val="105"/>
        </w:rPr>
        <w:t xml:space="preserve"> </w:t>
      </w:r>
      <w:r w:rsidRPr="00283806">
        <w:rPr>
          <w:w w:val="105"/>
        </w:rPr>
        <w:t>of</w:t>
      </w:r>
      <w:r w:rsidRPr="00283806">
        <w:rPr>
          <w:spacing w:val="40"/>
          <w:w w:val="105"/>
        </w:rPr>
        <w:t xml:space="preserve"> </w:t>
      </w:r>
      <w:r w:rsidRPr="00283806">
        <w:rPr>
          <w:w w:val="105"/>
        </w:rPr>
        <w:t>maximizing</w:t>
      </w:r>
      <w:r w:rsidRPr="00283806">
        <w:rPr>
          <w:spacing w:val="40"/>
          <w:w w:val="105"/>
        </w:rPr>
        <w:t xml:space="preserve"> </w:t>
      </w:r>
      <w:r w:rsidRPr="00283806">
        <w:rPr>
          <w:w w:val="105"/>
        </w:rPr>
        <w:t>reclamation, also identified in subsection (h)(1).</w:t>
      </w:r>
    </w:p>
    <w:p w14:paraId="7A4D30A3" w14:textId="77777777" w:rsidR="00D67C1E" w:rsidRPr="00283806" w:rsidRDefault="001265CA">
      <w:pPr>
        <w:pStyle w:val="BodyText"/>
        <w:spacing w:line="167" w:lineRule="exact"/>
        <w:ind w:left="334"/>
      </w:pPr>
      <w:r w:rsidRPr="00283806">
        <w:rPr>
          <w:w w:val="105"/>
        </w:rPr>
        <w:t>EPA</w:t>
      </w:r>
      <w:r w:rsidRPr="00283806">
        <w:rPr>
          <w:spacing w:val="10"/>
          <w:w w:val="105"/>
        </w:rPr>
        <w:t xml:space="preserve"> </w:t>
      </w:r>
      <w:r w:rsidRPr="00283806">
        <w:rPr>
          <w:w w:val="105"/>
        </w:rPr>
        <w:t>addresses</w:t>
      </w:r>
      <w:r w:rsidRPr="00283806">
        <w:rPr>
          <w:spacing w:val="11"/>
          <w:w w:val="105"/>
        </w:rPr>
        <w:t xml:space="preserve"> </w:t>
      </w:r>
      <w:r w:rsidRPr="00283806">
        <w:rPr>
          <w:w w:val="105"/>
        </w:rPr>
        <w:t>the</w:t>
      </w:r>
      <w:r w:rsidRPr="00283806">
        <w:rPr>
          <w:spacing w:val="11"/>
          <w:w w:val="105"/>
        </w:rPr>
        <w:t xml:space="preserve"> </w:t>
      </w:r>
      <w:r w:rsidRPr="00283806">
        <w:rPr>
          <w:w w:val="105"/>
        </w:rPr>
        <w:t>comments</w:t>
      </w:r>
      <w:r w:rsidRPr="00283806">
        <w:rPr>
          <w:spacing w:val="11"/>
          <w:w w:val="105"/>
        </w:rPr>
        <w:t xml:space="preserve"> </w:t>
      </w:r>
      <w:r w:rsidRPr="00283806">
        <w:rPr>
          <w:w w:val="105"/>
        </w:rPr>
        <w:t>on</w:t>
      </w:r>
      <w:r w:rsidRPr="00283806">
        <w:rPr>
          <w:spacing w:val="11"/>
          <w:w w:val="105"/>
        </w:rPr>
        <w:t xml:space="preserve"> </w:t>
      </w:r>
      <w:r w:rsidRPr="00283806">
        <w:rPr>
          <w:spacing w:val="-2"/>
          <w:w w:val="105"/>
        </w:rPr>
        <w:t>legal</w:t>
      </w:r>
    </w:p>
    <w:p w14:paraId="7E4FDA31" w14:textId="77777777" w:rsidR="00D67C1E" w:rsidRPr="00283806" w:rsidRDefault="001265CA">
      <w:pPr>
        <w:pStyle w:val="BodyText"/>
        <w:spacing w:before="4" w:line="225" w:lineRule="auto"/>
        <w:ind w:left="154" w:right="119"/>
      </w:pPr>
      <w:r w:rsidRPr="00283806">
        <w:rPr>
          <w:w w:val="105"/>
        </w:rPr>
        <w:t xml:space="preserve">authority in section IV.C.3.f of this </w:t>
      </w:r>
      <w:r w:rsidRPr="00283806">
        <w:rPr>
          <w:spacing w:val="-2"/>
          <w:w w:val="105"/>
        </w:rPr>
        <w:t>preamble.</w:t>
      </w:r>
    </w:p>
    <w:p w14:paraId="5872891A" w14:textId="77777777" w:rsidR="00D67C1E" w:rsidRPr="00283806" w:rsidRDefault="001265CA">
      <w:pPr>
        <w:pStyle w:val="BodyText"/>
        <w:spacing w:line="213" w:lineRule="auto"/>
        <w:ind w:left="154" w:right="282" w:firstLine="180"/>
      </w:pPr>
      <w:r w:rsidRPr="00283806">
        <w:rPr>
          <w:rFonts w:ascii="Book Antiqua"/>
          <w:i/>
          <w:w w:val="105"/>
        </w:rPr>
        <w:t xml:space="preserve">Comment: </w:t>
      </w:r>
      <w:r w:rsidRPr="00283806">
        <w:rPr>
          <w:w w:val="105"/>
        </w:rPr>
        <w:t>Several commenters opposed</w:t>
      </w:r>
      <w:r w:rsidRPr="00283806">
        <w:rPr>
          <w:spacing w:val="11"/>
          <w:w w:val="105"/>
        </w:rPr>
        <w:t xml:space="preserve"> </w:t>
      </w:r>
      <w:r w:rsidRPr="00283806">
        <w:rPr>
          <w:w w:val="105"/>
        </w:rPr>
        <w:t>the</w:t>
      </w:r>
      <w:r w:rsidRPr="00283806">
        <w:rPr>
          <w:spacing w:val="12"/>
          <w:w w:val="105"/>
        </w:rPr>
        <w:t xml:space="preserve"> </w:t>
      </w:r>
      <w:r w:rsidRPr="00283806">
        <w:rPr>
          <w:w w:val="105"/>
        </w:rPr>
        <w:t>compliance</w:t>
      </w:r>
      <w:r w:rsidRPr="00283806">
        <w:rPr>
          <w:spacing w:val="12"/>
          <w:w w:val="105"/>
        </w:rPr>
        <w:t xml:space="preserve"> </w:t>
      </w:r>
      <w:r w:rsidRPr="00283806">
        <w:rPr>
          <w:w w:val="105"/>
        </w:rPr>
        <w:t>dates</w:t>
      </w:r>
      <w:r w:rsidRPr="00283806">
        <w:rPr>
          <w:spacing w:val="12"/>
          <w:w w:val="105"/>
        </w:rPr>
        <w:t xml:space="preserve"> </w:t>
      </w:r>
      <w:r w:rsidRPr="00283806">
        <w:rPr>
          <w:w w:val="105"/>
        </w:rPr>
        <w:t>for</w:t>
      </w:r>
      <w:r w:rsidRPr="00283806">
        <w:rPr>
          <w:spacing w:val="12"/>
          <w:w w:val="105"/>
        </w:rPr>
        <w:t xml:space="preserve"> </w:t>
      </w:r>
      <w:r w:rsidRPr="00283806">
        <w:rPr>
          <w:spacing w:val="-5"/>
          <w:w w:val="105"/>
        </w:rPr>
        <w:t>new</w:t>
      </w:r>
    </w:p>
    <w:p w14:paraId="3D029BAA" w14:textId="77777777" w:rsidR="00D67C1E" w:rsidRPr="00283806" w:rsidRDefault="001265CA">
      <w:pPr>
        <w:pStyle w:val="BodyText"/>
        <w:spacing w:line="225" w:lineRule="auto"/>
        <w:ind w:left="154" w:right="162"/>
      </w:pPr>
      <w:r w:rsidRPr="00283806">
        <w:rPr>
          <w:w w:val="105"/>
        </w:rPr>
        <w:t>appliances. One commenter expressed concerns that the 30-day timeline for installation would be unfeasible due to current inventories, supply chain constraints, and labor shortages. The commenter suggested allowing at least a one-year compliance period for systems installed within one year of publication</w:t>
      </w:r>
      <w:r w:rsidRPr="00283806">
        <w:rPr>
          <w:spacing w:val="40"/>
          <w:w w:val="105"/>
        </w:rPr>
        <w:t xml:space="preserve"> </w:t>
      </w:r>
      <w:r w:rsidRPr="00283806">
        <w:rPr>
          <w:w w:val="105"/>
        </w:rPr>
        <w:t>of the final rule. Another commenter echoed the need for an additional year after publication of the final rule and stated</w:t>
      </w:r>
      <w:r w:rsidRPr="00283806">
        <w:rPr>
          <w:spacing w:val="-1"/>
          <w:w w:val="105"/>
        </w:rPr>
        <w:t xml:space="preserve"> </w:t>
      </w:r>
      <w:r w:rsidRPr="00283806">
        <w:rPr>
          <w:w w:val="105"/>
        </w:rPr>
        <w:t>that</w:t>
      </w:r>
      <w:r w:rsidRPr="00283806">
        <w:rPr>
          <w:spacing w:val="-1"/>
          <w:w w:val="105"/>
        </w:rPr>
        <w:t xml:space="preserve"> </w:t>
      </w:r>
      <w:r w:rsidRPr="00283806">
        <w:rPr>
          <w:w w:val="105"/>
        </w:rPr>
        <w:t>installation</w:t>
      </w:r>
      <w:r w:rsidRPr="00283806">
        <w:rPr>
          <w:spacing w:val="-1"/>
          <w:w w:val="105"/>
        </w:rPr>
        <w:t xml:space="preserve"> </w:t>
      </w:r>
      <w:r w:rsidRPr="00283806">
        <w:rPr>
          <w:w w:val="105"/>
        </w:rPr>
        <w:t>projects</w:t>
      </w:r>
      <w:r w:rsidRPr="00283806">
        <w:rPr>
          <w:spacing w:val="-1"/>
          <w:w w:val="105"/>
        </w:rPr>
        <w:t xml:space="preserve"> </w:t>
      </w:r>
      <w:r w:rsidRPr="00283806">
        <w:rPr>
          <w:w w:val="105"/>
        </w:rPr>
        <w:t>are</w:t>
      </w:r>
      <w:r w:rsidRPr="00283806">
        <w:rPr>
          <w:spacing w:val="-1"/>
          <w:w w:val="105"/>
        </w:rPr>
        <w:t xml:space="preserve"> </w:t>
      </w:r>
      <w:r w:rsidRPr="00283806">
        <w:rPr>
          <w:w w:val="105"/>
        </w:rPr>
        <w:t>often</w:t>
      </w:r>
    </w:p>
    <w:p w14:paraId="281A8DD8"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488" w:space="53"/>
            <w:col w:w="3506" w:space="39"/>
            <w:col w:w="3634"/>
          </w:cols>
        </w:sectPr>
      </w:pPr>
    </w:p>
    <w:p w14:paraId="1DC05D14" w14:textId="77777777" w:rsidR="00D67C1E" w:rsidRPr="00283806" w:rsidRDefault="001265CA">
      <w:pPr>
        <w:pStyle w:val="BodyText"/>
        <w:tabs>
          <w:tab w:val="left" w:pos="3699"/>
          <w:tab w:val="left" w:pos="4699"/>
        </w:tabs>
        <w:spacing w:line="87" w:lineRule="exact"/>
      </w:pPr>
      <w:r w:rsidRPr="00283806">
        <w:rPr>
          <w:w w:val="105"/>
        </w:rPr>
        <w:t>the</w:t>
      </w:r>
      <w:r w:rsidRPr="00283806">
        <w:rPr>
          <w:spacing w:val="13"/>
          <w:w w:val="105"/>
        </w:rPr>
        <w:t xml:space="preserve"> </w:t>
      </w:r>
      <w:r w:rsidRPr="00283806">
        <w:rPr>
          <w:w w:val="105"/>
        </w:rPr>
        <w:t>ALD</w:t>
      </w:r>
      <w:r w:rsidRPr="00283806">
        <w:rPr>
          <w:spacing w:val="13"/>
          <w:w w:val="105"/>
        </w:rPr>
        <w:t xml:space="preserve"> </w:t>
      </w:r>
      <w:r w:rsidRPr="00283806">
        <w:rPr>
          <w:w w:val="105"/>
        </w:rPr>
        <w:t>provision</w:t>
      </w:r>
      <w:r w:rsidRPr="00283806">
        <w:rPr>
          <w:spacing w:val="13"/>
          <w:w w:val="105"/>
        </w:rPr>
        <w:t xml:space="preserve"> </w:t>
      </w:r>
      <w:r w:rsidRPr="00283806">
        <w:rPr>
          <w:w w:val="105"/>
        </w:rPr>
        <w:t>and</w:t>
      </w:r>
      <w:r w:rsidRPr="00283806">
        <w:rPr>
          <w:spacing w:val="13"/>
          <w:w w:val="105"/>
        </w:rPr>
        <w:t xml:space="preserve"> </w:t>
      </w:r>
      <w:r w:rsidRPr="00283806">
        <w:rPr>
          <w:w w:val="105"/>
        </w:rPr>
        <w:t>agrees</w:t>
      </w:r>
      <w:r w:rsidRPr="00283806">
        <w:rPr>
          <w:spacing w:val="13"/>
          <w:w w:val="105"/>
        </w:rPr>
        <w:t xml:space="preserve"> </w:t>
      </w:r>
      <w:r w:rsidRPr="00283806">
        <w:rPr>
          <w:spacing w:val="-4"/>
          <w:w w:val="105"/>
        </w:rPr>
        <w:t>with</w:t>
      </w:r>
      <w:r w:rsidRPr="00283806">
        <w:tab/>
      </w:r>
      <w:r w:rsidRPr="00283806">
        <w:rPr>
          <w:u w:val="single"/>
        </w:rPr>
        <w:tab/>
      </w:r>
    </w:p>
    <w:p w14:paraId="77BF9849" w14:textId="77777777" w:rsidR="00D67C1E" w:rsidRPr="00283806" w:rsidRDefault="001265CA">
      <w:pPr>
        <w:pStyle w:val="BodyText"/>
        <w:spacing w:line="87" w:lineRule="exact"/>
      </w:pPr>
      <w:r w:rsidRPr="00283806">
        <w:br w:type="column"/>
      </w:r>
      <w:r w:rsidRPr="00283806">
        <w:rPr>
          <w:w w:val="105"/>
        </w:rPr>
        <w:t>planned</w:t>
      </w:r>
      <w:r w:rsidRPr="00283806">
        <w:rPr>
          <w:spacing w:val="10"/>
          <w:w w:val="105"/>
        </w:rPr>
        <w:t xml:space="preserve"> </w:t>
      </w:r>
      <w:r w:rsidRPr="00283806">
        <w:rPr>
          <w:w w:val="105"/>
        </w:rPr>
        <w:t>months</w:t>
      </w:r>
      <w:r w:rsidRPr="00283806">
        <w:rPr>
          <w:spacing w:val="11"/>
          <w:w w:val="105"/>
        </w:rPr>
        <w:t xml:space="preserve"> </w:t>
      </w:r>
      <w:r w:rsidRPr="00283806">
        <w:rPr>
          <w:w w:val="105"/>
        </w:rPr>
        <w:t>to</w:t>
      </w:r>
      <w:r w:rsidRPr="00283806">
        <w:rPr>
          <w:spacing w:val="10"/>
          <w:w w:val="105"/>
        </w:rPr>
        <w:t xml:space="preserve"> </w:t>
      </w:r>
      <w:r w:rsidRPr="00283806">
        <w:rPr>
          <w:w w:val="105"/>
        </w:rPr>
        <w:t>years</w:t>
      </w:r>
      <w:r w:rsidRPr="00283806">
        <w:rPr>
          <w:spacing w:val="11"/>
          <w:w w:val="105"/>
        </w:rPr>
        <w:t xml:space="preserve"> </w:t>
      </w:r>
      <w:r w:rsidRPr="00283806">
        <w:rPr>
          <w:w w:val="105"/>
        </w:rPr>
        <w:t>in</w:t>
      </w:r>
      <w:r w:rsidRPr="00283806">
        <w:rPr>
          <w:spacing w:val="10"/>
          <w:w w:val="105"/>
        </w:rPr>
        <w:t xml:space="preserve"> </w:t>
      </w:r>
      <w:r w:rsidRPr="00283806">
        <w:rPr>
          <w:spacing w:val="-2"/>
          <w:w w:val="105"/>
        </w:rPr>
        <w:t>advance.</w:t>
      </w:r>
    </w:p>
    <w:p w14:paraId="0C42286D" w14:textId="77777777" w:rsidR="00D67C1E" w:rsidRPr="00283806" w:rsidRDefault="00D67C1E">
      <w:pPr>
        <w:spacing w:line="87" w:lineRule="exact"/>
        <w:sectPr w:rsidR="00D67C1E" w:rsidRPr="00283806">
          <w:type w:val="continuous"/>
          <w:pgSz w:w="12240" w:h="15840"/>
          <w:pgMar w:top="880" w:right="780" w:bottom="280" w:left="740" w:header="627" w:footer="0" w:gutter="0"/>
          <w:cols w:num="2" w:space="720" w:equalWidth="0">
            <w:col w:w="4740" w:space="2340"/>
            <w:col w:w="3640"/>
          </w:cols>
        </w:sectPr>
      </w:pPr>
    </w:p>
    <w:p w14:paraId="61159378" w14:textId="77777777" w:rsidR="00D67C1E" w:rsidRPr="00283806" w:rsidRDefault="001265CA">
      <w:pPr>
        <w:pStyle w:val="BodyText"/>
        <w:spacing w:before="111" w:line="230" w:lineRule="auto"/>
        <w:ind w:right="58"/>
      </w:pPr>
      <w:r w:rsidRPr="00283806">
        <w:rPr>
          <w:w w:val="105"/>
        </w:rPr>
        <w:t>commenters on the environmental benefits,</w:t>
      </w:r>
      <w:r w:rsidRPr="00283806">
        <w:rPr>
          <w:spacing w:val="40"/>
          <w:w w:val="105"/>
        </w:rPr>
        <w:t xml:space="preserve"> </w:t>
      </w:r>
      <w:r w:rsidRPr="00283806">
        <w:rPr>
          <w:w w:val="105"/>
        </w:rPr>
        <w:t>reduction</w:t>
      </w:r>
      <w:r w:rsidRPr="00283806">
        <w:rPr>
          <w:spacing w:val="40"/>
          <w:w w:val="105"/>
        </w:rPr>
        <w:t xml:space="preserve"> </w:t>
      </w:r>
      <w:r w:rsidRPr="00283806">
        <w:rPr>
          <w:w w:val="105"/>
        </w:rPr>
        <w:t>of</w:t>
      </w:r>
      <w:r w:rsidRPr="00283806">
        <w:rPr>
          <w:spacing w:val="40"/>
          <w:w w:val="105"/>
        </w:rPr>
        <w:t xml:space="preserve"> </w:t>
      </w:r>
      <w:r w:rsidRPr="00283806">
        <w:rPr>
          <w:w w:val="105"/>
        </w:rPr>
        <w:t>financial</w:t>
      </w:r>
      <w:r w:rsidRPr="00283806">
        <w:rPr>
          <w:spacing w:val="40"/>
          <w:w w:val="105"/>
        </w:rPr>
        <w:t xml:space="preserve"> </w:t>
      </w:r>
      <w:r w:rsidRPr="00283806">
        <w:rPr>
          <w:w w:val="105"/>
        </w:rPr>
        <w:t>risks, and fugitive emissions associated with ALD requirements. EPA also agrees with commenters that the ALD provision will strengthen refrigerant management programs in States that require ALD.</w:t>
      </w:r>
      <w:r w:rsidRPr="00283806">
        <w:rPr>
          <w:spacing w:val="80"/>
          <w:w w:val="105"/>
        </w:rPr>
        <w:t xml:space="preserve"> </w:t>
      </w:r>
      <w:r w:rsidRPr="00283806">
        <w:rPr>
          <w:w w:val="105"/>
        </w:rPr>
        <w:t>EPA acknowledges the analysis of the amount</w:t>
      </w:r>
      <w:r w:rsidRPr="00283806">
        <w:rPr>
          <w:spacing w:val="40"/>
          <w:w w:val="105"/>
        </w:rPr>
        <w:t xml:space="preserve"> </w:t>
      </w:r>
      <w:r w:rsidRPr="00283806">
        <w:rPr>
          <w:w w:val="105"/>
        </w:rPr>
        <w:t>of</w:t>
      </w:r>
      <w:r w:rsidRPr="00283806">
        <w:rPr>
          <w:spacing w:val="40"/>
          <w:w w:val="105"/>
        </w:rPr>
        <w:t xml:space="preserve"> </w:t>
      </w:r>
      <w:r w:rsidRPr="00283806">
        <w:rPr>
          <w:w w:val="105"/>
        </w:rPr>
        <w:t>emissions</w:t>
      </w:r>
      <w:r w:rsidRPr="00283806">
        <w:rPr>
          <w:spacing w:val="40"/>
          <w:w w:val="105"/>
        </w:rPr>
        <w:t xml:space="preserve"> </w:t>
      </w:r>
      <w:r w:rsidRPr="00283806">
        <w:rPr>
          <w:w w:val="105"/>
        </w:rPr>
        <w:t>avoided</w:t>
      </w:r>
      <w:r w:rsidRPr="00283806">
        <w:rPr>
          <w:spacing w:val="40"/>
          <w:w w:val="105"/>
        </w:rPr>
        <w:t xml:space="preserve"> </w:t>
      </w:r>
      <w:r w:rsidRPr="00283806">
        <w:rPr>
          <w:w w:val="105"/>
        </w:rPr>
        <w:t>by</w:t>
      </w:r>
      <w:r w:rsidRPr="00283806">
        <w:rPr>
          <w:spacing w:val="40"/>
          <w:w w:val="105"/>
        </w:rPr>
        <w:t xml:space="preserve"> </w:t>
      </w:r>
      <w:r w:rsidRPr="00283806">
        <w:rPr>
          <w:w w:val="105"/>
        </w:rPr>
        <w:t>the ALD provision. The Agency also agrees with one commenter’s statement that</w:t>
      </w:r>
      <w:r w:rsidRPr="00283806">
        <w:rPr>
          <w:spacing w:val="40"/>
          <w:w w:val="105"/>
        </w:rPr>
        <w:t xml:space="preserve"> </w:t>
      </w:r>
      <w:r w:rsidRPr="00283806">
        <w:rPr>
          <w:w w:val="105"/>
        </w:rPr>
        <w:t>this provision expands on requirements that previously applied to HFCs under CAA section 608 and will provide additional benefits from reconsidering</w:t>
      </w:r>
    </w:p>
    <w:p w14:paraId="13C75370" w14:textId="77777777" w:rsidR="00D67C1E" w:rsidRPr="00283806" w:rsidRDefault="001265CA">
      <w:pPr>
        <w:spacing w:before="135" w:line="232" w:lineRule="auto"/>
        <w:ind w:left="154" w:firstLine="140"/>
        <w:rPr>
          <w:sz w:val="14"/>
        </w:rPr>
      </w:pPr>
      <w:r w:rsidRPr="00283806">
        <w:br w:type="column"/>
      </w:r>
      <w:r w:rsidRPr="00283806">
        <w:rPr>
          <w:w w:val="105"/>
          <w:position w:val="4"/>
          <w:sz w:val="9"/>
        </w:rPr>
        <w:t xml:space="preserve">79 </w:t>
      </w:r>
      <w:r w:rsidRPr="00283806">
        <w:rPr>
          <w:w w:val="105"/>
          <w:sz w:val="14"/>
        </w:rPr>
        <w:t>The commenter also indicated that the</w:t>
      </w:r>
      <w:r w:rsidRPr="00283806">
        <w:rPr>
          <w:spacing w:val="40"/>
          <w:w w:val="105"/>
          <w:sz w:val="14"/>
        </w:rPr>
        <w:t xml:space="preserve"> </w:t>
      </w:r>
      <w:r w:rsidRPr="00283806">
        <w:rPr>
          <w:w w:val="105"/>
          <w:sz w:val="14"/>
        </w:rPr>
        <w:t>requirements that applied to certain substitute</w:t>
      </w:r>
      <w:r w:rsidRPr="00283806">
        <w:rPr>
          <w:spacing w:val="40"/>
          <w:w w:val="105"/>
          <w:sz w:val="14"/>
        </w:rPr>
        <w:t xml:space="preserve"> </w:t>
      </w:r>
      <w:r w:rsidRPr="00283806">
        <w:rPr>
          <w:w w:val="105"/>
          <w:sz w:val="14"/>
        </w:rPr>
        <w:t>refrigerants under CAA section 608 were ‘‘vacated.’’</w:t>
      </w:r>
      <w:r w:rsidRPr="00283806">
        <w:rPr>
          <w:spacing w:val="40"/>
          <w:w w:val="105"/>
          <w:sz w:val="14"/>
        </w:rPr>
        <w:t xml:space="preserve"> </w:t>
      </w:r>
      <w:r w:rsidRPr="00283806">
        <w:rPr>
          <w:w w:val="105"/>
          <w:sz w:val="14"/>
        </w:rPr>
        <w:t>While</w:t>
      </w:r>
      <w:r w:rsidRPr="00283806">
        <w:rPr>
          <w:spacing w:val="33"/>
          <w:w w:val="105"/>
          <w:sz w:val="14"/>
        </w:rPr>
        <w:t xml:space="preserve"> </w:t>
      </w:r>
      <w:r w:rsidRPr="00283806">
        <w:rPr>
          <w:w w:val="105"/>
          <w:sz w:val="14"/>
        </w:rPr>
        <w:t>actions</w:t>
      </w:r>
      <w:r w:rsidRPr="00283806">
        <w:rPr>
          <w:spacing w:val="33"/>
          <w:w w:val="105"/>
          <w:sz w:val="14"/>
        </w:rPr>
        <w:t xml:space="preserve"> </w:t>
      </w:r>
      <w:r w:rsidRPr="00283806">
        <w:rPr>
          <w:w w:val="105"/>
          <w:sz w:val="14"/>
        </w:rPr>
        <w:t>under</w:t>
      </w:r>
      <w:r w:rsidRPr="00283806">
        <w:rPr>
          <w:spacing w:val="33"/>
          <w:w w:val="105"/>
          <w:sz w:val="14"/>
        </w:rPr>
        <w:t xml:space="preserve"> </w:t>
      </w:r>
      <w:r w:rsidRPr="00283806">
        <w:rPr>
          <w:w w:val="105"/>
          <w:sz w:val="14"/>
        </w:rPr>
        <w:t>CAA</w:t>
      </w:r>
      <w:r w:rsidRPr="00283806">
        <w:rPr>
          <w:spacing w:val="33"/>
          <w:w w:val="105"/>
          <w:sz w:val="14"/>
        </w:rPr>
        <w:t xml:space="preserve"> </w:t>
      </w:r>
      <w:r w:rsidRPr="00283806">
        <w:rPr>
          <w:w w:val="105"/>
          <w:sz w:val="14"/>
        </w:rPr>
        <w:t>section</w:t>
      </w:r>
      <w:r w:rsidRPr="00283806">
        <w:rPr>
          <w:spacing w:val="33"/>
          <w:w w:val="105"/>
          <w:sz w:val="14"/>
        </w:rPr>
        <w:t xml:space="preserve"> </w:t>
      </w:r>
      <w:r w:rsidRPr="00283806">
        <w:rPr>
          <w:w w:val="105"/>
          <w:sz w:val="14"/>
        </w:rPr>
        <w:t>608</w:t>
      </w:r>
      <w:r w:rsidRPr="00283806">
        <w:rPr>
          <w:spacing w:val="33"/>
          <w:w w:val="105"/>
          <w:sz w:val="14"/>
        </w:rPr>
        <w:t xml:space="preserve"> </w:t>
      </w:r>
      <w:r w:rsidRPr="00283806">
        <w:rPr>
          <w:w w:val="105"/>
          <w:sz w:val="14"/>
        </w:rPr>
        <w:t>are</w:t>
      </w:r>
      <w:r w:rsidRPr="00283806">
        <w:rPr>
          <w:spacing w:val="33"/>
          <w:w w:val="105"/>
          <w:sz w:val="14"/>
        </w:rPr>
        <w:t xml:space="preserve"> </w:t>
      </w:r>
      <w:r w:rsidRPr="00283806">
        <w:rPr>
          <w:w w:val="105"/>
          <w:sz w:val="14"/>
        </w:rPr>
        <w:t>outside</w:t>
      </w:r>
      <w:r w:rsidRPr="00283806">
        <w:rPr>
          <w:spacing w:val="40"/>
          <w:w w:val="105"/>
          <w:sz w:val="14"/>
        </w:rPr>
        <w:t xml:space="preserve"> </w:t>
      </w:r>
      <w:r w:rsidRPr="00283806">
        <w:rPr>
          <w:w w:val="105"/>
          <w:sz w:val="14"/>
        </w:rPr>
        <w:t>the scope of this rulemaking, the Agency notes for</w:t>
      </w:r>
      <w:r w:rsidRPr="00283806">
        <w:rPr>
          <w:spacing w:val="40"/>
          <w:w w:val="105"/>
          <w:sz w:val="14"/>
        </w:rPr>
        <w:t xml:space="preserve"> </w:t>
      </w:r>
      <w:r w:rsidRPr="00283806">
        <w:rPr>
          <w:w w:val="105"/>
          <w:sz w:val="14"/>
        </w:rPr>
        <w:t>purposes of clarity and to avoid confusion that as</w:t>
      </w:r>
      <w:r w:rsidRPr="00283806">
        <w:rPr>
          <w:spacing w:val="40"/>
          <w:w w:val="105"/>
          <w:sz w:val="14"/>
        </w:rPr>
        <w:t xml:space="preserve"> </w:t>
      </w:r>
      <w:r w:rsidRPr="00283806">
        <w:rPr>
          <w:w w:val="105"/>
          <w:sz w:val="14"/>
        </w:rPr>
        <w:t>discussed in greater detail in section III.C.1., EPA</w:t>
      </w:r>
      <w:r w:rsidRPr="00283806">
        <w:rPr>
          <w:spacing w:val="40"/>
          <w:w w:val="105"/>
          <w:sz w:val="14"/>
        </w:rPr>
        <w:t xml:space="preserve"> </w:t>
      </w:r>
      <w:r w:rsidRPr="00283806">
        <w:rPr>
          <w:w w:val="105"/>
          <w:sz w:val="14"/>
        </w:rPr>
        <w:t>issued a rule in 2020 under section 608 which</w:t>
      </w:r>
      <w:r w:rsidRPr="00283806">
        <w:rPr>
          <w:spacing w:val="40"/>
          <w:w w:val="105"/>
          <w:sz w:val="14"/>
        </w:rPr>
        <w:t xml:space="preserve"> </w:t>
      </w:r>
      <w:r w:rsidRPr="00283806">
        <w:rPr>
          <w:w w:val="105"/>
          <w:sz w:val="14"/>
        </w:rPr>
        <w:t>rescinded the 2016 extension of the leak repair</w:t>
      </w:r>
      <w:r w:rsidRPr="00283806">
        <w:rPr>
          <w:spacing w:val="40"/>
          <w:w w:val="105"/>
          <w:sz w:val="14"/>
        </w:rPr>
        <w:t xml:space="preserve"> </w:t>
      </w:r>
      <w:r w:rsidRPr="00283806">
        <w:rPr>
          <w:w w:val="105"/>
          <w:sz w:val="14"/>
        </w:rPr>
        <w:t>requirements to appliances using HFCs and other</w:t>
      </w:r>
      <w:r w:rsidRPr="00283806">
        <w:rPr>
          <w:spacing w:val="40"/>
          <w:w w:val="105"/>
          <w:sz w:val="14"/>
        </w:rPr>
        <w:t xml:space="preserve"> </w:t>
      </w:r>
      <w:r w:rsidRPr="00283806">
        <w:rPr>
          <w:w w:val="105"/>
          <w:sz w:val="14"/>
        </w:rPr>
        <w:t>non-exempt substitute refrigerants (85 FR 14150,</w:t>
      </w:r>
      <w:r w:rsidRPr="00283806">
        <w:rPr>
          <w:spacing w:val="40"/>
          <w:w w:val="105"/>
          <w:sz w:val="14"/>
        </w:rPr>
        <w:t xml:space="preserve"> </w:t>
      </w:r>
      <w:r w:rsidRPr="00283806">
        <w:rPr>
          <w:w w:val="105"/>
          <w:sz w:val="14"/>
        </w:rPr>
        <w:t>March 11, 2020). Thus, it was a rulemaking by EPA</w:t>
      </w:r>
      <w:r w:rsidRPr="00283806">
        <w:rPr>
          <w:spacing w:val="40"/>
          <w:w w:val="105"/>
          <w:sz w:val="14"/>
        </w:rPr>
        <w:t xml:space="preserve"> </w:t>
      </w:r>
      <w:r w:rsidRPr="00283806">
        <w:rPr>
          <w:w w:val="105"/>
          <w:sz w:val="14"/>
        </w:rPr>
        <w:t>that resulted in the leak repair requirements in 40</w:t>
      </w:r>
      <w:r w:rsidRPr="00283806">
        <w:rPr>
          <w:spacing w:val="40"/>
          <w:w w:val="105"/>
          <w:sz w:val="14"/>
        </w:rPr>
        <w:t xml:space="preserve"> </w:t>
      </w:r>
      <w:r w:rsidRPr="00283806">
        <w:rPr>
          <w:w w:val="105"/>
          <w:sz w:val="14"/>
        </w:rPr>
        <w:t>CFR 82.157 no longer applying to appliances that</w:t>
      </w:r>
      <w:r w:rsidRPr="00283806">
        <w:rPr>
          <w:spacing w:val="80"/>
          <w:w w:val="105"/>
          <w:sz w:val="14"/>
        </w:rPr>
        <w:t xml:space="preserve"> </w:t>
      </w:r>
      <w:r w:rsidRPr="00283806">
        <w:rPr>
          <w:w w:val="105"/>
          <w:sz w:val="14"/>
        </w:rPr>
        <w:t>use substitute refrigerants. While petitions for</w:t>
      </w:r>
      <w:r w:rsidRPr="00283806">
        <w:rPr>
          <w:spacing w:val="40"/>
          <w:w w:val="105"/>
          <w:sz w:val="14"/>
        </w:rPr>
        <w:t xml:space="preserve"> </w:t>
      </w:r>
      <w:r w:rsidRPr="00283806">
        <w:rPr>
          <w:w w:val="105"/>
          <w:sz w:val="14"/>
        </w:rPr>
        <w:t>judicial review were filed on the 2020 rule, the case</w:t>
      </w:r>
      <w:r w:rsidRPr="00283806">
        <w:rPr>
          <w:spacing w:val="40"/>
          <w:w w:val="105"/>
          <w:sz w:val="14"/>
        </w:rPr>
        <w:t xml:space="preserve"> </w:t>
      </w:r>
      <w:r w:rsidRPr="00283806">
        <w:rPr>
          <w:w w:val="105"/>
          <w:sz w:val="14"/>
        </w:rPr>
        <w:t>is</w:t>
      </w:r>
      <w:r w:rsidRPr="00283806">
        <w:rPr>
          <w:spacing w:val="24"/>
          <w:w w:val="105"/>
          <w:sz w:val="14"/>
        </w:rPr>
        <w:t xml:space="preserve"> </w:t>
      </w:r>
      <w:r w:rsidRPr="00283806">
        <w:rPr>
          <w:w w:val="105"/>
          <w:sz w:val="14"/>
        </w:rPr>
        <w:t>currently</w:t>
      </w:r>
      <w:r w:rsidRPr="00283806">
        <w:rPr>
          <w:spacing w:val="24"/>
          <w:w w:val="105"/>
          <w:sz w:val="14"/>
        </w:rPr>
        <w:t xml:space="preserve"> </w:t>
      </w:r>
      <w:r w:rsidRPr="00283806">
        <w:rPr>
          <w:w w:val="105"/>
          <w:sz w:val="14"/>
        </w:rPr>
        <w:t>in</w:t>
      </w:r>
      <w:r w:rsidRPr="00283806">
        <w:rPr>
          <w:spacing w:val="24"/>
          <w:w w:val="105"/>
          <w:sz w:val="14"/>
        </w:rPr>
        <w:t xml:space="preserve"> </w:t>
      </w:r>
      <w:r w:rsidRPr="00283806">
        <w:rPr>
          <w:w w:val="105"/>
          <w:sz w:val="14"/>
        </w:rPr>
        <w:t>abeyance</w:t>
      </w:r>
      <w:r w:rsidRPr="00283806">
        <w:rPr>
          <w:spacing w:val="24"/>
          <w:w w:val="105"/>
          <w:sz w:val="14"/>
        </w:rPr>
        <w:t xml:space="preserve"> </w:t>
      </w:r>
      <w:r w:rsidRPr="00283806">
        <w:rPr>
          <w:w w:val="105"/>
          <w:sz w:val="14"/>
        </w:rPr>
        <w:t>and</w:t>
      </w:r>
      <w:r w:rsidRPr="00283806">
        <w:rPr>
          <w:spacing w:val="24"/>
          <w:w w:val="105"/>
          <w:sz w:val="14"/>
        </w:rPr>
        <w:t xml:space="preserve"> </w:t>
      </w:r>
      <w:r w:rsidRPr="00283806">
        <w:rPr>
          <w:w w:val="105"/>
          <w:sz w:val="14"/>
        </w:rPr>
        <w:t>the</w:t>
      </w:r>
      <w:r w:rsidRPr="00283806">
        <w:rPr>
          <w:spacing w:val="24"/>
          <w:w w:val="105"/>
          <w:sz w:val="14"/>
        </w:rPr>
        <w:t xml:space="preserve"> </w:t>
      </w:r>
      <w:r w:rsidRPr="00283806">
        <w:rPr>
          <w:w w:val="105"/>
          <w:sz w:val="14"/>
        </w:rPr>
        <w:t>court</w:t>
      </w:r>
      <w:r w:rsidRPr="00283806">
        <w:rPr>
          <w:spacing w:val="24"/>
          <w:w w:val="105"/>
          <w:sz w:val="14"/>
        </w:rPr>
        <w:t xml:space="preserve"> </w:t>
      </w:r>
      <w:r w:rsidRPr="00283806">
        <w:rPr>
          <w:w w:val="105"/>
          <w:sz w:val="14"/>
        </w:rPr>
        <w:t>has</w:t>
      </w:r>
      <w:r w:rsidRPr="00283806">
        <w:rPr>
          <w:spacing w:val="24"/>
          <w:w w:val="105"/>
          <w:sz w:val="14"/>
        </w:rPr>
        <w:t xml:space="preserve"> </w:t>
      </w:r>
      <w:r w:rsidRPr="00283806">
        <w:rPr>
          <w:w w:val="105"/>
          <w:sz w:val="14"/>
        </w:rPr>
        <w:t>not</w:t>
      </w:r>
      <w:r w:rsidRPr="00283806">
        <w:rPr>
          <w:spacing w:val="40"/>
          <w:w w:val="105"/>
          <w:sz w:val="14"/>
        </w:rPr>
        <w:t xml:space="preserve"> </w:t>
      </w:r>
      <w:r w:rsidRPr="00283806">
        <w:rPr>
          <w:w w:val="105"/>
          <w:sz w:val="14"/>
        </w:rPr>
        <w:t>issued any final decision nor has it vacated those</w:t>
      </w:r>
      <w:r w:rsidRPr="00283806">
        <w:rPr>
          <w:spacing w:val="40"/>
          <w:w w:val="105"/>
          <w:sz w:val="14"/>
        </w:rPr>
        <w:t xml:space="preserve"> </w:t>
      </w:r>
      <w:r w:rsidRPr="00283806">
        <w:rPr>
          <w:spacing w:val="-2"/>
          <w:w w:val="105"/>
          <w:sz w:val="14"/>
        </w:rPr>
        <w:t>requirements.</w:t>
      </w:r>
    </w:p>
    <w:p w14:paraId="60D8B84B" w14:textId="77777777" w:rsidR="00D67C1E" w:rsidRPr="00283806" w:rsidRDefault="001265CA">
      <w:pPr>
        <w:pStyle w:val="BodyText"/>
        <w:spacing w:before="10" w:line="225" w:lineRule="auto"/>
        <w:ind w:left="157" w:right="234"/>
      </w:pPr>
      <w:r w:rsidRPr="00283806">
        <w:br w:type="column"/>
      </w:r>
      <w:r w:rsidRPr="00283806">
        <w:rPr>
          <w:w w:val="105"/>
        </w:rPr>
        <w:t>Both commenters stated that additional time would allow for the preparation of operating procedures and training of personnel to operate and maintain equipment. One commenter stated the proposal’s compliance dates were unclear and inadequate given the anticipated demand created by the</w:t>
      </w:r>
      <w:r w:rsidRPr="00283806">
        <w:rPr>
          <w:spacing w:val="40"/>
          <w:w w:val="105"/>
        </w:rPr>
        <w:t xml:space="preserve"> </w:t>
      </w:r>
      <w:r w:rsidRPr="00283806">
        <w:rPr>
          <w:w w:val="105"/>
        </w:rPr>
        <w:t>rule’s provisions.</w:t>
      </w:r>
    </w:p>
    <w:p w14:paraId="7522EF75" w14:textId="77777777" w:rsidR="00D67C1E" w:rsidRPr="00283806" w:rsidRDefault="001265CA">
      <w:pPr>
        <w:pStyle w:val="BodyText"/>
        <w:spacing w:line="223" w:lineRule="auto"/>
        <w:ind w:left="157" w:right="234" w:firstLine="180"/>
      </w:pPr>
      <w:r w:rsidRPr="00283806">
        <w:rPr>
          <w:rFonts w:ascii="Book Antiqua"/>
          <w:i/>
          <w:w w:val="105"/>
        </w:rPr>
        <w:t xml:space="preserve">Response: </w:t>
      </w:r>
      <w:r w:rsidRPr="00283806">
        <w:rPr>
          <w:w w:val="105"/>
        </w:rPr>
        <w:t>EPA is finalizing a compliance date of January 1, 2026, for new IPR and commercial refrigeration systems with a full charge of 1,500</w:t>
      </w:r>
    </w:p>
    <w:p w14:paraId="58495004" w14:textId="77777777" w:rsidR="00D67C1E" w:rsidRPr="00283806" w:rsidRDefault="001265CA">
      <w:pPr>
        <w:pStyle w:val="BodyText"/>
        <w:spacing w:line="228" w:lineRule="auto"/>
        <w:ind w:left="157"/>
      </w:pPr>
      <w:r w:rsidRPr="00283806">
        <w:rPr>
          <w:w w:val="105"/>
        </w:rPr>
        <w:t>pounds or greater. In the proposal, the compliance date for new appliances was tied</w:t>
      </w:r>
      <w:r w:rsidRPr="00283806">
        <w:rPr>
          <w:spacing w:val="17"/>
          <w:w w:val="105"/>
        </w:rPr>
        <w:t xml:space="preserve"> </w:t>
      </w:r>
      <w:r w:rsidRPr="00283806">
        <w:rPr>
          <w:w w:val="105"/>
        </w:rPr>
        <w:t>to</w:t>
      </w:r>
      <w:r w:rsidRPr="00283806">
        <w:rPr>
          <w:spacing w:val="17"/>
          <w:w w:val="105"/>
        </w:rPr>
        <w:t xml:space="preserve"> </w:t>
      </w:r>
      <w:r w:rsidRPr="00283806">
        <w:rPr>
          <w:w w:val="105"/>
        </w:rPr>
        <w:t>the</w:t>
      </w:r>
      <w:r w:rsidRPr="00283806">
        <w:rPr>
          <w:spacing w:val="18"/>
          <w:w w:val="105"/>
        </w:rPr>
        <w:t xml:space="preserve"> </w:t>
      </w:r>
      <w:r w:rsidRPr="00283806">
        <w:rPr>
          <w:w w:val="105"/>
        </w:rPr>
        <w:t>final</w:t>
      </w:r>
      <w:r w:rsidRPr="00283806">
        <w:rPr>
          <w:spacing w:val="17"/>
          <w:w w:val="105"/>
        </w:rPr>
        <w:t xml:space="preserve"> </w:t>
      </w:r>
      <w:r w:rsidRPr="00283806">
        <w:rPr>
          <w:w w:val="105"/>
        </w:rPr>
        <w:t>rule’s</w:t>
      </w:r>
      <w:r w:rsidRPr="00283806">
        <w:rPr>
          <w:spacing w:val="18"/>
          <w:w w:val="105"/>
        </w:rPr>
        <w:t xml:space="preserve"> </w:t>
      </w:r>
      <w:r w:rsidRPr="00283806">
        <w:rPr>
          <w:w w:val="105"/>
        </w:rPr>
        <w:t>publication</w:t>
      </w:r>
      <w:r w:rsidRPr="00283806">
        <w:rPr>
          <w:spacing w:val="17"/>
          <w:w w:val="105"/>
        </w:rPr>
        <w:t xml:space="preserve"> </w:t>
      </w:r>
      <w:r w:rsidRPr="00283806">
        <w:rPr>
          <w:w w:val="105"/>
        </w:rPr>
        <w:t>in</w:t>
      </w:r>
      <w:r w:rsidRPr="00283806">
        <w:rPr>
          <w:spacing w:val="18"/>
          <w:w w:val="105"/>
        </w:rPr>
        <w:t xml:space="preserve"> </w:t>
      </w:r>
      <w:r w:rsidRPr="00283806">
        <w:rPr>
          <w:spacing w:val="-5"/>
          <w:w w:val="105"/>
        </w:rPr>
        <w:t>the</w:t>
      </w:r>
    </w:p>
    <w:p w14:paraId="0F8F94AE" w14:textId="77777777" w:rsidR="00D67C1E" w:rsidRPr="00283806" w:rsidRDefault="00D67C1E">
      <w:pPr>
        <w:spacing w:line="228" w:lineRule="auto"/>
        <w:sectPr w:rsidR="00D67C1E" w:rsidRPr="00283806">
          <w:type w:val="continuous"/>
          <w:pgSz w:w="12240" w:h="15840"/>
          <w:pgMar w:top="880" w:right="780" w:bottom="280" w:left="740" w:header="627" w:footer="0" w:gutter="0"/>
          <w:cols w:num="3" w:space="720" w:equalWidth="0">
            <w:col w:w="3506" w:space="40"/>
            <w:col w:w="3497" w:space="39"/>
            <w:col w:w="3638"/>
          </w:cols>
        </w:sectPr>
      </w:pPr>
    </w:p>
    <w:p w14:paraId="124787EB" w14:textId="77777777" w:rsidR="00D67C1E" w:rsidRPr="00283806" w:rsidRDefault="001265CA">
      <w:pPr>
        <w:pStyle w:val="BodyText"/>
        <w:spacing w:before="134" w:line="228" w:lineRule="auto"/>
        <w:ind w:right="64"/>
      </w:pPr>
      <w:r w:rsidRPr="00283806">
        <w:rPr>
          <w:rFonts w:ascii="Book Antiqua" w:hAnsi="Book Antiqua"/>
          <w:b/>
          <w:w w:val="105"/>
        </w:rPr>
        <w:lastRenderedPageBreak/>
        <w:t xml:space="preserve">Federal Register </w:t>
      </w:r>
      <w:r w:rsidRPr="00283806">
        <w:rPr>
          <w:w w:val="105"/>
        </w:rPr>
        <w:t>and would have required the installation of an ALD system within 30 days of appliance installation. In the final rule the requirement for newly installed equipment will begin January 1, 2026, though EPA is retaining the requirement to</w:t>
      </w:r>
      <w:r w:rsidRPr="00283806">
        <w:rPr>
          <w:spacing w:val="40"/>
          <w:w w:val="105"/>
        </w:rPr>
        <w:t xml:space="preserve"> </w:t>
      </w:r>
      <w:r w:rsidRPr="00283806">
        <w:rPr>
          <w:w w:val="105"/>
        </w:rPr>
        <w:t>install</w:t>
      </w:r>
      <w:r w:rsidRPr="00283806">
        <w:rPr>
          <w:spacing w:val="40"/>
          <w:w w:val="105"/>
        </w:rPr>
        <w:t xml:space="preserve"> </w:t>
      </w:r>
      <w:r w:rsidRPr="00283806">
        <w:rPr>
          <w:w w:val="105"/>
        </w:rPr>
        <w:t>and</w:t>
      </w:r>
      <w:r w:rsidRPr="00283806">
        <w:rPr>
          <w:spacing w:val="40"/>
          <w:w w:val="105"/>
        </w:rPr>
        <w:t xml:space="preserve"> </w:t>
      </w:r>
      <w:r w:rsidRPr="00283806">
        <w:rPr>
          <w:w w:val="105"/>
        </w:rPr>
        <w:t>use</w:t>
      </w:r>
      <w:r w:rsidRPr="00283806">
        <w:rPr>
          <w:spacing w:val="40"/>
          <w:w w:val="105"/>
        </w:rPr>
        <w:t xml:space="preserve"> </w:t>
      </w:r>
      <w:r w:rsidRPr="00283806">
        <w:rPr>
          <w:w w:val="105"/>
        </w:rPr>
        <w:t>ALD</w:t>
      </w:r>
      <w:r w:rsidRPr="00283806">
        <w:rPr>
          <w:spacing w:val="40"/>
          <w:w w:val="105"/>
        </w:rPr>
        <w:t xml:space="preserve"> </w:t>
      </w:r>
      <w:r w:rsidRPr="00283806">
        <w:rPr>
          <w:w w:val="105"/>
        </w:rPr>
        <w:t>systems</w:t>
      </w:r>
      <w:r w:rsidRPr="00283806">
        <w:rPr>
          <w:spacing w:val="40"/>
          <w:w w:val="105"/>
        </w:rPr>
        <w:t xml:space="preserve"> </w:t>
      </w:r>
      <w:r w:rsidRPr="00283806">
        <w:rPr>
          <w:w w:val="105"/>
        </w:rPr>
        <w:t>within 30 days of appliance installation. The additional year should address some commenters’ concerns with</w:t>
      </w:r>
      <w:r w:rsidRPr="00283806">
        <w:rPr>
          <w:spacing w:val="40"/>
          <w:w w:val="105"/>
        </w:rPr>
        <w:t xml:space="preserve"> </w:t>
      </w:r>
      <w:r w:rsidRPr="00283806">
        <w:rPr>
          <w:w w:val="105"/>
        </w:rPr>
        <w:t>procurement, planning, and training of personnel. The new compliance date</w:t>
      </w:r>
      <w:r w:rsidRPr="00283806">
        <w:rPr>
          <w:spacing w:val="80"/>
          <w:w w:val="105"/>
        </w:rPr>
        <w:t xml:space="preserve"> </w:t>
      </w:r>
      <w:r w:rsidRPr="00283806">
        <w:rPr>
          <w:w w:val="105"/>
        </w:rPr>
        <w:t>also allows owners or operators who</w:t>
      </w:r>
      <w:r w:rsidRPr="00283806">
        <w:rPr>
          <w:spacing w:val="40"/>
          <w:w w:val="105"/>
        </w:rPr>
        <w:t xml:space="preserve"> </w:t>
      </w:r>
      <w:r w:rsidRPr="00283806">
        <w:rPr>
          <w:w w:val="105"/>
        </w:rPr>
        <w:t xml:space="preserve">may be in the process of planning an appliance installation </w:t>
      </w:r>
      <w:proofErr w:type="gramStart"/>
      <w:r w:rsidRPr="00283806">
        <w:rPr>
          <w:w w:val="105"/>
        </w:rPr>
        <w:t>project additional time</w:t>
      </w:r>
      <w:proofErr w:type="gramEnd"/>
      <w:r w:rsidRPr="00283806">
        <w:rPr>
          <w:w w:val="105"/>
        </w:rPr>
        <w:t xml:space="preserve"> to comply with the ALD requirements. Furthermore, the compliance dates for both new and existing systems are more clearly</w:t>
      </w:r>
      <w:r w:rsidRPr="00283806">
        <w:rPr>
          <w:spacing w:val="80"/>
          <w:w w:val="105"/>
        </w:rPr>
        <w:t xml:space="preserve"> </w:t>
      </w:r>
      <w:proofErr w:type="gramStart"/>
      <w:r w:rsidRPr="00283806">
        <w:rPr>
          <w:w w:val="105"/>
        </w:rPr>
        <w:t>defined</w:t>
      </w:r>
      <w:proofErr w:type="gramEnd"/>
      <w:r w:rsidRPr="00283806">
        <w:rPr>
          <w:w w:val="105"/>
        </w:rPr>
        <w:t xml:space="preserve"> which provides owners or </w:t>
      </w:r>
      <w:proofErr w:type="gramStart"/>
      <w:r w:rsidRPr="00283806">
        <w:rPr>
          <w:w w:val="105"/>
        </w:rPr>
        <w:t>operators</w:t>
      </w:r>
      <w:proofErr w:type="gramEnd"/>
      <w:r w:rsidRPr="00283806">
        <w:rPr>
          <w:w w:val="105"/>
        </w:rPr>
        <w:t xml:space="preserve"> additional clarity for when</w:t>
      </w:r>
      <w:r w:rsidRPr="00283806">
        <w:rPr>
          <w:spacing w:val="40"/>
          <w:w w:val="105"/>
        </w:rPr>
        <w:t xml:space="preserve"> </w:t>
      </w:r>
      <w:r w:rsidRPr="00283806">
        <w:rPr>
          <w:w w:val="105"/>
        </w:rPr>
        <w:t xml:space="preserve">they will need to install and use an ALD </w:t>
      </w:r>
      <w:r w:rsidRPr="00283806">
        <w:rPr>
          <w:spacing w:val="-2"/>
          <w:w w:val="105"/>
        </w:rPr>
        <w:t>system.</w:t>
      </w:r>
    </w:p>
    <w:p w14:paraId="5D35F865" w14:textId="77777777" w:rsidR="00D67C1E" w:rsidRPr="00283806" w:rsidRDefault="001265CA">
      <w:pPr>
        <w:pStyle w:val="BodyText"/>
        <w:spacing w:before="23" w:line="225" w:lineRule="auto"/>
        <w:ind w:firstLine="180"/>
      </w:pPr>
      <w:r w:rsidRPr="00283806">
        <w:rPr>
          <w:w w:val="105"/>
        </w:rPr>
        <w:t>The Agency is finalizing that an ALD system must be installed and used by January 1, 2027, if the existing refrigerant-containing appliance was installed on or after January 1, 2017, and before January 1, 2026. EPA narrowed</w:t>
      </w:r>
      <w:r w:rsidRPr="00283806">
        <w:rPr>
          <w:spacing w:val="40"/>
          <w:w w:val="105"/>
        </w:rPr>
        <w:t xml:space="preserve"> </w:t>
      </w:r>
      <w:r w:rsidRPr="00283806">
        <w:rPr>
          <w:w w:val="105"/>
        </w:rPr>
        <w:t>the refrigerant-containing appliances subject to this provision to those that were installed approximately 10 years ago</w:t>
      </w:r>
      <w:r w:rsidRPr="00283806">
        <w:rPr>
          <w:spacing w:val="38"/>
          <w:w w:val="105"/>
        </w:rPr>
        <w:t xml:space="preserve"> </w:t>
      </w:r>
      <w:r w:rsidRPr="00283806">
        <w:rPr>
          <w:w w:val="105"/>
        </w:rPr>
        <w:t>or</w:t>
      </w:r>
      <w:r w:rsidRPr="00283806">
        <w:rPr>
          <w:spacing w:val="38"/>
          <w:w w:val="105"/>
        </w:rPr>
        <w:t xml:space="preserve"> </w:t>
      </w:r>
      <w:r w:rsidRPr="00283806">
        <w:rPr>
          <w:w w:val="105"/>
        </w:rPr>
        <w:t>less</w:t>
      </w:r>
      <w:r w:rsidRPr="00283806">
        <w:rPr>
          <w:spacing w:val="38"/>
          <w:w w:val="105"/>
        </w:rPr>
        <w:t xml:space="preserve"> </w:t>
      </w:r>
      <w:r w:rsidRPr="00283806">
        <w:rPr>
          <w:w w:val="105"/>
        </w:rPr>
        <w:t>because</w:t>
      </w:r>
      <w:r w:rsidRPr="00283806">
        <w:rPr>
          <w:spacing w:val="38"/>
          <w:w w:val="105"/>
        </w:rPr>
        <w:t xml:space="preserve"> </w:t>
      </w:r>
      <w:r w:rsidRPr="00283806">
        <w:rPr>
          <w:w w:val="105"/>
        </w:rPr>
        <w:t>appliances</w:t>
      </w:r>
      <w:r w:rsidRPr="00283806">
        <w:rPr>
          <w:spacing w:val="38"/>
          <w:w w:val="105"/>
        </w:rPr>
        <w:t xml:space="preserve"> </w:t>
      </w:r>
      <w:r w:rsidRPr="00283806">
        <w:rPr>
          <w:w w:val="105"/>
        </w:rPr>
        <w:t>in</w:t>
      </w:r>
      <w:r w:rsidRPr="00283806">
        <w:rPr>
          <w:spacing w:val="38"/>
          <w:w w:val="105"/>
        </w:rPr>
        <w:t xml:space="preserve"> </w:t>
      </w:r>
      <w:r w:rsidRPr="00283806">
        <w:rPr>
          <w:w w:val="105"/>
        </w:rPr>
        <w:t>the two categories covered in the final rule (</w:t>
      </w:r>
      <w:r w:rsidRPr="00283806">
        <w:rPr>
          <w:rFonts w:ascii="Book Antiqua" w:hAnsi="Book Antiqua"/>
          <w:i/>
          <w:w w:val="105"/>
        </w:rPr>
        <w:t xml:space="preserve">i.e., </w:t>
      </w:r>
      <w:r w:rsidRPr="00283806">
        <w:rPr>
          <w:w w:val="105"/>
        </w:rPr>
        <w:t>commercial refrigeration and IPR), have</w:t>
      </w:r>
      <w:r w:rsidRPr="00283806">
        <w:rPr>
          <w:spacing w:val="40"/>
          <w:w w:val="105"/>
        </w:rPr>
        <w:t xml:space="preserve"> </w:t>
      </w:r>
      <w:r w:rsidRPr="00283806">
        <w:rPr>
          <w:w w:val="105"/>
        </w:rPr>
        <w:t>very</w:t>
      </w:r>
      <w:r w:rsidRPr="00283806">
        <w:rPr>
          <w:spacing w:val="40"/>
          <w:w w:val="105"/>
        </w:rPr>
        <w:t xml:space="preserve"> </w:t>
      </w:r>
      <w:r w:rsidRPr="00283806">
        <w:rPr>
          <w:w w:val="105"/>
        </w:rPr>
        <w:t>long</w:t>
      </w:r>
      <w:r w:rsidRPr="00283806">
        <w:rPr>
          <w:spacing w:val="40"/>
          <w:w w:val="105"/>
        </w:rPr>
        <w:t xml:space="preserve"> </w:t>
      </w:r>
      <w:r w:rsidRPr="00283806">
        <w:rPr>
          <w:w w:val="105"/>
        </w:rPr>
        <w:t>useful</w:t>
      </w:r>
      <w:r w:rsidRPr="00283806">
        <w:rPr>
          <w:spacing w:val="40"/>
          <w:w w:val="105"/>
        </w:rPr>
        <w:t xml:space="preserve"> </w:t>
      </w:r>
      <w:r w:rsidRPr="00283806">
        <w:rPr>
          <w:w w:val="105"/>
        </w:rPr>
        <w:t>lifetimes.</w:t>
      </w:r>
      <w:r w:rsidRPr="00283806">
        <w:rPr>
          <w:spacing w:val="40"/>
          <w:w w:val="105"/>
        </w:rPr>
        <w:t xml:space="preserve"> </w:t>
      </w:r>
      <w:r w:rsidRPr="00283806">
        <w:rPr>
          <w:w w:val="105"/>
        </w:rPr>
        <w:t>The final rule’s applicability cutoff date for existing systems is set to January 1,</w:t>
      </w:r>
      <w:r w:rsidRPr="00283806">
        <w:rPr>
          <w:spacing w:val="80"/>
          <w:w w:val="105"/>
        </w:rPr>
        <w:t xml:space="preserve"> </w:t>
      </w:r>
      <w:r w:rsidRPr="00283806">
        <w:rPr>
          <w:w w:val="105"/>
        </w:rPr>
        <w:t xml:space="preserve">2017, because the Agency considers existing appliances installed within that timeframe to still have </w:t>
      </w:r>
      <w:proofErr w:type="gramStart"/>
      <w:r w:rsidRPr="00283806">
        <w:rPr>
          <w:w w:val="105"/>
        </w:rPr>
        <w:t>a majority of</w:t>
      </w:r>
      <w:proofErr w:type="gramEnd"/>
      <w:r w:rsidRPr="00283806">
        <w:rPr>
          <w:spacing w:val="80"/>
          <w:w w:val="150"/>
        </w:rPr>
        <w:t xml:space="preserve"> </w:t>
      </w:r>
      <w:r w:rsidRPr="00283806">
        <w:rPr>
          <w:w w:val="105"/>
        </w:rPr>
        <w:t>their useful life to operate. For example, IPR systems generally have a useful life</w:t>
      </w:r>
      <w:r w:rsidRPr="00283806">
        <w:rPr>
          <w:spacing w:val="40"/>
          <w:w w:val="105"/>
        </w:rPr>
        <w:t xml:space="preserve"> </w:t>
      </w:r>
      <w:r w:rsidRPr="00283806">
        <w:rPr>
          <w:w w:val="105"/>
        </w:rPr>
        <w:t>of 20–25 years. Thus, an IPR system installed on January 1, 2017, might have an additional 10–15 years of life before the</w:t>
      </w:r>
      <w:r w:rsidRPr="00283806">
        <w:rPr>
          <w:spacing w:val="40"/>
          <w:w w:val="105"/>
        </w:rPr>
        <w:t xml:space="preserve"> </w:t>
      </w:r>
      <w:r w:rsidRPr="00283806">
        <w:rPr>
          <w:w w:val="105"/>
        </w:rPr>
        <w:t>appliance</w:t>
      </w:r>
      <w:r w:rsidRPr="00283806">
        <w:rPr>
          <w:spacing w:val="40"/>
          <w:w w:val="105"/>
        </w:rPr>
        <w:t xml:space="preserve"> </w:t>
      </w:r>
      <w:r w:rsidRPr="00283806">
        <w:rPr>
          <w:w w:val="105"/>
        </w:rPr>
        <w:t>would</w:t>
      </w:r>
      <w:r w:rsidRPr="00283806">
        <w:rPr>
          <w:spacing w:val="40"/>
          <w:w w:val="105"/>
        </w:rPr>
        <w:t xml:space="preserve"> </w:t>
      </w:r>
      <w:r w:rsidRPr="00283806">
        <w:rPr>
          <w:w w:val="105"/>
        </w:rPr>
        <w:t>need</w:t>
      </w:r>
      <w:r w:rsidRPr="00283806">
        <w:rPr>
          <w:spacing w:val="40"/>
          <w:w w:val="105"/>
        </w:rPr>
        <w:t xml:space="preserve"> </w:t>
      </w:r>
      <w:r w:rsidRPr="00283806">
        <w:rPr>
          <w:w w:val="105"/>
        </w:rPr>
        <w:t>to</w:t>
      </w:r>
      <w:r w:rsidRPr="00283806">
        <w:rPr>
          <w:spacing w:val="40"/>
          <w:w w:val="105"/>
        </w:rPr>
        <w:t xml:space="preserve"> </w:t>
      </w:r>
      <w:r w:rsidRPr="00283806">
        <w:rPr>
          <w:w w:val="105"/>
        </w:rPr>
        <w:t>be replaced. Commercial refrigeration appliances at charge sizes at 1,500 pounds or greater have a similar useful life of about 18 years. EPA recognizes</w:t>
      </w:r>
      <w:r w:rsidRPr="00283806">
        <w:rPr>
          <w:spacing w:val="40"/>
          <w:w w:val="105"/>
        </w:rPr>
        <w:t xml:space="preserve"> </w:t>
      </w:r>
      <w:r w:rsidRPr="00283806">
        <w:rPr>
          <w:w w:val="105"/>
        </w:rPr>
        <w:t>that the provision in the final rule does not have the same breadth of emissions benefits</w:t>
      </w:r>
      <w:r w:rsidRPr="00283806">
        <w:rPr>
          <w:spacing w:val="40"/>
          <w:w w:val="105"/>
        </w:rPr>
        <w:t xml:space="preserve"> </w:t>
      </w:r>
      <w:r w:rsidRPr="00283806">
        <w:rPr>
          <w:w w:val="105"/>
        </w:rPr>
        <w:t>as</w:t>
      </w:r>
      <w:r w:rsidRPr="00283806">
        <w:rPr>
          <w:spacing w:val="40"/>
          <w:w w:val="105"/>
        </w:rPr>
        <w:t xml:space="preserve"> </w:t>
      </w:r>
      <w:r w:rsidRPr="00283806">
        <w:rPr>
          <w:w w:val="105"/>
        </w:rPr>
        <w:t>the</w:t>
      </w:r>
      <w:r w:rsidRPr="00283806">
        <w:rPr>
          <w:spacing w:val="40"/>
          <w:w w:val="105"/>
        </w:rPr>
        <w:t xml:space="preserve"> </w:t>
      </w:r>
      <w:r w:rsidRPr="00283806">
        <w:rPr>
          <w:w w:val="105"/>
        </w:rPr>
        <w:t>provision</w:t>
      </w:r>
      <w:r w:rsidRPr="00283806">
        <w:rPr>
          <w:spacing w:val="40"/>
          <w:w w:val="105"/>
        </w:rPr>
        <w:t xml:space="preserve"> </w:t>
      </w:r>
      <w:r w:rsidRPr="00283806">
        <w:rPr>
          <w:w w:val="105"/>
        </w:rPr>
        <w:t>in</w:t>
      </w:r>
      <w:r w:rsidRPr="00283806">
        <w:rPr>
          <w:spacing w:val="40"/>
          <w:w w:val="105"/>
        </w:rPr>
        <w:t xml:space="preserve"> </w:t>
      </w:r>
      <w:r w:rsidRPr="00283806">
        <w:rPr>
          <w:w w:val="105"/>
        </w:rPr>
        <w:t>the proposed rule, but the Agency estimates that a significant portion of existing appliances</w:t>
      </w:r>
      <w:r w:rsidRPr="00283806">
        <w:rPr>
          <w:spacing w:val="40"/>
          <w:w w:val="105"/>
        </w:rPr>
        <w:t xml:space="preserve"> </w:t>
      </w:r>
      <w:r w:rsidRPr="00283806">
        <w:rPr>
          <w:w w:val="105"/>
        </w:rPr>
        <w:t>are</w:t>
      </w:r>
      <w:r w:rsidRPr="00283806">
        <w:rPr>
          <w:spacing w:val="40"/>
          <w:w w:val="105"/>
        </w:rPr>
        <w:t xml:space="preserve"> </w:t>
      </w:r>
      <w:r w:rsidRPr="00283806">
        <w:rPr>
          <w:w w:val="105"/>
        </w:rPr>
        <w:t>covered</w:t>
      </w:r>
      <w:r w:rsidRPr="00283806">
        <w:rPr>
          <w:spacing w:val="40"/>
          <w:w w:val="105"/>
        </w:rPr>
        <w:t xml:space="preserve"> </w:t>
      </w:r>
      <w:r w:rsidRPr="00283806">
        <w:rPr>
          <w:w w:val="105"/>
        </w:rPr>
        <w:t>by</w:t>
      </w:r>
      <w:r w:rsidRPr="00283806">
        <w:rPr>
          <w:spacing w:val="40"/>
          <w:w w:val="105"/>
        </w:rPr>
        <w:t xml:space="preserve"> </w:t>
      </w:r>
      <w:r w:rsidRPr="00283806">
        <w:rPr>
          <w:w w:val="105"/>
        </w:rPr>
        <w:t>the</w:t>
      </w:r>
      <w:r w:rsidRPr="00283806">
        <w:rPr>
          <w:spacing w:val="40"/>
          <w:w w:val="105"/>
        </w:rPr>
        <w:t xml:space="preserve"> </w:t>
      </w:r>
      <w:r w:rsidRPr="00283806">
        <w:rPr>
          <w:w w:val="105"/>
        </w:rPr>
        <w:t>final rule’s provisions. While the Agency proposed to include all existing appliances in these categories, in this</w:t>
      </w:r>
      <w:r w:rsidRPr="00283806">
        <w:rPr>
          <w:spacing w:val="40"/>
          <w:w w:val="105"/>
        </w:rPr>
        <w:t xml:space="preserve"> </w:t>
      </w:r>
      <w:r w:rsidRPr="00283806">
        <w:rPr>
          <w:w w:val="105"/>
        </w:rPr>
        <w:t>final rule, the Agency has determined to include</w:t>
      </w:r>
      <w:r w:rsidRPr="00283806">
        <w:rPr>
          <w:spacing w:val="40"/>
          <w:w w:val="105"/>
        </w:rPr>
        <w:t xml:space="preserve"> </w:t>
      </w:r>
      <w:r w:rsidRPr="00283806">
        <w:rPr>
          <w:w w:val="105"/>
        </w:rPr>
        <w:t>a</w:t>
      </w:r>
      <w:r w:rsidRPr="00283806">
        <w:rPr>
          <w:spacing w:val="40"/>
          <w:w w:val="105"/>
        </w:rPr>
        <w:t xml:space="preserve"> </w:t>
      </w:r>
      <w:r w:rsidRPr="00283806">
        <w:rPr>
          <w:w w:val="105"/>
        </w:rPr>
        <w:t>subset</w:t>
      </w:r>
      <w:r w:rsidRPr="00283806">
        <w:rPr>
          <w:spacing w:val="40"/>
          <w:w w:val="105"/>
        </w:rPr>
        <w:t xml:space="preserve"> </w:t>
      </w:r>
      <w:r w:rsidRPr="00283806">
        <w:rPr>
          <w:w w:val="105"/>
        </w:rPr>
        <w:t>of</w:t>
      </w:r>
      <w:r w:rsidRPr="00283806">
        <w:rPr>
          <w:spacing w:val="40"/>
          <w:w w:val="105"/>
        </w:rPr>
        <w:t xml:space="preserve"> </w:t>
      </w:r>
      <w:r w:rsidRPr="00283806">
        <w:rPr>
          <w:w w:val="105"/>
        </w:rPr>
        <w:t>appliances</w:t>
      </w:r>
      <w:r w:rsidRPr="00283806">
        <w:rPr>
          <w:spacing w:val="40"/>
          <w:w w:val="105"/>
        </w:rPr>
        <w:t xml:space="preserve"> </w:t>
      </w:r>
      <w:r w:rsidRPr="00283806">
        <w:rPr>
          <w:w w:val="105"/>
        </w:rPr>
        <w:t>(</w:t>
      </w:r>
      <w:r w:rsidRPr="00283806">
        <w:rPr>
          <w:rFonts w:ascii="Book Antiqua" w:hAnsi="Book Antiqua"/>
          <w:i/>
          <w:w w:val="105"/>
        </w:rPr>
        <w:t xml:space="preserve">i.e., </w:t>
      </w:r>
      <w:r w:rsidRPr="00283806">
        <w:rPr>
          <w:w w:val="105"/>
        </w:rPr>
        <w:t>those installed since January 1, 2017) rather than all appliances and to include two of three categories of refrigerant- containing appliances (</w:t>
      </w:r>
      <w:r w:rsidRPr="00283806">
        <w:rPr>
          <w:rFonts w:ascii="Book Antiqua" w:hAnsi="Book Antiqua"/>
          <w:i/>
          <w:w w:val="105"/>
        </w:rPr>
        <w:t xml:space="preserve">i.e., </w:t>
      </w:r>
      <w:r w:rsidRPr="00283806">
        <w:rPr>
          <w:w w:val="105"/>
        </w:rPr>
        <w:t>IPR and commercial refrigeration) thus</w:t>
      </w:r>
    </w:p>
    <w:p w14:paraId="7A87131B" w14:textId="77777777" w:rsidR="00D67C1E" w:rsidRPr="00283806" w:rsidRDefault="001265CA">
      <w:pPr>
        <w:pStyle w:val="BodyText"/>
        <w:spacing w:before="133" w:line="228" w:lineRule="auto"/>
        <w:ind w:left="145" w:right="38"/>
      </w:pPr>
      <w:r w:rsidRPr="00283806">
        <w:br w:type="column"/>
      </w:r>
      <w:r w:rsidRPr="00283806">
        <w:rPr>
          <w:w w:val="105"/>
        </w:rPr>
        <w:t>narrowing the number of affected appliances. Limiting the number of affected refrigerant-containing appliances should also ease concerns pertaining to the supply of ALD systems as only approximately 44 percent of existing appliances would be subject to the ALD installation and use requirements compared to the proposal.</w:t>
      </w:r>
    </w:p>
    <w:p w14:paraId="2AF4D989" w14:textId="77777777" w:rsidR="00D67C1E" w:rsidRPr="00283806" w:rsidRDefault="001265CA">
      <w:pPr>
        <w:pStyle w:val="BodyText"/>
        <w:spacing w:before="35" w:line="228" w:lineRule="auto"/>
        <w:ind w:left="145" w:firstLine="180"/>
      </w:pPr>
      <w:r w:rsidRPr="00283806">
        <w:rPr>
          <w:rFonts w:ascii="Book Antiqua" w:hAnsi="Book Antiqua"/>
          <w:i/>
          <w:w w:val="105"/>
        </w:rPr>
        <w:t>Comment:</w:t>
      </w:r>
      <w:r w:rsidRPr="00283806">
        <w:rPr>
          <w:rFonts w:ascii="Book Antiqua" w:hAnsi="Book Antiqua"/>
          <w:i/>
          <w:spacing w:val="30"/>
          <w:w w:val="105"/>
        </w:rPr>
        <w:t xml:space="preserve"> </w:t>
      </w:r>
      <w:r w:rsidRPr="00283806">
        <w:rPr>
          <w:w w:val="105"/>
        </w:rPr>
        <w:t>Various</w:t>
      </w:r>
      <w:r w:rsidRPr="00283806">
        <w:rPr>
          <w:spacing w:val="35"/>
          <w:w w:val="105"/>
        </w:rPr>
        <w:t xml:space="preserve"> </w:t>
      </w:r>
      <w:r w:rsidRPr="00283806">
        <w:rPr>
          <w:w w:val="105"/>
        </w:rPr>
        <w:t>commenters</w:t>
      </w:r>
      <w:r w:rsidRPr="00283806">
        <w:rPr>
          <w:spacing w:val="40"/>
          <w:w w:val="105"/>
        </w:rPr>
        <w:t xml:space="preserve"> </w:t>
      </w:r>
      <w:r w:rsidRPr="00283806">
        <w:rPr>
          <w:w w:val="105"/>
        </w:rPr>
        <w:t>shared concerns about the compliance date for existing IPR and commercial refrigeration appliances and the supply</w:t>
      </w:r>
      <w:r w:rsidRPr="00283806">
        <w:rPr>
          <w:spacing w:val="40"/>
          <w:w w:val="105"/>
        </w:rPr>
        <w:t xml:space="preserve"> </w:t>
      </w:r>
      <w:r w:rsidRPr="00283806">
        <w:rPr>
          <w:w w:val="105"/>
        </w:rPr>
        <w:t>of</w:t>
      </w:r>
      <w:r w:rsidRPr="00283806">
        <w:rPr>
          <w:spacing w:val="40"/>
          <w:w w:val="105"/>
        </w:rPr>
        <w:t xml:space="preserve"> </w:t>
      </w:r>
      <w:r w:rsidRPr="00283806">
        <w:rPr>
          <w:w w:val="105"/>
        </w:rPr>
        <w:t>ALD</w:t>
      </w:r>
      <w:r w:rsidRPr="00283806">
        <w:rPr>
          <w:spacing w:val="40"/>
          <w:w w:val="105"/>
        </w:rPr>
        <w:t xml:space="preserve"> </w:t>
      </w:r>
      <w:r w:rsidRPr="00283806">
        <w:rPr>
          <w:w w:val="105"/>
        </w:rPr>
        <w:t>systems.</w:t>
      </w:r>
      <w:r w:rsidRPr="00283806">
        <w:rPr>
          <w:spacing w:val="40"/>
          <w:w w:val="105"/>
        </w:rPr>
        <w:t xml:space="preserve"> </w:t>
      </w:r>
      <w:r w:rsidRPr="00283806">
        <w:rPr>
          <w:w w:val="105"/>
        </w:rPr>
        <w:t>One</w:t>
      </w:r>
      <w:r w:rsidRPr="00283806">
        <w:rPr>
          <w:spacing w:val="40"/>
          <w:w w:val="105"/>
        </w:rPr>
        <w:t xml:space="preserve"> </w:t>
      </w:r>
      <w:r w:rsidRPr="00283806">
        <w:rPr>
          <w:w w:val="105"/>
        </w:rPr>
        <w:t>commenter claimed that the complexity of</w:t>
      </w:r>
      <w:r w:rsidRPr="00283806">
        <w:rPr>
          <w:spacing w:val="40"/>
          <w:w w:val="105"/>
        </w:rPr>
        <w:t xml:space="preserve"> </w:t>
      </w:r>
      <w:r w:rsidRPr="00283806">
        <w:rPr>
          <w:w w:val="105"/>
        </w:rPr>
        <w:t xml:space="preserve">integrating new ALD systems into an existing facility’s processes </w:t>
      </w:r>
      <w:proofErr w:type="gramStart"/>
      <w:r w:rsidRPr="00283806">
        <w:rPr>
          <w:w w:val="105"/>
        </w:rPr>
        <w:t>necessitates</w:t>
      </w:r>
      <w:proofErr w:type="gramEnd"/>
      <w:r w:rsidRPr="00283806">
        <w:rPr>
          <w:w w:val="105"/>
        </w:rPr>
        <w:t xml:space="preserve"> more than a year to develop and construct an ALD project. The</w:t>
      </w:r>
      <w:r w:rsidRPr="00283806">
        <w:rPr>
          <w:spacing w:val="40"/>
          <w:w w:val="105"/>
        </w:rPr>
        <w:t xml:space="preserve"> </w:t>
      </w:r>
      <w:r w:rsidRPr="00283806">
        <w:rPr>
          <w:w w:val="105"/>
        </w:rPr>
        <w:t>commenter stated that the compliance date would result in a single, peak- demand</w:t>
      </w:r>
      <w:r w:rsidRPr="00283806">
        <w:rPr>
          <w:spacing w:val="40"/>
          <w:w w:val="105"/>
        </w:rPr>
        <w:t xml:space="preserve"> </w:t>
      </w:r>
      <w:r w:rsidRPr="00283806">
        <w:rPr>
          <w:w w:val="105"/>
        </w:rPr>
        <w:t>year;</w:t>
      </w:r>
      <w:r w:rsidRPr="00283806">
        <w:rPr>
          <w:spacing w:val="40"/>
          <w:w w:val="105"/>
        </w:rPr>
        <w:t xml:space="preserve"> </w:t>
      </w:r>
      <w:r w:rsidRPr="00283806">
        <w:rPr>
          <w:w w:val="105"/>
        </w:rPr>
        <w:t>thus,</w:t>
      </w:r>
      <w:r w:rsidRPr="00283806">
        <w:rPr>
          <w:spacing w:val="40"/>
          <w:w w:val="105"/>
        </w:rPr>
        <w:t xml:space="preserve"> </w:t>
      </w:r>
      <w:r w:rsidRPr="00283806">
        <w:rPr>
          <w:w w:val="105"/>
        </w:rPr>
        <w:t>EPA</w:t>
      </w:r>
      <w:r w:rsidRPr="00283806">
        <w:rPr>
          <w:spacing w:val="40"/>
          <w:w w:val="105"/>
        </w:rPr>
        <w:t xml:space="preserve"> </w:t>
      </w:r>
      <w:r w:rsidRPr="00283806">
        <w:rPr>
          <w:w w:val="105"/>
        </w:rPr>
        <w:t>should</w:t>
      </w:r>
      <w:r w:rsidRPr="00283806">
        <w:rPr>
          <w:spacing w:val="40"/>
          <w:w w:val="105"/>
        </w:rPr>
        <w:t xml:space="preserve"> </w:t>
      </w:r>
      <w:r w:rsidRPr="00283806">
        <w:rPr>
          <w:w w:val="105"/>
        </w:rPr>
        <w:t>allow for a three-year compliance window for existing</w:t>
      </w:r>
      <w:r w:rsidRPr="00283806">
        <w:rPr>
          <w:spacing w:val="40"/>
          <w:w w:val="105"/>
        </w:rPr>
        <w:t xml:space="preserve"> </w:t>
      </w:r>
      <w:r w:rsidRPr="00283806">
        <w:rPr>
          <w:w w:val="105"/>
        </w:rPr>
        <w:t>appliances.</w:t>
      </w:r>
      <w:r w:rsidRPr="00283806">
        <w:rPr>
          <w:spacing w:val="40"/>
          <w:w w:val="105"/>
        </w:rPr>
        <w:t xml:space="preserve"> </w:t>
      </w:r>
      <w:r w:rsidRPr="00283806">
        <w:rPr>
          <w:w w:val="105"/>
        </w:rPr>
        <w:t>The</w:t>
      </w:r>
      <w:r w:rsidRPr="00283806">
        <w:rPr>
          <w:spacing w:val="40"/>
          <w:w w:val="105"/>
        </w:rPr>
        <w:t xml:space="preserve"> </w:t>
      </w:r>
      <w:r w:rsidRPr="00283806">
        <w:rPr>
          <w:w w:val="105"/>
        </w:rPr>
        <w:t>commenter</w:t>
      </w:r>
      <w:r w:rsidRPr="00283806">
        <w:rPr>
          <w:spacing w:val="40"/>
          <w:w w:val="105"/>
        </w:rPr>
        <w:t xml:space="preserve"> </w:t>
      </w:r>
      <w:r w:rsidRPr="00283806">
        <w:rPr>
          <w:w w:val="105"/>
        </w:rPr>
        <w:t>also claimed that EPA has no statutory obligation to require compliance within</w:t>
      </w:r>
      <w:r w:rsidRPr="00283806">
        <w:rPr>
          <w:spacing w:val="80"/>
          <w:w w:val="105"/>
        </w:rPr>
        <w:t xml:space="preserve"> </w:t>
      </w:r>
      <w:r w:rsidRPr="00283806">
        <w:rPr>
          <w:w w:val="105"/>
        </w:rPr>
        <w:t xml:space="preserve">a shorter </w:t>
      </w:r>
      <w:proofErr w:type="gramStart"/>
      <w:r w:rsidRPr="00283806">
        <w:rPr>
          <w:w w:val="105"/>
        </w:rPr>
        <w:t>time period</w:t>
      </w:r>
      <w:proofErr w:type="gramEnd"/>
      <w:r w:rsidRPr="00283806">
        <w:rPr>
          <w:w w:val="105"/>
        </w:rPr>
        <w:t>. Another commenter echoed similar concerns on technician and supply chain shortages regarding supermarket systems, stating that it would be impractical for industry to comply on time under the proposal</w:t>
      </w:r>
      <w:r w:rsidRPr="00283806">
        <w:rPr>
          <w:spacing w:val="40"/>
          <w:w w:val="105"/>
        </w:rPr>
        <w:t xml:space="preserve"> </w:t>
      </w:r>
      <w:r w:rsidRPr="00283806">
        <w:rPr>
          <w:w w:val="105"/>
        </w:rPr>
        <w:t>and that compliance costs will likely be significantly higher than what EPA projects due to demand for ALD</w:t>
      </w:r>
      <w:r w:rsidRPr="00283806">
        <w:rPr>
          <w:spacing w:val="80"/>
          <w:w w:val="150"/>
        </w:rPr>
        <w:t xml:space="preserve"> </w:t>
      </w:r>
      <w:r w:rsidRPr="00283806">
        <w:rPr>
          <w:w w:val="105"/>
        </w:rPr>
        <w:t xml:space="preserve">systems. The commenter stated that supermarket refrigeration systems can have 30 to 50 cases, each with an evaporator, and </w:t>
      </w:r>
      <w:proofErr w:type="gramStart"/>
      <w:r w:rsidRPr="00283806">
        <w:rPr>
          <w:w w:val="105"/>
        </w:rPr>
        <w:t>a large number of</w:t>
      </w:r>
      <w:proofErr w:type="gramEnd"/>
      <w:r w:rsidRPr="00283806">
        <w:rPr>
          <w:w w:val="105"/>
        </w:rPr>
        <w:t xml:space="preserve"> components which would require</w:t>
      </w:r>
      <w:r w:rsidRPr="00283806">
        <w:rPr>
          <w:spacing w:val="40"/>
          <w:w w:val="105"/>
        </w:rPr>
        <w:t xml:space="preserve"> </w:t>
      </w:r>
      <w:r w:rsidRPr="00283806">
        <w:rPr>
          <w:w w:val="105"/>
        </w:rPr>
        <w:t>sensors adding to the amount of time to implement an ALD system. The commenter also stated that ‘‘off-the- shelf’’ ALD systems may require significant</w:t>
      </w:r>
      <w:r w:rsidRPr="00283806">
        <w:rPr>
          <w:spacing w:val="40"/>
          <w:w w:val="105"/>
        </w:rPr>
        <w:t xml:space="preserve"> </w:t>
      </w:r>
      <w:r w:rsidRPr="00283806">
        <w:rPr>
          <w:w w:val="105"/>
        </w:rPr>
        <w:t>modification</w:t>
      </w:r>
      <w:r w:rsidRPr="00283806">
        <w:rPr>
          <w:spacing w:val="40"/>
          <w:w w:val="105"/>
        </w:rPr>
        <w:t xml:space="preserve"> </w:t>
      </w:r>
      <w:r w:rsidRPr="00283806">
        <w:rPr>
          <w:w w:val="105"/>
        </w:rPr>
        <w:t>and</w:t>
      </w:r>
      <w:r w:rsidRPr="00283806">
        <w:rPr>
          <w:spacing w:val="40"/>
          <w:w w:val="105"/>
        </w:rPr>
        <w:t xml:space="preserve"> </w:t>
      </w:r>
      <w:r w:rsidRPr="00283806">
        <w:rPr>
          <w:w w:val="105"/>
        </w:rPr>
        <w:t>thus require more time to implement. For these reasons the commenter requested the compliance date for new systems be no earlier than January 1, 2029. Another commenter suggested the compliance date for existing systems be at least two years after publication to ensure owners and operators have the needed lead time to design, procure, install, and validate ALD systems for their operations. The commenter stated that EPA may be underestimating demand in its ALD analysis and that increased demand</w:t>
      </w:r>
      <w:r w:rsidRPr="00283806">
        <w:rPr>
          <w:spacing w:val="40"/>
          <w:w w:val="105"/>
        </w:rPr>
        <w:t xml:space="preserve"> </w:t>
      </w:r>
      <w:r w:rsidRPr="00283806">
        <w:rPr>
          <w:w w:val="105"/>
        </w:rPr>
        <w:t>could drive up the costs of ALD systems and slow down delivery and installation time if existing ALD manufacturers do</w:t>
      </w:r>
      <w:r w:rsidRPr="00283806">
        <w:rPr>
          <w:spacing w:val="40"/>
          <w:w w:val="105"/>
        </w:rPr>
        <w:t xml:space="preserve"> </w:t>
      </w:r>
      <w:r w:rsidRPr="00283806">
        <w:rPr>
          <w:w w:val="105"/>
        </w:rPr>
        <w:t>not have the capacity to meet demand. Another commenter recommended EPA consider an exemption for commercial system operators from the proposed</w:t>
      </w:r>
      <w:r w:rsidRPr="00283806">
        <w:rPr>
          <w:spacing w:val="80"/>
          <w:w w:val="105"/>
        </w:rPr>
        <w:t xml:space="preserve"> </w:t>
      </w:r>
      <w:r w:rsidRPr="00283806">
        <w:rPr>
          <w:w w:val="105"/>
        </w:rPr>
        <w:t>ALD</w:t>
      </w:r>
      <w:r w:rsidRPr="00283806">
        <w:rPr>
          <w:spacing w:val="40"/>
          <w:w w:val="105"/>
        </w:rPr>
        <w:t xml:space="preserve"> </w:t>
      </w:r>
      <w:r w:rsidRPr="00283806">
        <w:rPr>
          <w:w w:val="105"/>
        </w:rPr>
        <w:t>requirements</w:t>
      </w:r>
      <w:r w:rsidRPr="00283806">
        <w:rPr>
          <w:spacing w:val="40"/>
          <w:w w:val="105"/>
        </w:rPr>
        <w:t xml:space="preserve"> </w:t>
      </w:r>
      <w:r w:rsidRPr="00283806">
        <w:rPr>
          <w:w w:val="105"/>
        </w:rPr>
        <w:t>if</w:t>
      </w:r>
      <w:r w:rsidRPr="00283806">
        <w:rPr>
          <w:spacing w:val="40"/>
          <w:w w:val="105"/>
        </w:rPr>
        <w:t xml:space="preserve"> </w:t>
      </w:r>
      <w:r w:rsidRPr="00283806">
        <w:rPr>
          <w:w w:val="105"/>
        </w:rPr>
        <w:t>they</w:t>
      </w:r>
      <w:r w:rsidRPr="00283806">
        <w:rPr>
          <w:spacing w:val="40"/>
          <w:w w:val="105"/>
        </w:rPr>
        <w:t xml:space="preserve"> </w:t>
      </w:r>
      <w:r w:rsidRPr="00283806">
        <w:rPr>
          <w:w w:val="105"/>
        </w:rPr>
        <w:t>can</w:t>
      </w:r>
      <w:r w:rsidRPr="00283806">
        <w:rPr>
          <w:spacing w:val="40"/>
          <w:w w:val="105"/>
        </w:rPr>
        <w:t xml:space="preserve"> </w:t>
      </w:r>
      <w:r w:rsidRPr="00283806">
        <w:rPr>
          <w:w w:val="105"/>
        </w:rPr>
        <w:t>prove they would transition to an ultra-low- GWP refrigerant before January 1, 2027.</w:t>
      </w:r>
    </w:p>
    <w:p w14:paraId="0E4A37D0" w14:textId="77777777" w:rsidR="00D67C1E" w:rsidRPr="00283806" w:rsidRDefault="001265CA">
      <w:pPr>
        <w:pStyle w:val="BodyText"/>
        <w:spacing w:before="133" w:line="225" w:lineRule="auto"/>
        <w:ind w:left="154" w:right="225" w:firstLine="180"/>
      </w:pPr>
      <w:r w:rsidRPr="00283806">
        <w:br w:type="column"/>
      </w:r>
      <w:r w:rsidRPr="00283806">
        <w:rPr>
          <w:rFonts w:ascii="Book Antiqua" w:hAnsi="Book Antiqua"/>
          <w:i/>
          <w:w w:val="105"/>
        </w:rPr>
        <w:t xml:space="preserve">Response: </w:t>
      </w:r>
      <w:r w:rsidRPr="00283806">
        <w:rPr>
          <w:w w:val="105"/>
        </w:rPr>
        <w:t>The Agency is finalizing a compliance timeline for existing</w:t>
      </w:r>
      <w:r w:rsidRPr="00283806">
        <w:rPr>
          <w:spacing w:val="80"/>
          <w:w w:val="105"/>
        </w:rPr>
        <w:t xml:space="preserve"> </w:t>
      </w:r>
      <w:r w:rsidRPr="00283806">
        <w:rPr>
          <w:w w:val="105"/>
        </w:rPr>
        <w:t xml:space="preserve">systems later than proposed with the </w:t>
      </w:r>
      <w:proofErr w:type="gramStart"/>
      <w:r w:rsidRPr="00283806">
        <w:rPr>
          <w:w w:val="105"/>
        </w:rPr>
        <w:t>caveat</w:t>
      </w:r>
      <w:proofErr w:type="gramEnd"/>
      <w:r w:rsidRPr="00283806">
        <w:rPr>
          <w:w w:val="105"/>
        </w:rPr>
        <w:t xml:space="preserve"> that not all existing IPR and commercial refrigeration appliances are subject to the final rule’s ALD</w:t>
      </w:r>
      <w:r w:rsidRPr="00283806">
        <w:rPr>
          <w:spacing w:val="40"/>
          <w:w w:val="105"/>
        </w:rPr>
        <w:t xml:space="preserve"> </w:t>
      </w:r>
      <w:r w:rsidRPr="00283806">
        <w:rPr>
          <w:w w:val="105"/>
        </w:rPr>
        <w:t xml:space="preserve">provisions. The final rule exempts any appliance installed before January 1, 2017, from being required to install an ALD system. EPA estimates that approximately 56 percent of </w:t>
      </w:r>
      <w:proofErr w:type="gramStart"/>
      <w:r w:rsidRPr="00283806">
        <w:rPr>
          <w:w w:val="105"/>
        </w:rPr>
        <w:t>total</w:t>
      </w:r>
      <w:proofErr w:type="gramEnd"/>
      <w:r w:rsidRPr="00283806">
        <w:rPr>
          <w:w w:val="105"/>
        </w:rPr>
        <w:t xml:space="preserve"> existing appliances would be excluded from the ALD provision as proposed.</w:t>
      </w:r>
    </w:p>
    <w:p w14:paraId="504BCE46" w14:textId="77777777" w:rsidR="00D67C1E" w:rsidRPr="00283806" w:rsidRDefault="001265CA">
      <w:pPr>
        <w:pStyle w:val="BodyText"/>
        <w:spacing w:before="9" w:line="228" w:lineRule="auto"/>
        <w:ind w:left="154" w:right="131"/>
      </w:pPr>
      <w:r w:rsidRPr="00283806">
        <w:rPr>
          <w:w w:val="105"/>
        </w:rPr>
        <w:t>Additionally, EPA estimates that around 25,000 existing refrigerant-containing appliances would be subject to the ALD requirements in the final rule, which is significantly lower than the number of refrigerant-containing appliances</w:t>
      </w:r>
      <w:r w:rsidRPr="00283806">
        <w:rPr>
          <w:spacing w:val="80"/>
          <w:w w:val="105"/>
        </w:rPr>
        <w:t xml:space="preserve"> </w:t>
      </w:r>
      <w:r w:rsidRPr="00283806">
        <w:rPr>
          <w:w w:val="105"/>
        </w:rPr>
        <w:t>subject to the ALD provision in the proposal. Owners or operators with existing refrigerant-containing</w:t>
      </w:r>
      <w:r w:rsidRPr="00283806">
        <w:rPr>
          <w:spacing w:val="40"/>
          <w:w w:val="105"/>
        </w:rPr>
        <w:t xml:space="preserve"> </w:t>
      </w:r>
      <w:r w:rsidRPr="00283806">
        <w:rPr>
          <w:w w:val="105"/>
        </w:rPr>
        <w:t xml:space="preserve">appliances subject to this provision will have over two years to install an ALD system. This change will reduce the immediate demand </w:t>
      </w:r>
      <w:proofErr w:type="gramStart"/>
      <w:r w:rsidRPr="00283806">
        <w:rPr>
          <w:w w:val="105"/>
        </w:rPr>
        <w:t>of</w:t>
      </w:r>
      <w:proofErr w:type="gramEnd"/>
      <w:r w:rsidRPr="00283806">
        <w:rPr>
          <w:w w:val="105"/>
        </w:rPr>
        <w:t xml:space="preserve"> ALD systems and provide additional lead time for owners or operators to procure, design, and install ALD systems for their operations. The Agency notes that commenters did not provide sufficient evidence on how the state of the ALD or technician</w:t>
      </w:r>
      <w:r w:rsidRPr="00283806">
        <w:rPr>
          <w:spacing w:val="80"/>
          <w:w w:val="150"/>
        </w:rPr>
        <w:t xml:space="preserve"> </w:t>
      </w:r>
      <w:r w:rsidRPr="00283806">
        <w:rPr>
          <w:w w:val="105"/>
        </w:rPr>
        <w:t>market would affect an owner or operator’s ability to install an ALD system. However, as stated previously, the changes to the compliance date and applicability should ease concerns</w:t>
      </w:r>
      <w:r w:rsidRPr="00283806">
        <w:rPr>
          <w:spacing w:val="40"/>
          <w:w w:val="105"/>
        </w:rPr>
        <w:t xml:space="preserve"> </w:t>
      </w:r>
      <w:r w:rsidRPr="00283806">
        <w:rPr>
          <w:w w:val="105"/>
        </w:rPr>
        <w:t>related to market shortages.</w:t>
      </w:r>
    </w:p>
    <w:p w14:paraId="0735379D" w14:textId="77777777" w:rsidR="00D67C1E" w:rsidRPr="00283806" w:rsidRDefault="001265CA">
      <w:pPr>
        <w:pStyle w:val="BodyText"/>
        <w:spacing w:line="185" w:lineRule="exact"/>
        <w:ind w:left="154"/>
      </w:pPr>
      <w:r w:rsidRPr="00283806">
        <w:rPr>
          <w:w w:val="105"/>
        </w:rPr>
        <w:t>Furthermore,</w:t>
      </w:r>
      <w:r w:rsidRPr="00283806">
        <w:rPr>
          <w:spacing w:val="13"/>
          <w:w w:val="105"/>
        </w:rPr>
        <w:t xml:space="preserve"> </w:t>
      </w:r>
      <w:r w:rsidRPr="00283806">
        <w:rPr>
          <w:w w:val="105"/>
        </w:rPr>
        <w:t>the</w:t>
      </w:r>
      <w:r w:rsidRPr="00283806">
        <w:rPr>
          <w:spacing w:val="13"/>
          <w:w w:val="105"/>
        </w:rPr>
        <w:t xml:space="preserve"> </w:t>
      </w:r>
      <w:r w:rsidRPr="00283806">
        <w:rPr>
          <w:w w:val="105"/>
        </w:rPr>
        <w:t>additional</w:t>
      </w:r>
      <w:r w:rsidRPr="00283806">
        <w:rPr>
          <w:spacing w:val="13"/>
          <w:w w:val="105"/>
        </w:rPr>
        <w:t xml:space="preserve"> </w:t>
      </w:r>
      <w:r w:rsidRPr="00283806">
        <w:rPr>
          <w:w w:val="105"/>
        </w:rPr>
        <w:t>time</w:t>
      </w:r>
      <w:r w:rsidRPr="00283806">
        <w:rPr>
          <w:spacing w:val="13"/>
          <w:w w:val="105"/>
        </w:rPr>
        <w:t xml:space="preserve"> </w:t>
      </w:r>
      <w:r w:rsidRPr="00283806">
        <w:rPr>
          <w:spacing w:val="-5"/>
          <w:w w:val="105"/>
        </w:rPr>
        <w:t>for</w:t>
      </w:r>
    </w:p>
    <w:p w14:paraId="1FA32FE5" w14:textId="77777777" w:rsidR="00D67C1E" w:rsidRPr="00283806" w:rsidRDefault="001265CA">
      <w:pPr>
        <w:pStyle w:val="BodyText"/>
        <w:spacing w:before="3" w:line="228" w:lineRule="auto"/>
        <w:ind w:left="154" w:right="185"/>
      </w:pPr>
      <w:r w:rsidRPr="00283806">
        <w:rPr>
          <w:w w:val="105"/>
        </w:rPr>
        <w:t xml:space="preserve">existing refrigerant-containing appliances subject to the ALD requirements will reduce costs associated with the demand for ALD systems, as one commenter stated. Further discussion </w:t>
      </w:r>
      <w:proofErr w:type="gramStart"/>
      <w:r w:rsidRPr="00283806">
        <w:rPr>
          <w:w w:val="105"/>
        </w:rPr>
        <w:t>on</w:t>
      </w:r>
      <w:proofErr w:type="gramEnd"/>
      <w:r w:rsidRPr="00283806">
        <w:rPr>
          <w:w w:val="105"/>
        </w:rPr>
        <w:t xml:space="preserve"> the costs and benefits of the ALD provision can be found in section IV.B.2.</w:t>
      </w:r>
    </w:p>
    <w:p w14:paraId="52711DF6" w14:textId="77777777" w:rsidR="00D67C1E" w:rsidRPr="00283806" w:rsidRDefault="001265CA">
      <w:pPr>
        <w:pStyle w:val="BodyText"/>
        <w:spacing w:before="36" w:line="228" w:lineRule="auto"/>
        <w:ind w:left="154" w:right="243" w:firstLine="180"/>
      </w:pPr>
      <w:r w:rsidRPr="00283806">
        <w:rPr>
          <w:w w:val="105"/>
        </w:rPr>
        <w:t xml:space="preserve">Regarding one commenter’s statements on the implementation of ALD systems in supermarkets, the Agency disagrees that additional time beyond January 1, 2027, will be necessary. EPA understands that supermarket systems may be custom built or have additional complexities; however existing ALD systems can be applied to such systems even if they </w:t>
      </w:r>
      <w:proofErr w:type="gramStart"/>
      <w:r w:rsidRPr="00283806">
        <w:rPr>
          <w:w w:val="105"/>
        </w:rPr>
        <w:t>are considered to be</w:t>
      </w:r>
      <w:proofErr w:type="gramEnd"/>
      <w:r w:rsidRPr="00283806">
        <w:rPr>
          <w:w w:val="105"/>
        </w:rPr>
        <w:t xml:space="preserve"> ‘‘off-the-</w:t>
      </w:r>
      <w:proofErr w:type="gramStart"/>
      <w:r w:rsidRPr="00283806">
        <w:rPr>
          <w:w w:val="105"/>
        </w:rPr>
        <w:t>shelf’’</w:t>
      </w:r>
      <w:proofErr w:type="gramEnd"/>
      <w:r w:rsidRPr="00283806">
        <w:rPr>
          <w:w w:val="105"/>
        </w:rPr>
        <w:t xml:space="preserve"> as the commenter describes. The commenter also did not provide specific</w:t>
      </w:r>
      <w:r w:rsidRPr="00283806">
        <w:rPr>
          <w:spacing w:val="80"/>
          <w:w w:val="105"/>
        </w:rPr>
        <w:t xml:space="preserve"> </w:t>
      </w:r>
      <w:r w:rsidRPr="00283806">
        <w:rPr>
          <w:w w:val="105"/>
        </w:rPr>
        <w:t xml:space="preserve">information on how existing ALD systems would be inadequate in providing leak monitoring for their supermarket systems or why existing ALD systems would require significant modifications </w:t>
      </w:r>
      <w:proofErr w:type="gramStart"/>
      <w:r w:rsidRPr="00283806">
        <w:rPr>
          <w:w w:val="105"/>
        </w:rPr>
        <w:t>in order to</w:t>
      </w:r>
      <w:proofErr w:type="gramEnd"/>
      <w:r w:rsidRPr="00283806">
        <w:rPr>
          <w:w w:val="105"/>
        </w:rPr>
        <w:t xml:space="preserve"> be implemented. The Agency also</w:t>
      </w:r>
      <w:r w:rsidRPr="00283806">
        <w:rPr>
          <w:spacing w:val="80"/>
          <w:w w:val="105"/>
        </w:rPr>
        <w:t xml:space="preserve"> </w:t>
      </w:r>
      <w:r w:rsidRPr="00283806">
        <w:rPr>
          <w:w w:val="105"/>
        </w:rPr>
        <w:t>disagrees that additional time would be</w:t>
      </w:r>
    </w:p>
    <w:p w14:paraId="589741EE"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5" w:space="40"/>
            <w:col w:w="3491" w:space="39"/>
            <w:col w:w="3635"/>
          </w:cols>
        </w:sectPr>
      </w:pPr>
    </w:p>
    <w:p w14:paraId="3DC91FF4" w14:textId="77777777" w:rsidR="00D67C1E" w:rsidRPr="00283806" w:rsidRDefault="001265CA">
      <w:pPr>
        <w:pStyle w:val="BodyText"/>
        <w:spacing w:before="134" w:line="228" w:lineRule="auto"/>
        <w:ind w:right="65"/>
      </w:pPr>
      <w:r w:rsidRPr="00283806">
        <w:rPr>
          <w:w w:val="105"/>
        </w:rPr>
        <w:lastRenderedPageBreak/>
        <w:t>needed because multiple cases and components would need to have</w:t>
      </w:r>
      <w:r w:rsidRPr="00283806">
        <w:rPr>
          <w:spacing w:val="80"/>
          <w:w w:val="105"/>
        </w:rPr>
        <w:t xml:space="preserve"> </w:t>
      </w:r>
      <w:r w:rsidRPr="00283806">
        <w:rPr>
          <w:w w:val="105"/>
        </w:rPr>
        <w:t>sensors, as the Agency is not prescribing the type of ALD system used by an</w:t>
      </w:r>
      <w:r w:rsidRPr="00283806">
        <w:rPr>
          <w:spacing w:val="80"/>
          <w:w w:val="105"/>
        </w:rPr>
        <w:t xml:space="preserve"> </w:t>
      </w:r>
      <w:r w:rsidRPr="00283806">
        <w:rPr>
          <w:w w:val="105"/>
        </w:rPr>
        <w:t>owner or operator. To clarify, EPA is requiring an owner or operator to use either a direct or indirect ALD system to comply with the ALD requirements in</w:t>
      </w:r>
      <w:r w:rsidRPr="00283806">
        <w:rPr>
          <w:spacing w:val="40"/>
          <w:w w:val="105"/>
        </w:rPr>
        <w:t xml:space="preserve"> </w:t>
      </w:r>
      <w:r w:rsidRPr="00283806">
        <w:rPr>
          <w:w w:val="105"/>
        </w:rPr>
        <w:t>this final rule. It is up to the owner or operator’s discretion to decide which type of ALD system, that meets the standards described in 40 CFR 84.108, best suits their refrigerant-containing appliance. Although the Agency</w:t>
      </w:r>
      <w:r w:rsidRPr="00283806">
        <w:rPr>
          <w:spacing w:val="80"/>
          <w:w w:val="105"/>
        </w:rPr>
        <w:t xml:space="preserve"> </w:t>
      </w:r>
      <w:r w:rsidRPr="00283806">
        <w:rPr>
          <w:w w:val="105"/>
        </w:rPr>
        <w:t xml:space="preserve">disagrees that </w:t>
      </w:r>
      <w:proofErr w:type="gramStart"/>
      <w:r w:rsidRPr="00283806">
        <w:rPr>
          <w:w w:val="105"/>
        </w:rPr>
        <w:t>either type</w:t>
      </w:r>
      <w:proofErr w:type="gramEnd"/>
      <w:r w:rsidRPr="00283806">
        <w:rPr>
          <w:w w:val="105"/>
        </w:rPr>
        <w:t xml:space="preserve"> of ALD system will be difficult to install, if the commenter finds direct ALD systems as too onerous to implement, they have the option to install an indirect ALD system to comply with the provision.</w:t>
      </w:r>
    </w:p>
    <w:p w14:paraId="67DB9AF8" w14:textId="77777777" w:rsidR="00D67C1E" w:rsidRPr="00283806" w:rsidRDefault="001265CA">
      <w:pPr>
        <w:pStyle w:val="BodyText"/>
        <w:spacing w:line="228" w:lineRule="auto"/>
        <w:ind w:right="53"/>
      </w:pPr>
      <w:r w:rsidRPr="00283806">
        <w:rPr>
          <w:w w:val="105"/>
        </w:rPr>
        <w:t>Additionally, CARB’s refrigerant management program has required the use of ALD for refrigeration systems above 2,000 pounds since 2011. Certain supermarket systems are captured by this regulation and have been required</w:t>
      </w:r>
      <w:r w:rsidRPr="00283806">
        <w:rPr>
          <w:spacing w:val="40"/>
          <w:w w:val="105"/>
        </w:rPr>
        <w:t xml:space="preserve"> </w:t>
      </w:r>
      <w:r w:rsidRPr="00283806">
        <w:rPr>
          <w:w w:val="105"/>
        </w:rPr>
        <w:t>to use ALD for over a decade. As previously stated, EPA views the implementation of ALD for certain appliances with large charge sizes as important to serve the purposes described in subsection (h) to minimize the release of regulated substances. For these reasons, EPA disagrees with the commenter’s suggested compliance date of January 1, 2029.</w:t>
      </w:r>
    </w:p>
    <w:p w14:paraId="6ED5194C" w14:textId="77777777" w:rsidR="00D67C1E" w:rsidRPr="00283806" w:rsidRDefault="001265CA">
      <w:pPr>
        <w:pStyle w:val="BodyText"/>
        <w:spacing w:before="22" w:line="228" w:lineRule="auto"/>
        <w:ind w:right="48" w:firstLine="180"/>
      </w:pPr>
      <w:r w:rsidRPr="00283806">
        <w:rPr>
          <w:w w:val="105"/>
        </w:rPr>
        <w:t>With respect to the comment requesting a three-year compliance timeframe for existing operations and further stating that EPA has no statutory obligation to require compliance within</w:t>
      </w:r>
      <w:r w:rsidRPr="00283806">
        <w:rPr>
          <w:spacing w:val="80"/>
          <w:w w:val="105"/>
        </w:rPr>
        <w:t xml:space="preserve"> </w:t>
      </w:r>
      <w:r w:rsidRPr="00283806">
        <w:rPr>
          <w:w w:val="105"/>
        </w:rPr>
        <w:t>a shorter time frame, EPA responds that</w:t>
      </w:r>
      <w:r w:rsidRPr="00283806">
        <w:rPr>
          <w:spacing w:val="40"/>
          <w:w w:val="105"/>
        </w:rPr>
        <w:t xml:space="preserve"> </w:t>
      </w:r>
      <w:r w:rsidRPr="00283806">
        <w:rPr>
          <w:w w:val="105"/>
        </w:rPr>
        <w:t>it recognizes that the AIM Act does not expressly establish a specific timeframe for when regulated entities need to comply with regulations under</w:t>
      </w:r>
      <w:r w:rsidRPr="00283806">
        <w:rPr>
          <w:spacing w:val="40"/>
          <w:w w:val="105"/>
        </w:rPr>
        <w:t xml:space="preserve"> </w:t>
      </w:r>
      <w:r w:rsidRPr="00283806">
        <w:rPr>
          <w:w w:val="105"/>
        </w:rPr>
        <w:t>subsection (h)(1) of the AIM Act, leaving EPA discretion to determine what time period is appropriate in the context of</w:t>
      </w:r>
      <w:r w:rsidRPr="00283806">
        <w:rPr>
          <w:spacing w:val="40"/>
          <w:w w:val="105"/>
        </w:rPr>
        <w:t xml:space="preserve"> </w:t>
      </w:r>
      <w:r w:rsidRPr="00283806">
        <w:rPr>
          <w:w w:val="105"/>
        </w:rPr>
        <w:t>the specific regulations promulgated.</w:t>
      </w:r>
    </w:p>
    <w:p w14:paraId="00386675" w14:textId="77777777" w:rsidR="00D67C1E" w:rsidRPr="00283806" w:rsidRDefault="001265CA">
      <w:pPr>
        <w:pStyle w:val="BodyText"/>
        <w:spacing w:line="228" w:lineRule="auto"/>
        <w:ind w:right="117"/>
      </w:pPr>
      <w:r w:rsidRPr="00283806">
        <w:rPr>
          <w:w w:val="105"/>
        </w:rPr>
        <w:t>Congress identified three purposes for regulations under subsection (h)(1): maximizing reclamation, minimizing releases of HFCs from equipment, and ensuring the safety of technicians and consumers. Congress’s use of the terms such as ‘‘</w:t>
      </w:r>
      <w:proofErr w:type="gramStart"/>
      <w:r w:rsidRPr="00283806">
        <w:rPr>
          <w:w w:val="105"/>
        </w:rPr>
        <w:t>maximize</w:t>
      </w:r>
      <w:proofErr w:type="gramEnd"/>
      <w:r w:rsidRPr="00283806">
        <w:rPr>
          <w:w w:val="105"/>
        </w:rPr>
        <w:t xml:space="preserve">’’ and ‘‘minimize’’ in this context indicate that it intended for the regulations authorized under subsection (h)(1) to have a substantive and meaningful effect, </w:t>
      </w:r>
      <w:proofErr w:type="gramStart"/>
      <w:r w:rsidRPr="00283806">
        <w:rPr>
          <w:w w:val="105"/>
        </w:rPr>
        <w:t>taking into account</w:t>
      </w:r>
      <w:proofErr w:type="gramEnd"/>
      <w:r w:rsidRPr="00283806">
        <w:rPr>
          <w:w w:val="105"/>
        </w:rPr>
        <w:t xml:space="preserve"> the other statutory considerations such as whether the controls are appropriate. Because the compliance date could affect the</w:t>
      </w:r>
      <w:r w:rsidRPr="00283806">
        <w:rPr>
          <w:spacing w:val="80"/>
          <w:w w:val="105"/>
        </w:rPr>
        <w:t xml:space="preserve"> </w:t>
      </w:r>
      <w:r w:rsidRPr="00283806">
        <w:rPr>
          <w:w w:val="105"/>
        </w:rPr>
        <w:t>amount of HFC emissions that occur from equipment or the amount of HFCs available for reclamation, these terms</w:t>
      </w:r>
    </w:p>
    <w:p w14:paraId="0EBF5513" w14:textId="77777777" w:rsidR="00D67C1E" w:rsidRPr="00283806" w:rsidRDefault="001265CA">
      <w:pPr>
        <w:pStyle w:val="BodyText"/>
        <w:spacing w:before="134" w:line="225" w:lineRule="auto"/>
        <w:ind w:left="145" w:right="76"/>
      </w:pPr>
      <w:r w:rsidRPr="00283806">
        <w:br w:type="column"/>
      </w:r>
      <w:r w:rsidRPr="00283806">
        <w:rPr>
          <w:w w:val="105"/>
        </w:rPr>
        <w:t>inform EPA’s consideration when it is determining whether to establish a later compliance date for regulations under subsection (h)(1), and if so, what compliance date is appropriate. Thus, in establishing the compliance date for the requirements to use and install ALD systems under the final rule, EPA’s objective is to allow sufficient time—but not more time than is needed—to facilitate compliance and achieve the regulatory objectives. For example, if</w:t>
      </w:r>
      <w:r w:rsidRPr="00283806">
        <w:rPr>
          <w:spacing w:val="40"/>
          <w:w w:val="105"/>
        </w:rPr>
        <w:t xml:space="preserve"> </w:t>
      </w:r>
      <w:r w:rsidRPr="00283806">
        <w:rPr>
          <w:w w:val="105"/>
        </w:rPr>
        <w:t>EPA were to establish an unnecessarily long</w:t>
      </w:r>
      <w:r w:rsidRPr="00283806">
        <w:rPr>
          <w:spacing w:val="40"/>
          <w:w w:val="105"/>
        </w:rPr>
        <w:t xml:space="preserve"> </w:t>
      </w:r>
      <w:r w:rsidRPr="00283806">
        <w:rPr>
          <w:w w:val="105"/>
        </w:rPr>
        <w:t>compliance</w:t>
      </w:r>
      <w:r w:rsidRPr="00283806">
        <w:rPr>
          <w:spacing w:val="40"/>
          <w:w w:val="105"/>
        </w:rPr>
        <w:t xml:space="preserve"> </w:t>
      </w:r>
      <w:r w:rsidRPr="00283806">
        <w:rPr>
          <w:w w:val="105"/>
        </w:rPr>
        <w:t>date</w:t>
      </w:r>
      <w:r w:rsidRPr="00283806">
        <w:rPr>
          <w:spacing w:val="40"/>
          <w:w w:val="105"/>
        </w:rPr>
        <w:t xml:space="preserve"> </w:t>
      </w:r>
      <w:r w:rsidRPr="00283806">
        <w:rPr>
          <w:w w:val="105"/>
        </w:rPr>
        <w:t>for</w:t>
      </w:r>
      <w:r w:rsidRPr="00283806">
        <w:rPr>
          <w:spacing w:val="40"/>
          <w:w w:val="105"/>
        </w:rPr>
        <w:t xml:space="preserve"> </w:t>
      </w:r>
      <w:r w:rsidRPr="00283806">
        <w:rPr>
          <w:w w:val="105"/>
        </w:rPr>
        <w:t>installation and operation of ALD systems, that</w:t>
      </w:r>
      <w:r w:rsidRPr="00283806">
        <w:rPr>
          <w:spacing w:val="80"/>
          <w:w w:val="150"/>
        </w:rPr>
        <w:t xml:space="preserve"> </w:t>
      </w:r>
      <w:r w:rsidRPr="00283806">
        <w:rPr>
          <w:w w:val="105"/>
        </w:rPr>
        <w:t>could result in emissions for HFCs from equipment that could have been prevented through an earlier</w:t>
      </w:r>
      <w:r w:rsidRPr="00283806">
        <w:rPr>
          <w:spacing w:val="80"/>
          <w:w w:val="150"/>
        </w:rPr>
        <w:t xml:space="preserve"> </w:t>
      </w:r>
      <w:r w:rsidRPr="00283806">
        <w:rPr>
          <w:w w:val="105"/>
        </w:rPr>
        <w:t>compliance date. By the same token, establishing a compliance date that does not provide sufficient time for</w:t>
      </w:r>
      <w:r w:rsidRPr="00283806">
        <w:rPr>
          <w:spacing w:val="40"/>
          <w:w w:val="105"/>
        </w:rPr>
        <w:t xml:space="preserve"> </w:t>
      </w:r>
      <w:r w:rsidRPr="00283806">
        <w:rPr>
          <w:w w:val="105"/>
        </w:rPr>
        <w:t>compliance</w:t>
      </w:r>
      <w:r w:rsidRPr="00283806">
        <w:rPr>
          <w:spacing w:val="40"/>
          <w:w w:val="105"/>
        </w:rPr>
        <w:t xml:space="preserve"> </w:t>
      </w:r>
      <w:r w:rsidRPr="00283806">
        <w:rPr>
          <w:w w:val="105"/>
        </w:rPr>
        <w:t>could</w:t>
      </w:r>
      <w:r w:rsidRPr="00283806">
        <w:rPr>
          <w:spacing w:val="40"/>
          <w:w w:val="105"/>
        </w:rPr>
        <w:t xml:space="preserve"> </w:t>
      </w:r>
      <w:r w:rsidRPr="00283806">
        <w:rPr>
          <w:w w:val="105"/>
        </w:rPr>
        <w:t>also</w:t>
      </w:r>
      <w:r w:rsidRPr="00283806">
        <w:rPr>
          <w:spacing w:val="40"/>
          <w:w w:val="105"/>
        </w:rPr>
        <w:t xml:space="preserve"> </w:t>
      </w:r>
      <w:r w:rsidRPr="00283806">
        <w:rPr>
          <w:w w:val="105"/>
        </w:rPr>
        <w:t>have</w:t>
      </w:r>
      <w:r w:rsidRPr="00283806">
        <w:rPr>
          <w:spacing w:val="40"/>
          <w:w w:val="105"/>
        </w:rPr>
        <w:t xml:space="preserve"> </w:t>
      </w:r>
      <w:r w:rsidRPr="00283806">
        <w:rPr>
          <w:w w:val="105"/>
        </w:rPr>
        <w:t xml:space="preserve">a deleterious effect on the regulations’ ability to achieve these purposes if the result is that entities fail to properly </w:t>
      </w:r>
      <w:r w:rsidRPr="00283806">
        <w:rPr>
          <w:spacing w:val="-2"/>
          <w:w w:val="105"/>
        </w:rPr>
        <w:t>comply.</w:t>
      </w:r>
    </w:p>
    <w:p w14:paraId="5D2F60B7" w14:textId="77777777" w:rsidR="00D67C1E" w:rsidRPr="00283806" w:rsidRDefault="001265CA">
      <w:pPr>
        <w:pStyle w:val="BodyText"/>
        <w:spacing w:line="171" w:lineRule="exact"/>
        <w:ind w:left="325"/>
      </w:pPr>
      <w:r w:rsidRPr="00283806">
        <w:rPr>
          <w:w w:val="105"/>
        </w:rPr>
        <w:t>The</w:t>
      </w:r>
      <w:r w:rsidRPr="00283806">
        <w:rPr>
          <w:spacing w:val="22"/>
          <w:w w:val="105"/>
        </w:rPr>
        <w:t xml:space="preserve"> </w:t>
      </w:r>
      <w:r w:rsidRPr="00283806">
        <w:rPr>
          <w:w w:val="105"/>
        </w:rPr>
        <w:t>Agency</w:t>
      </w:r>
      <w:r w:rsidRPr="00283806">
        <w:rPr>
          <w:spacing w:val="23"/>
          <w:w w:val="105"/>
        </w:rPr>
        <w:t xml:space="preserve"> </w:t>
      </w:r>
      <w:r w:rsidRPr="00283806">
        <w:rPr>
          <w:w w:val="105"/>
        </w:rPr>
        <w:t>acknowledges</w:t>
      </w:r>
      <w:r w:rsidRPr="00283806">
        <w:rPr>
          <w:spacing w:val="23"/>
          <w:w w:val="105"/>
        </w:rPr>
        <w:t xml:space="preserve"> </w:t>
      </w:r>
      <w:r w:rsidRPr="00283806">
        <w:rPr>
          <w:spacing w:val="-5"/>
          <w:w w:val="105"/>
        </w:rPr>
        <w:t>one</w:t>
      </w:r>
    </w:p>
    <w:p w14:paraId="7D9E3821" w14:textId="77777777" w:rsidR="00D67C1E" w:rsidRPr="00283806" w:rsidRDefault="001265CA">
      <w:pPr>
        <w:pStyle w:val="BodyText"/>
        <w:spacing w:before="4" w:line="225" w:lineRule="auto"/>
        <w:ind w:left="145"/>
      </w:pPr>
      <w:r w:rsidRPr="00283806">
        <w:rPr>
          <w:w w:val="105"/>
        </w:rPr>
        <w:t>commenter’s suggestion to provide a narrow exemption for owners or operators who could prove they would transition to a lower-GWP refrigerant- containing appliance. The Agency responds that it is not finalizing the exemption that the commenter describes because owners or operators who transition</w:t>
      </w:r>
      <w:r w:rsidRPr="00283806">
        <w:rPr>
          <w:spacing w:val="-4"/>
          <w:w w:val="105"/>
        </w:rPr>
        <w:t xml:space="preserve"> </w:t>
      </w:r>
      <w:r w:rsidRPr="00283806">
        <w:rPr>
          <w:w w:val="105"/>
        </w:rPr>
        <w:t>to</w:t>
      </w:r>
      <w:r w:rsidRPr="00283806">
        <w:rPr>
          <w:spacing w:val="-4"/>
          <w:w w:val="105"/>
        </w:rPr>
        <w:t xml:space="preserve"> </w:t>
      </w:r>
      <w:r w:rsidRPr="00283806">
        <w:rPr>
          <w:w w:val="105"/>
        </w:rPr>
        <w:t>a</w:t>
      </w:r>
      <w:r w:rsidRPr="00283806">
        <w:rPr>
          <w:spacing w:val="-4"/>
          <w:w w:val="105"/>
        </w:rPr>
        <w:t xml:space="preserve"> </w:t>
      </w:r>
      <w:r w:rsidRPr="00283806">
        <w:rPr>
          <w:w w:val="105"/>
        </w:rPr>
        <w:t>lower-GWP</w:t>
      </w:r>
      <w:r w:rsidRPr="00283806">
        <w:rPr>
          <w:spacing w:val="-4"/>
          <w:w w:val="105"/>
        </w:rPr>
        <w:t xml:space="preserve"> </w:t>
      </w:r>
      <w:r w:rsidRPr="00283806">
        <w:rPr>
          <w:w w:val="105"/>
        </w:rPr>
        <w:t>refrigerant</w:t>
      </w:r>
      <w:r w:rsidRPr="00283806">
        <w:rPr>
          <w:spacing w:val="-4"/>
          <w:w w:val="105"/>
        </w:rPr>
        <w:t xml:space="preserve"> </w:t>
      </w:r>
      <w:r w:rsidRPr="00283806">
        <w:rPr>
          <w:w w:val="105"/>
        </w:rPr>
        <w:t>are not necessarily exempt from the ALD</w:t>
      </w:r>
      <w:r w:rsidRPr="00283806">
        <w:rPr>
          <w:spacing w:val="80"/>
          <w:w w:val="105"/>
        </w:rPr>
        <w:t xml:space="preserve"> </w:t>
      </w:r>
      <w:r w:rsidRPr="00283806">
        <w:rPr>
          <w:w w:val="105"/>
        </w:rPr>
        <w:t xml:space="preserve">and broader leak repair requirements in this final rule. The overarching applicability for refrigerant-containing appliances subject to these requirements in the final rule is </w:t>
      </w:r>
      <w:proofErr w:type="gramStart"/>
      <w:r w:rsidRPr="00283806">
        <w:rPr>
          <w:w w:val="105"/>
        </w:rPr>
        <w:t>whether or not</w:t>
      </w:r>
      <w:proofErr w:type="gramEnd"/>
      <w:r w:rsidRPr="00283806">
        <w:rPr>
          <w:w w:val="105"/>
        </w:rPr>
        <w:t xml:space="preserve"> the refrigerant-containing appliance uses an HFC</w:t>
      </w:r>
      <w:r w:rsidRPr="00283806">
        <w:rPr>
          <w:spacing w:val="38"/>
          <w:w w:val="105"/>
        </w:rPr>
        <w:t xml:space="preserve"> </w:t>
      </w:r>
      <w:r w:rsidRPr="00283806">
        <w:rPr>
          <w:w w:val="105"/>
        </w:rPr>
        <w:t>or</w:t>
      </w:r>
      <w:r w:rsidRPr="00283806">
        <w:rPr>
          <w:spacing w:val="38"/>
          <w:w w:val="105"/>
        </w:rPr>
        <w:t xml:space="preserve"> </w:t>
      </w:r>
      <w:r w:rsidRPr="00283806">
        <w:rPr>
          <w:w w:val="105"/>
        </w:rPr>
        <w:t>substitute</w:t>
      </w:r>
      <w:r w:rsidRPr="00283806">
        <w:rPr>
          <w:spacing w:val="38"/>
          <w:w w:val="105"/>
        </w:rPr>
        <w:t xml:space="preserve"> </w:t>
      </w:r>
      <w:r w:rsidRPr="00283806">
        <w:rPr>
          <w:w w:val="105"/>
        </w:rPr>
        <w:t>for</w:t>
      </w:r>
      <w:r w:rsidRPr="00283806">
        <w:rPr>
          <w:spacing w:val="38"/>
          <w:w w:val="105"/>
        </w:rPr>
        <w:t xml:space="preserve"> </w:t>
      </w:r>
      <w:r w:rsidRPr="00283806">
        <w:rPr>
          <w:w w:val="105"/>
        </w:rPr>
        <w:t>an</w:t>
      </w:r>
      <w:r w:rsidRPr="00283806">
        <w:rPr>
          <w:spacing w:val="38"/>
          <w:w w:val="105"/>
        </w:rPr>
        <w:t xml:space="preserve"> </w:t>
      </w:r>
      <w:r w:rsidRPr="00283806">
        <w:rPr>
          <w:w w:val="105"/>
        </w:rPr>
        <w:t>HFC</w:t>
      </w:r>
      <w:r w:rsidRPr="00283806">
        <w:rPr>
          <w:spacing w:val="38"/>
          <w:w w:val="105"/>
        </w:rPr>
        <w:t xml:space="preserve"> </w:t>
      </w:r>
      <w:r w:rsidRPr="00283806">
        <w:rPr>
          <w:w w:val="105"/>
        </w:rPr>
        <w:t>with</w:t>
      </w:r>
      <w:r w:rsidRPr="00283806">
        <w:rPr>
          <w:spacing w:val="38"/>
          <w:w w:val="105"/>
        </w:rPr>
        <w:t xml:space="preserve"> </w:t>
      </w:r>
      <w:r w:rsidRPr="00283806">
        <w:rPr>
          <w:w w:val="105"/>
        </w:rPr>
        <w:t>a GWP greater than 53. For example, an owner or operator at the end of a refrigerant-containing appliance’s useful life may transition to a lower-GWP refrigerant that contains an HFC or substitute with a GWP greater than 53 and would thus still be required to</w:t>
      </w:r>
      <w:r w:rsidRPr="00283806">
        <w:rPr>
          <w:spacing w:val="80"/>
          <w:w w:val="105"/>
        </w:rPr>
        <w:t xml:space="preserve"> </w:t>
      </w:r>
      <w:r w:rsidRPr="00283806">
        <w:rPr>
          <w:w w:val="105"/>
        </w:rPr>
        <w:t>install and use an ALD system. In some cases, an owner or operator will transition to a refrigerant that does not contain an HFC or does not have a GWP greater than 53 (</w:t>
      </w:r>
      <w:r w:rsidRPr="00283806">
        <w:rPr>
          <w:rFonts w:ascii="Book Antiqua" w:hAnsi="Book Antiqua"/>
          <w:i/>
          <w:w w:val="105"/>
        </w:rPr>
        <w:t xml:space="preserve">e.g., </w:t>
      </w:r>
      <w:r w:rsidRPr="00283806">
        <w:rPr>
          <w:w w:val="105"/>
        </w:rPr>
        <w:t>R–477) and is not required to install an ALD system.</w:t>
      </w:r>
    </w:p>
    <w:p w14:paraId="39DC52BC" w14:textId="77777777" w:rsidR="00D67C1E" w:rsidRPr="00283806" w:rsidRDefault="001265CA">
      <w:pPr>
        <w:spacing w:line="164" w:lineRule="exact"/>
        <w:ind w:left="325"/>
        <w:rPr>
          <w:sz w:val="18"/>
        </w:rPr>
      </w:pPr>
      <w:r w:rsidRPr="00283806">
        <w:rPr>
          <w:rFonts w:ascii="Book Antiqua"/>
          <w:i/>
          <w:w w:val="110"/>
          <w:sz w:val="18"/>
        </w:rPr>
        <w:t>Comment:</w:t>
      </w:r>
      <w:r w:rsidRPr="00283806">
        <w:rPr>
          <w:rFonts w:ascii="Book Antiqua"/>
          <w:i/>
          <w:spacing w:val="-2"/>
          <w:w w:val="110"/>
          <w:sz w:val="18"/>
        </w:rPr>
        <w:t xml:space="preserve"> </w:t>
      </w:r>
      <w:r w:rsidRPr="00283806">
        <w:rPr>
          <w:w w:val="110"/>
          <w:sz w:val="18"/>
        </w:rPr>
        <w:t>The</w:t>
      </w:r>
      <w:r w:rsidRPr="00283806">
        <w:rPr>
          <w:spacing w:val="4"/>
          <w:w w:val="110"/>
          <w:sz w:val="18"/>
        </w:rPr>
        <w:t xml:space="preserve"> </w:t>
      </w:r>
      <w:r w:rsidRPr="00283806">
        <w:rPr>
          <w:w w:val="110"/>
          <w:sz w:val="18"/>
        </w:rPr>
        <w:t>Agency</w:t>
      </w:r>
      <w:r w:rsidRPr="00283806">
        <w:rPr>
          <w:spacing w:val="5"/>
          <w:w w:val="110"/>
          <w:sz w:val="18"/>
        </w:rPr>
        <w:t xml:space="preserve"> </w:t>
      </w:r>
      <w:r w:rsidRPr="00283806">
        <w:rPr>
          <w:w w:val="110"/>
          <w:sz w:val="18"/>
        </w:rPr>
        <w:t>also</w:t>
      </w:r>
      <w:r w:rsidRPr="00283806">
        <w:rPr>
          <w:spacing w:val="4"/>
          <w:w w:val="110"/>
          <w:sz w:val="18"/>
        </w:rPr>
        <w:t xml:space="preserve"> </w:t>
      </w:r>
      <w:r w:rsidRPr="00283806">
        <w:rPr>
          <w:spacing w:val="-2"/>
          <w:w w:val="110"/>
          <w:sz w:val="18"/>
        </w:rPr>
        <w:t>received</w:t>
      </w:r>
    </w:p>
    <w:p w14:paraId="545EBCCE" w14:textId="77777777" w:rsidR="00D67C1E" w:rsidRPr="00283806" w:rsidRDefault="001265CA">
      <w:pPr>
        <w:pStyle w:val="BodyText"/>
        <w:spacing w:line="225" w:lineRule="auto"/>
        <w:ind w:left="145"/>
      </w:pPr>
      <w:r w:rsidRPr="00283806">
        <w:rPr>
          <w:w w:val="105"/>
        </w:rPr>
        <w:t>general comments regarding the compliance</w:t>
      </w:r>
      <w:r w:rsidRPr="00283806">
        <w:rPr>
          <w:spacing w:val="40"/>
          <w:w w:val="105"/>
        </w:rPr>
        <w:t xml:space="preserve"> </w:t>
      </w:r>
      <w:r w:rsidRPr="00283806">
        <w:rPr>
          <w:w w:val="105"/>
        </w:rPr>
        <w:t>dates</w:t>
      </w:r>
      <w:r w:rsidRPr="00283806">
        <w:rPr>
          <w:spacing w:val="40"/>
          <w:w w:val="105"/>
        </w:rPr>
        <w:t xml:space="preserve"> </w:t>
      </w:r>
      <w:r w:rsidRPr="00283806">
        <w:rPr>
          <w:w w:val="105"/>
        </w:rPr>
        <w:t>for</w:t>
      </w:r>
      <w:r w:rsidRPr="00283806">
        <w:rPr>
          <w:spacing w:val="40"/>
          <w:w w:val="105"/>
        </w:rPr>
        <w:t xml:space="preserve"> </w:t>
      </w:r>
      <w:r w:rsidRPr="00283806">
        <w:rPr>
          <w:w w:val="105"/>
        </w:rPr>
        <w:t>the</w:t>
      </w:r>
      <w:r w:rsidRPr="00283806">
        <w:rPr>
          <w:spacing w:val="40"/>
          <w:w w:val="105"/>
        </w:rPr>
        <w:t xml:space="preserve"> </w:t>
      </w:r>
      <w:r w:rsidRPr="00283806">
        <w:rPr>
          <w:w w:val="105"/>
        </w:rPr>
        <w:t>final</w:t>
      </w:r>
      <w:r w:rsidRPr="00283806">
        <w:rPr>
          <w:spacing w:val="40"/>
          <w:w w:val="105"/>
        </w:rPr>
        <w:t xml:space="preserve"> </w:t>
      </w:r>
      <w:r w:rsidRPr="00283806">
        <w:rPr>
          <w:w w:val="105"/>
        </w:rPr>
        <w:t>rule’s ALD provisions. One commenter, acknowledging the need for proper leak detection, expressed concern that the proposal’s timelines were too aggressive and that many of the requirements and leak detection methods needed further clarification. Another commenter who generally supported the ALD provision opposed any compliance date less than</w:t>
      </w:r>
    </w:p>
    <w:p w14:paraId="517E01C1" w14:textId="77777777" w:rsidR="00D67C1E" w:rsidRPr="00283806" w:rsidRDefault="001265CA">
      <w:pPr>
        <w:pStyle w:val="BodyText"/>
        <w:spacing w:before="134" w:line="225" w:lineRule="auto"/>
        <w:ind w:left="143" w:right="210"/>
      </w:pPr>
      <w:r w:rsidRPr="00283806">
        <w:br w:type="column"/>
      </w:r>
      <w:r w:rsidRPr="00283806">
        <w:rPr>
          <w:w w:val="105"/>
        </w:rPr>
        <w:t>three years from publication of the final rule, on grounds that it will take manufacturers and appliance owners considerable time to plan, procure, and install ALD systems. One commenter proposed that EPA could consider making the compliance date earlier.</w:t>
      </w:r>
    </w:p>
    <w:p w14:paraId="6A161790" w14:textId="77777777" w:rsidR="00D67C1E" w:rsidRPr="00283806" w:rsidRDefault="001265CA">
      <w:pPr>
        <w:pStyle w:val="BodyText"/>
        <w:spacing w:line="225" w:lineRule="auto"/>
        <w:ind w:left="143" w:right="228"/>
      </w:pPr>
      <w:r w:rsidRPr="00283806">
        <w:rPr>
          <w:w w:val="105"/>
        </w:rPr>
        <w:t>Another commenter asserted that technicians would need to be trained and re-certified to handle HFCs and work with ALD equipment. They claim ALD systems were not broadly used for any of the ODS-substitutes when the 40 CFR part 82 rules for HFC management under the CAA were in effect. The commenter requested EPA finalize a compliance date at least 180 days after publication of the final rule.</w:t>
      </w:r>
    </w:p>
    <w:p w14:paraId="6C92CFF8" w14:textId="77777777" w:rsidR="00D67C1E" w:rsidRPr="00283806" w:rsidRDefault="001265CA">
      <w:pPr>
        <w:pStyle w:val="BodyText"/>
        <w:spacing w:line="176" w:lineRule="exact"/>
        <w:ind w:left="323"/>
      </w:pPr>
      <w:r w:rsidRPr="00283806">
        <w:rPr>
          <w:w w:val="105"/>
        </w:rPr>
        <w:t>Another</w:t>
      </w:r>
      <w:r w:rsidRPr="00283806">
        <w:rPr>
          <w:spacing w:val="16"/>
          <w:w w:val="105"/>
        </w:rPr>
        <w:t xml:space="preserve"> </w:t>
      </w:r>
      <w:r w:rsidRPr="00283806">
        <w:rPr>
          <w:w w:val="105"/>
        </w:rPr>
        <w:t>commenter</w:t>
      </w:r>
      <w:r w:rsidRPr="00283806">
        <w:rPr>
          <w:spacing w:val="16"/>
          <w:w w:val="105"/>
        </w:rPr>
        <w:t xml:space="preserve"> </w:t>
      </w:r>
      <w:r w:rsidRPr="00283806">
        <w:rPr>
          <w:w w:val="105"/>
        </w:rPr>
        <w:t>claimed</w:t>
      </w:r>
      <w:r w:rsidRPr="00283806">
        <w:rPr>
          <w:spacing w:val="16"/>
          <w:w w:val="105"/>
        </w:rPr>
        <w:t xml:space="preserve"> </w:t>
      </w:r>
      <w:r w:rsidRPr="00283806">
        <w:rPr>
          <w:spacing w:val="-5"/>
          <w:w w:val="105"/>
        </w:rPr>
        <w:t>the</w:t>
      </w:r>
    </w:p>
    <w:p w14:paraId="57414312" w14:textId="77777777" w:rsidR="00D67C1E" w:rsidRPr="00283806" w:rsidRDefault="001265CA">
      <w:pPr>
        <w:pStyle w:val="BodyText"/>
        <w:spacing w:before="2" w:line="225" w:lineRule="auto"/>
        <w:ind w:left="143" w:right="121"/>
      </w:pPr>
      <w:r w:rsidRPr="00283806">
        <w:rPr>
          <w:w w:val="105"/>
        </w:rPr>
        <w:t>proposed rule’s compliance dates were impractical for large aviation and</w:t>
      </w:r>
      <w:r w:rsidRPr="00283806">
        <w:rPr>
          <w:spacing w:val="80"/>
          <w:w w:val="105"/>
        </w:rPr>
        <w:t xml:space="preserve"> </w:t>
      </w:r>
      <w:r w:rsidRPr="00283806">
        <w:rPr>
          <w:w w:val="105"/>
        </w:rPr>
        <w:t>defense manufacturers. The commenter stated that manufacturing military, aerospace, and space end-use products</w:t>
      </w:r>
      <w:r w:rsidRPr="00283806">
        <w:rPr>
          <w:spacing w:val="80"/>
          <w:w w:val="150"/>
        </w:rPr>
        <w:t xml:space="preserve"> </w:t>
      </w:r>
      <w:r w:rsidRPr="00283806">
        <w:rPr>
          <w:w w:val="105"/>
        </w:rPr>
        <w:t>is often subject to significant oversight</w:t>
      </w:r>
      <w:r w:rsidRPr="00283806">
        <w:rPr>
          <w:spacing w:val="80"/>
          <w:w w:val="105"/>
        </w:rPr>
        <w:t xml:space="preserve"> </w:t>
      </w:r>
      <w:r w:rsidRPr="00283806">
        <w:rPr>
          <w:w w:val="105"/>
        </w:rPr>
        <w:t>or control by other Federal entities such as the U.S. Department of Defense and</w:t>
      </w:r>
      <w:r w:rsidRPr="00283806">
        <w:rPr>
          <w:spacing w:val="40"/>
          <w:w w:val="105"/>
        </w:rPr>
        <w:t xml:space="preserve"> </w:t>
      </w:r>
      <w:r w:rsidRPr="00283806">
        <w:rPr>
          <w:w w:val="105"/>
        </w:rPr>
        <w:t xml:space="preserve">the FAA, which can include scrutiny of manufacturing processes. Further, the commenter claimed that some refrigerant-containing appliances used for IPR are uniquely designed and may not be compatible with ‘‘off-the-shelf ALD’’ systems; thus, engineering design modifications or re-engineering could be necessary to ensure functionality of both the IPR equipment and the ALD system. The commenter requested EPA extend the compliance deadlines until 2027 for these reasons </w:t>
      </w:r>
      <w:proofErr w:type="gramStart"/>
      <w:r w:rsidRPr="00283806">
        <w:rPr>
          <w:w w:val="105"/>
        </w:rPr>
        <w:t>and also</w:t>
      </w:r>
      <w:proofErr w:type="gramEnd"/>
      <w:r w:rsidRPr="00283806">
        <w:rPr>
          <w:w w:val="105"/>
        </w:rPr>
        <w:t xml:space="preserve"> stated that the extension would be consistent with</w:t>
      </w:r>
      <w:r w:rsidRPr="00283806">
        <w:rPr>
          <w:spacing w:val="80"/>
          <w:w w:val="105"/>
        </w:rPr>
        <w:t xml:space="preserve"> </w:t>
      </w:r>
      <w:r w:rsidRPr="00283806">
        <w:rPr>
          <w:w w:val="105"/>
        </w:rPr>
        <w:t>EPA’s extension of the IPR transition</w:t>
      </w:r>
      <w:r w:rsidRPr="00283806">
        <w:rPr>
          <w:spacing w:val="80"/>
          <w:w w:val="105"/>
        </w:rPr>
        <w:t xml:space="preserve"> </w:t>
      </w:r>
      <w:r w:rsidRPr="00283806">
        <w:rPr>
          <w:w w:val="105"/>
        </w:rPr>
        <w:t>date in the 2023 Technology Transitions final rule.</w:t>
      </w:r>
    </w:p>
    <w:p w14:paraId="7DB6EB9E" w14:textId="77777777" w:rsidR="00D67C1E" w:rsidRPr="00283806" w:rsidRDefault="001265CA">
      <w:pPr>
        <w:spacing w:line="176" w:lineRule="exact"/>
        <w:ind w:left="323"/>
        <w:rPr>
          <w:sz w:val="18"/>
        </w:rPr>
      </w:pPr>
      <w:r w:rsidRPr="00283806">
        <w:rPr>
          <w:rFonts w:ascii="Book Antiqua"/>
          <w:i/>
          <w:w w:val="110"/>
          <w:sz w:val="18"/>
        </w:rPr>
        <w:t>Response:</w:t>
      </w:r>
      <w:r w:rsidRPr="00283806">
        <w:rPr>
          <w:rFonts w:ascii="Book Antiqua"/>
          <w:i/>
          <w:spacing w:val="6"/>
          <w:w w:val="110"/>
          <w:sz w:val="18"/>
        </w:rPr>
        <w:t xml:space="preserve"> </w:t>
      </w:r>
      <w:r w:rsidRPr="00283806">
        <w:rPr>
          <w:w w:val="110"/>
          <w:sz w:val="18"/>
        </w:rPr>
        <w:t>The</w:t>
      </w:r>
      <w:r w:rsidRPr="00283806">
        <w:rPr>
          <w:spacing w:val="12"/>
          <w:w w:val="110"/>
          <w:sz w:val="18"/>
        </w:rPr>
        <w:t xml:space="preserve"> </w:t>
      </w:r>
      <w:r w:rsidRPr="00283806">
        <w:rPr>
          <w:w w:val="110"/>
          <w:sz w:val="18"/>
        </w:rPr>
        <w:t>Agency</w:t>
      </w:r>
      <w:r w:rsidRPr="00283806">
        <w:rPr>
          <w:spacing w:val="13"/>
          <w:w w:val="110"/>
          <w:sz w:val="18"/>
        </w:rPr>
        <w:t xml:space="preserve"> </w:t>
      </w:r>
      <w:r w:rsidRPr="00283806">
        <w:rPr>
          <w:w w:val="110"/>
          <w:sz w:val="18"/>
        </w:rPr>
        <w:t>is</w:t>
      </w:r>
      <w:r w:rsidRPr="00283806">
        <w:rPr>
          <w:spacing w:val="12"/>
          <w:w w:val="110"/>
          <w:sz w:val="18"/>
        </w:rPr>
        <w:t xml:space="preserve"> </w:t>
      </w:r>
      <w:r w:rsidRPr="00283806">
        <w:rPr>
          <w:w w:val="110"/>
          <w:sz w:val="18"/>
        </w:rPr>
        <w:t>finalizing</w:t>
      </w:r>
      <w:r w:rsidRPr="00283806">
        <w:rPr>
          <w:spacing w:val="12"/>
          <w:w w:val="110"/>
          <w:sz w:val="18"/>
        </w:rPr>
        <w:t xml:space="preserve"> </w:t>
      </w:r>
      <w:r w:rsidRPr="00283806">
        <w:rPr>
          <w:spacing w:val="-10"/>
          <w:w w:val="110"/>
          <w:sz w:val="18"/>
        </w:rPr>
        <w:t>a</w:t>
      </w:r>
    </w:p>
    <w:p w14:paraId="6D7A03AF" w14:textId="77777777" w:rsidR="00D67C1E" w:rsidRPr="00283806" w:rsidRDefault="001265CA">
      <w:pPr>
        <w:pStyle w:val="BodyText"/>
        <w:spacing w:line="225" w:lineRule="auto"/>
        <w:ind w:left="143" w:right="161"/>
      </w:pPr>
      <w:r w:rsidRPr="00283806">
        <w:rPr>
          <w:w w:val="105"/>
        </w:rPr>
        <w:t>new compliance date for new and existing refrigerant-containing appliances subject to the ALD</w:t>
      </w:r>
      <w:r w:rsidRPr="00283806">
        <w:rPr>
          <w:spacing w:val="80"/>
          <w:w w:val="105"/>
        </w:rPr>
        <w:t xml:space="preserve"> </w:t>
      </w:r>
      <w:r w:rsidRPr="00283806">
        <w:rPr>
          <w:w w:val="105"/>
        </w:rPr>
        <w:t>provisions. New IPR and commercial refrigeration appliances that contain an HFC or HFC substitute with a GWP greater than 53 are required to install and use an ALD system starting January 1, 2026. EPA expects that the</w:t>
      </w:r>
      <w:r w:rsidRPr="00283806">
        <w:rPr>
          <w:spacing w:val="80"/>
          <w:w w:val="105"/>
        </w:rPr>
        <w:t xml:space="preserve"> </w:t>
      </w:r>
      <w:r w:rsidRPr="00283806">
        <w:rPr>
          <w:w w:val="105"/>
        </w:rPr>
        <w:t>installation of an ALD system will be a part</w:t>
      </w:r>
      <w:r w:rsidRPr="00283806">
        <w:rPr>
          <w:spacing w:val="-2"/>
          <w:w w:val="105"/>
        </w:rPr>
        <w:t xml:space="preserve"> </w:t>
      </w:r>
      <w:r w:rsidRPr="00283806">
        <w:rPr>
          <w:w w:val="105"/>
        </w:rPr>
        <w:t>of</w:t>
      </w:r>
      <w:r w:rsidRPr="00283806">
        <w:rPr>
          <w:spacing w:val="-2"/>
          <w:w w:val="105"/>
        </w:rPr>
        <w:t xml:space="preserve"> </w:t>
      </w:r>
      <w:r w:rsidRPr="00283806">
        <w:rPr>
          <w:w w:val="105"/>
        </w:rPr>
        <w:t>the</w:t>
      </w:r>
      <w:r w:rsidRPr="00283806">
        <w:rPr>
          <w:spacing w:val="-2"/>
          <w:w w:val="105"/>
        </w:rPr>
        <w:t xml:space="preserve"> </w:t>
      </w:r>
      <w:r w:rsidRPr="00283806">
        <w:rPr>
          <w:w w:val="105"/>
        </w:rPr>
        <w:t>overall</w:t>
      </w:r>
      <w:r w:rsidRPr="00283806">
        <w:rPr>
          <w:spacing w:val="-2"/>
          <w:w w:val="105"/>
        </w:rPr>
        <w:t xml:space="preserve"> </w:t>
      </w:r>
      <w:r w:rsidRPr="00283806">
        <w:rPr>
          <w:w w:val="105"/>
        </w:rPr>
        <w:t>refrigerant-containing appliance installation; however, owners or operators have 30 days after the installation of a refrigerant-containing appliance to install and use an ALD system. For existing refrigerant- containing appliances installed on or after January 1, 2017, owners or operators are required to install and use an ALD system by January 1, 2027. The changes to the compliance date should address commenter’s concerns and requests for additional time (</w:t>
      </w:r>
      <w:r w:rsidRPr="00283806">
        <w:rPr>
          <w:rFonts w:ascii="Book Antiqua" w:hAnsi="Book Antiqua"/>
          <w:i/>
          <w:w w:val="105"/>
        </w:rPr>
        <w:t xml:space="preserve">e.g., </w:t>
      </w:r>
      <w:r w:rsidRPr="00283806">
        <w:rPr>
          <w:w w:val="105"/>
        </w:rPr>
        <w:t>180 days, two years). The Agency has also</w:t>
      </w:r>
    </w:p>
    <w:p w14:paraId="7CEC3101"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5" w:space="40"/>
            <w:col w:w="3502" w:space="39"/>
            <w:col w:w="3624"/>
          </w:cols>
        </w:sectPr>
      </w:pPr>
    </w:p>
    <w:p w14:paraId="0C20EAE1" w14:textId="77777777" w:rsidR="00D67C1E" w:rsidRPr="00283806" w:rsidRDefault="001265CA">
      <w:pPr>
        <w:pStyle w:val="BodyText"/>
        <w:spacing w:before="136" w:line="225" w:lineRule="auto"/>
        <w:ind w:right="66"/>
      </w:pPr>
      <w:r w:rsidRPr="00283806">
        <w:rPr>
          <w:w w:val="105"/>
        </w:rPr>
        <w:lastRenderedPageBreak/>
        <w:t>provided more information on the leak detection requirements in this section and additional clarity on direct and indirect ALD systems in section IV.D.1,</w:t>
      </w:r>
      <w:r w:rsidRPr="00283806">
        <w:rPr>
          <w:spacing w:val="80"/>
          <w:w w:val="150"/>
        </w:rPr>
        <w:t xml:space="preserve"> </w:t>
      </w:r>
      <w:r w:rsidRPr="00283806">
        <w:rPr>
          <w:w w:val="105"/>
        </w:rPr>
        <w:t>as requested by one commenter. EPA disagrees that the compliance timeline should be extended to at least three</w:t>
      </w:r>
      <w:r w:rsidRPr="00283806">
        <w:rPr>
          <w:spacing w:val="80"/>
          <w:w w:val="105"/>
        </w:rPr>
        <w:t xml:space="preserve"> </w:t>
      </w:r>
      <w:r w:rsidRPr="00283806">
        <w:rPr>
          <w:w w:val="105"/>
        </w:rPr>
        <w:t>years after the final rule’s publication. Both new and existing IPR and commercial refrigeration appliances</w:t>
      </w:r>
      <w:r w:rsidRPr="00283806">
        <w:rPr>
          <w:spacing w:val="80"/>
          <w:w w:val="105"/>
        </w:rPr>
        <w:t xml:space="preserve"> </w:t>
      </w:r>
      <w:r w:rsidRPr="00283806">
        <w:rPr>
          <w:w w:val="105"/>
        </w:rPr>
        <w:t>have been given additional time to comply with the ALD requirements</w:t>
      </w:r>
      <w:r w:rsidRPr="00283806">
        <w:rPr>
          <w:spacing w:val="40"/>
          <w:w w:val="105"/>
        </w:rPr>
        <w:t xml:space="preserve"> </w:t>
      </w:r>
      <w:r w:rsidRPr="00283806">
        <w:rPr>
          <w:w w:val="105"/>
        </w:rPr>
        <w:t>which will allow owners or operators</w:t>
      </w:r>
      <w:r w:rsidRPr="00283806">
        <w:rPr>
          <w:spacing w:val="80"/>
          <w:w w:val="105"/>
        </w:rPr>
        <w:t xml:space="preserve"> </w:t>
      </w:r>
      <w:r w:rsidRPr="00283806">
        <w:rPr>
          <w:w w:val="105"/>
        </w:rPr>
        <w:t>the necessary time to plan, procure, and install an ALD system. Further, the applicability for existing IPR and commercial refrigeration appliances has been changed to ensure the supply of</w:t>
      </w:r>
      <w:r w:rsidRPr="00283806">
        <w:rPr>
          <w:spacing w:val="40"/>
          <w:w w:val="105"/>
        </w:rPr>
        <w:t xml:space="preserve"> </w:t>
      </w:r>
      <w:r w:rsidRPr="00283806">
        <w:rPr>
          <w:w w:val="105"/>
        </w:rPr>
        <w:t>ALD systems is available and further facilitate compliance with the requirements. Existing IPR and commercial refrigeration appliances</w:t>
      </w:r>
      <w:r w:rsidRPr="00283806">
        <w:rPr>
          <w:spacing w:val="80"/>
          <w:w w:val="105"/>
        </w:rPr>
        <w:t xml:space="preserve"> </w:t>
      </w:r>
      <w:r w:rsidRPr="00283806">
        <w:rPr>
          <w:w w:val="105"/>
        </w:rPr>
        <w:t>have over two years to install an ALD system. Furthermore, the Agency is not merging</w:t>
      </w:r>
      <w:r w:rsidRPr="00283806">
        <w:rPr>
          <w:spacing w:val="40"/>
          <w:w w:val="105"/>
        </w:rPr>
        <w:t xml:space="preserve"> </w:t>
      </w:r>
      <w:r w:rsidRPr="00283806">
        <w:rPr>
          <w:w w:val="105"/>
        </w:rPr>
        <w:t>the</w:t>
      </w:r>
      <w:r w:rsidRPr="00283806">
        <w:rPr>
          <w:spacing w:val="40"/>
          <w:w w:val="105"/>
        </w:rPr>
        <w:t xml:space="preserve"> </w:t>
      </w:r>
      <w:r w:rsidRPr="00283806">
        <w:rPr>
          <w:w w:val="105"/>
        </w:rPr>
        <w:t>overall</w:t>
      </w:r>
      <w:r w:rsidRPr="00283806">
        <w:rPr>
          <w:spacing w:val="40"/>
          <w:w w:val="105"/>
        </w:rPr>
        <w:t xml:space="preserve"> </w:t>
      </w:r>
      <w:r w:rsidRPr="00283806">
        <w:rPr>
          <w:w w:val="105"/>
        </w:rPr>
        <w:t>compliance</w:t>
      </w:r>
      <w:r w:rsidRPr="00283806">
        <w:rPr>
          <w:spacing w:val="40"/>
          <w:w w:val="105"/>
        </w:rPr>
        <w:t xml:space="preserve"> </w:t>
      </w:r>
      <w:r w:rsidRPr="00283806">
        <w:rPr>
          <w:w w:val="105"/>
        </w:rPr>
        <w:t xml:space="preserve">dates for the ALD requirements because new IPR and commercial refrigeration appliances will be able to readily integrate ALD systems. As previously stated, EPA views the ALD requirements for certain appliances with large charge sizes as important to serve the purposes described in subsection (h) to minimize the release of regulated substances. For these reasons, EPA finds the compliance dates in this final rule to be appropriate and </w:t>
      </w:r>
      <w:proofErr w:type="gramStart"/>
      <w:r w:rsidRPr="00283806">
        <w:rPr>
          <w:w w:val="105"/>
        </w:rPr>
        <w:t>disagree</w:t>
      </w:r>
      <w:proofErr w:type="gramEnd"/>
      <w:r w:rsidRPr="00283806">
        <w:rPr>
          <w:w w:val="105"/>
        </w:rPr>
        <w:t xml:space="preserve"> with the commenter’s request for three years to comply with these requirements.</w:t>
      </w:r>
    </w:p>
    <w:p w14:paraId="65DF626C" w14:textId="77777777" w:rsidR="00D67C1E" w:rsidRPr="00283806" w:rsidRDefault="001265CA">
      <w:pPr>
        <w:pStyle w:val="BodyText"/>
        <w:spacing w:line="166" w:lineRule="exact"/>
        <w:ind w:left="340"/>
      </w:pPr>
      <w:r w:rsidRPr="00283806">
        <w:rPr>
          <w:w w:val="105"/>
        </w:rPr>
        <w:t>EPA</w:t>
      </w:r>
      <w:r w:rsidRPr="00283806">
        <w:rPr>
          <w:spacing w:val="19"/>
          <w:w w:val="105"/>
        </w:rPr>
        <w:t xml:space="preserve"> </w:t>
      </w:r>
      <w:r w:rsidRPr="00283806">
        <w:rPr>
          <w:w w:val="105"/>
        </w:rPr>
        <w:t>acknowledges</w:t>
      </w:r>
      <w:r w:rsidRPr="00283806">
        <w:rPr>
          <w:spacing w:val="19"/>
          <w:w w:val="105"/>
        </w:rPr>
        <w:t xml:space="preserve"> </w:t>
      </w:r>
      <w:r w:rsidRPr="00283806">
        <w:rPr>
          <w:w w:val="105"/>
        </w:rPr>
        <w:t>one</w:t>
      </w:r>
      <w:r w:rsidRPr="00283806">
        <w:rPr>
          <w:spacing w:val="19"/>
          <w:w w:val="105"/>
        </w:rPr>
        <w:t xml:space="preserve"> </w:t>
      </w:r>
      <w:r w:rsidRPr="00283806">
        <w:rPr>
          <w:spacing w:val="-2"/>
          <w:w w:val="105"/>
        </w:rPr>
        <w:t>commenter’s</w:t>
      </w:r>
    </w:p>
    <w:p w14:paraId="45CFBB46" w14:textId="77777777" w:rsidR="00D67C1E" w:rsidRPr="00283806" w:rsidRDefault="001265CA">
      <w:pPr>
        <w:pStyle w:val="BodyText"/>
        <w:spacing w:before="4" w:line="225" w:lineRule="auto"/>
        <w:ind w:right="16"/>
      </w:pPr>
      <w:r w:rsidRPr="00283806">
        <w:rPr>
          <w:w w:val="105"/>
        </w:rPr>
        <w:t>proposition that the Agency could</w:t>
      </w:r>
      <w:r w:rsidRPr="00283806">
        <w:rPr>
          <w:spacing w:val="80"/>
          <w:w w:val="105"/>
        </w:rPr>
        <w:t xml:space="preserve"> </w:t>
      </w:r>
      <w:r w:rsidRPr="00283806">
        <w:rPr>
          <w:w w:val="105"/>
        </w:rPr>
        <w:t>hasten the compliance date for existing equipment, However, EPA is not finalizing an earlier compliance date.</w:t>
      </w:r>
      <w:r w:rsidRPr="00283806">
        <w:rPr>
          <w:spacing w:val="80"/>
          <w:w w:val="105"/>
        </w:rPr>
        <w:t xml:space="preserve"> </w:t>
      </w:r>
      <w:r w:rsidRPr="00283806">
        <w:rPr>
          <w:w w:val="105"/>
        </w:rPr>
        <w:t>The Agency does not agree that an</w:t>
      </w:r>
      <w:r w:rsidRPr="00283806">
        <w:rPr>
          <w:spacing w:val="40"/>
          <w:w w:val="105"/>
        </w:rPr>
        <w:t xml:space="preserve"> </w:t>
      </w:r>
      <w:r w:rsidRPr="00283806">
        <w:rPr>
          <w:w w:val="105"/>
        </w:rPr>
        <w:t>earlier date can be met by all regulated entities for many of the reasons stated throughout this section and offered by other commenters. However, a regulated entity could choose to install an ALD system ahead of the compliance date,</w:t>
      </w:r>
      <w:r w:rsidRPr="00283806">
        <w:rPr>
          <w:spacing w:val="40"/>
          <w:w w:val="105"/>
        </w:rPr>
        <w:t xml:space="preserve"> </w:t>
      </w:r>
      <w:r w:rsidRPr="00283806">
        <w:rPr>
          <w:w w:val="105"/>
        </w:rPr>
        <w:t>and there may be a variety of benefits</w:t>
      </w:r>
    </w:p>
    <w:p w14:paraId="4D5057CD" w14:textId="77777777" w:rsidR="00D67C1E" w:rsidRPr="00283806" w:rsidRDefault="001265CA">
      <w:pPr>
        <w:pStyle w:val="BodyText"/>
        <w:spacing w:line="225" w:lineRule="auto"/>
      </w:pPr>
      <w:r w:rsidRPr="00283806">
        <w:rPr>
          <w:w w:val="105"/>
        </w:rPr>
        <w:t>to the regulated entity in doing so, including reduced refrigerant emissions and associated costs.</w:t>
      </w:r>
    </w:p>
    <w:p w14:paraId="1E45387A" w14:textId="77777777" w:rsidR="00D67C1E" w:rsidRPr="00283806" w:rsidRDefault="001265CA">
      <w:pPr>
        <w:pStyle w:val="BodyText"/>
        <w:spacing w:line="179" w:lineRule="exact"/>
        <w:ind w:left="340"/>
      </w:pPr>
      <w:r w:rsidRPr="00283806">
        <w:rPr>
          <w:w w:val="105"/>
        </w:rPr>
        <w:t>The</w:t>
      </w:r>
      <w:r w:rsidRPr="00283806">
        <w:rPr>
          <w:spacing w:val="15"/>
          <w:w w:val="105"/>
        </w:rPr>
        <w:t xml:space="preserve"> </w:t>
      </w:r>
      <w:r w:rsidRPr="00283806">
        <w:rPr>
          <w:w w:val="105"/>
        </w:rPr>
        <w:t>Agency</w:t>
      </w:r>
      <w:r w:rsidRPr="00283806">
        <w:rPr>
          <w:spacing w:val="15"/>
          <w:w w:val="105"/>
        </w:rPr>
        <w:t xml:space="preserve"> </w:t>
      </w:r>
      <w:r w:rsidRPr="00283806">
        <w:rPr>
          <w:w w:val="105"/>
        </w:rPr>
        <w:t>responds</w:t>
      </w:r>
      <w:r w:rsidRPr="00283806">
        <w:rPr>
          <w:spacing w:val="15"/>
          <w:w w:val="105"/>
        </w:rPr>
        <w:t xml:space="preserve"> </w:t>
      </w:r>
      <w:r w:rsidRPr="00283806">
        <w:rPr>
          <w:w w:val="105"/>
        </w:rPr>
        <w:t>to</w:t>
      </w:r>
      <w:r w:rsidRPr="00283806">
        <w:rPr>
          <w:spacing w:val="15"/>
          <w:w w:val="105"/>
        </w:rPr>
        <w:t xml:space="preserve"> </w:t>
      </w:r>
      <w:r w:rsidRPr="00283806">
        <w:rPr>
          <w:spacing w:val="-5"/>
          <w:w w:val="105"/>
        </w:rPr>
        <w:t>one</w:t>
      </w:r>
    </w:p>
    <w:p w14:paraId="60947477" w14:textId="77777777" w:rsidR="00D67C1E" w:rsidRPr="00283806" w:rsidRDefault="001265CA">
      <w:pPr>
        <w:pStyle w:val="BodyText"/>
        <w:spacing w:line="225" w:lineRule="auto"/>
      </w:pPr>
      <w:r w:rsidRPr="00283806">
        <w:rPr>
          <w:w w:val="105"/>
        </w:rPr>
        <w:t>commenter’s points that ALD systems were not broadly used for any of the</w:t>
      </w:r>
      <w:r w:rsidRPr="00283806">
        <w:rPr>
          <w:spacing w:val="40"/>
          <w:w w:val="105"/>
        </w:rPr>
        <w:t xml:space="preserve"> </w:t>
      </w:r>
      <w:r w:rsidRPr="00283806">
        <w:rPr>
          <w:w w:val="105"/>
        </w:rPr>
        <w:t xml:space="preserve">ODS-substitutes when </w:t>
      </w:r>
      <w:proofErr w:type="gramStart"/>
      <w:r w:rsidRPr="00283806">
        <w:rPr>
          <w:w w:val="105"/>
        </w:rPr>
        <w:t>the part</w:t>
      </w:r>
      <w:proofErr w:type="gramEnd"/>
      <w:r w:rsidRPr="00283806">
        <w:rPr>
          <w:w w:val="105"/>
        </w:rPr>
        <w:t xml:space="preserve"> 82, subpart F rules for HFC management were</w:t>
      </w:r>
      <w:r w:rsidRPr="00283806">
        <w:rPr>
          <w:spacing w:val="40"/>
          <w:w w:val="105"/>
        </w:rPr>
        <w:t xml:space="preserve"> </w:t>
      </w:r>
      <w:r w:rsidRPr="00283806">
        <w:rPr>
          <w:w w:val="105"/>
        </w:rPr>
        <w:t>in</w:t>
      </w:r>
      <w:r w:rsidRPr="00283806">
        <w:rPr>
          <w:spacing w:val="40"/>
          <w:w w:val="105"/>
        </w:rPr>
        <w:t xml:space="preserve"> </w:t>
      </w:r>
      <w:r w:rsidRPr="00283806">
        <w:rPr>
          <w:w w:val="105"/>
        </w:rPr>
        <w:t>effect.</w:t>
      </w:r>
      <w:r w:rsidRPr="00283806">
        <w:rPr>
          <w:spacing w:val="40"/>
          <w:w w:val="105"/>
        </w:rPr>
        <w:t xml:space="preserve"> </w:t>
      </w:r>
      <w:r w:rsidRPr="00283806">
        <w:rPr>
          <w:w w:val="105"/>
        </w:rPr>
        <w:t>The</w:t>
      </w:r>
      <w:r w:rsidRPr="00283806">
        <w:rPr>
          <w:spacing w:val="40"/>
          <w:w w:val="105"/>
        </w:rPr>
        <w:t xml:space="preserve"> </w:t>
      </w:r>
      <w:r w:rsidRPr="00283806">
        <w:rPr>
          <w:w w:val="105"/>
        </w:rPr>
        <w:t>State</w:t>
      </w:r>
      <w:r w:rsidRPr="00283806">
        <w:rPr>
          <w:spacing w:val="40"/>
          <w:w w:val="105"/>
        </w:rPr>
        <w:t xml:space="preserve"> </w:t>
      </w:r>
      <w:r w:rsidRPr="00283806">
        <w:rPr>
          <w:w w:val="105"/>
        </w:rPr>
        <w:t>of</w:t>
      </w:r>
      <w:r w:rsidRPr="00283806">
        <w:rPr>
          <w:spacing w:val="40"/>
          <w:w w:val="105"/>
        </w:rPr>
        <w:t xml:space="preserve"> </w:t>
      </w:r>
      <w:r w:rsidRPr="00283806">
        <w:rPr>
          <w:w w:val="105"/>
        </w:rPr>
        <w:t>California has mandated the use of ALD for HFC- containing appliances with a charge size above 2,000 pounds since 2011. The commenter’s insinuation that ALD use has historically been minimal is not accurate. Moreover, ALD systems have been used for those seeking to monitor their</w:t>
      </w:r>
      <w:r w:rsidRPr="00283806">
        <w:rPr>
          <w:spacing w:val="-3"/>
          <w:w w:val="105"/>
        </w:rPr>
        <w:t xml:space="preserve"> </w:t>
      </w:r>
      <w:r w:rsidRPr="00283806">
        <w:rPr>
          <w:w w:val="105"/>
        </w:rPr>
        <w:t>systems</w:t>
      </w:r>
      <w:r w:rsidRPr="00283806">
        <w:rPr>
          <w:spacing w:val="-3"/>
          <w:w w:val="105"/>
        </w:rPr>
        <w:t xml:space="preserve"> </w:t>
      </w:r>
      <w:r w:rsidRPr="00283806">
        <w:rPr>
          <w:w w:val="105"/>
        </w:rPr>
        <w:t>for</w:t>
      </w:r>
      <w:r w:rsidRPr="00283806">
        <w:rPr>
          <w:spacing w:val="-3"/>
          <w:w w:val="105"/>
        </w:rPr>
        <w:t xml:space="preserve"> </w:t>
      </w:r>
      <w:r w:rsidRPr="00283806">
        <w:rPr>
          <w:w w:val="105"/>
        </w:rPr>
        <w:t>various</w:t>
      </w:r>
      <w:r w:rsidRPr="00283806">
        <w:rPr>
          <w:spacing w:val="-3"/>
          <w:w w:val="105"/>
        </w:rPr>
        <w:t xml:space="preserve"> </w:t>
      </w:r>
      <w:r w:rsidRPr="00283806">
        <w:rPr>
          <w:w w:val="105"/>
        </w:rPr>
        <w:t>reasons</w:t>
      </w:r>
      <w:r w:rsidRPr="00283806">
        <w:rPr>
          <w:spacing w:val="-3"/>
          <w:w w:val="105"/>
        </w:rPr>
        <w:t xml:space="preserve"> </w:t>
      </w:r>
      <w:r w:rsidRPr="00283806">
        <w:rPr>
          <w:w w:val="105"/>
        </w:rPr>
        <w:t>besides</w:t>
      </w:r>
    </w:p>
    <w:p w14:paraId="3A44D265" w14:textId="77777777" w:rsidR="00D67C1E" w:rsidRPr="00283806" w:rsidRDefault="001265CA">
      <w:pPr>
        <w:pStyle w:val="BodyText"/>
        <w:spacing w:before="134" w:line="228" w:lineRule="auto"/>
        <w:ind w:left="144"/>
      </w:pPr>
      <w:r w:rsidRPr="00283806">
        <w:br w:type="column"/>
      </w:r>
      <w:r w:rsidRPr="00283806">
        <w:rPr>
          <w:w w:val="105"/>
        </w:rPr>
        <w:t>compliance with regulations ranging</w:t>
      </w:r>
      <w:r w:rsidRPr="00283806">
        <w:rPr>
          <w:spacing w:val="40"/>
          <w:w w:val="105"/>
        </w:rPr>
        <w:t xml:space="preserve"> </w:t>
      </w:r>
      <w:r w:rsidRPr="00283806">
        <w:rPr>
          <w:w w:val="105"/>
        </w:rPr>
        <w:t>from meeting environmental</w:t>
      </w:r>
      <w:r w:rsidRPr="00283806">
        <w:rPr>
          <w:spacing w:val="40"/>
          <w:w w:val="105"/>
        </w:rPr>
        <w:t xml:space="preserve"> </w:t>
      </w:r>
      <w:r w:rsidRPr="00283806">
        <w:rPr>
          <w:w w:val="105"/>
        </w:rPr>
        <w:t>stewardship goals to reducing costs of refrigerant by detecting and</w:t>
      </w:r>
      <w:r w:rsidRPr="00283806">
        <w:rPr>
          <w:spacing w:val="40"/>
          <w:w w:val="105"/>
        </w:rPr>
        <w:t xml:space="preserve"> </w:t>
      </w:r>
      <w:r w:rsidRPr="00283806">
        <w:rPr>
          <w:w w:val="105"/>
        </w:rPr>
        <w:t>subsequently repairing leaks. EPA also disagrees with the commenter’s</w:t>
      </w:r>
      <w:r w:rsidRPr="00283806">
        <w:rPr>
          <w:spacing w:val="40"/>
          <w:w w:val="105"/>
        </w:rPr>
        <w:t xml:space="preserve"> </w:t>
      </w:r>
      <w:r w:rsidRPr="00283806">
        <w:rPr>
          <w:w w:val="105"/>
        </w:rPr>
        <w:t>assertion that technicians need training and re-certification to handle ALD systems. To the extent that this</w:t>
      </w:r>
      <w:r w:rsidRPr="00283806">
        <w:rPr>
          <w:spacing w:val="80"/>
          <w:w w:val="150"/>
        </w:rPr>
        <w:t xml:space="preserve"> </w:t>
      </w:r>
      <w:r w:rsidRPr="00283806">
        <w:rPr>
          <w:w w:val="105"/>
        </w:rPr>
        <w:t>comment relates to technician certification requirements under CAA section 608, the Agency did not reopen CAA section 608 regulations through</w:t>
      </w:r>
      <w:r w:rsidRPr="00283806">
        <w:rPr>
          <w:spacing w:val="80"/>
          <w:w w:val="150"/>
        </w:rPr>
        <w:t xml:space="preserve"> </w:t>
      </w:r>
      <w:r w:rsidRPr="00283806">
        <w:rPr>
          <w:w w:val="105"/>
        </w:rPr>
        <w:t>this action under subsection (h) of the AIM Act, including the technician certification requirements. Accordingly, the Agency is not addressing comments related to requirements under CAA section 608 in this final rule, as they are beyond the scope of this rulemaking and require no further response. For</w:t>
      </w:r>
      <w:r w:rsidRPr="00283806">
        <w:rPr>
          <w:spacing w:val="40"/>
          <w:w w:val="105"/>
        </w:rPr>
        <w:t xml:space="preserve"> </w:t>
      </w:r>
      <w:r w:rsidRPr="00283806">
        <w:rPr>
          <w:w w:val="105"/>
        </w:rPr>
        <w:t>purposes of public information, the Agency</w:t>
      </w:r>
      <w:r w:rsidRPr="00283806">
        <w:rPr>
          <w:spacing w:val="40"/>
          <w:w w:val="105"/>
        </w:rPr>
        <w:t xml:space="preserve"> </w:t>
      </w:r>
      <w:r w:rsidRPr="00283806">
        <w:rPr>
          <w:w w:val="105"/>
        </w:rPr>
        <w:t>notes</w:t>
      </w:r>
      <w:r w:rsidRPr="00283806">
        <w:rPr>
          <w:spacing w:val="40"/>
          <w:w w:val="105"/>
        </w:rPr>
        <w:t xml:space="preserve"> </w:t>
      </w:r>
      <w:r w:rsidRPr="00283806">
        <w:rPr>
          <w:w w:val="105"/>
        </w:rPr>
        <w:t>that</w:t>
      </w:r>
      <w:r w:rsidRPr="00283806">
        <w:rPr>
          <w:spacing w:val="40"/>
          <w:w w:val="105"/>
        </w:rPr>
        <w:t xml:space="preserve"> </w:t>
      </w:r>
      <w:r w:rsidRPr="00283806">
        <w:rPr>
          <w:w w:val="105"/>
        </w:rPr>
        <w:t>it</w:t>
      </w:r>
      <w:r w:rsidRPr="00283806">
        <w:rPr>
          <w:spacing w:val="40"/>
          <w:w w:val="105"/>
        </w:rPr>
        <w:t xml:space="preserve"> </w:t>
      </w:r>
      <w:r w:rsidRPr="00283806">
        <w:rPr>
          <w:w w:val="105"/>
        </w:rPr>
        <w:t>periodically updates its test bank of questions to become</w:t>
      </w:r>
      <w:r w:rsidRPr="00283806">
        <w:rPr>
          <w:spacing w:val="40"/>
          <w:w w:val="105"/>
        </w:rPr>
        <w:t xml:space="preserve"> </w:t>
      </w:r>
      <w:r w:rsidRPr="00283806">
        <w:rPr>
          <w:w w:val="105"/>
        </w:rPr>
        <w:t>a</w:t>
      </w:r>
      <w:r w:rsidRPr="00283806">
        <w:rPr>
          <w:spacing w:val="40"/>
          <w:w w:val="105"/>
        </w:rPr>
        <w:t xml:space="preserve"> </w:t>
      </w:r>
      <w:r w:rsidRPr="00283806">
        <w:rPr>
          <w:w w:val="105"/>
        </w:rPr>
        <w:t>certified</w:t>
      </w:r>
      <w:r w:rsidRPr="00283806">
        <w:rPr>
          <w:spacing w:val="40"/>
          <w:w w:val="105"/>
        </w:rPr>
        <w:t xml:space="preserve"> </w:t>
      </w:r>
      <w:r w:rsidRPr="00283806">
        <w:rPr>
          <w:w w:val="105"/>
        </w:rPr>
        <w:t>technician</w:t>
      </w:r>
      <w:r w:rsidRPr="00283806">
        <w:rPr>
          <w:spacing w:val="40"/>
          <w:w w:val="105"/>
        </w:rPr>
        <w:t xml:space="preserve"> </w:t>
      </w:r>
      <w:r w:rsidRPr="00283806">
        <w:rPr>
          <w:w w:val="105"/>
        </w:rPr>
        <w:t>under CAA section 608 to reflect regulatory</w:t>
      </w:r>
      <w:r w:rsidRPr="00283806">
        <w:rPr>
          <w:spacing w:val="80"/>
          <w:w w:val="105"/>
        </w:rPr>
        <w:t xml:space="preserve"> </w:t>
      </w:r>
      <w:r w:rsidRPr="00283806">
        <w:rPr>
          <w:w w:val="105"/>
        </w:rPr>
        <w:t xml:space="preserve">and market changes. The Agency </w:t>
      </w:r>
      <w:proofErr w:type="gramStart"/>
      <w:r w:rsidRPr="00283806">
        <w:rPr>
          <w:w w:val="105"/>
        </w:rPr>
        <w:t>took</w:t>
      </w:r>
      <w:proofErr w:type="gramEnd"/>
      <w:r w:rsidRPr="00283806">
        <w:rPr>
          <w:w w:val="105"/>
        </w:rPr>
        <w:t xml:space="preserve"> advanced comments on technician certification.</w:t>
      </w:r>
      <w:r w:rsidRPr="00283806">
        <w:rPr>
          <w:spacing w:val="40"/>
          <w:w w:val="105"/>
        </w:rPr>
        <w:t xml:space="preserve"> </w:t>
      </w:r>
      <w:r w:rsidRPr="00283806">
        <w:rPr>
          <w:w w:val="105"/>
        </w:rPr>
        <w:t>The</w:t>
      </w:r>
      <w:r w:rsidRPr="00283806">
        <w:rPr>
          <w:spacing w:val="40"/>
          <w:w w:val="105"/>
        </w:rPr>
        <w:t xml:space="preserve"> </w:t>
      </w:r>
      <w:r w:rsidRPr="00283806">
        <w:rPr>
          <w:w w:val="105"/>
        </w:rPr>
        <w:t>information</w:t>
      </w:r>
      <w:r w:rsidRPr="00283806">
        <w:rPr>
          <w:spacing w:val="40"/>
          <w:w w:val="105"/>
        </w:rPr>
        <w:t xml:space="preserve"> </w:t>
      </w:r>
      <w:r w:rsidRPr="00283806">
        <w:rPr>
          <w:w w:val="105"/>
        </w:rPr>
        <w:t>the Agency</w:t>
      </w:r>
      <w:r w:rsidRPr="00283806">
        <w:rPr>
          <w:spacing w:val="25"/>
          <w:w w:val="105"/>
        </w:rPr>
        <w:t xml:space="preserve"> </w:t>
      </w:r>
      <w:r w:rsidRPr="00283806">
        <w:rPr>
          <w:w w:val="105"/>
        </w:rPr>
        <w:t>received</w:t>
      </w:r>
      <w:r w:rsidRPr="00283806">
        <w:rPr>
          <w:spacing w:val="25"/>
          <w:w w:val="105"/>
        </w:rPr>
        <w:t xml:space="preserve"> </w:t>
      </w:r>
      <w:r w:rsidRPr="00283806">
        <w:rPr>
          <w:w w:val="105"/>
        </w:rPr>
        <w:t>may</w:t>
      </w:r>
      <w:r w:rsidRPr="00283806">
        <w:rPr>
          <w:spacing w:val="25"/>
          <w:w w:val="105"/>
        </w:rPr>
        <w:t xml:space="preserve"> </w:t>
      </w:r>
      <w:r w:rsidRPr="00283806">
        <w:rPr>
          <w:w w:val="105"/>
        </w:rPr>
        <w:t>be</w:t>
      </w:r>
      <w:r w:rsidRPr="00283806">
        <w:rPr>
          <w:spacing w:val="25"/>
          <w:w w:val="105"/>
        </w:rPr>
        <w:t xml:space="preserve"> </w:t>
      </w:r>
      <w:r w:rsidRPr="00283806">
        <w:rPr>
          <w:w w:val="105"/>
        </w:rPr>
        <w:t>used</w:t>
      </w:r>
      <w:r w:rsidRPr="00283806">
        <w:rPr>
          <w:spacing w:val="25"/>
          <w:w w:val="105"/>
        </w:rPr>
        <w:t xml:space="preserve"> </w:t>
      </w:r>
      <w:r w:rsidRPr="00283806">
        <w:rPr>
          <w:w w:val="105"/>
        </w:rPr>
        <w:t>to</w:t>
      </w:r>
      <w:r w:rsidRPr="00283806">
        <w:rPr>
          <w:spacing w:val="25"/>
          <w:w w:val="105"/>
        </w:rPr>
        <w:t xml:space="preserve"> </w:t>
      </w:r>
      <w:r w:rsidRPr="00283806">
        <w:rPr>
          <w:w w:val="105"/>
        </w:rPr>
        <w:t>inform a future rulemaking. The Agency notes that CAA section 608 technician certification</w:t>
      </w:r>
      <w:r w:rsidRPr="00283806">
        <w:rPr>
          <w:spacing w:val="40"/>
          <w:w w:val="105"/>
        </w:rPr>
        <w:t xml:space="preserve"> </w:t>
      </w:r>
      <w:r w:rsidRPr="00283806">
        <w:rPr>
          <w:w w:val="105"/>
        </w:rPr>
        <w:t>is</w:t>
      </w:r>
      <w:r w:rsidRPr="00283806">
        <w:rPr>
          <w:spacing w:val="40"/>
          <w:w w:val="105"/>
        </w:rPr>
        <w:t xml:space="preserve"> </w:t>
      </w:r>
      <w:r w:rsidRPr="00283806">
        <w:rPr>
          <w:w w:val="105"/>
        </w:rPr>
        <w:t>not</w:t>
      </w:r>
      <w:r w:rsidRPr="00283806">
        <w:rPr>
          <w:spacing w:val="40"/>
          <w:w w:val="105"/>
        </w:rPr>
        <w:t xml:space="preserve"> </w:t>
      </w:r>
      <w:r w:rsidRPr="00283806">
        <w:rPr>
          <w:w w:val="105"/>
        </w:rPr>
        <w:t>intended</w:t>
      </w:r>
      <w:r w:rsidRPr="00283806">
        <w:rPr>
          <w:spacing w:val="40"/>
          <w:w w:val="105"/>
        </w:rPr>
        <w:t xml:space="preserve"> </w:t>
      </w:r>
      <w:r w:rsidRPr="00283806">
        <w:rPr>
          <w:w w:val="105"/>
        </w:rPr>
        <w:t>to</w:t>
      </w:r>
      <w:r w:rsidRPr="00283806">
        <w:rPr>
          <w:spacing w:val="40"/>
          <w:w w:val="105"/>
        </w:rPr>
        <w:t xml:space="preserve"> </w:t>
      </w:r>
      <w:r w:rsidRPr="00283806">
        <w:rPr>
          <w:w w:val="105"/>
        </w:rPr>
        <w:t>replace all</w:t>
      </w:r>
      <w:r w:rsidRPr="00283806">
        <w:rPr>
          <w:spacing w:val="40"/>
          <w:w w:val="105"/>
        </w:rPr>
        <w:t xml:space="preserve"> </w:t>
      </w:r>
      <w:r w:rsidRPr="00283806">
        <w:rPr>
          <w:w w:val="105"/>
        </w:rPr>
        <w:t>technician</w:t>
      </w:r>
      <w:r w:rsidRPr="00283806">
        <w:rPr>
          <w:spacing w:val="40"/>
          <w:w w:val="105"/>
        </w:rPr>
        <w:t xml:space="preserve"> </w:t>
      </w:r>
      <w:r w:rsidRPr="00283806">
        <w:rPr>
          <w:w w:val="105"/>
        </w:rPr>
        <w:t>education</w:t>
      </w:r>
      <w:r w:rsidRPr="00283806">
        <w:rPr>
          <w:spacing w:val="40"/>
          <w:w w:val="105"/>
        </w:rPr>
        <w:t xml:space="preserve"> </w:t>
      </w:r>
      <w:r w:rsidRPr="00283806">
        <w:rPr>
          <w:w w:val="105"/>
        </w:rPr>
        <w:t>and</w:t>
      </w:r>
      <w:r w:rsidRPr="00283806">
        <w:rPr>
          <w:spacing w:val="40"/>
          <w:w w:val="105"/>
        </w:rPr>
        <w:t xml:space="preserve"> </w:t>
      </w:r>
      <w:r w:rsidRPr="00283806">
        <w:rPr>
          <w:w w:val="105"/>
        </w:rPr>
        <w:t>training and anticipates that the same would be true for any future AIM Act certification program. The Agency understands that employers</w:t>
      </w:r>
      <w:r w:rsidRPr="00283806">
        <w:rPr>
          <w:spacing w:val="40"/>
          <w:w w:val="105"/>
        </w:rPr>
        <w:t xml:space="preserve"> </w:t>
      </w:r>
      <w:r w:rsidRPr="00283806">
        <w:rPr>
          <w:w w:val="105"/>
        </w:rPr>
        <w:t>may</w:t>
      </w:r>
      <w:r w:rsidRPr="00283806">
        <w:rPr>
          <w:spacing w:val="40"/>
          <w:w w:val="105"/>
        </w:rPr>
        <w:t xml:space="preserve"> </w:t>
      </w:r>
      <w:r w:rsidRPr="00283806">
        <w:rPr>
          <w:w w:val="105"/>
        </w:rPr>
        <w:t>provide</w:t>
      </w:r>
      <w:r w:rsidRPr="00283806">
        <w:rPr>
          <w:spacing w:val="40"/>
          <w:w w:val="105"/>
        </w:rPr>
        <w:t xml:space="preserve"> </w:t>
      </w:r>
      <w:r w:rsidRPr="00283806">
        <w:rPr>
          <w:w w:val="105"/>
        </w:rPr>
        <w:t>additional onsite training and that industry organizations provide information on regulatory updates and market changes.</w:t>
      </w:r>
    </w:p>
    <w:p w14:paraId="7D484C5F" w14:textId="77777777" w:rsidR="00D67C1E" w:rsidRPr="00283806" w:rsidRDefault="001265CA">
      <w:pPr>
        <w:pStyle w:val="BodyText"/>
        <w:spacing w:line="147" w:lineRule="exact"/>
        <w:ind w:left="324"/>
      </w:pPr>
      <w:r w:rsidRPr="00283806">
        <w:rPr>
          <w:w w:val="105"/>
        </w:rPr>
        <w:t>EPA</w:t>
      </w:r>
      <w:r w:rsidRPr="00283806">
        <w:rPr>
          <w:spacing w:val="8"/>
          <w:w w:val="105"/>
        </w:rPr>
        <w:t xml:space="preserve"> </w:t>
      </w:r>
      <w:r w:rsidRPr="00283806">
        <w:rPr>
          <w:w w:val="105"/>
        </w:rPr>
        <w:t>recognizes</w:t>
      </w:r>
      <w:r w:rsidRPr="00283806">
        <w:rPr>
          <w:spacing w:val="9"/>
          <w:w w:val="105"/>
        </w:rPr>
        <w:t xml:space="preserve"> </w:t>
      </w:r>
      <w:r w:rsidRPr="00283806">
        <w:rPr>
          <w:w w:val="105"/>
        </w:rPr>
        <w:t>that</w:t>
      </w:r>
      <w:r w:rsidRPr="00283806">
        <w:rPr>
          <w:spacing w:val="9"/>
          <w:w w:val="105"/>
        </w:rPr>
        <w:t xml:space="preserve"> </w:t>
      </w:r>
      <w:r w:rsidRPr="00283806">
        <w:rPr>
          <w:w w:val="105"/>
        </w:rPr>
        <w:t>other</w:t>
      </w:r>
      <w:r w:rsidRPr="00283806">
        <w:rPr>
          <w:spacing w:val="8"/>
          <w:w w:val="105"/>
        </w:rPr>
        <w:t xml:space="preserve"> </w:t>
      </w:r>
      <w:r w:rsidRPr="00283806">
        <w:rPr>
          <w:spacing w:val="-2"/>
          <w:w w:val="105"/>
        </w:rPr>
        <w:t>Federal</w:t>
      </w:r>
    </w:p>
    <w:p w14:paraId="59A6D6FD" w14:textId="77777777" w:rsidR="00D67C1E" w:rsidRPr="00283806" w:rsidRDefault="001265CA">
      <w:pPr>
        <w:pStyle w:val="BodyText"/>
        <w:spacing w:before="5" w:line="225" w:lineRule="auto"/>
        <w:ind w:left="144"/>
      </w:pPr>
      <w:r w:rsidRPr="00283806">
        <w:rPr>
          <w:w w:val="105"/>
        </w:rPr>
        <w:t>agencies have various roles and responsibilities defined by different statutes.</w:t>
      </w:r>
      <w:r w:rsidRPr="00283806">
        <w:rPr>
          <w:spacing w:val="40"/>
          <w:w w:val="105"/>
        </w:rPr>
        <w:t xml:space="preserve"> </w:t>
      </w:r>
      <w:r w:rsidRPr="00283806">
        <w:rPr>
          <w:w w:val="105"/>
        </w:rPr>
        <w:t>The</w:t>
      </w:r>
      <w:r w:rsidRPr="00283806">
        <w:rPr>
          <w:spacing w:val="40"/>
          <w:w w:val="105"/>
        </w:rPr>
        <w:t xml:space="preserve"> </w:t>
      </w:r>
      <w:r w:rsidRPr="00283806">
        <w:rPr>
          <w:w w:val="105"/>
        </w:rPr>
        <w:t>Agency</w:t>
      </w:r>
      <w:r w:rsidRPr="00283806">
        <w:rPr>
          <w:spacing w:val="40"/>
          <w:w w:val="105"/>
        </w:rPr>
        <w:t xml:space="preserve"> </w:t>
      </w:r>
      <w:r w:rsidRPr="00283806">
        <w:rPr>
          <w:w w:val="105"/>
        </w:rPr>
        <w:t>disagrees, however, that the ALD provisions being finalized in this action will spur significant</w:t>
      </w:r>
      <w:r w:rsidRPr="00283806">
        <w:rPr>
          <w:spacing w:val="40"/>
          <w:w w:val="105"/>
        </w:rPr>
        <w:t xml:space="preserve"> </w:t>
      </w:r>
      <w:r w:rsidRPr="00283806">
        <w:rPr>
          <w:w w:val="105"/>
        </w:rPr>
        <w:t>oversight</w:t>
      </w:r>
      <w:r w:rsidRPr="00283806">
        <w:rPr>
          <w:spacing w:val="40"/>
          <w:w w:val="105"/>
        </w:rPr>
        <w:t xml:space="preserve"> </w:t>
      </w:r>
      <w:r w:rsidRPr="00283806">
        <w:rPr>
          <w:w w:val="105"/>
        </w:rPr>
        <w:t>and</w:t>
      </w:r>
      <w:r w:rsidRPr="00283806">
        <w:rPr>
          <w:spacing w:val="40"/>
          <w:w w:val="105"/>
        </w:rPr>
        <w:t xml:space="preserve"> </w:t>
      </w:r>
      <w:r w:rsidRPr="00283806">
        <w:rPr>
          <w:w w:val="105"/>
        </w:rPr>
        <w:t>scrutiny,</w:t>
      </w:r>
      <w:r w:rsidRPr="00283806">
        <w:rPr>
          <w:spacing w:val="40"/>
          <w:w w:val="105"/>
        </w:rPr>
        <w:t xml:space="preserve"> </w:t>
      </w:r>
      <w:r w:rsidRPr="00283806">
        <w:rPr>
          <w:w w:val="105"/>
        </w:rPr>
        <w:t>as one commenter asserted. The final rule requires a specific portion of IPR and commercial refrigeration appliances</w:t>
      </w:r>
      <w:r w:rsidRPr="00283806">
        <w:rPr>
          <w:spacing w:val="80"/>
          <w:w w:val="150"/>
        </w:rPr>
        <w:t xml:space="preserve"> </w:t>
      </w:r>
      <w:r w:rsidRPr="00283806">
        <w:rPr>
          <w:w w:val="105"/>
        </w:rPr>
        <w:t>(</w:t>
      </w:r>
      <w:r w:rsidRPr="00283806">
        <w:rPr>
          <w:rFonts w:ascii="Book Antiqua" w:hAnsi="Book Antiqua"/>
          <w:i/>
          <w:w w:val="105"/>
        </w:rPr>
        <w:t xml:space="preserve">i.e., </w:t>
      </w:r>
      <w:r w:rsidRPr="00283806">
        <w:rPr>
          <w:w w:val="105"/>
        </w:rPr>
        <w:t>with charge sizes of 1,500 pounds</w:t>
      </w:r>
      <w:r w:rsidRPr="00283806">
        <w:rPr>
          <w:spacing w:val="80"/>
          <w:w w:val="105"/>
        </w:rPr>
        <w:t xml:space="preserve"> </w:t>
      </w:r>
      <w:r w:rsidRPr="00283806">
        <w:rPr>
          <w:w w:val="105"/>
        </w:rPr>
        <w:t>or more) to install and use ALD systems. These appliances may be used by the military (</w:t>
      </w:r>
      <w:r w:rsidRPr="00283806">
        <w:rPr>
          <w:rFonts w:ascii="Book Antiqua" w:hAnsi="Book Antiqua"/>
          <w:i/>
          <w:w w:val="105"/>
        </w:rPr>
        <w:t>e.g.,</w:t>
      </w:r>
      <w:r w:rsidRPr="00283806">
        <w:rPr>
          <w:rFonts w:ascii="Book Antiqua" w:hAnsi="Book Antiqua"/>
          <w:i/>
          <w:spacing w:val="-4"/>
          <w:w w:val="105"/>
        </w:rPr>
        <w:t xml:space="preserve"> </w:t>
      </w:r>
      <w:r w:rsidRPr="00283806">
        <w:rPr>
          <w:w w:val="105"/>
        </w:rPr>
        <w:t>commissary) or at airports, for example, but these uses are not functionally different from the uses of other appliances in these same</w:t>
      </w:r>
      <w:r w:rsidRPr="00283806">
        <w:rPr>
          <w:spacing w:val="40"/>
          <w:w w:val="105"/>
        </w:rPr>
        <w:t xml:space="preserve"> </w:t>
      </w:r>
      <w:r w:rsidRPr="00283806">
        <w:rPr>
          <w:w w:val="105"/>
        </w:rPr>
        <w:t>subsectors at other locations.</w:t>
      </w:r>
      <w:r w:rsidRPr="00283806">
        <w:rPr>
          <w:w w:val="105"/>
          <w:position w:val="5"/>
          <w:sz w:val="11"/>
        </w:rPr>
        <w:t>80</w:t>
      </w:r>
      <w:r w:rsidRPr="00283806">
        <w:rPr>
          <w:spacing w:val="40"/>
          <w:w w:val="105"/>
          <w:position w:val="5"/>
          <w:sz w:val="11"/>
        </w:rPr>
        <w:t xml:space="preserve"> </w:t>
      </w:r>
      <w:r w:rsidRPr="00283806">
        <w:rPr>
          <w:w w:val="105"/>
        </w:rPr>
        <w:t>The Agency’s longstanding CAA section 608 regulations already includes leak repair requirements for the same equipment.</w:t>
      </w:r>
    </w:p>
    <w:p w14:paraId="70929920" w14:textId="77777777" w:rsidR="00D67C1E" w:rsidRPr="00283806" w:rsidRDefault="001265CA">
      <w:pPr>
        <w:pStyle w:val="BodyText"/>
        <w:spacing w:before="12" w:line="228" w:lineRule="auto"/>
        <w:ind w:left="144" w:right="71"/>
      </w:pPr>
      <w:r w:rsidRPr="00283806">
        <w:rPr>
          <w:w w:val="105"/>
        </w:rPr>
        <w:t>The Agency acknowledges that subsection</w:t>
      </w:r>
      <w:r w:rsidRPr="00283806">
        <w:rPr>
          <w:spacing w:val="5"/>
          <w:w w:val="105"/>
        </w:rPr>
        <w:t xml:space="preserve"> </w:t>
      </w:r>
      <w:r w:rsidRPr="00283806">
        <w:rPr>
          <w:w w:val="105"/>
        </w:rPr>
        <w:t>(h)(3)</w:t>
      </w:r>
      <w:r w:rsidRPr="00283806">
        <w:rPr>
          <w:spacing w:val="5"/>
          <w:w w:val="105"/>
        </w:rPr>
        <w:t xml:space="preserve"> </w:t>
      </w:r>
      <w:r w:rsidRPr="00283806">
        <w:rPr>
          <w:w w:val="105"/>
        </w:rPr>
        <w:t>of</w:t>
      </w:r>
      <w:r w:rsidRPr="00283806">
        <w:rPr>
          <w:spacing w:val="5"/>
          <w:w w:val="105"/>
        </w:rPr>
        <w:t xml:space="preserve"> </w:t>
      </w:r>
      <w:r w:rsidRPr="00283806">
        <w:rPr>
          <w:w w:val="105"/>
        </w:rPr>
        <w:t>the</w:t>
      </w:r>
      <w:r w:rsidRPr="00283806">
        <w:rPr>
          <w:spacing w:val="5"/>
          <w:w w:val="105"/>
        </w:rPr>
        <w:t xml:space="preserve"> </w:t>
      </w:r>
      <w:r w:rsidRPr="00283806">
        <w:rPr>
          <w:w w:val="105"/>
        </w:rPr>
        <w:t>AIM</w:t>
      </w:r>
      <w:r w:rsidRPr="00283806">
        <w:rPr>
          <w:spacing w:val="5"/>
          <w:w w:val="105"/>
        </w:rPr>
        <w:t xml:space="preserve"> </w:t>
      </w:r>
      <w:r w:rsidRPr="00283806">
        <w:rPr>
          <w:spacing w:val="-5"/>
          <w:w w:val="105"/>
        </w:rPr>
        <w:t>Act</w:t>
      </w:r>
    </w:p>
    <w:p w14:paraId="43094C13" w14:textId="77777777" w:rsidR="00D67C1E" w:rsidRPr="00283806" w:rsidRDefault="001265CA">
      <w:pPr>
        <w:pStyle w:val="BodyText"/>
        <w:spacing w:before="10"/>
        <w:ind w:left="0"/>
        <w:rPr>
          <w:sz w:val="12"/>
        </w:rPr>
      </w:pPr>
      <w:r w:rsidRPr="00283806">
        <w:rPr>
          <w:noProof/>
        </w:rPr>
        <mc:AlternateContent>
          <mc:Choice Requires="wps">
            <w:drawing>
              <wp:anchor distT="0" distB="0" distL="0" distR="0" simplePos="0" relativeHeight="251641856" behindDoc="1" locked="0" layoutInCell="1" allowOverlap="1" wp14:anchorId="7221CFC8" wp14:editId="7B4735B7">
                <wp:simplePos x="0" y="0"/>
                <wp:positionH relativeFrom="page">
                  <wp:posOffset>2819400</wp:posOffset>
                </wp:positionH>
                <wp:positionV relativeFrom="paragraph">
                  <wp:posOffset>111442</wp:posOffset>
                </wp:positionV>
                <wp:extent cx="635000" cy="1270"/>
                <wp:effectExtent l="0" t="0" r="0" b="0"/>
                <wp:wrapTopAndBottom/>
                <wp:docPr id="73" name="Graphic 7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DDA9672" id="Graphic 73" o:spid="_x0000_s1026" alt="&quot;&quot;" style="position:absolute;margin-left:222pt;margin-top:8.75pt;width:50pt;height:.1pt;z-index:-251674624;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" path="m,l635000,e" filled="f" strokeweight=".5pt">
                <v:path arrowok="t"/>
                <w10:wrap type="topAndBottom" anchorx="page"/>
              </v:shape>
            </w:pict>
          </mc:Fallback>
        </mc:AlternateContent>
      </w:r>
    </w:p>
    <w:p w14:paraId="56B83AA9" w14:textId="77777777" w:rsidR="00D67C1E" w:rsidRPr="00283806" w:rsidRDefault="001265CA">
      <w:pPr>
        <w:spacing w:before="40" w:line="232" w:lineRule="auto"/>
        <w:ind w:left="144" w:right="139" w:firstLine="140"/>
        <w:rPr>
          <w:sz w:val="14"/>
        </w:rPr>
      </w:pPr>
      <w:r w:rsidRPr="00283806">
        <w:rPr>
          <w:w w:val="105"/>
          <w:position w:val="4"/>
          <w:sz w:val="9"/>
        </w:rPr>
        <w:t xml:space="preserve">80 </w:t>
      </w:r>
      <w:r w:rsidRPr="00283806">
        <w:rPr>
          <w:w w:val="105"/>
          <w:sz w:val="14"/>
        </w:rPr>
        <w:t>The Agency has provided exceptions for</w:t>
      </w:r>
      <w:r w:rsidRPr="00283806">
        <w:rPr>
          <w:spacing w:val="40"/>
          <w:w w:val="105"/>
          <w:sz w:val="14"/>
        </w:rPr>
        <w:t xml:space="preserve"> </w:t>
      </w:r>
      <w:r w:rsidRPr="00283806">
        <w:rPr>
          <w:w w:val="105"/>
          <w:sz w:val="14"/>
        </w:rPr>
        <w:t>military equipment used in deployable and</w:t>
      </w:r>
      <w:r w:rsidRPr="00283806">
        <w:rPr>
          <w:spacing w:val="40"/>
          <w:w w:val="105"/>
          <w:sz w:val="14"/>
        </w:rPr>
        <w:t xml:space="preserve"> </w:t>
      </w:r>
      <w:r w:rsidRPr="00283806">
        <w:rPr>
          <w:w w:val="105"/>
          <w:sz w:val="14"/>
        </w:rPr>
        <w:t>expeditionary applications, as well as space</w:t>
      </w:r>
      <w:r w:rsidRPr="00283806">
        <w:rPr>
          <w:spacing w:val="40"/>
          <w:w w:val="105"/>
          <w:sz w:val="14"/>
        </w:rPr>
        <w:t xml:space="preserve"> </w:t>
      </w:r>
      <w:r w:rsidRPr="00283806">
        <w:rPr>
          <w:spacing w:val="-2"/>
          <w:w w:val="105"/>
          <w:sz w:val="14"/>
        </w:rPr>
        <w:t>vehicles.</w:t>
      </w:r>
    </w:p>
    <w:p w14:paraId="74AF435A" w14:textId="77777777" w:rsidR="00D67C1E" w:rsidRPr="00283806" w:rsidRDefault="001265CA">
      <w:pPr>
        <w:pStyle w:val="BodyText"/>
        <w:spacing w:before="136" w:line="225" w:lineRule="auto"/>
        <w:ind w:left="143" w:right="191"/>
      </w:pPr>
      <w:r w:rsidRPr="00283806">
        <w:br w:type="column"/>
      </w:r>
      <w:r w:rsidRPr="00283806">
        <w:rPr>
          <w:w w:val="105"/>
        </w:rPr>
        <w:t>provides that EPA ‘‘may coordinate’’</w:t>
      </w:r>
      <w:r w:rsidRPr="00283806">
        <w:rPr>
          <w:spacing w:val="40"/>
          <w:w w:val="105"/>
        </w:rPr>
        <w:t xml:space="preserve"> </w:t>
      </w:r>
      <w:r w:rsidRPr="00283806">
        <w:rPr>
          <w:w w:val="105"/>
        </w:rPr>
        <w:t>with certain other EPA regulations that involve ‘‘the same or a similar practice, process, or activity regarding the servicing, repair, disposal, or</w:t>
      </w:r>
      <w:r w:rsidRPr="00283806">
        <w:rPr>
          <w:spacing w:val="80"/>
          <w:w w:val="105"/>
        </w:rPr>
        <w:t xml:space="preserve"> </w:t>
      </w:r>
      <w:r w:rsidRPr="00283806">
        <w:rPr>
          <w:w w:val="105"/>
        </w:rPr>
        <w:t>installation of equipment’’ or</w:t>
      </w:r>
      <w:r w:rsidRPr="00283806">
        <w:rPr>
          <w:spacing w:val="80"/>
          <w:w w:val="105"/>
        </w:rPr>
        <w:t xml:space="preserve"> </w:t>
      </w:r>
      <w:r w:rsidRPr="00283806">
        <w:rPr>
          <w:w w:val="105"/>
        </w:rPr>
        <w:t>reclaiming, and EPA has coordinated many aspects of this final rule. The commenter also asserted that moving the compliance date to 2027 would</w:t>
      </w:r>
      <w:r w:rsidRPr="00283806">
        <w:rPr>
          <w:spacing w:val="80"/>
          <w:w w:val="105"/>
        </w:rPr>
        <w:t xml:space="preserve"> </w:t>
      </w:r>
      <w:r w:rsidRPr="00283806">
        <w:rPr>
          <w:w w:val="105"/>
        </w:rPr>
        <w:t>align the ALD requirements in the final rule with the IPR transition in the 2023 Technology Transitions Rule. EPA has extended the compliance date to</w:t>
      </w:r>
      <w:r w:rsidRPr="00283806">
        <w:rPr>
          <w:spacing w:val="80"/>
          <w:w w:val="105"/>
        </w:rPr>
        <w:t xml:space="preserve"> </w:t>
      </w:r>
      <w:r w:rsidRPr="00283806">
        <w:rPr>
          <w:w w:val="105"/>
        </w:rPr>
        <w:t>January 1, 2027, for existing refrigerant- containing appliances but clarifies that the decision was not based on an alignment with the 2023 Technology Transitions</w:t>
      </w:r>
      <w:r w:rsidRPr="00283806">
        <w:rPr>
          <w:spacing w:val="40"/>
          <w:w w:val="105"/>
        </w:rPr>
        <w:t xml:space="preserve"> </w:t>
      </w:r>
      <w:r w:rsidRPr="00283806">
        <w:rPr>
          <w:w w:val="105"/>
        </w:rPr>
        <w:t>Rule.</w:t>
      </w:r>
      <w:r w:rsidRPr="00283806">
        <w:rPr>
          <w:spacing w:val="40"/>
          <w:w w:val="105"/>
        </w:rPr>
        <w:t xml:space="preserve"> </w:t>
      </w:r>
      <w:r w:rsidRPr="00283806">
        <w:rPr>
          <w:w w:val="105"/>
        </w:rPr>
        <w:t>The</w:t>
      </w:r>
      <w:r w:rsidRPr="00283806">
        <w:rPr>
          <w:spacing w:val="40"/>
          <w:w w:val="105"/>
        </w:rPr>
        <w:t xml:space="preserve"> </w:t>
      </w:r>
      <w:r w:rsidRPr="00283806">
        <w:rPr>
          <w:w w:val="105"/>
        </w:rPr>
        <w:t>Agency</w:t>
      </w:r>
      <w:r w:rsidRPr="00283806">
        <w:rPr>
          <w:spacing w:val="40"/>
          <w:w w:val="105"/>
        </w:rPr>
        <w:t xml:space="preserve"> </w:t>
      </w:r>
      <w:r w:rsidRPr="00283806">
        <w:rPr>
          <w:w w:val="105"/>
        </w:rPr>
        <w:t xml:space="preserve">finds such an alignment in this instance to be unfounded. The 2023 Technology Transitions Rule covers new equipment and </w:t>
      </w:r>
      <w:proofErr w:type="gramStart"/>
      <w:r w:rsidRPr="00283806">
        <w:rPr>
          <w:w w:val="105"/>
        </w:rPr>
        <w:t>setting</w:t>
      </w:r>
      <w:proofErr w:type="gramEnd"/>
      <w:r w:rsidRPr="00283806">
        <w:rPr>
          <w:w w:val="105"/>
        </w:rPr>
        <w:t xml:space="preserve"> GWP limits. This provision under subsection (h)(1) is focused on</w:t>
      </w:r>
      <w:r w:rsidRPr="00283806">
        <w:rPr>
          <w:spacing w:val="40"/>
          <w:w w:val="105"/>
        </w:rPr>
        <w:t xml:space="preserve"> </w:t>
      </w:r>
      <w:r w:rsidRPr="00283806">
        <w:rPr>
          <w:w w:val="105"/>
        </w:rPr>
        <w:t>the management of HFCs and in this</w:t>
      </w:r>
      <w:r w:rsidRPr="00283806">
        <w:rPr>
          <w:spacing w:val="40"/>
          <w:w w:val="105"/>
        </w:rPr>
        <w:t xml:space="preserve"> </w:t>
      </w:r>
      <w:r w:rsidRPr="00283806">
        <w:rPr>
          <w:w w:val="105"/>
        </w:rPr>
        <w:t>case in refrigerant-containing</w:t>
      </w:r>
      <w:r w:rsidRPr="00283806">
        <w:rPr>
          <w:spacing w:val="40"/>
          <w:w w:val="105"/>
        </w:rPr>
        <w:t xml:space="preserve"> </w:t>
      </w:r>
      <w:r w:rsidRPr="00283806">
        <w:rPr>
          <w:spacing w:val="-2"/>
          <w:w w:val="105"/>
        </w:rPr>
        <w:t>appliances.</w:t>
      </w:r>
    </w:p>
    <w:p w14:paraId="02B7CB5C" w14:textId="77777777" w:rsidR="00D67C1E" w:rsidRPr="00283806" w:rsidRDefault="001265CA">
      <w:pPr>
        <w:pStyle w:val="ListParagraph"/>
        <w:numPr>
          <w:ilvl w:val="0"/>
          <w:numId w:val="54"/>
        </w:numPr>
        <w:tabs>
          <w:tab w:val="left" w:pos="341"/>
        </w:tabs>
        <w:spacing w:before="88" w:line="225" w:lineRule="auto"/>
        <w:ind w:right="1130" w:firstLine="0"/>
        <w:rPr>
          <w:sz w:val="18"/>
        </w:rPr>
      </w:pPr>
      <w:r w:rsidRPr="00283806">
        <w:rPr>
          <w:w w:val="105"/>
          <w:sz w:val="18"/>
        </w:rPr>
        <w:t xml:space="preserve">Automatic Leak Detection </w:t>
      </w:r>
      <w:r w:rsidRPr="00283806">
        <w:rPr>
          <w:spacing w:val="-2"/>
          <w:w w:val="105"/>
          <w:sz w:val="18"/>
        </w:rPr>
        <w:t>Requirements</w:t>
      </w:r>
    </w:p>
    <w:p w14:paraId="60013F0B" w14:textId="77777777" w:rsidR="00D67C1E" w:rsidRPr="00283806" w:rsidRDefault="001265CA">
      <w:pPr>
        <w:pStyle w:val="BodyText"/>
        <w:spacing w:before="67" w:line="223" w:lineRule="auto"/>
        <w:ind w:left="143" w:right="191" w:firstLine="180"/>
      </w:pPr>
      <w:r w:rsidRPr="00283806">
        <w:rPr>
          <w:w w:val="105"/>
        </w:rPr>
        <w:t>In the final rule, refrigerant-</w:t>
      </w:r>
      <w:r w:rsidRPr="00283806">
        <w:rPr>
          <w:spacing w:val="80"/>
          <w:w w:val="105"/>
        </w:rPr>
        <w:t xml:space="preserve"> </w:t>
      </w:r>
      <w:r w:rsidRPr="00283806">
        <w:rPr>
          <w:w w:val="105"/>
        </w:rPr>
        <w:t>containing</w:t>
      </w:r>
      <w:r w:rsidRPr="00283806">
        <w:rPr>
          <w:spacing w:val="40"/>
          <w:w w:val="105"/>
        </w:rPr>
        <w:t xml:space="preserve"> </w:t>
      </w:r>
      <w:r w:rsidRPr="00283806">
        <w:rPr>
          <w:w w:val="105"/>
        </w:rPr>
        <w:t>appliances</w:t>
      </w:r>
      <w:r w:rsidRPr="00283806">
        <w:rPr>
          <w:spacing w:val="40"/>
          <w:w w:val="105"/>
        </w:rPr>
        <w:t xml:space="preserve"> </w:t>
      </w:r>
      <w:r w:rsidRPr="00283806">
        <w:rPr>
          <w:w w:val="105"/>
        </w:rPr>
        <w:t>in</w:t>
      </w:r>
      <w:r w:rsidRPr="00283806">
        <w:rPr>
          <w:spacing w:val="40"/>
          <w:w w:val="105"/>
        </w:rPr>
        <w:t xml:space="preserve"> </w:t>
      </w:r>
      <w:proofErr w:type="gramStart"/>
      <w:r w:rsidRPr="00283806">
        <w:rPr>
          <w:w w:val="105"/>
        </w:rPr>
        <w:t>the</w:t>
      </w:r>
      <w:r w:rsidRPr="00283806">
        <w:rPr>
          <w:spacing w:val="40"/>
          <w:w w:val="105"/>
        </w:rPr>
        <w:t xml:space="preserve"> </w:t>
      </w:r>
      <w:r w:rsidRPr="00283806">
        <w:rPr>
          <w:w w:val="105"/>
        </w:rPr>
        <w:t>commercial</w:t>
      </w:r>
      <w:proofErr w:type="gramEnd"/>
      <w:r w:rsidRPr="00283806">
        <w:rPr>
          <w:w w:val="105"/>
        </w:rPr>
        <w:t xml:space="preserve"> refrigeration and IPR subsectors with a charge size of 1,500 pounds or more with a refrigerant that contains an HFC or a substitute for an HFC that has a GWP above 53 are required to use ALD systems. The refrigerants covered are the same as for the leak repair provisions, but the full </w:t>
      </w:r>
      <w:proofErr w:type="gramStart"/>
      <w:r w:rsidRPr="00283806">
        <w:rPr>
          <w:w w:val="105"/>
        </w:rPr>
        <w:t>charge size</w:t>
      </w:r>
      <w:proofErr w:type="gramEnd"/>
      <w:r w:rsidRPr="00283806">
        <w:rPr>
          <w:w w:val="105"/>
        </w:rPr>
        <w:t xml:space="preserve"> cutoff for using ALD systems (</w:t>
      </w:r>
      <w:r w:rsidRPr="00283806">
        <w:rPr>
          <w:rFonts w:ascii="Book Antiqua"/>
          <w:i/>
          <w:w w:val="105"/>
        </w:rPr>
        <w:t xml:space="preserve">i.e., </w:t>
      </w:r>
      <w:r w:rsidRPr="00283806">
        <w:rPr>
          <w:w w:val="105"/>
        </w:rPr>
        <w:t>1,500 pounds) is greater than that</w:t>
      </w:r>
      <w:r w:rsidRPr="00283806">
        <w:rPr>
          <w:spacing w:val="80"/>
          <w:w w:val="105"/>
        </w:rPr>
        <w:t xml:space="preserve"> </w:t>
      </w:r>
      <w:r w:rsidRPr="00283806">
        <w:rPr>
          <w:w w:val="105"/>
        </w:rPr>
        <w:t>of</w:t>
      </w:r>
      <w:r w:rsidRPr="00283806">
        <w:rPr>
          <w:spacing w:val="36"/>
          <w:w w:val="105"/>
        </w:rPr>
        <w:t xml:space="preserve"> </w:t>
      </w:r>
      <w:r w:rsidRPr="00283806">
        <w:rPr>
          <w:w w:val="105"/>
        </w:rPr>
        <w:t>the</w:t>
      </w:r>
      <w:r w:rsidRPr="00283806">
        <w:rPr>
          <w:spacing w:val="36"/>
          <w:w w:val="105"/>
        </w:rPr>
        <w:t xml:space="preserve"> </w:t>
      </w:r>
      <w:r w:rsidRPr="00283806">
        <w:rPr>
          <w:w w:val="105"/>
        </w:rPr>
        <w:t>other</w:t>
      </w:r>
      <w:r w:rsidRPr="00283806">
        <w:rPr>
          <w:spacing w:val="36"/>
          <w:w w:val="105"/>
        </w:rPr>
        <w:t xml:space="preserve"> </w:t>
      </w:r>
      <w:r w:rsidRPr="00283806">
        <w:rPr>
          <w:w w:val="105"/>
        </w:rPr>
        <w:t>leak</w:t>
      </w:r>
      <w:r w:rsidRPr="00283806">
        <w:rPr>
          <w:spacing w:val="36"/>
          <w:w w:val="105"/>
        </w:rPr>
        <w:t xml:space="preserve"> </w:t>
      </w:r>
      <w:r w:rsidRPr="00283806">
        <w:rPr>
          <w:w w:val="105"/>
        </w:rPr>
        <w:t>repair</w:t>
      </w:r>
      <w:r w:rsidRPr="00283806">
        <w:rPr>
          <w:spacing w:val="36"/>
          <w:w w:val="105"/>
        </w:rPr>
        <w:t xml:space="preserve"> </w:t>
      </w:r>
      <w:r w:rsidRPr="00283806">
        <w:rPr>
          <w:w w:val="105"/>
        </w:rPr>
        <w:t>provisions</w:t>
      </w:r>
      <w:r w:rsidRPr="00283806">
        <w:rPr>
          <w:spacing w:val="36"/>
          <w:w w:val="105"/>
        </w:rPr>
        <w:t xml:space="preserve"> </w:t>
      </w:r>
      <w:r w:rsidRPr="00283806">
        <w:rPr>
          <w:w w:val="105"/>
        </w:rPr>
        <w:t>in this rulemaking (</w:t>
      </w:r>
      <w:r w:rsidRPr="00283806">
        <w:rPr>
          <w:rFonts w:ascii="Book Antiqua"/>
          <w:i/>
          <w:w w:val="105"/>
        </w:rPr>
        <w:t xml:space="preserve">i.e., </w:t>
      </w:r>
      <w:r w:rsidRPr="00283806">
        <w:rPr>
          <w:w w:val="105"/>
        </w:rPr>
        <w:t>15 pounds). EPA acknowledges that using ALD systems</w:t>
      </w:r>
      <w:r w:rsidRPr="00283806">
        <w:rPr>
          <w:spacing w:val="80"/>
          <w:w w:val="105"/>
        </w:rPr>
        <w:t xml:space="preserve"> </w:t>
      </w:r>
      <w:r w:rsidRPr="00283806">
        <w:rPr>
          <w:w w:val="105"/>
        </w:rPr>
        <w:t>for refrigerant-containing appliances</w:t>
      </w:r>
      <w:r w:rsidRPr="00283806">
        <w:rPr>
          <w:spacing w:val="80"/>
          <w:w w:val="105"/>
        </w:rPr>
        <w:t xml:space="preserve"> </w:t>
      </w:r>
      <w:r w:rsidRPr="00283806">
        <w:rPr>
          <w:w w:val="105"/>
        </w:rPr>
        <w:t>that have lower refrigerant charge sizes (</w:t>
      </w:r>
      <w:r w:rsidRPr="00283806">
        <w:rPr>
          <w:rFonts w:ascii="Book Antiqua"/>
          <w:i/>
          <w:w w:val="105"/>
        </w:rPr>
        <w:t xml:space="preserve">i.e., </w:t>
      </w:r>
      <w:r w:rsidRPr="00283806">
        <w:rPr>
          <w:w w:val="105"/>
        </w:rPr>
        <w:t>below 1,500 pounds) may be an option an owner or operator could take so they are alerted to leaks sooner.</w:t>
      </w:r>
    </w:p>
    <w:p w14:paraId="2ADC72CC" w14:textId="77777777" w:rsidR="00D67C1E" w:rsidRPr="00283806" w:rsidRDefault="001265CA">
      <w:pPr>
        <w:pStyle w:val="BodyText"/>
        <w:spacing w:before="3" w:line="225" w:lineRule="auto"/>
        <w:ind w:left="143" w:right="181"/>
      </w:pPr>
      <w:r w:rsidRPr="00283806">
        <w:rPr>
          <w:w w:val="105"/>
        </w:rPr>
        <w:t>Additionally, owners or operators may choose</w:t>
      </w:r>
      <w:r w:rsidRPr="00283806">
        <w:rPr>
          <w:spacing w:val="34"/>
          <w:w w:val="105"/>
        </w:rPr>
        <w:t xml:space="preserve"> </w:t>
      </w:r>
      <w:r w:rsidRPr="00283806">
        <w:rPr>
          <w:w w:val="105"/>
        </w:rPr>
        <w:t>to</w:t>
      </w:r>
      <w:r w:rsidRPr="00283806">
        <w:rPr>
          <w:spacing w:val="34"/>
          <w:w w:val="105"/>
        </w:rPr>
        <w:t xml:space="preserve"> </w:t>
      </w:r>
      <w:r w:rsidRPr="00283806">
        <w:rPr>
          <w:w w:val="105"/>
        </w:rPr>
        <w:t>install</w:t>
      </w:r>
      <w:r w:rsidRPr="00283806">
        <w:rPr>
          <w:spacing w:val="34"/>
          <w:w w:val="105"/>
        </w:rPr>
        <w:t xml:space="preserve"> </w:t>
      </w:r>
      <w:r w:rsidRPr="00283806">
        <w:rPr>
          <w:w w:val="105"/>
        </w:rPr>
        <w:t>and</w:t>
      </w:r>
      <w:r w:rsidRPr="00283806">
        <w:rPr>
          <w:spacing w:val="34"/>
          <w:w w:val="105"/>
        </w:rPr>
        <w:t xml:space="preserve"> </w:t>
      </w:r>
      <w:r w:rsidRPr="00283806">
        <w:rPr>
          <w:w w:val="105"/>
        </w:rPr>
        <w:t>use</w:t>
      </w:r>
      <w:r w:rsidRPr="00283806">
        <w:rPr>
          <w:spacing w:val="34"/>
          <w:w w:val="105"/>
        </w:rPr>
        <w:t xml:space="preserve"> </w:t>
      </w:r>
      <w:r w:rsidRPr="00283806">
        <w:rPr>
          <w:w w:val="105"/>
        </w:rPr>
        <w:t>ALD</w:t>
      </w:r>
      <w:r w:rsidRPr="00283806">
        <w:rPr>
          <w:spacing w:val="34"/>
          <w:w w:val="105"/>
        </w:rPr>
        <w:t xml:space="preserve"> </w:t>
      </w:r>
      <w:r w:rsidRPr="00283806">
        <w:rPr>
          <w:w w:val="105"/>
        </w:rPr>
        <w:t>systems in lieu of quarterly and annual leak inspections as previously discussed in section IV.C.3.d. As discussed in the proposal, EPA considered several potential options of the threshold for requiring ALD systems (</w:t>
      </w:r>
      <w:r w:rsidRPr="00283806">
        <w:rPr>
          <w:rFonts w:ascii="Book Antiqua"/>
          <w:i/>
          <w:w w:val="105"/>
        </w:rPr>
        <w:t xml:space="preserve">e.g., </w:t>
      </w:r>
      <w:r w:rsidRPr="00283806">
        <w:rPr>
          <w:w w:val="105"/>
        </w:rPr>
        <w:t>15 pounds, 50 pounds, 500 pounds) and other thresholds used internationally and by certain States (</w:t>
      </w:r>
      <w:r w:rsidRPr="00283806">
        <w:rPr>
          <w:rFonts w:ascii="Book Antiqua"/>
          <w:i/>
          <w:w w:val="105"/>
        </w:rPr>
        <w:t xml:space="preserve">i.e., </w:t>
      </w:r>
      <w:r w:rsidRPr="00283806">
        <w:rPr>
          <w:w w:val="105"/>
        </w:rPr>
        <w:t>California and Washington). However, EPA is not requiring use of ALD systems for refrigerant-containing appliances with less than 1,500 pounds. As discussed later in this section, EPA also</w:t>
      </w:r>
      <w:r w:rsidRPr="00283806">
        <w:rPr>
          <w:spacing w:val="80"/>
          <w:w w:val="150"/>
        </w:rPr>
        <w:t xml:space="preserve"> </w:t>
      </w:r>
      <w:r w:rsidRPr="00283806">
        <w:rPr>
          <w:w w:val="105"/>
        </w:rPr>
        <w:t>considered the supply of ALD systems when determining the applicability of appliances because adequate supply of</w:t>
      </w:r>
    </w:p>
    <w:p w14:paraId="662CD8DE"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6" w:space="40"/>
            <w:col w:w="3501" w:space="39"/>
            <w:col w:w="3624"/>
          </w:cols>
        </w:sectPr>
      </w:pPr>
    </w:p>
    <w:p w14:paraId="6188B7E7" w14:textId="77777777" w:rsidR="00D67C1E" w:rsidRPr="00283806" w:rsidRDefault="001265CA">
      <w:pPr>
        <w:pStyle w:val="BodyText"/>
        <w:spacing w:before="136" w:line="225" w:lineRule="auto"/>
        <w:ind w:left="159" w:right="60"/>
      </w:pPr>
      <w:r w:rsidRPr="00283806">
        <w:rPr>
          <w:w w:val="105"/>
        </w:rPr>
        <w:lastRenderedPageBreak/>
        <w:t xml:space="preserve">ALD systems </w:t>
      </w:r>
      <w:proofErr w:type="gramStart"/>
      <w:r w:rsidRPr="00283806">
        <w:rPr>
          <w:w w:val="105"/>
        </w:rPr>
        <w:t>is</w:t>
      </w:r>
      <w:proofErr w:type="gramEnd"/>
      <w:r w:rsidRPr="00283806">
        <w:rPr>
          <w:w w:val="105"/>
        </w:rPr>
        <w:t xml:space="preserve"> required to facilitate compliance with this provision. Larger refrigeration appliances have potential</w:t>
      </w:r>
      <w:r w:rsidRPr="00283806">
        <w:rPr>
          <w:spacing w:val="80"/>
          <w:w w:val="105"/>
        </w:rPr>
        <w:t xml:space="preserve"> </w:t>
      </w:r>
      <w:r w:rsidRPr="00283806">
        <w:rPr>
          <w:w w:val="105"/>
        </w:rPr>
        <w:t xml:space="preserve">to leak greater amounts of refrigerant, such that owners or operators use of an ALD system to quickly detect leaks further supports the statutory purposes in subsection (h) of minimizing releases of HFCs from equipment and </w:t>
      </w:r>
      <w:proofErr w:type="gramStart"/>
      <w:r w:rsidRPr="00283806">
        <w:rPr>
          <w:w w:val="105"/>
        </w:rPr>
        <w:t>maximize</w:t>
      </w:r>
      <w:proofErr w:type="gramEnd"/>
      <w:r w:rsidRPr="00283806">
        <w:rPr>
          <w:w w:val="105"/>
        </w:rPr>
        <w:t xml:space="preserve"> the amount of HFC that is available for reclaiming. Moreover, EPA understands that owners or operators of appliances with larger charge sizes (</w:t>
      </w:r>
      <w:r w:rsidRPr="00283806">
        <w:rPr>
          <w:rFonts w:ascii="Book Antiqua"/>
          <w:i/>
          <w:w w:val="105"/>
        </w:rPr>
        <w:t xml:space="preserve">i.e., </w:t>
      </w:r>
      <w:r w:rsidRPr="00283806">
        <w:rPr>
          <w:w w:val="105"/>
        </w:rPr>
        <w:t>at or above 1,500 pounds) may be more likely to</w:t>
      </w:r>
      <w:r w:rsidRPr="00283806">
        <w:rPr>
          <w:spacing w:val="40"/>
          <w:w w:val="105"/>
        </w:rPr>
        <w:t xml:space="preserve"> </w:t>
      </w:r>
      <w:r w:rsidRPr="00283806">
        <w:rPr>
          <w:w w:val="105"/>
        </w:rPr>
        <w:t>have in place refrigerant management plans, routine equipment inspections, or other formal or even informal mechanisms aimed at reducing refrigerant losses for which ALD will provide additional support.</w:t>
      </w:r>
    </w:p>
    <w:p w14:paraId="55041167" w14:textId="77777777" w:rsidR="00D67C1E" w:rsidRPr="00283806" w:rsidRDefault="001265CA">
      <w:pPr>
        <w:spacing w:line="168" w:lineRule="exact"/>
        <w:ind w:left="339"/>
        <w:rPr>
          <w:sz w:val="18"/>
        </w:rPr>
      </w:pPr>
      <w:r w:rsidRPr="00283806">
        <w:rPr>
          <w:rFonts w:ascii="Book Antiqua"/>
          <w:i/>
          <w:w w:val="110"/>
          <w:sz w:val="18"/>
        </w:rPr>
        <w:t>Comment:</w:t>
      </w:r>
      <w:r w:rsidRPr="00283806">
        <w:rPr>
          <w:rFonts w:ascii="Book Antiqua"/>
          <w:i/>
          <w:spacing w:val="-5"/>
          <w:w w:val="110"/>
          <w:sz w:val="18"/>
        </w:rPr>
        <w:t xml:space="preserve"> </w:t>
      </w:r>
      <w:r w:rsidRPr="00283806">
        <w:rPr>
          <w:w w:val="110"/>
          <w:sz w:val="18"/>
        </w:rPr>
        <w:t>The Agency</w:t>
      </w:r>
      <w:r w:rsidRPr="00283806">
        <w:rPr>
          <w:spacing w:val="1"/>
          <w:w w:val="110"/>
          <w:sz w:val="18"/>
        </w:rPr>
        <w:t xml:space="preserve"> </w:t>
      </w:r>
      <w:r w:rsidRPr="00283806">
        <w:rPr>
          <w:w w:val="110"/>
          <w:sz w:val="18"/>
        </w:rPr>
        <w:t>received</w:t>
      </w:r>
      <w:r w:rsidRPr="00283806">
        <w:rPr>
          <w:spacing w:val="1"/>
          <w:w w:val="110"/>
          <w:sz w:val="18"/>
        </w:rPr>
        <w:t xml:space="preserve"> </w:t>
      </w:r>
      <w:r w:rsidRPr="00283806">
        <w:rPr>
          <w:spacing w:val="-4"/>
          <w:w w:val="110"/>
          <w:sz w:val="18"/>
        </w:rPr>
        <w:t>many</w:t>
      </w:r>
    </w:p>
    <w:p w14:paraId="181C7942" w14:textId="77777777" w:rsidR="00D67C1E" w:rsidRPr="00283806" w:rsidRDefault="001265CA">
      <w:pPr>
        <w:pStyle w:val="BodyText"/>
        <w:spacing w:line="225" w:lineRule="auto"/>
        <w:ind w:left="159" w:right="70"/>
      </w:pPr>
      <w:r w:rsidRPr="00283806">
        <w:rPr>
          <w:w w:val="105"/>
        </w:rPr>
        <w:t>comments in support of the charge size threshold. One commenter expressed support for the proposed threshold</w:t>
      </w:r>
      <w:r w:rsidRPr="00283806">
        <w:rPr>
          <w:spacing w:val="80"/>
          <w:w w:val="105"/>
        </w:rPr>
        <w:t xml:space="preserve"> </w:t>
      </w:r>
      <w:r w:rsidRPr="00283806">
        <w:rPr>
          <w:w w:val="105"/>
        </w:rPr>
        <w:t>given the cost burden associated with</w:t>
      </w:r>
      <w:r w:rsidRPr="00283806">
        <w:rPr>
          <w:spacing w:val="80"/>
          <w:w w:val="105"/>
        </w:rPr>
        <w:t xml:space="preserve"> </w:t>
      </w:r>
      <w:r w:rsidRPr="00283806">
        <w:rPr>
          <w:w w:val="105"/>
        </w:rPr>
        <w:t>the installation of some ALD systems. Another commenter expressed support for the charge size threshold and stated that the requirements will help reduce emissions from large appliances at greater risk of leaks. One commenter in support of the provision stated that ALD systems</w:t>
      </w:r>
      <w:r w:rsidRPr="00283806">
        <w:rPr>
          <w:spacing w:val="40"/>
          <w:w w:val="105"/>
        </w:rPr>
        <w:t xml:space="preserve"> </w:t>
      </w:r>
      <w:r w:rsidRPr="00283806">
        <w:rPr>
          <w:w w:val="105"/>
        </w:rPr>
        <w:t>are</w:t>
      </w:r>
      <w:r w:rsidRPr="00283806">
        <w:rPr>
          <w:spacing w:val="40"/>
          <w:w w:val="105"/>
        </w:rPr>
        <w:t xml:space="preserve"> </w:t>
      </w:r>
      <w:r w:rsidRPr="00283806">
        <w:rPr>
          <w:w w:val="105"/>
        </w:rPr>
        <w:t>widely</w:t>
      </w:r>
      <w:r w:rsidRPr="00283806">
        <w:rPr>
          <w:spacing w:val="40"/>
          <w:w w:val="105"/>
        </w:rPr>
        <w:t xml:space="preserve"> </w:t>
      </w:r>
      <w:r w:rsidRPr="00283806">
        <w:rPr>
          <w:w w:val="105"/>
        </w:rPr>
        <w:t>available</w:t>
      </w:r>
      <w:r w:rsidRPr="00283806">
        <w:rPr>
          <w:spacing w:val="40"/>
          <w:w w:val="105"/>
        </w:rPr>
        <w:t xml:space="preserve"> </w:t>
      </w:r>
      <w:r w:rsidRPr="00283806">
        <w:rPr>
          <w:w w:val="105"/>
        </w:rPr>
        <w:t>and quickly becoming best practice for leak reduction, even for smaller systems.</w:t>
      </w:r>
    </w:p>
    <w:p w14:paraId="17648E7A" w14:textId="77777777" w:rsidR="00D67C1E" w:rsidRPr="00283806" w:rsidRDefault="001265CA">
      <w:pPr>
        <w:pStyle w:val="BodyText"/>
        <w:spacing w:line="175" w:lineRule="exact"/>
        <w:ind w:left="339"/>
      </w:pPr>
      <w:r w:rsidRPr="00283806">
        <w:rPr>
          <w:w w:val="105"/>
        </w:rPr>
        <w:t>Conversely,</w:t>
      </w:r>
      <w:r w:rsidRPr="00283806">
        <w:rPr>
          <w:spacing w:val="12"/>
          <w:w w:val="105"/>
        </w:rPr>
        <w:t xml:space="preserve"> </w:t>
      </w:r>
      <w:r w:rsidRPr="00283806">
        <w:rPr>
          <w:w w:val="105"/>
        </w:rPr>
        <w:t>one</w:t>
      </w:r>
      <w:r w:rsidRPr="00283806">
        <w:rPr>
          <w:spacing w:val="13"/>
          <w:w w:val="105"/>
        </w:rPr>
        <w:t xml:space="preserve"> </w:t>
      </w:r>
      <w:r w:rsidRPr="00283806">
        <w:rPr>
          <w:w w:val="105"/>
        </w:rPr>
        <w:t>commenter</w:t>
      </w:r>
      <w:r w:rsidRPr="00283806">
        <w:rPr>
          <w:spacing w:val="13"/>
          <w:w w:val="105"/>
        </w:rPr>
        <w:t xml:space="preserve"> </w:t>
      </w:r>
      <w:r w:rsidRPr="00283806">
        <w:rPr>
          <w:spacing w:val="-2"/>
          <w:w w:val="105"/>
        </w:rPr>
        <w:t>stated</w:t>
      </w:r>
    </w:p>
    <w:p w14:paraId="07BAAC53" w14:textId="77777777" w:rsidR="00D67C1E" w:rsidRPr="00283806" w:rsidRDefault="001265CA">
      <w:pPr>
        <w:pStyle w:val="BodyText"/>
        <w:spacing w:before="2" w:line="225" w:lineRule="auto"/>
        <w:ind w:left="159"/>
      </w:pPr>
      <w:r w:rsidRPr="00283806">
        <w:rPr>
          <w:w w:val="110"/>
        </w:rPr>
        <w:t>that EPA should change the charge size threshold to 2,000 pounds or more and asserted that the proposed ALD installation requirements would be unduly burdensome for retailers with large</w:t>
      </w:r>
      <w:r w:rsidRPr="00283806">
        <w:rPr>
          <w:spacing w:val="-11"/>
          <w:w w:val="110"/>
        </w:rPr>
        <w:t xml:space="preserve"> </w:t>
      </w:r>
      <w:r w:rsidRPr="00283806">
        <w:rPr>
          <w:w w:val="110"/>
        </w:rPr>
        <w:t>refrigeration</w:t>
      </w:r>
      <w:r w:rsidRPr="00283806">
        <w:rPr>
          <w:spacing w:val="-11"/>
          <w:w w:val="110"/>
        </w:rPr>
        <w:t xml:space="preserve"> </w:t>
      </w:r>
      <w:r w:rsidRPr="00283806">
        <w:rPr>
          <w:w w:val="110"/>
        </w:rPr>
        <w:t>systems,</w:t>
      </w:r>
      <w:r w:rsidRPr="00283806">
        <w:rPr>
          <w:spacing w:val="-11"/>
          <w:w w:val="110"/>
        </w:rPr>
        <w:t xml:space="preserve"> </w:t>
      </w:r>
      <w:r w:rsidRPr="00283806">
        <w:rPr>
          <w:w w:val="110"/>
        </w:rPr>
        <w:t>particularly in</w:t>
      </w:r>
      <w:r w:rsidRPr="00283806">
        <w:rPr>
          <w:spacing w:val="-11"/>
          <w:w w:val="110"/>
        </w:rPr>
        <w:t xml:space="preserve"> </w:t>
      </w:r>
      <w:r w:rsidRPr="00283806">
        <w:rPr>
          <w:w w:val="110"/>
        </w:rPr>
        <w:t>the</w:t>
      </w:r>
      <w:r w:rsidRPr="00283806">
        <w:rPr>
          <w:spacing w:val="-11"/>
          <w:w w:val="110"/>
        </w:rPr>
        <w:t xml:space="preserve"> </w:t>
      </w:r>
      <w:r w:rsidRPr="00283806">
        <w:rPr>
          <w:w w:val="110"/>
        </w:rPr>
        <w:t>retail</w:t>
      </w:r>
      <w:r w:rsidRPr="00283806">
        <w:rPr>
          <w:spacing w:val="-11"/>
          <w:w w:val="110"/>
        </w:rPr>
        <w:t xml:space="preserve"> </w:t>
      </w:r>
      <w:r w:rsidRPr="00283806">
        <w:rPr>
          <w:w w:val="110"/>
        </w:rPr>
        <w:t>food</w:t>
      </w:r>
      <w:r w:rsidRPr="00283806">
        <w:rPr>
          <w:spacing w:val="-11"/>
          <w:w w:val="110"/>
        </w:rPr>
        <w:t xml:space="preserve"> </w:t>
      </w:r>
      <w:r w:rsidRPr="00283806">
        <w:rPr>
          <w:w w:val="110"/>
        </w:rPr>
        <w:t>sector.</w:t>
      </w:r>
      <w:r w:rsidRPr="00283806">
        <w:rPr>
          <w:spacing w:val="-11"/>
          <w:w w:val="110"/>
        </w:rPr>
        <w:t xml:space="preserve"> </w:t>
      </w:r>
      <w:r w:rsidRPr="00283806">
        <w:rPr>
          <w:w w:val="110"/>
        </w:rPr>
        <w:t>The</w:t>
      </w:r>
      <w:r w:rsidRPr="00283806">
        <w:rPr>
          <w:spacing w:val="-11"/>
          <w:w w:val="110"/>
        </w:rPr>
        <w:t xml:space="preserve"> </w:t>
      </w:r>
      <w:r w:rsidRPr="00283806">
        <w:rPr>
          <w:w w:val="110"/>
        </w:rPr>
        <w:t>commenter stated that significant costs would be imposed because of equipment costs and technician fees. One commenter suggested the Agency lower the ALD charge</w:t>
      </w:r>
      <w:r w:rsidRPr="00283806">
        <w:rPr>
          <w:spacing w:val="-11"/>
          <w:w w:val="110"/>
        </w:rPr>
        <w:t xml:space="preserve"> </w:t>
      </w:r>
      <w:r w:rsidRPr="00283806">
        <w:rPr>
          <w:w w:val="110"/>
        </w:rPr>
        <w:t>size</w:t>
      </w:r>
      <w:r w:rsidRPr="00283806">
        <w:rPr>
          <w:spacing w:val="-11"/>
          <w:w w:val="110"/>
        </w:rPr>
        <w:t xml:space="preserve"> </w:t>
      </w:r>
      <w:r w:rsidRPr="00283806">
        <w:rPr>
          <w:w w:val="110"/>
        </w:rPr>
        <w:t>threshold</w:t>
      </w:r>
      <w:r w:rsidRPr="00283806">
        <w:rPr>
          <w:spacing w:val="-11"/>
          <w:w w:val="110"/>
        </w:rPr>
        <w:t xml:space="preserve"> </w:t>
      </w:r>
      <w:r w:rsidRPr="00283806">
        <w:rPr>
          <w:w w:val="110"/>
        </w:rPr>
        <w:t>to</w:t>
      </w:r>
      <w:r w:rsidRPr="00283806">
        <w:rPr>
          <w:spacing w:val="-11"/>
          <w:w w:val="110"/>
        </w:rPr>
        <w:t xml:space="preserve"> </w:t>
      </w:r>
      <w:r w:rsidRPr="00283806">
        <w:rPr>
          <w:w w:val="110"/>
        </w:rPr>
        <w:t>100</w:t>
      </w:r>
      <w:r w:rsidRPr="00283806">
        <w:rPr>
          <w:spacing w:val="-11"/>
          <w:w w:val="110"/>
        </w:rPr>
        <w:t xml:space="preserve"> </w:t>
      </w:r>
      <w:r w:rsidRPr="00283806">
        <w:rPr>
          <w:w w:val="110"/>
        </w:rPr>
        <w:t>pounds</w:t>
      </w:r>
      <w:r w:rsidRPr="00283806">
        <w:rPr>
          <w:spacing w:val="-11"/>
          <w:w w:val="110"/>
        </w:rPr>
        <w:t xml:space="preserve"> </w:t>
      </w:r>
      <w:r w:rsidRPr="00283806">
        <w:rPr>
          <w:w w:val="110"/>
        </w:rPr>
        <w:t xml:space="preserve">per refrigerant circuit. Alternatively, the </w:t>
      </w:r>
      <w:r w:rsidRPr="00283806">
        <w:t>commenter suggested the ALD provision</w:t>
      </w:r>
      <w:r w:rsidRPr="00283806">
        <w:rPr>
          <w:spacing w:val="40"/>
          <w:w w:val="110"/>
        </w:rPr>
        <w:t xml:space="preserve"> </w:t>
      </w:r>
      <w:r w:rsidRPr="00283806">
        <w:rPr>
          <w:w w:val="110"/>
        </w:rPr>
        <w:t>may be better suited if it was based on annual</w:t>
      </w:r>
      <w:r w:rsidRPr="00283806">
        <w:rPr>
          <w:spacing w:val="-4"/>
          <w:w w:val="110"/>
        </w:rPr>
        <w:t xml:space="preserve"> </w:t>
      </w:r>
      <w:r w:rsidRPr="00283806">
        <w:rPr>
          <w:w w:val="110"/>
        </w:rPr>
        <w:t>leak</w:t>
      </w:r>
      <w:r w:rsidRPr="00283806">
        <w:rPr>
          <w:spacing w:val="-4"/>
          <w:w w:val="110"/>
        </w:rPr>
        <w:t xml:space="preserve"> </w:t>
      </w:r>
      <w:r w:rsidRPr="00283806">
        <w:rPr>
          <w:w w:val="110"/>
        </w:rPr>
        <w:t>rates</w:t>
      </w:r>
      <w:r w:rsidRPr="00283806">
        <w:rPr>
          <w:spacing w:val="-4"/>
          <w:w w:val="110"/>
        </w:rPr>
        <w:t xml:space="preserve"> </w:t>
      </w:r>
      <w:r w:rsidRPr="00283806">
        <w:rPr>
          <w:w w:val="110"/>
        </w:rPr>
        <w:t>instead</w:t>
      </w:r>
      <w:r w:rsidRPr="00283806">
        <w:rPr>
          <w:spacing w:val="-4"/>
          <w:w w:val="110"/>
        </w:rPr>
        <w:t xml:space="preserve"> </w:t>
      </w:r>
      <w:r w:rsidRPr="00283806">
        <w:rPr>
          <w:w w:val="110"/>
        </w:rPr>
        <w:t>of</w:t>
      </w:r>
      <w:r w:rsidRPr="00283806">
        <w:rPr>
          <w:spacing w:val="-4"/>
          <w:w w:val="110"/>
        </w:rPr>
        <w:t xml:space="preserve"> </w:t>
      </w:r>
      <w:r w:rsidRPr="00283806">
        <w:rPr>
          <w:w w:val="110"/>
        </w:rPr>
        <w:t>charge</w:t>
      </w:r>
      <w:r w:rsidRPr="00283806">
        <w:rPr>
          <w:spacing w:val="-4"/>
          <w:w w:val="110"/>
        </w:rPr>
        <w:t xml:space="preserve"> </w:t>
      </w:r>
      <w:r w:rsidRPr="00283806">
        <w:rPr>
          <w:w w:val="110"/>
        </w:rPr>
        <w:t xml:space="preserve">size. For example, if an owner or operator had equipment designed to contain </w:t>
      </w:r>
      <w:r w:rsidRPr="00283806">
        <w:t>more than 250 pounds of refrigerant that</w:t>
      </w:r>
      <w:r w:rsidRPr="00283806">
        <w:rPr>
          <w:spacing w:val="40"/>
        </w:rPr>
        <w:t xml:space="preserve"> </w:t>
      </w:r>
      <w:r w:rsidRPr="00283806">
        <w:t>had leaked more than 20 percent for two</w:t>
      </w:r>
      <w:r w:rsidRPr="00283806">
        <w:rPr>
          <w:w w:val="110"/>
        </w:rPr>
        <w:t xml:space="preserve"> years, ALD would be required to be installed within six months. This would target problematic systems and avoid unnecessary added cost for non-leaky systems. Another commenter felt the inclusion</w:t>
      </w:r>
      <w:r w:rsidRPr="00283806">
        <w:rPr>
          <w:spacing w:val="-11"/>
          <w:w w:val="110"/>
        </w:rPr>
        <w:t xml:space="preserve"> </w:t>
      </w:r>
      <w:r w:rsidRPr="00283806">
        <w:rPr>
          <w:w w:val="110"/>
        </w:rPr>
        <w:t>of</w:t>
      </w:r>
      <w:r w:rsidRPr="00283806">
        <w:rPr>
          <w:spacing w:val="-11"/>
          <w:w w:val="110"/>
        </w:rPr>
        <w:t xml:space="preserve"> </w:t>
      </w:r>
      <w:r w:rsidRPr="00283806">
        <w:rPr>
          <w:w w:val="110"/>
        </w:rPr>
        <w:t>ALD</w:t>
      </w:r>
      <w:r w:rsidRPr="00283806">
        <w:rPr>
          <w:spacing w:val="-11"/>
          <w:w w:val="110"/>
        </w:rPr>
        <w:t xml:space="preserve"> </w:t>
      </w:r>
      <w:r w:rsidRPr="00283806">
        <w:rPr>
          <w:w w:val="110"/>
        </w:rPr>
        <w:t>for</w:t>
      </w:r>
      <w:r w:rsidRPr="00283806">
        <w:rPr>
          <w:spacing w:val="-10"/>
          <w:w w:val="110"/>
        </w:rPr>
        <w:t xml:space="preserve"> </w:t>
      </w:r>
      <w:r w:rsidRPr="00283806">
        <w:rPr>
          <w:w w:val="110"/>
        </w:rPr>
        <w:t>systems</w:t>
      </w:r>
      <w:r w:rsidRPr="00283806">
        <w:rPr>
          <w:spacing w:val="-11"/>
          <w:w w:val="110"/>
        </w:rPr>
        <w:t xml:space="preserve"> </w:t>
      </w:r>
      <w:r w:rsidRPr="00283806">
        <w:rPr>
          <w:w w:val="110"/>
        </w:rPr>
        <w:t>at</w:t>
      </w:r>
      <w:r w:rsidRPr="00283806">
        <w:rPr>
          <w:spacing w:val="-11"/>
          <w:w w:val="110"/>
        </w:rPr>
        <w:t xml:space="preserve"> </w:t>
      </w:r>
      <w:r w:rsidRPr="00283806">
        <w:rPr>
          <w:w w:val="110"/>
        </w:rPr>
        <w:t>or</w:t>
      </w:r>
      <w:r w:rsidRPr="00283806">
        <w:rPr>
          <w:spacing w:val="-11"/>
          <w:w w:val="110"/>
        </w:rPr>
        <w:t xml:space="preserve"> </w:t>
      </w:r>
      <w:r w:rsidRPr="00283806">
        <w:rPr>
          <w:w w:val="110"/>
        </w:rPr>
        <w:t>above 1,500 pounds was superfluous because the flammability of certain refrigerants below</w:t>
      </w:r>
      <w:r w:rsidRPr="00283806">
        <w:rPr>
          <w:spacing w:val="-9"/>
          <w:w w:val="110"/>
        </w:rPr>
        <w:t xml:space="preserve"> </w:t>
      </w:r>
      <w:r w:rsidRPr="00283806">
        <w:rPr>
          <w:w w:val="110"/>
        </w:rPr>
        <w:t>a</w:t>
      </w:r>
      <w:r w:rsidRPr="00283806">
        <w:rPr>
          <w:spacing w:val="-9"/>
          <w:w w:val="110"/>
        </w:rPr>
        <w:t xml:space="preserve"> </w:t>
      </w:r>
      <w:r w:rsidRPr="00283806">
        <w:rPr>
          <w:w w:val="110"/>
        </w:rPr>
        <w:t>GWP</w:t>
      </w:r>
      <w:r w:rsidRPr="00283806">
        <w:rPr>
          <w:spacing w:val="-9"/>
          <w:w w:val="110"/>
        </w:rPr>
        <w:t xml:space="preserve"> </w:t>
      </w:r>
      <w:r w:rsidRPr="00283806">
        <w:rPr>
          <w:w w:val="110"/>
        </w:rPr>
        <w:t>of</w:t>
      </w:r>
      <w:r w:rsidRPr="00283806">
        <w:rPr>
          <w:spacing w:val="-9"/>
          <w:w w:val="110"/>
        </w:rPr>
        <w:t xml:space="preserve"> </w:t>
      </w:r>
      <w:r w:rsidRPr="00283806">
        <w:rPr>
          <w:w w:val="110"/>
        </w:rPr>
        <w:t>150</w:t>
      </w:r>
      <w:r w:rsidRPr="00283806">
        <w:rPr>
          <w:spacing w:val="-9"/>
          <w:w w:val="110"/>
        </w:rPr>
        <w:t xml:space="preserve"> </w:t>
      </w:r>
      <w:r w:rsidRPr="00283806">
        <w:rPr>
          <w:w w:val="110"/>
        </w:rPr>
        <w:t>at</w:t>
      </w:r>
      <w:r w:rsidRPr="00283806">
        <w:rPr>
          <w:spacing w:val="-9"/>
          <w:w w:val="110"/>
        </w:rPr>
        <w:t xml:space="preserve"> </w:t>
      </w:r>
      <w:r w:rsidRPr="00283806">
        <w:rPr>
          <w:w w:val="110"/>
        </w:rPr>
        <w:t>high</w:t>
      </w:r>
      <w:r w:rsidRPr="00283806">
        <w:rPr>
          <w:spacing w:val="-9"/>
          <w:w w:val="110"/>
        </w:rPr>
        <w:t xml:space="preserve"> </w:t>
      </w:r>
      <w:r w:rsidRPr="00283806">
        <w:rPr>
          <w:w w:val="110"/>
        </w:rPr>
        <w:t>charge</w:t>
      </w:r>
      <w:r w:rsidRPr="00283806">
        <w:rPr>
          <w:spacing w:val="-9"/>
          <w:w w:val="110"/>
        </w:rPr>
        <w:t xml:space="preserve"> </w:t>
      </w:r>
      <w:r w:rsidRPr="00283806">
        <w:rPr>
          <w:w w:val="110"/>
        </w:rPr>
        <w:t>sizes would already necessitate ALD to comply with building safety codes. The commenter</w:t>
      </w:r>
      <w:r w:rsidRPr="00283806">
        <w:rPr>
          <w:spacing w:val="-6"/>
          <w:w w:val="110"/>
        </w:rPr>
        <w:t xml:space="preserve"> </w:t>
      </w:r>
      <w:r w:rsidRPr="00283806">
        <w:rPr>
          <w:w w:val="110"/>
        </w:rPr>
        <w:t>suggested</w:t>
      </w:r>
      <w:r w:rsidRPr="00283806">
        <w:rPr>
          <w:spacing w:val="-6"/>
          <w:w w:val="110"/>
        </w:rPr>
        <w:t xml:space="preserve"> </w:t>
      </w:r>
      <w:r w:rsidRPr="00283806">
        <w:rPr>
          <w:w w:val="110"/>
        </w:rPr>
        <w:t>that</w:t>
      </w:r>
      <w:r w:rsidRPr="00283806">
        <w:rPr>
          <w:spacing w:val="-6"/>
          <w:w w:val="110"/>
        </w:rPr>
        <w:t xml:space="preserve"> </w:t>
      </w:r>
      <w:r w:rsidRPr="00283806">
        <w:rPr>
          <w:w w:val="110"/>
        </w:rPr>
        <w:t>EPA</w:t>
      </w:r>
      <w:r w:rsidRPr="00283806">
        <w:rPr>
          <w:spacing w:val="-6"/>
          <w:w w:val="110"/>
        </w:rPr>
        <w:t xml:space="preserve"> </w:t>
      </w:r>
      <w:r w:rsidRPr="00283806">
        <w:rPr>
          <w:w w:val="110"/>
        </w:rPr>
        <w:t>defer</w:t>
      </w:r>
      <w:r w:rsidRPr="00283806">
        <w:rPr>
          <w:spacing w:val="-6"/>
          <w:w w:val="110"/>
        </w:rPr>
        <w:t xml:space="preserve"> </w:t>
      </w:r>
      <w:r w:rsidRPr="00283806">
        <w:rPr>
          <w:w w:val="110"/>
        </w:rPr>
        <w:t>to State</w:t>
      </w:r>
      <w:r w:rsidRPr="00283806">
        <w:rPr>
          <w:spacing w:val="-8"/>
          <w:w w:val="110"/>
        </w:rPr>
        <w:t xml:space="preserve"> </w:t>
      </w:r>
      <w:r w:rsidRPr="00283806">
        <w:rPr>
          <w:w w:val="110"/>
        </w:rPr>
        <w:t>and</w:t>
      </w:r>
      <w:r w:rsidRPr="00283806">
        <w:rPr>
          <w:spacing w:val="-8"/>
          <w:w w:val="110"/>
        </w:rPr>
        <w:t xml:space="preserve"> </w:t>
      </w:r>
      <w:r w:rsidRPr="00283806">
        <w:rPr>
          <w:w w:val="110"/>
        </w:rPr>
        <w:t>local</w:t>
      </w:r>
      <w:r w:rsidRPr="00283806">
        <w:rPr>
          <w:spacing w:val="-8"/>
          <w:w w:val="110"/>
        </w:rPr>
        <w:t xml:space="preserve"> </w:t>
      </w:r>
      <w:r w:rsidRPr="00283806">
        <w:rPr>
          <w:w w:val="110"/>
        </w:rPr>
        <w:t>building</w:t>
      </w:r>
      <w:r w:rsidRPr="00283806">
        <w:rPr>
          <w:spacing w:val="-8"/>
          <w:w w:val="110"/>
        </w:rPr>
        <w:t xml:space="preserve"> </w:t>
      </w:r>
      <w:r w:rsidRPr="00283806">
        <w:rPr>
          <w:w w:val="110"/>
        </w:rPr>
        <w:t>codes</w:t>
      </w:r>
      <w:r w:rsidRPr="00283806">
        <w:rPr>
          <w:spacing w:val="-8"/>
          <w:w w:val="110"/>
        </w:rPr>
        <w:t xml:space="preserve"> </w:t>
      </w:r>
      <w:r w:rsidRPr="00283806">
        <w:rPr>
          <w:w w:val="110"/>
        </w:rPr>
        <w:t>and</w:t>
      </w:r>
      <w:r w:rsidRPr="00283806">
        <w:rPr>
          <w:spacing w:val="-8"/>
          <w:w w:val="110"/>
        </w:rPr>
        <w:t xml:space="preserve"> </w:t>
      </w:r>
      <w:r w:rsidRPr="00283806">
        <w:rPr>
          <w:w w:val="110"/>
        </w:rPr>
        <w:t>make</w:t>
      </w:r>
    </w:p>
    <w:p w14:paraId="1F71A301" w14:textId="77777777" w:rsidR="00D67C1E" w:rsidRPr="00283806" w:rsidRDefault="001265CA">
      <w:pPr>
        <w:pStyle w:val="BodyText"/>
        <w:spacing w:before="134" w:line="228" w:lineRule="auto"/>
        <w:ind w:left="143" w:right="62"/>
      </w:pPr>
      <w:r w:rsidRPr="00283806">
        <w:br w:type="column"/>
      </w:r>
      <w:r w:rsidRPr="00283806">
        <w:rPr>
          <w:w w:val="105"/>
        </w:rPr>
        <w:t>adjustments to determine if the requirement is necessary.</w:t>
      </w:r>
    </w:p>
    <w:p w14:paraId="65870F57" w14:textId="77777777" w:rsidR="00D67C1E" w:rsidRPr="00283806" w:rsidRDefault="001265CA">
      <w:pPr>
        <w:pStyle w:val="BodyText"/>
        <w:spacing w:line="228" w:lineRule="auto"/>
        <w:ind w:left="143" w:right="59" w:firstLine="180"/>
      </w:pPr>
      <w:r w:rsidRPr="00283806">
        <w:rPr>
          <w:w w:val="105"/>
        </w:rPr>
        <w:t>Another commenter provided a case study of a leak survey on a university campus analyzing appliances with a charge size at or below 50 pounds. The commenter maintained that small-to- medium-sized appliances contributed</w:t>
      </w:r>
      <w:r w:rsidRPr="00283806">
        <w:rPr>
          <w:spacing w:val="80"/>
          <w:w w:val="105"/>
        </w:rPr>
        <w:t xml:space="preserve"> </w:t>
      </w:r>
      <w:r w:rsidRPr="00283806">
        <w:rPr>
          <w:w w:val="105"/>
        </w:rPr>
        <w:t>an unexpectedly large portion of their refrigerant emissions and that without a lower</w:t>
      </w:r>
      <w:r w:rsidRPr="00283806">
        <w:rPr>
          <w:spacing w:val="40"/>
          <w:w w:val="105"/>
        </w:rPr>
        <w:t xml:space="preserve"> </w:t>
      </w:r>
      <w:r w:rsidRPr="00283806">
        <w:rPr>
          <w:w w:val="105"/>
        </w:rPr>
        <w:t>ALD</w:t>
      </w:r>
      <w:r w:rsidRPr="00283806">
        <w:rPr>
          <w:spacing w:val="40"/>
          <w:w w:val="105"/>
        </w:rPr>
        <w:t xml:space="preserve"> </w:t>
      </w:r>
      <w:r w:rsidRPr="00283806">
        <w:rPr>
          <w:w w:val="105"/>
        </w:rPr>
        <w:t>charge</w:t>
      </w:r>
      <w:r w:rsidRPr="00283806">
        <w:rPr>
          <w:spacing w:val="40"/>
          <w:w w:val="105"/>
        </w:rPr>
        <w:t xml:space="preserve"> </w:t>
      </w:r>
      <w:r w:rsidRPr="00283806">
        <w:rPr>
          <w:w w:val="105"/>
        </w:rPr>
        <w:t>size</w:t>
      </w:r>
      <w:r w:rsidRPr="00283806">
        <w:rPr>
          <w:spacing w:val="40"/>
          <w:w w:val="105"/>
        </w:rPr>
        <w:t xml:space="preserve"> </w:t>
      </w:r>
      <w:r w:rsidRPr="00283806">
        <w:rPr>
          <w:w w:val="105"/>
        </w:rPr>
        <w:t>threshold, facility mangers would likely not</w:t>
      </w:r>
      <w:r w:rsidRPr="00283806">
        <w:rPr>
          <w:spacing w:val="40"/>
          <w:w w:val="105"/>
        </w:rPr>
        <w:t xml:space="preserve"> </w:t>
      </w:r>
      <w:r w:rsidRPr="00283806">
        <w:rPr>
          <w:w w:val="105"/>
        </w:rPr>
        <w:t xml:space="preserve">allocate sufficient resources to reducing leaks from smaller equipment. The commenter stated that ALD systems are commercially available for medium- sized cooling appliances that have a charge size much lower than 1,500 </w:t>
      </w:r>
      <w:r w:rsidRPr="00283806">
        <w:rPr>
          <w:spacing w:val="-2"/>
          <w:w w:val="105"/>
        </w:rPr>
        <w:t>pounds.</w:t>
      </w:r>
    </w:p>
    <w:p w14:paraId="09645C5E" w14:textId="77777777" w:rsidR="00D67C1E" w:rsidRPr="00283806" w:rsidRDefault="001265CA">
      <w:pPr>
        <w:spacing w:line="184" w:lineRule="exact"/>
        <w:ind w:left="143" w:firstLine="180"/>
        <w:rPr>
          <w:sz w:val="18"/>
        </w:rPr>
      </w:pPr>
      <w:r w:rsidRPr="00283806">
        <w:rPr>
          <w:rFonts w:ascii="Book Antiqua"/>
          <w:i/>
          <w:w w:val="110"/>
          <w:sz w:val="18"/>
        </w:rPr>
        <w:t>Response:</w:t>
      </w:r>
      <w:r w:rsidRPr="00283806">
        <w:rPr>
          <w:rFonts w:ascii="Book Antiqua"/>
          <w:i/>
          <w:spacing w:val="8"/>
          <w:w w:val="110"/>
          <w:sz w:val="18"/>
        </w:rPr>
        <w:t xml:space="preserve"> </w:t>
      </w:r>
      <w:r w:rsidRPr="00283806">
        <w:rPr>
          <w:w w:val="110"/>
          <w:sz w:val="18"/>
        </w:rPr>
        <w:t>The</w:t>
      </w:r>
      <w:r w:rsidRPr="00283806">
        <w:rPr>
          <w:spacing w:val="14"/>
          <w:w w:val="110"/>
          <w:sz w:val="18"/>
        </w:rPr>
        <w:t xml:space="preserve"> </w:t>
      </w:r>
      <w:r w:rsidRPr="00283806">
        <w:rPr>
          <w:w w:val="110"/>
          <w:sz w:val="18"/>
        </w:rPr>
        <w:t>Agency</w:t>
      </w:r>
      <w:r w:rsidRPr="00283806">
        <w:rPr>
          <w:spacing w:val="14"/>
          <w:w w:val="110"/>
          <w:sz w:val="18"/>
        </w:rPr>
        <w:t xml:space="preserve"> </w:t>
      </w:r>
      <w:r w:rsidRPr="00283806">
        <w:rPr>
          <w:w w:val="110"/>
          <w:sz w:val="18"/>
        </w:rPr>
        <w:t>is</w:t>
      </w:r>
      <w:r w:rsidRPr="00283806">
        <w:rPr>
          <w:spacing w:val="14"/>
          <w:w w:val="110"/>
          <w:sz w:val="18"/>
        </w:rPr>
        <w:t xml:space="preserve"> </w:t>
      </w:r>
      <w:r w:rsidRPr="00283806">
        <w:rPr>
          <w:spacing w:val="-2"/>
          <w:w w:val="110"/>
          <w:sz w:val="18"/>
        </w:rPr>
        <w:t>finalizing</w:t>
      </w:r>
    </w:p>
    <w:p w14:paraId="6A383ADE" w14:textId="77777777" w:rsidR="00D67C1E" w:rsidRPr="00283806" w:rsidRDefault="001265CA">
      <w:pPr>
        <w:pStyle w:val="BodyText"/>
        <w:spacing w:line="228" w:lineRule="auto"/>
        <w:ind w:left="143" w:right="62"/>
      </w:pPr>
      <w:r w:rsidRPr="00283806">
        <w:rPr>
          <w:w w:val="105"/>
        </w:rPr>
        <w:t>the ALD charge size threshold of 1,500 pounds for IPR and commercial refrigeration appliances that contain an HFC</w:t>
      </w:r>
      <w:r w:rsidRPr="00283806">
        <w:rPr>
          <w:spacing w:val="16"/>
          <w:w w:val="105"/>
        </w:rPr>
        <w:t xml:space="preserve"> </w:t>
      </w:r>
      <w:r w:rsidRPr="00283806">
        <w:rPr>
          <w:w w:val="105"/>
        </w:rPr>
        <w:t>or</w:t>
      </w:r>
      <w:r w:rsidRPr="00283806">
        <w:rPr>
          <w:spacing w:val="16"/>
          <w:w w:val="105"/>
        </w:rPr>
        <w:t xml:space="preserve"> </w:t>
      </w:r>
      <w:r w:rsidRPr="00283806">
        <w:rPr>
          <w:w w:val="105"/>
        </w:rPr>
        <w:t>HFC</w:t>
      </w:r>
      <w:r w:rsidRPr="00283806">
        <w:rPr>
          <w:spacing w:val="16"/>
          <w:w w:val="105"/>
        </w:rPr>
        <w:t xml:space="preserve"> </w:t>
      </w:r>
      <w:r w:rsidRPr="00283806">
        <w:rPr>
          <w:w w:val="105"/>
        </w:rPr>
        <w:t>substitute</w:t>
      </w:r>
      <w:r w:rsidRPr="00283806">
        <w:rPr>
          <w:spacing w:val="16"/>
          <w:w w:val="105"/>
        </w:rPr>
        <w:t xml:space="preserve"> </w:t>
      </w:r>
      <w:r w:rsidRPr="00283806">
        <w:rPr>
          <w:w w:val="105"/>
        </w:rPr>
        <w:t>above</w:t>
      </w:r>
      <w:r w:rsidRPr="00283806">
        <w:rPr>
          <w:spacing w:val="16"/>
          <w:w w:val="105"/>
        </w:rPr>
        <w:t xml:space="preserve"> </w:t>
      </w:r>
      <w:r w:rsidRPr="00283806">
        <w:rPr>
          <w:w w:val="105"/>
        </w:rPr>
        <w:t>a</w:t>
      </w:r>
      <w:r w:rsidRPr="00283806">
        <w:rPr>
          <w:spacing w:val="16"/>
          <w:w w:val="105"/>
        </w:rPr>
        <w:t xml:space="preserve"> </w:t>
      </w:r>
      <w:r w:rsidRPr="00283806">
        <w:rPr>
          <w:w w:val="105"/>
        </w:rPr>
        <w:t>GWP</w:t>
      </w:r>
      <w:r w:rsidRPr="00283806">
        <w:rPr>
          <w:spacing w:val="16"/>
          <w:w w:val="105"/>
        </w:rPr>
        <w:t xml:space="preserve"> </w:t>
      </w:r>
      <w:r w:rsidRPr="00283806">
        <w:rPr>
          <w:spacing w:val="-5"/>
          <w:w w:val="105"/>
        </w:rPr>
        <w:t>of</w:t>
      </w:r>
    </w:p>
    <w:p w14:paraId="0A3743BF" w14:textId="77777777" w:rsidR="00D67C1E" w:rsidRPr="00283806" w:rsidRDefault="001265CA">
      <w:pPr>
        <w:pStyle w:val="BodyText"/>
        <w:spacing w:line="228" w:lineRule="auto"/>
        <w:ind w:left="143" w:right="58"/>
      </w:pPr>
      <w:r w:rsidRPr="00283806">
        <w:rPr>
          <w:w w:val="105"/>
        </w:rPr>
        <w:t xml:space="preserve">53. The 1,500-pounds threshold applies to a large group of commercial refrigeration and IPR appliances that have </w:t>
      </w:r>
      <w:proofErr w:type="gramStart"/>
      <w:r w:rsidRPr="00283806">
        <w:rPr>
          <w:w w:val="105"/>
        </w:rPr>
        <w:t>a high</w:t>
      </w:r>
      <w:proofErr w:type="gramEnd"/>
      <w:r w:rsidRPr="00283806">
        <w:rPr>
          <w:w w:val="105"/>
        </w:rPr>
        <w:t xml:space="preserve"> potential to leak large amounts of refrigerant. EPA considered various options in the proposal and informed by the comments finds the 1,500-pound charge size threshold to be appropriate. The Agency acknowledges numerous comments in support of the </w:t>
      </w:r>
      <w:r w:rsidRPr="00283806">
        <w:rPr>
          <w:spacing w:val="-2"/>
          <w:w w:val="105"/>
        </w:rPr>
        <w:t>provision.</w:t>
      </w:r>
    </w:p>
    <w:p w14:paraId="052EBBD9" w14:textId="77777777" w:rsidR="00D67C1E" w:rsidRPr="00283806" w:rsidRDefault="001265CA">
      <w:pPr>
        <w:pStyle w:val="BodyText"/>
        <w:spacing w:line="182" w:lineRule="exact"/>
        <w:ind w:left="323"/>
      </w:pPr>
      <w:r w:rsidRPr="00283806">
        <w:rPr>
          <w:w w:val="105"/>
        </w:rPr>
        <w:t>The</w:t>
      </w:r>
      <w:r w:rsidRPr="00283806">
        <w:rPr>
          <w:spacing w:val="15"/>
          <w:w w:val="105"/>
        </w:rPr>
        <w:t xml:space="preserve"> </w:t>
      </w:r>
      <w:r w:rsidRPr="00283806">
        <w:rPr>
          <w:w w:val="105"/>
        </w:rPr>
        <w:t>Agency</w:t>
      </w:r>
      <w:r w:rsidRPr="00283806">
        <w:rPr>
          <w:spacing w:val="15"/>
          <w:w w:val="105"/>
        </w:rPr>
        <w:t xml:space="preserve"> </w:t>
      </w:r>
      <w:r w:rsidRPr="00283806">
        <w:rPr>
          <w:w w:val="105"/>
        </w:rPr>
        <w:t>disagrees</w:t>
      </w:r>
      <w:r w:rsidRPr="00283806">
        <w:rPr>
          <w:spacing w:val="15"/>
          <w:w w:val="105"/>
        </w:rPr>
        <w:t xml:space="preserve"> </w:t>
      </w:r>
      <w:r w:rsidRPr="00283806">
        <w:rPr>
          <w:w w:val="105"/>
        </w:rPr>
        <w:t>with</w:t>
      </w:r>
      <w:r w:rsidRPr="00283806">
        <w:rPr>
          <w:spacing w:val="15"/>
          <w:w w:val="105"/>
        </w:rPr>
        <w:t xml:space="preserve"> </w:t>
      </w:r>
      <w:r w:rsidRPr="00283806">
        <w:rPr>
          <w:spacing w:val="-5"/>
          <w:w w:val="105"/>
        </w:rPr>
        <w:t>the</w:t>
      </w:r>
    </w:p>
    <w:p w14:paraId="6CE935EB" w14:textId="77777777" w:rsidR="00D67C1E" w:rsidRPr="00283806" w:rsidRDefault="001265CA">
      <w:pPr>
        <w:pStyle w:val="BodyText"/>
        <w:spacing w:line="228" w:lineRule="auto"/>
        <w:ind w:left="143" w:right="62"/>
      </w:pPr>
      <w:r w:rsidRPr="00283806">
        <w:rPr>
          <w:w w:val="105"/>
        </w:rPr>
        <w:t>comment that the ALD charge size threshold will be overly burdensome for supermarket refrigeration systems.</w:t>
      </w:r>
    </w:p>
    <w:p w14:paraId="49C65A27" w14:textId="77777777" w:rsidR="00D67C1E" w:rsidRPr="00283806" w:rsidRDefault="001265CA">
      <w:pPr>
        <w:pStyle w:val="BodyText"/>
        <w:spacing w:line="228" w:lineRule="auto"/>
        <w:ind w:left="143" w:right="66"/>
      </w:pPr>
      <w:r w:rsidRPr="00283806">
        <w:rPr>
          <w:w w:val="105"/>
        </w:rPr>
        <w:t>Supermarket systems will uniquely benefit from the inclusion of ALD as a large majority of supermarkets utilize commercial refrigeration appliances with a charge size at or above 1,500 pounds and that, as this commenter noted and is discussed in section</w:t>
      </w:r>
      <w:r w:rsidRPr="00283806">
        <w:rPr>
          <w:spacing w:val="40"/>
          <w:w w:val="105"/>
        </w:rPr>
        <w:t xml:space="preserve"> </w:t>
      </w:r>
      <w:r w:rsidRPr="00283806">
        <w:rPr>
          <w:w w:val="105"/>
        </w:rPr>
        <w:t>IV.C.3.b,</w:t>
      </w:r>
      <w:r w:rsidRPr="00283806">
        <w:rPr>
          <w:spacing w:val="38"/>
          <w:w w:val="105"/>
        </w:rPr>
        <w:t xml:space="preserve"> </w:t>
      </w:r>
      <w:r w:rsidRPr="00283806">
        <w:rPr>
          <w:w w:val="105"/>
        </w:rPr>
        <w:t>have</w:t>
      </w:r>
      <w:r w:rsidRPr="00283806">
        <w:rPr>
          <w:spacing w:val="38"/>
          <w:w w:val="105"/>
        </w:rPr>
        <w:t xml:space="preserve"> </w:t>
      </w:r>
      <w:r w:rsidRPr="00283806">
        <w:rPr>
          <w:w w:val="105"/>
        </w:rPr>
        <w:t>a</w:t>
      </w:r>
      <w:r w:rsidRPr="00283806">
        <w:rPr>
          <w:spacing w:val="38"/>
          <w:w w:val="105"/>
        </w:rPr>
        <w:t xml:space="preserve"> </w:t>
      </w:r>
      <w:r w:rsidRPr="00283806">
        <w:rPr>
          <w:w w:val="105"/>
        </w:rPr>
        <w:t>high</w:t>
      </w:r>
      <w:r w:rsidRPr="00283806">
        <w:rPr>
          <w:spacing w:val="38"/>
          <w:w w:val="105"/>
        </w:rPr>
        <w:t xml:space="preserve"> </w:t>
      </w:r>
      <w:r w:rsidRPr="00283806">
        <w:rPr>
          <w:w w:val="105"/>
        </w:rPr>
        <w:t>average</w:t>
      </w:r>
      <w:r w:rsidRPr="00283806">
        <w:rPr>
          <w:spacing w:val="38"/>
          <w:w w:val="105"/>
        </w:rPr>
        <w:t xml:space="preserve"> </w:t>
      </w:r>
      <w:r w:rsidRPr="00283806">
        <w:rPr>
          <w:w w:val="105"/>
        </w:rPr>
        <w:t>leak</w:t>
      </w:r>
      <w:r w:rsidRPr="00283806">
        <w:rPr>
          <w:spacing w:val="38"/>
          <w:w w:val="105"/>
        </w:rPr>
        <w:t xml:space="preserve"> </w:t>
      </w:r>
      <w:r w:rsidRPr="00283806">
        <w:rPr>
          <w:w w:val="105"/>
        </w:rPr>
        <w:t>rate of 25 percent.</w:t>
      </w:r>
      <w:r w:rsidRPr="00283806">
        <w:rPr>
          <w:w w:val="105"/>
          <w:position w:val="5"/>
          <w:sz w:val="11"/>
        </w:rPr>
        <w:t>81</w:t>
      </w:r>
      <w:r w:rsidRPr="00283806">
        <w:rPr>
          <w:spacing w:val="32"/>
          <w:w w:val="105"/>
          <w:position w:val="5"/>
          <w:sz w:val="11"/>
        </w:rPr>
        <w:t xml:space="preserve"> </w:t>
      </w:r>
      <w:r w:rsidRPr="00283806">
        <w:rPr>
          <w:w w:val="105"/>
        </w:rPr>
        <w:t>Early identification and repair of leaks may save owners and operators money on the costs of</w:t>
      </w:r>
    </w:p>
    <w:p w14:paraId="597D65A7" w14:textId="77777777" w:rsidR="00D67C1E" w:rsidRPr="00283806" w:rsidRDefault="001265CA">
      <w:pPr>
        <w:pStyle w:val="BodyText"/>
        <w:spacing w:line="228" w:lineRule="auto"/>
        <w:ind w:left="143"/>
      </w:pPr>
      <w:r w:rsidRPr="00283806">
        <w:rPr>
          <w:w w:val="105"/>
        </w:rPr>
        <w:t>refrigerant, which would have otherwise been lost until an owner or operator noticed a decline in performance and added refrigerant. Early detection of refrigerant leaks may also lead to some other savings that are not accounted for in the analysis presented in the</w:t>
      </w:r>
      <w:r w:rsidRPr="00283806">
        <w:rPr>
          <w:spacing w:val="80"/>
          <w:w w:val="105"/>
        </w:rPr>
        <w:t xml:space="preserve"> </w:t>
      </w:r>
      <w:r w:rsidRPr="00283806">
        <w:rPr>
          <w:w w:val="105"/>
        </w:rPr>
        <w:t>Economic</w:t>
      </w:r>
      <w:r w:rsidRPr="00283806">
        <w:rPr>
          <w:spacing w:val="40"/>
          <w:w w:val="105"/>
        </w:rPr>
        <w:t xml:space="preserve"> </w:t>
      </w:r>
      <w:r w:rsidRPr="00283806">
        <w:rPr>
          <w:w w:val="105"/>
        </w:rPr>
        <w:t>Impact</w:t>
      </w:r>
      <w:r w:rsidRPr="00283806">
        <w:rPr>
          <w:spacing w:val="40"/>
          <w:w w:val="105"/>
        </w:rPr>
        <w:t xml:space="preserve"> </w:t>
      </w:r>
      <w:r w:rsidRPr="00283806">
        <w:rPr>
          <w:w w:val="105"/>
        </w:rPr>
        <w:t>and</w:t>
      </w:r>
      <w:r w:rsidRPr="00283806">
        <w:rPr>
          <w:spacing w:val="40"/>
          <w:w w:val="105"/>
        </w:rPr>
        <w:t xml:space="preserve"> </w:t>
      </w:r>
      <w:r w:rsidRPr="00283806">
        <w:rPr>
          <w:w w:val="105"/>
        </w:rPr>
        <w:t>Benefits</w:t>
      </w:r>
      <w:r w:rsidRPr="00283806">
        <w:rPr>
          <w:spacing w:val="40"/>
          <w:w w:val="105"/>
        </w:rPr>
        <w:t xml:space="preserve"> </w:t>
      </w:r>
      <w:r w:rsidRPr="00283806">
        <w:rPr>
          <w:w w:val="105"/>
        </w:rPr>
        <w:t>TSD, such as prolonged life of equipment and reduced spoilage of food or other temperature-sensitive items contained</w:t>
      </w:r>
      <w:r w:rsidRPr="00283806">
        <w:rPr>
          <w:spacing w:val="80"/>
          <w:w w:val="105"/>
        </w:rPr>
        <w:t xml:space="preserve"> </w:t>
      </w:r>
      <w:r w:rsidRPr="00283806">
        <w:rPr>
          <w:w w:val="105"/>
        </w:rPr>
        <w:t>in</w:t>
      </w:r>
      <w:r w:rsidRPr="00283806">
        <w:rPr>
          <w:spacing w:val="-2"/>
          <w:w w:val="105"/>
        </w:rPr>
        <w:t xml:space="preserve"> </w:t>
      </w:r>
      <w:r w:rsidRPr="00283806">
        <w:rPr>
          <w:w w:val="105"/>
        </w:rPr>
        <w:t>or</w:t>
      </w:r>
      <w:r w:rsidRPr="00283806">
        <w:rPr>
          <w:spacing w:val="-2"/>
          <w:w w:val="105"/>
        </w:rPr>
        <w:t xml:space="preserve"> </w:t>
      </w:r>
      <w:r w:rsidRPr="00283806">
        <w:rPr>
          <w:w w:val="105"/>
        </w:rPr>
        <w:t>processed</w:t>
      </w:r>
      <w:r w:rsidRPr="00283806">
        <w:rPr>
          <w:spacing w:val="-2"/>
          <w:w w:val="105"/>
        </w:rPr>
        <w:t xml:space="preserve"> </w:t>
      </w:r>
      <w:r w:rsidRPr="00283806">
        <w:rPr>
          <w:w w:val="105"/>
        </w:rPr>
        <w:t>by</w:t>
      </w:r>
      <w:r w:rsidRPr="00283806">
        <w:rPr>
          <w:spacing w:val="-2"/>
          <w:w w:val="105"/>
        </w:rPr>
        <w:t xml:space="preserve"> </w:t>
      </w:r>
      <w:r w:rsidRPr="00283806">
        <w:rPr>
          <w:w w:val="105"/>
        </w:rPr>
        <w:t>refrigerant-containing appliances. EPA notes that the commenter did not provide adequate</w:t>
      </w:r>
    </w:p>
    <w:p w14:paraId="3AB1AF8E" w14:textId="77777777" w:rsidR="00D67C1E" w:rsidRPr="00283806" w:rsidRDefault="001265CA">
      <w:pPr>
        <w:pStyle w:val="BodyText"/>
        <w:spacing w:before="10"/>
        <w:ind w:left="0"/>
        <w:rPr>
          <w:sz w:val="10"/>
        </w:rPr>
      </w:pPr>
      <w:r w:rsidRPr="00283806">
        <w:rPr>
          <w:noProof/>
        </w:rPr>
        <mc:AlternateContent>
          <mc:Choice Requires="wps">
            <w:drawing>
              <wp:anchor distT="0" distB="0" distL="0" distR="0" simplePos="0" relativeHeight="251642880" behindDoc="1" locked="0" layoutInCell="1" allowOverlap="1" wp14:anchorId="5E09A7E4" wp14:editId="5FC59175">
                <wp:simplePos x="0" y="0"/>
                <wp:positionH relativeFrom="page">
                  <wp:posOffset>2819400</wp:posOffset>
                </wp:positionH>
                <wp:positionV relativeFrom="paragraph">
                  <wp:posOffset>96616</wp:posOffset>
                </wp:positionV>
                <wp:extent cx="635000" cy="1270"/>
                <wp:effectExtent l="0" t="0" r="0" b="0"/>
                <wp:wrapTopAndBottom/>
                <wp:docPr id="74" name="Graphic 7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F47E634" id="Graphic 74" o:spid="_x0000_s1026" alt="&quot;&quot;" style="position:absolute;margin-left:222pt;margin-top:7.6pt;width:50pt;height:.1pt;z-index:-251673600;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" path="m,l635000,e" filled="f" strokeweight=".5pt">
                <v:path arrowok="t"/>
                <w10:wrap type="topAndBottom" anchorx="page"/>
              </v:shape>
            </w:pict>
          </mc:Fallback>
        </mc:AlternateContent>
      </w:r>
    </w:p>
    <w:p w14:paraId="4DA8A60A" w14:textId="77777777" w:rsidR="00D67C1E" w:rsidRPr="00283806" w:rsidRDefault="001265CA">
      <w:pPr>
        <w:spacing w:before="36" w:line="162" w:lineRule="exact"/>
        <w:ind w:left="283"/>
        <w:rPr>
          <w:sz w:val="14"/>
        </w:rPr>
      </w:pPr>
      <w:r w:rsidRPr="00283806">
        <w:rPr>
          <w:w w:val="110"/>
          <w:position w:val="4"/>
          <w:sz w:val="9"/>
        </w:rPr>
        <w:t>81</w:t>
      </w:r>
      <w:r w:rsidRPr="00283806">
        <w:rPr>
          <w:spacing w:val="-3"/>
          <w:w w:val="110"/>
          <w:position w:val="4"/>
          <w:sz w:val="9"/>
        </w:rPr>
        <w:t xml:space="preserve"> </w:t>
      </w:r>
      <w:r w:rsidRPr="00283806">
        <w:rPr>
          <w:w w:val="110"/>
          <w:sz w:val="14"/>
        </w:rPr>
        <w:t>See</w:t>
      </w:r>
      <w:r w:rsidRPr="00283806">
        <w:rPr>
          <w:spacing w:val="-1"/>
          <w:w w:val="110"/>
          <w:sz w:val="14"/>
        </w:rPr>
        <w:t xml:space="preserve"> </w:t>
      </w:r>
      <w:r w:rsidRPr="00283806">
        <w:rPr>
          <w:w w:val="110"/>
          <w:sz w:val="14"/>
        </w:rPr>
        <w:t>comment</w:t>
      </w:r>
      <w:r w:rsidRPr="00283806">
        <w:rPr>
          <w:spacing w:val="-1"/>
          <w:w w:val="110"/>
          <w:sz w:val="14"/>
        </w:rPr>
        <w:t xml:space="preserve"> </w:t>
      </w:r>
      <w:r w:rsidRPr="00283806">
        <w:rPr>
          <w:w w:val="110"/>
          <w:sz w:val="14"/>
        </w:rPr>
        <w:t>ID</w:t>
      </w:r>
      <w:r w:rsidRPr="00283806">
        <w:rPr>
          <w:spacing w:val="-1"/>
          <w:w w:val="110"/>
          <w:sz w:val="14"/>
        </w:rPr>
        <w:t xml:space="preserve"> </w:t>
      </w:r>
      <w:r w:rsidRPr="00283806">
        <w:rPr>
          <w:spacing w:val="-2"/>
          <w:w w:val="110"/>
          <w:sz w:val="14"/>
        </w:rPr>
        <w:t>EPA–HQ–OAR–2022–0606–</w:t>
      </w:r>
    </w:p>
    <w:p w14:paraId="59F6A419" w14:textId="75AFA6EB" w:rsidR="00D67C1E" w:rsidRPr="00283806" w:rsidRDefault="001265CA">
      <w:pPr>
        <w:spacing w:before="3" w:line="230" w:lineRule="auto"/>
        <w:ind w:left="143" w:right="90"/>
        <w:rPr>
          <w:sz w:val="14"/>
        </w:rPr>
      </w:pPr>
      <w:r w:rsidRPr="00283806">
        <w:rPr>
          <w:spacing w:val="-2"/>
          <w:w w:val="110"/>
          <w:sz w:val="14"/>
        </w:rPr>
        <w:t>0138</w:t>
      </w:r>
      <w:r w:rsidRPr="00283806">
        <w:rPr>
          <w:spacing w:val="-3"/>
          <w:w w:val="110"/>
          <w:sz w:val="14"/>
        </w:rPr>
        <w:t xml:space="preserve"> </w:t>
      </w:r>
      <w:r w:rsidRPr="00283806">
        <w:rPr>
          <w:spacing w:val="-2"/>
          <w:w w:val="110"/>
          <w:sz w:val="14"/>
        </w:rPr>
        <w:t>in</w:t>
      </w:r>
      <w:r w:rsidRPr="00283806">
        <w:rPr>
          <w:spacing w:val="-3"/>
          <w:w w:val="110"/>
          <w:sz w:val="14"/>
        </w:rPr>
        <w:t xml:space="preserve"> </w:t>
      </w:r>
      <w:r w:rsidRPr="00283806">
        <w:rPr>
          <w:spacing w:val="-2"/>
          <w:w w:val="110"/>
          <w:sz w:val="14"/>
        </w:rPr>
        <w:t>the</w:t>
      </w:r>
      <w:r w:rsidRPr="00283806">
        <w:rPr>
          <w:spacing w:val="-3"/>
          <w:w w:val="110"/>
          <w:sz w:val="14"/>
        </w:rPr>
        <w:t xml:space="preserve"> </w:t>
      </w:r>
      <w:r w:rsidRPr="00283806">
        <w:rPr>
          <w:spacing w:val="-2"/>
          <w:w w:val="110"/>
          <w:sz w:val="14"/>
        </w:rPr>
        <w:t>docket</w:t>
      </w:r>
      <w:r w:rsidRPr="00283806">
        <w:rPr>
          <w:spacing w:val="-3"/>
          <w:w w:val="110"/>
          <w:sz w:val="14"/>
        </w:rPr>
        <w:t xml:space="preserve"> </w:t>
      </w:r>
      <w:r w:rsidRPr="00283806">
        <w:rPr>
          <w:spacing w:val="-2"/>
          <w:w w:val="110"/>
          <w:sz w:val="14"/>
        </w:rPr>
        <w:t>for</w:t>
      </w:r>
      <w:r w:rsidRPr="00283806">
        <w:rPr>
          <w:spacing w:val="-3"/>
          <w:w w:val="110"/>
          <w:sz w:val="14"/>
        </w:rPr>
        <w:t xml:space="preserve"> </w:t>
      </w:r>
      <w:r w:rsidRPr="00283806">
        <w:rPr>
          <w:spacing w:val="-2"/>
          <w:w w:val="110"/>
          <w:sz w:val="14"/>
        </w:rPr>
        <w:t>this</w:t>
      </w:r>
      <w:r w:rsidRPr="00283806">
        <w:rPr>
          <w:spacing w:val="-3"/>
          <w:w w:val="110"/>
          <w:sz w:val="14"/>
        </w:rPr>
        <w:t xml:space="preserve"> </w:t>
      </w:r>
      <w:r w:rsidRPr="00283806">
        <w:rPr>
          <w:spacing w:val="-2"/>
          <w:w w:val="110"/>
          <w:sz w:val="14"/>
        </w:rPr>
        <w:t>rulemaking,</w:t>
      </w:r>
      <w:r w:rsidRPr="00283806">
        <w:rPr>
          <w:spacing w:val="-3"/>
          <w:w w:val="110"/>
          <w:sz w:val="14"/>
        </w:rPr>
        <w:t xml:space="preserve"> </w:t>
      </w:r>
      <w:r w:rsidRPr="00283806">
        <w:rPr>
          <w:spacing w:val="-2"/>
          <w:w w:val="110"/>
          <w:sz w:val="14"/>
        </w:rPr>
        <w:t>available</w:t>
      </w:r>
      <w:r w:rsidRPr="00283806">
        <w:rPr>
          <w:spacing w:val="-3"/>
          <w:w w:val="110"/>
          <w:sz w:val="14"/>
        </w:rPr>
        <w:t xml:space="preserve"> </w:t>
      </w:r>
      <w:r w:rsidRPr="00283806">
        <w:rPr>
          <w:spacing w:val="-2"/>
          <w:w w:val="110"/>
          <w:sz w:val="14"/>
        </w:rPr>
        <w:t>at</w:t>
      </w:r>
      <w:r w:rsidRPr="00283806">
        <w:rPr>
          <w:spacing w:val="40"/>
          <w:w w:val="110"/>
          <w:sz w:val="14"/>
        </w:rPr>
        <w:t xml:space="preserve"> </w:t>
      </w:r>
      <w:r w:rsidRPr="00283806">
        <w:rPr>
          <w:rFonts w:ascii="Book Antiqua"/>
          <w:i/>
          <w:spacing w:val="-2"/>
          <w:w w:val="110"/>
          <w:sz w:val="14"/>
        </w:rPr>
        <w:t>https://www.regulations.gov/comment/EPA-HQ-</w:t>
      </w:r>
      <w:r w:rsidRPr="00283806">
        <w:rPr>
          <w:rFonts w:ascii="Book Antiqua"/>
          <w:i/>
          <w:spacing w:val="40"/>
          <w:w w:val="110"/>
          <w:sz w:val="14"/>
        </w:rPr>
        <w:t xml:space="preserve"> </w:t>
      </w:r>
      <w:r w:rsidRPr="00283806">
        <w:rPr>
          <w:rFonts w:ascii="Book Antiqua"/>
          <w:i/>
          <w:spacing w:val="-2"/>
          <w:w w:val="110"/>
          <w:sz w:val="14"/>
        </w:rPr>
        <w:t>OAR-2022-0606-0138</w:t>
      </w:r>
      <w:r w:rsidRPr="00283806">
        <w:rPr>
          <w:spacing w:val="-2"/>
          <w:w w:val="110"/>
          <w:sz w:val="14"/>
        </w:rPr>
        <w:t>.</w:t>
      </w:r>
    </w:p>
    <w:p w14:paraId="66024472" w14:textId="77777777" w:rsidR="00D67C1E" w:rsidRPr="00283806" w:rsidRDefault="001265CA">
      <w:pPr>
        <w:pStyle w:val="BodyText"/>
        <w:spacing w:before="134" w:line="228" w:lineRule="auto"/>
        <w:ind w:left="143" w:right="121"/>
      </w:pPr>
      <w:r w:rsidRPr="00283806">
        <w:br w:type="column"/>
      </w:r>
      <w:r w:rsidRPr="00283806">
        <w:rPr>
          <w:w w:val="105"/>
        </w:rPr>
        <w:t>data to suggest that the retail food industry would be significantly</w:t>
      </w:r>
      <w:r w:rsidRPr="00283806">
        <w:rPr>
          <w:spacing w:val="80"/>
          <w:w w:val="105"/>
        </w:rPr>
        <w:t xml:space="preserve"> </w:t>
      </w:r>
      <w:r w:rsidRPr="00283806">
        <w:rPr>
          <w:w w:val="105"/>
        </w:rPr>
        <w:t>burdened by the provision. EPA recognizes that there are compliance costs and benefits associated with the ALD</w:t>
      </w:r>
      <w:r w:rsidRPr="00283806">
        <w:rPr>
          <w:spacing w:val="40"/>
          <w:w w:val="105"/>
        </w:rPr>
        <w:t xml:space="preserve"> </w:t>
      </w:r>
      <w:r w:rsidRPr="00283806">
        <w:rPr>
          <w:w w:val="105"/>
        </w:rPr>
        <w:t>provision,</w:t>
      </w:r>
      <w:r w:rsidRPr="00283806">
        <w:rPr>
          <w:spacing w:val="40"/>
          <w:w w:val="105"/>
        </w:rPr>
        <w:t xml:space="preserve"> </w:t>
      </w:r>
      <w:proofErr w:type="gramStart"/>
      <w:r w:rsidRPr="00283806">
        <w:rPr>
          <w:w w:val="105"/>
        </w:rPr>
        <w:t>including</w:t>
      </w:r>
      <w:r w:rsidRPr="00283806">
        <w:rPr>
          <w:spacing w:val="40"/>
          <w:w w:val="105"/>
        </w:rPr>
        <w:t xml:space="preserve"> </w:t>
      </w:r>
      <w:r w:rsidRPr="00283806">
        <w:rPr>
          <w:w w:val="105"/>
        </w:rPr>
        <w:t>from</w:t>
      </w:r>
      <w:proofErr w:type="gramEnd"/>
      <w:r w:rsidRPr="00283806">
        <w:rPr>
          <w:spacing w:val="80"/>
          <w:w w:val="105"/>
        </w:rPr>
        <w:t xml:space="preserve"> </w:t>
      </w:r>
      <w:r w:rsidRPr="00283806">
        <w:rPr>
          <w:w w:val="105"/>
        </w:rPr>
        <w:t>detecting and repairing leaks early. EPA also acknowledges that supermarkets</w:t>
      </w:r>
      <w:r w:rsidRPr="00283806">
        <w:rPr>
          <w:spacing w:val="80"/>
          <w:w w:val="105"/>
        </w:rPr>
        <w:t xml:space="preserve"> </w:t>
      </w:r>
      <w:r w:rsidRPr="00283806">
        <w:rPr>
          <w:w w:val="105"/>
        </w:rPr>
        <w:t>are moving to smaller charge sizes. By including</w:t>
      </w:r>
      <w:r w:rsidRPr="00283806">
        <w:rPr>
          <w:spacing w:val="40"/>
          <w:w w:val="105"/>
        </w:rPr>
        <w:t xml:space="preserve"> </w:t>
      </w:r>
      <w:r w:rsidRPr="00283806">
        <w:rPr>
          <w:w w:val="105"/>
        </w:rPr>
        <w:t>only</w:t>
      </w:r>
      <w:r w:rsidRPr="00283806">
        <w:rPr>
          <w:spacing w:val="40"/>
          <w:w w:val="105"/>
        </w:rPr>
        <w:t xml:space="preserve"> </w:t>
      </w:r>
      <w:r w:rsidRPr="00283806">
        <w:rPr>
          <w:w w:val="105"/>
        </w:rPr>
        <w:t>appliances</w:t>
      </w:r>
      <w:r w:rsidRPr="00283806">
        <w:rPr>
          <w:spacing w:val="40"/>
          <w:w w:val="105"/>
        </w:rPr>
        <w:t xml:space="preserve"> </w:t>
      </w:r>
      <w:r w:rsidRPr="00283806">
        <w:rPr>
          <w:w w:val="105"/>
        </w:rPr>
        <w:t>installed</w:t>
      </w:r>
      <w:r w:rsidRPr="00283806">
        <w:rPr>
          <w:spacing w:val="40"/>
          <w:w w:val="105"/>
        </w:rPr>
        <w:t xml:space="preserve"> </w:t>
      </w:r>
      <w:r w:rsidRPr="00283806">
        <w:rPr>
          <w:w w:val="105"/>
        </w:rPr>
        <w:t>on or after January 1, 2017, the Agency is finalizing an approach that excludes refrigerant-containing appliances that</w:t>
      </w:r>
      <w:r w:rsidRPr="00283806">
        <w:rPr>
          <w:spacing w:val="40"/>
          <w:w w:val="105"/>
        </w:rPr>
        <w:t xml:space="preserve"> </w:t>
      </w:r>
      <w:r w:rsidRPr="00283806">
        <w:rPr>
          <w:w w:val="105"/>
        </w:rPr>
        <w:t>are closer to said appliance’s EOL, providing owners or operators</w:t>
      </w:r>
      <w:r w:rsidRPr="00283806">
        <w:rPr>
          <w:spacing w:val="80"/>
          <w:w w:val="105"/>
        </w:rPr>
        <w:t xml:space="preserve"> </w:t>
      </w:r>
      <w:r w:rsidRPr="00283806">
        <w:rPr>
          <w:w w:val="105"/>
        </w:rPr>
        <w:t>additional flexibility. EPA also disagrees with one commenter’s suggestion to require ALD based on high annual leak rates. The commenter claims that this would accurately target leak-prone appliances and reduce the burden on</w:t>
      </w:r>
      <w:r w:rsidRPr="00283806">
        <w:rPr>
          <w:spacing w:val="40"/>
          <w:w w:val="105"/>
        </w:rPr>
        <w:t xml:space="preserve"> </w:t>
      </w:r>
      <w:r w:rsidRPr="00283806">
        <w:rPr>
          <w:w w:val="105"/>
        </w:rPr>
        <w:t>non-leaky equipment. EPA disagrees</w:t>
      </w:r>
      <w:r w:rsidRPr="00283806">
        <w:rPr>
          <w:spacing w:val="80"/>
          <w:w w:val="150"/>
        </w:rPr>
        <w:t xml:space="preserve"> </w:t>
      </w:r>
      <w:r w:rsidRPr="00283806">
        <w:rPr>
          <w:w w:val="105"/>
        </w:rPr>
        <w:t>that this approach would function better than the final rule’s inclusion of IPR and commercial refrigeration appliances</w:t>
      </w:r>
      <w:r w:rsidRPr="00283806">
        <w:rPr>
          <w:spacing w:val="80"/>
          <w:w w:val="105"/>
        </w:rPr>
        <w:t xml:space="preserve"> </w:t>
      </w:r>
      <w:r w:rsidRPr="00283806">
        <w:rPr>
          <w:w w:val="105"/>
        </w:rPr>
        <w:t>with a charge size at or above 1,500 pounds.</w:t>
      </w:r>
      <w:r w:rsidRPr="00283806">
        <w:rPr>
          <w:spacing w:val="40"/>
          <w:w w:val="105"/>
        </w:rPr>
        <w:t xml:space="preserve"> </w:t>
      </w:r>
      <w:r w:rsidRPr="00283806">
        <w:rPr>
          <w:w w:val="105"/>
        </w:rPr>
        <w:t>The</w:t>
      </w:r>
      <w:r w:rsidRPr="00283806">
        <w:rPr>
          <w:spacing w:val="40"/>
          <w:w w:val="105"/>
        </w:rPr>
        <w:t xml:space="preserve"> </w:t>
      </w:r>
      <w:r w:rsidRPr="00283806">
        <w:rPr>
          <w:w w:val="105"/>
        </w:rPr>
        <w:t>commenter’s</w:t>
      </w:r>
      <w:r w:rsidRPr="00283806">
        <w:rPr>
          <w:spacing w:val="40"/>
          <w:w w:val="105"/>
        </w:rPr>
        <w:t xml:space="preserve"> </w:t>
      </w:r>
      <w:r w:rsidRPr="00283806">
        <w:rPr>
          <w:w w:val="105"/>
        </w:rPr>
        <w:t>approach</w:t>
      </w:r>
      <w:r w:rsidRPr="00283806">
        <w:rPr>
          <w:spacing w:val="40"/>
          <w:w w:val="105"/>
        </w:rPr>
        <w:t xml:space="preserve"> </w:t>
      </w:r>
      <w:r w:rsidRPr="00283806">
        <w:rPr>
          <w:w w:val="105"/>
        </w:rPr>
        <w:t>is an interesting alternative that would use a triggering event to denote which appliances are to be subject to the requirements. However, as mentioned in the response to comments on the supermarket sector, the referenced 25 percent average leak rate would mean</w:t>
      </w:r>
      <w:r w:rsidRPr="00283806">
        <w:rPr>
          <w:spacing w:val="80"/>
          <w:w w:val="105"/>
        </w:rPr>
        <w:t xml:space="preserve"> </w:t>
      </w:r>
      <w:r w:rsidRPr="00283806">
        <w:rPr>
          <w:w w:val="105"/>
        </w:rPr>
        <w:t xml:space="preserve">on average the supermarket </w:t>
      </w:r>
      <w:proofErr w:type="gramStart"/>
      <w:r w:rsidRPr="00283806">
        <w:rPr>
          <w:w w:val="105"/>
        </w:rPr>
        <w:t>sector typically</w:t>
      </w:r>
      <w:proofErr w:type="gramEnd"/>
      <w:r w:rsidRPr="00283806">
        <w:rPr>
          <w:w w:val="105"/>
        </w:rPr>
        <w:t xml:space="preserve"> would exceed the triggering event suggested by this commenter.</w:t>
      </w:r>
    </w:p>
    <w:p w14:paraId="0008C2CD" w14:textId="77777777" w:rsidR="00D67C1E" w:rsidRPr="00283806" w:rsidRDefault="001265CA">
      <w:pPr>
        <w:pStyle w:val="BodyText"/>
        <w:spacing w:line="179" w:lineRule="exact"/>
        <w:ind w:left="143"/>
      </w:pPr>
      <w:r w:rsidRPr="00283806">
        <w:rPr>
          <w:w w:val="105"/>
        </w:rPr>
        <w:t>While</w:t>
      </w:r>
      <w:r w:rsidRPr="00283806">
        <w:rPr>
          <w:spacing w:val="13"/>
          <w:w w:val="105"/>
        </w:rPr>
        <w:t xml:space="preserve"> </w:t>
      </w:r>
      <w:r w:rsidRPr="00283806">
        <w:rPr>
          <w:w w:val="105"/>
        </w:rPr>
        <w:t>a</w:t>
      </w:r>
      <w:r w:rsidRPr="00283806">
        <w:rPr>
          <w:spacing w:val="13"/>
          <w:w w:val="105"/>
        </w:rPr>
        <w:t xml:space="preserve"> </w:t>
      </w:r>
      <w:r w:rsidRPr="00283806">
        <w:rPr>
          <w:w w:val="105"/>
        </w:rPr>
        <w:t>triggering</w:t>
      </w:r>
      <w:r w:rsidRPr="00283806">
        <w:rPr>
          <w:spacing w:val="13"/>
          <w:w w:val="105"/>
        </w:rPr>
        <w:t xml:space="preserve"> </w:t>
      </w:r>
      <w:r w:rsidRPr="00283806">
        <w:rPr>
          <w:w w:val="105"/>
        </w:rPr>
        <w:t>event</w:t>
      </w:r>
      <w:r w:rsidRPr="00283806">
        <w:rPr>
          <w:spacing w:val="13"/>
          <w:w w:val="105"/>
        </w:rPr>
        <w:t xml:space="preserve"> </w:t>
      </w:r>
      <w:r w:rsidRPr="00283806">
        <w:rPr>
          <w:w w:val="105"/>
        </w:rPr>
        <w:t>could</w:t>
      </w:r>
      <w:r w:rsidRPr="00283806">
        <w:rPr>
          <w:spacing w:val="13"/>
          <w:w w:val="105"/>
        </w:rPr>
        <w:t xml:space="preserve"> </w:t>
      </w:r>
      <w:r w:rsidRPr="00283806">
        <w:rPr>
          <w:spacing w:val="-5"/>
          <w:w w:val="105"/>
        </w:rPr>
        <w:t>be</w:t>
      </w:r>
    </w:p>
    <w:p w14:paraId="6B25EFD6" w14:textId="77777777" w:rsidR="00D67C1E" w:rsidRPr="00283806" w:rsidRDefault="001265CA">
      <w:pPr>
        <w:pStyle w:val="BodyText"/>
        <w:spacing w:before="3" w:line="228" w:lineRule="auto"/>
        <w:ind w:left="143" w:right="210"/>
      </w:pPr>
      <w:r w:rsidRPr="00283806">
        <w:rPr>
          <w:w w:val="105"/>
        </w:rPr>
        <w:t xml:space="preserve">considered in the future, </w:t>
      </w:r>
      <w:proofErr w:type="gramStart"/>
      <w:r w:rsidRPr="00283806">
        <w:rPr>
          <w:w w:val="105"/>
        </w:rPr>
        <w:t>in particular if</w:t>
      </w:r>
      <w:proofErr w:type="gramEnd"/>
      <w:r w:rsidRPr="00283806">
        <w:rPr>
          <w:w w:val="105"/>
        </w:rPr>
        <w:t xml:space="preserve"> EPA were to consider subsectors with lower typical charge sizes, in this instance EPA did not receive sufficient information to support this approach.</w:t>
      </w:r>
    </w:p>
    <w:p w14:paraId="296EDBE2" w14:textId="77777777" w:rsidR="00D67C1E" w:rsidRPr="00283806" w:rsidRDefault="001265CA">
      <w:pPr>
        <w:pStyle w:val="BodyText"/>
        <w:spacing w:before="37" w:line="228" w:lineRule="auto"/>
        <w:ind w:left="143" w:right="141" w:firstLine="180"/>
      </w:pPr>
      <w:r w:rsidRPr="00283806">
        <w:rPr>
          <w:w w:val="105"/>
        </w:rPr>
        <w:t>The Agency also disagrees with one commenter’s assertion that the inclusion of ALD is unnecessary due to the State and local building codes requiring ALD for flammable refrigerants. If there are State and local requirements to install ALD systems that will detect refrigerant emissions, these requirements are complementary to EPA’s intent.</w:t>
      </w:r>
    </w:p>
    <w:p w14:paraId="1CF62706" w14:textId="77777777" w:rsidR="00D67C1E" w:rsidRPr="00283806" w:rsidRDefault="001265CA">
      <w:pPr>
        <w:pStyle w:val="BodyText"/>
        <w:spacing w:line="228" w:lineRule="auto"/>
        <w:ind w:left="143" w:right="210"/>
      </w:pPr>
      <w:r w:rsidRPr="00283806">
        <w:rPr>
          <w:w w:val="105"/>
        </w:rPr>
        <w:t xml:space="preserve">However, these State or local requirements do not supplant the Agency’s requirements or their intent. Many appliances not using a flammable refrigerant will be affected by the final rule’s ALD provisions, but the requirements are applicable to all refrigerants, not just the flammable refrigerants. Furthermore, the Agency has previously acknowledged that UL Standards for A2L refrigerants </w:t>
      </w:r>
      <w:proofErr w:type="gramStart"/>
      <w:r w:rsidRPr="00283806">
        <w:rPr>
          <w:w w:val="105"/>
        </w:rPr>
        <w:t>requires</w:t>
      </w:r>
      <w:proofErr w:type="gramEnd"/>
      <w:r w:rsidRPr="00283806">
        <w:rPr>
          <w:w w:val="105"/>
        </w:rPr>
        <w:t xml:space="preserve"> the use of leak detection elsewhere in this section. The standards related to A2L refrigerants and </w:t>
      </w:r>
      <w:proofErr w:type="gramStart"/>
      <w:r w:rsidRPr="00283806">
        <w:rPr>
          <w:w w:val="105"/>
        </w:rPr>
        <w:t>State</w:t>
      </w:r>
      <w:proofErr w:type="gramEnd"/>
      <w:r w:rsidRPr="00283806">
        <w:rPr>
          <w:w w:val="105"/>
        </w:rPr>
        <w:t xml:space="preserve"> and local building codes do not nullify the authority of EPA to regulate the use of</w:t>
      </w:r>
    </w:p>
    <w:p w14:paraId="2A43D451"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7" w:space="40"/>
            <w:col w:w="3500" w:space="39"/>
            <w:col w:w="3624"/>
          </w:cols>
        </w:sectPr>
      </w:pPr>
    </w:p>
    <w:p w14:paraId="0734F7AE" w14:textId="77777777" w:rsidR="00D67C1E" w:rsidRPr="00283806" w:rsidRDefault="001265CA">
      <w:pPr>
        <w:pStyle w:val="BodyText"/>
        <w:spacing w:before="136" w:line="225" w:lineRule="auto"/>
      </w:pPr>
      <w:r w:rsidRPr="00283806">
        <w:rPr>
          <w:w w:val="105"/>
        </w:rPr>
        <w:lastRenderedPageBreak/>
        <w:t>ALD systems to minimize the release of regulated substances.</w:t>
      </w:r>
    </w:p>
    <w:p w14:paraId="160E6FEE" w14:textId="77777777" w:rsidR="00D67C1E" w:rsidRPr="00283806" w:rsidRDefault="001265CA">
      <w:pPr>
        <w:pStyle w:val="BodyText"/>
        <w:spacing w:line="179" w:lineRule="exact"/>
        <w:ind w:left="340"/>
      </w:pPr>
      <w:proofErr w:type="gramStart"/>
      <w:r w:rsidRPr="00283806">
        <w:rPr>
          <w:w w:val="105"/>
        </w:rPr>
        <w:t>With</w:t>
      </w:r>
      <w:r w:rsidRPr="00283806">
        <w:rPr>
          <w:spacing w:val="1"/>
          <w:w w:val="105"/>
        </w:rPr>
        <w:t xml:space="preserve"> </w:t>
      </w:r>
      <w:r w:rsidRPr="00283806">
        <w:rPr>
          <w:w w:val="105"/>
        </w:rPr>
        <w:t>regard</w:t>
      </w:r>
      <w:r w:rsidRPr="00283806">
        <w:rPr>
          <w:spacing w:val="2"/>
          <w:w w:val="105"/>
        </w:rPr>
        <w:t xml:space="preserve"> </w:t>
      </w:r>
      <w:r w:rsidRPr="00283806">
        <w:rPr>
          <w:w w:val="105"/>
        </w:rPr>
        <w:t>to</w:t>
      </w:r>
      <w:proofErr w:type="gramEnd"/>
      <w:r w:rsidRPr="00283806">
        <w:rPr>
          <w:spacing w:val="2"/>
          <w:w w:val="105"/>
        </w:rPr>
        <w:t xml:space="preserve"> </w:t>
      </w:r>
      <w:r w:rsidRPr="00283806">
        <w:rPr>
          <w:w w:val="105"/>
        </w:rPr>
        <w:t>the</w:t>
      </w:r>
      <w:r w:rsidRPr="00283806">
        <w:rPr>
          <w:spacing w:val="2"/>
          <w:w w:val="105"/>
        </w:rPr>
        <w:t xml:space="preserve"> </w:t>
      </w:r>
      <w:r w:rsidRPr="00283806">
        <w:rPr>
          <w:w w:val="105"/>
        </w:rPr>
        <w:t>commenter</w:t>
      </w:r>
      <w:r w:rsidRPr="00283806">
        <w:rPr>
          <w:spacing w:val="2"/>
          <w:w w:val="105"/>
        </w:rPr>
        <w:t xml:space="preserve"> </w:t>
      </w:r>
      <w:r w:rsidRPr="00283806">
        <w:rPr>
          <w:spacing w:val="-4"/>
          <w:w w:val="105"/>
        </w:rPr>
        <w:t>that</w:t>
      </w:r>
    </w:p>
    <w:p w14:paraId="42E8CD42" w14:textId="77777777" w:rsidR="00D67C1E" w:rsidRPr="00283806" w:rsidRDefault="001265CA">
      <w:pPr>
        <w:pStyle w:val="BodyText"/>
        <w:spacing w:before="4" w:line="225" w:lineRule="auto"/>
        <w:ind w:right="7"/>
      </w:pPr>
      <w:r w:rsidRPr="00283806">
        <w:rPr>
          <w:w w:val="105"/>
        </w:rPr>
        <w:t>advocated</w:t>
      </w:r>
      <w:r w:rsidRPr="00283806">
        <w:rPr>
          <w:spacing w:val="40"/>
          <w:w w:val="105"/>
        </w:rPr>
        <w:t xml:space="preserve"> </w:t>
      </w:r>
      <w:r w:rsidRPr="00283806">
        <w:rPr>
          <w:w w:val="105"/>
        </w:rPr>
        <w:t>for</w:t>
      </w:r>
      <w:r w:rsidRPr="00283806">
        <w:rPr>
          <w:spacing w:val="40"/>
          <w:w w:val="105"/>
        </w:rPr>
        <w:t xml:space="preserve"> </w:t>
      </w:r>
      <w:r w:rsidRPr="00283806">
        <w:rPr>
          <w:w w:val="105"/>
        </w:rPr>
        <w:t>the</w:t>
      </w:r>
      <w:r w:rsidRPr="00283806">
        <w:rPr>
          <w:spacing w:val="40"/>
          <w:w w:val="105"/>
        </w:rPr>
        <w:t xml:space="preserve"> </w:t>
      </w:r>
      <w:r w:rsidRPr="00283806">
        <w:rPr>
          <w:w w:val="105"/>
        </w:rPr>
        <w:t>use</w:t>
      </w:r>
      <w:r w:rsidRPr="00283806">
        <w:rPr>
          <w:spacing w:val="40"/>
          <w:w w:val="105"/>
        </w:rPr>
        <w:t xml:space="preserve"> </w:t>
      </w:r>
      <w:r w:rsidRPr="00283806">
        <w:rPr>
          <w:w w:val="105"/>
        </w:rPr>
        <w:t>of</w:t>
      </w:r>
      <w:r w:rsidRPr="00283806">
        <w:rPr>
          <w:spacing w:val="40"/>
          <w:w w:val="105"/>
        </w:rPr>
        <w:t xml:space="preserve"> </w:t>
      </w:r>
      <w:r w:rsidRPr="00283806">
        <w:rPr>
          <w:w w:val="105"/>
        </w:rPr>
        <w:t>ALD</w:t>
      </w:r>
      <w:r w:rsidRPr="00283806">
        <w:rPr>
          <w:spacing w:val="40"/>
          <w:w w:val="105"/>
        </w:rPr>
        <w:t xml:space="preserve"> </w:t>
      </w:r>
      <w:r w:rsidRPr="00283806">
        <w:rPr>
          <w:w w:val="105"/>
        </w:rPr>
        <w:t>of medium-sized appliances because of</w:t>
      </w:r>
      <w:r w:rsidRPr="00283806">
        <w:rPr>
          <w:spacing w:val="40"/>
          <w:w w:val="105"/>
        </w:rPr>
        <w:t xml:space="preserve"> </w:t>
      </w:r>
      <w:r w:rsidRPr="00283806">
        <w:rPr>
          <w:w w:val="105"/>
        </w:rPr>
        <w:t>their findings of substantial leaks from small</w:t>
      </w:r>
      <w:r w:rsidRPr="00283806">
        <w:rPr>
          <w:spacing w:val="40"/>
          <w:w w:val="105"/>
        </w:rPr>
        <w:t xml:space="preserve"> </w:t>
      </w:r>
      <w:r w:rsidRPr="00283806">
        <w:rPr>
          <w:w w:val="105"/>
        </w:rPr>
        <w:t>and</w:t>
      </w:r>
      <w:r w:rsidRPr="00283806">
        <w:rPr>
          <w:spacing w:val="40"/>
          <w:w w:val="105"/>
        </w:rPr>
        <w:t xml:space="preserve"> </w:t>
      </w:r>
      <w:r w:rsidRPr="00283806">
        <w:rPr>
          <w:w w:val="105"/>
        </w:rPr>
        <w:t>medium-sized</w:t>
      </w:r>
      <w:r w:rsidRPr="00283806">
        <w:rPr>
          <w:spacing w:val="40"/>
          <w:w w:val="105"/>
        </w:rPr>
        <w:t xml:space="preserve"> </w:t>
      </w:r>
      <w:r w:rsidRPr="00283806">
        <w:rPr>
          <w:w w:val="105"/>
        </w:rPr>
        <w:t>appliances</w:t>
      </w:r>
      <w:r w:rsidRPr="00283806">
        <w:rPr>
          <w:spacing w:val="40"/>
          <w:w w:val="105"/>
        </w:rPr>
        <w:t xml:space="preserve"> </w:t>
      </w:r>
      <w:r w:rsidRPr="00283806">
        <w:rPr>
          <w:w w:val="105"/>
        </w:rPr>
        <w:t>on a university campus, the Agency recognizes that smaller systems under 1,500 pounds may still be prone to leaks and</w:t>
      </w:r>
      <w:r w:rsidRPr="00283806">
        <w:rPr>
          <w:spacing w:val="40"/>
          <w:w w:val="105"/>
        </w:rPr>
        <w:t xml:space="preserve"> </w:t>
      </w:r>
      <w:r w:rsidRPr="00283806">
        <w:rPr>
          <w:w w:val="105"/>
        </w:rPr>
        <w:t>thus</w:t>
      </w:r>
      <w:r w:rsidRPr="00283806">
        <w:rPr>
          <w:spacing w:val="40"/>
          <w:w w:val="105"/>
        </w:rPr>
        <w:t xml:space="preserve"> </w:t>
      </w:r>
      <w:r w:rsidRPr="00283806">
        <w:rPr>
          <w:w w:val="105"/>
        </w:rPr>
        <w:t>the</w:t>
      </w:r>
      <w:r w:rsidRPr="00283806">
        <w:rPr>
          <w:spacing w:val="40"/>
          <w:w w:val="105"/>
        </w:rPr>
        <w:t xml:space="preserve"> </w:t>
      </w:r>
      <w:r w:rsidRPr="00283806">
        <w:rPr>
          <w:w w:val="105"/>
        </w:rPr>
        <w:t>Agency</w:t>
      </w:r>
      <w:r w:rsidRPr="00283806">
        <w:rPr>
          <w:spacing w:val="40"/>
          <w:w w:val="105"/>
        </w:rPr>
        <w:t xml:space="preserve"> </w:t>
      </w:r>
      <w:r w:rsidRPr="00283806">
        <w:rPr>
          <w:w w:val="105"/>
        </w:rPr>
        <w:t>is</w:t>
      </w:r>
      <w:r w:rsidRPr="00283806">
        <w:rPr>
          <w:spacing w:val="40"/>
          <w:w w:val="105"/>
        </w:rPr>
        <w:t xml:space="preserve"> </w:t>
      </w:r>
      <w:r w:rsidRPr="00283806">
        <w:rPr>
          <w:w w:val="105"/>
        </w:rPr>
        <w:t>also</w:t>
      </w:r>
      <w:r w:rsidRPr="00283806">
        <w:rPr>
          <w:spacing w:val="40"/>
          <w:w w:val="105"/>
        </w:rPr>
        <w:t xml:space="preserve"> </w:t>
      </w:r>
      <w:r w:rsidRPr="00283806">
        <w:rPr>
          <w:w w:val="105"/>
        </w:rPr>
        <w:t>finalizing the</w:t>
      </w:r>
      <w:r w:rsidRPr="00283806">
        <w:rPr>
          <w:spacing w:val="-8"/>
          <w:w w:val="105"/>
        </w:rPr>
        <w:t xml:space="preserve"> </w:t>
      </w:r>
      <w:r w:rsidRPr="00283806">
        <w:rPr>
          <w:w w:val="105"/>
        </w:rPr>
        <w:t>separate</w:t>
      </w:r>
      <w:r w:rsidRPr="00283806">
        <w:rPr>
          <w:spacing w:val="-8"/>
          <w:w w:val="105"/>
        </w:rPr>
        <w:t xml:space="preserve"> </w:t>
      </w:r>
      <w:r w:rsidRPr="00283806">
        <w:rPr>
          <w:w w:val="105"/>
        </w:rPr>
        <w:t>leak</w:t>
      </w:r>
      <w:r w:rsidRPr="00283806">
        <w:rPr>
          <w:spacing w:val="-8"/>
          <w:w w:val="105"/>
        </w:rPr>
        <w:t xml:space="preserve"> </w:t>
      </w:r>
      <w:r w:rsidRPr="00283806">
        <w:rPr>
          <w:w w:val="105"/>
        </w:rPr>
        <w:t>repair</w:t>
      </w:r>
      <w:r w:rsidRPr="00283806">
        <w:rPr>
          <w:spacing w:val="-8"/>
          <w:w w:val="105"/>
        </w:rPr>
        <w:t xml:space="preserve"> </w:t>
      </w:r>
      <w:r w:rsidRPr="00283806">
        <w:rPr>
          <w:w w:val="105"/>
        </w:rPr>
        <w:t>requirements</w:t>
      </w:r>
      <w:r w:rsidRPr="00283806">
        <w:rPr>
          <w:spacing w:val="-8"/>
          <w:w w:val="105"/>
        </w:rPr>
        <w:t xml:space="preserve"> </w:t>
      </w:r>
      <w:r w:rsidRPr="00283806">
        <w:rPr>
          <w:w w:val="105"/>
        </w:rPr>
        <w:t>for refrigerant-containing appliances with</w:t>
      </w:r>
      <w:r w:rsidRPr="00283806">
        <w:rPr>
          <w:spacing w:val="40"/>
          <w:w w:val="105"/>
        </w:rPr>
        <w:t xml:space="preserve"> </w:t>
      </w:r>
      <w:r w:rsidRPr="00283806">
        <w:rPr>
          <w:w w:val="105"/>
        </w:rPr>
        <w:t>15 pounds or more of refrigerant. EPA agrees with the two commenters who stated that ALD systems are commercially available for medium-</w:t>
      </w:r>
      <w:r w:rsidRPr="00283806">
        <w:rPr>
          <w:spacing w:val="40"/>
          <w:w w:val="105"/>
        </w:rPr>
        <w:t xml:space="preserve"> </w:t>
      </w:r>
      <w:r w:rsidRPr="00283806">
        <w:rPr>
          <w:w w:val="105"/>
        </w:rPr>
        <w:t>sized appliances and are becoming the best practice for refrigerant</w:t>
      </w:r>
      <w:r w:rsidRPr="00283806">
        <w:rPr>
          <w:spacing w:val="40"/>
          <w:w w:val="105"/>
        </w:rPr>
        <w:t xml:space="preserve"> </w:t>
      </w:r>
      <w:r w:rsidRPr="00283806">
        <w:rPr>
          <w:w w:val="105"/>
        </w:rPr>
        <w:t>management.</w:t>
      </w:r>
      <w:r w:rsidRPr="00283806">
        <w:rPr>
          <w:spacing w:val="40"/>
          <w:w w:val="105"/>
        </w:rPr>
        <w:t xml:space="preserve"> </w:t>
      </w:r>
      <w:r w:rsidRPr="00283806">
        <w:rPr>
          <w:w w:val="105"/>
        </w:rPr>
        <w:t>While</w:t>
      </w:r>
      <w:r w:rsidRPr="00283806">
        <w:rPr>
          <w:spacing w:val="40"/>
          <w:w w:val="105"/>
        </w:rPr>
        <w:t xml:space="preserve"> </w:t>
      </w:r>
      <w:r w:rsidRPr="00283806">
        <w:rPr>
          <w:w w:val="105"/>
        </w:rPr>
        <w:t>EPA</w:t>
      </w:r>
      <w:r w:rsidRPr="00283806">
        <w:rPr>
          <w:spacing w:val="40"/>
          <w:w w:val="105"/>
        </w:rPr>
        <w:t xml:space="preserve"> </w:t>
      </w:r>
      <w:r w:rsidRPr="00283806">
        <w:rPr>
          <w:w w:val="105"/>
        </w:rPr>
        <w:t>is</w:t>
      </w:r>
      <w:r w:rsidRPr="00283806">
        <w:rPr>
          <w:spacing w:val="40"/>
          <w:w w:val="105"/>
        </w:rPr>
        <w:t xml:space="preserve"> </w:t>
      </w:r>
      <w:r w:rsidRPr="00283806">
        <w:rPr>
          <w:w w:val="105"/>
        </w:rPr>
        <w:t xml:space="preserve">not finalizing a lower threshold at this time, EPA may consider a lower charge size threshold in </w:t>
      </w:r>
      <w:proofErr w:type="gramStart"/>
      <w:r w:rsidRPr="00283806">
        <w:rPr>
          <w:w w:val="105"/>
        </w:rPr>
        <w:t>a future</w:t>
      </w:r>
      <w:proofErr w:type="gramEnd"/>
      <w:r w:rsidRPr="00283806">
        <w:rPr>
          <w:w w:val="105"/>
        </w:rPr>
        <w:t xml:space="preserve"> notice-and- comment rulemaking. The Agency encourages consideration of using ALD systems by the owners and operators of refrigerant-containing appliances with charge</w:t>
      </w:r>
      <w:r w:rsidRPr="00283806">
        <w:rPr>
          <w:spacing w:val="37"/>
          <w:w w:val="105"/>
        </w:rPr>
        <w:t xml:space="preserve"> </w:t>
      </w:r>
      <w:r w:rsidRPr="00283806">
        <w:rPr>
          <w:w w:val="105"/>
        </w:rPr>
        <w:t>sizes</w:t>
      </w:r>
      <w:r w:rsidRPr="00283806">
        <w:rPr>
          <w:spacing w:val="37"/>
          <w:w w:val="105"/>
        </w:rPr>
        <w:t xml:space="preserve"> </w:t>
      </w:r>
      <w:r w:rsidRPr="00283806">
        <w:rPr>
          <w:w w:val="105"/>
        </w:rPr>
        <w:t>of</w:t>
      </w:r>
      <w:r w:rsidRPr="00283806">
        <w:rPr>
          <w:spacing w:val="37"/>
          <w:w w:val="105"/>
        </w:rPr>
        <w:t xml:space="preserve"> </w:t>
      </w:r>
      <w:r w:rsidRPr="00283806">
        <w:rPr>
          <w:w w:val="105"/>
        </w:rPr>
        <w:t>less</w:t>
      </w:r>
      <w:r w:rsidRPr="00283806">
        <w:rPr>
          <w:spacing w:val="37"/>
          <w:w w:val="105"/>
        </w:rPr>
        <w:t xml:space="preserve"> </w:t>
      </w:r>
      <w:r w:rsidRPr="00283806">
        <w:rPr>
          <w:w w:val="105"/>
        </w:rPr>
        <w:t>than</w:t>
      </w:r>
      <w:r w:rsidRPr="00283806">
        <w:rPr>
          <w:spacing w:val="37"/>
          <w:w w:val="105"/>
        </w:rPr>
        <w:t xml:space="preserve"> </w:t>
      </w:r>
      <w:r w:rsidRPr="00283806">
        <w:rPr>
          <w:w w:val="105"/>
        </w:rPr>
        <w:t>1,500</w:t>
      </w:r>
      <w:r w:rsidRPr="00283806">
        <w:rPr>
          <w:spacing w:val="37"/>
          <w:w w:val="105"/>
        </w:rPr>
        <w:t xml:space="preserve"> </w:t>
      </w:r>
      <w:r w:rsidRPr="00283806">
        <w:rPr>
          <w:w w:val="105"/>
        </w:rPr>
        <w:t>pounds of refrigerant.</w:t>
      </w:r>
    </w:p>
    <w:p w14:paraId="781747F9" w14:textId="77777777" w:rsidR="00D67C1E" w:rsidRPr="00283806" w:rsidRDefault="001265CA">
      <w:pPr>
        <w:spacing w:line="176" w:lineRule="exact"/>
        <w:ind w:left="340"/>
        <w:rPr>
          <w:sz w:val="18"/>
        </w:rPr>
      </w:pPr>
      <w:r w:rsidRPr="00283806">
        <w:rPr>
          <w:rFonts w:ascii="Book Antiqua"/>
          <w:i/>
          <w:w w:val="110"/>
          <w:sz w:val="18"/>
        </w:rPr>
        <w:t>Comment:</w:t>
      </w:r>
      <w:r w:rsidRPr="00283806">
        <w:rPr>
          <w:rFonts w:ascii="Book Antiqua"/>
          <w:i/>
          <w:spacing w:val="-2"/>
          <w:w w:val="110"/>
          <w:sz w:val="18"/>
        </w:rPr>
        <w:t xml:space="preserve"> </w:t>
      </w:r>
      <w:r w:rsidRPr="00283806">
        <w:rPr>
          <w:w w:val="110"/>
          <w:sz w:val="18"/>
        </w:rPr>
        <w:t>EPA</w:t>
      </w:r>
      <w:r w:rsidRPr="00283806">
        <w:rPr>
          <w:spacing w:val="5"/>
          <w:w w:val="110"/>
          <w:sz w:val="18"/>
        </w:rPr>
        <w:t xml:space="preserve"> </w:t>
      </w:r>
      <w:r w:rsidRPr="00283806">
        <w:rPr>
          <w:w w:val="110"/>
          <w:sz w:val="18"/>
        </w:rPr>
        <w:t>received</w:t>
      </w:r>
      <w:r w:rsidRPr="00283806">
        <w:rPr>
          <w:spacing w:val="4"/>
          <w:w w:val="110"/>
          <w:sz w:val="18"/>
        </w:rPr>
        <w:t xml:space="preserve"> </w:t>
      </w:r>
      <w:r w:rsidRPr="00283806">
        <w:rPr>
          <w:spacing w:val="-2"/>
          <w:w w:val="110"/>
          <w:sz w:val="18"/>
        </w:rPr>
        <w:t>several</w:t>
      </w:r>
    </w:p>
    <w:p w14:paraId="303103FC" w14:textId="77777777" w:rsidR="00D67C1E" w:rsidRPr="00283806" w:rsidRDefault="001265CA">
      <w:pPr>
        <w:pStyle w:val="BodyText"/>
        <w:spacing w:line="225" w:lineRule="auto"/>
      </w:pPr>
      <w:r w:rsidRPr="00283806">
        <w:rPr>
          <w:w w:val="105"/>
        </w:rPr>
        <w:t>comments regarding the applicability of the proposed ALD provision. Two commenters suggested adding comfort cooling. One of the commenters specifically</w:t>
      </w:r>
      <w:r w:rsidRPr="00283806">
        <w:rPr>
          <w:spacing w:val="40"/>
          <w:w w:val="105"/>
        </w:rPr>
        <w:t xml:space="preserve"> </w:t>
      </w:r>
      <w:r w:rsidRPr="00283806">
        <w:rPr>
          <w:w w:val="105"/>
        </w:rPr>
        <w:t>asked</w:t>
      </w:r>
      <w:r w:rsidRPr="00283806">
        <w:rPr>
          <w:spacing w:val="40"/>
          <w:w w:val="105"/>
        </w:rPr>
        <w:t xml:space="preserve"> </w:t>
      </w:r>
      <w:r w:rsidRPr="00283806">
        <w:rPr>
          <w:w w:val="105"/>
        </w:rPr>
        <w:t>the</w:t>
      </w:r>
      <w:r w:rsidRPr="00283806">
        <w:rPr>
          <w:spacing w:val="40"/>
          <w:w w:val="105"/>
        </w:rPr>
        <w:t xml:space="preserve"> </w:t>
      </w:r>
      <w:r w:rsidRPr="00283806">
        <w:rPr>
          <w:w w:val="105"/>
        </w:rPr>
        <w:t>Agency</w:t>
      </w:r>
      <w:r w:rsidRPr="00283806">
        <w:rPr>
          <w:spacing w:val="40"/>
          <w:w w:val="105"/>
        </w:rPr>
        <w:t xml:space="preserve"> </w:t>
      </w:r>
      <w:r w:rsidRPr="00283806">
        <w:rPr>
          <w:w w:val="105"/>
        </w:rPr>
        <w:t xml:space="preserve">to consider including all </w:t>
      </w:r>
      <w:proofErr w:type="gramStart"/>
      <w:r w:rsidRPr="00283806">
        <w:rPr>
          <w:w w:val="105"/>
        </w:rPr>
        <w:t>new</w:t>
      </w:r>
      <w:proofErr w:type="gramEnd"/>
      <w:r w:rsidRPr="00283806">
        <w:rPr>
          <w:w w:val="105"/>
        </w:rPr>
        <w:t xml:space="preserve"> and existing RACHP appliances, IPR, commercial refrigeration, and comfort cooling systems with charge sizes at or above</w:t>
      </w:r>
      <w:r w:rsidRPr="00283806">
        <w:rPr>
          <w:spacing w:val="40"/>
          <w:w w:val="105"/>
        </w:rPr>
        <w:t xml:space="preserve"> </w:t>
      </w:r>
      <w:r w:rsidRPr="00283806">
        <w:rPr>
          <w:w w:val="105"/>
        </w:rPr>
        <w:t>200 pounds. The commenter stated that 200 pounds was a point of inflection for proposed GWP limits under the 2023 Technology Transitions Rule and would promote an enhanced approach over European Union standards, expediting emissions reductions in the heating, ventilation, air conditioning, and refrigeration (HVACR) industry. The commenter also expressed concerns that the 1,500-pound threshold may incentivize design modifications aimed</w:t>
      </w:r>
      <w:r w:rsidRPr="00283806">
        <w:rPr>
          <w:spacing w:val="80"/>
          <w:w w:val="105"/>
        </w:rPr>
        <w:t xml:space="preserve"> </w:t>
      </w:r>
      <w:r w:rsidRPr="00283806">
        <w:rPr>
          <w:w w:val="105"/>
        </w:rPr>
        <w:t>at installing appliances that are exempt from the ALD requirements. They</w:t>
      </w:r>
      <w:r w:rsidRPr="00283806">
        <w:rPr>
          <w:spacing w:val="80"/>
          <w:w w:val="105"/>
        </w:rPr>
        <w:t xml:space="preserve"> </w:t>
      </w:r>
      <w:r w:rsidRPr="00283806">
        <w:rPr>
          <w:w w:val="105"/>
        </w:rPr>
        <w:t>further</w:t>
      </w:r>
      <w:r w:rsidRPr="00283806">
        <w:rPr>
          <w:spacing w:val="-10"/>
          <w:w w:val="105"/>
        </w:rPr>
        <w:t xml:space="preserve"> </w:t>
      </w:r>
      <w:r w:rsidRPr="00283806">
        <w:rPr>
          <w:w w:val="105"/>
        </w:rPr>
        <w:t>asserted</w:t>
      </w:r>
      <w:r w:rsidRPr="00283806">
        <w:rPr>
          <w:spacing w:val="-11"/>
          <w:w w:val="105"/>
        </w:rPr>
        <w:t xml:space="preserve"> </w:t>
      </w:r>
      <w:r w:rsidRPr="00283806">
        <w:rPr>
          <w:w w:val="105"/>
        </w:rPr>
        <w:t>that</w:t>
      </w:r>
      <w:r w:rsidRPr="00283806">
        <w:rPr>
          <w:spacing w:val="-10"/>
          <w:w w:val="105"/>
        </w:rPr>
        <w:t xml:space="preserve"> </w:t>
      </w:r>
      <w:r w:rsidRPr="00283806">
        <w:rPr>
          <w:w w:val="105"/>
        </w:rPr>
        <w:t>owners</w:t>
      </w:r>
      <w:r w:rsidRPr="00283806">
        <w:rPr>
          <w:spacing w:val="-10"/>
          <w:w w:val="105"/>
        </w:rPr>
        <w:t xml:space="preserve"> </w:t>
      </w:r>
      <w:r w:rsidRPr="00283806">
        <w:rPr>
          <w:w w:val="105"/>
        </w:rPr>
        <w:t>or</w:t>
      </w:r>
      <w:r w:rsidRPr="00283806">
        <w:rPr>
          <w:spacing w:val="-10"/>
          <w:w w:val="105"/>
        </w:rPr>
        <w:t xml:space="preserve"> </w:t>
      </w:r>
      <w:r w:rsidRPr="00283806">
        <w:rPr>
          <w:w w:val="105"/>
        </w:rPr>
        <w:t>operators may install multiple smaller appliances with lower charge sizes. Another commenter similarly claimed that the rule’s charge size threshold and applicability</w:t>
      </w:r>
      <w:r w:rsidRPr="00283806">
        <w:rPr>
          <w:spacing w:val="40"/>
          <w:w w:val="105"/>
        </w:rPr>
        <w:t xml:space="preserve"> </w:t>
      </w:r>
      <w:r w:rsidRPr="00283806">
        <w:rPr>
          <w:w w:val="105"/>
        </w:rPr>
        <w:t>of</w:t>
      </w:r>
      <w:r w:rsidRPr="00283806">
        <w:rPr>
          <w:spacing w:val="40"/>
          <w:w w:val="105"/>
        </w:rPr>
        <w:t xml:space="preserve"> </w:t>
      </w:r>
      <w:r w:rsidRPr="00283806">
        <w:rPr>
          <w:w w:val="105"/>
        </w:rPr>
        <w:t>appliances</w:t>
      </w:r>
      <w:r w:rsidRPr="00283806">
        <w:rPr>
          <w:spacing w:val="40"/>
          <w:w w:val="105"/>
        </w:rPr>
        <w:t xml:space="preserve"> </w:t>
      </w:r>
      <w:r w:rsidRPr="00283806">
        <w:rPr>
          <w:w w:val="105"/>
        </w:rPr>
        <w:t>would exempt a high percentage of commercial facilities</w:t>
      </w:r>
      <w:r w:rsidRPr="00283806">
        <w:rPr>
          <w:spacing w:val="40"/>
          <w:w w:val="105"/>
        </w:rPr>
        <w:t xml:space="preserve"> </w:t>
      </w:r>
      <w:r w:rsidRPr="00283806">
        <w:rPr>
          <w:w w:val="105"/>
        </w:rPr>
        <w:t>from</w:t>
      </w:r>
      <w:r w:rsidRPr="00283806">
        <w:rPr>
          <w:spacing w:val="40"/>
          <w:w w:val="105"/>
        </w:rPr>
        <w:t xml:space="preserve"> </w:t>
      </w:r>
      <w:r w:rsidRPr="00283806">
        <w:rPr>
          <w:w w:val="105"/>
        </w:rPr>
        <w:t>the</w:t>
      </w:r>
      <w:r w:rsidRPr="00283806">
        <w:rPr>
          <w:spacing w:val="40"/>
          <w:w w:val="105"/>
        </w:rPr>
        <w:t xml:space="preserve"> </w:t>
      </w:r>
      <w:r w:rsidRPr="00283806">
        <w:rPr>
          <w:w w:val="105"/>
        </w:rPr>
        <w:t>ALD</w:t>
      </w:r>
      <w:r w:rsidRPr="00283806">
        <w:rPr>
          <w:spacing w:val="40"/>
          <w:w w:val="105"/>
        </w:rPr>
        <w:t xml:space="preserve"> </w:t>
      </w:r>
      <w:r w:rsidRPr="00283806">
        <w:rPr>
          <w:w w:val="105"/>
        </w:rPr>
        <w:t>requirements and undermine the intent of the rule.</w:t>
      </w:r>
    </w:p>
    <w:p w14:paraId="63729D02" w14:textId="77777777" w:rsidR="00D67C1E" w:rsidRPr="00283806" w:rsidRDefault="001265CA">
      <w:pPr>
        <w:pStyle w:val="BodyText"/>
        <w:spacing w:line="183" w:lineRule="exact"/>
      </w:pPr>
      <w:r w:rsidRPr="00283806">
        <w:rPr>
          <w:w w:val="105"/>
        </w:rPr>
        <w:t>The</w:t>
      </w:r>
      <w:r w:rsidRPr="00283806">
        <w:rPr>
          <w:spacing w:val="3"/>
          <w:w w:val="105"/>
        </w:rPr>
        <w:t xml:space="preserve"> </w:t>
      </w:r>
      <w:r w:rsidRPr="00283806">
        <w:rPr>
          <w:w w:val="105"/>
        </w:rPr>
        <w:t>commenter</w:t>
      </w:r>
      <w:r w:rsidRPr="00283806">
        <w:rPr>
          <w:spacing w:val="4"/>
          <w:w w:val="105"/>
        </w:rPr>
        <w:t xml:space="preserve"> </w:t>
      </w:r>
      <w:r w:rsidRPr="00283806">
        <w:rPr>
          <w:w w:val="105"/>
        </w:rPr>
        <w:t>suggested</w:t>
      </w:r>
      <w:r w:rsidRPr="00283806">
        <w:rPr>
          <w:spacing w:val="3"/>
          <w:w w:val="105"/>
        </w:rPr>
        <w:t xml:space="preserve"> </w:t>
      </w:r>
      <w:r w:rsidRPr="00283806">
        <w:rPr>
          <w:w w:val="105"/>
        </w:rPr>
        <w:t>that</w:t>
      </w:r>
      <w:r w:rsidRPr="00283806">
        <w:rPr>
          <w:spacing w:val="4"/>
          <w:w w:val="105"/>
        </w:rPr>
        <w:t xml:space="preserve"> </w:t>
      </w:r>
      <w:r w:rsidRPr="00283806">
        <w:rPr>
          <w:spacing w:val="-5"/>
          <w:w w:val="105"/>
        </w:rPr>
        <w:t>EPA</w:t>
      </w:r>
    </w:p>
    <w:p w14:paraId="3EFE33FD" w14:textId="77777777" w:rsidR="00D67C1E" w:rsidRPr="00283806" w:rsidRDefault="001265CA">
      <w:pPr>
        <w:pStyle w:val="BodyText"/>
        <w:spacing w:before="2" w:line="225" w:lineRule="auto"/>
        <w:ind w:right="98"/>
      </w:pPr>
      <w:r w:rsidRPr="00283806">
        <w:rPr>
          <w:w w:val="105"/>
        </w:rPr>
        <w:t>could consider the total cumulative</w:t>
      </w:r>
      <w:r w:rsidRPr="00283806">
        <w:rPr>
          <w:spacing w:val="80"/>
          <w:w w:val="105"/>
        </w:rPr>
        <w:t xml:space="preserve"> </w:t>
      </w:r>
      <w:r w:rsidRPr="00283806">
        <w:rPr>
          <w:w w:val="105"/>
        </w:rPr>
        <w:t>mass of refrigerant being used by commercial refrigeration and IPR appliances at a facility location, rather than the mass of refrigerant being used by</w:t>
      </w:r>
      <w:r w:rsidRPr="00283806">
        <w:rPr>
          <w:spacing w:val="33"/>
          <w:w w:val="105"/>
        </w:rPr>
        <w:t xml:space="preserve"> </w:t>
      </w:r>
      <w:r w:rsidRPr="00283806">
        <w:rPr>
          <w:w w:val="105"/>
        </w:rPr>
        <w:t>individual</w:t>
      </w:r>
      <w:r w:rsidRPr="00283806">
        <w:rPr>
          <w:spacing w:val="34"/>
          <w:w w:val="105"/>
        </w:rPr>
        <w:t xml:space="preserve"> </w:t>
      </w:r>
      <w:r w:rsidRPr="00283806">
        <w:rPr>
          <w:w w:val="105"/>
        </w:rPr>
        <w:t>appliances.</w:t>
      </w:r>
      <w:r w:rsidRPr="00283806">
        <w:rPr>
          <w:spacing w:val="34"/>
          <w:w w:val="105"/>
        </w:rPr>
        <w:t xml:space="preserve"> </w:t>
      </w:r>
      <w:r w:rsidRPr="00283806">
        <w:rPr>
          <w:spacing w:val="-2"/>
          <w:w w:val="105"/>
        </w:rPr>
        <w:t>Alternatively,</w:t>
      </w:r>
    </w:p>
    <w:p w14:paraId="391D37B8" w14:textId="77777777" w:rsidR="00D67C1E" w:rsidRPr="00283806" w:rsidRDefault="001265CA">
      <w:pPr>
        <w:pStyle w:val="BodyText"/>
        <w:spacing w:before="136" w:line="225" w:lineRule="auto"/>
        <w:ind w:left="154"/>
      </w:pPr>
      <w:r w:rsidRPr="00283806">
        <w:br w:type="column"/>
      </w:r>
      <w:proofErr w:type="gramStart"/>
      <w:r w:rsidRPr="00283806">
        <w:rPr>
          <w:w w:val="105"/>
        </w:rPr>
        <w:t>the</w:t>
      </w:r>
      <w:proofErr w:type="gramEnd"/>
      <w:r w:rsidRPr="00283806">
        <w:rPr>
          <w:w w:val="105"/>
        </w:rPr>
        <w:t xml:space="preserve"> commenter suggested EPA could lower the charge size threshold to 1,000 pounds per facility and lower the threshold to 500 pounds of refrigerant in an individual appliance.</w:t>
      </w:r>
    </w:p>
    <w:p w14:paraId="30EF5A46" w14:textId="77777777" w:rsidR="00D67C1E" w:rsidRPr="00283806" w:rsidRDefault="001265CA">
      <w:pPr>
        <w:spacing w:line="184" w:lineRule="exact"/>
        <w:ind w:left="334"/>
        <w:rPr>
          <w:sz w:val="18"/>
        </w:rPr>
      </w:pPr>
      <w:r w:rsidRPr="00283806">
        <w:rPr>
          <w:rFonts w:ascii="Book Antiqua"/>
          <w:i/>
          <w:w w:val="110"/>
          <w:sz w:val="18"/>
        </w:rPr>
        <w:t>Response:</w:t>
      </w:r>
      <w:r w:rsidRPr="00283806">
        <w:rPr>
          <w:rFonts w:ascii="Book Antiqua"/>
          <w:i/>
          <w:spacing w:val="12"/>
          <w:w w:val="110"/>
          <w:sz w:val="18"/>
        </w:rPr>
        <w:t xml:space="preserve"> </w:t>
      </w:r>
      <w:r w:rsidRPr="00283806">
        <w:rPr>
          <w:w w:val="110"/>
          <w:sz w:val="18"/>
        </w:rPr>
        <w:t>EPA</w:t>
      </w:r>
      <w:r w:rsidRPr="00283806">
        <w:rPr>
          <w:spacing w:val="18"/>
          <w:w w:val="110"/>
          <w:sz w:val="18"/>
        </w:rPr>
        <w:t xml:space="preserve"> </w:t>
      </w:r>
      <w:r w:rsidRPr="00283806">
        <w:rPr>
          <w:w w:val="110"/>
          <w:sz w:val="18"/>
        </w:rPr>
        <w:t>is</w:t>
      </w:r>
      <w:r w:rsidRPr="00283806">
        <w:rPr>
          <w:spacing w:val="17"/>
          <w:w w:val="110"/>
          <w:sz w:val="18"/>
        </w:rPr>
        <w:t xml:space="preserve"> </w:t>
      </w:r>
      <w:r w:rsidRPr="00283806">
        <w:rPr>
          <w:w w:val="110"/>
          <w:sz w:val="18"/>
        </w:rPr>
        <w:t>finalizing</w:t>
      </w:r>
      <w:r w:rsidRPr="00283806">
        <w:rPr>
          <w:spacing w:val="18"/>
          <w:w w:val="110"/>
          <w:sz w:val="18"/>
        </w:rPr>
        <w:t xml:space="preserve"> </w:t>
      </w:r>
      <w:r w:rsidRPr="00283806">
        <w:rPr>
          <w:spacing w:val="-5"/>
          <w:w w:val="110"/>
          <w:sz w:val="18"/>
        </w:rPr>
        <w:t>as</w:t>
      </w:r>
    </w:p>
    <w:p w14:paraId="6966ED65" w14:textId="77777777" w:rsidR="00D67C1E" w:rsidRPr="00283806" w:rsidRDefault="001265CA">
      <w:pPr>
        <w:pStyle w:val="BodyText"/>
        <w:spacing w:line="225" w:lineRule="auto"/>
        <w:ind w:left="154" w:right="85"/>
      </w:pPr>
      <w:r w:rsidRPr="00283806">
        <w:rPr>
          <w:w w:val="105"/>
        </w:rPr>
        <w:t>proposed that the ALD requirements only apply to IPR and commercial refrigeration appliances with a charge size of 1,500 pounds or more. EPA considered and is not establishing requiring ALD systems for all refrigerant-containing appliances above a certain charge size. Instead, after considering</w:t>
      </w:r>
      <w:r w:rsidRPr="00283806">
        <w:rPr>
          <w:spacing w:val="12"/>
          <w:w w:val="105"/>
        </w:rPr>
        <w:t xml:space="preserve"> </w:t>
      </w:r>
      <w:r w:rsidRPr="00283806">
        <w:rPr>
          <w:w w:val="105"/>
        </w:rPr>
        <w:t>the</w:t>
      </w:r>
      <w:r w:rsidRPr="00283806">
        <w:rPr>
          <w:spacing w:val="12"/>
          <w:w w:val="105"/>
        </w:rPr>
        <w:t xml:space="preserve"> </w:t>
      </w:r>
      <w:r w:rsidRPr="00283806">
        <w:rPr>
          <w:w w:val="105"/>
        </w:rPr>
        <w:t>opportunities</w:t>
      </w:r>
      <w:r w:rsidRPr="00283806">
        <w:rPr>
          <w:spacing w:val="13"/>
          <w:w w:val="105"/>
        </w:rPr>
        <w:t xml:space="preserve"> </w:t>
      </w:r>
      <w:r w:rsidRPr="00283806">
        <w:rPr>
          <w:w w:val="105"/>
        </w:rPr>
        <w:t>to</w:t>
      </w:r>
      <w:r w:rsidRPr="00283806">
        <w:rPr>
          <w:spacing w:val="12"/>
          <w:w w:val="105"/>
        </w:rPr>
        <w:t xml:space="preserve"> </w:t>
      </w:r>
      <w:r w:rsidRPr="00283806">
        <w:rPr>
          <w:spacing w:val="-2"/>
          <w:w w:val="105"/>
        </w:rPr>
        <w:t>reduce</w:t>
      </w:r>
    </w:p>
    <w:p w14:paraId="2CAE1DD9" w14:textId="77777777" w:rsidR="00D67C1E" w:rsidRPr="00283806" w:rsidRDefault="001265CA">
      <w:pPr>
        <w:pStyle w:val="BodyText"/>
        <w:spacing w:line="225" w:lineRule="auto"/>
        <w:ind w:left="154" w:right="56"/>
      </w:pPr>
      <w:r w:rsidRPr="00283806">
        <w:rPr>
          <w:w w:val="105"/>
        </w:rPr>
        <w:t>leaks and thus minimize emissions, EPA decided to limit this requirement to commercial refrigeration and IPR appliances. EPA is not establishing requirements for using ALD systems for appliances used for comfort cooling.</w:t>
      </w:r>
    </w:p>
    <w:p w14:paraId="2EBBE5B9" w14:textId="77777777" w:rsidR="00D67C1E" w:rsidRPr="00283806" w:rsidRDefault="001265CA">
      <w:pPr>
        <w:pStyle w:val="BodyText"/>
        <w:spacing w:line="225" w:lineRule="auto"/>
        <w:ind w:left="154" w:right="27"/>
      </w:pPr>
      <w:r w:rsidRPr="00283806">
        <w:rPr>
          <w:w w:val="110"/>
        </w:rPr>
        <w:t>The Agency understands that refrigerant-containing appliances used for</w:t>
      </w:r>
      <w:r w:rsidRPr="00283806">
        <w:rPr>
          <w:spacing w:val="-11"/>
          <w:w w:val="110"/>
        </w:rPr>
        <w:t xml:space="preserve"> </w:t>
      </w:r>
      <w:r w:rsidRPr="00283806">
        <w:rPr>
          <w:w w:val="110"/>
        </w:rPr>
        <w:t>comfort</w:t>
      </w:r>
      <w:r w:rsidRPr="00283806">
        <w:rPr>
          <w:spacing w:val="-11"/>
          <w:w w:val="110"/>
        </w:rPr>
        <w:t xml:space="preserve"> </w:t>
      </w:r>
      <w:r w:rsidRPr="00283806">
        <w:rPr>
          <w:w w:val="110"/>
        </w:rPr>
        <w:t>cooling</w:t>
      </w:r>
      <w:r w:rsidRPr="00283806">
        <w:rPr>
          <w:spacing w:val="-11"/>
          <w:w w:val="110"/>
        </w:rPr>
        <w:t xml:space="preserve"> </w:t>
      </w:r>
      <w:r w:rsidRPr="00283806">
        <w:rPr>
          <w:w w:val="110"/>
        </w:rPr>
        <w:t>typically</w:t>
      </w:r>
      <w:r w:rsidRPr="00283806">
        <w:rPr>
          <w:spacing w:val="-11"/>
          <w:w w:val="110"/>
        </w:rPr>
        <w:t xml:space="preserve"> </w:t>
      </w:r>
      <w:r w:rsidRPr="00283806">
        <w:rPr>
          <w:w w:val="110"/>
        </w:rPr>
        <w:t>do</w:t>
      </w:r>
      <w:r w:rsidRPr="00283806">
        <w:rPr>
          <w:spacing w:val="-11"/>
          <w:w w:val="110"/>
        </w:rPr>
        <w:t xml:space="preserve"> </w:t>
      </w:r>
      <w:r w:rsidRPr="00283806">
        <w:rPr>
          <w:w w:val="110"/>
        </w:rPr>
        <w:t>not</w:t>
      </w:r>
      <w:r w:rsidRPr="00283806">
        <w:rPr>
          <w:spacing w:val="-11"/>
          <w:w w:val="110"/>
        </w:rPr>
        <w:t xml:space="preserve"> </w:t>
      </w:r>
      <w:r w:rsidRPr="00283806">
        <w:rPr>
          <w:w w:val="110"/>
        </w:rPr>
        <w:t>leak to</w:t>
      </w:r>
      <w:r w:rsidRPr="00283806">
        <w:rPr>
          <w:spacing w:val="-1"/>
          <w:w w:val="110"/>
        </w:rPr>
        <w:t xml:space="preserve"> </w:t>
      </w:r>
      <w:r w:rsidRPr="00283806">
        <w:rPr>
          <w:w w:val="110"/>
        </w:rPr>
        <w:t>the</w:t>
      </w:r>
      <w:r w:rsidRPr="00283806">
        <w:rPr>
          <w:spacing w:val="-1"/>
          <w:w w:val="110"/>
        </w:rPr>
        <w:t xml:space="preserve"> </w:t>
      </w:r>
      <w:r w:rsidRPr="00283806">
        <w:rPr>
          <w:w w:val="110"/>
        </w:rPr>
        <w:t>same</w:t>
      </w:r>
      <w:r w:rsidRPr="00283806">
        <w:rPr>
          <w:spacing w:val="-1"/>
          <w:w w:val="110"/>
        </w:rPr>
        <w:t xml:space="preserve"> </w:t>
      </w:r>
      <w:r w:rsidRPr="00283806">
        <w:rPr>
          <w:w w:val="110"/>
        </w:rPr>
        <w:t>degree</w:t>
      </w:r>
      <w:r w:rsidRPr="00283806">
        <w:rPr>
          <w:spacing w:val="-1"/>
          <w:w w:val="110"/>
        </w:rPr>
        <w:t xml:space="preserve"> </w:t>
      </w:r>
      <w:r w:rsidRPr="00283806">
        <w:rPr>
          <w:w w:val="110"/>
        </w:rPr>
        <w:t>as</w:t>
      </w:r>
      <w:r w:rsidRPr="00283806">
        <w:rPr>
          <w:spacing w:val="-1"/>
          <w:w w:val="110"/>
        </w:rPr>
        <w:t xml:space="preserve"> </w:t>
      </w:r>
      <w:r w:rsidRPr="00283806">
        <w:rPr>
          <w:w w:val="110"/>
        </w:rPr>
        <w:t>appliances</w:t>
      </w:r>
      <w:r w:rsidRPr="00283806">
        <w:rPr>
          <w:spacing w:val="-1"/>
          <w:w w:val="110"/>
        </w:rPr>
        <w:t xml:space="preserve"> </w:t>
      </w:r>
      <w:r w:rsidRPr="00283806">
        <w:rPr>
          <w:w w:val="110"/>
        </w:rPr>
        <w:t>in</w:t>
      </w:r>
      <w:r w:rsidRPr="00283806">
        <w:rPr>
          <w:spacing w:val="-1"/>
          <w:w w:val="110"/>
        </w:rPr>
        <w:t xml:space="preserve"> </w:t>
      </w:r>
      <w:proofErr w:type="gramStart"/>
      <w:r w:rsidRPr="00283806">
        <w:rPr>
          <w:w w:val="110"/>
        </w:rPr>
        <w:t>the commercial</w:t>
      </w:r>
      <w:proofErr w:type="gramEnd"/>
      <w:r w:rsidRPr="00283806">
        <w:rPr>
          <w:w w:val="110"/>
        </w:rPr>
        <w:t xml:space="preserve"> refrigeration and IPR subsectors.</w:t>
      </w:r>
      <w:r w:rsidRPr="00283806">
        <w:rPr>
          <w:spacing w:val="-9"/>
          <w:w w:val="110"/>
        </w:rPr>
        <w:t xml:space="preserve"> </w:t>
      </w:r>
      <w:r w:rsidRPr="00283806">
        <w:rPr>
          <w:w w:val="110"/>
        </w:rPr>
        <w:t>Medium</w:t>
      </w:r>
      <w:r w:rsidRPr="00283806">
        <w:rPr>
          <w:spacing w:val="-9"/>
          <w:w w:val="110"/>
        </w:rPr>
        <w:t xml:space="preserve"> </w:t>
      </w:r>
      <w:r w:rsidRPr="00283806">
        <w:rPr>
          <w:w w:val="110"/>
        </w:rPr>
        <w:t>(charge</w:t>
      </w:r>
      <w:r w:rsidRPr="00283806">
        <w:rPr>
          <w:spacing w:val="-9"/>
          <w:w w:val="110"/>
        </w:rPr>
        <w:t xml:space="preserve"> </w:t>
      </w:r>
      <w:r w:rsidRPr="00283806">
        <w:rPr>
          <w:w w:val="110"/>
        </w:rPr>
        <w:t>size</w:t>
      </w:r>
      <w:r w:rsidRPr="00283806">
        <w:rPr>
          <w:spacing w:val="-9"/>
          <w:w w:val="110"/>
        </w:rPr>
        <w:t xml:space="preserve"> </w:t>
      </w:r>
      <w:r w:rsidRPr="00283806">
        <w:rPr>
          <w:w w:val="110"/>
        </w:rPr>
        <w:t>of</w:t>
      </w:r>
      <w:r w:rsidRPr="00283806">
        <w:rPr>
          <w:spacing w:val="-9"/>
          <w:w w:val="110"/>
        </w:rPr>
        <w:t xml:space="preserve"> </w:t>
      </w:r>
      <w:r w:rsidRPr="00283806">
        <w:rPr>
          <w:w w:val="110"/>
        </w:rPr>
        <w:t xml:space="preserve">200 </w:t>
      </w:r>
      <w:r w:rsidRPr="00283806">
        <w:t>to 2,000 pounds of refrigerant) and large</w:t>
      </w:r>
      <w:r w:rsidRPr="00283806">
        <w:rPr>
          <w:w w:val="110"/>
        </w:rPr>
        <w:t xml:space="preserve"> (charge</w:t>
      </w:r>
      <w:r w:rsidRPr="00283806">
        <w:rPr>
          <w:spacing w:val="-5"/>
          <w:w w:val="110"/>
        </w:rPr>
        <w:t xml:space="preserve"> </w:t>
      </w:r>
      <w:r w:rsidRPr="00283806">
        <w:rPr>
          <w:w w:val="110"/>
        </w:rPr>
        <w:t>size</w:t>
      </w:r>
      <w:r w:rsidRPr="00283806">
        <w:rPr>
          <w:spacing w:val="-5"/>
          <w:w w:val="110"/>
        </w:rPr>
        <w:t xml:space="preserve"> </w:t>
      </w:r>
      <w:r w:rsidRPr="00283806">
        <w:rPr>
          <w:w w:val="110"/>
        </w:rPr>
        <w:t>2,000</w:t>
      </w:r>
      <w:r w:rsidRPr="00283806">
        <w:rPr>
          <w:spacing w:val="-5"/>
          <w:w w:val="110"/>
        </w:rPr>
        <w:t xml:space="preserve"> </w:t>
      </w:r>
      <w:r w:rsidRPr="00283806">
        <w:rPr>
          <w:w w:val="110"/>
        </w:rPr>
        <w:t>pounds</w:t>
      </w:r>
      <w:r w:rsidRPr="00283806">
        <w:rPr>
          <w:spacing w:val="-5"/>
          <w:w w:val="110"/>
        </w:rPr>
        <w:t xml:space="preserve"> </w:t>
      </w:r>
      <w:r w:rsidRPr="00283806">
        <w:rPr>
          <w:w w:val="110"/>
        </w:rPr>
        <w:t>or</w:t>
      </w:r>
      <w:r w:rsidRPr="00283806">
        <w:rPr>
          <w:spacing w:val="-5"/>
          <w:w w:val="110"/>
        </w:rPr>
        <w:t xml:space="preserve"> </w:t>
      </w:r>
      <w:r w:rsidRPr="00283806">
        <w:rPr>
          <w:w w:val="110"/>
        </w:rPr>
        <w:t>greater</w:t>
      </w:r>
      <w:r w:rsidRPr="00283806">
        <w:rPr>
          <w:spacing w:val="-5"/>
          <w:w w:val="110"/>
        </w:rPr>
        <w:t xml:space="preserve"> </w:t>
      </w:r>
      <w:r w:rsidRPr="00283806">
        <w:rPr>
          <w:w w:val="110"/>
        </w:rPr>
        <w:t>of refrigerant)</w:t>
      </w:r>
      <w:r w:rsidRPr="00283806">
        <w:rPr>
          <w:spacing w:val="-11"/>
          <w:w w:val="110"/>
        </w:rPr>
        <w:t xml:space="preserve"> </w:t>
      </w:r>
      <w:r w:rsidRPr="00283806">
        <w:rPr>
          <w:w w:val="110"/>
        </w:rPr>
        <w:t>comfort</w:t>
      </w:r>
      <w:r w:rsidRPr="00283806">
        <w:rPr>
          <w:spacing w:val="-11"/>
          <w:w w:val="110"/>
        </w:rPr>
        <w:t xml:space="preserve"> </w:t>
      </w:r>
      <w:r w:rsidRPr="00283806">
        <w:rPr>
          <w:w w:val="110"/>
        </w:rPr>
        <w:t>cooling</w:t>
      </w:r>
      <w:r w:rsidRPr="00283806">
        <w:rPr>
          <w:spacing w:val="-11"/>
          <w:w w:val="110"/>
        </w:rPr>
        <w:t xml:space="preserve"> </w:t>
      </w:r>
      <w:r w:rsidRPr="00283806">
        <w:rPr>
          <w:w w:val="110"/>
        </w:rPr>
        <w:t>appliances average annual leak rates of around 10 percent, while medium and large commercial refrigeration and IPR appliances</w:t>
      </w:r>
      <w:r w:rsidRPr="00283806">
        <w:rPr>
          <w:spacing w:val="-4"/>
          <w:w w:val="110"/>
        </w:rPr>
        <w:t xml:space="preserve"> </w:t>
      </w:r>
      <w:r w:rsidRPr="00283806">
        <w:rPr>
          <w:w w:val="110"/>
        </w:rPr>
        <w:t>have</w:t>
      </w:r>
      <w:r w:rsidRPr="00283806">
        <w:rPr>
          <w:spacing w:val="-4"/>
          <w:w w:val="110"/>
        </w:rPr>
        <w:t xml:space="preserve"> </w:t>
      </w:r>
      <w:r w:rsidRPr="00283806">
        <w:rPr>
          <w:w w:val="110"/>
        </w:rPr>
        <w:t>average</w:t>
      </w:r>
      <w:r w:rsidRPr="00283806">
        <w:rPr>
          <w:spacing w:val="-4"/>
          <w:w w:val="110"/>
        </w:rPr>
        <w:t xml:space="preserve"> </w:t>
      </w:r>
      <w:r w:rsidRPr="00283806">
        <w:rPr>
          <w:w w:val="110"/>
        </w:rPr>
        <w:t>leak</w:t>
      </w:r>
      <w:r w:rsidRPr="00283806">
        <w:rPr>
          <w:spacing w:val="-4"/>
          <w:w w:val="110"/>
        </w:rPr>
        <w:t xml:space="preserve"> </w:t>
      </w:r>
      <w:r w:rsidRPr="00283806">
        <w:rPr>
          <w:w w:val="110"/>
        </w:rPr>
        <w:t>rates</w:t>
      </w:r>
      <w:r w:rsidRPr="00283806">
        <w:rPr>
          <w:spacing w:val="-4"/>
          <w:w w:val="110"/>
        </w:rPr>
        <w:t xml:space="preserve"> </w:t>
      </w:r>
      <w:r w:rsidRPr="00283806">
        <w:rPr>
          <w:w w:val="110"/>
        </w:rPr>
        <w:t>that are</w:t>
      </w:r>
      <w:r w:rsidRPr="00283806">
        <w:rPr>
          <w:spacing w:val="-11"/>
          <w:w w:val="110"/>
        </w:rPr>
        <w:t xml:space="preserve"> </w:t>
      </w:r>
      <w:r w:rsidRPr="00283806">
        <w:rPr>
          <w:w w:val="110"/>
        </w:rPr>
        <w:t>around</w:t>
      </w:r>
      <w:r w:rsidRPr="00283806">
        <w:rPr>
          <w:spacing w:val="-11"/>
          <w:w w:val="110"/>
        </w:rPr>
        <w:t xml:space="preserve"> </w:t>
      </w:r>
      <w:r w:rsidRPr="00283806">
        <w:rPr>
          <w:w w:val="110"/>
        </w:rPr>
        <w:t>two</w:t>
      </w:r>
      <w:r w:rsidRPr="00283806">
        <w:rPr>
          <w:spacing w:val="-11"/>
          <w:w w:val="110"/>
        </w:rPr>
        <w:t xml:space="preserve"> </w:t>
      </w:r>
      <w:r w:rsidRPr="00283806">
        <w:rPr>
          <w:w w:val="110"/>
        </w:rPr>
        <w:t>to</w:t>
      </w:r>
      <w:r w:rsidRPr="00283806">
        <w:rPr>
          <w:spacing w:val="-11"/>
          <w:w w:val="110"/>
        </w:rPr>
        <w:t xml:space="preserve"> </w:t>
      </w:r>
      <w:r w:rsidRPr="00283806">
        <w:rPr>
          <w:w w:val="110"/>
        </w:rPr>
        <w:t>three</w:t>
      </w:r>
      <w:r w:rsidRPr="00283806">
        <w:rPr>
          <w:spacing w:val="-11"/>
          <w:w w:val="110"/>
        </w:rPr>
        <w:t xml:space="preserve"> </w:t>
      </w:r>
      <w:r w:rsidRPr="00283806">
        <w:rPr>
          <w:w w:val="110"/>
        </w:rPr>
        <w:t>times</w:t>
      </w:r>
      <w:r w:rsidRPr="00283806">
        <w:rPr>
          <w:spacing w:val="-11"/>
          <w:w w:val="110"/>
        </w:rPr>
        <w:t xml:space="preserve"> </w:t>
      </w:r>
      <w:r w:rsidRPr="00283806">
        <w:rPr>
          <w:w w:val="110"/>
        </w:rPr>
        <w:t>greater.</w:t>
      </w:r>
      <w:r w:rsidRPr="00283806">
        <w:rPr>
          <w:w w:val="110"/>
          <w:position w:val="5"/>
          <w:sz w:val="11"/>
        </w:rPr>
        <w:t>82</w:t>
      </w:r>
      <w:r w:rsidRPr="00283806">
        <w:rPr>
          <w:spacing w:val="40"/>
          <w:w w:val="110"/>
          <w:position w:val="5"/>
          <w:sz w:val="11"/>
        </w:rPr>
        <w:t xml:space="preserve"> </w:t>
      </w:r>
      <w:r w:rsidRPr="00283806">
        <w:rPr>
          <w:w w:val="110"/>
        </w:rPr>
        <w:t>This is consistent with EPA’s requirements</w:t>
      </w:r>
      <w:r w:rsidRPr="00283806">
        <w:rPr>
          <w:spacing w:val="-9"/>
          <w:w w:val="110"/>
        </w:rPr>
        <w:t xml:space="preserve"> </w:t>
      </w:r>
      <w:r w:rsidRPr="00283806">
        <w:rPr>
          <w:w w:val="110"/>
        </w:rPr>
        <w:t>for</w:t>
      </w:r>
      <w:r w:rsidRPr="00283806">
        <w:rPr>
          <w:spacing w:val="-9"/>
          <w:w w:val="110"/>
        </w:rPr>
        <w:t xml:space="preserve"> </w:t>
      </w:r>
      <w:r w:rsidRPr="00283806">
        <w:rPr>
          <w:w w:val="110"/>
        </w:rPr>
        <w:t>leak</w:t>
      </w:r>
      <w:r w:rsidRPr="00283806">
        <w:rPr>
          <w:spacing w:val="-9"/>
          <w:w w:val="110"/>
        </w:rPr>
        <w:t xml:space="preserve"> </w:t>
      </w:r>
      <w:r w:rsidRPr="00283806">
        <w:rPr>
          <w:w w:val="110"/>
        </w:rPr>
        <w:t>inspections,</w:t>
      </w:r>
      <w:r w:rsidRPr="00283806">
        <w:rPr>
          <w:spacing w:val="-9"/>
          <w:w w:val="110"/>
        </w:rPr>
        <w:t xml:space="preserve"> </w:t>
      </w:r>
      <w:r w:rsidRPr="00283806">
        <w:rPr>
          <w:w w:val="110"/>
        </w:rPr>
        <w:t xml:space="preserve">such </w:t>
      </w:r>
      <w:r w:rsidRPr="00283806">
        <w:rPr>
          <w:spacing w:val="-2"/>
          <w:w w:val="110"/>
        </w:rPr>
        <w:t>that</w:t>
      </w:r>
      <w:r w:rsidRPr="00283806">
        <w:rPr>
          <w:spacing w:val="-7"/>
          <w:w w:val="110"/>
        </w:rPr>
        <w:t xml:space="preserve"> </w:t>
      </w:r>
      <w:r w:rsidRPr="00283806">
        <w:rPr>
          <w:spacing w:val="-2"/>
          <w:w w:val="110"/>
        </w:rPr>
        <w:t>appliances</w:t>
      </w:r>
      <w:r w:rsidRPr="00283806">
        <w:rPr>
          <w:spacing w:val="-7"/>
          <w:w w:val="110"/>
        </w:rPr>
        <w:t xml:space="preserve"> </w:t>
      </w:r>
      <w:r w:rsidRPr="00283806">
        <w:rPr>
          <w:spacing w:val="-2"/>
          <w:w w:val="110"/>
        </w:rPr>
        <w:t>used</w:t>
      </w:r>
      <w:r w:rsidRPr="00283806">
        <w:rPr>
          <w:spacing w:val="-7"/>
          <w:w w:val="110"/>
        </w:rPr>
        <w:t xml:space="preserve"> </w:t>
      </w:r>
      <w:r w:rsidRPr="00283806">
        <w:rPr>
          <w:spacing w:val="-2"/>
          <w:w w:val="110"/>
        </w:rPr>
        <w:t>for</w:t>
      </w:r>
      <w:r w:rsidRPr="00283806">
        <w:rPr>
          <w:spacing w:val="-7"/>
          <w:w w:val="110"/>
        </w:rPr>
        <w:t xml:space="preserve"> </w:t>
      </w:r>
      <w:r w:rsidRPr="00283806">
        <w:rPr>
          <w:spacing w:val="-2"/>
          <w:w w:val="110"/>
        </w:rPr>
        <w:t>comfort</w:t>
      </w:r>
      <w:r w:rsidRPr="00283806">
        <w:rPr>
          <w:spacing w:val="-7"/>
          <w:w w:val="110"/>
        </w:rPr>
        <w:t xml:space="preserve"> </w:t>
      </w:r>
      <w:r w:rsidRPr="00283806">
        <w:rPr>
          <w:spacing w:val="-2"/>
          <w:w w:val="110"/>
        </w:rPr>
        <w:t xml:space="preserve">cooling </w:t>
      </w:r>
      <w:r w:rsidRPr="00283806">
        <w:rPr>
          <w:w w:val="110"/>
        </w:rPr>
        <w:t>would</w:t>
      </w:r>
      <w:r w:rsidRPr="00283806">
        <w:rPr>
          <w:spacing w:val="-11"/>
          <w:w w:val="110"/>
        </w:rPr>
        <w:t xml:space="preserve"> </w:t>
      </w:r>
      <w:r w:rsidRPr="00283806">
        <w:rPr>
          <w:w w:val="110"/>
        </w:rPr>
        <w:t>not</w:t>
      </w:r>
      <w:r w:rsidRPr="00283806">
        <w:rPr>
          <w:spacing w:val="-11"/>
          <w:w w:val="110"/>
        </w:rPr>
        <w:t xml:space="preserve"> </w:t>
      </w:r>
      <w:r w:rsidRPr="00283806">
        <w:rPr>
          <w:w w:val="110"/>
        </w:rPr>
        <w:t>have</w:t>
      </w:r>
      <w:r w:rsidRPr="00283806">
        <w:rPr>
          <w:spacing w:val="-11"/>
          <w:w w:val="110"/>
        </w:rPr>
        <w:t xml:space="preserve"> </w:t>
      </w:r>
      <w:r w:rsidRPr="00283806">
        <w:rPr>
          <w:w w:val="110"/>
        </w:rPr>
        <w:t>more</w:t>
      </w:r>
      <w:r w:rsidRPr="00283806">
        <w:rPr>
          <w:spacing w:val="-11"/>
          <w:w w:val="110"/>
        </w:rPr>
        <w:t xml:space="preserve"> </w:t>
      </w:r>
      <w:r w:rsidRPr="00283806">
        <w:rPr>
          <w:w w:val="110"/>
        </w:rPr>
        <w:t>frequent</w:t>
      </w:r>
      <w:r w:rsidRPr="00283806">
        <w:rPr>
          <w:spacing w:val="-11"/>
          <w:w w:val="110"/>
        </w:rPr>
        <w:t xml:space="preserve"> </w:t>
      </w:r>
      <w:r w:rsidRPr="00283806">
        <w:rPr>
          <w:w w:val="110"/>
        </w:rPr>
        <w:t>required leak inspections as a part of the leak repair</w:t>
      </w:r>
      <w:r w:rsidRPr="00283806">
        <w:rPr>
          <w:spacing w:val="-4"/>
          <w:w w:val="110"/>
        </w:rPr>
        <w:t xml:space="preserve"> </w:t>
      </w:r>
      <w:r w:rsidRPr="00283806">
        <w:rPr>
          <w:w w:val="110"/>
        </w:rPr>
        <w:t>provisions</w:t>
      </w:r>
      <w:r w:rsidRPr="00283806">
        <w:rPr>
          <w:spacing w:val="-4"/>
          <w:w w:val="110"/>
        </w:rPr>
        <w:t xml:space="preserve"> </w:t>
      </w:r>
      <w:r w:rsidRPr="00283806">
        <w:rPr>
          <w:w w:val="110"/>
        </w:rPr>
        <w:t>(see</w:t>
      </w:r>
      <w:r w:rsidRPr="00283806">
        <w:rPr>
          <w:spacing w:val="-4"/>
          <w:w w:val="110"/>
        </w:rPr>
        <w:t xml:space="preserve"> </w:t>
      </w:r>
      <w:r w:rsidRPr="00283806">
        <w:rPr>
          <w:w w:val="110"/>
        </w:rPr>
        <w:t>section</w:t>
      </w:r>
      <w:r w:rsidRPr="00283806">
        <w:rPr>
          <w:spacing w:val="-4"/>
          <w:w w:val="110"/>
        </w:rPr>
        <w:t xml:space="preserve"> </w:t>
      </w:r>
      <w:r w:rsidRPr="00283806">
        <w:rPr>
          <w:w w:val="110"/>
        </w:rPr>
        <w:t>IV.C.3.d). EPA previously acknowledged in the 2016 CAA section 608 Rule (81 FR</w:t>
      </w:r>
    </w:p>
    <w:p w14:paraId="7968C684" w14:textId="77777777" w:rsidR="00D67C1E" w:rsidRPr="00283806" w:rsidRDefault="001265CA">
      <w:pPr>
        <w:pStyle w:val="BodyText"/>
        <w:spacing w:before="13" w:line="228" w:lineRule="auto"/>
        <w:ind w:left="154" w:right="57"/>
      </w:pPr>
      <w:r w:rsidRPr="00283806">
        <w:rPr>
          <w:w w:val="105"/>
        </w:rPr>
        <w:t>82272, November 16, 2016) that larger commercial refrigeration and IPR appliances tend to have larger annual average leak rates than comfort cooling appliances. Further, larger commercial refrigeration and IPR appliances would have a greater amount of refrigerant lost compared to comfort cooling appliances even if the leak rates were the same</w:t>
      </w:r>
      <w:r w:rsidRPr="00283806">
        <w:rPr>
          <w:spacing w:val="40"/>
          <w:w w:val="105"/>
        </w:rPr>
        <w:t xml:space="preserve"> </w:t>
      </w:r>
      <w:r w:rsidRPr="00283806">
        <w:rPr>
          <w:w w:val="105"/>
        </w:rPr>
        <w:t>since these larger appliances typically have significantly larger refrigerant charge sizes. Thus, the primary benefit</w:t>
      </w:r>
      <w:r w:rsidRPr="00283806">
        <w:rPr>
          <w:spacing w:val="80"/>
          <w:w w:val="105"/>
        </w:rPr>
        <w:t xml:space="preserve"> </w:t>
      </w:r>
      <w:r w:rsidRPr="00283806">
        <w:rPr>
          <w:w w:val="105"/>
        </w:rPr>
        <w:t>of early leak detection from an ALD system would not be as useful for appliances solely used for comfort cooling. However, if an appliance has a dual function (</w:t>
      </w:r>
      <w:r w:rsidRPr="00283806">
        <w:rPr>
          <w:rFonts w:ascii="Book Antiqua"/>
          <w:i/>
          <w:w w:val="105"/>
        </w:rPr>
        <w:t xml:space="preserve">e.g., </w:t>
      </w:r>
      <w:r w:rsidRPr="00283806">
        <w:rPr>
          <w:w w:val="105"/>
        </w:rPr>
        <w:t>IPR and comfort cooling), an ALD system would be required. For example, if the refrigerant coming off the evaporator in an</w:t>
      </w:r>
      <w:r w:rsidRPr="00283806">
        <w:rPr>
          <w:spacing w:val="40"/>
          <w:w w:val="105"/>
        </w:rPr>
        <w:t xml:space="preserve"> </w:t>
      </w:r>
      <w:r w:rsidRPr="00283806">
        <w:rPr>
          <w:w w:val="105"/>
        </w:rPr>
        <w:t>industrial process were cool enough, it could be directed towards co-located</w:t>
      </w:r>
    </w:p>
    <w:p w14:paraId="4394ADC3" w14:textId="77777777" w:rsidR="00D67C1E" w:rsidRPr="00283806" w:rsidRDefault="001265CA">
      <w:pPr>
        <w:pStyle w:val="BodyText"/>
        <w:spacing w:before="3"/>
        <w:ind w:left="0"/>
        <w:rPr>
          <w:sz w:val="11"/>
        </w:rPr>
      </w:pPr>
      <w:r w:rsidRPr="00283806">
        <w:rPr>
          <w:noProof/>
        </w:rPr>
        <mc:AlternateContent>
          <mc:Choice Requires="wps">
            <w:drawing>
              <wp:anchor distT="0" distB="0" distL="0" distR="0" simplePos="0" relativeHeight="251643904" behindDoc="1" locked="0" layoutInCell="1" allowOverlap="1" wp14:anchorId="07B74202" wp14:editId="36066731">
                <wp:simplePos x="0" y="0"/>
                <wp:positionH relativeFrom="page">
                  <wp:posOffset>2819400</wp:posOffset>
                </wp:positionH>
                <wp:positionV relativeFrom="paragraph">
                  <wp:posOffset>99465</wp:posOffset>
                </wp:positionV>
                <wp:extent cx="635000" cy="1270"/>
                <wp:effectExtent l="0" t="0" r="0" b="0"/>
                <wp:wrapTopAndBottom/>
                <wp:docPr id="75" name="Graphic 7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FE18B8D" id="Graphic 75" o:spid="_x0000_s1026" alt="&quot;&quot;" style="position:absolute;margin-left:222pt;margin-top:7.85pt;width:50pt;height:.1pt;z-index:-251672576;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" path="m,l635000,e" filled="f" strokeweight=".5pt">
                <v:path arrowok="t"/>
                <w10:wrap type="topAndBottom" anchorx="page"/>
              </v:shape>
            </w:pict>
          </mc:Fallback>
        </mc:AlternateContent>
      </w:r>
    </w:p>
    <w:p w14:paraId="39DAFCC3" w14:textId="77777777" w:rsidR="00D67C1E" w:rsidRPr="00283806" w:rsidRDefault="001265CA">
      <w:pPr>
        <w:spacing w:before="40" w:line="232" w:lineRule="auto"/>
        <w:ind w:left="154" w:right="237" w:firstLine="140"/>
        <w:rPr>
          <w:sz w:val="14"/>
        </w:rPr>
      </w:pPr>
      <w:r w:rsidRPr="00283806">
        <w:rPr>
          <w:w w:val="110"/>
          <w:position w:val="4"/>
          <w:sz w:val="9"/>
        </w:rPr>
        <w:t>82</w:t>
      </w:r>
      <w:r w:rsidRPr="00283806">
        <w:rPr>
          <w:spacing w:val="-6"/>
          <w:w w:val="110"/>
          <w:position w:val="4"/>
          <w:sz w:val="9"/>
        </w:rPr>
        <w:t xml:space="preserve"> </w:t>
      </w:r>
      <w:r w:rsidRPr="00283806">
        <w:rPr>
          <w:w w:val="110"/>
          <w:sz w:val="14"/>
        </w:rPr>
        <w:t>Average</w:t>
      </w:r>
      <w:r w:rsidRPr="00283806">
        <w:rPr>
          <w:spacing w:val="-8"/>
          <w:w w:val="110"/>
          <w:sz w:val="14"/>
        </w:rPr>
        <w:t xml:space="preserve"> </w:t>
      </w:r>
      <w:r w:rsidRPr="00283806">
        <w:rPr>
          <w:w w:val="110"/>
          <w:sz w:val="14"/>
        </w:rPr>
        <w:t>annual</w:t>
      </w:r>
      <w:r w:rsidRPr="00283806">
        <w:rPr>
          <w:spacing w:val="-9"/>
          <w:w w:val="110"/>
          <w:sz w:val="14"/>
        </w:rPr>
        <w:t xml:space="preserve"> </w:t>
      </w:r>
      <w:r w:rsidRPr="00283806">
        <w:rPr>
          <w:w w:val="110"/>
          <w:sz w:val="14"/>
        </w:rPr>
        <w:t>leak</w:t>
      </w:r>
      <w:r w:rsidRPr="00283806">
        <w:rPr>
          <w:spacing w:val="-8"/>
          <w:w w:val="110"/>
          <w:sz w:val="14"/>
        </w:rPr>
        <w:t xml:space="preserve"> </w:t>
      </w:r>
      <w:r w:rsidRPr="00283806">
        <w:rPr>
          <w:w w:val="110"/>
          <w:sz w:val="14"/>
        </w:rPr>
        <w:t>rates</w:t>
      </w:r>
      <w:r w:rsidRPr="00283806">
        <w:rPr>
          <w:spacing w:val="-9"/>
          <w:w w:val="110"/>
          <w:sz w:val="14"/>
        </w:rPr>
        <w:t xml:space="preserve"> </w:t>
      </w:r>
      <w:r w:rsidRPr="00283806">
        <w:rPr>
          <w:w w:val="110"/>
          <w:sz w:val="14"/>
        </w:rPr>
        <w:t>by</w:t>
      </w:r>
      <w:r w:rsidRPr="00283806">
        <w:rPr>
          <w:spacing w:val="-8"/>
          <w:w w:val="110"/>
          <w:sz w:val="14"/>
        </w:rPr>
        <w:t xml:space="preserve"> </w:t>
      </w:r>
      <w:r w:rsidRPr="00283806">
        <w:rPr>
          <w:w w:val="110"/>
          <w:sz w:val="14"/>
        </w:rPr>
        <w:t>appliance</w:t>
      </w:r>
      <w:r w:rsidRPr="00283806">
        <w:rPr>
          <w:spacing w:val="-9"/>
          <w:w w:val="110"/>
          <w:sz w:val="14"/>
        </w:rPr>
        <w:t xml:space="preserve"> </w:t>
      </w:r>
      <w:r w:rsidRPr="00283806">
        <w:rPr>
          <w:w w:val="110"/>
          <w:sz w:val="14"/>
        </w:rPr>
        <w:t>type</w:t>
      </w:r>
      <w:r w:rsidRPr="00283806">
        <w:rPr>
          <w:spacing w:val="40"/>
          <w:w w:val="110"/>
          <w:sz w:val="14"/>
        </w:rPr>
        <w:t xml:space="preserve"> </w:t>
      </w:r>
      <w:r w:rsidRPr="00283806">
        <w:rPr>
          <w:w w:val="110"/>
          <w:sz w:val="14"/>
        </w:rPr>
        <w:t>and charge size are provided in the Economic</w:t>
      </w:r>
      <w:r w:rsidRPr="00283806">
        <w:rPr>
          <w:spacing w:val="40"/>
          <w:w w:val="110"/>
          <w:sz w:val="14"/>
        </w:rPr>
        <w:t xml:space="preserve"> </w:t>
      </w:r>
      <w:r w:rsidRPr="00283806">
        <w:rPr>
          <w:w w:val="110"/>
          <w:sz w:val="14"/>
        </w:rPr>
        <w:t>Impact and Benefits TSD.</w:t>
      </w:r>
    </w:p>
    <w:p w14:paraId="211FA666" w14:textId="77777777" w:rsidR="00D67C1E" w:rsidRPr="00283806" w:rsidRDefault="001265CA">
      <w:pPr>
        <w:pStyle w:val="BodyText"/>
        <w:spacing w:before="135" w:line="225" w:lineRule="auto"/>
        <w:ind w:left="144" w:right="208"/>
      </w:pPr>
      <w:r w:rsidRPr="00283806">
        <w:br w:type="column"/>
      </w:r>
      <w:r w:rsidRPr="00283806">
        <w:rPr>
          <w:w w:val="105"/>
        </w:rPr>
        <w:t>offices or break rooms to provide air conditioning, before being routed back</w:t>
      </w:r>
      <w:r w:rsidRPr="00283806">
        <w:rPr>
          <w:spacing w:val="80"/>
          <w:w w:val="105"/>
        </w:rPr>
        <w:t xml:space="preserve"> </w:t>
      </w:r>
      <w:r w:rsidRPr="00283806">
        <w:rPr>
          <w:w w:val="105"/>
        </w:rPr>
        <w:t>to the compressor(s). Such a system would provide both IPR and comfort cooling, and for purposes of this rule, an ALD system would be required.</w:t>
      </w:r>
    </w:p>
    <w:p w14:paraId="563F5D90" w14:textId="77777777" w:rsidR="00D67C1E" w:rsidRPr="00283806" w:rsidRDefault="001265CA">
      <w:pPr>
        <w:pStyle w:val="BodyText"/>
        <w:spacing w:line="178" w:lineRule="exact"/>
        <w:ind w:left="324"/>
      </w:pPr>
      <w:r w:rsidRPr="00283806">
        <w:rPr>
          <w:w w:val="110"/>
        </w:rPr>
        <w:t>Similarly,</w:t>
      </w:r>
      <w:r w:rsidRPr="00283806">
        <w:rPr>
          <w:spacing w:val="-4"/>
          <w:w w:val="110"/>
        </w:rPr>
        <w:t xml:space="preserve"> </w:t>
      </w:r>
      <w:r w:rsidRPr="00283806">
        <w:rPr>
          <w:w w:val="110"/>
        </w:rPr>
        <w:t>EPA</w:t>
      </w:r>
      <w:r w:rsidRPr="00283806">
        <w:rPr>
          <w:spacing w:val="-3"/>
          <w:w w:val="110"/>
        </w:rPr>
        <w:t xml:space="preserve"> </w:t>
      </w:r>
      <w:r w:rsidRPr="00283806">
        <w:rPr>
          <w:w w:val="110"/>
        </w:rPr>
        <w:t>disagrees</w:t>
      </w:r>
      <w:r w:rsidRPr="00283806">
        <w:rPr>
          <w:spacing w:val="-4"/>
          <w:w w:val="110"/>
        </w:rPr>
        <w:t xml:space="preserve"> </w:t>
      </w:r>
      <w:r w:rsidRPr="00283806">
        <w:rPr>
          <w:w w:val="110"/>
        </w:rPr>
        <w:t>with</w:t>
      </w:r>
      <w:r w:rsidRPr="00283806">
        <w:rPr>
          <w:spacing w:val="-3"/>
          <w:w w:val="110"/>
        </w:rPr>
        <w:t xml:space="preserve"> </w:t>
      </w:r>
      <w:r w:rsidRPr="00283806">
        <w:rPr>
          <w:spacing w:val="-5"/>
          <w:w w:val="110"/>
        </w:rPr>
        <w:t>one</w:t>
      </w:r>
    </w:p>
    <w:p w14:paraId="57F5343A" w14:textId="77777777" w:rsidR="00D67C1E" w:rsidRPr="00283806" w:rsidRDefault="001265CA">
      <w:pPr>
        <w:pStyle w:val="BodyText"/>
        <w:spacing w:before="4" w:line="225" w:lineRule="auto"/>
        <w:ind w:left="144" w:right="123"/>
      </w:pPr>
      <w:r w:rsidRPr="00283806">
        <w:rPr>
          <w:w w:val="105"/>
        </w:rPr>
        <w:t>commenter’s suggestion to include all RACHP refrigerant-containing</w:t>
      </w:r>
      <w:r w:rsidRPr="00283806">
        <w:rPr>
          <w:spacing w:val="80"/>
          <w:w w:val="105"/>
        </w:rPr>
        <w:t xml:space="preserve"> </w:t>
      </w:r>
      <w:r w:rsidRPr="00283806">
        <w:rPr>
          <w:w w:val="105"/>
        </w:rPr>
        <w:t>appliances with a charge size above 200 pounds. As discussed previously in this section, the Agency has changed the applicability of existing IPR and commercial refrigeration appliances to ensure the supply of ALD systems can meet the demand created by this final rule’s requirements. Lowering the</w:t>
      </w:r>
      <w:r w:rsidRPr="00283806">
        <w:rPr>
          <w:spacing w:val="80"/>
          <w:w w:val="105"/>
        </w:rPr>
        <w:t xml:space="preserve"> </w:t>
      </w:r>
      <w:r w:rsidRPr="00283806">
        <w:rPr>
          <w:w w:val="105"/>
        </w:rPr>
        <w:t>charge size threshold to 200 pounds (or any other threshold below 1,500</w:t>
      </w:r>
      <w:r w:rsidRPr="00283806">
        <w:rPr>
          <w:spacing w:val="80"/>
          <w:w w:val="105"/>
        </w:rPr>
        <w:t xml:space="preserve"> </w:t>
      </w:r>
      <w:r w:rsidRPr="00283806">
        <w:rPr>
          <w:w w:val="105"/>
        </w:rPr>
        <w:t xml:space="preserve">pounds) may create additional market disruptions and hamper the uptake of ALD systems for larger IPR and commercial refrigeration appliances, which this rule is specifically capturing, and thus </w:t>
      </w:r>
      <w:proofErr w:type="gramStart"/>
      <w:r w:rsidRPr="00283806">
        <w:rPr>
          <w:w w:val="105"/>
        </w:rPr>
        <w:t>diminish</w:t>
      </w:r>
      <w:proofErr w:type="gramEnd"/>
      <w:r w:rsidRPr="00283806">
        <w:rPr>
          <w:w w:val="105"/>
        </w:rPr>
        <w:t xml:space="preserve"> the potential</w:t>
      </w:r>
      <w:r w:rsidRPr="00283806">
        <w:rPr>
          <w:spacing w:val="40"/>
          <w:w w:val="105"/>
        </w:rPr>
        <w:t xml:space="preserve"> </w:t>
      </w:r>
      <w:r w:rsidRPr="00283806">
        <w:rPr>
          <w:w w:val="105"/>
        </w:rPr>
        <w:t>emissions reductions for larger refrigerant-containing appliances. While the Agency encourages the use of ALD systems</w:t>
      </w:r>
      <w:r w:rsidRPr="00283806">
        <w:rPr>
          <w:spacing w:val="40"/>
          <w:w w:val="105"/>
        </w:rPr>
        <w:t xml:space="preserve"> </w:t>
      </w:r>
      <w:r w:rsidRPr="00283806">
        <w:rPr>
          <w:w w:val="105"/>
        </w:rPr>
        <w:t>at</w:t>
      </w:r>
      <w:r w:rsidRPr="00283806">
        <w:rPr>
          <w:spacing w:val="40"/>
          <w:w w:val="105"/>
        </w:rPr>
        <w:t xml:space="preserve"> </w:t>
      </w:r>
      <w:r w:rsidRPr="00283806">
        <w:rPr>
          <w:w w:val="105"/>
        </w:rPr>
        <w:t>any</w:t>
      </w:r>
      <w:r w:rsidRPr="00283806">
        <w:rPr>
          <w:spacing w:val="40"/>
          <w:w w:val="105"/>
        </w:rPr>
        <w:t xml:space="preserve"> </w:t>
      </w:r>
      <w:r w:rsidRPr="00283806">
        <w:rPr>
          <w:w w:val="105"/>
        </w:rPr>
        <w:t>charge</w:t>
      </w:r>
      <w:r w:rsidRPr="00283806">
        <w:rPr>
          <w:spacing w:val="40"/>
          <w:w w:val="105"/>
        </w:rPr>
        <w:t xml:space="preserve"> </w:t>
      </w:r>
      <w:r w:rsidRPr="00283806">
        <w:rPr>
          <w:w w:val="105"/>
        </w:rPr>
        <w:t>size,</w:t>
      </w:r>
      <w:r w:rsidRPr="00283806">
        <w:rPr>
          <w:spacing w:val="40"/>
          <w:w w:val="105"/>
        </w:rPr>
        <w:t xml:space="preserve"> </w:t>
      </w:r>
      <w:r w:rsidRPr="00283806">
        <w:rPr>
          <w:w w:val="105"/>
        </w:rPr>
        <w:t>EPA</w:t>
      </w:r>
      <w:r w:rsidRPr="00283806">
        <w:rPr>
          <w:spacing w:val="40"/>
          <w:w w:val="105"/>
        </w:rPr>
        <w:t xml:space="preserve"> </w:t>
      </w:r>
      <w:r w:rsidRPr="00283806">
        <w:rPr>
          <w:w w:val="105"/>
        </w:rPr>
        <w:t>does not intend to require such installation in this rulemaking. The Agency may reconsider the applicability of certain refrigerant-containing appliances at a specific charge size in a future notice- and-comment rulemaking.</w:t>
      </w:r>
    </w:p>
    <w:p w14:paraId="74E189E1" w14:textId="77777777" w:rsidR="00D67C1E" w:rsidRPr="00283806" w:rsidRDefault="001265CA">
      <w:pPr>
        <w:pStyle w:val="BodyText"/>
        <w:spacing w:line="170" w:lineRule="exact"/>
        <w:ind w:left="324"/>
      </w:pPr>
      <w:r w:rsidRPr="00283806">
        <w:rPr>
          <w:w w:val="105"/>
        </w:rPr>
        <w:t>EPA</w:t>
      </w:r>
      <w:r w:rsidRPr="00283806">
        <w:rPr>
          <w:spacing w:val="11"/>
          <w:w w:val="105"/>
        </w:rPr>
        <w:t xml:space="preserve"> </w:t>
      </w:r>
      <w:r w:rsidRPr="00283806">
        <w:rPr>
          <w:w w:val="105"/>
        </w:rPr>
        <w:t>responds</w:t>
      </w:r>
      <w:r w:rsidRPr="00283806">
        <w:rPr>
          <w:spacing w:val="12"/>
          <w:w w:val="105"/>
        </w:rPr>
        <w:t xml:space="preserve"> </w:t>
      </w:r>
      <w:r w:rsidRPr="00283806">
        <w:rPr>
          <w:w w:val="105"/>
        </w:rPr>
        <w:t>to</w:t>
      </w:r>
      <w:r w:rsidRPr="00283806">
        <w:rPr>
          <w:spacing w:val="11"/>
          <w:w w:val="105"/>
        </w:rPr>
        <w:t xml:space="preserve"> </w:t>
      </w:r>
      <w:r w:rsidRPr="00283806">
        <w:rPr>
          <w:w w:val="105"/>
        </w:rPr>
        <w:t>the</w:t>
      </w:r>
      <w:r w:rsidRPr="00283806">
        <w:rPr>
          <w:spacing w:val="12"/>
          <w:w w:val="105"/>
        </w:rPr>
        <w:t xml:space="preserve"> </w:t>
      </w:r>
      <w:r w:rsidRPr="00283806">
        <w:rPr>
          <w:spacing w:val="-2"/>
          <w:w w:val="105"/>
        </w:rPr>
        <w:t>commenter’s</w:t>
      </w:r>
    </w:p>
    <w:p w14:paraId="0B7383C3" w14:textId="77777777" w:rsidR="00D67C1E" w:rsidRPr="00283806" w:rsidRDefault="001265CA">
      <w:pPr>
        <w:pStyle w:val="BodyText"/>
        <w:spacing w:before="4" w:line="225" w:lineRule="auto"/>
        <w:ind w:left="144" w:right="142"/>
      </w:pPr>
      <w:r w:rsidRPr="00283806">
        <w:rPr>
          <w:w w:val="105"/>
        </w:rPr>
        <w:t>scenario that owners or operators may circumvent</w:t>
      </w:r>
      <w:r w:rsidRPr="00283806">
        <w:rPr>
          <w:spacing w:val="40"/>
          <w:w w:val="105"/>
        </w:rPr>
        <w:t xml:space="preserve"> </w:t>
      </w:r>
      <w:r w:rsidRPr="00283806">
        <w:rPr>
          <w:w w:val="105"/>
        </w:rPr>
        <w:t>the</w:t>
      </w:r>
      <w:r w:rsidRPr="00283806">
        <w:rPr>
          <w:spacing w:val="40"/>
          <w:w w:val="105"/>
        </w:rPr>
        <w:t xml:space="preserve"> </w:t>
      </w:r>
      <w:r w:rsidRPr="00283806">
        <w:rPr>
          <w:w w:val="105"/>
        </w:rPr>
        <w:t>final</w:t>
      </w:r>
      <w:r w:rsidRPr="00283806">
        <w:rPr>
          <w:spacing w:val="40"/>
          <w:w w:val="105"/>
        </w:rPr>
        <w:t xml:space="preserve"> </w:t>
      </w:r>
      <w:r w:rsidRPr="00283806">
        <w:rPr>
          <w:w w:val="105"/>
        </w:rPr>
        <w:t>rule’s</w:t>
      </w:r>
      <w:r w:rsidRPr="00283806">
        <w:rPr>
          <w:spacing w:val="40"/>
          <w:w w:val="105"/>
        </w:rPr>
        <w:t xml:space="preserve"> </w:t>
      </w:r>
      <w:r w:rsidRPr="00283806">
        <w:rPr>
          <w:w w:val="105"/>
        </w:rPr>
        <w:t>ALD provision by installing multiple smaller appliances. The Agency acknowledges it</w:t>
      </w:r>
      <w:r w:rsidRPr="00283806">
        <w:rPr>
          <w:spacing w:val="40"/>
          <w:w w:val="105"/>
        </w:rPr>
        <w:t xml:space="preserve"> </w:t>
      </w:r>
      <w:r w:rsidRPr="00283806">
        <w:rPr>
          <w:w w:val="105"/>
        </w:rPr>
        <w:t xml:space="preserve">is possible that refrigerant-containing appliances that previously used 1,500 or more pounds of refrigerant could be designed to use 1,450 or less pounds of refrigerant. While EPA maintains its authority to </w:t>
      </w:r>
      <w:proofErr w:type="gramStart"/>
      <w:r w:rsidRPr="00283806">
        <w:rPr>
          <w:w w:val="105"/>
        </w:rPr>
        <w:t>take action</w:t>
      </w:r>
      <w:proofErr w:type="gramEnd"/>
      <w:r w:rsidRPr="00283806">
        <w:rPr>
          <w:w w:val="105"/>
        </w:rPr>
        <w:t xml:space="preserve"> if an entity violates this final rule’s provisions, redesigning refrigerant-containing appliances to use less refrigerant does</w:t>
      </w:r>
      <w:r w:rsidRPr="00283806">
        <w:rPr>
          <w:spacing w:val="40"/>
          <w:w w:val="105"/>
        </w:rPr>
        <w:t xml:space="preserve"> </w:t>
      </w:r>
      <w:r w:rsidRPr="00283806">
        <w:rPr>
          <w:w w:val="105"/>
        </w:rPr>
        <w:t>not violate the rule’s requirements; it is instead a means to avoid becoming subject to the current requirements for the installation and use of ALD systems. Furthermore, using less refrigerant will also</w:t>
      </w:r>
      <w:r w:rsidRPr="00283806">
        <w:rPr>
          <w:spacing w:val="40"/>
          <w:w w:val="105"/>
        </w:rPr>
        <w:t xml:space="preserve"> </w:t>
      </w:r>
      <w:r w:rsidRPr="00283806">
        <w:rPr>
          <w:w w:val="105"/>
        </w:rPr>
        <w:t>result</w:t>
      </w:r>
      <w:r w:rsidRPr="00283806">
        <w:rPr>
          <w:spacing w:val="40"/>
          <w:w w:val="105"/>
        </w:rPr>
        <w:t xml:space="preserve"> </w:t>
      </w:r>
      <w:r w:rsidRPr="00283806">
        <w:rPr>
          <w:w w:val="105"/>
        </w:rPr>
        <w:t>in</w:t>
      </w:r>
      <w:r w:rsidRPr="00283806">
        <w:rPr>
          <w:spacing w:val="40"/>
          <w:w w:val="105"/>
        </w:rPr>
        <w:t xml:space="preserve"> </w:t>
      </w:r>
      <w:r w:rsidRPr="00283806">
        <w:rPr>
          <w:w w:val="105"/>
        </w:rPr>
        <w:t>minimizing</w:t>
      </w:r>
      <w:r w:rsidRPr="00283806">
        <w:rPr>
          <w:spacing w:val="40"/>
          <w:w w:val="105"/>
        </w:rPr>
        <w:t xml:space="preserve"> </w:t>
      </w:r>
      <w:r w:rsidRPr="00283806">
        <w:rPr>
          <w:w w:val="105"/>
        </w:rPr>
        <w:t>emissions,</w:t>
      </w:r>
      <w:r w:rsidRPr="00283806">
        <w:rPr>
          <w:spacing w:val="40"/>
          <w:w w:val="105"/>
        </w:rPr>
        <w:t xml:space="preserve"> </w:t>
      </w:r>
      <w:r w:rsidRPr="00283806">
        <w:rPr>
          <w:w w:val="105"/>
        </w:rPr>
        <w:t>so if an owner or operator is able to install or redesign a refrigerant-containing appliance</w:t>
      </w:r>
      <w:r w:rsidRPr="00283806">
        <w:rPr>
          <w:spacing w:val="39"/>
          <w:w w:val="105"/>
        </w:rPr>
        <w:t xml:space="preserve"> </w:t>
      </w:r>
      <w:r w:rsidRPr="00283806">
        <w:rPr>
          <w:w w:val="105"/>
        </w:rPr>
        <w:t>to</w:t>
      </w:r>
      <w:r w:rsidRPr="00283806">
        <w:rPr>
          <w:spacing w:val="39"/>
          <w:w w:val="105"/>
        </w:rPr>
        <w:t xml:space="preserve"> </w:t>
      </w:r>
      <w:r w:rsidRPr="00283806">
        <w:rPr>
          <w:w w:val="105"/>
        </w:rPr>
        <w:t>use</w:t>
      </w:r>
      <w:r w:rsidRPr="00283806">
        <w:rPr>
          <w:spacing w:val="39"/>
          <w:w w:val="105"/>
        </w:rPr>
        <w:t xml:space="preserve"> </w:t>
      </w:r>
      <w:r w:rsidRPr="00283806">
        <w:rPr>
          <w:w w:val="105"/>
        </w:rPr>
        <w:t>less</w:t>
      </w:r>
      <w:r w:rsidRPr="00283806">
        <w:rPr>
          <w:spacing w:val="39"/>
          <w:w w:val="105"/>
        </w:rPr>
        <w:t xml:space="preserve"> </w:t>
      </w:r>
      <w:r w:rsidRPr="00283806">
        <w:rPr>
          <w:w w:val="105"/>
        </w:rPr>
        <w:t>refrigerant</w:t>
      </w:r>
      <w:r w:rsidRPr="00283806">
        <w:rPr>
          <w:spacing w:val="39"/>
          <w:w w:val="105"/>
        </w:rPr>
        <w:t xml:space="preserve"> </w:t>
      </w:r>
      <w:r w:rsidRPr="00283806">
        <w:rPr>
          <w:w w:val="105"/>
        </w:rPr>
        <w:t>that will serve the purposes described in subsection</w:t>
      </w:r>
      <w:r w:rsidRPr="00283806">
        <w:rPr>
          <w:spacing w:val="-3"/>
          <w:w w:val="105"/>
        </w:rPr>
        <w:t xml:space="preserve"> </w:t>
      </w:r>
      <w:r w:rsidRPr="00283806">
        <w:rPr>
          <w:w w:val="105"/>
        </w:rPr>
        <w:t>(h)(1)</w:t>
      </w:r>
      <w:r w:rsidRPr="00283806">
        <w:rPr>
          <w:spacing w:val="-3"/>
          <w:w w:val="105"/>
        </w:rPr>
        <w:t xml:space="preserve"> </w:t>
      </w:r>
      <w:r w:rsidRPr="00283806">
        <w:rPr>
          <w:w w:val="105"/>
        </w:rPr>
        <w:t>to</w:t>
      </w:r>
      <w:r w:rsidRPr="00283806">
        <w:rPr>
          <w:spacing w:val="-3"/>
          <w:w w:val="105"/>
        </w:rPr>
        <w:t xml:space="preserve"> </w:t>
      </w:r>
      <w:r w:rsidRPr="00283806">
        <w:rPr>
          <w:w w:val="105"/>
        </w:rPr>
        <w:t>minimize</w:t>
      </w:r>
      <w:r w:rsidRPr="00283806">
        <w:rPr>
          <w:spacing w:val="-3"/>
          <w:w w:val="105"/>
        </w:rPr>
        <w:t xml:space="preserve"> </w:t>
      </w:r>
      <w:r w:rsidRPr="00283806">
        <w:rPr>
          <w:w w:val="105"/>
        </w:rPr>
        <w:t>the</w:t>
      </w:r>
      <w:r w:rsidRPr="00283806">
        <w:rPr>
          <w:spacing w:val="-3"/>
          <w:w w:val="105"/>
        </w:rPr>
        <w:t xml:space="preserve"> </w:t>
      </w:r>
      <w:r w:rsidRPr="00283806">
        <w:rPr>
          <w:w w:val="105"/>
        </w:rPr>
        <w:t>release of refrigerants from equipment. The Agency disagrees with the request to consider the total cumulative mass of refrigerants at a facility location, as suggested by the commenter, as such an approach may further complicate the</w:t>
      </w:r>
      <w:r w:rsidRPr="00283806">
        <w:rPr>
          <w:spacing w:val="40"/>
          <w:w w:val="105"/>
        </w:rPr>
        <w:t xml:space="preserve"> </w:t>
      </w:r>
      <w:r w:rsidRPr="00283806">
        <w:rPr>
          <w:w w:val="105"/>
        </w:rPr>
        <w:t xml:space="preserve">ALD provision and </w:t>
      </w:r>
      <w:proofErr w:type="gramStart"/>
      <w:r w:rsidRPr="00283806">
        <w:rPr>
          <w:w w:val="105"/>
        </w:rPr>
        <w:t>implicate</w:t>
      </w:r>
      <w:proofErr w:type="gramEnd"/>
      <w:r w:rsidRPr="00283806">
        <w:rPr>
          <w:w w:val="105"/>
        </w:rPr>
        <w:t xml:space="preserve"> systems</w:t>
      </w:r>
      <w:r w:rsidRPr="00283806">
        <w:rPr>
          <w:spacing w:val="80"/>
          <w:w w:val="105"/>
        </w:rPr>
        <w:t xml:space="preserve"> </w:t>
      </w:r>
      <w:r w:rsidRPr="00283806">
        <w:rPr>
          <w:w w:val="105"/>
        </w:rPr>
        <w:t>that are below the 1,500-pound charge size threshold. As previously stated, the</w:t>
      </w:r>
    </w:p>
    <w:p w14:paraId="69928F9A"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06" w:space="40"/>
            <w:col w:w="3510" w:space="39"/>
            <w:col w:w="3625"/>
          </w:cols>
        </w:sectPr>
      </w:pPr>
    </w:p>
    <w:p w14:paraId="369BF6E4" w14:textId="77777777" w:rsidR="00D67C1E" w:rsidRPr="00283806" w:rsidRDefault="001265CA">
      <w:pPr>
        <w:pStyle w:val="BodyText"/>
        <w:spacing w:before="136" w:line="225" w:lineRule="auto"/>
        <w:ind w:right="78"/>
      </w:pPr>
      <w:r w:rsidRPr="00283806">
        <w:rPr>
          <w:w w:val="105"/>
        </w:rPr>
        <w:lastRenderedPageBreak/>
        <w:t>Agency is concerned with ensuring that the supply of ALD systems can meet the demand for ALD systems. The Agency</w:t>
      </w:r>
      <w:r w:rsidRPr="00283806">
        <w:rPr>
          <w:spacing w:val="40"/>
          <w:w w:val="105"/>
        </w:rPr>
        <w:t xml:space="preserve"> </w:t>
      </w:r>
      <w:r w:rsidRPr="00283806">
        <w:rPr>
          <w:w w:val="105"/>
        </w:rPr>
        <w:t>did not propose and is not finalizing the charge size threshold to operate in the manner suggested by the commenter.</w:t>
      </w:r>
    </w:p>
    <w:p w14:paraId="185B4A8B" w14:textId="77777777" w:rsidR="00D67C1E" w:rsidRPr="00283806" w:rsidRDefault="001265CA">
      <w:pPr>
        <w:pStyle w:val="BodyText"/>
        <w:spacing w:line="178" w:lineRule="exact"/>
        <w:ind w:left="340"/>
      </w:pPr>
      <w:r w:rsidRPr="00283806">
        <w:rPr>
          <w:w w:val="105"/>
        </w:rPr>
        <w:t>As</w:t>
      </w:r>
      <w:r w:rsidRPr="00283806">
        <w:rPr>
          <w:spacing w:val="13"/>
          <w:w w:val="105"/>
        </w:rPr>
        <w:t xml:space="preserve"> </w:t>
      </w:r>
      <w:r w:rsidRPr="00283806">
        <w:rPr>
          <w:w w:val="105"/>
        </w:rPr>
        <w:t>a</w:t>
      </w:r>
      <w:r w:rsidRPr="00283806">
        <w:rPr>
          <w:spacing w:val="14"/>
          <w:w w:val="105"/>
        </w:rPr>
        <w:t xml:space="preserve"> </w:t>
      </w:r>
      <w:r w:rsidRPr="00283806">
        <w:rPr>
          <w:w w:val="105"/>
        </w:rPr>
        <w:t>consideration</w:t>
      </w:r>
      <w:r w:rsidRPr="00283806">
        <w:rPr>
          <w:spacing w:val="14"/>
          <w:w w:val="105"/>
        </w:rPr>
        <w:t xml:space="preserve"> </w:t>
      </w:r>
      <w:r w:rsidRPr="00283806">
        <w:rPr>
          <w:w w:val="105"/>
        </w:rPr>
        <w:t>in</w:t>
      </w:r>
      <w:r w:rsidRPr="00283806">
        <w:rPr>
          <w:spacing w:val="14"/>
          <w:w w:val="105"/>
        </w:rPr>
        <w:t xml:space="preserve"> </w:t>
      </w:r>
      <w:r w:rsidRPr="00283806">
        <w:rPr>
          <w:w w:val="105"/>
        </w:rPr>
        <w:t>setting</w:t>
      </w:r>
      <w:r w:rsidRPr="00283806">
        <w:rPr>
          <w:spacing w:val="14"/>
          <w:w w:val="105"/>
        </w:rPr>
        <w:t xml:space="preserve"> </w:t>
      </w:r>
      <w:r w:rsidRPr="00283806">
        <w:rPr>
          <w:spacing w:val="-5"/>
          <w:w w:val="105"/>
        </w:rPr>
        <w:t>the</w:t>
      </w:r>
    </w:p>
    <w:p w14:paraId="01477571" w14:textId="77777777" w:rsidR="00D67C1E" w:rsidRPr="00283806" w:rsidRDefault="001265CA">
      <w:pPr>
        <w:pStyle w:val="BodyText"/>
        <w:spacing w:before="5" w:line="223" w:lineRule="auto"/>
        <w:ind w:right="43"/>
      </w:pPr>
      <w:r w:rsidRPr="00283806">
        <w:rPr>
          <w:w w:val="105"/>
        </w:rPr>
        <w:t>threshold, EPA accounted for the extent to</w:t>
      </w:r>
      <w:r w:rsidRPr="00283806">
        <w:rPr>
          <w:spacing w:val="40"/>
          <w:w w:val="105"/>
        </w:rPr>
        <w:t xml:space="preserve"> </w:t>
      </w:r>
      <w:r w:rsidRPr="00283806">
        <w:rPr>
          <w:w w:val="105"/>
        </w:rPr>
        <w:t>which</w:t>
      </w:r>
      <w:r w:rsidRPr="00283806">
        <w:rPr>
          <w:spacing w:val="40"/>
          <w:w w:val="105"/>
        </w:rPr>
        <w:t xml:space="preserve"> </w:t>
      </w:r>
      <w:r w:rsidRPr="00283806">
        <w:rPr>
          <w:w w:val="105"/>
        </w:rPr>
        <w:t>ALD</w:t>
      </w:r>
      <w:r w:rsidRPr="00283806">
        <w:rPr>
          <w:spacing w:val="40"/>
          <w:w w:val="105"/>
        </w:rPr>
        <w:t xml:space="preserve"> </w:t>
      </w:r>
      <w:r w:rsidRPr="00283806">
        <w:rPr>
          <w:w w:val="105"/>
        </w:rPr>
        <w:t>systems</w:t>
      </w:r>
      <w:r w:rsidRPr="00283806">
        <w:rPr>
          <w:spacing w:val="40"/>
          <w:w w:val="105"/>
        </w:rPr>
        <w:t xml:space="preserve"> </w:t>
      </w:r>
      <w:r w:rsidRPr="00283806">
        <w:rPr>
          <w:w w:val="105"/>
        </w:rPr>
        <w:t>may</w:t>
      </w:r>
      <w:r w:rsidRPr="00283806">
        <w:rPr>
          <w:spacing w:val="40"/>
          <w:w w:val="105"/>
        </w:rPr>
        <w:t xml:space="preserve"> </w:t>
      </w:r>
      <w:r w:rsidRPr="00283806">
        <w:rPr>
          <w:w w:val="105"/>
        </w:rPr>
        <w:t>already</w:t>
      </w:r>
      <w:r w:rsidRPr="00283806">
        <w:rPr>
          <w:spacing w:val="40"/>
          <w:w w:val="105"/>
        </w:rPr>
        <w:t xml:space="preserve"> </w:t>
      </w:r>
      <w:r w:rsidRPr="00283806">
        <w:rPr>
          <w:w w:val="105"/>
        </w:rPr>
        <w:t>be in use and the types of equipment to which they are marketed. For example, many larger refrigeration appliances</w:t>
      </w:r>
      <w:r w:rsidRPr="00283806">
        <w:rPr>
          <w:spacing w:val="40"/>
          <w:w w:val="105"/>
        </w:rPr>
        <w:t xml:space="preserve"> </w:t>
      </w:r>
      <w:r w:rsidRPr="00283806">
        <w:rPr>
          <w:w w:val="105"/>
        </w:rPr>
        <w:t>(</w:t>
      </w:r>
      <w:r w:rsidRPr="00283806">
        <w:rPr>
          <w:rFonts w:ascii="Book Antiqua" w:hAnsi="Book Antiqua"/>
          <w:i/>
          <w:w w:val="105"/>
        </w:rPr>
        <w:t xml:space="preserve">e.g., </w:t>
      </w:r>
      <w:r w:rsidRPr="00283806">
        <w:rPr>
          <w:w w:val="105"/>
        </w:rPr>
        <w:t>a charge size of 1,500 to 2,000 pounds or more) may already use ALD systems per certain State requirements</w:t>
      </w:r>
      <w:r w:rsidRPr="00283806">
        <w:rPr>
          <w:spacing w:val="40"/>
          <w:w w:val="105"/>
        </w:rPr>
        <w:t xml:space="preserve"> </w:t>
      </w:r>
      <w:r w:rsidRPr="00283806">
        <w:rPr>
          <w:w w:val="105"/>
        </w:rPr>
        <w:t xml:space="preserve">or to reduce negative economic impacts associated with replacing leaking refrigerant. EPA also considered the availability of ALD systems for refrigeration appliances in the United States. In the TSD titled </w:t>
      </w:r>
      <w:r w:rsidRPr="00283806">
        <w:rPr>
          <w:rFonts w:ascii="Book Antiqua" w:hAnsi="Book Antiqua"/>
          <w:i/>
          <w:w w:val="105"/>
        </w:rPr>
        <w:t>American Innovation and Manufacturing Act of 2020—Subsection (h): Automatic Leak</w:t>
      </w:r>
      <w:r w:rsidRPr="00283806">
        <w:rPr>
          <w:rFonts w:ascii="Book Antiqua" w:hAnsi="Book Antiqua"/>
          <w:i/>
          <w:spacing w:val="40"/>
          <w:w w:val="105"/>
        </w:rPr>
        <w:t xml:space="preserve"> </w:t>
      </w:r>
      <w:r w:rsidRPr="00283806">
        <w:rPr>
          <w:rFonts w:ascii="Book Antiqua" w:hAnsi="Book Antiqua"/>
          <w:i/>
          <w:w w:val="105"/>
        </w:rPr>
        <w:t xml:space="preserve">Detection Systems </w:t>
      </w:r>
      <w:r w:rsidRPr="00283806">
        <w:rPr>
          <w:w w:val="105"/>
        </w:rPr>
        <w:t>in the docket for this rulemaking, EPA assessed the market presence and number of manufacturers</w:t>
      </w:r>
      <w:r w:rsidRPr="00283806">
        <w:rPr>
          <w:spacing w:val="40"/>
          <w:w w:val="105"/>
        </w:rPr>
        <w:t xml:space="preserve"> </w:t>
      </w:r>
      <w:r w:rsidRPr="00283806">
        <w:rPr>
          <w:w w:val="105"/>
        </w:rPr>
        <w:t>of ALD systems that sell to the U.S. market. EPA notes that most manufacturers</w:t>
      </w:r>
      <w:r w:rsidRPr="00283806">
        <w:rPr>
          <w:spacing w:val="40"/>
          <w:w w:val="105"/>
        </w:rPr>
        <w:t xml:space="preserve"> </w:t>
      </w:r>
      <w:r w:rsidRPr="00283806">
        <w:rPr>
          <w:w w:val="105"/>
        </w:rPr>
        <w:t>make</w:t>
      </w:r>
      <w:r w:rsidRPr="00283806">
        <w:rPr>
          <w:spacing w:val="40"/>
          <w:w w:val="105"/>
        </w:rPr>
        <w:t xml:space="preserve"> </w:t>
      </w:r>
      <w:r w:rsidRPr="00283806">
        <w:rPr>
          <w:w w:val="105"/>
        </w:rPr>
        <w:t>direct</w:t>
      </w:r>
      <w:r w:rsidRPr="00283806">
        <w:rPr>
          <w:spacing w:val="40"/>
          <w:w w:val="105"/>
        </w:rPr>
        <w:t xml:space="preserve"> </w:t>
      </w:r>
      <w:r w:rsidRPr="00283806">
        <w:rPr>
          <w:w w:val="105"/>
        </w:rPr>
        <w:t>ALD systems, while indirect ALD systems are newer technologies on the market.</w:t>
      </w:r>
      <w:r w:rsidRPr="00283806">
        <w:rPr>
          <w:w w:val="105"/>
          <w:position w:val="5"/>
          <w:sz w:val="11"/>
        </w:rPr>
        <w:t>83</w:t>
      </w:r>
      <w:r w:rsidRPr="00283806">
        <w:rPr>
          <w:spacing w:val="40"/>
          <w:w w:val="105"/>
          <w:position w:val="5"/>
          <w:sz w:val="11"/>
        </w:rPr>
        <w:t xml:space="preserve"> </w:t>
      </w:r>
      <w:r w:rsidRPr="00283806">
        <w:rPr>
          <w:w w:val="105"/>
        </w:rPr>
        <w:t>Since ALD systems have generally only been required for larger refrigeration appliances per certain State requirements, or are likely used in refrigeration appliances with larger charge sizes to avoid potential economic burden associated with replacing refrigerant that has leaked, EPA anticipates that the current market presence of ALD system manufacturing</w:t>
      </w:r>
      <w:r w:rsidRPr="00283806">
        <w:rPr>
          <w:spacing w:val="80"/>
          <w:w w:val="105"/>
        </w:rPr>
        <w:t xml:space="preserve"> </w:t>
      </w:r>
      <w:r w:rsidRPr="00283806">
        <w:rPr>
          <w:w w:val="105"/>
        </w:rPr>
        <w:t xml:space="preserve">is generally aligned to demand for ALD systems for larger IPR and commercial refrigeration appliances. The threshold and the change in compliance dates and applicability for this </w:t>
      </w:r>
      <w:proofErr w:type="gramStart"/>
      <w:r w:rsidRPr="00283806">
        <w:rPr>
          <w:w w:val="105"/>
        </w:rPr>
        <w:t>provision,</w:t>
      </w:r>
      <w:proofErr w:type="gramEnd"/>
      <w:r w:rsidRPr="00283806">
        <w:rPr>
          <w:w w:val="105"/>
        </w:rPr>
        <w:t xml:space="preserve"> accounts for the potential increase in demand for ALD systems, where manufacturers of such systems might not be prepared for increased</w:t>
      </w:r>
      <w:r w:rsidRPr="00283806">
        <w:rPr>
          <w:spacing w:val="40"/>
          <w:w w:val="105"/>
        </w:rPr>
        <w:t xml:space="preserve"> </w:t>
      </w:r>
      <w:r w:rsidRPr="00283806">
        <w:rPr>
          <w:w w:val="105"/>
        </w:rPr>
        <w:t>demand</w:t>
      </w:r>
      <w:r w:rsidRPr="00283806">
        <w:rPr>
          <w:spacing w:val="40"/>
          <w:w w:val="105"/>
        </w:rPr>
        <w:t xml:space="preserve"> </w:t>
      </w:r>
      <w:r w:rsidRPr="00283806">
        <w:rPr>
          <w:w w:val="105"/>
        </w:rPr>
        <w:t>if</w:t>
      </w:r>
      <w:r w:rsidRPr="00283806">
        <w:rPr>
          <w:spacing w:val="40"/>
          <w:w w:val="105"/>
        </w:rPr>
        <w:t xml:space="preserve"> </w:t>
      </w:r>
      <w:r w:rsidRPr="00283806">
        <w:rPr>
          <w:w w:val="105"/>
        </w:rPr>
        <w:t>EPA</w:t>
      </w:r>
      <w:r w:rsidRPr="00283806">
        <w:rPr>
          <w:spacing w:val="40"/>
          <w:w w:val="105"/>
        </w:rPr>
        <w:t xml:space="preserve"> </w:t>
      </w:r>
      <w:r w:rsidRPr="00283806">
        <w:rPr>
          <w:w w:val="105"/>
        </w:rPr>
        <w:t>were</w:t>
      </w:r>
      <w:r w:rsidRPr="00283806">
        <w:rPr>
          <w:spacing w:val="40"/>
          <w:w w:val="105"/>
        </w:rPr>
        <w:t xml:space="preserve"> </w:t>
      </w:r>
      <w:r w:rsidRPr="00283806">
        <w:rPr>
          <w:w w:val="105"/>
        </w:rPr>
        <w:t>to finalize a lower charge size, opening the requirement for ALD systems to a larger inventory of refrigeration appliances.</w:t>
      </w:r>
    </w:p>
    <w:p w14:paraId="2D711358" w14:textId="77777777" w:rsidR="00D67C1E" w:rsidRPr="00283806" w:rsidRDefault="001265CA">
      <w:pPr>
        <w:pStyle w:val="BodyText"/>
        <w:spacing w:before="38" w:line="225" w:lineRule="auto"/>
        <w:ind w:right="97"/>
      </w:pPr>
      <w:proofErr w:type="gramStart"/>
      <w:r w:rsidRPr="00283806">
        <w:rPr>
          <w:w w:val="105"/>
        </w:rPr>
        <w:t>Taking into account</w:t>
      </w:r>
      <w:proofErr w:type="gramEnd"/>
      <w:r w:rsidRPr="00283806">
        <w:rPr>
          <w:w w:val="105"/>
        </w:rPr>
        <w:t xml:space="preserve"> existing and pending State requirements, the 2023 Technology Transitions Rule, and a likely degree of voluntary adoption of ALD systems, EPA estimates that the requirement will impact approximately 25,000 appliances between 2025 and 2027,</w:t>
      </w:r>
      <w:r w:rsidRPr="00283806">
        <w:rPr>
          <w:spacing w:val="-7"/>
          <w:w w:val="105"/>
        </w:rPr>
        <w:t xml:space="preserve"> </w:t>
      </w:r>
      <w:r w:rsidRPr="00283806">
        <w:rPr>
          <w:w w:val="105"/>
        </w:rPr>
        <w:t>and</w:t>
      </w:r>
      <w:r w:rsidRPr="00283806">
        <w:rPr>
          <w:spacing w:val="-7"/>
          <w:w w:val="105"/>
        </w:rPr>
        <w:t xml:space="preserve"> </w:t>
      </w:r>
      <w:r w:rsidRPr="00283806">
        <w:rPr>
          <w:w w:val="105"/>
        </w:rPr>
        <w:t>an</w:t>
      </w:r>
      <w:r w:rsidRPr="00283806">
        <w:rPr>
          <w:spacing w:val="-7"/>
          <w:w w:val="105"/>
        </w:rPr>
        <w:t xml:space="preserve"> </w:t>
      </w:r>
      <w:r w:rsidRPr="00283806">
        <w:rPr>
          <w:w w:val="105"/>
        </w:rPr>
        <w:t>average</w:t>
      </w:r>
      <w:r w:rsidRPr="00283806">
        <w:rPr>
          <w:spacing w:val="-7"/>
          <w:w w:val="105"/>
        </w:rPr>
        <w:t xml:space="preserve"> </w:t>
      </w:r>
      <w:r w:rsidRPr="00283806">
        <w:rPr>
          <w:w w:val="105"/>
        </w:rPr>
        <w:t>of</w:t>
      </w:r>
      <w:r w:rsidRPr="00283806">
        <w:rPr>
          <w:spacing w:val="-7"/>
          <w:w w:val="105"/>
        </w:rPr>
        <w:t xml:space="preserve"> </w:t>
      </w:r>
      <w:r w:rsidRPr="00283806">
        <w:rPr>
          <w:w w:val="105"/>
        </w:rPr>
        <w:t>150</w:t>
      </w:r>
      <w:r w:rsidRPr="00283806">
        <w:rPr>
          <w:spacing w:val="-7"/>
          <w:w w:val="105"/>
        </w:rPr>
        <w:t xml:space="preserve"> </w:t>
      </w:r>
      <w:r w:rsidRPr="00283806">
        <w:rPr>
          <w:w w:val="105"/>
        </w:rPr>
        <w:t>refrigerant- containing appliances per year in subsequent years. The Agency has</w:t>
      </w:r>
    </w:p>
    <w:p w14:paraId="65FFDFA6" w14:textId="77777777" w:rsidR="00D67C1E" w:rsidRPr="00283806" w:rsidRDefault="001265CA">
      <w:pPr>
        <w:pStyle w:val="BodyText"/>
        <w:spacing w:before="8"/>
        <w:ind w:left="0"/>
        <w:rPr>
          <w:sz w:val="12"/>
        </w:rPr>
      </w:pPr>
      <w:r w:rsidRPr="00283806">
        <w:rPr>
          <w:noProof/>
        </w:rPr>
        <mc:AlternateContent>
          <mc:Choice Requires="wps">
            <w:drawing>
              <wp:anchor distT="0" distB="0" distL="0" distR="0" simplePos="0" relativeHeight="251644928" behindDoc="1" locked="0" layoutInCell="1" allowOverlap="1" wp14:anchorId="75F1887B" wp14:editId="6DC4DD67">
                <wp:simplePos x="0" y="0"/>
                <wp:positionH relativeFrom="page">
                  <wp:posOffset>571500</wp:posOffset>
                </wp:positionH>
                <wp:positionV relativeFrom="paragraph">
                  <wp:posOffset>110178</wp:posOffset>
                </wp:positionV>
                <wp:extent cx="635000" cy="1270"/>
                <wp:effectExtent l="0" t="0" r="0" b="0"/>
                <wp:wrapTopAndBottom/>
                <wp:docPr id="76" name="Graphic 7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94A7BB" id="Graphic 76" o:spid="_x0000_s1026" alt="&quot;&quot;" style="position:absolute;margin-left:45pt;margin-top:8.7pt;width:50pt;height:.1pt;z-index:-251671552;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" path="m,l635000,e" filled="f" strokeweight=".5pt">
                <v:path arrowok="t"/>
                <w10:wrap type="topAndBottom" anchorx="page"/>
              </v:shape>
            </w:pict>
          </mc:Fallback>
        </mc:AlternateContent>
      </w:r>
    </w:p>
    <w:p w14:paraId="2433CFFD" w14:textId="77777777" w:rsidR="00D67C1E" w:rsidRPr="00283806" w:rsidRDefault="001265CA">
      <w:pPr>
        <w:spacing w:before="45" w:line="223" w:lineRule="auto"/>
        <w:ind w:left="159" w:right="39" w:firstLine="140"/>
        <w:rPr>
          <w:sz w:val="14"/>
        </w:rPr>
      </w:pPr>
      <w:r w:rsidRPr="00283806">
        <w:rPr>
          <w:w w:val="110"/>
          <w:position w:val="4"/>
          <w:sz w:val="9"/>
        </w:rPr>
        <w:t xml:space="preserve">83 </w:t>
      </w:r>
      <w:r w:rsidRPr="00283806">
        <w:rPr>
          <w:w w:val="110"/>
          <w:sz w:val="14"/>
        </w:rPr>
        <w:t>EPA describes each type (</w:t>
      </w:r>
      <w:r w:rsidRPr="00283806">
        <w:rPr>
          <w:rFonts w:ascii="Book Antiqua" w:hAnsi="Book Antiqua"/>
          <w:i/>
          <w:w w:val="110"/>
          <w:sz w:val="14"/>
        </w:rPr>
        <w:t xml:space="preserve">i.e., </w:t>
      </w:r>
      <w:r w:rsidRPr="00283806">
        <w:rPr>
          <w:w w:val="110"/>
          <w:sz w:val="14"/>
        </w:rPr>
        <w:t>direct and</w:t>
      </w:r>
      <w:r w:rsidRPr="00283806">
        <w:rPr>
          <w:spacing w:val="40"/>
          <w:w w:val="110"/>
          <w:sz w:val="14"/>
        </w:rPr>
        <w:t xml:space="preserve"> </w:t>
      </w:r>
      <w:r w:rsidRPr="00283806">
        <w:rPr>
          <w:w w:val="110"/>
          <w:sz w:val="14"/>
        </w:rPr>
        <w:t>indirect)</w:t>
      </w:r>
      <w:r w:rsidRPr="00283806">
        <w:rPr>
          <w:spacing w:val="-7"/>
          <w:w w:val="110"/>
          <w:sz w:val="14"/>
        </w:rPr>
        <w:t xml:space="preserve"> </w:t>
      </w:r>
      <w:r w:rsidRPr="00283806">
        <w:rPr>
          <w:w w:val="110"/>
          <w:sz w:val="14"/>
        </w:rPr>
        <w:t>of</w:t>
      </w:r>
      <w:r w:rsidRPr="00283806">
        <w:rPr>
          <w:spacing w:val="-7"/>
          <w:w w:val="110"/>
          <w:sz w:val="14"/>
        </w:rPr>
        <w:t xml:space="preserve"> </w:t>
      </w:r>
      <w:r w:rsidRPr="00283806">
        <w:rPr>
          <w:w w:val="110"/>
          <w:sz w:val="14"/>
        </w:rPr>
        <w:t>ALD</w:t>
      </w:r>
      <w:r w:rsidRPr="00283806">
        <w:rPr>
          <w:spacing w:val="-7"/>
          <w:w w:val="110"/>
          <w:sz w:val="14"/>
        </w:rPr>
        <w:t xml:space="preserve"> </w:t>
      </w:r>
      <w:r w:rsidRPr="00283806">
        <w:rPr>
          <w:w w:val="110"/>
          <w:sz w:val="14"/>
        </w:rPr>
        <w:t>system</w:t>
      </w:r>
      <w:r w:rsidRPr="00283806">
        <w:rPr>
          <w:spacing w:val="-7"/>
          <w:w w:val="110"/>
          <w:sz w:val="14"/>
        </w:rPr>
        <w:t xml:space="preserve"> </w:t>
      </w:r>
      <w:r w:rsidRPr="00283806">
        <w:rPr>
          <w:w w:val="110"/>
          <w:sz w:val="14"/>
        </w:rPr>
        <w:t>later</w:t>
      </w:r>
      <w:r w:rsidRPr="00283806">
        <w:rPr>
          <w:spacing w:val="-7"/>
          <w:w w:val="110"/>
          <w:sz w:val="14"/>
        </w:rPr>
        <w:t xml:space="preserve"> </w:t>
      </w:r>
      <w:r w:rsidRPr="00283806">
        <w:rPr>
          <w:w w:val="110"/>
          <w:sz w:val="14"/>
        </w:rPr>
        <w:t>in</w:t>
      </w:r>
      <w:r w:rsidRPr="00283806">
        <w:rPr>
          <w:spacing w:val="-7"/>
          <w:w w:val="110"/>
          <w:sz w:val="14"/>
        </w:rPr>
        <w:t xml:space="preserve"> </w:t>
      </w:r>
      <w:r w:rsidRPr="00283806">
        <w:rPr>
          <w:w w:val="110"/>
          <w:sz w:val="14"/>
        </w:rPr>
        <w:t>this</w:t>
      </w:r>
      <w:r w:rsidRPr="00283806">
        <w:rPr>
          <w:spacing w:val="-7"/>
          <w:w w:val="110"/>
          <w:sz w:val="14"/>
        </w:rPr>
        <w:t xml:space="preserve"> </w:t>
      </w:r>
      <w:r w:rsidRPr="00283806">
        <w:rPr>
          <w:w w:val="110"/>
          <w:sz w:val="14"/>
        </w:rPr>
        <w:t>section</w:t>
      </w:r>
      <w:r w:rsidRPr="00283806">
        <w:rPr>
          <w:spacing w:val="-7"/>
          <w:w w:val="110"/>
          <w:sz w:val="14"/>
        </w:rPr>
        <w:t xml:space="preserve"> </w:t>
      </w:r>
      <w:r w:rsidRPr="00283806">
        <w:rPr>
          <w:w w:val="110"/>
          <w:sz w:val="14"/>
        </w:rPr>
        <w:t>and</w:t>
      </w:r>
      <w:r w:rsidRPr="00283806">
        <w:rPr>
          <w:spacing w:val="-7"/>
          <w:w w:val="110"/>
          <w:sz w:val="14"/>
        </w:rPr>
        <w:t xml:space="preserve"> </w:t>
      </w:r>
      <w:r w:rsidRPr="00283806">
        <w:rPr>
          <w:w w:val="110"/>
          <w:sz w:val="14"/>
        </w:rPr>
        <w:t>in</w:t>
      </w:r>
      <w:r w:rsidRPr="00283806">
        <w:rPr>
          <w:spacing w:val="40"/>
          <w:w w:val="110"/>
          <w:sz w:val="14"/>
        </w:rPr>
        <w:t xml:space="preserve"> </w:t>
      </w:r>
      <w:r w:rsidRPr="00283806">
        <w:rPr>
          <w:w w:val="110"/>
          <w:sz w:val="14"/>
        </w:rPr>
        <w:t xml:space="preserve">detail in the TSD titled </w:t>
      </w:r>
      <w:r w:rsidRPr="00283806">
        <w:rPr>
          <w:rFonts w:ascii="Book Antiqua" w:hAnsi="Book Antiqua"/>
          <w:i/>
          <w:w w:val="110"/>
          <w:sz w:val="14"/>
        </w:rPr>
        <w:t>American Innovation and</w:t>
      </w:r>
      <w:r w:rsidRPr="00283806">
        <w:rPr>
          <w:rFonts w:ascii="Book Antiqua" w:hAnsi="Book Antiqua"/>
          <w:i/>
          <w:spacing w:val="40"/>
          <w:w w:val="110"/>
          <w:sz w:val="14"/>
        </w:rPr>
        <w:t xml:space="preserve"> </w:t>
      </w:r>
      <w:r w:rsidRPr="00283806">
        <w:rPr>
          <w:rFonts w:ascii="Book Antiqua" w:hAnsi="Book Antiqua"/>
          <w:i/>
          <w:w w:val="110"/>
          <w:sz w:val="14"/>
        </w:rPr>
        <w:t>Manufacturing Act of 2020—Subsection (h):</w:t>
      </w:r>
      <w:r w:rsidRPr="00283806">
        <w:rPr>
          <w:rFonts w:ascii="Book Antiqua" w:hAnsi="Book Antiqua"/>
          <w:i/>
          <w:spacing w:val="40"/>
          <w:w w:val="110"/>
          <w:sz w:val="14"/>
        </w:rPr>
        <w:t xml:space="preserve"> </w:t>
      </w:r>
      <w:r w:rsidRPr="00283806">
        <w:rPr>
          <w:rFonts w:ascii="Book Antiqua" w:hAnsi="Book Antiqua"/>
          <w:i/>
          <w:w w:val="110"/>
          <w:sz w:val="14"/>
        </w:rPr>
        <w:t xml:space="preserve">Automatic Leak Detection Systems </w:t>
      </w:r>
      <w:r w:rsidRPr="00283806">
        <w:rPr>
          <w:w w:val="110"/>
          <w:sz w:val="14"/>
        </w:rPr>
        <w:t>available in the</w:t>
      </w:r>
      <w:r w:rsidRPr="00283806">
        <w:rPr>
          <w:spacing w:val="40"/>
          <w:w w:val="110"/>
          <w:sz w:val="14"/>
        </w:rPr>
        <w:t xml:space="preserve"> </w:t>
      </w:r>
      <w:r w:rsidRPr="00283806">
        <w:rPr>
          <w:w w:val="110"/>
          <w:sz w:val="14"/>
        </w:rPr>
        <w:t>docket for this final rule.</w:t>
      </w:r>
    </w:p>
    <w:p w14:paraId="72BEF59F" w14:textId="77777777" w:rsidR="00D67C1E" w:rsidRPr="00283806" w:rsidRDefault="001265CA">
      <w:pPr>
        <w:pStyle w:val="BodyText"/>
        <w:spacing w:before="134" w:line="228" w:lineRule="auto"/>
        <w:ind w:left="143"/>
      </w:pPr>
      <w:r w:rsidRPr="00283806">
        <w:br w:type="column"/>
      </w:r>
      <w:r w:rsidRPr="00283806">
        <w:rPr>
          <w:w w:val="105"/>
        </w:rPr>
        <w:t>provided these updated estimates,</w:t>
      </w:r>
      <w:r w:rsidRPr="00283806">
        <w:rPr>
          <w:spacing w:val="80"/>
          <w:w w:val="105"/>
        </w:rPr>
        <w:t xml:space="preserve"> </w:t>
      </w:r>
      <w:r w:rsidRPr="00283806">
        <w:rPr>
          <w:w w:val="105"/>
        </w:rPr>
        <w:t>which differ from those in the proposal (</w:t>
      </w:r>
      <w:r w:rsidRPr="00283806">
        <w:rPr>
          <w:rFonts w:ascii="Book Antiqua"/>
          <w:i/>
          <w:w w:val="105"/>
        </w:rPr>
        <w:t xml:space="preserve">i.e., </w:t>
      </w:r>
      <w:r w:rsidRPr="00283806">
        <w:rPr>
          <w:w w:val="105"/>
        </w:rPr>
        <w:t>50,000 appliances over the year 2025 and 6,500 for subsequent years) because EPA has adjusted the applicability of existing appliances as discussed in section IV.D and in consideration that the 2023 Technology Transitions Rule has been promulgated. The updated estimates also account for new IPR and commercial refrigeration appliances transitioning to refrigerants that do not contain an HFC or substitute for an HFC with a GWP greater than 53.</w:t>
      </w:r>
      <w:r w:rsidRPr="00283806">
        <w:rPr>
          <w:spacing w:val="40"/>
          <w:w w:val="105"/>
        </w:rPr>
        <w:t xml:space="preserve"> </w:t>
      </w:r>
      <w:r w:rsidRPr="00283806">
        <w:rPr>
          <w:w w:val="105"/>
        </w:rPr>
        <w:t>In response to the 2023 Technology Transitions Rule, EPA anticipates that many IPR and commercial refrigeration appliances will transition to alternatives with a GWP less than or equal to 53 and thus those refrigerant-containing appliances</w:t>
      </w:r>
      <w:r w:rsidRPr="00283806">
        <w:rPr>
          <w:spacing w:val="40"/>
          <w:w w:val="105"/>
        </w:rPr>
        <w:t xml:space="preserve"> </w:t>
      </w:r>
      <w:r w:rsidRPr="00283806">
        <w:rPr>
          <w:w w:val="105"/>
        </w:rPr>
        <w:t>will</w:t>
      </w:r>
      <w:r w:rsidRPr="00283806">
        <w:rPr>
          <w:spacing w:val="40"/>
          <w:w w:val="105"/>
        </w:rPr>
        <w:t xml:space="preserve"> </w:t>
      </w:r>
      <w:r w:rsidRPr="00283806">
        <w:rPr>
          <w:w w:val="105"/>
        </w:rPr>
        <w:t>not</w:t>
      </w:r>
      <w:r w:rsidRPr="00283806">
        <w:rPr>
          <w:spacing w:val="40"/>
          <w:w w:val="105"/>
        </w:rPr>
        <w:t xml:space="preserve"> </w:t>
      </w:r>
      <w:r w:rsidRPr="00283806">
        <w:rPr>
          <w:w w:val="105"/>
        </w:rPr>
        <w:t>be</w:t>
      </w:r>
      <w:r w:rsidRPr="00283806">
        <w:rPr>
          <w:spacing w:val="40"/>
          <w:w w:val="105"/>
        </w:rPr>
        <w:t xml:space="preserve"> </w:t>
      </w:r>
      <w:r w:rsidRPr="00283806">
        <w:rPr>
          <w:w w:val="105"/>
        </w:rPr>
        <w:t>subject</w:t>
      </w:r>
      <w:r w:rsidRPr="00283806">
        <w:rPr>
          <w:spacing w:val="40"/>
          <w:w w:val="105"/>
        </w:rPr>
        <w:t xml:space="preserve"> </w:t>
      </w:r>
      <w:r w:rsidRPr="00283806">
        <w:rPr>
          <w:w w:val="105"/>
        </w:rPr>
        <w:t>to</w:t>
      </w:r>
      <w:r w:rsidRPr="00283806">
        <w:rPr>
          <w:spacing w:val="40"/>
          <w:w w:val="105"/>
        </w:rPr>
        <w:t xml:space="preserve"> </w:t>
      </w:r>
      <w:r w:rsidRPr="00283806">
        <w:rPr>
          <w:w w:val="105"/>
        </w:rPr>
        <w:t xml:space="preserve">the ALD requirements described in this section. EPA has identified 17 manufacturers of ALD systems in the United States. There are 14 manufacturers making direct ALD systems and four manufacturers making indirect ALD systems (one manufacturer was identified as making both types of ALD systems). </w:t>
      </w:r>
      <w:proofErr w:type="gramStart"/>
      <w:r w:rsidRPr="00283806">
        <w:rPr>
          <w:w w:val="105"/>
        </w:rPr>
        <w:t>The majority of</w:t>
      </w:r>
      <w:proofErr w:type="gramEnd"/>
      <w:r w:rsidRPr="00283806">
        <w:rPr>
          <w:w w:val="105"/>
        </w:rPr>
        <w:t xml:space="preserve"> installed systems are likely direct ALD systems. EPA estimates that one of the largest manufacturers of direct ALD in the</w:t>
      </w:r>
      <w:r w:rsidRPr="00283806">
        <w:rPr>
          <w:spacing w:val="40"/>
          <w:w w:val="105"/>
        </w:rPr>
        <w:t xml:space="preserve"> </w:t>
      </w:r>
      <w:r w:rsidRPr="00283806">
        <w:rPr>
          <w:w w:val="105"/>
        </w:rPr>
        <w:t>United States makes between 6,500 and 7,000 direct ALD systems per year. For additional information and details on</w:t>
      </w:r>
      <w:r w:rsidRPr="00283806">
        <w:rPr>
          <w:spacing w:val="80"/>
          <w:w w:val="150"/>
        </w:rPr>
        <w:t xml:space="preserve"> </w:t>
      </w:r>
      <w:r w:rsidRPr="00283806">
        <w:rPr>
          <w:w w:val="105"/>
        </w:rPr>
        <w:t>the estimated emissions reductions and costs related to ALD systems, see the Economic Impact and Benefits TSD available in the docket for this action.</w:t>
      </w:r>
    </w:p>
    <w:p w14:paraId="22E1D75D" w14:textId="77777777" w:rsidR="00D67C1E" w:rsidRPr="00283806" w:rsidRDefault="001265CA">
      <w:pPr>
        <w:pStyle w:val="BodyText"/>
        <w:spacing w:before="10" w:line="228" w:lineRule="auto"/>
        <w:ind w:left="143" w:right="75" w:firstLine="180"/>
      </w:pPr>
      <w:r w:rsidRPr="00283806">
        <w:rPr>
          <w:rFonts w:ascii="Book Antiqua" w:hAnsi="Book Antiqua"/>
          <w:i/>
          <w:w w:val="105"/>
        </w:rPr>
        <w:t xml:space="preserve">Comment: </w:t>
      </w:r>
      <w:r w:rsidRPr="00283806">
        <w:rPr>
          <w:w w:val="105"/>
        </w:rPr>
        <w:t>The Agency received</w:t>
      </w:r>
      <w:r w:rsidRPr="00283806">
        <w:rPr>
          <w:spacing w:val="80"/>
          <w:w w:val="105"/>
        </w:rPr>
        <w:t xml:space="preserve"> </w:t>
      </w:r>
      <w:r w:rsidRPr="00283806">
        <w:rPr>
          <w:w w:val="105"/>
        </w:rPr>
        <w:t xml:space="preserve">several comments </w:t>
      </w:r>
      <w:proofErr w:type="gramStart"/>
      <w:r w:rsidRPr="00283806">
        <w:rPr>
          <w:w w:val="105"/>
        </w:rPr>
        <w:t>concerned with</w:t>
      </w:r>
      <w:proofErr w:type="gramEnd"/>
      <w:r w:rsidRPr="00283806">
        <w:rPr>
          <w:w w:val="105"/>
        </w:rPr>
        <w:t xml:space="preserve"> the supply of ALD systems. A few commenters stated there would be serious challenges to obtaining enough ALD systems within the proposal’s compliance timeline. Commenters cited inadequate lead times to procure ALD systems and supply chain issues. One commenter claimed that they have been notified by manufacturers and suppliers of the need for extended lead times</w:t>
      </w:r>
      <w:r w:rsidRPr="00283806">
        <w:rPr>
          <w:spacing w:val="80"/>
          <w:w w:val="105"/>
        </w:rPr>
        <w:t xml:space="preserve"> </w:t>
      </w:r>
      <w:r w:rsidRPr="00283806">
        <w:rPr>
          <w:w w:val="105"/>
        </w:rPr>
        <w:t>when ordering new equipment as all parts of the supply chain are facing challenges, such as manufacturing, delivery, and installation. Another commenter stated there are existing methods and technologies for leak detection in outdoor areas that would serve as suitable alternatives to an ALD system, considering the challenges of</w:t>
      </w:r>
      <w:r w:rsidRPr="00283806">
        <w:rPr>
          <w:spacing w:val="80"/>
          <w:w w:val="150"/>
        </w:rPr>
        <w:t xml:space="preserve"> </w:t>
      </w:r>
      <w:r w:rsidRPr="00283806">
        <w:rPr>
          <w:w w:val="105"/>
        </w:rPr>
        <w:t>the proposal’s timeline. One commenter claimed that the manufacturing capacity for</w:t>
      </w:r>
      <w:r w:rsidRPr="00283806">
        <w:rPr>
          <w:spacing w:val="40"/>
          <w:w w:val="105"/>
        </w:rPr>
        <w:t xml:space="preserve"> </w:t>
      </w:r>
      <w:r w:rsidRPr="00283806">
        <w:rPr>
          <w:w w:val="105"/>
        </w:rPr>
        <w:t>both</w:t>
      </w:r>
      <w:r w:rsidRPr="00283806">
        <w:rPr>
          <w:spacing w:val="40"/>
          <w:w w:val="105"/>
        </w:rPr>
        <w:t xml:space="preserve"> </w:t>
      </w:r>
      <w:r w:rsidRPr="00283806">
        <w:rPr>
          <w:w w:val="105"/>
        </w:rPr>
        <w:t>direct</w:t>
      </w:r>
      <w:r w:rsidRPr="00283806">
        <w:rPr>
          <w:spacing w:val="40"/>
          <w:w w:val="105"/>
        </w:rPr>
        <w:t xml:space="preserve"> </w:t>
      </w:r>
      <w:r w:rsidRPr="00283806">
        <w:rPr>
          <w:w w:val="105"/>
        </w:rPr>
        <w:t>and</w:t>
      </w:r>
      <w:r w:rsidRPr="00283806">
        <w:rPr>
          <w:spacing w:val="40"/>
          <w:w w:val="105"/>
        </w:rPr>
        <w:t xml:space="preserve"> </w:t>
      </w:r>
      <w:r w:rsidRPr="00283806">
        <w:rPr>
          <w:w w:val="105"/>
        </w:rPr>
        <w:t>indirect</w:t>
      </w:r>
      <w:r w:rsidRPr="00283806">
        <w:rPr>
          <w:spacing w:val="40"/>
          <w:w w:val="105"/>
        </w:rPr>
        <w:t xml:space="preserve"> </w:t>
      </w:r>
      <w:r w:rsidRPr="00283806">
        <w:rPr>
          <w:w w:val="105"/>
        </w:rPr>
        <w:t>ALD systems would likely make industry unable to meet the demand during the one year allotted for existing systems under the proposal. They requested that</w:t>
      </w:r>
    </w:p>
    <w:p w14:paraId="4D0FD557" w14:textId="77777777" w:rsidR="00D67C1E" w:rsidRPr="00283806" w:rsidRDefault="001265CA">
      <w:pPr>
        <w:pStyle w:val="BodyText"/>
        <w:spacing w:before="135" w:line="225" w:lineRule="auto"/>
        <w:ind w:left="153" w:right="130"/>
      </w:pPr>
      <w:r w:rsidRPr="00283806">
        <w:br w:type="column"/>
      </w:r>
      <w:r w:rsidRPr="00283806">
        <w:rPr>
          <w:w w:val="105"/>
        </w:rPr>
        <w:t>EPA conduct a more thorough analysis</w:t>
      </w:r>
      <w:r w:rsidRPr="00283806">
        <w:rPr>
          <w:spacing w:val="80"/>
          <w:w w:val="150"/>
        </w:rPr>
        <w:t xml:space="preserve"> </w:t>
      </w:r>
      <w:r w:rsidRPr="00283806">
        <w:rPr>
          <w:w w:val="105"/>
        </w:rPr>
        <w:t>of the capabilities and capacities of ALD system manufacturers to meet the one- year peak demand caused by the proposal. The commenter also requested that</w:t>
      </w:r>
      <w:r w:rsidRPr="00283806">
        <w:rPr>
          <w:spacing w:val="40"/>
          <w:w w:val="105"/>
        </w:rPr>
        <w:t xml:space="preserve"> </w:t>
      </w:r>
      <w:r w:rsidRPr="00283806">
        <w:rPr>
          <w:w w:val="105"/>
        </w:rPr>
        <w:t>EPA</w:t>
      </w:r>
      <w:r w:rsidRPr="00283806">
        <w:rPr>
          <w:spacing w:val="40"/>
          <w:w w:val="105"/>
        </w:rPr>
        <w:t xml:space="preserve"> </w:t>
      </w:r>
      <w:r w:rsidRPr="00283806">
        <w:rPr>
          <w:w w:val="105"/>
        </w:rPr>
        <w:t>consider</w:t>
      </w:r>
      <w:r w:rsidRPr="00283806">
        <w:rPr>
          <w:spacing w:val="40"/>
          <w:w w:val="105"/>
        </w:rPr>
        <w:t xml:space="preserve"> </w:t>
      </w:r>
      <w:r w:rsidRPr="00283806">
        <w:rPr>
          <w:w w:val="105"/>
        </w:rPr>
        <w:t>the</w:t>
      </w:r>
      <w:r w:rsidRPr="00283806">
        <w:rPr>
          <w:spacing w:val="40"/>
          <w:w w:val="105"/>
        </w:rPr>
        <w:t xml:space="preserve"> </w:t>
      </w:r>
      <w:r w:rsidRPr="00283806">
        <w:rPr>
          <w:w w:val="105"/>
        </w:rPr>
        <w:t>feasibility</w:t>
      </w:r>
      <w:r w:rsidRPr="00283806">
        <w:rPr>
          <w:spacing w:val="40"/>
          <w:w w:val="105"/>
        </w:rPr>
        <w:t xml:space="preserve"> </w:t>
      </w:r>
      <w:r w:rsidRPr="00283806">
        <w:rPr>
          <w:w w:val="105"/>
        </w:rPr>
        <w:t>and cost of its proposal based on that information before finalizing.</w:t>
      </w:r>
    </w:p>
    <w:p w14:paraId="73783A2D" w14:textId="77777777" w:rsidR="00D67C1E" w:rsidRPr="00283806" w:rsidRDefault="001265CA">
      <w:pPr>
        <w:pStyle w:val="BodyText"/>
        <w:spacing w:line="177" w:lineRule="exact"/>
        <w:ind w:left="333"/>
      </w:pPr>
      <w:r w:rsidRPr="00283806">
        <w:rPr>
          <w:w w:val="110"/>
        </w:rPr>
        <w:t>One</w:t>
      </w:r>
      <w:r w:rsidRPr="00283806">
        <w:rPr>
          <w:spacing w:val="-9"/>
          <w:w w:val="110"/>
        </w:rPr>
        <w:t xml:space="preserve"> </w:t>
      </w:r>
      <w:r w:rsidRPr="00283806">
        <w:rPr>
          <w:w w:val="110"/>
        </w:rPr>
        <w:t>commenter,</w:t>
      </w:r>
      <w:r w:rsidRPr="00283806">
        <w:rPr>
          <w:spacing w:val="-9"/>
          <w:w w:val="110"/>
        </w:rPr>
        <w:t xml:space="preserve"> </w:t>
      </w:r>
      <w:r w:rsidRPr="00283806">
        <w:rPr>
          <w:w w:val="110"/>
        </w:rPr>
        <w:t>an</w:t>
      </w:r>
      <w:r w:rsidRPr="00283806">
        <w:rPr>
          <w:spacing w:val="-9"/>
          <w:w w:val="110"/>
        </w:rPr>
        <w:t xml:space="preserve"> </w:t>
      </w:r>
      <w:r w:rsidRPr="00283806">
        <w:rPr>
          <w:spacing w:val="-5"/>
          <w:w w:val="110"/>
        </w:rPr>
        <w:t>ALD</w:t>
      </w:r>
    </w:p>
    <w:p w14:paraId="665CCCCD" w14:textId="77777777" w:rsidR="00D67C1E" w:rsidRPr="00283806" w:rsidRDefault="001265CA">
      <w:pPr>
        <w:pStyle w:val="BodyText"/>
        <w:spacing w:before="3" w:line="225" w:lineRule="auto"/>
        <w:ind w:left="153" w:right="144"/>
      </w:pPr>
      <w:r w:rsidRPr="00283806">
        <w:rPr>
          <w:w w:val="105"/>
        </w:rPr>
        <w:t>manufacturer requested that EPA extend the compliance timeline for the installation</w:t>
      </w:r>
      <w:r w:rsidRPr="00283806">
        <w:rPr>
          <w:spacing w:val="40"/>
          <w:w w:val="105"/>
        </w:rPr>
        <w:t xml:space="preserve"> </w:t>
      </w:r>
      <w:r w:rsidRPr="00283806">
        <w:rPr>
          <w:w w:val="105"/>
        </w:rPr>
        <w:t>of</w:t>
      </w:r>
      <w:r w:rsidRPr="00283806">
        <w:rPr>
          <w:spacing w:val="40"/>
          <w:w w:val="105"/>
        </w:rPr>
        <w:t xml:space="preserve"> </w:t>
      </w:r>
      <w:r w:rsidRPr="00283806">
        <w:rPr>
          <w:w w:val="105"/>
        </w:rPr>
        <w:t>ALD</w:t>
      </w:r>
      <w:r w:rsidRPr="00283806">
        <w:rPr>
          <w:spacing w:val="40"/>
          <w:w w:val="105"/>
        </w:rPr>
        <w:t xml:space="preserve"> </w:t>
      </w:r>
      <w:r w:rsidRPr="00283806">
        <w:rPr>
          <w:w w:val="105"/>
        </w:rPr>
        <w:t>to</w:t>
      </w:r>
      <w:r w:rsidRPr="00283806">
        <w:rPr>
          <w:spacing w:val="40"/>
          <w:w w:val="105"/>
        </w:rPr>
        <w:t xml:space="preserve"> </w:t>
      </w:r>
      <w:r w:rsidRPr="00283806">
        <w:rPr>
          <w:w w:val="105"/>
        </w:rPr>
        <w:t>two</w:t>
      </w:r>
      <w:r w:rsidRPr="00283806">
        <w:rPr>
          <w:spacing w:val="40"/>
          <w:w w:val="105"/>
        </w:rPr>
        <w:t xml:space="preserve"> </w:t>
      </w:r>
      <w:r w:rsidRPr="00283806">
        <w:rPr>
          <w:w w:val="105"/>
        </w:rPr>
        <w:t>years</w:t>
      </w:r>
      <w:r w:rsidRPr="00283806">
        <w:rPr>
          <w:spacing w:val="40"/>
          <w:w w:val="105"/>
        </w:rPr>
        <w:t xml:space="preserve"> </w:t>
      </w:r>
      <w:r w:rsidRPr="00283806">
        <w:rPr>
          <w:w w:val="105"/>
        </w:rPr>
        <w:t>based on their understanding of the ALD</w:t>
      </w:r>
      <w:r w:rsidRPr="00283806">
        <w:rPr>
          <w:spacing w:val="40"/>
          <w:w w:val="105"/>
        </w:rPr>
        <w:t xml:space="preserve"> </w:t>
      </w:r>
      <w:r w:rsidRPr="00283806">
        <w:rPr>
          <w:w w:val="105"/>
        </w:rPr>
        <w:t>market and manufacturers’ ability to meet demand. The commenter stated</w:t>
      </w:r>
      <w:r w:rsidRPr="00283806">
        <w:rPr>
          <w:spacing w:val="40"/>
          <w:w w:val="105"/>
        </w:rPr>
        <w:t xml:space="preserve"> </w:t>
      </w:r>
      <w:r w:rsidRPr="00283806">
        <w:rPr>
          <w:w w:val="105"/>
        </w:rPr>
        <w:t>that in point detection systems, each point</w:t>
      </w:r>
      <w:r w:rsidRPr="00283806">
        <w:rPr>
          <w:spacing w:val="40"/>
          <w:w w:val="105"/>
        </w:rPr>
        <w:t xml:space="preserve"> </w:t>
      </w:r>
      <w:r w:rsidRPr="00283806">
        <w:rPr>
          <w:w w:val="105"/>
        </w:rPr>
        <w:t>can</w:t>
      </w:r>
      <w:r w:rsidRPr="00283806">
        <w:rPr>
          <w:spacing w:val="40"/>
          <w:w w:val="105"/>
        </w:rPr>
        <w:t xml:space="preserve"> </w:t>
      </w:r>
      <w:r w:rsidRPr="00283806">
        <w:rPr>
          <w:w w:val="105"/>
        </w:rPr>
        <w:t>be</w:t>
      </w:r>
      <w:r w:rsidRPr="00283806">
        <w:rPr>
          <w:spacing w:val="40"/>
          <w:w w:val="105"/>
        </w:rPr>
        <w:t xml:space="preserve"> </w:t>
      </w:r>
      <w:r w:rsidRPr="00283806">
        <w:rPr>
          <w:w w:val="105"/>
        </w:rPr>
        <w:t>considered</w:t>
      </w:r>
      <w:r w:rsidRPr="00283806">
        <w:rPr>
          <w:spacing w:val="40"/>
          <w:w w:val="105"/>
        </w:rPr>
        <w:t xml:space="preserve"> </w:t>
      </w:r>
      <w:r w:rsidRPr="00283806">
        <w:rPr>
          <w:w w:val="105"/>
        </w:rPr>
        <w:t>as</w:t>
      </w:r>
      <w:r w:rsidRPr="00283806">
        <w:rPr>
          <w:spacing w:val="40"/>
          <w:w w:val="105"/>
        </w:rPr>
        <w:t xml:space="preserve"> </w:t>
      </w:r>
      <w:r w:rsidRPr="00283806">
        <w:rPr>
          <w:w w:val="105"/>
        </w:rPr>
        <w:t xml:space="preserve">an individual system, which is likely why EPA projects a need for 50,000 systems within the first year. However, the commenter claimed, in an </w:t>
      </w:r>
      <w:proofErr w:type="gramStart"/>
      <w:r w:rsidRPr="00283806">
        <w:rPr>
          <w:w w:val="105"/>
        </w:rPr>
        <w:t>aspirated</w:t>
      </w:r>
      <w:proofErr w:type="gramEnd"/>
    </w:p>
    <w:p w14:paraId="1129C970" w14:textId="77777777" w:rsidR="00D67C1E" w:rsidRPr="00283806" w:rsidRDefault="001265CA">
      <w:pPr>
        <w:pStyle w:val="BodyText"/>
        <w:spacing w:line="225" w:lineRule="auto"/>
        <w:ind w:left="153" w:right="120"/>
      </w:pPr>
      <w:r w:rsidRPr="00283806">
        <w:rPr>
          <w:w w:val="105"/>
        </w:rPr>
        <w:t>low-level detection setup, a facility may have 16 zones with multiple sampling points in each zone all incorporated into one system. For this reason, the commenter expected market demand for low-level aspirated systems (which the commenter suggested will serve as primary direct detection technology</w:t>
      </w:r>
      <w:r w:rsidRPr="00283806">
        <w:rPr>
          <w:spacing w:val="80"/>
          <w:w w:val="105"/>
        </w:rPr>
        <w:t xml:space="preserve"> </w:t>
      </w:r>
      <w:r w:rsidRPr="00283806">
        <w:rPr>
          <w:w w:val="105"/>
        </w:rPr>
        <w:t>used to meet AIM Act requirements) to</w:t>
      </w:r>
      <w:r w:rsidRPr="00283806">
        <w:rPr>
          <w:spacing w:val="40"/>
          <w:w w:val="105"/>
        </w:rPr>
        <w:t xml:space="preserve"> </w:t>
      </w:r>
      <w:r w:rsidRPr="00283806">
        <w:rPr>
          <w:w w:val="105"/>
        </w:rPr>
        <w:t xml:space="preserve">be approximately 3,100 units annually. The commenter claims that they are the only ALD </w:t>
      </w:r>
      <w:proofErr w:type="gramStart"/>
      <w:r w:rsidRPr="00283806">
        <w:rPr>
          <w:w w:val="105"/>
        </w:rPr>
        <w:t>manufacturer</w:t>
      </w:r>
      <w:proofErr w:type="gramEnd"/>
      <w:r w:rsidRPr="00283806">
        <w:rPr>
          <w:w w:val="105"/>
        </w:rPr>
        <w:t xml:space="preserve"> with existing production volume levels demonstrating the capability of meeting demand of this </w:t>
      </w:r>
      <w:r w:rsidRPr="00283806">
        <w:rPr>
          <w:spacing w:val="-2"/>
          <w:w w:val="105"/>
        </w:rPr>
        <w:t>magnitude.</w:t>
      </w:r>
    </w:p>
    <w:p w14:paraId="0B2195EC" w14:textId="77777777" w:rsidR="00D67C1E" w:rsidRPr="00283806" w:rsidRDefault="001265CA">
      <w:pPr>
        <w:pStyle w:val="BodyText"/>
        <w:spacing w:line="175" w:lineRule="exact"/>
        <w:ind w:left="333"/>
      </w:pPr>
      <w:r w:rsidRPr="00283806">
        <w:rPr>
          <w:w w:val="105"/>
        </w:rPr>
        <w:t>Lastly,</w:t>
      </w:r>
      <w:r w:rsidRPr="00283806">
        <w:rPr>
          <w:spacing w:val="8"/>
          <w:w w:val="105"/>
        </w:rPr>
        <w:t xml:space="preserve"> </w:t>
      </w:r>
      <w:r w:rsidRPr="00283806">
        <w:rPr>
          <w:w w:val="105"/>
        </w:rPr>
        <w:t>one</w:t>
      </w:r>
      <w:r w:rsidRPr="00283806">
        <w:rPr>
          <w:spacing w:val="9"/>
          <w:w w:val="105"/>
        </w:rPr>
        <w:t xml:space="preserve"> </w:t>
      </w:r>
      <w:r w:rsidRPr="00283806">
        <w:rPr>
          <w:w w:val="105"/>
        </w:rPr>
        <w:t>commenter</w:t>
      </w:r>
      <w:r w:rsidRPr="00283806">
        <w:rPr>
          <w:spacing w:val="9"/>
          <w:w w:val="105"/>
        </w:rPr>
        <w:t xml:space="preserve"> </w:t>
      </w:r>
      <w:r w:rsidRPr="00283806">
        <w:rPr>
          <w:w w:val="105"/>
        </w:rPr>
        <w:t>stated</w:t>
      </w:r>
      <w:r w:rsidRPr="00283806">
        <w:rPr>
          <w:spacing w:val="8"/>
          <w:w w:val="105"/>
        </w:rPr>
        <w:t xml:space="preserve"> </w:t>
      </w:r>
      <w:r w:rsidRPr="00283806">
        <w:rPr>
          <w:spacing w:val="-4"/>
          <w:w w:val="105"/>
        </w:rPr>
        <w:t>that</w:t>
      </w:r>
    </w:p>
    <w:p w14:paraId="2281361C" w14:textId="77777777" w:rsidR="00D67C1E" w:rsidRPr="00283806" w:rsidRDefault="001265CA">
      <w:pPr>
        <w:pStyle w:val="BodyText"/>
        <w:spacing w:line="225" w:lineRule="auto"/>
        <w:ind w:left="153" w:right="171"/>
      </w:pPr>
      <w:r w:rsidRPr="00283806">
        <w:rPr>
          <w:w w:val="105"/>
        </w:rPr>
        <w:t>indirect ALD systems, which they manufacture, can be deployed across thousands of sites more quickly and</w:t>
      </w:r>
      <w:r w:rsidRPr="00283806">
        <w:rPr>
          <w:spacing w:val="40"/>
          <w:w w:val="105"/>
        </w:rPr>
        <w:t xml:space="preserve"> </w:t>
      </w:r>
      <w:r w:rsidRPr="00283806">
        <w:rPr>
          <w:w w:val="105"/>
        </w:rPr>
        <w:t>cost-effectively than solutions that require onsite hardware and site visits, in addition to providing industry more flexibility. The commenter also</w:t>
      </w:r>
      <w:r w:rsidRPr="00283806">
        <w:rPr>
          <w:spacing w:val="40"/>
          <w:w w:val="105"/>
        </w:rPr>
        <w:t xml:space="preserve"> </w:t>
      </w:r>
      <w:r w:rsidRPr="00283806">
        <w:rPr>
          <w:w w:val="105"/>
        </w:rPr>
        <w:t xml:space="preserve">explained that the largest bottleneck for the implementation of indirect ALD systems are corporate IT security processes, which can take weeks to months. Once the IT approvals are completed, the installation of indirect ALD is prompt. The commenter is confident that they, and other ALD manufacturers identified by EPA, </w:t>
      </w:r>
      <w:proofErr w:type="gramStart"/>
      <w:r w:rsidRPr="00283806">
        <w:rPr>
          <w:w w:val="105"/>
        </w:rPr>
        <w:t>have the ability to</w:t>
      </w:r>
      <w:proofErr w:type="gramEnd"/>
      <w:r w:rsidRPr="00283806">
        <w:rPr>
          <w:w w:val="105"/>
        </w:rPr>
        <w:t xml:space="preserve"> meet the large surge in</w:t>
      </w:r>
      <w:r w:rsidRPr="00283806">
        <w:rPr>
          <w:spacing w:val="80"/>
          <w:w w:val="105"/>
        </w:rPr>
        <w:t xml:space="preserve"> </w:t>
      </w:r>
      <w:r w:rsidRPr="00283806">
        <w:rPr>
          <w:w w:val="105"/>
        </w:rPr>
        <w:t>ALD system deployments that would be required under the proposed rule.</w:t>
      </w:r>
    </w:p>
    <w:p w14:paraId="52058C90" w14:textId="77777777" w:rsidR="00D67C1E" w:rsidRPr="00283806" w:rsidRDefault="001265CA">
      <w:pPr>
        <w:spacing w:line="178" w:lineRule="exact"/>
        <w:ind w:left="333"/>
        <w:rPr>
          <w:sz w:val="18"/>
        </w:rPr>
      </w:pPr>
      <w:r w:rsidRPr="00283806">
        <w:rPr>
          <w:rFonts w:ascii="Book Antiqua"/>
          <w:i/>
          <w:w w:val="115"/>
          <w:sz w:val="18"/>
        </w:rPr>
        <w:t>Response:</w:t>
      </w:r>
      <w:r w:rsidRPr="00283806">
        <w:rPr>
          <w:rFonts w:ascii="Book Antiqua"/>
          <w:i/>
          <w:spacing w:val="-13"/>
          <w:w w:val="115"/>
          <w:sz w:val="18"/>
        </w:rPr>
        <w:t xml:space="preserve"> </w:t>
      </w:r>
      <w:r w:rsidRPr="00283806">
        <w:rPr>
          <w:w w:val="115"/>
          <w:sz w:val="18"/>
        </w:rPr>
        <w:t>In</w:t>
      </w:r>
      <w:r w:rsidRPr="00283806">
        <w:rPr>
          <w:spacing w:val="-12"/>
          <w:w w:val="115"/>
          <w:sz w:val="18"/>
        </w:rPr>
        <w:t xml:space="preserve"> </w:t>
      </w:r>
      <w:r w:rsidRPr="00283806">
        <w:rPr>
          <w:w w:val="115"/>
          <w:sz w:val="18"/>
        </w:rPr>
        <w:t>the</w:t>
      </w:r>
      <w:r w:rsidRPr="00283806">
        <w:rPr>
          <w:spacing w:val="-10"/>
          <w:w w:val="115"/>
          <w:sz w:val="18"/>
        </w:rPr>
        <w:t xml:space="preserve"> </w:t>
      </w:r>
      <w:r w:rsidRPr="00283806">
        <w:rPr>
          <w:w w:val="115"/>
          <w:sz w:val="18"/>
        </w:rPr>
        <w:t>final</w:t>
      </w:r>
      <w:r w:rsidRPr="00283806">
        <w:rPr>
          <w:spacing w:val="-9"/>
          <w:w w:val="115"/>
          <w:sz w:val="18"/>
        </w:rPr>
        <w:t xml:space="preserve"> </w:t>
      </w:r>
      <w:r w:rsidRPr="00283806">
        <w:rPr>
          <w:w w:val="115"/>
          <w:sz w:val="18"/>
        </w:rPr>
        <w:t>rule,</w:t>
      </w:r>
      <w:r w:rsidRPr="00283806">
        <w:rPr>
          <w:spacing w:val="-10"/>
          <w:w w:val="115"/>
          <w:sz w:val="18"/>
        </w:rPr>
        <w:t xml:space="preserve"> </w:t>
      </w:r>
      <w:r w:rsidRPr="00283806">
        <w:rPr>
          <w:w w:val="115"/>
          <w:sz w:val="18"/>
        </w:rPr>
        <w:t>EPA</w:t>
      </w:r>
      <w:r w:rsidRPr="00283806">
        <w:rPr>
          <w:spacing w:val="-9"/>
          <w:w w:val="115"/>
          <w:sz w:val="18"/>
        </w:rPr>
        <w:t xml:space="preserve"> </w:t>
      </w:r>
      <w:r w:rsidRPr="00283806">
        <w:rPr>
          <w:spacing w:val="-5"/>
          <w:w w:val="115"/>
          <w:sz w:val="18"/>
        </w:rPr>
        <w:t>has</w:t>
      </w:r>
    </w:p>
    <w:p w14:paraId="39EE5996" w14:textId="77777777" w:rsidR="00D67C1E" w:rsidRPr="00283806" w:rsidRDefault="001265CA">
      <w:pPr>
        <w:pStyle w:val="BodyText"/>
        <w:spacing w:line="228" w:lineRule="auto"/>
        <w:ind w:left="153" w:right="122"/>
      </w:pPr>
      <w:r w:rsidRPr="00283806">
        <w:rPr>
          <w:w w:val="105"/>
        </w:rPr>
        <w:t>extended the compliance date of new applicable refrigerant-containing appliances to January 1, 2026, has changed the applicability of existing IPR and commercial refrigeration appliances to those installed on or after January 1, 2027, and has extended the compliance date to 2027. For new refrigerant- containing appliances subject to this provision, the Agency has provided an additional</w:t>
      </w:r>
      <w:r w:rsidRPr="00283806">
        <w:rPr>
          <w:spacing w:val="40"/>
          <w:w w:val="105"/>
        </w:rPr>
        <w:t xml:space="preserve"> </w:t>
      </w:r>
      <w:r w:rsidRPr="00283806">
        <w:rPr>
          <w:w w:val="105"/>
        </w:rPr>
        <w:t>year</w:t>
      </w:r>
      <w:r w:rsidRPr="00283806">
        <w:rPr>
          <w:spacing w:val="40"/>
          <w:w w:val="105"/>
        </w:rPr>
        <w:t xml:space="preserve"> </w:t>
      </w:r>
      <w:r w:rsidRPr="00283806">
        <w:rPr>
          <w:w w:val="105"/>
        </w:rPr>
        <w:t>to</w:t>
      </w:r>
      <w:r w:rsidRPr="00283806">
        <w:rPr>
          <w:spacing w:val="40"/>
          <w:w w:val="105"/>
        </w:rPr>
        <w:t xml:space="preserve"> </w:t>
      </w:r>
      <w:r w:rsidRPr="00283806">
        <w:rPr>
          <w:w w:val="105"/>
        </w:rPr>
        <w:t>install</w:t>
      </w:r>
      <w:r w:rsidRPr="00283806">
        <w:rPr>
          <w:spacing w:val="40"/>
          <w:w w:val="105"/>
        </w:rPr>
        <w:t xml:space="preserve"> </w:t>
      </w:r>
      <w:r w:rsidRPr="00283806">
        <w:rPr>
          <w:w w:val="105"/>
        </w:rPr>
        <w:t>an</w:t>
      </w:r>
      <w:r w:rsidRPr="00283806">
        <w:rPr>
          <w:spacing w:val="40"/>
          <w:w w:val="105"/>
        </w:rPr>
        <w:t xml:space="preserve"> </w:t>
      </w:r>
      <w:r w:rsidRPr="00283806">
        <w:rPr>
          <w:w w:val="105"/>
        </w:rPr>
        <w:t>ALD system. Existing refrigerant-containing</w:t>
      </w:r>
    </w:p>
    <w:p w14:paraId="07EFB134"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7" w:space="40"/>
            <w:col w:w="3490" w:space="39"/>
            <w:col w:w="3634"/>
          </w:cols>
        </w:sectPr>
      </w:pPr>
    </w:p>
    <w:p w14:paraId="116DC5FA" w14:textId="77777777" w:rsidR="00D67C1E" w:rsidRPr="00283806" w:rsidRDefault="001265CA">
      <w:pPr>
        <w:pStyle w:val="BodyText"/>
        <w:spacing w:before="134" w:line="228" w:lineRule="auto"/>
        <w:ind w:right="21"/>
      </w:pPr>
      <w:r w:rsidRPr="00283806">
        <w:rPr>
          <w:w w:val="105"/>
        </w:rPr>
        <w:lastRenderedPageBreak/>
        <w:t>appliances</w:t>
      </w:r>
      <w:r w:rsidRPr="00283806">
        <w:rPr>
          <w:spacing w:val="40"/>
          <w:w w:val="105"/>
        </w:rPr>
        <w:t xml:space="preserve"> </w:t>
      </w:r>
      <w:r w:rsidRPr="00283806">
        <w:rPr>
          <w:w w:val="105"/>
        </w:rPr>
        <w:t>subject</w:t>
      </w:r>
      <w:r w:rsidRPr="00283806">
        <w:rPr>
          <w:spacing w:val="40"/>
          <w:w w:val="105"/>
        </w:rPr>
        <w:t xml:space="preserve"> </w:t>
      </w:r>
      <w:r w:rsidRPr="00283806">
        <w:rPr>
          <w:w w:val="105"/>
        </w:rPr>
        <w:t>to</w:t>
      </w:r>
      <w:r w:rsidRPr="00283806">
        <w:rPr>
          <w:spacing w:val="40"/>
          <w:w w:val="105"/>
        </w:rPr>
        <w:t xml:space="preserve"> </w:t>
      </w:r>
      <w:r w:rsidRPr="00283806">
        <w:rPr>
          <w:w w:val="105"/>
        </w:rPr>
        <w:t>this</w:t>
      </w:r>
      <w:r w:rsidRPr="00283806">
        <w:rPr>
          <w:spacing w:val="40"/>
          <w:w w:val="105"/>
        </w:rPr>
        <w:t xml:space="preserve"> </w:t>
      </w:r>
      <w:r w:rsidRPr="00283806">
        <w:rPr>
          <w:w w:val="105"/>
        </w:rPr>
        <w:t>provision have more than two years to install an ALD system. With these changes the Agency estimates that approximately 25,000</w:t>
      </w:r>
      <w:r w:rsidRPr="00283806">
        <w:rPr>
          <w:spacing w:val="-5"/>
          <w:w w:val="105"/>
        </w:rPr>
        <w:t xml:space="preserve"> </w:t>
      </w:r>
      <w:r w:rsidRPr="00283806">
        <w:rPr>
          <w:w w:val="105"/>
        </w:rPr>
        <w:t>refrigerant-containing</w:t>
      </w:r>
      <w:r w:rsidRPr="00283806">
        <w:rPr>
          <w:spacing w:val="-5"/>
          <w:w w:val="105"/>
        </w:rPr>
        <w:t xml:space="preserve"> </w:t>
      </w:r>
      <w:r w:rsidRPr="00283806">
        <w:rPr>
          <w:w w:val="105"/>
        </w:rPr>
        <w:t>appliances will be required to install and use an</w:t>
      </w:r>
      <w:r w:rsidRPr="00283806">
        <w:rPr>
          <w:spacing w:val="80"/>
          <w:w w:val="105"/>
        </w:rPr>
        <w:t xml:space="preserve"> </w:t>
      </w:r>
      <w:r w:rsidRPr="00283806">
        <w:rPr>
          <w:w w:val="105"/>
        </w:rPr>
        <w:t>ALD system between 2025 and 2027, which will greatly reduce the demand</w:t>
      </w:r>
      <w:r w:rsidRPr="00283806">
        <w:rPr>
          <w:spacing w:val="80"/>
          <w:w w:val="105"/>
        </w:rPr>
        <w:t xml:space="preserve"> </w:t>
      </w:r>
      <w:r w:rsidRPr="00283806">
        <w:rPr>
          <w:w w:val="105"/>
        </w:rPr>
        <w:t>for such systems, limit potential supply chain issues, and further limit demand- related costs increases. EPA has</w:t>
      </w:r>
      <w:r w:rsidRPr="00283806">
        <w:rPr>
          <w:spacing w:val="80"/>
          <w:w w:val="105"/>
        </w:rPr>
        <w:t xml:space="preserve"> </w:t>
      </w:r>
      <w:r w:rsidRPr="00283806">
        <w:rPr>
          <w:w w:val="105"/>
        </w:rPr>
        <w:t xml:space="preserve">provided owners or operators with additional time to plan, procure, and install an ALD system that meets the requirements described in 40 CFR 84.108, even when considering lead times that may be associated with ordering ALD systems. Additionally, as reflected in comments from ALD manufacturers, the supply of ALD systems is adequate to meet the demand for ALD systems caused by this final rule’s provision. The Agency has also provided additional time, as one of the manufacturers requested, to ensure the ALD suppliers can manufacture and supply ALD systems to owners and operators subject to the ALD installation and use requirements. The additional time will also provide owners or </w:t>
      </w:r>
      <w:proofErr w:type="gramStart"/>
      <w:r w:rsidRPr="00283806">
        <w:rPr>
          <w:w w:val="105"/>
        </w:rPr>
        <w:t>operators</w:t>
      </w:r>
      <w:proofErr w:type="gramEnd"/>
      <w:r w:rsidRPr="00283806">
        <w:rPr>
          <w:w w:val="105"/>
        </w:rPr>
        <w:t xml:space="preserve"> time to work through corporate IT processes so they can quickly implement indirect ALD</w:t>
      </w:r>
      <w:r w:rsidRPr="00283806">
        <w:rPr>
          <w:spacing w:val="80"/>
          <w:w w:val="105"/>
        </w:rPr>
        <w:t xml:space="preserve"> </w:t>
      </w:r>
      <w:r w:rsidRPr="00283806">
        <w:rPr>
          <w:w w:val="105"/>
        </w:rPr>
        <w:t>systems. For these reasons, the Agency disagrees with one commenter’s perspective that ALD manufacturers would not be able to meet the demand</w:t>
      </w:r>
      <w:r w:rsidRPr="00283806">
        <w:rPr>
          <w:spacing w:val="40"/>
          <w:w w:val="105"/>
        </w:rPr>
        <w:t xml:space="preserve"> </w:t>
      </w:r>
      <w:r w:rsidRPr="00283806">
        <w:rPr>
          <w:w w:val="105"/>
        </w:rPr>
        <w:t xml:space="preserve">for ALD systems. </w:t>
      </w:r>
      <w:proofErr w:type="gramStart"/>
      <w:r w:rsidRPr="00283806">
        <w:rPr>
          <w:w w:val="105"/>
        </w:rPr>
        <w:t>EPA</w:t>
      </w:r>
      <w:proofErr w:type="gramEnd"/>
      <w:r w:rsidRPr="00283806">
        <w:rPr>
          <w:w w:val="105"/>
        </w:rPr>
        <w:t xml:space="preserve"> with additional consideration, informed by </w:t>
      </w:r>
      <w:proofErr w:type="gramStart"/>
      <w:r w:rsidRPr="00283806">
        <w:rPr>
          <w:w w:val="105"/>
        </w:rPr>
        <w:t>comments</w:t>
      </w:r>
      <w:proofErr w:type="gramEnd"/>
      <w:r w:rsidRPr="00283806">
        <w:rPr>
          <w:w w:val="105"/>
        </w:rPr>
        <w:t xml:space="preserve"> finds the supply of ALD systems to be adequate to meet the compliance dates established in this final rule.</w:t>
      </w:r>
    </w:p>
    <w:p w14:paraId="3B50B022" w14:textId="77777777" w:rsidR="00D67C1E" w:rsidRPr="00283806" w:rsidRDefault="001265CA">
      <w:pPr>
        <w:pStyle w:val="BodyText"/>
        <w:spacing w:before="19" w:line="228" w:lineRule="auto"/>
        <w:ind w:right="58" w:firstLine="180"/>
      </w:pPr>
      <w:r w:rsidRPr="00283806">
        <w:rPr>
          <w:w w:val="105"/>
        </w:rPr>
        <w:t>The Agency disagrees with one commenter’s claim that there are</w:t>
      </w:r>
      <w:r w:rsidRPr="00283806">
        <w:rPr>
          <w:spacing w:val="40"/>
          <w:w w:val="105"/>
        </w:rPr>
        <w:t xml:space="preserve"> </w:t>
      </w:r>
      <w:r w:rsidRPr="00283806">
        <w:rPr>
          <w:w w:val="105"/>
        </w:rPr>
        <w:t>existing methods and technologies for detecting leaks in outdoor areas which are suitable alternatives to ALD. The commenter did not provide any additional information on what these methods or technologies would include, nor did they specify how such technologies would continuously</w:t>
      </w:r>
      <w:r w:rsidRPr="00283806">
        <w:rPr>
          <w:spacing w:val="40"/>
          <w:w w:val="105"/>
        </w:rPr>
        <w:t xml:space="preserve"> </w:t>
      </w:r>
      <w:r w:rsidRPr="00283806">
        <w:rPr>
          <w:w w:val="105"/>
        </w:rPr>
        <w:t>monitor refrigerant-containing appliances. The Agency is aware that direct ALD systems cannot detect refrigerant outdoors; however, the final rule specifically requires the use of</w:t>
      </w:r>
      <w:r w:rsidRPr="00283806">
        <w:rPr>
          <w:spacing w:val="80"/>
          <w:w w:val="105"/>
        </w:rPr>
        <w:t xml:space="preserve"> </w:t>
      </w:r>
      <w:r w:rsidRPr="00283806">
        <w:rPr>
          <w:w w:val="105"/>
        </w:rPr>
        <w:t xml:space="preserve">direct ALD systems to monitor leak- prone components within an enclosed space. Furthermore, leak inspections following a successful follow-up verification test are required for all portions of an appliance not monitored by a direct ALD system. Additionally, indirect ALD systems </w:t>
      </w:r>
      <w:proofErr w:type="gramStart"/>
      <w:r w:rsidRPr="00283806">
        <w:rPr>
          <w:w w:val="105"/>
        </w:rPr>
        <w:t>are capable of monitoring</w:t>
      </w:r>
      <w:proofErr w:type="gramEnd"/>
      <w:r w:rsidRPr="00283806">
        <w:rPr>
          <w:w w:val="105"/>
        </w:rPr>
        <w:t xml:space="preserve"> the entire refrigerant- containing appliance. For these reasons, EPA disagrees with the commenter’s</w:t>
      </w:r>
    </w:p>
    <w:p w14:paraId="2181D78E" w14:textId="77777777" w:rsidR="00D67C1E" w:rsidRPr="00283806" w:rsidRDefault="001265CA">
      <w:pPr>
        <w:pStyle w:val="BodyText"/>
        <w:spacing w:before="134" w:line="225" w:lineRule="auto"/>
      </w:pPr>
      <w:r w:rsidRPr="00283806">
        <w:br w:type="column"/>
      </w:r>
      <w:r w:rsidRPr="00283806">
        <w:rPr>
          <w:w w:val="105"/>
        </w:rPr>
        <w:t>views that there are available techniques or</w:t>
      </w:r>
      <w:r w:rsidRPr="00283806">
        <w:rPr>
          <w:spacing w:val="40"/>
          <w:w w:val="105"/>
        </w:rPr>
        <w:t xml:space="preserve"> </w:t>
      </w:r>
      <w:r w:rsidRPr="00283806">
        <w:rPr>
          <w:w w:val="105"/>
        </w:rPr>
        <w:t>technology</w:t>
      </w:r>
      <w:r w:rsidRPr="00283806">
        <w:rPr>
          <w:spacing w:val="40"/>
          <w:w w:val="105"/>
        </w:rPr>
        <w:t xml:space="preserve"> </w:t>
      </w:r>
      <w:r w:rsidRPr="00283806">
        <w:rPr>
          <w:w w:val="105"/>
        </w:rPr>
        <w:t>that</w:t>
      </w:r>
      <w:r w:rsidRPr="00283806">
        <w:rPr>
          <w:spacing w:val="40"/>
          <w:w w:val="105"/>
        </w:rPr>
        <w:t xml:space="preserve"> </w:t>
      </w:r>
      <w:r w:rsidRPr="00283806">
        <w:rPr>
          <w:w w:val="105"/>
        </w:rPr>
        <w:t>can</w:t>
      </w:r>
      <w:r w:rsidRPr="00283806">
        <w:rPr>
          <w:spacing w:val="40"/>
          <w:w w:val="105"/>
        </w:rPr>
        <w:t xml:space="preserve"> </w:t>
      </w:r>
      <w:r w:rsidRPr="00283806">
        <w:rPr>
          <w:w w:val="105"/>
        </w:rPr>
        <w:t>supplant</w:t>
      </w:r>
      <w:r w:rsidRPr="00283806">
        <w:rPr>
          <w:spacing w:val="40"/>
          <w:w w:val="105"/>
        </w:rPr>
        <w:t xml:space="preserve"> </w:t>
      </w:r>
      <w:r w:rsidRPr="00283806">
        <w:rPr>
          <w:w w:val="105"/>
        </w:rPr>
        <w:t>the need for ALD systems.</w:t>
      </w:r>
    </w:p>
    <w:p w14:paraId="0D3715D7" w14:textId="77777777" w:rsidR="00D67C1E" w:rsidRPr="00283806" w:rsidRDefault="001265CA">
      <w:pPr>
        <w:pStyle w:val="BodyText"/>
        <w:spacing w:line="179" w:lineRule="exact"/>
        <w:ind w:left="340"/>
      </w:pPr>
      <w:r w:rsidRPr="00283806">
        <w:rPr>
          <w:w w:val="105"/>
        </w:rPr>
        <w:t>Direct</w:t>
      </w:r>
      <w:r w:rsidRPr="00283806">
        <w:rPr>
          <w:spacing w:val="-3"/>
          <w:w w:val="105"/>
        </w:rPr>
        <w:t xml:space="preserve"> </w:t>
      </w:r>
      <w:r w:rsidRPr="00283806">
        <w:rPr>
          <w:w w:val="105"/>
        </w:rPr>
        <w:t xml:space="preserve">refrigerant leak </w:t>
      </w:r>
      <w:r w:rsidRPr="00283806">
        <w:rPr>
          <w:spacing w:val="-2"/>
          <w:w w:val="105"/>
        </w:rPr>
        <w:t>detection</w:t>
      </w:r>
    </w:p>
    <w:p w14:paraId="154D95E0" w14:textId="77777777" w:rsidR="00D67C1E" w:rsidRPr="00283806" w:rsidRDefault="001265CA">
      <w:pPr>
        <w:pStyle w:val="BodyText"/>
        <w:spacing w:before="4" w:line="225" w:lineRule="auto"/>
        <w:ind w:right="85"/>
      </w:pPr>
      <w:r w:rsidRPr="00283806">
        <w:rPr>
          <w:w w:val="105"/>
        </w:rPr>
        <w:t>systems are fixed hardware that continuously monitor the concentration of refrigerants in the air. Continuous monitoring of a refrigerant-containing appliance can also include direct ALD systems, which directly monitor said appliance through cycling. For direct</w:t>
      </w:r>
      <w:r w:rsidRPr="00283806">
        <w:rPr>
          <w:spacing w:val="40"/>
          <w:w w:val="105"/>
        </w:rPr>
        <w:t xml:space="preserve"> </w:t>
      </w:r>
      <w:r w:rsidRPr="00283806">
        <w:rPr>
          <w:w w:val="105"/>
        </w:rPr>
        <w:t>ALD systems, it is essential that gas sensors be located at all leak-prone components of a refrigeration system; otherwise, some leaks may go undetected. The benefits of direct ALD systems include being able to pinpoint the location and severity of a leak.</w:t>
      </w:r>
    </w:p>
    <w:p w14:paraId="5C7B71C3" w14:textId="77777777" w:rsidR="00D67C1E" w:rsidRPr="00283806" w:rsidRDefault="001265CA">
      <w:pPr>
        <w:pStyle w:val="BodyText"/>
        <w:spacing w:line="223" w:lineRule="auto"/>
        <w:ind w:right="87"/>
      </w:pPr>
      <w:r w:rsidRPr="00283806">
        <w:rPr>
          <w:w w:val="105"/>
        </w:rPr>
        <w:t>Direct ALD systems are commissioned</w:t>
      </w:r>
      <w:r w:rsidRPr="00283806">
        <w:rPr>
          <w:spacing w:val="80"/>
          <w:w w:val="105"/>
        </w:rPr>
        <w:t xml:space="preserve"> </w:t>
      </w:r>
      <w:r w:rsidRPr="00283806">
        <w:rPr>
          <w:w w:val="105"/>
        </w:rPr>
        <w:t xml:space="preserve">to send an ‘‘alarm’’ to maintenance and/ or operations staff if the programmed leak level threshold is exceeded. EPA </w:t>
      </w:r>
      <w:proofErr w:type="gramStart"/>
      <w:r w:rsidRPr="00283806">
        <w:rPr>
          <w:w w:val="105"/>
        </w:rPr>
        <w:t>is not establishing</w:t>
      </w:r>
      <w:proofErr w:type="gramEnd"/>
      <w:r w:rsidRPr="00283806">
        <w:rPr>
          <w:w w:val="105"/>
        </w:rPr>
        <w:t xml:space="preserve"> a definition of direct</w:t>
      </w:r>
      <w:r w:rsidRPr="00283806">
        <w:rPr>
          <w:spacing w:val="40"/>
          <w:w w:val="105"/>
        </w:rPr>
        <w:t xml:space="preserve"> </w:t>
      </w:r>
      <w:r w:rsidRPr="00283806">
        <w:rPr>
          <w:w w:val="105"/>
        </w:rPr>
        <w:t>ALD systems in this rulemaking and clarifies that any direct ALD system which meets the criteria described in 40 CFR 84.108(f)(1)(2)(3) (</w:t>
      </w:r>
      <w:r w:rsidRPr="00283806">
        <w:rPr>
          <w:rFonts w:ascii="Book Antiqua" w:hAnsi="Book Antiqua"/>
          <w:i/>
          <w:w w:val="105"/>
        </w:rPr>
        <w:t xml:space="preserve">e.g., </w:t>
      </w:r>
      <w:r w:rsidRPr="00283806">
        <w:rPr>
          <w:w w:val="105"/>
        </w:rPr>
        <w:t>accurately detects a concentration of 10 ppm of vapor) is acceptable to use. Some types</w:t>
      </w:r>
      <w:r w:rsidRPr="00283806">
        <w:rPr>
          <w:spacing w:val="40"/>
          <w:w w:val="105"/>
        </w:rPr>
        <w:t xml:space="preserve"> </w:t>
      </w:r>
      <w:r w:rsidRPr="00283806">
        <w:rPr>
          <w:w w:val="105"/>
        </w:rPr>
        <w:t>of acceptable direct ALD systems</w:t>
      </w:r>
      <w:r w:rsidRPr="00283806">
        <w:rPr>
          <w:spacing w:val="80"/>
          <w:w w:val="105"/>
        </w:rPr>
        <w:t xml:space="preserve"> </w:t>
      </w:r>
      <w:r w:rsidRPr="00283806">
        <w:rPr>
          <w:w w:val="105"/>
        </w:rPr>
        <w:t>include but are not limited to:</w:t>
      </w:r>
    </w:p>
    <w:p w14:paraId="06C8394F" w14:textId="77777777" w:rsidR="00D67C1E" w:rsidRPr="00283806" w:rsidRDefault="001265CA">
      <w:pPr>
        <w:pStyle w:val="ListParagraph"/>
        <w:numPr>
          <w:ilvl w:val="0"/>
          <w:numId w:val="53"/>
        </w:numPr>
        <w:tabs>
          <w:tab w:val="left" w:pos="522"/>
        </w:tabs>
        <w:spacing w:line="179" w:lineRule="exact"/>
        <w:ind w:left="522" w:hanging="182"/>
        <w:rPr>
          <w:sz w:val="18"/>
        </w:rPr>
      </w:pPr>
      <w:r w:rsidRPr="00283806">
        <w:rPr>
          <w:w w:val="105"/>
          <w:sz w:val="18"/>
        </w:rPr>
        <w:t>Point</w:t>
      </w:r>
      <w:r w:rsidRPr="00283806">
        <w:rPr>
          <w:spacing w:val="9"/>
          <w:w w:val="105"/>
          <w:sz w:val="18"/>
        </w:rPr>
        <w:t xml:space="preserve"> </w:t>
      </w:r>
      <w:r w:rsidRPr="00283806">
        <w:rPr>
          <w:w w:val="105"/>
          <w:sz w:val="18"/>
        </w:rPr>
        <w:t>gas</w:t>
      </w:r>
      <w:r w:rsidRPr="00283806">
        <w:rPr>
          <w:spacing w:val="10"/>
          <w:w w:val="105"/>
          <w:sz w:val="18"/>
        </w:rPr>
        <w:t xml:space="preserve"> </w:t>
      </w:r>
      <w:r w:rsidRPr="00283806">
        <w:rPr>
          <w:w w:val="105"/>
          <w:sz w:val="18"/>
        </w:rPr>
        <w:t>detection</w:t>
      </w:r>
      <w:r w:rsidRPr="00283806">
        <w:rPr>
          <w:spacing w:val="9"/>
          <w:w w:val="105"/>
          <w:sz w:val="18"/>
        </w:rPr>
        <w:t xml:space="preserve"> </w:t>
      </w:r>
      <w:r w:rsidRPr="00283806">
        <w:rPr>
          <w:spacing w:val="-2"/>
          <w:w w:val="105"/>
          <w:sz w:val="18"/>
        </w:rPr>
        <w:t>systems;</w:t>
      </w:r>
    </w:p>
    <w:p w14:paraId="4A4B3BA7" w14:textId="77777777" w:rsidR="00D67C1E" w:rsidRPr="00283806" w:rsidRDefault="001265CA">
      <w:pPr>
        <w:pStyle w:val="ListParagraph"/>
        <w:numPr>
          <w:ilvl w:val="0"/>
          <w:numId w:val="53"/>
        </w:numPr>
        <w:tabs>
          <w:tab w:val="left" w:pos="522"/>
        </w:tabs>
        <w:spacing w:line="225" w:lineRule="auto"/>
        <w:ind w:right="283" w:firstLine="180"/>
        <w:rPr>
          <w:sz w:val="18"/>
        </w:rPr>
      </w:pPr>
      <w:r w:rsidRPr="00283806">
        <w:rPr>
          <w:w w:val="105"/>
          <w:sz w:val="18"/>
        </w:rPr>
        <w:t xml:space="preserve">Aspirated (or pumped) detection </w:t>
      </w:r>
      <w:r w:rsidRPr="00283806">
        <w:rPr>
          <w:spacing w:val="-2"/>
          <w:w w:val="105"/>
          <w:sz w:val="18"/>
        </w:rPr>
        <w:t>systems.</w:t>
      </w:r>
    </w:p>
    <w:p w14:paraId="433C5919" w14:textId="77777777" w:rsidR="00D67C1E" w:rsidRPr="00283806" w:rsidRDefault="001265CA">
      <w:pPr>
        <w:pStyle w:val="BodyText"/>
        <w:spacing w:line="179" w:lineRule="exact"/>
        <w:ind w:left="340"/>
      </w:pPr>
      <w:r w:rsidRPr="00283806">
        <w:rPr>
          <w:w w:val="105"/>
        </w:rPr>
        <w:t>EPA</w:t>
      </w:r>
      <w:r w:rsidRPr="00283806">
        <w:rPr>
          <w:spacing w:val="8"/>
          <w:w w:val="105"/>
        </w:rPr>
        <w:t xml:space="preserve"> </w:t>
      </w:r>
      <w:r w:rsidRPr="00283806">
        <w:rPr>
          <w:w w:val="105"/>
        </w:rPr>
        <w:t>is</w:t>
      </w:r>
      <w:r w:rsidRPr="00283806">
        <w:rPr>
          <w:spacing w:val="9"/>
          <w:w w:val="105"/>
        </w:rPr>
        <w:t xml:space="preserve"> </w:t>
      </w:r>
      <w:r w:rsidRPr="00283806">
        <w:rPr>
          <w:w w:val="105"/>
        </w:rPr>
        <w:t>requiring</w:t>
      </w:r>
      <w:r w:rsidRPr="00283806">
        <w:rPr>
          <w:spacing w:val="9"/>
          <w:w w:val="105"/>
        </w:rPr>
        <w:t xml:space="preserve"> </w:t>
      </w:r>
      <w:r w:rsidRPr="00283806">
        <w:rPr>
          <w:w w:val="105"/>
        </w:rPr>
        <w:t>owners</w:t>
      </w:r>
      <w:r w:rsidRPr="00283806">
        <w:rPr>
          <w:spacing w:val="9"/>
          <w:w w:val="105"/>
        </w:rPr>
        <w:t xml:space="preserve"> </w:t>
      </w:r>
      <w:r w:rsidRPr="00283806">
        <w:rPr>
          <w:w w:val="105"/>
        </w:rPr>
        <w:t>or</w:t>
      </w:r>
      <w:r w:rsidRPr="00283806">
        <w:rPr>
          <w:spacing w:val="9"/>
          <w:w w:val="105"/>
        </w:rPr>
        <w:t xml:space="preserve"> </w:t>
      </w:r>
      <w:r w:rsidRPr="00283806">
        <w:rPr>
          <w:spacing w:val="-2"/>
          <w:w w:val="105"/>
        </w:rPr>
        <w:t>operators</w:t>
      </w:r>
    </w:p>
    <w:p w14:paraId="7D32EF57" w14:textId="77777777" w:rsidR="00D67C1E" w:rsidRPr="00283806" w:rsidRDefault="001265CA">
      <w:pPr>
        <w:pStyle w:val="BodyText"/>
        <w:spacing w:line="225" w:lineRule="auto"/>
        <w:ind w:right="57"/>
      </w:pPr>
      <w:r w:rsidRPr="00283806">
        <w:rPr>
          <w:w w:val="105"/>
        </w:rPr>
        <w:t>using direct ALD systems to comply</w:t>
      </w:r>
      <w:r w:rsidRPr="00283806">
        <w:rPr>
          <w:spacing w:val="80"/>
          <w:w w:val="105"/>
        </w:rPr>
        <w:t xml:space="preserve"> </w:t>
      </w:r>
      <w:r w:rsidRPr="00283806">
        <w:rPr>
          <w:w w:val="105"/>
        </w:rPr>
        <w:t xml:space="preserve">with the provisions to detect and repair refrigerant leaks in appliances. Leak detection sensors must be capable of accurately detecting a concentration level of 10 ppm of the vapor of the specified refrigerant and must alert an owner/operator if refrigerant concentrations exceed 100 ppm. As discussed in the proposal, the technical feasibility of the </w:t>
      </w:r>
      <w:proofErr w:type="gramStart"/>
      <w:r w:rsidRPr="00283806">
        <w:rPr>
          <w:w w:val="105"/>
        </w:rPr>
        <w:t>100 ppm</w:t>
      </w:r>
      <w:proofErr w:type="gramEnd"/>
      <w:r w:rsidRPr="00283806">
        <w:rPr>
          <w:w w:val="105"/>
        </w:rPr>
        <w:t xml:space="preserve"> threshold is well established. This has been the threshold used by CARB and is also the standard in provisions at 40 CFR 82.157(g)(4)(i)</w:t>
      </w:r>
      <w:r w:rsidRPr="00283806">
        <w:rPr>
          <w:spacing w:val="-3"/>
          <w:w w:val="105"/>
        </w:rPr>
        <w:t xml:space="preserve"> </w:t>
      </w:r>
      <w:r w:rsidRPr="00283806">
        <w:rPr>
          <w:w w:val="105"/>
        </w:rPr>
        <w:t>for</w:t>
      </w:r>
      <w:r w:rsidRPr="00283806">
        <w:rPr>
          <w:spacing w:val="-3"/>
          <w:w w:val="105"/>
        </w:rPr>
        <w:t xml:space="preserve"> </w:t>
      </w:r>
      <w:r w:rsidRPr="00283806">
        <w:rPr>
          <w:w w:val="105"/>
        </w:rPr>
        <w:t>ALD</w:t>
      </w:r>
      <w:r w:rsidRPr="00283806">
        <w:rPr>
          <w:spacing w:val="-3"/>
          <w:w w:val="105"/>
        </w:rPr>
        <w:t xml:space="preserve"> </w:t>
      </w:r>
      <w:r w:rsidRPr="00283806">
        <w:rPr>
          <w:w w:val="105"/>
        </w:rPr>
        <w:t>systems</w:t>
      </w:r>
      <w:r w:rsidRPr="00283806">
        <w:rPr>
          <w:spacing w:val="-3"/>
          <w:w w:val="105"/>
        </w:rPr>
        <w:t xml:space="preserve"> </w:t>
      </w:r>
      <w:r w:rsidRPr="00283806">
        <w:rPr>
          <w:w w:val="105"/>
        </w:rPr>
        <w:t>that</w:t>
      </w:r>
      <w:r w:rsidRPr="00283806">
        <w:rPr>
          <w:spacing w:val="-3"/>
          <w:w w:val="105"/>
        </w:rPr>
        <w:t xml:space="preserve"> </w:t>
      </w:r>
      <w:r w:rsidRPr="00283806">
        <w:rPr>
          <w:w w:val="105"/>
        </w:rPr>
        <w:t xml:space="preserve">are used as a compliance option in lieu of quarterly or annual leak inspections, as part of the leak repair requirements under CAA section 608. If a leak is detected above the </w:t>
      </w:r>
      <w:proofErr w:type="gramStart"/>
      <w:r w:rsidRPr="00283806">
        <w:rPr>
          <w:w w:val="105"/>
        </w:rPr>
        <w:t>100 ppm</w:t>
      </w:r>
      <w:proofErr w:type="gramEnd"/>
      <w:r w:rsidRPr="00283806">
        <w:rPr>
          <w:w w:val="105"/>
        </w:rPr>
        <w:t xml:space="preserve"> threshold, the owner or operator is required to either perform a leak rate calculation to determine if the leak rate threshold has been exceeded, or alternatively they</w:t>
      </w:r>
      <w:r w:rsidRPr="00283806">
        <w:rPr>
          <w:spacing w:val="80"/>
          <w:w w:val="105"/>
        </w:rPr>
        <w:t xml:space="preserve"> </w:t>
      </w:r>
      <w:r w:rsidRPr="00283806">
        <w:rPr>
          <w:w w:val="105"/>
        </w:rPr>
        <w:t xml:space="preserve">may preemptively repair the leak before adding refrigerant and calculating the leak rate. </w:t>
      </w:r>
      <w:proofErr w:type="gramStart"/>
      <w:r w:rsidRPr="00283806">
        <w:rPr>
          <w:w w:val="105"/>
        </w:rPr>
        <w:t>In order to</w:t>
      </w:r>
      <w:proofErr w:type="gramEnd"/>
      <w:r w:rsidRPr="00283806">
        <w:rPr>
          <w:w w:val="105"/>
        </w:rPr>
        <w:t xml:space="preserve"> calculate the leak rate, EPA refers the reader to section</w:t>
      </w:r>
    </w:p>
    <w:p w14:paraId="2614E5F3" w14:textId="77777777" w:rsidR="00D67C1E" w:rsidRPr="00283806" w:rsidRDefault="001265CA">
      <w:pPr>
        <w:pStyle w:val="BodyText"/>
        <w:spacing w:before="3" w:line="228" w:lineRule="auto"/>
        <w:ind w:right="128"/>
      </w:pPr>
      <w:r w:rsidRPr="00283806">
        <w:rPr>
          <w:w w:val="105"/>
        </w:rPr>
        <w:t xml:space="preserve">IV.C.3.a of this preamble. EPA is </w:t>
      </w:r>
      <w:proofErr w:type="gramStart"/>
      <w:r w:rsidRPr="00283806">
        <w:rPr>
          <w:w w:val="105"/>
        </w:rPr>
        <w:t>requiring</w:t>
      </w:r>
      <w:proofErr w:type="gramEnd"/>
      <w:r w:rsidRPr="00283806">
        <w:rPr>
          <w:w w:val="105"/>
        </w:rPr>
        <w:t xml:space="preserve"> that a leak rate calculation must be performed within 30 days (or 120 days where an industrial process shutdown is necessary) of the alarm where a direct ALD system is used for</w:t>
      </w:r>
    </w:p>
    <w:p w14:paraId="0AC6732C" w14:textId="77777777" w:rsidR="00D67C1E" w:rsidRPr="00283806" w:rsidRDefault="001265CA">
      <w:pPr>
        <w:pStyle w:val="BodyText"/>
        <w:spacing w:before="134" w:line="225" w:lineRule="auto"/>
        <w:ind w:left="144" w:right="290"/>
      </w:pPr>
      <w:r w:rsidRPr="00283806">
        <w:br w:type="column"/>
      </w:r>
      <w:r w:rsidRPr="00283806">
        <w:rPr>
          <w:w w:val="105"/>
        </w:rPr>
        <w:t xml:space="preserve">required equipment. If the calculated leak rate is above the applicable leak rate, as discussed in section IV.C.3.a of this preamble, </w:t>
      </w:r>
      <w:proofErr w:type="gramStart"/>
      <w:r w:rsidRPr="00283806">
        <w:rPr>
          <w:w w:val="105"/>
        </w:rPr>
        <w:t>all of</w:t>
      </w:r>
      <w:proofErr w:type="gramEnd"/>
      <w:r w:rsidRPr="00283806">
        <w:rPr>
          <w:w w:val="105"/>
        </w:rPr>
        <w:t xml:space="preserve"> the leak repair requirements in this action (including the repair requirements, inspections, verification tests, and recordkeeping and reporting) will apply.</w:t>
      </w:r>
    </w:p>
    <w:p w14:paraId="7A3D14EE" w14:textId="77777777" w:rsidR="00D67C1E" w:rsidRPr="00283806" w:rsidRDefault="001265CA">
      <w:pPr>
        <w:pStyle w:val="BodyText"/>
        <w:spacing w:line="177" w:lineRule="exact"/>
        <w:ind w:left="324"/>
      </w:pPr>
      <w:r w:rsidRPr="00283806">
        <w:rPr>
          <w:w w:val="110"/>
        </w:rPr>
        <w:t>Alternatively,</w:t>
      </w:r>
      <w:r w:rsidRPr="00283806">
        <w:rPr>
          <w:spacing w:val="-9"/>
          <w:w w:val="110"/>
        </w:rPr>
        <w:t xml:space="preserve"> </w:t>
      </w:r>
      <w:r w:rsidRPr="00283806">
        <w:rPr>
          <w:w w:val="110"/>
        </w:rPr>
        <w:t>if</w:t>
      </w:r>
      <w:r w:rsidRPr="00283806">
        <w:rPr>
          <w:spacing w:val="-9"/>
          <w:w w:val="110"/>
        </w:rPr>
        <w:t xml:space="preserve"> </w:t>
      </w:r>
      <w:r w:rsidRPr="00283806">
        <w:rPr>
          <w:w w:val="110"/>
        </w:rPr>
        <w:t>the</w:t>
      </w:r>
      <w:r w:rsidRPr="00283806">
        <w:rPr>
          <w:spacing w:val="-8"/>
          <w:w w:val="110"/>
        </w:rPr>
        <w:t xml:space="preserve"> </w:t>
      </w:r>
      <w:r w:rsidRPr="00283806">
        <w:rPr>
          <w:w w:val="110"/>
        </w:rPr>
        <w:t>owner</w:t>
      </w:r>
      <w:r w:rsidRPr="00283806">
        <w:rPr>
          <w:spacing w:val="-9"/>
          <w:w w:val="110"/>
        </w:rPr>
        <w:t xml:space="preserve"> </w:t>
      </w:r>
      <w:r w:rsidRPr="00283806">
        <w:rPr>
          <w:w w:val="110"/>
        </w:rPr>
        <w:t>or</w:t>
      </w:r>
      <w:r w:rsidRPr="00283806">
        <w:rPr>
          <w:spacing w:val="-8"/>
          <w:w w:val="110"/>
        </w:rPr>
        <w:t xml:space="preserve"> </w:t>
      </w:r>
      <w:r w:rsidRPr="00283806">
        <w:rPr>
          <w:spacing w:val="-2"/>
          <w:w w:val="110"/>
        </w:rPr>
        <w:t>operator</w:t>
      </w:r>
    </w:p>
    <w:p w14:paraId="1458E646" w14:textId="77777777" w:rsidR="00D67C1E" w:rsidRPr="00283806" w:rsidRDefault="001265CA">
      <w:pPr>
        <w:pStyle w:val="BodyText"/>
        <w:spacing w:before="4" w:line="225" w:lineRule="auto"/>
        <w:ind w:left="144" w:right="141"/>
      </w:pPr>
      <w:r w:rsidRPr="00283806">
        <w:rPr>
          <w:w w:val="105"/>
        </w:rPr>
        <w:t>chooses to preemptively repair the detected leak, a leak rate calculation</w:t>
      </w:r>
      <w:r w:rsidRPr="00283806">
        <w:rPr>
          <w:spacing w:val="40"/>
          <w:w w:val="105"/>
        </w:rPr>
        <w:t xml:space="preserve"> </w:t>
      </w:r>
      <w:r w:rsidRPr="00283806">
        <w:rPr>
          <w:w w:val="105"/>
        </w:rPr>
        <w:t>must be performed after the preemptive repair; however, the leak rate</w:t>
      </w:r>
      <w:r w:rsidRPr="00283806">
        <w:rPr>
          <w:spacing w:val="80"/>
          <w:w w:val="105"/>
        </w:rPr>
        <w:t xml:space="preserve"> </w:t>
      </w:r>
      <w:r w:rsidRPr="00283806">
        <w:rPr>
          <w:w w:val="105"/>
        </w:rPr>
        <w:t>calculation must still be performed within 30 days (or 120 days where an industrial process shutdown is necessary) of the alarm where a direct ALD system is used for applicable appliances, and accordingly the preemptive repair will also need to</w:t>
      </w:r>
      <w:r w:rsidRPr="00283806">
        <w:rPr>
          <w:spacing w:val="80"/>
          <w:w w:val="105"/>
        </w:rPr>
        <w:t xml:space="preserve"> </w:t>
      </w:r>
      <w:r w:rsidRPr="00283806">
        <w:rPr>
          <w:w w:val="105"/>
        </w:rPr>
        <w:t>occur in that time frame. If the leak rate calculation (performed after the</w:t>
      </w:r>
      <w:r w:rsidRPr="00283806">
        <w:rPr>
          <w:spacing w:val="80"/>
          <w:w w:val="105"/>
        </w:rPr>
        <w:t xml:space="preserve"> </w:t>
      </w:r>
      <w:r w:rsidRPr="00283806">
        <w:rPr>
          <w:w w:val="105"/>
        </w:rPr>
        <w:t>addition of refrigerant pursuant to the follow-up verification test) conducted after the preemptive repair reveals that the appliance had leaked above the applicable leak threshold, the suite of leak repair requirements would apply. The preemptive repair actions can be considered in determining whether the suite of leak repair requirements triggered by the exceedance of the applicable leak threshold have been satisfied, but the owner or operator of</w:t>
      </w:r>
      <w:r w:rsidRPr="00283806">
        <w:rPr>
          <w:spacing w:val="40"/>
          <w:w w:val="105"/>
        </w:rPr>
        <w:t xml:space="preserve"> </w:t>
      </w:r>
      <w:r w:rsidRPr="00283806">
        <w:rPr>
          <w:w w:val="105"/>
        </w:rPr>
        <w:t>the appliance must still ensure that the leaks are repaired according to the definition of repair and that the other requirements in 40 CFR 84.106 (</w:t>
      </w:r>
      <w:r w:rsidRPr="00283806">
        <w:rPr>
          <w:rFonts w:ascii="Book Antiqua" w:hAnsi="Book Antiqua"/>
          <w:i/>
          <w:w w:val="105"/>
        </w:rPr>
        <w:t xml:space="preserve">e.g., </w:t>
      </w:r>
      <w:r w:rsidRPr="00283806">
        <w:rPr>
          <w:w w:val="105"/>
        </w:rPr>
        <w:t>initial and follow-up verification tests, leak inspections (where applicable), and related recordkeeping) had been met. By allowing a leak detected by an ALD system to be preemptively repaired before the addition of refrigerant and calculation of the leak rate, EPA anticipates this will avoid requiring owners and operators to add refrigerant to a system with a known leak, thereby saving the cost of refrigerant that might subsequently leak prior to the repair, as well as prevent unnecessary emissions</w:t>
      </w:r>
      <w:r w:rsidRPr="00283806">
        <w:rPr>
          <w:spacing w:val="80"/>
          <w:w w:val="105"/>
        </w:rPr>
        <w:t xml:space="preserve"> </w:t>
      </w:r>
      <w:r w:rsidRPr="00283806">
        <w:rPr>
          <w:w w:val="105"/>
        </w:rPr>
        <w:t>of refrigerant. Additionally, preemptive repair of leaks allows owners or operators to have a ‘‘head start’’ on repairing leaks if it is later found that</w:t>
      </w:r>
      <w:r w:rsidRPr="00283806">
        <w:rPr>
          <w:spacing w:val="80"/>
          <w:w w:val="150"/>
        </w:rPr>
        <w:t xml:space="preserve"> </w:t>
      </w:r>
      <w:r w:rsidRPr="00283806">
        <w:rPr>
          <w:w w:val="105"/>
        </w:rPr>
        <w:t>the applicable leak rate threshold has been exceeded when the leak rate calculation is performed.</w:t>
      </w:r>
    </w:p>
    <w:p w14:paraId="3186CFFE" w14:textId="77777777" w:rsidR="00D67C1E" w:rsidRPr="00283806" w:rsidRDefault="001265CA">
      <w:pPr>
        <w:spacing w:line="158" w:lineRule="exact"/>
        <w:ind w:left="324"/>
        <w:rPr>
          <w:sz w:val="18"/>
        </w:rPr>
      </w:pPr>
      <w:r w:rsidRPr="00283806">
        <w:rPr>
          <w:rFonts w:ascii="Book Antiqua"/>
          <w:i/>
          <w:w w:val="110"/>
          <w:sz w:val="18"/>
        </w:rPr>
        <w:t>Comment:</w:t>
      </w:r>
      <w:r w:rsidRPr="00283806">
        <w:rPr>
          <w:rFonts w:ascii="Book Antiqua"/>
          <w:i/>
          <w:spacing w:val="-2"/>
          <w:w w:val="110"/>
          <w:sz w:val="18"/>
        </w:rPr>
        <w:t xml:space="preserve"> </w:t>
      </w:r>
      <w:r w:rsidRPr="00283806">
        <w:rPr>
          <w:w w:val="110"/>
          <w:sz w:val="18"/>
        </w:rPr>
        <w:t>EPA</w:t>
      </w:r>
      <w:r w:rsidRPr="00283806">
        <w:rPr>
          <w:spacing w:val="5"/>
          <w:w w:val="110"/>
          <w:sz w:val="18"/>
        </w:rPr>
        <w:t xml:space="preserve"> </w:t>
      </w:r>
      <w:r w:rsidRPr="00283806">
        <w:rPr>
          <w:w w:val="110"/>
          <w:sz w:val="18"/>
        </w:rPr>
        <w:t>received</w:t>
      </w:r>
      <w:r w:rsidRPr="00283806">
        <w:rPr>
          <w:spacing w:val="4"/>
          <w:w w:val="110"/>
          <w:sz w:val="18"/>
        </w:rPr>
        <w:t xml:space="preserve"> </w:t>
      </w:r>
      <w:r w:rsidRPr="00283806">
        <w:rPr>
          <w:spacing w:val="-2"/>
          <w:w w:val="110"/>
          <w:sz w:val="18"/>
        </w:rPr>
        <w:t>several</w:t>
      </w:r>
    </w:p>
    <w:p w14:paraId="1BE5FE78" w14:textId="77777777" w:rsidR="00D67C1E" w:rsidRPr="00283806" w:rsidRDefault="001265CA">
      <w:pPr>
        <w:pStyle w:val="BodyText"/>
        <w:spacing w:line="225" w:lineRule="auto"/>
        <w:ind w:left="144" w:right="141"/>
      </w:pPr>
      <w:r w:rsidRPr="00283806">
        <w:rPr>
          <w:w w:val="105"/>
        </w:rPr>
        <w:t>comments on direct ALD systems. One commenter expressed concern with the proposed language, ‘‘for direct ALD systems, it is essential that gas sensors are located at all leak-prone components of a refrigeration system.’’ The commenter views this framing as providing</w:t>
      </w:r>
      <w:r w:rsidRPr="00283806">
        <w:rPr>
          <w:spacing w:val="40"/>
          <w:w w:val="105"/>
        </w:rPr>
        <w:t xml:space="preserve"> </w:t>
      </w:r>
      <w:r w:rsidRPr="00283806">
        <w:rPr>
          <w:w w:val="105"/>
        </w:rPr>
        <w:t>too</w:t>
      </w:r>
      <w:r w:rsidRPr="00283806">
        <w:rPr>
          <w:spacing w:val="40"/>
          <w:w w:val="105"/>
        </w:rPr>
        <w:t xml:space="preserve"> </w:t>
      </w:r>
      <w:r w:rsidRPr="00283806">
        <w:rPr>
          <w:w w:val="105"/>
        </w:rPr>
        <w:t>much</w:t>
      </w:r>
      <w:r w:rsidRPr="00283806">
        <w:rPr>
          <w:spacing w:val="40"/>
          <w:w w:val="105"/>
        </w:rPr>
        <w:t xml:space="preserve"> </w:t>
      </w:r>
      <w:r w:rsidRPr="00283806">
        <w:rPr>
          <w:w w:val="105"/>
        </w:rPr>
        <w:t>flexibility</w:t>
      </w:r>
      <w:r w:rsidRPr="00283806">
        <w:rPr>
          <w:spacing w:val="40"/>
          <w:w w:val="105"/>
        </w:rPr>
        <w:t xml:space="preserve"> </w:t>
      </w:r>
      <w:r w:rsidRPr="00283806">
        <w:rPr>
          <w:w w:val="105"/>
        </w:rPr>
        <w:t>that could lead to unintended outcomes (</w:t>
      </w:r>
      <w:r w:rsidRPr="00283806">
        <w:rPr>
          <w:rFonts w:ascii="Book Antiqua" w:hAnsi="Book Antiqua"/>
          <w:i/>
          <w:w w:val="105"/>
        </w:rPr>
        <w:t xml:space="preserve">i.e., </w:t>
      </w:r>
      <w:r w:rsidRPr="00283806">
        <w:rPr>
          <w:w w:val="105"/>
        </w:rPr>
        <w:t>ineffective implementation of ALD that</w:t>
      </w:r>
    </w:p>
    <w:p w14:paraId="61600819"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499" w:space="41"/>
            <w:col w:w="3516" w:space="40"/>
            <w:col w:w="3624"/>
          </w:cols>
        </w:sectPr>
      </w:pPr>
    </w:p>
    <w:p w14:paraId="3C23A45D" w14:textId="77777777" w:rsidR="00D67C1E" w:rsidRPr="00283806" w:rsidRDefault="001265CA">
      <w:pPr>
        <w:pStyle w:val="BodyText"/>
        <w:spacing w:before="134" w:line="228" w:lineRule="auto"/>
        <w:ind w:right="38"/>
      </w:pPr>
      <w:r w:rsidRPr="00283806">
        <w:rPr>
          <w:w w:val="105"/>
        </w:rPr>
        <w:lastRenderedPageBreak/>
        <w:t>does not lower refrigerant leak rates as desired). The commenter claimed that</w:t>
      </w:r>
      <w:r w:rsidRPr="00283806">
        <w:rPr>
          <w:spacing w:val="80"/>
          <w:w w:val="105"/>
        </w:rPr>
        <w:t xml:space="preserve"> </w:t>
      </w:r>
      <w:r w:rsidRPr="00283806">
        <w:rPr>
          <w:w w:val="105"/>
        </w:rPr>
        <w:t>in California, many facilities mount single-point (passive diffusion) gas detectors on the wall of the mechanical room to comply with CARB regulations. The commenter stated that this method is technically compliant with ALD requirements but is only partially effective at detecting leaks in the mechanical room (due to its distance from most refrigeration components in the mechanical room), and it is completely ineffective at detecting leaks in other parts of the facility outside of</w:t>
      </w:r>
      <w:r w:rsidRPr="00283806">
        <w:rPr>
          <w:spacing w:val="40"/>
          <w:w w:val="105"/>
        </w:rPr>
        <w:t xml:space="preserve"> </w:t>
      </w:r>
      <w:r w:rsidRPr="00283806">
        <w:rPr>
          <w:w w:val="105"/>
        </w:rPr>
        <w:t>the mechanical room. The commenter recommended adding clarifying</w:t>
      </w:r>
      <w:r w:rsidRPr="00283806">
        <w:rPr>
          <w:spacing w:val="40"/>
          <w:w w:val="105"/>
        </w:rPr>
        <w:t xml:space="preserve"> </w:t>
      </w:r>
      <w:r w:rsidRPr="00283806">
        <w:rPr>
          <w:w w:val="105"/>
        </w:rPr>
        <w:t>language to ensure that gas sensors are located within six feet of all leak-prone components of a refrigeration system.</w:t>
      </w:r>
    </w:p>
    <w:p w14:paraId="3E65523C" w14:textId="77777777" w:rsidR="00D67C1E" w:rsidRPr="00283806" w:rsidRDefault="001265CA">
      <w:pPr>
        <w:pStyle w:val="BodyText"/>
        <w:spacing w:line="228" w:lineRule="auto"/>
        <w:ind w:right="13"/>
      </w:pPr>
      <w:r w:rsidRPr="00283806">
        <w:rPr>
          <w:w w:val="105"/>
        </w:rPr>
        <w:t>The commenter also recommended defining ‘‘leak-prone components of a refrigeration</w:t>
      </w:r>
      <w:r w:rsidRPr="00283806">
        <w:rPr>
          <w:spacing w:val="40"/>
          <w:w w:val="105"/>
        </w:rPr>
        <w:t xml:space="preserve"> </w:t>
      </w:r>
      <w:r w:rsidRPr="00283806">
        <w:rPr>
          <w:w w:val="105"/>
        </w:rPr>
        <w:t>system’’</w:t>
      </w:r>
      <w:r w:rsidRPr="00283806">
        <w:rPr>
          <w:spacing w:val="40"/>
          <w:w w:val="105"/>
        </w:rPr>
        <w:t xml:space="preserve"> </w:t>
      </w:r>
      <w:r w:rsidRPr="00283806">
        <w:rPr>
          <w:w w:val="105"/>
        </w:rPr>
        <w:t>as</w:t>
      </w:r>
      <w:r w:rsidRPr="00283806">
        <w:rPr>
          <w:spacing w:val="40"/>
          <w:w w:val="105"/>
        </w:rPr>
        <w:t xml:space="preserve"> </w:t>
      </w:r>
      <w:r w:rsidRPr="00283806">
        <w:rPr>
          <w:w w:val="105"/>
        </w:rPr>
        <w:t>‘‘all components of a refrigeration system</w:t>
      </w:r>
      <w:r w:rsidRPr="00283806">
        <w:rPr>
          <w:spacing w:val="40"/>
          <w:w w:val="105"/>
        </w:rPr>
        <w:t xml:space="preserve"> </w:t>
      </w:r>
      <w:r w:rsidRPr="00283806">
        <w:rPr>
          <w:w w:val="105"/>
        </w:rPr>
        <w:t>that contain liquid or gas except for straight runs of piping, inclusive of compressors, evaporators, valves, condensers, headers, receivers, oil separators, oil traps, accumulators, other pressure vessels, etc.’’</w:t>
      </w:r>
    </w:p>
    <w:p w14:paraId="5010A874" w14:textId="77777777" w:rsidR="00D67C1E" w:rsidRPr="00283806" w:rsidRDefault="001265CA">
      <w:pPr>
        <w:pStyle w:val="BodyText"/>
        <w:spacing w:before="25" w:line="228" w:lineRule="auto"/>
        <w:ind w:firstLine="180"/>
      </w:pPr>
      <w:r w:rsidRPr="00283806">
        <w:rPr>
          <w:w w:val="105"/>
        </w:rPr>
        <w:t xml:space="preserve">Another commenter provided information on the applications of different types of direct ALD systems in the HVACR industry. The commenter stated that point detectors serve a primary purpose of enabling compliance with operational safety guidelines for personnel. The commenter asserted that the devices are typically wall-mounted within an occupied </w:t>
      </w:r>
      <w:proofErr w:type="gramStart"/>
      <w:r w:rsidRPr="00283806">
        <w:rPr>
          <w:w w:val="105"/>
        </w:rPr>
        <w:t>space, and</w:t>
      </w:r>
      <w:proofErr w:type="gramEnd"/>
      <w:r w:rsidRPr="00283806">
        <w:rPr>
          <w:spacing w:val="80"/>
          <w:w w:val="105"/>
        </w:rPr>
        <w:t xml:space="preserve"> </w:t>
      </w:r>
      <w:r w:rsidRPr="00283806">
        <w:rPr>
          <w:w w:val="105"/>
        </w:rPr>
        <w:t>sometimes cannot detect a leak due to dilution and air exchange in the greater space which can cause the room to remain below the 500–900 ppm alarm level set for personnel safety. For these reasons,</w:t>
      </w:r>
      <w:r w:rsidRPr="00283806">
        <w:rPr>
          <w:spacing w:val="-2"/>
          <w:w w:val="105"/>
        </w:rPr>
        <w:t xml:space="preserve"> </w:t>
      </w:r>
      <w:r w:rsidRPr="00283806">
        <w:rPr>
          <w:w w:val="105"/>
        </w:rPr>
        <w:t>the</w:t>
      </w:r>
      <w:r w:rsidRPr="00283806">
        <w:rPr>
          <w:spacing w:val="-2"/>
          <w:w w:val="105"/>
        </w:rPr>
        <w:t xml:space="preserve"> </w:t>
      </w:r>
      <w:r w:rsidRPr="00283806">
        <w:rPr>
          <w:w w:val="105"/>
        </w:rPr>
        <w:t>commenter</w:t>
      </w:r>
      <w:r w:rsidRPr="00283806">
        <w:rPr>
          <w:spacing w:val="-2"/>
          <w:w w:val="105"/>
        </w:rPr>
        <w:t xml:space="preserve"> </w:t>
      </w:r>
      <w:r w:rsidRPr="00283806">
        <w:rPr>
          <w:w w:val="105"/>
        </w:rPr>
        <w:t>stated</w:t>
      </w:r>
      <w:r w:rsidRPr="00283806">
        <w:rPr>
          <w:spacing w:val="-2"/>
          <w:w w:val="105"/>
        </w:rPr>
        <w:t xml:space="preserve"> </w:t>
      </w:r>
      <w:r w:rsidRPr="00283806">
        <w:rPr>
          <w:w w:val="105"/>
        </w:rPr>
        <w:t>that</w:t>
      </w:r>
      <w:r w:rsidRPr="00283806">
        <w:rPr>
          <w:spacing w:val="-2"/>
          <w:w w:val="105"/>
        </w:rPr>
        <w:t xml:space="preserve"> </w:t>
      </w:r>
      <w:r w:rsidRPr="00283806">
        <w:rPr>
          <w:w w:val="105"/>
        </w:rPr>
        <w:t>these detection systems are used for occupant safety and not as a targeted solution for emissions reduction. The commenter</w:t>
      </w:r>
      <w:r w:rsidRPr="00283806">
        <w:rPr>
          <w:spacing w:val="40"/>
          <w:w w:val="105"/>
        </w:rPr>
        <w:t xml:space="preserve"> </w:t>
      </w:r>
      <w:r w:rsidRPr="00283806">
        <w:rPr>
          <w:w w:val="105"/>
        </w:rPr>
        <w:t>also claimed that the proposed rule</w:t>
      </w:r>
      <w:r w:rsidRPr="00283806">
        <w:rPr>
          <w:spacing w:val="80"/>
          <w:w w:val="105"/>
        </w:rPr>
        <w:t xml:space="preserve"> </w:t>
      </w:r>
      <w:r w:rsidRPr="00283806">
        <w:rPr>
          <w:w w:val="105"/>
        </w:rPr>
        <w:t>could be read to preclude aspirated detection systems (</w:t>
      </w:r>
      <w:r w:rsidRPr="00283806">
        <w:rPr>
          <w:rFonts w:ascii="Book Antiqua" w:hAnsi="Book Antiqua"/>
          <w:i/>
          <w:w w:val="105"/>
        </w:rPr>
        <w:t xml:space="preserve">e.g., </w:t>
      </w:r>
      <w:r w:rsidRPr="00283806">
        <w:rPr>
          <w:w w:val="105"/>
        </w:rPr>
        <w:t>requiring ‘‘continuous’’</w:t>
      </w:r>
      <w:r w:rsidRPr="00283806">
        <w:rPr>
          <w:spacing w:val="35"/>
          <w:w w:val="105"/>
        </w:rPr>
        <w:t xml:space="preserve"> </w:t>
      </w:r>
      <w:r w:rsidRPr="00283806">
        <w:rPr>
          <w:w w:val="105"/>
        </w:rPr>
        <w:t>monitoring</w:t>
      </w:r>
      <w:r w:rsidRPr="00283806">
        <w:rPr>
          <w:spacing w:val="35"/>
          <w:w w:val="105"/>
        </w:rPr>
        <w:t xml:space="preserve"> </w:t>
      </w:r>
      <w:r w:rsidRPr="00283806">
        <w:rPr>
          <w:w w:val="105"/>
        </w:rPr>
        <w:t>and</w:t>
      </w:r>
      <w:r w:rsidRPr="00283806">
        <w:rPr>
          <w:spacing w:val="80"/>
          <w:w w:val="105"/>
        </w:rPr>
        <w:t xml:space="preserve"> </w:t>
      </w:r>
      <w:r w:rsidRPr="00283806">
        <w:rPr>
          <w:w w:val="105"/>
        </w:rPr>
        <w:t>placement of the ‘‘sensor’’). Therefore,</w:t>
      </w:r>
      <w:r w:rsidRPr="00283806">
        <w:rPr>
          <w:spacing w:val="40"/>
          <w:w w:val="105"/>
        </w:rPr>
        <w:t xml:space="preserve"> </w:t>
      </w:r>
      <w:r w:rsidRPr="00283806">
        <w:rPr>
          <w:w w:val="105"/>
        </w:rPr>
        <w:t>the commenter proposed modifying the language to replace ‘‘continuously monitor’’ with ‘‘actively monitoring.’’ Alternatively, the commenter proposed that ‘‘continuously monitor’’ could be defined to include devices that actively</w:t>
      </w:r>
      <w:r w:rsidRPr="00283806">
        <w:rPr>
          <w:spacing w:val="80"/>
          <w:w w:val="105"/>
        </w:rPr>
        <w:t xml:space="preserve"> </w:t>
      </w:r>
      <w:r w:rsidRPr="00283806">
        <w:rPr>
          <w:w w:val="105"/>
        </w:rPr>
        <w:t>or directly monitor via cycling. The commenter stated that without one of these edits, the proposed rule would not allow for low-level leak detection equipment that is designed to identify leaks for environmental purposes and requires an established cycle time to sample multiple points, rather than</w:t>
      </w:r>
    </w:p>
    <w:p w14:paraId="2A1B501F" w14:textId="77777777" w:rsidR="00D67C1E" w:rsidRPr="00283806" w:rsidRDefault="001265CA">
      <w:pPr>
        <w:pStyle w:val="BodyText"/>
        <w:spacing w:before="133" w:line="228" w:lineRule="auto"/>
        <w:ind w:left="143"/>
      </w:pPr>
      <w:r w:rsidRPr="00283806">
        <w:br w:type="column"/>
      </w:r>
      <w:r w:rsidRPr="00283806">
        <w:rPr>
          <w:w w:val="110"/>
        </w:rPr>
        <w:t>‘‘continuously monitor’’ one specific point.</w:t>
      </w:r>
      <w:r w:rsidRPr="00283806">
        <w:rPr>
          <w:spacing w:val="-2"/>
          <w:w w:val="110"/>
        </w:rPr>
        <w:t xml:space="preserve"> </w:t>
      </w:r>
      <w:r w:rsidRPr="00283806">
        <w:rPr>
          <w:w w:val="110"/>
        </w:rPr>
        <w:t>The</w:t>
      </w:r>
      <w:r w:rsidRPr="00283806">
        <w:rPr>
          <w:spacing w:val="-2"/>
          <w:w w:val="110"/>
        </w:rPr>
        <w:t xml:space="preserve"> </w:t>
      </w:r>
      <w:r w:rsidRPr="00283806">
        <w:rPr>
          <w:w w:val="110"/>
        </w:rPr>
        <w:t>commenter</w:t>
      </w:r>
      <w:r w:rsidRPr="00283806">
        <w:rPr>
          <w:spacing w:val="-2"/>
          <w:w w:val="110"/>
        </w:rPr>
        <w:t xml:space="preserve"> </w:t>
      </w:r>
      <w:r w:rsidRPr="00283806">
        <w:rPr>
          <w:w w:val="110"/>
        </w:rPr>
        <w:t>also</w:t>
      </w:r>
      <w:r w:rsidRPr="00283806">
        <w:rPr>
          <w:spacing w:val="-2"/>
          <w:w w:val="110"/>
        </w:rPr>
        <w:t xml:space="preserve"> </w:t>
      </w:r>
      <w:r w:rsidRPr="00283806">
        <w:rPr>
          <w:w w:val="110"/>
        </w:rPr>
        <w:t xml:space="preserve">suggested </w:t>
      </w:r>
      <w:r w:rsidRPr="00283806">
        <w:rPr>
          <w:spacing w:val="-2"/>
          <w:w w:val="110"/>
        </w:rPr>
        <w:t>that</w:t>
      </w:r>
      <w:r w:rsidRPr="00283806">
        <w:rPr>
          <w:spacing w:val="-5"/>
          <w:w w:val="110"/>
        </w:rPr>
        <w:t xml:space="preserve"> </w:t>
      </w:r>
      <w:r w:rsidRPr="00283806">
        <w:rPr>
          <w:spacing w:val="-2"/>
          <w:w w:val="110"/>
        </w:rPr>
        <w:t>EPA</w:t>
      </w:r>
      <w:r w:rsidRPr="00283806">
        <w:rPr>
          <w:spacing w:val="-5"/>
          <w:w w:val="110"/>
        </w:rPr>
        <w:t xml:space="preserve"> </w:t>
      </w:r>
      <w:r w:rsidRPr="00283806">
        <w:rPr>
          <w:spacing w:val="-2"/>
          <w:w w:val="110"/>
        </w:rPr>
        <w:t>remove</w:t>
      </w:r>
      <w:r w:rsidRPr="00283806">
        <w:rPr>
          <w:spacing w:val="-5"/>
          <w:w w:val="110"/>
        </w:rPr>
        <w:t xml:space="preserve"> </w:t>
      </w:r>
      <w:r w:rsidRPr="00283806">
        <w:rPr>
          <w:spacing w:val="-2"/>
          <w:w w:val="110"/>
        </w:rPr>
        <w:t>‘‘condenser’’</w:t>
      </w:r>
      <w:r w:rsidRPr="00283806">
        <w:rPr>
          <w:spacing w:val="-5"/>
          <w:w w:val="110"/>
        </w:rPr>
        <w:t xml:space="preserve"> </w:t>
      </w:r>
      <w:r w:rsidRPr="00283806">
        <w:rPr>
          <w:spacing w:val="-2"/>
          <w:w w:val="110"/>
        </w:rPr>
        <w:t>from</w:t>
      </w:r>
      <w:r w:rsidRPr="00283806">
        <w:rPr>
          <w:spacing w:val="-5"/>
          <w:w w:val="110"/>
        </w:rPr>
        <w:t xml:space="preserve"> </w:t>
      </w:r>
      <w:r w:rsidRPr="00283806">
        <w:rPr>
          <w:spacing w:val="-2"/>
          <w:w w:val="110"/>
        </w:rPr>
        <w:t>its examples</w:t>
      </w:r>
      <w:r w:rsidRPr="00283806">
        <w:rPr>
          <w:spacing w:val="-9"/>
          <w:w w:val="110"/>
        </w:rPr>
        <w:t xml:space="preserve"> </w:t>
      </w:r>
      <w:r w:rsidRPr="00283806">
        <w:rPr>
          <w:spacing w:val="-2"/>
          <w:w w:val="110"/>
        </w:rPr>
        <w:t>of</w:t>
      </w:r>
      <w:r w:rsidRPr="00283806">
        <w:rPr>
          <w:spacing w:val="-9"/>
          <w:w w:val="110"/>
        </w:rPr>
        <w:t xml:space="preserve"> </w:t>
      </w:r>
      <w:r w:rsidRPr="00283806">
        <w:rPr>
          <w:spacing w:val="-2"/>
          <w:w w:val="110"/>
        </w:rPr>
        <w:t>what</w:t>
      </w:r>
      <w:r w:rsidRPr="00283806">
        <w:rPr>
          <w:spacing w:val="-9"/>
          <w:w w:val="110"/>
        </w:rPr>
        <w:t xml:space="preserve"> </w:t>
      </w:r>
      <w:r w:rsidRPr="00283806">
        <w:rPr>
          <w:spacing w:val="-2"/>
          <w:w w:val="110"/>
        </w:rPr>
        <w:t>components</w:t>
      </w:r>
      <w:r w:rsidRPr="00283806">
        <w:rPr>
          <w:spacing w:val="-9"/>
          <w:w w:val="110"/>
        </w:rPr>
        <w:t xml:space="preserve"> </w:t>
      </w:r>
      <w:r w:rsidRPr="00283806">
        <w:rPr>
          <w:spacing w:val="-2"/>
          <w:w w:val="110"/>
        </w:rPr>
        <w:t>a</w:t>
      </w:r>
      <w:r w:rsidRPr="00283806">
        <w:rPr>
          <w:spacing w:val="-9"/>
          <w:w w:val="110"/>
        </w:rPr>
        <w:t xml:space="preserve"> </w:t>
      </w:r>
      <w:r w:rsidRPr="00283806">
        <w:rPr>
          <w:spacing w:val="-2"/>
          <w:w w:val="110"/>
        </w:rPr>
        <w:t xml:space="preserve">direct </w:t>
      </w:r>
      <w:r w:rsidRPr="00283806">
        <w:rPr>
          <w:w w:val="110"/>
        </w:rPr>
        <w:t>ALD system should monitor.</w:t>
      </w:r>
    </w:p>
    <w:p w14:paraId="74DD70E7" w14:textId="77777777" w:rsidR="00D67C1E" w:rsidRPr="00283806" w:rsidRDefault="001265CA">
      <w:pPr>
        <w:pStyle w:val="BodyText"/>
        <w:spacing w:before="37" w:line="228" w:lineRule="auto"/>
        <w:ind w:left="143" w:firstLine="180"/>
      </w:pPr>
      <w:r w:rsidRPr="00283806">
        <w:rPr>
          <w:rFonts w:ascii="Book Antiqua" w:hAnsi="Book Antiqua"/>
          <w:i/>
          <w:w w:val="105"/>
        </w:rPr>
        <w:t xml:space="preserve">Response: </w:t>
      </w:r>
      <w:r w:rsidRPr="00283806">
        <w:rPr>
          <w:w w:val="105"/>
        </w:rPr>
        <w:t>EPA acknowledges commenters’ concerns with the implementation of direct ALD systems. EPA disagrees that the description of</w:t>
      </w:r>
      <w:r w:rsidRPr="00283806">
        <w:rPr>
          <w:spacing w:val="40"/>
          <w:w w:val="105"/>
        </w:rPr>
        <w:t xml:space="preserve"> </w:t>
      </w:r>
      <w:r w:rsidRPr="00283806">
        <w:rPr>
          <w:w w:val="105"/>
        </w:rPr>
        <w:t>ALD in the preamble provides too much flexibility to owners or operators which will result in ineffective leak detection. The Agency clarifies that direct ALD sensors must be placed on or near leak- prone components (</w:t>
      </w:r>
      <w:r w:rsidRPr="00283806">
        <w:rPr>
          <w:rFonts w:ascii="Book Antiqua" w:hAnsi="Book Antiqua"/>
          <w:i/>
          <w:w w:val="105"/>
        </w:rPr>
        <w:t xml:space="preserve">e.g., </w:t>
      </w:r>
      <w:r w:rsidRPr="00283806">
        <w:rPr>
          <w:w w:val="105"/>
        </w:rPr>
        <w:t>compressor, evaporator, condenser) or along points</w:t>
      </w:r>
      <w:r w:rsidRPr="00283806">
        <w:rPr>
          <w:spacing w:val="40"/>
          <w:w w:val="105"/>
        </w:rPr>
        <w:t xml:space="preserve"> </w:t>
      </w:r>
      <w:r w:rsidRPr="00283806">
        <w:rPr>
          <w:w w:val="105"/>
        </w:rPr>
        <w:t>of the entire refrigerant circuit if it is entirely enclosed within a building or structure. EPA is not specifying a set distance for gas sensors as the commenter suggests but strongly encourages owners or operators to</w:t>
      </w:r>
      <w:r w:rsidRPr="00283806">
        <w:rPr>
          <w:spacing w:val="40"/>
          <w:w w:val="105"/>
        </w:rPr>
        <w:t xml:space="preserve"> </w:t>
      </w:r>
      <w:r w:rsidRPr="00283806">
        <w:rPr>
          <w:w w:val="105"/>
        </w:rPr>
        <w:t>install gas sensors as close to</w:t>
      </w:r>
      <w:r w:rsidRPr="00283806">
        <w:rPr>
          <w:spacing w:val="40"/>
          <w:w w:val="105"/>
        </w:rPr>
        <w:t xml:space="preserve"> </w:t>
      </w:r>
      <w:r w:rsidRPr="00283806">
        <w:rPr>
          <w:w w:val="105"/>
        </w:rPr>
        <w:t>components as possible. EPA agrees that a single, wall-mounted point detection system in a mechanical room is ineffective at detecting leaks. The</w:t>
      </w:r>
      <w:r w:rsidRPr="00283806">
        <w:rPr>
          <w:spacing w:val="80"/>
          <w:w w:val="105"/>
        </w:rPr>
        <w:t xml:space="preserve"> </w:t>
      </w:r>
      <w:r w:rsidRPr="00283806">
        <w:rPr>
          <w:w w:val="105"/>
        </w:rPr>
        <w:t>Agency reiterates that direct ALD gas sensors</w:t>
      </w:r>
      <w:r w:rsidRPr="00283806">
        <w:rPr>
          <w:spacing w:val="34"/>
          <w:w w:val="105"/>
        </w:rPr>
        <w:t xml:space="preserve"> </w:t>
      </w:r>
      <w:r w:rsidRPr="00283806">
        <w:rPr>
          <w:w w:val="105"/>
        </w:rPr>
        <w:t>will</w:t>
      </w:r>
      <w:r w:rsidRPr="00283806">
        <w:rPr>
          <w:spacing w:val="34"/>
          <w:w w:val="105"/>
        </w:rPr>
        <w:t xml:space="preserve"> </w:t>
      </w:r>
      <w:r w:rsidRPr="00283806">
        <w:rPr>
          <w:w w:val="105"/>
        </w:rPr>
        <w:t>need</w:t>
      </w:r>
      <w:r w:rsidRPr="00283806">
        <w:rPr>
          <w:spacing w:val="34"/>
          <w:w w:val="105"/>
        </w:rPr>
        <w:t xml:space="preserve"> </w:t>
      </w:r>
      <w:r w:rsidRPr="00283806">
        <w:rPr>
          <w:w w:val="105"/>
        </w:rPr>
        <w:t>to</w:t>
      </w:r>
      <w:r w:rsidRPr="00283806">
        <w:rPr>
          <w:spacing w:val="34"/>
          <w:w w:val="105"/>
        </w:rPr>
        <w:t xml:space="preserve"> </w:t>
      </w:r>
      <w:r w:rsidRPr="00283806">
        <w:rPr>
          <w:w w:val="105"/>
        </w:rPr>
        <w:t>be</w:t>
      </w:r>
      <w:r w:rsidRPr="00283806">
        <w:rPr>
          <w:spacing w:val="34"/>
          <w:w w:val="105"/>
        </w:rPr>
        <w:t xml:space="preserve"> </w:t>
      </w:r>
      <w:r w:rsidRPr="00283806">
        <w:rPr>
          <w:w w:val="105"/>
        </w:rPr>
        <w:t>placed</w:t>
      </w:r>
      <w:r w:rsidRPr="00283806">
        <w:rPr>
          <w:spacing w:val="34"/>
          <w:w w:val="105"/>
        </w:rPr>
        <w:t xml:space="preserve"> </w:t>
      </w:r>
      <w:r w:rsidRPr="00283806">
        <w:rPr>
          <w:w w:val="105"/>
        </w:rPr>
        <w:t>on</w:t>
      </w:r>
      <w:r w:rsidRPr="00283806">
        <w:rPr>
          <w:spacing w:val="34"/>
          <w:w w:val="105"/>
        </w:rPr>
        <w:t xml:space="preserve"> </w:t>
      </w:r>
      <w:r w:rsidRPr="00283806">
        <w:rPr>
          <w:w w:val="105"/>
        </w:rPr>
        <w:t>or near leak-prone components so that an appliance is adequately monitored for leaks. EPA is not prescribing a set</w:t>
      </w:r>
      <w:r w:rsidRPr="00283806">
        <w:rPr>
          <w:spacing w:val="40"/>
          <w:w w:val="105"/>
        </w:rPr>
        <w:t xml:space="preserve"> </w:t>
      </w:r>
      <w:r w:rsidRPr="00283806">
        <w:rPr>
          <w:w w:val="105"/>
        </w:rPr>
        <w:t>number of sensors because the refrigerant-containing appliances</w:t>
      </w:r>
      <w:r w:rsidRPr="00283806">
        <w:rPr>
          <w:spacing w:val="80"/>
          <w:w w:val="105"/>
        </w:rPr>
        <w:t xml:space="preserve"> </w:t>
      </w:r>
      <w:r w:rsidRPr="00283806">
        <w:rPr>
          <w:w w:val="105"/>
        </w:rPr>
        <w:t>subject to these requirements are varied in design; however, the Agency clarifies that multiple gas sensors may be</w:t>
      </w:r>
      <w:r w:rsidRPr="00283806">
        <w:rPr>
          <w:spacing w:val="40"/>
          <w:w w:val="105"/>
        </w:rPr>
        <w:t xml:space="preserve"> </w:t>
      </w:r>
      <w:r w:rsidRPr="00283806">
        <w:rPr>
          <w:w w:val="105"/>
        </w:rPr>
        <w:t>required to meet the standards for direct ALD systems. The Agency is not</w:t>
      </w:r>
      <w:r w:rsidRPr="00283806">
        <w:rPr>
          <w:spacing w:val="80"/>
          <w:w w:val="105"/>
        </w:rPr>
        <w:t xml:space="preserve"> </w:t>
      </w:r>
      <w:r w:rsidRPr="00283806">
        <w:rPr>
          <w:w w:val="105"/>
        </w:rPr>
        <w:t>finalizing the commenter’s proposed definition of ‘‘leak-prone components of</w:t>
      </w:r>
      <w:r w:rsidRPr="00283806">
        <w:rPr>
          <w:spacing w:val="40"/>
          <w:w w:val="105"/>
        </w:rPr>
        <w:t xml:space="preserve"> </w:t>
      </w:r>
      <w:r w:rsidRPr="00283806">
        <w:rPr>
          <w:w w:val="105"/>
        </w:rPr>
        <w:t>a refrigeration system’’ because the Agency</w:t>
      </w:r>
      <w:r w:rsidRPr="00283806">
        <w:rPr>
          <w:spacing w:val="40"/>
          <w:w w:val="105"/>
        </w:rPr>
        <w:t xml:space="preserve"> </w:t>
      </w:r>
      <w:r w:rsidRPr="00283806">
        <w:rPr>
          <w:w w:val="105"/>
        </w:rPr>
        <w:t>has</w:t>
      </w:r>
      <w:r w:rsidRPr="00283806">
        <w:rPr>
          <w:spacing w:val="40"/>
          <w:w w:val="105"/>
        </w:rPr>
        <w:t xml:space="preserve"> </w:t>
      </w:r>
      <w:r w:rsidRPr="00283806">
        <w:rPr>
          <w:w w:val="105"/>
        </w:rPr>
        <w:t>already</w:t>
      </w:r>
      <w:r w:rsidRPr="00283806">
        <w:rPr>
          <w:spacing w:val="40"/>
          <w:w w:val="105"/>
        </w:rPr>
        <w:t xml:space="preserve"> </w:t>
      </w:r>
      <w:r w:rsidRPr="00283806">
        <w:rPr>
          <w:w w:val="105"/>
        </w:rPr>
        <w:t>finalized</w:t>
      </w:r>
      <w:r w:rsidRPr="00283806">
        <w:rPr>
          <w:spacing w:val="40"/>
          <w:w w:val="105"/>
        </w:rPr>
        <w:t xml:space="preserve"> </w:t>
      </w:r>
      <w:r w:rsidRPr="00283806">
        <w:rPr>
          <w:w w:val="105"/>
        </w:rPr>
        <w:t>a definition for component: ‘‘as it relates</w:t>
      </w:r>
      <w:r w:rsidRPr="00283806">
        <w:rPr>
          <w:spacing w:val="80"/>
          <w:w w:val="105"/>
        </w:rPr>
        <w:t xml:space="preserve"> </w:t>
      </w:r>
      <w:r w:rsidRPr="00283806">
        <w:rPr>
          <w:w w:val="105"/>
        </w:rPr>
        <w:t>to a refrigerant-containing appliance, means a part of the refrigerant circuit within an appliance including, but not limited to, compressors, condensers, evaporators, receivers, and all of its connections and subassemblies.’’ The leak-prone components where gas sensors are to be placed for direct ALD systems fall under that definition. The Agency agrees that direct ALD systems are not effective for portions of an appliance</w:t>
      </w:r>
      <w:r w:rsidRPr="00283806">
        <w:rPr>
          <w:spacing w:val="40"/>
          <w:w w:val="105"/>
        </w:rPr>
        <w:t xml:space="preserve"> </w:t>
      </w:r>
      <w:r w:rsidRPr="00283806">
        <w:rPr>
          <w:w w:val="105"/>
        </w:rPr>
        <w:t>that</w:t>
      </w:r>
      <w:r w:rsidRPr="00283806">
        <w:rPr>
          <w:spacing w:val="40"/>
          <w:w w:val="105"/>
        </w:rPr>
        <w:t xml:space="preserve"> </w:t>
      </w:r>
      <w:r w:rsidRPr="00283806">
        <w:rPr>
          <w:w w:val="105"/>
        </w:rPr>
        <w:t>are</w:t>
      </w:r>
      <w:r w:rsidRPr="00283806">
        <w:rPr>
          <w:spacing w:val="40"/>
          <w:w w:val="105"/>
        </w:rPr>
        <w:t xml:space="preserve"> </w:t>
      </w:r>
      <w:r w:rsidRPr="00283806">
        <w:rPr>
          <w:w w:val="105"/>
        </w:rPr>
        <w:t>outside</w:t>
      </w:r>
      <w:r w:rsidRPr="00283806">
        <w:rPr>
          <w:spacing w:val="40"/>
          <w:w w:val="105"/>
        </w:rPr>
        <w:t xml:space="preserve"> </w:t>
      </w:r>
      <w:r w:rsidRPr="00283806">
        <w:rPr>
          <w:w w:val="105"/>
        </w:rPr>
        <w:t>of</w:t>
      </w:r>
      <w:r w:rsidRPr="00283806">
        <w:rPr>
          <w:spacing w:val="40"/>
          <w:w w:val="105"/>
        </w:rPr>
        <w:t xml:space="preserve"> </w:t>
      </w:r>
      <w:r w:rsidRPr="00283806">
        <w:rPr>
          <w:w w:val="105"/>
        </w:rPr>
        <w:t>an enclosed space; however, for portions that are located within an enclosed</w:t>
      </w:r>
      <w:r w:rsidRPr="00283806">
        <w:rPr>
          <w:spacing w:val="80"/>
          <w:w w:val="105"/>
        </w:rPr>
        <w:t xml:space="preserve"> </w:t>
      </w:r>
      <w:r w:rsidRPr="00283806">
        <w:rPr>
          <w:w w:val="105"/>
        </w:rPr>
        <w:t>space that have a high chance for</w:t>
      </w:r>
      <w:r w:rsidRPr="00283806">
        <w:rPr>
          <w:spacing w:val="80"/>
          <w:w w:val="105"/>
        </w:rPr>
        <w:t xml:space="preserve"> </w:t>
      </w:r>
      <w:r w:rsidRPr="00283806">
        <w:rPr>
          <w:w w:val="105"/>
        </w:rPr>
        <w:t>leakage EPA finds it appropriate to use direct ALD systems. When a leak is detected and a refrigerant-containing appliance is found to be above the applicable leak rate, an owner or operator is required to inspect all portions of a refrigerant-containing appliance not monitored by an ALD system as discussed in section IV.C.3.d.</w:t>
      </w:r>
    </w:p>
    <w:p w14:paraId="6E413E3C" w14:textId="77777777" w:rsidR="00D67C1E" w:rsidRPr="00283806" w:rsidRDefault="001265CA">
      <w:pPr>
        <w:pStyle w:val="BodyText"/>
        <w:spacing w:before="131" w:line="228" w:lineRule="auto"/>
        <w:ind w:left="154" w:right="132" w:firstLine="180"/>
      </w:pPr>
      <w:r w:rsidRPr="00283806">
        <w:br w:type="column"/>
      </w:r>
      <w:r w:rsidRPr="00283806">
        <w:rPr>
          <w:w w:val="105"/>
        </w:rPr>
        <w:t>In response to one commenter’s request to modify the description of direct ALD systems in the rule, EPA has provided</w:t>
      </w:r>
      <w:r w:rsidRPr="00283806">
        <w:rPr>
          <w:spacing w:val="40"/>
          <w:w w:val="105"/>
        </w:rPr>
        <w:t xml:space="preserve"> </w:t>
      </w:r>
      <w:r w:rsidRPr="00283806">
        <w:rPr>
          <w:w w:val="105"/>
        </w:rPr>
        <w:t>additional</w:t>
      </w:r>
      <w:r w:rsidRPr="00283806">
        <w:rPr>
          <w:spacing w:val="40"/>
          <w:w w:val="105"/>
        </w:rPr>
        <w:t xml:space="preserve"> </w:t>
      </w:r>
      <w:r w:rsidRPr="00283806">
        <w:rPr>
          <w:w w:val="105"/>
        </w:rPr>
        <w:t>detail</w:t>
      </w:r>
      <w:r w:rsidRPr="00283806">
        <w:rPr>
          <w:spacing w:val="40"/>
          <w:w w:val="105"/>
        </w:rPr>
        <w:t xml:space="preserve"> </w:t>
      </w:r>
      <w:r w:rsidRPr="00283806">
        <w:rPr>
          <w:w w:val="105"/>
        </w:rPr>
        <w:t>on</w:t>
      </w:r>
      <w:r w:rsidRPr="00283806">
        <w:rPr>
          <w:spacing w:val="40"/>
          <w:w w:val="105"/>
        </w:rPr>
        <w:t xml:space="preserve"> </w:t>
      </w:r>
      <w:r w:rsidRPr="00283806">
        <w:rPr>
          <w:w w:val="105"/>
        </w:rPr>
        <w:t>what types of direct ALD systems are acceptable to use. As discussed in this preamble, the Agency is not establishing</w:t>
      </w:r>
      <w:r w:rsidRPr="00283806">
        <w:rPr>
          <w:spacing w:val="40"/>
          <w:w w:val="105"/>
        </w:rPr>
        <w:t xml:space="preserve"> </w:t>
      </w:r>
      <w:r w:rsidRPr="00283806">
        <w:rPr>
          <w:w w:val="105"/>
        </w:rPr>
        <w:t>a</w:t>
      </w:r>
      <w:r w:rsidRPr="00283806">
        <w:rPr>
          <w:spacing w:val="40"/>
          <w:w w:val="105"/>
        </w:rPr>
        <w:t xml:space="preserve"> </w:t>
      </w:r>
      <w:r w:rsidRPr="00283806">
        <w:rPr>
          <w:w w:val="105"/>
        </w:rPr>
        <w:t>definition</w:t>
      </w:r>
      <w:r w:rsidRPr="00283806">
        <w:rPr>
          <w:spacing w:val="40"/>
          <w:w w:val="105"/>
        </w:rPr>
        <w:t xml:space="preserve"> </w:t>
      </w:r>
      <w:r w:rsidRPr="00283806">
        <w:rPr>
          <w:w w:val="105"/>
        </w:rPr>
        <w:t>of</w:t>
      </w:r>
      <w:r w:rsidRPr="00283806">
        <w:rPr>
          <w:spacing w:val="40"/>
          <w:w w:val="105"/>
        </w:rPr>
        <w:t xml:space="preserve"> </w:t>
      </w:r>
      <w:r w:rsidRPr="00283806">
        <w:rPr>
          <w:w w:val="105"/>
        </w:rPr>
        <w:t>direct</w:t>
      </w:r>
      <w:r w:rsidRPr="00283806">
        <w:rPr>
          <w:spacing w:val="40"/>
          <w:w w:val="105"/>
        </w:rPr>
        <w:t xml:space="preserve"> </w:t>
      </w:r>
      <w:r w:rsidRPr="00283806">
        <w:rPr>
          <w:w w:val="105"/>
        </w:rPr>
        <w:t>ALD</w:t>
      </w:r>
      <w:r w:rsidRPr="00283806">
        <w:rPr>
          <w:spacing w:val="40"/>
          <w:w w:val="105"/>
        </w:rPr>
        <w:t xml:space="preserve"> </w:t>
      </w:r>
      <w:r w:rsidRPr="00283806">
        <w:rPr>
          <w:w w:val="105"/>
        </w:rPr>
        <w:t>systems</w:t>
      </w:r>
      <w:r w:rsidRPr="00283806">
        <w:rPr>
          <w:spacing w:val="40"/>
          <w:w w:val="105"/>
        </w:rPr>
        <w:t xml:space="preserve"> </w:t>
      </w:r>
      <w:r w:rsidRPr="00283806">
        <w:rPr>
          <w:w w:val="105"/>
        </w:rPr>
        <w:t>in this</w:t>
      </w:r>
      <w:r w:rsidRPr="00283806">
        <w:rPr>
          <w:spacing w:val="40"/>
          <w:w w:val="105"/>
        </w:rPr>
        <w:t xml:space="preserve"> </w:t>
      </w:r>
      <w:r w:rsidRPr="00283806">
        <w:rPr>
          <w:w w:val="105"/>
        </w:rPr>
        <w:t>rule;</w:t>
      </w:r>
      <w:r w:rsidRPr="00283806">
        <w:rPr>
          <w:spacing w:val="40"/>
          <w:w w:val="105"/>
        </w:rPr>
        <w:t xml:space="preserve"> </w:t>
      </w:r>
      <w:r w:rsidRPr="00283806">
        <w:rPr>
          <w:w w:val="105"/>
        </w:rPr>
        <w:t>however,</w:t>
      </w:r>
      <w:r w:rsidRPr="00283806">
        <w:rPr>
          <w:spacing w:val="40"/>
          <w:w w:val="105"/>
        </w:rPr>
        <w:t xml:space="preserve"> </w:t>
      </w:r>
      <w:r w:rsidRPr="00283806">
        <w:rPr>
          <w:w w:val="105"/>
        </w:rPr>
        <w:t>EPA</w:t>
      </w:r>
      <w:r w:rsidRPr="00283806">
        <w:rPr>
          <w:spacing w:val="40"/>
          <w:w w:val="105"/>
        </w:rPr>
        <w:t xml:space="preserve"> </w:t>
      </w:r>
      <w:r w:rsidRPr="00283806">
        <w:rPr>
          <w:w w:val="105"/>
        </w:rPr>
        <w:t>clarifies</w:t>
      </w:r>
      <w:r w:rsidRPr="00283806">
        <w:rPr>
          <w:spacing w:val="40"/>
          <w:w w:val="105"/>
        </w:rPr>
        <w:t xml:space="preserve"> </w:t>
      </w:r>
      <w:r w:rsidRPr="00283806">
        <w:rPr>
          <w:w w:val="105"/>
        </w:rPr>
        <w:t xml:space="preserve">that any direct ALD systems that meet the criteria described in 40 CFR </w:t>
      </w:r>
      <w:proofErr w:type="gramStart"/>
      <w:r w:rsidRPr="00283806">
        <w:rPr>
          <w:w w:val="105"/>
        </w:rPr>
        <w:t>84.108(f)</w:t>
      </w:r>
      <w:proofErr w:type="gramEnd"/>
      <w:r w:rsidRPr="00283806">
        <w:rPr>
          <w:w w:val="105"/>
        </w:rPr>
        <w:t>(1)(2)(3) are acceptable to use for the purposes of leak detection. This includes the use of point detection systems, aspirated detection systems, or any other existing or future direct ALD technologies that can accurately detect a concentration level of 10 ppm of vapor</w:t>
      </w:r>
      <w:r w:rsidRPr="00283806">
        <w:rPr>
          <w:spacing w:val="80"/>
          <w:w w:val="105"/>
        </w:rPr>
        <w:t xml:space="preserve"> </w:t>
      </w:r>
      <w:r w:rsidRPr="00283806">
        <w:rPr>
          <w:w w:val="105"/>
        </w:rPr>
        <w:t>of the specific refrigerant(s) used in an appliance, alerts the owner or operator</w:t>
      </w:r>
      <w:r w:rsidRPr="00283806">
        <w:rPr>
          <w:spacing w:val="40"/>
          <w:w w:val="105"/>
        </w:rPr>
        <w:t xml:space="preserve"> </w:t>
      </w:r>
      <w:r w:rsidRPr="00283806">
        <w:rPr>
          <w:w w:val="105"/>
        </w:rPr>
        <w:t>of when a refrigerant concentration of 100 ppm is reached, and is able to have sensors or intakes that continuously monitor the refrigerant concentrations</w:t>
      </w:r>
      <w:r w:rsidRPr="00283806">
        <w:rPr>
          <w:spacing w:val="80"/>
          <w:w w:val="105"/>
        </w:rPr>
        <w:t xml:space="preserve"> </w:t>
      </w:r>
      <w:r w:rsidRPr="00283806">
        <w:rPr>
          <w:w w:val="105"/>
        </w:rPr>
        <w:t>in air in proximity to leak-prone components. EPA is not changing the term ‘‘continuously monitoring’’</w:t>
      </w:r>
      <w:r w:rsidRPr="00283806">
        <w:rPr>
          <w:spacing w:val="40"/>
          <w:w w:val="105"/>
        </w:rPr>
        <w:t xml:space="preserve"> </w:t>
      </w:r>
      <w:r w:rsidRPr="00283806">
        <w:rPr>
          <w:w w:val="105"/>
        </w:rPr>
        <w:t>however the Agency further clarifies</w:t>
      </w:r>
      <w:r w:rsidRPr="00283806">
        <w:rPr>
          <w:spacing w:val="80"/>
          <w:w w:val="105"/>
        </w:rPr>
        <w:t xml:space="preserve"> </w:t>
      </w:r>
      <w:r w:rsidRPr="00283806">
        <w:rPr>
          <w:w w:val="105"/>
        </w:rPr>
        <w:t>that the term does not preclude the use</w:t>
      </w:r>
      <w:r w:rsidRPr="00283806">
        <w:rPr>
          <w:spacing w:val="40"/>
          <w:w w:val="105"/>
        </w:rPr>
        <w:t xml:space="preserve"> </w:t>
      </w:r>
      <w:r w:rsidRPr="00283806">
        <w:rPr>
          <w:w w:val="105"/>
        </w:rPr>
        <w:t>of direct ALD systems that actively or directly monitor an appliance via zonal cycling. EPA views direct ALD systems that actively monitor portions of a refrigerant-containing appliance as</w:t>
      </w:r>
      <w:r w:rsidRPr="00283806">
        <w:rPr>
          <w:spacing w:val="40"/>
          <w:w w:val="105"/>
        </w:rPr>
        <w:t xml:space="preserve"> </w:t>
      </w:r>
      <w:r w:rsidRPr="00283806">
        <w:rPr>
          <w:w w:val="105"/>
        </w:rPr>
        <w:t>falling under the term ‘‘continuously monitor.’’ EPA disagrees with the commenter’s claims that point detection systems cannot adequately provide leak detection monitoring for the purposes of leak</w:t>
      </w:r>
      <w:r w:rsidRPr="00283806">
        <w:rPr>
          <w:spacing w:val="40"/>
          <w:w w:val="105"/>
        </w:rPr>
        <w:t xml:space="preserve"> </w:t>
      </w:r>
      <w:r w:rsidRPr="00283806">
        <w:rPr>
          <w:w w:val="105"/>
        </w:rPr>
        <w:t>reduction.</w:t>
      </w:r>
      <w:r w:rsidRPr="00283806">
        <w:rPr>
          <w:spacing w:val="40"/>
          <w:w w:val="105"/>
        </w:rPr>
        <w:t xml:space="preserve"> </w:t>
      </w:r>
      <w:r w:rsidRPr="00283806">
        <w:rPr>
          <w:w w:val="105"/>
        </w:rPr>
        <w:t>While</w:t>
      </w:r>
      <w:r w:rsidRPr="00283806">
        <w:rPr>
          <w:spacing w:val="40"/>
          <w:w w:val="105"/>
        </w:rPr>
        <w:t xml:space="preserve"> </w:t>
      </w:r>
      <w:r w:rsidRPr="00283806">
        <w:rPr>
          <w:w w:val="105"/>
        </w:rPr>
        <w:t>it</w:t>
      </w:r>
      <w:r w:rsidRPr="00283806">
        <w:rPr>
          <w:spacing w:val="40"/>
          <w:w w:val="105"/>
        </w:rPr>
        <w:t xml:space="preserve"> </w:t>
      </w:r>
      <w:r w:rsidRPr="00283806">
        <w:rPr>
          <w:w w:val="105"/>
        </w:rPr>
        <w:t>is</w:t>
      </w:r>
      <w:r w:rsidRPr="00283806">
        <w:rPr>
          <w:spacing w:val="40"/>
          <w:w w:val="105"/>
        </w:rPr>
        <w:t xml:space="preserve"> </w:t>
      </w:r>
      <w:r w:rsidRPr="00283806">
        <w:rPr>
          <w:w w:val="105"/>
        </w:rPr>
        <w:t>true</w:t>
      </w:r>
      <w:r w:rsidRPr="00283806">
        <w:rPr>
          <w:spacing w:val="40"/>
          <w:w w:val="105"/>
        </w:rPr>
        <w:t xml:space="preserve"> </w:t>
      </w:r>
      <w:r w:rsidRPr="00283806">
        <w:rPr>
          <w:w w:val="105"/>
        </w:rPr>
        <w:t>that point detection systems are utilized to comply with occupational safety standards, point detection systems that meet the standards of the final rule are also able to provide adequate leak detection and monitoring for a refrigerant-containing appliance. EPA reiterates that a single, wall-mounted point detection sensor would not</w:t>
      </w:r>
      <w:r w:rsidRPr="00283806">
        <w:rPr>
          <w:spacing w:val="80"/>
          <w:w w:val="105"/>
        </w:rPr>
        <w:t xml:space="preserve"> </w:t>
      </w:r>
      <w:r w:rsidRPr="00283806">
        <w:rPr>
          <w:w w:val="105"/>
        </w:rPr>
        <w:t xml:space="preserve">provide adequate coverage for an appliance; thus, multiple sensors are needed to cover leak-prone components on an appliance. EPA is also not preventing the use of any direct ALD system that meets the </w:t>
      </w:r>
      <w:proofErr w:type="gramStart"/>
      <w:r w:rsidRPr="00283806">
        <w:rPr>
          <w:w w:val="105"/>
        </w:rPr>
        <w:t>rule’s</w:t>
      </w:r>
      <w:proofErr w:type="gramEnd"/>
      <w:r w:rsidRPr="00283806">
        <w:rPr>
          <w:w w:val="105"/>
        </w:rPr>
        <w:t xml:space="preserve"> standards because the Agency does not want to further limit the supply of direct ALD systems for owners or operators. The Agency’s standards for direct ALD serve the purpose of minimizing the release of refrigerants from appliances while also providing enough flexibility in direct</w:t>
      </w:r>
      <w:r w:rsidRPr="00283806">
        <w:rPr>
          <w:spacing w:val="80"/>
          <w:w w:val="105"/>
        </w:rPr>
        <w:t xml:space="preserve"> </w:t>
      </w:r>
      <w:r w:rsidRPr="00283806">
        <w:rPr>
          <w:w w:val="105"/>
        </w:rPr>
        <w:t xml:space="preserve">ALD technologies so that owners or operators </w:t>
      </w:r>
      <w:proofErr w:type="gramStart"/>
      <w:r w:rsidRPr="00283806">
        <w:rPr>
          <w:w w:val="105"/>
        </w:rPr>
        <w:t>are able to</w:t>
      </w:r>
      <w:proofErr w:type="gramEnd"/>
      <w:r w:rsidRPr="00283806">
        <w:rPr>
          <w:w w:val="105"/>
        </w:rPr>
        <w:t xml:space="preserve"> comply with the rule’s ALD provision within the provision’s compliance timeframe.</w:t>
      </w:r>
    </w:p>
    <w:p w14:paraId="57FD686D" w14:textId="77777777" w:rsidR="00D67C1E" w:rsidRPr="00283806" w:rsidRDefault="001265CA">
      <w:pPr>
        <w:pStyle w:val="BodyText"/>
        <w:spacing w:before="16" w:line="216" w:lineRule="auto"/>
        <w:ind w:left="154" w:right="122" w:firstLine="180"/>
      </w:pPr>
      <w:r w:rsidRPr="00283806">
        <w:rPr>
          <w:rFonts w:ascii="Book Antiqua"/>
          <w:i/>
          <w:w w:val="105"/>
        </w:rPr>
        <w:t xml:space="preserve">Comment: </w:t>
      </w:r>
      <w:r w:rsidRPr="00283806">
        <w:rPr>
          <w:w w:val="105"/>
        </w:rPr>
        <w:t>The Agency received numerous</w:t>
      </w:r>
      <w:r w:rsidRPr="00283806">
        <w:rPr>
          <w:spacing w:val="9"/>
          <w:w w:val="105"/>
        </w:rPr>
        <w:t xml:space="preserve"> </w:t>
      </w:r>
      <w:r w:rsidRPr="00283806">
        <w:rPr>
          <w:w w:val="105"/>
        </w:rPr>
        <w:t>comments</w:t>
      </w:r>
      <w:r w:rsidRPr="00283806">
        <w:rPr>
          <w:spacing w:val="9"/>
          <w:w w:val="105"/>
        </w:rPr>
        <w:t xml:space="preserve"> </w:t>
      </w:r>
      <w:r w:rsidRPr="00283806">
        <w:rPr>
          <w:w w:val="105"/>
        </w:rPr>
        <w:t>on</w:t>
      </w:r>
      <w:r w:rsidRPr="00283806">
        <w:rPr>
          <w:spacing w:val="10"/>
          <w:w w:val="105"/>
        </w:rPr>
        <w:t xml:space="preserve"> </w:t>
      </w:r>
      <w:r w:rsidRPr="00283806">
        <w:rPr>
          <w:w w:val="105"/>
        </w:rPr>
        <w:t>the</w:t>
      </w:r>
      <w:r w:rsidRPr="00283806">
        <w:rPr>
          <w:spacing w:val="9"/>
          <w:w w:val="105"/>
        </w:rPr>
        <w:t xml:space="preserve"> </w:t>
      </w:r>
      <w:r w:rsidRPr="00283806">
        <w:rPr>
          <w:spacing w:val="-2"/>
          <w:w w:val="105"/>
        </w:rPr>
        <w:t>alarm</w:t>
      </w:r>
    </w:p>
    <w:p w14:paraId="2F9BF557" w14:textId="77777777" w:rsidR="00D67C1E" w:rsidRPr="00283806" w:rsidRDefault="00D67C1E">
      <w:pPr>
        <w:spacing w:line="216" w:lineRule="auto"/>
        <w:sectPr w:rsidR="00D67C1E" w:rsidRPr="00283806">
          <w:pgSz w:w="12240" w:h="15840"/>
          <w:pgMar w:top="1040" w:right="780" w:bottom="280" w:left="740" w:header="627" w:footer="0" w:gutter="0"/>
          <w:cols w:num="3" w:space="720" w:equalWidth="0">
            <w:col w:w="3517" w:space="40"/>
            <w:col w:w="3490" w:space="39"/>
            <w:col w:w="3634"/>
          </w:cols>
        </w:sectPr>
      </w:pPr>
    </w:p>
    <w:p w14:paraId="0D1FD8FC" w14:textId="77777777" w:rsidR="00D67C1E" w:rsidRPr="00283806" w:rsidRDefault="001265CA">
      <w:pPr>
        <w:pStyle w:val="BodyText"/>
        <w:spacing w:before="134" w:line="228" w:lineRule="auto"/>
      </w:pPr>
      <w:r w:rsidRPr="00283806">
        <w:rPr>
          <w:w w:val="105"/>
        </w:rPr>
        <w:lastRenderedPageBreak/>
        <w:t xml:space="preserve">threshold for direct ALD systems. </w:t>
      </w:r>
      <w:proofErr w:type="gramStart"/>
      <w:r w:rsidRPr="00283806">
        <w:rPr>
          <w:w w:val="105"/>
        </w:rPr>
        <w:t>The majority of</w:t>
      </w:r>
      <w:proofErr w:type="gramEnd"/>
      <w:r w:rsidRPr="00283806">
        <w:rPr>
          <w:w w:val="105"/>
        </w:rPr>
        <w:t xml:space="preserve"> commenters requested </w:t>
      </w:r>
      <w:proofErr w:type="gramStart"/>
      <w:r w:rsidRPr="00283806">
        <w:rPr>
          <w:w w:val="105"/>
        </w:rPr>
        <w:t>EPA that</w:t>
      </w:r>
      <w:proofErr w:type="gramEnd"/>
      <w:r w:rsidRPr="00283806">
        <w:rPr>
          <w:w w:val="105"/>
        </w:rPr>
        <w:t xml:space="preserve"> reconsider the proposed 100 ppm threshold and finalize at a lower threshold, either 50 ppm or 10 ppm.</w:t>
      </w:r>
    </w:p>
    <w:p w14:paraId="19D3EEE0" w14:textId="77777777" w:rsidR="00D67C1E" w:rsidRPr="00283806" w:rsidRDefault="001265CA">
      <w:pPr>
        <w:pStyle w:val="BodyText"/>
        <w:spacing w:line="228" w:lineRule="auto"/>
        <w:ind w:right="15"/>
      </w:pPr>
      <w:r w:rsidRPr="00283806">
        <w:rPr>
          <w:w w:val="105"/>
        </w:rPr>
        <w:t>One commenter suggested using a &lt;10 ppm threshold to achieve full emissions reduction potential. The commenter</w:t>
      </w:r>
      <w:r w:rsidRPr="00283806">
        <w:rPr>
          <w:spacing w:val="40"/>
          <w:w w:val="105"/>
        </w:rPr>
        <w:t xml:space="preserve"> </w:t>
      </w:r>
      <w:r w:rsidRPr="00283806">
        <w:rPr>
          <w:w w:val="105"/>
        </w:rPr>
        <w:t>cited their report on refrigerant leaks at major</w:t>
      </w:r>
      <w:r w:rsidRPr="00283806">
        <w:rPr>
          <w:spacing w:val="-10"/>
          <w:w w:val="105"/>
        </w:rPr>
        <w:t xml:space="preserve"> </w:t>
      </w:r>
      <w:r w:rsidRPr="00283806">
        <w:rPr>
          <w:w w:val="105"/>
        </w:rPr>
        <w:t>supermarket</w:t>
      </w:r>
      <w:r w:rsidRPr="00283806">
        <w:rPr>
          <w:spacing w:val="-11"/>
          <w:w w:val="105"/>
        </w:rPr>
        <w:t xml:space="preserve"> </w:t>
      </w:r>
      <w:r w:rsidRPr="00283806">
        <w:rPr>
          <w:w w:val="105"/>
        </w:rPr>
        <w:t>stores</w:t>
      </w:r>
      <w:r w:rsidRPr="00283806">
        <w:rPr>
          <w:spacing w:val="-10"/>
          <w:w w:val="105"/>
        </w:rPr>
        <w:t xml:space="preserve"> </w:t>
      </w:r>
      <w:r w:rsidRPr="00283806">
        <w:rPr>
          <w:w w:val="105"/>
        </w:rPr>
        <w:t>demonstrating that many commercial refrigeration</w:t>
      </w:r>
      <w:r w:rsidRPr="00283806">
        <w:rPr>
          <w:spacing w:val="40"/>
          <w:w w:val="105"/>
        </w:rPr>
        <w:t xml:space="preserve"> </w:t>
      </w:r>
      <w:r w:rsidRPr="00283806">
        <w:rPr>
          <w:w w:val="105"/>
        </w:rPr>
        <w:t>leaks are under 10 ppm. Of all the leaks the commenter detected across dozens</w:t>
      </w:r>
      <w:r w:rsidRPr="00283806">
        <w:rPr>
          <w:spacing w:val="40"/>
          <w:w w:val="105"/>
        </w:rPr>
        <w:t xml:space="preserve"> </w:t>
      </w:r>
      <w:r w:rsidRPr="00283806">
        <w:rPr>
          <w:w w:val="105"/>
        </w:rPr>
        <w:t>of stores, less than 5 percent were at a concentration greater than 100 ppm, however, 29 percent ranged from 10-to- 100 ppm on the sales floor. The remaining 67 percent of leaks were found to have concentrations less than</w:t>
      </w:r>
      <w:r w:rsidRPr="00283806">
        <w:rPr>
          <w:spacing w:val="40"/>
          <w:w w:val="105"/>
        </w:rPr>
        <w:t xml:space="preserve"> </w:t>
      </w:r>
      <w:r w:rsidRPr="00283806">
        <w:rPr>
          <w:w w:val="105"/>
        </w:rPr>
        <w:t>10 ppm. Thus, the commenter</w:t>
      </w:r>
      <w:r w:rsidRPr="00283806">
        <w:rPr>
          <w:spacing w:val="80"/>
          <w:w w:val="105"/>
        </w:rPr>
        <w:t xml:space="preserve"> </w:t>
      </w:r>
      <w:r w:rsidRPr="00283806">
        <w:rPr>
          <w:w w:val="105"/>
        </w:rPr>
        <w:t>advocated that EPA use an alarm threshold lower than 10 ppm because small concentrations of refrigerant can be indicative of large leaks within an appliance. Another commenter recommended the alarm threshold be lowered to 10 ppm because of improvements in sensor technology.</w:t>
      </w:r>
    </w:p>
    <w:p w14:paraId="727FCB1C" w14:textId="77777777" w:rsidR="00D67C1E" w:rsidRPr="00283806" w:rsidRDefault="001265CA">
      <w:pPr>
        <w:pStyle w:val="BodyText"/>
        <w:spacing w:line="186" w:lineRule="exact"/>
      </w:pPr>
      <w:r w:rsidRPr="00283806">
        <w:rPr>
          <w:w w:val="105"/>
        </w:rPr>
        <w:t>Finally,</w:t>
      </w:r>
      <w:r w:rsidRPr="00283806">
        <w:rPr>
          <w:spacing w:val="12"/>
          <w:w w:val="105"/>
        </w:rPr>
        <w:t xml:space="preserve"> </w:t>
      </w:r>
      <w:r w:rsidRPr="00283806">
        <w:rPr>
          <w:w w:val="105"/>
        </w:rPr>
        <w:t>one</w:t>
      </w:r>
      <w:r w:rsidRPr="00283806">
        <w:rPr>
          <w:spacing w:val="13"/>
          <w:w w:val="105"/>
        </w:rPr>
        <w:t xml:space="preserve"> </w:t>
      </w:r>
      <w:r w:rsidRPr="00283806">
        <w:rPr>
          <w:w w:val="105"/>
        </w:rPr>
        <w:t>commenter</w:t>
      </w:r>
      <w:r w:rsidRPr="00283806">
        <w:rPr>
          <w:spacing w:val="13"/>
          <w:w w:val="105"/>
        </w:rPr>
        <w:t xml:space="preserve"> </w:t>
      </w:r>
      <w:r w:rsidRPr="00283806">
        <w:rPr>
          <w:w w:val="105"/>
        </w:rPr>
        <w:t>stated</w:t>
      </w:r>
      <w:r w:rsidRPr="00283806">
        <w:rPr>
          <w:spacing w:val="13"/>
          <w:w w:val="105"/>
        </w:rPr>
        <w:t xml:space="preserve"> </w:t>
      </w:r>
      <w:r w:rsidRPr="00283806">
        <w:rPr>
          <w:w w:val="105"/>
        </w:rPr>
        <w:t>the</w:t>
      </w:r>
      <w:r w:rsidRPr="00283806">
        <w:rPr>
          <w:spacing w:val="13"/>
          <w:w w:val="105"/>
        </w:rPr>
        <w:t xml:space="preserve"> </w:t>
      </w:r>
      <w:r w:rsidRPr="00283806">
        <w:rPr>
          <w:spacing w:val="-5"/>
          <w:w w:val="105"/>
        </w:rPr>
        <w:t>100</w:t>
      </w:r>
    </w:p>
    <w:p w14:paraId="2B9FD2CE" w14:textId="77777777" w:rsidR="00D67C1E" w:rsidRPr="00283806" w:rsidRDefault="001265CA">
      <w:pPr>
        <w:pStyle w:val="BodyText"/>
        <w:spacing w:before="1" w:line="228" w:lineRule="auto"/>
        <w:ind w:right="98"/>
      </w:pPr>
      <w:proofErr w:type="gramStart"/>
      <w:r w:rsidRPr="00283806">
        <w:rPr>
          <w:w w:val="105"/>
        </w:rPr>
        <w:t>ppm</w:t>
      </w:r>
      <w:proofErr w:type="gramEnd"/>
      <w:r w:rsidRPr="00283806">
        <w:rPr>
          <w:w w:val="105"/>
        </w:rPr>
        <w:t xml:space="preserve"> threshold may need to be lowered if</w:t>
      </w:r>
      <w:r w:rsidRPr="00283806">
        <w:rPr>
          <w:spacing w:val="35"/>
          <w:w w:val="105"/>
        </w:rPr>
        <w:t xml:space="preserve"> </w:t>
      </w:r>
      <w:r w:rsidRPr="00283806">
        <w:rPr>
          <w:w w:val="105"/>
        </w:rPr>
        <w:t>EPA</w:t>
      </w:r>
      <w:r w:rsidRPr="00283806">
        <w:rPr>
          <w:spacing w:val="35"/>
          <w:w w:val="105"/>
        </w:rPr>
        <w:t xml:space="preserve"> </w:t>
      </w:r>
      <w:r w:rsidRPr="00283806">
        <w:rPr>
          <w:w w:val="105"/>
        </w:rPr>
        <w:t>is</w:t>
      </w:r>
      <w:r w:rsidRPr="00283806">
        <w:rPr>
          <w:spacing w:val="35"/>
          <w:w w:val="105"/>
        </w:rPr>
        <w:t xml:space="preserve"> </w:t>
      </w:r>
      <w:r w:rsidRPr="00283806">
        <w:rPr>
          <w:w w:val="105"/>
        </w:rPr>
        <w:t>seeking</w:t>
      </w:r>
      <w:r w:rsidRPr="00283806">
        <w:rPr>
          <w:spacing w:val="35"/>
          <w:w w:val="105"/>
        </w:rPr>
        <w:t xml:space="preserve"> </w:t>
      </w:r>
      <w:r w:rsidRPr="00283806">
        <w:rPr>
          <w:w w:val="105"/>
        </w:rPr>
        <w:t>ALD</w:t>
      </w:r>
      <w:r w:rsidRPr="00283806">
        <w:rPr>
          <w:spacing w:val="35"/>
          <w:w w:val="105"/>
        </w:rPr>
        <w:t xml:space="preserve"> </w:t>
      </w:r>
      <w:r w:rsidRPr="00283806">
        <w:rPr>
          <w:w w:val="105"/>
        </w:rPr>
        <w:t>from</w:t>
      </w:r>
      <w:r w:rsidRPr="00283806">
        <w:rPr>
          <w:spacing w:val="35"/>
          <w:w w:val="105"/>
        </w:rPr>
        <w:t xml:space="preserve"> </w:t>
      </w:r>
      <w:r w:rsidRPr="00283806">
        <w:rPr>
          <w:w w:val="105"/>
        </w:rPr>
        <w:t>flanges</w:t>
      </w:r>
      <w:r w:rsidRPr="00283806">
        <w:rPr>
          <w:spacing w:val="35"/>
          <w:w w:val="105"/>
        </w:rPr>
        <w:t xml:space="preserve"> </w:t>
      </w:r>
      <w:r w:rsidRPr="00283806">
        <w:rPr>
          <w:w w:val="105"/>
        </w:rPr>
        <w:t>in a central location. The commenter</w:t>
      </w:r>
    </w:p>
    <w:p w14:paraId="2D66F663" w14:textId="77777777" w:rsidR="00D67C1E" w:rsidRPr="00283806" w:rsidRDefault="001265CA">
      <w:pPr>
        <w:pStyle w:val="BodyText"/>
        <w:spacing w:line="228" w:lineRule="auto"/>
      </w:pPr>
      <w:r w:rsidRPr="00283806">
        <w:rPr>
          <w:w w:val="105"/>
        </w:rPr>
        <w:t xml:space="preserve">further suggested that EPA consult with CARB or others to verify the efficacy of the </w:t>
      </w:r>
      <w:proofErr w:type="gramStart"/>
      <w:r w:rsidRPr="00283806">
        <w:rPr>
          <w:w w:val="105"/>
        </w:rPr>
        <w:t>100 ppm</w:t>
      </w:r>
      <w:proofErr w:type="gramEnd"/>
      <w:r w:rsidRPr="00283806">
        <w:rPr>
          <w:w w:val="105"/>
        </w:rPr>
        <w:t xml:space="preserve"> threshold.</w:t>
      </w:r>
    </w:p>
    <w:p w14:paraId="62070DBA" w14:textId="77777777" w:rsidR="00D67C1E" w:rsidRPr="00283806" w:rsidRDefault="001265CA">
      <w:pPr>
        <w:pStyle w:val="BodyText"/>
        <w:spacing w:before="37" w:line="228" w:lineRule="auto"/>
        <w:ind w:right="70" w:firstLine="180"/>
      </w:pPr>
      <w:r w:rsidRPr="00283806">
        <w:rPr>
          <w:w w:val="105"/>
        </w:rPr>
        <w:t>One commenter recommended an alarm threshold of 50 ppm for direct ALD systems while maintaining an accurate detection down to 10 ppm of the vapor of the specified refrigerant because small leaks under 100 ppm can result in substantial or complete loss of</w:t>
      </w:r>
      <w:r w:rsidRPr="00283806">
        <w:rPr>
          <w:spacing w:val="40"/>
          <w:w w:val="105"/>
        </w:rPr>
        <w:t xml:space="preserve"> </w:t>
      </w:r>
      <w:r w:rsidRPr="00283806">
        <w:rPr>
          <w:w w:val="105"/>
        </w:rPr>
        <w:t>a refrigeration system over time. The commenter stated that aspirated ALD systems can detect refrigerant vapor at</w:t>
      </w:r>
      <w:r w:rsidRPr="00283806">
        <w:rPr>
          <w:spacing w:val="40"/>
          <w:w w:val="105"/>
        </w:rPr>
        <w:t xml:space="preserve"> </w:t>
      </w:r>
      <w:r w:rsidRPr="00283806">
        <w:rPr>
          <w:w w:val="105"/>
        </w:rPr>
        <w:t>a</w:t>
      </w:r>
      <w:r w:rsidRPr="00283806">
        <w:rPr>
          <w:spacing w:val="30"/>
          <w:w w:val="105"/>
        </w:rPr>
        <w:t xml:space="preserve"> </w:t>
      </w:r>
      <w:r w:rsidRPr="00283806">
        <w:rPr>
          <w:w w:val="105"/>
        </w:rPr>
        <w:t>resolution</w:t>
      </w:r>
      <w:r w:rsidRPr="00283806">
        <w:rPr>
          <w:spacing w:val="30"/>
          <w:w w:val="105"/>
        </w:rPr>
        <w:t xml:space="preserve"> </w:t>
      </w:r>
      <w:r w:rsidRPr="00283806">
        <w:rPr>
          <w:w w:val="105"/>
        </w:rPr>
        <w:t>of</w:t>
      </w:r>
      <w:r w:rsidRPr="00283806">
        <w:rPr>
          <w:spacing w:val="30"/>
          <w:w w:val="105"/>
        </w:rPr>
        <w:t xml:space="preserve"> </w:t>
      </w:r>
      <w:r w:rsidRPr="00283806">
        <w:rPr>
          <w:w w:val="105"/>
        </w:rPr>
        <w:t>1</w:t>
      </w:r>
      <w:r w:rsidRPr="00283806">
        <w:rPr>
          <w:spacing w:val="30"/>
          <w:w w:val="105"/>
        </w:rPr>
        <w:t xml:space="preserve"> </w:t>
      </w:r>
      <w:r w:rsidRPr="00283806">
        <w:rPr>
          <w:w w:val="105"/>
        </w:rPr>
        <w:t>ppm</w:t>
      </w:r>
      <w:r w:rsidRPr="00283806">
        <w:rPr>
          <w:spacing w:val="30"/>
          <w:w w:val="105"/>
        </w:rPr>
        <w:t xml:space="preserve"> </w:t>
      </w:r>
      <w:r w:rsidRPr="00283806">
        <w:rPr>
          <w:w w:val="105"/>
        </w:rPr>
        <w:t>and</w:t>
      </w:r>
      <w:r w:rsidRPr="00283806">
        <w:rPr>
          <w:spacing w:val="30"/>
          <w:w w:val="105"/>
        </w:rPr>
        <w:t xml:space="preserve"> </w:t>
      </w:r>
      <w:proofErr w:type="gramStart"/>
      <w:r w:rsidRPr="00283806">
        <w:rPr>
          <w:w w:val="105"/>
        </w:rPr>
        <w:t>are</w:t>
      </w:r>
      <w:r w:rsidRPr="00283806">
        <w:rPr>
          <w:spacing w:val="30"/>
          <w:w w:val="105"/>
        </w:rPr>
        <w:t xml:space="preserve"> </w:t>
      </w:r>
      <w:r w:rsidRPr="00283806">
        <w:rPr>
          <w:w w:val="105"/>
        </w:rPr>
        <w:t>capable of alerting</w:t>
      </w:r>
      <w:proofErr w:type="gramEnd"/>
      <w:r w:rsidRPr="00283806">
        <w:rPr>
          <w:w w:val="105"/>
        </w:rPr>
        <w:t xml:space="preserve"> an owner or operator at an alarm threshold of 10 or 25 ppm.</w:t>
      </w:r>
    </w:p>
    <w:p w14:paraId="43A689A3" w14:textId="77777777" w:rsidR="00D67C1E" w:rsidRPr="00283806" w:rsidRDefault="001265CA">
      <w:pPr>
        <w:pStyle w:val="BodyText"/>
        <w:spacing w:line="228" w:lineRule="auto"/>
      </w:pPr>
      <w:r w:rsidRPr="00283806">
        <w:rPr>
          <w:w w:val="105"/>
        </w:rPr>
        <w:t xml:space="preserve">However, the commenter suggested that a </w:t>
      </w:r>
      <w:proofErr w:type="gramStart"/>
      <w:r w:rsidRPr="00283806">
        <w:rPr>
          <w:w w:val="105"/>
        </w:rPr>
        <w:t>50 ppm</w:t>
      </w:r>
      <w:proofErr w:type="gramEnd"/>
      <w:r w:rsidRPr="00283806">
        <w:rPr>
          <w:w w:val="105"/>
        </w:rPr>
        <w:t xml:space="preserve"> alarm threshold would be</w:t>
      </w:r>
      <w:r w:rsidRPr="00283806">
        <w:rPr>
          <w:spacing w:val="40"/>
          <w:w w:val="105"/>
        </w:rPr>
        <w:t xml:space="preserve"> </w:t>
      </w:r>
      <w:r w:rsidRPr="00283806">
        <w:rPr>
          <w:w w:val="105"/>
        </w:rPr>
        <w:t>more appropriate because small leaks could be more readily detected and reduce nuisance alarms that may</w:t>
      </w:r>
      <w:r w:rsidRPr="00283806">
        <w:rPr>
          <w:spacing w:val="80"/>
          <w:w w:val="105"/>
        </w:rPr>
        <w:t xml:space="preserve"> </w:t>
      </w:r>
      <w:r w:rsidRPr="00283806">
        <w:rPr>
          <w:w w:val="105"/>
        </w:rPr>
        <w:t>happen more frequently at lower alarm thresholds. The commenter clarified</w:t>
      </w:r>
      <w:r w:rsidRPr="00283806">
        <w:rPr>
          <w:spacing w:val="80"/>
          <w:w w:val="150"/>
        </w:rPr>
        <w:t xml:space="preserve"> </w:t>
      </w:r>
      <w:r w:rsidRPr="00283806">
        <w:rPr>
          <w:w w:val="105"/>
        </w:rPr>
        <w:t>that nuisance alarms are not the result</w:t>
      </w:r>
      <w:r w:rsidRPr="00283806">
        <w:rPr>
          <w:spacing w:val="80"/>
          <w:w w:val="105"/>
        </w:rPr>
        <w:t xml:space="preserve"> </w:t>
      </w:r>
      <w:r w:rsidRPr="00283806">
        <w:rPr>
          <w:w w:val="105"/>
        </w:rPr>
        <w:t xml:space="preserve">of noise </w:t>
      </w:r>
      <w:proofErr w:type="gramStart"/>
      <w:r w:rsidRPr="00283806">
        <w:rPr>
          <w:w w:val="105"/>
        </w:rPr>
        <w:t>rather</w:t>
      </w:r>
      <w:proofErr w:type="gramEnd"/>
      <w:r w:rsidRPr="00283806">
        <w:rPr>
          <w:w w:val="105"/>
        </w:rPr>
        <w:t xml:space="preserve"> they occur because the aspirated ALD systems can detect leaks that would have been otherwise unknown to an owner or operator prior to installation of the ALD system. The commenter also recommended that EPA </w:t>
      </w:r>
      <w:proofErr w:type="gramStart"/>
      <w:r w:rsidRPr="00283806">
        <w:rPr>
          <w:w w:val="105"/>
        </w:rPr>
        <w:t>not</w:t>
      </w:r>
      <w:proofErr w:type="gramEnd"/>
      <w:r w:rsidRPr="00283806">
        <w:rPr>
          <w:w w:val="105"/>
        </w:rPr>
        <w:t xml:space="preserve"> grandfather in any direct ALD systems with alarm levels above 50 ppm as</w:t>
      </w:r>
      <w:r w:rsidRPr="00283806">
        <w:rPr>
          <w:spacing w:val="40"/>
          <w:w w:val="105"/>
        </w:rPr>
        <w:t xml:space="preserve"> </w:t>
      </w:r>
      <w:r w:rsidRPr="00283806">
        <w:rPr>
          <w:w w:val="105"/>
        </w:rPr>
        <w:t>existing</w:t>
      </w:r>
      <w:r w:rsidRPr="00283806">
        <w:rPr>
          <w:spacing w:val="40"/>
          <w:w w:val="105"/>
        </w:rPr>
        <w:t xml:space="preserve"> </w:t>
      </w:r>
      <w:r w:rsidRPr="00283806">
        <w:rPr>
          <w:w w:val="105"/>
        </w:rPr>
        <w:t>direct</w:t>
      </w:r>
      <w:r w:rsidRPr="00283806">
        <w:rPr>
          <w:spacing w:val="40"/>
          <w:w w:val="105"/>
        </w:rPr>
        <w:t xml:space="preserve"> </w:t>
      </w:r>
      <w:r w:rsidRPr="00283806">
        <w:rPr>
          <w:w w:val="105"/>
        </w:rPr>
        <w:t>ALD</w:t>
      </w:r>
      <w:r w:rsidRPr="00283806">
        <w:rPr>
          <w:spacing w:val="40"/>
          <w:w w:val="105"/>
        </w:rPr>
        <w:t xml:space="preserve"> </w:t>
      </w:r>
      <w:r w:rsidRPr="00283806">
        <w:rPr>
          <w:w w:val="105"/>
        </w:rPr>
        <w:t>systems</w:t>
      </w:r>
      <w:r w:rsidRPr="00283806">
        <w:rPr>
          <w:spacing w:val="40"/>
          <w:w w:val="105"/>
        </w:rPr>
        <w:t xml:space="preserve"> </w:t>
      </w:r>
      <w:r w:rsidRPr="00283806">
        <w:rPr>
          <w:w w:val="105"/>
        </w:rPr>
        <w:t>set</w:t>
      </w:r>
      <w:r w:rsidRPr="00283806">
        <w:rPr>
          <w:spacing w:val="40"/>
          <w:w w:val="105"/>
        </w:rPr>
        <w:t xml:space="preserve"> </w:t>
      </w:r>
      <w:r w:rsidRPr="00283806">
        <w:rPr>
          <w:w w:val="105"/>
        </w:rPr>
        <w:t>to 100 ppm are solely meeting safety requirements and are not equipped to minimize release of refrigerant.</w:t>
      </w:r>
    </w:p>
    <w:p w14:paraId="66FB0FB9" w14:textId="77777777" w:rsidR="00D67C1E" w:rsidRPr="00283806" w:rsidRDefault="001265CA">
      <w:pPr>
        <w:pStyle w:val="BodyText"/>
        <w:spacing w:before="134" w:line="225" w:lineRule="auto"/>
        <w:ind w:right="108" w:firstLine="180"/>
      </w:pPr>
      <w:r w:rsidRPr="00283806">
        <w:br w:type="column"/>
      </w:r>
      <w:r w:rsidRPr="00283806">
        <w:rPr>
          <w:w w:val="105"/>
        </w:rPr>
        <w:t xml:space="preserve">Another commenter claimed that long-term ppm limits may not be the best approach to </w:t>
      </w:r>
      <w:proofErr w:type="gramStart"/>
      <w:r w:rsidRPr="00283806">
        <w:rPr>
          <w:w w:val="105"/>
        </w:rPr>
        <w:t>regulate</w:t>
      </w:r>
      <w:proofErr w:type="gramEnd"/>
      <w:r w:rsidRPr="00283806">
        <w:rPr>
          <w:w w:val="105"/>
        </w:rPr>
        <w:t xml:space="preserve"> ALD systems because</w:t>
      </w:r>
      <w:r w:rsidRPr="00283806">
        <w:rPr>
          <w:spacing w:val="10"/>
          <w:w w:val="105"/>
        </w:rPr>
        <w:t xml:space="preserve"> </w:t>
      </w:r>
      <w:r w:rsidRPr="00283806">
        <w:rPr>
          <w:w w:val="105"/>
        </w:rPr>
        <w:t>ppm</w:t>
      </w:r>
      <w:r w:rsidRPr="00283806">
        <w:rPr>
          <w:spacing w:val="10"/>
          <w:w w:val="105"/>
        </w:rPr>
        <w:t xml:space="preserve"> </w:t>
      </w:r>
      <w:r w:rsidRPr="00283806">
        <w:rPr>
          <w:w w:val="105"/>
        </w:rPr>
        <w:t>metrics</w:t>
      </w:r>
      <w:r w:rsidRPr="00283806">
        <w:rPr>
          <w:spacing w:val="10"/>
          <w:w w:val="105"/>
        </w:rPr>
        <w:t xml:space="preserve"> </w:t>
      </w:r>
      <w:r w:rsidRPr="00283806">
        <w:rPr>
          <w:w w:val="105"/>
        </w:rPr>
        <w:t>are</w:t>
      </w:r>
      <w:r w:rsidRPr="00283806">
        <w:rPr>
          <w:spacing w:val="11"/>
          <w:w w:val="105"/>
        </w:rPr>
        <w:t xml:space="preserve"> </w:t>
      </w:r>
      <w:r w:rsidRPr="00283806">
        <w:rPr>
          <w:w w:val="105"/>
        </w:rPr>
        <w:t>specific</w:t>
      </w:r>
      <w:r w:rsidRPr="00283806">
        <w:rPr>
          <w:spacing w:val="10"/>
          <w:w w:val="105"/>
        </w:rPr>
        <w:t xml:space="preserve"> </w:t>
      </w:r>
      <w:r w:rsidRPr="00283806">
        <w:rPr>
          <w:w w:val="105"/>
        </w:rPr>
        <w:t>to</w:t>
      </w:r>
      <w:r w:rsidRPr="00283806">
        <w:rPr>
          <w:spacing w:val="10"/>
          <w:w w:val="105"/>
        </w:rPr>
        <w:t xml:space="preserve"> </w:t>
      </w:r>
      <w:r w:rsidRPr="00283806">
        <w:rPr>
          <w:spacing w:val="-5"/>
          <w:w w:val="105"/>
        </w:rPr>
        <w:t>the</w:t>
      </w:r>
    </w:p>
    <w:p w14:paraId="4897206C" w14:textId="77777777" w:rsidR="00D67C1E" w:rsidRPr="00283806" w:rsidRDefault="001265CA">
      <w:pPr>
        <w:pStyle w:val="BodyText"/>
        <w:spacing w:line="225" w:lineRule="auto"/>
      </w:pPr>
      <w:r w:rsidRPr="00283806">
        <w:rPr>
          <w:w w:val="105"/>
        </w:rPr>
        <w:t>sensor and do not directly correlate with the ability to detect a leak rate over a given time. The commenter also stated that they are aware of only one sensor</w:t>
      </w:r>
      <w:r w:rsidRPr="00283806">
        <w:rPr>
          <w:spacing w:val="80"/>
          <w:w w:val="105"/>
        </w:rPr>
        <w:t xml:space="preserve"> </w:t>
      </w:r>
      <w:r w:rsidRPr="00283806">
        <w:rPr>
          <w:w w:val="105"/>
        </w:rPr>
        <w:t xml:space="preserve">on the market that can </w:t>
      </w:r>
      <w:proofErr w:type="gramStart"/>
      <w:r w:rsidRPr="00283806">
        <w:rPr>
          <w:w w:val="105"/>
        </w:rPr>
        <w:t>detect to</w:t>
      </w:r>
      <w:proofErr w:type="gramEnd"/>
      <w:r w:rsidRPr="00283806">
        <w:rPr>
          <w:w w:val="105"/>
        </w:rPr>
        <w:t xml:space="preserve"> a </w:t>
      </w:r>
      <w:proofErr w:type="gramStart"/>
      <w:r w:rsidRPr="00283806">
        <w:rPr>
          <w:w w:val="105"/>
        </w:rPr>
        <w:t>10</w:t>
      </w:r>
      <w:r w:rsidRPr="00283806">
        <w:rPr>
          <w:spacing w:val="40"/>
          <w:w w:val="105"/>
        </w:rPr>
        <w:t xml:space="preserve"> </w:t>
      </w:r>
      <w:r w:rsidRPr="00283806">
        <w:rPr>
          <w:w w:val="105"/>
        </w:rPr>
        <w:t>ppm</w:t>
      </w:r>
      <w:proofErr w:type="gramEnd"/>
      <w:r w:rsidRPr="00283806">
        <w:rPr>
          <w:w w:val="105"/>
        </w:rPr>
        <w:t xml:space="preserve"> resolution. The commenter</w:t>
      </w:r>
      <w:r w:rsidRPr="00283806">
        <w:rPr>
          <w:spacing w:val="40"/>
          <w:w w:val="105"/>
        </w:rPr>
        <w:t xml:space="preserve"> </w:t>
      </w:r>
      <w:r w:rsidRPr="00283806">
        <w:rPr>
          <w:w w:val="105"/>
        </w:rPr>
        <w:t>provided several examples of existing direct ALD systems and provided suggested specific levels of detection</w:t>
      </w:r>
      <w:r w:rsidRPr="00283806">
        <w:rPr>
          <w:spacing w:val="80"/>
          <w:w w:val="105"/>
        </w:rPr>
        <w:t xml:space="preserve"> </w:t>
      </w:r>
      <w:r w:rsidRPr="00283806">
        <w:rPr>
          <w:w w:val="105"/>
        </w:rPr>
        <w:t>that are appropriate for the type of</w:t>
      </w:r>
      <w:r w:rsidRPr="00283806">
        <w:rPr>
          <w:spacing w:val="80"/>
          <w:w w:val="105"/>
        </w:rPr>
        <w:t xml:space="preserve"> </w:t>
      </w:r>
      <w:r w:rsidRPr="00283806">
        <w:rPr>
          <w:w w:val="105"/>
        </w:rPr>
        <w:t>direct ALD system. For aspirated</w:t>
      </w:r>
      <w:r w:rsidRPr="00283806">
        <w:rPr>
          <w:spacing w:val="40"/>
          <w:w w:val="105"/>
        </w:rPr>
        <w:t xml:space="preserve"> </w:t>
      </w:r>
      <w:r w:rsidRPr="00283806">
        <w:rPr>
          <w:w w:val="105"/>
        </w:rPr>
        <w:t>systems, the commenter suggested a threshold of 10 ppm would be appropriate. For single-zone diffusion (point detection) systems, the</w:t>
      </w:r>
      <w:r w:rsidRPr="00283806">
        <w:rPr>
          <w:spacing w:val="40"/>
          <w:w w:val="105"/>
        </w:rPr>
        <w:t xml:space="preserve"> </w:t>
      </w:r>
      <w:r w:rsidRPr="00283806">
        <w:rPr>
          <w:w w:val="105"/>
        </w:rPr>
        <w:t>commenter suggested a threshold of 200 ppm would be more appropriate.</w:t>
      </w:r>
    </w:p>
    <w:p w14:paraId="68C39E82" w14:textId="77777777" w:rsidR="00D67C1E" w:rsidRPr="00283806" w:rsidRDefault="001265CA">
      <w:pPr>
        <w:pStyle w:val="BodyText"/>
        <w:spacing w:line="225" w:lineRule="auto"/>
      </w:pPr>
      <w:r w:rsidRPr="00283806">
        <w:rPr>
          <w:w w:val="105"/>
        </w:rPr>
        <w:t>Finally, for appliance-level sensors, primarily used to comply with UL 60335–2–89 for the use of flammable refrigerants,</w:t>
      </w:r>
      <w:r w:rsidRPr="00283806">
        <w:rPr>
          <w:spacing w:val="-8"/>
          <w:w w:val="105"/>
        </w:rPr>
        <w:t xml:space="preserve"> </w:t>
      </w:r>
      <w:r w:rsidRPr="00283806">
        <w:rPr>
          <w:w w:val="105"/>
        </w:rPr>
        <w:t>the</w:t>
      </w:r>
      <w:r w:rsidRPr="00283806">
        <w:rPr>
          <w:spacing w:val="-8"/>
          <w:w w:val="105"/>
        </w:rPr>
        <w:t xml:space="preserve"> </w:t>
      </w:r>
      <w:r w:rsidRPr="00283806">
        <w:rPr>
          <w:w w:val="105"/>
        </w:rPr>
        <w:t>commenter</w:t>
      </w:r>
      <w:r w:rsidRPr="00283806">
        <w:rPr>
          <w:spacing w:val="-8"/>
          <w:w w:val="105"/>
        </w:rPr>
        <w:t xml:space="preserve"> </w:t>
      </w:r>
      <w:r w:rsidRPr="00283806">
        <w:rPr>
          <w:w w:val="105"/>
        </w:rPr>
        <w:t>suggested</w:t>
      </w:r>
      <w:r w:rsidRPr="00283806">
        <w:rPr>
          <w:spacing w:val="-8"/>
          <w:w w:val="105"/>
        </w:rPr>
        <w:t xml:space="preserve"> </w:t>
      </w:r>
      <w:r w:rsidRPr="00283806">
        <w:rPr>
          <w:w w:val="105"/>
        </w:rPr>
        <w:t>a minimum threshold of 500 ppm.</w:t>
      </w:r>
    </w:p>
    <w:p w14:paraId="33A4C1CF" w14:textId="77777777" w:rsidR="00D67C1E" w:rsidRPr="00283806" w:rsidRDefault="001265CA">
      <w:pPr>
        <w:pStyle w:val="BodyText"/>
        <w:spacing w:line="213" w:lineRule="auto"/>
        <w:ind w:right="57" w:firstLine="180"/>
      </w:pPr>
      <w:r w:rsidRPr="00283806">
        <w:rPr>
          <w:rFonts w:ascii="Book Antiqua"/>
          <w:i/>
          <w:w w:val="105"/>
        </w:rPr>
        <w:t xml:space="preserve">Response: </w:t>
      </w:r>
      <w:r w:rsidRPr="00283806">
        <w:rPr>
          <w:w w:val="105"/>
        </w:rPr>
        <w:t>EPA is finalizing the alarm threshold for direct ALD systems as</w:t>
      </w:r>
    </w:p>
    <w:p w14:paraId="52AC0135" w14:textId="77777777" w:rsidR="00D67C1E" w:rsidRPr="00283806" w:rsidRDefault="001265CA">
      <w:pPr>
        <w:pStyle w:val="BodyText"/>
        <w:spacing w:line="225" w:lineRule="auto"/>
        <w:ind w:right="57"/>
      </w:pPr>
      <w:r w:rsidRPr="00283806">
        <w:rPr>
          <w:w w:val="105"/>
        </w:rPr>
        <w:t>proposed. The Agency finds the alarm threshold appropriate to detect leaks from refrigerant-containing appliances faster while preventing false alarms that may occur at lower ppm thresholds.</w:t>
      </w:r>
    </w:p>
    <w:p w14:paraId="2BB73462" w14:textId="77777777" w:rsidR="00D67C1E" w:rsidRPr="00283806" w:rsidRDefault="001265CA">
      <w:pPr>
        <w:pStyle w:val="BodyText"/>
        <w:spacing w:line="225" w:lineRule="auto"/>
        <w:ind w:right="80"/>
      </w:pPr>
      <w:r w:rsidRPr="00283806">
        <w:rPr>
          <w:w w:val="105"/>
        </w:rPr>
        <w:t xml:space="preserve">EPA also finds it appropriate to remain consistent with existing alarm criteria under the CAA and State refrigerant management programs. EPA disagrees with one commenter requesting that the Agency not grandfather in existing ALD systems with alarm thresholds above 50 ppm. While a portion of ALD systems currently in use were installed to meet safety standards many other ALD systems were installed by owners or operators for the </w:t>
      </w:r>
      <w:proofErr w:type="gramStart"/>
      <w:r w:rsidRPr="00283806">
        <w:rPr>
          <w:w w:val="105"/>
        </w:rPr>
        <w:t>purposes</w:t>
      </w:r>
      <w:proofErr w:type="gramEnd"/>
      <w:r w:rsidRPr="00283806">
        <w:rPr>
          <w:w w:val="105"/>
        </w:rPr>
        <w:t xml:space="preserve"> of leak detection. The Agency is not requiring owners or operators with existing ALD systems that meet the standards in 40 CFR 84.108(f)(1)(2)(3) to install new ALD systems. Owners or operators with existing ALD systems will need to</w:t>
      </w:r>
      <w:r w:rsidRPr="00283806">
        <w:rPr>
          <w:spacing w:val="80"/>
          <w:w w:val="105"/>
        </w:rPr>
        <w:t xml:space="preserve"> </w:t>
      </w:r>
      <w:r w:rsidRPr="00283806">
        <w:rPr>
          <w:w w:val="105"/>
        </w:rPr>
        <w:t>ensure their current ALD systems meet the rule’s standards and are providing adequate monitoring of leak-prone components of a refrigerant-containing appliance.</w:t>
      </w:r>
      <w:r w:rsidRPr="00283806">
        <w:rPr>
          <w:spacing w:val="40"/>
          <w:w w:val="105"/>
        </w:rPr>
        <w:t xml:space="preserve"> </w:t>
      </w:r>
      <w:r w:rsidRPr="00283806">
        <w:rPr>
          <w:w w:val="105"/>
        </w:rPr>
        <w:t>Additionally,</w:t>
      </w:r>
      <w:r w:rsidRPr="00283806">
        <w:rPr>
          <w:spacing w:val="40"/>
          <w:w w:val="105"/>
        </w:rPr>
        <w:t xml:space="preserve"> </w:t>
      </w:r>
      <w:r w:rsidRPr="00283806">
        <w:rPr>
          <w:w w:val="105"/>
        </w:rPr>
        <w:t>the</w:t>
      </w:r>
      <w:r w:rsidRPr="00283806">
        <w:rPr>
          <w:spacing w:val="40"/>
          <w:w w:val="105"/>
        </w:rPr>
        <w:t xml:space="preserve"> </w:t>
      </w:r>
      <w:r w:rsidRPr="00283806">
        <w:rPr>
          <w:w w:val="105"/>
        </w:rPr>
        <w:t>Agency does not want to deny existing ALD systems that meet the standards of this rule because doing so could exacerbate potential ALD supply issues and reduce overall compliance with the provision.</w:t>
      </w:r>
    </w:p>
    <w:p w14:paraId="2E615D2F" w14:textId="77777777" w:rsidR="00D67C1E" w:rsidRPr="00283806" w:rsidRDefault="001265CA">
      <w:pPr>
        <w:pStyle w:val="BodyText"/>
        <w:spacing w:line="170" w:lineRule="exact"/>
        <w:ind w:left="340"/>
      </w:pPr>
      <w:r w:rsidRPr="00283806">
        <w:rPr>
          <w:w w:val="105"/>
        </w:rPr>
        <w:t>EPA</w:t>
      </w:r>
      <w:r w:rsidRPr="00283806">
        <w:rPr>
          <w:spacing w:val="18"/>
          <w:w w:val="105"/>
        </w:rPr>
        <w:t xml:space="preserve"> </w:t>
      </w:r>
      <w:r w:rsidRPr="00283806">
        <w:rPr>
          <w:w w:val="105"/>
        </w:rPr>
        <w:t>acknowledges</w:t>
      </w:r>
      <w:r w:rsidRPr="00283806">
        <w:rPr>
          <w:spacing w:val="18"/>
          <w:w w:val="105"/>
        </w:rPr>
        <w:t xml:space="preserve"> </w:t>
      </w:r>
      <w:r w:rsidRPr="00283806">
        <w:rPr>
          <w:w w:val="105"/>
        </w:rPr>
        <w:t>the</w:t>
      </w:r>
      <w:r w:rsidRPr="00283806">
        <w:rPr>
          <w:spacing w:val="18"/>
          <w:w w:val="105"/>
        </w:rPr>
        <w:t xml:space="preserve"> </w:t>
      </w:r>
      <w:r w:rsidRPr="00283806">
        <w:rPr>
          <w:spacing w:val="-2"/>
          <w:w w:val="105"/>
        </w:rPr>
        <w:t>information</w:t>
      </w:r>
    </w:p>
    <w:p w14:paraId="684095C9" w14:textId="77777777" w:rsidR="00D67C1E" w:rsidRPr="00283806" w:rsidRDefault="001265CA">
      <w:pPr>
        <w:pStyle w:val="BodyText"/>
        <w:spacing w:line="225" w:lineRule="auto"/>
        <w:ind w:right="11"/>
      </w:pPr>
      <w:r w:rsidRPr="00283806">
        <w:rPr>
          <w:w w:val="105"/>
        </w:rPr>
        <w:t>one commenter provided on leaks detected</w:t>
      </w:r>
      <w:r w:rsidRPr="00283806">
        <w:rPr>
          <w:spacing w:val="-7"/>
          <w:w w:val="105"/>
        </w:rPr>
        <w:t xml:space="preserve"> </w:t>
      </w:r>
      <w:r w:rsidRPr="00283806">
        <w:rPr>
          <w:w w:val="105"/>
        </w:rPr>
        <w:t>at</w:t>
      </w:r>
      <w:r w:rsidRPr="00283806">
        <w:rPr>
          <w:spacing w:val="-7"/>
          <w:w w:val="105"/>
        </w:rPr>
        <w:t xml:space="preserve"> </w:t>
      </w:r>
      <w:r w:rsidRPr="00283806">
        <w:rPr>
          <w:w w:val="105"/>
        </w:rPr>
        <w:t>supermarkets</w:t>
      </w:r>
      <w:r w:rsidRPr="00283806">
        <w:rPr>
          <w:spacing w:val="-7"/>
          <w:w w:val="105"/>
        </w:rPr>
        <w:t xml:space="preserve"> </w:t>
      </w:r>
      <w:r w:rsidRPr="00283806">
        <w:rPr>
          <w:w w:val="105"/>
        </w:rPr>
        <w:t>and</w:t>
      </w:r>
      <w:r w:rsidRPr="00283806">
        <w:rPr>
          <w:spacing w:val="-7"/>
          <w:w w:val="105"/>
        </w:rPr>
        <w:t xml:space="preserve"> </w:t>
      </w:r>
      <w:r w:rsidRPr="00283806">
        <w:rPr>
          <w:w w:val="105"/>
        </w:rPr>
        <w:t>agrees</w:t>
      </w:r>
      <w:r w:rsidRPr="00283806">
        <w:rPr>
          <w:spacing w:val="-7"/>
          <w:w w:val="105"/>
        </w:rPr>
        <w:t xml:space="preserve"> </w:t>
      </w:r>
      <w:r w:rsidRPr="00283806">
        <w:rPr>
          <w:w w:val="105"/>
        </w:rPr>
        <w:t>that small amounts of refrigerant detected</w:t>
      </w:r>
      <w:r w:rsidRPr="00283806">
        <w:rPr>
          <w:spacing w:val="40"/>
          <w:w w:val="105"/>
        </w:rPr>
        <w:t xml:space="preserve"> </w:t>
      </w:r>
      <w:r w:rsidRPr="00283806">
        <w:rPr>
          <w:w w:val="105"/>
        </w:rPr>
        <w:t>can be indicative of larger leaks within</w:t>
      </w:r>
    </w:p>
    <w:p w14:paraId="10BF2553" w14:textId="77777777" w:rsidR="00D67C1E" w:rsidRPr="00283806" w:rsidRDefault="001265CA">
      <w:pPr>
        <w:pStyle w:val="BodyText"/>
        <w:spacing w:line="228" w:lineRule="auto"/>
        <w:ind w:right="109"/>
      </w:pPr>
      <w:r w:rsidRPr="00283806">
        <w:rPr>
          <w:w w:val="105"/>
        </w:rPr>
        <w:t xml:space="preserve">a refrigerant-containing appliance. However, EPA does not find the </w:t>
      </w:r>
      <w:proofErr w:type="gramStart"/>
      <w:r w:rsidRPr="00283806">
        <w:rPr>
          <w:w w:val="105"/>
        </w:rPr>
        <w:t>100 ppm</w:t>
      </w:r>
      <w:proofErr w:type="gramEnd"/>
      <w:r w:rsidRPr="00283806">
        <w:rPr>
          <w:w w:val="105"/>
        </w:rPr>
        <w:t xml:space="preserve"> threshold to be incongruous with</w:t>
      </w:r>
    </w:p>
    <w:p w14:paraId="1007AACF" w14:textId="77777777" w:rsidR="00D67C1E" w:rsidRPr="00283806" w:rsidRDefault="001265CA">
      <w:pPr>
        <w:pStyle w:val="BodyText"/>
        <w:spacing w:before="133" w:line="228" w:lineRule="auto"/>
        <w:ind w:left="144" w:right="193"/>
      </w:pPr>
      <w:r w:rsidRPr="00283806">
        <w:br w:type="column"/>
      </w:r>
      <w:proofErr w:type="gramStart"/>
      <w:r w:rsidRPr="00283806">
        <w:rPr>
          <w:w w:val="105"/>
        </w:rPr>
        <w:t>the</w:t>
      </w:r>
      <w:proofErr w:type="gramEnd"/>
      <w:r w:rsidRPr="00283806">
        <w:rPr>
          <w:w w:val="105"/>
        </w:rPr>
        <w:t xml:space="preserve"> discovery of large leaks and the timely repair of refrigerant-containing appliances that are leaking above the applicable leak rate threshold. EPA reiterates that this rule </w:t>
      </w:r>
      <w:proofErr w:type="gramStart"/>
      <w:r w:rsidRPr="00283806">
        <w:rPr>
          <w:w w:val="105"/>
        </w:rPr>
        <w:t>is not requiring</w:t>
      </w:r>
      <w:proofErr w:type="gramEnd"/>
      <w:r w:rsidRPr="00283806">
        <w:rPr>
          <w:w w:val="105"/>
        </w:rPr>
        <w:t xml:space="preserve"> the</w:t>
      </w:r>
      <w:r w:rsidRPr="00283806">
        <w:rPr>
          <w:spacing w:val="30"/>
          <w:w w:val="105"/>
        </w:rPr>
        <w:t xml:space="preserve"> </w:t>
      </w:r>
      <w:r w:rsidRPr="00283806">
        <w:rPr>
          <w:w w:val="105"/>
        </w:rPr>
        <w:t>repair</w:t>
      </w:r>
      <w:r w:rsidRPr="00283806">
        <w:rPr>
          <w:spacing w:val="30"/>
          <w:w w:val="105"/>
        </w:rPr>
        <w:t xml:space="preserve"> </w:t>
      </w:r>
      <w:r w:rsidRPr="00283806">
        <w:rPr>
          <w:w w:val="105"/>
        </w:rPr>
        <w:t>of</w:t>
      </w:r>
      <w:r w:rsidRPr="00283806">
        <w:rPr>
          <w:spacing w:val="30"/>
          <w:w w:val="105"/>
        </w:rPr>
        <w:t xml:space="preserve"> </w:t>
      </w:r>
      <w:r w:rsidRPr="00283806">
        <w:rPr>
          <w:w w:val="105"/>
        </w:rPr>
        <w:t>all</w:t>
      </w:r>
      <w:r w:rsidRPr="00283806">
        <w:rPr>
          <w:spacing w:val="30"/>
          <w:w w:val="105"/>
        </w:rPr>
        <w:t xml:space="preserve"> </w:t>
      </w:r>
      <w:r w:rsidRPr="00283806">
        <w:rPr>
          <w:w w:val="105"/>
        </w:rPr>
        <w:t>leaks,</w:t>
      </w:r>
      <w:r w:rsidRPr="00283806">
        <w:rPr>
          <w:spacing w:val="30"/>
          <w:w w:val="105"/>
        </w:rPr>
        <w:t xml:space="preserve"> </w:t>
      </w:r>
      <w:r w:rsidRPr="00283806">
        <w:rPr>
          <w:w w:val="105"/>
        </w:rPr>
        <w:t>rather,</w:t>
      </w:r>
      <w:r w:rsidRPr="00283806">
        <w:rPr>
          <w:spacing w:val="30"/>
          <w:w w:val="105"/>
        </w:rPr>
        <w:t xml:space="preserve"> </w:t>
      </w:r>
      <w:r w:rsidRPr="00283806">
        <w:rPr>
          <w:w w:val="105"/>
        </w:rPr>
        <w:t>this</w:t>
      </w:r>
      <w:r w:rsidRPr="00283806">
        <w:rPr>
          <w:spacing w:val="30"/>
          <w:w w:val="105"/>
        </w:rPr>
        <w:t xml:space="preserve"> </w:t>
      </w:r>
      <w:r w:rsidRPr="00283806">
        <w:rPr>
          <w:w w:val="105"/>
        </w:rPr>
        <w:t xml:space="preserve">rule </w:t>
      </w:r>
      <w:proofErr w:type="gramStart"/>
      <w:r w:rsidRPr="00283806">
        <w:rPr>
          <w:w w:val="105"/>
        </w:rPr>
        <w:t>is requiring</w:t>
      </w:r>
      <w:proofErr w:type="gramEnd"/>
      <w:r w:rsidRPr="00283806">
        <w:rPr>
          <w:w w:val="105"/>
        </w:rPr>
        <w:t xml:space="preserve"> that leaks be repaired to the extent that a refrigerant-containing </w:t>
      </w:r>
      <w:proofErr w:type="gramStart"/>
      <w:r w:rsidRPr="00283806">
        <w:rPr>
          <w:w w:val="105"/>
        </w:rPr>
        <w:t>appliance is</w:t>
      </w:r>
      <w:proofErr w:type="gramEnd"/>
      <w:r w:rsidRPr="00283806">
        <w:rPr>
          <w:w w:val="105"/>
        </w:rPr>
        <w:t xml:space="preserve"> leaking below the</w:t>
      </w:r>
      <w:r w:rsidRPr="00283806">
        <w:rPr>
          <w:spacing w:val="40"/>
          <w:w w:val="105"/>
        </w:rPr>
        <w:t xml:space="preserve"> </w:t>
      </w:r>
      <w:r w:rsidRPr="00283806">
        <w:rPr>
          <w:w w:val="105"/>
        </w:rPr>
        <w:t>applicable leak rate threshold. In the context of the appliances subject to this provision the leak repair provisions would begin once the leak rate has exceeded 30 percent for IPR and 20 percent for commercial refrigeration appliances. Setting the threshold to &lt;10 ppm, 25 ppm, 50 ppm, or any other threshold below 100 would in fact alert an owner or operator to the presence of more leaks. However, these discovered leaks would most likely not cause the refrigerant-containing appliance to exceed its applicable leak rate</w:t>
      </w:r>
      <w:r w:rsidRPr="00283806">
        <w:rPr>
          <w:spacing w:val="80"/>
          <w:w w:val="105"/>
        </w:rPr>
        <w:t xml:space="preserve"> </w:t>
      </w:r>
      <w:r w:rsidRPr="00283806">
        <w:rPr>
          <w:w w:val="105"/>
        </w:rPr>
        <w:t>threshold. For example, if EPA were to set the alarm threshold at 10 ppm a pinhole leak on a component near a sensor may alert an owner or operator</w:t>
      </w:r>
      <w:r w:rsidRPr="00283806">
        <w:rPr>
          <w:spacing w:val="40"/>
          <w:w w:val="105"/>
        </w:rPr>
        <w:t xml:space="preserve"> </w:t>
      </w:r>
      <w:r w:rsidRPr="00283806">
        <w:rPr>
          <w:w w:val="105"/>
        </w:rPr>
        <w:t>to a relatively small leak. The ALD provision</w:t>
      </w:r>
      <w:r w:rsidRPr="00283806">
        <w:rPr>
          <w:spacing w:val="37"/>
          <w:w w:val="105"/>
        </w:rPr>
        <w:t xml:space="preserve"> </w:t>
      </w:r>
      <w:r w:rsidRPr="00283806">
        <w:rPr>
          <w:w w:val="105"/>
        </w:rPr>
        <w:t>of</w:t>
      </w:r>
      <w:r w:rsidRPr="00283806">
        <w:rPr>
          <w:spacing w:val="37"/>
          <w:w w:val="105"/>
        </w:rPr>
        <w:t xml:space="preserve"> </w:t>
      </w:r>
      <w:r w:rsidRPr="00283806">
        <w:rPr>
          <w:w w:val="105"/>
        </w:rPr>
        <w:t>this</w:t>
      </w:r>
      <w:r w:rsidRPr="00283806">
        <w:rPr>
          <w:spacing w:val="37"/>
          <w:w w:val="105"/>
        </w:rPr>
        <w:t xml:space="preserve"> </w:t>
      </w:r>
      <w:r w:rsidRPr="00283806">
        <w:rPr>
          <w:w w:val="105"/>
        </w:rPr>
        <w:t>final</w:t>
      </w:r>
      <w:r w:rsidRPr="00283806">
        <w:rPr>
          <w:spacing w:val="37"/>
          <w:w w:val="105"/>
        </w:rPr>
        <w:t xml:space="preserve"> </w:t>
      </w:r>
      <w:r w:rsidRPr="00283806">
        <w:rPr>
          <w:w w:val="105"/>
        </w:rPr>
        <w:t>rule</w:t>
      </w:r>
      <w:r w:rsidRPr="00283806">
        <w:rPr>
          <w:spacing w:val="37"/>
          <w:w w:val="105"/>
        </w:rPr>
        <w:t xml:space="preserve"> </w:t>
      </w:r>
      <w:r w:rsidRPr="00283806">
        <w:rPr>
          <w:w w:val="105"/>
        </w:rPr>
        <w:t>is</w:t>
      </w:r>
      <w:r w:rsidRPr="00283806">
        <w:rPr>
          <w:spacing w:val="37"/>
          <w:w w:val="105"/>
        </w:rPr>
        <w:t xml:space="preserve"> </w:t>
      </w:r>
      <w:r w:rsidRPr="00283806">
        <w:rPr>
          <w:w w:val="105"/>
        </w:rPr>
        <w:t>intended to find larger leaks faster in refrigerant- containing appliances that can emit</w:t>
      </w:r>
      <w:r w:rsidRPr="00283806">
        <w:rPr>
          <w:spacing w:val="40"/>
          <w:w w:val="105"/>
        </w:rPr>
        <w:t xml:space="preserve"> </w:t>
      </w:r>
      <w:r w:rsidRPr="00283806">
        <w:rPr>
          <w:w w:val="105"/>
        </w:rPr>
        <w:t>large amounts of refrigerant from one leak event. When a larger leak is detected by an ALD system, the owner</w:t>
      </w:r>
      <w:r w:rsidRPr="00283806">
        <w:rPr>
          <w:spacing w:val="40"/>
          <w:w w:val="105"/>
        </w:rPr>
        <w:t xml:space="preserve"> </w:t>
      </w:r>
      <w:r w:rsidRPr="00283806">
        <w:rPr>
          <w:w w:val="105"/>
        </w:rPr>
        <w:t>or operator has 30 days to conduct a</w:t>
      </w:r>
      <w:r w:rsidRPr="00283806">
        <w:rPr>
          <w:spacing w:val="40"/>
          <w:w w:val="105"/>
        </w:rPr>
        <w:t xml:space="preserve"> </w:t>
      </w:r>
      <w:r w:rsidRPr="00283806">
        <w:rPr>
          <w:w w:val="105"/>
        </w:rPr>
        <w:t>leak rate calculation or attempt to</w:t>
      </w:r>
    </w:p>
    <w:p w14:paraId="11308FE2" w14:textId="77777777" w:rsidR="00D67C1E" w:rsidRPr="00283806" w:rsidRDefault="001265CA">
      <w:pPr>
        <w:pStyle w:val="BodyText"/>
        <w:spacing w:line="179" w:lineRule="exact"/>
        <w:ind w:left="144"/>
      </w:pPr>
      <w:r w:rsidRPr="00283806">
        <w:rPr>
          <w:w w:val="105"/>
        </w:rPr>
        <w:t>preemptively</w:t>
      </w:r>
      <w:r w:rsidRPr="00283806">
        <w:rPr>
          <w:spacing w:val="16"/>
          <w:w w:val="105"/>
        </w:rPr>
        <w:t xml:space="preserve"> </w:t>
      </w:r>
      <w:r w:rsidRPr="00283806">
        <w:rPr>
          <w:w w:val="105"/>
        </w:rPr>
        <w:t>repair</w:t>
      </w:r>
      <w:r w:rsidRPr="00283806">
        <w:rPr>
          <w:spacing w:val="16"/>
          <w:w w:val="105"/>
        </w:rPr>
        <w:t xml:space="preserve"> </w:t>
      </w:r>
      <w:r w:rsidRPr="00283806">
        <w:rPr>
          <w:w w:val="105"/>
        </w:rPr>
        <w:t>the</w:t>
      </w:r>
      <w:r w:rsidRPr="00283806">
        <w:rPr>
          <w:spacing w:val="16"/>
          <w:w w:val="105"/>
        </w:rPr>
        <w:t xml:space="preserve"> </w:t>
      </w:r>
      <w:r w:rsidRPr="00283806">
        <w:rPr>
          <w:w w:val="105"/>
        </w:rPr>
        <w:t>leak.</w:t>
      </w:r>
      <w:r w:rsidRPr="00283806">
        <w:rPr>
          <w:spacing w:val="16"/>
          <w:w w:val="105"/>
        </w:rPr>
        <w:t xml:space="preserve"> </w:t>
      </w:r>
      <w:r w:rsidRPr="00283806">
        <w:rPr>
          <w:w w:val="105"/>
        </w:rPr>
        <w:t>Since</w:t>
      </w:r>
      <w:r w:rsidRPr="00283806">
        <w:rPr>
          <w:spacing w:val="16"/>
          <w:w w:val="105"/>
        </w:rPr>
        <w:t xml:space="preserve"> </w:t>
      </w:r>
      <w:r w:rsidRPr="00283806">
        <w:rPr>
          <w:spacing w:val="-5"/>
          <w:w w:val="105"/>
        </w:rPr>
        <w:t>EPA</w:t>
      </w:r>
    </w:p>
    <w:p w14:paraId="0F0C8BEC" w14:textId="77777777" w:rsidR="00D67C1E" w:rsidRPr="00283806" w:rsidRDefault="001265CA">
      <w:pPr>
        <w:pStyle w:val="BodyText"/>
        <w:spacing w:before="3" w:line="228" w:lineRule="auto"/>
        <w:ind w:left="144" w:right="157"/>
      </w:pPr>
      <w:r w:rsidRPr="00283806">
        <w:rPr>
          <w:w w:val="105"/>
        </w:rPr>
        <w:t>is not requiring the repair of all leaks, setting the alarm criteria below 100 ppm could create a situation where an alarm</w:t>
      </w:r>
      <w:r w:rsidRPr="00283806">
        <w:rPr>
          <w:spacing w:val="40"/>
          <w:w w:val="105"/>
        </w:rPr>
        <w:t xml:space="preserve"> </w:t>
      </w:r>
      <w:r w:rsidRPr="00283806">
        <w:rPr>
          <w:w w:val="105"/>
        </w:rPr>
        <w:t>is continually alerting an owner or operator of a leak that has been found</w:t>
      </w:r>
      <w:r w:rsidRPr="00283806">
        <w:rPr>
          <w:spacing w:val="40"/>
          <w:w w:val="105"/>
        </w:rPr>
        <w:t xml:space="preserve"> </w:t>
      </w:r>
      <w:r w:rsidRPr="00283806">
        <w:rPr>
          <w:w w:val="105"/>
        </w:rPr>
        <w:t xml:space="preserve">not to be causing the refrigerant- containing appliance to leak above the applicable threshold. Nuisance or false alarms from ALD systems may decrease compliance with the leak repair provisions of the final rule because owners or operators may begin to ignore alerts for the ALD system. Thus, the </w:t>
      </w:r>
      <w:proofErr w:type="gramStart"/>
      <w:r w:rsidRPr="00283806">
        <w:rPr>
          <w:w w:val="105"/>
        </w:rPr>
        <w:t>100 ppm</w:t>
      </w:r>
      <w:proofErr w:type="gramEnd"/>
      <w:r w:rsidRPr="00283806">
        <w:rPr>
          <w:w w:val="105"/>
        </w:rPr>
        <w:t xml:space="preserve"> alarm threshold reduces the risk of false alarms while ensuring that larger leaks from refrigerant-containing appliances are detected and alert</w:t>
      </w:r>
      <w:r w:rsidRPr="00283806">
        <w:rPr>
          <w:spacing w:val="80"/>
          <w:w w:val="105"/>
        </w:rPr>
        <w:t xml:space="preserve"> </w:t>
      </w:r>
      <w:r w:rsidRPr="00283806">
        <w:rPr>
          <w:w w:val="105"/>
        </w:rPr>
        <w:t xml:space="preserve">owners or operators to take further </w:t>
      </w:r>
      <w:r w:rsidRPr="00283806">
        <w:rPr>
          <w:spacing w:val="-2"/>
          <w:w w:val="105"/>
        </w:rPr>
        <w:t>action.</w:t>
      </w:r>
    </w:p>
    <w:p w14:paraId="6F60A6C3" w14:textId="77777777" w:rsidR="00D67C1E" w:rsidRPr="00283806" w:rsidRDefault="001265CA">
      <w:pPr>
        <w:pStyle w:val="BodyText"/>
        <w:spacing w:before="30" w:line="228" w:lineRule="auto"/>
        <w:ind w:left="144" w:right="131" w:firstLine="180"/>
      </w:pPr>
      <w:r w:rsidRPr="00283806">
        <w:rPr>
          <w:w w:val="105"/>
        </w:rPr>
        <w:t>Regarding one comment asserting that ppm may not be the best approach to regulate ALD systems because ppm does not correlate to the ability to detect a</w:t>
      </w:r>
      <w:r w:rsidRPr="00283806">
        <w:rPr>
          <w:spacing w:val="40"/>
          <w:w w:val="105"/>
        </w:rPr>
        <w:t xml:space="preserve"> </w:t>
      </w:r>
      <w:r w:rsidRPr="00283806">
        <w:rPr>
          <w:w w:val="105"/>
        </w:rPr>
        <w:t>leak rate, EPA clarifies that the purpose</w:t>
      </w:r>
      <w:r w:rsidRPr="00283806">
        <w:rPr>
          <w:spacing w:val="40"/>
          <w:w w:val="105"/>
        </w:rPr>
        <w:t xml:space="preserve"> </w:t>
      </w:r>
      <w:r w:rsidRPr="00283806">
        <w:rPr>
          <w:w w:val="105"/>
        </w:rPr>
        <w:t>of the ALD provision is to detect leaks sooner, not calculate the leak rate of a refrigerant-containing appliance. As previously discussed in section IV.C.3.a, the final rule’s leak rate calculation methodologies are the only appropriate way to calculate a refrigerant-containing</w:t>
      </w:r>
    </w:p>
    <w:p w14:paraId="69EA725C"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496" w:space="44"/>
            <w:col w:w="3516" w:space="40"/>
            <w:col w:w="3624"/>
          </w:cols>
        </w:sectPr>
      </w:pPr>
    </w:p>
    <w:p w14:paraId="6232266F" w14:textId="77777777" w:rsidR="00D67C1E" w:rsidRPr="00283806" w:rsidRDefault="001265CA">
      <w:pPr>
        <w:pStyle w:val="BodyText"/>
        <w:spacing w:before="136" w:line="225" w:lineRule="auto"/>
        <w:ind w:right="45"/>
      </w:pPr>
      <w:r w:rsidRPr="00283806">
        <w:rPr>
          <w:w w:val="105"/>
        </w:rPr>
        <w:lastRenderedPageBreak/>
        <w:t xml:space="preserve">appliance’s leak rate. The comment is correct that </w:t>
      </w:r>
      <w:proofErr w:type="gramStart"/>
      <w:r w:rsidRPr="00283806">
        <w:rPr>
          <w:w w:val="105"/>
        </w:rPr>
        <w:t>ppm</w:t>
      </w:r>
      <w:proofErr w:type="gramEnd"/>
      <w:r w:rsidRPr="00283806">
        <w:rPr>
          <w:w w:val="105"/>
        </w:rPr>
        <w:t xml:space="preserve"> values of a refrigerant cannot denote how much refrigerant has leaked from a refrigerant-containing appliance; however, it does alert an owner or operator to the presence and potential severity of a leak that must be addressed if the refrigerant-containing appliance</w:t>
      </w:r>
      <w:r w:rsidRPr="00283806">
        <w:rPr>
          <w:spacing w:val="40"/>
          <w:w w:val="105"/>
        </w:rPr>
        <w:t xml:space="preserve"> </w:t>
      </w:r>
      <w:r w:rsidRPr="00283806">
        <w:rPr>
          <w:w w:val="105"/>
        </w:rPr>
        <w:t>is</w:t>
      </w:r>
      <w:r w:rsidRPr="00283806">
        <w:rPr>
          <w:spacing w:val="40"/>
          <w:w w:val="105"/>
        </w:rPr>
        <w:t xml:space="preserve"> </w:t>
      </w:r>
      <w:r w:rsidRPr="00283806">
        <w:rPr>
          <w:w w:val="105"/>
        </w:rPr>
        <w:t>leaking</w:t>
      </w:r>
      <w:r w:rsidRPr="00283806">
        <w:rPr>
          <w:spacing w:val="40"/>
          <w:w w:val="105"/>
        </w:rPr>
        <w:t xml:space="preserve"> </w:t>
      </w:r>
      <w:r w:rsidRPr="00283806">
        <w:rPr>
          <w:w w:val="105"/>
        </w:rPr>
        <w:t>above</w:t>
      </w:r>
      <w:r w:rsidRPr="00283806">
        <w:rPr>
          <w:spacing w:val="40"/>
          <w:w w:val="105"/>
        </w:rPr>
        <w:t xml:space="preserve"> </w:t>
      </w:r>
      <w:r w:rsidRPr="00283806">
        <w:rPr>
          <w:w w:val="105"/>
        </w:rPr>
        <w:t>the applicable leak rate. EPA also disagrees with the commenter’s suggestion to base ppm thresholds on the type of direct</w:t>
      </w:r>
      <w:r w:rsidRPr="00283806">
        <w:rPr>
          <w:spacing w:val="80"/>
          <w:w w:val="105"/>
        </w:rPr>
        <w:t xml:space="preserve"> </w:t>
      </w:r>
      <w:r w:rsidRPr="00283806">
        <w:rPr>
          <w:w w:val="105"/>
        </w:rPr>
        <w:t>ALD system, as this may add additional complexity and confusion to the ALD requirements and may diminish compliance with the provision. The Agency reiterates that direct ALD</w:t>
      </w:r>
      <w:r w:rsidRPr="00283806">
        <w:rPr>
          <w:spacing w:val="40"/>
          <w:w w:val="105"/>
        </w:rPr>
        <w:t xml:space="preserve"> </w:t>
      </w:r>
      <w:r w:rsidRPr="00283806">
        <w:rPr>
          <w:w w:val="105"/>
        </w:rPr>
        <w:t xml:space="preserve">systems that meet the standards in 40 CFR 84.108(f)(1)(2)(3) are acceptable to use. If a direct ALD system cannot meet those standards, then it is not appropriate to use for this rule’s ALD </w:t>
      </w:r>
      <w:r w:rsidRPr="00283806">
        <w:rPr>
          <w:spacing w:val="-2"/>
          <w:w w:val="105"/>
        </w:rPr>
        <w:t>requirements.</w:t>
      </w:r>
    </w:p>
    <w:p w14:paraId="38F9698F" w14:textId="77777777" w:rsidR="00D67C1E" w:rsidRPr="00283806" w:rsidRDefault="001265CA">
      <w:pPr>
        <w:spacing w:line="177" w:lineRule="exact"/>
        <w:ind w:left="340"/>
        <w:rPr>
          <w:sz w:val="18"/>
        </w:rPr>
      </w:pPr>
      <w:r w:rsidRPr="00283806">
        <w:rPr>
          <w:rFonts w:ascii="Book Antiqua"/>
          <w:i/>
          <w:w w:val="110"/>
          <w:sz w:val="18"/>
        </w:rPr>
        <w:t>Comment:</w:t>
      </w:r>
      <w:r w:rsidRPr="00283806">
        <w:rPr>
          <w:rFonts w:ascii="Book Antiqua"/>
          <w:i/>
          <w:spacing w:val="-2"/>
          <w:w w:val="110"/>
          <w:sz w:val="18"/>
        </w:rPr>
        <w:t xml:space="preserve"> </w:t>
      </w:r>
      <w:r w:rsidRPr="00283806">
        <w:rPr>
          <w:w w:val="110"/>
          <w:sz w:val="18"/>
        </w:rPr>
        <w:t>The</w:t>
      </w:r>
      <w:r w:rsidRPr="00283806">
        <w:rPr>
          <w:spacing w:val="4"/>
          <w:w w:val="110"/>
          <w:sz w:val="18"/>
        </w:rPr>
        <w:t xml:space="preserve"> </w:t>
      </w:r>
      <w:r w:rsidRPr="00283806">
        <w:rPr>
          <w:w w:val="110"/>
          <w:sz w:val="18"/>
        </w:rPr>
        <w:t>Agency</w:t>
      </w:r>
      <w:r w:rsidRPr="00283806">
        <w:rPr>
          <w:spacing w:val="5"/>
          <w:w w:val="110"/>
          <w:sz w:val="18"/>
        </w:rPr>
        <w:t xml:space="preserve"> </w:t>
      </w:r>
      <w:r w:rsidRPr="00283806">
        <w:rPr>
          <w:w w:val="110"/>
          <w:sz w:val="18"/>
        </w:rPr>
        <w:t>also</w:t>
      </w:r>
      <w:r w:rsidRPr="00283806">
        <w:rPr>
          <w:spacing w:val="4"/>
          <w:w w:val="110"/>
          <w:sz w:val="18"/>
        </w:rPr>
        <w:t xml:space="preserve"> </w:t>
      </w:r>
      <w:r w:rsidRPr="00283806">
        <w:rPr>
          <w:spacing w:val="-2"/>
          <w:w w:val="110"/>
          <w:sz w:val="18"/>
        </w:rPr>
        <w:t>received</w:t>
      </w:r>
    </w:p>
    <w:p w14:paraId="535368BE" w14:textId="77777777" w:rsidR="00D67C1E" w:rsidRPr="00283806" w:rsidRDefault="001265CA">
      <w:pPr>
        <w:pStyle w:val="BodyText"/>
        <w:spacing w:line="225" w:lineRule="auto"/>
      </w:pPr>
      <w:r w:rsidRPr="00283806">
        <w:rPr>
          <w:w w:val="105"/>
        </w:rPr>
        <w:t>comments in opposition to lowering the alarm thresholds for ALD systems. One commenter did not support lowering the alarm thresholds below what EPA proposed because lower thresholds</w:t>
      </w:r>
      <w:r w:rsidRPr="00283806">
        <w:rPr>
          <w:spacing w:val="40"/>
          <w:w w:val="105"/>
        </w:rPr>
        <w:t xml:space="preserve"> </w:t>
      </w:r>
      <w:r w:rsidRPr="00283806">
        <w:rPr>
          <w:w w:val="105"/>
        </w:rPr>
        <w:t>could result in more frequent alarms, potentially leading to operational disruptions and false alarms. Another commenter claimed the proposed conditions of use for ALD systems are arbitrary and capricious because they</w:t>
      </w:r>
      <w:r w:rsidRPr="00283806">
        <w:rPr>
          <w:spacing w:val="40"/>
          <w:w w:val="105"/>
        </w:rPr>
        <w:t xml:space="preserve"> </w:t>
      </w:r>
      <w:r w:rsidRPr="00283806">
        <w:rPr>
          <w:w w:val="105"/>
        </w:rPr>
        <w:t>will cause numerous false alarms. The commenter stated the proposed 100</w:t>
      </w:r>
      <w:r w:rsidRPr="00283806">
        <w:rPr>
          <w:spacing w:val="80"/>
          <w:w w:val="105"/>
        </w:rPr>
        <w:t xml:space="preserve"> </w:t>
      </w:r>
      <w:r w:rsidRPr="00283806">
        <w:rPr>
          <w:w w:val="105"/>
        </w:rPr>
        <w:t>ppm alarm rate for direct ALD systems and the 50 pound or 10 percent loss of charge for indirect ALD systems are</w:t>
      </w:r>
      <w:r w:rsidRPr="00283806">
        <w:rPr>
          <w:spacing w:val="40"/>
          <w:w w:val="105"/>
        </w:rPr>
        <w:t xml:space="preserve"> </w:t>
      </w:r>
      <w:r w:rsidRPr="00283806">
        <w:rPr>
          <w:w w:val="105"/>
        </w:rPr>
        <w:t>based on ALD system manufacturer recommendations, and not an actual correlation with leak rates. The commenter asserted that it is unreasonable for EPA to adopt</w:t>
      </w:r>
      <w:r w:rsidRPr="00283806">
        <w:rPr>
          <w:spacing w:val="40"/>
          <w:w w:val="105"/>
        </w:rPr>
        <w:t xml:space="preserve"> </w:t>
      </w:r>
      <w:r w:rsidRPr="00283806">
        <w:rPr>
          <w:w w:val="105"/>
        </w:rPr>
        <w:t>regulatory trigger rates, unless EPA has studied a correlation of the alarm levels with a statistical leak rate or probability of leaks. In the commenter’s members’ experience with ALD systems neither of the alarm thresholds are indicative of leaks. They recommend the Agency not mandate any alarm threshold below 100 ppm and not require mandatory inspection unless alarms recur over a several-day period if the provision is finalized as proposed. One commenter stated the Agency should allow for flexibility requests for unforeseen circumstances. The commenter claimed that EPA would be inundated with nuisance reporting every time an ALD triggers. The commenter suggested that EPA should consider limiting alerts to above a CO</w:t>
      </w:r>
      <w:r w:rsidRPr="00283806">
        <w:rPr>
          <w:rFonts w:ascii="Times New Roman" w:hAnsi="Times New Roman"/>
          <w:w w:val="105"/>
          <w:vertAlign w:val="subscript"/>
        </w:rPr>
        <w:t>2</w:t>
      </w:r>
      <w:r w:rsidRPr="00283806">
        <w:rPr>
          <w:w w:val="105"/>
        </w:rPr>
        <w:t>eq limit if they proceed with the requirement.</w:t>
      </w:r>
    </w:p>
    <w:p w14:paraId="41E61A0A" w14:textId="77777777" w:rsidR="00D67C1E" w:rsidRPr="00283806" w:rsidRDefault="001265CA">
      <w:pPr>
        <w:spacing w:line="171" w:lineRule="exact"/>
        <w:ind w:left="340"/>
        <w:rPr>
          <w:sz w:val="18"/>
        </w:rPr>
      </w:pPr>
      <w:r w:rsidRPr="00283806">
        <w:rPr>
          <w:rFonts w:ascii="Book Antiqua"/>
          <w:i/>
          <w:w w:val="110"/>
          <w:sz w:val="18"/>
        </w:rPr>
        <w:t>Response:</w:t>
      </w:r>
      <w:r w:rsidRPr="00283806">
        <w:rPr>
          <w:rFonts w:ascii="Book Antiqua"/>
          <w:i/>
          <w:spacing w:val="8"/>
          <w:w w:val="110"/>
          <w:sz w:val="18"/>
        </w:rPr>
        <w:t xml:space="preserve"> </w:t>
      </w:r>
      <w:r w:rsidRPr="00283806">
        <w:rPr>
          <w:w w:val="110"/>
          <w:sz w:val="18"/>
        </w:rPr>
        <w:t>The</w:t>
      </w:r>
      <w:r w:rsidRPr="00283806">
        <w:rPr>
          <w:spacing w:val="14"/>
          <w:w w:val="110"/>
          <w:sz w:val="18"/>
        </w:rPr>
        <w:t xml:space="preserve"> </w:t>
      </w:r>
      <w:r w:rsidRPr="00283806">
        <w:rPr>
          <w:w w:val="110"/>
          <w:sz w:val="18"/>
        </w:rPr>
        <w:t>Agency</w:t>
      </w:r>
      <w:r w:rsidRPr="00283806">
        <w:rPr>
          <w:spacing w:val="14"/>
          <w:w w:val="110"/>
          <w:sz w:val="18"/>
        </w:rPr>
        <w:t xml:space="preserve"> </w:t>
      </w:r>
      <w:r w:rsidRPr="00283806">
        <w:rPr>
          <w:w w:val="110"/>
          <w:sz w:val="18"/>
        </w:rPr>
        <w:t>is</w:t>
      </w:r>
      <w:r w:rsidRPr="00283806">
        <w:rPr>
          <w:spacing w:val="14"/>
          <w:w w:val="110"/>
          <w:sz w:val="18"/>
        </w:rPr>
        <w:t xml:space="preserve"> </w:t>
      </w:r>
      <w:r w:rsidRPr="00283806">
        <w:rPr>
          <w:spacing w:val="-2"/>
          <w:w w:val="110"/>
          <w:sz w:val="18"/>
        </w:rPr>
        <w:t>finalizing</w:t>
      </w:r>
    </w:p>
    <w:p w14:paraId="3381C361" w14:textId="77777777" w:rsidR="00D67C1E" w:rsidRPr="00283806" w:rsidRDefault="001265CA">
      <w:pPr>
        <w:pStyle w:val="BodyText"/>
        <w:spacing w:line="228" w:lineRule="auto"/>
        <w:ind w:right="128"/>
      </w:pPr>
      <w:r w:rsidRPr="00283806">
        <w:rPr>
          <w:w w:val="105"/>
        </w:rPr>
        <w:t xml:space="preserve">the </w:t>
      </w:r>
      <w:proofErr w:type="gramStart"/>
      <w:r w:rsidRPr="00283806">
        <w:rPr>
          <w:w w:val="105"/>
        </w:rPr>
        <w:t>100 ppm</w:t>
      </w:r>
      <w:proofErr w:type="gramEnd"/>
      <w:r w:rsidRPr="00283806">
        <w:rPr>
          <w:w w:val="105"/>
        </w:rPr>
        <w:t xml:space="preserve"> alarm threshold as proposed. EPA disagrees with the</w:t>
      </w:r>
    </w:p>
    <w:p w14:paraId="14314099" w14:textId="77777777" w:rsidR="00D67C1E" w:rsidRPr="00283806" w:rsidRDefault="001265CA">
      <w:pPr>
        <w:pStyle w:val="BodyText"/>
        <w:spacing w:before="134" w:line="228" w:lineRule="auto"/>
        <w:ind w:left="144"/>
      </w:pPr>
      <w:r w:rsidRPr="00283806">
        <w:br w:type="column"/>
      </w:r>
      <w:r w:rsidRPr="00283806">
        <w:rPr>
          <w:w w:val="105"/>
        </w:rPr>
        <w:t xml:space="preserve">comments asserting that the alarm criteria are entirely based on manufacturer specifications, will lead to numerous false alarms, and </w:t>
      </w:r>
      <w:proofErr w:type="gramStart"/>
      <w:r w:rsidRPr="00283806">
        <w:rPr>
          <w:w w:val="105"/>
        </w:rPr>
        <w:t>is</w:t>
      </w:r>
      <w:proofErr w:type="gramEnd"/>
      <w:r w:rsidRPr="00283806">
        <w:rPr>
          <w:w w:val="105"/>
        </w:rPr>
        <w:t xml:space="preserve"> unreasonable or arbitrary and</w:t>
      </w:r>
      <w:r w:rsidRPr="00283806">
        <w:rPr>
          <w:spacing w:val="40"/>
          <w:w w:val="105"/>
        </w:rPr>
        <w:t xml:space="preserve"> </w:t>
      </w:r>
      <w:r w:rsidRPr="00283806">
        <w:rPr>
          <w:w w:val="105"/>
        </w:rPr>
        <w:t>capricious.</w:t>
      </w:r>
      <w:r w:rsidRPr="00283806">
        <w:rPr>
          <w:spacing w:val="40"/>
          <w:w w:val="105"/>
        </w:rPr>
        <w:t xml:space="preserve"> </w:t>
      </w:r>
      <w:r w:rsidRPr="00283806">
        <w:rPr>
          <w:w w:val="105"/>
        </w:rPr>
        <w:t>If</w:t>
      </w:r>
      <w:r w:rsidRPr="00283806">
        <w:rPr>
          <w:spacing w:val="40"/>
          <w:w w:val="105"/>
        </w:rPr>
        <w:t xml:space="preserve"> </w:t>
      </w:r>
      <w:r w:rsidRPr="00283806">
        <w:rPr>
          <w:w w:val="105"/>
        </w:rPr>
        <w:t>EPA</w:t>
      </w:r>
      <w:r w:rsidRPr="00283806">
        <w:rPr>
          <w:spacing w:val="40"/>
          <w:w w:val="105"/>
        </w:rPr>
        <w:t xml:space="preserve"> </w:t>
      </w:r>
      <w:r w:rsidRPr="00283806">
        <w:rPr>
          <w:w w:val="105"/>
        </w:rPr>
        <w:t>were</w:t>
      </w:r>
      <w:r w:rsidRPr="00283806">
        <w:rPr>
          <w:spacing w:val="40"/>
          <w:w w:val="105"/>
        </w:rPr>
        <w:t xml:space="preserve"> </w:t>
      </w:r>
      <w:r w:rsidRPr="00283806">
        <w:rPr>
          <w:w w:val="105"/>
        </w:rPr>
        <w:t>to</w:t>
      </w:r>
      <w:r w:rsidRPr="00283806">
        <w:rPr>
          <w:spacing w:val="40"/>
          <w:w w:val="105"/>
        </w:rPr>
        <w:t xml:space="preserve"> </w:t>
      </w:r>
      <w:r w:rsidRPr="00283806">
        <w:rPr>
          <w:w w:val="105"/>
        </w:rPr>
        <w:t>base</w:t>
      </w:r>
      <w:r w:rsidRPr="00283806">
        <w:rPr>
          <w:spacing w:val="40"/>
          <w:w w:val="105"/>
        </w:rPr>
        <w:t xml:space="preserve"> </w:t>
      </w:r>
      <w:r w:rsidRPr="00283806">
        <w:rPr>
          <w:w w:val="105"/>
        </w:rPr>
        <w:t>the alarm criteria of this final rule solely on manufacturer’s specification, the final threshold would be much lower. For example, one ALD manufacturer submitted public comments on the proposed rule requesting that the</w:t>
      </w:r>
      <w:r w:rsidRPr="00283806">
        <w:rPr>
          <w:spacing w:val="80"/>
          <w:w w:val="105"/>
        </w:rPr>
        <w:t xml:space="preserve"> </w:t>
      </w:r>
      <w:r w:rsidRPr="00283806">
        <w:rPr>
          <w:w w:val="105"/>
        </w:rPr>
        <w:t>Agency reduce the alarm threshold</w:t>
      </w:r>
      <w:r w:rsidRPr="00283806">
        <w:rPr>
          <w:spacing w:val="80"/>
          <w:w w:val="105"/>
        </w:rPr>
        <w:t xml:space="preserve"> </w:t>
      </w:r>
      <w:r w:rsidRPr="00283806">
        <w:rPr>
          <w:w w:val="105"/>
        </w:rPr>
        <w:t>based on their sensor specifications</w:t>
      </w:r>
      <w:r w:rsidRPr="00283806">
        <w:rPr>
          <w:spacing w:val="40"/>
          <w:w w:val="105"/>
        </w:rPr>
        <w:t xml:space="preserve"> </w:t>
      </w:r>
      <w:r w:rsidRPr="00283806">
        <w:rPr>
          <w:w w:val="105"/>
        </w:rPr>
        <w:t xml:space="preserve">being capable of detecting refrigerant vapor well below 100 ppm. EPA is finalizing the </w:t>
      </w:r>
      <w:proofErr w:type="gramStart"/>
      <w:r w:rsidRPr="00283806">
        <w:rPr>
          <w:w w:val="105"/>
        </w:rPr>
        <w:t>100 ppm</w:t>
      </w:r>
      <w:proofErr w:type="gramEnd"/>
      <w:r w:rsidRPr="00283806">
        <w:rPr>
          <w:w w:val="105"/>
        </w:rPr>
        <w:t xml:space="preserve"> threshold based on several considerations. For instance, the Agency considered the use of 100 ppm as one of the criteria for a direct</w:t>
      </w:r>
      <w:r w:rsidRPr="00283806">
        <w:rPr>
          <w:spacing w:val="40"/>
          <w:w w:val="105"/>
        </w:rPr>
        <w:t xml:space="preserve"> </w:t>
      </w:r>
      <w:r w:rsidRPr="00283806">
        <w:rPr>
          <w:w w:val="105"/>
        </w:rPr>
        <w:t>ALD system that is used in lieu of quarterly or annual leak inspections under EPA’s regulations under section 608 of the CAA, at 40 CFR</w:t>
      </w:r>
      <w:r w:rsidRPr="00283806">
        <w:rPr>
          <w:spacing w:val="40"/>
          <w:w w:val="105"/>
        </w:rPr>
        <w:t xml:space="preserve"> </w:t>
      </w:r>
      <w:r w:rsidRPr="00283806">
        <w:rPr>
          <w:w w:val="105"/>
        </w:rPr>
        <w:t>82.157(g)(4)(i). The alarm threshold of 100 ppm for ALD systems is also consistent with some States’ refrigerant management programs and</w:t>
      </w:r>
      <w:r w:rsidRPr="00283806">
        <w:rPr>
          <w:spacing w:val="40"/>
          <w:w w:val="105"/>
        </w:rPr>
        <w:t xml:space="preserve"> </w:t>
      </w:r>
      <w:r w:rsidRPr="00283806">
        <w:rPr>
          <w:w w:val="105"/>
        </w:rPr>
        <w:t>consideration of information from ANSI/ASHRAE</w:t>
      </w:r>
      <w:r w:rsidRPr="00283806">
        <w:rPr>
          <w:spacing w:val="35"/>
          <w:w w:val="105"/>
        </w:rPr>
        <w:t xml:space="preserve"> </w:t>
      </w:r>
      <w:r w:rsidRPr="00283806">
        <w:rPr>
          <w:w w:val="105"/>
        </w:rPr>
        <w:t>Standard</w:t>
      </w:r>
      <w:r w:rsidRPr="00283806">
        <w:rPr>
          <w:spacing w:val="35"/>
          <w:w w:val="105"/>
        </w:rPr>
        <w:t xml:space="preserve"> </w:t>
      </w:r>
      <w:r w:rsidRPr="00283806">
        <w:rPr>
          <w:w w:val="105"/>
        </w:rPr>
        <w:t>15–2022</w:t>
      </w:r>
      <w:r w:rsidRPr="00283806">
        <w:rPr>
          <w:spacing w:val="80"/>
          <w:w w:val="105"/>
        </w:rPr>
        <w:t xml:space="preserve"> </w:t>
      </w:r>
      <w:r w:rsidRPr="00283806">
        <w:rPr>
          <w:w w:val="105"/>
        </w:rPr>
        <w:t>Safety Standards for Refrigeration Systems, among other factors. Based on consideration of this information, as</w:t>
      </w:r>
      <w:r w:rsidRPr="00283806">
        <w:rPr>
          <w:spacing w:val="80"/>
          <w:w w:val="150"/>
        </w:rPr>
        <w:t xml:space="preserve"> </w:t>
      </w:r>
      <w:r w:rsidRPr="00283806">
        <w:rPr>
          <w:w w:val="105"/>
        </w:rPr>
        <w:t>well as comments on the proposed rule, EPA concludes that this threshold is technically feasible and should be</w:t>
      </w:r>
      <w:r w:rsidRPr="00283806">
        <w:rPr>
          <w:spacing w:val="40"/>
          <w:w w:val="105"/>
        </w:rPr>
        <w:t xml:space="preserve"> </w:t>
      </w:r>
      <w:r w:rsidRPr="00283806">
        <w:rPr>
          <w:w w:val="105"/>
        </w:rPr>
        <w:t>familiar to some stakeholders from their experience under other regulatory programs, thus facilitating implementation of these requirements. Further, if the alarm threshold is set too high, the system may miss some leaks that should be addressed and thus</w:t>
      </w:r>
      <w:r w:rsidRPr="00283806">
        <w:rPr>
          <w:spacing w:val="80"/>
          <w:w w:val="105"/>
        </w:rPr>
        <w:t xml:space="preserve"> </w:t>
      </w:r>
      <w:r w:rsidRPr="00283806">
        <w:rPr>
          <w:w w:val="105"/>
        </w:rPr>
        <w:t xml:space="preserve">would fail to serve its intended purpose. EPA understands that a </w:t>
      </w:r>
      <w:proofErr w:type="gramStart"/>
      <w:r w:rsidRPr="00283806">
        <w:rPr>
          <w:w w:val="105"/>
        </w:rPr>
        <w:t>100 ppm</w:t>
      </w:r>
      <w:proofErr w:type="gramEnd"/>
      <w:r w:rsidRPr="00283806">
        <w:rPr>
          <w:w w:val="105"/>
        </w:rPr>
        <w:t xml:space="preserve"> threshold will minimize the risk of false alarms. However, to the extent that commenters are concerned about false alarms, under the final rule, they may elect to perform a leak rate calculation</w:t>
      </w:r>
      <w:r w:rsidRPr="00283806">
        <w:rPr>
          <w:spacing w:val="80"/>
          <w:w w:val="150"/>
        </w:rPr>
        <w:t xml:space="preserve"> </w:t>
      </w:r>
      <w:r w:rsidRPr="00283806">
        <w:rPr>
          <w:w w:val="105"/>
        </w:rPr>
        <w:t xml:space="preserve">in response to an alarm, and if that calculation indicates that the equipment is not leaking above the applicable leak rate threshold, no further action will be </w:t>
      </w:r>
      <w:r w:rsidRPr="00283806">
        <w:rPr>
          <w:spacing w:val="-2"/>
          <w:w w:val="105"/>
        </w:rPr>
        <w:t>required.</w:t>
      </w:r>
    </w:p>
    <w:p w14:paraId="4087F7B0" w14:textId="77777777" w:rsidR="00D67C1E" w:rsidRPr="00283806" w:rsidRDefault="001265CA">
      <w:pPr>
        <w:pStyle w:val="BodyText"/>
        <w:spacing w:before="13" w:line="228" w:lineRule="auto"/>
        <w:ind w:left="144" w:firstLine="180"/>
      </w:pPr>
      <w:r w:rsidRPr="00283806">
        <w:rPr>
          <w:w w:val="105"/>
        </w:rPr>
        <w:t xml:space="preserve">The Agency also disagrees with the commenter’s </w:t>
      </w:r>
      <w:proofErr w:type="gramStart"/>
      <w:r w:rsidRPr="00283806">
        <w:rPr>
          <w:w w:val="105"/>
        </w:rPr>
        <w:t>position</w:t>
      </w:r>
      <w:proofErr w:type="gramEnd"/>
      <w:r w:rsidRPr="00283806">
        <w:rPr>
          <w:w w:val="105"/>
        </w:rPr>
        <w:t xml:space="preserve"> that establishing a regulatory trigger rate for the ALD equipment would need to be based on</w:t>
      </w:r>
    </w:p>
    <w:p w14:paraId="3B35E711" w14:textId="77777777" w:rsidR="00D67C1E" w:rsidRPr="00283806" w:rsidRDefault="001265CA">
      <w:pPr>
        <w:pStyle w:val="BodyText"/>
        <w:spacing w:line="228" w:lineRule="auto"/>
        <w:ind w:left="144" w:right="17"/>
      </w:pPr>
      <w:r w:rsidRPr="00283806">
        <w:rPr>
          <w:w w:val="105"/>
        </w:rPr>
        <w:t>a statistical evaluation of leak rates or</w:t>
      </w:r>
      <w:r w:rsidRPr="00283806">
        <w:rPr>
          <w:spacing w:val="40"/>
          <w:w w:val="105"/>
        </w:rPr>
        <w:t xml:space="preserve"> </w:t>
      </w:r>
      <w:r w:rsidRPr="00283806">
        <w:rPr>
          <w:w w:val="105"/>
        </w:rPr>
        <w:t>the probability of leaks. The Agency clarifies that the ALD requirements</w:t>
      </w:r>
      <w:r w:rsidRPr="00283806">
        <w:rPr>
          <w:spacing w:val="80"/>
          <w:w w:val="105"/>
        </w:rPr>
        <w:t xml:space="preserve"> </w:t>
      </w:r>
      <w:r w:rsidRPr="00283806">
        <w:rPr>
          <w:w w:val="105"/>
        </w:rPr>
        <w:t>serve the purpose of detecting leaks within a refrigerant-containing</w:t>
      </w:r>
      <w:r w:rsidRPr="00283806">
        <w:rPr>
          <w:spacing w:val="80"/>
          <w:w w:val="105"/>
        </w:rPr>
        <w:t xml:space="preserve"> </w:t>
      </w:r>
      <w:r w:rsidRPr="00283806">
        <w:rPr>
          <w:w w:val="105"/>
        </w:rPr>
        <w:t>appliance earlier but are not intended to substitute for the calculation or evaluation of a refrigerant-containing appliance’s leak rate. The alarm criteria</w:t>
      </w:r>
    </w:p>
    <w:p w14:paraId="1DEE3FA2" w14:textId="77777777" w:rsidR="00D67C1E" w:rsidRPr="00283806" w:rsidRDefault="001265CA">
      <w:pPr>
        <w:pStyle w:val="BodyText"/>
        <w:spacing w:before="133" w:line="228" w:lineRule="auto"/>
        <w:ind w:left="155" w:right="171"/>
      </w:pPr>
      <w:r w:rsidRPr="00283806">
        <w:br w:type="column"/>
      </w:r>
      <w:r w:rsidRPr="00283806">
        <w:rPr>
          <w:w w:val="105"/>
        </w:rPr>
        <w:t>for direct ALD systems are a</w:t>
      </w:r>
      <w:r w:rsidRPr="00283806">
        <w:rPr>
          <w:spacing w:val="40"/>
          <w:w w:val="105"/>
        </w:rPr>
        <w:t xml:space="preserve"> </w:t>
      </w:r>
      <w:r w:rsidRPr="00283806">
        <w:rPr>
          <w:w w:val="105"/>
        </w:rPr>
        <w:t>specification for such systems to alert owners or operators to a potential leak and are not used to determine a refrigerant-containing appliance’s leak rate or the actual severity of a leak, only the</w:t>
      </w:r>
      <w:r w:rsidRPr="00283806">
        <w:rPr>
          <w:spacing w:val="38"/>
          <w:w w:val="105"/>
        </w:rPr>
        <w:t xml:space="preserve"> </w:t>
      </w:r>
      <w:r w:rsidRPr="00283806">
        <w:rPr>
          <w:w w:val="105"/>
        </w:rPr>
        <w:t>presence</w:t>
      </w:r>
      <w:r w:rsidRPr="00283806">
        <w:rPr>
          <w:spacing w:val="38"/>
          <w:w w:val="105"/>
        </w:rPr>
        <w:t xml:space="preserve"> </w:t>
      </w:r>
      <w:r w:rsidRPr="00283806">
        <w:rPr>
          <w:w w:val="105"/>
        </w:rPr>
        <w:t>of</w:t>
      </w:r>
      <w:r w:rsidRPr="00283806">
        <w:rPr>
          <w:spacing w:val="38"/>
          <w:w w:val="105"/>
        </w:rPr>
        <w:t xml:space="preserve"> </w:t>
      </w:r>
      <w:r w:rsidRPr="00283806">
        <w:rPr>
          <w:w w:val="105"/>
        </w:rPr>
        <w:t>a</w:t>
      </w:r>
      <w:r w:rsidRPr="00283806">
        <w:rPr>
          <w:spacing w:val="38"/>
          <w:w w:val="105"/>
        </w:rPr>
        <w:t xml:space="preserve"> </w:t>
      </w:r>
      <w:r w:rsidRPr="00283806">
        <w:rPr>
          <w:w w:val="105"/>
        </w:rPr>
        <w:t>leak.</w:t>
      </w:r>
      <w:r w:rsidRPr="00283806">
        <w:rPr>
          <w:spacing w:val="38"/>
          <w:w w:val="105"/>
        </w:rPr>
        <w:t xml:space="preserve"> </w:t>
      </w:r>
      <w:r w:rsidRPr="00283806">
        <w:rPr>
          <w:w w:val="105"/>
        </w:rPr>
        <w:t>EPA</w:t>
      </w:r>
      <w:r w:rsidRPr="00283806">
        <w:rPr>
          <w:spacing w:val="38"/>
          <w:w w:val="105"/>
        </w:rPr>
        <w:t xml:space="preserve"> </w:t>
      </w:r>
      <w:r w:rsidRPr="00283806">
        <w:rPr>
          <w:w w:val="105"/>
        </w:rPr>
        <w:t>finds</w:t>
      </w:r>
      <w:r w:rsidRPr="00283806">
        <w:rPr>
          <w:spacing w:val="38"/>
          <w:w w:val="105"/>
        </w:rPr>
        <w:t xml:space="preserve"> </w:t>
      </w:r>
      <w:r w:rsidRPr="00283806">
        <w:rPr>
          <w:w w:val="105"/>
        </w:rPr>
        <w:t xml:space="preserve">the </w:t>
      </w:r>
      <w:proofErr w:type="gramStart"/>
      <w:r w:rsidRPr="00283806">
        <w:rPr>
          <w:w w:val="105"/>
        </w:rPr>
        <w:t>100</w:t>
      </w:r>
      <w:r w:rsidRPr="00283806">
        <w:rPr>
          <w:spacing w:val="-1"/>
          <w:w w:val="105"/>
        </w:rPr>
        <w:t xml:space="preserve"> </w:t>
      </w:r>
      <w:r w:rsidRPr="00283806">
        <w:rPr>
          <w:w w:val="105"/>
        </w:rPr>
        <w:t>ppm</w:t>
      </w:r>
      <w:proofErr w:type="gramEnd"/>
      <w:r w:rsidRPr="00283806">
        <w:rPr>
          <w:spacing w:val="-1"/>
          <w:w w:val="105"/>
        </w:rPr>
        <w:t xml:space="preserve"> </w:t>
      </w:r>
      <w:r w:rsidRPr="00283806">
        <w:rPr>
          <w:w w:val="105"/>
        </w:rPr>
        <w:t>alarm</w:t>
      </w:r>
      <w:r w:rsidRPr="00283806">
        <w:rPr>
          <w:spacing w:val="-1"/>
          <w:w w:val="105"/>
        </w:rPr>
        <w:t xml:space="preserve"> </w:t>
      </w:r>
      <w:r w:rsidRPr="00283806">
        <w:rPr>
          <w:w w:val="105"/>
        </w:rPr>
        <w:t>threshold</w:t>
      </w:r>
      <w:r w:rsidRPr="00283806">
        <w:rPr>
          <w:spacing w:val="-1"/>
          <w:w w:val="105"/>
        </w:rPr>
        <w:t xml:space="preserve"> </w:t>
      </w:r>
      <w:r w:rsidRPr="00283806">
        <w:rPr>
          <w:w w:val="105"/>
        </w:rPr>
        <w:t>appropriate</w:t>
      </w:r>
      <w:r w:rsidRPr="00283806">
        <w:rPr>
          <w:spacing w:val="-1"/>
          <w:w w:val="105"/>
        </w:rPr>
        <w:t xml:space="preserve"> </w:t>
      </w:r>
      <w:r w:rsidRPr="00283806">
        <w:rPr>
          <w:w w:val="105"/>
        </w:rPr>
        <w:t>to serve the purpose of alerting the owner or operator of a leak that may</w:t>
      </w:r>
      <w:r w:rsidRPr="00283806">
        <w:rPr>
          <w:spacing w:val="80"/>
          <w:w w:val="105"/>
        </w:rPr>
        <w:t xml:space="preserve"> </w:t>
      </w:r>
      <w:r w:rsidRPr="00283806">
        <w:rPr>
          <w:w w:val="105"/>
        </w:rPr>
        <w:t>potentially cause a refrigerant- containing appliance to leak above the applicable leak rate threshold. The Agency has provided information in section IV.C.3.a on the leak rate calculation methodologies and when</w:t>
      </w:r>
      <w:r w:rsidRPr="00283806">
        <w:rPr>
          <w:spacing w:val="40"/>
          <w:w w:val="105"/>
        </w:rPr>
        <w:t xml:space="preserve"> </w:t>
      </w:r>
      <w:r w:rsidRPr="00283806">
        <w:rPr>
          <w:w w:val="105"/>
        </w:rPr>
        <w:t>leak rate calculations must be</w:t>
      </w:r>
      <w:r w:rsidRPr="00283806">
        <w:rPr>
          <w:spacing w:val="40"/>
          <w:w w:val="105"/>
        </w:rPr>
        <w:t xml:space="preserve"> </w:t>
      </w:r>
      <w:r w:rsidRPr="00283806">
        <w:rPr>
          <w:w w:val="105"/>
        </w:rPr>
        <w:t>completed. As noted previously, requiring use of ALD systems is consistent with the authority under in subsection (h)(1) to promulgate regulations to control, where appropriate, any practice, process, or activity regarding servicing, repair, or installation of such appliances, which involves a regulated substance or substitute for a regulated substance.</w:t>
      </w:r>
    </w:p>
    <w:p w14:paraId="580BF621" w14:textId="77777777" w:rsidR="00D67C1E" w:rsidRPr="00283806" w:rsidRDefault="001265CA">
      <w:pPr>
        <w:pStyle w:val="BodyText"/>
        <w:spacing w:line="184" w:lineRule="exact"/>
        <w:ind w:left="155"/>
      </w:pPr>
      <w:r w:rsidRPr="00283806">
        <w:rPr>
          <w:w w:val="105"/>
        </w:rPr>
        <w:t>When</w:t>
      </w:r>
      <w:r w:rsidRPr="00283806">
        <w:rPr>
          <w:spacing w:val="15"/>
          <w:w w:val="105"/>
        </w:rPr>
        <w:t xml:space="preserve"> </w:t>
      </w:r>
      <w:r w:rsidRPr="00283806">
        <w:rPr>
          <w:w w:val="105"/>
        </w:rPr>
        <w:t>an</w:t>
      </w:r>
      <w:r w:rsidRPr="00283806">
        <w:rPr>
          <w:spacing w:val="16"/>
          <w:w w:val="105"/>
        </w:rPr>
        <w:t xml:space="preserve"> </w:t>
      </w:r>
      <w:r w:rsidRPr="00283806">
        <w:rPr>
          <w:w w:val="105"/>
        </w:rPr>
        <w:t>ALD</w:t>
      </w:r>
      <w:r w:rsidRPr="00283806">
        <w:rPr>
          <w:spacing w:val="15"/>
          <w:w w:val="105"/>
        </w:rPr>
        <w:t xml:space="preserve"> </w:t>
      </w:r>
      <w:r w:rsidRPr="00283806">
        <w:rPr>
          <w:w w:val="105"/>
        </w:rPr>
        <w:t>system</w:t>
      </w:r>
      <w:r w:rsidRPr="00283806">
        <w:rPr>
          <w:spacing w:val="16"/>
          <w:w w:val="105"/>
        </w:rPr>
        <w:t xml:space="preserve"> </w:t>
      </w:r>
      <w:r w:rsidRPr="00283806">
        <w:rPr>
          <w:w w:val="105"/>
        </w:rPr>
        <w:t>provides</w:t>
      </w:r>
      <w:r w:rsidRPr="00283806">
        <w:rPr>
          <w:spacing w:val="15"/>
          <w:w w:val="105"/>
        </w:rPr>
        <w:t xml:space="preserve"> </w:t>
      </w:r>
      <w:r w:rsidRPr="00283806">
        <w:rPr>
          <w:w w:val="105"/>
        </w:rPr>
        <w:t>an</w:t>
      </w:r>
      <w:r w:rsidRPr="00283806">
        <w:rPr>
          <w:spacing w:val="16"/>
          <w:w w:val="105"/>
        </w:rPr>
        <w:t xml:space="preserve"> </w:t>
      </w:r>
      <w:r w:rsidRPr="00283806">
        <w:rPr>
          <w:spacing w:val="-2"/>
          <w:w w:val="105"/>
        </w:rPr>
        <w:t>alarm</w:t>
      </w:r>
    </w:p>
    <w:p w14:paraId="5DEE2661" w14:textId="77777777" w:rsidR="00D67C1E" w:rsidRPr="00283806" w:rsidRDefault="001265CA">
      <w:pPr>
        <w:pStyle w:val="BodyText"/>
        <w:spacing w:before="3" w:line="228" w:lineRule="auto"/>
        <w:ind w:left="155" w:right="141"/>
      </w:pPr>
      <w:r w:rsidRPr="00283806">
        <w:rPr>
          <w:w w:val="105"/>
        </w:rPr>
        <w:t>in a refrigerant-containing appliance covered by this provision, the owner/ operator must perform practices, processes,</w:t>
      </w:r>
      <w:r w:rsidRPr="00283806">
        <w:rPr>
          <w:spacing w:val="-2"/>
          <w:w w:val="105"/>
        </w:rPr>
        <w:t xml:space="preserve"> </w:t>
      </w:r>
      <w:r w:rsidRPr="00283806">
        <w:rPr>
          <w:w w:val="105"/>
        </w:rPr>
        <w:t>and/or</w:t>
      </w:r>
      <w:r w:rsidRPr="00283806">
        <w:rPr>
          <w:spacing w:val="-2"/>
          <w:w w:val="105"/>
        </w:rPr>
        <w:t xml:space="preserve"> </w:t>
      </w:r>
      <w:r w:rsidRPr="00283806">
        <w:rPr>
          <w:w w:val="105"/>
        </w:rPr>
        <w:t>activities</w:t>
      </w:r>
      <w:r w:rsidRPr="00283806">
        <w:rPr>
          <w:spacing w:val="-2"/>
          <w:w w:val="105"/>
        </w:rPr>
        <w:t xml:space="preserve"> </w:t>
      </w:r>
      <w:r w:rsidRPr="00283806">
        <w:rPr>
          <w:w w:val="105"/>
        </w:rPr>
        <w:t>to</w:t>
      </w:r>
      <w:r w:rsidRPr="00283806">
        <w:rPr>
          <w:spacing w:val="-2"/>
          <w:w w:val="105"/>
        </w:rPr>
        <w:t xml:space="preserve"> </w:t>
      </w:r>
      <w:r w:rsidRPr="00283806">
        <w:rPr>
          <w:w w:val="105"/>
        </w:rPr>
        <w:t>determine whether the equipment is leaking above the applicable leak-rate threshold and whether service or repair of the refrigerant-containing appliance is needed. The ALD requirements help to minimize releases of regulated substances from equipment and maximize the amounts of refrigerants remaining in equipment for eventual recovery and reclamation.</w:t>
      </w:r>
    </w:p>
    <w:p w14:paraId="144341A4" w14:textId="77777777" w:rsidR="00D67C1E" w:rsidRPr="00283806" w:rsidRDefault="001265CA">
      <w:pPr>
        <w:pStyle w:val="BodyText"/>
        <w:spacing w:before="33" w:line="228" w:lineRule="auto"/>
        <w:ind w:left="155" w:right="152" w:firstLine="180"/>
      </w:pPr>
      <w:r w:rsidRPr="00283806">
        <w:rPr>
          <w:w w:val="105"/>
        </w:rPr>
        <w:t>EPA disagrees with the commenter’s experience that the final rule’s alarm thresholds are not indicative of leaks</w:t>
      </w:r>
      <w:r w:rsidRPr="00283806">
        <w:rPr>
          <w:spacing w:val="80"/>
          <w:w w:val="105"/>
        </w:rPr>
        <w:t xml:space="preserve"> </w:t>
      </w:r>
      <w:r w:rsidRPr="00283806">
        <w:rPr>
          <w:w w:val="105"/>
        </w:rPr>
        <w:t>and disagrees that ALD system alarms should not be addressed until alarms recur over a period of several days. The final rule allots 30 days (120 in the</w:t>
      </w:r>
      <w:r w:rsidRPr="00283806">
        <w:rPr>
          <w:spacing w:val="80"/>
          <w:w w:val="105"/>
        </w:rPr>
        <w:t xml:space="preserve"> </w:t>
      </w:r>
      <w:r w:rsidRPr="00283806">
        <w:rPr>
          <w:w w:val="105"/>
        </w:rPr>
        <w:t>event of an industrial process</w:t>
      </w:r>
      <w:r w:rsidRPr="00283806">
        <w:rPr>
          <w:spacing w:val="80"/>
          <w:w w:val="105"/>
        </w:rPr>
        <w:t xml:space="preserve"> </w:t>
      </w:r>
      <w:r w:rsidRPr="00283806">
        <w:rPr>
          <w:w w:val="105"/>
        </w:rPr>
        <w:t>shutdown) to calculate the leak rate or attempt to preemptively repair a refrigerant-containing appliance. The leak repair provisions of this final rule apply once the owner or operator has determined the leak rate has exceeded the applicable leak rate threshold. EPA clarifies that the 30-day timeframe for calculating the leak rate begins once the owner</w:t>
      </w:r>
      <w:r w:rsidRPr="00283806">
        <w:rPr>
          <w:spacing w:val="-2"/>
          <w:w w:val="105"/>
        </w:rPr>
        <w:t xml:space="preserve"> </w:t>
      </w:r>
      <w:r w:rsidRPr="00283806">
        <w:rPr>
          <w:w w:val="105"/>
        </w:rPr>
        <w:t>or</w:t>
      </w:r>
      <w:r w:rsidRPr="00283806">
        <w:rPr>
          <w:spacing w:val="-2"/>
          <w:w w:val="105"/>
        </w:rPr>
        <w:t xml:space="preserve"> </w:t>
      </w:r>
      <w:r w:rsidRPr="00283806">
        <w:rPr>
          <w:w w:val="105"/>
        </w:rPr>
        <w:t>operator</w:t>
      </w:r>
      <w:r w:rsidRPr="00283806">
        <w:rPr>
          <w:spacing w:val="-2"/>
          <w:w w:val="105"/>
        </w:rPr>
        <w:t xml:space="preserve"> </w:t>
      </w:r>
      <w:r w:rsidRPr="00283806">
        <w:rPr>
          <w:w w:val="105"/>
        </w:rPr>
        <w:t>has</w:t>
      </w:r>
      <w:r w:rsidRPr="00283806">
        <w:rPr>
          <w:spacing w:val="-2"/>
          <w:w w:val="105"/>
        </w:rPr>
        <w:t xml:space="preserve"> </w:t>
      </w:r>
      <w:r w:rsidRPr="00283806">
        <w:rPr>
          <w:w w:val="105"/>
        </w:rPr>
        <w:t>received</w:t>
      </w:r>
      <w:r w:rsidRPr="00283806">
        <w:rPr>
          <w:spacing w:val="-2"/>
          <w:w w:val="105"/>
        </w:rPr>
        <w:t xml:space="preserve"> </w:t>
      </w:r>
      <w:r w:rsidRPr="00283806">
        <w:rPr>
          <w:w w:val="105"/>
        </w:rPr>
        <w:t>an</w:t>
      </w:r>
      <w:r w:rsidRPr="00283806">
        <w:rPr>
          <w:spacing w:val="-2"/>
          <w:w w:val="105"/>
        </w:rPr>
        <w:t xml:space="preserve"> </w:t>
      </w:r>
      <w:r w:rsidRPr="00283806">
        <w:rPr>
          <w:w w:val="105"/>
        </w:rPr>
        <w:t>alarm from their ALD system. This should provide ample time for an owner or operator to address an alert from an</w:t>
      </w:r>
      <w:r w:rsidRPr="00283806">
        <w:rPr>
          <w:spacing w:val="80"/>
          <w:w w:val="105"/>
        </w:rPr>
        <w:t xml:space="preserve"> </w:t>
      </w:r>
      <w:r w:rsidRPr="00283806">
        <w:rPr>
          <w:w w:val="105"/>
        </w:rPr>
        <w:t>ALD</w:t>
      </w:r>
      <w:r w:rsidRPr="00283806">
        <w:rPr>
          <w:spacing w:val="40"/>
          <w:w w:val="105"/>
        </w:rPr>
        <w:t xml:space="preserve"> </w:t>
      </w:r>
      <w:r w:rsidRPr="00283806">
        <w:rPr>
          <w:w w:val="105"/>
        </w:rPr>
        <w:t>system.</w:t>
      </w:r>
      <w:r w:rsidRPr="00283806">
        <w:rPr>
          <w:spacing w:val="40"/>
          <w:w w:val="105"/>
        </w:rPr>
        <w:t xml:space="preserve"> </w:t>
      </w:r>
      <w:r w:rsidRPr="00283806">
        <w:rPr>
          <w:w w:val="105"/>
        </w:rPr>
        <w:t>The</w:t>
      </w:r>
      <w:r w:rsidRPr="00283806">
        <w:rPr>
          <w:spacing w:val="40"/>
          <w:w w:val="105"/>
        </w:rPr>
        <w:t xml:space="preserve"> </w:t>
      </w:r>
      <w:r w:rsidRPr="00283806">
        <w:rPr>
          <w:w w:val="105"/>
        </w:rPr>
        <w:t>Agency</w:t>
      </w:r>
      <w:r w:rsidRPr="00283806">
        <w:rPr>
          <w:spacing w:val="40"/>
          <w:w w:val="105"/>
        </w:rPr>
        <w:t xml:space="preserve"> </w:t>
      </w:r>
      <w:r w:rsidRPr="00283806">
        <w:rPr>
          <w:w w:val="105"/>
        </w:rPr>
        <w:t>is</w:t>
      </w:r>
      <w:r w:rsidRPr="00283806">
        <w:rPr>
          <w:spacing w:val="40"/>
          <w:w w:val="105"/>
        </w:rPr>
        <w:t xml:space="preserve"> </w:t>
      </w:r>
      <w:r w:rsidRPr="00283806">
        <w:rPr>
          <w:w w:val="105"/>
        </w:rPr>
        <w:t>not claiming that false alarms will never happen; however, as previously mentioned the alarm threshold for ALD systems</w:t>
      </w:r>
      <w:r w:rsidRPr="00283806">
        <w:rPr>
          <w:spacing w:val="3"/>
          <w:w w:val="105"/>
        </w:rPr>
        <w:t xml:space="preserve"> </w:t>
      </w:r>
      <w:r w:rsidRPr="00283806">
        <w:rPr>
          <w:w w:val="105"/>
        </w:rPr>
        <w:t>has</w:t>
      </w:r>
      <w:r w:rsidRPr="00283806">
        <w:rPr>
          <w:spacing w:val="3"/>
          <w:w w:val="105"/>
        </w:rPr>
        <w:t xml:space="preserve"> </w:t>
      </w:r>
      <w:r w:rsidRPr="00283806">
        <w:rPr>
          <w:w w:val="105"/>
        </w:rPr>
        <w:t>been</w:t>
      </w:r>
      <w:r w:rsidRPr="00283806">
        <w:rPr>
          <w:spacing w:val="3"/>
          <w:w w:val="105"/>
        </w:rPr>
        <w:t xml:space="preserve"> </w:t>
      </w:r>
      <w:r w:rsidRPr="00283806">
        <w:rPr>
          <w:w w:val="105"/>
        </w:rPr>
        <w:t>set</w:t>
      </w:r>
      <w:r w:rsidRPr="00283806">
        <w:rPr>
          <w:spacing w:val="4"/>
          <w:w w:val="105"/>
        </w:rPr>
        <w:t xml:space="preserve"> </w:t>
      </w:r>
      <w:r w:rsidRPr="00283806">
        <w:rPr>
          <w:w w:val="105"/>
        </w:rPr>
        <w:t>to</w:t>
      </w:r>
      <w:r w:rsidRPr="00283806">
        <w:rPr>
          <w:spacing w:val="3"/>
          <w:w w:val="105"/>
        </w:rPr>
        <w:t xml:space="preserve"> </w:t>
      </w:r>
      <w:r w:rsidRPr="00283806">
        <w:rPr>
          <w:w w:val="105"/>
        </w:rPr>
        <w:t>mitigate</w:t>
      </w:r>
      <w:r w:rsidRPr="00283806">
        <w:rPr>
          <w:spacing w:val="3"/>
          <w:w w:val="105"/>
        </w:rPr>
        <w:t xml:space="preserve"> </w:t>
      </w:r>
      <w:r w:rsidRPr="00283806">
        <w:rPr>
          <w:w w:val="105"/>
        </w:rPr>
        <w:t>the</w:t>
      </w:r>
      <w:r w:rsidRPr="00283806">
        <w:rPr>
          <w:spacing w:val="3"/>
          <w:w w:val="105"/>
        </w:rPr>
        <w:t xml:space="preserve"> </w:t>
      </w:r>
      <w:r w:rsidRPr="00283806">
        <w:rPr>
          <w:spacing w:val="-4"/>
          <w:w w:val="105"/>
        </w:rPr>
        <w:t>risk</w:t>
      </w:r>
    </w:p>
    <w:p w14:paraId="7339E15B"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6" w:space="40"/>
            <w:col w:w="3490" w:space="39"/>
            <w:col w:w="3635"/>
          </w:cols>
        </w:sectPr>
      </w:pPr>
    </w:p>
    <w:p w14:paraId="0E87436B" w14:textId="77777777" w:rsidR="00D67C1E" w:rsidRPr="00283806" w:rsidRDefault="001265CA">
      <w:pPr>
        <w:pStyle w:val="BodyText"/>
        <w:spacing w:before="136" w:line="225" w:lineRule="auto"/>
      </w:pPr>
      <w:r w:rsidRPr="00283806">
        <w:rPr>
          <w:w w:val="105"/>
        </w:rPr>
        <w:lastRenderedPageBreak/>
        <w:t>of false alarms and operational disruptions. If an owner or operator is continually having issues with false alarms from their ALD system, they may consider performing additional calibration or audits to ensure the ALD system is functioning properly.</w:t>
      </w:r>
    </w:p>
    <w:p w14:paraId="76320DF3" w14:textId="77777777" w:rsidR="00D67C1E" w:rsidRPr="00283806" w:rsidRDefault="001265CA">
      <w:pPr>
        <w:pStyle w:val="BodyText"/>
        <w:spacing w:line="178" w:lineRule="exact"/>
        <w:ind w:left="340"/>
      </w:pPr>
      <w:r w:rsidRPr="00283806">
        <w:rPr>
          <w:w w:val="105"/>
        </w:rPr>
        <w:t>For</w:t>
      </w:r>
      <w:r w:rsidRPr="00283806">
        <w:rPr>
          <w:spacing w:val="16"/>
          <w:w w:val="105"/>
        </w:rPr>
        <w:t xml:space="preserve"> </w:t>
      </w:r>
      <w:r w:rsidRPr="00283806">
        <w:rPr>
          <w:w w:val="105"/>
        </w:rPr>
        <w:t>similar</w:t>
      </w:r>
      <w:r w:rsidRPr="00283806">
        <w:rPr>
          <w:spacing w:val="16"/>
          <w:w w:val="105"/>
        </w:rPr>
        <w:t xml:space="preserve"> </w:t>
      </w:r>
      <w:r w:rsidRPr="00283806">
        <w:rPr>
          <w:w w:val="105"/>
        </w:rPr>
        <w:t>reasons,</w:t>
      </w:r>
      <w:r w:rsidRPr="00283806">
        <w:rPr>
          <w:spacing w:val="16"/>
          <w:w w:val="105"/>
        </w:rPr>
        <w:t xml:space="preserve"> </w:t>
      </w:r>
      <w:r w:rsidRPr="00283806">
        <w:rPr>
          <w:w w:val="105"/>
        </w:rPr>
        <w:t>EPA</w:t>
      </w:r>
      <w:r w:rsidRPr="00283806">
        <w:rPr>
          <w:spacing w:val="16"/>
          <w:w w:val="105"/>
        </w:rPr>
        <w:t xml:space="preserve"> </w:t>
      </w:r>
      <w:r w:rsidRPr="00283806">
        <w:rPr>
          <w:spacing w:val="-2"/>
          <w:w w:val="105"/>
        </w:rPr>
        <w:t>disagrees</w:t>
      </w:r>
    </w:p>
    <w:p w14:paraId="794E1850" w14:textId="77777777" w:rsidR="00D67C1E" w:rsidRPr="00283806" w:rsidRDefault="001265CA">
      <w:pPr>
        <w:pStyle w:val="BodyText"/>
        <w:spacing w:before="4" w:line="225" w:lineRule="auto"/>
      </w:pPr>
      <w:r w:rsidRPr="00283806">
        <w:rPr>
          <w:w w:val="105"/>
        </w:rPr>
        <w:t>with a separate commenter asserting</w:t>
      </w:r>
      <w:r w:rsidRPr="00283806">
        <w:rPr>
          <w:spacing w:val="40"/>
          <w:w w:val="105"/>
        </w:rPr>
        <w:t xml:space="preserve"> </w:t>
      </w:r>
      <w:r w:rsidRPr="00283806">
        <w:rPr>
          <w:w w:val="105"/>
        </w:rPr>
        <w:t>that more time or flexibility would be needed to address ALD system alerts</w:t>
      </w:r>
      <w:r w:rsidRPr="00283806">
        <w:rPr>
          <w:spacing w:val="80"/>
          <w:w w:val="150"/>
        </w:rPr>
        <w:t xml:space="preserve"> </w:t>
      </w:r>
      <w:r w:rsidRPr="00283806">
        <w:rPr>
          <w:w w:val="105"/>
        </w:rPr>
        <w:t>due to unforeseen circumstances. The commenter incorrectly stated that the owners or operators would need to report alarms from ALD systems to the Agency. EPA clarifies that owners or operators</w:t>
      </w:r>
      <w:r w:rsidRPr="00283806">
        <w:rPr>
          <w:spacing w:val="-4"/>
          <w:w w:val="105"/>
        </w:rPr>
        <w:t xml:space="preserve"> </w:t>
      </w:r>
      <w:r w:rsidRPr="00283806">
        <w:rPr>
          <w:w w:val="105"/>
        </w:rPr>
        <w:t>are</w:t>
      </w:r>
      <w:r w:rsidRPr="00283806">
        <w:rPr>
          <w:spacing w:val="-4"/>
          <w:w w:val="105"/>
        </w:rPr>
        <w:t xml:space="preserve"> </w:t>
      </w:r>
      <w:r w:rsidRPr="00283806">
        <w:rPr>
          <w:w w:val="105"/>
        </w:rPr>
        <w:t>required</w:t>
      </w:r>
      <w:r w:rsidRPr="00283806">
        <w:rPr>
          <w:spacing w:val="-4"/>
          <w:w w:val="105"/>
        </w:rPr>
        <w:t xml:space="preserve"> </w:t>
      </w:r>
      <w:r w:rsidRPr="00283806">
        <w:rPr>
          <w:w w:val="105"/>
        </w:rPr>
        <w:t>to</w:t>
      </w:r>
      <w:r w:rsidRPr="00283806">
        <w:rPr>
          <w:spacing w:val="-4"/>
          <w:w w:val="105"/>
        </w:rPr>
        <w:t xml:space="preserve"> </w:t>
      </w:r>
      <w:r w:rsidRPr="00283806">
        <w:rPr>
          <w:w w:val="105"/>
        </w:rPr>
        <w:t>keep</w:t>
      </w:r>
      <w:r w:rsidRPr="00283806">
        <w:rPr>
          <w:spacing w:val="-4"/>
          <w:w w:val="105"/>
        </w:rPr>
        <w:t xml:space="preserve"> </w:t>
      </w:r>
      <w:r w:rsidRPr="00283806">
        <w:rPr>
          <w:w w:val="105"/>
        </w:rPr>
        <w:t>records</w:t>
      </w:r>
      <w:r w:rsidRPr="00283806">
        <w:rPr>
          <w:spacing w:val="-4"/>
          <w:w w:val="105"/>
        </w:rPr>
        <w:t xml:space="preserve"> </w:t>
      </w:r>
      <w:r w:rsidRPr="00283806">
        <w:rPr>
          <w:w w:val="105"/>
        </w:rPr>
        <w:t>of each date that an ALD alarm is triggered (see 40 CFR 84.108(i)) and are not required to report each ALD system alert to EPA. Additionally, the Agency</w:t>
      </w:r>
      <w:r w:rsidRPr="00283806">
        <w:rPr>
          <w:spacing w:val="40"/>
          <w:w w:val="105"/>
        </w:rPr>
        <w:t xml:space="preserve"> </w:t>
      </w:r>
      <w:r w:rsidRPr="00283806">
        <w:rPr>
          <w:w w:val="105"/>
        </w:rPr>
        <w:t xml:space="preserve">disagrees with the commenter’s suggestion to base the alarm criteria on the exceedance of </w:t>
      </w:r>
      <w:proofErr w:type="gramStart"/>
      <w:r w:rsidRPr="00283806">
        <w:rPr>
          <w:w w:val="105"/>
        </w:rPr>
        <w:t>a CO</w:t>
      </w:r>
      <w:r w:rsidRPr="00283806">
        <w:rPr>
          <w:rFonts w:ascii="Times New Roman" w:hAnsi="Times New Roman"/>
          <w:w w:val="105"/>
          <w:vertAlign w:val="subscript"/>
        </w:rPr>
        <w:t>2</w:t>
      </w:r>
      <w:r w:rsidRPr="00283806">
        <w:rPr>
          <w:w w:val="105"/>
        </w:rPr>
        <w:t>eq</w:t>
      </w:r>
      <w:proofErr w:type="gramEnd"/>
      <w:r w:rsidRPr="00283806">
        <w:rPr>
          <w:w w:val="105"/>
        </w:rPr>
        <w:t xml:space="preserve"> thresholds.</w:t>
      </w:r>
    </w:p>
    <w:p w14:paraId="4407AAC6" w14:textId="77777777" w:rsidR="00D67C1E" w:rsidRPr="00283806" w:rsidRDefault="001265CA">
      <w:pPr>
        <w:pStyle w:val="BodyText"/>
        <w:spacing w:line="225" w:lineRule="auto"/>
        <w:ind w:left="159"/>
      </w:pPr>
      <w:r w:rsidRPr="00283806">
        <w:rPr>
          <w:w w:val="105"/>
        </w:rPr>
        <w:t>As previously stated, EPA is finalizing</w:t>
      </w:r>
      <w:r w:rsidRPr="00283806">
        <w:rPr>
          <w:spacing w:val="80"/>
          <w:w w:val="150"/>
        </w:rPr>
        <w:t xml:space="preserve"> </w:t>
      </w:r>
      <w:r w:rsidRPr="00283806">
        <w:rPr>
          <w:w w:val="105"/>
        </w:rPr>
        <w:t>the alarm criteria for ALD systems to</w:t>
      </w:r>
      <w:r w:rsidRPr="00283806">
        <w:rPr>
          <w:spacing w:val="40"/>
          <w:w w:val="105"/>
        </w:rPr>
        <w:t xml:space="preserve"> </w:t>
      </w:r>
      <w:r w:rsidRPr="00283806">
        <w:rPr>
          <w:w w:val="105"/>
        </w:rPr>
        <w:t>help detect leaks early, so that if there</w:t>
      </w:r>
      <w:r w:rsidRPr="00283806">
        <w:rPr>
          <w:spacing w:val="40"/>
          <w:w w:val="105"/>
        </w:rPr>
        <w:t xml:space="preserve"> </w:t>
      </w:r>
      <w:r w:rsidRPr="00283806">
        <w:rPr>
          <w:w w:val="105"/>
        </w:rPr>
        <w:t>are leaks that exceed the leak rate threshold, they can be addressed in a timely</w:t>
      </w:r>
      <w:r w:rsidRPr="00283806">
        <w:rPr>
          <w:spacing w:val="40"/>
          <w:w w:val="105"/>
        </w:rPr>
        <w:t xml:space="preserve"> </w:t>
      </w:r>
      <w:r w:rsidRPr="00283806">
        <w:rPr>
          <w:w w:val="105"/>
        </w:rPr>
        <w:t>fashion.</w:t>
      </w:r>
      <w:r w:rsidRPr="00283806">
        <w:rPr>
          <w:spacing w:val="40"/>
          <w:w w:val="105"/>
        </w:rPr>
        <w:t xml:space="preserve"> </w:t>
      </w:r>
      <w:r w:rsidRPr="00283806">
        <w:rPr>
          <w:w w:val="105"/>
        </w:rPr>
        <w:t>A</w:t>
      </w:r>
      <w:r w:rsidRPr="00283806">
        <w:rPr>
          <w:spacing w:val="40"/>
          <w:w w:val="105"/>
        </w:rPr>
        <w:t xml:space="preserve"> </w:t>
      </w:r>
      <w:r w:rsidRPr="00283806">
        <w:rPr>
          <w:w w:val="105"/>
        </w:rPr>
        <w:t>CO</w:t>
      </w:r>
      <w:r w:rsidRPr="00283806">
        <w:rPr>
          <w:rFonts w:ascii="Times New Roman"/>
          <w:w w:val="105"/>
          <w:vertAlign w:val="subscript"/>
        </w:rPr>
        <w:t>2</w:t>
      </w:r>
      <w:r w:rsidRPr="00283806">
        <w:rPr>
          <w:w w:val="105"/>
        </w:rPr>
        <w:t>eq</w:t>
      </w:r>
      <w:r w:rsidRPr="00283806">
        <w:rPr>
          <w:spacing w:val="40"/>
          <w:w w:val="105"/>
        </w:rPr>
        <w:t xml:space="preserve"> </w:t>
      </w:r>
      <w:r w:rsidRPr="00283806">
        <w:rPr>
          <w:w w:val="105"/>
        </w:rPr>
        <w:t>threshold would not further this purpose. Further, EPA is unaware of any ALD system that can provide accurate alarms based on a CO</w:t>
      </w:r>
      <w:r w:rsidRPr="00283806">
        <w:rPr>
          <w:rFonts w:ascii="Times New Roman"/>
          <w:w w:val="105"/>
          <w:vertAlign w:val="subscript"/>
        </w:rPr>
        <w:t>2</w:t>
      </w:r>
      <w:r w:rsidRPr="00283806">
        <w:rPr>
          <w:w w:val="105"/>
        </w:rPr>
        <w:t>eq threshold as direct systems are detecting the presence of refrigerant vapor in the air and indirect systems are detecting volumes of refrigerant lost via data metrics. The final rule sets an appropriate threshold for owners and operators to address detected leaks in a timely manner and reduce the emissions of</w:t>
      </w:r>
      <w:r w:rsidRPr="00283806">
        <w:rPr>
          <w:spacing w:val="-10"/>
          <w:w w:val="105"/>
        </w:rPr>
        <w:t xml:space="preserve"> </w:t>
      </w:r>
      <w:r w:rsidRPr="00283806">
        <w:rPr>
          <w:w w:val="105"/>
        </w:rPr>
        <w:t>refrigerant</w:t>
      </w:r>
      <w:r w:rsidRPr="00283806">
        <w:rPr>
          <w:spacing w:val="-11"/>
          <w:w w:val="105"/>
        </w:rPr>
        <w:t xml:space="preserve"> </w:t>
      </w:r>
      <w:r w:rsidRPr="00283806">
        <w:rPr>
          <w:w w:val="105"/>
        </w:rPr>
        <w:t>from</w:t>
      </w:r>
      <w:r w:rsidRPr="00283806">
        <w:rPr>
          <w:spacing w:val="-10"/>
          <w:w w:val="105"/>
        </w:rPr>
        <w:t xml:space="preserve"> </w:t>
      </w:r>
      <w:r w:rsidRPr="00283806">
        <w:rPr>
          <w:w w:val="105"/>
        </w:rPr>
        <w:t xml:space="preserve">refrigerant-containing </w:t>
      </w:r>
      <w:r w:rsidRPr="00283806">
        <w:rPr>
          <w:spacing w:val="-2"/>
          <w:w w:val="105"/>
        </w:rPr>
        <w:t>appliances.</w:t>
      </w:r>
    </w:p>
    <w:p w14:paraId="752F558D" w14:textId="77777777" w:rsidR="00D67C1E" w:rsidRPr="00283806" w:rsidRDefault="001265CA">
      <w:pPr>
        <w:spacing w:line="178" w:lineRule="exact"/>
        <w:ind w:left="340"/>
        <w:rPr>
          <w:sz w:val="18"/>
        </w:rPr>
      </w:pPr>
      <w:r w:rsidRPr="00283806">
        <w:rPr>
          <w:rFonts w:ascii="Book Antiqua"/>
          <w:i/>
          <w:w w:val="105"/>
          <w:sz w:val="18"/>
        </w:rPr>
        <w:t>Comment:</w:t>
      </w:r>
      <w:r w:rsidRPr="00283806">
        <w:rPr>
          <w:rFonts w:ascii="Book Antiqua"/>
          <w:i/>
          <w:spacing w:val="20"/>
          <w:w w:val="105"/>
          <w:sz w:val="18"/>
        </w:rPr>
        <w:t xml:space="preserve"> </w:t>
      </w:r>
      <w:r w:rsidRPr="00283806">
        <w:rPr>
          <w:w w:val="105"/>
          <w:sz w:val="18"/>
        </w:rPr>
        <w:t>The</w:t>
      </w:r>
      <w:r w:rsidRPr="00283806">
        <w:rPr>
          <w:spacing w:val="26"/>
          <w:w w:val="105"/>
          <w:sz w:val="18"/>
        </w:rPr>
        <w:t xml:space="preserve"> </w:t>
      </w:r>
      <w:r w:rsidRPr="00283806">
        <w:rPr>
          <w:w w:val="105"/>
          <w:sz w:val="18"/>
        </w:rPr>
        <w:t>Agency</w:t>
      </w:r>
      <w:r w:rsidRPr="00283806">
        <w:rPr>
          <w:spacing w:val="26"/>
          <w:w w:val="105"/>
          <w:sz w:val="18"/>
        </w:rPr>
        <w:t xml:space="preserve"> </w:t>
      </w:r>
      <w:r w:rsidRPr="00283806">
        <w:rPr>
          <w:w w:val="105"/>
          <w:sz w:val="18"/>
        </w:rPr>
        <w:t>received</w:t>
      </w:r>
      <w:r w:rsidRPr="00283806">
        <w:rPr>
          <w:spacing w:val="25"/>
          <w:w w:val="105"/>
          <w:sz w:val="18"/>
        </w:rPr>
        <w:t xml:space="preserve"> </w:t>
      </w:r>
      <w:r w:rsidRPr="00283806">
        <w:rPr>
          <w:w w:val="105"/>
          <w:sz w:val="18"/>
        </w:rPr>
        <w:t>a</w:t>
      </w:r>
      <w:r w:rsidRPr="00283806">
        <w:rPr>
          <w:spacing w:val="26"/>
          <w:w w:val="105"/>
          <w:sz w:val="18"/>
        </w:rPr>
        <w:t xml:space="preserve"> </w:t>
      </w:r>
      <w:r w:rsidRPr="00283806">
        <w:rPr>
          <w:spacing w:val="-5"/>
          <w:w w:val="105"/>
          <w:sz w:val="18"/>
        </w:rPr>
        <w:t>few</w:t>
      </w:r>
    </w:p>
    <w:p w14:paraId="33F20A72" w14:textId="77777777" w:rsidR="00D67C1E" w:rsidRPr="00283806" w:rsidRDefault="001265CA">
      <w:pPr>
        <w:pStyle w:val="BodyText"/>
        <w:spacing w:line="225" w:lineRule="auto"/>
        <w:ind w:right="36"/>
      </w:pPr>
      <w:r w:rsidRPr="00283806">
        <w:rPr>
          <w:w w:val="105"/>
        </w:rPr>
        <w:t>comments regarding the preemptive repair provision in the final rule. One commenter stated that setting a requirement for direct ALD systems to alarm at 100 ppm but allowing no action to be taken if the leak rate thresholds are not exceeded, does not further the objective of minimizing release of refrigerant. The commenter also stated that the ALD system will continue to</w:t>
      </w:r>
      <w:r w:rsidRPr="00283806">
        <w:rPr>
          <w:spacing w:val="80"/>
          <w:w w:val="105"/>
        </w:rPr>
        <w:t xml:space="preserve"> </w:t>
      </w:r>
      <w:r w:rsidRPr="00283806">
        <w:rPr>
          <w:w w:val="105"/>
        </w:rPr>
        <w:t>alert an owner or operator of the leak if left unrepaired. The commenter suggested de-coupling the requirement</w:t>
      </w:r>
      <w:r w:rsidRPr="00283806">
        <w:rPr>
          <w:spacing w:val="40"/>
          <w:w w:val="105"/>
        </w:rPr>
        <w:t xml:space="preserve"> </w:t>
      </w:r>
      <w:r w:rsidRPr="00283806">
        <w:rPr>
          <w:w w:val="105"/>
        </w:rPr>
        <w:t>of a leak rate calculation before fixing a leak identified by an ALD system and asserted the rule may be confusing for industry</w:t>
      </w:r>
      <w:r w:rsidRPr="00283806">
        <w:rPr>
          <w:spacing w:val="40"/>
          <w:w w:val="105"/>
        </w:rPr>
        <w:t xml:space="preserve"> </w:t>
      </w:r>
      <w:r w:rsidRPr="00283806">
        <w:rPr>
          <w:w w:val="105"/>
        </w:rPr>
        <w:t>and</w:t>
      </w:r>
      <w:r w:rsidRPr="00283806">
        <w:rPr>
          <w:spacing w:val="40"/>
          <w:w w:val="105"/>
        </w:rPr>
        <w:t xml:space="preserve"> </w:t>
      </w:r>
      <w:r w:rsidRPr="00283806">
        <w:rPr>
          <w:w w:val="105"/>
        </w:rPr>
        <w:t>interpreted</w:t>
      </w:r>
      <w:r w:rsidRPr="00283806">
        <w:rPr>
          <w:spacing w:val="40"/>
          <w:w w:val="105"/>
        </w:rPr>
        <w:t xml:space="preserve"> </w:t>
      </w:r>
      <w:r w:rsidRPr="00283806">
        <w:rPr>
          <w:w w:val="105"/>
        </w:rPr>
        <w:t>as undermining the need for ALD. The commenter further claimed that the best route</w:t>
      </w:r>
      <w:r w:rsidRPr="00283806">
        <w:rPr>
          <w:spacing w:val="34"/>
          <w:w w:val="105"/>
        </w:rPr>
        <w:t xml:space="preserve"> </w:t>
      </w:r>
      <w:r w:rsidRPr="00283806">
        <w:rPr>
          <w:w w:val="105"/>
        </w:rPr>
        <w:t>for</w:t>
      </w:r>
      <w:r w:rsidRPr="00283806">
        <w:rPr>
          <w:spacing w:val="34"/>
          <w:w w:val="105"/>
        </w:rPr>
        <w:t xml:space="preserve"> </w:t>
      </w:r>
      <w:r w:rsidRPr="00283806">
        <w:rPr>
          <w:w w:val="105"/>
        </w:rPr>
        <w:t>leak</w:t>
      </w:r>
      <w:r w:rsidRPr="00283806">
        <w:rPr>
          <w:spacing w:val="34"/>
          <w:w w:val="105"/>
        </w:rPr>
        <w:t xml:space="preserve"> </w:t>
      </w:r>
      <w:r w:rsidRPr="00283806">
        <w:rPr>
          <w:w w:val="105"/>
        </w:rPr>
        <w:t>mitigation</w:t>
      </w:r>
      <w:r w:rsidRPr="00283806">
        <w:rPr>
          <w:spacing w:val="34"/>
          <w:w w:val="105"/>
        </w:rPr>
        <w:t xml:space="preserve"> </w:t>
      </w:r>
      <w:r w:rsidRPr="00283806">
        <w:rPr>
          <w:w w:val="105"/>
        </w:rPr>
        <w:t>is</w:t>
      </w:r>
      <w:r w:rsidRPr="00283806">
        <w:rPr>
          <w:spacing w:val="34"/>
          <w:w w:val="105"/>
        </w:rPr>
        <w:t xml:space="preserve"> </w:t>
      </w:r>
      <w:r w:rsidRPr="00283806">
        <w:rPr>
          <w:w w:val="105"/>
        </w:rPr>
        <w:t>to</w:t>
      </w:r>
      <w:r w:rsidRPr="00283806">
        <w:rPr>
          <w:spacing w:val="34"/>
          <w:w w:val="105"/>
        </w:rPr>
        <w:t xml:space="preserve"> </w:t>
      </w:r>
      <w:r w:rsidRPr="00283806">
        <w:rPr>
          <w:w w:val="105"/>
        </w:rPr>
        <w:t>find</w:t>
      </w:r>
      <w:r w:rsidRPr="00283806">
        <w:rPr>
          <w:spacing w:val="34"/>
          <w:w w:val="105"/>
        </w:rPr>
        <w:t xml:space="preserve"> </w:t>
      </w:r>
      <w:r w:rsidRPr="00283806">
        <w:rPr>
          <w:w w:val="105"/>
        </w:rPr>
        <w:t>and fix</w:t>
      </w:r>
      <w:r w:rsidRPr="00283806">
        <w:rPr>
          <w:spacing w:val="40"/>
          <w:w w:val="105"/>
        </w:rPr>
        <w:t xml:space="preserve"> </w:t>
      </w:r>
      <w:r w:rsidRPr="00283806">
        <w:rPr>
          <w:w w:val="105"/>
        </w:rPr>
        <w:t>all</w:t>
      </w:r>
      <w:r w:rsidRPr="00283806">
        <w:rPr>
          <w:spacing w:val="40"/>
          <w:w w:val="105"/>
        </w:rPr>
        <w:t xml:space="preserve"> </w:t>
      </w:r>
      <w:r w:rsidRPr="00283806">
        <w:rPr>
          <w:w w:val="105"/>
        </w:rPr>
        <w:t>leaks</w:t>
      </w:r>
      <w:r w:rsidRPr="00283806">
        <w:rPr>
          <w:spacing w:val="40"/>
          <w:w w:val="105"/>
        </w:rPr>
        <w:t xml:space="preserve"> </w:t>
      </w:r>
      <w:r w:rsidRPr="00283806">
        <w:rPr>
          <w:w w:val="105"/>
        </w:rPr>
        <w:t>over</w:t>
      </w:r>
      <w:r w:rsidRPr="00283806">
        <w:rPr>
          <w:spacing w:val="40"/>
          <w:w w:val="105"/>
        </w:rPr>
        <w:t xml:space="preserve"> </w:t>
      </w:r>
      <w:r w:rsidRPr="00283806">
        <w:rPr>
          <w:w w:val="105"/>
        </w:rPr>
        <w:t>the</w:t>
      </w:r>
      <w:r w:rsidRPr="00283806">
        <w:rPr>
          <w:spacing w:val="40"/>
          <w:w w:val="105"/>
        </w:rPr>
        <w:t xml:space="preserve"> </w:t>
      </w:r>
      <w:r w:rsidRPr="00283806">
        <w:rPr>
          <w:w w:val="105"/>
        </w:rPr>
        <w:t>applicable threshold and that preemptive repair should be the only recommended</w:t>
      </w:r>
      <w:r w:rsidRPr="00283806">
        <w:rPr>
          <w:spacing w:val="40"/>
          <w:w w:val="105"/>
        </w:rPr>
        <w:t xml:space="preserve"> </w:t>
      </w:r>
      <w:r w:rsidRPr="00283806">
        <w:rPr>
          <w:w w:val="105"/>
        </w:rPr>
        <w:t xml:space="preserve">solution for leak resolution </w:t>
      </w:r>
      <w:proofErr w:type="gramStart"/>
      <w:r w:rsidRPr="00283806">
        <w:rPr>
          <w:w w:val="105"/>
        </w:rPr>
        <w:t>because</w:t>
      </w:r>
      <w:proofErr w:type="gramEnd"/>
      <w:r w:rsidRPr="00283806">
        <w:rPr>
          <w:w w:val="105"/>
        </w:rPr>
        <w:t xml:space="preserve"> the addition of refrigerant to a leaking</w:t>
      </w:r>
    </w:p>
    <w:p w14:paraId="67877394" w14:textId="77777777" w:rsidR="00D67C1E" w:rsidRPr="00283806" w:rsidRDefault="001265CA">
      <w:pPr>
        <w:pStyle w:val="BodyText"/>
        <w:spacing w:before="136" w:line="225" w:lineRule="auto"/>
        <w:ind w:left="142" w:right="72"/>
      </w:pPr>
      <w:r w:rsidRPr="00283806">
        <w:br w:type="column"/>
      </w:r>
      <w:r w:rsidRPr="00283806">
        <w:rPr>
          <w:w w:val="105"/>
        </w:rPr>
        <w:t xml:space="preserve">appliance will result in the loss of the added refrigerant. The commenter asserted that the leak rate calculation can occur after the repair of the leaking </w:t>
      </w:r>
      <w:r w:rsidRPr="00283806">
        <w:rPr>
          <w:spacing w:val="-2"/>
          <w:w w:val="105"/>
        </w:rPr>
        <w:t>appliance.</w:t>
      </w:r>
    </w:p>
    <w:p w14:paraId="5269EF7F" w14:textId="77777777" w:rsidR="00D67C1E" w:rsidRPr="00283806" w:rsidRDefault="001265CA">
      <w:pPr>
        <w:pStyle w:val="BodyText"/>
        <w:spacing w:line="178" w:lineRule="exact"/>
        <w:ind w:left="322"/>
      </w:pPr>
      <w:r w:rsidRPr="00283806">
        <w:rPr>
          <w:w w:val="105"/>
        </w:rPr>
        <w:t>Another</w:t>
      </w:r>
      <w:r w:rsidRPr="00283806">
        <w:rPr>
          <w:spacing w:val="8"/>
          <w:w w:val="105"/>
        </w:rPr>
        <w:t xml:space="preserve"> </w:t>
      </w:r>
      <w:r w:rsidRPr="00283806">
        <w:rPr>
          <w:w w:val="105"/>
        </w:rPr>
        <w:t>commenter</w:t>
      </w:r>
      <w:r w:rsidRPr="00283806">
        <w:rPr>
          <w:spacing w:val="9"/>
          <w:w w:val="105"/>
        </w:rPr>
        <w:t xml:space="preserve"> </w:t>
      </w:r>
      <w:r w:rsidRPr="00283806">
        <w:rPr>
          <w:spacing w:val="-2"/>
          <w:w w:val="105"/>
        </w:rPr>
        <w:t>requested</w:t>
      </w:r>
    </w:p>
    <w:p w14:paraId="4515C935" w14:textId="77777777" w:rsidR="00D67C1E" w:rsidRPr="00283806" w:rsidRDefault="001265CA">
      <w:pPr>
        <w:pStyle w:val="BodyText"/>
        <w:spacing w:before="4" w:line="225" w:lineRule="auto"/>
        <w:ind w:left="142"/>
      </w:pPr>
      <w:r w:rsidRPr="00283806">
        <w:rPr>
          <w:w w:val="105"/>
        </w:rPr>
        <w:t>clarification on whether an owner or operator needs to calculate a leak rate after preemptive repair is conducted.</w:t>
      </w:r>
      <w:r w:rsidRPr="00283806">
        <w:rPr>
          <w:spacing w:val="80"/>
          <w:w w:val="105"/>
        </w:rPr>
        <w:t xml:space="preserve"> </w:t>
      </w:r>
      <w:r w:rsidRPr="00283806">
        <w:rPr>
          <w:w w:val="105"/>
        </w:rPr>
        <w:t>The commenter stated that the rule appears to offer two compliance options when an ALD system detects a leak; calculate a leak rate and assess whether the appliance is leaking above the applicable leak rate threshold or preemptively repair the leak. The commenter asserted that the</w:t>
      </w:r>
      <w:r w:rsidRPr="00283806">
        <w:rPr>
          <w:spacing w:val="40"/>
          <w:w w:val="105"/>
        </w:rPr>
        <w:t xml:space="preserve"> </w:t>
      </w:r>
      <w:r w:rsidRPr="00283806">
        <w:rPr>
          <w:w w:val="105"/>
        </w:rPr>
        <w:t xml:space="preserve">requirement of a leak rate calculation seems to </w:t>
      </w:r>
      <w:proofErr w:type="gramStart"/>
      <w:r w:rsidRPr="00283806">
        <w:rPr>
          <w:w w:val="105"/>
        </w:rPr>
        <w:t>be in conflict with</w:t>
      </w:r>
      <w:proofErr w:type="gramEnd"/>
      <w:r w:rsidRPr="00283806">
        <w:rPr>
          <w:w w:val="105"/>
        </w:rPr>
        <w:t xml:space="preserve"> EPA’s rationale for preemptive repair</w:t>
      </w:r>
      <w:r w:rsidRPr="00283806">
        <w:rPr>
          <w:spacing w:val="80"/>
          <w:w w:val="105"/>
        </w:rPr>
        <w:t xml:space="preserve"> </w:t>
      </w:r>
      <w:r w:rsidRPr="00283806">
        <w:rPr>
          <w:w w:val="105"/>
        </w:rPr>
        <w:t xml:space="preserve">discussed in the </w:t>
      </w:r>
      <w:proofErr w:type="gramStart"/>
      <w:r w:rsidRPr="00283806">
        <w:rPr>
          <w:w w:val="105"/>
        </w:rPr>
        <w:t>preamble: ‘‘</w:t>
      </w:r>
      <w:proofErr w:type="gramEnd"/>
      <w:r w:rsidRPr="00283806">
        <w:rPr>
          <w:w w:val="105"/>
        </w:rPr>
        <w:t>to avoid the need to add refrigerant to an appliance with a known leak (which would otherwise generally be necessary to calculate the leak rate and determine if the applicable leak rate is exceeded</w:t>
      </w:r>
      <w:proofErr w:type="gramStart"/>
      <w:r w:rsidRPr="00283806">
        <w:rPr>
          <w:w w:val="105"/>
        </w:rPr>
        <w:t>).’</w:t>
      </w:r>
      <w:proofErr w:type="gramEnd"/>
      <w:r w:rsidRPr="00283806">
        <w:rPr>
          <w:w w:val="105"/>
        </w:rPr>
        <w:t>’</w:t>
      </w:r>
      <w:r w:rsidRPr="00283806">
        <w:rPr>
          <w:spacing w:val="40"/>
          <w:w w:val="105"/>
        </w:rPr>
        <w:t xml:space="preserve"> </w:t>
      </w:r>
      <w:r w:rsidRPr="00283806">
        <w:rPr>
          <w:w w:val="105"/>
        </w:rPr>
        <w:t>The commenter further claimed that the requirement to conduct a leak rate calculation will cause owners or operators to incur additional costs to</w:t>
      </w:r>
      <w:r w:rsidRPr="00283806">
        <w:rPr>
          <w:spacing w:val="80"/>
          <w:w w:val="105"/>
        </w:rPr>
        <w:t xml:space="preserve"> </w:t>
      </w:r>
      <w:r w:rsidRPr="00283806">
        <w:rPr>
          <w:w w:val="105"/>
        </w:rPr>
        <w:t>add refrigerant to a fully functional system for the sole purpose of a leak rate calculation. As currently written, the commenter stated that the provision</w:t>
      </w:r>
      <w:r w:rsidRPr="00283806">
        <w:rPr>
          <w:spacing w:val="80"/>
          <w:w w:val="105"/>
        </w:rPr>
        <w:t xml:space="preserve"> </w:t>
      </w:r>
      <w:r w:rsidRPr="00283806">
        <w:rPr>
          <w:w w:val="105"/>
        </w:rPr>
        <w:t>may be economically burdensome and could</w:t>
      </w:r>
      <w:r w:rsidRPr="00283806">
        <w:rPr>
          <w:spacing w:val="40"/>
          <w:w w:val="105"/>
        </w:rPr>
        <w:t xml:space="preserve"> </w:t>
      </w:r>
      <w:r w:rsidRPr="00283806">
        <w:rPr>
          <w:w w:val="105"/>
        </w:rPr>
        <w:t>add</w:t>
      </w:r>
      <w:r w:rsidRPr="00283806">
        <w:rPr>
          <w:spacing w:val="40"/>
          <w:w w:val="105"/>
        </w:rPr>
        <w:t xml:space="preserve"> </w:t>
      </w:r>
      <w:r w:rsidRPr="00283806">
        <w:rPr>
          <w:w w:val="105"/>
        </w:rPr>
        <w:t>to</w:t>
      </w:r>
      <w:r w:rsidRPr="00283806">
        <w:rPr>
          <w:spacing w:val="40"/>
          <w:w w:val="105"/>
        </w:rPr>
        <w:t xml:space="preserve"> </w:t>
      </w:r>
      <w:r w:rsidRPr="00283806">
        <w:rPr>
          <w:w w:val="105"/>
        </w:rPr>
        <w:t>system</w:t>
      </w:r>
      <w:r w:rsidRPr="00283806">
        <w:rPr>
          <w:spacing w:val="40"/>
          <w:w w:val="105"/>
        </w:rPr>
        <w:t xml:space="preserve"> </w:t>
      </w:r>
      <w:r w:rsidRPr="00283806">
        <w:rPr>
          <w:w w:val="105"/>
        </w:rPr>
        <w:t>downtime.</w:t>
      </w:r>
      <w:r w:rsidRPr="00283806">
        <w:rPr>
          <w:spacing w:val="40"/>
          <w:w w:val="105"/>
        </w:rPr>
        <w:t xml:space="preserve"> </w:t>
      </w:r>
      <w:r w:rsidRPr="00283806">
        <w:rPr>
          <w:w w:val="105"/>
        </w:rPr>
        <w:t>Thus, the commenter suggested the Agency clarify the regulatory text to not require</w:t>
      </w:r>
      <w:r w:rsidRPr="00283806">
        <w:rPr>
          <w:spacing w:val="80"/>
          <w:w w:val="105"/>
        </w:rPr>
        <w:t xml:space="preserve"> </w:t>
      </w:r>
      <w:r w:rsidRPr="00283806">
        <w:rPr>
          <w:w w:val="105"/>
        </w:rPr>
        <w:t>a leak rate calculation if an appliance is preemptively repaired.</w:t>
      </w:r>
    </w:p>
    <w:p w14:paraId="6FD4C992" w14:textId="77777777" w:rsidR="00D67C1E" w:rsidRPr="00283806" w:rsidRDefault="001265CA">
      <w:pPr>
        <w:spacing w:line="173" w:lineRule="exact"/>
        <w:ind w:left="322"/>
        <w:rPr>
          <w:sz w:val="18"/>
        </w:rPr>
      </w:pPr>
      <w:r w:rsidRPr="00283806">
        <w:rPr>
          <w:rFonts w:ascii="Book Antiqua"/>
          <w:i/>
          <w:w w:val="110"/>
          <w:sz w:val="18"/>
        </w:rPr>
        <w:t>Response:</w:t>
      </w:r>
      <w:r w:rsidRPr="00283806">
        <w:rPr>
          <w:rFonts w:ascii="Book Antiqua"/>
          <w:i/>
          <w:spacing w:val="2"/>
          <w:w w:val="110"/>
          <w:sz w:val="18"/>
        </w:rPr>
        <w:t xml:space="preserve"> </w:t>
      </w:r>
      <w:r w:rsidRPr="00283806">
        <w:rPr>
          <w:w w:val="110"/>
          <w:sz w:val="18"/>
        </w:rPr>
        <w:t>EPA</w:t>
      </w:r>
      <w:r w:rsidRPr="00283806">
        <w:rPr>
          <w:spacing w:val="8"/>
          <w:w w:val="110"/>
          <w:sz w:val="18"/>
        </w:rPr>
        <w:t xml:space="preserve"> </w:t>
      </w:r>
      <w:r w:rsidRPr="00283806">
        <w:rPr>
          <w:w w:val="110"/>
          <w:sz w:val="18"/>
        </w:rPr>
        <w:t>acknowledges</w:t>
      </w:r>
      <w:r w:rsidRPr="00283806">
        <w:rPr>
          <w:spacing w:val="8"/>
          <w:w w:val="110"/>
          <w:sz w:val="18"/>
        </w:rPr>
        <w:t xml:space="preserve"> </w:t>
      </w:r>
      <w:r w:rsidRPr="00283806">
        <w:rPr>
          <w:spacing w:val="-5"/>
          <w:w w:val="110"/>
          <w:sz w:val="18"/>
        </w:rPr>
        <w:t>one</w:t>
      </w:r>
    </w:p>
    <w:p w14:paraId="5145E5A4" w14:textId="77777777" w:rsidR="00D67C1E" w:rsidRPr="00283806" w:rsidRDefault="001265CA">
      <w:pPr>
        <w:pStyle w:val="BodyText"/>
        <w:spacing w:line="225" w:lineRule="auto"/>
        <w:ind w:left="142" w:right="36"/>
      </w:pPr>
      <w:r w:rsidRPr="00283806">
        <w:rPr>
          <w:w w:val="105"/>
        </w:rPr>
        <w:t xml:space="preserve">commenter’s recommendation that the leak rate calculation be decoupled from the final rule’s preemptive repair provision for leaks detected by an ALD system and clarifies that these are separate requirements. EPA does not view the leak rate calculation and ALD requirements as </w:t>
      </w:r>
      <w:proofErr w:type="gramStart"/>
      <w:r w:rsidRPr="00283806">
        <w:rPr>
          <w:w w:val="105"/>
        </w:rPr>
        <w:t>incongruous</w:t>
      </w:r>
      <w:proofErr w:type="gramEnd"/>
      <w:r w:rsidRPr="00283806">
        <w:rPr>
          <w:w w:val="105"/>
        </w:rPr>
        <w:t xml:space="preserve"> nor does the Agency find that having both requirements</w:t>
      </w:r>
      <w:r w:rsidRPr="00283806">
        <w:rPr>
          <w:spacing w:val="40"/>
          <w:w w:val="105"/>
        </w:rPr>
        <w:t xml:space="preserve"> </w:t>
      </w:r>
      <w:r w:rsidRPr="00283806">
        <w:rPr>
          <w:w w:val="105"/>
        </w:rPr>
        <w:t>will</w:t>
      </w:r>
      <w:r w:rsidRPr="00283806">
        <w:rPr>
          <w:spacing w:val="40"/>
          <w:w w:val="105"/>
        </w:rPr>
        <w:t xml:space="preserve"> </w:t>
      </w:r>
      <w:r w:rsidRPr="00283806">
        <w:rPr>
          <w:w w:val="105"/>
        </w:rPr>
        <w:t>cause</w:t>
      </w:r>
      <w:r w:rsidRPr="00283806">
        <w:rPr>
          <w:spacing w:val="40"/>
          <w:w w:val="105"/>
        </w:rPr>
        <w:t xml:space="preserve"> </w:t>
      </w:r>
      <w:r w:rsidRPr="00283806">
        <w:rPr>
          <w:w w:val="105"/>
        </w:rPr>
        <w:t>confusion</w:t>
      </w:r>
      <w:r w:rsidRPr="00283806">
        <w:rPr>
          <w:spacing w:val="40"/>
          <w:w w:val="105"/>
        </w:rPr>
        <w:t xml:space="preserve"> </w:t>
      </w:r>
      <w:r w:rsidRPr="00283806">
        <w:rPr>
          <w:w w:val="105"/>
        </w:rPr>
        <w:t>as the</w:t>
      </w:r>
      <w:r w:rsidRPr="00283806">
        <w:rPr>
          <w:spacing w:val="-1"/>
          <w:w w:val="105"/>
        </w:rPr>
        <w:t xml:space="preserve"> </w:t>
      </w:r>
      <w:r w:rsidRPr="00283806">
        <w:rPr>
          <w:w w:val="105"/>
        </w:rPr>
        <w:t>commenter</w:t>
      </w:r>
      <w:r w:rsidRPr="00283806">
        <w:rPr>
          <w:spacing w:val="-1"/>
          <w:w w:val="105"/>
        </w:rPr>
        <w:t xml:space="preserve"> </w:t>
      </w:r>
      <w:r w:rsidRPr="00283806">
        <w:rPr>
          <w:w w:val="105"/>
        </w:rPr>
        <w:t>suggested.</w:t>
      </w:r>
      <w:r w:rsidRPr="00283806">
        <w:rPr>
          <w:spacing w:val="-1"/>
          <w:w w:val="105"/>
        </w:rPr>
        <w:t xml:space="preserve"> </w:t>
      </w:r>
      <w:r w:rsidRPr="00283806">
        <w:rPr>
          <w:w w:val="105"/>
        </w:rPr>
        <w:t>Rather,</w:t>
      </w:r>
      <w:r w:rsidRPr="00283806">
        <w:rPr>
          <w:spacing w:val="-1"/>
          <w:w w:val="105"/>
        </w:rPr>
        <w:t xml:space="preserve"> </w:t>
      </w:r>
      <w:r w:rsidRPr="00283806">
        <w:rPr>
          <w:w w:val="105"/>
        </w:rPr>
        <w:t>where both apply, they are separate parts of an overall approach to addressing leaks from refrigerant-containing appliances. The</w:t>
      </w:r>
      <w:r w:rsidRPr="00283806">
        <w:rPr>
          <w:spacing w:val="40"/>
          <w:w w:val="105"/>
        </w:rPr>
        <w:t xml:space="preserve"> </w:t>
      </w:r>
      <w:r w:rsidRPr="00283806">
        <w:rPr>
          <w:w w:val="105"/>
        </w:rPr>
        <w:t>required</w:t>
      </w:r>
      <w:r w:rsidRPr="00283806">
        <w:rPr>
          <w:spacing w:val="40"/>
          <w:w w:val="105"/>
        </w:rPr>
        <w:t xml:space="preserve"> </w:t>
      </w:r>
      <w:r w:rsidRPr="00283806">
        <w:rPr>
          <w:w w:val="105"/>
        </w:rPr>
        <w:t>installation</w:t>
      </w:r>
      <w:r w:rsidRPr="00283806">
        <w:rPr>
          <w:spacing w:val="40"/>
          <w:w w:val="105"/>
        </w:rPr>
        <w:t xml:space="preserve"> </w:t>
      </w:r>
      <w:r w:rsidRPr="00283806">
        <w:rPr>
          <w:w w:val="105"/>
        </w:rPr>
        <w:t>and</w:t>
      </w:r>
      <w:r w:rsidRPr="00283806">
        <w:rPr>
          <w:spacing w:val="40"/>
          <w:w w:val="105"/>
        </w:rPr>
        <w:t xml:space="preserve"> </w:t>
      </w:r>
      <w:r w:rsidRPr="00283806">
        <w:rPr>
          <w:w w:val="105"/>
        </w:rPr>
        <w:t>use</w:t>
      </w:r>
      <w:r w:rsidRPr="00283806">
        <w:rPr>
          <w:spacing w:val="40"/>
          <w:w w:val="105"/>
        </w:rPr>
        <w:t xml:space="preserve"> </w:t>
      </w:r>
      <w:r w:rsidRPr="00283806">
        <w:rPr>
          <w:w w:val="105"/>
        </w:rPr>
        <w:t>of ALD systems for IPR and commercial refrigeration at or above 1,500 pounds and the option to preemptively repair a leak in a refrigerant-containing</w:t>
      </w:r>
      <w:r w:rsidRPr="00283806">
        <w:rPr>
          <w:spacing w:val="80"/>
          <w:w w:val="105"/>
        </w:rPr>
        <w:t xml:space="preserve"> </w:t>
      </w:r>
      <w:r w:rsidRPr="00283806">
        <w:rPr>
          <w:w w:val="105"/>
        </w:rPr>
        <w:t>appliance is not intended to replace the need to calculate the leak rate and to repair leaks so a refrigerant-containing appliance is below the applicable leak rate</w:t>
      </w:r>
      <w:r w:rsidRPr="00283806">
        <w:rPr>
          <w:spacing w:val="40"/>
          <w:w w:val="105"/>
        </w:rPr>
        <w:t xml:space="preserve"> </w:t>
      </w:r>
      <w:r w:rsidRPr="00283806">
        <w:rPr>
          <w:w w:val="105"/>
        </w:rPr>
        <w:t>threshold.</w:t>
      </w:r>
      <w:r w:rsidRPr="00283806">
        <w:rPr>
          <w:spacing w:val="40"/>
          <w:w w:val="105"/>
        </w:rPr>
        <w:t xml:space="preserve"> </w:t>
      </w:r>
      <w:r w:rsidRPr="00283806">
        <w:rPr>
          <w:w w:val="105"/>
        </w:rPr>
        <w:t>As</w:t>
      </w:r>
      <w:r w:rsidRPr="00283806">
        <w:rPr>
          <w:spacing w:val="40"/>
          <w:w w:val="105"/>
        </w:rPr>
        <w:t xml:space="preserve"> </w:t>
      </w:r>
      <w:r w:rsidRPr="00283806">
        <w:rPr>
          <w:w w:val="105"/>
        </w:rPr>
        <w:t>noted</w:t>
      </w:r>
      <w:r w:rsidRPr="00283806">
        <w:rPr>
          <w:spacing w:val="40"/>
          <w:w w:val="105"/>
        </w:rPr>
        <w:t xml:space="preserve"> </w:t>
      </w:r>
      <w:r w:rsidRPr="00283806">
        <w:rPr>
          <w:w w:val="105"/>
        </w:rPr>
        <w:t xml:space="preserve">previously, EPA </w:t>
      </w:r>
      <w:proofErr w:type="gramStart"/>
      <w:r w:rsidRPr="00283806">
        <w:rPr>
          <w:w w:val="105"/>
        </w:rPr>
        <w:t>is not requiring</w:t>
      </w:r>
      <w:proofErr w:type="gramEnd"/>
      <w:r w:rsidRPr="00283806">
        <w:rPr>
          <w:w w:val="105"/>
        </w:rPr>
        <w:t xml:space="preserve"> the repair of all leaks; however, the Agency encourages owners or operators to preemptively repair leaks detected by an ALD system.</w:t>
      </w:r>
    </w:p>
    <w:p w14:paraId="0187AB4F" w14:textId="77777777" w:rsidR="00D67C1E" w:rsidRPr="00283806" w:rsidRDefault="001265CA">
      <w:pPr>
        <w:pStyle w:val="BodyText"/>
        <w:spacing w:before="134" w:line="228" w:lineRule="auto"/>
        <w:ind w:left="146" w:right="172"/>
      </w:pPr>
      <w:r w:rsidRPr="00283806">
        <w:br w:type="column"/>
      </w:r>
      <w:r w:rsidRPr="00283806">
        <w:rPr>
          <w:w w:val="105"/>
        </w:rPr>
        <w:t>The determination of a leak rate for a leaking refrigerant-containing appliance is vital to ascertain if a refrigerant- containing appliance must be repaired. EPA is providing some flexibility to owners or operators who have been alerted of a leak to either preemptively repair the refrigerant-containing appliance or calculate the leak rate of</w:t>
      </w:r>
      <w:r w:rsidRPr="00283806">
        <w:rPr>
          <w:spacing w:val="40"/>
          <w:w w:val="105"/>
        </w:rPr>
        <w:t xml:space="preserve"> </w:t>
      </w:r>
      <w:r w:rsidRPr="00283806">
        <w:rPr>
          <w:w w:val="105"/>
        </w:rPr>
        <w:t>said appliance to determine if the owner or operator must proceed with the leak repair process. The commenter asserted that preemptive repair should be the</w:t>
      </w:r>
      <w:r w:rsidRPr="00283806">
        <w:rPr>
          <w:spacing w:val="40"/>
          <w:w w:val="105"/>
        </w:rPr>
        <w:t xml:space="preserve"> </w:t>
      </w:r>
      <w:r w:rsidRPr="00283806">
        <w:rPr>
          <w:w w:val="105"/>
        </w:rPr>
        <w:t>only recommended solution for leak resolution; however, if a refrigerant- containing appliance is found to have been leaking above the applicable leak rate threshold after the completion of a preemptive repair, the owner or</w:t>
      </w:r>
      <w:r w:rsidRPr="00283806">
        <w:rPr>
          <w:spacing w:val="80"/>
          <w:w w:val="105"/>
        </w:rPr>
        <w:t xml:space="preserve"> </w:t>
      </w:r>
      <w:r w:rsidRPr="00283806">
        <w:rPr>
          <w:w w:val="105"/>
        </w:rPr>
        <w:t>operator of the refrigerant-containing appliance would still be required to follow through with the rest of the leak repair process (</w:t>
      </w:r>
      <w:r w:rsidRPr="00283806">
        <w:rPr>
          <w:rFonts w:ascii="Book Antiqua"/>
          <w:i/>
          <w:w w:val="105"/>
        </w:rPr>
        <w:t xml:space="preserve">e.g., </w:t>
      </w:r>
      <w:r w:rsidRPr="00283806">
        <w:rPr>
          <w:w w:val="105"/>
        </w:rPr>
        <w:t>verification tests,</w:t>
      </w:r>
      <w:r w:rsidRPr="00283806">
        <w:rPr>
          <w:spacing w:val="40"/>
          <w:w w:val="105"/>
        </w:rPr>
        <w:t xml:space="preserve"> </w:t>
      </w:r>
      <w:r w:rsidRPr="00283806">
        <w:rPr>
          <w:w w:val="105"/>
        </w:rPr>
        <w:t>leak inspections, etc.). Furthermore, the Agency reiterates that the final rule is</w:t>
      </w:r>
      <w:r w:rsidRPr="00283806">
        <w:rPr>
          <w:spacing w:val="80"/>
          <w:w w:val="105"/>
        </w:rPr>
        <w:t xml:space="preserve"> </w:t>
      </w:r>
      <w:r w:rsidRPr="00283806">
        <w:rPr>
          <w:w w:val="105"/>
        </w:rPr>
        <w:t>not requiring the repair of all leaks; rather, this final rule requires that leaks be repaired to the extent that they bring the refrigerant-containing appliance below the applicable leak rate threshold. There may be some scenarios where an owner or operator may decide to calculate the leak rate as soon as</w:t>
      </w:r>
      <w:r w:rsidRPr="00283806">
        <w:rPr>
          <w:spacing w:val="80"/>
          <w:w w:val="105"/>
        </w:rPr>
        <w:t xml:space="preserve"> </w:t>
      </w:r>
      <w:r w:rsidRPr="00283806">
        <w:rPr>
          <w:w w:val="105"/>
        </w:rPr>
        <w:t>possible to determine the severity of a leak and determine if further action is needed. Additionally, records of leak alerts from an ALD system that do not push the refrigerant-containing</w:t>
      </w:r>
      <w:r w:rsidRPr="00283806">
        <w:rPr>
          <w:spacing w:val="40"/>
          <w:w w:val="105"/>
        </w:rPr>
        <w:t xml:space="preserve"> </w:t>
      </w:r>
      <w:r w:rsidRPr="00283806">
        <w:rPr>
          <w:w w:val="105"/>
        </w:rPr>
        <w:t>appliance above the leak rate threshold</w:t>
      </w:r>
      <w:r w:rsidRPr="00283806">
        <w:rPr>
          <w:spacing w:val="40"/>
          <w:w w:val="105"/>
        </w:rPr>
        <w:t xml:space="preserve"> </w:t>
      </w:r>
      <w:r w:rsidRPr="00283806">
        <w:rPr>
          <w:w w:val="105"/>
        </w:rPr>
        <w:t>at the time of the alarm will inform an owner operator if their refrigerant- containing appliance is having issues</w:t>
      </w:r>
      <w:r w:rsidRPr="00283806">
        <w:rPr>
          <w:spacing w:val="40"/>
          <w:w w:val="105"/>
        </w:rPr>
        <w:t xml:space="preserve"> </w:t>
      </w:r>
      <w:r w:rsidRPr="00283806">
        <w:rPr>
          <w:w w:val="105"/>
        </w:rPr>
        <w:t>with smaller leaks (</w:t>
      </w:r>
      <w:r w:rsidRPr="00283806">
        <w:rPr>
          <w:rFonts w:ascii="Book Antiqua"/>
          <w:i/>
          <w:w w:val="105"/>
        </w:rPr>
        <w:t xml:space="preserve">e.g., </w:t>
      </w:r>
      <w:r w:rsidRPr="00283806">
        <w:rPr>
          <w:w w:val="105"/>
        </w:rPr>
        <w:t>pinhole leaks).</w:t>
      </w:r>
    </w:p>
    <w:p w14:paraId="4CC3AA4C" w14:textId="77777777" w:rsidR="00D67C1E" w:rsidRPr="00283806" w:rsidRDefault="001265CA">
      <w:pPr>
        <w:pStyle w:val="BodyText"/>
        <w:spacing w:line="228" w:lineRule="auto"/>
        <w:ind w:left="146" w:right="150" w:firstLine="180"/>
      </w:pPr>
      <w:r w:rsidRPr="00283806">
        <w:rPr>
          <w:w w:val="105"/>
        </w:rPr>
        <w:t>Regarding one commenter’s questions on the requirement of a leak rate calculation after the preemptive repair</w:t>
      </w:r>
      <w:r w:rsidRPr="00283806">
        <w:rPr>
          <w:spacing w:val="80"/>
          <w:w w:val="105"/>
        </w:rPr>
        <w:t xml:space="preserve"> </w:t>
      </w:r>
      <w:r w:rsidRPr="00283806">
        <w:rPr>
          <w:w w:val="105"/>
        </w:rPr>
        <w:t>of a refrigerant-containing appliance,</w:t>
      </w:r>
      <w:r w:rsidRPr="00283806">
        <w:rPr>
          <w:spacing w:val="80"/>
          <w:w w:val="105"/>
        </w:rPr>
        <w:t xml:space="preserve"> </w:t>
      </w:r>
      <w:r w:rsidRPr="00283806">
        <w:rPr>
          <w:w w:val="105"/>
        </w:rPr>
        <w:t>the Agency notes that the option to preemptively repair a refrigerant- containing appliance does not remove</w:t>
      </w:r>
      <w:r w:rsidRPr="00283806">
        <w:rPr>
          <w:spacing w:val="40"/>
          <w:w w:val="105"/>
        </w:rPr>
        <w:t xml:space="preserve"> </w:t>
      </w:r>
      <w:r w:rsidRPr="00283806">
        <w:rPr>
          <w:w w:val="105"/>
        </w:rPr>
        <w:t>the necessity to conduct a leak rate calculation.</w:t>
      </w:r>
      <w:r w:rsidRPr="00283806">
        <w:rPr>
          <w:spacing w:val="40"/>
          <w:w w:val="105"/>
        </w:rPr>
        <w:t xml:space="preserve"> </w:t>
      </w:r>
      <w:r w:rsidRPr="00283806">
        <w:rPr>
          <w:w w:val="105"/>
        </w:rPr>
        <w:t>As</w:t>
      </w:r>
      <w:r w:rsidRPr="00283806">
        <w:rPr>
          <w:spacing w:val="40"/>
          <w:w w:val="105"/>
        </w:rPr>
        <w:t xml:space="preserve"> </w:t>
      </w:r>
      <w:r w:rsidRPr="00283806">
        <w:rPr>
          <w:w w:val="105"/>
        </w:rPr>
        <w:t>previously</w:t>
      </w:r>
      <w:r w:rsidRPr="00283806">
        <w:rPr>
          <w:spacing w:val="40"/>
          <w:w w:val="105"/>
        </w:rPr>
        <w:t xml:space="preserve"> </w:t>
      </w:r>
      <w:r w:rsidRPr="00283806">
        <w:rPr>
          <w:w w:val="105"/>
        </w:rPr>
        <w:t>discussed,</w:t>
      </w:r>
      <w:r w:rsidRPr="00283806">
        <w:rPr>
          <w:spacing w:val="40"/>
          <w:w w:val="105"/>
        </w:rPr>
        <w:t xml:space="preserve"> </w:t>
      </w:r>
      <w:r w:rsidRPr="00283806">
        <w:rPr>
          <w:w w:val="105"/>
        </w:rPr>
        <w:t>the option to preemptively repair a refrigerant-containing appliance and the calculation of a refrigerant-containing appliance’s leak rate are separate parts</w:t>
      </w:r>
      <w:r w:rsidRPr="00283806">
        <w:rPr>
          <w:spacing w:val="40"/>
          <w:w w:val="105"/>
        </w:rPr>
        <w:t xml:space="preserve"> </w:t>
      </w:r>
      <w:r w:rsidRPr="00283806">
        <w:rPr>
          <w:w w:val="105"/>
        </w:rPr>
        <w:t xml:space="preserve">of an overall approach to addressing leaks from refrigerant-containing appliances. The commenter is correct that the Agency </w:t>
      </w:r>
      <w:proofErr w:type="gramStart"/>
      <w:r w:rsidRPr="00283806">
        <w:rPr>
          <w:w w:val="105"/>
        </w:rPr>
        <w:t>is providing</w:t>
      </w:r>
      <w:proofErr w:type="gramEnd"/>
      <w:r w:rsidRPr="00283806">
        <w:rPr>
          <w:w w:val="105"/>
        </w:rPr>
        <w:t xml:space="preserve"> two compliance pathways when a leak is detected by an ALD system; however, EPA clarifies that its rationale for the preemptive repair provision is intended to reduce the emissions of refrigerant from an appliance that is known to be leaking. EPA encourages owners and operators to preemptively repair a</w:t>
      </w:r>
    </w:p>
    <w:p w14:paraId="09691316"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8" w:space="40"/>
            <w:col w:w="3497" w:space="39"/>
            <w:col w:w="3626"/>
          </w:cols>
        </w:sectPr>
      </w:pPr>
    </w:p>
    <w:p w14:paraId="1F0DDA08" w14:textId="77777777" w:rsidR="00D67C1E" w:rsidRPr="00283806" w:rsidRDefault="001265CA">
      <w:pPr>
        <w:pStyle w:val="BodyText"/>
        <w:spacing w:before="134" w:line="228" w:lineRule="auto"/>
        <w:ind w:right="16"/>
      </w:pPr>
      <w:r w:rsidRPr="00283806">
        <w:rPr>
          <w:w w:val="105"/>
        </w:rPr>
        <w:lastRenderedPageBreak/>
        <w:t xml:space="preserve">refrigerant-containing appliance for this reason but </w:t>
      </w:r>
      <w:proofErr w:type="gramStart"/>
      <w:r w:rsidRPr="00283806">
        <w:rPr>
          <w:w w:val="105"/>
        </w:rPr>
        <w:t>is not requiring</w:t>
      </w:r>
      <w:proofErr w:type="gramEnd"/>
      <w:r w:rsidRPr="00283806">
        <w:rPr>
          <w:w w:val="105"/>
        </w:rPr>
        <w:t xml:space="preserve"> an owner or operator to do so. In both compliance scenarios the owner or operator will need to conduct a leak rate calculation</w:t>
      </w:r>
      <w:r w:rsidRPr="00283806">
        <w:rPr>
          <w:spacing w:val="80"/>
          <w:w w:val="150"/>
        </w:rPr>
        <w:t xml:space="preserve"> </w:t>
      </w:r>
      <w:r w:rsidRPr="00283806">
        <w:rPr>
          <w:w w:val="105"/>
        </w:rPr>
        <w:t>to determine if the refrigerant- containing appliance was leaking above the applicable leak rate which requires the owner or operator to conduct the</w:t>
      </w:r>
      <w:r w:rsidRPr="00283806">
        <w:rPr>
          <w:spacing w:val="40"/>
          <w:w w:val="105"/>
        </w:rPr>
        <w:t xml:space="preserve"> </w:t>
      </w:r>
      <w:r w:rsidRPr="00283806">
        <w:rPr>
          <w:w w:val="105"/>
        </w:rPr>
        <w:t>rest of the leak repair process, even if</w:t>
      </w:r>
      <w:r w:rsidRPr="00283806">
        <w:rPr>
          <w:spacing w:val="80"/>
          <w:w w:val="105"/>
        </w:rPr>
        <w:t xml:space="preserve"> </w:t>
      </w:r>
      <w:r w:rsidRPr="00283806">
        <w:rPr>
          <w:w w:val="105"/>
        </w:rPr>
        <w:t>the leak(s) were preemptively repaired. Preemptive repair gives owners or operators a ‘‘head start’’ to the leak</w:t>
      </w:r>
      <w:r w:rsidRPr="00283806">
        <w:rPr>
          <w:spacing w:val="40"/>
          <w:w w:val="105"/>
        </w:rPr>
        <w:t xml:space="preserve"> </w:t>
      </w:r>
      <w:r w:rsidRPr="00283806">
        <w:rPr>
          <w:w w:val="105"/>
        </w:rPr>
        <w:t>repair process and is not a replacement for the leak rate calculation of the refrigerant-containing appliance. The Agency</w:t>
      </w:r>
      <w:r w:rsidRPr="00283806">
        <w:rPr>
          <w:spacing w:val="40"/>
          <w:w w:val="105"/>
        </w:rPr>
        <w:t xml:space="preserve"> </w:t>
      </w:r>
      <w:r w:rsidRPr="00283806">
        <w:rPr>
          <w:w w:val="105"/>
        </w:rPr>
        <w:t>disagrees</w:t>
      </w:r>
      <w:r w:rsidRPr="00283806">
        <w:rPr>
          <w:spacing w:val="40"/>
          <w:w w:val="105"/>
        </w:rPr>
        <w:t xml:space="preserve"> </w:t>
      </w:r>
      <w:r w:rsidRPr="00283806">
        <w:rPr>
          <w:w w:val="105"/>
        </w:rPr>
        <w:t>with</w:t>
      </w:r>
      <w:r w:rsidRPr="00283806">
        <w:rPr>
          <w:spacing w:val="40"/>
          <w:w w:val="105"/>
        </w:rPr>
        <w:t xml:space="preserve"> </w:t>
      </w:r>
      <w:r w:rsidRPr="00283806">
        <w:rPr>
          <w:w w:val="105"/>
        </w:rPr>
        <w:t>the</w:t>
      </w:r>
      <w:r w:rsidRPr="00283806">
        <w:rPr>
          <w:spacing w:val="40"/>
          <w:w w:val="105"/>
        </w:rPr>
        <w:t xml:space="preserve"> </w:t>
      </w:r>
      <w:r w:rsidRPr="00283806">
        <w:rPr>
          <w:w w:val="105"/>
        </w:rPr>
        <w:t>framing</w:t>
      </w:r>
      <w:r w:rsidRPr="00283806">
        <w:rPr>
          <w:spacing w:val="40"/>
          <w:w w:val="105"/>
        </w:rPr>
        <w:t xml:space="preserve"> </w:t>
      </w:r>
      <w:r w:rsidRPr="00283806">
        <w:rPr>
          <w:w w:val="105"/>
        </w:rPr>
        <w:t>of the commenter’s claims on additional economic or operational burden to owners and operators associated with</w:t>
      </w:r>
      <w:r w:rsidRPr="00283806">
        <w:rPr>
          <w:spacing w:val="40"/>
          <w:w w:val="105"/>
        </w:rPr>
        <w:t xml:space="preserve"> </w:t>
      </w:r>
      <w:r w:rsidRPr="00283806">
        <w:rPr>
          <w:w w:val="105"/>
        </w:rPr>
        <w:t>the calculation of the leak rate after preemptive repair. A refrigerant- containing appliance may be considered ‘‘fully functional’’ after preemptive</w:t>
      </w:r>
      <w:r w:rsidRPr="00283806">
        <w:rPr>
          <w:spacing w:val="40"/>
          <w:w w:val="105"/>
        </w:rPr>
        <w:t xml:space="preserve"> </w:t>
      </w:r>
      <w:r w:rsidRPr="00283806">
        <w:rPr>
          <w:w w:val="105"/>
        </w:rPr>
        <w:t xml:space="preserve">repair, but a leak rate calculation is still required </w:t>
      </w:r>
      <w:proofErr w:type="gramStart"/>
      <w:r w:rsidRPr="00283806">
        <w:rPr>
          <w:w w:val="105"/>
        </w:rPr>
        <w:t>in order to</w:t>
      </w:r>
      <w:proofErr w:type="gramEnd"/>
      <w:r w:rsidRPr="00283806">
        <w:rPr>
          <w:w w:val="105"/>
        </w:rPr>
        <w:t xml:space="preserve"> determine if the appliance at the time of the ALD system alarm was leaking above the applicable threshold. If the refrigerant-containing appliance was leaking above the threshold, it is required that the preemptive repair be verified and inspected per the leak repair provisions of this final rule to ensure the repair holds. EPA reiterates that the</w:t>
      </w:r>
      <w:r w:rsidRPr="00283806">
        <w:rPr>
          <w:spacing w:val="80"/>
          <w:w w:val="105"/>
        </w:rPr>
        <w:t xml:space="preserve"> </w:t>
      </w:r>
      <w:r w:rsidRPr="00283806">
        <w:rPr>
          <w:w w:val="105"/>
        </w:rPr>
        <w:t>preemptive repair of an appliance is not</w:t>
      </w:r>
      <w:r w:rsidRPr="00283806">
        <w:rPr>
          <w:spacing w:val="40"/>
          <w:w w:val="105"/>
        </w:rPr>
        <w:t xml:space="preserve"> </w:t>
      </w:r>
      <w:r w:rsidRPr="00283806">
        <w:rPr>
          <w:w w:val="105"/>
        </w:rPr>
        <w:t>a substitute for the calculation of a leak rate.</w:t>
      </w:r>
      <w:r w:rsidRPr="00283806">
        <w:rPr>
          <w:spacing w:val="40"/>
          <w:w w:val="105"/>
        </w:rPr>
        <w:t xml:space="preserve"> </w:t>
      </w:r>
      <w:r w:rsidRPr="00283806">
        <w:rPr>
          <w:w w:val="105"/>
        </w:rPr>
        <w:t>Additionally,</w:t>
      </w:r>
      <w:r w:rsidRPr="00283806">
        <w:rPr>
          <w:spacing w:val="40"/>
          <w:w w:val="105"/>
        </w:rPr>
        <w:t xml:space="preserve"> </w:t>
      </w:r>
      <w:r w:rsidRPr="00283806">
        <w:rPr>
          <w:w w:val="105"/>
        </w:rPr>
        <w:t>similar</w:t>
      </w:r>
      <w:r w:rsidRPr="00283806">
        <w:rPr>
          <w:spacing w:val="40"/>
          <w:w w:val="105"/>
        </w:rPr>
        <w:t xml:space="preserve"> </w:t>
      </w:r>
      <w:r w:rsidRPr="00283806">
        <w:rPr>
          <w:w w:val="105"/>
        </w:rPr>
        <w:t>costs</w:t>
      </w:r>
      <w:r w:rsidRPr="00283806">
        <w:rPr>
          <w:spacing w:val="40"/>
          <w:w w:val="105"/>
        </w:rPr>
        <w:t xml:space="preserve"> </w:t>
      </w:r>
      <w:r w:rsidRPr="00283806">
        <w:rPr>
          <w:w w:val="105"/>
        </w:rPr>
        <w:t>would be incurred if the owner or operator decided to not preemptively repair a refrigerant-containing appliance and</w:t>
      </w:r>
      <w:r w:rsidRPr="00283806">
        <w:rPr>
          <w:spacing w:val="80"/>
          <w:w w:val="105"/>
        </w:rPr>
        <w:t xml:space="preserve"> </w:t>
      </w:r>
      <w:r w:rsidRPr="00283806">
        <w:rPr>
          <w:w w:val="105"/>
        </w:rPr>
        <w:t>just calculated the leak rate of said appliance. If that appliance was then found to be leaking above the applicable leak rate the full suite of the leak repair provision</w:t>
      </w:r>
      <w:r w:rsidRPr="00283806">
        <w:rPr>
          <w:spacing w:val="40"/>
          <w:w w:val="105"/>
        </w:rPr>
        <w:t xml:space="preserve"> </w:t>
      </w:r>
      <w:r w:rsidRPr="00283806">
        <w:rPr>
          <w:w w:val="105"/>
        </w:rPr>
        <w:t>would</w:t>
      </w:r>
      <w:r w:rsidRPr="00283806">
        <w:rPr>
          <w:spacing w:val="40"/>
          <w:w w:val="105"/>
        </w:rPr>
        <w:t xml:space="preserve"> </w:t>
      </w:r>
      <w:r w:rsidRPr="00283806">
        <w:rPr>
          <w:w w:val="105"/>
        </w:rPr>
        <w:t>apply.</w:t>
      </w:r>
      <w:r w:rsidRPr="00283806">
        <w:rPr>
          <w:spacing w:val="40"/>
          <w:w w:val="105"/>
        </w:rPr>
        <w:t xml:space="preserve"> </w:t>
      </w:r>
      <w:r w:rsidRPr="00283806">
        <w:rPr>
          <w:w w:val="105"/>
        </w:rPr>
        <w:t>Thus,</w:t>
      </w:r>
      <w:r w:rsidRPr="00283806">
        <w:rPr>
          <w:spacing w:val="40"/>
          <w:w w:val="105"/>
        </w:rPr>
        <w:t xml:space="preserve"> </w:t>
      </w:r>
      <w:r w:rsidRPr="00283806">
        <w:rPr>
          <w:w w:val="105"/>
        </w:rPr>
        <w:t>the Agency disagrees with the commenter’s suggestion to remove the leak rate calculation if a refrigerant-containing appliance is preemptively repaired.</w:t>
      </w:r>
    </w:p>
    <w:p w14:paraId="717230BB" w14:textId="77777777" w:rsidR="00D67C1E" w:rsidRPr="00283806" w:rsidRDefault="001265CA">
      <w:pPr>
        <w:pStyle w:val="BodyText"/>
        <w:spacing w:before="15" w:line="228" w:lineRule="auto"/>
        <w:ind w:right="20" w:firstLine="180"/>
      </w:pPr>
      <w:r w:rsidRPr="00283806">
        <w:rPr>
          <w:w w:val="105"/>
        </w:rPr>
        <w:t xml:space="preserve">EPA </w:t>
      </w:r>
      <w:proofErr w:type="gramStart"/>
      <w:r w:rsidRPr="00283806">
        <w:rPr>
          <w:w w:val="105"/>
        </w:rPr>
        <w:t>is requiring</w:t>
      </w:r>
      <w:proofErr w:type="gramEnd"/>
      <w:r w:rsidRPr="00283806">
        <w:rPr>
          <w:w w:val="105"/>
        </w:rPr>
        <w:t xml:space="preserve"> owners or operators using an indirect ALD system to comply with the provisions to detect and repair leaks in appliances. The indirect ALD system must be calibrated to provide an alarm when the system has provided measurements that indicate that 50 pounds of refrigerant or 10 percent of</w:t>
      </w:r>
      <w:r w:rsidRPr="00283806">
        <w:rPr>
          <w:spacing w:val="40"/>
          <w:w w:val="105"/>
        </w:rPr>
        <w:t xml:space="preserve"> </w:t>
      </w:r>
      <w:r w:rsidRPr="00283806">
        <w:rPr>
          <w:w w:val="105"/>
        </w:rPr>
        <w:t>the full charge of refrigerant, whichever</w:t>
      </w:r>
      <w:r w:rsidRPr="00283806">
        <w:rPr>
          <w:spacing w:val="40"/>
          <w:w w:val="105"/>
        </w:rPr>
        <w:t xml:space="preserve"> </w:t>
      </w:r>
      <w:r w:rsidRPr="00283806">
        <w:rPr>
          <w:w w:val="105"/>
        </w:rPr>
        <w:t>is less, has leaked. EPA acknowledges</w:t>
      </w:r>
      <w:r w:rsidRPr="00283806">
        <w:rPr>
          <w:spacing w:val="40"/>
          <w:w w:val="105"/>
        </w:rPr>
        <w:t xml:space="preserve"> </w:t>
      </w:r>
      <w:r w:rsidRPr="00283806">
        <w:rPr>
          <w:w w:val="105"/>
        </w:rPr>
        <w:t>that commercial refrigeration and IPR appliances would exceed the alarm threshold if 50 pounds of refrigerant had leaked from an appliance. Therefore, owners and operators subject to the ALD installation and use requirements in this final rule that are using indirect ALD systems would be alerted when a leak</w:t>
      </w:r>
    </w:p>
    <w:p w14:paraId="44C46F3E" w14:textId="77777777" w:rsidR="00D67C1E" w:rsidRPr="00283806" w:rsidRDefault="001265CA">
      <w:pPr>
        <w:pStyle w:val="BodyText"/>
        <w:spacing w:before="133" w:line="228" w:lineRule="auto"/>
        <w:ind w:left="144"/>
      </w:pPr>
      <w:r w:rsidRPr="00283806">
        <w:br w:type="column"/>
      </w:r>
      <w:r w:rsidRPr="00283806">
        <w:rPr>
          <w:w w:val="105"/>
        </w:rPr>
        <w:t>surpassed 50 pounds of refrigerant. EPA understands that owners and operators not subject to the ALD installation and use requirements that are utilizing an indirect ALD system would receive an alert at 10 percent of full charge lost depending on the charge size of their refrigerant-containing appliance. For example,</w:t>
      </w:r>
      <w:r w:rsidRPr="00283806">
        <w:rPr>
          <w:spacing w:val="40"/>
          <w:w w:val="105"/>
        </w:rPr>
        <w:t xml:space="preserve"> </w:t>
      </w:r>
      <w:r w:rsidRPr="00283806">
        <w:rPr>
          <w:w w:val="105"/>
        </w:rPr>
        <w:t>an</w:t>
      </w:r>
      <w:r w:rsidRPr="00283806">
        <w:rPr>
          <w:spacing w:val="40"/>
          <w:w w:val="105"/>
        </w:rPr>
        <w:t xml:space="preserve"> </w:t>
      </w:r>
      <w:r w:rsidRPr="00283806">
        <w:rPr>
          <w:w w:val="105"/>
        </w:rPr>
        <w:t>appliance</w:t>
      </w:r>
      <w:r w:rsidRPr="00283806">
        <w:rPr>
          <w:spacing w:val="40"/>
          <w:w w:val="105"/>
        </w:rPr>
        <w:t xml:space="preserve"> </w:t>
      </w:r>
      <w:r w:rsidRPr="00283806">
        <w:rPr>
          <w:w w:val="105"/>
        </w:rPr>
        <w:t>with</w:t>
      </w:r>
      <w:r w:rsidRPr="00283806">
        <w:rPr>
          <w:spacing w:val="40"/>
          <w:w w:val="105"/>
        </w:rPr>
        <w:t xml:space="preserve"> </w:t>
      </w:r>
      <w:r w:rsidRPr="00283806">
        <w:rPr>
          <w:w w:val="105"/>
        </w:rPr>
        <w:t>a</w:t>
      </w:r>
      <w:r w:rsidRPr="00283806">
        <w:rPr>
          <w:spacing w:val="40"/>
          <w:w w:val="105"/>
        </w:rPr>
        <w:t xml:space="preserve"> </w:t>
      </w:r>
      <w:r w:rsidRPr="00283806">
        <w:rPr>
          <w:w w:val="105"/>
        </w:rPr>
        <w:t>charge size of 200 pounds would alarm when</w:t>
      </w:r>
      <w:r w:rsidRPr="00283806">
        <w:rPr>
          <w:spacing w:val="80"/>
          <w:w w:val="150"/>
        </w:rPr>
        <w:t xml:space="preserve"> </w:t>
      </w:r>
      <w:r w:rsidRPr="00283806">
        <w:rPr>
          <w:w w:val="105"/>
        </w:rPr>
        <w:t>20 pounds of refrigerant is lost because the appliance has leaked 10 percent of</w:t>
      </w:r>
      <w:r w:rsidRPr="00283806">
        <w:rPr>
          <w:spacing w:val="80"/>
          <w:w w:val="105"/>
        </w:rPr>
        <w:t xml:space="preserve"> </w:t>
      </w:r>
      <w:r w:rsidRPr="00283806">
        <w:rPr>
          <w:w w:val="105"/>
        </w:rPr>
        <w:t>its</w:t>
      </w:r>
      <w:r w:rsidRPr="00283806">
        <w:rPr>
          <w:spacing w:val="40"/>
          <w:w w:val="105"/>
        </w:rPr>
        <w:t xml:space="preserve"> </w:t>
      </w:r>
      <w:r w:rsidRPr="00283806">
        <w:rPr>
          <w:w w:val="105"/>
        </w:rPr>
        <w:t>full</w:t>
      </w:r>
      <w:r w:rsidRPr="00283806">
        <w:rPr>
          <w:spacing w:val="40"/>
          <w:w w:val="105"/>
        </w:rPr>
        <w:t xml:space="preserve"> </w:t>
      </w:r>
      <w:r w:rsidRPr="00283806">
        <w:rPr>
          <w:w w:val="105"/>
        </w:rPr>
        <w:t>charge.</w:t>
      </w:r>
      <w:r w:rsidRPr="00283806">
        <w:rPr>
          <w:spacing w:val="40"/>
          <w:w w:val="105"/>
        </w:rPr>
        <w:t xml:space="preserve"> </w:t>
      </w:r>
      <w:r w:rsidRPr="00283806">
        <w:rPr>
          <w:w w:val="105"/>
        </w:rPr>
        <w:t>Once</w:t>
      </w:r>
      <w:r w:rsidRPr="00283806">
        <w:rPr>
          <w:spacing w:val="40"/>
          <w:w w:val="105"/>
        </w:rPr>
        <w:t xml:space="preserve"> </w:t>
      </w:r>
      <w:r w:rsidRPr="00283806">
        <w:rPr>
          <w:w w:val="105"/>
        </w:rPr>
        <w:t>that</w:t>
      </w:r>
      <w:r w:rsidRPr="00283806">
        <w:rPr>
          <w:spacing w:val="40"/>
          <w:w w:val="105"/>
        </w:rPr>
        <w:t xml:space="preserve"> </w:t>
      </w:r>
      <w:r w:rsidRPr="00283806">
        <w:rPr>
          <w:w w:val="105"/>
        </w:rPr>
        <w:t xml:space="preserve">alarm threshold has been surpassed, EPA is requiring the owner or operator to perform a leak rate calculation, or alternatively they may preemptively repair the leak before adding refrigerant and calculating the leak rate. The same requirements, as described elsewhere in this section, where an owner or operator chooses to perform preemptive leak repair when using a direct ALD system apply in the scenario where preemptive leak repair is performed when using an indirect ALD system. Similarly, EPA is </w:t>
      </w:r>
      <w:proofErr w:type="gramStart"/>
      <w:r w:rsidRPr="00283806">
        <w:rPr>
          <w:w w:val="105"/>
        </w:rPr>
        <w:t>requiring</w:t>
      </w:r>
      <w:proofErr w:type="gramEnd"/>
      <w:r w:rsidRPr="00283806">
        <w:rPr>
          <w:w w:val="105"/>
        </w:rPr>
        <w:t xml:space="preserve"> that a leak rate calculation be performed within 30 days (or 120 days where an industrial process shutdown is necessary) of the alarm where an</w:t>
      </w:r>
      <w:r w:rsidRPr="00283806">
        <w:rPr>
          <w:spacing w:val="80"/>
          <w:w w:val="105"/>
        </w:rPr>
        <w:t xml:space="preserve"> </w:t>
      </w:r>
      <w:r w:rsidRPr="00283806">
        <w:rPr>
          <w:w w:val="105"/>
        </w:rPr>
        <w:t>indirect ALD system is used for refrigerant-containing appliances</w:t>
      </w:r>
      <w:r w:rsidRPr="00283806">
        <w:rPr>
          <w:spacing w:val="80"/>
          <w:w w:val="105"/>
        </w:rPr>
        <w:t xml:space="preserve"> </w:t>
      </w:r>
      <w:r w:rsidRPr="00283806">
        <w:rPr>
          <w:w w:val="105"/>
        </w:rPr>
        <w:t>subject</w:t>
      </w:r>
      <w:r w:rsidRPr="00283806">
        <w:rPr>
          <w:spacing w:val="40"/>
          <w:w w:val="105"/>
        </w:rPr>
        <w:t xml:space="preserve"> </w:t>
      </w:r>
      <w:r w:rsidRPr="00283806">
        <w:rPr>
          <w:w w:val="105"/>
        </w:rPr>
        <w:t>to</w:t>
      </w:r>
      <w:r w:rsidRPr="00283806">
        <w:rPr>
          <w:spacing w:val="40"/>
          <w:w w:val="105"/>
        </w:rPr>
        <w:t xml:space="preserve"> </w:t>
      </w:r>
      <w:r w:rsidRPr="00283806">
        <w:rPr>
          <w:w w:val="105"/>
        </w:rPr>
        <w:t>this</w:t>
      </w:r>
      <w:r w:rsidRPr="00283806">
        <w:rPr>
          <w:spacing w:val="40"/>
          <w:w w:val="105"/>
        </w:rPr>
        <w:t xml:space="preserve"> </w:t>
      </w:r>
      <w:r w:rsidRPr="00283806">
        <w:rPr>
          <w:w w:val="105"/>
        </w:rPr>
        <w:t>provision.</w:t>
      </w:r>
      <w:r w:rsidRPr="00283806">
        <w:rPr>
          <w:spacing w:val="40"/>
          <w:w w:val="105"/>
        </w:rPr>
        <w:t xml:space="preserve"> </w:t>
      </w:r>
      <w:r w:rsidRPr="00283806">
        <w:rPr>
          <w:w w:val="105"/>
        </w:rPr>
        <w:t>If</w:t>
      </w:r>
      <w:r w:rsidRPr="00283806">
        <w:rPr>
          <w:spacing w:val="40"/>
          <w:w w:val="105"/>
        </w:rPr>
        <w:t xml:space="preserve"> </w:t>
      </w:r>
      <w:r w:rsidRPr="00283806">
        <w:rPr>
          <w:w w:val="105"/>
        </w:rPr>
        <w:t xml:space="preserve">the calculated leak rate is above the applicable leak trigger rate (as discussed in section IV.C.3.a of this preamble), </w:t>
      </w:r>
      <w:proofErr w:type="gramStart"/>
      <w:r w:rsidRPr="00283806">
        <w:rPr>
          <w:w w:val="105"/>
        </w:rPr>
        <w:t>all</w:t>
      </w:r>
      <w:r w:rsidRPr="00283806">
        <w:rPr>
          <w:spacing w:val="80"/>
          <w:w w:val="105"/>
        </w:rPr>
        <w:t xml:space="preserve"> </w:t>
      </w:r>
      <w:r w:rsidRPr="00283806">
        <w:rPr>
          <w:w w:val="105"/>
        </w:rPr>
        <w:t>of</w:t>
      </w:r>
      <w:proofErr w:type="gramEnd"/>
      <w:r w:rsidRPr="00283806">
        <w:rPr>
          <w:w w:val="105"/>
        </w:rPr>
        <w:t xml:space="preserve"> the leak repair requirements in this action (including the repair</w:t>
      </w:r>
      <w:r w:rsidRPr="00283806">
        <w:rPr>
          <w:spacing w:val="40"/>
          <w:w w:val="105"/>
        </w:rPr>
        <w:t xml:space="preserve"> </w:t>
      </w:r>
      <w:r w:rsidRPr="00283806">
        <w:rPr>
          <w:w w:val="105"/>
        </w:rPr>
        <w:t>requirements, inspections, verification tests and recordkeeping and reporting) would then apply.</w:t>
      </w:r>
    </w:p>
    <w:p w14:paraId="3EEC7A5C" w14:textId="77777777" w:rsidR="00D67C1E" w:rsidRPr="00283806" w:rsidRDefault="001265CA">
      <w:pPr>
        <w:pStyle w:val="BodyText"/>
        <w:spacing w:before="19" w:line="228" w:lineRule="auto"/>
        <w:ind w:left="144" w:right="6" w:firstLine="180"/>
      </w:pPr>
      <w:r w:rsidRPr="00283806">
        <w:rPr>
          <w:w w:val="105"/>
        </w:rPr>
        <w:t>As described in the proposal, indirect ALD systems rely on data analytics to detect leaks rather than the direct detection</w:t>
      </w:r>
      <w:r w:rsidRPr="00283806">
        <w:rPr>
          <w:spacing w:val="40"/>
          <w:w w:val="105"/>
        </w:rPr>
        <w:t xml:space="preserve"> </w:t>
      </w:r>
      <w:r w:rsidRPr="00283806">
        <w:rPr>
          <w:w w:val="105"/>
        </w:rPr>
        <w:t>of</w:t>
      </w:r>
      <w:r w:rsidRPr="00283806">
        <w:rPr>
          <w:spacing w:val="40"/>
          <w:w w:val="105"/>
        </w:rPr>
        <w:t xml:space="preserve"> </w:t>
      </w:r>
      <w:r w:rsidRPr="00283806">
        <w:rPr>
          <w:w w:val="105"/>
        </w:rPr>
        <w:t>refrigerant</w:t>
      </w:r>
      <w:r w:rsidRPr="00283806">
        <w:rPr>
          <w:spacing w:val="40"/>
          <w:w w:val="105"/>
        </w:rPr>
        <w:t xml:space="preserve"> </w:t>
      </w:r>
      <w:r w:rsidRPr="00283806">
        <w:rPr>
          <w:w w:val="105"/>
        </w:rPr>
        <w:t>gas.</w:t>
      </w:r>
      <w:r w:rsidRPr="00283806">
        <w:rPr>
          <w:spacing w:val="40"/>
          <w:w w:val="105"/>
        </w:rPr>
        <w:t xml:space="preserve"> </w:t>
      </w:r>
      <w:r w:rsidRPr="00283806">
        <w:rPr>
          <w:w w:val="105"/>
        </w:rPr>
        <w:t>Indirect ALD systems monitor the operation of a refrigerant-based system to infer</w:t>
      </w:r>
      <w:r w:rsidRPr="00283806">
        <w:rPr>
          <w:spacing w:val="40"/>
          <w:w w:val="105"/>
        </w:rPr>
        <w:t xml:space="preserve"> </w:t>
      </w:r>
      <w:r w:rsidRPr="00283806">
        <w:rPr>
          <w:w w:val="105"/>
        </w:rPr>
        <w:t>whether</w:t>
      </w:r>
      <w:r w:rsidRPr="00283806">
        <w:rPr>
          <w:spacing w:val="31"/>
          <w:w w:val="105"/>
        </w:rPr>
        <w:t xml:space="preserve"> </w:t>
      </w:r>
      <w:r w:rsidRPr="00283806">
        <w:rPr>
          <w:w w:val="105"/>
        </w:rPr>
        <w:t>a</w:t>
      </w:r>
      <w:r w:rsidRPr="00283806">
        <w:rPr>
          <w:spacing w:val="31"/>
          <w:w w:val="105"/>
        </w:rPr>
        <w:t xml:space="preserve"> </w:t>
      </w:r>
      <w:r w:rsidRPr="00283806">
        <w:rPr>
          <w:w w:val="105"/>
        </w:rPr>
        <w:t>leak</w:t>
      </w:r>
      <w:r w:rsidRPr="00283806">
        <w:rPr>
          <w:spacing w:val="31"/>
          <w:w w:val="105"/>
        </w:rPr>
        <w:t xml:space="preserve"> </w:t>
      </w:r>
      <w:r w:rsidRPr="00283806">
        <w:rPr>
          <w:w w:val="105"/>
        </w:rPr>
        <w:t>is</w:t>
      </w:r>
      <w:r w:rsidRPr="00283806">
        <w:rPr>
          <w:spacing w:val="31"/>
          <w:w w:val="105"/>
        </w:rPr>
        <w:t xml:space="preserve"> </w:t>
      </w:r>
      <w:r w:rsidRPr="00283806">
        <w:rPr>
          <w:w w:val="105"/>
        </w:rPr>
        <w:t>present.</w:t>
      </w:r>
      <w:r w:rsidRPr="00283806">
        <w:rPr>
          <w:spacing w:val="31"/>
          <w:w w:val="105"/>
        </w:rPr>
        <w:t xml:space="preserve"> </w:t>
      </w:r>
      <w:r w:rsidRPr="00283806">
        <w:rPr>
          <w:w w:val="105"/>
        </w:rPr>
        <w:t>This</w:t>
      </w:r>
      <w:r w:rsidRPr="00283806">
        <w:rPr>
          <w:spacing w:val="31"/>
          <w:w w:val="105"/>
        </w:rPr>
        <w:t xml:space="preserve"> </w:t>
      </w:r>
      <w:r w:rsidRPr="00283806">
        <w:rPr>
          <w:w w:val="105"/>
        </w:rPr>
        <w:t>method is typically conducted using existing sensors and hardware that are already located on site, and it relies on</w:t>
      </w:r>
      <w:r w:rsidRPr="00283806">
        <w:rPr>
          <w:spacing w:val="40"/>
          <w:w w:val="105"/>
        </w:rPr>
        <w:t xml:space="preserve"> </w:t>
      </w:r>
      <w:r w:rsidRPr="00283806">
        <w:rPr>
          <w:w w:val="105"/>
        </w:rPr>
        <w:t>algorithms to evaluate existing conditions, such as liquid levels, temperatures, and ambient conditions to indicate whether a leak is occurring.</w:t>
      </w:r>
    </w:p>
    <w:p w14:paraId="111EF74A" w14:textId="77777777" w:rsidR="00D67C1E" w:rsidRPr="00283806" w:rsidRDefault="001265CA">
      <w:pPr>
        <w:pStyle w:val="BodyText"/>
        <w:spacing w:line="228" w:lineRule="auto"/>
        <w:ind w:left="144" w:right="125"/>
      </w:pPr>
      <w:r w:rsidRPr="00283806">
        <w:rPr>
          <w:w w:val="105"/>
        </w:rPr>
        <w:t>EPA understands that indirect systems can be calibrated to provide an alarm when a specified predicted refrigerant leak rate has occurred. The Agency is not establishing a definition of indirect ALD systems in this rulemaking and clarifies that any indirect ALD system that meets the criteria described in 40 CFR 84.108(g) is acceptable to use.</w:t>
      </w:r>
    </w:p>
    <w:p w14:paraId="6C017984" w14:textId="77777777" w:rsidR="00D67C1E" w:rsidRPr="00283806" w:rsidRDefault="001265CA">
      <w:pPr>
        <w:pStyle w:val="BodyText"/>
        <w:spacing w:line="228" w:lineRule="auto"/>
        <w:ind w:left="144" w:right="125"/>
      </w:pPr>
      <w:r w:rsidRPr="00283806">
        <w:rPr>
          <w:w w:val="105"/>
        </w:rPr>
        <w:t xml:space="preserve">Additionally, EPA </w:t>
      </w:r>
      <w:proofErr w:type="gramStart"/>
      <w:r w:rsidRPr="00283806">
        <w:rPr>
          <w:w w:val="105"/>
        </w:rPr>
        <w:t>is requiring that</w:t>
      </w:r>
      <w:proofErr w:type="gramEnd"/>
      <w:r w:rsidRPr="00283806">
        <w:rPr>
          <w:w w:val="105"/>
        </w:rPr>
        <w:t xml:space="preserve"> indirect ALD systems </w:t>
      </w:r>
      <w:proofErr w:type="gramStart"/>
      <w:r w:rsidRPr="00283806">
        <w:rPr>
          <w:w w:val="105"/>
        </w:rPr>
        <w:t>monitor</w:t>
      </w:r>
      <w:proofErr w:type="gramEnd"/>
      <w:r w:rsidRPr="00283806">
        <w:rPr>
          <w:w w:val="105"/>
        </w:rPr>
        <w:t xml:space="preserve"> at least two ‘‘measurements’’ to determine whether a refrigerant-containing</w:t>
      </w:r>
    </w:p>
    <w:p w14:paraId="0F9FC088" w14:textId="77777777" w:rsidR="00D67C1E" w:rsidRPr="00283806" w:rsidRDefault="001265CA">
      <w:pPr>
        <w:pStyle w:val="BodyText"/>
        <w:spacing w:before="133" w:line="225" w:lineRule="auto"/>
        <w:ind w:left="144" w:right="200"/>
      </w:pPr>
      <w:r w:rsidRPr="00283806">
        <w:br w:type="column"/>
      </w:r>
      <w:proofErr w:type="gramStart"/>
      <w:r w:rsidRPr="00283806">
        <w:rPr>
          <w:w w:val="105"/>
        </w:rPr>
        <w:t>appliance is</w:t>
      </w:r>
      <w:proofErr w:type="gramEnd"/>
      <w:r w:rsidRPr="00283806">
        <w:rPr>
          <w:w w:val="105"/>
        </w:rPr>
        <w:t xml:space="preserve"> leaking above the final</w:t>
      </w:r>
      <w:r w:rsidRPr="00283806">
        <w:rPr>
          <w:spacing w:val="80"/>
          <w:w w:val="105"/>
        </w:rPr>
        <w:t xml:space="preserve"> </w:t>
      </w:r>
      <w:r w:rsidRPr="00283806">
        <w:rPr>
          <w:w w:val="105"/>
        </w:rPr>
        <w:t xml:space="preserve">rule’s alarm criteria. Some examples of appropriate measurements include but are not limited to temperature, liquid levels, pressure, and flow rate. Multiple measurements are required to ensure that an indirect ALD system is operating as intended and </w:t>
      </w:r>
      <w:proofErr w:type="gramStart"/>
      <w:r w:rsidRPr="00283806">
        <w:rPr>
          <w:w w:val="105"/>
        </w:rPr>
        <w:t>providing</w:t>
      </w:r>
      <w:proofErr w:type="gramEnd"/>
      <w:r w:rsidRPr="00283806">
        <w:rPr>
          <w:w w:val="105"/>
        </w:rPr>
        <w:t xml:space="preserve"> owners or operators with accurate data on the condition of their refrigerant-containing </w:t>
      </w:r>
      <w:r w:rsidRPr="00283806">
        <w:rPr>
          <w:spacing w:val="-2"/>
          <w:w w:val="105"/>
        </w:rPr>
        <w:t>appliance.</w:t>
      </w:r>
    </w:p>
    <w:p w14:paraId="7EA9D361" w14:textId="77777777" w:rsidR="00D67C1E" w:rsidRPr="00283806" w:rsidRDefault="001265CA">
      <w:pPr>
        <w:pStyle w:val="BodyText"/>
        <w:spacing w:line="176" w:lineRule="exact"/>
        <w:ind w:left="324"/>
      </w:pPr>
      <w:r w:rsidRPr="00283806">
        <w:rPr>
          <w:w w:val="105"/>
        </w:rPr>
        <w:t>The</w:t>
      </w:r>
      <w:r w:rsidRPr="00283806">
        <w:rPr>
          <w:spacing w:val="13"/>
          <w:w w:val="105"/>
        </w:rPr>
        <w:t xml:space="preserve"> </w:t>
      </w:r>
      <w:r w:rsidRPr="00283806">
        <w:rPr>
          <w:w w:val="105"/>
        </w:rPr>
        <w:t>Agency</w:t>
      </w:r>
      <w:r w:rsidRPr="00283806">
        <w:rPr>
          <w:spacing w:val="13"/>
          <w:w w:val="105"/>
        </w:rPr>
        <w:t xml:space="preserve"> </w:t>
      </w:r>
      <w:r w:rsidRPr="00283806">
        <w:rPr>
          <w:w w:val="105"/>
        </w:rPr>
        <w:t>clarifies</w:t>
      </w:r>
      <w:r w:rsidRPr="00283806">
        <w:rPr>
          <w:spacing w:val="13"/>
          <w:w w:val="105"/>
        </w:rPr>
        <w:t xml:space="preserve"> </w:t>
      </w:r>
      <w:r w:rsidRPr="00283806">
        <w:rPr>
          <w:w w:val="105"/>
        </w:rPr>
        <w:t>that</w:t>
      </w:r>
      <w:r w:rsidRPr="00283806">
        <w:rPr>
          <w:spacing w:val="13"/>
          <w:w w:val="105"/>
        </w:rPr>
        <w:t xml:space="preserve"> </w:t>
      </w:r>
      <w:proofErr w:type="gramStart"/>
      <w:r w:rsidRPr="00283806">
        <w:rPr>
          <w:w w:val="105"/>
        </w:rPr>
        <w:t>a</w:t>
      </w:r>
      <w:r w:rsidRPr="00283806">
        <w:rPr>
          <w:spacing w:val="13"/>
          <w:w w:val="105"/>
        </w:rPr>
        <w:t xml:space="preserve"> </w:t>
      </w:r>
      <w:r w:rsidRPr="00283806">
        <w:rPr>
          <w:w w:val="105"/>
        </w:rPr>
        <w:t>10</w:t>
      </w:r>
      <w:proofErr w:type="gramEnd"/>
      <w:r w:rsidRPr="00283806">
        <w:rPr>
          <w:spacing w:val="13"/>
          <w:w w:val="105"/>
        </w:rPr>
        <w:t xml:space="preserve"> </w:t>
      </w:r>
      <w:r w:rsidRPr="00283806">
        <w:rPr>
          <w:spacing w:val="-2"/>
          <w:w w:val="105"/>
        </w:rPr>
        <w:t>percent</w:t>
      </w:r>
    </w:p>
    <w:p w14:paraId="541F365C" w14:textId="77777777" w:rsidR="00D67C1E" w:rsidRPr="00283806" w:rsidRDefault="001265CA">
      <w:pPr>
        <w:pStyle w:val="BodyText"/>
        <w:spacing w:before="4" w:line="225" w:lineRule="auto"/>
        <w:ind w:left="144" w:right="161"/>
      </w:pPr>
      <w:r w:rsidRPr="00283806">
        <w:rPr>
          <w:w w:val="105"/>
        </w:rPr>
        <w:t>loss of full charge does not directly correspond to the leak rate threshold of 20 percent for commercial refrigeration and 30 percent for IPR. The 10 percent</w:t>
      </w:r>
      <w:r w:rsidRPr="00283806">
        <w:rPr>
          <w:spacing w:val="40"/>
          <w:w w:val="105"/>
        </w:rPr>
        <w:t xml:space="preserve"> </w:t>
      </w:r>
      <w:r w:rsidRPr="00283806">
        <w:rPr>
          <w:w w:val="105"/>
        </w:rPr>
        <w:t xml:space="preserve">of total charge lost when an </w:t>
      </w:r>
      <w:proofErr w:type="gramStart"/>
      <w:r w:rsidRPr="00283806">
        <w:rPr>
          <w:w w:val="105"/>
        </w:rPr>
        <w:t>indirect</w:t>
      </w:r>
      <w:r w:rsidRPr="00283806">
        <w:rPr>
          <w:spacing w:val="80"/>
          <w:w w:val="105"/>
        </w:rPr>
        <w:t xml:space="preserve"> </w:t>
      </w:r>
      <w:r w:rsidRPr="00283806">
        <w:rPr>
          <w:w w:val="105"/>
        </w:rPr>
        <w:t>ALD system alarms</w:t>
      </w:r>
      <w:proofErr w:type="gramEnd"/>
      <w:r w:rsidRPr="00283806">
        <w:rPr>
          <w:w w:val="105"/>
        </w:rPr>
        <w:t xml:space="preserve"> may equate to less than or greater than an annualized leak rate of 20 or 30 percent depending on</w:t>
      </w:r>
      <w:r w:rsidRPr="00283806">
        <w:rPr>
          <w:spacing w:val="40"/>
          <w:w w:val="105"/>
        </w:rPr>
        <w:t xml:space="preserve"> </w:t>
      </w:r>
      <w:r w:rsidRPr="00283806">
        <w:rPr>
          <w:w w:val="105"/>
        </w:rPr>
        <w:t>the timeframe over which the leak occurred (see section IV.C.3.</w:t>
      </w:r>
      <w:proofErr w:type="gramStart"/>
      <w:r w:rsidRPr="00283806">
        <w:rPr>
          <w:w w:val="105"/>
        </w:rPr>
        <w:t>a for</w:t>
      </w:r>
      <w:proofErr w:type="gramEnd"/>
      <w:r w:rsidRPr="00283806">
        <w:rPr>
          <w:w w:val="105"/>
        </w:rPr>
        <w:t xml:space="preserve"> more information on calculating the</w:t>
      </w:r>
      <w:r w:rsidRPr="00283806">
        <w:rPr>
          <w:spacing w:val="40"/>
          <w:w w:val="105"/>
        </w:rPr>
        <w:t xml:space="preserve"> </w:t>
      </w:r>
      <w:r w:rsidRPr="00283806">
        <w:rPr>
          <w:w w:val="105"/>
        </w:rPr>
        <w:t>annualized leak rate). In any event, this difference is reasonable because the primary</w:t>
      </w:r>
      <w:r w:rsidRPr="00283806">
        <w:rPr>
          <w:spacing w:val="39"/>
          <w:w w:val="105"/>
        </w:rPr>
        <w:t xml:space="preserve"> </w:t>
      </w:r>
      <w:r w:rsidRPr="00283806">
        <w:rPr>
          <w:w w:val="105"/>
        </w:rPr>
        <w:t>purpose</w:t>
      </w:r>
      <w:r w:rsidRPr="00283806">
        <w:rPr>
          <w:spacing w:val="39"/>
          <w:w w:val="105"/>
        </w:rPr>
        <w:t xml:space="preserve"> </w:t>
      </w:r>
      <w:r w:rsidRPr="00283806">
        <w:rPr>
          <w:w w:val="105"/>
        </w:rPr>
        <w:t>of</w:t>
      </w:r>
      <w:r w:rsidRPr="00283806">
        <w:rPr>
          <w:spacing w:val="39"/>
          <w:w w:val="105"/>
        </w:rPr>
        <w:t xml:space="preserve"> </w:t>
      </w:r>
      <w:r w:rsidRPr="00283806">
        <w:rPr>
          <w:w w:val="105"/>
        </w:rPr>
        <w:t>the</w:t>
      </w:r>
      <w:r w:rsidRPr="00283806">
        <w:rPr>
          <w:spacing w:val="39"/>
          <w:w w:val="105"/>
        </w:rPr>
        <w:t xml:space="preserve"> </w:t>
      </w:r>
      <w:r w:rsidRPr="00283806">
        <w:rPr>
          <w:w w:val="105"/>
        </w:rPr>
        <w:t>ALD</w:t>
      </w:r>
      <w:r w:rsidRPr="00283806">
        <w:rPr>
          <w:spacing w:val="39"/>
          <w:w w:val="105"/>
        </w:rPr>
        <w:t xml:space="preserve"> </w:t>
      </w:r>
      <w:r w:rsidRPr="00283806">
        <w:rPr>
          <w:w w:val="105"/>
        </w:rPr>
        <w:t>system</w:t>
      </w:r>
      <w:r w:rsidRPr="00283806">
        <w:rPr>
          <w:spacing w:val="39"/>
          <w:w w:val="105"/>
        </w:rPr>
        <w:t xml:space="preserve"> </w:t>
      </w:r>
      <w:r w:rsidRPr="00283806">
        <w:rPr>
          <w:w w:val="105"/>
        </w:rPr>
        <w:t>is to allow the owner or operator to obtain knowledge of the leak earlier (</w:t>
      </w:r>
      <w:r w:rsidRPr="00283806">
        <w:rPr>
          <w:rFonts w:ascii="Book Antiqua" w:hAnsi="Book Antiqua"/>
          <w:i/>
          <w:w w:val="105"/>
        </w:rPr>
        <w:t>e.g.,</w:t>
      </w:r>
      <w:r w:rsidRPr="00283806">
        <w:rPr>
          <w:rFonts w:ascii="Book Antiqua" w:hAnsi="Book Antiqua"/>
          <w:i/>
          <w:spacing w:val="40"/>
          <w:w w:val="105"/>
        </w:rPr>
        <w:t xml:space="preserve"> </w:t>
      </w:r>
      <w:r w:rsidRPr="00283806">
        <w:rPr>
          <w:w w:val="105"/>
        </w:rPr>
        <w:t>before operations are impacted) and to facilitate earlier repair, whether through preemptive repair before the leak rate threshold is exceeded or through required repairs after the leak rate threshold is exceeded. The technical feasibility of the ‘‘50 pounds of refrigerant or 10 percent of the full charge, whichever is less’’ standard is well established. This has been the threshold</w:t>
      </w:r>
      <w:r w:rsidRPr="00283806">
        <w:rPr>
          <w:spacing w:val="40"/>
          <w:w w:val="105"/>
        </w:rPr>
        <w:t xml:space="preserve"> </w:t>
      </w:r>
      <w:r w:rsidRPr="00283806">
        <w:rPr>
          <w:w w:val="105"/>
        </w:rPr>
        <w:t>used</w:t>
      </w:r>
      <w:r w:rsidRPr="00283806">
        <w:rPr>
          <w:spacing w:val="40"/>
          <w:w w:val="105"/>
        </w:rPr>
        <w:t xml:space="preserve"> </w:t>
      </w:r>
      <w:r w:rsidRPr="00283806">
        <w:rPr>
          <w:w w:val="105"/>
        </w:rPr>
        <w:t>by</w:t>
      </w:r>
      <w:r w:rsidRPr="00283806">
        <w:rPr>
          <w:spacing w:val="40"/>
          <w:w w:val="105"/>
        </w:rPr>
        <w:t xml:space="preserve"> </w:t>
      </w:r>
      <w:r w:rsidRPr="00283806">
        <w:rPr>
          <w:w w:val="105"/>
        </w:rPr>
        <w:t>both</w:t>
      </w:r>
      <w:r w:rsidRPr="00283806">
        <w:rPr>
          <w:spacing w:val="40"/>
          <w:w w:val="105"/>
        </w:rPr>
        <w:t xml:space="preserve"> </w:t>
      </w:r>
      <w:r w:rsidRPr="00283806">
        <w:rPr>
          <w:w w:val="105"/>
        </w:rPr>
        <w:t>CARB</w:t>
      </w:r>
      <w:r w:rsidRPr="00283806">
        <w:rPr>
          <w:spacing w:val="40"/>
          <w:w w:val="105"/>
        </w:rPr>
        <w:t xml:space="preserve"> </w:t>
      </w:r>
      <w:r w:rsidRPr="00283806">
        <w:rPr>
          <w:w w:val="105"/>
        </w:rPr>
        <w:t>and</w:t>
      </w:r>
      <w:r w:rsidRPr="00283806">
        <w:rPr>
          <w:spacing w:val="40"/>
          <w:w w:val="105"/>
        </w:rPr>
        <w:t xml:space="preserve"> </w:t>
      </w:r>
      <w:r w:rsidRPr="00283806">
        <w:rPr>
          <w:w w:val="105"/>
        </w:rPr>
        <w:t>is also the standard in provisions at 40</w:t>
      </w:r>
      <w:r w:rsidRPr="00283806">
        <w:rPr>
          <w:spacing w:val="80"/>
          <w:w w:val="105"/>
        </w:rPr>
        <w:t xml:space="preserve"> </w:t>
      </w:r>
      <w:r w:rsidRPr="00283806">
        <w:rPr>
          <w:w w:val="105"/>
        </w:rPr>
        <w:t>CFR 82.157(g)(4)(ii) for ALD systems that are used in lieu of quarterly or annual leak inspections, as part of the leak repair requirements under CAA section 608.</w:t>
      </w:r>
    </w:p>
    <w:p w14:paraId="4C7546A8" w14:textId="77777777" w:rsidR="00D67C1E" w:rsidRPr="00283806" w:rsidRDefault="001265CA">
      <w:pPr>
        <w:spacing w:line="163" w:lineRule="exact"/>
        <w:ind w:left="324"/>
        <w:rPr>
          <w:sz w:val="18"/>
        </w:rPr>
      </w:pPr>
      <w:r w:rsidRPr="00283806">
        <w:rPr>
          <w:rFonts w:ascii="Book Antiqua"/>
          <w:i/>
          <w:w w:val="110"/>
          <w:sz w:val="18"/>
        </w:rPr>
        <w:t>Comment:</w:t>
      </w:r>
      <w:r w:rsidRPr="00283806">
        <w:rPr>
          <w:rFonts w:ascii="Book Antiqua"/>
          <w:i/>
          <w:spacing w:val="2"/>
          <w:w w:val="110"/>
          <w:sz w:val="18"/>
        </w:rPr>
        <w:t xml:space="preserve"> </w:t>
      </w:r>
      <w:r w:rsidRPr="00283806">
        <w:rPr>
          <w:w w:val="110"/>
          <w:sz w:val="18"/>
        </w:rPr>
        <w:t>The</w:t>
      </w:r>
      <w:r w:rsidRPr="00283806">
        <w:rPr>
          <w:spacing w:val="8"/>
          <w:w w:val="110"/>
          <w:sz w:val="18"/>
        </w:rPr>
        <w:t xml:space="preserve"> </w:t>
      </w:r>
      <w:r w:rsidRPr="00283806">
        <w:rPr>
          <w:w w:val="110"/>
          <w:sz w:val="18"/>
        </w:rPr>
        <w:t>Agency</w:t>
      </w:r>
      <w:r w:rsidRPr="00283806">
        <w:rPr>
          <w:spacing w:val="8"/>
          <w:w w:val="110"/>
          <w:sz w:val="18"/>
        </w:rPr>
        <w:t xml:space="preserve"> </w:t>
      </w:r>
      <w:r w:rsidRPr="00283806">
        <w:rPr>
          <w:spacing w:val="-2"/>
          <w:w w:val="110"/>
          <w:sz w:val="18"/>
        </w:rPr>
        <w:t>received</w:t>
      </w:r>
    </w:p>
    <w:p w14:paraId="4A246FB3" w14:textId="77777777" w:rsidR="00D67C1E" w:rsidRPr="00283806" w:rsidRDefault="001265CA">
      <w:pPr>
        <w:pStyle w:val="BodyText"/>
        <w:spacing w:line="225" w:lineRule="auto"/>
        <w:ind w:left="144" w:right="180"/>
      </w:pPr>
      <w:r w:rsidRPr="00283806">
        <w:rPr>
          <w:w w:val="105"/>
        </w:rPr>
        <w:t>mixed comments on the inclusion of indirect ALD in the proposal. One commenter supported the inclusion of indirect ALD systems in the proposed rule. Another commenter asserted that EPA should not allow indirect ALD systems as an alternative to direct ALD systems because indirect ALD systems are newer technologies that are unproven to satisfy the objectives of this rule. The commenter suggested that the final rule could include indirect</w:t>
      </w:r>
      <w:r w:rsidRPr="00283806">
        <w:rPr>
          <w:spacing w:val="80"/>
          <w:w w:val="105"/>
        </w:rPr>
        <w:t xml:space="preserve"> </w:t>
      </w:r>
      <w:r w:rsidRPr="00283806">
        <w:rPr>
          <w:w w:val="105"/>
        </w:rPr>
        <w:t>detection as a helpful supplement to direct detection systems but should not replace or be permitted as an alternative to direct ALD. The commenter also</w:t>
      </w:r>
      <w:r w:rsidRPr="00283806">
        <w:rPr>
          <w:spacing w:val="80"/>
          <w:w w:val="105"/>
        </w:rPr>
        <w:t xml:space="preserve"> </w:t>
      </w:r>
      <w:r w:rsidRPr="00283806">
        <w:rPr>
          <w:w w:val="105"/>
        </w:rPr>
        <w:t>stated that no indirect detection system currently complies with safety</w:t>
      </w:r>
      <w:r w:rsidRPr="00283806">
        <w:rPr>
          <w:spacing w:val="80"/>
          <w:w w:val="150"/>
        </w:rPr>
        <w:t xml:space="preserve"> </w:t>
      </w:r>
      <w:r w:rsidRPr="00283806">
        <w:rPr>
          <w:w w:val="105"/>
        </w:rPr>
        <w:t>standards for occupied spaces and that</w:t>
      </w:r>
      <w:r w:rsidRPr="00283806">
        <w:rPr>
          <w:spacing w:val="40"/>
          <w:w w:val="105"/>
        </w:rPr>
        <w:t xml:space="preserve"> </w:t>
      </w:r>
      <w:r w:rsidRPr="00283806">
        <w:rPr>
          <w:w w:val="105"/>
        </w:rPr>
        <w:t>an additional layer of direct ALD is required to comply with ASHRAE and other guidance that governs personnel safety. If indirect ALD systems are going</w:t>
      </w:r>
    </w:p>
    <w:p w14:paraId="72DE099B"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6" w:space="40"/>
            <w:col w:w="3501" w:space="39"/>
            <w:col w:w="3624"/>
          </w:cols>
        </w:sectPr>
      </w:pPr>
    </w:p>
    <w:p w14:paraId="4B236882" w14:textId="77777777" w:rsidR="00D67C1E" w:rsidRPr="00283806" w:rsidRDefault="001265CA">
      <w:pPr>
        <w:pStyle w:val="BodyText"/>
        <w:spacing w:before="136" w:line="225" w:lineRule="auto"/>
        <w:ind w:right="27"/>
      </w:pPr>
      <w:r w:rsidRPr="00283806">
        <w:rPr>
          <w:w w:val="105"/>
        </w:rPr>
        <w:lastRenderedPageBreak/>
        <w:t>to be considered as an alternative or substitute of direct detection, the commenter asserted that more prescriptive requirements need to be determined to equate the action levels with direct ALD systems and that EPA must provide clearer description of indirect systems.</w:t>
      </w:r>
    </w:p>
    <w:p w14:paraId="286D1DF7" w14:textId="77777777" w:rsidR="00D67C1E" w:rsidRPr="00283806" w:rsidRDefault="001265CA">
      <w:pPr>
        <w:pStyle w:val="BodyText"/>
        <w:spacing w:line="177" w:lineRule="exact"/>
        <w:ind w:left="340"/>
      </w:pPr>
      <w:r w:rsidRPr="00283806">
        <w:rPr>
          <w:w w:val="105"/>
        </w:rPr>
        <w:t>Similarly,</w:t>
      </w:r>
      <w:r w:rsidRPr="00283806">
        <w:rPr>
          <w:spacing w:val="26"/>
          <w:w w:val="105"/>
        </w:rPr>
        <w:t xml:space="preserve"> </w:t>
      </w:r>
      <w:r w:rsidRPr="00283806">
        <w:rPr>
          <w:w w:val="105"/>
        </w:rPr>
        <w:t>another</w:t>
      </w:r>
      <w:r w:rsidRPr="00283806">
        <w:rPr>
          <w:spacing w:val="26"/>
          <w:w w:val="105"/>
        </w:rPr>
        <w:t xml:space="preserve"> </w:t>
      </w:r>
      <w:r w:rsidRPr="00283806">
        <w:rPr>
          <w:spacing w:val="-2"/>
          <w:w w:val="105"/>
        </w:rPr>
        <w:t>commenter</w:t>
      </w:r>
    </w:p>
    <w:p w14:paraId="7D23654B" w14:textId="77777777" w:rsidR="00D67C1E" w:rsidRPr="00283806" w:rsidRDefault="001265CA">
      <w:pPr>
        <w:pStyle w:val="BodyText"/>
        <w:spacing w:before="4" w:line="225" w:lineRule="auto"/>
        <w:ind w:left="159" w:right="29"/>
      </w:pPr>
      <w:r w:rsidRPr="00283806">
        <w:rPr>
          <w:w w:val="105"/>
        </w:rPr>
        <w:t>recommended that EPA require indirect ALD systems to use multiple data points to determine whether a leak is present. The commenter stated that many ALD systems registered under their refrigerant management program are indirect</w:t>
      </w:r>
      <w:r w:rsidRPr="00283806">
        <w:rPr>
          <w:spacing w:val="40"/>
          <w:w w:val="105"/>
        </w:rPr>
        <w:t xml:space="preserve"> </w:t>
      </w:r>
      <w:r w:rsidRPr="00283806">
        <w:rPr>
          <w:w w:val="105"/>
        </w:rPr>
        <w:t>ALD</w:t>
      </w:r>
      <w:r w:rsidRPr="00283806">
        <w:rPr>
          <w:spacing w:val="40"/>
          <w:w w:val="105"/>
        </w:rPr>
        <w:t xml:space="preserve"> </w:t>
      </w:r>
      <w:r w:rsidRPr="00283806">
        <w:rPr>
          <w:w w:val="105"/>
        </w:rPr>
        <w:t>systems</w:t>
      </w:r>
      <w:r w:rsidRPr="00283806">
        <w:rPr>
          <w:spacing w:val="40"/>
          <w:w w:val="105"/>
        </w:rPr>
        <w:t xml:space="preserve"> </w:t>
      </w:r>
      <w:r w:rsidRPr="00283806">
        <w:rPr>
          <w:w w:val="105"/>
        </w:rPr>
        <w:t>that</w:t>
      </w:r>
      <w:r w:rsidRPr="00283806">
        <w:rPr>
          <w:spacing w:val="40"/>
          <w:w w:val="105"/>
        </w:rPr>
        <w:t xml:space="preserve"> </w:t>
      </w:r>
      <w:r w:rsidRPr="00283806">
        <w:rPr>
          <w:w w:val="105"/>
        </w:rPr>
        <w:t>only</w:t>
      </w:r>
      <w:r w:rsidRPr="00283806">
        <w:rPr>
          <w:spacing w:val="40"/>
          <w:w w:val="105"/>
        </w:rPr>
        <w:t xml:space="preserve"> </w:t>
      </w:r>
      <w:r w:rsidRPr="00283806">
        <w:rPr>
          <w:w w:val="105"/>
        </w:rPr>
        <w:t>use room temperature to determine whether a leak is present or not; however, newer indirect ALD systems generally use multiple data points working in tandem, such as temperature, pressure, liquid levels, etc., to help identify potential leaks. The commenter further stated that indirect ALD systems utilizing only a single data point (</w:t>
      </w:r>
      <w:r w:rsidRPr="00283806">
        <w:rPr>
          <w:rFonts w:ascii="Book Antiqua"/>
          <w:i/>
          <w:w w:val="105"/>
        </w:rPr>
        <w:t xml:space="preserve">e.g., </w:t>
      </w:r>
      <w:r w:rsidRPr="00283806">
        <w:rPr>
          <w:w w:val="105"/>
        </w:rPr>
        <w:t>temperature) are reactive to conditions that have</w:t>
      </w:r>
      <w:r w:rsidRPr="00283806">
        <w:rPr>
          <w:spacing w:val="80"/>
          <w:w w:val="150"/>
        </w:rPr>
        <w:t xml:space="preserve"> </w:t>
      </w:r>
      <w:r w:rsidRPr="00283806">
        <w:rPr>
          <w:w w:val="105"/>
        </w:rPr>
        <w:t>occurred after a potential leak as</w:t>
      </w:r>
      <w:r w:rsidRPr="00283806">
        <w:rPr>
          <w:spacing w:val="40"/>
          <w:w w:val="105"/>
        </w:rPr>
        <w:t xml:space="preserve"> </w:t>
      </w:r>
      <w:r w:rsidRPr="00283806">
        <w:rPr>
          <w:w w:val="105"/>
        </w:rPr>
        <w:t>opposed</w:t>
      </w:r>
      <w:r w:rsidRPr="00283806">
        <w:rPr>
          <w:spacing w:val="40"/>
          <w:w w:val="105"/>
        </w:rPr>
        <w:t xml:space="preserve"> </w:t>
      </w:r>
      <w:r w:rsidRPr="00283806">
        <w:rPr>
          <w:w w:val="105"/>
        </w:rPr>
        <w:t>to</w:t>
      </w:r>
      <w:r w:rsidRPr="00283806">
        <w:rPr>
          <w:spacing w:val="40"/>
          <w:w w:val="105"/>
        </w:rPr>
        <w:t xml:space="preserve"> </w:t>
      </w:r>
      <w:r w:rsidRPr="00283806">
        <w:rPr>
          <w:w w:val="105"/>
        </w:rPr>
        <w:t>indicating</w:t>
      </w:r>
      <w:r w:rsidRPr="00283806">
        <w:rPr>
          <w:spacing w:val="40"/>
          <w:w w:val="105"/>
        </w:rPr>
        <w:t xml:space="preserve"> </w:t>
      </w:r>
      <w:r w:rsidRPr="00283806">
        <w:rPr>
          <w:w w:val="105"/>
        </w:rPr>
        <w:t>a</w:t>
      </w:r>
      <w:r w:rsidRPr="00283806">
        <w:rPr>
          <w:spacing w:val="40"/>
          <w:w w:val="105"/>
        </w:rPr>
        <w:t xml:space="preserve"> </w:t>
      </w:r>
      <w:r w:rsidRPr="00283806">
        <w:rPr>
          <w:w w:val="105"/>
        </w:rPr>
        <w:t>leak</w:t>
      </w:r>
      <w:r w:rsidRPr="00283806">
        <w:rPr>
          <w:spacing w:val="40"/>
          <w:w w:val="105"/>
        </w:rPr>
        <w:t xml:space="preserve"> </w:t>
      </w:r>
      <w:r w:rsidRPr="00283806">
        <w:rPr>
          <w:w w:val="105"/>
        </w:rPr>
        <w:t>when</w:t>
      </w:r>
      <w:r w:rsidRPr="00283806">
        <w:rPr>
          <w:spacing w:val="40"/>
          <w:w w:val="105"/>
        </w:rPr>
        <w:t xml:space="preserve"> </w:t>
      </w:r>
      <w:r w:rsidRPr="00283806">
        <w:rPr>
          <w:w w:val="105"/>
        </w:rPr>
        <w:t xml:space="preserve">it first occurs, thus indirect ALD systems using multiple data points are more accurate at identifying and repairing </w:t>
      </w:r>
      <w:r w:rsidRPr="00283806">
        <w:rPr>
          <w:spacing w:val="-2"/>
          <w:w w:val="105"/>
        </w:rPr>
        <w:t>leaks.</w:t>
      </w:r>
    </w:p>
    <w:p w14:paraId="51F1E2E9" w14:textId="77777777" w:rsidR="00D67C1E" w:rsidRPr="00283806" w:rsidRDefault="001265CA">
      <w:pPr>
        <w:spacing w:line="167" w:lineRule="exact"/>
        <w:ind w:left="339"/>
        <w:rPr>
          <w:sz w:val="18"/>
        </w:rPr>
      </w:pPr>
      <w:r w:rsidRPr="00283806">
        <w:rPr>
          <w:rFonts w:ascii="Book Antiqua"/>
          <w:i/>
          <w:w w:val="110"/>
          <w:sz w:val="18"/>
        </w:rPr>
        <w:t>Response:</w:t>
      </w:r>
      <w:r w:rsidRPr="00283806">
        <w:rPr>
          <w:rFonts w:ascii="Book Antiqua"/>
          <w:i/>
          <w:spacing w:val="25"/>
          <w:w w:val="110"/>
          <w:sz w:val="18"/>
        </w:rPr>
        <w:t xml:space="preserve"> </w:t>
      </w:r>
      <w:r w:rsidRPr="00283806">
        <w:rPr>
          <w:w w:val="110"/>
          <w:sz w:val="18"/>
        </w:rPr>
        <w:t>EPA</w:t>
      </w:r>
      <w:r w:rsidRPr="00283806">
        <w:rPr>
          <w:spacing w:val="31"/>
          <w:w w:val="110"/>
          <w:sz w:val="18"/>
        </w:rPr>
        <w:t xml:space="preserve"> </w:t>
      </w:r>
      <w:r w:rsidRPr="00283806">
        <w:rPr>
          <w:spacing w:val="-2"/>
          <w:w w:val="110"/>
          <w:sz w:val="18"/>
        </w:rPr>
        <w:t>acknowledges</w:t>
      </w:r>
    </w:p>
    <w:p w14:paraId="479AD771" w14:textId="77777777" w:rsidR="00D67C1E" w:rsidRPr="00283806" w:rsidRDefault="001265CA">
      <w:pPr>
        <w:pStyle w:val="BodyText"/>
        <w:spacing w:line="225" w:lineRule="auto"/>
        <w:ind w:left="159"/>
      </w:pPr>
      <w:r w:rsidRPr="00283806">
        <w:rPr>
          <w:w w:val="105"/>
        </w:rPr>
        <w:t>comments in support of the final rule’s indirect</w:t>
      </w:r>
      <w:r w:rsidRPr="00283806">
        <w:rPr>
          <w:spacing w:val="40"/>
          <w:w w:val="105"/>
        </w:rPr>
        <w:t xml:space="preserve"> </w:t>
      </w:r>
      <w:r w:rsidRPr="00283806">
        <w:rPr>
          <w:w w:val="105"/>
        </w:rPr>
        <w:t>ALD</w:t>
      </w:r>
      <w:r w:rsidRPr="00283806">
        <w:rPr>
          <w:spacing w:val="40"/>
          <w:w w:val="105"/>
        </w:rPr>
        <w:t xml:space="preserve"> </w:t>
      </w:r>
      <w:r w:rsidRPr="00283806">
        <w:rPr>
          <w:w w:val="105"/>
        </w:rPr>
        <w:t>requirements.</w:t>
      </w:r>
      <w:r w:rsidRPr="00283806">
        <w:rPr>
          <w:spacing w:val="40"/>
          <w:w w:val="105"/>
        </w:rPr>
        <w:t xml:space="preserve"> </w:t>
      </w:r>
      <w:r w:rsidRPr="00283806">
        <w:rPr>
          <w:w w:val="105"/>
        </w:rPr>
        <w:t>As</w:t>
      </w:r>
      <w:r w:rsidRPr="00283806">
        <w:rPr>
          <w:spacing w:val="40"/>
          <w:w w:val="105"/>
        </w:rPr>
        <w:t xml:space="preserve"> </w:t>
      </w:r>
      <w:r w:rsidRPr="00283806">
        <w:rPr>
          <w:w w:val="105"/>
        </w:rPr>
        <w:t>described in 40 CFR 84.108(g) indirect ALD systems must alarm when ‘‘measurements’’ indicate a loss of 50 pounds of refrigerant or 10 percent of</w:t>
      </w:r>
      <w:r w:rsidRPr="00283806">
        <w:rPr>
          <w:spacing w:val="40"/>
          <w:w w:val="105"/>
        </w:rPr>
        <w:t xml:space="preserve"> </w:t>
      </w:r>
      <w:r w:rsidRPr="00283806">
        <w:rPr>
          <w:w w:val="105"/>
        </w:rPr>
        <w:t xml:space="preserve">full charge, whichever is less. EPA clarifies that it intends indirect ALD systems to use multiple parameters </w:t>
      </w:r>
      <w:proofErr w:type="gramStart"/>
      <w:r w:rsidRPr="00283806">
        <w:rPr>
          <w:w w:val="105"/>
        </w:rPr>
        <w:t>in order to</w:t>
      </w:r>
      <w:proofErr w:type="gramEnd"/>
      <w:r w:rsidRPr="00283806">
        <w:rPr>
          <w:w w:val="105"/>
        </w:rPr>
        <w:t xml:space="preserve"> make determinations of refrigerant loss. EPA agrees that a single parameter being measured by an</w:t>
      </w:r>
      <w:r w:rsidRPr="00283806">
        <w:rPr>
          <w:spacing w:val="80"/>
          <w:w w:val="105"/>
        </w:rPr>
        <w:t xml:space="preserve"> </w:t>
      </w:r>
      <w:r w:rsidRPr="00283806">
        <w:rPr>
          <w:w w:val="105"/>
        </w:rPr>
        <w:t>indirect ALD system may not be</w:t>
      </w:r>
      <w:r w:rsidRPr="00283806">
        <w:rPr>
          <w:spacing w:val="40"/>
          <w:w w:val="105"/>
        </w:rPr>
        <w:t xml:space="preserve"> </w:t>
      </w:r>
      <w:r w:rsidRPr="00283806">
        <w:rPr>
          <w:w w:val="105"/>
        </w:rPr>
        <w:t>sufficient to accurately detect leaks and may be subject to external forces that may</w:t>
      </w:r>
      <w:r w:rsidRPr="00283806">
        <w:rPr>
          <w:spacing w:val="26"/>
          <w:w w:val="105"/>
        </w:rPr>
        <w:t xml:space="preserve"> </w:t>
      </w:r>
      <w:r w:rsidRPr="00283806">
        <w:rPr>
          <w:w w:val="105"/>
        </w:rPr>
        <w:t>result</w:t>
      </w:r>
      <w:r w:rsidRPr="00283806">
        <w:rPr>
          <w:spacing w:val="26"/>
          <w:w w:val="105"/>
        </w:rPr>
        <w:t xml:space="preserve"> </w:t>
      </w:r>
      <w:r w:rsidRPr="00283806">
        <w:rPr>
          <w:w w:val="105"/>
        </w:rPr>
        <w:t>in</w:t>
      </w:r>
      <w:r w:rsidRPr="00283806">
        <w:rPr>
          <w:spacing w:val="26"/>
          <w:w w:val="105"/>
        </w:rPr>
        <w:t xml:space="preserve"> </w:t>
      </w:r>
      <w:r w:rsidRPr="00283806">
        <w:rPr>
          <w:w w:val="105"/>
        </w:rPr>
        <w:t>a</w:t>
      </w:r>
      <w:r w:rsidRPr="00283806">
        <w:rPr>
          <w:spacing w:val="26"/>
          <w:w w:val="105"/>
        </w:rPr>
        <w:t xml:space="preserve"> </w:t>
      </w:r>
      <w:r w:rsidRPr="00283806">
        <w:rPr>
          <w:w w:val="105"/>
        </w:rPr>
        <w:t>false</w:t>
      </w:r>
      <w:r w:rsidRPr="00283806">
        <w:rPr>
          <w:spacing w:val="26"/>
          <w:w w:val="105"/>
        </w:rPr>
        <w:t xml:space="preserve"> </w:t>
      </w:r>
      <w:r w:rsidRPr="00283806">
        <w:rPr>
          <w:w w:val="105"/>
        </w:rPr>
        <w:t>alarm</w:t>
      </w:r>
      <w:r w:rsidRPr="00283806">
        <w:rPr>
          <w:spacing w:val="26"/>
          <w:w w:val="105"/>
        </w:rPr>
        <w:t xml:space="preserve"> </w:t>
      </w:r>
      <w:r w:rsidRPr="00283806">
        <w:rPr>
          <w:w w:val="105"/>
        </w:rPr>
        <w:t>or</w:t>
      </w:r>
      <w:r w:rsidRPr="00283806">
        <w:rPr>
          <w:spacing w:val="26"/>
          <w:w w:val="105"/>
        </w:rPr>
        <w:t xml:space="preserve"> </w:t>
      </w:r>
      <w:r w:rsidRPr="00283806">
        <w:rPr>
          <w:w w:val="105"/>
        </w:rPr>
        <w:t>no</w:t>
      </w:r>
      <w:r w:rsidRPr="00283806">
        <w:rPr>
          <w:spacing w:val="26"/>
          <w:w w:val="105"/>
        </w:rPr>
        <w:t xml:space="preserve"> </w:t>
      </w:r>
      <w:r w:rsidRPr="00283806">
        <w:rPr>
          <w:w w:val="105"/>
        </w:rPr>
        <w:t>alarm at all. Thus, the Agency is clarifying that</w:t>
      </w:r>
      <w:r w:rsidRPr="00283806">
        <w:rPr>
          <w:spacing w:val="40"/>
          <w:w w:val="105"/>
        </w:rPr>
        <w:t xml:space="preserve"> </w:t>
      </w:r>
      <w:r w:rsidRPr="00283806">
        <w:rPr>
          <w:w w:val="105"/>
        </w:rPr>
        <w:t>at least two measurements be used by an indirect ALD system to determine if an appliance has leaked above the alarm threshold. Some measurements include but are not limited to temperature, pressure,</w:t>
      </w:r>
      <w:r w:rsidRPr="00283806">
        <w:rPr>
          <w:spacing w:val="40"/>
          <w:w w:val="105"/>
        </w:rPr>
        <w:t xml:space="preserve"> </w:t>
      </w:r>
      <w:r w:rsidRPr="00283806">
        <w:rPr>
          <w:w w:val="105"/>
        </w:rPr>
        <w:t>and</w:t>
      </w:r>
      <w:r w:rsidRPr="00283806">
        <w:rPr>
          <w:spacing w:val="40"/>
          <w:w w:val="105"/>
        </w:rPr>
        <w:t xml:space="preserve"> </w:t>
      </w:r>
      <w:r w:rsidRPr="00283806">
        <w:rPr>
          <w:w w:val="105"/>
        </w:rPr>
        <w:t>flow</w:t>
      </w:r>
      <w:r w:rsidRPr="00283806">
        <w:rPr>
          <w:spacing w:val="40"/>
          <w:w w:val="105"/>
        </w:rPr>
        <w:t xml:space="preserve"> </w:t>
      </w:r>
      <w:r w:rsidRPr="00283806">
        <w:rPr>
          <w:w w:val="105"/>
        </w:rPr>
        <w:t>rate.</w:t>
      </w:r>
      <w:r w:rsidRPr="00283806">
        <w:rPr>
          <w:spacing w:val="40"/>
          <w:w w:val="105"/>
        </w:rPr>
        <w:t xml:space="preserve"> </w:t>
      </w:r>
      <w:r w:rsidRPr="00283806">
        <w:rPr>
          <w:w w:val="105"/>
        </w:rPr>
        <w:t>This clarification of indirect ALD systems using multiple parameters to accurately determine the presence and severity of</w:t>
      </w:r>
    </w:p>
    <w:p w14:paraId="1A47D8E1" w14:textId="77777777" w:rsidR="00D67C1E" w:rsidRPr="00283806" w:rsidRDefault="001265CA">
      <w:pPr>
        <w:pStyle w:val="BodyText"/>
        <w:spacing w:line="228" w:lineRule="auto"/>
        <w:ind w:left="159" w:right="27"/>
      </w:pPr>
      <w:proofErr w:type="gramStart"/>
      <w:r w:rsidRPr="00283806">
        <w:rPr>
          <w:w w:val="105"/>
        </w:rPr>
        <w:t>a leak</w:t>
      </w:r>
      <w:proofErr w:type="gramEnd"/>
      <w:r w:rsidRPr="00283806">
        <w:rPr>
          <w:w w:val="105"/>
        </w:rPr>
        <w:t xml:space="preserve"> above the alarm threshold should ease commenters’ concerns on the viability of indirect ALD systems.</w:t>
      </w:r>
    </w:p>
    <w:p w14:paraId="5157E683" w14:textId="77777777" w:rsidR="00D67C1E" w:rsidRPr="00283806" w:rsidRDefault="001265CA">
      <w:pPr>
        <w:pStyle w:val="BodyText"/>
        <w:spacing w:line="179" w:lineRule="exact"/>
        <w:ind w:left="339"/>
      </w:pPr>
      <w:r w:rsidRPr="00283806">
        <w:rPr>
          <w:w w:val="105"/>
        </w:rPr>
        <w:t>EPA</w:t>
      </w:r>
      <w:r w:rsidRPr="00283806">
        <w:rPr>
          <w:spacing w:val="12"/>
          <w:w w:val="105"/>
        </w:rPr>
        <w:t xml:space="preserve"> </w:t>
      </w:r>
      <w:r w:rsidRPr="00283806">
        <w:rPr>
          <w:w w:val="105"/>
        </w:rPr>
        <w:t>disagrees</w:t>
      </w:r>
      <w:r w:rsidRPr="00283806">
        <w:rPr>
          <w:spacing w:val="12"/>
          <w:w w:val="105"/>
        </w:rPr>
        <w:t xml:space="preserve"> </w:t>
      </w:r>
      <w:r w:rsidRPr="00283806">
        <w:rPr>
          <w:w w:val="105"/>
        </w:rPr>
        <w:t>with</w:t>
      </w:r>
      <w:r w:rsidRPr="00283806">
        <w:rPr>
          <w:spacing w:val="13"/>
          <w:w w:val="105"/>
        </w:rPr>
        <w:t xml:space="preserve"> </w:t>
      </w:r>
      <w:r w:rsidRPr="00283806">
        <w:rPr>
          <w:w w:val="105"/>
        </w:rPr>
        <w:t>one</w:t>
      </w:r>
      <w:r w:rsidRPr="00283806">
        <w:rPr>
          <w:spacing w:val="12"/>
          <w:w w:val="105"/>
        </w:rPr>
        <w:t xml:space="preserve"> </w:t>
      </w:r>
      <w:r w:rsidRPr="00283806">
        <w:rPr>
          <w:spacing w:val="-2"/>
          <w:w w:val="105"/>
        </w:rPr>
        <w:t>commenter’s</w:t>
      </w:r>
    </w:p>
    <w:p w14:paraId="343300F7" w14:textId="77777777" w:rsidR="00D67C1E" w:rsidRPr="00283806" w:rsidRDefault="001265CA">
      <w:pPr>
        <w:pStyle w:val="BodyText"/>
        <w:spacing w:line="228" w:lineRule="auto"/>
        <w:ind w:left="159" w:right="128"/>
      </w:pPr>
      <w:r w:rsidRPr="00283806">
        <w:rPr>
          <w:w w:val="105"/>
        </w:rPr>
        <w:t>assertion that indirect ALD systems are not an alternative to direct ALD</w:t>
      </w:r>
      <w:r w:rsidRPr="00283806">
        <w:rPr>
          <w:spacing w:val="40"/>
          <w:w w:val="105"/>
        </w:rPr>
        <w:t xml:space="preserve"> </w:t>
      </w:r>
      <w:r w:rsidRPr="00283806">
        <w:rPr>
          <w:w w:val="105"/>
        </w:rPr>
        <w:t>systems. The Agency agrees that</w:t>
      </w:r>
      <w:r w:rsidRPr="00283806">
        <w:rPr>
          <w:spacing w:val="40"/>
          <w:w w:val="105"/>
        </w:rPr>
        <w:t xml:space="preserve"> </w:t>
      </w:r>
      <w:r w:rsidRPr="00283806">
        <w:rPr>
          <w:w w:val="105"/>
        </w:rPr>
        <w:t>indirect ALD can be used in tandem</w:t>
      </w:r>
      <w:r w:rsidRPr="00283806">
        <w:rPr>
          <w:spacing w:val="80"/>
          <w:w w:val="105"/>
        </w:rPr>
        <w:t xml:space="preserve"> </w:t>
      </w:r>
      <w:r w:rsidRPr="00283806">
        <w:rPr>
          <w:w w:val="105"/>
        </w:rPr>
        <w:t>with direct ALD for additional benefits. However, EPA finds any indirect ALD</w:t>
      </w:r>
    </w:p>
    <w:p w14:paraId="23B8C140" w14:textId="77777777" w:rsidR="00D67C1E" w:rsidRPr="00283806" w:rsidRDefault="001265CA">
      <w:pPr>
        <w:pStyle w:val="BodyText"/>
        <w:spacing w:before="136" w:line="225" w:lineRule="auto"/>
        <w:ind w:left="145"/>
      </w:pPr>
      <w:r w:rsidRPr="00283806">
        <w:br w:type="column"/>
      </w:r>
      <w:r w:rsidRPr="00283806">
        <w:rPr>
          <w:w w:val="105"/>
        </w:rPr>
        <w:t>system that meets the standards</w:t>
      </w:r>
      <w:r w:rsidRPr="00283806">
        <w:rPr>
          <w:spacing w:val="80"/>
          <w:w w:val="105"/>
        </w:rPr>
        <w:t xml:space="preserve"> </w:t>
      </w:r>
      <w:r w:rsidRPr="00283806">
        <w:rPr>
          <w:w w:val="105"/>
        </w:rPr>
        <w:t>outlined in 40 CFR 84.108(g) as acceptable to use because the indirect ALD systems are capable of alerting owners or operators of leaks just as</w:t>
      </w:r>
      <w:r w:rsidRPr="00283806">
        <w:rPr>
          <w:spacing w:val="40"/>
          <w:w w:val="105"/>
        </w:rPr>
        <w:t xml:space="preserve"> </w:t>
      </w:r>
      <w:r w:rsidRPr="00283806">
        <w:rPr>
          <w:w w:val="105"/>
        </w:rPr>
        <w:t>direct systems can. The Agency</w:t>
      </w:r>
      <w:r w:rsidRPr="00283806">
        <w:rPr>
          <w:spacing w:val="80"/>
          <w:w w:val="105"/>
        </w:rPr>
        <w:t xml:space="preserve"> </w:t>
      </w:r>
      <w:r w:rsidRPr="00283806">
        <w:rPr>
          <w:w w:val="105"/>
        </w:rPr>
        <w:t xml:space="preserve">disagrees with the framing of the </w:t>
      </w:r>
      <w:proofErr w:type="gramStart"/>
      <w:r w:rsidRPr="00283806">
        <w:rPr>
          <w:w w:val="105"/>
        </w:rPr>
        <w:t>commenters</w:t>
      </w:r>
      <w:proofErr w:type="gramEnd"/>
      <w:r w:rsidRPr="00283806">
        <w:rPr>
          <w:w w:val="105"/>
        </w:rPr>
        <w:t xml:space="preserve"> statement that indirect ALD systems are not able to comply with ASHRAE standards for personnel safety. In the context of this final rule, the ALD requirements are designed to alert owners or operators of a leak earlier so that</w:t>
      </w:r>
      <w:r w:rsidRPr="00283806">
        <w:rPr>
          <w:spacing w:val="36"/>
          <w:w w:val="105"/>
        </w:rPr>
        <w:t xml:space="preserve"> </w:t>
      </w:r>
      <w:r w:rsidRPr="00283806">
        <w:rPr>
          <w:w w:val="105"/>
        </w:rPr>
        <w:t>repairs</w:t>
      </w:r>
      <w:r w:rsidRPr="00283806">
        <w:rPr>
          <w:spacing w:val="36"/>
          <w:w w:val="105"/>
        </w:rPr>
        <w:t xml:space="preserve"> </w:t>
      </w:r>
      <w:r w:rsidRPr="00283806">
        <w:rPr>
          <w:w w:val="105"/>
        </w:rPr>
        <w:t>of</w:t>
      </w:r>
      <w:r w:rsidRPr="00283806">
        <w:rPr>
          <w:spacing w:val="36"/>
          <w:w w:val="105"/>
        </w:rPr>
        <w:t xml:space="preserve"> </w:t>
      </w:r>
      <w:r w:rsidRPr="00283806">
        <w:rPr>
          <w:w w:val="105"/>
        </w:rPr>
        <w:t>leaks</w:t>
      </w:r>
      <w:r w:rsidRPr="00283806">
        <w:rPr>
          <w:spacing w:val="36"/>
          <w:w w:val="105"/>
        </w:rPr>
        <w:t xml:space="preserve"> </w:t>
      </w:r>
      <w:r w:rsidRPr="00283806">
        <w:rPr>
          <w:w w:val="105"/>
        </w:rPr>
        <w:t>above</w:t>
      </w:r>
      <w:r w:rsidRPr="00283806">
        <w:rPr>
          <w:spacing w:val="36"/>
          <w:w w:val="105"/>
        </w:rPr>
        <w:t xml:space="preserve"> </w:t>
      </w:r>
      <w:r w:rsidRPr="00283806">
        <w:rPr>
          <w:w w:val="105"/>
        </w:rPr>
        <w:t xml:space="preserve">the applicable threshold can be made faster and </w:t>
      </w:r>
      <w:proofErr w:type="gramStart"/>
      <w:r w:rsidRPr="00283806">
        <w:rPr>
          <w:w w:val="105"/>
        </w:rPr>
        <w:t>thus,</w:t>
      </w:r>
      <w:proofErr w:type="gramEnd"/>
      <w:r w:rsidRPr="00283806">
        <w:rPr>
          <w:w w:val="105"/>
        </w:rPr>
        <w:t xml:space="preserve"> minimize the release of refrigerants from refrigerant-containing appliances. The Agency did not propose and is not finalizing that ALD be used</w:t>
      </w:r>
    </w:p>
    <w:p w14:paraId="01DA6C9A" w14:textId="77777777" w:rsidR="00D67C1E" w:rsidRPr="00283806" w:rsidRDefault="001265CA">
      <w:pPr>
        <w:pStyle w:val="BodyText"/>
        <w:spacing w:line="225" w:lineRule="auto"/>
        <w:ind w:left="145"/>
      </w:pPr>
      <w:r w:rsidRPr="00283806">
        <w:rPr>
          <w:w w:val="105"/>
        </w:rPr>
        <w:t>to ensure technician safety. As</w:t>
      </w:r>
      <w:r w:rsidRPr="00283806">
        <w:rPr>
          <w:spacing w:val="80"/>
          <w:w w:val="105"/>
        </w:rPr>
        <w:t xml:space="preserve"> </w:t>
      </w:r>
      <w:r w:rsidRPr="00283806">
        <w:rPr>
          <w:w w:val="105"/>
        </w:rPr>
        <w:t>previously discussed in the preamble of this section, EPA is aware of ASHRAE safety</w:t>
      </w:r>
      <w:r w:rsidRPr="00283806">
        <w:rPr>
          <w:spacing w:val="-1"/>
          <w:w w:val="105"/>
        </w:rPr>
        <w:t xml:space="preserve"> </w:t>
      </w:r>
      <w:r w:rsidRPr="00283806">
        <w:rPr>
          <w:w w:val="105"/>
        </w:rPr>
        <w:t>standards</w:t>
      </w:r>
      <w:r w:rsidRPr="00283806">
        <w:rPr>
          <w:spacing w:val="-1"/>
          <w:w w:val="105"/>
        </w:rPr>
        <w:t xml:space="preserve"> </w:t>
      </w:r>
      <w:r w:rsidRPr="00283806">
        <w:rPr>
          <w:w w:val="105"/>
        </w:rPr>
        <w:t>for</w:t>
      </w:r>
      <w:r w:rsidRPr="00283806">
        <w:rPr>
          <w:spacing w:val="-1"/>
          <w:w w:val="105"/>
        </w:rPr>
        <w:t xml:space="preserve"> </w:t>
      </w:r>
      <w:r w:rsidRPr="00283806">
        <w:rPr>
          <w:w w:val="105"/>
        </w:rPr>
        <w:t>A2L</w:t>
      </w:r>
      <w:r w:rsidRPr="00283806">
        <w:rPr>
          <w:spacing w:val="-1"/>
          <w:w w:val="105"/>
        </w:rPr>
        <w:t xml:space="preserve"> </w:t>
      </w:r>
      <w:r w:rsidRPr="00283806">
        <w:rPr>
          <w:w w:val="105"/>
        </w:rPr>
        <w:t>refrigerants</w:t>
      </w:r>
      <w:r w:rsidRPr="00283806">
        <w:rPr>
          <w:spacing w:val="-1"/>
          <w:w w:val="105"/>
        </w:rPr>
        <w:t xml:space="preserve"> </w:t>
      </w:r>
      <w:r w:rsidRPr="00283806">
        <w:rPr>
          <w:w w:val="105"/>
        </w:rPr>
        <w:t xml:space="preserve">and UL Standard 60335 2–40 requirements for the use of leak detectors for certain </w:t>
      </w:r>
      <w:r w:rsidRPr="00283806">
        <w:rPr>
          <w:spacing w:val="-2"/>
          <w:w w:val="105"/>
        </w:rPr>
        <w:t>appliances.</w:t>
      </w:r>
    </w:p>
    <w:p w14:paraId="3384F3D6" w14:textId="77777777" w:rsidR="00D67C1E" w:rsidRPr="00283806" w:rsidRDefault="001265CA">
      <w:pPr>
        <w:pStyle w:val="BodyText"/>
        <w:spacing w:line="178" w:lineRule="exact"/>
        <w:ind w:left="325"/>
      </w:pPr>
      <w:r w:rsidRPr="00283806">
        <w:rPr>
          <w:w w:val="110"/>
        </w:rPr>
        <w:t>Additionally,</w:t>
      </w:r>
      <w:r w:rsidRPr="00283806">
        <w:rPr>
          <w:spacing w:val="1"/>
          <w:w w:val="110"/>
        </w:rPr>
        <w:t xml:space="preserve"> </w:t>
      </w:r>
      <w:r w:rsidRPr="00283806">
        <w:rPr>
          <w:w w:val="110"/>
        </w:rPr>
        <w:t>EPA</w:t>
      </w:r>
      <w:r w:rsidRPr="00283806">
        <w:rPr>
          <w:spacing w:val="1"/>
          <w:w w:val="110"/>
        </w:rPr>
        <w:t xml:space="preserve"> </w:t>
      </w:r>
      <w:r w:rsidRPr="00283806">
        <w:rPr>
          <w:w w:val="110"/>
        </w:rPr>
        <w:t>finds</w:t>
      </w:r>
      <w:r w:rsidRPr="00283806">
        <w:rPr>
          <w:spacing w:val="1"/>
          <w:w w:val="110"/>
        </w:rPr>
        <w:t xml:space="preserve"> </w:t>
      </w:r>
      <w:r w:rsidRPr="00283806">
        <w:rPr>
          <w:w w:val="110"/>
        </w:rPr>
        <w:t>that</w:t>
      </w:r>
      <w:r w:rsidRPr="00283806">
        <w:rPr>
          <w:spacing w:val="1"/>
          <w:w w:val="110"/>
        </w:rPr>
        <w:t xml:space="preserve"> </w:t>
      </w:r>
      <w:r w:rsidRPr="00283806">
        <w:rPr>
          <w:w w:val="110"/>
        </w:rPr>
        <w:t>there</w:t>
      </w:r>
      <w:r w:rsidRPr="00283806">
        <w:rPr>
          <w:spacing w:val="1"/>
          <w:w w:val="110"/>
        </w:rPr>
        <w:t xml:space="preserve"> </w:t>
      </w:r>
      <w:r w:rsidRPr="00283806">
        <w:rPr>
          <w:spacing w:val="-5"/>
          <w:w w:val="110"/>
        </w:rPr>
        <w:t>are</w:t>
      </w:r>
    </w:p>
    <w:p w14:paraId="0E8B32D0" w14:textId="77777777" w:rsidR="00D67C1E" w:rsidRPr="00283806" w:rsidRDefault="001265CA">
      <w:pPr>
        <w:pStyle w:val="BodyText"/>
        <w:spacing w:line="225" w:lineRule="auto"/>
        <w:ind w:left="145" w:right="81"/>
      </w:pPr>
      <w:r w:rsidRPr="00283806">
        <w:rPr>
          <w:w w:val="105"/>
        </w:rPr>
        <w:t>strengths and weaknesses of both leak detection technologies. For example, direct ALD can accurately detect the location of leaks if positioned well on or near an appliance; however, direct ALD cannot function well outdoors where ambient conditions can diminish the presence</w:t>
      </w:r>
      <w:r w:rsidRPr="00283806">
        <w:rPr>
          <w:spacing w:val="40"/>
          <w:w w:val="105"/>
        </w:rPr>
        <w:t xml:space="preserve"> </w:t>
      </w:r>
      <w:r w:rsidRPr="00283806">
        <w:rPr>
          <w:w w:val="105"/>
        </w:rPr>
        <w:t>of</w:t>
      </w:r>
      <w:r w:rsidRPr="00283806">
        <w:rPr>
          <w:spacing w:val="40"/>
          <w:w w:val="105"/>
        </w:rPr>
        <w:t xml:space="preserve"> </w:t>
      </w:r>
      <w:r w:rsidRPr="00283806">
        <w:rPr>
          <w:w w:val="105"/>
        </w:rPr>
        <w:t>refrigerant.</w:t>
      </w:r>
      <w:r w:rsidRPr="00283806">
        <w:rPr>
          <w:spacing w:val="40"/>
          <w:w w:val="105"/>
        </w:rPr>
        <w:t xml:space="preserve"> </w:t>
      </w:r>
      <w:r w:rsidRPr="00283806">
        <w:rPr>
          <w:w w:val="105"/>
        </w:rPr>
        <w:t>Indirect</w:t>
      </w:r>
      <w:r w:rsidRPr="00283806">
        <w:rPr>
          <w:spacing w:val="40"/>
          <w:w w:val="105"/>
        </w:rPr>
        <w:t xml:space="preserve"> </w:t>
      </w:r>
      <w:r w:rsidRPr="00283806">
        <w:rPr>
          <w:w w:val="105"/>
        </w:rPr>
        <w:t>ALD can monitor an entire appliance, including portions of an appliance that may be located behind walls or</w:t>
      </w:r>
      <w:r w:rsidRPr="00283806">
        <w:rPr>
          <w:spacing w:val="80"/>
          <w:w w:val="105"/>
        </w:rPr>
        <w:t xml:space="preserve"> </w:t>
      </w:r>
      <w:r w:rsidRPr="00283806">
        <w:rPr>
          <w:w w:val="105"/>
        </w:rPr>
        <w:t>outdoors, and use metrics to determine whether a leak has occurred. As the commenter stated, one issue with indirect ALD is its inability to</w:t>
      </w:r>
      <w:r w:rsidRPr="00283806">
        <w:rPr>
          <w:spacing w:val="80"/>
          <w:w w:val="105"/>
        </w:rPr>
        <w:t xml:space="preserve"> </w:t>
      </w:r>
      <w:r w:rsidRPr="00283806">
        <w:rPr>
          <w:w w:val="105"/>
        </w:rPr>
        <w:t>definitively</w:t>
      </w:r>
      <w:r w:rsidRPr="00283806">
        <w:rPr>
          <w:spacing w:val="40"/>
          <w:w w:val="105"/>
        </w:rPr>
        <w:t xml:space="preserve"> </w:t>
      </w:r>
      <w:r w:rsidRPr="00283806">
        <w:rPr>
          <w:w w:val="105"/>
        </w:rPr>
        <w:t>detect</w:t>
      </w:r>
      <w:r w:rsidRPr="00283806">
        <w:rPr>
          <w:spacing w:val="40"/>
          <w:w w:val="105"/>
        </w:rPr>
        <w:t xml:space="preserve"> </w:t>
      </w:r>
      <w:r w:rsidRPr="00283806">
        <w:rPr>
          <w:w w:val="105"/>
        </w:rPr>
        <w:t>the</w:t>
      </w:r>
      <w:r w:rsidRPr="00283806">
        <w:rPr>
          <w:spacing w:val="40"/>
          <w:w w:val="105"/>
        </w:rPr>
        <w:t xml:space="preserve"> </w:t>
      </w:r>
      <w:r w:rsidRPr="00283806">
        <w:rPr>
          <w:w w:val="105"/>
        </w:rPr>
        <w:t>precise</w:t>
      </w:r>
      <w:r w:rsidRPr="00283806">
        <w:rPr>
          <w:spacing w:val="40"/>
          <w:w w:val="105"/>
        </w:rPr>
        <w:t xml:space="preserve"> </w:t>
      </w:r>
      <w:r w:rsidRPr="00283806">
        <w:rPr>
          <w:w w:val="105"/>
        </w:rPr>
        <w:t>location of a leak. EPA is not prescribing which ALD system owners or operators must use; instead, the Agency is requiring the use of an ALD system that meets the standards of this rulemaking and detect leaks early to minimize the release of refrigerants from equipment. Further, EPA understands that one type of ALD may suit the needs of an owner or operator better than the other. Allowing flexible options for ALD will facilitate compliance with this provision and ensure there is an adequate supply of ALD systems for owners or operators. If EPA were to limit the use of ALD to one system over the other, owners or operators may have difficulty installing ALD systems within the timeframe required by the final rule.</w:t>
      </w:r>
    </w:p>
    <w:p w14:paraId="0D29066B" w14:textId="77777777" w:rsidR="00D67C1E" w:rsidRPr="00283806" w:rsidRDefault="001265CA">
      <w:pPr>
        <w:spacing w:line="173" w:lineRule="exact"/>
        <w:ind w:left="325"/>
        <w:rPr>
          <w:sz w:val="18"/>
        </w:rPr>
      </w:pPr>
      <w:r w:rsidRPr="00283806">
        <w:rPr>
          <w:rFonts w:ascii="Book Antiqua"/>
          <w:i/>
          <w:w w:val="105"/>
          <w:sz w:val="18"/>
        </w:rPr>
        <w:t>Comment:</w:t>
      </w:r>
      <w:r w:rsidRPr="00283806">
        <w:rPr>
          <w:rFonts w:ascii="Book Antiqua"/>
          <w:i/>
          <w:spacing w:val="20"/>
          <w:w w:val="105"/>
          <w:sz w:val="18"/>
        </w:rPr>
        <w:t xml:space="preserve"> </w:t>
      </w:r>
      <w:r w:rsidRPr="00283806">
        <w:rPr>
          <w:w w:val="105"/>
          <w:sz w:val="18"/>
        </w:rPr>
        <w:t>The</w:t>
      </w:r>
      <w:r w:rsidRPr="00283806">
        <w:rPr>
          <w:spacing w:val="26"/>
          <w:w w:val="105"/>
          <w:sz w:val="18"/>
        </w:rPr>
        <w:t xml:space="preserve"> </w:t>
      </w:r>
      <w:r w:rsidRPr="00283806">
        <w:rPr>
          <w:w w:val="105"/>
          <w:sz w:val="18"/>
        </w:rPr>
        <w:t>Agency</w:t>
      </w:r>
      <w:r w:rsidRPr="00283806">
        <w:rPr>
          <w:spacing w:val="26"/>
          <w:w w:val="105"/>
          <w:sz w:val="18"/>
        </w:rPr>
        <w:t xml:space="preserve"> </w:t>
      </w:r>
      <w:r w:rsidRPr="00283806">
        <w:rPr>
          <w:w w:val="105"/>
          <w:sz w:val="18"/>
        </w:rPr>
        <w:t>received</w:t>
      </w:r>
      <w:r w:rsidRPr="00283806">
        <w:rPr>
          <w:spacing w:val="25"/>
          <w:w w:val="105"/>
          <w:sz w:val="18"/>
        </w:rPr>
        <w:t xml:space="preserve"> </w:t>
      </w:r>
      <w:r w:rsidRPr="00283806">
        <w:rPr>
          <w:w w:val="105"/>
          <w:sz w:val="18"/>
        </w:rPr>
        <w:t>a</w:t>
      </w:r>
      <w:r w:rsidRPr="00283806">
        <w:rPr>
          <w:spacing w:val="26"/>
          <w:w w:val="105"/>
          <w:sz w:val="18"/>
        </w:rPr>
        <w:t xml:space="preserve"> </w:t>
      </w:r>
      <w:r w:rsidRPr="00283806">
        <w:rPr>
          <w:spacing w:val="-5"/>
          <w:w w:val="105"/>
          <w:sz w:val="18"/>
        </w:rPr>
        <w:t>few</w:t>
      </w:r>
    </w:p>
    <w:p w14:paraId="79E7FAD4" w14:textId="77777777" w:rsidR="00D67C1E" w:rsidRPr="00283806" w:rsidRDefault="001265CA">
      <w:pPr>
        <w:pStyle w:val="BodyText"/>
        <w:spacing w:line="225" w:lineRule="auto"/>
        <w:ind w:left="145"/>
      </w:pPr>
      <w:r w:rsidRPr="00283806">
        <w:rPr>
          <w:w w:val="105"/>
        </w:rPr>
        <w:t>comments concerning the alarm threshold for indirect ALD systems. One commenter stated that indirect ALD systems have the capability to detect a leak with as little as one percent of full charge lost when data is reliable and</w:t>
      </w:r>
    </w:p>
    <w:p w14:paraId="538E8D8D" w14:textId="77777777" w:rsidR="00D67C1E" w:rsidRPr="00283806" w:rsidRDefault="001265CA">
      <w:pPr>
        <w:pStyle w:val="BodyText"/>
        <w:spacing w:before="137" w:line="223" w:lineRule="auto"/>
        <w:ind w:left="143" w:right="181"/>
      </w:pPr>
      <w:r w:rsidRPr="00283806">
        <w:br w:type="column"/>
      </w:r>
      <w:r w:rsidRPr="00283806">
        <w:rPr>
          <w:w w:val="105"/>
        </w:rPr>
        <w:t>available. However, to minimize the risk of false alarms at lower percentages</w:t>
      </w:r>
      <w:r w:rsidRPr="00283806">
        <w:rPr>
          <w:spacing w:val="80"/>
          <w:w w:val="105"/>
        </w:rPr>
        <w:t xml:space="preserve"> </w:t>
      </w:r>
      <w:r w:rsidRPr="00283806">
        <w:rPr>
          <w:w w:val="105"/>
        </w:rPr>
        <w:t>(</w:t>
      </w:r>
      <w:r w:rsidRPr="00283806">
        <w:rPr>
          <w:rFonts w:ascii="Book Antiqua" w:hAnsi="Book Antiqua"/>
          <w:i/>
          <w:w w:val="105"/>
        </w:rPr>
        <w:t xml:space="preserve">e.g., </w:t>
      </w:r>
      <w:r w:rsidRPr="00283806">
        <w:rPr>
          <w:rFonts w:ascii="Symbol" w:hAnsi="Symbol"/>
          <w:w w:val="105"/>
        </w:rPr>
        <w:t></w:t>
      </w:r>
      <w:r w:rsidRPr="00283806">
        <w:rPr>
          <w:rFonts w:ascii="Times New Roman" w:hAnsi="Times New Roman"/>
          <w:w w:val="105"/>
        </w:rPr>
        <w:t xml:space="preserve"> </w:t>
      </w:r>
      <w:r w:rsidRPr="00283806">
        <w:rPr>
          <w:w w:val="105"/>
        </w:rPr>
        <w:t>five percent), the commenter recommends that EPA finalize the proposed alarm criteria for indirect ALD systems. The commenter stated that the proposed alarm criteria would allow</w:t>
      </w:r>
      <w:r w:rsidRPr="00283806">
        <w:rPr>
          <w:spacing w:val="40"/>
          <w:w w:val="105"/>
        </w:rPr>
        <w:t xml:space="preserve"> </w:t>
      </w:r>
      <w:r w:rsidRPr="00283806">
        <w:rPr>
          <w:w w:val="105"/>
        </w:rPr>
        <w:t>their manufactured systems to send leak alarm</w:t>
      </w:r>
      <w:r w:rsidRPr="00283806">
        <w:rPr>
          <w:spacing w:val="40"/>
          <w:w w:val="105"/>
        </w:rPr>
        <w:t xml:space="preserve"> </w:t>
      </w:r>
      <w:r w:rsidRPr="00283806">
        <w:rPr>
          <w:w w:val="105"/>
        </w:rPr>
        <w:t>notifications</w:t>
      </w:r>
      <w:r w:rsidRPr="00283806">
        <w:rPr>
          <w:spacing w:val="40"/>
          <w:w w:val="105"/>
        </w:rPr>
        <w:t xml:space="preserve"> </w:t>
      </w:r>
      <w:r w:rsidRPr="00283806">
        <w:rPr>
          <w:w w:val="105"/>
        </w:rPr>
        <w:t>with</w:t>
      </w:r>
      <w:r w:rsidRPr="00283806">
        <w:rPr>
          <w:spacing w:val="40"/>
          <w:w w:val="105"/>
        </w:rPr>
        <w:t xml:space="preserve"> </w:t>
      </w:r>
      <w:r w:rsidRPr="00283806">
        <w:rPr>
          <w:w w:val="105"/>
        </w:rPr>
        <w:t>high</w:t>
      </w:r>
      <w:r w:rsidRPr="00283806">
        <w:rPr>
          <w:spacing w:val="40"/>
          <w:w w:val="105"/>
        </w:rPr>
        <w:t xml:space="preserve"> </w:t>
      </w:r>
      <w:r w:rsidRPr="00283806">
        <w:rPr>
          <w:w w:val="105"/>
        </w:rPr>
        <w:t>confidence and reduce the risk of false positives, which degrade customer confidence in leak alarm notifications.</w:t>
      </w:r>
    </w:p>
    <w:p w14:paraId="1ED941DA" w14:textId="77777777" w:rsidR="00D67C1E" w:rsidRPr="00283806" w:rsidRDefault="001265CA">
      <w:pPr>
        <w:pStyle w:val="BodyText"/>
        <w:spacing w:line="180" w:lineRule="exact"/>
        <w:ind w:left="323"/>
      </w:pPr>
      <w:r w:rsidRPr="00283806">
        <w:rPr>
          <w:w w:val="105"/>
        </w:rPr>
        <w:t>Alternatively,</w:t>
      </w:r>
      <w:r w:rsidRPr="00283806">
        <w:rPr>
          <w:spacing w:val="17"/>
          <w:w w:val="105"/>
        </w:rPr>
        <w:t xml:space="preserve"> </w:t>
      </w:r>
      <w:r w:rsidRPr="00283806">
        <w:rPr>
          <w:w w:val="105"/>
        </w:rPr>
        <w:t>one</w:t>
      </w:r>
      <w:r w:rsidRPr="00283806">
        <w:rPr>
          <w:spacing w:val="18"/>
          <w:w w:val="105"/>
        </w:rPr>
        <w:t xml:space="preserve"> </w:t>
      </w:r>
      <w:r w:rsidRPr="00283806">
        <w:rPr>
          <w:w w:val="105"/>
        </w:rPr>
        <w:t>commenter</w:t>
      </w:r>
      <w:r w:rsidRPr="00283806">
        <w:rPr>
          <w:spacing w:val="18"/>
          <w:w w:val="105"/>
        </w:rPr>
        <w:t xml:space="preserve"> </w:t>
      </w:r>
      <w:r w:rsidRPr="00283806">
        <w:rPr>
          <w:spacing w:val="-2"/>
          <w:w w:val="105"/>
        </w:rPr>
        <w:t>stated</w:t>
      </w:r>
    </w:p>
    <w:p w14:paraId="0FC003B1" w14:textId="77777777" w:rsidR="00D67C1E" w:rsidRPr="00283806" w:rsidRDefault="001265CA">
      <w:pPr>
        <w:pStyle w:val="BodyText"/>
        <w:spacing w:before="4" w:line="225" w:lineRule="auto"/>
        <w:ind w:left="143" w:right="146"/>
      </w:pPr>
      <w:r w:rsidRPr="00283806">
        <w:rPr>
          <w:w w:val="105"/>
        </w:rPr>
        <w:t>that they were unaware of any standard or industry accepted procedure to verify the</w:t>
      </w:r>
      <w:r w:rsidRPr="00283806">
        <w:rPr>
          <w:spacing w:val="30"/>
          <w:w w:val="105"/>
        </w:rPr>
        <w:t xml:space="preserve"> </w:t>
      </w:r>
      <w:r w:rsidRPr="00283806">
        <w:rPr>
          <w:w w:val="105"/>
        </w:rPr>
        <w:t>indirect</w:t>
      </w:r>
      <w:r w:rsidRPr="00283806">
        <w:rPr>
          <w:spacing w:val="30"/>
          <w:w w:val="105"/>
        </w:rPr>
        <w:t xml:space="preserve"> </w:t>
      </w:r>
      <w:r w:rsidRPr="00283806">
        <w:rPr>
          <w:w w:val="105"/>
        </w:rPr>
        <w:t>ALD</w:t>
      </w:r>
      <w:r w:rsidRPr="00283806">
        <w:rPr>
          <w:spacing w:val="30"/>
          <w:w w:val="105"/>
        </w:rPr>
        <w:t xml:space="preserve"> </w:t>
      </w:r>
      <w:r w:rsidRPr="00283806">
        <w:rPr>
          <w:w w:val="105"/>
        </w:rPr>
        <w:t>system</w:t>
      </w:r>
      <w:r w:rsidRPr="00283806">
        <w:rPr>
          <w:spacing w:val="30"/>
          <w:w w:val="105"/>
        </w:rPr>
        <w:t xml:space="preserve"> </w:t>
      </w:r>
      <w:r w:rsidRPr="00283806">
        <w:rPr>
          <w:w w:val="105"/>
        </w:rPr>
        <w:t>is</w:t>
      </w:r>
      <w:r w:rsidRPr="00283806">
        <w:rPr>
          <w:spacing w:val="30"/>
          <w:w w:val="105"/>
        </w:rPr>
        <w:t xml:space="preserve"> </w:t>
      </w:r>
      <w:r w:rsidRPr="00283806">
        <w:rPr>
          <w:w w:val="105"/>
        </w:rPr>
        <w:t>operating</w:t>
      </w:r>
      <w:r w:rsidRPr="00283806">
        <w:rPr>
          <w:spacing w:val="30"/>
          <w:w w:val="105"/>
        </w:rPr>
        <w:t xml:space="preserve"> </w:t>
      </w:r>
      <w:r w:rsidRPr="00283806">
        <w:rPr>
          <w:w w:val="105"/>
        </w:rPr>
        <w:t>in a manner to detect 50 pounds or 10 percent of full charge. The commenter asserted that it was unclear how this requirement would be consistently applied and enforced, and that the</w:t>
      </w:r>
      <w:r w:rsidRPr="00283806">
        <w:rPr>
          <w:spacing w:val="40"/>
          <w:w w:val="105"/>
        </w:rPr>
        <w:t xml:space="preserve"> </w:t>
      </w:r>
      <w:r w:rsidRPr="00283806">
        <w:rPr>
          <w:w w:val="105"/>
        </w:rPr>
        <w:t>Agency should better define the process of verification. Another commenter asserted that the alarm criteria for indirect systems are not equivalent to</w:t>
      </w:r>
      <w:r w:rsidRPr="00283806">
        <w:rPr>
          <w:spacing w:val="80"/>
          <w:w w:val="105"/>
        </w:rPr>
        <w:t xml:space="preserve"> </w:t>
      </w:r>
      <w:r w:rsidRPr="00283806">
        <w:rPr>
          <w:w w:val="105"/>
        </w:rPr>
        <w:t>the alarm criteria for direct systems. The commenter claimed that indirect</w:t>
      </w:r>
      <w:r w:rsidRPr="00283806">
        <w:rPr>
          <w:spacing w:val="80"/>
          <w:w w:val="105"/>
        </w:rPr>
        <w:t xml:space="preserve"> </w:t>
      </w:r>
      <w:r w:rsidRPr="00283806">
        <w:rPr>
          <w:w w:val="105"/>
        </w:rPr>
        <w:t>systems are not equipped to quantify the severity of the leak or pinpoint its</w:t>
      </w:r>
      <w:r w:rsidRPr="00283806">
        <w:rPr>
          <w:spacing w:val="80"/>
          <w:w w:val="105"/>
        </w:rPr>
        <w:t xml:space="preserve"> </w:t>
      </w:r>
      <w:r w:rsidRPr="00283806">
        <w:rPr>
          <w:w w:val="105"/>
        </w:rPr>
        <w:t>precise location because indirect</w:t>
      </w:r>
      <w:r w:rsidRPr="00283806">
        <w:rPr>
          <w:spacing w:val="80"/>
          <w:w w:val="105"/>
        </w:rPr>
        <w:t xml:space="preserve"> </w:t>
      </w:r>
      <w:r w:rsidRPr="00283806">
        <w:rPr>
          <w:w w:val="105"/>
        </w:rPr>
        <w:t>systems rely on data analytics and have not been developed for the purpose of retaining refrigerant in an appliance.</w:t>
      </w:r>
    </w:p>
    <w:p w14:paraId="545A5951" w14:textId="77777777" w:rsidR="00D67C1E" w:rsidRPr="00283806" w:rsidRDefault="001265CA">
      <w:pPr>
        <w:spacing w:line="178" w:lineRule="exact"/>
        <w:ind w:left="323"/>
        <w:rPr>
          <w:sz w:val="18"/>
        </w:rPr>
      </w:pPr>
      <w:r w:rsidRPr="00283806">
        <w:rPr>
          <w:rFonts w:ascii="Book Antiqua"/>
          <w:i/>
          <w:w w:val="110"/>
          <w:sz w:val="18"/>
        </w:rPr>
        <w:t>Response:</w:t>
      </w:r>
      <w:r w:rsidRPr="00283806">
        <w:rPr>
          <w:rFonts w:ascii="Book Antiqua"/>
          <w:i/>
          <w:spacing w:val="6"/>
          <w:w w:val="110"/>
          <w:sz w:val="18"/>
        </w:rPr>
        <w:t xml:space="preserve"> </w:t>
      </w:r>
      <w:r w:rsidRPr="00283806">
        <w:rPr>
          <w:w w:val="110"/>
          <w:sz w:val="18"/>
        </w:rPr>
        <w:t>EPA</w:t>
      </w:r>
      <w:r w:rsidRPr="00283806">
        <w:rPr>
          <w:spacing w:val="13"/>
          <w:w w:val="110"/>
          <w:sz w:val="18"/>
        </w:rPr>
        <w:t xml:space="preserve"> </w:t>
      </w:r>
      <w:r w:rsidRPr="00283806">
        <w:rPr>
          <w:w w:val="110"/>
          <w:sz w:val="18"/>
        </w:rPr>
        <w:t>is</w:t>
      </w:r>
      <w:r w:rsidRPr="00283806">
        <w:rPr>
          <w:spacing w:val="12"/>
          <w:w w:val="110"/>
          <w:sz w:val="18"/>
        </w:rPr>
        <w:t xml:space="preserve"> </w:t>
      </w:r>
      <w:r w:rsidRPr="00283806">
        <w:rPr>
          <w:w w:val="110"/>
          <w:sz w:val="18"/>
        </w:rPr>
        <w:t>finalizing</w:t>
      </w:r>
      <w:r w:rsidRPr="00283806">
        <w:rPr>
          <w:spacing w:val="12"/>
          <w:w w:val="110"/>
          <w:sz w:val="18"/>
        </w:rPr>
        <w:t xml:space="preserve"> </w:t>
      </w:r>
      <w:r w:rsidRPr="00283806">
        <w:rPr>
          <w:w w:val="110"/>
          <w:sz w:val="18"/>
        </w:rPr>
        <w:t>the</w:t>
      </w:r>
      <w:r w:rsidRPr="00283806">
        <w:rPr>
          <w:spacing w:val="12"/>
          <w:w w:val="110"/>
          <w:sz w:val="18"/>
        </w:rPr>
        <w:t xml:space="preserve"> </w:t>
      </w:r>
      <w:r w:rsidRPr="00283806">
        <w:rPr>
          <w:spacing w:val="-2"/>
          <w:w w:val="110"/>
          <w:sz w:val="18"/>
        </w:rPr>
        <w:t>alarm</w:t>
      </w:r>
    </w:p>
    <w:p w14:paraId="29216539" w14:textId="77777777" w:rsidR="00D67C1E" w:rsidRPr="00283806" w:rsidRDefault="001265CA">
      <w:pPr>
        <w:pStyle w:val="BodyText"/>
        <w:spacing w:line="225" w:lineRule="auto"/>
        <w:ind w:left="143" w:right="122"/>
      </w:pPr>
      <w:r w:rsidRPr="00283806">
        <w:rPr>
          <w:w w:val="105"/>
        </w:rPr>
        <w:t>criteria for indirect ALD systems as proposed. EPA acknowledges comments in support of the provision. EPA</w:t>
      </w:r>
      <w:r w:rsidRPr="00283806">
        <w:rPr>
          <w:spacing w:val="40"/>
          <w:w w:val="105"/>
        </w:rPr>
        <w:t xml:space="preserve"> </w:t>
      </w:r>
      <w:r w:rsidRPr="00283806">
        <w:rPr>
          <w:w w:val="105"/>
        </w:rPr>
        <w:t>disagrees that there are no standards or industry accepted procedures to ensure indirect ALD systems are properly verified and calibrated to perform the function of leak detection. The alarm criteria for indirect ALD systems have been utilized by CARB since 2011. The alarm criteria under CARB’s refrigerant management program for both direct</w:t>
      </w:r>
      <w:r w:rsidRPr="00283806">
        <w:rPr>
          <w:spacing w:val="80"/>
          <w:w w:val="105"/>
        </w:rPr>
        <w:t xml:space="preserve"> </w:t>
      </w:r>
      <w:r w:rsidRPr="00283806">
        <w:rPr>
          <w:w w:val="105"/>
        </w:rPr>
        <w:t>and</w:t>
      </w:r>
      <w:r w:rsidRPr="00283806">
        <w:rPr>
          <w:spacing w:val="40"/>
          <w:w w:val="105"/>
        </w:rPr>
        <w:t xml:space="preserve"> </w:t>
      </w:r>
      <w:r w:rsidRPr="00283806">
        <w:rPr>
          <w:w w:val="105"/>
        </w:rPr>
        <w:t>indirect</w:t>
      </w:r>
      <w:r w:rsidRPr="00283806">
        <w:rPr>
          <w:spacing w:val="40"/>
          <w:w w:val="105"/>
        </w:rPr>
        <w:t xml:space="preserve"> </w:t>
      </w:r>
      <w:r w:rsidRPr="00283806">
        <w:rPr>
          <w:w w:val="105"/>
        </w:rPr>
        <w:t>ALD</w:t>
      </w:r>
      <w:r w:rsidRPr="00283806">
        <w:rPr>
          <w:spacing w:val="40"/>
          <w:w w:val="105"/>
        </w:rPr>
        <w:t xml:space="preserve"> </w:t>
      </w:r>
      <w:r w:rsidRPr="00283806">
        <w:rPr>
          <w:w w:val="105"/>
        </w:rPr>
        <w:t>systems</w:t>
      </w:r>
      <w:r w:rsidRPr="00283806">
        <w:rPr>
          <w:spacing w:val="40"/>
          <w:w w:val="105"/>
        </w:rPr>
        <w:t xml:space="preserve"> </w:t>
      </w:r>
      <w:r w:rsidRPr="00283806">
        <w:rPr>
          <w:w w:val="105"/>
        </w:rPr>
        <w:t>were</w:t>
      </w:r>
      <w:r w:rsidRPr="00283806">
        <w:rPr>
          <w:spacing w:val="40"/>
          <w:w w:val="105"/>
        </w:rPr>
        <w:t xml:space="preserve"> </w:t>
      </w:r>
      <w:r w:rsidRPr="00283806">
        <w:rPr>
          <w:w w:val="105"/>
        </w:rPr>
        <w:t>based on ANSI/ASHRAE Standard 15–2001, Safety Standards for Refrigeration Systems. These alarm criteria were adopted by EPA in the 2016 Section 608 Rule</w:t>
      </w:r>
      <w:r w:rsidRPr="00283806">
        <w:rPr>
          <w:spacing w:val="-1"/>
          <w:w w:val="105"/>
        </w:rPr>
        <w:t xml:space="preserve"> </w:t>
      </w:r>
      <w:r w:rsidRPr="00283806">
        <w:rPr>
          <w:w w:val="105"/>
        </w:rPr>
        <w:t>for</w:t>
      </w:r>
      <w:r w:rsidRPr="00283806">
        <w:rPr>
          <w:spacing w:val="-1"/>
          <w:w w:val="105"/>
        </w:rPr>
        <w:t xml:space="preserve"> </w:t>
      </w:r>
      <w:r w:rsidRPr="00283806">
        <w:rPr>
          <w:w w:val="105"/>
        </w:rPr>
        <w:t>owners</w:t>
      </w:r>
      <w:r w:rsidRPr="00283806">
        <w:rPr>
          <w:spacing w:val="-1"/>
          <w:w w:val="105"/>
        </w:rPr>
        <w:t xml:space="preserve"> </w:t>
      </w:r>
      <w:r w:rsidRPr="00283806">
        <w:rPr>
          <w:w w:val="105"/>
        </w:rPr>
        <w:t>or</w:t>
      </w:r>
      <w:r w:rsidRPr="00283806">
        <w:rPr>
          <w:spacing w:val="-1"/>
          <w:w w:val="105"/>
        </w:rPr>
        <w:t xml:space="preserve"> </w:t>
      </w:r>
      <w:r w:rsidRPr="00283806">
        <w:rPr>
          <w:w w:val="105"/>
        </w:rPr>
        <w:t>operators</w:t>
      </w:r>
      <w:r w:rsidRPr="00283806">
        <w:rPr>
          <w:spacing w:val="-1"/>
          <w:w w:val="105"/>
        </w:rPr>
        <w:t xml:space="preserve"> </w:t>
      </w:r>
      <w:r w:rsidRPr="00283806">
        <w:rPr>
          <w:w w:val="105"/>
        </w:rPr>
        <w:t>who</w:t>
      </w:r>
      <w:r w:rsidRPr="00283806">
        <w:rPr>
          <w:spacing w:val="-1"/>
          <w:w w:val="105"/>
        </w:rPr>
        <w:t xml:space="preserve"> </w:t>
      </w:r>
      <w:r w:rsidRPr="00283806">
        <w:rPr>
          <w:w w:val="105"/>
        </w:rPr>
        <w:t>sought to implement ALD as a compliance</w:t>
      </w:r>
      <w:r w:rsidRPr="00283806">
        <w:rPr>
          <w:spacing w:val="80"/>
          <w:w w:val="105"/>
        </w:rPr>
        <w:t xml:space="preserve"> </w:t>
      </w:r>
      <w:r w:rsidRPr="00283806">
        <w:rPr>
          <w:w w:val="105"/>
        </w:rPr>
        <w:t>option</w:t>
      </w:r>
      <w:r w:rsidRPr="00283806">
        <w:rPr>
          <w:spacing w:val="40"/>
          <w:w w:val="105"/>
        </w:rPr>
        <w:t xml:space="preserve"> </w:t>
      </w:r>
      <w:r w:rsidRPr="00283806">
        <w:rPr>
          <w:w w:val="105"/>
        </w:rPr>
        <w:t>in</w:t>
      </w:r>
      <w:r w:rsidRPr="00283806">
        <w:rPr>
          <w:spacing w:val="40"/>
          <w:w w:val="105"/>
        </w:rPr>
        <w:t xml:space="preserve"> </w:t>
      </w:r>
      <w:r w:rsidRPr="00283806">
        <w:rPr>
          <w:w w:val="105"/>
        </w:rPr>
        <w:t>lieu</w:t>
      </w:r>
      <w:r w:rsidRPr="00283806">
        <w:rPr>
          <w:spacing w:val="40"/>
          <w:w w:val="105"/>
        </w:rPr>
        <w:t xml:space="preserve"> </w:t>
      </w:r>
      <w:r w:rsidRPr="00283806">
        <w:rPr>
          <w:w w:val="105"/>
        </w:rPr>
        <w:t>of</w:t>
      </w:r>
      <w:r w:rsidRPr="00283806">
        <w:rPr>
          <w:spacing w:val="40"/>
          <w:w w:val="105"/>
        </w:rPr>
        <w:t xml:space="preserve"> </w:t>
      </w:r>
      <w:r w:rsidRPr="00283806">
        <w:rPr>
          <w:w w:val="105"/>
        </w:rPr>
        <w:t>quarterly</w:t>
      </w:r>
      <w:r w:rsidRPr="00283806">
        <w:rPr>
          <w:spacing w:val="40"/>
          <w:w w:val="105"/>
        </w:rPr>
        <w:t xml:space="preserve"> </w:t>
      </w:r>
      <w:r w:rsidRPr="00283806">
        <w:rPr>
          <w:w w:val="105"/>
        </w:rPr>
        <w:t>or</w:t>
      </w:r>
      <w:r w:rsidRPr="00283806">
        <w:rPr>
          <w:spacing w:val="40"/>
          <w:w w:val="105"/>
        </w:rPr>
        <w:t xml:space="preserve"> </w:t>
      </w:r>
      <w:r w:rsidRPr="00283806">
        <w:rPr>
          <w:w w:val="105"/>
        </w:rPr>
        <w:t>annual leak inspections. For these reasons, EPA finds it appropriate to adopt the same alarm criteria in this final rule.</w:t>
      </w:r>
    </w:p>
    <w:p w14:paraId="01350BA9" w14:textId="77777777" w:rsidR="00D67C1E" w:rsidRPr="00283806" w:rsidRDefault="001265CA">
      <w:pPr>
        <w:pStyle w:val="BodyText"/>
        <w:spacing w:line="225" w:lineRule="auto"/>
        <w:ind w:left="143" w:right="141"/>
      </w:pPr>
      <w:r w:rsidRPr="00283806">
        <w:rPr>
          <w:w w:val="105"/>
        </w:rPr>
        <w:t>Additionally,</w:t>
      </w:r>
      <w:r w:rsidRPr="00283806">
        <w:rPr>
          <w:spacing w:val="40"/>
          <w:w w:val="105"/>
        </w:rPr>
        <w:t xml:space="preserve"> </w:t>
      </w:r>
      <w:r w:rsidRPr="00283806">
        <w:rPr>
          <w:w w:val="105"/>
        </w:rPr>
        <w:t>the</w:t>
      </w:r>
      <w:r w:rsidRPr="00283806">
        <w:rPr>
          <w:spacing w:val="40"/>
          <w:w w:val="105"/>
        </w:rPr>
        <w:t xml:space="preserve"> </w:t>
      </w:r>
      <w:r w:rsidRPr="00283806">
        <w:rPr>
          <w:w w:val="105"/>
        </w:rPr>
        <w:t>Agency</w:t>
      </w:r>
      <w:r w:rsidRPr="00283806">
        <w:rPr>
          <w:spacing w:val="40"/>
          <w:w w:val="105"/>
        </w:rPr>
        <w:t xml:space="preserve"> </w:t>
      </w:r>
      <w:r w:rsidRPr="00283806">
        <w:rPr>
          <w:w w:val="105"/>
        </w:rPr>
        <w:t>clarifies</w:t>
      </w:r>
      <w:r w:rsidRPr="00283806">
        <w:rPr>
          <w:spacing w:val="40"/>
          <w:w w:val="105"/>
        </w:rPr>
        <w:t xml:space="preserve"> </w:t>
      </w:r>
      <w:r w:rsidRPr="00283806">
        <w:rPr>
          <w:w w:val="105"/>
        </w:rPr>
        <w:t>that an owner or operator would need to follow the manufacturer’s specifications for</w:t>
      </w:r>
      <w:r w:rsidRPr="00283806">
        <w:rPr>
          <w:spacing w:val="27"/>
          <w:w w:val="105"/>
        </w:rPr>
        <w:t xml:space="preserve"> </w:t>
      </w:r>
      <w:r w:rsidRPr="00283806">
        <w:rPr>
          <w:w w:val="105"/>
        </w:rPr>
        <w:t>an</w:t>
      </w:r>
      <w:r w:rsidRPr="00283806">
        <w:rPr>
          <w:spacing w:val="27"/>
          <w:w w:val="105"/>
        </w:rPr>
        <w:t xml:space="preserve"> </w:t>
      </w:r>
      <w:r w:rsidRPr="00283806">
        <w:rPr>
          <w:w w:val="105"/>
        </w:rPr>
        <w:t>indirect</w:t>
      </w:r>
      <w:r w:rsidRPr="00283806">
        <w:rPr>
          <w:spacing w:val="27"/>
          <w:w w:val="105"/>
        </w:rPr>
        <w:t xml:space="preserve"> </w:t>
      </w:r>
      <w:r w:rsidRPr="00283806">
        <w:rPr>
          <w:w w:val="105"/>
        </w:rPr>
        <w:t>ALD</w:t>
      </w:r>
      <w:r w:rsidRPr="00283806">
        <w:rPr>
          <w:spacing w:val="27"/>
          <w:w w:val="105"/>
        </w:rPr>
        <w:t xml:space="preserve"> </w:t>
      </w:r>
      <w:r w:rsidRPr="00283806">
        <w:rPr>
          <w:w w:val="105"/>
        </w:rPr>
        <w:t>system</w:t>
      </w:r>
      <w:r w:rsidRPr="00283806">
        <w:rPr>
          <w:spacing w:val="27"/>
          <w:w w:val="105"/>
        </w:rPr>
        <w:t xml:space="preserve"> </w:t>
      </w:r>
      <w:r w:rsidRPr="00283806">
        <w:rPr>
          <w:w w:val="105"/>
        </w:rPr>
        <w:t>to</w:t>
      </w:r>
      <w:r w:rsidRPr="00283806">
        <w:rPr>
          <w:spacing w:val="27"/>
          <w:w w:val="105"/>
        </w:rPr>
        <w:t xml:space="preserve"> </w:t>
      </w:r>
      <w:r w:rsidRPr="00283806">
        <w:rPr>
          <w:w w:val="105"/>
        </w:rPr>
        <w:t>ensure</w:t>
      </w:r>
      <w:r w:rsidRPr="00283806">
        <w:rPr>
          <w:spacing w:val="27"/>
          <w:w w:val="105"/>
        </w:rPr>
        <w:t xml:space="preserve"> </w:t>
      </w:r>
      <w:r w:rsidRPr="00283806">
        <w:rPr>
          <w:w w:val="105"/>
        </w:rPr>
        <w:t xml:space="preserve">it is properly calibrated to the appliance and that it is monitoring and performing the function of alerting an owner or operator when a leak is detected above the lesser of 50 pounds or 10 percent of full charge. The final rule requires that indirect ALD systems be audited and </w:t>
      </w:r>
      <w:proofErr w:type="gramStart"/>
      <w:r w:rsidRPr="00283806">
        <w:rPr>
          <w:w w:val="105"/>
        </w:rPr>
        <w:t>calibrated</w:t>
      </w:r>
      <w:proofErr w:type="gramEnd"/>
      <w:r w:rsidRPr="00283806">
        <w:rPr>
          <w:w w:val="105"/>
        </w:rPr>
        <w:t xml:space="preserve"> annually and requires records</w:t>
      </w:r>
    </w:p>
    <w:p w14:paraId="6B0CFE9A"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5" w:space="40"/>
            <w:col w:w="3503" w:space="39"/>
            <w:col w:w="3623"/>
          </w:cols>
        </w:sectPr>
      </w:pPr>
    </w:p>
    <w:p w14:paraId="6C903A3A" w14:textId="77777777" w:rsidR="00D67C1E" w:rsidRPr="00283806" w:rsidRDefault="001265CA">
      <w:pPr>
        <w:pStyle w:val="BodyText"/>
        <w:spacing w:before="136" w:line="225" w:lineRule="auto"/>
        <w:ind w:right="70"/>
      </w:pPr>
      <w:r w:rsidRPr="00283806">
        <w:rPr>
          <w:w w:val="105"/>
        </w:rPr>
        <w:lastRenderedPageBreak/>
        <w:t xml:space="preserve">to be kept detailing these annual audits and calibrations. Regarding the commenter’s question </w:t>
      </w:r>
      <w:proofErr w:type="gramStart"/>
      <w:r w:rsidRPr="00283806">
        <w:rPr>
          <w:w w:val="105"/>
        </w:rPr>
        <w:t>to</w:t>
      </w:r>
      <w:proofErr w:type="gramEnd"/>
      <w:r w:rsidRPr="00283806">
        <w:rPr>
          <w:w w:val="105"/>
        </w:rPr>
        <w:t xml:space="preserve"> how this provision would be enforced, EPA notes that the recordkeeping for ALD systems in 40 CFR 84.108(i) would be used to determine if an owner or operator has been non-compliant and whether</w:t>
      </w:r>
      <w:r w:rsidRPr="00283806">
        <w:rPr>
          <w:spacing w:val="80"/>
          <w:w w:val="105"/>
        </w:rPr>
        <w:t xml:space="preserve"> </w:t>
      </w:r>
      <w:r w:rsidRPr="00283806">
        <w:rPr>
          <w:w w:val="105"/>
        </w:rPr>
        <w:t>further enforcement action is necessary.</w:t>
      </w:r>
    </w:p>
    <w:p w14:paraId="7416B82E" w14:textId="77777777" w:rsidR="00D67C1E" w:rsidRPr="00283806" w:rsidRDefault="001265CA">
      <w:pPr>
        <w:pStyle w:val="BodyText"/>
        <w:spacing w:line="177" w:lineRule="exact"/>
        <w:ind w:left="340"/>
      </w:pPr>
      <w:r w:rsidRPr="00283806">
        <w:rPr>
          <w:w w:val="105"/>
        </w:rPr>
        <w:t>EPA</w:t>
      </w:r>
      <w:r w:rsidRPr="00283806">
        <w:rPr>
          <w:spacing w:val="8"/>
          <w:w w:val="105"/>
        </w:rPr>
        <w:t xml:space="preserve"> </w:t>
      </w:r>
      <w:r w:rsidRPr="00283806">
        <w:rPr>
          <w:w w:val="105"/>
        </w:rPr>
        <w:t>also</w:t>
      </w:r>
      <w:r w:rsidRPr="00283806">
        <w:rPr>
          <w:spacing w:val="8"/>
          <w:w w:val="105"/>
        </w:rPr>
        <w:t xml:space="preserve"> </w:t>
      </w:r>
      <w:r w:rsidRPr="00283806">
        <w:rPr>
          <w:w w:val="105"/>
        </w:rPr>
        <w:t>disagrees</w:t>
      </w:r>
      <w:r w:rsidRPr="00283806">
        <w:rPr>
          <w:spacing w:val="8"/>
          <w:w w:val="105"/>
        </w:rPr>
        <w:t xml:space="preserve"> </w:t>
      </w:r>
      <w:r w:rsidRPr="00283806">
        <w:rPr>
          <w:w w:val="105"/>
        </w:rPr>
        <w:t>that</w:t>
      </w:r>
      <w:r w:rsidRPr="00283806">
        <w:rPr>
          <w:spacing w:val="8"/>
          <w:w w:val="105"/>
        </w:rPr>
        <w:t xml:space="preserve"> </w:t>
      </w:r>
      <w:r w:rsidRPr="00283806">
        <w:rPr>
          <w:w w:val="105"/>
        </w:rPr>
        <w:t>the</w:t>
      </w:r>
      <w:r w:rsidRPr="00283806">
        <w:rPr>
          <w:spacing w:val="8"/>
          <w:w w:val="105"/>
        </w:rPr>
        <w:t xml:space="preserve"> </w:t>
      </w:r>
      <w:r w:rsidRPr="00283806">
        <w:rPr>
          <w:spacing w:val="-2"/>
          <w:w w:val="105"/>
        </w:rPr>
        <w:t>alarm</w:t>
      </w:r>
    </w:p>
    <w:p w14:paraId="26A4B952" w14:textId="77777777" w:rsidR="00D67C1E" w:rsidRPr="00283806" w:rsidRDefault="001265CA">
      <w:pPr>
        <w:pStyle w:val="BodyText"/>
        <w:spacing w:before="4" w:line="225" w:lineRule="auto"/>
      </w:pPr>
      <w:r w:rsidRPr="00283806">
        <w:rPr>
          <w:w w:val="105"/>
        </w:rPr>
        <w:t xml:space="preserve">criteria for indirect and direct ALD systems are not equivalent because indirect and direct ALD systems </w:t>
      </w:r>
      <w:proofErr w:type="gramStart"/>
      <w:r w:rsidRPr="00283806">
        <w:rPr>
          <w:w w:val="105"/>
        </w:rPr>
        <w:t>are</w:t>
      </w:r>
      <w:r w:rsidRPr="00283806">
        <w:rPr>
          <w:spacing w:val="40"/>
          <w:w w:val="105"/>
        </w:rPr>
        <w:t xml:space="preserve"> </w:t>
      </w:r>
      <w:r w:rsidRPr="00283806">
        <w:rPr>
          <w:w w:val="105"/>
        </w:rPr>
        <w:t>using</w:t>
      </w:r>
      <w:proofErr w:type="gramEnd"/>
      <w:r w:rsidRPr="00283806">
        <w:rPr>
          <w:w w:val="105"/>
        </w:rPr>
        <w:t xml:space="preserve"> different parameters to determine the existence of a leak; thus, the alarm criteria for both technologies will never be one-to-one. EPA clarifies that direct ALD cannot determine the severity of a leak based on ppm detection alone</w:t>
      </w:r>
      <w:r w:rsidRPr="00283806">
        <w:rPr>
          <w:spacing w:val="80"/>
          <w:w w:val="105"/>
        </w:rPr>
        <w:t xml:space="preserve"> </w:t>
      </w:r>
      <w:r w:rsidRPr="00283806">
        <w:rPr>
          <w:w w:val="105"/>
        </w:rPr>
        <w:t>either,</w:t>
      </w:r>
      <w:r w:rsidRPr="00283806">
        <w:rPr>
          <w:spacing w:val="22"/>
          <w:w w:val="105"/>
        </w:rPr>
        <w:t xml:space="preserve"> </w:t>
      </w:r>
      <w:r w:rsidRPr="00283806">
        <w:rPr>
          <w:w w:val="105"/>
        </w:rPr>
        <w:t>as</w:t>
      </w:r>
      <w:r w:rsidRPr="00283806">
        <w:rPr>
          <w:spacing w:val="22"/>
          <w:w w:val="105"/>
        </w:rPr>
        <w:t xml:space="preserve"> </w:t>
      </w:r>
      <w:r w:rsidRPr="00283806">
        <w:rPr>
          <w:w w:val="105"/>
        </w:rPr>
        <w:t>the</w:t>
      </w:r>
      <w:r w:rsidRPr="00283806">
        <w:rPr>
          <w:spacing w:val="22"/>
          <w:w w:val="105"/>
        </w:rPr>
        <w:t xml:space="preserve"> </w:t>
      </w:r>
      <w:r w:rsidRPr="00283806">
        <w:rPr>
          <w:w w:val="105"/>
        </w:rPr>
        <w:t>detection</w:t>
      </w:r>
      <w:r w:rsidRPr="00283806">
        <w:rPr>
          <w:spacing w:val="22"/>
          <w:w w:val="105"/>
        </w:rPr>
        <w:t xml:space="preserve"> </w:t>
      </w:r>
      <w:r w:rsidRPr="00283806">
        <w:rPr>
          <w:w w:val="105"/>
        </w:rPr>
        <w:t>of</w:t>
      </w:r>
      <w:r w:rsidRPr="00283806">
        <w:rPr>
          <w:spacing w:val="22"/>
          <w:w w:val="105"/>
        </w:rPr>
        <w:t xml:space="preserve"> </w:t>
      </w:r>
      <w:r w:rsidRPr="00283806">
        <w:rPr>
          <w:w w:val="105"/>
        </w:rPr>
        <w:t>ppm</w:t>
      </w:r>
      <w:r w:rsidRPr="00283806">
        <w:rPr>
          <w:spacing w:val="22"/>
          <w:w w:val="105"/>
        </w:rPr>
        <w:t xml:space="preserve"> </w:t>
      </w:r>
      <w:r w:rsidRPr="00283806">
        <w:rPr>
          <w:w w:val="105"/>
        </w:rPr>
        <w:t>vapor</w:t>
      </w:r>
      <w:r w:rsidRPr="00283806">
        <w:rPr>
          <w:spacing w:val="22"/>
          <w:w w:val="105"/>
        </w:rPr>
        <w:t xml:space="preserve"> </w:t>
      </w:r>
      <w:r w:rsidRPr="00283806">
        <w:rPr>
          <w:w w:val="105"/>
        </w:rPr>
        <w:t>of a refrigerant is not exactly correlative with how much refrigerant has leaked from an appliance. The only way to confirm</w:t>
      </w:r>
      <w:r w:rsidRPr="00283806">
        <w:rPr>
          <w:spacing w:val="31"/>
          <w:w w:val="105"/>
        </w:rPr>
        <w:t xml:space="preserve"> </w:t>
      </w:r>
      <w:r w:rsidRPr="00283806">
        <w:rPr>
          <w:w w:val="105"/>
        </w:rPr>
        <w:t>the</w:t>
      </w:r>
      <w:r w:rsidRPr="00283806">
        <w:rPr>
          <w:spacing w:val="31"/>
          <w:w w:val="105"/>
        </w:rPr>
        <w:t xml:space="preserve"> </w:t>
      </w:r>
      <w:r w:rsidRPr="00283806">
        <w:rPr>
          <w:w w:val="105"/>
        </w:rPr>
        <w:t>severity</w:t>
      </w:r>
      <w:r w:rsidRPr="00283806">
        <w:rPr>
          <w:spacing w:val="31"/>
          <w:w w:val="105"/>
        </w:rPr>
        <w:t xml:space="preserve"> </w:t>
      </w:r>
      <w:r w:rsidRPr="00283806">
        <w:rPr>
          <w:w w:val="105"/>
        </w:rPr>
        <w:t>of</w:t>
      </w:r>
      <w:r w:rsidRPr="00283806">
        <w:rPr>
          <w:spacing w:val="31"/>
          <w:w w:val="105"/>
        </w:rPr>
        <w:t xml:space="preserve"> </w:t>
      </w:r>
      <w:r w:rsidRPr="00283806">
        <w:rPr>
          <w:w w:val="105"/>
        </w:rPr>
        <w:t>a</w:t>
      </w:r>
      <w:r w:rsidRPr="00283806">
        <w:rPr>
          <w:spacing w:val="31"/>
          <w:w w:val="105"/>
        </w:rPr>
        <w:t xml:space="preserve"> </w:t>
      </w:r>
      <w:r w:rsidRPr="00283806">
        <w:rPr>
          <w:w w:val="105"/>
        </w:rPr>
        <w:t>leak</w:t>
      </w:r>
      <w:r w:rsidRPr="00283806">
        <w:rPr>
          <w:spacing w:val="31"/>
          <w:w w:val="105"/>
        </w:rPr>
        <w:t xml:space="preserve"> </w:t>
      </w:r>
      <w:r w:rsidRPr="00283806">
        <w:rPr>
          <w:w w:val="105"/>
        </w:rPr>
        <w:t>is</w:t>
      </w:r>
      <w:r w:rsidRPr="00283806">
        <w:rPr>
          <w:spacing w:val="31"/>
          <w:w w:val="105"/>
        </w:rPr>
        <w:t xml:space="preserve"> </w:t>
      </w:r>
      <w:r w:rsidRPr="00283806">
        <w:rPr>
          <w:w w:val="105"/>
        </w:rPr>
        <w:t>via</w:t>
      </w:r>
      <w:r w:rsidRPr="00283806">
        <w:rPr>
          <w:spacing w:val="31"/>
          <w:w w:val="105"/>
        </w:rPr>
        <w:t xml:space="preserve"> </w:t>
      </w:r>
      <w:r w:rsidRPr="00283806">
        <w:rPr>
          <w:w w:val="105"/>
        </w:rPr>
        <w:t>a leak rate calculation, which is required within 30 days of an alarm for both</w:t>
      </w:r>
      <w:r w:rsidRPr="00283806">
        <w:rPr>
          <w:spacing w:val="80"/>
          <w:w w:val="105"/>
        </w:rPr>
        <w:t xml:space="preserve"> </w:t>
      </w:r>
      <w:r w:rsidRPr="00283806">
        <w:rPr>
          <w:w w:val="105"/>
        </w:rPr>
        <w:t>direct</w:t>
      </w:r>
      <w:r w:rsidRPr="00283806">
        <w:rPr>
          <w:spacing w:val="40"/>
          <w:w w:val="105"/>
        </w:rPr>
        <w:t xml:space="preserve"> </w:t>
      </w:r>
      <w:r w:rsidRPr="00283806">
        <w:rPr>
          <w:w w:val="105"/>
        </w:rPr>
        <w:t>and</w:t>
      </w:r>
      <w:r w:rsidRPr="00283806">
        <w:rPr>
          <w:spacing w:val="40"/>
          <w:w w:val="105"/>
        </w:rPr>
        <w:t xml:space="preserve"> </w:t>
      </w:r>
      <w:r w:rsidRPr="00283806">
        <w:rPr>
          <w:w w:val="105"/>
        </w:rPr>
        <w:t>indirect</w:t>
      </w:r>
      <w:r w:rsidRPr="00283806">
        <w:rPr>
          <w:spacing w:val="40"/>
          <w:w w:val="105"/>
        </w:rPr>
        <w:t xml:space="preserve"> </w:t>
      </w:r>
      <w:r w:rsidRPr="00283806">
        <w:rPr>
          <w:w w:val="105"/>
        </w:rPr>
        <w:t>systems.</w:t>
      </w:r>
      <w:r w:rsidRPr="00283806">
        <w:rPr>
          <w:spacing w:val="40"/>
          <w:w w:val="105"/>
        </w:rPr>
        <w:t xml:space="preserve"> </w:t>
      </w:r>
      <w:r w:rsidRPr="00283806">
        <w:rPr>
          <w:w w:val="105"/>
        </w:rPr>
        <w:t>As discussed</w:t>
      </w:r>
      <w:r w:rsidRPr="00283806">
        <w:rPr>
          <w:spacing w:val="40"/>
          <w:w w:val="105"/>
        </w:rPr>
        <w:t xml:space="preserve"> </w:t>
      </w:r>
      <w:r w:rsidRPr="00283806">
        <w:rPr>
          <w:w w:val="105"/>
        </w:rPr>
        <w:t>previously,</w:t>
      </w:r>
      <w:r w:rsidRPr="00283806">
        <w:rPr>
          <w:spacing w:val="40"/>
          <w:w w:val="105"/>
        </w:rPr>
        <w:t xml:space="preserve"> </w:t>
      </w:r>
      <w:r w:rsidRPr="00283806">
        <w:rPr>
          <w:w w:val="105"/>
        </w:rPr>
        <w:t>direct</w:t>
      </w:r>
      <w:r w:rsidRPr="00283806">
        <w:rPr>
          <w:spacing w:val="40"/>
          <w:w w:val="105"/>
        </w:rPr>
        <w:t xml:space="preserve"> </w:t>
      </w:r>
      <w:r w:rsidRPr="00283806">
        <w:rPr>
          <w:w w:val="105"/>
        </w:rPr>
        <w:t>and</w:t>
      </w:r>
      <w:r w:rsidRPr="00283806">
        <w:rPr>
          <w:spacing w:val="40"/>
          <w:w w:val="105"/>
        </w:rPr>
        <w:t xml:space="preserve"> </w:t>
      </w:r>
      <w:r w:rsidRPr="00283806">
        <w:rPr>
          <w:w w:val="105"/>
        </w:rPr>
        <w:t>indirect</w:t>
      </w:r>
      <w:r w:rsidRPr="00283806">
        <w:rPr>
          <w:spacing w:val="40"/>
          <w:w w:val="105"/>
        </w:rPr>
        <w:t xml:space="preserve"> </w:t>
      </w:r>
      <w:r w:rsidRPr="00283806">
        <w:rPr>
          <w:w w:val="105"/>
        </w:rPr>
        <w:t>ALD</w:t>
      </w:r>
      <w:r w:rsidRPr="00283806">
        <w:rPr>
          <w:spacing w:val="40"/>
          <w:w w:val="105"/>
        </w:rPr>
        <w:t xml:space="preserve"> </w:t>
      </w:r>
      <w:r w:rsidRPr="00283806">
        <w:rPr>
          <w:w w:val="105"/>
        </w:rPr>
        <w:t>systems</w:t>
      </w:r>
      <w:r w:rsidRPr="00283806">
        <w:rPr>
          <w:spacing w:val="40"/>
          <w:w w:val="105"/>
        </w:rPr>
        <w:t xml:space="preserve"> </w:t>
      </w:r>
      <w:r w:rsidRPr="00283806">
        <w:rPr>
          <w:w w:val="105"/>
        </w:rPr>
        <w:t>have</w:t>
      </w:r>
      <w:r w:rsidRPr="00283806">
        <w:rPr>
          <w:spacing w:val="40"/>
          <w:w w:val="105"/>
        </w:rPr>
        <w:t xml:space="preserve"> </w:t>
      </w:r>
      <w:r w:rsidRPr="00283806">
        <w:rPr>
          <w:w w:val="105"/>
        </w:rPr>
        <w:t>strengths and weaknesses; however, indirect ALD systems, inability to determine the exact location of a leak does not preclude the technology from serving the purpose of alerting an owner or operator of a leak. Additionally, in the context of the appliances that are subject to the ALD requirements in the final rule (</w:t>
      </w:r>
      <w:r w:rsidRPr="00283806">
        <w:rPr>
          <w:rFonts w:ascii="Book Antiqua" w:hAnsi="Book Antiqua"/>
          <w:i/>
          <w:w w:val="105"/>
        </w:rPr>
        <w:t xml:space="preserve">i.e., </w:t>
      </w:r>
      <w:r w:rsidRPr="00283806">
        <w:rPr>
          <w:w w:val="105"/>
        </w:rPr>
        <w:t>IPR and commercial appliances with a</w:t>
      </w:r>
      <w:r w:rsidRPr="00283806">
        <w:rPr>
          <w:spacing w:val="80"/>
          <w:w w:val="105"/>
        </w:rPr>
        <w:t xml:space="preserve"> </w:t>
      </w:r>
      <w:r w:rsidRPr="00283806">
        <w:rPr>
          <w:w w:val="105"/>
        </w:rPr>
        <w:t>charge size of 1,500 pounds or more), 50 pounds of refrigerant loss is a relatively small proportion of the appliance’s full charge. Direct ALD systems that alarm at 100 ppm of detected refrigerant concentrations may have leaked a comparable amount of refrigerant before alerting an owner or operator.</w:t>
      </w:r>
    </w:p>
    <w:p w14:paraId="186634F7" w14:textId="77777777" w:rsidR="00D67C1E" w:rsidRPr="00283806" w:rsidRDefault="001265CA">
      <w:pPr>
        <w:pStyle w:val="ListParagraph"/>
        <w:numPr>
          <w:ilvl w:val="0"/>
          <w:numId w:val="54"/>
        </w:numPr>
        <w:tabs>
          <w:tab w:val="left" w:pos="340"/>
          <w:tab w:val="left" w:pos="358"/>
        </w:tabs>
        <w:spacing w:before="15" w:line="260" w:lineRule="atLeast"/>
        <w:ind w:left="340" w:right="646" w:hanging="180"/>
        <w:rPr>
          <w:sz w:val="18"/>
        </w:rPr>
      </w:pPr>
      <w:r w:rsidRPr="00283806">
        <w:rPr>
          <w:w w:val="105"/>
          <w:sz w:val="18"/>
        </w:rPr>
        <w:t>Recordkeeping</w:t>
      </w:r>
      <w:r w:rsidRPr="00283806">
        <w:rPr>
          <w:spacing w:val="40"/>
          <w:w w:val="105"/>
          <w:sz w:val="18"/>
        </w:rPr>
        <w:t xml:space="preserve"> </w:t>
      </w:r>
      <w:r w:rsidRPr="00283806">
        <w:rPr>
          <w:w w:val="105"/>
          <w:sz w:val="18"/>
        </w:rPr>
        <w:t>and Reporting EPA</w:t>
      </w:r>
      <w:r w:rsidRPr="00283806">
        <w:rPr>
          <w:spacing w:val="24"/>
          <w:w w:val="105"/>
          <w:sz w:val="18"/>
        </w:rPr>
        <w:t xml:space="preserve"> </w:t>
      </w:r>
      <w:r w:rsidRPr="00283806">
        <w:rPr>
          <w:w w:val="105"/>
          <w:sz w:val="18"/>
        </w:rPr>
        <w:t>is</w:t>
      </w:r>
      <w:r w:rsidRPr="00283806">
        <w:rPr>
          <w:spacing w:val="25"/>
          <w:w w:val="105"/>
          <w:sz w:val="18"/>
        </w:rPr>
        <w:t xml:space="preserve"> </w:t>
      </w:r>
      <w:r w:rsidRPr="00283806">
        <w:rPr>
          <w:w w:val="105"/>
          <w:sz w:val="18"/>
        </w:rPr>
        <w:t>finalizing,</w:t>
      </w:r>
      <w:r w:rsidRPr="00283806">
        <w:rPr>
          <w:spacing w:val="24"/>
          <w:w w:val="105"/>
          <w:sz w:val="18"/>
        </w:rPr>
        <w:t xml:space="preserve"> </w:t>
      </w:r>
      <w:r w:rsidRPr="00283806">
        <w:rPr>
          <w:w w:val="105"/>
          <w:sz w:val="18"/>
        </w:rPr>
        <w:t>as</w:t>
      </w:r>
      <w:r w:rsidRPr="00283806">
        <w:rPr>
          <w:spacing w:val="25"/>
          <w:w w:val="105"/>
          <w:sz w:val="18"/>
        </w:rPr>
        <w:t xml:space="preserve"> </w:t>
      </w:r>
      <w:r w:rsidRPr="00283806">
        <w:rPr>
          <w:spacing w:val="-2"/>
          <w:w w:val="105"/>
          <w:sz w:val="18"/>
        </w:rPr>
        <w:t>proposed,</w:t>
      </w:r>
    </w:p>
    <w:p w14:paraId="240AA7B9" w14:textId="77777777" w:rsidR="00D67C1E" w:rsidRPr="00283806" w:rsidRDefault="001265CA">
      <w:pPr>
        <w:pStyle w:val="BodyText"/>
        <w:spacing w:before="2" w:line="225" w:lineRule="auto"/>
        <w:ind w:right="47"/>
      </w:pPr>
      <w:r w:rsidRPr="00283806">
        <w:rPr>
          <w:w w:val="105"/>
        </w:rPr>
        <w:t>specific reporting and recordkeeping requirements for ALD systems in this action.</w:t>
      </w:r>
      <w:r w:rsidRPr="00283806">
        <w:rPr>
          <w:spacing w:val="40"/>
          <w:w w:val="105"/>
        </w:rPr>
        <w:t xml:space="preserve"> </w:t>
      </w:r>
      <w:r w:rsidRPr="00283806">
        <w:rPr>
          <w:w w:val="105"/>
        </w:rPr>
        <w:t>Where</w:t>
      </w:r>
      <w:r w:rsidRPr="00283806">
        <w:rPr>
          <w:spacing w:val="40"/>
          <w:w w:val="105"/>
        </w:rPr>
        <w:t xml:space="preserve"> </w:t>
      </w:r>
      <w:r w:rsidRPr="00283806">
        <w:rPr>
          <w:w w:val="105"/>
        </w:rPr>
        <w:t>ALD</w:t>
      </w:r>
      <w:r w:rsidRPr="00283806">
        <w:rPr>
          <w:spacing w:val="40"/>
          <w:w w:val="105"/>
        </w:rPr>
        <w:t xml:space="preserve"> </w:t>
      </w:r>
      <w:r w:rsidRPr="00283806">
        <w:rPr>
          <w:w w:val="105"/>
        </w:rPr>
        <w:t>systems</w:t>
      </w:r>
      <w:r w:rsidRPr="00283806">
        <w:rPr>
          <w:spacing w:val="40"/>
          <w:w w:val="105"/>
        </w:rPr>
        <w:t xml:space="preserve"> </w:t>
      </w:r>
      <w:r w:rsidRPr="00283806">
        <w:rPr>
          <w:w w:val="105"/>
        </w:rPr>
        <w:t xml:space="preserve">are required, EPA </w:t>
      </w:r>
      <w:proofErr w:type="gramStart"/>
      <w:r w:rsidRPr="00283806">
        <w:rPr>
          <w:w w:val="105"/>
        </w:rPr>
        <w:t>is requiring that</w:t>
      </w:r>
      <w:proofErr w:type="gramEnd"/>
      <w:r w:rsidRPr="00283806">
        <w:rPr>
          <w:w w:val="105"/>
        </w:rPr>
        <w:t xml:space="preserve"> owners</w:t>
      </w:r>
      <w:r w:rsidRPr="00283806">
        <w:rPr>
          <w:spacing w:val="80"/>
          <w:w w:val="105"/>
        </w:rPr>
        <w:t xml:space="preserve"> </w:t>
      </w:r>
      <w:r w:rsidRPr="00283806">
        <w:rPr>
          <w:w w:val="105"/>
        </w:rPr>
        <w:t xml:space="preserve">or operators maintain records regarding the annual calibration or audit of the system. </w:t>
      </w:r>
      <w:proofErr w:type="gramStart"/>
      <w:r w:rsidRPr="00283806">
        <w:rPr>
          <w:w w:val="105"/>
        </w:rPr>
        <w:t>EPA is</w:t>
      </w:r>
      <w:proofErr w:type="gramEnd"/>
      <w:r w:rsidRPr="00283806">
        <w:rPr>
          <w:w w:val="105"/>
        </w:rPr>
        <w:t xml:space="preserve"> also requiring that</w:t>
      </w:r>
      <w:r w:rsidRPr="00283806">
        <w:rPr>
          <w:spacing w:val="40"/>
          <w:w w:val="105"/>
        </w:rPr>
        <w:t xml:space="preserve"> </w:t>
      </w:r>
      <w:r w:rsidRPr="00283806">
        <w:rPr>
          <w:w w:val="105"/>
        </w:rPr>
        <w:t>records</w:t>
      </w:r>
      <w:r w:rsidRPr="00283806">
        <w:rPr>
          <w:spacing w:val="40"/>
          <w:w w:val="105"/>
        </w:rPr>
        <w:t xml:space="preserve"> </w:t>
      </w:r>
      <w:r w:rsidRPr="00283806">
        <w:rPr>
          <w:w w:val="105"/>
        </w:rPr>
        <w:t>be</w:t>
      </w:r>
      <w:r w:rsidRPr="00283806">
        <w:rPr>
          <w:spacing w:val="40"/>
          <w:w w:val="105"/>
        </w:rPr>
        <w:t xml:space="preserve"> </w:t>
      </w:r>
      <w:r w:rsidRPr="00283806">
        <w:rPr>
          <w:w w:val="105"/>
        </w:rPr>
        <w:t>maintained</w:t>
      </w:r>
      <w:r w:rsidRPr="00283806">
        <w:rPr>
          <w:spacing w:val="40"/>
          <w:w w:val="105"/>
        </w:rPr>
        <w:t xml:space="preserve"> </w:t>
      </w:r>
      <w:r w:rsidRPr="00283806">
        <w:rPr>
          <w:w w:val="105"/>
        </w:rPr>
        <w:t>each</w:t>
      </w:r>
      <w:r w:rsidRPr="00283806">
        <w:rPr>
          <w:spacing w:val="40"/>
          <w:w w:val="105"/>
        </w:rPr>
        <w:t xml:space="preserve"> </w:t>
      </w:r>
      <w:r w:rsidRPr="00283806">
        <w:rPr>
          <w:w w:val="105"/>
        </w:rPr>
        <w:t>time</w:t>
      </w:r>
      <w:r w:rsidRPr="00283806">
        <w:rPr>
          <w:spacing w:val="40"/>
          <w:w w:val="105"/>
        </w:rPr>
        <w:t xml:space="preserve"> </w:t>
      </w:r>
      <w:r w:rsidRPr="00283806">
        <w:rPr>
          <w:w w:val="105"/>
        </w:rPr>
        <w:t xml:space="preserve">an ALD system triggers an alert, whether that be based on the applicable ppm threshold for a direct ALD system or the indicated loss of refrigerant measured in an indirect ALD system. When an ALD system alerts the owner or operator of a leak, EPA is </w:t>
      </w:r>
      <w:proofErr w:type="gramStart"/>
      <w:r w:rsidRPr="00283806">
        <w:rPr>
          <w:w w:val="105"/>
        </w:rPr>
        <w:t>requiring</w:t>
      </w:r>
      <w:proofErr w:type="gramEnd"/>
      <w:r w:rsidRPr="00283806">
        <w:rPr>
          <w:w w:val="105"/>
        </w:rPr>
        <w:t xml:space="preserve"> that the owner or operator maintain a record of the date of the ALD system alert and the location of the leak. EPA is also establishing recordkeeping requirements in the case where an owner or operator chooses to</w:t>
      </w:r>
    </w:p>
    <w:p w14:paraId="47D11C54" w14:textId="77777777" w:rsidR="00D67C1E" w:rsidRPr="00283806" w:rsidRDefault="001265CA">
      <w:pPr>
        <w:pStyle w:val="BodyText"/>
        <w:spacing w:before="136" w:line="225" w:lineRule="auto"/>
        <w:ind w:left="145" w:right="108"/>
      </w:pPr>
      <w:r w:rsidRPr="00283806">
        <w:br w:type="column"/>
      </w:r>
      <w:r w:rsidRPr="00283806">
        <w:rPr>
          <w:w w:val="105"/>
        </w:rPr>
        <w:t>use an ALD system, where not required, as a compliance option in lieu of</w:t>
      </w:r>
      <w:r w:rsidRPr="00283806">
        <w:rPr>
          <w:spacing w:val="80"/>
          <w:w w:val="105"/>
        </w:rPr>
        <w:t xml:space="preserve"> </w:t>
      </w:r>
      <w:r w:rsidRPr="00283806">
        <w:rPr>
          <w:w w:val="105"/>
        </w:rPr>
        <w:t>periodic inspections for an appliance</w:t>
      </w:r>
      <w:r w:rsidRPr="00283806">
        <w:rPr>
          <w:spacing w:val="40"/>
          <w:w w:val="105"/>
        </w:rPr>
        <w:t xml:space="preserve"> </w:t>
      </w:r>
      <w:r w:rsidRPr="00283806">
        <w:rPr>
          <w:w w:val="105"/>
        </w:rPr>
        <w:t>that has exceeded an applicable leak</w:t>
      </w:r>
      <w:r w:rsidRPr="00283806">
        <w:rPr>
          <w:spacing w:val="40"/>
          <w:w w:val="105"/>
        </w:rPr>
        <w:t xml:space="preserve"> </w:t>
      </w:r>
      <w:r w:rsidRPr="00283806">
        <w:rPr>
          <w:w w:val="105"/>
        </w:rPr>
        <w:t>rate. The recordkeeping requirements related to when a leak rate calculation must be conducted are described in section IV.C.3.g of this action. As discussed</w:t>
      </w:r>
      <w:r w:rsidRPr="00283806">
        <w:rPr>
          <w:spacing w:val="40"/>
          <w:w w:val="105"/>
        </w:rPr>
        <w:t xml:space="preserve"> </w:t>
      </w:r>
      <w:r w:rsidRPr="00283806">
        <w:rPr>
          <w:w w:val="105"/>
        </w:rPr>
        <w:t>in</w:t>
      </w:r>
      <w:r w:rsidRPr="00283806">
        <w:rPr>
          <w:spacing w:val="40"/>
          <w:w w:val="105"/>
        </w:rPr>
        <w:t xml:space="preserve"> </w:t>
      </w:r>
      <w:r w:rsidRPr="00283806">
        <w:rPr>
          <w:w w:val="105"/>
        </w:rPr>
        <w:t>section</w:t>
      </w:r>
      <w:r w:rsidRPr="00283806">
        <w:rPr>
          <w:spacing w:val="40"/>
          <w:w w:val="105"/>
        </w:rPr>
        <w:t xml:space="preserve"> </w:t>
      </w:r>
      <w:r w:rsidRPr="00283806">
        <w:rPr>
          <w:w w:val="105"/>
        </w:rPr>
        <w:t>II.B,</w:t>
      </w:r>
      <w:r w:rsidRPr="00283806">
        <w:rPr>
          <w:spacing w:val="40"/>
          <w:w w:val="105"/>
        </w:rPr>
        <w:t xml:space="preserve"> </w:t>
      </w:r>
      <w:r w:rsidRPr="00283806">
        <w:rPr>
          <w:w w:val="105"/>
        </w:rPr>
        <w:t>EPA’s authority to require recordkeeping and reporting under the AIM Act is also supported by section 114 of the CAA, which applies to the AIM Act and rules promulgated under it as provided in subsection (k)(1)(C) of the AIM Act.</w:t>
      </w:r>
    </w:p>
    <w:p w14:paraId="3C389E3A" w14:textId="77777777" w:rsidR="00D67C1E" w:rsidRPr="00283806" w:rsidRDefault="001265CA">
      <w:pPr>
        <w:pStyle w:val="BodyText"/>
        <w:spacing w:line="175" w:lineRule="exact"/>
        <w:ind w:left="325"/>
      </w:pPr>
      <w:r w:rsidRPr="00283806">
        <w:rPr>
          <w:w w:val="105"/>
        </w:rPr>
        <w:t>EPA</w:t>
      </w:r>
      <w:r w:rsidRPr="00283806">
        <w:rPr>
          <w:spacing w:val="9"/>
          <w:w w:val="105"/>
        </w:rPr>
        <w:t xml:space="preserve"> </w:t>
      </w:r>
      <w:proofErr w:type="gramStart"/>
      <w:r w:rsidRPr="00283806">
        <w:rPr>
          <w:w w:val="105"/>
        </w:rPr>
        <w:t>is</w:t>
      </w:r>
      <w:r w:rsidRPr="00283806">
        <w:rPr>
          <w:spacing w:val="10"/>
          <w:w w:val="105"/>
        </w:rPr>
        <w:t xml:space="preserve"> </w:t>
      </w:r>
      <w:r w:rsidRPr="00283806">
        <w:rPr>
          <w:w w:val="105"/>
        </w:rPr>
        <w:t>requiring</w:t>
      </w:r>
      <w:r w:rsidRPr="00283806">
        <w:rPr>
          <w:spacing w:val="9"/>
          <w:w w:val="105"/>
        </w:rPr>
        <w:t xml:space="preserve"> </w:t>
      </w:r>
      <w:r w:rsidRPr="00283806">
        <w:rPr>
          <w:w w:val="105"/>
        </w:rPr>
        <w:t>that</w:t>
      </w:r>
      <w:proofErr w:type="gramEnd"/>
      <w:r w:rsidRPr="00283806">
        <w:rPr>
          <w:spacing w:val="10"/>
          <w:w w:val="105"/>
        </w:rPr>
        <w:t xml:space="preserve"> </w:t>
      </w:r>
      <w:r w:rsidRPr="00283806">
        <w:rPr>
          <w:w w:val="105"/>
        </w:rPr>
        <w:t>these</w:t>
      </w:r>
      <w:r w:rsidRPr="00283806">
        <w:rPr>
          <w:spacing w:val="10"/>
          <w:w w:val="105"/>
        </w:rPr>
        <w:t xml:space="preserve"> </w:t>
      </w:r>
      <w:r w:rsidRPr="00283806">
        <w:rPr>
          <w:spacing w:val="-2"/>
          <w:w w:val="105"/>
        </w:rPr>
        <w:t>records</w:t>
      </w:r>
    </w:p>
    <w:p w14:paraId="631AFD7F" w14:textId="77777777" w:rsidR="00D67C1E" w:rsidRPr="00283806" w:rsidRDefault="001265CA">
      <w:pPr>
        <w:pStyle w:val="BodyText"/>
        <w:spacing w:before="3" w:line="225" w:lineRule="auto"/>
        <w:ind w:left="145" w:right="53"/>
      </w:pPr>
      <w:r w:rsidRPr="00283806">
        <w:rPr>
          <w:w w:val="105"/>
        </w:rPr>
        <w:t>related to ALD systems, where required, be maintained for three years. Where ALD systems are being voluntarily used (</w:t>
      </w:r>
      <w:r w:rsidRPr="00283806">
        <w:rPr>
          <w:rFonts w:ascii="Book Antiqua"/>
          <w:i/>
          <w:w w:val="105"/>
        </w:rPr>
        <w:t xml:space="preserve">i.e., </w:t>
      </w:r>
      <w:r w:rsidRPr="00283806">
        <w:rPr>
          <w:w w:val="105"/>
        </w:rPr>
        <w:t>appliances with a full charge below 1,500 pounds or using a substitute for HFCs with a GWP of 53 or below), no recordkeeping is required. However, if</w:t>
      </w:r>
      <w:r w:rsidRPr="00283806">
        <w:rPr>
          <w:spacing w:val="80"/>
          <w:w w:val="105"/>
        </w:rPr>
        <w:t xml:space="preserve"> </w:t>
      </w:r>
      <w:r w:rsidRPr="00283806">
        <w:rPr>
          <w:w w:val="105"/>
        </w:rPr>
        <w:t>an appliance using an ALD system is found to be leaking above the applicable leak rate and the owner or operator chooses</w:t>
      </w:r>
      <w:r w:rsidRPr="00283806">
        <w:rPr>
          <w:spacing w:val="39"/>
          <w:w w:val="105"/>
        </w:rPr>
        <w:t xml:space="preserve"> </w:t>
      </w:r>
      <w:r w:rsidRPr="00283806">
        <w:rPr>
          <w:w w:val="105"/>
        </w:rPr>
        <w:t>to</w:t>
      </w:r>
      <w:r w:rsidRPr="00283806">
        <w:rPr>
          <w:spacing w:val="39"/>
          <w:w w:val="105"/>
        </w:rPr>
        <w:t xml:space="preserve"> </w:t>
      </w:r>
      <w:r w:rsidRPr="00283806">
        <w:rPr>
          <w:w w:val="105"/>
        </w:rPr>
        <w:t>use</w:t>
      </w:r>
      <w:r w:rsidRPr="00283806">
        <w:rPr>
          <w:spacing w:val="39"/>
          <w:w w:val="105"/>
        </w:rPr>
        <w:t xml:space="preserve"> </w:t>
      </w:r>
      <w:r w:rsidRPr="00283806">
        <w:rPr>
          <w:w w:val="105"/>
        </w:rPr>
        <w:t>the</w:t>
      </w:r>
      <w:r w:rsidRPr="00283806">
        <w:rPr>
          <w:spacing w:val="39"/>
          <w:w w:val="105"/>
        </w:rPr>
        <w:t xml:space="preserve"> </w:t>
      </w:r>
      <w:r w:rsidRPr="00283806">
        <w:rPr>
          <w:w w:val="105"/>
        </w:rPr>
        <w:t>ALD</w:t>
      </w:r>
      <w:r w:rsidRPr="00283806">
        <w:rPr>
          <w:spacing w:val="39"/>
          <w:w w:val="105"/>
        </w:rPr>
        <w:t xml:space="preserve"> </w:t>
      </w:r>
      <w:r w:rsidRPr="00283806">
        <w:rPr>
          <w:w w:val="105"/>
        </w:rPr>
        <w:t>system</w:t>
      </w:r>
      <w:r w:rsidRPr="00283806">
        <w:rPr>
          <w:spacing w:val="39"/>
          <w:w w:val="105"/>
        </w:rPr>
        <w:t xml:space="preserve"> </w:t>
      </w:r>
      <w:r w:rsidRPr="00283806">
        <w:rPr>
          <w:w w:val="105"/>
        </w:rPr>
        <w:t>in</w:t>
      </w:r>
      <w:r w:rsidRPr="00283806">
        <w:rPr>
          <w:spacing w:val="39"/>
          <w:w w:val="105"/>
        </w:rPr>
        <w:t xml:space="preserve"> </w:t>
      </w:r>
      <w:r w:rsidRPr="00283806">
        <w:rPr>
          <w:w w:val="105"/>
        </w:rPr>
        <w:t>lieu of periodic inspections, they are</w:t>
      </w:r>
      <w:r w:rsidRPr="00283806">
        <w:rPr>
          <w:spacing w:val="80"/>
          <w:w w:val="105"/>
        </w:rPr>
        <w:t xml:space="preserve"> </w:t>
      </w:r>
      <w:r w:rsidRPr="00283806">
        <w:rPr>
          <w:w w:val="105"/>
        </w:rPr>
        <w:t>required to follow all requirements associated with this compliance option, including annual audits or calibration</w:t>
      </w:r>
      <w:r w:rsidRPr="00283806">
        <w:rPr>
          <w:spacing w:val="40"/>
          <w:w w:val="105"/>
        </w:rPr>
        <w:t xml:space="preserve"> </w:t>
      </w:r>
      <w:r w:rsidRPr="00283806">
        <w:rPr>
          <w:w w:val="105"/>
        </w:rPr>
        <w:t>and all necessary recordkeeping requirements. The recordkeeping requirements in this action do not</w:t>
      </w:r>
      <w:r w:rsidRPr="00283806">
        <w:rPr>
          <w:spacing w:val="40"/>
          <w:w w:val="105"/>
        </w:rPr>
        <w:t xml:space="preserve"> </w:t>
      </w:r>
      <w:r w:rsidRPr="00283806">
        <w:rPr>
          <w:w w:val="105"/>
        </w:rPr>
        <w:t>change any recordkeeping requirements where an owner or operator chooses to use an ALD system per 40 CFR 82.157(g)(4) for appliances containing ODS refrigerants.</w:t>
      </w:r>
    </w:p>
    <w:p w14:paraId="1D7BD698" w14:textId="77777777" w:rsidR="00D67C1E" w:rsidRPr="00283806" w:rsidRDefault="001265CA">
      <w:pPr>
        <w:spacing w:line="167" w:lineRule="exact"/>
        <w:ind w:left="325"/>
        <w:rPr>
          <w:sz w:val="18"/>
        </w:rPr>
      </w:pPr>
      <w:r w:rsidRPr="00283806">
        <w:rPr>
          <w:rFonts w:ascii="Book Antiqua"/>
          <w:i/>
          <w:w w:val="110"/>
          <w:sz w:val="18"/>
        </w:rPr>
        <w:t>Comment:</w:t>
      </w:r>
      <w:r w:rsidRPr="00283806">
        <w:rPr>
          <w:rFonts w:ascii="Book Antiqua"/>
          <w:i/>
          <w:spacing w:val="-3"/>
          <w:w w:val="110"/>
          <w:sz w:val="18"/>
        </w:rPr>
        <w:t xml:space="preserve"> </w:t>
      </w:r>
      <w:r w:rsidRPr="00283806">
        <w:rPr>
          <w:w w:val="110"/>
          <w:sz w:val="18"/>
        </w:rPr>
        <w:t>EPA</w:t>
      </w:r>
      <w:r w:rsidRPr="00283806">
        <w:rPr>
          <w:spacing w:val="3"/>
          <w:w w:val="110"/>
          <w:sz w:val="18"/>
        </w:rPr>
        <w:t xml:space="preserve"> </w:t>
      </w:r>
      <w:r w:rsidRPr="00283806">
        <w:rPr>
          <w:w w:val="110"/>
          <w:sz w:val="18"/>
        </w:rPr>
        <w:t>received</w:t>
      </w:r>
      <w:r w:rsidRPr="00283806">
        <w:rPr>
          <w:spacing w:val="3"/>
          <w:w w:val="110"/>
          <w:sz w:val="18"/>
        </w:rPr>
        <w:t xml:space="preserve"> </w:t>
      </w:r>
      <w:r w:rsidRPr="00283806">
        <w:rPr>
          <w:w w:val="110"/>
          <w:sz w:val="18"/>
        </w:rPr>
        <w:t>a</w:t>
      </w:r>
      <w:r w:rsidRPr="00283806">
        <w:rPr>
          <w:spacing w:val="2"/>
          <w:w w:val="110"/>
          <w:sz w:val="18"/>
        </w:rPr>
        <w:t xml:space="preserve"> </w:t>
      </w:r>
      <w:r w:rsidRPr="00283806">
        <w:rPr>
          <w:spacing w:val="-5"/>
          <w:w w:val="110"/>
          <w:sz w:val="18"/>
        </w:rPr>
        <w:t>few</w:t>
      </w:r>
    </w:p>
    <w:p w14:paraId="32E43673" w14:textId="77777777" w:rsidR="00D67C1E" w:rsidRPr="00283806" w:rsidRDefault="001265CA">
      <w:pPr>
        <w:pStyle w:val="BodyText"/>
        <w:spacing w:line="225" w:lineRule="auto"/>
        <w:ind w:left="145" w:right="28"/>
      </w:pPr>
      <w:r w:rsidRPr="00283806">
        <w:rPr>
          <w:w w:val="105"/>
        </w:rPr>
        <w:t>comments on the reporting and recordkeeping requirements for its ALD provisions. One commenter supported the</w:t>
      </w:r>
      <w:r w:rsidRPr="00283806">
        <w:rPr>
          <w:spacing w:val="-5"/>
          <w:w w:val="105"/>
        </w:rPr>
        <w:t xml:space="preserve"> </w:t>
      </w:r>
      <w:r w:rsidRPr="00283806">
        <w:rPr>
          <w:w w:val="105"/>
        </w:rPr>
        <w:t>reduced</w:t>
      </w:r>
      <w:r w:rsidRPr="00283806">
        <w:rPr>
          <w:spacing w:val="-5"/>
          <w:w w:val="105"/>
        </w:rPr>
        <w:t xml:space="preserve"> </w:t>
      </w:r>
      <w:r w:rsidRPr="00283806">
        <w:rPr>
          <w:w w:val="105"/>
        </w:rPr>
        <w:t>recordkeeping</w:t>
      </w:r>
      <w:r w:rsidRPr="00283806">
        <w:rPr>
          <w:spacing w:val="-5"/>
          <w:w w:val="105"/>
        </w:rPr>
        <w:t xml:space="preserve"> </w:t>
      </w:r>
      <w:r w:rsidRPr="00283806">
        <w:rPr>
          <w:w w:val="105"/>
        </w:rPr>
        <w:t>requirements for facilities that opt into ALD in lieu of quarterly or annual inspections. The</w:t>
      </w:r>
      <w:r w:rsidRPr="00283806">
        <w:rPr>
          <w:spacing w:val="40"/>
          <w:w w:val="105"/>
        </w:rPr>
        <w:t xml:space="preserve"> </w:t>
      </w:r>
      <w:r w:rsidRPr="00283806">
        <w:rPr>
          <w:w w:val="105"/>
        </w:rPr>
        <w:t>same commenter was supportive of recordkeeping requirements that demonstrate facility owners are performing the necessary calibration</w:t>
      </w:r>
      <w:r w:rsidRPr="00283806">
        <w:rPr>
          <w:spacing w:val="80"/>
          <w:w w:val="105"/>
        </w:rPr>
        <w:t xml:space="preserve"> </w:t>
      </w:r>
      <w:r w:rsidRPr="00283806">
        <w:rPr>
          <w:w w:val="105"/>
        </w:rPr>
        <w:t>and maintenance of ALD systems.</w:t>
      </w:r>
    </w:p>
    <w:p w14:paraId="78099A36" w14:textId="77777777" w:rsidR="00D67C1E" w:rsidRPr="00283806" w:rsidRDefault="001265CA">
      <w:pPr>
        <w:pStyle w:val="BodyText"/>
        <w:spacing w:line="225" w:lineRule="auto"/>
        <w:ind w:left="145" w:right="60"/>
      </w:pPr>
      <w:r w:rsidRPr="00283806">
        <w:rPr>
          <w:w w:val="105"/>
        </w:rPr>
        <w:t xml:space="preserve">However, the commenter stated that </w:t>
      </w:r>
      <w:proofErr w:type="gramStart"/>
      <w:r w:rsidRPr="00283806">
        <w:rPr>
          <w:w w:val="105"/>
        </w:rPr>
        <w:t>the prescriptive</w:t>
      </w:r>
      <w:proofErr w:type="gramEnd"/>
      <w:r w:rsidRPr="00283806">
        <w:rPr>
          <w:w w:val="105"/>
        </w:rPr>
        <w:t xml:space="preserve"> installation and calibration may work against manufacturer specifications,</w:t>
      </w:r>
      <w:r w:rsidRPr="00283806">
        <w:rPr>
          <w:spacing w:val="40"/>
          <w:w w:val="105"/>
        </w:rPr>
        <w:t xml:space="preserve"> </w:t>
      </w:r>
      <w:r w:rsidRPr="00283806">
        <w:rPr>
          <w:w w:val="105"/>
        </w:rPr>
        <w:t>which</w:t>
      </w:r>
      <w:r w:rsidRPr="00283806">
        <w:rPr>
          <w:spacing w:val="40"/>
          <w:w w:val="105"/>
        </w:rPr>
        <w:t xml:space="preserve"> </w:t>
      </w:r>
      <w:r w:rsidRPr="00283806">
        <w:rPr>
          <w:w w:val="105"/>
        </w:rPr>
        <w:t>should</w:t>
      </w:r>
      <w:r w:rsidRPr="00283806">
        <w:rPr>
          <w:spacing w:val="40"/>
          <w:w w:val="105"/>
        </w:rPr>
        <w:t xml:space="preserve"> </w:t>
      </w:r>
      <w:r w:rsidRPr="00283806">
        <w:rPr>
          <w:w w:val="105"/>
        </w:rPr>
        <w:t>be followed to achieve optimal results.</w:t>
      </w:r>
    </w:p>
    <w:p w14:paraId="236E11EA" w14:textId="77777777" w:rsidR="00D67C1E" w:rsidRPr="00283806" w:rsidRDefault="001265CA">
      <w:pPr>
        <w:pStyle w:val="BodyText"/>
        <w:spacing w:line="225" w:lineRule="auto"/>
        <w:ind w:left="145" w:right="67"/>
      </w:pPr>
      <w:r w:rsidRPr="00283806">
        <w:rPr>
          <w:w w:val="105"/>
        </w:rPr>
        <w:t>Another commenter supported EPA’s proposed approach of not requiring ALD system alerts to be reported to the Agency</w:t>
      </w:r>
      <w:r w:rsidRPr="00283806">
        <w:rPr>
          <w:spacing w:val="40"/>
          <w:w w:val="105"/>
        </w:rPr>
        <w:t xml:space="preserve"> </w:t>
      </w:r>
      <w:r w:rsidRPr="00283806">
        <w:rPr>
          <w:w w:val="105"/>
        </w:rPr>
        <w:t>and</w:t>
      </w:r>
      <w:r w:rsidRPr="00283806">
        <w:rPr>
          <w:spacing w:val="40"/>
          <w:w w:val="105"/>
        </w:rPr>
        <w:t xml:space="preserve"> </w:t>
      </w:r>
      <w:r w:rsidRPr="00283806">
        <w:rPr>
          <w:w w:val="105"/>
        </w:rPr>
        <w:t>would</w:t>
      </w:r>
      <w:r w:rsidRPr="00283806">
        <w:rPr>
          <w:spacing w:val="40"/>
          <w:w w:val="105"/>
        </w:rPr>
        <w:t xml:space="preserve"> </w:t>
      </w:r>
      <w:r w:rsidRPr="00283806">
        <w:rPr>
          <w:w w:val="105"/>
        </w:rPr>
        <w:t>oppose</w:t>
      </w:r>
      <w:r w:rsidRPr="00283806">
        <w:rPr>
          <w:spacing w:val="40"/>
          <w:w w:val="105"/>
        </w:rPr>
        <w:t xml:space="preserve"> </w:t>
      </w:r>
      <w:r w:rsidRPr="00283806">
        <w:rPr>
          <w:w w:val="105"/>
        </w:rPr>
        <w:t>including</w:t>
      </w:r>
      <w:r w:rsidRPr="00283806">
        <w:rPr>
          <w:spacing w:val="40"/>
          <w:w w:val="105"/>
        </w:rPr>
        <w:t xml:space="preserve"> </w:t>
      </w:r>
      <w:r w:rsidRPr="00283806">
        <w:rPr>
          <w:w w:val="105"/>
        </w:rPr>
        <w:t>any such reporting requirement in the final rule. If the Agency has the need to review these records, the commenter</w:t>
      </w:r>
      <w:r w:rsidRPr="00283806">
        <w:rPr>
          <w:spacing w:val="40"/>
          <w:w w:val="105"/>
        </w:rPr>
        <w:t xml:space="preserve"> </w:t>
      </w:r>
      <w:r w:rsidRPr="00283806">
        <w:rPr>
          <w:w w:val="105"/>
        </w:rPr>
        <w:t>said they can always be requested from</w:t>
      </w:r>
      <w:r w:rsidRPr="00283806">
        <w:rPr>
          <w:spacing w:val="80"/>
          <w:w w:val="150"/>
        </w:rPr>
        <w:t xml:space="preserve"> </w:t>
      </w:r>
      <w:r w:rsidRPr="00283806">
        <w:rPr>
          <w:w w:val="105"/>
        </w:rPr>
        <w:t>a facility rather than imposing an additional administrative burden on owners or operators and on EPA by requiring a report of every ALD alert.</w:t>
      </w:r>
    </w:p>
    <w:p w14:paraId="50B20111" w14:textId="77777777" w:rsidR="00D67C1E" w:rsidRPr="00283806" w:rsidRDefault="001265CA">
      <w:pPr>
        <w:pStyle w:val="BodyText"/>
        <w:spacing w:line="200" w:lineRule="exact"/>
        <w:ind w:left="145"/>
      </w:pPr>
      <w:r w:rsidRPr="00283806">
        <w:rPr>
          <w:w w:val="105"/>
        </w:rPr>
        <w:t>Lastly,</w:t>
      </w:r>
      <w:r w:rsidRPr="00283806">
        <w:rPr>
          <w:spacing w:val="11"/>
          <w:w w:val="105"/>
        </w:rPr>
        <w:t xml:space="preserve"> </w:t>
      </w:r>
      <w:r w:rsidRPr="00283806">
        <w:rPr>
          <w:w w:val="105"/>
        </w:rPr>
        <w:t>one</w:t>
      </w:r>
      <w:r w:rsidRPr="00283806">
        <w:rPr>
          <w:spacing w:val="11"/>
          <w:w w:val="105"/>
        </w:rPr>
        <w:t xml:space="preserve"> </w:t>
      </w:r>
      <w:r w:rsidRPr="00283806">
        <w:rPr>
          <w:w w:val="105"/>
        </w:rPr>
        <w:t>commenter</w:t>
      </w:r>
      <w:r w:rsidRPr="00283806">
        <w:rPr>
          <w:spacing w:val="11"/>
          <w:w w:val="105"/>
        </w:rPr>
        <w:t xml:space="preserve"> </w:t>
      </w:r>
      <w:r w:rsidRPr="00283806">
        <w:rPr>
          <w:w w:val="105"/>
        </w:rPr>
        <w:t>reinforced</w:t>
      </w:r>
      <w:r w:rsidRPr="00283806">
        <w:rPr>
          <w:spacing w:val="11"/>
          <w:w w:val="105"/>
        </w:rPr>
        <w:t xml:space="preserve"> </w:t>
      </w:r>
      <w:r w:rsidRPr="00283806">
        <w:rPr>
          <w:spacing w:val="-5"/>
          <w:w w:val="105"/>
        </w:rPr>
        <w:t>the</w:t>
      </w:r>
    </w:p>
    <w:p w14:paraId="57DFD8D1" w14:textId="77777777" w:rsidR="00D67C1E" w:rsidRPr="00283806" w:rsidRDefault="001265CA">
      <w:pPr>
        <w:pStyle w:val="BodyText"/>
        <w:spacing w:before="135" w:line="225" w:lineRule="auto"/>
        <w:ind w:left="143" w:right="210"/>
      </w:pPr>
      <w:r w:rsidRPr="00283806">
        <w:br w:type="column"/>
      </w:r>
      <w:r w:rsidRPr="00283806">
        <w:rPr>
          <w:w w:val="105"/>
        </w:rPr>
        <w:t>need for digital recordkeeping and recommended that digital records directly tied to the detection system be encouraged where possible.</w:t>
      </w:r>
    </w:p>
    <w:p w14:paraId="418DBC7E" w14:textId="77777777" w:rsidR="00D67C1E" w:rsidRPr="00283806" w:rsidRDefault="001265CA">
      <w:pPr>
        <w:pStyle w:val="BodyText"/>
        <w:spacing w:line="213" w:lineRule="auto"/>
        <w:ind w:left="143" w:right="210" w:firstLine="180"/>
      </w:pPr>
      <w:r w:rsidRPr="00283806">
        <w:rPr>
          <w:rFonts w:ascii="Book Antiqua"/>
          <w:i/>
          <w:w w:val="105"/>
        </w:rPr>
        <w:t xml:space="preserve">Response: </w:t>
      </w:r>
      <w:r w:rsidRPr="00283806">
        <w:rPr>
          <w:w w:val="105"/>
        </w:rPr>
        <w:t>EPA is finalizing recordkeeping requirements for ALD</w:t>
      </w:r>
    </w:p>
    <w:p w14:paraId="7584FD32" w14:textId="77777777" w:rsidR="00D67C1E" w:rsidRPr="00283806" w:rsidRDefault="001265CA">
      <w:pPr>
        <w:pStyle w:val="BodyText"/>
        <w:spacing w:line="225" w:lineRule="auto"/>
        <w:ind w:left="143" w:right="158"/>
      </w:pPr>
      <w:r w:rsidRPr="00283806">
        <w:rPr>
          <w:w w:val="105"/>
        </w:rPr>
        <w:t>systems as proposed. EPA acknowledges one commenter’s request that ALD alerts not be reported to the Agency. Records</w:t>
      </w:r>
      <w:r w:rsidRPr="00283806">
        <w:rPr>
          <w:spacing w:val="80"/>
          <w:w w:val="105"/>
        </w:rPr>
        <w:t xml:space="preserve"> </w:t>
      </w:r>
      <w:r w:rsidRPr="00283806">
        <w:rPr>
          <w:w w:val="105"/>
        </w:rPr>
        <w:t>of ALD alerts are required, but EPA did not propose and is not finalizing that</w:t>
      </w:r>
      <w:r w:rsidRPr="00283806">
        <w:rPr>
          <w:spacing w:val="80"/>
          <w:w w:val="105"/>
        </w:rPr>
        <w:t xml:space="preserve"> </w:t>
      </w:r>
      <w:r w:rsidRPr="00283806">
        <w:rPr>
          <w:w w:val="105"/>
        </w:rPr>
        <w:t>ALD alarms be reported to the Agency. The Agency agrees with one</w:t>
      </w:r>
      <w:r w:rsidRPr="00283806">
        <w:rPr>
          <w:spacing w:val="80"/>
          <w:w w:val="105"/>
        </w:rPr>
        <w:t xml:space="preserve"> </w:t>
      </w:r>
      <w:r w:rsidRPr="00283806">
        <w:rPr>
          <w:w w:val="105"/>
        </w:rPr>
        <w:t xml:space="preserve">commenter’s emphasis on digital recordkeeping and agrees that, where appropriate, digital recordkeeping is appropriate for filing the information required under this provision. EPA clarifies that recordkeeping in a paper format is still acceptable </w:t>
      </w:r>
      <w:proofErr w:type="gramStart"/>
      <w:r w:rsidRPr="00283806">
        <w:rPr>
          <w:w w:val="105"/>
        </w:rPr>
        <w:t>as long as</w:t>
      </w:r>
      <w:proofErr w:type="gramEnd"/>
      <w:r w:rsidRPr="00283806">
        <w:rPr>
          <w:w w:val="105"/>
        </w:rPr>
        <w:t xml:space="preserve"> records are kept in the manner defined</w:t>
      </w:r>
      <w:r w:rsidRPr="00283806">
        <w:rPr>
          <w:spacing w:val="80"/>
          <w:w w:val="105"/>
        </w:rPr>
        <w:t xml:space="preserve"> </w:t>
      </w:r>
      <w:r w:rsidRPr="00283806">
        <w:rPr>
          <w:w w:val="105"/>
        </w:rPr>
        <w:t>in 40 CFR 84.108(i). The Agency disagrees with one commenter’s claim that annual calibration of ALD systems may go against manufacturers specifications. EPA is unaware of any manufacturer specifications that would make annual calibration and verification that an ALD system is functioning properly impossible or non-optimal.</w:t>
      </w:r>
    </w:p>
    <w:p w14:paraId="09F255B0" w14:textId="77777777" w:rsidR="00D67C1E" w:rsidRPr="00283806" w:rsidRDefault="001265CA">
      <w:pPr>
        <w:pStyle w:val="BodyText"/>
        <w:spacing w:line="225" w:lineRule="auto"/>
        <w:ind w:left="143" w:right="151"/>
      </w:pPr>
      <w:r w:rsidRPr="00283806">
        <w:rPr>
          <w:w w:val="110"/>
        </w:rPr>
        <w:t>While owners or operators should rely on manufacturer specifications as it relates</w:t>
      </w:r>
      <w:r w:rsidRPr="00283806">
        <w:rPr>
          <w:spacing w:val="-11"/>
          <w:w w:val="110"/>
        </w:rPr>
        <w:t xml:space="preserve"> </w:t>
      </w:r>
      <w:r w:rsidRPr="00283806">
        <w:rPr>
          <w:w w:val="110"/>
        </w:rPr>
        <w:t>to</w:t>
      </w:r>
      <w:r w:rsidRPr="00283806">
        <w:rPr>
          <w:spacing w:val="-11"/>
          <w:w w:val="110"/>
        </w:rPr>
        <w:t xml:space="preserve"> </w:t>
      </w:r>
      <w:r w:rsidRPr="00283806">
        <w:rPr>
          <w:w w:val="110"/>
        </w:rPr>
        <w:t>the</w:t>
      </w:r>
      <w:r w:rsidRPr="00283806">
        <w:rPr>
          <w:spacing w:val="-11"/>
          <w:w w:val="110"/>
        </w:rPr>
        <w:t xml:space="preserve"> </w:t>
      </w:r>
      <w:r w:rsidRPr="00283806">
        <w:rPr>
          <w:w w:val="110"/>
        </w:rPr>
        <w:t>installation</w:t>
      </w:r>
      <w:r w:rsidRPr="00283806">
        <w:rPr>
          <w:spacing w:val="-11"/>
          <w:w w:val="110"/>
        </w:rPr>
        <w:t xml:space="preserve"> </w:t>
      </w:r>
      <w:r w:rsidRPr="00283806">
        <w:rPr>
          <w:w w:val="110"/>
        </w:rPr>
        <w:t>and</w:t>
      </w:r>
      <w:r w:rsidRPr="00283806">
        <w:rPr>
          <w:spacing w:val="-11"/>
          <w:w w:val="110"/>
        </w:rPr>
        <w:t xml:space="preserve"> </w:t>
      </w:r>
      <w:r w:rsidRPr="00283806">
        <w:rPr>
          <w:w w:val="110"/>
        </w:rPr>
        <w:t>operation of</w:t>
      </w:r>
      <w:r w:rsidRPr="00283806">
        <w:rPr>
          <w:spacing w:val="-11"/>
          <w:w w:val="110"/>
        </w:rPr>
        <w:t xml:space="preserve"> </w:t>
      </w:r>
      <w:r w:rsidRPr="00283806">
        <w:rPr>
          <w:w w:val="110"/>
        </w:rPr>
        <w:t>equipment,</w:t>
      </w:r>
      <w:r w:rsidRPr="00283806">
        <w:rPr>
          <w:spacing w:val="-11"/>
          <w:w w:val="110"/>
        </w:rPr>
        <w:t xml:space="preserve"> </w:t>
      </w:r>
      <w:r w:rsidRPr="00283806">
        <w:rPr>
          <w:w w:val="110"/>
        </w:rPr>
        <w:t>the</w:t>
      </w:r>
      <w:r w:rsidRPr="00283806">
        <w:rPr>
          <w:spacing w:val="-11"/>
          <w:w w:val="110"/>
        </w:rPr>
        <w:t xml:space="preserve"> </w:t>
      </w:r>
      <w:r w:rsidRPr="00283806">
        <w:rPr>
          <w:w w:val="110"/>
        </w:rPr>
        <w:t>Agency</w:t>
      </w:r>
      <w:r w:rsidRPr="00283806">
        <w:rPr>
          <w:spacing w:val="-11"/>
          <w:w w:val="110"/>
        </w:rPr>
        <w:t xml:space="preserve"> </w:t>
      </w:r>
      <w:r w:rsidRPr="00283806">
        <w:rPr>
          <w:w w:val="110"/>
        </w:rPr>
        <w:t>does</w:t>
      </w:r>
      <w:r w:rsidRPr="00283806">
        <w:rPr>
          <w:spacing w:val="-11"/>
          <w:w w:val="110"/>
        </w:rPr>
        <w:t xml:space="preserve"> </w:t>
      </w:r>
      <w:r w:rsidRPr="00283806">
        <w:rPr>
          <w:w w:val="110"/>
        </w:rPr>
        <w:t>not</w:t>
      </w:r>
      <w:r w:rsidRPr="00283806">
        <w:rPr>
          <w:spacing w:val="-11"/>
          <w:w w:val="110"/>
        </w:rPr>
        <w:t xml:space="preserve"> </w:t>
      </w:r>
      <w:r w:rsidRPr="00283806">
        <w:rPr>
          <w:w w:val="110"/>
        </w:rPr>
        <w:t>view the annual calibration and audits of ALD systems as out of sync with manufacturer specifications. ALD installations and their subsequent use should largely align with manufacturer specifications,</w:t>
      </w:r>
      <w:r w:rsidRPr="00283806">
        <w:rPr>
          <w:spacing w:val="-4"/>
          <w:w w:val="110"/>
        </w:rPr>
        <w:t xml:space="preserve"> </w:t>
      </w:r>
      <w:r w:rsidRPr="00283806">
        <w:rPr>
          <w:w w:val="110"/>
        </w:rPr>
        <w:t>but</w:t>
      </w:r>
      <w:r w:rsidRPr="00283806">
        <w:rPr>
          <w:spacing w:val="-4"/>
          <w:w w:val="110"/>
        </w:rPr>
        <w:t xml:space="preserve"> </w:t>
      </w:r>
      <w:r w:rsidRPr="00283806">
        <w:rPr>
          <w:w w:val="110"/>
        </w:rPr>
        <w:t>owners</w:t>
      </w:r>
      <w:r w:rsidRPr="00283806">
        <w:rPr>
          <w:spacing w:val="-4"/>
          <w:w w:val="110"/>
        </w:rPr>
        <w:t xml:space="preserve"> </w:t>
      </w:r>
      <w:r w:rsidRPr="00283806">
        <w:rPr>
          <w:w w:val="110"/>
        </w:rPr>
        <w:t>or</w:t>
      </w:r>
      <w:r w:rsidRPr="00283806">
        <w:rPr>
          <w:spacing w:val="-4"/>
          <w:w w:val="110"/>
        </w:rPr>
        <w:t xml:space="preserve"> </w:t>
      </w:r>
      <w:r w:rsidRPr="00283806">
        <w:rPr>
          <w:w w:val="110"/>
        </w:rPr>
        <w:t xml:space="preserve">operators must ensure that all leak-prone components are monitored by an ALD </w:t>
      </w:r>
      <w:r w:rsidRPr="00283806">
        <w:rPr>
          <w:spacing w:val="-2"/>
          <w:w w:val="110"/>
        </w:rPr>
        <w:t>system.</w:t>
      </w:r>
    </w:p>
    <w:p w14:paraId="30CDF16B" w14:textId="77777777" w:rsidR="00D67C1E" w:rsidRPr="00283806" w:rsidRDefault="001265CA">
      <w:pPr>
        <w:pStyle w:val="ListParagraph"/>
        <w:numPr>
          <w:ilvl w:val="1"/>
          <w:numId w:val="64"/>
        </w:numPr>
        <w:tabs>
          <w:tab w:val="left" w:pos="352"/>
        </w:tabs>
        <w:spacing w:before="89" w:line="218" w:lineRule="auto"/>
        <w:ind w:left="143" w:right="125" w:firstLine="0"/>
        <w:rPr>
          <w:rFonts w:ascii="Book Antiqua"/>
          <w:i/>
          <w:sz w:val="18"/>
        </w:rPr>
      </w:pPr>
      <w:r w:rsidRPr="00283806">
        <w:rPr>
          <w:rFonts w:ascii="Book Antiqua"/>
          <w:i/>
          <w:w w:val="110"/>
          <w:sz w:val="18"/>
        </w:rPr>
        <w:t xml:space="preserve">How is EPA establishing requirements </w:t>
      </w:r>
      <w:r w:rsidRPr="00283806">
        <w:rPr>
          <w:rFonts w:ascii="Book Antiqua"/>
          <w:i/>
          <w:w w:val="115"/>
          <w:sz w:val="18"/>
        </w:rPr>
        <w:t>for recovered and reclaimed HFCs?</w:t>
      </w:r>
    </w:p>
    <w:p w14:paraId="67B35D5A" w14:textId="77777777" w:rsidR="00D67C1E" w:rsidRPr="00283806" w:rsidRDefault="001265CA">
      <w:pPr>
        <w:pStyle w:val="BodyText"/>
        <w:spacing w:before="58" w:line="225" w:lineRule="auto"/>
        <w:ind w:left="143" w:right="131" w:firstLine="180"/>
      </w:pPr>
      <w:r w:rsidRPr="00283806">
        <w:rPr>
          <w:w w:val="105"/>
        </w:rPr>
        <w:t xml:space="preserve">EPA is finalizing requirements for recovered and reclaimed HFCs with modifications after consideration of the comments and information received on the proposed rule. EPA </w:t>
      </w:r>
      <w:proofErr w:type="gramStart"/>
      <w:r w:rsidRPr="00283806">
        <w:rPr>
          <w:w w:val="105"/>
        </w:rPr>
        <w:t>is requiring</w:t>
      </w:r>
      <w:proofErr w:type="gramEnd"/>
      <w:r w:rsidRPr="00283806">
        <w:rPr>
          <w:w w:val="105"/>
        </w:rPr>
        <w:t xml:space="preserve"> reclaimed refrigerants that contain HFCs to contain no more than 15 percent, by weight, virgin HFCs. The reclamation standard will apply as of January 1,</w:t>
      </w:r>
      <w:r w:rsidRPr="00283806">
        <w:rPr>
          <w:spacing w:val="80"/>
          <w:w w:val="105"/>
        </w:rPr>
        <w:t xml:space="preserve"> </w:t>
      </w:r>
      <w:r w:rsidRPr="00283806">
        <w:rPr>
          <w:w w:val="105"/>
        </w:rPr>
        <w:t>2026, and the provision includes certain recordkeeping, labeling, and</w:t>
      </w:r>
      <w:r w:rsidRPr="00283806">
        <w:rPr>
          <w:spacing w:val="80"/>
          <w:w w:val="150"/>
        </w:rPr>
        <w:t xml:space="preserve"> </w:t>
      </w:r>
      <w:r w:rsidRPr="00283806">
        <w:rPr>
          <w:w w:val="105"/>
        </w:rPr>
        <w:t>certification requirements. EPA is also finalizing requirements for the servicing and/or repair of refrigerant-containing equipment to be done with reclaimed HFCs in the supermarket systems, refrigerated transport, and automatic commercial ice makers subsectors. EPA also</w:t>
      </w:r>
      <w:r w:rsidRPr="00283806">
        <w:rPr>
          <w:spacing w:val="40"/>
          <w:w w:val="105"/>
        </w:rPr>
        <w:t xml:space="preserve"> </w:t>
      </w:r>
      <w:r w:rsidRPr="00283806">
        <w:rPr>
          <w:w w:val="105"/>
        </w:rPr>
        <w:t>proposed</w:t>
      </w:r>
      <w:r w:rsidRPr="00283806">
        <w:rPr>
          <w:spacing w:val="40"/>
          <w:w w:val="105"/>
        </w:rPr>
        <w:t xml:space="preserve"> </w:t>
      </w:r>
      <w:r w:rsidRPr="00283806">
        <w:rPr>
          <w:w w:val="105"/>
        </w:rPr>
        <w:t>to</w:t>
      </w:r>
      <w:r w:rsidRPr="00283806">
        <w:rPr>
          <w:spacing w:val="40"/>
          <w:w w:val="105"/>
        </w:rPr>
        <w:t xml:space="preserve"> </w:t>
      </w:r>
      <w:r w:rsidRPr="00283806">
        <w:rPr>
          <w:w w:val="105"/>
        </w:rPr>
        <w:t>require</w:t>
      </w:r>
      <w:r w:rsidRPr="00283806">
        <w:rPr>
          <w:spacing w:val="40"/>
          <w:w w:val="105"/>
        </w:rPr>
        <w:t xml:space="preserve"> </w:t>
      </w:r>
      <w:r w:rsidRPr="00283806">
        <w:rPr>
          <w:w w:val="105"/>
        </w:rPr>
        <w:t>reclaimed HFCs in the servicing and/or repair of refrigerant-containing equipment in the stand-alone refrigeration subsector, but</w:t>
      </w:r>
      <w:r w:rsidRPr="00283806">
        <w:rPr>
          <w:spacing w:val="40"/>
          <w:w w:val="105"/>
        </w:rPr>
        <w:t xml:space="preserve"> </w:t>
      </w:r>
      <w:r w:rsidRPr="00283806">
        <w:rPr>
          <w:w w:val="105"/>
        </w:rPr>
        <w:t>is not finalizing that requirement in this</w:t>
      </w:r>
    </w:p>
    <w:p w14:paraId="67112A79"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5" w:space="40"/>
            <w:col w:w="3502" w:space="39"/>
            <w:col w:w="3624"/>
          </w:cols>
        </w:sectPr>
      </w:pPr>
    </w:p>
    <w:p w14:paraId="18974990" w14:textId="77777777" w:rsidR="00D67C1E" w:rsidRPr="00283806" w:rsidRDefault="001265CA">
      <w:pPr>
        <w:pStyle w:val="BodyText"/>
        <w:spacing w:before="127" w:line="237" w:lineRule="auto"/>
        <w:ind w:right="1"/>
      </w:pPr>
      <w:r w:rsidRPr="00283806">
        <w:rPr>
          <w:w w:val="105"/>
        </w:rPr>
        <w:lastRenderedPageBreak/>
        <w:t>action. EPA is delaying the compliance date for these finalized requirements by one year from January 1, 2028, to</w:t>
      </w:r>
      <w:r w:rsidRPr="00283806">
        <w:rPr>
          <w:spacing w:val="40"/>
          <w:w w:val="105"/>
        </w:rPr>
        <w:t xml:space="preserve"> </w:t>
      </w:r>
      <w:r w:rsidRPr="00283806">
        <w:rPr>
          <w:w w:val="105"/>
        </w:rPr>
        <w:t>January 1, 2029. EPA is also establishing</w:t>
      </w:r>
      <w:r w:rsidRPr="00283806">
        <w:rPr>
          <w:spacing w:val="40"/>
          <w:w w:val="105"/>
        </w:rPr>
        <w:t xml:space="preserve"> </w:t>
      </w:r>
      <w:r w:rsidRPr="00283806">
        <w:rPr>
          <w:w w:val="105"/>
        </w:rPr>
        <w:t>a discrete reporting requirement, as described</w:t>
      </w:r>
      <w:r w:rsidRPr="00283806">
        <w:rPr>
          <w:spacing w:val="40"/>
          <w:w w:val="105"/>
        </w:rPr>
        <w:t xml:space="preserve"> </w:t>
      </w:r>
      <w:r w:rsidRPr="00283806">
        <w:rPr>
          <w:w w:val="105"/>
        </w:rPr>
        <w:t>in</w:t>
      </w:r>
      <w:r w:rsidRPr="00283806">
        <w:rPr>
          <w:spacing w:val="40"/>
          <w:w w:val="105"/>
        </w:rPr>
        <w:t xml:space="preserve"> </w:t>
      </w:r>
      <w:r w:rsidRPr="00283806">
        <w:rPr>
          <w:w w:val="105"/>
        </w:rPr>
        <w:t>section</w:t>
      </w:r>
      <w:r w:rsidRPr="00283806">
        <w:rPr>
          <w:spacing w:val="40"/>
          <w:w w:val="105"/>
        </w:rPr>
        <w:t xml:space="preserve"> </w:t>
      </w:r>
      <w:r w:rsidRPr="00283806">
        <w:rPr>
          <w:w w:val="105"/>
        </w:rPr>
        <w:t>IV.E.2.</w:t>
      </w:r>
      <w:r w:rsidRPr="00283806">
        <w:rPr>
          <w:spacing w:val="40"/>
          <w:w w:val="105"/>
        </w:rPr>
        <w:t xml:space="preserve"> </w:t>
      </w:r>
      <w:r w:rsidRPr="00283806">
        <w:rPr>
          <w:w w:val="105"/>
        </w:rPr>
        <w:t>Lastly,</w:t>
      </w:r>
      <w:r w:rsidRPr="00283806">
        <w:rPr>
          <w:spacing w:val="40"/>
          <w:w w:val="105"/>
        </w:rPr>
        <w:t xml:space="preserve"> </w:t>
      </w:r>
      <w:r w:rsidRPr="00283806">
        <w:rPr>
          <w:w w:val="105"/>
        </w:rPr>
        <w:t>at this time, EPA is not finalizing requirements for the initial fill of refrigerant-containing equipment to be done with reclaimed HFCs.</w:t>
      </w:r>
    </w:p>
    <w:p w14:paraId="7EEDD879" w14:textId="77777777" w:rsidR="00D67C1E" w:rsidRPr="00283806" w:rsidRDefault="001265CA">
      <w:pPr>
        <w:pStyle w:val="BodyText"/>
        <w:spacing w:before="48" w:line="237" w:lineRule="auto"/>
        <w:ind w:right="42" w:firstLine="180"/>
      </w:pPr>
      <w:r w:rsidRPr="00283806">
        <w:rPr>
          <w:w w:val="105"/>
        </w:rPr>
        <w:t>As described in the proposed rule, subsection (h) provides EPA authority</w:t>
      </w:r>
      <w:r w:rsidRPr="00283806">
        <w:rPr>
          <w:spacing w:val="80"/>
          <w:w w:val="105"/>
        </w:rPr>
        <w:t xml:space="preserve"> </w:t>
      </w:r>
      <w:r w:rsidRPr="00283806">
        <w:rPr>
          <w:w w:val="105"/>
        </w:rPr>
        <w:t>to, where appropriate, establish regulations to control such practices, processes, or activities that are intended to increase reclamation of HFCs, as well as substitutes for HFCs, that are used as refrigerants. EPA understands this delegation of authority to give the</w:t>
      </w:r>
      <w:r w:rsidRPr="00283806">
        <w:rPr>
          <w:spacing w:val="40"/>
          <w:w w:val="105"/>
        </w:rPr>
        <w:t xml:space="preserve"> </w:t>
      </w:r>
      <w:r w:rsidRPr="00283806">
        <w:rPr>
          <w:w w:val="105"/>
        </w:rPr>
        <w:t>Agency flexibility to promulgate regulations that could include those that are designed to increase market demand for reclaimed HFCs with a goal of increasing the amount of HFCs that are reclaimed, which would further serve</w:t>
      </w:r>
      <w:r w:rsidRPr="00283806">
        <w:rPr>
          <w:spacing w:val="80"/>
          <w:w w:val="105"/>
        </w:rPr>
        <w:t xml:space="preserve"> </w:t>
      </w:r>
      <w:r w:rsidRPr="00283806">
        <w:rPr>
          <w:w w:val="105"/>
        </w:rPr>
        <w:t>the purpose of maximizing the reclamation of regulated substances.</w:t>
      </w:r>
    </w:p>
    <w:p w14:paraId="05969EE2" w14:textId="77777777" w:rsidR="00D67C1E" w:rsidRPr="00283806" w:rsidRDefault="001265CA">
      <w:pPr>
        <w:pStyle w:val="BodyText"/>
        <w:spacing w:line="194" w:lineRule="exact"/>
      </w:pPr>
      <w:r w:rsidRPr="00283806">
        <w:rPr>
          <w:w w:val="110"/>
        </w:rPr>
        <w:t>Accordingly,</w:t>
      </w:r>
      <w:r w:rsidRPr="00283806">
        <w:rPr>
          <w:spacing w:val="10"/>
          <w:w w:val="110"/>
        </w:rPr>
        <w:t xml:space="preserve"> </w:t>
      </w:r>
      <w:r w:rsidRPr="00283806">
        <w:rPr>
          <w:w w:val="110"/>
        </w:rPr>
        <w:t>EPA</w:t>
      </w:r>
      <w:r w:rsidRPr="00283806">
        <w:rPr>
          <w:spacing w:val="11"/>
          <w:w w:val="110"/>
        </w:rPr>
        <w:t xml:space="preserve"> </w:t>
      </w:r>
      <w:r w:rsidRPr="00283806">
        <w:rPr>
          <w:w w:val="110"/>
        </w:rPr>
        <w:t>is</w:t>
      </w:r>
      <w:r w:rsidRPr="00283806">
        <w:rPr>
          <w:spacing w:val="11"/>
          <w:w w:val="110"/>
        </w:rPr>
        <w:t xml:space="preserve"> </w:t>
      </w:r>
      <w:r w:rsidRPr="00283806">
        <w:rPr>
          <w:spacing w:val="-2"/>
          <w:w w:val="110"/>
        </w:rPr>
        <w:t>establishing</w:t>
      </w:r>
    </w:p>
    <w:p w14:paraId="7E5A0091" w14:textId="77777777" w:rsidR="00D67C1E" w:rsidRPr="00283806" w:rsidRDefault="001265CA">
      <w:pPr>
        <w:pStyle w:val="BodyText"/>
        <w:spacing w:line="237" w:lineRule="auto"/>
        <w:ind w:right="44"/>
      </w:pPr>
      <w:r w:rsidRPr="00283806">
        <w:rPr>
          <w:w w:val="105"/>
        </w:rPr>
        <w:t>requirements for what constitutes reclaimed HFCs and for the servicing and/or repair of certain refrigerant- containing equipment to be done with reclaimed</w:t>
      </w:r>
      <w:r w:rsidRPr="00283806">
        <w:rPr>
          <w:spacing w:val="40"/>
          <w:w w:val="105"/>
        </w:rPr>
        <w:t xml:space="preserve"> </w:t>
      </w:r>
      <w:r w:rsidRPr="00283806">
        <w:rPr>
          <w:w w:val="105"/>
        </w:rPr>
        <w:t>HFCs.</w:t>
      </w:r>
      <w:r w:rsidRPr="00283806">
        <w:rPr>
          <w:spacing w:val="40"/>
          <w:w w:val="105"/>
        </w:rPr>
        <w:t xml:space="preserve"> </w:t>
      </w:r>
      <w:r w:rsidRPr="00283806">
        <w:rPr>
          <w:w w:val="105"/>
        </w:rPr>
        <w:t>In</w:t>
      </w:r>
      <w:r w:rsidRPr="00283806">
        <w:rPr>
          <w:spacing w:val="40"/>
          <w:w w:val="105"/>
        </w:rPr>
        <w:t xml:space="preserve"> </w:t>
      </w:r>
      <w:r w:rsidRPr="00283806">
        <w:rPr>
          <w:w w:val="105"/>
        </w:rPr>
        <w:t>this</w:t>
      </w:r>
      <w:r w:rsidRPr="00283806">
        <w:rPr>
          <w:spacing w:val="40"/>
          <w:w w:val="105"/>
        </w:rPr>
        <w:t xml:space="preserve"> </w:t>
      </w:r>
      <w:r w:rsidRPr="00283806">
        <w:rPr>
          <w:w w:val="105"/>
        </w:rPr>
        <w:t>rulemaking, EPA is not establishing requirements for reclaimed HFC substitutes; however, the Agency interprets the authority under subsection (h) to include establishing such regulations. Consistent with the proposal, EPA determined it would be prudent to focus the requirements finalized in this action on HFCs, given</w:t>
      </w:r>
      <w:r w:rsidRPr="00283806">
        <w:rPr>
          <w:spacing w:val="40"/>
          <w:w w:val="105"/>
        </w:rPr>
        <w:t xml:space="preserve"> </w:t>
      </w:r>
      <w:r w:rsidRPr="00283806">
        <w:rPr>
          <w:w w:val="105"/>
        </w:rPr>
        <w:t>that the HFC consumption and production phasedown will create scarcity for virgin HFCs and such</w:t>
      </w:r>
      <w:r w:rsidRPr="00283806">
        <w:rPr>
          <w:spacing w:val="80"/>
          <w:w w:val="105"/>
        </w:rPr>
        <w:t xml:space="preserve"> </w:t>
      </w:r>
      <w:r w:rsidRPr="00283806">
        <w:rPr>
          <w:w w:val="105"/>
        </w:rPr>
        <w:t xml:space="preserve">demand can partly be addressed by increased use of reclaimed HFCs where </w:t>
      </w:r>
      <w:r w:rsidRPr="00283806">
        <w:rPr>
          <w:spacing w:val="-2"/>
          <w:w w:val="105"/>
        </w:rPr>
        <w:t>possible.</w:t>
      </w:r>
    </w:p>
    <w:p w14:paraId="5DD4AAEB" w14:textId="77777777" w:rsidR="00D67C1E" w:rsidRPr="00283806" w:rsidRDefault="001265CA">
      <w:pPr>
        <w:spacing w:before="44" w:line="232" w:lineRule="auto"/>
        <w:ind w:left="159" w:right="38" w:firstLine="180"/>
        <w:rPr>
          <w:sz w:val="18"/>
        </w:rPr>
      </w:pPr>
      <w:r w:rsidRPr="00283806">
        <w:rPr>
          <w:w w:val="110"/>
          <w:sz w:val="18"/>
        </w:rPr>
        <w:t>EPA published a Notice of Data Availability (NODA) on October 17, 2022 (87 FR 62843), to alert stakeholders</w:t>
      </w:r>
      <w:r w:rsidRPr="00283806">
        <w:rPr>
          <w:spacing w:val="-1"/>
          <w:w w:val="110"/>
          <w:sz w:val="18"/>
        </w:rPr>
        <w:t xml:space="preserve"> </w:t>
      </w:r>
      <w:r w:rsidRPr="00283806">
        <w:rPr>
          <w:w w:val="110"/>
          <w:sz w:val="18"/>
        </w:rPr>
        <w:t>of</w:t>
      </w:r>
      <w:r w:rsidRPr="00283806">
        <w:rPr>
          <w:spacing w:val="-1"/>
          <w:w w:val="110"/>
          <w:sz w:val="18"/>
        </w:rPr>
        <w:t xml:space="preserve"> </w:t>
      </w:r>
      <w:r w:rsidRPr="00283806">
        <w:rPr>
          <w:w w:val="110"/>
          <w:sz w:val="18"/>
        </w:rPr>
        <w:t>information</w:t>
      </w:r>
      <w:r w:rsidRPr="00283806">
        <w:rPr>
          <w:spacing w:val="-1"/>
          <w:w w:val="110"/>
          <w:sz w:val="18"/>
        </w:rPr>
        <w:t xml:space="preserve"> </w:t>
      </w:r>
      <w:r w:rsidRPr="00283806">
        <w:rPr>
          <w:w w:val="110"/>
          <w:sz w:val="18"/>
        </w:rPr>
        <w:t xml:space="preserve">regarding the U.S. HFC reclamation market, available through a draft report, </w:t>
      </w:r>
      <w:r w:rsidRPr="00283806">
        <w:rPr>
          <w:rFonts w:ascii="Book Antiqua"/>
          <w:i/>
          <w:w w:val="110"/>
          <w:sz w:val="18"/>
        </w:rPr>
        <w:t>Analysis of the U.S. Hydrofluorocarbon Reclamation Market: Stakeholders, Drivers, and Practices.</w:t>
      </w:r>
      <w:r w:rsidRPr="00283806">
        <w:rPr>
          <w:w w:val="110"/>
          <w:position w:val="5"/>
          <w:sz w:val="11"/>
        </w:rPr>
        <w:t>84</w:t>
      </w:r>
      <w:r w:rsidRPr="00283806">
        <w:rPr>
          <w:spacing w:val="40"/>
          <w:w w:val="110"/>
          <w:position w:val="5"/>
          <w:sz w:val="11"/>
        </w:rPr>
        <w:t xml:space="preserve"> </w:t>
      </w:r>
      <w:r w:rsidRPr="00283806">
        <w:rPr>
          <w:w w:val="110"/>
          <w:sz w:val="18"/>
        </w:rPr>
        <w:t>EPA solicited stakeholder</w:t>
      </w:r>
      <w:r w:rsidRPr="00283806">
        <w:rPr>
          <w:spacing w:val="-11"/>
          <w:w w:val="110"/>
          <w:sz w:val="18"/>
        </w:rPr>
        <w:t xml:space="preserve"> </w:t>
      </w:r>
      <w:r w:rsidRPr="00283806">
        <w:rPr>
          <w:w w:val="110"/>
          <w:sz w:val="18"/>
        </w:rPr>
        <w:t>feedback</w:t>
      </w:r>
      <w:r w:rsidRPr="00283806">
        <w:rPr>
          <w:spacing w:val="-11"/>
          <w:w w:val="110"/>
          <w:sz w:val="18"/>
        </w:rPr>
        <w:t xml:space="preserve"> </w:t>
      </w:r>
      <w:r w:rsidRPr="00283806">
        <w:rPr>
          <w:w w:val="110"/>
          <w:sz w:val="18"/>
        </w:rPr>
        <w:t>and</w:t>
      </w:r>
      <w:r w:rsidRPr="00283806">
        <w:rPr>
          <w:spacing w:val="-11"/>
          <w:w w:val="110"/>
          <w:sz w:val="18"/>
        </w:rPr>
        <w:t xml:space="preserve"> </w:t>
      </w:r>
      <w:r w:rsidRPr="00283806">
        <w:rPr>
          <w:w w:val="110"/>
          <w:sz w:val="18"/>
        </w:rPr>
        <w:t>held</w:t>
      </w:r>
      <w:r w:rsidRPr="00283806">
        <w:rPr>
          <w:spacing w:val="-11"/>
          <w:w w:val="110"/>
          <w:sz w:val="18"/>
        </w:rPr>
        <w:t xml:space="preserve"> </w:t>
      </w:r>
      <w:r w:rsidRPr="00283806">
        <w:rPr>
          <w:w w:val="110"/>
          <w:sz w:val="18"/>
        </w:rPr>
        <w:t>a</w:t>
      </w:r>
      <w:r w:rsidRPr="00283806">
        <w:rPr>
          <w:spacing w:val="-11"/>
          <w:w w:val="110"/>
          <w:sz w:val="18"/>
        </w:rPr>
        <w:t xml:space="preserve"> </w:t>
      </w:r>
      <w:r w:rsidRPr="00283806">
        <w:rPr>
          <w:w w:val="110"/>
          <w:sz w:val="18"/>
        </w:rPr>
        <w:t>public stakeholder meeting shortly after the NODA was published on November 9,</w:t>
      </w:r>
    </w:p>
    <w:p w14:paraId="42ADD71B" w14:textId="77777777" w:rsidR="00D67C1E" w:rsidRPr="00283806" w:rsidRDefault="001265CA">
      <w:pPr>
        <w:pStyle w:val="BodyText"/>
        <w:spacing w:before="4"/>
        <w:ind w:left="0"/>
        <w:rPr>
          <w:sz w:val="16"/>
        </w:rPr>
      </w:pPr>
      <w:r w:rsidRPr="00283806">
        <w:rPr>
          <w:noProof/>
        </w:rPr>
        <mc:AlternateContent>
          <mc:Choice Requires="wps">
            <w:drawing>
              <wp:anchor distT="0" distB="0" distL="0" distR="0" simplePos="0" relativeHeight="251645952" behindDoc="1" locked="0" layoutInCell="1" allowOverlap="1" wp14:anchorId="03A07826" wp14:editId="172BF7D2">
                <wp:simplePos x="0" y="0"/>
                <wp:positionH relativeFrom="page">
                  <wp:posOffset>571500</wp:posOffset>
                </wp:positionH>
                <wp:positionV relativeFrom="paragraph">
                  <wp:posOffset>137246</wp:posOffset>
                </wp:positionV>
                <wp:extent cx="635000" cy="1270"/>
                <wp:effectExtent l="0" t="0" r="0" b="0"/>
                <wp:wrapTopAndBottom/>
                <wp:docPr id="77" name="Graphic 7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214C7A7" id="Graphic 77" o:spid="_x0000_s1026" alt="&quot;&quot;" style="position:absolute;margin-left:45pt;margin-top:10.8pt;width:50pt;height:.1pt;z-index:-251670528;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" path="m,l635000,e" filled="f" strokeweight=".5pt">
                <v:path arrowok="t"/>
                <w10:wrap type="topAndBottom" anchorx="page"/>
              </v:shape>
            </w:pict>
          </mc:Fallback>
        </mc:AlternateContent>
      </w:r>
    </w:p>
    <w:p w14:paraId="22220991" w14:textId="6AD4B96E" w:rsidR="00D67C1E" w:rsidRPr="00283806" w:rsidRDefault="001265CA">
      <w:pPr>
        <w:spacing w:before="37" w:line="237" w:lineRule="auto"/>
        <w:ind w:left="159" w:right="64" w:firstLine="140"/>
        <w:rPr>
          <w:sz w:val="14"/>
        </w:rPr>
      </w:pPr>
      <w:r w:rsidRPr="00283806">
        <w:rPr>
          <w:w w:val="110"/>
          <w:position w:val="4"/>
          <w:sz w:val="9"/>
        </w:rPr>
        <w:t xml:space="preserve">84 </w:t>
      </w:r>
      <w:r w:rsidRPr="00283806">
        <w:rPr>
          <w:w w:val="110"/>
          <w:sz w:val="14"/>
        </w:rPr>
        <w:t>Draft Report—Analysis of the U.S.</w:t>
      </w:r>
      <w:r w:rsidRPr="00283806">
        <w:rPr>
          <w:spacing w:val="40"/>
          <w:w w:val="110"/>
          <w:sz w:val="14"/>
        </w:rPr>
        <w:t xml:space="preserve"> </w:t>
      </w:r>
      <w:r w:rsidRPr="00283806">
        <w:rPr>
          <w:w w:val="110"/>
          <w:sz w:val="14"/>
        </w:rPr>
        <w:t>Hydrofluorocarbon Reclamation Market:</w:t>
      </w:r>
      <w:r w:rsidRPr="00283806">
        <w:rPr>
          <w:spacing w:val="40"/>
          <w:w w:val="110"/>
          <w:sz w:val="14"/>
        </w:rPr>
        <w:t xml:space="preserve"> </w:t>
      </w:r>
      <w:r w:rsidRPr="00283806">
        <w:rPr>
          <w:sz w:val="14"/>
        </w:rPr>
        <w:t>Stakeholders, Drivers, and Practices, October 2022.</w:t>
      </w:r>
      <w:r w:rsidRPr="00283806">
        <w:rPr>
          <w:spacing w:val="80"/>
          <w:w w:val="110"/>
          <w:sz w:val="14"/>
        </w:rPr>
        <w:t xml:space="preserve"> </w:t>
      </w:r>
      <w:r w:rsidRPr="00283806">
        <w:rPr>
          <w:w w:val="110"/>
          <w:sz w:val="14"/>
        </w:rPr>
        <w:t xml:space="preserve">Available at: </w:t>
      </w:r>
      <w:r w:rsidRPr="00283806">
        <w:rPr>
          <w:rFonts w:ascii="Book Antiqua" w:hAnsi="Book Antiqua"/>
          <w:i/>
          <w:w w:val="110"/>
          <w:sz w:val="14"/>
        </w:rPr>
        <w:t>https://www.epa.gov/system/files/</w:t>
      </w:r>
      <w:r w:rsidRPr="00283806">
        <w:rPr>
          <w:rFonts w:ascii="Book Antiqua" w:hAnsi="Book Antiqua"/>
          <w:i/>
          <w:spacing w:val="40"/>
          <w:w w:val="110"/>
          <w:sz w:val="14"/>
        </w:rPr>
        <w:t xml:space="preserve"> </w:t>
      </w:r>
      <w:r w:rsidRPr="00283806">
        <w:rPr>
          <w:rFonts w:ascii="Book Antiqua" w:hAnsi="Book Antiqua"/>
          <w:i/>
          <w:spacing w:val="-2"/>
          <w:w w:val="110"/>
          <w:sz w:val="14"/>
        </w:rPr>
        <w:t>documents/2022-10/</w:t>
      </w:r>
      <w:proofErr w:type="spellStart"/>
      <w:r w:rsidRPr="00283806">
        <w:rPr>
          <w:rFonts w:ascii="Book Antiqua" w:hAnsi="Book Antiqua"/>
          <w:i/>
          <w:spacing w:val="-2"/>
          <w:w w:val="110"/>
          <w:sz w:val="14"/>
        </w:rPr>
        <w:t>Draft</w:t>
      </w:r>
      <w:r w:rsidRPr="00283806">
        <w:rPr>
          <w:rFonts w:ascii="Symbol" w:hAnsi="Symbol"/>
          <w:spacing w:val="-2"/>
          <w:w w:val="110"/>
          <w:sz w:val="14"/>
        </w:rPr>
        <w:t></w:t>
      </w:r>
      <w:r w:rsidRPr="00283806">
        <w:rPr>
          <w:rFonts w:ascii="Book Antiqua" w:hAnsi="Book Antiqua"/>
          <w:i/>
          <w:spacing w:val="-2"/>
          <w:w w:val="110"/>
          <w:sz w:val="14"/>
        </w:rPr>
        <w:t>HFC-Reclamation</w:t>
      </w:r>
      <w:proofErr w:type="spellEnd"/>
      <w:r w:rsidRPr="00283806">
        <w:rPr>
          <w:rFonts w:ascii="Book Antiqua" w:hAnsi="Book Antiqua"/>
          <w:i/>
          <w:spacing w:val="-2"/>
          <w:w w:val="110"/>
          <w:sz w:val="14"/>
        </w:rPr>
        <w:t>-</w:t>
      </w:r>
      <w:r w:rsidRPr="00283806">
        <w:rPr>
          <w:rFonts w:ascii="Book Antiqua" w:hAnsi="Book Antiqua"/>
          <w:i/>
          <w:spacing w:val="40"/>
          <w:w w:val="110"/>
          <w:sz w:val="14"/>
        </w:rPr>
        <w:t xml:space="preserve"> </w:t>
      </w:r>
      <w:r w:rsidRPr="00283806">
        <w:rPr>
          <w:rFonts w:ascii="Book Antiqua" w:hAnsi="Book Antiqua"/>
          <w:i/>
          <w:spacing w:val="-2"/>
          <w:w w:val="110"/>
          <w:sz w:val="14"/>
        </w:rPr>
        <w:t>Report</w:t>
      </w:r>
      <w:r w:rsidRPr="00283806">
        <w:rPr>
          <w:rFonts w:ascii="Symbol" w:hAnsi="Symbol"/>
          <w:spacing w:val="-2"/>
          <w:w w:val="110"/>
          <w:sz w:val="14"/>
        </w:rPr>
        <w:t></w:t>
      </w:r>
      <w:r w:rsidRPr="00283806">
        <w:rPr>
          <w:rFonts w:ascii="Book Antiqua" w:hAnsi="Book Antiqua"/>
          <w:i/>
          <w:spacing w:val="-2"/>
          <w:w w:val="110"/>
          <w:sz w:val="14"/>
        </w:rPr>
        <w:t>10-13-22%20sxf%20v3.pdf</w:t>
      </w:r>
      <w:r w:rsidRPr="00283806">
        <w:rPr>
          <w:spacing w:val="-2"/>
          <w:w w:val="110"/>
          <w:sz w:val="14"/>
        </w:rPr>
        <w:t>.</w:t>
      </w:r>
    </w:p>
    <w:p w14:paraId="0ED5C297" w14:textId="77777777" w:rsidR="00D67C1E" w:rsidRPr="00283806" w:rsidRDefault="001265CA">
      <w:pPr>
        <w:pStyle w:val="BodyText"/>
        <w:spacing w:before="136" w:line="225" w:lineRule="auto"/>
        <w:ind w:left="153" w:right="103"/>
      </w:pPr>
      <w:r w:rsidRPr="00283806">
        <w:br w:type="column"/>
      </w:r>
      <w:r w:rsidRPr="00283806">
        <w:rPr>
          <w:w w:val="105"/>
        </w:rPr>
        <w:t>2022.</w:t>
      </w:r>
      <w:r w:rsidRPr="00283806">
        <w:rPr>
          <w:w w:val="105"/>
          <w:position w:val="5"/>
          <w:sz w:val="11"/>
        </w:rPr>
        <w:t>85</w:t>
      </w:r>
      <w:r w:rsidRPr="00283806">
        <w:rPr>
          <w:spacing w:val="35"/>
          <w:w w:val="105"/>
          <w:position w:val="5"/>
          <w:sz w:val="11"/>
        </w:rPr>
        <w:t xml:space="preserve"> </w:t>
      </w:r>
      <w:r w:rsidRPr="00283806">
        <w:rPr>
          <w:w w:val="105"/>
        </w:rPr>
        <w:t xml:space="preserve">EPA received </w:t>
      </w:r>
      <w:proofErr w:type="gramStart"/>
      <w:r w:rsidRPr="00283806">
        <w:rPr>
          <w:w w:val="105"/>
        </w:rPr>
        <w:t>comments</w:t>
      </w:r>
      <w:r w:rsidRPr="00283806">
        <w:rPr>
          <w:spacing w:val="-5"/>
          <w:w w:val="105"/>
        </w:rPr>
        <w:t xml:space="preserve"> </w:t>
      </w:r>
      <w:r w:rsidRPr="00283806">
        <w:rPr>
          <w:w w:val="105"/>
          <w:position w:val="5"/>
          <w:sz w:val="11"/>
        </w:rPr>
        <w:t>86</w:t>
      </w:r>
      <w:proofErr w:type="gramEnd"/>
      <w:r w:rsidRPr="00283806">
        <w:rPr>
          <w:spacing w:val="35"/>
          <w:w w:val="105"/>
          <w:position w:val="5"/>
          <w:sz w:val="11"/>
        </w:rPr>
        <w:t xml:space="preserve"> </w:t>
      </w:r>
      <w:r w:rsidRPr="00283806">
        <w:rPr>
          <w:w w:val="105"/>
        </w:rPr>
        <w:t xml:space="preserve">from various entities in response to the published NODA and from the stakeholder meeting, including comments from reclaimers, industry organizations, environmental non- government organizations, OEMs, and </w:t>
      </w:r>
      <w:proofErr w:type="gramStart"/>
      <w:r w:rsidRPr="00283806">
        <w:rPr>
          <w:w w:val="105"/>
        </w:rPr>
        <w:t>a private citizen</w:t>
      </w:r>
      <w:proofErr w:type="gramEnd"/>
      <w:r w:rsidRPr="00283806">
        <w:rPr>
          <w:w w:val="105"/>
        </w:rPr>
        <w:t>. EPA held an additional public stakeholder meeting on March</w:t>
      </w:r>
      <w:r w:rsidRPr="00283806">
        <w:rPr>
          <w:spacing w:val="80"/>
          <w:w w:val="105"/>
        </w:rPr>
        <w:t xml:space="preserve"> </w:t>
      </w:r>
      <w:r w:rsidRPr="00283806">
        <w:rPr>
          <w:w w:val="105"/>
        </w:rPr>
        <w:t xml:space="preserve">16, 2023, and a webinar through EPA’s </w:t>
      </w:r>
      <w:proofErr w:type="spellStart"/>
      <w:r w:rsidRPr="00283806">
        <w:rPr>
          <w:w w:val="105"/>
        </w:rPr>
        <w:t>GreenChill</w:t>
      </w:r>
      <w:proofErr w:type="spellEnd"/>
      <w:r w:rsidRPr="00283806">
        <w:rPr>
          <w:w w:val="105"/>
        </w:rPr>
        <w:t xml:space="preserve"> Partnership Program on</w:t>
      </w:r>
      <w:r w:rsidRPr="00283806">
        <w:rPr>
          <w:spacing w:val="40"/>
          <w:w w:val="105"/>
        </w:rPr>
        <w:t xml:space="preserve"> </w:t>
      </w:r>
      <w:r w:rsidRPr="00283806">
        <w:rPr>
          <w:w w:val="105"/>
        </w:rPr>
        <w:t>April 12, 2023, and heard many similar comments to those received on the NODA.</w:t>
      </w:r>
      <w:r w:rsidRPr="00283806">
        <w:rPr>
          <w:rFonts w:ascii="Times New Roman" w:hAnsi="Times New Roman"/>
          <w:w w:val="105"/>
          <w:position w:val="4"/>
          <w:sz w:val="11"/>
        </w:rPr>
        <w:t>87 88</w:t>
      </w:r>
      <w:r w:rsidRPr="00283806">
        <w:rPr>
          <w:rFonts w:ascii="Times New Roman" w:hAnsi="Times New Roman"/>
          <w:spacing w:val="40"/>
          <w:w w:val="105"/>
          <w:position w:val="4"/>
          <w:sz w:val="11"/>
        </w:rPr>
        <w:t xml:space="preserve"> </w:t>
      </w:r>
      <w:r w:rsidRPr="00283806">
        <w:rPr>
          <w:w w:val="105"/>
        </w:rPr>
        <w:t>Interested parties may view the draft report, the materials for the public meetings, and the comments the Agency received in response to the NODA in the docket for this action.</w:t>
      </w:r>
    </w:p>
    <w:p w14:paraId="3996D633" w14:textId="77777777" w:rsidR="00D67C1E" w:rsidRPr="00283806" w:rsidRDefault="001265CA">
      <w:pPr>
        <w:pStyle w:val="BodyText"/>
        <w:spacing w:line="173" w:lineRule="exact"/>
        <w:ind w:left="333"/>
      </w:pPr>
      <w:r w:rsidRPr="00283806">
        <w:rPr>
          <w:w w:val="105"/>
        </w:rPr>
        <w:t>EPA</w:t>
      </w:r>
      <w:r w:rsidRPr="00283806">
        <w:rPr>
          <w:spacing w:val="16"/>
          <w:w w:val="105"/>
        </w:rPr>
        <w:t xml:space="preserve"> </w:t>
      </w:r>
      <w:r w:rsidRPr="00283806">
        <w:rPr>
          <w:w w:val="105"/>
        </w:rPr>
        <w:t>is</w:t>
      </w:r>
      <w:r w:rsidRPr="00283806">
        <w:rPr>
          <w:spacing w:val="16"/>
          <w:w w:val="105"/>
        </w:rPr>
        <w:t xml:space="preserve"> </w:t>
      </w:r>
      <w:r w:rsidRPr="00283806">
        <w:rPr>
          <w:w w:val="105"/>
        </w:rPr>
        <w:t>providing</w:t>
      </w:r>
      <w:r w:rsidRPr="00283806">
        <w:rPr>
          <w:spacing w:val="16"/>
          <w:w w:val="105"/>
        </w:rPr>
        <w:t xml:space="preserve"> </w:t>
      </w:r>
      <w:r w:rsidRPr="00283806">
        <w:rPr>
          <w:w w:val="105"/>
        </w:rPr>
        <w:t>a</w:t>
      </w:r>
      <w:r w:rsidRPr="00283806">
        <w:rPr>
          <w:spacing w:val="17"/>
          <w:w w:val="105"/>
        </w:rPr>
        <w:t xml:space="preserve"> </w:t>
      </w:r>
      <w:r w:rsidRPr="00283806">
        <w:rPr>
          <w:w w:val="105"/>
        </w:rPr>
        <w:t>final</w:t>
      </w:r>
      <w:r w:rsidRPr="00283806">
        <w:rPr>
          <w:spacing w:val="16"/>
          <w:w w:val="105"/>
        </w:rPr>
        <w:t xml:space="preserve"> </w:t>
      </w:r>
      <w:r w:rsidRPr="00283806">
        <w:rPr>
          <w:w w:val="105"/>
        </w:rPr>
        <w:t>version</w:t>
      </w:r>
      <w:r w:rsidRPr="00283806">
        <w:rPr>
          <w:spacing w:val="16"/>
          <w:w w:val="105"/>
        </w:rPr>
        <w:t xml:space="preserve"> </w:t>
      </w:r>
      <w:r w:rsidRPr="00283806">
        <w:rPr>
          <w:w w:val="105"/>
        </w:rPr>
        <w:t>of</w:t>
      </w:r>
      <w:r w:rsidRPr="00283806">
        <w:rPr>
          <w:spacing w:val="17"/>
          <w:w w:val="105"/>
        </w:rPr>
        <w:t xml:space="preserve"> </w:t>
      </w:r>
      <w:r w:rsidRPr="00283806">
        <w:rPr>
          <w:spacing w:val="-5"/>
          <w:w w:val="105"/>
        </w:rPr>
        <w:t>the</w:t>
      </w:r>
    </w:p>
    <w:p w14:paraId="6AA436F8" w14:textId="77777777" w:rsidR="00D67C1E" w:rsidRPr="00283806" w:rsidRDefault="001265CA">
      <w:pPr>
        <w:spacing w:before="5" w:line="223" w:lineRule="auto"/>
        <w:ind w:left="153"/>
        <w:rPr>
          <w:sz w:val="18"/>
        </w:rPr>
      </w:pPr>
      <w:r w:rsidRPr="00283806">
        <w:rPr>
          <w:w w:val="110"/>
          <w:sz w:val="18"/>
        </w:rPr>
        <w:t xml:space="preserve">report, titled </w:t>
      </w:r>
      <w:r w:rsidRPr="00283806">
        <w:rPr>
          <w:rFonts w:ascii="Book Antiqua"/>
          <w:i/>
          <w:w w:val="110"/>
          <w:sz w:val="18"/>
        </w:rPr>
        <w:t>Analysis of the U.S. Hydrofluorocarbon Reclamation Market: Stakeholders, Drivers, and Practices,</w:t>
      </w:r>
      <w:r w:rsidRPr="00283806">
        <w:rPr>
          <w:rFonts w:ascii="Book Antiqua"/>
          <w:i/>
          <w:spacing w:val="80"/>
          <w:w w:val="110"/>
          <w:sz w:val="18"/>
        </w:rPr>
        <w:t xml:space="preserve"> </w:t>
      </w:r>
      <w:r w:rsidRPr="00283806">
        <w:rPr>
          <w:w w:val="110"/>
          <w:sz w:val="18"/>
        </w:rPr>
        <w:t xml:space="preserve">that is also available in the docket of this action. EPA has incorporated </w:t>
      </w:r>
      <w:r w:rsidRPr="00283806">
        <w:rPr>
          <w:spacing w:val="-2"/>
          <w:w w:val="110"/>
          <w:sz w:val="18"/>
        </w:rPr>
        <w:t xml:space="preserve">information provided from commenters </w:t>
      </w:r>
      <w:r w:rsidRPr="00283806">
        <w:rPr>
          <w:w w:val="110"/>
          <w:sz w:val="18"/>
        </w:rPr>
        <w:t>to</w:t>
      </w:r>
      <w:r w:rsidRPr="00283806">
        <w:rPr>
          <w:spacing w:val="-10"/>
          <w:w w:val="110"/>
          <w:sz w:val="18"/>
        </w:rPr>
        <w:t xml:space="preserve"> </w:t>
      </w:r>
      <w:r w:rsidRPr="00283806">
        <w:rPr>
          <w:w w:val="110"/>
          <w:sz w:val="18"/>
        </w:rPr>
        <w:t>this</w:t>
      </w:r>
      <w:r w:rsidRPr="00283806">
        <w:rPr>
          <w:spacing w:val="-10"/>
          <w:w w:val="110"/>
          <w:sz w:val="18"/>
        </w:rPr>
        <w:t xml:space="preserve"> </w:t>
      </w:r>
      <w:r w:rsidRPr="00283806">
        <w:rPr>
          <w:w w:val="110"/>
          <w:sz w:val="18"/>
        </w:rPr>
        <w:t>rulemaking</w:t>
      </w:r>
      <w:r w:rsidRPr="00283806">
        <w:rPr>
          <w:spacing w:val="-10"/>
          <w:w w:val="110"/>
          <w:sz w:val="18"/>
        </w:rPr>
        <w:t xml:space="preserve"> </w:t>
      </w:r>
      <w:r w:rsidRPr="00283806">
        <w:rPr>
          <w:w w:val="110"/>
          <w:sz w:val="18"/>
        </w:rPr>
        <w:t>(as</w:t>
      </w:r>
      <w:r w:rsidRPr="00283806">
        <w:rPr>
          <w:spacing w:val="-10"/>
          <w:w w:val="110"/>
          <w:sz w:val="18"/>
        </w:rPr>
        <w:t xml:space="preserve"> </w:t>
      </w:r>
      <w:r w:rsidRPr="00283806">
        <w:rPr>
          <w:w w:val="110"/>
          <w:sz w:val="18"/>
        </w:rPr>
        <w:t>further</w:t>
      </w:r>
      <w:r w:rsidRPr="00283806">
        <w:rPr>
          <w:spacing w:val="-10"/>
          <w:w w:val="110"/>
          <w:sz w:val="18"/>
        </w:rPr>
        <w:t xml:space="preserve"> </w:t>
      </w:r>
      <w:r w:rsidRPr="00283806">
        <w:rPr>
          <w:w w:val="110"/>
          <w:sz w:val="18"/>
        </w:rPr>
        <w:t>discussed and</w:t>
      </w:r>
      <w:r w:rsidRPr="00283806">
        <w:rPr>
          <w:spacing w:val="-1"/>
          <w:w w:val="110"/>
          <w:sz w:val="18"/>
        </w:rPr>
        <w:t xml:space="preserve"> </w:t>
      </w:r>
      <w:r w:rsidRPr="00283806">
        <w:rPr>
          <w:w w:val="110"/>
          <w:sz w:val="18"/>
        </w:rPr>
        <w:t>responded</w:t>
      </w:r>
      <w:r w:rsidRPr="00283806">
        <w:rPr>
          <w:spacing w:val="-1"/>
          <w:w w:val="110"/>
          <w:sz w:val="18"/>
        </w:rPr>
        <w:t xml:space="preserve"> </w:t>
      </w:r>
      <w:r w:rsidRPr="00283806">
        <w:rPr>
          <w:w w:val="110"/>
          <w:sz w:val="18"/>
        </w:rPr>
        <w:t>to</w:t>
      </w:r>
      <w:r w:rsidRPr="00283806">
        <w:rPr>
          <w:spacing w:val="-1"/>
          <w:w w:val="110"/>
          <w:sz w:val="18"/>
        </w:rPr>
        <w:t xml:space="preserve"> </w:t>
      </w:r>
      <w:r w:rsidRPr="00283806">
        <w:rPr>
          <w:w w:val="110"/>
          <w:sz w:val="18"/>
        </w:rPr>
        <w:t>in</w:t>
      </w:r>
      <w:r w:rsidRPr="00283806">
        <w:rPr>
          <w:spacing w:val="-1"/>
          <w:w w:val="110"/>
          <w:sz w:val="18"/>
        </w:rPr>
        <w:t xml:space="preserve"> </w:t>
      </w:r>
      <w:r w:rsidRPr="00283806">
        <w:rPr>
          <w:w w:val="110"/>
          <w:sz w:val="18"/>
        </w:rPr>
        <w:t>sections</w:t>
      </w:r>
      <w:r w:rsidRPr="00283806">
        <w:rPr>
          <w:spacing w:val="-1"/>
          <w:w w:val="110"/>
          <w:sz w:val="18"/>
        </w:rPr>
        <w:t xml:space="preserve"> </w:t>
      </w:r>
      <w:r w:rsidRPr="00283806">
        <w:rPr>
          <w:w w:val="110"/>
          <w:sz w:val="18"/>
        </w:rPr>
        <w:t>IV.E.1</w:t>
      </w:r>
      <w:r w:rsidRPr="00283806">
        <w:rPr>
          <w:spacing w:val="-1"/>
          <w:w w:val="110"/>
          <w:sz w:val="18"/>
        </w:rPr>
        <w:t xml:space="preserve"> </w:t>
      </w:r>
      <w:r w:rsidRPr="00283806">
        <w:rPr>
          <w:w w:val="110"/>
          <w:sz w:val="18"/>
        </w:rPr>
        <w:t>and IV.E.2), including oral comments provided at the public hearing on November 2, 2023.</w:t>
      </w:r>
    </w:p>
    <w:p w14:paraId="38DDBD22" w14:textId="77777777" w:rsidR="00D67C1E" w:rsidRPr="00283806" w:rsidRDefault="001265CA">
      <w:pPr>
        <w:pStyle w:val="ListParagraph"/>
        <w:numPr>
          <w:ilvl w:val="0"/>
          <w:numId w:val="52"/>
        </w:numPr>
        <w:tabs>
          <w:tab w:val="left" w:pos="351"/>
        </w:tabs>
        <w:spacing w:before="85"/>
        <w:ind w:left="351" w:hanging="198"/>
        <w:jc w:val="left"/>
        <w:rPr>
          <w:sz w:val="18"/>
        </w:rPr>
      </w:pPr>
      <w:r w:rsidRPr="00283806">
        <w:rPr>
          <w:w w:val="105"/>
          <w:sz w:val="18"/>
        </w:rPr>
        <w:t>Reclamation</w:t>
      </w:r>
      <w:r w:rsidRPr="00283806">
        <w:rPr>
          <w:spacing w:val="26"/>
          <w:w w:val="105"/>
          <w:sz w:val="18"/>
        </w:rPr>
        <w:t xml:space="preserve"> </w:t>
      </w:r>
      <w:r w:rsidRPr="00283806">
        <w:rPr>
          <w:spacing w:val="-2"/>
          <w:w w:val="105"/>
          <w:sz w:val="18"/>
        </w:rPr>
        <w:t>Standard</w:t>
      </w:r>
    </w:p>
    <w:p w14:paraId="2DAD908D" w14:textId="77777777" w:rsidR="00D67C1E" w:rsidRPr="00283806" w:rsidRDefault="001265CA">
      <w:pPr>
        <w:pStyle w:val="BodyText"/>
        <w:spacing w:before="63" w:line="225" w:lineRule="auto"/>
        <w:ind w:left="153" w:right="72" w:firstLine="180"/>
      </w:pPr>
      <w:r w:rsidRPr="00283806">
        <w:rPr>
          <w:w w:val="105"/>
        </w:rPr>
        <w:t>EPA is finalizing, as proposed, that</w:t>
      </w:r>
      <w:r w:rsidRPr="00283806">
        <w:rPr>
          <w:spacing w:val="80"/>
          <w:w w:val="105"/>
        </w:rPr>
        <w:t xml:space="preserve"> </w:t>
      </w:r>
      <w:r w:rsidRPr="00283806">
        <w:rPr>
          <w:w w:val="105"/>
        </w:rPr>
        <w:t>HFC refrigerant sold as reclaimed can contain no more than 15 percent virgin HFC refrigerant, by weight. EPA is clarifying in this final rule and in the regulatory text at 40 CFR 84.112(a) that this requirement begins on January 1, 2026, as intended to match the compliance date of the relevant labeling and recordkeeping requirements described in this section. This applies only to the HFC portion of reclaimed refrigerants, in the case of refrigerant blends with HFCs and a non-HFC component (</w:t>
      </w:r>
      <w:r w:rsidRPr="00283806">
        <w:rPr>
          <w:rFonts w:ascii="Book Antiqua"/>
          <w:i/>
          <w:w w:val="105"/>
        </w:rPr>
        <w:t xml:space="preserve">e.g., </w:t>
      </w:r>
      <w:r w:rsidRPr="00283806">
        <w:rPr>
          <w:w w:val="105"/>
        </w:rPr>
        <w:t>an HFC/HFO blend).</w:t>
      </w:r>
      <w:r w:rsidRPr="00283806">
        <w:rPr>
          <w:spacing w:val="40"/>
          <w:w w:val="105"/>
        </w:rPr>
        <w:t xml:space="preserve"> </w:t>
      </w:r>
      <w:r w:rsidRPr="00283806">
        <w:rPr>
          <w:w w:val="105"/>
        </w:rPr>
        <w:t>EPA is also prohibiting, as proposed, the sale, distribution, or transfer to a new owner, or the offer for sale, distribution, or transfer to a new owner, of any</w:t>
      </w:r>
    </w:p>
    <w:p w14:paraId="768F4AD5" w14:textId="77777777" w:rsidR="00D67C1E" w:rsidRPr="00283806" w:rsidRDefault="001265CA">
      <w:pPr>
        <w:pStyle w:val="BodyText"/>
        <w:spacing w:before="7"/>
        <w:ind w:left="0"/>
        <w:rPr>
          <w:sz w:val="11"/>
        </w:rPr>
      </w:pPr>
      <w:r w:rsidRPr="00283806">
        <w:rPr>
          <w:noProof/>
        </w:rPr>
        <mc:AlternateContent>
          <mc:Choice Requires="wps">
            <w:drawing>
              <wp:anchor distT="0" distB="0" distL="0" distR="0" simplePos="0" relativeHeight="251646976" behindDoc="1" locked="0" layoutInCell="1" allowOverlap="1" wp14:anchorId="072F0FC0" wp14:editId="7B044184">
                <wp:simplePos x="0" y="0"/>
                <wp:positionH relativeFrom="page">
                  <wp:posOffset>2819400</wp:posOffset>
                </wp:positionH>
                <wp:positionV relativeFrom="paragraph">
                  <wp:posOffset>101785</wp:posOffset>
                </wp:positionV>
                <wp:extent cx="635000" cy="1270"/>
                <wp:effectExtent l="0" t="0" r="0" b="0"/>
                <wp:wrapTopAndBottom/>
                <wp:docPr id="78" name="Graphic 7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39383D" id="Graphic 78" o:spid="_x0000_s1026" alt="&quot;&quot;" style="position:absolute;margin-left:222pt;margin-top:8pt;width:50pt;height:.1pt;z-index:-251669504;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" path="m,l635000,e" filled="f" strokeweight=".5pt">
                <v:path arrowok="t"/>
                <w10:wrap type="topAndBottom" anchorx="page"/>
              </v:shape>
            </w:pict>
          </mc:Fallback>
        </mc:AlternateContent>
      </w:r>
    </w:p>
    <w:p w14:paraId="7236D6DF" w14:textId="73606441" w:rsidR="00D67C1E" w:rsidRPr="00283806" w:rsidRDefault="001265CA">
      <w:pPr>
        <w:spacing w:before="48" w:line="218" w:lineRule="auto"/>
        <w:ind w:left="153" w:right="61" w:firstLine="140"/>
        <w:rPr>
          <w:sz w:val="14"/>
        </w:rPr>
      </w:pPr>
      <w:r w:rsidRPr="00283806">
        <w:rPr>
          <w:w w:val="110"/>
          <w:position w:val="4"/>
          <w:sz w:val="9"/>
        </w:rPr>
        <w:t>85</w:t>
      </w:r>
      <w:r w:rsidRPr="00283806">
        <w:rPr>
          <w:spacing w:val="-6"/>
          <w:w w:val="110"/>
          <w:position w:val="4"/>
          <w:sz w:val="9"/>
        </w:rPr>
        <w:t xml:space="preserve"> </w:t>
      </w:r>
      <w:r w:rsidRPr="00283806">
        <w:rPr>
          <w:w w:val="110"/>
          <w:sz w:val="14"/>
        </w:rPr>
        <w:t>Stakeholder</w:t>
      </w:r>
      <w:r w:rsidRPr="00283806">
        <w:rPr>
          <w:spacing w:val="-8"/>
          <w:w w:val="110"/>
          <w:sz w:val="14"/>
        </w:rPr>
        <w:t xml:space="preserve"> </w:t>
      </w:r>
      <w:r w:rsidRPr="00283806">
        <w:rPr>
          <w:w w:val="110"/>
          <w:sz w:val="14"/>
        </w:rPr>
        <w:t>meeting</w:t>
      </w:r>
      <w:r w:rsidRPr="00283806">
        <w:rPr>
          <w:spacing w:val="-9"/>
          <w:w w:val="110"/>
          <w:sz w:val="14"/>
        </w:rPr>
        <w:t xml:space="preserve"> </w:t>
      </w:r>
      <w:r w:rsidRPr="00283806">
        <w:rPr>
          <w:w w:val="110"/>
          <w:sz w:val="14"/>
        </w:rPr>
        <w:t>for</w:t>
      </w:r>
      <w:r w:rsidRPr="00283806">
        <w:rPr>
          <w:spacing w:val="-8"/>
          <w:w w:val="110"/>
          <w:sz w:val="14"/>
        </w:rPr>
        <w:t xml:space="preserve"> </w:t>
      </w:r>
      <w:r w:rsidRPr="00283806">
        <w:rPr>
          <w:w w:val="110"/>
          <w:sz w:val="14"/>
        </w:rPr>
        <w:t>input</w:t>
      </w:r>
      <w:r w:rsidRPr="00283806">
        <w:rPr>
          <w:spacing w:val="-9"/>
          <w:w w:val="110"/>
          <w:sz w:val="14"/>
        </w:rPr>
        <w:t xml:space="preserve"> </w:t>
      </w:r>
      <w:r w:rsidRPr="00283806">
        <w:rPr>
          <w:w w:val="110"/>
          <w:sz w:val="14"/>
        </w:rPr>
        <w:t>on</w:t>
      </w:r>
      <w:r w:rsidRPr="00283806">
        <w:rPr>
          <w:spacing w:val="-8"/>
          <w:w w:val="110"/>
          <w:sz w:val="14"/>
        </w:rPr>
        <w:t xml:space="preserve"> </w:t>
      </w:r>
      <w:r w:rsidRPr="00283806">
        <w:rPr>
          <w:w w:val="110"/>
          <w:sz w:val="14"/>
        </w:rPr>
        <w:t>an</w:t>
      </w:r>
      <w:r w:rsidRPr="00283806">
        <w:rPr>
          <w:spacing w:val="-9"/>
          <w:w w:val="110"/>
          <w:sz w:val="14"/>
        </w:rPr>
        <w:t xml:space="preserve"> </w:t>
      </w:r>
      <w:r w:rsidRPr="00283806">
        <w:rPr>
          <w:w w:val="110"/>
          <w:sz w:val="14"/>
        </w:rPr>
        <w:t>upcoming</w:t>
      </w:r>
      <w:r w:rsidRPr="00283806">
        <w:rPr>
          <w:spacing w:val="40"/>
          <w:w w:val="110"/>
          <w:sz w:val="14"/>
        </w:rPr>
        <w:t xml:space="preserve"> </w:t>
      </w:r>
      <w:r w:rsidRPr="00283806">
        <w:rPr>
          <w:w w:val="110"/>
          <w:sz w:val="14"/>
        </w:rPr>
        <w:t>regulatory action under subsection (h) of the AIM</w:t>
      </w:r>
      <w:r w:rsidRPr="00283806">
        <w:rPr>
          <w:spacing w:val="40"/>
          <w:w w:val="110"/>
          <w:sz w:val="14"/>
        </w:rPr>
        <w:t xml:space="preserve"> </w:t>
      </w:r>
      <w:r w:rsidRPr="00283806">
        <w:rPr>
          <w:w w:val="110"/>
          <w:sz w:val="14"/>
        </w:rPr>
        <w:t xml:space="preserve">Act, November 2022. Available at: </w:t>
      </w:r>
      <w:r w:rsidRPr="00283806">
        <w:rPr>
          <w:rFonts w:ascii="Book Antiqua" w:hAnsi="Book Antiqua"/>
          <w:i/>
          <w:w w:val="110"/>
          <w:sz w:val="14"/>
        </w:rPr>
        <w:t>https://</w:t>
      </w:r>
      <w:r w:rsidRPr="00283806">
        <w:rPr>
          <w:rFonts w:ascii="Book Antiqua" w:hAnsi="Book Antiqua"/>
          <w:i/>
          <w:spacing w:val="40"/>
          <w:w w:val="110"/>
          <w:sz w:val="14"/>
        </w:rPr>
        <w:t xml:space="preserve"> </w:t>
      </w:r>
      <w:r w:rsidRPr="00283806">
        <w:rPr>
          <w:rFonts w:ascii="Book Antiqua" w:hAnsi="Book Antiqua"/>
          <w:i/>
          <w:spacing w:val="-2"/>
          <w:w w:val="110"/>
          <w:sz w:val="14"/>
        </w:rPr>
        <w:t>www.epa.gov/system/files/documents/2022-11/</w:t>
      </w:r>
      <w:r w:rsidRPr="00283806">
        <w:rPr>
          <w:rFonts w:ascii="Book Antiqua" w:hAnsi="Book Antiqua"/>
          <w:i/>
          <w:spacing w:val="40"/>
          <w:w w:val="110"/>
          <w:sz w:val="14"/>
        </w:rPr>
        <w:t xml:space="preserve"> </w:t>
      </w:r>
      <w:r w:rsidRPr="00283806">
        <w:rPr>
          <w:rFonts w:ascii="Book Antiqua" w:hAnsi="Book Antiqua"/>
          <w:i/>
          <w:spacing w:val="-2"/>
          <w:w w:val="110"/>
          <w:sz w:val="14"/>
        </w:rPr>
        <w:t>AIM%20Act%20Stakeholder%20Meeting</w:t>
      </w:r>
      <w:r w:rsidRPr="00283806">
        <w:rPr>
          <w:rFonts w:ascii="Symbol" w:hAnsi="Symbol"/>
          <w:spacing w:val="-2"/>
          <w:w w:val="110"/>
          <w:sz w:val="14"/>
        </w:rPr>
        <w:t></w:t>
      </w:r>
      <w:r w:rsidRPr="00283806">
        <w:rPr>
          <w:rFonts w:ascii="Times New Roman" w:hAnsi="Times New Roman"/>
          <w:spacing w:val="40"/>
          <w:w w:val="110"/>
          <w:sz w:val="14"/>
        </w:rPr>
        <w:t xml:space="preserve"> </w:t>
      </w:r>
      <w:r w:rsidRPr="00283806">
        <w:rPr>
          <w:rFonts w:ascii="Book Antiqua" w:hAnsi="Book Antiqua"/>
          <w:i/>
          <w:spacing w:val="-2"/>
          <w:w w:val="110"/>
          <w:sz w:val="14"/>
        </w:rPr>
        <w:t>HFC%20Management</w:t>
      </w:r>
      <w:r w:rsidRPr="00283806">
        <w:rPr>
          <w:rFonts w:ascii="Symbol" w:hAnsi="Symbol"/>
          <w:spacing w:val="-2"/>
          <w:w w:val="110"/>
          <w:sz w:val="14"/>
        </w:rPr>
        <w:t></w:t>
      </w:r>
      <w:r w:rsidRPr="00283806">
        <w:rPr>
          <w:rFonts w:ascii="Book Antiqua" w:hAnsi="Book Antiqua"/>
          <w:i/>
          <w:spacing w:val="-2"/>
          <w:w w:val="110"/>
          <w:sz w:val="14"/>
        </w:rPr>
        <w:t>11-9-2022.pdf</w:t>
      </w:r>
      <w:r w:rsidRPr="00283806">
        <w:rPr>
          <w:spacing w:val="-2"/>
          <w:w w:val="110"/>
          <w:sz w:val="14"/>
        </w:rPr>
        <w:t>.</w:t>
      </w:r>
    </w:p>
    <w:p w14:paraId="3CDE0ED7" w14:textId="4DDE7A59" w:rsidR="00D67C1E" w:rsidRPr="00283806" w:rsidRDefault="001265CA">
      <w:pPr>
        <w:spacing w:before="12" w:line="228" w:lineRule="auto"/>
        <w:ind w:left="153" w:right="72" w:firstLine="140"/>
        <w:rPr>
          <w:sz w:val="14"/>
        </w:rPr>
      </w:pPr>
      <w:r w:rsidRPr="00283806">
        <w:rPr>
          <w:w w:val="105"/>
          <w:position w:val="4"/>
          <w:sz w:val="9"/>
        </w:rPr>
        <w:t xml:space="preserve">86 </w:t>
      </w:r>
      <w:r w:rsidRPr="00283806">
        <w:rPr>
          <w:w w:val="105"/>
          <w:sz w:val="14"/>
        </w:rPr>
        <w:t>Comments submitted to response of NODA</w:t>
      </w:r>
      <w:r w:rsidRPr="00283806">
        <w:rPr>
          <w:spacing w:val="40"/>
          <w:w w:val="105"/>
          <w:sz w:val="14"/>
        </w:rPr>
        <w:t xml:space="preserve"> </w:t>
      </w:r>
      <w:r w:rsidRPr="00283806">
        <w:rPr>
          <w:w w:val="105"/>
          <w:sz w:val="14"/>
        </w:rPr>
        <w:t>published</w:t>
      </w:r>
      <w:r w:rsidRPr="00283806">
        <w:rPr>
          <w:spacing w:val="-2"/>
          <w:w w:val="105"/>
          <w:sz w:val="14"/>
        </w:rPr>
        <w:t xml:space="preserve"> </w:t>
      </w:r>
      <w:r w:rsidRPr="00283806">
        <w:rPr>
          <w:w w:val="105"/>
          <w:sz w:val="14"/>
        </w:rPr>
        <w:t>on</w:t>
      </w:r>
      <w:r w:rsidRPr="00283806">
        <w:rPr>
          <w:spacing w:val="-2"/>
          <w:w w:val="105"/>
          <w:sz w:val="14"/>
        </w:rPr>
        <w:t xml:space="preserve"> </w:t>
      </w:r>
      <w:r w:rsidRPr="00283806">
        <w:rPr>
          <w:w w:val="105"/>
          <w:sz w:val="14"/>
        </w:rPr>
        <w:t>October</w:t>
      </w:r>
      <w:r w:rsidRPr="00283806">
        <w:rPr>
          <w:spacing w:val="-2"/>
          <w:w w:val="105"/>
          <w:sz w:val="14"/>
        </w:rPr>
        <w:t xml:space="preserve"> </w:t>
      </w:r>
      <w:r w:rsidRPr="00283806">
        <w:rPr>
          <w:w w:val="105"/>
          <w:sz w:val="14"/>
        </w:rPr>
        <w:t>17,</w:t>
      </w:r>
      <w:r w:rsidRPr="00283806">
        <w:rPr>
          <w:spacing w:val="-2"/>
          <w:w w:val="105"/>
          <w:sz w:val="14"/>
        </w:rPr>
        <w:t xml:space="preserve"> </w:t>
      </w:r>
      <w:r w:rsidRPr="00283806">
        <w:rPr>
          <w:w w:val="105"/>
          <w:sz w:val="14"/>
        </w:rPr>
        <w:t>2022</w:t>
      </w:r>
      <w:r w:rsidRPr="00283806">
        <w:rPr>
          <w:spacing w:val="-2"/>
          <w:w w:val="105"/>
          <w:sz w:val="14"/>
        </w:rPr>
        <w:t xml:space="preserve"> </w:t>
      </w:r>
      <w:r w:rsidRPr="00283806">
        <w:rPr>
          <w:w w:val="105"/>
          <w:sz w:val="14"/>
        </w:rPr>
        <w:t>(87</w:t>
      </w:r>
      <w:r w:rsidRPr="00283806">
        <w:rPr>
          <w:spacing w:val="-2"/>
          <w:w w:val="105"/>
          <w:sz w:val="14"/>
        </w:rPr>
        <w:t xml:space="preserve"> </w:t>
      </w:r>
      <w:r w:rsidRPr="00283806">
        <w:rPr>
          <w:w w:val="105"/>
          <w:sz w:val="14"/>
        </w:rPr>
        <w:t>FR</w:t>
      </w:r>
      <w:r w:rsidRPr="00283806">
        <w:rPr>
          <w:spacing w:val="-2"/>
          <w:w w:val="105"/>
          <w:sz w:val="14"/>
        </w:rPr>
        <w:t xml:space="preserve"> </w:t>
      </w:r>
      <w:r w:rsidRPr="00283806">
        <w:rPr>
          <w:w w:val="105"/>
          <w:sz w:val="14"/>
        </w:rPr>
        <w:t>62843)</w:t>
      </w:r>
      <w:r w:rsidRPr="00283806">
        <w:rPr>
          <w:spacing w:val="-2"/>
          <w:w w:val="105"/>
          <w:sz w:val="14"/>
        </w:rPr>
        <w:t xml:space="preserve"> </w:t>
      </w:r>
      <w:r w:rsidRPr="00283806">
        <w:rPr>
          <w:w w:val="105"/>
          <w:sz w:val="14"/>
        </w:rPr>
        <w:t>are</w:t>
      </w:r>
      <w:r w:rsidRPr="00283806">
        <w:rPr>
          <w:spacing w:val="40"/>
          <w:w w:val="105"/>
          <w:sz w:val="14"/>
        </w:rPr>
        <w:t xml:space="preserve"> </w:t>
      </w:r>
      <w:r w:rsidRPr="00283806">
        <w:rPr>
          <w:w w:val="105"/>
          <w:sz w:val="14"/>
        </w:rPr>
        <w:t>available in the docket for this rulemaking at</w:t>
      </w:r>
      <w:r w:rsidRPr="00283806">
        <w:rPr>
          <w:spacing w:val="40"/>
          <w:w w:val="105"/>
          <w:sz w:val="14"/>
        </w:rPr>
        <w:t xml:space="preserve"> </w:t>
      </w:r>
      <w:r w:rsidRPr="00283806">
        <w:rPr>
          <w:rFonts w:ascii="Book Antiqua"/>
          <w:i/>
          <w:spacing w:val="-2"/>
          <w:w w:val="105"/>
          <w:sz w:val="14"/>
        </w:rPr>
        <w:t>https://www.regulations.gov</w:t>
      </w:r>
      <w:r w:rsidRPr="00283806">
        <w:rPr>
          <w:spacing w:val="-2"/>
          <w:w w:val="105"/>
          <w:sz w:val="14"/>
        </w:rPr>
        <w:t>.</w:t>
      </w:r>
    </w:p>
    <w:p w14:paraId="2DEC2240" w14:textId="736D0CD4" w:rsidR="00D67C1E" w:rsidRPr="00283806" w:rsidRDefault="001265CA">
      <w:pPr>
        <w:spacing w:before="18" w:line="218" w:lineRule="auto"/>
        <w:ind w:left="153" w:firstLine="140"/>
        <w:rPr>
          <w:sz w:val="14"/>
        </w:rPr>
      </w:pPr>
      <w:r w:rsidRPr="00283806">
        <w:rPr>
          <w:spacing w:val="-2"/>
          <w:w w:val="110"/>
          <w:position w:val="4"/>
          <w:sz w:val="9"/>
        </w:rPr>
        <w:t xml:space="preserve">87 </w:t>
      </w:r>
      <w:r w:rsidRPr="00283806">
        <w:rPr>
          <w:spacing w:val="-2"/>
          <w:w w:val="110"/>
          <w:sz w:val="14"/>
        </w:rPr>
        <w:t>Stakeholder meeting on HFC reclamation under</w:t>
      </w:r>
      <w:r w:rsidRPr="00283806">
        <w:rPr>
          <w:spacing w:val="40"/>
          <w:w w:val="110"/>
          <w:sz w:val="14"/>
        </w:rPr>
        <w:t xml:space="preserve"> </w:t>
      </w:r>
      <w:r w:rsidRPr="00283806">
        <w:rPr>
          <w:w w:val="110"/>
          <w:sz w:val="14"/>
        </w:rPr>
        <w:t xml:space="preserve">the AIM Act, March 2023. Available at: </w:t>
      </w:r>
      <w:r w:rsidRPr="00283806">
        <w:rPr>
          <w:rFonts w:ascii="Book Antiqua" w:hAnsi="Book Antiqua"/>
          <w:i/>
          <w:w w:val="110"/>
          <w:sz w:val="14"/>
        </w:rPr>
        <w:t>https://</w:t>
      </w:r>
      <w:r w:rsidRPr="00283806">
        <w:rPr>
          <w:rFonts w:ascii="Book Antiqua" w:hAnsi="Book Antiqua"/>
          <w:i/>
          <w:spacing w:val="40"/>
          <w:w w:val="110"/>
          <w:sz w:val="14"/>
        </w:rPr>
        <w:t xml:space="preserve"> </w:t>
      </w:r>
      <w:r w:rsidRPr="00283806">
        <w:rPr>
          <w:rFonts w:ascii="Book Antiqua" w:hAnsi="Book Antiqua"/>
          <w:i/>
          <w:spacing w:val="-2"/>
          <w:w w:val="110"/>
          <w:sz w:val="14"/>
        </w:rPr>
        <w:t>www.epa.gov/system/files/documents/2023-04/</w:t>
      </w:r>
      <w:r w:rsidRPr="00283806">
        <w:rPr>
          <w:rFonts w:ascii="Book Antiqua" w:hAnsi="Book Antiqua"/>
          <w:i/>
          <w:spacing w:val="40"/>
          <w:w w:val="110"/>
          <w:sz w:val="14"/>
        </w:rPr>
        <w:t xml:space="preserve"> </w:t>
      </w:r>
      <w:r w:rsidRPr="00283806">
        <w:rPr>
          <w:rFonts w:ascii="Book Antiqua" w:hAnsi="Book Antiqua"/>
          <w:i/>
          <w:spacing w:val="-2"/>
          <w:w w:val="110"/>
          <w:sz w:val="14"/>
        </w:rPr>
        <w:t>HFC%20Management</w:t>
      </w:r>
      <w:r w:rsidRPr="00283806">
        <w:rPr>
          <w:rFonts w:ascii="Symbol" w:hAnsi="Symbol"/>
          <w:spacing w:val="-2"/>
          <w:w w:val="110"/>
          <w:sz w:val="14"/>
        </w:rPr>
        <w:t></w:t>
      </w:r>
      <w:r w:rsidRPr="00283806">
        <w:rPr>
          <w:rFonts w:ascii="Times New Roman" w:hAnsi="Times New Roman"/>
          <w:spacing w:val="40"/>
          <w:w w:val="110"/>
          <w:sz w:val="14"/>
        </w:rPr>
        <w:t xml:space="preserve"> </w:t>
      </w:r>
      <w:r w:rsidRPr="00283806">
        <w:rPr>
          <w:rFonts w:ascii="Book Antiqua" w:hAnsi="Book Antiqua"/>
          <w:i/>
          <w:spacing w:val="-2"/>
          <w:w w:val="110"/>
          <w:sz w:val="14"/>
        </w:rPr>
        <w:t>Reclaimer%20Stakeholder%20Mtg</w:t>
      </w:r>
      <w:r w:rsidRPr="00283806">
        <w:rPr>
          <w:rFonts w:ascii="Symbol" w:hAnsi="Symbol"/>
          <w:spacing w:val="-2"/>
          <w:w w:val="110"/>
          <w:sz w:val="14"/>
        </w:rPr>
        <w:t></w:t>
      </w:r>
      <w:r w:rsidRPr="00283806">
        <w:rPr>
          <w:rFonts w:ascii="Book Antiqua" w:hAnsi="Book Antiqua"/>
          <w:i/>
          <w:spacing w:val="-2"/>
          <w:w w:val="110"/>
          <w:sz w:val="14"/>
        </w:rPr>
        <w:t>Final%203-15-</w:t>
      </w:r>
      <w:r w:rsidRPr="00283806">
        <w:rPr>
          <w:rFonts w:ascii="Book Antiqua" w:hAnsi="Book Antiqua"/>
          <w:i/>
          <w:spacing w:val="40"/>
          <w:w w:val="110"/>
          <w:sz w:val="14"/>
        </w:rPr>
        <w:t xml:space="preserve"> </w:t>
      </w:r>
      <w:hyperlink r:id="rId20">
        <w:r w:rsidRPr="00283806">
          <w:rPr>
            <w:rFonts w:ascii="Book Antiqua" w:hAnsi="Book Antiqua"/>
            <w:i/>
            <w:spacing w:val="-2"/>
            <w:w w:val="110"/>
            <w:sz w:val="14"/>
          </w:rPr>
          <w:t>23.pdf</w:t>
        </w:r>
        <w:r w:rsidRPr="00283806">
          <w:rPr>
            <w:spacing w:val="-2"/>
            <w:w w:val="110"/>
            <w:sz w:val="14"/>
          </w:rPr>
          <w:t>.</w:t>
        </w:r>
      </w:hyperlink>
    </w:p>
    <w:p w14:paraId="56EACA6A" w14:textId="77777777" w:rsidR="00D67C1E" w:rsidRPr="00283806" w:rsidRDefault="001265CA">
      <w:pPr>
        <w:spacing w:before="13" w:line="230" w:lineRule="auto"/>
        <w:ind w:left="153" w:right="72" w:firstLine="140"/>
        <w:rPr>
          <w:sz w:val="14"/>
        </w:rPr>
      </w:pPr>
      <w:r w:rsidRPr="00283806">
        <w:rPr>
          <w:w w:val="105"/>
          <w:position w:val="4"/>
          <w:sz w:val="9"/>
        </w:rPr>
        <w:t xml:space="preserve">88 </w:t>
      </w:r>
      <w:r w:rsidRPr="00283806">
        <w:rPr>
          <w:w w:val="105"/>
          <w:sz w:val="14"/>
        </w:rPr>
        <w:t>Webinar—Subsection (h) Under the American</w:t>
      </w:r>
      <w:r w:rsidRPr="00283806">
        <w:rPr>
          <w:spacing w:val="40"/>
          <w:w w:val="105"/>
          <w:sz w:val="14"/>
        </w:rPr>
        <w:t xml:space="preserve"> </w:t>
      </w:r>
      <w:r w:rsidRPr="00283806">
        <w:rPr>
          <w:w w:val="105"/>
          <w:sz w:val="14"/>
        </w:rPr>
        <w:t>Innovation and Manufacturing Act, April 2023.</w:t>
      </w:r>
    </w:p>
    <w:p w14:paraId="08642432" w14:textId="6435D0DB" w:rsidR="00D67C1E" w:rsidRPr="00283806" w:rsidRDefault="001265CA">
      <w:pPr>
        <w:spacing w:before="5" w:line="223" w:lineRule="auto"/>
        <w:ind w:left="153" w:right="107"/>
        <w:rPr>
          <w:sz w:val="14"/>
        </w:rPr>
      </w:pPr>
      <w:r w:rsidRPr="00283806">
        <w:rPr>
          <w:w w:val="115"/>
          <w:sz w:val="14"/>
        </w:rPr>
        <w:t xml:space="preserve">Available at: </w:t>
      </w:r>
      <w:r w:rsidRPr="00283806">
        <w:rPr>
          <w:rFonts w:ascii="Book Antiqua"/>
          <w:i/>
          <w:w w:val="115"/>
          <w:sz w:val="14"/>
        </w:rPr>
        <w:t xml:space="preserve">https://www.epa.gov/greenchill/ </w:t>
      </w:r>
      <w:r w:rsidRPr="00283806">
        <w:rPr>
          <w:rFonts w:ascii="Book Antiqua"/>
          <w:i/>
          <w:spacing w:val="-2"/>
          <w:w w:val="110"/>
          <w:sz w:val="14"/>
        </w:rPr>
        <w:t>webinar-subsection-h-under-</w:t>
      </w:r>
      <w:proofErr w:type="spellStart"/>
      <w:r w:rsidRPr="00283806">
        <w:rPr>
          <w:rFonts w:ascii="Book Antiqua"/>
          <w:i/>
          <w:spacing w:val="-2"/>
          <w:w w:val="110"/>
          <w:sz w:val="14"/>
        </w:rPr>
        <w:t>american</w:t>
      </w:r>
      <w:proofErr w:type="spellEnd"/>
      <w:r w:rsidRPr="00283806">
        <w:rPr>
          <w:rFonts w:ascii="Book Antiqua"/>
          <w:i/>
          <w:spacing w:val="-2"/>
          <w:w w:val="110"/>
          <w:sz w:val="14"/>
        </w:rPr>
        <w:t>-innovation-</w:t>
      </w:r>
      <w:r w:rsidRPr="00283806">
        <w:rPr>
          <w:rFonts w:ascii="Book Antiqua"/>
          <w:i/>
          <w:spacing w:val="40"/>
          <w:w w:val="115"/>
          <w:sz w:val="14"/>
        </w:rPr>
        <w:t xml:space="preserve"> </w:t>
      </w:r>
      <w:r w:rsidRPr="00283806">
        <w:rPr>
          <w:rFonts w:ascii="Book Antiqua"/>
          <w:i/>
          <w:spacing w:val="-2"/>
          <w:w w:val="115"/>
          <w:sz w:val="14"/>
        </w:rPr>
        <w:t>and-manufacturing-act</w:t>
      </w:r>
      <w:r w:rsidRPr="00283806">
        <w:rPr>
          <w:spacing w:val="-2"/>
          <w:w w:val="115"/>
          <w:sz w:val="14"/>
        </w:rPr>
        <w:t>.</w:t>
      </w:r>
    </w:p>
    <w:p w14:paraId="04CD43EC" w14:textId="77777777" w:rsidR="00D67C1E" w:rsidRPr="00283806" w:rsidRDefault="001265CA">
      <w:pPr>
        <w:pStyle w:val="BodyText"/>
        <w:spacing w:before="136" w:line="225" w:lineRule="auto"/>
        <w:ind w:left="144" w:right="121"/>
      </w:pPr>
      <w:r w:rsidRPr="00283806">
        <w:br w:type="column"/>
      </w:r>
      <w:r w:rsidRPr="00283806">
        <w:t>regulated substance used as a refrigerant</w:t>
      </w:r>
      <w:r w:rsidRPr="00283806">
        <w:rPr>
          <w:spacing w:val="40"/>
          <w:w w:val="110"/>
        </w:rPr>
        <w:t xml:space="preserve"> </w:t>
      </w:r>
      <w:r w:rsidRPr="00283806">
        <w:rPr>
          <w:w w:val="110"/>
        </w:rPr>
        <w:t>in stationary refrigerant-containing equipment (</w:t>
      </w:r>
      <w:r w:rsidRPr="00283806">
        <w:rPr>
          <w:rFonts w:ascii="Book Antiqua"/>
          <w:i/>
          <w:w w:val="110"/>
        </w:rPr>
        <w:t xml:space="preserve">i.e., </w:t>
      </w:r>
      <w:r w:rsidRPr="00283806">
        <w:rPr>
          <w:w w:val="110"/>
        </w:rPr>
        <w:t xml:space="preserve">not an MVAC or an MVAC-like appliance) </w:t>
      </w:r>
      <w:r w:rsidRPr="00283806">
        <w:rPr>
          <w:w w:val="110"/>
          <w:position w:val="5"/>
          <w:sz w:val="11"/>
        </w:rPr>
        <w:t>89</w:t>
      </w:r>
      <w:r w:rsidRPr="00283806">
        <w:rPr>
          <w:spacing w:val="40"/>
          <w:w w:val="110"/>
          <w:position w:val="5"/>
          <w:sz w:val="11"/>
        </w:rPr>
        <w:t xml:space="preserve"> </w:t>
      </w:r>
      <w:r w:rsidRPr="00283806">
        <w:rPr>
          <w:w w:val="110"/>
        </w:rPr>
        <w:t>consisting in whole or in part of recovered regulated substances. This prohibition does not apply where the recovered regulated substances are reclaimed by an EPA- certified reclaimer (as described in 40 CFR 82.164) and have been reclaimed consistent</w:t>
      </w:r>
      <w:r w:rsidRPr="00283806">
        <w:rPr>
          <w:spacing w:val="-11"/>
          <w:w w:val="110"/>
        </w:rPr>
        <w:t xml:space="preserve"> </w:t>
      </w:r>
      <w:r w:rsidRPr="00283806">
        <w:rPr>
          <w:w w:val="110"/>
        </w:rPr>
        <w:t>with</w:t>
      </w:r>
      <w:r w:rsidRPr="00283806">
        <w:rPr>
          <w:spacing w:val="-10"/>
          <w:w w:val="110"/>
        </w:rPr>
        <w:t xml:space="preserve"> </w:t>
      </w:r>
      <w:r w:rsidRPr="00283806">
        <w:rPr>
          <w:w w:val="110"/>
        </w:rPr>
        <w:t>the</w:t>
      </w:r>
      <w:r w:rsidRPr="00283806">
        <w:rPr>
          <w:spacing w:val="-11"/>
          <w:w w:val="110"/>
        </w:rPr>
        <w:t xml:space="preserve"> </w:t>
      </w:r>
      <w:r w:rsidRPr="00283806">
        <w:rPr>
          <w:w w:val="110"/>
        </w:rPr>
        <w:t>definition</w:t>
      </w:r>
      <w:r w:rsidRPr="00283806">
        <w:rPr>
          <w:spacing w:val="-10"/>
          <w:w w:val="110"/>
        </w:rPr>
        <w:t xml:space="preserve"> </w:t>
      </w:r>
      <w:r w:rsidRPr="00283806">
        <w:rPr>
          <w:w w:val="110"/>
        </w:rPr>
        <w:t>of</w:t>
      </w:r>
      <w:r w:rsidRPr="00283806">
        <w:rPr>
          <w:spacing w:val="-11"/>
          <w:w w:val="110"/>
        </w:rPr>
        <w:t xml:space="preserve"> </w:t>
      </w:r>
      <w:r w:rsidRPr="00283806">
        <w:rPr>
          <w:w w:val="110"/>
        </w:rPr>
        <w:t>reclaim in 40 CFR 84.3 (including to the required purity standard and with the appropriate verification),</w:t>
      </w:r>
      <w:r w:rsidRPr="00283806">
        <w:rPr>
          <w:w w:val="110"/>
          <w:position w:val="5"/>
          <w:sz w:val="11"/>
        </w:rPr>
        <w:t>90</w:t>
      </w:r>
      <w:r w:rsidRPr="00283806">
        <w:rPr>
          <w:spacing w:val="40"/>
          <w:w w:val="110"/>
          <w:position w:val="5"/>
          <w:sz w:val="11"/>
        </w:rPr>
        <w:t xml:space="preserve"> </w:t>
      </w:r>
      <w:r w:rsidRPr="00283806">
        <w:rPr>
          <w:w w:val="110"/>
        </w:rPr>
        <w:t xml:space="preserve">or if the recovered regulated substance is being </w:t>
      </w:r>
      <w:r w:rsidRPr="00283806">
        <w:t>sold, distributed, or transferred to a new</w:t>
      </w:r>
      <w:r w:rsidRPr="00283806">
        <w:rPr>
          <w:spacing w:val="40"/>
          <w:w w:val="110"/>
        </w:rPr>
        <w:t xml:space="preserve"> </w:t>
      </w:r>
      <w:r w:rsidRPr="00283806">
        <w:rPr>
          <w:w w:val="110"/>
        </w:rPr>
        <w:t>owner, or offered for sale, distribution, or</w:t>
      </w:r>
      <w:r w:rsidRPr="00283806">
        <w:rPr>
          <w:spacing w:val="-11"/>
          <w:w w:val="110"/>
        </w:rPr>
        <w:t xml:space="preserve"> </w:t>
      </w:r>
      <w:r w:rsidRPr="00283806">
        <w:rPr>
          <w:w w:val="110"/>
        </w:rPr>
        <w:t>transfer</w:t>
      </w:r>
      <w:r w:rsidRPr="00283806">
        <w:rPr>
          <w:spacing w:val="-11"/>
          <w:w w:val="110"/>
        </w:rPr>
        <w:t xml:space="preserve"> </w:t>
      </w:r>
      <w:r w:rsidRPr="00283806">
        <w:rPr>
          <w:w w:val="110"/>
        </w:rPr>
        <w:t>to</w:t>
      </w:r>
      <w:r w:rsidRPr="00283806">
        <w:rPr>
          <w:spacing w:val="-11"/>
          <w:w w:val="110"/>
        </w:rPr>
        <w:t xml:space="preserve"> </w:t>
      </w:r>
      <w:r w:rsidRPr="00283806">
        <w:rPr>
          <w:w w:val="110"/>
        </w:rPr>
        <w:t>a</w:t>
      </w:r>
      <w:r w:rsidRPr="00283806">
        <w:rPr>
          <w:spacing w:val="-11"/>
          <w:w w:val="110"/>
        </w:rPr>
        <w:t xml:space="preserve"> </w:t>
      </w:r>
      <w:r w:rsidRPr="00283806">
        <w:rPr>
          <w:w w:val="110"/>
        </w:rPr>
        <w:t>new</w:t>
      </w:r>
      <w:r w:rsidRPr="00283806">
        <w:rPr>
          <w:spacing w:val="-11"/>
          <w:w w:val="110"/>
        </w:rPr>
        <w:t xml:space="preserve"> </w:t>
      </w:r>
      <w:r w:rsidRPr="00283806">
        <w:rPr>
          <w:w w:val="110"/>
        </w:rPr>
        <w:t>owner</w:t>
      </w:r>
      <w:r w:rsidRPr="00283806">
        <w:rPr>
          <w:spacing w:val="-11"/>
          <w:w w:val="110"/>
        </w:rPr>
        <w:t xml:space="preserve"> </w:t>
      </w:r>
      <w:r w:rsidRPr="00283806">
        <w:rPr>
          <w:w w:val="110"/>
        </w:rPr>
        <w:t>solely</w:t>
      </w:r>
      <w:r w:rsidRPr="00283806">
        <w:rPr>
          <w:spacing w:val="-11"/>
          <w:w w:val="110"/>
        </w:rPr>
        <w:t xml:space="preserve"> </w:t>
      </w:r>
      <w:r w:rsidRPr="00283806">
        <w:rPr>
          <w:w w:val="110"/>
        </w:rPr>
        <w:t>for</w:t>
      </w:r>
      <w:r w:rsidRPr="00283806">
        <w:rPr>
          <w:spacing w:val="-11"/>
          <w:w w:val="110"/>
        </w:rPr>
        <w:t xml:space="preserve"> </w:t>
      </w:r>
      <w:r w:rsidRPr="00283806">
        <w:rPr>
          <w:w w:val="110"/>
        </w:rPr>
        <w:t xml:space="preserve">the purposes of being reclaimed or destroyed. Further, for clarity, EPA notes that recovered refrigerant that is used by the same owner is regulated under 40 CFR 82.154(d). This rulemaking does not alter those requirements and does not prevent an </w:t>
      </w:r>
      <w:r w:rsidRPr="00283806">
        <w:t>equipment owner or operator from using</w:t>
      </w:r>
      <w:r w:rsidRPr="00283806">
        <w:rPr>
          <w:w w:val="110"/>
        </w:rPr>
        <w:t xml:space="preserve"> </w:t>
      </w:r>
      <w:proofErr w:type="gramStart"/>
      <w:r w:rsidRPr="00283806">
        <w:rPr>
          <w:w w:val="110"/>
        </w:rPr>
        <w:t>refrigerant</w:t>
      </w:r>
      <w:proofErr w:type="gramEnd"/>
      <w:r w:rsidRPr="00283806">
        <w:rPr>
          <w:w w:val="110"/>
        </w:rPr>
        <w:t xml:space="preserve"> recovered from a piece of equipment they own to be used in that same piece of equipment or another piece of equipment they own.</w:t>
      </w:r>
    </w:p>
    <w:p w14:paraId="51B35939" w14:textId="77777777" w:rsidR="00D67C1E" w:rsidRPr="00283806" w:rsidRDefault="001265CA">
      <w:pPr>
        <w:pStyle w:val="BodyText"/>
        <w:spacing w:line="228" w:lineRule="auto"/>
        <w:ind w:left="144" w:right="187" w:firstLine="180"/>
      </w:pPr>
      <w:proofErr w:type="gramStart"/>
      <w:r w:rsidRPr="00283806">
        <w:rPr>
          <w:w w:val="105"/>
        </w:rPr>
        <w:t>EPA is</w:t>
      </w:r>
      <w:proofErr w:type="gramEnd"/>
      <w:r w:rsidRPr="00283806">
        <w:rPr>
          <w:w w:val="105"/>
        </w:rPr>
        <w:t xml:space="preserve"> also establishing labeling and recordkeeping requirements, as proposed, and </w:t>
      </w:r>
      <w:proofErr w:type="gramStart"/>
      <w:r w:rsidRPr="00283806">
        <w:rPr>
          <w:w w:val="105"/>
        </w:rPr>
        <w:t>prohibiting</w:t>
      </w:r>
      <w:proofErr w:type="gramEnd"/>
      <w:r w:rsidRPr="00283806">
        <w:rPr>
          <w:w w:val="105"/>
        </w:rPr>
        <w:t xml:space="preserve"> the sale, identification, or reporting of refrigerant as being reclaimed if the HFC</w:t>
      </w:r>
      <w:r w:rsidRPr="00283806">
        <w:rPr>
          <w:spacing w:val="80"/>
          <w:w w:val="105"/>
        </w:rPr>
        <w:t xml:space="preserve"> </w:t>
      </w:r>
      <w:r w:rsidRPr="00283806">
        <w:rPr>
          <w:w w:val="105"/>
        </w:rPr>
        <w:t>component of the resulting refrigerant contains more than 15 percent, by weight,</w:t>
      </w:r>
      <w:r w:rsidRPr="00283806">
        <w:rPr>
          <w:spacing w:val="40"/>
          <w:w w:val="105"/>
        </w:rPr>
        <w:t xml:space="preserve"> </w:t>
      </w:r>
      <w:r w:rsidRPr="00283806">
        <w:rPr>
          <w:w w:val="105"/>
        </w:rPr>
        <w:t>of</w:t>
      </w:r>
      <w:r w:rsidRPr="00283806">
        <w:rPr>
          <w:spacing w:val="40"/>
          <w:w w:val="105"/>
        </w:rPr>
        <w:t xml:space="preserve"> </w:t>
      </w:r>
      <w:r w:rsidRPr="00283806">
        <w:rPr>
          <w:w w:val="105"/>
        </w:rPr>
        <w:t>virgin</w:t>
      </w:r>
      <w:r w:rsidRPr="00283806">
        <w:rPr>
          <w:spacing w:val="40"/>
          <w:w w:val="105"/>
        </w:rPr>
        <w:t xml:space="preserve"> </w:t>
      </w:r>
      <w:r w:rsidRPr="00283806">
        <w:rPr>
          <w:w w:val="105"/>
        </w:rPr>
        <w:t>HFC.</w:t>
      </w:r>
      <w:r w:rsidRPr="00283806">
        <w:rPr>
          <w:spacing w:val="40"/>
          <w:w w:val="105"/>
        </w:rPr>
        <w:t xml:space="preserve"> </w:t>
      </w:r>
      <w:r w:rsidRPr="00283806">
        <w:rPr>
          <w:w w:val="105"/>
        </w:rPr>
        <w:t>EPA</w:t>
      </w:r>
      <w:r w:rsidRPr="00283806">
        <w:rPr>
          <w:spacing w:val="40"/>
          <w:w w:val="105"/>
        </w:rPr>
        <w:t xml:space="preserve"> </w:t>
      </w:r>
      <w:r w:rsidRPr="00283806">
        <w:rPr>
          <w:w w:val="105"/>
        </w:rPr>
        <w:t xml:space="preserve">proposed and is </w:t>
      </w:r>
      <w:proofErr w:type="gramStart"/>
      <w:r w:rsidRPr="00283806">
        <w:rPr>
          <w:w w:val="105"/>
        </w:rPr>
        <w:t>requiring</w:t>
      </w:r>
      <w:proofErr w:type="gramEnd"/>
      <w:r w:rsidRPr="00283806">
        <w:rPr>
          <w:w w:val="105"/>
        </w:rPr>
        <w:t xml:space="preserve"> that certified reclaimers affix this label to reclaimed HFCs being sold or distributed or offered for sale or distribution beginning January 1, 2026. The label is required to include the specifications as described in the regulatory text at 40 CFR 84.112(d).</w:t>
      </w:r>
    </w:p>
    <w:p w14:paraId="6872CB27" w14:textId="77777777" w:rsidR="00D67C1E" w:rsidRPr="00283806" w:rsidRDefault="001265CA">
      <w:pPr>
        <w:pStyle w:val="BodyText"/>
        <w:spacing w:line="228" w:lineRule="auto"/>
        <w:ind w:left="144" w:right="131"/>
      </w:pPr>
      <w:r w:rsidRPr="00283806">
        <w:rPr>
          <w:w w:val="105"/>
        </w:rPr>
        <w:t>Additionally, EPA proposed and is requiring</w:t>
      </w:r>
      <w:r w:rsidRPr="00283806">
        <w:rPr>
          <w:spacing w:val="-3"/>
          <w:w w:val="105"/>
        </w:rPr>
        <w:t xml:space="preserve"> </w:t>
      </w:r>
      <w:r w:rsidRPr="00283806">
        <w:rPr>
          <w:w w:val="105"/>
        </w:rPr>
        <w:t>that</w:t>
      </w:r>
      <w:r w:rsidRPr="00283806">
        <w:rPr>
          <w:spacing w:val="-3"/>
          <w:w w:val="105"/>
        </w:rPr>
        <w:t xml:space="preserve"> </w:t>
      </w:r>
      <w:r w:rsidRPr="00283806">
        <w:rPr>
          <w:w w:val="105"/>
        </w:rPr>
        <w:t>certified</w:t>
      </w:r>
      <w:r w:rsidRPr="00283806">
        <w:rPr>
          <w:spacing w:val="-3"/>
          <w:w w:val="105"/>
        </w:rPr>
        <w:t xml:space="preserve"> </w:t>
      </w:r>
      <w:r w:rsidRPr="00283806">
        <w:rPr>
          <w:w w:val="105"/>
        </w:rPr>
        <w:t>reclaimers</w:t>
      </w:r>
      <w:r w:rsidRPr="00283806">
        <w:rPr>
          <w:spacing w:val="-3"/>
          <w:w w:val="105"/>
        </w:rPr>
        <w:t xml:space="preserve"> </w:t>
      </w:r>
      <w:r w:rsidRPr="00283806">
        <w:rPr>
          <w:w w:val="105"/>
        </w:rPr>
        <w:t>create and maintain a record related to the reclaimed HFCs filled in containers.</w:t>
      </w:r>
    </w:p>
    <w:p w14:paraId="16E88324" w14:textId="77777777" w:rsidR="00D67C1E" w:rsidRPr="00283806" w:rsidRDefault="001265CA">
      <w:pPr>
        <w:pStyle w:val="BodyText"/>
        <w:spacing w:line="228" w:lineRule="auto"/>
        <w:ind w:left="144" w:right="192"/>
      </w:pPr>
      <w:r w:rsidRPr="00283806">
        <w:rPr>
          <w:w w:val="105"/>
        </w:rPr>
        <w:t>EPA is requiring such records be generated beginning January 1, 2026, be maintained by reclaimers for three</w:t>
      </w:r>
      <w:r w:rsidRPr="00283806">
        <w:rPr>
          <w:spacing w:val="40"/>
          <w:w w:val="105"/>
        </w:rPr>
        <w:t xml:space="preserve"> </w:t>
      </w:r>
      <w:r w:rsidRPr="00283806">
        <w:rPr>
          <w:w w:val="105"/>
        </w:rPr>
        <w:t xml:space="preserve">years, and include the following </w:t>
      </w:r>
      <w:r w:rsidRPr="00283806">
        <w:rPr>
          <w:spacing w:val="-2"/>
          <w:w w:val="105"/>
        </w:rPr>
        <w:t>information:</w:t>
      </w:r>
    </w:p>
    <w:p w14:paraId="70FBCC19" w14:textId="77777777" w:rsidR="00D67C1E" w:rsidRPr="00283806" w:rsidRDefault="001265CA">
      <w:pPr>
        <w:pStyle w:val="ListParagraph"/>
        <w:numPr>
          <w:ilvl w:val="0"/>
          <w:numId w:val="51"/>
        </w:numPr>
        <w:tabs>
          <w:tab w:val="left" w:pos="506"/>
        </w:tabs>
        <w:spacing w:line="178" w:lineRule="exact"/>
        <w:ind w:left="506" w:hanging="182"/>
        <w:rPr>
          <w:sz w:val="18"/>
        </w:rPr>
      </w:pPr>
      <w:r w:rsidRPr="00283806">
        <w:rPr>
          <w:w w:val="105"/>
          <w:sz w:val="18"/>
        </w:rPr>
        <w:t>The</w:t>
      </w:r>
      <w:r w:rsidRPr="00283806">
        <w:rPr>
          <w:spacing w:val="14"/>
          <w:w w:val="105"/>
          <w:sz w:val="18"/>
        </w:rPr>
        <w:t xml:space="preserve"> </w:t>
      </w:r>
      <w:r w:rsidRPr="00283806">
        <w:rPr>
          <w:w w:val="105"/>
          <w:sz w:val="18"/>
        </w:rPr>
        <w:t>name,</w:t>
      </w:r>
      <w:r w:rsidRPr="00283806">
        <w:rPr>
          <w:spacing w:val="14"/>
          <w:w w:val="105"/>
          <w:sz w:val="18"/>
        </w:rPr>
        <w:t xml:space="preserve"> </w:t>
      </w:r>
      <w:r w:rsidRPr="00283806">
        <w:rPr>
          <w:w w:val="105"/>
          <w:sz w:val="18"/>
        </w:rPr>
        <w:t>address,</w:t>
      </w:r>
      <w:r w:rsidRPr="00283806">
        <w:rPr>
          <w:spacing w:val="14"/>
          <w:w w:val="105"/>
          <w:sz w:val="18"/>
        </w:rPr>
        <w:t xml:space="preserve"> </w:t>
      </w:r>
      <w:r w:rsidRPr="00283806">
        <w:rPr>
          <w:w w:val="105"/>
          <w:sz w:val="18"/>
        </w:rPr>
        <w:t>contact</w:t>
      </w:r>
      <w:r w:rsidRPr="00283806">
        <w:rPr>
          <w:spacing w:val="14"/>
          <w:w w:val="105"/>
          <w:sz w:val="18"/>
        </w:rPr>
        <w:t xml:space="preserve"> </w:t>
      </w:r>
      <w:r w:rsidRPr="00283806">
        <w:rPr>
          <w:spacing w:val="-2"/>
          <w:w w:val="105"/>
          <w:sz w:val="18"/>
        </w:rPr>
        <w:t>person,</w:t>
      </w:r>
    </w:p>
    <w:p w14:paraId="06D1DAFD" w14:textId="77777777" w:rsidR="00D67C1E" w:rsidRPr="00283806" w:rsidRDefault="001265CA">
      <w:pPr>
        <w:pStyle w:val="BodyText"/>
        <w:spacing w:line="228" w:lineRule="auto"/>
        <w:ind w:left="144" w:right="122"/>
      </w:pPr>
      <w:r w:rsidRPr="00283806">
        <w:rPr>
          <w:w w:val="105"/>
        </w:rPr>
        <w:t>email address, and phone number of the certified reclaimer;</w:t>
      </w:r>
    </w:p>
    <w:p w14:paraId="3BCAD1C9" w14:textId="77777777" w:rsidR="00D67C1E" w:rsidRPr="00283806" w:rsidRDefault="001265CA">
      <w:pPr>
        <w:pStyle w:val="ListParagraph"/>
        <w:numPr>
          <w:ilvl w:val="0"/>
          <w:numId w:val="51"/>
        </w:numPr>
        <w:tabs>
          <w:tab w:val="left" w:pos="506"/>
        </w:tabs>
        <w:spacing w:line="180" w:lineRule="exact"/>
        <w:ind w:left="506" w:hanging="182"/>
        <w:rPr>
          <w:sz w:val="18"/>
        </w:rPr>
      </w:pPr>
      <w:r w:rsidRPr="00283806">
        <w:rPr>
          <w:w w:val="105"/>
          <w:sz w:val="18"/>
        </w:rPr>
        <w:t>The</w:t>
      </w:r>
      <w:r w:rsidRPr="00283806">
        <w:rPr>
          <w:spacing w:val="7"/>
          <w:w w:val="105"/>
          <w:sz w:val="18"/>
        </w:rPr>
        <w:t xml:space="preserve"> </w:t>
      </w:r>
      <w:r w:rsidRPr="00283806">
        <w:rPr>
          <w:w w:val="105"/>
          <w:sz w:val="18"/>
        </w:rPr>
        <w:t>date</w:t>
      </w:r>
      <w:r w:rsidRPr="00283806">
        <w:rPr>
          <w:spacing w:val="8"/>
          <w:w w:val="105"/>
          <w:sz w:val="18"/>
        </w:rPr>
        <w:t xml:space="preserve"> </w:t>
      </w:r>
      <w:r w:rsidRPr="00283806">
        <w:rPr>
          <w:w w:val="105"/>
          <w:sz w:val="18"/>
        </w:rPr>
        <w:t>the</w:t>
      </w:r>
      <w:r w:rsidRPr="00283806">
        <w:rPr>
          <w:spacing w:val="7"/>
          <w:w w:val="105"/>
          <w:sz w:val="18"/>
        </w:rPr>
        <w:t xml:space="preserve"> </w:t>
      </w:r>
      <w:r w:rsidRPr="00283806">
        <w:rPr>
          <w:w w:val="105"/>
          <w:sz w:val="18"/>
        </w:rPr>
        <w:t>container</w:t>
      </w:r>
      <w:r w:rsidRPr="00283806">
        <w:rPr>
          <w:spacing w:val="8"/>
          <w:w w:val="105"/>
          <w:sz w:val="18"/>
        </w:rPr>
        <w:t xml:space="preserve"> </w:t>
      </w:r>
      <w:r w:rsidRPr="00283806">
        <w:rPr>
          <w:w w:val="105"/>
          <w:sz w:val="18"/>
        </w:rPr>
        <w:t>was</w:t>
      </w:r>
      <w:r w:rsidRPr="00283806">
        <w:rPr>
          <w:spacing w:val="8"/>
          <w:w w:val="105"/>
          <w:sz w:val="18"/>
        </w:rPr>
        <w:t xml:space="preserve"> </w:t>
      </w:r>
      <w:r w:rsidRPr="00283806">
        <w:rPr>
          <w:spacing w:val="-2"/>
          <w:w w:val="105"/>
          <w:sz w:val="18"/>
        </w:rPr>
        <w:t>filled</w:t>
      </w:r>
    </w:p>
    <w:p w14:paraId="6EDED67F" w14:textId="77777777" w:rsidR="00D67C1E" w:rsidRPr="00283806" w:rsidRDefault="001265CA">
      <w:pPr>
        <w:pStyle w:val="BodyText"/>
        <w:spacing w:line="187" w:lineRule="exact"/>
        <w:ind w:left="144"/>
      </w:pPr>
      <w:r w:rsidRPr="00283806">
        <w:rPr>
          <w:w w:val="105"/>
        </w:rPr>
        <w:t>with</w:t>
      </w:r>
      <w:r w:rsidRPr="00283806">
        <w:rPr>
          <w:spacing w:val="19"/>
          <w:w w:val="105"/>
        </w:rPr>
        <w:t xml:space="preserve"> </w:t>
      </w:r>
      <w:r w:rsidRPr="00283806">
        <w:rPr>
          <w:w w:val="105"/>
        </w:rPr>
        <w:t>reclaimed</w:t>
      </w:r>
      <w:r w:rsidRPr="00283806">
        <w:rPr>
          <w:spacing w:val="20"/>
          <w:w w:val="105"/>
        </w:rPr>
        <w:t xml:space="preserve"> </w:t>
      </w:r>
      <w:r w:rsidRPr="00283806">
        <w:rPr>
          <w:spacing w:val="-2"/>
          <w:w w:val="105"/>
        </w:rPr>
        <w:t>HFC(s);</w:t>
      </w:r>
    </w:p>
    <w:p w14:paraId="75D7B51A" w14:textId="77777777" w:rsidR="00D67C1E" w:rsidRPr="00283806" w:rsidRDefault="001265CA">
      <w:pPr>
        <w:pStyle w:val="ListParagraph"/>
        <w:numPr>
          <w:ilvl w:val="0"/>
          <w:numId w:val="51"/>
        </w:numPr>
        <w:tabs>
          <w:tab w:val="left" w:pos="506"/>
        </w:tabs>
        <w:spacing w:line="228" w:lineRule="auto"/>
        <w:ind w:right="119" w:firstLine="180"/>
        <w:rPr>
          <w:sz w:val="18"/>
        </w:rPr>
      </w:pPr>
      <w:r w:rsidRPr="00283806">
        <w:rPr>
          <w:w w:val="105"/>
          <w:sz w:val="18"/>
        </w:rPr>
        <w:t>The amount and name of the HFC(s) in the container;</w:t>
      </w:r>
    </w:p>
    <w:p w14:paraId="6F4BA718" w14:textId="77777777" w:rsidR="00D67C1E" w:rsidRPr="00283806" w:rsidRDefault="001265CA">
      <w:pPr>
        <w:pStyle w:val="BodyText"/>
        <w:spacing w:before="2"/>
        <w:ind w:left="0"/>
        <w:rPr>
          <w:sz w:val="11"/>
        </w:rPr>
      </w:pPr>
      <w:r w:rsidRPr="00283806">
        <w:rPr>
          <w:noProof/>
        </w:rPr>
        <mc:AlternateContent>
          <mc:Choice Requires="wps">
            <w:drawing>
              <wp:anchor distT="0" distB="0" distL="0" distR="0" simplePos="0" relativeHeight="251648000" behindDoc="1" locked="0" layoutInCell="1" allowOverlap="1" wp14:anchorId="36E27F0F" wp14:editId="0AB7FB76">
                <wp:simplePos x="0" y="0"/>
                <wp:positionH relativeFrom="page">
                  <wp:posOffset>5067300</wp:posOffset>
                </wp:positionH>
                <wp:positionV relativeFrom="paragraph">
                  <wp:posOffset>99016</wp:posOffset>
                </wp:positionV>
                <wp:extent cx="635000" cy="1270"/>
                <wp:effectExtent l="0" t="0" r="0" b="0"/>
                <wp:wrapTopAndBottom/>
                <wp:docPr id="79" name="Graphic 7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23B5E53" id="Graphic 79" o:spid="_x0000_s1026" alt="&quot;&quot;" style="position:absolute;margin-left:399pt;margin-top:7.8pt;width:50pt;height:.1pt;z-index:-251668480;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" path="m,l635000,e" filled="f" strokeweight=".5pt">
                <v:path arrowok="t"/>
                <w10:wrap type="topAndBottom" anchorx="page"/>
              </v:shape>
            </w:pict>
          </mc:Fallback>
        </mc:AlternateContent>
      </w:r>
    </w:p>
    <w:p w14:paraId="44563F47" w14:textId="77777777" w:rsidR="00D67C1E" w:rsidRPr="00283806" w:rsidRDefault="001265CA">
      <w:pPr>
        <w:spacing w:before="40" w:line="232" w:lineRule="auto"/>
        <w:ind w:left="144" w:right="171" w:firstLine="140"/>
        <w:rPr>
          <w:sz w:val="14"/>
        </w:rPr>
      </w:pPr>
      <w:r w:rsidRPr="00283806">
        <w:rPr>
          <w:w w:val="110"/>
          <w:position w:val="4"/>
          <w:sz w:val="9"/>
        </w:rPr>
        <w:t>89</w:t>
      </w:r>
      <w:r w:rsidRPr="00283806">
        <w:rPr>
          <w:spacing w:val="-5"/>
          <w:w w:val="110"/>
          <w:position w:val="4"/>
          <w:sz w:val="9"/>
        </w:rPr>
        <w:t xml:space="preserve"> </w:t>
      </w:r>
      <w:r w:rsidRPr="00283806">
        <w:rPr>
          <w:w w:val="110"/>
          <w:sz w:val="14"/>
        </w:rPr>
        <w:t>EPA</w:t>
      </w:r>
      <w:r w:rsidRPr="00283806">
        <w:rPr>
          <w:spacing w:val="-4"/>
          <w:w w:val="110"/>
          <w:sz w:val="14"/>
        </w:rPr>
        <w:t xml:space="preserve"> </w:t>
      </w:r>
      <w:r w:rsidRPr="00283806">
        <w:rPr>
          <w:w w:val="110"/>
          <w:sz w:val="14"/>
        </w:rPr>
        <w:t>further</w:t>
      </w:r>
      <w:r w:rsidRPr="00283806">
        <w:rPr>
          <w:spacing w:val="-4"/>
          <w:w w:val="110"/>
          <w:sz w:val="14"/>
        </w:rPr>
        <w:t xml:space="preserve"> </w:t>
      </w:r>
      <w:r w:rsidRPr="00283806">
        <w:rPr>
          <w:w w:val="110"/>
          <w:sz w:val="14"/>
        </w:rPr>
        <w:t>discusses</w:t>
      </w:r>
      <w:r w:rsidRPr="00283806">
        <w:rPr>
          <w:spacing w:val="-4"/>
          <w:w w:val="110"/>
          <w:sz w:val="14"/>
        </w:rPr>
        <w:t xml:space="preserve"> </w:t>
      </w:r>
      <w:r w:rsidRPr="00283806">
        <w:rPr>
          <w:w w:val="110"/>
          <w:sz w:val="14"/>
        </w:rPr>
        <w:t>MVAC</w:t>
      </w:r>
      <w:r w:rsidRPr="00283806">
        <w:rPr>
          <w:spacing w:val="-4"/>
          <w:w w:val="110"/>
          <w:sz w:val="14"/>
        </w:rPr>
        <w:t xml:space="preserve"> </w:t>
      </w:r>
      <w:r w:rsidRPr="00283806">
        <w:rPr>
          <w:w w:val="110"/>
          <w:sz w:val="14"/>
        </w:rPr>
        <w:t>servicing</w:t>
      </w:r>
      <w:r w:rsidRPr="00283806">
        <w:rPr>
          <w:spacing w:val="-4"/>
          <w:w w:val="110"/>
          <w:sz w:val="14"/>
        </w:rPr>
        <w:t xml:space="preserve"> </w:t>
      </w:r>
      <w:r w:rsidRPr="00283806">
        <w:rPr>
          <w:w w:val="110"/>
          <w:sz w:val="14"/>
        </w:rPr>
        <w:t>and</w:t>
      </w:r>
      <w:r w:rsidRPr="00283806">
        <w:rPr>
          <w:spacing w:val="40"/>
          <w:w w:val="110"/>
          <w:sz w:val="14"/>
        </w:rPr>
        <w:t xml:space="preserve"> </w:t>
      </w:r>
      <w:r w:rsidRPr="00283806">
        <w:rPr>
          <w:w w:val="110"/>
          <w:sz w:val="14"/>
        </w:rPr>
        <w:t>recovered</w:t>
      </w:r>
      <w:r w:rsidRPr="00283806">
        <w:rPr>
          <w:spacing w:val="-9"/>
          <w:w w:val="110"/>
          <w:sz w:val="14"/>
        </w:rPr>
        <w:t xml:space="preserve"> </w:t>
      </w:r>
      <w:r w:rsidRPr="00283806">
        <w:rPr>
          <w:w w:val="110"/>
          <w:sz w:val="14"/>
        </w:rPr>
        <w:t>and</w:t>
      </w:r>
      <w:r w:rsidRPr="00283806">
        <w:rPr>
          <w:spacing w:val="-8"/>
          <w:w w:val="110"/>
          <w:sz w:val="14"/>
        </w:rPr>
        <w:t xml:space="preserve"> </w:t>
      </w:r>
      <w:r w:rsidRPr="00283806">
        <w:rPr>
          <w:w w:val="110"/>
          <w:sz w:val="14"/>
        </w:rPr>
        <w:t>reprocessed</w:t>
      </w:r>
      <w:r w:rsidRPr="00283806">
        <w:rPr>
          <w:spacing w:val="-9"/>
          <w:w w:val="110"/>
          <w:sz w:val="14"/>
        </w:rPr>
        <w:t xml:space="preserve"> </w:t>
      </w:r>
      <w:r w:rsidRPr="00283806">
        <w:rPr>
          <w:w w:val="110"/>
          <w:sz w:val="14"/>
        </w:rPr>
        <w:t>HFC</w:t>
      </w:r>
      <w:r w:rsidRPr="00283806">
        <w:rPr>
          <w:spacing w:val="-8"/>
          <w:w w:val="110"/>
          <w:sz w:val="14"/>
        </w:rPr>
        <w:t xml:space="preserve"> </w:t>
      </w:r>
      <w:r w:rsidRPr="00283806">
        <w:rPr>
          <w:w w:val="110"/>
          <w:sz w:val="14"/>
        </w:rPr>
        <w:t>refrigerants</w:t>
      </w:r>
      <w:r w:rsidRPr="00283806">
        <w:rPr>
          <w:spacing w:val="-9"/>
          <w:w w:val="110"/>
          <w:sz w:val="14"/>
        </w:rPr>
        <w:t xml:space="preserve"> </w:t>
      </w:r>
      <w:r w:rsidRPr="00283806">
        <w:rPr>
          <w:w w:val="110"/>
          <w:sz w:val="14"/>
        </w:rPr>
        <w:t>in</w:t>
      </w:r>
      <w:r w:rsidRPr="00283806">
        <w:rPr>
          <w:spacing w:val="40"/>
          <w:w w:val="110"/>
          <w:sz w:val="14"/>
        </w:rPr>
        <w:t xml:space="preserve"> </w:t>
      </w:r>
      <w:r w:rsidRPr="00283806">
        <w:rPr>
          <w:w w:val="110"/>
          <w:sz w:val="14"/>
        </w:rPr>
        <w:t>section IV.I.</w:t>
      </w:r>
    </w:p>
    <w:p w14:paraId="3BC64E80" w14:textId="77777777" w:rsidR="00D67C1E" w:rsidRPr="00283806" w:rsidRDefault="001265CA">
      <w:pPr>
        <w:spacing w:before="22" w:line="232" w:lineRule="auto"/>
        <w:ind w:left="144" w:right="122" w:firstLine="140"/>
        <w:rPr>
          <w:sz w:val="14"/>
        </w:rPr>
      </w:pPr>
      <w:r w:rsidRPr="00283806">
        <w:rPr>
          <w:w w:val="110"/>
          <w:position w:val="4"/>
          <w:sz w:val="9"/>
        </w:rPr>
        <w:t xml:space="preserve">90 </w:t>
      </w:r>
      <w:r w:rsidRPr="00283806">
        <w:rPr>
          <w:w w:val="110"/>
          <w:sz w:val="14"/>
        </w:rPr>
        <w:t>EPA has made a few modifications to the</w:t>
      </w:r>
      <w:r w:rsidRPr="00283806">
        <w:rPr>
          <w:spacing w:val="40"/>
          <w:w w:val="110"/>
          <w:sz w:val="14"/>
        </w:rPr>
        <w:t xml:space="preserve"> </w:t>
      </w:r>
      <w:r w:rsidRPr="00283806">
        <w:rPr>
          <w:w w:val="110"/>
          <w:sz w:val="14"/>
        </w:rPr>
        <w:t>regulatory text as finalized at section 84.104(a) to</w:t>
      </w:r>
      <w:r w:rsidRPr="00283806">
        <w:rPr>
          <w:spacing w:val="40"/>
          <w:w w:val="110"/>
          <w:sz w:val="14"/>
        </w:rPr>
        <w:t xml:space="preserve"> </w:t>
      </w:r>
      <w:r w:rsidRPr="00283806">
        <w:rPr>
          <w:w w:val="110"/>
          <w:sz w:val="14"/>
        </w:rPr>
        <w:t>ensure</w:t>
      </w:r>
      <w:r w:rsidRPr="00283806">
        <w:rPr>
          <w:spacing w:val="-9"/>
          <w:w w:val="110"/>
          <w:sz w:val="14"/>
        </w:rPr>
        <w:t xml:space="preserve"> </w:t>
      </w:r>
      <w:r w:rsidRPr="00283806">
        <w:rPr>
          <w:w w:val="110"/>
          <w:sz w:val="14"/>
        </w:rPr>
        <w:t>consistency</w:t>
      </w:r>
      <w:r w:rsidRPr="00283806">
        <w:rPr>
          <w:spacing w:val="-8"/>
          <w:w w:val="110"/>
          <w:sz w:val="14"/>
        </w:rPr>
        <w:t xml:space="preserve"> </w:t>
      </w:r>
      <w:r w:rsidRPr="00283806">
        <w:rPr>
          <w:w w:val="110"/>
          <w:sz w:val="14"/>
        </w:rPr>
        <w:t>with</w:t>
      </w:r>
      <w:r w:rsidRPr="00283806">
        <w:rPr>
          <w:spacing w:val="-9"/>
          <w:w w:val="110"/>
          <w:sz w:val="14"/>
        </w:rPr>
        <w:t xml:space="preserve"> </w:t>
      </w:r>
      <w:r w:rsidRPr="00283806">
        <w:rPr>
          <w:w w:val="110"/>
          <w:sz w:val="14"/>
        </w:rPr>
        <w:t>the</w:t>
      </w:r>
      <w:r w:rsidRPr="00283806">
        <w:rPr>
          <w:spacing w:val="-8"/>
          <w:w w:val="110"/>
          <w:sz w:val="14"/>
        </w:rPr>
        <w:t xml:space="preserve"> </w:t>
      </w:r>
      <w:r w:rsidRPr="00283806">
        <w:rPr>
          <w:w w:val="110"/>
          <w:sz w:val="14"/>
        </w:rPr>
        <w:t>definition</w:t>
      </w:r>
      <w:r w:rsidRPr="00283806">
        <w:rPr>
          <w:spacing w:val="-9"/>
          <w:w w:val="110"/>
          <w:sz w:val="14"/>
        </w:rPr>
        <w:t xml:space="preserve"> </w:t>
      </w:r>
      <w:r w:rsidRPr="00283806">
        <w:rPr>
          <w:w w:val="110"/>
          <w:sz w:val="14"/>
        </w:rPr>
        <w:t>of</w:t>
      </w:r>
      <w:r w:rsidRPr="00283806">
        <w:rPr>
          <w:spacing w:val="-8"/>
          <w:w w:val="110"/>
          <w:sz w:val="14"/>
        </w:rPr>
        <w:t xml:space="preserve"> </w:t>
      </w:r>
      <w:r w:rsidRPr="00283806">
        <w:rPr>
          <w:w w:val="110"/>
          <w:sz w:val="14"/>
        </w:rPr>
        <w:t>reclaim</w:t>
      </w:r>
      <w:r w:rsidRPr="00283806">
        <w:rPr>
          <w:spacing w:val="-9"/>
          <w:w w:val="110"/>
          <w:sz w:val="14"/>
        </w:rPr>
        <w:t xml:space="preserve"> </w:t>
      </w:r>
      <w:r w:rsidRPr="00283806">
        <w:rPr>
          <w:w w:val="110"/>
          <w:sz w:val="14"/>
        </w:rPr>
        <w:t>in</w:t>
      </w:r>
      <w:r w:rsidRPr="00283806">
        <w:rPr>
          <w:spacing w:val="40"/>
          <w:w w:val="110"/>
          <w:sz w:val="14"/>
        </w:rPr>
        <w:t xml:space="preserve"> </w:t>
      </w:r>
      <w:r w:rsidRPr="00283806">
        <w:rPr>
          <w:w w:val="110"/>
          <w:sz w:val="14"/>
        </w:rPr>
        <w:t>40 CFR 84.3, in accordance with the intent for this</w:t>
      </w:r>
      <w:r w:rsidRPr="00283806">
        <w:rPr>
          <w:spacing w:val="40"/>
          <w:w w:val="110"/>
          <w:sz w:val="14"/>
        </w:rPr>
        <w:t xml:space="preserve"> </w:t>
      </w:r>
      <w:r w:rsidRPr="00283806">
        <w:rPr>
          <w:spacing w:val="-2"/>
          <w:w w:val="110"/>
          <w:sz w:val="14"/>
        </w:rPr>
        <w:t>provision.</w:t>
      </w:r>
    </w:p>
    <w:p w14:paraId="41BE57D2" w14:textId="77777777" w:rsidR="00D67C1E" w:rsidRPr="00283806" w:rsidRDefault="00D67C1E">
      <w:pPr>
        <w:spacing w:line="232" w:lineRule="auto"/>
        <w:rPr>
          <w:sz w:val="14"/>
        </w:rPr>
        <w:sectPr w:rsidR="00D67C1E" w:rsidRPr="00283806">
          <w:pgSz w:w="12240" w:h="15840"/>
          <w:pgMar w:top="1040" w:right="780" w:bottom="280" w:left="740" w:header="627" w:footer="0" w:gutter="0"/>
          <w:cols w:num="3" w:space="720" w:equalWidth="0">
            <w:col w:w="3507" w:space="40"/>
            <w:col w:w="3509" w:space="39"/>
            <w:col w:w="3625"/>
          </w:cols>
        </w:sectPr>
      </w:pPr>
    </w:p>
    <w:p w14:paraId="3E3BEC87" w14:textId="77777777" w:rsidR="00D67C1E" w:rsidRPr="00283806" w:rsidRDefault="001265CA">
      <w:pPr>
        <w:pStyle w:val="ListParagraph"/>
        <w:numPr>
          <w:ilvl w:val="0"/>
          <w:numId w:val="51"/>
        </w:numPr>
        <w:tabs>
          <w:tab w:val="left" w:pos="522"/>
        </w:tabs>
        <w:spacing w:before="127" w:line="225" w:lineRule="auto"/>
        <w:ind w:left="160" w:right="15" w:firstLine="180"/>
        <w:rPr>
          <w:sz w:val="18"/>
        </w:rPr>
      </w:pPr>
      <w:r w:rsidRPr="00283806">
        <w:rPr>
          <w:w w:val="105"/>
          <w:sz w:val="18"/>
        </w:rPr>
        <w:lastRenderedPageBreak/>
        <w:t>Certification that the contents of the container are from a batch where the amount of virgin HFCs does not exceed 15 percent, by weight, of the total HFCs;</w:t>
      </w:r>
    </w:p>
    <w:p w14:paraId="1BEDDDB2" w14:textId="77777777" w:rsidR="00D67C1E" w:rsidRPr="00283806" w:rsidRDefault="001265CA">
      <w:pPr>
        <w:pStyle w:val="ListParagraph"/>
        <w:numPr>
          <w:ilvl w:val="0"/>
          <w:numId w:val="51"/>
        </w:numPr>
        <w:tabs>
          <w:tab w:val="left" w:pos="522"/>
        </w:tabs>
        <w:spacing w:line="179" w:lineRule="exact"/>
        <w:ind w:left="522" w:hanging="182"/>
        <w:rPr>
          <w:sz w:val="18"/>
        </w:rPr>
      </w:pPr>
      <w:r w:rsidRPr="00283806">
        <w:rPr>
          <w:w w:val="105"/>
          <w:sz w:val="18"/>
        </w:rPr>
        <w:t>The</w:t>
      </w:r>
      <w:r w:rsidRPr="00283806">
        <w:rPr>
          <w:spacing w:val="11"/>
          <w:w w:val="105"/>
          <w:sz w:val="18"/>
        </w:rPr>
        <w:t xml:space="preserve"> </w:t>
      </w:r>
      <w:r w:rsidRPr="00283806">
        <w:rPr>
          <w:w w:val="105"/>
          <w:sz w:val="18"/>
        </w:rPr>
        <w:t>unique</w:t>
      </w:r>
      <w:r w:rsidRPr="00283806">
        <w:rPr>
          <w:spacing w:val="11"/>
          <w:w w:val="105"/>
          <w:sz w:val="18"/>
        </w:rPr>
        <w:t xml:space="preserve"> </w:t>
      </w:r>
      <w:r w:rsidRPr="00283806">
        <w:rPr>
          <w:w w:val="105"/>
          <w:sz w:val="18"/>
        </w:rPr>
        <w:t>serial</w:t>
      </w:r>
      <w:r w:rsidRPr="00283806">
        <w:rPr>
          <w:spacing w:val="11"/>
          <w:w w:val="105"/>
          <w:sz w:val="18"/>
        </w:rPr>
        <w:t xml:space="preserve"> </w:t>
      </w:r>
      <w:r w:rsidRPr="00283806">
        <w:rPr>
          <w:w w:val="105"/>
          <w:sz w:val="18"/>
        </w:rPr>
        <w:t>number</w:t>
      </w:r>
      <w:r w:rsidRPr="00283806">
        <w:rPr>
          <w:spacing w:val="11"/>
          <w:w w:val="105"/>
          <w:sz w:val="18"/>
        </w:rPr>
        <w:t xml:space="preserve"> </w:t>
      </w:r>
      <w:r w:rsidRPr="00283806">
        <w:rPr>
          <w:w w:val="105"/>
          <w:sz w:val="18"/>
        </w:rPr>
        <w:t>of</w:t>
      </w:r>
      <w:r w:rsidRPr="00283806">
        <w:rPr>
          <w:spacing w:val="11"/>
          <w:w w:val="105"/>
          <w:sz w:val="18"/>
        </w:rPr>
        <w:t xml:space="preserve"> </w:t>
      </w:r>
      <w:r w:rsidRPr="00283806">
        <w:rPr>
          <w:spacing w:val="-5"/>
          <w:w w:val="105"/>
          <w:sz w:val="18"/>
        </w:rPr>
        <w:t>the</w:t>
      </w:r>
    </w:p>
    <w:p w14:paraId="0F5EC9A9" w14:textId="77777777" w:rsidR="00D67C1E" w:rsidRPr="00283806" w:rsidRDefault="001265CA">
      <w:pPr>
        <w:pStyle w:val="BodyText"/>
        <w:spacing w:line="186" w:lineRule="exact"/>
      </w:pPr>
      <w:r w:rsidRPr="00283806">
        <w:rPr>
          <w:w w:val="105"/>
        </w:rPr>
        <w:t>container(s)</w:t>
      </w:r>
      <w:r w:rsidRPr="00283806">
        <w:rPr>
          <w:spacing w:val="5"/>
          <w:w w:val="105"/>
        </w:rPr>
        <w:t xml:space="preserve"> </w:t>
      </w:r>
      <w:r w:rsidRPr="00283806">
        <w:rPr>
          <w:w w:val="105"/>
        </w:rPr>
        <w:t>filled</w:t>
      </w:r>
      <w:r w:rsidRPr="00283806">
        <w:rPr>
          <w:spacing w:val="5"/>
          <w:w w:val="105"/>
        </w:rPr>
        <w:t xml:space="preserve"> </w:t>
      </w:r>
      <w:r w:rsidRPr="00283806">
        <w:rPr>
          <w:w w:val="105"/>
        </w:rPr>
        <w:t>from</w:t>
      </w:r>
      <w:r w:rsidRPr="00283806">
        <w:rPr>
          <w:spacing w:val="5"/>
          <w:w w:val="105"/>
        </w:rPr>
        <w:t xml:space="preserve"> </w:t>
      </w:r>
      <w:r w:rsidRPr="00283806">
        <w:rPr>
          <w:w w:val="105"/>
        </w:rPr>
        <w:t>the</w:t>
      </w:r>
      <w:r w:rsidRPr="00283806">
        <w:rPr>
          <w:spacing w:val="5"/>
          <w:w w:val="105"/>
        </w:rPr>
        <w:t xml:space="preserve"> </w:t>
      </w:r>
      <w:r w:rsidRPr="00283806">
        <w:rPr>
          <w:spacing w:val="-2"/>
          <w:w w:val="105"/>
        </w:rPr>
        <w:t>batch;</w:t>
      </w:r>
    </w:p>
    <w:p w14:paraId="426B239F" w14:textId="77777777" w:rsidR="00D67C1E" w:rsidRPr="00283806" w:rsidRDefault="001265CA">
      <w:pPr>
        <w:pStyle w:val="ListParagraph"/>
        <w:numPr>
          <w:ilvl w:val="0"/>
          <w:numId w:val="51"/>
        </w:numPr>
        <w:tabs>
          <w:tab w:val="left" w:pos="522"/>
        </w:tabs>
        <w:spacing w:line="225" w:lineRule="auto"/>
        <w:ind w:left="160" w:right="644" w:firstLine="180"/>
        <w:rPr>
          <w:sz w:val="18"/>
        </w:rPr>
      </w:pPr>
      <w:r w:rsidRPr="00283806">
        <w:rPr>
          <w:spacing w:val="-2"/>
          <w:w w:val="110"/>
          <w:sz w:val="18"/>
        </w:rPr>
        <w:t>Identification</w:t>
      </w:r>
      <w:r w:rsidRPr="00283806">
        <w:rPr>
          <w:spacing w:val="-6"/>
          <w:w w:val="110"/>
          <w:sz w:val="18"/>
        </w:rPr>
        <w:t xml:space="preserve"> </w:t>
      </w:r>
      <w:r w:rsidRPr="00283806">
        <w:rPr>
          <w:spacing w:val="-2"/>
          <w:w w:val="110"/>
          <w:sz w:val="18"/>
        </w:rPr>
        <w:t>of</w:t>
      </w:r>
      <w:r w:rsidRPr="00283806">
        <w:rPr>
          <w:spacing w:val="-6"/>
          <w:w w:val="110"/>
          <w:sz w:val="18"/>
        </w:rPr>
        <w:t xml:space="preserve"> </w:t>
      </w:r>
      <w:r w:rsidRPr="00283806">
        <w:rPr>
          <w:spacing w:val="-2"/>
          <w:w w:val="110"/>
          <w:sz w:val="18"/>
        </w:rPr>
        <w:t>the</w:t>
      </w:r>
      <w:r w:rsidRPr="00283806">
        <w:rPr>
          <w:spacing w:val="-6"/>
          <w:w w:val="110"/>
          <w:sz w:val="18"/>
        </w:rPr>
        <w:t xml:space="preserve"> </w:t>
      </w:r>
      <w:r w:rsidRPr="00283806">
        <w:rPr>
          <w:spacing w:val="-2"/>
          <w:w w:val="110"/>
          <w:sz w:val="18"/>
        </w:rPr>
        <w:t>batch</w:t>
      </w:r>
      <w:r w:rsidRPr="00283806">
        <w:rPr>
          <w:spacing w:val="-6"/>
          <w:w w:val="110"/>
          <w:sz w:val="18"/>
        </w:rPr>
        <w:t xml:space="preserve"> </w:t>
      </w:r>
      <w:r w:rsidRPr="00283806">
        <w:rPr>
          <w:spacing w:val="-2"/>
          <w:w w:val="110"/>
          <w:sz w:val="18"/>
        </w:rPr>
        <w:t xml:space="preserve">of </w:t>
      </w:r>
      <w:r w:rsidRPr="00283806">
        <w:rPr>
          <w:w w:val="110"/>
          <w:sz w:val="18"/>
        </w:rPr>
        <w:t>reclaimed HFCs used to fill the container(s); and</w:t>
      </w:r>
    </w:p>
    <w:p w14:paraId="234272B0" w14:textId="77777777" w:rsidR="00D67C1E" w:rsidRPr="00283806" w:rsidRDefault="001265CA">
      <w:pPr>
        <w:pStyle w:val="ListParagraph"/>
        <w:numPr>
          <w:ilvl w:val="0"/>
          <w:numId w:val="51"/>
        </w:numPr>
        <w:tabs>
          <w:tab w:val="left" w:pos="522"/>
        </w:tabs>
        <w:spacing w:line="179" w:lineRule="exact"/>
        <w:ind w:left="522" w:hanging="182"/>
        <w:rPr>
          <w:sz w:val="18"/>
        </w:rPr>
      </w:pPr>
      <w:r w:rsidRPr="00283806">
        <w:rPr>
          <w:w w:val="105"/>
          <w:sz w:val="18"/>
        </w:rPr>
        <w:t>The</w:t>
      </w:r>
      <w:r w:rsidRPr="00283806">
        <w:rPr>
          <w:spacing w:val="12"/>
          <w:w w:val="105"/>
          <w:sz w:val="18"/>
        </w:rPr>
        <w:t xml:space="preserve"> </w:t>
      </w:r>
      <w:r w:rsidRPr="00283806">
        <w:rPr>
          <w:w w:val="105"/>
          <w:sz w:val="18"/>
        </w:rPr>
        <w:t>percentage,</w:t>
      </w:r>
      <w:r w:rsidRPr="00283806">
        <w:rPr>
          <w:spacing w:val="12"/>
          <w:w w:val="105"/>
          <w:sz w:val="18"/>
        </w:rPr>
        <w:t xml:space="preserve"> </w:t>
      </w:r>
      <w:r w:rsidRPr="00283806">
        <w:rPr>
          <w:w w:val="105"/>
          <w:sz w:val="18"/>
        </w:rPr>
        <w:t>by</w:t>
      </w:r>
      <w:r w:rsidRPr="00283806">
        <w:rPr>
          <w:spacing w:val="13"/>
          <w:w w:val="105"/>
          <w:sz w:val="18"/>
        </w:rPr>
        <w:t xml:space="preserve"> </w:t>
      </w:r>
      <w:r w:rsidRPr="00283806">
        <w:rPr>
          <w:w w:val="105"/>
          <w:sz w:val="18"/>
        </w:rPr>
        <w:t>weight,</w:t>
      </w:r>
      <w:r w:rsidRPr="00283806">
        <w:rPr>
          <w:spacing w:val="12"/>
          <w:w w:val="105"/>
          <w:sz w:val="18"/>
        </w:rPr>
        <w:t xml:space="preserve"> </w:t>
      </w:r>
      <w:r w:rsidRPr="00283806">
        <w:rPr>
          <w:w w:val="105"/>
          <w:sz w:val="18"/>
        </w:rPr>
        <w:t>of</w:t>
      </w:r>
      <w:r w:rsidRPr="00283806">
        <w:rPr>
          <w:spacing w:val="13"/>
          <w:w w:val="105"/>
          <w:sz w:val="18"/>
        </w:rPr>
        <w:t xml:space="preserve"> </w:t>
      </w:r>
      <w:r w:rsidRPr="00283806">
        <w:rPr>
          <w:spacing w:val="-2"/>
          <w:w w:val="105"/>
          <w:sz w:val="18"/>
        </w:rPr>
        <w:t>virgin</w:t>
      </w:r>
    </w:p>
    <w:p w14:paraId="4736A14E" w14:textId="77777777" w:rsidR="00D67C1E" w:rsidRPr="00283806" w:rsidRDefault="001265CA">
      <w:pPr>
        <w:pStyle w:val="BodyText"/>
        <w:spacing w:line="225" w:lineRule="auto"/>
        <w:ind w:right="128"/>
      </w:pPr>
      <w:r w:rsidRPr="00283806">
        <w:rPr>
          <w:w w:val="105"/>
        </w:rPr>
        <w:t xml:space="preserve">HFC(s) in the batch used to fill the </w:t>
      </w:r>
      <w:r w:rsidRPr="00283806">
        <w:rPr>
          <w:spacing w:val="-2"/>
          <w:w w:val="105"/>
        </w:rPr>
        <w:t>container(s).</w:t>
      </w:r>
    </w:p>
    <w:p w14:paraId="15D6FF3C" w14:textId="77777777" w:rsidR="00D67C1E" w:rsidRPr="00283806" w:rsidRDefault="001265CA">
      <w:pPr>
        <w:pStyle w:val="BodyText"/>
        <w:spacing w:line="179" w:lineRule="exact"/>
        <w:ind w:left="340"/>
      </w:pPr>
      <w:r w:rsidRPr="00283806">
        <w:rPr>
          <w:w w:val="110"/>
        </w:rPr>
        <w:t>Consistent</w:t>
      </w:r>
      <w:r w:rsidRPr="00283806">
        <w:rPr>
          <w:spacing w:val="-7"/>
          <w:w w:val="110"/>
        </w:rPr>
        <w:t xml:space="preserve"> </w:t>
      </w:r>
      <w:r w:rsidRPr="00283806">
        <w:rPr>
          <w:w w:val="110"/>
        </w:rPr>
        <w:t>with</w:t>
      </w:r>
      <w:r w:rsidRPr="00283806">
        <w:rPr>
          <w:spacing w:val="-7"/>
          <w:w w:val="110"/>
        </w:rPr>
        <w:t xml:space="preserve"> </w:t>
      </w:r>
      <w:r w:rsidRPr="00283806">
        <w:rPr>
          <w:w w:val="110"/>
        </w:rPr>
        <w:t>the</w:t>
      </w:r>
      <w:r w:rsidRPr="00283806">
        <w:rPr>
          <w:spacing w:val="-6"/>
          <w:w w:val="110"/>
        </w:rPr>
        <w:t xml:space="preserve"> </w:t>
      </w:r>
      <w:r w:rsidRPr="00283806">
        <w:rPr>
          <w:w w:val="110"/>
        </w:rPr>
        <w:t>proposal,</w:t>
      </w:r>
      <w:r w:rsidRPr="00283806">
        <w:rPr>
          <w:spacing w:val="-7"/>
          <w:w w:val="110"/>
        </w:rPr>
        <w:t xml:space="preserve"> </w:t>
      </w:r>
      <w:r w:rsidRPr="00283806">
        <w:rPr>
          <w:w w:val="110"/>
        </w:rPr>
        <w:t>EPA</w:t>
      </w:r>
      <w:r w:rsidRPr="00283806">
        <w:rPr>
          <w:spacing w:val="-7"/>
          <w:w w:val="110"/>
        </w:rPr>
        <w:t xml:space="preserve"> </w:t>
      </w:r>
      <w:r w:rsidRPr="00283806">
        <w:rPr>
          <w:spacing w:val="-5"/>
          <w:w w:val="110"/>
        </w:rPr>
        <w:t>is</w:t>
      </w:r>
    </w:p>
    <w:p w14:paraId="740A68BA" w14:textId="77777777" w:rsidR="00D67C1E" w:rsidRPr="00283806" w:rsidRDefault="001265CA">
      <w:pPr>
        <w:pStyle w:val="BodyText"/>
        <w:spacing w:line="225" w:lineRule="auto"/>
        <w:ind w:right="71"/>
      </w:pPr>
      <w:r w:rsidRPr="00283806">
        <w:rPr>
          <w:w w:val="105"/>
        </w:rPr>
        <w:t>not requiring that each individual container or cylinder be rationed out to meet the allowable limit of 15 percent, by</w:t>
      </w:r>
      <w:r w:rsidRPr="00283806">
        <w:rPr>
          <w:spacing w:val="32"/>
          <w:w w:val="105"/>
        </w:rPr>
        <w:t xml:space="preserve"> </w:t>
      </w:r>
      <w:r w:rsidRPr="00283806">
        <w:rPr>
          <w:w w:val="105"/>
        </w:rPr>
        <w:t>weight,</w:t>
      </w:r>
      <w:r w:rsidRPr="00283806">
        <w:rPr>
          <w:spacing w:val="32"/>
          <w:w w:val="105"/>
        </w:rPr>
        <w:t xml:space="preserve"> </w:t>
      </w:r>
      <w:r w:rsidRPr="00283806">
        <w:rPr>
          <w:w w:val="105"/>
        </w:rPr>
        <w:t>of</w:t>
      </w:r>
      <w:r w:rsidRPr="00283806">
        <w:rPr>
          <w:spacing w:val="32"/>
          <w:w w:val="105"/>
        </w:rPr>
        <w:t xml:space="preserve"> </w:t>
      </w:r>
      <w:r w:rsidRPr="00283806">
        <w:rPr>
          <w:w w:val="105"/>
        </w:rPr>
        <w:t>virgin</w:t>
      </w:r>
      <w:r w:rsidRPr="00283806">
        <w:rPr>
          <w:spacing w:val="32"/>
          <w:w w:val="105"/>
        </w:rPr>
        <w:t xml:space="preserve"> </w:t>
      </w:r>
      <w:r w:rsidRPr="00283806">
        <w:rPr>
          <w:w w:val="105"/>
        </w:rPr>
        <w:t>HFCs.</w:t>
      </w:r>
      <w:r w:rsidRPr="00283806">
        <w:rPr>
          <w:spacing w:val="32"/>
          <w:w w:val="105"/>
        </w:rPr>
        <w:t xml:space="preserve"> </w:t>
      </w:r>
      <w:r w:rsidRPr="00283806">
        <w:rPr>
          <w:w w:val="105"/>
        </w:rPr>
        <w:t>Rather,</w:t>
      </w:r>
      <w:r w:rsidRPr="00283806">
        <w:rPr>
          <w:spacing w:val="32"/>
          <w:w w:val="105"/>
        </w:rPr>
        <w:t xml:space="preserve"> </w:t>
      </w:r>
      <w:r w:rsidRPr="00283806">
        <w:rPr>
          <w:w w:val="105"/>
        </w:rPr>
        <w:t>EPA is requiring, at the batch level, that the reclaimed HFCs not exceed 15 percent, by weight, of virgin HFCs. As discussed</w:t>
      </w:r>
      <w:r w:rsidRPr="00283806">
        <w:rPr>
          <w:spacing w:val="40"/>
          <w:w w:val="105"/>
        </w:rPr>
        <w:t xml:space="preserve"> </w:t>
      </w:r>
      <w:r w:rsidRPr="00283806">
        <w:rPr>
          <w:w w:val="105"/>
        </w:rPr>
        <w:t>in section IV.A.2, EPA proposed a definition of ‘‘virgin regulated substances’’ that would have included the heels removed from containers.</w:t>
      </w:r>
    </w:p>
    <w:p w14:paraId="4E608FCC" w14:textId="77777777" w:rsidR="00D67C1E" w:rsidRPr="00283806" w:rsidRDefault="001265CA">
      <w:pPr>
        <w:pStyle w:val="BodyText"/>
        <w:spacing w:line="225" w:lineRule="auto"/>
      </w:pPr>
      <w:r w:rsidRPr="00283806">
        <w:rPr>
          <w:w w:val="105"/>
        </w:rPr>
        <w:t>However, EPA is finalizing a</w:t>
      </w:r>
      <w:r w:rsidRPr="00283806">
        <w:rPr>
          <w:spacing w:val="80"/>
          <w:w w:val="150"/>
        </w:rPr>
        <w:t xml:space="preserve"> </w:t>
      </w:r>
      <w:r w:rsidRPr="00283806">
        <w:rPr>
          <w:w w:val="105"/>
        </w:rPr>
        <w:t>modification of that definition to mean ‘‘</w:t>
      </w:r>
      <w:r w:rsidRPr="00283806">
        <w:rPr>
          <w:rFonts w:ascii="Book Antiqua" w:hAnsi="Book Antiqua"/>
          <w:i/>
          <w:w w:val="105"/>
        </w:rPr>
        <w:t>any</w:t>
      </w:r>
      <w:r w:rsidRPr="00283806">
        <w:rPr>
          <w:rFonts w:ascii="Book Antiqua" w:hAnsi="Book Antiqua"/>
          <w:i/>
          <w:spacing w:val="40"/>
          <w:w w:val="105"/>
        </w:rPr>
        <w:t xml:space="preserve"> </w:t>
      </w:r>
      <w:r w:rsidRPr="00283806">
        <w:rPr>
          <w:rFonts w:ascii="Book Antiqua" w:hAnsi="Book Antiqua"/>
          <w:i/>
          <w:w w:val="105"/>
        </w:rPr>
        <w:t>regulated</w:t>
      </w:r>
      <w:r w:rsidRPr="00283806">
        <w:rPr>
          <w:rFonts w:ascii="Book Antiqua" w:hAnsi="Book Antiqua"/>
          <w:i/>
          <w:spacing w:val="40"/>
          <w:w w:val="105"/>
        </w:rPr>
        <w:t xml:space="preserve"> </w:t>
      </w:r>
      <w:r w:rsidRPr="00283806">
        <w:rPr>
          <w:rFonts w:ascii="Book Antiqua" w:hAnsi="Book Antiqua"/>
          <w:i/>
          <w:w w:val="105"/>
        </w:rPr>
        <w:t>substance</w:t>
      </w:r>
      <w:r w:rsidRPr="00283806">
        <w:rPr>
          <w:rFonts w:ascii="Book Antiqua" w:hAnsi="Book Antiqua"/>
          <w:i/>
          <w:spacing w:val="40"/>
          <w:w w:val="105"/>
        </w:rPr>
        <w:t xml:space="preserve"> </w:t>
      </w:r>
      <w:r w:rsidRPr="00283806">
        <w:rPr>
          <w:rFonts w:ascii="Book Antiqua" w:hAnsi="Book Antiqua"/>
          <w:i/>
          <w:w w:val="105"/>
        </w:rPr>
        <w:t>that</w:t>
      </w:r>
      <w:r w:rsidRPr="00283806">
        <w:rPr>
          <w:rFonts w:ascii="Book Antiqua" w:hAnsi="Book Antiqua"/>
          <w:i/>
          <w:spacing w:val="40"/>
          <w:w w:val="105"/>
        </w:rPr>
        <w:t xml:space="preserve"> </w:t>
      </w:r>
      <w:r w:rsidRPr="00283806">
        <w:rPr>
          <w:rFonts w:ascii="Book Antiqua" w:hAnsi="Book Antiqua"/>
          <w:i/>
          <w:w w:val="105"/>
        </w:rPr>
        <w:t>has</w:t>
      </w:r>
      <w:r w:rsidRPr="00283806">
        <w:rPr>
          <w:rFonts w:ascii="Book Antiqua" w:hAnsi="Book Antiqua"/>
          <w:i/>
          <w:spacing w:val="40"/>
          <w:w w:val="105"/>
        </w:rPr>
        <w:t xml:space="preserve"> </w:t>
      </w:r>
      <w:r w:rsidRPr="00283806">
        <w:rPr>
          <w:rFonts w:ascii="Book Antiqua" w:hAnsi="Book Antiqua"/>
          <w:i/>
          <w:w w:val="105"/>
        </w:rPr>
        <w:t>not</w:t>
      </w:r>
      <w:r w:rsidRPr="00283806">
        <w:rPr>
          <w:rFonts w:ascii="Book Antiqua" w:hAnsi="Book Antiqua"/>
          <w:i/>
          <w:spacing w:val="40"/>
          <w:w w:val="105"/>
        </w:rPr>
        <w:t xml:space="preserve"> </w:t>
      </w:r>
      <w:r w:rsidRPr="00283806">
        <w:rPr>
          <w:rFonts w:ascii="Book Antiqua" w:hAnsi="Book Antiqua"/>
          <w:i/>
          <w:w w:val="105"/>
        </w:rPr>
        <w:t>had</w:t>
      </w:r>
      <w:r w:rsidRPr="00283806">
        <w:rPr>
          <w:rFonts w:ascii="Book Antiqua" w:hAnsi="Book Antiqua"/>
          <w:i/>
          <w:spacing w:val="40"/>
          <w:w w:val="105"/>
        </w:rPr>
        <w:t xml:space="preserve"> </w:t>
      </w:r>
      <w:r w:rsidRPr="00283806">
        <w:rPr>
          <w:rFonts w:ascii="Book Antiqua" w:hAnsi="Book Antiqua"/>
          <w:i/>
          <w:w w:val="105"/>
        </w:rPr>
        <w:t>any</w:t>
      </w:r>
      <w:r w:rsidRPr="00283806">
        <w:rPr>
          <w:rFonts w:ascii="Book Antiqua" w:hAnsi="Book Antiqua"/>
          <w:i/>
          <w:spacing w:val="40"/>
          <w:w w:val="105"/>
        </w:rPr>
        <w:t xml:space="preserve"> </w:t>
      </w:r>
      <w:r w:rsidRPr="00283806">
        <w:rPr>
          <w:rFonts w:ascii="Book Antiqua" w:hAnsi="Book Antiqua"/>
          <w:i/>
          <w:w w:val="105"/>
        </w:rPr>
        <w:t>bona</w:t>
      </w:r>
      <w:r w:rsidRPr="00283806">
        <w:rPr>
          <w:rFonts w:ascii="Book Antiqua" w:hAnsi="Book Antiqua"/>
          <w:i/>
          <w:spacing w:val="40"/>
          <w:w w:val="105"/>
        </w:rPr>
        <w:t xml:space="preserve"> </w:t>
      </w:r>
      <w:r w:rsidRPr="00283806">
        <w:rPr>
          <w:rFonts w:ascii="Book Antiqua" w:hAnsi="Book Antiqua"/>
          <w:i/>
          <w:w w:val="105"/>
        </w:rPr>
        <w:t>fide</w:t>
      </w:r>
      <w:r w:rsidRPr="00283806">
        <w:rPr>
          <w:rFonts w:ascii="Book Antiqua" w:hAnsi="Book Antiqua"/>
          <w:i/>
          <w:spacing w:val="40"/>
          <w:w w:val="105"/>
        </w:rPr>
        <w:t xml:space="preserve"> </w:t>
      </w:r>
      <w:r w:rsidRPr="00283806">
        <w:rPr>
          <w:rFonts w:ascii="Book Antiqua" w:hAnsi="Book Antiqua"/>
          <w:i/>
          <w:w w:val="105"/>
        </w:rPr>
        <w:t>use</w:t>
      </w:r>
      <w:r w:rsidRPr="00283806">
        <w:rPr>
          <w:rFonts w:ascii="Book Antiqua" w:hAnsi="Book Antiqua"/>
          <w:i/>
          <w:spacing w:val="40"/>
          <w:w w:val="105"/>
        </w:rPr>
        <w:t xml:space="preserve"> </w:t>
      </w:r>
      <w:r w:rsidRPr="00283806">
        <w:rPr>
          <w:rFonts w:ascii="Book Antiqua" w:hAnsi="Book Antiqua"/>
          <w:i/>
          <w:w w:val="105"/>
        </w:rPr>
        <w:t>in</w:t>
      </w:r>
      <w:r w:rsidRPr="00283806">
        <w:rPr>
          <w:rFonts w:ascii="Book Antiqua" w:hAnsi="Book Antiqua"/>
          <w:i/>
          <w:spacing w:val="40"/>
          <w:w w:val="105"/>
        </w:rPr>
        <w:t xml:space="preserve"> </w:t>
      </w:r>
      <w:r w:rsidRPr="00283806">
        <w:rPr>
          <w:rFonts w:ascii="Book Antiqua" w:hAnsi="Book Antiqua"/>
          <w:i/>
          <w:w w:val="105"/>
        </w:rPr>
        <w:t>equipment</w:t>
      </w:r>
      <w:r w:rsidRPr="00283806">
        <w:rPr>
          <w:w w:val="105"/>
        </w:rPr>
        <w:t>’’</w:t>
      </w:r>
      <w:r w:rsidRPr="00283806">
        <w:rPr>
          <w:spacing w:val="80"/>
          <w:w w:val="105"/>
        </w:rPr>
        <w:t xml:space="preserve"> </w:t>
      </w:r>
      <w:r w:rsidRPr="00283806">
        <w:rPr>
          <w:w w:val="105"/>
        </w:rPr>
        <w:t>but omitting the portion of the proposed definition that would have included</w:t>
      </w:r>
      <w:r w:rsidRPr="00283806">
        <w:rPr>
          <w:spacing w:val="40"/>
          <w:w w:val="105"/>
        </w:rPr>
        <w:t xml:space="preserve"> </w:t>
      </w:r>
      <w:r w:rsidRPr="00283806">
        <w:rPr>
          <w:w w:val="105"/>
        </w:rPr>
        <w:t>heels. As a part of implementing this provision, EPA is also establishing that HFCs that are removed from the heels of containers do not contribute towards the limit of 15 percent, by weight, of virgin HFCs. EPA recognizes the value in the removed heels and, while the heels may be regulated substances that have not</w:t>
      </w:r>
      <w:r w:rsidRPr="00283806">
        <w:rPr>
          <w:spacing w:val="40"/>
          <w:w w:val="105"/>
        </w:rPr>
        <w:t xml:space="preserve"> </w:t>
      </w:r>
      <w:r w:rsidRPr="00283806">
        <w:rPr>
          <w:w w:val="105"/>
        </w:rPr>
        <w:t>had bona fide use in refrigerant- containing equipment, EPA understands from comments on the proposed rule</w:t>
      </w:r>
      <w:r w:rsidRPr="00283806">
        <w:rPr>
          <w:spacing w:val="40"/>
          <w:w w:val="105"/>
        </w:rPr>
        <w:t xml:space="preserve"> </w:t>
      </w:r>
      <w:r w:rsidRPr="00283806">
        <w:rPr>
          <w:w w:val="105"/>
        </w:rPr>
        <w:t>that some reclaimers may still reprocess removed heels to ensure the material</w:t>
      </w:r>
      <w:r w:rsidRPr="00283806">
        <w:rPr>
          <w:spacing w:val="80"/>
          <w:w w:val="105"/>
        </w:rPr>
        <w:t xml:space="preserve"> </w:t>
      </w:r>
      <w:r w:rsidRPr="00283806">
        <w:rPr>
          <w:w w:val="105"/>
        </w:rPr>
        <w:t>will meet the applicable purity</w:t>
      </w:r>
      <w:r w:rsidRPr="00283806">
        <w:rPr>
          <w:spacing w:val="80"/>
          <w:w w:val="105"/>
        </w:rPr>
        <w:t xml:space="preserve"> </w:t>
      </w:r>
      <w:r w:rsidRPr="00283806">
        <w:rPr>
          <w:w w:val="105"/>
        </w:rPr>
        <w:t xml:space="preserve">standards. EPA understands that, in the distribution chain, heels may be recovered into a common recovery cylinder along with refrigerant that has been recovered after a bona fide use in </w:t>
      </w:r>
      <w:r w:rsidRPr="00283806">
        <w:rPr>
          <w:spacing w:val="-2"/>
          <w:w w:val="105"/>
        </w:rPr>
        <w:t>equipment.</w:t>
      </w:r>
    </w:p>
    <w:p w14:paraId="6979520F" w14:textId="77777777" w:rsidR="00D67C1E" w:rsidRPr="00283806" w:rsidRDefault="001265CA">
      <w:pPr>
        <w:pStyle w:val="BodyText"/>
        <w:spacing w:line="162" w:lineRule="exact"/>
        <w:ind w:left="340"/>
      </w:pPr>
      <w:r w:rsidRPr="00283806">
        <w:rPr>
          <w:w w:val="110"/>
        </w:rPr>
        <w:t>EPA is</w:t>
      </w:r>
      <w:r w:rsidRPr="00283806">
        <w:rPr>
          <w:spacing w:val="1"/>
          <w:w w:val="110"/>
        </w:rPr>
        <w:t xml:space="preserve"> </w:t>
      </w:r>
      <w:r w:rsidRPr="00283806">
        <w:rPr>
          <w:w w:val="110"/>
        </w:rPr>
        <w:t>finalizing</w:t>
      </w:r>
      <w:r w:rsidRPr="00283806">
        <w:rPr>
          <w:spacing w:val="1"/>
          <w:w w:val="110"/>
        </w:rPr>
        <w:t xml:space="preserve"> </w:t>
      </w:r>
      <w:r w:rsidRPr="00283806">
        <w:rPr>
          <w:w w:val="110"/>
        </w:rPr>
        <w:t>these</w:t>
      </w:r>
      <w:r w:rsidRPr="00283806">
        <w:rPr>
          <w:spacing w:val="1"/>
          <w:w w:val="110"/>
        </w:rPr>
        <w:t xml:space="preserve"> </w:t>
      </w:r>
      <w:r w:rsidRPr="00283806">
        <w:rPr>
          <w:spacing w:val="-2"/>
          <w:w w:val="110"/>
        </w:rPr>
        <w:t>requirements</w:t>
      </w:r>
    </w:p>
    <w:p w14:paraId="6E4DF831" w14:textId="77777777" w:rsidR="00D67C1E" w:rsidRPr="00283806" w:rsidRDefault="001265CA">
      <w:pPr>
        <w:pStyle w:val="BodyText"/>
        <w:spacing w:line="228" w:lineRule="auto"/>
        <w:ind w:right="9"/>
      </w:pPr>
      <w:r w:rsidRPr="00283806">
        <w:rPr>
          <w:w w:val="105"/>
        </w:rPr>
        <w:t>to implement the statutory requirement in subsection (h)(2)(B) of the AIM Act, which provides that any regulated substance used as a refrigerant that is recovered shall be reclaimed before</w:t>
      </w:r>
      <w:r w:rsidRPr="00283806">
        <w:rPr>
          <w:spacing w:val="40"/>
          <w:w w:val="105"/>
        </w:rPr>
        <w:t xml:space="preserve"> </w:t>
      </w:r>
      <w:r w:rsidRPr="00283806">
        <w:rPr>
          <w:w w:val="105"/>
        </w:rPr>
        <w:t>being sold or transferred to a new</w:t>
      </w:r>
      <w:r w:rsidRPr="00283806">
        <w:rPr>
          <w:spacing w:val="80"/>
          <w:w w:val="105"/>
        </w:rPr>
        <w:t xml:space="preserve"> </w:t>
      </w:r>
      <w:r w:rsidRPr="00283806">
        <w:rPr>
          <w:w w:val="105"/>
        </w:rPr>
        <w:t>owner, except where the recovered regulated substance is sold or</w:t>
      </w:r>
      <w:r w:rsidRPr="00283806">
        <w:rPr>
          <w:spacing w:val="40"/>
          <w:w w:val="105"/>
        </w:rPr>
        <w:t xml:space="preserve"> </w:t>
      </w:r>
      <w:r w:rsidRPr="00283806">
        <w:rPr>
          <w:w w:val="105"/>
        </w:rPr>
        <w:t>transferred to a new owner solely for the purposes of being reclaimed or destroyed. This will be particularly relevant to the refrigerant-containing equipment</w:t>
      </w:r>
      <w:r w:rsidRPr="00283806">
        <w:rPr>
          <w:spacing w:val="40"/>
          <w:w w:val="105"/>
        </w:rPr>
        <w:t xml:space="preserve"> </w:t>
      </w:r>
      <w:r w:rsidRPr="00283806">
        <w:rPr>
          <w:w w:val="105"/>
        </w:rPr>
        <w:t>for</w:t>
      </w:r>
      <w:r w:rsidRPr="00283806">
        <w:rPr>
          <w:spacing w:val="40"/>
          <w:w w:val="105"/>
        </w:rPr>
        <w:t xml:space="preserve"> </w:t>
      </w:r>
      <w:r w:rsidRPr="00283806">
        <w:rPr>
          <w:w w:val="105"/>
        </w:rPr>
        <w:t>which</w:t>
      </w:r>
      <w:r w:rsidRPr="00283806">
        <w:rPr>
          <w:spacing w:val="40"/>
          <w:w w:val="105"/>
        </w:rPr>
        <w:t xml:space="preserve"> </w:t>
      </w:r>
      <w:r w:rsidRPr="00283806">
        <w:rPr>
          <w:w w:val="105"/>
        </w:rPr>
        <w:t>EPA</w:t>
      </w:r>
      <w:r w:rsidRPr="00283806">
        <w:rPr>
          <w:spacing w:val="40"/>
          <w:w w:val="105"/>
        </w:rPr>
        <w:t xml:space="preserve"> </w:t>
      </w:r>
      <w:proofErr w:type="gramStart"/>
      <w:r w:rsidRPr="00283806">
        <w:rPr>
          <w:w w:val="105"/>
        </w:rPr>
        <w:t>is establishing</w:t>
      </w:r>
      <w:proofErr w:type="gramEnd"/>
      <w:r w:rsidRPr="00283806">
        <w:rPr>
          <w:w w:val="105"/>
        </w:rPr>
        <w:t xml:space="preserve"> </w:t>
      </w:r>
      <w:proofErr w:type="gramStart"/>
      <w:r w:rsidRPr="00283806">
        <w:rPr>
          <w:w w:val="105"/>
        </w:rPr>
        <w:t>requirements</w:t>
      </w:r>
      <w:proofErr w:type="gramEnd"/>
      <w:r w:rsidRPr="00283806">
        <w:rPr>
          <w:w w:val="105"/>
        </w:rPr>
        <w:t xml:space="preserve"> the servicing and/or repair </w:t>
      </w:r>
      <w:proofErr w:type="gramStart"/>
      <w:r w:rsidRPr="00283806">
        <w:rPr>
          <w:w w:val="105"/>
        </w:rPr>
        <w:t>be</w:t>
      </w:r>
      <w:proofErr w:type="gramEnd"/>
      <w:r w:rsidRPr="00283806">
        <w:rPr>
          <w:w w:val="105"/>
        </w:rPr>
        <w:t xml:space="preserve"> done with reclaimed HFCs, as described in section IV.E.2.</w:t>
      </w:r>
    </w:p>
    <w:p w14:paraId="40375B79" w14:textId="77777777" w:rsidR="00D67C1E" w:rsidRPr="00283806" w:rsidRDefault="001265CA">
      <w:pPr>
        <w:pStyle w:val="BodyText"/>
        <w:spacing w:line="228" w:lineRule="auto"/>
        <w:ind w:right="128"/>
      </w:pPr>
      <w:r w:rsidRPr="00283806">
        <w:rPr>
          <w:w w:val="105"/>
        </w:rPr>
        <w:t>These provisions are also intended to support the implementation of the</w:t>
      </w:r>
    </w:p>
    <w:p w14:paraId="26BD0B8C" w14:textId="77777777" w:rsidR="00D67C1E" w:rsidRPr="00283806" w:rsidRDefault="001265CA">
      <w:pPr>
        <w:pStyle w:val="BodyText"/>
        <w:spacing w:before="135" w:line="225" w:lineRule="auto"/>
        <w:ind w:left="144"/>
      </w:pPr>
      <w:r w:rsidRPr="00283806">
        <w:br w:type="column"/>
      </w:r>
      <w:r w:rsidRPr="00283806">
        <w:rPr>
          <w:w w:val="105"/>
        </w:rPr>
        <w:t>statutory provision for stationary refrigerant-containing equipment in the context of other requirements</w:t>
      </w:r>
      <w:r w:rsidRPr="00283806">
        <w:rPr>
          <w:spacing w:val="40"/>
          <w:w w:val="105"/>
        </w:rPr>
        <w:t xml:space="preserve"> </w:t>
      </w:r>
      <w:r w:rsidRPr="00283806">
        <w:rPr>
          <w:w w:val="105"/>
        </w:rPr>
        <w:t>established</w:t>
      </w:r>
      <w:r w:rsidRPr="00283806">
        <w:rPr>
          <w:spacing w:val="40"/>
          <w:w w:val="105"/>
        </w:rPr>
        <w:t xml:space="preserve"> </w:t>
      </w:r>
      <w:r w:rsidRPr="00283806">
        <w:rPr>
          <w:w w:val="105"/>
        </w:rPr>
        <w:t>in</w:t>
      </w:r>
      <w:r w:rsidRPr="00283806">
        <w:rPr>
          <w:spacing w:val="40"/>
          <w:w w:val="105"/>
        </w:rPr>
        <w:t xml:space="preserve"> </w:t>
      </w:r>
      <w:r w:rsidRPr="00283806">
        <w:rPr>
          <w:w w:val="105"/>
        </w:rPr>
        <w:t>this</w:t>
      </w:r>
      <w:r w:rsidRPr="00283806">
        <w:rPr>
          <w:spacing w:val="40"/>
          <w:w w:val="105"/>
        </w:rPr>
        <w:t xml:space="preserve"> </w:t>
      </w:r>
      <w:r w:rsidRPr="00283806">
        <w:rPr>
          <w:w w:val="105"/>
        </w:rPr>
        <w:t>rulemaking,</w:t>
      </w:r>
      <w:r w:rsidRPr="00283806">
        <w:rPr>
          <w:spacing w:val="40"/>
          <w:w w:val="105"/>
        </w:rPr>
        <w:t xml:space="preserve"> </w:t>
      </w:r>
      <w:r w:rsidRPr="00283806">
        <w:rPr>
          <w:w w:val="105"/>
        </w:rPr>
        <w:t>including by outlining more specific requirements for the reclamation that would need to occur before sale or any</w:t>
      </w:r>
      <w:r w:rsidRPr="00283806">
        <w:rPr>
          <w:spacing w:val="80"/>
          <w:w w:val="105"/>
        </w:rPr>
        <w:t xml:space="preserve"> </w:t>
      </w:r>
      <w:r w:rsidRPr="00283806">
        <w:rPr>
          <w:w w:val="105"/>
        </w:rPr>
        <w:t>of the other listed activities for such regulated substances, as well as incorporating the statutory exception for situations where such recovered regulated substances are sold or transferred solely for the purposes of being reclaimed or destroyed. EPA further discusses its approach for recovered regulated substances used as refrigerants in MVAC equipment in section IV.I.</w:t>
      </w:r>
    </w:p>
    <w:p w14:paraId="3D70C47D" w14:textId="77777777" w:rsidR="00D67C1E" w:rsidRPr="00283806" w:rsidRDefault="001265CA">
      <w:pPr>
        <w:pStyle w:val="BodyText"/>
        <w:spacing w:line="174" w:lineRule="exact"/>
        <w:ind w:left="324"/>
      </w:pPr>
      <w:r w:rsidRPr="00283806">
        <w:rPr>
          <w:w w:val="110"/>
        </w:rPr>
        <w:t>EPA</w:t>
      </w:r>
      <w:r w:rsidRPr="00283806">
        <w:rPr>
          <w:spacing w:val="-5"/>
          <w:w w:val="110"/>
        </w:rPr>
        <w:t xml:space="preserve"> </w:t>
      </w:r>
      <w:r w:rsidRPr="00283806">
        <w:rPr>
          <w:w w:val="110"/>
        </w:rPr>
        <w:t>is</w:t>
      </w:r>
      <w:r w:rsidRPr="00283806">
        <w:rPr>
          <w:spacing w:val="-5"/>
          <w:w w:val="110"/>
        </w:rPr>
        <w:t xml:space="preserve"> </w:t>
      </w:r>
      <w:r w:rsidRPr="00283806">
        <w:rPr>
          <w:w w:val="110"/>
        </w:rPr>
        <w:t>finalizing</w:t>
      </w:r>
      <w:r w:rsidRPr="00283806">
        <w:rPr>
          <w:spacing w:val="-4"/>
          <w:w w:val="110"/>
        </w:rPr>
        <w:t xml:space="preserve"> </w:t>
      </w:r>
      <w:r w:rsidRPr="00283806">
        <w:rPr>
          <w:w w:val="110"/>
        </w:rPr>
        <w:t>a</w:t>
      </w:r>
      <w:r w:rsidRPr="00283806">
        <w:rPr>
          <w:spacing w:val="-5"/>
          <w:w w:val="110"/>
        </w:rPr>
        <w:t xml:space="preserve"> </w:t>
      </w:r>
      <w:r w:rsidRPr="00283806">
        <w:rPr>
          <w:w w:val="110"/>
        </w:rPr>
        <w:t>standard</w:t>
      </w:r>
      <w:r w:rsidRPr="00283806">
        <w:rPr>
          <w:spacing w:val="-5"/>
          <w:w w:val="110"/>
        </w:rPr>
        <w:t xml:space="preserve"> </w:t>
      </w:r>
      <w:r w:rsidRPr="00283806">
        <w:rPr>
          <w:w w:val="110"/>
        </w:rPr>
        <w:t>for</w:t>
      </w:r>
      <w:r w:rsidRPr="00283806">
        <w:rPr>
          <w:spacing w:val="-4"/>
          <w:w w:val="110"/>
        </w:rPr>
        <w:t xml:space="preserve"> </w:t>
      </w:r>
      <w:r w:rsidRPr="00283806">
        <w:rPr>
          <w:spacing w:val="-5"/>
          <w:w w:val="110"/>
        </w:rPr>
        <w:t>the</w:t>
      </w:r>
    </w:p>
    <w:p w14:paraId="2A2EC5F4" w14:textId="77777777" w:rsidR="00D67C1E" w:rsidRPr="00283806" w:rsidRDefault="001265CA">
      <w:pPr>
        <w:pStyle w:val="BodyText"/>
        <w:spacing w:before="4" w:line="225" w:lineRule="auto"/>
        <w:ind w:left="144" w:right="1"/>
      </w:pPr>
      <w:r w:rsidRPr="00283806">
        <w:rPr>
          <w:w w:val="105"/>
        </w:rPr>
        <w:t>amount of virgin HFC refrigerant that</w:t>
      </w:r>
      <w:r w:rsidRPr="00283806">
        <w:rPr>
          <w:spacing w:val="80"/>
          <w:w w:val="105"/>
        </w:rPr>
        <w:t xml:space="preserve"> </w:t>
      </w:r>
      <w:r w:rsidRPr="00283806">
        <w:rPr>
          <w:w w:val="105"/>
        </w:rPr>
        <w:t>can be included in any reclaimed refrigerant containing HFCs to support consistent implementation of the requirements for the servicing and/or repair of certain equipment with reclaimed HFCs in addition to establishing consistency on the amount</w:t>
      </w:r>
      <w:r w:rsidRPr="00283806">
        <w:rPr>
          <w:spacing w:val="40"/>
          <w:w w:val="105"/>
        </w:rPr>
        <w:t xml:space="preserve"> </w:t>
      </w:r>
      <w:r w:rsidRPr="00283806">
        <w:rPr>
          <w:w w:val="105"/>
        </w:rPr>
        <w:t>of virgin HFCs in reclaimed refrigerant when that refrigerant is sold, identified, or reported as reclaimed for use in the installation, servicing, and/or repair of refrigerant-containing equipment. These requirements are being established as part of implementing subsection (h)(1)</w:t>
      </w:r>
      <w:r w:rsidRPr="00283806">
        <w:rPr>
          <w:spacing w:val="40"/>
          <w:w w:val="105"/>
        </w:rPr>
        <w:t xml:space="preserve"> </w:t>
      </w:r>
      <w:r w:rsidRPr="00283806">
        <w:rPr>
          <w:w w:val="105"/>
        </w:rPr>
        <w:t>of the AIM Act, as these provisions control practices, processes, or activities regarding the installation, servicing, or repair of equipment and involve a regulated substance or the reclaiming of</w:t>
      </w:r>
      <w:r w:rsidRPr="00283806">
        <w:rPr>
          <w:spacing w:val="40"/>
          <w:w w:val="105"/>
        </w:rPr>
        <w:t xml:space="preserve"> </w:t>
      </w:r>
      <w:r w:rsidRPr="00283806">
        <w:rPr>
          <w:w w:val="105"/>
        </w:rPr>
        <w:t xml:space="preserve">a regulated substance used as a refrigerant. As the HFC phasedown progresses, the overall quantity of virgin HFCs available, including </w:t>
      </w:r>
      <w:proofErr w:type="gramStart"/>
      <w:r w:rsidRPr="00283806">
        <w:rPr>
          <w:w w:val="105"/>
        </w:rPr>
        <w:t>to facilitate</w:t>
      </w:r>
      <w:proofErr w:type="gramEnd"/>
      <w:r w:rsidRPr="00283806">
        <w:rPr>
          <w:w w:val="105"/>
        </w:rPr>
        <w:t xml:space="preserve"> reclamation through blending or rebalancing, will decrease. In addition, the Agency considers that limiting the extent to which the purity standard for reclamation is achieved through combining with virgin refrigerant (besides what the Agency understands</w:t>
      </w:r>
      <w:r w:rsidRPr="00283806">
        <w:rPr>
          <w:spacing w:val="80"/>
          <w:w w:val="105"/>
        </w:rPr>
        <w:t xml:space="preserve"> </w:t>
      </w:r>
      <w:r w:rsidRPr="00283806">
        <w:rPr>
          <w:w w:val="105"/>
        </w:rPr>
        <w:t xml:space="preserve">to be the necessary rebalancing, particularly of certain blends) in this rulemaking supports the purpose of maximizing </w:t>
      </w:r>
      <w:proofErr w:type="gramStart"/>
      <w:r w:rsidRPr="00283806">
        <w:rPr>
          <w:w w:val="105"/>
        </w:rPr>
        <w:t>reclamation, and</w:t>
      </w:r>
      <w:proofErr w:type="gramEnd"/>
      <w:r w:rsidRPr="00283806">
        <w:rPr>
          <w:spacing w:val="80"/>
          <w:w w:val="105"/>
        </w:rPr>
        <w:t xml:space="preserve"> </w:t>
      </w:r>
      <w:r w:rsidRPr="00283806">
        <w:rPr>
          <w:w w:val="105"/>
        </w:rPr>
        <w:t>additionally bolsters the available</w:t>
      </w:r>
      <w:r w:rsidRPr="00283806">
        <w:rPr>
          <w:spacing w:val="80"/>
          <w:w w:val="105"/>
        </w:rPr>
        <w:t xml:space="preserve"> </w:t>
      </w:r>
      <w:r w:rsidRPr="00283806">
        <w:rPr>
          <w:w w:val="105"/>
        </w:rPr>
        <w:t>supply of reclaimed HFCs in the market.</w:t>
      </w:r>
    </w:p>
    <w:p w14:paraId="5F6CF39C" w14:textId="77777777" w:rsidR="00D67C1E" w:rsidRPr="00283806" w:rsidRDefault="001265CA">
      <w:pPr>
        <w:spacing w:line="172" w:lineRule="exact"/>
        <w:ind w:left="324"/>
        <w:rPr>
          <w:sz w:val="18"/>
        </w:rPr>
      </w:pPr>
      <w:r w:rsidRPr="00283806">
        <w:rPr>
          <w:rFonts w:ascii="Book Antiqua"/>
          <w:i/>
          <w:w w:val="105"/>
          <w:sz w:val="18"/>
        </w:rPr>
        <w:t>Comment:</w:t>
      </w:r>
      <w:r w:rsidRPr="00283806">
        <w:rPr>
          <w:rFonts w:ascii="Book Antiqua"/>
          <w:i/>
          <w:spacing w:val="33"/>
          <w:w w:val="105"/>
          <w:sz w:val="18"/>
        </w:rPr>
        <w:t xml:space="preserve"> </w:t>
      </w:r>
      <w:r w:rsidRPr="00283806">
        <w:rPr>
          <w:w w:val="105"/>
          <w:sz w:val="18"/>
        </w:rPr>
        <w:t>Several</w:t>
      </w:r>
      <w:r w:rsidRPr="00283806">
        <w:rPr>
          <w:spacing w:val="39"/>
          <w:w w:val="105"/>
          <w:sz w:val="18"/>
        </w:rPr>
        <w:t xml:space="preserve"> </w:t>
      </w:r>
      <w:r w:rsidRPr="00283806">
        <w:rPr>
          <w:spacing w:val="-2"/>
          <w:w w:val="105"/>
          <w:sz w:val="18"/>
        </w:rPr>
        <w:t>commenters</w:t>
      </w:r>
    </w:p>
    <w:p w14:paraId="71CA9CEF" w14:textId="77777777" w:rsidR="00D67C1E" w:rsidRPr="00283806" w:rsidRDefault="001265CA">
      <w:pPr>
        <w:pStyle w:val="BodyText"/>
        <w:spacing w:line="225" w:lineRule="auto"/>
        <w:ind w:left="144" w:right="40"/>
      </w:pPr>
      <w:r w:rsidRPr="00283806">
        <w:rPr>
          <w:w w:val="105"/>
        </w:rPr>
        <w:t>supported the 15 percent limit, by weight, on virgin refrigerant in</w:t>
      </w:r>
      <w:r w:rsidRPr="00283806">
        <w:rPr>
          <w:spacing w:val="80"/>
          <w:w w:val="105"/>
        </w:rPr>
        <w:t xml:space="preserve"> </w:t>
      </w:r>
      <w:r w:rsidRPr="00283806">
        <w:rPr>
          <w:w w:val="105"/>
        </w:rPr>
        <w:t>reclaimed material. One commenter deferred to EPA regarding the amount of virgin material necessary to meet purity standards. Another commenter stated that it would be counterproductive to allow the use of more than 15 percent</w:t>
      </w:r>
    </w:p>
    <w:p w14:paraId="04F360EF" w14:textId="77777777" w:rsidR="00D67C1E" w:rsidRPr="00283806" w:rsidRDefault="001265CA">
      <w:pPr>
        <w:pStyle w:val="BodyText"/>
        <w:spacing w:line="225" w:lineRule="auto"/>
        <w:ind w:left="144" w:right="38"/>
      </w:pPr>
      <w:r w:rsidRPr="00283806">
        <w:rPr>
          <w:w w:val="105"/>
        </w:rPr>
        <w:t>of virgin material given the proposed rule’s rationale to boost the U.S. reclamation industry. Another commenter</w:t>
      </w:r>
      <w:r w:rsidRPr="00283806">
        <w:rPr>
          <w:spacing w:val="-5"/>
          <w:w w:val="105"/>
        </w:rPr>
        <w:t xml:space="preserve"> </w:t>
      </w:r>
      <w:r w:rsidRPr="00283806">
        <w:rPr>
          <w:w w:val="105"/>
        </w:rPr>
        <w:t>stated</w:t>
      </w:r>
      <w:r w:rsidRPr="00283806">
        <w:rPr>
          <w:spacing w:val="-5"/>
          <w:w w:val="105"/>
        </w:rPr>
        <w:t xml:space="preserve"> </w:t>
      </w:r>
      <w:r w:rsidRPr="00283806">
        <w:rPr>
          <w:w w:val="105"/>
        </w:rPr>
        <w:t>that</w:t>
      </w:r>
      <w:r w:rsidRPr="00283806">
        <w:rPr>
          <w:spacing w:val="-5"/>
          <w:w w:val="105"/>
        </w:rPr>
        <w:t xml:space="preserve"> </w:t>
      </w:r>
      <w:proofErr w:type="gramStart"/>
      <w:r w:rsidRPr="00283806">
        <w:rPr>
          <w:w w:val="105"/>
        </w:rPr>
        <w:t>the</w:t>
      </w:r>
      <w:r w:rsidRPr="00283806">
        <w:rPr>
          <w:spacing w:val="-5"/>
          <w:w w:val="105"/>
        </w:rPr>
        <w:t xml:space="preserve"> </w:t>
      </w:r>
      <w:r w:rsidRPr="00283806">
        <w:rPr>
          <w:w w:val="105"/>
        </w:rPr>
        <w:t>15</w:t>
      </w:r>
      <w:proofErr w:type="gramEnd"/>
      <w:r w:rsidRPr="00283806">
        <w:rPr>
          <w:spacing w:val="-5"/>
          <w:w w:val="105"/>
        </w:rPr>
        <w:t xml:space="preserve"> </w:t>
      </w:r>
      <w:r w:rsidRPr="00283806">
        <w:rPr>
          <w:w w:val="105"/>
        </w:rPr>
        <w:t>percent</w:t>
      </w:r>
    </w:p>
    <w:p w14:paraId="07DA57B7" w14:textId="77777777" w:rsidR="00D67C1E" w:rsidRPr="00283806" w:rsidRDefault="001265CA">
      <w:pPr>
        <w:pStyle w:val="BodyText"/>
        <w:spacing w:before="133" w:line="228" w:lineRule="auto"/>
        <w:ind w:left="153" w:right="191"/>
      </w:pPr>
      <w:r w:rsidRPr="00283806">
        <w:br w:type="column"/>
      </w:r>
      <w:r w:rsidRPr="00283806">
        <w:rPr>
          <w:w w:val="105"/>
        </w:rPr>
        <w:t xml:space="preserve">threshold allows sufficient flexibility to reclaim refrigerants and further stated that higher virgin-to-reclaimed content ratios could constitute ‘‘greenwashing’’ thereby deceiving consumers on the environmental benefit of using a reclaimed refrigerant. One commenter, although generally supportive of the 15 percent virgin content limit, questioned whether the 15 percent limit applied to single-component refrigerants where blending is not necessary. Likewise, another commenter expressed support for the proposed limit of no more than 15 percent newly produced HFCs in multi-component refrigerant blends to qualify as a reclaimed </w:t>
      </w:r>
      <w:proofErr w:type="gramStart"/>
      <w:r w:rsidRPr="00283806">
        <w:rPr>
          <w:w w:val="105"/>
        </w:rPr>
        <w:t>blend, but</w:t>
      </w:r>
      <w:proofErr w:type="gramEnd"/>
      <w:r w:rsidRPr="00283806">
        <w:rPr>
          <w:w w:val="105"/>
        </w:rPr>
        <w:t xml:space="preserve"> also recommended that EPA require single component refrigerants to use 100 percent reclaimed material. One commenter supported the proposed 15 percent virgin HFC limit, claiming it is reasonable and ‘‘ensures the continued existence of smaller reclaimers who must sometimes bulk up reclaimed</w:t>
      </w:r>
      <w:r w:rsidRPr="00283806">
        <w:rPr>
          <w:spacing w:val="40"/>
          <w:w w:val="105"/>
        </w:rPr>
        <w:t xml:space="preserve"> </w:t>
      </w:r>
      <w:r w:rsidRPr="00283806">
        <w:rPr>
          <w:w w:val="105"/>
        </w:rPr>
        <w:t xml:space="preserve">gases to meet AHRI 700 purity standards.’’ The commenter further recommended ramping down the acceptable proportion of virgin gas over time to incentivize better reclamation </w:t>
      </w:r>
      <w:r w:rsidRPr="00283806">
        <w:rPr>
          <w:spacing w:val="-2"/>
          <w:w w:val="105"/>
        </w:rPr>
        <w:t>technology.</w:t>
      </w:r>
    </w:p>
    <w:p w14:paraId="5E63C55F" w14:textId="77777777" w:rsidR="00D67C1E" w:rsidRPr="00283806" w:rsidRDefault="001265CA">
      <w:pPr>
        <w:pStyle w:val="BodyText"/>
        <w:spacing w:before="25" w:line="228" w:lineRule="auto"/>
        <w:ind w:left="153" w:right="152" w:firstLine="180"/>
      </w:pPr>
      <w:r w:rsidRPr="00283806">
        <w:rPr>
          <w:w w:val="110"/>
        </w:rPr>
        <w:t>Several commenters supported a lower limit on the virgin content in reclaimed refrigerant. One of the commenters suggested the use of a virgin content limit for reclaimed material</w:t>
      </w:r>
      <w:r w:rsidRPr="00283806">
        <w:rPr>
          <w:spacing w:val="-9"/>
          <w:w w:val="110"/>
        </w:rPr>
        <w:t xml:space="preserve"> </w:t>
      </w:r>
      <w:r w:rsidRPr="00283806">
        <w:rPr>
          <w:w w:val="110"/>
        </w:rPr>
        <w:t>but</w:t>
      </w:r>
      <w:r w:rsidRPr="00283806">
        <w:rPr>
          <w:spacing w:val="-9"/>
          <w:w w:val="110"/>
        </w:rPr>
        <w:t xml:space="preserve"> </w:t>
      </w:r>
      <w:r w:rsidRPr="00283806">
        <w:rPr>
          <w:w w:val="110"/>
        </w:rPr>
        <w:t>encouraged</w:t>
      </w:r>
      <w:r w:rsidRPr="00283806">
        <w:rPr>
          <w:spacing w:val="-9"/>
          <w:w w:val="110"/>
        </w:rPr>
        <w:t xml:space="preserve"> </w:t>
      </w:r>
      <w:r w:rsidRPr="00283806">
        <w:rPr>
          <w:w w:val="110"/>
        </w:rPr>
        <w:t>EPA</w:t>
      </w:r>
      <w:r w:rsidRPr="00283806">
        <w:rPr>
          <w:spacing w:val="-9"/>
          <w:w w:val="110"/>
        </w:rPr>
        <w:t xml:space="preserve"> </w:t>
      </w:r>
      <w:r w:rsidRPr="00283806">
        <w:rPr>
          <w:w w:val="110"/>
        </w:rPr>
        <w:t>to</w:t>
      </w:r>
      <w:r w:rsidRPr="00283806">
        <w:rPr>
          <w:spacing w:val="-9"/>
          <w:w w:val="110"/>
        </w:rPr>
        <w:t xml:space="preserve"> </w:t>
      </w:r>
      <w:r w:rsidRPr="00283806">
        <w:rPr>
          <w:w w:val="110"/>
        </w:rPr>
        <w:t xml:space="preserve">tighten </w:t>
      </w:r>
      <w:r w:rsidRPr="00283806">
        <w:t>the requirement to send a clear message</w:t>
      </w:r>
      <w:r w:rsidRPr="00283806">
        <w:rPr>
          <w:spacing w:val="80"/>
          <w:w w:val="110"/>
        </w:rPr>
        <w:t xml:space="preserve"> </w:t>
      </w:r>
      <w:r w:rsidRPr="00283806">
        <w:rPr>
          <w:w w:val="110"/>
        </w:rPr>
        <w:t>to the industry to invest in advanced reclamation technologies. The commenter noted that the 15 percent limit used by CARB was based on a term-limited</w:t>
      </w:r>
      <w:r w:rsidRPr="00283806">
        <w:rPr>
          <w:spacing w:val="-11"/>
          <w:w w:val="110"/>
        </w:rPr>
        <w:t xml:space="preserve"> </w:t>
      </w:r>
      <w:r w:rsidRPr="00283806">
        <w:rPr>
          <w:w w:val="110"/>
        </w:rPr>
        <w:t>program</w:t>
      </w:r>
      <w:r w:rsidRPr="00283806">
        <w:rPr>
          <w:spacing w:val="-11"/>
          <w:w w:val="110"/>
        </w:rPr>
        <w:t xml:space="preserve"> </w:t>
      </w:r>
      <w:r w:rsidRPr="00283806">
        <w:rPr>
          <w:w w:val="110"/>
        </w:rPr>
        <w:t>for</w:t>
      </w:r>
      <w:r w:rsidRPr="00283806">
        <w:rPr>
          <w:spacing w:val="-11"/>
          <w:w w:val="110"/>
        </w:rPr>
        <w:t xml:space="preserve"> </w:t>
      </w:r>
      <w:r w:rsidRPr="00283806">
        <w:rPr>
          <w:w w:val="110"/>
        </w:rPr>
        <w:t>a</w:t>
      </w:r>
      <w:r w:rsidRPr="00283806">
        <w:rPr>
          <w:spacing w:val="-11"/>
          <w:w w:val="110"/>
        </w:rPr>
        <w:t xml:space="preserve"> </w:t>
      </w:r>
      <w:r w:rsidRPr="00283806">
        <w:rPr>
          <w:w w:val="110"/>
        </w:rPr>
        <w:t>single</w:t>
      </w:r>
      <w:r w:rsidRPr="00283806">
        <w:rPr>
          <w:spacing w:val="-11"/>
          <w:w w:val="110"/>
        </w:rPr>
        <w:t xml:space="preserve"> </w:t>
      </w:r>
      <w:r w:rsidRPr="00283806">
        <w:rPr>
          <w:w w:val="110"/>
        </w:rPr>
        <w:t xml:space="preserve">State, </w:t>
      </w:r>
      <w:r w:rsidRPr="00283806">
        <w:rPr>
          <w:spacing w:val="-2"/>
          <w:w w:val="110"/>
        </w:rPr>
        <w:t>while</w:t>
      </w:r>
      <w:r w:rsidRPr="00283806">
        <w:rPr>
          <w:spacing w:val="-4"/>
          <w:w w:val="110"/>
        </w:rPr>
        <w:t xml:space="preserve"> </w:t>
      </w:r>
      <w:r w:rsidRPr="00283806">
        <w:rPr>
          <w:spacing w:val="-2"/>
          <w:w w:val="110"/>
        </w:rPr>
        <w:t>EPA’s</w:t>
      </w:r>
      <w:r w:rsidRPr="00283806">
        <w:rPr>
          <w:spacing w:val="-4"/>
          <w:w w:val="110"/>
        </w:rPr>
        <w:t xml:space="preserve"> </w:t>
      </w:r>
      <w:r w:rsidRPr="00283806">
        <w:rPr>
          <w:spacing w:val="-2"/>
          <w:w w:val="110"/>
        </w:rPr>
        <w:t>proposed</w:t>
      </w:r>
      <w:r w:rsidRPr="00283806">
        <w:rPr>
          <w:spacing w:val="-4"/>
          <w:w w:val="110"/>
        </w:rPr>
        <w:t xml:space="preserve"> </w:t>
      </w:r>
      <w:r w:rsidRPr="00283806">
        <w:rPr>
          <w:spacing w:val="-2"/>
          <w:w w:val="110"/>
        </w:rPr>
        <w:t>use</w:t>
      </w:r>
      <w:r w:rsidRPr="00283806">
        <w:rPr>
          <w:spacing w:val="-4"/>
          <w:w w:val="110"/>
        </w:rPr>
        <w:t xml:space="preserve"> </w:t>
      </w:r>
      <w:r w:rsidRPr="00283806">
        <w:rPr>
          <w:spacing w:val="-2"/>
          <w:w w:val="110"/>
        </w:rPr>
        <w:t xml:space="preserve">requirements </w:t>
      </w:r>
      <w:r w:rsidRPr="00283806">
        <w:rPr>
          <w:w w:val="110"/>
        </w:rPr>
        <w:t xml:space="preserve">for reclaimed HFCs will apply nationally and are not term limited; </w:t>
      </w:r>
      <w:r w:rsidRPr="00283806">
        <w:t>thus, the requirements would send clear</w:t>
      </w:r>
      <w:r w:rsidRPr="00283806">
        <w:rPr>
          <w:spacing w:val="40"/>
          <w:w w:val="110"/>
        </w:rPr>
        <w:t xml:space="preserve"> </w:t>
      </w:r>
      <w:r w:rsidRPr="00283806">
        <w:rPr>
          <w:w w:val="110"/>
        </w:rPr>
        <w:t>signals for investment in advanced reclamation technology. Another commenter similarly supported a maximum HFC virgin content in reclaimed</w:t>
      </w:r>
      <w:r w:rsidRPr="00283806">
        <w:rPr>
          <w:spacing w:val="-1"/>
          <w:w w:val="110"/>
        </w:rPr>
        <w:t xml:space="preserve"> </w:t>
      </w:r>
      <w:r w:rsidRPr="00283806">
        <w:rPr>
          <w:w w:val="110"/>
        </w:rPr>
        <w:t>HFCs,</w:t>
      </w:r>
      <w:r w:rsidRPr="00283806">
        <w:rPr>
          <w:spacing w:val="-1"/>
          <w:w w:val="110"/>
        </w:rPr>
        <w:t xml:space="preserve"> </w:t>
      </w:r>
      <w:r w:rsidRPr="00283806">
        <w:rPr>
          <w:w w:val="110"/>
        </w:rPr>
        <w:t>noting</w:t>
      </w:r>
      <w:r w:rsidRPr="00283806">
        <w:rPr>
          <w:spacing w:val="-1"/>
          <w:w w:val="110"/>
        </w:rPr>
        <w:t xml:space="preserve"> </w:t>
      </w:r>
      <w:r w:rsidRPr="00283806">
        <w:rPr>
          <w:w w:val="110"/>
        </w:rPr>
        <w:t>the</w:t>
      </w:r>
      <w:r w:rsidRPr="00283806">
        <w:rPr>
          <w:spacing w:val="-1"/>
          <w:w w:val="110"/>
        </w:rPr>
        <w:t xml:space="preserve"> </w:t>
      </w:r>
      <w:r w:rsidRPr="00283806">
        <w:rPr>
          <w:w w:val="110"/>
        </w:rPr>
        <w:t>importance of preventing large quantities of virgin HFCs from being blended with smaller reclaimed HFC quantities and considered</w:t>
      </w:r>
      <w:r w:rsidRPr="00283806">
        <w:rPr>
          <w:spacing w:val="-11"/>
          <w:w w:val="110"/>
        </w:rPr>
        <w:t xml:space="preserve"> </w:t>
      </w:r>
      <w:r w:rsidRPr="00283806">
        <w:rPr>
          <w:w w:val="110"/>
        </w:rPr>
        <w:t>reclaimed</w:t>
      </w:r>
      <w:r w:rsidRPr="00283806">
        <w:rPr>
          <w:spacing w:val="-11"/>
          <w:w w:val="110"/>
        </w:rPr>
        <w:t xml:space="preserve"> </w:t>
      </w:r>
      <w:r w:rsidRPr="00283806">
        <w:rPr>
          <w:w w:val="110"/>
        </w:rPr>
        <w:t>(which</w:t>
      </w:r>
      <w:r w:rsidRPr="00283806">
        <w:rPr>
          <w:spacing w:val="-11"/>
          <w:w w:val="110"/>
        </w:rPr>
        <w:t xml:space="preserve"> </w:t>
      </w:r>
      <w:r w:rsidRPr="00283806">
        <w:rPr>
          <w:w w:val="110"/>
        </w:rPr>
        <w:t>would</w:t>
      </w:r>
      <w:r w:rsidRPr="00283806">
        <w:rPr>
          <w:spacing w:val="-11"/>
          <w:w w:val="110"/>
        </w:rPr>
        <w:t xml:space="preserve"> </w:t>
      </w:r>
      <w:r w:rsidRPr="00283806">
        <w:rPr>
          <w:w w:val="110"/>
        </w:rPr>
        <w:t xml:space="preserve">not </w:t>
      </w:r>
      <w:r w:rsidRPr="00283806">
        <w:rPr>
          <w:spacing w:val="-2"/>
          <w:w w:val="110"/>
        </w:rPr>
        <w:t>create</w:t>
      </w:r>
      <w:r w:rsidRPr="00283806">
        <w:rPr>
          <w:spacing w:val="-5"/>
          <w:w w:val="110"/>
        </w:rPr>
        <w:t xml:space="preserve"> </w:t>
      </w:r>
      <w:r w:rsidRPr="00283806">
        <w:rPr>
          <w:spacing w:val="-2"/>
          <w:w w:val="110"/>
        </w:rPr>
        <w:t>a</w:t>
      </w:r>
      <w:r w:rsidRPr="00283806">
        <w:rPr>
          <w:spacing w:val="-5"/>
          <w:w w:val="110"/>
        </w:rPr>
        <w:t xml:space="preserve"> </w:t>
      </w:r>
      <w:r w:rsidRPr="00283806">
        <w:rPr>
          <w:spacing w:val="-2"/>
          <w:w w:val="110"/>
        </w:rPr>
        <w:t>sustainable</w:t>
      </w:r>
      <w:r w:rsidRPr="00283806">
        <w:rPr>
          <w:spacing w:val="-5"/>
          <w:w w:val="110"/>
        </w:rPr>
        <w:t xml:space="preserve"> </w:t>
      </w:r>
      <w:r w:rsidRPr="00283806">
        <w:rPr>
          <w:spacing w:val="-2"/>
          <w:w w:val="110"/>
        </w:rPr>
        <w:t>supply</w:t>
      </w:r>
      <w:r w:rsidRPr="00283806">
        <w:rPr>
          <w:spacing w:val="-5"/>
          <w:w w:val="110"/>
        </w:rPr>
        <w:t xml:space="preserve"> </w:t>
      </w:r>
      <w:r w:rsidRPr="00283806">
        <w:rPr>
          <w:spacing w:val="-2"/>
          <w:w w:val="110"/>
        </w:rPr>
        <w:t>of</w:t>
      </w:r>
      <w:r w:rsidRPr="00283806">
        <w:rPr>
          <w:spacing w:val="-5"/>
          <w:w w:val="110"/>
        </w:rPr>
        <w:t xml:space="preserve"> </w:t>
      </w:r>
      <w:r w:rsidRPr="00283806">
        <w:rPr>
          <w:spacing w:val="-2"/>
          <w:w w:val="110"/>
        </w:rPr>
        <w:t xml:space="preserve">reclaimed </w:t>
      </w:r>
      <w:r w:rsidRPr="00283806">
        <w:rPr>
          <w:w w:val="110"/>
        </w:rPr>
        <w:t>materials as the supply of virgin HFCs continues to decrease, and would disincentivize investment in fractional distillation capacity), and encouraged EPA</w:t>
      </w:r>
      <w:r w:rsidRPr="00283806">
        <w:rPr>
          <w:spacing w:val="-9"/>
          <w:w w:val="110"/>
        </w:rPr>
        <w:t xml:space="preserve"> </w:t>
      </w:r>
      <w:r w:rsidRPr="00283806">
        <w:rPr>
          <w:w w:val="110"/>
        </w:rPr>
        <w:t>to</w:t>
      </w:r>
      <w:r w:rsidRPr="00283806">
        <w:rPr>
          <w:spacing w:val="-9"/>
          <w:w w:val="110"/>
        </w:rPr>
        <w:t xml:space="preserve"> </w:t>
      </w:r>
      <w:r w:rsidRPr="00283806">
        <w:rPr>
          <w:w w:val="110"/>
        </w:rPr>
        <w:t>further</w:t>
      </w:r>
      <w:r w:rsidRPr="00283806">
        <w:rPr>
          <w:spacing w:val="-9"/>
          <w:w w:val="110"/>
        </w:rPr>
        <w:t xml:space="preserve"> </w:t>
      </w:r>
      <w:r w:rsidRPr="00283806">
        <w:rPr>
          <w:w w:val="110"/>
        </w:rPr>
        <w:t>tighten</w:t>
      </w:r>
      <w:r w:rsidRPr="00283806">
        <w:rPr>
          <w:spacing w:val="-9"/>
          <w:w w:val="110"/>
        </w:rPr>
        <w:t xml:space="preserve"> </w:t>
      </w:r>
      <w:r w:rsidRPr="00283806">
        <w:rPr>
          <w:w w:val="110"/>
        </w:rPr>
        <w:t>this</w:t>
      </w:r>
      <w:r w:rsidRPr="00283806">
        <w:rPr>
          <w:spacing w:val="-9"/>
          <w:w w:val="110"/>
        </w:rPr>
        <w:t xml:space="preserve"> </w:t>
      </w:r>
      <w:r w:rsidRPr="00283806">
        <w:rPr>
          <w:w w:val="110"/>
        </w:rPr>
        <w:t>requirement because the 15 percent limit was established in the California context.</w:t>
      </w:r>
    </w:p>
    <w:p w14:paraId="3497A8B3" w14:textId="77777777" w:rsidR="00D67C1E" w:rsidRPr="00283806" w:rsidRDefault="001265CA">
      <w:pPr>
        <w:pStyle w:val="BodyText"/>
        <w:spacing w:line="181" w:lineRule="exact"/>
        <w:ind w:left="153"/>
      </w:pPr>
      <w:r w:rsidRPr="00283806">
        <w:rPr>
          <w:w w:val="105"/>
        </w:rPr>
        <w:t>The</w:t>
      </w:r>
      <w:r w:rsidRPr="00283806">
        <w:rPr>
          <w:spacing w:val="1"/>
          <w:w w:val="105"/>
        </w:rPr>
        <w:t xml:space="preserve"> </w:t>
      </w:r>
      <w:r w:rsidRPr="00283806">
        <w:rPr>
          <w:w w:val="105"/>
        </w:rPr>
        <w:t>commenter</w:t>
      </w:r>
      <w:r w:rsidRPr="00283806">
        <w:rPr>
          <w:spacing w:val="2"/>
          <w:w w:val="105"/>
        </w:rPr>
        <w:t xml:space="preserve"> </w:t>
      </w:r>
      <w:r w:rsidRPr="00283806">
        <w:rPr>
          <w:w w:val="105"/>
        </w:rPr>
        <w:t>further</w:t>
      </w:r>
      <w:r w:rsidRPr="00283806">
        <w:rPr>
          <w:spacing w:val="2"/>
          <w:w w:val="105"/>
        </w:rPr>
        <w:t xml:space="preserve"> </w:t>
      </w:r>
      <w:r w:rsidRPr="00283806">
        <w:rPr>
          <w:w w:val="105"/>
        </w:rPr>
        <w:t>stated</w:t>
      </w:r>
      <w:r w:rsidRPr="00283806">
        <w:rPr>
          <w:spacing w:val="1"/>
          <w:w w:val="105"/>
        </w:rPr>
        <w:t xml:space="preserve"> </w:t>
      </w:r>
      <w:r w:rsidRPr="00283806">
        <w:rPr>
          <w:w w:val="105"/>
        </w:rPr>
        <w:t>that</w:t>
      </w:r>
      <w:r w:rsidRPr="00283806">
        <w:rPr>
          <w:spacing w:val="2"/>
          <w:w w:val="105"/>
        </w:rPr>
        <w:t xml:space="preserve"> </w:t>
      </w:r>
      <w:r w:rsidRPr="00283806">
        <w:rPr>
          <w:spacing w:val="-10"/>
          <w:w w:val="105"/>
        </w:rPr>
        <w:t>a</w:t>
      </w:r>
    </w:p>
    <w:p w14:paraId="392FB70A" w14:textId="77777777" w:rsidR="00D67C1E" w:rsidRPr="00283806" w:rsidRDefault="001265CA">
      <w:pPr>
        <w:pStyle w:val="BodyText"/>
        <w:spacing w:before="3" w:line="228" w:lineRule="auto"/>
        <w:ind w:left="153" w:right="122"/>
      </w:pPr>
      <w:proofErr w:type="gramStart"/>
      <w:r w:rsidRPr="00283806">
        <w:rPr>
          <w:w w:val="105"/>
        </w:rPr>
        <w:t>stronger</w:t>
      </w:r>
      <w:proofErr w:type="gramEnd"/>
      <w:r w:rsidRPr="00283806">
        <w:rPr>
          <w:w w:val="105"/>
        </w:rPr>
        <w:t xml:space="preserve"> </w:t>
      </w:r>
      <w:proofErr w:type="gramStart"/>
      <w:r w:rsidRPr="00283806">
        <w:rPr>
          <w:w w:val="105"/>
        </w:rPr>
        <w:t>limit</w:t>
      </w:r>
      <w:proofErr w:type="gramEnd"/>
      <w:r w:rsidRPr="00283806">
        <w:rPr>
          <w:w w:val="105"/>
        </w:rPr>
        <w:t xml:space="preserve"> may be feasible on a nationwide basis while also supporting the</w:t>
      </w:r>
      <w:r w:rsidRPr="00283806">
        <w:rPr>
          <w:spacing w:val="14"/>
          <w:w w:val="105"/>
        </w:rPr>
        <w:t xml:space="preserve"> </w:t>
      </w:r>
      <w:r w:rsidRPr="00283806">
        <w:rPr>
          <w:w w:val="105"/>
        </w:rPr>
        <w:t>smaller</w:t>
      </w:r>
      <w:r w:rsidRPr="00283806">
        <w:rPr>
          <w:spacing w:val="15"/>
          <w:w w:val="105"/>
        </w:rPr>
        <w:t xml:space="preserve"> </w:t>
      </w:r>
      <w:r w:rsidRPr="00283806">
        <w:rPr>
          <w:w w:val="105"/>
        </w:rPr>
        <w:t>reclaimers</w:t>
      </w:r>
      <w:r w:rsidRPr="00283806">
        <w:rPr>
          <w:spacing w:val="15"/>
          <w:w w:val="105"/>
        </w:rPr>
        <w:t xml:space="preserve"> </w:t>
      </w:r>
      <w:r w:rsidRPr="00283806">
        <w:rPr>
          <w:w w:val="105"/>
        </w:rPr>
        <w:t>in</w:t>
      </w:r>
      <w:r w:rsidRPr="00283806">
        <w:rPr>
          <w:spacing w:val="14"/>
          <w:w w:val="105"/>
        </w:rPr>
        <w:t xml:space="preserve"> </w:t>
      </w:r>
      <w:r w:rsidRPr="00283806">
        <w:rPr>
          <w:w w:val="105"/>
        </w:rPr>
        <w:t>continuing</w:t>
      </w:r>
      <w:r w:rsidRPr="00283806">
        <w:rPr>
          <w:spacing w:val="15"/>
          <w:w w:val="105"/>
        </w:rPr>
        <w:t xml:space="preserve"> </w:t>
      </w:r>
      <w:r w:rsidRPr="00283806">
        <w:rPr>
          <w:spacing w:val="-5"/>
          <w:w w:val="105"/>
        </w:rPr>
        <w:t>to</w:t>
      </w:r>
    </w:p>
    <w:p w14:paraId="768DD691"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6" w:space="40"/>
            <w:col w:w="3491" w:space="39"/>
            <w:col w:w="3634"/>
          </w:cols>
        </w:sectPr>
      </w:pPr>
    </w:p>
    <w:p w14:paraId="3A6D7402" w14:textId="77777777" w:rsidR="00D67C1E" w:rsidRPr="00283806" w:rsidRDefault="001265CA">
      <w:pPr>
        <w:pStyle w:val="BodyText"/>
        <w:spacing w:before="136" w:line="225" w:lineRule="auto"/>
        <w:ind w:right="17"/>
      </w:pPr>
      <w:r w:rsidRPr="00283806">
        <w:rPr>
          <w:w w:val="105"/>
        </w:rPr>
        <w:lastRenderedPageBreak/>
        <w:t>expand and develop their capacity for advanced reclamation of HFCs. Another commenter expressed concern that setting an allowance (</w:t>
      </w:r>
      <w:r w:rsidRPr="00283806">
        <w:rPr>
          <w:rFonts w:ascii="Book Antiqua" w:hAnsi="Book Antiqua"/>
          <w:i/>
          <w:w w:val="105"/>
        </w:rPr>
        <w:t xml:space="preserve">e.g., </w:t>
      </w:r>
      <w:r w:rsidRPr="00283806">
        <w:rPr>
          <w:w w:val="105"/>
        </w:rPr>
        <w:t>15 percent)</w:t>
      </w:r>
      <w:r w:rsidRPr="00283806">
        <w:rPr>
          <w:spacing w:val="40"/>
          <w:w w:val="105"/>
        </w:rPr>
        <w:t xml:space="preserve"> </w:t>
      </w:r>
      <w:r w:rsidRPr="00283806">
        <w:rPr>
          <w:w w:val="105"/>
        </w:rPr>
        <w:t>for inclusion of newly produced refrigerant to be incorporated into reclaimed refrigerant is not a credible structure and will result in</w:t>
      </w:r>
      <w:r w:rsidRPr="00283806">
        <w:rPr>
          <w:spacing w:val="80"/>
          <w:w w:val="105"/>
        </w:rPr>
        <w:t xml:space="preserve"> </w:t>
      </w:r>
      <w:r w:rsidRPr="00283806">
        <w:rPr>
          <w:w w:val="105"/>
        </w:rPr>
        <w:t>greenwashing claims, arguing that only recovered refrigerant should be considered reclaimed. The commenter further claimed that setting such a limit for newly produced refrigerant could thwart the goal to maximize reclamation and narrow uses away from clever solutions like a ‘‘service gas’’ with an increasing percentage of reclaimed refrigerant</w:t>
      </w:r>
      <w:r w:rsidRPr="00283806">
        <w:rPr>
          <w:spacing w:val="-10"/>
          <w:w w:val="105"/>
        </w:rPr>
        <w:t xml:space="preserve"> </w:t>
      </w:r>
      <w:r w:rsidRPr="00283806">
        <w:rPr>
          <w:w w:val="105"/>
        </w:rPr>
        <w:t>as</w:t>
      </w:r>
      <w:r w:rsidRPr="00283806">
        <w:rPr>
          <w:spacing w:val="-11"/>
          <w:w w:val="105"/>
        </w:rPr>
        <w:t xml:space="preserve"> </w:t>
      </w:r>
      <w:r w:rsidRPr="00283806">
        <w:rPr>
          <w:w w:val="105"/>
        </w:rPr>
        <w:t>more</w:t>
      </w:r>
      <w:r w:rsidRPr="00283806">
        <w:rPr>
          <w:spacing w:val="-10"/>
          <w:w w:val="105"/>
        </w:rPr>
        <w:t xml:space="preserve"> </w:t>
      </w:r>
      <w:r w:rsidRPr="00283806">
        <w:rPr>
          <w:w w:val="105"/>
        </w:rPr>
        <w:t>reclaimed</w:t>
      </w:r>
      <w:r w:rsidRPr="00283806">
        <w:rPr>
          <w:spacing w:val="-10"/>
          <w:w w:val="105"/>
        </w:rPr>
        <w:t xml:space="preserve"> </w:t>
      </w:r>
      <w:r w:rsidRPr="00283806">
        <w:rPr>
          <w:w w:val="105"/>
        </w:rPr>
        <w:t>refrigerant becomes available over time.</w:t>
      </w:r>
    </w:p>
    <w:p w14:paraId="140849F8" w14:textId="77777777" w:rsidR="00D67C1E" w:rsidRPr="00283806" w:rsidRDefault="001265CA">
      <w:pPr>
        <w:pStyle w:val="BodyText"/>
        <w:spacing w:line="163" w:lineRule="exact"/>
        <w:ind w:left="340"/>
      </w:pPr>
      <w:r w:rsidRPr="00283806">
        <w:rPr>
          <w:w w:val="105"/>
        </w:rPr>
        <w:t>Another</w:t>
      </w:r>
      <w:r w:rsidRPr="00283806">
        <w:rPr>
          <w:spacing w:val="4"/>
          <w:w w:val="105"/>
        </w:rPr>
        <w:t xml:space="preserve"> </w:t>
      </w:r>
      <w:r w:rsidRPr="00283806">
        <w:rPr>
          <w:w w:val="105"/>
        </w:rPr>
        <w:t>commenter</w:t>
      </w:r>
      <w:r w:rsidRPr="00283806">
        <w:rPr>
          <w:spacing w:val="4"/>
          <w:w w:val="105"/>
        </w:rPr>
        <w:t xml:space="preserve"> </w:t>
      </w:r>
      <w:r w:rsidRPr="00283806">
        <w:rPr>
          <w:w w:val="105"/>
        </w:rPr>
        <w:t>stated</w:t>
      </w:r>
      <w:r w:rsidRPr="00283806">
        <w:rPr>
          <w:spacing w:val="4"/>
          <w:w w:val="105"/>
        </w:rPr>
        <w:t xml:space="preserve"> </w:t>
      </w:r>
      <w:r w:rsidRPr="00283806">
        <w:rPr>
          <w:w w:val="105"/>
        </w:rPr>
        <w:t>that</w:t>
      </w:r>
      <w:r w:rsidRPr="00283806">
        <w:rPr>
          <w:spacing w:val="4"/>
          <w:w w:val="105"/>
        </w:rPr>
        <w:t xml:space="preserve"> </w:t>
      </w:r>
      <w:r w:rsidRPr="00283806">
        <w:rPr>
          <w:spacing w:val="-4"/>
          <w:w w:val="105"/>
        </w:rPr>
        <w:t>they</w:t>
      </w:r>
    </w:p>
    <w:p w14:paraId="1D0A6F62" w14:textId="77777777" w:rsidR="00D67C1E" w:rsidRPr="00283806" w:rsidRDefault="001265CA">
      <w:pPr>
        <w:pStyle w:val="BodyText"/>
        <w:spacing w:before="4" w:line="225" w:lineRule="auto"/>
      </w:pPr>
      <w:r w:rsidRPr="00283806">
        <w:rPr>
          <w:w w:val="105"/>
        </w:rPr>
        <w:t>supported the definition of reclaimed refrigerant as containing no more than</w:t>
      </w:r>
      <w:r w:rsidRPr="00283806">
        <w:rPr>
          <w:spacing w:val="40"/>
          <w:w w:val="105"/>
        </w:rPr>
        <w:t xml:space="preserve"> </w:t>
      </w:r>
      <w:r w:rsidRPr="00283806">
        <w:rPr>
          <w:w w:val="105"/>
        </w:rPr>
        <w:t>15 percent virgin material but would</w:t>
      </w:r>
      <w:r w:rsidRPr="00283806">
        <w:rPr>
          <w:spacing w:val="80"/>
          <w:w w:val="105"/>
        </w:rPr>
        <w:t xml:space="preserve"> </w:t>
      </w:r>
      <w:r w:rsidRPr="00283806">
        <w:rPr>
          <w:w w:val="105"/>
        </w:rPr>
        <w:t>also</w:t>
      </w:r>
      <w:r w:rsidRPr="00283806">
        <w:rPr>
          <w:spacing w:val="36"/>
          <w:w w:val="105"/>
        </w:rPr>
        <w:t xml:space="preserve"> </w:t>
      </w:r>
      <w:r w:rsidRPr="00283806">
        <w:rPr>
          <w:w w:val="105"/>
        </w:rPr>
        <w:t>support</w:t>
      </w:r>
      <w:r w:rsidRPr="00283806">
        <w:rPr>
          <w:spacing w:val="36"/>
          <w:w w:val="105"/>
        </w:rPr>
        <w:t xml:space="preserve"> </w:t>
      </w:r>
      <w:r w:rsidRPr="00283806">
        <w:rPr>
          <w:w w:val="105"/>
        </w:rPr>
        <w:t>a</w:t>
      </w:r>
      <w:r w:rsidRPr="00283806">
        <w:rPr>
          <w:spacing w:val="36"/>
          <w:w w:val="105"/>
        </w:rPr>
        <w:t xml:space="preserve"> </w:t>
      </w:r>
      <w:r w:rsidRPr="00283806">
        <w:rPr>
          <w:w w:val="105"/>
        </w:rPr>
        <w:t>lower</w:t>
      </w:r>
      <w:r w:rsidRPr="00283806">
        <w:rPr>
          <w:spacing w:val="36"/>
          <w:w w:val="105"/>
        </w:rPr>
        <w:t xml:space="preserve"> </w:t>
      </w:r>
      <w:r w:rsidRPr="00283806">
        <w:rPr>
          <w:w w:val="105"/>
        </w:rPr>
        <w:t>or</w:t>
      </w:r>
      <w:r w:rsidRPr="00283806">
        <w:rPr>
          <w:spacing w:val="36"/>
          <w:w w:val="105"/>
        </w:rPr>
        <w:t xml:space="preserve"> </w:t>
      </w:r>
      <w:r w:rsidRPr="00283806">
        <w:rPr>
          <w:w w:val="105"/>
        </w:rPr>
        <w:t>much</w:t>
      </w:r>
      <w:r w:rsidRPr="00283806">
        <w:rPr>
          <w:spacing w:val="36"/>
          <w:w w:val="105"/>
        </w:rPr>
        <w:t xml:space="preserve"> </w:t>
      </w:r>
      <w:r w:rsidRPr="00283806">
        <w:rPr>
          <w:w w:val="105"/>
        </w:rPr>
        <w:t>lower limit because only a few larger</w:t>
      </w:r>
      <w:r w:rsidRPr="00283806">
        <w:rPr>
          <w:spacing w:val="40"/>
          <w:w w:val="105"/>
        </w:rPr>
        <w:t xml:space="preserve"> </w:t>
      </w:r>
      <w:r w:rsidRPr="00283806">
        <w:rPr>
          <w:w w:val="105"/>
        </w:rPr>
        <w:t>reclaimers who were also importers, blenders, and distributors received substantial HFC allowances. The commenter further stated that many reclaimers received small or no allowances, and that allowances</w:t>
      </w:r>
      <w:r w:rsidRPr="00283806">
        <w:rPr>
          <w:spacing w:val="40"/>
          <w:w w:val="105"/>
        </w:rPr>
        <w:t xml:space="preserve"> </w:t>
      </w:r>
      <w:r w:rsidRPr="00283806">
        <w:rPr>
          <w:w w:val="105"/>
        </w:rPr>
        <w:t>provided to reclaimers are being</w:t>
      </w:r>
      <w:r w:rsidRPr="00283806">
        <w:rPr>
          <w:spacing w:val="80"/>
          <w:w w:val="105"/>
        </w:rPr>
        <w:t xml:space="preserve"> </w:t>
      </w:r>
      <w:r w:rsidRPr="00283806">
        <w:rPr>
          <w:w w:val="105"/>
        </w:rPr>
        <w:t>reduced as reclamation expectations are being raised. The commenter concluded that that most reclaimers would not be able to access 15 percent virgin material for a blend even if they wanted or</w:t>
      </w:r>
      <w:r w:rsidRPr="00283806">
        <w:rPr>
          <w:spacing w:val="80"/>
          <w:w w:val="105"/>
        </w:rPr>
        <w:t xml:space="preserve"> </w:t>
      </w:r>
      <w:r w:rsidRPr="00283806">
        <w:rPr>
          <w:w w:val="105"/>
        </w:rPr>
        <w:t>needed to. The commenter further noted they did not support the concept that reclaimed refrigerant could be any percentage and treated as a blended component in a larger lot of refrigerants, arguing</w:t>
      </w:r>
      <w:r w:rsidRPr="00283806">
        <w:rPr>
          <w:spacing w:val="40"/>
          <w:w w:val="105"/>
        </w:rPr>
        <w:t xml:space="preserve"> </w:t>
      </w:r>
      <w:r w:rsidRPr="00283806">
        <w:rPr>
          <w:w w:val="105"/>
        </w:rPr>
        <w:t>that</w:t>
      </w:r>
      <w:r w:rsidRPr="00283806">
        <w:rPr>
          <w:spacing w:val="40"/>
          <w:w w:val="105"/>
        </w:rPr>
        <w:t xml:space="preserve"> </w:t>
      </w:r>
      <w:r w:rsidRPr="00283806">
        <w:rPr>
          <w:w w:val="105"/>
        </w:rPr>
        <w:t>this</w:t>
      </w:r>
      <w:r w:rsidRPr="00283806">
        <w:rPr>
          <w:spacing w:val="40"/>
          <w:w w:val="105"/>
        </w:rPr>
        <w:t xml:space="preserve"> </w:t>
      </w:r>
      <w:r w:rsidRPr="00283806">
        <w:rPr>
          <w:w w:val="105"/>
        </w:rPr>
        <w:t>concept</w:t>
      </w:r>
      <w:r w:rsidRPr="00283806">
        <w:rPr>
          <w:spacing w:val="40"/>
          <w:w w:val="105"/>
        </w:rPr>
        <w:t xml:space="preserve"> </w:t>
      </w:r>
      <w:r w:rsidRPr="00283806">
        <w:rPr>
          <w:w w:val="105"/>
        </w:rPr>
        <w:t>is</w:t>
      </w:r>
      <w:r w:rsidRPr="00283806">
        <w:rPr>
          <w:spacing w:val="40"/>
          <w:w w:val="105"/>
        </w:rPr>
        <w:t xml:space="preserve"> </w:t>
      </w:r>
      <w:r w:rsidRPr="00283806">
        <w:rPr>
          <w:w w:val="105"/>
        </w:rPr>
        <w:t xml:space="preserve">not reflective of how reclaimed refrigerant is produced today and opens the door to non-reclaimers to find creative solutions to dilute the value of reclaimed </w:t>
      </w:r>
      <w:r w:rsidRPr="00283806">
        <w:rPr>
          <w:spacing w:val="-2"/>
          <w:w w:val="105"/>
        </w:rPr>
        <w:t>refrigerant.</w:t>
      </w:r>
    </w:p>
    <w:p w14:paraId="345FD699" w14:textId="77777777" w:rsidR="00D67C1E" w:rsidRPr="00283806" w:rsidRDefault="001265CA">
      <w:pPr>
        <w:spacing w:line="175" w:lineRule="exact"/>
        <w:ind w:left="340"/>
        <w:rPr>
          <w:sz w:val="18"/>
        </w:rPr>
      </w:pPr>
      <w:r w:rsidRPr="00283806">
        <w:rPr>
          <w:rFonts w:ascii="Book Antiqua"/>
          <w:i/>
          <w:w w:val="110"/>
          <w:sz w:val="18"/>
        </w:rPr>
        <w:t>Response:</w:t>
      </w:r>
      <w:r w:rsidRPr="00283806">
        <w:rPr>
          <w:rFonts w:ascii="Book Antiqua"/>
          <w:i/>
          <w:spacing w:val="2"/>
          <w:w w:val="110"/>
          <w:sz w:val="18"/>
        </w:rPr>
        <w:t xml:space="preserve"> </w:t>
      </w:r>
      <w:r w:rsidRPr="00283806">
        <w:rPr>
          <w:w w:val="110"/>
          <w:sz w:val="18"/>
        </w:rPr>
        <w:t>EPA</w:t>
      </w:r>
      <w:r w:rsidRPr="00283806">
        <w:rPr>
          <w:spacing w:val="8"/>
          <w:w w:val="110"/>
          <w:sz w:val="18"/>
        </w:rPr>
        <w:t xml:space="preserve"> </w:t>
      </w:r>
      <w:r w:rsidRPr="00283806">
        <w:rPr>
          <w:w w:val="110"/>
          <w:sz w:val="18"/>
        </w:rPr>
        <w:t>acknowledges</w:t>
      </w:r>
      <w:r w:rsidRPr="00283806">
        <w:rPr>
          <w:spacing w:val="8"/>
          <w:w w:val="110"/>
          <w:sz w:val="18"/>
        </w:rPr>
        <w:t xml:space="preserve"> </w:t>
      </w:r>
      <w:r w:rsidRPr="00283806">
        <w:rPr>
          <w:spacing w:val="-2"/>
          <w:w w:val="110"/>
          <w:sz w:val="18"/>
        </w:rPr>
        <w:t>these</w:t>
      </w:r>
    </w:p>
    <w:p w14:paraId="5BB876CF" w14:textId="77777777" w:rsidR="00D67C1E" w:rsidRPr="00283806" w:rsidRDefault="001265CA">
      <w:pPr>
        <w:pStyle w:val="BodyText"/>
        <w:spacing w:line="223" w:lineRule="auto"/>
        <w:ind w:right="77"/>
      </w:pPr>
      <w:r w:rsidRPr="00283806">
        <w:rPr>
          <w:w w:val="105"/>
        </w:rPr>
        <w:t>commenters’ support and requests for potentially tightening the limit for</w:t>
      </w:r>
      <w:r w:rsidRPr="00283806">
        <w:rPr>
          <w:spacing w:val="80"/>
          <w:w w:val="105"/>
        </w:rPr>
        <w:t xml:space="preserve"> </w:t>
      </w:r>
      <w:r w:rsidRPr="00283806">
        <w:rPr>
          <w:w w:val="105"/>
        </w:rPr>
        <w:t xml:space="preserve">virgin HFCs in reclaimed HFC refrigerant. The Agency understands that a portion of virgin HFCs is often necessary for rebalancing </w:t>
      </w:r>
      <w:proofErr w:type="gramStart"/>
      <w:r w:rsidRPr="00283806">
        <w:rPr>
          <w:w w:val="105"/>
        </w:rPr>
        <w:t>particular refrigerant</w:t>
      </w:r>
      <w:proofErr w:type="gramEnd"/>
      <w:r w:rsidRPr="00283806">
        <w:rPr>
          <w:w w:val="105"/>
        </w:rPr>
        <w:t xml:space="preserve"> multi-component blends, and, in contrast, EPA understands that single-component HFCs that are reclaimed would not require additional high-purity (</w:t>
      </w:r>
      <w:r w:rsidRPr="00283806">
        <w:rPr>
          <w:rFonts w:ascii="Book Antiqua" w:hAnsi="Book Antiqua"/>
          <w:i/>
          <w:w w:val="105"/>
        </w:rPr>
        <w:t xml:space="preserve">e.g., </w:t>
      </w:r>
      <w:r w:rsidRPr="00283806">
        <w:rPr>
          <w:w w:val="105"/>
        </w:rPr>
        <w:t>virgin) HFCs for the purposes of rebalancing. EPA also understands that different reclaimers deploy different practices (</w:t>
      </w:r>
      <w:r w:rsidRPr="00283806">
        <w:rPr>
          <w:rFonts w:ascii="Book Antiqua" w:hAnsi="Book Antiqua"/>
          <w:i/>
          <w:w w:val="105"/>
        </w:rPr>
        <w:t xml:space="preserve">e.g., </w:t>
      </w:r>
      <w:r w:rsidRPr="00283806">
        <w:rPr>
          <w:w w:val="105"/>
        </w:rPr>
        <w:t>not all reclaimers use fractional distillation), and may see different needs for using</w:t>
      </w:r>
      <w:r w:rsidRPr="00283806">
        <w:rPr>
          <w:spacing w:val="40"/>
          <w:w w:val="105"/>
        </w:rPr>
        <w:t xml:space="preserve"> </w:t>
      </w:r>
      <w:r w:rsidRPr="00283806">
        <w:rPr>
          <w:w w:val="105"/>
        </w:rPr>
        <w:t>the maximum allowable percentage of 15 percent, by weight virgin HFCs. For example, some reclaimers may have capabilities and technologies to reclaim</w:t>
      </w:r>
    </w:p>
    <w:p w14:paraId="4EB2CB20" w14:textId="77777777" w:rsidR="00D67C1E" w:rsidRPr="00283806" w:rsidRDefault="001265CA">
      <w:pPr>
        <w:pStyle w:val="BodyText"/>
        <w:spacing w:before="134" w:line="228" w:lineRule="auto"/>
        <w:ind w:left="144" w:right="5"/>
      </w:pPr>
      <w:r w:rsidRPr="00283806">
        <w:br w:type="column"/>
      </w:r>
      <w:proofErr w:type="gramStart"/>
      <w:r w:rsidRPr="00283806">
        <w:rPr>
          <w:w w:val="105"/>
        </w:rPr>
        <w:t>particular multi-</w:t>
      </w:r>
      <w:proofErr w:type="gramEnd"/>
      <w:r w:rsidRPr="00283806">
        <w:rPr>
          <w:w w:val="105"/>
        </w:rPr>
        <w:t>component blends from difficult-to-separate mixed recovered refrigerants and may not need to use the full</w:t>
      </w:r>
      <w:r w:rsidRPr="00283806">
        <w:rPr>
          <w:spacing w:val="40"/>
          <w:w w:val="105"/>
        </w:rPr>
        <w:t xml:space="preserve"> </w:t>
      </w:r>
      <w:r w:rsidRPr="00283806">
        <w:rPr>
          <w:w w:val="105"/>
        </w:rPr>
        <w:t>15</w:t>
      </w:r>
      <w:r w:rsidRPr="00283806">
        <w:rPr>
          <w:spacing w:val="40"/>
          <w:w w:val="105"/>
        </w:rPr>
        <w:t xml:space="preserve"> </w:t>
      </w:r>
      <w:r w:rsidRPr="00283806">
        <w:rPr>
          <w:w w:val="105"/>
        </w:rPr>
        <w:t>percent</w:t>
      </w:r>
      <w:r w:rsidRPr="00283806">
        <w:rPr>
          <w:spacing w:val="40"/>
          <w:w w:val="105"/>
        </w:rPr>
        <w:t xml:space="preserve"> </w:t>
      </w:r>
      <w:r w:rsidRPr="00283806">
        <w:rPr>
          <w:w w:val="105"/>
        </w:rPr>
        <w:t>limit,</w:t>
      </w:r>
      <w:r w:rsidRPr="00283806">
        <w:rPr>
          <w:spacing w:val="40"/>
          <w:w w:val="105"/>
        </w:rPr>
        <w:t xml:space="preserve"> </w:t>
      </w:r>
      <w:r w:rsidRPr="00283806">
        <w:rPr>
          <w:w w:val="105"/>
        </w:rPr>
        <w:t>by</w:t>
      </w:r>
      <w:r w:rsidRPr="00283806">
        <w:rPr>
          <w:spacing w:val="40"/>
          <w:w w:val="105"/>
        </w:rPr>
        <w:t xml:space="preserve"> </w:t>
      </w:r>
      <w:r w:rsidRPr="00283806">
        <w:rPr>
          <w:w w:val="105"/>
        </w:rPr>
        <w:t>weight,</w:t>
      </w:r>
      <w:r w:rsidRPr="00283806">
        <w:rPr>
          <w:spacing w:val="40"/>
          <w:w w:val="105"/>
        </w:rPr>
        <w:t xml:space="preserve"> </w:t>
      </w:r>
      <w:r w:rsidRPr="00283806">
        <w:rPr>
          <w:w w:val="105"/>
        </w:rPr>
        <w:t>of virgin HFCs. Other reclaimers may have limited access to these technologies and might routinely meet the maximum allowable amount of virgin HFCs in reclaimed HFC refrigerants they process and sell. With these considerations, the Agency views the 15 percent limit, by weight, on virgin HFCs as appropriate and disagrees that it is appropriate at</w:t>
      </w:r>
      <w:r w:rsidRPr="00283806">
        <w:rPr>
          <w:spacing w:val="40"/>
          <w:w w:val="105"/>
        </w:rPr>
        <w:t xml:space="preserve"> </w:t>
      </w:r>
      <w:r w:rsidRPr="00283806">
        <w:rPr>
          <w:w w:val="105"/>
        </w:rPr>
        <w:t>this time to establish a lower limit on virgin HFCs or that reclaimed HFC refrigerants may only constitute recovered materials. However, the Agency notes that it may revisit this requirement in the future, for example</w:t>
      </w:r>
      <w:r w:rsidRPr="00283806">
        <w:rPr>
          <w:spacing w:val="40"/>
          <w:w w:val="105"/>
        </w:rPr>
        <w:t xml:space="preserve"> </w:t>
      </w:r>
      <w:r w:rsidRPr="00283806">
        <w:rPr>
          <w:w w:val="105"/>
        </w:rPr>
        <w:t>by evaluating whether a reclamation standard with a higher or lower percentage, by weight, for the maximum amount of virgin HFCs is appropriate at that time.</w:t>
      </w:r>
    </w:p>
    <w:p w14:paraId="3C2761FE" w14:textId="77777777" w:rsidR="00D67C1E" w:rsidRPr="00283806" w:rsidRDefault="001265CA">
      <w:pPr>
        <w:pStyle w:val="BodyText"/>
        <w:spacing w:before="30" w:line="225" w:lineRule="auto"/>
        <w:ind w:left="144" w:right="88" w:firstLine="180"/>
      </w:pPr>
      <w:r w:rsidRPr="00283806">
        <w:rPr>
          <w:w w:val="105"/>
        </w:rPr>
        <w:t xml:space="preserve">Further, the Agency does not agree with the need to and is not establishing different standards for different reclaimers based on technology used to achieve the required purity standards for reclaimed refrigerants. EPA is establishing a single reclamation standard to ensure that reclaimed HFC </w:t>
      </w:r>
      <w:proofErr w:type="gramStart"/>
      <w:r w:rsidRPr="00283806">
        <w:rPr>
          <w:w w:val="105"/>
        </w:rPr>
        <w:t>refrigerants</w:t>
      </w:r>
      <w:proofErr w:type="gramEnd"/>
      <w:r w:rsidRPr="00283806">
        <w:rPr>
          <w:w w:val="105"/>
        </w:rPr>
        <w:t xml:space="preserve"> sold or marketed contain a consistent amount of virgin HFCs (</w:t>
      </w:r>
      <w:r w:rsidRPr="00283806">
        <w:rPr>
          <w:rFonts w:ascii="Book Antiqua"/>
          <w:i/>
          <w:w w:val="105"/>
        </w:rPr>
        <w:t xml:space="preserve">i.e., </w:t>
      </w:r>
      <w:r w:rsidRPr="00283806">
        <w:rPr>
          <w:w w:val="105"/>
        </w:rPr>
        <w:t>no more than 15 percent, by weight).</w:t>
      </w:r>
    </w:p>
    <w:p w14:paraId="4DE71F2B" w14:textId="77777777" w:rsidR="00D67C1E" w:rsidRPr="00283806" w:rsidRDefault="001265CA">
      <w:pPr>
        <w:pStyle w:val="BodyText"/>
        <w:spacing w:before="6" w:line="228" w:lineRule="auto"/>
        <w:ind w:left="144" w:right="65"/>
      </w:pPr>
      <w:r w:rsidRPr="00283806">
        <w:rPr>
          <w:w w:val="105"/>
        </w:rPr>
        <w:t>Establishing a varying standard might produce unintended effects for</w:t>
      </w:r>
      <w:r w:rsidRPr="00283806">
        <w:rPr>
          <w:spacing w:val="80"/>
          <w:w w:val="105"/>
        </w:rPr>
        <w:t xml:space="preserve"> </w:t>
      </w:r>
      <w:r w:rsidRPr="00283806">
        <w:rPr>
          <w:w w:val="105"/>
        </w:rPr>
        <w:t>reclaimed HFC refrigerants placed on</w:t>
      </w:r>
      <w:r w:rsidRPr="00283806">
        <w:rPr>
          <w:spacing w:val="80"/>
          <w:w w:val="105"/>
        </w:rPr>
        <w:t xml:space="preserve"> </w:t>
      </w:r>
      <w:r w:rsidRPr="00283806">
        <w:rPr>
          <w:w w:val="105"/>
        </w:rPr>
        <w:t>the market such that reclaimed HFCs of varying amounts of virgin content may</w:t>
      </w:r>
      <w:r w:rsidRPr="00283806">
        <w:rPr>
          <w:spacing w:val="40"/>
          <w:w w:val="105"/>
        </w:rPr>
        <w:t xml:space="preserve"> </w:t>
      </w:r>
      <w:r w:rsidRPr="00283806">
        <w:rPr>
          <w:w w:val="105"/>
        </w:rPr>
        <w:t>be valued differently by purchasers. The reclamation standard of 15 percent</w:t>
      </w:r>
      <w:r w:rsidRPr="00283806">
        <w:rPr>
          <w:spacing w:val="40"/>
          <w:w w:val="105"/>
        </w:rPr>
        <w:t xml:space="preserve"> </w:t>
      </w:r>
      <w:r w:rsidRPr="00283806">
        <w:rPr>
          <w:w w:val="105"/>
        </w:rPr>
        <w:t>virgin HFCs, by weight, allows for some virgin HFCs to be used to rebalance HFC blends, if needed. Further, this</w:t>
      </w:r>
      <w:r w:rsidRPr="00283806">
        <w:rPr>
          <w:spacing w:val="80"/>
          <w:w w:val="105"/>
        </w:rPr>
        <w:t xml:space="preserve"> </w:t>
      </w:r>
      <w:r w:rsidRPr="00283806">
        <w:rPr>
          <w:w w:val="105"/>
        </w:rPr>
        <w:t>consistent standard will also avoid scenarios where HFC refrigerants are sold or marketed as reclaimed but may consist of only a small amount of recovered and reclaimed material and</w:t>
      </w:r>
      <w:r w:rsidRPr="00283806">
        <w:rPr>
          <w:spacing w:val="40"/>
          <w:w w:val="105"/>
        </w:rPr>
        <w:t xml:space="preserve"> </w:t>
      </w:r>
      <w:r w:rsidRPr="00283806">
        <w:rPr>
          <w:w w:val="105"/>
        </w:rPr>
        <w:t>the balance being virgin HFCs. Such a</w:t>
      </w:r>
      <w:r w:rsidRPr="00283806">
        <w:rPr>
          <w:spacing w:val="40"/>
          <w:w w:val="105"/>
        </w:rPr>
        <w:t xml:space="preserve"> </w:t>
      </w:r>
      <w:r w:rsidRPr="00283806">
        <w:rPr>
          <w:w w:val="105"/>
        </w:rPr>
        <w:t>case could lead to confusion for refrigerant purchasers, including those</w:t>
      </w:r>
      <w:r w:rsidRPr="00283806">
        <w:rPr>
          <w:spacing w:val="80"/>
          <w:w w:val="105"/>
        </w:rPr>
        <w:t xml:space="preserve"> </w:t>
      </w:r>
      <w:r w:rsidRPr="00283806">
        <w:rPr>
          <w:w w:val="105"/>
        </w:rPr>
        <w:t>in subsectors subject to the</w:t>
      </w:r>
      <w:r w:rsidRPr="00283806">
        <w:rPr>
          <w:spacing w:val="80"/>
          <w:w w:val="105"/>
        </w:rPr>
        <w:t xml:space="preserve"> </w:t>
      </w:r>
      <w:r w:rsidRPr="00283806">
        <w:rPr>
          <w:w w:val="105"/>
        </w:rPr>
        <w:t xml:space="preserve">requirements for the </w:t>
      </w:r>
      <w:proofErr w:type="gramStart"/>
      <w:r w:rsidRPr="00283806">
        <w:rPr>
          <w:w w:val="105"/>
        </w:rPr>
        <w:t>servicing and/or repair of</w:t>
      </w:r>
      <w:proofErr w:type="gramEnd"/>
      <w:r w:rsidRPr="00283806">
        <w:rPr>
          <w:w w:val="105"/>
        </w:rPr>
        <w:t xml:space="preserve"> refrigerant-containing equipment with reclaimed HFCs. This final rule, as described in this section,</w:t>
      </w:r>
      <w:r w:rsidRPr="00283806">
        <w:rPr>
          <w:spacing w:val="40"/>
          <w:w w:val="105"/>
        </w:rPr>
        <w:t xml:space="preserve"> </w:t>
      </w:r>
      <w:r w:rsidRPr="00283806">
        <w:rPr>
          <w:w w:val="105"/>
        </w:rPr>
        <w:t>also includes provisions for recordkeeping and labeling based on</w:t>
      </w:r>
      <w:r w:rsidRPr="00283806">
        <w:rPr>
          <w:spacing w:val="80"/>
          <w:w w:val="105"/>
        </w:rPr>
        <w:t xml:space="preserve"> </w:t>
      </w:r>
      <w:r w:rsidRPr="00283806">
        <w:rPr>
          <w:w w:val="105"/>
        </w:rPr>
        <w:t xml:space="preserve">this standard, which are intended to support identification of those HFC refrigerants that meet the reclamation standard, including by those purchasing reclaimed HFC </w:t>
      </w:r>
      <w:proofErr w:type="gramStart"/>
      <w:r w:rsidRPr="00283806">
        <w:rPr>
          <w:w w:val="105"/>
        </w:rPr>
        <w:t>refrigerant</w:t>
      </w:r>
      <w:proofErr w:type="gramEnd"/>
      <w:r w:rsidRPr="00283806">
        <w:rPr>
          <w:w w:val="105"/>
        </w:rPr>
        <w:t xml:space="preserve">, by those servicing and/or repairing </w:t>
      </w:r>
      <w:proofErr w:type="gramStart"/>
      <w:r w:rsidRPr="00283806">
        <w:rPr>
          <w:w w:val="105"/>
        </w:rPr>
        <w:t>refrigerant</w:t>
      </w:r>
      <w:proofErr w:type="gramEnd"/>
      <w:r w:rsidRPr="00283806">
        <w:rPr>
          <w:w w:val="105"/>
        </w:rPr>
        <w:t>- containing equipment, and by EPA. Moreover, for these reasons, EPA</w:t>
      </w:r>
    </w:p>
    <w:p w14:paraId="36A3A2EB" w14:textId="77777777" w:rsidR="00D67C1E" w:rsidRPr="00283806" w:rsidRDefault="001265CA">
      <w:pPr>
        <w:pStyle w:val="BodyText"/>
        <w:spacing w:before="134" w:line="225" w:lineRule="auto"/>
        <w:ind w:left="155" w:right="231"/>
      </w:pPr>
      <w:r w:rsidRPr="00283806">
        <w:br w:type="column"/>
      </w:r>
      <w:r w:rsidRPr="00283806">
        <w:rPr>
          <w:w w:val="105"/>
        </w:rPr>
        <w:t>concludes that establishing a consistent limit of 15 percent, by weight, of virgin HFCs in reclaimed HFC refrigerant is appropriate, in consideration of the purpose identified in subsection (h)(1) the AIM Act to maximize reclamation.</w:t>
      </w:r>
    </w:p>
    <w:p w14:paraId="3EADD33C" w14:textId="77777777" w:rsidR="00D67C1E" w:rsidRPr="00283806" w:rsidRDefault="001265CA">
      <w:pPr>
        <w:pStyle w:val="BodyText"/>
        <w:spacing w:line="178" w:lineRule="exact"/>
        <w:ind w:left="335"/>
      </w:pPr>
      <w:r w:rsidRPr="00283806">
        <w:rPr>
          <w:w w:val="105"/>
        </w:rPr>
        <w:t>EPA</w:t>
      </w:r>
      <w:r w:rsidRPr="00283806">
        <w:rPr>
          <w:spacing w:val="13"/>
          <w:w w:val="105"/>
        </w:rPr>
        <w:t xml:space="preserve"> </w:t>
      </w:r>
      <w:r w:rsidRPr="00283806">
        <w:rPr>
          <w:w w:val="105"/>
        </w:rPr>
        <w:t>acknowledges</w:t>
      </w:r>
      <w:r w:rsidRPr="00283806">
        <w:rPr>
          <w:spacing w:val="14"/>
          <w:w w:val="105"/>
        </w:rPr>
        <w:t xml:space="preserve"> </w:t>
      </w:r>
      <w:r w:rsidRPr="00283806">
        <w:rPr>
          <w:w w:val="105"/>
        </w:rPr>
        <w:t>that</w:t>
      </w:r>
      <w:r w:rsidRPr="00283806">
        <w:rPr>
          <w:spacing w:val="14"/>
          <w:w w:val="105"/>
        </w:rPr>
        <w:t xml:space="preserve"> </w:t>
      </w:r>
      <w:r w:rsidRPr="00283806">
        <w:rPr>
          <w:w w:val="105"/>
        </w:rPr>
        <w:t>the</w:t>
      </w:r>
      <w:r w:rsidRPr="00283806">
        <w:rPr>
          <w:spacing w:val="14"/>
          <w:w w:val="105"/>
        </w:rPr>
        <w:t xml:space="preserve"> </w:t>
      </w:r>
      <w:r w:rsidRPr="00283806">
        <w:rPr>
          <w:spacing w:val="-2"/>
          <w:w w:val="105"/>
        </w:rPr>
        <w:t>program</w:t>
      </w:r>
    </w:p>
    <w:p w14:paraId="2D8D71AD" w14:textId="77777777" w:rsidR="00D67C1E" w:rsidRPr="00283806" w:rsidRDefault="001265CA">
      <w:pPr>
        <w:pStyle w:val="BodyText"/>
        <w:spacing w:before="6" w:line="223" w:lineRule="auto"/>
        <w:ind w:left="155" w:right="302"/>
      </w:pPr>
      <w:r w:rsidRPr="00283806">
        <w:rPr>
          <w:w w:val="105"/>
        </w:rPr>
        <w:t>established by CARB was term-limited, with applicability only for a single</w:t>
      </w:r>
      <w:r w:rsidRPr="00283806">
        <w:rPr>
          <w:spacing w:val="80"/>
          <w:w w:val="105"/>
        </w:rPr>
        <w:t xml:space="preserve"> </w:t>
      </w:r>
      <w:r w:rsidRPr="00283806">
        <w:rPr>
          <w:w w:val="105"/>
        </w:rPr>
        <w:t>State. The Agency agrees that applying</w:t>
      </w:r>
      <w:r w:rsidRPr="00283806">
        <w:rPr>
          <w:spacing w:val="80"/>
          <w:w w:val="105"/>
        </w:rPr>
        <w:t xml:space="preserve"> </w:t>
      </w:r>
      <w:r w:rsidRPr="00283806">
        <w:rPr>
          <w:w w:val="105"/>
        </w:rPr>
        <w:t>a reclamation standard on a broader scope (</w:t>
      </w:r>
      <w:r w:rsidRPr="00283806">
        <w:rPr>
          <w:rFonts w:ascii="Book Antiqua"/>
          <w:i/>
          <w:w w:val="105"/>
        </w:rPr>
        <w:t xml:space="preserve">i.e., </w:t>
      </w:r>
      <w:r w:rsidRPr="00283806">
        <w:rPr>
          <w:w w:val="105"/>
        </w:rPr>
        <w:t>nationally) may provide signals to spur additional reclamation and advancements in technology.</w:t>
      </w:r>
    </w:p>
    <w:p w14:paraId="264EBB43" w14:textId="77777777" w:rsidR="00D67C1E" w:rsidRPr="00283806" w:rsidRDefault="001265CA">
      <w:pPr>
        <w:pStyle w:val="BodyText"/>
        <w:spacing w:line="225" w:lineRule="auto"/>
        <w:ind w:left="155" w:right="193"/>
      </w:pPr>
      <w:r w:rsidRPr="00283806">
        <w:rPr>
          <w:w w:val="105"/>
        </w:rPr>
        <w:t>However,</w:t>
      </w:r>
      <w:r w:rsidRPr="00283806">
        <w:rPr>
          <w:spacing w:val="40"/>
          <w:w w:val="105"/>
        </w:rPr>
        <w:t xml:space="preserve"> </w:t>
      </w:r>
      <w:r w:rsidRPr="00283806">
        <w:rPr>
          <w:w w:val="105"/>
        </w:rPr>
        <w:t>unlike</w:t>
      </w:r>
      <w:r w:rsidRPr="00283806">
        <w:rPr>
          <w:spacing w:val="40"/>
          <w:w w:val="105"/>
        </w:rPr>
        <w:t xml:space="preserve"> </w:t>
      </w:r>
      <w:r w:rsidRPr="00283806">
        <w:rPr>
          <w:w w:val="105"/>
        </w:rPr>
        <w:t>the</w:t>
      </w:r>
      <w:r w:rsidRPr="00283806">
        <w:rPr>
          <w:spacing w:val="40"/>
          <w:w w:val="105"/>
        </w:rPr>
        <w:t xml:space="preserve"> </w:t>
      </w:r>
      <w:r w:rsidRPr="00283806">
        <w:rPr>
          <w:w w:val="105"/>
        </w:rPr>
        <w:t>CARB</w:t>
      </w:r>
      <w:r w:rsidRPr="00283806">
        <w:rPr>
          <w:spacing w:val="40"/>
          <w:w w:val="105"/>
        </w:rPr>
        <w:t xml:space="preserve"> </w:t>
      </w:r>
      <w:r w:rsidRPr="00283806">
        <w:rPr>
          <w:w w:val="105"/>
        </w:rPr>
        <w:t xml:space="preserve">program, EPA </w:t>
      </w:r>
      <w:proofErr w:type="gramStart"/>
      <w:r w:rsidRPr="00283806">
        <w:rPr>
          <w:w w:val="105"/>
        </w:rPr>
        <w:t>is not applying</w:t>
      </w:r>
      <w:proofErr w:type="gramEnd"/>
      <w:r w:rsidRPr="00283806">
        <w:rPr>
          <w:w w:val="105"/>
        </w:rPr>
        <w:t xml:space="preserve"> the reclamation standard to only a single refrigerant blend in this rulemaking, noting that the standard applies to the HFC portion of refrigerants that contain HFCs (whether neat or in a blend), nor is the Agency establishing a term-limited program for the reclamation standard. As noted earlier in this response, the reclamation standard</w:t>
      </w:r>
      <w:r w:rsidRPr="00283806">
        <w:rPr>
          <w:spacing w:val="40"/>
          <w:w w:val="105"/>
        </w:rPr>
        <w:t xml:space="preserve"> </w:t>
      </w:r>
      <w:r w:rsidRPr="00283806">
        <w:rPr>
          <w:w w:val="105"/>
        </w:rPr>
        <w:t>established</w:t>
      </w:r>
      <w:r w:rsidRPr="00283806">
        <w:rPr>
          <w:spacing w:val="40"/>
          <w:w w:val="105"/>
        </w:rPr>
        <w:t xml:space="preserve"> </w:t>
      </w:r>
      <w:r w:rsidRPr="00283806">
        <w:rPr>
          <w:w w:val="105"/>
        </w:rPr>
        <w:t>in</w:t>
      </w:r>
      <w:r w:rsidRPr="00283806">
        <w:rPr>
          <w:spacing w:val="40"/>
          <w:w w:val="105"/>
        </w:rPr>
        <w:t xml:space="preserve"> </w:t>
      </w:r>
      <w:r w:rsidRPr="00283806">
        <w:rPr>
          <w:w w:val="105"/>
        </w:rPr>
        <w:t>this</w:t>
      </w:r>
      <w:r w:rsidRPr="00283806">
        <w:rPr>
          <w:spacing w:val="40"/>
          <w:w w:val="105"/>
        </w:rPr>
        <w:t xml:space="preserve"> </w:t>
      </w:r>
      <w:r w:rsidRPr="00283806">
        <w:rPr>
          <w:w w:val="105"/>
        </w:rPr>
        <w:t>rule</w:t>
      </w:r>
      <w:r w:rsidRPr="00283806">
        <w:rPr>
          <w:spacing w:val="40"/>
          <w:w w:val="105"/>
        </w:rPr>
        <w:t xml:space="preserve"> </w:t>
      </w:r>
      <w:r w:rsidRPr="00283806">
        <w:rPr>
          <w:w w:val="105"/>
        </w:rPr>
        <w:t>is based on consideration of the purpose identified in subsection (h)(1) to maximize</w:t>
      </w:r>
      <w:r w:rsidRPr="00283806">
        <w:rPr>
          <w:spacing w:val="40"/>
          <w:w w:val="105"/>
        </w:rPr>
        <w:t xml:space="preserve"> </w:t>
      </w:r>
      <w:r w:rsidRPr="00283806">
        <w:rPr>
          <w:w w:val="105"/>
        </w:rPr>
        <w:t>reclamation.</w:t>
      </w:r>
      <w:r w:rsidRPr="00283806">
        <w:rPr>
          <w:spacing w:val="40"/>
          <w:w w:val="105"/>
        </w:rPr>
        <w:t xml:space="preserve"> </w:t>
      </w:r>
      <w:r w:rsidRPr="00283806">
        <w:rPr>
          <w:w w:val="105"/>
        </w:rPr>
        <w:t>Thus,</w:t>
      </w:r>
      <w:r w:rsidRPr="00283806">
        <w:rPr>
          <w:spacing w:val="40"/>
          <w:w w:val="105"/>
        </w:rPr>
        <w:t xml:space="preserve"> </w:t>
      </w:r>
      <w:r w:rsidRPr="00283806">
        <w:rPr>
          <w:w w:val="105"/>
        </w:rPr>
        <w:t>the</w:t>
      </w:r>
      <w:r w:rsidRPr="00283806">
        <w:rPr>
          <w:spacing w:val="40"/>
          <w:w w:val="105"/>
        </w:rPr>
        <w:t xml:space="preserve"> </w:t>
      </w:r>
      <w:r w:rsidRPr="00283806">
        <w:rPr>
          <w:w w:val="105"/>
        </w:rPr>
        <w:t>Agency is not tightening the standard, at this time, for reasons described earlier</w:t>
      </w:r>
      <w:r w:rsidRPr="00283806">
        <w:rPr>
          <w:spacing w:val="80"/>
          <w:w w:val="105"/>
        </w:rPr>
        <w:t xml:space="preserve"> </w:t>
      </w:r>
      <w:r w:rsidRPr="00283806">
        <w:rPr>
          <w:w w:val="105"/>
        </w:rPr>
        <w:t>in this response and since the reclamation standard in this final rule applies more broadly than that of the CARB program.</w:t>
      </w:r>
    </w:p>
    <w:p w14:paraId="3572C2C5" w14:textId="77777777" w:rsidR="00D67C1E" w:rsidRPr="00283806" w:rsidRDefault="001265CA">
      <w:pPr>
        <w:pStyle w:val="BodyText"/>
        <w:spacing w:line="173" w:lineRule="exact"/>
        <w:ind w:left="335"/>
      </w:pPr>
      <w:r w:rsidRPr="00283806">
        <w:rPr>
          <w:w w:val="105"/>
        </w:rPr>
        <w:t>EPA</w:t>
      </w:r>
      <w:r w:rsidRPr="00283806">
        <w:rPr>
          <w:spacing w:val="21"/>
          <w:w w:val="105"/>
        </w:rPr>
        <w:t xml:space="preserve"> </w:t>
      </w:r>
      <w:r w:rsidRPr="00283806">
        <w:rPr>
          <w:w w:val="105"/>
        </w:rPr>
        <w:t>acknowledges</w:t>
      </w:r>
      <w:r w:rsidRPr="00283806">
        <w:rPr>
          <w:spacing w:val="21"/>
          <w:w w:val="105"/>
        </w:rPr>
        <w:t xml:space="preserve"> </w:t>
      </w:r>
      <w:r w:rsidRPr="00283806">
        <w:rPr>
          <w:w w:val="105"/>
        </w:rPr>
        <w:t>concerns</w:t>
      </w:r>
      <w:r w:rsidRPr="00283806">
        <w:rPr>
          <w:spacing w:val="22"/>
          <w:w w:val="105"/>
        </w:rPr>
        <w:t xml:space="preserve"> </w:t>
      </w:r>
      <w:r w:rsidRPr="00283806">
        <w:rPr>
          <w:spacing w:val="-2"/>
          <w:w w:val="105"/>
        </w:rPr>
        <w:t>related</w:t>
      </w:r>
    </w:p>
    <w:p w14:paraId="0EA6D9B5" w14:textId="77777777" w:rsidR="00D67C1E" w:rsidRPr="00283806" w:rsidRDefault="001265CA">
      <w:pPr>
        <w:pStyle w:val="BodyText"/>
        <w:spacing w:before="4" w:line="225" w:lineRule="auto"/>
        <w:ind w:left="155" w:right="228"/>
      </w:pPr>
      <w:r w:rsidRPr="00283806">
        <w:rPr>
          <w:w w:val="105"/>
        </w:rPr>
        <w:t>to ‘‘greenwashing’’ and improperly claiming benefits associated with reclaimed refrigerants. The Agency’s view is that the established limit of 15 percent, by weight, for virgin HFCs in reclaimed HFC refrigerants is appropriate at this time, as explained earlier in this response. EPA considers the required label and other requirements established in this rule as one means of countering false claims of benefits related to refrigerants that contain a higher proportion than permitted of virgin HFCs. To the extent that one of the commenters claims that allowing any virgin HFCs in reclaimed refrigerant would lead to greenwashing claims, EPA disagrees. The</w:t>
      </w:r>
      <w:r w:rsidRPr="00283806">
        <w:rPr>
          <w:spacing w:val="80"/>
          <w:w w:val="105"/>
        </w:rPr>
        <w:t xml:space="preserve"> </w:t>
      </w:r>
      <w:r w:rsidRPr="00283806">
        <w:rPr>
          <w:w w:val="105"/>
        </w:rPr>
        <w:t>requirements established in this rule provided clarity about the extent to which reclaimed refrigerant can contain virgin HFCs and are designed to ensure that all reclaimed refrigerant meets the same minimum standards. The Agency will monitor the marketing of refrigerants and may consider revising</w:t>
      </w:r>
      <w:r w:rsidRPr="00283806">
        <w:rPr>
          <w:spacing w:val="40"/>
          <w:w w:val="105"/>
        </w:rPr>
        <w:t xml:space="preserve"> </w:t>
      </w:r>
      <w:r w:rsidRPr="00283806">
        <w:rPr>
          <w:w w:val="105"/>
        </w:rPr>
        <w:t>or adding to these requirements in the future if warranted.</w:t>
      </w:r>
    </w:p>
    <w:p w14:paraId="31FABBF0" w14:textId="77777777" w:rsidR="00D67C1E" w:rsidRPr="00283806" w:rsidRDefault="001265CA">
      <w:pPr>
        <w:pStyle w:val="BodyText"/>
        <w:spacing w:line="179" w:lineRule="exact"/>
        <w:ind w:left="335"/>
      </w:pPr>
      <w:r w:rsidRPr="00283806">
        <w:rPr>
          <w:w w:val="105"/>
        </w:rPr>
        <w:t>EPA</w:t>
      </w:r>
      <w:r w:rsidRPr="00283806">
        <w:rPr>
          <w:spacing w:val="14"/>
          <w:w w:val="105"/>
        </w:rPr>
        <w:t xml:space="preserve"> </w:t>
      </w:r>
      <w:r w:rsidRPr="00283806">
        <w:rPr>
          <w:w w:val="105"/>
        </w:rPr>
        <w:t>acknowledges</w:t>
      </w:r>
      <w:r w:rsidRPr="00283806">
        <w:rPr>
          <w:spacing w:val="14"/>
          <w:w w:val="105"/>
        </w:rPr>
        <w:t xml:space="preserve"> </w:t>
      </w:r>
      <w:r w:rsidRPr="00283806">
        <w:rPr>
          <w:w w:val="105"/>
        </w:rPr>
        <w:t>that</w:t>
      </w:r>
      <w:r w:rsidRPr="00283806">
        <w:rPr>
          <w:spacing w:val="14"/>
          <w:w w:val="105"/>
        </w:rPr>
        <w:t xml:space="preserve"> </w:t>
      </w:r>
      <w:r w:rsidRPr="00283806">
        <w:rPr>
          <w:w w:val="105"/>
        </w:rPr>
        <w:t>some,</w:t>
      </w:r>
      <w:r w:rsidRPr="00283806">
        <w:rPr>
          <w:spacing w:val="15"/>
          <w:w w:val="105"/>
        </w:rPr>
        <w:t xml:space="preserve"> </w:t>
      </w:r>
      <w:r w:rsidRPr="00283806">
        <w:rPr>
          <w:w w:val="105"/>
        </w:rPr>
        <w:t>but</w:t>
      </w:r>
      <w:r w:rsidRPr="00283806">
        <w:rPr>
          <w:spacing w:val="14"/>
          <w:w w:val="105"/>
        </w:rPr>
        <w:t xml:space="preserve"> </w:t>
      </w:r>
      <w:r w:rsidRPr="00283806">
        <w:rPr>
          <w:spacing w:val="-5"/>
          <w:w w:val="105"/>
        </w:rPr>
        <w:t>not</w:t>
      </w:r>
    </w:p>
    <w:p w14:paraId="7B08AF17" w14:textId="77777777" w:rsidR="00D67C1E" w:rsidRPr="00283806" w:rsidRDefault="001265CA">
      <w:pPr>
        <w:pStyle w:val="BodyText"/>
        <w:spacing w:before="3" w:line="228" w:lineRule="auto"/>
        <w:ind w:left="155" w:right="154"/>
      </w:pPr>
      <w:proofErr w:type="gramStart"/>
      <w:r w:rsidRPr="00283806">
        <w:rPr>
          <w:w w:val="105"/>
        </w:rPr>
        <w:t>all,</w:t>
      </w:r>
      <w:proofErr w:type="gramEnd"/>
      <w:r w:rsidRPr="00283806">
        <w:rPr>
          <w:w w:val="105"/>
        </w:rPr>
        <w:t xml:space="preserve"> reclaimers are allowance holders.</w:t>
      </w:r>
      <w:r w:rsidRPr="00283806">
        <w:rPr>
          <w:spacing w:val="40"/>
          <w:w w:val="105"/>
        </w:rPr>
        <w:t xml:space="preserve"> </w:t>
      </w:r>
      <w:r w:rsidRPr="00283806">
        <w:rPr>
          <w:w w:val="105"/>
        </w:rPr>
        <w:t>EPA does not view a lack of allowances</w:t>
      </w:r>
      <w:r w:rsidRPr="00283806">
        <w:rPr>
          <w:spacing w:val="40"/>
          <w:w w:val="105"/>
        </w:rPr>
        <w:t xml:space="preserve"> </w:t>
      </w:r>
      <w:r w:rsidRPr="00283806">
        <w:rPr>
          <w:w w:val="105"/>
        </w:rPr>
        <w:t>as a barrier to reclamation. To the extent that reclaimers use high-purity refrigerants in their reclamation process</w:t>
      </w:r>
    </w:p>
    <w:p w14:paraId="1731FB72"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6" w:space="40"/>
            <w:col w:w="3490" w:space="39"/>
            <w:col w:w="3635"/>
          </w:cols>
        </w:sectPr>
      </w:pPr>
    </w:p>
    <w:p w14:paraId="73880214" w14:textId="77777777" w:rsidR="00D67C1E" w:rsidRPr="00283806" w:rsidRDefault="001265CA">
      <w:pPr>
        <w:pStyle w:val="BodyText"/>
        <w:spacing w:before="136" w:line="225" w:lineRule="auto"/>
        <w:ind w:right="21"/>
      </w:pPr>
      <w:r w:rsidRPr="00283806">
        <w:rPr>
          <w:w w:val="105"/>
        </w:rPr>
        <w:lastRenderedPageBreak/>
        <w:t>(</w:t>
      </w:r>
      <w:r w:rsidRPr="00283806">
        <w:rPr>
          <w:rFonts w:ascii="Book Antiqua"/>
          <w:i/>
          <w:w w:val="105"/>
        </w:rPr>
        <w:t xml:space="preserve">e.g., </w:t>
      </w:r>
      <w:r w:rsidRPr="00283806">
        <w:rPr>
          <w:w w:val="105"/>
        </w:rPr>
        <w:t>for rebalancing blends), even if</w:t>
      </w:r>
      <w:r w:rsidRPr="00283806">
        <w:rPr>
          <w:spacing w:val="80"/>
          <w:w w:val="105"/>
        </w:rPr>
        <w:t xml:space="preserve"> </w:t>
      </w:r>
      <w:r w:rsidRPr="00283806">
        <w:rPr>
          <w:w w:val="105"/>
        </w:rPr>
        <w:t>they do not have allowances, they could purchase virgin HFCs in the domestic market or other high purity (</w:t>
      </w:r>
      <w:r w:rsidRPr="00283806">
        <w:rPr>
          <w:rFonts w:ascii="Book Antiqua"/>
          <w:i/>
          <w:w w:val="105"/>
        </w:rPr>
        <w:t xml:space="preserve">e.g., </w:t>
      </w:r>
      <w:r w:rsidRPr="00283806">
        <w:rPr>
          <w:w w:val="105"/>
        </w:rPr>
        <w:t>previously reclaimed) refrigerant, which may or may not go through some degree of reprocessing, until the final product meets the purity specifications to be considered reclaimed. Further, reclaimers may obtain allowances through transfers from existing allowance holders, and the transferred allowances can then be used to import HFCs. EPA is unclear as to how non- reclaimers would dilute the reclamation market based on the comment; however, EPA responds to concerns with the potential for a non-reclaimer to market refrigerant as reclaimed by noting that the</w:t>
      </w:r>
      <w:r w:rsidRPr="00283806">
        <w:rPr>
          <w:spacing w:val="40"/>
          <w:w w:val="105"/>
        </w:rPr>
        <w:t xml:space="preserve"> </w:t>
      </w:r>
      <w:r w:rsidRPr="00283806">
        <w:rPr>
          <w:w w:val="105"/>
        </w:rPr>
        <w:t>requirements</w:t>
      </w:r>
      <w:r w:rsidRPr="00283806">
        <w:rPr>
          <w:spacing w:val="40"/>
          <w:w w:val="105"/>
        </w:rPr>
        <w:t xml:space="preserve"> </w:t>
      </w:r>
      <w:r w:rsidRPr="00283806">
        <w:rPr>
          <w:w w:val="105"/>
        </w:rPr>
        <w:t>finalized</w:t>
      </w:r>
      <w:r w:rsidRPr="00283806">
        <w:rPr>
          <w:spacing w:val="40"/>
          <w:w w:val="105"/>
        </w:rPr>
        <w:t xml:space="preserve"> </w:t>
      </w:r>
      <w:r w:rsidRPr="00283806">
        <w:rPr>
          <w:w w:val="105"/>
        </w:rPr>
        <w:t>in</w:t>
      </w:r>
      <w:r w:rsidRPr="00283806">
        <w:rPr>
          <w:spacing w:val="40"/>
          <w:w w:val="105"/>
        </w:rPr>
        <w:t xml:space="preserve"> </w:t>
      </w:r>
      <w:r w:rsidRPr="00283806">
        <w:rPr>
          <w:w w:val="105"/>
        </w:rPr>
        <w:t>this action, including the labeling and recordkeeping requirements, apply to any</w:t>
      </w:r>
      <w:r w:rsidRPr="00283806">
        <w:rPr>
          <w:spacing w:val="4"/>
          <w:w w:val="105"/>
        </w:rPr>
        <w:t xml:space="preserve"> </w:t>
      </w:r>
      <w:r w:rsidRPr="00283806">
        <w:rPr>
          <w:w w:val="105"/>
        </w:rPr>
        <w:t>refrigerant</w:t>
      </w:r>
      <w:r w:rsidRPr="00283806">
        <w:rPr>
          <w:spacing w:val="4"/>
          <w:w w:val="105"/>
        </w:rPr>
        <w:t xml:space="preserve"> </w:t>
      </w:r>
      <w:r w:rsidRPr="00283806">
        <w:rPr>
          <w:w w:val="105"/>
        </w:rPr>
        <w:t>that</w:t>
      </w:r>
      <w:r w:rsidRPr="00283806">
        <w:rPr>
          <w:spacing w:val="5"/>
          <w:w w:val="105"/>
        </w:rPr>
        <w:t xml:space="preserve"> </w:t>
      </w:r>
      <w:r w:rsidRPr="00283806">
        <w:rPr>
          <w:w w:val="105"/>
        </w:rPr>
        <w:t>is</w:t>
      </w:r>
      <w:r w:rsidRPr="00283806">
        <w:rPr>
          <w:spacing w:val="4"/>
          <w:w w:val="105"/>
        </w:rPr>
        <w:t xml:space="preserve"> </w:t>
      </w:r>
      <w:r w:rsidRPr="00283806">
        <w:rPr>
          <w:w w:val="105"/>
        </w:rPr>
        <w:t>sold</w:t>
      </w:r>
      <w:r w:rsidRPr="00283806">
        <w:rPr>
          <w:spacing w:val="4"/>
          <w:w w:val="105"/>
        </w:rPr>
        <w:t xml:space="preserve"> </w:t>
      </w:r>
      <w:r w:rsidRPr="00283806">
        <w:rPr>
          <w:w w:val="105"/>
        </w:rPr>
        <w:t>as</w:t>
      </w:r>
      <w:r w:rsidRPr="00283806">
        <w:rPr>
          <w:spacing w:val="5"/>
          <w:w w:val="105"/>
        </w:rPr>
        <w:t xml:space="preserve"> </w:t>
      </w:r>
      <w:r w:rsidRPr="00283806">
        <w:rPr>
          <w:spacing w:val="-2"/>
          <w:w w:val="105"/>
        </w:rPr>
        <w:t>reclaimed.</w:t>
      </w:r>
    </w:p>
    <w:p w14:paraId="43C4A5E9" w14:textId="77777777" w:rsidR="00D67C1E" w:rsidRPr="00283806" w:rsidRDefault="001265CA">
      <w:pPr>
        <w:pStyle w:val="BodyText"/>
        <w:spacing w:before="25" w:line="228" w:lineRule="auto"/>
        <w:ind w:right="3" w:firstLine="180"/>
      </w:pPr>
      <w:r w:rsidRPr="00283806">
        <w:rPr>
          <w:rFonts w:ascii="Book Antiqua"/>
          <w:i/>
          <w:w w:val="105"/>
        </w:rPr>
        <w:t xml:space="preserve">Comment: </w:t>
      </w:r>
      <w:r w:rsidRPr="00283806">
        <w:rPr>
          <w:w w:val="105"/>
        </w:rPr>
        <w:t>One commenter supported the 15 percent virgin allowance for reclamation but sought clarification on the calculation of this value. The commenter was unclear how the calculation for reclaimed refrigerant would be performed, especially when</w:t>
      </w:r>
      <w:r w:rsidRPr="00283806">
        <w:rPr>
          <w:spacing w:val="80"/>
          <w:w w:val="105"/>
        </w:rPr>
        <w:t xml:space="preserve"> </w:t>
      </w:r>
      <w:r w:rsidRPr="00283806">
        <w:rPr>
          <w:w w:val="105"/>
        </w:rPr>
        <w:t>the reclaimed material includes non-</w:t>
      </w:r>
      <w:r w:rsidRPr="00283806">
        <w:rPr>
          <w:spacing w:val="80"/>
          <w:w w:val="105"/>
        </w:rPr>
        <w:t xml:space="preserve"> </w:t>
      </w:r>
      <w:r w:rsidRPr="00283806">
        <w:rPr>
          <w:w w:val="105"/>
        </w:rPr>
        <w:t xml:space="preserve">HFC refrigerants. The commenter was uncertain whether the non-HFC substances would be included in the weight of the reclaimed refrigerant batch and recommended not including non- HFC components towards the minimum 85 percent by weight of reclaimed HFCs. The commenter additionally suggested a tolerance limit for the measurement or calculation of </w:t>
      </w:r>
      <w:proofErr w:type="gramStart"/>
      <w:r w:rsidRPr="00283806">
        <w:rPr>
          <w:w w:val="105"/>
        </w:rPr>
        <w:t>the 15</w:t>
      </w:r>
      <w:proofErr w:type="gramEnd"/>
      <w:r w:rsidRPr="00283806">
        <w:rPr>
          <w:w w:val="105"/>
        </w:rPr>
        <w:t xml:space="preserve"> percent or 85 </w:t>
      </w:r>
      <w:r w:rsidRPr="00283806">
        <w:rPr>
          <w:spacing w:val="-2"/>
          <w:w w:val="105"/>
        </w:rPr>
        <w:t>percent.</w:t>
      </w:r>
    </w:p>
    <w:p w14:paraId="6A1DC42B" w14:textId="77777777" w:rsidR="00D67C1E" w:rsidRPr="00283806" w:rsidRDefault="001265CA">
      <w:pPr>
        <w:pStyle w:val="BodyText"/>
        <w:spacing w:line="225" w:lineRule="auto"/>
        <w:ind w:right="86" w:firstLine="180"/>
      </w:pPr>
      <w:r w:rsidRPr="00283806">
        <w:rPr>
          <w:rFonts w:ascii="Book Antiqua"/>
          <w:i/>
          <w:w w:val="105"/>
        </w:rPr>
        <w:t xml:space="preserve">Response: </w:t>
      </w:r>
      <w:r w:rsidRPr="00283806">
        <w:rPr>
          <w:w w:val="105"/>
        </w:rPr>
        <w:t>Consistent with the</w:t>
      </w:r>
      <w:r w:rsidRPr="00283806">
        <w:rPr>
          <w:spacing w:val="40"/>
          <w:w w:val="105"/>
        </w:rPr>
        <w:t xml:space="preserve"> </w:t>
      </w:r>
      <w:r w:rsidRPr="00283806">
        <w:rPr>
          <w:w w:val="105"/>
        </w:rPr>
        <w:t>proposal, EPA is clarifying that in the</w:t>
      </w:r>
      <w:r w:rsidRPr="00283806">
        <w:rPr>
          <w:spacing w:val="40"/>
          <w:w w:val="105"/>
        </w:rPr>
        <w:t xml:space="preserve"> </w:t>
      </w:r>
      <w:r w:rsidRPr="00283806">
        <w:rPr>
          <w:w w:val="105"/>
        </w:rPr>
        <w:t>case of reclamation of a refrigerant</w:t>
      </w:r>
      <w:r w:rsidRPr="00283806">
        <w:rPr>
          <w:spacing w:val="80"/>
          <w:w w:val="105"/>
        </w:rPr>
        <w:t xml:space="preserve"> </w:t>
      </w:r>
      <w:r w:rsidRPr="00283806">
        <w:rPr>
          <w:w w:val="105"/>
        </w:rPr>
        <w:t>blend that contains an HFC and a non- HFC component (</w:t>
      </w:r>
      <w:r w:rsidRPr="00283806">
        <w:rPr>
          <w:rFonts w:ascii="Book Antiqua"/>
          <w:i/>
          <w:w w:val="105"/>
        </w:rPr>
        <w:t xml:space="preserve">e.g., </w:t>
      </w:r>
      <w:r w:rsidRPr="00283806">
        <w:rPr>
          <w:w w:val="105"/>
        </w:rPr>
        <w:t>an HFO) that is being reclaimed, the 15 percent limit for virgin materials only applies to the HFC component of the blend. When calculating the amount of virgin HFCs that will be allowed, the 15 percent</w:t>
      </w:r>
      <w:r w:rsidRPr="00283806">
        <w:rPr>
          <w:spacing w:val="80"/>
          <w:w w:val="105"/>
        </w:rPr>
        <w:t xml:space="preserve"> </w:t>
      </w:r>
      <w:r w:rsidRPr="00283806">
        <w:rPr>
          <w:w w:val="105"/>
        </w:rPr>
        <w:t>limit,</w:t>
      </w:r>
      <w:r w:rsidRPr="00283806">
        <w:rPr>
          <w:spacing w:val="40"/>
          <w:w w:val="105"/>
        </w:rPr>
        <w:t xml:space="preserve"> </w:t>
      </w:r>
      <w:r w:rsidRPr="00283806">
        <w:rPr>
          <w:w w:val="105"/>
        </w:rPr>
        <w:t>by</w:t>
      </w:r>
      <w:r w:rsidRPr="00283806">
        <w:rPr>
          <w:spacing w:val="40"/>
          <w:w w:val="105"/>
        </w:rPr>
        <w:t xml:space="preserve"> </w:t>
      </w:r>
      <w:r w:rsidRPr="00283806">
        <w:rPr>
          <w:w w:val="105"/>
        </w:rPr>
        <w:t>weight,</w:t>
      </w:r>
      <w:r w:rsidRPr="00283806">
        <w:rPr>
          <w:spacing w:val="40"/>
          <w:w w:val="105"/>
        </w:rPr>
        <w:t xml:space="preserve"> </w:t>
      </w:r>
      <w:r w:rsidRPr="00283806">
        <w:rPr>
          <w:w w:val="105"/>
        </w:rPr>
        <w:t>applies</w:t>
      </w:r>
      <w:r w:rsidRPr="00283806">
        <w:rPr>
          <w:spacing w:val="40"/>
          <w:w w:val="105"/>
        </w:rPr>
        <w:t xml:space="preserve"> </w:t>
      </w:r>
      <w:r w:rsidRPr="00283806">
        <w:rPr>
          <w:w w:val="105"/>
        </w:rPr>
        <w:t>to</w:t>
      </w:r>
      <w:r w:rsidRPr="00283806">
        <w:rPr>
          <w:spacing w:val="40"/>
          <w:w w:val="105"/>
        </w:rPr>
        <w:t xml:space="preserve"> </w:t>
      </w:r>
      <w:r w:rsidRPr="00283806">
        <w:rPr>
          <w:w w:val="105"/>
        </w:rPr>
        <w:t>the</w:t>
      </w:r>
      <w:r w:rsidRPr="00283806">
        <w:rPr>
          <w:spacing w:val="40"/>
          <w:w w:val="105"/>
        </w:rPr>
        <w:t xml:space="preserve"> </w:t>
      </w:r>
      <w:r w:rsidRPr="00283806">
        <w:rPr>
          <w:w w:val="105"/>
        </w:rPr>
        <w:t>weight of the HFC component(s), not the total weight of the reclaimed refrigerant.</w:t>
      </w:r>
      <w:r w:rsidRPr="00283806">
        <w:rPr>
          <w:w w:val="105"/>
          <w:position w:val="5"/>
          <w:sz w:val="11"/>
        </w:rPr>
        <w:t>91</w:t>
      </w:r>
      <w:r w:rsidRPr="00283806">
        <w:rPr>
          <w:spacing w:val="40"/>
          <w:w w:val="105"/>
          <w:position w:val="5"/>
          <w:sz w:val="11"/>
        </w:rPr>
        <w:t xml:space="preserve"> </w:t>
      </w:r>
      <w:r w:rsidRPr="00283806">
        <w:rPr>
          <w:w w:val="105"/>
        </w:rPr>
        <w:t>EPA further clarifies that the 15 percent limit on virgin HFCs does not apply per HFC where a reclaimed refrigerant</w:t>
      </w:r>
      <w:r w:rsidRPr="00283806">
        <w:rPr>
          <w:spacing w:val="80"/>
          <w:w w:val="105"/>
        </w:rPr>
        <w:t xml:space="preserve"> </w:t>
      </w:r>
      <w:r w:rsidRPr="00283806">
        <w:rPr>
          <w:w w:val="105"/>
        </w:rPr>
        <w:t>blend contains more than one HFC component. Rather, the 15 percent limit on virgin HFCs should be calculated as</w:t>
      </w:r>
    </w:p>
    <w:p w14:paraId="12FB8E60" w14:textId="77777777" w:rsidR="00D67C1E" w:rsidRPr="00283806" w:rsidRDefault="001265CA">
      <w:pPr>
        <w:pStyle w:val="BodyText"/>
      </w:pPr>
      <w:r w:rsidRPr="00283806">
        <w:rPr>
          <w:w w:val="105"/>
        </w:rPr>
        <w:t>15</w:t>
      </w:r>
      <w:r w:rsidRPr="00283806">
        <w:rPr>
          <w:spacing w:val="5"/>
          <w:w w:val="105"/>
        </w:rPr>
        <w:t xml:space="preserve"> </w:t>
      </w:r>
      <w:r w:rsidRPr="00283806">
        <w:rPr>
          <w:w w:val="105"/>
        </w:rPr>
        <w:t>percent</w:t>
      </w:r>
      <w:r w:rsidRPr="00283806">
        <w:rPr>
          <w:spacing w:val="5"/>
          <w:w w:val="105"/>
        </w:rPr>
        <w:t xml:space="preserve"> </w:t>
      </w:r>
      <w:r w:rsidRPr="00283806">
        <w:rPr>
          <w:w w:val="105"/>
        </w:rPr>
        <w:t>of</w:t>
      </w:r>
      <w:r w:rsidRPr="00283806">
        <w:rPr>
          <w:spacing w:val="5"/>
          <w:w w:val="105"/>
        </w:rPr>
        <w:t xml:space="preserve"> </w:t>
      </w:r>
      <w:r w:rsidRPr="00283806">
        <w:rPr>
          <w:w w:val="105"/>
        </w:rPr>
        <w:t>the</w:t>
      </w:r>
      <w:r w:rsidRPr="00283806">
        <w:rPr>
          <w:spacing w:val="5"/>
          <w:w w:val="105"/>
        </w:rPr>
        <w:t xml:space="preserve"> </w:t>
      </w:r>
      <w:r w:rsidRPr="00283806">
        <w:rPr>
          <w:w w:val="105"/>
        </w:rPr>
        <w:t>weight</w:t>
      </w:r>
      <w:r w:rsidRPr="00283806">
        <w:rPr>
          <w:spacing w:val="5"/>
          <w:w w:val="105"/>
        </w:rPr>
        <w:t xml:space="preserve"> </w:t>
      </w:r>
      <w:r w:rsidRPr="00283806">
        <w:rPr>
          <w:w w:val="105"/>
        </w:rPr>
        <w:t>of</w:t>
      </w:r>
      <w:r w:rsidRPr="00283806">
        <w:rPr>
          <w:spacing w:val="5"/>
          <w:w w:val="105"/>
        </w:rPr>
        <w:t xml:space="preserve"> </w:t>
      </w:r>
      <w:r w:rsidRPr="00283806">
        <w:rPr>
          <w:w w:val="105"/>
        </w:rPr>
        <w:t>the</w:t>
      </w:r>
      <w:r w:rsidRPr="00283806">
        <w:rPr>
          <w:spacing w:val="5"/>
          <w:w w:val="105"/>
        </w:rPr>
        <w:t xml:space="preserve"> </w:t>
      </w:r>
      <w:r w:rsidRPr="00283806">
        <w:rPr>
          <w:w w:val="105"/>
        </w:rPr>
        <w:t>total</w:t>
      </w:r>
      <w:r w:rsidRPr="00283806">
        <w:rPr>
          <w:spacing w:val="5"/>
          <w:w w:val="105"/>
        </w:rPr>
        <w:t xml:space="preserve"> </w:t>
      </w:r>
      <w:r w:rsidRPr="00283806">
        <w:rPr>
          <w:spacing w:val="-5"/>
          <w:w w:val="105"/>
        </w:rPr>
        <w:t>HFC</w:t>
      </w:r>
    </w:p>
    <w:p w14:paraId="5791A9CD" w14:textId="77777777" w:rsidR="00D67C1E" w:rsidRPr="00283806" w:rsidRDefault="001265CA">
      <w:pPr>
        <w:pStyle w:val="BodyText"/>
        <w:spacing w:before="10"/>
        <w:ind w:left="0"/>
        <w:rPr>
          <w:sz w:val="14"/>
        </w:rPr>
      </w:pPr>
      <w:r w:rsidRPr="00283806">
        <w:rPr>
          <w:noProof/>
        </w:rPr>
        <mc:AlternateContent>
          <mc:Choice Requires="wps">
            <w:drawing>
              <wp:anchor distT="0" distB="0" distL="0" distR="0" simplePos="0" relativeHeight="251649024" behindDoc="1" locked="0" layoutInCell="1" allowOverlap="1" wp14:anchorId="3BFCEA69" wp14:editId="7A47BC16">
                <wp:simplePos x="0" y="0"/>
                <wp:positionH relativeFrom="page">
                  <wp:posOffset>571500</wp:posOffset>
                </wp:positionH>
                <wp:positionV relativeFrom="paragraph">
                  <wp:posOffset>126086</wp:posOffset>
                </wp:positionV>
                <wp:extent cx="635000" cy="1270"/>
                <wp:effectExtent l="0" t="0" r="0" b="0"/>
                <wp:wrapTopAndBottom/>
                <wp:docPr id="80" name="Graphic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7D55ADA" id="Graphic 80" o:spid="_x0000_s1026" alt="&quot;&quot;" style="position:absolute;margin-left:45pt;margin-top:9.95pt;width:50pt;height:.1pt;z-index:-251667456;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" path="m,l635000,e" filled="f" strokeweight=".5pt">
                <v:path arrowok="t"/>
                <w10:wrap type="topAndBottom" anchorx="page"/>
              </v:shape>
            </w:pict>
          </mc:Fallback>
        </mc:AlternateContent>
      </w:r>
    </w:p>
    <w:p w14:paraId="0A2C0EC5" w14:textId="77777777" w:rsidR="00D67C1E" w:rsidRPr="00283806" w:rsidRDefault="001265CA">
      <w:pPr>
        <w:spacing w:before="40" w:line="232" w:lineRule="auto"/>
        <w:ind w:left="159" w:right="58" w:firstLine="140"/>
        <w:rPr>
          <w:sz w:val="14"/>
        </w:rPr>
      </w:pPr>
      <w:r w:rsidRPr="00283806">
        <w:rPr>
          <w:w w:val="105"/>
          <w:position w:val="4"/>
          <w:sz w:val="9"/>
        </w:rPr>
        <w:t xml:space="preserve">91 </w:t>
      </w:r>
      <w:r w:rsidRPr="00283806">
        <w:rPr>
          <w:w w:val="105"/>
          <w:sz w:val="14"/>
        </w:rPr>
        <w:t>As an illustrative example, if a refrigerant blend</w:t>
      </w:r>
      <w:r w:rsidRPr="00283806">
        <w:rPr>
          <w:spacing w:val="40"/>
          <w:w w:val="105"/>
          <w:sz w:val="14"/>
        </w:rPr>
        <w:t xml:space="preserve"> </w:t>
      </w:r>
      <w:r w:rsidRPr="00283806">
        <w:rPr>
          <w:w w:val="105"/>
          <w:sz w:val="14"/>
        </w:rPr>
        <w:t>is composed of 50 percent HFC and 50 percent non-</w:t>
      </w:r>
      <w:r w:rsidRPr="00283806">
        <w:rPr>
          <w:spacing w:val="40"/>
          <w:w w:val="105"/>
          <w:sz w:val="14"/>
        </w:rPr>
        <w:t xml:space="preserve"> </w:t>
      </w:r>
      <w:r w:rsidRPr="00283806">
        <w:rPr>
          <w:w w:val="105"/>
          <w:sz w:val="14"/>
        </w:rPr>
        <w:t>HFC</w:t>
      </w:r>
      <w:r w:rsidRPr="00283806">
        <w:rPr>
          <w:spacing w:val="25"/>
          <w:w w:val="105"/>
          <w:sz w:val="14"/>
        </w:rPr>
        <w:t xml:space="preserve"> </w:t>
      </w:r>
      <w:r w:rsidRPr="00283806">
        <w:rPr>
          <w:w w:val="105"/>
          <w:sz w:val="14"/>
        </w:rPr>
        <w:t>and</w:t>
      </w:r>
      <w:r w:rsidRPr="00283806">
        <w:rPr>
          <w:spacing w:val="25"/>
          <w:w w:val="105"/>
          <w:sz w:val="14"/>
        </w:rPr>
        <w:t xml:space="preserve"> </w:t>
      </w:r>
      <w:r w:rsidRPr="00283806">
        <w:rPr>
          <w:w w:val="105"/>
          <w:sz w:val="14"/>
        </w:rPr>
        <w:t>one</w:t>
      </w:r>
      <w:r w:rsidRPr="00283806">
        <w:rPr>
          <w:spacing w:val="25"/>
          <w:w w:val="105"/>
          <w:sz w:val="14"/>
        </w:rPr>
        <w:t xml:space="preserve"> </w:t>
      </w:r>
      <w:r w:rsidRPr="00283806">
        <w:rPr>
          <w:w w:val="105"/>
          <w:sz w:val="14"/>
        </w:rPr>
        <w:t>is</w:t>
      </w:r>
      <w:r w:rsidRPr="00283806">
        <w:rPr>
          <w:spacing w:val="25"/>
          <w:w w:val="105"/>
          <w:sz w:val="14"/>
        </w:rPr>
        <w:t xml:space="preserve"> </w:t>
      </w:r>
      <w:r w:rsidRPr="00283806">
        <w:rPr>
          <w:w w:val="105"/>
          <w:sz w:val="14"/>
        </w:rPr>
        <w:t>seeking</w:t>
      </w:r>
      <w:r w:rsidRPr="00283806">
        <w:rPr>
          <w:spacing w:val="25"/>
          <w:w w:val="105"/>
          <w:sz w:val="14"/>
        </w:rPr>
        <w:t xml:space="preserve"> </w:t>
      </w:r>
      <w:r w:rsidRPr="00283806">
        <w:rPr>
          <w:w w:val="105"/>
          <w:sz w:val="14"/>
        </w:rPr>
        <w:t>to</w:t>
      </w:r>
      <w:r w:rsidRPr="00283806">
        <w:rPr>
          <w:spacing w:val="25"/>
          <w:w w:val="105"/>
          <w:sz w:val="14"/>
        </w:rPr>
        <w:t xml:space="preserve"> </w:t>
      </w:r>
      <w:r w:rsidRPr="00283806">
        <w:rPr>
          <w:w w:val="105"/>
          <w:sz w:val="14"/>
        </w:rPr>
        <w:t>reclaim</w:t>
      </w:r>
      <w:r w:rsidRPr="00283806">
        <w:rPr>
          <w:spacing w:val="25"/>
          <w:w w:val="105"/>
          <w:sz w:val="14"/>
        </w:rPr>
        <w:t xml:space="preserve"> </w:t>
      </w:r>
      <w:r w:rsidRPr="00283806">
        <w:rPr>
          <w:w w:val="105"/>
          <w:sz w:val="14"/>
        </w:rPr>
        <w:t>100</w:t>
      </w:r>
      <w:r w:rsidRPr="00283806">
        <w:rPr>
          <w:spacing w:val="25"/>
          <w:w w:val="105"/>
          <w:sz w:val="14"/>
        </w:rPr>
        <w:t xml:space="preserve"> </w:t>
      </w:r>
      <w:r w:rsidRPr="00283806">
        <w:rPr>
          <w:w w:val="105"/>
          <w:sz w:val="14"/>
        </w:rPr>
        <w:t>pounds</w:t>
      </w:r>
      <w:r w:rsidRPr="00283806">
        <w:rPr>
          <w:spacing w:val="25"/>
          <w:w w:val="105"/>
          <w:sz w:val="14"/>
        </w:rPr>
        <w:t xml:space="preserve"> </w:t>
      </w:r>
      <w:r w:rsidRPr="00283806">
        <w:rPr>
          <w:w w:val="105"/>
          <w:sz w:val="14"/>
        </w:rPr>
        <w:t>of</w:t>
      </w:r>
      <w:r w:rsidRPr="00283806">
        <w:rPr>
          <w:spacing w:val="40"/>
          <w:w w:val="105"/>
          <w:sz w:val="14"/>
        </w:rPr>
        <w:t xml:space="preserve"> </w:t>
      </w:r>
      <w:r w:rsidRPr="00283806">
        <w:rPr>
          <w:w w:val="105"/>
          <w:sz w:val="14"/>
        </w:rPr>
        <w:t>this refrigerant, the 15 percent limit on virgin HFCs</w:t>
      </w:r>
      <w:r w:rsidRPr="00283806">
        <w:rPr>
          <w:spacing w:val="40"/>
          <w:w w:val="105"/>
          <w:sz w:val="14"/>
        </w:rPr>
        <w:t xml:space="preserve"> </w:t>
      </w:r>
      <w:r w:rsidRPr="00283806">
        <w:rPr>
          <w:w w:val="105"/>
          <w:sz w:val="14"/>
        </w:rPr>
        <w:t>would apply only to the weight of the HFC portion,</w:t>
      </w:r>
      <w:r w:rsidRPr="00283806">
        <w:rPr>
          <w:spacing w:val="80"/>
          <w:w w:val="105"/>
          <w:sz w:val="14"/>
        </w:rPr>
        <w:t xml:space="preserve"> </w:t>
      </w:r>
      <w:r w:rsidRPr="00283806">
        <w:rPr>
          <w:w w:val="105"/>
          <w:sz w:val="14"/>
        </w:rPr>
        <w:t>or 7.5 pounds (</w:t>
      </w:r>
      <w:r w:rsidRPr="00283806">
        <w:rPr>
          <w:rFonts w:ascii="Book Antiqua"/>
          <w:i/>
          <w:w w:val="105"/>
          <w:sz w:val="14"/>
        </w:rPr>
        <w:t xml:space="preserve">i.e., </w:t>
      </w:r>
      <w:r w:rsidRPr="00283806">
        <w:rPr>
          <w:w w:val="105"/>
          <w:sz w:val="14"/>
        </w:rPr>
        <w:t>15 percent of 50 pounds).</w:t>
      </w:r>
    </w:p>
    <w:p w14:paraId="573F4141" w14:textId="77777777" w:rsidR="00D67C1E" w:rsidRPr="00283806" w:rsidRDefault="001265CA">
      <w:pPr>
        <w:pStyle w:val="BodyText"/>
        <w:spacing w:before="136" w:line="225" w:lineRule="auto"/>
        <w:ind w:left="139" w:right="20"/>
      </w:pPr>
      <w:r w:rsidRPr="00283806">
        <w:br w:type="column"/>
      </w:r>
      <w:r w:rsidRPr="00283806">
        <w:rPr>
          <w:w w:val="105"/>
        </w:rPr>
        <w:t>components in the blend.</w:t>
      </w:r>
      <w:r w:rsidRPr="00283806">
        <w:rPr>
          <w:w w:val="105"/>
          <w:position w:val="5"/>
          <w:sz w:val="11"/>
        </w:rPr>
        <w:t>92</w:t>
      </w:r>
      <w:r w:rsidRPr="00283806">
        <w:rPr>
          <w:spacing w:val="40"/>
          <w:w w:val="105"/>
          <w:position w:val="5"/>
          <w:sz w:val="11"/>
        </w:rPr>
        <w:t xml:space="preserve"> </w:t>
      </w:r>
      <w:r w:rsidRPr="00283806">
        <w:rPr>
          <w:w w:val="105"/>
        </w:rPr>
        <w:t>EPA notes that subsection (h)(1) of the AIM Act provides authority to promulgate regulations to control, where</w:t>
      </w:r>
      <w:r w:rsidRPr="00283806">
        <w:rPr>
          <w:spacing w:val="40"/>
          <w:w w:val="105"/>
        </w:rPr>
        <w:t xml:space="preserve"> </w:t>
      </w:r>
      <w:r w:rsidRPr="00283806">
        <w:rPr>
          <w:w w:val="105"/>
        </w:rPr>
        <w:t>appropriate, practices, processes, or activities related to the servicing, repair, disposal, or installation of equipment</w:t>
      </w:r>
      <w:r w:rsidRPr="00283806">
        <w:rPr>
          <w:spacing w:val="40"/>
          <w:w w:val="105"/>
        </w:rPr>
        <w:t xml:space="preserve"> </w:t>
      </w:r>
      <w:r w:rsidRPr="00283806">
        <w:rPr>
          <w:w w:val="105"/>
        </w:rPr>
        <w:t>that involves the reclaiming of a substitute</w:t>
      </w:r>
      <w:r w:rsidRPr="00283806">
        <w:rPr>
          <w:spacing w:val="-1"/>
          <w:w w:val="105"/>
        </w:rPr>
        <w:t xml:space="preserve"> </w:t>
      </w:r>
      <w:r w:rsidRPr="00283806">
        <w:rPr>
          <w:w w:val="105"/>
        </w:rPr>
        <w:t>for</w:t>
      </w:r>
      <w:r w:rsidRPr="00283806">
        <w:rPr>
          <w:spacing w:val="-1"/>
          <w:w w:val="105"/>
        </w:rPr>
        <w:t xml:space="preserve"> </w:t>
      </w:r>
      <w:r w:rsidRPr="00283806">
        <w:rPr>
          <w:w w:val="105"/>
        </w:rPr>
        <w:t>a</w:t>
      </w:r>
      <w:r w:rsidRPr="00283806">
        <w:rPr>
          <w:spacing w:val="-1"/>
          <w:w w:val="105"/>
        </w:rPr>
        <w:t xml:space="preserve"> </w:t>
      </w:r>
      <w:r w:rsidRPr="00283806">
        <w:rPr>
          <w:w w:val="105"/>
        </w:rPr>
        <w:t>regulated</w:t>
      </w:r>
      <w:r w:rsidRPr="00283806">
        <w:rPr>
          <w:spacing w:val="-1"/>
          <w:w w:val="105"/>
        </w:rPr>
        <w:t xml:space="preserve"> </w:t>
      </w:r>
      <w:r w:rsidRPr="00283806">
        <w:rPr>
          <w:w w:val="105"/>
        </w:rPr>
        <w:t>substance</w:t>
      </w:r>
      <w:r w:rsidRPr="00283806">
        <w:rPr>
          <w:spacing w:val="-1"/>
          <w:w w:val="105"/>
        </w:rPr>
        <w:t xml:space="preserve"> </w:t>
      </w:r>
      <w:r w:rsidRPr="00283806">
        <w:rPr>
          <w:w w:val="105"/>
        </w:rPr>
        <w:t xml:space="preserve">used as a refrigerant. EPA interprets this provision to provide </w:t>
      </w:r>
      <w:proofErr w:type="gramStart"/>
      <w:r w:rsidRPr="00283806">
        <w:rPr>
          <w:w w:val="105"/>
        </w:rPr>
        <w:t>it</w:t>
      </w:r>
      <w:proofErr w:type="gramEnd"/>
      <w:r w:rsidRPr="00283806">
        <w:rPr>
          <w:w w:val="105"/>
        </w:rPr>
        <w:t xml:space="preserve"> authority that includes establishing requirements for how practices, processes, or activities related to the servicing, repair, disposal, or installation of equipment are conducted, including requiring those practices, processes, or activities be</w:t>
      </w:r>
      <w:r w:rsidRPr="00283806">
        <w:rPr>
          <w:spacing w:val="80"/>
          <w:w w:val="105"/>
        </w:rPr>
        <w:t xml:space="preserve"> </w:t>
      </w:r>
      <w:r w:rsidRPr="00283806">
        <w:rPr>
          <w:w w:val="105"/>
        </w:rPr>
        <w:t>done with reclaimed HFCs or reclaimed HFC substitutes. However, at this time, the Agency is not establishing a requirement for the non-HFC</w:t>
      </w:r>
      <w:r w:rsidRPr="00283806">
        <w:rPr>
          <w:spacing w:val="80"/>
          <w:w w:val="105"/>
        </w:rPr>
        <w:t xml:space="preserve"> </w:t>
      </w:r>
      <w:r w:rsidRPr="00283806">
        <w:rPr>
          <w:w w:val="105"/>
        </w:rPr>
        <w:t>component of a blend to be reclaimed</w:t>
      </w:r>
      <w:r w:rsidRPr="00283806">
        <w:rPr>
          <w:spacing w:val="40"/>
          <w:w w:val="105"/>
        </w:rPr>
        <w:t xml:space="preserve"> </w:t>
      </w:r>
      <w:r w:rsidRPr="00283806">
        <w:rPr>
          <w:w w:val="105"/>
        </w:rPr>
        <w:t>and thus is not establishing a standard limiting the amount of virgin material</w:t>
      </w:r>
      <w:r w:rsidRPr="00283806">
        <w:rPr>
          <w:spacing w:val="80"/>
          <w:w w:val="105"/>
        </w:rPr>
        <w:t xml:space="preserve"> </w:t>
      </w:r>
      <w:r w:rsidRPr="00283806">
        <w:rPr>
          <w:w w:val="105"/>
        </w:rPr>
        <w:t>for reclaimed substitutes for HFCs.</w:t>
      </w:r>
    </w:p>
    <w:p w14:paraId="30B74277" w14:textId="77777777" w:rsidR="00D67C1E" w:rsidRPr="00283806" w:rsidRDefault="001265CA">
      <w:pPr>
        <w:pStyle w:val="BodyText"/>
        <w:spacing w:before="25" w:line="228" w:lineRule="auto"/>
        <w:ind w:left="139" w:right="84"/>
      </w:pPr>
      <w:r w:rsidRPr="00283806">
        <w:rPr>
          <w:w w:val="105"/>
        </w:rPr>
        <w:t xml:space="preserve">While EPA acknowledges that there is some degree of random and systematic error associated with measurement devices, EPA is not implementing a tolerance range for this provision at this time and does not agree that one is necessary. </w:t>
      </w:r>
      <w:proofErr w:type="gramStart"/>
      <w:r w:rsidRPr="00283806">
        <w:rPr>
          <w:w w:val="105"/>
        </w:rPr>
        <w:t>It is EPA’s</w:t>
      </w:r>
      <w:proofErr w:type="gramEnd"/>
      <w:r w:rsidRPr="00283806">
        <w:rPr>
          <w:w w:val="105"/>
        </w:rPr>
        <w:t xml:space="preserve"> view that the institution of a 15 percent limit, by weight, on virgin HFCs allows</w:t>
      </w:r>
      <w:r w:rsidRPr="00283806">
        <w:rPr>
          <w:spacing w:val="80"/>
          <w:w w:val="105"/>
        </w:rPr>
        <w:t xml:space="preserve"> </w:t>
      </w:r>
      <w:r w:rsidRPr="00283806">
        <w:rPr>
          <w:w w:val="105"/>
        </w:rPr>
        <w:t>reclaimers a range of compliance options, as they can use any amount of virgin HFCs between 0 and 15 percent, by weight, and still meet the standard. Implementing a tolerance range in addition to the range that is already inherent in the standard would lessen the standard’s effectiveness in serving the purposes identified in subsection</w:t>
      </w:r>
      <w:r w:rsidRPr="00283806">
        <w:rPr>
          <w:spacing w:val="40"/>
          <w:w w:val="105"/>
        </w:rPr>
        <w:t xml:space="preserve"> </w:t>
      </w:r>
      <w:r w:rsidRPr="00283806">
        <w:rPr>
          <w:w w:val="105"/>
        </w:rPr>
        <w:t>(h), including maximizing reclamation.</w:t>
      </w:r>
    </w:p>
    <w:p w14:paraId="017D9FA2" w14:textId="77777777" w:rsidR="00D67C1E" w:rsidRPr="00283806" w:rsidRDefault="001265CA">
      <w:pPr>
        <w:spacing w:line="177" w:lineRule="exact"/>
        <w:ind w:left="319"/>
        <w:rPr>
          <w:sz w:val="18"/>
        </w:rPr>
      </w:pPr>
      <w:r w:rsidRPr="00283806">
        <w:rPr>
          <w:rFonts w:ascii="Book Antiqua"/>
          <w:i/>
          <w:w w:val="105"/>
          <w:sz w:val="18"/>
        </w:rPr>
        <w:t>Comment:</w:t>
      </w:r>
      <w:r w:rsidRPr="00283806">
        <w:rPr>
          <w:rFonts w:ascii="Book Antiqua"/>
          <w:i/>
          <w:spacing w:val="22"/>
          <w:w w:val="105"/>
          <w:sz w:val="18"/>
        </w:rPr>
        <w:t xml:space="preserve"> </w:t>
      </w:r>
      <w:r w:rsidRPr="00283806">
        <w:rPr>
          <w:w w:val="105"/>
          <w:sz w:val="18"/>
        </w:rPr>
        <w:t>One</w:t>
      </w:r>
      <w:r w:rsidRPr="00283806">
        <w:rPr>
          <w:spacing w:val="28"/>
          <w:w w:val="105"/>
          <w:sz w:val="18"/>
        </w:rPr>
        <w:t xml:space="preserve"> </w:t>
      </w:r>
      <w:r w:rsidRPr="00283806">
        <w:rPr>
          <w:w w:val="105"/>
          <w:sz w:val="18"/>
        </w:rPr>
        <w:t>commenter</w:t>
      </w:r>
      <w:r w:rsidRPr="00283806">
        <w:rPr>
          <w:spacing w:val="28"/>
          <w:w w:val="105"/>
          <w:sz w:val="18"/>
        </w:rPr>
        <w:t xml:space="preserve"> </w:t>
      </w:r>
      <w:r w:rsidRPr="00283806">
        <w:rPr>
          <w:spacing w:val="-2"/>
          <w:w w:val="105"/>
          <w:sz w:val="18"/>
        </w:rPr>
        <w:t>supported</w:t>
      </w:r>
    </w:p>
    <w:p w14:paraId="4B61B981" w14:textId="77777777" w:rsidR="00D67C1E" w:rsidRPr="00283806" w:rsidRDefault="001265CA">
      <w:pPr>
        <w:pStyle w:val="BodyText"/>
        <w:spacing w:line="228" w:lineRule="auto"/>
        <w:ind w:left="139" w:right="45"/>
      </w:pPr>
      <w:r w:rsidRPr="00283806">
        <w:rPr>
          <w:w w:val="105"/>
        </w:rPr>
        <w:t>the 15 percent, by weight, virgin allowance for reclamation but proposed basing the reclaimed content on CO</w:t>
      </w:r>
      <w:r w:rsidRPr="00283806">
        <w:rPr>
          <w:rFonts w:ascii="Times New Roman"/>
          <w:w w:val="105"/>
          <w:vertAlign w:val="subscript"/>
        </w:rPr>
        <w:t>2</w:t>
      </w:r>
      <w:r w:rsidRPr="00283806">
        <w:rPr>
          <w:rFonts w:ascii="Times New Roman"/>
          <w:w w:val="105"/>
        </w:rPr>
        <w:t xml:space="preserve"> </w:t>
      </w:r>
      <w:r w:rsidRPr="00283806">
        <w:rPr>
          <w:w w:val="105"/>
        </w:rPr>
        <w:t xml:space="preserve">equivalency values to allow the market under the Allowances and Technology Transitions programs to better move to low-GWP refrigerants in a cost-effective and environmentally positive manner. The commenter recommended allowing the destruction or repurposing of one refrigerant to be credited with </w:t>
      </w:r>
      <w:proofErr w:type="gramStart"/>
      <w:r w:rsidRPr="00283806">
        <w:rPr>
          <w:w w:val="105"/>
        </w:rPr>
        <w:t>a carbon</w:t>
      </w:r>
      <w:proofErr w:type="gramEnd"/>
    </w:p>
    <w:p w14:paraId="7F1677C8" w14:textId="77777777" w:rsidR="00D67C1E" w:rsidRPr="00283806" w:rsidRDefault="001265CA">
      <w:pPr>
        <w:pStyle w:val="BodyText"/>
        <w:spacing w:before="5"/>
        <w:ind w:left="0"/>
        <w:rPr>
          <w:sz w:val="12"/>
        </w:rPr>
      </w:pPr>
      <w:r w:rsidRPr="00283806">
        <w:rPr>
          <w:noProof/>
        </w:rPr>
        <mc:AlternateContent>
          <mc:Choice Requires="wps">
            <w:drawing>
              <wp:anchor distT="0" distB="0" distL="0" distR="0" simplePos="0" relativeHeight="251650048" behindDoc="1" locked="0" layoutInCell="1" allowOverlap="1" wp14:anchorId="1BDA46C8" wp14:editId="18523D4F">
                <wp:simplePos x="0" y="0"/>
                <wp:positionH relativeFrom="page">
                  <wp:posOffset>2819400</wp:posOffset>
                </wp:positionH>
                <wp:positionV relativeFrom="paragraph">
                  <wp:posOffset>107919</wp:posOffset>
                </wp:positionV>
                <wp:extent cx="635000" cy="1270"/>
                <wp:effectExtent l="0" t="0" r="0" b="0"/>
                <wp:wrapTopAndBottom/>
                <wp:docPr id="81" name="Graphic 8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9165ADB" id="Graphic 81" o:spid="_x0000_s1026" alt="&quot;&quot;" style="position:absolute;margin-left:222pt;margin-top:8.5pt;width:50pt;height:.1pt;z-index:-251666432;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" path="m,l635000,e" filled="f" strokeweight=".5pt">
                <v:path arrowok="t"/>
                <w10:wrap type="topAndBottom" anchorx="page"/>
              </v:shape>
            </w:pict>
          </mc:Fallback>
        </mc:AlternateContent>
      </w:r>
    </w:p>
    <w:p w14:paraId="1BFE2ADF" w14:textId="77777777" w:rsidR="00D67C1E" w:rsidRPr="00283806" w:rsidRDefault="001265CA">
      <w:pPr>
        <w:spacing w:before="40" w:line="232" w:lineRule="auto"/>
        <w:ind w:left="139" w:right="2" w:firstLine="140"/>
        <w:rPr>
          <w:sz w:val="14"/>
        </w:rPr>
      </w:pPr>
      <w:r w:rsidRPr="00283806">
        <w:rPr>
          <w:w w:val="105"/>
          <w:position w:val="4"/>
          <w:sz w:val="9"/>
        </w:rPr>
        <w:t xml:space="preserve">92 </w:t>
      </w:r>
      <w:r w:rsidRPr="00283806">
        <w:rPr>
          <w:w w:val="105"/>
          <w:sz w:val="14"/>
        </w:rPr>
        <w:t>As an additional illustrative example, suppose</w:t>
      </w:r>
      <w:r w:rsidRPr="00283806">
        <w:rPr>
          <w:spacing w:val="40"/>
          <w:w w:val="105"/>
          <w:sz w:val="14"/>
        </w:rPr>
        <w:t xml:space="preserve"> </w:t>
      </w:r>
      <w:r w:rsidRPr="00283806">
        <w:rPr>
          <w:w w:val="105"/>
          <w:sz w:val="14"/>
        </w:rPr>
        <w:t>100 pounds of a refrigerant to be reclaimed contains</w:t>
      </w:r>
      <w:r w:rsidRPr="00283806">
        <w:rPr>
          <w:spacing w:val="40"/>
          <w:w w:val="105"/>
          <w:sz w:val="14"/>
        </w:rPr>
        <w:t xml:space="preserve"> </w:t>
      </w:r>
      <w:r w:rsidRPr="00283806">
        <w:rPr>
          <w:w w:val="105"/>
          <w:sz w:val="14"/>
        </w:rPr>
        <w:t>20 percent of HFC A, 30 percent of HFC B, and 50</w:t>
      </w:r>
      <w:r w:rsidRPr="00283806">
        <w:rPr>
          <w:spacing w:val="40"/>
          <w:w w:val="105"/>
          <w:sz w:val="14"/>
        </w:rPr>
        <w:t xml:space="preserve"> </w:t>
      </w:r>
      <w:r w:rsidRPr="00283806">
        <w:rPr>
          <w:w w:val="105"/>
          <w:sz w:val="14"/>
        </w:rPr>
        <w:t>percent of a non-HFC component. The 15 percent</w:t>
      </w:r>
      <w:r w:rsidRPr="00283806">
        <w:rPr>
          <w:spacing w:val="40"/>
          <w:w w:val="105"/>
          <w:sz w:val="14"/>
        </w:rPr>
        <w:t xml:space="preserve"> </w:t>
      </w:r>
      <w:r w:rsidRPr="00283806">
        <w:rPr>
          <w:w w:val="105"/>
          <w:sz w:val="14"/>
        </w:rPr>
        <w:t>limit</w:t>
      </w:r>
      <w:r w:rsidRPr="00283806">
        <w:rPr>
          <w:spacing w:val="33"/>
          <w:w w:val="105"/>
          <w:sz w:val="14"/>
        </w:rPr>
        <w:t xml:space="preserve"> </w:t>
      </w:r>
      <w:r w:rsidRPr="00283806">
        <w:rPr>
          <w:w w:val="105"/>
          <w:sz w:val="14"/>
        </w:rPr>
        <w:t>on</w:t>
      </w:r>
      <w:r w:rsidRPr="00283806">
        <w:rPr>
          <w:spacing w:val="33"/>
          <w:w w:val="105"/>
          <w:sz w:val="14"/>
        </w:rPr>
        <w:t xml:space="preserve"> </w:t>
      </w:r>
      <w:r w:rsidRPr="00283806">
        <w:rPr>
          <w:w w:val="105"/>
          <w:sz w:val="14"/>
        </w:rPr>
        <w:t>virgin</w:t>
      </w:r>
      <w:r w:rsidRPr="00283806">
        <w:rPr>
          <w:spacing w:val="33"/>
          <w:w w:val="105"/>
          <w:sz w:val="14"/>
        </w:rPr>
        <w:t xml:space="preserve"> </w:t>
      </w:r>
      <w:r w:rsidRPr="00283806">
        <w:rPr>
          <w:w w:val="105"/>
          <w:sz w:val="14"/>
        </w:rPr>
        <w:t>HFCs</w:t>
      </w:r>
      <w:r w:rsidRPr="00283806">
        <w:rPr>
          <w:spacing w:val="33"/>
          <w:w w:val="105"/>
          <w:sz w:val="14"/>
        </w:rPr>
        <w:t xml:space="preserve"> </w:t>
      </w:r>
      <w:r w:rsidRPr="00283806">
        <w:rPr>
          <w:w w:val="105"/>
          <w:sz w:val="14"/>
        </w:rPr>
        <w:t>would</w:t>
      </w:r>
      <w:r w:rsidRPr="00283806">
        <w:rPr>
          <w:spacing w:val="33"/>
          <w:w w:val="105"/>
          <w:sz w:val="14"/>
        </w:rPr>
        <w:t xml:space="preserve"> </w:t>
      </w:r>
      <w:r w:rsidRPr="00283806">
        <w:rPr>
          <w:w w:val="105"/>
          <w:sz w:val="14"/>
        </w:rPr>
        <w:t>apply</w:t>
      </w:r>
      <w:r w:rsidRPr="00283806">
        <w:rPr>
          <w:spacing w:val="33"/>
          <w:w w:val="105"/>
          <w:sz w:val="14"/>
        </w:rPr>
        <w:t xml:space="preserve"> </w:t>
      </w:r>
      <w:r w:rsidRPr="00283806">
        <w:rPr>
          <w:w w:val="105"/>
          <w:sz w:val="14"/>
        </w:rPr>
        <w:t>only</w:t>
      </w:r>
      <w:r w:rsidRPr="00283806">
        <w:rPr>
          <w:spacing w:val="33"/>
          <w:w w:val="105"/>
          <w:sz w:val="14"/>
        </w:rPr>
        <w:t xml:space="preserve"> </w:t>
      </w:r>
      <w:r w:rsidRPr="00283806">
        <w:rPr>
          <w:w w:val="105"/>
          <w:sz w:val="14"/>
        </w:rPr>
        <w:t>to</w:t>
      </w:r>
      <w:r w:rsidRPr="00283806">
        <w:rPr>
          <w:spacing w:val="33"/>
          <w:w w:val="105"/>
          <w:sz w:val="14"/>
        </w:rPr>
        <w:t xml:space="preserve"> </w:t>
      </w:r>
      <w:r w:rsidRPr="00283806">
        <w:rPr>
          <w:w w:val="105"/>
          <w:sz w:val="14"/>
        </w:rPr>
        <w:t>the</w:t>
      </w:r>
      <w:r w:rsidRPr="00283806">
        <w:rPr>
          <w:spacing w:val="40"/>
          <w:w w:val="105"/>
          <w:sz w:val="14"/>
        </w:rPr>
        <w:t xml:space="preserve"> </w:t>
      </w:r>
      <w:r w:rsidRPr="00283806">
        <w:rPr>
          <w:w w:val="105"/>
          <w:sz w:val="14"/>
        </w:rPr>
        <w:t>weight of the sum of the HFC components. In this</w:t>
      </w:r>
      <w:r w:rsidRPr="00283806">
        <w:rPr>
          <w:spacing w:val="40"/>
          <w:w w:val="105"/>
          <w:sz w:val="14"/>
        </w:rPr>
        <w:t xml:space="preserve"> </w:t>
      </w:r>
      <w:r w:rsidRPr="00283806">
        <w:rPr>
          <w:w w:val="105"/>
          <w:sz w:val="14"/>
        </w:rPr>
        <w:t>example, the total weight of HFCs is 50 pounds and</w:t>
      </w:r>
      <w:r w:rsidRPr="00283806">
        <w:rPr>
          <w:spacing w:val="40"/>
          <w:w w:val="105"/>
          <w:sz w:val="14"/>
        </w:rPr>
        <w:t xml:space="preserve"> </w:t>
      </w:r>
      <w:r w:rsidRPr="00283806">
        <w:rPr>
          <w:w w:val="105"/>
          <w:sz w:val="14"/>
        </w:rPr>
        <w:t>the allowable weight of virgin HFCs would be 7.5</w:t>
      </w:r>
      <w:r w:rsidRPr="00283806">
        <w:rPr>
          <w:spacing w:val="40"/>
          <w:w w:val="105"/>
          <w:sz w:val="14"/>
        </w:rPr>
        <w:t xml:space="preserve"> </w:t>
      </w:r>
      <w:r w:rsidRPr="00283806">
        <w:rPr>
          <w:w w:val="105"/>
          <w:sz w:val="14"/>
        </w:rPr>
        <w:t>pounds (</w:t>
      </w:r>
      <w:r w:rsidRPr="00283806">
        <w:rPr>
          <w:rFonts w:ascii="Book Antiqua"/>
          <w:i/>
          <w:w w:val="105"/>
          <w:sz w:val="14"/>
        </w:rPr>
        <w:t xml:space="preserve">i.e., </w:t>
      </w:r>
      <w:r w:rsidRPr="00283806">
        <w:rPr>
          <w:w w:val="105"/>
          <w:sz w:val="14"/>
        </w:rPr>
        <w:t>15 percent of 50 pounds). The limit on</w:t>
      </w:r>
      <w:r w:rsidRPr="00283806">
        <w:rPr>
          <w:spacing w:val="40"/>
          <w:w w:val="105"/>
          <w:sz w:val="14"/>
        </w:rPr>
        <w:t xml:space="preserve"> </w:t>
      </w:r>
      <w:r w:rsidRPr="00283806">
        <w:rPr>
          <w:w w:val="105"/>
          <w:sz w:val="14"/>
        </w:rPr>
        <w:t>virgin HFCs may be made up of a combination of</w:t>
      </w:r>
      <w:r w:rsidRPr="00283806">
        <w:rPr>
          <w:spacing w:val="40"/>
          <w:w w:val="105"/>
          <w:sz w:val="14"/>
        </w:rPr>
        <w:t xml:space="preserve"> </w:t>
      </w:r>
      <w:r w:rsidRPr="00283806">
        <w:rPr>
          <w:w w:val="105"/>
          <w:sz w:val="14"/>
        </w:rPr>
        <w:t>weights of virgin HFC A and HFC B that total 7.5</w:t>
      </w:r>
      <w:r w:rsidRPr="00283806">
        <w:rPr>
          <w:spacing w:val="40"/>
          <w:w w:val="105"/>
          <w:sz w:val="14"/>
        </w:rPr>
        <w:t xml:space="preserve"> </w:t>
      </w:r>
      <w:r w:rsidRPr="00283806">
        <w:rPr>
          <w:w w:val="105"/>
          <w:sz w:val="14"/>
        </w:rPr>
        <w:t>pounds (</w:t>
      </w:r>
      <w:r w:rsidRPr="00283806">
        <w:rPr>
          <w:rFonts w:ascii="Book Antiqua"/>
          <w:i/>
          <w:w w:val="105"/>
          <w:sz w:val="14"/>
        </w:rPr>
        <w:t xml:space="preserve">e.g., </w:t>
      </w:r>
      <w:r w:rsidRPr="00283806">
        <w:rPr>
          <w:w w:val="105"/>
          <w:sz w:val="14"/>
        </w:rPr>
        <w:t>7.5 pounds of virgin HFC A and zero</w:t>
      </w:r>
      <w:r w:rsidRPr="00283806">
        <w:rPr>
          <w:spacing w:val="40"/>
          <w:w w:val="105"/>
          <w:sz w:val="14"/>
        </w:rPr>
        <w:t xml:space="preserve"> </w:t>
      </w:r>
      <w:r w:rsidRPr="00283806">
        <w:rPr>
          <w:w w:val="105"/>
          <w:sz w:val="14"/>
        </w:rPr>
        <w:t>pounds</w:t>
      </w:r>
      <w:r w:rsidRPr="00283806">
        <w:rPr>
          <w:spacing w:val="25"/>
          <w:w w:val="105"/>
          <w:sz w:val="14"/>
        </w:rPr>
        <w:t xml:space="preserve"> </w:t>
      </w:r>
      <w:r w:rsidRPr="00283806">
        <w:rPr>
          <w:w w:val="105"/>
          <w:sz w:val="14"/>
        </w:rPr>
        <w:t>of</w:t>
      </w:r>
      <w:r w:rsidRPr="00283806">
        <w:rPr>
          <w:spacing w:val="27"/>
          <w:w w:val="105"/>
          <w:sz w:val="14"/>
        </w:rPr>
        <w:t xml:space="preserve"> </w:t>
      </w:r>
      <w:r w:rsidRPr="00283806">
        <w:rPr>
          <w:w w:val="105"/>
          <w:sz w:val="14"/>
        </w:rPr>
        <w:t>virgin</w:t>
      </w:r>
      <w:r w:rsidRPr="00283806">
        <w:rPr>
          <w:spacing w:val="27"/>
          <w:w w:val="105"/>
          <w:sz w:val="14"/>
        </w:rPr>
        <w:t xml:space="preserve"> </w:t>
      </w:r>
      <w:r w:rsidRPr="00283806">
        <w:rPr>
          <w:w w:val="105"/>
          <w:sz w:val="14"/>
        </w:rPr>
        <w:t>HFC</w:t>
      </w:r>
      <w:r w:rsidRPr="00283806">
        <w:rPr>
          <w:spacing w:val="27"/>
          <w:w w:val="105"/>
          <w:sz w:val="14"/>
        </w:rPr>
        <w:t xml:space="preserve"> </w:t>
      </w:r>
      <w:r w:rsidRPr="00283806">
        <w:rPr>
          <w:w w:val="105"/>
          <w:sz w:val="14"/>
        </w:rPr>
        <w:t>B;</w:t>
      </w:r>
      <w:r w:rsidRPr="00283806">
        <w:rPr>
          <w:spacing w:val="27"/>
          <w:w w:val="105"/>
          <w:sz w:val="14"/>
        </w:rPr>
        <w:t xml:space="preserve"> </w:t>
      </w:r>
      <w:r w:rsidRPr="00283806">
        <w:rPr>
          <w:w w:val="105"/>
          <w:sz w:val="14"/>
        </w:rPr>
        <w:t>3.5</w:t>
      </w:r>
      <w:r w:rsidRPr="00283806">
        <w:rPr>
          <w:spacing w:val="27"/>
          <w:w w:val="105"/>
          <w:sz w:val="14"/>
        </w:rPr>
        <w:t xml:space="preserve"> </w:t>
      </w:r>
      <w:r w:rsidRPr="00283806">
        <w:rPr>
          <w:w w:val="105"/>
          <w:sz w:val="14"/>
        </w:rPr>
        <w:t>pounds</w:t>
      </w:r>
      <w:r w:rsidRPr="00283806">
        <w:rPr>
          <w:spacing w:val="27"/>
          <w:w w:val="105"/>
          <w:sz w:val="14"/>
        </w:rPr>
        <w:t xml:space="preserve"> </w:t>
      </w:r>
      <w:r w:rsidRPr="00283806">
        <w:rPr>
          <w:w w:val="105"/>
          <w:sz w:val="14"/>
        </w:rPr>
        <w:t>of</w:t>
      </w:r>
      <w:r w:rsidRPr="00283806">
        <w:rPr>
          <w:spacing w:val="27"/>
          <w:w w:val="105"/>
          <w:sz w:val="14"/>
        </w:rPr>
        <w:t xml:space="preserve"> </w:t>
      </w:r>
      <w:r w:rsidRPr="00283806">
        <w:rPr>
          <w:w w:val="105"/>
          <w:sz w:val="14"/>
        </w:rPr>
        <w:t>virgin</w:t>
      </w:r>
      <w:r w:rsidRPr="00283806">
        <w:rPr>
          <w:spacing w:val="27"/>
          <w:w w:val="105"/>
          <w:sz w:val="14"/>
        </w:rPr>
        <w:t xml:space="preserve"> </w:t>
      </w:r>
      <w:r w:rsidRPr="00283806">
        <w:rPr>
          <w:w w:val="105"/>
          <w:sz w:val="14"/>
        </w:rPr>
        <w:t>HFC</w:t>
      </w:r>
      <w:r w:rsidRPr="00283806">
        <w:rPr>
          <w:spacing w:val="40"/>
          <w:w w:val="105"/>
          <w:sz w:val="14"/>
        </w:rPr>
        <w:t xml:space="preserve"> </w:t>
      </w:r>
      <w:r w:rsidRPr="00283806">
        <w:rPr>
          <w:w w:val="105"/>
          <w:sz w:val="14"/>
        </w:rPr>
        <w:t>A and 4 pounds of virgin HFC B; etc.).</w:t>
      </w:r>
    </w:p>
    <w:p w14:paraId="00BF6031" w14:textId="77777777" w:rsidR="00D67C1E" w:rsidRPr="00283806" w:rsidRDefault="001265CA">
      <w:pPr>
        <w:pStyle w:val="BodyText"/>
        <w:spacing w:before="136" w:line="225" w:lineRule="auto"/>
        <w:ind w:left="154" w:right="193"/>
      </w:pPr>
      <w:r w:rsidRPr="00283806">
        <w:br w:type="column"/>
      </w:r>
      <w:r w:rsidRPr="00283806">
        <w:rPr>
          <w:w w:val="105"/>
        </w:rPr>
        <w:t>allowance and to allow an equivalent quantity of another refrigerant to be placed on the market as reclaimed, minus a 10 percent offset for a net reduction</w:t>
      </w:r>
      <w:r w:rsidRPr="00283806">
        <w:rPr>
          <w:spacing w:val="32"/>
          <w:w w:val="105"/>
        </w:rPr>
        <w:t xml:space="preserve"> </w:t>
      </w:r>
      <w:r w:rsidRPr="00283806">
        <w:rPr>
          <w:w w:val="105"/>
        </w:rPr>
        <w:t>in</w:t>
      </w:r>
      <w:r w:rsidRPr="00283806">
        <w:rPr>
          <w:spacing w:val="32"/>
          <w:w w:val="105"/>
        </w:rPr>
        <w:t xml:space="preserve"> </w:t>
      </w:r>
      <w:r w:rsidRPr="00283806">
        <w:rPr>
          <w:w w:val="105"/>
        </w:rPr>
        <w:t>CO</w:t>
      </w:r>
      <w:r w:rsidRPr="00283806">
        <w:rPr>
          <w:rFonts w:ascii="Times New Roman"/>
          <w:w w:val="105"/>
          <w:vertAlign w:val="subscript"/>
        </w:rPr>
        <w:t>2</w:t>
      </w:r>
      <w:r w:rsidRPr="00283806">
        <w:rPr>
          <w:rFonts w:ascii="Times New Roman"/>
          <w:w w:val="105"/>
        </w:rPr>
        <w:t xml:space="preserve"> </w:t>
      </w:r>
      <w:r w:rsidRPr="00283806">
        <w:rPr>
          <w:w w:val="105"/>
        </w:rPr>
        <w:t>equivalents,</w:t>
      </w:r>
      <w:r w:rsidRPr="00283806">
        <w:rPr>
          <w:spacing w:val="32"/>
          <w:w w:val="105"/>
        </w:rPr>
        <w:t xml:space="preserve"> </w:t>
      </w:r>
      <w:r w:rsidRPr="00283806">
        <w:rPr>
          <w:w w:val="105"/>
        </w:rPr>
        <w:t>to</w:t>
      </w:r>
      <w:r w:rsidRPr="00283806">
        <w:rPr>
          <w:spacing w:val="32"/>
          <w:w w:val="105"/>
        </w:rPr>
        <w:t xml:space="preserve"> </w:t>
      </w:r>
      <w:r w:rsidRPr="00283806">
        <w:rPr>
          <w:w w:val="105"/>
        </w:rPr>
        <w:t>create a new market outlet for high-GWP substances and ensure that leaks are minimized. The commenter provided examples</w:t>
      </w:r>
      <w:r w:rsidRPr="00283806">
        <w:rPr>
          <w:spacing w:val="8"/>
          <w:w w:val="105"/>
        </w:rPr>
        <w:t xml:space="preserve"> </w:t>
      </w:r>
      <w:r w:rsidRPr="00283806">
        <w:rPr>
          <w:w w:val="105"/>
        </w:rPr>
        <w:t>where</w:t>
      </w:r>
      <w:r w:rsidRPr="00283806">
        <w:rPr>
          <w:spacing w:val="9"/>
          <w:w w:val="105"/>
        </w:rPr>
        <w:t xml:space="preserve"> </w:t>
      </w:r>
      <w:r w:rsidRPr="00283806">
        <w:rPr>
          <w:w w:val="105"/>
        </w:rPr>
        <w:t>a</w:t>
      </w:r>
      <w:r w:rsidRPr="00283806">
        <w:rPr>
          <w:spacing w:val="9"/>
          <w:w w:val="105"/>
        </w:rPr>
        <w:t xml:space="preserve"> </w:t>
      </w:r>
      <w:r w:rsidRPr="00283806">
        <w:rPr>
          <w:w w:val="105"/>
        </w:rPr>
        <w:t>smaller</w:t>
      </w:r>
      <w:r w:rsidRPr="00283806">
        <w:rPr>
          <w:spacing w:val="8"/>
          <w:w w:val="105"/>
        </w:rPr>
        <w:t xml:space="preserve"> </w:t>
      </w:r>
      <w:r w:rsidRPr="00283806">
        <w:rPr>
          <w:w w:val="105"/>
        </w:rPr>
        <w:t>mass</w:t>
      </w:r>
      <w:r w:rsidRPr="00283806">
        <w:rPr>
          <w:spacing w:val="9"/>
          <w:w w:val="105"/>
        </w:rPr>
        <w:t xml:space="preserve"> </w:t>
      </w:r>
      <w:r w:rsidRPr="00283806">
        <w:rPr>
          <w:w w:val="105"/>
        </w:rPr>
        <w:t>of</w:t>
      </w:r>
      <w:r w:rsidRPr="00283806">
        <w:rPr>
          <w:spacing w:val="9"/>
          <w:w w:val="105"/>
        </w:rPr>
        <w:t xml:space="preserve"> </w:t>
      </w:r>
      <w:r w:rsidRPr="00283806">
        <w:rPr>
          <w:spacing w:val="-2"/>
          <w:w w:val="105"/>
        </w:rPr>
        <w:t>high-</w:t>
      </w:r>
    </w:p>
    <w:p w14:paraId="48D9ED99" w14:textId="77777777" w:rsidR="00D67C1E" w:rsidRPr="00283806" w:rsidRDefault="001265CA">
      <w:pPr>
        <w:pStyle w:val="BodyText"/>
        <w:spacing w:line="225" w:lineRule="auto"/>
        <w:ind w:left="154" w:right="185"/>
      </w:pPr>
      <w:r w:rsidRPr="00283806">
        <w:rPr>
          <w:w w:val="105"/>
        </w:rPr>
        <w:t>GWP substances could be reclaimed and</w:t>
      </w:r>
      <w:r w:rsidRPr="00283806">
        <w:rPr>
          <w:spacing w:val="40"/>
          <w:w w:val="105"/>
        </w:rPr>
        <w:t xml:space="preserve"> </w:t>
      </w:r>
      <w:r w:rsidRPr="00283806">
        <w:rPr>
          <w:w w:val="105"/>
        </w:rPr>
        <w:t>a larger mass of low-GWP substances placed on the market as reclaimed material by relying on the substances’</w:t>
      </w:r>
      <w:r w:rsidRPr="00283806">
        <w:rPr>
          <w:spacing w:val="40"/>
          <w:w w:val="105"/>
        </w:rPr>
        <w:t xml:space="preserve"> </w:t>
      </w:r>
      <w:r w:rsidRPr="00283806">
        <w:rPr>
          <w:w w:val="105"/>
        </w:rPr>
        <w:t>CO</w:t>
      </w:r>
      <w:r w:rsidRPr="00283806">
        <w:rPr>
          <w:rFonts w:ascii="Times New Roman" w:hAnsi="Times New Roman"/>
          <w:w w:val="105"/>
          <w:vertAlign w:val="subscript"/>
        </w:rPr>
        <w:t>2</w:t>
      </w:r>
      <w:r w:rsidRPr="00283806">
        <w:rPr>
          <w:rFonts w:ascii="Times New Roman" w:hAnsi="Times New Roman"/>
          <w:w w:val="105"/>
        </w:rPr>
        <w:t xml:space="preserve"> </w:t>
      </w:r>
      <w:r w:rsidRPr="00283806">
        <w:rPr>
          <w:w w:val="105"/>
        </w:rPr>
        <w:t>equivalents.</w:t>
      </w:r>
    </w:p>
    <w:p w14:paraId="6B7CF074" w14:textId="77777777" w:rsidR="00D67C1E" w:rsidRPr="00283806" w:rsidRDefault="001265CA">
      <w:pPr>
        <w:pStyle w:val="BodyText"/>
        <w:spacing w:line="178" w:lineRule="exact"/>
        <w:ind w:left="334"/>
      </w:pPr>
      <w:r w:rsidRPr="00283806">
        <w:rPr>
          <w:w w:val="105"/>
        </w:rPr>
        <w:t>The</w:t>
      </w:r>
      <w:r w:rsidRPr="00283806">
        <w:rPr>
          <w:spacing w:val="3"/>
          <w:w w:val="105"/>
        </w:rPr>
        <w:t xml:space="preserve"> </w:t>
      </w:r>
      <w:r w:rsidRPr="00283806">
        <w:rPr>
          <w:w w:val="105"/>
        </w:rPr>
        <w:t>commenter</w:t>
      </w:r>
      <w:r w:rsidRPr="00283806">
        <w:rPr>
          <w:spacing w:val="3"/>
          <w:w w:val="105"/>
        </w:rPr>
        <w:t xml:space="preserve"> </w:t>
      </w:r>
      <w:r w:rsidRPr="00283806">
        <w:rPr>
          <w:w w:val="105"/>
        </w:rPr>
        <w:t>stated</w:t>
      </w:r>
      <w:r w:rsidRPr="00283806">
        <w:rPr>
          <w:spacing w:val="3"/>
          <w:w w:val="105"/>
        </w:rPr>
        <w:t xml:space="preserve"> </w:t>
      </w:r>
      <w:r w:rsidRPr="00283806">
        <w:rPr>
          <w:w w:val="105"/>
        </w:rPr>
        <w:t>that</w:t>
      </w:r>
      <w:r w:rsidRPr="00283806">
        <w:rPr>
          <w:spacing w:val="3"/>
          <w:w w:val="105"/>
        </w:rPr>
        <w:t xml:space="preserve"> </w:t>
      </w:r>
      <w:r w:rsidRPr="00283806">
        <w:rPr>
          <w:spacing w:val="-2"/>
          <w:w w:val="105"/>
        </w:rPr>
        <w:t>HFC–32</w:t>
      </w:r>
    </w:p>
    <w:p w14:paraId="332190B2" w14:textId="77777777" w:rsidR="00D67C1E" w:rsidRPr="00283806" w:rsidRDefault="001265CA">
      <w:pPr>
        <w:pStyle w:val="BodyText"/>
        <w:spacing w:line="225" w:lineRule="auto"/>
        <w:ind w:left="154" w:right="132"/>
      </w:pPr>
      <w:r w:rsidRPr="00283806">
        <w:rPr>
          <w:w w:val="105"/>
        </w:rPr>
        <w:t>and HFC–152a use in blends is vital to</w:t>
      </w:r>
      <w:r w:rsidRPr="00283806">
        <w:rPr>
          <w:spacing w:val="40"/>
          <w:w w:val="105"/>
        </w:rPr>
        <w:t xml:space="preserve"> </w:t>
      </w:r>
      <w:r w:rsidRPr="00283806">
        <w:rPr>
          <w:w w:val="105"/>
        </w:rPr>
        <w:t>the survivability of the industry as it phases down HFCs under the Allocation rulemakings and goes through the transition required by the 2023 Technology Transitions Rule. The commenter stated that if EPA adopts a strict weight (mass) basis, industry will face an extreme burden sourcing HFC–</w:t>
      </w:r>
      <w:r w:rsidRPr="00283806">
        <w:rPr>
          <w:spacing w:val="40"/>
          <w:w w:val="105"/>
        </w:rPr>
        <w:t xml:space="preserve"> </w:t>
      </w:r>
      <w:r w:rsidRPr="00283806">
        <w:rPr>
          <w:w w:val="105"/>
        </w:rPr>
        <w:t>32 and HFC–152a. The commenter</w:t>
      </w:r>
      <w:r w:rsidRPr="00283806">
        <w:rPr>
          <w:spacing w:val="80"/>
          <w:w w:val="150"/>
        </w:rPr>
        <w:t xml:space="preserve"> </w:t>
      </w:r>
      <w:r w:rsidRPr="00283806">
        <w:rPr>
          <w:w w:val="105"/>
        </w:rPr>
        <w:t>noted</w:t>
      </w:r>
      <w:r w:rsidRPr="00283806">
        <w:rPr>
          <w:spacing w:val="40"/>
          <w:w w:val="105"/>
        </w:rPr>
        <w:t xml:space="preserve"> </w:t>
      </w:r>
      <w:r w:rsidRPr="00283806">
        <w:rPr>
          <w:w w:val="105"/>
        </w:rPr>
        <w:t>that</w:t>
      </w:r>
      <w:r w:rsidRPr="00283806">
        <w:rPr>
          <w:spacing w:val="40"/>
          <w:w w:val="105"/>
        </w:rPr>
        <w:t xml:space="preserve"> </w:t>
      </w:r>
      <w:r w:rsidRPr="00283806">
        <w:rPr>
          <w:w w:val="105"/>
        </w:rPr>
        <w:t>all</w:t>
      </w:r>
      <w:r w:rsidRPr="00283806">
        <w:rPr>
          <w:spacing w:val="40"/>
          <w:w w:val="105"/>
        </w:rPr>
        <w:t xml:space="preserve"> </w:t>
      </w:r>
      <w:r w:rsidRPr="00283806">
        <w:rPr>
          <w:w w:val="105"/>
        </w:rPr>
        <w:t>formulations</w:t>
      </w:r>
      <w:r w:rsidRPr="00283806">
        <w:rPr>
          <w:spacing w:val="40"/>
          <w:w w:val="105"/>
        </w:rPr>
        <w:t xml:space="preserve"> </w:t>
      </w:r>
      <w:r w:rsidRPr="00283806">
        <w:rPr>
          <w:w w:val="105"/>
        </w:rPr>
        <w:t>of</w:t>
      </w:r>
      <w:r w:rsidRPr="00283806">
        <w:rPr>
          <w:spacing w:val="40"/>
          <w:w w:val="105"/>
        </w:rPr>
        <w:t xml:space="preserve"> </w:t>
      </w:r>
      <w:r w:rsidRPr="00283806">
        <w:rPr>
          <w:w w:val="105"/>
        </w:rPr>
        <w:t>viable heat pump solutions are based on some content of HFC–32, and that the vast majority of HFC–32 in the current marketplace is in the form of R–410A. The commenter stated that it is correct</w:t>
      </w:r>
      <w:r w:rsidRPr="00283806">
        <w:rPr>
          <w:spacing w:val="80"/>
          <w:w w:val="105"/>
        </w:rPr>
        <w:t xml:space="preserve"> </w:t>
      </w:r>
      <w:r w:rsidRPr="00283806">
        <w:rPr>
          <w:w w:val="105"/>
        </w:rPr>
        <w:t>to assume that material will be used to service that market and HFC–32 will not become available for use in R–454B service or in commercial refrigeration service/initial fill. Further, the commenter mentioned that the fact that HFC–32 and HFC–125 make an</w:t>
      </w:r>
      <w:r w:rsidRPr="00283806">
        <w:rPr>
          <w:spacing w:val="80"/>
          <w:w w:val="105"/>
        </w:rPr>
        <w:t xml:space="preserve"> </w:t>
      </w:r>
      <w:r w:rsidRPr="00283806">
        <w:rPr>
          <w:w w:val="105"/>
        </w:rPr>
        <w:t>azeotrope at a composition not too far from R–410A makes the separation of HFC–32 from HFC–125 non-trivial to recover the HFC–32 via distillation. The commenter stated that the viable</w:t>
      </w:r>
      <w:r w:rsidRPr="00283806">
        <w:rPr>
          <w:spacing w:val="40"/>
          <w:w w:val="105"/>
        </w:rPr>
        <w:t xml:space="preserve"> </w:t>
      </w:r>
      <w:r w:rsidRPr="00283806">
        <w:rPr>
          <w:w w:val="105"/>
        </w:rPr>
        <w:t>solution is to slightly reconstitute and return ‘‘certified reclaimed material’’ to the market for service of existing equipment</w:t>
      </w:r>
      <w:r w:rsidRPr="00283806">
        <w:rPr>
          <w:spacing w:val="8"/>
          <w:w w:val="105"/>
        </w:rPr>
        <w:t xml:space="preserve"> </w:t>
      </w:r>
      <w:r w:rsidRPr="00283806">
        <w:rPr>
          <w:w w:val="105"/>
        </w:rPr>
        <w:t>aging</w:t>
      </w:r>
      <w:r w:rsidRPr="00283806">
        <w:rPr>
          <w:spacing w:val="8"/>
          <w:w w:val="105"/>
        </w:rPr>
        <w:t xml:space="preserve"> </w:t>
      </w:r>
      <w:r w:rsidRPr="00283806">
        <w:rPr>
          <w:w w:val="105"/>
        </w:rPr>
        <w:t>out</w:t>
      </w:r>
      <w:r w:rsidRPr="00283806">
        <w:rPr>
          <w:spacing w:val="9"/>
          <w:w w:val="105"/>
        </w:rPr>
        <w:t xml:space="preserve"> </w:t>
      </w:r>
      <w:r w:rsidRPr="00283806">
        <w:rPr>
          <w:w w:val="105"/>
        </w:rPr>
        <w:t>of</w:t>
      </w:r>
      <w:r w:rsidRPr="00283806">
        <w:rPr>
          <w:spacing w:val="8"/>
          <w:w w:val="105"/>
        </w:rPr>
        <w:t xml:space="preserve"> </w:t>
      </w:r>
      <w:r w:rsidRPr="00283806">
        <w:rPr>
          <w:w w:val="105"/>
        </w:rPr>
        <w:t>the</w:t>
      </w:r>
      <w:r w:rsidRPr="00283806">
        <w:rPr>
          <w:spacing w:val="9"/>
          <w:w w:val="105"/>
        </w:rPr>
        <w:t xml:space="preserve"> </w:t>
      </w:r>
      <w:r w:rsidRPr="00283806">
        <w:rPr>
          <w:spacing w:val="-2"/>
          <w:w w:val="105"/>
        </w:rPr>
        <w:t>marketplace.</w:t>
      </w:r>
    </w:p>
    <w:p w14:paraId="29B8CE90" w14:textId="77777777" w:rsidR="00D67C1E" w:rsidRPr="00283806" w:rsidRDefault="001265CA">
      <w:pPr>
        <w:spacing w:line="174" w:lineRule="exact"/>
        <w:ind w:left="334"/>
        <w:rPr>
          <w:sz w:val="18"/>
        </w:rPr>
      </w:pPr>
      <w:r w:rsidRPr="00283806">
        <w:rPr>
          <w:rFonts w:ascii="Book Antiqua"/>
          <w:i/>
          <w:w w:val="110"/>
          <w:sz w:val="18"/>
        </w:rPr>
        <w:t>Response:</w:t>
      </w:r>
      <w:r w:rsidRPr="00283806">
        <w:rPr>
          <w:rFonts w:ascii="Book Antiqua"/>
          <w:i/>
          <w:spacing w:val="-1"/>
          <w:w w:val="110"/>
          <w:sz w:val="18"/>
        </w:rPr>
        <w:t xml:space="preserve"> </w:t>
      </w:r>
      <w:r w:rsidRPr="00283806">
        <w:rPr>
          <w:w w:val="110"/>
          <w:sz w:val="18"/>
        </w:rPr>
        <w:t>EPA</w:t>
      </w:r>
      <w:r w:rsidRPr="00283806">
        <w:rPr>
          <w:spacing w:val="4"/>
          <w:w w:val="110"/>
          <w:sz w:val="18"/>
        </w:rPr>
        <w:t xml:space="preserve"> </w:t>
      </w:r>
      <w:r w:rsidRPr="00283806">
        <w:rPr>
          <w:w w:val="110"/>
          <w:sz w:val="18"/>
        </w:rPr>
        <w:t>did</w:t>
      </w:r>
      <w:r w:rsidRPr="00283806">
        <w:rPr>
          <w:spacing w:val="5"/>
          <w:w w:val="110"/>
          <w:sz w:val="18"/>
        </w:rPr>
        <w:t xml:space="preserve"> </w:t>
      </w:r>
      <w:r w:rsidRPr="00283806">
        <w:rPr>
          <w:w w:val="110"/>
          <w:sz w:val="18"/>
        </w:rPr>
        <w:t>not</w:t>
      </w:r>
      <w:r w:rsidRPr="00283806">
        <w:rPr>
          <w:spacing w:val="5"/>
          <w:w w:val="110"/>
          <w:sz w:val="18"/>
        </w:rPr>
        <w:t xml:space="preserve"> </w:t>
      </w:r>
      <w:r w:rsidRPr="00283806">
        <w:rPr>
          <w:w w:val="110"/>
          <w:sz w:val="18"/>
        </w:rPr>
        <w:t>propose</w:t>
      </w:r>
      <w:r w:rsidRPr="00283806">
        <w:rPr>
          <w:spacing w:val="5"/>
          <w:w w:val="110"/>
          <w:sz w:val="18"/>
        </w:rPr>
        <w:t xml:space="preserve"> </w:t>
      </w:r>
      <w:r w:rsidRPr="00283806">
        <w:rPr>
          <w:w w:val="110"/>
          <w:sz w:val="18"/>
        </w:rPr>
        <w:t>and</w:t>
      </w:r>
      <w:r w:rsidRPr="00283806">
        <w:rPr>
          <w:spacing w:val="4"/>
          <w:w w:val="110"/>
          <w:sz w:val="18"/>
        </w:rPr>
        <w:t xml:space="preserve"> </w:t>
      </w:r>
      <w:r w:rsidRPr="00283806">
        <w:rPr>
          <w:spacing w:val="-5"/>
          <w:w w:val="110"/>
          <w:sz w:val="18"/>
        </w:rPr>
        <w:t>is</w:t>
      </w:r>
    </w:p>
    <w:p w14:paraId="31D9323F" w14:textId="77777777" w:rsidR="00D67C1E" w:rsidRPr="00283806" w:rsidRDefault="001265CA">
      <w:pPr>
        <w:pStyle w:val="BodyText"/>
        <w:spacing w:line="225" w:lineRule="auto"/>
        <w:ind w:left="154" w:right="145"/>
      </w:pPr>
      <w:r w:rsidRPr="00283806">
        <w:rPr>
          <w:w w:val="105"/>
        </w:rPr>
        <w:t xml:space="preserve">not establishing an offset or GWP-based program as the commenter suggests. The Agency recognizes that the 2023 Technology Transitions Rule uses GWP thresholds and that the Agency issues allowances based on exchange values. However, for the </w:t>
      </w:r>
      <w:proofErr w:type="gramStart"/>
      <w:r w:rsidRPr="00283806">
        <w:rPr>
          <w:w w:val="105"/>
        </w:rPr>
        <w:t>purposes</w:t>
      </w:r>
      <w:proofErr w:type="gramEnd"/>
      <w:r w:rsidRPr="00283806">
        <w:rPr>
          <w:w w:val="105"/>
        </w:rPr>
        <w:t xml:space="preserve"> of</w:t>
      </w:r>
      <w:r w:rsidRPr="00283806">
        <w:rPr>
          <w:spacing w:val="80"/>
          <w:w w:val="105"/>
        </w:rPr>
        <w:t xml:space="preserve"> </w:t>
      </w:r>
      <w:r w:rsidRPr="00283806">
        <w:rPr>
          <w:w w:val="105"/>
        </w:rPr>
        <w:t>establishing an ER&amp;R program, and</w:t>
      </w:r>
      <w:r w:rsidRPr="00283806">
        <w:rPr>
          <w:spacing w:val="80"/>
          <w:w w:val="105"/>
        </w:rPr>
        <w:t xml:space="preserve"> </w:t>
      </w:r>
      <w:r w:rsidRPr="00283806">
        <w:rPr>
          <w:w w:val="105"/>
        </w:rPr>
        <w:t>more specifically for establishing provisions for the upper limit on virgin HFCs used in reclaimed HFCs, the</w:t>
      </w:r>
      <w:r w:rsidRPr="00283806">
        <w:rPr>
          <w:spacing w:val="80"/>
          <w:w w:val="150"/>
        </w:rPr>
        <w:t xml:space="preserve"> </w:t>
      </w:r>
      <w:r w:rsidRPr="00283806">
        <w:rPr>
          <w:w w:val="105"/>
        </w:rPr>
        <w:t>Agency does not agree with the asserted need for an offset or GWP-based approach. In establishing this and other requirements related to reclaimed refrigerants in this rulemaking, the Agency seeks to require actions that would help meet the purposes described in subsection (h)(1) of the AIM Act, including</w:t>
      </w:r>
      <w:r w:rsidRPr="00283806">
        <w:rPr>
          <w:spacing w:val="40"/>
          <w:w w:val="105"/>
        </w:rPr>
        <w:t xml:space="preserve"> </w:t>
      </w:r>
      <w:r w:rsidRPr="00283806">
        <w:rPr>
          <w:w w:val="105"/>
        </w:rPr>
        <w:t>maximizing</w:t>
      </w:r>
      <w:r w:rsidRPr="00283806">
        <w:rPr>
          <w:spacing w:val="40"/>
          <w:w w:val="105"/>
        </w:rPr>
        <w:t xml:space="preserve"> </w:t>
      </w:r>
      <w:r w:rsidRPr="00283806">
        <w:rPr>
          <w:w w:val="105"/>
        </w:rPr>
        <w:t>the</w:t>
      </w:r>
      <w:r w:rsidRPr="00283806">
        <w:rPr>
          <w:spacing w:val="40"/>
          <w:w w:val="105"/>
        </w:rPr>
        <w:t xml:space="preserve"> </w:t>
      </w:r>
      <w:r w:rsidRPr="00283806">
        <w:rPr>
          <w:w w:val="105"/>
        </w:rPr>
        <w:t>reclamation</w:t>
      </w:r>
      <w:r w:rsidRPr="00283806">
        <w:rPr>
          <w:spacing w:val="40"/>
          <w:w w:val="105"/>
        </w:rPr>
        <w:t xml:space="preserve"> </w:t>
      </w:r>
      <w:r w:rsidRPr="00283806">
        <w:rPr>
          <w:w w:val="105"/>
        </w:rPr>
        <w:t>of HFCs. Thus, the destruction or</w:t>
      </w:r>
    </w:p>
    <w:p w14:paraId="74695CBF"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21" w:space="40"/>
            <w:col w:w="3485" w:space="39"/>
            <w:col w:w="3635"/>
          </w:cols>
        </w:sectPr>
      </w:pPr>
    </w:p>
    <w:p w14:paraId="0917FEA1" w14:textId="77777777" w:rsidR="00D67C1E" w:rsidRPr="00283806" w:rsidRDefault="001265CA">
      <w:pPr>
        <w:pStyle w:val="BodyText"/>
        <w:spacing w:before="133" w:line="230" w:lineRule="auto"/>
        <w:ind w:right="27"/>
      </w:pPr>
      <w:r w:rsidRPr="00283806">
        <w:rPr>
          <w:w w:val="105"/>
        </w:rPr>
        <w:lastRenderedPageBreak/>
        <w:t xml:space="preserve">repurposing without </w:t>
      </w:r>
      <w:proofErr w:type="gramStart"/>
      <w:r w:rsidRPr="00283806">
        <w:rPr>
          <w:w w:val="105"/>
        </w:rPr>
        <w:t>reclaiming</w:t>
      </w:r>
      <w:proofErr w:type="gramEnd"/>
      <w:r w:rsidRPr="00283806">
        <w:rPr>
          <w:w w:val="105"/>
        </w:rPr>
        <w:t xml:space="preserve"> of any HFCs,</w:t>
      </w:r>
      <w:r w:rsidRPr="00283806">
        <w:rPr>
          <w:spacing w:val="40"/>
          <w:w w:val="105"/>
        </w:rPr>
        <w:t xml:space="preserve"> </w:t>
      </w:r>
      <w:r w:rsidRPr="00283806">
        <w:rPr>
          <w:w w:val="105"/>
        </w:rPr>
        <w:t>including</w:t>
      </w:r>
      <w:r w:rsidRPr="00283806">
        <w:rPr>
          <w:spacing w:val="40"/>
          <w:w w:val="105"/>
        </w:rPr>
        <w:t xml:space="preserve"> </w:t>
      </w:r>
      <w:r w:rsidRPr="00283806">
        <w:rPr>
          <w:w w:val="105"/>
        </w:rPr>
        <w:t>high-GWP</w:t>
      </w:r>
      <w:r w:rsidRPr="00283806">
        <w:rPr>
          <w:spacing w:val="40"/>
          <w:w w:val="105"/>
        </w:rPr>
        <w:t xml:space="preserve"> </w:t>
      </w:r>
      <w:r w:rsidRPr="00283806">
        <w:rPr>
          <w:w w:val="105"/>
        </w:rPr>
        <w:t>HFCs</w:t>
      </w:r>
      <w:r w:rsidRPr="00283806">
        <w:rPr>
          <w:spacing w:val="40"/>
          <w:w w:val="105"/>
        </w:rPr>
        <w:t xml:space="preserve"> </w:t>
      </w:r>
      <w:r w:rsidRPr="00283806">
        <w:rPr>
          <w:w w:val="105"/>
        </w:rPr>
        <w:t xml:space="preserve">that can be properly reclaimed, would be </w:t>
      </w:r>
      <w:proofErr w:type="gramStart"/>
      <w:r w:rsidRPr="00283806">
        <w:rPr>
          <w:w w:val="105"/>
        </w:rPr>
        <w:t>counter</w:t>
      </w:r>
      <w:proofErr w:type="gramEnd"/>
      <w:r w:rsidRPr="00283806">
        <w:rPr>
          <w:w w:val="105"/>
        </w:rPr>
        <w:t xml:space="preserve"> to this goal. Further, other provisions of the AIM Act prescribe a phasedown, and not a phaseout for regulated substances. Even after the phasedown reaches its final step, virgin HFCs will continue to be produced and consumed. Any destruction-based program to provide offsets or credits would need to fully assess and address additionality.</w:t>
      </w:r>
      <w:r w:rsidRPr="00283806">
        <w:rPr>
          <w:w w:val="105"/>
          <w:position w:val="5"/>
          <w:sz w:val="11"/>
        </w:rPr>
        <w:t>93</w:t>
      </w:r>
      <w:r w:rsidRPr="00283806">
        <w:rPr>
          <w:spacing w:val="40"/>
          <w:w w:val="105"/>
          <w:position w:val="5"/>
          <w:sz w:val="11"/>
        </w:rPr>
        <w:t xml:space="preserve"> </w:t>
      </w:r>
      <w:r w:rsidRPr="00283806">
        <w:rPr>
          <w:w w:val="105"/>
        </w:rPr>
        <w:t>While</w:t>
      </w:r>
      <w:r w:rsidRPr="00283806">
        <w:rPr>
          <w:spacing w:val="40"/>
          <w:w w:val="105"/>
        </w:rPr>
        <w:t xml:space="preserve"> </w:t>
      </w:r>
      <w:r w:rsidRPr="00283806">
        <w:rPr>
          <w:w w:val="105"/>
        </w:rPr>
        <w:t>such</w:t>
      </w:r>
      <w:r w:rsidRPr="00283806">
        <w:rPr>
          <w:spacing w:val="40"/>
          <w:w w:val="105"/>
        </w:rPr>
        <w:t xml:space="preserve"> </w:t>
      </w:r>
      <w:r w:rsidRPr="00283806">
        <w:rPr>
          <w:w w:val="105"/>
        </w:rPr>
        <w:t>programs and considerations are beyond the scope of this rulemaking, EPA is uncertain whether additionality could be</w:t>
      </w:r>
      <w:r w:rsidRPr="00283806">
        <w:rPr>
          <w:spacing w:val="80"/>
          <w:w w:val="105"/>
        </w:rPr>
        <w:t xml:space="preserve"> </w:t>
      </w:r>
      <w:r w:rsidRPr="00283806">
        <w:rPr>
          <w:w w:val="105"/>
        </w:rPr>
        <w:t>addressed in these types of programs.</w:t>
      </w:r>
    </w:p>
    <w:p w14:paraId="7890280C" w14:textId="77777777" w:rsidR="00D67C1E" w:rsidRPr="00283806" w:rsidRDefault="001265CA">
      <w:pPr>
        <w:pStyle w:val="BodyText"/>
        <w:spacing w:line="230" w:lineRule="auto"/>
      </w:pPr>
      <w:r w:rsidRPr="00283806">
        <w:rPr>
          <w:w w:val="105"/>
        </w:rPr>
        <w:t>The Agency also does not agree with a GWP-weighting approach for virgin</w:t>
      </w:r>
      <w:r w:rsidRPr="00283806">
        <w:rPr>
          <w:spacing w:val="80"/>
          <w:w w:val="105"/>
        </w:rPr>
        <w:t xml:space="preserve"> </w:t>
      </w:r>
      <w:r w:rsidRPr="00283806">
        <w:rPr>
          <w:w w:val="105"/>
        </w:rPr>
        <w:t>HFCs allowed in reclaimed HFCs. The Agency proposed and is finalizing a requirement that is based on percentage, by weight. The Agency understands that for servicing equipment, it is important</w:t>
      </w:r>
      <w:r w:rsidRPr="00283806">
        <w:rPr>
          <w:spacing w:val="40"/>
          <w:w w:val="105"/>
        </w:rPr>
        <w:t xml:space="preserve"> </w:t>
      </w:r>
      <w:r w:rsidRPr="00283806">
        <w:rPr>
          <w:w w:val="105"/>
        </w:rPr>
        <w:t xml:space="preserve">to maintain </w:t>
      </w:r>
      <w:proofErr w:type="gramStart"/>
      <w:r w:rsidRPr="00283806">
        <w:rPr>
          <w:w w:val="105"/>
        </w:rPr>
        <w:t>adequate</w:t>
      </w:r>
      <w:proofErr w:type="gramEnd"/>
      <w:r w:rsidRPr="00283806">
        <w:rPr>
          <w:w w:val="105"/>
        </w:rPr>
        <w:t xml:space="preserve"> supply of the same refrigerants used in that equipment</w:t>
      </w:r>
      <w:r w:rsidRPr="00283806">
        <w:rPr>
          <w:spacing w:val="40"/>
          <w:w w:val="105"/>
        </w:rPr>
        <w:t xml:space="preserve"> </w:t>
      </w:r>
      <w:r w:rsidRPr="00283806">
        <w:rPr>
          <w:w w:val="105"/>
        </w:rPr>
        <w:t>when it was initially charged. So, unlike the 2023 Technology Transitions Rule facilitating transition to next-generation technologies through sector-based restrictions on HFCs, this rule concerns the goals of maximizing reclamation and minimizing releases from equipment.</w:t>
      </w:r>
    </w:p>
    <w:p w14:paraId="4D5D5217" w14:textId="77777777" w:rsidR="00D67C1E" w:rsidRPr="00283806" w:rsidRDefault="001265CA">
      <w:pPr>
        <w:pStyle w:val="BodyText"/>
        <w:spacing w:line="230" w:lineRule="auto"/>
      </w:pPr>
      <w:proofErr w:type="gramStart"/>
      <w:r w:rsidRPr="00283806">
        <w:rPr>
          <w:w w:val="105"/>
        </w:rPr>
        <w:t>Availability</w:t>
      </w:r>
      <w:proofErr w:type="gramEnd"/>
      <w:r w:rsidRPr="00283806">
        <w:rPr>
          <w:w w:val="105"/>
        </w:rPr>
        <w:t xml:space="preserve"> of refrigerants of all types, increasingly from reclamation, is central to meeting the goals of this rule, and an approach that applies to all HFCs would continue to promote reclamation. An approach that is GWP-based may have</w:t>
      </w:r>
    </w:p>
    <w:p w14:paraId="10230E68" w14:textId="77777777" w:rsidR="00D67C1E" w:rsidRPr="00283806" w:rsidRDefault="001265CA">
      <w:pPr>
        <w:pStyle w:val="BodyText"/>
        <w:spacing w:line="228" w:lineRule="auto"/>
        <w:ind w:left="159"/>
      </w:pPr>
      <w:r w:rsidRPr="00283806">
        <w:rPr>
          <w:w w:val="105"/>
        </w:rPr>
        <w:t>a counter effect of promoting only reclamation of certain higher-GWP HFC refrigerants. Further, such a GWP- weighted approach would likely require additional compliance measures such as labeling or recordkeeping and reporting to ensure a specified overall CO</w:t>
      </w:r>
      <w:r w:rsidRPr="00283806">
        <w:rPr>
          <w:rFonts w:ascii="Times New Roman"/>
          <w:w w:val="105"/>
          <w:vertAlign w:val="subscript"/>
        </w:rPr>
        <w:t>2</w:t>
      </w:r>
      <w:r w:rsidRPr="00283806">
        <w:rPr>
          <w:rFonts w:ascii="Times New Roman"/>
          <w:w w:val="105"/>
        </w:rPr>
        <w:t xml:space="preserve"> </w:t>
      </w:r>
      <w:r w:rsidRPr="00283806">
        <w:rPr>
          <w:w w:val="105"/>
        </w:rPr>
        <w:t>equivalency is met.</w:t>
      </w:r>
    </w:p>
    <w:p w14:paraId="2BEC5B4A" w14:textId="77777777" w:rsidR="00D67C1E" w:rsidRPr="00283806" w:rsidRDefault="001265CA">
      <w:pPr>
        <w:pStyle w:val="BodyText"/>
        <w:spacing w:before="37" w:line="228" w:lineRule="auto"/>
        <w:ind w:left="159" w:right="78" w:firstLine="180"/>
      </w:pPr>
      <w:r w:rsidRPr="00283806">
        <w:rPr>
          <w:w w:val="105"/>
        </w:rPr>
        <w:t xml:space="preserve">The Agency recognizes the use of HFC–32 and HFC–152a neat and in blends. The Agency further understands that as the market evolves, the sourcing of HFCs to be reclaimed may require separating HFCs and then using those separated HFCs in new blends. EPA is aware that </w:t>
      </w:r>
      <w:proofErr w:type="gramStart"/>
      <w:r w:rsidRPr="00283806">
        <w:rPr>
          <w:w w:val="105"/>
        </w:rPr>
        <w:t>a number of</w:t>
      </w:r>
      <w:proofErr w:type="gramEnd"/>
      <w:r w:rsidRPr="00283806">
        <w:rPr>
          <w:w w:val="105"/>
        </w:rPr>
        <w:t xml:space="preserve"> reclaimers have invested in and currently operate advanced reclamation technologies to effectively reclaim refrigerants,</w:t>
      </w:r>
      <w:r w:rsidRPr="00283806">
        <w:rPr>
          <w:spacing w:val="80"/>
          <w:w w:val="105"/>
        </w:rPr>
        <w:t xml:space="preserve"> </w:t>
      </w:r>
      <w:r w:rsidRPr="00283806">
        <w:rPr>
          <w:w w:val="105"/>
        </w:rPr>
        <w:t>including separating and reclaiming HFC–32 from R–410A. For additional discussion</w:t>
      </w:r>
      <w:r w:rsidRPr="00283806">
        <w:rPr>
          <w:spacing w:val="40"/>
          <w:w w:val="105"/>
        </w:rPr>
        <w:t xml:space="preserve"> </w:t>
      </w:r>
      <w:r w:rsidRPr="00283806">
        <w:rPr>
          <w:w w:val="105"/>
        </w:rPr>
        <w:t>on</w:t>
      </w:r>
      <w:r w:rsidRPr="00283806">
        <w:rPr>
          <w:spacing w:val="40"/>
          <w:w w:val="105"/>
        </w:rPr>
        <w:t xml:space="preserve"> </w:t>
      </w:r>
      <w:r w:rsidRPr="00283806">
        <w:rPr>
          <w:w w:val="105"/>
        </w:rPr>
        <w:t>supply</w:t>
      </w:r>
      <w:r w:rsidRPr="00283806">
        <w:rPr>
          <w:spacing w:val="40"/>
          <w:w w:val="105"/>
        </w:rPr>
        <w:t xml:space="preserve"> </w:t>
      </w:r>
      <w:r w:rsidRPr="00283806">
        <w:rPr>
          <w:w w:val="105"/>
        </w:rPr>
        <w:t>of</w:t>
      </w:r>
      <w:r w:rsidRPr="00283806">
        <w:rPr>
          <w:spacing w:val="40"/>
          <w:w w:val="105"/>
        </w:rPr>
        <w:t xml:space="preserve"> </w:t>
      </w:r>
      <w:r w:rsidRPr="00283806">
        <w:rPr>
          <w:w w:val="105"/>
        </w:rPr>
        <w:t>reclaimed HFCs, please refer to comments and responses in section IV.E.2.</w:t>
      </w:r>
    </w:p>
    <w:p w14:paraId="2576DF81" w14:textId="77777777" w:rsidR="00D67C1E" w:rsidRPr="00283806" w:rsidRDefault="001265CA">
      <w:pPr>
        <w:pStyle w:val="BodyText"/>
        <w:spacing w:before="10"/>
        <w:ind w:left="0"/>
        <w:rPr>
          <w:sz w:val="14"/>
        </w:rPr>
      </w:pPr>
      <w:r w:rsidRPr="00283806">
        <w:rPr>
          <w:noProof/>
        </w:rPr>
        <mc:AlternateContent>
          <mc:Choice Requires="wps">
            <w:drawing>
              <wp:anchor distT="0" distB="0" distL="0" distR="0" simplePos="0" relativeHeight="251651072" behindDoc="1" locked="0" layoutInCell="1" allowOverlap="1" wp14:anchorId="0E03D233" wp14:editId="6C285F18">
                <wp:simplePos x="0" y="0"/>
                <wp:positionH relativeFrom="page">
                  <wp:posOffset>571500</wp:posOffset>
                </wp:positionH>
                <wp:positionV relativeFrom="paragraph">
                  <wp:posOffset>126257</wp:posOffset>
                </wp:positionV>
                <wp:extent cx="635000" cy="1270"/>
                <wp:effectExtent l="0" t="0" r="0" b="0"/>
                <wp:wrapTopAndBottom/>
                <wp:docPr id="82" name="Graphic 8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DF16211" id="Graphic 82" o:spid="_x0000_s1026" alt="&quot;&quot;" style="position:absolute;margin-left:45pt;margin-top:9.95pt;width:50pt;height:.1pt;z-index:-251665408;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" path="m,l635000,e" filled="f" strokeweight=".5pt">
                <v:path arrowok="t"/>
                <w10:wrap type="topAndBottom" anchorx="page"/>
              </v:shape>
            </w:pict>
          </mc:Fallback>
        </mc:AlternateContent>
      </w:r>
    </w:p>
    <w:p w14:paraId="5C69257D" w14:textId="77777777" w:rsidR="00D67C1E" w:rsidRPr="00283806" w:rsidRDefault="001265CA">
      <w:pPr>
        <w:spacing w:before="36" w:line="44" w:lineRule="exact"/>
        <w:ind w:left="300"/>
        <w:rPr>
          <w:sz w:val="14"/>
        </w:rPr>
      </w:pPr>
      <w:r w:rsidRPr="00283806">
        <w:rPr>
          <w:w w:val="110"/>
          <w:position w:val="4"/>
          <w:sz w:val="9"/>
        </w:rPr>
        <w:t>93</w:t>
      </w:r>
      <w:r w:rsidRPr="00283806">
        <w:rPr>
          <w:spacing w:val="-4"/>
          <w:w w:val="110"/>
          <w:position w:val="4"/>
          <w:sz w:val="9"/>
        </w:rPr>
        <w:t xml:space="preserve"> </w:t>
      </w:r>
      <w:r w:rsidRPr="00283806">
        <w:rPr>
          <w:w w:val="110"/>
          <w:sz w:val="14"/>
        </w:rPr>
        <w:t>Additionality</w:t>
      </w:r>
      <w:r w:rsidRPr="00283806">
        <w:rPr>
          <w:spacing w:val="-1"/>
          <w:w w:val="110"/>
          <w:sz w:val="14"/>
        </w:rPr>
        <w:t xml:space="preserve"> </w:t>
      </w:r>
      <w:r w:rsidRPr="00283806">
        <w:rPr>
          <w:w w:val="110"/>
          <w:sz w:val="14"/>
        </w:rPr>
        <w:t>is</w:t>
      </w:r>
      <w:r w:rsidRPr="00283806">
        <w:rPr>
          <w:spacing w:val="-2"/>
          <w:w w:val="110"/>
          <w:sz w:val="14"/>
        </w:rPr>
        <w:t xml:space="preserve"> </w:t>
      </w:r>
      <w:r w:rsidRPr="00283806">
        <w:rPr>
          <w:w w:val="110"/>
          <w:sz w:val="14"/>
        </w:rPr>
        <w:t>the</w:t>
      </w:r>
      <w:r w:rsidRPr="00283806">
        <w:rPr>
          <w:spacing w:val="-2"/>
          <w:w w:val="110"/>
          <w:sz w:val="14"/>
        </w:rPr>
        <w:t xml:space="preserve"> </w:t>
      </w:r>
      <w:r w:rsidRPr="00283806">
        <w:rPr>
          <w:w w:val="110"/>
          <w:sz w:val="14"/>
        </w:rPr>
        <w:t>criterion</w:t>
      </w:r>
      <w:r w:rsidRPr="00283806">
        <w:rPr>
          <w:spacing w:val="-1"/>
          <w:w w:val="110"/>
          <w:sz w:val="14"/>
        </w:rPr>
        <w:t xml:space="preserve"> </w:t>
      </w:r>
      <w:r w:rsidRPr="00283806">
        <w:rPr>
          <w:w w:val="110"/>
          <w:sz w:val="14"/>
        </w:rPr>
        <w:t>used</w:t>
      </w:r>
      <w:r w:rsidRPr="00283806">
        <w:rPr>
          <w:spacing w:val="-2"/>
          <w:w w:val="110"/>
          <w:sz w:val="14"/>
        </w:rPr>
        <w:t xml:space="preserve"> </w:t>
      </w:r>
      <w:r w:rsidRPr="00283806">
        <w:rPr>
          <w:spacing w:val="-5"/>
          <w:w w:val="110"/>
          <w:sz w:val="14"/>
        </w:rPr>
        <w:t>to</w:t>
      </w:r>
    </w:p>
    <w:p w14:paraId="48D00D24" w14:textId="77777777" w:rsidR="00D67C1E" w:rsidRPr="00283806" w:rsidRDefault="001265CA">
      <w:pPr>
        <w:pStyle w:val="BodyText"/>
        <w:spacing w:before="135" w:line="225" w:lineRule="auto"/>
        <w:ind w:left="143" w:firstLine="180"/>
      </w:pPr>
      <w:r w:rsidRPr="00283806">
        <w:br w:type="column"/>
      </w:r>
      <w:r w:rsidRPr="00283806">
        <w:rPr>
          <w:rFonts w:ascii="Book Antiqua" w:hAnsi="Book Antiqua"/>
          <w:i/>
          <w:w w:val="105"/>
        </w:rPr>
        <w:t xml:space="preserve">Comment: </w:t>
      </w:r>
      <w:r w:rsidRPr="00283806">
        <w:rPr>
          <w:w w:val="105"/>
        </w:rPr>
        <w:t>Another</w:t>
      </w:r>
      <w:r w:rsidRPr="00283806">
        <w:rPr>
          <w:spacing w:val="40"/>
          <w:w w:val="105"/>
        </w:rPr>
        <w:t xml:space="preserve"> </w:t>
      </w:r>
      <w:r w:rsidRPr="00283806">
        <w:rPr>
          <w:w w:val="105"/>
        </w:rPr>
        <w:t>commenter,</w:t>
      </w:r>
      <w:r w:rsidRPr="00283806">
        <w:rPr>
          <w:spacing w:val="40"/>
          <w:w w:val="105"/>
        </w:rPr>
        <w:t xml:space="preserve"> </w:t>
      </w:r>
      <w:r w:rsidRPr="00283806">
        <w:rPr>
          <w:w w:val="105"/>
        </w:rPr>
        <w:t>as</w:t>
      </w:r>
      <w:r w:rsidRPr="00283806">
        <w:rPr>
          <w:spacing w:val="40"/>
          <w:w w:val="105"/>
        </w:rPr>
        <w:t xml:space="preserve"> </w:t>
      </w:r>
      <w:r w:rsidRPr="00283806">
        <w:rPr>
          <w:w w:val="105"/>
        </w:rPr>
        <w:t>part of their suggestion that EPA replace the reclaim mandates for initial fill and servicing with a requirement that refrigerant supplied for servicing</w:t>
      </w:r>
      <w:r w:rsidRPr="00283806">
        <w:rPr>
          <w:spacing w:val="80"/>
          <w:w w:val="105"/>
        </w:rPr>
        <w:t xml:space="preserve"> </w:t>
      </w:r>
      <w:r w:rsidRPr="00283806">
        <w:rPr>
          <w:w w:val="105"/>
        </w:rPr>
        <w:t>include a specified percentage of reclaimed material on a CO</w:t>
      </w:r>
      <w:r w:rsidRPr="00283806">
        <w:rPr>
          <w:rFonts w:ascii="Times New Roman" w:hAnsi="Times New Roman"/>
          <w:w w:val="105"/>
          <w:vertAlign w:val="subscript"/>
        </w:rPr>
        <w:t>2</w:t>
      </w:r>
      <w:r w:rsidRPr="00283806">
        <w:rPr>
          <w:w w:val="105"/>
        </w:rPr>
        <w:t>e basis, proposed that this requirement should</w:t>
      </w:r>
      <w:r w:rsidRPr="00283806">
        <w:rPr>
          <w:spacing w:val="40"/>
          <w:w w:val="105"/>
        </w:rPr>
        <w:t xml:space="preserve"> </w:t>
      </w:r>
      <w:r w:rsidRPr="00283806">
        <w:rPr>
          <w:w w:val="105"/>
        </w:rPr>
        <w:t>be met on a net basis, allowing for certified reclaimed refrigerant to be blended with virgin refrigerant in any ratio so long as the final ratio of material placed into the market in every</w:t>
      </w:r>
      <w:r w:rsidRPr="00283806">
        <w:rPr>
          <w:spacing w:val="80"/>
          <w:w w:val="105"/>
        </w:rPr>
        <w:t xml:space="preserve"> </w:t>
      </w:r>
      <w:r w:rsidRPr="00283806">
        <w:rPr>
          <w:w w:val="105"/>
        </w:rPr>
        <w:t>reporting year meets the ratio as determined by the Administrator. The commenter asserted that this flexible requirement would allow a supplier to provide 100 percent virgin R–410A, but 100 percent reclaimed R–404A, HFC– 134a, or other refrigerant types, so long as the net CO</w:t>
      </w:r>
      <w:r w:rsidRPr="00283806">
        <w:rPr>
          <w:rFonts w:ascii="Times New Roman" w:hAnsi="Times New Roman"/>
          <w:w w:val="105"/>
          <w:vertAlign w:val="subscript"/>
        </w:rPr>
        <w:t>2</w:t>
      </w:r>
      <w:r w:rsidRPr="00283806">
        <w:rPr>
          <w:w w:val="105"/>
        </w:rPr>
        <w:t>e is met.</w:t>
      </w:r>
    </w:p>
    <w:p w14:paraId="70950B05" w14:textId="77777777" w:rsidR="00D67C1E" w:rsidRPr="00283806" w:rsidRDefault="001265CA">
      <w:pPr>
        <w:spacing w:line="168" w:lineRule="exact"/>
        <w:ind w:left="323"/>
        <w:rPr>
          <w:sz w:val="18"/>
        </w:rPr>
      </w:pPr>
      <w:r w:rsidRPr="00283806">
        <w:rPr>
          <w:rFonts w:ascii="Book Antiqua"/>
          <w:i/>
          <w:w w:val="110"/>
          <w:sz w:val="18"/>
        </w:rPr>
        <w:t xml:space="preserve">Response: </w:t>
      </w:r>
      <w:r w:rsidRPr="00283806">
        <w:rPr>
          <w:w w:val="110"/>
          <w:sz w:val="18"/>
        </w:rPr>
        <w:t>The</w:t>
      </w:r>
      <w:r w:rsidRPr="00283806">
        <w:rPr>
          <w:spacing w:val="7"/>
          <w:w w:val="110"/>
          <w:sz w:val="18"/>
        </w:rPr>
        <w:t xml:space="preserve"> </w:t>
      </w:r>
      <w:r w:rsidRPr="00283806">
        <w:rPr>
          <w:w w:val="110"/>
          <w:sz w:val="18"/>
        </w:rPr>
        <w:t>Agency</w:t>
      </w:r>
      <w:r w:rsidRPr="00283806">
        <w:rPr>
          <w:spacing w:val="6"/>
          <w:w w:val="110"/>
          <w:sz w:val="18"/>
        </w:rPr>
        <w:t xml:space="preserve"> </w:t>
      </w:r>
      <w:r w:rsidRPr="00283806">
        <w:rPr>
          <w:w w:val="110"/>
          <w:sz w:val="18"/>
        </w:rPr>
        <w:t>does</w:t>
      </w:r>
      <w:r w:rsidRPr="00283806">
        <w:rPr>
          <w:spacing w:val="6"/>
          <w:w w:val="110"/>
          <w:sz w:val="18"/>
        </w:rPr>
        <w:t xml:space="preserve"> </w:t>
      </w:r>
      <w:r w:rsidRPr="00283806">
        <w:rPr>
          <w:w w:val="110"/>
          <w:sz w:val="18"/>
        </w:rPr>
        <w:t>not</w:t>
      </w:r>
      <w:r w:rsidRPr="00283806">
        <w:rPr>
          <w:spacing w:val="6"/>
          <w:w w:val="110"/>
          <w:sz w:val="18"/>
        </w:rPr>
        <w:t xml:space="preserve"> </w:t>
      </w:r>
      <w:r w:rsidRPr="00283806">
        <w:rPr>
          <w:spacing w:val="-2"/>
          <w:w w:val="110"/>
          <w:sz w:val="18"/>
        </w:rPr>
        <w:t>agree</w:t>
      </w:r>
    </w:p>
    <w:p w14:paraId="20D4C311" w14:textId="77777777" w:rsidR="00D67C1E" w:rsidRPr="00283806" w:rsidRDefault="001265CA">
      <w:pPr>
        <w:pStyle w:val="BodyText"/>
        <w:spacing w:line="225" w:lineRule="auto"/>
        <w:ind w:left="143" w:right="25"/>
      </w:pPr>
      <w:r w:rsidRPr="00283806">
        <w:rPr>
          <w:w w:val="105"/>
        </w:rPr>
        <w:t xml:space="preserve">with the </w:t>
      </w:r>
      <w:proofErr w:type="gramStart"/>
      <w:r w:rsidRPr="00283806">
        <w:rPr>
          <w:w w:val="105"/>
        </w:rPr>
        <w:t>commenters</w:t>
      </w:r>
      <w:proofErr w:type="gramEnd"/>
      <w:r w:rsidRPr="00283806">
        <w:rPr>
          <w:w w:val="105"/>
        </w:rPr>
        <w:t xml:space="preserve"> suggestion to base the 15 percent on an annual basis. The reclamation standard established in this final rule is such that reclaimed refrigerants are available for the servicing and/or repair of refrigerant- containing equipment in certain subsectors, and it is not applied at the supplier</w:t>
      </w:r>
      <w:r w:rsidRPr="00283806">
        <w:rPr>
          <w:spacing w:val="40"/>
          <w:w w:val="105"/>
        </w:rPr>
        <w:t xml:space="preserve"> </w:t>
      </w:r>
      <w:r w:rsidRPr="00283806">
        <w:rPr>
          <w:w w:val="105"/>
        </w:rPr>
        <w:t>level.</w:t>
      </w:r>
      <w:r w:rsidRPr="00283806">
        <w:rPr>
          <w:spacing w:val="40"/>
          <w:w w:val="105"/>
        </w:rPr>
        <w:t xml:space="preserve"> </w:t>
      </w:r>
      <w:r w:rsidRPr="00283806">
        <w:rPr>
          <w:w w:val="105"/>
        </w:rPr>
        <w:t>Reclaimers</w:t>
      </w:r>
      <w:r w:rsidRPr="00283806">
        <w:rPr>
          <w:spacing w:val="40"/>
          <w:w w:val="105"/>
        </w:rPr>
        <w:t xml:space="preserve"> </w:t>
      </w:r>
      <w:r w:rsidRPr="00283806">
        <w:rPr>
          <w:w w:val="105"/>
        </w:rPr>
        <w:t>must</w:t>
      </w:r>
      <w:r w:rsidRPr="00283806">
        <w:rPr>
          <w:spacing w:val="40"/>
          <w:w w:val="105"/>
        </w:rPr>
        <w:t xml:space="preserve"> </w:t>
      </w:r>
      <w:r w:rsidRPr="00283806">
        <w:rPr>
          <w:w w:val="105"/>
        </w:rPr>
        <w:t>meet the reclamation standard of no more</w:t>
      </w:r>
      <w:r w:rsidRPr="00283806">
        <w:rPr>
          <w:spacing w:val="40"/>
          <w:w w:val="105"/>
        </w:rPr>
        <w:t xml:space="preserve"> </w:t>
      </w:r>
      <w:r w:rsidRPr="00283806">
        <w:rPr>
          <w:w w:val="105"/>
        </w:rPr>
        <w:t>than 15 percent virgin HFCs, by weight, on a batch basis and certify that the reclaimed refrigerant does not exceed the limit. Basing the reclamation standard on an annual basis may create scenarios in which materials exceeding the reclamation standard of no more</w:t>
      </w:r>
      <w:r w:rsidRPr="00283806">
        <w:rPr>
          <w:spacing w:val="40"/>
          <w:w w:val="105"/>
        </w:rPr>
        <w:t xml:space="preserve"> </w:t>
      </w:r>
      <w:r w:rsidRPr="00283806">
        <w:rPr>
          <w:w w:val="105"/>
        </w:rPr>
        <w:t>than 15 percent virgin HFCs, by weight,</w:t>
      </w:r>
      <w:r w:rsidRPr="00283806">
        <w:rPr>
          <w:spacing w:val="40"/>
          <w:w w:val="105"/>
        </w:rPr>
        <w:t xml:space="preserve"> </w:t>
      </w:r>
      <w:proofErr w:type="gramStart"/>
      <w:r w:rsidRPr="00283806">
        <w:rPr>
          <w:w w:val="105"/>
        </w:rPr>
        <w:t>is</w:t>
      </w:r>
      <w:proofErr w:type="gramEnd"/>
      <w:r w:rsidRPr="00283806">
        <w:rPr>
          <w:w w:val="105"/>
        </w:rPr>
        <w:t xml:space="preserve"> sold or marketed as reclaimed material. This would be counter</w:t>
      </w:r>
      <w:r w:rsidRPr="00283806">
        <w:rPr>
          <w:spacing w:val="80"/>
          <w:w w:val="105"/>
        </w:rPr>
        <w:t xml:space="preserve"> </w:t>
      </w:r>
      <w:r w:rsidRPr="00283806">
        <w:rPr>
          <w:w w:val="105"/>
        </w:rPr>
        <w:t>effective to the goal of maximizing reclamation and could potentially put those servicing and/or repairing refrigerant-containing equipment in the covered subsectors in non-compliance. The Agency further discusses elsewhere in this section that it is applying the requirement on a batch basis.</w:t>
      </w:r>
    </w:p>
    <w:p w14:paraId="1D4C2D95" w14:textId="77777777" w:rsidR="00D67C1E" w:rsidRPr="00283806" w:rsidRDefault="001265CA">
      <w:pPr>
        <w:spacing w:line="175" w:lineRule="exact"/>
        <w:ind w:left="323"/>
        <w:rPr>
          <w:sz w:val="18"/>
        </w:rPr>
      </w:pPr>
      <w:r w:rsidRPr="00283806">
        <w:rPr>
          <w:rFonts w:ascii="Book Antiqua"/>
          <w:i/>
          <w:w w:val="110"/>
          <w:sz w:val="18"/>
        </w:rPr>
        <w:t>Comment:</w:t>
      </w:r>
      <w:r w:rsidRPr="00283806">
        <w:rPr>
          <w:rFonts w:ascii="Book Antiqua"/>
          <w:i/>
          <w:spacing w:val="-2"/>
          <w:w w:val="110"/>
          <w:sz w:val="18"/>
        </w:rPr>
        <w:t xml:space="preserve"> </w:t>
      </w:r>
      <w:r w:rsidRPr="00283806">
        <w:rPr>
          <w:w w:val="110"/>
          <w:sz w:val="18"/>
        </w:rPr>
        <w:t>EPA</w:t>
      </w:r>
      <w:r w:rsidRPr="00283806">
        <w:rPr>
          <w:spacing w:val="5"/>
          <w:w w:val="110"/>
          <w:sz w:val="18"/>
        </w:rPr>
        <w:t xml:space="preserve"> </w:t>
      </w:r>
      <w:r w:rsidRPr="00283806">
        <w:rPr>
          <w:w w:val="110"/>
          <w:sz w:val="18"/>
        </w:rPr>
        <w:t>received</w:t>
      </w:r>
      <w:r w:rsidRPr="00283806">
        <w:rPr>
          <w:spacing w:val="4"/>
          <w:w w:val="110"/>
          <w:sz w:val="18"/>
        </w:rPr>
        <w:t xml:space="preserve"> </w:t>
      </w:r>
      <w:r w:rsidRPr="00283806">
        <w:rPr>
          <w:spacing w:val="-4"/>
          <w:w w:val="110"/>
          <w:sz w:val="18"/>
        </w:rPr>
        <w:t>many</w:t>
      </w:r>
    </w:p>
    <w:p w14:paraId="0E7D6EC5" w14:textId="77777777" w:rsidR="00D67C1E" w:rsidRPr="00283806" w:rsidRDefault="001265CA">
      <w:pPr>
        <w:pStyle w:val="BodyText"/>
        <w:spacing w:line="223" w:lineRule="auto"/>
        <w:ind w:left="143" w:right="63"/>
      </w:pPr>
      <w:r w:rsidRPr="00283806">
        <w:rPr>
          <w:w w:val="105"/>
        </w:rPr>
        <w:t>comments that opposed the 15 percent, by weight, limit for virgin HFCs in reclaimed HFC refrigerants. Two commenters stated the requirement should be removed. One such</w:t>
      </w:r>
      <w:r w:rsidRPr="00283806">
        <w:rPr>
          <w:spacing w:val="80"/>
          <w:w w:val="105"/>
        </w:rPr>
        <w:t xml:space="preserve"> </w:t>
      </w:r>
      <w:r w:rsidRPr="00283806">
        <w:rPr>
          <w:w w:val="105"/>
        </w:rPr>
        <w:t>commenter opposed any cap on virgin HFC refrigerants and specifically</w:t>
      </w:r>
      <w:r w:rsidRPr="00283806">
        <w:rPr>
          <w:spacing w:val="40"/>
          <w:w w:val="105"/>
        </w:rPr>
        <w:t xml:space="preserve"> </w:t>
      </w:r>
      <w:r w:rsidRPr="00283806">
        <w:rPr>
          <w:w w:val="105"/>
        </w:rPr>
        <w:t>opposed the 15 percent blanket cap which they stated was arbitrary and capricious. The commenter claimed that similar provisions at a State level (</w:t>
      </w:r>
      <w:r w:rsidRPr="00283806">
        <w:rPr>
          <w:rFonts w:ascii="Book Antiqua" w:hAnsi="Book Antiqua"/>
          <w:i/>
          <w:w w:val="105"/>
        </w:rPr>
        <w:t xml:space="preserve">i.e., </w:t>
      </w:r>
      <w:r w:rsidRPr="00283806">
        <w:rPr>
          <w:w w:val="105"/>
        </w:rPr>
        <w:t>CARB regulations) were established</w:t>
      </w:r>
      <w:r w:rsidRPr="00283806">
        <w:rPr>
          <w:spacing w:val="80"/>
          <w:w w:val="105"/>
        </w:rPr>
        <w:t xml:space="preserve"> </w:t>
      </w:r>
      <w:r w:rsidRPr="00283806">
        <w:rPr>
          <w:w w:val="105"/>
        </w:rPr>
        <w:t>after</w:t>
      </w:r>
      <w:r w:rsidRPr="00283806">
        <w:rPr>
          <w:spacing w:val="40"/>
          <w:w w:val="105"/>
        </w:rPr>
        <w:t xml:space="preserve"> </w:t>
      </w:r>
      <w:r w:rsidRPr="00283806">
        <w:rPr>
          <w:w w:val="105"/>
        </w:rPr>
        <w:t>industry</w:t>
      </w:r>
      <w:r w:rsidRPr="00283806">
        <w:rPr>
          <w:spacing w:val="40"/>
          <w:w w:val="105"/>
        </w:rPr>
        <w:t xml:space="preserve"> </w:t>
      </w:r>
      <w:r w:rsidRPr="00283806">
        <w:rPr>
          <w:w w:val="105"/>
        </w:rPr>
        <w:t>input</w:t>
      </w:r>
      <w:r w:rsidRPr="00283806">
        <w:rPr>
          <w:spacing w:val="40"/>
          <w:w w:val="105"/>
        </w:rPr>
        <w:t xml:space="preserve"> </w:t>
      </w:r>
      <w:r w:rsidRPr="00283806">
        <w:rPr>
          <w:w w:val="105"/>
        </w:rPr>
        <w:t>for</w:t>
      </w:r>
      <w:r w:rsidRPr="00283806">
        <w:rPr>
          <w:spacing w:val="40"/>
          <w:w w:val="105"/>
        </w:rPr>
        <w:t xml:space="preserve"> </w:t>
      </w:r>
      <w:r w:rsidRPr="00283806">
        <w:rPr>
          <w:w w:val="105"/>
        </w:rPr>
        <w:t>R–410A,</w:t>
      </w:r>
      <w:r w:rsidRPr="00283806">
        <w:rPr>
          <w:spacing w:val="40"/>
          <w:w w:val="105"/>
        </w:rPr>
        <w:t xml:space="preserve"> </w:t>
      </w:r>
      <w:r w:rsidRPr="00283806">
        <w:rPr>
          <w:w w:val="105"/>
        </w:rPr>
        <w:t>EPA did not solicit detailed technical input before the 15 percent proposal, and</w:t>
      </w:r>
    </w:p>
    <w:p w14:paraId="7D0F3389" w14:textId="77777777" w:rsidR="00D67C1E" w:rsidRPr="00283806" w:rsidRDefault="001265CA">
      <w:pPr>
        <w:pStyle w:val="BodyText"/>
        <w:spacing w:before="136" w:line="225" w:lineRule="auto"/>
        <w:ind w:left="156" w:right="175"/>
      </w:pPr>
      <w:r w:rsidRPr="00283806">
        <w:br w:type="column"/>
      </w:r>
      <w:proofErr w:type="gramStart"/>
      <w:r w:rsidRPr="00283806">
        <w:rPr>
          <w:w w:val="105"/>
        </w:rPr>
        <w:t>commenter</w:t>
      </w:r>
      <w:proofErr w:type="gramEnd"/>
      <w:r w:rsidRPr="00283806">
        <w:rPr>
          <w:w w:val="105"/>
        </w:rPr>
        <w:t xml:space="preserve"> claimed that the limit could cause certain equipment to be prematurely obsolete if it uses HFCs for which the 15 percent limit is</w:t>
      </w:r>
      <w:r w:rsidRPr="00283806">
        <w:rPr>
          <w:spacing w:val="40"/>
          <w:w w:val="105"/>
        </w:rPr>
        <w:t xml:space="preserve"> </w:t>
      </w:r>
      <w:r w:rsidRPr="00283806">
        <w:rPr>
          <w:w w:val="105"/>
        </w:rPr>
        <w:t>unworkable, and that EPA did not consider technical factors in tandem</w:t>
      </w:r>
      <w:r w:rsidRPr="00283806">
        <w:rPr>
          <w:spacing w:val="80"/>
          <w:w w:val="105"/>
        </w:rPr>
        <w:t xml:space="preserve"> </w:t>
      </w:r>
      <w:r w:rsidRPr="00283806">
        <w:rPr>
          <w:w w:val="105"/>
        </w:rPr>
        <w:t>with the HFC phasedown. The</w:t>
      </w:r>
      <w:r w:rsidRPr="00283806">
        <w:rPr>
          <w:spacing w:val="40"/>
          <w:w w:val="105"/>
        </w:rPr>
        <w:t xml:space="preserve"> </w:t>
      </w:r>
      <w:r w:rsidRPr="00283806">
        <w:rPr>
          <w:w w:val="105"/>
        </w:rPr>
        <w:t>commenter stated that EPA must demonstrate that the limit is uniformly technically achievable based on limitations of reclaimers and across the spectrum of HFC blends currently in the market and will result in increased reclamation beyond regulatory and market factors already identified by EPA to meet its mandate under subsection</w:t>
      </w:r>
    </w:p>
    <w:p w14:paraId="4B3902E8" w14:textId="77777777" w:rsidR="00D67C1E" w:rsidRPr="00283806" w:rsidRDefault="001265CA">
      <w:pPr>
        <w:pStyle w:val="BodyText"/>
        <w:spacing w:line="225" w:lineRule="auto"/>
        <w:ind w:left="156" w:right="201"/>
      </w:pPr>
      <w:r w:rsidRPr="00283806">
        <w:rPr>
          <w:w w:val="105"/>
        </w:rPr>
        <w:t>(h). The commenter claimed that small reclaimers cannot separate mixed or out-of-ratio</w:t>
      </w:r>
      <w:r w:rsidRPr="00283806">
        <w:rPr>
          <w:spacing w:val="-3"/>
          <w:w w:val="105"/>
        </w:rPr>
        <w:t xml:space="preserve"> </w:t>
      </w:r>
      <w:r w:rsidRPr="00283806">
        <w:rPr>
          <w:w w:val="105"/>
        </w:rPr>
        <w:t>refrigerants,</w:t>
      </w:r>
      <w:r w:rsidRPr="00283806">
        <w:rPr>
          <w:spacing w:val="-3"/>
          <w:w w:val="105"/>
        </w:rPr>
        <w:t xml:space="preserve"> </w:t>
      </w:r>
      <w:r w:rsidRPr="00283806">
        <w:rPr>
          <w:w w:val="105"/>
        </w:rPr>
        <w:t>resulting</w:t>
      </w:r>
      <w:r w:rsidRPr="00283806">
        <w:rPr>
          <w:spacing w:val="-3"/>
          <w:w w:val="105"/>
        </w:rPr>
        <w:t xml:space="preserve"> </w:t>
      </w:r>
      <w:r w:rsidRPr="00283806">
        <w:rPr>
          <w:w w:val="105"/>
        </w:rPr>
        <w:t>in</w:t>
      </w:r>
      <w:r w:rsidRPr="00283806">
        <w:rPr>
          <w:spacing w:val="-3"/>
          <w:w w:val="105"/>
        </w:rPr>
        <w:t xml:space="preserve"> </w:t>
      </w:r>
      <w:r w:rsidRPr="00283806">
        <w:rPr>
          <w:w w:val="105"/>
        </w:rPr>
        <w:t>the destruction of many refrigerants. The commenter stated that greater reclamation could be realized if small</w:t>
      </w:r>
    </w:p>
    <w:p w14:paraId="65316D19" w14:textId="77777777" w:rsidR="00D67C1E" w:rsidRPr="00283806" w:rsidRDefault="001265CA">
      <w:pPr>
        <w:pStyle w:val="BodyText"/>
        <w:spacing w:line="225" w:lineRule="auto"/>
        <w:ind w:left="156"/>
      </w:pPr>
      <w:r w:rsidRPr="00283806">
        <w:rPr>
          <w:w w:val="105"/>
        </w:rPr>
        <w:t>reclaimers could use virgin refrigerant at their discretion to meet purity standards while not yielding more reclaimed refrigerant than they received. The commenter disagreed that a virgin HFC limit was necessary given the decreasing pool of virgin HFC.</w:t>
      </w:r>
    </w:p>
    <w:p w14:paraId="34334AB9" w14:textId="77777777" w:rsidR="00D67C1E" w:rsidRPr="00283806" w:rsidRDefault="001265CA">
      <w:pPr>
        <w:pStyle w:val="BodyText"/>
        <w:spacing w:line="178" w:lineRule="exact"/>
        <w:ind w:left="336"/>
      </w:pPr>
      <w:r w:rsidRPr="00283806">
        <w:rPr>
          <w:w w:val="105"/>
        </w:rPr>
        <w:t>Another</w:t>
      </w:r>
      <w:r w:rsidRPr="00283806">
        <w:rPr>
          <w:spacing w:val="12"/>
          <w:w w:val="105"/>
        </w:rPr>
        <w:t xml:space="preserve"> </w:t>
      </w:r>
      <w:r w:rsidRPr="00283806">
        <w:rPr>
          <w:w w:val="105"/>
        </w:rPr>
        <w:t>commenter</w:t>
      </w:r>
      <w:r w:rsidRPr="00283806">
        <w:rPr>
          <w:spacing w:val="12"/>
          <w:w w:val="105"/>
        </w:rPr>
        <w:t xml:space="preserve"> </w:t>
      </w:r>
      <w:r w:rsidRPr="00283806">
        <w:rPr>
          <w:w w:val="105"/>
        </w:rPr>
        <w:t>claimed</w:t>
      </w:r>
      <w:r w:rsidRPr="00283806">
        <w:rPr>
          <w:spacing w:val="13"/>
          <w:w w:val="105"/>
        </w:rPr>
        <w:t xml:space="preserve"> </w:t>
      </w:r>
      <w:r w:rsidRPr="00283806">
        <w:rPr>
          <w:w w:val="105"/>
        </w:rPr>
        <w:t>that</w:t>
      </w:r>
      <w:r w:rsidRPr="00283806">
        <w:rPr>
          <w:spacing w:val="12"/>
          <w:w w:val="105"/>
        </w:rPr>
        <w:t xml:space="preserve"> </w:t>
      </w:r>
      <w:r w:rsidRPr="00283806">
        <w:rPr>
          <w:spacing w:val="-5"/>
          <w:w w:val="105"/>
        </w:rPr>
        <w:t>the</w:t>
      </w:r>
    </w:p>
    <w:p w14:paraId="2EC6719A" w14:textId="77777777" w:rsidR="00D67C1E" w:rsidRPr="00283806" w:rsidRDefault="001265CA">
      <w:pPr>
        <w:pStyle w:val="BodyText"/>
        <w:spacing w:line="225" w:lineRule="auto"/>
        <w:ind w:left="156" w:right="219"/>
      </w:pPr>
      <w:r w:rsidRPr="00283806">
        <w:rPr>
          <w:w w:val="105"/>
        </w:rPr>
        <w:t>15 percent virgin material limit for reclaimed material effectively removed blending as an option for creating certified refrigerants from mixed HFCs. The commenter stated that fractional distillation is not realistic for small businesses due to its cost and time required, and that new technologies to address mixed HFCs are still nascent. The commenter contended that reclaimers receive many mixed HFCs and that the 15 percent limit would remove any benefit of blending.</w:t>
      </w:r>
    </w:p>
    <w:p w14:paraId="0E00E4FC" w14:textId="77777777" w:rsidR="00D67C1E" w:rsidRPr="00283806" w:rsidRDefault="001265CA">
      <w:pPr>
        <w:pStyle w:val="BodyText"/>
        <w:spacing w:line="180" w:lineRule="exact"/>
        <w:ind w:left="336"/>
      </w:pPr>
      <w:r w:rsidRPr="00283806">
        <w:rPr>
          <w:w w:val="105"/>
        </w:rPr>
        <w:t>One</w:t>
      </w:r>
      <w:r w:rsidRPr="00283806">
        <w:rPr>
          <w:spacing w:val="5"/>
          <w:w w:val="105"/>
        </w:rPr>
        <w:t xml:space="preserve"> </w:t>
      </w:r>
      <w:r w:rsidRPr="00283806">
        <w:rPr>
          <w:w w:val="105"/>
        </w:rPr>
        <w:t>commenter</w:t>
      </w:r>
      <w:r w:rsidRPr="00283806">
        <w:rPr>
          <w:spacing w:val="5"/>
          <w:w w:val="105"/>
        </w:rPr>
        <w:t xml:space="preserve"> </w:t>
      </w:r>
      <w:r w:rsidRPr="00283806">
        <w:rPr>
          <w:w w:val="105"/>
        </w:rPr>
        <w:t>stated</w:t>
      </w:r>
      <w:r w:rsidRPr="00283806">
        <w:rPr>
          <w:spacing w:val="5"/>
          <w:w w:val="105"/>
        </w:rPr>
        <w:t xml:space="preserve"> </w:t>
      </w:r>
      <w:r w:rsidRPr="00283806">
        <w:rPr>
          <w:w w:val="105"/>
        </w:rPr>
        <w:t>that</w:t>
      </w:r>
      <w:r w:rsidRPr="00283806">
        <w:rPr>
          <w:spacing w:val="6"/>
          <w:w w:val="105"/>
        </w:rPr>
        <w:t xml:space="preserve"> </w:t>
      </w:r>
      <w:r w:rsidRPr="00283806">
        <w:rPr>
          <w:w w:val="105"/>
        </w:rPr>
        <w:t>the</w:t>
      </w:r>
      <w:r w:rsidRPr="00283806">
        <w:rPr>
          <w:spacing w:val="5"/>
          <w:w w:val="105"/>
        </w:rPr>
        <w:t xml:space="preserve"> </w:t>
      </w:r>
      <w:r w:rsidRPr="00283806">
        <w:rPr>
          <w:spacing w:val="-5"/>
          <w:w w:val="105"/>
        </w:rPr>
        <w:t>15</w:t>
      </w:r>
    </w:p>
    <w:p w14:paraId="535D4853" w14:textId="77777777" w:rsidR="00D67C1E" w:rsidRPr="00283806" w:rsidRDefault="001265CA">
      <w:pPr>
        <w:pStyle w:val="BodyText"/>
        <w:spacing w:line="228" w:lineRule="auto"/>
        <w:ind w:left="156" w:right="151"/>
      </w:pPr>
      <w:r w:rsidRPr="00283806">
        <w:rPr>
          <w:w w:val="105"/>
        </w:rPr>
        <w:t>percent, by weight, virgin HFC requirement would require an unattainable amount of material in</w:t>
      </w:r>
      <w:r w:rsidRPr="00283806">
        <w:rPr>
          <w:spacing w:val="80"/>
          <w:w w:val="105"/>
        </w:rPr>
        <w:t xml:space="preserve"> </w:t>
      </w:r>
      <w:r w:rsidRPr="00283806">
        <w:rPr>
          <w:w w:val="105"/>
        </w:rPr>
        <w:t xml:space="preserve">2028. The commenter provided an example using R–410A, based the consumption of HFC–32 as provided on EPA’s HFC Data Hub </w:t>
      </w:r>
      <w:r w:rsidRPr="00283806">
        <w:rPr>
          <w:w w:val="105"/>
          <w:position w:val="5"/>
          <w:sz w:val="11"/>
        </w:rPr>
        <w:t>94</w:t>
      </w:r>
      <w:r w:rsidRPr="00283806">
        <w:rPr>
          <w:spacing w:val="40"/>
          <w:w w:val="105"/>
          <w:position w:val="5"/>
          <w:sz w:val="11"/>
        </w:rPr>
        <w:t xml:space="preserve"> </w:t>
      </w:r>
      <w:r w:rsidRPr="00283806">
        <w:rPr>
          <w:w w:val="105"/>
        </w:rPr>
        <w:t>and certain assumptions, including that</w:t>
      </w:r>
      <w:r w:rsidRPr="00283806">
        <w:rPr>
          <w:spacing w:val="80"/>
          <w:w w:val="105"/>
        </w:rPr>
        <w:t xml:space="preserve"> </w:t>
      </w:r>
      <w:r w:rsidRPr="00283806">
        <w:rPr>
          <w:w w:val="105"/>
        </w:rPr>
        <w:t>consumption corresponds to demand</w:t>
      </w:r>
      <w:r w:rsidRPr="00283806">
        <w:rPr>
          <w:spacing w:val="40"/>
          <w:w w:val="105"/>
        </w:rPr>
        <w:t xml:space="preserve"> </w:t>
      </w:r>
      <w:r w:rsidRPr="00283806">
        <w:rPr>
          <w:w w:val="105"/>
        </w:rPr>
        <w:t>and usage and the 50% of HFC–32 consumption is used to produce virgin R–410A. The commenter estimated that only four percent of the total demand</w:t>
      </w:r>
      <w:r w:rsidRPr="00283806">
        <w:rPr>
          <w:spacing w:val="80"/>
          <w:w w:val="150"/>
        </w:rPr>
        <w:t xml:space="preserve"> </w:t>
      </w:r>
      <w:r w:rsidRPr="00283806">
        <w:rPr>
          <w:w w:val="105"/>
        </w:rPr>
        <w:t>for R–410A could have been met in</w:t>
      </w:r>
      <w:r w:rsidRPr="00283806">
        <w:rPr>
          <w:spacing w:val="80"/>
          <w:w w:val="150"/>
        </w:rPr>
        <w:t xml:space="preserve"> </w:t>
      </w:r>
      <w:r w:rsidRPr="00283806">
        <w:rPr>
          <w:w w:val="105"/>
        </w:rPr>
        <w:t>2022 based on the 15 percent virgin requirement. The commenter also stated that, frequently, a small amount of reclaimed mixed refrigerant is added to virgin refrigerant to blend out mixed</w:t>
      </w:r>
      <w:r w:rsidRPr="00283806">
        <w:rPr>
          <w:spacing w:val="80"/>
          <w:w w:val="105"/>
        </w:rPr>
        <w:t xml:space="preserve"> </w:t>
      </w:r>
      <w:r w:rsidRPr="00283806">
        <w:rPr>
          <w:w w:val="105"/>
        </w:rPr>
        <w:t>gas, not the other way around. Using a very high reclaim to virgin ratio as the</w:t>
      </w:r>
    </w:p>
    <w:p w14:paraId="3CAC7B82" w14:textId="77777777" w:rsidR="00D67C1E" w:rsidRPr="00283806" w:rsidRDefault="001265CA">
      <w:pPr>
        <w:pStyle w:val="BodyText"/>
        <w:spacing w:line="131" w:lineRule="exact"/>
        <w:ind w:left="156"/>
      </w:pPr>
      <w:r w:rsidRPr="00283806">
        <w:rPr>
          <w:w w:val="105"/>
        </w:rPr>
        <w:t>standard</w:t>
      </w:r>
      <w:r w:rsidRPr="00283806">
        <w:rPr>
          <w:spacing w:val="11"/>
          <w:w w:val="105"/>
        </w:rPr>
        <w:t xml:space="preserve"> </w:t>
      </w:r>
      <w:r w:rsidRPr="00283806">
        <w:rPr>
          <w:w w:val="105"/>
        </w:rPr>
        <w:t>for</w:t>
      </w:r>
      <w:r w:rsidRPr="00283806">
        <w:rPr>
          <w:spacing w:val="11"/>
          <w:w w:val="105"/>
        </w:rPr>
        <w:t xml:space="preserve"> </w:t>
      </w:r>
      <w:r w:rsidRPr="00283806">
        <w:rPr>
          <w:w w:val="105"/>
        </w:rPr>
        <w:t>reclaimed</w:t>
      </w:r>
      <w:r w:rsidRPr="00283806">
        <w:rPr>
          <w:spacing w:val="11"/>
          <w:w w:val="105"/>
        </w:rPr>
        <w:t xml:space="preserve"> </w:t>
      </w:r>
      <w:r w:rsidRPr="00283806">
        <w:rPr>
          <w:w w:val="105"/>
        </w:rPr>
        <w:t>gas</w:t>
      </w:r>
      <w:r w:rsidRPr="00283806">
        <w:rPr>
          <w:spacing w:val="11"/>
          <w:w w:val="105"/>
        </w:rPr>
        <w:t xml:space="preserve"> </w:t>
      </w:r>
      <w:r w:rsidRPr="00283806">
        <w:rPr>
          <w:w w:val="105"/>
        </w:rPr>
        <w:t>will</w:t>
      </w:r>
      <w:r w:rsidRPr="00283806">
        <w:rPr>
          <w:spacing w:val="11"/>
          <w:w w:val="105"/>
        </w:rPr>
        <w:t xml:space="preserve"> </w:t>
      </w:r>
      <w:r w:rsidRPr="00283806">
        <w:rPr>
          <w:spacing w:val="-2"/>
          <w:w w:val="105"/>
        </w:rPr>
        <w:t>reduce</w:t>
      </w:r>
    </w:p>
    <w:p w14:paraId="400AFE85" w14:textId="77777777" w:rsidR="00D67C1E" w:rsidRPr="00283806" w:rsidRDefault="00D67C1E">
      <w:pPr>
        <w:spacing w:line="131" w:lineRule="exact"/>
        <w:sectPr w:rsidR="00D67C1E" w:rsidRPr="00283806">
          <w:pgSz w:w="12240" w:h="15840"/>
          <w:pgMar w:top="1040" w:right="780" w:bottom="280" w:left="740" w:header="627" w:footer="0" w:gutter="0"/>
          <w:cols w:num="3" w:space="720" w:equalWidth="0">
            <w:col w:w="3517" w:space="40"/>
            <w:col w:w="3488" w:space="39"/>
            <w:col w:w="3636"/>
          </w:cols>
        </w:sectPr>
      </w:pPr>
    </w:p>
    <w:p w14:paraId="00D31B6C" w14:textId="77777777" w:rsidR="00D67C1E" w:rsidRPr="00283806" w:rsidRDefault="001265CA">
      <w:pPr>
        <w:spacing w:before="115" w:line="84" w:lineRule="exact"/>
        <w:ind w:left="159"/>
        <w:rPr>
          <w:sz w:val="14"/>
        </w:rPr>
      </w:pPr>
      <w:r w:rsidRPr="00283806">
        <w:rPr>
          <w:w w:val="105"/>
          <w:sz w:val="14"/>
        </w:rPr>
        <w:t>demonstrate</w:t>
      </w:r>
      <w:r w:rsidRPr="00283806">
        <w:rPr>
          <w:spacing w:val="2"/>
          <w:w w:val="105"/>
          <w:sz w:val="14"/>
        </w:rPr>
        <w:t xml:space="preserve"> </w:t>
      </w:r>
      <w:r w:rsidRPr="00283806">
        <w:rPr>
          <w:w w:val="105"/>
          <w:sz w:val="14"/>
        </w:rPr>
        <w:t>that</w:t>
      </w:r>
      <w:r w:rsidRPr="00283806">
        <w:rPr>
          <w:spacing w:val="2"/>
          <w:w w:val="105"/>
          <w:sz w:val="14"/>
        </w:rPr>
        <w:t xml:space="preserve"> </w:t>
      </w:r>
      <w:r w:rsidRPr="00283806">
        <w:rPr>
          <w:w w:val="105"/>
          <w:sz w:val="14"/>
        </w:rPr>
        <w:t>the</w:t>
      </w:r>
      <w:r w:rsidRPr="00283806">
        <w:rPr>
          <w:spacing w:val="2"/>
          <w:w w:val="105"/>
          <w:sz w:val="14"/>
        </w:rPr>
        <w:t xml:space="preserve"> </w:t>
      </w:r>
      <w:r w:rsidRPr="00283806">
        <w:rPr>
          <w:w w:val="105"/>
          <w:sz w:val="14"/>
        </w:rPr>
        <w:t>activity</w:t>
      </w:r>
      <w:r w:rsidRPr="00283806">
        <w:rPr>
          <w:spacing w:val="2"/>
          <w:w w:val="105"/>
          <w:sz w:val="14"/>
        </w:rPr>
        <w:t xml:space="preserve"> </w:t>
      </w:r>
      <w:r w:rsidRPr="00283806">
        <w:rPr>
          <w:w w:val="105"/>
          <w:sz w:val="14"/>
        </w:rPr>
        <w:t>or</w:t>
      </w:r>
      <w:r w:rsidRPr="00283806">
        <w:rPr>
          <w:spacing w:val="2"/>
          <w:w w:val="105"/>
          <w:sz w:val="14"/>
        </w:rPr>
        <w:t xml:space="preserve"> </w:t>
      </w:r>
      <w:r w:rsidRPr="00283806">
        <w:rPr>
          <w:w w:val="105"/>
          <w:sz w:val="14"/>
        </w:rPr>
        <w:t>project</w:t>
      </w:r>
      <w:r w:rsidRPr="00283806">
        <w:rPr>
          <w:spacing w:val="3"/>
          <w:w w:val="105"/>
          <w:sz w:val="14"/>
        </w:rPr>
        <w:t xml:space="preserve"> </w:t>
      </w:r>
      <w:r w:rsidRPr="00283806">
        <w:rPr>
          <w:spacing w:val="-2"/>
          <w:w w:val="105"/>
          <w:sz w:val="14"/>
        </w:rPr>
        <w:t>generating</w:t>
      </w:r>
    </w:p>
    <w:p w14:paraId="3DCFAF50" w14:textId="77777777" w:rsidR="00D67C1E" w:rsidRPr="00283806" w:rsidRDefault="001265CA">
      <w:pPr>
        <w:pStyle w:val="BodyText"/>
        <w:tabs>
          <w:tab w:val="left" w:pos="3699"/>
          <w:tab w:val="left" w:pos="4699"/>
        </w:tabs>
        <w:spacing w:line="199" w:lineRule="exact"/>
        <w:ind w:left="159"/>
      </w:pPr>
      <w:r w:rsidRPr="00283806">
        <w:br w:type="column"/>
      </w:r>
      <w:r w:rsidRPr="00283806">
        <w:rPr>
          <w:w w:val="105"/>
        </w:rPr>
        <w:t>CARB’s</w:t>
      </w:r>
      <w:r w:rsidRPr="00283806">
        <w:rPr>
          <w:spacing w:val="19"/>
          <w:w w:val="105"/>
        </w:rPr>
        <w:t xml:space="preserve"> </w:t>
      </w:r>
      <w:r w:rsidRPr="00283806">
        <w:rPr>
          <w:w w:val="105"/>
        </w:rPr>
        <w:t>15</w:t>
      </w:r>
      <w:r w:rsidRPr="00283806">
        <w:rPr>
          <w:spacing w:val="19"/>
          <w:w w:val="105"/>
        </w:rPr>
        <w:t xml:space="preserve"> </w:t>
      </w:r>
      <w:r w:rsidRPr="00283806">
        <w:rPr>
          <w:w w:val="105"/>
        </w:rPr>
        <w:t>percent</w:t>
      </w:r>
      <w:r w:rsidRPr="00283806">
        <w:rPr>
          <w:spacing w:val="19"/>
          <w:w w:val="105"/>
        </w:rPr>
        <w:t xml:space="preserve"> </w:t>
      </w:r>
      <w:r w:rsidRPr="00283806">
        <w:rPr>
          <w:w w:val="105"/>
        </w:rPr>
        <w:t>limit</w:t>
      </w:r>
      <w:r w:rsidRPr="00283806">
        <w:rPr>
          <w:spacing w:val="19"/>
          <w:w w:val="105"/>
        </w:rPr>
        <w:t xml:space="preserve"> </w:t>
      </w:r>
      <w:r w:rsidRPr="00283806">
        <w:rPr>
          <w:w w:val="105"/>
        </w:rPr>
        <w:t>cannot</w:t>
      </w:r>
      <w:r w:rsidRPr="00283806">
        <w:rPr>
          <w:spacing w:val="19"/>
          <w:w w:val="105"/>
        </w:rPr>
        <w:t xml:space="preserve"> </w:t>
      </w:r>
      <w:r w:rsidRPr="00283806">
        <w:rPr>
          <w:spacing w:val="-5"/>
          <w:w w:val="105"/>
        </w:rPr>
        <w:t>be</w:t>
      </w:r>
      <w:r w:rsidRPr="00283806">
        <w:tab/>
      </w:r>
      <w:r w:rsidRPr="00283806">
        <w:rPr>
          <w:u w:val="single"/>
        </w:rPr>
        <w:tab/>
      </w:r>
    </w:p>
    <w:p w14:paraId="638568ED" w14:textId="77777777" w:rsidR="00D67C1E" w:rsidRPr="00283806" w:rsidRDefault="00D67C1E">
      <w:pPr>
        <w:spacing w:line="199" w:lineRule="exact"/>
        <w:sectPr w:rsidR="00D67C1E" w:rsidRPr="00283806">
          <w:type w:val="continuous"/>
          <w:pgSz w:w="12240" w:h="15840"/>
          <w:pgMar w:top="880" w:right="780" w:bottom="280" w:left="740" w:header="627" w:footer="0" w:gutter="0"/>
          <w:cols w:num="2" w:space="720" w:equalWidth="0">
            <w:col w:w="3402" w:space="138"/>
            <w:col w:w="7180"/>
          </w:cols>
        </w:sectPr>
      </w:pPr>
    </w:p>
    <w:p w14:paraId="101741BD" w14:textId="77777777" w:rsidR="00D67C1E" w:rsidRPr="00283806" w:rsidRDefault="001265CA">
      <w:pPr>
        <w:spacing w:before="80" w:line="232" w:lineRule="auto"/>
        <w:ind w:left="159" w:right="19"/>
        <w:rPr>
          <w:sz w:val="14"/>
        </w:rPr>
      </w:pPr>
      <w:r w:rsidRPr="00283806">
        <w:rPr>
          <w:w w:val="105"/>
          <w:sz w:val="14"/>
        </w:rPr>
        <w:t>offsets or credits would not have happened anyway</w:t>
      </w:r>
      <w:r w:rsidRPr="00283806">
        <w:rPr>
          <w:spacing w:val="40"/>
          <w:w w:val="105"/>
          <w:sz w:val="14"/>
        </w:rPr>
        <w:t xml:space="preserve"> </w:t>
      </w:r>
      <w:r w:rsidRPr="00283806">
        <w:rPr>
          <w:w w:val="105"/>
          <w:sz w:val="14"/>
        </w:rPr>
        <w:t>(</w:t>
      </w:r>
      <w:r w:rsidRPr="00283806">
        <w:rPr>
          <w:rFonts w:ascii="Book Antiqua"/>
          <w:i/>
          <w:w w:val="105"/>
          <w:sz w:val="14"/>
        </w:rPr>
        <w:t xml:space="preserve">e.g., </w:t>
      </w:r>
      <w:r w:rsidRPr="00283806">
        <w:rPr>
          <w:w w:val="105"/>
          <w:sz w:val="14"/>
        </w:rPr>
        <w:t>if it were required by regulation).</w:t>
      </w:r>
    </w:p>
    <w:p w14:paraId="6741A9E1" w14:textId="77777777" w:rsidR="00D67C1E" w:rsidRPr="00283806" w:rsidRDefault="001265CA">
      <w:pPr>
        <w:pStyle w:val="BodyText"/>
        <w:spacing w:before="9" w:line="228" w:lineRule="auto"/>
        <w:ind w:left="159" w:right="38"/>
      </w:pPr>
      <w:r w:rsidRPr="00283806">
        <w:br w:type="column"/>
      </w:r>
      <w:r w:rsidRPr="00283806">
        <w:rPr>
          <w:w w:val="105"/>
        </w:rPr>
        <w:t>assumed to correlate for other multicomponent HFC blends. The</w:t>
      </w:r>
    </w:p>
    <w:p w14:paraId="5D1EFBBF" w14:textId="7C834B27" w:rsidR="00D67C1E" w:rsidRPr="00283806" w:rsidRDefault="001265CA">
      <w:pPr>
        <w:spacing w:before="85" w:line="223" w:lineRule="auto"/>
        <w:ind w:left="159" w:right="159" w:firstLine="140"/>
        <w:rPr>
          <w:sz w:val="14"/>
        </w:rPr>
      </w:pPr>
      <w:r w:rsidRPr="00283806">
        <w:br w:type="column"/>
      </w:r>
      <w:r w:rsidRPr="00283806">
        <w:rPr>
          <w:w w:val="110"/>
          <w:position w:val="4"/>
          <w:sz w:val="9"/>
        </w:rPr>
        <w:t xml:space="preserve">94 </w:t>
      </w:r>
      <w:r w:rsidRPr="00283806">
        <w:rPr>
          <w:w w:val="110"/>
          <w:sz w:val="14"/>
        </w:rPr>
        <w:t xml:space="preserve">HFC Data Hub, available: </w:t>
      </w:r>
      <w:r w:rsidRPr="00283806">
        <w:rPr>
          <w:rFonts w:ascii="Book Antiqua"/>
          <w:i/>
          <w:w w:val="110"/>
          <w:sz w:val="14"/>
        </w:rPr>
        <w:t>https://www.epa.gov/</w:t>
      </w:r>
      <w:r w:rsidRPr="00283806">
        <w:rPr>
          <w:rFonts w:ascii="Book Antiqua"/>
          <w:i/>
          <w:w w:val="115"/>
          <w:sz w:val="14"/>
        </w:rPr>
        <w:t xml:space="preserve"> </w:t>
      </w:r>
      <w:r w:rsidRPr="00283806">
        <w:rPr>
          <w:rFonts w:ascii="Book Antiqua"/>
          <w:i/>
          <w:spacing w:val="-2"/>
          <w:w w:val="115"/>
          <w:sz w:val="14"/>
        </w:rPr>
        <w:t>climate-</w:t>
      </w:r>
      <w:proofErr w:type="spellStart"/>
      <w:r w:rsidRPr="00283806">
        <w:rPr>
          <w:rFonts w:ascii="Book Antiqua"/>
          <w:i/>
          <w:spacing w:val="-2"/>
          <w:w w:val="115"/>
          <w:sz w:val="14"/>
        </w:rPr>
        <w:t>hfcs</w:t>
      </w:r>
      <w:proofErr w:type="spellEnd"/>
      <w:r w:rsidRPr="00283806">
        <w:rPr>
          <w:rFonts w:ascii="Book Antiqua"/>
          <w:i/>
          <w:spacing w:val="-2"/>
          <w:w w:val="115"/>
          <w:sz w:val="14"/>
        </w:rPr>
        <w:t>-reduction/</w:t>
      </w:r>
      <w:proofErr w:type="spellStart"/>
      <w:r w:rsidRPr="00283806">
        <w:rPr>
          <w:rFonts w:ascii="Book Antiqua"/>
          <w:i/>
          <w:spacing w:val="-2"/>
          <w:w w:val="115"/>
          <w:sz w:val="14"/>
        </w:rPr>
        <w:t>hfc</w:t>
      </w:r>
      <w:proofErr w:type="spellEnd"/>
      <w:r w:rsidRPr="00283806">
        <w:rPr>
          <w:rFonts w:ascii="Book Antiqua"/>
          <w:i/>
          <w:spacing w:val="-2"/>
          <w:w w:val="115"/>
          <w:sz w:val="14"/>
        </w:rPr>
        <w:t>-data-hub</w:t>
      </w:r>
      <w:r w:rsidRPr="00283806">
        <w:rPr>
          <w:spacing w:val="-2"/>
          <w:w w:val="115"/>
          <w:sz w:val="14"/>
        </w:rPr>
        <w:t>.</w:t>
      </w:r>
    </w:p>
    <w:p w14:paraId="08ACB485" w14:textId="77777777" w:rsidR="00D67C1E" w:rsidRPr="00283806" w:rsidRDefault="00D67C1E">
      <w:pPr>
        <w:spacing w:line="223" w:lineRule="auto"/>
        <w:rPr>
          <w:sz w:val="14"/>
        </w:rPr>
        <w:sectPr w:rsidR="00D67C1E" w:rsidRPr="00283806">
          <w:type w:val="continuous"/>
          <w:pgSz w:w="12240" w:h="15840"/>
          <w:pgMar w:top="880" w:right="780" w:bottom="280" w:left="740" w:header="627" w:footer="0" w:gutter="0"/>
          <w:cols w:num="3" w:space="720" w:equalWidth="0">
            <w:col w:w="3471" w:space="69"/>
            <w:col w:w="3018" w:space="522"/>
            <w:col w:w="3640"/>
          </w:cols>
        </w:sectPr>
      </w:pPr>
    </w:p>
    <w:p w14:paraId="6495F588" w14:textId="77777777" w:rsidR="00D67C1E" w:rsidRPr="00283806" w:rsidRDefault="001265CA">
      <w:pPr>
        <w:pStyle w:val="BodyText"/>
        <w:spacing w:before="136" w:line="225" w:lineRule="auto"/>
        <w:ind w:right="106"/>
      </w:pPr>
      <w:r w:rsidRPr="00283806">
        <w:rPr>
          <w:w w:val="105"/>
        </w:rPr>
        <w:lastRenderedPageBreak/>
        <w:t xml:space="preserve">reclaimer’s ability to process more mixed gas into salable </w:t>
      </w:r>
      <w:proofErr w:type="gramStart"/>
      <w:r w:rsidRPr="00283806">
        <w:rPr>
          <w:w w:val="105"/>
        </w:rPr>
        <w:t>product</w:t>
      </w:r>
      <w:proofErr w:type="gramEnd"/>
      <w:r w:rsidRPr="00283806">
        <w:rPr>
          <w:w w:val="105"/>
        </w:rPr>
        <w:t>.</w:t>
      </w:r>
    </w:p>
    <w:p w14:paraId="67F94A7B" w14:textId="77777777" w:rsidR="00D67C1E" w:rsidRPr="00283806" w:rsidRDefault="001265CA">
      <w:pPr>
        <w:pStyle w:val="BodyText"/>
        <w:spacing w:line="213" w:lineRule="auto"/>
        <w:ind w:right="27" w:firstLine="180"/>
      </w:pPr>
      <w:r w:rsidRPr="00283806">
        <w:rPr>
          <w:rFonts w:ascii="Book Antiqua"/>
          <w:i/>
          <w:w w:val="105"/>
        </w:rPr>
        <w:t xml:space="preserve">Response: </w:t>
      </w:r>
      <w:r w:rsidRPr="00283806">
        <w:rPr>
          <w:w w:val="105"/>
        </w:rPr>
        <w:t xml:space="preserve">EPA acknowledges these comments related to the limit on </w:t>
      </w:r>
      <w:proofErr w:type="gramStart"/>
      <w:r w:rsidRPr="00283806">
        <w:rPr>
          <w:w w:val="105"/>
        </w:rPr>
        <w:t>virgin</w:t>
      </w:r>
      <w:proofErr w:type="gramEnd"/>
    </w:p>
    <w:p w14:paraId="61AB35FC" w14:textId="77777777" w:rsidR="00D67C1E" w:rsidRPr="00283806" w:rsidRDefault="001265CA">
      <w:pPr>
        <w:pStyle w:val="BodyText"/>
        <w:spacing w:line="225" w:lineRule="auto"/>
        <w:ind w:right="192"/>
      </w:pPr>
      <w:r w:rsidRPr="00283806">
        <w:rPr>
          <w:w w:val="105"/>
        </w:rPr>
        <w:t>HFCs in reclaimed HFC refrigerants.</w:t>
      </w:r>
      <w:r w:rsidRPr="00283806">
        <w:rPr>
          <w:spacing w:val="80"/>
          <w:w w:val="105"/>
        </w:rPr>
        <w:t xml:space="preserve"> </w:t>
      </w:r>
      <w:r w:rsidRPr="00283806">
        <w:rPr>
          <w:w w:val="105"/>
        </w:rPr>
        <w:t>The Agency concludes that such a limit</w:t>
      </w:r>
      <w:r w:rsidRPr="00283806">
        <w:rPr>
          <w:spacing w:val="40"/>
          <w:w w:val="105"/>
        </w:rPr>
        <w:t xml:space="preserve"> </w:t>
      </w:r>
      <w:r w:rsidRPr="00283806">
        <w:rPr>
          <w:w w:val="105"/>
        </w:rPr>
        <w:t>is necessary for helping to achieve the purpose identified in subsection (h) of the AIM Act to maximize the</w:t>
      </w:r>
      <w:r w:rsidRPr="00283806">
        <w:rPr>
          <w:spacing w:val="40"/>
          <w:w w:val="105"/>
        </w:rPr>
        <w:t xml:space="preserve"> </w:t>
      </w:r>
      <w:r w:rsidRPr="00283806">
        <w:rPr>
          <w:w w:val="105"/>
        </w:rPr>
        <w:t>reclamation of HFCs because without such a limit, refrigerant could be marketed as reclaimed even if it contained minimal recovered HFCs.</w:t>
      </w:r>
    </w:p>
    <w:p w14:paraId="0042F492" w14:textId="77777777" w:rsidR="00D67C1E" w:rsidRPr="00283806" w:rsidRDefault="001265CA">
      <w:pPr>
        <w:pStyle w:val="BodyText"/>
        <w:spacing w:line="225" w:lineRule="auto"/>
        <w:ind w:right="27"/>
      </w:pPr>
      <w:r w:rsidRPr="00283806">
        <w:rPr>
          <w:w w:val="105"/>
        </w:rPr>
        <w:t>Reclaim and reclamation are defined in subsection (b)(9) of the AIM Act to mean the reprocessing of a recovered HFC to</w:t>
      </w:r>
    </w:p>
    <w:p w14:paraId="23AD275C" w14:textId="77777777" w:rsidR="00D67C1E" w:rsidRPr="00283806" w:rsidRDefault="001265CA">
      <w:pPr>
        <w:pStyle w:val="BodyText"/>
        <w:spacing w:line="225" w:lineRule="auto"/>
        <w:ind w:right="76"/>
      </w:pPr>
      <w:r w:rsidRPr="00283806">
        <w:rPr>
          <w:w w:val="105"/>
        </w:rPr>
        <w:t>a particular purity standard and the verification of the purity of that HFC using at a minimum a specified</w:t>
      </w:r>
      <w:r w:rsidRPr="00283806">
        <w:rPr>
          <w:spacing w:val="40"/>
          <w:w w:val="105"/>
        </w:rPr>
        <w:t xml:space="preserve"> </w:t>
      </w:r>
      <w:r w:rsidRPr="00283806">
        <w:rPr>
          <w:w w:val="105"/>
        </w:rPr>
        <w:t>analytical methodology. Establishing a limit on virgin HFCs helps to ensure</w:t>
      </w:r>
      <w:r w:rsidRPr="00283806">
        <w:rPr>
          <w:spacing w:val="80"/>
          <w:w w:val="105"/>
        </w:rPr>
        <w:t xml:space="preserve"> </w:t>
      </w:r>
      <w:r w:rsidRPr="00283806">
        <w:rPr>
          <w:w w:val="105"/>
        </w:rPr>
        <w:t>that reclaimed HFCs effectively make</w:t>
      </w:r>
      <w:r w:rsidRPr="00283806">
        <w:rPr>
          <w:spacing w:val="40"/>
          <w:w w:val="105"/>
        </w:rPr>
        <w:t xml:space="preserve"> </w:t>
      </w:r>
      <w:r w:rsidRPr="00283806">
        <w:rPr>
          <w:w w:val="105"/>
        </w:rPr>
        <w:t xml:space="preserve">use of recovered HFCs </w:t>
      </w:r>
      <w:proofErr w:type="gramStart"/>
      <w:r w:rsidRPr="00283806">
        <w:rPr>
          <w:w w:val="105"/>
        </w:rPr>
        <w:t>and also</w:t>
      </w:r>
      <w:proofErr w:type="gramEnd"/>
      <w:r w:rsidRPr="00283806">
        <w:rPr>
          <w:w w:val="105"/>
        </w:rPr>
        <w:t xml:space="preserve"> helps promote more recovery of used HFCs from equipment that can then be reclaimed. This is an important part of maximizing reclamation of HFCs</w:t>
      </w:r>
      <w:r w:rsidRPr="00283806">
        <w:rPr>
          <w:spacing w:val="40"/>
          <w:w w:val="105"/>
        </w:rPr>
        <w:t xml:space="preserve"> </w:t>
      </w:r>
      <w:r w:rsidRPr="00283806">
        <w:rPr>
          <w:w w:val="105"/>
        </w:rPr>
        <w:t>because those recovered HFCs are a key component of reclaimed refrigerants.</w:t>
      </w:r>
    </w:p>
    <w:p w14:paraId="44CBAF3E" w14:textId="77777777" w:rsidR="00D67C1E" w:rsidRPr="00283806" w:rsidRDefault="001265CA">
      <w:pPr>
        <w:pStyle w:val="BodyText"/>
        <w:spacing w:line="225" w:lineRule="auto"/>
        <w:ind w:right="26"/>
      </w:pPr>
      <w:r w:rsidRPr="00283806">
        <w:rPr>
          <w:w w:val="105"/>
        </w:rPr>
        <w:t>Accordingly, EPA disagrees with the assertion</w:t>
      </w:r>
      <w:r w:rsidRPr="00283806">
        <w:rPr>
          <w:spacing w:val="-4"/>
          <w:w w:val="105"/>
        </w:rPr>
        <w:t xml:space="preserve"> </w:t>
      </w:r>
      <w:r w:rsidRPr="00283806">
        <w:rPr>
          <w:w w:val="105"/>
        </w:rPr>
        <w:t>that</w:t>
      </w:r>
      <w:r w:rsidRPr="00283806">
        <w:rPr>
          <w:spacing w:val="-4"/>
          <w:w w:val="105"/>
        </w:rPr>
        <w:t xml:space="preserve"> </w:t>
      </w:r>
      <w:r w:rsidRPr="00283806">
        <w:rPr>
          <w:w w:val="105"/>
        </w:rPr>
        <w:t>greater</w:t>
      </w:r>
      <w:r w:rsidRPr="00283806">
        <w:rPr>
          <w:spacing w:val="-4"/>
          <w:w w:val="105"/>
        </w:rPr>
        <w:t xml:space="preserve"> </w:t>
      </w:r>
      <w:r w:rsidRPr="00283806">
        <w:rPr>
          <w:w w:val="105"/>
        </w:rPr>
        <w:t>reclamation</w:t>
      </w:r>
      <w:r w:rsidRPr="00283806">
        <w:rPr>
          <w:spacing w:val="-4"/>
          <w:w w:val="105"/>
        </w:rPr>
        <w:t xml:space="preserve"> </w:t>
      </w:r>
      <w:r w:rsidRPr="00283806">
        <w:rPr>
          <w:w w:val="105"/>
        </w:rPr>
        <w:t xml:space="preserve">would result from an approach that allows reclaimers to use as much virgin HFC as they wished in producing reclaimed </w:t>
      </w:r>
      <w:r w:rsidRPr="00283806">
        <w:rPr>
          <w:spacing w:val="-2"/>
          <w:w w:val="105"/>
        </w:rPr>
        <w:t>HFCs.</w:t>
      </w:r>
    </w:p>
    <w:p w14:paraId="550EB5F0" w14:textId="77777777" w:rsidR="00D67C1E" w:rsidRPr="00283806" w:rsidRDefault="001265CA">
      <w:pPr>
        <w:pStyle w:val="BodyText"/>
        <w:spacing w:line="178" w:lineRule="exact"/>
        <w:ind w:left="340"/>
      </w:pPr>
      <w:r w:rsidRPr="00283806">
        <w:rPr>
          <w:w w:val="105"/>
        </w:rPr>
        <w:t>EPA</w:t>
      </w:r>
      <w:r w:rsidRPr="00283806">
        <w:rPr>
          <w:spacing w:val="8"/>
          <w:w w:val="105"/>
        </w:rPr>
        <w:t xml:space="preserve"> </w:t>
      </w:r>
      <w:r w:rsidRPr="00283806">
        <w:rPr>
          <w:w w:val="105"/>
        </w:rPr>
        <w:t>also</w:t>
      </w:r>
      <w:r w:rsidRPr="00283806">
        <w:rPr>
          <w:spacing w:val="8"/>
          <w:w w:val="105"/>
        </w:rPr>
        <w:t xml:space="preserve"> </w:t>
      </w:r>
      <w:r w:rsidRPr="00283806">
        <w:rPr>
          <w:w w:val="105"/>
        </w:rPr>
        <w:t>disagrees</w:t>
      </w:r>
      <w:r w:rsidRPr="00283806">
        <w:rPr>
          <w:spacing w:val="8"/>
          <w:w w:val="105"/>
        </w:rPr>
        <w:t xml:space="preserve"> </w:t>
      </w:r>
      <w:r w:rsidRPr="00283806">
        <w:rPr>
          <w:w w:val="105"/>
        </w:rPr>
        <w:t>that</w:t>
      </w:r>
      <w:r w:rsidRPr="00283806">
        <w:rPr>
          <w:spacing w:val="8"/>
          <w:w w:val="105"/>
        </w:rPr>
        <w:t xml:space="preserve"> </w:t>
      </w:r>
      <w:r w:rsidRPr="00283806">
        <w:rPr>
          <w:w w:val="105"/>
        </w:rPr>
        <w:t>a</w:t>
      </w:r>
      <w:r w:rsidRPr="00283806">
        <w:rPr>
          <w:spacing w:val="8"/>
          <w:w w:val="105"/>
        </w:rPr>
        <w:t xml:space="preserve"> </w:t>
      </w:r>
      <w:r w:rsidRPr="00283806">
        <w:rPr>
          <w:spacing w:val="-2"/>
          <w:w w:val="105"/>
        </w:rPr>
        <w:t>decreasing</w:t>
      </w:r>
    </w:p>
    <w:p w14:paraId="30669EEA" w14:textId="77777777" w:rsidR="00D67C1E" w:rsidRPr="00283806" w:rsidRDefault="001265CA">
      <w:pPr>
        <w:pStyle w:val="BodyText"/>
        <w:spacing w:line="225" w:lineRule="auto"/>
        <w:ind w:right="27"/>
      </w:pPr>
      <w:r w:rsidRPr="00283806">
        <w:rPr>
          <w:w w:val="110"/>
        </w:rPr>
        <w:t xml:space="preserve">pool of virgin HFCs would cause the </w:t>
      </w:r>
      <w:r w:rsidRPr="00283806">
        <w:t>reclamation standard to be unnecessary.</w:t>
      </w:r>
      <w:r w:rsidRPr="00283806">
        <w:rPr>
          <w:w w:val="110"/>
        </w:rPr>
        <w:t xml:space="preserve"> Although the phasedown mandated by the AIM Act will lead to transition to alternatives as well as likely increased use</w:t>
      </w:r>
      <w:r w:rsidRPr="00283806">
        <w:rPr>
          <w:spacing w:val="-5"/>
          <w:w w:val="110"/>
        </w:rPr>
        <w:t xml:space="preserve"> </w:t>
      </w:r>
      <w:r w:rsidRPr="00283806">
        <w:rPr>
          <w:w w:val="110"/>
        </w:rPr>
        <w:t>of</w:t>
      </w:r>
      <w:r w:rsidRPr="00283806">
        <w:rPr>
          <w:spacing w:val="-5"/>
          <w:w w:val="110"/>
        </w:rPr>
        <w:t xml:space="preserve"> </w:t>
      </w:r>
      <w:r w:rsidRPr="00283806">
        <w:rPr>
          <w:w w:val="110"/>
        </w:rPr>
        <w:t>reclaimed</w:t>
      </w:r>
      <w:r w:rsidRPr="00283806">
        <w:rPr>
          <w:spacing w:val="-5"/>
          <w:w w:val="110"/>
        </w:rPr>
        <w:t xml:space="preserve"> </w:t>
      </w:r>
      <w:r w:rsidRPr="00283806">
        <w:rPr>
          <w:w w:val="110"/>
        </w:rPr>
        <w:t>HFCs,</w:t>
      </w:r>
      <w:r w:rsidRPr="00283806">
        <w:rPr>
          <w:spacing w:val="-5"/>
          <w:w w:val="110"/>
        </w:rPr>
        <w:t xml:space="preserve"> </w:t>
      </w:r>
      <w:r w:rsidRPr="00283806">
        <w:rPr>
          <w:w w:val="110"/>
        </w:rPr>
        <w:t>that</w:t>
      </w:r>
      <w:r w:rsidRPr="00283806">
        <w:rPr>
          <w:spacing w:val="-5"/>
          <w:w w:val="110"/>
        </w:rPr>
        <w:t xml:space="preserve"> </w:t>
      </w:r>
      <w:r w:rsidRPr="00283806">
        <w:rPr>
          <w:w w:val="110"/>
        </w:rPr>
        <w:t>is</w:t>
      </w:r>
      <w:r w:rsidRPr="00283806">
        <w:rPr>
          <w:spacing w:val="-5"/>
          <w:w w:val="110"/>
        </w:rPr>
        <w:t xml:space="preserve"> </w:t>
      </w:r>
      <w:r w:rsidRPr="00283806">
        <w:rPr>
          <w:w w:val="110"/>
        </w:rPr>
        <w:t>not</w:t>
      </w:r>
      <w:r w:rsidRPr="00283806">
        <w:rPr>
          <w:spacing w:val="-5"/>
          <w:w w:val="110"/>
        </w:rPr>
        <w:t xml:space="preserve"> </w:t>
      </w:r>
      <w:r w:rsidRPr="00283806">
        <w:rPr>
          <w:w w:val="110"/>
        </w:rPr>
        <w:t>equal to fulfilling Congress’s direction in subsection (h) of the AIM Act, namely maximizing the reclamation of HFCs that the requirements in this final rule are designed to achieve. Further, the provisions</w:t>
      </w:r>
      <w:r w:rsidRPr="00283806">
        <w:rPr>
          <w:spacing w:val="-8"/>
          <w:w w:val="110"/>
        </w:rPr>
        <w:t xml:space="preserve"> </w:t>
      </w:r>
      <w:r w:rsidRPr="00283806">
        <w:rPr>
          <w:w w:val="110"/>
        </w:rPr>
        <w:t>finalized</w:t>
      </w:r>
      <w:r w:rsidRPr="00283806">
        <w:rPr>
          <w:spacing w:val="-8"/>
          <w:w w:val="110"/>
        </w:rPr>
        <w:t xml:space="preserve"> </w:t>
      </w:r>
      <w:r w:rsidRPr="00283806">
        <w:rPr>
          <w:w w:val="110"/>
        </w:rPr>
        <w:t>in</w:t>
      </w:r>
      <w:r w:rsidRPr="00283806">
        <w:rPr>
          <w:spacing w:val="-8"/>
          <w:w w:val="110"/>
        </w:rPr>
        <w:t xml:space="preserve"> </w:t>
      </w:r>
      <w:r w:rsidRPr="00283806">
        <w:rPr>
          <w:w w:val="110"/>
        </w:rPr>
        <w:t>this</w:t>
      </w:r>
      <w:r w:rsidRPr="00283806">
        <w:rPr>
          <w:spacing w:val="-8"/>
          <w:w w:val="110"/>
        </w:rPr>
        <w:t xml:space="preserve"> </w:t>
      </w:r>
      <w:r w:rsidRPr="00283806">
        <w:rPr>
          <w:w w:val="110"/>
        </w:rPr>
        <w:t>rule</w:t>
      </w:r>
      <w:r w:rsidRPr="00283806">
        <w:rPr>
          <w:spacing w:val="-8"/>
          <w:w w:val="110"/>
        </w:rPr>
        <w:t xml:space="preserve"> </w:t>
      </w:r>
      <w:r w:rsidRPr="00283806">
        <w:rPr>
          <w:w w:val="110"/>
        </w:rPr>
        <w:t>provide consistency for what is considered reclaimed</w:t>
      </w:r>
      <w:r w:rsidRPr="00283806">
        <w:rPr>
          <w:spacing w:val="-7"/>
          <w:w w:val="110"/>
        </w:rPr>
        <w:t xml:space="preserve"> </w:t>
      </w:r>
      <w:r w:rsidRPr="00283806">
        <w:rPr>
          <w:w w:val="110"/>
        </w:rPr>
        <w:t>HFCs,</w:t>
      </w:r>
      <w:r w:rsidRPr="00283806">
        <w:rPr>
          <w:spacing w:val="-7"/>
          <w:w w:val="110"/>
        </w:rPr>
        <w:t xml:space="preserve"> </w:t>
      </w:r>
      <w:r w:rsidRPr="00283806">
        <w:rPr>
          <w:w w:val="110"/>
        </w:rPr>
        <w:t>and</w:t>
      </w:r>
      <w:r w:rsidRPr="00283806">
        <w:rPr>
          <w:spacing w:val="-7"/>
          <w:w w:val="110"/>
        </w:rPr>
        <w:t xml:space="preserve"> </w:t>
      </w:r>
      <w:r w:rsidRPr="00283806">
        <w:rPr>
          <w:w w:val="110"/>
        </w:rPr>
        <w:t>the</w:t>
      </w:r>
      <w:r w:rsidRPr="00283806">
        <w:rPr>
          <w:spacing w:val="-7"/>
          <w:w w:val="110"/>
        </w:rPr>
        <w:t xml:space="preserve"> </w:t>
      </w:r>
      <w:r w:rsidRPr="00283806">
        <w:rPr>
          <w:w w:val="110"/>
        </w:rPr>
        <w:t xml:space="preserve">accompanying labeling provisions provide transparency for those purchasing reclaimed HFCs. For example, it would not provide assurances to those who service, repair, or install refrigerant- containing equipment that HFC refrigerants sold or marketed as reclaimed meet consistent standards, including with respect to the virgin content. Further, EPA explains in this </w:t>
      </w:r>
      <w:r w:rsidRPr="00283806">
        <w:rPr>
          <w:spacing w:val="-2"/>
          <w:w w:val="110"/>
        </w:rPr>
        <w:t>response</w:t>
      </w:r>
      <w:r w:rsidRPr="00283806">
        <w:rPr>
          <w:spacing w:val="-4"/>
          <w:w w:val="110"/>
        </w:rPr>
        <w:t xml:space="preserve"> </w:t>
      </w:r>
      <w:r w:rsidRPr="00283806">
        <w:rPr>
          <w:spacing w:val="-2"/>
          <w:w w:val="110"/>
        </w:rPr>
        <w:t>how</w:t>
      </w:r>
      <w:r w:rsidRPr="00283806">
        <w:rPr>
          <w:spacing w:val="-4"/>
          <w:w w:val="110"/>
        </w:rPr>
        <w:t xml:space="preserve"> </w:t>
      </w:r>
      <w:r w:rsidRPr="00283806">
        <w:rPr>
          <w:spacing w:val="-2"/>
          <w:w w:val="110"/>
        </w:rPr>
        <w:t>the</w:t>
      </w:r>
      <w:r w:rsidRPr="00283806">
        <w:rPr>
          <w:spacing w:val="-4"/>
          <w:w w:val="110"/>
        </w:rPr>
        <w:t xml:space="preserve"> </w:t>
      </w:r>
      <w:r w:rsidRPr="00283806">
        <w:rPr>
          <w:spacing w:val="-2"/>
          <w:w w:val="110"/>
        </w:rPr>
        <w:t>reclamation</w:t>
      </w:r>
      <w:r w:rsidRPr="00283806">
        <w:rPr>
          <w:spacing w:val="-4"/>
          <w:w w:val="110"/>
        </w:rPr>
        <w:t xml:space="preserve"> </w:t>
      </w:r>
      <w:r w:rsidRPr="00283806">
        <w:rPr>
          <w:spacing w:val="-2"/>
          <w:w w:val="110"/>
        </w:rPr>
        <w:t xml:space="preserve">standard </w:t>
      </w:r>
      <w:r w:rsidRPr="00283806">
        <w:t>supports the purposes under subsection</w:t>
      </w:r>
      <w:r w:rsidRPr="00283806">
        <w:rPr>
          <w:w w:val="110"/>
        </w:rPr>
        <w:t xml:space="preserve"> (h), notably, maximizing the reclamation of HFCs. Reclaimed HFCs currently are used in equipment and will continue to be a significant source of HFCs to support equipment that use HFCs, </w:t>
      </w:r>
      <w:proofErr w:type="gramStart"/>
      <w:r w:rsidRPr="00283806">
        <w:rPr>
          <w:w w:val="110"/>
        </w:rPr>
        <w:t>including in particular, the</w:t>
      </w:r>
      <w:proofErr w:type="gramEnd"/>
      <w:r w:rsidRPr="00283806">
        <w:rPr>
          <w:w w:val="110"/>
        </w:rPr>
        <w:t xml:space="preserve"> servicing and/or repair of existing</w:t>
      </w:r>
    </w:p>
    <w:p w14:paraId="6BEB51F8" w14:textId="77777777" w:rsidR="00D67C1E" w:rsidRPr="00283806" w:rsidRDefault="001265CA">
      <w:pPr>
        <w:pStyle w:val="BodyText"/>
        <w:spacing w:before="134" w:line="228" w:lineRule="auto"/>
        <w:ind w:left="145"/>
      </w:pPr>
      <w:r w:rsidRPr="00283806">
        <w:br w:type="column"/>
      </w:r>
      <w:r w:rsidRPr="00283806">
        <w:rPr>
          <w:w w:val="105"/>
        </w:rPr>
        <w:t>equipment so that these pieces of equipment</w:t>
      </w:r>
      <w:r w:rsidRPr="00283806">
        <w:rPr>
          <w:spacing w:val="40"/>
          <w:w w:val="105"/>
        </w:rPr>
        <w:t xml:space="preserve"> </w:t>
      </w:r>
      <w:r w:rsidRPr="00283806">
        <w:rPr>
          <w:w w:val="105"/>
        </w:rPr>
        <w:t>can</w:t>
      </w:r>
      <w:r w:rsidRPr="00283806">
        <w:rPr>
          <w:spacing w:val="40"/>
          <w:w w:val="105"/>
        </w:rPr>
        <w:t xml:space="preserve"> </w:t>
      </w:r>
      <w:r w:rsidRPr="00283806">
        <w:rPr>
          <w:w w:val="105"/>
        </w:rPr>
        <w:t>reach</w:t>
      </w:r>
      <w:r w:rsidRPr="00283806">
        <w:rPr>
          <w:spacing w:val="40"/>
          <w:w w:val="105"/>
        </w:rPr>
        <w:t xml:space="preserve"> </w:t>
      </w:r>
      <w:r w:rsidRPr="00283806">
        <w:rPr>
          <w:w w:val="105"/>
        </w:rPr>
        <w:t>their</w:t>
      </w:r>
      <w:r w:rsidRPr="00283806">
        <w:rPr>
          <w:spacing w:val="40"/>
          <w:w w:val="105"/>
        </w:rPr>
        <w:t xml:space="preserve"> </w:t>
      </w:r>
      <w:r w:rsidRPr="00283806">
        <w:rPr>
          <w:w w:val="105"/>
        </w:rPr>
        <w:t>full</w:t>
      </w:r>
      <w:r w:rsidRPr="00283806">
        <w:rPr>
          <w:spacing w:val="40"/>
          <w:w w:val="105"/>
        </w:rPr>
        <w:t xml:space="preserve"> </w:t>
      </w:r>
      <w:r w:rsidRPr="00283806">
        <w:rPr>
          <w:w w:val="105"/>
        </w:rPr>
        <w:t>useful life. However, EPA does not expect that such use on a voluntary basis would maximize the reclamation of HFCs, as Congress instructed. For example, EPA’s multi-decade experience with</w:t>
      </w:r>
      <w:r w:rsidRPr="00283806">
        <w:rPr>
          <w:spacing w:val="80"/>
          <w:w w:val="105"/>
        </w:rPr>
        <w:t xml:space="preserve"> </w:t>
      </w:r>
      <w:r w:rsidRPr="00283806">
        <w:rPr>
          <w:w w:val="105"/>
        </w:rPr>
        <w:t>regulations under CAA section 608</w:t>
      </w:r>
      <w:r w:rsidRPr="00283806">
        <w:rPr>
          <w:spacing w:val="40"/>
          <w:w w:val="105"/>
        </w:rPr>
        <w:t xml:space="preserve"> </w:t>
      </w:r>
      <w:r w:rsidRPr="00283806">
        <w:rPr>
          <w:w w:val="105"/>
        </w:rPr>
        <w:t xml:space="preserve">where there are no similar requirements for reclaimed ODS or ODS substitutes provides insight related to reclamation. Reclamation trends of ODS </w:t>
      </w:r>
      <w:proofErr w:type="gramStart"/>
      <w:r w:rsidRPr="00283806">
        <w:rPr>
          <w:w w:val="105"/>
        </w:rPr>
        <w:t>has</w:t>
      </w:r>
      <w:proofErr w:type="gramEnd"/>
      <w:r w:rsidRPr="00283806">
        <w:rPr>
          <w:w w:val="105"/>
        </w:rPr>
        <w:t xml:space="preserve"> been</w:t>
      </w:r>
      <w:r w:rsidRPr="00283806">
        <w:rPr>
          <w:spacing w:val="40"/>
          <w:w w:val="105"/>
        </w:rPr>
        <w:t xml:space="preserve"> </w:t>
      </w:r>
      <w:proofErr w:type="gramStart"/>
      <w:r w:rsidRPr="00283806">
        <w:rPr>
          <w:w w:val="105"/>
        </w:rPr>
        <w:t>fairly steady</w:t>
      </w:r>
      <w:proofErr w:type="gramEnd"/>
      <w:r w:rsidRPr="00283806">
        <w:rPr>
          <w:w w:val="105"/>
        </w:rPr>
        <w:t>, only driven by market demand, with no requirements for a</w:t>
      </w:r>
      <w:r w:rsidRPr="00283806">
        <w:rPr>
          <w:spacing w:val="80"/>
          <w:w w:val="105"/>
        </w:rPr>
        <w:t xml:space="preserve"> </w:t>
      </w:r>
      <w:r w:rsidRPr="00283806">
        <w:rPr>
          <w:w w:val="105"/>
        </w:rPr>
        <w:t>limit of virgin material or requirements for servicing or repairing equipment</w:t>
      </w:r>
      <w:r w:rsidRPr="00283806">
        <w:rPr>
          <w:spacing w:val="80"/>
          <w:w w:val="105"/>
        </w:rPr>
        <w:t xml:space="preserve"> </w:t>
      </w:r>
      <w:r w:rsidRPr="00283806">
        <w:rPr>
          <w:w w:val="105"/>
        </w:rPr>
        <w:t>with reclaimed ODS. In earlier years of reported HFC reclamation (</w:t>
      </w:r>
      <w:r w:rsidRPr="00283806">
        <w:rPr>
          <w:rFonts w:ascii="Book Antiqua" w:hAnsi="Book Antiqua"/>
          <w:i/>
          <w:w w:val="105"/>
        </w:rPr>
        <w:t xml:space="preserve">i.e., </w:t>
      </w:r>
      <w:r w:rsidRPr="00283806">
        <w:rPr>
          <w:w w:val="105"/>
        </w:rPr>
        <w:t>2017– 2021), a similar steady trend can be observed. While there was no statutory direction to maximize reclamation of</w:t>
      </w:r>
      <w:r w:rsidRPr="00283806">
        <w:rPr>
          <w:spacing w:val="80"/>
          <w:w w:val="105"/>
        </w:rPr>
        <w:t xml:space="preserve"> </w:t>
      </w:r>
      <w:r w:rsidRPr="00283806">
        <w:rPr>
          <w:w w:val="105"/>
        </w:rPr>
        <w:t>ODS under CAA section 608, as there is under subsection(h) of the AIM Act, the flat trend of ODS reclamation could represent that increasing trend could have been observed with additional regulatory drivers. As EPA discusses in other responses in IV.E.2, reclamation of HFCs</w:t>
      </w:r>
      <w:r w:rsidRPr="00283806">
        <w:rPr>
          <w:spacing w:val="40"/>
          <w:w w:val="105"/>
        </w:rPr>
        <w:t xml:space="preserve"> </w:t>
      </w:r>
      <w:r w:rsidRPr="00283806">
        <w:rPr>
          <w:w w:val="105"/>
        </w:rPr>
        <w:t>has</w:t>
      </w:r>
      <w:r w:rsidRPr="00283806">
        <w:rPr>
          <w:spacing w:val="40"/>
          <w:w w:val="105"/>
        </w:rPr>
        <w:t xml:space="preserve"> </w:t>
      </w:r>
      <w:r w:rsidRPr="00283806">
        <w:rPr>
          <w:w w:val="105"/>
        </w:rPr>
        <w:t>more</w:t>
      </w:r>
      <w:r w:rsidRPr="00283806">
        <w:rPr>
          <w:spacing w:val="40"/>
          <w:w w:val="105"/>
        </w:rPr>
        <w:t xml:space="preserve"> </w:t>
      </w:r>
      <w:r w:rsidRPr="00283806">
        <w:rPr>
          <w:w w:val="105"/>
        </w:rPr>
        <w:t>recently</w:t>
      </w:r>
      <w:r w:rsidRPr="00283806">
        <w:rPr>
          <w:spacing w:val="40"/>
          <w:w w:val="105"/>
        </w:rPr>
        <w:t xml:space="preserve"> </w:t>
      </w:r>
      <w:r w:rsidRPr="00283806">
        <w:rPr>
          <w:w w:val="105"/>
        </w:rPr>
        <w:t>(</w:t>
      </w:r>
      <w:r w:rsidRPr="00283806">
        <w:rPr>
          <w:rFonts w:ascii="Book Antiqua" w:hAnsi="Book Antiqua"/>
          <w:i/>
          <w:w w:val="105"/>
        </w:rPr>
        <w:t xml:space="preserve">i.e., </w:t>
      </w:r>
      <w:r w:rsidRPr="00283806">
        <w:rPr>
          <w:w w:val="105"/>
        </w:rPr>
        <w:t>in</w:t>
      </w:r>
      <w:r w:rsidRPr="00283806">
        <w:rPr>
          <w:spacing w:val="40"/>
          <w:w w:val="105"/>
        </w:rPr>
        <w:t xml:space="preserve"> </w:t>
      </w:r>
      <w:r w:rsidRPr="00283806">
        <w:rPr>
          <w:w w:val="105"/>
        </w:rPr>
        <w:t>2022 and 2023) seen an increasing trend. As noted at the start of this paragraph,</w:t>
      </w:r>
      <w:r w:rsidRPr="00283806">
        <w:rPr>
          <w:spacing w:val="80"/>
          <w:w w:val="105"/>
        </w:rPr>
        <w:t xml:space="preserve"> </w:t>
      </w:r>
      <w:r w:rsidRPr="00283806">
        <w:rPr>
          <w:w w:val="105"/>
        </w:rPr>
        <w:t xml:space="preserve">while the phasedown of HFCs under the AIM Act may </w:t>
      </w:r>
      <w:proofErr w:type="gramStart"/>
      <w:r w:rsidRPr="00283806">
        <w:rPr>
          <w:w w:val="105"/>
        </w:rPr>
        <w:t>have an effect on</w:t>
      </w:r>
      <w:proofErr w:type="gramEnd"/>
      <w:r w:rsidRPr="00283806">
        <w:rPr>
          <w:w w:val="105"/>
        </w:rPr>
        <w:t xml:space="preserve"> the increasing trend, notably during years near a phasedown step, EPA has </w:t>
      </w:r>
      <w:proofErr w:type="gramStart"/>
      <w:r w:rsidRPr="00283806">
        <w:rPr>
          <w:w w:val="105"/>
        </w:rPr>
        <w:t>determined that</w:t>
      </w:r>
      <w:proofErr w:type="gramEnd"/>
      <w:r w:rsidRPr="00283806">
        <w:rPr>
          <w:w w:val="105"/>
        </w:rPr>
        <w:t xml:space="preserve"> that alone is not enough to maximize reclamation, as the Agency was instructed to do by Congress. The provisions in this rule are necessary to ensure this trend continues and </w:t>
      </w:r>
      <w:proofErr w:type="gramStart"/>
      <w:r w:rsidRPr="00283806">
        <w:rPr>
          <w:w w:val="105"/>
        </w:rPr>
        <w:t>reclamation</w:t>
      </w:r>
      <w:proofErr w:type="gramEnd"/>
      <w:r w:rsidRPr="00283806">
        <w:rPr>
          <w:w w:val="105"/>
        </w:rPr>
        <w:t xml:space="preserve"> of HFCs is maximized.</w:t>
      </w:r>
    </w:p>
    <w:p w14:paraId="3DB48491" w14:textId="77777777" w:rsidR="00D67C1E" w:rsidRPr="00283806" w:rsidRDefault="001265CA">
      <w:pPr>
        <w:pStyle w:val="BodyText"/>
        <w:spacing w:line="157" w:lineRule="exact"/>
        <w:ind w:left="145"/>
      </w:pPr>
      <w:r w:rsidRPr="00283806">
        <w:rPr>
          <w:w w:val="105"/>
        </w:rPr>
        <w:t>Further,</w:t>
      </w:r>
      <w:r w:rsidRPr="00283806">
        <w:rPr>
          <w:spacing w:val="15"/>
          <w:w w:val="105"/>
        </w:rPr>
        <w:t xml:space="preserve"> </w:t>
      </w:r>
      <w:r w:rsidRPr="00283806">
        <w:rPr>
          <w:w w:val="105"/>
        </w:rPr>
        <w:t>as</w:t>
      </w:r>
      <w:r w:rsidRPr="00283806">
        <w:rPr>
          <w:spacing w:val="15"/>
          <w:w w:val="105"/>
        </w:rPr>
        <w:t xml:space="preserve"> </w:t>
      </w:r>
      <w:r w:rsidRPr="00283806">
        <w:rPr>
          <w:w w:val="105"/>
        </w:rPr>
        <w:t>EPA</w:t>
      </w:r>
      <w:r w:rsidRPr="00283806">
        <w:rPr>
          <w:spacing w:val="15"/>
          <w:w w:val="105"/>
        </w:rPr>
        <w:t xml:space="preserve"> </w:t>
      </w:r>
      <w:r w:rsidRPr="00283806">
        <w:rPr>
          <w:w w:val="105"/>
        </w:rPr>
        <w:t>has</w:t>
      </w:r>
      <w:r w:rsidRPr="00283806">
        <w:rPr>
          <w:spacing w:val="16"/>
          <w:w w:val="105"/>
        </w:rPr>
        <w:t xml:space="preserve"> </w:t>
      </w:r>
      <w:r w:rsidRPr="00283806">
        <w:rPr>
          <w:w w:val="105"/>
        </w:rPr>
        <w:t>noted,</w:t>
      </w:r>
      <w:r w:rsidRPr="00283806">
        <w:rPr>
          <w:spacing w:val="15"/>
          <w:w w:val="105"/>
        </w:rPr>
        <w:t xml:space="preserve"> </w:t>
      </w:r>
      <w:r w:rsidRPr="00283806">
        <w:rPr>
          <w:spacing w:val="-5"/>
          <w:w w:val="105"/>
        </w:rPr>
        <w:t>the</w:t>
      </w:r>
    </w:p>
    <w:p w14:paraId="514E70B0" w14:textId="77777777" w:rsidR="00D67C1E" w:rsidRPr="00283806" w:rsidRDefault="001265CA">
      <w:pPr>
        <w:pStyle w:val="BodyText"/>
        <w:spacing w:before="3" w:line="228" w:lineRule="auto"/>
        <w:ind w:left="145" w:right="57"/>
      </w:pPr>
      <w:proofErr w:type="gramStart"/>
      <w:r w:rsidRPr="00283806">
        <w:rPr>
          <w:w w:val="110"/>
        </w:rPr>
        <w:t>production</w:t>
      </w:r>
      <w:proofErr w:type="gramEnd"/>
      <w:r w:rsidRPr="00283806">
        <w:rPr>
          <w:w w:val="110"/>
        </w:rPr>
        <w:t xml:space="preserve"> and consumption of HFCs are</w:t>
      </w:r>
      <w:r w:rsidRPr="00283806">
        <w:rPr>
          <w:spacing w:val="-11"/>
          <w:w w:val="110"/>
        </w:rPr>
        <w:t xml:space="preserve"> </w:t>
      </w:r>
      <w:r w:rsidRPr="00283806">
        <w:rPr>
          <w:w w:val="110"/>
        </w:rPr>
        <w:t>being</w:t>
      </w:r>
      <w:r w:rsidRPr="00283806">
        <w:rPr>
          <w:spacing w:val="-11"/>
          <w:w w:val="110"/>
        </w:rPr>
        <w:t xml:space="preserve"> </w:t>
      </w:r>
      <w:r w:rsidRPr="00283806">
        <w:rPr>
          <w:w w:val="110"/>
        </w:rPr>
        <w:t>phased</w:t>
      </w:r>
      <w:r w:rsidRPr="00283806">
        <w:rPr>
          <w:spacing w:val="-11"/>
          <w:w w:val="110"/>
        </w:rPr>
        <w:t xml:space="preserve"> </w:t>
      </w:r>
      <w:r w:rsidRPr="00283806">
        <w:rPr>
          <w:w w:val="110"/>
        </w:rPr>
        <w:t>down,</w:t>
      </w:r>
      <w:r w:rsidRPr="00283806">
        <w:rPr>
          <w:spacing w:val="-11"/>
          <w:w w:val="110"/>
        </w:rPr>
        <w:t xml:space="preserve"> </w:t>
      </w:r>
      <w:r w:rsidRPr="00283806">
        <w:rPr>
          <w:w w:val="110"/>
        </w:rPr>
        <w:t>not</w:t>
      </w:r>
      <w:r w:rsidRPr="00283806">
        <w:rPr>
          <w:spacing w:val="-11"/>
          <w:w w:val="110"/>
        </w:rPr>
        <w:t xml:space="preserve"> </w:t>
      </w:r>
      <w:r w:rsidRPr="00283806">
        <w:rPr>
          <w:w w:val="110"/>
        </w:rPr>
        <w:t>phased</w:t>
      </w:r>
      <w:r w:rsidRPr="00283806">
        <w:rPr>
          <w:spacing w:val="-11"/>
          <w:w w:val="110"/>
        </w:rPr>
        <w:t xml:space="preserve"> </w:t>
      </w:r>
      <w:r w:rsidRPr="00283806">
        <w:rPr>
          <w:w w:val="110"/>
        </w:rPr>
        <w:t xml:space="preserve">out. As such, there will still </w:t>
      </w:r>
      <w:proofErr w:type="gramStart"/>
      <w:r w:rsidRPr="00283806">
        <w:rPr>
          <w:w w:val="110"/>
        </w:rPr>
        <w:t>likely</w:t>
      </w:r>
      <w:proofErr w:type="gramEnd"/>
      <w:r w:rsidRPr="00283806">
        <w:rPr>
          <w:w w:val="110"/>
        </w:rPr>
        <w:t xml:space="preserve"> be demand for HFCs after the phasedown concludes, and reclaimed HFCs will play </w:t>
      </w:r>
      <w:proofErr w:type="gramStart"/>
      <w:r w:rsidRPr="00283806">
        <w:rPr>
          <w:w w:val="110"/>
        </w:rPr>
        <w:t>in</w:t>
      </w:r>
      <w:proofErr w:type="gramEnd"/>
      <w:r w:rsidRPr="00283806">
        <w:rPr>
          <w:w w:val="110"/>
        </w:rPr>
        <w:t xml:space="preserve"> important part </w:t>
      </w:r>
      <w:proofErr w:type="gramStart"/>
      <w:r w:rsidRPr="00283806">
        <w:rPr>
          <w:w w:val="110"/>
        </w:rPr>
        <w:t>of</w:t>
      </w:r>
      <w:proofErr w:type="gramEnd"/>
      <w:r w:rsidRPr="00283806">
        <w:rPr>
          <w:w w:val="110"/>
        </w:rPr>
        <w:t xml:space="preserve"> meeting that demand. Thus, EPA concludes that it is appropriate to establish reclamation requirements in this rule.</w:t>
      </w:r>
    </w:p>
    <w:p w14:paraId="4945EAC0" w14:textId="77777777" w:rsidR="00D67C1E" w:rsidRPr="00283806" w:rsidRDefault="001265CA">
      <w:pPr>
        <w:pStyle w:val="BodyText"/>
        <w:spacing w:before="36" w:line="228" w:lineRule="auto"/>
        <w:ind w:left="145" w:right="70" w:firstLine="180"/>
      </w:pPr>
      <w:r w:rsidRPr="00283806">
        <w:rPr>
          <w:w w:val="105"/>
        </w:rPr>
        <w:t>EPA does not agree with the</w:t>
      </w:r>
      <w:r w:rsidRPr="00283806">
        <w:rPr>
          <w:spacing w:val="40"/>
          <w:w w:val="105"/>
        </w:rPr>
        <w:t xml:space="preserve"> </w:t>
      </w:r>
      <w:r w:rsidRPr="00283806">
        <w:rPr>
          <w:w w:val="105"/>
        </w:rPr>
        <w:t>comments asserting that the Agency must demonstrate that the limit is uniformly technically achievable for current reclaimers and across the spectrum of HFC blends in the market and will result in increased reclamation beyond regulatory and market factors to meet its mandate under subsection (h). From information provided in</w:t>
      </w:r>
      <w:r w:rsidRPr="00283806">
        <w:rPr>
          <w:spacing w:val="80"/>
          <w:w w:val="105"/>
        </w:rPr>
        <w:t xml:space="preserve"> </w:t>
      </w:r>
      <w:r w:rsidRPr="00283806">
        <w:rPr>
          <w:w w:val="105"/>
        </w:rPr>
        <w:t xml:space="preserve">comments to the NODA and based on EPA’s understanding, HFC reclamation can be complex and require advanced separation technologies. EPA understands that reclaimers have access to varying degrees of these technologies for the reclamation of HFC </w:t>
      </w:r>
      <w:proofErr w:type="gramStart"/>
      <w:r w:rsidRPr="00283806">
        <w:rPr>
          <w:w w:val="105"/>
        </w:rPr>
        <w:t>refrigerants</w:t>
      </w:r>
      <w:proofErr w:type="gramEnd"/>
      <w:r w:rsidRPr="00283806">
        <w:rPr>
          <w:w w:val="105"/>
        </w:rPr>
        <w:t>.</w:t>
      </w:r>
    </w:p>
    <w:p w14:paraId="1A4BA749" w14:textId="77777777" w:rsidR="00D67C1E" w:rsidRPr="00283806" w:rsidRDefault="001265CA">
      <w:pPr>
        <w:pStyle w:val="BodyText"/>
        <w:spacing w:before="134" w:line="225" w:lineRule="auto"/>
        <w:ind w:left="145" w:right="149"/>
      </w:pPr>
      <w:r w:rsidRPr="00283806">
        <w:br w:type="column"/>
      </w:r>
      <w:r w:rsidRPr="00283806">
        <w:rPr>
          <w:w w:val="105"/>
        </w:rPr>
        <w:t xml:space="preserve">Based on information provided to the Agency in comments to the NODA, in public meetings, and in comments </w:t>
      </w:r>
      <w:proofErr w:type="gramStart"/>
      <w:r w:rsidRPr="00283806">
        <w:rPr>
          <w:w w:val="105"/>
        </w:rPr>
        <w:t>for</w:t>
      </w:r>
      <w:proofErr w:type="gramEnd"/>
      <w:r w:rsidRPr="00283806">
        <w:rPr>
          <w:spacing w:val="40"/>
          <w:w w:val="105"/>
        </w:rPr>
        <w:t xml:space="preserve"> </w:t>
      </w:r>
      <w:r w:rsidRPr="00283806">
        <w:rPr>
          <w:w w:val="105"/>
        </w:rPr>
        <w:t>this rulemaking, EPA is aware that reclaimers are currently using technologies that can meet the</w:t>
      </w:r>
      <w:r w:rsidRPr="00283806">
        <w:rPr>
          <w:spacing w:val="40"/>
          <w:w w:val="105"/>
        </w:rPr>
        <w:t xml:space="preserve"> </w:t>
      </w:r>
      <w:r w:rsidRPr="00283806">
        <w:rPr>
          <w:w w:val="105"/>
        </w:rPr>
        <w:t>provisions of this rulemaking. The statutory text of subsection (h) does not include requirements for uniform technical achievability, and EPA interprets the references in subsection (h)(1) to maximizing reclamation to include authority to establish provisions that require reclaimers to go beyond</w:t>
      </w:r>
      <w:r w:rsidRPr="00283806">
        <w:rPr>
          <w:spacing w:val="40"/>
          <w:w w:val="105"/>
        </w:rPr>
        <w:t xml:space="preserve"> </w:t>
      </w:r>
      <w:r w:rsidRPr="00283806">
        <w:rPr>
          <w:w w:val="105"/>
        </w:rPr>
        <w:t>their current practices to achieve that goal, when such requirements are otherwise consistent with the direction</w:t>
      </w:r>
      <w:r w:rsidRPr="00283806">
        <w:rPr>
          <w:spacing w:val="40"/>
          <w:w w:val="105"/>
        </w:rPr>
        <w:t xml:space="preserve"> </w:t>
      </w:r>
      <w:r w:rsidRPr="00283806">
        <w:rPr>
          <w:w w:val="105"/>
        </w:rPr>
        <w:t>in subsection (h)(1). EPA also interprets subsection (h)(1) as authorizing regulations that help ensure that the reclamation that may be anticipated based on other regulatory or market factors, such as a decreasing pool of virgin</w:t>
      </w:r>
      <w:r w:rsidRPr="00283806">
        <w:rPr>
          <w:spacing w:val="40"/>
          <w:w w:val="105"/>
        </w:rPr>
        <w:t xml:space="preserve"> </w:t>
      </w:r>
      <w:r w:rsidRPr="00283806">
        <w:rPr>
          <w:w w:val="105"/>
        </w:rPr>
        <w:t>HFCs,</w:t>
      </w:r>
      <w:r w:rsidRPr="00283806">
        <w:rPr>
          <w:spacing w:val="40"/>
          <w:w w:val="105"/>
        </w:rPr>
        <w:t xml:space="preserve"> </w:t>
      </w:r>
      <w:proofErr w:type="gramStart"/>
      <w:r w:rsidRPr="00283806">
        <w:rPr>
          <w:w w:val="105"/>
        </w:rPr>
        <w:t>actually</w:t>
      </w:r>
      <w:r w:rsidRPr="00283806">
        <w:rPr>
          <w:spacing w:val="40"/>
          <w:w w:val="105"/>
        </w:rPr>
        <w:t xml:space="preserve"> </w:t>
      </w:r>
      <w:r w:rsidRPr="00283806">
        <w:rPr>
          <w:w w:val="105"/>
        </w:rPr>
        <w:t>occurs</w:t>
      </w:r>
      <w:proofErr w:type="gramEnd"/>
      <w:r w:rsidRPr="00283806">
        <w:rPr>
          <w:spacing w:val="40"/>
          <w:w w:val="105"/>
        </w:rPr>
        <w:t xml:space="preserve"> </w:t>
      </w:r>
      <w:r w:rsidRPr="00283806">
        <w:rPr>
          <w:w w:val="105"/>
        </w:rPr>
        <w:t>and</w:t>
      </w:r>
      <w:r w:rsidRPr="00283806">
        <w:rPr>
          <w:spacing w:val="40"/>
          <w:w w:val="105"/>
        </w:rPr>
        <w:t xml:space="preserve"> </w:t>
      </w:r>
      <w:r w:rsidRPr="00283806">
        <w:rPr>
          <w:w w:val="105"/>
        </w:rPr>
        <w:t>meets a uniform standard. In EPA’s view, such regulations can be part of the overall effort to maximize reclamation, consistent with subsection (h)(1).</w:t>
      </w:r>
    </w:p>
    <w:p w14:paraId="635D65B2" w14:textId="77777777" w:rsidR="00D67C1E" w:rsidRPr="00283806" w:rsidRDefault="001265CA">
      <w:pPr>
        <w:pStyle w:val="BodyText"/>
        <w:spacing w:line="170" w:lineRule="exact"/>
        <w:ind w:left="325"/>
      </w:pPr>
      <w:r w:rsidRPr="00283806">
        <w:rPr>
          <w:w w:val="105"/>
        </w:rPr>
        <w:t>The</w:t>
      </w:r>
      <w:r w:rsidRPr="00283806">
        <w:rPr>
          <w:spacing w:val="15"/>
          <w:w w:val="105"/>
        </w:rPr>
        <w:t xml:space="preserve"> </w:t>
      </w:r>
      <w:r w:rsidRPr="00283806">
        <w:rPr>
          <w:w w:val="105"/>
        </w:rPr>
        <w:t>Agency</w:t>
      </w:r>
      <w:r w:rsidRPr="00283806">
        <w:rPr>
          <w:spacing w:val="15"/>
          <w:w w:val="105"/>
        </w:rPr>
        <w:t xml:space="preserve"> </w:t>
      </w:r>
      <w:r w:rsidRPr="00283806">
        <w:rPr>
          <w:w w:val="105"/>
        </w:rPr>
        <w:t>disagrees</w:t>
      </w:r>
      <w:r w:rsidRPr="00283806">
        <w:rPr>
          <w:spacing w:val="15"/>
          <w:w w:val="105"/>
        </w:rPr>
        <w:t xml:space="preserve"> </w:t>
      </w:r>
      <w:r w:rsidRPr="00283806">
        <w:rPr>
          <w:w w:val="105"/>
        </w:rPr>
        <w:t>with</w:t>
      </w:r>
      <w:r w:rsidRPr="00283806">
        <w:rPr>
          <w:spacing w:val="15"/>
          <w:w w:val="105"/>
        </w:rPr>
        <w:t xml:space="preserve"> </w:t>
      </w:r>
      <w:r w:rsidRPr="00283806">
        <w:rPr>
          <w:spacing w:val="-5"/>
          <w:w w:val="105"/>
        </w:rPr>
        <w:t>the</w:t>
      </w:r>
    </w:p>
    <w:p w14:paraId="11135720" w14:textId="77777777" w:rsidR="00D67C1E" w:rsidRPr="00283806" w:rsidRDefault="001265CA">
      <w:pPr>
        <w:pStyle w:val="BodyText"/>
        <w:spacing w:before="4" w:line="225" w:lineRule="auto"/>
        <w:ind w:left="145" w:right="237"/>
      </w:pPr>
      <w:r w:rsidRPr="00283806">
        <w:rPr>
          <w:w w:val="105"/>
        </w:rPr>
        <w:t>commenter</w:t>
      </w:r>
      <w:r w:rsidRPr="00283806">
        <w:rPr>
          <w:spacing w:val="-2"/>
          <w:w w:val="105"/>
        </w:rPr>
        <w:t xml:space="preserve"> </w:t>
      </w:r>
      <w:r w:rsidRPr="00283806">
        <w:rPr>
          <w:w w:val="105"/>
        </w:rPr>
        <w:t>stating</w:t>
      </w:r>
      <w:r w:rsidRPr="00283806">
        <w:rPr>
          <w:spacing w:val="-2"/>
          <w:w w:val="105"/>
        </w:rPr>
        <w:t xml:space="preserve"> </w:t>
      </w:r>
      <w:r w:rsidRPr="00283806">
        <w:rPr>
          <w:w w:val="105"/>
        </w:rPr>
        <w:t>that</w:t>
      </w:r>
      <w:r w:rsidRPr="00283806">
        <w:rPr>
          <w:spacing w:val="-2"/>
          <w:w w:val="105"/>
        </w:rPr>
        <w:t xml:space="preserve"> </w:t>
      </w:r>
      <w:r w:rsidRPr="00283806">
        <w:rPr>
          <w:w w:val="105"/>
        </w:rPr>
        <w:t>the</w:t>
      </w:r>
      <w:r w:rsidRPr="00283806">
        <w:rPr>
          <w:spacing w:val="-2"/>
          <w:w w:val="105"/>
        </w:rPr>
        <w:t xml:space="preserve"> </w:t>
      </w:r>
      <w:r w:rsidRPr="00283806">
        <w:rPr>
          <w:w w:val="105"/>
        </w:rPr>
        <w:t>reclamation standard would lead to certain types of equipment becoming prematurely obsolete. Reclaimed refrigerant is required to meet applicable purity standards, which must also be verified by specified analytic methodology.</w:t>
      </w:r>
    </w:p>
    <w:p w14:paraId="2E022AF6" w14:textId="77777777" w:rsidR="00D67C1E" w:rsidRPr="00283806" w:rsidRDefault="001265CA">
      <w:pPr>
        <w:pStyle w:val="BodyText"/>
        <w:spacing w:line="225" w:lineRule="auto"/>
        <w:ind w:left="145" w:right="122"/>
      </w:pPr>
      <w:r w:rsidRPr="00283806">
        <w:rPr>
          <w:w w:val="105"/>
        </w:rPr>
        <w:t>Further, under the Allocation</w:t>
      </w:r>
      <w:r w:rsidRPr="00283806">
        <w:rPr>
          <w:spacing w:val="80"/>
          <w:w w:val="105"/>
        </w:rPr>
        <w:t xml:space="preserve"> </w:t>
      </w:r>
      <w:r w:rsidRPr="00283806">
        <w:rPr>
          <w:w w:val="105"/>
        </w:rPr>
        <w:t>Framework Rule, virgin refrigerant is required to meet the same purity standards. Thus, reclaimed refrigerants would serve the same function in refrigerant-containing equipment as virgin refrigerant. As such, EPA</w:t>
      </w:r>
      <w:r w:rsidRPr="00283806">
        <w:rPr>
          <w:spacing w:val="80"/>
          <w:w w:val="105"/>
        </w:rPr>
        <w:t xml:space="preserve"> </w:t>
      </w:r>
      <w:proofErr w:type="gramStart"/>
      <w:r w:rsidRPr="00283806">
        <w:rPr>
          <w:w w:val="105"/>
        </w:rPr>
        <w:t>disagrees</w:t>
      </w:r>
      <w:proofErr w:type="gramEnd"/>
      <w:r w:rsidRPr="00283806">
        <w:rPr>
          <w:w w:val="105"/>
        </w:rPr>
        <w:t xml:space="preserve"> the reclamation standard</w:t>
      </w:r>
      <w:r w:rsidRPr="00283806">
        <w:rPr>
          <w:spacing w:val="40"/>
          <w:w w:val="105"/>
        </w:rPr>
        <w:t xml:space="preserve"> </w:t>
      </w:r>
      <w:r w:rsidRPr="00283806">
        <w:rPr>
          <w:w w:val="105"/>
        </w:rPr>
        <w:t>would be unworkable and cause premature obsolescence for equipment</w:t>
      </w:r>
      <w:r w:rsidRPr="00283806">
        <w:rPr>
          <w:spacing w:val="40"/>
          <w:w w:val="105"/>
        </w:rPr>
        <w:t xml:space="preserve"> </w:t>
      </w:r>
      <w:r w:rsidRPr="00283806">
        <w:rPr>
          <w:w w:val="105"/>
        </w:rPr>
        <w:t xml:space="preserve">as it relates to using reclaimed </w:t>
      </w:r>
      <w:proofErr w:type="gramStart"/>
      <w:r w:rsidRPr="00283806">
        <w:rPr>
          <w:w w:val="105"/>
        </w:rPr>
        <w:t>refrigerants</w:t>
      </w:r>
      <w:proofErr w:type="gramEnd"/>
      <w:r w:rsidRPr="00283806">
        <w:rPr>
          <w:w w:val="105"/>
        </w:rPr>
        <w:t xml:space="preserve"> meeting the reclamation standard. Related to the availability of reclaimed refrigerants for the servicing and/or repair of certain refrigerant- containing equipment, EPA discusses supply</w:t>
      </w:r>
      <w:r w:rsidRPr="00283806">
        <w:rPr>
          <w:spacing w:val="16"/>
          <w:w w:val="105"/>
        </w:rPr>
        <w:t xml:space="preserve"> </w:t>
      </w:r>
      <w:r w:rsidRPr="00283806">
        <w:rPr>
          <w:w w:val="105"/>
        </w:rPr>
        <w:t>and</w:t>
      </w:r>
      <w:r w:rsidRPr="00283806">
        <w:rPr>
          <w:spacing w:val="16"/>
          <w:w w:val="105"/>
        </w:rPr>
        <w:t xml:space="preserve"> </w:t>
      </w:r>
      <w:r w:rsidRPr="00283806">
        <w:rPr>
          <w:w w:val="105"/>
        </w:rPr>
        <w:t>estimated</w:t>
      </w:r>
      <w:r w:rsidRPr="00283806">
        <w:rPr>
          <w:spacing w:val="17"/>
          <w:w w:val="105"/>
        </w:rPr>
        <w:t xml:space="preserve"> </w:t>
      </w:r>
      <w:r w:rsidRPr="00283806">
        <w:rPr>
          <w:w w:val="105"/>
        </w:rPr>
        <w:t>demand</w:t>
      </w:r>
      <w:r w:rsidRPr="00283806">
        <w:rPr>
          <w:spacing w:val="16"/>
          <w:w w:val="105"/>
        </w:rPr>
        <w:t xml:space="preserve"> </w:t>
      </w:r>
      <w:r w:rsidRPr="00283806">
        <w:rPr>
          <w:w w:val="105"/>
        </w:rPr>
        <w:t>in</w:t>
      </w:r>
      <w:r w:rsidRPr="00283806">
        <w:rPr>
          <w:spacing w:val="17"/>
          <w:w w:val="105"/>
        </w:rPr>
        <w:t xml:space="preserve"> </w:t>
      </w:r>
      <w:proofErr w:type="gramStart"/>
      <w:r w:rsidRPr="00283806">
        <w:rPr>
          <w:spacing w:val="-2"/>
          <w:w w:val="105"/>
        </w:rPr>
        <w:t>section</w:t>
      </w:r>
      <w:proofErr w:type="gramEnd"/>
    </w:p>
    <w:p w14:paraId="2436EC05" w14:textId="77777777" w:rsidR="00D67C1E" w:rsidRPr="00283806" w:rsidRDefault="001265CA">
      <w:pPr>
        <w:pStyle w:val="BodyText"/>
        <w:spacing w:line="225" w:lineRule="auto"/>
        <w:ind w:left="145" w:right="217"/>
      </w:pPr>
      <w:r w:rsidRPr="00283806">
        <w:rPr>
          <w:w w:val="105"/>
        </w:rPr>
        <w:t>IV.E.2. Further, EPA is not finalizing, at this time, either the proposed requirement for servicing and/or repair with reclaimed HFCs in a fourth subsector or the proposed requirement for the initial fill of refrigerant- containing equipment to be done with reclaimed HFCs (see comment</w:t>
      </w:r>
      <w:r w:rsidRPr="00283806">
        <w:rPr>
          <w:spacing w:val="40"/>
          <w:w w:val="105"/>
        </w:rPr>
        <w:t xml:space="preserve"> </w:t>
      </w:r>
      <w:r w:rsidRPr="00283806">
        <w:rPr>
          <w:w w:val="105"/>
        </w:rPr>
        <w:t>responses in section IV.E.2 for</w:t>
      </w:r>
      <w:r w:rsidRPr="00283806">
        <w:rPr>
          <w:spacing w:val="40"/>
          <w:w w:val="105"/>
        </w:rPr>
        <w:t xml:space="preserve"> </w:t>
      </w:r>
      <w:r w:rsidRPr="00283806">
        <w:rPr>
          <w:w w:val="105"/>
        </w:rPr>
        <w:t>additional discussion).</w:t>
      </w:r>
    </w:p>
    <w:p w14:paraId="6A094EAF" w14:textId="77777777" w:rsidR="00D67C1E" w:rsidRPr="00283806" w:rsidRDefault="001265CA">
      <w:pPr>
        <w:pStyle w:val="BodyText"/>
        <w:spacing w:line="177" w:lineRule="exact"/>
        <w:ind w:left="325"/>
      </w:pPr>
      <w:r w:rsidRPr="00283806">
        <w:rPr>
          <w:w w:val="105"/>
        </w:rPr>
        <w:t>EPA</w:t>
      </w:r>
      <w:r w:rsidRPr="00283806">
        <w:rPr>
          <w:spacing w:val="8"/>
          <w:w w:val="105"/>
        </w:rPr>
        <w:t xml:space="preserve"> </w:t>
      </w:r>
      <w:r w:rsidRPr="00283806">
        <w:rPr>
          <w:w w:val="105"/>
        </w:rPr>
        <w:t>also</w:t>
      </w:r>
      <w:r w:rsidRPr="00283806">
        <w:rPr>
          <w:spacing w:val="9"/>
          <w:w w:val="105"/>
        </w:rPr>
        <w:t xml:space="preserve"> </w:t>
      </w:r>
      <w:r w:rsidRPr="00283806">
        <w:rPr>
          <w:w w:val="105"/>
        </w:rPr>
        <w:t>disagrees</w:t>
      </w:r>
      <w:r w:rsidRPr="00283806">
        <w:rPr>
          <w:spacing w:val="9"/>
          <w:w w:val="105"/>
        </w:rPr>
        <w:t xml:space="preserve"> </w:t>
      </w:r>
      <w:r w:rsidRPr="00283806">
        <w:rPr>
          <w:w w:val="105"/>
        </w:rPr>
        <w:t>that</w:t>
      </w:r>
      <w:r w:rsidRPr="00283806">
        <w:rPr>
          <w:spacing w:val="9"/>
          <w:w w:val="105"/>
        </w:rPr>
        <w:t xml:space="preserve"> </w:t>
      </w:r>
      <w:r w:rsidRPr="00283806">
        <w:rPr>
          <w:spacing w:val="-5"/>
          <w:w w:val="105"/>
        </w:rPr>
        <w:t>the</w:t>
      </w:r>
    </w:p>
    <w:p w14:paraId="021C8BBC" w14:textId="77777777" w:rsidR="00D67C1E" w:rsidRPr="00283806" w:rsidRDefault="001265CA">
      <w:pPr>
        <w:pStyle w:val="BodyText"/>
        <w:spacing w:line="225" w:lineRule="auto"/>
        <w:ind w:left="145" w:right="171"/>
      </w:pPr>
      <w:proofErr w:type="gramStart"/>
      <w:r w:rsidRPr="00283806">
        <w:rPr>
          <w:w w:val="105"/>
        </w:rPr>
        <w:t>reclamation</w:t>
      </w:r>
      <w:proofErr w:type="gramEnd"/>
      <w:r w:rsidRPr="00283806">
        <w:rPr>
          <w:w w:val="105"/>
        </w:rPr>
        <w:t xml:space="preserve"> standard placing a limit on the amount of virgin HFCs would cause additional destruction by small reclaimers. While some small reclaimers may choose to destroy recovered</w:t>
      </w:r>
    </w:p>
    <w:p w14:paraId="1C295DF3"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5" w:space="40"/>
            <w:col w:w="3501" w:space="39"/>
            <w:col w:w="3625"/>
          </w:cols>
        </w:sectPr>
      </w:pPr>
    </w:p>
    <w:p w14:paraId="7A060506" w14:textId="77777777" w:rsidR="00D67C1E" w:rsidRPr="00283806" w:rsidRDefault="001265CA">
      <w:pPr>
        <w:pStyle w:val="BodyText"/>
        <w:spacing w:before="136" w:line="225" w:lineRule="auto"/>
        <w:ind w:right="13"/>
      </w:pPr>
      <w:r w:rsidRPr="00283806">
        <w:rPr>
          <w:w w:val="105"/>
        </w:rPr>
        <w:lastRenderedPageBreak/>
        <w:t>material they receive, others may</w:t>
      </w:r>
      <w:r w:rsidRPr="00283806">
        <w:rPr>
          <w:spacing w:val="40"/>
          <w:w w:val="105"/>
        </w:rPr>
        <w:t xml:space="preserve"> </w:t>
      </w:r>
      <w:r w:rsidRPr="00283806">
        <w:rPr>
          <w:w w:val="105"/>
        </w:rPr>
        <w:t>identify the value in the recovered material and send it to a larger reclaimer with more sophisticated technology to separate the components. EPA understands that this is a current</w:t>
      </w:r>
      <w:r w:rsidRPr="00283806">
        <w:rPr>
          <w:spacing w:val="40"/>
          <w:w w:val="105"/>
        </w:rPr>
        <w:t xml:space="preserve"> </w:t>
      </w:r>
      <w:r w:rsidRPr="00283806">
        <w:rPr>
          <w:w w:val="105"/>
        </w:rPr>
        <w:t xml:space="preserve">practice and, ultimately, the fate of the recovered materials in this scenario may be a business decision by the small </w:t>
      </w:r>
      <w:r w:rsidRPr="00283806">
        <w:rPr>
          <w:spacing w:val="-2"/>
          <w:w w:val="105"/>
        </w:rPr>
        <w:t>reclaimers.</w:t>
      </w:r>
    </w:p>
    <w:p w14:paraId="53FBAE8A" w14:textId="77777777" w:rsidR="00D67C1E" w:rsidRPr="00283806" w:rsidRDefault="001265CA">
      <w:pPr>
        <w:pStyle w:val="BodyText"/>
        <w:spacing w:line="177" w:lineRule="exact"/>
        <w:ind w:left="340"/>
      </w:pPr>
      <w:r w:rsidRPr="00283806">
        <w:rPr>
          <w:w w:val="105"/>
        </w:rPr>
        <w:t>Further,</w:t>
      </w:r>
      <w:r w:rsidRPr="00283806">
        <w:rPr>
          <w:spacing w:val="13"/>
          <w:w w:val="105"/>
        </w:rPr>
        <w:t xml:space="preserve"> </w:t>
      </w:r>
      <w:r w:rsidRPr="00283806">
        <w:rPr>
          <w:w w:val="105"/>
        </w:rPr>
        <w:t>establishing</w:t>
      </w:r>
      <w:r w:rsidRPr="00283806">
        <w:rPr>
          <w:spacing w:val="14"/>
          <w:w w:val="105"/>
        </w:rPr>
        <w:t xml:space="preserve"> </w:t>
      </w:r>
      <w:r w:rsidRPr="00283806">
        <w:rPr>
          <w:w w:val="105"/>
        </w:rPr>
        <w:t>such</w:t>
      </w:r>
      <w:r w:rsidRPr="00283806">
        <w:rPr>
          <w:spacing w:val="14"/>
          <w:w w:val="105"/>
        </w:rPr>
        <w:t xml:space="preserve"> </w:t>
      </w:r>
      <w:r w:rsidRPr="00283806">
        <w:rPr>
          <w:w w:val="105"/>
        </w:rPr>
        <w:t>a</w:t>
      </w:r>
      <w:r w:rsidRPr="00283806">
        <w:rPr>
          <w:spacing w:val="14"/>
          <w:w w:val="105"/>
        </w:rPr>
        <w:t xml:space="preserve"> </w:t>
      </w:r>
      <w:r w:rsidRPr="00283806">
        <w:rPr>
          <w:spacing w:val="-2"/>
          <w:w w:val="105"/>
        </w:rPr>
        <w:t>standard</w:t>
      </w:r>
    </w:p>
    <w:p w14:paraId="7963CB9B" w14:textId="77777777" w:rsidR="00D67C1E" w:rsidRPr="00283806" w:rsidRDefault="001265CA">
      <w:pPr>
        <w:pStyle w:val="BodyText"/>
        <w:spacing w:before="4" w:line="225" w:lineRule="auto"/>
        <w:ind w:right="8"/>
      </w:pPr>
      <w:r w:rsidRPr="00283806">
        <w:rPr>
          <w:w w:val="105"/>
        </w:rPr>
        <w:t>helps to ensure that reclaimed HFCs are</w:t>
      </w:r>
      <w:r w:rsidRPr="00283806">
        <w:rPr>
          <w:spacing w:val="40"/>
          <w:w w:val="105"/>
        </w:rPr>
        <w:t xml:space="preserve"> </w:t>
      </w:r>
      <w:r w:rsidRPr="00283806">
        <w:rPr>
          <w:w w:val="105"/>
        </w:rPr>
        <w:t>a consistent product on the market. The Agency understands that reclaimers</w:t>
      </w:r>
      <w:r w:rsidRPr="00283806">
        <w:rPr>
          <w:spacing w:val="80"/>
          <w:w w:val="105"/>
        </w:rPr>
        <w:t xml:space="preserve"> </w:t>
      </w:r>
      <w:r w:rsidRPr="00283806">
        <w:rPr>
          <w:w w:val="105"/>
        </w:rPr>
        <w:t>have varying types of reclamation technology; however, the Agency does not agree that reclamation primarily by blending is an effective method to</w:t>
      </w:r>
      <w:r w:rsidRPr="00283806">
        <w:rPr>
          <w:spacing w:val="40"/>
          <w:w w:val="105"/>
        </w:rPr>
        <w:t xml:space="preserve"> </w:t>
      </w:r>
      <w:r w:rsidRPr="00283806">
        <w:rPr>
          <w:w w:val="105"/>
        </w:rPr>
        <w:t>achieve the purposes identified in subsection (h) and in particular maximizing reclamation. As noted by some comments, such a practice can result in refrigerants that contain relatively small amounts of reclaimed material being sold or marketed as reclaimed. Moreover, the Agency is not precluding the practice of blending</w:t>
      </w:r>
      <w:r w:rsidRPr="00283806">
        <w:rPr>
          <w:spacing w:val="80"/>
          <w:w w:val="150"/>
        </w:rPr>
        <w:t xml:space="preserve"> </w:t>
      </w:r>
      <w:r w:rsidRPr="00283806">
        <w:rPr>
          <w:w w:val="105"/>
        </w:rPr>
        <w:t>itself, such that the 15 percent limit, by weight, of virgin HFCs is not exceeded. Highly pure reclaimed HFCs and up to</w:t>
      </w:r>
      <w:r w:rsidRPr="00283806">
        <w:rPr>
          <w:spacing w:val="80"/>
          <w:w w:val="105"/>
        </w:rPr>
        <w:t xml:space="preserve"> </w:t>
      </w:r>
      <w:r w:rsidRPr="00283806">
        <w:rPr>
          <w:w w:val="105"/>
        </w:rPr>
        <w:t>15 percent virgin HFCs can be used for such purposes. The definition of reclaim/reclamation</w:t>
      </w:r>
      <w:r w:rsidRPr="00283806">
        <w:rPr>
          <w:spacing w:val="-6"/>
          <w:w w:val="105"/>
        </w:rPr>
        <w:t xml:space="preserve"> </w:t>
      </w:r>
      <w:r w:rsidRPr="00283806">
        <w:rPr>
          <w:w w:val="105"/>
        </w:rPr>
        <w:t>in</w:t>
      </w:r>
      <w:r w:rsidRPr="00283806">
        <w:rPr>
          <w:spacing w:val="-6"/>
          <w:w w:val="105"/>
        </w:rPr>
        <w:t xml:space="preserve"> </w:t>
      </w:r>
      <w:r w:rsidRPr="00283806">
        <w:rPr>
          <w:w w:val="105"/>
        </w:rPr>
        <w:t>subsection</w:t>
      </w:r>
      <w:r w:rsidRPr="00283806">
        <w:rPr>
          <w:spacing w:val="-6"/>
          <w:w w:val="105"/>
        </w:rPr>
        <w:t xml:space="preserve"> </w:t>
      </w:r>
      <w:r w:rsidRPr="00283806">
        <w:rPr>
          <w:w w:val="105"/>
        </w:rPr>
        <w:t>(b)(9) of the AIM Act states that reclamation involves the ‘‘reprocessing of a</w:t>
      </w:r>
      <w:r w:rsidRPr="00283806">
        <w:rPr>
          <w:spacing w:val="80"/>
          <w:w w:val="105"/>
        </w:rPr>
        <w:t xml:space="preserve"> </w:t>
      </w:r>
      <w:r w:rsidRPr="00283806">
        <w:rPr>
          <w:w w:val="105"/>
        </w:rPr>
        <w:t>recovered regulated substance.’’ Consistent with this definition,</w:t>
      </w:r>
      <w:r w:rsidRPr="00283806">
        <w:rPr>
          <w:spacing w:val="80"/>
          <w:w w:val="105"/>
        </w:rPr>
        <w:t xml:space="preserve"> </w:t>
      </w:r>
      <w:r w:rsidRPr="00283806">
        <w:rPr>
          <w:w w:val="105"/>
        </w:rPr>
        <w:t>recovered regulated substances must undergo some degree of reprocessing to be reclaimed, and the Agency does not view achieving the required purity standards by solely blending with virgin HFCs to constitute reprocessing the recovered materials. Thus, blending</w:t>
      </w:r>
      <w:r w:rsidRPr="00283806">
        <w:rPr>
          <w:spacing w:val="80"/>
          <w:w w:val="105"/>
        </w:rPr>
        <w:t xml:space="preserve"> </w:t>
      </w:r>
      <w:r w:rsidRPr="00283806">
        <w:rPr>
          <w:w w:val="105"/>
        </w:rPr>
        <w:t>with virgin HFCs would be a practice performed</w:t>
      </w:r>
      <w:r w:rsidRPr="00283806">
        <w:rPr>
          <w:spacing w:val="-2"/>
          <w:w w:val="105"/>
        </w:rPr>
        <w:t xml:space="preserve"> </w:t>
      </w:r>
      <w:r w:rsidRPr="00283806">
        <w:rPr>
          <w:w w:val="105"/>
        </w:rPr>
        <w:t>together</w:t>
      </w:r>
      <w:r w:rsidRPr="00283806">
        <w:rPr>
          <w:spacing w:val="-2"/>
          <w:w w:val="105"/>
        </w:rPr>
        <w:t xml:space="preserve"> </w:t>
      </w:r>
      <w:r w:rsidRPr="00283806">
        <w:rPr>
          <w:w w:val="105"/>
        </w:rPr>
        <w:t>with</w:t>
      </w:r>
      <w:r w:rsidRPr="00283806">
        <w:rPr>
          <w:spacing w:val="-2"/>
          <w:w w:val="105"/>
        </w:rPr>
        <w:t xml:space="preserve"> </w:t>
      </w:r>
      <w:r w:rsidRPr="00283806">
        <w:rPr>
          <w:w w:val="105"/>
        </w:rPr>
        <w:t>other</w:t>
      </w:r>
      <w:r w:rsidRPr="00283806">
        <w:rPr>
          <w:spacing w:val="-2"/>
          <w:w w:val="105"/>
        </w:rPr>
        <w:t xml:space="preserve"> </w:t>
      </w:r>
      <w:r w:rsidRPr="00283806">
        <w:rPr>
          <w:w w:val="105"/>
        </w:rPr>
        <w:t>measures to reprocess recovered HFCs to achieve the required purity standards.</w:t>
      </w:r>
    </w:p>
    <w:p w14:paraId="0486F398" w14:textId="77777777" w:rsidR="00D67C1E" w:rsidRPr="00283806" w:rsidRDefault="001265CA">
      <w:pPr>
        <w:pStyle w:val="BodyText"/>
        <w:spacing w:line="181" w:lineRule="exact"/>
      </w:pPr>
      <w:r w:rsidRPr="00283806">
        <w:rPr>
          <w:w w:val="105"/>
        </w:rPr>
        <w:t>Furthermore,</w:t>
      </w:r>
      <w:r w:rsidRPr="00283806">
        <w:rPr>
          <w:spacing w:val="16"/>
          <w:w w:val="105"/>
        </w:rPr>
        <w:t xml:space="preserve"> </w:t>
      </w:r>
      <w:r w:rsidRPr="00283806">
        <w:rPr>
          <w:w w:val="105"/>
        </w:rPr>
        <w:t>placing</w:t>
      </w:r>
      <w:r w:rsidRPr="00283806">
        <w:rPr>
          <w:spacing w:val="16"/>
          <w:w w:val="105"/>
        </w:rPr>
        <w:t xml:space="preserve"> </w:t>
      </w:r>
      <w:r w:rsidRPr="00283806">
        <w:rPr>
          <w:w w:val="105"/>
        </w:rPr>
        <w:t>a</w:t>
      </w:r>
      <w:r w:rsidRPr="00283806">
        <w:rPr>
          <w:spacing w:val="16"/>
          <w:w w:val="105"/>
        </w:rPr>
        <w:t xml:space="preserve"> </w:t>
      </w:r>
      <w:r w:rsidRPr="00283806">
        <w:rPr>
          <w:w w:val="105"/>
        </w:rPr>
        <w:t>limit</w:t>
      </w:r>
      <w:r w:rsidRPr="00283806">
        <w:rPr>
          <w:spacing w:val="16"/>
          <w:w w:val="105"/>
        </w:rPr>
        <w:t xml:space="preserve"> </w:t>
      </w:r>
      <w:r w:rsidRPr="00283806">
        <w:rPr>
          <w:w w:val="105"/>
        </w:rPr>
        <w:t>on</w:t>
      </w:r>
      <w:r w:rsidRPr="00283806">
        <w:rPr>
          <w:spacing w:val="16"/>
          <w:w w:val="105"/>
        </w:rPr>
        <w:t xml:space="preserve"> </w:t>
      </w:r>
      <w:r w:rsidRPr="00283806">
        <w:rPr>
          <w:spacing w:val="-5"/>
          <w:w w:val="105"/>
        </w:rPr>
        <w:t>the</w:t>
      </w:r>
    </w:p>
    <w:p w14:paraId="483BD27A" w14:textId="77777777" w:rsidR="00D67C1E" w:rsidRPr="00283806" w:rsidRDefault="001265CA">
      <w:pPr>
        <w:pStyle w:val="BodyText"/>
        <w:spacing w:before="3" w:line="225" w:lineRule="auto"/>
        <w:ind w:right="38"/>
      </w:pPr>
      <w:r w:rsidRPr="00283806">
        <w:rPr>
          <w:w w:val="105"/>
        </w:rPr>
        <w:t>maximum allowable virgin HFCs in reclaimed HFCs ensures a consistent understanding among the regulated community of what reclaimed HFCs are.</w:t>
      </w:r>
    </w:p>
    <w:p w14:paraId="3A067E5E" w14:textId="77777777" w:rsidR="00D67C1E" w:rsidRPr="00283806" w:rsidRDefault="001265CA">
      <w:pPr>
        <w:pStyle w:val="BodyText"/>
        <w:spacing w:line="179" w:lineRule="exact"/>
        <w:ind w:left="340"/>
      </w:pPr>
      <w:r w:rsidRPr="00283806">
        <w:rPr>
          <w:w w:val="105"/>
        </w:rPr>
        <w:t>EPA</w:t>
      </w:r>
      <w:r w:rsidRPr="00283806">
        <w:rPr>
          <w:spacing w:val="15"/>
          <w:w w:val="105"/>
        </w:rPr>
        <w:t xml:space="preserve"> </w:t>
      </w:r>
      <w:r w:rsidRPr="00283806">
        <w:rPr>
          <w:w w:val="105"/>
        </w:rPr>
        <w:t>acknowledges</w:t>
      </w:r>
      <w:r w:rsidRPr="00283806">
        <w:rPr>
          <w:spacing w:val="15"/>
          <w:w w:val="105"/>
        </w:rPr>
        <w:t xml:space="preserve"> </w:t>
      </w:r>
      <w:r w:rsidRPr="00283806">
        <w:rPr>
          <w:w w:val="105"/>
        </w:rPr>
        <w:t>that</w:t>
      </w:r>
      <w:r w:rsidRPr="00283806">
        <w:rPr>
          <w:spacing w:val="16"/>
          <w:w w:val="105"/>
        </w:rPr>
        <w:t xml:space="preserve"> </w:t>
      </w:r>
      <w:r w:rsidRPr="00283806">
        <w:rPr>
          <w:w w:val="105"/>
        </w:rPr>
        <w:t>it</w:t>
      </w:r>
      <w:r w:rsidRPr="00283806">
        <w:rPr>
          <w:spacing w:val="15"/>
          <w:w w:val="105"/>
        </w:rPr>
        <w:t xml:space="preserve"> </w:t>
      </w:r>
      <w:r w:rsidRPr="00283806">
        <w:rPr>
          <w:spacing w:val="-2"/>
          <w:w w:val="105"/>
        </w:rPr>
        <w:t>referenced</w:t>
      </w:r>
    </w:p>
    <w:p w14:paraId="262AB324" w14:textId="77777777" w:rsidR="00D67C1E" w:rsidRPr="00283806" w:rsidRDefault="001265CA">
      <w:pPr>
        <w:pStyle w:val="BodyText"/>
        <w:spacing w:before="4" w:line="225" w:lineRule="auto"/>
        <w:ind w:right="5"/>
      </w:pPr>
      <w:r w:rsidRPr="00283806">
        <w:rPr>
          <w:w w:val="105"/>
        </w:rPr>
        <w:t>the Refrigerant Recovery, Reclaim, and Reuse Requirements (CARB Program) or R4 Program while proposing a limit on virgin</w:t>
      </w:r>
      <w:r w:rsidRPr="00283806">
        <w:rPr>
          <w:spacing w:val="37"/>
          <w:w w:val="105"/>
        </w:rPr>
        <w:t xml:space="preserve"> </w:t>
      </w:r>
      <w:r w:rsidRPr="00283806">
        <w:rPr>
          <w:w w:val="105"/>
        </w:rPr>
        <w:t>HFCs</w:t>
      </w:r>
      <w:r w:rsidRPr="00283806">
        <w:rPr>
          <w:spacing w:val="37"/>
          <w:w w:val="105"/>
        </w:rPr>
        <w:t xml:space="preserve"> </w:t>
      </w:r>
      <w:r w:rsidRPr="00283806">
        <w:rPr>
          <w:w w:val="105"/>
        </w:rPr>
        <w:t>in</w:t>
      </w:r>
      <w:r w:rsidRPr="00283806">
        <w:rPr>
          <w:spacing w:val="37"/>
          <w:w w:val="105"/>
        </w:rPr>
        <w:t xml:space="preserve"> </w:t>
      </w:r>
      <w:r w:rsidRPr="00283806">
        <w:rPr>
          <w:w w:val="105"/>
        </w:rPr>
        <w:t>reclaimed</w:t>
      </w:r>
      <w:r w:rsidRPr="00283806">
        <w:rPr>
          <w:spacing w:val="37"/>
          <w:w w:val="105"/>
        </w:rPr>
        <w:t xml:space="preserve"> </w:t>
      </w:r>
      <w:r w:rsidRPr="00283806">
        <w:rPr>
          <w:w w:val="105"/>
        </w:rPr>
        <w:t>HFCs,</w:t>
      </w:r>
      <w:r w:rsidRPr="00283806">
        <w:rPr>
          <w:spacing w:val="37"/>
          <w:w w:val="105"/>
        </w:rPr>
        <w:t xml:space="preserve"> </w:t>
      </w:r>
      <w:r w:rsidRPr="00283806">
        <w:rPr>
          <w:w w:val="105"/>
        </w:rPr>
        <w:t>as</w:t>
      </w:r>
      <w:r w:rsidRPr="00283806">
        <w:rPr>
          <w:spacing w:val="37"/>
          <w:w w:val="105"/>
        </w:rPr>
        <w:t xml:space="preserve"> </w:t>
      </w:r>
      <w:r w:rsidRPr="00283806">
        <w:rPr>
          <w:w w:val="105"/>
        </w:rPr>
        <w:t>well as other applicable information. As the commenters state, the limit on virgin HFCs</w:t>
      </w:r>
      <w:r w:rsidRPr="00283806">
        <w:rPr>
          <w:spacing w:val="40"/>
          <w:w w:val="105"/>
        </w:rPr>
        <w:t xml:space="preserve"> </w:t>
      </w:r>
      <w:r w:rsidRPr="00283806">
        <w:rPr>
          <w:w w:val="105"/>
        </w:rPr>
        <w:t>established</w:t>
      </w:r>
      <w:r w:rsidRPr="00283806">
        <w:rPr>
          <w:spacing w:val="40"/>
          <w:w w:val="105"/>
        </w:rPr>
        <w:t xml:space="preserve"> </w:t>
      </w:r>
      <w:r w:rsidRPr="00283806">
        <w:rPr>
          <w:w w:val="105"/>
        </w:rPr>
        <w:t>by</w:t>
      </w:r>
      <w:r w:rsidRPr="00283806">
        <w:rPr>
          <w:spacing w:val="40"/>
          <w:w w:val="105"/>
        </w:rPr>
        <w:t xml:space="preserve"> </w:t>
      </w:r>
      <w:r w:rsidRPr="00283806">
        <w:rPr>
          <w:w w:val="105"/>
        </w:rPr>
        <w:t>CARB</w:t>
      </w:r>
      <w:r w:rsidRPr="00283806">
        <w:rPr>
          <w:spacing w:val="40"/>
          <w:w w:val="105"/>
        </w:rPr>
        <w:t xml:space="preserve"> </w:t>
      </w:r>
      <w:r w:rsidRPr="00283806">
        <w:rPr>
          <w:w w:val="105"/>
        </w:rPr>
        <w:t>for</w:t>
      </w:r>
      <w:r w:rsidRPr="00283806">
        <w:rPr>
          <w:spacing w:val="40"/>
          <w:w w:val="105"/>
        </w:rPr>
        <w:t xml:space="preserve"> </w:t>
      </w:r>
      <w:r w:rsidRPr="00283806">
        <w:rPr>
          <w:w w:val="105"/>
        </w:rPr>
        <w:t xml:space="preserve">California </w:t>
      </w:r>
      <w:proofErr w:type="gramStart"/>
      <w:r w:rsidRPr="00283806">
        <w:rPr>
          <w:w w:val="105"/>
        </w:rPr>
        <w:t>were</w:t>
      </w:r>
      <w:proofErr w:type="gramEnd"/>
      <w:r w:rsidRPr="00283806">
        <w:rPr>
          <w:w w:val="105"/>
        </w:rPr>
        <w:t xml:space="preserve"> developed after consultation with industry. EPA proposed, requested </w:t>
      </w:r>
      <w:proofErr w:type="gramStart"/>
      <w:r w:rsidRPr="00283806">
        <w:rPr>
          <w:w w:val="105"/>
        </w:rPr>
        <w:t>comment</w:t>
      </w:r>
      <w:proofErr w:type="gramEnd"/>
      <w:r w:rsidRPr="00283806">
        <w:rPr>
          <w:w w:val="105"/>
        </w:rPr>
        <w:t xml:space="preserve"> on, and is finalizing a broader program that was informed, in part, by the experience in California. EPA recognizes that the R4 Program in California was more limited</w:t>
      </w:r>
      <w:r w:rsidRPr="00283806">
        <w:rPr>
          <w:spacing w:val="40"/>
          <w:w w:val="105"/>
        </w:rPr>
        <w:t xml:space="preserve"> </w:t>
      </w:r>
      <w:r w:rsidRPr="00283806">
        <w:rPr>
          <w:w w:val="105"/>
        </w:rPr>
        <w:t>in scope to focus on reclaimed R–410A,</w:t>
      </w:r>
    </w:p>
    <w:p w14:paraId="4F27417F" w14:textId="77777777" w:rsidR="00D67C1E" w:rsidRPr="00283806" w:rsidRDefault="001265CA">
      <w:pPr>
        <w:pStyle w:val="BodyText"/>
        <w:spacing w:before="134" w:line="228" w:lineRule="auto"/>
        <w:ind w:left="153" w:right="64"/>
      </w:pPr>
      <w:r w:rsidRPr="00283806">
        <w:br w:type="column"/>
      </w:r>
      <w:r w:rsidRPr="00283806">
        <w:rPr>
          <w:w w:val="105"/>
        </w:rPr>
        <w:t>and that industry input on the State program</w:t>
      </w:r>
      <w:r w:rsidRPr="00283806">
        <w:rPr>
          <w:spacing w:val="40"/>
          <w:w w:val="105"/>
        </w:rPr>
        <w:t xml:space="preserve"> </w:t>
      </w:r>
      <w:r w:rsidRPr="00283806">
        <w:rPr>
          <w:w w:val="105"/>
        </w:rPr>
        <w:t>was</w:t>
      </w:r>
      <w:r w:rsidRPr="00283806">
        <w:rPr>
          <w:spacing w:val="40"/>
          <w:w w:val="105"/>
        </w:rPr>
        <w:t xml:space="preserve"> </w:t>
      </w:r>
      <w:r w:rsidRPr="00283806">
        <w:rPr>
          <w:w w:val="105"/>
        </w:rPr>
        <w:t>largely</w:t>
      </w:r>
      <w:r w:rsidRPr="00283806">
        <w:rPr>
          <w:spacing w:val="40"/>
          <w:w w:val="105"/>
        </w:rPr>
        <w:t xml:space="preserve"> </w:t>
      </w:r>
      <w:r w:rsidRPr="00283806">
        <w:rPr>
          <w:w w:val="105"/>
        </w:rPr>
        <w:t>focused</w:t>
      </w:r>
      <w:r w:rsidRPr="00283806">
        <w:rPr>
          <w:spacing w:val="40"/>
          <w:w w:val="105"/>
        </w:rPr>
        <w:t xml:space="preserve"> </w:t>
      </w:r>
      <w:r w:rsidRPr="00283806">
        <w:rPr>
          <w:w w:val="105"/>
        </w:rPr>
        <w:t>on</w:t>
      </w:r>
      <w:r w:rsidRPr="00283806">
        <w:rPr>
          <w:spacing w:val="40"/>
          <w:w w:val="105"/>
        </w:rPr>
        <w:t xml:space="preserve"> </w:t>
      </w:r>
      <w:r w:rsidRPr="00283806">
        <w:rPr>
          <w:w w:val="105"/>
        </w:rPr>
        <w:t>this. The</w:t>
      </w:r>
      <w:r w:rsidRPr="00283806">
        <w:rPr>
          <w:spacing w:val="40"/>
          <w:w w:val="105"/>
        </w:rPr>
        <w:t xml:space="preserve"> </w:t>
      </w:r>
      <w:r w:rsidRPr="00283806">
        <w:rPr>
          <w:w w:val="105"/>
        </w:rPr>
        <w:t>Agency</w:t>
      </w:r>
      <w:r w:rsidRPr="00283806">
        <w:rPr>
          <w:spacing w:val="40"/>
          <w:w w:val="105"/>
        </w:rPr>
        <w:t xml:space="preserve"> </w:t>
      </w:r>
      <w:r w:rsidRPr="00283806">
        <w:rPr>
          <w:w w:val="105"/>
        </w:rPr>
        <w:t>is</w:t>
      </w:r>
      <w:r w:rsidRPr="00283806">
        <w:rPr>
          <w:spacing w:val="40"/>
          <w:w w:val="105"/>
        </w:rPr>
        <w:t xml:space="preserve"> </w:t>
      </w:r>
      <w:r w:rsidRPr="00283806">
        <w:rPr>
          <w:w w:val="105"/>
        </w:rPr>
        <w:t>finalizing</w:t>
      </w:r>
      <w:r w:rsidRPr="00283806">
        <w:rPr>
          <w:spacing w:val="40"/>
          <w:w w:val="105"/>
        </w:rPr>
        <w:t xml:space="preserve"> </w:t>
      </w:r>
      <w:r w:rsidRPr="00283806">
        <w:rPr>
          <w:w w:val="105"/>
        </w:rPr>
        <w:t>the requirement for a limit on virgin HFCs</w:t>
      </w:r>
      <w:r w:rsidRPr="00283806">
        <w:rPr>
          <w:spacing w:val="80"/>
          <w:w w:val="105"/>
        </w:rPr>
        <w:t xml:space="preserve"> </w:t>
      </w:r>
      <w:r w:rsidRPr="00283806">
        <w:rPr>
          <w:w w:val="105"/>
        </w:rPr>
        <w:t>for all reclaimed refrigerants that</w:t>
      </w:r>
      <w:r w:rsidRPr="00283806">
        <w:rPr>
          <w:spacing w:val="80"/>
          <w:w w:val="105"/>
        </w:rPr>
        <w:t xml:space="preserve"> </w:t>
      </w:r>
      <w:r w:rsidRPr="00283806">
        <w:rPr>
          <w:w w:val="105"/>
        </w:rPr>
        <w:t xml:space="preserve">contain HFCs. This requirement is </w:t>
      </w:r>
      <w:proofErr w:type="gramStart"/>
      <w:r w:rsidRPr="00283806">
        <w:rPr>
          <w:w w:val="105"/>
        </w:rPr>
        <w:t>being established</w:t>
      </w:r>
      <w:proofErr w:type="gramEnd"/>
      <w:r w:rsidRPr="00283806">
        <w:rPr>
          <w:w w:val="105"/>
        </w:rPr>
        <w:t xml:space="preserve"> to drive and promote reclamation as consistent with the purpose in subsection (h)(1) of </w:t>
      </w:r>
      <w:proofErr w:type="gramStart"/>
      <w:r w:rsidRPr="00283806">
        <w:rPr>
          <w:w w:val="105"/>
        </w:rPr>
        <w:t>maximizing of</w:t>
      </w:r>
      <w:proofErr w:type="gramEnd"/>
      <w:r w:rsidRPr="00283806">
        <w:rPr>
          <w:w w:val="105"/>
        </w:rPr>
        <w:t xml:space="preserve"> reclamation of HFCs. In response to the comment that EPA did not solicit technical input before the 15 percent proposal, EPA notes that the Agency solicited comment on</w:t>
      </w:r>
      <w:r w:rsidRPr="00283806">
        <w:rPr>
          <w:spacing w:val="40"/>
          <w:w w:val="105"/>
        </w:rPr>
        <w:t xml:space="preserve"> </w:t>
      </w:r>
      <w:r w:rsidRPr="00283806">
        <w:rPr>
          <w:w w:val="105"/>
        </w:rPr>
        <w:t>establishing different percentages for a limit on virgin HFCs (</w:t>
      </w:r>
      <w:r w:rsidRPr="00283806">
        <w:rPr>
          <w:rFonts w:ascii="Book Antiqua"/>
          <w:i/>
          <w:w w:val="105"/>
        </w:rPr>
        <w:t xml:space="preserve">e.g., </w:t>
      </w:r>
      <w:r w:rsidRPr="00283806">
        <w:rPr>
          <w:w w:val="105"/>
        </w:rPr>
        <w:t>if a lower percentage could be used). Commenters had</w:t>
      </w:r>
      <w:r w:rsidRPr="00283806">
        <w:rPr>
          <w:spacing w:val="40"/>
          <w:w w:val="105"/>
        </w:rPr>
        <w:t xml:space="preserve"> </w:t>
      </w:r>
      <w:r w:rsidRPr="00283806">
        <w:rPr>
          <w:w w:val="105"/>
        </w:rPr>
        <w:t>the</w:t>
      </w:r>
      <w:r w:rsidRPr="00283806">
        <w:rPr>
          <w:spacing w:val="40"/>
          <w:w w:val="105"/>
        </w:rPr>
        <w:t xml:space="preserve"> </w:t>
      </w:r>
      <w:r w:rsidRPr="00283806">
        <w:rPr>
          <w:w w:val="105"/>
        </w:rPr>
        <w:t>opportunity</w:t>
      </w:r>
      <w:r w:rsidRPr="00283806">
        <w:rPr>
          <w:spacing w:val="40"/>
          <w:w w:val="105"/>
        </w:rPr>
        <w:t xml:space="preserve"> </w:t>
      </w:r>
      <w:r w:rsidRPr="00283806">
        <w:rPr>
          <w:w w:val="105"/>
        </w:rPr>
        <w:t>to</w:t>
      </w:r>
      <w:r w:rsidRPr="00283806">
        <w:rPr>
          <w:spacing w:val="40"/>
          <w:w w:val="105"/>
        </w:rPr>
        <w:t xml:space="preserve"> </w:t>
      </w:r>
      <w:r w:rsidRPr="00283806">
        <w:rPr>
          <w:w w:val="105"/>
        </w:rPr>
        <w:t>provide technical information during the public comment period for this rulemaking, many commenters did so, and EPA has considered those comments in finalizing this requirement.</w:t>
      </w:r>
    </w:p>
    <w:p w14:paraId="300881AD" w14:textId="77777777" w:rsidR="00D67C1E" w:rsidRPr="00283806" w:rsidRDefault="001265CA">
      <w:pPr>
        <w:pStyle w:val="BodyText"/>
        <w:spacing w:before="19" w:line="228" w:lineRule="auto"/>
        <w:ind w:left="153" w:right="45" w:firstLine="180"/>
      </w:pPr>
      <w:r w:rsidRPr="00283806">
        <w:rPr>
          <w:w w:val="105"/>
        </w:rPr>
        <w:t>EPA disagrees with the comment stating that the 15 percent limit would require an unattainable amount of material in 2028 and disagrees with the commenter’s provided assessment for</w:t>
      </w:r>
      <w:r w:rsidRPr="00283806">
        <w:rPr>
          <w:spacing w:val="40"/>
          <w:w w:val="105"/>
        </w:rPr>
        <w:t xml:space="preserve"> </w:t>
      </w:r>
      <w:r w:rsidRPr="00283806">
        <w:rPr>
          <w:w w:val="105"/>
        </w:rPr>
        <w:t>the estimated amount of reclaimed R– 410A at four percent relative to the commenter’s estimated demand in 2022. EPA understands that the commenter made certain assumptions for the demand of R–410A based on the consumption of HFC–32; however, the Agency states that the term ‘‘consumption’’ is a specifically defined term under the AIM Act and the Allocation Framework Rule that</w:t>
      </w:r>
      <w:r w:rsidRPr="00283806">
        <w:rPr>
          <w:spacing w:val="80"/>
          <w:w w:val="105"/>
        </w:rPr>
        <w:t xml:space="preserve"> </w:t>
      </w:r>
      <w:r w:rsidRPr="00283806">
        <w:rPr>
          <w:w w:val="105"/>
        </w:rPr>
        <w:t>captures production plus imports minus exports. Thus, the commenter’s assumption</w:t>
      </w:r>
      <w:r w:rsidRPr="00283806">
        <w:rPr>
          <w:spacing w:val="35"/>
          <w:w w:val="105"/>
        </w:rPr>
        <w:t xml:space="preserve"> </w:t>
      </w:r>
      <w:r w:rsidRPr="00283806">
        <w:rPr>
          <w:w w:val="105"/>
        </w:rPr>
        <w:t>consumption</w:t>
      </w:r>
      <w:r w:rsidRPr="00283806">
        <w:rPr>
          <w:spacing w:val="35"/>
          <w:w w:val="105"/>
        </w:rPr>
        <w:t xml:space="preserve"> </w:t>
      </w:r>
      <w:r w:rsidRPr="00283806">
        <w:rPr>
          <w:w w:val="105"/>
        </w:rPr>
        <w:t>corresponds</w:t>
      </w:r>
      <w:r w:rsidRPr="00283806">
        <w:rPr>
          <w:spacing w:val="40"/>
          <w:w w:val="105"/>
        </w:rPr>
        <w:t xml:space="preserve"> </w:t>
      </w:r>
      <w:r w:rsidRPr="00283806">
        <w:rPr>
          <w:w w:val="105"/>
        </w:rPr>
        <w:t>to domestic demand and usage does not appear to account for exports. However,</w:t>
      </w:r>
      <w:r w:rsidRPr="00283806">
        <w:rPr>
          <w:spacing w:val="40"/>
          <w:w w:val="105"/>
        </w:rPr>
        <w:t xml:space="preserve"> </w:t>
      </w:r>
      <w:r w:rsidRPr="00283806">
        <w:rPr>
          <w:w w:val="105"/>
        </w:rPr>
        <w:t>it is not clear how that might affect the analysis, given the commenter also acknowledged that HFC–32 may be used in other applications assumed that demand of R–410A was based on half of the total consumption of HFC–32.</w:t>
      </w:r>
    </w:p>
    <w:p w14:paraId="516389D6" w14:textId="77777777" w:rsidR="00D67C1E" w:rsidRPr="00283806" w:rsidRDefault="001265CA">
      <w:pPr>
        <w:pStyle w:val="BodyText"/>
        <w:spacing w:line="184" w:lineRule="exact"/>
        <w:ind w:left="153"/>
      </w:pPr>
      <w:r w:rsidRPr="00283806">
        <w:rPr>
          <w:w w:val="105"/>
        </w:rPr>
        <w:t>Furthermore,</w:t>
      </w:r>
      <w:r w:rsidRPr="00283806">
        <w:rPr>
          <w:spacing w:val="15"/>
          <w:w w:val="105"/>
        </w:rPr>
        <w:t xml:space="preserve"> </w:t>
      </w:r>
      <w:r w:rsidRPr="00283806">
        <w:rPr>
          <w:w w:val="105"/>
        </w:rPr>
        <w:t>EPA</w:t>
      </w:r>
      <w:r w:rsidRPr="00283806">
        <w:rPr>
          <w:spacing w:val="16"/>
          <w:w w:val="105"/>
        </w:rPr>
        <w:t xml:space="preserve"> </w:t>
      </w:r>
      <w:r w:rsidRPr="00283806">
        <w:rPr>
          <w:w w:val="105"/>
        </w:rPr>
        <w:t>does</w:t>
      </w:r>
      <w:r w:rsidRPr="00283806">
        <w:rPr>
          <w:spacing w:val="16"/>
          <w:w w:val="105"/>
        </w:rPr>
        <w:t xml:space="preserve"> </w:t>
      </w:r>
      <w:r w:rsidRPr="00283806">
        <w:rPr>
          <w:w w:val="105"/>
        </w:rPr>
        <w:t>not</w:t>
      </w:r>
      <w:r w:rsidRPr="00283806">
        <w:rPr>
          <w:spacing w:val="16"/>
          <w:w w:val="105"/>
        </w:rPr>
        <w:t xml:space="preserve"> </w:t>
      </w:r>
      <w:r w:rsidRPr="00283806">
        <w:rPr>
          <w:w w:val="105"/>
        </w:rPr>
        <w:t>find</w:t>
      </w:r>
      <w:r w:rsidRPr="00283806">
        <w:rPr>
          <w:spacing w:val="15"/>
          <w:w w:val="105"/>
        </w:rPr>
        <w:t xml:space="preserve"> </w:t>
      </w:r>
      <w:r w:rsidRPr="00283806">
        <w:rPr>
          <w:spacing w:val="-4"/>
          <w:w w:val="105"/>
        </w:rPr>
        <w:t>this</w:t>
      </w:r>
    </w:p>
    <w:p w14:paraId="72ABB539" w14:textId="77777777" w:rsidR="00D67C1E" w:rsidRPr="00283806" w:rsidRDefault="001265CA">
      <w:pPr>
        <w:pStyle w:val="BodyText"/>
        <w:spacing w:before="3" w:line="228" w:lineRule="auto"/>
        <w:ind w:left="153" w:right="61"/>
      </w:pPr>
      <w:r w:rsidRPr="00283806">
        <w:rPr>
          <w:w w:val="105"/>
        </w:rPr>
        <w:t>analysis</w:t>
      </w:r>
      <w:r w:rsidRPr="00283806">
        <w:rPr>
          <w:spacing w:val="40"/>
          <w:w w:val="105"/>
        </w:rPr>
        <w:t xml:space="preserve"> </w:t>
      </w:r>
      <w:r w:rsidRPr="00283806">
        <w:rPr>
          <w:w w:val="105"/>
        </w:rPr>
        <w:t>relevant</w:t>
      </w:r>
      <w:r w:rsidRPr="00283806">
        <w:rPr>
          <w:spacing w:val="40"/>
          <w:w w:val="105"/>
        </w:rPr>
        <w:t xml:space="preserve"> </w:t>
      </w:r>
      <w:r w:rsidRPr="00283806">
        <w:rPr>
          <w:w w:val="105"/>
        </w:rPr>
        <w:t>to</w:t>
      </w:r>
      <w:r w:rsidRPr="00283806">
        <w:rPr>
          <w:spacing w:val="40"/>
          <w:w w:val="105"/>
        </w:rPr>
        <w:t xml:space="preserve"> </w:t>
      </w:r>
      <w:r w:rsidRPr="00283806">
        <w:rPr>
          <w:w w:val="105"/>
        </w:rPr>
        <w:t>the</w:t>
      </w:r>
      <w:r w:rsidRPr="00283806">
        <w:rPr>
          <w:spacing w:val="40"/>
          <w:w w:val="105"/>
        </w:rPr>
        <w:t xml:space="preserve"> </w:t>
      </w:r>
      <w:r w:rsidRPr="00283806">
        <w:rPr>
          <w:w w:val="105"/>
        </w:rPr>
        <w:t>provisions</w:t>
      </w:r>
      <w:r w:rsidRPr="00283806">
        <w:rPr>
          <w:spacing w:val="40"/>
          <w:w w:val="105"/>
        </w:rPr>
        <w:t xml:space="preserve"> </w:t>
      </w:r>
      <w:r w:rsidRPr="00283806">
        <w:rPr>
          <w:w w:val="105"/>
        </w:rPr>
        <w:t>in this</w:t>
      </w:r>
      <w:r w:rsidRPr="00283806">
        <w:rPr>
          <w:spacing w:val="38"/>
          <w:w w:val="105"/>
        </w:rPr>
        <w:t xml:space="preserve"> </w:t>
      </w:r>
      <w:r w:rsidRPr="00283806">
        <w:rPr>
          <w:w w:val="105"/>
        </w:rPr>
        <w:t>final</w:t>
      </w:r>
      <w:r w:rsidRPr="00283806">
        <w:rPr>
          <w:spacing w:val="38"/>
          <w:w w:val="105"/>
        </w:rPr>
        <w:t xml:space="preserve"> </w:t>
      </w:r>
      <w:r w:rsidRPr="00283806">
        <w:rPr>
          <w:w w:val="105"/>
        </w:rPr>
        <w:t>rule,</w:t>
      </w:r>
      <w:r w:rsidRPr="00283806">
        <w:rPr>
          <w:spacing w:val="38"/>
          <w:w w:val="105"/>
        </w:rPr>
        <w:t xml:space="preserve"> </w:t>
      </w:r>
      <w:r w:rsidRPr="00283806">
        <w:rPr>
          <w:w w:val="105"/>
        </w:rPr>
        <w:t>as</w:t>
      </w:r>
      <w:r w:rsidRPr="00283806">
        <w:rPr>
          <w:spacing w:val="38"/>
          <w:w w:val="105"/>
        </w:rPr>
        <w:t xml:space="preserve"> </w:t>
      </w:r>
      <w:r w:rsidRPr="00283806">
        <w:rPr>
          <w:w w:val="105"/>
        </w:rPr>
        <w:t>the</w:t>
      </w:r>
      <w:r w:rsidRPr="00283806">
        <w:rPr>
          <w:spacing w:val="38"/>
          <w:w w:val="105"/>
        </w:rPr>
        <w:t xml:space="preserve"> </w:t>
      </w:r>
      <w:r w:rsidRPr="00283806">
        <w:rPr>
          <w:w w:val="105"/>
        </w:rPr>
        <w:t>analysis</w:t>
      </w:r>
      <w:r w:rsidRPr="00283806">
        <w:rPr>
          <w:spacing w:val="38"/>
          <w:w w:val="105"/>
        </w:rPr>
        <w:t xml:space="preserve"> </w:t>
      </w:r>
      <w:r w:rsidRPr="00283806">
        <w:rPr>
          <w:w w:val="105"/>
        </w:rPr>
        <w:t>is</w:t>
      </w:r>
      <w:r w:rsidRPr="00283806">
        <w:rPr>
          <w:spacing w:val="38"/>
          <w:w w:val="105"/>
        </w:rPr>
        <w:t xml:space="preserve"> </w:t>
      </w:r>
      <w:r w:rsidRPr="00283806">
        <w:rPr>
          <w:w w:val="105"/>
        </w:rPr>
        <w:t>based on comparing reclamation totals to estimated demand of R–410A in 2022. EPA is finalizing requirements for the servicing and/or repair of refrigerant- containing equipment to be done with reclaimed HFCs in the supermarket systems, refrigerated transport, and automatic commercial ice makers subsectors beginning on January 1,</w:t>
      </w:r>
      <w:r w:rsidRPr="00283806">
        <w:rPr>
          <w:spacing w:val="80"/>
          <w:w w:val="150"/>
        </w:rPr>
        <w:t xml:space="preserve"> </w:t>
      </w:r>
      <w:r w:rsidRPr="00283806">
        <w:rPr>
          <w:w w:val="105"/>
        </w:rPr>
        <w:t xml:space="preserve">2029. In a comment response in section IV.E.2, EPA discusses estimated demand </w:t>
      </w:r>
      <w:proofErr w:type="gramStart"/>
      <w:r w:rsidRPr="00283806">
        <w:rPr>
          <w:w w:val="105"/>
        </w:rPr>
        <w:t>of</w:t>
      </w:r>
      <w:proofErr w:type="gramEnd"/>
      <w:r w:rsidRPr="00283806">
        <w:rPr>
          <w:w w:val="105"/>
        </w:rPr>
        <w:t xml:space="preserve"> reclaimed HFCs for servicing and/or repair of refrigerant-containing equipment in these subsectors and provides additional details in the</w:t>
      </w:r>
    </w:p>
    <w:p w14:paraId="40544DC8" w14:textId="77777777" w:rsidR="00D67C1E" w:rsidRPr="00283806" w:rsidRDefault="001265CA">
      <w:pPr>
        <w:pStyle w:val="BodyText"/>
        <w:spacing w:before="133" w:line="228" w:lineRule="auto"/>
        <w:ind w:left="143" w:right="173"/>
      </w:pPr>
      <w:r w:rsidRPr="00283806">
        <w:br w:type="column"/>
      </w:r>
      <w:r w:rsidRPr="00283806">
        <w:rPr>
          <w:w w:val="105"/>
        </w:rPr>
        <w:t>Economic Impact and Benefits TSD in</w:t>
      </w:r>
      <w:r w:rsidRPr="00283806">
        <w:rPr>
          <w:spacing w:val="40"/>
          <w:w w:val="105"/>
        </w:rPr>
        <w:t xml:space="preserve"> </w:t>
      </w:r>
      <w:r w:rsidRPr="00283806">
        <w:rPr>
          <w:w w:val="105"/>
        </w:rPr>
        <w:t>the docket of this rulemaking. As noted</w:t>
      </w:r>
      <w:r w:rsidRPr="00283806">
        <w:rPr>
          <w:spacing w:val="40"/>
          <w:w w:val="105"/>
        </w:rPr>
        <w:t xml:space="preserve"> </w:t>
      </w:r>
      <w:r w:rsidRPr="00283806">
        <w:rPr>
          <w:w w:val="105"/>
        </w:rPr>
        <w:t>in that comment response, EPA anticipates that the supply of reclaimed HFCs will increase in the coming years and be sufficient to meet the demand associated with the provisions in this rule. EPA estimates the total demand of R–410A for servicing and/or repair of refrigerant-containing equipment at approximately 134,000 pounds (61,000 kg). This is well below the total R–410A reclaimed in 2022, even when considering the reclamation standard to limit the amount of virgin HFCs in reclaimed refrigerants at 15 percent, by weight. As explained in other comment responses in section IV.E.2, EPA anticipates that recovered or reclaimed R–410A can be a useful source for reclaimed HFC–32 and HFC–125 (</w:t>
      </w:r>
      <w:r w:rsidRPr="00283806">
        <w:rPr>
          <w:rFonts w:ascii="Book Antiqua" w:hAnsi="Book Antiqua"/>
          <w:i/>
          <w:w w:val="105"/>
        </w:rPr>
        <w:t>i.e.,</w:t>
      </w:r>
      <w:r w:rsidRPr="00283806">
        <w:rPr>
          <w:rFonts w:ascii="Book Antiqua" w:hAnsi="Book Antiqua"/>
          <w:i/>
          <w:spacing w:val="40"/>
          <w:w w:val="105"/>
        </w:rPr>
        <w:t xml:space="preserve"> </w:t>
      </w:r>
      <w:r w:rsidRPr="00283806">
        <w:rPr>
          <w:w w:val="105"/>
        </w:rPr>
        <w:t xml:space="preserve">the components that make up the blend </w:t>
      </w:r>
      <w:r w:rsidRPr="00283806">
        <w:rPr>
          <w:spacing w:val="-2"/>
          <w:w w:val="105"/>
        </w:rPr>
        <w:t>R–410A).</w:t>
      </w:r>
    </w:p>
    <w:p w14:paraId="7D38D814" w14:textId="77777777" w:rsidR="00D67C1E" w:rsidRPr="00283806" w:rsidRDefault="001265CA">
      <w:pPr>
        <w:pStyle w:val="BodyText"/>
        <w:spacing w:before="18" w:line="228" w:lineRule="auto"/>
        <w:ind w:left="143" w:right="131" w:firstLine="180"/>
      </w:pPr>
      <w:r w:rsidRPr="00283806">
        <w:rPr>
          <w:rFonts w:ascii="Book Antiqua" w:hAnsi="Book Antiqua"/>
          <w:i/>
          <w:w w:val="105"/>
        </w:rPr>
        <w:t xml:space="preserve">Comment: </w:t>
      </w:r>
      <w:r w:rsidRPr="00283806">
        <w:rPr>
          <w:w w:val="105"/>
        </w:rPr>
        <w:t>Another commenter stated that EPA failed to consider areas where the proposed regulations duplicate existing regulations or less burdensome and costly alternatives, claimed that</w:t>
      </w:r>
      <w:r w:rsidRPr="00283806">
        <w:rPr>
          <w:spacing w:val="40"/>
          <w:w w:val="105"/>
        </w:rPr>
        <w:t xml:space="preserve"> </w:t>
      </w:r>
      <w:r w:rsidRPr="00283806">
        <w:rPr>
          <w:w w:val="105"/>
        </w:rPr>
        <w:t>there are less costly and less</w:t>
      </w:r>
      <w:r w:rsidRPr="00283806">
        <w:rPr>
          <w:spacing w:val="40"/>
          <w:w w:val="105"/>
        </w:rPr>
        <w:t xml:space="preserve"> </w:t>
      </w:r>
      <w:r w:rsidRPr="00283806">
        <w:rPr>
          <w:w w:val="105"/>
        </w:rPr>
        <w:t>burdensome regulatory alternatives for EPA to continue to implement Congressional directives under the AIM Act, and claimed that EPA’s cited objectives in the proposed rule have already been achieved by an aggressive HFC phasedown schedule. The commenter stated that EPA estimates</w:t>
      </w:r>
      <w:r w:rsidRPr="00283806">
        <w:rPr>
          <w:spacing w:val="80"/>
          <w:w w:val="105"/>
        </w:rPr>
        <w:t xml:space="preserve"> </w:t>
      </w:r>
      <w:r w:rsidRPr="00283806">
        <w:rPr>
          <w:w w:val="105"/>
        </w:rPr>
        <w:t>the overall compliance costs of the proposed rule to be well in excess of $3 billion, and stated that under the Unfunded Mandates Reform Act</w:t>
      </w:r>
      <w:r w:rsidRPr="00283806">
        <w:rPr>
          <w:spacing w:val="80"/>
          <w:w w:val="105"/>
        </w:rPr>
        <w:t xml:space="preserve"> </w:t>
      </w:r>
      <w:r w:rsidRPr="00283806">
        <w:rPr>
          <w:w w:val="105"/>
        </w:rPr>
        <w:t>(UMRA), before promulgating any rule that may result in expenditures, in the aggregate, of $100 million or more, an agency must ‘‘identify and consider a reasonable number of regulatory alternatives and from those alternatives select the least costly, most cost-</w:t>
      </w:r>
      <w:r w:rsidRPr="00283806">
        <w:rPr>
          <w:spacing w:val="40"/>
          <w:w w:val="105"/>
        </w:rPr>
        <w:t xml:space="preserve"> </w:t>
      </w:r>
      <w:r w:rsidRPr="00283806">
        <w:rPr>
          <w:w w:val="105"/>
        </w:rPr>
        <w:t>effective</w:t>
      </w:r>
      <w:r w:rsidRPr="00283806">
        <w:rPr>
          <w:spacing w:val="-1"/>
          <w:w w:val="105"/>
        </w:rPr>
        <w:t xml:space="preserve"> </w:t>
      </w:r>
      <w:r w:rsidRPr="00283806">
        <w:rPr>
          <w:w w:val="105"/>
        </w:rPr>
        <w:t>or</w:t>
      </w:r>
      <w:r w:rsidRPr="00283806">
        <w:rPr>
          <w:spacing w:val="-1"/>
          <w:w w:val="105"/>
        </w:rPr>
        <w:t xml:space="preserve"> </w:t>
      </w:r>
      <w:r w:rsidRPr="00283806">
        <w:rPr>
          <w:w w:val="105"/>
        </w:rPr>
        <w:t>least</w:t>
      </w:r>
      <w:r w:rsidRPr="00283806">
        <w:rPr>
          <w:spacing w:val="-1"/>
          <w:w w:val="105"/>
        </w:rPr>
        <w:t xml:space="preserve"> </w:t>
      </w:r>
      <w:r w:rsidRPr="00283806">
        <w:rPr>
          <w:w w:val="105"/>
        </w:rPr>
        <w:t>burdensome</w:t>
      </w:r>
      <w:r w:rsidRPr="00283806">
        <w:rPr>
          <w:spacing w:val="-1"/>
          <w:w w:val="105"/>
        </w:rPr>
        <w:t xml:space="preserve"> </w:t>
      </w:r>
      <w:r w:rsidRPr="00283806">
        <w:rPr>
          <w:w w:val="105"/>
        </w:rPr>
        <w:t>alternative that achieves the objectives of the rule.’’ The commenter further asserted that</w:t>
      </w:r>
      <w:r w:rsidRPr="00283806">
        <w:rPr>
          <w:spacing w:val="40"/>
          <w:w w:val="105"/>
        </w:rPr>
        <w:t xml:space="preserve"> </w:t>
      </w:r>
      <w:r w:rsidRPr="00283806">
        <w:rPr>
          <w:w w:val="105"/>
        </w:rPr>
        <w:t>EPA has not shown that it considered</w:t>
      </w:r>
      <w:r w:rsidRPr="00283806">
        <w:rPr>
          <w:spacing w:val="80"/>
          <w:w w:val="150"/>
        </w:rPr>
        <w:t xml:space="preserve"> </w:t>
      </w:r>
      <w:r w:rsidRPr="00283806">
        <w:rPr>
          <w:w w:val="105"/>
        </w:rPr>
        <w:t>the current market dynamics, let alone any less burdensome and less costly alternatives, before proposing onerous new requirements applicable to reclaimers, and claimed that EPA’s proposed rule goes too far and is not tailored to achieve the goals of</w:t>
      </w:r>
      <w:r w:rsidRPr="00283806">
        <w:rPr>
          <w:spacing w:val="40"/>
          <w:w w:val="105"/>
        </w:rPr>
        <w:t xml:space="preserve"> </w:t>
      </w:r>
      <w:r w:rsidRPr="00283806">
        <w:rPr>
          <w:w w:val="105"/>
        </w:rPr>
        <w:t>subsection (h) in the least costly, most cost-effective, or least burdensome manner, as required under UMRA. The commenter also claimed that EPA has</w:t>
      </w:r>
      <w:r w:rsidRPr="00283806">
        <w:rPr>
          <w:spacing w:val="80"/>
          <w:w w:val="105"/>
        </w:rPr>
        <w:t xml:space="preserve"> </w:t>
      </w:r>
      <w:r w:rsidRPr="00283806">
        <w:rPr>
          <w:w w:val="105"/>
        </w:rPr>
        <w:t>not presented any evidence to show that proposed reporting and recordkeeping requirements will increase</w:t>
      </w:r>
      <w:r w:rsidRPr="00283806">
        <w:rPr>
          <w:spacing w:val="80"/>
          <w:w w:val="105"/>
        </w:rPr>
        <w:t xml:space="preserve"> </w:t>
      </w:r>
      <w:r w:rsidRPr="00283806">
        <w:rPr>
          <w:w w:val="105"/>
        </w:rPr>
        <w:t>opportunities for reclamation beyond what will occur from market dynamics.</w:t>
      </w:r>
    </w:p>
    <w:p w14:paraId="08C68316"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07" w:space="40"/>
            <w:col w:w="3511" w:space="39"/>
            <w:col w:w="3623"/>
          </w:cols>
        </w:sectPr>
      </w:pPr>
    </w:p>
    <w:p w14:paraId="429F945F" w14:textId="77777777" w:rsidR="00D67C1E" w:rsidRPr="00283806" w:rsidRDefault="001265CA">
      <w:pPr>
        <w:pStyle w:val="BodyText"/>
        <w:spacing w:before="134" w:line="228" w:lineRule="auto"/>
      </w:pPr>
      <w:r w:rsidRPr="00283806">
        <w:rPr>
          <w:w w:val="105"/>
        </w:rPr>
        <w:lastRenderedPageBreak/>
        <w:t>The commenter stated that in short, if there is a less burdensome alternative that will accomplish EPA’s stated objectives, then the Agency is obligated</w:t>
      </w:r>
      <w:r w:rsidRPr="00283806">
        <w:rPr>
          <w:spacing w:val="40"/>
          <w:w w:val="105"/>
        </w:rPr>
        <w:t xml:space="preserve"> </w:t>
      </w:r>
      <w:r w:rsidRPr="00283806">
        <w:rPr>
          <w:w w:val="105"/>
        </w:rPr>
        <w:t>to consider and adopt it unless another alternative exists that is even less costly or burdensome. The commenter further stated that it was not apparent that the type of scenarios they listed or the associated costs were considered by</w:t>
      </w:r>
      <w:r w:rsidRPr="00283806">
        <w:rPr>
          <w:spacing w:val="80"/>
          <w:w w:val="150"/>
        </w:rPr>
        <w:t xml:space="preserve"> </w:t>
      </w:r>
      <w:r w:rsidRPr="00283806">
        <w:rPr>
          <w:w w:val="105"/>
        </w:rPr>
        <w:t>EPA</w:t>
      </w:r>
      <w:r w:rsidRPr="00283806">
        <w:rPr>
          <w:spacing w:val="40"/>
          <w:w w:val="105"/>
        </w:rPr>
        <w:t xml:space="preserve"> </w:t>
      </w:r>
      <w:r w:rsidRPr="00283806">
        <w:rPr>
          <w:w w:val="105"/>
        </w:rPr>
        <w:t>in</w:t>
      </w:r>
      <w:r w:rsidRPr="00283806">
        <w:rPr>
          <w:spacing w:val="40"/>
          <w:w w:val="105"/>
        </w:rPr>
        <w:t xml:space="preserve"> </w:t>
      </w:r>
      <w:r w:rsidRPr="00283806">
        <w:rPr>
          <w:w w:val="105"/>
        </w:rPr>
        <w:t>developing</w:t>
      </w:r>
      <w:r w:rsidRPr="00283806">
        <w:rPr>
          <w:spacing w:val="40"/>
          <w:w w:val="105"/>
        </w:rPr>
        <w:t xml:space="preserve"> </w:t>
      </w:r>
      <w:r w:rsidRPr="00283806">
        <w:rPr>
          <w:w w:val="105"/>
        </w:rPr>
        <w:t>its</w:t>
      </w:r>
      <w:r w:rsidRPr="00283806">
        <w:rPr>
          <w:spacing w:val="40"/>
          <w:w w:val="105"/>
        </w:rPr>
        <w:t xml:space="preserve"> </w:t>
      </w:r>
      <w:r w:rsidRPr="00283806">
        <w:rPr>
          <w:w w:val="105"/>
        </w:rPr>
        <w:t>cost</w:t>
      </w:r>
      <w:r w:rsidRPr="00283806">
        <w:rPr>
          <w:spacing w:val="40"/>
          <w:w w:val="105"/>
        </w:rPr>
        <w:t xml:space="preserve"> </w:t>
      </w:r>
      <w:r w:rsidRPr="00283806">
        <w:rPr>
          <w:w w:val="105"/>
        </w:rPr>
        <w:t>estimates, and that EPA failed to consider how existing regulations, policies and practices, and alternative approaches to address concerns regarding mischaracterization of reclaimed HFC refrigerants would be more effective,</w:t>
      </w:r>
      <w:r w:rsidRPr="00283806">
        <w:rPr>
          <w:spacing w:val="80"/>
          <w:w w:val="105"/>
        </w:rPr>
        <w:t xml:space="preserve"> </w:t>
      </w:r>
      <w:r w:rsidRPr="00283806">
        <w:rPr>
          <w:w w:val="105"/>
        </w:rPr>
        <w:t>less costly, and less burdensome. The commenter provides one such approach that the Agency should use existing reporting requirements under the AIM Act and clarify that a reclaimer cannot yield more reclaimed refrigerant than</w:t>
      </w:r>
      <w:r w:rsidRPr="00283806">
        <w:rPr>
          <w:spacing w:val="80"/>
          <w:w w:val="105"/>
        </w:rPr>
        <w:t xml:space="preserve"> </w:t>
      </w:r>
      <w:r w:rsidRPr="00283806">
        <w:rPr>
          <w:w w:val="105"/>
        </w:rPr>
        <w:t>the quantity of recovered refrigerant input. The commenter also asserted that the proposed 15 percent limit on virgin HFC refrigerants in reclaimed refrigerants is a sharp departure from past interpretations and will result in significant costs without adequate technical or legal justification, and that many small reclaimers do not have capabilities to separate mixed or out-of- ratio refrigerants, meaning that the 15 percent limit will be difficult or impossible to meet for some small reclaimers. The commenter stated that the result could be that many used refrigerants will be destroyed, which the commenter stated would undermine the AIM Act’s directive to maximize reclamation and will also result in significantly greater costs to the regulated</w:t>
      </w:r>
      <w:r w:rsidRPr="00283806">
        <w:rPr>
          <w:spacing w:val="40"/>
          <w:w w:val="105"/>
        </w:rPr>
        <w:t xml:space="preserve"> </w:t>
      </w:r>
      <w:r w:rsidRPr="00283806">
        <w:rPr>
          <w:w w:val="105"/>
        </w:rPr>
        <w:t>community</w:t>
      </w:r>
      <w:r w:rsidRPr="00283806">
        <w:rPr>
          <w:spacing w:val="40"/>
          <w:w w:val="105"/>
        </w:rPr>
        <w:t xml:space="preserve"> </w:t>
      </w:r>
      <w:r w:rsidRPr="00283806">
        <w:rPr>
          <w:w w:val="105"/>
        </w:rPr>
        <w:t>which</w:t>
      </w:r>
      <w:r w:rsidRPr="00283806">
        <w:rPr>
          <w:spacing w:val="40"/>
          <w:w w:val="105"/>
        </w:rPr>
        <w:t xml:space="preserve"> </w:t>
      </w:r>
      <w:r w:rsidRPr="00283806">
        <w:rPr>
          <w:w w:val="105"/>
        </w:rPr>
        <w:t>EPA</w:t>
      </w:r>
      <w:r w:rsidRPr="00283806">
        <w:rPr>
          <w:spacing w:val="40"/>
          <w:w w:val="105"/>
        </w:rPr>
        <w:t xml:space="preserve"> </w:t>
      </w:r>
      <w:r w:rsidRPr="00283806">
        <w:rPr>
          <w:w w:val="105"/>
        </w:rPr>
        <w:t xml:space="preserve">has not considered. The commenter asserted that the proposed cap </w:t>
      </w:r>
      <w:proofErr w:type="gramStart"/>
      <w:r w:rsidRPr="00283806">
        <w:rPr>
          <w:w w:val="105"/>
        </w:rPr>
        <w:t>will</w:t>
      </w:r>
      <w:proofErr w:type="gramEnd"/>
      <w:r w:rsidRPr="00283806">
        <w:rPr>
          <w:w w:val="105"/>
        </w:rPr>
        <w:t xml:space="preserve"> impose unjustified costs and burdens on all reclaimers and their customers that do not</w:t>
      </w:r>
      <w:r w:rsidRPr="00283806">
        <w:rPr>
          <w:spacing w:val="40"/>
          <w:w w:val="105"/>
        </w:rPr>
        <w:t xml:space="preserve"> </w:t>
      </w:r>
      <w:r w:rsidRPr="00283806">
        <w:rPr>
          <w:w w:val="105"/>
        </w:rPr>
        <w:t>appear</w:t>
      </w:r>
      <w:r w:rsidRPr="00283806">
        <w:rPr>
          <w:spacing w:val="40"/>
          <w:w w:val="105"/>
        </w:rPr>
        <w:t xml:space="preserve"> </w:t>
      </w:r>
      <w:r w:rsidRPr="00283806">
        <w:rPr>
          <w:w w:val="105"/>
        </w:rPr>
        <w:t>to</w:t>
      </w:r>
      <w:r w:rsidRPr="00283806">
        <w:rPr>
          <w:spacing w:val="40"/>
          <w:w w:val="105"/>
        </w:rPr>
        <w:t xml:space="preserve"> </w:t>
      </w:r>
      <w:r w:rsidRPr="00283806">
        <w:rPr>
          <w:w w:val="105"/>
        </w:rPr>
        <w:t>have</w:t>
      </w:r>
      <w:r w:rsidRPr="00283806">
        <w:rPr>
          <w:spacing w:val="40"/>
          <w:w w:val="105"/>
        </w:rPr>
        <w:t xml:space="preserve"> </w:t>
      </w:r>
      <w:r w:rsidRPr="00283806">
        <w:rPr>
          <w:w w:val="105"/>
        </w:rPr>
        <w:t>been</w:t>
      </w:r>
      <w:r w:rsidRPr="00283806">
        <w:rPr>
          <w:spacing w:val="40"/>
          <w:w w:val="105"/>
        </w:rPr>
        <w:t xml:space="preserve"> </w:t>
      </w:r>
      <w:r w:rsidRPr="00283806">
        <w:rPr>
          <w:w w:val="105"/>
        </w:rPr>
        <w:t>fully considered by EPA. The commenter claimed that for EPA to meet its legal burden in proposing this rule, it must demonstrate that its proposed limit is uniformly technically achievable; that adoption of this limit will result in increased reclamation beyond the regulatory and market factors EPA has already identified, to meet its mandate under subsection (h); and that EPA must also demonstrate under UMRA that this</w:t>
      </w:r>
      <w:r w:rsidRPr="00283806">
        <w:rPr>
          <w:spacing w:val="40"/>
          <w:w w:val="105"/>
        </w:rPr>
        <w:t xml:space="preserve"> </w:t>
      </w:r>
      <w:r w:rsidRPr="00283806">
        <w:rPr>
          <w:w w:val="105"/>
        </w:rPr>
        <w:t>is the least costly, most cost-effective,</w:t>
      </w:r>
      <w:r w:rsidRPr="00283806">
        <w:rPr>
          <w:spacing w:val="40"/>
          <w:w w:val="105"/>
        </w:rPr>
        <w:t xml:space="preserve"> </w:t>
      </w:r>
      <w:r w:rsidRPr="00283806">
        <w:rPr>
          <w:w w:val="105"/>
        </w:rPr>
        <w:t>and least burdensome option. The commenter further claimed that EPA provided no evidence that container tracking, marking, and certification will serve to maximize reclamation,</w:t>
      </w:r>
      <w:r w:rsidRPr="00283806">
        <w:rPr>
          <w:spacing w:val="80"/>
          <w:w w:val="105"/>
        </w:rPr>
        <w:t xml:space="preserve"> </w:t>
      </w:r>
      <w:r w:rsidRPr="00283806">
        <w:rPr>
          <w:w w:val="105"/>
        </w:rPr>
        <w:t>minimize releases, or protect</w:t>
      </w:r>
      <w:r w:rsidRPr="00283806">
        <w:rPr>
          <w:spacing w:val="80"/>
          <w:w w:val="150"/>
        </w:rPr>
        <w:t xml:space="preserve"> </w:t>
      </w:r>
      <w:r w:rsidRPr="00283806">
        <w:rPr>
          <w:w w:val="105"/>
        </w:rPr>
        <w:t>technicians and consumers beyond</w:t>
      </w:r>
    </w:p>
    <w:p w14:paraId="7F0BCEE2" w14:textId="77777777" w:rsidR="00D67C1E" w:rsidRPr="00283806" w:rsidRDefault="001265CA">
      <w:pPr>
        <w:pStyle w:val="BodyText"/>
        <w:spacing w:before="129" w:line="232" w:lineRule="auto"/>
        <w:ind w:left="153" w:right="60"/>
      </w:pPr>
      <w:r w:rsidRPr="00283806">
        <w:br w:type="column"/>
      </w:r>
      <w:r w:rsidRPr="00283806">
        <w:rPr>
          <w:w w:val="105"/>
        </w:rPr>
        <w:t>what is accomplished by existing requirements, nor has the Agency demonstrated that its proposed requirements are the least costly and burdensome options. The commenter stated that small business grant programs, which could help, have yet to be established and are subject to appropriations availability.</w:t>
      </w:r>
    </w:p>
    <w:p w14:paraId="030CB428" w14:textId="77777777" w:rsidR="00D67C1E" w:rsidRPr="00283806" w:rsidRDefault="001265CA">
      <w:pPr>
        <w:pStyle w:val="BodyText"/>
        <w:spacing w:before="55" w:line="230" w:lineRule="auto"/>
        <w:ind w:left="153" w:right="14" w:firstLine="180"/>
      </w:pPr>
      <w:r w:rsidRPr="00283806">
        <w:rPr>
          <w:rFonts w:ascii="Book Antiqua" w:hAnsi="Book Antiqua"/>
          <w:i/>
          <w:w w:val="105"/>
        </w:rPr>
        <w:t xml:space="preserve">Response: </w:t>
      </w:r>
      <w:r w:rsidRPr="00283806">
        <w:rPr>
          <w:w w:val="105"/>
        </w:rPr>
        <w:t>EPA disagrees with these commenters’ assertions as described in this response. EPA extensively considered the legal and technical basis of formulating a reclamation standard provision under subsection (h), as described in the proposed rule and in</w:t>
      </w:r>
      <w:r w:rsidRPr="00283806">
        <w:rPr>
          <w:spacing w:val="40"/>
          <w:w w:val="105"/>
        </w:rPr>
        <w:t xml:space="preserve"> </w:t>
      </w:r>
      <w:r w:rsidRPr="00283806">
        <w:rPr>
          <w:w w:val="105"/>
        </w:rPr>
        <w:t>this final action. As previously stated,</w:t>
      </w:r>
      <w:r w:rsidRPr="00283806">
        <w:rPr>
          <w:spacing w:val="40"/>
          <w:w w:val="105"/>
        </w:rPr>
        <w:t xml:space="preserve"> </w:t>
      </w:r>
      <w:r w:rsidRPr="00283806">
        <w:rPr>
          <w:w w:val="105"/>
        </w:rPr>
        <w:t>EPA consulted with stakeholders before the notice of proposed rulemaking (NPRM), through the opportunities for public comment on the NPRM, and anticipates continuing engagement after the rule is finalized. Notably, in October 2021, EPA released a draft report ‘‘Analysis</w:t>
      </w:r>
      <w:r w:rsidRPr="00283806">
        <w:rPr>
          <w:spacing w:val="40"/>
          <w:w w:val="105"/>
        </w:rPr>
        <w:t xml:space="preserve"> </w:t>
      </w:r>
      <w:r w:rsidRPr="00283806">
        <w:rPr>
          <w:w w:val="105"/>
        </w:rPr>
        <w:t>of</w:t>
      </w:r>
      <w:r w:rsidRPr="00283806">
        <w:rPr>
          <w:spacing w:val="40"/>
          <w:w w:val="105"/>
        </w:rPr>
        <w:t xml:space="preserve"> </w:t>
      </w:r>
      <w:r w:rsidRPr="00283806">
        <w:rPr>
          <w:w w:val="105"/>
        </w:rPr>
        <w:t>the</w:t>
      </w:r>
      <w:r w:rsidRPr="00283806">
        <w:rPr>
          <w:spacing w:val="40"/>
          <w:w w:val="105"/>
        </w:rPr>
        <w:t xml:space="preserve"> </w:t>
      </w:r>
      <w:r w:rsidRPr="00283806">
        <w:rPr>
          <w:w w:val="105"/>
        </w:rPr>
        <w:t>U.S.</w:t>
      </w:r>
      <w:r w:rsidRPr="00283806">
        <w:rPr>
          <w:spacing w:val="80"/>
          <w:w w:val="105"/>
        </w:rPr>
        <w:t xml:space="preserve"> </w:t>
      </w:r>
      <w:r w:rsidRPr="00283806">
        <w:rPr>
          <w:w w:val="105"/>
        </w:rPr>
        <w:t>Hydrofluorocarbon Reclamation Market: Stakeholders, Drivers, and Practices,’’ accompanying a NODA (87 FR 62843,</w:t>
      </w:r>
    </w:p>
    <w:p w14:paraId="19682658" w14:textId="77777777" w:rsidR="00D67C1E" w:rsidRPr="00283806" w:rsidRDefault="001265CA">
      <w:pPr>
        <w:pStyle w:val="BodyText"/>
        <w:spacing w:before="8" w:line="230" w:lineRule="auto"/>
        <w:ind w:left="153" w:right="122"/>
      </w:pPr>
      <w:r w:rsidRPr="00283806">
        <w:rPr>
          <w:w w:val="105"/>
        </w:rPr>
        <w:t>October 17, 2022). EPA solicited stakeholder feedback and held a public stakeholder meeting shortly after the NODA was published on November 9, 2022. EPA received 11 comments in response to the NODA as detailed</w:t>
      </w:r>
      <w:r w:rsidRPr="00283806">
        <w:rPr>
          <w:spacing w:val="80"/>
          <w:w w:val="150"/>
        </w:rPr>
        <w:t xml:space="preserve"> </w:t>
      </w:r>
      <w:r w:rsidRPr="00283806">
        <w:rPr>
          <w:w w:val="105"/>
        </w:rPr>
        <w:t>above. EPA does not agree that the 15 percent limit on virgin HFCs is not technically achievable and discusses in the prior response in this section and in section IV.E.2 the technical capabilities</w:t>
      </w:r>
      <w:r w:rsidRPr="00283806">
        <w:rPr>
          <w:spacing w:val="40"/>
          <w:w w:val="105"/>
        </w:rPr>
        <w:t xml:space="preserve"> </w:t>
      </w:r>
      <w:r w:rsidRPr="00283806">
        <w:rPr>
          <w:w w:val="105"/>
        </w:rPr>
        <w:t xml:space="preserve">of reclaimers and the available technologies that are </w:t>
      </w:r>
      <w:proofErr w:type="gramStart"/>
      <w:r w:rsidRPr="00283806">
        <w:rPr>
          <w:w w:val="105"/>
        </w:rPr>
        <w:t>current</w:t>
      </w:r>
      <w:proofErr w:type="gramEnd"/>
      <w:r w:rsidRPr="00283806">
        <w:rPr>
          <w:w w:val="105"/>
        </w:rPr>
        <w:t xml:space="preserve"> in use.</w:t>
      </w:r>
    </w:p>
    <w:p w14:paraId="4B93C035" w14:textId="77777777" w:rsidR="00D67C1E" w:rsidRPr="00283806" w:rsidRDefault="001265CA">
      <w:pPr>
        <w:pStyle w:val="BodyText"/>
        <w:spacing w:line="228" w:lineRule="auto"/>
        <w:ind w:left="153"/>
      </w:pPr>
      <w:r w:rsidRPr="00283806">
        <w:rPr>
          <w:w w:val="105"/>
        </w:rPr>
        <w:t>EPA also discusses in another response</w:t>
      </w:r>
      <w:r w:rsidRPr="00283806">
        <w:rPr>
          <w:spacing w:val="40"/>
          <w:w w:val="105"/>
        </w:rPr>
        <w:t xml:space="preserve"> </w:t>
      </w:r>
      <w:r w:rsidRPr="00283806">
        <w:rPr>
          <w:w w:val="105"/>
        </w:rPr>
        <w:t>in this section that the Agency disagrees that the reclamation standard would</w:t>
      </w:r>
      <w:r w:rsidRPr="00283806">
        <w:rPr>
          <w:spacing w:val="80"/>
          <w:w w:val="105"/>
        </w:rPr>
        <w:t xml:space="preserve"> </w:t>
      </w:r>
      <w:r w:rsidRPr="00283806">
        <w:rPr>
          <w:w w:val="105"/>
        </w:rPr>
        <w:t>lead to additional destruction by small reclaimers. Further, EPA received comments</w:t>
      </w:r>
      <w:r w:rsidRPr="00283806">
        <w:rPr>
          <w:spacing w:val="35"/>
          <w:w w:val="105"/>
        </w:rPr>
        <w:t xml:space="preserve"> </w:t>
      </w:r>
      <w:proofErr w:type="gramStart"/>
      <w:r w:rsidRPr="00283806">
        <w:rPr>
          <w:w w:val="105"/>
        </w:rPr>
        <w:t>to</w:t>
      </w:r>
      <w:proofErr w:type="gramEnd"/>
      <w:r w:rsidRPr="00283806">
        <w:rPr>
          <w:spacing w:val="35"/>
          <w:w w:val="105"/>
        </w:rPr>
        <w:t xml:space="preserve"> </w:t>
      </w:r>
      <w:proofErr w:type="gramStart"/>
      <w:r w:rsidRPr="00283806">
        <w:rPr>
          <w:w w:val="105"/>
        </w:rPr>
        <w:t>the</w:t>
      </w:r>
      <w:r w:rsidRPr="00283806">
        <w:rPr>
          <w:spacing w:val="35"/>
          <w:w w:val="105"/>
        </w:rPr>
        <w:t xml:space="preserve"> </w:t>
      </w:r>
      <w:r w:rsidRPr="00283806">
        <w:rPr>
          <w:w w:val="105"/>
        </w:rPr>
        <w:t>NODA</w:t>
      </w:r>
      <w:proofErr w:type="gramEnd"/>
      <w:r w:rsidRPr="00283806">
        <w:rPr>
          <w:spacing w:val="35"/>
          <w:w w:val="105"/>
        </w:rPr>
        <w:t xml:space="preserve"> </w:t>
      </w:r>
      <w:r w:rsidRPr="00283806">
        <w:rPr>
          <w:w w:val="105"/>
        </w:rPr>
        <w:t>stating</w:t>
      </w:r>
      <w:r w:rsidRPr="00283806">
        <w:rPr>
          <w:spacing w:val="35"/>
          <w:w w:val="105"/>
        </w:rPr>
        <w:t xml:space="preserve"> </w:t>
      </w:r>
      <w:r w:rsidRPr="00283806">
        <w:rPr>
          <w:w w:val="105"/>
        </w:rPr>
        <w:t>the</w:t>
      </w:r>
      <w:r w:rsidRPr="00283806">
        <w:rPr>
          <w:spacing w:val="35"/>
          <w:w w:val="105"/>
        </w:rPr>
        <w:t xml:space="preserve"> </w:t>
      </w:r>
      <w:r w:rsidRPr="00283806">
        <w:rPr>
          <w:w w:val="105"/>
        </w:rPr>
        <w:t>use of these technologies (</w:t>
      </w:r>
      <w:r w:rsidRPr="00283806">
        <w:rPr>
          <w:rFonts w:ascii="Book Antiqua"/>
          <w:i/>
          <w:w w:val="105"/>
        </w:rPr>
        <w:t xml:space="preserve">e.g., </w:t>
      </w:r>
      <w:r w:rsidRPr="00283806">
        <w:rPr>
          <w:w w:val="105"/>
        </w:rPr>
        <w:t>fractional distillation)</w:t>
      </w:r>
      <w:r w:rsidRPr="00283806">
        <w:rPr>
          <w:spacing w:val="40"/>
          <w:w w:val="105"/>
        </w:rPr>
        <w:t xml:space="preserve"> </w:t>
      </w:r>
      <w:r w:rsidRPr="00283806">
        <w:rPr>
          <w:w w:val="105"/>
        </w:rPr>
        <w:t>is</w:t>
      </w:r>
      <w:r w:rsidRPr="00283806">
        <w:rPr>
          <w:spacing w:val="40"/>
          <w:w w:val="105"/>
        </w:rPr>
        <w:t xml:space="preserve"> </w:t>
      </w:r>
      <w:r w:rsidRPr="00283806">
        <w:rPr>
          <w:w w:val="105"/>
        </w:rPr>
        <w:t>feasible,</w:t>
      </w:r>
      <w:r w:rsidRPr="00283806">
        <w:rPr>
          <w:spacing w:val="40"/>
          <w:w w:val="105"/>
        </w:rPr>
        <w:t xml:space="preserve"> </w:t>
      </w:r>
      <w:r w:rsidRPr="00283806">
        <w:rPr>
          <w:w w:val="105"/>
        </w:rPr>
        <w:t>and</w:t>
      </w:r>
      <w:r w:rsidRPr="00283806">
        <w:rPr>
          <w:spacing w:val="40"/>
          <w:w w:val="105"/>
        </w:rPr>
        <w:t xml:space="preserve"> </w:t>
      </w:r>
      <w:r w:rsidRPr="00283806">
        <w:rPr>
          <w:w w:val="105"/>
        </w:rPr>
        <w:t>the</w:t>
      </w:r>
      <w:r w:rsidRPr="00283806">
        <w:rPr>
          <w:spacing w:val="40"/>
          <w:w w:val="105"/>
        </w:rPr>
        <w:t xml:space="preserve"> </w:t>
      </w:r>
      <w:r w:rsidRPr="00283806">
        <w:rPr>
          <w:w w:val="105"/>
        </w:rPr>
        <w:t>Agency is aware of reclaimers expanding</w:t>
      </w:r>
      <w:r w:rsidRPr="00283806">
        <w:rPr>
          <w:spacing w:val="40"/>
          <w:w w:val="105"/>
        </w:rPr>
        <w:t xml:space="preserve"> </w:t>
      </w:r>
      <w:r w:rsidRPr="00283806">
        <w:rPr>
          <w:w w:val="105"/>
        </w:rPr>
        <w:t>capacity of these technologies to process increased volumes of reclaimed HFCs. Thus, there are technologies available (</w:t>
      </w:r>
      <w:r w:rsidRPr="00283806">
        <w:rPr>
          <w:rFonts w:ascii="Book Antiqua"/>
          <w:i/>
          <w:w w:val="105"/>
        </w:rPr>
        <w:t xml:space="preserve">e.g., </w:t>
      </w:r>
      <w:r w:rsidRPr="00283806">
        <w:rPr>
          <w:w w:val="105"/>
        </w:rPr>
        <w:t>fractional distillation) that can be used and are currently in use to reclaim HFCs while meeting the 15 percent, by weight,</w:t>
      </w:r>
      <w:r w:rsidRPr="00283806">
        <w:rPr>
          <w:spacing w:val="40"/>
          <w:w w:val="105"/>
        </w:rPr>
        <w:t xml:space="preserve"> </w:t>
      </w:r>
      <w:r w:rsidRPr="00283806">
        <w:rPr>
          <w:w w:val="105"/>
        </w:rPr>
        <w:t>limit</w:t>
      </w:r>
      <w:r w:rsidRPr="00283806">
        <w:rPr>
          <w:spacing w:val="40"/>
          <w:w w:val="105"/>
        </w:rPr>
        <w:t xml:space="preserve"> </w:t>
      </w:r>
      <w:r w:rsidRPr="00283806">
        <w:rPr>
          <w:w w:val="105"/>
        </w:rPr>
        <w:t>on</w:t>
      </w:r>
      <w:r w:rsidRPr="00283806">
        <w:rPr>
          <w:spacing w:val="40"/>
          <w:w w:val="105"/>
        </w:rPr>
        <w:t xml:space="preserve"> </w:t>
      </w:r>
      <w:r w:rsidRPr="00283806">
        <w:rPr>
          <w:w w:val="105"/>
        </w:rPr>
        <w:t>virgin</w:t>
      </w:r>
      <w:r w:rsidRPr="00283806">
        <w:rPr>
          <w:spacing w:val="40"/>
          <w:w w:val="105"/>
        </w:rPr>
        <w:t xml:space="preserve"> </w:t>
      </w:r>
      <w:r w:rsidRPr="00283806">
        <w:rPr>
          <w:w w:val="105"/>
        </w:rPr>
        <w:t>HFCs</w:t>
      </w:r>
      <w:r w:rsidRPr="00283806">
        <w:rPr>
          <w:spacing w:val="40"/>
          <w:w w:val="105"/>
        </w:rPr>
        <w:t xml:space="preserve"> </w:t>
      </w:r>
      <w:r w:rsidRPr="00283806">
        <w:rPr>
          <w:w w:val="105"/>
        </w:rPr>
        <w:t>in reclaimed material. With these considerations, EPA determined that a</w:t>
      </w:r>
      <w:r w:rsidRPr="00283806">
        <w:rPr>
          <w:spacing w:val="80"/>
          <w:w w:val="105"/>
        </w:rPr>
        <w:t xml:space="preserve"> </w:t>
      </w:r>
      <w:r w:rsidRPr="00283806">
        <w:rPr>
          <w:w w:val="105"/>
        </w:rPr>
        <w:t>15 percent limit on virgin material is technically feasible and received comments</w:t>
      </w:r>
      <w:r w:rsidRPr="00283806">
        <w:rPr>
          <w:spacing w:val="40"/>
          <w:w w:val="105"/>
        </w:rPr>
        <w:t xml:space="preserve"> </w:t>
      </w:r>
      <w:r w:rsidRPr="00283806">
        <w:rPr>
          <w:w w:val="105"/>
        </w:rPr>
        <w:t>agreeing</w:t>
      </w:r>
      <w:r w:rsidRPr="00283806">
        <w:rPr>
          <w:spacing w:val="40"/>
          <w:w w:val="105"/>
        </w:rPr>
        <w:t xml:space="preserve"> </w:t>
      </w:r>
      <w:r w:rsidRPr="00283806">
        <w:rPr>
          <w:w w:val="105"/>
        </w:rPr>
        <w:t>with</w:t>
      </w:r>
      <w:r w:rsidRPr="00283806">
        <w:rPr>
          <w:spacing w:val="40"/>
          <w:w w:val="105"/>
        </w:rPr>
        <w:t xml:space="preserve"> </w:t>
      </w:r>
      <w:r w:rsidRPr="00283806">
        <w:rPr>
          <w:w w:val="105"/>
        </w:rPr>
        <w:t>that conclusion. As described in the prior comment response, EPA received multiple comments disagreeing with the reclamation standard of no more than 15 percent virgin HFCs, by weight, and the</w:t>
      </w:r>
    </w:p>
    <w:p w14:paraId="7E41919C" w14:textId="77777777" w:rsidR="00D67C1E" w:rsidRPr="00283806" w:rsidRDefault="001265CA">
      <w:pPr>
        <w:pStyle w:val="BodyText"/>
        <w:spacing w:before="129" w:line="228" w:lineRule="auto"/>
        <w:ind w:left="144" w:right="271"/>
      </w:pPr>
      <w:r w:rsidRPr="00283806">
        <w:br w:type="column"/>
      </w:r>
      <w:r w:rsidRPr="00283806">
        <w:rPr>
          <w:w w:val="105"/>
        </w:rPr>
        <w:t>Agency discusses these comments in that response.</w:t>
      </w:r>
    </w:p>
    <w:p w14:paraId="347BFE24" w14:textId="77777777" w:rsidR="00D67C1E" w:rsidRPr="00283806" w:rsidRDefault="001265CA">
      <w:pPr>
        <w:pStyle w:val="BodyText"/>
        <w:spacing w:before="39" w:line="228" w:lineRule="auto"/>
        <w:ind w:left="144" w:right="237" w:firstLine="180"/>
      </w:pPr>
      <w:r w:rsidRPr="00283806">
        <w:rPr>
          <w:w w:val="105"/>
        </w:rPr>
        <w:t>EPA considered alternatives to the reclamation standard, including soliciting comment in the NPRM on a lower limit and on not requiring a limit at all. After considering these alternatives and the comments on the reclamation standard, EPA concludes that the 15 percent limit is a technically appropriate way to ensure a consistent understanding among the regulated community of reclaimed material.</w:t>
      </w:r>
    </w:p>
    <w:p w14:paraId="13D17749" w14:textId="77777777" w:rsidR="00D67C1E" w:rsidRPr="00283806" w:rsidRDefault="001265CA">
      <w:pPr>
        <w:pStyle w:val="BodyText"/>
        <w:spacing w:line="228" w:lineRule="auto"/>
        <w:ind w:left="144" w:right="142"/>
      </w:pPr>
      <w:r w:rsidRPr="00283806">
        <w:rPr>
          <w:w w:val="105"/>
        </w:rPr>
        <w:t>Further, from both a technical and a</w:t>
      </w:r>
      <w:r w:rsidRPr="00283806">
        <w:rPr>
          <w:spacing w:val="80"/>
          <w:w w:val="105"/>
        </w:rPr>
        <w:t xml:space="preserve"> </w:t>
      </w:r>
      <w:r w:rsidRPr="00283806">
        <w:rPr>
          <w:w w:val="105"/>
        </w:rPr>
        <w:t>legal perspective, the Agency concludes that the reclamation standard is an important part of ensuring that the reclaimed HFCs that are used to comply with</w:t>
      </w:r>
      <w:r w:rsidRPr="00283806">
        <w:rPr>
          <w:spacing w:val="-1"/>
          <w:w w:val="105"/>
        </w:rPr>
        <w:t xml:space="preserve"> </w:t>
      </w:r>
      <w:r w:rsidRPr="00283806">
        <w:rPr>
          <w:w w:val="105"/>
        </w:rPr>
        <w:t>the</w:t>
      </w:r>
      <w:r w:rsidRPr="00283806">
        <w:rPr>
          <w:spacing w:val="-1"/>
          <w:w w:val="105"/>
        </w:rPr>
        <w:t xml:space="preserve"> </w:t>
      </w:r>
      <w:r w:rsidRPr="00283806">
        <w:rPr>
          <w:w w:val="105"/>
        </w:rPr>
        <w:t>requirements</w:t>
      </w:r>
      <w:r w:rsidRPr="00283806">
        <w:rPr>
          <w:spacing w:val="-1"/>
          <w:w w:val="105"/>
        </w:rPr>
        <w:t xml:space="preserve"> </w:t>
      </w:r>
      <w:r w:rsidRPr="00283806">
        <w:rPr>
          <w:w w:val="105"/>
        </w:rPr>
        <w:t>for</w:t>
      </w:r>
      <w:r w:rsidRPr="00283806">
        <w:rPr>
          <w:spacing w:val="-1"/>
          <w:w w:val="105"/>
        </w:rPr>
        <w:t xml:space="preserve"> </w:t>
      </w:r>
      <w:r w:rsidRPr="00283806">
        <w:rPr>
          <w:w w:val="105"/>
        </w:rPr>
        <w:t>servicing</w:t>
      </w:r>
      <w:r w:rsidRPr="00283806">
        <w:rPr>
          <w:spacing w:val="-1"/>
          <w:w w:val="105"/>
        </w:rPr>
        <w:t xml:space="preserve"> </w:t>
      </w:r>
      <w:r w:rsidRPr="00283806">
        <w:rPr>
          <w:w w:val="105"/>
        </w:rPr>
        <w:t>and/ or repair of certain refrigerant- containing equipment with reclaimed HFCs are in fact chiefly constituted of reclaimed material, thus helping to ensure</w:t>
      </w:r>
      <w:r w:rsidRPr="00283806">
        <w:rPr>
          <w:spacing w:val="-5"/>
          <w:w w:val="105"/>
        </w:rPr>
        <w:t xml:space="preserve"> </w:t>
      </w:r>
      <w:r w:rsidRPr="00283806">
        <w:rPr>
          <w:w w:val="105"/>
        </w:rPr>
        <w:t>that</w:t>
      </w:r>
      <w:r w:rsidRPr="00283806">
        <w:rPr>
          <w:spacing w:val="-5"/>
          <w:w w:val="105"/>
        </w:rPr>
        <w:t xml:space="preserve"> </w:t>
      </w:r>
      <w:r w:rsidRPr="00283806">
        <w:rPr>
          <w:w w:val="105"/>
        </w:rPr>
        <w:t>these</w:t>
      </w:r>
      <w:r w:rsidRPr="00283806">
        <w:rPr>
          <w:spacing w:val="-5"/>
          <w:w w:val="105"/>
        </w:rPr>
        <w:t xml:space="preserve"> </w:t>
      </w:r>
      <w:r w:rsidRPr="00283806">
        <w:rPr>
          <w:w w:val="105"/>
        </w:rPr>
        <w:t>requirements</w:t>
      </w:r>
      <w:r w:rsidRPr="00283806">
        <w:rPr>
          <w:spacing w:val="-5"/>
          <w:w w:val="105"/>
        </w:rPr>
        <w:t xml:space="preserve"> </w:t>
      </w:r>
      <w:r w:rsidRPr="00283806">
        <w:rPr>
          <w:w w:val="105"/>
        </w:rPr>
        <w:t>serve</w:t>
      </w:r>
      <w:r w:rsidRPr="00283806">
        <w:rPr>
          <w:spacing w:val="-5"/>
          <w:w w:val="105"/>
        </w:rPr>
        <w:t xml:space="preserve"> </w:t>
      </w:r>
      <w:r w:rsidRPr="00283806">
        <w:rPr>
          <w:w w:val="105"/>
        </w:rPr>
        <w:t>the intended objective of maximizing reclamation, consistent with the purposes identified in subsection (h)(1). To the extent the comment suggests that EPA must provide evidence that the reclaim requirements will substantially increase opportunities for reclamation beyond what would occur from market dynamics or that they be uniformly technically achievable, EPA does not agree that subsection (h) requires such evidence as a prerequisite to regulation, for the reasons discussed in the prior response to comment. In response to the commenters’ statement that the 15 percent</w:t>
      </w:r>
      <w:r w:rsidRPr="00283806">
        <w:rPr>
          <w:spacing w:val="40"/>
          <w:w w:val="105"/>
        </w:rPr>
        <w:t xml:space="preserve"> </w:t>
      </w:r>
      <w:r w:rsidRPr="00283806">
        <w:rPr>
          <w:w w:val="105"/>
        </w:rPr>
        <w:t>limit</w:t>
      </w:r>
      <w:r w:rsidRPr="00283806">
        <w:rPr>
          <w:spacing w:val="40"/>
          <w:w w:val="105"/>
        </w:rPr>
        <w:t xml:space="preserve"> </w:t>
      </w:r>
      <w:r w:rsidRPr="00283806">
        <w:rPr>
          <w:w w:val="105"/>
        </w:rPr>
        <w:t>on</w:t>
      </w:r>
      <w:r w:rsidRPr="00283806">
        <w:rPr>
          <w:spacing w:val="40"/>
          <w:w w:val="105"/>
        </w:rPr>
        <w:t xml:space="preserve"> </w:t>
      </w:r>
      <w:r w:rsidRPr="00283806">
        <w:rPr>
          <w:w w:val="105"/>
        </w:rPr>
        <w:t>virgin</w:t>
      </w:r>
      <w:r w:rsidRPr="00283806">
        <w:rPr>
          <w:spacing w:val="40"/>
          <w:w w:val="105"/>
        </w:rPr>
        <w:t xml:space="preserve"> </w:t>
      </w:r>
      <w:r w:rsidRPr="00283806">
        <w:rPr>
          <w:w w:val="105"/>
        </w:rPr>
        <w:t>HFCs</w:t>
      </w:r>
      <w:r w:rsidRPr="00283806">
        <w:rPr>
          <w:spacing w:val="40"/>
          <w:w w:val="105"/>
        </w:rPr>
        <w:t xml:space="preserve"> </w:t>
      </w:r>
      <w:r w:rsidRPr="00283806">
        <w:rPr>
          <w:w w:val="105"/>
        </w:rPr>
        <w:t>differs from past interpretations, EPA notes</w:t>
      </w:r>
      <w:r w:rsidRPr="00283806">
        <w:rPr>
          <w:spacing w:val="80"/>
          <w:w w:val="105"/>
        </w:rPr>
        <w:t xml:space="preserve"> </w:t>
      </w:r>
      <w:r w:rsidRPr="00283806">
        <w:rPr>
          <w:w w:val="105"/>
        </w:rPr>
        <w:t>that this is the first rulemaking under subsection (h) of the AIM Act and as</w:t>
      </w:r>
      <w:r w:rsidRPr="00283806">
        <w:rPr>
          <w:spacing w:val="40"/>
          <w:w w:val="105"/>
        </w:rPr>
        <w:t xml:space="preserve"> </w:t>
      </w:r>
      <w:r w:rsidRPr="00283806">
        <w:rPr>
          <w:w w:val="105"/>
        </w:rPr>
        <w:t>such, there are no past interpretations under this authority by which to compare.</w:t>
      </w:r>
      <w:r w:rsidRPr="00283806">
        <w:rPr>
          <w:spacing w:val="40"/>
          <w:w w:val="105"/>
        </w:rPr>
        <w:t xml:space="preserve"> </w:t>
      </w:r>
      <w:r w:rsidRPr="00283806">
        <w:rPr>
          <w:w w:val="105"/>
        </w:rPr>
        <w:t>Thus,</w:t>
      </w:r>
      <w:r w:rsidRPr="00283806">
        <w:rPr>
          <w:spacing w:val="40"/>
          <w:w w:val="105"/>
        </w:rPr>
        <w:t xml:space="preserve"> </w:t>
      </w:r>
      <w:r w:rsidRPr="00283806">
        <w:rPr>
          <w:w w:val="105"/>
        </w:rPr>
        <w:t>the</w:t>
      </w:r>
      <w:r w:rsidRPr="00283806">
        <w:rPr>
          <w:spacing w:val="40"/>
          <w:w w:val="105"/>
        </w:rPr>
        <w:t xml:space="preserve"> </w:t>
      </w:r>
      <w:r w:rsidRPr="00283806">
        <w:rPr>
          <w:w w:val="105"/>
        </w:rPr>
        <w:t>Agency</w:t>
      </w:r>
      <w:r w:rsidRPr="00283806">
        <w:rPr>
          <w:spacing w:val="40"/>
          <w:w w:val="105"/>
        </w:rPr>
        <w:t xml:space="preserve"> </w:t>
      </w:r>
      <w:r w:rsidRPr="00283806">
        <w:rPr>
          <w:w w:val="105"/>
        </w:rPr>
        <w:t>is addressing questions related to the implementation and interpretation of</w:t>
      </w:r>
      <w:r w:rsidRPr="00283806">
        <w:rPr>
          <w:spacing w:val="40"/>
          <w:w w:val="105"/>
        </w:rPr>
        <w:t xml:space="preserve"> </w:t>
      </w:r>
      <w:r w:rsidRPr="00283806">
        <w:rPr>
          <w:w w:val="105"/>
        </w:rPr>
        <w:t xml:space="preserve">this provision for </w:t>
      </w:r>
      <w:proofErr w:type="gramStart"/>
      <w:r w:rsidRPr="00283806">
        <w:rPr>
          <w:w w:val="105"/>
        </w:rPr>
        <w:t>this</w:t>
      </w:r>
      <w:proofErr w:type="gramEnd"/>
      <w:r w:rsidRPr="00283806">
        <w:rPr>
          <w:w w:val="105"/>
        </w:rPr>
        <w:t xml:space="preserve"> first time in this rulemaking. Further, title VI of the CAA does not contain the same or similar language regarding reclamation as is included in subsection (h) of the AIM</w:t>
      </w:r>
      <w:r w:rsidRPr="00283806">
        <w:rPr>
          <w:spacing w:val="80"/>
          <w:w w:val="105"/>
        </w:rPr>
        <w:t xml:space="preserve"> </w:t>
      </w:r>
      <w:r w:rsidRPr="00283806">
        <w:rPr>
          <w:w w:val="105"/>
        </w:rPr>
        <w:t>Act, and thus past interpretations under the CAA were based on different statutory text and context. In response</w:t>
      </w:r>
      <w:r w:rsidRPr="00283806">
        <w:rPr>
          <w:spacing w:val="80"/>
          <w:w w:val="105"/>
        </w:rPr>
        <w:t xml:space="preserve"> </w:t>
      </w:r>
      <w:r w:rsidRPr="00283806">
        <w:rPr>
          <w:w w:val="105"/>
        </w:rPr>
        <w:t>to the comment regarding reporting and recordkeeping requirements, EPA explains that there are recordkeeping</w:t>
      </w:r>
      <w:r w:rsidRPr="00283806">
        <w:rPr>
          <w:spacing w:val="40"/>
          <w:w w:val="105"/>
        </w:rPr>
        <w:t xml:space="preserve"> </w:t>
      </w:r>
      <w:r w:rsidRPr="00283806">
        <w:rPr>
          <w:w w:val="105"/>
        </w:rPr>
        <w:t>and labeling requirements finalized in this rule to support compliance with the requirements for reclaimed HFCs established in this rule. For example, some of the recordkeeping and labeling requirements help to ensure that refrigerant that is sold or marketed as reclaimed meets the reclamation standard. This in turn helps ensure that</w:t>
      </w:r>
    </w:p>
    <w:p w14:paraId="65D9D494"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07" w:space="40"/>
            <w:col w:w="3509" w:space="39"/>
            <w:col w:w="3625"/>
          </w:cols>
        </w:sectPr>
      </w:pPr>
    </w:p>
    <w:p w14:paraId="70BD2048" w14:textId="77777777" w:rsidR="00D67C1E" w:rsidRPr="00283806" w:rsidRDefault="001265CA">
      <w:pPr>
        <w:pStyle w:val="BodyText"/>
        <w:spacing w:before="133" w:line="230" w:lineRule="auto"/>
        <w:ind w:right="78"/>
      </w:pPr>
      <w:proofErr w:type="gramStart"/>
      <w:r w:rsidRPr="00283806">
        <w:rPr>
          <w:w w:val="105"/>
        </w:rPr>
        <w:lastRenderedPageBreak/>
        <w:t>a person</w:t>
      </w:r>
      <w:proofErr w:type="gramEnd"/>
      <w:r w:rsidRPr="00283806">
        <w:rPr>
          <w:w w:val="105"/>
        </w:rPr>
        <w:t xml:space="preserve"> servicing and/or repairing refrigerant-containing equipment in certain RACHP subsectors can identify that the reclaimed HFCs meet the reclamation standard, and that they can service and/or repair refrigerant- containing equipment with reclaimed HFCs that meet the reclamation standard. As such, these recordkeeping and labeling requirements support provisions to help to maximize reclamation but are not designed to independently increase opportunities</w:t>
      </w:r>
      <w:r w:rsidRPr="00283806">
        <w:rPr>
          <w:spacing w:val="40"/>
          <w:w w:val="105"/>
        </w:rPr>
        <w:t xml:space="preserve"> </w:t>
      </w:r>
      <w:r w:rsidRPr="00283806">
        <w:rPr>
          <w:w w:val="105"/>
        </w:rPr>
        <w:t>for reclamation.</w:t>
      </w:r>
    </w:p>
    <w:p w14:paraId="228C674A" w14:textId="77777777" w:rsidR="00D67C1E" w:rsidRPr="00283806" w:rsidRDefault="001265CA">
      <w:pPr>
        <w:pStyle w:val="BodyText"/>
        <w:spacing w:before="53" w:line="230" w:lineRule="auto"/>
        <w:ind w:right="103" w:firstLine="180"/>
      </w:pPr>
      <w:r w:rsidRPr="00283806">
        <w:rPr>
          <w:w w:val="105"/>
        </w:rPr>
        <w:t>Further, in response to the comment regarding the duplication of existing regulations, EPA responds that it disagrees that the requirements for labeling and recordkeeping duplicate</w:t>
      </w:r>
      <w:r w:rsidRPr="00283806">
        <w:rPr>
          <w:spacing w:val="80"/>
          <w:w w:val="105"/>
        </w:rPr>
        <w:t xml:space="preserve"> </w:t>
      </w:r>
      <w:r w:rsidRPr="00283806">
        <w:rPr>
          <w:w w:val="105"/>
        </w:rPr>
        <w:t>the existing regulations cited by the commenter. The commenter alludes to regulations under 40 CFR part 84 subpart A, which require certain recordkeeping and reporting for information from reclaimers on the quantities of recovered refrigerant they receive, quantities they reclaim, and the quantity of waste that is disposed of.</w:t>
      </w:r>
    </w:p>
    <w:p w14:paraId="7F63428B" w14:textId="77777777" w:rsidR="00D67C1E" w:rsidRPr="00283806" w:rsidRDefault="001265CA">
      <w:pPr>
        <w:pStyle w:val="BodyText"/>
        <w:spacing w:line="228" w:lineRule="auto"/>
        <w:ind w:right="13"/>
      </w:pPr>
      <w:r w:rsidRPr="00283806">
        <w:rPr>
          <w:w w:val="105"/>
        </w:rPr>
        <w:t>The regulations in 40 CFR part 84</w:t>
      </w:r>
      <w:r w:rsidRPr="00283806">
        <w:rPr>
          <w:spacing w:val="40"/>
          <w:w w:val="105"/>
        </w:rPr>
        <w:t xml:space="preserve"> </w:t>
      </w:r>
      <w:r w:rsidRPr="00283806">
        <w:rPr>
          <w:w w:val="105"/>
        </w:rPr>
        <w:t>subpart A also require recordkeeping for results of analyses, by batch, that verify that</w:t>
      </w:r>
      <w:r w:rsidRPr="00283806">
        <w:rPr>
          <w:spacing w:val="40"/>
          <w:w w:val="105"/>
        </w:rPr>
        <w:t xml:space="preserve"> </w:t>
      </w:r>
      <w:r w:rsidRPr="00283806">
        <w:rPr>
          <w:w w:val="105"/>
        </w:rPr>
        <w:t>purity</w:t>
      </w:r>
      <w:r w:rsidRPr="00283806">
        <w:rPr>
          <w:spacing w:val="40"/>
          <w:w w:val="105"/>
        </w:rPr>
        <w:t xml:space="preserve"> </w:t>
      </w:r>
      <w:r w:rsidRPr="00283806">
        <w:rPr>
          <w:w w:val="105"/>
        </w:rPr>
        <w:t>standards</w:t>
      </w:r>
      <w:r w:rsidRPr="00283806">
        <w:rPr>
          <w:spacing w:val="40"/>
          <w:w w:val="105"/>
        </w:rPr>
        <w:t xml:space="preserve"> </w:t>
      </w:r>
      <w:r w:rsidRPr="00283806">
        <w:rPr>
          <w:w w:val="105"/>
        </w:rPr>
        <w:t>for</w:t>
      </w:r>
      <w:r w:rsidRPr="00283806">
        <w:rPr>
          <w:spacing w:val="40"/>
          <w:w w:val="105"/>
        </w:rPr>
        <w:t xml:space="preserve"> </w:t>
      </w:r>
      <w:r w:rsidRPr="00283806">
        <w:rPr>
          <w:w w:val="105"/>
        </w:rPr>
        <w:t>reclaimed HFCs are met, specified contact information from whom they receive recovered material, and the quantity of material, by HFC, that they receive. The recordkeeping and labeling provisions finalized in this rule do not duplicate these requirements because they include different requirements than those included in the subpart A rules and are designed to provide information related to the requirements of this final rule.</w:t>
      </w:r>
    </w:p>
    <w:p w14:paraId="1DFCC556" w14:textId="77777777" w:rsidR="00D67C1E" w:rsidRPr="00283806" w:rsidRDefault="001265CA">
      <w:pPr>
        <w:pStyle w:val="BodyText"/>
        <w:spacing w:before="3" w:line="228" w:lineRule="auto"/>
        <w:ind w:right="78"/>
      </w:pPr>
      <w:r w:rsidRPr="00283806">
        <w:rPr>
          <w:w w:val="105"/>
        </w:rPr>
        <w:t>For example, this final rule establishes recordkeeping and labeling requirements for reclaimers to retain information and provide a label that certifies that the reclaimed HFCs they sell or distribute, or offer for sale or distribution, meet the reclamation standard and contain no more than 15 percent virgin HFCs, by weight.</w:t>
      </w:r>
    </w:p>
    <w:p w14:paraId="052B2B05" w14:textId="77777777" w:rsidR="00D67C1E" w:rsidRPr="00283806" w:rsidRDefault="001265CA">
      <w:pPr>
        <w:pStyle w:val="BodyText"/>
        <w:spacing w:before="60" w:line="228" w:lineRule="auto"/>
        <w:ind w:right="102" w:firstLine="180"/>
      </w:pPr>
      <w:r w:rsidRPr="00283806">
        <w:rPr>
          <w:w w:val="105"/>
        </w:rPr>
        <w:t>In response to the alternative approach offered by one of the commenters to address the potential mischaracterization of virgin HFCs sold as reclaimed HFCs, EPA notes that this approach would not fully capture the information needed to support compliance with this rule. This</w:t>
      </w:r>
      <w:r w:rsidRPr="00283806">
        <w:rPr>
          <w:spacing w:val="80"/>
          <w:w w:val="105"/>
        </w:rPr>
        <w:t xml:space="preserve"> </w:t>
      </w:r>
      <w:r w:rsidRPr="00283806">
        <w:rPr>
          <w:w w:val="105"/>
        </w:rPr>
        <w:t>approach would provide EPA with a snapshot to assess the amount of reclaimed HFCs compared to the</w:t>
      </w:r>
      <w:r w:rsidRPr="00283806">
        <w:rPr>
          <w:spacing w:val="40"/>
          <w:w w:val="105"/>
        </w:rPr>
        <w:t xml:space="preserve"> </w:t>
      </w:r>
      <w:r w:rsidRPr="00283806">
        <w:rPr>
          <w:w w:val="105"/>
        </w:rPr>
        <w:t>amount reclaimers receive as recovered HFCs each year. However, as EPA understands, reclaimers may not</w:t>
      </w:r>
      <w:r w:rsidRPr="00283806">
        <w:rPr>
          <w:spacing w:val="40"/>
          <w:w w:val="105"/>
        </w:rPr>
        <w:t xml:space="preserve"> </w:t>
      </w:r>
      <w:r w:rsidRPr="00283806">
        <w:rPr>
          <w:w w:val="105"/>
        </w:rPr>
        <w:t>reclaim all the HFCs they receive in a</w:t>
      </w:r>
    </w:p>
    <w:p w14:paraId="641E09D3" w14:textId="77777777" w:rsidR="00D67C1E" w:rsidRPr="00283806" w:rsidRDefault="001265CA">
      <w:pPr>
        <w:pStyle w:val="BodyText"/>
        <w:spacing w:before="136" w:line="225" w:lineRule="auto"/>
        <w:ind w:left="143"/>
      </w:pPr>
      <w:r w:rsidRPr="00283806">
        <w:br w:type="column"/>
      </w:r>
      <w:r w:rsidRPr="00283806">
        <w:rPr>
          <w:w w:val="105"/>
        </w:rPr>
        <w:t>single reporting year.</w:t>
      </w:r>
      <w:r w:rsidRPr="00283806">
        <w:rPr>
          <w:w w:val="105"/>
          <w:position w:val="5"/>
          <w:sz w:val="11"/>
        </w:rPr>
        <w:t>95</w:t>
      </w:r>
      <w:r w:rsidRPr="00283806">
        <w:rPr>
          <w:spacing w:val="40"/>
          <w:w w:val="105"/>
          <w:position w:val="5"/>
          <w:sz w:val="11"/>
        </w:rPr>
        <w:t xml:space="preserve"> </w:t>
      </w:r>
      <w:r w:rsidRPr="00283806">
        <w:rPr>
          <w:w w:val="105"/>
        </w:rPr>
        <w:t>They may</w:t>
      </w:r>
      <w:r w:rsidRPr="00283806">
        <w:rPr>
          <w:spacing w:val="40"/>
          <w:w w:val="105"/>
        </w:rPr>
        <w:t xml:space="preserve"> </w:t>
      </w:r>
      <w:r w:rsidRPr="00283806">
        <w:rPr>
          <w:w w:val="105"/>
        </w:rPr>
        <w:t>reserve recovered HFCs until a time that is more opportune to reclaim the HFCs, based for example, on market considerations or other factors. EPA</w:t>
      </w:r>
      <w:r w:rsidRPr="00283806">
        <w:rPr>
          <w:spacing w:val="40"/>
          <w:w w:val="105"/>
        </w:rPr>
        <w:t xml:space="preserve"> </w:t>
      </w:r>
      <w:r w:rsidRPr="00283806">
        <w:rPr>
          <w:w w:val="105"/>
        </w:rPr>
        <w:t>notes that the commenter is correct that current</w:t>
      </w:r>
      <w:r w:rsidRPr="00283806">
        <w:rPr>
          <w:spacing w:val="-6"/>
          <w:w w:val="105"/>
        </w:rPr>
        <w:t xml:space="preserve"> </w:t>
      </w:r>
      <w:r w:rsidRPr="00283806">
        <w:rPr>
          <w:w w:val="105"/>
        </w:rPr>
        <w:t>reporting</w:t>
      </w:r>
      <w:r w:rsidRPr="00283806">
        <w:rPr>
          <w:spacing w:val="-6"/>
          <w:w w:val="105"/>
        </w:rPr>
        <w:t xml:space="preserve"> </w:t>
      </w:r>
      <w:r w:rsidRPr="00283806">
        <w:rPr>
          <w:w w:val="105"/>
        </w:rPr>
        <w:t>requirements</w:t>
      </w:r>
      <w:r w:rsidRPr="00283806">
        <w:rPr>
          <w:spacing w:val="-6"/>
          <w:w w:val="105"/>
        </w:rPr>
        <w:t xml:space="preserve"> </w:t>
      </w:r>
      <w:r w:rsidRPr="00283806">
        <w:rPr>
          <w:w w:val="105"/>
        </w:rPr>
        <w:t>under</w:t>
      </w:r>
      <w:r w:rsidRPr="00283806">
        <w:rPr>
          <w:spacing w:val="-6"/>
          <w:w w:val="105"/>
        </w:rPr>
        <w:t xml:space="preserve"> </w:t>
      </w:r>
      <w:r w:rsidRPr="00283806">
        <w:rPr>
          <w:w w:val="105"/>
        </w:rPr>
        <w:t>40 CFR part 84 subpart A provides useful data, including inventory reports submitted annually. EPA could use this information to assess reported totals of HFC reclamation as compared to the</w:t>
      </w:r>
      <w:r w:rsidRPr="00283806">
        <w:rPr>
          <w:spacing w:val="80"/>
          <w:w w:val="105"/>
        </w:rPr>
        <w:t xml:space="preserve"> </w:t>
      </w:r>
      <w:r w:rsidRPr="00283806">
        <w:rPr>
          <w:w w:val="105"/>
        </w:rPr>
        <w:t>total HFCs received by reclaimers and</w:t>
      </w:r>
      <w:r w:rsidRPr="00283806">
        <w:rPr>
          <w:spacing w:val="80"/>
          <w:w w:val="105"/>
        </w:rPr>
        <w:t xml:space="preserve"> </w:t>
      </w:r>
      <w:r w:rsidRPr="00283806">
        <w:rPr>
          <w:w w:val="105"/>
        </w:rPr>
        <w:t xml:space="preserve">the amount of waste reported. The labeling requirements in this rule are designed so that the regulated entities servicing or repairing </w:t>
      </w:r>
      <w:proofErr w:type="gramStart"/>
      <w:r w:rsidRPr="00283806">
        <w:rPr>
          <w:w w:val="105"/>
        </w:rPr>
        <w:t>refrigerant</w:t>
      </w:r>
      <w:proofErr w:type="gramEnd"/>
      <w:r w:rsidRPr="00283806">
        <w:rPr>
          <w:w w:val="105"/>
        </w:rPr>
        <w:t>- containing equipment in the covered subsectors can confirm they are doing so with reclaimed HFCs. There may be</w:t>
      </w:r>
      <w:r w:rsidRPr="00283806">
        <w:rPr>
          <w:spacing w:val="80"/>
          <w:w w:val="105"/>
        </w:rPr>
        <w:t xml:space="preserve"> </w:t>
      </w:r>
      <w:r w:rsidRPr="00283806">
        <w:rPr>
          <w:w w:val="105"/>
        </w:rPr>
        <w:t>cases where the person (</w:t>
      </w:r>
      <w:r w:rsidRPr="00283806">
        <w:rPr>
          <w:rFonts w:ascii="Book Antiqua"/>
          <w:i/>
          <w:w w:val="105"/>
        </w:rPr>
        <w:t xml:space="preserve">i.e., </w:t>
      </w:r>
      <w:r w:rsidRPr="00283806">
        <w:rPr>
          <w:w w:val="105"/>
        </w:rPr>
        <w:t>a certified technician) servicing a piece of refrigerant-containing equipment in the covered RACHP subsectors is not the same person that is purchasing the reclaimed HFCs that will be required to service that piece of equipment. Thus,</w:t>
      </w:r>
      <w:r w:rsidRPr="00283806">
        <w:rPr>
          <w:spacing w:val="80"/>
          <w:w w:val="105"/>
        </w:rPr>
        <w:t xml:space="preserve"> </w:t>
      </w:r>
      <w:r w:rsidRPr="00283806">
        <w:rPr>
          <w:w w:val="105"/>
        </w:rPr>
        <w:t xml:space="preserve">the labeling requirements in this rule provide certainty to the technicians that they </w:t>
      </w:r>
      <w:proofErr w:type="gramStart"/>
      <w:r w:rsidRPr="00283806">
        <w:rPr>
          <w:w w:val="105"/>
        </w:rPr>
        <w:t>are in compliance with</w:t>
      </w:r>
      <w:proofErr w:type="gramEnd"/>
      <w:r w:rsidRPr="00283806">
        <w:rPr>
          <w:w w:val="105"/>
        </w:rPr>
        <w:t xml:space="preserve"> the reclaim requirements when they service and/or repair refrigerant-containing equipment in the covered subsectors.</w:t>
      </w:r>
    </w:p>
    <w:p w14:paraId="6F6BC787" w14:textId="77777777" w:rsidR="00D67C1E" w:rsidRPr="00283806" w:rsidRDefault="001265CA">
      <w:pPr>
        <w:pStyle w:val="BodyText"/>
        <w:spacing w:line="169" w:lineRule="exact"/>
        <w:ind w:left="323"/>
      </w:pPr>
      <w:r w:rsidRPr="00283806">
        <w:rPr>
          <w:w w:val="110"/>
        </w:rPr>
        <w:t>With</w:t>
      </w:r>
      <w:r w:rsidRPr="00283806">
        <w:rPr>
          <w:spacing w:val="-2"/>
          <w:w w:val="110"/>
        </w:rPr>
        <w:t xml:space="preserve"> </w:t>
      </w:r>
      <w:r w:rsidRPr="00283806">
        <w:rPr>
          <w:w w:val="110"/>
        </w:rPr>
        <w:t>respect</w:t>
      </w:r>
      <w:r w:rsidRPr="00283806">
        <w:rPr>
          <w:spacing w:val="-2"/>
          <w:w w:val="110"/>
        </w:rPr>
        <w:t xml:space="preserve"> </w:t>
      </w:r>
      <w:r w:rsidRPr="00283806">
        <w:rPr>
          <w:w w:val="110"/>
        </w:rPr>
        <w:t>to</w:t>
      </w:r>
      <w:r w:rsidRPr="00283806">
        <w:rPr>
          <w:spacing w:val="-1"/>
          <w:w w:val="110"/>
        </w:rPr>
        <w:t xml:space="preserve"> </w:t>
      </w:r>
      <w:r w:rsidRPr="00283806">
        <w:rPr>
          <w:w w:val="110"/>
        </w:rPr>
        <w:t>UMRA,</w:t>
      </w:r>
      <w:r w:rsidRPr="00283806">
        <w:rPr>
          <w:spacing w:val="-2"/>
          <w:w w:val="110"/>
        </w:rPr>
        <w:t xml:space="preserve"> </w:t>
      </w:r>
      <w:r w:rsidRPr="00283806">
        <w:rPr>
          <w:w w:val="110"/>
        </w:rPr>
        <w:t>the</w:t>
      </w:r>
      <w:r w:rsidRPr="00283806">
        <w:rPr>
          <w:spacing w:val="-1"/>
          <w:w w:val="110"/>
        </w:rPr>
        <w:t xml:space="preserve"> </w:t>
      </w:r>
      <w:r w:rsidRPr="00283806">
        <w:rPr>
          <w:spacing w:val="-2"/>
          <w:w w:val="110"/>
        </w:rPr>
        <w:t>Agency’s</w:t>
      </w:r>
    </w:p>
    <w:p w14:paraId="14D28B1E" w14:textId="77777777" w:rsidR="00D67C1E" w:rsidRPr="00283806" w:rsidRDefault="001265CA">
      <w:pPr>
        <w:pStyle w:val="BodyText"/>
        <w:spacing w:before="3" w:line="228" w:lineRule="auto"/>
        <w:ind w:left="143" w:right="68"/>
      </w:pPr>
      <w:r w:rsidRPr="00283806">
        <w:rPr>
          <w:w w:val="105"/>
        </w:rPr>
        <w:t>proposed action complied with the requirements under UMRA that applied</w:t>
      </w:r>
      <w:r w:rsidRPr="00283806">
        <w:rPr>
          <w:spacing w:val="40"/>
          <w:w w:val="105"/>
        </w:rPr>
        <w:t xml:space="preserve"> </w:t>
      </w:r>
      <w:r w:rsidRPr="00283806">
        <w:rPr>
          <w:w w:val="105"/>
        </w:rPr>
        <w:t>at proposal. Because the requirements finalized in this rule are narrower in</w:t>
      </w:r>
      <w:r w:rsidRPr="00283806">
        <w:rPr>
          <w:spacing w:val="40"/>
          <w:w w:val="105"/>
        </w:rPr>
        <w:t xml:space="preserve"> </w:t>
      </w:r>
      <w:r w:rsidRPr="00283806">
        <w:rPr>
          <w:w w:val="105"/>
        </w:rPr>
        <w:t>some respects than those evaluated in</w:t>
      </w:r>
      <w:r w:rsidRPr="00283806">
        <w:rPr>
          <w:spacing w:val="40"/>
          <w:w w:val="105"/>
        </w:rPr>
        <w:t xml:space="preserve"> </w:t>
      </w:r>
      <w:r w:rsidRPr="00283806">
        <w:rPr>
          <w:w w:val="105"/>
        </w:rPr>
        <w:t>the proposal, as well as the estimated impacts of the 2023 Technology Transitions Rule in reducing the amount of projected future stocks of refrigerant- containing appliances using an HFC or HFC substitute with a GWP greater than 53, the estimated compliance costs of</w:t>
      </w:r>
      <w:r w:rsidRPr="00283806">
        <w:rPr>
          <w:spacing w:val="80"/>
          <w:w w:val="150"/>
        </w:rPr>
        <w:t xml:space="preserve"> </w:t>
      </w:r>
      <w:r w:rsidRPr="00283806">
        <w:rPr>
          <w:w w:val="105"/>
        </w:rPr>
        <w:t>the</w:t>
      </w:r>
      <w:r w:rsidRPr="00283806">
        <w:rPr>
          <w:spacing w:val="40"/>
          <w:w w:val="105"/>
        </w:rPr>
        <w:t xml:space="preserve"> </w:t>
      </w:r>
      <w:r w:rsidRPr="00283806">
        <w:rPr>
          <w:w w:val="105"/>
        </w:rPr>
        <w:t>final</w:t>
      </w:r>
      <w:r w:rsidRPr="00283806">
        <w:rPr>
          <w:spacing w:val="40"/>
          <w:w w:val="105"/>
        </w:rPr>
        <w:t xml:space="preserve"> </w:t>
      </w:r>
      <w:r w:rsidRPr="00283806">
        <w:rPr>
          <w:w w:val="105"/>
        </w:rPr>
        <w:t>rule</w:t>
      </w:r>
      <w:r w:rsidRPr="00283806">
        <w:rPr>
          <w:spacing w:val="40"/>
          <w:w w:val="105"/>
        </w:rPr>
        <w:t xml:space="preserve"> </w:t>
      </w:r>
      <w:r w:rsidRPr="00283806">
        <w:rPr>
          <w:w w:val="105"/>
        </w:rPr>
        <w:t>are</w:t>
      </w:r>
      <w:r w:rsidRPr="00283806">
        <w:rPr>
          <w:spacing w:val="40"/>
          <w:w w:val="105"/>
        </w:rPr>
        <w:t xml:space="preserve"> </w:t>
      </w:r>
      <w:r w:rsidRPr="00283806">
        <w:rPr>
          <w:w w:val="105"/>
        </w:rPr>
        <w:t>significantly</w:t>
      </w:r>
      <w:r w:rsidRPr="00283806">
        <w:rPr>
          <w:spacing w:val="40"/>
          <w:w w:val="105"/>
        </w:rPr>
        <w:t xml:space="preserve"> </w:t>
      </w:r>
      <w:r w:rsidRPr="00283806">
        <w:rPr>
          <w:w w:val="105"/>
        </w:rPr>
        <w:t>lower than what the proposed rule’s estimated compliance costs were. As noted elsewhere in this preamble, this final action does not contain an unfunded mandate of $100 million or more as described</w:t>
      </w:r>
      <w:r w:rsidRPr="00283806">
        <w:rPr>
          <w:spacing w:val="40"/>
          <w:w w:val="105"/>
        </w:rPr>
        <w:t xml:space="preserve"> </w:t>
      </w:r>
      <w:r w:rsidRPr="00283806">
        <w:rPr>
          <w:w w:val="105"/>
        </w:rPr>
        <w:t>in</w:t>
      </w:r>
      <w:r w:rsidRPr="00283806">
        <w:rPr>
          <w:spacing w:val="40"/>
          <w:w w:val="105"/>
        </w:rPr>
        <w:t xml:space="preserve"> </w:t>
      </w:r>
      <w:r w:rsidRPr="00283806">
        <w:rPr>
          <w:w w:val="105"/>
        </w:rPr>
        <w:t>UMRA,</w:t>
      </w:r>
      <w:r w:rsidRPr="00283806">
        <w:rPr>
          <w:spacing w:val="40"/>
          <w:w w:val="105"/>
        </w:rPr>
        <w:t xml:space="preserve"> </w:t>
      </w:r>
      <w:r w:rsidRPr="00283806">
        <w:rPr>
          <w:w w:val="105"/>
        </w:rPr>
        <w:t>2</w:t>
      </w:r>
      <w:r w:rsidRPr="00283806">
        <w:rPr>
          <w:spacing w:val="40"/>
          <w:w w:val="105"/>
        </w:rPr>
        <w:t xml:space="preserve"> </w:t>
      </w:r>
      <w:r w:rsidRPr="00283806">
        <w:rPr>
          <w:w w:val="105"/>
        </w:rPr>
        <w:t>U.S.C.</w:t>
      </w:r>
      <w:r w:rsidRPr="00283806">
        <w:rPr>
          <w:spacing w:val="40"/>
          <w:w w:val="105"/>
        </w:rPr>
        <w:t xml:space="preserve"> </w:t>
      </w:r>
      <w:r w:rsidRPr="00283806">
        <w:rPr>
          <w:w w:val="105"/>
        </w:rPr>
        <w:t>1531– 1538, and does not significantly or uniquely affect small governments.</w:t>
      </w:r>
    </w:p>
    <w:p w14:paraId="6C2FC826" w14:textId="77777777" w:rsidR="00D67C1E" w:rsidRPr="00283806" w:rsidRDefault="001265CA">
      <w:pPr>
        <w:pStyle w:val="BodyText"/>
        <w:spacing w:line="228" w:lineRule="auto"/>
        <w:ind w:left="143" w:right="97"/>
      </w:pPr>
      <w:r w:rsidRPr="00283806">
        <w:rPr>
          <w:w w:val="105"/>
        </w:rPr>
        <w:t>Thus, the requirements related to the adoption of the least costly, most cost- effective, or least burdensome alternative that meets the objectives of the rule under UMRA do not apply to this final action. To the extent that the comments on the proposed requirements for recordkeeping and reporting and other comments on EPA not</w:t>
      </w:r>
      <w:r w:rsidRPr="00283806">
        <w:rPr>
          <w:spacing w:val="12"/>
          <w:w w:val="105"/>
        </w:rPr>
        <w:t xml:space="preserve"> </w:t>
      </w:r>
      <w:r w:rsidRPr="00283806">
        <w:rPr>
          <w:w w:val="105"/>
        </w:rPr>
        <w:t>evaluating</w:t>
      </w:r>
      <w:r w:rsidRPr="00283806">
        <w:rPr>
          <w:spacing w:val="12"/>
          <w:w w:val="105"/>
        </w:rPr>
        <w:t xml:space="preserve"> </w:t>
      </w:r>
      <w:r w:rsidRPr="00283806">
        <w:rPr>
          <w:w w:val="105"/>
        </w:rPr>
        <w:t>scenarios</w:t>
      </w:r>
      <w:r w:rsidRPr="00283806">
        <w:rPr>
          <w:spacing w:val="13"/>
          <w:w w:val="105"/>
        </w:rPr>
        <w:t xml:space="preserve"> </w:t>
      </w:r>
      <w:r w:rsidRPr="00283806">
        <w:rPr>
          <w:w w:val="105"/>
        </w:rPr>
        <w:t>and</w:t>
      </w:r>
      <w:r w:rsidRPr="00283806">
        <w:rPr>
          <w:spacing w:val="12"/>
          <w:w w:val="105"/>
        </w:rPr>
        <w:t xml:space="preserve"> </w:t>
      </w:r>
      <w:r w:rsidRPr="00283806">
        <w:rPr>
          <w:spacing w:val="-2"/>
          <w:w w:val="105"/>
        </w:rPr>
        <w:t>associated</w:t>
      </w:r>
    </w:p>
    <w:p w14:paraId="001E5A3C" w14:textId="77777777" w:rsidR="00D67C1E" w:rsidRPr="00283806" w:rsidRDefault="001265CA">
      <w:pPr>
        <w:pStyle w:val="BodyText"/>
        <w:spacing w:before="9"/>
        <w:ind w:left="0"/>
        <w:rPr>
          <w:sz w:val="11"/>
        </w:rPr>
      </w:pPr>
      <w:r w:rsidRPr="00283806">
        <w:rPr>
          <w:noProof/>
        </w:rPr>
        <mc:AlternateContent>
          <mc:Choice Requires="wps">
            <w:drawing>
              <wp:anchor distT="0" distB="0" distL="0" distR="0" simplePos="0" relativeHeight="251652096" behindDoc="1" locked="0" layoutInCell="1" allowOverlap="1" wp14:anchorId="76881DAC" wp14:editId="7C86D923">
                <wp:simplePos x="0" y="0"/>
                <wp:positionH relativeFrom="page">
                  <wp:posOffset>2819400</wp:posOffset>
                </wp:positionH>
                <wp:positionV relativeFrom="paragraph">
                  <wp:posOffset>102997</wp:posOffset>
                </wp:positionV>
                <wp:extent cx="635000" cy="1270"/>
                <wp:effectExtent l="0" t="0" r="0" b="0"/>
                <wp:wrapTopAndBottom/>
                <wp:docPr id="83" name="Graphic 8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C2C306C" id="Graphic 83" o:spid="_x0000_s1026" alt="&quot;&quot;" style="position:absolute;margin-left:222pt;margin-top:8.1pt;width:50pt;height:.1pt;z-index:-251664384;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" path="m,l635000,e" filled="f" strokeweight=".5pt">
                <v:path arrowok="t"/>
                <w10:wrap type="topAndBottom" anchorx="page"/>
              </v:shape>
            </w:pict>
          </mc:Fallback>
        </mc:AlternateContent>
      </w:r>
    </w:p>
    <w:p w14:paraId="27787029" w14:textId="77777777" w:rsidR="00D67C1E" w:rsidRPr="00283806" w:rsidRDefault="001265CA">
      <w:pPr>
        <w:spacing w:before="40" w:line="232" w:lineRule="auto"/>
        <w:ind w:left="143" w:firstLine="140"/>
        <w:rPr>
          <w:sz w:val="14"/>
        </w:rPr>
      </w:pPr>
      <w:r w:rsidRPr="00283806">
        <w:rPr>
          <w:w w:val="110"/>
          <w:position w:val="4"/>
          <w:sz w:val="9"/>
        </w:rPr>
        <w:t>95</w:t>
      </w:r>
      <w:r w:rsidRPr="00283806">
        <w:rPr>
          <w:spacing w:val="-5"/>
          <w:w w:val="110"/>
          <w:position w:val="4"/>
          <w:sz w:val="9"/>
        </w:rPr>
        <w:t xml:space="preserve"> </w:t>
      </w:r>
      <w:r w:rsidRPr="00283806">
        <w:rPr>
          <w:w w:val="110"/>
          <w:sz w:val="14"/>
        </w:rPr>
        <w:t>See</w:t>
      </w:r>
      <w:r w:rsidRPr="00283806">
        <w:rPr>
          <w:spacing w:val="-5"/>
          <w:w w:val="110"/>
          <w:sz w:val="14"/>
        </w:rPr>
        <w:t xml:space="preserve"> </w:t>
      </w:r>
      <w:r w:rsidRPr="00283806">
        <w:rPr>
          <w:w w:val="110"/>
          <w:sz w:val="14"/>
        </w:rPr>
        <w:t>section</w:t>
      </w:r>
      <w:r w:rsidRPr="00283806">
        <w:rPr>
          <w:spacing w:val="-5"/>
          <w:w w:val="110"/>
          <w:sz w:val="14"/>
        </w:rPr>
        <w:t xml:space="preserve"> </w:t>
      </w:r>
      <w:r w:rsidRPr="00283806">
        <w:rPr>
          <w:w w:val="110"/>
          <w:sz w:val="14"/>
        </w:rPr>
        <w:t>IV.H.3</w:t>
      </w:r>
      <w:r w:rsidRPr="00283806">
        <w:rPr>
          <w:spacing w:val="-5"/>
          <w:w w:val="110"/>
          <w:sz w:val="14"/>
        </w:rPr>
        <w:t xml:space="preserve"> </w:t>
      </w:r>
      <w:r w:rsidRPr="00283806">
        <w:rPr>
          <w:w w:val="110"/>
          <w:sz w:val="14"/>
        </w:rPr>
        <w:t>for</w:t>
      </w:r>
      <w:r w:rsidRPr="00283806">
        <w:rPr>
          <w:spacing w:val="-5"/>
          <w:w w:val="110"/>
          <w:sz w:val="14"/>
        </w:rPr>
        <w:t xml:space="preserve"> </w:t>
      </w:r>
      <w:r w:rsidRPr="00283806">
        <w:rPr>
          <w:w w:val="110"/>
          <w:sz w:val="14"/>
        </w:rPr>
        <w:t>discussion</w:t>
      </w:r>
      <w:r w:rsidRPr="00283806">
        <w:rPr>
          <w:spacing w:val="-5"/>
          <w:w w:val="110"/>
          <w:sz w:val="14"/>
        </w:rPr>
        <w:t xml:space="preserve"> </w:t>
      </w:r>
      <w:r w:rsidRPr="00283806">
        <w:rPr>
          <w:w w:val="110"/>
          <w:sz w:val="14"/>
        </w:rPr>
        <w:t>of</w:t>
      </w:r>
      <w:r w:rsidRPr="00283806">
        <w:rPr>
          <w:spacing w:val="-5"/>
          <w:w w:val="110"/>
          <w:sz w:val="14"/>
        </w:rPr>
        <w:t xml:space="preserve"> </w:t>
      </w:r>
      <w:r w:rsidRPr="00283806">
        <w:rPr>
          <w:w w:val="110"/>
          <w:sz w:val="14"/>
        </w:rPr>
        <w:t>speculative</w:t>
      </w:r>
      <w:r w:rsidRPr="00283806">
        <w:rPr>
          <w:spacing w:val="40"/>
          <w:w w:val="110"/>
          <w:sz w:val="14"/>
        </w:rPr>
        <w:t xml:space="preserve"> </w:t>
      </w:r>
      <w:r w:rsidRPr="00283806">
        <w:rPr>
          <w:w w:val="110"/>
          <w:sz w:val="14"/>
        </w:rPr>
        <w:t>accumulation requirements per the RCRA</w:t>
      </w:r>
      <w:r w:rsidRPr="00283806">
        <w:rPr>
          <w:spacing w:val="40"/>
          <w:w w:val="110"/>
          <w:sz w:val="14"/>
        </w:rPr>
        <w:t xml:space="preserve"> </w:t>
      </w:r>
      <w:r w:rsidRPr="00283806">
        <w:rPr>
          <w:w w:val="110"/>
          <w:sz w:val="14"/>
        </w:rPr>
        <w:t>alternative standards.</w:t>
      </w:r>
    </w:p>
    <w:p w14:paraId="5273AFDC" w14:textId="77777777" w:rsidR="00D67C1E" w:rsidRPr="00283806" w:rsidRDefault="001265CA">
      <w:pPr>
        <w:pStyle w:val="BodyText"/>
        <w:spacing w:before="133" w:line="228" w:lineRule="auto"/>
        <w:ind w:left="144" w:right="121"/>
      </w:pPr>
      <w:r w:rsidRPr="00283806">
        <w:br w:type="column"/>
      </w:r>
      <w:r w:rsidRPr="00283806">
        <w:rPr>
          <w:w w:val="105"/>
        </w:rPr>
        <w:t>costs estimates are related to the proposed container tracking requirements, EPA responds that those provisions are not being finalized in this rule, and the Agency is not addressing such comments.</w:t>
      </w:r>
    </w:p>
    <w:p w14:paraId="3B2E606A" w14:textId="77777777" w:rsidR="00D67C1E" w:rsidRPr="00283806" w:rsidRDefault="001265CA">
      <w:pPr>
        <w:pStyle w:val="BodyText"/>
        <w:spacing w:before="37" w:line="228" w:lineRule="auto"/>
        <w:ind w:left="144" w:right="121" w:firstLine="180"/>
      </w:pPr>
      <w:r w:rsidRPr="00283806">
        <w:rPr>
          <w:w w:val="105"/>
        </w:rPr>
        <w:t>Given the importance of the 15</w:t>
      </w:r>
      <w:r w:rsidRPr="00283806">
        <w:rPr>
          <w:spacing w:val="80"/>
          <w:w w:val="105"/>
        </w:rPr>
        <w:t xml:space="preserve"> </w:t>
      </w:r>
      <w:r w:rsidRPr="00283806">
        <w:rPr>
          <w:w w:val="105"/>
        </w:rPr>
        <w:t>percent cap in helping to achieve the regulatory objective of maximizing reclamation,</w:t>
      </w:r>
      <w:r w:rsidRPr="00283806">
        <w:rPr>
          <w:spacing w:val="40"/>
          <w:w w:val="105"/>
        </w:rPr>
        <w:t xml:space="preserve"> </w:t>
      </w:r>
      <w:r w:rsidRPr="00283806">
        <w:rPr>
          <w:w w:val="105"/>
        </w:rPr>
        <w:t>EPA</w:t>
      </w:r>
      <w:r w:rsidRPr="00283806">
        <w:rPr>
          <w:spacing w:val="40"/>
          <w:w w:val="105"/>
        </w:rPr>
        <w:t xml:space="preserve"> </w:t>
      </w:r>
      <w:r w:rsidRPr="00283806">
        <w:rPr>
          <w:w w:val="105"/>
        </w:rPr>
        <w:t>does</w:t>
      </w:r>
      <w:r w:rsidRPr="00283806">
        <w:rPr>
          <w:spacing w:val="40"/>
          <w:w w:val="105"/>
        </w:rPr>
        <w:t xml:space="preserve"> </w:t>
      </w:r>
      <w:r w:rsidRPr="00283806">
        <w:rPr>
          <w:w w:val="105"/>
        </w:rPr>
        <w:t>not</w:t>
      </w:r>
      <w:r w:rsidRPr="00283806">
        <w:rPr>
          <w:spacing w:val="40"/>
          <w:w w:val="105"/>
        </w:rPr>
        <w:t xml:space="preserve"> </w:t>
      </w:r>
      <w:r w:rsidRPr="00283806">
        <w:rPr>
          <w:w w:val="105"/>
        </w:rPr>
        <w:t>agree</w:t>
      </w:r>
      <w:r w:rsidRPr="00283806">
        <w:rPr>
          <w:spacing w:val="40"/>
          <w:w w:val="105"/>
        </w:rPr>
        <w:t xml:space="preserve"> </w:t>
      </w:r>
      <w:r w:rsidRPr="00283806">
        <w:rPr>
          <w:w w:val="105"/>
        </w:rPr>
        <w:t>that any costs or burdens that may be experienced by reclaimers or customers are unjustified. While only some aspects of EPA’s analysis regarding projected impacts of the rule were considered in developing</w:t>
      </w:r>
      <w:r w:rsidRPr="00283806">
        <w:rPr>
          <w:spacing w:val="40"/>
          <w:w w:val="105"/>
        </w:rPr>
        <w:t xml:space="preserve"> </w:t>
      </w:r>
      <w:r w:rsidRPr="00283806">
        <w:rPr>
          <w:w w:val="105"/>
        </w:rPr>
        <w:t>this</w:t>
      </w:r>
      <w:r w:rsidRPr="00283806">
        <w:rPr>
          <w:spacing w:val="40"/>
          <w:w w:val="105"/>
        </w:rPr>
        <w:t xml:space="preserve"> </w:t>
      </w:r>
      <w:r w:rsidRPr="00283806">
        <w:rPr>
          <w:w w:val="105"/>
        </w:rPr>
        <w:t>final</w:t>
      </w:r>
      <w:r w:rsidRPr="00283806">
        <w:rPr>
          <w:spacing w:val="40"/>
          <w:w w:val="105"/>
        </w:rPr>
        <w:t xml:space="preserve"> </w:t>
      </w:r>
      <w:r w:rsidRPr="00283806">
        <w:rPr>
          <w:w w:val="105"/>
        </w:rPr>
        <w:t>rule,</w:t>
      </w:r>
      <w:r w:rsidRPr="00283806">
        <w:rPr>
          <w:spacing w:val="40"/>
          <w:w w:val="105"/>
        </w:rPr>
        <w:t xml:space="preserve"> </w:t>
      </w:r>
      <w:r w:rsidRPr="00283806">
        <w:rPr>
          <w:w w:val="105"/>
        </w:rPr>
        <w:t>EPA</w:t>
      </w:r>
      <w:r w:rsidRPr="00283806">
        <w:rPr>
          <w:spacing w:val="40"/>
          <w:w w:val="105"/>
        </w:rPr>
        <w:t xml:space="preserve"> </w:t>
      </w:r>
      <w:r w:rsidRPr="00283806">
        <w:rPr>
          <w:w w:val="105"/>
        </w:rPr>
        <w:t>notes that its analysis of the impacts of this provision is discussed in the Economic Impact and Benefits TSD. EPA disagrees with the commenter’s assertion that the objectives of this rule—which addresses requirements</w:t>
      </w:r>
      <w:r w:rsidRPr="00283806">
        <w:rPr>
          <w:spacing w:val="-2"/>
          <w:w w:val="105"/>
        </w:rPr>
        <w:t xml:space="preserve"> </w:t>
      </w:r>
      <w:r w:rsidRPr="00283806">
        <w:rPr>
          <w:w w:val="105"/>
        </w:rPr>
        <w:t>under</w:t>
      </w:r>
      <w:r w:rsidRPr="00283806">
        <w:rPr>
          <w:spacing w:val="-2"/>
          <w:w w:val="105"/>
        </w:rPr>
        <w:t xml:space="preserve"> </w:t>
      </w:r>
      <w:r w:rsidRPr="00283806">
        <w:rPr>
          <w:w w:val="105"/>
        </w:rPr>
        <w:t>subsection</w:t>
      </w:r>
      <w:r w:rsidRPr="00283806">
        <w:rPr>
          <w:spacing w:val="-3"/>
          <w:w w:val="105"/>
        </w:rPr>
        <w:t xml:space="preserve"> </w:t>
      </w:r>
      <w:r w:rsidRPr="00283806">
        <w:rPr>
          <w:w w:val="105"/>
        </w:rPr>
        <w:t>(h)</w:t>
      </w:r>
      <w:r w:rsidRPr="00283806">
        <w:rPr>
          <w:spacing w:val="-2"/>
          <w:w w:val="105"/>
        </w:rPr>
        <w:t xml:space="preserve"> </w:t>
      </w:r>
      <w:r w:rsidRPr="00283806">
        <w:rPr>
          <w:w w:val="105"/>
        </w:rPr>
        <w:t>of</w:t>
      </w:r>
      <w:r w:rsidRPr="00283806">
        <w:rPr>
          <w:spacing w:val="-2"/>
          <w:w w:val="105"/>
        </w:rPr>
        <w:t xml:space="preserve"> </w:t>
      </w:r>
      <w:r w:rsidRPr="00283806">
        <w:rPr>
          <w:w w:val="105"/>
        </w:rPr>
        <w:t>the AIM Act—would already be achieved by previously established regulations pertaining to separate statutory requirements of the AIM Act. As noted above, the recordkeeping and reporting requirements under other regulations under</w:t>
      </w:r>
      <w:r w:rsidRPr="00283806">
        <w:rPr>
          <w:spacing w:val="40"/>
          <w:w w:val="105"/>
        </w:rPr>
        <w:t xml:space="preserve"> </w:t>
      </w:r>
      <w:r w:rsidRPr="00283806">
        <w:rPr>
          <w:w w:val="105"/>
        </w:rPr>
        <w:t>the</w:t>
      </w:r>
      <w:r w:rsidRPr="00283806">
        <w:rPr>
          <w:spacing w:val="40"/>
          <w:w w:val="105"/>
        </w:rPr>
        <w:t xml:space="preserve"> </w:t>
      </w:r>
      <w:r w:rsidRPr="00283806">
        <w:rPr>
          <w:w w:val="105"/>
        </w:rPr>
        <w:t>AIM</w:t>
      </w:r>
      <w:r w:rsidRPr="00283806">
        <w:rPr>
          <w:spacing w:val="40"/>
          <w:w w:val="105"/>
        </w:rPr>
        <w:t xml:space="preserve"> </w:t>
      </w:r>
      <w:r w:rsidRPr="00283806">
        <w:rPr>
          <w:w w:val="105"/>
        </w:rPr>
        <w:t>Act</w:t>
      </w:r>
      <w:r w:rsidRPr="00283806">
        <w:rPr>
          <w:spacing w:val="40"/>
          <w:w w:val="105"/>
        </w:rPr>
        <w:t xml:space="preserve"> </w:t>
      </w:r>
      <w:r w:rsidRPr="00283806">
        <w:rPr>
          <w:w w:val="105"/>
        </w:rPr>
        <w:t>would</w:t>
      </w:r>
      <w:r w:rsidRPr="00283806">
        <w:rPr>
          <w:spacing w:val="40"/>
          <w:w w:val="105"/>
        </w:rPr>
        <w:t xml:space="preserve"> </w:t>
      </w:r>
      <w:r w:rsidRPr="00283806">
        <w:rPr>
          <w:w w:val="105"/>
        </w:rPr>
        <w:t>not</w:t>
      </w:r>
      <w:r w:rsidRPr="00283806">
        <w:rPr>
          <w:spacing w:val="40"/>
          <w:w w:val="105"/>
        </w:rPr>
        <w:t xml:space="preserve"> </w:t>
      </w:r>
      <w:r w:rsidRPr="00283806">
        <w:rPr>
          <w:w w:val="105"/>
        </w:rPr>
        <w:t xml:space="preserve">achieve the same </w:t>
      </w:r>
      <w:proofErr w:type="gramStart"/>
      <w:r w:rsidRPr="00283806">
        <w:rPr>
          <w:w w:val="105"/>
        </w:rPr>
        <w:t>purposes</w:t>
      </w:r>
      <w:proofErr w:type="gramEnd"/>
      <w:r w:rsidRPr="00283806">
        <w:rPr>
          <w:w w:val="105"/>
        </w:rPr>
        <w:t xml:space="preserve"> as required in this rulemaking. The requirements under 40 CFR part 84 subpart A cited by the commenter provide information on reclamation totals and provide insight</w:t>
      </w:r>
      <w:r w:rsidRPr="00283806">
        <w:rPr>
          <w:spacing w:val="80"/>
          <w:w w:val="105"/>
        </w:rPr>
        <w:t xml:space="preserve"> </w:t>
      </w:r>
      <w:r w:rsidRPr="00283806">
        <w:rPr>
          <w:w w:val="105"/>
        </w:rPr>
        <w:t>on reclamation trends. They do not provide</w:t>
      </w:r>
      <w:r w:rsidRPr="00283806">
        <w:rPr>
          <w:spacing w:val="40"/>
          <w:w w:val="105"/>
        </w:rPr>
        <w:t xml:space="preserve"> </w:t>
      </w:r>
      <w:r w:rsidRPr="00283806">
        <w:rPr>
          <w:w w:val="105"/>
        </w:rPr>
        <w:t>information</w:t>
      </w:r>
      <w:r w:rsidRPr="00283806">
        <w:rPr>
          <w:spacing w:val="40"/>
          <w:w w:val="105"/>
        </w:rPr>
        <w:t xml:space="preserve"> </w:t>
      </w:r>
      <w:r w:rsidRPr="00283806">
        <w:rPr>
          <w:w w:val="105"/>
        </w:rPr>
        <w:t>for</w:t>
      </w:r>
      <w:r w:rsidRPr="00283806">
        <w:rPr>
          <w:spacing w:val="40"/>
          <w:w w:val="105"/>
        </w:rPr>
        <w:t xml:space="preserve"> </w:t>
      </w:r>
      <w:r w:rsidRPr="00283806">
        <w:rPr>
          <w:w w:val="105"/>
        </w:rPr>
        <w:t>compliance with the reclamation standard, nor</w:t>
      </w:r>
      <w:r w:rsidRPr="00283806">
        <w:rPr>
          <w:spacing w:val="80"/>
          <w:w w:val="105"/>
        </w:rPr>
        <w:t xml:space="preserve"> </w:t>
      </w:r>
      <w:r w:rsidRPr="00283806">
        <w:rPr>
          <w:w w:val="105"/>
        </w:rPr>
        <w:t>would they provide information about reclaimed HFCs to those regulated entities servicing and/or repairing refrigerant-containing equipment. As detailed in the Economic Impact and Benefits TSD, EPA evaluated multiple scenarios regarding incremental impacts of this rule relative to actions that industry may or may not undertake in</w:t>
      </w:r>
      <w:r w:rsidRPr="00283806">
        <w:rPr>
          <w:spacing w:val="40"/>
          <w:w w:val="105"/>
        </w:rPr>
        <w:t xml:space="preserve"> </w:t>
      </w:r>
      <w:r w:rsidRPr="00283806">
        <w:rPr>
          <w:w w:val="105"/>
        </w:rPr>
        <w:t>the baseline. EPA has presented results</w:t>
      </w:r>
      <w:r w:rsidRPr="00283806">
        <w:rPr>
          <w:spacing w:val="80"/>
          <w:w w:val="105"/>
        </w:rPr>
        <w:t xml:space="preserve"> </w:t>
      </w:r>
      <w:r w:rsidRPr="00283806">
        <w:rPr>
          <w:w w:val="105"/>
        </w:rPr>
        <w:t>of the more conservative of these scenarios in this preamble. The Agency has</w:t>
      </w:r>
      <w:r w:rsidRPr="00283806">
        <w:rPr>
          <w:spacing w:val="40"/>
          <w:w w:val="105"/>
        </w:rPr>
        <w:t xml:space="preserve"> </w:t>
      </w:r>
      <w:r w:rsidRPr="00283806">
        <w:rPr>
          <w:w w:val="105"/>
        </w:rPr>
        <w:t>taken</w:t>
      </w:r>
      <w:r w:rsidRPr="00283806">
        <w:rPr>
          <w:spacing w:val="40"/>
          <w:w w:val="105"/>
        </w:rPr>
        <w:t xml:space="preserve"> </w:t>
      </w:r>
      <w:r w:rsidRPr="00283806">
        <w:rPr>
          <w:w w:val="105"/>
        </w:rPr>
        <w:t>into</w:t>
      </w:r>
      <w:r w:rsidRPr="00283806">
        <w:rPr>
          <w:spacing w:val="40"/>
          <w:w w:val="105"/>
        </w:rPr>
        <w:t xml:space="preserve"> </w:t>
      </w:r>
      <w:r w:rsidRPr="00283806">
        <w:rPr>
          <w:w w:val="105"/>
        </w:rPr>
        <w:t>consideration,</w:t>
      </w:r>
      <w:r w:rsidRPr="00283806">
        <w:rPr>
          <w:spacing w:val="40"/>
          <w:w w:val="105"/>
        </w:rPr>
        <w:t xml:space="preserve"> </w:t>
      </w:r>
      <w:r w:rsidRPr="00283806">
        <w:rPr>
          <w:w w:val="105"/>
        </w:rPr>
        <w:t>in</w:t>
      </w:r>
      <w:r w:rsidRPr="00283806">
        <w:rPr>
          <w:spacing w:val="40"/>
          <w:w w:val="105"/>
        </w:rPr>
        <w:t xml:space="preserve"> </w:t>
      </w:r>
      <w:r w:rsidRPr="00283806">
        <w:rPr>
          <w:w w:val="105"/>
        </w:rPr>
        <w:t>this rule, requirements for reclaimed HFCs and expects these regulations will</w:t>
      </w:r>
      <w:r w:rsidRPr="00283806">
        <w:rPr>
          <w:spacing w:val="40"/>
          <w:w w:val="105"/>
        </w:rPr>
        <w:t xml:space="preserve"> </w:t>
      </w:r>
      <w:r w:rsidRPr="00283806">
        <w:rPr>
          <w:w w:val="105"/>
        </w:rPr>
        <w:t xml:space="preserve">provide market signals that will support </w:t>
      </w:r>
      <w:proofErr w:type="gramStart"/>
      <w:r w:rsidRPr="00283806">
        <w:rPr>
          <w:w w:val="105"/>
        </w:rPr>
        <w:t>increased</w:t>
      </w:r>
      <w:proofErr w:type="gramEnd"/>
      <w:r w:rsidRPr="00283806">
        <w:rPr>
          <w:w w:val="105"/>
        </w:rPr>
        <w:t xml:space="preserve"> recovery of HFC refrigerants becoming available for </w:t>
      </w:r>
      <w:proofErr w:type="gramStart"/>
      <w:r w:rsidRPr="00283806">
        <w:rPr>
          <w:w w:val="105"/>
        </w:rPr>
        <w:t>reclamation, and</w:t>
      </w:r>
      <w:proofErr w:type="gramEnd"/>
      <w:r w:rsidRPr="00283806">
        <w:rPr>
          <w:w w:val="105"/>
        </w:rPr>
        <w:t xml:space="preserve"> will support reclaimers increasing the </w:t>
      </w:r>
      <w:proofErr w:type="gramStart"/>
      <w:r w:rsidRPr="00283806">
        <w:rPr>
          <w:w w:val="105"/>
        </w:rPr>
        <w:t>amount</w:t>
      </w:r>
      <w:proofErr w:type="gramEnd"/>
      <w:r w:rsidRPr="00283806">
        <w:rPr>
          <w:w w:val="105"/>
        </w:rPr>
        <w:t xml:space="preserve"> of reclaimed refrigerants available to meet the increased demand. The Economic Impact and Benefits TSD does not include increased recovery in the base case for this rule based on the assumptions for that scenario; however, EPA did consider an alternate scenario with increased recovery and anticipates that the reclamation provisions could support increased recovery during servicing or disposal where the refrigerant may otherwise have been</w:t>
      </w:r>
    </w:p>
    <w:p w14:paraId="7D35A602"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7" w:space="40"/>
            <w:col w:w="3500" w:space="39"/>
            <w:col w:w="3624"/>
          </w:cols>
        </w:sectPr>
      </w:pPr>
    </w:p>
    <w:p w14:paraId="0E2EA353" w14:textId="77777777" w:rsidR="00D67C1E" w:rsidRPr="00283806" w:rsidRDefault="001265CA">
      <w:pPr>
        <w:pStyle w:val="BodyText"/>
        <w:spacing w:before="136" w:line="225" w:lineRule="auto"/>
        <w:ind w:right="9"/>
      </w:pPr>
      <w:r w:rsidRPr="00283806">
        <w:rPr>
          <w:w w:val="105"/>
        </w:rPr>
        <w:lastRenderedPageBreak/>
        <w:t>vented or released. EPA also notes that estimated compliances costs resulting from the final rule are significantly</w:t>
      </w:r>
      <w:r w:rsidRPr="00283806">
        <w:rPr>
          <w:spacing w:val="80"/>
          <w:w w:val="150"/>
        </w:rPr>
        <w:t xml:space="preserve"> </w:t>
      </w:r>
      <w:r w:rsidRPr="00283806">
        <w:rPr>
          <w:w w:val="105"/>
        </w:rPr>
        <w:t>lower than those assessed for the proposed</w:t>
      </w:r>
      <w:r w:rsidRPr="00283806">
        <w:rPr>
          <w:spacing w:val="-1"/>
          <w:w w:val="105"/>
        </w:rPr>
        <w:t xml:space="preserve"> </w:t>
      </w:r>
      <w:r w:rsidRPr="00283806">
        <w:rPr>
          <w:w w:val="105"/>
        </w:rPr>
        <w:t>rule,</w:t>
      </w:r>
      <w:r w:rsidRPr="00283806">
        <w:rPr>
          <w:spacing w:val="-1"/>
          <w:w w:val="105"/>
        </w:rPr>
        <w:t xml:space="preserve"> </w:t>
      </w:r>
      <w:r w:rsidRPr="00283806">
        <w:rPr>
          <w:w w:val="105"/>
        </w:rPr>
        <w:t>because</w:t>
      </w:r>
      <w:r w:rsidRPr="00283806">
        <w:rPr>
          <w:spacing w:val="-1"/>
          <w:w w:val="105"/>
        </w:rPr>
        <w:t xml:space="preserve"> </w:t>
      </w:r>
      <w:r w:rsidRPr="00283806">
        <w:rPr>
          <w:w w:val="105"/>
        </w:rPr>
        <w:t>the</w:t>
      </w:r>
      <w:r w:rsidRPr="00283806">
        <w:rPr>
          <w:spacing w:val="-1"/>
          <w:w w:val="105"/>
        </w:rPr>
        <w:t xml:space="preserve"> </w:t>
      </w:r>
      <w:r w:rsidRPr="00283806">
        <w:rPr>
          <w:w w:val="105"/>
        </w:rPr>
        <w:t>requirements finalized in this rule are narrower in some respects than those evaluated in</w:t>
      </w:r>
      <w:r w:rsidRPr="00283806">
        <w:rPr>
          <w:spacing w:val="40"/>
          <w:w w:val="105"/>
        </w:rPr>
        <w:t xml:space="preserve"> </w:t>
      </w:r>
      <w:r w:rsidRPr="00283806">
        <w:rPr>
          <w:w w:val="105"/>
        </w:rPr>
        <w:t>the proposal. EPA reiterates that this rulemaking is designed to serve the purposes identified in subsection (h)(1) of the AIM Act of maximizing</w:t>
      </w:r>
      <w:r w:rsidRPr="00283806">
        <w:rPr>
          <w:spacing w:val="80"/>
          <w:w w:val="105"/>
        </w:rPr>
        <w:t xml:space="preserve"> </w:t>
      </w:r>
      <w:r w:rsidRPr="00283806">
        <w:rPr>
          <w:w w:val="105"/>
        </w:rPr>
        <w:t>reclamation and minimizing the release of regulated substances. While, as noted previously in this preamble, EPA has included estimates of the costs and benefits of this rulemaking in analyses that are available in the docket for this rulemaking, including in the Economic Impact and Benefits TSD, to provide the public with information on the relevant costs and benefits of this action and to comply with Executive Orders, nothing</w:t>
      </w:r>
      <w:r w:rsidRPr="00283806">
        <w:rPr>
          <w:spacing w:val="80"/>
          <w:w w:val="105"/>
        </w:rPr>
        <w:t xml:space="preserve"> </w:t>
      </w:r>
      <w:r w:rsidRPr="00283806">
        <w:rPr>
          <w:w w:val="105"/>
        </w:rPr>
        <w:t>in the AIM Act requires EPA to consider costs or identifies any particular cost- based metric or analytical approach for use in evaluating and establishing regulations to implement subsection (h). The commenter correctly stated that subsection (h) of the AIM Act does include a small business grant program that is subject to appropriation availability. Subsection (h)(5) provides this program for the purchase of new specialized equipment for the recycling, recovery, or reclamation of a substitute for a regulated substance, including the purchase of approved refrigerant recycling equipment for recycling, recovery, or reclamation in the service</w:t>
      </w:r>
      <w:r w:rsidRPr="00283806">
        <w:rPr>
          <w:spacing w:val="80"/>
          <w:w w:val="105"/>
        </w:rPr>
        <w:t xml:space="preserve"> </w:t>
      </w:r>
      <w:r w:rsidRPr="00283806">
        <w:rPr>
          <w:w w:val="105"/>
        </w:rPr>
        <w:t xml:space="preserve">or repair of MVAC systems. Funds have not been appropriated for this grant program and the establishment of this program is outside the scope of this </w:t>
      </w:r>
      <w:r w:rsidRPr="00283806">
        <w:rPr>
          <w:spacing w:val="-2"/>
          <w:w w:val="105"/>
        </w:rPr>
        <w:t>rulemaking.</w:t>
      </w:r>
    </w:p>
    <w:p w14:paraId="2E3C5FBA" w14:textId="77777777" w:rsidR="00D67C1E" w:rsidRPr="00283806" w:rsidRDefault="001265CA">
      <w:pPr>
        <w:spacing w:line="169" w:lineRule="exact"/>
        <w:ind w:left="340"/>
        <w:rPr>
          <w:sz w:val="18"/>
        </w:rPr>
      </w:pPr>
      <w:r w:rsidRPr="00283806">
        <w:rPr>
          <w:rFonts w:ascii="Book Antiqua"/>
          <w:i/>
          <w:w w:val="110"/>
          <w:sz w:val="18"/>
        </w:rPr>
        <w:t>Comment:</w:t>
      </w:r>
      <w:r w:rsidRPr="00283806">
        <w:rPr>
          <w:rFonts w:ascii="Book Antiqua"/>
          <w:i/>
          <w:spacing w:val="-13"/>
          <w:w w:val="110"/>
          <w:sz w:val="18"/>
        </w:rPr>
        <w:t xml:space="preserve"> </w:t>
      </w:r>
      <w:r w:rsidRPr="00283806">
        <w:rPr>
          <w:w w:val="110"/>
          <w:sz w:val="18"/>
        </w:rPr>
        <w:t>One</w:t>
      </w:r>
      <w:r w:rsidRPr="00283806">
        <w:rPr>
          <w:spacing w:val="-6"/>
          <w:w w:val="110"/>
          <w:sz w:val="18"/>
        </w:rPr>
        <w:t xml:space="preserve"> </w:t>
      </w:r>
      <w:r w:rsidRPr="00283806">
        <w:rPr>
          <w:w w:val="110"/>
          <w:sz w:val="18"/>
        </w:rPr>
        <w:t>commenter</w:t>
      </w:r>
      <w:r w:rsidRPr="00283806">
        <w:rPr>
          <w:spacing w:val="-7"/>
          <w:w w:val="110"/>
          <w:sz w:val="18"/>
        </w:rPr>
        <w:t xml:space="preserve"> </w:t>
      </w:r>
      <w:r w:rsidRPr="00283806">
        <w:rPr>
          <w:spacing w:val="-4"/>
          <w:w w:val="110"/>
          <w:sz w:val="18"/>
        </w:rPr>
        <w:t>questioned</w:t>
      </w:r>
    </w:p>
    <w:p w14:paraId="5D311B5D" w14:textId="77777777" w:rsidR="00D67C1E" w:rsidRPr="00283806" w:rsidRDefault="001265CA">
      <w:pPr>
        <w:pStyle w:val="BodyText"/>
        <w:spacing w:line="225" w:lineRule="auto"/>
        <w:ind w:right="111"/>
      </w:pPr>
      <w:r w:rsidRPr="00283806">
        <w:rPr>
          <w:w w:val="105"/>
        </w:rPr>
        <w:t>why contractors seem to de-select reclaimed refrigerants, noting the differences between the AHRI 700 standard and new refrigerants supplied with 99.99 percent purity and precision blending. The commenter suggested</w:t>
      </w:r>
      <w:r w:rsidRPr="00283806">
        <w:rPr>
          <w:spacing w:val="40"/>
          <w:w w:val="105"/>
        </w:rPr>
        <w:t xml:space="preserve"> </w:t>
      </w:r>
      <w:r w:rsidRPr="00283806">
        <w:rPr>
          <w:w w:val="105"/>
        </w:rPr>
        <w:t>EPA consider upgrading the</w:t>
      </w:r>
      <w:r w:rsidRPr="00283806">
        <w:rPr>
          <w:spacing w:val="40"/>
          <w:w w:val="105"/>
        </w:rPr>
        <w:t xml:space="preserve"> </w:t>
      </w:r>
      <w:r w:rsidRPr="00283806">
        <w:rPr>
          <w:w w:val="105"/>
        </w:rPr>
        <w:t>specification to match the current</w:t>
      </w:r>
      <w:r w:rsidRPr="00283806">
        <w:rPr>
          <w:spacing w:val="40"/>
          <w:w w:val="105"/>
        </w:rPr>
        <w:t xml:space="preserve"> </w:t>
      </w:r>
      <w:r w:rsidRPr="00283806">
        <w:rPr>
          <w:w w:val="105"/>
        </w:rPr>
        <w:t>supply of virgin refrigerants.</w:t>
      </w:r>
    </w:p>
    <w:p w14:paraId="3FF3B2D9" w14:textId="77777777" w:rsidR="00D67C1E" w:rsidRPr="00283806" w:rsidRDefault="001265CA">
      <w:pPr>
        <w:pStyle w:val="BodyText"/>
        <w:spacing w:line="213" w:lineRule="auto"/>
        <w:ind w:firstLine="180"/>
      </w:pPr>
      <w:r w:rsidRPr="00283806">
        <w:rPr>
          <w:rFonts w:ascii="Book Antiqua" w:hAnsi="Book Antiqua"/>
          <w:i/>
          <w:w w:val="105"/>
        </w:rPr>
        <w:t xml:space="preserve">Response: </w:t>
      </w:r>
      <w:r w:rsidRPr="00283806">
        <w:rPr>
          <w:w w:val="105"/>
        </w:rPr>
        <w:t>In response to the commenter’s question regarding use of</w:t>
      </w:r>
    </w:p>
    <w:p w14:paraId="03211689" w14:textId="77777777" w:rsidR="00D67C1E" w:rsidRPr="00283806" w:rsidRDefault="001265CA">
      <w:pPr>
        <w:pStyle w:val="BodyText"/>
        <w:spacing w:line="225" w:lineRule="auto"/>
        <w:ind w:right="81"/>
      </w:pPr>
      <w:r w:rsidRPr="00283806">
        <w:rPr>
          <w:w w:val="105"/>
        </w:rPr>
        <w:t>reclaimed refrigerants in the RACHP sector, EPA notes that certain ODS may only be available as reclaimed for use in particular applications with the ODS phaseout. For example, since 2020, only reclaimed HCFC–22 can be used to service appliances in the RACHP sector. The same is true for appliances using CFCs since the 1990s. The Agency is not aware of any concerns from the RACHP servicing industry stemming from these requirements.</w:t>
      </w:r>
      <w:r w:rsidRPr="00283806">
        <w:rPr>
          <w:spacing w:val="40"/>
          <w:w w:val="105"/>
        </w:rPr>
        <w:t xml:space="preserve"> </w:t>
      </w:r>
      <w:r w:rsidRPr="00283806">
        <w:rPr>
          <w:w w:val="105"/>
        </w:rPr>
        <w:t>The</w:t>
      </w:r>
      <w:r w:rsidRPr="00283806">
        <w:rPr>
          <w:spacing w:val="40"/>
          <w:w w:val="105"/>
        </w:rPr>
        <w:t xml:space="preserve"> </w:t>
      </w:r>
      <w:r w:rsidRPr="00283806">
        <w:rPr>
          <w:w w:val="105"/>
        </w:rPr>
        <w:t>Agency</w:t>
      </w:r>
      <w:r w:rsidRPr="00283806">
        <w:rPr>
          <w:spacing w:val="40"/>
          <w:w w:val="105"/>
        </w:rPr>
        <w:t xml:space="preserve"> </w:t>
      </w:r>
      <w:r w:rsidRPr="00283806">
        <w:rPr>
          <w:w w:val="105"/>
        </w:rPr>
        <w:t>considers this example and the broader ODS</w:t>
      </w:r>
    </w:p>
    <w:p w14:paraId="276A483C" w14:textId="77777777" w:rsidR="00D67C1E" w:rsidRPr="00283806" w:rsidRDefault="001265CA">
      <w:pPr>
        <w:pStyle w:val="BodyText"/>
        <w:spacing w:before="136" w:line="225" w:lineRule="auto"/>
        <w:ind w:left="142" w:right="89"/>
      </w:pPr>
      <w:r w:rsidRPr="00283806">
        <w:br w:type="column"/>
      </w:r>
      <w:r w:rsidRPr="00283806">
        <w:rPr>
          <w:w w:val="105"/>
        </w:rPr>
        <w:t xml:space="preserve">reliance on reclaimed ODS as informative in the context of this </w:t>
      </w:r>
      <w:r w:rsidRPr="00283806">
        <w:rPr>
          <w:spacing w:val="-2"/>
          <w:w w:val="105"/>
        </w:rPr>
        <w:t>rulemaking.</w:t>
      </w:r>
    </w:p>
    <w:p w14:paraId="3361DDB2" w14:textId="77777777" w:rsidR="00D67C1E" w:rsidRPr="00283806" w:rsidRDefault="001265CA">
      <w:pPr>
        <w:pStyle w:val="BodyText"/>
        <w:spacing w:line="179" w:lineRule="exact"/>
        <w:ind w:left="322"/>
      </w:pPr>
      <w:r w:rsidRPr="00283806">
        <w:rPr>
          <w:w w:val="105"/>
        </w:rPr>
        <w:t>EPA</w:t>
      </w:r>
      <w:r w:rsidRPr="00283806">
        <w:rPr>
          <w:spacing w:val="17"/>
          <w:w w:val="105"/>
        </w:rPr>
        <w:t xml:space="preserve"> </w:t>
      </w:r>
      <w:r w:rsidRPr="00283806">
        <w:rPr>
          <w:w w:val="105"/>
        </w:rPr>
        <w:t>acknowledges</w:t>
      </w:r>
      <w:r w:rsidRPr="00283806">
        <w:rPr>
          <w:spacing w:val="17"/>
          <w:w w:val="105"/>
        </w:rPr>
        <w:t xml:space="preserve"> </w:t>
      </w:r>
      <w:r w:rsidRPr="00283806">
        <w:rPr>
          <w:w w:val="105"/>
        </w:rPr>
        <w:t>that</w:t>
      </w:r>
      <w:r w:rsidRPr="00283806">
        <w:rPr>
          <w:spacing w:val="17"/>
          <w:w w:val="105"/>
        </w:rPr>
        <w:t xml:space="preserve"> </w:t>
      </w:r>
      <w:r w:rsidRPr="00283806">
        <w:rPr>
          <w:spacing w:val="-4"/>
          <w:w w:val="105"/>
        </w:rPr>
        <w:t>both</w:t>
      </w:r>
    </w:p>
    <w:p w14:paraId="4C82D379" w14:textId="77777777" w:rsidR="00D67C1E" w:rsidRPr="00283806" w:rsidRDefault="001265CA">
      <w:pPr>
        <w:pStyle w:val="BodyText"/>
        <w:spacing w:before="3" w:line="225" w:lineRule="auto"/>
        <w:ind w:left="142" w:right="18"/>
      </w:pPr>
      <w:proofErr w:type="gramStart"/>
      <w:r w:rsidRPr="00283806">
        <w:rPr>
          <w:w w:val="105"/>
        </w:rPr>
        <w:t>reclaimed</w:t>
      </w:r>
      <w:proofErr w:type="gramEnd"/>
      <w:r w:rsidRPr="00283806">
        <w:rPr>
          <w:w w:val="105"/>
        </w:rPr>
        <w:t xml:space="preserve"> and virgin HFCs are required</w:t>
      </w:r>
      <w:r w:rsidRPr="00283806">
        <w:rPr>
          <w:spacing w:val="40"/>
          <w:w w:val="105"/>
        </w:rPr>
        <w:t xml:space="preserve"> </w:t>
      </w:r>
      <w:r w:rsidRPr="00283806">
        <w:rPr>
          <w:w w:val="105"/>
        </w:rPr>
        <w:t>to meet the AHRI 700 purity standard</w:t>
      </w:r>
      <w:r w:rsidRPr="00283806">
        <w:rPr>
          <w:spacing w:val="40"/>
          <w:w w:val="105"/>
        </w:rPr>
        <w:t xml:space="preserve"> </w:t>
      </w:r>
      <w:r w:rsidRPr="00283806">
        <w:rPr>
          <w:w w:val="105"/>
        </w:rPr>
        <w:t>and that even with compliance with the AHRI 700 purity standard, there may be minor differences between reclaimed</w:t>
      </w:r>
      <w:r w:rsidRPr="00283806">
        <w:rPr>
          <w:spacing w:val="40"/>
          <w:w w:val="105"/>
        </w:rPr>
        <w:t xml:space="preserve"> </w:t>
      </w:r>
      <w:r w:rsidRPr="00283806">
        <w:rPr>
          <w:w w:val="105"/>
        </w:rPr>
        <w:t>and virgin refrigerant (such as moisture content). However, these minor differences do not impact the functionality of the reclaimed</w:t>
      </w:r>
      <w:r w:rsidRPr="00283806">
        <w:rPr>
          <w:spacing w:val="40"/>
          <w:w w:val="105"/>
        </w:rPr>
        <w:t xml:space="preserve"> </w:t>
      </w:r>
      <w:r w:rsidRPr="00283806">
        <w:rPr>
          <w:w w:val="105"/>
        </w:rPr>
        <w:t xml:space="preserve">refrigerants in </w:t>
      </w:r>
      <w:proofErr w:type="gramStart"/>
      <w:r w:rsidRPr="00283806">
        <w:rPr>
          <w:w w:val="105"/>
        </w:rPr>
        <w:t>equipment</w:t>
      </w:r>
      <w:proofErr w:type="gramEnd"/>
      <w:r w:rsidRPr="00283806">
        <w:rPr>
          <w:w w:val="105"/>
        </w:rPr>
        <w:t xml:space="preserve"> nor do they suggest marked differences between reclaimed and virgin refrigerants as both are required to reach, at a minimum, AHRI 700 levels of purity. These differences should not </w:t>
      </w:r>
      <w:proofErr w:type="gramStart"/>
      <w:r w:rsidRPr="00283806">
        <w:rPr>
          <w:w w:val="105"/>
        </w:rPr>
        <w:t>impact</w:t>
      </w:r>
      <w:proofErr w:type="gramEnd"/>
      <w:r w:rsidRPr="00283806">
        <w:rPr>
          <w:w w:val="105"/>
        </w:rPr>
        <w:t xml:space="preserve"> the equipment that uses these refrigerants. Accordingly, EPA is not making any change</w:t>
      </w:r>
      <w:r w:rsidRPr="00283806">
        <w:rPr>
          <w:spacing w:val="40"/>
          <w:w w:val="105"/>
        </w:rPr>
        <w:t xml:space="preserve"> </w:t>
      </w:r>
      <w:r w:rsidRPr="00283806">
        <w:rPr>
          <w:w w:val="105"/>
        </w:rPr>
        <w:t>to</w:t>
      </w:r>
      <w:r w:rsidRPr="00283806">
        <w:rPr>
          <w:spacing w:val="40"/>
          <w:w w:val="105"/>
        </w:rPr>
        <w:t xml:space="preserve"> </w:t>
      </w:r>
      <w:r w:rsidRPr="00283806">
        <w:rPr>
          <w:w w:val="105"/>
        </w:rPr>
        <w:t>the</w:t>
      </w:r>
      <w:r w:rsidRPr="00283806">
        <w:rPr>
          <w:spacing w:val="40"/>
          <w:w w:val="105"/>
        </w:rPr>
        <w:t xml:space="preserve"> </w:t>
      </w:r>
      <w:r w:rsidRPr="00283806">
        <w:rPr>
          <w:w w:val="105"/>
        </w:rPr>
        <w:t>applicable</w:t>
      </w:r>
      <w:r w:rsidRPr="00283806">
        <w:rPr>
          <w:spacing w:val="40"/>
          <w:w w:val="105"/>
        </w:rPr>
        <w:t xml:space="preserve"> </w:t>
      </w:r>
      <w:r w:rsidRPr="00283806">
        <w:rPr>
          <w:w w:val="105"/>
        </w:rPr>
        <w:t>specifications to match the current supply of virgin refrigerants in this final action.</w:t>
      </w:r>
    </w:p>
    <w:p w14:paraId="51F7B2AE" w14:textId="77777777" w:rsidR="00D67C1E" w:rsidRPr="00283806" w:rsidRDefault="001265CA">
      <w:pPr>
        <w:spacing w:line="178" w:lineRule="exact"/>
        <w:ind w:left="322"/>
        <w:rPr>
          <w:sz w:val="18"/>
        </w:rPr>
      </w:pPr>
      <w:r w:rsidRPr="00283806">
        <w:rPr>
          <w:rFonts w:ascii="Book Antiqua"/>
          <w:i/>
          <w:w w:val="105"/>
          <w:sz w:val="18"/>
        </w:rPr>
        <w:t>Comment:</w:t>
      </w:r>
      <w:r w:rsidRPr="00283806">
        <w:rPr>
          <w:rFonts w:ascii="Book Antiqua"/>
          <w:i/>
          <w:spacing w:val="22"/>
          <w:w w:val="105"/>
          <w:sz w:val="18"/>
        </w:rPr>
        <w:t xml:space="preserve"> </w:t>
      </w:r>
      <w:r w:rsidRPr="00283806">
        <w:rPr>
          <w:w w:val="105"/>
          <w:sz w:val="18"/>
        </w:rPr>
        <w:t>One</w:t>
      </w:r>
      <w:r w:rsidRPr="00283806">
        <w:rPr>
          <w:spacing w:val="28"/>
          <w:w w:val="105"/>
          <w:sz w:val="18"/>
        </w:rPr>
        <w:t xml:space="preserve"> </w:t>
      </w:r>
      <w:r w:rsidRPr="00283806">
        <w:rPr>
          <w:w w:val="105"/>
          <w:sz w:val="18"/>
        </w:rPr>
        <w:t>commenter</w:t>
      </w:r>
      <w:r w:rsidRPr="00283806">
        <w:rPr>
          <w:spacing w:val="28"/>
          <w:w w:val="105"/>
          <w:sz w:val="18"/>
        </w:rPr>
        <w:t xml:space="preserve"> </w:t>
      </w:r>
      <w:r w:rsidRPr="00283806">
        <w:rPr>
          <w:spacing w:val="-2"/>
          <w:w w:val="105"/>
          <w:sz w:val="18"/>
        </w:rPr>
        <w:t>requested</w:t>
      </w:r>
    </w:p>
    <w:p w14:paraId="268EA25E" w14:textId="77777777" w:rsidR="00D67C1E" w:rsidRPr="00283806" w:rsidRDefault="001265CA">
      <w:pPr>
        <w:pStyle w:val="BodyText"/>
        <w:spacing w:line="225" w:lineRule="auto"/>
        <w:ind w:left="142"/>
      </w:pPr>
      <w:r w:rsidRPr="00283806">
        <w:rPr>
          <w:w w:val="105"/>
        </w:rPr>
        <w:t xml:space="preserve">that EPA </w:t>
      </w:r>
      <w:proofErr w:type="gramStart"/>
      <w:r w:rsidRPr="00283806">
        <w:rPr>
          <w:w w:val="105"/>
        </w:rPr>
        <w:t>acknowledge</w:t>
      </w:r>
      <w:proofErr w:type="gramEnd"/>
      <w:r w:rsidRPr="00283806">
        <w:rPr>
          <w:w w:val="105"/>
        </w:rPr>
        <w:t xml:space="preserve"> the unique challenges of returning diverse blends to ASHRAE</w:t>
      </w:r>
      <w:r w:rsidRPr="00283806">
        <w:rPr>
          <w:spacing w:val="35"/>
          <w:w w:val="105"/>
        </w:rPr>
        <w:t xml:space="preserve"> </w:t>
      </w:r>
      <w:r w:rsidRPr="00283806">
        <w:rPr>
          <w:w w:val="105"/>
        </w:rPr>
        <w:t>specifications</w:t>
      </w:r>
      <w:r w:rsidRPr="00283806">
        <w:rPr>
          <w:spacing w:val="35"/>
          <w:w w:val="105"/>
        </w:rPr>
        <w:t xml:space="preserve"> </w:t>
      </w:r>
      <w:r w:rsidRPr="00283806">
        <w:rPr>
          <w:w w:val="105"/>
        </w:rPr>
        <w:t>without</w:t>
      </w:r>
      <w:r w:rsidRPr="00283806">
        <w:rPr>
          <w:spacing w:val="80"/>
          <w:w w:val="105"/>
        </w:rPr>
        <w:t xml:space="preserve"> </w:t>
      </w:r>
      <w:r w:rsidRPr="00283806">
        <w:rPr>
          <w:w w:val="105"/>
        </w:rPr>
        <w:t>blending a significant amount of virgin content. The commenter cited five- and three-component refrigerant blends that may be challenging to return to their nominal composition, require more than 15 percent virgin refrigerant, or use an HFC</w:t>
      </w:r>
      <w:r w:rsidRPr="00283806">
        <w:rPr>
          <w:spacing w:val="37"/>
          <w:w w:val="105"/>
        </w:rPr>
        <w:t xml:space="preserve"> </w:t>
      </w:r>
      <w:r w:rsidRPr="00283806">
        <w:rPr>
          <w:w w:val="105"/>
        </w:rPr>
        <w:t>that</w:t>
      </w:r>
      <w:r w:rsidRPr="00283806">
        <w:rPr>
          <w:spacing w:val="37"/>
          <w:w w:val="105"/>
        </w:rPr>
        <w:t xml:space="preserve"> </w:t>
      </w:r>
      <w:r w:rsidRPr="00283806">
        <w:rPr>
          <w:w w:val="105"/>
        </w:rPr>
        <w:t>is</w:t>
      </w:r>
      <w:r w:rsidRPr="00283806">
        <w:rPr>
          <w:spacing w:val="37"/>
          <w:w w:val="105"/>
        </w:rPr>
        <w:t xml:space="preserve"> </w:t>
      </w:r>
      <w:r w:rsidRPr="00283806">
        <w:rPr>
          <w:w w:val="105"/>
        </w:rPr>
        <w:t>rarely</w:t>
      </w:r>
      <w:r w:rsidRPr="00283806">
        <w:rPr>
          <w:spacing w:val="37"/>
          <w:w w:val="105"/>
        </w:rPr>
        <w:t xml:space="preserve"> </w:t>
      </w:r>
      <w:r w:rsidRPr="00283806">
        <w:rPr>
          <w:w w:val="105"/>
        </w:rPr>
        <w:t>used</w:t>
      </w:r>
      <w:r w:rsidRPr="00283806">
        <w:rPr>
          <w:spacing w:val="37"/>
          <w:w w:val="105"/>
        </w:rPr>
        <w:t xml:space="preserve"> </w:t>
      </w:r>
      <w:r w:rsidRPr="00283806">
        <w:rPr>
          <w:w w:val="105"/>
        </w:rPr>
        <w:t>and</w:t>
      </w:r>
      <w:r w:rsidRPr="00283806">
        <w:rPr>
          <w:spacing w:val="37"/>
          <w:w w:val="105"/>
        </w:rPr>
        <w:t xml:space="preserve"> </w:t>
      </w:r>
      <w:r w:rsidRPr="00283806">
        <w:rPr>
          <w:w w:val="105"/>
        </w:rPr>
        <w:t>therefore not recovered in sufficient quantities.</w:t>
      </w:r>
    </w:p>
    <w:p w14:paraId="48F7ABDE" w14:textId="77777777" w:rsidR="00D67C1E" w:rsidRPr="00283806" w:rsidRDefault="001265CA">
      <w:pPr>
        <w:pStyle w:val="BodyText"/>
        <w:spacing w:line="225" w:lineRule="auto"/>
        <w:ind w:left="142" w:right="37"/>
      </w:pPr>
      <w:r w:rsidRPr="00283806">
        <w:rPr>
          <w:w w:val="105"/>
        </w:rPr>
        <w:t>The commenter provided an example of</w:t>
      </w:r>
      <w:r w:rsidRPr="00283806">
        <w:rPr>
          <w:spacing w:val="40"/>
          <w:w w:val="105"/>
        </w:rPr>
        <w:t xml:space="preserve"> </w:t>
      </w:r>
      <w:r w:rsidRPr="00283806">
        <w:rPr>
          <w:w w:val="105"/>
        </w:rPr>
        <w:t>a newer blend, R–471A, which is a</w:t>
      </w:r>
      <w:r w:rsidRPr="00283806">
        <w:rPr>
          <w:spacing w:val="80"/>
          <w:w w:val="105"/>
        </w:rPr>
        <w:t xml:space="preserve"> </w:t>
      </w:r>
      <w:r w:rsidRPr="00283806">
        <w:rPr>
          <w:w w:val="105"/>
        </w:rPr>
        <w:t>three-component blend that consists of two HFO components and HFC–227ea. The commenter further states that HFC– 227ea is rarely used as a refrigerant today, and it would be difficult to produce reclaimed R–471A based on</w:t>
      </w:r>
      <w:r w:rsidRPr="00283806">
        <w:rPr>
          <w:spacing w:val="40"/>
          <w:w w:val="105"/>
        </w:rPr>
        <w:t xml:space="preserve"> </w:t>
      </w:r>
      <w:r w:rsidRPr="00283806">
        <w:rPr>
          <w:w w:val="105"/>
        </w:rPr>
        <w:t>this. The commenter recommended increasing the permissible virgin</w:t>
      </w:r>
      <w:r w:rsidRPr="00283806">
        <w:rPr>
          <w:spacing w:val="80"/>
          <w:w w:val="105"/>
        </w:rPr>
        <w:t xml:space="preserve"> </w:t>
      </w:r>
      <w:r w:rsidRPr="00283806">
        <w:rPr>
          <w:w w:val="105"/>
        </w:rPr>
        <w:t>percent composition to avoid</w:t>
      </w:r>
      <w:r w:rsidRPr="00283806">
        <w:rPr>
          <w:spacing w:val="80"/>
          <w:w w:val="105"/>
        </w:rPr>
        <w:t xml:space="preserve"> </w:t>
      </w:r>
      <w:r w:rsidRPr="00283806">
        <w:rPr>
          <w:w w:val="105"/>
        </w:rPr>
        <w:t>eliminating ASHRAE A1 refrigerants</w:t>
      </w:r>
      <w:r w:rsidRPr="00283806">
        <w:rPr>
          <w:spacing w:val="80"/>
          <w:w w:val="105"/>
        </w:rPr>
        <w:t xml:space="preserve"> </w:t>
      </w:r>
      <w:r w:rsidRPr="00283806">
        <w:rPr>
          <w:w w:val="105"/>
        </w:rPr>
        <w:t>that comply with the 2023 Technology Transitions Rule. Another commenter opposed the 15 percent limit and stated that the standard may be feasible for limited</w:t>
      </w:r>
      <w:r w:rsidRPr="00283806">
        <w:rPr>
          <w:spacing w:val="40"/>
          <w:w w:val="105"/>
        </w:rPr>
        <w:t xml:space="preserve"> </w:t>
      </w:r>
      <w:r w:rsidRPr="00283806">
        <w:rPr>
          <w:w w:val="105"/>
        </w:rPr>
        <w:t>use</w:t>
      </w:r>
      <w:r w:rsidRPr="00283806">
        <w:rPr>
          <w:spacing w:val="40"/>
          <w:w w:val="105"/>
        </w:rPr>
        <w:t xml:space="preserve"> </w:t>
      </w:r>
      <w:r w:rsidRPr="00283806">
        <w:rPr>
          <w:w w:val="105"/>
        </w:rPr>
        <w:t>of</w:t>
      </w:r>
      <w:r w:rsidRPr="00283806">
        <w:rPr>
          <w:spacing w:val="40"/>
          <w:w w:val="105"/>
        </w:rPr>
        <w:t xml:space="preserve"> </w:t>
      </w:r>
      <w:r w:rsidRPr="00283806">
        <w:rPr>
          <w:w w:val="105"/>
        </w:rPr>
        <w:t>the</w:t>
      </w:r>
      <w:r w:rsidRPr="00283806">
        <w:rPr>
          <w:spacing w:val="40"/>
          <w:w w:val="105"/>
        </w:rPr>
        <w:t xml:space="preserve"> </w:t>
      </w:r>
      <w:r w:rsidRPr="00283806">
        <w:rPr>
          <w:w w:val="105"/>
        </w:rPr>
        <w:t>two-component blend, R–410A, as was done in CARB’s program. The commenter further stated that the standard could not be used to correlate to three, four, and five component blends that have varying physical properties and would require varying cost-effective technical options</w:t>
      </w:r>
      <w:r w:rsidRPr="00283806">
        <w:rPr>
          <w:spacing w:val="40"/>
          <w:w w:val="105"/>
        </w:rPr>
        <w:t xml:space="preserve"> </w:t>
      </w:r>
      <w:r w:rsidRPr="00283806">
        <w:rPr>
          <w:w w:val="105"/>
        </w:rPr>
        <w:t xml:space="preserve">to bring the material to appropriate </w:t>
      </w:r>
      <w:r w:rsidRPr="00283806">
        <w:rPr>
          <w:spacing w:val="-2"/>
          <w:w w:val="105"/>
        </w:rPr>
        <w:t>standards.</w:t>
      </w:r>
    </w:p>
    <w:p w14:paraId="60893492" w14:textId="77777777" w:rsidR="00D67C1E" w:rsidRPr="00283806" w:rsidRDefault="001265CA">
      <w:pPr>
        <w:pStyle w:val="BodyText"/>
        <w:spacing w:line="178" w:lineRule="exact"/>
        <w:ind w:left="322"/>
      </w:pPr>
      <w:r w:rsidRPr="00283806">
        <w:rPr>
          <w:w w:val="105"/>
        </w:rPr>
        <w:t>Another</w:t>
      </w:r>
      <w:r w:rsidRPr="00283806">
        <w:rPr>
          <w:spacing w:val="8"/>
          <w:w w:val="105"/>
        </w:rPr>
        <w:t xml:space="preserve"> </w:t>
      </w:r>
      <w:r w:rsidRPr="00283806">
        <w:rPr>
          <w:w w:val="105"/>
        </w:rPr>
        <w:t>commenter</w:t>
      </w:r>
      <w:r w:rsidRPr="00283806">
        <w:rPr>
          <w:spacing w:val="8"/>
          <w:w w:val="105"/>
        </w:rPr>
        <w:t xml:space="preserve"> </w:t>
      </w:r>
      <w:r w:rsidRPr="00283806">
        <w:rPr>
          <w:w w:val="105"/>
        </w:rPr>
        <w:t>supported</w:t>
      </w:r>
      <w:r w:rsidRPr="00283806">
        <w:rPr>
          <w:spacing w:val="8"/>
          <w:w w:val="105"/>
        </w:rPr>
        <w:t xml:space="preserve"> </w:t>
      </w:r>
      <w:r w:rsidRPr="00283806">
        <w:rPr>
          <w:spacing w:val="-2"/>
          <w:w w:val="105"/>
        </w:rPr>
        <w:t>EPA’s</w:t>
      </w:r>
    </w:p>
    <w:p w14:paraId="0AB2A57A" w14:textId="77777777" w:rsidR="00D67C1E" w:rsidRPr="00283806" w:rsidRDefault="001265CA">
      <w:pPr>
        <w:pStyle w:val="BodyText"/>
        <w:spacing w:line="228" w:lineRule="auto"/>
        <w:ind w:left="142"/>
      </w:pPr>
      <w:r w:rsidRPr="00283806">
        <w:rPr>
          <w:w w:val="105"/>
        </w:rPr>
        <w:t>15 percent virgin content standard for refrigerant blends with fewer than three components but recommended 65 percent reclaimed content and 35</w:t>
      </w:r>
      <w:r w:rsidRPr="00283806">
        <w:rPr>
          <w:spacing w:val="40"/>
          <w:w w:val="105"/>
        </w:rPr>
        <w:t xml:space="preserve"> </w:t>
      </w:r>
      <w:r w:rsidRPr="00283806">
        <w:rPr>
          <w:w w:val="105"/>
        </w:rPr>
        <w:t>percent virgin HFCs for blends with</w:t>
      </w:r>
      <w:r w:rsidRPr="00283806">
        <w:rPr>
          <w:spacing w:val="80"/>
          <w:w w:val="105"/>
        </w:rPr>
        <w:t xml:space="preserve"> </w:t>
      </w:r>
      <w:r w:rsidRPr="00283806">
        <w:rPr>
          <w:w w:val="105"/>
        </w:rPr>
        <w:t>three or more components to account for</w:t>
      </w:r>
    </w:p>
    <w:p w14:paraId="0282E409" w14:textId="77777777" w:rsidR="00D67C1E" w:rsidRPr="00283806" w:rsidRDefault="001265CA">
      <w:pPr>
        <w:pStyle w:val="BodyText"/>
        <w:spacing w:before="135" w:line="225" w:lineRule="auto"/>
        <w:ind w:left="144" w:right="144"/>
      </w:pPr>
      <w:r w:rsidRPr="00283806">
        <w:br w:type="column"/>
      </w:r>
      <w:r w:rsidRPr="00283806">
        <w:rPr>
          <w:w w:val="105"/>
        </w:rPr>
        <w:t>minor additions in certain products and issues with leak fractionation. Two commenters recommended phasing in the virgin refrigerant limit over several years. One of the commenters recommended starting with a 90 percent virgin product in 2028 and progressing</w:t>
      </w:r>
      <w:r w:rsidRPr="00283806">
        <w:rPr>
          <w:spacing w:val="40"/>
          <w:w w:val="105"/>
        </w:rPr>
        <w:t xml:space="preserve"> </w:t>
      </w:r>
      <w:r w:rsidRPr="00283806">
        <w:rPr>
          <w:w w:val="105"/>
        </w:rPr>
        <w:t xml:space="preserve">to the 15 percent limit. The commenter noted this would enable the market to </w:t>
      </w:r>
      <w:r w:rsidRPr="00283806">
        <w:rPr>
          <w:spacing w:val="-2"/>
          <w:w w:val="105"/>
        </w:rPr>
        <w:t>adjust.</w:t>
      </w:r>
    </w:p>
    <w:p w14:paraId="7272CEE9" w14:textId="77777777" w:rsidR="00D67C1E" w:rsidRPr="00283806" w:rsidRDefault="001265CA">
      <w:pPr>
        <w:spacing w:line="182" w:lineRule="exact"/>
        <w:ind w:left="144" w:firstLine="180"/>
        <w:rPr>
          <w:sz w:val="18"/>
        </w:rPr>
      </w:pPr>
      <w:r w:rsidRPr="00283806">
        <w:rPr>
          <w:rFonts w:ascii="Book Antiqua"/>
          <w:i/>
          <w:w w:val="110"/>
          <w:sz w:val="18"/>
        </w:rPr>
        <w:t>Response:</w:t>
      </w:r>
      <w:r w:rsidRPr="00283806">
        <w:rPr>
          <w:rFonts w:ascii="Book Antiqua"/>
          <w:i/>
          <w:spacing w:val="2"/>
          <w:w w:val="110"/>
          <w:sz w:val="18"/>
        </w:rPr>
        <w:t xml:space="preserve"> </w:t>
      </w:r>
      <w:r w:rsidRPr="00283806">
        <w:rPr>
          <w:w w:val="110"/>
          <w:sz w:val="18"/>
        </w:rPr>
        <w:t>EPA</w:t>
      </w:r>
      <w:r w:rsidRPr="00283806">
        <w:rPr>
          <w:spacing w:val="8"/>
          <w:w w:val="110"/>
          <w:sz w:val="18"/>
        </w:rPr>
        <w:t xml:space="preserve"> </w:t>
      </w:r>
      <w:r w:rsidRPr="00283806">
        <w:rPr>
          <w:w w:val="110"/>
          <w:sz w:val="18"/>
        </w:rPr>
        <w:t>acknowledges</w:t>
      </w:r>
      <w:r w:rsidRPr="00283806">
        <w:rPr>
          <w:spacing w:val="8"/>
          <w:w w:val="110"/>
          <w:sz w:val="18"/>
        </w:rPr>
        <w:t xml:space="preserve"> </w:t>
      </w:r>
      <w:r w:rsidRPr="00283806">
        <w:rPr>
          <w:spacing w:val="-2"/>
          <w:w w:val="110"/>
          <w:sz w:val="18"/>
        </w:rPr>
        <w:t>these</w:t>
      </w:r>
    </w:p>
    <w:p w14:paraId="3978AFD7" w14:textId="77777777" w:rsidR="00D67C1E" w:rsidRPr="00283806" w:rsidRDefault="001265CA">
      <w:pPr>
        <w:pStyle w:val="BodyText"/>
        <w:spacing w:line="225" w:lineRule="auto"/>
        <w:ind w:left="144" w:right="123"/>
      </w:pPr>
      <w:r w:rsidRPr="00283806">
        <w:rPr>
          <w:w w:val="110"/>
        </w:rPr>
        <w:t>comments on multi-component blends. EPA is not establishing varying percentage limits for virgin HFC refrigerant based on the number of components in a refrigerant blend or a phase in approach by percentage. As explained in prior responses, the Agency is establishing an upper limit</w:t>
      </w:r>
      <w:r w:rsidRPr="00283806">
        <w:rPr>
          <w:spacing w:val="40"/>
          <w:w w:val="110"/>
        </w:rPr>
        <w:t xml:space="preserve"> </w:t>
      </w:r>
      <w:r w:rsidRPr="00283806">
        <w:rPr>
          <w:w w:val="110"/>
        </w:rPr>
        <w:t>for</w:t>
      </w:r>
      <w:r w:rsidRPr="00283806">
        <w:rPr>
          <w:spacing w:val="-1"/>
          <w:w w:val="110"/>
        </w:rPr>
        <w:t xml:space="preserve"> </w:t>
      </w:r>
      <w:r w:rsidRPr="00283806">
        <w:rPr>
          <w:w w:val="110"/>
        </w:rPr>
        <w:t>virgin</w:t>
      </w:r>
      <w:r w:rsidRPr="00283806">
        <w:rPr>
          <w:spacing w:val="-1"/>
          <w:w w:val="110"/>
        </w:rPr>
        <w:t xml:space="preserve"> </w:t>
      </w:r>
      <w:r w:rsidRPr="00283806">
        <w:rPr>
          <w:w w:val="110"/>
        </w:rPr>
        <w:t>HFCs</w:t>
      </w:r>
      <w:r w:rsidRPr="00283806">
        <w:rPr>
          <w:spacing w:val="-1"/>
          <w:w w:val="110"/>
        </w:rPr>
        <w:t xml:space="preserve"> </w:t>
      </w:r>
      <w:r w:rsidRPr="00283806">
        <w:rPr>
          <w:w w:val="110"/>
        </w:rPr>
        <w:t>in</w:t>
      </w:r>
      <w:r w:rsidRPr="00283806">
        <w:rPr>
          <w:spacing w:val="-1"/>
          <w:w w:val="110"/>
        </w:rPr>
        <w:t xml:space="preserve"> </w:t>
      </w:r>
      <w:r w:rsidRPr="00283806">
        <w:rPr>
          <w:w w:val="110"/>
        </w:rPr>
        <w:t>reclaimed</w:t>
      </w:r>
      <w:r w:rsidRPr="00283806">
        <w:rPr>
          <w:spacing w:val="-1"/>
          <w:w w:val="110"/>
        </w:rPr>
        <w:t xml:space="preserve"> </w:t>
      </w:r>
      <w:r w:rsidRPr="00283806">
        <w:rPr>
          <w:w w:val="110"/>
        </w:rPr>
        <w:t>HFCs</w:t>
      </w:r>
      <w:r w:rsidRPr="00283806">
        <w:rPr>
          <w:spacing w:val="-1"/>
          <w:w w:val="110"/>
        </w:rPr>
        <w:t xml:space="preserve"> </w:t>
      </w:r>
      <w:r w:rsidRPr="00283806">
        <w:rPr>
          <w:w w:val="110"/>
        </w:rPr>
        <w:t>of</w:t>
      </w:r>
      <w:r w:rsidRPr="00283806">
        <w:rPr>
          <w:spacing w:val="-1"/>
          <w:w w:val="110"/>
        </w:rPr>
        <w:t xml:space="preserve"> </w:t>
      </w:r>
      <w:r w:rsidRPr="00283806">
        <w:rPr>
          <w:w w:val="110"/>
        </w:rPr>
        <w:t xml:space="preserve">15 percent by weight. EPA acknowledges the reclamation challenges in working with blends, and </w:t>
      </w:r>
      <w:proofErr w:type="gramStart"/>
      <w:r w:rsidRPr="00283806">
        <w:rPr>
          <w:w w:val="110"/>
        </w:rPr>
        <w:t>in particular with</w:t>
      </w:r>
      <w:proofErr w:type="gramEnd"/>
      <w:r w:rsidRPr="00283806">
        <w:rPr>
          <w:w w:val="110"/>
        </w:rPr>
        <w:t xml:space="preserve"> three or more component blends. The </w:t>
      </w:r>
      <w:r w:rsidRPr="00283806">
        <w:t>Agency notes that there are technologies</w:t>
      </w:r>
      <w:r w:rsidRPr="00283806">
        <w:rPr>
          <w:spacing w:val="40"/>
          <w:w w:val="110"/>
        </w:rPr>
        <w:t xml:space="preserve"> </w:t>
      </w:r>
      <w:r w:rsidRPr="00283806">
        <w:rPr>
          <w:w w:val="110"/>
        </w:rPr>
        <w:t xml:space="preserve">available to effectively reclaim such blends and reclaimers with the technical capability to do so. Further, EPA notes that many blends with three </w:t>
      </w:r>
      <w:r w:rsidRPr="00283806">
        <w:t>or more components are currently being</w:t>
      </w:r>
      <w:r w:rsidRPr="00283806">
        <w:rPr>
          <w:w w:val="110"/>
        </w:rPr>
        <w:t xml:space="preserve"> reclaimed. The Agency provides an </w:t>
      </w:r>
      <w:r w:rsidRPr="00283806">
        <w:t>assessment of the anticipated demand of</w:t>
      </w:r>
      <w:r w:rsidRPr="00283806">
        <w:rPr>
          <w:spacing w:val="40"/>
          <w:w w:val="110"/>
        </w:rPr>
        <w:t xml:space="preserve"> </w:t>
      </w:r>
      <w:r w:rsidRPr="00283806">
        <w:rPr>
          <w:w w:val="110"/>
        </w:rPr>
        <w:t xml:space="preserve">some of these blends related to the requirements in this rule for the servicing and/or repair of refrigerant- containing equipment with reclaimed HFCs in three RACHP subsectors in its </w:t>
      </w:r>
      <w:r w:rsidRPr="00283806">
        <w:rPr>
          <w:rFonts w:ascii="Book Antiqua" w:hAnsi="Book Antiqua"/>
          <w:i/>
          <w:w w:val="110"/>
        </w:rPr>
        <w:t xml:space="preserve">Analysis of the U.S. Hydrofluorocarbon Reclamation Market: Stakeholders, Drivers, and Practices. </w:t>
      </w:r>
      <w:r w:rsidRPr="00283806">
        <w:rPr>
          <w:w w:val="110"/>
        </w:rPr>
        <w:t xml:space="preserve">Among these blends are R–404A, R–407A, R–407C, and R–452A. </w:t>
      </w:r>
      <w:proofErr w:type="gramStart"/>
      <w:r w:rsidRPr="00283806">
        <w:rPr>
          <w:w w:val="110"/>
        </w:rPr>
        <w:t>With the exception of</w:t>
      </w:r>
      <w:proofErr w:type="gramEnd"/>
      <w:r w:rsidRPr="00283806">
        <w:rPr>
          <w:w w:val="110"/>
        </w:rPr>
        <w:t xml:space="preserve"> R– 452A (which is composed of two HFCs and an HFO), each of these blends have HFCs as all three components. EPA discusses </w:t>
      </w:r>
      <w:proofErr w:type="gramStart"/>
      <w:r w:rsidRPr="00283806">
        <w:rPr>
          <w:w w:val="110"/>
        </w:rPr>
        <w:t>supply</w:t>
      </w:r>
      <w:proofErr w:type="gramEnd"/>
      <w:r w:rsidRPr="00283806">
        <w:rPr>
          <w:w w:val="110"/>
        </w:rPr>
        <w:t xml:space="preserve"> of reclaimed HFCs in comment responses in section IV.E.2, and the Agency further notes that it is likely</w:t>
      </w:r>
      <w:r w:rsidRPr="00283806">
        <w:rPr>
          <w:spacing w:val="-7"/>
          <w:w w:val="110"/>
        </w:rPr>
        <w:t xml:space="preserve"> </w:t>
      </w:r>
      <w:r w:rsidRPr="00283806">
        <w:rPr>
          <w:w w:val="110"/>
        </w:rPr>
        <w:t>that</w:t>
      </w:r>
      <w:r w:rsidRPr="00283806">
        <w:rPr>
          <w:spacing w:val="-7"/>
          <w:w w:val="110"/>
        </w:rPr>
        <w:t xml:space="preserve"> </w:t>
      </w:r>
      <w:proofErr w:type="gramStart"/>
      <w:r w:rsidRPr="00283806">
        <w:rPr>
          <w:w w:val="110"/>
        </w:rPr>
        <w:t>components</w:t>
      </w:r>
      <w:proofErr w:type="gramEnd"/>
      <w:r w:rsidRPr="00283806">
        <w:rPr>
          <w:spacing w:val="-7"/>
          <w:w w:val="110"/>
        </w:rPr>
        <w:t xml:space="preserve"> </w:t>
      </w:r>
      <w:r w:rsidRPr="00283806">
        <w:rPr>
          <w:w w:val="110"/>
        </w:rPr>
        <w:t>of</w:t>
      </w:r>
      <w:r w:rsidRPr="00283806">
        <w:rPr>
          <w:spacing w:val="-7"/>
          <w:w w:val="110"/>
        </w:rPr>
        <w:t xml:space="preserve"> </w:t>
      </w:r>
      <w:r w:rsidRPr="00283806">
        <w:rPr>
          <w:w w:val="110"/>
        </w:rPr>
        <w:t>blends</w:t>
      </w:r>
      <w:r w:rsidRPr="00283806">
        <w:rPr>
          <w:spacing w:val="-7"/>
          <w:w w:val="110"/>
        </w:rPr>
        <w:t xml:space="preserve"> </w:t>
      </w:r>
      <w:r w:rsidRPr="00283806">
        <w:rPr>
          <w:w w:val="110"/>
        </w:rPr>
        <w:t>will</w:t>
      </w:r>
      <w:r w:rsidRPr="00283806">
        <w:rPr>
          <w:spacing w:val="-7"/>
          <w:w w:val="110"/>
        </w:rPr>
        <w:t xml:space="preserve"> </w:t>
      </w:r>
      <w:r w:rsidRPr="00283806">
        <w:rPr>
          <w:w w:val="110"/>
        </w:rPr>
        <w:t>be reclaimed and reconstituted. For example,</w:t>
      </w:r>
      <w:r w:rsidRPr="00283806">
        <w:rPr>
          <w:spacing w:val="-11"/>
          <w:w w:val="110"/>
        </w:rPr>
        <w:t xml:space="preserve"> </w:t>
      </w:r>
      <w:r w:rsidRPr="00283806">
        <w:rPr>
          <w:w w:val="110"/>
        </w:rPr>
        <w:t>R–410A</w:t>
      </w:r>
      <w:r w:rsidRPr="00283806">
        <w:rPr>
          <w:spacing w:val="-11"/>
          <w:w w:val="110"/>
        </w:rPr>
        <w:t xml:space="preserve"> </w:t>
      </w:r>
      <w:r w:rsidRPr="00283806">
        <w:rPr>
          <w:w w:val="110"/>
        </w:rPr>
        <w:t>is</w:t>
      </w:r>
      <w:r w:rsidRPr="00283806">
        <w:rPr>
          <w:spacing w:val="-11"/>
          <w:w w:val="110"/>
        </w:rPr>
        <w:t xml:space="preserve"> </w:t>
      </w:r>
      <w:r w:rsidRPr="00283806">
        <w:rPr>
          <w:w w:val="110"/>
        </w:rPr>
        <w:t>the</w:t>
      </w:r>
      <w:r w:rsidRPr="00283806">
        <w:rPr>
          <w:spacing w:val="-11"/>
          <w:w w:val="110"/>
        </w:rPr>
        <w:t xml:space="preserve"> </w:t>
      </w:r>
      <w:proofErr w:type="gramStart"/>
      <w:r w:rsidRPr="00283806">
        <w:rPr>
          <w:w w:val="110"/>
        </w:rPr>
        <w:t>most</w:t>
      </w:r>
      <w:r w:rsidRPr="00283806">
        <w:rPr>
          <w:spacing w:val="-11"/>
          <w:w w:val="110"/>
        </w:rPr>
        <w:t xml:space="preserve"> </w:t>
      </w:r>
      <w:r w:rsidRPr="00283806">
        <w:rPr>
          <w:w w:val="110"/>
        </w:rPr>
        <w:t>commonly reclaimed</w:t>
      </w:r>
      <w:proofErr w:type="gramEnd"/>
      <w:r w:rsidRPr="00283806">
        <w:rPr>
          <w:w w:val="110"/>
        </w:rPr>
        <w:t xml:space="preserve"> HFC blend, and it is expected to be a significant source of its components</w:t>
      </w:r>
      <w:r w:rsidRPr="00283806">
        <w:rPr>
          <w:spacing w:val="-1"/>
          <w:w w:val="110"/>
        </w:rPr>
        <w:t xml:space="preserve"> </w:t>
      </w:r>
      <w:r w:rsidRPr="00283806">
        <w:rPr>
          <w:w w:val="110"/>
        </w:rPr>
        <w:t>(HFC–32</w:t>
      </w:r>
      <w:r w:rsidRPr="00283806">
        <w:rPr>
          <w:spacing w:val="-1"/>
          <w:w w:val="110"/>
        </w:rPr>
        <w:t xml:space="preserve"> </w:t>
      </w:r>
      <w:r w:rsidRPr="00283806">
        <w:rPr>
          <w:w w:val="110"/>
        </w:rPr>
        <w:t>and</w:t>
      </w:r>
      <w:r w:rsidRPr="00283806">
        <w:rPr>
          <w:spacing w:val="-1"/>
          <w:w w:val="110"/>
        </w:rPr>
        <w:t xml:space="preserve"> </w:t>
      </w:r>
      <w:r w:rsidRPr="00283806">
        <w:rPr>
          <w:w w:val="110"/>
        </w:rPr>
        <w:t>HFC–125)</w:t>
      </w:r>
      <w:r w:rsidRPr="00283806">
        <w:rPr>
          <w:spacing w:val="-1"/>
          <w:w w:val="110"/>
        </w:rPr>
        <w:t xml:space="preserve"> </w:t>
      </w:r>
      <w:r w:rsidRPr="00283806">
        <w:rPr>
          <w:w w:val="110"/>
        </w:rPr>
        <w:t xml:space="preserve">as reclaimed. It is possible that these reclaimed components from R–410A may be used in these three-component </w:t>
      </w:r>
      <w:r w:rsidRPr="00283806">
        <w:rPr>
          <w:spacing w:val="-2"/>
          <w:w w:val="110"/>
        </w:rPr>
        <w:t>blends</w:t>
      </w:r>
      <w:r w:rsidRPr="00283806">
        <w:rPr>
          <w:spacing w:val="-9"/>
          <w:w w:val="110"/>
        </w:rPr>
        <w:t xml:space="preserve"> </w:t>
      </w:r>
      <w:r w:rsidRPr="00283806">
        <w:rPr>
          <w:spacing w:val="-2"/>
          <w:w w:val="110"/>
        </w:rPr>
        <w:t>to</w:t>
      </w:r>
      <w:r w:rsidRPr="00283806">
        <w:rPr>
          <w:spacing w:val="-9"/>
          <w:w w:val="110"/>
        </w:rPr>
        <w:t xml:space="preserve"> </w:t>
      </w:r>
      <w:r w:rsidRPr="00283806">
        <w:rPr>
          <w:spacing w:val="-2"/>
          <w:w w:val="110"/>
        </w:rPr>
        <w:t>meet</w:t>
      </w:r>
      <w:r w:rsidRPr="00283806">
        <w:rPr>
          <w:spacing w:val="-9"/>
          <w:w w:val="110"/>
        </w:rPr>
        <w:t xml:space="preserve"> </w:t>
      </w:r>
      <w:r w:rsidRPr="00283806">
        <w:rPr>
          <w:spacing w:val="-2"/>
          <w:w w:val="110"/>
        </w:rPr>
        <w:t>the</w:t>
      </w:r>
      <w:r w:rsidRPr="00283806">
        <w:rPr>
          <w:spacing w:val="-9"/>
          <w:w w:val="110"/>
        </w:rPr>
        <w:t xml:space="preserve"> </w:t>
      </w:r>
      <w:r w:rsidRPr="00283806">
        <w:rPr>
          <w:spacing w:val="-2"/>
          <w:w w:val="110"/>
        </w:rPr>
        <w:t>estimated</w:t>
      </w:r>
      <w:r w:rsidRPr="00283806">
        <w:rPr>
          <w:spacing w:val="-9"/>
          <w:w w:val="110"/>
        </w:rPr>
        <w:t xml:space="preserve"> </w:t>
      </w:r>
      <w:r w:rsidRPr="00283806">
        <w:rPr>
          <w:spacing w:val="-2"/>
          <w:w w:val="110"/>
        </w:rPr>
        <w:t>demand.</w:t>
      </w:r>
      <w:r w:rsidRPr="00283806">
        <w:rPr>
          <w:spacing w:val="-9"/>
          <w:w w:val="110"/>
        </w:rPr>
        <w:t xml:space="preserve"> </w:t>
      </w:r>
      <w:r w:rsidRPr="00283806">
        <w:rPr>
          <w:spacing w:val="-2"/>
          <w:w w:val="110"/>
        </w:rPr>
        <w:t xml:space="preserve">In </w:t>
      </w:r>
      <w:r w:rsidRPr="00283806">
        <w:rPr>
          <w:w w:val="110"/>
        </w:rPr>
        <w:t>the case of R–452A, EPA notes that the reclamation standard finalized in this rule only applies to the HFC components of the blend and not the HFO portion (which is a substitute for an HFC).</w:t>
      </w:r>
    </w:p>
    <w:p w14:paraId="65FEAAF0" w14:textId="77777777" w:rsidR="00D67C1E" w:rsidRPr="00283806" w:rsidRDefault="001265CA">
      <w:pPr>
        <w:pStyle w:val="BodyText"/>
        <w:spacing w:line="140" w:lineRule="exact"/>
        <w:ind w:left="324"/>
      </w:pPr>
      <w:r w:rsidRPr="00283806">
        <w:rPr>
          <w:w w:val="105"/>
        </w:rPr>
        <w:t>In</w:t>
      </w:r>
      <w:r w:rsidRPr="00283806">
        <w:rPr>
          <w:spacing w:val="12"/>
          <w:w w:val="105"/>
        </w:rPr>
        <w:t xml:space="preserve"> </w:t>
      </w:r>
      <w:r w:rsidRPr="00283806">
        <w:rPr>
          <w:w w:val="105"/>
        </w:rPr>
        <w:t>the</w:t>
      </w:r>
      <w:r w:rsidRPr="00283806">
        <w:rPr>
          <w:spacing w:val="12"/>
          <w:w w:val="105"/>
        </w:rPr>
        <w:t xml:space="preserve"> </w:t>
      </w:r>
      <w:r w:rsidRPr="00283806">
        <w:rPr>
          <w:w w:val="105"/>
        </w:rPr>
        <w:t>case</w:t>
      </w:r>
      <w:r w:rsidRPr="00283806">
        <w:rPr>
          <w:spacing w:val="13"/>
          <w:w w:val="105"/>
        </w:rPr>
        <w:t xml:space="preserve"> </w:t>
      </w:r>
      <w:r w:rsidRPr="00283806">
        <w:rPr>
          <w:w w:val="105"/>
        </w:rPr>
        <w:t>of</w:t>
      </w:r>
      <w:r w:rsidRPr="00283806">
        <w:rPr>
          <w:spacing w:val="12"/>
          <w:w w:val="105"/>
        </w:rPr>
        <w:t xml:space="preserve"> </w:t>
      </w:r>
      <w:r w:rsidRPr="00283806">
        <w:rPr>
          <w:w w:val="105"/>
        </w:rPr>
        <w:t>multi-component</w:t>
      </w:r>
      <w:r w:rsidRPr="00283806">
        <w:rPr>
          <w:spacing w:val="13"/>
          <w:w w:val="105"/>
        </w:rPr>
        <w:t xml:space="preserve"> </w:t>
      </w:r>
      <w:r w:rsidRPr="00283806">
        <w:rPr>
          <w:spacing w:val="-2"/>
          <w:w w:val="105"/>
        </w:rPr>
        <w:t>blends</w:t>
      </w:r>
    </w:p>
    <w:p w14:paraId="75F09F3D" w14:textId="77777777" w:rsidR="00D67C1E" w:rsidRPr="00283806" w:rsidRDefault="001265CA">
      <w:pPr>
        <w:spacing w:before="3" w:line="225" w:lineRule="auto"/>
        <w:ind w:left="144" w:right="120"/>
        <w:rPr>
          <w:rFonts w:ascii="Book Antiqua"/>
          <w:i/>
          <w:sz w:val="18"/>
        </w:rPr>
      </w:pPr>
      <w:r w:rsidRPr="00283806">
        <w:rPr>
          <w:w w:val="110"/>
          <w:sz w:val="18"/>
        </w:rPr>
        <w:t>with</w:t>
      </w:r>
      <w:r w:rsidRPr="00283806">
        <w:rPr>
          <w:spacing w:val="-1"/>
          <w:w w:val="110"/>
          <w:sz w:val="18"/>
        </w:rPr>
        <w:t xml:space="preserve"> </w:t>
      </w:r>
      <w:r w:rsidRPr="00283806">
        <w:rPr>
          <w:w w:val="110"/>
          <w:sz w:val="18"/>
        </w:rPr>
        <w:t>more</w:t>
      </w:r>
      <w:r w:rsidRPr="00283806">
        <w:rPr>
          <w:spacing w:val="-1"/>
          <w:w w:val="110"/>
          <w:sz w:val="18"/>
        </w:rPr>
        <w:t xml:space="preserve"> </w:t>
      </w:r>
      <w:r w:rsidRPr="00283806">
        <w:rPr>
          <w:w w:val="110"/>
          <w:sz w:val="18"/>
        </w:rPr>
        <w:t>than</w:t>
      </w:r>
      <w:r w:rsidRPr="00283806">
        <w:rPr>
          <w:spacing w:val="-1"/>
          <w:w w:val="110"/>
          <w:sz w:val="18"/>
        </w:rPr>
        <w:t xml:space="preserve"> </w:t>
      </w:r>
      <w:r w:rsidRPr="00283806">
        <w:rPr>
          <w:w w:val="110"/>
          <w:sz w:val="18"/>
        </w:rPr>
        <w:t>three</w:t>
      </w:r>
      <w:r w:rsidRPr="00283806">
        <w:rPr>
          <w:spacing w:val="-1"/>
          <w:w w:val="110"/>
          <w:sz w:val="18"/>
        </w:rPr>
        <w:t xml:space="preserve"> </w:t>
      </w:r>
      <w:r w:rsidRPr="00283806">
        <w:rPr>
          <w:w w:val="110"/>
          <w:sz w:val="18"/>
        </w:rPr>
        <w:t>components,</w:t>
      </w:r>
      <w:r w:rsidRPr="00283806">
        <w:rPr>
          <w:spacing w:val="-1"/>
          <w:w w:val="110"/>
          <w:sz w:val="18"/>
        </w:rPr>
        <w:t xml:space="preserve"> </w:t>
      </w:r>
      <w:r w:rsidRPr="00283806">
        <w:rPr>
          <w:w w:val="110"/>
          <w:sz w:val="18"/>
        </w:rPr>
        <w:t>EPA notes</w:t>
      </w:r>
      <w:r w:rsidRPr="00283806">
        <w:rPr>
          <w:spacing w:val="-11"/>
          <w:w w:val="110"/>
          <w:sz w:val="18"/>
        </w:rPr>
        <w:t xml:space="preserve"> </w:t>
      </w:r>
      <w:r w:rsidRPr="00283806">
        <w:rPr>
          <w:w w:val="110"/>
          <w:sz w:val="18"/>
        </w:rPr>
        <w:t>that</w:t>
      </w:r>
      <w:r w:rsidRPr="00283806">
        <w:rPr>
          <w:spacing w:val="-11"/>
          <w:w w:val="110"/>
          <w:sz w:val="18"/>
        </w:rPr>
        <w:t xml:space="preserve"> </w:t>
      </w:r>
      <w:r w:rsidRPr="00283806">
        <w:rPr>
          <w:w w:val="110"/>
          <w:sz w:val="18"/>
        </w:rPr>
        <w:t>there</w:t>
      </w:r>
      <w:r w:rsidRPr="00283806">
        <w:rPr>
          <w:spacing w:val="-11"/>
          <w:w w:val="110"/>
          <w:sz w:val="18"/>
        </w:rPr>
        <w:t xml:space="preserve"> </w:t>
      </w:r>
      <w:r w:rsidRPr="00283806">
        <w:rPr>
          <w:w w:val="110"/>
          <w:sz w:val="18"/>
        </w:rPr>
        <w:t>is</w:t>
      </w:r>
      <w:r w:rsidRPr="00283806">
        <w:rPr>
          <w:spacing w:val="-11"/>
          <w:w w:val="110"/>
          <w:sz w:val="18"/>
        </w:rPr>
        <w:t xml:space="preserve"> </w:t>
      </w:r>
      <w:r w:rsidRPr="00283806">
        <w:rPr>
          <w:w w:val="110"/>
          <w:sz w:val="18"/>
        </w:rPr>
        <w:t>estimated</w:t>
      </w:r>
      <w:r w:rsidRPr="00283806">
        <w:rPr>
          <w:spacing w:val="-11"/>
          <w:w w:val="110"/>
          <w:sz w:val="18"/>
        </w:rPr>
        <w:t xml:space="preserve"> </w:t>
      </w:r>
      <w:r w:rsidRPr="00283806">
        <w:rPr>
          <w:w w:val="110"/>
          <w:sz w:val="18"/>
        </w:rPr>
        <w:t>demand,</w:t>
      </w:r>
      <w:r w:rsidRPr="00283806">
        <w:rPr>
          <w:spacing w:val="-11"/>
          <w:w w:val="110"/>
          <w:sz w:val="18"/>
        </w:rPr>
        <w:t xml:space="preserve"> </w:t>
      </w:r>
      <w:r w:rsidRPr="00283806">
        <w:rPr>
          <w:w w:val="110"/>
          <w:sz w:val="18"/>
        </w:rPr>
        <w:t xml:space="preserve">as presented in the </w:t>
      </w:r>
      <w:r w:rsidRPr="00283806">
        <w:rPr>
          <w:rFonts w:ascii="Book Antiqua"/>
          <w:i/>
          <w:w w:val="110"/>
          <w:sz w:val="18"/>
        </w:rPr>
        <w:t>Analysis of the U.S. Hydrofluorocarbon Reclamation Market:</w:t>
      </w:r>
    </w:p>
    <w:p w14:paraId="2B19D023" w14:textId="77777777" w:rsidR="00D67C1E" w:rsidRPr="00283806" w:rsidRDefault="00D67C1E">
      <w:pPr>
        <w:spacing w:line="225" w:lineRule="auto"/>
        <w:rPr>
          <w:rFonts w:ascii="Book Antiqua"/>
          <w:sz w:val="18"/>
        </w:rPr>
        <w:sectPr w:rsidR="00D67C1E" w:rsidRPr="00283806">
          <w:pgSz w:w="12240" w:h="15840"/>
          <w:pgMar w:top="1040" w:right="780" w:bottom="280" w:left="740" w:header="627" w:footer="0" w:gutter="0"/>
          <w:cols w:num="3" w:space="720" w:equalWidth="0">
            <w:col w:w="3518" w:space="40"/>
            <w:col w:w="3498" w:space="39"/>
            <w:col w:w="3625"/>
          </w:cols>
        </w:sectPr>
      </w:pPr>
    </w:p>
    <w:p w14:paraId="185294A0" w14:textId="77777777" w:rsidR="00D67C1E" w:rsidRPr="00283806" w:rsidRDefault="001265CA">
      <w:pPr>
        <w:pStyle w:val="BodyText"/>
        <w:spacing w:before="134" w:line="228" w:lineRule="auto"/>
        <w:ind w:right="55"/>
      </w:pPr>
      <w:r w:rsidRPr="00283806">
        <w:rPr>
          <w:rFonts w:ascii="Book Antiqua" w:hAnsi="Book Antiqua"/>
          <w:i/>
          <w:w w:val="105"/>
        </w:rPr>
        <w:lastRenderedPageBreak/>
        <w:t xml:space="preserve">Stakeholders, Drivers, and Practices, </w:t>
      </w:r>
      <w:r w:rsidRPr="00283806">
        <w:rPr>
          <w:w w:val="105"/>
        </w:rPr>
        <w:t>for</w:t>
      </w:r>
      <w:r w:rsidRPr="00283806">
        <w:rPr>
          <w:spacing w:val="40"/>
          <w:w w:val="105"/>
        </w:rPr>
        <w:t xml:space="preserve"> </w:t>
      </w:r>
      <w:r w:rsidRPr="00283806">
        <w:rPr>
          <w:w w:val="105"/>
        </w:rPr>
        <w:t>two such blends: R–448A and R–449A. R–448A is a five-component blend composed of three HFCs and two HFOs, while R–449A is a four-component</w:t>
      </w:r>
      <w:r w:rsidRPr="00283806">
        <w:rPr>
          <w:spacing w:val="40"/>
          <w:w w:val="105"/>
        </w:rPr>
        <w:t xml:space="preserve"> </w:t>
      </w:r>
      <w:r w:rsidRPr="00283806">
        <w:rPr>
          <w:w w:val="105"/>
        </w:rPr>
        <w:t>blend, composed of three HFCs and one HFO. As noted and described in this preamble, the reclamation standard finalized in this rule does not apply to substitutes for HFCs, which in the case</w:t>
      </w:r>
      <w:r w:rsidRPr="00283806">
        <w:rPr>
          <w:spacing w:val="80"/>
          <w:w w:val="105"/>
        </w:rPr>
        <w:t xml:space="preserve"> </w:t>
      </w:r>
      <w:r w:rsidRPr="00283806">
        <w:rPr>
          <w:w w:val="105"/>
        </w:rPr>
        <w:t>of these blends would be the HFO portions. The reclamation standard finalized in this rule only applies to the HFC portions of these blends, and as</w:t>
      </w:r>
      <w:r w:rsidRPr="00283806">
        <w:rPr>
          <w:spacing w:val="80"/>
          <w:w w:val="105"/>
        </w:rPr>
        <w:t xml:space="preserve"> </w:t>
      </w:r>
      <w:r w:rsidRPr="00283806">
        <w:rPr>
          <w:w w:val="105"/>
        </w:rPr>
        <w:t>EPA has noted, could be met by the reclamation of the individual components and reconstituted to a</w:t>
      </w:r>
      <w:r w:rsidRPr="00283806">
        <w:rPr>
          <w:spacing w:val="40"/>
          <w:w w:val="105"/>
        </w:rPr>
        <w:t xml:space="preserve"> </w:t>
      </w:r>
      <w:r w:rsidRPr="00283806">
        <w:rPr>
          <w:w w:val="105"/>
        </w:rPr>
        <w:t>blend. Single-component refrigerants</w:t>
      </w:r>
      <w:r w:rsidRPr="00283806">
        <w:rPr>
          <w:spacing w:val="40"/>
          <w:w w:val="105"/>
        </w:rPr>
        <w:t xml:space="preserve"> </w:t>
      </w:r>
      <w:r w:rsidRPr="00283806">
        <w:rPr>
          <w:w w:val="105"/>
        </w:rPr>
        <w:t>and two-component blends are</w:t>
      </w:r>
      <w:r w:rsidRPr="00283806">
        <w:rPr>
          <w:spacing w:val="80"/>
          <w:w w:val="105"/>
        </w:rPr>
        <w:t xml:space="preserve"> </w:t>
      </w:r>
      <w:r w:rsidRPr="00283806">
        <w:rPr>
          <w:w w:val="105"/>
        </w:rPr>
        <w:t xml:space="preserve">currently the </w:t>
      </w:r>
      <w:proofErr w:type="gramStart"/>
      <w:r w:rsidRPr="00283806">
        <w:rPr>
          <w:w w:val="105"/>
        </w:rPr>
        <w:t>most commonly reclaimed</w:t>
      </w:r>
      <w:proofErr w:type="gramEnd"/>
      <w:r w:rsidRPr="00283806">
        <w:rPr>
          <w:w w:val="105"/>
        </w:rPr>
        <w:t xml:space="preserve"> substances, and they are also the most common in installed equipment.</w:t>
      </w:r>
    </w:p>
    <w:p w14:paraId="331C83A9" w14:textId="77777777" w:rsidR="00D67C1E" w:rsidRPr="00283806" w:rsidRDefault="001265CA">
      <w:pPr>
        <w:pStyle w:val="BodyText"/>
        <w:spacing w:line="176" w:lineRule="exact"/>
      </w:pPr>
      <w:r w:rsidRPr="00283806">
        <w:rPr>
          <w:w w:val="105"/>
        </w:rPr>
        <w:t>However,</w:t>
      </w:r>
      <w:r w:rsidRPr="00283806">
        <w:rPr>
          <w:spacing w:val="1"/>
          <w:w w:val="105"/>
        </w:rPr>
        <w:t xml:space="preserve"> </w:t>
      </w:r>
      <w:r w:rsidRPr="00283806">
        <w:rPr>
          <w:w w:val="105"/>
        </w:rPr>
        <w:t>per</w:t>
      </w:r>
      <w:r w:rsidRPr="00283806">
        <w:rPr>
          <w:spacing w:val="2"/>
          <w:w w:val="105"/>
        </w:rPr>
        <w:t xml:space="preserve"> </w:t>
      </w:r>
      <w:r w:rsidRPr="00283806">
        <w:rPr>
          <w:w w:val="105"/>
        </w:rPr>
        <w:t>data</w:t>
      </w:r>
      <w:r w:rsidRPr="00283806">
        <w:rPr>
          <w:spacing w:val="2"/>
          <w:w w:val="105"/>
        </w:rPr>
        <w:t xml:space="preserve"> </w:t>
      </w:r>
      <w:r w:rsidRPr="00283806">
        <w:rPr>
          <w:w w:val="105"/>
        </w:rPr>
        <w:t>reported</w:t>
      </w:r>
      <w:r w:rsidRPr="00283806">
        <w:rPr>
          <w:spacing w:val="2"/>
          <w:w w:val="105"/>
        </w:rPr>
        <w:t xml:space="preserve"> </w:t>
      </w:r>
      <w:proofErr w:type="gramStart"/>
      <w:r w:rsidRPr="00283806">
        <w:rPr>
          <w:spacing w:val="-2"/>
          <w:w w:val="105"/>
        </w:rPr>
        <w:t>under</w:t>
      </w:r>
      <w:proofErr w:type="gramEnd"/>
    </w:p>
    <w:p w14:paraId="67F3B373" w14:textId="77777777" w:rsidR="00D67C1E" w:rsidRPr="00283806" w:rsidRDefault="001265CA">
      <w:pPr>
        <w:pStyle w:val="BodyText"/>
        <w:spacing w:before="3" w:line="228" w:lineRule="auto"/>
        <w:ind w:right="94"/>
      </w:pPr>
      <w:r w:rsidRPr="00283806">
        <w:rPr>
          <w:w w:val="105"/>
        </w:rPr>
        <w:t>regulations under section 608 of the</w:t>
      </w:r>
      <w:r w:rsidRPr="00283806">
        <w:rPr>
          <w:spacing w:val="40"/>
          <w:w w:val="105"/>
        </w:rPr>
        <w:t xml:space="preserve"> </w:t>
      </w:r>
      <w:r w:rsidRPr="00283806">
        <w:rPr>
          <w:w w:val="105"/>
        </w:rPr>
        <w:t>CAA, blends with three or more components, including R–448A and R– 449A, are also currently being</w:t>
      </w:r>
      <w:r w:rsidRPr="00283806">
        <w:rPr>
          <w:spacing w:val="80"/>
          <w:w w:val="105"/>
        </w:rPr>
        <w:t xml:space="preserve"> </w:t>
      </w:r>
      <w:r w:rsidRPr="00283806">
        <w:rPr>
          <w:w w:val="105"/>
        </w:rPr>
        <w:t>reclaimed. EPA anticipates that with increased significance on reclaimed</w:t>
      </w:r>
      <w:r w:rsidRPr="00283806">
        <w:rPr>
          <w:spacing w:val="40"/>
          <w:w w:val="105"/>
        </w:rPr>
        <w:t xml:space="preserve"> </w:t>
      </w:r>
      <w:r w:rsidRPr="00283806">
        <w:rPr>
          <w:w w:val="105"/>
        </w:rPr>
        <w:t>HFCs as the phasedown progresses and as these three or more component</w:t>
      </w:r>
      <w:r w:rsidRPr="00283806">
        <w:rPr>
          <w:spacing w:val="40"/>
          <w:w w:val="105"/>
        </w:rPr>
        <w:t xml:space="preserve"> </w:t>
      </w:r>
      <w:r w:rsidRPr="00283806">
        <w:rPr>
          <w:w w:val="105"/>
        </w:rPr>
        <w:t>blends continue to be used in</w:t>
      </w:r>
      <w:r w:rsidRPr="00283806">
        <w:rPr>
          <w:spacing w:val="40"/>
          <w:w w:val="105"/>
        </w:rPr>
        <w:t xml:space="preserve"> </w:t>
      </w:r>
      <w:r w:rsidRPr="00283806">
        <w:rPr>
          <w:w w:val="105"/>
        </w:rPr>
        <w:t>equipment, the reclamation of these blends will also increase. Given the availability of such technologies and for reasons explained elsewhere in this preamble and responses to other comments, EPA considers the 15</w:t>
      </w:r>
      <w:r w:rsidRPr="00283806">
        <w:rPr>
          <w:spacing w:val="80"/>
          <w:w w:val="105"/>
        </w:rPr>
        <w:t xml:space="preserve"> </w:t>
      </w:r>
      <w:r w:rsidRPr="00283806">
        <w:rPr>
          <w:w w:val="105"/>
        </w:rPr>
        <w:t>percent upper limit for virgin HFCs to</w:t>
      </w:r>
      <w:r w:rsidRPr="00283806">
        <w:rPr>
          <w:spacing w:val="80"/>
          <w:w w:val="150"/>
        </w:rPr>
        <w:t xml:space="preserve"> </w:t>
      </w:r>
      <w:r w:rsidRPr="00283806">
        <w:rPr>
          <w:w w:val="105"/>
        </w:rPr>
        <w:t>be technically feasible commensurate with the compliance date.</w:t>
      </w:r>
    </w:p>
    <w:p w14:paraId="0B382071" w14:textId="77777777" w:rsidR="00D67C1E" w:rsidRPr="00283806" w:rsidRDefault="001265CA">
      <w:pPr>
        <w:pStyle w:val="BodyText"/>
        <w:spacing w:before="31" w:line="228" w:lineRule="auto"/>
        <w:ind w:right="38" w:firstLine="180"/>
      </w:pPr>
      <w:r w:rsidRPr="00283806">
        <w:rPr>
          <w:w w:val="105"/>
        </w:rPr>
        <w:t>EPA also considers a 15 percent limit to better serve the purpose identified in subsection (h)(1) of the AIM Act of maximizing reclamation than using a higher percentage would. Further, the compliance date provides time for the reclaimers and the market to adjust.</w:t>
      </w:r>
    </w:p>
    <w:p w14:paraId="0341447B" w14:textId="77777777" w:rsidR="00D67C1E" w:rsidRPr="00283806" w:rsidRDefault="001265CA">
      <w:pPr>
        <w:pStyle w:val="BodyText"/>
        <w:spacing w:line="228" w:lineRule="auto"/>
      </w:pPr>
      <w:r w:rsidRPr="00283806">
        <w:rPr>
          <w:w w:val="105"/>
        </w:rPr>
        <w:t>Therefore, EPA is not establishing a phased-in approach. Lastly, EPA acknowledges there are some blends</w:t>
      </w:r>
      <w:r w:rsidRPr="00283806">
        <w:rPr>
          <w:spacing w:val="40"/>
          <w:w w:val="105"/>
        </w:rPr>
        <w:t xml:space="preserve"> </w:t>
      </w:r>
      <w:r w:rsidRPr="00283806">
        <w:rPr>
          <w:w w:val="105"/>
        </w:rPr>
        <w:t>that rely on HFCs that are not as commonly used as refrigerants,</w:t>
      </w:r>
      <w:r w:rsidRPr="00283806">
        <w:rPr>
          <w:spacing w:val="40"/>
          <w:w w:val="105"/>
        </w:rPr>
        <w:t xml:space="preserve"> </w:t>
      </w:r>
      <w:r w:rsidRPr="00283806">
        <w:rPr>
          <w:w w:val="105"/>
        </w:rPr>
        <w:t>including newer blends such as R–471A and certain ASHRAE A1 refrigerant blends that are compliant with certain restrictions under the 2023 Technology Transitions Rule. EPA notes that HFC– 227ea is more commonly used in the</w:t>
      </w:r>
      <w:r w:rsidRPr="00283806">
        <w:rPr>
          <w:spacing w:val="80"/>
          <w:w w:val="150"/>
        </w:rPr>
        <w:t xml:space="preserve"> </w:t>
      </w:r>
      <w:r w:rsidRPr="00283806">
        <w:rPr>
          <w:w w:val="105"/>
        </w:rPr>
        <w:t>fire suppression sector and only to a far lesser extent used in refrigerant blends. The Agency notes, however, that HFC– 227ea is currently being reclaimed and reported to EPA under the regulations under CAA section 608. Further, EPA clarifies that the provisions finalized in section 84.112(b) state that recovered regulated substances must have had</w:t>
      </w:r>
    </w:p>
    <w:p w14:paraId="79ECC359" w14:textId="77777777" w:rsidR="00D67C1E" w:rsidRPr="00283806" w:rsidRDefault="001265CA">
      <w:pPr>
        <w:pStyle w:val="BodyText"/>
        <w:spacing w:before="134" w:line="225" w:lineRule="auto"/>
      </w:pPr>
      <w:r w:rsidRPr="00283806">
        <w:br w:type="column"/>
      </w:r>
      <w:r w:rsidRPr="00283806">
        <w:rPr>
          <w:w w:val="110"/>
        </w:rPr>
        <w:t>bona</w:t>
      </w:r>
      <w:r w:rsidRPr="00283806">
        <w:rPr>
          <w:spacing w:val="-10"/>
          <w:w w:val="110"/>
        </w:rPr>
        <w:t xml:space="preserve"> </w:t>
      </w:r>
      <w:r w:rsidRPr="00283806">
        <w:rPr>
          <w:w w:val="110"/>
        </w:rPr>
        <w:t>fide</w:t>
      </w:r>
      <w:r w:rsidRPr="00283806">
        <w:rPr>
          <w:spacing w:val="-10"/>
          <w:w w:val="110"/>
        </w:rPr>
        <w:t xml:space="preserve"> </w:t>
      </w:r>
      <w:r w:rsidRPr="00283806">
        <w:rPr>
          <w:w w:val="110"/>
        </w:rPr>
        <w:t>use</w:t>
      </w:r>
      <w:r w:rsidRPr="00283806">
        <w:rPr>
          <w:spacing w:val="-10"/>
          <w:w w:val="110"/>
        </w:rPr>
        <w:t xml:space="preserve"> </w:t>
      </w:r>
      <w:r w:rsidRPr="00283806">
        <w:rPr>
          <w:w w:val="110"/>
        </w:rPr>
        <w:t>in</w:t>
      </w:r>
      <w:r w:rsidRPr="00283806">
        <w:rPr>
          <w:spacing w:val="-11"/>
          <w:w w:val="110"/>
        </w:rPr>
        <w:t xml:space="preserve"> </w:t>
      </w:r>
      <w:r w:rsidRPr="00283806">
        <w:rPr>
          <w:w w:val="110"/>
        </w:rPr>
        <w:t>equipment</w:t>
      </w:r>
      <w:r w:rsidRPr="00283806">
        <w:rPr>
          <w:spacing w:val="-10"/>
          <w:w w:val="110"/>
        </w:rPr>
        <w:t xml:space="preserve"> </w:t>
      </w:r>
      <w:r w:rsidRPr="00283806">
        <w:rPr>
          <w:w w:val="110"/>
        </w:rPr>
        <w:t>but</w:t>
      </w:r>
      <w:r w:rsidRPr="00283806">
        <w:rPr>
          <w:spacing w:val="-10"/>
          <w:w w:val="110"/>
        </w:rPr>
        <w:t xml:space="preserve"> </w:t>
      </w:r>
      <w:r w:rsidRPr="00283806">
        <w:rPr>
          <w:w w:val="110"/>
        </w:rPr>
        <w:t>does</w:t>
      </w:r>
      <w:r w:rsidRPr="00283806">
        <w:rPr>
          <w:spacing w:val="-10"/>
          <w:w w:val="110"/>
        </w:rPr>
        <w:t xml:space="preserve"> </w:t>
      </w:r>
      <w:r w:rsidRPr="00283806">
        <w:rPr>
          <w:w w:val="110"/>
        </w:rPr>
        <w:t xml:space="preserve">not specify that the recovered substance </w:t>
      </w:r>
      <w:r w:rsidRPr="00283806">
        <w:rPr>
          <w:spacing w:val="-2"/>
          <w:w w:val="110"/>
        </w:rPr>
        <w:t>needed</w:t>
      </w:r>
      <w:r w:rsidRPr="00283806">
        <w:rPr>
          <w:spacing w:val="-7"/>
          <w:w w:val="110"/>
        </w:rPr>
        <w:t xml:space="preserve"> </w:t>
      </w:r>
      <w:r w:rsidRPr="00283806">
        <w:rPr>
          <w:spacing w:val="-2"/>
          <w:w w:val="110"/>
        </w:rPr>
        <w:t>to</w:t>
      </w:r>
      <w:r w:rsidRPr="00283806">
        <w:rPr>
          <w:spacing w:val="-7"/>
          <w:w w:val="110"/>
        </w:rPr>
        <w:t xml:space="preserve"> </w:t>
      </w:r>
      <w:r w:rsidRPr="00283806">
        <w:rPr>
          <w:spacing w:val="-2"/>
          <w:w w:val="110"/>
        </w:rPr>
        <w:t>be</w:t>
      </w:r>
      <w:r w:rsidRPr="00283806">
        <w:rPr>
          <w:spacing w:val="-7"/>
          <w:w w:val="110"/>
        </w:rPr>
        <w:t xml:space="preserve"> </w:t>
      </w:r>
      <w:r w:rsidRPr="00283806">
        <w:rPr>
          <w:spacing w:val="-2"/>
          <w:w w:val="110"/>
        </w:rPr>
        <w:t>used</w:t>
      </w:r>
      <w:r w:rsidRPr="00283806">
        <w:rPr>
          <w:spacing w:val="-7"/>
          <w:w w:val="110"/>
        </w:rPr>
        <w:t xml:space="preserve"> </w:t>
      </w:r>
      <w:r w:rsidRPr="00283806">
        <w:rPr>
          <w:spacing w:val="-2"/>
          <w:w w:val="110"/>
        </w:rPr>
        <w:t>a</w:t>
      </w:r>
      <w:r w:rsidRPr="00283806">
        <w:rPr>
          <w:spacing w:val="-7"/>
          <w:w w:val="110"/>
        </w:rPr>
        <w:t xml:space="preserve"> </w:t>
      </w:r>
      <w:r w:rsidRPr="00283806">
        <w:rPr>
          <w:spacing w:val="-2"/>
          <w:w w:val="110"/>
        </w:rPr>
        <w:t>refrigerant</w:t>
      </w:r>
      <w:r w:rsidRPr="00283806">
        <w:rPr>
          <w:spacing w:val="-7"/>
          <w:w w:val="110"/>
        </w:rPr>
        <w:t xml:space="preserve"> </w:t>
      </w:r>
      <w:r w:rsidRPr="00283806">
        <w:rPr>
          <w:spacing w:val="-2"/>
          <w:w w:val="110"/>
        </w:rPr>
        <w:t>and</w:t>
      </w:r>
      <w:r w:rsidRPr="00283806">
        <w:rPr>
          <w:spacing w:val="-7"/>
          <w:w w:val="110"/>
        </w:rPr>
        <w:t xml:space="preserve"> </w:t>
      </w:r>
      <w:r w:rsidRPr="00283806">
        <w:rPr>
          <w:spacing w:val="-2"/>
          <w:w w:val="110"/>
        </w:rPr>
        <w:t xml:space="preserve">then </w:t>
      </w:r>
      <w:r w:rsidRPr="00283806">
        <w:rPr>
          <w:w w:val="110"/>
        </w:rPr>
        <w:t>recovered.</w:t>
      </w:r>
      <w:r w:rsidRPr="00283806">
        <w:rPr>
          <w:spacing w:val="-11"/>
          <w:w w:val="110"/>
        </w:rPr>
        <w:t xml:space="preserve"> </w:t>
      </w:r>
      <w:r w:rsidRPr="00283806">
        <w:rPr>
          <w:w w:val="110"/>
        </w:rPr>
        <w:t>The</w:t>
      </w:r>
      <w:r w:rsidRPr="00283806">
        <w:rPr>
          <w:spacing w:val="-11"/>
          <w:w w:val="110"/>
        </w:rPr>
        <w:t xml:space="preserve"> </w:t>
      </w:r>
      <w:r w:rsidRPr="00283806">
        <w:rPr>
          <w:w w:val="110"/>
        </w:rPr>
        <w:t>Agency</w:t>
      </w:r>
      <w:r w:rsidRPr="00283806">
        <w:rPr>
          <w:spacing w:val="-11"/>
          <w:w w:val="110"/>
        </w:rPr>
        <w:t xml:space="preserve"> </w:t>
      </w:r>
      <w:r w:rsidRPr="00283806">
        <w:rPr>
          <w:w w:val="110"/>
        </w:rPr>
        <w:t>also</w:t>
      </w:r>
      <w:r w:rsidRPr="00283806">
        <w:rPr>
          <w:spacing w:val="-11"/>
          <w:w w:val="110"/>
        </w:rPr>
        <w:t xml:space="preserve"> </w:t>
      </w:r>
      <w:r w:rsidRPr="00283806">
        <w:rPr>
          <w:w w:val="110"/>
        </w:rPr>
        <w:t>states</w:t>
      </w:r>
      <w:r w:rsidRPr="00283806">
        <w:rPr>
          <w:spacing w:val="-11"/>
          <w:w w:val="110"/>
        </w:rPr>
        <w:t xml:space="preserve"> </w:t>
      </w:r>
      <w:r w:rsidRPr="00283806">
        <w:rPr>
          <w:w w:val="110"/>
        </w:rPr>
        <w:t>that</w:t>
      </w:r>
      <w:r w:rsidRPr="00283806">
        <w:rPr>
          <w:spacing w:val="-11"/>
          <w:w w:val="110"/>
        </w:rPr>
        <w:t xml:space="preserve"> </w:t>
      </w:r>
      <w:r w:rsidRPr="00283806">
        <w:rPr>
          <w:w w:val="110"/>
        </w:rPr>
        <w:t xml:space="preserve">it </w:t>
      </w:r>
      <w:r w:rsidRPr="00283806">
        <w:t>is only establishing requirements for the</w:t>
      </w:r>
      <w:r w:rsidRPr="00283806">
        <w:rPr>
          <w:spacing w:val="40"/>
          <w:w w:val="110"/>
        </w:rPr>
        <w:t xml:space="preserve"> </w:t>
      </w:r>
      <w:r w:rsidRPr="00283806">
        <w:rPr>
          <w:w w:val="110"/>
        </w:rPr>
        <w:t xml:space="preserve">servicing and/or repair of </w:t>
      </w:r>
      <w:proofErr w:type="gramStart"/>
      <w:r w:rsidRPr="00283806">
        <w:rPr>
          <w:w w:val="110"/>
        </w:rPr>
        <w:t>refrigerant</w:t>
      </w:r>
      <w:proofErr w:type="gramEnd"/>
      <w:r w:rsidRPr="00283806">
        <w:rPr>
          <w:w w:val="110"/>
        </w:rPr>
        <w:t>- containing equipment to be done with reclaimed HFCs in three RACHP subsectors, that will primarily require reclaimed HFCs and blends that use components</w:t>
      </w:r>
      <w:r w:rsidRPr="00283806">
        <w:rPr>
          <w:spacing w:val="-11"/>
          <w:w w:val="110"/>
        </w:rPr>
        <w:t xml:space="preserve"> </w:t>
      </w:r>
      <w:r w:rsidRPr="00283806">
        <w:rPr>
          <w:w w:val="110"/>
        </w:rPr>
        <w:t>that</w:t>
      </w:r>
      <w:r w:rsidRPr="00283806">
        <w:rPr>
          <w:spacing w:val="-11"/>
          <w:w w:val="110"/>
        </w:rPr>
        <w:t xml:space="preserve"> </w:t>
      </w:r>
      <w:r w:rsidRPr="00283806">
        <w:rPr>
          <w:w w:val="110"/>
        </w:rPr>
        <w:t>have</w:t>
      </w:r>
      <w:r w:rsidRPr="00283806">
        <w:rPr>
          <w:spacing w:val="-11"/>
          <w:w w:val="110"/>
        </w:rPr>
        <w:t xml:space="preserve"> </w:t>
      </w:r>
      <w:r w:rsidRPr="00283806">
        <w:rPr>
          <w:w w:val="110"/>
        </w:rPr>
        <w:t>been</w:t>
      </w:r>
      <w:r w:rsidRPr="00283806">
        <w:rPr>
          <w:spacing w:val="-11"/>
          <w:w w:val="110"/>
        </w:rPr>
        <w:t xml:space="preserve"> </w:t>
      </w:r>
      <w:r w:rsidRPr="00283806">
        <w:rPr>
          <w:w w:val="110"/>
        </w:rPr>
        <w:t>common</w:t>
      </w:r>
      <w:r w:rsidRPr="00283806">
        <w:rPr>
          <w:spacing w:val="-11"/>
          <w:w w:val="110"/>
        </w:rPr>
        <w:t xml:space="preserve"> </w:t>
      </w:r>
      <w:r w:rsidRPr="00283806">
        <w:rPr>
          <w:w w:val="110"/>
        </w:rPr>
        <w:t xml:space="preserve">for many years (and in some cases, even decades). As noted in the </w:t>
      </w:r>
      <w:r w:rsidRPr="00283806">
        <w:rPr>
          <w:rFonts w:ascii="Book Antiqua" w:hAnsi="Book Antiqua"/>
          <w:i/>
          <w:w w:val="110"/>
        </w:rPr>
        <w:t>Analysis of</w:t>
      </w:r>
      <w:r w:rsidRPr="00283806">
        <w:rPr>
          <w:rFonts w:ascii="Book Antiqua" w:hAnsi="Book Antiqua"/>
          <w:i/>
          <w:spacing w:val="80"/>
          <w:w w:val="110"/>
        </w:rPr>
        <w:t xml:space="preserve"> </w:t>
      </w:r>
      <w:r w:rsidRPr="00283806">
        <w:rPr>
          <w:rFonts w:ascii="Book Antiqua" w:hAnsi="Book Antiqua"/>
          <w:i/>
          <w:w w:val="110"/>
        </w:rPr>
        <w:t>the</w:t>
      </w:r>
      <w:r w:rsidRPr="00283806">
        <w:rPr>
          <w:rFonts w:ascii="Book Antiqua" w:hAnsi="Book Antiqua"/>
          <w:i/>
          <w:spacing w:val="28"/>
          <w:w w:val="110"/>
        </w:rPr>
        <w:t xml:space="preserve"> </w:t>
      </w:r>
      <w:r w:rsidRPr="00283806">
        <w:rPr>
          <w:rFonts w:ascii="Book Antiqua" w:hAnsi="Book Antiqua"/>
          <w:i/>
          <w:w w:val="110"/>
        </w:rPr>
        <w:t>U.S.</w:t>
      </w:r>
      <w:r w:rsidRPr="00283806">
        <w:rPr>
          <w:rFonts w:ascii="Book Antiqua" w:hAnsi="Book Antiqua"/>
          <w:i/>
          <w:spacing w:val="28"/>
          <w:w w:val="110"/>
        </w:rPr>
        <w:t xml:space="preserve"> </w:t>
      </w:r>
      <w:r w:rsidRPr="00283806">
        <w:rPr>
          <w:rFonts w:ascii="Book Antiqua" w:hAnsi="Book Antiqua"/>
          <w:i/>
          <w:w w:val="110"/>
        </w:rPr>
        <w:t>Hydrofluorocarbon</w:t>
      </w:r>
      <w:r w:rsidRPr="00283806">
        <w:rPr>
          <w:rFonts w:ascii="Book Antiqua" w:hAnsi="Book Antiqua"/>
          <w:i/>
          <w:spacing w:val="80"/>
          <w:w w:val="110"/>
        </w:rPr>
        <w:t xml:space="preserve"> </w:t>
      </w:r>
      <w:r w:rsidRPr="00283806">
        <w:rPr>
          <w:rFonts w:ascii="Book Antiqua" w:hAnsi="Book Antiqua"/>
          <w:i/>
          <w:w w:val="110"/>
        </w:rPr>
        <w:t xml:space="preserve">Reclamation Market: Stakeholders, Drivers, and Practices, </w:t>
      </w:r>
      <w:r w:rsidRPr="00283806">
        <w:rPr>
          <w:w w:val="110"/>
        </w:rPr>
        <w:t xml:space="preserve">R–410A, HFC– </w:t>
      </w:r>
      <w:r w:rsidRPr="00283806">
        <w:t>134a, and R–404A are the most common</w:t>
      </w:r>
      <w:r w:rsidRPr="00283806">
        <w:rPr>
          <w:spacing w:val="40"/>
          <w:w w:val="110"/>
        </w:rPr>
        <w:t xml:space="preserve"> </w:t>
      </w:r>
      <w:r w:rsidRPr="00283806">
        <w:rPr>
          <w:w w:val="110"/>
        </w:rPr>
        <w:t>HFCs/HFC</w:t>
      </w:r>
      <w:r w:rsidRPr="00283806">
        <w:rPr>
          <w:spacing w:val="-11"/>
          <w:w w:val="110"/>
        </w:rPr>
        <w:t xml:space="preserve"> </w:t>
      </w:r>
      <w:r w:rsidRPr="00283806">
        <w:rPr>
          <w:w w:val="110"/>
        </w:rPr>
        <w:t>blends</w:t>
      </w:r>
      <w:r w:rsidRPr="00283806">
        <w:rPr>
          <w:spacing w:val="-11"/>
          <w:w w:val="110"/>
        </w:rPr>
        <w:t xml:space="preserve"> </w:t>
      </w:r>
      <w:r w:rsidRPr="00283806">
        <w:rPr>
          <w:w w:val="110"/>
        </w:rPr>
        <w:t>in</w:t>
      </w:r>
      <w:r w:rsidRPr="00283806">
        <w:rPr>
          <w:spacing w:val="-11"/>
          <w:w w:val="110"/>
        </w:rPr>
        <w:t xml:space="preserve"> </w:t>
      </w:r>
      <w:r w:rsidRPr="00283806">
        <w:rPr>
          <w:w w:val="110"/>
        </w:rPr>
        <w:t>the</w:t>
      </w:r>
      <w:r w:rsidRPr="00283806">
        <w:rPr>
          <w:spacing w:val="-11"/>
          <w:w w:val="110"/>
        </w:rPr>
        <w:t xml:space="preserve"> </w:t>
      </w:r>
      <w:r w:rsidRPr="00283806">
        <w:rPr>
          <w:w w:val="110"/>
        </w:rPr>
        <w:t>current</w:t>
      </w:r>
      <w:r w:rsidRPr="00283806">
        <w:rPr>
          <w:spacing w:val="-11"/>
          <w:w w:val="110"/>
        </w:rPr>
        <w:t xml:space="preserve"> </w:t>
      </w:r>
      <w:r w:rsidRPr="00283806">
        <w:rPr>
          <w:w w:val="110"/>
        </w:rPr>
        <w:t>stock</w:t>
      </w:r>
      <w:r w:rsidRPr="00283806">
        <w:rPr>
          <w:spacing w:val="-11"/>
          <w:w w:val="110"/>
        </w:rPr>
        <w:t xml:space="preserve"> </w:t>
      </w:r>
      <w:r w:rsidRPr="00283806">
        <w:rPr>
          <w:w w:val="110"/>
        </w:rPr>
        <w:t>of installed equipment, by mass. The Agency also reiterates that the limit on virgin materials only covers the HFC portion of a blend and refers to a previous response on calculating the allowable mass of virgin HFCs in a previous</w:t>
      </w:r>
      <w:r w:rsidRPr="00283806">
        <w:rPr>
          <w:spacing w:val="-11"/>
          <w:w w:val="110"/>
        </w:rPr>
        <w:t xml:space="preserve"> </w:t>
      </w:r>
      <w:r w:rsidRPr="00283806">
        <w:rPr>
          <w:w w:val="110"/>
        </w:rPr>
        <w:t>response</w:t>
      </w:r>
      <w:r w:rsidRPr="00283806">
        <w:rPr>
          <w:spacing w:val="-11"/>
          <w:w w:val="110"/>
        </w:rPr>
        <w:t xml:space="preserve"> </w:t>
      </w:r>
      <w:r w:rsidRPr="00283806">
        <w:rPr>
          <w:w w:val="110"/>
        </w:rPr>
        <w:t>as</w:t>
      </w:r>
      <w:r w:rsidRPr="00283806">
        <w:rPr>
          <w:spacing w:val="-11"/>
          <w:w w:val="110"/>
        </w:rPr>
        <w:t xml:space="preserve"> </w:t>
      </w:r>
      <w:r w:rsidRPr="00283806">
        <w:rPr>
          <w:w w:val="110"/>
        </w:rPr>
        <w:t>it</w:t>
      </w:r>
      <w:r w:rsidRPr="00283806">
        <w:rPr>
          <w:spacing w:val="-11"/>
          <w:w w:val="110"/>
        </w:rPr>
        <w:t xml:space="preserve"> </w:t>
      </w:r>
      <w:r w:rsidRPr="00283806">
        <w:rPr>
          <w:w w:val="110"/>
        </w:rPr>
        <w:t>relates</w:t>
      </w:r>
      <w:r w:rsidRPr="00283806">
        <w:rPr>
          <w:spacing w:val="-11"/>
          <w:w w:val="110"/>
        </w:rPr>
        <w:t xml:space="preserve"> </w:t>
      </w:r>
      <w:r w:rsidRPr="00283806">
        <w:rPr>
          <w:w w:val="110"/>
        </w:rPr>
        <w:t>to</w:t>
      </w:r>
      <w:r w:rsidRPr="00283806">
        <w:rPr>
          <w:spacing w:val="-11"/>
          <w:w w:val="110"/>
        </w:rPr>
        <w:t xml:space="preserve"> </w:t>
      </w:r>
      <w:r w:rsidRPr="00283806">
        <w:rPr>
          <w:w w:val="110"/>
        </w:rPr>
        <w:t xml:space="preserve">blends that contain an HFC and non-HFC component or more than one HFC </w:t>
      </w:r>
      <w:r w:rsidRPr="00283806">
        <w:rPr>
          <w:spacing w:val="-2"/>
          <w:w w:val="110"/>
        </w:rPr>
        <w:t>component.</w:t>
      </w:r>
    </w:p>
    <w:p w14:paraId="0B0F3508" w14:textId="77777777" w:rsidR="00D67C1E" w:rsidRPr="00283806" w:rsidRDefault="001265CA">
      <w:pPr>
        <w:pStyle w:val="BodyText"/>
        <w:spacing w:before="53" w:line="228" w:lineRule="auto"/>
        <w:ind w:right="16" w:firstLine="180"/>
      </w:pPr>
      <w:r w:rsidRPr="00283806">
        <w:rPr>
          <w:w w:val="105"/>
        </w:rPr>
        <w:t>EPA acknowledges that multi- component blends may have different challenges in relation to their</w:t>
      </w:r>
      <w:r w:rsidRPr="00283806">
        <w:rPr>
          <w:spacing w:val="40"/>
          <w:w w:val="105"/>
        </w:rPr>
        <w:t xml:space="preserve"> </w:t>
      </w:r>
      <w:r w:rsidRPr="00283806">
        <w:rPr>
          <w:w w:val="105"/>
        </w:rPr>
        <w:t>reclamation as compared to the reclamation of single-component refrigerants or two-component blends. However, as stated previously, EPA</w:t>
      </w:r>
      <w:r w:rsidRPr="00283806">
        <w:rPr>
          <w:spacing w:val="80"/>
          <w:w w:val="105"/>
        </w:rPr>
        <w:t xml:space="preserve"> </w:t>
      </w:r>
      <w:r w:rsidRPr="00283806">
        <w:rPr>
          <w:w w:val="105"/>
        </w:rPr>
        <w:t>notes that many multi-component</w:t>
      </w:r>
      <w:r w:rsidRPr="00283806">
        <w:rPr>
          <w:spacing w:val="80"/>
          <w:w w:val="105"/>
        </w:rPr>
        <w:t xml:space="preserve"> </w:t>
      </w:r>
      <w:r w:rsidRPr="00283806">
        <w:rPr>
          <w:w w:val="105"/>
        </w:rPr>
        <w:t>blends are currently being reclaimed, as are the components that make up these blends. As a general matter, the</w:t>
      </w:r>
      <w:r w:rsidRPr="00283806">
        <w:rPr>
          <w:spacing w:val="40"/>
          <w:w w:val="105"/>
        </w:rPr>
        <w:t xml:space="preserve"> </w:t>
      </w:r>
      <w:r w:rsidRPr="00283806">
        <w:rPr>
          <w:w w:val="105"/>
        </w:rPr>
        <w:t xml:space="preserve">increased introduction and use of multi- component blends over the past five to ten years has meant that manufacturers of equipment and the </w:t>
      </w:r>
      <w:proofErr w:type="gramStart"/>
      <w:r w:rsidRPr="00283806">
        <w:rPr>
          <w:w w:val="105"/>
        </w:rPr>
        <w:t>servicing</w:t>
      </w:r>
      <w:proofErr w:type="gramEnd"/>
      <w:r w:rsidRPr="00283806">
        <w:rPr>
          <w:w w:val="105"/>
        </w:rPr>
        <w:t xml:space="preserve"> sector have</w:t>
      </w:r>
      <w:r w:rsidRPr="00283806">
        <w:rPr>
          <w:spacing w:val="36"/>
          <w:w w:val="105"/>
        </w:rPr>
        <w:t xml:space="preserve"> </w:t>
      </w:r>
      <w:r w:rsidRPr="00283806">
        <w:rPr>
          <w:w w:val="105"/>
        </w:rPr>
        <w:t>had</w:t>
      </w:r>
      <w:r w:rsidRPr="00283806">
        <w:rPr>
          <w:spacing w:val="36"/>
          <w:w w:val="105"/>
        </w:rPr>
        <w:t xml:space="preserve"> </w:t>
      </w:r>
      <w:r w:rsidRPr="00283806">
        <w:rPr>
          <w:w w:val="105"/>
        </w:rPr>
        <w:t>to</w:t>
      </w:r>
      <w:r w:rsidRPr="00283806">
        <w:rPr>
          <w:spacing w:val="36"/>
          <w:w w:val="105"/>
        </w:rPr>
        <w:t xml:space="preserve"> </w:t>
      </w:r>
      <w:r w:rsidRPr="00283806">
        <w:rPr>
          <w:w w:val="105"/>
        </w:rPr>
        <w:t>adapt</w:t>
      </w:r>
      <w:r w:rsidRPr="00283806">
        <w:rPr>
          <w:spacing w:val="36"/>
          <w:w w:val="105"/>
        </w:rPr>
        <w:t xml:space="preserve"> </w:t>
      </w:r>
      <w:r w:rsidRPr="00283806">
        <w:rPr>
          <w:w w:val="105"/>
        </w:rPr>
        <w:t>to</w:t>
      </w:r>
      <w:r w:rsidRPr="00283806">
        <w:rPr>
          <w:spacing w:val="36"/>
          <w:w w:val="105"/>
        </w:rPr>
        <w:t xml:space="preserve"> </w:t>
      </w:r>
      <w:r w:rsidRPr="00283806">
        <w:rPr>
          <w:w w:val="105"/>
        </w:rPr>
        <w:t>using</w:t>
      </w:r>
      <w:r w:rsidRPr="00283806">
        <w:rPr>
          <w:spacing w:val="36"/>
          <w:w w:val="105"/>
        </w:rPr>
        <w:t xml:space="preserve"> </w:t>
      </w:r>
      <w:r w:rsidRPr="00283806">
        <w:rPr>
          <w:w w:val="105"/>
        </w:rPr>
        <w:t>these blended refrigerants. As the commenter did not specify which types of varying cost-effective technical options might be considered for the reclamation of multi- component blends, EPA anticipates the commenter may be referring to how reclaimers consider if more</w:t>
      </w:r>
      <w:r w:rsidRPr="00283806">
        <w:rPr>
          <w:spacing w:val="80"/>
          <w:w w:val="105"/>
        </w:rPr>
        <w:t xml:space="preserve"> </w:t>
      </w:r>
      <w:r w:rsidRPr="00283806">
        <w:rPr>
          <w:w w:val="105"/>
        </w:rPr>
        <w:t>sophisticated technologies (</w:t>
      </w:r>
      <w:r w:rsidRPr="00283806">
        <w:rPr>
          <w:rFonts w:ascii="Book Antiqua"/>
          <w:i/>
          <w:w w:val="105"/>
        </w:rPr>
        <w:t>e.g.</w:t>
      </w:r>
      <w:r w:rsidRPr="00283806">
        <w:rPr>
          <w:rFonts w:ascii="Book Antiqua"/>
          <w:i/>
          <w:spacing w:val="40"/>
          <w:w w:val="105"/>
        </w:rPr>
        <w:t xml:space="preserve"> </w:t>
      </w:r>
      <w:r w:rsidRPr="00283806">
        <w:rPr>
          <w:w w:val="105"/>
        </w:rPr>
        <w:t>fractional distillation) are needed as compared to blending or rebalancing with virgin material. EPA understands these considerations may vary</w:t>
      </w:r>
      <w:r w:rsidRPr="00283806">
        <w:rPr>
          <w:spacing w:val="40"/>
          <w:w w:val="105"/>
        </w:rPr>
        <w:t xml:space="preserve"> </w:t>
      </w:r>
      <w:r w:rsidRPr="00283806">
        <w:rPr>
          <w:w w:val="105"/>
        </w:rPr>
        <w:t>depending on the technical capabilities</w:t>
      </w:r>
      <w:r w:rsidRPr="00283806">
        <w:rPr>
          <w:spacing w:val="80"/>
          <w:w w:val="105"/>
        </w:rPr>
        <w:t xml:space="preserve"> </w:t>
      </w:r>
      <w:r w:rsidRPr="00283806">
        <w:rPr>
          <w:w w:val="105"/>
        </w:rPr>
        <w:t>of a reclaimer and other market dynamics. Further, as described in section</w:t>
      </w:r>
      <w:r w:rsidRPr="00283806">
        <w:rPr>
          <w:spacing w:val="40"/>
          <w:w w:val="105"/>
        </w:rPr>
        <w:t xml:space="preserve"> </w:t>
      </w:r>
      <w:r w:rsidRPr="00283806">
        <w:rPr>
          <w:w w:val="105"/>
        </w:rPr>
        <w:t>IV.E.2,</w:t>
      </w:r>
      <w:r w:rsidRPr="00283806">
        <w:rPr>
          <w:spacing w:val="40"/>
          <w:w w:val="105"/>
        </w:rPr>
        <w:t xml:space="preserve"> </w:t>
      </w:r>
      <w:r w:rsidRPr="00283806">
        <w:rPr>
          <w:w w:val="105"/>
        </w:rPr>
        <w:t>EPA</w:t>
      </w:r>
      <w:r w:rsidRPr="00283806">
        <w:rPr>
          <w:spacing w:val="40"/>
          <w:w w:val="105"/>
        </w:rPr>
        <w:t xml:space="preserve"> </w:t>
      </w:r>
      <w:r w:rsidRPr="00283806">
        <w:rPr>
          <w:w w:val="105"/>
        </w:rPr>
        <w:t>is</w:t>
      </w:r>
      <w:r w:rsidRPr="00283806">
        <w:rPr>
          <w:spacing w:val="40"/>
          <w:w w:val="105"/>
        </w:rPr>
        <w:t xml:space="preserve"> </w:t>
      </w:r>
      <w:r w:rsidRPr="00283806">
        <w:rPr>
          <w:w w:val="105"/>
        </w:rPr>
        <w:t>finalizing</w:t>
      </w:r>
      <w:r w:rsidRPr="00283806">
        <w:rPr>
          <w:spacing w:val="40"/>
          <w:w w:val="105"/>
        </w:rPr>
        <w:t xml:space="preserve"> </w:t>
      </w:r>
      <w:r w:rsidRPr="00283806">
        <w:rPr>
          <w:w w:val="105"/>
        </w:rPr>
        <w:t>a discrete reporting requirement to evaluate the availability of reclaimed HFCs intended for servicing and/or repair of refrigerant-containing equipment in the covered RACHP subsectors, which will also be useful in assessing the degree by which these multi-component blends are reclaimed.</w:t>
      </w:r>
    </w:p>
    <w:p w14:paraId="61723C83" w14:textId="77777777" w:rsidR="00D67C1E" w:rsidRPr="00283806" w:rsidRDefault="001265CA">
      <w:pPr>
        <w:pStyle w:val="BodyText"/>
        <w:spacing w:before="131" w:line="228" w:lineRule="auto"/>
        <w:ind w:left="144" w:right="121" w:firstLine="180"/>
      </w:pPr>
      <w:r w:rsidRPr="00283806">
        <w:br w:type="column"/>
      </w:r>
      <w:r w:rsidRPr="00283806">
        <w:rPr>
          <w:rFonts w:ascii="Book Antiqua" w:hAnsi="Book Antiqua"/>
          <w:i/>
          <w:w w:val="105"/>
        </w:rPr>
        <w:t xml:space="preserve">Comment: </w:t>
      </w:r>
      <w:r w:rsidRPr="00283806">
        <w:rPr>
          <w:w w:val="105"/>
        </w:rPr>
        <w:t xml:space="preserve">One commenter recommended adding ‘‘and HFC </w:t>
      </w:r>
      <w:proofErr w:type="gramStart"/>
      <w:r w:rsidRPr="00283806">
        <w:rPr>
          <w:w w:val="105"/>
        </w:rPr>
        <w:t>substitutes’’</w:t>
      </w:r>
      <w:proofErr w:type="gramEnd"/>
      <w:r w:rsidRPr="00283806">
        <w:rPr>
          <w:w w:val="105"/>
        </w:rPr>
        <w:t xml:space="preserve"> to proposed reclaim requirements to avoid replicating past regulatory gaps that led to</w:t>
      </w:r>
      <w:r w:rsidRPr="00283806">
        <w:rPr>
          <w:spacing w:val="80"/>
          <w:w w:val="105"/>
        </w:rPr>
        <w:t xml:space="preserve"> </w:t>
      </w:r>
      <w:r w:rsidRPr="00283806">
        <w:rPr>
          <w:w w:val="105"/>
        </w:rPr>
        <w:t xml:space="preserve">environmental consequences and </w:t>
      </w:r>
      <w:proofErr w:type="gramStart"/>
      <w:r w:rsidRPr="00283806">
        <w:rPr>
          <w:w w:val="105"/>
        </w:rPr>
        <w:t>to provide for</w:t>
      </w:r>
      <w:proofErr w:type="gramEnd"/>
      <w:r w:rsidRPr="00283806">
        <w:rPr>
          <w:w w:val="105"/>
        </w:rPr>
        <w:t xml:space="preserve"> comprehensive refrigerant management. The commenter stated that the addition of substitutes would avoid disparities and possible misinterpretation. The commenter</w:t>
      </w:r>
      <w:r w:rsidRPr="00283806">
        <w:rPr>
          <w:spacing w:val="80"/>
          <w:w w:val="105"/>
        </w:rPr>
        <w:t xml:space="preserve"> </w:t>
      </w:r>
      <w:r w:rsidRPr="00283806">
        <w:rPr>
          <w:w w:val="105"/>
        </w:rPr>
        <w:t>stated that, if HFC substitutes are not</w:t>
      </w:r>
      <w:r w:rsidRPr="00283806">
        <w:rPr>
          <w:spacing w:val="40"/>
          <w:w w:val="105"/>
        </w:rPr>
        <w:t xml:space="preserve"> </w:t>
      </w:r>
      <w:r w:rsidRPr="00283806">
        <w:rPr>
          <w:w w:val="105"/>
        </w:rPr>
        <w:t>held to the same standard, concerns about mishandling, venting, and ownership will be likely. Another commenter advocated for a mandatory reclamation of all refrigerants in the United States, excluding hydrocarbons. The commenter noted that many HFC substitutes are HFCs themselves and</w:t>
      </w:r>
      <w:r w:rsidRPr="00283806">
        <w:rPr>
          <w:spacing w:val="40"/>
          <w:w w:val="105"/>
        </w:rPr>
        <w:t xml:space="preserve"> </w:t>
      </w:r>
      <w:r w:rsidRPr="00283806">
        <w:rPr>
          <w:w w:val="105"/>
        </w:rPr>
        <w:t>cited</w:t>
      </w:r>
      <w:r w:rsidRPr="00283806">
        <w:rPr>
          <w:spacing w:val="40"/>
          <w:w w:val="105"/>
        </w:rPr>
        <w:t xml:space="preserve"> </w:t>
      </w:r>
      <w:r w:rsidRPr="00283806">
        <w:rPr>
          <w:w w:val="105"/>
        </w:rPr>
        <w:t>the</w:t>
      </w:r>
      <w:r w:rsidRPr="00283806">
        <w:rPr>
          <w:spacing w:val="40"/>
          <w:w w:val="105"/>
        </w:rPr>
        <w:t xml:space="preserve"> </w:t>
      </w:r>
      <w:r w:rsidRPr="00283806">
        <w:rPr>
          <w:w w:val="105"/>
        </w:rPr>
        <w:t>AIM</w:t>
      </w:r>
      <w:r w:rsidRPr="00283806">
        <w:rPr>
          <w:spacing w:val="40"/>
          <w:w w:val="105"/>
        </w:rPr>
        <w:t xml:space="preserve"> </w:t>
      </w:r>
      <w:r w:rsidRPr="00283806">
        <w:rPr>
          <w:w w:val="105"/>
        </w:rPr>
        <w:t>Act’s</w:t>
      </w:r>
      <w:r w:rsidRPr="00283806">
        <w:rPr>
          <w:spacing w:val="40"/>
          <w:w w:val="105"/>
        </w:rPr>
        <w:t xml:space="preserve"> </w:t>
      </w:r>
      <w:r w:rsidRPr="00283806">
        <w:rPr>
          <w:w w:val="105"/>
        </w:rPr>
        <w:t>requirement</w:t>
      </w:r>
      <w:r w:rsidRPr="00283806">
        <w:rPr>
          <w:spacing w:val="40"/>
          <w:w w:val="105"/>
        </w:rPr>
        <w:t xml:space="preserve"> </w:t>
      </w:r>
      <w:r w:rsidRPr="00283806">
        <w:rPr>
          <w:w w:val="105"/>
        </w:rPr>
        <w:t>that EPA</w:t>
      </w:r>
      <w:r w:rsidRPr="00283806">
        <w:rPr>
          <w:spacing w:val="40"/>
          <w:w w:val="105"/>
        </w:rPr>
        <w:t xml:space="preserve"> </w:t>
      </w:r>
      <w:r w:rsidRPr="00283806">
        <w:rPr>
          <w:w w:val="105"/>
        </w:rPr>
        <w:t>maximize</w:t>
      </w:r>
      <w:r w:rsidRPr="00283806">
        <w:rPr>
          <w:spacing w:val="40"/>
          <w:w w:val="105"/>
        </w:rPr>
        <w:t xml:space="preserve"> </w:t>
      </w:r>
      <w:r w:rsidRPr="00283806">
        <w:rPr>
          <w:w w:val="105"/>
        </w:rPr>
        <w:t>reclamation</w:t>
      </w:r>
      <w:r w:rsidRPr="00283806">
        <w:rPr>
          <w:spacing w:val="40"/>
          <w:w w:val="105"/>
        </w:rPr>
        <w:t xml:space="preserve"> </w:t>
      </w:r>
      <w:r w:rsidRPr="00283806">
        <w:rPr>
          <w:w w:val="105"/>
        </w:rPr>
        <w:t>and minimize release of HFCs and their substitutes. The commenter anticipated that transitioning to HCFOs or other chemicals could pose environmental concerns without sufficient life cycle management plans, including limiting releases, and suggested that all refrigerants be collected and transported to an EPA-certified reclaimer.</w:t>
      </w:r>
    </w:p>
    <w:p w14:paraId="768847CD" w14:textId="77777777" w:rsidR="00D67C1E" w:rsidRPr="00283806" w:rsidRDefault="001265CA">
      <w:pPr>
        <w:pStyle w:val="BodyText"/>
        <w:spacing w:before="16" w:line="225" w:lineRule="auto"/>
        <w:ind w:left="144" w:right="122" w:firstLine="180"/>
      </w:pPr>
      <w:r w:rsidRPr="00283806">
        <w:rPr>
          <w:rFonts w:ascii="Book Antiqua" w:hAnsi="Book Antiqua"/>
          <w:i/>
          <w:w w:val="105"/>
        </w:rPr>
        <w:t>Response:</w:t>
      </w:r>
      <w:r w:rsidRPr="00283806">
        <w:rPr>
          <w:rFonts w:ascii="Book Antiqua" w:hAnsi="Book Antiqua"/>
          <w:i/>
          <w:spacing w:val="40"/>
          <w:w w:val="105"/>
        </w:rPr>
        <w:t xml:space="preserve"> </w:t>
      </w:r>
      <w:r w:rsidRPr="00283806">
        <w:rPr>
          <w:w w:val="105"/>
        </w:rPr>
        <w:t>EPA</w:t>
      </w:r>
      <w:r w:rsidRPr="00283806">
        <w:rPr>
          <w:spacing w:val="40"/>
          <w:w w:val="105"/>
        </w:rPr>
        <w:t xml:space="preserve"> </w:t>
      </w:r>
      <w:r w:rsidRPr="00283806">
        <w:rPr>
          <w:w w:val="105"/>
        </w:rPr>
        <w:t>is</w:t>
      </w:r>
      <w:r w:rsidRPr="00283806">
        <w:rPr>
          <w:spacing w:val="40"/>
          <w:w w:val="105"/>
        </w:rPr>
        <w:t xml:space="preserve"> </w:t>
      </w:r>
      <w:r w:rsidRPr="00283806">
        <w:rPr>
          <w:w w:val="105"/>
        </w:rPr>
        <w:t>clarifying</w:t>
      </w:r>
      <w:r w:rsidRPr="00283806">
        <w:rPr>
          <w:spacing w:val="40"/>
          <w:w w:val="105"/>
        </w:rPr>
        <w:t xml:space="preserve"> </w:t>
      </w:r>
      <w:r w:rsidRPr="00283806">
        <w:rPr>
          <w:w w:val="105"/>
        </w:rPr>
        <w:t>the</w:t>
      </w:r>
      <w:r w:rsidRPr="00283806">
        <w:rPr>
          <w:spacing w:val="40"/>
          <w:w w:val="105"/>
        </w:rPr>
        <w:t xml:space="preserve"> </w:t>
      </w:r>
      <w:r w:rsidRPr="00283806">
        <w:rPr>
          <w:w w:val="105"/>
        </w:rPr>
        <w:t>Agency is defining the term ‘‘substitute for a regulated substance’’ to explicitly establish for purposes of the regulations established in this rulemaking under 40 CFR part 84, subpart C that substitutes</w:t>
      </w:r>
      <w:r w:rsidRPr="00283806">
        <w:rPr>
          <w:spacing w:val="40"/>
          <w:w w:val="105"/>
        </w:rPr>
        <w:t xml:space="preserve"> </w:t>
      </w:r>
      <w:r w:rsidRPr="00283806">
        <w:rPr>
          <w:w w:val="105"/>
        </w:rPr>
        <w:t>for HFCs are substances that are not HFCs.</w:t>
      </w:r>
      <w:r w:rsidRPr="00283806">
        <w:rPr>
          <w:spacing w:val="40"/>
          <w:w w:val="105"/>
        </w:rPr>
        <w:t xml:space="preserve"> </w:t>
      </w:r>
      <w:r w:rsidRPr="00283806">
        <w:rPr>
          <w:w w:val="105"/>
        </w:rPr>
        <w:t>EPA</w:t>
      </w:r>
      <w:r w:rsidRPr="00283806">
        <w:rPr>
          <w:spacing w:val="40"/>
          <w:w w:val="105"/>
        </w:rPr>
        <w:t xml:space="preserve"> </w:t>
      </w:r>
      <w:r w:rsidRPr="00283806">
        <w:rPr>
          <w:w w:val="105"/>
        </w:rPr>
        <w:t>recognizes</w:t>
      </w:r>
      <w:r w:rsidRPr="00283806">
        <w:rPr>
          <w:spacing w:val="40"/>
          <w:w w:val="105"/>
        </w:rPr>
        <w:t xml:space="preserve"> </w:t>
      </w:r>
      <w:r w:rsidRPr="00283806">
        <w:rPr>
          <w:w w:val="105"/>
        </w:rPr>
        <w:t>that</w:t>
      </w:r>
      <w:r w:rsidRPr="00283806">
        <w:rPr>
          <w:spacing w:val="40"/>
          <w:w w:val="105"/>
        </w:rPr>
        <w:t xml:space="preserve"> </w:t>
      </w:r>
      <w:r w:rsidRPr="00283806">
        <w:rPr>
          <w:w w:val="105"/>
        </w:rPr>
        <w:t>in</w:t>
      </w:r>
      <w:r w:rsidRPr="00283806">
        <w:rPr>
          <w:spacing w:val="40"/>
          <w:w w:val="105"/>
        </w:rPr>
        <w:t xml:space="preserve"> </w:t>
      </w:r>
      <w:r w:rsidRPr="00283806">
        <w:rPr>
          <w:w w:val="105"/>
        </w:rPr>
        <w:t>the context of other rulemakings under the AIM Act (</w:t>
      </w:r>
      <w:r w:rsidRPr="00283806">
        <w:rPr>
          <w:rFonts w:ascii="Book Antiqua" w:hAnsi="Book Antiqua"/>
          <w:i/>
          <w:w w:val="105"/>
        </w:rPr>
        <w:t xml:space="preserve">e.g., </w:t>
      </w:r>
      <w:r w:rsidRPr="00283806">
        <w:rPr>
          <w:w w:val="105"/>
        </w:rPr>
        <w:t>2023 Technology Transitions Rule), substitutes may be used to refer to a lower-GWP substance that may or may not include HFCs or blends containing HFCs. In this context</w:t>
      </w:r>
      <w:r w:rsidRPr="00283806">
        <w:rPr>
          <w:spacing w:val="80"/>
          <w:w w:val="105"/>
        </w:rPr>
        <w:t xml:space="preserve"> </w:t>
      </w:r>
      <w:r w:rsidRPr="00283806">
        <w:rPr>
          <w:w w:val="105"/>
        </w:rPr>
        <w:t>of this rulemaking, EPA is using a different definition to help distinguish between those requirements that apply</w:t>
      </w:r>
      <w:r w:rsidRPr="00283806">
        <w:rPr>
          <w:spacing w:val="40"/>
          <w:w w:val="105"/>
        </w:rPr>
        <w:t xml:space="preserve"> </w:t>
      </w:r>
      <w:r w:rsidRPr="00283806">
        <w:rPr>
          <w:w w:val="105"/>
        </w:rPr>
        <w:t>to HFCs and those that apply to substitutes</w:t>
      </w:r>
      <w:r w:rsidRPr="00283806">
        <w:rPr>
          <w:spacing w:val="40"/>
          <w:w w:val="105"/>
        </w:rPr>
        <w:t xml:space="preserve"> </w:t>
      </w:r>
      <w:r w:rsidRPr="00283806">
        <w:rPr>
          <w:w w:val="105"/>
        </w:rPr>
        <w:t>for</w:t>
      </w:r>
      <w:r w:rsidRPr="00283806">
        <w:rPr>
          <w:spacing w:val="40"/>
          <w:w w:val="105"/>
        </w:rPr>
        <w:t xml:space="preserve"> </w:t>
      </w:r>
      <w:r w:rsidRPr="00283806">
        <w:rPr>
          <w:w w:val="105"/>
        </w:rPr>
        <w:t>HFCs.</w:t>
      </w:r>
      <w:r w:rsidRPr="00283806">
        <w:rPr>
          <w:spacing w:val="40"/>
          <w:w w:val="105"/>
        </w:rPr>
        <w:t xml:space="preserve"> </w:t>
      </w:r>
      <w:r w:rsidRPr="00283806">
        <w:rPr>
          <w:w w:val="105"/>
        </w:rPr>
        <w:t>EPA</w:t>
      </w:r>
      <w:r w:rsidRPr="00283806">
        <w:rPr>
          <w:spacing w:val="40"/>
          <w:w w:val="105"/>
        </w:rPr>
        <w:t xml:space="preserve"> </w:t>
      </w:r>
      <w:r w:rsidRPr="00283806">
        <w:rPr>
          <w:w w:val="105"/>
        </w:rPr>
        <w:t>is</w:t>
      </w:r>
      <w:r w:rsidRPr="00283806">
        <w:rPr>
          <w:spacing w:val="40"/>
          <w:w w:val="105"/>
        </w:rPr>
        <w:t xml:space="preserve"> </w:t>
      </w:r>
      <w:r w:rsidRPr="00283806">
        <w:rPr>
          <w:w w:val="105"/>
        </w:rPr>
        <w:t>finalizing, as</w:t>
      </w:r>
      <w:r w:rsidRPr="00283806">
        <w:rPr>
          <w:spacing w:val="36"/>
          <w:w w:val="105"/>
        </w:rPr>
        <w:t xml:space="preserve"> </w:t>
      </w:r>
      <w:r w:rsidRPr="00283806">
        <w:rPr>
          <w:w w:val="105"/>
        </w:rPr>
        <w:t>was</w:t>
      </w:r>
      <w:r w:rsidRPr="00283806">
        <w:rPr>
          <w:spacing w:val="36"/>
          <w:w w:val="105"/>
        </w:rPr>
        <w:t xml:space="preserve"> </w:t>
      </w:r>
      <w:r w:rsidRPr="00283806">
        <w:rPr>
          <w:w w:val="105"/>
        </w:rPr>
        <w:t>proposed,</w:t>
      </w:r>
      <w:r w:rsidRPr="00283806">
        <w:rPr>
          <w:spacing w:val="36"/>
          <w:w w:val="105"/>
        </w:rPr>
        <w:t xml:space="preserve"> </w:t>
      </w:r>
      <w:r w:rsidRPr="00283806">
        <w:rPr>
          <w:w w:val="105"/>
        </w:rPr>
        <w:t>to</w:t>
      </w:r>
      <w:r w:rsidRPr="00283806">
        <w:rPr>
          <w:spacing w:val="36"/>
          <w:w w:val="105"/>
        </w:rPr>
        <w:t xml:space="preserve"> </w:t>
      </w:r>
      <w:r w:rsidRPr="00283806">
        <w:rPr>
          <w:w w:val="105"/>
        </w:rPr>
        <w:t>not</w:t>
      </w:r>
      <w:r w:rsidRPr="00283806">
        <w:rPr>
          <w:spacing w:val="36"/>
          <w:w w:val="105"/>
        </w:rPr>
        <w:t xml:space="preserve"> </w:t>
      </w:r>
      <w:r w:rsidRPr="00283806">
        <w:rPr>
          <w:w w:val="105"/>
        </w:rPr>
        <w:t>require</w:t>
      </w:r>
      <w:r w:rsidRPr="00283806">
        <w:rPr>
          <w:spacing w:val="36"/>
          <w:w w:val="105"/>
        </w:rPr>
        <w:t xml:space="preserve"> </w:t>
      </w:r>
      <w:r w:rsidRPr="00283806">
        <w:rPr>
          <w:w w:val="105"/>
        </w:rPr>
        <w:t>limits on the amount of virgin substitutes for HFCs in reclaimed refrigerant, whether neat</w:t>
      </w:r>
      <w:r w:rsidRPr="00283806">
        <w:rPr>
          <w:spacing w:val="31"/>
          <w:w w:val="105"/>
        </w:rPr>
        <w:t xml:space="preserve"> </w:t>
      </w:r>
      <w:r w:rsidRPr="00283806">
        <w:rPr>
          <w:w w:val="105"/>
        </w:rPr>
        <w:t>or</w:t>
      </w:r>
      <w:r w:rsidRPr="00283806">
        <w:rPr>
          <w:spacing w:val="31"/>
          <w:w w:val="105"/>
        </w:rPr>
        <w:t xml:space="preserve"> </w:t>
      </w:r>
      <w:r w:rsidRPr="00283806">
        <w:rPr>
          <w:w w:val="105"/>
        </w:rPr>
        <w:t>in</w:t>
      </w:r>
      <w:r w:rsidRPr="00283806">
        <w:rPr>
          <w:spacing w:val="31"/>
          <w:w w:val="105"/>
        </w:rPr>
        <w:t xml:space="preserve"> </w:t>
      </w:r>
      <w:r w:rsidRPr="00283806">
        <w:rPr>
          <w:w w:val="105"/>
        </w:rPr>
        <w:t>blends.</w:t>
      </w:r>
      <w:r w:rsidRPr="00283806">
        <w:rPr>
          <w:spacing w:val="31"/>
          <w:w w:val="105"/>
        </w:rPr>
        <w:t xml:space="preserve"> </w:t>
      </w:r>
      <w:r w:rsidRPr="00283806">
        <w:rPr>
          <w:w w:val="105"/>
        </w:rPr>
        <w:t>This</w:t>
      </w:r>
      <w:r w:rsidRPr="00283806">
        <w:rPr>
          <w:spacing w:val="31"/>
          <w:w w:val="105"/>
        </w:rPr>
        <w:t xml:space="preserve"> </w:t>
      </w:r>
      <w:r w:rsidRPr="00283806">
        <w:rPr>
          <w:w w:val="105"/>
        </w:rPr>
        <w:t>exception</w:t>
      </w:r>
      <w:r w:rsidRPr="00283806">
        <w:rPr>
          <w:spacing w:val="31"/>
          <w:w w:val="105"/>
        </w:rPr>
        <w:t xml:space="preserve"> </w:t>
      </w:r>
      <w:r w:rsidRPr="00283806">
        <w:rPr>
          <w:w w:val="105"/>
        </w:rPr>
        <w:t>is</w:t>
      </w:r>
      <w:r w:rsidRPr="00283806">
        <w:rPr>
          <w:spacing w:val="31"/>
          <w:w w:val="105"/>
        </w:rPr>
        <w:t xml:space="preserve"> </w:t>
      </w:r>
      <w:r w:rsidRPr="00283806">
        <w:rPr>
          <w:w w:val="105"/>
        </w:rPr>
        <w:t>not a blanket exception from all aspects of this rule or other related regulations. For example, all regulated substances and non-HFC</w:t>
      </w:r>
      <w:r w:rsidRPr="00283806">
        <w:rPr>
          <w:spacing w:val="40"/>
          <w:w w:val="105"/>
        </w:rPr>
        <w:t xml:space="preserve"> </w:t>
      </w:r>
      <w:r w:rsidRPr="00283806">
        <w:rPr>
          <w:w w:val="105"/>
        </w:rPr>
        <w:t>substitutes</w:t>
      </w:r>
      <w:r w:rsidRPr="00283806">
        <w:rPr>
          <w:spacing w:val="40"/>
          <w:w w:val="105"/>
        </w:rPr>
        <w:t xml:space="preserve"> </w:t>
      </w:r>
      <w:r w:rsidRPr="00283806">
        <w:rPr>
          <w:w w:val="105"/>
        </w:rPr>
        <w:t>for</w:t>
      </w:r>
      <w:r w:rsidRPr="00283806">
        <w:rPr>
          <w:spacing w:val="40"/>
          <w:w w:val="105"/>
        </w:rPr>
        <w:t xml:space="preserve"> </w:t>
      </w:r>
      <w:r w:rsidRPr="00283806">
        <w:rPr>
          <w:w w:val="105"/>
        </w:rPr>
        <w:t>HFCs</w:t>
      </w:r>
      <w:r w:rsidRPr="00283806">
        <w:rPr>
          <w:spacing w:val="40"/>
          <w:w w:val="105"/>
        </w:rPr>
        <w:t xml:space="preserve"> </w:t>
      </w:r>
      <w:r w:rsidRPr="00283806">
        <w:rPr>
          <w:w w:val="105"/>
        </w:rPr>
        <w:t>with</w:t>
      </w:r>
      <w:r w:rsidRPr="00283806">
        <w:rPr>
          <w:spacing w:val="40"/>
          <w:w w:val="105"/>
        </w:rPr>
        <w:t xml:space="preserve"> </w:t>
      </w:r>
      <w:r w:rsidRPr="00283806">
        <w:rPr>
          <w:w w:val="105"/>
        </w:rPr>
        <w:t>GWP greater than 53 would be subject</w:t>
      </w:r>
    </w:p>
    <w:p w14:paraId="653777FC" w14:textId="77777777" w:rsidR="00D67C1E" w:rsidRPr="00283806" w:rsidRDefault="001265CA">
      <w:pPr>
        <w:pStyle w:val="BodyText"/>
        <w:spacing w:before="24" w:line="228" w:lineRule="auto"/>
        <w:ind w:left="144" w:right="228"/>
      </w:pPr>
      <w:r w:rsidRPr="00283806">
        <w:rPr>
          <w:w w:val="105"/>
        </w:rPr>
        <w:t>to the leak repair requirements established in this rule. Further, EPA notes that HFCs and certain substitutes for HFCs, including HFO and HCFO</w:t>
      </w:r>
      <w:r w:rsidRPr="00283806">
        <w:rPr>
          <w:spacing w:val="40"/>
          <w:w w:val="105"/>
        </w:rPr>
        <w:t xml:space="preserve"> </w:t>
      </w:r>
      <w:r w:rsidRPr="00283806">
        <w:rPr>
          <w:w w:val="105"/>
        </w:rPr>
        <w:t>refrigerants, are not exempt from the venting prohibition under 40 CFR 82.154, and it is illegal to knowingly vent or otherwise release such refrigerants into the environment while</w:t>
      </w:r>
    </w:p>
    <w:p w14:paraId="1C02E9C6"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487" w:space="54"/>
            <w:col w:w="3516" w:space="39"/>
            <w:col w:w="3624"/>
          </w:cols>
        </w:sectPr>
      </w:pPr>
    </w:p>
    <w:p w14:paraId="36CF01A2" w14:textId="77777777" w:rsidR="00D67C1E" w:rsidRPr="00283806" w:rsidRDefault="001265CA">
      <w:pPr>
        <w:pStyle w:val="BodyText"/>
        <w:spacing w:before="134" w:line="228" w:lineRule="auto"/>
        <w:ind w:right="78"/>
      </w:pPr>
      <w:r w:rsidRPr="00283806">
        <w:rPr>
          <w:w w:val="105"/>
        </w:rPr>
        <w:lastRenderedPageBreak/>
        <w:t>maintaining, servicing, repairing, or disposing</w:t>
      </w:r>
      <w:r w:rsidRPr="00283806">
        <w:rPr>
          <w:spacing w:val="40"/>
          <w:w w:val="105"/>
        </w:rPr>
        <w:t xml:space="preserve"> </w:t>
      </w:r>
      <w:r w:rsidRPr="00283806">
        <w:rPr>
          <w:w w:val="105"/>
        </w:rPr>
        <w:t>of</w:t>
      </w:r>
      <w:r w:rsidRPr="00283806">
        <w:rPr>
          <w:spacing w:val="40"/>
          <w:w w:val="105"/>
        </w:rPr>
        <w:t xml:space="preserve"> </w:t>
      </w:r>
      <w:r w:rsidRPr="00283806">
        <w:rPr>
          <w:w w:val="105"/>
        </w:rPr>
        <w:t>an</w:t>
      </w:r>
      <w:r w:rsidRPr="00283806">
        <w:rPr>
          <w:spacing w:val="40"/>
          <w:w w:val="105"/>
        </w:rPr>
        <w:t xml:space="preserve"> </w:t>
      </w:r>
      <w:r w:rsidRPr="00283806">
        <w:rPr>
          <w:w w:val="105"/>
        </w:rPr>
        <w:t>appliance</w:t>
      </w:r>
      <w:r w:rsidRPr="00283806">
        <w:rPr>
          <w:spacing w:val="40"/>
          <w:w w:val="105"/>
        </w:rPr>
        <w:t xml:space="preserve"> </w:t>
      </w:r>
      <w:r w:rsidRPr="00283806">
        <w:rPr>
          <w:w w:val="105"/>
        </w:rPr>
        <w:t>or</w:t>
      </w:r>
      <w:r w:rsidRPr="00283806">
        <w:rPr>
          <w:spacing w:val="40"/>
          <w:w w:val="105"/>
        </w:rPr>
        <w:t xml:space="preserve"> </w:t>
      </w:r>
      <w:r w:rsidRPr="00283806">
        <w:rPr>
          <w:w w:val="105"/>
        </w:rPr>
        <w:t>IPR.</w:t>
      </w:r>
      <w:r w:rsidRPr="00283806">
        <w:rPr>
          <w:spacing w:val="40"/>
          <w:w w:val="105"/>
        </w:rPr>
        <w:t xml:space="preserve"> </w:t>
      </w:r>
      <w:r w:rsidRPr="00283806">
        <w:rPr>
          <w:w w:val="105"/>
        </w:rPr>
        <w:t>EPA is aware that substitutes for HFCs are increasingly being used in certain RACHP subsectors and are commonly used in refrigerant blends with HFCs. Any refrigerant blend that contains an HFC would be subject to the leak repair requirements</w:t>
      </w:r>
      <w:r w:rsidRPr="00283806">
        <w:rPr>
          <w:spacing w:val="10"/>
          <w:w w:val="105"/>
        </w:rPr>
        <w:t xml:space="preserve"> </w:t>
      </w:r>
      <w:r w:rsidRPr="00283806">
        <w:rPr>
          <w:w w:val="105"/>
        </w:rPr>
        <w:t>in</w:t>
      </w:r>
      <w:r w:rsidRPr="00283806">
        <w:rPr>
          <w:spacing w:val="10"/>
          <w:w w:val="105"/>
        </w:rPr>
        <w:t xml:space="preserve"> </w:t>
      </w:r>
      <w:r w:rsidRPr="00283806">
        <w:rPr>
          <w:w w:val="105"/>
        </w:rPr>
        <w:t>this</w:t>
      </w:r>
      <w:r w:rsidRPr="00283806">
        <w:rPr>
          <w:spacing w:val="11"/>
          <w:w w:val="105"/>
        </w:rPr>
        <w:t xml:space="preserve"> </w:t>
      </w:r>
      <w:r w:rsidRPr="00283806">
        <w:rPr>
          <w:w w:val="105"/>
        </w:rPr>
        <w:t>rulemaking,</w:t>
      </w:r>
      <w:r w:rsidRPr="00283806">
        <w:rPr>
          <w:spacing w:val="10"/>
          <w:w w:val="105"/>
        </w:rPr>
        <w:t xml:space="preserve"> </w:t>
      </w:r>
      <w:r w:rsidRPr="00283806">
        <w:rPr>
          <w:spacing w:val="-4"/>
          <w:w w:val="105"/>
        </w:rPr>
        <w:t>which</w:t>
      </w:r>
    </w:p>
    <w:p w14:paraId="3E7E803D" w14:textId="77777777" w:rsidR="00D67C1E" w:rsidRPr="00283806" w:rsidRDefault="001265CA">
      <w:pPr>
        <w:pStyle w:val="BodyText"/>
        <w:spacing w:line="228" w:lineRule="auto"/>
        <w:ind w:right="42"/>
      </w:pPr>
      <w:r w:rsidRPr="00283806">
        <w:rPr>
          <w:w w:val="105"/>
        </w:rPr>
        <w:t xml:space="preserve">are being established </w:t>
      </w:r>
      <w:proofErr w:type="gramStart"/>
      <w:r w:rsidRPr="00283806">
        <w:rPr>
          <w:w w:val="105"/>
        </w:rPr>
        <w:t>consistent</w:t>
      </w:r>
      <w:proofErr w:type="gramEnd"/>
      <w:r w:rsidRPr="00283806">
        <w:rPr>
          <w:w w:val="105"/>
        </w:rPr>
        <w:t xml:space="preserve"> with the purposes identified in subsection (h)(1) of the AIM Act, including maximizing reclamation and minimizing the release</w:t>
      </w:r>
      <w:r w:rsidRPr="00283806">
        <w:rPr>
          <w:spacing w:val="40"/>
          <w:w w:val="105"/>
        </w:rPr>
        <w:t xml:space="preserve"> </w:t>
      </w:r>
      <w:r w:rsidRPr="00283806">
        <w:rPr>
          <w:w w:val="105"/>
        </w:rPr>
        <w:t>of regulated substances from equipment. EPA decided to limit the requirements that apply to substitutes for HFCs in this rule to those substitutes for HFCs with GWPs above 53 for reasons articulated</w:t>
      </w:r>
      <w:r w:rsidRPr="00283806">
        <w:rPr>
          <w:spacing w:val="80"/>
          <w:w w:val="105"/>
        </w:rPr>
        <w:t xml:space="preserve"> </w:t>
      </w:r>
      <w:r w:rsidRPr="00283806">
        <w:rPr>
          <w:w w:val="105"/>
        </w:rPr>
        <w:t>in this final rule and in the proposal.</w:t>
      </w:r>
    </w:p>
    <w:p w14:paraId="160A7C94" w14:textId="77777777" w:rsidR="00D67C1E" w:rsidRPr="00283806" w:rsidRDefault="001265CA">
      <w:pPr>
        <w:pStyle w:val="BodyText"/>
        <w:spacing w:line="228" w:lineRule="auto"/>
        <w:ind w:right="78"/>
      </w:pPr>
      <w:r w:rsidRPr="00283806">
        <w:rPr>
          <w:w w:val="105"/>
        </w:rPr>
        <w:t>EPA is applying this cutoff because it is the lowest GWP among regulated substances in the AIM Act. Further, the installed stock of these substitutes for HFCs is not as established as the</w:t>
      </w:r>
      <w:r w:rsidRPr="00283806">
        <w:rPr>
          <w:spacing w:val="80"/>
          <w:w w:val="105"/>
        </w:rPr>
        <w:t xml:space="preserve"> </w:t>
      </w:r>
      <w:r w:rsidRPr="00283806">
        <w:rPr>
          <w:w w:val="105"/>
        </w:rPr>
        <w:t>installed stock of refrigerant-containing equipment with HFCs or refrigerants</w:t>
      </w:r>
      <w:r w:rsidRPr="00283806">
        <w:rPr>
          <w:spacing w:val="80"/>
          <w:w w:val="105"/>
        </w:rPr>
        <w:t xml:space="preserve"> </w:t>
      </w:r>
      <w:r w:rsidRPr="00283806">
        <w:rPr>
          <w:w w:val="105"/>
        </w:rPr>
        <w:t>that contain HFCs. However, the</w:t>
      </w:r>
      <w:r w:rsidRPr="00283806">
        <w:rPr>
          <w:spacing w:val="80"/>
          <w:w w:val="105"/>
        </w:rPr>
        <w:t xml:space="preserve"> </w:t>
      </w:r>
      <w:r w:rsidRPr="00283806">
        <w:rPr>
          <w:w w:val="105"/>
        </w:rPr>
        <w:t>installed stock of these substitutes for HFCs may be important in the future,</w:t>
      </w:r>
      <w:r w:rsidRPr="00283806">
        <w:rPr>
          <w:spacing w:val="80"/>
          <w:w w:val="105"/>
        </w:rPr>
        <w:t xml:space="preserve"> </w:t>
      </w:r>
      <w:r w:rsidRPr="00283806">
        <w:rPr>
          <w:w w:val="105"/>
        </w:rPr>
        <w:t>and EPA may reevaluate this decision in the future and may consider applying other aspects of this program to non-</w:t>
      </w:r>
      <w:r w:rsidRPr="00283806">
        <w:rPr>
          <w:spacing w:val="40"/>
          <w:w w:val="105"/>
        </w:rPr>
        <w:t xml:space="preserve"> </w:t>
      </w:r>
      <w:r w:rsidRPr="00283806">
        <w:rPr>
          <w:w w:val="105"/>
        </w:rPr>
        <w:t>HFC substitutes. As noted in a previous response, EPA interprets subsection (h) to authorize regulations that would</w:t>
      </w:r>
      <w:r w:rsidRPr="00283806">
        <w:rPr>
          <w:spacing w:val="80"/>
          <w:w w:val="105"/>
        </w:rPr>
        <w:t xml:space="preserve"> </w:t>
      </w:r>
      <w:r w:rsidRPr="00283806">
        <w:rPr>
          <w:w w:val="105"/>
        </w:rPr>
        <w:t>apply to substitutes for HFCs.</w:t>
      </w:r>
    </w:p>
    <w:p w14:paraId="2B59FA21" w14:textId="77777777" w:rsidR="00D67C1E" w:rsidRPr="00283806" w:rsidRDefault="001265CA">
      <w:pPr>
        <w:pStyle w:val="BodyText"/>
        <w:spacing w:line="228" w:lineRule="auto"/>
        <w:ind w:right="55" w:firstLine="180"/>
      </w:pPr>
      <w:r w:rsidRPr="00283806">
        <w:rPr>
          <w:rFonts w:ascii="Book Antiqua" w:hAnsi="Book Antiqua"/>
          <w:i/>
          <w:w w:val="105"/>
        </w:rPr>
        <w:t xml:space="preserve">Comment: </w:t>
      </w:r>
      <w:r w:rsidRPr="00283806">
        <w:rPr>
          <w:w w:val="105"/>
        </w:rPr>
        <w:t>One commenter noted that reclaimed refrigerant has never needed</w:t>
      </w:r>
      <w:r w:rsidRPr="00283806">
        <w:rPr>
          <w:spacing w:val="40"/>
          <w:w w:val="105"/>
        </w:rPr>
        <w:t xml:space="preserve"> </w:t>
      </w:r>
      <w:r w:rsidRPr="00283806">
        <w:rPr>
          <w:w w:val="105"/>
        </w:rPr>
        <w:t>to be labeled in the industry and stated that requirements to label reclaimed refrigerant would create an additional ‘‘product’’ despite the reclaimed gas</w:t>
      </w:r>
      <w:r w:rsidRPr="00283806">
        <w:rPr>
          <w:spacing w:val="40"/>
          <w:w w:val="105"/>
        </w:rPr>
        <w:t xml:space="preserve"> </w:t>
      </w:r>
      <w:r w:rsidRPr="00283806">
        <w:rPr>
          <w:w w:val="105"/>
        </w:rPr>
        <w:t>being chemically and functionally identical to virgin. The commenter</w:t>
      </w:r>
      <w:r w:rsidRPr="00283806">
        <w:rPr>
          <w:spacing w:val="80"/>
          <w:w w:val="105"/>
        </w:rPr>
        <w:t xml:space="preserve"> </w:t>
      </w:r>
      <w:r w:rsidRPr="00283806">
        <w:rPr>
          <w:w w:val="105"/>
        </w:rPr>
        <w:t>stated that the greatest benefit to reclaimers is if reclaimed refrigerant is marked as fungible with virgin refrigerant. The commenter stated that labeling reclaimed refrigerant could lead to a perception that reclaimed material</w:t>
      </w:r>
      <w:r w:rsidRPr="00283806">
        <w:rPr>
          <w:spacing w:val="80"/>
          <w:w w:val="105"/>
        </w:rPr>
        <w:t xml:space="preserve"> </w:t>
      </w:r>
      <w:r w:rsidRPr="00283806">
        <w:rPr>
          <w:w w:val="105"/>
        </w:rPr>
        <w:t>is of lesser quality and therefore had to</w:t>
      </w:r>
      <w:r w:rsidRPr="00283806">
        <w:rPr>
          <w:spacing w:val="40"/>
          <w:w w:val="105"/>
        </w:rPr>
        <w:t xml:space="preserve"> </w:t>
      </w:r>
      <w:r w:rsidRPr="00283806">
        <w:rPr>
          <w:w w:val="105"/>
        </w:rPr>
        <w:t xml:space="preserve">be mandated by a </w:t>
      </w:r>
      <w:proofErr w:type="gramStart"/>
      <w:r w:rsidRPr="00283806">
        <w:rPr>
          <w:w w:val="105"/>
        </w:rPr>
        <w:t>Federal</w:t>
      </w:r>
      <w:proofErr w:type="gramEnd"/>
      <w:r w:rsidRPr="00283806">
        <w:rPr>
          <w:w w:val="105"/>
        </w:rPr>
        <w:t xml:space="preserve"> agency. The commenter claimed this could depress reclaimed gas sales contrary to the AIM Act’s </w:t>
      </w:r>
      <w:proofErr w:type="gramStart"/>
      <w:r w:rsidRPr="00283806">
        <w:rPr>
          <w:w w:val="105"/>
        </w:rPr>
        <w:t>direction, and</w:t>
      </w:r>
      <w:proofErr w:type="gramEnd"/>
      <w:r w:rsidRPr="00283806">
        <w:rPr>
          <w:w w:val="105"/>
        </w:rPr>
        <w:t xml:space="preserve"> would create confusion about why two different</w:t>
      </w:r>
      <w:r w:rsidRPr="00283806">
        <w:rPr>
          <w:spacing w:val="40"/>
          <w:w w:val="105"/>
        </w:rPr>
        <w:t xml:space="preserve"> </w:t>
      </w:r>
      <w:r w:rsidRPr="00283806">
        <w:rPr>
          <w:w w:val="105"/>
        </w:rPr>
        <w:t>classes of refrigerant exist in the market. Another commenter opposed the recordkeeping and labeling</w:t>
      </w:r>
      <w:r w:rsidRPr="00283806">
        <w:rPr>
          <w:spacing w:val="80"/>
          <w:w w:val="105"/>
        </w:rPr>
        <w:t xml:space="preserve"> </w:t>
      </w:r>
      <w:r w:rsidRPr="00283806">
        <w:rPr>
          <w:w w:val="105"/>
        </w:rPr>
        <w:t>requirements and claimed that there</w:t>
      </w:r>
      <w:r w:rsidRPr="00283806">
        <w:rPr>
          <w:spacing w:val="80"/>
          <w:w w:val="105"/>
        </w:rPr>
        <w:t xml:space="preserve"> </w:t>
      </w:r>
      <w:r w:rsidRPr="00283806">
        <w:rPr>
          <w:w w:val="105"/>
        </w:rPr>
        <w:t>was no clear need to ensure that</w:t>
      </w:r>
    </w:p>
    <w:p w14:paraId="35DD9EF4" w14:textId="77777777" w:rsidR="00D67C1E" w:rsidRPr="00283806" w:rsidRDefault="001265CA">
      <w:pPr>
        <w:pStyle w:val="BodyText"/>
        <w:spacing w:before="134" w:line="225" w:lineRule="auto"/>
        <w:ind w:left="143" w:right="42"/>
      </w:pPr>
      <w:r w:rsidRPr="00283806">
        <w:br w:type="column"/>
      </w:r>
      <w:r w:rsidRPr="00283806">
        <w:rPr>
          <w:w w:val="105"/>
        </w:rPr>
        <w:t>at the batch level further reduced the meaning of the proposed container marking requirements. The commenter stated that compliance with EPA’s proposed mandate was the only reason servicers would need to distinguish between reclaimed and virgin material. The commenter suggested that EPA should instead clarify that for current reclaimer reporting, a reclaimer’s annual total reported reclamation should match the reclaimer’s reported annual total of recovered input minus waste, which could be a less burdensome alternative that</w:t>
      </w:r>
      <w:r w:rsidRPr="00283806">
        <w:rPr>
          <w:spacing w:val="40"/>
          <w:w w:val="105"/>
        </w:rPr>
        <w:t xml:space="preserve"> </w:t>
      </w:r>
      <w:r w:rsidRPr="00283806">
        <w:rPr>
          <w:w w:val="105"/>
        </w:rPr>
        <w:t>the</w:t>
      </w:r>
      <w:r w:rsidRPr="00283806">
        <w:rPr>
          <w:spacing w:val="40"/>
          <w:w w:val="105"/>
        </w:rPr>
        <w:t xml:space="preserve"> </w:t>
      </w:r>
      <w:r w:rsidRPr="00283806">
        <w:rPr>
          <w:w w:val="105"/>
        </w:rPr>
        <w:t>Agency</w:t>
      </w:r>
      <w:r w:rsidRPr="00283806">
        <w:rPr>
          <w:spacing w:val="40"/>
          <w:w w:val="105"/>
        </w:rPr>
        <w:t xml:space="preserve"> </w:t>
      </w:r>
      <w:r w:rsidRPr="00283806">
        <w:rPr>
          <w:w w:val="105"/>
        </w:rPr>
        <w:t>should</w:t>
      </w:r>
      <w:r w:rsidRPr="00283806">
        <w:rPr>
          <w:spacing w:val="40"/>
          <w:w w:val="105"/>
        </w:rPr>
        <w:t xml:space="preserve"> </w:t>
      </w:r>
      <w:r w:rsidRPr="00283806">
        <w:rPr>
          <w:w w:val="105"/>
        </w:rPr>
        <w:t>consider.</w:t>
      </w:r>
      <w:r w:rsidRPr="00283806">
        <w:rPr>
          <w:spacing w:val="40"/>
          <w:w w:val="105"/>
        </w:rPr>
        <w:t xml:space="preserve"> </w:t>
      </w:r>
      <w:r w:rsidRPr="00283806">
        <w:rPr>
          <w:w w:val="105"/>
        </w:rPr>
        <w:t>A third commenter recommended the use of a label or QR code to disclose the amount of bona fide recovered</w:t>
      </w:r>
      <w:r w:rsidRPr="00283806">
        <w:rPr>
          <w:spacing w:val="40"/>
          <w:w w:val="105"/>
        </w:rPr>
        <w:t xml:space="preserve"> </w:t>
      </w:r>
      <w:r w:rsidRPr="00283806">
        <w:rPr>
          <w:w w:val="105"/>
        </w:rPr>
        <w:t xml:space="preserve">refrigerant in reclaimed material. The commenter advocated detailed data on </w:t>
      </w:r>
      <w:proofErr w:type="gramStart"/>
      <w:r w:rsidRPr="00283806">
        <w:rPr>
          <w:w w:val="105"/>
        </w:rPr>
        <w:t>chain</w:t>
      </w:r>
      <w:proofErr w:type="gramEnd"/>
      <w:r w:rsidRPr="00283806">
        <w:rPr>
          <w:w w:val="105"/>
        </w:rPr>
        <w:t xml:space="preserve"> of custody to avoid false claims</w:t>
      </w:r>
      <w:r w:rsidRPr="00283806">
        <w:rPr>
          <w:spacing w:val="80"/>
          <w:w w:val="105"/>
        </w:rPr>
        <w:t xml:space="preserve"> </w:t>
      </w:r>
      <w:r w:rsidRPr="00283806">
        <w:rPr>
          <w:w w:val="105"/>
        </w:rPr>
        <w:t xml:space="preserve">and illegal trade, with a ‘‘credible paper trail throughout its return to </w:t>
      </w:r>
      <w:proofErr w:type="gramStart"/>
      <w:r w:rsidRPr="00283806">
        <w:rPr>
          <w:w w:val="105"/>
        </w:rPr>
        <w:t>service.’</w:t>
      </w:r>
      <w:proofErr w:type="gramEnd"/>
      <w:r w:rsidRPr="00283806">
        <w:rPr>
          <w:w w:val="105"/>
        </w:rPr>
        <w:t>’</w:t>
      </w:r>
    </w:p>
    <w:p w14:paraId="1227BDC0" w14:textId="77777777" w:rsidR="00D67C1E" w:rsidRPr="00283806" w:rsidRDefault="001265CA">
      <w:pPr>
        <w:spacing w:line="177" w:lineRule="exact"/>
        <w:ind w:left="323"/>
        <w:rPr>
          <w:sz w:val="18"/>
        </w:rPr>
      </w:pPr>
      <w:r w:rsidRPr="00283806">
        <w:rPr>
          <w:rFonts w:ascii="Book Antiqua"/>
          <w:i/>
          <w:w w:val="105"/>
          <w:sz w:val="18"/>
        </w:rPr>
        <w:t>Response:</w:t>
      </w:r>
      <w:r w:rsidRPr="00283806">
        <w:rPr>
          <w:rFonts w:ascii="Book Antiqua"/>
          <w:i/>
          <w:spacing w:val="29"/>
          <w:w w:val="105"/>
          <w:sz w:val="18"/>
        </w:rPr>
        <w:t xml:space="preserve"> </w:t>
      </w:r>
      <w:r w:rsidRPr="00283806">
        <w:rPr>
          <w:w w:val="105"/>
          <w:sz w:val="18"/>
        </w:rPr>
        <w:t>EPA</w:t>
      </w:r>
      <w:r w:rsidRPr="00283806">
        <w:rPr>
          <w:spacing w:val="34"/>
          <w:w w:val="105"/>
          <w:sz w:val="18"/>
        </w:rPr>
        <w:t xml:space="preserve"> </w:t>
      </w:r>
      <w:r w:rsidRPr="00283806">
        <w:rPr>
          <w:w w:val="105"/>
          <w:sz w:val="18"/>
        </w:rPr>
        <w:t>acknowledges</w:t>
      </w:r>
      <w:r w:rsidRPr="00283806">
        <w:rPr>
          <w:spacing w:val="34"/>
          <w:w w:val="105"/>
          <w:sz w:val="18"/>
        </w:rPr>
        <w:t xml:space="preserve"> </w:t>
      </w:r>
      <w:r w:rsidRPr="00283806">
        <w:rPr>
          <w:w w:val="105"/>
          <w:sz w:val="18"/>
        </w:rPr>
        <w:t>that</w:t>
      </w:r>
      <w:r w:rsidRPr="00283806">
        <w:rPr>
          <w:spacing w:val="34"/>
          <w:w w:val="105"/>
          <w:sz w:val="18"/>
        </w:rPr>
        <w:t xml:space="preserve"> </w:t>
      </w:r>
      <w:r w:rsidRPr="00283806">
        <w:rPr>
          <w:spacing w:val="-4"/>
          <w:w w:val="105"/>
          <w:sz w:val="18"/>
        </w:rPr>
        <w:t>this</w:t>
      </w:r>
    </w:p>
    <w:p w14:paraId="19A730B1" w14:textId="77777777" w:rsidR="00D67C1E" w:rsidRPr="00283806" w:rsidRDefault="001265CA">
      <w:pPr>
        <w:pStyle w:val="BodyText"/>
        <w:spacing w:line="225" w:lineRule="auto"/>
        <w:ind w:left="143"/>
      </w:pPr>
      <w:proofErr w:type="gramStart"/>
      <w:r w:rsidRPr="00283806">
        <w:rPr>
          <w:w w:val="105"/>
        </w:rPr>
        <w:t>labeling</w:t>
      </w:r>
      <w:proofErr w:type="gramEnd"/>
      <w:r w:rsidRPr="00283806">
        <w:rPr>
          <w:w w:val="105"/>
        </w:rPr>
        <w:t xml:space="preserve"> requirement is new and may</w:t>
      </w:r>
      <w:r w:rsidRPr="00283806">
        <w:rPr>
          <w:spacing w:val="40"/>
          <w:w w:val="105"/>
        </w:rPr>
        <w:t xml:space="preserve"> </w:t>
      </w:r>
      <w:r w:rsidRPr="00283806">
        <w:rPr>
          <w:w w:val="105"/>
        </w:rPr>
        <w:t>vary from current practices. The Agency disagrees that the labeling requirements would designate reclaimed refrigerant as being inferior to virgin refrigerant and disagrees with the commenter’s description</w:t>
      </w:r>
      <w:r w:rsidRPr="00283806">
        <w:rPr>
          <w:spacing w:val="40"/>
          <w:w w:val="105"/>
        </w:rPr>
        <w:t xml:space="preserve"> </w:t>
      </w:r>
      <w:r w:rsidRPr="00283806">
        <w:rPr>
          <w:w w:val="105"/>
        </w:rPr>
        <w:t>of</w:t>
      </w:r>
      <w:r w:rsidRPr="00283806">
        <w:rPr>
          <w:spacing w:val="40"/>
          <w:w w:val="105"/>
        </w:rPr>
        <w:t xml:space="preserve"> </w:t>
      </w:r>
      <w:r w:rsidRPr="00283806">
        <w:rPr>
          <w:w w:val="105"/>
        </w:rPr>
        <w:t>the</w:t>
      </w:r>
      <w:r w:rsidRPr="00283806">
        <w:rPr>
          <w:spacing w:val="40"/>
          <w:w w:val="105"/>
        </w:rPr>
        <w:t xml:space="preserve"> </w:t>
      </w:r>
      <w:r w:rsidRPr="00283806">
        <w:rPr>
          <w:w w:val="105"/>
        </w:rPr>
        <w:t>perceived</w:t>
      </w:r>
      <w:r w:rsidRPr="00283806">
        <w:rPr>
          <w:spacing w:val="40"/>
          <w:w w:val="105"/>
        </w:rPr>
        <w:t xml:space="preserve"> </w:t>
      </w:r>
      <w:r w:rsidRPr="00283806">
        <w:rPr>
          <w:w w:val="105"/>
        </w:rPr>
        <w:t xml:space="preserve">rationale for a </w:t>
      </w:r>
      <w:proofErr w:type="gramStart"/>
      <w:r w:rsidRPr="00283806">
        <w:rPr>
          <w:w w:val="105"/>
        </w:rPr>
        <w:t>Federal</w:t>
      </w:r>
      <w:proofErr w:type="gramEnd"/>
      <w:r w:rsidRPr="00283806">
        <w:rPr>
          <w:w w:val="105"/>
        </w:rPr>
        <w:t xml:space="preserve"> agency mandate. The</w:t>
      </w:r>
      <w:r w:rsidRPr="00283806">
        <w:rPr>
          <w:spacing w:val="40"/>
          <w:w w:val="105"/>
        </w:rPr>
        <w:t xml:space="preserve"> </w:t>
      </w:r>
      <w:r w:rsidRPr="00283806">
        <w:rPr>
          <w:w w:val="105"/>
        </w:rPr>
        <w:t>Agency was clear in the NPRM and in</w:t>
      </w:r>
      <w:r w:rsidRPr="00283806">
        <w:rPr>
          <w:spacing w:val="80"/>
          <w:w w:val="105"/>
        </w:rPr>
        <w:t xml:space="preserve"> </w:t>
      </w:r>
      <w:r w:rsidRPr="00283806">
        <w:rPr>
          <w:w w:val="105"/>
        </w:rPr>
        <w:t>this final rule that reclaimed refrigerant</w:t>
      </w:r>
      <w:r w:rsidRPr="00283806">
        <w:rPr>
          <w:spacing w:val="40"/>
          <w:w w:val="105"/>
        </w:rPr>
        <w:t xml:space="preserve"> </w:t>
      </w:r>
      <w:proofErr w:type="gramStart"/>
      <w:r w:rsidRPr="00283806">
        <w:rPr>
          <w:w w:val="105"/>
        </w:rPr>
        <w:t>is capable of performing</w:t>
      </w:r>
      <w:proofErr w:type="gramEnd"/>
      <w:r w:rsidRPr="00283806">
        <w:rPr>
          <w:w w:val="105"/>
        </w:rPr>
        <w:t xml:space="preserve"> the same functionality of virgin refrigerant in equipment. Both are required to meet</w:t>
      </w:r>
      <w:r w:rsidRPr="00283806">
        <w:rPr>
          <w:spacing w:val="80"/>
          <w:w w:val="105"/>
        </w:rPr>
        <w:t xml:space="preserve"> </w:t>
      </w:r>
      <w:r w:rsidRPr="00283806">
        <w:rPr>
          <w:w w:val="105"/>
        </w:rPr>
        <w:t>the exact same purity standard (</w:t>
      </w:r>
      <w:r w:rsidRPr="00283806">
        <w:rPr>
          <w:rFonts w:ascii="Book Antiqua" w:hAnsi="Book Antiqua"/>
          <w:i/>
          <w:w w:val="105"/>
        </w:rPr>
        <w:t xml:space="preserve">i.e., </w:t>
      </w:r>
      <w:r w:rsidRPr="00283806">
        <w:rPr>
          <w:w w:val="105"/>
        </w:rPr>
        <w:t>based on AHRI 700). The labeling requirements are being established to support the required uses of reclaimed refrigerants and to indicate that the reclaimed refrigerant contains no more than 15 percent, by weight, virgin HFCs, thus promoting a consistent understanding of what reclaimed refrigerants are. Given the requirements for the servicing and/or repair of certain refrigerant-containing equipment to be done with reclaimed HFCs in this final action, labeling will help regulated entities comply with those obligations. Thus, EPA disagrees with the comment that there is no need for technicians to</w:t>
      </w:r>
      <w:r w:rsidRPr="00283806">
        <w:rPr>
          <w:spacing w:val="80"/>
          <w:w w:val="105"/>
        </w:rPr>
        <w:t xml:space="preserve"> </w:t>
      </w:r>
      <w:r w:rsidRPr="00283806">
        <w:rPr>
          <w:w w:val="105"/>
        </w:rPr>
        <w:t>be able to easily recognize reclaimed refrigerant. As such, the labeling requirement helps to support the</w:t>
      </w:r>
      <w:r w:rsidRPr="00283806">
        <w:rPr>
          <w:spacing w:val="40"/>
          <w:w w:val="105"/>
        </w:rPr>
        <w:t xml:space="preserve"> </w:t>
      </w:r>
      <w:r w:rsidRPr="00283806">
        <w:rPr>
          <w:w w:val="105"/>
        </w:rPr>
        <w:t>purpose identified in subsection (h) of</w:t>
      </w:r>
      <w:r w:rsidRPr="00283806">
        <w:rPr>
          <w:spacing w:val="40"/>
          <w:w w:val="105"/>
        </w:rPr>
        <w:t xml:space="preserve"> </w:t>
      </w:r>
      <w:r w:rsidRPr="00283806">
        <w:rPr>
          <w:w w:val="105"/>
        </w:rPr>
        <w:t>the AIM Act to maximize reclamation.</w:t>
      </w:r>
    </w:p>
    <w:p w14:paraId="3E03A3C8" w14:textId="77777777" w:rsidR="00D67C1E" w:rsidRPr="00283806" w:rsidRDefault="001265CA">
      <w:pPr>
        <w:pStyle w:val="BodyText"/>
        <w:spacing w:line="157" w:lineRule="exact"/>
        <w:ind w:left="323"/>
      </w:pPr>
      <w:r w:rsidRPr="00283806">
        <w:rPr>
          <w:w w:val="105"/>
        </w:rPr>
        <w:t>The</w:t>
      </w:r>
      <w:r w:rsidRPr="00283806">
        <w:rPr>
          <w:spacing w:val="9"/>
          <w:w w:val="105"/>
        </w:rPr>
        <w:t xml:space="preserve"> </w:t>
      </w:r>
      <w:r w:rsidRPr="00283806">
        <w:rPr>
          <w:w w:val="105"/>
        </w:rPr>
        <w:t>Agency</w:t>
      </w:r>
      <w:r w:rsidRPr="00283806">
        <w:rPr>
          <w:spacing w:val="10"/>
          <w:w w:val="105"/>
        </w:rPr>
        <w:t xml:space="preserve"> </w:t>
      </w:r>
      <w:r w:rsidRPr="00283806">
        <w:rPr>
          <w:w w:val="105"/>
        </w:rPr>
        <w:t>further</w:t>
      </w:r>
      <w:r w:rsidRPr="00283806">
        <w:rPr>
          <w:spacing w:val="9"/>
          <w:w w:val="105"/>
        </w:rPr>
        <w:t xml:space="preserve"> </w:t>
      </w:r>
      <w:r w:rsidRPr="00283806">
        <w:rPr>
          <w:w w:val="105"/>
        </w:rPr>
        <w:t>notes</w:t>
      </w:r>
      <w:r w:rsidRPr="00283806">
        <w:rPr>
          <w:spacing w:val="10"/>
          <w:w w:val="105"/>
        </w:rPr>
        <w:t xml:space="preserve"> </w:t>
      </w:r>
      <w:r w:rsidRPr="00283806">
        <w:rPr>
          <w:w w:val="105"/>
        </w:rPr>
        <w:t>that</w:t>
      </w:r>
      <w:r w:rsidRPr="00283806">
        <w:rPr>
          <w:spacing w:val="9"/>
          <w:w w:val="105"/>
        </w:rPr>
        <w:t xml:space="preserve"> </w:t>
      </w:r>
      <w:r w:rsidRPr="00283806">
        <w:rPr>
          <w:w w:val="105"/>
        </w:rPr>
        <w:t>use</w:t>
      </w:r>
      <w:r w:rsidRPr="00283806">
        <w:rPr>
          <w:spacing w:val="10"/>
          <w:w w:val="105"/>
        </w:rPr>
        <w:t xml:space="preserve"> </w:t>
      </w:r>
      <w:r w:rsidRPr="00283806">
        <w:rPr>
          <w:spacing w:val="-5"/>
          <w:w w:val="105"/>
        </w:rPr>
        <w:t>of</w:t>
      </w:r>
    </w:p>
    <w:p w14:paraId="2CAF1350" w14:textId="77777777" w:rsidR="00D67C1E" w:rsidRPr="00283806" w:rsidRDefault="001265CA">
      <w:pPr>
        <w:pStyle w:val="BodyText"/>
        <w:spacing w:line="225" w:lineRule="auto"/>
        <w:ind w:left="143" w:right="71"/>
      </w:pPr>
      <w:proofErr w:type="gramStart"/>
      <w:r w:rsidRPr="00283806">
        <w:rPr>
          <w:w w:val="105"/>
        </w:rPr>
        <w:t>similar</w:t>
      </w:r>
      <w:proofErr w:type="gramEnd"/>
      <w:r w:rsidRPr="00283806">
        <w:rPr>
          <w:w w:val="105"/>
        </w:rPr>
        <w:t xml:space="preserve"> labels that indicate </w:t>
      </w:r>
      <w:proofErr w:type="gramStart"/>
      <w:r w:rsidRPr="00283806">
        <w:rPr>
          <w:w w:val="105"/>
        </w:rPr>
        <w:t>use</w:t>
      </w:r>
      <w:proofErr w:type="gramEnd"/>
      <w:r w:rsidRPr="00283806">
        <w:rPr>
          <w:w w:val="105"/>
        </w:rPr>
        <w:t xml:space="preserve"> of recycled materials is common practice</w:t>
      </w:r>
    </w:p>
    <w:p w14:paraId="5384ADDE" w14:textId="77777777" w:rsidR="00D67C1E" w:rsidRPr="00283806" w:rsidRDefault="001265CA">
      <w:pPr>
        <w:pStyle w:val="BodyText"/>
        <w:spacing w:before="134" w:line="225" w:lineRule="auto"/>
        <w:ind w:left="143" w:right="142"/>
      </w:pPr>
      <w:r w:rsidRPr="00283806">
        <w:br w:type="column"/>
      </w:r>
      <w:r w:rsidRPr="00283806">
        <w:rPr>
          <w:w w:val="105"/>
        </w:rPr>
        <w:t xml:space="preserve">and in </w:t>
      </w:r>
      <w:proofErr w:type="gramStart"/>
      <w:r w:rsidRPr="00283806">
        <w:rPr>
          <w:w w:val="105"/>
        </w:rPr>
        <w:t>fact</w:t>
      </w:r>
      <w:proofErr w:type="gramEnd"/>
      <w:r w:rsidRPr="00283806">
        <w:rPr>
          <w:w w:val="105"/>
        </w:rPr>
        <w:t xml:space="preserve"> EPA regulations under CAA section 608 only applied the</w:t>
      </w:r>
      <w:r w:rsidRPr="00283806">
        <w:rPr>
          <w:spacing w:val="80"/>
          <w:w w:val="105"/>
        </w:rPr>
        <w:t xml:space="preserve"> </w:t>
      </w:r>
      <w:r w:rsidRPr="00283806">
        <w:rPr>
          <w:w w:val="105"/>
        </w:rPr>
        <w:t>requirement to meet the AHRI–700 purity standard to reclaimed refrigerants.</w:t>
      </w:r>
      <w:r w:rsidRPr="00283806">
        <w:rPr>
          <w:w w:val="105"/>
          <w:position w:val="5"/>
          <w:sz w:val="11"/>
        </w:rPr>
        <w:t>96</w:t>
      </w:r>
      <w:r w:rsidRPr="00283806">
        <w:rPr>
          <w:spacing w:val="40"/>
          <w:w w:val="105"/>
          <w:position w:val="5"/>
          <w:sz w:val="11"/>
        </w:rPr>
        <w:t xml:space="preserve"> </w:t>
      </w:r>
      <w:r w:rsidRPr="00283806">
        <w:rPr>
          <w:w w:val="105"/>
        </w:rPr>
        <w:t>EPA acknowledges that some applications require higher purity material than AHRI–700 (</w:t>
      </w:r>
      <w:r w:rsidRPr="00283806">
        <w:rPr>
          <w:rFonts w:ascii="Book Antiqua" w:hAnsi="Book Antiqua"/>
          <w:i/>
          <w:w w:val="105"/>
        </w:rPr>
        <w:t xml:space="preserve">e.g., </w:t>
      </w:r>
      <w:r w:rsidRPr="00283806">
        <w:rPr>
          <w:w w:val="105"/>
        </w:rPr>
        <w:t>metered dose inhalers) and there may be contractual arrangements that limit entities to suppliers of virgin or reclaimed refrigerant only at this time. However, as noted throughout this final rule, as the phasedown of the</w:t>
      </w:r>
      <w:r w:rsidRPr="00283806">
        <w:rPr>
          <w:spacing w:val="80"/>
          <w:w w:val="150"/>
        </w:rPr>
        <w:t xml:space="preserve"> </w:t>
      </w:r>
      <w:r w:rsidRPr="00283806">
        <w:rPr>
          <w:w w:val="105"/>
        </w:rPr>
        <w:t>production and consumption of virgin HFCs continues, demand for reclaimed HFC refrigerant will grow. Thus, the required label will provide pertinent information to purchasers and users of refrigerants and help them to select a refrigerant that meets their needs in particular situations. EPA responds that the commenter’s concern that a new</w:t>
      </w:r>
      <w:r w:rsidRPr="00283806">
        <w:rPr>
          <w:spacing w:val="40"/>
          <w:w w:val="105"/>
        </w:rPr>
        <w:t xml:space="preserve"> </w:t>
      </w:r>
      <w:r w:rsidRPr="00283806">
        <w:rPr>
          <w:w w:val="105"/>
        </w:rPr>
        <w:t>label could signal a new separate ‘‘product’’ seems unfounded given that</w:t>
      </w:r>
      <w:r w:rsidRPr="00283806">
        <w:rPr>
          <w:spacing w:val="40"/>
          <w:w w:val="105"/>
        </w:rPr>
        <w:t xml:space="preserve"> </w:t>
      </w:r>
      <w:r w:rsidRPr="00283806">
        <w:rPr>
          <w:w w:val="105"/>
        </w:rPr>
        <w:t>all</w:t>
      </w:r>
      <w:r w:rsidRPr="00283806">
        <w:rPr>
          <w:spacing w:val="40"/>
          <w:w w:val="105"/>
        </w:rPr>
        <w:t xml:space="preserve"> </w:t>
      </w:r>
      <w:r w:rsidRPr="00283806">
        <w:rPr>
          <w:w w:val="105"/>
        </w:rPr>
        <w:t>reclaimed</w:t>
      </w:r>
      <w:r w:rsidRPr="00283806">
        <w:rPr>
          <w:spacing w:val="40"/>
          <w:w w:val="105"/>
        </w:rPr>
        <w:t xml:space="preserve"> </w:t>
      </w:r>
      <w:r w:rsidRPr="00283806">
        <w:rPr>
          <w:w w:val="105"/>
        </w:rPr>
        <w:t>HFCs</w:t>
      </w:r>
      <w:r w:rsidRPr="00283806">
        <w:rPr>
          <w:spacing w:val="40"/>
          <w:w w:val="105"/>
        </w:rPr>
        <w:t xml:space="preserve"> </w:t>
      </w:r>
      <w:r w:rsidRPr="00283806">
        <w:rPr>
          <w:w w:val="105"/>
        </w:rPr>
        <w:t>will</w:t>
      </w:r>
      <w:r w:rsidRPr="00283806">
        <w:rPr>
          <w:spacing w:val="40"/>
          <w:w w:val="105"/>
        </w:rPr>
        <w:t xml:space="preserve"> </w:t>
      </w:r>
      <w:r w:rsidRPr="00283806">
        <w:rPr>
          <w:w w:val="105"/>
        </w:rPr>
        <w:t>be</w:t>
      </w:r>
      <w:r w:rsidRPr="00283806">
        <w:rPr>
          <w:spacing w:val="40"/>
          <w:w w:val="105"/>
        </w:rPr>
        <w:t xml:space="preserve"> </w:t>
      </w:r>
      <w:r w:rsidRPr="00283806">
        <w:rPr>
          <w:w w:val="105"/>
        </w:rPr>
        <w:t>required</w:t>
      </w:r>
      <w:r w:rsidRPr="00283806">
        <w:rPr>
          <w:spacing w:val="40"/>
          <w:w w:val="105"/>
        </w:rPr>
        <w:t xml:space="preserve"> </w:t>
      </w:r>
      <w:r w:rsidRPr="00283806">
        <w:rPr>
          <w:w w:val="105"/>
        </w:rPr>
        <w:t>to be</w:t>
      </w:r>
      <w:r w:rsidRPr="00283806">
        <w:rPr>
          <w:spacing w:val="33"/>
          <w:w w:val="105"/>
        </w:rPr>
        <w:t xml:space="preserve"> </w:t>
      </w:r>
      <w:r w:rsidRPr="00283806">
        <w:rPr>
          <w:w w:val="105"/>
        </w:rPr>
        <w:t>labeled</w:t>
      </w:r>
      <w:r w:rsidRPr="00283806">
        <w:rPr>
          <w:spacing w:val="33"/>
          <w:w w:val="105"/>
        </w:rPr>
        <w:t xml:space="preserve"> </w:t>
      </w:r>
      <w:r w:rsidRPr="00283806">
        <w:rPr>
          <w:w w:val="105"/>
        </w:rPr>
        <w:t>as</w:t>
      </w:r>
      <w:r w:rsidRPr="00283806">
        <w:rPr>
          <w:spacing w:val="33"/>
          <w:w w:val="105"/>
        </w:rPr>
        <w:t xml:space="preserve"> </w:t>
      </w:r>
      <w:r w:rsidRPr="00283806">
        <w:rPr>
          <w:w w:val="105"/>
        </w:rPr>
        <w:t>such</w:t>
      </w:r>
      <w:r w:rsidRPr="00283806">
        <w:rPr>
          <w:spacing w:val="33"/>
          <w:w w:val="105"/>
        </w:rPr>
        <w:t xml:space="preserve"> </w:t>
      </w:r>
      <w:r w:rsidRPr="00283806">
        <w:rPr>
          <w:w w:val="105"/>
        </w:rPr>
        <w:t>and</w:t>
      </w:r>
      <w:r w:rsidRPr="00283806">
        <w:rPr>
          <w:spacing w:val="33"/>
          <w:w w:val="105"/>
        </w:rPr>
        <w:t xml:space="preserve"> </w:t>
      </w:r>
      <w:r w:rsidRPr="00283806">
        <w:rPr>
          <w:w w:val="105"/>
        </w:rPr>
        <w:t>there</w:t>
      </w:r>
      <w:r w:rsidRPr="00283806">
        <w:rPr>
          <w:spacing w:val="33"/>
          <w:w w:val="105"/>
        </w:rPr>
        <w:t xml:space="preserve"> </w:t>
      </w:r>
      <w:r w:rsidRPr="00283806">
        <w:rPr>
          <w:w w:val="105"/>
        </w:rPr>
        <w:t>is</w:t>
      </w:r>
      <w:r w:rsidRPr="00283806">
        <w:rPr>
          <w:spacing w:val="33"/>
          <w:w w:val="105"/>
        </w:rPr>
        <w:t xml:space="preserve"> </w:t>
      </w:r>
      <w:r w:rsidRPr="00283806">
        <w:rPr>
          <w:w w:val="105"/>
        </w:rPr>
        <w:t>an overall</w:t>
      </w:r>
      <w:r w:rsidRPr="00283806">
        <w:rPr>
          <w:spacing w:val="40"/>
          <w:w w:val="105"/>
        </w:rPr>
        <w:t xml:space="preserve"> </w:t>
      </w:r>
      <w:r w:rsidRPr="00283806">
        <w:rPr>
          <w:w w:val="105"/>
        </w:rPr>
        <w:t>requirement</w:t>
      </w:r>
      <w:r w:rsidRPr="00283806">
        <w:rPr>
          <w:spacing w:val="40"/>
          <w:w w:val="105"/>
        </w:rPr>
        <w:t xml:space="preserve"> </w:t>
      </w:r>
      <w:r w:rsidRPr="00283806">
        <w:rPr>
          <w:w w:val="105"/>
        </w:rPr>
        <w:t>for</w:t>
      </w:r>
      <w:r w:rsidRPr="00283806">
        <w:rPr>
          <w:spacing w:val="40"/>
          <w:w w:val="105"/>
        </w:rPr>
        <w:t xml:space="preserve"> </w:t>
      </w:r>
      <w:r w:rsidRPr="00283806">
        <w:rPr>
          <w:w w:val="105"/>
        </w:rPr>
        <w:t>labeling</w:t>
      </w:r>
      <w:r w:rsidRPr="00283806">
        <w:rPr>
          <w:spacing w:val="40"/>
          <w:w w:val="105"/>
        </w:rPr>
        <w:t xml:space="preserve"> </w:t>
      </w:r>
      <w:r w:rsidRPr="00283806">
        <w:rPr>
          <w:w w:val="105"/>
        </w:rPr>
        <w:t xml:space="preserve">of HFCs. Further, EPA is aware of at least one reclaimer that specifically markets a line of refrigerants as reclaimed </w:t>
      </w:r>
      <w:r w:rsidRPr="00283806">
        <w:rPr>
          <w:spacing w:val="-2"/>
          <w:w w:val="105"/>
        </w:rPr>
        <w:t>refrigerant.</w:t>
      </w:r>
    </w:p>
    <w:p w14:paraId="240EF444" w14:textId="77777777" w:rsidR="00D67C1E" w:rsidRPr="00283806" w:rsidRDefault="001265CA">
      <w:pPr>
        <w:pStyle w:val="BodyText"/>
        <w:spacing w:line="161" w:lineRule="exact"/>
        <w:ind w:left="323"/>
      </w:pPr>
      <w:r w:rsidRPr="00283806">
        <w:rPr>
          <w:w w:val="105"/>
        </w:rPr>
        <w:t>EPA</w:t>
      </w:r>
      <w:r w:rsidRPr="00283806">
        <w:rPr>
          <w:spacing w:val="18"/>
          <w:w w:val="105"/>
        </w:rPr>
        <w:t xml:space="preserve"> </w:t>
      </w:r>
      <w:r w:rsidRPr="00283806">
        <w:rPr>
          <w:w w:val="105"/>
        </w:rPr>
        <w:t>acknowledges</w:t>
      </w:r>
      <w:r w:rsidRPr="00283806">
        <w:rPr>
          <w:spacing w:val="18"/>
          <w:w w:val="105"/>
        </w:rPr>
        <w:t xml:space="preserve"> </w:t>
      </w:r>
      <w:r w:rsidRPr="00283806">
        <w:rPr>
          <w:w w:val="105"/>
        </w:rPr>
        <w:t>the</w:t>
      </w:r>
      <w:r w:rsidRPr="00283806">
        <w:rPr>
          <w:spacing w:val="18"/>
          <w:w w:val="105"/>
        </w:rPr>
        <w:t xml:space="preserve"> </w:t>
      </w:r>
      <w:r w:rsidRPr="00283806">
        <w:rPr>
          <w:spacing w:val="-2"/>
          <w:w w:val="105"/>
        </w:rPr>
        <w:t>comments</w:t>
      </w:r>
    </w:p>
    <w:p w14:paraId="6CBDADA4" w14:textId="77777777" w:rsidR="00D67C1E" w:rsidRPr="00283806" w:rsidRDefault="001265CA">
      <w:pPr>
        <w:pStyle w:val="BodyText"/>
        <w:spacing w:before="4" w:line="225" w:lineRule="auto"/>
        <w:ind w:left="143" w:right="121"/>
      </w:pPr>
      <w:r w:rsidRPr="00283806">
        <w:rPr>
          <w:w w:val="105"/>
        </w:rPr>
        <w:t>raising</w:t>
      </w:r>
      <w:r w:rsidRPr="00283806">
        <w:rPr>
          <w:spacing w:val="40"/>
          <w:w w:val="105"/>
        </w:rPr>
        <w:t xml:space="preserve"> </w:t>
      </w:r>
      <w:proofErr w:type="gramStart"/>
      <w:r w:rsidRPr="00283806">
        <w:rPr>
          <w:w w:val="105"/>
        </w:rPr>
        <w:t>chain</w:t>
      </w:r>
      <w:proofErr w:type="gramEnd"/>
      <w:r w:rsidRPr="00283806">
        <w:rPr>
          <w:spacing w:val="40"/>
          <w:w w:val="105"/>
        </w:rPr>
        <w:t xml:space="preserve"> </w:t>
      </w:r>
      <w:r w:rsidRPr="00283806">
        <w:rPr>
          <w:w w:val="105"/>
        </w:rPr>
        <w:t>of</w:t>
      </w:r>
      <w:r w:rsidRPr="00283806">
        <w:rPr>
          <w:spacing w:val="40"/>
          <w:w w:val="105"/>
        </w:rPr>
        <w:t xml:space="preserve"> </w:t>
      </w:r>
      <w:r w:rsidRPr="00283806">
        <w:rPr>
          <w:w w:val="105"/>
        </w:rPr>
        <w:t>custody</w:t>
      </w:r>
      <w:r w:rsidRPr="00283806">
        <w:rPr>
          <w:spacing w:val="40"/>
          <w:w w:val="105"/>
        </w:rPr>
        <w:t xml:space="preserve"> </w:t>
      </w:r>
      <w:r w:rsidRPr="00283806">
        <w:rPr>
          <w:w w:val="105"/>
        </w:rPr>
        <w:t>concerns.</w:t>
      </w:r>
      <w:r w:rsidRPr="00283806">
        <w:rPr>
          <w:spacing w:val="40"/>
          <w:w w:val="105"/>
        </w:rPr>
        <w:t xml:space="preserve"> </w:t>
      </w:r>
      <w:r w:rsidRPr="00283806">
        <w:rPr>
          <w:w w:val="105"/>
        </w:rPr>
        <w:t>EPA is imposing recordkeeping requirements providing the name, address, contact person, and the phone number of the reclaimer certified under 40 CFR 82.164, as well as information about the date the container was filled and the amount of</w:t>
      </w:r>
      <w:r w:rsidRPr="00283806">
        <w:rPr>
          <w:spacing w:val="40"/>
          <w:w w:val="105"/>
        </w:rPr>
        <w:t xml:space="preserve"> </w:t>
      </w:r>
      <w:r w:rsidRPr="00283806">
        <w:rPr>
          <w:w w:val="105"/>
        </w:rPr>
        <w:t>the regulated substance in the container. Batch and substance identification information is included in these requirements along with the percentage, by weight, of the virgin regulated substances. The labeling and</w:t>
      </w:r>
      <w:r w:rsidRPr="00283806">
        <w:rPr>
          <w:spacing w:val="80"/>
          <w:w w:val="105"/>
        </w:rPr>
        <w:t xml:space="preserve"> </w:t>
      </w:r>
      <w:r w:rsidRPr="00283806">
        <w:rPr>
          <w:w w:val="105"/>
        </w:rPr>
        <w:t>certification requirements in this rulemaking help to ensure that purchasers and users of reclaimed refrigerant are receiving and/or using a product that has been verified to be reclaimed</w:t>
      </w:r>
      <w:r w:rsidRPr="00283806">
        <w:rPr>
          <w:spacing w:val="38"/>
          <w:w w:val="105"/>
        </w:rPr>
        <w:t xml:space="preserve"> </w:t>
      </w:r>
      <w:r w:rsidRPr="00283806">
        <w:rPr>
          <w:w w:val="105"/>
        </w:rPr>
        <w:t>to</w:t>
      </w:r>
      <w:r w:rsidRPr="00283806">
        <w:rPr>
          <w:spacing w:val="38"/>
          <w:w w:val="105"/>
        </w:rPr>
        <w:t xml:space="preserve"> </w:t>
      </w:r>
      <w:r w:rsidRPr="00283806">
        <w:rPr>
          <w:w w:val="105"/>
        </w:rPr>
        <w:t>the</w:t>
      </w:r>
      <w:r w:rsidRPr="00283806">
        <w:rPr>
          <w:spacing w:val="38"/>
          <w:w w:val="105"/>
        </w:rPr>
        <w:t xml:space="preserve"> </w:t>
      </w:r>
      <w:r w:rsidRPr="00283806">
        <w:rPr>
          <w:w w:val="105"/>
        </w:rPr>
        <w:t>proper</w:t>
      </w:r>
      <w:r w:rsidRPr="00283806">
        <w:rPr>
          <w:spacing w:val="38"/>
          <w:w w:val="105"/>
        </w:rPr>
        <w:t xml:space="preserve"> </w:t>
      </w:r>
      <w:r w:rsidRPr="00283806">
        <w:rPr>
          <w:w w:val="105"/>
        </w:rPr>
        <w:t>purity,</w:t>
      </w:r>
      <w:r w:rsidRPr="00283806">
        <w:rPr>
          <w:spacing w:val="38"/>
          <w:w w:val="105"/>
        </w:rPr>
        <w:t xml:space="preserve"> </w:t>
      </w:r>
      <w:r w:rsidRPr="00283806">
        <w:rPr>
          <w:w w:val="105"/>
        </w:rPr>
        <w:t>as</w:t>
      </w:r>
      <w:r w:rsidRPr="00283806">
        <w:rPr>
          <w:spacing w:val="38"/>
          <w:w w:val="105"/>
        </w:rPr>
        <w:t xml:space="preserve"> </w:t>
      </w:r>
      <w:r w:rsidRPr="00283806">
        <w:rPr>
          <w:w w:val="105"/>
        </w:rPr>
        <w:t xml:space="preserve">well as meeting the 15 percent limit on virgin </w:t>
      </w:r>
      <w:r w:rsidRPr="00283806">
        <w:rPr>
          <w:spacing w:val="-2"/>
          <w:w w:val="105"/>
        </w:rPr>
        <w:t>HFCs.</w:t>
      </w:r>
    </w:p>
    <w:p w14:paraId="43BB5DB8" w14:textId="77777777" w:rsidR="00D67C1E" w:rsidRPr="00283806" w:rsidRDefault="001265CA">
      <w:pPr>
        <w:pStyle w:val="BodyText"/>
        <w:spacing w:line="225" w:lineRule="auto"/>
        <w:ind w:left="143" w:right="193" w:firstLine="180"/>
      </w:pPr>
      <w:r w:rsidRPr="00283806">
        <w:rPr>
          <w:rFonts w:ascii="Book Antiqua"/>
          <w:i/>
          <w:w w:val="105"/>
        </w:rPr>
        <w:t xml:space="preserve">Comment: </w:t>
      </w:r>
      <w:r w:rsidRPr="00283806">
        <w:rPr>
          <w:w w:val="105"/>
        </w:rPr>
        <w:t>Many commenters commented on limiting recovered and reclaimed material to substances removed from equipment or systems in the United States. One of the</w:t>
      </w:r>
      <w:r w:rsidRPr="00283806">
        <w:rPr>
          <w:spacing w:val="40"/>
          <w:w w:val="105"/>
        </w:rPr>
        <w:t xml:space="preserve"> </w:t>
      </w:r>
      <w:r w:rsidRPr="00283806">
        <w:rPr>
          <w:w w:val="105"/>
        </w:rPr>
        <w:t>commenters stated that limiting the source of material to the United States would help EPA ensure the quality of material, confirming that only standard-</w:t>
      </w:r>
    </w:p>
    <w:p w14:paraId="0607407A"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7" w:space="40"/>
            <w:col w:w="3501" w:space="39"/>
            <w:col w:w="3623"/>
          </w:cols>
        </w:sectPr>
      </w:pPr>
    </w:p>
    <w:p w14:paraId="5F41399F" w14:textId="77777777" w:rsidR="00D67C1E" w:rsidRPr="00283806" w:rsidRDefault="001265CA">
      <w:pPr>
        <w:pStyle w:val="BodyText"/>
        <w:tabs>
          <w:tab w:val="left" w:pos="3699"/>
          <w:tab w:val="left" w:pos="7239"/>
          <w:tab w:val="left" w:pos="8239"/>
        </w:tabs>
        <w:spacing w:line="146" w:lineRule="exact"/>
      </w:pPr>
      <w:r w:rsidRPr="00283806">
        <w:rPr>
          <w:w w:val="105"/>
          <w:position w:val="1"/>
        </w:rPr>
        <w:t>reclaimed</w:t>
      </w:r>
      <w:r w:rsidRPr="00283806">
        <w:rPr>
          <w:spacing w:val="-3"/>
          <w:w w:val="105"/>
          <w:position w:val="1"/>
        </w:rPr>
        <w:t xml:space="preserve"> </w:t>
      </w:r>
      <w:r w:rsidRPr="00283806">
        <w:rPr>
          <w:w w:val="105"/>
          <w:position w:val="1"/>
        </w:rPr>
        <w:t>refrigerants</w:t>
      </w:r>
      <w:r w:rsidRPr="00283806">
        <w:rPr>
          <w:spacing w:val="-2"/>
          <w:w w:val="105"/>
          <w:position w:val="1"/>
        </w:rPr>
        <w:t xml:space="preserve"> </w:t>
      </w:r>
      <w:r w:rsidRPr="00283806">
        <w:rPr>
          <w:w w:val="105"/>
          <w:position w:val="1"/>
        </w:rPr>
        <w:t>are</w:t>
      </w:r>
      <w:r w:rsidRPr="00283806">
        <w:rPr>
          <w:spacing w:val="-2"/>
          <w:w w:val="105"/>
          <w:position w:val="1"/>
        </w:rPr>
        <w:t xml:space="preserve"> easily</w:t>
      </w:r>
      <w:r w:rsidRPr="00283806">
        <w:rPr>
          <w:position w:val="1"/>
        </w:rPr>
        <w:tab/>
      </w:r>
      <w:r w:rsidRPr="00283806">
        <w:rPr>
          <w:w w:val="105"/>
        </w:rPr>
        <w:t>throughout</w:t>
      </w:r>
      <w:r w:rsidRPr="00283806">
        <w:rPr>
          <w:spacing w:val="6"/>
          <w:w w:val="105"/>
        </w:rPr>
        <w:t xml:space="preserve"> </w:t>
      </w:r>
      <w:r w:rsidRPr="00283806">
        <w:rPr>
          <w:w w:val="105"/>
        </w:rPr>
        <w:t>a</w:t>
      </w:r>
      <w:r w:rsidRPr="00283806">
        <w:rPr>
          <w:spacing w:val="6"/>
          <w:w w:val="105"/>
        </w:rPr>
        <w:t xml:space="preserve"> </w:t>
      </w:r>
      <w:r w:rsidRPr="00283806">
        <w:rPr>
          <w:w w:val="105"/>
        </w:rPr>
        <w:t>wide</w:t>
      </w:r>
      <w:r w:rsidRPr="00283806">
        <w:rPr>
          <w:spacing w:val="7"/>
          <w:w w:val="105"/>
        </w:rPr>
        <w:t xml:space="preserve"> </w:t>
      </w:r>
      <w:r w:rsidRPr="00283806">
        <w:rPr>
          <w:w w:val="105"/>
        </w:rPr>
        <w:t>range</w:t>
      </w:r>
      <w:r w:rsidRPr="00283806">
        <w:rPr>
          <w:spacing w:val="6"/>
          <w:w w:val="105"/>
        </w:rPr>
        <w:t xml:space="preserve"> </w:t>
      </w:r>
      <w:r w:rsidRPr="00283806">
        <w:rPr>
          <w:w w:val="105"/>
        </w:rPr>
        <w:t>of</w:t>
      </w:r>
      <w:r w:rsidRPr="00283806">
        <w:rPr>
          <w:spacing w:val="7"/>
          <w:w w:val="105"/>
        </w:rPr>
        <w:t xml:space="preserve"> </w:t>
      </w:r>
      <w:r w:rsidRPr="00283806">
        <w:rPr>
          <w:spacing w:val="-2"/>
          <w:w w:val="105"/>
        </w:rPr>
        <w:t>industries</w:t>
      </w:r>
      <w:r w:rsidRPr="00283806">
        <w:tab/>
      </w:r>
      <w:r w:rsidRPr="00283806">
        <w:rPr>
          <w:u w:val="single"/>
        </w:rPr>
        <w:tab/>
      </w:r>
    </w:p>
    <w:p w14:paraId="644C7688" w14:textId="77777777" w:rsidR="00D67C1E" w:rsidRPr="00283806" w:rsidRDefault="00D67C1E">
      <w:pPr>
        <w:spacing w:line="146" w:lineRule="exact"/>
        <w:sectPr w:rsidR="00D67C1E" w:rsidRPr="00283806">
          <w:type w:val="continuous"/>
          <w:pgSz w:w="12240" w:h="15840"/>
          <w:pgMar w:top="880" w:right="780" w:bottom="280" w:left="740" w:header="627" w:footer="0" w:gutter="0"/>
          <w:cols w:space="720"/>
        </w:sectPr>
      </w:pPr>
    </w:p>
    <w:p w14:paraId="646C1D37" w14:textId="77777777" w:rsidR="00D67C1E" w:rsidRPr="00283806" w:rsidRDefault="001265CA">
      <w:pPr>
        <w:pStyle w:val="BodyText"/>
        <w:spacing w:before="9" w:line="228" w:lineRule="auto"/>
        <w:ind w:right="46"/>
      </w:pPr>
      <w:r w:rsidRPr="00283806">
        <w:rPr>
          <w:w w:val="105"/>
        </w:rPr>
        <w:t>recognized by servicers because technicians only need assurance that the material meets appropriate</w:t>
      </w:r>
      <w:r w:rsidRPr="00283806">
        <w:rPr>
          <w:spacing w:val="40"/>
          <w:w w:val="105"/>
        </w:rPr>
        <w:t xml:space="preserve"> </w:t>
      </w:r>
      <w:r w:rsidRPr="00283806">
        <w:rPr>
          <w:w w:val="105"/>
        </w:rPr>
        <w:t xml:space="preserve">specifications for the </w:t>
      </w:r>
      <w:proofErr w:type="gramStart"/>
      <w:r w:rsidRPr="00283806">
        <w:rPr>
          <w:w w:val="105"/>
        </w:rPr>
        <w:t>particular HFC</w:t>
      </w:r>
      <w:proofErr w:type="gramEnd"/>
      <w:r w:rsidRPr="00283806">
        <w:rPr>
          <w:w w:val="105"/>
        </w:rPr>
        <w:t xml:space="preserve"> or HFC blend. The commenter stated that requirements for reclamation occurring</w:t>
      </w:r>
    </w:p>
    <w:p w14:paraId="22A9B0B5" w14:textId="77777777" w:rsidR="00D67C1E" w:rsidRPr="00283806" w:rsidRDefault="001265CA">
      <w:pPr>
        <w:pStyle w:val="BodyText"/>
        <w:spacing w:before="16" w:line="225" w:lineRule="auto"/>
        <w:ind w:left="144" w:right="8"/>
      </w:pPr>
      <w:r w:rsidRPr="00283806">
        <w:br w:type="column"/>
      </w:r>
      <w:r w:rsidRPr="00283806">
        <w:rPr>
          <w:w w:val="105"/>
        </w:rPr>
        <w:t>and products. Many consumers value</w:t>
      </w:r>
      <w:r w:rsidRPr="00283806">
        <w:rPr>
          <w:spacing w:val="40"/>
          <w:w w:val="105"/>
        </w:rPr>
        <w:t xml:space="preserve"> </w:t>
      </w:r>
      <w:r w:rsidRPr="00283806">
        <w:rPr>
          <w:w w:val="105"/>
        </w:rPr>
        <w:t>and seek out recycled materials or products. The requirements that both virgin and reclaimed HFC refrigerants must meet the same standards for purity based on AHRI–700 is relatively new,</w:t>
      </w:r>
    </w:p>
    <w:p w14:paraId="62ECCE8B" w14:textId="569D7E08" w:rsidR="00D67C1E" w:rsidRPr="00283806" w:rsidRDefault="001265CA">
      <w:pPr>
        <w:spacing w:before="81" w:line="232" w:lineRule="auto"/>
        <w:ind w:left="160" w:right="124" w:firstLine="140"/>
        <w:rPr>
          <w:sz w:val="14"/>
        </w:rPr>
      </w:pPr>
      <w:r w:rsidRPr="00283806">
        <w:br w:type="column"/>
      </w:r>
      <w:r w:rsidRPr="00283806">
        <w:rPr>
          <w:w w:val="110"/>
          <w:position w:val="4"/>
          <w:sz w:val="9"/>
        </w:rPr>
        <w:t>96</w:t>
      </w:r>
      <w:r w:rsidRPr="00283806">
        <w:rPr>
          <w:spacing w:val="-6"/>
          <w:w w:val="110"/>
          <w:position w:val="4"/>
          <w:sz w:val="9"/>
        </w:rPr>
        <w:t xml:space="preserve"> </w:t>
      </w:r>
      <w:r w:rsidRPr="00283806">
        <w:rPr>
          <w:w w:val="110"/>
          <w:sz w:val="14"/>
        </w:rPr>
        <w:t>EPA</w:t>
      </w:r>
      <w:r w:rsidRPr="00283806">
        <w:rPr>
          <w:spacing w:val="-8"/>
          <w:w w:val="110"/>
          <w:sz w:val="14"/>
        </w:rPr>
        <w:t xml:space="preserve"> </w:t>
      </w:r>
      <w:r w:rsidRPr="00283806">
        <w:rPr>
          <w:w w:val="110"/>
          <w:sz w:val="14"/>
        </w:rPr>
        <w:t>finalized</w:t>
      </w:r>
      <w:r w:rsidRPr="00283806">
        <w:rPr>
          <w:spacing w:val="-9"/>
          <w:w w:val="110"/>
          <w:sz w:val="14"/>
        </w:rPr>
        <w:t xml:space="preserve"> </w:t>
      </w:r>
      <w:r w:rsidRPr="00283806">
        <w:rPr>
          <w:w w:val="110"/>
          <w:sz w:val="14"/>
        </w:rPr>
        <w:t>a</w:t>
      </w:r>
      <w:r w:rsidRPr="00283806">
        <w:rPr>
          <w:spacing w:val="-8"/>
          <w:w w:val="110"/>
          <w:sz w:val="14"/>
        </w:rPr>
        <w:t xml:space="preserve"> </w:t>
      </w:r>
      <w:r w:rsidRPr="00283806">
        <w:rPr>
          <w:w w:val="110"/>
          <w:sz w:val="14"/>
        </w:rPr>
        <w:t>requirement</w:t>
      </w:r>
      <w:r w:rsidRPr="00283806">
        <w:rPr>
          <w:spacing w:val="-9"/>
          <w:w w:val="110"/>
          <w:sz w:val="14"/>
        </w:rPr>
        <w:t xml:space="preserve"> </w:t>
      </w:r>
      <w:r w:rsidRPr="00283806">
        <w:rPr>
          <w:w w:val="110"/>
          <w:sz w:val="14"/>
        </w:rPr>
        <w:t>that</w:t>
      </w:r>
      <w:r w:rsidRPr="00283806">
        <w:rPr>
          <w:spacing w:val="-8"/>
          <w:w w:val="110"/>
          <w:sz w:val="14"/>
        </w:rPr>
        <w:t xml:space="preserve"> </w:t>
      </w:r>
      <w:r w:rsidRPr="00283806">
        <w:rPr>
          <w:w w:val="110"/>
          <w:sz w:val="14"/>
        </w:rPr>
        <w:t>all</w:t>
      </w:r>
      <w:r w:rsidRPr="00283806">
        <w:rPr>
          <w:spacing w:val="-8"/>
          <w:w w:val="110"/>
          <w:sz w:val="14"/>
        </w:rPr>
        <w:t xml:space="preserve"> </w:t>
      </w:r>
      <w:r w:rsidRPr="00283806">
        <w:rPr>
          <w:w w:val="110"/>
          <w:sz w:val="14"/>
        </w:rPr>
        <w:t>HFCs</w:t>
      </w:r>
      <w:r w:rsidRPr="00283806">
        <w:rPr>
          <w:spacing w:val="-8"/>
          <w:w w:val="110"/>
          <w:sz w:val="14"/>
        </w:rPr>
        <w:t xml:space="preserve"> </w:t>
      </w:r>
      <w:r w:rsidRPr="00283806">
        <w:rPr>
          <w:w w:val="110"/>
          <w:sz w:val="14"/>
        </w:rPr>
        <w:t>(both</w:t>
      </w:r>
      <w:r w:rsidRPr="00283806">
        <w:rPr>
          <w:spacing w:val="40"/>
          <w:w w:val="110"/>
          <w:sz w:val="14"/>
        </w:rPr>
        <w:t xml:space="preserve"> </w:t>
      </w:r>
      <w:r w:rsidRPr="00283806">
        <w:rPr>
          <w:w w:val="110"/>
          <w:sz w:val="14"/>
        </w:rPr>
        <w:t>virgin</w:t>
      </w:r>
      <w:r w:rsidRPr="00283806">
        <w:rPr>
          <w:spacing w:val="-8"/>
          <w:w w:val="110"/>
          <w:sz w:val="14"/>
        </w:rPr>
        <w:t xml:space="preserve"> </w:t>
      </w:r>
      <w:r w:rsidRPr="00283806">
        <w:rPr>
          <w:w w:val="110"/>
          <w:sz w:val="14"/>
        </w:rPr>
        <w:t>and</w:t>
      </w:r>
      <w:r w:rsidRPr="00283806">
        <w:rPr>
          <w:spacing w:val="-8"/>
          <w:w w:val="110"/>
          <w:sz w:val="14"/>
        </w:rPr>
        <w:t xml:space="preserve"> </w:t>
      </w:r>
      <w:r w:rsidRPr="00283806">
        <w:rPr>
          <w:w w:val="110"/>
          <w:sz w:val="14"/>
        </w:rPr>
        <w:t>reclaimed)</w:t>
      </w:r>
      <w:r w:rsidRPr="00283806">
        <w:rPr>
          <w:spacing w:val="-8"/>
          <w:w w:val="110"/>
          <w:sz w:val="14"/>
        </w:rPr>
        <w:t xml:space="preserve"> </w:t>
      </w:r>
      <w:r w:rsidRPr="00283806">
        <w:rPr>
          <w:w w:val="110"/>
          <w:sz w:val="14"/>
        </w:rPr>
        <w:t>imported,</w:t>
      </w:r>
      <w:r w:rsidRPr="00283806">
        <w:rPr>
          <w:spacing w:val="-8"/>
          <w:w w:val="110"/>
          <w:sz w:val="14"/>
        </w:rPr>
        <w:t xml:space="preserve"> </w:t>
      </w:r>
      <w:r w:rsidRPr="00283806">
        <w:rPr>
          <w:w w:val="110"/>
          <w:sz w:val="14"/>
        </w:rPr>
        <w:t>filled</w:t>
      </w:r>
      <w:r w:rsidRPr="00283806">
        <w:rPr>
          <w:spacing w:val="-8"/>
          <w:w w:val="110"/>
          <w:sz w:val="14"/>
        </w:rPr>
        <w:t xml:space="preserve"> </w:t>
      </w:r>
      <w:r w:rsidRPr="00283806">
        <w:rPr>
          <w:w w:val="110"/>
          <w:sz w:val="14"/>
        </w:rPr>
        <w:t>in</w:t>
      </w:r>
      <w:r w:rsidRPr="00283806">
        <w:rPr>
          <w:spacing w:val="-8"/>
          <w:w w:val="110"/>
          <w:sz w:val="14"/>
        </w:rPr>
        <w:t xml:space="preserve"> </w:t>
      </w:r>
      <w:r w:rsidRPr="00283806">
        <w:rPr>
          <w:w w:val="110"/>
          <w:sz w:val="14"/>
        </w:rPr>
        <w:t>containers</w:t>
      </w:r>
      <w:r w:rsidRPr="00283806">
        <w:rPr>
          <w:spacing w:val="40"/>
          <w:w w:val="110"/>
          <w:sz w:val="14"/>
        </w:rPr>
        <w:t xml:space="preserve"> </w:t>
      </w:r>
      <w:r w:rsidRPr="00283806">
        <w:rPr>
          <w:w w:val="110"/>
          <w:sz w:val="14"/>
        </w:rPr>
        <w:t>domestically, and sold as refrigerants meet the</w:t>
      </w:r>
      <w:r w:rsidRPr="00283806">
        <w:rPr>
          <w:spacing w:val="40"/>
          <w:w w:val="110"/>
          <w:sz w:val="14"/>
        </w:rPr>
        <w:t xml:space="preserve"> </w:t>
      </w:r>
      <w:r w:rsidRPr="00283806">
        <w:rPr>
          <w:w w:val="110"/>
          <w:sz w:val="14"/>
        </w:rPr>
        <w:t>specifications in appendix A to subpart F of part</w:t>
      </w:r>
      <w:r w:rsidRPr="00283806">
        <w:rPr>
          <w:spacing w:val="40"/>
          <w:w w:val="110"/>
          <w:sz w:val="14"/>
        </w:rPr>
        <w:t xml:space="preserve"> </w:t>
      </w:r>
      <w:r w:rsidRPr="00283806">
        <w:rPr>
          <w:w w:val="110"/>
          <w:sz w:val="14"/>
        </w:rPr>
        <w:t>82—Specifications for Refrigerants, see Allocation</w:t>
      </w:r>
      <w:r w:rsidRPr="00283806">
        <w:rPr>
          <w:spacing w:val="40"/>
          <w:w w:val="110"/>
          <w:sz w:val="14"/>
        </w:rPr>
        <w:t xml:space="preserve"> </w:t>
      </w:r>
      <w:r w:rsidRPr="00283806">
        <w:rPr>
          <w:w w:val="110"/>
          <w:sz w:val="14"/>
        </w:rPr>
        <w:t xml:space="preserve">Framework Rule at </w:t>
      </w:r>
      <w:r w:rsidRPr="00283806">
        <w:rPr>
          <w:rFonts w:ascii="Book Antiqua" w:hAnsi="Book Antiqua"/>
          <w:i/>
          <w:w w:val="110"/>
          <w:sz w:val="14"/>
        </w:rPr>
        <w:t>https://www.federalregister.gov/</w:t>
      </w:r>
      <w:r w:rsidRPr="00283806">
        <w:rPr>
          <w:rFonts w:ascii="Book Antiqua" w:hAnsi="Book Antiqua"/>
          <w:i/>
          <w:spacing w:val="40"/>
          <w:w w:val="110"/>
          <w:sz w:val="14"/>
        </w:rPr>
        <w:t xml:space="preserve"> </w:t>
      </w:r>
      <w:r w:rsidRPr="00283806">
        <w:rPr>
          <w:rFonts w:ascii="Book Antiqua" w:hAnsi="Book Antiqua"/>
          <w:i/>
          <w:spacing w:val="-2"/>
          <w:w w:val="110"/>
          <w:sz w:val="14"/>
        </w:rPr>
        <w:t>d/2021-21030/p-679</w:t>
      </w:r>
      <w:r w:rsidRPr="00283806">
        <w:rPr>
          <w:spacing w:val="-2"/>
          <w:w w:val="110"/>
          <w:sz w:val="14"/>
        </w:rPr>
        <w:t>.</w:t>
      </w:r>
    </w:p>
    <w:p w14:paraId="31BC8C94" w14:textId="77777777" w:rsidR="00D67C1E" w:rsidRPr="00283806" w:rsidRDefault="00D67C1E">
      <w:pPr>
        <w:spacing w:line="232" w:lineRule="auto"/>
        <w:rPr>
          <w:sz w:val="14"/>
        </w:rPr>
        <w:sectPr w:rsidR="00D67C1E" w:rsidRPr="00283806">
          <w:type w:val="continuous"/>
          <w:pgSz w:w="12240" w:h="15840"/>
          <w:pgMar w:top="880" w:right="780" w:bottom="280" w:left="740" w:header="627" w:footer="0" w:gutter="0"/>
          <w:cols w:num="3" w:space="720" w:equalWidth="0">
            <w:col w:w="3516" w:space="40"/>
            <w:col w:w="3470" w:space="54"/>
            <w:col w:w="3640"/>
          </w:cols>
        </w:sectPr>
      </w:pPr>
    </w:p>
    <w:p w14:paraId="2969DAB1" w14:textId="77777777" w:rsidR="00D67C1E" w:rsidRPr="00283806" w:rsidRDefault="001265CA">
      <w:pPr>
        <w:pStyle w:val="BodyText"/>
        <w:spacing w:before="136" w:line="225" w:lineRule="auto"/>
        <w:ind w:right="117"/>
      </w:pPr>
      <w:proofErr w:type="gramStart"/>
      <w:r w:rsidRPr="00283806">
        <w:rPr>
          <w:w w:val="105"/>
        </w:rPr>
        <w:lastRenderedPageBreak/>
        <w:t>compliant</w:t>
      </w:r>
      <w:proofErr w:type="gramEnd"/>
      <w:r w:rsidRPr="00283806">
        <w:rPr>
          <w:w w:val="105"/>
        </w:rPr>
        <w:t xml:space="preserve"> material is </w:t>
      </w:r>
      <w:proofErr w:type="gramStart"/>
      <w:r w:rsidRPr="00283806">
        <w:rPr>
          <w:w w:val="105"/>
        </w:rPr>
        <w:t>utilized, and</w:t>
      </w:r>
      <w:proofErr w:type="gramEnd"/>
      <w:r w:rsidRPr="00283806">
        <w:rPr>
          <w:spacing w:val="80"/>
          <w:w w:val="105"/>
        </w:rPr>
        <w:t xml:space="preserve"> </w:t>
      </w:r>
      <w:r w:rsidRPr="00283806">
        <w:rPr>
          <w:w w:val="105"/>
        </w:rPr>
        <w:t>allow for greater transparency and traceability throughout the reclamation process, facilitating monitoring and enforcement, ensuring the program operates effectively and efficiently.</w:t>
      </w:r>
    </w:p>
    <w:p w14:paraId="5CF7725E" w14:textId="77777777" w:rsidR="00D67C1E" w:rsidRPr="00283806" w:rsidRDefault="001265CA">
      <w:pPr>
        <w:pStyle w:val="BodyText"/>
        <w:spacing w:line="225" w:lineRule="auto"/>
        <w:ind w:right="78"/>
      </w:pPr>
      <w:r w:rsidRPr="00283806">
        <w:rPr>
          <w:w w:val="105"/>
        </w:rPr>
        <w:t>Another commenter stated that illegally traded HFCs will decrease reclamation. One commenter asserted that neither reclaimed nor virgin material should be imported for destruction for carbon credit purposes and that EPA should instead prioritize recovery and reclamation in the U.S. market.</w:t>
      </w:r>
    </w:p>
    <w:p w14:paraId="1BEB7796" w14:textId="77777777" w:rsidR="00D67C1E" w:rsidRPr="00283806" w:rsidRDefault="001265CA">
      <w:pPr>
        <w:pStyle w:val="BodyText"/>
        <w:spacing w:line="177" w:lineRule="exact"/>
        <w:ind w:left="340"/>
      </w:pPr>
      <w:r w:rsidRPr="00283806">
        <w:rPr>
          <w:w w:val="105"/>
        </w:rPr>
        <w:t>One</w:t>
      </w:r>
      <w:r w:rsidRPr="00283806">
        <w:rPr>
          <w:spacing w:val="7"/>
          <w:w w:val="105"/>
        </w:rPr>
        <w:t xml:space="preserve"> </w:t>
      </w:r>
      <w:r w:rsidRPr="00283806">
        <w:rPr>
          <w:w w:val="105"/>
        </w:rPr>
        <w:t>commenter</w:t>
      </w:r>
      <w:r w:rsidRPr="00283806">
        <w:rPr>
          <w:spacing w:val="8"/>
          <w:w w:val="105"/>
        </w:rPr>
        <w:t xml:space="preserve"> </w:t>
      </w:r>
      <w:r w:rsidRPr="00283806">
        <w:rPr>
          <w:w w:val="105"/>
        </w:rPr>
        <w:t>suggested</w:t>
      </w:r>
      <w:r w:rsidRPr="00283806">
        <w:rPr>
          <w:spacing w:val="7"/>
          <w:w w:val="105"/>
        </w:rPr>
        <w:t xml:space="preserve"> </w:t>
      </w:r>
      <w:r w:rsidRPr="00283806">
        <w:rPr>
          <w:spacing w:val="-4"/>
          <w:w w:val="105"/>
        </w:rPr>
        <w:t>that</w:t>
      </w:r>
    </w:p>
    <w:p w14:paraId="33577D80" w14:textId="77777777" w:rsidR="00D67C1E" w:rsidRPr="00283806" w:rsidRDefault="001265CA">
      <w:pPr>
        <w:pStyle w:val="BodyText"/>
        <w:spacing w:before="1" w:line="225" w:lineRule="auto"/>
      </w:pPr>
      <w:r w:rsidRPr="00283806">
        <w:rPr>
          <w:w w:val="105"/>
        </w:rPr>
        <w:t>geographic limits and quality control are necessary to ensure bona fide use and recovery and ensure compliance with</w:t>
      </w:r>
      <w:r w:rsidRPr="00283806">
        <w:rPr>
          <w:spacing w:val="80"/>
          <w:w w:val="105"/>
        </w:rPr>
        <w:t xml:space="preserve"> </w:t>
      </w:r>
      <w:r w:rsidRPr="00283806">
        <w:rPr>
          <w:w w:val="105"/>
        </w:rPr>
        <w:t>the reclamation standard and maximum virgin content. The commenter claimed that incidents of importing virgin refrigerant sold as counterfeit reclaimed refrigerant</w:t>
      </w:r>
      <w:r w:rsidRPr="00283806">
        <w:rPr>
          <w:spacing w:val="-2"/>
          <w:w w:val="105"/>
        </w:rPr>
        <w:t xml:space="preserve"> </w:t>
      </w:r>
      <w:r w:rsidRPr="00283806">
        <w:rPr>
          <w:w w:val="105"/>
        </w:rPr>
        <w:t>have</w:t>
      </w:r>
      <w:r w:rsidRPr="00283806">
        <w:rPr>
          <w:spacing w:val="-2"/>
          <w:w w:val="105"/>
        </w:rPr>
        <w:t xml:space="preserve"> </w:t>
      </w:r>
      <w:r w:rsidRPr="00283806">
        <w:rPr>
          <w:w w:val="105"/>
        </w:rPr>
        <w:t>been</w:t>
      </w:r>
      <w:r w:rsidRPr="00283806">
        <w:rPr>
          <w:spacing w:val="-2"/>
          <w:w w:val="105"/>
        </w:rPr>
        <w:t xml:space="preserve"> </w:t>
      </w:r>
      <w:r w:rsidRPr="00283806">
        <w:rPr>
          <w:w w:val="105"/>
        </w:rPr>
        <w:t>documented</w:t>
      </w:r>
      <w:r w:rsidRPr="00283806">
        <w:rPr>
          <w:spacing w:val="-2"/>
          <w:w w:val="105"/>
        </w:rPr>
        <w:t xml:space="preserve"> </w:t>
      </w:r>
      <w:r w:rsidRPr="00283806">
        <w:rPr>
          <w:w w:val="105"/>
        </w:rPr>
        <w:t>under previous</w:t>
      </w:r>
      <w:r w:rsidRPr="00283806">
        <w:rPr>
          <w:spacing w:val="40"/>
          <w:w w:val="105"/>
        </w:rPr>
        <w:t xml:space="preserve"> </w:t>
      </w:r>
      <w:r w:rsidRPr="00283806">
        <w:rPr>
          <w:w w:val="105"/>
        </w:rPr>
        <w:t>ODS</w:t>
      </w:r>
      <w:r w:rsidRPr="00283806">
        <w:rPr>
          <w:spacing w:val="40"/>
          <w:w w:val="105"/>
        </w:rPr>
        <w:t xml:space="preserve"> </w:t>
      </w:r>
      <w:r w:rsidRPr="00283806">
        <w:rPr>
          <w:w w:val="105"/>
        </w:rPr>
        <w:t>phaseout</w:t>
      </w:r>
      <w:r w:rsidRPr="00283806">
        <w:rPr>
          <w:spacing w:val="40"/>
          <w:w w:val="105"/>
        </w:rPr>
        <w:t xml:space="preserve"> </w:t>
      </w:r>
      <w:r w:rsidRPr="00283806">
        <w:rPr>
          <w:w w:val="105"/>
        </w:rPr>
        <w:t>regimes</w:t>
      </w:r>
      <w:r w:rsidRPr="00283806">
        <w:rPr>
          <w:spacing w:val="40"/>
          <w:w w:val="105"/>
        </w:rPr>
        <w:t xml:space="preserve"> </w:t>
      </w:r>
      <w:r w:rsidRPr="00283806">
        <w:rPr>
          <w:w w:val="105"/>
        </w:rPr>
        <w:t xml:space="preserve">and that requirements to expend allowances for bulk imports </w:t>
      </w:r>
      <w:proofErr w:type="gramStart"/>
      <w:r w:rsidRPr="00283806">
        <w:rPr>
          <w:w w:val="105"/>
        </w:rPr>
        <w:t>does</w:t>
      </w:r>
      <w:proofErr w:type="gramEnd"/>
      <w:r w:rsidRPr="00283806">
        <w:rPr>
          <w:w w:val="105"/>
        </w:rPr>
        <w:t xml:space="preserve"> not ensure compliance with the 15 percent limit.</w:t>
      </w:r>
    </w:p>
    <w:p w14:paraId="3E766055" w14:textId="77777777" w:rsidR="00D67C1E" w:rsidRPr="00283806" w:rsidRDefault="001265CA">
      <w:pPr>
        <w:pStyle w:val="BodyText"/>
        <w:spacing w:line="225" w:lineRule="auto"/>
      </w:pPr>
      <w:r w:rsidRPr="00283806">
        <w:rPr>
          <w:w w:val="105"/>
        </w:rPr>
        <w:t>The commenter also stated that importers of pre-charged equipment would not be subject to the same allowance requirements. In contrast, the commenter</w:t>
      </w:r>
      <w:r w:rsidRPr="00283806">
        <w:rPr>
          <w:spacing w:val="-1"/>
          <w:w w:val="105"/>
        </w:rPr>
        <w:t xml:space="preserve"> </w:t>
      </w:r>
      <w:r w:rsidRPr="00283806">
        <w:rPr>
          <w:w w:val="105"/>
        </w:rPr>
        <w:t>claimed</w:t>
      </w:r>
      <w:r w:rsidRPr="00283806">
        <w:rPr>
          <w:spacing w:val="-1"/>
          <w:w w:val="105"/>
        </w:rPr>
        <w:t xml:space="preserve"> </w:t>
      </w:r>
      <w:r w:rsidRPr="00283806">
        <w:rPr>
          <w:w w:val="105"/>
        </w:rPr>
        <w:t>that</w:t>
      </w:r>
      <w:r w:rsidRPr="00283806">
        <w:rPr>
          <w:spacing w:val="-1"/>
          <w:w w:val="105"/>
        </w:rPr>
        <w:t xml:space="preserve"> </w:t>
      </w:r>
      <w:r w:rsidRPr="00283806">
        <w:rPr>
          <w:w w:val="105"/>
        </w:rPr>
        <w:t>requirements</w:t>
      </w:r>
      <w:r w:rsidRPr="00283806">
        <w:rPr>
          <w:spacing w:val="-1"/>
          <w:w w:val="105"/>
        </w:rPr>
        <w:t xml:space="preserve"> </w:t>
      </w:r>
      <w:r w:rsidRPr="00283806">
        <w:rPr>
          <w:w w:val="105"/>
        </w:rPr>
        <w:t>to use domestically reclaimed refrigerant will be verifiable and enforceable, particularly with the proposed tracking and labeling requirements which will support a strong domestic market.</w:t>
      </w:r>
    </w:p>
    <w:p w14:paraId="5E5A65A2" w14:textId="77777777" w:rsidR="00D67C1E" w:rsidRPr="00283806" w:rsidRDefault="001265CA">
      <w:pPr>
        <w:pStyle w:val="BodyText"/>
        <w:spacing w:line="225" w:lineRule="auto"/>
        <w:ind w:right="78"/>
      </w:pPr>
      <w:r w:rsidRPr="00283806">
        <w:rPr>
          <w:w w:val="105"/>
        </w:rPr>
        <w:t>Another commenter questioned how EPA would monitor that refrigerant was reclaimed with the authorized limit of virgin material and suggested that relying on certifications would be an invitation to abuse, especially for refrigerant reclaimed overseas. Another commenter expressed concern that imported refrigerant could be</w:t>
      </w:r>
      <w:r w:rsidRPr="00283806">
        <w:rPr>
          <w:spacing w:val="40"/>
          <w:w w:val="105"/>
        </w:rPr>
        <w:t xml:space="preserve"> </w:t>
      </w:r>
      <w:r w:rsidRPr="00283806">
        <w:rPr>
          <w:w w:val="105"/>
        </w:rPr>
        <w:t>incorrectly labeled as reclaimed if it came from countries with excess production. Conversely, the commenter stated that more profitable exports of recovered refrigerant could starve domestic servicing needs.</w:t>
      </w:r>
    </w:p>
    <w:p w14:paraId="4CF9E000" w14:textId="77777777" w:rsidR="00D67C1E" w:rsidRPr="00283806" w:rsidRDefault="001265CA">
      <w:pPr>
        <w:pStyle w:val="BodyText"/>
        <w:spacing w:line="175" w:lineRule="exact"/>
        <w:ind w:left="340"/>
      </w:pPr>
      <w:r w:rsidRPr="00283806">
        <w:rPr>
          <w:w w:val="105"/>
        </w:rPr>
        <w:t>Another</w:t>
      </w:r>
      <w:r w:rsidRPr="00283806">
        <w:rPr>
          <w:spacing w:val="5"/>
          <w:w w:val="105"/>
        </w:rPr>
        <w:t xml:space="preserve"> </w:t>
      </w:r>
      <w:r w:rsidRPr="00283806">
        <w:rPr>
          <w:w w:val="105"/>
        </w:rPr>
        <w:t>commenter</w:t>
      </w:r>
      <w:r w:rsidRPr="00283806">
        <w:rPr>
          <w:spacing w:val="5"/>
          <w:w w:val="105"/>
        </w:rPr>
        <w:t xml:space="preserve"> </w:t>
      </w:r>
      <w:r w:rsidRPr="00283806">
        <w:rPr>
          <w:w w:val="105"/>
        </w:rPr>
        <w:t>stated</w:t>
      </w:r>
      <w:r w:rsidRPr="00283806">
        <w:rPr>
          <w:spacing w:val="5"/>
          <w:w w:val="105"/>
        </w:rPr>
        <w:t xml:space="preserve"> </w:t>
      </w:r>
      <w:r w:rsidRPr="00283806">
        <w:rPr>
          <w:spacing w:val="-2"/>
          <w:w w:val="105"/>
        </w:rPr>
        <w:t>that,</w:t>
      </w:r>
    </w:p>
    <w:p w14:paraId="29134C46" w14:textId="77777777" w:rsidR="00D67C1E" w:rsidRPr="00283806" w:rsidRDefault="001265CA">
      <w:pPr>
        <w:pStyle w:val="BodyText"/>
        <w:spacing w:line="225" w:lineRule="auto"/>
        <w:ind w:right="78"/>
      </w:pPr>
      <w:r w:rsidRPr="00283806">
        <w:rPr>
          <w:w w:val="105"/>
        </w:rPr>
        <w:t>without a geographic limitation for reclaimed or recovered refrigerant sourcing, refrigerant recovered abroad will</w:t>
      </w:r>
      <w:r w:rsidRPr="00283806">
        <w:rPr>
          <w:spacing w:val="40"/>
          <w:w w:val="105"/>
        </w:rPr>
        <w:t xml:space="preserve"> </w:t>
      </w:r>
      <w:r w:rsidRPr="00283806">
        <w:rPr>
          <w:w w:val="105"/>
        </w:rPr>
        <w:t>not</w:t>
      </w:r>
      <w:r w:rsidRPr="00283806">
        <w:rPr>
          <w:spacing w:val="40"/>
          <w:w w:val="105"/>
        </w:rPr>
        <w:t xml:space="preserve"> </w:t>
      </w:r>
      <w:r w:rsidRPr="00283806">
        <w:rPr>
          <w:w w:val="105"/>
        </w:rPr>
        <w:t>reduce</w:t>
      </w:r>
      <w:r w:rsidRPr="00283806">
        <w:rPr>
          <w:spacing w:val="40"/>
          <w:w w:val="105"/>
        </w:rPr>
        <w:t xml:space="preserve"> </w:t>
      </w:r>
      <w:r w:rsidRPr="00283806">
        <w:rPr>
          <w:w w:val="105"/>
        </w:rPr>
        <w:t>U.S.</w:t>
      </w:r>
      <w:r w:rsidRPr="00283806">
        <w:rPr>
          <w:spacing w:val="40"/>
          <w:w w:val="105"/>
        </w:rPr>
        <w:t xml:space="preserve"> </w:t>
      </w:r>
      <w:r w:rsidRPr="00283806">
        <w:rPr>
          <w:w w:val="105"/>
        </w:rPr>
        <w:t>emissions</w:t>
      </w:r>
      <w:r w:rsidRPr="00283806">
        <w:rPr>
          <w:spacing w:val="40"/>
          <w:w w:val="105"/>
        </w:rPr>
        <w:t xml:space="preserve"> </w:t>
      </w:r>
      <w:r w:rsidRPr="00283806">
        <w:rPr>
          <w:w w:val="105"/>
        </w:rPr>
        <w:t>nor create market incentives to improve domestic recovery and verifying</w:t>
      </w:r>
      <w:r w:rsidRPr="00283806">
        <w:rPr>
          <w:spacing w:val="40"/>
          <w:w w:val="105"/>
        </w:rPr>
        <w:t xml:space="preserve"> </w:t>
      </w:r>
      <w:r w:rsidRPr="00283806">
        <w:rPr>
          <w:w w:val="105"/>
        </w:rPr>
        <w:t>recovery or reclamation abroad will be very challenging, potentially indirectly advantaging importers of pre-charged equipment sourcing cheaper or even counterfeit material. The commenter</w:t>
      </w:r>
      <w:r w:rsidRPr="00283806">
        <w:rPr>
          <w:spacing w:val="40"/>
          <w:w w:val="105"/>
        </w:rPr>
        <w:t xml:space="preserve"> </w:t>
      </w:r>
      <w:r w:rsidRPr="00283806">
        <w:rPr>
          <w:w w:val="105"/>
        </w:rPr>
        <w:t>also stated that the United States should not aim to receive reclaimed HFCs from the world because Kigali Amendment ratifiers need to implement their own phasedowns and it would be better to</w:t>
      </w:r>
    </w:p>
    <w:p w14:paraId="6461DEF6" w14:textId="77777777" w:rsidR="00D67C1E" w:rsidRPr="00283806" w:rsidRDefault="001265CA">
      <w:pPr>
        <w:pStyle w:val="BodyText"/>
        <w:spacing w:before="136" w:line="225" w:lineRule="auto"/>
        <w:ind w:left="143" w:right="88"/>
      </w:pPr>
      <w:r w:rsidRPr="00283806">
        <w:br w:type="column"/>
      </w:r>
      <w:r w:rsidRPr="00283806">
        <w:rPr>
          <w:w w:val="105"/>
        </w:rPr>
        <w:t>reuse HFCs within their countries of origin. The commenter also suggested that there is an incentive for cheating given that importing reclaimed HFC–32 requires fewer allowances than HFC– 410A. The commenter encouraged setting up trade agreements for import of reclaimed HFCs where a similar HFC phasedown schedule exists.</w:t>
      </w:r>
    </w:p>
    <w:p w14:paraId="19B372CA" w14:textId="77777777" w:rsidR="00D67C1E" w:rsidRPr="00283806" w:rsidRDefault="001265CA">
      <w:pPr>
        <w:pStyle w:val="BodyText"/>
        <w:spacing w:line="177" w:lineRule="exact"/>
        <w:ind w:left="323"/>
      </w:pPr>
      <w:r w:rsidRPr="00283806">
        <w:rPr>
          <w:w w:val="105"/>
        </w:rPr>
        <w:t>Another</w:t>
      </w:r>
      <w:r w:rsidRPr="00283806">
        <w:rPr>
          <w:spacing w:val="3"/>
          <w:w w:val="105"/>
        </w:rPr>
        <w:t xml:space="preserve"> </w:t>
      </w:r>
      <w:r w:rsidRPr="00283806">
        <w:rPr>
          <w:w w:val="105"/>
        </w:rPr>
        <w:t>commenter</w:t>
      </w:r>
      <w:r w:rsidRPr="00283806">
        <w:rPr>
          <w:spacing w:val="3"/>
          <w:w w:val="105"/>
        </w:rPr>
        <w:t xml:space="preserve"> </w:t>
      </w:r>
      <w:r w:rsidRPr="00283806">
        <w:rPr>
          <w:w w:val="105"/>
        </w:rPr>
        <w:t>requested</w:t>
      </w:r>
      <w:r w:rsidRPr="00283806">
        <w:rPr>
          <w:spacing w:val="3"/>
          <w:w w:val="105"/>
        </w:rPr>
        <w:t xml:space="preserve"> </w:t>
      </w:r>
      <w:r w:rsidRPr="00283806">
        <w:rPr>
          <w:spacing w:val="-4"/>
          <w:w w:val="105"/>
        </w:rPr>
        <w:t>that</w:t>
      </w:r>
    </w:p>
    <w:p w14:paraId="144766AF" w14:textId="77777777" w:rsidR="00D67C1E" w:rsidRPr="00283806" w:rsidRDefault="001265CA">
      <w:pPr>
        <w:pStyle w:val="BodyText"/>
        <w:spacing w:before="3" w:line="225" w:lineRule="auto"/>
        <w:ind w:left="143" w:right="32"/>
      </w:pPr>
      <w:r w:rsidRPr="00283806">
        <w:rPr>
          <w:w w:val="105"/>
        </w:rPr>
        <w:t>EPA make clear that reclaimed refrigerant must have been recovered from equipment in the United States or that reclaimed material from outside the United States be allowed only if it was legitimately recovered, disclosed upon import, and followed EPA’s current process for legacy refrigerants. An additional commenter suggested that</w:t>
      </w:r>
      <w:r w:rsidRPr="00283806">
        <w:rPr>
          <w:spacing w:val="40"/>
          <w:w w:val="105"/>
        </w:rPr>
        <w:t xml:space="preserve"> </w:t>
      </w:r>
      <w:r w:rsidRPr="00283806">
        <w:rPr>
          <w:w w:val="105"/>
        </w:rPr>
        <w:t>EPA establish standards and a certification process to ensure reclaimed refrigerant is authentic and has a known point of origin. Another commenter stated that it is important that importers of pre-charged equipment be required to purchase reclaimed HFCs from EPA- certified reclaimers in the United States, either using reclaimed material to</w:t>
      </w:r>
      <w:r w:rsidRPr="00283806">
        <w:rPr>
          <w:spacing w:val="80"/>
          <w:w w:val="105"/>
        </w:rPr>
        <w:t xml:space="preserve"> </w:t>
      </w:r>
      <w:r w:rsidRPr="00283806">
        <w:rPr>
          <w:w w:val="105"/>
        </w:rPr>
        <w:t>charge</w:t>
      </w:r>
      <w:r w:rsidRPr="00283806">
        <w:rPr>
          <w:spacing w:val="40"/>
          <w:w w:val="105"/>
        </w:rPr>
        <w:t xml:space="preserve"> </w:t>
      </w:r>
      <w:r w:rsidRPr="00283806">
        <w:rPr>
          <w:w w:val="105"/>
        </w:rPr>
        <w:t>equipment</w:t>
      </w:r>
      <w:r w:rsidRPr="00283806">
        <w:rPr>
          <w:spacing w:val="40"/>
          <w:w w:val="105"/>
        </w:rPr>
        <w:t xml:space="preserve"> </w:t>
      </w:r>
      <w:r w:rsidRPr="00283806">
        <w:rPr>
          <w:w w:val="105"/>
        </w:rPr>
        <w:t>in</w:t>
      </w:r>
      <w:r w:rsidRPr="00283806">
        <w:rPr>
          <w:spacing w:val="40"/>
          <w:w w:val="105"/>
        </w:rPr>
        <w:t xml:space="preserve"> </w:t>
      </w:r>
      <w:r w:rsidRPr="00283806">
        <w:rPr>
          <w:w w:val="105"/>
        </w:rPr>
        <w:t>the</w:t>
      </w:r>
      <w:r w:rsidRPr="00283806">
        <w:rPr>
          <w:spacing w:val="40"/>
          <w:w w:val="105"/>
        </w:rPr>
        <w:t xml:space="preserve"> </w:t>
      </w:r>
      <w:r w:rsidRPr="00283806">
        <w:rPr>
          <w:w w:val="105"/>
        </w:rPr>
        <w:t>United</w:t>
      </w:r>
      <w:r w:rsidRPr="00283806">
        <w:rPr>
          <w:spacing w:val="40"/>
          <w:w w:val="105"/>
        </w:rPr>
        <w:t xml:space="preserve"> </w:t>
      </w:r>
      <w:r w:rsidRPr="00283806">
        <w:rPr>
          <w:w w:val="105"/>
        </w:rPr>
        <w:t>States or dry-shipping equipment and charging it in the United States. The commenter suggested requiring the dry shipment of equipment to be charged in the United States, to minimize the transport of reclaimed HFCs across countries.</w:t>
      </w:r>
    </w:p>
    <w:p w14:paraId="123AFD00" w14:textId="77777777" w:rsidR="00D67C1E" w:rsidRPr="00283806" w:rsidRDefault="001265CA">
      <w:pPr>
        <w:spacing w:line="176" w:lineRule="exact"/>
        <w:ind w:left="323"/>
        <w:rPr>
          <w:sz w:val="18"/>
        </w:rPr>
      </w:pPr>
      <w:r w:rsidRPr="00283806">
        <w:rPr>
          <w:rFonts w:ascii="Book Antiqua"/>
          <w:i/>
          <w:w w:val="110"/>
          <w:sz w:val="18"/>
        </w:rPr>
        <w:t>Response:</w:t>
      </w:r>
      <w:r w:rsidRPr="00283806">
        <w:rPr>
          <w:rFonts w:ascii="Book Antiqua"/>
          <w:i/>
          <w:spacing w:val="2"/>
          <w:w w:val="110"/>
          <w:sz w:val="18"/>
        </w:rPr>
        <w:t xml:space="preserve"> </w:t>
      </w:r>
      <w:r w:rsidRPr="00283806">
        <w:rPr>
          <w:w w:val="110"/>
          <w:sz w:val="18"/>
        </w:rPr>
        <w:t>EPA</w:t>
      </w:r>
      <w:r w:rsidRPr="00283806">
        <w:rPr>
          <w:spacing w:val="8"/>
          <w:w w:val="110"/>
          <w:sz w:val="18"/>
        </w:rPr>
        <w:t xml:space="preserve"> </w:t>
      </w:r>
      <w:r w:rsidRPr="00283806">
        <w:rPr>
          <w:w w:val="110"/>
          <w:sz w:val="18"/>
        </w:rPr>
        <w:t>acknowledges</w:t>
      </w:r>
      <w:r w:rsidRPr="00283806">
        <w:rPr>
          <w:spacing w:val="8"/>
          <w:w w:val="110"/>
          <w:sz w:val="18"/>
        </w:rPr>
        <w:t xml:space="preserve"> </w:t>
      </w:r>
      <w:r w:rsidRPr="00283806">
        <w:rPr>
          <w:spacing w:val="-2"/>
          <w:w w:val="110"/>
          <w:sz w:val="18"/>
        </w:rPr>
        <w:t>these</w:t>
      </w:r>
    </w:p>
    <w:p w14:paraId="7C08B007" w14:textId="77777777" w:rsidR="00D67C1E" w:rsidRPr="00283806" w:rsidRDefault="001265CA">
      <w:pPr>
        <w:pStyle w:val="BodyText"/>
        <w:spacing w:line="225" w:lineRule="auto"/>
        <w:ind w:left="143" w:right="41"/>
      </w:pPr>
      <w:r w:rsidRPr="00283806">
        <w:rPr>
          <w:w w:val="105"/>
        </w:rPr>
        <w:t>comments regarding the verifiability of recovered and reclaimed HFCs particularly outside the United States. The Agency is not establishing a requirement</w:t>
      </w:r>
      <w:r w:rsidRPr="00283806">
        <w:rPr>
          <w:spacing w:val="-6"/>
          <w:w w:val="105"/>
        </w:rPr>
        <w:t xml:space="preserve"> </w:t>
      </w:r>
      <w:r w:rsidRPr="00283806">
        <w:rPr>
          <w:w w:val="105"/>
        </w:rPr>
        <w:t>that</w:t>
      </w:r>
      <w:r w:rsidRPr="00283806">
        <w:rPr>
          <w:spacing w:val="-6"/>
          <w:w w:val="105"/>
        </w:rPr>
        <w:t xml:space="preserve"> </w:t>
      </w:r>
      <w:r w:rsidRPr="00283806">
        <w:rPr>
          <w:w w:val="105"/>
        </w:rPr>
        <w:t>recovered</w:t>
      </w:r>
      <w:r w:rsidRPr="00283806">
        <w:rPr>
          <w:spacing w:val="-6"/>
          <w:w w:val="105"/>
        </w:rPr>
        <w:t xml:space="preserve"> </w:t>
      </w:r>
      <w:r w:rsidRPr="00283806">
        <w:rPr>
          <w:w w:val="105"/>
        </w:rPr>
        <w:t>or</w:t>
      </w:r>
      <w:r w:rsidRPr="00283806">
        <w:rPr>
          <w:spacing w:val="-6"/>
          <w:w w:val="105"/>
        </w:rPr>
        <w:t xml:space="preserve"> </w:t>
      </w:r>
      <w:r w:rsidRPr="00283806">
        <w:rPr>
          <w:w w:val="105"/>
        </w:rPr>
        <w:t>reclaimed HFCs be sourced only from equipment</w:t>
      </w:r>
      <w:r w:rsidRPr="00283806">
        <w:rPr>
          <w:spacing w:val="80"/>
          <w:w w:val="150"/>
        </w:rPr>
        <w:t xml:space="preserve"> </w:t>
      </w:r>
      <w:r w:rsidRPr="00283806">
        <w:rPr>
          <w:w w:val="105"/>
        </w:rPr>
        <w:t>in the United States in this final rule.</w:t>
      </w:r>
    </w:p>
    <w:p w14:paraId="7456043C" w14:textId="77777777" w:rsidR="00D67C1E" w:rsidRPr="00283806" w:rsidRDefault="001265CA">
      <w:pPr>
        <w:pStyle w:val="BodyText"/>
        <w:spacing w:line="225" w:lineRule="auto"/>
        <w:ind w:left="143" w:right="43"/>
      </w:pPr>
      <w:r w:rsidRPr="00283806">
        <w:rPr>
          <w:w w:val="105"/>
        </w:rPr>
        <w:t>The Agency understands the commenters’ concerns to ensure that refrigerant</w:t>
      </w:r>
      <w:r w:rsidRPr="00283806">
        <w:rPr>
          <w:spacing w:val="-1"/>
          <w:w w:val="105"/>
        </w:rPr>
        <w:t xml:space="preserve"> </w:t>
      </w:r>
      <w:r w:rsidRPr="00283806">
        <w:rPr>
          <w:w w:val="105"/>
        </w:rPr>
        <w:t>that</w:t>
      </w:r>
      <w:r w:rsidRPr="00283806">
        <w:rPr>
          <w:spacing w:val="-1"/>
          <w:w w:val="105"/>
        </w:rPr>
        <w:t xml:space="preserve"> </w:t>
      </w:r>
      <w:r w:rsidRPr="00283806">
        <w:rPr>
          <w:w w:val="105"/>
        </w:rPr>
        <w:t>is</w:t>
      </w:r>
      <w:r w:rsidRPr="00283806">
        <w:rPr>
          <w:spacing w:val="-1"/>
          <w:w w:val="105"/>
        </w:rPr>
        <w:t xml:space="preserve"> </w:t>
      </w:r>
      <w:r w:rsidRPr="00283806">
        <w:rPr>
          <w:w w:val="105"/>
        </w:rPr>
        <w:t>recovered</w:t>
      </w:r>
      <w:r w:rsidRPr="00283806">
        <w:rPr>
          <w:spacing w:val="-1"/>
          <w:w w:val="105"/>
        </w:rPr>
        <w:t xml:space="preserve"> </w:t>
      </w:r>
      <w:r w:rsidRPr="00283806">
        <w:rPr>
          <w:w w:val="105"/>
        </w:rPr>
        <w:t>and</w:t>
      </w:r>
      <w:r w:rsidRPr="00283806">
        <w:rPr>
          <w:spacing w:val="-1"/>
          <w:w w:val="105"/>
        </w:rPr>
        <w:t xml:space="preserve"> </w:t>
      </w:r>
      <w:r w:rsidRPr="00283806">
        <w:rPr>
          <w:w w:val="105"/>
        </w:rPr>
        <w:t>sent</w:t>
      </w:r>
      <w:r w:rsidRPr="00283806">
        <w:rPr>
          <w:spacing w:val="-1"/>
          <w:w w:val="105"/>
        </w:rPr>
        <w:t xml:space="preserve"> </w:t>
      </w:r>
      <w:r w:rsidRPr="00283806">
        <w:rPr>
          <w:w w:val="105"/>
        </w:rPr>
        <w:t>for reclamation can be confirmed as having</w:t>
      </w:r>
      <w:r w:rsidRPr="00283806">
        <w:rPr>
          <w:spacing w:val="40"/>
          <w:w w:val="105"/>
        </w:rPr>
        <w:t xml:space="preserve"> </w:t>
      </w:r>
      <w:r w:rsidRPr="00283806">
        <w:rPr>
          <w:w w:val="105"/>
        </w:rPr>
        <w:t>a bona fide use in refrigerant-containing equipment, as this rule requires, and</w:t>
      </w:r>
      <w:r w:rsidRPr="00283806">
        <w:rPr>
          <w:spacing w:val="80"/>
          <w:w w:val="105"/>
        </w:rPr>
        <w:t xml:space="preserve"> </w:t>
      </w:r>
      <w:r w:rsidRPr="00283806">
        <w:rPr>
          <w:w w:val="105"/>
        </w:rPr>
        <w:t>that there can be challenges in verifying imported material claiming to be recovered or reclaimed. EPA anticipates that in most cases, recovered material that reclaimers receive would have been sourced from refrigerant-containing equipment within the United States.</w:t>
      </w:r>
    </w:p>
    <w:p w14:paraId="22ED7034" w14:textId="77777777" w:rsidR="00D67C1E" w:rsidRPr="00283806" w:rsidRDefault="001265CA">
      <w:pPr>
        <w:pStyle w:val="BodyText"/>
        <w:spacing w:line="225" w:lineRule="auto"/>
        <w:ind w:left="143" w:right="25"/>
      </w:pPr>
      <w:r w:rsidRPr="00283806">
        <w:rPr>
          <w:w w:val="105"/>
        </w:rPr>
        <w:t>Under the requirements previously established in separate regulations in 40 CFR part 84, subpart A, import of any bulk HFCs to the United States, whether virgin, reclaimed, or recovered, requires expenditure of the requisite number of allowances and associated reporting and recordkeeping under those regulations. Thus, if one were to import any</w:t>
      </w:r>
      <w:r w:rsidRPr="00283806">
        <w:rPr>
          <w:spacing w:val="40"/>
          <w:w w:val="105"/>
        </w:rPr>
        <w:t xml:space="preserve"> </w:t>
      </w:r>
      <w:r w:rsidRPr="00283806">
        <w:rPr>
          <w:w w:val="105"/>
        </w:rPr>
        <w:t>recovered HFCs to be reclaimed within the United States, allowances must be used. As stated, EPA anticipates reclaimers would likely seek to obtain</w:t>
      </w:r>
    </w:p>
    <w:p w14:paraId="09F63EDB" w14:textId="77777777" w:rsidR="00D67C1E" w:rsidRPr="00283806" w:rsidRDefault="001265CA">
      <w:pPr>
        <w:pStyle w:val="BodyText"/>
        <w:spacing w:before="134" w:line="228" w:lineRule="auto"/>
        <w:ind w:left="153" w:right="121"/>
      </w:pPr>
      <w:r w:rsidRPr="00283806">
        <w:br w:type="column"/>
      </w:r>
      <w:r w:rsidRPr="00283806">
        <w:rPr>
          <w:w w:val="105"/>
        </w:rPr>
        <w:t>recovered materials from within the United States, as they would not require allowances to receive these domestically recovered HFCs. The regulations under 40 CFR part 84, subpart A are designed</w:t>
      </w:r>
      <w:r w:rsidRPr="00283806">
        <w:rPr>
          <w:spacing w:val="80"/>
          <w:w w:val="105"/>
        </w:rPr>
        <w:t xml:space="preserve"> </w:t>
      </w:r>
      <w:r w:rsidRPr="00283806">
        <w:rPr>
          <w:w w:val="105"/>
        </w:rPr>
        <w:t>to provide recordkeeping and reporting requirements</w:t>
      </w:r>
      <w:r w:rsidRPr="00283806">
        <w:rPr>
          <w:spacing w:val="-8"/>
          <w:w w:val="105"/>
        </w:rPr>
        <w:t xml:space="preserve"> </w:t>
      </w:r>
      <w:r w:rsidRPr="00283806">
        <w:rPr>
          <w:w w:val="105"/>
        </w:rPr>
        <w:t>for</w:t>
      </w:r>
      <w:r w:rsidRPr="00283806">
        <w:rPr>
          <w:spacing w:val="-8"/>
          <w:w w:val="105"/>
        </w:rPr>
        <w:t xml:space="preserve"> </w:t>
      </w:r>
      <w:r w:rsidRPr="00283806">
        <w:rPr>
          <w:w w:val="105"/>
        </w:rPr>
        <w:t>the</w:t>
      </w:r>
      <w:r w:rsidRPr="00283806">
        <w:rPr>
          <w:spacing w:val="-8"/>
          <w:w w:val="105"/>
        </w:rPr>
        <w:t xml:space="preserve"> </w:t>
      </w:r>
      <w:r w:rsidRPr="00283806">
        <w:rPr>
          <w:w w:val="105"/>
        </w:rPr>
        <w:t>requirements</w:t>
      </w:r>
      <w:r w:rsidRPr="00283806">
        <w:rPr>
          <w:spacing w:val="-8"/>
          <w:w w:val="105"/>
        </w:rPr>
        <w:t xml:space="preserve"> </w:t>
      </w:r>
      <w:r w:rsidRPr="00283806">
        <w:rPr>
          <w:w w:val="105"/>
        </w:rPr>
        <w:t>under subpart</w:t>
      </w:r>
      <w:r w:rsidRPr="00283806">
        <w:rPr>
          <w:spacing w:val="40"/>
          <w:w w:val="105"/>
        </w:rPr>
        <w:t xml:space="preserve"> </w:t>
      </w:r>
      <w:r w:rsidRPr="00283806">
        <w:rPr>
          <w:w w:val="105"/>
        </w:rPr>
        <w:t>A,</w:t>
      </w:r>
      <w:r w:rsidRPr="00283806">
        <w:rPr>
          <w:spacing w:val="40"/>
          <w:w w:val="105"/>
        </w:rPr>
        <w:t xml:space="preserve"> </w:t>
      </w:r>
      <w:r w:rsidRPr="00283806">
        <w:rPr>
          <w:w w:val="105"/>
        </w:rPr>
        <w:t>but</w:t>
      </w:r>
      <w:r w:rsidRPr="00283806">
        <w:rPr>
          <w:spacing w:val="40"/>
          <w:w w:val="105"/>
        </w:rPr>
        <w:t xml:space="preserve"> </w:t>
      </w:r>
      <w:r w:rsidRPr="00283806">
        <w:rPr>
          <w:w w:val="105"/>
        </w:rPr>
        <w:t>the</w:t>
      </w:r>
      <w:r w:rsidRPr="00283806">
        <w:rPr>
          <w:spacing w:val="40"/>
          <w:w w:val="105"/>
        </w:rPr>
        <w:t xml:space="preserve"> </w:t>
      </w:r>
      <w:r w:rsidRPr="00283806">
        <w:rPr>
          <w:w w:val="105"/>
        </w:rPr>
        <w:t>Agency</w:t>
      </w:r>
      <w:r w:rsidRPr="00283806">
        <w:rPr>
          <w:spacing w:val="40"/>
          <w:w w:val="105"/>
        </w:rPr>
        <w:t xml:space="preserve"> </w:t>
      </w:r>
      <w:r w:rsidRPr="00283806">
        <w:rPr>
          <w:w w:val="105"/>
        </w:rPr>
        <w:t>notes</w:t>
      </w:r>
      <w:r w:rsidRPr="00283806">
        <w:rPr>
          <w:spacing w:val="40"/>
          <w:w w:val="105"/>
        </w:rPr>
        <w:t xml:space="preserve"> </w:t>
      </w:r>
      <w:r w:rsidRPr="00283806">
        <w:rPr>
          <w:w w:val="105"/>
        </w:rPr>
        <w:t xml:space="preserve">that this reported information may also be useful in identifying if practices are occurring that would violate the regulations established in this final rule. Even if commenters are correct about current incentives regarding imports, as the HFC production and consumption phasedown progresses, and the overall quantity of available allowances decreases, importers will need to make decisions about how to expend their allowances, and those incentives may </w:t>
      </w:r>
      <w:r w:rsidRPr="00283806">
        <w:rPr>
          <w:spacing w:val="-2"/>
          <w:w w:val="105"/>
        </w:rPr>
        <w:t>shift.</w:t>
      </w:r>
    </w:p>
    <w:p w14:paraId="46D6015E" w14:textId="77777777" w:rsidR="00D67C1E" w:rsidRPr="00283806" w:rsidRDefault="001265CA">
      <w:pPr>
        <w:pStyle w:val="BodyText"/>
        <w:spacing w:before="29" w:line="228" w:lineRule="auto"/>
        <w:ind w:left="153" w:right="190" w:firstLine="180"/>
      </w:pPr>
      <w:r w:rsidRPr="00283806">
        <w:rPr>
          <w:w w:val="105"/>
        </w:rPr>
        <w:t>In response to comments related to requiring geographic limits to ensure</w:t>
      </w:r>
      <w:r w:rsidRPr="00283806">
        <w:rPr>
          <w:spacing w:val="40"/>
          <w:w w:val="105"/>
        </w:rPr>
        <w:t xml:space="preserve"> </w:t>
      </w:r>
      <w:r w:rsidRPr="00283806">
        <w:rPr>
          <w:w w:val="105"/>
        </w:rPr>
        <w:t>that recovered materials had bona fide use in equipment, EPA concludes that such restrictions are not required to ensure the provisions in this rule are being</w:t>
      </w:r>
      <w:r w:rsidRPr="00283806">
        <w:rPr>
          <w:spacing w:val="40"/>
          <w:w w:val="105"/>
        </w:rPr>
        <w:t xml:space="preserve"> </w:t>
      </w:r>
      <w:r w:rsidRPr="00283806">
        <w:rPr>
          <w:w w:val="105"/>
        </w:rPr>
        <w:t>followed.</w:t>
      </w:r>
      <w:r w:rsidRPr="00283806">
        <w:rPr>
          <w:spacing w:val="40"/>
          <w:w w:val="105"/>
        </w:rPr>
        <w:t xml:space="preserve"> </w:t>
      </w:r>
      <w:r w:rsidRPr="00283806">
        <w:rPr>
          <w:w w:val="105"/>
        </w:rPr>
        <w:t>The</w:t>
      </w:r>
      <w:r w:rsidRPr="00283806">
        <w:rPr>
          <w:spacing w:val="40"/>
          <w:w w:val="105"/>
        </w:rPr>
        <w:t xml:space="preserve"> </w:t>
      </w:r>
      <w:r w:rsidRPr="00283806">
        <w:rPr>
          <w:w w:val="105"/>
        </w:rPr>
        <w:t>requirements</w:t>
      </w:r>
      <w:r w:rsidRPr="00283806">
        <w:rPr>
          <w:spacing w:val="40"/>
          <w:w w:val="105"/>
        </w:rPr>
        <w:t xml:space="preserve"> </w:t>
      </w:r>
      <w:r w:rsidRPr="00283806">
        <w:rPr>
          <w:w w:val="105"/>
        </w:rPr>
        <w:t>in this rule are such that the servicing and/ or repair of certain refrigerant- containing equipment must be done</w:t>
      </w:r>
      <w:r w:rsidRPr="00283806">
        <w:rPr>
          <w:spacing w:val="80"/>
          <w:w w:val="150"/>
        </w:rPr>
        <w:t xml:space="preserve"> </w:t>
      </w:r>
      <w:r w:rsidRPr="00283806">
        <w:rPr>
          <w:w w:val="105"/>
        </w:rPr>
        <w:t>with reclaimed HFCs, and the reclaimed HFCs must meet the standard of containing no more than 15 percent virgin HFCs, by weight. EPA has established labeling provisions for EPA- certified reclaimers to affix labels on containers they fill with reclaimed HFCs to certify that the standard is being met. As such, any material that is reclaimed</w:t>
      </w:r>
      <w:r w:rsidRPr="00283806">
        <w:rPr>
          <w:spacing w:val="80"/>
          <w:w w:val="105"/>
        </w:rPr>
        <w:t xml:space="preserve"> </w:t>
      </w:r>
      <w:r w:rsidRPr="00283806">
        <w:rPr>
          <w:w w:val="105"/>
        </w:rPr>
        <w:t>by an EPA-certified reclaimer would</w:t>
      </w:r>
      <w:r w:rsidRPr="00283806">
        <w:rPr>
          <w:spacing w:val="80"/>
          <w:w w:val="105"/>
        </w:rPr>
        <w:t xml:space="preserve"> </w:t>
      </w:r>
      <w:r w:rsidRPr="00283806">
        <w:rPr>
          <w:w w:val="105"/>
        </w:rPr>
        <w:t xml:space="preserve">have a label certifying compliance with the reclamation standard. If one chooses to import reclaimed HFCs and sell, identify, or report market it as being reclaimed for use in the installation, servicing, or repair of refrigerant- containing equipment, they </w:t>
      </w:r>
      <w:proofErr w:type="gramStart"/>
      <w:r w:rsidRPr="00283806">
        <w:rPr>
          <w:w w:val="105"/>
        </w:rPr>
        <w:t>would</w:t>
      </w:r>
      <w:proofErr w:type="gramEnd"/>
      <w:r w:rsidRPr="00283806">
        <w:rPr>
          <w:w w:val="105"/>
        </w:rPr>
        <w:t xml:space="preserve"> need to verify that the imported reclaimed HFCs are meeting the reclamation standard to ensure they </w:t>
      </w:r>
      <w:proofErr w:type="gramStart"/>
      <w:r w:rsidRPr="00283806">
        <w:rPr>
          <w:w w:val="105"/>
        </w:rPr>
        <w:t>are in</w:t>
      </w:r>
      <w:r w:rsidRPr="00283806">
        <w:rPr>
          <w:spacing w:val="40"/>
          <w:w w:val="105"/>
        </w:rPr>
        <w:t xml:space="preserve"> </w:t>
      </w:r>
      <w:r w:rsidRPr="00283806">
        <w:rPr>
          <w:w w:val="105"/>
        </w:rPr>
        <w:t>compliance with</w:t>
      </w:r>
      <w:proofErr w:type="gramEnd"/>
      <w:r w:rsidRPr="00283806">
        <w:rPr>
          <w:w w:val="105"/>
        </w:rPr>
        <w:t xml:space="preserve"> the requirements finalized in this rule at 84.112(a).</w:t>
      </w:r>
    </w:p>
    <w:p w14:paraId="1AFF5AA1" w14:textId="77777777" w:rsidR="00D67C1E" w:rsidRPr="00283806" w:rsidRDefault="001265CA">
      <w:pPr>
        <w:pStyle w:val="BodyText"/>
        <w:spacing w:line="181" w:lineRule="exact"/>
        <w:ind w:left="153"/>
      </w:pPr>
      <w:r w:rsidRPr="00283806">
        <w:rPr>
          <w:w w:val="105"/>
        </w:rPr>
        <w:t>Further,</w:t>
      </w:r>
      <w:r w:rsidRPr="00283806">
        <w:rPr>
          <w:spacing w:val="17"/>
          <w:w w:val="105"/>
        </w:rPr>
        <w:t xml:space="preserve"> </w:t>
      </w:r>
      <w:r w:rsidRPr="00283806">
        <w:rPr>
          <w:w w:val="105"/>
        </w:rPr>
        <w:t>under</w:t>
      </w:r>
      <w:r w:rsidRPr="00283806">
        <w:rPr>
          <w:spacing w:val="17"/>
          <w:w w:val="105"/>
        </w:rPr>
        <w:t xml:space="preserve"> </w:t>
      </w:r>
      <w:r w:rsidRPr="00283806">
        <w:rPr>
          <w:w w:val="105"/>
        </w:rPr>
        <w:t>this</w:t>
      </w:r>
      <w:r w:rsidRPr="00283806">
        <w:rPr>
          <w:spacing w:val="17"/>
          <w:w w:val="105"/>
        </w:rPr>
        <w:t xml:space="preserve"> </w:t>
      </w:r>
      <w:r w:rsidRPr="00283806">
        <w:rPr>
          <w:w w:val="105"/>
        </w:rPr>
        <w:t>final</w:t>
      </w:r>
      <w:r w:rsidRPr="00283806">
        <w:rPr>
          <w:spacing w:val="17"/>
          <w:w w:val="105"/>
        </w:rPr>
        <w:t xml:space="preserve"> </w:t>
      </w:r>
      <w:r w:rsidRPr="00283806">
        <w:rPr>
          <w:w w:val="105"/>
        </w:rPr>
        <w:t>rule,</w:t>
      </w:r>
      <w:r w:rsidRPr="00283806">
        <w:rPr>
          <w:spacing w:val="18"/>
          <w:w w:val="105"/>
        </w:rPr>
        <w:t xml:space="preserve"> </w:t>
      </w:r>
      <w:r w:rsidRPr="00283806">
        <w:rPr>
          <w:spacing w:val="-2"/>
          <w:w w:val="105"/>
        </w:rPr>
        <w:t>those</w:t>
      </w:r>
    </w:p>
    <w:p w14:paraId="5144800B" w14:textId="77777777" w:rsidR="00D67C1E" w:rsidRPr="00283806" w:rsidRDefault="001265CA">
      <w:pPr>
        <w:pStyle w:val="BodyText"/>
        <w:spacing w:before="3" w:line="228" w:lineRule="auto"/>
        <w:ind w:left="153" w:right="196"/>
      </w:pPr>
      <w:r w:rsidRPr="00283806">
        <w:rPr>
          <w:w w:val="105"/>
        </w:rPr>
        <w:t xml:space="preserve">servicing and/or repairing refrigerant- containing equipment in the supermarket systems, refrigerated transport, or automatic commercial ice makers subsectors that </w:t>
      </w:r>
      <w:proofErr w:type="gramStart"/>
      <w:r w:rsidRPr="00283806">
        <w:rPr>
          <w:w w:val="105"/>
        </w:rPr>
        <w:t>contains</w:t>
      </w:r>
      <w:proofErr w:type="gramEnd"/>
      <w:r w:rsidRPr="00283806">
        <w:rPr>
          <w:w w:val="105"/>
        </w:rPr>
        <w:t xml:space="preserve"> an HFC must do so with reclaimed refrigerant that meets certain requirements including the reclamation standard.</w:t>
      </w:r>
    </w:p>
    <w:p w14:paraId="4BF1109E" w14:textId="77777777" w:rsidR="00D67C1E" w:rsidRPr="00283806" w:rsidRDefault="001265CA">
      <w:pPr>
        <w:pStyle w:val="BodyText"/>
        <w:spacing w:line="228" w:lineRule="auto"/>
        <w:ind w:left="153" w:right="233"/>
      </w:pPr>
      <w:r w:rsidRPr="00283806">
        <w:rPr>
          <w:w w:val="105"/>
        </w:rPr>
        <w:t xml:space="preserve">Thus, they would need to confirm that the reclaimed HFC refrigerant they are using for these purposes meets those requirements to ensure they </w:t>
      </w:r>
      <w:proofErr w:type="gramStart"/>
      <w:r w:rsidRPr="00283806">
        <w:rPr>
          <w:w w:val="105"/>
        </w:rPr>
        <w:t>are in compliance with</w:t>
      </w:r>
      <w:proofErr w:type="gramEnd"/>
      <w:r w:rsidRPr="00283806">
        <w:rPr>
          <w:w w:val="105"/>
        </w:rPr>
        <w:t xml:space="preserve"> their obligations.</w:t>
      </w:r>
    </w:p>
    <w:p w14:paraId="7A176971" w14:textId="77777777" w:rsidR="00D67C1E" w:rsidRPr="00283806" w:rsidRDefault="001265CA">
      <w:pPr>
        <w:pStyle w:val="BodyText"/>
        <w:spacing w:line="200" w:lineRule="exact"/>
        <w:ind w:left="153"/>
      </w:pPr>
      <w:r w:rsidRPr="00283806">
        <w:rPr>
          <w:w w:val="105"/>
        </w:rPr>
        <w:t>Moreover,</w:t>
      </w:r>
      <w:r w:rsidRPr="00283806">
        <w:rPr>
          <w:spacing w:val="16"/>
          <w:w w:val="105"/>
        </w:rPr>
        <w:t xml:space="preserve"> </w:t>
      </w:r>
      <w:r w:rsidRPr="00283806">
        <w:rPr>
          <w:w w:val="105"/>
        </w:rPr>
        <w:t>this</w:t>
      </w:r>
      <w:r w:rsidRPr="00283806">
        <w:rPr>
          <w:spacing w:val="16"/>
          <w:w w:val="105"/>
        </w:rPr>
        <w:t xml:space="preserve"> </w:t>
      </w:r>
      <w:r w:rsidRPr="00283806">
        <w:rPr>
          <w:w w:val="105"/>
        </w:rPr>
        <w:t>final</w:t>
      </w:r>
      <w:r w:rsidRPr="00283806">
        <w:rPr>
          <w:spacing w:val="17"/>
          <w:w w:val="105"/>
        </w:rPr>
        <w:t xml:space="preserve"> </w:t>
      </w:r>
      <w:r w:rsidRPr="00283806">
        <w:rPr>
          <w:w w:val="105"/>
        </w:rPr>
        <w:t>rule</w:t>
      </w:r>
      <w:r w:rsidRPr="00283806">
        <w:rPr>
          <w:spacing w:val="16"/>
          <w:w w:val="105"/>
        </w:rPr>
        <w:t xml:space="preserve"> </w:t>
      </w:r>
      <w:r w:rsidRPr="00283806">
        <w:rPr>
          <w:spacing w:val="-2"/>
          <w:w w:val="105"/>
        </w:rPr>
        <w:t>establishes</w:t>
      </w:r>
    </w:p>
    <w:p w14:paraId="6F351167" w14:textId="77777777" w:rsidR="00D67C1E" w:rsidRPr="00283806" w:rsidRDefault="00D67C1E">
      <w:pPr>
        <w:spacing w:line="200" w:lineRule="exact"/>
        <w:sectPr w:rsidR="00D67C1E" w:rsidRPr="00283806">
          <w:pgSz w:w="12240" w:h="15840"/>
          <w:pgMar w:top="1040" w:right="780" w:bottom="280" w:left="740" w:header="627" w:footer="0" w:gutter="0"/>
          <w:cols w:num="3" w:space="720" w:equalWidth="0">
            <w:col w:w="3517" w:space="40"/>
            <w:col w:w="3490" w:space="39"/>
            <w:col w:w="3634"/>
          </w:cols>
        </w:sectPr>
      </w:pPr>
    </w:p>
    <w:p w14:paraId="61E99846" w14:textId="77777777" w:rsidR="00D67C1E" w:rsidRPr="00283806" w:rsidRDefault="001265CA">
      <w:pPr>
        <w:pStyle w:val="BodyText"/>
        <w:spacing w:before="134" w:line="228" w:lineRule="auto"/>
      </w:pPr>
      <w:r w:rsidRPr="00283806">
        <w:rPr>
          <w:w w:val="105"/>
        </w:rPr>
        <w:lastRenderedPageBreak/>
        <w:t xml:space="preserve">certain requirements for the sale, distribution, or transfer of ownership for certain recovered HFCs, including reclaiming </w:t>
      </w:r>
      <w:proofErr w:type="gramStart"/>
      <w:r w:rsidRPr="00283806">
        <w:rPr>
          <w:w w:val="105"/>
        </w:rPr>
        <w:t>the HFCs</w:t>
      </w:r>
      <w:proofErr w:type="gramEnd"/>
      <w:r w:rsidRPr="00283806">
        <w:rPr>
          <w:w w:val="105"/>
        </w:rPr>
        <w:t xml:space="preserve"> prior to such sale, distribution, or transfer, with limited exceptions. Thus, if one chooses to expend allowances and import</w:t>
      </w:r>
      <w:r w:rsidRPr="00283806">
        <w:rPr>
          <w:spacing w:val="80"/>
          <w:w w:val="105"/>
        </w:rPr>
        <w:t xml:space="preserve"> </w:t>
      </w:r>
      <w:r w:rsidRPr="00283806">
        <w:rPr>
          <w:w w:val="105"/>
        </w:rPr>
        <w:t>recovered HFCs, the recovered HFCs must, as applicable be reclaimed before being sold, distributed, or transferred to</w:t>
      </w:r>
      <w:r w:rsidRPr="00283806">
        <w:rPr>
          <w:spacing w:val="40"/>
          <w:w w:val="105"/>
        </w:rPr>
        <w:t xml:space="preserve"> </w:t>
      </w:r>
      <w:r w:rsidRPr="00283806">
        <w:rPr>
          <w:w w:val="105"/>
        </w:rPr>
        <w:t>a new owner. See also subsection (h)(2)(B) (providing that a regulated substance used as a refrigerant that is recovered shall be reclaimed before the regulated substance is sold or</w:t>
      </w:r>
      <w:r w:rsidRPr="00283806">
        <w:rPr>
          <w:spacing w:val="40"/>
          <w:w w:val="105"/>
        </w:rPr>
        <w:t xml:space="preserve"> </w:t>
      </w:r>
      <w:r w:rsidRPr="00283806">
        <w:rPr>
          <w:w w:val="105"/>
        </w:rPr>
        <w:t>transferred to a new owner, except</w:t>
      </w:r>
      <w:r w:rsidRPr="00283806">
        <w:rPr>
          <w:spacing w:val="40"/>
          <w:w w:val="105"/>
        </w:rPr>
        <w:t xml:space="preserve"> </w:t>
      </w:r>
      <w:r w:rsidRPr="00283806">
        <w:rPr>
          <w:w w:val="105"/>
        </w:rPr>
        <w:t>where</w:t>
      </w:r>
      <w:r w:rsidRPr="00283806">
        <w:rPr>
          <w:spacing w:val="-6"/>
          <w:w w:val="105"/>
        </w:rPr>
        <w:t xml:space="preserve"> </w:t>
      </w:r>
      <w:r w:rsidRPr="00283806">
        <w:rPr>
          <w:w w:val="105"/>
        </w:rPr>
        <w:t>the</w:t>
      </w:r>
      <w:r w:rsidRPr="00283806">
        <w:rPr>
          <w:spacing w:val="-6"/>
          <w:w w:val="105"/>
        </w:rPr>
        <w:t xml:space="preserve"> </w:t>
      </w:r>
      <w:r w:rsidRPr="00283806">
        <w:rPr>
          <w:w w:val="105"/>
        </w:rPr>
        <w:t>recovered</w:t>
      </w:r>
      <w:r w:rsidRPr="00283806">
        <w:rPr>
          <w:spacing w:val="-6"/>
          <w:w w:val="105"/>
        </w:rPr>
        <w:t xml:space="preserve"> </w:t>
      </w:r>
      <w:r w:rsidRPr="00283806">
        <w:rPr>
          <w:w w:val="105"/>
        </w:rPr>
        <w:t>regulated</w:t>
      </w:r>
      <w:r w:rsidRPr="00283806">
        <w:rPr>
          <w:spacing w:val="-6"/>
          <w:w w:val="105"/>
        </w:rPr>
        <w:t xml:space="preserve"> </w:t>
      </w:r>
      <w:r w:rsidRPr="00283806">
        <w:rPr>
          <w:w w:val="105"/>
        </w:rPr>
        <w:t>substance is sold or transferred to a new owner solely for the purposes of being</w:t>
      </w:r>
      <w:r w:rsidRPr="00283806">
        <w:rPr>
          <w:spacing w:val="40"/>
          <w:w w:val="105"/>
        </w:rPr>
        <w:t xml:space="preserve"> </w:t>
      </w:r>
      <w:r w:rsidRPr="00283806">
        <w:rPr>
          <w:w w:val="105"/>
        </w:rPr>
        <w:t>reclaimed or destroyed). Further, as required by this rule, the EPA-certified reclaimers who fill reclaimed HFCs into containers for sale or distribution will need to ensure the reclaimed HFCs meet the reclamation standard of no more</w:t>
      </w:r>
      <w:r w:rsidRPr="00283806">
        <w:rPr>
          <w:spacing w:val="40"/>
          <w:w w:val="105"/>
        </w:rPr>
        <w:t xml:space="preserve"> </w:t>
      </w:r>
      <w:r w:rsidRPr="00283806">
        <w:rPr>
          <w:w w:val="105"/>
        </w:rPr>
        <w:t xml:space="preserve">than 15 percent virgin HFCs, by weight, and will need to comply with the applicable labeling and recordkeeping </w:t>
      </w:r>
      <w:r w:rsidRPr="00283806">
        <w:rPr>
          <w:spacing w:val="-2"/>
          <w:w w:val="105"/>
        </w:rPr>
        <w:t>requirements.</w:t>
      </w:r>
    </w:p>
    <w:p w14:paraId="59839902" w14:textId="77777777" w:rsidR="00D67C1E" w:rsidRPr="00283806" w:rsidRDefault="001265CA">
      <w:pPr>
        <w:pStyle w:val="BodyText"/>
        <w:spacing w:before="26" w:line="228" w:lineRule="auto"/>
        <w:ind w:right="8" w:firstLine="180"/>
      </w:pPr>
      <w:r w:rsidRPr="00283806">
        <w:rPr>
          <w:w w:val="105"/>
        </w:rPr>
        <w:t>In response to the comment stating that refrigerant recovered abroad will</w:t>
      </w:r>
      <w:r w:rsidRPr="00283806">
        <w:rPr>
          <w:spacing w:val="40"/>
          <w:w w:val="105"/>
        </w:rPr>
        <w:t xml:space="preserve"> </w:t>
      </w:r>
      <w:r w:rsidRPr="00283806">
        <w:rPr>
          <w:w w:val="105"/>
        </w:rPr>
        <w:t>not reduce U.S. emissions and may disincentivize domestic recovery, EPA disagrees and states, as noted earlier in this comment response, that allowances are required to import any HFCs. Thus, any HFCs (whether virgin, reclaimed, or recovered) that are imported require the expenditure of allowances that have</w:t>
      </w:r>
      <w:r w:rsidRPr="00283806">
        <w:rPr>
          <w:spacing w:val="80"/>
          <w:w w:val="105"/>
        </w:rPr>
        <w:t xml:space="preserve"> </w:t>
      </w:r>
      <w:r w:rsidRPr="00283806">
        <w:rPr>
          <w:w w:val="105"/>
        </w:rPr>
        <w:t>been allocated and accounted for under other regulations under the AIM Act. If recovered materials are imported, they would have been accounted for under</w:t>
      </w:r>
      <w:r w:rsidRPr="00283806">
        <w:rPr>
          <w:spacing w:val="80"/>
          <w:w w:val="105"/>
        </w:rPr>
        <w:t xml:space="preserve"> </w:t>
      </w:r>
      <w:r w:rsidRPr="00283806">
        <w:rPr>
          <w:w w:val="105"/>
        </w:rPr>
        <w:t>the phasedown and would not</w:t>
      </w:r>
      <w:r w:rsidRPr="00283806">
        <w:rPr>
          <w:spacing w:val="80"/>
          <w:w w:val="105"/>
        </w:rPr>
        <w:t xml:space="preserve"> </w:t>
      </w:r>
      <w:r w:rsidRPr="00283806">
        <w:rPr>
          <w:w w:val="105"/>
        </w:rPr>
        <w:t>contribute to additional emissions. EPA also disagrees that imports of recovered materials could disincentivize domestic recovery of HFCs. Reclaimers do not</w:t>
      </w:r>
      <w:r w:rsidRPr="00283806">
        <w:rPr>
          <w:spacing w:val="80"/>
          <w:w w:val="105"/>
        </w:rPr>
        <w:t xml:space="preserve"> </w:t>
      </w:r>
      <w:r w:rsidRPr="00283806">
        <w:rPr>
          <w:w w:val="105"/>
        </w:rPr>
        <w:t>need to expend allowances to receive HFCs that are recovered domestically, which EPA anticipates being an</w:t>
      </w:r>
      <w:r w:rsidRPr="00283806">
        <w:rPr>
          <w:spacing w:val="80"/>
          <w:w w:val="150"/>
        </w:rPr>
        <w:t xml:space="preserve"> </w:t>
      </w:r>
      <w:r w:rsidRPr="00283806">
        <w:rPr>
          <w:w w:val="105"/>
        </w:rPr>
        <w:t>incentive for reclaimers to primarily</w:t>
      </w:r>
      <w:r w:rsidRPr="00283806">
        <w:rPr>
          <w:spacing w:val="80"/>
          <w:w w:val="105"/>
        </w:rPr>
        <w:t xml:space="preserve"> </w:t>
      </w:r>
      <w:r w:rsidRPr="00283806">
        <w:rPr>
          <w:w w:val="105"/>
        </w:rPr>
        <w:t>seek domestically sourced recovered HFCs as source material for reclamation. EPA acknowledges that whether recovered materials are reclaimed in the United States as opposed to exported</w:t>
      </w:r>
      <w:r w:rsidRPr="00283806">
        <w:rPr>
          <w:spacing w:val="40"/>
          <w:w w:val="105"/>
        </w:rPr>
        <w:t xml:space="preserve"> </w:t>
      </w:r>
      <w:r w:rsidRPr="00283806">
        <w:rPr>
          <w:w w:val="105"/>
        </w:rPr>
        <w:t xml:space="preserve">may come down to a business decision; however, the requirements in this rule would promote reclaimed HFCs in the servicing and/or repair of certain refrigerant-containing equipment. These requirements would likely, in turn, promote recovery of HFCs to be reclaimed to meet the demand for servicing and/or repairing </w:t>
      </w:r>
      <w:proofErr w:type="gramStart"/>
      <w:r w:rsidRPr="00283806">
        <w:rPr>
          <w:w w:val="105"/>
        </w:rPr>
        <w:t>these</w:t>
      </w:r>
      <w:proofErr w:type="gramEnd"/>
      <w:r w:rsidRPr="00283806">
        <w:rPr>
          <w:w w:val="105"/>
        </w:rPr>
        <w:t xml:space="preserve"> equipment as opposed to exporting the recovered materials.</w:t>
      </w:r>
    </w:p>
    <w:p w14:paraId="2891CAED" w14:textId="77777777" w:rsidR="00D67C1E" w:rsidRPr="00283806" w:rsidRDefault="001265CA">
      <w:pPr>
        <w:pStyle w:val="BodyText"/>
        <w:spacing w:before="134" w:line="225" w:lineRule="auto"/>
        <w:ind w:left="143" w:right="104" w:firstLine="180"/>
      </w:pPr>
      <w:r w:rsidRPr="00283806">
        <w:br w:type="column"/>
      </w:r>
      <w:r w:rsidRPr="00283806">
        <w:rPr>
          <w:w w:val="105"/>
        </w:rPr>
        <w:t>EPA understands that illegal trade of HFCs may decrease demand for refrigerant reclamation, and moreover, is a concern for the successful implementation of the phasedown.</w:t>
      </w:r>
    </w:p>
    <w:p w14:paraId="7C22C0D5" w14:textId="77777777" w:rsidR="00D67C1E" w:rsidRPr="00283806" w:rsidRDefault="001265CA">
      <w:pPr>
        <w:pStyle w:val="BodyText"/>
        <w:spacing w:line="225" w:lineRule="auto"/>
        <w:ind w:left="143" w:right="135"/>
      </w:pPr>
      <w:r w:rsidRPr="00283806">
        <w:rPr>
          <w:w w:val="105"/>
        </w:rPr>
        <w:t xml:space="preserve">Outside of this rulemaking, EPA has already established a multifaceted enforcement approach to deter the illegal import of HFCs. The strong compliance and enforcement system will help preserve the environmental and economic benefits of the HFC </w:t>
      </w:r>
      <w:r w:rsidRPr="00283806">
        <w:rPr>
          <w:spacing w:val="-2"/>
          <w:w w:val="105"/>
        </w:rPr>
        <w:t>phasedown.</w:t>
      </w:r>
    </w:p>
    <w:p w14:paraId="5C4CAA4E" w14:textId="77777777" w:rsidR="00D67C1E" w:rsidRPr="00283806" w:rsidRDefault="001265CA">
      <w:pPr>
        <w:pStyle w:val="BodyText"/>
        <w:spacing w:line="177" w:lineRule="exact"/>
        <w:ind w:left="323"/>
      </w:pPr>
      <w:r w:rsidRPr="00283806">
        <w:rPr>
          <w:w w:val="105"/>
        </w:rPr>
        <w:t>With</w:t>
      </w:r>
      <w:r w:rsidRPr="00283806">
        <w:rPr>
          <w:spacing w:val="7"/>
          <w:w w:val="105"/>
        </w:rPr>
        <w:t xml:space="preserve"> </w:t>
      </w:r>
      <w:r w:rsidRPr="00283806">
        <w:rPr>
          <w:w w:val="105"/>
        </w:rPr>
        <w:t>respect</w:t>
      </w:r>
      <w:r w:rsidRPr="00283806">
        <w:rPr>
          <w:spacing w:val="7"/>
          <w:w w:val="105"/>
        </w:rPr>
        <w:t xml:space="preserve"> </w:t>
      </w:r>
      <w:r w:rsidRPr="00283806">
        <w:rPr>
          <w:w w:val="105"/>
        </w:rPr>
        <w:t>to</w:t>
      </w:r>
      <w:r w:rsidRPr="00283806">
        <w:rPr>
          <w:spacing w:val="7"/>
          <w:w w:val="105"/>
        </w:rPr>
        <w:t xml:space="preserve"> </w:t>
      </w:r>
      <w:r w:rsidRPr="00283806">
        <w:rPr>
          <w:w w:val="105"/>
        </w:rPr>
        <w:t>the</w:t>
      </w:r>
      <w:r w:rsidRPr="00283806">
        <w:rPr>
          <w:spacing w:val="7"/>
          <w:w w:val="105"/>
        </w:rPr>
        <w:t xml:space="preserve"> </w:t>
      </w:r>
      <w:r w:rsidRPr="00283806">
        <w:rPr>
          <w:w w:val="105"/>
        </w:rPr>
        <w:t>comments</w:t>
      </w:r>
      <w:r w:rsidRPr="00283806">
        <w:rPr>
          <w:spacing w:val="7"/>
          <w:w w:val="105"/>
        </w:rPr>
        <w:t xml:space="preserve"> </w:t>
      </w:r>
      <w:r w:rsidRPr="00283806">
        <w:rPr>
          <w:spacing w:val="-2"/>
          <w:w w:val="105"/>
        </w:rPr>
        <w:t>related</w:t>
      </w:r>
    </w:p>
    <w:p w14:paraId="042E6727" w14:textId="77777777" w:rsidR="00D67C1E" w:rsidRPr="00283806" w:rsidRDefault="001265CA">
      <w:pPr>
        <w:pStyle w:val="BodyText"/>
        <w:spacing w:before="2" w:line="225" w:lineRule="auto"/>
        <w:ind w:left="143" w:right="67"/>
      </w:pPr>
      <w:r w:rsidRPr="00283806">
        <w:rPr>
          <w:w w:val="105"/>
        </w:rPr>
        <w:t>to other countries’ implementation of</w:t>
      </w:r>
      <w:r w:rsidRPr="00283806">
        <w:rPr>
          <w:spacing w:val="80"/>
          <w:w w:val="105"/>
        </w:rPr>
        <w:t xml:space="preserve"> </w:t>
      </w:r>
      <w:r w:rsidRPr="00283806">
        <w:rPr>
          <w:w w:val="105"/>
        </w:rPr>
        <w:t>the</w:t>
      </w:r>
      <w:r w:rsidRPr="00283806">
        <w:rPr>
          <w:spacing w:val="40"/>
          <w:w w:val="105"/>
        </w:rPr>
        <w:t xml:space="preserve"> </w:t>
      </w:r>
      <w:r w:rsidRPr="00283806">
        <w:rPr>
          <w:w w:val="105"/>
        </w:rPr>
        <w:t>Kigali</w:t>
      </w:r>
      <w:r w:rsidRPr="00283806">
        <w:rPr>
          <w:spacing w:val="40"/>
          <w:w w:val="105"/>
        </w:rPr>
        <w:t xml:space="preserve"> </w:t>
      </w:r>
      <w:r w:rsidRPr="00283806">
        <w:rPr>
          <w:w w:val="105"/>
        </w:rPr>
        <w:t>Amendment</w:t>
      </w:r>
      <w:r w:rsidRPr="00283806">
        <w:rPr>
          <w:spacing w:val="40"/>
          <w:w w:val="105"/>
        </w:rPr>
        <w:t xml:space="preserve"> </w:t>
      </w:r>
      <w:r w:rsidRPr="00283806">
        <w:rPr>
          <w:w w:val="105"/>
        </w:rPr>
        <w:t>and</w:t>
      </w:r>
      <w:r w:rsidRPr="00283806">
        <w:rPr>
          <w:spacing w:val="40"/>
          <w:w w:val="105"/>
        </w:rPr>
        <w:t xml:space="preserve"> </w:t>
      </w:r>
      <w:r w:rsidRPr="00283806">
        <w:rPr>
          <w:w w:val="105"/>
        </w:rPr>
        <w:t>the</w:t>
      </w:r>
      <w:r w:rsidRPr="00283806">
        <w:rPr>
          <w:spacing w:val="40"/>
          <w:w w:val="105"/>
        </w:rPr>
        <w:t xml:space="preserve"> </w:t>
      </w:r>
      <w:r w:rsidRPr="00283806">
        <w:rPr>
          <w:w w:val="105"/>
        </w:rPr>
        <w:t>import of virgin or reclaimed material for destruction or carbon credit purposes, the topics are out of scope for this rulemaking, and thus these comments require no further response. For additional clarity, the Agency notes that under 40 CFR 84.25, EPA does allow the import of regulated substances into the United States for destruction, subject to</w:t>
      </w:r>
      <w:r w:rsidRPr="00283806">
        <w:rPr>
          <w:spacing w:val="80"/>
          <w:w w:val="105"/>
        </w:rPr>
        <w:t xml:space="preserve"> </w:t>
      </w:r>
      <w:r w:rsidRPr="00283806">
        <w:rPr>
          <w:w w:val="105"/>
        </w:rPr>
        <w:t>a petition process. However, the provisions included in 40 CFR 84.25 are out of scope for this rulemaking.</w:t>
      </w:r>
    </w:p>
    <w:p w14:paraId="0337FD77" w14:textId="77777777" w:rsidR="00D67C1E" w:rsidRPr="00283806" w:rsidRDefault="001265CA">
      <w:pPr>
        <w:pStyle w:val="BodyText"/>
        <w:spacing w:line="175" w:lineRule="exact"/>
        <w:ind w:left="323"/>
      </w:pPr>
      <w:r w:rsidRPr="00283806">
        <w:rPr>
          <w:w w:val="105"/>
        </w:rPr>
        <w:t>EPA</w:t>
      </w:r>
      <w:r w:rsidRPr="00283806">
        <w:rPr>
          <w:spacing w:val="17"/>
          <w:w w:val="105"/>
        </w:rPr>
        <w:t xml:space="preserve"> </w:t>
      </w:r>
      <w:r w:rsidRPr="00283806">
        <w:rPr>
          <w:w w:val="105"/>
        </w:rPr>
        <w:t>also</w:t>
      </w:r>
      <w:r w:rsidRPr="00283806">
        <w:rPr>
          <w:spacing w:val="18"/>
          <w:w w:val="105"/>
        </w:rPr>
        <w:t xml:space="preserve"> </w:t>
      </w:r>
      <w:r w:rsidRPr="00283806">
        <w:rPr>
          <w:w w:val="105"/>
        </w:rPr>
        <w:t>received</w:t>
      </w:r>
      <w:r w:rsidRPr="00283806">
        <w:rPr>
          <w:spacing w:val="17"/>
          <w:w w:val="105"/>
        </w:rPr>
        <w:t xml:space="preserve"> </w:t>
      </w:r>
      <w:proofErr w:type="gramStart"/>
      <w:r w:rsidRPr="00283806">
        <w:rPr>
          <w:w w:val="105"/>
        </w:rPr>
        <w:t>comment</w:t>
      </w:r>
      <w:proofErr w:type="gramEnd"/>
      <w:r w:rsidRPr="00283806">
        <w:rPr>
          <w:spacing w:val="18"/>
          <w:w w:val="105"/>
        </w:rPr>
        <w:t xml:space="preserve"> </w:t>
      </w:r>
      <w:r w:rsidRPr="00283806">
        <w:rPr>
          <w:spacing w:val="-4"/>
          <w:w w:val="105"/>
        </w:rPr>
        <w:t>that</w:t>
      </w:r>
    </w:p>
    <w:p w14:paraId="16037DD9" w14:textId="77777777" w:rsidR="00D67C1E" w:rsidRPr="00283806" w:rsidRDefault="001265CA">
      <w:pPr>
        <w:pStyle w:val="BodyText"/>
        <w:spacing w:before="4" w:line="225" w:lineRule="auto"/>
        <w:ind w:left="143" w:right="38"/>
      </w:pPr>
      <w:r w:rsidRPr="00283806">
        <w:rPr>
          <w:w w:val="105"/>
        </w:rPr>
        <w:t>reclaimed feedstocks sourced from the United</w:t>
      </w:r>
      <w:r w:rsidRPr="00283806">
        <w:rPr>
          <w:spacing w:val="40"/>
          <w:w w:val="105"/>
        </w:rPr>
        <w:t xml:space="preserve"> </w:t>
      </w:r>
      <w:r w:rsidRPr="00283806">
        <w:rPr>
          <w:w w:val="105"/>
        </w:rPr>
        <w:t>States</w:t>
      </w:r>
      <w:r w:rsidRPr="00283806">
        <w:rPr>
          <w:spacing w:val="40"/>
          <w:w w:val="105"/>
        </w:rPr>
        <w:t xml:space="preserve"> </w:t>
      </w:r>
      <w:r w:rsidRPr="00283806">
        <w:rPr>
          <w:w w:val="105"/>
        </w:rPr>
        <w:t>should</w:t>
      </w:r>
      <w:r w:rsidRPr="00283806">
        <w:rPr>
          <w:spacing w:val="40"/>
          <w:w w:val="105"/>
        </w:rPr>
        <w:t xml:space="preserve"> </w:t>
      </w:r>
      <w:r w:rsidRPr="00283806">
        <w:rPr>
          <w:w w:val="105"/>
        </w:rPr>
        <w:t>be</w:t>
      </w:r>
      <w:r w:rsidRPr="00283806">
        <w:rPr>
          <w:spacing w:val="40"/>
          <w:w w:val="105"/>
        </w:rPr>
        <w:t xml:space="preserve"> </w:t>
      </w:r>
      <w:r w:rsidRPr="00283806">
        <w:rPr>
          <w:w w:val="105"/>
        </w:rPr>
        <w:t>treated similarly to imports for transformation, with no time limit for how long they can be stored under 40 CFR 84.25, and that domestic reclaimed feedstocks awaiting blending or fractionation should be treated equivalently to HFCs imported</w:t>
      </w:r>
      <w:r w:rsidRPr="00283806">
        <w:rPr>
          <w:spacing w:val="40"/>
          <w:w w:val="105"/>
        </w:rPr>
        <w:t xml:space="preserve"> </w:t>
      </w:r>
      <w:r w:rsidRPr="00283806">
        <w:rPr>
          <w:w w:val="105"/>
        </w:rPr>
        <w:t xml:space="preserve">for destruction. As noted above, </w:t>
      </w:r>
      <w:proofErr w:type="gramStart"/>
      <w:r w:rsidRPr="00283806">
        <w:rPr>
          <w:w w:val="105"/>
        </w:rPr>
        <w:t>provisions included</w:t>
      </w:r>
      <w:proofErr w:type="gramEnd"/>
      <w:r w:rsidRPr="00283806">
        <w:rPr>
          <w:w w:val="105"/>
        </w:rPr>
        <w:t xml:space="preserve"> under 40 CFR 84.25 are out of scope of this rulemaking, and thus the comment requires no further response. EPA further notes that the commenter appears to be using the term ‘‘feedstock’’ in a way that diverges from the Agency’s use of that term. For example, as explained further in the</w:t>
      </w:r>
      <w:r w:rsidRPr="00283806">
        <w:rPr>
          <w:spacing w:val="80"/>
          <w:w w:val="105"/>
        </w:rPr>
        <w:t xml:space="preserve"> </w:t>
      </w:r>
      <w:r w:rsidRPr="00283806">
        <w:rPr>
          <w:w w:val="105"/>
        </w:rPr>
        <w:t>2024</w:t>
      </w:r>
      <w:r w:rsidRPr="00283806">
        <w:rPr>
          <w:spacing w:val="40"/>
          <w:w w:val="105"/>
        </w:rPr>
        <w:t xml:space="preserve"> </w:t>
      </w:r>
      <w:r w:rsidRPr="00283806">
        <w:rPr>
          <w:w w:val="105"/>
        </w:rPr>
        <w:t>Allocation</w:t>
      </w:r>
      <w:r w:rsidRPr="00283806">
        <w:rPr>
          <w:spacing w:val="40"/>
          <w:w w:val="105"/>
        </w:rPr>
        <w:t xml:space="preserve"> </w:t>
      </w:r>
      <w:r w:rsidRPr="00283806">
        <w:rPr>
          <w:w w:val="105"/>
        </w:rPr>
        <w:t>Rule,</w:t>
      </w:r>
      <w:r w:rsidRPr="00283806">
        <w:rPr>
          <w:spacing w:val="40"/>
          <w:w w:val="105"/>
        </w:rPr>
        <w:t xml:space="preserve"> </w:t>
      </w:r>
      <w:r w:rsidRPr="00283806">
        <w:rPr>
          <w:w w:val="105"/>
        </w:rPr>
        <w:t>creating</w:t>
      </w:r>
      <w:r w:rsidRPr="00283806">
        <w:rPr>
          <w:spacing w:val="40"/>
          <w:w w:val="105"/>
        </w:rPr>
        <w:t xml:space="preserve"> </w:t>
      </w:r>
      <w:r w:rsidRPr="00283806">
        <w:rPr>
          <w:w w:val="105"/>
        </w:rPr>
        <w:t>a</w:t>
      </w:r>
      <w:r w:rsidRPr="00283806">
        <w:rPr>
          <w:spacing w:val="40"/>
          <w:w w:val="105"/>
        </w:rPr>
        <w:t xml:space="preserve"> </w:t>
      </w:r>
      <w:r w:rsidRPr="00283806">
        <w:rPr>
          <w:w w:val="105"/>
        </w:rPr>
        <w:t>blend is a completely different process from producing HFCs in the first instance, in which feedstock chemicals are entirely consumed as part of a production process. See 88 FR 46836, 46863 (July</w:t>
      </w:r>
    </w:p>
    <w:p w14:paraId="1EFFA97B" w14:textId="77777777" w:rsidR="00D67C1E" w:rsidRPr="00283806" w:rsidRDefault="001265CA">
      <w:pPr>
        <w:pStyle w:val="BodyText"/>
        <w:spacing w:line="179" w:lineRule="exact"/>
        <w:ind w:left="143"/>
      </w:pPr>
      <w:r w:rsidRPr="00283806">
        <w:rPr>
          <w:w w:val="105"/>
        </w:rPr>
        <w:t>20,</w:t>
      </w:r>
      <w:r w:rsidRPr="00283806">
        <w:rPr>
          <w:spacing w:val="7"/>
          <w:w w:val="105"/>
        </w:rPr>
        <w:t xml:space="preserve"> </w:t>
      </w:r>
      <w:r w:rsidRPr="00283806">
        <w:rPr>
          <w:spacing w:val="-2"/>
          <w:w w:val="105"/>
        </w:rPr>
        <w:t>2023).</w:t>
      </w:r>
    </w:p>
    <w:p w14:paraId="51158E47" w14:textId="77777777" w:rsidR="00D67C1E" w:rsidRPr="00283806" w:rsidRDefault="001265CA">
      <w:pPr>
        <w:pStyle w:val="BodyText"/>
        <w:spacing w:line="225" w:lineRule="auto"/>
        <w:ind w:left="143" w:right="13" w:firstLine="180"/>
      </w:pPr>
      <w:r w:rsidRPr="00283806">
        <w:rPr>
          <w:w w:val="110"/>
        </w:rPr>
        <w:t xml:space="preserve">EPA notes that it is not finalizing the </w:t>
      </w:r>
      <w:r w:rsidRPr="00283806">
        <w:t>proposed</w:t>
      </w:r>
      <w:r w:rsidRPr="00283806">
        <w:rPr>
          <w:spacing w:val="40"/>
        </w:rPr>
        <w:t xml:space="preserve"> </w:t>
      </w:r>
      <w:r w:rsidRPr="00283806">
        <w:t>requirements</w:t>
      </w:r>
      <w:r w:rsidRPr="00283806">
        <w:rPr>
          <w:spacing w:val="40"/>
        </w:rPr>
        <w:t xml:space="preserve"> </w:t>
      </w:r>
      <w:r w:rsidRPr="00283806">
        <w:t>for</w:t>
      </w:r>
      <w:r w:rsidRPr="00283806">
        <w:rPr>
          <w:spacing w:val="40"/>
        </w:rPr>
        <w:t xml:space="preserve"> </w:t>
      </w:r>
      <w:r w:rsidRPr="00283806">
        <w:t>the</w:t>
      </w:r>
      <w:r w:rsidRPr="00283806">
        <w:rPr>
          <w:spacing w:val="40"/>
        </w:rPr>
        <w:t xml:space="preserve"> </w:t>
      </w:r>
      <w:r w:rsidRPr="00283806">
        <w:t>initial</w:t>
      </w:r>
      <w:r w:rsidRPr="00283806">
        <w:rPr>
          <w:spacing w:val="40"/>
        </w:rPr>
        <w:t xml:space="preserve"> </w:t>
      </w:r>
      <w:proofErr w:type="gramStart"/>
      <w:r w:rsidRPr="00283806">
        <w:t>fill</w:t>
      </w:r>
      <w:proofErr w:type="gramEnd"/>
      <w:r w:rsidRPr="00283806">
        <w:rPr>
          <w:spacing w:val="40"/>
        </w:rPr>
        <w:t xml:space="preserve"> </w:t>
      </w:r>
      <w:r w:rsidRPr="00283806">
        <w:t>of new refrigerant-containing equipment</w:t>
      </w:r>
      <w:r w:rsidRPr="00283806">
        <w:rPr>
          <w:w w:val="110"/>
        </w:rPr>
        <w:t xml:space="preserve"> with reclaimed HFCs in this</w:t>
      </w:r>
      <w:r w:rsidRPr="00283806">
        <w:rPr>
          <w:spacing w:val="40"/>
          <w:w w:val="110"/>
        </w:rPr>
        <w:t xml:space="preserve"> </w:t>
      </w:r>
      <w:r w:rsidRPr="00283806">
        <w:rPr>
          <w:w w:val="110"/>
        </w:rPr>
        <w:t xml:space="preserve">rulemaking, as discussed elsewhere in this section and in section IV.E of this preamble. Thus, to the extent these comments relate to those proposed requirements for initial </w:t>
      </w:r>
      <w:proofErr w:type="gramStart"/>
      <w:r w:rsidRPr="00283806">
        <w:rPr>
          <w:w w:val="110"/>
        </w:rPr>
        <w:t>fill</w:t>
      </w:r>
      <w:proofErr w:type="gramEnd"/>
      <w:r w:rsidRPr="00283806">
        <w:rPr>
          <w:w w:val="110"/>
        </w:rPr>
        <w:t xml:space="preserve"> of such equipment, EPA need not respond further to them in this action. EPA is requiring bona fide use for recovered HFCs that are used to meet the requirements established in this rule related to the provisions for reclaimed HFCs. Circumventing those</w:t>
      </w:r>
    </w:p>
    <w:p w14:paraId="43001548" w14:textId="77777777" w:rsidR="00D67C1E" w:rsidRPr="00283806" w:rsidRDefault="001265CA">
      <w:pPr>
        <w:pStyle w:val="BodyText"/>
        <w:spacing w:before="134" w:line="225" w:lineRule="auto"/>
        <w:ind w:left="146" w:right="161"/>
      </w:pPr>
      <w:r w:rsidRPr="00283806">
        <w:br w:type="column"/>
      </w:r>
      <w:proofErr w:type="gramStart"/>
      <w:r w:rsidRPr="00283806">
        <w:rPr>
          <w:w w:val="105"/>
        </w:rPr>
        <w:t>requirements</w:t>
      </w:r>
      <w:proofErr w:type="gramEnd"/>
      <w:r w:rsidRPr="00283806">
        <w:rPr>
          <w:w w:val="105"/>
        </w:rPr>
        <w:t xml:space="preserve"> by importing pre-charged equipment and recovering the</w:t>
      </w:r>
      <w:r w:rsidRPr="00283806">
        <w:rPr>
          <w:spacing w:val="40"/>
          <w:w w:val="105"/>
        </w:rPr>
        <w:t xml:space="preserve"> </w:t>
      </w:r>
      <w:r w:rsidRPr="00283806">
        <w:rPr>
          <w:w w:val="105"/>
        </w:rPr>
        <w:t>refrigerant without bona fide use would be inconsistent with the requirements of this final rule.</w:t>
      </w:r>
    </w:p>
    <w:p w14:paraId="753D3CAD" w14:textId="77777777" w:rsidR="00D67C1E" w:rsidRPr="00283806" w:rsidRDefault="001265CA">
      <w:pPr>
        <w:pStyle w:val="ListParagraph"/>
        <w:numPr>
          <w:ilvl w:val="0"/>
          <w:numId w:val="52"/>
        </w:numPr>
        <w:tabs>
          <w:tab w:val="left" w:pos="524"/>
        </w:tabs>
        <w:spacing w:line="178" w:lineRule="exact"/>
        <w:ind w:left="524" w:hanging="198"/>
        <w:jc w:val="left"/>
        <w:rPr>
          <w:sz w:val="18"/>
        </w:rPr>
      </w:pPr>
      <w:r w:rsidRPr="00283806">
        <w:rPr>
          <w:w w:val="105"/>
          <w:sz w:val="18"/>
        </w:rPr>
        <w:t>Requirements</w:t>
      </w:r>
      <w:r w:rsidRPr="00283806">
        <w:rPr>
          <w:spacing w:val="5"/>
          <w:w w:val="105"/>
          <w:sz w:val="18"/>
        </w:rPr>
        <w:t xml:space="preserve"> </w:t>
      </w:r>
      <w:r w:rsidRPr="00283806">
        <w:rPr>
          <w:w w:val="105"/>
          <w:sz w:val="18"/>
        </w:rPr>
        <w:t>for</w:t>
      </w:r>
      <w:r w:rsidRPr="00283806">
        <w:rPr>
          <w:spacing w:val="6"/>
          <w:w w:val="105"/>
          <w:sz w:val="18"/>
        </w:rPr>
        <w:t xml:space="preserve"> </w:t>
      </w:r>
      <w:r w:rsidRPr="00283806">
        <w:rPr>
          <w:w w:val="105"/>
          <w:sz w:val="18"/>
        </w:rPr>
        <w:t>servicing</w:t>
      </w:r>
      <w:r w:rsidRPr="00283806">
        <w:rPr>
          <w:spacing w:val="6"/>
          <w:w w:val="105"/>
          <w:sz w:val="18"/>
        </w:rPr>
        <w:t xml:space="preserve"> </w:t>
      </w:r>
      <w:r w:rsidRPr="00283806">
        <w:rPr>
          <w:spacing w:val="-2"/>
          <w:w w:val="105"/>
          <w:sz w:val="18"/>
        </w:rPr>
        <w:t>and/or</w:t>
      </w:r>
    </w:p>
    <w:p w14:paraId="494DAAAA" w14:textId="77777777" w:rsidR="00D67C1E" w:rsidRPr="00283806" w:rsidRDefault="001265CA">
      <w:pPr>
        <w:pStyle w:val="BodyText"/>
        <w:spacing w:before="4" w:line="225" w:lineRule="auto"/>
        <w:ind w:left="146" w:right="197"/>
      </w:pPr>
      <w:r w:rsidRPr="00283806">
        <w:rPr>
          <w:w w:val="105"/>
        </w:rPr>
        <w:t>repair of existing equipment in the RACHP sector EPA proposed that the servicing and/or repair of refrigerant- containing appliances in certain subsectors and applications in the</w:t>
      </w:r>
      <w:r w:rsidRPr="00283806">
        <w:rPr>
          <w:spacing w:val="40"/>
          <w:w w:val="105"/>
        </w:rPr>
        <w:t xml:space="preserve"> </w:t>
      </w:r>
      <w:r w:rsidRPr="00283806">
        <w:rPr>
          <w:w w:val="105"/>
        </w:rPr>
        <w:t>RACHP sector where HFCs (whether</w:t>
      </w:r>
      <w:r w:rsidRPr="00283806">
        <w:rPr>
          <w:spacing w:val="80"/>
          <w:w w:val="105"/>
        </w:rPr>
        <w:t xml:space="preserve"> </w:t>
      </w:r>
      <w:r w:rsidRPr="00283806">
        <w:rPr>
          <w:w w:val="105"/>
        </w:rPr>
        <w:t xml:space="preserve">neat or in a blend) are used would need to be done with reclaimed HFCs starting January 1, 2028. EPA proposed these requirements for refrigerant-containing appliances in the following RACHP </w:t>
      </w:r>
      <w:r w:rsidRPr="00283806">
        <w:rPr>
          <w:spacing w:val="-2"/>
          <w:w w:val="105"/>
        </w:rPr>
        <w:t>subsectors:</w:t>
      </w:r>
    </w:p>
    <w:p w14:paraId="4399124D" w14:textId="77777777" w:rsidR="00D67C1E" w:rsidRPr="00283806" w:rsidRDefault="001265CA">
      <w:pPr>
        <w:pStyle w:val="ListParagraph"/>
        <w:numPr>
          <w:ilvl w:val="1"/>
          <w:numId w:val="52"/>
        </w:numPr>
        <w:tabs>
          <w:tab w:val="left" w:pos="508"/>
        </w:tabs>
        <w:spacing w:line="176" w:lineRule="exact"/>
        <w:ind w:left="508" w:hanging="182"/>
        <w:rPr>
          <w:sz w:val="18"/>
        </w:rPr>
      </w:pPr>
      <w:r w:rsidRPr="00283806">
        <w:rPr>
          <w:w w:val="105"/>
          <w:sz w:val="18"/>
        </w:rPr>
        <w:t>Stand-alone</w:t>
      </w:r>
      <w:r w:rsidRPr="00283806">
        <w:rPr>
          <w:spacing w:val="14"/>
          <w:w w:val="105"/>
          <w:sz w:val="18"/>
        </w:rPr>
        <w:t xml:space="preserve"> </w:t>
      </w:r>
      <w:r w:rsidRPr="00283806">
        <w:rPr>
          <w:w w:val="105"/>
          <w:sz w:val="18"/>
        </w:rPr>
        <w:t>retail</w:t>
      </w:r>
      <w:r w:rsidRPr="00283806">
        <w:rPr>
          <w:spacing w:val="14"/>
          <w:w w:val="105"/>
          <w:sz w:val="18"/>
        </w:rPr>
        <w:t xml:space="preserve"> </w:t>
      </w:r>
      <w:r w:rsidRPr="00283806">
        <w:rPr>
          <w:spacing w:val="-4"/>
          <w:w w:val="105"/>
          <w:sz w:val="18"/>
        </w:rPr>
        <w:t>food</w:t>
      </w:r>
    </w:p>
    <w:p w14:paraId="625FE5F1" w14:textId="77777777" w:rsidR="00D67C1E" w:rsidRPr="00283806" w:rsidRDefault="001265CA">
      <w:pPr>
        <w:pStyle w:val="BodyText"/>
        <w:spacing w:line="186" w:lineRule="exact"/>
        <w:ind w:left="146"/>
      </w:pPr>
      <w:r w:rsidRPr="00283806">
        <w:rPr>
          <w:spacing w:val="-2"/>
          <w:w w:val="105"/>
        </w:rPr>
        <w:t>refrigeration;</w:t>
      </w:r>
    </w:p>
    <w:p w14:paraId="140543D1" w14:textId="77777777" w:rsidR="00D67C1E" w:rsidRPr="00283806" w:rsidRDefault="001265CA">
      <w:pPr>
        <w:pStyle w:val="ListParagraph"/>
        <w:numPr>
          <w:ilvl w:val="1"/>
          <w:numId w:val="52"/>
        </w:numPr>
        <w:tabs>
          <w:tab w:val="left" w:pos="508"/>
        </w:tabs>
        <w:spacing w:line="184" w:lineRule="exact"/>
        <w:ind w:left="508" w:hanging="182"/>
        <w:rPr>
          <w:sz w:val="18"/>
        </w:rPr>
      </w:pPr>
      <w:r w:rsidRPr="00283806">
        <w:rPr>
          <w:w w:val="105"/>
          <w:sz w:val="18"/>
        </w:rPr>
        <w:t>Supermarket</w:t>
      </w:r>
      <w:r w:rsidRPr="00283806">
        <w:rPr>
          <w:spacing w:val="7"/>
          <w:w w:val="105"/>
          <w:sz w:val="18"/>
        </w:rPr>
        <w:t xml:space="preserve"> </w:t>
      </w:r>
      <w:r w:rsidRPr="00283806">
        <w:rPr>
          <w:spacing w:val="-2"/>
          <w:w w:val="105"/>
          <w:sz w:val="18"/>
        </w:rPr>
        <w:t>systems;</w:t>
      </w:r>
    </w:p>
    <w:p w14:paraId="290766AB" w14:textId="77777777" w:rsidR="00D67C1E" w:rsidRPr="00283806" w:rsidRDefault="001265CA">
      <w:pPr>
        <w:pStyle w:val="ListParagraph"/>
        <w:numPr>
          <w:ilvl w:val="1"/>
          <w:numId w:val="52"/>
        </w:numPr>
        <w:tabs>
          <w:tab w:val="left" w:pos="508"/>
        </w:tabs>
        <w:spacing w:line="184" w:lineRule="exact"/>
        <w:ind w:left="508" w:hanging="182"/>
        <w:rPr>
          <w:sz w:val="18"/>
        </w:rPr>
      </w:pPr>
      <w:r w:rsidRPr="00283806">
        <w:rPr>
          <w:sz w:val="18"/>
        </w:rPr>
        <w:t>Refrigerated</w:t>
      </w:r>
      <w:r w:rsidRPr="00283806">
        <w:rPr>
          <w:spacing w:val="31"/>
          <w:sz w:val="18"/>
        </w:rPr>
        <w:t xml:space="preserve"> </w:t>
      </w:r>
      <w:r w:rsidRPr="00283806">
        <w:rPr>
          <w:sz w:val="18"/>
        </w:rPr>
        <w:t>transport;</w:t>
      </w:r>
      <w:r w:rsidRPr="00283806">
        <w:rPr>
          <w:spacing w:val="31"/>
          <w:sz w:val="18"/>
        </w:rPr>
        <w:t xml:space="preserve"> </w:t>
      </w:r>
      <w:r w:rsidRPr="00283806">
        <w:rPr>
          <w:spacing w:val="-5"/>
          <w:sz w:val="18"/>
        </w:rPr>
        <w:t>and</w:t>
      </w:r>
    </w:p>
    <w:p w14:paraId="1BFA7B60" w14:textId="77777777" w:rsidR="00D67C1E" w:rsidRPr="00283806" w:rsidRDefault="001265CA">
      <w:pPr>
        <w:pStyle w:val="ListParagraph"/>
        <w:numPr>
          <w:ilvl w:val="1"/>
          <w:numId w:val="52"/>
        </w:numPr>
        <w:tabs>
          <w:tab w:val="left" w:pos="508"/>
        </w:tabs>
        <w:spacing w:line="218" w:lineRule="auto"/>
        <w:ind w:right="221" w:firstLine="180"/>
        <w:jc w:val="right"/>
        <w:rPr>
          <w:sz w:val="18"/>
        </w:rPr>
      </w:pPr>
      <w:r w:rsidRPr="00283806">
        <w:rPr>
          <w:w w:val="110"/>
          <w:sz w:val="18"/>
        </w:rPr>
        <w:t>Automatic</w:t>
      </w:r>
      <w:r w:rsidRPr="00283806">
        <w:rPr>
          <w:spacing w:val="-11"/>
          <w:w w:val="110"/>
          <w:sz w:val="18"/>
        </w:rPr>
        <w:t xml:space="preserve"> </w:t>
      </w:r>
      <w:r w:rsidRPr="00283806">
        <w:rPr>
          <w:w w:val="110"/>
          <w:sz w:val="18"/>
        </w:rPr>
        <w:t>commercial</w:t>
      </w:r>
      <w:r w:rsidRPr="00283806">
        <w:rPr>
          <w:spacing w:val="-11"/>
          <w:w w:val="110"/>
          <w:sz w:val="18"/>
        </w:rPr>
        <w:t xml:space="preserve"> </w:t>
      </w:r>
      <w:r w:rsidRPr="00283806">
        <w:rPr>
          <w:w w:val="110"/>
          <w:sz w:val="18"/>
        </w:rPr>
        <w:t>ice</w:t>
      </w:r>
      <w:r w:rsidRPr="00283806">
        <w:rPr>
          <w:spacing w:val="-11"/>
          <w:w w:val="110"/>
          <w:sz w:val="18"/>
        </w:rPr>
        <w:t xml:space="preserve"> </w:t>
      </w:r>
      <w:r w:rsidRPr="00283806">
        <w:rPr>
          <w:w w:val="110"/>
          <w:sz w:val="18"/>
        </w:rPr>
        <w:t xml:space="preserve">makers. EPA is finalizing this provision with </w:t>
      </w:r>
      <w:r w:rsidRPr="00283806">
        <w:rPr>
          <w:sz w:val="18"/>
        </w:rPr>
        <w:t>modifications</w:t>
      </w:r>
      <w:r w:rsidRPr="00283806">
        <w:rPr>
          <w:spacing w:val="49"/>
          <w:sz w:val="18"/>
        </w:rPr>
        <w:t xml:space="preserve"> </w:t>
      </w:r>
      <w:r w:rsidRPr="00283806">
        <w:rPr>
          <w:sz w:val="18"/>
        </w:rPr>
        <w:t>after</w:t>
      </w:r>
      <w:r w:rsidRPr="00283806">
        <w:rPr>
          <w:spacing w:val="49"/>
          <w:sz w:val="18"/>
        </w:rPr>
        <w:t xml:space="preserve"> </w:t>
      </w:r>
      <w:r w:rsidRPr="00283806">
        <w:rPr>
          <w:sz w:val="18"/>
        </w:rPr>
        <w:t>consideration</w:t>
      </w:r>
      <w:r w:rsidRPr="00283806">
        <w:rPr>
          <w:spacing w:val="49"/>
          <w:sz w:val="18"/>
        </w:rPr>
        <w:t xml:space="preserve"> </w:t>
      </w:r>
      <w:r w:rsidRPr="00283806">
        <w:rPr>
          <w:sz w:val="18"/>
        </w:rPr>
        <w:t>of</w:t>
      </w:r>
      <w:r w:rsidRPr="00283806">
        <w:rPr>
          <w:spacing w:val="49"/>
          <w:sz w:val="18"/>
        </w:rPr>
        <w:t xml:space="preserve"> </w:t>
      </w:r>
      <w:r w:rsidRPr="00283806">
        <w:rPr>
          <w:spacing w:val="-5"/>
          <w:sz w:val="18"/>
        </w:rPr>
        <w:t>the</w:t>
      </w:r>
    </w:p>
    <w:p w14:paraId="735BCFC3" w14:textId="77777777" w:rsidR="00D67C1E" w:rsidRPr="00283806" w:rsidRDefault="001265CA">
      <w:pPr>
        <w:pStyle w:val="BodyText"/>
        <w:spacing w:line="228" w:lineRule="auto"/>
        <w:ind w:left="146" w:right="197"/>
      </w:pPr>
      <w:r w:rsidRPr="00283806">
        <w:rPr>
          <w:w w:val="105"/>
        </w:rPr>
        <w:t xml:space="preserve">comments. EPA is </w:t>
      </w:r>
      <w:proofErr w:type="gramStart"/>
      <w:r w:rsidRPr="00283806">
        <w:rPr>
          <w:w w:val="105"/>
        </w:rPr>
        <w:t>requiring</w:t>
      </w:r>
      <w:proofErr w:type="gramEnd"/>
      <w:r w:rsidRPr="00283806">
        <w:rPr>
          <w:w w:val="105"/>
        </w:rPr>
        <w:t xml:space="preserve"> that the servicing and/or repair of refrigerant- containing appliances in certain subsectors and applications in the RACHP sector where HFCs (whether</w:t>
      </w:r>
      <w:r w:rsidRPr="00283806">
        <w:rPr>
          <w:spacing w:val="40"/>
          <w:w w:val="105"/>
        </w:rPr>
        <w:t xml:space="preserve"> </w:t>
      </w:r>
      <w:r w:rsidRPr="00283806">
        <w:rPr>
          <w:w w:val="105"/>
        </w:rPr>
        <w:t xml:space="preserve">neat or in a blend) be done with reclaimed HFCs starting on January 1, 2029, one year later than the proposed date of January 1, 2028. Further, EPA is finalizing the requirement for </w:t>
      </w:r>
      <w:proofErr w:type="gramStart"/>
      <w:r w:rsidRPr="00283806">
        <w:rPr>
          <w:w w:val="105"/>
        </w:rPr>
        <w:t>the servicing and/or</w:t>
      </w:r>
      <w:proofErr w:type="gramEnd"/>
      <w:r w:rsidRPr="00283806">
        <w:rPr>
          <w:w w:val="105"/>
        </w:rPr>
        <w:t xml:space="preserve"> repair of refrigerant- containing equipment to be done with reclaimed HFCs for some (but not all) of the subsectors addressed in the</w:t>
      </w:r>
      <w:r w:rsidRPr="00283806">
        <w:rPr>
          <w:spacing w:val="40"/>
          <w:w w:val="105"/>
        </w:rPr>
        <w:t xml:space="preserve"> </w:t>
      </w:r>
      <w:r w:rsidRPr="00283806">
        <w:rPr>
          <w:w w:val="105"/>
        </w:rPr>
        <w:t>proposal. EPA is not finalizing this requirement for stand-alone retail food refrigeration but is establishing the requirement for refrigerant-containing equipment in the supermarket systems, refrigerated transport, and automatic commercial ice maker subsectors.</w:t>
      </w:r>
    </w:p>
    <w:p w14:paraId="243E6D65" w14:textId="77777777" w:rsidR="00D67C1E" w:rsidRPr="00283806" w:rsidRDefault="001265CA">
      <w:pPr>
        <w:pStyle w:val="BodyText"/>
        <w:spacing w:line="161" w:lineRule="exact"/>
        <w:ind w:left="326"/>
      </w:pPr>
      <w:r w:rsidRPr="00283806">
        <w:rPr>
          <w:w w:val="110"/>
        </w:rPr>
        <w:t>As</w:t>
      </w:r>
      <w:r w:rsidRPr="00283806">
        <w:rPr>
          <w:spacing w:val="3"/>
          <w:w w:val="110"/>
        </w:rPr>
        <w:t xml:space="preserve"> </w:t>
      </w:r>
      <w:r w:rsidRPr="00283806">
        <w:rPr>
          <w:w w:val="110"/>
        </w:rPr>
        <w:t>noted</w:t>
      </w:r>
      <w:r w:rsidRPr="00283806">
        <w:rPr>
          <w:spacing w:val="4"/>
          <w:w w:val="110"/>
        </w:rPr>
        <w:t xml:space="preserve"> </w:t>
      </w:r>
      <w:r w:rsidRPr="00283806">
        <w:rPr>
          <w:w w:val="110"/>
        </w:rPr>
        <w:t>in</w:t>
      </w:r>
      <w:r w:rsidRPr="00283806">
        <w:rPr>
          <w:spacing w:val="4"/>
          <w:w w:val="110"/>
        </w:rPr>
        <w:t xml:space="preserve"> </w:t>
      </w:r>
      <w:r w:rsidRPr="00283806">
        <w:rPr>
          <w:w w:val="110"/>
        </w:rPr>
        <w:t>section</w:t>
      </w:r>
      <w:r w:rsidRPr="00283806">
        <w:rPr>
          <w:spacing w:val="3"/>
          <w:w w:val="110"/>
        </w:rPr>
        <w:t xml:space="preserve"> </w:t>
      </w:r>
      <w:r w:rsidRPr="00283806">
        <w:rPr>
          <w:w w:val="110"/>
        </w:rPr>
        <w:t>I.B,</w:t>
      </w:r>
      <w:r w:rsidRPr="00283806">
        <w:rPr>
          <w:spacing w:val="4"/>
          <w:w w:val="110"/>
        </w:rPr>
        <w:t xml:space="preserve"> </w:t>
      </w:r>
      <w:r w:rsidRPr="00283806">
        <w:rPr>
          <w:w w:val="110"/>
        </w:rPr>
        <w:t>EPA</w:t>
      </w:r>
      <w:r w:rsidRPr="00283806">
        <w:rPr>
          <w:spacing w:val="4"/>
          <w:w w:val="110"/>
        </w:rPr>
        <w:t xml:space="preserve"> </w:t>
      </w:r>
      <w:r w:rsidRPr="00283806">
        <w:rPr>
          <w:w w:val="110"/>
        </w:rPr>
        <w:t>is</w:t>
      </w:r>
      <w:r w:rsidRPr="00283806">
        <w:rPr>
          <w:spacing w:val="3"/>
          <w:w w:val="110"/>
        </w:rPr>
        <w:t xml:space="preserve"> </w:t>
      </w:r>
      <w:r w:rsidRPr="00283806">
        <w:rPr>
          <w:spacing w:val="-5"/>
          <w:w w:val="110"/>
        </w:rPr>
        <w:t>not</w:t>
      </w:r>
    </w:p>
    <w:p w14:paraId="09F7716B" w14:textId="77777777" w:rsidR="00D67C1E" w:rsidRPr="00283806" w:rsidRDefault="001265CA">
      <w:pPr>
        <w:pStyle w:val="BodyText"/>
        <w:spacing w:line="228" w:lineRule="auto"/>
        <w:ind w:left="146" w:right="193"/>
      </w:pPr>
      <w:r w:rsidRPr="00283806">
        <w:rPr>
          <w:w w:val="105"/>
        </w:rPr>
        <w:t>finalizing as part of this action the proposed provisions for container tracking of HFCs that could be used in</w:t>
      </w:r>
      <w:r w:rsidRPr="00283806">
        <w:rPr>
          <w:spacing w:val="40"/>
          <w:w w:val="105"/>
        </w:rPr>
        <w:t xml:space="preserve"> </w:t>
      </w:r>
      <w:r w:rsidRPr="00283806">
        <w:rPr>
          <w:w w:val="105"/>
        </w:rPr>
        <w:t>the servicing, repair, and/or installation of refrigerant-containing or fire suppression equipment. However, EPA</w:t>
      </w:r>
      <w:r w:rsidRPr="00283806">
        <w:rPr>
          <w:spacing w:val="80"/>
          <w:w w:val="105"/>
        </w:rPr>
        <w:t xml:space="preserve"> </w:t>
      </w:r>
      <w:r w:rsidRPr="00283806">
        <w:rPr>
          <w:w w:val="105"/>
        </w:rPr>
        <w:t>is establishing a discrete reporting requirement for reclaimers and refrigerant distributors that supply reclaimed HFCs in the affected RACHP subsectors (</w:t>
      </w:r>
      <w:r w:rsidRPr="00283806">
        <w:rPr>
          <w:rFonts w:ascii="Book Antiqua"/>
          <w:i/>
          <w:w w:val="105"/>
        </w:rPr>
        <w:t xml:space="preserve">i.e., </w:t>
      </w:r>
      <w:r w:rsidRPr="00283806">
        <w:rPr>
          <w:w w:val="105"/>
        </w:rPr>
        <w:t>supermarket systems, refrigerated transport, and automatic commercial</w:t>
      </w:r>
      <w:r w:rsidRPr="00283806">
        <w:rPr>
          <w:spacing w:val="40"/>
          <w:w w:val="105"/>
        </w:rPr>
        <w:t xml:space="preserve"> </w:t>
      </w:r>
      <w:r w:rsidRPr="00283806">
        <w:rPr>
          <w:w w:val="105"/>
        </w:rPr>
        <w:t>ice</w:t>
      </w:r>
      <w:r w:rsidRPr="00283806">
        <w:rPr>
          <w:spacing w:val="40"/>
          <w:w w:val="105"/>
        </w:rPr>
        <w:t xml:space="preserve"> </w:t>
      </w:r>
      <w:r w:rsidRPr="00283806">
        <w:rPr>
          <w:w w:val="105"/>
        </w:rPr>
        <w:t>makers).</w:t>
      </w:r>
      <w:r w:rsidRPr="00283806">
        <w:rPr>
          <w:spacing w:val="40"/>
          <w:w w:val="105"/>
        </w:rPr>
        <w:t xml:space="preserve"> </w:t>
      </w:r>
      <w:r w:rsidRPr="00283806">
        <w:rPr>
          <w:w w:val="105"/>
        </w:rPr>
        <w:t>EPA</w:t>
      </w:r>
      <w:r w:rsidRPr="00283806">
        <w:rPr>
          <w:spacing w:val="40"/>
          <w:w w:val="105"/>
        </w:rPr>
        <w:t xml:space="preserve"> </w:t>
      </w:r>
      <w:r w:rsidRPr="00283806">
        <w:rPr>
          <w:w w:val="105"/>
        </w:rPr>
        <w:t xml:space="preserve">is planning to use </w:t>
      </w:r>
      <w:proofErr w:type="gramStart"/>
      <w:r w:rsidRPr="00283806">
        <w:rPr>
          <w:w w:val="105"/>
        </w:rPr>
        <w:t>these</w:t>
      </w:r>
      <w:proofErr w:type="gramEnd"/>
      <w:r w:rsidRPr="00283806">
        <w:rPr>
          <w:w w:val="105"/>
        </w:rPr>
        <w:t xml:space="preserve"> data to monitor progress on the amount of reclaimed HFCs available for use in these</w:t>
      </w:r>
      <w:r w:rsidRPr="00283806">
        <w:rPr>
          <w:spacing w:val="40"/>
          <w:w w:val="105"/>
        </w:rPr>
        <w:t xml:space="preserve"> </w:t>
      </w:r>
      <w:r w:rsidRPr="00283806">
        <w:rPr>
          <w:w w:val="105"/>
        </w:rPr>
        <w:t>subsectors ahead of the compliance date for the requirements for the servicing and/or repair of refrigerant-containing equipment with reclaimed HFCs in the covered RACHP subsectors. EPA is establishing this requirement in</w:t>
      </w:r>
    </w:p>
    <w:p w14:paraId="74C6D269"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7" w:space="40"/>
            <w:col w:w="3497" w:space="39"/>
            <w:col w:w="3627"/>
          </w:cols>
        </w:sectPr>
      </w:pPr>
    </w:p>
    <w:p w14:paraId="0A82FD5C" w14:textId="77777777" w:rsidR="00D67C1E" w:rsidRPr="00283806" w:rsidRDefault="001265CA">
      <w:pPr>
        <w:pStyle w:val="BodyText"/>
        <w:spacing w:before="136" w:line="225" w:lineRule="auto"/>
        <w:ind w:left="159" w:right="12"/>
      </w:pPr>
      <w:r w:rsidRPr="00283806">
        <w:rPr>
          <w:w w:val="105"/>
        </w:rPr>
        <w:lastRenderedPageBreak/>
        <w:t>response to, and based on consideration of, comments</w:t>
      </w:r>
      <w:r w:rsidRPr="00283806">
        <w:rPr>
          <w:spacing w:val="-3"/>
          <w:w w:val="105"/>
        </w:rPr>
        <w:t xml:space="preserve"> </w:t>
      </w:r>
      <w:r w:rsidRPr="00283806">
        <w:rPr>
          <w:w w:val="105"/>
          <w:position w:val="5"/>
          <w:sz w:val="11"/>
        </w:rPr>
        <w:t>97</w:t>
      </w:r>
      <w:r w:rsidRPr="00283806">
        <w:rPr>
          <w:spacing w:val="38"/>
          <w:w w:val="105"/>
          <w:position w:val="5"/>
          <w:sz w:val="11"/>
        </w:rPr>
        <w:t xml:space="preserve"> </w:t>
      </w:r>
      <w:r w:rsidRPr="00283806">
        <w:rPr>
          <w:w w:val="105"/>
        </w:rPr>
        <w:t>seeking assessment and data associated with reclaim use and availability. EPA is establishing a</w:t>
      </w:r>
      <w:r w:rsidRPr="00283806">
        <w:rPr>
          <w:spacing w:val="80"/>
          <w:w w:val="105"/>
        </w:rPr>
        <w:t xml:space="preserve"> </w:t>
      </w:r>
      <w:r w:rsidRPr="00283806">
        <w:rPr>
          <w:w w:val="105"/>
        </w:rPr>
        <w:t>discrete reporting requirement for these entities to provide this information to EPA, so that EPA can further evaluate</w:t>
      </w:r>
      <w:r w:rsidRPr="00283806">
        <w:rPr>
          <w:spacing w:val="80"/>
          <w:w w:val="150"/>
        </w:rPr>
        <w:t xml:space="preserve"> </w:t>
      </w:r>
      <w:r w:rsidRPr="00283806">
        <w:rPr>
          <w:w w:val="105"/>
        </w:rPr>
        <w:t>the availability of reclaimed HFCs intended for servicing and/or repair of equipment in these subsectors. The reporting requirement will require two annual</w:t>
      </w:r>
      <w:r w:rsidRPr="00283806">
        <w:rPr>
          <w:spacing w:val="37"/>
          <w:w w:val="105"/>
        </w:rPr>
        <w:t xml:space="preserve"> </w:t>
      </w:r>
      <w:r w:rsidRPr="00283806">
        <w:rPr>
          <w:w w:val="105"/>
        </w:rPr>
        <w:t>reports</w:t>
      </w:r>
      <w:r w:rsidRPr="00283806">
        <w:rPr>
          <w:spacing w:val="37"/>
          <w:w w:val="105"/>
        </w:rPr>
        <w:t xml:space="preserve"> </w:t>
      </w:r>
      <w:r w:rsidRPr="00283806">
        <w:rPr>
          <w:w w:val="105"/>
        </w:rPr>
        <w:t>(</w:t>
      </w:r>
      <w:r w:rsidRPr="00283806">
        <w:rPr>
          <w:rFonts w:ascii="Book Antiqua"/>
          <w:i/>
          <w:w w:val="105"/>
        </w:rPr>
        <w:t xml:space="preserve">i.e., </w:t>
      </w:r>
      <w:r w:rsidRPr="00283806">
        <w:rPr>
          <w:w w:val="105"/>
        </w:rPr>
        <w:t>one</w:t>
      </w:r>
      <w:r w:rsidRPr="00283806">
        <w:rPr>
          <w:spacing w:val="37"/>
          <w:w w:val="105"/>
        </w:rPr>
        <w:t xml:space="preserve"> </w:t>
      </w:r>
      <w:r w:rsidRPr="00283806">
        <w:rPr>
          <w:w w:val="105"/>
        </w:rPr>
        <w:t>report</w:t>
      </w:r>
      <w:r w:rsidRPr="00283806">
        <w:rPr>
          <w:spacing w:val="37"/>
          <w:w w:val="105"/>
        </w:rPr>
        <w:t xml:space="preserve"> </w:t>
      </w:r>
      <w:r w:rsidRPr="00283806">
        <w:rPr>
          <w:w w:val="105"/>
        </w:rPr>
        <w:t>in</w:t>
      </w:r>
      <w:r w:rsidRPr="00283806">
        <w:rPr>
          <w:spacing w:val="37"/>
          <w:w w:val="105"/>
        </w:rPr>
        <w:t xml:space="preserve"> </w:t>
      </w:r>
      <w:r w:rsidRPr="00283806">
        <w:rPr>
          <w:w w:val="105"/>
        </w:rPr>
        <w:t xml:space="preserve">each of two years) to be submitted to the Agency, which includes information on the reclaimed HFC refrigerants sold or distributed to equipment owners and operators. Each annual report must be submitted by February 14 of the year following the reporting period and include information on the amounts and types of reclaimed HFCs intended for servicing and/or repair of </w:t>
      </w:r>
      <w:proofErr w:type="gramStart"/>
      <w:r w:rsidRPr="00283806">
        <w:rPr>
          <w:w w:val="105"/>
        </w:rPr>
        <w:t>equipment</w:t>
      </w:r>
      <w:r w:rsidRPr="00283806">
        <w:rPr>
          <w:spacing w:val="40"/>
          <w:w w:val="105"/>
        </w:rPr>
        <w:t xml:space="preserve"> </w:t>
      </w:r>
      <w:r w:rsidRPr="00283806">
        <w:rPr>
          <w:w w:val="105"/>
        </w:rPr>
        <w:t>and</w:t>
      </w:r>
      <w:proofErr w:type="gramEnd"/>
      <w:r w:rsidRPr="00283806">
        <w:rPr>
          <w:w w:val="105"/>
        </w:rPr>
        <w:t xml:space="preserve"> sold in the covered subsectors over the preceding calendar year. The first report is due on February 14, 2027, and covers activity from January 1, 2026, to December 31, 2026; the second report is due on February 14, 2028, and covers activity from January 1, 2027, to</w:t>
      </w:r>
    </w:p>
    <w:p w14:paraId="5E3E6599" w14:textId="77777777" w:rsidR="00D67C1E" w:rsidRPr="00283806" w:rsidRDefault="001265CA">
      <w:pPr>
        <w:pStyle w:val="BodyText"/>
        <w:spacing w:line="179" w:lineRule="exact"/>
        <w:ind w:left="159"/>
      </w:pPr>
      <w:r w:rsidRPr="00283806">
        <w:rPr>
          <w:w w:val="105"/>
        </w:rPr>
        <w:t>December</w:t>
      </w:r>
      <w:r w:rsidRPr="00283806">
        <w:rPr>
          <w:spacing w:val="11"/>
          <w:w w:val="105"/>
        </w:rPr>
        <w:t xml:space="preserve"> </w:t>
      </w:r>
      <w:r w:rsidRPr="00283806">
        <w:rPr>
          <w:w w:val="105"/>
        </w:rPr>
        <w:t>31,</w:t>
      </w:r>
      <w:r w:rsidRPr="00283806">
        <w:rPr>
          <w:spacing w:val="11"/>
          <w:w w:val="105"/>
        </w:rPr>
        <w:t xml:space="preserve"> </w:t>
      </w:r>
      <w:r w:rsidRPr="00283806">
        <w:rPr>
          <w:w w:val="105"/>
        </w:rPr>
        <w:t>2027.</w:t>
      </w:r>
      <w:r w:rsidRPr="00283806">
        <w:rPr>
          <w:spacing w:val="11"/>
          <w:w w:val="105"/>
        </w:rPr>
        <w:t xml:space="preserve"> </w:t>
      </w:r>
      <w:r w:rsidRPr="00283806">
        <w:rPr>
          <w:w w:val="105"/>
        </w:rPr>
        <w:t>The</w:t>
      </w:r>
      <w:r w:rsidRPr="00283806">
        <w:rPr>
          <w:spacing w:val="11"/>
          <w:w w:val="105"/>
        </w:rPr>
        <w:t xml:space="preserve"> </w:t>
      </w:r>
      <w:r w:rsidRPr="00283806">
        <w:rPr>
          <w:w w:val="105"/>
        </w:rPr>
        <w:t>Agency</w:t>
      </w:r>
      <w:r w:rsidRPr="00283806">
        <w:rPr>
          <w:spacing w:val="11"/>
          <w:w w:val="105"/>
        </w:rPr>
        <w:t xml:space="preserve"> </w:t>
      </w:r>
      <w:r w:rsidRPr="00283806">
        <w:rPr>
          <w:spacing w:val="-2"/>
          <w:w w:val="105"/>
        </w:rPr>
        <w:t>notes</w:t>
      </w:r>
    </w:p>
    <w:p w14:paraId="1ACC7ABF" w14:textId="77777777" w:rsidR="00D67C1E" w:rsidRPr="00283806" w:rsidRDefault="001265CA">
      <w:pPr>
        <w:pStyle w:val="BodyText"/>
        <w:spacing w:before="3" w:line="228" w:lineRule="auto"/>
        <w:ind w:left="159" w:right="2"/>
      </w:pPr>
      <w:r w:rsidRPr="00283806">
        <w:rPr>
          <w:w w:val="105"/>
        </w:rPr>
        <w:t>that these compliance dates coordinate with the labeling requirements being established in this rulemaking, such that refrigerant distributors would know which containers contain refrigerants with</w:t>
      </w:r>
      <w:r w:rsidRPr="00283806">
        <w:rPr>
          <w:spacing w:val="40"/>
          <w:w w:val="105"/>
        </w:rPr>
        <w:t xml:space="preserve"> </w:t>
      </w:r>
      <w:r w:rsidRPr="00283806">
        <w:rPr>
          <w:w w:val="105"/>
        </w:rPr>
        <w:t>reclaimed</w:t>
      </w:r>
      <w:r w:rsidRPr="00283806">
        <w:rPr>
          <w:spacing w:val="40"/>
          <w:w w:val="105"/>
        </w:rPr>
        <w:t xml:space="preserve"> </w:t>
      </w:r>
      <w:r w:rsidRPr="00283806">
        <w:rPr>
          <w:w w:val="105"/>
        </w:rPr>
        <w:t>HFCs.</w:t>
      </w:r>
      <w:r w:rsidRPr="00283806">
        <w:rPr>
          <w:spacing w:val="40"/>
          <w:w w:val="105"/>
        </w:rPr>
        <w:t xml:space="preserve"> </w:t>
      </w:r>
      <w:r w:rsidRPr="00283806">
        <w:rPr>
          <w:w w:val="105"/>
        </w:rPr>
        <w:t>EPA</w:t>
      </w:r>
      <w:r w:rsidRPr="00283806">
        <w:rPr>
          <w:spacing w:val="40"/>
          <w:w w:val="105"/>
        </w:rPr>
        <w:t xml:space="preserve"> </w:t>
      </w:r>
      <w:r w:rsidRPr="00283806">
        <w:rPr>
          <w:w w:val="105"/>
        </w:rPr>
        <w:t>intends</w:t>
      </w:r>
      <w:r w:rsidRPr="00283806">
        <w:rPr>
          <w:spacing w:val="40"/>
          <w:w w:val="105"/>
        </w:rPr>
        <w:t xml:space="preserve"> </w:t>
      </w:r>
      <w:r w:rsidRPr="00283806">
        <w:rPr>
          <w:w w:val="105"/>
        </w:rPr>
        <w:t>to use this information to further evaluate the ability to comply with the requirements for the servicing and/or repair of refrigerant-containing equipment</w:t>
      </w:r>
      <w:r w:rsidRPr="00283806">
        <w:rPr>
          <w:spacing w:val="40"/>
          <w:w w:val="105"/>
        </w:rPr>
        <w:t xml:space="preserve"> </w:t>
      </w:r>
      <w:r w:rsidRPr="00283806">
        <w:rPr>
          <w:w w:val="105"/>
        </w:rPr>
        <w:t>with</w:t>
      </w:r>
      <w:r w:rsidRPr="00283806">
        <w:rPr>
          <w:spacing w:val="40"/>
          <w:w w:val="105"/>
        </w:rPr>
        <w:t xml:space="preserve"> </w:t>
      </w:r>
      <w:r w:rsidRPr="00283806">
        <w:rPr>
          <w:w w:val="105"/>
        </w:rPr>
        <w:t>reclaimed</w:t>
      </w:r>
      <w:r w:rsidRPr="00283806">
        <w:rPr>
          <w:spacing w:val="40"/>
          <w:w w:val="105"/>
        </w:rPr>
        <w:t xml:space="preserve"> </w:t>
      </w:r>
      <w:r w:rsidRPr="00283806">
        <w:rPr>
          <w:w w:val="105"/>
        </w:rPr>
        <w:t>HFCs</w:t>
      </w:r>
      <w:r w:rsidRPr="00283806">
        <w:rPr>
          <w:spacing w:val="40"/>
          <w:w w:val="105"/>
        </w:rPr>
        <w:t xml:space="preserve"> </w:t>
      </w:r>
      <w:r w:rsidRPr="00283806">
        <w:rPr>
          <w:w w:val="105"/>
        </w:rPr>
        <w:t>in these subsectors as established in this rulemaking. Further, the two-time reporting will allow EPA to assess the one-year trend in availability of</w:t>
      </w:r>
      <w:r w:rsidRPr="00283806">
        <w:rPr>
          <w:spacing w:val="40"/>
          <w:w w:val="105"/>
        </w:rPr>
        <w:t xml:space="preserve"> </w:t>
      </w:r>
      <w:r w:rsidRPr="00283806">
        <w:rPr>
          <w:w w:val="105"/>
        </w:rPr>
        <w:t>reclaimed HFCs for use in the servicing and repair of refrigerant-containing equipment in the covered subsectors.</w:t>
      </w:r>
    </w:p>
    <w:p w14:paraId="318DB4E6" w14:textId="77777777" w:rsidR="00D67C1E" w:rsidRPr="00283806" w:rsidRDefault="001265CA">
      <w:pPr>
        <w:pStyle w:val="BodyText"/>
        <w:spacing w:line="228" w:lineRule="auto"/>
        <w:ind w:left="159" w:right="74"/>
      </w:pPr>
      <w:r w:rsidRPr="00283806">
        <w:rPr>
          <w:w w:val="105"/>
        </w:rPr>
        <w:t>EPA will review this information and may consider proposing changes to the provisions, if warranted.</w:t>
      </w:r>
    </w:p>
    <w:p w14:paraId="2461A849" w14:textId="77777777" w:rsidR="00D67C1E" w:rsidRPr="00283806" w:rsidRDefault="001265CA">
      <w:pPr>
        <w:pStyle w:val="BodyText"/>
        <w:spacing w:line="179" w:lineRule="exact"/>
        <w:ind w:left="339"/>
      </w:pPr>
      <w:r w:rsidRPr="00283806">
        <w:rPr>
          <w:w w:val="105"/>
        </w:rPr>
        <w:t>EPA</w:t>
      </w:r>
      <w:r w:rsidRPr="00283806">
        <w:rPr>
          <w:spacing w:val="10"/>
          <w:w w:val="105"/>
        </w:rPr>
        <w:t xml:space="preserve"> </w:t>
      </w:r>
      <w:r w:rsidRPr="00283806">
        <w:rPr>
          <w:w w:val="105"/>
        </w:rPr>
        <w:t>notes</w:t>
      </w:r>
      <w:r w:rsidRPr="00283806">
        <w:rPr>
          <w:spacing w:val="10"/>
          <w:w w:val="105"/>
        </w:rPr>
        <w:t xml:space="preserve"> </w:t>
      </w:r>
      <w:r w:rsidRPr="00283806">
        <w:rPr>
          <w:w w:val="105"/>
        </w:rPr>
        <w:t>that</w:t>
      </w:r>
      <w:r w:rsidRPr="00283806">
        <w:rPr>
          <w:spacing w:val="10"/>
          <w:w w:val="105"/>
        </w:rPr>
        <w:t xml:space="preserve"> </w:t>
      </w:r>
      <w:r w:rsidRPr="00283806">
        <w:rPr>
          <w:w w:val="105"/>
        </w:rPr>
        <w:t>the</w:t>
      </w:r>
      <w:r w:rsidRPr="00283806">
        <w:rPr>
          <w:spacing w:val="10"/>
          <w:w w:val="105"/>
        </w:rPr>
        <w:t xml:space="preserve"> </w:t>
      </w:r>
      <w:r w:rsidRPr="00283806">
        <w:rPr>
          <w:spacing w:val="-2"/>
          <w:w w:val="105"/>
        </w:rPr>
        <w:t>reporting</w:t>
      </w:r>
    </w:p>
    <w:p w14:paraId="5181ABFF" w14:textId="77777777" w:rsidR="00D67C1E" w:rsidRPr="00283806" w:rsidRDefault="001265CA">
      <w:pPr>
        <w:pStyle w:val="BodyText"/>
        <w:spacing w:line="228" w:lineRule="auto"/>
        <w:ind w:left="159" w:right="13"/>
      </w:pPr>
      <w:r w:rsidRPr="00283806">
        <w:rPr>
          <w:w w:val="105"/>
        </w:rPr>
        <w:t xml:space="preserve">requirements here contain certain data elements that are </w:t>
      </w:r>
      <w:proofErr w:type="gramStart"/>
      <w:r w:rsidRPr="00283806">
        <w:rPr>
          <w:w w:val="105"/>
        </w:rPr>
        <w:t>similar to</w:t>
      </w:r>
      <w:proofErr w:type="gramEnd"/>
      <w:r w:rsidRPr="00283806">
        <w:rPr>
          <w:w w:val="105"/>
        </w:rPr>
        <w:t xml:space="preserve"> data</w:t>
      </w:r>
      <w:r w:rsidRPr="00283806">
        <w:rPr>
          <w:spacing w:val="40"/>
          <w:w w:val="105"/>
        </w:rPr>
        <w:t xml:space="preserve"> </w:t>
      </w:r>
      <w:r w:rsidRPr="00283806">
        <w:rPr>
          <w:w w:val="105"/>
        </w:rPr>
        <w:t>elements that were originally proposed</w:t>
      </w:r>
      <w:r w:rsidRPr="00283806">
        <w:rPr>
          <w:spacing w:val="40"/>
          <w:w w:val="105"/>
        </w:rPr>
        <w:t xml:space="preserve"> </w:t>
      </w:r>
      <w:r w:rsidRPr="00283806">
        <w:rPr>
          <w:w w:val="105"/>
        </w:rPr>
        <w:t>as a part of the container tracking provisions. As noted, the Agency is not finalizing</w:t>
      </w:r>
      <w:r w:rsidRPr="00283806">
        <w:rPr>
          <w:spacing w:val="40"/>
          <w:w w:val="105"/>
        </w:rPr>
        <w:t xml:space="preserve"> </w:t>
      </w:r>
      <w:r w:rsidRPr="00283806">
        <w:rPr>
          <w:w w:val="105"/>
        </w:rPr>
        <w:t>those</w:t>
      </w:r>
      <w:r w:rsidRPr="00283806">
        <w:rPr>
          <w:spacing w:val="40"/>
          <w:w w:val="105"/>
        </w:rPr>
        <w:t xml:space="preserve"> </w:t>
      </w:r>
      <w:r w:rsidRPr="00283806">
        <w:rPr>
          <w:w w:val="105"/>
        </w:rPr>
        <w:t>provisions</w:t>
      </w:r>
      <w:r w:rsidRPr="00283806">
        <w:rPr>
          <w:spacing w:val="40"/>
          <w:w w:val="105"/>
        </w:rPr>
        <w:t xml:space="preserve"> </w:t>
      </w:r>
      <w:r w:rsidRPr="00283806">
        <w:rPr>
          <w:w w:val="105"/>
        </w:rPr>
        <w:t>in</w:t>
      </w:r>
      <w:r w:rsidRPr="00283806">
        <w:rPr>
          <w:spacing w:val="40"/>
          <w:w w:val="105"/>
        </w:rPr>
        <w:t xml:space="preserve"> </w:t>
      </w:r>
      <w:r w:rsidRPr="00283806">
        <w:rPr>
          <w:w w:val="105"/>
        </w:rPr>
        <w:t>this action;</w:t>
      </w:r>
      <w:r w:rsidRPr="00283806">
        <w:rPr>
          <w:spacing w:val="40"/>
          <w:w w:val="105"/>
        </w:rPr>
        <w:t xml:space="preserve"> </w:t>
      </w:r>
      <w:r w:rsidRPr="00283806">
        <w:rPr>
          <w:w w:val="105"/>
        </w:rPr>
        <w:t>however,</w:t>
      </w:r>
      <w:r w:rsidRPr="00283806">
        <w:rPr>
          <w:spacing w:val="40"/>
          <w:w w:val="105"/>
        </w:rPr>
        <w:t xml:space="preserve"> </w:t>
      </w:r>
      <w:r w:rsidRPr="00283806">
        <w:rPr>
          <w:w w:val="105"/>
        </w:rPr>
        <w:t>the</w:t>
      </w:r>
      <w:r w:rsidRPr="00283806">
        <w:rPr>
          <w:spacing w:val="40"/>
          <w:w w:val="105"/>
        </w:rPr>
        <w:t xml:space="preserve"> </w:t>
      </w:r>
      <w:r w:rsidRPr="00283806">
        <w:rPr>
          <w:w w:val="105"/>
        </w:rPr>
        <w:t>public</w:t>
      </w:r>
      <w:r w:rsidRPr="00283806">
        <w:rPr>
          <w:spacing w:val="40"/>
          <w:w w:val="105"/>
        </w:rPr>
        <w:t xml:space="preserve"> </w:t>
      </w:r>
      <w:r w:rsidRPr="00283806">
        <w:rPr>
          <w:w w:val="105"/>
        </w:rPr>
        <w:t>was</w:t>
      </w:r>
      <w:r w:rsidRPr="00283806">
        <w:rPr>
          <w:spacing w:val="40"/>
          <w:w w:val="105"/>
        </w:rPr>
        <w:t xml:space="preserve"> </w:t>
      </w:r>
      <w:r w:rsidRPr="00283806">
        <w:rPr>
          <w:w w:val="105"/>
        </w:rPr>
        <w:t>aware of EPA’s interest in information on these topics through the proposal to include</w:t>
      </w:r>
    </w:p>
    <w:p w14:paraId="76B0274E" w14:textId="77777777" w:rsidR="00D67C1E" w:rsidRPr="00283806" w:rsidRDefault="001265CA">
      <w:pPr>
        <w:pStyle w:val="BodyText"/>
        <w:spacing w:before="2"/>
        <w:ind w:left="0"/>
        <w:rPr>
          <w:sz w:val="12"/>
        </w:rPr>
      </w:pPr>
      <w:r w:rsidRPr="00283806">
        <w:rPr>
          <w:noProof/>
        </w:rPr>
        <mc:AlternateContent>
          <mc:Choice Requires="wps">
            <w:drawing>
              <wp:anchor distT="0" distB="0" distL="0" distR="0" simplePos="0" relativeHeight="251653120" behindDoc="1" locked="0" layoutInCell="1" allowOverlap="1" wp14:anchorId="68EEFB72" wp14:editId="7D6A3C63">
                <wp:simplePos x="0" y="0"/>
                <wp:positionH relativeFrom="page">
                  <wp:posOffset>571500</wp:posOffset>
                </wp:positionH>
                <wp:positionV relativeFrom="paragraph">
                  <wp:posOffset>106125</wp:posOffset>
                </wp:positionV>
                <wp:extent cx="635000" cy="1270"/>
                <wp:effectExtent l="0" t="0" r="0" b="0"/>
                <wp:wrapTopAndBottom/>
                <wp:docPr id="84" name="Graphic 8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730EE83" id="Graphic 84" o:spid="_x0000_s1026" alt="&quot;&quot;" style="position:absolute;margin-left:45pt;margin-top:8.35pt;width:50pt;height:.1pt;z-index:-251663360;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" path="m,l635000,e" filled="f" strokeweight=".5pt">
                <v:path arrowok="t"/>
                <w10:wrap type="topAndBottom" anchorx="page"/>
              </v:shape>
            </w:pict>
          </mc:Fallback>
        </mc:AlternateContent>
      </w:r>
    </w:p>
    <w:p w14:paraId="5EE0DB16" w14:textId="77777777" w:rsidR="00D67C1E" w:rsidRPr="00283806" w:rsidRDefault="001265CA">
      <w:pPr>
        <w:spacing w:before="40" w:line="232" w:lineRule="auto"/>
        <w:ind w:left="159" w:right="74" w:firstLine="140"/>
        <w:rPr>
          <w:sz w:val="14"/>
        </w:rPr>
      </w:pPr>
      <w:r w:rsidRPr="00283806">
        <w:rPr>
          <w:w w:val="105"/>
          <w:position w:val="4"/>
          <w:sz w:val="9"/>
        </w:rPr>
        <w:t xml:space="preserve">97 </w:t>
      </w:r>
      <w:r w:rsidRPr="00283806">
        <w:rPr>
          <w:w w:val="105"/>
          <w:sz w:val="14"/>
        </w:rPr>
        <w:t>EPA received multiple comments, available in</w:t>
      </w:r>
      <w:r w:rsidRPr="00283806">
        <w:rPr>
          <w:spacing w:val="40"/>
          <w:w w:val="105"/>
          <w:sz w:val="14"/>
        </w:rPr>
        <w:t xml:space="preserve"> </w:t>
      </w:r>
      <w:r w:rsidRPr="00283806">
        <w:rPr>
          <w:w w:val="105"/>
          <w:sz w:val="14"/>
        </w:rPr>
        <w:t>the docket of this rulemaking, related to taking a</w:t>
      </w:r>
      <w:r w:rsidRPr="00283806">
        <w:rPr>
          <w:spacing w:val="40"/>
          <w:w w:val="105"/>
          <w:sz w:val="14"/>
        </w:rPr>
        <w:t xml:space="preserve"> </w:t>
      </w:r>
      <w:r w:rsidRPr="00283806">
        <w:rPr>
          <w:w w:val="105"/>
          <w:sz w:val="14"/>
        </w:rPr>
        <w:t>data driven approach to establish requirements for</w:t>
      </w:r>
      <w:r w:rsidRPr="00283806">
        <w:rPr>
          <w:spacing w:val="40"/>
          <w:w w:val="105"/>
          <w:sz w:val="14"/>
        </w:rPr>
        <w:t xml:space="preserve"> </w:t>
      </w:r>
      <w:r w:rsidRPr="00283806">
        <w:rPr>
          <w:w w:val="105"/>
          <w:sz w:val="14"/>
        </w:rPr>
        <w:t>servicing and/or repairing refrigerant-containing</w:t>
      </w:r>
      <w:r w:rsidRPr="00283806">
        <w:rPr>
          <w:spacing w:val="40"/>
          <w:w w:val="105"/>
          <w:sz w:val="14"/>
        </w:rPr>
        <w:t xml:space="preserve"> </w:t>
      </w:r>
      <w:r w:rsidRPr="00283806">
        <w:rPr>
          <w:w w:val="105"/>
          <w:sz w:val="14"/>
        </w:rPr>
        <w:t>equipment with reclaimed HFC refrigerants.</w:t>
      </w:r>
    </w:p>
    <w:p w14:paraId="7341CFA7" w14:textId="77777777" w:rsidR="00D67C1E" w:rsidRPr="00283806" w:rsidRDefault="001265CA">
      <w:pPr>
        <w:spacing w:before="4" w:line="232" w:lineRule="auto"/>
        <w:ind w:left="159" w:right="3"/>
        <w:rPr>
          <w:sz w:val="14"/>
        </w:rPr>
      </w:pPr>
      <w:r w:rsidRPr="00283806">
        <w:rPr>
          <w:spacing w:val="-2"/>
          <w:w w:val="110"/>
          <w:sz w:val="14"/>
        </w:rPr>
        <w:t>Examples include EPA–HQ–OAR–2022–0606–0109,</w:t>
      </w:r>
      <w:r w:rsidRPr="00283806">
        <w:rPr>
          <w:spacing w:val="40"/>
          <w:w w:val="110"/>
          <w:sz w:val="14"/>
        </w:rPr>
        <w:t xml:space="preserve"> </w:t>
      </w:r>
      <w:r w:rsidRPr="00283806">
        <w:rPr>
          <w:w w:val="110"/>
          <w:sz w:val="14"/>
        </w:rPr>
        <w:t>EPA–HQ–OAR–2022–0606–0121, and EPA–HQ–</w:t>
      </w:r>
    </w:p>
    <w:p w14:paraId="3EC832C1" w14:textId="77777777" w:rsidR="00D67C1E" w:rsidRPr="00283806" w:rsidRDefault="001265CA">
      <w:pPr>
        <w:spacing w:line="162" w:lineRule="exact"/>
        <w:ind w:left="159"/>
        <w:rPr>
          <w:sz w:val="14"/>
        </w:rPr>
      </w:pPr>
      <w:r w:rsidRPr="00283806">
        <w:rPr>
          <w:w w:val="105"/>
          <w:sz w:val="14"/>
        </w:rPr>
        <w:t>OAR–2022–0606–0147,</w:t>
      </w:r>
      <w:r w:rsidRPr="00283806">
        <w:rPr>
          <w:spacing w:val="5"/>
          <w:w w:val="105"/>
          <w:sz w:val="14"/>
        </w:rPr>
        <w:t xml:space="preserve"> </w:t>
      </w:r>
      <w:r w:rsidRPr="00283806">
        <w:rPr>
          <w:w w:val="105"/>
          <w:sz w:val="14"/>
        </w:rPr>
        <w:t>among</w:t>
      </w:r>
      <w:r w:rsidRPr="00283806">
        <w:rPr>
          <w:spacing w:val="5"/>
          <w:w w:val="105"/>
          <w:sz w:val="14"/>
        </w:rPr>
        <w:t xml:space="preserve"> </w:t>
      </w:r>
      <w:r w:rsidRPr="00283806">
        <w:rPr>
          <w:spacing w:val="-2"/>
          <w:w w:val="105"/>
          <w:sz w:val="14"/>
        </w:rPr>
        <w:t>others.</w:t>
      </w:r>
    </w:p>
    <w:p w14:paraId="214FDDF9" w14:textId="77777777" w:rsidR="00D67C1E" w:rsidRPr="00283806" w:rsidRDefault="001265CA">
      <w:pPr>
        <w:pStyle w:val="BodyText"/>
        <w:spacing w:before="130" w:line="232" w:lineRule="auto"/>
        <w:ind w:left="139" w:right="150"/>
      </w:pPr>
      <w:r w:rsidRPr="00283806">
        <w:br w:type="column"/>
      </w:r>
      <w:r w:rsidRPr="00283806">
        <w:rPr>
          <w:w w:val="105"/>
        </w:rPr>
        <w:t xml:space="preserve">similar data elements in those other provisions. As commenters noted, and EPA agrees, there is value to collecting such data as it pertains to provisions that are being finalized in this rulemaking; notably, the requirements for servicing and/or repair of certain refrigerant-containing equipment with reclaimed HFCs. Thus, these reporting requirements are being established as requirements that are separate and distinct from the proposed tracking system requirements, although they include a limited number of data elements that are </w:t>
      </w:r>
      <w:proofErr w:type="gramStart"/>
      <w:r w:rsidRPr="00283806">
        <w:rPr>
          <w:w w:val="105"/>
        </w:rPr>
        <w:t>similar to</w:t>
      </w:r>
      <w:proofErr w:type="gramEnd"/>
      <w:r w:rsidRPr="00283806">
        <w:rPr>
          <w:w w:val="105"/>
        </w:rPr>
        <w:t xml:space="preserve"> some included in the proposed tracking system requirements. For example, these reporting requirements are different from the proposed tracking system requirements because they are being established to occur only twice and do not require data elements </w:t>
      </w:r>
      <w:proofErr w:type="gramStart"/>
      <w:r w:rsidRPr="00283806">
        <w:rPr>
          <w:w w:val="105"/>
        </w:rPr>
        <w:t>be</w:t>
      </w:r>
      <w:proofErr w:type="gramEnd"/>
      <w:r w:rsidRPr="00283806">
        <w:rPr>
          <w:w w:val="105"/>
        </w:rPr>
        <w:t xml:space="preserve"> reported at an individual container </w:t>
      </w:r>
      <w:r w:rsidRPr="00283806">
        <w:rPr>
          <w:spacing w:val="-2"/>
          <w:w w:val="105"/>
        </w:rPr>
        <w:t>level.</w:t>
      </w:r>
    </w:p>
    <w:p w14:paraId="1003545B" w14:textId="77777777" w:rsidR="00D67C1E" w:rsidRPr="00283806" w:rsidRDefault="001265CA">
      <w:pPr>
        <w:pStyle w:val="BodyText"/>
        <w:spacing w:before="47" w:line="225" w:lineRule="auto"/>
        <w:ind w:left="139" w:right="9" w:firstLine="180"/>
      </w:pPr>
      <w:r w:rsidRPr="00283806">
        <w:rPr>
          <w:rFonts w:ascii="Book Antiqua" w:hAnsi="Book Antiqua"/>
          <w:i/>
          <w:w w:val="105"/>
        </w:rPr>
        <w:t xml:space="preserve">Comment: </w:t>
      </w:r>
      <w:r w:rsidRPr="00283806">
        <w:rPr>
          <w:w w:val="105"/>
        </w:rPr>
        <w:t>Several commenters expressed broad support for EPA’s proposed</w:t>
      </w:r>
      <w:r w:rsidRPr="00283806">
        <w:rPr>
          <w:spacing w:val="-7"/>
          <w:w w:val="105"/>
        </w:rPr>
        <w:t xml:space="preserve"> </w:t>
      </w:r>
      <w:r w:rsidRPr="00283806">
        <w:rPr>
          <w:w w:val="105"/>
        </w:rPr>
        <w:t>requirements</w:t>
      </w:r>
      <w:r w:rsidRPr="00283806">
        <w:rPr>
          <w:spacing w:val="-7"/>
          <w:w w:val="105"/>
        </w:rPr>
        <w:t xml:space="preserve"> </w:t>
      </w:r>
      <w:r w:rsidRPr="00283806">
        <w:rPr>
          <w:w w:val="105"/>
        </w:rPr>
        <w:t>for</w:t>
      </w:r>
      <w:r w:rsidRPr="00283806">
        <w:rPr>
          <w:spacing w:val="-7"/>
          <w:w w:val="105"/>
        </w:rPr>
        <w:t xml:space="preserve"> </w:t>
      </w:r>
      <w:r w:rsidRPr="00283806">
        <w:rPr>
          <w:w w:val="105"/>
        </w:rPr>
        <w:t>the</w:t>
      </w:r>
      <w:r w:rsidRPr="00283806">
        <w:rPr>
          <w:spacing w:val="-7"/>
          <w:w w:val="105"/>
        </w:rPr>
        <w:t xml:space="preserve"> </w:t>
      </w:r>
      <w:r w:rsidRPr="00283806">
        <w:rPr>
          <w:w w:val="105"/>
        </w:rPr>
        <w:t>recovery and reclamation of HFC refrigerant.</w:t>
      </w:r>
    </w:p>
    <w:p w14:paraId="6AC7D1B1" w14:textId="77777777" w:rsidR="00D67C1E" w:rsidRPr="00283806" w:rsidRDefault="001265CA">
      <w:pPr>
        <w:pStyle w:val="BodyText"/>
        <w:spacing w:before="1" w:line="230" w:lineRule="auto"/>
        <w:ind w:left="139"/>
      </w:pPr>
      <w:r w:rsidRPr="00283806">
        <w:rPr>
          <w:w w:val="105"/>
        </w:rPr>
        <w:t>Some commenters stated, consistent</w:t>
      </w:r>
      <w:r w:rsidRPr="00283806">
        <w:rPr>
          <w:spacing w:val="40"/>
          <w:w w:val="105"/>
        </w:rPr>
        <w:t xml:space="preserve"> </w:t>
      </w:r>
      <w:r w:rsidRPr="00283806">
        <w:rPr>
          <w:w w:val="105"/>
        </w:rPr>
        <w:t>with the preamble to the proposal, that reclamation can bolster the current HFC supply, support a smooth transition to HFC substitutes, minimize disruption of the current capital stock of equipment, avoid supply shortages of virgin refrigerants, and help to finance refrigerant recovery. Two commenters stated that because the proposed use requirements apply only to HFCs and</w:t>
      </w:r>
      <w:r w:rsidRPr="00283806">
        <w:rPr>
          <w:spacing w:val="80"/>
          <w:w w:val="150"/>
        </w:rPr>
        <w:t xml:space="preserve"> </w:t>
      </w:r>
      <w:r w:rsidRPr="00283806">
        <w:rPr>
          <w:w w:val="105"/>
        </w:rPr>
        <w:t xml:space="preserve">not their substitutes, EPA’s approach could encourage certain users to transition away from HFCs altogether into lower-GWP substitutes. One commenter suggested that increasing HFC reclamation benefits the climate, economy, and all users of cooling equipment and supports the availability of refrigerants for increasing demand for refrigerants in heat pumps for building decarbonization. The commenter further agreed that as proposed, the rule will help insulate the industry, and consumers, against price spikes that could affect the </w:t>
      </w:r>
      <w:proofErr w:type="gramStart"/>
      <w:r w:rsidRPr="00283806">
        <w:rPr>
          <w:w w:val="105"/>
        </w:rPr>
        <w:t>servicing</w:t>
      </w:r>
      <w:proofErr w:type="gramEnd"/>
      <w:r w:rsidRPr="00283806">
        <w:rPr>
          <w:w w:val="105"/>
        </w:rPr>
        <w:t xml:space="preserve"> of existing systems using HFCs. Another</w:t>
      </w:r>
      <w:r w:rsidRPr="00283806">
        <w:rPr>
          <w:spacing w:val="80"/>
          <w:w w:val="150"/>
        </w:rPr>
        <w:t xml:space="preserve"> </w:t>
      </w:r>
      <w:r w:rsidRPr="00283806">
        <w:rPr>
          <w:w w:val="105"/>
        </w:rPr>
        <w:t>commenter stated that the provisions would send a strong market signal in favor of increased reclamation and lead to a reduction of HFC emissions and venting. Another commenter stated that sufficient reclamation volume may help reduce demand for new, virgin HFC production and consumption, which is more emissive than the reclamation process, and that the implementation of the subsection (h) rule can be a transformative force, particularly in</w:t>
      </w:r>
    </w:p>
    <w:p w14:paraId="0EC45AB5" w14:textId="77777777" w:rsidR="00D67C1E" w:rsidRPr="00283806" w:rsidRDefault="001265CA">
      <w:pPr>
        <w:pStyle w:val="BodyText"/>
        <w:spacing w:before="132" w:line="225" w:lineRule="auto"/>
        <w:ind w:left="152" w:right="262"/>
      </w:pPr>
      <w:r w:rsidRPr="00283806">
        <w:br w:type="column"/>
      </w:r>
      <w:r w:rsidRPr="00283806">
        <w:rPr>
          <w:w w:val="105"/>
        </w:rPr>
        <w:t xml:space="preserve">addressing low rates of HFC </w:t>
      </w:r>
      <w:r w:rsidRPr="00283806">
        <w:rPr>
          <w:spacing w:val="-2"/>
          <w:w w:val="105"/>
        </w:rPr>
        <w:t>reclamation.</w:t>
      </w:r>
    </w:p>
    <w:p w14:paraId="1DD87858" w14:textId="77777777" w:rsidR="00D67C1E" w:rsidRPr="00283806" w:rsidRDefault="001265CA">
      <w:pPr>
        <w:pStyle w:val="BodyText"/>
        <w:spacing w:line="179" w:lineRule="exact"/>
        <w:ind w:left="332"/>
      </w:pPr>
      <w:r w:rsidRPr="00283806">
        <w:rPr>
          <w:w w:val="105"/>
        </w:rPr>
        <w:t>One</w:t>
      </w:r>
      <w:r w:rsidRPr="00283806">
        <w:rPr>
          <w:spacing w:val="12"/>
          <w:w w:val="105"/>
        </w:rPr>
        <w:t xml:space="preserve"> </w:t>
      </w:r>
      <w:r w:rsidRPr="00283806">
        <w:rPr>
          <w:w w:val="105"/>
        </w:rPr>
        <w:t>commenter</w:t>
      </w:r>
      <w:r w:rsidRPr="00283806">
        <w:rPr>
          <w:spacing w:val="13"/>
          <w:w w:val="105"/>
        </w:rPr>
        <w:t xml:space="preserve"> </w:t>
      </w:r>
      <w:r w:rsidRPr="00283806">
        <w:rPr>
          <w:w w:val="105"/>
        </w:rPr>
        <w:t>generally</w:t>
      </w:r>
      <w:r w:rsidRPr="00283806">
        <w:rPr>
          <w:spacing w:val="12"/>
          <w:w w:val="105"/>
        </w:rPr>
        <w:t xml:space="preserve"> </w:t>
      </w:r>
      <w:r w:rsidRPr="00283806">
        <w:rPr>
          <w:spacing w:val="-2"/>
          <w:w w:val="105"/>
        </w:rPr>
        <w:t>supported</w:t>
      </w:r>
    </w:p>
    <w:p w14:paraId="148D905A" w14:textId="77777777" w:rsidR="00D67C1E" w:rsidRPr="00283806" w:rsidRDefault="001265CA">
      <w:pPr>
        <w:pStyle w:val="BodyText"/>
        <w:spacing w:before="4" w:line="225" w:lineRule="auto"/>
        <w:ind w:left="152" w:right="214"/>
      </w:pPr>
      <w:proofErr w:type="gramStart"/>
      <w:r w:rsidRPr="00283806">
        <w:rPr>
          <w:w w:val="105"/>
        </w:rPr>
        <w:t>reclaimed</w:t>
      </w:r>
      <w:proofErr w:type="gramEnd"/>
      <w:r w:rsidRPr="00283806">
        <w:rPr>
          <w:w w:val="105"/>
        </w:rPr>
        <w:t xml:space="preserve"> refrigerant mandates to drive recovery and stimulate </w:t>
      </w:r>
      <w:proofErr w:type="gramStart"/>
      <w:r w:rsidRPr="00283806">
        <w:rPr>
          <w:w w:val="105"/>
        </w:rPr>
        <w:t>investment, but</w:t>
      </w:r>
      <w:proofErr w:type="gramEnd"/>
      <w:r w:rsidRPr="00283806">
        <w:rPr>
          <w:w w:val="105"/>
        </w:rPr>
        <w:t xml:space="preserve"> requested</w:t>
      </w:r>
      <w:r w:rsidRPr="00283806">
        <w:rPr>
          <w:spacing w:val="-3"/>
          <w:w w:val="105"/>
        </w:rPr>
        <w:t xml:space="preserve"> </w:t>
      </w:r>
      <w:r w:rsidRPr="00283806">
        <w:rPr>
          <w:w w:val="105"/>
        </w:rPr>
        <w:t>that</w:t>
      </w:r>
      <w:r w:rsidRPr="00283806">
        <w:rPr>
          <w:spacing w:val="-3"/>
          <w:w w:val="105"/>
        </w:rPr>
        <w:t xml:space="preserve"> </w:t>
      </w:r>
      <w:r w:rsidRPr="00283806">
        <w:rPr>
          <w:w w:val="105"/>
        </w:rPr>
        <w:t>the</w:t>
      </w:r>
      <w:r w:rsidRPr="00283806">
        <w:rPr>
          <w:spacing w:val="-3"/>
          <w:w w:val="105"/>
        </w:rPr>
        <w:t xml:space="preserve"> </w:t>
      </w:r>
      <w:r w:rsidRPr="00283806">
        <w:rPr>
          <w:w w:val="105"/>
        </w:rPr>
        <w:t>final</w:t>
      </w:r>
      <w:r w:rsidRPr="00283806">
        <w:rPr>
          <w:spacing w:val="-3"/>
          <w:w w:val="105"/>
        </w:rPr>
        <w:t xml:space="preserve"> </w:t>
      </w:r>
      <w:r w:rsidRPr="00283806">
        <w:rPr>
          <w:w w:val="105"/>
        </w:rPr>
        <w:t>requirements</w:t>
      </w:r>
      <w:r w:rsidRPr="00283806">
        <w:rPr>
          <w:spacing w:val="-3"/>
          <w:w w:val="105"/>
        </w:rPr>
        <w:t xml:space="preserve"> </w:t>
      </w:r>
      <w:r w:rsidRPr="00283806">
        <w:rPr>
          <w:w w:val="105"/>
        </w:rPr>
        <w:t>be sensitive to market conditions in terms of current and projected refrigerant supply, production, and consumption. The commenter stated that they did not support claims that reclaim mandates are not feasible because of insufficient material to meet demand or because market data for a given year takes time to accumulate and analyze. Another commenter supported regulations to increase the use of reclaimed refrigerants in the market, specifically through the incentivization of recovery and/or improvement of EPA’s ability to enforce recovery. Another commenter also claimed that reclaimers have made significant progress investing in and installing technology to reclaim</w:t>
      </w:r>
      <w:r w:rsidRPr="00283806">
        <w:rPr>
          <w:spacing w:val="80"/>
          <w:w w:val="105"/>
        </w:rPr>
        <w:t xml:space="preserve"> </w:t>
      </w:r>
      <w:r w:rsidRPr="00283806">
        <w:rPr>
          <w:w w:val="105"/>
        </w:rPr>
        <w:t xml:space="preserve">complex HFCs including fractional distillation to expand reclamation </w:t>
      </w:r>
      <w:r w:rsidRPr="00283806">
        <w:rPr>
          <w:spacing w:val="-2"/>
          <w:w w:val="105"/>
        </w:rPr>
        <w:t>capacity.</w:t>
      </w:r>
    </w:p>
    <w:p w14:paraId="15E79202" w14:textId="77777777" w:rsidR="00D67C1E" w:rsidRPr="00283806" w:rsidRDefault="001265CA">
      <w:pPr>
        <w:pStyle w:val="BodyText"/>
        <w:spacing w:before="5" w:line="225" w:lineRule="auto"/>
        <w:ind w:left="152" w:right="171" w:firstLine="180"/>
      </w:pPr>
      <w:r w:rsidRPr="00283806">
        <w:rPr>
          <w:rFonts w:ascii="Book Antiqua"/>
          <w:i/>
          <w:w w:val="105"/>
        </w:rPr>
        <w:t xml:space="preserve">Response: </w:t>
      </w:r>
      <w:r w:rsidRPr="00283806">
        <w:rPr>
          <w:w w:val="105"/>
        </w:rPr>
        <w:t>EPA acknowledges these supportive comments. The Agency</w:t>
      </w:r>
      <w:r w:rsidRPr="00283806">
        <w:rPr>
          <w:spacing w:val="80"/>
          <w:w w:val="105"/>
        </w:rPr>
        <w:t xml:space="preserve"> </w:t>
      </w:r>
      <w:r w:rsidRPr="00283806">
        <w:rPr>
          <w:w w:val="105"/>
        </w:rPr>
        <w:t>agrees that the volume of reclaimed HFC refrigerants</w:t>
      </w:r>
      <w:r w:rsidRPr="00283806">
        <w:rPr>
          <w:spacing w:val="40"/>
          <w:w w:val="105"/>
        </w:rPr>
        <w:t xml:space="preserve"> </w:t>
      </w:r>
      <w:r w:rsidRPr="00283806">
        <w:rPr>
          <w:w w:val="105"/>
        </w:rPr>
        <w:t>will</w:t>
      </w:r>
      <w:r w:rsidRPr="00283806">
        <w:rPr>
          <w:spacing w:val="40"/>
          <w:w w:val="105"/>
        </w:rPr>
        <w:t xml:space="preserve"> </w:t>
      </w:r>
      <w:r w:rsidRPr="00283806">
        <w:rPr>
          <w:w w:val="105"/>
        </w:rPr>
        <w:t>grow</w:t>
      </w:r>
      <w:r w:rsidRPr="00283806">
        <w:rPr>
          <w:spacing w:val="40"/>
          <w:w w:val="105"/>
        </w:rPr>
        <w:t xml:space="preserve"> </w:t>
      </w:r>
      <w:r w:rsidRPr="00283806">
        <w:rPr>
          <w:w w:val="105"/>
        </w:rPr>
        <w:t>significantly</w:t>
      </w:r>
      <w:r w:rsidRPr="00283806">
        <w:rPr>
          <w:spacing w:val="40"/>
          <w:w w:val="105"/>
        </w:rPr>
        <w:t xml:space="preserve"> </w:t>
      </w:r>
      <w:r w:rsidRPr="00283806">
        <w:rPr>
          <w:w w:val="105"/>
        </w:rPr>
        <w:t xml:space="preserve">in the coming </w:t>
      </w:r>
      <w:proofErr w:type="gramStart"/>
      <w:r w:rsidRPr="00283806">
        <w:rPr>
          <w:w w:val="105"/>
        </w:rPr>
        <w:t>years</w:t>
      </w:r>
      <w:proofErr w:type="gramEnd"/>
      <w:r w:rsidRPr="00283806">
        <w:rPr>
          <w:w w:val="105"/>
        </w:rPr>
        <w:t xml:space="preserve"> particularly as the production and consumption of virgin HFCs decreases </w:t>
      </w:r>
      <w:proofErr w:type="gramStart"/>
      <w:r w:rsidRPr="00283806">
        <w:rPr>
          <w:w w:val="105"/>
        </w:rPr>
        <w:t>consistent</w:t>
      </w:r>
      <w:proofErr w:type="gramEnd"/>
      <w:r w:rsidRPr="00283806">
        <w:rPr>
          <w:w w:val="105"/>
        </w:rPr>
        <w:t xml:space="preserve"> with the phasedown provisions under the AIM</w:t>
      </w:r>
      <w:r w:rsidRPr="00283806">
        <w:rPr>
          <w:spacing w:val="40"/>
          <w:w w:val="105"/>
        </w:rPr>
        <w:t xml:space="preserve"> </w:t>
      </w:r>
      <w:r w:rsidRPr="00283806">
        <w:rPr>
          <w:w w:val="105"/>
        </w:rPr>
        <w:t>Act. EPA anticipates this increased volume</w:t>
      </w:r>
      <w:r w:rsidRPr="00283806">
        <w:rPr>
          <w:spacing w:val="40"/>
          <w:w w:val="105"/>
        </w:rPr>
        <w:t xml:space="preserve"> </w:t>
      </w:r>
      <w:r w:rsidRPr="00283806">
        <w:rPr>
          <w:w w:val="105"/>
        </w:rPr>
        <w:t>will</w:t>
      </w:r>
      <w:r w:rsidRPr="00283806">
        <w:rPr>
          <w:spacing w:val="40"/>
          <w:w w:val="105"/>
        </w:rPr>
        <w:t xml:space="preserve"> </w:t>
      </w:r>
      <w:r w:rsidRPr="00283806">
        <w:rPr>
          <w:w w:val="105"/>
        </w:rPr>
        <w:t>support</w:t>
      </w:r>
      <w:r w:rsidRPr="00283806">
        <w:rPr>
          <w:spacing w:val="40"/>
          <w:w w:val="105"/>
        </w:rPr>
        <w:t xml:space="preserve"> </w:t>
      </w:r>
      <w:r w:rsidRPr="00283806">
        <w:rPr>
          <w:w w:val="105"/>
        </w:rPr>
        <w:t>compliance</w:t>
      </w:r>
      <w:r w:rsidRPr="00283806">
        <w:rPr>
          <w:spacing w:val="40"/>
          <w:w w:val="105"/>
        </w:rPr>
        <w:t xml:space="preserve"> </w:t>
      </w:r>
      <w:r w:rsidRPr="00283806">
        <w:rPr>
          <w:w w:val="105"/>
        </w:rPr>
        <w:t>with the requirements related to reclaimed refrigerants finalized in this action and addresses other comments related to supply of reclaimed HFCs in more detail in another response in this section.</w:t>
      </w:r>
    </w:p>
    <w:p w14:paraId="6FD90AE0" w14:textId="77777777" w:rsidR="00D67C1E" w:rsidRPr="00283806" w:rsidRDefault="001265CA">
      <w:pPr>
        <w:pStyle w:val="BodyText"/>
        <w:spacing w:before="12" w:line="228" w:lineRule="auto"/>
        <w:ind w:left="152" w:right="182"/>
      </w:pPr>
      <w:r w:rsidRPr="00283806">
        <w:rPr>
          <w:w w:val="105"/>
        </w:rPr>
        <w:t>However, as described earlier in this section, EPA is establishing a discrete reporting requirement for data on the availability of reclaimed HFCs used in</w:t>
      </w:r>
      <w:r w:rsidRPr="00283806">
        <w:rPr>
          <w:spacing w:val="40"/>
          <w:w w:val="105"/>
        </w:rPr>
        <w:t xml:space="preserve"> </w:t>
      </w:r>
      <w:r w:rsidRPr="00283806">
        <w:rPr>
          <w:w w:val="105"/>
        </w:rPr>
        <w:t>the servicing and/or repair of refrigerant-containing equipment in the covered RACHP subsectors and EPA</w:t>
      </w:r>
      <w:r w:rsidRPr="00283806">
        <w:rPr>
          <w:spacing w:val="80"/>
          <w:w w:val="105"/>
        </w:rPr>
        <w:t xml:space="preserve"> </w:t>
      </w:r>
      <w:r w:rsidRPr="00283806">
        <w:rPr>
          <w:w w:val="105"/>
        </w:rPr>
        <w:t>may evaluate the requirements established in this rulemaking after assessing the reported data. With</w:t>
      </w:r>
      <w:r w:rsidRPr="00283806">
        <w:rPr>
          <w:spacing w:val="40"/>
          <w:w w:val="105"/>
        </w:rPr>
        <w:t xml:space="preserve"> </w:t>
      </w:r>
      <w:r w:rsidRPr="00283806">
        <w:rPr>
          <w:w w:val="105"/>
        </w:rPr>
        <w:t>respect to the comment suggesting that the final requirements be sensitive to market conditions, EPA notes that these discrete reporting requirements will improve EPA’s ability to evaluate</w:t>
      </w:r>
    </w:p>
    <w:p w14:paraId="74831D65" w14:textId="77777777" w:rsidR="00D67C1E" w:rsidRPr="00283806" w:rsidRDefault="001265CA">
      <w:pPr>
        <w:pStyle w:val="BodyText"/>
        <w:spacing w:line="228" w:lineRule="auto"/>
        <w:ind w:left="152" w:right="153"/>
        <w:rPr>
          <w:sz w:val="11"/>
        </w:rPr>
      </w:pPr>
      <w:r w:rsidRPr="00283806">
        <w:rPr>
          <w:w w:val="105"/>
        </w:rPr>
        <w:t>market conditions and consider whether adjustments are appropriate.</w:t>
      </w:r>
      <w:r w:rsidRPr="00283806">
        <w:rPr>
          <w:w w:val="105"/>
          <w:position w:val="4"/>
          <w:sz w:val="11"/>
        </w:rPr>
        <w:t>98</w:t>
      </w:r>
    </w:p>
    <w:p w14:paraId="650BACCA" w14:textId="77777777" w:rsidR="00D67C1E" w:rsidRPr="00283806" w:rsidRDefault="001265CA">
      <w:pPr>
        <w:pStyle w:val="BodyText"/>
        <w:spacing w:line="185" w:lineRule="exact"/>
        <w:ind w:left="332"/>
      </w:pPr>
      <w:r w:rsidRPr="00283806">
        <w:rPr>
          <w:w w:val="105"/>
        </w:rPr>
        <w:t>EPA</w:t>
      </w:r>
      <w:r w:rsidRPr="00283806">
        <w:rPr>
          <w:spacing w:val="14"/>
          <w:w w:val="105"/>
        </w:rPr>
        <w:t xml:space="preserve"> </w:t>
      </w:r>
      <w:r w:rsidRPr="00283806">
        <w:rPr>
          <w:w w:val="105"/>
        </w:rPr>
        <w:t>responds</w:t>
      </w:r>
      <w:r w:rsidRPr="00283806">
        <w:rPr>
          <w:spacing w:val="14"/>
          <w:w w:val="105"/>
        </w:rPr>
        <w:t xml:space="preserve"> </w:t>
      </w:r>
      <w:r w:rsidRPr="00283806">
        <w:rPr>
          <w:w w:val="105"/>
        </w:rPr>
        <w:t>to</w:t>
      </w:r>
      <w:r w:rsidRPr="00283806">
        <w:rPr>
          <w:spacing w:val="14"/>
          <w:w w:val="105"/>
        </w:rPr>
        <w:t xml:space="preserve"> </w:t>
      </w:r>
      <w:r w:rsidRPr="00283806">
        <w:rPr>
          <w:w w:val="105"/>
        </w:rPr>
        <w:t>comments</w:t>
      </w:r>
      <w:r w:rsidRPr="00283806">
        <w:rPr>
          <w:spacing w:val="14"/>
          <w:w w:val="105"/>
        </w:rPr>
        <w:t xml:space="preserve"> </w:t>
      </w:r>
      <w:r w:rsidRPr="00283806">
        <w:rPr>
          <w:spacing w:val="-2"/>
          <w:w w:val="105"/>
        </w:rPr>
        <w:t>stating</w:t>
      </w:r>
    </w:p>
    <w:p w14:paraId="0BF0C064" w14:textId="77777777" w:rsidR="00D67C1E" w:rsidRPr="00283806" w:rsidRDefault="001265CA">
      <w:pPr>
        <w:pStyle w:val="BodyText"/>
        <w:spacing w:line="206" w:lineRule="exact"/>
        <w:ind w:left="152"/>
      </w:pPr>
      <w:r w:rsidRPr="00283806">
        <w:rPr>
          <w:w w:val="105"/>
        </w:rPr>
        <w:t>that</w:t>
      </w:r>
      <w:r w:rsidRPr="00283806">
        <w:rPr>
          <w:spacing w:val="9"/>
          <w:w w:val="105"/>
        </w:rPr>
        <w:t xml:space="preserve"> </w:t>
      </w:r>
      <w:r w:rsidRPr="00283806">
        <w:rPr>
          <w:w w:val="105"/>
        </w:rPr>
        <w:t>these</w:t>
      </w:r>
      <w:r w:rsidRPr="00283806">
        <w:rPr>
          <w:spacing w:val="10"/>
          <w:w w:val="105"/>
        </w:rPr>
        <w:t xml:space="preserve"> </w:t>
      </w:r>
      <w:r w:rsidRPr="00283806">
        <w:rPr>
          <w:w w:val="105"/>
        </w:rPr>
        <w:t>provisions</w:t>
      </w:r>
      <w:r w:rsidRPr="00283806">
        <w:rPr>
          <w:spacing w:val="9"/>
          <w:w w:val="105"/>
        </w:rPr>
        <w:t xml:space="preserve"> </w:t>
      </w:r>
      <w:r w:rsidRPr="00283806">
        <w:rPr>
          <w:w w:val="105"/>
        </w:rPr>
        <w:t>may</w:t>
      </w:r>
      <w:r w:rsidRPr="00283806">
        <w:rPr>
          <w:spacing w:val="10"/>
          <w:w w:val="105"/>
        </w:rPr>
        <w:t xml:space="preserve"> </w:t>
      </w:r>
      <w:r w:rsidRPr="00283806">
        <w:rPr>
          <w:w w:val="105"/>
        </w:rPr>
        <w:t>result</w:t>
      </w:r>
      <w:r w:rsidRPr="00283806">
        <w:rPr>
          <w:spacing w:val="9"/>
          <w:w w:val="105"/>
        </w:rPr>
        <w:t xml:space="preserve"> </w:t>
      </w:r>
      <w:r w:rsidRPr="00283806">
        <w:rPr>
          <w:w w:val="105"/>
        </w:rPr>
        <w:t>in</w:t>
      </w:r>
      <w:r w:rsidRPr="00283806">
        <w:rPr>
          <w:spacing w:val="10"/>
          <w:w w:val="105"/>
        </w:rPr>
        <w:t xml:space="preserve"> </w:t>
      </w:r>
      <w:r w:rsidRPr="00283806">
        <w:rPr>
          <w:spacing w:val="-4"/>
          <w:w w:val="105"/>
        </w:rPr>
        <w:t>some</w:t>
      </w:r>
    </w:p>
    <w:p w14:paraId="2E116B3C" w14:textId="77777777" w:rsidR="00D67C1E" w:rsidRPr="00283806" w:rsidRDefault="001265CA">
      <w:pPr>
        <w:pStyle w:val="BodyText"/>
        <w:spacing w:before="2"/>
        <w:ind w:left="0"/>
        <w:rPr>
          <w:sz w:val="12"/>
        </w:rPr>
      </w:pPr>
      <w:r w:rsidRPr="00283806">
        <w:rPr>
          <w:noProof/>
        </w:rPr>
        <mc:AlternateContent>
          <mc:Choice Requires="wps">
            <w:drawing>
              <wp:anchor distT="0" distB="0" distL="0" distR="0" simplePos="0" relativeHeight="251654144" behindDoc="1" locked="0" layoutInCell="1" allowOverlap="1" wp14:anchorId="7ED2903D" wp14:editId="40B77CA6">
                <wp:simplePos x="0" y="0"/>
                <wp:positionH relativeFrom="page">
                  <wp:posOffset>5067300</wp:posOffset>
                </wp:positionH>
                <wp:positionV relativeFrom="paragraph">
                  <wp:posOffset>106249</wp:posOffset>
                </wp:positionV>
                <wp:extent cx="635000" cy="1270"/>
                <wp:effectExtent l="0" t="0" r="0" b="0"/>
                <wp:wrapTopAndBottom/>
                <wp:docPr id="85" name="Graphic 8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C18187D" id="Graphic 85" o:spid="_x0000_s1026" alt="&quot;&quot;" style="position:absolute;margin-left:399pt;margin-top:8.35pt;width:50pt;height:.1pt;z-index:-251662336;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" path="m,l635000,e" filled="f" strokeweight=".5pt">
                <v:path arrowok="t"/>
                <w10:wrap type="topAndBottom" anchorx="page"/>
              </v:shape>
            </w:pict>
          </mc:Fallback>
        </mc:AlternateContent>
      </w:r>
    </w:p>
    <w:p w14:paraId="6D4BAB65" w14:textId="77777777" w:rsidR="00D67C1E" w:rsidRPr="00283806" w:rsidRDefault="001265CA">
      <w:pPr>
        <w:spacing w:before="40" w:line="232" w:lineRule="auto"/>
        <w:ind w:left="152" w:right="132" w:firstLine="140"/>
        <w:rPr>
          <w:sz w:val="14"/>
        </w:rPr>
      </w:pPr>
      <w:r w:rsidRPr="00283806">
        <w:rPr>
          <w:w w:val="110"/>
          <w:position w:val="4"/>
          <w:sz w:val="9"/>
        </w:rPr>
        <w:t xml:space="preserve">98 </w:t>
      </w:r>
      <w:r w:rsidRPr="00283806">
        <w:rPr>
          <w:w w:val="110"/>
          <w:sz w:val="14"/>
        </w:rPr>
        <w:t>To the extent this commenter refers to</w:t>
      </w:r>
      <w:r w:rsidRPr="00283806">
        <w:rPr>
          <w:spacing w:val="40"/>
          <w:w w:val="110"/>
          <w:sz w:val="14"/>
        </w:rPr>
        <w:t xml:space="preserve"> </w:t>
      </w:r>
      <w:r w:rsidRPr="00283806">
        <w:rPr>
          <w:w w:val="110"/>
          <w:sz w:val="14"/>
        </w:rPr>
        <w:t>refrigerant production and consumption, EPA</w:t>
      </w:r>
      <w:r w:rsidRPr="00283806">
        <w:rPr>
          <w:spacing w:val="40"/>
          <w:w w:val="110"/>
          <w:sz w:val="14"/>
        </w:rPr>
        <w:t xml:space="preserve"> </w:t>
      </w:r>
      <w:r w:rsidRPr="00283806">
        <w:rPr>
          <w:w w:val="110"/>
          <w:sz w:val="14"/>
        </w:rPr>
        <w:t>further</w:t>
      </w:r>
      <w:r w:rsidRPr="00283806">
        <w:rPr>
          <w:spacing w:val="-1"/>
          <w:w w:val="110"/>
          <w:sz w:val="14"/>
        </w:rPr>
        <w:t xml:space="preserve"> </w:t>
      </w:r>
      <w:r w:rsidRPr="00283806">
        <w:rPr>
          <w:w w:val="110"/>
          <w:sz w:val="14"/>
        </w:rPr>
        <w:t>notes</w:t>
      </w:r>
      <w:r w:rsidRPr="00283806">
        <w:rPr>
          <w:spacing w:val="-1"/>
          <w:w w:val="110"/>
          <w:sz w:val="14"/>
        </w:rPr>
        <w:t xml:space="preserve"> </w:t>
      </w:r>
      <w:r w:rsidRPr="00283806">
        <w:rPr>
          <w:w w:val="110"/>
          <w:sz w:val="14"/>
        </w:rPr>
        <w:t>that</w:t>
      </w:r>
      <w:r w:rsidRPr="00283806">
        <w:rPr>
          <w:spacing w:val="-1"/>
          <w:w w:val="110"/>
          <w:sz w:val="14"/>
        </w:rPr>
        <w:t xml:space="preserve"> </w:t>
      </w:r>
      <w:r w:rsidRPr="00283806">
        <w:rPr>
          <w:w w:val="110"/>
          <w:sz w:val="14"/>
        </w:rPr>
        <w:t>it</w:t>
      </w:r>
      <w:r w:rsidRPr="00283806">
        <w:rPr>
          <w:spacing w:val="-1"/>
          <w:w w:val="110"/>
          <w:sz w:val="14"/>
        </w:rPr>
        <w:t xml:space="preserve"> </w:t>
      </w:r>
      <w:r w:rsidRPr="00283806">
        <w:rPr>
          <w:w w:val="110"/>
          <w:sz w:val="14"/>
        </w:rPr>
        <w:t>appears</w:t>
      </w:r>
      <w:r w:rsidRPr="00283806">
        <w:rPr>
          <w:spacing w:val="-1"/>
          <w:w w:val="110"/>
          <w:sz w:val="14"/>
        </w:rPr>
        <w:t xml:space="preserve"> </w:t>
      </w:r>
      <w:r w:rsidRPr="00283806">
        <w:rPr>
          <w:w w:val="110"/>
          <w:sz w:val="14"/>
        </w:rPr>
        <w:t>that</w:t>
      </w:r>
      <w:r w:rsidRPr="00283806">
        <w:rPr>
          <w:spacing w:val="-1"/>
          <w:w w:val="110"/>
          <w:sz w:val="14"/>
        </w:rPr>
        <w:t xml:space="preserve"> </w:t>
      </w:r>
      <w:r w:rsidRPr="00283806">
        <w:rPr>
          <w:w w:val="110"/>
          <w:sz w:val="14"/>
        </w:rPr>
        <w:t>the</w:t>
      </w:r>
      <w:r w:rsidRPr="00283806">
        <w:rPr>
          <w:spacing w:val="-1"/>
          <w:w w:val="110"/>
          <w:sz w:val="14"/>
        </w:rPr>
        <w:t xml:space="preserve"> </w:t>
      </w:r>
      <w:r w:rsidRPr="00283806">
        <w:rPr>
          <w:w w:val="110"/>
          <w:sz w:val="14"/>
        </w:rPr>
        <w:t>commenter</w:t>
      </w:r>
      <w:r w:rsidRPr="00283806">
        <w:rPr>
          <w:spacing w:val="40"/>
          <w:w w:val="110"/>
          <w:sz w:val="14"/>
        </w:rPr>
        <w:t xml:space="preserve"> </w:t>
      </w:r>
      <w:r w:rsidRPr="00283806">
        <w:rPr>
          <w:w w:val="110"/>
          <w:sz w:val="14"/>
        </w:rPr>
        <w:t>may</w:t>
      </w:r>
      <w:r w:rsidRPr="00283806">
        <w:rPr>
          <w:spacing w:val="-9"/>
          <w:w w:val="110"/>
          <w:sz w:val="14"/>
        </w:rPr>
        <w:t xml:space="preserve"> </w:t>
      </w:r>
      <w:r w:rsidRPr="00283806">
        <w:rPr>
          <w:w w:val="110"/>
          <w:sz w:val="14"/>
        </w:rPr>
        <w:t>be</w:t>
      </w:r>
      <w:r w:rsidRPr="00283806">
        <w:rPr>
          <w:spacing w:val="-8"/>
          <w:w w:val="110"/>
          <w:sz w:val="14"/>
        </w:rPr>
        <w:t xml:space="preserve"> </w:t>
      </w:r>
      <w:r w:rsidRPr="00283806">
        <w:rPr>
          <w:w w:val="110"/>
          <w:sz w:val="14"/>
        </w:rPr>
        <w:t>using</w:t>
      </w:r>
      <w:r w:rsidRPr="00283806">
        <w:rPr>
          <w:spacing w:val="-9"/>
          <w:w w:val="110"/>
          <w:sz w:val="14"/>
        </w:rPr>
        <w:t xml:space="preserve"> </w:t>
      </w:r>
      <w:r w:rsidRPr="00283806">
        <w:rPr>
          <w:w w:val="110"/>
          <w:sz w:val="14"/>
        </w:rPr>
        <w:t>these</w:t>
      </w:r>
      <w:r w:rsidRPr="00283806">
        <w:rPr>
          <w:spacing w:val="-8"/>
          <w:w w:val="110"/>
          <w:sz w:val="14"/>
        </w:rPr>
        <w:t xml:space="preserve"> </w:t>
      </w:r>
      <w:r w:rsidRPr="00283806">
        <w:rPr>
          <w:w w:val="110"/>
          <w:sz w:val="14"/>
        </w:rPr>
        <w:t>terms</w:t>
      </w:r>
      <w:r w:rsidRPr="00283806">
        <w:rPr>
          <w:spacing w:val="-9"/>
          <w:w w:val="110"/>
          <w:sz w:val="14"/>
        </w:rPr>
        <w:t xml:space="preserve"> </w:t>
      </w:r>
      <w:r w:rsidRPr="00283806">
        <w:rPr>
          <w:w w:val="110"/>
          <w:sz w:val="14"/>
        </w:rPr>
        <w:t>differently</w:t>
      </w:r>
      <w:r w:rsidRPr="00283806">
        <w:rPr>
          <w:spacing w:val="-8"/>
          <w:w w:val="110"/>
          <w:sz w:val="14"/>
        </w:rPr>
        <w:t xml:space="preserve"> </w:t>
      </w:r>
      <w:r w:rsidRPr="00283806">
        <w:rPr>
          <w:w w:val="110"/>
          <w:sz w:val="14"/>
        </w:rPr>
        <w:t>from</w:t>
      </w:r>
      <w:r w:rsidRPr="00283806">
        <w:rPr>
          <w:spacing w:val="-9"/>
          <w:w w:val="110"/>
          <w:sz w:val="14"/>
        </w:rPr>
        <w:t xml:space="preserve"> </w:t>
      </w:r>
      <w:r w:rsidRPr="00283806">
        <w:rPr>
          <w:w w:val="110"/>
          <w:sz w:val="14"/>
        </w:rPr>
        <w:t>how</w:t>
      </w:r>
      <w:r w:rsidRPr="00283806">
        <w:rPr>
          <w:spacing w:val="-8"/>
          <w:w w:val="110"/>
          <w:sz w:val="14"/>
        </w:rPr>
        <w:t xml:space="preserve"> </w:t>
      </w:r>
      <w:r w:rsidRPr="00283806">
        <w:rPr>
          <w:w w:val="110"/>
          <w:sz w:val="14"/>
        </w:rPr>
        <w:t>EPA</w:t>
      </w:r>
      <w:r w:rsidRPr="00283806">
        <w:rPr>
          <w:spacing w:val="40"/>
          <w:w w:val="110"/>
          <w:sz w:val="14"/>
        </w:rPr>
        <w:t xml:space="preserve"> </w:t>
      </w:r>
      <w:r w:rsidRPr="00283806">
        <w:rPr>
          <w:w w:val="110"/>
          <w:sz w:val="14"/>
        </w:rPr>
        <w:t>uses them, and it is not clear what relevance those</w:t>
      </w:r>
      <w:r w:rsidRPr="00283806">
        <w:rPr>
          <w:spacing w:val="40"/>
          <w:w w:val="110"/>
          <w:sz w:val="14"/>
        </w:rPr>
        <w:t xml:space="preserve"> </w:t>
      </w:r>
      <w:r w:rsidRPr="00283806">
        <w:rPr>
          <w:w w:val="110"/>
          <w:sz w:val="14"/>
        </w:rPr>
        <w:t>terms</w:t>
      </w:r>
      <w:r w:rsidRPr="00283806">
        <w:rPr>
          <w:spacing w:val="-9"/>
          <w:w w:val="110"/>
          <w:sz w:val="14"/>
        </w:rPr>
        <w:t xml:space="preserve"> </w:t>
      </w:r>
      <w:r w:rsidRPr="00283806">
        <w:rPr>
          <w:w w:val="110"/>
          <w:sz w:val="14"/>
        </w:rPr>
        <w:t>have</w:t>
      </w:r>
      <w:r w:rsidRPr="00283806">
        <w:rPr>
          <w:spacing w:val="-8"/>
          <w:w w:val="110"/>
          <w:sz w:val="14"/>
        </w:rPr>
        <w:t xml:space="preserve"> </w:t>
      </w:r>
      <w:r w:rsidRPr="00283806">
        <w:rPr>
          <w:w w:val="110"/>
          <w:sz w:val="14"/>
        </w:rPr>
        <w:t>in</w:t>
      </w:r>
      <w:r w:rsidRPr="00283806">
        <w:rPr>
          <w:spacing w:val="-9"/>
          <w:w w:val="110"/>
          <w:sz w:val="14"/>
        </w:rPr>
        <w:t xml:space="preserve"> </w:t>
      </w:r>
      <w:r w:rsidRPr="00283806">
        <w:rPr>
          <w:w w:val="110"/>
          <w:sz w:val="14"/>
        </w:rPr>
        <w:t>this</w:t>
      </w:r>
      <w:r w:rsidRPr="00283806">
        <w:rPr>
          <w:spacing w:val="-8"/>
          <w:w w:val="110"/>
          <w:sz w:val="14"/>
        </w:rPr>
        <w:t xml:space="preserve"> </w:t>
      </w:r>
      <w:r w:rsidRPr="00283806">
        <w:rPr>
          <w:w w:val="110"/>
          <w:sz w:val="14"/>
        </w:rPr>
        <w:t>context.</w:t>
      </w:r>
      <w:r w:rsidRPr="00283806">
        <w:rPr>
          <w:spacing w:val="-9"/>
          <w:w w:val="110"/>
          <w:sz w:val="14"/>
        </w:rPr>
        <w:t xml:space="preserve"> </w:t>
      </w:r>
      <w:proofErr w:type="gramStart"/>
      <w:r w:rsidRPr="00283806">
        <w:rPr>
          <w:w w:val="110"/>
          <w:sz w:val="14"/>
        </w:rPr>
        <w:t>Both</w:t>
      </w:r>
      <w:r w:rsidRPr="00283806">
        <w:rPr>
          <w:spacing w:val="-8"/>
          <w:w w:val="110"/>
          <w:sz w:val="14"/>
        </w:rPr>
        <w:t xml:space="preserve"> </w:t>
      </w:r>
      <w:r w:rsidRPr="00283806">
        <w:rPr>
          <w:w w:val="110"/>
          <w:sz w:val="14"/>
        </w:rPr>
        <w:t>of</w:t>
      </w:r>
      <w:r w:rsidRPr="00283806">
        <w:rPr>
          <w:spacing w:val="-9"/>
          <w:w w:val="110"/>
          <w:sz w:val="14"/>
        </w:rPr>
        <w:t xml:space="preserve"> </w:t>
      </w:r>
      <w:r w:rsidRPr="00283806">
        <w:rPr>
          <w:w w:val="110"/>
          <w:sz w:val="14"/>
        </w:rPr>
        <w:t>these</w:t>
      </w:r>
      <w:proofErr w:type="gramEnd"/>
      <w:r w:rsidRPr="00283806">
        <w:rPr>
          <w:spacing w:val="-8"/>
          <w:w w:val="110"/>
          <w:sz w:val="14"/>
        </w:rPr>
        <w:t xml:space="preserve"> </w:t>
      </w:r>
      <w:r w:rsidRPr="00283806">
        <w:rPr>
          <w:w w:val="110"/>
          <w:sz w:val="14"/>
        </w:rPr>
        <w:t>are</w:t>
      </w:r>
      <w:r w:rsidRPr="00283806">
        <w:rPr>
          <w:spacing w:val="-9"/>
          <w:w w:val="110"/>
          <w:sz w:val="14"/>
        </w:rPr>
        <w:t xml:space="preserve"> </w:t>
      </w:r>
      <w:r w:rsidRPr="00283806">
        <w:rPr>
          <w:w w:val="110"/>
          <w:sz w:val="14"/>
        </w:rPr>
        <w:t>defined</w:t>
      </w:r>
      <w:r w:rsidRPr="00283806">
        <w:rPr>
          <w:spacing w:val="40"/>
          <w:w w:val="110"/>
          <w:sz w:val="14"/>
        </w:rPr>
        <w:t xml:space="preserve"> </w:t>
      </w:r>
      <w:r w:rsidRPr="00283806">
        <w:rPr>
          <w:w w:val="110"/>
          <w:sz w:val="14"/>
        </w:rPr>
        <w:t>terms</w:t>
      </w:r>
      <w:r w:rsidRPr="00283806">
        <w:rPr>
          <w:spacing w:val="-3"/>
          <w:w w:val="110"/>
          <w:sz w:val="14"/>
        </w:rPr>
        <w:t xml:space="preserve"> </w:t>
      </w:r>
      <w:r w:rsidRPr="00283806">
        <w:rPr>
          <w:w w:val="110"/>
          <w:sz w:val="14"/>
        </w:rPr>
        <w:t>under</w:t>
      </w:r>
      <w:r w:rsidRPr="00283806">
        <w:rPr>
          <w:spacing w:val="-2"/>
          <w:w w:val="110"/>
          <w:sz w:val="14"/>
        </w:rPr>
        <w:t xml:space="preserve"> </w:t>
      </w:r>
      <w:r w:rsidRPr="00283806">
        <w:rPr>
          <w:w w:val="110"/>
          <w:sz w:val="14"/>
        </w:rPr>
        <w:t>the</w:t>
      </w:r>
      <w:r w:rsidRPr="00283806">
        <w:rPr>
          <w:spacing w:val="-3"/>
          <w:w w:val="110"/>
          <w:sz w:val="14"/>
        </w:rPr>
        <w:t xml:space="preserve"> </w:t>
      </w:r>
      <w:r w:rsidRPr="00283806">
        <w:rPr>
          <w:w w:val="110"/>
          <w:sz w:val="14"/>
        </w:rPr>
        <w:t>AIM</w:t>
      </w:r>
      <w:r w:rsidRPr="00283806">
        <w:rPr>
          <w:spacing w:val="-2"/>
          <w:w w:val="110"/>
          <w:sz w:val="14"/>
        </w:rPr>
        <w:t xml:space="preserve"> </w:t>
      </w:r>
      <w:r w:rsidRPr="00283806">
        <w:rPr>
          <w:w w:val="110"/>
          <w:sz w:val="14"/>
        </w:rPr>
        <w:t>Act,</w:t>
      </w:r>
      <w:r w:rsidRPr="00283806">
        <w:rPr>
          <w:spacing w:val="-2"/>
          <w:w w:val="110"/>
          <w:sz w:val="14"/>
        </w:rPr>
        <w:t xml:space="preserve"> </w:t>
      </w:r>
      <w:r w:rsidRPr="00283806">
        <w:rPr>
          <w:w w:val="110"/>
          <w:sz w:val="14"/>
        </w:rPr>
        <w:t>and</w:t>
      </w:r>
      <w:r w:rsidRPr="00283806">
        <w:rPr>
          <w:spacing w:val="-3"/>
          <w:w w:val="110"/>
          <w:sz w:val="14"/>
        </w:rPr>
        <w:t xml:space="preserve"> </w:t>
      </w:r>
      <w:r w:rsidRPr="00283806">
        <w:rPr>
          <w:w w:val="110"/>
          <w:sz w:val="14"/>
        </w:rPr>
        <w:t>as</w:t>
      </w:r>
      <w:r w:rsidRPr="00283806">
        <w:rPr>
          <w:spacing w:val="-2"/>
          <w:w w:val="110"/>
          <w:sz w:val="14"/>
        </w:rPr>
        <w:t xml:space="preserve"> </w:t>
      </w:r>
      <w:r w:rsidRPr="00283806">
        <w:rPr>
          <w:w w:val="110"/>
          <w:sz w:val="14"/>
        </w:rPr>
        <w:t>defined</w:t>
      </w:r>
      <w:r w:rsidRPr="00283806">
        <w:rPr>
          <w:spacing w:val="-2"/>
          <w:w w:val="110"/>
          <w:sz w:val="14"/>
        </w:rPr>
        <w:t xml:space="preserve"> </w:t>
      </w:r>
      <w:r w:rsidRPr="00283806">
        <w:rPr>
          <w:w w:val="110"/>
          <w:sz w:val="14"/>
        </w:rPr>
        <w:t>in</w:t>
      </w:r>
      <w:r w:rsidRPr="00283806">
        <w:rPr>
          <w:spacing w:val="-3"/>
          <w:w w:val="110"/>
          <w:sz w:val="14"/>
        </w:rPr>
        <w:t xml:space="preserve"> </w:t>
      </w:r>
      <w:r w:rsidRPr="00283806">
        <w:rPr>
          <w:w w:val="110"/>
          <w:sz w:val="14"/>
        </w:rPr>
        <w:t>40</w:t>
      </w:r>
      <w:r w:rsidRPr="00283806">
        <w:rPr>
          <w:spacing w:val="-2"/>
          <w:w w:val="110"/>
          <w:sz w:val="14"/>
        </w:rPr>
        <w:t xml:space="preserve"> </w:t>
      </w:r>
      <w:r w:rsidRPr="00283806">
        <w:rPr>
          <w:spacing w:val="-5"/>
          <w:w w:val="110"/>
          <w:sz w:val="14"/>
        </w:rPr>
        <w:t>CFR</w:t>
      </w:r>
    </w:p>
    <w:p w14:paraId="0AFB304A" w14:textId="77777777" w:rsidR="00D67C1E" w:rsidRPr="00283806" w:rsidRDefault="001265CA">
      <w:pPr>
        <w:spacing w:before="1"/>
        <w:ind w:left="152"/>
        <w:rPr>
          <w:sz w:val="14"/>
        </w:rPr>
      </w:pPr>
      <w:r w:rsidRPr="00283806">
        <w:rPr>
          <w:w w:val="105"/>
          <w:sz w:val="14"/>
        </w:rPr>
        <w:t>84.3 they</w:t>
      </w:r>
      <w:r w:rsidRPr="00283806">
        <w:rPr>
          <w:spacing w:val="1"/>
          <w:w w:val="105"/>
          <w:sz w:val="14"/>
        </w:rPr>
        <w:t xml:space="preserve"> </w:t>
      </w:r>
      <w:r w:rsidRPr="00283806">
        <w:rPr>
          <w:w w:val="105"/>
          <w:sz w:val="14"/>
        </w:rPr>
        <w:t>refer to</w:t>
      </w:r>
      <w:r w:rsidRPr="00283806">
        <w:rPr>
          <w:spacing w:val="1"/>
          <w:w w:val="105"/>
          <w:sz w:val="14"/>
        </w:rPr>
        <w:t xml:space="preserve"> </w:t>
      </w:r>
      <w:r w:rsidRPr="00283806">
        <w:rPr>
          <w:w w:val="105"/>
          <w:sz w:val="14"/>
        </w:rPr>
        <w:t>regulated</w:t>
      </w:r>
      <w:r w:rsidRPr="00283806">
        <w:rPr>
          <w:spacing w:val="1"/>
          <w:w w:val="105"/>
          <w:sz w:val="14"/>
        </w:rPr>
        <w:t xml:space="preserve"> </w:t>
      </w:r>
      <w:r w:rsidRPr="00283806">
        <w:rPr>
          <w:spacing w:val="-2"/>
          <w:w w:val="105"/>
          <w:sz w:val="14"/>
        </w:rPr>
        <w:t>substances.</w:t>
      </w:r>
    </w:p>
    <w:p w14:paraId="61783E41" w14:textId="77777777" w:rsidR="00D67C1E" w:rsidRPr="00283806" w:rsidRDefault="00D67C1E">
      <w:pPr>
        <w:rPr>
          <w:sz w:val="14"/>
        </w:rPr>
        <w:sectPr w:rsidR="00D67C1E" w:rsidRPr="00283806">
          <w:pgSz w:w="12240" w:h="15840"/>
          <w:pgMar w:top="1040" w:right="780" w:bottom="280" w:left="740" w:header="627" w:footer="0" w:gutter="0"/>
          <w:cols w:num="3" w:space="720" w:equalWidth="0">
            <w:col w:w="3521" w:space="40"/>
            <w:col w:w="3488" w:space="39"/>
            <w:col w:w="3632"/>
          </w:cols>
        </w:sectPr>
      </w:pPr>
    </w:p>
    <w:p w14:paraId="5CF9265E" w14:textId="77777777" w:rsidR="00D67C1E" w:rsidRPr="00283806" w:rsidRDefault="001265CA">
      <w:pPr>
        <w:pStyle w:val="BodyText"/>
        <w:spacing w:before="131" w:line="232" w:lineRule="auto"/>
        <w:ind w:right="27"/>
      </w:pPr>
      <w:r w:rsidRPr="00283806">
        <w:rPr>
          <w:w w:val="105"/>
        </w:rPr>
        <w:lastRenderedPageBreak/>
        <w:t xml:space="preserve">equipment owners or operators switching to a refrigerant that is a substitute for an HFC by noting that entities may choose to transition to a different refrigerant for </w:t>
      </w:r>
      <w:proofErr w:type="gramStart"/>
      <w:r w:rsidRPr="00283806">
        <w:rPr>
          <w:w w:val="105"/>
        </w:rPr>
        <w:t>a number of</w:t>
      </w:r>
      <w:proofErr w:type="gramEnd"/>
      <w:r w:rsidRPr="00283806">
        <w:rPr>
          <w:w w:val="105"/>
        </w:rPr>
        <w:t xml:space="preserve"> reasons. For example, some equipment owners or operators may choose to transition </w:t>
      </w:r>
      <w:proofErr w:type="gramStart"/>
      <w:r w:rsidRPr="00283806">
        <w:rPr>
          <w:w w:val="105"/>
        </w:rPr>
        <w:t>on</w:t>
      </w:r>
      <w:proofErr w:type="gramEnd"/>
      <w:r w:rsidRPr="00283806">
        <w:rPr>
          <w:w w:val="105"/>
        </w:rPr>
        <w:t xml:space="preserve"> a decision based on energy efficiency. However, EPA is establishing reclamation requirements for servicing and/or repair of refrigerant-containing equipment in certain RACHP subsectors to promote reclamation of HFCs, consistent</w:t>
      </w:r>
      <w:r w:rsidRPr="00283806">
        <w:rPr>
          <w:spacing w:val="40"/>
          <w:w w:val="105"/>
        </w:rPr>
        <w:t xml:space="preserve"> </w:t>
      </w:r>
      <w:r w:rsidRPr="00283806">
        <w:rPr>
          <w:w w:val="105"/>
        </w:rPr>
        <w:t>with</w:t>
      </w:r>
      <w:r w:rsidRPr="00283806">
        <w:rPr>
          <w:spacing w:val="40"/>
          <w:w w:val="105"/>
        </w:rPr>
        <w:t xml:space="preserve"> </w:t>
      </w:r>
      <w:r w:rsidRPr="00283806">
        <w:rPr>
          <w:w w:val="105"/>
        </w:rPr>
        <w:t>the</w:t>
      </w:r>
      <w:r w:rsidRPr="00283806">
        <w:rPr>
          <w:spacing w:val="40"/>
          <w:w w:val="105"/>
        </w:rPr>
        <w:t xml:space="preserve"> </w:t>
      </w:r>
      <w:r w:rsidRPr="00283806">
        <w:rPr>
          <w:w w:val="105"/>
        </w:rPr>
        <w:t>purpose</w:t>
      </w:r>
      <w:r w:rsidRPr="00283806">
        <w:rPr>
          <w:spacing w:val="40"/>
          <w:w w:val="105"/>
        </w:rPr>
        <w:t xml:space="preserve"> </w:t>
      </w:r>
      <w:r w:rsidRPr="00283806">
        <w:rPr>
          <w:w w:val="105"/>
        </w:rPr>
        <w:t xml:space="preserve">identified in subsection (h)(1) of the Act of maximizing reclamation of HFCs. The Agency is not establishing these provisions </w:t>
      </w:r>
      <w:proofErr w:type="gramStart"/>
      <w:r w:rsidRPr="00283806">
        <w:rPr>
          <w:w w:val="105"/>
        </w:rPr>
        <w:t>as a means to</w:t>
      </w:r>
      <w:proofErr w:type="gramEnd"/>
      <w:r w:rsidRPr="00283806">
        <w:rPr>
          <w:w w:val="105"/>
        </w:rPr>
        <w:t xml:space="preserve"> promote transitions to substitutes for HFCs.</w:t>
      </w:r>
    </w:p>
    <w:p w14:paraId="5D41CD6C" w14:textId="77777777" w:rsidR="00D67C1E" w:rsidRPr="00283806" w:rsidRDefault="001265CA">
      <w:pPr>
        <w:pStyle w:val="BodyText"/>
        <w:spacing w:line="188" w:lineRule="exact"/>
      </w:pPr>
      <w:r w:rsidRPr="00283806">
        <w:rPr>
          <w:w w:val="110"/>
        </w:rPr>
        <w:t>While</w:t>
      </w:r>
      <w:r w:rsidRPr="00283806">
        <w:rPr>
          <w:spacing w:val="-2"/>
          <w:w w:val="110"/>
        </w:rPr>
        <w:t xml:space="preserve"> </w:t>
      </w:r>
      <w:r w:rsidRPr="00283806">
        <w:rPr>
          <w:w w:val="110"/>
        </w:rPr>
        <w:t>EPA did</w:t>
      </w:r>
      <w:r w:rsidRPr="00283806">
        <w:rPr>
          <w:spacing w:val="1"/>
          <w:w w:val="110"/>
        </w:rPr>
        <w:t xml:space="preserve"> </w:t>
      </w:r>
      <w:r w:rsidRPr="00283806">
        <w:rPr>
          <w:w w:val="110"/>
        </w:rPr>
        <w:t>not primarily focus</w:t>
      </w:r>
      <w:r w:rsidRPr="00283806">
        <w:rPr>
          <w:spacing w:val="1"/>
          <w:w w:val="110"/>
        </w:rPr>
        <w:t xml:space="preserve"> </w:t>
      </w:r>
      <w:r w:rsidRPr="00283806">
        <w:rPr>
          <w:spacing w:val="-5"/>
          <w:w w:val="110"/>
        </w:rPr>
        <w:t>on</w:t>
      </w:r>
    </w:p>
    <w:p w14:paraId="407289F1" w14:textId="77777777" w:rsidR="00D67C1E" w:rsidRPr="00283806" w:rsidRDefault="001265CA">
      <w:pPr>
        <w:pStyle w:val="BodyText"/>
        <w:spacing w:before="3" w:line="230" w:lineRule="auto"/>
        <w:ind w:left="159" w:right="84"/>
      </w:pPr>
      <w:proofErr w:type="gramStart"/>
      <w:r w:rsidRPr="00283806">
        <w:rPr>
          <w:w w:val="105"/>
        </w:rPr>
        <w:t>this</w:t>
      </w:r>
      <w:proofErr w:type="gramEnd"/>
      <w:r w:rsidRPr="00283806">
        <w:rPr>
          <w:w w:val="105"/>
        </w:rPr>
        <w:t xml:space="preserve"> provision </w:t>
      </w:r>
      <w:proofErr w:type="gramStart"/>
      <w:r w:rsidRPr="00283806">
        <w:rPr>
          <w:w w:val="105"/>
        </w:rPr>
        <w:t>as a way to</w:t>
      </w:r>
      <w:proofErr w:type="gramEnd"/>
      <w:r w:rsidRPr="00283806">
        <w:rPr>
          <w:w w:val="105"/>
        </w:rPr>
        <w:t xml:space="preserve"> minimize emissions of HFCs from refrigerant- containing equipment, the Agency describes in the Economic Impact and Benefits TSD that the reclaim requirements may lead to additional emission reductions by increasing recovery of refrigerant at equipment disposal. In our analysis, however, we assumed such emission reductions</w:t>
      </w:r>
      <w:r w:rsidRPr="00283806">
        <w:rPr>
          <w:spacing w:val="80"/>
          <w:w w:val="105"/>
        </w:rPr>
        <w:t xml:space="preserve"> </w:t>
      </w:r>
      <w:r w:rsidRPr="00283806">
        <w:rPr>
          <w:w w:val="105"/>
        </w:rPr>
        <w:t>would take place due to previous AIM</w:t>
      </w:r>
      <w:r w:rsidRPr="00283806">
        <w:rPr>
          <w:spacing w:val="80"/>
          <w:w w:val="105"/>
        </w:rPr>
        <w:t xml:space="preserve"> </w:t>
      </w:r>
      <w:r w:rsidRPr="00283806">
        <w:rPr>
          <w:w w:val="105"/>
        </w:rPr>
        <w:t>Act</w:t>
      </w:r>
      <w:r w:rsidRPr="00283806">
        <w:rPr>
          <w:spacing w:val="40"/>
          <w:w w:val="105"/>
        </w:rPr>
        <w:t xml:space="preserve"> </w:t>
      </w:r>
      <w:r w:rsidRPr="00283806">
        <w:rPr>
          <w:w w:val="105"/>
        </w:rPr>
        <w:t>regulations</w:t>
      </w:r>
      <w:r w:rsidRPr="00283806">
        <w:rPr>
          <w:spacing w:val="40"/>
          <w:w w:val="105"/>
        </w:rPr>
        <w:t xml:space="preserve"> </w:t>
      </w:r>
      <w:r w:rsidRPr="00283806">
        <w:rPr>
          <w:w w:val="105"/>
        </w:rPr>
        <w:t>(although</w:t>
      </w:r>
      <w:r w:rsidRPr="00283806">
        <w:rPr>
          <w:spacing w:val="40"/>
          <w:w w:val="105"/>
        </w:rPr>
        <w:t xml:space="preserve"> </w:t>
      </w:r>
      <w:r w:rsidRPr="00283806">
        <w:rPr>
          <w:w w:val="105"/>
        </w:rPr>
        <w:t>not specifically required by such) and</w:t>
      </w:r>
      <w:r w:rsidRPr="00283806">
        <w:rPr>
          <w:spacing w:val="40"/>
          <w:w w:val="105"/>
        </w:rPr>
        <w:t xml:space="preserve"> </w:t>
      </w:r>
      <w:r w:rsidRPr="00283806">
        <w:rPr>
          <w:w w:val="105"/>
        </w:rPr>
        <w:t>normal, business-as-usual practices by the industry—for instance in response</w:t>
      </w:r>
      <w:r w:rsidRPr="00283806">
        <w:rPr>
          <w:spacing w:val="80"/>
          <w:w w:val="150"/>
        </w:rPr>
        <w:t xml:space="preserve"> </w:t>
      </w:r>
      <w:r w:rsidRPr="00283806">
        <w:rPr>
          <w:w w:val="105"/>
        </w:rPr>
        <w:t xml:space="preserve">to the venting prohibition in 40 CFR 82.154—and so conservatively did not include such emission reductions as benefits attributable to this rule. The Agency views </w:t>
      </w:r>
      <w:proofErr w:type="gramStart"/>
      <w:r w:rsidRPr="00283806">
        <w:rPr>
          <w:w w:val="105"/>
        </w:rPr>
        <w:t>other</w:t>
      </w:r>
      <w:proofErr w:type="gramEnd"/>
      <w:r w:rsidRPr="00283806">
        <w:rPr>
          <w:w w:val="105"/>
        </w:rPr>
        <w:t xml:space="preserve"> provisions finalized in this rule as primarily focused on minimizing emissions (</w:t>
      </w:r>
      <w:r w:rsidRPr="00283806">
        <w:rPr>
          <w:rFonts w:ascii="Book Antiqua" w:hAnsi="Book Antiqua"/>
          <w:i/>
          <w:w w:val="105"/>
        </w:rPr>
        <w:t xml:space="preserve">e.g., </w:t>
      </w:r>
      <w:r w:rsidRPr="00283806">
        <w:rPr>
          <w:w w:val="105"/>
        </w:rPr>
        <w:t>leak repair requirements as discussed in section IV.C). The Agency acknowledges these comments related to supply and availability of reclaimed HFCs as well as the availability of advanced reclamation technologies for efficient reprocessing and complex separations. Many commenters provided support that the supply of reclaimed HFC refrigerants would be adequate to achieve the provisions in this rulemaking, while</w:t>
      </w:r>
      <w:r w:rsidRPr="00283806">
        <w:rPr>
          <w:spacing w:val="40"/>
          <w:w w:val="105"/>
        </w:rPr>
        <w:t xml:space="preserve"> </w:t>
      </w:r>
      <w:r w:rsidRPr="00283806">
        <w:rPr>
          <w:w w:val="105"/>
        </w:rPr>
        <w:t>other commenters noted concerns on supply. Further, commenters provided information on the availability and current use of these technologies to support the requirements of this rulemaking. EPA agrees with</w:t>
      </w:r>
      <w:r w:rsidRPr="00283806">
        <w:rPr>
          <w:spacing w:val="40"/>
          <w:w w:val="105"/>
        </w:rPr>
        <w:t xml:space="preserve"> </w:t>
      </w:r>
      <w:r w:rsidRPr="00283806">
        <w:rPr>
          <w:w w:val="105"/>
        </w:rPr>
        <w:t>commenters that there is adequate supply of reclaimed HFC refrigerants to support the provisions in this</w:t>
      </w:r>
      <w:r w:rsidRPr="00283806">
        <w:rPr>
          <w:spacing w:val="40"/>
          <w:w w:val="105"/>
        </w:rPr>
        <w:t xml:space="preserve"> </w:t>
      </w:r>
      <w:r w:rsidRPr="00283806">
        <w:rPr>
          <w:w w:val="105"/>
        </w:rPr>
        <w:t>rulemaking.</w:t>
      </w:r>
      <w:r w:rsidRPr="00283806">
        <w:rPr>
          <w:spacing w:val="40"/>
          <w:w w:val="105"/>
        </w:rPr>
        <w:t xml:space="preserve"> </w:t>
      </w:r>
      <w:r w:rsidRPr="00283806">
        <w:rPr>
          <w:w w:val="105"/>
        </w:rPr>
        <w:t>Comments</w:t>
      </w:r>
      <w:r w:rsidRPr="00283806">
        <w:rPr>
          <w:spacing w:val="40"/>
          <w:w w:val="105"/>
        </w:rPr>
        <w:t xml:space="preserve"> </w:t>
      </w:r>
      <w:r w:rsidRPr="00283806">
        <w:rPr>
          <w:w w:val="105"/>
        </w:rPr>
        <w:t>related</w:t>
      </w:r>
      <w:r w:rsidRPr="00283806">
        <w:rPr>
          <w:spacing w:val="40"/>
          <w:w w:val="105"/>
        </w:rPr>
        <w:t xml:space="preserve"> </w:t>
      </w:r>
      <w:r w:rsidRPr="00283806">
        <w:rPr>
          <w:w w:val="105"/>
        </w:rPr>
        <w:t xml:space="preserve">to </w:t>
      </w:r>
      <w:proofErr w:type="gramStart"/>
      <w:r w:rsidRPr="00283806">
        <w:rPr>
          <w:w w:val="105"/>
        </w:rPr>
        <w:t>supply</w:t>
      </w:r>
      <w:proofErr w:type="gramEnd"/>
      <w:r w:rsidRPr="00283806">
        <w:rPr>
          <w:w w:val="105"/>
        </w:rPr>
        <w:t xml:space="preserve"> of reclaimed HFCs are discussed</w:t>
      </w:r>
      <w:r w:rsidRPr="00283806">
        <w:rPr>
          <w:spacing w:val="40"/>
          <w:w w:val="105"/>
        </w:rPr>
        <w:t xml:space="preserve"> </w:t>
      </w:r>
      <w:r w:rsidRPr="00283806">
        <w:rPr>
          <w:w w:val="105"/>
        </w:rPr>
        <w:t>in additional detail in other responses later</w:t>
      </w:r>
      <w:r w:rsidRPr="00283806">
        <w:rPr>
          <w:spacing w:val="40"/>
          <w:w w:val="105"/>
        </w:rPr>
        <w:t xml:space="preserve"> </w:t>
      </w:r>
      <w:r w:rsidRPr="00283806">
        <w:rPr>
          <w:w w:val="105"/>
        </w:rPr>
        <w:t>in</w:t>
      </w:r>
      <w:r w:rsidRPr="00283806">
        <w:rPr>
          <w:spacing w:val="40"/>
          <w:w w:val="105"/>
        </w:rPr>
        <w:t xml:space="preserve"> </w:t>
      </w:r>
      <w:r w:rsidRPr="00283806">
        <w:rPr>
          <w:w w:val="105"/>
        </w:rPr>
        <w:t>this</w:t>
      </w:r>
      <w:r w:rsidRPr="00283806">
        <w:rPr>
          <w:spacing w:val="40"/>
          <w:w w:val="105"/>
        </w:rPr>
        <w:t xml:space="preserve"> </w:t>
      </w:r>
      <w:r w:rsidRPr="00283806">
        <w:rPr>
          <w:w w:val="105"/>
        </w:rPr>
        <w:t>section</w:t>
      </w:r>
      <w:r w:rsidRPr="00283806">
        <w:rPr>
          <w:spacing w:val="40"/>
          <w:w w:val="105"/>
        </w:rPr>
        <w:t xml:space="preserve"> </w:t>
      </w:r>
      <w:r w:rsidRPr="00283806">
        <w:rPr>
          <w:w w:val="105"/>
        </w:rPr>
        <w:t>and</w:t>
      </w:r>
      <w:r w:rsidRPr="00283806">
        <w:rPr>
          <w:spacing w:val="40"/>
          <w:w w:val="105"/>
        </w:rPr>
        <w:t xml:space="preserve"> </w:t>
      </w:r>
      <w:r w:rsidRPr="00283806">
        <w:rPr>
          <w:w w:val="105"/>
        </w:rPr>
        <w:t>in</w:t>
      </w:r>
      <w:r w:rsidRPr="00283806">
        <w:rPr>
          <w:spacing w:val="40"/>
          <w:w w:val="105"/>
        </w:rPr>
        <w:t xml:space="preserve"> </w:t>
      </w:r>
      <w:r w:rsidRPr="00283806">
        <w:rPr>
          <w:w w:val="105"/>
        </w:rPr>
        <w:t xml:space="preserve">section </w:t>
      </w:r>
      <w:r w:rsidRPr="00283806">
        <w:rPr>
          <w:spacing w:val="-2"/>
          <w:w w:val="105"/>
        </w:rPr>
        <w:t>IV.E.1.</w:t>
      </w:r>
    </w:p>
    <w:p w14:paraId="0522B700" w14:textId="77777777" w:rsidR="00D67C1E" w:rsidRPr="00283806" w:rsidRDefault="001265CA">
      <w:pPr>
        <w:pStyle w:val="BodyText"/>
        <w:spacing w:before="132" w:line="225" w:lineRule="auto"/>
        <w:ind w:left="145" w:right="39" w:firstLine="180"/>
      </w:pPr>
      <w:r w:rsidRPr="00283806">
        <w:br w:type="column"/>
      </w:r>
      <w:r w:rsidRPr="00283806">
        <w:rPr>
          <w:w w:val="105"/>
        </w:rPr>
        <w:t>The</w:t>
      </w:r>
      <w:r w:rsidRPr="00283806">
        <w:rPr>
          <w:spacing w:val="40"/>
          <w:w w:val="105"/>
        </w:rPr>
        <w:t xml:space="preserve"> </w:t>
      </w:r>
      <w:r w:rsidRPr="00283806">
        <w:rPr>
          <w:w w:val="105"/>
        </w:rPr>
        <w:t>Agency</w:t>
      </w:r>
      <w:r w:rsidRPr="00283806">
        <w:rPr>
          <w:spacing w:val="40"/>
          <w:w w:val="105"/>
        </w:rPr>
        <w:t xml:space="preserve"> </w:t>
      </w:r>
      <w:r w:rsidRPr="00283806">
        <w:rPr>
          <w:w w:val="105"/>
        </w:rPr>
        <w:t>agrees</w:t>
      </w:r>
      <w:r w:rsidRPr="00283806">
        <w:rPr>
          <w:spacing w:val="40"/>
          <w:w w:val="105"/>
        </w:rPr>
        <w:t xml:space="preserve"> </w:t>
      </w:r>
      <w:r w:rsidRPr="00283806">
        <w:rPr>
          <w:w w:val="105"/>
        </w:rPr>
        <w:t>with</w:t>
      </w:r>
      <w:r w:rsidRPr="00283806">
        <w:rPr>
          <w:spacing w:val="40"/>
          <w:w w:val="105"/>
        </w:rPr>
        <w:t xml:space="preserve"> </w:t>
      </w:r>
      <w:r w:rsidRPr="00283806">
        <w:rPr>
          <w:w w:val="105"/>
        </w:rPr>
        <w:t>the comments stating that increased reclamation could help to reduce the demand for virgin HFCs, particularly for HFCs such as those used in servicing and/or repair of refrigerant-containing equipment in RACHP subsectors such as supermarket systems, refrigerated transport, and automatic commercial ice makers. Further, EPA agrees with the comments stating that increased reclamation is likely to help insulate the market from possible price spikes for certain refrigerants as the phasedown of the production and consumption of</w:t>
      </w:r>
      <w:r w:rsidRPr="00283806">
        <w:rPr>
          <w:spacing w:val="40"/>
          <w:w w:val="105"/>
        </w:rPr>
        <w:t xml:space="preserve"> </w:t>
      </w:r>
      <w:r w:rsidRPr="00283806">
        <w:rPr>
          <w:w w:val="105"/>
        </w:rPr>
        <w:t>virgin</w:t>
      </w:r>
      <w:r w:rsidRPr="00283806">
        <w:rPr>
          <w:spacing w:val="40"/>
          <w:w w:val="105"/>
        </w:rPr>
        <w:t xml:space="preserve"> </w:t>
      </w:r>
      <w:r w:rsidRPr="00283806">
        <w:rPr>
          <w:w w:val="105"/>
        </w:rPr>
        <w:t>HFCs</w:t>
      </w:r>
      <w:r w:rsidRPr="00283806">
        <w:rPr>
          <w:spacing w:val="40"/>
          <w:w w:val="105"/>
        </w:rPr>
        <w:t xml:space="preserve"> </w:t>
      </w:r>
      <w:r w:rsidRPr="00283806">
        <w:rPr>
          <w:w w:val="105"/>
        </w:rPr>
        <w:t>progresses.</w:t>
      </w:r>
      <w:r w:rsidRPr="00283806">
        <w:rPr>
          <w:spacing w:val="40"/>
          <w:w w:val="105"/>
        </w:rPr>
        <w:t xml:space="preserve"> </w:t>
      </w:r>
      <w:r w:rsidRPr="00283806">
        <w:rPr>
          <w:w w:val="105"/>
        </w:rPr>
        <w:t>Reclaimed</w:t>
      </w:r>
      <w:r w:rsidRPr="00283806">
        <w:rPr>
          <w:spacing w:val="40"/>
          <w:w w:val="105"/>
        </w:rPr>
        <w:t xml:space="preserve"> </w:t>
      </w:r>
      <w:r w:rsidRPr="00283806">
        <w:rPr>
          <w:w w:val="105"/>
        </w:rPr>
        <w:t>HFCs are and will continue to be an important source for refrigerants for existing refrigerant-containing equipment. As virgin HFCs may become scarcer to support the servicing and/or repair of existing refrigerant-containing equipment, reclaimed HFCs will be increasingly more vital. EPA also acknowledges comments stating the reclamation process is overall less emissive than production of virgin HFCs for use as refrigerants. However, EPA believes this point warrants further evaluation in the context of the U.S. market, and thus, is not concluding that the reclamation process is overall less emissive</w:t>
      </w:r>
      <w:r w:rsidRPr="00283806">
        <w:rPr>
          <w:spacing w:val="40"/>
          <w:w w:val="105"/>
        </w:rPr>
        <w:t xml:space="preserve"> </w:t>
      </w:r>
      <w:r w:rsidRPr="00283806">
        <w:rPr>
          <w:w w:val="105"/>
        </w:rPr>
        <w:t>than</w:t>
      </w:r>
      <w:r w:rsidRPr="00283806">
        <w:rPr>
          <w:spacing w:val="40"/>
          <w:w w:val="105"/>
        </w:rPr>
        <w:t xml:space="preserve"> </w:t>
      </w:r>
      <w:r w:rsidRPr="00283806">
        <w:rPr>
          <w:w w:val="105"/>
        </w:rPr>
        <w:t>the</w:t>
      </w:r>
      <w:r w:rsidRPr="00283806">
        <w:rPr>
          <w:spacing w:val="40"/>
          <w:w w:val="105"/>
        </w:rPr>
        <w:t xml:space="preserve"> </w:t>
      </w:r>
      <w:r w:rsidRPr="00283806">
        <w:rPr>
          <w:w w:val="105"/>
        </w:rPr>
        <w:t>producing</w:t>
      </w:r>
      <w:r w:rsidRPr="00283806">
        <w:rPr>
          <w:spacing w:val="40"/>
          <w:w w:val="105"/>
        </w:rPr>
        <w:t xml:space="preserve"> </w:t>
      </w:r>
      <w:r w:rsidRPr="00283806">
        <w:rPr>
          <w:w w:val="105"/>
        </w:rPr>
        <w:t>virgin HFCs for use as refrigerants.</w:t>
      </w:r>
    </w:p>
    <w:p w14:paraId="1FD32350" w14:textId="77777777" w:rsidR="00D67C1E" w:rsidRPr="00283806" w:rsidRDefault="001265CA">
      <w:pPr>
        <w:pStyle w:val="BodyText"/>
        <w:spacing w:line="168" w:lineRule="exact"/>
        <w:ind w:left="325"/>
      </w:pPr>
      <w:r w:rsidRPr="00283806">
        <w:rPr>
          <w:w w:val="105"/>
        </w:rPr>
        <w:t>EPA</w:t>
      </w:r>
      <w:r w:rsidRPr="00283806">
        <w:rPr>
          <w:spacing w:val="14"/>
          <w:w w:val="105"/>
        </w:rPr>
        <w:t xml:space="preserve"> </w:t>
      </w:r>
      <w:r w:rsidRPr="00283806">
        <w:rPr>
          <w:w w:val="105"/>
        </w:rPr>
        <w:t>recognizes</w:t>
      </w:r>
      <w:r w:rsidRPr="00283806">
        <w:rPr>
          <w:spacing w:val="15"/>
          <w:w w:val="105"/>
        </w:rPr>
        <w:t xml:space="preserve"> </w:t>
      </w:r>
      <w:r w:rsidRPr="00283806">
        <w:rPr>
          <w:w w:val="105"/>
        </w:rPr>
        <w:t>the</w:t>
      </w:r>
      <w:r w:rsidRPr="00283806">
        <w:rPr>
          <w:spacing w:val="15"/>
          <w:w w:val="105"/>
        </w:rPr>
        <w:t xml:space="preserve"> </w:t>
      </w:r>
      <w:r w:rsidRPr="00283806">
        <w:rPr>
          <w:w w:val="105"/>
        </w:rPr>
        <w:t>importance</w:t>
      </w:r>
      <w:r w:rsidRPr="00283806">
        <w:rPr>
          <w:spacing w:val="15"/>
          <w:w w:val="105"/>
        </w:rPr>
        <w:t xml:space="preserve"> </w:t>
      </w:r>
      <w:r w:rsidRPr="00283806">
        <w:rPr>
          <w:spacing w:val="-5"/>
          <w:w w:val="105"/>
        </w:rPr>
        <w:t>of</w:t>
      </w:r>
    </w:p>
    <w:p w14:paraId="01FE8344" w14:textId="77777777" w:rsidR="00D67C1E" w:rsidRPr="00283806" w:rsidRDefault="001265CA">
      <w:pPr>
        <w:pStyle w:val="BodyText"/>
        <w:spacing w:before="4" w:line="225" w:lineRule="auto"/>
        <w:ind w:left="145" w:right="37"/>
      </w:pPr>
      <w:r w:rsidRPr="00283806">
        <w:rPr>
          <w:w w:val="105"/>
        </w:rPr>
        <w:t>increased recovery as it relates to maximizing reclamation. In agreement with some of the comments, EPA anticipates that the provisions in this</w:t>
      </w:r>
      <w:r w:rsidRPr="00283806">
        <w:rPr>
          <w:spacing w:val="40"/>
          <w:w w:val="105"/>
        </w:rPr>
        <w:t xml:space="preserve"> </w:t>
      </w:r>
      <w:r w:rsidRPr="00283806">
        <w:rPr>
          <w:w w:val="105"/>
        </w:rPr>
        <w:t>rule would drive additional recovery to support the reclamation of HFCs. EPA discusses the anticipated effect of increased recovery in responding to another comment in this section. For example, additional recovery is</w:t>
      </w:r>
      <w:r w:rsidRPr="00283806">
        <w:rPr>
          <w:spacing w:val="80"/>
          <w:w w:val="105"/>
        </w:rPr>
        <w:t xml:space="preserve"> </w:t>
      </w:r>
      <w:r w:rsidRPr="00283806">
        <w:rPr>
          <w:w w:val="105"/>
        </w:rPr>
        <w:t>expected as more refrigerant-containing equipment reaches their end-of-life, and the value of refrigerants needed to service existing refrigerant-containing equipment increases.</w:t>
      </w:r>
    </w:p>
    <w:p w14:paraId="1BFE7AF5" w14:textId="77777777" w:rsidR="00D67C1E" w:rsidRPr="00283806" w:rsidRDefault="001265CA">
      <w:pPr>
        <w:spacing w:line="180" w:lineRule="exact"/>
        <w:ind w:left="325"/>
        <w:rPr>
          <w:sz w:val="18"/>
        </w:rPr>
      </w:pPr>
      <w:r w:rsidRPr="00283806">
        <w:rPr>
          <w:rFonts w:ascii="Book Antiqua"/>
          <w:i/>
          <w:w w:val="105"/>
          <w:sz w:val="18"/>
        </w:rPr>
        <w:t>Comment:</w:t>
      </w:r>
      <w:r w:rsidRPr="00283806">
        <w:rPr>
          <w:rFonts w:ascii="Book Antiqua"/>
          <w:i/>
          <w:spacing w:val="33"/>
          <w:w w:val="105"/>
          <w:sz w:val="18"/>
        </w:rPr>
        <w:t xml:space="preserve"> </w:t>
      </w:r>
      <w:r w:rsidRPr="00283806">
        <w:rPr>
          <w:w w:val="105"/>
          <w:sz w:val="18"/>
        </w:rPr>
        <w:t>Several</w:t>
      </w:r>
      <w:r w:rsidRPr="00283806">
        <w:rPr>
          <w:spacing w:val="39"/>
          <w:w w:val="105"/>
          <w:sz w:val="18"/>
        </w:rPr>
        <w:t xml:space="preserve"> </w:t>
      </w:r>
      <w:r w:rsidRPr="00283806">
        <w:rPr>
          <w:spacing w:val="-2"/>
          <w:w w:val="105"/>
          <w:sz w:val="18"/>
        </w:rPr>
        <w:t>commenters</w:t>
      </w:r>
    </w:p>
    <w:p w14:paraId="0CBFC5C7" w14:textId="77777777" w:rsidR="00D67C1E" w:rsidRPr="00283806" w:rsidRDefault="001265CA">
      <w:pPr>
        <w:pStyle w:val="BodyText"/>
        <w:spacing w:line="225" w:lineRule="auto"/>
        <w:ind w:left="145" w:right="29"/>
      </w:pPr>
      <w:r w:rsidRPr="00283806">
        <w:rPr>
          <w:w w:val="105"/>
        </w:rPr>
        <w:t xml:space="preserve">supported reclaim requirements for servicing existing equipment. One commenter stated that all HFC refrigerants used in the servicing of equipment should be applicable to the proposal. One commenter generally supported reclaim requirements for the </w:t>
      </w:r>
      <w:proofErr w:type="gramStart"/>
      <w:r w:rsidRPr="00283806">
        <w:rPr>
          <w:w w:val="105"/>
        </w:rPr>
        <w:t>sectors specified</w:t>
      </w:r>
      <w:proofErr w:type="gramEnd"/>
      <w:r w:rsidRPr="00283806">
        <w:rPr>
          <w:w w:val="105"/>
        </w:rPr>
        <w:t>. The commenter recommended extending servicing requirements</w:t>
      </w:r>
      <w:r w:rsidRPr="00283806">
        <w:rPr>
          <w:spacing w:val="-2"/>
          <w:w w:val="105"/>
        </w:rPr>
        <w:t xml:space="preserve"> </w:t>
      </w:r>
      <w:r w:rsidRPr="00283806">
        <w:rPr>
          <w:w w:val="105"/>
        </w:rPr>
        <w:t>to</w:t>
      </w:r>
      <w:r w:rsidRPr="00283806">
        <w:rPr>
          <w:spacing w:val="-2"/>
          <w:w w:val="105"/>
        </w:rPr>
        <w:t xml:space="preserve"> </w:t>
      </w:r>
      <w:r w:rsidRPr="00283806">
        <w:rPr>
          <w:w w:val="105"/>
        </w:rPr>
        <w:t>additional</w:t>
      </w:r>
      <w:r w:rsidRPr="00283806">
        <w:rPr>
          <w:spacing w:val="-2"/>
          <w:w w:val="105"/>
        </w:rPr>
        <w:t xml:space="preserve"> </w:t>
      </w:r>
      <w:r w:rsidRPr="00283806">
        <w:rPr>
          <w:w w:val="105"/>
        </w:rPr>
        <w:t>subsectors</w:t>
      </w:r>
      <w:r w:rsidRPr="00283806">
        <w:rPr>
          <w:spacing w:val="-2"/>
          <w:w w:val="105"/>
        </w:rPr>
        <w:t xml:space="preserve"> </w:t>
      </w:r>
      <w:r w:rsidRPr="00283806">
        <w:rPr>
          <w:w w:val="105"/>
        </w:rPr>
        <w:t>as adequate reclaimed HFC supplies</w:t>
      </w:r>
      <w:r w:rsidRPr="00283806">
        <w:rPr>
          <w:spacing w:val="40"/>
          <w:w w:val="105"/>
        </w:rPr>
        <w:t xml:space="preserve"> </w:t>
      </w:r>
      <w:r w:rsidRPr="00283806">
        <w:rPr>
          <w:w w:val="105"/>
        </w:rPr>
        <w:t>become available. Another commenter supported the role of recovery and reclamation of refrigerants, particularly as the supply of virgin HFCs is reduced.</w:t>
      </w:r>
    </w:p>
    <w:p w14:paraId="34131353" w14:textId="77777777" w:rsidR="00D67C1E" w:rsidRPr="00283806" w:rsidRDefault="001265CA">
      <w:pPr>
        <w:pStyle w:val="BodyText"/>
        <w:spacing w:line="228" w:lineRule="auto"/>
        <w:ind w:left="145" w:firstLine="180"/>
      </w:pPr>
      <w:r w:rsidRPr="00283806">
        <w:rPr>
          <w:w w:val="105"/>
        </w:rPr>
        <w:t>Some commenters expressed support for the use of reclaimed refrigerants in existing equipment and urged EPA to</w:t>
      </w:r>
    </w:p>
    <w:p w14:paraId="5AD91B30" w14:textId="77777777" w:rsidR="00D67C1E" w:rsidRPr="00283806" w:rsidRDefault="001265CA">
      <w:pPr>
        <w:pStyle w:val="BodyText"/>
        <w:spacing w:before="132" w:line="225" w:lineRule="auto"/>
        <w:ind w:left="144" w:right="184"/>
      </w:pPr>
      <w:r w:rsidRPr="00283806">
        <w:br w:type="column"/>
      </w:r>
      <w:r w:rsidRPr="00283806">
        <w:rPr>
          <w:w w:val="105"/>
        </w:rPr>
        <w:t xml:space="preserve">maximize the use of reclaimed refrigerants in the market. One commenter claimed that until the transition to near-zero GWP refrigerants is complete, the use of reclaimed </w:t>
      </w:r>
      <w:proofErr w:type="gramStart"/>
      <w:r w:rsidRPr="00283806">
        <w:rPr>
          <w:w w:val="105"/>
        </w:rPr>
        <w:t>refrigerant</w:t>
      </w:r>
      <w:proofErr w:type="gramEnd"/>
      <w:r w:rsidRPr="00283806">
        <w:rPr>
          <w:w w:val="105"/>
        </w:rPr>
        <w:t xml:space="preserve"> will lessen the impact of continued use of mid-range GWP refrigerants and will help avoid</w:t>
      </w:r>
      <w:r w:rsidRPr="00283806">
        <w:rPr>
          <w:spacing w:val="40"/>
          <w:w w:val="105"/>
        </w:rPr>
        <w:t xml:space="preserve"> </w:t>
      </w:r>
      <w:r w:rsidRPr="00283806">
        <w:rPr>
          <w:w w:val="105"/>
        </w:rPr>
        <w:t xml:space="preserve">stranding existing higher-GWP equipment that may be well within its useful life. Another commenter stated that a reclaim mandate for </w:t>
      </w:r>
      <w:proofErr w:type="gramStart"/>
      <w:r w:rsidRPr="00283806">
        <w:rPr>
          <w:w w:val="105"/>
        </w:rPr>
        <w:t>servicing of</w:t>
      </w:r>
      <w:proofErr w:type="gramEnd"/>
      <w:r w:rsidRPr="00283806">
        <w:rPr>
          <w:w w:val="105"/>
        </w:rPr>
        <w:t xml:space="preserve"> existing equipment would be</w:t>
      </w:r>
      <w:r w:rsidRPr="00283806">
        <w:rPr>
          <w:spacing w:val="80"/>
          <w:w w:val="105"/>
        </w:rPr>
        <w:t xml:space="preserve"> </w:t>
      </w:r>
      <w:r w:rsidRPr="00283806">
        <w:rPr>
          <w:w w:val="105"/>
        </w:rPr>
        <w:t xml:space="preserve">reasonable, as </w:t>
      </w:r>
      <w:proofErr w:type="gramStart"/>
      <w:r w:rsidRPr="00283806">
        <w:rPr>
          <w:w w:val="105"/>
        </w:rPr>
        <w:t>refrigerants</w:t>
      </w:r>
      <w:proofErr w:type="gramEnd"/>
      <w:r w:rsidRPr="00283806">
        <w:rPr>
          <w:w w:val="105"/>
        </w:rPr>
        <w:t xml:space="preserve"> supplied to service equipment are distributed through many channels and would not conflict with current business models. Another commenter requested that reclaimed refrigerants be mandatory only in servicing applications and states that the recovery of high-GWP refrigerants currently in use can be promoted more effectively, leading to a significant contribution towards mitigating global warming.</w:t>
      </w:r>
    </w:p>
    <w:p w14:paraId="55F4D794" w14:textId="77777777" w:rsidR="00D67C1E" w:rsidRPr="00283806" w:rsidRDefault="001265CA">
      <w:pPr>
        <w:pStyle w:val="BodyText"/>
        <w:spacing w:line="171" w:lineRule="exact"/>
        <w:ind w:left="324"/>
      </w:pPr>
      <w:r w:rsidRPr="00283806">
        <w:rPr>
          <w:w w:val="105"/>
        </w:rPr>
        <w:t>Another</w:t>
      </w:r>
      <w:r w:rsidRPr="00283806">
        <w:rPr>
          <w:spacing w:val="8"/>
          <w:w w:val="105"/>
        </w:rPr>
        <w:t xml:space="preserve"> </w:t>
      </w:r>
      <w:r w:rsidRPr="00283806">
        <w:rPr>
          <w:w w:val="105"/>
        </w:rPr>
        <w:t>commenter</w:t>
      </w:r>
      <w:r w:rsidRPr="00283806">
        <w:rPr>
          <w:spacing w:val="9"/>
          <w:w w:val="105"/>
        </w:rPr>
        <w:t xml:space="preserve"> </w:t>
      </w:r>
      <w:r w:rsidRPr="00283806">
        <w:rPr>
          <w:spacing w:val="-2"/>
          <w:w w:val="105"/>
        </w:rPr>
        <w:t>generally</w:t>
      </w:r>
    </w:p>
    <w:p w14:paraId="2CFF2C1F" w14:textId="77777777" w:rsidR="00D67C1E" w:rsidRPr="00283806" w:rsidRDefault="001265CA">
      <w:pPr>
        <w:pStyle w:val="BodyText"/>
        <w:spacing w:before="4" w:line="225" w:lineRule="auto"/>
        <w:ind w:left="144" w:right="121"/>
      </w:pPr>
      <w:r w:rsidRPr="00283806">
        <w:rPr>
          <w:w w:val="105"/>
        </w:rPr>
        <w:t>supported most aspects of the proposed rule and stated that successful carbon reduction initiatives require cooperation among chemical manufacturers, wholesale distributors, technicians,</w:t>
      </w:r>
    </w:p>
    <w:p w14:paraId="544C758E" w14:textId="77777777" w:rsidR="00D67C1E" w:rsidRPr="00283806" w:rsidRDefault="001265CA">
      <w:pPr>
        <w:pStyle w:val="BodyText"/>
        <w:spacing w:line="225" w:lineRule="auto"/>
        <w:ind w:left="144" w:right="210"/>
      </w:pPr>
      <w:r w:rsidRPr="00283806">
        <w:rPr>
          <w:w w:val="105"/>
        </w:rPr>
        <w:t>EPA-certified reclaimers, and government agencies. The commenter appreciated EPA’s transparent, collaborative, and market-neutral approach to the HFC allocation, technology transitions, and refrigerant management rulemakings.</w:t>
      </w:r>
    </w:p>
    <w:p w14:paraId="1446AFB1" w14:textId="77777777" w:rsidR="00D67C1E" w:rsidRPr="00283806" w:rsidRDefault="001265CA">
      <w:pPr>
        <w:spacing w:line="183" w:lineRule="exact"/>
        <w:ind w:left="144" w:firstLine="180"/>
        <w:rPr>
          <w:sz w:val="18"/>
        </w:rPr>
      </w:pPr>
      <w:r w:rsidRPr="00283806">
        <w:rPr>
          <w:rFonts w:ascii="Book Antiqua"/>
          <w:i/>
          <w:w w:val="110"/>
          <w:sz w:val="18"/>
        </w:rPr>
        <w:t>Response:</w:t>
      </w:r>
      <w:r w:rsidRPr="00283806">
        <w:rPr>
          <w:rFonts w:ascii="Book Antiqua"/>
          <w:i/>
          <w:spacing w:val="2"/>
          <w:w w:val="110"/>
          <w:sz w:val="18"/>
        </w:rPr>
        <w:t xml:space="preserve"> </w:t>
      </w:r>
      <w:r w:rsidRPr="00283806">
        <w:rPr>
          <w:w w:val="110"/>
          <w:sz w:val="18"/>
        </w:rPr>
        <w:t>EPA</w:t>
      </w:r>
      <w:r w:rsidRPr="00283806">
        <w:rPr>
          <w:spacing w:val="8"/>
          <w:w w:val="110"/>
          <w:sz w:val="18"/>
        </w:rPr>
        <w:t xml:space="preserve"> </w:t>
      </w:r>
      <w:r w:rsidRPr="00283806">
        <w:rPr>
          <w:w w:val="110"/>
          <w:sz w:val="18"/>
        </w:rPr>
        <w:t>acknowledges</w:t>
      </w:r>
      <w:r w:rsidRPr="00283806">
        <w:rPr>
          <w:spacing w:val="8"/>
          <w:w w:val="110"/>
          <w:sz w:val="18"/>
        </w:rPr>
        <w:t xml:space="preserve"> </w:t>
      </w:r>
      <w:r w:rsidRPr="00283806">
        <w:rPr>
          <w:spacing w:val="-2"/>
          <w:w w:val="110"/>
          <w:sz w:val="18"/>
        </w:rPr>
        <w:t>these</w:t>
      </w:r>
    </w:p>
    <w:p w14:paraId="76CECA60" w14:textId="77777777" w:rsidR="00D67C1E" w:rsidRPr="00283806" w:rsidRDefault="001265CA">
      <w:pPr>
        <w:pStyle w:val="BodyText"/>
        <w:spacing w:line="225" w:lineRule="auto"/>
        <w:ind w:left="144" w:right="181"/>
      </w:pPr>
      <w:r w:rsidRPr="00283806">
        <w:rPr>
          <w:w w:val="105"/>
        </w:rPr>
        <w:t>comments in support of the provisions related to the servicing and/or repair of refrigerant-containing equipment with reclaimed HFCs in certain RACHP subsectors. In the Agency’s view, based in part on its experience with ODS- containing equipment, reclaimed HFCs will play an increasingly key role in supporting existing equipment as virgin materials become scarce; several of</w:t>
      </w:r>
      <w:r w:rsidRPr="00283806">
        <w:rPr>
          <w:spacing w:val="40"/>
          <w:w w:val="105"/>
        </w:rPr>
        <w:t xml:space="preserve"> </w:t>
      </w:r>
      <w:r w:rsidRPr="00283806">
        <w:rPr>
          <w:w w:val="105"/>
        </w:rPr>
        <w:t>these comments provide additional support for that view. As described in more detail in responses later in this section, EPA is establishing</w:t>
      </w:r>
      <w:r w:rsidRPr="00283806">
        <w:rPr>
          <w:spacing w:val="40"/>
          <w:w w:val="105"/>
        </w:rPr>
        <w:t xml:space="preserve"> </w:t>
      </w:r>
      <w:r w:rsidRPr="00283806">
        <w:rPr>
          <w:w w:val="105"/>
        </w:rPr>
        <w:t>requirements for the servicing and/or repair of refrigerant-containing equipment to be done with reclaimed HFCs in three RACHP subsectors: supermarket systems, refrigerated transport, and automatic commercial icemakers. EPA agrees that these requirements for the servicing and/or repair of certain refrigerant-containing equipment to be done with reclaimed HFCs are reasonable and will not be disruptive, as reclaimed refrigerants are available for these sectors and used to</w:t>
      </w:r>
    </w:p>
    <w:p w14:paraId="7636C41A" w14:textId="77777777" w:rsidR="00D67C1E" w:rsidRPr="00283806" w:rsidRDefault="001265CA">
      <w:pPr>
        <w:pStyle w:val="BodyText"/>
        <w:spacing w:line="185" w:lineRule="exact"/>
        <w:ind w:left="144"/>
      </w:pPr>
      <w:r w:rsidRPr="00283806">
        <w:rPr>
          <w:w w:val="105"/>
        </w:rPr>
        <w:t>a</w:t>
      </w:r>
      <w:r w:rsidRPr="00283806">
        <w:rPr>
          <w:spacing w:val="11"/>
          <w:w w:val="105"/>
        </w:rPr>
        <w:t xml:space="preserve"> </w:t>
      </w:r>
      <w:r w:rsidRPr="00283806">
        <w:rPr>
          <w:w w:val="105"/>
        </w:rPr>
        <w:t>degree</w:t>
      </w:r>
      <w:r w:rsidRPr="00283806">
        <w:rPr>
          <w:spacing w:val="12"/>
          <w:w w:val="105"/>
        </w:rPr>
        <w:t xml:space="preserve"> </w:t>
      </w:r>
      <w:r w:rsidRPr="00283806">
        <w:rPr>
          <w:w w:val="105"/>
        </w:rPr>
        <w:t>already.</w:t>
      </w:r>
      <w:r w:rsidRPr="00283806">
        <w:rPr>
          <w:spacing w:val="11"/>
          <w:w w:val="105"/>
        </w:rPr>
        <w:t xml:space="preserve"> </w:t>
      </w:r>
      <w:r w:rsidRPr="00283806">
        <w:rPr>
          <w:w w:val="105"/>
        </w:rPr>
        <w:t>EPA</w:t>
      </w:r>
      <w:r w:rsidRPr="00283806">
        <w:rPr>
          <w:spacing w:val="12"/>
          <w:w w:val="105"/>
        </w:rPr>
        <w:t xml:space="preserve"> </w:t>
      </w:r>
      <w:r w:rsidRPr="00283806">
        <w:rPr>
          <w:w w:val="105"/>
        </w:rPr>
        <w:t>also</w:t>
      </w:r>
      <w:r w:rsidRPr="00283806">
        <w:rPr>
          <w:spacing w:val="11"/>
          <w:w w:val="105"/>
        </w:rPr>
        <w:t xml:space="preserve"> </w:t>
      </w:r>
      <w:r w:rsidRPr="00283806">
        <w:rPr>
          <w:w w:val="105"/>
        </w:rPr>
        <w:t>is</w:t>
      </w:r>
      <w:r w:rsidRPr="00283806">
        <w:rPr>
          <w:spacing w:val="12"/>
          <w:w w:val="105"/>
        </w:rPr>
        <w:t xml:space="preserve"> </w:t>
      </w:r>
      <w:r w:rsidRPr="00283806">
        <w:rPr>
          <w:spacing w:val="-2"/>
          <w:w w:val="105"/>
        </w:rPr>
        <w:t>reiterating</w:t>
      </w:r>
    </w:p>
    <w:p w14:paraId="2E0E03C5" w14:textId="77777777" w:rsidR="00D67C1E" w:rsidRPr="00283806" w:rsidRDefault="001265CA">
      <w:pPr>
        <w:pStyle w:val="BodyText"/>
        <w:spacing w:line="228" w:lineRule="auto"/>
        <w:ind w:left="144" w:right="210"/>
      </w:pPr>
      <w:r w:rsidRPr="00283806">
        <w:rPr>
          <w:w w:val="105"/>
        </w:rPr>
        <w:t xml:space="preserve">that the Agency is not </w:t>
      </w:r>
      <w:proofErr w:type="gramStart"/>
      <w:r w:rsidRPr="00283806">
        <w:rPr>
          <w:w w:val="105"/>
        </w:rPr>
        <w:t>at this time</w:t>
      </w:r>
      <w:proofErr w:type="gramEnd"/>
      <w:r w:rsidRPr="00283806">
        <w:rPr>
          <w:w w:val="105"/>
        </w:rPr>
        <w:t xml:space="preserve"> establishing requirements for the initial</w:t>
      </w:r>
    </w:p>
    <w:p w14:paraId="6AB36CD0"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5" w:space="40"/>
            <w:col w:w="3502" w:space="39"/>
            <w:col w:w="3624"/>
          </w:cols>
        </w:sectPr>
      </w:pPr>
    </w:p>
    <w:p w14:paraId="00625603" w14:textId="77777777" w:rsidR="00D67C1E" w:rsidRPr="00283806" w:rsidRDefault="001265CA">
      <w:pPr>
        <w:pStyle w:val="BodyText"/>
        <w:spacing w:before="136" w:line="225" w:lineRule="auto"/>
        <w:ind w:right="60"/>
      </w:pPr>
      <w:r w:rsidRPr="00283806">
        <w:rPr>
          <w:w w:val="105"/>
        </w:rPr>
        <w:lastRenderedPageBreak/>
        <w:t>fill of refrigerant-containing equipment with reclaimed HFCs in any RACHP subsectors and is maintaining the focus of this rulemaking on servicing and/or repair of equipment in the covered RACHP subsectors.</w:t>
      </w:r>
    </w:p>
    <w:p w14:paraId="578A5A86" w14:textId="77777777" w:rsidR="00D67C1E" w:rsidRPr="00283806" w:rsidRDefault="001265CA">
      <w:pPr>
        <w:pStyle w:val="BodyText"/>
        <w:spacing w:line="178" w:lineRule="exact"/>
        <w:ind w:left="340"/>
      </w:pPr>
      <w:r w:rsidRPr="00283806">
        <w:rPr>
          <w:spacing w:val="2"/>
        </w:rPr>
        <w:t>EPA</w:t>
      </w:r>
      <w:r w:rsidRPr="00283806">
        <w:rPr>
          <w:spacing w:val="47"/>
        </w:rPr>
        <w:t xml:space="preserve"> </w:t>
      </w:r>
      <w:r w:rsidRPr="00283806">
        <w:rPr>
          <w:spacing w:val="2"/>
        </w:rPr>
        <w:t>acknowledges</w:t>
      </w:r>
      <w:r w:rsidRPr="00283806">
        <w:rPr>
          <w:spacing w:val="47"/>
        </w:rPr>
        <w:t xml:space="preserve"> </w:t>
      </w:r>
      <w:r w:rsidRPr="00283806">
        <w:rPr>
          <w:spacing w:val="-2"/>
        </w:rPr>
        <w:t>comments</w:t>
      </w:r>
    </w:p>
    <w:p w14:paraId="71BFB1AD" w14:textId="77777777" w:rsidR="00D67C1E" w:rsidRPr="00283806" w:rsidRDefault="001265CA">
      <w:pPr>
        <w:pStyle w:val="BodyText"/>
        <w:spacing w:before="4" w:line="225" w:lineRule="auto"/>
        <w:ind w:right="60"/>
      </w:pPr>
      <w:r w:rsidRPr="00283806">
        <w:rPr>
          <w:w w:val="105"/>
        </w:rPr>
        <w:t>regarding evaluating for additional applicability of the requirements for servicing and/or repair of refrigerant- containing equipment with reclaimed HFCs in other RACHP subsectors. The Agency discusses the consideration of additional subsectors in another response in this section.</w:t>
      </w:r>
    </w:p>
    <w:p w14:paraId="621030C2" w14:textId="77777777" w:rsidR="00D67C1E" w:rsidRPr="00283806" w:rsidRDefault="001265CA">
      <w:pPr>
        <w:pStyle w:val="BodyText"/>
        <w:spacing w:line="213" w:lineRule="auto"/>
        <w:ind w:right="60" w:firstLine="180"/>
      </w:pPr>
      <w:r w:rsidRPr="00283806">
        <w:rPr>
          <w:rFonts w:ascii="Book Antiqua"/>
          <w:i/>
          <w:w w:val="105"/>
        </w:rPr>
        <w:t xml:space="preserve">Comment: </w:t>
      </w:r>
      <w:r w:rsidRPr="00283806">
        <w:rPr>
          <w:w w:val="105"/>
        </w:rPr>
        <w:t>One commenter stated that reclaimed refrigerant has played a</w:t>
      </w:r>
    </w:p>
    <w:p w14:paraId="222B6682" w14:textId="77777777" w:rsidR="00D67C1E" w:rsidRPr="00283806" w:rsidRDefault="001265CA">
      <w:pPr>
        <w:pStyle w:val="BodyText"/>
        <w:spacing w:line="225" w:lineRule="auto"/>
        <w:ind w:right="114"/>
      </w:pPr>
      <w:r w:rsidRPr="00283806">
        <w:rPr>
          <w:w w:val="105"/>
        </w:rPr>
        <w:t>crucial role in maintaining chillers for decades, starting with CFCs. The commenter also noted that reclaimed HCFC–22 played a critical role in the</w:t>
      </w:r>
      <w:r w:rsidRPr="00283806">
        <w:rPr>
          <w:spacing w:val="40"/>
          <w:w w:val="105"/>
        </w:rPr>
        <w:t xml:space="preserve"> </w:t>
      </w:r>
      <w:r w:rsidRPr="00283806">
        <w:rPr>
          <w:w w:val="105"/>
        </w:rPr>
        <w:t>gaps of supply after EPA, in compliance with the Montreal Protocol, accelerated the HCFC phaseout schedule and</w:t>
      </w:r>
      <w:r w:rsidRPr="00283806">
        <w:rPr>
          <w:spacing w:val="80"/>
          <w:w w:val="105"/>
        </w:rPr>
        <w:t xml:space="preserve"> </w:t>
      </w:r>
      <w:r w:rsidRPr="00283806">
        <w:rPr>
          <w:w w:val="105"/>
        </w:rPr>
        <w:t>banned HCFC–22 for new equipment when there were brief periods of concerns about shortages for servicing.</w:t>
      </w:r>
    </w:p>
    <w:p w14:paraId="76084F82" w14:textId="77777777" w:rsidR="00D67C1E" w:rsidRPr="00283806" w:rsidRDefault="001265CA">
      <w:pPr>
        <w:pStyle w:val="BodyText"/>
        <w:spacing w:line="213" w:lineRule="auto"/>
        <w:ind w:right="60" w:firstLine="180"/>
      </w:pPr>
      <w:r w:rsidRPr="00283806">
        <w:rPr>
          <w:rFonts w:ascii="Book Antiqua"/>
          <w:i/>
          <w:w w:val="105"/>
        </w:rPr>
        <w:t xml:space="preserve">Response: </w:t>
      </w:r>
      <w:r w:rsidRPr="00283806">
        <w:rPr>
          <w:w w:val="105"/>
        </w:rPr>
        <w:t xml:space="preserve">EPA acknowledges this comment and agrees </w:t>
      </w:r>
      <w:proofErr w:type="gramStart"/>
      <w:r w:rsidRPr="00283806">
        <w:rPr>
          <w:w w:val="105"/>
        </w:rPr>
        <w:t>that</w:t>
      </w:r>
      <w:proofErr w:type="gramEnd"/>
      <w:r w:rsidRPr="00283806">
        <w:rPr>
          <w:w w:val="105"/>
        </w:rPr>
        <w:t xml:space="preserve"> reclaimed</w:t>
      </w:r>
    </w:p>
    <w:p w14:paraId="37DF169A" w14:textId="77777777" w:rsidR="00D67C1E" w:rsidRPr="00283806" w:rsidRDefault="001265CA">
      <w:pPr>
        <w:pStyle w:val="BodyText"/>
        <w:spacing w:line="225" w:lineRule="auto"/>
        <w:ind w:right="60"/>
      </w:pPr>
      <w:r w:rsidRPr="00283806">
        <w:rPr>
          <w:w w:val="105"/>
        </w:rPr>
        <w:t>refrigerants have played an important role</w:t>
      </w:r>
      <w:r w:rsidRPr="00283806">
        <w:rPr>
          <w:spacing w:val="40"/>
          <w:w w:val="105"/>
        </w:rPr>
        <w:t xml:space="preserve"> </w:t>
      </w:r>
      <w:r w:rsidRPr="00283806">
        <w:rPr>
          <w:w w:val="105"/>
        </w:rPr>
        <w:t>in</w:t>
      </w:r>
      <w:r w:rsidRPr="00283806">
        <w:rPr>
          <w:spacing w:val="40"/>
          <w:w w:val="105"/>
        </w:rPr>
        <w:t xml:space="preserve"> </w:t>
      </w:r>
      <w:r w:rsidRPr="00283806">
        <w:rPr>
          <w:w w:val="105"/>
        </w:rPr>
        <w:t>servicing</w:t>
      </w:r>
      <w:r w:rsidRPr="00283806">
        <w:rPr>
          <w:spacing w:val="40"/>
          <w:w w:val="105"/>
        </w:rPr>
        <w:t xml:space="preserve"> </w:t>
      </w:r>
      <w:r w:rsidRPr="00283806">
        <w:rPr>
          <w:w w:val="105"/>
        </w:rPr>
        <w:t>ODS</w:t>
      </w:r>
      <w:r w:rsidRPr="00283806">
        <w:rPr>
          <w:spacing w:val="40"/>
          <w:w w:val="105"/>
        </w:rPr>
        <w:t xml:space="preserve"> </w:t>
      </w:r>
      <w:r w:rsidRPr="00283806">
        <w:rPr>
          <w:w w:val="105"/>
        </w:rPr>
        <w:t>equipment leading up to and since the production and consumption of those ODS have</w:t>
      </w:r>
      <w:r w:rsidRPr="00283806">
        <w:rPr>
          <w:spacing w:val="40"/>
          <w:w w:val="105"/>
        </w:rPr>
        <w:t xml:space="preserve"> </w:t>
      </w:r>
      <w:r w:rsidRPr="00283806">
        <w:rPr>
          <w:w w:val="105"/>
        </w:rPr>
        <w:t>been phased out, as noted in a prior response in this section the Agency’s experience with ODS-containing equipment informs its view that reclaimed</w:t>
      </w:r>
      <w:r w:rsidRPr="00283806">
        <w:rPr>
          <w:spacing w:val="40"/>
          <w:w w:val="105"/>
        </w:rPr>
        <w:t xml:space="preserve"> </w:t>
      </w:r>
      <w:r w:rsidRPr="00283806">
        <w:rPr>
          <w:w w:val="105"/>
        </w:rPr>
        <w:t>HFCs</w:t>
      </w:r>
      <w:r w:rsidRPr="00283806">
        <w:rPr>
          <w:spacing w:val="40"/>
          <w:w w:val="105"/>
        </w:rPr>
        <w:t xml:space="preserve"> </w:t>
      </w:r>
      <w:r w:rsidRPr="00283806">
        <w:rPr>
          <w:w w:val="105"/>
        </w:rPr>
        <w:t>will</w:t>
      </w:r>
      <w:r w:rsidRPr="00283806">
        <w:rPr>
          <w:spacing w:val="40"/>
          <w:w w:val="105"/>
        </w:rPr>
        <w:t xml:space="preserve"> </w:t>
      </w:r>
      <w:r w:rsidRPr="00283806">
        <w:rPr>
          <w:w w:val="105"/>
        </w:rPr>
        <w:t>play</w:t>
      </w:r>
      <w:r w:rsidRPr="00283806">
        <w:rPr>
          <w:spacing w:val="40"/>
          <w:w w:val="105"/>
        </w:rPr>
        <w:t xml:space="preserve"> </w:t>
      </w:r>
      <w:r w:rsidRPr="00283806">
        <w:rPr>
          <w:w w:val="105"/>
        </w:rPr>
        <w:t>an increasingly key role to support existing equipment as virgin materials become more limited. While this rulemaking</w:t>
      </w:r>
      <w:r w:rsidRPr="00283806">
        <w:rPr>
          <w:spacing w:val="40"/>
          <w:w w:val="105"/>
        </w:rPr>
        <w:t xml:space="preserve"> </w:t>
      </w:r>
      <w:r w:rsidRPr="00283806">
        <w:rPr>
          <w:w w:val="105"/>
        </w:rPr>
        <w:t>does not include required use of reclaimed HFCs for chillers, EPA notes the commenter’s example of the importance of reclaimed refrigerants to meet servicing demand where virgin refrigerants have become scarce.</w:t>
      </w:r>
    </w:p>
    <w:p w14:paraId="0472ECD6" w14:textId="77777777" w:rsidR="00D67C1E" w:rsidRPr="00283806" w:rsidRDefault="001265CA">
      <w:pPr>
        <w:spacing w:line="179" w:lineRule="exact"/>
        <w:ind w:left="340"/>
        <w:rPr>
          <w:sz w:val="18"/>
        </w:rPr>
      </w:pPr>
      <w:r w:rsidRPr="00283806">
        <w:rPr>
          <w:rFonts w:ascii="Book Antiqua"/>
          <w:i/>
          <w:w w:val="105"/>
          <w:sz w:val="18"/>
        </w:rPr>
        <w:t>Comment:</w:t>
      </w:r>
      <w:r w:rsidRPr="00283806">
        <w:rPr>
          <w:rFonts w:ascii="Book Antiqua"/>
          <w:i/>
          <w:spacing w:val="20"/>
          <w:w w:val="105"/>
          <w:sz w:val="18"/>
        </w:rPr>
        <w:t xml:space="preserve"> </w:t>
      </w:r>
      <w:r w:rsidRPr="00283806">
        <w:rPr>
          <w:w w:val="105"/>
          <w:sz w:val="18"/>
        </w:rPr>
        <w:t>Some</w:t>
      </w:r>
      <w:r w:rsidRPr="00283806">
        <w:rPr>
          <w:spacing w:val="26"/>
          <w:w w:val="105"/>
          <w:sz w:val="18"/>
        </w:rPr>
        <w:t xml:space="preserve"> </w:t>
      </w:r>
      <w:r w:rsidRPr="00283806">
        <w:rPr>
          <w:w w:val="105"/>
          <w:sz w:val="18"/>
        </w:rPr>
        <w:t>commenters</w:t>
      </w:r>
      <w:r w:rsidRPr="00283806">
        <w:rPr>
          <w:spacing w:val="25"/>
          <w:w w:val="105"/>
          <w:sz w:val="18"/>
        </w:rPr>
        <w:t xml:space="preserve"> </w:t>
      </w:r>
      <w:r w:rsidRPr="00283806">
        <w:rPr>
          <w:spacing w:val="-2"/>
          <w:w w:val="105"/>
          <w:sz w:val="18"/>
        </w:rPr>
        <w:t>opposed</w:t>
      </w:r>
    </w:p>
    <w:p w14:paraId="47F48DE1" w14:textId="77777777" w:rsidR="00D67C1E" w:rsidRPr="00283806" w:rsidRDefault="001265CA">
      <w:pPr>
        <w:pStyle w:val="BodyText"/>
        <w:spacing w:line="228" w:lineRule="auto"/>
      </w:pPr>
      <w:r w:rsidRPr="00283806">
        <w:rPr>
          <w:w w:val="105"/>
        </w:rPr>
        <w:t>the</w:t>
      </w:r>
      <w:r w:rsidRPr="00283806">
        <w:rPr>
          <w:spacing w:val="-1"/>
          <w:w w:val="105"/>
        </w:rPr>
        <w:t xml:space="preserve"> </w:t>
      </w:r>
      <w:r w:rsidRPr="00283806">
        <w:rPr>
          <w:w w:val="105"/>
        </w:rPr>
        <w:t>proposed</w:t>
      </w:r>
      <w:r w:rsidRPr="00283806">
        <w:rPr>
          <w:spacing w:val="-1"/>
          <w:w w:val="105"/>
        </w:rPr>
        <w:t xml:space="preserve"> </w:t>
      </w:r>
      <w:r w:rsidRPr="00283806">
        <w:rPr>
          <w:w w:val="105"/>
        </w:rPr>
        <w:t>requirements</w:t>
      </w:r>
      <w:r w:rsidRPr="00283806">
        <w:rPr>
          <w:spacing w:val="-1"/>
          <w:w w:val="105"/>
        </w:rPr>
        <w:t xml:space="preserve"> </w:t>
      </w:r>
      <w:r w:rsidRPr="00283806">
        <w:rPr>
          <w:w w:val="105"/>
        </w:rPr>
        <w:t>for</w:t>
      </w:r>
      <w:r w:rsidRPr="00283806">
        <w:rPr>
          <w:spacing w:val="-1"/>
          <w:w w:val="105"/>
        </w:rPr>
        <w:t xml:space="preserve"> </w:t>
      </w:r>
      <w:r w:rsidRPr="00283806">
        <w:rPr>
          <w:w w:val="105"/>
        </w:rPr>
        <w:t>the</w:t>
      </w:r>
      <w:r w:rsidRPr="00283806">
        <w:rPr>
          <w:spacing w:val="-1"/>
          <w:w w:val="105"/>
        </w:rPr>
        <w:t xml:space="preserve"> </w:t>
      </w:r>
      <w:r w:rsidRPr="00283806">
        <w:rPr>
          <w:w w:val="105"/>
        </w:rPr>
        <w:t>use</w:t>
      </w:r>
      <w:r w:rsidRPr="00283806">
        <w:rPr>
          <w:spacing w:val="-1"/>
          <w:w w:val="105"/>
        </w:rPr>
        <w:t xml:space="preserve"> </w:t>
      </w:r>
      <w:r w:rsidRPr="00283806">
        <w:rPr>
          <w:w w:val="105"/>
        </w:rPr>
        <w:t>of recovered and reclaimed HFCs for</w:t>
      </w:r>
      <w:r w:rsidRPr="00283806">
        <w:rPr>
          <w:spacing w:val="40"/>
          <w:w w:val="105"/>
        </w:rPr>
        <w:t xml:space="preserve"> </w:t>
      </w:r>
      <w:r w:rsidRPr="00283806">
        <w:rPr>
          <w:w w:val="105"/>
        </w:rPr>
        <w:t>certain RACHP subsectors for servicing</w:t>
      </w:r>
      <w:r w:rsidRPr="00283806">
        <w:rPr>
          <w:spacing w:val="40"/>
          <w:w w:val="105"/>
        </w:rPr>
        <w:t xml:space="preserve"> </w:t>
      </w:r>
      <w:r w:rsidRPr="00283806">
        <w:rPr>
          <w:w w:val="105"/>
        </w:rPr>
        <w:t xml:space="preserve">of existing equipment. The commenters claimed that the proposal is </w:t>
      </w:r>
      <w:proofErr w:type="gramStart"/>
      <w:r w:rsidRPr="00283806">
        <w:rPr>
          <w:w w:val="105"/>
        </w:rPr>
        <w:t>creating</w:t>
      </w:r>
      <w:proofErr w:type="gramEnd"/>
      <w:r w:rsidRPr="00283806">
        <w:rPr>
          <w:w w:val="105"/>
        </w:rPr>
        <w:t xml:space="preserve"> consternation and uncertainty for their supermarket customers who have already been converting their systems to </w:t>
      </w:r>
      <w:proofErr w:type="gramStart"/>
      <w:r w:rsidRPr="00283806">
        <w:rPr>
          <w:w w:val="105"/>
        </w:rPr>
        <w:t>low-GWP</w:t>
      </w:r>
      <w:proofErr w:type="gramEnd"/>
      <w:r w:rsidRPr="00283806">
        <w:rPr>
          <w:w w:val="105"/>
        </w:rPr>
        <w:t xml:space="preserve"> refrigerants as quickly as possible. The commenters also asserted that the HFC phasedown and 2023 Technology Transitions Rule will create demand for reclaimed refrigerants, and EPA does not need to impose mandates</w:t>
      </w:r>
      <w:r w:rsidRPr="00283806">
        <w:rPr>
          <w:spacing w:val="40"/>
          <w:w w:val="105"/>
        </w:rPr>
        <w:t xml:space="preserve"> </w:t>
      </w:r>
      <w:r w:rsidRPr="00283806">
        <w:rPr>
          <w:w w:val="105"/>
        </w:rPr>
        <w:t>to accomplish this. The commenters strongly encouraged EPA to withdraw any mandates on the use of reclaimed refrigerant and allow market dynamics</w:t>
      </w:r>
      <w:r w:rsidRPr="00283806">
        <w:rPr>
          <w:spacing w:val="40"/>
          <w:w w:val="105"/>
        </w:rPr>
        <w:t xml:space="preserve"> </w:t>
      </w:r>
      <w:r w:rsidRPr="00283806">
        <w:rPr>
          <w:w w:val="105"/>
        </w:rPr>
        <w:t>to create an increased demand for reclaimed refrigerant without the added burden of a compliance risk. A few</w:t>
      </w:r>
    </w:p>
    <w:p w14:paraId="0BF3DD2A" w14:textId="77777777" w:rsidR="00D67C1E" w:rsidRPr="00283806" w:rsidRDefault="001265CA">
      <w:pPr>
        <w:pStyle w:val="BodyText"/>
        <w:spacing w:before="135" w:line="225" w:lineRule="auto"/>
        <w:ind w:left="152" w:right="62"/>
      </w:pPr>
      <w:r w:rsidRPr="00283806">
        <w:br w:type="column"/>
      </w:r>
      <w:r w:rsidRPr="00283806">
        <w:rPr>
          <w:w w:val="105"/>
        </w:rPr>
        <w:t>additional commenters expressed opposition to mandating the use of reclaimed HFCs in the specific refrigeration sectors, arguing it is unnecessary market manipulation.</w:t>
      </w:r>
      <w:r w:rsidRPr="00283806">
        <w:rPr>
          <w:spacing w:val="40"/>
          <w:w w:val="105"/>
        </w:rPr>
        <w:t xml:space="preserve"> </w:t>
      </w:r>
      <w:r w:rsidRPr="00283806">
        <w:rPr>
          <w:w w:val="105"/>
        </w:rPr>
        <w:t>Some of these commenters added that the best time for switching may not be the same across all sectors and supported allowing market forces to drive the transition to reclaimed HFCs. The commenters claimed that regulations may distort key market features and negatively impact consumers. Another commenter suggested</w:t>
      </w:r>
      <w:r w:rsidRPr="00283806">
        <w:rPr>
          <w:spacing w:val="-1"/>
          <w:w w:val="105"/>
        </w:rPr>
        <w:t xml:space="preserve"> </w:t>
      </w:r>
      <w:r w:rsidRPr="00283806">
        <w:rPr>
          <w:w w:val="105"/>
        </w:rPr>
        <w:t>that</w:t>
      </w:r>
      <w:r w:rsidRPr="00283806">
        <w:rPr>
          <w:spacing w:val="-1"/>
          <w:w w:val="105"/>
        </w:rPr>
        <w:t xml:space="preserve"> </w:t>
      </w:r>
      <w:r w:rsidRPr="00283806">
        <w:rPr>
          <w:w w:val="105"/>
        </w:rPr>
        <w:t>EPA</w:t>
      </w:r>
      <w:r w:rsidRPr="00283806">
        <w:rPr>
          <w:spacing w:val="-1"/>
          <w:w w:val="105"/>
        </w:rPr>
        <w:t xml:space="preserve"> </w:t>
      </w:r>
      <w:proofErr w:type="gramStart"/>
      <w:r w:rsidRPr="00283806">
        <w:rPr>
          <w:w w:val="105"/>
        </w:rPr>
        <w:t>delete</w:t>
      </w:r>
      <w:proofErr w:type="gramEnd"/>
      <w:r w:rsidRPr="00283806">
        <w:rPr>
          <w:spacing w:val="-1"/>
          <w:w w:val="105"/>
        </w:rPr>
        <w:t xml:space="preserve"> </w:t>
      </w:r>
      <w:r w:rsidRPr="00283806">
        <w:rPr>
          <w:w w:val="105"/>
        </w:rPr>
        <w:t>requirements for use of reclaimed refrigerants from the rule.</w:t>
      </w:r>
    </w:p>
    <w:p w14:paraId="2578415E" w14:textId="77777777" w:rsidR="00D67C1E" w:rsidRPr="00283806" w:rsidRDefault="001265CA">
      <w:pPr>
        <w:pStyle w:val="BodyText"/>
        <w:spacing w:line="174" w:lineRule="exact"/>
        <w:ind w:left="332"/>
      </w:pPr>
      <w:r w:rsidRPr="00283806">
        <w:rPr>
          <w:w w:val="105"/>
        </w:rPr>
        <w:t>One</w:t>
      </w:r>
      <w:r w:rsidRPr="00283806">
        <w:rPr>
          <w:spacing w:val="5"/>
          <w:w w:val="105"/>
        </w:rPr>
        <w:t xml:space="preserve"> </w:t>
      </w:r>
      <w:r w:rsidRPr="00283806">
        <w:rPr>
          <w:w w:val="105"/>
        </w:rPr>
        <w:t>commenter</w:t>
      </w:r>
      <w:r w:rsidRPr="00283806">
        <w:rPr>
          <w:spacing w:val="6"/>
          <w:w w:val="105"/>
        </w:rPr>
        <w:t xml:space="preserve"> </w:t>
      </w:r>
      <w:r w:rsidRPr="00283806">
        <w:rPr>
          <w:w w:val="105"/>
        </w:rPr>
        <w:t>suggested</w:t>
      </w:r>
      <w:r w:rsidRPr="00283806">
        <w:rPr>
          <w:spacing w:val="6"/>
          <w:w w:val="105"/>
        </w:rPr>
        <w:t xml:space="preserve"> </w:t>
      </w:r>
      <w:r w:rsidRPr="00283806">
        <w:rPr>
          <w:w w:val="105"/>
        </w:rPr>
        <w:t>that</w:t>
      </w:r>
      <w:r w:rsidRPr="00283806">
        <w:rPr>
          <w:spacing w:val="6"/>
          <w:w w:val="105"/>
        </w:rPr>
        <w:t xml:space="preserve"> </w:t>
      </w:r>
      <w:r w:rsidRPr="00283806">
        <w:rPr>
          <w:spacing w:val="-5"/>
          <w:w w:val="105"/>
        </w:rPr>
        <w:t>the</w:t>
      </w:r>
    </w:p>
    <w:p w14:paraId="117073F7" w14:textId="77777777" w:rsidR="00D67C1E" w:rsidRPr="00283806" w:rsidRDefault="001265CA">
      <w:pPr>
        <w:pStyle w:val="BodyText"/>
        <w:spacing w:before="4" w:line="225" w:lineRule="auto"/>
        <w:ind w:left="152"/>
      </w:pPr>
      <w:r w:rsidRPr="00283806">
        <w:rPr>
          <w:w w:val="105"/>
        </w:rPr>
        <w:t>phasedown schedule, most imminently the 2024 reduction, will significantly reduce the supply of regulated substances. The commenter further stated that with the reduction in available allowances to produce or import virgin regulated substances, the supply of higher-GWP refrigerants will</w:t>
      </w:r>
      <w:r w:rsidRPr="00283806">
        <w:rPr>
          <w:spacing w:val="40"/>
          <w:w w:val="105"/>
        </w:rPr>
        <w:t xml:space="preserve"> </w:t>
      </w:r>
      <w:r w:rsidRPr="00283806">
        <w:rPr>
          <w:w w:val="105"/>
        </w:rPr>
        <w:t>be reduced such that sufficient</w:t>
      </w:r>
      <w:r w:rsidRPr="00283806">
        <w:rPr>
          <w:spacing w:val="80"/>
          <w:w w:val="105"/>
        </w:rPr>
        <w:t xml:space="preserve"> </w:t>
      </w:r>
      <w:r w:rsidRPr="00283806">
        <w:rPr>
          <w:w w:val="105"/>
        </w:rPr>
        <w:t>allocation is available to meet demand</w:t>
      </w:r>
      <w:r w:rsidRPr="00283806">
        <w:rPr>
          <w:spacing w:val="40"/>
          <w:w w:val="105"/>
        </w:rPr>
        <w:t xml:space="preserve"> </w:t>
      </w:r>
      <w:r w:rsidRPr="00283806">
        <w:rPr>
          <w:w w:val="105"/>
        </w:rPr>
        <w:t xml:space="preserve">for lower-GWP refrigerants. The commenter stated that the 2023 Technology Transitions Rule by </w:t>
      </w:r>
      <w:proofErr w:type="gramStart"/>
      <w:r w:rsidRPr="00283806">
        <w:rPr>
          <w:w w:val="105"/>
        </w:rPr>
        <w:t>design,</w:t>
      </w:r>
      <w:proofErr w:type="gramEnd"/>
      <w:r w:rsidRPr="00283806">
        <w:rPr>
          <w:w w:val="105"/>
        </w:rPr>
        <w:t xml:space="preserve"> will increase the demand for lower-</w:t>
      </w:r>
      <w:r w:rsidRPr="00283806">
        <w:rPr>
          <w:spacing w:val="80"/>
          <w:w w:val="105"/>
        </w:rPr>
        <w:t xml:space="preserve"> </w:t>
      </w:r>
      <w:r w:rsidRPr="00283806">
        <w:rPr>
          <w:w w:val="105"/>
        </w:rPr>
        <w:t>GWP refrigerants exponentially each</w:t>
      </w:r>
      <w:r w:rsidRPr="00283806">
        <w:rPr>
          <w:spacing w:val="40"/>
          <w:w w:val="105"/>
        </w:rPr>
        <w:t xml:space="preserve"> </w:t>
      </w:r>
      <w:r w:rsidRPr="00283806">
        <w:rPr>
          <w:w w:val="105"/>
        </w:rPr>
        <w:t>year due to new appliance GWP limits. The resulting dynamic of these requirements will lead to an increase in the demand for reclaimed HFCs, especially</w:t>
      </w:r>
      <w:r w:rsidRPr="00283806">
        <w:rPr>
          <w:spacing w:val="40"/>
          <w:w w:val="105"/>
        </w:rPr>
        <w:t xml:space="preserve"> </w:t>
      </w:r>
      <w:r w:rsidRPr="00283806">
        <w:rPr>
          <w:w w:val="105"/>
        </w:rPr>
        <w:t>to</w:t>
      </w:r>
      <w:r w:rsidRPr="00283806">
        <w:rPr>
          <w:spacing w:val="40"/>
          <w:w w:val="105"/>
        </w:rPr>
        <w:t xml:space="preserve"> </w:t>
      </w:r>
      <w:r w:rsidRPr="00283806">
        <w:rPr>
          <w:w w:val="105"/>
        </w:rPr>
        <w:t>service</w:t>
      </w:r>
      <w:r w:rsidRPr="00283806">
        <w:rPr>
          <w:spacing w:val="40"/>
          <w:w w:val="105"/>
        </w:rPr>
        <w:t xml:space="preserve"> </w:t>
      </w:r>
      <w:r w:rsidRPr="00283806">
        <w:rPr>
          <w:w w:val="105"/>
        </w:rPr>
        <w:t>the</w:t>
      </w:r>
      <w:r w:rsidRPr="00283806">
        <w:rPr>
          <w:spacing w:val="40"/>
          <w:w w:val="105"/>
        </w:rPr>
        <w:t xml:space="preserve"> </w:t>
      </w:r>
      <w:r w:rsidRPr="00283806">
        <w:rPr>
          <w:w w:val="105"/>
        </w:rPr>
        <w:t>installed</w:t>
      </w:r>
      <w:r w:rsidRPr="00283806">
        <w:rPr>
          <w:spacing w:val="40"/>
          <w:w w:val="105"/>
        </w:rPr>
        <w:t xml:space="preserve"> </w:t>
      </w:r>
      <w:r w:rsidRPr="00283806">
        <w:rPr>
          <w:w w:val="105"/>
        </w:rPr>
        <w:t>base of higher-GWP refrigerant-containing appliances. The commenter also stated that there is no evidence that the requirement to use reclaimed HFCs will lead to greater reclamation, and the Agency did not show how this aspect of the rule would reduce releases of refrigerant. Further, the commenter stated there is no need for regulation to create</w:t>
      </w:r>
      <w:r w:rsidRPr="00283806">
        <w:rPr>
          <w:spacing w:val="-1"/>
          <w:w w:val="105"/>
        </w:rPr>
        <w:t xml:space="preserve"> </w:t>
      </w:r>
      <w:r w:rsidRPr="00283806">
        <w:rPr>
          <w:w w:val="105"/>
        </w:rPr>
        <w:t>demand</w:t>
      </w:r>
      <w:r w:rsidRPr="00283806">
        <w:rPr>
          <w:spacing w:val="-1"/>
          <w:w w:val="105"/>
        </w:rPr>
        <w:t xml:space="preserve"> </w:t>
      </w:r>
      <w:r w:rsidRPr="00283806">
        <w:rPr>
          <w:w w:val="105"/>
        </w:rPr>
        <w:t>for</w:t>
      </w:r>
      <w:r w:rsidRPr="00283806">
        <w:rPr>
          <w:spacing w:val="-1"/>
          <w:w w:val="105"/>
        </w:rPr>
        <w:t xml:space="preserve"> </w:t>
      </w:r>
      <w:r w:rsidRPr="00283806">
        <w:rPr>
          <w:w w:val="105"/>
        </w:rPr>
        <w:t>reclaimed</w:t>
      </w:r>
      <w:r w:rsidRPr="00283806">
        <w:rPr>
          <w:spacing w:val="-1"/>
          <w:w w:val="105"/>
        </w:rPr>
        <w:t xml:space="preserve"> </w:t>
      </w:r>
      <w:r w:rsidRPr="00283806">
        <w:rPr>
          <w:w w:val="105"/>
        </w:rPr>
        <w:t xml:space="preserve">refrigerant. For these reasons, the commenter stated that EPA’s proposal to require the use of reclaimed </w:t>
      </w:r>
      <w:proofErr w:type="gramStart"/>
      <w:r w:rsidRPr="00283806">
        <w:rPr>
          <w:w w:val="105"/>
        </w:rPr>
        <w:t>refrigerants</w:t>
      </w:r>
      <w:proofErr w:type="gramEnd"/>
      <w:r w:rsidRPr="00283806">
        <w:rPr>
          <w:w w:val="105"/>
        </w:rPr>
        <w:t xml:space="preserve"> in </w:t>
      </w:r>
      <w:proofErr w:type="gramStart"/>
      <w:r w:rsidRPr="00283806">
        <w:rPr>
          <w:w w:val="105"/>
        </w:rPr>
        <w:t>servicing of</w:t>
      </w:r>
      <w:proofErr w:type="gramEnd"/>
      <w:r w:rsidRPr="00283806">
        <w:rPr>
          <w:w w:val="105"/>
        </w:rPr>
        <w:t xml:space="preserve"> certain equipment is unneeded.</w:t>
      </w:r>
    </w:p>
    <w:p w14:paraId="221D82C7" w14:textId="77777777" w:rsidR="00D67C1E" w:rsidRPr="00283806" w:rsidRDefault="001265CA">
      <w:pPr>
        <w:spacing w:line="173" w:lineRule="exact"/>
        <w:ind w:left="332"/>
        <w:rPr>
          <w:sz w:val="18"/>
        </w:rPr>
      </w:pPr>
      <w:r w:rsidRPr="00283806">
        <w:rPr>
          <w:rFonts w:ascii="Book Antiqua"/>
          <w:i/>
          <w:w w:val="110"/>
          <w:sz w:val="18"/>
        </w:rPr>
        <w:t>Response:</w:t>
      </w:r>
      <w:r w:rsidRPr="00283806">
        <w:rPr>
          <w:rFonts w:ascii="Book Antiqua"/>
          <w:i/>
          <w:spacing w:val="2"/>
          <w:w w:val="110"/>
          <w:sz w:val="18"/>
        </w:rPr>
        <w:t xml:space="preserve"> </w:t>
      </w:r>
      <w:r w:rsidRPr="00283806">
        <w:rPr>
          <w:w w:val="110"/>
          <w:sz w:val="18"/>
        </w:rPr>
        <w:t>EPA</w:t>
      </w:r>
      <w:r w:rsidRPr="00283806">
        <w:rPr>
          <w:spacing w:val="8"/>
          <w:w w:val="110"/>
          <w:sz w:val="18"/>
        </w:rPr>
        <w:t xml:space="preserve"> </w:t>
      </w:r>
      <w:r w:rsidRPr="00283806">
        <w:rPr>
          <w:w w:val="110"/>
          <w:sz w:val="18"/>
        </w:rPr>
        <w:t>acknowledges</w:t>
      </w:r>
      <w:r w:rsidRPr="00283806">
        <w:rPr>
          <w:spacing w:val="8"/>
          <w:w w:val="110"/>
          <w:sz w:val="18"/>
        </w:rPr>
        <w:t xml:space="preserve"> </w:t>
      </w:r>
      <w:r w:rsidRPr="00283806">
        <w:rPr>
          <w:spacing w:val="-5"/>
          <w:w w:val="110"/>
          <w:sz w:val="18"/>
        </w:rPr>
        <w:t>the</w:t>
      </w:r>
    </w:p>
    <w:p w14:paraId="612EE109" w14:textId="77777777" w:rsidR="00D67C1E" w:rsidRPr="00283806" w:rsidRDefault="001265CA">
      <w:pPr>
        <w:pStyle w:val="BodyText"/>
        <w:spacing w:line="225" w:lineRule="auto"/>
        <w:ind w:left="152" w:right="43"/>
      </w:pPr>
      <w:r w:rsidRPr="00283806">
        <w:rPr>
          <w:w w:val="105"/>
        </w:rPr>
        <w:t xml:space="preserve">comments and concerns described. EPA understands that the supermarket industry, like many industries, has been transitioning to lower-GWP refrigerants over time and will continue to do so </w:t>
      </w:r>
      <w:proofErr w:type="gramStart"/>
      <w:r w:rsidRPr="00283806">
        <w:rPr>
          <w:w w:val="105"/>
        </w:rPr>
        <w:t>consistent</w:t>
      </w:r>
      <w:proofErr w:type="gramEnd"/>
      <w:r w:rsidRPr="00283806">
        <w:rPr>
          <w:w w:val="105"/>
        </w:rPr>
        <w:t xml:space="preserve"> with the GWP limits and compliance dates in the 2023</w:t>
      </w:r>
      <w:r w:rsidRPr="00283806">
        <w:rPr>
          <w:spacing w:val="40"/>
          <w:w w:val="105"/>
        </w:rPr>
        <w:t xml:space="preserve"> </w:t>
      </w:r>
      <w:r w:rsidRPr="00283806">
        <w:rPr>
          <w:w w:val="105"/>
        </w:rPr>
        <w:t>Technology Transitions Rule. EPA acknowledges the concerns raised by some entities within the supermarket industry regarding the available supply of reclaimed refrigerants that will also</w:t>
      </w:r>
      <w:r w:rsidRPr="00283806">
        <w:rPr>
          <w:spacing w:val="40"/>
          <w:w w:val="105"/>
        </w:rPr>
        <w:t xml:space="preserve"> </w:t>
      </w:r>
      <w:r w:rsidRPr="00283806">
        <w:rPr>
          <w:w w:val="105"/>
        </w:rPr>
        <w:t xml:space="preserve">be compliant with the 2023 Technology Transitions Rule’s GWP threshold for new supermarket systems. EPA notes that it is not, </w:t>
      </w:r>
      <w:proofErr w:type="gramStart"/>
      <w:r w:rsidRPr="00283806">
        <w:rPr>
          <w:w w:val="105"/>
        </w:rPr>
        <w:t>at this time</w:t>
      </w:r>
      <w:proofErr w:type="gramEnd"/>
      <w:r w:rsidRPr="00283806">
        <w:rPr>
          <w:w w:val="105"/>
        </w:rPr>
        <w:t>, finalizing</w:t>
      </w:r>
    </w:p>
    <w:p w14:paraId="5E7C00D1" w14:textId="77777777" w:rsidR="00D67C1E" w:rsidRPr="00283806" w:rsidRDefault="001265CA">
      <w:pPr>
        <w:pStyle w:val="BodyText"/>
        <w:spacing w:before="133" w:line="228" w:lineRule="auto"/>
        <w:ind w:right="223"/>
      </w:pPr>
      <w:r w:rsidRPr="00283806">
        <w:br w:type="column"/>
      </w:r>
      <w:r w:rsidRPr="00283806">
        <w:rPr>
          <w:w w:val="105"/>
        </w:rPr>
        <w:t xml:space="preserve">requirements for the initial fill of refrigerant-containing equipment to be done with reclaimed HFCs. Therefore, the Agency is not responding to comments on initial charge in this final </w:t>
      </w:r>
      <w:r w:rsidRPr="00283806">
        <w:rPr>
          <w:spacing w:val="-2"/>
          <w:w w:val="105"/>
        </w:rPr>
        <w:t>rule.</w:t>
      </w:r>
    </w:p>
    <w:p w14:paraId="56383701" w14:textId="77777777" w:rsidR="00D67C1E" w:rsidRPr="00283806" w:rsidRDefault="001265CA">
      <w:pPr>
        <w:pStyle w:val="BodyText"/>
        <w:spacing w:before="37" w:line="228" w:lineRule="auto"/>
        <w:ind w:right="132" w:firstLine="180"/>
      </w:pPr>
      <w:r w:rsidRPr="00283806">
        <w:rPr>
          <w:w w:val="105"/>
        </w:rPr>
        <w:t>In prior responses in this section, EPA noted the importance of reclaimed HFC refrigerant to support the continued operations of existing equipment, including certain older supermarket systems.</w:t>
      </w:r>
      <w:r w:rsidRPr="00283806">
        <w:rPr>
          <w:spacing w:val="40"/>
          <w:w w:val="105"/>
        </w:rPr>
        <w:t xml:space="preserve"> </w:t>
      </w:r>
      <w:r w:rsidRPr="00283806">
        <w:rPr>
          <w:w w:val="105"/>
        </w:rPr>
        <w:t>The</w:t>
      </w:r>
      <w:r w:rsidRPr="00283806">
        <w:rPr>
          <w:spacing w:val="40"/>
          <w:w w:val="105"/>
        </w:rPr>
        <w:t xml:space="preserve"> </w:t>
      </w:r>
      <w:r w:rsidRPr="00283806">
        <w:rPr>
          <w:w w:val="105"/>
        </w:rPr>
        <w:t>Agency</w:t>
      </w:r>
      <w:r w:rsidRPr="00283806">
        <w:rPr>
          <w:spacing w:val="40"/>
          <w:w w:val="105"/>
        </w:rPr>
        <w:t xml:space="preserve"> </w:t>
      </w:r>
      <w:r w:rsidRPr="00283806">
        <w:rPr>
          <w:w w:val="105"/>
        </w:rPr>
        <w:t>agrees</w:t>
      </w:r>
      <w:r w:rsidRPr="00283806">
        <w:rPr>
          <w:spacing w:val="40"/>
          <w:w w:val="105"/>
        </w:rPr>
        <w:t xml:space="preserve"> </w:t>
      </w:r>
      <w:r w:rsidRPr="00283806">
        <w:rPr>
          <w:w w:val="105"/>
        </w:rPr>
        <w:t xml:space="preserve">that existing market dynamics and other regulatory drivers may incentivize the use of reclaimed </w:t>
      </w:r>
      <w:proofErr w:type="gramStart"/>
      <w:r w:rsidRPr="00283806">
        <w:rPr>
          <w:w w:val="105"/>
        </w:rPr>
        <w:t>refrigerants</w:t>
      </w:r>
      <w:proofErr w:type="gramEnd"/>
      <w:r w:rsidRPr="00283806">
        <w:rPr>
          <w:w w:val="105"/>
        </w:rPr>
        <w:t xml:space="preserve"> over </w:t>
      </w:r>
      <w:proofErr w:type="gramStart"/>
      <w:r w:rsidRPr="00283806">
        <w:rPr>
          <w:w w:val="105"/>
        </w:rPr>
        <w:t>time, but</w:t>
      </w:r>
      <w:proofErr w:type="gramEnd"/>
      <w:r w:rsidRPr="00283806">
        <w:rPr>
          <w:w w:val="105"/>
        </w:rPr>
        <w:t xml:space="preserve"> disagrees with the conclusion that those possible incentives mean this requirement is unneeded. Congress put </w:t>
      </w:r>
      <w:proofErr w:type="gramStart"/>
      <w:r w:rsidRPr="00283806">
        <w:rPr>
          <w:w w:val="105"/>
        </w:rPr>
        <w:t>particular weight</w:t>
      </w:r>
      <w:proofErr w:type="gramEnd"/>
      <w:r w:rsidRPr="00283806">
        <w:rPr>
          <w:w w:val="105"/>
        </w:rPr>
        <w:t xml:space="preserve"> on reclamation in subsection (h) of the AIM Act, directing EPA in subsection (h)(1) to promulgate certain regulations, where appropriate, for purposes including maximizing reclaiming. Subsection (h)(2)(A) of the Act further provides that the EPA Administrator ‘‘shall consider the use of authority available under this section to increase opportunities for the</w:t>
      </w:r>
      <w:r w:rsidRPr="00283806">
        <w:rPr>
          <w:spacing w:val="80"/>
          <w:w w:val="150"/>
        </w:rPr>
        <w:t xml:space="preserve"> </w:t>
      </w:r>
      <w:r w:rsidRPr="00283806">
        <w:rPr>
          <w:w w:val="105"/>
        </w:rPr>
        <w:t xml:space="preserve">reclaiming of regulated substances used as </w:t>
      </w:r>
      <w:proofErr w:type="gramStart"/>
      <w:r w:rsidRPr="00283806">
        <w:rPr>
          <w:w w:val="105"/>
        </w:rPr>
        <w:t>refrigerants.’</w:t>
      </w:r>
      <w:proofErr w:type="gramEnd"/>
      <w:r w:rsidRPr="00283806">
        <w:rPr>
          <w:w w:val="105"/>
        </w:rPr>
        <w:t xml:space="preserve">’ This requirement is consistent with </w:t>
      </w:r>
      <w:proofErr w:type="gramStart"/>
      <w:r w:rsidRPr="00283806">
        <w:rPr>
          <w:w w:val="105"/>
        </w:rPr>
        <w:t>both of these</w:t>
      </w:r>
      <w:proofErr w:type="gramEnd"/>
      <w:r w:rsidRPr="00283806">
        <w:rPr>
          <w:w w:val="105"/>
        </w:rPr>
        <w:t xml:space="preserve"> provisions. Moreover, even </w:t>
      </w:r>
      <w:proofErr w:type="gramStart"/>
      <w:r w:rsidRPr="00283806">
        <w:rPr>
          <w:w w:val="105"/>
        </w:rPr>
        <w:t>assuming that</w:t>
      </w:r>
      <w:proofErr w:type="gramEnd"/>
      <w:r w:rsidRPr="00283806">
        <w:rPr>
          <w:w w:val="105"/>
        </w:rPr>
        <w:t xml:space="preserve"> market dynamics or implementation of other programs lead to some additional reclamation and use of reclaimed refrigerant over time, the commenters</w:t>
      </w:r>
      <w:r w:rsidRPr="00283806">
        <w:rPr>
          <w:spacing w:val="80"/>
          <w:w w:val="105"/>
        </w:rPr>
        <w:t xml:space="preserve"> </w:t>
      </w:r>
      <w:r w:rsidRPr="00283806">
        <w:rPr>
          <w:w w:val="105"/>
        </w:rPr>
        <w:t>do not provide any reason to think that those factors alone would ‘‘maximize’’ reclamation. It is the Agency’s view that the regulatory programs established under the AIM Act work in conjunction with each other and implementation of each is necessary as HFCs are phased down, and the reclaim requirements established in this action will help increase reclamation and support additional recovery of HFC refrigerants, as discussed in another comment response in this section. To the extent that the comments intend to suggest that EPA should provide a particular type or amount of information related to each regulatory provision’s effects on increasing reclamation or reducing releases, EPA disagrees. As explained earlier in this preamble, as EPA</w:t>
      </w:r>
      <w:r w:rsidRPr="00283806">
        <w:rPr>
          <w:spacing w:val="40"/>
          <w:w w:val="105"/>
        </w:rPr>
        <w:t xml:space="preserve"> </w:t>
      </w:r>
      <w:r w:rsidRPr="00283806">
        <w:rPr>
          <w:w w:val="105"/>
        </w:rPr>
        <w:t>interprets the statutory text in</w:t>
      </w:r>
      <w:r w:rsidRPr="00283806">
        <w:rPr>
          <w:spacing w:val="40"/>
          <w:w w:val="105"/>
        </w:rPr>
        <w:t xml:space="preserve"> </w:t>
      </w:r>
      <w:r w:rsidRPr="00283806">
        <w:rPr>
          <w:w w:val="105"/>
        </w:rPr>
        <w:t>subsection (h)(1), the suite of</w:t>
      </w:r>
      <w:r w:rsidRPr="00283806">
        <w:rPr>
          <w:spacing w:val="80"/>
          <w:w w:val="105"/>
        </w:rPr>
        <w:t xml:space="preserve"> </w:t>
      </w:r>
      <w:r w:rsidRPr="00283806">
        <w:rPr>
          <w:w w:val="105"/>
        </w:rPr>
        <w:t>regulations established under</w:t>
      </w:r>
      <w:r w:rsidRPr="00283806">
        <w:rPr>
          <w:spacing w:val="80"/>
          <w:w w:val="105"/>
        </w:rPr>
        <w:t xml:space="preserve"> </w:t>
      </w:r>
      <w:r w:rsidRPr="00283806">
        <w:rPr>
          <w:w w:val="105"/>
        </w:rPr>
        <w:t>subsection (h)(1) of the Act, taken together, are focused on serving the</w:t>
      </w:r>
      <w:r w:rsidRPr="00283806">
        <w:rPr>
          <w:spacing w:val="40"/>
          <w:w w:val="105"/>
        </w:rPr>
        <w:t xml:space="preserve"> </w:t>
      </w:r>
      <w:r w:rsidRPr="00283806">
        <w:rPr>
          <w:w w:val="105"/>
        </w:rPr>
        <w:t>three purposes identified in subsection (h)(1), but individual regulatory provisions under subsection (h)(1) need not each connect to all three purposes. This interpretation is integral to establishing an effective regulatory program, as some regulatory provisions</w:t>
      </w:r>
    </w:p>
    <w:p w14:paraId="45A2FC7A"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09" w:space="40"/>
            <w:col w:w="3477" w:space="54"/>
            <w:col w:w="3640"/>
          </w:cols>
        </w:sectPr>
      </w:pPr>
    </w:p>
    <w:p w14:paraId="18BCA95E" w14:textId="77777777" w:rsidR="00D67C1E" w:rsidRPr="00283806" w:rsidRDefault="001265CA">
      <w:pPr>
        <w:pStyle w:val="BodyText"/>
        <w:spacing w:before="136" w:line="225" w:lineRule="auto"/>
      </w:pPr>
      <w:r w:rsidRPr="00283806">
        <w:rPr>
          <w:w w:val="105"/>
        </w:rPr>
        <w:lastRenderedPageBreak/>
        <w:t xml:space="preserve">that might be considered under (h)(1) may be highly efficacious at addressing one of the regulatory purposes but not address the other two, or alternatively, may be important to support the functioning of the regulatory </w:t>
      </w:r>
      <w:proofErr w:type="gramStart"/>
      <w:r w:rsidRPr="00283806">
        <w:rPr>
          <w:w w:val="105"/>
        </w:rPr>
        <w:t>program as a</w:t>
      </w:r>
      <w:r w:rsidRPr="00283806">
        <w:rPr>
          <w:spacing w:val="32"/>
          <w:w w:val="105"/>
        </w:rPr>
        <w:t xml:space="preserve"> </w:t>
      </w:r>
      <w:r w:rsidRPr="00283806">
        <w:rPr>
          <w:w w:val="105"/>
        </w:rPr>
        <w:t>whole,</w:t>
      </w:r>
      <w:r w:rsidRPr="00283806">
        <w:rPr>
          <w:spacing w:val="32"/>
          <w:w w:val="105"/>
        </w:rPr>
        <w:t xml:space="preserve"> </w:t>
      </w:r>
      <w:r w:rsidRPr="00283806">
        <w:rPr>
          <w:w w:val="105"/>
        </w:rPr>
        <w:t>but</w:t>
      </w:r>
      <w:proofErr w:type="gramEnd"/>
      <w:r w:rsidRPr="00283806">
        <w:rPr>
          <w:spacing w:val="32"/>
          <w:w w:val="105"/>
        </w:rPr>
        <w:t xml:space="preserve"> </w:t>
      </w:r>
      <w:r w:rsidRPr="00283806">
        <w:rPr>
          <w:w w:val="105"/>
        </w:rPr>
        <w:t>not</w:t>
      </w:r>
      <w:r w:rsidRPr="00283806">
        <w:rPr>
          <w:spacing w:val="32"/>
          <w:w w:val="105"/>
        </w:rPr>
        <w:t xml:space="preserve"> </w:t>
      </w:r>
      <w:r w:rsidRPr="00283806">
        <w:rPr>
          <w:w w:val="105"/>
        </w:rPr>
        <w:t>be</w:t>
      </w:r>
      <w:r w:rsidRPr="00283806">
        <w:rPr>
          <w:spacing w:val="32"/>
          <w:w w:val="105"/>
        </w:rPr>
        <w:t xml:space="preserve"> </w:t>
      </w:r>
      <w:r w:rsidRPr="00283806">
        <w:rPr>
          <w:w w:val="105"/>
        </w:rPr>
        <w:t>focused</w:t>
      </w:r>
      <w:r w:rsidRPr="00283806">
        <w:rPr>
          <w:spacing w:val="32"/>
          <w:w w:val="105"/>
        </w:rPr>
        <w:t xml:space="preserve"> </w:t>
      </w:r>
      <w:r w:rsidRPr="00283806">
        <w:rPr>
          <w:w w:val="105"/>
        </w:rPr>
        <w:t>on</w:t>
      </w:r>
      <w:r w:rsidRPr="00283806">
        <w:rPr>
          <w:spacing w:val="32"/>
          <w:w w:val="105"/>
        </w:rPr>
        <w:t xml:space="preserve"> </w:t>
      </w:r>
      <w:r w:rsidRPr="00283806">
        <w:rPr>
          <w:w w:val="105"/>
        </w:rPr>
        <w:t>any</w:t>
      </w:r>
      <w:r w:rsidRPr="00283806">
        <w:rPr>
          <w:spacing w:val="32"/>
          <w:w w:val="105"/>
        </w:rPr>
        <w:t xml:space="preserve"> </w:t>
      </w:r>
      <w:r w:rsidRPr="00283806">
        <w:rPr>
          <w:w w:val="105"/>
        </w:rPr>
        <w:t>of the identified purposes.</w:t>
      </w:r>
    </w:p>
    <w:p w14:paraId="18BA34D9" w14:textId="77777777" w:rsidR="00D67C1E" w:rsidRPr="00283806" w:rsidRDefault="001265CA">
      <w:pPr>
        <w:pStyle w:val="BodyText"/>
        <w:spacing w:line="177" w:lineRule="exact"/>
        <w:ind w:left="340"/>
      </w:pPr>
      <w:r w:rsidRPr="00283806">
        <w:rPr>
          <w:w w:val="110"/>
        </w:rPr>
        <w:t>The</w:t>
      </w:r>
      <w:r w:rsidRPr="00283806">
        <w:rPr>
          <w:spacing w:val="-10"/>
          <w:w w:val="110"/>
        </w:rPr>
        <w:t xml:space="preserve"> </w:t>
      </w:r>
      <w:r w:rsidRPr="00283806">
        <w:rPr>
          <w:w w:val="110"/>
        </w:rPr>
        <w:t>Agency</w:t>
      </w:r>
      <w:r w:rsidRPr="00283806">
        <w:rPr>
          <w:spacing w:val="-9"/>
          <w:w w:val="110"/>
        </w:rPr>
        <w:t xml:space="preserve"> </w:t>
      </w:r>
      <w:r w:rsidRPr="00283806">
        <w:rPr>
          <w:w w:val="110"/>
        </w:rPr>
        <w:t>does</w:t>
      </w:r>
      <w:r w:rsidRPr="00283806">
        <w:rPr>
          <w:spacing w:val="-10"/>
          <w:w w:val="110"/>
        </w:rPr>
        <w:t xml:space="preserve"> </w:t>
      </w:r>
      <w:r w:rsidRPr="00283806">
        <w:rPr>
          <w:w w:val="110"/>
        </w:rPr>
        <w:t>not</w:t>
      </w:r>
      <w:r w:rsidRPr="00283806">
        <w:rPr>
          <w:spacing w:val="-9"/>
          <w:w w:val="110"/>
        </w:rPr>
        <w:t xml:space="preserve"> </w:t>
      </w:r>
      <w:r w:rsidRPr="00283806">
        <w:rPr>
          <w:w w:val="110"/>
        </w:rPr>
        <w:t>agree</w:t>
      </w:r>
      <w:r w:rsidRPr="00283806">
        <w:rPr>
          <w:spacing w:val="-9"/>
          <w:w w:val="110"/>
        </w:rPr>
        <w:t xml:space="preserve"> </w:t>
      </w:r>
      <w:r w:rsidRPr="00283806">
        <w:rPr>
          <w:w w:val="110"/>
        </w:rPr>
        <w:t>with</w:t>
      </w:r>
      <w:r w:rsidRPr="00283806">
        <w:rPr>
          <w:spacing w:val="-10"/>
          <w:w w:val="110"/>
        </w:rPr>
        <w:t xml:space="preserve"> </w:t>
      </w:r>
      <w:r w:rsidRPr="00283806">
        <w:rPr>
          <w:spacing w:val="-5"/>
          <w:w w:val="110"/>
        </w:rPr>
        <w:t>the</w:t>
      </w:r>
    </w:p>
    <w:p w14:paraId="3A8A1710" w14:textId="77777777" w:rsidR="00D67C1E" w:rsidRPr="00283806" w:rsidRDefault="001265CA">
      <w:pPr>
        <w:pStyle w:val="BodyText"/>
        <w:spacing w:before="4" w:line="225" w:lineRule="auto"/>
      </w:pPr>
      <w:r w:rsidRPr="00283806">
        <w:rPr>
          <w:w w:val="110"/>
        </w:rPr>
        <w:t>comments that requirements for reclaimed</w:t>
      </w:r>
      <w:r w:rsidRPr="00283806">
        <w:rPr>
          <w:spacing w:val="-8"/>
          <w:w w:val="110"/>
        </w:rPr>
        <w:t xml:space="preserve"> </w:t>
      </w:r>
      <w:r w:rsidRPr="00283806">
        <w:rPr>
          <w:w w:val="110"/>
        </w:rPr>
        <w:t>refrigerants</w:t>
      </w:r>
      <w:r w:rsidRPr="00283806">
        <w:rPr>
          <w:spacing w:val="-8"/>
          <w:w w:val="110"/>
        </w:rPr>
        <w:t xml:space="preserve"> </w:t>
      </w:r>
      <w:r w:rsidRPr="00283806">
        <w:rPr>
          <w:w w:val="110"/>
        </w:rPr>
        <w:t>by</w:t>
      </w:r>
      <w:r w:rsidRPr="00283806">
        <w:rPr>
          <w:spacing w:val="-8"/>
          <w:w w:val="110"/>
        </w:rPr>
        <w:t xml:space="preserve"> </w:t>
      </w:r>
      <w:r w:rsidRPr="00283806">
        <w:rPr>
          <w:w w:val="110"/>
        </w:rPr>
        <w:t>subsector</w:t>
      </w:r>
      <w:r w:rsidRPr="00283806">
        <w:rPr>
          <w:spacing w:val="-8"/>
          <w:w w:val="110"/>
        </w:rPr>
        <w:t xml:space="preserve"> </w:t>
      </w:r>
      <w:r w:rsidRPr="00283806">
        <w:rPr>
          <w:w w:val="110"/>
        </w:rPr>
        <w:t>are market</w:t>
      </w:r>
      <w:r w:rsidRPr="00283806">
        <w:rPr>
          <w:spacing w:val="-5"/>
          <w:w w:val="110"/>
        </w:rPr>
        <w:t xml:space="preserve"> </w:t>
      </w:r>
      <w:r w:rsidRPr="00283806">
        <w:rPr>
          <w:w w:val="110"/>
        </w:rPr>
        <w:t>manipulation.</w:t>
      </w:r>
      <w:r w:rsidRPr="00283806">
        <w:rPr>
          <w:spacing w:val="-5"/>
          <w:w w:val="110"/>
        </w:rPr>
        <w:t xml:space="preserve"> </w:t>
      </w:r>
      <w:r w:rsidRPr="00283806">
        <w:rPr>
          <w:w w:val="110"/>
        </w:rPr>
        <w:t>Entities</w:t>
      </w:r>
      <w:r w:rsidRPr="00283806">
        <w:rPr>
          <w:spacing w:val="-5"/>
          <w:w w:val="110"/>
        </w:rPr>
        <w:t xml:space="preserve"> </w:t>
      </w:r>
      <w:proofErr w:type="gramStart"/>
      <w:r w:rsidRPr="00283806">
        <w:rPr>
          <w:w w:val="110"/>
        </w:rPr>
        <w:t>within</w:t>
      </w:r>
      <w:r w:rsidRPr="00283806">
        <w:rPr>
          <w:spacing w:val="-5"/>
          <w:w w:val="110"/>
        </w:rPr>
        <w:t xml:space="preserve"> </w:t>
      </w:r>
      <w:r w:rsidRPr="00283806">
        <w:rPr>
          <w:w w:val="110"/>
        </w:rPr>
        <w:t>in</w:t>
      </w:r>
      <w:proofErr w:type="gramEnd"/>
      <w:r w:rsidRPr="00283806">
        <w:rPr>
          <w:w w:val="110"/>
        </w:rPr>
        <w:t xml:space="preserve"> these subsectors </w:t>
      </w:r>
      <w:proofErr w:type="gramStart"/>
      <w:r w:rsidRPr="00283806">
        <w:rPr>
          <w:w w:val="110"/>
        </w:rPr>
        <w:t>are able to</w:t>
      </w:r>
      <w:proofErr w:type="gramEnd"/>
      <w:r w:rsidRPr="00283806">
        <w:rPr>
          <w:w w:val="110"/>
        </w:rPr>
        <w:t xml:space="preserve"> purchase reclaimed HFC refrigerants from whichever supplier or reclaimer they choose, just as they could for virgin refrigerants. EPA discusses the estimated demand and supply of reclaimed HFCs for the affected RACHP subsectors in greater detail in other comment responses in this section, but notes here that EPA estimates that the supply of reclaimed HFCs will be </w:t>
      </w:r>
      <w:r w:rsidRPr="00283806">
        <w:rPr>
          <w:spacing w:val="-2"/>
          <w:w w:val="110"/>
        </w:rPr>
        <w:t>sufficient</w:t>
      </w:r>
      <w:r w:rsidRPr="00283806">
        <w:rPr>
          <w:spacing w:val="-7"/>
          <w:w w:val="110"/>
        </w:rPr>
        <w:t xml:space="preserve"> </w:t>
      </w:r>
      <w:r w:rsidRPr="00283806">
        <w:rPr>
          <w:spacing w:val="-2"/>
          <w:w w:val="110"/>
        </w:rPr>
        <w:t>for</w:t>
      </w:r>
      <w:r w:rsidRPr="00283806">
        <w:rPr>
          <w:spacing w:val="-7"/>
          <w:w w:val="110"/>
        </w:rPr>
        <w:t xml:space="preserve"> </w:t>
      </w:r>
      <w:r w:rsidRPr="00283806">
        <w:rPr>
          <w:spacing w:val="-2"/>
          <w:w w:val="110"/>
        </w:rPr>
        <w:t>the</w:t>
      </w:r>
      <w:r w:rsidRPr="00283806">
        <w:rPr>
          <w:spacing w:val="-7"/>
          <w:w w:val="110"/>
        </w:rPr>
        <w:t xml:space="preserve"> </w:t>
      </w:r>
      <w:r w:rsidRPr="00283806">
        <w:rPr>
          <w:spacing w:val="-2"/>
          <w:w w:val="110"/>
        </w:rPr>
        <w:t>demand</w:t>
      </w:r>
      <w:r w:rsidRPr="00283806">
        <w:rPr>
          <w:spacing w:val="-7"/>
          <w:w w:val="110"/>
        </w:rPr>
        <w:t xml:space="preserve"> </w:t>
      </w:r>
      <w:r w:rsidRPr="00283806">
        <w:rPr>
          <w:spacing w:val="-2"/>
          <w:w w:val="110"/>
        </w:rPr>
        <w:t>anticipated</w:t>
      </w:r>
      <w:r w:rsidRPr="00283806">
        <w:rPr>
          <w:spacing w:val="-7"/>
          <w:w w:val="110"/>
        </w:rPr>
        <w:t xml:space="preserve"> </w:t>
      </w:r>
      <w:r w:rsidRPr="00283806">
        <w:rPr>
          <w:spacing w:val="-2"/>
          <w:w w:val="110"/>
        </w:rPr>
        <w:t xml:space="preserve">for </w:t>
      </w:r>
      <w:r w:rsidRPr="00283806">
        <w:rPr>
          <w:w w:val="110"/>
        </w:rPr>
        <w:t xml:space="preserve">the </w:t>
      </w:r>
      <w:proofErr w:type="gramStart"/>
      <w:r w:rsidRPr="00283806">
        <w:rPr>
          <w:w w:val="110"/>
        </w:rPr>
        <w:t>servicing</w:t>
      </w:r>
      <w:proofErr w:type="gramEnd"/>
      <w:r w:rsidRPr="00283806">
        <w:rPr>
          <w:w w:val="110"/>
        </w:rPr>
        <w:t xml:space="preserve"> and/or repair of</w:t>
      </w:r>
    </w:p>
    <w:p w14:paraId="5EA39D6C" w14:textId="77777777" w:rsidR="00D67C1E" w:rsidRPr="00283806" w:rsidRDefault="001265CA">
      <w:pPr>
        <w:pStyle w:val="BodyText"/>
        <w:spacing w:line="225" w:lineRule="auto"/>
        <w:ind w:right="15"/>
      </w:pPr>
      <w:r w:rsidRPr="00283806">
        <w:rPr>
          <w:w w:val="105"/>
        </w:rPr>
        <w:t>refrigerant-containing equipment in the affected RACHP subsectors. The Agency also describes elsewhere in this</w:t>
      </w:r>
      <w:r w:rsidRPr="00283806">
        <w:rPr>
          <w:spacing w:val="40"/>
          <w:w w:val="105"/>
        </w:rPr>
        <w:t xml:space="preserve"> </w:t>
      </w:r>
      <w:r w:rsidRPr="00283806">
        <w:rPr>
          <w:w w:val="105"/>
        </w:rPr>
        <w:t>preamble that reclaimed HFCs are required to meet the same purity standards as virgin HFCs and must be verified to meet those standards by specified analytical methods. Thus, entities within the supermarket systems, refrigerated transport, and automatic commercial ice makers subsectors can continue to purchase refrigerants for servicing and/or repair of equipment.</w:t>
      </w:r>
    </w:p>
    <w:p w14:paraId="45DB258E" w14:textId="77777777" w:rsidR="00D67C1E" w:rsidRPr="00283806" w:rsidRDefault="001265CA">
      <w:pPr>
        <w:pStyle w:val="BodyText"/>
        <w:spacing w:line="225" w:lineRule="auto"/>
        <w:ind w:right="78"/>
      </w:pPr>
      <w:r w:rsidRPr="00283806">
        <w:rPr>
          <w:w w:val="105"/>
        </w:rPr>
        <w:t>Further, as EPA explains in another comment response in this section, EPA</w:t>
      </w:r>
      <w:r w:rsidRPr="00283806">
        <w:rPr>
          <w:spacing w:val="80"/>
          <w:w w:val="105"/>
        </w:rPr>
        <w:t xml:space="preserve"> </w:t>
      </w:r>
      <w:r w:rsidRPr="00283806">
        <w:rPr>
          <w:w w:val="105"/>
        </w:rPr>
        <w:t>is not aware of market data or trends signifying that reclaimed HFCs are more expensive</w:t>
      </w:r>
      <w:r w:rsidRPr="00283806">
        <w:rPr>
          <w:spacing w:val="40"/>
          <w:w w:val="105"/>
        </w:rPr>
        <w:t xml:space="preserve"> </w:t>
      </w:r>
      <w:r w:rsidRPr="00283806">
        <w:rPr>
          <w:w w:val="105"/>
        </w:rPr>
        <w:t>than</w:t>
      </w:r>
      <w:r w:rsidRPr="00283806">
        <w:rPr>
          <w:spacing w:val="40"/>
          <w:w w:val="105"/>
        </w:rPr>
        <w:t xml:space="preserve"> </w:t>
      </w:r>
      <w:r w:rsidRPr="00283806">
        <w:rPr>
          <w:w w:val="105"/>
        </w:rPr>
        <w:t>virgin</w:t>
      </w:r>
      <w:r w:rsidRPr="00283806">
        <w:rPr>
          <w:spacing w:val="40"/>
          <w:w w:val="105"/>
        </w:rPr>
        <w:t xml:space="preserve"> </w:t>
      </w:r>
      <w:r w:rsidRPr="00283806">
        <w:rPr>
          <w:w w:val="105"/>
        </w:rPr>
        <w:t>HFCs.</w:t>
      </w:r>
      <w:r w:rsidRPr="00283806">
        <w:rPr>
          <w:spacing w:val="40"/>
          <w:w w:val="105"/>
        </w:rPr>
        <w:t xml:space="preserve"> </w:t>
      </w:r>
      <w:r w:rsidRPr="00283806">
        <w:rPr>
          <w:w w:val="105"/>
        </w:rPr>
        <w:t>The Agency</w:t>
      </w:r>
      <w:r w:rsidRPr="00283806">
        <w:rPr>
          <w:spacing w:val="40"/>
          <w:w w:val="105"/>
        </w:rPr>
        <w:t xml:space="preserve"> </w:t>
      </w:r>
      <w:r w:rsidRPr="00283806">
        <w:rPr>
          <w:w w:val="105"/>
        </w:rPr>
        <w:t>received</w:t>
      </w:r>
      <w:r w:rsidRPr="00283806">
        <w:rPr>
          <w:spacing w:val="40"/>
          <w:w w:val="105"/>
        </w:rPr>
        <w:t xml:space="preserve"> </w:t>
      </w:r>
      <w:r w:rsidRPr="00283806">
        <w:rPr>
          <w:w w:val="105"/>
        </w:rPr>
        <w:t>a</w:t>
      </w:r>
      <w:r w:rsidRPr="00283806">
        <w:rPr>
          <w:spacing w:val="40"/>
          <w:w w:val="105"/>
        </w:rPr>
        <w:t xml:space="preserve"> </w:t>
      </w:r>
      <w:r w:rsidRPr="00283806">
        <w:rPr>
          <w:w w:val="105"/>
        </w:rPr>
        <w:t>comment</w:t>
      </w:r>
      <w:r w:rsidRPr="00283806">
        <w:rPr>
          <w:spacing w:val="40"/>
          <w:w w:val="105"/>
        </w:rPr>
        <w:t xml:space="preserve"> </w:t>
      </w:r>
      <w:r w:rsidRPr="00283806">
        <w:rPr>
          <w:w w:val="105"/>
        </w:rPr>
        <w:t>on</w:t>
      </w:r>
      <w:r w:rsidRPr="00283806">
        <w:rPr>
          <w:spacing w:val="40"/>
          <w:w w:val="105"/>
        </w:rPr>
        <w:t xml:space="preserve"> </w:t>
      </w:r>
      <w:r w:rsidRPr="00283806">
        <w:rPr>
          <w:w w:val="105"/>
        </w:rPr>
        <w:t>its NODA (87 FR 62843, October 17, 2022)</w:t>
      </w:r>
    </w:p>
    <w:p w14:paraId="033C92F4" w14:textId="77777777" w:rsidR="00D67C1E" w:rsidRPr="00283806" w:rsidRDefault="001265CA">
      <w:pPr>
        <w:pStyle w:val="BodyText"/>
        <w:spacing w:line="228" w:lineRule="auto"/>
        <w:ind w:left="159" w:right="86"/>
      </w:pPr>
      <w:r w:rsidRPr="00283806">
        <w:rPr>
          <w:w w:val="105"/>
        </w:rPr>
        <w:t>stating that prices for reclaimed HFCs and virgin HFCs are generally equivalent.</w:t>
      </w:r>
      <w:r w:rsidRPr="00283806">
        <w:rPr>
          <w:w w:val="105"/>
          <w:position w:val="5"/>
          <w:sz w:val="11"/>
        </w:rPr>
        <w:t>99</w:t>
      </w:r>
      <w:r w:rsidRPr="00283806">
        <w:rPr>
          <w:spacing w:val="40"/>
          <w:w w:val="105"/>
          <w:position w:val="5"/>
          <w:sz w:val="11"/>
        </w:rPr>
        <w:t xml:space="preserve"> </w:t>
      </w:r>
      <w:r w:rsidRPr="00283806">
        <w:rPr>
          <w:w w:val="105"/>
        </w:rPr>
        <w:t xml:space="preserve">Nonetheless, for conservative purposes, the analysis in the Economic Impact and Benefits TSD assumes a ten percent premium for reclaimed refrigerant, and we also included a sensitivity analysis where costs are equivalent. With these considerations, the Agency does not view the </w:t>
      </w:r>
      <w:proofErr w:type="gramStart"/>
      <w:r w:rsidRPr="00283806">
        <w:rPr>
          <w:w w:val="105"/>
        </w:rPr>
        <w:t>subsector</w:t>
      </w:r>
      <w:proofErr w:type="gramEnd"/>
      <w:r w:rsidRPr="00283806">
        <w:rPr>
          <w:w w:val="105"/>
        </w:rPr>
        <w:t xml:space="preserve"> approach as market </w:t>
      </w:r>
      <w:r w:rsidRPr="00283806">
        <w:rPr>
          <w:spacing w:val="-2"/>
          <w:w w:val="105"/>
        </w:rPr>
        <w:t>manipulation.</w:t>
      </w:r>
    </w:p>
    <w:p w14:paraId="45DE505D" w14:textId="77777777" w:rsidR="00D67C1E" w:rsidRPr="00283806" w:rsidRDefault="001265CA">
      <w:pPr>
        <w:pStyle w:val="BodyText"/>
        <w:spacing w:line="175" w:lineRule="exact"/>
        <w:ind w:left="339"/>
      </w:pPr>
      <w:r w:rsidRPr="00283806">
        <w:rPr>
          <w:w w:val="105"/>
        </w:rPr>
        <w:t>Further,</w:t>
      </w:r>
      <w:r w:rsidRPr="00283806">
        <w:rPr>
          <w:spacing w:val="-2"/>
          <w:w w:val="105"/>
        </w:rPr>
        <w:t xml:space="preserve"> </w:t>
      </w:r>
      <w:r w:rsidRPr="00283806">
        <w:rPr>
          <w:w w:val="105"/>
        </w:rPr>
        <w:t>these</w:t>
      </w:r>
      <w:r w:rsidRPr="00283806">
        <w:rPr>
          <w:spacing w:val="-1"/>
          <w:w w:val="105"/>
        </w:rPr>
        <w:t xml:space="preserve"> </w:t>
      </w:r>
      <w:r w:rsidRPr="00283806">
        <w:rPr>
          <w:w w:val="105"/>
        </w:rPr>
        <w:t>requirements</w:t>
      </w:r>
      <w:r w:rsidRPr="00283806">
        <w:rPr>
          <w:spacing w:val="-2"/>
          <w:w w:val="105"/>
        </w:rPr>
        <w:t xml:space="preserve"> </w:t>
      </w:r>
      <w:r w:rsidRPr="00283806">
        <w:rPr>
          <w:w w:val="105"/>
        </w:rPr>
        <w:t>are</w:t>
      </w:r>
      <w:r w:rsidRPr="00283806">
        <w:rPr>
          <w:spacing w:val="-1"/>
          <w:w w:val="105"/>
        </w:rPr>
        <w:t xml:space="preserve"> </w:t>
      </w:r>
      <w:r w:rsidRPr="00283806">
        <w:rPr>
          <w:spacing w:val="-10"/>
          <w:w w:val="105"/>
        </w:rPr>
        <w:t>a</w:t>
      </w:r>
    </w:p>
    <w:p w14:paraId="7CBDE2B1" w14:textId="77777777" w:rsidR="00D67C1E" w:rsidRPr="00283806" w:rsidRDefault="001265CA">
      <w:pPr>
        <w:pStyle w:val="BodyText"/>
        <w:spacing w:line="228" w:lineRule="auto"/>
        <w:ind w:left="159" w:right="64"/>
      </w:pPr>
      <w:r w:rsidRPr="00283806">
        <w:rPr>
          <w:w w:val="105"/>
        </w:rPr>
        <w:t>reasonable approach to implementing aspects of subsection (h)(1). Among other things, subsection (h)(1) of the AIM Act directs the Agency to establish regulations to control, where appropriate, practices, processes, or activities regarding the servicing or repair of equipment that involves a</w:t>
      </w:r>
    </w:p>
    <w:p w14:paraId="1BAE8827" w14:textId="77777777" w:rsidR="00D67C1E" w:rsidRPr="00283806" w:rsidRDefault="001265CA">
      <w:pPr>
        <w:pStyle w:val="BodyText"/>
        <w:spacing w:before="6"/>
        <w:ind w:left="0"/>
        <w:rPr>
          <w:sz w:val="12"/>
        </w:rPr>
      </w:pPr>
      <w:r w:rsidRPr="00283806">
        <w:rPr>
          <w:noProof/>
        </w:rPr>
        <mc:AlternateContent>
          <mc:Choice Requires="wps">
            <w:drawing>
              <wp:anchor distT="0" distB="0" distL="0" distR="0" simplePos="0" relativeHeight="251655168" behindDoc="1" locked="0" layoutInCell="1" allowOverlap="1" wp14:anchorId="31F8D2C7" wp14:editId="58DA6F53">
                <wp:simplePos x="0" y="0"/>
                <wp:positionH relativeFrom="page">
                  <wp:posOffset>571500</wp:posOffset>
                </wp:positionH>
                <wp:positionV relativeFrom="paragraph">
                  <wp:posOffset>108601</wp:posOffset>
                </wp:positionV>
                <wp:extent cx="635000" cy="1270"/>
                <wp:effectExtent l="0" t="0" r="0" b="0"/>
                <wp:wrapTopAndBottom/>
                <wp:docPr id="86" name="Graphic 8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B9DBAE8" id="Graphic 86" o:spid="_x0000_s1026" alt="&quot;&quot;" style="position:absolute;margin-left:45pt;margin-top:8.55pt;width:50pt;height:.1pt;z-index:-251661312;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" path="m,l635000,e" filled="f" strokeweight=".5pt">
                <v:path arrowok="t"/>
                <w10:wrap type="topAndBottom" anchorx="page"/>
              </v:shape>
            </w:pict>
          </mc:Fallback>
        </mc:AlternateContent>
      </w:r>
    </w:p>
    <w:p w14:paraId="11AA10B8" w14:textId="77777777" w:rsidR="00D67C1E" w:rsidRPr="00283806" w:rsidRDefault="001265CA">
      <w:pPr>
        <w:spacing w:before="40" w:line="232" w:lineRule="auto"/>
        <w:ind w:left="159" w:firstLine="140"/>
        <w:rPr>
          <w:sz w:val="14"/>
        </w:rPr>
      </w:pPr>
      <w:r w:rsidRPr="00283806">
        <w:rPr>
          <w:w w:val="110"/>
          <w:position w:val="4"/>
          <w:sz w:val="9"/>
        </w:rPr>
        <w:t>99</w:t>
      </w:r>
      <w:r w:rsidRPr="00283806">
        <w:rPr>
          <w:spacing w:val="-6"/>
          <w:w w:val="110"/>
          <w:position w:val="4"/>
          <w:sz w:val="9"/>
        </w:rPr>
        <w:t xml:space="preserve"> </w:t>
      </w:r>
      <w:r w:rsidRPr="00283806">
        <w:rPr>
          <w:w w:val="110"/>
          <w:sz w:val="14"/>
        </w:rPr>
        <w:t>See</w:t>
      </w:r>
      <w:r w:rsidRPr="00283806">
        <w:rPr>
          <w:spacing w:val="-8"/>
          <w:w w:val="110"/>
          <w:sz w:val="14"/>
        </w:rPr>
        <w:t xml:space="preserve"> </w:t>
      </w:r>
      <w:r w:rsidRPr="00283806">
        <w:rPr>
          <w:w w:val="110"/>
          <w:sz w:val="14"/>
        </w:rPr>
        <w:t>comment</w:t>
      </w:r>
      <w:r w:rsidRPr="00283806">
        <w:rPr>
          <w:spacing w:val="-9"/>
          <w:w w:val="110"/>
          <w:sz w:val="14"/>
        </w:rPr>
        <w:t xml:space="preserve"> </w:t>
      </w:r>
      <w:r w:rsidRPr="00283806">
        <w:rPr>
          <w:w w:val="110"/>
          <w:sz w:val="14"/>
        </w:rPr>
        <w:t>number</w:t>
      </w:r>
      <w:r w:rsidRPr="00283806">
        <w:rPr>
          <w:spacing w:val="-8"/>
          <w:w w:val="110"/>
          <w:sz w:val="14"/>
        </w:rPr>
        <w:t xml:space="preserve"> </w:t>
      </w:r>
      <w:r w:rsidRPr="00283806">
        <w:rPr>
          <w:w w:val="110"/>
          <w:sz w:val="14"/>
        </w:rPr>
        <w:t>EPA–HQ–OAR–2022–</w:t>
      </w:r>
      <w:r w:rsidRPr="00283806">
        <w:rPr>
          <w:spacing w:val="40"/>
          <w:w w:val="110"/>
          <w:sz w:val="14"/>
        </w:rPr>
        <w:t xml:space="preserve"> </w:t>
      </w:r>
      <w:r w:rsidRPr="00283806">
        <w:rPr>
          <w:spacing w:val="-2"/>
          <w:w w:val="110"/>
          <w:sz w:val="14"/>
        </w:rPr>
        <w:t>0606–0009.</w:t>
      </w:r>
    </w:p>
    <w:p w14:paraId="4450206F" w14:textId="77777777" w:rsidR="00D67C1E" w:rsidRPr="00283806" w:rsidRDefault="001265CA">
      <w:pPr>
        <w:pStyle w:val="BodyText"/>
        <w:spacing w:before="134" w:line="228" w:lineRule="auto"/>
        <w:ind w:left="153"/>
      </w:pPr>
      <w:r w:rsidRPr="00283806">
        <w:br w:type="column"/>
      </w:r>
      <w:r w:rsidRPr="00283806">
        <w:rPr>
          <w:w w:val="105"/>
        </w:rPr>
        <w:t>regulated substance or the reclaiming of</w:t>
      </w:r>
      <w:r w:rsidRPr="00283806">
        <w:rPr>
          <w:spacing w:val="40"/>
          <w:w w:val="105"/>
        </w:rPr>
        <w:t xml:space="preserve"> </w:t>
      </w:r>
      <w:r w:rsidRPr="00283806">
        <w:rPr>
          <w:w w:val="105"/>
        </w:rPr>
        <w:t>a regulated substance used as a refrigerant. EPA interprets subsection (h)(1) to authorize this type of provision to require reclaimed HFCs in the</w:t>
      </w:r>
      <w:r w:rsidRPr="00283806">
        <w:rPr>
          <w:spacing w:val="40"/>
          <w:w w:val="105"/>
        </w:rPr>
        <w:t xml:space="preserve"> </w:t>
      </w:r>
      <w:r w:rsidRPr="00283806">
        <w:rPr>
          <w:w w:val="105"/>
        </w:rPr>
        <w:t>servicing and/or repair of certain equipment in certain subsectors. The requirements in this rulemaking to control the servicing and/or repair of certain</w:t>
      </w:r>
      <w:r w:rsidRPr="00283806">
        <w:rPr>
          <w:spacing w:val="-5"/>
          <w:w w:val="105"/>
        </w:rPr>
        <w:t xml:space="preserve"> </w:t>
      </w:r>
      <w:r w:rsidRPr="00283806">
        <w:rPr>
          <w:w w:val="105"/>
        </w:rPr>
        <w:t>refrigerant-containing</w:t>
      </w:r>
      <w:r w:rsidRPr="00283806">
        <w:rPr>
          <w:spacing w:val="-6"/>
          <w:w w:val="105"/>
        </w:rPr>
        <w:t xml:space="preserve"> </w:t>
      </w:r>
      <w:r w:rsidRPr="00283806">
        <w:rPr>
          <w:w w:val="105"/>
        </w:rPr>
        <w:t>equipment are</w:t>
      </w:r>
      <w:r w:rsidRPr="00283806">
        <w:rPr>
          <w:spacing w:val="40"/>
          <w:w w:val="105"/>
        </w:rPr>
        <w:t xml:space="preserve"> </w:t>
      </w:r>
      <w:r w:rsidRPr="00283806">
        <w:rPr>
          <w:w w:val="105"/>
        </w:rPr>
        <w:t>within</w:t>
      </w:r>
      <w:r w:rsidRPr="00283806">
        <w:rPr>
          <w:spacing w:val="40"/>
          <w:w w:val="105"/>
        </w:rPr>
        <w:t xml:space="preserve"> </w:t>
      </w:r>
      <w:r w:rsidRPr="00283806">
        <w:rPr>
          <w:w w:val="105"/>
        </w:rPr>
        <w:t>this</w:t>
      </w:r>
      <w:r w:rsidRPr="00283806">
        <w:rPr>
          <w:spacing w:val="40"/>
          <w:w w:val="105"/>
        </w:rPr>
        <w:t xml:space="preserve"> </w:t>
      </w:r>
      <w:r w:rsidRPr="00283806">
        <w:rPr>
          <w:w w:val="105"/>
        </w:rPr>
        <w:t>authority</w:t>
      </w:r>
      <w:r w:rsidRPr="00283806">
        <w:rPr>
          <w:spacing w:val="40"/>
          <w:w w:val="105"/>
        </w:rPr>
        <w:t xml:space="preserve"> </w:t>
      </w:r>
      <w:r w:rsidRPr="00283806">
        <w:rPr>
          <w:w w:val="105"/>
        </w:rPr>
        <w:t>and</w:t>
      </w:r>
      <w:r w:rsidRPr="00283806">
        <w:rPr>
          <w:spacing w:val="40"/>
          <w:w w:val="105"/>
        </w:rPr>
        <w:t xml:space="preserve"> </w:t>
      </w:r>
      <w:r w:rsidRPr="00283806">
        <w:rPr>
          <w:w w:val="105"/>
        </w:rPr>
        <w:t>support the purpose of maximizing reclaim of HFCs. Further, EPA’s decision to apply these requirements only to refrigerant- containing equipment in particular RACHP subsectors is based on consideration of where such controls are ‘‘appropriate,’’ as the availability of reclaimed HFCs may not be prepared to support such requirements for all</w:t>
      </w:r>
      <w:r w:rsidRPr="00283806">
        <w:rPr>
          <w:spacing w:val="40"/>
          <w:w w:val="105"/>
        </w:rPr>
        <w:t xml:space="preserve"> </w:t>
      </w:r>
      <w:r w:rsidRPr="00283806">
        <w:rPr>
          <w:w w:val="105"/>
        </w:rPr>
        <w:t>existing RACHP equipment by the compliance date. By requiring that servicing and/or repair of certain refrigerant-containing equipment be done with reclaimed HFCs by a certain time frame, these requirements provide some</w:t>
      </w:r>
      <w:r w:rsidRPr="00283806">
        <w:rPr>
          <w:spacing w:val="40"/>
          <w:w w:val="105"/>
        </w:rPr>
        <w:t xml:space="preserve"> </w:t>
      </w:r>
      <w:r w:rsidRPr="00283806">
        <w:rPr>
          <w:w w:val="105"/>
        </w:rPr>
        <w:t>predictability</w:t>
      </w:r>
      <w:r w:rsidRPr="00283806">
        <w:rPr>
          <w:spacing w:val="40"/>
          <w:w w:val="105"/>
        </w:rPr>
        <w:t xml:space="preserve"> </w:t>
      </w:r>
      <w:r w:rsidRPr="00283806">
        <w:rPr>
          <w:w w:val="105"/>
        </w:rPr>
        <w:t>in</w:t>
      </w:r>
      <w:r w:rsidRPr="00283806">
        <w:rPr>
          <w:spacing w:val="40"/>
          <w:w w:val="105"/>
        </w:rPr>
        <w:t xml:space="preserve"> </w:t>
      </w:r>
      <w:r w:rsidRPr="00283806">
        <w:rPr>
          <w:w w:val="105"/>
        </w:rPr>
        <w:t>the</w:t>
      </w:r>
      <w:r w:rsidRPr="00283806">
        <w:rPr>
          <w:spacing w:val="40"/>
          <w:w w:val="105"/>
        </w:rPr>
        <w:t xml:space="preserve"> </w:t>
      </w:r>
      <w:r w:rsidRPr="00283806">
        <w:rPr>
          <w:w w:val="105"/>
        </w:rPr>
        <w:t>market, which</w:t>
      </w:r>
      <w:r w:rsidRPr="00283806">
        <w:rPr>
          <w:spacing w:val="40"/>
          <w:w w:val="105"/>
        </w:rPr>
        <w:t xml:space="preserve"> </w:t>
      </w:r>
      <w:r w:rsidRPr="00283806">
        <w:rPr>
          <w:w w:val="105"/>
        </w:rPr>
        <w:t>is</w:t>
      </w:r>
      <w:r w:rsidRPr="00283806">
        <w:rPr>
          <w:spacing w:val="40"/>
          <w:w w:val="105"/>
        </w:rPr>
        <w:t xml:space="preserve"> </w:t>
      </w:r>
      <w:r w:rsidRPr="00283806">
        <w:rPr>
          <w:w w:val="105"/>
        </w:rPr>
        <w:t>expected</w:t>
      </w:r>
      <w:r w:rsidRPr="00283806">
        <w:rPr>
          <w:spacing w:val="40"/>
          <w:w w:val="105"/>
        </w:rPr>
        <w:t xml:space="preserve"> </w:t>
      </w:r>
      <w:r w:rsidRPr="00283806">
        <w:rPr>
          <w:w w:val="105"/>
        </w:rPr>
        <w:t>to</w:t>
      </w:r>
      <w:r w:rsidRPr="00283806">
        <w:rPr>
          <w:spacing w:val="40"/>
          <w:w w:val="105"/>
        </w:rPr>
        <w:t xml:space="preserve"> </w:t>
      </w:r>
      <w:r w:rsidRPr="00283806">
        <w:rPr>
          <w:w w:val="105"/>
        </w:rPr>
        <w:t>encourage</w:t>
      </w:r>
      <w:r w:rsidRPr="00283806">
        <w:rPr>
          <w:spacing w:val="40"/>
          <w:w w:val="105"/>
        </w:rPr>
        <w:t xml:space="preserve"> </w:t>
      </w:r>
      <w:r w:rsidRPr="00283806">
        <w:rPr>
          <w:w w:val="105"/>
        </w:rPr>
        <w:t>efforts to increase capacity for reclamation and support recovery of HFCs.</w:t>
      </w:r>
    </w:p>
    <w:p w14:paraId="50F92800" w14:textId="77777777" w:rsidR="00D67C1E" w:rsidRPr="00283806" w:rsidRDefault="001265CA">
      <w:pPr>
        <w:pStyle w:val="BodyText"/>
        <w:spacing w:before="25" w:line="228" w:lineRule="auto"/>
        <w:ind w:left="153" w:right="78" w:firstLine="180"/>
      </w:pPr>
      <w:r w:rsidRPr="00283806">
        <w:rPr>
          <w:rFonts w:ascii="Book Antiqua"/>
          <w:i/>
          <w:w w:val="105"/>
        </w:rPr>
        <w:t xml:space="preserve">Comment: </w:t>
      </w:r>
      <w:r w:rsidRPr="00283806">
        <w:rPr>
          <w:w w:val="105"/>
        </w:rPr>
        <w:t>EPA received many comments regarding the availability of the supply of reclaimed refrigerant to meet</w:t>
      </w:r>
      <w:r w:rsidRPr="00283806">
        <w:rPr>
          <w:spacing w:val="40"/>
          <w:w w:val="105"/>
        </w:rPr>
        <w:t xml:space="preserve"> </w:t>
      </w:r>
      <w:r w:rsidRPr="00283806">
        <w:rPr>
          <w:w w:val="105"/>
        </w:rPr>
        <w:t>the</w:t>
      </w:r>
      <w:r w:rsidRPr="00283806">
        <w:rPr>
          <w:spacing w:val="40"/>
          <w:w w:val="105"/>
        </w:rPr>
        <w:t xml:space="preserve"> </w:t>
      </w:r>
      <w:r w:rsidRPr="00283806">
        <w:rPr>
          <w:w w:val="105"/>
        </w:rPr>
        <w:t>required</w:t>
      </w:r>
      <w:r w:rsidRPr="00283806">
        <w:rPr>
          <w:spacing w:val="40"/>
          <w:w w:val="105"/>
        </w:rPr>
        <w:t xml:space="preserve"> </w:t>
      </w:r>
      <w:r w:rsidRPr="00283806">
        <w:rPr>
          <w:w w:val="105"/>
        </w:rPr>
        <w:t>uses</w:t>
      </w:r>
      <w:r w:rsidRPr="00283806">
        <w:rPr>
          <w:spacing w:val="40"/>
          <w:w w:val="105"/>
        </w:rPr>
        <w:t xml:space="preserve"> </w:t>
      </w:r>
      <w:r w:rsidRPr="00283806">
        <w:rPr>
          <w:w w:val="105"/>
        </w:rPr>
        <w:t>of</w:t>
      </w:r>
      <w:r w:rsidRPr="00283806">
        <w:rPr>
          <w:spacing w:val="40"/>
          <w:w w:val="105"/>
        </w:rPr>
        <w:t xml:space="preserve"> </w:t>
      </w:r>
      <w:r w:rsidRPr="00283806">
        <w:rPr>
          <w:w w:val="105"/>
        </w:rPr>
        <w:t>reclaimed HFC refrigerant as proposed. A few commenters claimed that the reclaim rate will not increase to meet demand and</w:t>
      </w:r>
      <w:r w:rsidRPr="00283806">
        <w:rPr>
          <w:spacing w:val="40"/>
          <w:w w:val="105"/>
        </w:rPr>
        <w:t xml:space="preserve"> </w:t>
      </w:r>
      <w:r w:rsidRPr="00283806">
        <w:rPr>
          <w:w w:val="105"/>
        </w:rPr>
        <w:t>that</w:t>
      </w:r>
      <w:r w:rsidRPr="00283806">
        <w:rPr>
          <w:spacing w:val="40"/>
          <w:w w:val="105"/>
        </w:rPr>
        <w:t xml:space="preserve"> </w:t>
      </w:r>
      <w:r w:rsidRPr="00283806">
        <w:rPr>
          <w:w w:val="105"/>
        </w:rPr>
        <w:t>EPA</w:t>
      </w:r>
      <w:r w:rsidRPr="00283806">
        <w:rPr>
          <w:spacing w:val="40"/>
          <w:w w:val="105"/>
        </w:rPr>
        <w:t xml:space="preserve"> </w:t>
      </w:r>
      <w:r w:rsidRPr="00283806">
        <w:rPr>
          <w:w w:val="105"/>
        </w:rPr>
        <w:t>has</w:t>
      </w:r>
      <w:r w:rsidRPr="00283806">
        <w:rPr>
          <w:spacing w:val="40"/>
          <w:w w:val="105"/>
        </w:rPr>
        <w:t xml:space="preserve"> </w:t>
      </w:r>
      <w:r w:rsidRPr="00283806">
        <w:rPr>
          <w:w w:val="105"/>
        </w:rPr>
        <w:t>not</w:t>
      </w:r>
      <w:r w:rsidRPr="00283806">
        <w:rPr>
          <w:spacing w:val="40"/>
          <w:w w:val="105"/>
        </w:rPr>
        <w:t xml:space="preserve"> </w:t>
      </w:r>
      <w:r w:rsidRPr="00283806">
        <w:rPr>
          <w:w w:val="105"/>
        </w:rPr>
        <w:t>provided sufficient</w:t>
      </w:r>
      <w:r w:rsidRPr="00283806">
        <w:rPr>
          <w:spacing w:val="40"/>
          <w:w w:val="105"/>
        </w:rPr>
        <w:t xml:space="preserve"> </w:t>
      </w:r>
      <w:r w:rsidRPr="00283806">
        <w:rPr>
          <w:w w:val="105"/>
        </w:rPr>
        <w:t>data</w:t>
      </w:r>
      <w:r w:rsidRPr="00283806">
        <w:rPr>
          <w:spacing w:val="40"/>
          <w:w w:val="105"/>
        </w:rPr>
        <w:t xml:space="preserve"> </w:t>
      </w:r>
      <w:r w:rsidRPr="00283806">
        <w:rPr>
          <w:w w:val="105"/>
        </w:rPr>
        <w:t>to</w:t>
      </w:r>
      <w:r w:rsidRPr="00283806">
        <w:rPr>
          <w:spacing w:val="40"/>
          <w:w w:val="105"/>
        </w:rPr>
        <w:t xml:space="preserve"> </w:t>
      </w:r>
      <w:r w:rsidRPr="00283806">
        <w:rPr>
          <w:w w:val="105"/>
        </w:rPr>
        <w:t>support</w:t>
      </w:r>
      <w:r w:rsidRPr="00283806">
        <w:rPr>
          <w:spacing w:val="40"/>
          <w:w w:val="105"/>
        </w:rPr>
        <w:t xml:space="preserve"> </w:t>
      </w:r>
      <w:r w:rsidRPr="00283806">
        <w:rPr>
          <w:w w:val="105"/>
        </w:rPr>
        <w:t>the availability of necessary reclaim</w:t>
      </w:r>
      <w:r w:rsidRPr="00283806">
        <w:rPr>
          <w:spacing w:val="80"/>
          <w:w w:val="105"/>
        </w:rPr>
        <w:t xml:space="preserve"> </w:t>
      </w:r>
      <w:r w:rsidRPr="00283806">
        <w:rPr>
          <w:w w:val="105"/>
        </w:rPr>
        <w:t>material for the regulated sectors. The commenters stated that even if HFC reclamation continued to grow at 38 percent every year, supply would barely provide half of the quantity needed in 2028. One commenter stated that not enough recovery machines are sold in</w:t>
      </w:r>
      <w:r w:rsidRPr="00283806">
        <w:rPr>
          <w:spacing w:val="40"/>
          <w:w w:val="105"/>
        </w:rPr>
        <w:t xml:space="preserve"> </w:t>
      </w:r>
      <w:r w:rsidRPr="00283806">
        <w:rPr>
          <w:w w:val="105"/>
        </w:rPr>
        <w:t>the United States to support the reclaim mandate, thus leading to insufficient refrigerant recovery and reclamation.</w:t>
      </w:r>
    </w:p>
    <w:p w14:paraId="01807480" w14:textId="77777777" w:rsidR="00D67C1E" w:rsidRPr="00283806" w:rsidRDefault="001265CA">
      <w:pPr>
        <w:pStyle w:val="BodyText"/>
        <w:spacing w:line="177" w:lineRule="exact"/>
        <w:ind w:left="153"/>
      </w:pPr>
      <w:r w:rsidRPr="00283806">
        <w:rPr>
          <w:w w:val="105"/>
        </w:rPr>
        <w:t>The</w:t>
      </w:r>
      <w:r w:rsidRPr="00283806">
        <w:rPr>
          <w:spacing w:val="11"/>
          <w:w w:val="105"/>
        </w:rPr>
        <w:t xml:space="preserve"> </w:t>
      </w:r>
      <w:r w:rsidRPr="00283806">
        <w:rPr>
          <w:w w:val="105"/>
        </w:rPr>
        <w:t>commenter</w:t>
      </w:r>
      <w:r w:rsidRPr="00283806">
        <w:rPr>
          <w:spacing w:val="12"/>
          <w:w w:val="105"/>
        </w:rPr>
        <w:t xml:space="preserve"> </w:t>
      </w:r>
      <w:r w:rsidRPr="00283806">
        <w:rPr>
          <w:w w:val="105"/>
        </w:rPr>
        <w:t>claimed</w:t>
      </w:r>
      <w:r w:rsidRPr="00283806">
        <w:rPr>
          <w:spacing w:val="11"/>
          <w:w w:val="105"/>
        </w:rPr>
        <w:t xml:space="preserve"> </w:t>
      </w:r>
      <w:r w:rsidRPr="00283806">
        <w:rPr>
          <w:w w:val="105"/>
        </w:rPr>
        <w:t>that</w:t>
      </w:r>
      <w:r w:rsidRPr="00283806">
        <w:rPr>
          <w:spacing w:val="11"/>
          <w:w w:val="105"/>
        </w:rPr>
        <w:t xml:space="preserve"> </w:t>
      </w:r>
      <w:r w:rsidRPr="00283806">
        <w:rPr>
          <w:spacing w:val="-4"/>
          <w:w w:val="105"/>
        </w:rPr>
        <w:t>this</w:t>
      </w:r>
    </w:p>
    <w:p w14:paraId="38020693" w14:textId="77777777" w:rsidR="00D67C1E" w:rsidRPr="00283806" w:rsidRDefault="001265CA">
      <w:pPr>
        <w:pStyle w:val="BodyText"/>
        <w:spacing w:before="3" w:line="228" w:lineRule="auto"/>
        <w:ind w:left="153" w:right="78"/>
      </w:pPr>
      <w:proofErr w:type="gramStart"/>
      <w:r w:rsidRPr="00283806">
        <w:rPr>
          <w:w w:val="105"/>
        </w:rPr>
        <w:t>resulting</w:t>
      </w:r>
      <w:proofErr w:type="gramEnd"/>
      <w:r w:rsidRPr="00283806">
        <w:rPr>
          <w:w w:val="105"/>
        </w:rPr>
        <w:t xml:space="preserve"> refrigerant shortfall will drive up costs. Another commenter noted that the inadequate supply of reclaimed gas would mean that the reclaim mandates are consequently unlikely to be</w:t>
      </w:r>
      <w:r w:rsidRPr="00283806">
        <w:rPr>
          <w:spacing w:val="80"/>
          <w:w w:val="105"/>
        </w:rPr>
        <w:t xml:space="preserve"> </w:t>
      </w:r>
      <w:r w:rsidRPr="00283806">
        <w:rPr>
          <w:w w:val="105"/>
        </w:rPr>
        <w:t>practical, achievable, or enforceable.</w:t>
      </w:r>
    </w:p>
    <w:p w14:paraId="40C31876" w14:textId="77777777" w:rsidR="00D67C1E" w:rsidRPr="00283806" w:rsidRDefault="001265CA">
      <w:pPr>
        <w:pStyle w:val="BodyText"/>
        <w:spacing w:line="228" w:lineRule="auto"/>
        <w:ind w:left="153" w:right="70"/>
      </w:pPr>
      <w:r w:rsidRPr="00283806">
        <w:rPr>
          <w:w w:val="105"/>
        </w:rPr>
        <w:t xml:space="preserve">Another commenter was skeptical that enough reclaimed refrigerant will be available in the market by 2028 and claimed that the rulemaking record does not support that </w:t>
      </w:r>
      <w:proofErr w:type="gramStart"/>
      <w:r w:rsidRPr="00283806">
        <w:rPr>
          <w:w w:val="105"/>
        </w:rPr>
        <w:t>a sufficient quantity</w:t>
      </w:r>
      <w:proofErr w:type="gramEnd"/>
      <w:r w:rsidRPr="00283806">
        <w:rPr>
          <w:spacing w:val="80"/>
          <w:w w:val="105"/>
        </w:rPr>
        <w:t xml:space="preserve"> </w:t>
      </w:r>
      <w:r w:rsidRPr="00283806">
        <w:rPr>
          <w:w w:val="105"/>
        </w:rPr>
        <w:t xml:space="preserve">will be available. One commenter stated that only four percent of 2022 demand for R–410A was reclaimed in 2022. The commenter further stated that new systems need to be installed </w:t>
      </w:r>
      <w:proofErr w:type="gramStart"/>
      <w:r w:rsidRPr="00283806">
        <w:rPr>
          <w:w w:val="105"/>
        </w:rPr>
        <w:t>in order to</w:t>
      </w:r>
      <w:proofErr w:type="gramEnd"/>
      <w:r w:rsidRPr="00283806">
        <w:rPr>
          <w:w w:val="105"/>
        </w:rPr>
        <w:t xml:space="preserve"> realize the transition to </w:t>
      </w:r>
      <w:proofErr w:type="gramStart"/>
      <w:r w:rsidRPr="00283806">
        <w:rPr>
          <w:w w:val="105"/>
        </w:rPr>
        <w:t>lower-GWP</w:t>
      </w:r>
      <w:proofErr w:type="gramEnd"/>
    </w:p>
    <w:p w14:paraId="178E2AC1" w14:textId="77777777" w:rsidR="00D67C1E" w:rsidRPr="00283806" w:rsidRDefault="001265CA">
      <w:pPr>
        <w:pStyle w:val="BodyText"/>
        <w:spacing w:before="134" w:line="225" w:lineRule="auto"/>
        <w:ind w:left="142" w:right="141"/>
      </w:pPr>
      <w:r w:rsidRPr="00283806">
        <w:br w:type="column"/>
      </w:r>
      <w:r w:rsidRPr="00283806">
        <w:rPr>
          <w:w w:val="105"/>
        </w:rPr>
        <w:t xml:space="preserve">refrigerants and that there will be a lack of recovered </w:t>
      </w:r>
      <w:proofErr w:type="gramStart"/>
      <w:r w:rsidRPr="00283806">
        <w:rPr>
          <w:w w:val="105"/>
        </w:rPr>
        <w:t>refrigerant</w:t>
      </w:r>
      <w:proofErr w:type="gramEnd"/>
      <w:r w:rsidRPr="00283806">
        <w:rPr>
          <w:w w:val="105"/>
        </w:rPr>
        <w:t xml:space="preserve"> from new technologies using lower-GWP refrigerants until equipment approaches retirement. The commenter also claimed that including equipment meeting Technology Transitions GWP limits</w:t>
      </w:r>
      <w:r w:rsidRPr="00283806">
        <w:rPr>
          <w:spacing w:val="40"/>
          <w:w w:val="105"/>
        </w:rPr>
        <w:t xml:space="preserve"> </w:t>
      </w:r>
      <w:r w:rsidRPr="00283806">
        <w:rPr>
          <w:w w:val="105"/>
        </w:rPr>
        <w:t>would complicate the reclamation process. The commenter claimed that</w:t>
      </w:r>
      <w:r w:rsidRPr="00283806">
        <w:rPr>
          <w:spacing w:val="40"/>
          <w:w w:val="105"/>
        </w:rPr>
        <w:t xml:space="preserve"> </w:t>
      </w:r>
      <w:r w:rsidRPr="00283806">
        <w:rPr>
          <w:w w:val="105"/>
        </w:rPr>
        <w:t>this approach is consistent with the statutory design of the AIM Act by allowing the phasedown to move at its prescribed pace while accommodating sector and subsector-specific restrictions and</w:t>
      </w:r>
      <w:r w:rsidRPr="00283806">
        <w:rPr>
          <w:spacing w:val="40"/>
          <w:w w:val="105"/>
        </w:rPr>
        <w:t xml:space="preserve"> </w:t>
      </w:r>
      <w:r w:rsidRPr="00283806">
        <w:rPr>
          <w:w w:val="105"/>
        </w:rPr>
        <w:t>avoiding</w:t>
      </w:r>
      <w:r w:rsidRPr="00283806">
        <w:rPr>
          <w:spacing w:val="40"/>
          <w:w w:val="105"/>
        </w:rPr>
        <w:t xml:space="preserve"> </w:t>
      </w:r>
      <w:r w:rsidRPr="00283806">
        <w:rPr>
          <w:w w:val="105"/>
        </w:rPr>
        <w:t>potential</w:t>
      </w:r>
      <w:r w:rsidRPr="00283806">
        <w:rPr>
          <w:spacing w:val="40"/>
          <w:w w:val="105"/>
        </w:rPr>
        <w:t xml:space="preserve"> </w:t>
      </w:r>
      <w:r w:rsidRPr="00283806">
        <w:rPr>
          <w:w w:val="105"/>
        </w:rPr>
        <w:t>disruptive market effects. Another commenter stated that current low recovery and reclamation volumes and a lack of</w:t>
      </w:r>
      <w:r w:rsidRPr="00283806">
        <w:rPr>
          <w:spacing w:val="40"/>
          <w:w w:val="105"/>
        </w:rPr>
        <w:t xml:space="preserve"> </w:t>
      </w:r>
      <w:r w:rsidRPr="00283806">
        <w:rPr>
          <w:w w:val="105"/>
        </w:rPr>
        <w:t>market readiness do not support establishing reclaim mandates but, if</w:t>
      </w:r>
      <w:r w:rsidRPr="00283806">
        <w:rPr>
          <w:spacing w:val="80"/>
          <w:w w:val="105"/>
        </w:rPr>
        <w:t xml:space="preserve"> </w:t>
      </w:r>
      <w:r w:rsidRPr="00283806">
        <w:rPr>
          <w:w w:val="105"/>
        </w:rPr>
        <w:t>EPA</w:t>
      </w:r>
      <w:r w:rsidRPr="00283806">
        <w:rPr>
          <w:spacing w:val="40"/>
          <w:w w:val="105"/>
        </w:rPr>
        <w:t xml:space="preserve"> </w:t>
      </w:r>
      <w:r w:rsidRPr="00283806">
        <w:rPr>
          <w:w w:val="105"/>
        </w:rPr>
        <w:t>proceeds,</w:t>
      </w:r>
      <w:r w:rsidRPr="00283806">
        <w:rPr>
          <w:spacing w:val="40"/>
          <w:w w:val="105"/>
        </w:rPr>
        <w:t xml:space="preserve"> </w:t>
      </w:r>
      <w:r w:rsidRPr="00283806">
        <w:rPr>
          <w:w w:val="105"/>
        </w:rPr>
        <w:t>such</w:t>
      </w:r>
      <w:r w:rsidRPr="00283806">
        <w:rPr>
          <w:spacing w:val="40"/>
          <w:w w:val="105"/>
        </w:rPr>
        <w:t xml:space="preserve"> </w:t>
      </w:r>
      <w:r w:rsidRPr="00283806">
        <w:rPr>
          <w:w w:val="105"/>
        </w:rPr>
        <w:t xml:space="preserve">requirements should require use equal to reasonable market supply projections. Another commenter stated the challenge of obtaining </w:t>
      </w:r>
      <w:proofErr w:type="gramStart"/>
      <w:r w:rsidRPr="00283806">
        <w:rPr>
          <w:w w:val="105"/>
        </w:rPr>
        <w:t>a sufficient amount of</w:t>
      </w:r>
      <w:proofErr w:type="gramEnd"/>
      <w:r w:rsidRPr="00283806">
        <w:rPr>
          <w:w w:val="105"/>
        </w:rPr>
        <w:t xml:space="preserve"> recovered refrigerant available to</w:t>
      </w:r>
      <w:r w:rsidRPr="00283806">
        <w:rPr>
          <w:spacing w:val="40"/>
          <w:w w:val="105"/>
        </w:rPr>
        <w:t xml:space="preserve"> </w:t>
      </w:r>
      <w:r w:rsidRPr="00283806">
        <w:rPr>
          <w:w w:val="105"/>
        </w:rPr>
        <w:t>reclaim</w:t>
      </w:r>
      <w:r w:rsidRPr="00283806">
        <w:rPr>
          <w:spacing w:val="40"/>
          <w:w w:val="105"/>
        </w:rPr>
        <w:t xml:space="preserve"> </w:t>
      </w:r>
      <w:r w:rsidRPr="00283806">
        <w:rPr>
          <w:w w:val="105"/>
        </w:rPr>
        <w:t>and</w:t>
      </w:r>
      <w:r w:rsidRPr="00283806">
        <w:rPr>
          <w:spacing w:val="40"/>
          <w:w w:val="105"/>
        </w:rPr>
        <w:t xml:space="preserve"> </w:t>
      </w:r>
      <w:r w:rsidRPr="00283806">
        <w:rPr>
          <w:w w:val="105"/>
        </w:rPr>
        <w:t>stated</w:t>
      </w:r>
      <w:r w:rsidRPr="00283806">
        <w:rPr>
          <w:spacing w:val="40"/>
          <w:w w:val="105"/>
        </w:rPr>
        <w:t xml:space="preserve"> </w:t>
      </w:r>
      <w:r w:rsidRPr="00283806">
        <w:rPr>
          <w:w w:val="105"/>
        </w:rPr>
        <w:t>that</w:t>
      </w:r>
      <w:r w:rsidRPr="00283806">
        <w:rPr>
          <w:spacing w:val="40"/>
          <w:w w:val="105"/>
        </w:rPr>
        <w:t xml:space="preserve"> </w:t>
      </w:r>
      <w:r w:rsidRPr="00283806">
        <w:rPr>
          <w:w w:val="105"/>
        </w:rPr>
        <w:t>any</w:t>
      </w:r>
      <w:r w:rsidRPr="00283806">
        <w:rPr>
          <w:spacing w:val="40"/>
          <w:w w:val="105"/>
        </w:rPr>
        <w:t xml:space="preserve"> </w:t>
      </w:r>
      <w:r w:rsidRPr="00283806">
        <w:rPr>
          <w:w w:val="105"/>
        </w:rPr>
        <w:t xml:space="preserve">provisions to minimize releases should be balanced such that adequate supply of </w:t>
      </w:r>
      <w:proofErr w:type="gramStart"/>
      <w:r w:rsidRPr="00283806">
        <w:rPr>
          <w:w w:val="105"/>
        </w:rPr>
        <w:t>refrigerant</w:t>
      </w:r>
      <w:proofErr w:type="gramEnd"/>
      <w:r w:rsidRPr="00283806">
        <w:rPr>
          <w:w w:val="105"/>
        </w:rPr>
        <w:t xml:space="preserve"> is available.</w:t>
      </w:r>
    </w:p>
    <w:p w14:paraId="440AF751" w14:textId="77777777" w:rsidR="00D67C1E" w:rsidRPr="00283806" w:rsidRDefault="001265CA">
      <w:pPr>
        <w:pStyle w:val="BodyText"/>
        <w:spacing w:line="169" w:lineRule="exact"/>
        <w:ind w:left="322"/>
      </w:pPr>
      <w:r w:rsidRPr="00283806">
        <w:t>A</w:t>
      </w:r>
      <w:r w:rsidRPr="00283806">
        <w:rPr>
          <w:spacing w:val="34"/>
        </w:rPr>
        <w:t xml:space="preserve"> </w:t>
      </w:r>
      <w:r w:rsidRPr="00283806">
        <w:t>couple</w:t>
      </w:r>
      <w:r w:rsidRPr="00283806">
        <w:rPr>
          <w:spacing w:val="35"/>
        </w:rPr>
        <w:t xml:space="preserve"> </w:t>
      </w:r>
      <w:r w:rsidRPr="00283806">
        <w:t>of</w:t>
      </w:r>
      <w:r w:rsidRPr="00283806">
        <w:rPr>
          <w:spacing w:val="35"/>
        </w:rPr>
        <w:t xml:space="preserve"> </w:t>
      </w:r>
      <w:r w:rsidRPr="00283806">
        <w:t>other</w:t>
      </w:r>
      <w:r w:rsidRPr="00283806">
        <w:rPr>
          <w:spacing w:val="35"/>
        </w:rPr>
        <w:t xml:space="preserve"> </w:t>
      </w:r>
      <w:r w:rsidRPr="00283806">
        <w:t>commenters</w:t>
      </w:r>
      <w:r w:rsidRPr="00283806">
        <w:rPr>
          <w:spacing w:val="34"/>
        </w:rPr>
        <w:t xml:space="preserve"> </w:t>
      </w:r>
      <w:r w:rsidRPr="00283806">
        <w:rPr>
          <w:spacing w:val="-2"/>
        </w:rPr>
        <w:t>stated</w:t>
      </w:r>
    </w:p>
    <w:p w14:paraId="73BECA05" w14:textId="77777777" w:rsidR="00D67C1E" w:rsidRPr="00283806" w:rsidRDefault="001265CA">
      <w:pPr>
        <w:pStyle w:val="BodyText"/>
        <w:spacing w:before="4" w:line="225" w:lineRule="auto"/>
        <w:ind w:left="142" w:right="127"/>
      </w:pPr>
      <w:proofErr w:type="gramStart"/>
      <w:r w:rsidRPr="00283806">
        <w:rPr>
          <w:w w:val="110"/>
        </w:rPr>
        <w:t>that EPA</w:t>
      </w:r>
      <w:proofErr w:type="gramEnd"/>
      <w:r w:rsidRPr="00283806">
        <w:rPr>
          <w:w w:val="110"/>
        </w:rPr>
        <w:t xml:space="preserve"> has not evaluated reclaim availability on a sector-specific basis, instead, </w:t>
      </w:r>
      <w:proofErr w:type="gramStart"/>
      <w:r w:rsidRPr="00283806">
        <w:rPr>
          <w:w w:val="110"/>
        </w:rPr>
        <w:t>assuming that</w:t>
      </w:r>
      <w:proofErr w:type="gramEnd"/>
      <w:r w:rsidRPr="00283806">
        <w:rPr>
          <w:w w:val="110"/>
        </w:rPr>
        <w:t xml:space="preserve"> the availability for each reclaimed HFC will increase consistently across all HFC blends. The commenters stated that EPA needs to look at HFC blends in each sector because certain blends are hard to recover and are end-</w:t>
      </w:r>
      <w:proofErr w:type="gramStart"/>
      <w:r w:rsidRPr="00283806">
        <w:rPr>
          <w:w w:val="110"/>
        </w:rPr>
        <w:t>use</w:t>
      </w:r>
      <w:proofErr w:type="gramEnd"/>
      <w:r w:rsidRPr="00283806">
        <w:rPr>
          <w:w w:val="110"/>
        </w:rPr>
        <w:t xml:space="preserve"> specific. The commenters</w:t>
      </w:r>
      <w:r w:rsidRPr="00283806">
        <w:rPr>
          <w:spacing w:val="-8"/>
          <w:w w:val="110"/>
        </w:rPr>
        <w:t xml:space="preserve"> </w:t>
      </w:r>
      <w:r w:rsidRPr="00283806">
        <w:rPr>
          <w:w w:val="110"/>
        </w:rPr>
        <w:t>stated</w:t>
      </w:r>
      <w:r w:rsidRPr="00283806">
        <w:rPr>
          <w:spacing w:val="-8"/>
          <w:w w:val="110"/>
        </w:rPr>
        <w:t xml:space="preserve"> </w:t>
      </w:r>
      <w:r w:rsidRPr="00283806">
        <w:rPr>
          <w:w w:val="110"/>
        </w:rPr>
        <w:t>that</w:t>
      </w:r>
      <w:r w:rsidRPr="00283806">
        <w:rPr>
          <w:spacing w:val="-8"/>
          <w:w w:val="110"/>
        </w:rPr>
        <w:t xml:space="preserve"> </w:t>
      </w:r>
      <w:r w:rsidRPr="00283806">
        <w:rPr>
          <w:w w:val="110"/>
        </w:rPr>
        <w:t>R–404A</w:t>
      </w:r>
      <w:r w:rsidRPr="00283806">
        <w:rPr>
          <w:spacing w:val="-8"/>
          <w:w w:val="110"/>
        </w:rPr>
        <w:t xml:space="preserve"> </w:t>
      </w:r>
      <w:r w:rsidRPr="00283806">
        <w:rPr>
          <w:w w:val="110"/>
        </w:rPr>
        <w:t>and</w:t>
      </w:r>
      <w:r w:rsidRPr="00283806">
        <w:rPr>
          <w:spacing w:val="-8"/>
          <w:w w:val="110"/>
        </w:rPr>
        <w:t xml:space="preserve"> </w:t>
      </w:r>
      <w:r w:rsidRPr="00283806">
        <w:rPr>
          <w:w w:val="110"/>
        </w:rPr>
        <w:t xml:space="preserve">R– </w:t>
      </w:r>
      <w:r w:rsidRPr="00283806">
        <w:t>507 are two examples of refrigerants that</w:t>
      </w:r>
      <w:r w:rsidRPr="00283806">
        <w:rPr>
          <w:w w:val="110"/>
        </w:rPr>
        <w:t xml:space="preserve"> are difficult and expensive to reclaim and that many reclaimers cannot reclaim these blends or would choose not to, leading to insufficient supply</w:t>
      </w:r>
      <w:r w:rsidRPr="00283806">
        <w:rPr>
          <w:spacing w:val="40"/>
          <w:w w:val="110"/>
        </w:rPr>
        <w:t xml:space="preserve"> </w:t>
      </w:r>
      <w:r w:rsidRPr="00283806">
        <w:rPr>
          <w:w w:val="110"/>
        </w:rPr>
        <w:t>and refrigeration problems.</w:t>
      </w:r>
    </w:p>
    <w:p w14:paraId="79591BB9" w14:textId="77777777" w:rsidR="00D67C1E" w:rsidRPr="00283806" w:rsidRDefault="001265CA">
      <w:pPr>
        <w:pStyle w:val="BodyText"/>
        <w:spacing w:line="174" w:lineRule="exact"/>
        <w:ind w:left="322"/>
      </w:pPr>
      <w:r w:rsidRPr="00283806">
        <w:rPr>
          <w:w w:val="105"/>
        </w:rPr>
        <w:t>Another</w:t>
      </w:r>
      <w:r w:rsidRPr="00283806">
        <w:rPr>
          <w:spacing w:val="8"/>
          <w:w w:val="105"/>
        </w:rPr>
        <w:t xml:space="preserve"> </w:t>
      </w:r>
      <w:r w:rsidRPr="00283806">
        <w:rPr>
          <w:w w:val="105"/>
        </w:rPr>
        <w:t>commenter</w:t>
      </w:r>
      <w:r w:rsidRPr="00283806">
        <w:rPr>
          <w:spacing w:val="9"/>
          <w:w w:val="105"/>
        </w:rPr>
        <w:t xml:space="preserve"> </w:t>
      </w:r>
      <w:r w:rsidRPr="00283806">
        <w:rPr>
          <w:spacing w:val="-2"/>
          <w:w w:val="105"/>
        </w:rPr>
        <w:t>expressed</w:t>
      </w:r>
    </w:p>
    <w:p w14:paraId="6A89766D" w14:textId="77777777" w:rsidR="00D67C1E" w:rsidRPr="00283806" w:rsidRDefault="001265CA">
      <w:pPr>
        <w:pStyle w:val="BodyText"/>
        <w:spacing w:before="4" w:line="225" w:lineRule="auto"/>
        <w:ind w:left="142" w:right="197"/>
      </w:pPr>
      <w:r w:rsidRPr="00283806">
        <w:rPr>
          <w:w w:val="105"/>
        </w:rPr>
        <w:t>concerns regarding the future market availability</w:t>
      </w:r>
      <w:r w:rsidRPr="00283806">
        <w:rPr>
          <w:spacing w:val="40"/>
          <w:w w:val="105"/>
        </w:rPr>
        <w:t xml:space="preserve"> </w:t>
      </w:r>
      <w:r w:rsidRPr="00283806">
        <w:rPr>
          <w:w w:val="105"/>
        </w:rPr>
        <w:t>and</w:t>
      </w:r>
      <w:r w:rsidRPr="00283806">
        <w:rPr>
          <w:spacing w:val="40"/>
          <w:w w:val="105"/>
        </w:rPr>
        <w:t xml:space="preserve"> </w:t>
      </w:r>
      <w:r w:rsidRPr="00283806">
        <w:rPr>
          <w:w w:val="105"/>
        </w:rPr>
        <w:t>price</w:t>
      </w:r>
      <w:r w:rsidRPr="00283806">
        <w:rPr>
          <w:spacing w:val="40"/>
          <w:w w:val="105"/>
        </w:rPr>
        <w:t xml:space="preserve"> </w:t>
      </w:r>
      <w:r w:rsidRPr="00283806">
        <w:rPr>
          <w:w w:val="105"/>
        </w:rPr>
        <w:t>of</w:t>
      </w:r>
      <w:r w:rsidRPr="00283806">
        <w:rPr>
          <w:spacing w:val="40"/>
          <w:w w:val="105"/>
        </w:rPr>
        <w:t xml:space="preserve"> </w:t>
      </w:r>
      <w:r w:rsidRPr="00283806">
        <w:rPr>
          <w:w w:val="105"/>
        </w:rPr>
        <w:t>certified reclaim such as that of R–410A because there are no ‘‘drop in’’ substitutes to replace it. The commenter stated that</w:t>
      </w:r>
      <w:r w:rsidRPr="00283806">
        <w:rPr>
          <w:spacing w:val="40"/>
          <w:w w:val="105"/>
        </w:rPr>
        <w:t xml:space="preserve"> </w:t>
      </w:r>
      <w:r w:rsidRPr="00283806">
        <w:rPr>
          <w:w w:val="105"/>
        </w:rPr>
        <w:t>this is very different from EPA’s most recent 2010 refrigerant transition in the stationary air conditioning and heat pump market where there were alternatives for HCFC–22; thus, industry had options that they do not have in this transition. The commenter noted this could create unforeseen shortages</w:t>
      </w:r>
      <w:r w:rsidRPr="00283806">
        <w:rPr>
          <w:spacing w:val="80"/>
          <w:w w:val="105"/>
        </w:rPr>
        <w:t xml:space="preserve"> </w:t>
      </w:r>
      <w:r w:rsidRPr="00283806">
        <w:rPr>
          <w:w w:val="105"/>
        </w:rPr>
        <w:t xml:space="preserve">unless EPA takes actions to ensure </w:t>
      </w:r>
      <w:proofErr w:type="gramStart"/>
      <w:r w:rsidRPr="00283806">
        <w:rPr>
          <w:w w:val="105"/>
        </w:rPr>
        <w:t>reclaim</w:t>
      </w:r>
      <w:proofErr w:type="gramEnd"/>
      <w:r w:rsidRPr="00283806">
        <w:rPr>
          <w:w w:val="105"/>
        </w:rPr>
        <w:t xml:space="preserve"> mandates are based on actual data and are focused on the service market. The commenter expressed concerns that EPA’s future projected reclaim quantities will not be sufficient</w:t>
      </w:r>
      <w:r w:rsidRPr="00283806">
        <w:rPr>
          <w:spacing w:val="80"/>
          <w:w w:val="105"/>
        </w:rPr>
        <w:t xml:space="preserve"> </w:t>
      </w:r>
      <w:r w:rsidRPr="00283806">
        <w:rPr>
          <w:w w:val="105"/>
        </w:rPr>
        <w:t>to meet actual market demand for both initial charge as well as service/</w:t>
      </w:r>
    </w:p>
    <w:p w14:paraId="369114EE"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07" w:space="40"/>
            <w:col w:w="3512" w:space="39"/>
            <w:col w:w="3622"/>
          </w:cols>
        </w:sectPr>
      </w:pPr>
    </w:p>
    <w:p w14:paraId="76DCC66C" w14:textId="77777777" w:rsidR="00D67C1E" w:rsidRPr="00283806" w:rsidRDefault="001265CA">
      <w:pPr>
        <w:pStyle w:val="BodyText"/>
        <w:spacing w:before="136" w:line="225" w:lineRule="auto"/>
        <w:ind w:right="62"/>
      </w:pPr>
      <w:r w:rsidRPr="00283806">
        <w:rPr>
          <w:w w:val="105"/>
        </w:rPr>
        <w:lastRenderedPageBreak/>
        <w:t>aftermarket demand and thus encouraged EPA to focus on the service/ aftermarket and remove the initial</w:t>
      </w:r>
      <w:r w:rsidRPr="00283806">
        <w:rPr>
          <w:spacing w:val="40"/>
          <w:w w:val="105"/>
        </w:rPr>
        <w:t xml:space="preserve"> </w:t>
      </w:r>
      <w:r w:rsidRPr="00283806">
        <w:rPr>
          <w:w w:val="105"/>
        </w:rPr>
        <w:t>charge mandates from the proposed</w:t>
      </w:r>
      <w:r w:rsidRPr="00283806">
        <w:rPr>
          <w:spacing w:val="80"/>
          <w:w w:val="105"/>
        </w:rPr>
        <w:t xml:space="preserve"> </w:t>
      </w:r>
      <w:r w:rsidRPr="00283806">
        <w:rPr>
          <w:spacing w:val="-2"/>
          <w:w w:val="105"/>
        </w:rPr>
        <w:t>rule.</w:t>
      </w:r>
    </w:p>
    <w:p w14:paraId="0EB526E2" w14:textId="77777777" w:rsidR="00D67C1E" w:rsidRPr="00283806" w:rsidRDefault="001265CA">
      <w:pPr>
        <w:pStyle w:val="BodyText"/>
        <w:spacing w:line="178" w:lineRule="exact"/>
        <w:ind w:left="340"/>
      </w:pPr>
      <w:r w:rsidRPr="00283806">
        <w:rPr>
          <w:w w:val="105"/>
        </w:rPr>
        <w:t>Another</w:t>
      </w:r>
      <w:r w:rsidRPr="00283806">
        <w:rPr>
          <w:spacing w:val="4"/>
          <w:w w:val="105"/>
        </w:rPr>
        <w:t xml:space="preserve"> </w:t>
      </w:r>
      <w:r w:rsidRPr="00283806">
        <w:rPr>
          <w:w w:val="105"/>
        </w:rPr>
        <w:t>commenter</w:t>
      </w:r>
      <w:r w:rsidRPr="00283806">
        <w:rPr>
          <w:spacing w:val="4"/>
          <w:w w:val="105"/>
        </w:rPr>
        <w:t xml:space="preserve"> </w:t>
      </w:r>
      <w:r w:rsidRPr="00283806">
        <w:rPr>
          <w:w w:val="105"/>
        </w:rPr>
        <w:t>stated</w:t>
      </w:r>
      <w:r w:rsidRPr="00283806">
        <w:rPr>
          <w:spacing w:val="4"/>
          <w:w w:val="105"/>
        </w:rPr>
        <w:t xml:space="preserve"> </w:t>
      </w:r>
      <w:r w:rsidRPr="00283806">
        <w:rPr>
          <w:w w:val="105"/>
        </w:rPr>
        <w:t>that</w:t>
      </w:r>
      <w:r w:rsidRPr="00283806">
        <w:rPr>
          <w:spacing w:val="4"/>
          <w:w w:val="105"/>
        </w:rPr>
        <w:t xml:space="preserve"> </w:t>
      </w:r>
      <w:r w:rsidRPr="00283806">
        <w:rPr>
          <w:spacing w:val="-5"/>
          <w:w w:val="105"/>
        </w:rPr>
        <w:t>the</w:t>
      </w:r>
    </w:p>
    <w:p w14:paraId="56A15323" w14:textId="77777777" w:rsidR="00D67C1E" w:rsidRPr="00283806" w:rsidRDefault="001265CA">
      <w:pPr>
        <w:pStyle w:val="BodyText"/>
        <w:spacing w:before="4" w:line="225" w:lineRule="auto"/>
        <w:ind w:right="46"/>
      </w:pPr>
      <w:proofErr w:type="gramStart"/>
      <w:r w:rsidRPr="00283806">
        <w:rPr>
          <w:w w:val="105"/>
        </w:rPr>
        <w:t>challenge</w:t>
      </w:r>
      <w:proofErr w:type="gramEnd"/>
      <w:r w:rsidRPr="00283806">
        <w:rPr>
          <w:w w:val="105"/>
        </w:rPr>
        <w:t xml:space="preserve"> of providing sufficient reclaimed HFCs to maintain HVACR systems is not the reclamation capacity</w:t>
      </w:r>
      <w:r w:rsidRPr="00283806">
        <w:rPr>
          <w:spacing w:val="40"/>
          <w:w w:val="105"/>
        </w:rPr>
        <w:t xml:space="preserve"> </w:t>
      </w:r>
      <w:r w:rsidRPr="00283806">
        <w:rPr>
          <w:w w:val="105"/>
        </w:rPr>
        <w:t>of reclaimers but rather obtaining sufficient recovered HFCs. The commenter claimed that regulations increasing demand for HFCs or adding costs to reclamation would exacerbate the situation. The commenter pointed to the fact that most manufacturers have typically mandated virgin refrigerants in new applications and that the reclaim mandate in the proposed rule upends this. The commenter noted that some in the industry anticipate that HFC availability will drop significantly following the 2024 phasedown step of a 30 percent reduction, motivating the use of less refrigerants. The commenter stated that only one percent of the expected 2028 HFC market</w:t>
      </w:r>
      <w:r w:rsidRPr="00283806">
        <w:rPr>
          <w:spacing w:val="80"/>
          <w:w w:val="105"/>
        </w:rPr>
        <w:t xml:space="preserve"> </w:t>
      </w:r>
      <w:r w:rsidRPr="00283806">
        <w:rPr>
          <w:w w:val="105"/>
        </w:rPr>
        <w:t>requirements are currently recovered, that it is not clear how this will satisfy</w:t>
      </w:r>
      <w:r w:rsidRPr="00283806">
        <w:rPr>
          <w:spacing w:val="40"/>
          <w:w w:val="105"/>
        </w:rPr>
        <w:t xml:space="preserve"> </w:t>
      </w:r>
      <w:r w:rsidRPr="00283806">
        <w:rPr>
          <w:w w:val="105"/>
        </w:rPr>
        <w:t>the 85 percent requirement for new system charging, and that consumers</w:t>
      </w:r>
      <w:r w:rsidRPr="00283806">
        <w:rPr>
          <w:spacing w:val="80"/>
          <w:w w:val="105"/>
        </w:rPr>
        <w:t xml:space="preserve"> </w:t>
      </w:r>
      <w:r w:rsidRPr="00283806">
        <w:rPr>
          <w:w w:val="105"/>
        </w:rPr>
        <w:t>will still demand that systems function even if there is insufficient supply. The commenter acknowledged that moving</w:t>
      </w:r>
      <w:r w:rsidRPr="00283806">
        <w:rPr>
          <w:spacing w:val="40"/>
          <w:w w:val="105"/>
        </w:rPr>
        <w:t xml:space="preserve"> </w:t>
      </w:r>
      <w:r w:rsidRPr="00283806">
        <w:rPr>
          <w:w w:val="105"/>
        </w:rPr>
        <w:t>to alternate refrigerants will take some pressure off the HFC demand but stated that very little new A2L product is entering the market. The commenter stated that ramping up significant transition by the end of 2024 looks to be very challenging and questioned</w:t>
      </w:r>
      <w:r w:rsidRPr="00283806">
        <w:rPr>
          <w:spacing w:val="80"/>
          <w:w w:val="105"/>
        </w:rPr>
        <w:t xml:space="preserve"> </w:t>
      </w:r>
      <w:r w:rsidRPr="00283806">
        <w:rPr>
          <w:w w:val="105"/>
        </w:rPr>
        <w:t>whether there will be enough relief in</w:t>
      </w:r>
      <w:r w:rsidRPr="00283806">
        <w:rPr>
          <w:spacing w:val="80"/>
          <w:w w:val="105"/>
        </w:rPr>
        <w:t xml:space="preserve"> </w:t>
      </w:r>
      <w:r w:rsidRPr="00283806">
        <w:rPr>
          <w:w w:val="105"/>
        </w:rPr>
        <w:t>the HFC supply by 2028.</w:t>
      </w:r>
    </w:p>
    <w:p w14:paraId="05FF57E9" w14:textId="77777777" w:rsidR="00D67C1E" w:rsidRPr="00283806" w:rsidRDefault="001265CA">
      <w:pPr>
        <w:pStyle w:val="BodyText"/>
        <w:spacing w:line="167" w:lineRule="exact"/>
        <w:ind w:left="340"/>
      </w:pPr>
      <w:r w:rsidRPr="00283806">
        <w:rPr>
          <w:w w:val="105"/>
        </w:rPr>
        <w:t>One</w:t>
      </w:r>
      <w:r w:rsidRPr="00283806">
        <w:rPr>
          <w:spacing w:val="3"/>
          <w:w w:val="105"/>
        </w:rPr>
        <w:t xml:space="preserve"> </w:t>
      </w:r>
      <w:r w:rsidRPr="00283806">
        <w:rPr>
          <w:w w:val="105"/>
        </w:rPr>
        <w:t>commenter</w:t>
      </w:r>
      <w:r w:rsidRPr="00283806">
        <w:rPr>
          <w:spacing w:val="3"/>
          <w:w w:val="105"/>
        </w:rPr>
        <w:t xml:space="preserve"> </w:t>
      </w:r>
      <w:r w:rsidRPr="00283806">
        <w:rPr>
          <w:w w:val="105"/>
        </w:rPr>
        <w:t>stated</w:t>
      </w:r>
      <w:r w:rsidRPr="00283806">
        <w:rPr>
          <w:spacing w:val="3"/>
          <w:w w:val="105"/>
        </w:rPr>
        <w:t xml:space="preserve"> </w:t>
      </w:r>
      <w:r w:rsidRPr="00283806">
        <w:rPr>
          <w:w w:val="105"/>
        </w:rPr>
        <w:t>that</w:t>
      </w:r>
      <w:r w:rsidRPr="00283806">
        <w:rPr>
          <w:spacing w:val="3"/>
          <w:w w:val="105"/>
        </w:rPr>
        <w:t xml:space="preserve"> </w:t>
      </w:r>
      <w:r w:rsidRPr="00283806">
        <w:rPr>
          <w:w w:val="105"/>
        </w:rPr>
        <w:t>contrary</w:t>
      </w:r>
      <w:r w:rsidRPr="00283806">
        <w:rPr>
          <w:spacing w:val="3"/>
          <w:w w:val="105"/>
        </w:rPr>
        <w:t xml:space="preserve"> </w:t>
      </w:r>
      <w:r w:rsidRPr="00283806">
        <w:rPr>
          <w:spacing w:val="-5"/>
          <w:w w:val="105"/>
        </w:rPr>
        <w:t>to</w:t>
      </w:r>
    </w:p>
    <w:p w14:paraId="2FDC323A" w14:textId="77777777" w:rsidR="00D67C1E" w:rsidRPr="00283806" w:rsidRDefault="001265CA">
      <w:pPr>
        <w:pStyle w:val="BodyText"/>
        <w:spacing w:before="3" w:line="225" w:lineRule="auto"/>
        <w:ind w:right="86"/>
      </w:pPr>
      <w:r w:rsidRPr="00283806">
        <w:rPr>
          <w:w w:val="105"/>
        </w:rPr>
        <w:t>EPA’s suggestion in the preamble to the proposed rule that HFC reclamation is increasing, the reclamation sector is experiencing significant structural, market, and regulatory challenges that have limited refrigerant reclamation’s growth in the United States over the</w:t>
      </w:r>
      <w:r w:rsidRPr="00283806">
        <w:rPr>
          <w:spacing w:val="80"/>
          <w:w w:val="105"/>
        </w:rPr>
        <w:t xml:space="preserve"> </w:t>
      </w:r>
      <w:r w:rsidRPr="00283806">
        <w:rPr>
          <w:w w:val="105"/>
        </w:rPr>
        <w:t>past decade. The commenter asserted that despite expectations of an increase in reclamation volumes, the overall data indicate a decrease, with 2018 yielding</w:t>
      </w:r>
    </w:p>
    <w:p w14:paraId="2D7FB7D5" w14:textId="77777777" w:rsidR="00D67C1E" w:rsidRPr="00283806" w:rsidRDefault="001265CA">
      <w:pPr>
        <w:pStyle w:val="BodyText"/>
        <w:spacing w:line="225" w:lineRule="auto"/>
        <w:ind w:right="16"/>
      </w:pPr>
      <w:r w:rsidRPr="00283806">
        <w:rPr>
          <w:w w:val="105"/>
        </w:rPr>
        <w:t>18.1 million pounds per year, and even with the slight rise in HFCs in 2022, the total weight amounted to 15.4 million pounds for the same year. However, the commenter also stated that this rule,</w:t>
      </w:r>
      <w:r w:rsidRPr="00283806">
        <w:rPr>
          <w:spacing w:val="40"/>
          <w:w w:val="105"/>
        </w:rPr>
        <w:t xml:space="preserve"> </w:t>
      </w:r>
      <w:r w:rsidRPr="00283806">
        <w:rPr>
          <w:w w:val="105"/>
        </w:rPr>
        <w:t>once finalized and implemented, could catalyze a substantial shift, resulting in the HFC reclamation market growing tenfold by 2032. The commenter stated that the reclamation volumes that EPA foresees are highly attainable by 2028, due to the effectiveness of the AIM Act hinging not on the capabilities of U.S. reclaimers, but on overcoming structural</w:t>
      </w:r>
    </w:p>
    <w:p w14:paraId="17BC3B47" w14:textId="77777777" w:rsidR="00D67C1E" w:rsidRPr="00283806" w:rsidRDefault="001265CA">
      <w:pPr>
        <w:pStyle w:val="BodyText"/>
        <w:spacing w:before="136" w:line="225" w:lineRule="auto"/>
        <w:ind w:left="143" w:right="47"/>
      </w:pPr>
      <w:r w:rsidRPr="00283806">
        <w:br w:type="column"/>
      </w:r>
      <w:r w:rsidRPr="00283806">
        <w:rPr>
          <w:w w:val="105"/>
        </w:rPr>
        <w:t>barriers in refrigerant pricing to</w:t>
      </w:r>
      <w:r w:rsidRPr="00283806">
        <w:rPr>
          <w:spacing w:val="40"/>
          <w:w w:val="105"/>
        </w:rPr>
        <w:t xml:space="preserve"> </w:t>
      </w:r>
      <w:r w:rsidRPr="00283806">
        <w:rPr>
          <w:w w:val="105"/>
        </w:rPr>
        <w:t>establish a genuine circular economy for refrigerants, where reclamation stands</w:t>
      </w:r>
      <w:r w:rsidRPr="00283806">
        <w:rPr>
          <w:spacing w:val="40"/>
          <w:w w:val="105"/>
        </w:rPr>
        <w:t xml:space="preserve"> </w:t>
      </w:r>
      <w:r w:rsidRPr="00283806">
        <w:rPr>
          <w:w w:val="105"/>
        </w:rPr>
        <w:t>as the low-cost solution.</w:t>
      </w:r>
    </w:p>
    <w:p w14:paraId="2B3ABE8D" w14:textId="77777777" w:rsidR="00D67C1E" w:rsidRPr="00283806" w:rsidRDefault="001265CA">
      <w:pPr>
        <w:pStyle w:val="BodyText"/>
        <w:spacing w:line="179" w:lineRule="exact"/>
        <w:ind w:left="323"/>
      </w:pPr>
      <w:r w:rsidRPr="00283806">
        <w:t>A</w:t>
      </w:r>
      <w:r w:rsidRPr="00283806">
        <w:rPr>
          <w:spacing w:val="33"/>
        </w:rPr>
        <w:t xml:space="preserve"> </w:t>
      </w:r>
      <w:r w:rsidRPr="00283806">
        <w:t>few</w:t>
      </w:r>
      <w:r w:rsidRPr="00283806">
        <w:rPr>
          <w:spacing w:val="33"/>
        </w:rPr>
        <w:t xml:space="preserve"> </w:t>
      </w:r>
      <w:r w:rsidRPr="00283806">
        <w:t>commenters</w:t>
      </w:r>
      <w:r w:rsidRPr="00283806">
        <w:rPr>
          <w:spacing w:val="34"/>
        </w:rPr>
        <w:t xml:space="preserve"> </w:t>
      </w:r>
      <w:r w:rsidRPr="00283806">
        <w:t>suggested</w:t>
      </w:r>
      <w:r w:rsidRPr="00283806">
        <w:rPr>
          <w:spacing w:val="33"/>
        </w:rPr>
        <w:t xml:space="preserve"> </w:t>
      </w:r>
      <w:r w:rsidRPr="00283806">
        <w:t>that</w:t>
      </w:r>
      <w:r w:rsidRPr="00283806">
        <w:rPr>
          <w:spacing w:val="34"/>
        </w:rPr>
        <w:t xml:space="preserve"> </w:t>
      </w:r>
      <w:r w:rsidRPr="00283806">
        <w:rPr>
          <w:spacing w:val="-5"/>
        </w:rPr>
        <w:t>EPA</w:t>
      </w:r>
    </w:p>
    <w:p w14:paraId="07AD0410" w14:textId="77777777" w:rsidR="00D67C1E" w:rsidRPr="00283806" w:rsidRDefault="001265CA">
      <w:pPr>
        <w:pStyle w:val="BodyText"/>
        <w:spacing w:before="3" w:line="225" w:lineRule="auto"/>
        <w:ind w:left="143" w:right="58"/>
      </w:pPr>
      <w:r w:rsidRPr="00283806">
        <w:rPr>
          <w:w w:val="105"/>
        </w:rPr>
        <w:t>formulate alternatives to the proposed reclaim provisions and align with more realistic expectations and assumptions. Both commenters stressed the following two principles: basing reclaim mandates on relevant data to ensure practicality and phasing in reclaim mandates on a gradual basis. These commenters recommended that EPA establish a process to review data on the projected availability of reclaimed refrigerant and adjust requirements for the following year as needed. One commenter recommended that EPA use a data</w:t>
      </w:r>
      <w:r w:rsidRPr="00283806">
        <w:rPr>
          <w:spacing w:val="80"/>
          <w:w w:val="105"/>
        </w:rPr>
        <w:t xml:space="preserve"> </w:t>
      </w:r>
      <w:r w:rsidRPr="00283806">
        <w:rPr>
          <w:w w:val="105"/>
        </w:rPr>
        <w:t xml:space="preserve">driven approach to set reclaim mandate requirements using a lagging model where future mandate amounts depend on actual reclaim production </w:t>
      </w:r>
      <w:proofErr w:type="gramStart"/>
      <w:r w:rsidRPr="00283806">
        <w:rPr>
          <w:w w:val="105"/>
        </w:rPr>
        <w:t>amount</w:t>
      </w:r>
      <w:proofErr w:type="gramEnd"/>
      <w:r w:rsidRPr="00283806">
        <w:rPr>
          <w:w w:val="105"/>
        </w:rPr>
        <w:t>.</w:t>
      </w:r>
    </w:p>
    <w:p w14:paraId="13818F50" w14:textId="77777777" w:rsidR="00D67C1E" w:rsidRPr="00283806" w:rsidRDefault="001265CA">
      <w:pPr>
        <w:pStyle w:val="BodyText"/>
        <w:spacing w:line="225" w:lineRule="auto"/>
        <w:ind w:left="143" w:right="56"/>
      </w:pPr>
      <w:r w:rsidRPr="00283806">
        <w:rPr>
          <w:w w:val="105"/>
        </w:rPr>
        <w:t>The commenter stated that such a</w:t>
      </w:r>
      <w:r w:rsidRPr="00283806">
        <w:rPr>
          <w:spacing w:val="40"/>
          <w:w w:val="105"/>
        </w:rPr>
        <w:t xml:space="preserve"> </w:t>
      </w:r>
      <w:r w:rsidRPr="00283806">
        <w:rPr>
          <w:w w:val="105"/>
        </w:rPr>
        <w:t>lagging model would allow EPA to mandate higher reclaim if recovery rates increase but also avoid market disruption. Two commenters recommended that EPA actively engage with industry stakeholders to gather comprehensive data on reclaim infrastructure capacity, available refrigerant types and quantities, and market demand across different sectors to provide a solid foundation for a more effective and efficient regulatory framework. One commenter recommended that EPA revisit</w:t>
      </w:r>
      <w:r w:rsidRPr="00283806">
        <w:rPr>
          <w:spacing w:val="80"/>
          <w:w w:val="105"/>
        </w:rPr>
        <w:t xml:space="preserve"> </w:t>
      </w:r>
      <w:r w:rsidRPr="00283806">
        <w:rPr>
          <w:w w:val="105"/>
        </w:rPr>
        <w:t>reclaimed HFC data and adjust requirements based on real-world feasibility. Another commenter stated that the Agency may consider other mechanisms within its authority to increase reclamation. Another commenter urged EPA to conduct</w:t>
      </w:r>
      <w:r w:rsidRPr="00283806">
        <w:rPr>
          <w:spacing w:val="40"/>
          <w:w w:val="105"/>
        </w:rPr>
        <w:t xml:space="preserve"> </w:t>
      </w:r>
      <w:r w:rsidRPr="00283806">
        <w:rPr>
          <w:w w:val="105"/>
        </w:rPr>
        <w:t xml:space="preserve">further analysis on a refrigerant-by- refrigerant basis to ensure there will be enough used refrigerant available for reclaimers to process to support the volume of reclaim needed by January 1, </w:t>
      </w:r>
      <w:r w:rsidRPr="00283806">
        <w:rPr>
          <w:spacing w:val="-2"/>
          <w:w w:val="105"/>
        </w:rPr>
        <w:t>2028.</w:t>
      </w:r>
    </w:p>
    <w:p w14:paraId="6C63BE0F" w14:textId="77777777" w:rsidR="00D67C1E" w:rsidRPr="00283806" w:rsidRDefault="001265CA">
      <w:pPr>
        <w:pStyle w:val="BodyText"/>
        <w:spacing w:line="170" w:lineRule="exact"/>
        <w:ind w:left="323"/>
      </w:pPr>
      <w:r w:rsidRPr="00283806">
        <w:rPr>
          <w:w w:val="105"/>
        </w:rPr>
        <w:t>Another</w:t>
      </w:r>
      <w:r w:rsidRPr="00283806">
        <w:rPr>
          <w:spacing w:val="5"/>
          <w:w w:val="105"/>
        </w:rPr>
        <w:t xml:space="preserve"> </w:t>
      </w:r>
      <w:r w:rsidRPr="00283806">
        <w:rPr>
          <w:w w:val="105"/>
        </w:rPr>
        <w:t>commenter</w:t>
      </w:r>
      <w:r w:rsidRPr="00283806">
        <w:rPr>
          <w:spacing w:val="6"/>
          <w:w w:val="105"/>
        </w:rPr>
        <w:t xml:space="preserve"> </w:t>
      </w:r>
      <w:r w:rsidRPr="00283806">
        <w:rPr>
          <w:w w:val="105"/>
        </w:rPr>
        <w:t>suggested</w:t>
      </w:r>
      <w:r w:rsidRPr="00283806">
        <w:rPr>
          <w:spacing w:val="6"/>
          <w:w w:val="105"/>
        </w:rPr>
        <w:t xml:space="preserve"> </w:t>
      </w:r>
      <w:r w:rsidRPr="00283806">
        <w:rPr>
          <w:spacing w:val="-4"/>
          <w:w w:val="105"/>
        </w:rPr>
        <w:t>that</w:t>
      </w:r>
    </w:p>
    <w:p w14:paraId="497F4906" w14:textId="77777777" w:rsidR="00D67C1E" w:rsidRPr="00283806" w:rsidRDefault="001265CA">
      <w:pPr>
        <w:pStyle w:val="BodyText"/>
        <w:spacing w:line="225" w:lineRule="auto"/>
        <w:ind w:left="143"/>
      </w:pPr>
      <w:r w:rsidRPr="00283806">
        <w:rPr>
          <w:w w:val="105"/>
        </w:rPr>
        <w:t>EPA may wish to consider collecting information on the total amount of refrigerant recovered compared to the total amount purchased by various entities as well as the percentage of the total amount purchased that is used for installation of new equipment compared to the total amount used to top up leaks. The commenter suggested that EPA may wish to interview CARB and OEMs as</w:t>
      </w:r>
    </w:p>
    <w:p w14:paraId="33214385" w14:textId="77777777" w:rsidR="00D67C1E" w:rsidRPr="00283806" w:rsidRDefault="001265CA">
      <w:pPr>
        <w:pStyle w:val="BodyText"/>
        <w:spacing w:line="225" w:lineRule="auto"/>
        <w:ind w:left="143" w:right="82"/>
      </w:pPr>
      <w:r w:rsidRPr="00283806">
        <w:rPr>
          <w:w w:val="105"/>
        </w:rPr>
        <w:t>to the successes and challenges associated with the R4 Program to learn from the largest experiment of its kind</w:t>
      </w:r>
      <w:r w:rsidRPr="00283806">
        <w:rPr>
          <w:spacing w:val="40"/>
          <w:w w:val="105"/>
        </w:rPr>
        <w:t xml:space="preserve"> </w:t>
      </w:r>
      <w:r w:rsidRPr="00283806">
        <w:rPr>
          <w:w w:val="105"/>
        </w:rPr>
        <w:t>in the United States, which appears to have resulted in an increase in R–410A reclaim by as much as approximately 500 metric tons from 2021 to 2022. The</w:t>
      </w:r>
    </w:p>
    <w:p w14:paraId="1E282514" w14:textId="77777777" w:rsidR="00D67C1E" w:rsidRPr="00283806" w:rsidRDefault="001265CA">
      <w:pPr>
        <w:pStyle w:val="BodyText"/>
        <w:spacing w:before="136" w:line="225" w:lineRule="auto"/>
        <w:ind w:left="143" w:right="180"/>
      </w:pPr>
      <w:r w:rsidRPr="00283806">
        <w:br w:type="column"/>
      </w:r>
      <w:r w:rsidRPr="00283806">
        <w:rPr>
          <w:w w:val="105"/>
        </w:rPr>
        <w:t>commenter noted that CARB allowed for an alternate compliance pathway of ‘‘Early Action’’ to transition to a low-</w:t>
      </w:r>
      <w:r w:rsidRPr="00283806">
        <w:rPr>
          <w:spacing w:val="40"/>
          <w:w w:val="105"/>
        </w:rPr>
        <w:t xml:space="preserve"> </w:t>
      </w:r>
      <w:r w:rsidRPr="00283806">
        <w:rPr>
          <w:w w:val="105"/>
        </w:rPr>
        <w:t>GWP refrigerant prior to 2025, meaning that not all OEMs were required to participate, which may be reflected in</w:t>
      </w:r>
      <w:r w:rsidRPr="00283806">
        <w:rPr>
          <w:spacing w:val="80"/>
          <w:w w:val="105"/>
        </w:rPr>
        <w:t xml:space="preserve"> </w:t>
      </w:r>
      <w:r w:rsidRPr="00283806">
        <w:rPr>
          <w:w w:val="105"/>
        </w:rPr>
        <w:t>the slight increase in reclaimed refrigerant reported to EPA.</w:t>
      </w:r>
    </w:p>
    <w:p w14:paraId="052328FE" w14:textId="77777777" w:rsidR="00D67C1E" w:rsidRPr="00283806" w:rsidRDefault="001265CA">
      <w:pPr>
        <w:pStyle w:val="BodyText"/>
        <w:spacing w:line="213" w:lineRule="auto"/>
        <w:ind w:left="143" w:right="210" w:firstLine="180"/>
      </w:pPr>
      <w:r w:rsidRPr="00283806">
        <w:rPr>
          <w:rFonts w:ascii="Book Antiqua"/>
          <w:i/>
          <w:w w:val="105"/>
        </w:rPr>
        <w:t xml:space="preserve">Response: </w:t>
      </w:r>
      <w:r w:rsidRPr="00283806">
        <w:rPr>
          <w:w w:val="105"/>
        </w:rPr>
        <w:t>EPA acknowledges these comments related to the supply of</w:t>
      </w:r>
    </w:p>
    <w:p w14:paraId="30E838A5" w14:textId="77777777" w:rsidR="00D67C1E" w:rsidRPr="00283806" w:rsidRDefault="001265CA">
      <w:pPr>
        <w:pStyle w:val="BodyText"/>
        <w:spacing w:line="225" w:lineRule="auto"/>
        <w:ind w:left="143" w:right="161"/>
      </w:pPr>
      <w:r w:rsidRPr="00283806">
        <w:rPr>
          <w:w w:val="105"/>
        </w:rPr>
        <w:t xml:space="preserve">reclaimed HFCs to support the requirements for the servicing and/or repair of certain refrigerant-containing equipment with reclaimed HFCs established in this rulemaking. EPA understands the need for increasing recovery of refrigerants and ensuring that these refrigerants are provided to reclaimers for subsequent reclamation. The Agency </w:t>
      </w:r>
      <w:proofErr w:type="gramStart"/>
      <w:r w:rsidRPr="00283806">
        <w:rPr>
          <w:w w:val="105"/>
        </w:rPr>
        <w:t>took</w:t>
      </w:r>
      <w:proofErr w:type="gramEnd"/>
      <w:r w:rsidRPr="00283806">
        <w:rPr>
          <w:w w:val="105"/>
        </w:rPr>
        <w:t xml:space="preserve"> advanced comments</w:t>
      </w:r>
      <w:r w:rsidRPr="00283806">
        <w:rPr>
          <w:spacing w:val="80"/>
          <w:w w:val="105"/>
        </w:rPr>
        <w:t xml:space="preserve"> </w:t>
      </w:r>
      <w:r w:rsidRPr="00283806">
        <w:rPr>
          <w:w w:val="105"/>
        </w:rPr>
        <w:t>on technician certification and in a</w:t>
      </w:r>
      <w:r w:rsidRPr="00283806">
        <w:rPr>
          <w:spacing w:val="40"/>
          <w:w w:val="105"/>
        </w:rPr>
        <w:t xml:space="preserve"> </w:t>
      </w:r>
      <w:r w:rsidRPr="00283806">
        <w:rPr>
          <w:w w:val="105"/>
        </w:rPr>
        <w:t>future proposal could consider the relationship between technician certification and recovery. The Agency has taken into consideration, in this</w:t>
      </w:r>
      <w:r w:rsidRPr="00283806">
        <w:rPr>
          <w:spacing w:val="80"/>
          <w:w w:val="150"/>
        </w:rPr>
        <w:t xml:space="preserve"> </w:t>
      </w:r>
      <w:r w:rsidRPr="00283806">
        <w:rPr>
          <w:w w:val="105"/>
        </w:rPr>
        <w:t xml:space="preserve">rule, requirements for reclaimed HFCs and expects these regulations will provide market signals that will support </w:t>
      </w:r>
      <w:proofErr w:type="gramStart"/>
      <w:r w:rsidRPr="00283806">
        <w:rPr>
          <w:w w:val="105"/>
        </w:rPr>
        <w:t>increased</w:t>
      </w:r>
      <w:proofErr w:type="gramEnd"/>
      <w:r w:rsidRPr="00283806">
        <w:rPr>
          <w:w w:val="105"/>
        </w:rPr>
        <w:t xml:space="preserve"> recovery of HFC refrigerants becoming available for </w:t>
      </w:r>
      <w:proofErr w:type="gramStart"/>
      <w:r w:rsidRPr="00283806">
        <w:rPr>
          <w:w w:val="105"/>
        </w:rPr>
        <w:t>reclamation, and</w:t>
      </w:r>
      <w:proofErr w:type="gramEnd"/>
      <w:r w:rsidRPr="00283806">
        <w:rPr>
          <w:w w:val="105"/>
        </w:rPr>
        <w:t xml:space="preserve"> will support reclaimers increasing the </w:t>
      </w:r>
      <w:proofErr w:type="gramStart"/>
      <w:r w:rsidRPr="00283806">
        <w:rPr>
          <w:w w:val="105"/>
        </w:rPr>
        <w:t>amount</w:t>
      </w:r>
      <w:proofErr w:type="gramEnd"/>
      <w:r w:rsidRPr="00283806">
        <w:rPr>
          <w:w w:val="105"/>
        </w:rPr>
        <w:t xml:space="preserve"> of reclaimed refrigerants available to meet the increased demand. The Economic Impact and Benefits TSD does not include increased recovery in the base case for this rule based on the assumptions for that scenario; however, EPA did consider an alternate scenario with increased recovery and anticipates that the reclamation provisions could support increased recovery during servicing or disposal where the refrigerant may otherwise have been vented or released. EPA also </w:t>
      </w:r>
      <w:proofErr w:type="gramStart"/>
      <w:r w:rsidRPr="00283806">
        <w:rPr>
          <w:w w:val="105"/>
        </w:rPr>
        <w:t>acknowledges</w:t>
      </w:r>
      <w:proofErr w:type="gramEnd"/>
      <w:r w:rsidRPr="00283806">
        <w:rPr>
          <w:w w:val="105"/>
        </w:rPr>
        <w:t xml:space="preserve"> comments describing a need to evaluate data related to the requirements</w:t>
      </w:r>
      <w:r w:rsidRPr="00283806">
        <w:rPr>
          <w:spacing w:val="-8"/>
          <w:w w:val="105"/>
        </w:rPr>
        <w:t xml:space="preserve"> </w:t>
      </w:r>
      <w:r w:rsidRPr="00283806">
        <w:rPr>
          <w:w w:val="105"/>
        </w:rPr>
        <w:t>for</w:t>
      </w:r>
      <w:r w:rsidRPr="00283806">
        <w:rPr>
          <w:spacing w:val="-8"/>
          <w:w w:val="105"/>
        </w:rPr>
        <w:t xml:space="preserve"> </w:t>
      </w:r>
      <w:r w:rsidRPr="00283806">
        <w:rPr>
          <w:w w:val="105"/>
        </w:rPr>
        <w:t>servicing</w:t>
      </w:r>
      <w:r w:rsidRPr="00283806">
        <w:rPr>
          <w:spacing w:val="-8"/>
          <w:w w:val="105"/>
        </w:rPr>
        <w:t xml:space="preserve"> </w:t>
      </w:r>
      <w:r w:rsidRPr="00283806">
        <w:rPr>
          <w:w w:val="105"/>
        </w:rPr>
        <w:t>and/or</w:t>
      </w:r>
      <w:r w:rsidRPr="00283806">
        <w:rPr>
          <w:spacing w:val="-8"/>
          <w:w w:val="105"/>
        </w:rPr>
        <w:t xml:space="preserve"> </w:t>
      </w:r>
      <w:r w:rsidRPr="00283806">
        <w:rPr>
          <w:w w:val="105"/>
        </w:rPr>
        <w:t>repair of certain refrigerant-containing equipment with reclaimed HFCs. In this rulemaking, EPA is making</w:t>
      </w:r>
      <w:r w:rsidRPr="00283806">
        <w:rPr>
          <w:spacing w:val="80"/>
          <w:w w:val="105"/>
        </w:rPr>
        <w:t xml:space="preserve"> </w:t>
      </w:r>
      <w:r w:rsidRPr="00283806">
        <w:rPr>
          <w:w w:val="105"/>
        </w:rPr>
        <w:t>modifications to the proposed approach and finalizing provisions based on additional consideration of these challenges and needs, as described in</w:t>
      </w:r>
      <w:r w:rsidRPr="00283806">
        <w:rPr>
          <w:spacing w:val="80"/>
          <w:w w:val="105"/>
        </w:rPr>
        <w:t xml:space="preserve"> </w:t>
      </w:r>
      <w:r w:rsidRPr="00283806">
        <w:rPr>
          <w:w w:val="105"/>
        </w:rPr>
        <w:t>the following paragraphs.</w:t>
      </w:r>
    </w:p>
    <w:p w14:paraId="57D1D766" w14:textId="77777777" w:rsidR="00D67C1E" w:rsidRPr="00283806" w:rsidRDefault="001265CA">
      <w:pPr>
        <w:pStyle w:val="BodyText"/>
        <w:spacing w:line="164" w:lineRule="exact"/>
        <w:ind w:left="323"/>
      </w:pPr>
      <w:r w:rsidRPr="00283806">
        <w:rPr>
          <w:w w:val="110"/>
        </w:rPr>
        <w:t>First,</w:t>
      </w:r>
      <w:r w:rsidRPr="00283806">
        <w:rPr>
          <w:spacing w:val="-4"/>
          <w:w w:val="110"/>
        </w:rPr>
        <w:t xml:space="preserve"> </w:t>
      </w:r>
      <w:r w:rsidRPr="00283806">
        <w:rPr>
          <w:w w:val="110"/>
        </w:rPr>
        <w:t>the</w:t>
      </w:r>
      <w:r w:rsidRPr="00283806">
        <w:rPr>
          <w:spacing w:val="-4"/>
          <w:w w:val="110"/>
        </w:rPr>
        <w:t xml:space="preserve"> </w:t>
      </w:r>
      <w:r w:rsidRPr="00283806">
        <w:rPr>
          <w:w w:val="110"/>
        </w:rPr>
        <w:t>Agency</w:t>
      </w:r>
      <w:r w:rsidRPr="00283806">
        <w:rPr>
          <w:spacing w:val="-3"/>
          <w:w w:val="110"/>
        </w:rPr>
        <w:t xml:space="preserve"> </w:t>
      </w:r>
      <w:r w:rsidRPr="00283806">
        <w:rPr>
          <w:w w:val="110"/>
        </w:rPr>
        <w:t>is</w:t>
      </w:r>
      <w:r w:rsidRPr="00283806">
        <w:rPr>
          <w:spacing w:val="-4"/>
          <w:w w:val="110"/>
        </w:rPr>
        <w:t xml:space="preserve"> </w:t>
      </w:r>
      <w:r w:rsidRPr="00283806">
        <w:rPr>
          <w:w w:val="110"/>
        </w:rPr>
        <w:t>not</w:t>
      </w:r>
      <w:r w:rsidRPr="00283806">
        <w:rPr>
          <w:spacing w:val="-3"/>
          <w:w w:val="110"/>
        </w:rPr>
        <w:t xml:space="preserve"> </w:t>
      </w:r>
      <w:proofErr w:type="gramStart"/>
      <w:r w:rsidRPr="00283806">
        <w:rPr>
          <w:w w:val="110"/>
        </w:rPr>
        <w:t>at</w:t>
      </w:r>
      <w:r w:rsidRPr="00283806">
        <w:rPr>
          <w:spacing w:val="-4"/>
          <w:w w:val="110"/>
        </w:rPr>
        <w:t xml:space="preserve"> </w:t>
      </w:r>
      <w:r w:rsidRPr="00283806">
        <w:rPr>
          <w:w w:val="110"/>
        </w:rPr>
        <w:t>this</w:t>
      </w:r>
      <w:r w:rsidRPr="00283806">
        <w:rPr>
          <w:spacing w:val="-4"/>
          <w:w w:val="110"/>
        </w:rPr>
        <w:t xml:space="preserve"> time</w:t>
      </w:r>
      <w:proofErr w:type="gramEnd"/>
    </w:p>
    <w:p w14:paraId="28414C82" w14:textId="77777777" w:rsidR="00D67C1E" w:rsidRPr="00283806" w:rsidRDefault="001265CA">
      <w:pPr>
        <w:pStyle w:val="BodyText"/>
        <w:spacing w:line="225" w:lineRule="auto"/>
        <w:ind w:left="143" w:right="177"/>
      </w:pPr>
      <w:r w:rsidRPr="00283806">
        <w:rPr>
          <w:w w:val="105"/>
        </w:rPr>
        <w:t>establishing requirements for the initial fill of refrigerant-containing equipment with reclaimed HFCs. The Agency understands concerns related to reclaiming</w:t>
      </w:r>
      <w:r w:rsidRPr="00283806">
        <w:rPr>
          <w:spacing w:val="-2"/>
          <w:w w:val="105"/>
        </w:rPr>
        <w:t xml:space="preserve"> </w:t>
      </w:r>
      <w:r w:rsidRPr="00283806">
        <w:rPr>
          <w:w w:val="105"/>
        </w:rPr>
        <w:t>newer</w:t>
      </w:r>
      <w:r w:rsidRPr="00283806">
        <w:rPr>
          <w:spacing w:val="-2"/>
          <w:w w:val="105"/>
        </w:rPr>
        <w:t xml:space="preserve"> </w:t>
      </w:r>
      <w:r w:rsidRPr="00283806">
        <w:rPr>
          <w:w w:val="105"/>
        </w:rPr>
        <w:t>refrigerant</w:t>
      </w:r>
      <w:r w:rsidRPr="00283806">
        <w:rPr>
          <w:spacing w:val="-2"/>
          <w:w w:val="105"/>
        </w:rPr>
        <w:t xml:space="preserve"> </w:t>
      </w:r>
      <w:r w:rsidRPr="00283806">
        <w:rPr>
          <w:w w:val="105"/>
        </w:rPr>
        <w:t>blends</w:t>
      </w:r>
      <w:r w:rsidRPr="00283806">
        <w:rPr>
          <w:spacing w:val="-2"/>
          <w:w w:val="105"/>
        </w:rPr>
        <w:t xml:space="preserve"> </w:t>
      </w:r>
      <w:r w:rsidRPr="00283806">
        <w:rPr>
          <w:w w:val="105"/>
        </w:rPr>
        <w:t>that are more recently being used in equipment and comply with the restrictions established in the 2023 Technology Transitions Rule. Because EPA is not finalizing the proposed requirements for initial fill with reclaimed HFCs at this time, the</w:t>
      </w:r>
      <w:r w:rsidRPr="00283806">
        <w:rPr>
          <w:spacing w:val="40"/>
          <w:w w:val="105"/>
        </w:rPr>
        <w:t xml:space="preserve"> </w:t>
      </w:r>
      <w:r w:rsidRPr="00283806">
        <w:rPr>
          <w:w w:val="105"/>
        </w:rPr>
        <w:t>concerns in comments related to HFC</w:t>
      </w:r>
    </w:p>
    <w:p w14:paraId="6C20D2A4"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7" w:space="40"/>
            <w:col w:w="3500" w:space="39"/>
            <w:col w:w="3624"/>
          </w:cols>
        </w:sectPr>
      </w:pPr>
    </w:p>
    <w:p w14:paraId="423DDF5B" w14:textId="77777777" w:rsidR="00D67C1E" w:rsidRPr="00283806" w:rsidRDefault="001265CA">
      <w:pPr>
        <w:pStyle w:val="BodyText"/>
        <w:spacing w:before="134" w:line="228" w:lineRule="auto"/>
        <w:ind w:right="17"/>
      </w:pPr>
      <w:r w:rsidRPr="00283806">
        <w:rPr>
          <w:w w:val="105"/>
        </w:rPr>
        <w:lastRenderedPageBreak/>
        <w:t>refrigerants used in the first fill of refrigerant-containing equipment to comply with the 2023 Technology Transitions Rule are not implicated in this final rule. The Agency also notes</w:t>
      </w:r>
      <w:r w:rsidRPr="00283806">
        <w:rPr>
          <w:spacing w:val="80"/>
          <w:w w:val="105"/>
        </w:rPr>
        <w:t xml:space="preserve"> </w:t>
      </w:r>
      <w:r w:rsidRPr="00283806">
        <w:rPr>
          <w:w w:val="105"/>
        </w:rPr>
        <w:t>that it is not finalizing any exclusions based on GWP for other provisions in this rule related to servicing and/or repair of certain refrigerant-containing equipment with reclaimed HFCs, as discussed in another comment response in this section.</w:t>
      </w:r>
    </w:p>
    <w:p w14:paraId="5AAE709C" w14:textId="77777777" w:rsidR="00D67C1E" w:rsidRPr="00283806" w:rsidRDefault="001265CA">
      <w:pPr>
        <w:pStyle w:val="BodyText"/>
        <w:spacing w:before="34" w:line="228" w:lineRule="auto"/>
        <w:ind w:firstLine="180"/>
      </w:pPr>
      <w:r w:rsidRPr="00283806">
        <w:rPr>
          <w:w w:val="105"/>
        </w:rPr>
        <w:t>Second, under the requirements finalized in this rule, the servicing and/ or repair of refrigerant-containing equipment with reclaimed HFCs covers</w:t>
      </w:r>
      <w:r w:rsidRPr="00283806">
        <w:rPr>
          <w:spacing w:val="80"/>
          <w:w w:val="105"/>
        </w:rPr>
        <w:t xml:space="preserve"> </w:t>
      </w:r>
      <w:r w:rsidRPr="00283806">
        <w:rPr>
          <w:w w:val="105"/>
        </w:rPr>
        <w:t>a narrower scope of RACHP subsectors than in the proposal. EPA is finalizing these requirements for supermarket systems, refrigerated transport, and automatic</w:t>
      </w:r>
      <w:r w:rsidRPr="00283806">
        <w:rPr>
          <w:spacing w:val="40"/>
          <w:w w:val="105"/>
        </w:rPr>
        <w:t xml:space="preserve"> </w:t>
      </w:r>
      <w:r w:rsidRPr="00283806">
        <w:rPr>
          <w:w w:val="105"/>
        </w:rPr>
        <w:t>commercial</w:t>
      </w:r>
      <w:r w:rsidRPr="00283806">
        <w:rPr>
          <w:spacing w:val="40"/>
          <w:w w:val="105"/>
        </w:rPr>
        <w:t xml:space="preserve"> </w:t>
      </w:r>
      <w:r w:rsidRPr="00283806">
        <w:rPr>
          <w:w w:val="105"/>
        </w:rPr>
        <w:t>icemakers.</w:t>
      </w:r>
      <w:r w:rsidRPr="00283806">
        <w:rPr>
          <w:spacing w:val="40"/>
          <w:w w:val="105"/>
        </w:rPr>
        <w:t xml:space="preserve"> </w:t>
      </w:r>
      <w:r w:rsidRPr="00283806">
        <w:rPr>
          <w:w w:val="105"/>
        </w:rPr>
        <w:t>EPA is not, at this time finalizing these provisions for stand-alone retail food refrigeration equipment; however, the narrower scope of the provisions finalized in this rulemaking does not</w:t>
      </w:r>
      <w:r w:rsidRPr="00283806">
        <w:rPr>
          <w:spacing w:val="40"/>
          <w:w w:val="105"/>
        </w:rPr>
        <w:t xml:space="preserve"> </w:t>
      </w:r>
      <w:r w:rsidRPr="00283806">
        <w:rPr>
          <w:w w:val="105"/>
        </w:rPr>
        <w:t>have much impact on EPA’s analysis of the supply of reclaimed refrigerants, given in part that in many cases this equipment is hermetically sealed and</w:t>
      </w:r>
      <w:r w:rsidRPr="00283806">
        <w:rPr>
          <w:spacing w:val="40"/>
          <w:w w:val="105"/>
        </w:rPr>
        <w:t xml:space="preserve"> </w:t>
      </w:r>
      <w:r w:rsidRPr="00283806">
        <w:rPr>
          <w:w w:val="105"/>
        </w:rPr>
        <w:t>less likely to have field repairs in the same way as field-charged equipment. The draft Economic Impact and Benefits TSD accompanying the proposal estimated that demand for reclaimed HFCs in the servicing and/or repair of refrigerant-containing equipment in the stand-alone retail food refrigeration equipment subsector in 2028 was approximately 20 metric tons, with</w:t>
      </w:r>
      <w:r w:rsidRPr="00283806">
        <w:rPr>
          <w:spacing w:val="40"/>
          <w:w w:val="105"/>
        </w:rPr>
        <w:t xml:space="preserve"> </w:t>
      </w:r>
      <w:r w:rsidRPr="00283806">
        <w:rPr>
          <w:w w:val="105"/>
        </w:rPr>
        <w:t>about 80 percent being HFC–134a. EPA notes that the analysis provided for the proposal did not take into account</w:t>
      </w:r>
      <w:r w:rsidRPr="00283806">
        <w:rPr>
          <w:spacing w:val="80"/>
          <w:w w:val="105"/>
        </w:rPr>
        <w:t xml:space="preserve"> </w:t>
      </w:r>
      <w:r w:rsidRPr="00283806">
        <w:rPr>
          <w:w w:val="105"/>
        </w:rPr>
        <w:t>effects of the 2023 Technology Transitions Rule, as the rule was not yet finalized</w:t>
      </w:r>
      <w:r w:rsidRPr="00283806">
        <w:rPr>
          <w:spacing w:val="40"/>
          <w:w w:val="105"/>
        </w:rPr>
        <w:t xml:space="preserve"> </w:t>
      </w:r>
      <w:r w:rsidRPr="00283806">
        <w:rPr>
          <w:w w:val="105"/>
        </w:rPr>
        <w:t>when</w:t>
      </w:r>
      <w:r w:rsidRPr="00283806">
        <w:rPr>
          <w:spacing w:val="40"/>
          <w:w w:val="105"/>
        </w:rPr>
        <w:t xml:space="preserve"> </w:t>
      </w:r>
      <w:r w:rsidRPr="00283806">
        <w:rPr>
          <w:w w:val="105"/>
        </w:rPr>
        <w:t>this</w:t>
      </w:r>
      <w:r w:rsidRPr="00283806">
        <w:rPr>
          <w:spacing w:val="40"/>
          <w:w w:val="105"/>
        </w:rPr>
        <w:t xml:space="preserve"> </w:t>
      </w:r>
      <w:r w:rsidRPr="00283806">
        <w:rPr>
          <w:w w:val="105"/>
        </w:rPr>
        <w:t>proposal</w:t>
      </w:r>
      <w:r w:rsidRPr="00283806">
        <w:rPr>
          <w:spacing w:val="40"/>
          <w:w w:val="105"/>
        </w:rPr>
        <w:t xml:space="preserve"> </w:t>
      </w:r>
      <w:r w:rsidRPr="00283806">
        <w:rPr>
          <w:w w:val="105"/>
        </w:rPr>
        <w:t>was issued. The 20 metric tons of reclaimed HFCs for servicing and/or repair in the stand-alone retail food refrigeration subsector is minor relative to the estimated demand for reclaimed HFCs</w:t>
      </w:r>
      <w:r w:rsidRPr="00283806">
        <w:rPr>
          <w:spacing w:val="80"/>
          <w:w w:val="150"/>
        </w:rPr>
        <w:t xml:space="preserve"> </w:t>
      </w:r>
      <w:r w:rsidRPr="00283806">
        <w:rPr>
          <w:w w:val="105"/>
        </w:rPr>
        <w:t>in the servicing and/or repair of the other three RACHP subsectors, which was estimated at 12,168 metric tons.</w:t>
      </w:r>
    </w:p>
    <w:p w14:paraId="7123069B" w14:textId="77777777" w:rsidR="00D67C1E" w:rsidRPr="00283806" w:rsidRDefault="001265CA">
      <w:pPr>
        <w:pStyle w:val="BodyText"/>
        <w:spacing w:line="176" w:lineRule="exact"/>
      </w:pPr>
      <w:r w:rsidRPr="00283806">
        <w:rPr>
          <w:w w:val="110"/>
        </w:rPr>
        <w:t>While</w:t>
      </w:r>
      <w:r w:rsidRPr="00283806">
        <w:rPr>
          <w:spacing w:val="-3"/>
          <w:w w:val="110"/>
        </w:rPr>
        <w:t xml:space="preserve"> </w:t>
      </w:r>
      <w:r w:rsidRPr="00283806">
        <w:rPr>
          <w:w w:val="110"/>
        </w:rPr>
        <w:t>not</w:t>
      </w:r>
      <w:r w:rsidRPr="00283806">
        <w:rPr>
          <w:spacing w:val="-2"/>
          <w:w w:val="110"/>
        </w:rPr>
        <w:t xml:space="preserve"> </w:t>
      </w:r>
      <w:r w:rsidRPr="00283806">
        <w:rPr>
          <w:w w:val="110"/>
        </w:rPr>
        <w:t>finalizing</w:t>
      </w:r>
      <w:r w:rsidRPr="00283806">
        <w:rPr>
          <w:spacing w:val="-2"/>
          <w:w w:val="110"/>
        </w:rPr>
        <w:t xml:space="preserve"> </w:t>
      </w:r>
      <w:proofErr w:type="gramStart"/>
      <w:r w:rsidRPr="00283806">
        <w:rPr>
          <w:w w:val="110"/>
        </w:rPr>
        <w:t>at</w:t>
      </w:r>
      <w:r w:rsidRPr="00283806">
        <w:rPr>
          <w:spacing w:val="-3"/>
          <w:w w:val="110"/>
        </w:rPr>
        <w:t xml:space="preserve"> </w:t>
      </w:r>
      <w:r w:rsidRPr="00283806">
        <w:rPr>
          <w:w w:val="110"/>
        </w:rPr>
        <w:t>this</w:t>
      </w:r>
      <w:r w:rsidRPr="00283806">
        <w:rPr>
          <w:spacing w:val="-2"/>
          <w:w w:val="110"/>
        </w:rPr>
        <w:t xml:space="preserve"> </w:t>
      </w:r>
      <w:r w:rsidRPr="00283806">
        <w:rPr>
          <w:w w:val="110"/>
        </w:rPr>
        <w:t>time</w:t>
      </w:r>
      <w:proofErr w:type="gramEnd"/>
      <w:r w:rsidRPr="00283806">
        <w:rPr>
          <w:w w:val="110"/>
        </w:rPr>
        <w:t>,</w:t>
      </w:r>
      <w:r w:rsidRPr="00283806">
        <w:rPr>
          <w:spacing w:val="-2"/>
          <w:w w:val="110"/>
        </w:rPr>
        <w:t xml:space="preserve"> </w:t>
      </w:r>
      <w:r w:rsidRPr="00283806">
        <w:rPr>
          <w:spacing w:val="-5"/>
          <w:w w:val="110"/>
        </w:rPr>
        <w:t>the</w:t>
      </w:r>
    </w:p>
    <w:p w14:paraId="67C164C3" w14:textId="77777777" w:rsidR="00D67C1E" w:rsidRPr="00283806" w:rsidRDefault="001265CA">
      <w:pPr>
        <w:pStyle w:val="BodyText"/>
        <w:spacing w:line="228" w:lineRule="auto"/>
        <w:ind w:right="17"/>
      </w:pPr>
      <w:r w:rsidRPr="00283806">
        <w:rPr>
          <w:w w:val="105"/>
        </w:rPr>
        <w:t>requirements</w:t>
      </w:r>
      <w:r w:rsidRPr="00283806">
        <w:rPr>
          <w:spacing w:val="-10"/>
          <w:w w:val="105"/>
        </w:rPr>
        <w:t xml:space="preserve"> </w:t>
      </w:r>
      <w:r w:rsidRPr="00283806">
        <w:rPr>
          <w:w w:val="105"/>
        </w:rPr>
        <w:t>for</w:t>
      </w:r>
      <w:r w:rsidRPr="00283806">
        <w:rPr>
          <w:spacing w:val="-11"/>
          <w:w w:val="105"/>
        </w:rPr>
        <w:t xml:space="preserve"> </w:t>
      </w:r>
      <w:r w:rsidRPr="00283806">
        <w:rPr>
          <w:w w:val="105"/>
        </w:rPr>
        <w:t>servicing</w:t>
      </w:r>
      <w:r w:rsidRPr="00283806">
        <w:rPr>
          <w:spacing w:val="-10"/>
          <w:w w:val="105"/>
        </w:rPr>
        <w:t xml:space="preserve"> </w:t>
      </w:r>
      <w:r w:rsidRPr="00283806">
        <w:rPr>
          <w:w w:val="105"/>
        </w:rPr>
        <w:t>and/or</w:t>
      </w:r>
      <w:r w:rsidRPr="00283806">
        <w:rPr>
          <w:spacing w:val="-10"/>
          <w:w w:val="105"/>
        </w:rPr>
        <w:t xml:space="preserve"> </w:t>
      </w:r>
      <w:r w:rsidRPr="00283806">
        <w:rPr>
          <w:w w:val="105"/>
        </w:rPr>
        <w:t>repair with reclaimed HFCs in the stand-alone retail food refrigeration subsector only alleviates a small amount of needed supply in 2029. EPA discusses anticipated supply relative to estimated demand with the updated analyses in another comment response and notes</w:t>
      </w:r>
    </w:p>
    <w:p w14:paraId="014381CF" w14:textId="77777777" w:rsidR="00D67C1E" w:rsidRPr="00283806" w:rsidRDefault="001265CA">
      <w:pPr>
        <w:pStyle w:val="BodyText"/>
        <w:spacing w:before="134" w:line="225" w:lineRule="auto"/>
        <w:ind w:right="18"/>
      </w:pPr>
      <w:r w:rsidRPr="00283806">
        <w:br w:type="column"/>
      </w:r>
      <w:r w:rsidRPr="00283806">
        <w:rPr>
          <w:w w:val="105"/>
        </w:rPr>
        <w:t xml:space="preserve">equipment that </w:t>
      </w:r>
      <w:proofErr w:type="gramStart"/>
      <w:r w:rsidRPr="00283806">
        <w:rPr>
          <w:w w:val="105"/>
        </w:rPr>
        <w:t>use</w:t>
      </w:r>
      <w:proofErr w:type="gramEnd"/>
      <w:r w:rsidRPr="00283806">
        <w:rPr>
          <w:w w:val="105"/>
        </w:rPr>
        <w:t xml:space="preserve"> HFC refrigerants</w:t>
      </w:r>
      <w:r w:rsidRPr="00283806">
        <w:rPr>
          <w:spacing w:val="80"/>
          <w:w w:val="105"/>
        </w:rPr>
        <w:t xml:space="preserve"> </w:t>
      </w:r>
      <w:r w:rsidRPr="00283806">
        <w:rPr>
          <w:w w:val="105"/>
        </w:rPr>
        <w:t>that are currently being reclaimed. EPA understands that a significant portion of recovered and reclaimed refrigerants is sourced</w:t>
      </w:r>
      <w:r w:rsidRPr="00283806">
        <w:rPr>
          <w:spacing w:val="-1"/>
          <w:w w:val="105"/>
        </w:rPr>
        <w:t xml:space="preserve"> </w:t>
      </w:r>
      <w:r w:rsidRPr="00283806">
        <w:rPr>
          <w:w w:val="105"/>
        </w:rPr>
        <w:t>when</w:t>
      </w:r>
      <w:r w:rsidRPr="00283806">
        <w:rPr>
          <w:spacing w:val="-1"/>
          <w:w w:val="105"/>
        </w:rPr>
        <w:t xml:space="preserve"> </w:t>
      </w:r>
      <w:r w:rsidRPr="00283806">
        <w:rPr>
          <w:w w:val="105"/>
        </w:rPr>
        <w:t>refrigerant</w:t>
      </w:r>
      <w:r w:rsidRPr="00283806">
        <w:rPr>
          <w:spacing w:val="-1"/>
          <w:w w:val="105"/>
        </w:rPr>
        <w:t xml:space="preserve"> </w:t>
      </w:r>
      <w:r w:rsidRPr="00283806">
        <w:rPr>
          <w:w w:val="105"/>
        </w:rPr>
        <w:t>is</w:t>
      </w:r>
      <w:r w:rsidRPr="00283806">
        <w:rPr>
          <w:spacing w:val="-1"/>
          <w:w w:val="105"/>
        </w:rPr>
        <w:t xml:space="preserve"> </w:t>
      </w:r>
      <w:r w:rsidRPr="00283806">
        <w:rPr>
          <w:w w:val="105"/>
        </w:rPr>
        <w:t>recovered</w:t>
      </w:r>
      <w:r w:rsidRPr="00283806">
        <w:rPr>
          <w:spacing w:val="-1"/>
          <w:w w:val="105"/>
        </w:rPr>
        <w:t xml:space="preserve"> </w:t>
      </w:r>
      <w:r w:rsidRPr="00283806">
        <w:rPr>
          <w:w w:val="105"/>
        </w:rPr>
        <w:t>at a</w:t>
      </w:r>
      <w:r w:rsidRPr="00283806">
        <w:rPr>
          <w:spacing w:val="40"/>
          <w:w w:val="105"/>
        </w:rPr>
        <w:t xml:space="preserve"> </w:t>
      </w:r>
      <w:r w:rsidRPr="00283806">
        <w:rPr>
          <w:w w:val="105"/>
        </w:rPr>
        <w:t>piece</w:t>
      </w:r>
      <w:r w:rsidRPr="00283806">
        <w:rPr>
          <w:spacing w:val="40"/>
          <w:w w:val="105"/>
        </w:rPr>
        <w:t xml:space="preserve"> </w:t>
      </w:r>
      <w:r w:rsidRPr="00283806">
        <w:rPr>
          <w:w w:val="105"/>
        </w:rPr>
        <w:t>of</w:t>
      </w:r>
      <w:r w:rsidRPr="00283806">
        <w:rPr>
          <w:spacing w:val="40"/>
          <w:w w:val="105"/>
        </w:rPr>
        <w:t xml:space="preserve"> </w:t>
      </w:r>
      <w:r w:rsidRPr="00283806">
        <w:rPr>
          <w:w w:val="105"/>
        </w:rPr>
        <w:t>equipment’s</w:t>
      </w:r>
      <w:r w:rsidRPr="00283806">
        <w:rPr>
          <w:spacing w:val="40"/>
          <w:w w:val="105"/>
        </w:rPr>
        <w:t xml:space="preserve"> </w:t>
      </w:r>
      <w:r w:rsidRPr="00283806">
        <w:rPr>
          <w:w w:val="105"/>
        </w:rPr>
        <w:t>EOL.</w:t>
      </w:r>
      <w:r w:rsidRPr="00283806">
        <w:rPr>
          <w:spacing w:val="40"/>
          <w:w w:val="105"/>
        </w:rPr>
        <w:t xml:space="preserve"> </w:t>
      </w:r>
      <w:r w:rsidRPr="00283806">
        <w:rPr>
          <w:w w:val="105"/>
        </w:rPr>
        <w:t>The</w:t>
      </w:r>
      <w:r w:rsidRPr="00283806">
        <w:rPr>
          <w:spacing w:val="40"/>
          <w:w w:val="105"/>
        </w:rPr>
        <w:t xml:space="preserve"> </w:t>
      </w:r>
      <w:r w:rsidRPr="00283806">
        <w:rPr>
          <w:w w:val="105"/>
        </w:rPr>
        <w:t>types of refrigerant-containing equipment affected by these provisions are those that are currently existing and in-use; thus, the installed stock of refrigerants</w:t>
      </w:r>
      <w:r w:rsidRPr="00283806">
        <w:rPr>
          <w:spacing w:val="80"/>
          <w:w w:val="105"/>
        </w:rPr>
        <w:t xml:space="preserve"> </w:t>
      </w:r>
      <w:proofErr w:type="gramStart"/>
      <w:r w:rsidRPr="00283806">
        <w:rPr>
          <w:w w:val="105"/>
        </w:rPr>
        <w:t>to continue</w:t>
      </w:r>
      <w:proofErr w:type="gramEnd"/>
      <w:r w:rsidRPr="00283806">
        <w:rPr>
          <w:w w:val="105"/>
        </w:rPr>
        <w:t xml:space="preserve"> to support the useful life of these types of refrigerant-containing equipment will be supported as older ones reach their EOL. The Economic Impact and Benefits TSD accompanying this rulemaking provides additional analysis of the existing stock of HFCs by type of refrigerant-containing</w:t>
      </w:r>
      <w:r w:rsidRPr="00283806">
        <w:rPr>
          <w:spacing w:val="40"/>
          <w:w w:val="105"/>
        </w:rPr>
        <w:t xml:space="preserve"> </w:t>
      </w:r>
      <w:r w:rsidRPr="00283806">
        <w:rPr>
          <w:w w:val="105"/>
        </w:rPr>
        <w:t>equipment. Accordingly, under the provisions in this final rule, resources</w:t>
      </w:r>
      <w:r w:rsidRPr="00283806">
        <w:rPr>
          <w:spacing w:val="40"/>
          <w:w w:val="105"/>
        </w:rPr>
        <w:t xml:space="preserve"> </w:t>
      </w:r>
      <w:r w:rsidRPr="00283806">
        <w:rPr>
          <w:w w:val="105"/>
        </w:rPr>
        <w:t>can be focused on providing reclaimed HFCs for servicing and/or repair of existing refrigerant-containing equipment</w:t>
      </w:r>
      <w:r w:rsidRPr="00283806">
        <w:rPr>
          <w:spacing w:val="40"/>
          <w:w w:val="105"/>
        </w:rPr>
        <w:t xml:space="preserve"> </w:t>
      </w:r>
      <w:r w:rsidRPr="00283806">
        <w:rPr>
          <w:w w:val="105"/>
        </w:rPr>
        <w:t>in</w:t>
      </w:r>
      <w:r w:rsidRPr="00283806">
        <w:rPr>
          <w:spacing w:val="40"/>
          <w:w w:val="105"/>
        </w:rPr>
        <w:t xml:space="preserve"> </w:t>
      </w:r>
      <w:r w:rsidRPr="00283806">
        <w:rPr>
          <w:w w:val="105"/>
        </w:rPr>
        <w:t>certain</w:t>
      </w:r>
      <w:r w:rsidRPr="00283806">
        <w:rPr>
          <w:spacing w:val="40"/>
          <w:w w:val="105"/>
        </w:rPr>
        <w:t xml:space="preserve"> </w:t>
      </w:r>
      <w:r w:rsidRPr="00283806">
        <w:rPr>
          <w:w w:val="105"/>
        </w:rPr>
        <w:t>RACHP subsectors, where there is a greater ability to obtain recovered refrigerants from equipment that is at its EOL.</w:t>
      </w:r>
    </w:p>
    <w:p w14:paraId="15D78412" w14:textId="77777777" w:rsidR="00D67C1E" w:rsidRPr="00283806" w:rsidRDefault="001265CA">
      <w:pPr>
        <w:pStyle w:val="BodyText"/>
        <w:spacing w:line="170" w:lineRule="exact"/>
        <w:ind w:left="340"/>
      </w:pPr>
      <w:r w:rsidRPr="00283806">
        <w:rPr>
          <w:w w:val="110"/>
        </w:rPr>
        <w:t>Third,</w:t>
      </w:r>
      <w:r w:rsidRPr="00283806">
        <w:rPr>
          <w:spacing w:val="5"/>
          <w:w w:val="110"/>
        </w:rPr>
        <w:t xml:space="preserve"> </w:t>
      </w:r>
      <w:r w:rsidRPr="00283806">
        <w:rPr>
          <w:w w:val="110"/>
        </w:rPr>
        <w:t>EPA</w:t>
      </w:r>
      <w:r w:rsidRPr="00283806">
        <w:rPr>
          <w:spacing w:val="5"/>
          <w:w w:val="110"/>
        </w:rPr>
        <w:t xml:space="preserve"> </w:t>
      </w:r>
      <w:r w:rsidRPr="00283806">
        <w:rPr>
          <w:w w:val="110"/>
        </w:rPr>
        <w:t>is</w:t>
      </w:r>
      <w:r w:rsidRPr="00283806">
        <w:rPr>
          <w:spacing w:val="5"/>
          <w:w w:val="110"/>
        </w:rPr>
        <w:t xml:space="preserve"> </w:t>
      </w:r>
      <w:r w:rsidRPr="00283806">
        <w:rPr>
          <w:w w:val="110"/>
        </w:rPr>
        <w:t>delaying</w:t>
      </w:r>
      <w:r w:rsidRPr="00283806">
        <w:rPr>
          <w:spacing w:val="4"/>
          <w:w w:val="110"/>
        </w:rPr>
        <w:t xml:space="preserve"> </w:t>
      </w:r>
      <w:r w:rsidRPr="00283806">
        <w:rPr>
          <w:spacing w:val="-5"/>
          <w:w w:val="110"/>
        </w:rPr>
        <w:t>the</w:t>
      </w:r>
    </w:p>
    <w:p w14:paraId="07F25DEA" w14:textId="77777777" w:rsidR="00D67C1E" w:rsidRPr="00283806" w:rsidRDefault="001265CA">
      <w:pPr>
        <w:pStyle w:val="BodyText"/>
        <w:spacing w:before="4" w:line="225" w:lineRule="auto"/>
        <w:ind w:right="73"/>
      </w:pPr>
      <w:r w:rsidRPr="00283806">
        <w:rPr>
          <w:w w:val="105"/>
        </w:rPr>
        <w:t>compliance date for these provisions by one year to January 1, 2029. This delay</w:t>
      </w:r>
      <w:r w:rsidRPr="00283806">
        <w:rPr>
          <w:spacing w:val="40"/>
          <w:w w:val="105"/>
        </w:rPr>
        <w:t xml:space="preserve"> </w:t>
      </w:r>
      <w:proofErr w:type="gramStart"/>
      <w:r w:rsidRPr="00283806">
        <w:rPr>
          <w:w w:val="105"/>
        </w:rPr>
        <w:t>of</w:t>
      </w:r>
      <w:proofErr w:type="gramEnd"/>
      <w:r w:rsidRPr="00283806">
        <w:rPr>
          <w:w w:val="105"/>
        </w:rPr>
        <w:t xml:space="preserve"> the compliance date should enable reclaimers to increase their supply of reclaimed refrigerants to meet demand for servicing </w:t>
      </w:r>
      <w:proofErr w:type="gramStart"/>
      <w:r w:rsidRPr="00283806">
        <w:rPr>
          <w:w w:val="105"/>
        </w:rPr>
        <w:t>and or</w:t>
      </w:r>
      <w:proofErr w:type="gramEnd"/>
      <w:r w:rsidRPr="00283806">
        <w:rPr>
          <w:w w:val="105"/>
        </w:rPr>
        <w:t xml:space="preserve"> </w:t>
      </w:r>
      <w:proofErr w:type="gramStart"/>
      <w:r w:rsidRPr="00283806">
        <w:rPr>
          <w:w w:val="105"/>
        </w:rPr>
        <w:t>repair of</w:t>
      </w:r>
      <w:proofErr w:type="gramEnd"/>
      <w:r w:rsidRPr="00283806">
        <w:rPr>
          <w:w w:val="105"/>
        </w:rPr>
        <w:t xml:space="preserve"> equipment in the covered subsectors. EPA notes</w:t>
      </w:r>
      <w:r w:rsidRPr="00283806">
        <w:rPr>
          <w:spacing w:val="40"/>
          <w:w w:val="105"/>
        </w:rPr>
        <w:t xml:space="preserve"> </w:t>
      </w:r>
      <w:r w:rsidRPr="00283806">
        <w:rPr>
          <w:w w:val="105"/>
        </w:rPr>
        <w:t>this date aligns with the next major phasedown step of production and consumption of virgin HFCs under the AIM</w:t>
      </w:r>
      <w:r w:rsidRPr="00283806">
        <w:rPr>
          <w:spacing w:val="40"/>
          <w:w w:val="105"/>
        </w:rPr>
        <w:t xml:space="preserve"> </w:t>
      </w:r>
      <w:r w:rsidRPr="00283806">
        <w:rPr>
          <w:w w:val="105"/>
        </w:rPr>
        <w:t>Act,</w:t>
      </w:r>
      <w:r w:rsidRPr="00283806">
        <w:rPr>
          <w:spacing w:val="40"/>
          <w:w w:val="105"/>
        </w:rPr>
        <w:t xml:space="preserve"> </w:t>
      </w:r>
      <w:r w:rsidRPr="00283806">
        <w:rPr>
          <w:w w:val="105"/>
        </w:rPr>
        <w:t>when</w:t>
      </w:r>
      <w:r w:rsidRPr="00283806">
        <w:rPr>
          <w:spacing w:val="40"/>
          <w:w w:val="105"/>
        </w:rPr>
        <w:t xml:space="preserve"> </w:t>
      </w:r>
      <w:r w:rsidRPr="00283806">
        <w:rPr>
          <w:w w:val="105"/>
        </w:rPr>
        <w:t>reclaimed</w:t>
      </w:r>
      <w:r w:rsidRPr="00283806">
        <w:rPr>
          <w:spacing w:val="40"/>
          <w:w w:val="105"/>
        </w:rPr>
        <w:t xml:space="preserve"> </w:t>
      </w:r>
      <w:r w:rsidRPr="00283806">
        <w:rPr>
          <w:w w:val="105"/>
        </w:rPr>
        <w:t>HFCs</w:t>
      </w:r>
      <w:r w:rsidRPr="00283806">
        <w:rPr>
          <w:spacing w:val="40"/>
          <w:w w:val="105"/>
        </w:rPr>
        <w:t xml:space="preserve"> </w:t>
      </w:r>
      <w:r w:rsidRPr="00283806">
        <w:rPr>
          <w:w w:val="105"/>
        </w:rPr>
        <w:t>will play an even greater role in supporting the servicing and repair of existing equipment. Further, EPA is aware of examples from reclaimers that are actively building capacity of advanced separation technologies.</w:t>
      </w:r>
      <w:r w:rsidRPr="00283806">
        <w:rPr>
          <w:w w:val="105"/>
          <w:position w:val="5"/>
          <w:sz w:val="11"/>
        </w:rPr>
        <w:t>100</w:t>
      </w:r>
      <w:r w:rsidRPr="00283806">
        <w:rPr>
          <w:spacing w:val="40"/>
          <w:w w:val="105"/>
          <w:position w:val="5"/>
          <w:sz w:val="11"/>
        </w:rPr>
        <w:t xml:space="preserve"> </w:t>
      </w:r>
      <w:r w:rsidRPr="00283806">
        <w:rPr>
          <w:w w:val="105"/>
        </w:rPr>
        <w:t>EPA acknowledges comments related to suggestions for phasing in these requirements; however, the Agency is not finalizing such a method for these requirements, for the reasons discussed in another comment and response in</w:t>
      </w:r>
      <w:r w:rsidRPr="00283806">
        <w:rPr>
          <w:spacing w:val="40"/>
          <w:w w:val="105"/>
        </w:rPr>
        <w:t xml:space="preserve"> </w:t>
      </w:r>
      <w:r w:rsidRPr="00283806">
        <w:rPr>
          <w:w w:val="105"/>
        </w:rPr>
        <w:t>this section.</w:t>
      </w:r>
    </w:p>
    <w:p w14:paraId="7809A1E6" w14:textId="77777777" w:rsidR="00D67C1E" w:rsidRPr="00283806" w:rsidRDefault="001265CA">
      <w:pPr>
        <w:pStyle w:val="BodyText"/>
        <w:spacing w:line="173" w:lineRule="exact"/>
        <w:ind w:left="340"/>
      </w:pPr>
      <w:r w:rsidRPr="00283806">
        <w:rPr>
          <w:w w:val="105"/>
        </w:rPr>
        <w:t>Finally,</w:t>
      </w:r>
      <w:r w:rsidRPr="00283806">
        <w:rPr>
          <w:spacing w:val="24"/>
          <w:w w:val="105"/>
        </w:rPr>
        <w:t xml:space="preserve"> </w:t>
      </w:r>
      <w:r w:rsidRPr="00283806">
        <w:rPr>
          <w:w w:val="105"/>
        </w:rPr>
        <w:t>EPA</w:t>
      </w:r>
      <w:r w:rsidRPr="00283806">
        <w:rPr>
          <w:spacing w:val="25"/>
          <w:w w:val="105"/>
        </w:rPr>
        <w:t xml:space="preserve"> </w:t>
      </w:r>
      <w:r w:rsidRPr="00283806">
        <w:rPr>
          <w:w w:val="105"/>
        </w:rPr>
        <w:t>is</w:t>
      </w:r>
      <w:r w:rsidRPr="00283806">
        <w:rPr>
          <w:spacing w:val="24"/>
          <w:w w:val="105"/>
        </w:rPr>
        <w:t xml:space="preserve"> </w:t>
      </w:r>
      <w:r w:rsidRPr="00283806">
        <w:rPr>
          <w:w w:val="105"/>
        </w:rPr>
        <w:t>establishing</w:t>
      </w:r>
      <w:r w:rsidRPr="00283806">
        <w:rPr>
          <w:spacing w:val="25"/>
          <w:w w:val="105"/>
        </w:rPr>
        <w:t xml:space="preserve"> </w:t>
      </w:r>
      <w:r w:rsidRPr="00283806">
        <w:rPr>
          <w:w w:val="105"/>
        </w:rPr>
        <w:t>a</w:t>
      </w:r>
      <w:r w:rsidRPr="00283806">
        <w:rPr>
          <w:spacing w:val="24"/>
          <w:w w:val="105"/>
        </w:rPr>
        <w:t xml:space="preserve"> </w:t>
      </w:r>
      <w:r w:rsidRPr="00283806">
        <w:rPr>
          <w:spacing w:val="-2"/>
          <w:w w:val="105"/>
        </w:rPr>
        <w:t>discrete</w:t>
      </w:r>
    </w:p>
    <w:p w14:paraId="2494EC7B" w14:textId="77777777" w:rsidR="00D67C1E" w:rsidRPr="00283806" w:rsidRDefault="001265CA">
      <w:pPr>
        <w:pStyle w:val="BodyText"/>
        <w:spacing w:before="4" w:line="225" w:lineRule="auto"/>
        <w:ind w:right="55"/>
      </w:pPr>
      <w:r w:rsidRPr="00283806">
        <w:rPr>
          <w:w w:val="105"/>
        </w:rPr>
        <w:t xml:space="preserve">reporting </w:t>
      </w:r>
      <w:proofErr w:type="gramStart"/>
      <w:r w:rsidRPr="00283806">
        <w:rPr>
          <w:w w:val="105"/>
        </w:rPr>
        <w:t>requirement</w:t>
      </w:r>
      <w:proofErr w:type="gramEnd"/>
      <w:r w:rsidRPr="00283806">
        <w:rPr>
          <w:w w:val="105"/>
        </w:rPr>
        <w:t xml:space="preserve"> to better understand the sale, distribution, and availability of reclaimed HFCs in the subsectors covered in this rulemaking.</w:t>
      </w:r>
      <w:r w:rsidRPr="00283806">
        <w:rPr>
          <w:spacing w:val="40"/>
          <w:w w:val="105"/>
        </w:rPr>
        <w:t xml:space="preserve"> </w:t>
      </w:r>
      <w:r w:rsidRPr="00283806">
        <w:rPr>
          <w:w w:val="105"/>
        </w:rPr>
        <w:t xml:space="preserve">As described in this section, EPA </w:t>
      </w:r>
      <w:proofErr w:type="gramStart"/>
      <w:r w:rsidRPr="00283806">
        <w:rPr>
          <w:w w:val="105"/>
        </w:rPr>
        <w:t>is requiring</w:t>
      </w:r>
      <w:proofErr w:type="gramEnd"/>
      <w:r w:rsidRPr="00283806">
        <w:rPr>
          <w:w w:val="105"/>
        </w:rPr>
        <w:t xml:space="preserve"> reporting by reclaimers and distributors that contain information on the volumes of reclaimed HFCs sold and intended for servicing and/or repair of equipment in the covered subsectors.</w:t>
      </w:r>
    </w:p>
    <w:p w14:paraId="0040E68E" w14:textId="77777777" w:rsidR="00D67C1E" w:rsidRPr="00283806" w:rsidRDefault="001265CA">
      <w:pPr>
        <w:pStyle w:val="BodyText"/>
        <w:spacing w:line="179" w:lineRule="exact"/>
      </w:pPr>
      <w:r w:rsidRPr="00283806">
        <w:rPr>
          <w:w w:val="105"/>
        </w:rPr>
        <w:t>EPA</w:t>
      </w:r>
      <w:r w:rsidRPr="00283806">
        <w:rPr>
          <w:spacing w:val="14"/>
          <w:w w:val="105"/>
        </w:rPr>
        <w:t xml:space="preserve"> </w:t>
      </w:r>
      <w:r w:rsidRPr="00283806">
        <w:rPr>
          <w:w w:val="105"/>
        </w:rPr>
        <w:t>is</w:t>
      </w:r>
      <w:r w:rsidRPr="00283806">
        <w:rPr>
          <w:spacing w:val="14"/>
          <w:w w:val="105"/>
        </w:rPr>
        <w:t xml:space="preserve"> </w:t>
      </w:r>
      <w:r w:rsidRPr="00283806">
        <w:rPr>
          <w:w w:val="105"/>
        </w:rPr>
        <w:t>establishing</w:t>
      </w:r>
      <w:r w:rsidRPr="00283806">
        <w:rPr>
          <w:spacing w:val="15"/>
          <w:w w:val="105"/>
        </w:rPr>
        <w:t xml:space="preserve"> </w:t>
      </w:r>
      <w:r w:rsidRPr="00283806">
        <w:rPr>
          <w:w w:val="105"/>
        </w:rPr>
        <w:t>a</w:t>
      </w:r>
      <w:r w:rsidRPr="00283806">
        <w:rPr>
          <w:spacing w:val="14"/>
          <w:w w:val="105"/>
        </w:rPr>
        <w:t xml:space="preserve"> </w:t>
      </w:r>
      <w:r w:rsidRPr="00283806">
        <w:rPr>
          <w:w w:val="105"/>
        </w:rPr>
        <w:t>two-time</w:t>
      </w:r>
      <w:r w:rsidRPr="00283806">
        <w:rPr>
          <w:spacing w:val="15"/>
          <w:w w:val="105"/>
        </w:rPr>
        <w:t xml:space="preserve"> </w:t>
      </w:r>
      <w:r w:rsidRPr="00283806">
        <w:rPr>
          <w:spacing w:val="-2"/>
          <w:w w:val="105"/>
        </w:rPr>
        <w:t>reporting</w:t>
      </w:r>
    </w:p>
    <w:p w14:paraId="54D98E15" w14:textId="77777777" w:rsidR="00D67C1E" w:rsidRPr="00283806" w:rsidRDefault="001265CA">
      <w:pPr>
        <w:pStyle w:val="BodyText"/>
        <w:spacing w:before="136" w:line="225" w:lineRule="auto"/>
        <w:ind w:left="154" w:right="197"/>
      </w:pPr>
      <w:r w:rsidRPr="00283806">
        <w:br w:type="column"/>
      </w:r>
      <w:r w:rsidRPr="00283806">
        <w:rPr>
          <w:w w:val="105"/>
        </w:rPr>
        <w:t>requirement to gather this information and better understand the landscape for reclaimed HFC availability for these subsectors in 2026 and 2027 (reports must be submitted by February 14,</w:t>
      </w:r>
      <w:r w:rsidRPr="00283806">
        <w:rPr>
          <w:spacing w:val="80"/>
          <w:w w:val="105"/>
        </w:rPr>
        <w:t xml:space="preserve"> </w:t>
      </w:r>
      <w:r w:rsidRPr="00283806">
        <w:rPr>
          <w:w w:val="105"/>
        </w:rPr>
        <w:t>2027, and February 14, 2028, respectively), leading up to the compliance date of January 1, 2029. EPA notes that the Agency will review this information</w:t>
      </w:r>
      <w:r w:rsidRPr="00283806">
        <w:rPr>
          <w:spacing w:val="40"/>
          <w:w w:val="105"/>
        </w:rPr>
        <w:t xml:space="preserve"> </w:t>
      </w:r>
      <w:r w:rsidRPr="00283806">
        <w:rPr>
          <w:w w:val="105"/>
        </w:rPr>
        <w:t>and</w:t>
      </w:r>
      <w:r w:rsidRPr="00283806">
        <w:rPr>
          <w:spacing w:val="40"/>
          <w:w w:val="105"/>
        </w:rPr>
        <w:t xml:space="preserve"> </w:t>
      </w:r>
      <w:r w:rsidRPr="00283806">
        <w:rPr>
          <w:w w:val="105"/>
        </w:rPr>
        <w:t>may</w:t>
      </w:r>
      <w:r w:rsidRPr="00283806">
        <w:rPr>
          <w:spacing w:val="40"/>
          <w:w w:val="105"/>
        </w:rPr>
        <w:t xml:space="preserve"> </w:t>
      </w:r>
      <w:r w:rsidRPr="00283806">
        <w:rPr>
          <w:w w:val="105"/>
        </w:rPr>
        <w:t>consider proposing changes to the requirements for reclaimed HFCs, if warranted.</w:t>
      </w:r>
    </w:p>
    <w:p w14:paraId="392C93D2" w14:textId="77777777" w:rsidR="00D67C1E" w:rsidRPr="00283806" w:rsidRDefault="001265CA">
      <w:pPr>
        <w:pStyle w:val="BodyText"/>
        <w:spacing w:line="176" w:lineRule="exact"/>
        <w:ind w:left="334"/>
      </w:pPr>
      <w:r w:rsidRPr="00283806">
        <w:rPr>
          <w:w w:val="105"/>
        </w:rPr>
        <w:t>EPA</w:t>
      </w:r>
      <w:r w:rsidRPr="00283806">
        <w:rPr>
          <w:spacing w:val="18"/>
          <w:w w:val="105"/>
        </w:rPr>
        <w:t xml:space="preserve"> </w:t>
      </w:r>
      <w:r w:rsidRPr="00283806">
        <w:rPr>
          <w:w w:val="105"/>
        </w:rPr>
        <w:t>acknowledges</w:t>
      </w:r>
      <w:r w:rsidRPr="00283806">
        <w:rPr>
          <w:spacing w:val="18"/>
          <w:w w:val="105"/>
        </w:rPr>
        <w:t xml:space="preserve"> </w:t>
      </w:r>
      <w:r w:rsidRPr="00283806">
        <w:rPr>
          <w:w w:val="105"/>
        </w:rPr>
        <w:t>the</w:t>
      </w:r>
      <w:r w:rsidRPr="00283806">
        <w:rPr>
          <w:spacing w:val="18"/>
          <w:w w:val="105"/>
        </w:rPr>
        <w:t xml:space="preserve"> </w:t>
      </w:r>
      <w:r w:rsidRPr="00283806">
        <w:rPr>
          <w:spacing w:val="-2"/>
          <w:w w:val="105"/>
        </w:rPr>
        <w:t>comments</w:t>
      </w:r>
    </w:p>
    <w:p w14:paraId="7E2FBF7E" w14:textId="77777777" w:rsidR="00D67C1E" w:rsidRPr="00283806" w:rsidRDefault="001265CA">
      <w:pPr>
        <w:pStyle w:val="BodyText"/>
        <w:spacing w:before="5" w:line="223" w:lineRule="auto"/>
        <w:ind w:left="154" w:right="173"/>
      </w:pPr>
      <w:r w:rsidRPr="00283806">
        <w:rPr>
          <w:w w:val="105"/>
        </w:rPr>
        <w:t xml:space="preserve">related to assessing </w:t>
      </w:r>
      <w:proofErr w:type="gramStart"/>
      <w:r w:rsidRPr="00283806">
        <w:rPr>
          <w:w w:val="105"/>
        </w:rPr>
        <w:t>particular blends</w:t>
      </w:r>
      <w:proofErr w:type="gramEnd"/>
      <w:r w:rsidRPr="00283806">
        <w:rPr>
          <w:spacing w:val="40"/>
          <w:w w:val="105"/>
        </w:rPr>
        <w:t xml:space="preserve"> </w:t>
      </w:r>
      <w:r w:rsidRPr="00283806">
        <w:rPr>
          <w:w w:val="105"/>
        </w:rPr>
        <w:t>and subsectors as related to reclaimed HFC refrigerant availability. EPA considered</w:t>
      </w:r>
      <w:r w:rsidRPr="00283806">
        <w:rPr>
          <w:spacing w:val="38"/>
          <w:w w:val="105"/>
        </w:rPr>
        <w:t xml:space="preserve"> </w:t>
      </w:r>
      <w:r w:rsidRPr="00283806">
        <w:rPr>
          <w:w w:val="105"/>
        </w:rPr>
        <w:t>this</w:t>
      </w:r>
      <w:r w:rsidRPr="00283806">
        <w:rPr>
          <w:spacing w:val="38"/>
          <w:w w:val="105"/>
        </w:rPr>
        <w:t xml:space="preserve"> </w:t>
      </w:r>
      <w:r w:rsidRPr="00283806">
        <w:rPr>
          <w:w w:val="105"/>
        </w:rPr>
        <w:t>in</w:t>
      </w:r>
      <w:r w:rsidRPr="00283806">
        <w:rPr>
          <w:spacing w:val="38"/>
          <w:w w:val="105"/>
        </w:rPr>
        <w:t xml:space="preserve"> </w:t>
      </w:r>
      <w:r w:rsidRPr="00283806">
        <w:rPr>
          <w:w w:val="105"/>
        </w:rPr>
        <w:t>the</w:t>
      </w:r>
      <w:r w:rsidRPr="00283806">
        <w:rPr>
          <w:spacing w:val="38"/>
          <w:w w:val="105"/>
        </w:rPr>
        <w:t xml:space="preserve"> </w:t>
      </w:r>
      <w:r w:rsidRPr="00283806">
        <w:rPr>
          <w:w w:val="105"/>
        </w:rPr>
        <w:t>report</w:t>
      </w:r>
      <w:r w:rsidRPr="00283806">
        <w:rPr>
          <w:spacing w:val="38"/>
          <w:w w:val="105"/>
        </w:rPr>
        <w:t xml:space="preserve"> </w:t>
      </w:r>
      <w:r w:rsidRPr="00283806">
        <w:rPr>
          <w:w w:val="105"/>
        </w:rPr>
        <w:t>‘‘</w:t>
      </w:r>
      <w:r w:rsidRPr="00283806">
        <w:rPr>
          <w:rFonts w:ascii="Book Antiqua" w:hAnsi="Book Antiqua"/>
          <w:i/>
          <w:w w:val="105"/>
        </w:rPr>
        <w:t>Analysis of the U.S. Hydrofluorocarbon</w:t>
      </w:r>
      <w:r w:rsidRPr="00283806">
        <w:rPr>
          <w:rFonts w:ascii="Book Antiqua" w:hAnsi="Book Antiqua"/>
          <w:i/>
          <w:spacing w:val="80"/>
          <w:w w:val="105"/>
        </w:rPr>
        <w:t xml:space="preserve"> </w:t>
      </w:r>
      <w:r w:rsidRPr="00283806">
        <w:rPr>
          <w:rFonts w:ascii="Book Antiqua" w:hAnsi="Book Antiqua"/>
          <w:i/>
          <w:w w:val="105"/>
        </w:rPr>
        <w:t>Reclamation Market: Stakeholders,</w:t>
      </w:r>
      <w:r w:rsidRPr="00283806">
        <w:rPr>
          <w:rFonts w:ascii="Book Antiqua" w:hAnsi="Book Antiqua"/>
          <w:i/>
          <w:spacing w:val="80"/>
          <w:w w:val="105"/>
        </w:rPr>
        <w:t xml:space="preserve"> </w:t>
      </w:r>
      <w:r w:rsidRPr="00283806">
        <w:rPr>
          <w:rFonts w:ascii="Book Antiqua" w:hAnsi="Book Antiqua"/>
          <w:i/>
          <w:w w:val="105"/>
        </w:rPr>
        <w:t>Drivers, and Practices,</w:t>
      </w:r>
      <w:r w:rsidRPr="00283806">
        <w:rPr>
          <w:w w:val="105"/>
        </w:rPr>
        <w:t>’’ available in the docket for this rule and evaluated the anticipated demand of HFCs in the covered subsectors. Among the covered RACHP subsectors in this rule, the most anticipated</w:t>
      </w:r>
      <w:r w:rsidRPr="00283806">
        <w:rPr>
          <w:spacing w:val="40"/>
          <w:w w:val="105"/>
        </w:rPr>
        <w:t xml:space="preserve"> </w:t>
      </w:r>
      <w:r w:rsidRPr="00283806">
        <w:rPr>
          <w:w w:val="105"/>
        </w:rPr>
        <w:t>demand</w:t>
      </w:r>
      <w:r w:rsidRPr="00283806">
        <w:rPr>
          <w:spacing w:val="40"/>
          <w:w w:val="105"/>
        </w:rPr>
        <w:t xml:space="preserve"> </w:t>
      </w:r>
      <w:r w:rsidRPr="00283806">
        <w:rPr>
          <w:w w:val="105"/>
        </w:rPr>
        <w:t>HFC</w:t>
      </w:r>
      <w:r w:rsidRPr="00283806">
        <w:rPr>
          <w:spacing w:val="40"/>
          <w:w w:val="105"/>
        </w:rPr>
        <w:t xml:space="preserve"> </w:t>
      </w:r>
      <w:r w:rsidRPr="00283806">
        <w:rPr>
          <w:w w:val="105"/>
        </w:rPr>
        <w:t>and</w:t>
      </w:r>
      <w:r w:rsidRPr="00283806">
        <w:rPr>
          <w:spacing w:val="40"/>
          <w:w w:val="105"/>
        </w:rPr>
        <w:t xml:space="preserve"> </w:t>
      </w:r>
      <w:r w:rsidRPr="00283806">
        <w:rPr>
          <w:w w:val="105"/>
        </w:rPr>
        <w:t>HFC</w:t>
      </w:r>
      <w:r w:rsidRPr="00283806">
        <w:rPr>
          <w:spacing w:val="40"/>
          <w:w w:val="105"/>
        </w:rPr>
        <w:t xml:space="preserve"> </w:t>
      </w:r>
      <w:r w:rsidRPr="00283806">
        <w:rPr>
          <w:w w:val="105"/>
        </w:rPr>
        <w:t xml:space="preserve">blend refrigerants are HFC–134a, R– 404A, R–407A, and R–507. Related to R–404A and R–507, the Agency understands the uses of these </w:t>
      </w:r>
      <w:proofErr w:type="gramStart"/>
      <w:r w:rsidRPr="00283806">
        <w:rPr>
          <w:w w:val="105"/>
        </w:rPr>
        <w:t>particular blends</w:t>
      </w:r>
      <w:proofErr w:type="gramEnd"/>
      <w:r w:rsidRPr="00283806">
        <w:rPr>
          <w:w w:val="105"/>
        </w:rPr>
        <w:t xml:space="preserve"> in each of the covered subsectors of this rulemaking. Even if the commenters were correct about the current costs and difficulties sourcing these refrigerants today, EPA notes that these blends are currently being reclaimed, and the Agency anticipates this rulemaking to provide market</w:t>
      </w:r>
      <w:r w:rsidRPr="00283806">
        <w:rPr>
          <w:spacing w:val="40"/>
          <w:w w:val="105"/>
        </w:rPr>
        <w:t xml:space="preserve"> </w:t>
      </w:r>
      <w:r w:rsidRPr="00283806">
        <w:rPr>
          <w:w w:val="105"/>
        </w:rPr>
        <w:t>signals to reclaimers to increase reclamation of these blends and secure additional recovered materials.</w:t>
      </w:r>
    </w:p>
    <w:p w14:paraId="08D24DAC" w14:textId="77777777" w:rsidR="00D67C1E" w:rsidRPr="00283806" w:rsidRDefault="001265CA">
      <w:pPr>
        <w:pStyle w:val="BodyText"/>
        <w:spacing w:before="13" w:line="228" w:lineRule="auto"/>
        <w:ind w:left="154" w:right="158"/>
      </w:pPr>
      <w:r w:rsidRPr="00283806">
        <w:rPr>
          <w:w w:val="105"/>
        </w:rPr>
        <w:t>Similarly, EPA anticipates those recovering</w:t>
      </w:r>
      <w:r w:rsidRPr="00283806">
        <w:rPr>
          <w:spacing w:val="40"/>
          <w:w w:val="105"/>
        </w:rPr>
        <w:t xml:space="preserve"> </w:t>
      </w:r>
      <w:r w:rsidRPr="00283806">
        <w:rPr>
          <w:w w:val="105"/>
        </w:rPr>
        <w:t>HFCs</w:t>
      </w:r>
      <w:r w:rsidRPr="00283806">
        <w:rPr>
          <w:spacing w:val="40"/>
          <w:w w:val="105"/>
        </w:rPr>
        <w:t xml:space="preserve"> </w:t>
      </w:r>
      <w:r w:rsidRPr="00283806">
        <w:rPr>
          <w:w w:val="105"/>
        </w:rPr>
        <w:t>from</w:t>
      </w:r>
      <w:r w:rsidRPr="00283806">
        <w:rPr>
          <w:spacing w:val="40"/>
          <w:w w:val="105"/>
        </w:rPr>
        <w:t xml:space="preserve"> </w:t>
      </w:r>
      <w:r w:rsidRPr="00283806">
        <w:rPr>
          <w:w w:val="105"/>
        </w:rPr>
        <w:t>equipment</w:t>
      </w:r>
      <w:r w:rsidRPr="00283806">
        <w:rPr>
          <w:spacing w:val="40"/>
          <w:w w:val="105"/>
        </w:rPr>
        <w:t xml:space="preserve"> </w:t>
      </w:r>
      <w:r w:rsidRPr="00283806">
        <w:rPr>
          <w:w w:val="105"/>
        </w:rPr>
        <w:t>will be aware of reclaimers’ increased need for such materials and will increasingly develop arrangements to provide recovered HFCs to reclaimers. R–404A,</w:t>
      </w:r>
      <w:r w:rsidRPr="00283806">
        <w:rPr>
          <w:spacing w:val="40"/>
          <w:w w:val="105"/>
        </w:rPr>
        <w:t xml:space="preserve"> </w:t>
      </w:r>
      <w:r w:rsidRPr="00283806">
        <w:rPr>
          <w:w w:val="105"/>
        </w:rPr>
        <w:t>in</w:t>
      </w:r>
      <w:r w:rsidRPr="00283806">
        <w:rPr>
          <w:spacing w:val="40"/>
          <w:w w:val="105"/>
        </w:rPr>
        <w:t xml:space="preserve"> </w:t>
      </w:r>
      <w:r w:rsidRPr="00283806">
        <w:rPr>
          <w:w w:val="105"/>
        </w:rPr>
        <w:t>particular,</w:t>
      </w:r>
      <w:r w:rsidRPr="00283806">
        <w:rPr>
          <w:spacing w:val="40"/>
          <w:w w:val="105"/>
        </w:rPr>
        <w:t xml:space="preserve"> </w:t>
      </w:r>
      <w:r w:rsidRPr="00283806">
        <w:rPr>
          <w:w w:val="105"/>
        </w:rPr>
        <w:t>has</w:t>
      </w:r>
      <w:r w:rsidRPr="00283806">
        <w:rPr>
          <w:spacing w:val="40"/>
          <w:w w:val="105"/>
        </w:rPr>
        <w:t xml:space="preserve"> </w:t>
      </w:r>
      <w:r w:rsidRPr="00283806">
        <w:rPr>
          <w:w w:val="105"/>
        </w:rPr>
        <w:t>had</w:t>
      </w:r>
      <w:r w:rsidRPr="00283806">
        <w:rPr>
          <w:spacing w:val="40"/>
          <w:w w:val="105"/>
        </w:rPr>
        <w:t xml:space="preserve"> </w:t>
      </w:r>
      <w:r w:rsidRPr="00283806">
        <w:rPr>
          <w:w w:val="105"/>
        </w:rPr>
        <w:t>a</w:t>
      </w:r>
      <w:r w:rsidRPr="00283806">
        <w:rPr>
          <w:spacing w:val="40"/>
          <w:w w:val="105"/>
        </w:rPr>
        <w:t xml:space="preserve"> </w:t>
      </w:r>
      <w:r w:rsidRPr="00283806">
        <w:rPr>
          <w:w w:val="105"/>
        </w:rPr>
        <w:t>steady</w:t>
      </w:r>
      <w:r w:rsidRPr="00283806">
        <w:rPr>
          <w:spacing w:val="40"/>
          <w:w w:val="105"/>
        </w:rPr>
        <w:t xml:space="preserve"> </w:t>
      </w:r>
      <w:r w:rsidRPr="00283806">
        <w:rPr>
          <w:w w:val="105"/>
        </w:rPr>
        <w:t>volume of reclamation between approximately 400,000 and 500,000 pounds each year from</w:t>
      </w:r>
      <w:r w:rsidRPr="00283806">
        <w:rPr>
          <w:spacing w:val="-2"/>
          <w:w w:val="105"/>
        </w:rPr>
        <w:t xml:space="preserve"> </w:t>
      </w:r>
      <w:r w:rsidRPr="00283806">
        <w:rPr>
          <w:w w:val="105"/>
        </w:rPr>
        <w:t>2017</w:t>
      </w:r>
      <w:r w:rsidRPr="00283806">
        <w:rPr>
          <w:spacing w:val="-2"/>
          <w:w w:val="105"/>
        </w:rPr>
        <w:t xml:space="preserve"> </w:t>
      </w:r>
      <w:r w:rsidRPr="00283806">
        <w:rPr>
          <w:w w:val="105"/>
        </w:rPr>
        <w:t>to</w:t>
      </w:r>
      <w:r w:rsidRPr="00283806">
        <w:rPr>
          <w:spacing w:val="-2"/>
          <w:w w:val="105"/>
        </w:rPr>
        <w:t xml:space="preserve"> </w:t>
      </w:r>
      <w:r w:rsidRPr="00283806">
        <w:rPr>
          <w:w w:val="105"/>
        </w:rPr>
        <w:t>2022</w:t>
      </w:r>
      <w:r w:rsidRPr="00283806">
        <w:rPr>
          <w:spacing w:val="-2"/>
          <w:w w:val="105"/>
        </w:rPr>
        <w:t xml:space="preserve"> </w:t>
      </w:r>
      <w:r w:rsidRPr="00283806">
        <w:rPr>
          <w:w w:val="105"/>
        </w:rPr>
        <w:t>with</w:t>
      </w:r>
      <w:r w:rsidRPr="00283806">
        <w:rPr>
          <w:spacing w:val="-2"/>
          <w:w w:val="105"/>
        </w:rPr>
        <w:t xml:space="preserve"> </w:t>
      </w:r>
      <w:r w:rsidRPr="00283806">
        <w:rPr>
          <w:w w:val="105"/>
        </w:rPr>
        <w:t>a</w:t>
      </w:r>
      <w:r w:rsidRPr="00283806">
        <w:rPr>
          <w:spacing w:val="-2"/>
          <w:w w:val="105"/>
        </w:rPr>
        <w:t xml:space="preserve"> </w:t>
      </w:r>
      <w:r w:rsidRPr="00283806">
        <w:rPr>
          <w:w w:val="105"/>
        </w:rPr>
        <w:t>larger</w:t>
      </w:r>
      <w:r w:rsidRPr="00283806">
        <w:rPr>
          <w:spacing w:val="-2"/>
          <w:w w:val="105"/>
        </w:rPr>
        <w:t xml:space="preserve"> </w:t>
      </w:r>
      <w:r w:rsidRPr="00283806">
        <w:rPr>
          <w:w w:val="105"/>
        </w:rPr>
        <w:t>increase upwards of 800,000 pounds in 2023.</w:t>
      </w:r>
      <w:r w:rsidRPr="00283806">
        <w:rPr>
          <w:w w:val="105"/>
          <w:position w:val="5"/>
          <w:sz w:val="11"/>
        </w:rPr>
        <w:t>101</w:t>
      </w:r>
      <w:r w:rsidRPr="00283806">
        <w:rPr>
          <w:spacing w:val="40"/>
          <w:w w:val="105"/>
          <w:position w:val="5"/>
          <w:sz w:val="11"/>
        </w:rPr>
        <w:t xml:space="preserve"> </w:t>
      </w:r>
      <w:r w:rsidRPr="00283806">
        <w:rPr>
          <w:w w:val="105"/>
        </w:rPr>
        <w:t>While specific data on R–507</w:t>
      </w:r>
      <w:r w:rsidRPr="00283806">
        <w:rPr>
          <w:spacing w:val="40"/>
          <w:w w:val="105"/>
        </w:rPr>
        <w:t xml:space="preserve"> </w:t>
      </w:r>
      <w:r w:rsidRPr="00283806">
        <w:rPr>
          <w:w w:val="105"/>
        </w:rPr>
        <w:t xml:space="preserve">reclamation are not published, reclamation volumes of R–507 between 2017 and 2023, as reported to EPA, have been steady between approximately 40,000 and 130,000 pounds each year. EPA reiterates that the Agency is only finalizing requirements for the servicing and/or repair of refrigerant-containing equipment to be done with reclaimed HFCs in a limited number of RACHP </w:t>
      </w:r>
      <w:r w:rsidRPr="00283806">
        <w:rPr>
          <w:spacing w:val="-2"/>
          <w:w w:val="105"/>
        </w:rPr>
        <w:t>subsectors.</w:t>
      </w:r>
    </w:p>
    <w:p w14:paraId="06FA6D92" w14:textId="77777777" w:rsidR="00D67C1E" w:rsidRPr="00283806" w:rsidRDefault="001265CA">
      <w:pPr>
        <w:pStyle w:val="BodyText"/>
        <w:spacing w:line="113" w:lineRule="exact"/>
        <w:ind w:left="334"/>
      </w:pPr>
      <w:r w:rsidRPr="00283806">
        <w:rPr>
          <w:w w:val="105"/>
        </w:rPr>
        <w:t>The</w:t>
      </w:r>
      <w:r w:rsidRPr="00283806">
        <w:rPr>
          <w:spacing w:val="17"/>
          <w:w w:val="105"/>
        </w:rPr>
        <w:t xml:space="preserve"> </w:t>
      </w:r>
      <w:r w:rsidRPr="00283806">
        <w:rPr>
          <w:w w:val="105"/>
        </w:rPr>
        <w:t>Economic</w:t>
      </w:r>
      <w:r w:rsidRPr="00283806">
        <w:rPr>
          <w:spacing w:val="18"/>
          <w:w w:val="105"/>
        </w:rPr>
        <w:t xml:space="preserve"> </w:t>
      </w:r>
      <w:r w:rsidRPr="00283806">
        <w:rPr>
          <w:w w:val="105"/>
        </w:rPr>
        <w:t>Impact</w:t>
      </w:r>
      <w:r w:rsidRPr="00283806">
        <w:rPr>
          <w:spacing w:val="17"/>
          <w:w w:val="105"/>
        </w:rPr>
        <w:t xml:space="preserve"> </w:t>
      </w:r>
      <w:r w:rsidRPr="00283806">
        <w:rPr>
          <w:w w:val="105"/>
        </w:rPr>
        <w:t>and</w:t>
      </w:r>
      <w:r w:rsidRPr="00283806">
        <w:rPr>
          <w:spacing w:val="18"/>
          <w:w w:val="105"/>
        </w:rPr>
        <w:t xml:space="preserve"> </w:t>
      </w:r>
      <w:r w:rsidRPr="00283806">
        <w:rPr>
          <w:spacing w:val="-2"/>
          <w:w w:val="105"/>
        </w:rPr>
        <w:t>Benefits</w:t>
      </w:r>
    </w:p>
    <w:p w14:paraId="504A225A" w14:textId="77777777" w:rsidR="00D67C1E" w:rsidRPr="00283806" w:rsidRDefault="00D67C1E">
      <w:pPr>
        <w:spacing w:line="113" w:lineRule="exact"/>
        <w:sectPr w:rsidR="00D67C1E" w:rsidRPr="00283806">
          <w:pgSz w:w="12240" w:h="15840"/>
          <w:pgMar w:top="1040" w:right="780" w:bottom="280" w:left="740" w:header="627" w:footer="0" w:gutter="0"/>
          <w:cols w:num="3" w:space="720" w:equalWidth="0">
            <w:col w:w="3486" w:space="54"/>
            <w:col w:w="3506" w:space="39"/>
            <w:col w:w="3635"/>
          </w:cols>
        </w:sectPr>
      </w:pPr>
    </w:p>
    <w:p w14:paraId="4714A5E5" w14:textId="77777777" w:rsidR="00D67C1E" w:rsidRPr="00283806" w:rsidRDefault="001265CA">
      <w:pPr>
        <w:pStyle w:val="BodyText"/>
        <w:tabs>
          <w:tab w:val="left" w:pos="3699"/>
          <w:tab w:val="left" w:pos="4699"/>
        </w:tabs>
        <w:spacing w:line="191" w:lineRule="exact"/>
      </w:pPr>
      <w:r w:rsidRPr="00283806">
        <w:rPr>
          <w:w w:val="105"/>
        </w:rPr>
        <w:t>that</w:t>
      </w:r>
      <w:r w:rsidRPr="00283806">
        <w:rPr>
          <w:spacing w:val="18"/>
          <w:w w:val="105"/>
        </w:rPr>
        <w:t xml:space="preserve"> </w:t>
      </w:r>
      <w:r w:rsidRPr="00283806">
        <w:rPr>
          <w:w w:val="105"/>
        </w:rPr>
        <w:t>anticipated</w:t>
      </w:r>
      <w:r w:rsidRPr="00283806">
        <w:rPr>
          <w:spacing w:val="18"/>
          <w:w w:val="105"/>
        </w:rPr>
        <w:t xml:space="preserve"> </w:t>
      </w:r>
      <w:r w:rsidRPr="00283806">
        <w:rPr>
          <w:w w:val="105"/>
        </w:rPr>
        <w:t>supply</w:t>
      </w:r>
      <w:r w:rsidRPr="00283806">
        <w:rPr>
          <w:spacing w:val="18"/>
          <w:w w:val="105"/>
        </w:rPr>
        <w:t xml:space="preserve"> </w:t>
      </w:r>
      <w:r w:rsidRPr="00283806">
        <w:rPr>
          <w:w w:val="105"/>
        </w:rPr>
        <w:t>is</w:t>
      </w:r>
      <w:r w:rsidRPr="00283806">
        <w:rPr>
          <w:spacing w:val="18"/>
          <w:w w:val="105"/>
        </w:rPr>
        <w:t xml:space="preserve"> </w:t>
      </w:r>
      <w:r w:rsidRPr="00283806">
        <w:rPr>
          <w:w w:val="105"/>
        </w:rPr>
        <w:t>expected</w:t>
      </w:r>
      <w:r w:rsidRPr="00283806">
        <w:rPr>
          <w:spacing w:val="18"/>
          <w:w w:val="105"/>
        </w:rPr>
        <w:t xml:space="preserve"> </w:t>
      </w:r>
      <w:r w:rsidRPr="00283806">
        <w:rPr>
          <w:spacing w:val="-5"/>
          <w:w w:val="105"/>
        </w:rPr>
        <w:t>to</w:t>
      </w:r>
      <w:r w:rsidRPr="00283806">
        <w:tab/>
      </w:r>
      <w:r w:rsidRPr="00283806">
        <w:rPr>
          <w:u w:val="single"/>
        </w:rPr>
        <w:tab/>
      </w:r>
    </w:p>
    <w:p w14:paraId="7E2D1BCD" w14:textId="77777777" w:rsidR="00D67C1E" w:rsidRPr="00283806" w:rsidRDefault="001265CA">
      <w:pPr>
        <w:pStyle w:val="BodyText"/>
        <w:spacing w:before="42" w:line="149" w:lineRule="exact"/>
      </w:pPr>
      <w:r w:rsidRPr="00283806">
        <w:br w:type="column"/>
      </w:r>
      <w:r w:rsidRPr="00283806">
        <w:rPr>
          <w:w w:val="105"/>
        </w:rPr>
        <w:t>TSD</w:t>
      </w:r>
      <w:r w:rsidRPr="00283806">
        <w:rPr>
          <w:spacing w:val="11"/>
          <w:w w:val="105"/>
        </w:rPr>
        <w:t xml:space="preserve"> </w:t>
      </w:r>
      <w:r w:rsidRPr="00283806">
        <w:rPr>
          <w:w w:val="105"/>
        </w:rPr>
        <w:t>estimates</w:t>
      </w:r>
      <w:r w:rsidRPr="00283806">
        <w:rPr>
          <w:spacing w:val="12"/>
          <w:w w:val="105"/>
        </w:rPr>
        <w:t xml:space="preserve"> </w:t>
      </w:r>
      <w:r w:rsidRPr="00283806">
        <w:rPr>
          <w:w w:val="105"/>
        </w:rPr>
        <w:t>that</w:t>
      </w:r>
      <w:r w:rsidRPr="00283806">
        <w:rPr>
          <w:spacing w:val="12"/>
          <w:w w:val="105"/>
        </w:rPr>
        <w:t xml:space="preserve"> </w:t>
      </w:r>
      <w:r w:rsidRPr="00283806">
        <w:rPr>
          <w:spacing w:val="-2"/>
          <w:w w:val="105"/>
        </w:rPr>
        <w:t>approximately</w:t>
      </w:r>
    </w:p>
    <w:p w14:paraId="239090F8" w14:textId="77777777" w:rsidR="00D67C1E" w:rsidRPr="00283806" w:rsidRDefault="00D67C1E">
      <w:pPr>
        <w:spacing w:line="149" w:lineRule="exact"/>
        <w:sectPr w:rsidR="00D67C1E" w:rsidRPr="00283806">
          <w:type w:val="continuous"/>
          <w:pgSz w:w="12240" w:h="15840"/>
          <w:pgMar w:top="880" w:right="780" w:bottom="280" w:left="740" w:header="627" w:footer="0" w:gutter="0"/>
          <w:cols w:num="2" w:space="720" w:equalWidth="0">
            <w:col w:w="4740" w:space="2339"/>
            <w:col w:w="3641"/>
          </w:cols>
        </w:sectPr>
      </w:pPr>
    </w:p>
    <w:p w14:paraId="7C16398E" w14:textId="77777777" w:rsidR="00D67C1E" w:rsidRPr="00283806" w:rsidRDefault="001265CA">
      <w:pPr>
        <w:pStyle w:val="BodyText"/>
        <w:spacing w:before="9" w:line="228" w:lineRule="auto"/>
        <w:ind w:right="1"/>
      </w:pPr>
      <w:r w:rsidRPr="00283806">
        <w:rPr>
          <w:w w:val="105"/>
        </w:rPr>
        <w:t>meet the estimated demand. Further,</w:t>
      </w:r>
      <w:r w:rsidRPr="00283806">
        <w:rPr>
          <w:spacing w:val="40"/>
          <w:w w:val="105"/>
        </w:rPr>
        <w:t xml:space="preserve"> </w:t>
      </w:r>
      <w:r w:rsidRPr="00283806">
        <w:rPr>
          <w:w w:val="105"/>
        </w:rPr>
        <w:t xml:space="preserve">EPA is focusing these </w:t>
      </w:r>
      <w:proofErr w:type="gramStart"/>
      <w:r w:rsidRPr="00283806">
        <w:rPr>
          <w:w w:val="105"/>
        </w:rPr>
        <w:t>requirements in</w:t>
      </w:r>
      <w:r w:rsidRPr="00283806">
        <w:rPr>
          <w:spacing w:val="40"/>
          <w:w w:val="105"/>
        </w:rPr>
        <w:t xml:space="preserve"> </w:t>
      </w:r>
      <w:r w:rsidRPr="00283806">
        <w:rPr>
          <w:w w:val="105"/>
        </w:rPr>
        <w:t>the final rule</w:t>
      </w:r>
      <w:proofErr w:type="gramEnd"/>
      <w:r w:rsidRPr="00283806">
        <w:rPr>
          <w:w w:val="105"/>
        </w:rPr>
        <w:t xml:space="preserve"> on servicing and/or </w:t>
      </w:r>
      <w:proofErr w:type="gramStart"/>
      <w:r w:rsidRPr="00283806">
        <w:rPr>
          <w:w w:val="105"/>
        </w:rPr>
        <w:t>repair of</w:t>
      </w:r>
      <w:proofErr w:type="gramEnd"/>
      <w:r w:rsidRPr="00283806">
        <w:rPr>
          <w:spacing w:val="8"/>
          <w:w w:val="105"/>
        </w:rPr>
        <w:t xml:space="preserve"> </w:t>
      </w:r>
      <w:r w:rsidRPr="00283806">
        <w:rPr>
          <w:w w:val="105"/>
        </w:rPr>
        <w:t>certain</w:t>
      </w:r>
      <w:r w:rsidRPr="00283806">
        <w:rPr>
          <w:spacing w:val="9"/>
          <w:w w:val="105"/>
        </w:rPr>
        <w:t xml:space="preserve"> </w:t>
      </w:r>
      <w:r w:rsidRPr="00283806">
        <w:rPr>
          <w:w w:val="105"/>
        </w:rPr>
        <w:t>existing</w:t>
      </w:r>
      <w:r w:rsidRPr="00283806">
        <w:rPr>
          <w:spacing w:val="8"/>
          <w:w w:val="105"/>
        </w:rPr>
        <w:t xml:space="preserve"> </w:t>
      </w:r>
      <w:r w:rsidRPr="00283806">
        <w:rPr>
          <w:w w:val="105"/>
        </w:rPr>
        <w:t>refrigerant-</w:t>
      </w:r>
      <w:r w:rsidRPr="00283806">
        <w:rPr>
          <w:spacing w:val="-2"/>
          <w:w w:val="105"/>
        </w:rPr>
        <w:t>containing</w:t>
      </w:r>
    </w:p>
    <w:p w14:paraId="7BAAF704" w14:textId="4F01DC84" w:rsidR="00D67C1E" w:rsidRPr="00283806" w:rsidRDefault="001265CA">
      <w:pPr>
        <w:spacing w:before="23" w:line="223" w:lineRule="auto"/>
        <w:ind w:left="160" w:right="38" w:firstLine="140"/>
        <w:rPr>
          <w:sz w:val="14"/>
        </w:rPr>
      </w:pPr>
      <w:r w:rsidRPr="00283806">
        <w:br w:type="column"/>
      </w:r>
      <w:r w:rsidRPr="00283806">
        <w:rPr>
          <w:w w:val="110"/>
          <w:position w:val="4"/>
          <w:sz w:val="9"/>
        </w:rPr>
        <w:t xml:space="preserve">100 </w:t>
      </w:r>
      <w:r w:rsidRPr="00283806">
        <w:rPr>
          <w:w w:val="110"/>
          <w:sz w:val="14"/>
        </w:rPr>
        <w:t>A-Gas (2023). A-Gas Breaks Ground on</w:t>
      </w:r>
      <w:r w:rsidRPr="00283806">
        <w:rPr>
          <w:spacing w:val="40"/>
          <w:w w:val="110"/>
          <w:sz w:val="14"/>
        </w:rPr>
        <w:t xml:space="preserve"> </w:t>
      </w:r>
      <w:r w:rsidRPr="00283806">
        <w:rPr>
          <w:sz w:val="14"/>
        </w:rPr>
        <w:t>Additional Market-Leading Refrigerant Separation</w:t>
      </w:r>
      <w:r w:rsidRPr="00283806">
        <w:rPr>
          <w:spacing w:val="80"/>
          <w:w w:val="110"/>
          <w:sz w:val="14"/>
        </w:rPr>
        <w:t xml:space="preserve"> </w:t>
      </w:r>
      <w:r w:rsidRPr="00283806">
        <w:rPr>
          <w:w w:val="110"/>
          <w:sz w:val="14"/>
        </w:rPr>
        <w:t xml:space="preserve">Technology. Available at: </w:t>
      </w:r>
      <w:r w:rsidRPr="00283806">
        <w:rPr>
          <w:rFonts w:ascii="Book Antiqua"/>
          <w:i/>
          <w:w w:val="110"/>
          <w:sz w:val="14"/>
        </w:rPr>
        <w:t>https://www.agas.com/</w:t>
      </w:r>
      <w:r w:rsidRPr="00283806">
        <w:rPr>
          <w:rFonts w:ascii="Book Antiqua"/>
          <w:i/>
          <w:spacing w:val="40"/>
          <w:w w:val="110"/>
          <w:sz w:val="14"/>
        </w:rPr>
        <w:t xml:space="preserve"> </w:t>
      </w:r>
      <w:r w:rsidRPr="00283806">
        <w:rPr>
          <w:rFonts w:ascii="Book Antiqua"/>
          <w:i/>
          <w:spacing w:val="-2"/>
          <w:w w:val="110"/>
          <w:sz w:val="14"/>
        </w:rPr>
        <w:t>news-insights/a-gas-breaks-ground-on-additional-</w:t>
      </w:r>
      <w:r w:rsidRPr="00283806">
        <w:rPr>
          <w:rFonts w:ascii="Book Antiqua"/>
          <w:i/>
          <w:spacing w:val="40"/>
          <w:w w:val="110"/>
          <w:sz w:val="14"/>
        </w:rPr>
        <w:t xml:space="preserve"> </w:t>
      </w:r>
      <w:r w:rsidRPr="00283806">
        <w:rPr>
          <w:rFonts w:ascii="Book Antiqua"/>
          <w:i/>
          <w:spacing w:val="-2"/>
          <w:w w:val="110"/>
          <w:sz w:val="14"/>
        </w:rPr>
        <w:t>market-leading-refrigerant-separation-technology/</w:t>
      </w:r>
      <w:r w:rsidRPr="00283806">
        <w:rPr>
          <w:spacing w:val="-2"/>
          <w:w w:val="110"/>
          <w:sz w:val="14"/>
        </w:rPr>
        <w:t>.</w:t>
      </w:r>
    </w:p>
    <w:p w14:paraId="68D34D29" w14:textId="77777777" w:rsidR="00D67C1E" w:rsidRPr="00283806" w:rsidRDefault="001265CA">
      <w:pPr>
        <w:pStyle w:val="BodyText"/>
        <w:spacing w:before="51"/>
      </w:pPr>
      <w:r w:rsidRPr="00283806">
        <w:br w:type="column"/>
      </w:r>
      <w:r w:rsidRPr="00283806">
        <w:rPr>
          <w:w w:val="105"/>
        </w:rPr>
        <w:t>12,168</w:t>
      </w:r>
      <w:r w:rsidRPr="00283806">
        <w:rPr>
          <w:spacing w:val="-2"/>
          <w:w w:val="105"/>
        </w:rPr>
        <w:t xml:space="preserve"> </w:t>
      </w:r>
      <w:r w:rsidRPr="00283806">
        <w:rPr>
          <w:w w:val="105"/>
        </w:rPr>
        <w:t>metric</w:t>
      </w:r>
      <w:r w:rsidRPr="00283806">
        <w:rPr>
          <w:spacing w:val="-2"/>
          <w:w w:val="105"/>
        </w:rPr>
        <w:t xml:space="preserve"> </w:t>
      </w:r>
      <w:r w:rsidRPr="00283806">
        <w:rPr>
          <w:w w:val="105"/>
        </w:rPr>
        <w:t>tons</w:t>
      </w:r>
      <w:r w:rsidRPr="00283806">
        <w:rPr>
          <w:spacing w:val="-2"/>
          <w:w w:val="105"/>
        </w:rPr>
        <w:t xml:space="preserve"> </w:t>
      </w:r>
      <w:r w:rsidRPr="00283806">
        <w:rPr>
          <w:w w:val="105"/>
        </w:rPr>
        <w:t>(26.8</w:t>
      </w:r>
      <w:r w:rsidRPr="00283806">
        <w:rPr>
          <w:spacing w:val="-2"/>
          <w:w w:val="105"/>
        </w:rPr>
        <w:t xml:space="preserve"> million</w:t>
      </w:r>
    </w:p>
    <w:p w14:paraId="0D440FB7" w14:textId="77777777" w:rsidR="00D67C1E" w:rsidRPr="00283806" w:rsidRDefault="001265CA">
      <w:pPr>
        <w:pStyle w:val="BodyText"/>
        <w:spacing w:before="9"/>
        <w:ind w:left="0"/>
        <w:rPr>
          <w:sz w:val="12"/>
        </w:rPr>
      </w:pPr>
      <w:r w:rsidRPr="00283806">
        <w:rPr>
          <w:noProof/>
        </w:rPr>
        <mc:AlternateContent>
          <mc:Choice Requires="wps">
            <w:drawing>
              <wp:anchor distT="0" distB="0" distL="0" distR="0" simplePos="0" relativeHeight="251656192" behindDoc="1" locked="0" layoutInCell="1" allowOverlap="1" wp14:anchorId="6CD1C466" wp14:editId="0D0E498D">
                <wp:simplePos x="0" y="0"/>
                <wp:positionH relativeFrom="page">
                  <wp:posOffset>5067300</wp:posOffset>
                </wp:positionH>
                <wp:positionV relativeFrom="paragraph">
                  <wp:posOffset>110905</wp:posOffset>
                </wp:positionV>
                <wp:extent cx="635000" cy="1270"/>
                <wp:effectExtent l="0" t="0" r="0" b="0"/>
                <wp:wrapTopAndBottom/>
                <wp:docPr id="87" name="Graphic 8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C5924FD" id="Graphic 87" o:spid="_x0000_s1026" alt="&quot;&quot;" style="position:absolute;margin-left:399pt;margin-top:8.75pt;width:50pt;height:.1pt;z-index:-251660288;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" path="m,l635000,e" filled="f" strokeweight=".5pt">
                <v:path arrowok="t"/>
                <w10:wrap type="topAndBottom" anchorx="page"/>
              </v:shape>
            </w:pict>
          </mc:Fallback>
        </mc:AlternateContent>
      </w:r>
    </w:p>
    <w:p w14:paraId="071B8F97" w14:textId="51912DA7" w:rsidR="00D67C1E" w:rsidRPr="00283806" w:rsidRDefault="001265CA">
      <w:pPr>
        <w:spacing w:before="45" w:line="223" w:lineRule="auto"/>
        <w:ind w:left="160" w:right="162" w:firstLine="140"/>
        <w:rPr>
          <w:sz w:val="14"/>
        </w:rPr>
      </w:pPr>
      <w:r w:rsidRPr="00283806">
        <w:rPr>
          <w:spacing w:val="-2"/>
          <w:w w:val="115"/>
          <w:position w:val="4"/>
          <w:sz w:val="9"/>
        </w:rPr>
        <w:t xml:space="preserve">101 </w:t>
      </w:r>
      <w:r w:rsidRPr="00283806">
        <w:rPr>
          <w:spacing w:val="-2"/>
          <w:w w:val="115"/>
          <w:sz w:val="14"/>
        </w:rPr>
        <w:t xml:space="preserve">Available at: </w:t>
      </w:r>
      <w:r w:rsidRPr="00283806">
        <w:rPr>
          <w:rFonts w:ascii="Book Antiqua"/>
          <w:i/>
          <w:spacing w:val="-2"/>
          <w:w w:val="115"/>
          <w:sz w:val="14"/>
        </w:rPr>
        <w:t>https://www.epa.gov/section608/</w:t>
      </w:r>
      <w:r w:rsidRPr="00283806">
        <w:rPr>
          <w:rFonts w:ascii="Book Antiqua"/>
          <w:i/>
          <w:spacing w:val="40"/>
          <w:w w:val="115"/>
          <w:sz w:val="14"/>
        </w:rPr>
        <w:t xml:space="preserve"> </w:t>
      </w:r>
      <w:r w:rsidRPr="00283806">
        <w:rPr>
          <w:rFonts w:ascii="Book Antiqua"/>
          <w:i/>
          <w:spacing w:val="-2"/>
          <w:w w:val="115"/>
          <w:sz w:val="14"/>
        </w:rPr>
        <w:t>summary-refrigerant-reclamation-trends</w:t>
      </w:r>
      <w:r w:rsidRPr="00283806">
        <w:rPr>
          <w:spacing w:val="-2"/>
          <w:w w:val="115"/>
          <w:sz w:val="14"/>
        </w:rPr>
        <w:t>.</w:t>
      </w:r>
    </w:p>
    <w:p w14:paraId="4760387F" w14:textId="77777777" w:rsidR="00D67C1E" w:rsidRPr="00283806" w:rsidRDefault="00D67C1E">
      <w:pPr>
        <w:spacing w:line="223" w:lineRule="auto"/>
        <w:rPr>
          <w:sz w:val="14"/>
        </w:rPr>
        <w:sectPr w:rsidR="00D67C1E" w:rsidRPr="00283806">
          <w:type w:val="continuous"/>
          <w:pgSz w:w="12240" w:h="15840"/>
          <w:pgMar w:top="880" w:right="780" w:bottom="280" w:left="740" w:header="627" w:footer="0" w:gutter="0"/>
          <w:cols w:num="3" w:space="720" w:equalWidth="0">
            <w:col w:w="3488" w:space="52"/>
            <w:col w:w="3465" w:space="75"/>
            <w:col w:w="3640"/>
          </w:cols>
        </w:sectPr>
      </w:pPr>
    </w:p>
    <w:p w14:paraId="51643328" w14:textId="77777777" w:rsidR="00D67C1E" w:rsidRPr="00283806" w:rsidRDefault="001265CA">
      <w:pPr>
        <w:pStyle w:val="BodyText"/>
        <w:spacing w:before="134" w:line="228" w:lineRule="auto"/>
        <w:ind w:left="159" w:right="20"/>
      </w:pPr>
      <w:proofErr w:type="gramStart"/>
      <w:r w:rsidRPr="00283806">
        <w:rPr>
          <w:w w:val="105"/>
        </w:rPr>
        <w:lastRenderedPageBreak/>
        <w:t xml:space="preserve">pounds) </w:t>
      </w:r>
      <w:r w:rsidRPr="00283806">
        <w:rPr>
          <w:w w:val="105"/>
          <w:position w:val="5"/>
          <w:sz w:val="11"/>
        </w:rPr>
        <w:t>102</w:t>
      </w:r>
      <w:proofErr w:type="gramEnd"/>
      <w:r w:rsidRPr="00283806">
        <w:rPr>
          <w:spacing w:val="40"/>
          <w:w w:val="105"/>
          <w:position w:val="5"/>
          <w:sz w:val="11"/>
        </w:rPr>
        <w:t xml:space="preserve"> </w:t>
      </w:r>
      <w:r w:rsidRPr="00283806">
        <w:rPr>
          <w:w w:val="105"/>
        </w:rPr>
        <w:t>of reclaimed HFCs will be needed to meet this demand in 2029</w:t>
      </w:r>
      <w:r w:rsidRPr="00283806">
        <w:rPr>
          <w:spacing w:val="80"/>
          <w:w w:val="150"/>
        </w:rPr>
        <w:t xml:space="preserve"> </w:t>
      </w:r>
      <w:r w:rsidRPr="00283806">
        <w:rPr>
          <w:w w:val="105"/>
        </w:rPr>
        <w:t>and that this amount will decline in future years due to the transitions to lower-GWP refrigerants under the 2023 Technology</w:t>
      </w:r>
      <w:r w:rsidRPr="00283806">
        <w:rPr>
          <w:spacing w:val="40"/>
          <w:w w:val="105"/>
        </w:rPr>
        <w:t xml:space="preserve"> </w:t>
      </w:r>
      <w:r w:rsidRPr="00283806">
        <w:rPr>
          <w:w w:val="105"/>
        </w:rPr>
        <w:t>Transitions</w:t>
      </w:r>
      <w:r w:rsidRPr="00283806">
        <w:rPr>
          <w:spacing w:val="40"/>
          <w:w w:val="105"/>
        </w:rPr>
        <w:t xml:space="preserve"> </w:t>
      </w:r>
      <w:r w:rsidRPr="00283806">
        <w:rPr>
          <w:w w:val="105"/>
        </w:rPr>
        <w:t>rule.</w:t>
      </w:r>
      <w:r w:rsidRPr="00283806">
        <w:rPr>
          <w:spacing w:val="40"/>
          <w:w w:val="105"/>
        </w:rPr>
        <w:t xml:space="preserve"> </w:t>
      </w:r>
      <w:r w:rsidRPr="00283806">
        <w:rPr>
          <w:w w:val="105"/>
        </w:rPr>
        <w:t>The Agency anticipates increased rates of reclamation of recovered refrigerants as the phasedown continues. EPA also</w:t>
      </w:r>
      <w:r w:rsidRPr="00283806">
        <w:rPr>
          <w:spacing w:val="80"/>
          <w:w w:val="105"/>
        </w:rPr>
        <w:t xml:space="preserve"> </w:t>
      </w:r>
      <w:r w:rsidRPr="00283806">
        <w:rPr>
          <w:w w:val="105"/>
        </w:rPr>
        <w:t>notes that there are several options available to reclaimers, including reclaiming the blends themselves, reclaiming individual HFCs that can be combined to form specific blends, and separating blends into individual components to meet demand of specific refrigerants. EPA also notes that in some cases, reclaimers may plan to stockpile recovered HFCs ahead of the AIM Act phasedown milestone in 2029.</w:t>
      </w:r>
    </w:p>
    <w:p w14:paraId="0C0B6944" w14:textId="77777777" w:rsidR="00D67C1E" w:rsidRPr="00283806" w:rsidRDefault="001265CA">
      <w:pPr>
        <w:pStyle w:val="BodyText"/>
        <w:spacing w:line="228" w:lineRule="auto"/>
        <w:ind w:left="159" w:right="114"/>
      </w:pPr>
      <w:r w:rsidRPr="00283806">
        <w:rPr>
          <w:w w:val="105"/>
        </w:rPr>
        <w:t xml:space="preserve">Stockpiling both virgin and reclaimed refrigerants ahead of phasedown steps has been a common practice both with regards to the ODS phaseout and thus far with implementation of the HFC </w:t>
      </w:r>
      <w:r w:rsidRPr="00283806">
        <w:rPr>
          <w:spacing w:val="-2"/>
          <w:w w:val="105"/>
        </w:rPr>
        <w:t>phasedown.</w:t>
      </w:r>
    </w:p>
    <w:p w14:paraId="2CD2001D" w14:textId="77777777" w:rsidR="00D67C1E" w:rsidRPr="00283806" w:rsidRDefault="001265CA">
      <w:pPr>
        <w:pStyle w:val="BodyText"/>
        <w:spacing w:line="228" w:lineRule="auto"/>
        <w:ind w:left="159" w:firstLine="180"/>
      </w:pPr>
      <w:r w:rsidRPr="00283806">
        <w:rPr>
          <w:w w:val="105"/>
        </w:rPr>
        <w:t>EPA</w:t>
      </w:r>
      <w:r w:rsidRPr="00283806">
        <w:rPr>
          <w:spacing w:val="40"/>
          <w:w w:val="105"/>
        </w:rPr>
        <w:t xml:space="preserve"> </w:t>
      </w:r>
      <w:r w:rsidRPr="00283806">
        <w:rPr>
          <w:w w:val="105"/>
        </w:rPr>
        <w:t>does</w:t>
      </w:r>
      <w:r w:rsidRPr="00283806">
        <w:rPr>
          <w:spacing w:val="40"/>
          <w:w w:val="105"/>
        </w:rPr>
        <w:t xml:space="preserve"> </w:t>
      </w:r>
      <w:r w:rsidRPr="00283806">
        <w:rPr>
          <w:w w:val="105"/>
        </w:rPr>
        <w:t>not</w:t>
      </w:r>
      <w:r w:rsidRPr="00283806">
        <w:rPr>
          <w:spacing w:val="40"/>
          <w:w w:val="105"/>
        </w:rPr>
        <w:t xml:space="preserve"> </w:t>
      </w:r>
      <w:r w:rsidRPr="00283806">
        <w:rPr>
          <w:w w:val="105"/>
        </w:rPr>
        <w:t>assume</w:t>
      </w:r>
      <w:r w:rsidRPr="00283806">
        <w:rPr>
          <w:spacing w:val="40"/>
          <w:w w:val="105"/>
        </w:rPr>
        <w:t xml:space="preserve"> </w:t>
      </w:r>
      <w:r w:rsidRPr="00283806">
        <w:rPr>
          <w:w w:val="105"/>
        </w:rPr>
        <w:t>that</w:t>
      </w:r>
      <w:r w:rsidRPr="00283806">
        <w:rPr>
          <w:spacing w:val="40"/>
          <w:w w:val="105"/>
        </w:rPr>
        <w:t xml:space="preserve"> </w:t>
      </w:r>
      <w:r w:rsidRPr="00283806">
        <w:rPr>
          <w:w w:val="105"/>
        </w:rPr>
        <w:t>all</w:t>
      </w:r>
      <w:r w:rsidRPr="00283806">
        <w:rPr>
          <w:spacing w:val="40"/>
          <w:w w:val="105"/>
        </w:rPr>
        <w:t xml:space="preserve"> </w:t>
      </w:r>
      <w:r w:rsidRPr="00283806">
        <w:rPr>
          <w:w w:val="105"/>
        </w:rPr>
        <w:t>HFCs are recovered and reclaimed. For example, some HFCs are used in other sectors, such as foams or aerosols,</w:t>
      </w:r>
      <w:r w:rsidRPr="00283806">
        <w:rPr>
          <w:spacing w:val="80"/>
          <w:w w:val="150"/>
        </w:rPr>
        <w:t xml:space="preserve"> </w:t>
      </w:r>
      <w:r w:rsidRPr="00283806">
        <w:rPr>
          <w:w w:val="105"/>
        </w:rPr>
        <w:t>where the HFCs are not typically recovered or their use is, by nature, emissive, respectively. Further, HFCs in refrigerant-containing equipment may leak, reducing the amount that is recoverable at the piece of equipment’s EOL. In the Economic Impact and</w:t>
      </w:r>
      <w:r w:rsidRPr="00283806">
        <w:rPr>
          <w:spacing w:val="40"/>
          <w:w w:val="105"/>
        </w:rPr>
        <w:t xml:space="preserve"> </w:t>
      </w:r>
      <w:r w:rsidRPr="00283806">
        <w:rPr>
          <w:w w:val="105"/>
        </w:rPr>
        <w:t xml:space="preserve">Benefits TSD, EPA estimates in </w:t>
      </w:r>
      <w:proofErr w:type="gramStart"/>
      <w:r w:rsidRPr="00283806">
        <w:rPr>
          <w:w w:val="105"/>
        </w:rPr>
        <w:t>2029,</w:t>
      </w:r>
      <w:proofErr w:type="gramEnd"/>
      <w:r w:rsidRPr="00283806">
        <w:rPr>
          <w:spacing w:val="80"/>
          <w:w w:val="105"/>
        </w:rPr>
        <w:t xml:space="preserve"> </w:t>
      </w:r>
      <w:r w:rsidRPr="00283806">
        <w:rPr>
          <w:w w:val="105"/>
        </w:rPr>
        <w:t>that the amount of HFC refrigerants available to be recovered (after accounting for the factors above) from refrigerant-containing equipment will be 35,458 metric tons (78.2 million</w:t>
      </w:r>
      <w:r w:rsidRPr="00283806">
        <w:rPr>
          <w:spacing w:val="80"/>
          <w:w w:val="105"/>
        </w:rPr>
        <w:t xml:space="preserve"> </w:t>
      </w:r>
      <w:r w:rsidRPr="00283806">
        <w:rPr>
          <w:w w:val="105"/>
        </w:rPr>
        <w:t>pounds). If all HFC refrigerants available for recovery in refrigerant-containing equipment are in fact recovered and reclaimed, EPA notes that this amount represents nearly three times the estimated servicing demand of</w:t>
      </w:r>
      <w:r w:rsidRPr="00283806">
        <w:rPr>
          <w:spacing w:val="80"/>
          <w:w w:val="105"/>
        </w:rPr>
        <w:t xml:space="preserve"> </w:t>
      </w:r>
      <w:r w:rsidRPr="00283806">
        <w:rPr>
          <w:w w:val="105"/>
        </w:rPr>
        <w:t>reclaimed HFCs for refrigerant- containing equipment in the affected subsectors in 2029. However, even if a substantially lower share (</w:t>
      </w:r>
      <w:r w:rsidRPr="00283806">
        <w:rPr>
          <w:rFonts w:ascii="Book Antiqua" w:hAnsi="Book Antiqua"/>
          <w:i/>
          <w:w w:val="105"/>
        </w:rPr>
        <w:t xml:space="preserve">e.g., </w:t>
      </w:r>
      <w:r w:rsidRPr="00283806">
        <w:rPr>
          <w:w w:val="105"/>
        </w:rPr>
        <w:t xml:space="preserve">approximately one third) of what is available for recovery </w:t>
      </w:r>
      <w:proofErr w:type="gramStart"/>
      <w:r w:rsidRPr="00283806">
        <w:rPr>
          <w:w w:val="105"/>
        </w:rPr>
        <w:t>in a given year</w:t>
      </w:r>
      <w:proofErr w:type="gramEnd"/>
      <w:r w:rsidRPr="00283806">
        <w:rPr>
          <w:w w:val="105"/>
        </w:rPr>
        <w:t xml:space="preserve"> is </w:t>
      </w:r>
      <w:proofErr w:type="gramStart"/>
      <w:r w:rsidRPr="00283806">
        <w:rPr>
          <w:w w:val="105"/>
        </w:rPr>
        <w:t>actually</w:t>
      </w:r>
      <w:r w:rsidRPr="00283806">
        <w:rPr>
          <w:spacing w:val="40"/>
          <w:w w:val="105"/>
        </w:rPr>
        <w:t xml:space="preserve"> </w:t>
      </w:r>
      <w:r w:rsidRPr="00283806">
        <w:rPr>
          <w:w w:val="105"/>
        </w:rPr>
        <w:t>reclaimed</w:t>
      </w:r>
      <w:proofErr w:type="gramEnd"/>
      <w:r w:rsidRPr="00283806">
        <w:rPr>
          <w:w w:val="105"/>
        </w:rPr>
        <w:t>,</w:t>
      </w:r>
      <w:r w:rsidRPr="00283806">
        <w:rPr>
          <w:spacing w:val="40"/>
          <w:w w:val="105"/>
        </w:rPr>
        <w:t xml:space="preserve"> </w:t>
      </w:r>
      <w:proofErr w:type="gramStart"/>
      <w:r w:rsidRPr="00283806">
        <w:rPr>
          <w:w w:val="105"/>
        </w:rPr>
        <w:t>sufficient</w:t>
      </w:r>
      <w:r w:rsidRPr="00283806">
        <w:rPr>
          <w:spacing w:val="40"/>
          <w:w w:val="105"/>
        </w:rPr>
        <w:t xml:space="preserve"> </w:t>
      </w:r>
      <w:r w:rsidRPr="00283806">
        <w:rPr>
          <w:w w:val="105"/>
        </w:rPr>
        <w:t>amounts</w:t>
      </w:r>
      <w:r w:rsidRPr="00283806">
        <w:rPr>
          <w:spacing w:val="40"/>
          <w:w w:val="105"/>
        </w:rPr>
        <w:t xml:space="preserve"> </w:t>
      </w:r>
      <w:r w:rsidRPr="00283806">
        <w:rPr>
          <w:w w:val="105"/>
        </w:rPr>
        <w:t>of</w:t>
      </w:r>
      <w:proofErr w:type="gramEnd"/>
      <w:r w:rsidRPr="00283806">
        <w:rPr>
          <w:w w:val="105"/>
        </w:rPr>
        <w:t xml:space="preserve"> reclaimed refrigerant would be available to meet the rule’s</w:t>
      </w:r>
      <w:r w:rsidRPr="00283806">
        <w:rPr>
          <w:spacing w:val="80"/>
          <w:w w:val="105"/>
        </w:rPr>
        <w:t xml:space="preserve"> </w:t>
      </w:r>
      <w:r w:rsidRPr="00283806">
        <w:rPr>
          <w:w w:val="105"/>
        </w:rPr>
        <w:t>requirements. Further, this assessment does not consider the amount of recoverable HFC refrigerants that are available</w:t>
      </w:r>
      <w:r w:rsidRPr="00283806">
        <w:rPr>
          <w:spacing w:val="40"/>
          <w:w w:val="105"/>
        </w:rPr>
        <w:t xml:space="preserve"> </w:t>
      </w:r>
      <w:r w:rsidRPr="00283806">
        <w:rPr>
          <w:w w:val="105"/>
        </w:rPr>
        <w:t>in</w:t>
      </w:r>
      <w:r w:rsidRPr="00283806">
        <w:rPr>
          <w:spacing w:val="40"/>
          <w:w w:val="105"/>
        </w:rPr>
        <w:t xml:space="preserve"> </w:t>
      </w:r>
      <w:r w:rsidRPr="00283806">
        <w:rPr>
          <w:w w:val="105"/>
        </w:rPr>
        <w:t>the</w:t>
      </w:r>
      <w:r w:rsidRPr="00283806">
        <w:rPr>
          <w:spacing w:val="40"/>
          <w:w w:val="105"/>
        </w:rPr>
        <w:t xml:space="preserve"> </w:t>
      </w:r>
      <w:r w:rsidRPr="00283806">
        <w:rPr>
          <w:w w:val="105"/>
        </w:rPr>
        <w:t>years</w:t>
      </w:r>
      <w:r w:rsidRPr="00283806">
        <w:rPr>
          <w:spacing w:val="40"/>
          <w:w w:val="105"/>
        </w:rPr>
        <w:t xml:space="preserve"> </w:t>
      </w:r>
      <w:r w:rsidRPr="00283806">
        <w:rPr>
          <w:w w:val="105"/>
        </w:rPr>
        <w:t>leading</w:t>
      </w:r>
      <w:r w:rsidRPr="00283806">
        <w:rPr>
          <w:spacing w:val="40"/>
          <w:w w:val="105"/>
        </w:rPr>
        <w:t xml:space="preserve"> </w:t>
      </w:r>
      <w:r w:rsidRPr="00283806">
        <w:rPr>
          <w:w w:val="105"/>
        </w:rPr>
        <w:t>up</w:t>
      </w:r>
      <w:r w:rsidRPr="00283806">
        <w:rPr>
          <w:spacing w:val="40"/>
          <w:w w:val="105"/>
        </w:rPr>
        <w:t xml:space="preserve"> </w:t>
      </w:r>
      <w:r w:rsidRPr="00283806">
        <w:rPr>
          <w:w w:val="105"/>
        </w:rPr>
        <w:t>to 2029. EPA understands that it is</w:t>
      </w:r>
    </w:p>
    <w:p w14:paraId="0F5B2B09" w14:textId="77777777" w:rsidR="00D67C1E" w:rsidRPr="00283806" w:rsidRDefault="001265CA">
      <w:pPr>
        <w:pStyle w:val="BodyText"/>
        <w:spacing w:before="133" w:line="228" w:lineRule="auto"/>
        <w:ind w:left="142" w:right="27"/>
      </w:pPr>
      <w:r w:rsidRPr="00283806">
        <w:br w:type="column"/>
      </w:r>
      <w:r w:rsidRPr="00283806">
        <w:rPr>
          <w:w w:val="105"/>
        </w:rPr>
        <w:t xml:space="preserve">common practice for reclaimers to stockpile recovered refrigerants and reclaim them when most efficient or opportune. Thus, EPA anticipates that reclaimers will be securing </w:t>
      </w:r>
      <w:proofErr w:type="gramStart"/>
      <w:r w:rsidRPr="00283806">
        <w:rPr>
          <w:w w:val="105"/>
        </w:rPr>
        <w:t>sufficient amounts of</w:t>
      </w:r>
      <w:proofErr w:type="gramEnd"/>
      <w:r w:rsidRPr="00283806">
        <w:rPr>
          <w:w w:val="105"/>
        </w:rPr>
        <w:t xml:space="preserve"> recovered HFC refrigerants</w:t>
      </w:r>
      <w:r w:rsidRPr="00283806">
        <w:rPr>
          <w:spacing w:val="40"/>
          <w:w w:val="105"/>
        </w:rPr>
        <w:t xml:space="preserve"> </w:t>
      </w:r>
      <w:r w:rsidRPr="00283806">
        <w:rPr>
          <w:w w:val="105"/>
        </w:rPr>
        <w:t>to reclaim to meet the estimated</w:t>
      </w:r>
      <w:r w:rsidRPr="00283806">
        <w:rPr>
          <w:spacing w:val="80"/>
          <w:w w:val="105"/>
        </w:rPr>
        <w:t xml:space="preserve"> </w:t>
      </w:r>
      <w:r w:rsidRPr="00283806">
        <w:rPr>
          <w:w w:val="105"/>
        </w:rPr>
        <w:t>demand in 2029. EPA also expects that the HFC reclamation market will</w:t>
      </w:r>
      <w:r w:rsidRPr="00283806">
        <w:rPr>
          <w:spacing w:val="40"/>
          <w:w w:val="105"/>
        </w:rPr>
        <w:t xml:space="preserve"> </w:t>
      </w:r>
      <w:r w:rsidRPr="00283806">
        <w:rPr>
          <w:w w:val="105"/>
        </w:rPr>
        <w:t>increase in future years as more refrigeration and air conditioning equipment using HFC refrigerants reach their EOL, and more HFCs are</w:t>
      </w:r>
      <w:r w:rsidRPr="00283806">
        <w:rPr>
          <w:spacing w:val="80"/>
          <w:w w:val="105"/>
        </w:rPr>
        <w:t xml:space="preserve"> </w:t>
      </w:r>
      <w:r w:rsidRPr="00283806">
        <w:rPr>
          <w:w w:val="105"/>
        </w:rPr>
        <w:t>potentially available for recovery and reclamation. CAA title VI prohibited the use of HCFC–22 in new air conditioning and refrigeration equipment starting in 2010, facilitating manufacturers to transition to use ODS substitutes— including, HFCs. That market shift</w:t>
      </w:r>
      <w:r w:rsidRPr="00283806">
        <w:rPr>
          <w:spacing w:val="80"/>
          <w:w w:val="150"/>
        </w:rPr>
        <w:t xml:space="preserve"> </w:t>
      </w:r>
      <w:r w:rsidRPr="00283806">
        <w:rPr>
          <w:w w:val="105"/>
        </w:rPr>
        <w:t xml:space="preserve">nearly 15 years ago means that today we are just starting to see certain HFC- containing equipment reach its EOL. Going forward, we will see an increased amount of HFC-containing equipment reach its EOL, which will impact the amount of HFCs available for recovery. EPA also notes that the Agency is establishing a two-time reporting requirement to gather information and better understand the landscape for reclaimed HFC availability for the affected RACHP subsectors in 2026 and 2027, leading up to the compliance date of January 1, 2029. The Agency will review this information and may consider proposing changes to the requirements for reclaimed HFCs, if </w:t>
      </w:r>
      <w:r w:rsidRPr="00283806">
        <w:rPr>
          <w:spacing w:val="-2"/>
          <w:w w:val="105"/>
        </w:rPr>
        <w:t>warranted.</w:t>
      </w:r>
    </w:p>
    <w:p w14:paraId="378EAB39" w14:textId="77777777" w:rsidR="00D67C1E" w:rsidRPr="00283806" w:rsidRDefault="001265CA">
      <w:pPr>
        <w:pStyle w:val="BodyText"/>
        <w:spacing w:before="41" w:line="228" w:lineRule="auto"/>
        <w:ind w:left="142" w:firstLine="180"/>
        <w:rPr>
          <w:rFonts w:ascii="Book Antiqua"/>
          <w:i/>
        </w:rPr>
      </w:pPr>
      <w:r w:rsidRPr="00283806">
        <w:rPr>
          <w:w w:val="105"/>
        </w:rPr>
        <w:t>EPA notes that the amount of</w:t>
      </w:r>
      <w:r w:rsidRPr="00283806">
        <w:rPr>
          <w:spacing w:val="40"/>
          <w:w w:val="105"/>
        </w:rPr>
        <w:t xml:space="preserve"> </w:t>
      </w:r>
      <w:r w:rsidRPr="00283806">
        <w:rPr>
          <w:w w:val="105"/>
        </w:rPr>
        <w:t>reclaimed HFCs increased over 40 percent from 2021 to 2022 and</w:t>
      </w:r>
      <w:r w:rsidRPr="00283806">
        <w:rPr>
          <w:spacing w:val="80"/>
          <w:w w:val="105"/>
        </w:rPr>
        <w:t xml:space="preserve"> </w:t>
      </w:r>
      <w:r w:rsidRPr="00283806">
        <w:rPr>
          <w:w w:val="105"/>
        </w:rPr>
        <w:t>increased</w:t>
      </w:r>
      <w:r w:rsidRPr="00283806">
        <w:rPr>
          <w:spacing w:val="-5"/>
          <w:w w:val="105"/>
        </w:rPr>
        <w:t xml:space="preserve"> </w:t>
      </w:r>
      <w:r w:rsidRPr="00283806">
        <w:rPr>
          <w:w w:val="105"/>
        </w:rPr>
        <w:t>a</w:t>
      </w:r>
      <w:r w:rsidRPr="00283806">
        <w:rPr>
          <w:spacing w:val="-5"/>
          <w:w w:val="105"/>
        </w:rPr>
        <w:t xml:space="preserve"> </w:t>
      </w:r>
      <w:r w:rsidRPr="00283806">
        <w:rPr>
          <w:w w:val="105"/>
        </w:rPr>
        <w:t>further</w:t>
      </w:r>
      <w:r w:rsidRPr="00283806">
        <w:rPr>
          <w:spacing w:val="-5"/>
          <w:w w:val="105"/>
        </w:rPr>
        <w:t xml:space="preserve"> </w:t>
      </w:r>
      <w:r w:rsidRPr="00283806">
        <w:rPr>
          <w:w w:val="105"/>
        </w:rPr>
        <w:t>20</w:t>
      </w:r>
      <w:r w:rsidRPr="00283806">
        <w:rPr>
          <w:spacing w:val="-5"/>
          <w:w w:val="105"/>
        </w:rPr>
        <w:t xml:space="preserve"> </w:t>
      </w:r>
      <w:r w:rsidRPr="00283806">
        <w:rPr>
          <w:w w:val="105"/>
        </w:rPr>
        <w:t>percent</w:t>
      </w:r>
      <w:r w:rsidRPr="00283806">
        <w:rPr>
          <w:spacing w:val="-5"/>
          <w:w w:val="105"/>
        </w:rPr>
        <w:t xml:space="preserve"> </w:t>
      </w:r>
      <w:r w:rsidRPr="00283806">
        <w:rPr>
          <w:w w:val="105"/>
        </w:rPr>
        <w:t>from</w:t>
      </w:r>
      <w:r w:rsidRPr="00283806">
        <w:rPr>
          <w:spacing w:val="-5"/>
          <w:w w:val="105"/>
        </w:rPr>
        <w:t xml:space="preserve"> </w:t>
      </w:r>
      <w:r w:rsidRPr="00283806">
        <w:rPr>
          <w:w w:val="105"/>
        </w:rPr>
        <w:t>2022 to 2023.</w:t>
      </w:r>
      <w:r w:rsidRPr="00283806">
        <w:rPr>
          <w:w w:val="105"/>
          <w:position w:val="5"/>
          <w:sz w:val="11"/>
        </w:rPr>
        <w:t>103</w:t>
      </w:r>
      <w:r w:rsidRPr="00283806">
        <w:rPr>
          <w:spacing w:val="40"/>
          <w:w w:val="105"/>
          <w:position w:val="5"/>
          <w:sz w:val="11"/>
        </w:rPr>
        <w:t xml:space="preserve"> </w:t>
      </w:r>
      <w:r w:rsidRPr="00283806">
        <w:rPr>
          <w:w w:val="105"/>
        </w:rPr>
        <w:t>These year-over-year increases may suggest that the reclamation market for HFCs is continually becoming more robust. EPA included an analysis of recent trends in reclamation totals and anticipated</w:t>
      </w:r>
      <w:r w:rsidRPr="00283806">
        <w:rPr>
          <w:spacing w:val="40"/>
          <w:w w:val="105"/>
        </w:rPr>
        <w:t xml:space="preserve"> </w:t>
      </w:r>
      <w:r w:rsidRPr="00283806">
        <w:rPr>
          <w:w w:val="105"/>
        </w:rPr>
        <w:t>growth related to the requirements in</w:t>
      </w:r>
      <w:r w:rsidRPr="00283806">
        <w:rPr>
          <w:spacing w:val="40"/>
          <w:w w:val="105"/>
        </w:rPr>
        <w:t xml:space="preserve"> </w:t>
      </w:r>
      <w:r w:rsidRPr="00283806">
        <w:rPr>
          <w:w w:val="105"/>
        </w:rPr>
        <w:t xml:space="preserve">this final rule in the report available in the docket of this action, </w:t>
      </w:r>
      <w:r w:rsidRPr="00283806">
        <w:rPr>
          <w:rFonts w:ascii="Book Antiqua"/>
          <w:i/>
          <w:w w:val="105"/>
        </w:rPr>
        <w:t>Analysis of the</w:t>
      </w:r>
    </w:p>
    <w:p w14:paraId="774B70F6" w14:textId="77777777" w:rsidR="00D67C1E" w:rsidRPr="00283806" w:rsidRDefault="001265CA">
      <w:pPr>
        <w:spacing w:line="225" w:lineRule="auto"/>
        <w:ind w:left="142" w:right="88"/>
        <w:rPr>
          <w:sz w:val="18"/>
        </w:rPr>
      </w:pPr>
      <w:r w:rsidRPr="00283806">
        <w:rPr>
          <w:rFonts w:ascii="Book Antiqua"/>
          <w:i/>
          <w:w w:val="105"/>
          <w:sz w:val="18"/>
        </w:rPr>
        <w:t>U.S. Hydrofluorocarbon Reclamation</w:t>
      </w:r>
      <w:r w:rsidRPr="00283806">
        <w:rPr>
          <w:rFonts w:ascii="Book Antiqua"/>
          <w:i/>
          <w:spacing w:val="40"/>
          <w:w w:val="105"/>
          <w:sz w:val="18"/>
        </w:rPr>
        <w:t xml:space="preserve"> </w:t>
      </w:r>
      <w:r w:rsidRPr="00283806">
        <w:rPr>
          <w:rFonts w:ascii="Book Antiqua"/>
          <w:i/>
          <w:w w:val="105"/>
          <w:sz w:val="18"/>
        </w:rPr>
        <w:t xml:space="preserve">Market: Stakeholders, Drivers, and Practices. </w:t>
      </w:r>
      <w:r w:rsidRPr="00283806">
        <w:rPr>
          <w:w w:val="105"/>
          <w:sz w:val="18"/>
        </w:rPr>
        <w:t>The analysis finds that even assuming a linear and conservative growth trajectory, reclamation totals approach the expected demand for</w:t>
      </w:r>
      <w:r w:rsidRPr="00283806">
        <w:rPr>
          <w:spacing w:val="80"/>
          <w:w w:val="105"/>
          <w:sz w:val="18"/>
        </w:rPr>
        <w:t xml:space="preserve"> </w:t>
      </w:r>
      <w:r w:rsidRPr="00283806">
        <w:rPr>
          <w:w w:val="105"/>
          <w:sz w:val="18"/>
        </w:rPr>
        <w:t xml:space="preserve">2029. However, EPA notes that reclamation totals </w:t>
      </w:r>
      <w:proofErr w:type="gramStart"/>
      <w:r w:rsidRPr="00283806">
        <w:rPr>
          <w:w w:val="105"/>
          <w:sz w:val="18"/>
        </w:rPr>
        <w:t>in reality are</w:t>
      </w:r>
      <w:proofErr w:type="gramEnd"/>
      <w:r w:rsidRPr="00283806">
        <w:rPr>
          <w:w w:val="105"/>
          <w:sz w:val="18"/>
        </w:rPr>
        <w:t xml:space="preserve"> unlikely to follow a linear growth trend, and that growth in capacity may increase at a significantly higher rate due to the</w:t>
      </w:r>
    </w:p>
    <w:p w14:paraId="2439839B" w14:textId="77777777" w:rsidR="00D67C1E" w:rsidRPr="00283806" w:rsidRDefault="001265CA">
      <w:pPr>
        <w:pStyle w:val="BodyText"/>
        <w:spacing w:before="136" w:line="225" w:lineRule="auto"/>
        <w:ind w:left="144" w:right="121"/>
      </w:pPr>
      <w:r w:rsidRPr="00283806">
        <w:br w:type="column"/>
      </w:r>
      <w:r w:rsidRPr="00283806">
        <w:rPr>
          <w:w w:val="105"/>
        </w:rPr>
        <w:t>coming online.</w:t>
      </w:r>
      <w:r w:rsidRPr="00283806">
        <w:rPr>
          <w:w w:val="105"/>
          <w:position w:val="5"/>
          <w:sz w:val="11"/>
        </w:rPr>
        <w:t>104</w:t>
      </w:r>
      <w:r w:rsidRPr="00283806">
        <w:rPr>
          <w:spacing w:val="40"/>
          <w:w w:val="105"/>
          <w:position w:val="5"/>
          <w:sz w:val="11"/>
        </w:rPr>
        <w:t xml:space="preserve"> </w:t>
      </w:r>
      <w:r w:rsidRPr="00283806">
        <w:rPr>
          <w:w w:val="105"/>
        </w:rPr>
        <w:t>EPA notes that the</w:t>
      </w:r>
      <w:r w:rsidRPr="00283806">
        <w:rPr>
          <w:spacing w:val="40"/>
          <w:w w:val="105"/>
        </w:rPr>
        <w:t xml:space="preserve"> </w:t>
      </w:r>
      <w:r w:rsidRPr="00283806">
        <w:rPr>
          <w:w w:val="105"/>
        </w:rPr>
        <w:t>year-over-year increases in 2022 and 2023</w:t>
      </w:r>
      <w:r w:rsidRPr="00283806">
        <w:rPr>
          <w:spacing w:val="-2"/>
          <w:w w:val="105"/>
        </w:rPr>
        <w:t xml:space="preserve"> </w:t>
      </w:r>
      <w:r w:rsidRPr="00283806">
        <w:rPr>
          <w:w w:val="105"/>
        </w:rPr>
        <w:t>are</w:t>
      </w:r>
      <w:r w:rsidRPr="00283806">
        <w:rPr>
          <w:spacing w:val="-2"/>
          <w:w w:val="105"/>
        </w:rPr>
        <w:t xml:space="preserve"> </w:t>
      </w:r>
      <w:r w:rsidRPr="00283806">
        <w:rPr>
          <w:w w:val="105"/>
        </w:rPr>
        <w:t>absent</w:t>
      </w:r>
      <w:r w:rsidRPr="00283806">
        <w:rPr>
          <w:spacing w:val="-2"/>
          <w:w w:val="105"/>
        </w:rPr>
        <w:t xml:space="preserve"> </w:t>
      </w:r>
      <w:r w:rsidRPr="00283806">
        <w:rPr>
          <w:w w:val="105"/>
        </w:rPr>
        <w:t>additional</w:t>
      </w:r>
      <w:r w:rsidRPr="00283806">
        <w:rPr>
          <w:spacing w:val="-2"/>
          <w:w w:val="105"/>
        </w:rPr>
        <w:t xml:space="preserve"> </w:t>
      </w:r>
      <w:r w:rsidRPr="00283806">
        <w:rPr>
          <w:w w:val="105"/>
        </w:rPr>
        <w:t>regulations</w:t>
      </w:r>
      <w:r w:rsidRPr="00283806">
        <w:rPr>
          <w:spacing w:val="-2"/>
          <w:w w:val="105"/>
        </w:rPr>
        <w:t xml:space="preserve"> </w:t>
      </w:r>
      <w:r w:rsidRPr="00283806">
        <w:rPr>
          <w:w w:val="105"/>
        </w:rPr>
        <w:t>to maximize</w:t>
      </w:r>
      <w:r w:rsidRPr="00283806">
        <w:rPr>
          <w:spacing w:val="40"/>
          <w:w w:val="105"/>
        </w:rPr>
        <w:t xml:space="preserve"> </w:t>
      </w:r>
      <w:r w:rsidRPr="00283806">
        <w:rPr>
          <w:w w:val="105"/>
        </w:rPr>
        <w:t>reclamation,</w:t>
      </w:r>
      <w:r w:rsidRPr="00283806">
        <w:rPr>
          <w:spacing w:val="40"/>
          <w:w w:val="105"/>
        </w:rPr>
        <w:t xml:space="preserve"> </w:t>
      </w:r>
      <w:r w:rsidRPr="00283806">
        <w:rPr>
          <w:w w:val="105"/>
        </w:rPr>
        <w:t>which</w:t>
      </w:r>
      <w:r w:rsidRPr="00283806">
        <w:rPr>
          <w:spacing w:val="40"/>
          <w:w w:val="105"/>
        </w:rPr>
        <w:t xml:space="preserve"> </w:t>
      </w:r>
      <w:r w:rsidRPr="00283806">
        <w:rPr>
          <w:w w:val="105"/>
        </w:rPr>
        <w:t>this</w:t>
      </w:r>
      <w:r w:rsidRPr="00283806">
        <w:rPr>
          <w:spacing w:val="40"/>
          <w:w w:val="105"/>
        </w:rPr>
        <w:t xml:space="preserve"> </w:t>
      </w:r>
      <w:r w:rsidRPr="00283806">
        <w:rPr>
          <w:w w:val="105"/>
        </w:rPr>
        <w:t>rule is establishing. EPA also notes that the phasedown</w:t>
      </w:r>
      <w:r w:rsidRPr="00283806">
        <w:rPr>
          <w:spacing w:val="40"/>
          <w:w w:val="105"/>
        </w:rPr>
        <w:t xml:space="preserve"> </w:t>
      </w:r>
      <w:r w:rsidRPr="00283806">
        <w:rPr>
          <w:w w:val="105"/>
        </w:rPr>
        <w:t>may</w:t>
      </w:r>
      <w:r w:rsidRPr="00283806">
        <w:rPr>
          <w:spacing w:val="40"/>
          <w:w w:val="105"/>
        </w:rPr>
        <w:t xml:space="preserve"> </w:t>
      </w:r>
      <w:r w:rsidRPr="00283806">
        <w:rPr>
          <w:w w:val="105"/>
        </w:rPr>
        <w:t>have</w:t>
      </w:r>
      <w:r w:rsidRPr="00283806">
        <w:rPr>
          <w:spacing w:val="40"/>
          <w:w w:val="105"/>
        </w:rPr>
        <w:t xml:space="preserve"> </w:t>
      </w:r>
      <w:r w:rsidRPr="00283806">
        <w:rPr>
          <w:w w:val="105"/>
        </w:rPr>
        <w:t>had</w:t>
      </w:r>
      <w:r w:rsidRPr="00283806">
        <w:rPr>
          <w:spacing w:val="40"/>
          <w:w w:val="105"/>
        </w:rPr>
        <w:t xml:space="preserve"> </w:t>
      </w:r>
      <w:r w:rsidRPr="00283806">
        <w:rPr>
          <w:w w:val="105"/>
        </w:rPr>
        <w:t>some</w:t>
      </w:r>
      <w:r w:rsidRPr="00283806">
        <w:rPr>
          <w:spacing w:val="40"/>
          <w:w w:val="105"/>
        </w:rPr>
        <w:t xml:space="preserve"> </w:t>
      </w:r>
      <w:r w:rsidRPr="00283806">
        <w:rPr>
          <w:w w:val="105"/>
        </w:rPr>
        <w:t>effect on this increase; for example, the increases in reclamation data as</w:t>
      </w:r>
      <w:r w:rsidRPr="00283806">
        <w:rPr>
          <w:spacing w:val="80"/>
          <w:w w:val="105"/>
        </w:rPr>
        <w:t xml:space="preserve"> </w:t>
      </w:r>
      <w:r w:rsidRPr="00283806">
        <w:rPr>
          <w:w w:val="105"/>
        </w:rPr>
        <w:t>reported to EPA in 2022 and 2023 were likely linked to overall awareness and reaction to the AIM Act and, more recently, the increase in 2023 may be in anticipation of the phasedown step in 2024. These effects may be observed as related to the overall phasedown; however, the regulations established in this rule are necessary to maximize reclamation of HFCs throughout the course of the phasedown and beyond.</w:t>
      </w:r>
    </w:p>
    <w:p w14:paraId="4D7A9D10" w14:textId="77777777" w:rsidR="00D67C1E" w:rsidRPr="00283806" w:rsidRDefault="001265CA">
      <w:pPr>
        <w:pStyle w:val="BodyText"/>
        <w:spacing w:line="225" w:lineRule="auto"/>
        <w:ind w:left="144" w:right="202"/>
      </w:pPr>
      <w:r w:rsidRPr="00283806">
        <w:rPr>
          <w:w w:val="105"/>
        </w:rPr>
        <w:t>EPA also notes, as stated above, that the Agency is establishing a two-time reporting requirement to gather information and better understand the landscape</w:t>
      </w:r>
      <w:r w:rsidRPr="00283806">
        <w:rPr>
          <w:spacing w:val="40"/>
          <w:w w:val="105"/>
        </w:rPr>
        <w:t xml:space="preserve"> </w:t>
      </w:r>
      <w:r w:rsidRPr="00283806">
        <w:rPr>
          <w:w w:val="105"/>
        </w:rPr>
        <w:t>for</w:t>
      </w:r>
      <w:r w:rsidRPr="00283806">
        <w:rPr>
          <w:spacing w:val="40"/>
          <w:w w:val="105"/>
        </w:rPr>
        <w:t xml:space="preserve"> </w:t>
      </w:r>
      <w:r w:rsidRPr="00283806">
        <w:rPr>
          <w:w w:val="105"/>
        </w:rPr>
        <w:t>reclaimed</w:t>
      </w:r>
      <w:r w:rsidRPr="00283806">
        <w:rPr>
          <w:spacing w:val="40"/>
          <w:w w:val="105"/>
        </w:rPr>
        <w:t xml:space="preserve"> </w:t>
      </w:r>
      <w:r w:rsidRPr="00283806">
        <w:rPr>
          <w:w w:val="105"/>
        </w:rPr>
        <w:t>HFC availability for the affected RACHP subsectors in 2026 and 2027, leading up to the compliance date of January 1, 2029. The Agency will review this information and may consider</w:t>
      </w:r>
      <w:r w:rsidRPr="00283806">
        <w:rPr>
          <w:spacing w:val="80"/>
          <w:w w:val="105"/>
        </w:rPr>
        <w:t xml:space="preserve"> </w:t>
      </w:r>
      <w:r w:rsidRPr="00283806">
        <w:rPr>
          <w:w w:val="105"/>
        </w:rPr>
        <w:t>proposing changes to the requirements for reclaimed HFCs, if warranted.</w:t>
      </w:r>
    </w:p>
    <w:p w14:paraId="73E83AC9" w14:textId="77777777" w:rsidR="00D67C1E" w:rsidRPr="00283806" w:rsidRDefault="001265CA">
      <w:pPr>
        <w:pStyle w:val="BodyText"/>
        <w:spacing w:line="176" w:lineRule="exact"/>
        <w:ind w:left="324"/>
      </w:pPr>
      <w:r w:rsidRPr="00283806">
        <w:rPr>
          <w:w w:val="105"/>
        </w:rPr>
        <w:t>EPA</w:t>
      </w:r>
      <w:r w:rsidRPr="00283806">
        <w:rPr>
          <w:spacing w:val="20"/>
          <w:w w:val="105"/>
        </w:rPr>
        <w:t xml:space="preserve"> </w:t>
      </w:r>
      <w:r w:rsidRPr="00283806">
        <w:rPr>
          <w:w w:val="105"/>
        </w:rPr>
        <w:t>also</w:t>
      </w:r>
      <w:r w:rsidRPr="00283806">
        <w:rPr>
          <w:spacing w:val="20"/>
          <w:w w:val="105"/>
        </w:rPr>
        <w:t xml:space="preserve"> </w:t>
      </w:r>
      <w:r w:rsidRPr="00283806">
        <w:rPr>
          <w:w w:val="105"/>
        </w:rPr>
        <w:t>acknowledges</w:t>
      </w:r>
      <w:r w:rsidRPr="00283806">
        <w:rPr>
          <w:spacing w:val="20"/>
          <w:w w:val="105"/>
        </w:rPr>
        <w:t xml:space="preserve"> </w:t>
      </w:r>
      <w:r w:rsidRPr="00283806">
        <w:rPr>
          <w:spacing w:val="-2"/>
          <w:w w:val="105"/>
        </w:rPr>
        <w:t>comments</w:t>
      </w:r>
    </w:p>
    <w:p w14:paraId="2F243844" w14:textId="77777777" w:rsidR="00D67C1E" w:rsidRPr="00283806" w:rsidRDefault="001265CA">
      <w:pPr>
        <w:pStyle w:val="BodyText"/>
        <w:spacing w:line="225" w:lineRule="auto"/>
        <w:ind w:left="144" w:right="165"/>
      </w:pPr>
      <w:r w:rsidRPr="00283806">
        <w:rPr>
          <w:w w:val="105"/>
        </w:rPr>
        <w:t>related to outreach and engaging with industry</w:t>
      </w:r>
      <w:r w:rsidRPr="00283806">
        <w:rPr>
          <w:spacing w:val="-1"/>
          <w:w w:val="105"/>
        </w:rPr>
        <w:t xml:space="preserve"> </w:t>
      </w:r>
      <w:r w:rsidRPr="00283806">
        <w:rPr>
          <w:w w:val="105"/>
        </w:rPr>
        <w:t>stakeholders</w:t>
      </w:r>
      <w:r w:rsidRPr="00283806">
        <w:rPr>
          <w:spacing w:val="-1"/>
          <w:w w:val="105"/>
        </w:rPr>
        <w:t xml:space="preserve"> </w:t>
      </w:r>
      <w:r w:rsidRPr="00283806">
        <w:rPr>
          <w:w w:val="105"/>
        </w:rPr>
        <w:t>to</w:t>
      </w:r>
      <w:r w:rsidRPr="00283806">
        <w:rPr>
          <w:spacing w:val="-1"/>
          <w:w w:val="105"/>
        </w:rPr>
        <w:t xml:space="preserve"> </w:t>
      </w:r>
      <w:r w:rsidRPr="00283806">
        <w:rPr>
          <w:w w:val="105"/>
        </w:rPr>
        <w:t>gather</w:t>
      </w:r>
      <w:r w:rsidRPr="00283806">
        <w:rPr>
          <w:spacing w:val="-1"/>
          <w:w w:val="105"/>
        </w:rPr>
        <w:t xml:space="preserve"> </w:t>
      </w:r>
      <w:r w:rsidRPr="00283806">
        <w:rPr>
          <w:w w:val="105"/>
        </w:rPr>
        <w:t>data</w:t>
      </w:r>
      <w:r w:rsidRPr="00283806">
        <w:rPr>
          <w:spacing w:val="-1"/>
          <w:w w:val="105"/>
        </w:rPr>
        <w:t xml:space="preserve"> </w:t>
      </w:r>
      <w:r w:rsidRPr="00283806">
        <w:rPr>
          <w:w w:val="105"/>
        </w:rPr>
        <w:t>and information. As noted in section IV.E,</w:t>
      </w:r>
      <w:r w:rsidRPr="00283806">
        <w:rPr>
          <w:spacing w:val="40"/>
          <w:w w:val="105"/>
        </w:rPr>
        <w:t xml:space="preserve"> </w:t>
      </w:r>
      <w:r w:rsidRPr="00283806">
        <w:rPr>
          <w:w w:val="105"/>
        </w:rPr>
        <w:t>EPA</w:t>
      </w:r>
      <w:r w:rsidRPr="00283806">
        <w:rPr>
          <w:spacing w:val="40"/>
          <w:w w:val="105"/>
        </w:rPr>
        <w:t xml:space="preserve"> </w:t>
      </w:r>
      <w:r w:rsidRPr="00283806">
        <w:rPr>
          <w:w w:val="105"/>
        </w:rPr>
        <w:t>provided</w:t>
      </w:r>
      <w:r w:rsidRPr="00283806">
        <w:rPr>
          <w:spacing w:val="40"/>
          <w:w w:val="105"/>
        </w:rPr>
        <w:t xml:space="preserve"> </w:t>
      </w:r>
      <w:r w:rsidRPr="00283806">
        <w:rPr>
          <w:w w:val="105"/>
        </w:rPr>
        <w:t>multiple</w:t>
      </w:r>
      <w:r w:rsidRPr="00283806">
        <w:rPr>
          <w:spacing w:val="40"/>
          <w:w w:val="105"/>
        </w:rPr>
        <w:t xml:space="preserve"> </w:t>
      </w:r>
      <w:r w:rsidRPr="00283806">
        <w:rPr>
          <w:w w:val="105"/>
        </w:rPr>
        <w:t>opportunities for engagement for this rulemaking.</w:t>
      </w:r>
    </w:p>
    <w:p w14:paraId="1B8F5D4D" w14:textId="77777777" w:rsidR="00D67C1E" w:rsidRPr="00283806" w:rsidRDefault="001265CA">
      <w:pPr>
        <w:pStyle w:val="BodyText"/>
        <w:spacing w:line="225" w:lineRule="auto"/>
        <w:ind w:left="144" w:right="142"/>
      </w:pPr>
      <w:r w:rsidRPr="00283806">
        <w:rPr>
          <w:w w:val="105"/>
        </w:rPr>
        <w:t>Among those opportunities include the publication of a NODA with a public comment period, a public stakeholder meeting, and a public webinar. Further, EPA</w:t>
      </w:r>
      <w:r w:rsidRPr="00283806">
        <w:rPr>
          <w:spacing w:val="40"/>
          <w:w w:val="105"/>
        </w:rPr>
        <w:t xml:space="preserve"> </w:t>
      </w:r>
      <w:r w:rsidRPr="00283806">
        <w:rPr>
          <w:w w:val="105"/>
        </w:rPr>
        <w:t>provided</w:t>
      </w:r>
      <w:r w:rsidRPr="00283806">
        <w:rPr>
          <w:spacing w:val="40"/>
          <w:w w:val="105"/>
        </w:rPr>
        <w:t xml:space="preserve"> </w:t>
      </w:r>
      <w:r w:rsidRPr="00283806">
        <w:rPr>
          <w:w w:val="105"/>
        </w:rPr>
        <w:t>notice</w:t>
      </w:r>
      <w:r w:rsidRPr="00283806">
        <w:rPr>
          <w:spacing w:val="40"/>
          <w:w w:val="105"/>
        </w:rPr>
        <w:t xml:space="preserve"> </w:t>
      </w:r>
      <w:r w:rsidRPr="00283806">
        <w:rPr>
          <w:w w:val="105"/>
        </w:rPr>
        <w:t>and</w:t>
      </w:r>
      <w:r w:rsidRPr="00283806">
        <w:rPr>
          <w:spacing w:val="40"/>
          <w:w w:val="105"/>
        </w:rPr>
        <w:t xml:space="preserve"> </w:t>
      </w:r>
      <w:r w:rsidRPr="00283806">
        <w:rPr>
          <w:w w:val="105"/>
        </w:rPr>
        <w:t xml:space="preserve">an opportunity for public comment on the proposed rule, and has considered those comments in this final rule, as </w:t>
      </w:r>
      <w:r w:rsidRPr="00283806">
        <w:rPr>
          <w:spacing w:val="-2"/>
          <w:w w:val="105"/>
        </w:rPr>
        <w:t>appropriate.</w:t>
      </w:r>
    </w:p>
    <w:p w14:paraId="65FB0938" w14:textId="77777777" w:rsidR="00D67C1E" w:rsidRPr="00283806" w:rsidRDefault="001265CA">
      <w:pPr>
        <w:pStyle w:val="BodyText"/>
        <w:spacing w:line="177" w:lineRule="exact"/>
        <w:ind w:left="324"/>
      </w:pPr>
      <w:r w:rsidRPr="00283806">
        <w:rPr>
          <w:w w:val="105"/>
        </w:rPr>
        <w:t>Regarding</w:t>
      </w:r>
      <w:r w:rsidRPr="00283806">
        <w:rPr>
          <w:spacing w:val="6"/>
          <w:w w:val="105"/>
        </w:rPr>
        <w:t xml:space="preserve"> </w:t>
      </w:r>
      <w:r w:rsidRPr="00283806">
        <w:rPr>
          <w:w w:val="105"/>
        </w:rPr>
        <w:t>the</w:t>
      </w:r>
      <w:r w:rsidRPr="00283806">
        <w:rPr>
          <w:spacing w:val="6"/>
          <w:w w:val="105"/>
        </w:rPr>
        <w:t xml:space="preserve"> </w:t>
      </w:r>
      <w:r w:rsidRPr="00283806">
        <w:rPr>
          <w:w w:val="105"/>
        </w:rPr>
        <w:t>commenter’s</w:t>
      </w:r>
      <w:r w:rsidRPr="00283806">
        <w:rPr>
          <w:spacing w:val="6"/>
          <w:w w:val="105"/>
        </w:rPr>
        <w:t xml:space="preserve"> </w:t>
      </w:r>
      <w:r w:rsidRPr="00283806">
        <w:rPr>
          <w:spacing w:val="-2"/>
          <w:w w:val="105"/>
        </w:rPr>
        <w:t>statement</w:t>
      </w:r>
    </w:p>
    <w:p w14:paraId="6A9D96A9" w14:textId="77777777" w:rsidR="00D67C1E" w:rsidRPr="00283806" w:rsidRDefault="001265CA">
      <w:pPr>
        <w:pStyle w:val="BodyText"/>
        <w:spacing w:line="225" w:lineRule="auto"/>
        <w:ind w:left="144" w:right="197"/>
      </w:pPr>
      <w:r w:rsidRPr="00283806">
        <w:rPr>
          <w:w w:val="105"/>
        </w:rPr>
        <w:t>that</w:t>
      </w:r>
      <w:r w:rsidRPr="00283806">
        <w:rPr>
          <w:spacing w:val="40"/>
          <w:w w:val="105"/>
        </w:rPr>
        <w:t xml:space="preserve"> </w:t>
      </w:r>
      <w:proofErr w:type="gramStart"/>
      <w:r w:rsidRPr="00283806">
        <w:rPr>
          <w:w w:val="105"/>
        </w:rPr>
        <w:t>allowance</w:t>
      </w:r>
      <w:r w:rsidRPr="00283806">
        <w:rPr>
          <w:spacing w:val="40"/>
          <w:w w:val="105"/>
        </w:rPr>
        <w:t xml:space="preserve"> </w:t>
      </w:r>
      <w:r w:rsidRPr="00283806">
        <w:rPr>
          <w:w w:val="105"/>
        </w:rPr>
        <w:t>use</w:t>
      </w:r>
      <w:proofErr w:type="gramEnd"/>
      <w:r w:rsidRPr="00283806">
        <w:rPr>
          <w:spacing w:val="40"/>
          <w:w w:val="105"/>
        </w:rPr>
        <w:t xml:space="preserve"> </w:t>
      </w:r>
      <w:r w:rsidRPr="00283806">
        <w:rPr>
          <w:w w:val="105"/>
        </w:rPr>
        <w:t>for</w:t>
      </w:r>
      <w:r w:rsidRPr="00283806">
        <w:rPr>
          <w:spacing w:val="40"/>
          <w:w w:val="105"/>
        </w:rPr>
        <w:t xml:space="preserve"> </w:t>
      </w:r>
      <w:r w:rsidRPr="00283806">
        <w:rPr>
          <w:w w:val="105"/>
        </w:rPr>
        <w:t>virgin</w:t>
      </w:r>
      <w:r w:rsidRPr="00283806">
        <w:rPr>
          <w:spacing w:val="40"/>
          <w:w w:val="105"/>
        </w:rPr>
        <w:t xml:space="preserve"> </w:t>
      </w:r>
      <w:r w:rsidRPr="00283806">
        <w:rPr>
          <w:w w:val="105"/>
        </w:rPr>
        <w:t>HFCs could potentially shift to other</w:t>
      </w:r>
      <w:r w:rsidRPr="00283806">
        <w:rPr>
          <w:spacing w:val="40"/>
          <w:w w:val="105"/>
        </w:rPr>
        <w:t xml:space="preserve"> </w:t>
      </w:r>
      <w:r w:rsidRPr="00283806">
        <w:rPr>
          <w:w w:val="105"/>
        </w:rPr>
        <w:t>subsectors as requirements for</w:t>
      </w:r>
      <w:r w:rsidRPr="00283806">
        <w:rPr>
          <w:spacing w:val="40"/>
          <w:w w:val="105"/>
        </w:rPr>
        <w:t xml:space="preserve"> </w:t>
      </w:r>
      <w:r w:rsidRPr="00283806">
        <w:rPr>
          <w:w w:val="105"/>
        </w:rPr>
        <w:t>reclaimed HFCs come into effect for the subsectors covered in this rulemaking, EPA responds that as the phasedown continues, EPA anticipates market shifts that could include changes in the production and consumption of certain HFCs and changes in the use patterns with reclaimed HFCs replacing virgin HFCs. EPA further notes that under the phasedown schedule established in subsection (e)(2)(C) of the Act, in the</w:t>
      </w:r>
      <w:r w:rsidRPr="00283806">
        <w:rPr>
          <w:spacing w:val="80"/>
          <w:w w:val="105"/>
        </w:rPr>
        <w:t xml:space="preserve"> </w:t>
      </w:r>
      <w:r w:rsidRPr="00283806">
        <w:rPr>
          <w:w w:val="105"/>
        </w:rPr>
        <w:t>last step of the phasedown HFC production</w:t>
      </w:r>
      <w:r w:rsidRPr="00283806">
        <w:rPr>
          <w:spacing w:val="35"/>
          <w:w w:val="105"/>
        </w:rPr>
        <w:t xml:space="preserve"> </w:t>
      </w:r>
      <w:r w:rsidRPr="00283806">
        <w:rPr>
          <w:w w:val="105"/>
        </w:rPr>
        <w:t>and</w:t>
      </w:r>
      <w:r w:rsidRPr="00283806">
        <w:rPr>
          <w:spacing w:val="35"/>
          <w:w w:val="105"/>
        </w:rPr>
        <w:t xml:space="preserve"> </w:t>
      </w:r>
      <w:r w:rsidRPr="00283806">
        <w:rPr>
          <w:w w:val="105"/>
        </w:rPr>
        <w:t>consumption</w:t>
      </w:r>
      <w:r w:rsidRPr="00283806">
        <w:rPr>
          <w:spacing w:val="40"/>
          <w:w w:val="105"/>
        </w:rPr>
        <w:t xml:space="preserve"> </w:t>
      </w:r>
      <w:r w:rsidRPr="00283806">
        <w:rPr>
          <w:w w:val="105"/>
        </w:rPr>
        <w:t>allowances equal to 15 percent of the</w:t>
      </w:r>
    </w:p>
    <w:p w14:paraId="3AA9D21F"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8" w:space="40"/>
            <w:col w:w="3499" w:space="39"/>
            <w:col w:w="3624"/>
          </w:cols>
        </w:sectPr>
      </w:pPr>
    </w:p>
    <w:p w14:paraId="1FEECB5A" w14:textId="77777777" w:rsidR="00D67C1E" w:rsidRPr="00283806" w:rsidRDefault="001265CA">
      <w:pPr>
        <w:pStyle w:val="BodyText"/>
        <w:tabs>
          <w:tab w:val="left" w:pos="7239"/>
          <w:tab w:val="left" w:pos="8239"/>
        </w:tabs>
        <w:spacing w:line="150" w:lineRule="exact"/>
        <w:ind w:left="3699"/>
      </w:pPr>
      <w:r w:rsidRPr="00283806">
        <w:rPr>
          <w:noProof/>
        </w:rPr>
        <mc:AlternateContent>
          <mc:Choice Requires="wps">
            <w:drawing>
              <wp:anchor distT="0" distB="0" distL="0" distR="0" simplePos="0" relativeHeight="251614208" behindDoc="0" locked="0" layoutInCell="1" allowOverlap="1" wp14:anchorId="317D6005" wp14:editId="40F46375">
                <wp:simplePos x="0" y="0"/>
                <wp:positionH relativeFrom="page">
                  <wp:posOffset>571500</wp:posOffset>
                </wp:positionH>
                <wp:positionV relativeFrom="paragraph">
                  <wp:posOffset>69229</wp:posOffset>
                </wp:positionV>
                <wp:extent cx="635000" cy="1270"/>
                <wp:effectExtent l="0" t="0" r="0" b="0"/>
                <wp:wrapNone/>
                <wp:docPr id="88" name="Graphic 8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B5A83B1" id="Graphic 88" o:spid="_x0000_s1026" alt="&quot;&quot;" style="position:absolute;margin-left:45pt;margin-top:5.45pt;width:50pt;height:.1pt;z-index:251614208;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" path="m,l635000,e" filled="f" strokeweight=".5pt">
                <v:path arrowok="t"/>
                <w10:wrap anchorx="page"/>
              </v:shape>
            </w:pict>
          </mc:Fallback>
        </mc:AlternateContent>
      </w:r>
      <w:r w:rsidRPr="00283806">
        <w:rPr>
          <w:w w:val="105"/>
        </w:rPr>
        <w:t>provisions</w:t>
      </w:r>
      <w:r w:rsidRPr="00283806">
        <w:rPr>
          <w:spacing w:val="11"/>
          <w:w w:val="105"/>
        </w:rPr>
        <w:t xml:space="preserve"> </w:t>
      </w:r>
      <w:r w:rsidRPr="00283806">
        <w:rPr>
          <w:w w:val="105"/>
        </w:rPr>
        <w:t>in</w:t>
      </w:r>
      <w:r w:rsidRPr="00283806">
        <w:rPr>
          <w:spacing w:val="12"/>
          <w:w w:val="105"/>
        </w:rPr>
        <w:t xml:space="preserve"> </w:t>
      </w:r>
      <w:r w:rsidRPr="00283806">
        <w:rPr>
          <w:w w:val="105"/>
        </w:rPr>
        <w:t>this</w:t>
      </w:r>
      <w:r w:rsidRPr="00283806">
        <w:rPr>
          <w:spacing w:val="12"/>
          <w:w w:val="105"/>
        </w:rPr>
        <w:t xml:space="preserve"> </w:t>
      </w:r>
      <w:r w:rsidRPr="00283806">
        <w:rPr>
          <w:w w:val="105"/>
        </w:rPr>
        <w:t>rule</w:t>
      </w:r>
      <w:r w:rsidRPr="00283806">
        <w:rPr>
          <w:spacing w:val="12"/>
          <w:w w:val="105"/>
        </w:rPr>
        <w:t xml:space="preserve"> </w:t>
      </w:r>
      <w:r w:rsidRPr="00283806">
        <w:rPr>
          <w:w w:val="105"/>
        </w:rPr>
        <w:t>and</w:t>
      </w:r>
      <w:r w:rsidRPr="00283806">
        <w:rPr>
          <w:spacing w:val="12"/>
          <w:w w:val="105"/>
        </w:rPr>
        <w:t xml:space="preserve"> </w:t>
      </w:r>
      <w:r w:rsidRPr="00283806">
        <w:rPr>
          <w:w w:val="105"/>
        </w:rPr>
        <w:t>other</w:t>
      </w:r>
      <w:r w:rsidRPr="00283806">
        <w:rPr>
          <w:spacing w:val="11"/>
          <w:w w:val="105"/>
        </w:rPr>
        <w:t xml:space="preserve"> </w:t>
      </w:r>
      <w:r w:rsidRPr="00283806">
        <w:rPr>
          <w:spacing w:val="-2"/>
          <w:w w:val="105"/>
        </w:rPr>
        <w:t>factors,</w:t>
      </w:r>
      <w:r w:rsidRPr="00283806">
        <w:tab/>
      </w:r>
      <w:r w:rsidRPr="00283806">
        <w:rPr>
          <w:u w:val="single"/>
        </w:rPr>
        <w:tab/>
      </w:r>
    </w:p>
    <w:p w14:paraId="26FBF83D" w14:textId="77777777" w:rsidR="00D67C1E" w:rsidRPr="00283806" w:rsidRDefault="00D67C1E">
      <w:pPr>
        <w:spacing w:line="150" w:lineRule="exact"/>
        <w:sectPr w:rsidR="00D67C1E" w:rsidRPr="00283806">
          <w:type w:val="continuous"/>
          <w:pgSz w:w="12240" w:h="15840"/>
          <w:pgMar w:top="880" w:right="780" w:bottom="280" w:left="740" w:header="627" w:footer="0" w:gutter="0"/>
          <w:cols w:space="720"/>
        </w:sectPr>
      </w:pPr>
    </w:p>
    <w:p w14:paraId="2B6F0D02" w14:textId="77777777" w:rsidR="00D67C1E" w:rsidRPr="00283806" w:rsidRDefault="001265CA">
      <w:pPr>
        <w:spacing w:before="1" w:line="232" w:lineRule="auto"/>
        <w:ind w:left="159" w:right="38" w:firstLine="140"/>
        <w:rPr>
          <w:sz w:val="14"/>
        </w:rPr>
      </w:pPr>
      <w:r w:rsidRPr="00283806">
        <w:rPr>
          <w:w w:val="105"/>
          <w:position w:val="4"/>
          <w:sz w:val="9"/>
        </w:rPr>
        <w:t xml:space="preserve">102 </w:t>
      </w:r>
      <w:r w:rsidRPr="00283806">
        <w:rPr>
          <w:w w:val="105"/>
          <w:sz w:val="14"/>
        </w:rPr>
        <w:t>This estimate is based only on demand and</w:t>
      </w:r>
      <w:r w:rsidRPr="00283806">
        <w:rPr>
          <w:spacing w:val="40"/>
          <w:w w:val="105"/>
          <w:sz w:val="14"/>
        </w:rPr>
        <w:t xml:space="preserve"> </w:t>
      </w:r>
      <w:r w:rsidRPr="00283806">
        <w:rPr>
          <w:w w:val="105"/>
          <w:sz w:val="14"/>
        </w:rPr>
        <w:t xml:space="preserve">does not </w:t>
      </w:r>
      <w:proofErr w:type="gramStart"/>
      <w:r w:rsidRPr="00283806">
        <w:rPr>
          <w:w w:val="105"/>
          <w:sz w:val="14"/>
        </w:rPr>
        <w:t>take into account</w:t>
      </w:r>
      <w:proofErr w:type="gramEnd"/>
      <w:r w:rsidRPr="00283806">
        <w:rPr>
          <w:w w:val="105"/>
          <w:sz w:val="14"/>
        </w:rPr>
        <w:t xml:space="preserve"> that reclaimed</w:t>
      </w:r>
    </w:p>
    <w:p w14:paraId="5E52DF30" w14:textId="77777777" w:rsidR="00D67C1E" w:rsidRPr="00283806" w:rsidRDefault="001265CA">
      <w:pPr>
        <w:pStyle w:val="BodyText"/>
        <w:spacing w:before="24"/>
        <w:ind w:left="159"/>
      </w:pPr>
      <w:r w:rsidRPr="00283806">
        <w:br w:type="column"/>
      </w:r>
      <w:r w:rsidRPr="00283806">
        <w:rPr>
          <w:w w:val="105"/>
        </w:rPr>
        <w:t>such</w:t>
      </w:r>
      <w:r w:rsidRPr="00283806">
        <w:rPr>
          <w:spacing w:val="12"/>
          <w:w w:val="105"/>
        </w:rPr>
        <w:t xml:space="preserve"> </w:t>
      </w:r>
      <w:r w:rsidRPr="00283806">
        <w:rPr>
          <w:w w:val="105"/>
        </w:rPr>
        <w:t>as</w:t>
      </w:r>
      <w:r w:rsidRPr="00283806">
        <w:rPr>
          <w:spacing w:val="12"/>
          <w:w w:val="105"/>
        </w:rPr>
        <w:t xml:space="preserve"> </w:t>
      </w:r>
      <w:r w:rsidRPr="00283806">
        <w:rPr>
          <w:w w:val="105"/>
        </w:rPr>
        <w:t>new</w:t>
      </w:r>
      <w:r w:rsidRPr="00283806">
        <w:rPr>
          <w:spacing w:val="13"/>
          <w:w w:val="105"/>
        </w:rPr>
        <w:t xml:space="preserve"> </w:t>
      </w:r>
      <w:r w:rsidRPr="00283806">
        <w:rPr>
          <w:w w:val="105"/>
        </w:rPr>
        <w:t>reclamation</w:t>
      </w:r>
      <w:r w:rsidRPr="00283806">
        <w:rPr>
          <w:spacing w:val="12"/>
          <w:w w:val="105"/>
        </w:rPr>
        <w:t xml:space="preserve"> </w:t>
      </w:r>
      <w:r w:rsidRPr="00283806">
        <w:rPr>
          <w:spacing w:val="-2"/>
          <w:w w:val="105"/>
        </w:rPr>
        <w:t>facilities</w:t>
      </w:r>
    </w:p>
    <w:p w14:paraId="2C492FFF" w14:textId="77777777" w:rsidR="00D67C1E" w:rsidRPr="00283806" w:rsidRDefault="001265CA">
      <w:pPr>
        <w:spacing w:before="8" w:line="228" w:lineRule="auto"/>
        <w:ind w:left="159" w:right="286" w:firstLine="140"/>
        <w:rPr>
          <w:sz w:val="14"/>
        </w:rPr>
      </w:pPr>
      <w:r w:rsidRPr="00283806">
        <w:br w:type="column"/>
      </w:r>
      <w:r w:rsidRPr="00283806">
        <w:rPr>
          <w:w w:val="105"/>
          <w:position w:val="4"/>
          <w:sz w:val="9"/>
        </w:rPr>
        <w:t xml:space="preserve">104 </w:t>
      </w:r>
      <w:r w:rsidRPr="00283806">
        <w:rPr>
          <w:w w:val="105"/>
          <w:sz w:val="14"/>
        </w:rPr>
        <w:t>A-Gas (2023). A-Gas Breaks Ground on</w:t>
      </w:r>
      <w:r w:rsidRPr="00283806">
        <w:rPr>
          <w:spacing w:val="40"/>
          <w:w w:val="105"/>
          <w:sz w:val="14"/>
        </w:rPr>
        <w:t xml:space="preserve"> </w:t>
      </w:r>
      <w:r w:rsidRPr="00283806">
        <w:rPr>
          <w:w w:val="105"/>
          <w:sz w:val="14"/>
        </w:rPr>
        <w:t>Additional Market-Leading Refrigerant Separation</w:t>
      </w:r>
    </w:p>
    <w:p w14:paraId="0EC31146" w14:textId="77777777" w:rsidR="00D67C1E" w:rsidRPr="00283806" w:rsidRDefault="00D67C1E">
      <w:pPr>
        <w:spacing w:line="228" w:lineRule="auto"/>
        <w:rPr>
          <w:sz w:val="14"/>
        </w:rPr>
        <w:sectPr w:rsidR="00D67C1E" w:rsidRPr="00283806">
          <w:type w:val="continuous"/>
          <w:pgSz w:w="12240" w:h="15840"/>
          <w:pgMar w:top="880" w:right="780" w:bottom="280" w:left="740" w:header="627" w:footer="0" w:gutter="0"/>
          <w:cols w:num="3" w:space="720" w:equalWidth="0">
            <w:col w:w="3327" w:space="213"/>
            <w:col w:w="2997" w:space="543"/>
            <w:col w:w="3640"/>
          </w:cols>
        </w:sectPr>
      </w:pPr>
    </w:p>
    <w:p w14:paraId="6C7A506A" w14:textId="28F92A3E" w:rsidR="00D67C1E" w:rsidRPr="00283806" w:rsidRDefault="001265CA">
      <w:pPr>
        <w:tabs>
          <w:tab w:val="left" w:pos="3699"/>
          <w:tab w:val="left" w:pos="4699"/>
          <w:tab w:val="left" w:pos="7239"/>
        </w:tabs>
        <w:spacing w:line="160" w:lineRule="exact"/>
        <w:ind w:left="159"/>
        <w:rPr>
          <w:rFonts w:ascii="Book Antiqua"/>
          <w:i/>
          <w:sz w:val="14"/>
        </w:rPr>
      </w:pPr>
      <w:r w:rsidRPr="00283806">
        <w:rPr>
          <w:w w:val="105"/>
          <w:position w:val="1"/>
          <w:sz w:val="14"/>
        </w:rPr>
        <w:t>refrigerants</w:t>
      </w:r>
      <w:r w:rsidRPr="00283806">
        <w:rPr>
          <w:spacing w:val="2"/>
          <w:w w:val="105"/>
          <w:position w:val="1"/>
          <w:sz w:val="14"/>
        </w:rPr>
        <w:t xml:space="preserve"> </w:t>
      </w:r>
      <w:r w:rsidRPr="00283806">
        <w:rPr>
          <w:w w:val="105"/>
          <w:position w:val="1"/>
          <w:sz w:val="14"/>
        </w:rPr>
        <w:t>may</w:t>
      </w:r>
      <w:r w:rsidRPr="00283806">
        <w:rPr>
          <w:spacing w:val="3"/>
          <w:w w:val="105"/>
          <w:position w:val="1"/>
          <w:sz w:val="14"/>
        </w:rPr>
        <w:t xml:space="preserve"> </w:t>
      </w:r>
      <w:r w:rsidRPr="00283806">
        <w:rPr>
          <w:w w:val="105"/>
          <w:position w:val="1"/>
          <w:sz w:val="14"/>
        </w:rPr>
        <w:t>contain</w:t>
      </w:r>
      <w:r w:rsidRPr="00283806">
        <w:rPr>
          <w:spacing w:val="3"/>
          <w:w w:val="105"/>
          <w:position w:val="1"/>
          <w:sz w:val="14"/>
        </w:rPr>
        <w:t xml:space="preserve"> </w:t>
      </w:r>
      <w:r w:rsidRPr="00283806">
        <w:rPr>
          <w:w w:val="105"/>
          <w:position w:val="1"/>
          <w:sz w:val="14"/>
        </w:rPr>
        <w:t>up</w:t>
      </w:r>
      <w:r w:rsidRPr="00283806">
        <w:rPr>
          <w:spacing w:val="3"/>
          <w:w w:val="105"/>
          <w:position w:val="1"/>
          <w:sz w:val="14"/>
        </w:rPr>
        <w:t xml:space="preserve"> </w:t>
      </w:r>
      <w:r w:rsidRPr="00283806">
        <w:rPr>
          <w:w w:val="105"/>
          <w:position w:val="1"/>
          <w:sz w:val="14"/>
        </w:rPr>
        <w:t>to</w:t>
      </w:r>
      <w:r w:rsidRPr="00283806">
        <w:rPr>
          <w:spacing w:val="3"/>
          <w:w w:val="105"/>
          <w:position w:val="1"/>
          <w:sz w:val="14"/>
        </w:rPr>
        <w:t xml:space="preserve"> </w:t>
      </w:r>
      <w:r w:rsidRPr="00283806">
        <w:rPr>
          <w:w w:val="105"/>
          <w:position w:val="1"/>
          <w:sz w:val="14"/>
        </w:rPr>
        <w:t>15</w:t>
      </w:r>
      <w:r w:rsidRPr="00283806">
        <w:rPr>
          <w:spacing w:val="3"/>
          <w:w w:val="105"/>
          <w:position w:val="1"/>
          <w:sz w:val="14"/>
        </w:rPr>
        <w:t xml:space="preserve"> </w:t>
      </w:r>
      <w:r w:rsidRPr="00283806">
        <w:rPr>
          <w:w w:val="105"/>
          <w:position w:val="1"/>
          <w:sz w:val="14"/>
        </w:rPr>
        <w:t>percent</w:t>
      </w:r>
      <w:r w:rsidRPr="00283806">
        <w:rPr>
          <w:spacing w:val="3"/>
          <w:w w:val="105"/>
          <w:position w:val="1"/>
          <w:sz w:val="14"/>
        </w:rPr>
        <w:t xml:space="preserve"> </w:t>
      </w:r>
      <w:r w:rsidRPr="00283806">
        <w:rPr>
          <w:spacing w:val="-2"/>
          <w:w w:val="105"/>
          <w:position w:val="1"/>
          <w:sz w:val="14"/>
        </w:rPr>
        <w:t>virgin</w:t>
      </w:r>
      <w:r w:rsidRPr="00283806">
        <w:rPr>
          <w:position w:val="1"/>
          <w:sz w:val="14"/>
        </w:rPr>
        <w:tab/>
      </w:r>
      <w:r w:rsidRPr="00283806">
        <w:rPr>
          <w:position w:val="1"/>
          <w:sz w:val="14"/>
          <w:u w:val="single"/>
        </w:rPr>
        <w:tab/>
      </w:r>
      <w:r w:rsidRPr="00283806">
        <w:rPr>
          <w:position w:val="1"/>
          <w:sz w:val="14"/>
        </w:rPr>
        <w:tab/>
      </w:r>
      <w:r w:rsidRPr="00283806">
        <w:rPr>
          <w:w w:val="110"/>
          <w:sz w:val="14"/>
        </w:rPr>
        <w:t>Technology.</w:t>
      </w:r>
      <w:r w:rsidRPr="00283806">
        <w:rPr>
          <w:spacing w:val="-4"/>
          <w:w w:val="110"/>
          <w:sz w:val="14"/>
        </w:rPr>
        <w:t xml:space="preserve"> </w:t>
      </w:r>
      <w:r w:rsidRPr="00283806">
        <w:rPr>
          <w:w w:val="110"/>
          <w:sz w:val="14"/>
        </w:rPr>
        <w:t>Available</w:t>
      </w:r>
      <w:r w:rsidRPr="00283806">
        <w:rPr>
          <w:spacing w:val="-3"/>
          <w:w w:val="110"/>
          <w:sz w:val="14"/>
        </w:rPr>
        <w:t xml:space="preserve"> </w:t>
      </w:r>
      <w:r w:rsidRPr="00283806">
        <w:rPr>
          <w:w w:val="110"/>
          <w:sz w:val="14"/>
        </w:rPr>
        <w:t>at:</w:t>
      </w:r>
      <w:r w:rsidRPr="00283806">
        <w:rPr>
          <w:spacing w:val="-3"/>
          <w:w w:val="110"/>
          <w:sz w:val="14"/>
        </w:rPr>
        <w:t xml:space="preserve"> </w:t>
      </w:r>
      <w:r w:rsidRPr="00283806">
        <w:rPr>
          <w:rFonts w:ascii="Book Antiqua"/>
          <w:i/>
          <w:spacing w:val="-2"/>
          <w:w w:val="105"/>
          <w:sz w:val="14"/>
        </w:rPr>
        <w:t>https://www.agas.com/</w:t>
      </w:r>
    </w:p>
    <w:p w14:paraId="2B6BF63C" w14:textId="77777777" w:rsidR="00D67C1E" w:rsidRPr="00283806" w:rsidRDefault="00D67C1E">
      <w:pPr>
        <w:spacing w:line="160" w:lineRule="exact"/>
        <w:rPr>
          <w:rFonts w:ascii="Book Antiqua"/>
          <w:sz w:val="14"/>
        </w:rPr>
        <w:sectPr w:rsidR="00D67C1E" w:rsidRPr="00283806">
          <w:type w:val="continuous"/>
          <w:pgSz w:w="12240" w:h="15840"/>
          <w:pgMar w:top="880" w:right="780" w:bottom="280" w:left="740" w:header="627" w:footer="0" w:gutter="0"/>
          <w:cols w:space="720"/>
        </w:sectPr>
      </w:pPr>
    </w:p>
    <w:p w14:paraId="67D21BDC" w14:textId="77777777" w:rsidR="00D67C1E" w:rsidRPr="00283806" w:rsidRDefault="001265CA">
      <w:pPr>
        <w:spacing w:before="4" w:line="232" w:lineRule="auto"/>
        <w:ind w:left="159" w:right="123"/>
        <w:rPr>
          <w:sz w:val="14"/>
        </w:rPr>
      </w:pPr>
      <w:r w:rsidRPr="00283806">
        <w:rPr>
          <w:w w:val="105"/>
          <w:sz w:val="14"/>
        </w:rPr>
        <w:t>HFCs, by weight. See Appendix D in the Economic</w:t>
      </w:r>
      <w:r w:rsidRPr="00283806">
        <w:rPr>
          <w:spacing w:val="40"/>
          <w:w w:val="105"/>
          <w:sz w:val="14"/>
        </w:rPr>
        <w:t xml:space="preserve"> </w:t>
      </w:r>
      <w:r w:rsidRPr="00283806">
        <w:rPr>
          <w:w w:val="105"/>
          <w:sz w:val="14"/>
        </w:rPr>
        <w:t>Impact and Benefits TSD for more information.</w:t>
      </w:r>
    </w:p>
    <w:p w14:paraId="0283AC61" w14:textId="4A34B410" w:rsidR="00D67C1E" w:rsidRPr="00283806" w:rsidRDefault="001265CA">
      <w:pPr>
        <w:spacing w:before="6" w:line="228" w:lineRule="auto"/>
        <w:ind w:left="159" w:firstLine="140"/>
        <w:rPr>
          <w:rFonts w:ascii="Book Antiqua"/>
          <w:i/>
          <w:sz w:val="14"/>
        </w:rPr>
      </w:pPr>
      <w:r w:rsidRPr="00283806">
        <w:br w:type="column"/>
      </w:r>
      <w:r w:rsidRPr="00283806">
        <w:rPr>
          <w:spacing w:val="-2"/>
          <w:w w:val="115"/>
          <w:position w:val="4"/>
          <w:sz w:val="9"/>
        </w:rPr>
        <w:t xml:space="preserve">103 </w:t>
      </w:r>
      <w:r w:rsidRPr="00283806">
        <w:rPr>
          <w:spacing w:val="-2"/>
          <w:w w:val="115"/>
          <w:sz w:val="14"/>
        </w:rPr>
        <w:t xml:space="preserve">Available at: </w:t>
      </w:r>
      <w:r w:rsidRPr="00283806">
        <w:rPr>
          <w:rFonts w:ascii="Book Antiqua"/>
          <w:i/>
          <w:spacing w:val="-2"/>
          <w:w w:val="115"/>
          <w:sz w:val="14"/>
        </w:rPr>
        <w:t>https://www.epa.gov/section608/</w:t>
      </w:r>
      <w:r w:rsidRPr="00283806">
        <w:rPr>
          <w:rFonts w:ascii="Book Antiqua"/>
          <w:i/>
          <w:spacing w:val="40"/>
          <w:w w:val="115"/>
          <w:sz w:val="14"/>
        </w:rPr>
        <w:t xml:space="preserve"> </w:t>
      </w:r>
      <w:r w:rsidRPr="00283806">
        <w:rPr>
          <w:rFonts w:ascii="Book Antiqua"/>
          <w:i/>
          <w:spacing w:val="-2"/>
          <w:w w:val="115"/>
          <w:sz w:val="14"/>
        </w:rPr>
        <w:t>summary-refrigerant-reclamation-trends.</w:t>
      </w:r>
    </w:p>
    <w:p w14:paraId="1078B678" w14:textId="0A09BE13" w:rsidR="00D67C1E" w:rsidRPr="00283806" w:rsidRDefault="001265CA">
      <w:pPr>
        <w:spacing w:before="18" w:line="220" w:lineRule="auto"/>
        <w:ind w:left="159" w:right="213"/>
        <w:rPr>
          <w:rFonts w:ascii="Book Antiqua"/>
          <w:i/>
          <w:sz w:val="14"/>
        </w:rPr>
      </w:pPr>
      <w:r w:rsidRPr="00283806">
        <w:br w:type="column"/>
      </w:r>
      <w:r w:rsidRPr="00283806">
        <w:rPr>
          <w:rFonts w:ascii="Book Antiqua"/>
          <w:i/>
          <w:spacing w:val="-2"/>
          <w:w w:val="115"/>
          <w:sz w:val="14"/>
        </w:rPr>
        <w:t>news-insights/a-gas-breaks-ground-on-additional-</w:t>
      </w:r>
      <w:r w:rsidRPr="00283806">
        <w:rPr>
          <w:rFonts w:ascii="Book Antiqua"/>
          <w:i/>
          <w:w w:val="115"/>
          <w:sz w:val="14"/>
        </w:rPr>
        <w:t xml:space="preserve"> </w:t>
      </w:r>
      <w:r w:rsidRPr="00283806">
        <w:rPr>
          <w:rFonts w:ascii="Book Antiqua"/>
          <w:i/>
          <w:w w:val="110"/>
          <w:sz w:val="14"/>
        </w:rPr>
        <w:t>market-leading-refrigerant-separation-</w:t>
      </w:r>
      <w:r w:rsidRPr="00283806">
        <w:rPr>
          <w:rFonts w:ascii="Book Antiqua"/>
          <w:i/>
          <w:spacing w:val="-2"/>
          <w:w w:val="110"/>
          <w:sz w:val="14"/>
        </w:rPr>
        <w:t>technology/.</w:t>
      </w:r>
    </w:p>
    <w:p w14:paraId="01FCDA0A" w14:textId="77777777" w:rsidR="00D67C1E" w:rsidRPr="00283806" w:rsidRDefault="00D67C1E">
      <w:pPr>
        <w:spacing w:line="220" w:lineRule="auto"/>
        <w:rPr>
          <w:rFonts w:ascii="Book Antiqua"/>
          <w:sz w:val="14"/>
        </w:rPr>
        <w:sectPr w:rsidR="00D67C1E" w:rsidRPr="00283806">
          <w:type w:val="continuous"/>
          <w:pgSz w:w="12240" w:h="15840"/>
          <w:pgMar w:top="880" w:right="780" w:bottom="280" w:left="740" w:header="627" w:footer="0" w:gutter="0"/>
          <w:cols w:num="3" w:space="720" w:equalWidth="0">
            <w:col w:w="3472" w:space="68"/>
            <w:col w:w="3476" w:space="64"/>
            <w:col w:w="3640"/>
          </w:cols>
        </w:sectPr>
      </w:pPr>
    </w:p>
    <w:p w14:paraId="5C455DD7" w14:textId="77777777" w:rsidR="00D67C1E" w:rsidRPr="00283806" w:rsidRDefault="001265CA">
      <w:pPr>
        <w:pStyle w:val="BodyText"/>
        <w:spacing w:before="136" w:line="225" w:lineRule="auto"/>
      </w:pPr>
      <w:r w:rsidRPr="00283806">
        <w:rPr>
          <w:w w:val="105"/>
        </w:rPr>
        <w:lastRenderedPageBreak/>
        <w:t>respective baselines will continue to be available indefinitely. The Agency assumes applications that are difficult to transition and/or applications requiring higher purity HFCs may continue to require virgin HFCs into the future.</w:t>
      </w:r>
    </w:p>
    <w:p w14:paraId="6C2DE163" w14:textId="77777777" w:rsidR="00D67C1E" w:rsidRPr="00283806" w:rsidRDefault="001265CA">
      <w:pPr>
        <w:pStyle w:val="BodyText"/>
        <w:spacing w:line="225" w:lineRule="auto"/>
        <w:ind w:right="85"/>
      </w:pPr>
      <w:r w:rsidRPr="00283806">
        <w:rPr>
          <w:w w:val="105"/>
        </w:rPr>
        <w:t>While the Agency acknowledges that there will be shifting business practices given the HFC phasedown, the 2023 Technology Transitions Rule, and this final rule that will increase the reliance on reclaimed HFCs especially for servicing RACHP and fire suppression equipment, there are business practices including patents and licensing arrangements that could affect the</w:t>
      </w:r>
      <w:r w:rsidRPr="00283806">
        <w:rPr>
          <w:spacing w:val="40"/>
          <w:w w:val="105"/>
        </w:rPr>
        <w:t xml:space="preserve"> </w:t>
      </w:r>
      <w:r w:rsidRPr="00283806">
        <w:rPr>
          <w:w w:val="105"/>
        </w:rPr>
        <w:t>ability of certain reclaimers to supply certain customers with reclaimed HFCs. The Agency anticipates that as patents expire and licensing arrangements expand, these limitations will lessen.</w:t>
      </w:r>
    </w:p>
    <w:p w14:paraId="372C9378" w14:textId="77777777" w:rsidR="00D67C1E" w:rsidRPr="00283806" w:rsidRDefault="001265CA">
      <w:pPr>
        <w:pStyle w:val="BodyText"/>
        <w:spacing w:line="225" w:lineRule="auto"/>
        <w:ind w:right="37"/>
      </w:pPr>
      <w:r w:rsidRPr="00283806">
        <w:rPr>
          <w:w w:val="105"/>
        </w:rPr>
        <w:t>EPA reiterates that the requirements in this rule only apply to servicing and/or repair of refrigerant-containing equipment</w:t>
      </w:r>
      <w:r w:rsidRPr="00283806">
        <w:rPr>
          <w:spacing w:val="40"/>
          <w:w w:val="105"/>
        </w:rPr>
        <w:t xml:space="preserve"> </w:t>
      </w:r>
      <w:r w:rsidRPr="00283806">
        <w:rPr>
          <w:w w:val="105"/>
        </w:rPr>
        <w:t>with</w:t>
      </w:r>
      <w:r w:rsidRPr="00283806">
        <w:rPr>
          <w:spacing w:val="40"/>
          <w:w w:val="105"/>
        </w:rPr>
        <w:t xml:space="preserve"> </w:t>
      </w:r>
      <w:r w:rsidRPr="00283806">
        <w:rPr>
          <w:w w:val="105"/>
        </w:rPr>
        <w:t>reclaimed</w:t>
      </w:r>
      <w:r w:rsidRPr="00283806">
        <w:rPr>
          <w:spacing w:val="40"/>
          <w:w w:val="105"/>
        </w:rPr>
        <w:t xml:space="preserve"> </w:t>
      </w:r>
      <w:r w:rsidRPr="00283806">
        <w:rPr>
          <w:w w:val="105"/>
        </w:rPr>
        <w:t>HFCs</w:t>
      </w:r>
      <w:r w:rsidRPr="00283806">
        <w:rPr>
          <w:spacing w:val="40"/>
          <w:w w:val="105"/>
        </w:rPr>
        <w:t xml:space="preserve"> </w:t>
      </w:r>
      <w:r w:rsidRPr="00283806">
        <w:rPr>
          <w:w w:val="105"/>
        </w:rPr>
        <w:t>in three RACHP subsectors. Further, the compliance date for these requirements</w:t>
      </w:r>
      <w:r w:rsidRPr="00283806">
        <w:rPr>
          <w:spacing w:val="40"/>
          <w:w w:val="105"/>
        </w:rPr>
        <w:t xml:space="preserve"> </w:t>
      </w:r>
      <w:r w:rsidRPr="00283806">
        <w:rPr>
          <w:w w:val="105"/>
        </w:rPr>
        <w:t xml:space="preserve">is January 1, 2029, which should give industry sufficient time to adjust </w:t>
      </w:r>
      <w:proofErr w:type="gramStart"/>
      <w:r w:rsidRPr="00283806">
        <w:rPr>
          <w:w w:val="105"/>
        </w:rPr>
        <w:t>current</w:t>
      </w:r>
      <w:proofErr w:type="gramEnd"/>
      <w:r w:rsidRPr="00283806">
        <w:rPr>
          <w:w w:val="105"/>
        </w:rPr>
        <w:t xml:space="preserve"> business practices.</w:t>
      </w:r>
    </w:p>
    <w:p w14:paraId="442229DA" w14:textId="77777777" w:rsidR="00D67C1E" w:rsidRPr="00283806" w:rsidRDefault="001265CA">
      <w:pPr>
        <w:pStyle w:val="BodyText"/>
        <w:spacing w:line="177" w:lineRule="exact"/>
        <w:ind w:left="340"/>
      </w:pPr>
      <w:r w:rsidRPr="00283806">
        <w:rPr>
          <w:w w:val="105"/>
        </w:rPr>
        <w:t>EPA</w:t>
      </w:r>
      <w:r w:rsidRPr="00283806">
        <w:rPr>
          <w:spacing w:val="17"/>
          <w:w w:val="105"/>
        </w:rPr>
        <w:t xml:space="preserve"> </w:t>
      </w:r>
      <w:r w:rsidRPr="00283806">
        <w:rPr>
          <w:w w:val="105"/>
        </w:rPr>
        <w:t>acknowledges</w:t>
      </w:r>
      <w:r w:rsidRPr="00283806">
        <w:rPr>
          <w:spacing w:val="17"/>
          <w:w w:val="105"/>
        </w:rPr>
        <w:t xml:space="preserve"> </w:t>
      </w:r>
      <w:r w:rsidRPr="00283806">
        <w:rPr>
          <w:w w:val="105"/>
        </w:rPr>
        <w:t>the</w:t>
      </w:r>
      <w:r w:rsidRPr="00283806">
        <w:rPr>
          <w:spacing w:val="17"/>
          <w:w w:val="105"/>
        </w:rPr>
        <w:t xml:space="preserve"> </w:t>
      </w:r>
      <w:r w:rsidRPr="00283806">
        <w:rPr>
          <w:w w:val="105"/>
        </w:rPr>
        <w:t>concerns</w:t>
      </w:r>
      <w:r w:rsidRPr="00283806">
        <w:rPr>
          <w:spacing w:val="17"/>
          <w:w w:val="105"/>
        </w:rPr>
        <w:t xml:space="preserve"> </w:t>
      </w:r>
      <w:r w:rsidRPr="00283806">
        <w:rPr>
          <w:spacing w:val="-5"/>
          <w:w w:val="105"/>
        </w:rPr>
        <w:t>of</w:t>
      </w:r>
    </w:p>
    <w:p w14:paraId="6DAC6011" w14:textId="77777777" w:rsidR="00D67C1E" w:rsidRPr="00283806" w:rsidRDefault="001265CA">
      <w:pPr>
        <w:pStyle w:val="BodyText"/>
        <w:spacing w:line="225" w:lineRule="auto"/>
      </w:pPr>
      <w:proofErr w:type="gramStart"/>
      <w:r w:rsidRPr="00283806">
        <w:rPr>
          <w:w w:val="105"/>
        </w:rPr>
        <w:t>the</w:t>
      </w:r>
      <w:proofErr w:type="gramEnd"/>
      <w:r w:rsidRPr="00283806">
        <w:rPr>
          <w:w w:val="105"/>
        </w:rPr>
        <w:t xml:space="preserve"> commenters regarding challenges facing the reclamation industry and the Agency responds that several of the provisions established in this</w:t>
      </w:r>
      <w:r w:rsidRPr="00283806">
        <w:rPr>
          <w:spacing w:val="80"/>
          <w:w w:val="105"/>
        </w:rPr>
        <w:t xml:space="preserve"> </w:t>
      </w:r>
      <w:r w:rsidRPr="00283806">
        <w:rPr>
          <w:w w:val="105"/>
        </w:rPr>
        <w:t xml:space="preserve">rulemaking are designed to support increased reclamation. These provisions focus specifically on the </w:t>
      </w:r>
      <w:proofErr w:type="gramStart"/>
      <w:r w:rsidRPr="00283806">
        <w:rPr>
          <w:w w:val="105"/>
        </w:rPr>
        <w:t>maximizing</w:t>
      </w:r>
      <w:proofErr w:type="gramEnd"/>
      <w:r w:rsidRPr="00283806">
        <w:rPr>
          <w:w w:val="105"/>
        </w:rPr>
        <w:t xml:space="preserve"> of reclaiming HFCs, consistent with one of the purposes identified in subsection (h)(1) of in the AIM Act. Per reported</w:t>
      </w:r>
      <w:r w:rsidRPr="00283806">
        <w:rPr>
          <w:spacing w:val="40"/>
          <w:w w:val="105"/>
        </w:rPr>
        <w:t xml:space="preserve"> </w:t>
      </w:r>
      <w:r w:rsidRPr="00283806">
        <w:rPr>
          <w:w w:val="105"/>
        </w:rPr>
        <w:t xml:space="preserve">data for reclaimed refrigerants, the total amount of reclaimed </w:t>
      </w:r>
      <w:proofErr w:type="gramStart"/>
      <w:r w:rsidRPr="00283806">
        <w:rPr>
          <w:w w:val="105"/>
        </w:rPr>
        <w:t>refrigerant</w:t>
      </w:r>
      <w:proofErr w:type="gramEnd"/>
      <w:r w:rsidRPr="00283806">
        <w:rPr>
          <w:w w:val="105"/>
        </w:rPr>
        <w:t xml:space="preserve"> (ODS</w:t>
      </w:r>
      <w:r w:rsidRPr="00283806">
        <w:rPr>
          <w:spacing w:val="40"/>
          <w:w w:val="105"/>
        </w:rPr>
        <w:t xml:space="preserve"> </w:t>
      </w:r>
      <w:r w:rsidRPr="00283806">
        <w:rPr>
          <w:w w:val="105"/>
        </w:rPr>
        <w:t>and HFCs) was 14.7 million pounds in 2018</w:t>
      </w:r>
      <w:r w:rsidRPr="00283806">
        <w:rPr>
          <w:spacing w:val="40"/>
          <w:w w:val="105"/>
        </w:rPr>
        <w:t xml:space="preserve"> </w:t>
      </w:r>
      <w:r w:rsidRPr="00283806">
        <w:rPr>
          <w:w w:val="105"/>
        </w:rPr>
        <w:t>and</w:t>
      </w:r>
      <w:r w:rsidRPr="00283806">
        <w:rPr>
          <w:spacing w:val="40"/>
          <w:w w:val="105"/>
        </w:rPr>
        <w:t xml:space="preserve"> </w:t>
      </w:r>
      <w:r w:rsidRPr="00283806">
        <w:rPr>
          <w:w w:val="105"/>
        </w:rPr>
        <w:t>14.2</w:t>
      </w:r>
      <w:r w:rsidRPr="00283806">
        <w:rPr>
          <w:spacing w:val="40"/>
          <w:w w:val="105"/>
        </w:rPr>
        <w:t xml:space="preserve"> </w:t>
      </w:r>
      <w:r w:rsidRPr="00283806">
        <w:rPr>
          <w:w w:val="105"/>
        </w:rPr>
        <w:t>million</w:t>
      </w:r>
      <w:r w:rsidRPr="00283806">
        <w:rPr>
          <w:spacing w:val="40"/>
          <w:w w:val="105"/>
        </w:rPr>
        <w:t xml:space="preserve"> </w:t>
      </w:r>
      <w:r w:rsidRPr="00283806">
        <w:rPr>
          <w:w w:val="105"/>
        </w:rPr>
        <w:t>pounds</w:t>
      </w:r>
      <w:r w:rsidRPr="00283806">
        <w:rPr>
          <w:spacing w:val="40"/>
          <w:w w:val="105"/>
        </w:rPr>
        <w:t xml:space="preserve"> </w:t>
      </w:r>
      <w:r w:rsidRPr="00283806">
        <w:rPr>
          <w:w w:val="105"/>
        </w:rPr>
        <w:t>in 2022.</w:t>
      </w:r>
      <w:r w:rsidRPr="00283806">
        <w:rPr>
          <w:w w:val="105"/>
          <w:position w:val="5"/>
          <w:sz w:val="11"/>
        </w:rPr>
        <w:t>105</w:t>
      </w:r>
      <w:proofErr w:type="gramStart"/>
      <w:r w:rsidRPr="00283806">
        <w:rPr>
          <w:spacing w:val="40"/>
          <w:w w:val="105"/>
          <w:position w:val="5"/>
          <w:sz w:val="11"/>
        </w:rPr>
        <w:t xml:space="preserve"> </w:t>
      </w:r>
      <w:r w:rsidRPr="00283806">
        <w:rPr>
          <w:w w:val="105"/>
        </w:rPr>
        <w:t>The</w:t>
      </w:r>
      <w:proofErr w:type="gramEnd"/>
      <w:r w:rsidRPr="00283806">
        <w:rPr>
          <w:w w:val="105"/>
        </w:rPr>
        <w:t xml:space="preserve"> commenter is correct that the total amount was reduced, considering both ODS and HFCs</w:t>
      </w:r>
      <w:r w:rsidRPr="00283806">
        <w:rPr>
          <w:spacing w:val="80"/>
          <w:w w:val="105"/>
        </w:rPr>
        <w:t xml:space="preserve"> </w:t>
      </w:r>
      <w:r w:rsidRPr="00283806">
        <w:rPr>
          <w:w w:val="105"/>
        </w:rPr>
        <w:t>together. However, as noted, this rulemaking is focused on increasing reclamation of regulated substances (</w:t>
      </w:r>
      <w:r w:rsidRPr="00283806">
        <w:rPr>
          <w:rFonts w:ascii="Book Antiqua"/>
          <w:i/>
          <w:w w:val="105"/>
        </w:rPr>
        <w:t xml:space="preserve">i.e., </w:t>
      </w:r>
      <w:r w:rsidRPr="00283806">
        <w:rPr>
          <w:w w:val="105"/>
        </w:rPr>
        <w:t>HFCs), and HFC reclamation increased from 5.25 million pounds in 2018 to 7.6 million pounds in 2022, an increase of over 40 percent. EPA anticipates this trend to increase related to the</w:t>
      </w:r>
      <w:r w:rsidRPr="00283806">
        <w:rPr>
          <w:spacing w:val="40"/>
          <w:w w:val="105"/>
        </w:rPr>
        <w:t xml:space="preserve"> </w:t>
      </w:r>
      <w:r w:rsidRPr="00283806">
        <w:rPr>
          <w:w w:val="105"/>
        </w:rPr>
        <w:t>provisions established in this</w:t>
      </w:r>
      <w:r w:rsidRPr="00283806">
        <w:rPr>
          <w:spacing w:val="80"/>
          <w:w w:val="105"/>
        </w:rPr>
        <w:t xml:space="preserve"> </w:t>
      </w:r>
      <w:r w:rsidRPr="00283806">
        <w:rPr>
          <w:w w:val="105"/>
        </w:rPr>
        <w:t>rulemaking as well as the overall phasedown and increasingly limited supply of virgin HFCs.</w:t>
      </w:r>
    </w:p>
    <w:p w14:paraId="08EE5E25" w14:textId="77777777" w:rsidR="00D67C1E" w:rsidRPr="00283806" w:rsidRDefault="001265CA">
      <w:pPr>
        <w:pStyle w:val="BodyText"/>
        <w:spacing w:line="228" w:lineRule="auto"/>
        <w:ind w:firstLine="180"/>
      </w:pPr>
      <w:r w:rsidRPr="00283806">
        <w:rPr>
          <w:w w:val="105"/>
        </w:rPr>
        <w:t xml:space="preserve">EPA acknowledges the comment on collecting information on </w:t>
      </w:r>
      <w:proofErr w:type="gramStart"/>
      <w:r w:rsidRPr="00283806">
        <w:rPr>
          <w:w w:val="105"/>
        </w:rPr>
        <w:t>amount</w:t>
      </w:r>
      <w:proofErr w:type="gramEnd"/>
      <w:r w:rsidRPr="00283806">
        <w:rPr>
          <w:w w:val="105"/>
        </w:rPr>
        <w:t xml:space="preserve"> of refrigerant recovered. The information suggested by the commenter related to total</w:t>
      </w:r>
      <w:r w:rsidRPr="00283806">
        <w:rPr>
          <w:spacing w:val="-8"/>
          <w:w w:val="105"/>
        </w:rPr>
        <w:t xml:space="preserve"> </w:t>
      </w:r>
      <w:r w:rsidRPr="00283806">
        <w:rPr>
          <w:w w:val="105"/>
        </w:rPr>
        <w:t>refrigerant</w:t>
      </w:r>
      <w:r w:rsidRPr="00283806">
        <w:rPr>
          <w:spacing w:val="-8"/>
          <w:w w:val="105"/>
        </w:rPr>
        <w:t xml:space="preserve"> </w:t>
      </w:r>
      <w:r w:rsidRPr="00283806">
        <w:rPr>
          <w:w w:val="105"/>
        </w:rPr>
        <w:t>recovered</w:t>
      </w:r>
      <w:r w:rsidRPr="00283806">
        <w:rPr>
          <w:spacing w:val="-8"/>
          <w:w w:val="105"/>
        </w:rPr>
        <w:t xml:space="preserve"> </w:t>
      </w:r>
      <w:r w:rsidRPr="00283806">
        <w:rPr>
          <w:w w:val="105"/>
        </w:rPr>
        <w:t>to</w:t>
      </w:r>
      <w:r w:rsidRPr="00283806">
        <w:rPr>
          <w:spacing w:val="-8"/>
          <w:w w:val="105"/>
        </w:rPr>
        <w:t xml:space="preserve"> </w:t>
      </w:r>
      <w:r w:rsidRPr="00283806">
        <w:rPr>
          <w:w w:val="105"/>
        </w:rPr>
        <w:t>compare</w:t>
      </w:r>
      <w:r w:rsidRPr="00283806">
        <w:rPr>
          <w:spacing w:val="-8"/>
          <w:w w:val="105"/>
        </w:rPr>
        <w:t xml:space="preserve"> </w:t>
      </w:r>
      <w:r w:rsidRPr="00283806">
        <w:rPr>
          <w:w w:val="105"/>
        </w:rPr>
        <w:t>to the amounts purchased by entities</w:t>
      </w:r>
    </w:p>
    <w:p w14:paraId="3B9E6F8F" w14:textId="77777777" w:rsidR="00D67C1E" w:rsidRPr="00283806" w:rsidRDefault="001265CA">
      <w:pPr>
        <w:pStyle w:val="BodyText"/>
        <w:spacing w:before="7"/>
        <w:ind w:left="0"/>
        <w:rPr>
          <w:sz w:val="12"/>
        </w:rPr>
      </w:pPr>
      <w:r w:rsidRPr="00283806">
        <w:rPr>
          <w:noProof/>
        </w:rPr>
        <mc:AlternateContent>
          <mc:Choice Requires="wps">
            <w:drawing>
              <wp:anchor distT="0" distB="0" distL="0" distR="0" simplePos="0" relativeHeight="251657216" behindDoc="1" locked="0" layoutInCell="1" allowOverlap="1" wp14:anchorId="7AC485C0" wp14:editId="3EDF76B7">
                <wp:simplePos x="0" y="0"/>
                <wp:positionH relativeFrom="page">
                  <wp:posOffset>571500</wp:posOffset>
                </wp:positionH>
                <wp:positionV relativeFrom="paragraph">
                  <wp:posOffset>109054</wp:posOffset>
                </wp:positionV>
                <wp:extent cx="635000" cy="1270"/>
                <wp:effectExtent l="0" t="0" r="0" b="0"/>
                <wp:wrapTopAndBottom/>
                <wp:docPr id="89" name="Graphic 8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1CE08C" id="Graphic 89" o:spid="_x0000_s1026" alt="&quot;&quot;" style="position:absolute;margin-left:45pt;margin-top:8.6pt;width:50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" path="m,l635000,e" filled="f" strokeweight=".5pt">
                <v:path arrowok="t"/>
                <w10:wrap type="topAndBottom" anchorx="page"/>
              </v:shape>
            </w:pict>
          </mc:Fallback>
        </mc:AlternateContent>
      </w:r>
    </w:p>
    <w:p w14:paraId="482A8AAE" w14:textId="4EAC4255" w:rsidR="00D67C1E" w:rsidRPr="00283806" w:rsidRDefault="001265CA">
      <w:pPr>
        <w:spacing w:before="42" w:line="228" w:lineRule="auto"/>
        <w:ind w:left="159" w:right="37" w:firstLine="140"/>
        <w:rPr>
          <w:rFonts w:ascii="Book Antiqua"/>
          <w:i/>
          <w:sz w:val="14"/>
        </w:rPr>
      </w:pPr>
      <w:r w:rsidRPr="00283806">
        <w:rPr>
          <w:spacing w:val="-2"/>
          <w:w w:val="115"/>
          <w:position w:val="4"/>
          <w:sz w:val="9"/>
        </w:rPr>
        <w:t xml:space="preserve">105 </w:t>
      </w:r>
      <w:r w:rsidRPr="00283806">
        <w:rPr>
          <w:spacing w:val="-2"/>
          <w:w w:val="115"/>
          <w:sz w:val="14"/>
        </w:rPr>
        <w:t xml:space="preserve">Available at: </w:t>
      </w:r>
      <w:r w:rsidRPr="00283806">
        <w:rPr>
          <w:rFonts w:ascii="Book Antiqua"/>
          <w:i/>
          <w:spacing w:val="-2"/>
          <w:w w:val="115"/>
          <w:sz w:val="14"/>
        </w:rPr>
        <w:t>https://www.epa.gov/section608/</w:t>
      </w:r>
      <w:r w:rsidRPr="00283806">
        <w:rPr>
          <w:rFonts w:ascii="Book Antiqua"/>
          <w:i/>
          <w:spacing w:val="40"/>
          <w:w w:val="115"/>
          <w:sz w:val="14"/>
        </w:rPr>
        <w:t xml:space="preserve"> </w:t>
      </w:r>
      <w:r w:rsidRPr="00283806">
        <w:rPr>
          <w:rFonts w:ascii="Book Antiqua"/>
          <w:i/>
          <w:spacing w:val="-2"/>
          <w:w w:val="115"/>
          <w:sz w:val="14"/>
        </w:rPr>
        <w:t>summary-refrigerant-reclamation-trends.</w:t>
      </w:r>
    </w:p>
    <w:p w14:paraId="231704DD" w14:textId="77777777" w:rsidR="00D67C1E" w:rsidRPr="00283806" w:rsidRDefault="001265CA">
      <w:pPr>
        <w:pStyle w:val="BodyText"/>
        <w:spacing w:before="136" w:line="225" w:lineRule="auto"/>
        <w:ind w:left="144" w:right="17"/>
      </w:pPr>
      <w:r w:rsidRPr="00283806">
        <w:br w:type="column"/>
      </w:r>
      <w:r w:rsidRPr="00283806">
        <w:rPr>
          <w:w w:val="105"/>
        </w:rPr>
        <w:t xml:space="preserve">(identified by use in first fill, servicing, etc.) may be useful to understanding trends in </w:t>
      </w:r>
      <w:proofErr w:type="gramStart"/>
      <w:r w:rsidRPr="00283806">
        <w:rPr>
          <w:w w:val="105"/>
        </w:rPr>
        <w:t>refrigerant</w:t>
      </w:r>
      <w:proofErr w:type="gramEnd"/>
      <w:r w:rsidRPr="00283806">
        <w:rPr>
          <w:w w:val="105"/>
        </w:rPr>
        <w:t xml:space="preserve"> recovery. Such data may also </w:t>
      </w:r>
      <w:proofErr w:type="gramStart"/>
      <w:r w:rsidRPr="00283806">
        <w:rPr>
          <w:w w:val="105"/>
        </w:rPr>
        <w:t>be helpful in understanding</w:t>
      </w:r>
      <w:proofErr w:type="gramEnd"/>
      <w:r w:rsidRPr="00283806">
        <w:rPr>
          <w:w w:val="105"/>
        </w:rPr>
        <w:t xml:space="preserve"> how refrigerant is recovered and recycled in equipment (whether it be</w:t>
      </w:r>
      <w:r w:rsidRPr="00283806">
        <w:rPr>
          <w:spacing w:val="80"/>
          <w:w w:val="105"/>
        </w:rPr>
        <w:t xml:space="preserve"> </w:t>
      </w:r>
      <w:r w:rsidRPr="00283806">
        <w:rPr>
          <w:w w:val="105"/>
        </w:rPr>
        <w:t>the same piece of equipment or another piece of equipment under the same ownership). However, EPA did not propose such information collection, which would require additional</w:t>
      </w:r>
      <w:r w:rsidRPr="00283806">
        <w:rPr>
          <w:spacing w:val="40"/>
          <w:w w:val="105"/>
        </w:rPr>
        <w:t xml:space="preserve"> </w:t>
      </w:r>
      <w:r w:rsidRPr="00283806">
        <w:rPr>
          <w:w w:val="105"/>
        </w:rPr>
        <w:t>reporting by various entities in the supply chain, and notably, reporting</w:t>
      </w:r>
      <w:r w:rsidRPr="00283806">
        <w:rPr>
          <w:spacing w:val="40"/>
          <w:w w:val="105"/>
        </w:rPr>
        <w:t xml:space="preserve"> </w:t>
      </w:r>
      <w:r w:rsidRPr="00283806">
        <w:rPr>
          <w:w w:val="105"/>
        </w:rPr>
        <w:t>from certified technicians performing</w:t>
      </w:r>
      <w:r w:rsidRPr="00283806">
        <w:rPr>
          <w:spacing w:val="40"/>
          <w:w w:val="105"/>
        </w:rPr>
        <w:t xml:space="preserve"> </w:t>
      </w:r>
      <w:r w:rsidRPr="00283806">
        <w:rPr>
          <w:w w:val="105"/>
        </w:rPr>
        <w:t>the actual recovery and servicing and/or repair activities. Further, EPA</w:t>
      </w:r>
      <w:r w:rsidRPr="00283806">
        <w:rPr>
          <w:spacing w:val="80"/>
          <w:w w:val="105"/>
        </w:rPr>
        <w:t xml:space="preserve"> </w:t>
      </w:r>
      <w:r w:rsidRPr="00283806">
        <w:rPr>
          <w:w w:val="105"/>
        </w:rPr>
        <w:t>recognizes the important role</w:t>
      </w:r>
      <w:r w:rsidRPr="00283806">
        <w:rPr>
          <w:spacing w:val="40"/>
          <w:w w:val="105"/>
        </w:rPr>
        <w:t xml:space="preserve"> </w:t>
      </w:r>
      <w:r w:rsidRPr="00283806">
        <w:rPr>
          <w:w w:val="105"/>
        </w:rPr>
        <w:t>technicians play in recovering</w:t>
      </w:r>
      <w:r w:rsidRPr="00283806">
        <w:rPr>
          <w:spacing w:val="40"/>
          <w:w w:val="105"/>
        </w:rPr>
        <w:t xml:space="preserve"> </w:t>
      </w:r>
      <w:proofErr w:type="gramStart"/>
      <w:r w:rsidRPr="00283806">
        <w:rPr>
          <w:w w:val="105"/>
        </w:rPr>
        <w:t>refrigerant</w:t>
      </w:r>
      <w:proofErr w:type="gramEnd"/>
      <w:r w:rsidRPr="00283806">
        <w:rPr>
          <w:w w:val="105"/>
        </w:rPr>
        <w:t xml:space="preserve"> destined for reclamation and that it may be useful to have such information collected; however, the Agency did not propose and is not finalizing recordkeeping or reporting requirements for certified technicians to collect information on the total refrigerants they recover in this rulemaking. However, the Agency notes that it may consider proposing information collection requirements on recovered </w:t>
      </w:r>
      <w:proofErr w:type="gramStart"/>
      <w:r w:rsidRPr="00283806">
        <w:rPr>
          <w:w w:val="105"/>
        </w:rPr>
        <w:t>refrigerant</w:t>
      </w:r>
      <w:proofErr w:type="gramEnd"/>
      <w:r w:rsidRPr="00283806">
        <w:rPr>
          <w:w w:val="105"/>
        </w:rPr>
        <w:t xml:space="preserve">, such as recordkeeping and reporting for technicians on the amount of </w:t>
      </w:r>
      <w:proofErr w:type="gramStart"/>
      <w:r w:rsidRPr="00283806">
        <w:rPr>
          <w:w w:val="105"/>
        </w:rPr>
        <w:t>refrigerant</w:t>
      </w:r>
      <w:proofErr w:type="gramEnd"/>
      <w:r w:rsidRPr="00283806">
        <w:rPr>
          <w:w w:val="105"/>
        </w:rPr>
        <w:t xml:space="preserve"> recovered in a future rulemaking. For example, this suggestion could warrant additional consideration in a potential future rulemaking where the role of technician certification programs is considered more fully.</w:t>
      </w:r>
    </w:p>
    <w:p w14:paraId="452248FC" w14:textId="77777777" w:rsidR="00D67C1E" w:rsidRPr="00283806" w:rsidRDefault="001265CA">
      <w:pPr>
        <w:pStyle w:val="BodyText"/>
        <w:spacing w:line="166" w:lineRule="exact"/>
        <w:ind w:left="324"/>
      </w:pPr>
      <w:r w:rsidRPr="00283806">
        <w:rPr>
          <w:w w:val="105"/>
        </w:rPr>
        <w:t>EPA</w:t>
      </w:r>
      <w:r w:rsidRPr="00283806">
        <w:rPr>
          <w:spacing w:val="11"/>
          <w:w w:val="105"/>
        </w:rPr>
        <w:t xml:space="preserve"> </w:t>
      </w:r>
      <w:r w:rsidRPr="00283806">
        <w:rPr>
          <w:w w:val="105"/>
        </w:rPr>
        <w:t>notes</w:t>
      </w:r>
      <w:r w:rsidRPr="00283806">
        <w:rPr>
          <w:spacing w:val="12"/>
          <w:w w:val="105"/>
        </w:rPr>
        <w:t xml:space="preserve"> </w:t>
      </w:r>
      <w:r w:rsidRPr="00283806">
        <w:rPr>
          <w:w w:val="105"/>
        </w:rPr>
        <w:t>that</w:t>
      </w:r>
      <w:r w:rsidRPr="00283806">
        <w:rPr>
          <w:spacing w:val="12"/>
          <w:w w:val="105"/>
        </w:rPr>
        <w:t xml:space="preserve"> </w:t>
      </w:r>
      <w:r w:rsidRPr="00283806">
        <w:rPr>
          <w:w w:val="105"/>
        </w:rPr>
        <w:t>under</w:t>
      </w:r>
      <w:r w:rsidRPr="00283806">
        <w:rPr>
          <w:spacing w:val="12"/>
          <w:w w:val="105"/>
        </w:rPr>
        <w:t xml:space="preserve"> </w:t>
      </w:r>
      <w:r w:rsidRPr="00283806">
        <w:rPr>
          <w:spacing w:val="-2"/>
          <w:w w:val="105"/>
        </w:rPr>
        <w:t>current</w:t>
      </w:r>
    </w:p>
    <w:p w14:paraId="4F56B5F3" w14:textId="77777777" w:rsidR="00D67C1E" w:rsidRPr="00283806" w:rsidRDefault="001265CA">
      <w:pPr>
        <w:pStyle w:val="BodyText"/>
        <w:spacing w:before="2" w:line="228" w:lineRule="auto"/>
        <w:ind w:left="144" w:right="16"/>
      </w:pPr>
      <w:r w:rsidRPr="00283806">
        <w:rPr>
          <w:w w:val="105"/>
        </w:rPr>
        <w:t>reporting for certified reclaimers per 40 CFR 82.164, reclaimers are required to report on the annual totals of</w:t>
      </w:r>
      <w:r w:rsidRPr="00283806">
        <w:rPr>
          <w:spacing w:val="40"/>
          <w:w w:val="105"/>
        </w:rPr>
        <w:t xml:space="preserve"> </w:t>
      </w:r>
      <w:r w:rsidRPr="00283806">
        <w:rPr>
          <w:w w:val="105"/>
        </w:rPr>
        <w:t>refrigerants they receive. EPA notes the value of reporting on a more granular level, however. As noted previously in this response, EPA is establishing discrete</w:t>
      </w:r>
      <w:r w:rsidRPr="00283806">
        <w:rPr>
          <w:spacing w:val="-10"/>
          <w:w w:val="105"/>
        </w:rPr>
        <w:t xml:space="preserve"> </w:t>
      </w:r>
      <w:r w:rsidRPr="00283806">
        <w:rPr>
          <w:w w:val="105"/>
        </w:rPr>
        <w:t>reporting</w:t>
      </w:r>
      <w:r w:rsidRPr="00283806">
        <w:rPr>
          <w:spacing w:val="-11"/>
          <w:w w:val="105"/>
        </w:rPr>
        <w:t xml:space="preserve"> </w:t>
      </w:r>
      <w:r w:rsidRPr="00283806">
        <w:rPr>
          <w:w w:val="105"/>
        </w:rPr>
        <w:t>requirements</w:t>
      </w:r>
      <w:r w:rsidRPr="00283806">
        <w:rPr>
          <w:spacing w:val="-10"/>
          <w:w w:val="105"/>
        </w:rPr>
        <w:t xml:space="preserve"> </w:t>
      </w:r>
      <w:r w:rsidRPr="00283806">
        <w:rPr>
          <w:w w:val="105"/>
        </w:rPr>
        <w:t>to</w:t>
      </w:r>
      <w:r w:rsidRPr="00283806">
        <w:rPr>
          <w:spacing w:val="-10"/>
          <w:w w:val="105"/>
        </w:rPr>
        <w:t xml:space="preserve"> </w:t>
      </w:r>
      <w:r w:rsidRPr="00283806">
        <w:rPr>
          <w:w w:val="105"/>
        </w:rPr>
        <w:t xml:space="preserve">better understand the availability of reclaimed refrigerants in the covered subsectors prior to the compliance date for these </w:t>
      </w:r>
      <w:r w:rsidRPr="00283806">
        <w:rPr>
          <w:spacing w:val="-2"/>
          <w:w w:val="105"/>
        </w:rPr>
        <w:t>requirements.</w:t>
      </w:r>
    </w:p>
    <w:p w14:paraId="4C8F1347" w14:textId="77777777" w:rsidR="00D67C1E" w:rsidRPr="00283806" w:rsidRDefault="001265CA">
      <w:pPr>
        <w:pStyle w:val="BodyText"/>
        <w:spacing w:line="173" w:lineRule="exact"/>
        <w:ind w:left="324"/>
      </w:pPr>
      <w:r w:rsidRPr="00283806">
        <w:rPr>
          <w:w w:val="110"/>
        </w:rPr>
        <w:t>The</w:t>
      </w:r>
      <w:r w:rsidRPr="00283806">
        <w:rPr>
          <w:spacing w:val="-6"/>
          <w:w w:val="110"/>
        </w:rPr>
        <w:t xml:space="preserve"> </w:t>
      </w:r>
      <w:r w:rsidRPr="00283806">
        <w:rPr>
          <w:w w:val="110"/>
        </w:rPr>
        <w:t>Agency</w:t>
      </w:r>
      <w:r w:rsidRPr="00283806">
        <w:rPr>
          <w:spacing w:val="-5"/>
          <w:w w:val="110"/>
        </w:rPr>
        <w:t xml:space="preserve"> </w:t>
      </w:r>
      <w:r w:rsidRPr="00283806">
        <w:rPr>
          <w:w w:val="110"/>
        </w:rPr>
        <w:t>also</w:t>
      </w:r>
      <w:r w:rsidRPr="00283806">
        <w:rPr>
          <w:spacing w:val="-5"/>
          <w:w w:val="110"/>
        </w:rPr>
        <w:t xml:space="preserve"> </w:t>
      </w:r>
      <w:r w:rsidRPr="00283806">
        <w:rPr>
          <w:w w:val="110"/>
        </w:rPr>
        <w:t>notes</w:t>
      </w:r>
      <w:r w:rsidRPr="00283806">
        <w:rPr>
          <w:spacing w:val="-6"/>
          <w:w w:val="110"/>
        </w:rPr>
        <w:t xml:space="preserve"> </w:t>
      </w:r>
      <w:r w:rsidRPr="00283806">
        <w:rPr>
          <w:w w:val="110"/>
        </w:rPr>
        <w:t>that</w:t>
      </w:r>
      <w:r w:rsidRPr="00283806">
        <w:rPr>
          <w:spacing w:val="-5"/>
          <w:w w:val="110"/>
        </w:rPr>
        <w:t xml:space="preserve"> </w:t>
      </w:r>
      <w:r w:rsidRPr="00283806">
        <w:rPr>
          <w:w w:val="110"/>
        </w:rPr>
        <w:t>in</w:t>
      </w:r>
      <w:r w:rsidRPr="00283806">
        <w:rPr>
          <w:spacing w:val="-5"/>
          <w:w w:val="110"/>
        </w:rPr>
        <w:t xml:space="preserve"> </w:t>
      </w:r>
      <w:r w:rsidRPr="00283806">
        <w:rPr>
          <w:spacing w:val="-2"/>
          <w:w w:val="110"/>
        </w:rPr>
        <w:t>issuing</w:t>
      </w:r>
    </w:p>
    <w:p w14:paraId="27E36921" w14:textId="77777777" w:rsidR="00D67C1E" w:rsidRPr="00283806" w:rsidRDefault="001265CA">
      <w:pPr>
        <w:pStyle w:val="BodyText"/>
        <w:spacing w:before="3" w:line="228" w:lineRule="auto"/>
        <w:ind w:left="144" w:right="-6"/>
      </w:pPr>
      <w:r w:rsidRPr="00283806">
        <w:rPr>
          <w:w w:val="110"/>
        </w:rPr>
        <w:t xml:space="preserve">the proposed rule and reviewing comments in development of this final </w:t>
      </w:r>
      <w:r w:rsidRPr="00283806">
        <w:rPr>
          <w:spacing w:val="-2"/>
          <w:w w:val="110"/>
        </w:rPr>
        <w:t>rule,</w:t>
      </w:r>
      <w:r w:rsidRPr="00283806">
        <w:rPr>
          <w:spacing w:val="-8"/>
          <w:w w:val="110"/>
        </w:rPr>
        <w:t xml:space="preserve"> </w:t>
      </w:r>
      <w:r w:rsidRPr="00283806">
        <w:rPr>
          <w:spacing w:val="-2"/>
          <w:w w:val="110"/>
        </w:rPr>
        <w:t>we</w:t>
      </w:r>
      <w:r w:rsidRPr="00283806">
        <w:rPr>
          <w:spacing w:val="-8"/>
          <w:w w:val="110"/>
        </w:rPr>
        <w:t xml:space="preserve"> </w:t>
      </w:r>
      <w:r w:rsidRPr="00283806">
        <w:rPr>
          <w:spacing w:val="-2"/>
          <w:w w:val="110"/>
        </w:rPr>
        <w:t>reviewed</w:t>
      </w:r>
      <w:r w:rsidRPr="00283806">
        <w:rPr>
          <w:spacing w:val="-8"/>
          <w:w w:val="110"/>
        </w:rPr>
        <w:t xml:space="preserve"> </w:t>
      </w:r>
      <w:r w:rsidRPr="00283806">
        <w:rPr>
          <w:spacing w:val="-2"/>
          <w:w w:val="110"/>
        </w:rPr>
        <w:t>information</w:t>
      </w:r>
      <w:r w:rsidRPr="00283806">
        <w:rPr>
          <w:spacing w:val="-8"/>
          <w:w w:val="110"/>
        </w:rPr>
        <w:t xml:space="preserve"> </w:t>
      </w:r>
      <w:r w:rsidRPr="00283806">
        <w:rPr>
          <w:spacing w:val="-2"/>
          <w:w w:val="110"/>
        </w:rPr>
        <w:t>on</w:t>
      </w:r>
      <w:r w:rsidRPr="00283806">
        <w:rPr>
          <w:spacing w:val="-8"/>
          <w:w w:val="110"/>
        </w:rPr>
        <w:t xml:space="preserve"> </w:t>
      </w:r>
      <w:r w:rsidRPr="00283806">
        <w:rPr>
          <w:spacing w:val="-2"/>
          <w:w w:val="110"/>
        </w:rPr>
        <w:t>the</w:t>
      </w:r>
      <w:r w:rsidRPr="00283806">
        <w:rPr>
          <w:spacing w:val="-8"/>
          <w:w w:val="110"/>
        </w:rPr>
        <w:t xml:space="preserve"> </w:t>
      </w:r>
      <w:r w:rsidRPr="00283806">
        <w:rPr>
          <w:spacing w:val="-2"/>
          <w:w w:val="110"/>
        </w:rPr>
        <w:t xml:space="preserve">R4 </w:t>
      </w:r>
      <w:r w:rsidRPr="00283806">
        <w:rPr>
          <w:w w:val="110"/>
        </w:rPr>
        <w:t>Program,</w:t>
      </w:r>
      <w:r w:rsidRPr="00283806">
        <w:rPr>
          <w:spacing w:val="-11"/>
          <w:w w:val="110"/>
        </w:rPr>
        <w:t xml:space="preserve"> </w:t>
      </w:r>
      <w:r w:rsidRPr="00283806">
        <w:rPr>
          <w:w w:val="110"/>
        </w:rPr>
        <w:t>including</w:t>
      </w:r>
      <w:r w:rsidRPr="00283806">
        <w:rPr>
          <w:spacing w:val="-11"/>
          <w:w w:val="110"/>
        </w:rPr>
        <w:t xml:space="preserve"> </w:t>
      </w:r>
      <w:r w:rsidRPr="00283806">
        <w:rPr>
          <w:w w:val="110"/>
        </w:rPr>
        <w:t>a</w:t>
      </w:r>
      <w:r w:rsidRPr="00283806">
        <w:rPr>
          <w:spacing w:val="-11"/>
          <w:w w:val="110"/>
        </w:rPr>
        <w:t xml:space="preserve"> </w:t>
      </w:r>
      <w:r w:rsidRPr="00283806">
        <w:rPr>
          <w:w w:val="110"/>
        </w:rPr>
        <w:t>review</w:t>
      </w:r>
      <w:r w:rsidRPr="00283806">
        <w:rPr>
          <w:spacing w:val="-11"/>
          <w:w w:val="110"/>
        </w:rPr>
        <w:t xml:space="preserve"> </w:t>
      </w:r>
      <w:r w:rsidRPr="00283806">
        <w:rPr>
          <w:w w:val="110"/>
        </w:rPr>
        <w:t>of</w:t>
      </w:r>
      <w:r w:rsidRPr="00283806">
        <w:rPr>
          <w:spacing w:val="-11"/>
          <w:w w:val="110"/>
        </w:rPr>
        <w:t xml:space="preserve"> </w:t>
      </w:r>
      <w:r w:rsidRPr="00283806">
        <w:rPr>
          <w:w w:val="110"/>
        </w:rPr>
        <w:t>the</w:t>
      </w:r>
      <w:r w:rsidRPr="00283806">
        <w:rPr>
          <w:spacing w:val="-11"/>
          <w:w w:val="110"/>
        </w:rPr>
        <w:t xml:space="preserve"> </w:t>
      </w:r>
      <w:r w:rsidRPr="00283806">
        <w:rPr>
          <w:w w:val="110"/>
        </w:rPr>
        <w:t>State agency’s</w:t>
      </w:r>
      <w:r w:rsidRPr="00283806">
        <w:rPr>
          <w:spacing w:val="-11"/>
          <w:w w:val="110"/>
        </w:rPr>
        <w:t xml:space="preserve"> </w:t>
      </w:r>
      <w:r w:rsidRPr="00283806">
        <w:rPr>
          <w:w w:val="110"/>
        </w:rPr>
        <w:t>statement</w:t>
      </w:r>
      <w:r w:rsidRPr="00283806">
        <w:rPr>
          <w:spacing w:val="-11"/>
          <w:w w:val="110"/>
        </w:rPr>
        <w:t xml:space="preserve"> </w:t>
      </w:r>
      <w:r w:rsidRPr="00283806">
        <w:rPr>
          <w:w w:val="110"/>
        </w:rPr>
        <w:t>of</w:t>
      </w:r>
      <w:r w:rsidRPr="00283806">
        <w:rPr>
          <w:spacing w:val="-11"/>
          <w:w w:val="110"/>
        </w:rPr>
        <w:t xml:space="preserve"> </w:t>
      </w:r>
      <w:r w:rsidRPr="00283806">
        <w:rPr>
          <w:w w:val="110"/>
        </w:rPr>
        <w:t>reasons</w:t>
      </w:r>
      <w:r w:rsidRPr="00283806">
        <w:rPr>
          <w:spacing w:val="-11"/>
          <w:w w:val="110"/>
        </w:rPr>
        <w:t xml:space="preserve"> </w:t>
      </w:r>
      <w:r w:rsidRPr="00283806">
        <w:rPr>
          <w:w w:val="110"/>
        </w:rPr>
        <w:t>related</w:t>
      </w:r>
      <w:r w:rsidRPr="00283806">
        <w:rPr>
          <w:spacing w:val="-11"/>
          <w:w w:val="110"/>
        </w:rPr>
        <w:t xml:space="preserve"> </w:t>
      </w:r>
      <w:r w:rsidRPr="00283806">
        <w:rPr>
          <w:w w:val="110"/>
        </w:rPr>
        <w:t>to establishing</w:t>
      </w:r>
      <w:r w:rsidRPr="00283806">
        <w:rPr>
          <w:spacing w:val="-9"/>
          <w:w w:val="110"/>
        </w:rPr>
        <w:t xml:space="preserve"> </w:t>
      </w:r>
      <w:r w:rsidRPr="00283806">
        <w:rPr>
          <w:w w:val="110"/>
        </w:rPr>
        <w:t>such</w:t>
      </w:r>
      <w:r w:rsidRPr="00283806">
        <w:rPr>
          <w:spacing w:val="-9"/>
          <w:w w:val="110"/>
        </w:rPr>
        <w:t xml:space="preserve"> </w:t>
      </w:r>
      <w:r w:rsidRPr="00283806">
        <w:rPr>
          <w:w w:val="110"/>
        </w:rPr>
        <w:t>a</w:t>
      </w:r>
      <w:r w:rsidRPr="00283806">
        <w:rPr>
          <w:spacing w:val="-9"/>
          <w:w w:val="110"/>
        </w:rPr>
        <w:t xml:space="preserve"> </w:t>
      </w:r>
      <w:r w:rsidRPr="00283806">
        <w:rPr>
          <w:w w:val="110"/>
        </w:rPr>
        <w:t>program.</w:t>
      </w:r>
      <w:r w:rsidRPr="00283806">
        <w:rPr>
          <w:spacing w:val="-9"/>
          <w:w w:val="110"/>
        </w:rPr>
        <w:t xml:space="preserve"> </w:t>
      </w:r>
      <w:r w:rsidRPr="00283806">
        <w:rPr>
          <w:w w:val="110"/>
        </w:rPr>
        <w:t>EPA</w:t>
      </w:r>
      <w:r w:rsidRPr="00283806">
        <w:rPr>
          <w:spacing w:val="-9"/>
          <w:w w:val="110"/>
        </w:rPr>
        <w:t xml:space="preserve"> </w:t>
      </w:r>
      <w:r w:rsidRPr="00283806">
        <w:rPr>
          <w:w w:val="110"/>
        </w:rPr>
        <w:t>found this</w:t>
      </w:r>
      <w:r w:rsidRPr="00283806">
        <w:rPr>
          <w:spacing w:val="-11"/>
          <w:w w:val="110"/>
        </w:rPr>
        <w:t xml:space="preserve"> </w:t>
      </w:r>
      <w:r w:rsidRPr="00283806">
        <w:rPr>
          <w:w w:val="110"/>
        </w:rPr>
        <w:t>to</w:t>
      </w:r>
      <w:r w:rsidRPr="00283806">
        <w:rPr>
          <w:spacing w:val="-11"/>
          <w:w w:val="110"/>
        </w:rPr>
        <w:t xml:space="preserve"> </w:t>
      </w:r>
      <w:r w:rsidRPr="00283806">
        <w:rPr>
          <w:w w:val="110"/>
        </w:rPr>
        <w:t>be</w:t>
      </w:r>
      <w:r w:rsidRPr="00283806">
        <w:rPr>
          <w:spacing w:val="-11"/>
          <w:w w:val="110"/>
        </w:rPr>
        <w:t xml:space="preserve"> </w:t>
      </w:r>
      <w:r w:rsidRPr="00283806">
        <w:rPr>
          <w:w w:val="110"/>
        </w:rPr>
        <w:t>a</w:t>
      </w:r>
      <w:r w:rsidRPr="00283806">
        <w:rPr>
          <w:spacing w:val="-11"/>
          <w:w w:val="110"/>
        </w:rPr>
        <w:t xml:space="preserve"> </w:t>
      </w:r>
      <w:r w:rsidRPr="00283806">
        <w:rPr>
          <w:w w:val="110"/>
        </w:rPr>
        <w:t>useful</w:t>
      </w:r>
      <w:r w:rsidRPr="00283806">
        <w:rPr>
          <w:spacing w:val="-11"/>
          <w:w w:val="110"/>
        </w:rPr>
        <w:t xml:space="preserve"> </w:t>
      </w:r>
      <w:r w:rsidRPr="00283806">
        <w:rPr>
          <w:w w:val="110"/>
        </w:rPr>
        <w:t>source</w:t>
      </w:r>
      <w:r w:rsidRPr="00283806">
        <w:rPr>
          <w:spacing w:val="-11"/>
          <w:w w:val="110"/>
        </w:rPr>
        <w:t xml:space="preserve"> </w:t>
      </w:r>
      <w:r w:rsidRPr="00283806">
        <w:rPr>
          <w:w w:val="110"/>
        </w:rPr>
        <w:t>of</w:t>
      </w:r>
      <w:r w:rsidRPr="00283806">
        <w:rPr>
          <w:spacing w:val="-11"/>
          <w:w w:val="110"/>
        </w:rPr>
        <w:t xml:space="preserve"> </w:t>
      </w:r>
      <w:r w:rsidRPr="00283806">
        <w:rPr>
          <w:w w:val="110"/>
        </w:rPr>
        <w:t xml:space="preserve">information. </w:t>
      </w:r>
      <w:r w:rsidRPr="00283806">
        <w:rPr>
          <w:spacing w:val="-2"/>
          <w:w w:val="110"/>
        </w:rPr>
        <w:t>EPA</w:t>
      </w:r>
      <w:r w:rsidRPr="00283806">
        <w:rPr>
          <w:spacing w:val="-9"/>
          <w:w w:val="110"/>
        </w:rPr>
        <w:t xml:space="preserve"> </w:t>
      </w:r>
      <w:r w:rsidRPr="00283806">
        <w:rPr>
          <w:spacing w:val="-2"/>
          <w:w w:val="110"/>
        </w:rPr>
        <w:t>notes</w:t>
      </w:r>
      <w:r w:rsidRPr="00283806">
        <w:rPr>
          <w:spacing w:val="-9"/>
          <w:w w:val="110"/>
        </w:rPr>
        <w:t xml:space="preserve"> </w:t>
      </w:r>
      <w:r w:rsidRPr="00283806">
        <w:rPr>
          <w:spacing w:val="-2"/>
          <w:w w:val="110"/>
        </w:rPr>
        <w:t>that</w:t>
      </w:r>
      <w:r w:rsidRPr="00283806">
        <w:rPr>
          <w:spacing w:val="-9"/>
          <w:w w:val="110"/>
        </w:rPr>
        <w:t xml:space="preserve"> </w:t>
      </w:r>
      <w:r w:rsidRPr="00283806">
        <w:rPr>
          <w:spacing w:val="-2"/>
          <w:w w:val="110"/>
        </w:rPr>
        <w:t>the</w:t>
      </w:r>
      <w:r w:rsidRPr="00283806">
        <w:rPr>
          <w:spacing w:val="-9"/>
          <w:w w:val="110"/>
        </w:rPr>
        <w:t xml:space="preserve"> </w:t>
      </w:r>
      <w:r w:rsidRPr="00283806">
        <w:rPr>
          <w:spacing w:val="-2"/>
          <w:w w:val="110"/>
        </w:rPr>
        <w:t>data</w:t>
      </w:r>
      <w:r w:rsidRPr="00283806">
        <w:rPr>
          <w:spacing w:val="-9"/>
          <w:w w:val="110"/>
        </w:rPr>
        <w:t xml:space="preserve"> </w:t>
      </w:r>
      <w:r w:rsidRPr="00283806">
        <w:rPr>
          <w:spacing w:val="-2"/>
          <w:w w:val="110"/>
        </w:rPr>
        <w:t>presented</w:t>
      </w:r>
      <w:r w:rsidRPr="00283806">
        <w:rPr>
          <w:spacing w:val="-9"/>
          <w:w w:val="110"/>
        </w:rPr>
        <w:t xml:space="preserve"> </w:t>
      </w:r>
      <w:r w:rsidRPr="00283806">
        <w:rPr>
          <w:spacing w:val="-2"/>
          <w:w w:val="110"/>
        </w:rPr>
        <w:t>by</w:t>
      </w:r>
      <w:r w:rsidRPr="00283806">
        <w:rPr>
          <w:spacing w:val="-9"/>
          <w:w w:val="110"/>
        </w:rPr>
        <w:t xml:space="preserve"> </w:t>
      </w:r>
      <w:r w:rsidRPr="00283806">
        <w:rPr>
          <w:spacing w:val="-2"/>
          <w:w w:val="110"/>
        </w:rPr>
        <w:t xml:space="preserve">the </w:t>
      </w:r>
      <w:r w:rsidRPr="00283806">
        <w:rPr>
          <w:w w:val="110"/>
        </w:rPr>
        <w:t>commenter alluding to the increase in R–410A</w:t>
      </w:r>
      <w:r w:rsidRPr="00283806">
        <w:rPr>
          <w:spacing w:val="-11"/>
          <w:w w:val="110"/>
        </w:rPr>
        <w:t xml:space="preserve"> </w:t>
      </w:r>
      <w:r w:rsidRPr="00283806">
        <w:rPr>
          <w:w w:val="110"/>
        </w:rPr>
        <w:t>reclamation</w:t>
      </w:r>
      <w:r w:rsidRPr="00283806">
        <w:rPr>
          <w:spacing w:val="-11"/>
          <w:w w:val="110"/>
        </w:rPr>
        <w:t xml:space="preserve"> </w:t>
      </w:r>
      <w:r w:rsidRPr="00283806">
        <w:rPr>
          <w:w w:val="110"/>
        </w:rPr>
        <w:t>from</w:t>
      </w:r>
      <w:r w:rsidRPr="00283806">
        <w:rPr>
          <w:spacing w:val="-11"/>
          <w:w w:val="110"/>
        </w:rPr>
        <w:t xml:space="preserve"> </w:t>
      </w:r>
      <w:r w:rsidRPr="00283806">
        <w:rPr>
          <w:w w:val="110"/>
        </w:rPr>
        <w:t>2021</w:t>
      </w:r>
      <w:r w:rsidRPr="00283806">
        <w:rPr>
          <w:spacing w:val="-11"/>
          <w:w w:val="110"/>
        </w:rPr>
        <w:t xml:space="preserve"> </w:t>
      </w:r>
      <w:r w:rsidRPr="00283806">
        <w:rPr>
          <w:w w:val="110"/>
        </w:rPr>
        <w:t>to</w:t>
      </w:r>
      <w:r w:rsidRPr="00283806">
        <w:rPr>
          <w:spacing w:val="-11"/>
          <w:w w:val="110"/>
        </w:rPr>
        <w:t xml:space="preserve"> </w:t>
      </w:r>
      <w:r w:rsidRPr="00283806">
        <w:rPr>
          <w:w w:val="110"/>
        </w:rPr>
        <w:t>2022 reference EPA’s published data on reclamation totals as reported under EPA’s CAA section 608 regulations.</w:t>
      </w:r>
      <w:r w:rsidRPr="00283806">
        <w:rPr>
          <w:w w:val="110"/>
          <w:position w:val="5"/>
          <w:sz w:val="11"/>
        </w:rPr>
        <w:t>106</w:t>
      </w:r>
      <w:r w:rsidRPr="00283806">
        <w:rPr>
          <w:spacing w:val="40"/>
          <w:w w:val="110"/>
          <w:position w:val="5"/>
          <w:sz w:val="11"/>
        </w:rPr>
        <w:t xml:space="preserve"> </w:t>
      </w:r>
      <w:r w:rsidRPr="00283806">
        <w:rPr>
          <w:w w:val="110"/>
        </w:rPr>
        <w:t>The total increase in R–410A</w:t>
      </w:r>
    </w:p>
    <w:p w14:paraId="5A44E4C3" w14:textId="77777777" w:rsidR="00D67C1E" w:rsidRPr="00283806" w:rsidRDefault="001265CA">
      <w:pPr>
        <w:pStyle w:val="BodyText"/>
        <w:spacing w:before="5"/>
        <w:ind w:left="0"/>
        <w:rPr>
          <w:sz w:val="12"/>
        </w:rPr>
      </w:pPr>
      <w:r w:rsidRPr="00283806">
        <w:rPr>
          <w:noProof/>
        </w:rPr>
        <mc:AlternateContent>
          <mc:Choice Requires="wps">
            <w:drawing>
              <wp:anchor distT="0" distB="0" distL="0" distR="0" simplePos="0" relativeHeight="251658240" behindDoc="1" locked="0" layoutInCell="1" allowOverlap="1" wp14:anchorId="5F929D8F" wp14:editId="5293C7C6">
                <wp:simplePos x="0" y="0"/>
                <wp:positionH relativeFrom="page">
                  <wp:posOffset>2819400</wp:posOffset>
                </wp:positionH>
                <wp:positionV relativeFrom="paragraph">
                  <wp:posOffset>108229</wp:posOffset>
                </wp:positionV>
                <wp:extent cx="635000" cy="1270"/>
                <wp:effectExtent l="0" t="0" r="0" b="0"/>
                <wp:wrapTopAndBottom/>
                <wp:docPr id="90" name="Graphic 9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C683143" id="Graphic 90" o:spid="_x0000_s1026" alt="&quot;&quot;" style="position:absolute;margin-left:222pt;margin-top:8.5pt;width:50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" path="m,l635000,e" filled="f" strokeweight=".5pt">
                <v:path arrowok="t"/>
                <w10:wrap type="topAndBottom" anchorx="page"/>
              </v:shape>
            </w:pict>
          </mc:Fallback>
        </mc:AlternateContent>
      </w:r>
    </w:p>
    <w:p w14:paraId="2008FB83" w14:textId="4954935C" w:rsidR="00D67C1E" w:rsidRPr="00283806" w:rsidRDefault="001265CA">
      <w:pPr>
        <w:spacing w:before="42" w:line="228" w:lineRule="auto"/>
        <w:ind w:left="144" w:right="28" w:firstLine="140"/>
        <w:rPr>
          <w:rFonts w:ascii="Book Antiqua"/>
          <w:i/>
          <w:sz w:val="14"/>
        </w:rPr>
      </w:pPr>
      <w:r w:rsidRPr="00283806">
        <w:rPr>
          <w:spacing w:val="-2"/>
          <w:w w:val="115"/>
          <w:position w:val="4"/>
          <w:sz w:val="9"/>
        </w:rPr>
        <w:t xml:space="preserve">106 </w:t>
      </w:r>
      <w:r w:rsidRPr="00283806">
        <w:rPr>
          <w:spacing w:val="-2"/>
          <w:w w:val="115"/>
          <w:sz w:val="14"/>
        </w:rPr>
        <w:t xml:space="preserve">Available at: </w:t>
      </w:r>
      <w:r w:rsidRPr="00283806">
        <w:rPr>
          <w:rFonts w:ascii="Book Antiqua"/>
          <w:i/>
          <w:spacing w:val="-2"/>
          <w:w w:val="115"/>
          <w:sz w:val="14"/>
        </w:rPr>
        <w:t>https://www.epa.gov/section608/</w:t>
      </w:r>
      <w:r w:rsidRPr="00283806">
        <w:rPr>
          <w:rFonts w:ascii="Book Antiqua"/>
          <w:i/>
          <w:spacing w:val="40"/>
          <w:w w:val="115"/>
          <w:sz w:val="14"/>
        </w:rPr>
        <w:t xml:space="preserve"> </w:t>
      </w:r>
      <w:r w:rsidRPr="00283806">
        <w:rPr>
          <w:rFonts w:ascii="Book Antiqua"/>
          <w:i/>
          <w:spacing w:val="-2"/>
          <w:w w:val="115"/>
          <w:sz w:val="14"/>
        </w:rPr>
        <w:t>summary-refrigerant-reclamation-trends.</w:t>
      </w:r>
    </w:p>
    <w:p w14:paraId="13A58EEF" w14:textId="77777777" w:rsidR="00D67C1E" w:rsidRPr="00283806" w:rsidRDefault="001265CA">
      <w:pPr>
        <w:pStyle w:val="BodyText"/>
        <w:spacing w:before="126" w:line="206" w:lineRule="exact"/>
        <w:ind w:left="154"/>
      </w:pPr>
      <w:r w:rsidRPr="00283806">
        <w:br w:type="column"/>
      </w:r>
      <w:r w:rsidRPr="00283806">
        <w:rPr>
          <w:w w:val="105"/>
        </w:rPr>
        <w:t>reclamation</w:t>
      </w:r>
      <w:r w:rsidRPr="00283806">
        <w:rPr>
          <w:spacing w:val="-1"/>
          <w:w w:val="105"/>
        </w:rPr>
        <w:t xml:space="preserve"> </w:t>
      </w:r>
      <w:r w:rsidRPr="00283806">
        <w:rPr>
          <w:w w:val="105"/>
        </w:rPr>
        <w:t>from</w:t>
      </w:r>
      <w:r w:rsidRPr="00283806">
        <w:rPr>
          <w:spacing w:val="-1"/>
          <w:w w:val="105"/>
        </w:rPr>
        <w:t xml:space="preserve"> </w:t>
      </w:r>
      <w:r w:rsidRPr="00283806">
        <w:rPr>
          <w:w w:val="105"/>
        </w:rPr>
        <w:t>2021</w:t>
      </w:r>
      <w:r w:rsidRPr="00283806">
        <w:rPr>
          <w:spacing w:val="-1"/>
          <w:w w:val="105"/>
        </w:rPr>
        <w:t xml:space="preserve"> </w:t>
      </w:r>
      <w:r w:rsidRPr="00283806">
        <w:rPr>
          <w:w w:val="105"/>
        </w:rPr>
        <w:t>to</w:t>
      </w:r>
      <w:r w:rsidRPr="00283806">
        <w:rPr>
          <w:spacing w:val="-1"/>
          <w:w w:val="105"/>
        </w:rPr>
        <w:t xml:space="preserve"> </w:t>
      </w:r>
      <w:r w:rsidRPr="00283806">
        <w:rPr>
          <w:w w:val="105"/>
        </w:rPr>
        <w:t xml:space="preserve">2022 </w:t>
      </w:r>
      <w:r w:rsidRPr="00283806">
        <w:rPr>
          <w:spacing w:val="-5"/>
          <w:w w:val="105"/>
        </w:rPr>
        <w:t>was</w:t>
      </w:r>
    </w:p>
    <w:p w14:paraId="51691F18" w14:textId="77777777" w:rsidR="00D67C1E" w:rsidRPr="00283806" w:rsidRDefault="001265CA">
      <w:pPr>
        <w:pStyle w:val="BodyText"/>
        <w:spacing w:before="3" w:line="228" w:lineRule="auto"/>
        <w:ind w:left="154" w:right="185"/>
      </w:pPr>
      <w:r w:rsidRPr="00283806">
        <w:rPr>
          <w:w w:val="105"/>
        </w:rPr>
        <w:t>approximately 1.04 million pounds (520 tons). While this increase was greater than previous years’ trends, EPA did not explicitly discuss with CARB the use of the early action pathway related to the State’s R4 Program. This program may have contributed to the increase in reclamation of R–410A from 2021 to 2022; however, the Agency is also aware that reclaimers have been building additional capacity and notes that increased reclamation could also be a result of other factors, such as the progression of the HFC phasedown. For example, the reclamation of HFC–134a also saw a significant increase from</w:t>
      </w:r>
      <w:r w:rsidRPr="00283806">
        <w:rPr>
          <w:spacing w:val="80"/>
          <w:w w:val="150"/>
        </w:rPr>
        <w:t xml:space="preserve"> </w:t>
      </w:r>
      <w:r w:rsidRPr="00283806">
        <w:rPr>
          <w:w w:val="105"/>
        </w:rPr>
        <w:t>2021 to 2022 of approximately 473,000 pounds</w:t>
      </w:r>
      <w:r w:rsidRPr="00283806">
        <w:rPr>
          <w:spacing w:val="40"/>
          <w:w w:val="105"/>
        </w:rPr>
        <w:t xml:space="preserve"> </w:t>
      </w:r>
      <w:r w:rsidRPr="00283806">
        <w:rPr>
          <w:w w:val="105"/>
        </w:rPr>
        <w:t>(237</w:t>
      </w:r>
      <w:r w:rsidRPr="00283806">
        <w:rPr>
          <w:spacing w:val="40"/>
          <w:w w:val="105"/>
        </w:rPr>
        <w:t xml:space="preserve"> </w:t>
      </w:r>
      <w:r w:rsidRPr="00283806">
        <w:rPr>
          <w:w w:val="105"/>
        </w:rPr>
        <w:t>tons).</w:t>
      </w:r>
      <w:r w:rsidRPr="00283806">
        <w:rPr>
          <w:spacing w:val="40"/>
          <w:w w:val="105"/>
        </w:rPr>
        <w:t xml:space="preserve"> </w:t>
      </w:r>
      <w:r w:rsidRPr="00283806">
        <w:rPr>
          <w:w w:val="105"/>
        </w:rPr>
        <w:t>Further,</w:t>
      </w:r>
      <w:r w:rsidRPr="00283806">
        <w:rPr>
          <w:spacing w:val="40"/>
          <w:w w:val="105"/>
        </w:rPr>
        <w:t xml:space="preserve"> </w:t>
      </w:r>
      <w:r w:rsidRPr="00283806">
        <w:rPr>
          <w:w w:val="105"/>
        </w:rPr>
        <w:t>the</w:t>
      </w:r>
      <w:r w:rsidRPr="00283806">
        <w:rPr>
          <w:spacing w:val="40"/>
          <w:w w:val="105"/>
        </w:rPr>
        <w:t xml:space="preserve"> </w:t>
      </w:r>
      <w:r w:rsidRPr="00283806">
        <w:rPr>
          <w:w w:val="105"/>
        </w:rPr>
        <w:t xml:space="preserve">CARB R4 Program is applied at the State level and this rulemaking applies at the national level and </w:t>
      </w:r>
      <w:proofErr w:type="gramStart"/>
      <w:r w:rsidRPr="00283806">
        <w:rPr>
          <w:w w:val="105"/>
        </w:rPr>
        <w:t>thus,</w:t>
      </w:r>
      <w:proofErr w:type="gramEnd"/>
      <w:r w:rsidRPr="00283806">
        <w:rPr>
          <w:w w:val="105"/>
        </w:rPr>
        <w:t xml:space="preserve"> considers the availability of reclaimed HFCs</w:t>
      </w:r>
      <w:r w:rsidRPr="00283806">
        <w:rPr>
          <w:spacing w:val="40"/>
          <w:w w:val="105"/>
        </w:rPr>
        <w:t xml:space="preserve"> </w:t>
      </w:r>
      <w:r w:rsidRPr="00283806">
        <w:rPr>
          <w:w w:val="105"/>
        </w:rPr>
        <w:t>nationwide. Entities may choose to service and/or repair their refrigerant- containing equipment with reclaimed HFCs prior to the compliance dates. The compliance dates for this rule were informed by analysis (</w:t>
      </w:r>
      <w:r w:rsidRPr="00283806">
        <w:rPr>
          <w:rFonts w:ascii="Book Antiqua" w:hAnsi="Book Antiqua"/>
          <w:i/>
          <w:w w:val="105"/>
        </w:rPr>
        <w:t xml:space="preserve">e.g., </w:t>
      </w:r>
      <w:r w:rsidRPr="00283806">
        <w:rPr>
          <w:w w:val="105"/>
        </w:rPr>
        <w:t>assessing the estimated demand of reclaimed HFCs) and consideration of comments received on the proposed rule, and they allow the reclamation industry to provide</w:t>
      </w:r>
      <w:r w:rsidRPr="00283806">
        <w:rPr>
          <w:spacing w:val="40"/>
          <w:w w:val="105"/>
        </w:rPr>
        <w:t xml:space="preserve"> </w:t>
      </w:r>
      <w:r w:rsidRPr="00283806">
        <w:rPr>
          <w:w w:val="105"/>
        </w:rPr>
        <w:t xml:space="preserve">sufficient supply for servicing and/or repair of refrigerant-containing equipment in the affected RACHP subsectors with reclaimed HFCs. With these considerations, the Agency is not establishing an early action option for compliance </w:t>
      </w:r>
      <w:proofErr w:type="gramStart"/>
      <w:r w:rsidRPr="00283806">
        <w:rPr>
          <w:w w:val="105"/>
        </w:rPr>
        <w:t>at this time</w:t>
      </w:r>
      <w:proofErr w:type="gramEnd"/>
      <w:r w:rsidRPr="00283806">
        <w:rPr>
          <w:w w:val="105"/>
        </w:rPr>
        <w:t>.</w:t>
      </w:r>
    </w:p>
    <w:p w14:paraId="48DAC55E" w14:textId="77777777" w:rsidR="00D67C1E" w:rsidRPr="00283806" w:rsidRDefault="001265CA">
      <w:pPr>
        <w:pStyle w:val="BodyText"/>
        <w:spacing w:before="10" w:line="228" w:lineRule="auto"/>
        <w:ind w:left="154" w:right="228" w:firstLine="180"/>
      </w:pPr>
      <w:r w:rsidRPr="00283806">
        <w:rPr>
          <w:rFonts w:ascii="Book Antiqua"/>
          <w:i/>
          <w:w w:val="105"/>
        </w:rPr>
        <w:t xml:space="preserve">Comment: </w:t>
      </w:r>
      <w:r w:rsidRPr="00283806">
        <w:rPr>
          <w:w w:val="105"/>
        </w:rPr>
        <w:t>One commenter noted that the reclaim industry has already</w:t>
      </w:r>
      <w:r w:rsidRPr="00283806">
        <w:rPr>
          <w:spacing w:val="80"/>
          <w:w w:val="150"/>
        </w:rPr>
        <w:t xml:space="preserve"> </w:t>
      </w:r>
      <w:r w:rsidRPr="00283806">
        <w:rPr>
          <w:w w:val="105"/>
        </w:rPr>
        <w:t>reached a large scale of reclaimable refrigerant even though there was no Congressional mandate to reclaim this product and the public was generally unaware of the negative environmental effects associated with HFC refrigerant emissions. The commenter stated that EPA can meet its 100 percent reclaim usage goals through rapid scaling of recovery rates for HFC refrigerants</w:t>
      </w:r>
      <w:r w:rsidRPr="00283806">
        <w:rPr>
          <w:spacing w:val="40"/>
          <w:w w:val="105"/>
        </w:rPr>
        <w:t xml:space="preserve"> </w:t>
      </w:r>
      <w:r w:rsidRPr="00283806">
        <w:rPr>
          <w:w w:val="105"/>
        </w:rPr>
        <w:t>under the AIM Act which has already given HFCs high economic value. The commenter suggested that the</w:t>
      </w:r>
      <w:r w:rsidRPr="00283806">
        <w:rPr>
          <w:spacing w:val="40"/>
          <w:w w:val="105"/>
        </w:rPr>
        <w:t xml:space="preserve"> </w:t>
      </w:r>
      <w:r w:rsidRPr="00283806">
        <w:rPr>
          <w:w w:val="105"/>
        </w:rPr>
        <w:t>refrigerant in the installed base aftermarket and in equipment approaching its EOL will both coincide well with recovery opportunities. The commenter stated that the servicing sector,</w:t>
      </w:r>
      <w:r w:rsidRPr="00283806">
        <w:rPr>
          <w:spacing w:val="40"/>
          <w:w w:val="105"/>
        </w:rPr>
        <w:t xml:space="preserve"> </w:t>
      </w:r>
      <w:r w:rsidRPr="00283806">
        <w:rPr>
          <w:w w:val="105"/>
        </w:rPr>
        <w:t>specifically</w:t>
      </w:r>
      <w:r w:rsidRPr="00283806">
        <w:rPr>
          <w:spacing w:val="40"/>
          <w:w w:val="105"/>
        </w:rPr>
        <w:t xml:space="preserve"> </w:t>
      </w:r>
      <w:r w:rsidRPr="00283806">
        <w:rPr>
          <w:w w:val="105"/>
        </w:rPr>
        <w:t>the</w:t>
      </w:r>
      <w:r w:rsidRPr="00283806">
        <w:rPr>
          <w:spacing w:val="40"/>
          <w:w w:val="105"/>
        </w:rPr>
        <w:t xml:space="preserve"> </w:t>
      </w:r>
      <w:r w:rsidRPr="00283806">
        <w:rPr>
          <w:w w:val="105"/>
        </w:rPr>
        <w:t>contractors,</w:t>
      </w:r>
      <w:r w:rsidRPr="00283806">
        <w:rPr>
          <w:spacing w:val="40"/>
          <w:w w:val="105"/>
        </w:rPr>
        <w:t xml:space="preserve"> </w:t>
      </w:r>
      <w:r w:rsidRPr="00283806">
        <w:rPr>
          <w:w w:val="105"/>
        </w:rPr>
        <w:t>is the only real material source for increasing the amount of reclaimed refrigerants, which if recovered more consistently will lead to the corresponding growth in reclamation necessary for an orderly transition</w:t>
      </w:r>
      <w:r w:rsidRPr="00283806">
        <w:rPr>
          <w:spacing w:val="80"/>
          <w:w w:val="105"/>
        </w:rPr>
        <w:t xml:space="preserve"> </w:t>
      </w:r>
      <w:r w:rsidRPr="00283806">
        <w:rPr>
          <w:w w:val="105"/>
        </w:rPr>
        <w:t>under the AIM Act. The commenter also</w:t>
      </w:r>
    </w:p>
    <w:p w14:paraId="0BD28556"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6" w:space="40"/>
            <w:col w:w="3491" w:space="39"/>
            <w:col w:w="3634"/>
          </w:cols>
        </w:sectPr>
      </w:pPr>
    </w:p>
    <w:p w14:paraId="2651F415" w14:textId="77777777" w:rsidR="00D67C1E" w:rsidRPr="00283806" w:rsidRDefault="001265CA">
      <w:pPr>
        <w:pStyle w:val="BodyText"/>
        <w:spacing w:before="134" w:line="228" w:lineRule="auto"/>
      </w:pPr>
      <w:r w:rsidRPr="00283806">
        <w:rPr>
          <w:w w:val="105"/>
        </w:rPr>
        <w:lastRenderedPageBreak/>
        <w:t xml:space="preserve">noted that mandating reclaimed HFCs in the servicing sector would encourage more recovery by contractors and that this approach incentivizes contractors to provide more recovered refrigerant to reclaimers to ensure access to reclaimed </w:t>
      </w:r>
      <w:proofErr w:type="gramStart"/>
      <w:r w:rsidRPr="00283806">
        <w:rPr>
          <w:w w:val="105"/>
        </w:rPr>
        <w:t>refrigerant</w:t>
      </w:r>
      <w:proofErr w:type="gramEnd"/>
      <w:r w:rsidRPr="00283806">
        <w:rPr>
          <w:w w:val="105"/>
        </w:rPr>
        <w:t xml:space="preserve"> to service consumers’ needs.</w:t>
      </w:r>
    </w:p>
    <w:p w14:paraId="310D9A2E" w14:textId="77777777" w:rsidR="00D67C1E" w:rsidRPr="00283806" w:rsidRDefault="001265CA">
      <w:pPr>
        <w:pStyle w:val="BodyText"/>
        <w:spacing w:before="12" w:line="225" w:lineRule="auto"/>
        <w:ind w:firstLine="180"/>
      </w:pPr>
      <w:r w:rsidRPr="00283806">
        <w:rPr>
          <w:rFonts w:ascii="Book Antiqua"/>
          <w:i/>
          <w:w w:val="105"/>
        </w:rPr>
        <w:t xml:space="preserve">Response: </w:t>
      </w:r>
      <w:r w:rsidRPr="00283806">
        <w:rPr>
          <w:w w:val="105"/>
        </w:rPr>
        <w:t>EPA acknowledges this comment. EPA agrees that scaling up</w:t>
      </w:r>
      <w:r w:rsidRPr="00283806">
        <w:rPr>
          <w:spacing w:val="80"/>
          <w:w w:val="105"/>
        </w:rPr>
        <w:t xml:space="preserve"> </w:t>
      </w:r>
      <w:r w:rsidRPr="00283806">
        <w:rPr>
          <w:w w:val="105"/>
        </w:rPr>
        <w:t>HFC refrigerant recovery and</w:t>
      </w:r>
      <w:r w:rsidRPr="00283806">
        <w:rPr>
          <w:spacing w:val="40"/>
          <w:w w:val="105"/>
        </w:rPr>
        <w:t xml:space="preserve"> </w:t>
      </w:r>
      <w:r w:rsidRPr="00283806">
        <w:rPr>
          <w:w w:val="105"/>
        </w:rPr>
        <w:t xml:space="preserve">reclamation may become increasingly important, particularly as a business strategy, as HFCs are phased down and </w:t>
      </w:r>
      <w:proofErr w:type="gramStart"/>
      <w:r w:rsidRPr="00283806">
        <w:rPr>
          <w:w w:val="105"/>
        </w:rPr>
        <w:t>appreciates</w:t>
      </w:r>
      <w:proofErr w:type="gramEnd"/>
      <w:r w:rsidRPr="00283806">
        <w:rPr>
          <w:w w:val="105"/>
        </w:rPr>
        <w:t xml:space="preserve"> efforts that have already</w:t>
      </w:r>
      <w:r w:rsidRPr="00283806">
        <w:rPr>
          <w:spacing w:val="40"/>
          <w:w w:val="105"/>
        </w:rPr>
        <w:t xml:space="preserve"> </w:t>
      </w:r>
      <w:r w:rsidRPr="00283806">
        <w:rPr>
          <w:w w:val="105"/>
        </w:rPr>
        <w:t>been made, including those made prior</w:t>
      </w:r>
      <w:r w:rsidRPr="00283806">
        <w:rPr>
          <w:spacing w:val="80"/>
          <w:w w:val="105"/>
        </w:rPr>
        <w:t xml:space="preserve"> </w:t>
      </w:r>
      <w:r w:rsidRPr="00283806">
        <w:rPr>
          <w:w w:val="105"/>
        </w:rPr>
        <w:t>to the enactment of the AIM Act. EPA acknowledges the role of the technicians and contractors in the overall recovery</w:t>
      </w:r>
      <w:r w:rsidRPr="00283806">
        <w:rPr>
          <w:spacing w:val="80"/>
          <w:w w:val="105"/>
        </w:rPr>
        <w:t xml:space="preserve"> </w:t>
      </w:r>
      <w:r w:rsidRPr="00283806">
        <w:rPr>
          <w:w w:val="105"/>
        </w:rPr>
        <w:t>of refrigerant, especially as equipment reaches</w:t>
      </w:r>
      <w:r w:rsidRPr="00283806">
        <w:rPr>
          <w:spacing w:val="20"/>
          <w:w w:val="105"/>
        </w:rPr>
        <w:t xml:space="preserve"> </w:t>
      </w:r>
      <w:r w:rsidRPr="00283806">
        <w:rPr>
          <w:w w:val="105"/>
        </w:rPr>
        <w:t>its</w:t>
      </w:r>
      <w:r w:rsidRPr="00283806">
        <w:rPr>
          <w:spacing w:val="20"/>
          <w:w w:val="105"/>
        </w:rPr>
        <w:t xml:space="preserve"> </w:t>
      </w:r>
      <w:r w:rsidRPr="00283806">
        <w:rPr>
          <w:w w:val="105"/>
        </w:rPr>
        <w:t>EOL.</w:t>
      </w:r>
      <w:r w:rsidRPr="00283806">
        <w:rPr>
          <w:spacing w:val="20"/>
          <w:w w:val="105"/>
        </w:rPr>
        <w:t xml:space="preserve"> </w:t>
      </w:r>
      <w:r w:rsidRPr="00283806">
        <w:rPr>
          <w:w w:val="105"/>
        </w:rPr>
        <w:t>The</w:t>
      </w:r>
      <w:r w:rsidRPr="00283806">
        <w:rPr>
          <w:spacing w:val="20"/>
          <w:w w:val="105"/>
        </w:rPr>
        <w:t xml:space="preserve"> </w:t>
      </w:r>
      <w:r w:rsidRPr="00283806">
        <w:rPr>
          <w:w w:val="105"/>
        </w:rPr>
        <w:t>Agency</w:t>
      </w:r>
      <w:r w:rsidRPr="00283806">
        <w:rPr>
          <w:spacing w:val="20"/>
          <w:w w:val="105"/>
        </w:rPr>
        <w:t xml:space="preserve"> </w:t>
      </w:r>
      <w:r w:rsidRPr="00283806">
        <w:rPr>
          <w:w w:val="105"/>
        </w:rPr>
        <w:t>is</w:t>
      </w:r>
      <w:r w:rsidRPr="00283806">
        <w:rPr>
          <w:spacing w:val="20"/>
          <w:w w:val="105"/>
        </w:rPr>
        <w:t xml:space="preserve"> </w:t>
      </w:r>
      <w:r w:rsidRPr="00283806">
        <w:rPr>
          <w:w w:val="105"/>
        </w:rPr>
        <w:t>aware</w:t>
      </w:r>
      <w:r w:rsidRPr="00283806">
        <w:rPr>
          <w:spacing w:val="20"/>
          <w:w w:val="105"/>
        </w:rPr>
        <w:t xml:space="preserve"> </w:t>
      </w:r>
      <w:r w:rsidRPr="00283806">
        <w:rPr>
          <w:w w:val="105"/>
        </w:rPr>
        <w:t>of a range of programs, including those</w:t>
      </w:r>
      <w:r w:rsidRPr="00283806">
        <w:rPr>
          <w:spacing w:val="80"/>
          <w:w w:val="105"/>
        </w:rPr>
        <w:t xml:space="preserve"> </w:t>
      </w:r>
      <w:r w:rsidRPr="00283806">
        <w:rPr>
          <w:w w:val="105"/>
        </w:rPr>
        <w:t>with incentives, that have been used by OEMs and reclaimers to support</w:t>
      </w:r>
      <w:r w:rsidRPr="00283806">
        <w:rPr>
          <w:spacing w:val="80"/>
          <w:w w:val="105"/>
        </w:rPr>
        <w:t xml:space="preserve"> </w:t>
      </w:r>
      <w:r w:rsidRPr="00283806">
        <w:rPr>
          <w:w w:val="105"/>
        </w:rPr>
        <w:t>recovery of refrigerants.</w:t>
      </w:r>
    </w:p>
    <w:p w14:paraId="71E0944D" w14:textId="77777777" w:rsidR="00D67C1E" w:rsidRPr="00283806" w:rsidRDefault="001265CA">
      <w:pPr>
        <w:pStyle w:val="BodyText"/>
        <w:spacing w:before="30" w:line="228" w:lineRule="auto"/>
        <w:ind w:right="47" w:firstLine="180"/>
      </w:pPr>
      <w:r w:rsidRPr="00283806">
        <w:rPr>
          <w:rFonts w:ascii="Book Antiqua" w:hAnsi="Book Antiqua"/>
          <w:i/>
          <w:w w:val="105"/>
        </w:rPr>
        <w:t xml:space="preserve">Comment: </w:t>
      </w:r>
      <w:r w:rsidRPr="00283806">
        <w:rPr>
          <w:w w:val="105"/>
        </w:rPr>
        <w:t>One commenter stated that requiring reclaimed HFCs for servicing</w:t>
      </w:r>
      <w:r w:rsidRPr="00283806">
        <w:rPr>
          <w:spacing w:val="80"/>
          <w:w w:val="105"/>
        </w:rPr>
        <w:t xml:space="preserve"> </w:t>
      </w:r>
      <w:r w:rsidRPr="00283806">
        <w:rPr>
          <w:w w:val="105"/>
        </w:rPr>
        <w:t>is largely untrialed in the United States and needs gradual testing and iteration. The commenter mentioned that California</w:t>
      </w:r>
      <w:r w:rsidRPr="00283806">
        <w:rPr>
          <w:spacing w:val="39"/>
          <w:w w:val="105"/>
        </w:rPr>
        <w:t xml:space="preserve"> </w:t>
      </w:r>
      <w:r w:rsidRPr="00283806">
        <w:rPr>
          <w:w w:val="105"/>
        </w:rPr>
        <w:t>is</w:t>
      </w:r>
      <w:r w:rsidRPr="00283806">
        <w:rPr>
          <w:spacing w:val="39"/>
          <w:w w:val="105"/>
        </w:rPr>
        <w:t xml:space="preserve"> </w:t>
      </w:r>
      <w:r w:rsidRPr="00283806">
        <w:rPr>
          <w:w w:val="105"/>
        </w:rPr>
        <w:t>currently</w:t>
      </w:r>
      <w:r w:rsidRPr="00283806">
        <w:rPr>
          <w:spacing w:val="39"/>
          <w:w w:val="105"/>
        </w:rPr>
        <w:t xml:space="preserve"> </w:t>
      </w:r>
      <w:r w:rsidRPr="00283806">
        <w:rPr>
          <w:w w:val="105"/>
        </w:rPr>
        <w:t>in</w:t>
      </w:r>
      <w:r w:rsidRPr="00283806">
        <w:rPr>
          <w:spacing w:val="39"/>
          <w:w w:val="105"/>
        </w:rPr>
        <w:t xml:space="preserve"> </w:t>
      </w:r>
      <w:r w:rsidRPr="00283806">
        <w:rPr>
          <w:w w:val="105"/>
        </w:rPr>
        <w:t>the</w:t>
      </w:r>
      <w:r w:rsidRPr="00283806">
        <w:rPr>
          <w:spacing w:val="39"/>
          <w:w w:val="105"/>
        </w:rPr>
        <w:t xml:space="preserve"> </w:t>
      </w:r>
      <w:r w:rsidRPr="00283806">
        <w:rPr>
          <w:w w:val="105"/>
        </w:rPr>
        <w:t>first</w:t>
      </w:r>
      <w:r w:rsidRPr="00283806">
        <w:rPr>
          <w:spacing w:val="39"/>
          <w:w w:val="105"/>
        </w:rPr>
        <w:t xml:space="preserve"> </w:t>
      </w:r>
      <w:r w:rsidRPr="00283806">
        <w:rPr>
          <w:w w:val="105"/>
        </w:rPr>
        <w:t>year of implementation of its R4 Program, which requires OEMs for residential AC and VRF systems to use specific calculated reclamation volumes in 2023 and 2024. The commenter noted that since the inaugural year of the program has not yet concluded, comprehensive data and conclusive findings regarding the program’s efficacy and success are currently unavailable to the broader stakeholder community to inform the formulation of a national reclaim requirement rule.</w:t>
      </w:r>
    </w:p>
    <w:p w14:paraId="4FA633A6" w14:textId="77777777" w:rsidR="00D67C1E" w:rsidRPr="00283806" w:rsidRDefault="001265CA">
      <w:pPr>
        <w:pStyle w:val="BodyText"/>
        <w:spacing w:line="228" w:lineRule="auto"/>
        <w:ind w:right="78" w:firstLine="180"/>
      </w:pPr>
      <w:r w:rsidRPr="00283806">
        <w:rPr>
          <w:rFonts w:ascii="Book Antiqua" w:hAnsi="Book Antiqua"/>
          <w:i/>
          <w:w w:val="105"/>
        </w:rPr>
        <w:t xml:space="preserve">Response: </w:t>
      </w:r>
      <w:r w:rsidRPr="00283806">
        <w:rPr>
          <w:w w:val="105"/>
        </w:rPr>
        <w:t>EPA disagrees that reliance on reclaimed refrigerants is untrialed in the servicing sectors. As discussed elsewhere in this final rule, the Agency notes that since 2020, reclaimed HCFC– 22 is the only viable option for servicing legacy HCFC–22 systems. Similarly, for the CFC systems, this has been the case since the 1990s. The Agency also notes that the amount of reclaimed HFCs has been reported annually to EPA since</w:t>
      </w:r>
      <w:r w:rsidRPr="00283806">
        <w:rPr>
          <w:spacing w:val="40"/>
          <w:w w:val="105"/>
        </w:rPr>
        <w:t xml:space="preserve"> </w:t>
      </w:r>
      <w:r w:rsidRPr="00283806">
        <w:rPr>
          <w:w w:val="105"/>
        </w:rPr>
        <w:t>2017 and that the amount has been increasing. Reclaimers are selling reclaimed HFCs and competing with virgin HFCs in many markets</w:t>
      </w:r>
      <w:r w:rsidRPr="00283806">
        <w:rPr>
          <w:spacing w:val="80"/>
          <w:w w:val="105"/>
        </w:rPr>
        <w:t xml:space="preserve"> </w:t>
      </w:r>
      <w:r w:rsidRPr="00283806">
        <w:rPr>
          <w:w w:val="105"/>
        </w:rPr>
        <w:t>particularly for servicing certain RACHP and fire suppression equipment. The Agency proposed and is finalizing a program that is markedly different from the</w:t>
      </w:r>
      <w:r w:rsidRPr="00283806">
        <w:rPr>
          <w:spacing w:val="40"/>
          <w:w w:val="105"/>
        </w:rPr>
        <w:t xml:space="preserve"> </w:t>
      </w:r>
      <w:r w:rsidRPr="00283806">
        <w:rPr>
          <w:w w:val="105"/>
        </w:rPr>
        <w:t>R4</w:t>
      </w:r>
      <w:r w:rsidRPr="00283806">
        <w:rPr>
          <w:spacing w:val="40"/>
          <w:w w:val="105"/>
        </w:rPr>
        <w:t xml:space="preserve"> </w:t>
      </w:r>
      <w:r w:rsidRPr="00283806">
        <w:rPr>
          <w:w w:val="105"/>
        </w:rPr>
        <w:t>Program.</w:t>
      </w:r>
      <w:r w:rsidRPr="00283806">
        <w:rPr>
          <w:spacing w:val="40"/>
          <w:w w:val="105"/>
        </w:rPr>
        <w:t xml:space="preserve"> </w:t>
      </w:r>
      <w:r w:rsidRPr="00283806">
        <w:rPr>
          <w:w w:val="105"/>
        </w:rPr>
        <w:t>Further,</w:t>
      </w:r>
      <w:r w:rsidRPr="00283806">
        <w:rPr>
          <w:spacing w:val="40"/>
          <w:w w:val="105"/>
        </w:rPr>
        <w:t xml:space="preserve"> </w:t>
      </w:r>
      <w:r w:rsidRPr="00283806">
        <w:rPr>
          <w:w w:val="105"/>
        </w:rPr>
        <w:t>the</w:t>
      </w:r>
      <w:r w:rsidRPr="00283806">
        <w:rPr>
          <w:spacing w:val="40"/>
          <w:w w:val="105"/>
        </w:rPr>
        <w:t xml:space="preserve"> </w:t>
      </w:r>
      <w:r w:rsidRPr="00283806">
        <w:rPr>
          <w:w w:val="105"/>
        </w:rPr>
        <w:t>Agency will be interested in any data California will be able to share; however, the</w:t>
      </w:r>
      <w:r w:rsidRPr="00283806">
        <w:rPr>
          <w:spacing w:val="40"/>
          <w:w w:val="105"/>
        </w:rPr>
        <w:t xml:space="preserve"> </w:t>
      </w:r>
      <w:r w:rsidRPr="00283806">
        <w:rPr>
          <w:w w:val="105"/>
        </w:rPr>
        <w:t>Agency does not need those data to finalize a reclamation program under subsection (h).</w:t>
      </w:r>
    </w:p>
    <w:p w14:paraId="361853E0" w14:textId="77777777" w:rsidR="00D67C1E" w:rsidRPr="00283806" w:rsidRDefault="001265CA">
      <w:pPr>
        <w:pStyle w:val="BodyText"/>
        <w:spacing w:before="134" w:line="225" w:lineRule="auto"/>
        <w:ind w:left="143" w:right="28" w:firstLine="180"/>
      </w:pPr>
      <w:r w:rsidRPr="00283806">
        <w:br w:type="column"/>
      </w:r>
      <w:r w:rsidRPr="00283806">
        <w:rPr>
          <w:rFonts w:ascii="Book Antiqua" w:hAnsi="Book Antiqua"/>
          <w:i/>
          <w:w w:val="105"/>
        </w:rPr>
        <w:t xml:space="preserve">Comment: </w:t>
      </w:r>
      <w:r w:rsidRPr="00283806">
        <w:rPr>
          <w:w w:val="105"/>
        </w:rPr>
        <w:t>Many commenters</w:t>
      </w:r>
      <w:r w:rsidRPr="00283806">
        <w:rPr>
          <w:spacing w:val="40"/>
          <w:w w:val="105"/>
        </w:rPr>
        <w:t xml:space="preserve"> </w:t>
      </w:r>
      <w:r w:rsidRPr="00283806">
        <w:rPr>
          <w:w w:val="105"/>
        </w:rPr>
        <w:t>discussed the demand and supply of relevant refrigerated blends for</w:t>
      </w:r>
      <w:r w:rsidRPr="00283806">
        <w:rPr>
          <w:spacing w:val="40"/>
          <w:w w:val="105"/>
        </w:rPr>
        <w:t xml:space="preserve"> </w:t>
      </w:r>
      <w:r w:rsidRPr="00283806">
        <w:rPr>
          <w:w w:val="105"/>
        </w:rPr>
        <w:t>servicing, especially R–410A. One commenter stated that EPA’s mandate</w:t>
      </w:r>
      <w:r w:rsidRPr="00283806">
        <w:rPr>
          <w:spacing w:val="40"/>
          <w:w w:val="105"/>
        </w:rPr>
        <w:t xml:space="preserve"> </w:t>
      </w:r>
      <w:r w:rsidRPr="00283806">
        <w:rPr>
          <w:w w:val="105"/>
        </w:rPr>
        <w:t>for reclaimed HFCs, when combined</w:t>
      </w:r>
      <w:r w:rsidRPr="00283806">
        <w:rPr>
          <w:spacing w:val="80"/>
          <w:w w:val="105"/>
        </w:rPr>
        <w:t xml:space="preserve"> </w:t>
      </w:r>
      <w:r w:rsidRPr="00283806">
        <w:rPr>
          <w:w w:val="105"/>
        </w:rPr>
        <w:t xml:space="preserve">with the 2023 Technology Transitions Rule, will likely drive perverse commercial practices to meet this demand because companies will be incentivized by EPA’s rules to take usable, reclaimed R–410A and separate out the HFC–32 from the HFC–125 </w:t>
      </w:r>
      <w:proofErr w:type="gramStart"/>
      <w:r w:rsidRPr="00283806">
        <w:rPr>
          <w:w w:val="105"/>
        </w:rPr>
        <w:t>in order to</w:t>
      </w:r>
      <w:proofErr w:type="gramEnd"/>
      <w:r w:rsidRPr="00283806">
        <w:rPr>
          <w:w w:val="105"/>
        </w:rPr>
        <w:t xml:space="preserve"> make reclaimed HFC–32. The commenter claimed that not only would this be counterproductive to meeting demand for reclaimed R–410A service gas for that equipment base, but it</w:t>
      </w:r>
      <w:r w:rsidRPr="00283806">
        <w:rPr>
          <w:spacing w:val="80"/>
          <w:w w:val="105"/>
        </w:rPr>
        <w:t xml:space="preserve"> </w:t>
      </w:r>
      <w:r w:rsidRPr="00283806">
        <w:rPr>
          <w:w w:val="105"/>
        </w:rPr>
        <w:t>would also require unnecessary energy consumption from the distillation process. In addition, the commenter stated that the stranded HFC–125 ultimately would simply be re-blended with virgin HFC–32 to make R–410A to be</w:t>
      </w:r>
      <w:r w:rsidRPr="00283806">
        <w:rPr>
          <w:spacing w:val="-1"/>
          <w:w w:val="105"/>
        </w:rPr>
        <w:t xml:space="preserve"> </w:t>
      </w:r>
      <w:r w:rsidRPr="00283806">
        <w:rPr>
          <w:w w:val="105"/>
        </w:rPr>
        <w:t>sold</w:t>
      </w:r>
      <w:r w:rsidRPr="00283806">
        <w:rPr>
          <w:spacing w:val="-1"/>
          <w:w w:val="105"/>
        </w:rPr>
        <w:t xml:space="preserve"> </w:t>
      </w:r>
      <w:r w:rsidRPr="00283806">
        <w:rPr>
          <w:w w:val="105"/>
        </w:rPr>
        <w:t>to</w:t>
      </w:r>
      <w:r w:rsidRPr="00283806">
        <w:rPr>
          <w:spacing w:val="-1"/>
          <w:w w:val="105"/>
        </w:rPr>
        <w:t xml:space="preserve"> </w:t>
      </w:r>
      <w:r w:rsidRPr="00283806">
        <w:rPr>
          <w:w w:val="105"/>
        </w:rPr>
        <w:t>subsectors</w:t>
      </w:r>
      <w:r w:rsidRPr="00283806">
        <w:rPr>
          <w:spacing w:val="-1"/>
          <w:w w:val="105"/>
        </w:rPr>
        <w:t xml:space="preserve"> </w:t>
      </w:r>
      <w:r w:rsidRPr="00283806">
        <w:rPr>
          <w:w w:val="105"/>
        </w:rPr>
        <w:t>that</w:t>
      </w:r>
      <w:r w:rsidRPr="00283806">
        <w:rPr>
          <w:spacing w:val="-1"/>
          <w:w w:val="105"/>
        </w:rPr>
        <w:t xml:space="preserve"> </w:t>
      </w:r>
      <w:r w:rsidRPr="00283806">
        <w:rPr>
          <w:w w:val="105"/>
        </w:rPr>
        <w:t>are</w:t>
      </w:r>
      <w:r w:rsidRPr="00283806">
        <w:rPr>
          <w:spacing w:val="-1"/>
          <w:w w:val="105"/>
        </w:rPr>
        <w:t xml:space="preserve"> </w:t>
      </w:r>
      <w:r w:rsidRPr="00283806">
        <w:rPr>
          <w:w w:val="105"/>
        </w:rPr>
        <w:t>not</w:t>
      </w:r>
      <w:r w:rsidRPr="00283806">
        <w:rPr>
          <w:spacing w:val="-1"/>
          <w:w w:val="105"/>
        </w:rPr>
        <w:t xml:space="preserve"> </w:t>
      </w:r>
      <w:r w:rsidRPr="00283806">
        <w:rPr>
          <w:w w:val="105"/>
        </w:rPr>
        <w:t>subject to the reclaim mandate, creating a repetitive and unproductive loop.</w:t>
      </w:r>
    </w:p>
    <w:p w14:paraId="5E5699C8" w14:textId="77777777" w:rsidR="00D67C1E" w:rsidRPr="00283806" w:rsidRDefault="001265CA">
      <w:pPr>
        <w:pStyle w:val="BodyText"/>
        <w:spacing w:line="161" w:lineRule="exact"/>
        <w:ind w:left="323"/>
      </w:pPr>
      <w:r w:rsidRPr="00283806">
        <w:rPr>
          <w:w w:val="105"/>
        </w:rPr>
        <w:t>Additionally,</w:t>
      </w:r>
      <w:r w:rsidRPr="00283806">
        <w:rPr>
          <w:spacing w:val="21"/>
          <w:w w:val="105"/>
        </w:rPr>
        <w:t xml:space="preserve"> </w:t>
      </w:r>
      <w:r w:rsidRPr="00283806">
        <w:rPr>
          <w:w w:val="105"/>
        </w:rPr>
        <w:t>a</w:t>
      </w:r>
      <w:r w:rsidRPr="00283806">
        <w:rPr>
          <w:spacing w:val="21"/>
          <w:w w:val="105"/>
        </w:rPr>
        <w:t xml:space="preserve"> </w:t>
      </w:r>
      <w:r w:rsidRPr="00283806">
        <w:rPr>
          <w:w w:val="105"/>
        </w:rPr>
        <w:t>commenter</w:t>
      </w:r>
      <w:r w:rsidRPr="00283806">
        <w:rPr>
          <w:spacing w:val="22"/>
          <w:w w:val="105"/>
        </w:rPr>
        <w:t xml:space="preserve"> </w:t>
      </w:r>
      <w:r w:rsidRPr="00283806">
        <w:rPr>
          <w:w w:val="105"/>
        </w:rPr>
        <w:t>stated</w:t>
      </w:r>
      <w:r w:rsidRPr="00283806">
        <w:rPr>
          <w:spacing w:val="21"/>
          <w:w w:val="105"/>
        </w:rPr>
        <w:t xml:space="preserve"> </w:t>
      </w:r>
      <w:r w:rsidRPr="00283806">
        <w:rPr>
          <w:spacing w:val="-4"/>
          <w:w w:val="105"/>
        </w:rPr>
        <w:t>that</w:t>
      </w:r>
    </w:p>
    <w:p w14:paraId="3B566C97" w14:textId="77777777" w:rsidR="00D67C1E" w:rsidRPr="00283806" w:rsidRDefault="001265CA">
      <w:pPr>
        <w:pStyle w:val="BodyText"/>
        <w:spacing w:before="4" w:line="225" w:lineRule="auto"/>
        <w:ind w:left="143" w:right="118"/>
      </w:pPr>
      <w:r w:rsidRPr="00283806">
        <w:rPr>
          <w:w w:val="105"/>
        </w:rPr>
        <w:t>separating individual HFC refrigerants from recovered refrigerant mixtures, such as R–410A, R–404A, and the R–</w:t>
      </w:r>
      <w:r w:rsidRPr="00283806">
        <w:rPr>
          <w:spacing w:val="40"/>
          <w:w w:val="105"/>
        </w:rPr>
        <w:t xml:space="preserve"> </w:t>
      </w:r>
      <w:r w:rsidRPr="00283806">
        <w:rPr>
          <w:w w:val="105"/>
        </w:rPr>
        <w:t>407 series, is not necessary because the demand for such reclaimed refrigerant mixtures particularly for service will be high and would in fact be an environmental detriment due to the</w:t>
      </w:r>
      <w:r w:rsidRPr="00283806">
        <w:rPr>
          <w:spacing w:val="40"/>
          <w:w w:val="105"/>
        </w:rPr>
        <w:t xml:space="preserve"> </w:t>
      </w:r>
      <w:r w:rsidRPr="00283806">
        <w:rPr>
          <w:w w:val="105"/>
        </w:rPr>
        <w:t>high energy consumption required for the separation process.</w:t>
      </w:r>
    </w:p>
    <w:p w14:paraId="7D90BC03" w14:textId="77777777" w:rsidR="00D67C1E" w:rsidRPr="00283806" w:rsidRDefault="001265CA">
      <w:pPr>
        <w:pStyle w:val="BodyText"/>
        <w:spacing w:line="177" w:lineRule="exact"/>
        <w:ind w:left="323"/>
      </w:pPr>
      <w:r w:rsidRPr="00283806">
        <w:rPr>
          <w:w w:val="105"/>
        </w:rPr>
        <w:t>An</w:t>
      </w:r>
      <w:r w:rsidRPr="00283806">
        <w:rPr>
          <w:spacing w:val="14"/>
          <w:w w:val="105"/>
        </w:rPr>
        <w:t xml:space="preserve"> </w:t>
      </w:r>
      <w:r w:rsidRPr="00283806">
        <w:rPr>
          <w:w w:val="105"/>
        </w:rPr>
        <w:t>additional</w:t>
      </w:r>
      <w:r w:rsidRPr="00283806">
        <w:rPr>
          <w:spacing w:val="15"/>
          <w:w w:val="105"/>
        </w:rPr>
        <w:t xml:space="preserve"> </w:t>
      </w:r>
      <w:r w:rsidRPr="00283806">
        <w:rPr>
          <w:w w:val="105"/>
        </w:rPr>
        <w:t>commenter</w:t>
      </w:r>
      <w:r w:rsidRPr="00283806">
        <w:rPr>
          <w:spacing w:val="15"/>
          <w:w w:val="105"/>
        </w:rPr>
        <w:t xml:space="preserve"> </w:t>
      </w:r>
      <w:r w:rsidRPr="00283806">
        <w:rPr>
          <w:w w:val="105"/>
        </w:rPr>
        <w:t>stated</w:t>
      </w:r>
      <w:r w:rsidRPr="00283806">
        <w:rPr>
          <w:spacing w:val="14"/>
          <w:w w:val="105"/>
        </w:rPr>
        <w:t xml:space="preserve"> </w:t>
      </w:r>
      <w:r w:rsidRPr="00283806">
        <w:rPr>
          <w:spacing w:val="-4"/>
          <w:w w:val="105"/>
        </w:rPr>
        <w:t>that</w:t>
      </w:r>
    </w:p>
    <w:p w14:paraId="3489B328" w14:textId="77777777" w:rsidR="00D67C1E" w:rsidRPr="00283806" w:rsidRDefault="001265CA">
      <w:pPr>
        <w:pStyle w:val="BodyText"/>
        <w:spacing w:before="4" w:line="225" w:lineRule="auto"/>
        <w:ind w:left="143"/>
      </w:pPr>
      <w:r w:rsidRPr="00283806">
        <w:rPr>
          <w:w w:val="105"/>
        </w:rPr>
        <w:t>the HFC market would be disrupted by the</w:t>
      </w:r>
      <w:r w:rsidRPr="00283806">
        <w:rPr>
          <w:spacing w:val="40"/>
          <w:w w:val="105"/>
        </w:rPr>
        <w:t xml:space="preserve"> </w:t>
      </w:r>
      <w:r w:rsidRPr="00283806">
        <w:rPr>
          <w:w w:val="105"/>
        </w:rPr>
        <w:t>requirements</w:t>
      </w:r>
      <w:r w:rsidRPr="00283806">
        <w:rPr>
          <w:spacing w:val="40"/>
          <w:w w:val="105"/>
        </w:rPr>
        <w:t xml:space="preserve"> </w:t>
      </w:r>
      <w:r w:rsidRPr="00283806">
        <w:rPr>
          <w:w w:val="105"/>
        </w:rPr>
        <w:t>described</w:t>
      </w:r>
      <w:r w:rsidRPr="00283806">
        <w:rPr>
          <w:spacing w:val="40"/>
          <w:w w:val="105"/>
        </w:rPr>
        <w:t xml:space="preserve"> </w:t>
      </w:r>
      <w:r w:rsidRPr="00283806">
        <w:rPr>
          <w:w w:val="105"/>
        </w:rPr>
        <w:t>in</w:t>
      </w:r>
      <w:r w:rsidRPr="00283806">
        <w:rPr>
          <w:spacing w:val="40"/>
          <w:w w:val="105"/>
        </w:rPr>
        <w:t xml:space="preserve"> </w:t>
      </w:r>
      <w:r w:rsidRPr="00283806">
        <w:rPr>
          <w:w w:val="105"/>
        </w:rPr>
        <w:t xml:space="preserve">the NPRM and noted that reclamation currently services </w:t>
      </w:r>
      <w:proofErr w:type="gramStart"/>
      <w:r w:rsidRPr="00283806">
        <w:rPr>
          <w:w w:val="105"/>
        </w:rPr>
        <w:t>at</w:t>
      </w:r>
      <w:proofErr w:type="gramEnd"/>
      <w:r w:rsidRPr="00283806">
        <w:rPr>
          <w:w w:val="105"/>
        </w:rPr>
        <w:t xml:space="preserve"> best less than nine percent of the expected 2028 demand. The commenter additionally stated that the proposed rule does not explain how the</w:t>
      </w:r>
      <w:r w:rsidRPr="00283806">
        <w:rPr>
          <w:spacing w:val="40"/>
          <w:w w:val="105"/>
        </w:rPr>
        <w:t xml:space="preserve"> </w:t>
      </w:r>
      <w:r w:rsidRPr="00283806">
        <w:rPr>
          <w:w w:val="105"/>
        </w:rPr>
        <w:t>reclamation</w:t>
      </w:r>
      <w:r w:rsidRPr="00283806">
        <w:rPr>
          <w:spacing w:val="40"/>
          <w:w w:val="105"/>
        </w:rPr>
        <w:t xml:space="preserve"> </w:t>
      </w:r>
      <w:r w:rsidRPr="00283806">
        <w:rPr>
          <w:w w:val="105"/>
        </w:rPr>
        <w:t>industry</w:t>
      </w:r>
      <w:r w:rsidRPr="00283806">
        <w:rPr>
          <w:spacing w:val="40"/>
          <w:w w:val="105"/>
        </w:rPr>
        <w:t xml:space="preserve"> </w:t>
      </w:r>
      <w:r w:rsidRPr="00283806">
        <w:rPr>
          <w:w w:val="105"/>
        </w:rPr>
        <w:t>will</w:t>
      </w:r>
      <w:r w:rsidRPr="00283806">
        <w:rPr>
          <w:spacing w:val="40"/>
          <w:w w:val="105"/>
        </w:rPr>
        <w:t xml:space="preserve"> </w:t>
      </w:r>
      <w:r w:rsidRPr="00283806">
        <w:rPr>
          <w:w w:val="105"/>
        </w:rPr>
        <w:t>achieve the necessary growth and that even achieving growth at a rate of 38 percent (</w:t>
      </w:r>
      <w:r w:rsidRPr="00283806">
        <w:rPr>
          <w:rFonts w:ascii="Book Antiqua" w:hAnsi="Book Antiqua"/>
          <w:i/>
          <w:w w:val="105"/>
        </w:rPr>
        <w:t xml:space="preserve">i.e., </w:t>
      </w:r>
      <w:r w:rsidRPr="00283806">
        <w:rPr>
          <w:w w:val="105"/>
        </w:rPr>
        <w:t>the growth from 2021 to 2022) would</w:t>
      </w:r>
      <w:r w:rsidRPr="00283806">
        <w:rPr>
          <w:spacing w:val="40"/>
          <w:w w:val="105"/>
        </w:rPr>
        <w:t xml:space="preserve"> </w:t>
      </w:r>
      <w:r w:rsidRPr="00283806">
        <w:rPr>
          <w:w w:val="105"/>
        </w:rPr>
        <w:t>not</w:t>
      </w:r>
      <w:r w:rsidRPr="00283806">
        <w:rPr>
          <w:spacing w:val="40"/>
          <w:w w:val="105"/>
        </w:rPr>
        <w:t xml:space="preserve"> </w:t>
      </w:r>
      <w:r w:rsidRPr="00283806">
        <w:rPr>
          <w:w w:val="105"/>
        </w:rPr>
        <w:t>supply</w:t>
      </w:r>
      <w:r w:rsidRPr="00283806">
        <w:rPr>
          <w:spacing w:val="40"/>
          <w:w w:val="105"/>
        </w:rPr>
        <w:t xml:space="preserve"> </w:t>
      </w:r>
      <w:proofErr w:type="gramStart"/>
      <w:r w:rsidRPr="00283806">
        <w:rPr>
          <w:w w:val="105"/>
        </w:rPr>
        <w:t>a</w:t>
      </w:r>
      <w:r w:rsidRPr="00283806">
        <w:rPr>
          <w:spacing w:val="40"/>
          <w:w w:val="105"/>
        </w:rPr>
        <w:t xml:space="preserve"> </w:t>
      </w:r>
      <w:r w:rsidRPr="00283806">
        <w:rPr>
          <w:w w:val="105"/>
        </w:rPr>
        <w:t>sufficient</w:t>
      </w:r>
      <w:r w:rsidRPr="00283806">
        <w:rPr>
          <w:spacing w:val="40"/>
          <w:w w:val="105"/>
        </w:rPr>
        <w:t xml:space="preserve"> </w:t>
      </w:r>
      <w:r w:rsidRPr="00283806">
        <w:rPr>
          <w:w w:val="105"/>
        </w:rPr>
        <w:t>quantity of</w:t>
      </w:r>
      <w:proofErr w:type="gramEnd"/>
      <w:r w:rsidRPr="00283806">
        <w:rPr>
          <w:w w:val="105"/>
        </w:rPr>
        <w:t xml:space="preserve"> reclaimed HFCs. The commenter claimed that the disconnect between supply and demand would be even</w:t>
      </w:r>
      <w:r w:rsidRPr="00283806">
        <w:rPr>
          <w:spacing w:val="80"/>
          <w:w w:val="150"/>
        </w:rPr>
        <w:t xml:space="preserve"> </w:t>
      </w:r>
      <w:r w:rsidRPr="00283806">
        <w:rPr>
          <w:w w:val="105"/>
        </w:rPr>
        <w:t xml:space="preserve">wider than this because of highly mixed </w:t>
      </w:r>
      <w:proofErr w:type="gramStart"/>
      <w:r w:rsidRPr="00283806">
        <w:rPr>
          <w:w w:val="105"/>
        </w:rPr>
        <w:t>refrigerants</w:t>
      </w:r>
      <w:proofErr w:type="gramEnd"/>
      <w:r w:rsidRPr="00283806">
        <w:rPr>
          <w:w w:val="105"/>
        </w:rPr>
        <w:t>, which require advanced fractional distillation, technical</w:t>
      </w:r>
      <w:r w:rsidRPr="00283806">
        <w:rPr>
          <w:spacing w:val="80"/>
          <w:w w:val="105"/>
        </w:rPr>
        <w:t xml:space="preserve"> </w:t>
      </w:r>
      <w:r w:rsidRPr="00283806">
        <w:rPr>
          <w:w w:val="105"/>
        </w:rPr>
        <w:t>expertise, and high capital costs. The commenter provided an example for HFC–32, estimating that HFC–32 reclamation in 2022 represented 2.4 percent of what will be needed in 2028. The commenter further claimed that, given that HFC–32 units will not be available to be reclaimed in significant quantity</w:t>
      </w:r>
      <w:r w:rsidRPr="00283806">
        <w:rPr>
          <w:spacing w:val="-1"/>
          <w:w w:val="105"/>
        </w:rPr>
        <w:t xml:space="preserve"> </w:t>
      </w:r>
      <w:r w:rsidRPr="00283806">
        <w:rPr>
          <w:w w:val="105"/>
        </w:rPr>
        <w:t>for</w:t>
      </w:r>
      <w:r w:rsidRPr="00283806">
        <w:rPr>
          <w:spacing w:val="-1"/>
          <w:w w:val="105"/>
        </w:rPr>
        <w:t xml:space="preserve"> </w:t>
      </w:r>
      <w:r w:rsidRPr="00283806">
        <w:rPr>
          <w:w w:val="105"/>
        </w:rPr>
        <w:t>15–20</w:t>
      </w:r>
      <w:r w:rsidRPr="00283806">
        <w:rPr>
          <w:spacing w:val="-1"/>
          <w:w w:val="105"/>
        </w:rPr>
        <w:t xml:space="preserve"> </w:t>
      </w:r>
      <w:r w:rsidRPr="00283806">
        <w:rPr>
          <w:w w:val="105"/>
        </w:rPr>
        <w:t>years,</w:t>
      </w:r>
      <w:r w:rsidRPr="00283806">
        <w:rPr>
          <w:spacing w:val="-1"/>
          <w:w w:val="105"/>
        </w:rPr>
        <w:t xml:space="preserve"> </w:t>
      </w:r>
      <w:r w:rsidRPr="00283806">
        <w:rPr>
          <w:w w:val="105"/>
        </w:rPr>
        <w:t>reclaimers</w:t>
      </w:r>
      <w:r w:rsidRPr="00283806">
        <w:rPr>
          <w:spacing w:val="-1"/>
          <w:w w:val="105"/>
        </w:rPr>
        <w:t xml:space="preserve"> </w:t>
      </w:r>
      <w:r w:rsidRPr="00283806">
        <w:rPr>
          <w:w w:val="105"/>
        </w:rPr>
        <w:t>may try to reclaim mildly flammable HFC–32 from R–410A. The commenter noted</w:t>
      </w:r>
      <w:r w:rsidRPr="00283806">
        <w:rPr>
          <w:spacing w:val="80"/>
          <w:w w:val="150"/>
        </w:rPr>
        <w:t xml:space="preserve"> </w:t>
      </w:r>
      <w:r w:rsidRPr="00283806">
        <w:rPr>
          <w:w w:val="105"/>
        </w:rPr>
        <w:t>that R–410A is azeotropic and therefore</w:t>
      </w:r>
    </w:p>
    <w:p w14:paraId="21AAC6F2" w14:textId="77777777" w:rsidR="00D67C1E" w:rsidRPr="00283806" w:rsidRDefault="001265CA">
      <w:pPr>
        <w:pStyle w:val="BodyText"/>
        <w:spacing w:before="134" w:line="225" w:lineRule="auto"/>
        <w:ind w:left="143" w:right="198"/>
      </w:pPr>
      <w:r w:rsidRPr="00283806">
        <w:br w:type="column"/>
      </w:r>
      <w:r w:rsidRPr="00283806">
        <w:rPr>
          <w:w w:val="105"/>
        </w:rPr>
        <w:t>requires significant energy to separate, that it requires investments in</w:t>
      </w:r>
      <w:r w:rsidRPr="00283806">
        <w:rPr>
          <w:spacing w:val="40"/>
          <w:w w:val="105"/>
        </w:rPr>
        <w:t xml:space="preserve"> </w:t>
      </w:r>
      <w:r w:rsidRPr="00283806">
        <w:rPr>
          <w:w w:val="105"/>
        </w:rPr>
        <w:t>equipment due to HFC–32’s mild flammability, and that there would only be a limited market for the HFC–125</w:t>
      </w:r>
      <w:r w:rsidRPr="00283806">
        <w:rPr>
          <w:spacing w:val="80"/>
          <w:w w:val="150"/>
        </w:rPr>
        <w:t xml:space="preserve"> </w:t>
      </w:r>
      <w:r w:rsidRPr="00283806">
        <w:rPr>
          <w:w w:val="105"/>
        </w:rPr>
        <w:t>that remained. The commenter</w:t>
      </w:r>
      <w:r w:rsidRPr="00283806">
        <w:rPr>
          <w:spacing w:val="40"/>
          <w:w w:val="105"/>
        </w:rPr>
        <w:t xml:space="preserve"> </w:t>
      </w:r>
      <w:r w:rsidRPr="00283806">
        <w:rPr>
          <w:w w:val="105"/>
        </w:rPr>
        <w:t>concluded that there is therefore a mismatch between HFC–32 demand and supply of reclaimed material and that</w:t>
      </w:r>
      <w:r w:rsidRPr="00283806">
        <w:rPr>
          <w:spacing w:val="80"/>
          <w:w w:val="105"/>
        </w:rPr>
        <w:t xml:space="preserve"> </w:t>
      </w:r>
      <w:r w:rsidRPr="00283806">
        <w:rPr>
          <w:w w:val="105"/>
        </w:rPr>
        <w:t>the weight of the reclaim requirement would fall on the HFC–32 producer.</w:t>
      </w:r>
    </w:p>
    <w:p w14:paraId="2F9EFB58" w14:textId="77777777" w:rsidR="00D67C1E" w:rsidRPr="00283806" w:rsidRDefault="001265CA">
      <w:pPr>
        <w:pStyle w:val="BodyText"/>
        <w:spacing w:line="225" w:lineRule="auto"/>
        <w:ind w:left="143" w:right="135"/>
      </w:pPr>
      <w:r w:rsidRPr="00283806">
        <w:rPr>
          <w:w w:val="105"/>
        </w:rPr>
        <w:t>Another commenter noted that they currently use fractional distillation to separate HFC–32 from recovered refrigerant blends to ensure purity that meets or exceeds the AHRI 700 standard for the product. The commenter claimed that sustaining adequate HFC–32</w:t>
      </w:r>
      <w:r w:rsidRPr="00283806">
        <w:rPr>
          <w:spacing w:val="40"/>
          <w:w w:val="105"/>
        </w:rPr>
        <w:t xml:space="preserve"> </w:t>
      </w:r>
      <w:r w:rsidRPr="00283806">
        <w:rPr>
          <w:w w:val="105"/>
        </w:rPr>
        <w:t>supplies</w:t>
      </w:r>
      <w:r w:rsidRPr="00283806">
        <w:rPr>
          <w:spacing w:val="36"/>
          <w:w w:val="105"/>
        </w:rPr>
        <w:t xml:space="preserve"> </w:t>
      </w:r>
      <w:r w:rsidRPr="00283806">
        <w:rPr>
          <w:w w:val="105"/>
        </w:rPr>
        <w:t>to</w:t>
      </w:r>
      <w:r w:rsidRPr="00283806">
        <w:rPr>
          <w:spacing w:val="36"/>
          <w:w w:val="105"/>
        </w:rPr>
        <w:t xml:space="preserve"> </w:t>
      </w:r>
      <w:r w:rsidRPr="00283806">
        <w:rPr>
          <w:w w:val="105"/>
        </w:rPr>
        <w:t>2029</w:t>
      </w:r>
      <w:r w:rsidRPr="00283806">
        <w:rPr>
          <w:spacing w:val="36"/>
          <w:w w:val="105"/>
        </w:rPr>
        <w:t xml:space="preserve"> </w:t>
      </w:r>
      <w:r w:rsidRPr="00283806">
        <w:rPr>
          <w:w w:val="105"/>
        </w:rPr>
        <w:t>and</w:t>
      </w:r>
      <w:r w:rsidRPr="00283806">
        <w:rPr>
          <w:spacing w:val="36"/>
          <w:w w:val="105"/>
        </w:rPr>
        <w:t xml:space="preserve"> </w:t>
      </w:r>
      <w:r w:rsidRPr="00283806">
        <w:rPr>
          <w:w w:val="105"/>
        </w:rPr>
        <w:t>beyond</w:t>
      </w:r>
      <w:r w:rsidRPr="00283806">
        <w:rPr>
          <w:spacing w:val="36"/>
          <w:w w:val="105"/>
        </w:rPr>
        <w:t xml:space="preserve"> </w:t>
      </w:r>
      <w:r w:rsidRPr="00283806">
        <w:rPr>
          <w:w w:val="105"/>
        </w:rPr>
        <w:t>is</w:t>
      </w:r>
      <w:r w:rsidRPr="00283806">
        <w:rPr>
          <w:spacing w:val="36"/>
          <w:w w:val="105"/>
        </w:rPr>
        <w:t xml:space="preserve"> </w:t>
      </w:r>
      <w:r w:rsidRPr="00283806">
        <w:rPr>
          <w:w w:val="105"/>
        </w:rPr>
        <w:t>crucial to ensure equipment operation until the EOL because its GWP is below certain thresholds established in the 2023 Technology Transitions Rule.</w:t>
      </w:r>
    </w:p>
    <w:p w14:paraId="011D391D" w14:textId="77777777" w:rsidR="00D67C1E" w:rsidRPr="00283806" w:rsidRDefault="001265CA">
      <w:pPr>
        <w:pStyle w:val="BodyText"/>
        <w:spacing w:line="176" w:lineRule="exact"/>
        <w:ind w:left="323"/>
      </w:pPr>
      <w:r w:rsidRPr="00283806">
        <w:rPr>
          <w:w w:val="105"/>
        </w:rPr>
        <w:t>Another</w:t>
      </w:r>
      <w:r w:rsidRPr="00283806">
        <w:rPr>
          <w:spacing w:val="16"/>
          <w:w w:val="105"/>
        </w:rPr>
        <w:t xml:space="preserve"> </w:t>
      </w:r>
      <w:r w:rsidRPr="00283806">
        <w:rPr>
          <w:w w:val="105"/>
        </w:rPr>
        <w:t>commenter</w:t>
      </w:r>
      <w:r w:rsidRPr="00283806">
        <w:rPr>
          <w:spacing w:val="16"/>
          <w:w w:val="105"/>
        </w:rPr>
        <w:t xml:space="preserve"> </w:t>
      </w:r>
      <w:r w:rsidRPr="00283806">
        <w:rPr>
          <w:w w:val="105"/>
        </w:rPr>
        <w:t>claimed</w:t>
      </w:r>
      <w:r w:rsidRPr="00283806">
        <w:rPr>
          <w:spacing w:val="16"/>
          <w:w w:val="105"/>
        </w:rPr>
        <w:t xml:space="preserve"> </w:t>
      </w:r>
      <w:r w:rsidRPr="00283806">
        <w:rPr>
          <w:spacing w:val="-4"/>
          <w:w w:val="105"/>
        </w:rPr>
        <w:t>that</w:t>
      </w:r>
    </w:p>
    <w:p w14:paraId="5924AE5A" w14:textId="77777777" w:rsidR="00D67C1E" w:rsidRPr="00283806" w:rsidRDefault="001265CA">
      <w:pPr>
        <w:pStyle w:val="BodyText"/>
        <w:spacing w:line="225" w:lineRule="auto"/>
        <w:ind w:left="143" w:right="122"/>
      </w:pPr>
      <w:r w:rsidRPr="00283806">
        <w:rPr>
          <w:w w:val="105"/>
        </w:rPr>
        <w:t>EPA’s reclaim requirements ignore how refrigerant is recovered. The commenter stated that refrigerant is recovered when equipment is replaced, retrofitted, or retired, and that given the long lag times between when new equipment is installed and when equipment is</w:t>
      </w:r>
      <w:r w:rsidRPr="00283806">
        <w:rPr>
          <w:spacing w:val="40"/>
          <w:w w:val="105"/>
        </w:rPr>
        <w:t xml:space="preserve"> </w:t>
      </w:r>
      <w:r w:rsidRPr="00283806">
        <w:rPr>
          <w:w w:val="105"/>
        </w:rPr>
        <w:t>replaced or retired, the large increase in R–410A reclamation that occurred from 2021 to 2022 could be due to R–410A equipment that was installed in 2010</w:t>
      </w:r>
      <w:r w:rsidRPr="00283806">
        <w:rPr>
          <w:spacing w:val="80"/>
          <w:w w:val="105"/>
        </w:rPr>
        <w:t xml:space="preserve"> </w:t>
      </w:r>
      <w:r w:rsidRPr="00283806">
        <w:rPr>
          <w:w w:val="105"/>
        </w:rPr>
        <w:t>and reached its EOL, and that a large annual increase in R–410A reclamation</w:t>
      </w:r>
      <w:r w:rsidRPr="00283806">
        <w:rPr>
          <w:spacing w:val="80"/>
          <w:w w:val="105"/>
        </w:rPr>
        <w:t xml:space="preserve"> </w:t>
      </w:r>
      <w:r w:rsidRPr="00283806">
        <w:rPr>
          <w:w w:val="105"/>
        </w:rPr>
        <w:t>is not foreseeable based on existing data. The</w:t>
      </w:r>
      <w:r w:rsidRPr="00283806">
        <w:rPr>
          <w:spacing w:val="40"/>
          <w:w w:val="105"/>
        </w:rPr>
        <w:t xml:space="preserve"> </w:t>
      </w:r>
      <w:r w:rsidRPr="00283806">
        <w:rPr>
          <w:w w:val="105"/>
        </w:rPr>
        <w:t>commenter</w:t>
      </w:r>
      <w:r w:rsidRPr="00283806">
        <w:rPr>
          <w:spacing w:val="40"/>
          <w:w w:val="105"/>
        </w:rPr>
        <w:t xml:space="preserve"> </w:t>
      </w:r>
      <w:r w:rsidRPr="00283806">
        <w:rPr>
          <w:w w:val="105"/>
        </w:rPr>
        <w:t>claimed</w:t>
      </w:r>
      <w:r w:rsidRPr="00283806">
        <w:rPr>
          <w:spacing w:val="40"/>
          <w:w w:val="105"/>
        </w:rPr>
        <w:t xml:space="preserve"> </w:t>
      </w:r>
      <w:r w:rsidRPr="00283806">
        <w:rPr>
          <w:w w:val="105"/>
        </w:rPr>
        <w:t>that</w:t>
      </w:r>
      <w:r w:rsidRPr="00283806">
        <w:rPr>
          <w:spacing w:val="40"/>
          <w:w w:val="105"/>
        </w:rPr>
        <w:t xml:space="preserve"> </w:t>
      </w:r>
      <w:r w:rsidRPr="00283806">
        <w:rPr>
          <w:w w:val="105"/>
        </w:rPr>
        <w:t>EPA should model reclaim supply based on</w:t>
      </w:r>
      <w:r w:rsidRPr="00283806">
        <w:rPr>
          <w:spacing w:val="40"/>
          <w:w w:val="105"/>
        </w:rPr>
        <w:t xml:space="preserve"> </w:t>
      </w:r>
      <w:r w:rsidRPr="00283806">
        <w:rPr>
          <w:w w:val="105"/>
        </w:rPr>
        <w:t>the installed base of refrigerants, estimated by yearly turnover and estimated recovery efficiency. The commenter modeled the R–410A installed</w:t>
      </w:r>
      <w:r w:rsidRPr="00283806">
        <w:rPr>
          <w:spacing w:val="40"/>
          <w:w w:val="105"/>
        </w:rPr>
        <w:t xml:space="preserve"> </w:t>
      </w:r>
      <w:r w:rsidRPr="00283806">
        <w:rPr>
          <w:w w:val="105"/>
        </w:rPr>
        <w:t>base</w:t>
      </w:r>
      <w:r w:rsidRPr="00283806">
        <w:rPr>
          <w:spacing w:val="40"/>
          <w:w w:val="105"/>
        </w:rPr>
        <w:t xml:space="preserve"> </w:t>
      </w:r>
      <w:r w:rsidRPr="00283806">
        <w:rPr>
          <w:w w:val="105"/>
        </w:rPr>
        <w:t>using</w:t>
      </w:r>
      <w:r w:rsidRPr="00283806">
        <w:rPr>
          <w:spacing w:val="40"/>
          <w:w w:val="105"/>
        </w:rPr>
        <w:t xml:space="preserve"> </w:t>
      </w:r>
      <w:r w:rsidRPr="00283806">
        <w:rPr>
          <w:w w:val="105"/>
        </w:rPr>
        <w:t>AHRI</w:t>
      </w:r>
      <w:r w:rsidRPr="00283806">
        <w:rPr>
          <w:spacing w:val="40"/>
          <w:w w:val="105"/>
        </w:rPr>
        <w:t xml:space="preserve"> </w:t>
      </w:r>
      <w:r w:rsidRPr="00283806">
        <w:rPr>
          <w:w w:val="105"/>
        </w:rPr>
        <w:t>shipment data for RACHP from 2008 to 2022 and provided an attachment with modeled data to support its argument. The commenter</w:t>
      </w:r>
      <w:r w:rsidRPr="00283806">
        <w:rPr>
          <w:spacing w:val="-2"/>
          <w:w w:val="105"/>
        </w:rPr>
        <w:t xml:space="preserve"> </w:t>
      </w:r>
      <w:r w:rsidRPr="00283806">
        <w:rPr>
          <w:w w:val="105"/>
        </w:rPr>
        <w:t>used</w:t>
      </w:r>
      <w:r w:rsidRPr="00283806">
        <w:rPr>
          <w:spacing w:val="-2"/>
          <w:w w:val="105"/>
        </w:rPr>
        <w:t xml:space="preserve"> </w:t>
      </w:r>
      <w:r w:rsidRPr="00283806">
        <w:rPr>
          <w:w w:val="105"/>
        </w:rPr>
        <w:t>these</w:t>
      </w:r>
      <w:r w:rsidRPr="00283806">
        <w:rPr>
          <w:spacing w:val="-2"/>
          <w:w w:val="105"/>
        </w:rPr>
        <w:t xml:space="preserve"> </w:t>
      </w:r>
      <w:r w:rsidRPr="00283806">
        <w:rPr>
          <w:w w:val="105"/>
        </w:rPr>
        <w:t>data</w:t>
      </w:r>
      <w:r w:rsidRPr="00283806">
        <w:rPr>
          <w:spacing w:val="-2"/>
          <w:w w:val="105"/>
        </w:rPr>
        <w:t xml:space="preserve"> </w:t>
      </w:r>
      <w:r w:rsidRPr="00283806">
        <w:rPr>
          <w:w w:val="105"/>
        </w:rPr>
        <w:t>to</w:t>
      </w:r>
      <w:r w:rsidRPr="00283806">
        <w:rPr>
          <w:spacing w:val="-2"/>
          <w:w w:val="105"/>
        </w:rPr>
        <w:t xml:space="preserve"> </w:t>
      </w:r>
      <w:r w:rsidRPr="00283806">
        <w:rPr>
          <w:w w:val="105"/>
        </w:rPr>
        <w:t>assert</w:t>
      </w:r>
      <w:r w:rsidRPr="00283806">
        <w:rPr>
          <w:spacing w:val="-2"/>
          <w:w w:val="105"/>
        </w:rPr>
        <w:t xml:space="preserve"> </w:t>
      </w:r>
      <w:r w:rsidRPr="00283806">
        <w:rPr>
          <w:w w:val="105"/>
        </w:rPr>
        <w:t>that the growth in reclamation of R–410A in 2022 was expected, because there was</w:t>
      </w:r>
      <w:r w:rsidRPr="00283806">
        <w:rPr>
          <w:spacing w:val="80"/>
          <w:w w:val="105"/>
        </w:rPr>
        <w:t xml:space="preserve"> </w:t>
      </w:r>
      <w:r w:rsidRPr="00283806">
        <w:rPr>
          <w:w w:val="105"/>
        </w:rPr>
        <w:t>an increase in new units using R–410A</w:t>
      </w:r>
      <w:r w:rsidRPr="00283806">
        <w:rPr>
          <w:spacing w:val="80"/>
          <w:w w:val="150"/>
        </w:rPr>
        <w:t xml:space="preserve"> </w:t>
      </w:r>
      <w:r w:rsidRPr="00283806">
        <w:rPr>
          <w:w w:val="105"/>
        </w:rPr>
        <w:t>in 2010 compared to 2009. Furthermore, the commenter stated that it considered the equipment mix when factoring in future reclamation numbers of R–410A, as well as how refrigerant is recovered.</w:t>
      </w:r>
    </w:p>
    <w:p w14:paraId="6F41A1F6" w14:textId="77777777" w:rsidR="00D67C1E" w:rsidRPr="00283806" w:rsidRDefault="001265CA">
      <w:pPr>
        <w:pStyle w:val="BodyText"/>
        <w:spacing w:line="168" w:lineRule="exact"/>
        <w:ind w:left="323"/>
      </w:pPr>
      <w:r w:rsidRPr="00283806">
        <w:rPr>
          <w:w w:val="105"/>
        </w:rPr>
        <w:t>Another</w:t>
      </w:r>
      <w:r w:rsidRPr="00283806">
        <w:rPr>
          <w:spacing w:val="11"/>
          <w:w w:val="105"/>
        </w:rPr>
        <w:t xml:space="preserve"> </w:t>
      </w:r>
      <w:r w:rsidRPr="00283806">
        <w:rPr>
          <w:w w:val="105"/>
        </w:rPr>
        <w:t>commenter</w:t>
      </w:r>
      <w:r w:rsidRPr="00283806">
        <w:rPr>
          <w:spacing w:val="11"/>
          <w:w w:val="105"/>
        </w:rPr>
        <w:t xml:space="preserve"> </w:t>
      </w:r>
      <w:r w:rsidRPr="00283806">
        <w:rPr>
          <w:w w:val="105"/>
        </w:rPr>
        <w:t>mentioned</w:t>
      </w:r>
      <w:r w:rsidRPr="00283806">
        <w:rPr>
          <w:spacing w:val="11"/>
          <w:w w:val="105"/>
        </w:rPr>
        <w:t xml:space="preserve"> </w:t>
      </w:r>
      <w:r w:rsidRPr="00283806">
        <w:rPr>
          <w:spacing w:val="-4"/>
          <w:w w:val="105"/>
        </w:rPr>
        <w:t>that</w:t>
      </w:r>
    </w:p>
    <w:p w14:paraId="43EF5BEB" w14:textId="77777777" w:rsidR="00D67C1E" w:rsidRPr="00283806" w:rsidRDefault="001265CA">
      <w:pPr>
        <w:pStyle w:val="BodyText"/>
        <w:spacing w:before="4" w:line="225" w:lineRule="auto"/>
        <w:ind w:left="143" w:right="195"/>
      </w:pPr>
      <w:r w:rsidRPr="00283806">
        <w:rPr>
          <w:w w:val="105"/>
        </w:rPr>
        <w:t>the maximum amount of annual ‘‘recoverable’’ and subsequently ‘‘reclaimable’’ R–410A in 2022 would be approximately 29,000 metric tons or 63 million pounds of R–410A and that the amount of reclaimed R–410A reported</w:t>
      </w:r>
      <w:r w:rsidRPr="00283806">
        <w:rPr>
          <w:spacing w:val="80"/>
          <w:w w:val="150"/>
        </w:rPr>
        <w:t xml:space="preserve"> </w:t>
      </w:r>
      <w:r w:rsidRPr="00283806">
        <w:rPr>
          <w:w w:val="105"/>
        </w:rPr>
        <w:t>to EPA by the reclaimers in 2021 was</w:t>
      </w:r>
    </w:p>
    <w:p w14:paraId="50A62275" w14:textId="77777777" w:rsidR="00D67C1E" w:rsidRPr="00283806" w:rsidRDefault="001265CA">
      <w:pPr>
        <w:pStyle w:val="BodyText"/>
        <w:spacing w:line="225" w:lineRule="auto"/>
        <w:ind w:left="143" w:right="296"/>
      </w:pPr>
      <w:r w:rsidRPr="00283806">
        <w:rPr>
          <w:w w:val="105"/>
        </w:rPr>
        <w:t>2.5 million pounds. The commenter stated it is abundantly clear that there is great scope for improving recovery and reclamation rates for HFCs that</w:t>
      </w:r>
    </w:p>
    <w:p w14:paraId="1084C56A"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7" w:space="40"/>
            <w:col w:w="3501" w:space="39"/>
            <w:col w:w="3623"/>
          </w:cols>
        </w:sectPr>
      </w:pPr>
    </w:p>
    <w:p w14:paraId="50961DFE" w14:textId="77777777" w:rsidR="00D67C1E" w:rsidRPr="00283806" w:rsidRDefault="001265CA">
      <w:pPr>
        <w:pStyle w:val="BodyText"/>
        <w:spacing w:before="134" w:line="228" w:lineRule="auto"/>
      </w:pPr>
      <w:r w:rsidRPr="00283806">
        <w:rPr>
          <w:w w:val="105"/>
        </w:rPr>
        <w:lastRenderedPageBreak/>
        <w:t xml:space="preserve">would yield significant climate benefits resulting from preventing those GHGs from being emitted into the atmosphere and </w:t>
      </w:r>
      <w:proofErr w:type="gramStart"/>
      <w:r w:rsidRPr="00283806">
        <w:rPr>
          <w:w w:val="105"/>
        </w:rPr>
        <w:t>reduce</w:t>
      </w:r>
      <w:proofErr w:type="gramEnd"/>
      <w:r w:rsidRPr="00283806">
        <w:rPr>
          <w:w w:val="105"/>
        </w:rPr>
        <w:t xml:space="preserve"> the need for supplies of</w:t>
      </w:r>
      <w:r w:rsidRPr="00283806">
        <w:rPr>
          <w:spacing w:val="40"/>
          <w:w w:val="105"/>
        </w:rPr>
        <w:t xml:space="preserve"> </w:t>
      </w:r>
      <w:r w:rsidRPr="00283806">
        <w:rPr>
          <w:w w:val="105"/>
        </w:rPr>
        <w:t>virgin HFCs. The commenter further noted that some may argue that the</w:t>
      </w:r>
      <w:r w:rsidRPr="00283806">
        <w:rPr>
          <w:spacing w:val="80"/>
          <w:w w:val="105"/>
        </w:rPr>
        <w:t xml:space="preserve"> </w:t>
      </w:r>
      <w:r w:rsidRPr="00283806">
        <w:rPr>
          <w:w w:val="105"/>
        </w:rPr>
        <w:t>small</w:t>
      </w:r>
      <w:r w:rsidRPr="00283806">
        <w:rPr>
          <w:spacing w:val="40"/>
          <w:w w:val="105"/>
        </w:rPr>
        <w:t xml:space="preserve"> </w:t>
      </w:r>
      <w:r w:rsidRPr="00283806">
        <w:rPr>
          <w:w w:val="105"/>
        </w:rPr>
        <w:t>quantities</w:t>
      </w:r>
      <w:r w:rsidRPr="00283806">
        <w:rPr>
          <w:spacing w:val="40"/>
          <w:w w:val="105"/>
        </w:rPr>
        <w:t xml:space="preserve"> </w:t>
      </w:r>
      <w:r w:rsidRPr="00283806">
        <w:rPr>
          <w:w w:val="105"/>
        </w:rPr>
        <w:t>of</w:t>
      </w:r>
      <w:r w:rsidRPr="00283806">
        <w:rPr>
          <w:spacing w:val="40"/>
          <w:w w:val="105"/>
        </w:rPr>
        <w:t xml:space="preserve"> </w:t>
      </w:r>
      <w:r w:rsidRPr="00283806">
        <w:rPr>
          <w:w w:val="105"/>
        </w:rPr>
        <w:t>HFCs</w:t>
      </w:r>
      <w:r w:rsidRPr="00283806">
        <w:rPr>
          <w:spacing w:val="40"/>
          <w:w w:val="105"/>
        </w:rPr>
        <w:t xml:space="preserve"> </w:t>
      </w:r>
      <w:r w:rsidRPr="00283806">
        <w:rPr>
          <w:w w:val="105"/>
        </w:rPr>
        <w:t>reclaimed today are evidence that the reclamation market will not be able to meet the demand for reclaimed HFCs under the proposed rule but stated that the current HFC</w:t>
      </w:r>
      <w:r w:rsidRPr="00283806">
        <w:rPr>
          <w:spacing w:val="40"/>
          <w:w w:val="105"/>
        </w:rPr>
        <w:t xml:space="preserve"> </w:t>
      </w:r>
      <w:r w:rsidRPr="00283806">
        <w:rPr>
          <w:w w:val="105"/>
        </w:rPr>
        <w:t>reclamation</w:t>
      </w:r>
      <w:r w:rsidRPr="00283806">
        <w:rPr>
          <w:spacing w:val="40"/>
          <w:w w:val="105"/>
        </w:rPr>
        <w:t xml:space="preserve"> </w:t>
      </w:r>
      <w:r w:rsidRPr="00283806">
        <w:rPr>
          <w:w w:val="105"/>
        </w:rPr>
        <w:t>data</w:t>
      </w:r>
      <w:r w:rsidRPr="00283806">
        <w:rPr>
          <w:spacing w:val="40"/>
          <w:w w:val="105"/>
        </w:rPr>
        <w:t xml:space="preserve"> </w:t>
      </w:r>
      <w:proofErr w:type="gramStart"/>
      <w:r w:rsidRPr="00283806">
        <w:rPr>
          <w:w w:val="105"/>
        </w:rPr>
        <w:t>reflect</w:t>
      </w:r>
      <w:proofErr w:type="gramEnd"/>
      <w:r w:rsidRPr="00283806">
        <w:rPr>
          <w:spacing w:val="40"/>
          <w:w w:val="105"/>
        </w:rPr>
        <w:t xml:space="preserve"> </w:t>
      </w:r>
      <w:r w:rsidRPr="00283806">
        <w:rPr>
          <w:w w:val="105"/>
        </w:rPr>
        <w:t>the absence of market drivers that will make reclaimed HFCs a valuable commodity. The commenter stated that the amount</w:t>
      </w:r>
      <w:r w:rsidRPr="00283806">
        <w:rPr>
          <w:spacing w:val="40"/>
          <w:w w:val="105"/>
        </w:rPr>
        <w:t xml:space="preserve"> </w:t>
      </w:r>
      <w:r w:rsidRPr="00283806">
        <w:rPr>
          <w:w w:val="105"/>
        </w:rPr>
        <w:t>of R–410A reclaimed in 2022 is nearly</w:t>
      </w:r>
      <w:r w:rsidRPr="00283806">
        <w:rPr>
          <w:spacing w:val="80"/>
          <w:w w:val="105"/>
        </w:rPr>
        <w:t xml:space="preserve"> </w:t>
      </w:r>
      <w:r w:rsidRPr="00283806">
        <w:rPr>
          <w:w w:val="105"/>
        </w:rPr>
        <w:t>40 percent higher than the previous year and that this is a clear sign that the start of the HFC phasedown and the expectation of regulatory mandates for use of reclaimed HFCs can lead to dramatic, positive shifts in the industry. The commenter also stated that EPA</w:t>
      </w:r>
      <w:r w:rsidRPr="00283806">
        <w:rPr>
          <w:spacing w:val="80"/>
          <w:w w:val="105"/>
        </w:rPr>
        <w:t xml:space="preserve"> </w:t>
      </w:r>
      <w:r w:rsidRPr="00283806">
        <w:rPr>
          <w:w w:val="105"/>
        </w:rPr>
        <w:t>may hear that scaling capacity for advanced fractional distillation reclamation will take time, and that splitting out component gases of azeotropic</w:t>
      </w:r>
      <w:r w:rsidRPr="00283806">
        <w:rPr>
          <w:spacing w:val="-7"/>
          <w:w w:val="105"/>
        </w:rPr>
        <w:t xml:space="preserve"> </w:t>
      </w:r>
      <w:r w:rsidRPr="00283806">
        <w:rPr>
          <w:w w:val="105"/>
        </w:rPr>
        <w:t>or</w:t>
      </w:r>
      <w:r w:rsidRPr="00283806">
        <w:rPr>
          <w:spacing w:val="-7"/>
          <w:w w:val="105"/>
        </w:rPr>
        <w:t xml:space="preserve"> </w:t>
      </w:r>
      <w:r w:rsidRPr="00283806">
        <w:rPr>
          <w:w w:val="105"/>
        </w:rPr>
        <w:t>near-azeotropic</w:t>
      </w:r>
      <w:r w:rsidRPr="00283806">
        <w:rPr>
          <w:spacing w:val="-7"/>
          <w:w w:val="105"/>
        </w:rPr>
        <w:t xml:space="preserve"> </w:t>
      </w:r>
      <w:r w:rsidRPr="00283806">
        <w:rPr>
          <w:w w:val="105"/>
        </w:rPr>
        <w:t>refrigerant blends tends to use more energy than reclaiming blends like R–410A back to their original form without separating</w:t>
      </w:r>
      <w:r w:rsidRPr="00283806">
        <w:rPr>
          <w:spacing w:val="40"/>
          <w:w w:val="105"/>
        </w:rPr>
        <w:t xml:space="preserve"> </w:t>
      </w:r>
      <w:r w:rsidRPr="00283806">
        <w:rPr>
          <w:w w:val="105"/>
        </w:rPr>
        <w:t xml:space="preserve">out their components. The commenter noted that this may be true; but there is also good reason to encourage the development of a reclamation industry that </w:t>
      </w:r>
      <w:proofErr w:type="gramStart"/>
      <w:r w:rsidRPr="00283806">
        <w:rPr>
          <w:w w:val="105"/>
        </w:rPr>
        <w:t>is capable of splitting</w:t>
      </w:r>
      <w:proofErr w:type="gramEnd"/>
      <w:r w:rsidRPr="00283806">
        <w:rPr>
          <w:w w:val="105"/>
        </w:rPr>
        <w:t xml:space="preserve"> mixed gases.</w:t>
      </w:r>
    </w:p>
    <w:p w14:paraId="2A0972BD" w14:textId="77777777" w:rsidR="00D67C1E" w:rsidRPr="00283806" w:rsidRDefault="001265CA">
      <w:pPr>
        <w:pStyle w:val="BodyText"/>
        <w:spacing w:before="22" w:line="228" w:lineRule="auto"/>
        <w:ind w:right="6" w:firstLine="180"/>
      </w:pPr>
      <w:r w:rsidRPr="00283806">
        <w:rPr>
          <w:w w:val="105"/>
        </w:rPr>
        <w:t>The commenter mentioned that new refrigerants favored by most of the large OEMs are HFC–32 and blends using HFC–32 (</w:t>
      </w:r>
      <w:r w:rsidRPr="00283806">
        <w:rPr>
          <w:rFonts w:ascii="Book Antiqua" w:hAnsi="Book Antiqua"/>
          <w:i/>
          <w:w w:val="105"/>
        </w:rPr>
        <w:t xml:space="preserve">e.g., </w:t>
      </w:r>
      <w:r w:rsidRPr="00283806">
        <w:rPr>
          <w:w w:val="105"/>
        </w:rPr>
        <w:t>R–454B). The commenter stated that the main source of reclaimed HFC–32 will be recovered R–410A,</w:t>
      </w:r>
      <w:r w:rsidRPr="00283806">
        <w:rPr>
          <w:spacing w:val="80"/>
          <w:w w:val="105"/>
        </w:rPr>
        <w:t xml:space="preserve"> </w:t>
      </w:r>
      <w:r w:rsidRPr="00283806">
        <w:rPr>
          <w:w w:val="105"/>
        </w:rPr>
        <w:t>which is the refrigerant currently used</w:t>
      </w:r>
      <w:r w:rsidRPr="00283806">
        <w:rPr>
          <w:spacing w:val="80"/>
          <w:w w:val="105"/>
        </w:rPr>
        <w:t xml:space="preserve"> </w:t>
      </w:r>
      <w:r w:rsidRPr="00283806">
        <w:rPr>
          <w:w w:val="105"/>
        </w:rPr>
        <w:t>in most RACHP equipment, and that separating HFC–32 out from R–410A is feasible</w:t>
      </w:r>
      <w:r w:rsidRPr="00283806">
        <w:rPr>
          <w:spacing w:val="40"/>
          <w:w w:val="105"/>
        </w:rPr>
        <w:t xml:space="preserve"> </w:t>
      </w:r>
      <w:r w:rsidRPr="00283806">
        <w:rPr>
          <w:w w:val="105"/>
        </w:rPr>
        <w:t>and,</w:t>
      </w:r>
      <w:r w:rsidRPr="00283806">
        <w:rPr>
          <w:spacing w:val="40"/>
          <w:w w:val="105"/>
        </w:rPr>
        <w:t xml:space="preserve"> </w:t>
      </w:r>
      <w:r w:rsidRPr="00283806">
        <w:rPr>
          <w:w w:val="105"/>
        </w:rPr>
        <w:t>if</w:t>
      </w:r>
      <w:r w:rsidRPr="00283806">
        <w:rPr>
          <w:spacing w:val="40"/>
          <w:w w:val="105"/>
        </w:rPr>
        <w:t xml:space="preserve"> </w:t>
      </w:r>
      <w:r w:rsidRPr="00283806">
        <w:rPr>
          <w:w w:val="105"/>
        </w:rPr>
        <w:t>recovery</w:t>
      </w:r>
      <w:r w:rsidRPr="00283806">
        <w:rPr>
          <w:spacing w:val="40"/>
          <w:w w:val="105"/>
        </w:rPr>
        <w:t xml:space="preserve"> </w:t>
      </w:r>
      <w:r w:rsidRPr="00283806">
        <w:rPr>
          <w:w w:val="105"/>
        </w:rPr>
        <w:t>is</w:t>
      </w:r>
      <w:r w:rsidRPr="00283806">
        <w:rPr>
          <w:spacing w:val="40"/>
          <w:w w:val="105"/>
        </w:rPr>
        <w:t xml:space="preserve"> </w:t>
      </w:r>
      <w:r w:rsidRPr="00283806">
        <w:rPr>
          <w:w w:val="105"/>
        </w:rPr>
        <w:t>maximized, as is the intent of the proposed rule,</w:t>
      </w:r>
      <w:r w:rsidRPr="00283806">
        <w:rPr>
          <w:spacing w:val="40"/>
          <w:w w:val="105"/>
        </w:rPr>
        <w:t xml:space="preserve"> </w:t>
      </w:r>
      <w:r w:rsidRPr="00283806">
        <w:rPr>
          <w:w w:val="105"/>
        </w:rPr>
        <w:t>there will be a sufficient quantity of it available to meet the demand. The commenter estimated that there will be</w:t>
      </w:r>
      <w:r w:rsidRPr="00283806">
        <w:rPr>
          <w:spacing w:val="80"/>
          <w:w w:val="105"/>
        </w:rPr>
        <w:t xml:space="preserve"> </w:t>
      </w:r>
      <w:r w:rsidRPr="00283806">
        <w:rPr>
          <w:w w:val="105"/>
        </w:rPr>
        <w:t>a need for approximately 72 million pounds of recovered R–410A and that if recovery of R–410A from retiring equipment is maximized, an estimated</w:t>
      </w:r>
      <w:r w:rsidRPr="00283806">
        <w:rPr>
          <w:spacing w:val="40"/>
          <w:w w:val="105"/>
        </w:rPr>
        <w:t xml:space="preserve"> </w:t>
      </w:r>
      <w:r w:rsidRPr="00283806">
        <w:rPr>
          <w:w w:val="105"/>
        </w:rPr>
        <w:t>63 million pounds of R–410A would be recovered in 2022. However, the commenter noted that the amount of recoverable R–410A will grow, since the number of retiring systems grows just as the number of new systems does. The commenter estimated the amount of recoverable R–410A in 2028 will be approximately 70 to 74 million pounds, which will be sufficient for meeting the demand for reclaimed HFC–32 in 2028. The commenter noted that there might</w:t>
      </w:r>
      <w:r w:rsidRPr="00283806">
        <w:rPr>
          <w:spacing w:val="40"/>
          <w:w w:val="105"/>
        </w:rPr>
        <w:t xml:space="preserve"> </w:t>
      </w:r>
      <w:r w:rsidRPr="00283806">
        <w:rPr>
          <w:w w:val="105"/>
        </w:rPr>
        <w:t xml:space="preserve">be challenges, but ultimately, the data </w:t>
      </w:r>
      <w:proofErr w:type="gramStart"/>
      <w:r w:rsidRPr="00283806">
        <w:rPr>
          <w:w w:val="105"/>
        </w:rPr>
        <w:t>suggest</w:t>
      </w:r>
      <w:proofErr w:type="gramEnd"/>
      <w:r w:rsidRPr="00283806">
        <w:rPr>
          <w:w w:val="105"/>
        </w:rPr>
        <w:t xml:space="preserve"> that there is a tremendous</w:t>
      </w:r>
    </w:p>
    <w:p w14:paraId="478391DA" w14:textId="77777777" w:rsidR="00D67C1E" w:rsidRPr="00283806" w:rsidRDefault="001265CA">
      <w:pPr>
        <w:pStyle w:val="BodyText"/>
        <w:spacing w:before="134" w:line="225" w:lineRule="auto"/>
        <w:ind w:left="154" w:right="123"/>
      </w:pPr>
      <w:r w:rsidRPr="00283806">
        <w:br w:type="column"/>
      </w:r>
      <w:r w:rsidRPr="00283806">
        <w:rPr>
          <w:w w:val="105"/>
        </w:rPr>
        <w:t>untapped opportunity for upscaling HFC recovery and reclamation in the United States.</w:t>
      </w:r>
    </w:p>
    <w:p w14:paraId="1D7F4631" w14:textId="77777777" w:rsidR="00D67C1E" w:rsidRPr="00283806" w:rsidRDefault="001265CA">
      <w:pPr>
        <w:pStyle w:val="BodyText"/>
        <w:spacing w:line="179" w:lineRule="exact"/>
        <w:ind w:left="334"/>
      </w:pPr>
      <w:r w:rsidRPr="00283806">
        <w:rPr>
          <w:w w:val="105"/>
        </w:rPr>
        <w:t>Another</w:t>
      </w:r>
      <w:r w:rsidRPr="00283806">
        <w:rPr>
          <w:spacing w:val="4"/>
          <w:w w:val="105"/>
        </w:rPr>
        <w:t xml:space="preserve"> </w:t>
      </w:r>
      <w:r w:rsidRPr="00283806">
        <w:rPr>
          <w:w w:val="105"/>
        </w:rPr>
        <w:t>commenter</w:t>
      </w:r>
      <w:r w:rsidRPr="00283806">
        <w:rPr>
          <w:spacing w:val="4"/>
          <w:w w:val="105"/>
        </w:rPr>
        <w:t xml:space="preserve"> </w:t>
      </w:r>
      <w:r w:rsidRPr="00283806">
        <w:rPr>
          <w:w w:val="105"/>
        </w:rPr>
        <w:t>stated</w:t>
      </w:r>
      <w:r w:rsidRPr="00283806">
        <w:rPr>
          <w:spacing w:val="4"/>
          <w:w w:val="105"/>
        </w:rPr>
        <w:t xml:space="preserve"> </w:t>
      </w:r>
      <w:r w:rsidRPr="00283806">
        <w:rPr>
          <w:w w:val="105"/>
        </w:rPr>
        <w:t>that</w:t>
      </w:r>
      <w:r w:rsidRPr="00283806">
        <w:rPr>
          <w:spacing w:val="4"/>
          <w:w w:val="105"/>
        </w:rPr>
        <w:t xml:space="preserve"> </w:t>
      </w:r>
      <w:r w:rsidRPr="00283806">
        <w:rPr>
          <w:spacing w:val="-5"/>
          <w:w w:val="105"/>
        </w:rPr>
        <w:t>63</w:t>
      </w:r>
    </w:p>
    <w:p w14:paraId="36B49227" w14:textId="77777777" w:rsidR="00D67C1E" w:rsidRPr="00283806" w:rsidRDefault="001265CA">
      <w:pPr>
        <w:pStyle w:val="BodyText"/>
        <w:spacing w:before="4" w:line="225" w:lineRule="auto"/>
        <w:ind w:left="154" w:right="38"/>
      </w:pPr>
      <w:r w:rsidRPr="00283806">
        <w:rPr>
          <w:w w:val="105"/>
        </w:rPr>
        <w:t>million pounds of recovered R–410A could yield 31.5 million pounds of reclaimed HFC–32 for use in the initial charge of new equipment using HFC–32 or other blends mainly composed of HFC–32 and HFOs. The commenter</w:t>
      </w:r>
      <w:r w:rsidRPr="00283806">
        <w:rPr>
          <w:spacing w:val="40"/>
          <w:w w:val="105"/>
        </w:rPr>
        <w:t xml:space="preserve"> </w:t>
      </w:r>
      <w:r w:rsidRPr="00283806">
        <w:rPr>
          <w:w w:val="105"/>
        </w:rPr>
        <w:t xml:space="preserve">noted that the R–410A available from 2024 to 2027 would also supplement annual amounts recoverable from 2028 </w:t>
      </w:r>
      <w:r w:rsidRPr="00283806">
        <w:rPr>
          <w:spacing w:val="-2"/>
          <w:w w:val="105"/>
        </w:rPr>
        <w:t>onwards.</w:t>
      </w:r>
    </w:p>
    <w:p w14:paraId="4857BF87" w14:textId="77777777" w:rsidR="00D67C1E" w:rsidRPr="00283806" w:rsidRDefault="001265CA">
      <w:pPr>
        <w:pStyle w:val="BodyText"/>
        <w:spacing w:line="177" w:lineRule="exact"/>
        <w:ind w:left="334"/>
      </w:pPr>
      <w:r w:rsidRPr="00283806">
        <w:rPr>
          <w:w w:val="105"/>
        </w:rPr>
        <w:t>Another</w:t>
      </w:r>
      <w:r w:rsidRPr="00283806">
        <w:rPr>
          <w:spacing w:val="4"/>
          <w:w w:val="105"/>
        </w:rPr>
        <w:t xml:space="preserve"> </w:t>
      </w:r>
      <w:r w:rsidRPr="00283806">
        <w:rPr>
          <w:w w:val="105"/>
        </w:rPr>
        <w:t>commenter</w:t>
      </w:r>
      <w:r w:rsidRPr="00283806">
        <w:rPr>
          <w:spacing w:val="4"/>
          <w:w w:val="105"/>
        </w:rPr>
        <w:t xml:space="preserve"> </w:t>
      </w:r>
      <w:r w:rsidRPr="00283806">
        <w:rPr>
          <w:w w:val="105"/>
        </w:rPr>
        <w:t>stated</w:t>
      </w:r>
      <w:r w:rsidRPr="00283806">
        <w:rPr>
          <w:spacing w:val="4"/>
          <w:w w:val="105"/>
        </w:rPr>
        <w:t xml:space="preserve"> </w:t>
      </w:r>
      <w:r w:rsidRPr="00283806">
        <w:rPr>
          <w:w w:val="105"/>
        </w:rPr>
        <w:t>that</w:t>
      </w:r>
      <w:r w:rsidRPr="00283806">
        <w:rPr>
          <w:spacing w:val="4"/>
          <w:w w:val="105"/>
        </w:rPr>
        <w:t xml:space="preserve"> </w:t>
      </w:r>
      <w:r w:rsidRPr="00283806">
        <w:rPr>
          <w:spacing w:val="-2"/>
          <w:w w:val="105"/>
        </w:rPr>
        <w:t>EPA’s</w:t>
      </w:r>
    </w:p>
    <w:p w14:paraId="695B8451" w14:textId="77777777" w:rsidR="00D67C1E" w:rsidRPr="00283806" w:rsidRDefault="001265CA">
      <w:pPr>
        <w:pStyle w:val="BodyText"/>
        <w:spacing w:before="4" w:line="225" w:lineRule="auto"/>
        <w:ind w:left="154" w:right="42"/>
      </w:pPr>
      <w:r w:rsidRPr="00283806">
        <w:rPr>
          <w:w w:val="105"/>
        </w:rPr>
        <w:t xml:space="preserve">existing data support the availability of sufficient refrigerant in the aftermarket to meet service sector demand at 100 percent by 2028. The commenter suggested that the total amount of refrigerant available for recovery at EOL is likely </w:t>
      </w:r>
      <w:proofErr w:type="gramStart"/>
      <w:r w:rsidRPr="00283806">
        <w:rPr>
          <w:w w:val="105"/>
        </w:rPr>
        <w:t>in excess of</w:t>
      </w:r>
      <w:proofErr w:type="gramEnd"/>
      <w:r w:rsidRPr="00283806">
        <w:rPr>
          <w:w w:val="105"/>
        </w:rPr>
        <w:t xml:space="preserve"> 80 million pounds annually and that based on this</w:t>
      </w:r>
      <w:r w:rsidRPr="00283806">
        <w:rPr>
          <w:spacing w:val="80"/>
          <w:w w:val="105"/>
        </w:rPr>
        <w:t xml:space="preserve"> </w:t>
      </w:r>
      <w:r w:rsidRPr="00283806">
        <w:rPr>
          <w:w w:val="105"/>
        </w:rPr>
        <w:t>estimate, the amount of refrigerant available for recovery via service is sufficient to meet the goals described in the proposed rule. However, the commenter suggested that it will be difficult for EPA to meet their reclaim goals without the consideration of an alternative construction of the reclaim mandate as a servicing mandate based on refrigerant types rather than sectors. The commenter noted that it would be impossible to meet EPA’s goal without focusing on the recovery of R–410A, which is predominately used in small outdoor units.</w:t>
      </w:r>
    </w:p>
    <w:p w14:paraId="76F0154D" w14:textId="77777777" w:rsidR="00D67C1E" w:rsidRPr="00283806" w:rsidRDefault="001265CA">
      <w:pPr>
        <w:spacing w:line="177" w:lineRule="exact"/>
        <w:ind w:left="334"/>
        <w:rPr>
          <w:sz w:val="18"/>
        </w:rPr>
      </w:pPr>
      <w:r w:rsidRPr="00283806">
        <w:rPr>
          <w:rFonts w:ascii="Book Antiqua"/>
          <w:i/>
          <w:w w:val="110"/>
          <w:sz w:val="18"/>
        </w:rPr>
        <w:t>Response:</w:t>
      </w:r>
      <w:r w:rsidRPr="00283806">
        <w:rPr>
          <w:rFonts w:ascii="Book Antiqua"/>
          <w:i/>
          <w:spacing w:val="2"/>
          <w:w w:val="110"/>
          <w:sz w:val="18"/>
        </w:rPr>
        <w:t xml:space="preserve"> </w:t>
      </w:r>
      <w:r w:rsidRPr="00283806">
        <w:rPr>
          <w:w w:val="110"/>
          <w:sz w:val="18"/>
        </w:rPr>
        <w:t>EPA</w:t>
      </w:r>
      <w:r w:rsidRPr="00283806">
        <w:rPr>
          <w:spacing w:val="8"/>
          <w:w w:val="110"/>
          <w:sz w:val="18"/>
        </w:rPr>
        <w:t xml:space="preserve"> </w:t>
      </w:r>
      <w:r w:rsidRPr="00283806">
        <w:rPr>
          <w:w w:val="110"/>
          <w:sz w:val="18"/>
        </w:rPr>
        <w:t>acknowledges</w:t>
      </w:r>
      <w:r w:rsidRPr="00283806">
        <w:rPr>
          <w:spacing w:val="8"/>
          <w:w w:val="110"/>
          <w:sz w:val="18"/>
        </w:rPr>
        <w:t xml:space="preserve"> </w:t>
      </w:r>
      <w:r w:rsidRPr="00283806">
        <w:rPr>
          <w:spacing w:val="-2"/>
          <w:w w:val="110"/>
          <w:sz w:val="18"/>
        </w:rPr>
        <w:t>these</w:t>
      </w:r>
    </w:p>
    <w:p w14:paraId="736E312B" w14:textId="77777777" w:rsidR="00D67C1E" w:rsidRPr="00283806" w:rsidRDefault="001265CA">
      <w:pPr>
        <w:pStyle w:val="BodyText"/>
        <w:spacing w:line="225" w:lineRule="auto"/>
        <w:ind w:left="154" w:right="43"/>
      </w:pPr>
      <w:r w:rsidRPr="00283806">
        <w:rPr>
          <w:w w:val="105"/>
        </w:rPr>
        <w:t xml:space="preserve">comments and understands the competing interests for reclaiming </w:t>
      </w:r>
      <w:proofErr w:type="gramStart"/>
      <w:r w:rsidRPr="00283806">
        <w:rPr>
          <w:w w:val="105"/>
        </w:rPr>
        <w:t>particular HFC</w:t>
      </w:r>
      <w:proofErr w:type="gramEnd"/>
      <w:r w:rsidRPr="00283806">
        <w:rPr>
          <w:w w:val="105"/>
        </w:rPr>
        <w:t xml:space="preserve"> blends as compared to separating out and reclaiming </w:t>
      </w:r>
      <w:proofErr w:type="gramStart"/>
      <w:r w:rsidRPr="00283806">
        <w:rPr>
          <w:w w:val="105"/>
        </w:rPr>
        <w:t>particular components</w:t>
      </w:r>
      <w:proofErr w:type="gramEnd"/>
      <w:r w:rsidRPr="00283806">
        <w:rPr>
          <w:w w:val="105"/>
        </w:rPr>
        <w:t xml:space="preserve"> to be used either neat or in other blends. EPA understands that the example of HFC–32 as a component of R–410A is one of the more common scenarios. EPA notes, as described in other responses, that we are finalizing requirements for the servicing and/or repair of refrigerant-containing equipment with reclaimed HFCs in certain RACHP subsectors. EPA is not establishing requirements for initial charge</w:t>
      </w:r>
      <w:r w:rsidRPr="00283806">
        <w:rPr>
          <w:spacing w:val="40"/>
          <w:w w:val="105"/>
        </w:rPr>
        <w:t xml:space="preserve"> </w:t>
      </w:r>
      <w:r w:rsidRPr="00283806">
        <w:rPr>
          <w:w w:val="105"/>
        </w:rPr>
        <w:t>with</w:t>
      </w:r>
      <w:r w:rsidRPr="00283806">
        <w:rPr>
          <w:spacing w:val="40"/>
          <w:w w:val="105"/>
        </w:rPr>
        <w:t xml:space="preserve"> </w:t>
      </w:r>
      <w:r w:rsidRPr="00283806">
        <w:rPr>
          <w:w w:val="105"/>
        </w:rPr>
        <w:t>reclaimed</w:t>
      </w:r>
      <w:r w:rsidRPr="00283806">
        <w:rPr>
          <w:spacing w:val="40"/>
          <w:w w:val="105"/>
        </w:rPr>
        <w:t xml:space="preserve"> </w:t>
      </w:r>
      <w:r w:rsidRPr="00283806">
        <w:rPr>
          <w:w w:val="105"/>
        </w:rPr>
        <w:t>HFCs</w:t>
      </w:r>
      <w:r w:rsidRPr="00283806">
        <w:rPr>
          <w:spacing w:val="40"/>
          <w:w w:val="105"/>
        </w:rPr>
        <w:t xml:space="preserve"> </w:t>
      </w:r>
      <w:r w:rsidRPr="00283806">
        <w:rPr>
          <w:w w:val="105"/>
        </w:rPr>
        <w:t>at</w:t>
      </w:r>
      <w:r w:rsidRPr="00283806">
        <w:rPr>
          <w:spacing w:val="40"/>
          <w:w w:val="105"/>
        </w:rPr>
        <w:t xml:space="preserve"> </w:t>
      </w:r>
      <w:r w:rsidRPr="00283806">
        <w:rPr>
          <w:w w:val="105"/>
        </w:rPr>
        <w:t>this time, where the Agency anticipates a majority of HFC–32, blends that include HFC–32, and other blends will be used</w:t>
      </w:r>
      <w:r w:rsidRPr="00283806">
        <w:rPr>
          <w:spacing w:val="80"/>
          <w:w w:val="105"/>
        </w:rPr>
        <w:t xml:space="preserve"> </w:t>
      </w:r>
      <w:r w:rsidRPr="00283806">
        <w:rPr>
          <w:w w:val="105"/>
        </w:rPr>
        <w:t>in the coming years.</w:t>
      </w:r>
    </w:p>
    <w:p w14:paraId="656124BF" w14:textId="77777777" w:rsidR="00D67C1E" w:rsidRPr="00283806" w:rsidRDefault="001265CA">
      <w:pPr>
        <w:pStyle w:val="BodyText"/>
        <w:spacing w:line="228" w:lineRule="auto"/>
        <w:ind w:left="154" w:right="101" w:firstLine="180"/>
      </w:pPr>
      <w:r w:rsidRPr="00283806">
        <w:rPr>
          <w:w w:val="105"/>
        </w:rPr>
        <w:t>EPA acknowledges comments about supply of reclaimed HFCs and those related to driving supply of reclaimed HFCs through the requirements established in this rulemaking. The Agency also notes comments providing specific detail on potential availability</w:t>
      </w:r>
      <w:r w:rsidRPr="00283806">
        <w:rPr>
          <w:spacing w:val="40"/>
          <w:w w:val="105"/>
        </w:rPr>
        <w:t xml:space="preserve"> </w:t>
      </w:r>
      <w:r w:rsidRPr="00283806">
        <w:rPr>
          <w:w w:val="105"/>
        </w:rPr>
        <w:t xml:space="preserve">of reclaimed refrigerants, and </w:t>
      </w:r>
      <w:proofErr w:type="gramStart"/>
      <w:r w:rsidRPr="00283806">
        <w:rPr>
          <w:w w:val="105"/>
        </w:rPr>
        <w:t>in particular of</w:t>
      </w:r>
      <w:proofErr w:type="gramEnd"/>
      <w:r w:rsidRPr="00283806">
        <w:rPr>
          <w:w w:val="105"/>
        </w:rPr>
        <w:t xml:space="preserve"> HFC–32 as sourced from recovered R–410A, and the Agency</w:t>
      </w:r>
    </w:p>
    <w:p w14:paraId="5ACBA367" w14:textId="77777777" w:rsidR="00D67C1E" w:rsidRPr="00283806" w:rsidRDefault="001265CA">
      <w:pPr>
        <w:pStyle w:val="BodyText"/>
        <w:spacing w:before="134" w:line="225" w:lineRule="auto"/>
        <w:ind w:right="252"/>
      </w:pPr>
      <w:r w:rsidRPr="00283806">
        <w:br w:type="column"/>
      </w:r>
      <w:r w:rsidRPr="00283806">
        <w:rPr>
          <w:w w:val="105"/>
        </w:rPr>
        <w:t>understands that there is room for improvement in the increase of refrigerant recovery to supply to reclaimers. EPA notes that R–410A comprised about 39.2 percent of the existing installed refrigerant stock by mass in 2022, while other blends such as R–404A, R–407C, and R–507 also make up a significant portion of the 2022 installed refrigerant stock.</w:t>
      </w:r>
    </w:p>
    <w:p w14:paraId="51489576" w14:textId="77777777" w:rsidR="00D67C1E" w:rsidRPr="00283806" w:rsidRDefault="001265CA">
      <w:pPr>
        <w:pStyle w:val="BodyText"/>
        <w:spacing w:line="225" w:lineRule="auto"/>
        <w:ind w:right="152"/>
      </w:pPr>
      <w:r w:rsidRPr="00283806">
        <w:rPr>
          <w:w w:val="105"/>
        </w:rPr>
        <w:t xml:space="preserve">Reclamation data, as reported to EPA, show that R–410A is also currently the </w:t>
      </w:r>
      <w:proofErr w:type="gramStart"/>
      <w:r w:rsidRPr="00283806">
        <w:rPr>
          <w:w w:val="105"/>
        </w:rPr>
        <w:t>most commonly reclaimed</w:t>
      </w:r>
      <w:proofErr w:type="gramEnd"/>
      <w:r w:rsidRPr="00283806">
        <w:rPr>
          <w:w w:val="105"/>
        </w:rPr>
        <w:t xml:space="preserve"> HFC refrigerant in the United States by weight. Annual reclamation data reported to EPA indicates that the</w:t>
      </w:r>
      <w:r w:rsidRPr="00283806">
        <w:rPr>
          <w:spacing w:val="80"/>
          <w:w w:val="105"/>
        </w:rPr>
        <w:t xml:space="preserve"> </w:t>
      </w:r>
      <w:r w:rsidRPr="00283806">
        <w:rPr>
          <w:w w:val="105"/>
        </w:rPr>
        <w:t>annual supply of reclaimed R–410A has increased from about 2,100,000 pounds in 2017 to approximately 4,626,000 pounds</w:t>
      </w:r>
      <w:r w:rsidRPr="00283806">
        <w:rPr>
          <w:spacing w:val="40"/>
          <w:w w:val="105"/>
        </w:rPr>
        <w:t xml:space="preserve"> </w:t>
      </w:r>
      <w:r w:rsidRPr="00283806">
        <w:rPr>
          <w:w w:val="105"/>
        </w:rPr>
        <w:t>in</w:t>
      </w:r>
      <w:r w:rsidRPr="00283806">
        <w:rPr>
          <w:spacing w:val="40"/>
          <w:w w:val="105"/>
        </w:rPr>
        <w:t xml:space="preserve"> </w:t>
      </w:r>
      <w:r w:rsidRPr="00283806">
        <w:rPr>
          <w:w w:val="105"/>
        </w:rPr>
        <w:t>2023.</w:t>
      </w:r>
      <w:r w:rsidRPr="00283806">
        <w:rPr>
          <w:w w:val="105"/>
          <w:position w:val="5"/>
          <w:sz w:val="11"/>
        </w:rPr>
        <w:t>107</w:t>
      </w:r>
      <w:r w:rsidRPr="00283806">
        <w:rPr>
          <w:spacing w:val="40"/>
          <w:w w:val="105"/>
          <w:position w:val="5"/>
          <w:sz w:val="11"/>
        </w:rPr>
        <w:t xml:space="preserve"> </w:t>
      </w:r>
      <w:r w:rsidRPr="00283806">
        <w:rPr>
          <w:w w:val="105"/>
        </w:rPr>
        <w:t>The</w:t>
      </w:r>
      <w:r w:rsidRPr="00283806">
        <w:rPr>
          <w:spacing w:val="40"/>
          <w:w w:val="105"/>
        </w:rPr>
        <w:t xml:space="preserve"> </w:t>
      </w:r>
      <w:r w:rsidRPr="00283806">
        <w:rPr>
          <w:w w:val="105"/>
        </w:rPr>
        <w:t>Agency</w:t>
      </w:r>
      <w:r w:rsidRPr="00283806">
        <w:rPr>
          <w:spacing w:val="40"/>
          <w:w w:val="105"/>
        </w:rPr>
        <w:t xml:space="preserve"> </w:t>
      </w:r>
      <w:r w:rsidRPr="00283806">
        <w:rPr>
          <w:w w:val="105"/>
        </w:rPr>
        <w:t>provides additional detail on similar comments related to supply of</w:t>
      </w:r>
      <w:r w:rsidRPr="00283806">
        <w:rPr>
          <w:spacing w:val="80"/>
          <w:w w:val="105"/>
        </w:rPr>
        <w:t xml:space="preserve"> </w:t>
      </w:r>
      <w:r w:rsidRPr="00283806">
        <w:rPr>
          <w:w w:val="105"/>
        </w:rPr>
        <w:t>reclaimed refrigerants and provides a response earlier in this section. EPA understands that the significant recent increases in R–410A reclamation could be attributed to refrigerant-containing equipment with R–410A installed in the early 2010s reaching its EOL. The</w:t>
      </w:r>
      <w:r w:rsidRPr="00283806">
        <w:rPr>
          <w:spacing w:val="80"/>
          <w:w w:val="105"/>
        </w:rPr>
        <w:t xml:space="preserve"> </w:t>
      </w:r>
      <w:r w:rsidRPr="00283806">
        <w:rPr>
          <w:w w:val="105"/>
        </w:rPr>
        <w:t>Agency</w:t>
      </w:r>
      <w:r w:rsidRPr="00283806">
        <w:rPr>
          <w:spacing w:val="40"/>
          <w:w w:val="105"/>
        </w:rPr>
        <w:t xml:space="preserve"> </w:t>
      </w:r>
      <w:r w:rsidRPr="00283806">
        <w:rPr>
          <w:w w:val="105"/>
        </w:rPr>
        <w:t>expects</w:t>
      </w:r>
      <w:r w:rsidRPr="00283806">
        <w:rPr>
          <w:spacing w:val="40"/>
          <w:w w:val="105"/>
        </w:rPr>
        <w:t xml:space="preserve"> </w:t>
      </w:r>
      <w:r w:rsidRPr="00283806">
        <w:rPr>
          <w:w w:val="105"/>
        </w:rPr>
        <w:t>this</w:t>
      </w:r>
      <w:r w:rsidRPr="00283806">
        <w:rPr>
          <w:spacing w:val="40"/>
          <w:w w:val="105"/>
        </w:rPr>
        <w:t xml:space="preserve"> </w:t>
      </w:r>
      <w:r w:rsidRPr="00283806">
        <w:rPr>
          <w:w w:val="105"/>
        </w:rPr>
        <w:t>trend</w:t>
      </w:r>
      <w:r w:rsidRPr="00283806">
        <w:rPr>
          <w:spacing w:val="40"/>
          <w:w w:val="105"/>
        </w:rPr>
        <w:t xml:space="preserve"> </w:t>
      </w:r>
      <w:r w:rsidRPr="00283806">
        <w:rPr>
          <w:w w:val="105"/>
        </w:rPr>
        <w:t>to</w:t>
      </w:r>
      <w:r w:rsidRPr="00283806">
        <w:rPr>
          <w:spacing w:val="40"/>
          <w:w w:val="105"/>
        </w:rPr>
        <w:t xml:space="preserve"> </w:t>
      </w:r>
      <w:r w:rsidRPr="00283806">
        <w:rPr>
          <w:w w:val="105"/>
        </w:rPr>
        <w:t>continue, as additional refrigerant-containing equipment with R–410A would be expected to reach their EOL in the</w:t>
      </w:r>
      <w:r w:rsidRPr="00283806">
        <w:rPr>
          <w:spacing w:val="40"/>
          <w:w w:val="105"/>
        </w:rPr>
        <w:t xml:space="preserve"> </w:t>
      </w:r>
      <w:r w:rsidRPr="00283806">
        <w:rPr>
          <w:w w:val="105"/>
        </w:rPr>
        <w:t>coming years as well.</w:t>
      </w:r>
    </w:p>
    <w:p w14:paraId="689AB10C" w14:textId="77777777" w:rsidR="00D67C1E" w:rsidRPr="00283806" w:rsidRDefault="001265CA">
      <w:pPr>
        <w:pStyle w:val="BodyText"/>
        <w:spacing w:line="173" w:lineRule="exact"/>
        <w:ind w:left="340"/>
      </w:pPr>
      <w:r w:rsidRPr="00283806">
        <w:rPr>
          <w:w w:val="105"/>
        </w:rPr>
        <w:t>The</w:t>
      </w:r>
      <w:r w:rsidRPr="00283806">
        <w:rPr>
          <w:spacing w:val="12"/>
          <w:w w:val="105"/>
        </w:rPr>
        <w:t xml:space="preserve"> </w:t>
      </w:r>
      <w:r w:rsidRPr="00283806">
        <w:rPr>
          <w:w w:val="105"/>
        </w:rPr>
        <w:t>mix</w:t>
      </w:r>
      <w:r w:rsidRPr="00283806">
        <w:rPr>
          <w:spacing w:val="12"/>
          <w:w w:val="105"/>
        </w:rPr>
        <w:t xml:space="preserve"> </w:t>
      </w:r>
      <w:r w:rsidRPr="00283806">
        <w:rPr>
          <w:w w:val="105"/>
        </w:rPr>
        <w:t>of</w:t>
      </w:r>
      <w:r w:rsidRPr="00283806">
        <w:rPr>
          <w:spacing w:val="12"/>
          <w:w w:val="105"/>
        </w:rPr>
        <w:t xml:space="preserve"> </w:t>
      </w:r>
      <w:r w:rsidRPr="00283806">
        <w:rPr>
          <w:w w:val="105"/>
        </w:rPr>
        <w:t>refrigerants</w:t>
      </w:r>
      <w:r w:rsidRPr="00283806">
        <w:rPr>
          <w:spacing w:val="12"/>
          <w:w w:val="105"/>
        </w:rPr>
        <w:t xml:space="preserve"> </w:t>
      </w:r>
      <w:r w:rsidRPr="00283806">
        <w:rPr>
          <w:w w:val="105"/>
        </w:rPr>
        <w:t>will</w:t>
      </w:r>
      <w:r w:rsidRPr="00283806">
        <w:rPr>
          <w:spacing w:val="12"/>
          <w:w w:val="105"/>
        </w:rPr>
        <w:t xml:space="preserve"> </w:t>
      </w:r>
      <w:r w:rsidRPr="00283806">
        <w:rPr>
          <w:spacing w:val="-2"/>
          <w:w w:val="105"/>
        </w:rPr>
        <w:t>change</w:t>
      </w:r>
    </w:p>
    <w:p w14:paraId="118709C1" w14:textId="77777777" w:rsidR="00D67C1E" w:rsidRPr="00283806" w:rsidRDefault="001265CA">
      <w:pPr>
        <w:pStyle w:val="BodyText"/>
        <w:spacing w:line="225" w:lineRule="auto"/>
        <w:ind w:right="190"/>
      </w:pPr>
      <w:r w:rsidRPr="00283806">
        <w:rPr>
          <w:w w:val="105"/>
        </w:rPr>
        <w:t>over time given the overall phasedown</w:t>
      </w:r>
      <w:r w:rsidRPr="00283806">
        <w:rPr>
          <w:spacing w:val="80"/>
          <w:w w:val="105"/>
        </w:rPr>
        <w:t xml:space="preserve"> </w:t>
      </w:r>
      <w:r w:rsidRPr="00283806">
        <w:rPr>
          <w:w w:val="105"/>
        </w:rPr>
        <w:t>of HFCs, the 2023 Technology</w:t>
      </w:r>
      <w:r w:rsidRPr="00283806">
        <w:rPr>
          <w:spacing w:val="40"/>
          <w:w w:val="105"/>
        </w:rPr>
        <w:t xml:space="preserve"> </w:t>
      </w:r>
      <w:r w:rsidRPr="00283806">
        <w:rPr>
          <w:w w:val="105"/>
        </w:rPr>
        <w:t>Transitions</w:t>
      </w:r>
      <w:r w:rsidRPr="00283806">
        <w:rPr>
          <w:spacing w:val="40"/>
          <w:w w:val="105"/>
        </w:rPr>
        <w:t xml:space="preserve"> </w:t>
      </w:r>
      <w:r w:rsidRPr="00283806">
        <w:rPr>
          <w:w w:val="105"/>
        </w:rPr>
        <w:t>Rule,</w:t>
      </w:r>
      <w:r w:rsidRPr="00283806">
        <w:rPr>
          <w:spacing w:val="40"/>
          <w:w w:val="105"/>
        </w:rPr>
        <w:t xml:space="preserve"> </w:t>
      </w:r>
      <w:r w:rsidRPr="00283806">
        <w:rPr>
          <w:w w:val="105"/>
        </w:rPr>
        <w:t>business</w:t>
      </w:r>
      <w:r w:rsidRPr="00283806">
        <w:rPr>
          <w:spacing w:val="40"/>
          <w:w w:val="105"/>
        </w:rPr>
        <w:t xml:space="preserve"> </w:t>
      </w:r>
      <w:r w:rsidRPr="00283806">
        <w:rPr>
          <w:w w:val="105"/>
        </w:rPr>
        <w:t>decisions, and other factors including demand for more energy efficient equipment. The reclaim requirements help to support</w:t>
      </w:r>
      <w:r w:rsidRPr="00283806">
        <w:rPr>
          <w:spacing w:val="80"/>
          <w:w w:val="105"/>
        </w:rPr>
        <w:t xml:space="preserve"> </w:t>
      </w:r>
      <w:r w:rsidRPr="00283806">
        <w:rPr>
          <w:w w:val="105"/>
        </w:rPr>
        <w:t>the goal of subsection (h) of the AIM Act to maximize reclamation. EPA understands that it may be preferable at times for reclaimed R–410A and/or</w:t>
      </w:r>
      <w:r w:rsidRPr="00283806">
        <w:rPr>
          <w:spacing w:val="40"/>
          <w:w w:val="105"/>
        </w:rPr>
        <w:t xml:space="preserve"> </w:t>
      </w:r>
      <w:r w:rsidRPr="00283806">
        <w:rPr>
          <w:w w:val="105"/>
        </w:rPr>
        <w:t xml:space="preserve">other reclaimed refrigerant blends not separated to their components EPA considers reclaiming and making available refrigerant blends to be one way to avoid retiring equipment early. However, EPA also acknowledges comments regarding increasingly available capabilities of reclaimers to separate out components from refrigerant blends for individual reclamation or to combine them </w:t>
      </w:r>
      <w:proofErr w:type="gramStart"/>
      <w:r w:rsidRPr="00283806">
        <w:rPr>
          <w:w w:val="105"/>
        </w:rPr>
        <w:t>so as to</w:t>
      </w:r>
      <w:proofErr w:type="gramEnd"/>
      <w:r w:rsidRPr="00283806">
        <w:rPr>
          <w:w w:val="105"/>
        </w:rPr>
        <w:t xml:space="preserve"> increase the available supply of a different refrigerant blend. Over time, particularly as the refrigerants used in equipment change, the Agency</w:t>
      </w:r>
      <w:r w:rsidRPr="00283806">
        <w:rPr>
          <w:spacing w:val="40"/>
          <w:w w:val="105"/>
        </w:rPr>
        <w:t xml:space="preserve"> </w:t>
      </w:r>
      <w:r w:rsidRPr="00283806">
        <w:rPr>
          <w:w w:val="105"/>
        </w:rPr>
        <w:t>anticipates seeing movement in this direction. The Agency anticipates that demand will drive reclaimers’ decisions concerning reclaiming a blend or separating the blend for its components. EPA previously noted and agrees with</w:t>
      </w:r>
    </w:p>
    <w:p w14:paraId="048DF647" w14:textId="77777777" w:rsidR="00D67C1E" w:rsidRPr="00283806" w:rsidRDefault="001265CA">
      <w:pPr>
        <w:pStyle w:val="BodyText"/>
        <w:ind w:left="0"/>
        <w:rPr>
          <w:sz w:val="15"/>
        </w:rPr>
      </w:pPr>
      <w:r w:rsidRPr="00283806">
        <w:rPr>
          <w:noProof/>
        </w:rPr>
        <mc:AlternateContent>
          <mc:Choice Requires="wps">
            <w:drawing>
              <wp:anchor distT="0" distB="0" distL="0" distR="0" simplePos="0" relativeHeight="251659264" behindDoc="1" locked="0" layoutInCell="1" allowOverlap="1" wp14:anchorId="7B2EA485" wp14:editId="335B1B15">
                <wp:simplePos x="0" y="0"/>
                <wp:positionH relativeFrom="page">
                  <wp:posOffset>5067300</wp:posOffset>
                </wp:positionH>
                <wp:positionV relativeFrom="paragraph">
                  <wp:posOffset>126930</wp:posOffset>
                </wp:positionV>
                <wp:extent cx="635000" cy="1270"/>
                <wp:effectExtent l="0" t="0" r="0" b="0"/>
                <wp:wrapTopAndBottom/>
                <wp:docPr id="91" name="Graphic 9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736196F" id="Graphic 91" o:spid="_x0000_s1026" alt="&quot;&quot;" style="position:absolute;margin-left:399pt;margin-top:10pt;width:50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" path="m,l635000,e" filled="f" strokeweight=".5pt">
                <v:path arrowok="t"/>
                <w10:wrap type="topAndBottom" anchorx="page"/>
              </v:shape>
            </w:pict>
          </mc:Fallback>
        </mc:AlternateContent>
      </w:r>
    </w:p>
    <w:p w14:paraId="552DA801" w14:textId="4818E82E" w:rsidR="00D67C1E" w:rsidRPr="00283806" w:rsidRDefault="001265CA">
      <w:pPr>
        <w:spacing w:before="42" w:line="228" w:lineRule="auto"/>
        <w:ind w:left="160" w:right="162" w:firstLine="140"/>
        <w:rPr>
          <w:rFonts w:ascii="Book Antiqua"/>
          <w:i/>
          <w:sz w:val="14"/>
        </w:rPr>
      </w:pPr>
      <w:r w:rsidRPr="00283806">
        <w:rPr>
          <w:spacing w:val="-2"/>
          <w:w w:val="115"/>
          <w:position w:val="4"/>
          <w:sz w:val="9"/>
        </w:rPr>
        <w:t xml:space="preserve">107 </w:t>
      </w:r>
      <w:r w:rsidRPr="00283806">
        <w:rPr>
          <w:spacing w:val="-2"/>
          <w:w w:val="115"/>
          <w:sz w:val="14"/>
        </w:rPr>
        <w:t xml:space="preserve">Available at: </w:t>
      </w:r>
      <w:r w:rsidRPr="00283806">
        <w:rPr>
          <w:rFonts w:ascii="Book Antiqua"/>
          <w:i/>
          <w:spacing w:val="-2"/>
          <w:w w:val="115"/>
          <w:sz w:val="14"/>
        </w:rPr>
        <w:t>https://www.epa.gov/section608/</w:t>
      </w:r>
      <w:r w:rsidRPr="00283806">
        <w:rPr>
          <w:rFonts w:ascii="Book Antiqua"/>
          <w:i/>
          <w:spacing w:val="40"/>
          <w:w w:val="115"/>
          <w:sz w:val="14"/>
        </w:rPr>
        <w:t xml:space="preserve"> </w:t>
      </w:r>
      <w:r w:rsidRPr="00283806">
        <w:rPr>
          <w:rFonts w:ascii="Book Antiqua"/>
          <w:i/>
          <w:spacing w:val="-2"/>
          <w:w w:val="115"/>
          <w:sz w:val="14"/>
        </w:rPr>
        <w:t>summary-refrigerant-reclamation-trends.</w:t>
      </w:r>
    </w:p>
    <w:p w14:paraId="539320A1" w14:textId="77777777" w:rsidR="00D67C1E" w:rsidRPr="00283806" w:rsidRDefault="00D67C1E">
      <w:pPr>
        <w:spacing w:line="228" w:lineRule="auto"/>
        <w:rPr>
          <w:rFonts w:ascii="Book Antiqua"/>
          <w:sz w:val="14"/>
        </w:rPr>
        <w:sectPr w:rsidR="00D67C1E" w:rsidRPr="00283806">
          <w:pgSz w:w="12240" w:h="15840"/>
          <w:pgMar w:top="1040" w:right="780" w:bottom="280" w:left="740" w:header="627" w:footer="0" w:gutter="0"/>
          <w:cols w:num="3" w:space="720" w:equalWidth="0">
            <w:col w:w="3506" w:space="40"/>
            <w:col w:w="3472" w:space="62"/>
            <w:col w:w="3640"/>
          </w:cols>
        </w:sectPr>
      </w:pPr>
    </w:p>
    <w:p w14:paraId="4E579A67" w14:textId="77777777" w:rsidR="00D67C1E" w:rsidRPr="00283806" w:rsidRDefault="001265CA">
      <w:pPr>
        <w:pStyle w:val="BodyText"/>
        <w:spacing w:before="136" w:line="225" w:lineRule="auto"/>
        <w:ind w:right="67"/>
      </w:pPr>
      <w:r w:rsidRPr="00283806">
        <w:rPr>
          <w:w w:val="105"/>
        </w:rPr>
        <w:lastRenderedPageBreak/>
        <w:t>comments that HFC–32 reclamation by separating from recovered blends is a current practice. The Agency further acknowledges the need for reclaimers to address safety considerations when handling HFC–32, and other mildly flammable and/or flammable</w:t>
      </w:r>
      <w:r w:rsidRPr="00283806">
        <w:rPr>
          <w:spacing w:val="40"/>
          <w:w w:val="105"/>
        </w:rPr>
        <w:t xml:space="preserve"> </w:t>
      </w:r>
      <w:r w:rsidRPr="00283806">
        <w:rPr>
          <w:w w:val="105"/>
        </w:rPr>
        <w:t>refrigerants particularly if reclaimers choose to use separation technologies. Further, the Agency is establishing alternate RCRA standards for</w:t>
      </w:r>
      <w:r w:rsidRPr="00283806">
        <w:rPr>
          <w:spacing w:val="40"/>
          <w:w w:val="105"/>
        </w:rPr>
        <w:t xml:space="preserve"> </w:t>
      </w:r>
      <w:r w:rsidRPr="00283806">
        <w:rPr>
          <w:w w:val="105"/>
        </w:rPr>
        <w:t>reclamation facilities related to handling flammable refrigerants, as described further in section IV.H of this</w:t>
      </w:r>
      <w:r w:rsidRPr="00283806">
        <w:rPr>
          <w:spacing w:val="80"/>
          <w:w w:val="150"/>
        </w:rPr>
        <w:t xml:space="preserve"> </w:t>
      </w:r>
      <w:r w:rsidRPr="00283806">
        <w:rPr>
          <w:spacing w:val="-2"/>
          <w:w w:val="105"/>
        </w:rPr>
        <w:t>rulemaking.</w:t>
      </w:r>
    </w:p>
    <w:p w14:paraId="11CB3A10" w14:textId="77777777" w:rsidR="00D67C1E" w:rsidRPr="00283806" w:rsidRDefault="001265CA">
      <w:pPr>
        <w:pStyle w:val="BodyText"/>
        <w:spacing w:line="175" w:lineRule="exact"/>
        <w:ind w:left="340"/>
      </w:pPr>
      <w:r w:rsidRPr="00283806">
        <w:rPr>
          <w:w w:val="110"/>
        </w:rPr>
        <w:t>As</w:t>
      </w:r>
      <w:r w:rsidRPr="00283806">
        <w:rPr>
          <w:spacing w:val="4"/>
          <w:w w:val="110"/>
        </w:rPr>
        <w:t xml:space="preserve"> </w:t>
      </w:r>
      <w:r w:rsidRPr="00283806">
        <w:rPr>
          <w:w w:val="110"/>
        </w:rPr>
        <w:t>noted,</w:t>
      </w:r>
      <w:r w:rsidRPr="00283806">
        <w:rPr>
          <w:spacing w:val="4"/>
          <w:w w:val="110"/>
        </w:rPr>
        <w:t xml:space="preserve"> </w:t>
      </w:r>
      <w:r w:rsidRPr="00283806">
        <w:rPr>
          <w:w w:val="110"/>
        </w:rPr>
        <w:t>EPA</w:t>
      </w:r>
      <w:r w:rsidRPr="00283806">
        <w:rPr>
          <w:spacing w:val="5"/>
          <w:w w:val="110"/>
        </w:rPr>
        <w:t xml:space="preserve"> </w:t>
      </w:r>
      <w:r w:rsidRPr="00283806">
        <w:rPr>
          <w:w w:val="110"/>
        </w:rPr>
        <w:t>is</w:t>
      </w:r>
      <w:r w:rsidRPr="00283806">
        <w:rPr>
          <w:spacing w:val="4"/>
          <w:w w:val="110"/>
        </w:rPr>
        <w:t xml:space="preserve"> </w:t>
      </w:r>
      <w:r w:rsidRPr="00283806">
        <w:rPr>
          <w:w w:val="110"/>
        </w:rPr>
        <w:t>not</w:t>
      </w:r>
      <w:r w:rsidRPr="00283806">
        <w:rPr>
          <w:spacing w:val="5"/>
          <w:w w:val="110"/>
        </w:rPr>
        <w:t xml:space="preserve"> </w:t>
      </w:r>
      <w:r w:rsidRPr="00283806">
        <w:rPr>
          <w:spacing w:val="-2"/>
          <w:w w:val="110"/>
        </w:rPr>
        <w:t>establishing</w:t>
      </w:r>
    </w:p>
    <w:p w14:paraId="3C7F26B8" w14:textId="77777777" w:rsidR="00D67C1E" w:rsidRPr="00283806" w:rsidRDefault="001265CA">
      <w:pPr>
        <w:pStyle w:val="BodyText"/>
        <w:spacing w:before="4" w:line="225" w:lineRule="auto"/>
      </w:pPr>
      <w:r w:rsidRPr="00283806">
        <w:rPr>
          <w:spacing w:val="-2"/>
          <w:w w:val="110"/>
        </w:rPr>
        <w:t>requirements</w:t>
      </w:r>
      <w:r w:rsidRPr="00283806">
        <w:rPr>
          <w:spacing w:val="-9"/>
          <w:w w:val="110"/>
        </w:rPr>
        <w:t xml:space="preserve"> </w:t>
      </w:r>
      <w:r w:rsidRPr="00283806">
        <w:rPr>
          <w:spacing w:val="-2"/>
          <w:w w:val="110"/>
        </w:rPr>
        <w:t>for</w:t>
      </w:r>
      <w:r w:rsidRPr="00283806">
        <w:rPr>
          <w:spacing w:val="-9"/>
          <w:w w:val="110"/>
        </w:rPr>
        <w:t xml:space="preserve"> </w:t>
      </w:r>
      <w:r w:rsidRPr="00283806">
        <w:rPr>
          <w:spacing w:val="-2"/>
          <w:w w:val="110"/>
        </w:rPr>
        <w:t>reclaimed</w:t>
      </w:r>
      <w:r w:rsidRPr="00283806">
        <w:rPr>
          <w:spacing w:val="-9"/>
          <w:w w:val="110"/>
        </w:rPr>
        <w:t xml:space="preserve"> </w:t>
      </w:r>
      <w:r w:rsidRPr="00283806">
        <w:rPr>
          <w:spacing w:val="-2"/>
          <w:w w:val="110"/>
        </w:rPr>
        <w:t>HFCs</w:t>
      </w:r>
      <w:r w:rsidRPr="00283806">
        <w:rPr>
          <w:spacing w:val="-9"/>
          <w:w w:val="110"/>
        </w:rPr>
        <w:t xml:space="preserve"> </w:t>
      </w:r>
      <w:r w:rsidRPr="00283806">
        <w:rPr>
          <w:spacing w:val="-2"/>
          <w:w w:val="110"/>
        </w:rPr>
        <w:t>in</w:t>
      </w:r>
      <w:r w:rsidRPr="00283806">
        <w:rPr>
          <w:spacing w:val="-9"/>
          <w:w w:val="110"/>
        </w:rPr>
        <w:t xml:space="preserve"> </w:t>
      </w:r>
      <w:r w:rsidRPr="00283806">
        <w:rPr>
          <w:spacing w:val="-2"/>
          <w:w w:val="110"/>
        </w:rPr>
        <w:t xml:space="preserve">the </w:t>
      </w:r>
      <w:r w:rsidRPr="00283806">
        <w:rPr>
          <w:w w:val="110"/>
        </w:rPr>
        <w:t>initial fill of equipment in certain subsectors in this rulemaking.</w:t>
      </w:r>
    </w:p>
    <w:p w14:paraId="74FD2F71" w14:textId="77777777" w:rsidR="00D67C1E" w:rsidRPr="00283806" w:rsidRDefault="001265CA">
      <w:pPr>
        <w:pStyle w:val="BodyText"/>
        <w:spacing w:line="225" w:lineRule="auto"/>
      </w:pPr>
      <w:r w:rsidRPr="00283806">
        <w:rPr>
          <w:w w:val="105"/>
        </w:rPr>
        <w:t xml:space="preserve">Therefore, subsectors that may be using HFC–32 or blends that contain HFC–32 could source the refrigerant for initial charge from either virgin or reclaimed </w:t>
      </w:r>
      <w:r w:rsidRPr="00283806">
        <w:rPr>
          <w:spacing w:val="-2"/>
          <w:w w:val="105"/>
        </w:rPr>
        <w:t>supplies.</w:t>
      </w:r>
    </w:p>
    <w:p w14:paraId="3011F0A5" w14:textId="77777777" w:rsidR="00D67C1E" w:rsidRPr="00283806" w:rsidRDefault="001265CA">
      <w:pPr>
        <w:pStyle w:val="BodyText"/>
        <w:spacing w:line="178" w:lineRule="exact"/>
        <w:ind w:left="340"/>
      </w:pPr>
      <w:r w:rsidRPr="00283806">
        <w:rPr>
          <w:w w:val="105"/>
        </w:rPr>
        <w:t>In</w:t>
      </w:r>
      <w:r w:rsidRPr="00283806">
        <w:rPr>
          <w:spacing w:val="6"/>
          <w:w w:val="105"/>
        </w:rPr>
        <w:t xml:space="preserve"> </w:t>
      </w:r>
      <w:r w:rsidRPr="00283806">
        <w:rPr>
          <w:w w:val="105"/>
        </w:rPr>
        <w:t>the</w:t>
      </w:r>
      <w:r w:rsidRPr="00283806">
        <w:rPr>
          <w:spacing w:val="7"/>
          <w:w w:val="105"/>
        </w:rPr>
        <w:t xml:space="preserve"> </w:t>
      </w:r>
      <w:r w:rsidRPr="00283806">
        <w:rPr>
          <w:w w:val="105"/>
        </w:rPr>
        <w:t>case</w:t>
      </w:r>
      <w:r w:rsidRPr="00283806">
        <w:rPr>
          <w:spacing w:val="6"/>
          <w:w w:val="105"/>
        </w:rPr>
        <w:t xml:space="preserve"> </w:t>
      </w:r>
      <w:r w:rsidRPr="00283806">
        <w:rPr>
          <w:w w:val="105"/>
        </w:rPr>
        <w:t>that</w:t>
      </w:r>
      <w:r w:rsidRPr="00283806">
        <w:rPr>
          <w:spacing w:val="7"/>
          <w:w w:val="105"/>
        </w:rPr>
        <w:t xml:space="preserve"> </w:t>
      </w:r>
      <w:r w:rsidRPr="00283806">
        <w:rPr>
          <w:w w:val="105"/>
        </w:rPr>
        <w:t>recovered</w:t>
      </w:r>
      <w:r w:rsidRPr="00283806">
        <w:rPr>
          <w:spacing w:val="6"/>
          <w:w w:val="105"/>
        </w:rPr>
        <w:t xml:space="preserve"> </w:t>
      </w:r>
      <w:r w:rsidRPr="00283806">
        <w:rPr>
          <w:w w:val="105"/>
        </w:rPr>
        <w:t>R–410A</w:t>
      </w:r>
      <w:r w:rsidRPr="00283806">
        <w:rPr>
          <w:spacing w:val="7"/>
          <w:w w:val="105"/>
        </w:rPr>
        <w:t xml:space="preserve"> </w:t>
      </w:r>
      <w:r w:rsidRPr="00283806">
        <w:rPr>
          <w:spacing w:val="-5"/>
          <w:w w:val="105"/>
        </w:rPr>
        <w:t>is</w:t>
      </w:r>
    </w:p>
    <w:p w14:paraId="3B49C7AD" w14:textId="77777777" w:rsidR="00D67C1E" w:rsidRPr="00283806" w:rsidRDefault="001265CA">
      <w:pPr>
        <w:pStyle w:val="BodyText"/>
        <w:spacing w:before="2" w:line="225" w:lineRule="auto"/>
        <w:ind w:right="9"/>
      </w:pPr>
      <w:r w:rsidRPr="00283806">
        <w:rPr>
          <w:w w:val="105"/>
        </w:rPr>
        <w:t>separated out to its components for their individual reclamation, the Agency disagrees that the HFC–125 would be stranded or only be used for reclaimed R–410A.</w:t>
      </w:r>
      <w:r w:rsidRPr="00283806">
        <w:rPr>
          <w:spacing w:val="40"/>
          <w:w w:val="105"/>
        </w:rPr>
        <w:t xml:space="preserve"> </w:t>
      </w:r>
      <w:r w:rsidRPr="00283806">
        <w:rPr>
          <w:w w:val="105"/>
        </w:rPr>
        <w:t>EPA</w:t>
      </w:r>
      <w:r w:rsidRPr="00283806">
        <w:rPr>
          <w:spacing w:val="40"/>
          <w:w w:val="105"/>
        </w:rPr>
        <w:t xml:space="preserve"> </w:t>
      </w:r>
      <w:r w:rsidRPr="00283806">
        <w:rPr>
          <w:w w:val="105"/>
        </w:rPr>
        <w:t>notes</w:t>
      </w:r>
      <w:r w:rsidRPr="00283806">
        <w:rPr>
          <w:spacing w:val="40"/>
          <w:w w:val="105"/>
        </w:rPr>
        <w:t xml:space="preserve"> </w:t>
      </w:r>
      <w:r w:rsidRPr="00283806">
        <w:rPr>
          <w:w w:val="105"/>
        </w:rPr>
        <w:t>that</w:t>
      </w:r>
      <w:r w:rsidRPr="00283806">
        <w:rPr>
          <w:spacing w:val="40"/>
          <w:w w:val="105"/>
        </w:rPr>
        <w:t xml:space="preserve"> </w:t>
      </w:r>
      <w:r w:rsidRPr="00283806">
        <w:rPr>
          <w:w w:val="105"/>
        </w:rPr>
        <w:t>HFC–125</w:t>
      </w:r>
      <w:r w:rsidRPr="00283806">
        <w:rPr>
          <w:spacing w:val="40"/>
          <w:w w:val="105"/>
        </w:rPr>
        <w:t xml:space="preserve"> </w:t>
      </w:r>
      <w:r w:rsidRPr="00283806">
        <w:rPr>
          <w:w w:val="105"/>
        </w:rPr>
        <w:t>is used in other HFC refrigerant blends besides R–410A. If HFC–32 reclamation</w:t>
      </w:r>
      <w:r w:rsidRPr="00283806">
        <w:rPr>
          <w:spacing w:val="40"/>
          <w:w w:val="105"/>
        </w:rPr>
        <w:t xml:space="preserve"> </w:t>
      </w:r>
      <w:r w:rsidRPr="00283806">
        <w:rPr>
          <w:w w:val="105"/>
        </w:rPr>
        <w:t>is achieved through separation of recovered R–410A, the remaining HFC– 125 could be used in these other blends, including R–404A, the R–407 series, or R–507,</w:t>
      </w:r>
      <w:r w:rsidRPr="00283806">
        <w:rPr>
          <w:spacing w:val="40"/>
          <w:w w:val="105"/>
        </w:rPr>
        <w:t xml:space="preserve"> </w:t>
      </w:r>
      <w:r w:rsidRPr="00283806">
        <w:rPr>
          <w:w w:val="105"/>
        </w:rPr>
        <w:t>which</w:t>
      </w:r>
      <w:r w:rsidRPr="00283806">
        <w:rPr>
          <w:spacing w:val="40"/>
          <w:w w:val="105"/>
        </w:rPr>
        <w:t xml:space="preserve"> </w:t>
      </w:r>
      <w:r w:rsidRPr="00283806">
        <w:rPr>
          <w:w w:val="105"/>
        </w:rPr>
        <w:t>are</w:t>
      </w:r>
      <w:r w:rsidRPr="00283806">
        <w:rPr>
          <w:spacing w:val="40"/>
          <w:w w:val="105"/>
        </w:rPr>
        <w:t xml:space="preserve"> </w:t>
      </w:r>
      <w:r w:rsidRPr="00283806">
        <w:rPr>
          <w:w w:val="105"/>
        </w:rPr>
        <w:t>HFC</w:t>
      </w:r>
      <w:r w:rsidRPr="00283806">
        <w:rPr>
          <w:spacing w:val="40"/>
          <w:w w:val="105"/>
        </w:rPr>
        <w:t xml:space="preserve"> </w:t>
      </w:r>
      <w:r w:rsidRPr="00283806">
        <w:rPr>
          <w:w w:val="105"/>
        </w:rPr>
        <w:t>blends</w:t>
      </w:r>
      <w:r w:rsidRPr="00283806">
        <w:rPr>
          <w:spacing w:val="40"/>
          <w:w w:val="105"/>
        </w:rPr>
        <w:t xml:space="preserve"> </w:t>
      </w:r>
      <w:r w:rsidRPr="00283806">
        <w:rPr>
          <w:w w:val="105"/>
        </w:rPr>
        <w:t>the Agency anticipates will be used in the covered subsectors for the requirements for the servicing and/or repair of refrigerant-containing equipment with reclaimed HFCs. HFC–125 is also a component of several newer refrigerant blends and could be used in the those blends as well.</w:t>
      </w:r>
    </w:p>
    <w:p w14:paraId="187E1A9B" w14:textId="77777777" w:rsidR="00D67C1E" w:rsidRPr="00283806" w:rsidRDefault="001265CA">
      <w:pPr>
        <w:pStyle w:val="BodyText"/>
        <w:spacing w:line="173" w:lineRule="exact"/>
        <w:ind w:left="340"/>
      </w:pPr>
      <w:r w:rsidRPr="00283806">
        <w:rPr>
          <w:w w:val="105"/>
        </w:rPr>
        <w:t>EPA</w:t>
      </w:r>
      <w:r w:rsidRPr="00283806">
        <w:rPr>
          <w:spacing w:val="14"/>
          <w:w w:val="105"/>
        </w:rPr>
        <w:t xml:space="preserve"> </w:t>
      </w:r>
      <w:r w:rsidRPr="00283806">
        <w:rPr>
          <w:w w:val="105"/>
        </w:rPr>
        <w:t>responds</w:t>
      </w:r>
      <w:r w:rsidRPr="00283806">
        <w:rPr>
          <w:spacing w:val="14"/>
          <w:w w:val="105"/>
        </w:rPr>
        <w:t xml:space="preserve"> </w:t>
      </w:r>
      <w:r w:rsidRPr="00283806">
        <w:rPr>
          <w:w w:val="105"/>
        </w:rPr>
        <w:t>to</w:t>
      </w:r>
      <w:r w:rsidRPr="00283806">
        <w:rPr>
          <w:spacing w:val="14"/>
          <w:w w:val="105"/>
        </w:rPr>
        <w:t xml:space="preserve"> </w:t>
      </w:r>
      <w:r w:rsidRPr="00283806">
        <w:rPr>
          <w:w w:val="105"/>
        </w:rPr>
        <w:t>comments</w:t>
      </w:r>
      <w:r w:rsidRPr="00283806">
        <w:rPr>
          <w:spacing w:val="14"/>
          <w:w w:val="105"/>
        </w:rPr>
        <w:t xml:space="preserve"> </w:t>
      </w:r>
      <w:r w:rsidRPr="00283806">
        <w:rPr>
          <w:spacing w:val="-5"/>
          <w:w w:val="105"/>
        </w:rPr>
        <w:t>on</w:t>
      </w:r>
    </w:p>
    <w:p w14:paraId="38CF6F38" w14:textId="77777777" w:rsidR="00D67C1E" w:rsidRPr="00283806" w:rsidRDefault="001265CA">
      <w:pPr>
        <w:pStyle w:val="BodyText"/>
        <w:spacing w:before="4" w:line="225" w:lineRule="auto"/>
        <w:ind w:right="33"/>
      </w:pPr>
      <w:r w:rsidRPr="00283806">
        <w:rPr>
          <w:w w:val="105"/>
        </w:rPr>
        <w:t>establishing provisions related to requirements for reclaimed HFCs on a refrigerant basis rather than a subsector basis. The Agency notes that a subsector approach is preferable in this</w:t>
      </w:r>
      <w:r w:rsidRPr="00283806">
        <w:rPr>
          <w:spacing w:val="40"/>
          <w:w w:val="105"/>
        </w:rPr>
        <w:t xml:space="preserve"> </w:t>
      </w:r>
      <w:r w:rsidRPr="00283806">
        <w:rPr>
          <w:w w:val="105"/>
        </w:rPr>
        <w:t xml:space="preserve">rulemaking, as it avoids cases where there could be shortages of </w:t>
      </w:r>
      <w:proofErr w:type="gramStart"/>
      <w:r w:rsidRPr="00283806">
        <w:rPr>
          <w:w w:val="105"/>
        </w:rPr>
        <w:t>particular reclaimed</w:t>
      </w:r>
      <w:proofErr w:type="gramEnd"/>
      <w:r w:rsidRPr="00283806">
        <w:rPr>
          <w:w w:val="105"/>
        </w:rPr>
        <w:t xml:space="preserve"> HFCs or HFC refrigerant blends.</w:t>
      </w:r>
      <w:r w:rsidRPr="00283806">
        <w:rPr>
          <w:spacing w:val="40"/>
          <w:w w:val="105"/>
        </w:rPr>
        <w:t xml:space="preserve"> </w:t>
      </w:r>
      <w:r w:rsidRPr="00283806">
        <w:rPr>
          <w:w w:val="105"/>
        </w:rPr>
        <w:t>The</w:t>
      </w:r>
      <w:r w:rsidRPr="00283806">
        <w:rPr>
          <w:spacing w:val="40"/>
          <w:w w:val="105"/>
        </w:rPr>
        <w:t xml:space="preserve"> </w:t>
      </w:r>
      <w:r w:rsidRPr="00283806">
        <w:rPr>
          <w:w w:val="105"/>
        </w:rPr>
        <w:t>Agency</w:t>
      </w:r>
      <w:r w:rsidRPr="00283806">
        <w:rPr>
          <w:spacing w:val="40"/>
          <w:w w:val="105"/>
        </w:rPr>
        <w:t xml:space="preserve"> </w:t>
      </w:r>
      <w:r w:rsidRPr="00283806">
        <w:rPr>
          <w:w w:val="105"/>
        </w:rPr>
        <w:t>has</w:t>
      </w:r>
      <w:r w:rsidRPr="00283806">
        <w:rPr>
          <w:spacing w:val="40"/>
          <w:w w:val="105"/>
        </w:rPr>
        <w:t xml:space="preserve"> </w:t>
      </w:r>
      <w:r w:rsidRPr="00283806">
        <w:rPr>
          <w:w w:val="105"/>
        </w:rPr>
        <w:t>similarly</w:t>
      </w:r>
      <w:r w:rsidRPr="00283806">
        <w:rPr>
          <w:spacing w:val="40"/>
          <w:w w:val="105"/>
        </w:rPr>
        <w:t xml:space="preserve"> </w:t>
      </w:r>
      <w:r w:rsidRPr="00283806">
        <w:rPr>
          <w:w w:val="105"/>
        </w:rPr>
        <w:t>looked at sectors and subsectors in other parts of this rule (</w:t>
      </w:r>
      <w:r w:rsidRPr="00283806">
        <w:rPr>
          <w:rFonts w:ascii="Book Antiqua"/>
          <w:i/>
          <w:w w:val="105"/>
        </w:rPr>
        <w:t xml:space="preserve">e.g., </w:t>
      </w:r>
      <w:r w:rsidRPr="00283806">
        <w:rPr>
          <w:w w:val="105"/>
        </w:rPr>
        <w:t>leak repair thresholds, ALD systems) and in other AIM Act rules (</w:t>
      </w:r>
      <w:r w:rsidRPr="00283806">
        <w:rPr>
          <w:rFonts w:ascii="Book Antiqua"/>
          <w:i/>
          <w:w w:val="105"/>
        </w:rPr>
        <w:t xml:space="preserve">e.g., </w:t>
      </w:r>
      <w:r w:rsidRPr="00283806">
        <w:rPr>
          <w:w w:val="105"/>
        </w:rPr>
        <w:t>2023 Technology Transitions Rule). The Agency considers this approach, sectors and subsectors as</w:t>
      </w:r>
      <w:r w:rsidRPr="00283806">
        <w:rPr>
          <w:spacing w:val="40"/>
          <w:w w:val="105"/>
        </w:rPr>
        <w:t xml:space="preserve"> </w:t>
      </w:r>
      <w:r w:rsidRPr="00283806">
        <w:rPr>
          <w:w w:val="105"/>
        </w:rPr>
        <w:t>a means of setting a level playing field</w:t>
      </w:r>
      <w:r w:rsidRPr="00283806">
        <w:rPr>
          <w:spacing w:val="80"/>
          <w:w w:val="105"/>
        </w:rPr>
        <w:t xml:space="preserve"> </w:t>
      </w:r>
      <w:r w:rsidRPr="00283806">
        <w:rPr>
          <w:w w:val="105"/>
        </w:rPr>
        <w:t>for all participants in that affected sector or subsector.</w:t>
      </w:r>
    </w:p>
    <w:p w14:paraId="08EA990E" w14:textId="77777777" w:rsidR="00D67C1E" w:rsidRPr="00283806" w:rsidRDefault="001265CA">
      <w:pPr>
        <w:pStyle w:val="BodyText"/>
        <w:spacing w:line="216" w:lineRule="auto"/>
        <w:ind w:firstLine="180"/>
      </w:pPr>
      <w:r w:rsidRPr="00283806">
        <w:rPr>
          <w:rFonts w:ascii="Book Antiqua"/>
          <w:i/>
          <w:w w:val="105"/>
        </w:rPr>
        <w:t xml:space="preserve">Comment: </w:t>
      </w:r>
      <w:r w:rsidRPr="00283806">
        <w:rPr>
          <w:w w:val="105"/>
        </w:rPr>
        <w:t>Multiple commenters expressed support for phased-in</w:t>
      </w:r>
    </w:p>
    <w:p w14:paraId="2AFE5C2B" w14:textId="77777777" w:rsidR="00D67C1E" w:rsidRPr="00283806" w:rsidRDefault="001265CA">
      <w:pPr>
        <w:pStyle w:val="BodyText"/>
        <w:spacing w:line="228" w:lineRule="auto"/>
      </w:pPr>
      <w:r w:rsidRPr="00283806">
        <w:rPr>
          <w:w w:val="105"/>
        </w:rPr>
        <w:t>reclamation requirements. One commenter expressed support for EPA’s proposed requirements but</w:t>
      </w:r>
    </w:p>
    <w:p w14:paraId="7B22AC4B" w14:textId="77777777" w:rsidR="00D67C1E" w:rsidRPr="00283806" w:rsidRDefault="001265CA">
      <w:pPr>
        <w:pStyle w:val="BodyText"/>
        <w:spacing w:before="134" w:line="228" w:lineRule="auto"/>
        <w:ind w:left="143" w:right="22"/>
      </w:pPr>
      <w:r w:rsidRPr="00283806">
        <w:br w:type="column"/>
      </w:r>
      <w:r w:rsidRPr="00283806">
        <w:rPr>
          <w:w w:val="105"/>
        </w:rPr>
        <w:t xml:space="preserve">acknowledged that the supply of reclaimed </w:t>
      </w:r>
      <w:proofErr w:type="gramStart"/>
      <w:r w:rsidRPr="00283806">
        <w:rPr>
          <w:w w:val="105"/>
        </w:rPr>
        <w:t>refrigerant</w:t>
      </w:r>
      <w:proofErr w:type="gramEnd"/>
      <w:r w:rsidRPr="00283806">
        <w:rPr>
          <w:w w:val="105"/>
        </w:rPr>
        <w:t xml:space="preserve"> will need to be scaled up quickly to meet the requirements by 2028. To facilitate this transition,</w:t>
      </w:r>
      <w:r w:rsidRPr="00283806">
        <w:rPr>
          <w:spacing w:val="-2"/>
          <w:w w:val="105"/>
        </w:rPr>
        <w:t xml:space="preserve"> </w:t>
      </w:r>
      <w:r w:rsidRPr="00283806">
        <w:rPr>
          <w:w w:val="105"/>
        </w:rPr>
        <w:t>the</w:t>
      </w:r>
      <w:r w:rsidRPr="00283806">
        <w:rPr>
          <w:spacing w:val="-2"/>
          <w:w w:val="105"/>
        </w:rPr>
        <w:t xml:space="preserve"> </w:t>
      </w:r>
      <w:r w:rsidRPr="00283806">
        <w:rPr>
          <w:w w:val="105"/>
        </w:rPr>
        <w:t>commenter</w:t>
      </w:r>
      <w:r w:rsidRPr="00283806">
        <w:rPr>
          <w:spacing w:val="-2"/>
          <w:w w:val="105"/>
        </w:rPr>
        <w:t xml:space="preserve"> </w:t>
      </w:r>
      <w:r w:rsidRPr="00283806">
        <w:rPr>
          <w:w w:val="105"/>
        </w:rPr>
        <w:t>suggested</w:t>
      </w:r>
      <w:r w:rsidRPr="00283806">
        <w:rPr>
          <w:spacing w:val="-2"/>
          <w:w w:val="105"/>
        </w:rPr>
        <w:t xml:space="preserve"> </w:t>
      </w:r>
      <w:r w:rsidRPr="00283806">
        <w:rPr>
          <w:w w:val="105"/>
        </w:rPr>
        <w:t>that EPA assist the industry by setting benchmarks and interim targets to</w:t>
      </w:r>
      <w:r w:rsidRPr="00283806">
        <w:rPr>
          <w:spacing w:val="40"/>
          <w:w w:val="105"/>
        </w:rPr>
        <w:t xml:space="preserve"> </w:t>
      </w:r>
      <w:r w:rsidRPr="00283806">
        <w:rPr>
          <w:w w:val="105"/>
        </w:rPr>
        <w:t>ensure that refrigerant recovery and reclamation will expand at the pace and scale needed to support the HFC phasedown. Another commenter</w:t>
      </w:r>
      <w:r w:rsidRPr="00283806">
        <w:rPr>
          <w:spacing w:val="80"/>
          <w:w w:val="105"/>
        </w:rPr>
        <w:t xml:space="preserve"> </w:t>
      </w:r>
      <w:r w:rsidRPr="00283806">
        <w:rPr>
          <w:w w:val="105"/>
        </w:rPr>
        <w:t>strongly agreed with the principle</w:t>
      </w:r>
      <w:r w:rsidRPr="00283806">
        <w:rPr>
          <w:spacing w:val="80"/>
          <w:w w:val="105"/>
        </w:rPr>
        <w:t xml:space="preserve"> </w:t>
      </w:r>
      <w:r w:rsidRPr="00283806">
        <w:rPr>
          <w:w w:val="105"/>
        </w:rPr>
        <w:t xml:space="preserve">behind requiring </w:t>
      </w:r>
      <w:proofErr w:type="gramStart"/>
      <w:r w:rsidRPr="00283806">
        <w:rPr>
          <w:w w:val="105"/>
        </w:rPr>
        <w:t>use</w:t>
      </w:r>
      <w:proofErr w:type="gramEnd"/>
      <w:r w:rsidRPr="00283806">
        <w:rPr>
          <w:w w:val="105"/>
        </w:rPr>
        <w:t xml:space="preserve"> of reclaimed and recycled HFCs and was optimistic about the pace of change in the recovery and reclamation industry. The commenter noted that the benefits of a graduated schedule would outweigh greater reporting requirements, but that the schedule should start sooner than 2028 and ramp up to 100 percent by 2028.</w:t>
      </w:r>
    </w:p>
    <w:p w14:paraId="7C38AECE" w14:textId="77777777" w:rsidR="00D67C1E" w:rsidRPr="00283806" w:rsidRDefault="001265CA">
      <w:pPr>
        <w:pStyle w:val="BodyText"/>
        <w:spacing w:line="228" w:lineRule="auto"/>
        <w:ind w:left="143" w:right="19"/>
      </w:pPr>
      <w:r w:rsidRPr="00283806">
        <w:rPr>
          <w:w w:val="105"/>
        </w:rPr>
        <w:t>The commenter stated that it would be important to boost reclaimed HFC availability before the 2029 HFC phasedown step to fulfill HFC demand. Another commenter proposed using reclaimed refrigerant in the servicing of equipment with the interim goals of 10 percent in 2026, 20 percent in 2027, and 35 percent in 2028 and beyond. Other commenters recommended a gradual phase-in of reclaim requirements based on data for the anticipated need of reclaim on a yearly basis.</w:t>
      </w:r>
    </w:p>
    <w:p w14:paraId="259714E4" w14:textId="77777777" w:rsidR="00D67C1E" w:rsidRPr="00283806" w:rsidRDefault="001265CA">
      <w:pPr>
        <w:pStyle w:val="BodyText"/>
        <w:spacing w:before="23" w:line="228" w:lineRule="auto"/>
        <w:ind w:left="143" w:right="7" w:firstLine="180"/>
      </w:pPr>
      <w:r w:rsidRPr="00283806">
        <w:rPr>
          <w:w w:val="105"/>
        </w:rPr>
        <w:t>Another commenter stated that a gradual step-up/phased-in approach is preferable to reach the 100 percent requirement goal in 2028 for reclaim usage under the proposed rule and it would allow sufficient reclaim supply growth to offset any shortage of</w:t>
      </w:r>
      <w:r w:rsidRPr="00283806">
        <w:rPr>
          <w:spacing w:val="80"/>
          <w:w w:val="105"/>
        </w:rPr>
        <w:t xml:space="preserve"> </w:t>
      </w:r>
      <w:r w:rsidRPr="00283806">
        <w:rPr>
          <w:w w:val="105"/>
        </w:rPr>
        <w:t>available virgin HFCs and avoid market interruption,</w:t>
      </w:r>
      <w:r w:rsidRPr="00283806">
        <w:rPr>
          <w:spacing w:val="40"/>
          <w:w w:val="105"/>
        </w:rPr>
        <w:t xml:space="preserve"> </w:t>
      </w:r>
      <w:r w:rsidRPr="00283806">
        <w:rPr>
          <w:w w:val="105"/>
        </w:rPr>
        <w:t>which</w:t>
      </w:r>
      <w:r w:rsidRPr="00283806">
        <w:rPr>
          <w:spacing w:val="40"/>
          <w:w w:val="105"/>
        </w:rPr>
        <w:t xml:space="preserve"> </w:t>
      </w:r>
      <w:r w:rsidRPr="00283806">
        <w:rPr>
          <w:w w:val="105"/>
        </w:rPr>
        <w:t>is</w:t>
      </w:r>
      <w:r w:rsidRPr="00283806">
        <w:rPr>
          <w:spacing w:val="40"/>
          <w:w w:val="105"/>
        </w:rPr>
        <w:t xml:space="preserve"> </w:t>
      </w:r>
      <w:r w:rsidRPr="00283806">
        <w:rPr>
          <w:w w:val="105"/>
        </w:rPr>
        <w:t>needed</w:t>
      </w:r>
      <w:r w:rsidRPr="00283806">
        <w:rPr>
          <w:spacing w:val="40"/>
          <w:w w:val="105"/>
        </w:rPr>
        <w:t xml:space="preserve"> </w:t>
      </w:r>
      <w:r w:rsidRPr="00283806">
        <w:rPr>
          <w:w w:val="105"/>
        </w:rPr>
        <w:t>for climate mitigation. The commenter</w:t>
      </w:r>
      <w:r w:rsidRPr="00283806">
        <w:rPr>
          <w:spacing w:val="40"/>
          <w:w w:val="105"/>
        </w:rPr>
        <w:t xml:space="preserve"> </w:t>
      </w:r>
      <w:r w:rsidRPr="00283806">
        <w:rPr>
          <w:w w:val="105"/>
        </w:rPr>
        <w:t>stated they expect HFC reclamation to continue</w:t>
      </w:r>
      <w:r w:rsidRPr="00283806">
        <w:rPr>
          <w:spacing w:val="40"/>
          <w:w w:val="105"/>
        </w:rPr>
        <w:t xml:space="preserve"> </w:t>
      </w:r>
      <w:r w:rsidRPr="00283806">
        <w:rPr>
          <w:w w:val="105"/>
        </w:rPr>
        <w:t>to</w:t>
      </w:r>
      <w:r w:rsidRPr="00283806">
        <w:rPr>
          <w:spacing w:val="40"/>
          <w:w w:val="105"/>
        </w:rPr>
        <w:t xml:space="preserve"> </w:t>
      </w:r>
      <w:r w:rsidRPr="00283806">
        <w:rPr>
          <w:w w:val="105"/>
        </w:rPr>
        <w:t>increase</w:t>
      </w:r>
      <w:r w:rsidRPr="00283806">
        <w:rPr>
          <w:spacing w:val="40"/>
          <w:w w:val="105"/>
        </w:rPr>
        <w:t xml:space="preserve"> </w:t>
      </w:r>
      <w:r w:rsidRPr="00283806">
        <w:rPr>
          <w:w w:val="105"/>
        </w:rPr>
        <w:t>and</w:t>
      </w:r>
      <w:r w:rsidRPr="00283806">
        <w:rPr>
          <w:spacing w:val="40"/>
          <w:w w:val="105"/>
        </w:rPr>
        <w:t xml:space="preserve"> </w:t>
      </w:r>
      <w:r w:rsidRPr="00283806">
        <w:rPr>
          <w:w w:val="105"/>
        </w:rPr>
        <w:t>they</w:t>
      </w:r>
      <w:r w:rsidRPr="00283806">
        <w:rPr>
          <w:spacing w:val="40"/>
          <w:w w:val="105"/>
        </w:rPr>
        <w:t xml:space="preserve"> </w:t>
      </w:r>
      <w:r w:rsidRPr="00283806">
        <w:rPr>
          <w:w w:val="105"/>
        </w:rPr>
        <w:t>urged EPA to adopt a step-up/phased-in approach to incentivize HFC recovery</w:t>
      </w:r>
      <w:r w:rsidRPr="00283806">
        <w:rPr>
          <w:spacing w:val="40"/>
          <w:w w:val="105"/>
        </w:rPr>
        <w:t xml:space="preserve"> </w:t>
      </w:r>
      <w:r w:rsidRPr="00283806">
        <w:rPr>
          <w:w w:val="105"/>
        </w:rPr>
        <w:t>and reclamation between now and 2028. The commenter noted that a phased-in approach would incentivize the</w:t>
      </w:r>
      <w:r w:rsidRPr="00283806">
        <w:rPr>
          <w:spacing w:val="40"/>
          <w:w w:val="105"/>
        </w:rPr>
        <w:t xml:space="preserve"> </w:t>
      </w:r>
      <w:r w:rsidRPr="00283806">
        <w:rPr>
          <w:w w:val="105"/>
        </w:rPr>
        <w:t>necessary changed behavior by all involved,</w:t>
      </w:r>
      <w:r w:rsidRPr="00283806">
        <w:rPr>
          <w:spacing w:val="40"/>
          <w:w w:val="105"/>
        </w:rPr>
        <w:t xml:space="preserve"> </w:t>
      </w:r>
      <w:r w:rsidRPr="00283806">
        <w:rPr>
          <w:w w:val="105"/>
        </w:rPr>
        <w:t>especially</w:t>
      </w:r>
      <w:r w:rsidRPr="00283806">
        <w:rPr>
          <w:spacing w:val="40"/>
          <w:w w:val="105"/>
        </w:rPr>
        <w:t xml:space="preserve"> </w:t>
      </w:r>
      <w:r w:rsidRPr="00283806">
        <w:rPr>
          <w:w w:val="105"/>
        </w:rPr>
        <w:t>the</w:t>
      </w:r>
      <w:r w:rsidRPr="00283806">
        <w:rPr>
          <w:spacing w:val="40"/>
          <w:w w:val="105"/>
        </w:rPr>
        <w:t xml:space="preserve"> </w:t>
      </w:r>
      <w:r w:rsidRPr="00283806">
        <w:rPr>
          <w:w w:val="105"/>
        </w:rPr>
        <w:t>contractors, who will need to recover more refrigerants over time to meet the demand for 100 percent reclaim in servicing and repair by 2028. The commenter noted that larger charged systems in the sectors already included</w:t>
      </w:r>
      <w:r w:rsidRPr="00283806">
        <w:rPr>
          <w:spacing w:val="40"/>
          <w:w w:val="105"/>
        </w:rPr>
        <w:t xml:space="preserve"> </w:t>
      </w:r>
      <w:r w:rsidRPr="00283806">
        <w:rPr>
          <w:w w:val="105"/>
        </w:rPr>
        <w:t>in the proposed rule’s service/repair mandate typically operate in confined spaces</w:t>
      </w:r>
      <w:r w:rsidRPr="00283806">
        <w:rPr>
          <w:spacing w:val="-6"/>
          <w:w w:val="105"/>
        </w:rPr>
        <w:t xml:space="preserve"> </w:t>
      </w:r>
      <w:r w:rsidRPr="00283806">
        <w:rPr>
          <w:w w:val="105"/>
        </w:rPr>
        <w:t>and</w:t>
      </w:r>
      <w:r w:rsidRPr="00283806">
        <w:rPr>
          <w:spacing w:val="-6"/>
          <w:w w:val="105"/>
        </w:rPr>
        <w:t xml:space="preserve"> </w:t>
      </w:r>
      <w:r w:rsidRPr="00283806">
        <w:rPr>
          <w:w w:val="105"/>
        </w:rPr>
        <w:t>have</w:t>
      </w:r>
      <w:r w:rsidRPr="00283806">
        <w:rPr>
          <w:spacing w:val="-6"/>
          <w:w w:val="105"/>
        </w:rPr>
        <w:t xml:space="preserve"> </w:t>
      </w:r>
      <w:r w:rsidRPr="00283806">
        <w:rPr>
          <w:w w:val="105"/>
        </w:rPr>
        <w:t>greater</w:t>
      </w:r>
      <w:r w:rsidRPr="00283806">
        <w:rPr>
          <w:spacing w:val="-6"/>
          <w:w w:val="105"/>
        </w:rPr>
        <w:t xml:space="preserve"> </w:t>
      </w:r>
      <w:r w:rsidRPr="00283806">
        <w:rPr>
          <w:w w:val="105"/>
        </w:rPr>
        <w:t>recovery</w:t>
      </w:r>
      <w:r w:rsidRPr="00283806">
        <w:rPr>
          <w:spacing w:val="-6"/>
          <w:w w:val="105"/>
        </w:rPr>
        <w:t xml:space="preserve"> </w:t>
      </w:r>
      <w:r w:rsidRPr="00283806">
        <w:rPr>
          <w:w w:val="105"/>
        </w:rPr>
        <w:t>rates</w:t>
      </w:r>
      <w:r w:rsidRPr="00283806">
        <w:rPr>
          <w:spacing w:val="-6"/>
          <w:w w:val="105"/>
        </w:rPr>
        <w:t xml:space="preserve"> </w:t>
      </w:r>
      <w:r w:rsidRPr="00283806">
        <w:rPr>
          <w:w w:val="105"/>
        </w:rPr>
        <w:t>at EOL and servicing when compared to smaller, outdoor systems. The commenter stated that the types of refrigerant systems would include HFC– 134a,</w:t>
      </w:r>
      <w:r w:rsidRPr="00283806">
        <w:rPr>
          <w:spacing w:val="20"/>
          <w:w w:val="105"/>
        </w:rPr>
        <w:t xml:space="preserve"> </w:t>
      </w:r>
      <w:r w:rsidRPr="00283806">
        <w:rPr>
          <w:w w:val="105"/>
        </w:rPr>
        <w:t>R–404A,</w:t>
      </w:r>
      <w:r w:rsidRPr="00283806">
        <w:rPr>
          <w:spacing w:val="21"/>
          <w:w w:val="105"/>
        </w:rPr>
        <w:t xml:space="preserve"> </w:t>
      </w:r>
      <w:r w:rsidRPr="00283806">
        <w:rPr>
          <w:w w:val="105"/>
        </w:rPr>
        <w:t>R–407A,</w:t>
      </w:r>
      <w:r w:rsidRPr="00283806">
        <w:rPr>
          <w:spacing w:val="21"/>
          <w:w w:val="105"/>
        </w:rPr>
        <w:t xml:space="preserve"> </w:t>
      </w:r>
      <w:r w:rsidRPr="00283806">
        <w:rPr>
          <w:w w:val="105"/>
        </w:rPr>
        <w:t>R–407C,</w:t>
      </w:r>
      <w:r w:rsidRPr="00283806">
        <w:rPr>
          <w:spacing w:val="20"/>
          <w:w w:val="105"/>
        </w:rPr>
        <w:t xml:space="preserve"> </w:t>
      </w:r>
      <w:r w:rsidRPr="00283806">
        <w:rPr>
          <w:w w:val="105"/>
        </w:rPr>
        <w:t>and</w:t>
      </w:r>
      <w:r w:rsidRPr="00283806">
        <w:rPr>
          <w:spacing w:val="21"/>
          <w:w w:val="105"/>
        </w:rPr>
        <w:t xml:space="preserve"> </w:t>
      </w:r>
      <w:r w:rsidRPr="00283806">
        <w:rPr>
          <w:spacing w:val="-5"/>
          <w:w w:val="105"/>
        </w:rPr>
        <w:t>R–</w:t>
      </w:r>
    </w:p>
    <w:p w14:paraId="300932A4" w14:textId="77777777" w:rsidR="00D67C1E" w:rsidRPr="00283806" w:rsidRDefault="001265CA">
      <w:pPr>
        <w:pStyle w:val="BodyText"/>
        <w:spacing w:line="186" w:lineRule="exact"/>
        <w:ind w:left="143"/>
      </w:pPr>
      <w:r w:rsidRPr="00283806">
        <w:rPr>
          <w:w w:val="105"/>
        </w:rPr>
        <w:t>507</w:t>
      </w:r>
      <w:r w:rsidRPr="00283806">
        <w:rPr>
          <w:spacing w:val="4"/>
          <w:w w:val="105"/>
        </w:rPr>
        <w:t xml:space="preserve"> </w:t>
      </w:r>
      <w:r w:rsidRPr="00283806">
        <w:rPr>
          <w:w w:val="105"/>
        </w:rPr>
        <w:t>systems,</w:t>
      </w:r>
      <w:r w:rsidRPr="00283806">
        <w:rPr>
          <w:spacing w:val="5"/>
          <w:w w:val="105"/>
        </w:rPr>
        <w:t xml:space="preserve"> </w:t>
      </w:r>
      <w:r w:rsidRPr="00283806">
        <w:rPr>
          <w:w w:val="105"/>
        </w:rPr>
        <w:t>among</w:t>
      </w:r>
      <w:r w:rsidRPr="00283806">
        <w:rPr>
          <w:spacing w:val="5"/>
          <w:w w:val="105"/>
        </w:rPr>
        <w:t xml:space="preserve"> </w:t>
      </w:r>
      <w:r w:rsidRPr="00283806">
        <w:rPr>
          <w:w w:val="105"/>
        </w:rPr>
        <w:t>others.</w:t>
      </w:r>
      <w:r w:rsidRPr="00283806">
        <w:rPr>
          <w:spacing w:val="5"/>
          <w:w w:val="105"/>
        </w:rPr>
        <w:t xml:space="preserve"> </w:t>
      </w:r>
      <w:r w:rsidRPr="00283806">
        <w:rPr>
          <w:spacing w:val="-5"/>
          <w:w w:val="105"/>
        </w:rPr>
        <w:t>The</w:t>
      </w:r>
    </w:p>
    <w:p w14:paraId="6BE87FD0" w14:textId="77777777" w:rsidR="00D67C1E" w:rsidRPr="00283806" w:rsidRDefault="001265CA">
      <w:pPr>
        <w:pStyle w:val="BodyText"/>
        <w:spacing w:before="134" w:line="225" w:lineRule="auto"/>
        <w:ind w:left="143" w:right="152"/>
      </w:pPr>
      <w:r w:rsidRPr="00283806">
        <w:br w:type="column"/>
      </w:r>
      <w:proofErr w:type="gramStart"/>
      <w:r w:rsidRPr="00283806">
        <w:rPr>
          <w:w w:val="105"/>
        </w:rPr>
        <w:t>commenter</w:t>
      </w:r>
      <w:proofErr w:type="gramEnd"/>
      <w:r w:rsidRPr="00283806">
        <w:rPr>
          <w:w w:val="105"/>
        </w:rPr>
        <w:t xml:space="preserve"> suggested creating an initial reclaim mandate for servicing these systems starting in 2025 with a lower percentage of 25 percent and then building the requirement overtime to meet the 100 percent reclaim mandate</w:t>
      </w:r>
      <w:r w:rsidRPr="00283806">
        <w:rPr>
          <w:spacing w:val="80"/>
          <w:w w:val="105"/>
        </w:rPr>
        <w:t xml:space="preserve"> </w:t>
      </w:r>
      <w:r w:rsidRPr="00283806">
        <w:rPr>
          <w:w w:val="105"/>
        </w:rPr>
        <w:t>in the proposed rule by 2028. The commenter expressed support for requiring the contractors to report that they are purchasing the proper amount</w:t>
      </w:r>
      <w:r w:rsidRPr="00283806">
        <w:rPr>
          <w:spacing w:val="40"/>
          <w:w w:val="105"/>
        </w:rPr>
        <w:t xml:space="preserve"> </w:t>
      </w:r>
      <w:r w:rsidRPr="00283806">
        <w:rPr>
          <w:w w:val="105"/>
        </w:rPr>
        <w:t>of reclaimed refrigerant as defined in</w:t>
      </w:r>
      <w:r w:rsidRPr="00283806">
        <w:rPr>
          <w:spacing w:val="80"/>
          <w:w w:val="105"/>
        </w:rPr>
        <w:t xml:space="preserve"> </w:t>
      </w:r>
      <w:r w:rsidRPr="00283806">
        <w:rPr>
          <w:w w:val="105"/>
        </w:rPr>
        <w:t>the proposed rule at a minimum on an annual basis to ensure compliance with this mandate. The commenter suggested that servicing of R–410A systems with reclaimed refrigerant might need a slightly longer ramp-up period due to</w:t>
      </w:r>
      <w:r w:rsidRPr="00283806">
        <w:rPr>
          <w:spacing w:val="80"/>
          <w:w w:val="105"/>
        </w:rPr>
        <w:t xml:space="preserve"> </w:t>
      </w:r>
      <w:r w:rsidRPr="00283806">
        <w:rPr>
          <w:w w:val="105"/>
        </w:rPr>
        <w:t>the behavioral change necessary for the contractors that service these R–410A systems. The commenter also suggested</w:t>
      </w:r>
      <w:r w:rsidRPr="00283806">
        <w:rPr>
          <w:spacing w:val="40"/>
          <w:w w:val="105"/>
        </w:rPr>
        <w:t xml:space="preserve"> </w:t>
      </w:r>
      <w:r w:rsidRPr="00283806">
        <w:rPr>
          <w:w w:val="105"/>
        </w:rPr>
        <w:t>a 10 percent mandate for servicing these systems in 2025, increasing to 25</w:t>
      </w:r>
      <w:r w:rsidRPr="00283806">
        <w:rPr>
          <w:spacing w:val="40"/>
          <w:w w:val="105"/>
        </w:rPr>
        <w:t xml:space="preserve"> </w:t>
      </w:r>
      <w:r w:rsidRPr="00283806">
        <w:rPr>
          <w:w w:val="105"/>
        </w:rPr>
        <w:t xml:space="preserve">percent in 2026 and then continuing to increase to a 100 percent mandate by </w:t>
      </w:r>
      <w:r w:rsidRPr="00283806">
        <w:rPr>
          <w:spacing w:val="-2"/>
          <w:w w:val="105"/>
        </w:rPr>
        <w:t>2028.</w:t>
      </w:r>
    </w:p>
    <w:p w14:paraId="517C3E48" w14:textId="77777777" w:rsidR="00D67C1E" w:rsidRPr="00283806" w:rsidRDefault="001265CA">
      <w:pPr>
        <w:pStyle w:val="BodyText"/>
        <w:spacing w:line="171" w:lineRule="exact"/>
        <w:ind w:left="323"/>
      </w:pPr>
      <w:r w:rsidRPr="00283806">
        <w:rPr>
          <w:w w:val="105"/>
        </w:rPr>
        <w:t>Another</w:t>
      </w:r>
      <w:r w:rsidRPr="00283806">
        <w:rPr>
          <w:spacing w:val="5"/>
          <w:w w:val="105"/>
        </w:rPr>
        <w:t xml:space="preserve"> </w:t>
      </w:r>
      <w:r w:rsidRPr="00283806">
        <w:rPr>
          <w:w w:val="105"/>
        </w:rPr>
        <w:t>commenter</w:t>
      </w:r>
      <w:r w:rsidRPr="00283806">
        <w:rPr>
          <w:spacing w:val="6"/>
          <w:w w:val="105"/>
        </w:rPr>
        <w:t xml:space="preserve"> </w:t>
      </w:r>
      <w:r w:rsidRPr="00283806">
        <w:rPr>
          <w:w w:val="105"/>
        </w:rPr>
        <w:t>suggested</w:t>
      </w:r>
      <w:r w:rsidRPr="00283806">
        <w:rPr>
          <w:spacing w:val="6"/>
          <w:w w:val="105"/>
        </w:rPr>
        <w:t xml:space="preserve"> </w:t>
      </w:r>
      <w:r w:rsidRPr="00283806">
        <w:rPr>
          <w:spacing w:val="-10"/>
          <w:w w:val="105"/>
        </w:rPr>
        <w:t>a</w:t>
      </w:r>
    </w:p>
    <w:p w14:paraId="266E2367" w14:textId="77777777" w:rsidR="00D67C1E" w:rsidRPr="00283806" w:rsidRDefault="001265CA">
      <w:pPr>
        <w:pStyle w:val="BodyText"/>
        <w:spacing w:before="4" w:line="225" w:lineRule="auto"/>
        <w:ind w:left="143" w:right="150"/>
      </w:pPr>
      <w:r w:rsidRPr="00283806">
        <w:rPr>
          <w:w w:val="105"/>
        </w:rPr>
        <w:t>phased approach for reclaimed HFCs with initial targets based on data and industry feedback to incentivize reclaimed HFC use, which the</w:t>
      </w:r>
      <w:r w:rsidRPr="00283806">
        <w:rPr>
          <w:spacing w:val="40"/>
          <w:w w:val="105"/>
        </w:rPr>
        <w:t xml:space="preserve"> </w:t>
      </w:r>
      <w:r w:rsidRPr="00283806">
        <w:rPr>
          <w:w w:val="105"/>
        </w:rPr>
        <w:t>commenter maintained would better align with the manufacturing process</w:t>
      </w:r>
      <w:r w:rsidRPr="00283806">
        <w:rPr>
          <w:spacing w:val="40"/>
          <w:w w:val="105"/>
        </w:rPr>
        <w:t xml:space="preserve"> </w:t>
      </w:r>
      <w:r w:rsidRPr="00283806">
        <w:rPr>
          <w:w w:val="105"/>
        </w:rPr>
        <w:t>and supply chain realities of both equipment and reclaimed HFCs. The commenter encouraged EPA to revisit</w:t>
      </w:r>
      <w:r w:rsidRPr="00283806">
        <w:rPr>
          <w:spacing w:val="40"/>
          <w:w w:val="105"/>
        </w:rPr>
        <w:t xml:space="preserve"> </w:t>
      </w:r>
      <w:r w:rsidRPr="00283806">
        <w:rPr>
          <w:w w:val="105"/>
        </w:rPr>
        <w:t>the reclaimed HFC data and adjust its approach based on real-world</w:t>
      </w:r>
      <w:r w:rsidRPr="00283806">
        <w:rPr>
          <w:spacing w:val="80"/>
          <w:w w:val="105"/>
        </w:rPr>
        <w:t xml:space="preserve"> </w:t>
      </w:r>
      <w:r w:rsidRPr="00283806">
        <w:rPr>
          <w:w w:val="105"/>
        </w:rPr>
        <w:t>feasibility, considering existing supply chain disruptions and rising costs. The commenter recommended initially prioritizing the reclaim of high-GWP refrigerants and allowing the market to adjust and around 2028 revisiting the need for low-GWP reclaim requirements based on market adoption, performance, technological advancements, and feasibility, starting with 2036 as a potential timeframe.</w:t>
      </w:r>
    </w:p>
    <w:p w14:paraId="6A50F8B0" w14:textId="77777777" w:rsidR="00D67C1E" w:rsidRPr="00283806" w:rsidRDefault="001265CA">
      <w:pPr>
        <w:pStyle w:val="BodyText"/>
        <w:spacing w:line="172" w:lineRule="exact"/>
        <w:ind w:left="323"/>
      </w:pPr>
      <w:r w:rsidRPr="00283806">
        <w:rPr>
          <w:w w:val="105"/>
        </w:rPr>
        <w:t>Two</w:t>
      </w:r>
      <w:r w:rsidRPr="00283806">
        <w:rPr>
          <w:spacing w:val="4"/>
          <w:w w:val="105"/>
        </w:rPr>
        <w:t xml:space="preserve"> </w:t>
      </w:r>
      <w:r w:rsidRPr="00283806">
        <w:rPr>
          <w:w w:val="105"/>
        </w:rPr>
        <w:t>commenters</w:t>
      </w:r>
      <w:r w:rsidRPr="00283806">
        <w:rPr>
          <w:spacing w:val="5"/>
          <w:w w:val="105"/>
        </w:rPr>
        <w:t xml:space="preserve"> </w:t>
      </w:r>
      <w:r w:rsidRPr="00283806">
        <w:rPr>
          <w:w w:val="105"/>
        </w:rPr>
        <w:t>noted</w:t>
      </w:r>
      <w:r w:rsidRPr="00283806">
        <w:rPr>
          <w:spacing w:val="5"/>
          <w:w w:val="105"/>
        </w:rPr>
        <w:t xml:space="preserve"> </w:t>
      </w:r>
      <w:r w:rsidRPr="00283806">
        <w:rPr>
          <w:w w:val="105"/>
        </w:rPr>
        <w:t>that</w:t>
      </w:r>
      <w:r w:rsidRPr="00283806">
        <w:rPr>
          <w:spacing w:val="5"/>
          <w:w w:val="105"/>
        </w:rPr>
        <w:t xml:space="preserve"> </w:t>
      </w:r>
      <w:r w:rsidRPr="00283806">
        <w:rPr>
          <w:w w:val="105"/>
        </w:rPr>
        <w:t>to</w:t>
      </w:r>
      <w:r w:rsidRPr="00283806">
        <w:rPr>
          <w:spacing w:val="5"/>
          <w:w w:val="105"/>
        </w:rPr>
        <w:t xml:space="preserve"> </w:t>
      </w:r>
      <w:r w:rsidRPr="00283806">
        <w:rPr>
          <w:spacing w:val="-5"/>
          <w:w w:val="105"/>
        </w:rPr>
        <w:t>the</w:t>
      </w:r>
    </w:p>
    <w:p w14:paraId="3F6162B6" w14:textId="77777777" w:rsidR="00D67C1E" w:rsidRPr="00283806" w:rsidRDefault="001265CA">
      <w:pPr>
        <w:pStyle w:val="BodyText"/>
        <w:spacing w:before="3" w:line="225" w:lineRule="auto"/>
        <w:ind w:left="143" w:right="182"/>
      </w:pPr>
      <w:r w:rsidRPr="00283806">
        <w:rPr>
          <w:w w:val="105"/>
        </w:rPr>
        <w:t>extent that EPA adopts a phased-in schedule for these mandates, it should</w:t>
      </w:r>
      <w:r w:rsidRPr="00283806">
        <w:rPr>
          <w:spacing w:val="80"/>
          <w:w w:val="105"/>
        </w:rPr>
        <w:t xml:space="preserve"> </w:t>
      </w:r>
      <w:r w:rsidRPr="00283806">
        <w:rPr>
          <w:w w:val="105"/>
        </w:rPr>
        <w:t>be sector neutral (not sector specific)</w:t>
      </w:r>
      <w:r w:rsidRPr="00283806">
        <w:rPr>
          <w:spacing w:val="80"/>
          <w:w w:val="105"/>
        </w:rPr>
        <w:t xml:space="preserve"> </w:t>
      </w:r>
      <w:r w:rsidRPr="00283806">
        <w:rPr>
          <w:w w:val="105"/>
        </w:rPr>
        <w:t>and differentiated where necessary only on a product-by-product basis. Another commenter noted the reduced HFC supply</w:t>
      </w:r>
      <w:r w:rsidRPr="00283806">
        <w:rPr>
          <w:spacing w:val="40"/>
          <w:w w:val="105"/>
        </w:rPr>
        <w:t xml:space="preserve"> </w:t>
      </w:r>
      <w:r w:rsidRPr="00283806">
        <w:rPr>
          <w:w w:val="105"/>
        </w:rPr>
        <w:t>under</w:t>
      </w:r>
      <w:r w:rsidRPr="00283806">
        <w:rPr>
          <w:spacing w:val="40"/>
          <w:w w:val="105"/>
        </w:rPr>
        <w:t xml:space="preserve"> </w:t>
      </w:r>
      <w:r w:rsidRPr="00283806">
        <w:rPr>
          <w:w w:val="105"/>
        </w:rPr>
        <w:t>the</w:t>
      </w:r>
      <w:r w:rsidRPr="00283806">
        <w:rPr>
          <w:spacing w:val="40"/>
          <w:w w:val="105"/>
        </w:rPr>
        <w:t xml:space="preserve"> </w:t>
      </w:r>
      <w:r w:rsidRPr="00283806">
        <w:rPr>
          <w:w w:val="105"/>
        </w:rPr>
        <w:t>AIM</w:t>
      </w:r>
      <w:r w:rsidRPr="00283806">
        <w:rPr>
          <w:spacing w:val="40"/>
          <w:w w:val="105"/>
        </w:rPr>
        <w:t xml:space="preserve"> </w:t>
      </w:r>
      <w:r w:rsidRPr="00283806">
        <w:rPr>
          <w:w w:val="105"/>
        </w:rPr>
        <w:t>Act</w:t>
      </w:r>
      <w:r w:rsidRPr="00283806">
        <w:rPr>
          <w:spacing w:val="40"/>
          <w:w w:val="105"/>
        </w:rPr>
        <w:t xml:space="preserve"> </w:t>
      </w:r>
      <w:r w:rsidRPr="00283806">
        <w:rPr>
          <w:w w:val="105"/>
        </w:rPr>
        <w:t>step-down and 2023 Technology Transitions Rule and suggested a phased approach that would be coordinated with the 2023 Technology Transitions Rule. The commenter also noted that only a small fraction was reclaimed in 2022 and that significant changes would be required to the entire supply chain to ensure sufficient recovery and reclaim</w:t>
      </w:r>
      <w:r w:rsidRPr="00283806">
        <w:rPr>
          <w:spacing w:val="40"/>
          <w:w w:val="105"/>
        </w:rPr>
        <w:t xml:space="preserve"> </w:t>
      </w:r>
      <w:r w:rsidRPr="00283806">
        <w:rPr>
          <w:w w:val="105"/>
        </w:rPr>
        <w:t>quantities, which takes time.</w:t>
      </w:r>
    </w:p>
    <w:p w14:paraId="1614B3BD" w14:textId="77777777" w:rsidR="00D67C1E" w:rsidRPr="00283806" w:rsidRDefault="001265CA">
      <w:pPr>
        <w:pStyle w:val="BodyText"/>
        <w:spacing w:line="228" w:lineRule="auto"/>
        <w:ind w:left="143" w:right="184" w:firstLine="180"/>
      </w:pPr>
      <w:r w:rsidRPr="00283806">
        <w:rPr>
          <w:w w:val="105"/>
        </w:rPr>
        <w:t>One commenter noted they would not support a phased approach whereby</w:t>
      </w:r>
      <w:r w:rsidRPr="00283806">
        <w:rPr>
          <w:spacing w:val="80"/>
          <w:w w:val="105"/>
        </w:rPr>
        <w:t xml:space="preserve"> </w:t>
      </w:r>
      <w:r w:rsidRPr="00283806">
        <w:rPr>
          <w:w w:val="105"/>
        </w:rPr>
        <w:t>EPA uses subsector percentages to work</w:t>
      </w:r>
    </w:p>
    <w:p w14:paraId="33402869"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7" w:space="40"/>
            <w:col w:w="3500" w:space="39"/>
            <w:col w:w="3624"/>
          </w:cols>
        </w:sectPr>
      </w:pPr>
    </w:p>
    <w:p w14:paraId="3F5B1A50" w14:textId="77777777" w:rsidR="00D67C1E" w:rsidRPr="00283806" w:rsidRDefault="001265CA">
      <w:pPr>
        <w:pStyle w:val="BodyText"/>
        <w:spacing w:before="136" w:line="225" w:lineRule="auto"/>
        <w:ind w:right="78"/>
      </w:pPr>
      <w:r w:rsidRPr="00283806">
        <w:rPr>
          <w:w w:val="105"/>
        </w:rPr>
        <w:lastRenderedPageBreak/>
        <w:t>gradually towards 100 percent use of reclaimed HFCs in servicing and/or repair, given the administrative burdens necessary to track and verify</w:t>
      </w:r>
      <w:r w:rsidRPr="00283806">
        <w:rPr>
          <w:spacing w:val="80"/>
          <w:w w:val="105"/>
        </w:rPr>
        <w:t xml:space="preserve"> </w:t>
      </w:r>
      <w:r w:rsidRPr="00283806">
        <w:rPr>
          <w:w w:val="105"/>
        </w:rPr>
        <w:t>compliance that are stated in the proposed rule.</w:t>
      </w:r>
    </w:p>
    <w:p w14:paraId="250D448F" w14:textId="77777777" w:rsidR="00D67C1E" w:rsidRPr="00283806" w:rsidRDefault="001265CA">
      <w:pPr>
        <w:spacing w:line="183" w:lineRule="exact"/>
        <w:ind w:left="340"/>
        <w:rPr>
          <w:sz w:val="18"/>
        </w:rPr>
      </w:pPr>
      <w:r w:rsidRPr="00283806">
        <w:rPr>
          <w:rFonts w:ascii="Book Antiqua"/>
          <w:i/>
          <w:w w:val="105"/>
          <w:sz w:val="18"/>
        </w:rPr>
        <w:t>Response:</w:t>
      </w:r>
      <w:r w:rsidRPr="00283806">
        <w:rPr>
          <w:rFonts w:ascii="Book Antiqua"/>
          <w:i/>
          <w:spacing w:val="25"/>
          <w:w w:val="105"/>
          <w:sz w:val="18"/>
        </w:rPr>
        <w:t xml:space="preserve"> </w:t>
      </w:r>
      <w:r w:rsidRPr="00283806">
        <w:rPr>
          <w:w w:val="105"/>
          <w:sz w:val="18"/>
        </w:rPr>
        <w:t>EPA</w:t>
      </w:r>
      <w:r w:rsidRPr="00283806">
        <w:rPr>
          <w:spacing w:val="31"/>
          <w:w w:val="105"/>
          <w:sz w:val="18"/>
        </w:rPr>
        <w:t xml:space="preserve"> </w:t>
      </w:r>
      <w:r w:rsidRPr="00283806">
        <w:rPr>
          <w:w w:val="105"/>
          <w:sz w:val="18"/>
        </w:rPr>
        <w:t>is</w:t>
      </w:r>
      <w:r w:rsidRPr="00283806">
        <w:rPr>
          <w:spacing w:val="30"/>
          <w:w w:val="105"/>
          <w:sz w:val="18"/>
        </w:rPr>
        <w:t xml:space="preserve"> </w:t>
      </w:r>
      <w:r w:rsidRPr="00283806">
        <w:rPr>
          <w:w w:val="105"/>
          <w:sz w:val="18"/>
        </w:rPr>
        <w:t>not</w:t>
      </w:r>
      <w:r w:rsidRPr="00283806">
        <w:rPr>
          <w:spacing w:val="31"/>
          <w:w w:val="105"/>
          <w:sz w:val="18"/>
        </w:rPr>
        <w:t xml:space="preserve"> </w:t>
      </w:r>
      <w:r w:rsidRPr="00283806">
        <w:rPr>
          <w:w w:val="105"/>
          <w:sz w:val="18"/>
        </w:rPr>
        <w:t>establishing</w:t>
      </w:r>
      <w:r w:rsidRPr="00283806">
        <w:rPr>
          <w:spacing w:val="31"/>
          <w:w w:val="105"/>
          <w:sz w:val="18"/>
        </w:rPr>
        <w:t xml:space="preserve"> </w:t>
      </w:r>
      <w:r w:rsidRPr="00283806">
        <w:rPr>
          <w:spacing w:val="-10"/>
          <w:w w:val="105"/>
          <w:sz w:val="18"/>
        </w:rPr>
        <w:t>a</w:t>
      </w:r>
    </w:p>
    <w:p w14:paraId="090BDF18" w14:textId="77777777" w:rsidR="00D67C1E" w:rsidRPr="00283806" w:rsidRDefault="001265CA">
      <w:pPr>
        <w:pStyle w:val="BodyText"/>
        <w:spacing w:line="225" w:lineRule="auto"/>
      </w:pPr>
      <w:r w:rsidRPr="00283806">
        <w:rPr>
          <w:w w:val="105"/>
        </w:rPr>
        <w:t>phased-in approach for the</w:t>
      </w:r>
      <w:r w:rsidRPr="00283806">
        <w:rPr>
          <w:spacing w:val="80"/>
          <w:w w:val="105"/>
        </w:rPr>
        <w:t xml:space="preserve"> </w:t>
      </w:r>
      <w:r w:rsidRPr="00283806">
        <w:rPr>
          <w:w w:val="105"/>
        </w:rPr>
        <w:t>requirements for reclaimed HFC refrigerant, though the Agency encourages affected entities to consider increased reliance on reclaimed HFCs ahead of the compliance date. As described above, EPA is finalizing requirements that the servicing and/or repair of refrigerant-containing equipment in three RACHP subsectors</w:t>
      </w:r>
      <w:r w:rsidRPr="00283806">
        <w:rPr>
          <w:spacing w:val="80"/>
          <w:w w:val="105"/>
        </w:rPr>
        <w:t xml:space="preserve"> </w:t>
      </w:r>
      <w:r w:rsidRPr="00283806">
        <w:rPr>
          <w:w w:val="105"/>
        </w:rPr>
        <w:t>be done with reclaimed HFCs with a delayed compliance date of January 1, 2029, but is not at this time finalizing either the proposed requirement for servicing and/or repair with reclaimed HFCs in a fourth subsector or the proposed requirement for the initial fill</w:t>
      </w:r>
      <w:r w:rsidRPr="00283806">
        <w:rPr>
          <w:spacing w:val="40"/>
          <w:w w:val="105"/>
        </w:rPr>
        <w:t xml:space="preserve"> </w:t>
      </w:r>
      <w:r w:rsidRPr="00283806">
        <w:rPr>
          <w:w w:val="105"/>
        </w:rPr>
        <w:t>of refrigerant-containing equipment to</w:t>
      </w:r>
      <w:r w:rsidRPr="00283806">
        <w:rPr>
          <w:spacing w:val="40"/>
          <w:w w:val="105"/>
        </w:rPr>
        <w:t xml:space="preserve"> </w:t>
      </w:r>
      <w:r w:rsidRPr="00283806">
        <w:rPr>
          <w:w w:val="105"/>
        </w:rPr>
        <w:t>be done with reclaimed HFCs. The</w:t>
      </w:r>
      <w:r w:rsidRPr="00283806">
        <w:rPr>
          <w:spacing w:val="40"/>
          <w:w w:val="105"/>
        </w:rPr>
        <w:t xml:space="preserve"> </w:t>
      </w:r>
      <w:r w:rsidRPr="00283806">
        <w:rPr>
          <w:w w:val="105"/>
        </w:rPr>
        <w:t xml:space="preserve">Agency understands the industry </w:t>
      </w:r>
      <w:proofErr w:type="gramStart"/>
      <w:r w:rsidRPr="00283806">
        <w:rPr>
          <w:w w:val="105"/>
        </w:rPr>
        <w:t>identified</w:t>
      </w:r>
      <w:proofErr w:type="gramEnd"/>
      <w:r w:rsidRPr="00283806">
        <w:rPr>
          <w:w w:val="105"/>
        </w:rPr>
        <w:t xml:space="preserve"> certain potential benefits to a phased-in approach with limited data to support this approach. The Agency is instead establishing a discrete reporting requirement to better gauge the </w:t>
      </w:r>
      <w:proofErr w:type="gramStart"/>
      <w:r w:rsidRPr="00283806">
        <w:rPr>
          <w:w w:val="105"/>
        </w:rPr>
        <w:t>sale</w:t>
      </w:r>
      <w:proofErr w:type="gramEnd"/>
      <w:r w:rsidRPr="00283806">
        <w:rPr>
          <w:w w:val="105"/>
        </w:rPr>
        <w:t>, distribution, and availability of</w:t>
      </w:r>
      <w:r w:rsidRPr="00283806">
        <w:rPr>
          <w:spacing w:val="80"/>
          <w:w w:val="105"/>
        </w:rPr>
        <w:t xml:space="preserve"> </w:t>
      </w:r>
      <w:r w:rsidRPr="00283806">
        <w:rPr>
          <w:w w:val="105"/>
        </w:rPr>
        <w:t>reclaimed HFC refrigerants in the subsectors required to service and/or repair refrigerant-containing equipment with</w:t>
      </w:r>
      <w:r w:rsidRPr="00283806">
        <w:rPr>
          <w:spacing w:val="40"/>
          <w:w w:val="105"/>
        </w:rPr>
        <w:t xml:space="preserve"> </w:t>
      </w:r>
      <w:r w:rsidRPr="00283806">
        <w:rPr>
          <w:w w:val="105"/>
        </w:rPr>
        <w:t>reclaimed</w:t>
      </w:r>
      <w:r w:rsidRPr="00283806">
        <w:rPr>
          <w:spacing w:val="40"/>
          <w:w w:val="105"/>
        </w:rPr>
        <w:t xml:space="preserve"> </w:t>
      </w:r>
      <w:r w:rsidRPr="00283806">
        <w:rPr>
          <w:w w:val="105"/>
        </w:rPr>
        <w:t>HFCs.</w:t>
      </w:r>
      <w:r w:rsidRPr="00283806">
        <w:rPr>
          <w:spacing w:val="40"/>
          <w:w w:val="105"/>
        </w:rPr>
        <w:t xml:space="preserve"> </w:t>
      </w:r>
      <w:r w:rsidRPr="00283806">
        <w:rPr>
          <w:w w:val="105"/>
        </w:rPr>
        <w:t>EPA</w:t>
      </w:r>
      <w:r w:rsidRPr="00283806">
        <w:rPr>
          <w:spacing w:val="40"/>
          <w:w w:val="105"/>
        </w:rPr>
        <w:t xml:space="preserve"> </w:t>
      </w:r>
      <w:r w:rsidRPr="00283806">
        <w:rPr>
          <w:w w:val="105"/>
        </w:rPr>
        <w:t>intends</w:t>
      </w:r>
      <w:r w:rsidRPr="00283806">
        <w:rPr>
          <w:spacing w:val="40"/>
          <w:w w:val="105"/>
        </w:rPr>
        <w:t xml:space="preserve"> </w:t>
      </w:r>
      <w:r w:rsidRPr="00283806">
        <w:rPr>
          <w:w w:val="105"/>
        </w:rPr>
        <w:t xml:space="preserve">to use </w:t>
      </w:r>
      <w:proofErr w:type="gramStart"/>
      <w:r w:rsidRPr="00283806">
        <w:rPr>
          <w:w w:val="105"/>
        </w:rPr>
        <w:t>these</w:t>
      </w:r>
      <w:proofErr w:type="gramEnd"/>
      <w:r w:rsidRPr="00283806">
        <w:rPr>
          <w:w w:val="105"/>
        </w:rPr>
        <w:t xml:space="preserve"> reported data to better assess transitions to reclaimed HFCs in these subsectors and may consider revisiting the timing for the provisions for</w:t>
      </w:r>
      <w:r w:rsidRPr="00283806">
        <w:rPr>
          <w:spacing w:val="80"/>
          <w:w w:val="105"/>
        </w:rPr>
        <w:t xml:space="preserve"> </w:t>
      </w:r>
      <w:r w:rsidRPr="00283806">
        <w:rPr>
          <w:w w:val="105"/>
        </w:rPr>
        <w:t xml:space="preserve">servicing and/or repair of certain refrigerant-containing equipment with reclaimed HFCs prior to the compliance date, if warranted. While EPA intends to use this </w:t>
      </w:r>
      <w:proofErr w:type="gramStart"/>
      <w:r w:rsidRPr="00283806">
        <w:rPr>
          <w:w w:val="105"/>
        </w:rPr>
        <w:t>reporting</w:t>
      </w:r>
      <w:proofErr w:type="gramEnd"/>
      <w:r w:rsidRPr="00283806">
        <w:rPr>
          <w:w w:val="105"/>
        </w:rPr>
        <w:t xml:space="preserve"> to better understand the</w:t>
      </w:r>
      <w:r w:rsidRPr="00283806">
        <w:rPr>
          <w:spacing w:val="40"/>
          <w:w w:val="105"/>
        </w:rPr>
        <w:t xml:space="preserve"> </w:t>
      </w:r>
      <w:r w:rsidRPr="00283806">
        <w:rPr>
          <w:w w:val="105"/>
        </w:rPr>
        <w:t>landscape</w:t>
      </w:r>
      <w:r w:rsidRPr="00283806">
        <w:rPr>
          <w:spacing w:val="40"/>
          <w:w w:val="105"/>
        </w:rPr>
        <w:t xml:space="preserve"> </w:t>
      </w:r>
      <w:r w:rsidRPr="00283806">
        <w:rPr>
          <w:w w:val="105"/>
        </w:rPr>
        <w:t>of</w:t>
      </w:r>
      <w:r w:rsidRPr="00283806">
        <w:rPr>
          <w:spacing w:val="40"/>
          <w:w w:val="105"/>
        </w:rPr>
        <w:t xml:space="preserve"> </w:t>
      </w:r>
      <w:r w:rsidRPr="00283806">
        <w:rPr>
          <w:w w:val="105"/>
        </w:rPr>
        <w:t>reclaimed</w:t>
      </w:r>
      <w:r w:rsidRPr="00283806">
        <w:rPr>
          <w:spacing w:val="40"/>
          <w:w w:val="105"/>
        </w:rPr>
        <w:t xml:space="preserve"> </w:t>
      </w:r>
      <w:r w:rsidRPr="00283806">
        <w:rPr>
          <w:w w:val="105"/>
        </w:rPr>
        <w:t>HFCs</w:t>
      </w:r>
      <w:r w:rsidRPr="00283806">
        <w:rPr>
          <w:spacing w:val="40"/>
          <w:w w:val="105"/>
        </w:rPr>
        <w:t xml:space="preserve"> </w:t>
      </w:r>
      <w:r w:rsidRPr="00283806">
        <w:rPr>
          <w:w w:val="105"/>
        </w:rPr>
        <w:t>in these subsectors, the Agency disagrees with commenters that suggested</w:t>
      </w:r>
      <w:r w:rsidRPr="00283806">
        <w:rPr>
          <w:spacing w:val="40"/>
          <w:w w:val="105"/>
        </w:rPr>
        <w:t xml:space="preserve"> </w:t>
      </w:r>
      <w:r w:rsidRPr="00283806">
        <w:rPr>
          <w:w w:val="105"/>
        </w:rPr>
        <w:t>delaying the timing beyond 2029 (</w:t>
      </w:r>
      <w:r w:rsidRPr="00283806">
        <w:rPr>
          <w:rFonts w:ascii="Book Antiqua"/>
          <w:i/>
          <w:w w:val="105"/>
        </w:rPr>
        <w:t>e.g.</w:t>
      </w:r>
      <w:r w:rsidRPr="00283806">
        <w:rPr>
          <w:w w:val="105"/>
        </w:rPr>
        <w:t>, starting in 2036). Reclaimed HFC refrigerants are already being used and will increasingly play a significant role throughout the entire phasedown, not starting when the phasedown reaches its final step in 2036.</w:t>
      </w:r>
    </w:p>
    <w:p w14:paraId="277A5797" w14:textId="77777777" w:rsidR="00D67C1E" w:rsidRPr="00283806" w:rsidRDefault="001265CA">
      <w:pPr>
        <w:pStyle w:val="BodyText"/>
        <w:spacing w:line="152" w:lineRule="exact"/>
        <w:ind w:left="340"/>
      </w:pPr>
      <w:r w:rsidRPr="00283806">
        <w:rPr>
          <w:w w:val="105"/>
        </w:rPr>
        <w:t>EPA</w:t>
      </w:r>
      <w:r w:rsidRPr="00283806">
        <w:rPr>
          <w:spacing w:val="11"/>
          <w:w w:val="105"/>
        </w:rPr>
        <w:t xml:space="preserve"> </w:t>
      </w:r>
      <w:r w:rsidRPr="00283806">
        <w:rPr>
          <w:w w:val="105"/>
        </w:rPr>
        <w:t>agrees</w:t>
      </w:r>
      <w:r w:rsidRPr="00283806">
        <w:rPr>
          <w:spacing w:val="11"/>
          <w:w w:val="105"/>
        </w:rPr>
        <w:t xml:space="preserve"> </w:t>
      </w:r>
      <w:r w:rsidRPr="00283806">
        <w:rPr>
          <w:w w:val="105"/>
        </w:rPr>
        <w:t>with</w:t>
      </w:r>
      <w:r w:rsidRPr="00283806">
        <w:rPr>
          <w:spacing w:val="12"/>
          <w:w w:val="105"/>
        </w:rPr>
        <w:t xml:space="preserve"> </w:t>
      </w:r>
      <w:r w:rsidRPr="00283806">
        <w:rPr>
          <w:w w:val="105"/>
        </w:rPr>
        <w:t>the</w:t>
      </w:r>
      <w:r w:rsidRPr="00283806">
        <w:rPr>
          <w:spacing w:val="11"/>
          <w:w w:val="105"/>
        </w:rPr>
        <w:t xml:space="preserve"> </w:t>
      </w:r>
      <w:r w:rsidRPr="00283806">
        <w:rPr>
          <w:w w:val="105"/>
        </w:rPr>
        <w:t>importance</w:t>
      </w:r>
      <w:r w:rsidRPr="00283806">
        <w:rPr>
          <w:spacing w:val="12"/>
          <w:w w:val="105"/>
        </w:rPr>
        <w:t xml:space="preserve"> </w:t>
      </w:r>
      <w:r w:rsidRPr="00283806">
        <w:rPr>
          <w:spacing w:val="-5"/>
          <w:w w:val="105"/>
        </w:rPr>
        <w:t>of</w:t>
      </w:r>
    </w:p>
    <w:p w14:paraId="1B7EF45B" w14:textId="77777777" w:rsidR="00D67C1E" w:rsidRPr="00283806" w:rsidRDefault="001265CA">
      <w:pPr>
        <w:pStyle w:val="BodyText"/>
        <w:spacing w:before="2" w:line="225" w:lineRule="auto"/>
        <w:ind w:right="128"/>
      </w:pPr>
      <w:r w:rsidRPr="00283806">
        <w:rPr>
          <w:w w:val="105"/>
        </w:rPr>
        <w:t>increased recovery of refrigerants to support additional reclamation and potential need for changes related to this practice. The provisions in this rulemaking are expected to drive demand for additional recovery.</w:t>
      </w:r>
    </w:p>
    <w:p w14:paraId="7070F8E2" w14:textId="77777777" w:rsidR="00D67C1E" w:rsidRPr="00283806" w:rsidRDefault="001265CA">
      <w:pPr>
        <w:pStyle w:val="BodyText"/>
        <w:spacing w:line="225" w:lineRule="auto"/>
        <w:ind w:right="37"/>
      </w:pPr>
      <w:r w:rsidRPr="00283806">
        <w:rPr>
          <w:w w:val="105"/>
        </w:rPr>
        <w:t>Recovery and sending recovered refrigerants to reclaimers is likely to increase as the value of the recovered HFC refrigerants is more widely appreciated, HFC equipment reaches its EOL, and a reduced amount of virgin</w:t>
      </w:r>
    </w:p>
    <w:p w14:paraId="3908EE4A" w14:textId="77777777" w:rsidR="00D67C1E" w:rsidRPr="00283806" w:rsidRDefault="001265CA">
      <w:pPr>
        <w:pStyle w:val="BodyText"/>
        <w:spacing w:before="136" w:line="225" w:lineRule="auto"/>
        <w:ind w:left="144" w:right="79"/>
      </w:pPr>
      <w:r w:rsidRPr="00283806">
        <w:br w:type="column"/>
      </w:r>
      <w:r w:rsidRPr="00283806">
        <w:rPr>
          <w:w w:val="105"/>
        </w:rPr>
        <w:t>HFCs</w:t>
      </w:r>
      <w:r w:rsidRPr="00283806">
        <w:rPr>
          <w:spacing w:val="40"/>
          <w:w w:val="105"/>
        </w:rPr>
        <w:t xml:space="preserve"> </w:t>
      </w:r>
      <w:r w:rsidRPr="00283806">
        <w:rPr>
          <w:w w:val="105"/>
        </w:rPr>
        <w:t>is</w:t>
      </w:r>
      <w:r w:rsidRPr="00283806">
        <w:rPr>
          <w:spacing w:val="40"/>
          <w:w w:val="105"/>
        </w:rPr>
        <w:t xml:space="preserve"> </w:t>
      </w:r>
      <w:r w:rsidRPr="00283806">
        <w:rPr>
          <w:w w:val="105"/>
        </w:rPr>
        <w:t>available</w:t>
      </w:r>
      <w:r w:rsidRPr="00283806">
        <w:rPr>
          <w:spacing w:val="40"/>
          <w:w w:val="105"/>
        </w:rPr>
        <w:t xml:space="preserve"> </w:t>
      </w:r>
      <w:r w:rsidRPr="00283806">
        <w:rPr>
          <w:w w:val="105"/>
        </w:rPr>
        <w:t>as</w:t>
      </w:r>
      <w:r w:rsidRPr="00283806">
        <w:rPr>
          <w:spacing w:val="40"/>
          <w:w w:val="105"/>
        </w:rPr>
        <w:t xml:space="preserve"> </w:t>
      </w:r>
      <w:r w:rsidRPr="00283806">
        <w:rPr>
          <w:w w:val="105"/>
        </w:rPr>
        <w:t>the</w:t>
      </w:r>
      <w:r w:rsidRPr="00283806">
        <w:rPr>
          <w:spacing w:val="40"/>
          <w:w w:val="105"/>
        </w:rPr>
        <w:t xml:space="preserve"> </w:t>
      </w:r>
      <w:r w:rsidRPr="00283806">
        <w:rPr>
          <w:w w:val="105"/>
        </w:rPr>
        <w:t>HFC phasedown continues. EPA notes that many of the transitions to R–410A occurred in response to the 2010 HCFC phasedown step and associated restrictions on the use of HCFC–22 in new equipment. This means that a large amount of R–410A-containing</w:t>
      </w:r>
      <w:r w:rsidRPr="00283806">
        <w:rPr>
          <w:spacing w:val="40"/>
          <w:w w:val="105"/>
        </w:rPr>
        <w:t xml:space="preserve"> </w:t>
      </w:r>
      <w:r w:rsidRPr="00283806">
        <w:rPr>
          <w:w w:val="105"/>
        </w:rPr>
        <w:t xml:space="preserve">equipment is approaching an expected </w:t>
      </w:r>
      <w:proofErr w:type="gramStart"/>
      <w:r w:rsidRPr="00283806">
        <w:rPr>
          <w:w w:val="105"/>
        </w:rPr>
        <w:t>EOL</w:t>
      </w:r>
      <w:proofErr w:type="gramEnd"/>
      <w:r w:rsidRPr="00283806">
        <w:rPr>
          <w:w w:val="105"/>
        </w:rPr>
        <w:t xml:space="preserve"> and this equipment will</w:t>
      </w:r>
      <w:r w:rsidRPr="00283806">
        <w:rPr>
          <w:spacing w:val="80"/>
          <w:w w:val="105"/>
        </w:rPr>
        <w:t xml:space="preserve"> </w:t>
      </w:r>
      <w:r w:rsidRPr="00283806">
        <w:rPr>
          <w:w w:val="105"/>
        </w:rPr>
        <w:t>increasingly be a source of recoverable R–410A. Moreover, EPA disagrees that a required phased-in approach is</w:t>
      </w:r>
      <w:r w:rsidRPr="00283806">
        <w:rPr>
          <w:spacing w:val="40"/>
          <w:w w:val="105"/>
        </w:rPr>
        <w:t xml:space="preserve"> </w:t>
      </w:r>
      <w:r w:rsidRPr="00283806">
        <w:rPr>
          <w:w w:val="105"/>
        </w:rPr>
        <w:t>necessary to cause a shift in behavioral changes and would be more effective than having the requirement begin at</w:t>
      </w:r>
      <w:r w:rsidRPr="00283806">
        <w:rPr>
          <w:spacing w:val="40"/>
          <w:w w:val="105"/>
        </w:rPr>
        <w:t xml:space="preserve"> </w:t>
      </w:r>
      <w:r w:rsidRPr="00283806">
        <w:rPr>
          <w:w w:val="105"/>
        </w:rPr>
        <w:t xml:space="preserve">100 percent for reclaimed HFCs in the servicing and/or repair of refrigerant- containing equipment in the covered </w:t>
      </w:r>
      <w:r w:rsidRPr="00283806">
        <w:rPr>
          <w:spacing w:val="-2"/>
          <w:w w:val="105"/>
        </w:rPr>
        <w:t>subsectors.</w:t>
      </w:r>
    </w:p>
    <w:p w14:paraId="26AA4DD9" w14:textId="77777777" w:rsidR="00D67C1E" w:rsidRPr="00283806" w:rsidRDefault="001265CA">
      <w:pPr>
        <w:pStyle w:val="BodyText"/>
        <w:spacing w:line="173" w:lineRule="exact"/>
        <w:ind w:left="324"/>
      </w:pPr>
      <w:r w:rsidRPr="00283806">
        <w:rPr>
          <w:w w:val="105"/>
        </w:rPr>
        <w:t>EPA</w:t>
      </w:r>
      <w:r w:rsidRPr="00283806">
        <w:rPr>
          <w:spacing w:val="16"/>
          <w:w w:val="105"/>
        </w:rPr>
        <w:t xml:space="preserve"> </w:t>
      </w:r>
      <w:r w:rsidRPr="00283806">
        <w:rPr>
          <w:w w:val="105"/>
        </w:rPr>
        <w:t>is</w:t>
      </w:r>
      <w:r w:rsidRPr="00283806">
        <w:rPr>
          <w:spacing w:val="16"/>
          <w:w w:val="105"/>
        </w:rPr>
        <w:t xml:space="preserve"> </w:t>
      </w:r>
      <w:r w:rsidRPr="00283806">
        <w:rPr>
          <w:w w:val="105"/>
        </w:rPr>
        <w:t>establishing</w:t>
      </w:r>
      <w:r w:rsidRPr="00283806">
        <w:rPr>
          <w:spacing w:val="17"/>
          <w:w w:val="105"/>
        </w:rPr>
        <w:t xml:space="preserve"> </w:t>
      </w:r>
      <w:r w:rsidRPr="00283806">
        <w:rPr>
          <w:w w:val="105"/>
        </w:rPr>
        <w:t>the</w:t>
      </w:r>
      <w:r w:rsidRPr="00283806">
        <w:rPr>
          <w:spacing w:val="16"/>
          <w:w w:val="105"/>
        </w:rPr>
        <w:t xml:space="preserve"> </w:t>
      </w:r>
      <w:r w:rsidRPr="00283806">
        <w:rPr>
          <w:spacing w:val="-2"/>
          <w:w w:val="105"/>
        </w:rPr>
        <w:t>requirements</w:t>
      </w:r>
    </w:p>
    <w:p w14:paraId="6E7943D0" w14:textId="77777777" w:rsidR="00D67C1E" w:rsidRPr="00283806" w:rsidRDefault="001265CA">
      <w:pPr>
        <w:pStyle w:val="BodyText"/>
        <w:spacing w:before="3" w:line="225" w:lineRule="auto"/>
        <w:ind w:left="144" w:right="8"/>
      </w:pPr>
      <w:r w:rsidRPr="00283806">
        <w:rPr>
          <w:w w:val="105"/>
        </w:rPr>
        <w:t>for</w:t>
      </w:r>
      <w:r w:rsidRPr="00283806">
        <w:rPr>
          <w:spacing w:val="-9"/>
          <w:w w:val="105"/>
        </w:rPr>
        <w:t xml:space="preserve"> </w:t>
      </w:r>
      <w:r w:rsidRPr="00283806">
        <w:rPr>
          <w:w w:val="105"/>
        </w:rPr>
        <w:t>servicing</w:t>
      </w:r>
      <w:r w:rsidRPr="00283806">
        <w:rPr>
          <w:spacing w:val="-9"/>
          <w:w w:val="105"/>
        </w:rPr>
        <w:t xml:space="preserve"> </w:t>
      </w:r>
      <w:r w:rsidRPr="00283806">
        <w:rPr>
          <w:w w:val="105"/>
        </w:rPr>
        <w:t>and/or</w:t>
      </w:r>
      <w:r w:rsidRPr="00283806">
        <w:rPr>
          <w:spacing w:val="-9"/>
          <w:w w:val="105"/>
        </w:rPr>
        <w:t xml:space="preserve"> </w:t>
      </w:r>
      <w:r w:rsidRPr="00283806">
        <w:rPr>
          <w:w w:val="105"/>
        </w:rPr>
        <w:t>repair</w:t>
      </w:r>
      <w:r w:rsidRPr="00283806">
        <w:rPr>
          <w:spacing w:val="-9"/>
          <w:w w:val="105"/>
        </w:rPr>
        <w:t xml:space="preserve"> </w:t>
      </w:r>
      <w:r w:rsidRPr="00283806">
        <w:rPr>
          <w:w w:val="105"/>
        </w:rPr>
        <w:t>of</w:t>
      </w:r>
      <w:r w:rsidRPr="00283806">
        <w:rPr>
          <w:spacing w:val="-9"/>
          <w:w w:val="105"/>
        </w:rPr>
        <w:t xml:space="preserve"> </w:t>
      </w:r>
      <w:r w:rsidRPr="00283806">
        <w:rPr>
          <w:w w:val="105"/>
        </w:rPr>
        <w:t xml:space="preserve">refrigerant- containing equipment with reclaimed HFCs on a subsector basis </w:t>
      </w:r>
      <w:proofErr w:type="gramStart"/>
      <w:r w:rsidRPr="00283806">
        <w:rPr>
          <w:w w:val="105"/>
        </w:rPr>
        <w:t>at this time</w:t>
      </w:r>
      <w:proofErr w:type="gramEnd"/>
      <w:r w:rsidRPr="00283806">
        <w:rPr>
          <w:w w:val="105"/>
        </w:rPr>
        <w:t>. The Agency considered and is finalizing</w:t>
      </w:r>
      <w:r w:rsidRPr="00283806">
        <w:rPr>
          <w:spacing w:val="40"/>
          <w:w w:val="105"/>
        </w:rPr>
        <w:t xml:space="preserve"> </w:t>
      </w:r>
      <w:r w:rsidRPr="00283806">
        <w:rPr>
          <w:w w:val="105"/>
        </w:rPr>
        <w:t xml:space="preserve">in this rulemaking </w:t>
      </w:r>
      <w:proofErr w:type="gramStart"/>
      <w:r w:rsidRPr="00283806">
        <w:rPr>
          <w:w w:val="105"/>
        </w:rPr>
        <w:t>requirements to</w:t>
      </w:r>
      <w:proofErr w:type="gramEnd"/>
      <w:r w:rsidRPr="00283806">
        <w:rPr>
          <w:w w:val="105"/>
        </w:rPr>
        <w:t xml:space="preserve"> for servicing and/or </w:t>
      </w:r>
      <w:proofErr w:type="gramStart"/>
      <w:r w:rsidRPr="00283806">
        <w:rPr>
          <w:w w:val="105"/>
        </w:rPr>
        <w:t>repair of</w:t>
      </w:r>
      <w:proofErr w:type="gramEnd"/>
      <w:r w:rsidRPr="00283806">
        <w:rPr>
          <w:w w:val="105"/>
        </w:rPr>
        <w:t xml:space="preserve"> refrigerant- containing equipment with reclaimed HFCs in three RACHP subsectors after further evaluation and informed by comments on a range of factors.</w:t>
      </w:r>
    </w:p>
    <w:p w14:paraId="3D2B756E" w14:textId="77777777" w:rsidR="00D67C1E" w:rsidRPr="00283806" w:rsidRDefault="001265CA">
      <w:pPr>
        <w:pStyle w:val="BodyText"/>
        <w:spacing w:line="225" w:lineRule="auto"/>
        <w:ind w:left="144" w:right="10"/>
      </w:pPr>
      <w:r w:rsidRPr="00283806">
        <w:rPr>
          <w:w w:val="105"/>
        </w:rPr>
        <w:t xml:space="preserve">Additional discussion on covering more subsectors and on taking a subsector approach are covered in another comment response in this section. The Agency is not establishing requirements for </w:t>
      </w:r>
      <w:proofErr w:type="gramStart"/>
      <w:r w:rsidRPr="00283806">
        <w:rPr>
          <w:w w:val="105"/>
        </w:rPr>
        <w:t>initial</w:t>
      </w:r>
      <w:proofErr w:type="gramEnd"/>
      <w:r w:rsidRPr="00283806">
        <w:rPr>
          <w:w w:val="105"/>
        </w:rPr>
        <w:t xml:space="preserve"> </w:t>
      </w:r>
      <w:proofErr w:type="gramStart"/>
      <w:r w:rsidRPr="00283806">
        <w:rPr>
          <w:w w:val="105"/>
        </w:rPr>
        <w:t>fill</w:t>
      </w:r>
      <w:proofErr w:type="gramEnd"/>
      <w:r w:rsidRPr="00283806">
        <w:rPr>
          <w:w w:val="105"/>
        </w:rPr>
        <w:t xml:space="preserve"> of refrigerant-containing equipment with reclaimed HFCs in this rulemaking. EPA acknowledged in a previous response on the challenge of securing sufficient reclaimed HFC refrigerants where the refrigerants have not been in the installed stock of equipment for sufficient time and may take </w:t>
      </w:r>
      <w:proofErr w:type="gramStart"/>
      <w:r w:rsidRPr="00283806">
        <w:rPr>
          <w:w w:val="105"/>
        </w:rPr>
        <w:t>a number of</w:t>
      </w:r>
      <w:proofErr w:type="gramEnd"/>
      <w:r w:rsidRPr="00283806">
        <w:rPr>
          <w:w w:val="105"/>
        </w:rPr>
        <w:t xml:space="preserve"> years for adequate reclaimed </w:t>
      </w:r>
      <w:proofErr w:type="gramStart"/>
      <w:r w:rsidRPr="00283806">
        <w:rPr>
          <w:w w:val="105"/>
        </w:rPr>
        <w:t>refrigerant</w:t>
      </w:r>
      <w:proofErr w:type="gramEnd"/>
      <w:r w:rsidRPr="00283806">
        <w:rPr>
          <w:w w:val="105"/>
        </w:rPr>
        <w:t xml:space="preserve"> to be available.</w:t>
      </w:r>
    </w:p>
    <w:p w14:paraId="4744C1F8" w14:textId="77777777" w:rsidR="00D67C1E" w:rsidRPr="00283806" w:rsidRDefault="001265CA">
      <w:pPr>
        <w:spacing w:line="180" w:lineRule="exact"/>
        <w:ind w:left="324"/>
        <w:rPr>
          <w:sz w:val="18"/>
        </w:rPr>
      </w:pPr>
      <w:r w:rsidRPr="00283806">
        <w:rPr>
          <w:rFonts w:ascii="Book Antiqua"/>
          <w:i/>
          <w:w w:val="105"/>
          <w:sz w:val="18"/>
        </w:rPr>
        <w:t>Comment:</w:t>
      </w:r>
      <w:r w:rsidRPr="00283806">
        <w:rPr>
          <w:rFonts w:ascii="Book Antiqua"/>
          <w:i/>
          <w:spacing w:val="22"/>
          <w:w w:val="105"/>
          <w:sz w:val="18"/>
        </w:rPr>
        <w:t xml:space="preserve"> </w:t>
      </w:r>
      <w:r w:rsidRPr="00283806">
        <w:rPr>
          <w:w w:val="105"/>
          <w:sz w:val="18"/>
        </w:rPr>
        <w:t>One</w:t>
      </w:r>
      <w:r w:rsidRPr="00283806">
        <w:rPr>
          <w:spacing w:val="28"/>
          <w:w w:val="105"/>
          <w:sz w:val="18"/>
        </w:rPr>
        <w:t xml:space="preserve"> </w:t>
      </w:r>
      <w:r w:rsidRPr="00283806">
        <w:rPr>
          <w:w w:val="105"/>
          <w:sz w:val="18"/>
        </w:rPr>
        <w:t>commenter</w:t>
      </w:r>
      <w:r w:rsidRPr="00283806">
        <w:rPr>
          <w:spacing w:val="28"/>
          <w:w w:val="105"/>
          <w:sz w:val="18"/>
        </w:rPr>
        <w:t xml:space="preserve"> </w:t>
      </w:r>
      <w:r w:rsidRPr="00283806">
        <w:rPr>
          <w:spacing w:val="-2"/>
          <w:w w:val="105"/>
          <w:sz w:val="18"/>
        </w:rPr>
        <w:t>requested</w:t>
      </w:r>
    </w:p>
    <w:p w14:paraId="33D22C19" w14:textId="77777777" w:rsidR="00D67C1E" w:rsidRPr="00283806" w:rsidRDefault="001265CA">
      <w:pPr>
        <w:pStyle w:val="BodyText"/>
        <w:spacing w:line="225" w:lineRule="auto"/>
        <w:ind w:left="144" w:right="120"/>
      </w:pPr>
      <w:r w:rsidRPr="00283806">
        <w:rPr>
          <w:w w:val="105"/>
        </w:rPr>
        <w:t>that EPA include a force majeure or hardship clause in the rule should the mandated amounts of certified reclaim not be available to regulated entities including OEMs because without such a clause, OEMs and other regulated</w:t>
      </w:r>
      <w:r w:rsidRPr="00283806">
        <w:rPr>
          <w:spacing w:val="40"/>
          <w:w w:val="105"/>
        </w:rPr>
        <w:t xml:space="preserve"> </w:t>
      </w:r>
      <w:r w:rsidRPr="00283806">
        <w:rPr>
          <w:w w:val="105"/>
        </w:rPr>
        <w:t>entities could fall into non-compliance due to no fault of their own. The commenter also requested that EPA provide a mechanism whereby a regulated authority can appeal to EPA</w:t>
      </w:r>
      <w:r w:rsidRPr="00283806">
        <w:rPr>
          <w:spacing w:val="40"/>
          <w:w w:val="105"/>
        </w:rPr>
        <w:t xml:space="preserve"> </w:t>
      </w:r>
      <w:r w:rsidRPr="00283806">
        <w:rPr>
          <w:w w:val="105"/>
        </w:rPr>
        <w:t>for relief should this situation occur.</w:t>
      </w:r>
    </w:p>
    <w:p w14:paraId="20F28F3B" w14:textId="77777777" w:rsidR="00D67C1E" w:rsidRPr="00283806" w:rsidRDefault="001265CA">
      <w:pPr>
        <w:pStyle w:val="BodyText"/>
        <w:spacing w:line="225" w:lineRule="auto"/>
        <w:ind w:left="144" w:right="21"/>
      </w:pPr>
      <w:r w:rsidRPr="00283806">
        <w:rPr>
          <w:w w:val="105"/>
        </w:rPr>
        <w:t>Another commenter stated that the proposed stipulation to utilize recycled</w:t>
      </w:r>
      <w:r w:rsidRPr="00283806">
        <w:rPr>
          <w:spacing w:val="40"/>
          <w:w w:val="105"/>
        </w:rPr>
        <w:t xml:space="preserve"> </w:t>
      </w:r>
      <w:r w:rsidRPr="00283806">
        <w:rPr>
          <w:w w:val="105"/>
        </w:rPr>
        <w:t>or reclaimed substances poses a notable challenge, as the future accessibility of these recycled or reclaimed materials remains entirely uncertain. The commenter stated that complying with the requirement might prove impractical and could result in significant</w:t>
      </w:r>
      <w:r w:rsidRPr="00283806">
        <w:rPr>
          <w:spacing w:val="80"/>
          <w:w w:val="105"/>
        </w:rPr>
        <w:t xml:space="preserve"> </w:t>
      </w:r>
      <w:r w:rsidRPr="00283806">
        <w:rPr>
          <w:w w:val="105"/>
        </w:rPr>
        <w:t>operational delays or business closures.</w:t>
      </w:r>
    </w:p>
    <w:p w14:paraId="146D7D3D" w14:textId="77777777" w:rsidR="00D67C1E" w:rsidRPr="00283806" w:rsidRDefault="001265CA">
      <w:pPr>
        <w:pStyle w:val="BodyText"/>
        <w:spacing w:before="136" w:line="225" w:lineRule="auto"/>
        <w:ind w:left="143" w:right="179"/>
      </w:pPr>
      <w:r w:rsidRPr="00283806">
        <w:br w:type="column"/>
      </w:r>
      <w:r w:rsidRPr="00283806">
        <w:rPr>
          <w:w w:val="105"/>
        </w:rPr>
        <w:t>In</w:t>
      </w:r>
      <w:r w:rsidRPr="00283806">
        <w:rPr>
          <w:spacing w:val="40"/>
          <w:w w:val="105"/>
        </w:rPr>
        <w:t xml:space="preserve"> </w:t>
      </w:r>
      <w:r w:rsidRPr="00283806">
        <w:rPr>
          <w:w w:val="105"/>
        </w:rPr>
        <w:t>lieu</w:t>
      </w:r>
      <w:r w:rsidRPr="00283806">
        <w:rPr>
          <w:spacing w:val="40"/>
          <w:w w:val="105"/>
        </w:rPr>
        <w:t xml:space="preserve"> </w:t>
      </w:r>
      <w:r w:rsidRPr="00283806">
        <w:rPr>
          <w:w w:val="105"/>
        </w:rPr>
        <w:t>of</w:t>
      </w:r>
      <w:r w:rsidRPr="00283806">
        <w:rPr>
          <w:spacing w:val="40"/>
          <w:w w:val="105"/>
        </w:rPr>
        <w:t xml:space="preserve"> </w:t>
      </w:r>
      <w:r w:rsidRPr="00283806">
        <w:rPr>
          <w:w w:val="105"/>
        </w:rPr>
        <w:t>these</w:t>
      </w:r>
      <w:r w:rsidRPr="00283806">
        <w:rPr>
          <w:spacing w:val="40"/>
          <w:w w:val="105"/>
        </w:rPr>
        <w:t xml:space="preserve"> </w:t>
      </w:r>
      <w:r w:rsidRPr="00283806">
        <w:rPr>
          <w:w w:val="105"/>
        </w:rPr>
        <w:t>explicit</w:t>
      </w:r>
      <w:r w:rsidRPr="00283806">
        <w:rPr>
          <w:spacing w:val="40"/>
          <w:w w:val="105"/>
        </w:rPr>
        <w:t xml:space="preserve"> </w:t>
      </w:r>
      <w:r w:rsidRPr="00283806">
        <w:rPr>
          <w:w w:val="105"/>
        </w:rPr>
        <w:t>requirements, the commenter strongly urged EPA to incorporate an alternative compliance approach, contingent upon the regulated entity</w:t>
      </w:r>
      <w:r w:rsidRPr="00283806">
        <w:rPr>
          <w:spacing w:val="35"/>
          <w:w w:val="105"/>
        </w:rPr>
        <w:t xml:space="preserve"> </w:t>
      </w:r>
      <w:r w:rsidRPr="00283806">
        <w:rPr>
          <w:w w:val="105"/>
        </w:rPr>
        <w:t>maintaining</w:t>
      </w:r>
      <w:r w:rsidRPr="00283806">
        <w:rPr>
          <w:spacing w:val="35"/>
          <w:w w:val="105"/>
        </w:rPr>
        <w:t xml:space="preserve"> </w:t>
      </w:r>
      <w:r w:rsidRPr="00283806">
        <w:rPr>
          <w:w w:val="105"/>
        </w:rPr>
        <w:t>documented</w:t>
      </w:r>
      <w:r w:rsidRPr="00283806">
        <w:rPr>
          <w:spacing w:val="40"/>
          <w:w w:val="105"/>
        </w:rPr>
        <w:t xml:space="preserve"> </w:t>
      </w:r>
      <w:r w:rsidRPr="00283806">
        <w:rPr>
          <w:w w:val="105"/>
        </w:rPr>
        <w:t>evidence that the requisite recycled or reclaimed substances are unavailable, necessitating the use of virgin products. The commenter stated that this</w:t>
      </w:r>
      <w:r w:rsidRPr="00283806">
        <w:rPr>
          <w:spacing w:val="80"/>
          <w:w w:val="105"/>
        </w:rPr>
        <w:t xml:space="preserve"> </w:t>
      </w:r>
      <w:r w:rsidRPr="00283806">
        <w:rPr>
          <w:w w:val="105"/>
        </w:rPr>
        <w:t>approach aims to offer flexibility in situations where compliance with the primary requirement is unfeasible due</w:t>
      </w:r>
      <w:r w:rsidRPr="00283806">
        <w:rPr>
          <w:spacing w:val="80"/>
          <w:w w:val="150"/>
        </w:rPr>
        <w:t xml:space="preserve"> </w:t>
      </w:r>
      <w:r w:rsidRPr="00283806">
        <w:rPr>
          <w:w w:val="105"/>
        </w:rPr>
        <w:t>to material unavailability.</w:t>
      </w:r>
    </w:p>
    <w:p w14:paraId="476A467B" w14:textId="77777777" w:rsidR="00D67C1E" w:rsidRPr="00283806" w:rsidRDefault="001265CA">
      <w:pPr>
        <w:pStyle w:val="BodyText"/>
        <w:spacing w:line="213" w:lineRule="auto"/>
        <w:ind w:left="143" w:right="153" w:firstLine="180"/>
      </w:pPr>
      <w:r w:rsidRPr="00283806">
        <w:rPr>
          <w:rFonts w:ascii="Book Antiqua"/>
          <w:i/>
          <w:w w:val="105"/>
        </w:rPr>
        <w:t xml:space="preserve">Response: </w:t>
      </w:r>
      <w:r w:rsidRPr="00283806">
        <w:rPr>
          <w:w w:val="105"/>
        </w:rPr>
        <w:t>EPA responds that the Agency is not establishing a force</w:t>
      </w:r>
    </w:p>
    <w:p w14:paraId="531EB4CC" w14:textId="77777777" w:rsidR="00D67C1E" w:rsidRPr="00283806" w:rsidRDefault="001265CA">
      <w:pPr>
        <w:pStyle w:val="BodyText"/>
        <w:spacing w:line="225" w:lineRule="auto"/>
        <w:ind w:left="143" w:right="153"/>
      </w:pPr>
      <w:r w:rsidRPr="00283806">
        <w:rPr>
          <w:w w:val="105"/>
        </w:rPr>
        <w:t>majeure or hardship clause as described by</w:t>
      </w:r>
      <w:r w:rsidRPr="00283806">
        <w:rPr>
          <w:spacing w:val="40"/>
          <w:w w:val="105"/>
        </w:rPr>
        <w:t xml:space="preserve"> </w:t>
      </w:r>
      <w:r w:rsidRPr="00283806">
        <w:rPr>
          <w:w w:val="105"/>
        </w:rPr>
        <w:t>the</w:t>
      </w:r>
      <w:r w:rsidRPr="00283806">
        <w:rPr>
          <w:spacing w:val="40"/>
          <w:w w:val="105"/>
        </w:rPr>
        <w:t xml:space="preserve"> </w:t>
      </w:r>
      <w:r w:rsidRPr="00283806">
        <w:rPr>
          <w:w w:val="105"/>
        </w:rPr>
        <w:t>commenter</w:t>
      </w:r>
      <w:r w:rsidRPr="00283806">
        <w:rPr>
          <w:spacing w:val="40"/>
          <w:w w:val="105"/>
        </w:rPr>
        <w:t xml:space="preserve"> </w:t>
      </w:r>
      <w:r w:rsidRPr="00283806">
        <w:rPr>
          <w:w w:val="105"/>
        </w:rPr>
        <w:t>in</w:t>
      </w:r>
      <w:r w:rsidRPr="00283806">
        <w:rPr>
          <w:spacing w:val="40"/>
          <w:w w:val="105"/>
        </w:rPr>
        <w:t xml:space="preserve"> </w:t>
      </w:r>
      <w:r w:rsidRPr="00283806">
        <w:rPr>
          <w:w w:val="105"/>
        </w:rPr>
        <w:t>this</w:t>
      </w:r>
      <w:r w:rsidRPr="00283806">
        <w:rPr>
          <w:spacing w:val="40"/>
          <w:w w:val="105"/>
        </w:rPr>
        <w:t xml:space="preserve"> </w:t>
      </w:r>
      <w:r w:rsidRPr="00283806">
        <w:rPr>
          <w:w w:val="105"/>
        </w:rPr>
        <w:t>rulemaking. As noted in prior responses, EPA is only finalizing some of the proposed reclamation requirements at this time, is delaying the compliance date, and will use data to assess the uptake of</w:t>
      </w:r>
      <w:r w:rsidRPr="00283806">
        <w:rPr>
          <w:spacing w:val="40"/>
          <w:w w:val="105"/>
        </w:rPr>
        <w:t xml:space="preserve"> </w:t>
      </w:r>
      <w:r w:rsidRPr="00283806">
        <w:rPr>
          <w:w w:val="105"/>
        </w:rPr>
        <w:t>reclaimed</w:t>
      </w:r>
      <w:r w:rsidRPr="00283806">
        <w:rPr>
          <w:spacing w:val="40"/>
          <w:w w:val="105"/>
        </w:rPr>
        <w:t xml:space="preserve"> </w:t>
      </w:r>
      <w:r w:rsidRPr="00283806">
        <w:rPr>
          <w:w w:val="105"/>
        </w:rPr>
        <w:t>HFCs</w:t>
      </w:r>
      <w:r w:rsidRPr="00283806">
        <w:rPr>
          <w:spacing w:val="40"/>
          <w:w w:val="105"/>
        </w:rPr>
        <w:t xml:space="preserve"> </w:t>
      </w:r>
      <w:r w:rsidRPr="00283806">
        <w:rPr>
          <w:w w:val="105"/>
        </w:rPr>
        <w:t>ahead</w:t>
      </w:r>
      <w:r w:rsidRPr="00283806">
        <w:rPr>
          <w:spacing w:val="40"/>
          <w:w w:val="105"/>
        </w:rPr>
        <w:t xml:space="preserve"> </w:t>
      </w:r>
      <w:r w:rsidRPr="00283806">
        <w:rPr>
          <w:w w:val="105"/>
        </w:rPr>
        <w:t>of</w:t>
      </w:r>
      <w:r w:rsidRPr="00283806">
        <w:rPr>
          <w:spacing w:val="40"/>
          <w:w w:val="105"/>
        </w:rPr>
        <w:t xml:space="preserve"> </w:t>
      </w:r>
      <w:r w:rsidRPr="00283806">
        <w:rPr>
          <w:w w:val="105"/>
        </w:rPr>
        <w:t>the compliance date. EPA acknowledges comments related to unforeseen events, which could affect operations at individual facilities that may impact contractual arrangements. However, the Agency does not agree with the need to provide any general regulatory exceptions to remove liability for unforeseeable and unavoidable catastrophes that interrupt the expected course of operations, though the Agency recognizes that there may be value in regulated entities including force</w:t>
      </w:r>
      <w:r w:rsidRPr="00283806">
        <w:rPr>
          <w:spacing w:val="40"/>
          <w:w w:val="105"/>
        </w:rPr>
        <w:t xml:space="preserve"> </w:t>
      </w:r>
      <w:r w:rsidRPr="00283806">
        <w:rPr>
          <w:w w:val="105"/>
        </w:rPr>
        <w:t>majeure clauses in their contracts if the parties to the contract believe such a clause is appropriate.</w:t>
      </w:r>
    </w:p>
    <w:p w14:paraId="5C0AE753" w14:textId="77777777" w:rsidR="00D67C1E" w:rsidRPr="00283806" w:rsidRDefault="001265CA">
      <w:pPr>
        <w:spacing w:line="177" w:lineRule="exact"/>
        <w:ind w:left="323"/>
        <w:rPr>
          <w:sz w:val="18"/>
        </w:rPr>
      </w:pPr>
      <w:r w:rsidRPr="00283806">
        <w:rPr>
          <w:rFonts w:ascii="Book Antiqua"/>
          <w:i/>
          <w:w w:val="110"/>
          <w:sz w:val="18"/>
        </w:rPr>
        <w:t>Comment:</w:t>
      </w:r>
      <w:r w:rsidRPr="00283806">
        <w:rPr>
          <w:rFonts w:ascii="Book Antiqua"/>
          <w:i/>
          <w:spacing w:val="10"/>
          <w:w w:val="110"/>
          <w:sz w:val="18"/>
        </w:rPr>
        <w:t xml:space="preserve"> </w:t>
      </w:r>
      <w:r w:rsidRPr="00283806">
        <w:rPr>
          <w:w w:val="110"/>
          <w:sz w:val="18"/>
        </w:rPr>
        <w:t>Multiple</w:t>
      </w:r>
      <w:r w:rsidRPr="00283806">
        <w:rPr>
          <w:spacing w:val="16"/>
          <w:w w:val="110"/>
          <w:sz w:val="18"/>
        </w:rPr>
        <w:t xml:space="preserve"> </w:t>
      </w:r>
      <w:r w:rsidRPr="00283806">
        <w:rPr>
          <w:spacing w:val="-2"/>
          <w:w w:val="110"/>
          <w:sz w:val="18"/>
        </w:rPr>
        <w:t>commenters</w:t>
      </w:r>
    </w:p>
    <w:p w14:paraId="2959469A" w14:textId="77777777" w:rsidR="00D67C1E" w:rsidRPr="00283806" w:rsidRDefault="001265CA">
      <w:pPr>
        <w:pStyle w:val="BodyText"/>
        <w:spacing w:line="225" w:lineRule="auto"/>
        <w:ind w:left="143" w:right="131"/>
      </w:pPr>
      <w:r w:rsidRPr="00283806">
        <w:rPr>
          <w:w w:val="105"/>
        </w:rPr>
        <w:t>commented on whether lower-GWP refrigerants should be included in reclamation requirements for servicing. Some commenters supported excluding refrigerants with GWPs below the 2023 Technology Transitions thresholds from reclaim requirements. One commenter proposed that EPA should focus on refrigerants with GWPs that are above the GWP limits included in the 2023 Technology Transitions Rule for a final rule. The commenter noted that this change would also focus recovery and reclamation activity on the products</w:t>
      </w:r>
      <w:r w:rsidRPr="00283806">
        <w:rPr>
          <w:spacing w:val="80"/>
          <w:w w:val="105"/>
        </w:rPr>
        <w:t xml:space="preserve"> </w:t>
      </w:r>
      <w:r w:rsidRPr="00283806">
        <w:rPr>
          <w:w w:val="105"/>
        </w:rPr>
        <w:t>with the highest GWP, where reclaim</w:t>
      </w:r>
      <w:r w:rsidRPr="00283806">
        <w:rPr>
          <w:spacing w:val="80"/>
          <w:w w:val="150"/>
        </w:rPr>
        <w:t xml:space="preserve"> </w:t>
      </w:r>
      <w:r w:rsidRPr="00283806">
        <w:rPr>
          <w:w w:val="105"/>
        </w:rPr>
        <w:t>has the most environmental benefit per pound of gas recovered. Another commenter requested that EPA limit the reclaim servicing requirements to HFC refrigerants that are restricted by the 2023 Technology Transition Rule and</w:t>
      </w:r>
      <w:r w:rsidRPr="00283806">
        <w:rPr>
          <w:spacing w:val="80"/>
          <w:w w:val="105"/>
        </w:rPr>
        <w:t xml:space="preserve"> </w:t>
      </w:r>
      <w:r w:rsidRPr="00283806">
        <w:rPr>
          <w:w w:val="105"/>
        </w:rPr>
        <w:t>not all HFCs regulated by the AIM Act. The commenter claimed that many low- GWP HFCs will not be introduced until January 1, 2025, so there will not be enough low-GWP HFCs recovered to generate enough reclaim to use in</w:t>
      </w:r>
      <w:r w:rsidRPr="00283806">
        <w:rPr>
          <w:spacing w:val="80"/>
          <w:w w:val="105"/>
        </w:rPr>
        <w:t xml:space="preserve"> </w:t>
      </w:r>
      <w:r w:rsidRPr="00283806">
        <w:rPr>
          <w:w w:val="105"/>
        </w:rPr>
        <w:t>service for these sectors. Another commenter</w:t>
      </w:r>
      <w:r w:rsidRPr="00283806">
        <w:rPr>
          <w:spacing w:val="-2"/>
          <w:w w:val="105"/>
        </w:rPr>
        <w:t xml:space="preserve"> </w:t>
      </w:r>
      <w:r w:rsidRPr="00283806">
        <w:rPr>
          <w:w w:val="105"/>
        </w:rPr>
        <w:t>stated</w:t>
      </w:r>
      <w:r w:rsidRPr="00283806">
        <w:rPr>
          <w:spacing w:val="-2"/>
          <w:w w:val="105"/>
        </w:rPr>
        <w:t xml:space="preserve"> </w:t>
      </w:r>
      <w:r w:rsidRPr="00283806">
        <w:rPr>
          <w:w w:val="105"/>
        </w:rPr>
        <w:t>that</w:t>
      </w:r>
      <w:r w:rsidRPr="00283806">
        <w:rPr>
          <w:spacing w:val="-2"/>
          <w:w w:val="105"/>
        </w:rPr>
        <w:t xml:space="preserve"> </w:t>
      </w:r>
      <w:r w:rsidRPr="00283806">
        <w:rPr>
          <w:w w:val="105"/>
        </w:rPr>
        <w:t>reclaim</w:t>
      </w:r>
      <w:r w:rsidRPr="00283806">
        <w:rPr>
          <w:spacing w:val="-2"/>
          <w:w w:val="105"/>
        </w:rPr>
        <w:t xml:space="preserve"> </w:t>
      </w:r>
      <w:r w:rsidRPr="00283806">
        <w:rPr>
          <w:w w:val="105"/>
        </w:rPr>
        <w:t>mandates</w:t>
      </w:r>
    </w:p>
    <w:p w14:paraId="60F6478D"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6" w:space="40"/>
            <w:col w:w="3502" w:space="39"/>
            <w:col w:w="3623"/>
          </w:cols>
        </w:sectPr>
      </w:pPr>
    </w:p>
    <w:p w14:paraId="6323E29C" w14:textId="77777777" w:rsidR="00D67C1E" w:rsidRPr="00283806" w:rsidRDefault="001265CA">
      <w:pPr>
        <w:pStyle w:val="BodyText"/>
        <w:spacing w:before="136" w:line="225" w:lineRule="auto"/>
        <w:ind w:right="8"/>
      </w:pPr>
      <w:proofErr w:type="gramStart"/>
      <w:r w:rsidRPr="00283806">
        <w:rPr>
          <w:w w:val="105"/>
        </w:rPr>
        <w:lastRenderedPageBreak/>
        <w:t>on</w:t>
      </w:r>
      <w:proofErr w:type="gramEnd"/>
      <w:r w:rsidRPr="00283806">
        <w:rPr>
          <w:w w:val="105"/>
        </w:rPr>
        <w:t xml:space="preserve"> low-GWP </w:t>
      </w:r>
      <w:proofErr w:type="gramStart"/>
      <w:r w:rsidRPr="00283806">
        <w:rPr>
          <w:w w:val="105"/>
        </w:rPr>
        <w:t>refrigerants</w:t>
      </w:r>
      <w:proofErr w:type="gramEnd"/>
      <w:r w:rsidRPr="00283806">
        <w:rPr>
          <w:w w:val="105"/>
        </w:rPr>
        <w:t xml:space="preserve"> do not make sense because these are not in widespread use. In contrast, a different commenter stated that EPA should not exempt low-GWP refrigerants from reclaim mandates and that having</w:t>
      </w:r>
      <w:r w:rsidRPr="00283806">
        <w:rPr>
          <w:spacing w:val="40"/>
          <w:w w:val="105"/>
        </w:rPr>
        <w:t xml:space="preserve"> </w:t>
      </w:r>
      <w:r w:rsidRPr="00283806">
        <w:rPr>
          <w:w w:val="105"/>
        </w:rPr>
        <w:t>reclaim requirements for low-GWP refrigerants will benefit the environment and create a more circular economy.</w:t>
      </w:r>
    </w:p>
    <w:p w14:paraId="72B95435" w14:textId="77777777" w:rsidR="00D67C1E" w:rsidRPr="00283806" w:rsidRDefault="001265CA">
      <w:pPr>
        <w:pStyle w:val="BodyText"/>
        <w:spacing w:line="177" w:lineRule="exact"/>
        <w:ind w:left="340"/>
      </w:pPr>
      <w:r w:rsidRPr="00283806">
        <w:rPr>
          <w:w w:val="105"/>
        </w:rPr>
        <w:t>One</w:t>
      </w:r>
      <w:r w:rsidRPr="00283806">
        <w:rPr>
          <w:spacing w:val="12"/>
          <w:w w:val="105"/>
        </w:rPr>
        <w:t xml:space="preserve"> </w:t>
      </w:r>
      <w:r w:rsidRPr="00283806">
        <w:rPr>
          <w:w w:val="105"/>
        </w:rPr>
        <w:t>commenter</w:t>
      </w:r>
      <w:r w:rsidRPr="00283806">
        <w:rPr>
          <w:spacing w:val="12"/>
          <w:w w:val="105"/>
        </w:rPr>
        <w:t xml:space="preserve"> </w:t>
      </w:r>
      <w:r w:rsidRPr="00283806">
        <w:rPr>
          <w:w w:val="105"/>
        </w:rPr>
        <w:t>urged</w:t>
      </w:r>
      <w:r w:rsidRPr="00283806">
        <w:rPr>
          <w:spacing w:val="12"/>
          <w:w w:val="105"/>
        </w:rPr>
        <w:t xml:space="preserve"> </w:t>
      </w:r>
      <w:r w:rsidRPr="00283806">
        <w:rPr>
          <w:w w:val="105"/>
        </w:rPr>
        <w:t>EPA</w:t>
      </w:r>
      <w:r w:rsidRPr="00283806">
        <w:rPr>
          <w:spacing w:val="12"/>
          <w:w w:val="105"/>
        </w:rPr>
        <w:t xml:space="preserve"> </w:t>
      </w:r>
      <w:r w:rsidRPr="00283806">
        <w:rPr>
          <w:w w:val="105"/>
        </w:rPr>
        <w:t>to</w:t>
      </w:r>
      <w:r w:rsidRPr="00283806">
        <w:rPr>
          <w:spacing w:val="12"/>
          <w:w w:val="105"/>
        </w:rPr>
        <w:t xml:space="preserve"> </w:t>
      </w:r>
      <w:r w:rsidRPr="00283806">
        <w:rPr>
          <w:spacing w:val="-2"/>
          <w:w w:val="105"/>
        </w:rPr>
        <w:t>provide</w:t>
      </w:r>
    </w:p>
    <w:p w14:paraId="4AE077C7" w14:textId="77777777" w:rsidR="00D67C1E" w:rsidRPr="00283806" w:rsidRDefault="001265CA">
      <w:pPr>
        <w:pStyle w:val="BodyText"/>
        <w:spacing w:before="4" w:line="225" w:lineRule="auto"/>
        <w:ind w:right="89"/>
      </w:pPr>
      <w:r w:rsidRPr="00283806">
        <w:rPr>
          <w:w w:val="105"/>
        </w:rPr>
        <w:t>an exception for certain newer and commonly used low-GWP refrigerants such as R–448A, R–449A, and R–407A, stating that they are unlikely to be reclaimed in sufficient quantity to</w:t>
      </w:r>
      <w:r w:rsidRPr="00283806">
        <w:rPr>
          <w:spacing w:val="40"/>
          <w:w w:val="105"/>
        </w:rPr>
        <w:t xml:space="preserve"> </w:t>
      </w:r>
      <w:r w:rsidRPr="00283806">
        <w:rPr>
          <w:w w:val="105"/>
        </w:rPr>
        <w:t>satisfy industry needs, as these substances have only recently started to be used in newly installed or retrofitted in commercial refrigeration systems.</w:t>
      </w:r>
    </w:p>
    <w:p w14:paraId="205FF752" w14:textId="77777777" w:rsidR="00D67C1E" w:rsidRPr="00283806" w:rsidRDefault="001265CA">
      <w:pPr>
        <w:pStyle w:val="BodyText"/>
        <w:spacing w:line="225" w:lineRule="auto"/>
        <w:ind w:right="65"/>
      </w:pPr>
      <w:r w:rsidRPr="00283806">
        <w:rPr>
          <w:w w:val="105"/>
        </w:rPr>
        <w:t>The commenter noted that these refrigerants are subject to patents held</w:t>
      </w:r>
      <w:r w:rsidRPr="00283806">
        <w:rPr>
          <w:spacing w:val="40"/>
          <w:w w:val="105"/>
        </w:rPr>
        <w:t xml:space="preserve"> </w:t>
      </w:r>
      <w:r w:rsidRPr="00283806">
        <w:rPr>
          <w:w w:val="105"/>
        </w:rPr>
        <w:t>by their manufacturers; thus, not all reclaimers can legally formulate their blends, which will constrict supply. Another commenter suggested that the use of reclaimed refrigerant for service and repair of existing supermarket refrigeration appliances starting in 2028 should be limited to refrigerants with GWPs greater than 1,500, if the reclaim mandate as of 2028 is pursued by EPA. Another commenter recommended that EPA prohibit the use of virgin</w:t>
      </w:r>
      <w:r w:rsidRPr="00283806">
        <w:rPr>
          <w:spacing w:val="80"/>
          <w:w w:val="105"/>
        </w:rPr>
        <w:t xml:space="preserve"> </w:t>
      </w:r>
      <w:r w:rsidRPr="00283806">
        <w:rPr>
          <w:w w:val="105"/>
        </w:rPr>
        <w:t>refrigerant for servicing equipment in supermarket systems, cold storage warehouses, refrigerated transport, and automatic commercial icemakers with a GWP greater than 2,200 beginning January 1, 2029, and with a GWP greater than 1,400 beginning January 1, 2034.</w:t>
      </w:r>
    </w:p>
    <w:p w14:paraId="1C9FB917" w14:textId="77777777" w:rsidR="00D67C1E" w:rsidRPr="00283806" w:rsidRDefault="001265CA">
      <w:pPr>
        <w:pStyle w:val="BodyText"/>
        <w:spacing w:line="173" w:lineRule="exact"/>
        <w:ind w:left="340"/>
      </w:pPr>
      <w:r w:rsidRPr="00283806">
        <w:rPr>
          <w:w w:val="105"/>
        </w:rPr>
        <w:t>Another</w:t>
      </w:r>
      <w:r w:rsidRPr="00283806">
        <w:rPr>
          <w:spacing w:val="6"/>
          <w:w w:val="105"/>
        </w:rPr>
        <w:t xml:space="preserve"> </w:t>
      </w:r>
      <w:r w:rsidRPr="00283806">
        <w:rPr>
          <w:w w:val="105"/>
        </w:rPr>
        <w:t>commenter</w:t>
      </w:r>
      <w:r w:rsidRPr="00283806">
        <w:rPr>
          <w:spacing w:val="6"/>
          <w:w w:val="105"/>
        </w:rPr>
        <w:t xml:space="preserve"> </w:t>
      </w:r>
      <w:r w:rsidRPr="00283806">
        <w:rPr>
          <w:w w:val="105"/>
        </w:rPr>
        <w:t>proposed</w:t>
      </w:r>
      <w:r w:rsidRPr="00283806">
        <w:rPr>
          <w:spacing w:val="7"/>
          <w:w w:val="105"/>
        </w:rPr>
        <w:t xml:space="preserve"> </w:t>
      </w:r>
      <w:r w:rsidRPr="00283806">
        <w:rPr>
          <w:w w:val="105"/>
        </w:rPr>
        <w:t>that</w:t>
      </w:r>
      <w:r w:rsidRPr="00283806">
        <w:rPr>
          <w:spacing w:val="6"/>
          <w:w w:val="105"/>
        </w:rPr>
        <w:t xml:space="preserve"> </w:t>
      </w:r>
      <w:r w:rsidRPr="00283806">
        <w:rPr>
          <w:spacing w:val="-10"/>
          <w:w w:val="105"/>
        </w:rPr>
        <w:t>a</w:t>
      </w:r>
    </w:p>
    <w:p w14:paraId="368C78F4" w14:textId="77777777" w:rsidR="00D67C1E" w:rsidRPr="00283806" w:rsidRDefault="001265CA">
      <w:pPr>
        <w:pStyle w:val="BodyText"/>
        <w:spacing w:line="225" w:lineRule="auto"/>
        <w:ind w:right="59"/>
      </w:pPr>
      <w:r w:rsidRPr="00283806">
        <w:rPr>
          <w:w w:val="105"/>
        </w:rPr>
        <w:t xml:space="preserve">refrigerant supplied for servicing in the applicable sectors that </w:t>
      </w:r>
      <w:proofErr w:type="gramStart"/>
      <w:r w:rsidRPr="00283806">
        <w:rPr>
          <w:w w:val="105"/>
        </w:rPr>
        <w:t>exceeds</w:t>
      </w:r>
      <w:proofErr w:type="gramEnd"/>
      <w:r w:rsidRPr="00283806">
        <w:rPr>
          <w:w w:val="105"/>
        </w:rPr>
        <w:t xml:space="preserve"> the established GWP thresholds set forth in the 2023 Technology Transitions Rule could be a specified percentage of reclaimed refrigerant, as determined by the Administrator on an annual and gradually increasing basis. The commenter suggested additional subsectors for consideration for servicing and/or repair requirements with reclaimed refrigerants. An additional commenter suggested EPA review market data and applicable percentages for servicing using reclaimed refrigerant annually via a notice and comment process. The commenter also suggested excluding from servicing requirements any equipment containing a refrigerant with a GWP below the applicable threshold established by the 2023 Technology Transitions Rule.</w:t>
      </w:r>
    </w:p>
    <w:p w14:paraId="4608FB10" w14:textId="77777777" w:rsidR="00D67C1E" w:rsidRPr="00283806" w:rsidRDefault="001265CA">
      <w:pPr>
        <w:pStyle w:val="BodyText"/>
        <w:spacing w:line="183" w:lineRule="exact"/>
        <w:ind w:left="340"/>
      </w:pPr>
      <w:r w:rsidRPr="00283806">
        <w:rPr>
          <w:w w:val="105"/>
        </w:rPr>
        <w:t>Another</w:t>
      </w:r>
      <w:r w:rsidRPr="00283806">
        <w:rPr>
          <w:spacing w:val="4"/>
          <w:w w:val="105"/>
        </w:rPr>
        <w:t xml:space="preserve"> </w:t>
      </w:r>
      <w:r w:rsidRPr="00283806">
        <w:rPr>
          <w:w w:val="105"/>
        </w:rPr>
        <w:t>commenter</w:t>
      </w:r>
      <w:r w:rsidRPr="00283806">
        <w:rPr>
          <w:spacing w:val="4"/>
          <w:w w:val="105"/>
        </w:rPr>
        <w:t xml:space="preserve"> </w:t>
      </w:r>
      <w:r w:rsidRPr="00283806">
        <w:rPr>
          <w:w w:val="105"/>
        </w:rPr>
        <w:t>stated</w:t>
      </w:r>
      <w:r w:rsidRPr="00283806">
        <w:rPr>
          <w:spacing w:val="4"/>
          <w:w w:val="105"/>
        </w:rPr>
        <w:t xml:space="preserve"> </w:t>
      </w:r>
      <w:r w:rsidRPr="00283806">
        <w:rPr>
          <w:w w:val="105"/>
        </w:rPr>
        <w:t>that</w:t>
      </w:r>
      <w:r w:rsidRPr="00283806">
        <w:rPr>
          <w:spacing w:val="4"/>
          <w:w w:val="105"/>
        </w:rPr>
        <w:t xml:space="preserve"> </w:t>
      </w:r>
      <w:r w:rsidRPr="00283806">
        <w:rPr>
          <w:spacing w:val="-5"/>
          <w:w w:val="105"/>
        </w:rPr>
        <w:t>the</w:t>
      </w:r>
    </w:p>
    <w:p w14:paraId="61946728" w14:textId="77777777" w:rsidR="00D67C1E" w:rsidRPr="00283806" w:rsidRDefault="001265CA">
      <w:pPr>
        <w:pStyle w:val="BodyText"/>
        <w:spacing w:before="3" w:line="228" w:lineRule="auto"/>
      </w:pPr>
      <w:proofErr w:type="gramStart"/>
      <w:r w:rsidRPr="00283806">
        <w:rPr>
          <w:w w:val="105"/>
        </w:rPr>
        <w:t>requirements</w:t>
      </w:r>
      <w:proofErr w:type="gramEnd"/>
      <w:r w:rsidRPr="00283806">
        <w:rPr>
          <w:w w:val="105"/>
        </w:rPr>
        <w:t xml:space="preserve"> for reclaimed HFCs cause </w:t>
      </w:r>
      <w:proofErr w:type="gramStart"/>
      <w:r w:rsidRPr="00283806">
        <w:rPr>
          <w:w w:val="105"/>
        </w:rPr>
        <w:t>concerns</w:t>
      </w:r>
      <w:proofErr w:type="gramEnd"/>
      <w:r w:rsidRPr="00283806">
        <w:rPr>
          <w:w w:val="105"/>
        </w:rPr>
        <w:t xml:space="preserve"> regarding the excessive burden being placed on the retail industry. The commenter expressed support for the</w:t>
      </w:r>
    </w:p>
    <w:p w14:paraId="15465B46" w14:textId="77777777" w:rsidR="00D67C1E" w:rsidRPr="00283806" w:rsidRDefault="001265CA">
      <w:pPr>
        <w:pStyle w:val="BodyText"/>
        <w:spacing w:before="136" w:line="225" w:lineRule="auto"/>
        <w:ind w:left="143" w:right="43"/>
      </w:pPr>
      <w:r w:rsidRPr="00283806">
        <w:br w:type="column"/>
      </w:r>
      <w:r w:rsidRPr="00283806">
        <w:rPr>
          <w:w w:val="105"/>
        </w:rPr>
        <w:t xml:space="preserve">need to incentivize reclaimed refrigerant </w:t>
      </w:r>
      <w:proofErr w:type="gramStart"/>
      <w:r w:rsidRPr="00283806">
        <w:rPr>
          <w:w w:val="105"/>
        </w:rPr>
        <w:t>as</w:t>
      </w:r>
      <w:r w:rsidRPr="00283806">
        <w:rPr>
          <w:spacing w:val="34"/>
          <w:w w:val="105"/>
        </w:rPr>
        <w:t xml:space="preserve"> </w:t>
      </w:r>
      <w:r w:rsidRPr="00283806">
        <w:rPr>
          <w:w w:val="105"/>
        </w:rPr>
        <w:t>a</w:t>
      </w:r>
      <w:r w:rsidRPr="00283806">
        <w:rPr>
          <w:spacing w:val="34"/>
          <w:w w:val="105"/>
        </w:rPr>
        <w:t xml:space="preserve"> </w:t>
      </w:r>
      <w:r w:rsidRPr="00283806">
        <w:rPr>
          <w:w w:val="105"/>
        </w:rPr>
        <w:t>way</w:t>
      </w:r>
      <w:r w:rsidRPr="00283806">
        <w:rPr>
          <w:spacing w:val="34"/>
          <w:w w:val="105"/>
        </w:rPr>
        <w:t xml:space="preserve"> </w:t>
      </w:r>
      <w:r w:rsidRPr="00283806">
        <w:rPr>
          <w:w w:val="105"/>
        </w:rPr>
        <w:t>to</w:t>
      </w:r>
      <w:proofErr w:type="gramEnd"/>
      <w:r w:rsidRPr="00283806">
        <w:rPr>
          <w:spacing w:val="34"/>
          <w:w w:val="105"/>
        </w:rPr>
        <w:t xml:space="preserve"> </w:t>
      </w:r>
      <w:r w:rsidRPr="00283806">
        <w:rPr>
          <w:w w:val="105"/>
        </w:rPr>
        <w:t>balance</w:t>
      </w:r>
      <w:r w:rsidRPr="00283806">
        <w:rPr>
          <w:spacing w:val="34"/>
          <w:w w:val="105"/>
        </w:rPr>
        <w:t xml:space="preserve"> </w:t>
      </w:r>
      <w:r w:rsidRPr="00283806">
        <w:rPr>
          <w:w w:val="105"/>
        </w:rPr>
        <w:t>the</w:t>
      </w:r>
      <w:r w:rsidRPr="00283806">
        <w:rPr>
          <w:spacing w:val="34"/>
          <w:w w:val="105"/>
        </w:rPr>
        <w:t xml:space="preserve"> </w:t>
      </w:r>
      <w:r w:rsidRPr="00283806">
        <w:rPr>
          <w:w w:val="105"/>
        </w:rPr>
        <w:t>decreased supply of HFCs due to the decreased allocation of allowances; however, the commenter expected the focus of</w:t>
      </w:r>
      <w:r w:rsidRPr="00283806">
        <w:rPr>
          <w:spacing w:val="80"/>
          <w:w w:val="150"/>
        </w:rPr>
        <w:t xml:space="preserve"> </w:t>
      </w:r>
      <w:r w:rsidRPr="00283806">
        <w:rPr>
          <w:w w:val="105"/>
        </w:rPr>
        <w:t>reclaim to be on the refrigerants that were not included as future options of</w:t>
      </w:r>
      <w:r w:rsidRPr="00283806">
        <w:rPr>
          <w:spacing w:val="40"/>
          <w:w w:val="105"/>
        </w:rPr>
        <w:t xml:space="preserve"> </w:t>
      </w:r>
      <w:r w:rsidRPr="00283806">
        <w:rPr>
          <w:w w:val="105"/>
        </w:rPr>
        <w:t>the 2023 Technology Transitions Rule. The commenter also expected the focus</w:t>
      </w:r>
      <w:r w:rsidRPr="00283806">
        <w:rPr>
          <w:spacing w:val="40"/>
          <w:w w:val="105"/>
        </w:rPr>
        <w:t xml:space="preserve"> </w:t>
      </w:r>
      <w:r w:rsidRPr="00283806">
        <w:rPr>
          <w:w w:val="105"/>
        </w:rPr>
        <w:t>of the proposed rule to be on the need</w:t>
      </w:r>
    </w:p>
    <w:p w14:paraId="47285BEE" w14:textId="77777777" w:rsidR="00D67C1E" w:rsidRPr="00283806" w:rsidRDefault="001265CA">
      <w:pPr>
        <w:pStyle w:val="BodyText"/>
        <w:spacing w:line="225" w:lineRule="auto"/>
        <w:ind w:left="143" w:right="125"/>
      </w:pPr>
      <w:r w:rsidRPr="00283806">
        <w:rPr>
          <w:w w:val="105"/>
        </w:rPr>
        <w:t>to service existing equipment throughout its natural lifetime.</w:t>
      </w:r>
    </w:p>
    <w:p w14:paraId="725B8895" w14:textId="77777777" w:rsidR="00D67C1E" w:rsidRPr="00283806" w:rsidRDefault="001265CA">
      <w:pPr>
        <w:pStyle w:val="BodyText"/>
        <w:spacing w:line="179" w:lineRule="exact"/>
        <w:ind w:left="323"/>
      </w:pPr>
      <w:r w:rsidRPr="00283806">
        <w:rPr>
          <w:w w:val="105"/>
        </w:rPr>
        <w:t>One</w:t>
      </w:r>
      <w:r w:rsidRPr="00283806">
        <w:rPr>
          <w:spacing w:val="10"/>
          <w:w w:val="105"/>
        </w:rPr>
        <w:t xml:space="preserve"> </w:t>
      </w:r>
      <w:r w:rsidRPr="00283806">
        <w:rPr>
          <w:w w:val="105"/>
        </w:rPr>
        <w:t>commenter</w:t>
      </w:r>
      <w:r w:rsidRPr="00283806">
        <w:rPr>
          <w:spacing w:val="10"/>
          <w:w w:val="105"/>
        </w:rPr>
        <w:t xml:space="preserve"> </w:t>
      </w:r>
      <w:r w:rsidRPr="00283806">
        <w:rPr>
          <w:w w:val="105"/>
        </w:rPr>
        <w:t>added</w:t>
      </w:r>
      <w:r w:rsidRPr="00283806">
        <w:rPr>
          <w:spacing w:val="10"/>
          <w:w w:val="105"/>
        </w:rPr>
        <w:t xml:space="preserve"> </w:t>
      </w:r>
      <w:r w:rsidRPr="00283806">
        <w:rPr>
          <w:w w:val="105"/>
        </w:rPr>
        <w:t>that</w:t>
      </w:r>
      <w:r w:rsidRPr="00283806">
        <w:rPr>
          <w:spacing w:val="10"/>
          <w:w w:val="105"/>
        </w:rPr>
        <w:t xml:space="preserve"> </w:t>
      </w:r>
      <w:r w:rsidRPr="00283806">
        <w:rPr>
          <w:spacing w:val="-2"/>
          <w:w w:val="105"/>
        </w:rPr>
        <w:t>heating,</w:t>
      </w:r>
    </w:p>
    <w:p w14:paraId="3C93B523" w14:textId="77777777" w:rsidR="00D67C1E" w:rsidRPr="00283806" w:rsidRDefault="001265CA">
      <w:pPr>
        <w:pStyle w:val="BodyText"/>
        <w:spacing w:line="225" w:lineRule="auto"/>
        <w:ind w:left="143" w:right="42"/>
      </w:pPr>
      <w:r w:rsidRPr="00283806">
        <w:rPr>
          <w:w w:val="105"/>
        </w:rPr>
        <w:t>ventilation,</w:t>
      </w:r>
      <w:r w:rsidRPr="00283806">
        <w:rPr>
          <w:spacing w:val="40"/>
          <w:w w:val="105"/>
        </w:rPr>
        <w:t xml:space="preserve"> </w:t>
      </w:r>
      <w:r w:rsidRPr="00283806">
        <w:rPr>
          <w:w w:val="105"/>
        </w:rPr>
        <w:t>and</w:t>
      </w:r>
      <w:r w:rsidRPr="00283806">
        <w:rPr>
          <w:spacing w:val="40"/>
          <w:w w:val="105"/>
        </w:rPr>
        <w:t xml:space="preserve"> </w:t>
      </w:r>
      <w:r w:rsidRPr="00283806">
        <w:rPr>
          <w:w w:val="105"/>
        </w:rPr>
        <w:t>air</w:t>
      </w:r>
      <w:r w:rsidRPr="00283806">
        <w:rPr>
          <w:spacing w:val="40"/>
          <w:w w:val="105"/>
        </w:rPr>
        <w:t xml:space="preserve"> </w:t>
      </w:r>
      <w:r w:rsidRPr="00283806">
        <w:rPr>
          <w:w w:val="105"/>
        </w:rPr>
        <w:t>conditioning</w:t>
      </w:r>
      <w:r w:rsidRPr="00283806">
        <w:rPr>
          <w:spacing w:val="40"/>
          <w:w w:val="105"/>
        </w:rPr>
        <w:t xml:space="preserve"> </w:t>
      </w:r>
      <w:r w:rsidRPr="00283806">
        <w:rPr>
          <w:w w:val="105"/>
        </w:rPr>
        <w:t>(HVAC) equipment typically has a lifespan of around 10–15 years, and refrigerant recovery is very limited during this time, with recovery only possible during maintenance and repair work. Therefore, the commenter</w:t>
      </w:r>
      <w:r w:rsidRPr="00283806">
        <w:rPr>
          <w:spacing w:val="40"/>
          <w:w w:val="105"/>
        </w:rPr>
        <w:t xml:space="preserve"> </w:t>
      </w:r>
      <w:r w:rsidRPr="00283806">
        <w:rPr>
          <w:w w:val="105"/>
        </w:rPr>
        <w:t>asserted that after the transition to low- GWP refrigerants in 2025, these low- GWP refrigerants must not become the focus of recovery efforts until 2035 to 2040. The commenter stated that until then, the refrigerant contained in the already installed equipment will be the dominant part of the recovery work. The commenter stated that in the domestic and</w:t>
      </w:r>
      <w:r w:rsidRPr="00283806">
        <w:rPr>
          <w:spacing w:val="40"/>
          <w:w w:val="105"/>
        </w:rPr>
        <w:t xml:space="preserve"> </w:t>
      </w:r>
      <w:r w:rsidRPr="00283806">
        <w:rPr>
          <w:w w:val="105"/>
        </w:rPr>
        <w:t>commercial</w:t>
      </w:r>
      <w:r w:rsidRPr="00283806">
        <w:rPr>
          <w:spacing w:val="40"/>
          <w:w w:val="105"/>
        </w:rPr>
        <w:t xml:space="preserve"> </w:t>
      </w:r>
      <w:r w:rsidRPr="00283806">
        <w:rPr>
          <w:w w:val="105"/>
        </w:rPr>
        <w:t>HVAC</w:t>
      </w:r>
      <w:r w:rsidRPr="00283806">
        <w:rPr>
          <w:spacing w:val="40"/>
          <w:w w:val="105"/>
        </w:rPr>
        <w:t xml:space="preserve"> </w:t>
      </w:r>
      <w:r w:rsidRPr="00283806">
        <w:rPr>
          <w:w w:val="105"/>
        </w:rPr>
        <w:t>sector,</w:t>
      </w:r>
      <w:r w:rsidRPr="00283806">
        <w:rPr>
          <w:spacing w:val="40"/>
          <w:w w:val="105"/>
        </w:rPr>
        <w:t xml:space="preserve"> </w:t>
      </w:r>
      <w:r w:rsidRPr="00283806">
        <w:rPr>
          <w:w w:val="105"/>
        </w:rPr>
        <w:t xml:space="preserve">R–410A is the main target for recovery as there are no refrigerants below GWP 700 on the market. Therefore, the commenter suggested that it is substantially infeasible to obtain reclaimed </w:t>
      </w:r>
      <w:proofErr w:type="gramStart"/>
      <w:r w:rsidRPr="00283806">
        <w:rPr>
          <w:w w:val="105"/>
        </w:rPr>
        <w:t>refrigerants</w:t>
      </w:r>
      <w:proofErr w:type="gramEnd"/>
      <w:r w:rsidRPr="00283806">
        <w:rPr>
          <w:w w:val="105"/>
        </w:rPr>
        <w:t xml:space="preserve"> with a GWP of 700 or less</w:t>
      </w:r>
    </w:p>
    <w:p w14:paraId="0998E70B" w14:textId="77777777" w:rsidR="00D67C1E" w:rsidRPr="00283806" w:rsidRDefault="001265CA">
      <w:pPr>
        <w:pStyle w:val="BodyText"/>
        <w:spacing w:line="179" w:lineRule="exact"/>
        <w:ind w:left="143"/>
      </w:pPr>
      <w:r w:rsidRPr="00283806">
        <w:rPr>
          <w:w w:val="105"/>
        </w:rPr>
        <w:t>as</w:t>
      </w:r>
      <w:r w:rsidRPr="00283806">
        <w:rPr>
          <w:spacing w:val="5"/>
          <w:w w:val="105"/>
        </w:rPr>
        <w:t xml:space="preserve"> </w:t>
      </w:r>
      <w:r w:rsidRPr="00283806">
        <w:rPr>
          <w:w w:val="105"/>
        </w:rPr>
        <w:t>of</w:t>
      </w:r>
      <w:r w:rsidRPr="00283806">
        <w:rPr>
          <w:spacing w:val="5"/>
          <w:w w:val="105"/>
        </w:rPr>
        <w:t xml:space="preserve"> </w:t>
      </w:r>
      <w:r w:rsidRPr="00283806">
        <w:rPr>
          <w:spacing w:val="-4"/>
          <w:w w:val="105"/>
        </w:rPr>
        <w:t>2028.</w:t>
      </w:r>
    </w:p>
    <w:p w14:paraId="49E456FB" w14:textId="77777777" w:rsidR="00D67C1E" w:rsidRPr="00283806" w:rsidRDefault="001265CA">
      <w:pPr>
        <w:pStyle w:val="BodyText"/>
        <w:spacing w:line="225" w:lineRule="auto"/>
        <w:ind w:left="143" w:right="15" w:firstLine="180"/>
      </w:pPr>
      <w:r w:rsidRPr="00283806">
        <w:rPr>
          <w:w w:val="105"/>
        </w:rPr>
        <w:t>One commenter stated that there should be no exemptions for newer, lower-GWP refrigerants (such as HFC– 32, R–454A/B, R–448A, R–449A, R–450,</w:t>
      </w:r>
    </w:p>
    <w:p w14:paraId="57E9A7AF" w14:textId="77777777" w:rsidR="00D67C1E" w:rsidRPr="00283806" w:rsidRDefault="001265CA">
      <w:pPr>
        <w:pStyle w:val="BodyText"/>
        <w:spacing w:line="225" w:lineRule="auto"/>
        <w:ind w:left="143" w:right="71"/>
      </w:pPr>
      <w:r w:rsidRPr="00283806">
        <w:rPr>
          <w:w w:val="105"/>
        </w:rPr>
        <w:t xml:space="preserve">R–456A, R–444A, or others). Another commenter claimed that there is not enough HFO refrigerant available to support the service and new equipment market and recommended that reclaimed HFC and HCFC </w:t>
      </w:r>
      <w:proofErr w:type="gramStart"/>
      <w:r w:rsidRPr="00283806">
        <w:rPr>
          <w:w w:val="105"/>
        </w:rPr>
        <w:t>makes</w:t>
      </w:r>
      <w:proofErr w:type="gramEnd"/>
      <w:r w:rsidRPr="00283806">
        <w:rPr>
          <w:w w:val="105"/>
        </w:rPr>
        <w:t xml:space="preserve"> sense for 2028. The commenter requested further specificity regarding the statement requiring reclaimed refrigerant for repair and </w:t>
      </w:r>
      <w:proofErr w:type="gramStart"/>
      <w:r w:rsidRPr="00283806">
        <w:rPr>
          <w:w w:val="105"/>
        </w:rPr>
        <w:t>servicing</w:t>
      </w:r>
      <w:proofErr w:type="gramEnd"/>
      <w:r w:rsidRPr="00283806">
        <w:rPr>
          <w:w w:val="105"/>
        </w:rPr>
        <w:t>.</w:t>
      </w:r>
    </w:p>
    <w:p w14:paraId="39D2CFDF" w14:textId="77777777" w:rsidR="00D67C1E" w:rsidRPr="00283806" w:rsidRDefault="001265CA">
      <w:pPr>
        <w:pStyle w:val="BodyText"/>
        <w:spacing w:line="213" w:lineRule="auto"/>
        <w:ind w:left="143" w:right="125" w:firstLine="180"/>
      </w:pPr>
      <w:r w:rsidRPr="00283806">
        <w:rPr>
          <w:rFonts w:ascii="Book Antiqua"/>
          <w:i/>
          <w:w w:val="105"/>
        </w:rPr>
        <w:t xml:space="preserve">Response: </w:t>
      </w:r>
      <w:r w:rsidRPr="00283806">
        <w:rPr>
          <w:w w:val="105"/>
        </w:rPr>
        <w:t>EPA acknowledges these comments concerning the GWP of</w:t>
      </w:r>
    </w:p>
    <w:p w14:paraId="677D7C0B" w14:textId="77777777" w:rsidR="00D67C1E" w:rsidRPr="00283806" w:rsidRDefault="001265CA">
      <w:pPr>
        <w:pStyle w:val="BodyText"/>
        <w:spacing w:line="225" w:lineRule="auto"/>
        <w:ind w:left="143" w:right="50"/>
      </w:pPr>
      <w:r w:rsidRPr="00283806">
        <w:rPr>
          <w:w w:val="105"/>
        </w:rPr>
        <w:t>refrigerants and basing the provisions</w:t>
      </w:r>
      <w:r w:rsidRPr="00283806">
        <w:rPr>
          <w:spacing w:val="40"/>
          <w:w w:val="105"/>
        </w:rPr>
        <w:t xml:space="preserve"> </w:t>
      </w:r>
      <w:r w:rsidRPr="00283806">
        <w:rPr>
          <w:w w:val="105"/>
        </w:rPr>
        <w:t>for the requirements for reclaimed HFCs with this consideration. Further, EPA understands commenters’ suggested rationale of considering reclaimed refrigerant requirements related to GWP limits established in the 2023</w:t>
      </w:r>
      <w:r w:rsidRPr="00283806">
        <w:rPr>
          <w:spacing w:val="40"/>
          <w:w w:val="105"/>
        </w:rPr>
        <w:t xml:space="preserve"> </w:t>
      </w:r>
      <w:r w:rsidRPr="00283806">
        <w:rPr>
          <w:w w:val="105"/>
        </w:rPr>
        <w:t>Technology Transitions Rule. As noted</w:t>
      </w:r>
      <w:r w:rsidRPr="00283806">
        <w:rPr>
          <w:spacing w:val="80"/>
          <w:w w:val="105"/>
        </w:rPr>
        <w:t xml:space="preserve"> </w:t>
      </w:r>
      <w:r w:rsidRPr="00283806">
        <w:rPr>
          <w:w w:val="105"/>
        </w:rPr>
        <w:t>in previous responses in this section,</w:t>
      </w:r>
      <w:r w:rsidRPr="00283806">
        <w:rPr>
          <w:spacing w:val="40"/>
          <w:w w:val="105"/>
        </w:rPr>
        <w:t xml:space="preserve"> </w:t>
      </w:r>
      <w:r w:rsidRPr="00283806">
        <w:rPr>
          <w:w w:val="105"/>
        </w:rPr>
        <w:t>EPA is not establishing requirements for the initial fill of refrigerant-containing equipment to be done with reclaimed HFCs in this rulemaking. EPA understands that many newer refrigerants (</w:t>
      </w:r>
      <w:r w:rsidRPr="00283806">
        <w:rPr>
          <w:rFonts w:ascii="Book Antiqua" w:hAnsi="Book Antiqua"/>
          <w:i/>
          <w:w w:val="105"/>
        </w:rPr>
        <w:t xml:space="preserve">e.g., </w:t>
      </w:r>
      <w:r w:rsidRPr="00283806">
        <w:rPr>
          <w:w w:val="105"/>
        </w:rPr>
        <w:t>R–448A, R–449A, and R–407A) would be used for the initial</w:t>
      </w:r>
    </w:p>
    <w:p w14:paraId="540CB0A0" w14:textId="77777777" w:rsidR="00D67C1E" w:rsidRPr="00283806" w:rsidRDefault="001265CA">
      <w:pPr>
        <w:pStyle w:val="BodyText"/>
        <w:spacing w:before="133" w:line="228" w:lineRule="auto"/>
        <w:ind w:left="143" w:right="173"/>
      </w:pPr>
      <w:r w:rsidRPr="00283806">
        <w:br w:type="column"/>
      </w:r>
      <w:r w:rsidRPr="00283806">
        <w:rPr>
          <w:w w:val="110"/>
        </w:rPr>
        <w:t xml:space="preserve">fill of new equipment in compliance </w:t>
      </w:r>
      <w:r w:rsidRPr="00283806">
        <w:t>with the restrictions established in the</w:t>
      </w:r>
      <w:r w:rsidRPr="00283806">
        <w:rPr>
          <w:w w:val="110"/>
        </w:rPr>
        <w:t xml:space="preserve"> 2023 Technology Transitions Rule.</w:t>
      </w:r>
    </w:p>
    <w:p w14:paraId="05E0C2EB" w14:textId="77777777" w:rsidR="00D67C1E" w:rsidRPr="00283806" w:rsidRDefault="001265CA">
      <w:pPr>
        <w:pStyle w:val="BodyText"/>
        <w:spacing w:line="228" w:lineRule="auto"/>
        <w:ind w:left="143" w:right="153"/>
      </w:pPr>
      <w:r w:rsidRPr="00283806">
        <w:rPr>
          <w:w w:val="105"/>
        </w:rPr>
        <w:t xml:space="preserve">However, EPA notes that based on reported data from certified reclaimers, newer refrigerants are currently being reclaimed albeit in smaller amounts but as previously noted, those amounts will increase over time. Newer equipment is less likely to require repairs so the </w:t>
      </w:r>
      <w:proofErr w:type="gramStart"/>
      <w:r w:rsidRPr="00283806">
        <w:rPr>
          <w:w w:val="105"/>
        </w:rPr>
        <w:t>amount</w:t>
      </w:r>
      <w:proofErr w:type="gramEnd"/>
      <w:r w:rsidRPr="00283806">
        <w:rPr>
          <w:w w:val="105"/>
        </w:rPr>
        <w:t xml:space="preserve"> of newer refrigerants being reclaimed should </w:t>
      </w:r>
      <w:proofErr w:type="gramStart"/>
      <w:r w:rsidRPr="00283806">
        <w:rPr>
          <w:w w:val="105"/>
        </w:rPr>
        <w:t>comport</w:t>
      </w:r>
      <w:proofErr w:type="gramEnd"/>
      <w:r w:rsidRPr="00283806">
        <w:rPr>
          <w:w w:val="105"/>
        </w:rPr>
        <w:t xml:space="preserve"> with</w:t>
      </w:r>
      <w:r w:rsidRPr="00283806">
        <w:rPr>
          <w:spacing w:val="40"/>
          <w:w w:val="105"/>
        </w:rPr>
        <w:t xml:space="preserve"> </w:t>
      </w:r>
      <w:r w:rsidRPr="00283806">
        <w:rPr>
          <w:w w:val="105"/>
        </w:rPr>
        <w:t>transition to those refrigerants. Also, as noted above, HFC blends can be separated into components and these components can be used in other blends to the extent patents, licensing agreements, and other business relationships allow. As described above, EPA is establishing a reporting requirement that will further inform the provisions for reclaimed HFC refrigerant use in the covered RACHP subsectors.</w:t>
      </w:r>
    </w:p>
    <w:p w14:paraId="1AA26E37" w14:textId="77777777" w:rsidR="00D67C1E" w:rsidRPr="00283806" w:rsidRDefault="001265CA">
      <w:pPr>
        <w:pStyle w:val="BodyText"/>
        <w:spacing w:line="228" w:lineRule="auto"/>
        <w:ind w:left="143"/>
      </w:pPr>
      <w:r w:rsidRPr="00283806">
        <w:rPr>
          <w:w w:val="105"/>
        </w:rPr>
        <w:t>EPA will use the information in these reports to evaluate these provisions.</w:t>
      </w:r>
    </w:p>
    <w:p w14:paraId="646AFA56" w14:textId="77777777" w:rsidR="00D67C1E" w:rsidRPr="00283806" w:rsidRDefault="001265CA">
      <w:pPr>
        <w:pStyle w:val="BodyText"/>
        <w:spacing w:before="28" w:line="228" w:lineRule="auto"/>
        <w:ind w:left="143" w:right="173" w:firstLine="180"/>
      </w:pPr>
      <w:r w:rsidRPr="00283806">
        <w:rPr>
          <w:w w:val="105"/>
        </w:rPr>
        <w:t>EPA is not establishing exclusions based on GWP for the requirements for the servicing and/or repair of refrigerant-containing equipment with reclaimed HFCs in this rulemaking. The Agency disagrees with the suggested GWP level of 1,500 on which to base exclusions, noting among other things, that this would exclude HFC–134a,</w:t>
      </w:r>
      <w:r w:rsidRPr="00283806">
        <w:rPr>
          <w:spacing w:val="40"/>
          <w:w w:val="105"/>
        </w:rPr>
        <w:t xml:space="preserve"> </w:t>
      </w:r>
      <w:r w:rsidRPr="00283806">
        <w:rPr>
          <w:w w:val="105"/>
        </w:rPr>
        <w:t>which</w:t>
      </w:r>
      <w:r w:rsidRPr="00283806">
        <w:rPr>
          <w:spacing w:val="40"/>
          <w:w w:val="105"/>
        </w:rPr>
        <w:t xml:space="preserve"> </w:t>
      </w:r>
      <w:r w:rsidRPr="00283806">
        <w:rPr>
          <w:w w:val="105"/>
        </w:rPr>
        <w:t>by</w:t>
      </w:r>
      <w:r w:rsidRPr="00283806">
        <w:rPr>
          <w:spacing w:val="40"/>
          <w:w w:val="105"/>
        </w:rPr>
        <w:t xml:space="preserve"> </w:t>
      </w:r>
      <w:r w:rsidRPr="00283806">
        <w:rPr>
          <w:w w:val="105"/>
        </w:rPr>
        <w:t>volume</w:t>
      </w:r>
      <w:r w:rsidRPr="00283806">
        <w:rPr>
          <w:spacing w:val="40"/>
          <w:w w:val="105"/>
        </w:rPr>
        <w:t xml:space="preserve"> </w:t>
      </w:r>
      <w:r w:rsidRPr="00283806">
        <w:rPr>
          <w:w w:val="105"/>
        </w:rPr>
        <w:t>is</w:t>
      </w:r>
      <w:r w:rsidRPr="00283806">
        <w:rPr>
          <w:spacing w:val="40"/>
          <w:w w:val="105"/>
        </w:rPr>
        <w:t xml:space="preserve"> </w:t>
      </w:r>
      <w:r w:rsidRPr="00283806">
        <w:rPr>
          <w:w w:val="105"/>
        </w:rPr>
        <w:t>currently</w:t>
      </w:r>
      <w:r w:rsidRPr="00283806">
        <w:rPr>
          <w:spacing w:val="40"/>
          <w:w w:val="105"/>
        </w:rPr>
        <w:t xml:space="preserve"> </w:t>
      </w:r>
      <w:r w:rsidRPr="00283806">
        <w:rPr>
          <w:w w:val="105"/>
        </w:rPr>
        <w:t xml:space="preserve">the second most reclaimed HFC refrigerant, has a GWP of 1,430; </w:t>
      </w:r>
      <w:proofErr w:type="gramStart"/>
      <w:r w:rsidRPr="00283806">
        <w:rPr>
          <w:w w:val="105"/>
        </w:rPr>
        <w:t>thus</w:t>
      </w:r>
      <w:proofErr w:type="gramEnd"/>
      <w:r w:rsidRPr="00283806">
        <w:rPr>
          <w:w w:val="105"/>
        </w:rPr>
        <w:t xml:space="preserve"> supply is not tied to that GWP level. In response to comments on GWP considerations of 2,200 in 2029 and 1,400 in 2034, the Agency notes that </w:t>
      </w:r>
      <w:proofErr w:type="gramStart"/>
      <w:r w:rsidRPr="00283806">
        <w:rPr>
          <w:w w:val="105"/>
        </w:rPr>
        <w:t>similar to</w:t>
      </w:r>
      <w:proofErr w:type="gramEnd"/>
      <w:r w:rsidRPr="00283806">
        <w:rPr>
          <w:w w:val="105"/>
        </w:rPr>
        <w:t xml:space="preserve"> reasons discussed related to the GWP consideration of 1,500, these suggested cut-offs would exclude HFCs that have significant GWP levels. Regarding a</w:t>
      </w:r>
    </w:p>
    <w:p w14:paraId="7712A495" w14:textId="77777777" w:rsidR="00D67C1E" w:rsidRPr="00283806" w:rsidRDefault="001265CA">
      <w:pPr>
        <w:pStyle w:val="BodyText"/>
        <w:spacing w:line="228" w:lineRule="auto"/>
        <w:ind w:left="143" w:right="163"/>
      </w:pPr>
      <w:r w:rsidRPr="00283806">
        <w:rPr>
          <w:w w:val="105"/>
        </w:rPr>
        <w:t xml:space="preserve">GWP of 2,200, this would exclude HFC– 134a, as noted above, and other HFC refrigerants that are currently being reclaimed, including R–407A, R–407C, and R–410A. A GWP-based exclusion of 2,200 would be inappropriate and could discourage the recovery and reclamation of these and other HFC refrigerants and refrigerant blends </w:t>
      </w:r>
      <w:proofErr w:type="gramStart"/>
      <w:r w:rsidRPr="00283806">
        <w:rPr>
          <w:w w:val="105"/>
        </w:rPr>
        <w:t>that</w:t>
      </w:r>
      <w:proofErr w:type="gramEnd"/>
      <w:r w:rsidRPr="00283806">
        <w:rPr>
          <w:w w:val="105"/>
        </w:rPr>
        <w:t xml:space="preserve"> will be important to have available per the established requirements for using reclaimed HFC refrigerants in this rulemaking and as</w:t>
      </w:r>
      <w:r w:rsidRPr="00283806">
        <w:rPr>
          <w:spacing w:val="80"/>
          <w:w w:val="105"/>
        </w:rPr>
        <w:t xml:space="preserve"> </w:t>
      </w:r>
      <w:r w:rsidRPr="00283806">
        <w:rPr>
          <w:w w:val="105"/>
        </w:rPr>
        <w:t>the phasedown progresses. Further, the GWP based exclusion at 1,400 would exclude</w:t>
      </w:r>
      <w:r w:rsidRPr="00283806">
        <w:rPr>
          <w:spacing w:val="40"/>
          <w:w w:val="105"/>
        </w:rPr>
        <w:t xml:space="preserve"> </w:t>
      </w:r>
      <w:r w:rsidRPr="00283806">
        <w:rPr>
          <w:w w:val="105"/>
        </w:rPr>
        <w:t>other</w:t>
      </w:r>
      <w:r w:rsidRPr="00283806">
        <w:rPr>
          <w:spacing w:val="40"/>
          <w:w w:val="105"/>
        </w:rPr>
        <w:t xml:space="preserve"> </w:t>
      </w:r>
      <w:r w:rsidRPr="00283806">
        <w:rPr>
          <w:w w:val="105"/>
        </w:rPr>
        <w:t>HFCs,</w:t>
      </w:r>
      <w:r w:rsidRPr="00283806">
        <w:rPr>
          <w:spacing w:val="40"/>
          <w:w w:val="105"/>
        </w:rPr>
        <w:t xml:space="preserve"> </w:t>
      </w:r>
      <w:r w:rsidRPr="00283806">
        <w:rPr>
          <w:w w:val="105"/>
        </w:rPr>
        <w:t>such</w:t>
      </w:r>
      <w:r w:rsidRPr="00283806">
        <w:rPr>
          <w:spacing w:val="40"/>
          <w:w w:val="105"/>
        </w:rPr>
        <w:t xml:space="preserve"> </w:t>
      </w:r>
      <w:r w:rsidRPr="00283806">
        <w:rPr>
          <w:w w:val="105"/>
        </w:rPr>
        <w:t>as</w:t>
      </w:r>
      <w:r w:rsidRPr="00283806">
        <w:rPr>
          <w:spacing w:val="40"/>
          <w:w w:val="105"/>
        </w:rPr>
        <w:t xml:space="preserve"> </w:t>
      </w:r>
      <w:r w:rsidRPr="00283806">
        <w:rPr>
          <w:w w:val="105"/>
        </w:rPr>
        <w:t>R–448A and R–449A which are used in supermarket systems. A GWP cut-off of 1,400 may discourage efforts to recover and reclaim these refrigerants. In response to comments suggesting the GWP of 700 as the cut-off, which is the GWP threshold used for requirements established for certain sectors and</w:t>
      </w:r>
    </w:p>
    <w:p w14:paraId="2140E530"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7" w:space="40"/>
            <w:col w:w="3501" w:space="39"/>
            <w:col w:w="3623"/>
          </w:cols>
        </w:sectPr>
      </w:pPr>
    </w:p>
    <w:p w14:paraId="51A51C0E" w14:textId="77777777" w:rsidR="00D67C1E" w:rsidRPr="00283806" w:rsidRDefault="001265CA">
      <w:pPr>
        <w:pStyle w:val="BodyText"/>
        <w:spacing w:before="136" w:line="225" w:lineRule="auto"/>
        <w:ind w:right="66"/>
      </w:pPr>
      <w:r w:rsidRPr="00283806">
        <w:rPr>
          <w:w w:val="105"/>
        </w:rPr>
        <w:lastRenderedPageBreak/>
        <w:t xml:space="preserve">subsectors in the 2023 Technology Transitions Rule, EPA notes differences in the statutory provisions in subsections (h) and (i) and maintains that in this final rule, EPA is promulgating requirements maximizing </w:t>
      </w:r>
      <w:r w:rsidRPr="00283806">
        <w:rPr>
          <w:spacing w:val="-2"/>
          <w:w w:val="105"/>
        </w:rPr>
        <w:t>reclamation.</w:t>
      </w:r>
    </w:p>
    <w:p w14:paraId="46323913" w14:textId="77777777" w:rsidR="00D67C1E" w:rsidRPr="00283806" w:rsidRDefault="001265CA">
      <w:pPr>
        <w:pStyle w:val="BodyText"/>
        <w:spacing w:line="178" w:lineRule="exact"/>
        <w:ind w:left="340"/>
      </w:pPr>
      <w:r w:rsidRPr="00283806">
        <w:rPr>
          <w:w w:val="105"/>
        </w:rPr>
        <w:t>EPA</w:t>
      </w:r>
      <w:r w:rsidRPr="00283806">
        <w:rPr>
          <w:spacing w:val="14"/>
          <w:w w:val="105"/>
        </w:rPr>
        <w:t xml:space="preserve"> </w:t>
      </w:r>
      <w:r w:rsidRPr="00283806">
        <w:rPr>
          <w:w w:val="105"/>
        </w:rPr>
        <w:t>acknowledges</w:t>
      </w:r>
      <w:r w:rsidRPr="00283806">
        <w:rPr>
          <w:spacing w:val="15"/>
          <w:w w:val="105"/>
        </w:rPr>
        <w:t xml:space="preserve"> </w:t>
      </w:r>
      <w:r w:rsidRPr="00283806">
        <w:rPr>
          <w:w w:val="105"/>
        </w:rPr>
        <w:t>other</w:t>
      </w:r>
      <w:r w:rsidRPr="00283806">
        <w:rPr>
          <w:spacing w:val="15"/>
          <w:w w:val="105"/>
        </w:rPr>
        <w:t xml:space="preserve"> </w:t>
      </w:r>
      <w:r w:rsidRPr="00283806">
        <w:rPr>
          <w:spacing w:val="-2"/>
          <w:w w:val="105"/>
        </w:rPr>
        <w:t>comments</w:t>
      </w:r>
    </w:p>
    <w:p w14:paraId="0FC46EA3" w14:textId="77777777" w:rsidR="00D67C1E" w:rsidRPr="00283806" w:rsidRDefault="001265CA">
      <w:pPr>
        <w:pStyle w:val="BodyText"/>
        <w:spacing w:before="4" w:line="225" w:lineRule="auto"/>
        <w:ind w:right="57"/>
      </w:pPr>
      <w:r w:rsidRPr="00283806">
        <w:rPr>
          <w:w w:val="105"/>
        </w:rPr>
        <w:t>related to not placing GWP-based limits on the reclaimed HFC refrigerant requirements</w:t>
      </w:r>
      <w:r w:rsidRPr="00283806">
        <w:rPr>
          <w:spacing w:val="-10"/>
          <w:w w:val="105"/>
        </w:rPr>
        <w:t xml:space="preserve"> </w:t>
      </w:r>
      <w:r w:rsidRPr="00283806">
        <w:rPr>
          <w:w w:val="105"/>
        </w:rPr>
        <w:t>for</w:t>
      </w:r>
      <w:r w:rsidRPr="00283806">
        <w:rPr>
          <w:spacing w:val="-10"/>
          <w:w w:val="105"/>
        </w:rPr>
        <w:t xml:space="preserve"> </w:t>
      </w:r>
      <w:r w:rsidRPr="00283806">
        <w:rPr>
          <w:w w:val="105"/>
        </w:rPr>
        <w:t>servicing</w:t>
      </w:r>
      <w:r w:rsidRPr="00283806">
        <w:rPr>
          <w:spacing w:val="-10"/>
          <w:w w:val="105"/>
        </w:rPr>
        <w:t xml:space="preserve"> </w:t>
      </w:r>
      <w:r w:rsidRPr="00283806">
        <w:rPr>
          <w:w w:val="105"/>
        </w:rPr>
        <w:t>and/or</w:t>
      </w:r>
      <w:r w:rsidRPr="00283806">
        <w:rPr>
          <w:spacing w:val="-10"/>
          <w:w w:val="105"/>
        </w:rPr>
        <w:t xml:space="preserve"> </w:t>
      </w:r>
      <w:r w:rsidRPr="00283806">
        <w:rPr>
          <w:w w:val="105"/>
        </w:rPr>
        <w:t>repair of certain refrigerant-containing equipment and the need to protect the useful lifetime of the equipment. The Agency agrees and effectively designed provisions in this rule to avoid</w:t>
      </w:r>
      <w:r w:rsidRPr="00283806">
        <w:rPr>
          <w:spacing w:val="80"/>
          <w:w w:val="105"/>
        </w:rPr>
        <w:t xml:space="preserve"> </w:t>
      </w:r>
      <w:r w:rsidRPr="00283806">
        <w:rPr>
          <w:w w:val="105"/>
        </w:rPr>
        <w:t xml:space="preserve">stranding equipment or forced early retirements. The Agency considered the long and successful use of reclaimed refrigerants as well as some of the longstanding concerns reclaimers have raised with market access and </w:t>
      </w:r>
      <w:r w:rsidRPr="00283806">
        <w:rPr>
          <w:spacing w:val="-2"/>
          <w:w w:val="105"/>
        </w:rPr>
        <w:t>acceptability.</w:t>
      </w:r>
    </w:p>
    <w:p w14:paraId="7DD529CB" w14:textId="77777777" w:rsidR="00D67C1E" w:rsidRPr="00283806" w:rsidRDefault="001265CA">
      <w:pPr>
        <w:pStyle w:val="BodyText"/>
        <w:spacing w:line="175" w:lineRule="exact"/>
        <w:ind w:left="340"/>
      </w:pPr>
      <w:r w:rsidRPr="00283806">
        <w:rPr>
          <w:w w:val="105"/>
        </w:rPr>
        <w:t>As</w:t>
      </w:r>
      <w:r w:rsidRPr="00283806">
        <w:rPr>
          <w:spacing w:val="10"/>
          <w:w w:val="105"/>
        </w:rPr>
        <w:t xml:space="preserve"> </w:t>
      </w:r>
      <w:r w:rsidRPr="00283806">
        <w:rPr>
          <w:w w:val="105"/>
        </w:rPr>
        <w:t>noted</w:t>
      </w:r>
      <w:r w:rsidRPr="00283806">
        <w:rPr>
          <w:spacing w:val="11"/>
          <w:w w:val="105"/>
        </w:rPr>
        <w:t xml:space="preserve"> </w:t>
      </w:r>
      <w:r w:rsidRPr="00283806">
        <w:rPr>
          <w:w w:val="105"/>
        </w:rPr>
        <w:t>in</w:t>
      </w:r>
      <w:r w:rsidRPr="00283806">
        <w:rPr>
          <w:spacing w:val="11"/>
          <w:w w:val="105"/>
        </w:rPr>
        <w:t xml:space="preserve"> </w:t>
      </w:r>
      <w:r w:rsidRPr="00283806">
        <w:rPr>
          <w:w w:val="105"/>
        </w:rPr>
        <w:t>response</w:t>
      </w:r>
      <w:r w:rsidRPr="00283806">
        <w:rPr>
          <w:spacing w:val="11"/>
          <w:w w:val="105"/>
        </w:rPr>
        <w:t xml:space="preserve"> </w:t>
      </w:r>
      <w:r w:rsidRPr="00283806">
        <w:rPr>
          <w:w w:val="105"/>
        </w:rPr>
        <w:t>to</w:t>
      </w:r>
      <w:r w:rsidRPr="00283806">
        <w:rPr>
          <w:spacing w:val="11"/>
          <w:w w:val="105"/>
        </w:rPr>
        <w:t xml:space="preserve"> </w:t>
      </w:r>
      <w:proofErr w:type="gramStart"/>
      <w:r w:rsidRPr="00283806">
        <w:rPr>
          <w:spacing w:val="-4"/>
          <w:w w:val="105"/>
        </w:rPr>
        <w:t>other</w:t>
      </w:r>
      <w:proofErr w:type="gramEnd"/>
    </w:p>
    <w:p w14:paraId="75B154FE" w14:textId="77777777" w:rsidR="00D67C1E" w:rsidRPr="00283806" w:rsidRDefault="001265CA">
      <w:pPr>
        <w:pStyle w:val="BodyText"/>
        <w:spacing w:before="3" w:line="225" w:lineRule="auto"/>
      </w:pPr>
      <w:r w:rsidRPr="00283806">
        <w:rPr>
          <w:w w:val="105"/>
        </w:rPr>
        <w:t>comments, EPA is aware of both patents and certain business arrangements that pertain</w:t>
      </w:r>
      <w:r w:rsidRPr="00283806">
        <w:rPr>
          <w:spacing w:val="-5"/>
          <w:w w:val="105"/>
        </w:rPr>
        <w:t xml:space="preserve"> </w:t>
      </w:r>
      <w:r w:rsidRPr="00283806">
        <w:rPr>
          <w:w w:val="105"/>
        </w:rPr>
        <w:t>to</w:t>
      </w:r>
      <w:r w:rsidRPr="00283806">
        <w:rPr>
          <w:spacing w:val="-5"/>
          <w:w w:val="105"/>
        </w:rPr>
        <w:t xml:space="preserve"> </w:t>
      </w:r>
      <w:r w:rsidRPr="00283806">
        <w:rPr>
          <w:w w:val="105"/>
        </w:rPr>
        <w:t>certain</w:t>
      </w:r>
      <w:r w:rsidRPr="00283806">
        <w:rPr>
          <w:spacing w:val="-5"/>
          <w:w w:val="105"/>
        </w:rPr>
        <w:t xml:space="preserve"> </w:t>
      </w:r>
      <w:r w:rsidRPr="00283806">
        <w:rPr>
          <w:w w:val="105"/>
        </w:rPr>
        <w:t>newer</w:t>
      </w:r>
      <w:r w:rsidRPr="00283806">
        <w:rPr>
          <w:spacing w:val="-5"/>
          <w:w w:val="105"/>
        </w:rPr>
        <w:t xml:space="preserve"> </w:t>
      </w:r>
      <w:r w:rsidRPr="00283806">
        <w:rPr>
          <w:w w:val="105"/>
        </w:rPr>
        <w:t>refrigerants</w:t>
      </w:r>
      <w:r w:rsidRPr="00283806">
        <w:rPr>
          <w:spacing w:val="-5"/>
          <w:w w:val="105"/>
        </w:rPr>
        <w:t xml:space="preserve"> </w:t>
      </w:r>
      <w:r w:rsidRPr="00283806">
        <w:rPr>
          <w:w w:val="105"/>
        </w:rPr>
        <w:t>and notes the changes between proposal and the final rule.</w:t>
      </w:r>
    </w:p>
    <w:p w14:paraId="2F16850B" w14:textId="77777777" w:rsidR="00D67C1E" w:rsidRPr="00283806" w:rsidRDefault="001265CA">
      <w:pPr>
        <w:spacing w:line="184" w:lineRule="exact"/>
        <w:ind w:left="340"/>
        <w:rPr>
          <w:sz w:val="18"/>
        </w:rPr>
      </w:pPr>
      <w:r w:rsidRPr="00283806">
        <w:rPr>
          <w:rFonts w:ascii="Book Antiqua"/>
          <w:i/>
          <w:w w:val="105"/>
          <w:sz w:val="18"/>
        </w:rPr>
        <w:t>Comment:</w:t>
      </w:r>
      <w:r w:rsidRPr="00283806">
        <w:rPr>
          <w:rFonts w:ascii="Book Antiqua"/>
          <w:i/>
          <w:spacing w:val="34"/>
          <w:w w:val="105"/>
          <w:sz w:val="18"/>
        </w:rPr>
        <w:t xml:space="preserve"> </w:t>
      </w:r>
      <w:r w:rsidRPr="00283806">
        <w:rPr>
          <w:w w:val="105"/>
          <w:sz w:val="18"/>
        </w:rPr>
        <w:t>Another</w:t>
      </w:r>
      <w:r w:rsidRPr="00283806">
        <w:rPr>
          <w:spacing w:val="40"/>
          <w:w w:val="105"/>
          <w:sz w:val="18"/>
        </w:rPr>
        <w:t xml:space="preserve"> </w:t>
      </w:r>
      <w:r w:rsidRPr="00283806">
        <w:rPr>
          <w:spacing w:val="-2"/>
          <w:w w:val="105"/>
          <w:sz w:val="18"/>
        </w:rPr>
        <w:t>commenter</w:t>
      </w:r>
    </w:p>
    <w:p w14:paraId="0DFAB8B6" w14:textId="77777777" w:rsidR="00D67C1E" w:rsidRPr="00283806" w:rsidRDefault="001265CA">
      <w:pPr>
        <w:pStyle w:val="BodyText"/>
        <w:spacing w:line="225" w:lineRule="auto"/>
      </w:pPr>
      <w:r w:rsidRPr="00283806">
        <w:rPr>
          <w:w w:val="105"/>
        </w:rPr>
        <w:t>requested that the reclaim mandate be limited to refrigerants with GWPs</w:t>
      </w:r>
      <w:r w:rsidRPr="00283806">
        <w:rPr>
          <w:spacing w:val="40"/>
          <w:w w:val="105"/>
        </w:rPr>
        <w:t xml:space="preserve"> </w:t>
      </w:r>
      <w:r w:rsidRPr="00283806">
        <w:rPr>
          <w:w w:val="105"/>
        </w:rPr>
        <w:t>greater than 1,500. The commenter stated that it will be very challenging to meet the food retail industry’s need for reclaimed R–404A in 2028 and</w:t>
      </w:r>
      <w:r w:rsidRPr="00283806">
        <w:rPr>
          <w:spacing w:val="80"/>
          <w:w w:val="150"/>
        </w:rPr>
        <w:t xml:space="preserve"> </w:t>
      </w:r>
      <w:r w:rsidRPr="00283806">
        <w:rPr>
          <w:w w:val="105"/>
        </w:rPr>
        <w:t>proposed that the mandate be</w:t>
      </w:r>
      <w:r w:rsidRPr="00283806">
        <w:rPr>
          <w:spacing w:val="80"/>
          <w:w w:val="105"/>
        </w:rPr>
        <w:t xml:space="preserve"> </w:t>
      </w:r>
      <w:r w:rsidRPr="00283806">
        <w:rPr>
          <w:w w:val="105"/>
        </w:rPr>
        <w:t>postponed until 2030 at the earliest to avoid the certainty of commercial</w:t>
      </w:r>
      <w:r w:rsidRPr="00283806">
        <w:rPr>
          <w:spacing w:val="80"/>
          <w:w w:val="105"/>
        </w:rPr>
        <w:t xml:space="preserve"> </w:t>
      </w:r>
      <w:r w:rsidRPr="00283806">
        <w:rPr>
          <w:w w:val="105"/>
        </w:rPr>
        <w:t>system shutdowns due to lack of refrigerant for servicing. The commenter stated that while the existing reclaim banks of all HFCs are currently inadequate to meet a servicing tail need in 2028, exempting refrigerants with GWPs less than 1,500 from the reclaim mandate would serve to accelerate retrofits out of high-GWP refrigerants into HFC/HFO blend refrigerants like R– 448A</w:t>
      </w:r>
      <w:r w:rsidRPr="00283806">
        <w:rPr>
          <w:spacing w:val="40"/>
          <w:w w:val="105"/>
        </w:rPr>
        <w:t xml:space="preserve"> </w:t>
      </w:r>
      <w:r w:rsidRPr="00283806">
        <w:rPr>
          <w:w w:val="105"/>
        </w:rPr>
        <w:t>and</w:t>
      </w:r>
      <w:r w:rsidRPr="00283806">
        <w:rPr>
          <w:spacing w:val="40"/>
          <w:w w:val="105"/>
        </w:rPr>
        <w:t xml:space="preserve"> </w:t>
      </w:r>
      <w:r w:rsidRPr="00283806">
        <w:rPr>
          <w:w w:val="105"/>
        </w:rPr>
        <w:t>R–449A,</w:t>
      </w:r>
      <w:r w:rsidRPr="00283806">
        <w:rPr>
          <w:spacing w:val="40"/>
          <w:w w:val="105"/>
        </w:rPr>
        <w:t xml:space="preserve"> </w:t>
      </w:r>
      <w:r w:rsidRPr="00283806">
        <w:rPr>
          <w:w w:val="105"/>
        </w:rPr>
        <w:t>which</w:t>
      </w:r>
      <w:r w:rsidRPr="00283806">
        <w:rPr>
          <w:spacing w:val="40"/>
          <w:w w:val="105"/>
        </w:rPr>
        <w:t xml:space="preserve"> </w:t>
      </w:r>
      <w:r w:rsidRPr="00283806">
        <w:rPr>
          <w:w w:val="105"/>
        </w:rPr>
        <w:t>would</w:t>
      </w:r>
      <w:r w:rsidRPr="00283806">
        <w:rPr>
          <w:spacing w:val="40"/>
          <w:w w:val="105"/>
        </w:rPr>
        <w:t xml:space="preserve"> </w:t>
      </w:r>
      <w:r w:rsidRPr="00283806">
        <w:rPr>
          <w:w w:val="105"/>
        </w:rPr>
        <w:t>serve to quickly increase the amount of R– 404A and R–507A especially. The commenter further claimed that</w:t>
      </w:r>
      <w:r w:rsidRPr="00283806">
        <w:rPr>
          <w:spacing w:val="40"/>
          <w:w w:val="105"/>
        </w:rPr>
        <w:t xml:space="preserve"> </w:t>
      </w:r>
      <w:r w:rsidRPr="00283806">
        <w:rPr>
          <w:w w:val="105"/>
        </w:rPr>
        <w:t>including refrigerants like R–448A/R– 449A in the reclaim mandate would remove all motivation for food retailers to retrofit high-GWP R–404A systems to R–448A or R–449A. The commenter stated that if it is clear when this regulation is finalized if there will be a way to service or maintain existing R– 448A or R–449A equipment because if there are no reclaimed refrigerant available, food retailers will</w:t>
      </w:r>
    </w:p>
    <w:p w14:paraId="668CDD0E" w14:textId="77777777" w:rsidR="00D67C1E" w:rsidRPr="00283806" w:rsidRDefault="001265CA">
      <w:pPr>
        <w:pStyle w:val="BodyText"/>
        <w:spacing w:before="134" w:line="228" w:lineRule="auto"/>
        <w:ind w:left="153"/>
      </w:pPr>
      <w:r w:rsidRPr="00283806">
        <w:br w:type="column"/>
      </w:r>
      <w:r w:rsidRPr="00283806">
        <w:rPr>
          <w:w w:val="105"/>
        </w:rPr>
        <w:t>maintenance. The commenter also noted that R–448A and R–449A are used today in</w:t>
      </w:r>
      <w:r w:rsidRPr="00283806">
        <w:rPr>
          <w:spacing w:val="40"/>
          <w:w w:val="105"/>
        </w:rPr>
        <w:t xml:space="preserve"> </w:t>
      </w:r>
      <w:r w:rsidRPr="00283806">
        <w:rPr>
          <w:w w:val="105"/>
        </w:rPr>
        <w:t>new</w:t>
      </w:r>
      <w:r w:rsidRPr="00283806">
        <w:rPr>
          <w:spacing w:val="40"/>
          <w:w w:val="105"/>
        </w:rPr>
        <w:t xml:space="preserve"> </w:t>
      </w:r>
      <w:r w:rsidRPr="00283806">
        <w:rPr>
          <w:w w:val="105"/>
        </w:rPr>
        <w:t>appliances,</w:t>
      </w:r>
      <w:r w:rsidRPr="00283806">
        <w:rPr>
          <w:spacing w:val="40"/>
          <w:w w:val="105"/>
        </w:rPr>
        <w:t xml:space="preserve"> </w:t>
      </w:r>
      <w:r w:rsidRPr="00283806">
        <w:rPr>
          <w:w w:val="105"/>
        </w:rPr>
        <w:t>which</w:t>
      </w:r>
      <w:r w:rsidRPr="00283806">
        <w:rPr>
          <w:spacing w:val="40"/>
          <w:w w:val="105"/>
        </w:rPr>
        <w:t xml:space="preserve"> </w:t>
      </w:r>
      <w:r w:rsidRPr="00283806">
        <w:rPr>
          <w:w w:val="105"/>
        </w:rPr>
        <w:t>are</w:t>
      </w:r>
      <w:r w:rsidRPr="00283806">
        <w:rPr>
          <w:spacing w:val="40"/>
          <w:w w:val="105"/>
        </w:rPr>
        <w:t xml:space="preserve"> </w:t>
      </w:r>
      <w:r w:rsidRPr="00283806">
        <w:rPr>
          <w:w w:val="105"/>
        </w:rPr>
        <w:t>unlikely to reach their EOL until 2035–2040 at</w:t>
      </w:r>
      <w:r w:rsidRPr="00283806">
        <w:rPr>
          <w:spacing w:val="80"/>
          <w:w w:val="105"/>
        </w:rPr>
        <w:t xml:space="preserve"> </w:t>
      </w:r>
      <w:r w:rsidRPr="00283806">
        <w:rPr>
          <w:w w:val="105"/>
        </w:rPr>
        <w:t>the earliest. The commenter stated that refrigerant is reclaimed at the EOL, so</w:t>
      </w:r>
      <w:r w:rsidRPr="00283806">
        <w:rPr>
          <w:spacing w:val="80"/>
          <w:w w:val="105"/>
        </w:rPr>
        <w:t xml:space="preserve"> </w:t>
      </w:r>
      <w:r w:rsidRPr="00283806">
        <w:rPr>
          <w:w w:val="105"/>
        </w:rPr>
        <w:t>the only opportunity to establish banks</w:t>
      </w:r>
      <w:r w:rsidRPr="00283806">
        <w:rPr>
          <w:spacing w:val="40"/>
          <w:w w:val="105"/>
        </w:rPr>
        <w:t xml:space="preserve"> </w:t>
      </w:r>
      <w:r w:rsidRPr="00283806">
        <w:rPr>
          <w:w w:val="105"/>
        </w:rPr>
        <w:t>of reclaimed refrigerant is when a new generation of appliances using those refrigerants begin to be retired. The commenter noted that, while it is true that there are older appliance retrofits being carried out that use R–448A and R–449A, retrofitted appliances can be expected to continue to operate at least for an additional 10 years after the retrofit;</w:t>
      </w:r>
      <w:r w:rsidRPr="00283806">
        <w:rPr>
          <w:spacing w:val="-2"/>
          <w:w w:val="105"/>
        </w:rPr>
        <w:t xml:space="preserve"> </w:t>
      </w:r>
      <w:r w:rsidRPr="00283806">
        <w:rPr>
          <w:w w:val="105"/>
        </w:rPr>
        <w:t>otherwise,</w:t>
      </w:r>
      <w:r w:rsidRPr="00283806">
        <w:rPr>
          <w:spacing w:val="-2"/>
          <w:w w:val="105"/>
        </w:rPr>
        <w:t xml:space="preserve"> </w:t>
      </w:r>
      <w:r w:rsidRPr="00283806">
        <w:rPr>
          <w:w w:val="105"/>
        </w:rPr>
        <w:t>the</w:t>
      </w:r>
      <w:r w:rsidRPr="00283806">
        <w:rPr>
          <w:spacing w:val="-2"/>
          <w:w w:val="105"/>
        </w:rPr>
        <w:t xml:space="preserve"> </w:t>
      </w:r>
      <w:r w:rsidRPr="00283806">
        <w:rPr>
          <w:w w:val="105"/>
        </w:rPr>
        <w:t>cost</w:t>
      </w:r>
      <w:r w:rsidRPr="00283806">
        <w:rPr>
          <w:spacing w:val="-2"/>
          <w:w w:val="105"/>
        </w:rPr>
        <w:t xml:space="preserve"> </w:t>
      </w:r>
      <w:r w:rsidRPr="00283806">
        <w:rPr>
          <w:w w:val="105"/>
        </w:rPr>
        <w:t>of</w:t>
      </w:r>
      <w:r w:rsidRPr="00283806">
        <w:rPr>
          <w:spacing w:val="-2"/>
          <w:w w:val="105"/>
        </w:rPr>
        <w:t xml:space="preserve"> </w:t>
      </w:r>
      <w:r w:rsidRPr="00283806">
        <w:rPr>
          <w:w w:val="105"/>
        </w:rPr>
        <w:t>the</w:t>
      </w:r>
      <w:r w:rsidRPr="00283806">
        <w:rPr>
          <w:spacing w:val="-2"/>
          <w:w w:val="105"/>
        </w:rPr>
        <w:t xml:space="preserve"> </w:t>
      </w:r>
      <w:r w:rsidRPr="00283806">
        <w:rPr>
          <w:w w:val="105"/>
        </w:rPr>
        <w:t>retrofit cannot be justified.</w:t>
      </w:r>
    </w:p>
    <w:p w14:paraId="4509521B" w14:textId="77777777" w:rsidR="00D67C1E" w:rsidRPr="00283806" w:rsidRDefault="001265CA">
      <w:pPr>
        <w:pStyle w:val="BodyText"/>
        <w:spacing w:before="67" w:line="228" w:lineRule="auto"/>
        <w:ind w:left="153" w:right="46" w:firstLine="180"/>
      </w:pPr>
      <w:r w:rsidRPr="00283806">
        <w:rPr>
          <w:rFonts w:ascii="Book Antiqua"/>
          <w:i/>
          <w:w w:val="105"/>
        </w:rPr>
        <w:t xml:space="preserve">Response: </w:t>
      </w:r>
      <w:r w:rsidRPr="00283806">
        <w:rPr>
          <w:w w:val="105"/>
        </w:rPr>
        <w:t>EPA responds and refers to the discussion in the previous response</w:t>
      </w:r>
      <w:r w:rsidRPr="00283806">
        <w:rPr>
          <w:spacing w:val="40"/>
          <w:w w:val="105"/>
        </w:rPr>
        <w:t xml:space="preserve"> </w:t>
      </w:r>
      <w:r w:rsidRPr="00283806">
        <w:rPr>
          <w:w w:val="105"/>
        </w:rPr>
        <w:t>of this section related to a GWP-based exclusion for the reclaimed HFC refrigerant requirements at a GWP of 1,500.</w:t>
      </w:r>
      <w:r w:rsidRPr="00283806">
        <w:rPr>
          <w:spacing w:val="40"/>
          <w:w w:val="105"/>
        </w:rPr>
        <w:t xml:space="preserve"> </w:t>
      </w:r>
      <w:r w:rsidRPr="00283806">
        <w:rPr>
          <w:w w:val="105"/>
        </w:rPr>
        <w:t>Further,</w:t>
      </w:r>
      <w:r w:rsidRPr="00283806">
        <w:rPr>
          <w:spacing w:val="40"/>
          <w:w w:val="105"/>
        </w:rPr>
        <w:t xml:space="preserve"> </w:t>
      </w:r>
      <w:r w:rsidRPr="00283806">
        <w:rPr>
          <w:w w:val="105"/>
        </w:rPr>
        <w:t>the</w:t>
      </w:r>
      <w:r w:rsidRPr="00283806">
        <w:rPr>
          <w:spacing w:val="40"/>
          <w:w w:val="105"/>
        </w:rPr>
        <w:t xml:space="preserve"> </w:t>
      </w:r>
      <w:r w:rsidRPr="00283806">
        <w:rPr>
          <w:w w:val="105"/>
        </w:rPr>
        <w:t>Agency</w:t>
      </w:r>
      <w:r w:rsidRPr="00283806">
        <w:rPr>
          <w:spacing w:val="40"/>
          <w:w w:val="105"/>
        </w:rPr>
        <w:t xml:space="preserve"> </w:t>
      </w:r>
      <w:r w:rsidRPr="00283806">
        <w:rPr>
          <w:w w:val="105"/>
        </w:rPr>
        <w:t>notes</w:t>
      </w:r>
      <w:r w:rsidRPr="00283806">
        <w:rPr>
          <w:spacing w:val="40"/>
          <w:w w:val="105"/>
        </w:rPr>
        <w:t xml:space="preserve"> </w:t>
      </w:r>
      <w:r w:rsidRPr="00283806">
        <w:rPr>
          <w:w w:val="105"/>
        </w:rPr>
        <w:t>that the requirement for the servicing and/or repair of certain refrigerant-containing equipment</w:t>
      </w:r>
      <w:r w:rsidRPr="00283806">
        <w:rPr>
          <w:spacing w:val="40"/>
          <w:w w:val="105"/>
        </w:rPr>
        <w:t xml:space="preserve"> </w:t>
      </w:r>
      <w:r w:rsidRPr="00283806">
        <w:rPr>
          <w:w w:val="105"/>
        </w:rPr>
        <w:t>with</w:t>
      </w:r>
      <w:r w:rsidRPr="00283806">
        <w:rPr>
          <w:spacing w:val="40"/>
          <w:w w:val="105"/>
        </w:rPr>
        <w:t xml:space="preserve"> </w:t>
      </w:r>
      <w:r w:rsidRPr="00283806">
        <w:rPr>
          <w:w w:val="105"/>
        </w:rPr>
        <w:t>reclaimed</w:t>
      </w:r>
      <w:r w:rsidRPr="00283806">
        <w:rPr>
          <w:spacing w:val="40"/>
          <w:w w:val="105"/>
        </w:rPr>
        <w:t xml:space="preserve"> </w:t>
      </w:r>
      <w:r w:rsidRPr="00283806">
        <w:rPr>
          <w:w w:val="105"/>
        </w:rPr>
        <w:t>HFCs</w:t>
      </w:r>
      <w:r w:rsidRPr="00283806">
        <w:rPr>
          <w:spacing w:val="40"/>
          <w:w w:val="105"/>
        </w:rPr>
        <w:t xml:space="preserve"> </w:t>
      </w:r>
      <w:r w:rsidRPr="00283806">
        <w:rPr>
          <w:w w:val="105"/>
        </w:rPr>
        <w:t>is being delayed by one year to January 1, 2029.</w:t>
      </w:r>
      <w:r w:rsidRPr="00283806">
        <w:rPr>
          <w:spacing w:val="40"/>
          <w:w w:val="105"/>
        </w:rPr>
        <w:t xml:space="preserve"> </w:t>
      </w:r>
      <w:r w:rsidRPr="00283806">
        <w:rPr>
          <w:w w:val="105"/>
        </w:rPr>
        <w:t>EPA</w:t>
      </w:r>
      <w:r w:rsidRPr="00283806">
        <w:rPr>
          <w:spacing w:val="40"/>
          <w:w w:val="105"/>
        </w:rPr>
        <w:t xml:space="preserve"> </w:t>
      </w:r>
      <w:r w:rsidRPr="00283806">
        <w:rPr>
          <w:w w:val="105"/>
        </w:rPr>
        <w:t>also</w:t>
      </w:r>
      <w:r w:rsidRPr="00283806">
        <w:rPr>
          <w:spacing w:val="40"/>
          <w:w w:val="105"/>
        </w:rPr>
        <w:t xml:space="preserve"> </w:t>
      </w:r>
      <w:r w:rsidRPr="00283806">
        <w:rPr>
          <w:w w:val="105"/>
        </w:rPr>
        <w:t>responds,</w:t>
      </w:r>
      <w:r w:rsidRPr="00283806">
        <w:rPr>
          <w:spacing w:val="40"/>
          <w:w w:val="105"/>
        </w:rPr>
        <w:t xml:space="preserve"> </w:t>
      </w:r>
      <w:r w:rsidRPr="00283806">
        <w:rPr>
          <w:w w:val="105"/>
        </w:rPr>
        <w:t>as</w:t>
      </w:r>
      <w:r w:rsidRPr="00283806">
        <w:rPr>
          <w:spacing w:val="40"/>
          <w:w w:val="105"/>
        </w:rPr>
        <w:t xml:space="preserve"> </w:t>
      </w:r>
      <w:r w:rsidRPr="00283806">
        <w:rPr>
          <w:w w:val="105"/>
        </w:rPr>
        <w:t>explained in</w:t>
      </w:r>
      <w:r w:rsidRPr="00283806">
        <w:rPr>
          <w:spacing w:val="40"/>
          <w:w w:val="105"/>
        </w:rPr>
        <w:t xml:space="preserve"> </w:t>
      </w:r>
      <w:r w:rsidRPr="00283806">
        <w:rPr>
          <w:w w:val="105"/>
        </w:rPr>
        <w:t>prior</w:t>
      </w:r>
      <w:r w:rsidRPr="00283806">
        <w:rPr>
          <w:spacing w:val="40"/>
          <w:w w:val="105"/>
        </w:rPr>
        <w:t xml:space="preserve"> </w:t>
      </w:r>
      <w:r w:rsidRPr="00283806">
        <w:rPr>
          <w:w w:val="105"/>
        </w:rPr>
        <w:t>responses,</w:t>
      </w:r>
      <w:r w:rsidRPr="00283806">
        <w:rPr>
          <w:spacing w:val="40"/>
          <w:w w:val="105"/>
        </w:rPr>
        <w:t xml:space="preserve"> </w:t>
      </w:r>
      <w:r w:rsidRPr="00283806">
        <w:rPr>
          <w:w w:val="105"/>
        </w:rPr>
        <w:t>that</w:t>
      </w:r>
      <w:r w:rsidRPr="00283806">
        <w:rPr>
          <w:spacing w:val="40"/>
          <w:w w:val="105"/>
        </w:rPr>
        <w:t xml:space="preserve"> </w:t>
      </w:r>
      <w:r w:rsidRPr="00283806">
        <w:rPr>
          <w:w w:val="105"/>
        </w:rPr>
        <w:t>the</w:t>
      </w:r>
      <w:r w:rsidRPr="00283806">
        <w:rPr>
          <w:spacing w:val="40"/>
          <w:w w:val="105"/>
        </w:rPr>
        <w:t xml:space="preserve"> </w:t>
      </w:r>
      <w:r w:rsidRPr="00283806">
        <w:rPr>
          <w:w w:val="105"/>
        </w:rPr>
        <w:t>Agency</w:t>
      </w:r>
      <w:r w:rsidRPr="00283806">
        <w:rPr>
          <w:spacing w:val="40"/>
          <w:w w:val="105"/>
        </w:rPr>
        <w:t xml:space="preserve"> </w:t>
      </w:r>
      <w:r w:rsidRPr="00283806">
        <w:rPr>
          <w:w w:val="105"/>
        </w:rPr>
        <w:t xml:space="preserve">is not establishing requirements for the initial </w:t>
      </w:r>
      <w:proofErr w:type="gramStart"/>
      <w:r w:rsidRPr="00283806">
        <w:rPr>
          <w:w w:val="105"/>
        </w:rPr>
        <w:t>fill</w:t>
      </w:r>
      <w:proofErr w:type="gramEnd"/>
      <w:r w:rsidRPr="00283806">
        <w:rPr>
          <w:w w:val="105"/>
        </w:rPr>
        <w:t xml:space="preserve"> of certain refrigerant- containing equipment with reclaimed HFCs in this rulemaking. Thus,</w:t>
      </w:r>
      <w:r w:rsidRPr="00283806">
        <w:rPr>
          <w:spacing w:val="40"/>
          <w:w w:val="105"/>
        </w:rPr>
        <w:t xml:space="preserve"> </w:t>
      </w:r>
      <w:r w:rsidRPr="00283806">
        <w:rPr>
          <w:w w:val="105"/>
        </w:rPr>
        <w:t>decreasing the estimated need for</w:t>
      </w:r>
      <w:r w:rsidRPr="00283806">
        <w:rPr>
          <w:spacing w:val="80"/>
          <w:w w:val="105"/>
        </w:rPr>
        <w:t xml:space="preserve"> </w:t>
      </w:r>
      <w:r w:rsidRPr="00283806">
        <w:rPr>
          <w:w w:val="105"/>
        </w:rPr>
        <w:t>supply of reclaimed HFCs needed to</w:t>
      </w:r>
      <w:r w:rsidRPr="00283806">
        <w:rPr>
          <w:spacing w:val="80"/>
          <w:w w:val="105"/>
        </w:rPr>
        <w:t xml:space="preserve"> </w:t>
      </w:r>
      <w:r w:rsidRPr="00283806">
        <w:rPr>
          <w:w w:val="105"/>
        </w:rPr>
        <w:t>meet those provisions and</w:t>
      </w:r>
      <w:proofErr w:type="gramStart"/>
      <w:r w:rsidRPr="00283806">
        <w:rPr>
          <w:w w:val="105"/>
        </w:rPr>
        <w:t>, in particular, the</w:t>
      </w:r>
      <w:proofErr w:type="gramEnd"/>
      <w:r w:rsidRPr="00283806">
        <w:rPr>
          <w:w w:val="105"/>
        </w:rPr>
        <w:t xml:space="preserve"> reclaimed HFC or HFC blend refrigerants discussed in this comment.</w:t>
      </w:r>
    </w:p>
    <w:p w14:paraId="119F9E7E" w14:textId="77777777" w:rsidR="00D67C1E" w:rsidRPr="00283806" w:rsidRDefault="001265CA">
      <w:pPr>
        <w:pStyle w:val="BodyText"/>
        <w:spacing w:before="44" w:line="228" w:lineRule="auto"/>
        <w:ind w:left="153" w:right="1" w:firstLine="180"/>
      </w:pPr>
      <w:r w:rsidRPr="00283806">
        <w:rPr>
          <w:w w:val="105"/>
        </w:rPr>
        <w:t>EPA responds that setting such a GWP limit may have the opposite effect and that by not including all HFC-containing refrigerants based on a GWP limit, there would be less incentive to recover and reclaim</w:t>
      </w:r>
      <w:r w:rsidRPr="00283806">
        <w:rPr>
          <w:spacing w:val="40"/>
          <w:w w:val="105"/>
        </w:rPr>
        <w:t xml:space="preserve"> </w:t>
      </w:r>
      <w:r w:rsidRPr="00283806">
        <w:rPr>
          <w:w w:val="105"/>
        </w:rPr>
        <w:t>these</w:t>
      </w:r>
      <w:r w:rsidRPr="00283806">
        <w:rPr>
          <w:spacing w:val="40"/>
          <w:w w:val="105"/>
        </w:rPr>
        <w:t xml:space="preserve"> </w:t>
      </w:r>
      <w:r w:rsidRPr="00283806">
        <w:rPr>
          <w:w w:val="105"/>
        </w:rPr>
        <w:t>blends.</w:t>
      </w:r>
      <w:r w:rsidRPr="00283806">
        <w:rPr>
          <w:spacing w:val="40"/>
          <w:w w:val="105"/>
        </w:rPr>
        <w:t xml:space="preserve"> </w:t>
      </w:r>
      <w:r w:rsidRPr="00283806">
        <w:rPr>
          <w:w w:val="105"/>
        </w:rPr>
        <w:t>If</w:t>
      </w:r>
      <w:r w:rsidRPr="00283806">
        <w:rPr>
          <w:spacing w:val="40"/>
          <w:w w:val="105"/>
        </w:rPr>
        <w:t xml:space="preserve"> </w:t>
      </w:r>
      <w:r w:rsidRPr="00283806">
        <w:rPr>
          <w:w w:val="105"/>
        </w:rPr>
        <w:t>the requirements were established such that R–448A and R–449A, for example, were exempted from the requirements for servicing and/or repair of certain refrigerant-containing equipment with reclaimed HFCs, there could be less incentive to properly recover these blends for future reclamation. Based on data reported to EPA on reclamation totals, these blends are currently being reclaimed to a degree, as are their components. EPA notes that while these or other newer blends may be under patent, the Agency is aware that, on a global basis,</w:t>
      </w:r>
      <w:r w:rsidRPr="00283806">
        <w:rPr>
          <w:rFonts w:ascii="Times New Roman" w:hAnsi="Times New Roman"/>
          <w:w w:val="105"/>
          <w:position w:val="4"/>
          <w:sz w:val="11"/>
        </w:rPr>
        <w:t>108 109</w:t>
      </w:r>
      <w:r w:rsidRPr="00283806">
        <w:rPr>
          <w:rFonts w:ascii="Times New Roman" w:hAnsi="Times New Roman"/>
          <w:spacing w:val="40"/>
          <w:w w:val="105"/>
          <w:position w:val="4"/>
          <w:sz w:val="11"/>
        </w:rPr>
        <w:t xml:space="preserve"> </w:t>
      </w:r>
      <w:r w:rsidRPr="00283806">
        <w:rPr>
          <w:w w:val="105"/>
        </w:rPr>
        <w:t>there are certain</w:t>
      </w:r>
    </w:p>
    <w:p w14:paraId="33900298" w14:textId="77777777" w:rsidR="00D67C1E" w:rsidRPr="00283806" w:rsidRDefault="001265CA">
      <w:pPr>
        <w:pStyle w:val="BodyText"/>
        <w:spacing w:before="4"/>
        <w:ind w:left="0"/>
        <w:rPr>
          <w:sz w:val="11"/>
        </w:rPr>
      </w:pPr>
      <w:r w:rsidRPr="00283806">
        <w:rPr>
          <w:noProof/>
        </w:rPr>
        <mc:AlternateContent>
          <mc:Choice Requires="wps">
            <w:drawing>
              <wp:anchor distT="0" distB="0" distL="0" distR="0" simplePos="0" relativeHeight="251660288" behindDoc="1" locked="0" layoutInCell="1" allowOverlap="1" wp14:anchorId="5DE145AF" wp14:editId="49877897">
                <wp:simplePos x="0" y="0"/>
                <wp:positionH relativeFrom="page">
                  <wp:posOffset>2819400</wp:posOffset>
                </wp:positionH>
                <wp:positionV relativeFrom="paragraph">
                  <wp:posOffset>99669</wp:posOffset>
                </wp:positionV>
                <wp:extent cx="635000" cy="1270"/>
                <wp:effectExtent l="0" t="0" r="0" b="0"/>
                <wp:wrapTopAndBottom/>
                <wp:docPr id="92" name="Graphic 9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0C9151" id="Graphic 92" o:spid="_x0000_s1026" alt="&quot;&quot;" style="position:absolute;margin-left:222pt;margin-top:7.85pt;width:50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" path="m,l635000,e" filled="f" strokeweight=".5pt">
                <v:path arrowok="t"/>
                <w10:wrap type="topAndBottom" anchorx="page"/>
              </v:shape>
            </w:pict>
          </mc:Fallback>
        </mc:AlternateContent>
      </w:r>
    </w:p>
    <w:p w14:paraId="36C04B40" w14:textId="77777777" w:rsidR="00D67C1E" w:rsidRPr="00283806" w:rsidRDefault="001265CA">
      <w:pPr>
        <w:spacing w:before="6" w:line="232" w:lineRule="auto"/>
        <w:ind w:left="153" w:firstLine="140"/>
        <w:rPr>
          <w:sz w:val="14"/>
        </w:rPr>
      </w:pPr>
      <w:r w:rsidRPr="00283806">
        <w:rPr>
          <w:w w:val="105"/>
          <w:position w:val="4"/>
          <w:sz w:val="9"/>
        </w:rPr>
        <w:t xml:space="preserve">108 </w:t>
      </w:r>
      <w:r w:rsidRPr="00283806">
        <w:rPr>
          <w:w w:val="105"/>
          <w:sz w:val="14"/>
        </w:rPr>
        <w:t>Chemours and Honeywell Announce Program</w:t>
      </w:r>
      <w:r w:rsidRPr="00283806">
        <w:rPr>
          <w:spacing w:val="80"/>
          <w:w w:val="105"/>
          <w:sz w:val="14"/>
        </w:rPr>
        <w:t xml:space="preserve"> </w:t>
      </w:r>
      <w:r w:rsidRPr="00283806">
        <w:rPr>
          <w:w w:val="105"/>
          <w:sz w:val="14"/>
        </w:rPr>
        <w:t>to</w:t>
      </w:r>
      <w:r w:rsidRPr="00283806">
        <w:rPr>
          <w:spacing w:val="12"/>
          <w:w w:val="105"/>
          <w:sz w:val="14"/>
        </w:rPr>
        <w:t xml:space="preserve"> </w:t>
      </w:r>
      <w:r w:rsidRPr="00283806">
        <w:rPr>
          <w:w w:val="105"/>
          <w:sz w:val="14"/>
        </w:rPr>
        <w:t>Enable</w:t>
      </w:r>
      <w:r w:rsidRPr="00283806">
        <w:rPr>
          <w:spacing w:val="13"/>
          <w:w w:val="105"/>
          <w:sz w:val="14"/>
        </w:rPr>
        <w:t xml:space="preserve"> </w:t>
      </w:r>
      <w:r w:rsidRPr="00283806">
        <w:rPr>
          <w:w w:val="105"/>
          <w:sz w:val="14"/>
        </w:rPr>
        <w:t>Reclamation</w:t>
      </w:r>
      <w:r w:rsidRPr="00283806">
        <w:rPr>
          <w:spacing w:val="13"/>
          <w:w w:val="105"/>
          <w:sz w:val="14"/>
        </w:rPr>
        <w:t xml:space="preserve"> </w:t>
      </w:r>
      <w:r w:rsidRPr="00283806">
        <w:rPr>
          <w:w w:val="105"/>
          <w:sz w:val="14"/>
        </w:rPr>
        <w:t>and</w:t>
      </w:r>
      <w:r w:rsidRPr="00283806">
        <w:rPr>
          <w:spacing w:val="13"/>
          <w:w w:val="105"/>
          <w:sz w:val="14"/>
        </w:rPr>
        <w:t xml:space="preserve"> </w:t>
      </w:r>
      <w:r w:rsidRPr="00283806">
        <w:rPr>
          <w:w w:val="105"/>
          <w:sz w:val="14"/>
        </w:rPr>
        <w:t>Recycling</w:t>
      </w:r>
      <w:r w:rsidRPr="00283806">
        <w:rPr>
          <w:spacing w:val="12"/>
          <w:w w:val="105"/>
          <w:sz w:val="14"/>
        </w:rPr>
        <w:t xml:space="preserve"> </w:t>
      </w:r>
      <w:r w:rsidRPr="00283806">
        <w:rPr>
          <w:w w:val="105"/>
          <w:sz w:val="14"/>
        </w:rPr>
        <w:t>of</w:t>
      </w:r>
      <w:r w:rsidRPr="00283806">
        <w:rPr>
          <w:spacing w:val="13"/>
          <w:w w:val="105"/>
          <w:sz w:val="14"/>
        </w:rPr>
        <w:t xml:space="preserve"> </w:t>
      </w:r>
      <w:r w:rsidRPr="00283806">
        <w:rPr>
          <w:spacing w:val="-2"/>
          <w:w w:val="105"/>
          <w:sz w:val="14"/>
        </w:rPr>
        <w:t>Refrigerants</w:t>
      </w:r>
    </w:p>
    <w:p w14:paraId="0A139B6A" w14:textId="77777777" w:rsidR="00D67C1E" w:rsidRPr="00283806" w:rsidRDefault="001265CA">
      <w:pPr>
        <w:pStyle w:val="BodyText"/>
        <w:spacing w:before="136" w:line="225" w:lineRule="auto"/>
        <w:ind w:left="142" w:right="219"/>
      </w:pPr>
      <w:r w:rsidRPr="00283806">
        <w:br w:type="column"/>
      </w:r>
      <w:r w:rsidRPr="00283806">
        <w:rPr>
          <w:w w:val="105"/>
        </w:rPr>
        <w:t>agreements in place among producers and reclaimers to reclaim certain</w:t>
      </w:r>
      <w:r w:rsidRPr="00283806">
        <w:rPr>
          <w:spacing w:val="80"/>
          <w:w w:val="150"/>
        </w:rPr>
        <w:t xml:space="preserve"> </w:t>
      </w:r>
      <w:r w:rsidRPr="00283806">
        <w:rPr>
          <w:w w:val="105"/>
        </w:rPr>
        <w:t>blends. Further, the Agency notes that it anticipates that with proper</w:t>
      </w:r>
      <w:r w:rsidRPr="00283806">
        <w:rPr>
          <w:spacing w:val="40"/>
          <w:w w:val="105"/>
        </w:rPr>
        <w:t xml:space="preserve"> </w:t>
      </w:r>
      <w:r w:rsidRPr="00283806">
        <w:rPr>
          <w:w w:val="105"/>
        </w:rPr>
        <w:t xml:space="preserve">maintenance and adherence to the leak repair and ALD requirements, as applicable, in this rulemaking, leaks </w:t>
      </w:r>
      <w:proofErr w:type="gramStart"/>
      <w:r w:rsidRPr="00283806">
        <w:rPr>
          <w:w w:val="105"/>
        </w:rPr>
        <w:t>of</w:t>
      </w:r>
      <w:proofErr w:type="gramEnd"/>
      <w:r w:rsidRPr="00283806">
        <w:rPr>
          <w:w w:val="105"/>
        </w:rPr>
        <w:t xml:space="preserve"> HFCs should be minimized, decreasing the need for additional </w:t>
      </w:r>
      <w:proofErr w:type="gramStart"/>
      <w:r w:rsidRPr="00283806">
        <w:rPr>
          <w:w w:val="105"/>
        </w:rPr>
        <w:t>servicing</w:t>
      </w:r>
      <w:proofErr w:type="gramEnd"/>
      <w:r w:rsidRPr="00283806">
        <w:rPr>
          <w:w w:val="105"/>
        </w:rPr>
        <w:t xml:space="preserve"> of </w:t>
      </w:r>
      <w:r w:rsidRPr="00283806">
        <w:rPr>
          <w:spacing w:val="-2"/>
          <w:w w:val="105"/>
        </w:rPr>
        <w:t>equipment.</w:t>
      </w:r>
    </w:p>
    <w:p w14:paraId="2D3DD7B9" w14:textId="77777777" w:rsidR="00D67C1E" w:rsidRPr="00283806" w:rsidRDefault="001265CA">
      <w:pPr>
        <w:pStyle w:val="BodyText"/>
        <w:spacing w:line="177" w:lineRule="exact"/>
        <w:ind w:left="322"/>
      </w:pPr>
      <w:r w:rsidRPr="00283806">
        <w:rPr>
          <w:w w:val="105"/>
        </w:rPr>
        <w:t>In</w:t>
      </w:r>
      <w:r w:rsidRPr="00283806">
        <w:rPr>
          <w:spacing w:val="5"/>
          <w:w w:val="105"/>
        </w:rPr>
        <w:t xml:space="preserve"> </w:t>
      </w:r>
      <w:r w:rsidRPr="00283806">
        <w:rPr>
          <w:w w:val="105"/>
        </w:rPr>
        <w:t>response</w:t>
      </w:r>
      <w:r w:rsidRPr="00283806">
        <w:rPr>
          <w:spacing w:val="6"/>
          <w:w w:val="105"/>
        </w:rPr>
        <w:t xml:space="preserve"> </w:t>
      </w:r>
      <w:r w:rsidRPr="00283806">
        <w:rPr>
          <w:w w:val="105"/>
        </w:rPr>
        <w:t>to</w:t>
      </w:r>
      <w:r w:rsidRPr="00283806">
        <w:rPr>
          <w:spacing w:val="5"/>
          <w:w w:val="105"/>
        </w:rPr>
        <w:t xml:space="preserve"> </w:t>
      </w:r>
      <w:r w:rsidRPr="00283806">
        <w:rPr>
          <w:w w:val="105"/>
        </w:rPr>
        <w:t>comments</w:t>
      </w:r>
      <w:r w:rsidRPr="00283806">
        <w:rPr>
          <w:spacing w:val="6"/>
          <w:w w:val="105"/>
        </w:rPr>
        <w:t xml:space="preserve"> </w:t>
      </w:r>
      <w:r w:rsidRPr="00283806">
        <w:rPr>
          <w:w w:val="105"/>
        </w:rPr>
        <w:t>related</w:t>
      </w:r>
      <w:r w:rsidRPr="00283806">
        <w:rPr>
          <w:spacing w:val="5"/>
          <w:w w:val="105"/>
        </w:rPr>
        <w:t xml:space="preserve"> </w:t>
      </w:r>
      <w:r w:rsidRPr="00283806">
        <w:rPr>
          <w:spacing w:val="-5"/>
          <w:w w:val="105"/>
        </w:rPr>
        <w:t>to</w:t>
      </w:r>
    </w:p>
    <w:p w14:paraId="3889A01C" w14:textId="77777777" w:rsidR="00D67C1E" w:rsidRPr="00283806" w:rsidRDefault="001265CA">
      <w:pPr>
        <w:pStyle w:val="BodyText"/>
        <w:spacing w:before="4" w:line="225" w:lineRule="auto"/>
        <w:ind w:left="142" w:right="133"/>
      </w:pPr>
      <w:r w:rsidRPr="00283806">
        <w:rPr>
          <w:w w:val="105"/>
        </w:rPr>
        <w:t>retrofit, EPA explains that retrofit is considered as a servicing or repair activity in this rulemaking. For the subsectors that are required to service and/or repair of refrigerant-containing equipment with reclaimed HFCs (</w:t>
      </w:r>
      <w:r w:rsidRPr="00283806">
        <w:rPr>
          <w:rFonts w:ascii="Book Antiqua"/>
          <w:i/>
          <w:w w:val="105"/>
        </w:rPr>
        <w:t xml:space="preserve">i.e., </w:t>
      </w:r>
      <w:r w:rsidRPr="00283806">
        <w:rPr>
          <w:w w:val="105"/>
        </w:rPr>
        <w:t xml:space="preserve">supermarket systems, refrigerated transport, and automatic commercial ice makers), retrofits must be </w:t>
      </w:r>
      <w:proofErr w:type="gramStart"/>
      <w:r w:rsidRPr="00283806">
        <w:rPr>
          <w:w w:val="105"/>
        </w:rPr>
        <w:t>done</w:t>
      </w:r>
      <w:proofErr w:type="gramEnd"/>
      <w:r w:rsidRPr="00283806">
        <w:rPr>
          <w:w w:val="105"/>
        </w:rPr>
        <w:t xml:space="preserve"> with reclaimed HFC refrigerants if the refrigerant-containing equipment is</w:t>
      </w:r>
      <w:r w:rsidRPr="00283806">
        <w:rPr>
          <w:spacing w:val="40"/>
          <w:w w:val="105"/>
        </w:rPr>
        <w:t xml:space="preserve"> </w:t>
      </w:r>
      <w:r w:rsidRPr="00283806">
        <w:rPr>
          <w:w w:val="105"/>
        </w:rPr>
        <w:t>being retrofitted to use a refrigerant that contains an HFC. Where a piece of refrigerant-containing equipment is</w:t>
      </w:r>
      <w:r w:rsidRPr="00283806">
        <w:rPr>
          <w:spacing w:val="40"/>
          <w:w w:val="105"/>
        </w:rPr>
        <w:t xml:space="preserve"> </w:t>
      </w:r>
      <w:r w:rsidRPr="00283806">
        <w:rPr>
          <w:w w:val="105"/>
        </w:rPr>
        <w:t>being retrofitted to use a substitute for</w:t>
      </w:r>
      <w:r w:rsidRPr="00283806">
        <w:rPr>
          <w:spacing w:val="40"/>
          <w:w w:val="105"/>
        </w:rPr>
        <w:t xml:space="preserve"> </w:t>
      </w:r>
      <w:r w:rsidRPr="00283806">
        <w:rPr>
          <w:w w:val="105"/>
        </w:rPr>
        <w:t>an HFC, reclaimed refrigerant would not be required.</w:t>
      </w:r>
    </w:p>
    <w:p w14:paraId="12D02C17" w14:textId="77777777" w:rsidR="00D67C1E" w:rsidRPr="00283806" w:rsidRDefault="001265CA">
      <w:pPr>
        <w:spacing w:line="169" w:lineRule="exact"/>
        <w:ind w:left="322"/>
        <w:rPr>
          <w:sz w:val="18"/>
        </w:rPr>
      </w:pPr>
      <w:r w:rsidRPr="00283806">
        <w:rPr>
          <w:rFonts w:ascii="Book Antiqua"/>
          <w:i/>
          <w:w w:val="105"/>
          <w:sz w:val="18"/>
        </w:rPr>
        <w:t>Comment:</w:t>
      </w:r>
      <w:r w:rsidRPr="00283806">
        <w:rPr>
          <w:rFonts w:ascii="Book Antiqua"/>
          <w:i/>
          <w:spacing w:val="19"/>
          <w:w w:val="105"/>
          <w:sz w:val="18"/>
        </w:rPr>
        <w:t xml:space="preserve"> </w:t>
      </w:r>
      <w:r w:rsidRPr="00283806">
        <w:rPr>
          <w:w w:val="105"/>
          <w:sz w:val="18"/>
        </w:rPr>
        <w:t>Two</w:t>
      </w:r>
      <w:r w:rsidRPr="00283806">
        <w:rPr>
          <w:spacing w:val="25"/>
          <w:w w:val="105"/>
          <w:sz w:val="18"/>
        </w:rPr>
        <w:t xml:space="preserve"> </w:t>
      </w:r>
      <w:proofErr w:type="gramStart"/>
      <w:r w:rsidRPr="00283806">
        <w:rPr>
          <w:w w:val="105"/>
          <w:sz w:val="18"/>
        </w:rPr>
        <w:t>commenters</w:t>
      </w:r>
      <w:proofErr w:type="gramEnd"/>
      <w:r w:rsidRPr="00283806">
        <w:rPr>
          <w:spacing w:val="25"/>
          <w:w w:val="105"/>
          <w:sz w:val="18"/>
        </w:rPr>
        <w:t xml:space="preserve"> </w:t>
      </w:r>
      <w:r w:rsidRPr="00283806">
        <w:rPr>
          <w:spacing w:val="-2"/>
          <w:w w:val="105"/>
          <w:sz w:val="18"/>
        </w:rPr>
        <w:t>provided</w:t>
      </w:r>
    </w:p>
    <w:p w14:paraId="573820A2" w14:textId="77777777" w:rsidR="00D67C1E" w:rsidRPr="00283806" w:rsidRDefault="001265CA">
      <w:pPr>
        <w:pStyle w:val="BodyText"/>
        <w:spacing w:line="225" w:lineRule="auto"/>
        <w:ind w:left="142" w:right="132"/>
      </w:pPr>
      <w:r w:rsidRPr="00283806">
        <w:rPr>
          <w:w w:val="105"/>
        </w:rPr>
        <w:t>comments recommending establishing exemptions from the requirements for reclaimed HFC refrigerant for those applications that receive application- specific allowances under the AIM Act.</w:t>
      </w:r>
    </w:p>
    <w:p w14:paraId="1F48BC1F" w14:textId="77777777" w:rsidR="00D67C1E" w:rsidRPr="00283806" w:rsidRDefault="001265CA">
      <w:pPr>
        <w:pStyle w:val="BodyText"/>
        <w:spacing w:line="213" w:lineRule="auto"/>
        <w:ind w:left="142" w:right="176" w:firstLine="180"/>
      </w:pPr>
      <w:r w:rsidRPr="00283806">
        <w:rPr>
          <w:rFonts w:ascii="Book Antiqua"/>
          <w:i/>
          <w:w w:val="105"/>
        </w:rPr>
        <w:t xml:space="preserve">Response: </w:t>
      </w:r>
      <w:r w:rsidRPr="00283806">
        <w:rPr>
          <w:w w:val="105"/>
        </w:rPr>
        <w:t>EPA responds to these comments related to providing</w:t>
      </w:r>
    </w:p>
    <w:p w14:paraId="4465BFDD" w14:textId="77777777" w:rsidR="00D67C1E" w:rsidRPr="00283806" w:rsidRDefault="001265CA">
      <w:pPr>
        <w:pStyle w:val="BodyText"/>
        <w:spacing w:line="225" w:lineRule="auto"/>
        <w:ind w:left="142" w:right="123"/>
      </w:pPr>
      <w:r w:rsidRPr="00283806">
        <w:rPr>
          <w:w w:val="105"/>
        </w:rPr>
        <w:t>exemptions in cases for which application-specific HFC allowances are provided under subsection (e)(4)(B) of the</w:t>
      </w:r>
      <w:r w:rsidRPr="00283806">
        <w:rPr>
          <w:spacing w:val="40"/>
          <w:w w:val="105"/>
        </w:rPr>
        <w:t xml:space="preserve"> </w:t>
      </w:r>
      <w:r w:rsidRPr="00283806">
        <w:rPr>
          <w:w w:val="105"/>
        </w:rPr>
        <w:t>AIM</w:t>
      </w:r>
      <w:r w:rsidRPr="00283806">
        <w:rPr>
          <w:spacing w:val="40"/>
          <w:w w:val="105"/>
        </w:rPr>
        <w:t xml:space="preserve"> </w:t>
      </w:r>
      <w:r w:rsidRPr="00283806">
        <w:rPr>
          <w:w w:val="105"/>
        </w:rPr>
        <w:t>Act.</w:t>
      </w:r>
      <w:r w:rsidRPr="00283806">
        <w:rPr>
          <w:spacing w:val="40"/>
          <w:w w:val="105"/>
        </w:rPr>
        <w:t xml:space="preserve"> </w:t>
      </w:r>
      <w:r w:rsidRPr="00283806">
        <w:rPr>
          <w:w w:val="105"/>
        </w:rPr>
        <w:t>As</w:t>
      </w:r>
      <w:r w:rsidRPr="00283806">
        <w:rPr>
          <w:spacing w:val="40"/>
          <w:w w:val="105"/>
        </w:rPr>
        <w:t xml:space="preserve"> </w:t>
      </w:r>
      <w:r w:rsidRPr="00283806">
        <w:rPr>
          <w:w w:val="105"/>
        </w:rPr>
        <w:t>discussed</w:t>
      </w:r>
      <w:r w:rsidRPr="00283806">
        <w:rPr>
          <w:spacing w:val="40"/>
          <w:w w:val="105"/>
        </w:rPr>
        <w:t xml:space="preserve"> </w:t>
      </w:r>
      <w:r w:rsidRPr="00283806">
        <w:rPr>
          <w:w w:val="105"/>
        </w:rPr>
        <w:t>in</w:t>
      </w:r>
      <w:r w:rsidRPr="00283806">
        <w:rPr>
          <w:spacing w:val="40"/>
          <w:w w:val="105"/>
        </w:rPr>
        <w:t xml:space="preserve"> </w:t>
      </w:r>
      <w:r w:rsidRPr="00283806">
        <w:rPr>
          <w:w w:val="105"/>
        </w:rPr>
        <w:t xml:space="preserve">section I.B, EPA </w:t>
      </w:r>
      <w:proofErr w:type="gramStart"/>
      <w:r w:rsidRPr="00283806">
        <w:rPr>
          <w:w w:val="105"/>
        </w:rPr>
        <w:t>is excluding</w:t>
      </w:r>
      <w:proofErr w:type="gramEnd"/>
      <w:r w:rsidRPr="00283806">
        <w:rPr>
          <w:w w:val="105"/>
        </w:rPr>
        <w:t xml:space="preserve"> two applications, mission-critical</w:t>
      </w:r>
      <w:r w:rsidRPr="00283806">
        <w:rPr>
          <w:spacing w:val="40"/>
          <w:w w:val="105"/>
        </w:rPr>
        <w:t xml:space="preserve"> </w:t>
      </w:r>
      <w:r w:rsidRPr="00283806">
        <w:rPr>
          <w:w w:val="105"/>
        </w:rPr>
        <w:t>military</w:t>
      </w:r>
      <w:r w:rsidRPr="00283806">
        <w:rPr>
          <w:spacing w:val="40"/>
          <w:w w:val="105"/>
        </w:rPr>
        <w:t xml:space="preserve"> </w:t>
      </w:r>
      <w:r w:rsidRPr="00283806">
        <w:rPr>
          <w:w w:val="105"/>
        </w:rPr>
        <w:t>end</w:t>
      </w:r>
      <w:r w:rsidRPr="00283806">
        <w:rPr>
          <w:spacing w:val="40"/>
          <w:w w:val="105"/>
        </w:rPr>
        <w:t xml:space="preserve"> </w:t>
      </w:r>
      <w:r w:rsidRPr="00283806">
        <w:rPr>
          <w:w w:val="105"/>
        </w:rPr>
        <w:t>uses</w:t>
      </w:r>
      <w:r w:rsidRPr="00283806">
        <w:rPr>
          <w:spacing w:val="40"/>
          <w:w w:val="105"/>
        </w:rPr>
        <w:t xml:space="preserve"> </w:t>
      </w:r>
      <w:r w:rsidRPr="00283806">
        <w:rPr>
          <w:w w:val="105"/>
        </w:rPr>
        <w:t xml:space="preserve">and </w:t>
      </w:r>
      <w:proofErr w:type="gramStart"/>
      <w:r w:rsidRPr="00283806">
        <w:rPr>
          <w:w w:val="105"/>
        </w:rPr>
        <w:t>on board</w:t>
      </w:r>
      <w:proofErr w:type="gramEnd"/>
      <w:r w:rsidRPr="00283806">
        <w:rPr>
          <w:w w:val="105"/>
        </w:rPr>
        <w:t xml:space="preserve"> aerospace fire suppression, from</w:t>
      </w:r>
      <w:r w:rsidRPr="00283806">
        <w:rPr>
          <w:spacing w:val="-3"/>
          <w:w w:val="105"/>
        </w:rPr>
        <w:t xml:space="preserve"> </w:t>
      </w:r>
      <w:r w:rsidRPr="00283806">
        <w:rPr>
          <w:w w:val="105"/>
        </w:rPr>
        <w:t>these</w:t>
      </w:r>
      <w:r w:rsidRPr="00283806">
        <w:rPr>
          <w:spacing w:val="-3"/>
          <w:w w:val="105"/>
        </w:rPr>
        <w:t xml:space="preserve"> </w:t>
      </w:r>
      <w:r w:rsidRPr="00283806">
        <w:rPr>
          <w:w w:val="105"/>
        </w:rPr>
        <w:t>regulations</w:t>
      </w:r>
      <w:r w:rsidRPr="00283806">
        <w:rPr>
          <w:spacing w:val="-3"/>
          <w:w w:val="105"/>
        </w:rPr>
        <w:t xml:space="preserve"> </w:t>
      </w:r>
      <w:r w:rsidRPr="00283806">
        <w:rPr>
          <w:w w:val="105"/>
        </w:rPr>
        <w:t>for</w:t>
      </w:r>
      <w:r w:rsidRPr="00283806">
        <w:rPr>
          <w:spacing w:val="-3"/>
          <w:w w:val="105"/>
        </w:rPr>
        <w:t xml:space="preserve"> </w:t>
      </w:r>
      <w:r w:rsidRPr="00283806">
        <w:rPr>
          <w:w w:val="105"/>
        </w:rPr>
        <w:t>a</w:t>
      </w:r>
      <w:r w:rsidRPr="00283806">
        <w:rPr>
          <w:spacing w:val="-3"/>
          <w:w w:val="105"/>
        </w:rPr>
        <w:t xml:space="preserve"> </w:t>
      </w:r>
      <w:r w:rsidRPr="00283806">
        <w:rPr>
          <w:w w:val="105"/>
        </w:rPr>
        <w:t>year</w:t>
      </w:r>
      <w:r w:rsidRPr="00283806">
        <w:rPr>
          <w:spacing w:val="-3"/>
          <w:w w:val="105"/>
        </w:rPr>
        <w:t xml:space="preserve"> </w:t>
      </w:r>
      <w:r w:rsidRPr="00283806">
        <w:rPr>
          <w:w w:val="105"/>
        </w:rPr>
        <w:t>or</w:t>
      </w:r>
      <w:r w:rsidRPr="00283806">
        <w:rPr>
          <w:spacing w:val="-3"/>
          <w:w w:val="105"/>
        </w:rPr>
        <w:t xml:space="preserve"> </w:t>
      </w:r>
      <w:r w:rsidRPr="00283806">
        <w:rPr>
          <w:w w:val="105"/>
        </w:rPr>
        <w:t>years for which the application receives an application-specific</w:t>
      </w:r>
      <w:r w:rsidRPr="00283806">
        <w:rPr>
          <w:spacing w:val="35"/>
          <w:w w:val="105"/>
        </w:rPr>
        <w:t xml:space="preserve"> </w:t>
      </w:r>
      <w:r w:rsidRPr="00283806">
        <w:rPr>
          <w:w w:val="105"/>
        </w:rPr>
        <w:t>allowance</w:t>
      </w:r>
      <w:r w:rsidRPr="00283806">
        <w:rPr>
          <w:spacing w:val="35"/>
          <w:w w:val="105"/>
        </w:rPr>
        <w:t xml:space="preserve"> </w:t>
      </w:r>
      <w:r w:rsidRPr="00283806">
        <w:rPr>
          <w:w w:val="105"/>
        </w:rPr>
        <w:t>as</w:t>
      </w:r>
      <w:r w:rsidRPr="00283806">
        <w:rPr>
          <w:spacing w:val="40"/>
          <w:w w:val="105"/>
        </w:rPr>
        <w:t xml:space="preserve"> </w:t>
      </w:r>
      <w:r w:rsidRPr="00283806">
        <w:rPr>
          <w:w w:val="105"/>
        </w:rPr>
        <w:t>defined at 40 CFR 84.3. EPA is establishing requirements for the servicing and/or repair of refrigerant- containing equipment with reclaimed HFC refrigerants in the supermarket systems, refrigerated transport, and automatic commercial ice makers subsectors. If mission-critical military</w:t>
      </w:r>
      <w:r w:rsidRPr="00283806">
        <w:rPr>
          <w:spacing w:val="40"/>
          <w:w w:val="105"/>
        </w:rPr>
        <w:t xml:space="preserve"> </w:t>
      </w:r>
      <w:r w:rsidRPr="00283806">
        <w:rPr>
          <w:w w:val="105"/>
        </w:rPr>
        <w:t xml:space="preserve">end uses and/or </w:t>
      </w:r>
      <w:proofErr w:type="gramStart"/>
      <w:r w:rsidRPr="00283806">
        <w:rPr>
          <w:w w:val="105"/>
        </w:rPr>
        <w:t>on board</w:t>
      </w:r>
      <w:proofErr w:type="gramEnd"/>
      <w:r w:rsidRPr="00283806">
        <w:rPr>
          <w:w w:val="105"/>
        </w:rPr>
        <w:t xml:space="preserve"> aerospace fire suppression applications received application-specific</w:t>
      </w:r>
      <w:r w:rsidRPr="00283806">
        <w:rPr>
          <w:spacing w:val="35"/>
          <w:w w:val="105"/>
        </w:rPr>
        <w:t xml:space="preserve"> </w:t>
      </w:r>
      <w:r w:rsidRPr="00283806">
        <w:rPr>
          <w:w w:val="105"/>
        </w:rPr>
        <w:t>allowances</w:t>
      </w:r>
      <w:r w:rsidRPr="00283806">
        <w:rPr>
          <w:spacing w:val="35"/>
          <w:w w:val="105"/>
        </w:rPr>
        <w:t xml:space="preserve"> </w:t>
      </w:r>
      <w:r w:rsidRPr="00283806">
        <w:rPr>
          <w:w w:val="105"/>
        </w:rPr>
        <w:t>for</w:t>
      </w:r>
      <w:r w:rsidRPr="00283806">
        <w:rPr>
          <w:spacing w:val="80"/>
          <w:w w:val="105"/>
        </w:rPr>
        <w:t xml:space="preserve"> </w:t>
      </w:r>
      <w:r w:rsidRPr="00283806">
        <w:rPr>
          <w:w w:val="105"/>
        </w:rPr>
        <w:t>HFCs in a particular year or years, then the exemption would apply.</w:t>
      </w:r>
    </w:p>
    <w:p w14:paraId="0E7E4985" w14:textId="77777777" w:rsidR="00D67C1E" w:rsidRPr="00283806" w:rsidRDefault="001265CA">
      <w:pPr>
        <w:pStyle w:val="BodyText"/>
        <w:spacing w:line="172" w:lineRule="exact"/>
        <w:ind w:left="322"/>
      </w:pPr>
      <w:r w:rsidRPr="00283806">
        <w:rPr>
          <w:w w:val="105"/>
        </w:rPr>
        <w:t>This</w:t>
      </w:r>
      <w:r w:rsidRPr="00283806">
        <w:rPr>
          <w:spacing w:val="15"/>
          <w:w w:val="105"/>
        </w:rPr>
        <w:t xml:space="preserve"> </w:t>
      </w:r>
      <w:r w:rsidRPr="00283806">
        <w:rPr>
          <w:w w:val="105"/>
        </w:rPr>
        <w:t>rulemaking</w:t>
      </w:r>
      <w:r w:rsidRPr="00283806">
        <w:rPr>
          <w:spacing w:val="16"/>
          <w:w w:val="105"/>
        </w:rPr>
        <w:t xml:space="preserve"> </w:t>
      </w:r>
      <w:r w:rsidRPr="00283806">
        <w:rPr>
          <w:w w:val="105"/>
        </w:rPr>
        <w:t>establishes</w:t>
      </w:r>
      <w:r w:rsidRPr="00283806">
        <w:rPr>
          <w:spacing w:val="15"/>
          <w:w w:val="105"/>
        </w:rPr>
        <w:t xml:space="preserve"> </w:t>
      </w:r>
      <w:r w:rsidRPr="00283806">
        <w:rPr>
          <w:spacing w:val="-10"/>
          <w:w w:val="105"/>
        </w:rPr>
        <w:t>a</w:t>
      </w:r>
    </w:p>
    <w:p w14:paraId="1DD72AB1" w14:textId="77777777" w:rsidR="00D67C1E" w:rsidRPr="00283806" w:rsidRDefault="001265CA">
      <w:pPr>
        <w:pStyle w:val="BodyText"/>
        <w:spacing w:line="225" w:lineRule="auto"/>
        <w:ind w:left="142" w:right="176"/>
      </w:pPr>
      <w:r w:rsidRPr="00283806">
        <w:rPr>
          <w:w w:val="105"/>
        </w:rPr>
        <w:t>definition for ‘‘refrigerant-containing equipment,’’ which specifically does not include military equipment used in deployable and expeditionary</w:t>
      </w:r>
    </w:p>
    <w:p w14:paraId="628D84B1"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07" w:space="40"/>
            <w:col w:w="3512" w:space="39"/>
            <w:col w:w="3622"/>
          </w:cols>
        </w:sectPr>
      </w:pPr>
    </w:p>
    <w:p w14:paraId="6A286393" w14:textId="77777777" w:rsidR="00D67C1E" w:rsidRPr="00283806" w:rsidRDefault="001265CA">
      <w:pPr>
        <w:pStyle w:val="BodyText"/>
        <w:spacing w:line="183" w:lineRule="exact"/>
      </w:pPr>
      <w:r w:rsidRPr="00283806">
        <w:rPr>
          <w:w w:val="105"/>
        </w:rPr>
        <w:t>immediately</w:t>
      </w:r>
      <w:r w:rsidRPr="00283806">
        <w:rPr>
          <w:spacing w:val="16"/>
          <w:w w:val="105"/>
        </w:rPr>
        <w:t xml:space="preserve"> </w:t>
      </w:r>
      <w:r w:rsidRPr="00283806">
        <w:rPr>
          <w:w w:val="105"/>
        </w:rPr>
        <w:t>stop</w:t>
      </w:r>
      <w:r w:rsidRPr="00283806">
        <w:rPr>
          <w:spacing w:val="16"/>
          <w:w w:val="105"/>
        </w:rPr>
        <w:t xml:space="preserve"> </w:t>
      </w:r>
      <w:r w:rsidRPr="00283806">
        <w:rPr>
          <w:w w:val="105"/>
        </w:rPr>
        <w:t>using</w:t>
      </w:r>
      <w:r w:rsidRPr="00283806">
        <w:rPr>
          <w:spacing w:val="17"/>
          <w:w w:val="105"/>
        </w:rPr>
        <w:t xml:space="preserve"> </w:t>
      </w:r>
      <w:r w:rsidRPr="00283806">
        <w:rPr>
          <w:spacing w:val="-2"/>
          <w:w w:val="105"/>
        </w:rPr>
        <w:t>these</w:t>
      </w:r>
    </w:p>
    <w:p w14:paraId="2A80E01C" w14:textId="77777777" w:rsidR="00D67C1E" w:rsidRPr="00283806" w:rsidRDefault="001265CA">
      <w:pPr>
        <w:tabs>
          <w:tab w:val="left" w:pos="3699"/>
          <w:tab w:val="left" w:pos="4699"/>
        </w:tabs>
        <w:spacing w:before="23" w:line="160" w:lineRule="exact"/>
        <w:ind w:left="160"/>
        <w:rPr>
          <w:sz w:val="14"/>
        </w:rPr>
      </w:pPr>
      <w:r w:rsidRPr="00283806">
        <w:br w:type="column"/>
      </w:r>
      <w:r w:rsidRPr="00283806">
        <w:rPr>
          <w:w w:val="110"/>
          <w:sz w:val="14"/>
        </w:rPr>
        <w:t>in</w:t>
      </w:r>
      <w:r w:rsidRPr="00283806">
        <w:rPr>
          <w:spacing w:val="-6"/>
          <w:w w:val="110"/>
          <w:sz w:val="14"/>
        </w:rPr>
        <w:t xml:space="preserve"> </w:t>
      </w:r>
      <w:r w:rsidRPr="00283806">
        <w:rPr>
          <w:w w:val="110"/>
          <w:sz w:val="14"/>
        </w:rPr>
        <w:t>Support</w:t>
      </w:r>
      <w:r w:rsidRPr="00283806">
        <w:rPr>
          <w:spacing w:val="-6"/>
          <w:w w:val="110"/>
          <w:sz w:val="14"/>
        </w:rPr>
        <w:t xml:space="preserve"> </w:t>
      </w:r>
      <w:r w:rsidRPr="00283806">
        <w:rPr>
          <w:w w:val="110"/>
          <w:sz w:val="14"/>
        </w:rPr>
        <w:t>of</w:t>
      </w:r>
      <w:r w:rsidRPr="00283806">
        <w:rPr>
          <w:spacing w:val="-6"/>
          <w:w w:val="110"/>
          <w:sz w:val="14"/>
        </w:rPr>
        <w:t xml:space="preserve"> </w:t>
      </w:r>
      <w:r w:rsidRPr="00283806">
        <w:rPr>
          <w:w w:val="110"/>
          <w:sz w:val="14"/>
        </w:rPr>
        <w:t>Circular</w:t>
      </w:r>
      <w:r w:rsidRPr="00283806">
        <w:rPr>
          <w:spacing w:val="-6"/>
          <w:w w:val="110"/>
          <w:sz w:val="14"/>
        </w:rPr>
        <w:t xml:space="preserve"> </w:t>
      </w:r>
      <w:r w:rsidRPr="00283806">
        <w:rPr>
          <w:w w:val="110"/>
          <w:sz w:val="14"/>
        </w:rPr>
        <w:t>Economy,</w:t>
      </w:r>
      <w:r w:rsidRPr="00283806">
        <w:rPr>
          <w:spacing w:val="-6"/>
          <w:w w:val="110"/>
          <w:sz w:val="14"/>
        </w:rPr>
        <w:t xml:space="preserve"> </w:t>
      </w:r>
      <w:r w:rsidRPr="00283806">
        <w:rPr>
          <w:w w:val="110"/>
          <w:sz w:val="14"/>
        </w:rPr>
        <w:t>November</w:t>
      </w:r>
      <w:r w:rsidRPr="00283806">
        <w:rPr>
          <w:spacing w:val="-6"/>
          <w:w w:val="110"/>
          <w:sz w:val="14"/>
        </w:rPr>
        <w:t xml:space="preserve"> </w:t>
      </w:r>
      <w:r w:rsidRPr="00283806">
        <w:rPr>
          <w:spacing w:val="-5"/>
          <w:w w:val="110"/>
          <w:sz w:val="14"/>
        </w:rPr>
        <w:t>16,</w:t>
      </w:r>
      <w:r w:rsidRPr="00283806">
        <w:rPr>
          <w:sz w:val="14"/>
        </w:rPr>
        <w:tab/>
      </w:r>
      <w:r w:rsidRPr="00283806">
        <w:rPr>
          <w:sz w:val="14"/>
          <w:u w:val="single"/>
        </w:rPr>
        <w:tab/>
      </w:r>
    </w:p>
    <w:p w14:paraId="2D22669E" w14:textId="77777777" w:rsidR="00D67C1E" w:rsidRPr="00283806" w:rsidRDefault="00D67C1E">
      <w:pPr>
        <w:spacing w:line="160" w:lineRule="exact"/>
        <w:rPr>
          <w:sz w:val="14"/>
        </w:rPr>
        <w:sectPr w:rsidR="00D67C1E" w:rsidRPr="00283806">
          <w:type w:val="continuous"/>
          <w:pgSz w:w="12240" w:h="15840"/>
          <w:pgMar w:top="880" w:right="780" w:bottom="280" w:left="740" w:header="627" w:footer="0" w:gutter="0"/>
          <w:cols w:num="2" w:space="720" w:equalWidth="0">
            <w:col w:w="2618" w:space="922"/>
            <w:col w:w="7180"/>
          </w:cols>
        </w:sectPr>
      </w:pPr>
    </w:p>
    <w:p w14:paraId="1BC78A13" w14:textId="77777777" w:rsidR="00D67C1E" w:rsidRPr="00283806" w:rsidRDefault="001265CA">
      <w:pPr>
        <w:pStyle w:val="BodyText"/>
        <w:spacing w:before="12" w:line="228" w:lineRule="auto"/>
        <w:ind w:right="38"/>
      </w:pPr>
      <w:r w:rsidRPr="00283806">
        <w:rPr>
          <w:w w:val="105"/>
        </w:rPr>
        <w:t>refrigerants, and possibly start using higher-GWP</w:t>
      </w:r>
      <w:r w:rsidRPr="00283806">
        <w:rPr>
          <w:spacing w:val="-9"/>
          <w:w w:val="105"/>
        </w:rPr>
        <w:t xml:space="preserve"> </w:t>
      </w:r>
      <w:r w:rsidRPr="00283806">
        <w:rPr>
          <w:w w:val="105"/>
        </w:rPr>
        <w:t>refrigerants</w:t>
      </w:r>
      <w:r w:rsidRPr="00283806">
        <w:rPr>
          <w:spacing w:val="-9"/>
          <w:w w:val="105"/>
        </w:rPr>
        <w:t xml:space="preserve"> </w:t>
      </w:r>
      <w:r w:rsidRPr="00283806">
        <w:rPr>
          <w:w w:val="105"/>
        </w:rPr>
        <w:t>that</w:t>
      </w:r>
      <w:r w:rsidRPr="00283806">
        <w:rPr>
          <w:spacing w:val="-9"/>
          <w:w w:val="105"/>
        </w:rPr>
        <w:t xml:space="preserve"> </w:t>
      </w:r>
      <w:r w:rsidRPr="00283806">
        <w:rPr>
          <w:w w:val="105"/>
        </w:rPr>
        <w:t>are</w:t>
      </w:r>
      <w:r w:rsidRPr="00283806">
        <w:rPr>
          <w:spacing w:val="-9"/>
          <w:w w:val="105"/>
        </w:rPr>
        <w:t xml:space="preserve"> </w:t>
      </w:r>
      <w:r w:rsidRPr="00283806">
        <w:rPr>
          <w:w w:val="105"/>
        </w:rPr>
        <w:t>more likely to have significant banks of refrigerant available for service and</w:t>
      </w:r>
    </w:p>
    <w:p w14:paraId="5108CA1A" w14:textId="42F76033" w:rsidR="00D67C1E" w:rsidRPr="00283806" w:rsidRDefault="001265CA">
      <w:pPr>
        <w:spacing w:before="8" w:line="225" w:lineRule="auto"/>
        <w:ind w:left="160"/>
        <w:rPr>
          <w:sz w:val="14"/>
        </w:rPr>
      </w:pPr>
      <w:r w:rsidRPr="00283806">
        <w:br w:type="column"/>
      </w:r>
      <w:r w:rsidRPr="00283806">
        <w:rPr>
          <w:w w:val="115"/>
          <w:sz w:val="14"/>
        </w:rPr>
        <w:t>2022, available</w:t>
      </w:r>
      <w:proofErr w:type="gramStart"/>
      <w:r w:rsidRPr="00283806">
        <w:rPr>
          <w:w w:val="115"/>
          <w:sz w:val="14"/>
        </w:rPr>
        <w:t xml:space="preserve">: </w:t>
      </w:r>
      <w:r w:rsidRPr="00283806">
        <w:rPr>
          <w:rFonts w:ascii="Book Antiqua"/>
          <w:i/>
          <w:w w:val="115"/>
          <w:sz w:val="14"/>
        </w:rPr>
        <w:t xml:space="preserve">https://www.chemours.com/en/ </w:t>
      </w:r>
      <w:r w:rsidRPr="00283806">
        <w:rPr>
          <w:rFonts w:ascii="Book Antiqua"/>
          <w:i/>
          <w:spacing w:val="-2"/>
          <w:w w:val="115"/>
          <w:sz w:val="14"/>
        </w:rPr>
        <w:t>news-media-center/all-news/press-releases/2022/</w:t>
      </w:r>
      <w:r w:rsidRPr="00283806">
        <w:rPr>
          <w:rFonts w:ascii="Book Antiqua"/>
          <w:i/>
          <w:spacing w:val="40"/>
          <w:w w:val="115"/>
          <w:sz w:val="14"/>
        </w:rPr>
        <w:t xml:space="preserve"> </w:t>
      </w:r>
      <w:proofErr w:type="spellStart"/>
      <w:r w:rsidRPr="00283806">
        <w:rPr>
          <w:rFonts w:ascii="Book Antiqua"/>
          <w:i/>
          <w:spacing w:val="-2"/>
          <w:w w:val="115"/>
          <w:sz w:val="14"/>
        </w:rPr>
        <w:t>chemours</w:t>
      </w:r>
      <w:proofErr w:type="spellEnd"/>
      <w:r w:rsidRPr="00283806">
        <w:rPr>
          <w:rFonts w:ascii="Book Antiqua"/>
          <w:i/>
          <w:spacing w:val="-2"/>
          <w:w w:val="115"/>
          <w:sz w:val="14"/>
        </w:rPr>
        <w:t>-and-</w:t>
      </w:r>
      <w:proofErr w:type="spellStart"/>
      <w:r w:rsidRPr="00283806">
        <w:rPr>
          <w:rFonts w:ascii="Book Antiqua"/>
          <w:i/>
          <w:spacing w:val="-2"/>
          <w:w w:val="115"/>
          <w:sz w:val="14"/>
        </w:rPr>
        <w:t>honeywell</w:t>
      </w:r>
      <w:proofErr w:type="spellEnd"/>
      <w:r w:rsidRPr="00283806">
        <w:rPr>
          <w:rFonts w:ascii="Book Antiqua"/>
          <w:i/>
          <w:spacing w:val="-2"/>
          <w:w w:val="115"/>
          <w:sz w:val="14"/>
        </w:rPr>
        <w:t>-announce-program-to-</w:t>
      </w:r>
      <w:r w:rsidRPr="00283806">
        <w:rPr>
          <w:rFonts w:ascii="Book Antiqua"/>
          <w:i/>
          <w:spacing w:val="40"/>
          <w:w w:val="115"/>
          <w:sz w:val="14"/>
        </w:rPr>
        <w:t xml:space="preserve"> </w:t>
      </w:r>
      <w:r w:rsidRPr="00283806">
        <w:rPr>
          <w:rFonts w:ascii="Book Antiqua"/>
          <w:i/>
          <w:spacing w:val="-2"/>
          <w:w w:val="110"/>
          <w:sz w:val="14"/>
        </w:rPr>
        <w:t>enable-reclamation-and-recycling-of-refrigerants-in-</w:t>
      </w:r>
      <w:r w:rsidRPr="00283806">
        <w:rPr>
          <w:rFonts w:ascii="Book Antiqua"/>
          <w:i/>
          <w:spacing w:val="40"/>
          <w:w w:val="115"/>
          <w:sz w:val="14"/>
        </w:rPr>
        <w:t xml:space="preserve"> </w:t>
      </w:r>
      <w:proofErr w:type="spellStart"/>
      <w:r w:rsidRPr="00283806">
        <w:rPr>
          <w:rFonts w:ascii="Book Antiqua"/>
          <w:i/>
          <w:spacing w:val="-2"/>
          <w:w w:val="115"/>
          <w:sz w:val="14"/>
        </w:rPr>
        <w:t>suppo</w:t>
      </w:r>
      <w:proofErr w:type="spellEnd"/>
      <w:r w:rsidRPr="00283806">
        <w:rPr>
          <w:spacing w:val="-2"/>
          <w:w w:val="115"/>
          <w:sz w:val="14"/>
        </w:rPr>
        <w:t>.</w:t>
      </w:r>
      <w:proofErr w:type="gramEnd"/>
    </w:p>
    <w:p w14:paraId="593E210F" w14:textId="1047D215" w:rsidR="00D67C1E" w:rsidRPr="00283806" w:rsidRDefault="001265CA">
      <w:pPr>
        <w:spacing w:before="16" w:line="225" w:lineRule="auto"/>
        <w:ind w:left="155" w:right="195" w:firstLine="140"/>
        <w:rPr>
          <w:sz w:val="14"/>
        </w:rPr>
      </w:pPr>
      <w:r w:rsidRPr="00283806">
        <w:br w:type="column"/>
      </w:r>
      <w:r w:rsidRPr="00283806">
        <w:rPr>
          <w:w w:val="110"/>
          <w:position w:val="4"/>
          <w:sz w:val="9"/>
        </w:rPr>
        <w:t>109</w:t>
      </w:r>
      <w:r w:rsidRPr="00283806">
        <w:rPr>
          <w:spacing w:val="-6"/>
          <w:w w:val="110"/>
          <w:position w:val="4"/>
          <w:sz w:val="9"/>
        </w:rPr>
        <w:t xml:space="preserve"> </w:t>
      </w:r>
      <w:r w:rsidRPr="00283806">
        <w:rPr>
          <w:w w:val="110"/>
          <w:sz w:val="14"/>
        </w:rPr>
        <w:t>A-Gas</w:t>
      </w:r>
      <w:r w:rsidRPr="00283806">
        <w:rPr>
          <w:spacing w:val="-8"/>
          <w:w w:val="110"/>
          <w:sz w:val="14"/>
        </w:rPr>
        <w:t xml:space="preserve"> </w:t>
      </w:r>
      <w:r w:rsidRPr="00283806">
        <w:rPr>
          <w:w w:val="110"/>
          <w:sz w:val="14"/>
        </w:rPr>
        <w:t>Named</w:t>
      </w:r>
      <w:r w:rsidRPr="00283806">
        <w:rPr>
          <w:spacing w:val="-9"/>
          <w:w w:val="110"/>
          <w:sz w:val="14"/>
        </w:rPr>
        <w:t xml:space="preserve"> </w:t>
      </w:r>
      <w:proofErr w:type="spellStart"/>
      <w:r w:rsidRPr="00283806">
        <w:rPr>
          <w:w w:val="110"/>
          <w:sz w:val="14"/>
        </w:rPr>
        <w:t>Authorised</w:t>
      </w:r>
      <w:proofErr w:type="spellEnd"/>
      <w:r w:rsidRPr="00283806">
        <w:rPr>
          <w:spacing w:val="-8"/>
          <w:w w:val="110"/>
          <w:sz w:val="14"/>
        </w:rPr>
        <w:t xml:space="preserve"> </w:t>
      </w:r>
      <w:r w:rsidRPr="00283806">
        <w:rPr>
          <w:w w:val="110"/>
          <w:sz w:val="14"/>
        </w:rPr>
        <w:t>Reclaimer</w:t>
      </w:r>
      <w:r w:rsidRPr="00283806">
        <w:rPr>
          <w:spacing w:val="-9"/>
          <w:w w:val="110"/>
          <w:sz w:val="14"/>
        </w:rPr>
        <w:t xml:space="preserve"> </w:t>
      </w:r>
      <w:r w:rsidRPr="00283806">
        <w:rPr>
          <w:w w:val="110"/>
          <w:sz w:val="14"/>
        </w:rPr>
        <w:t>of</w:t>
      </w:r>
      <w:r w:rsidRPr="00283806">
        <w:rPr>
          <w:spacing w:val="-8"/>
          <w:w w:val="110"/>
          <w:sz w:val="14"/>
        </w:rPr>
        <w:t xml:space="preserve"> </w:t>
      </w:r>
      <w:r w:rsidRPr="00283806">
        <w:rPr>
          <w:w w:val="110"/>
          <w:sz w:val="14"/>
        </w:rPr>
        <w:t>Patent</w:t>
      </w:r>
      <w:r w:rsidRPr="00283806">
        <w:rPr>
          <w:spacing w:val="40"/>
          <w:w w:val="110"/>
          <w:sz w:val="14"/>
        </w:rPr>
        <w:t xml:space="preserve"> </w:t>
      </w:r>
      <w:r w:rsidRPr="00283806">
        <w:rPr>
          <w:w w:val="110"/>
          <w:sz w:val="14"/>
        </w:rPr>
        <w:t xml:space="preserve">Protected Refrigerants, 2023, available: </w:t>
      </w:r>
      <w:r w:rsidRPr="00283806">
        <w:rPr>
          <w:rFonts w:ascii="Book Antiqua"/>
          <w:i/>
          <w:w w:val="110"/>
          <w:sz w:val="14"/>
        </w:rPr>
        <w:t>https://</w:t>
      </w:r>
      <w:r w:rsidRPr="00283806">
        <w:rPr>
          <w:rFonts w:ascii="Book Antiqua"/>
          <w:i/>
          <w:spacing w:val="40"/>
          <w:w w:val="110"/>
          <w:sz w:val="14"/>
        </w:rPr>
        <w:t xml:space="preserve"> </w:t>
      </w:r>
      <w:r w:rsidRPr="00283806">
        <w:rPr>
          <w:rFonts w:ascii="Book Antiqua"/>
          <w:i/>
          <w:spacing w:val="-2"/>
          <w:w w:val="110"/>
          <w:sz w:val="14"/>
        </w:rPr>
        <w:t>www.agas.com/uk/news-insights/a-gas-named-</w:t>
      </w:r>
      <w:r w:rsidRPr="00283806">
        <w:rPr>
          <w:rFonts w:ascii="Book Antiqua"/>
          <w:i/>
          <w:spacing w:val="40"/>
          <w:w w:val="110"/>
          <w:sz w:val="14"/>
        </w:rPr>
        <w:t xml:space="preserve"> </w:t>
      </w:r>
      <w:proofErr w:type="spellStart"/>
      <w:r w:rsidRPr="00283806">
        <w:rPr>
          <w:rFonts w:ascii="Book Antiqua"/>
          <w:i/>
          <w:spacing w:val="-2"/>
          <w:w w:val="110"/>
          <w:sz w:val="14"/>
        </w:rPr>
        <w:t>authorised</w:t>
      </w:r>
      <w:proofErr w:type="spellEnd"/>
      <w:r w:rsidRPr="00283806">
        <w:rPr>
          <w:rFonts w:ascii="Book Antiqua"/>
          <w:i/>
          <w:spacing w:val="-2"/>
          <w:w w:val="110"/>
          <w:sz w:val="14"/>
        </w:rPr>
        <w:t>-reclaimer-of-patent-protected-</w:t>
      </w:r>
      <w:r w:rsidRPr="00283806">
        <w:rPr>
          <w:rFonts w:ascii="Book Antiqua"/>
          <w:i/>
          <w:spacing w:val="40"/>
          <w:w w:val="110"/>
          <w:sz w:val="14"/>
        </w:rPr>
        <w:t xml:space="preserve"> </w:t>
      </w:r>
      <w:r w:rsidRPr="00283806">
        <w:rPr>
          <w:rFonts w:ascii="Book Antiqua"/>
          <w:i/>
          <w:spacing w:val="-2"/>
          <w:w w:val="110"/>
          <w:sz w:val="14"/>
        </w:rPr>
        <w:t>refrigerants/</w:t>
      </w:r>
      <w:r w:rsidRPr="00283806">
        <w:rPr>
          <w:spacing w:val="-2"/>
          <w:w w:val="110"/>
          <w:sz w:val="14"/>
        </w:rPr>
        <w:t>.</w:t>
      </w:r>
    </w:p>
    <w:p w14:paraId="3F871F94" w14:textId="77777777" w:rsidR="00D67C1E" w:rsidRPr="00283806" w:rsidRDefault="00D67C1E">
      <w:pPr>
        <w:spacing w:line="225" w:lineRule="auto"/>
        <w:rPr>
          <w:sz w:val="14"/>
        </w:rPr>
        <w:sectPr w:rsidR="00D67C1E" w:rsidRPr="00283806">
          <w:type w:val="continuous"/>
          <w:pgSz w:w="12240" w:h="15840"/>
          <w:pgMar w:top="880" w:right="780" w:bottom="280" w:left="740" w:header="627" w:footer="0" w:gutter="0"/>
          <w:cols w:num="3" w:space="720" w:equalWidth="0">
            <w:col w:w="3337" w:space="203"/>
            <w:col w:w="3505" w:space="39"/>
            <w:col w:w="3636"/>
          </w:cols>
        </w:sectPr>
      </w:pPr>
    </w:p>
    <w:p w14:paraId="3DD35685" w14:textId="77777777" w:rsidR="00D67C1E" w:rsidRPr="00283806" w:rsidRDefault="001265CA">
      <w:pPr>
        <w:pStyle w:val="BodyText"/>
        <w:spacing w:before="136" w:line="225" w:lineRule="auto"/>
        <w:ind w:right="39"/>
      </w:pPr>
      <w:r w:rsidRPr="00283806">
        <w:rPr>
          <w:w w:val="105"/>
        </w:rPr>
        <w:lastRenderedPageBreak/>
        <w:t>situations. Where reclaimed HFC refrigerants are required to be used for servicing and/or repair of certain refrigerant-containing equipment per this rulemaking, the requirements do</w:t>
      </w:r>
      <w:r w:rsidRPr="00283806">
        <w:rPr>
          <w:spacing w:val="80"/>
          <w:w w:val="105"/>
        </w:rPr>
        <w:t xml:space="preserve"> </w:t>
      </w:r>
      <w:r w:rsidRPr="00283806">
        <w:rPr>
          <w:w w:val="105"/>
        </w:rPr>
        <w:t>not apply to the specific case of military equipment used in deployable and expeditionary situations.</w:t>
      </w:r>
    </w:p>
    <w:p w14:paraId="6FAAF96A" w14:textId="77777777" w:rsidR="00D67C1E" w:rsidRPr="00283806" w:rsidRDefault="001265CA">
      <w:pPr>
        <w:spacing w:line="182" w:lineRule="exact"/>
        <w:ind w:left="340"/>
        <w:rPr>
          <w:sz w:val="18"/>
        </w:rPr>
      </w:pPr>
      <w:r w:rsidRPr="00283806">
        <w:rPr>
          <w:rFonts w:ascii="Book Antiqua"/>
          <w:i/>
          <w:w w:val="105"/>
          <w:sz w:val="18"/>
        </w:rPr>
        <w:t>Comment:</w:t>
      </w:r>
      <w:r w:rsidRPr="00283806">
        <w:rPr>
          <w:rFonts w:ascii="Book Antiqua"/>
          <w:i/>
          <w:spacing w:val="22"/>
          <w:w w:val="105"/>
          <w:sz w:val="18"/>
        </w:rPr>
        <w:t xml:space="preserve"> </w:t>
      </w:r>
      <w:r w:rsidRPr="00283806">
        <w:rPr>
          <w:w w:val="105"/>
          <w:sz w:val="18"/>
        </w:rPr>
        <w:t>One</w:t>
      </w:r>
      <w:r w:rsidRPr="00283806">
        <w:rPr>
          <w:spacing w:val="28"/>
          <w:w w:val="105"/>
          <w:sz w:val="18"/>
        </w:rPr>
        <w:t xml:space="preserve"> </w:t>
      </w:r>
      <w:r w:rsidRPr="00283806">
        <w:rPr>
          <w:w w:val="105"/>
          <w:sz w:val="18"/>
        </w:rPr>
        <w:t>commenter</w:t>
      </w:r>
      <w:r w:rsidRPr="00283806">
        <w:rPr>
          <w:spacing w:val="28"/>
          <w:w w:val="105"/>
          <w:sz w:val="18"/>
        </w:rPr>
        <w:t xml:space="preserve"> </w:t>
      </w:r>
      <w:r w:rsidRPr="00283806">
        <w:rPr>
          <w:spacing w:val="-2"/>
          <w:w w:val="105"/>
          <w:sz w:val="18"/>
        </w:rPr>
        <w:t>suggested</w:t>
      </w:r>
    </w:p>
    <w:p w14:paraId="0D2F5431" w14:textId="77777777" w:rsidR="00D67C1E" w:rsidRPr="00283806" w:rsidRDefault="001265CA">
      <w:pPr>
        <w:pStyle w:val="BodyText"/>
        <w:spacing w:line="225" w:lineRule="auto"/>
        <w:ind w:right="37"/>
      </w:pPr>
      <w:r w:rsidRPr="00283806">
        <w:rPr>
          <w:w w:val="105"/>
        </w:rPr>
        <w:t xml:space="preserve">EPA </w:t>
      </w:r>
      <w:proofErr w:type="gramStart"/>
      <w:r w:rsidRPr="00283806">
        <w:rPr>
          <w:w w:val="105"/>
        </w:rPr>
        <w:t>move</w:t>
      </w:r>
      <w:proofErr w:type="gramEnd"/>
      <w:r w:rsidRPr="00283806">
        <w:rPr>
          <w:w w:val="105"/>
        </w:rPr>
        <w:t xml:space="preserve"> </w:t>
      </w:r>
      <w:proofErr w:type="gramStart"/>
      <w:r w:rsidRPr="00283806">
        <w:rPr>
          <w:w w:val="105"/>
        </w:rPr>
        <w:t>the January</w:t>
      </w:r>
      <w:proofErr w:type="gramEnd"/>
      <w:r w:rsidRPr="00283806">
        <w:rPr>
          <w:w w:val="105"/>
        </w:rPr>
        <w:t xml:space="preserve"> 1, 2028, compliance date back at least two years to allow for development of the necessary supply of reclaimed HFC refrigerants on the market. Another commenter supported the 2028 timeline for the implementation of reclaimed refrigerants and noted that EPA’s </w:t>
      </w:r>
      <w:proofErr w:type="gramStart"/>
      <w:r w:rsidRPr="00283806">
        <w:rPr>
          <w:w w:val="105"/>
        </w:rPr>
        <w:t>firm</w:t>
      </w:r>
      <w:proofErr w:type="gramEnd"/>
      <w:r w:rsidRPr="00283806">
        <w:rPr>
          <w:w w:val="105"/>
        </w:rPr>
        <w:t xml:space="preserve"> rulemaking will help make a strong business case for scaling up separation </w:t>
      </w:r>
      <w:r w:rsidRPr="00283806">
        <w:rPr>
          <w:spacing w:val="-2"/>
          <w:w w:val="105"/>
        </w:rPr>
        <w:t>technologies.</w:t>
      </w:r>
    </w:p>
    <w:p w14:paraId="6BBD98DD" w14:textId="77777777" w:rsidR="00D67C1E" w:rsidRPr="00283806" w:rsidRDefault="001265CA">
      <w:pPr>
        <w:pStyle w:val="BodyText"/>
        <w:spacing w:line="213" w:lineRule="auto"/>
        <w:ind w:firstLine="180"/>
      </w:pPr>
      <w:r w:rsidRPr="00283806">
        <w:rPr>
          <w:rFonts w:ascii="Book Antiqua"/>
          <w:i/>
          <w:w w:val="105"/>
        </w:rPr>
        <w:t xml:space="preserve">Response: </w:t>
      </w:r>
      <w:r w:rsidRPr="00283806">
        <w:rPr>
          <w:w w:val="105"/>
        </w:rPr>
        <w:t>EPA acknowledges these comments and responds that the Agency</w:t>
      </w:r>
    </w:p>
    <w:p w14:paraId="639E57E9" w14:textId="77777777" w:rsidR="00D67C1E" w:rsidRPr="00283806" w:rsidRDefault="001265CA">
      <w:pPr>
        <w:pStyle w:val="BodyText"/>
        <w:spacing w:line="225" w:lineRule="auto"/>
        <w:ind w:right="7"/>
      </w:pPr>
      <w:r w:rsidRPr="00283806">
        <w:rPr>
          <w:w w:val="105"/>
        </w:rPr>
        <w:t>is delaying the compliance date for the requirements for the servicing and/or repair of certain refrigerant-containing equipment to be done with reclaimed HFCs</w:t>
      </w:r>
      <w:r w:rsidRPr="00283806">
        <w:rPr>
          <w:spacing w:val="40"/>
          <w:w w:val="105"/>
        </w:rPr>
        <w:t xml:space="preserve"> </w:t>
      </w:r>
      <w:r w:rsidRPr="00283806">
        <w:rPr>
          <w:w w:val="105"/>
        </w:rPr>
        <w:t>to</w:t>
      </w:r>
      <w:r w:rsidRPr="00283806">
        <w:rPr>
          <w:spacing w:val="40"/>
          <w:w w:val="105"/>
        </w:rPr>
        <w:t xml:space="preserve"> </w:t>
      </w:r>
      <w:r w:rsidRPr="00283806">
        <w:rPr>
          <w:w w:val="105"/>
        </w:rPr>
        <w:t>January</w:t>
      </w:r>
      <w:r w:rsidRPr="00283806">
        <w:rPr>
          <w:spacing w:val="40"/>
          <w:w w:val="105"/>
        </w:rPr>
        <w:t xml:space="preserve"> </w:t>
      </w:r>
      <w:r w:rsidRPr="00283806">
        <w:rPr>
          <w:w w:val="105"/>
        </w:rPr>
        <w:t>1,</w:t>
      </w:r>
      <w:r w:rsidRPr="00283806">
        <w:rPr>
          <w:spacing w:val="40"/>
          <w:w w:val="105"/>
        </w:rPr>
        <w:t xml:space="preserve"> </w:t>
      </w:r>
      <w:r w:rsidRPr="00283806">
        <w:rPr>
          <w:w w:val="105"/>
        </w:rPr>
        <w:t>2029.</w:t>
      </w:r>
      <w:r w:rsidRPr="00283806">
        <w:rPr>
          <w:spacing w:val="40"/>
          <w:w w:val="105"/>
        </w:rPr>
        <w:t xml:space="preserve"> </w:t>
      </w:r>
      <w:r w:rsidRPr="00283806">
        <w:rPr>
          <w:w w:val="105"/>
        </w:rPr>
        <w:t>The</w:t>
      </w:r>
      <w:r w:rsidRPr="00283806">
        <w:rPr>
          <w:spacing w:val="40"/>
          <w:w w:val="105"/>
        </w:rPr>
        <w:t xml:space="preserve"> </w:t>
      </w:r>
      <w:r w:rsidRPr="00283806">
        <w:rPr>
          <w:w w:val="105"/>
        </w:rPr>
        <w:t>Agency has reviewed comments and considers January 1, 2029, as an appropriate compliance date. The delayed</w:t>
      </w:r>
      <w:r w:rsidRPr="00283806">
        <w:rPr>
          <w:spacing w:val="80"/>
          <w:w w:val="105"/>
        </w:rPr>
        <w:t xml:space="preserve"> </w:t>
      </w:r>
      <w:r w:rsidRPr="00283806">
        <w:rPr>
          <w:w w:val="105"/>
        </w:rPr>
        <w:t xml:space="preserve">compliance date provides </w:t>
      </w:r>
      <w:proofErr w:type="gramStart"/>
      <w:r w:rsidRPr="00283806">
        <w:rPr>
          <w:w w:val="105"/>
        </w:rPr>
        <w:t>industry</w:t>
      </w:r>
      <w:proofErr w:type="gramEnd"/>
      <w:r w:rsidRPr="00283806">
        <w:rPr>
          <w:w w:val="105"/>
        </w:rPr>
        <w:t xml:space="preserve"> more time to build up </w:t>
      </w:r>
      <w:proofErr w:type="gramStart"/>
      <w:r w:rsidRPr="00283806">
        <w:rPr>
          <w:w w:val="105"/>
        </w:rPr>
        <w:t>capacity</w:t>
      </w:r>
      <w:proofErr w:type="gramEnd"/>
      <w:r w:rsidRPr="00283806">
        <w:rPr>
          <w:w w:val="105"/>
        </w:rPr>
        <w:t xml:space="preserve"> of reclaimed HFCs available for these activities and</w:t>
      </w:r>
      <w:r w:rsidRPr="00283806">
        <w:rPr>
          <w:spacing w:val="80"/>
          <w:w w:val="105"/>
        </w:rPr>
        <w:t xml:space="preserve"> </w:t>
      </w:r>
      <w:r w:rsidRPr="00283806">
        <w:rPr>
          <w:w w:val="105"/>
        </w:rPr>
        <w:t>for those in RACHP subsectors required to service and/or repair refrigerant- containing equipment with reclaimed HFCs to establish avenues to obtain the reclaimed HFC refrigerants. A</w:t>
      </w:r>
      <w:r w:rsidRPr="00283806">
        <w:rPr>
          <w:spacing w:val="40"/>
          <w:w w:val="105"/>
        </w:rPr>
        <w:t xml:space="preserve"> </w:t>
      </w:r>
      <w:r w:rsidRPr="00283806">
        <w:rPr>
          <w:w w:val="105"/>
        </w:rPr>
        <w:t>compliance date of January 1, 2029, also aligns with the next major step of the phasedown under the AIM Act when virgin</w:t>
      </w:r>
      <w:r w:rsidRPr="00283806">
        <w:rPr>
          <w:spacing w:val="40"/>
          <w:w w:val="105"/>
        </w:rPr>
        <w:t xml:space="preserve"> </w:t>
      </w:r>
      <w:r w:rsidRPr="00283806">
        <w:rPr>
          <w:w w:val="105"/>
        </w:rPr>
        <w:t>HFC</w:t>
      </w:r>
      <w:r w:rsidRPr="00283806">
        <w:rPr>
          <w:spacing w:val="40"/>
          <w:w w:val="105"/>
        </w:rPr>
        <w:t xml:space="preserve"> </w:t>
      </w:r>
      <w:r w:rsidRPr="00283806">
        <w:rPr>
          <w:w w:val="105"/>
        </w:rPr>
        <w:t>production</w:t>
      </w:r>
      <w:r w:rsidRPr="00283806">
        <w:rPr>
          <w:spacing w:val="40"/>
          <w:w w:val="105"/>
        </w:rPr>
        <w:t xml:space="preserve"> </w:t>
      </w:r>
      <w:r w:rsidRPr="00283806">
        <w:rPr>
          <w:w w:val="105"/>
        </w:rPr>
        <w:t>and</w:t>
      </w:r>
      <w:r w:rsidRPr="00283806">
        <w:rPr>
          <w:spacing w:val="40"/>
          <w:w w:val="105"/>
        </w:rPr>
        <w:t xml:space="preserve"> </w:t>
      </w:r>
      <w:r w:rsidRPr="00283806">
        <w:rPr>
          <w:w w:val="105"/>
        </w:rPr>
        <w:t xml:space="preserve">consumption will be reduced to 30 percent of the baseline. Reclaimed HFCs will play a crucial role in supporting refrigerant-containing equipment using HFCs as this next step of the phasedown </w:t>
      </w:r>
      <w:r w:rsidRPr="00283806">
        <w:rPr>
          <w:spacing w:val="-2"/>
          <w:w w:val="105"/>
        </w:rPr>
        <w:t>occurs.</w:t>
      </w:r>
    </w:p>
    <w:p w14:paraId="4C9F68C6" w14:textId="77777777" w:rsidR="00D67C1E" w:rsidRPr="00283806" w:rsidRDefault="001265CA">
      <w:pPr>
        <w:spacing w:line="176" w:lineRule="exact"/>
        <w:ind w:left="340"/>
        <w:rPr>
          <w:sz w:val="18"/>
        </w:rPr>
      </w:pPr>
      <w:r w:rsidRPr="00283806">
        <w:rPr>
          <w:rFonts w:ascii="Book Antiqua"/>
          <w:i/>
          <w:w w:val="110"/>
          <w:sz w:val="18"/>
        </w:rPr>
        <w:t>Comment:</w:t>
      </w:r>
      <w:r w:rsidRPr="00283806">
        <w:rPr>
          <w:rFonts w:ascii="Book Antiqua"/>
          <w:i/>
          <w:spacing w:val="-2"/>
          <w:w w:val="110"/>
          <w:sz w:val="18"/>
        </w:rPr>
        <w:t xml:space="preserve"> </w:t>
      </w:r>
      <w:r w:rsidRPr="00283806">
        <w:rPr>
          <w:w w:val="110"/>
          <w:sz w:val="18"/>
        </w:rPr>
        <w:t>EPA</w:t>
      </w:r>
      <w:r w:rsidRPr="00283806">
        <w:rPr>
          <w:spacing w:val="5"/>
          <w:w w:val="110"/>
          <w:sz w:val="18"/>
        </w:rPr>
        <w:t xml:space="preserve"> </w:t>
      </w:r>
      <w:r w:rsidRPr="00283806">
        <w:rPr>
          <w:w w:val="110"/>
          <w:sz w:val="18"/>
        </w:rPr>
        <w:t>received</w:t>
      </w:r>
      <w:r w:rsidRPr="00283806">
        <w:rPr>
          <w:spacing w:val="4"/>
          <w:w w:val="110"/>
          <w:sz w:val="18"/>
        </w:rPr>
        <w:t xml:space="preserve"> </w:t>
      </w:r>
      <w:r w:rsidRPr="00283806">
        <w:rPr>
          <w:spacing w:val="-4"/>
          <w:w w:val="110"/>
          <w:sz w:val="18"/>
        </w:rPr>
        <w:t>many</w:t>
      </w:r>
    </w:p>
    <w:p w14:paraId="1A8359AF" w14:textId="77777777" w:rsidR="00D67C1E" w:rsidRPr="00283806" w:rsidRDefault="001265CA">
      <w:pPr>
        <w:pStyle w:val="BodyText"/>
        <w:spacing w:line="225" w:lineRule="auto"/>
        <w:ind w:right="58"/>
      </w:pPr>
      <w:r w:rsidRPr="00283806">
        <w:rPr>
          <w:w w:val="105"/>
        </w:rPr>
        <w:t>comments on the included subsectors</w:t>
      </w:r>
      <w:r w:rsidRPr="00283806">
        <w:rPr>
          <w:spacing w:val="80"/>
          <w:w w:val="105"/>
        </w:rPr>
        <w:t xml:space="preserve"> </w:t>
      </w:r>
      <w:r w:rsidRPr="00283806">
        <w:rPr>
          <w:w w:val="105"/>
        </w:rPr>
        <w:t>for the requirements for use of</w:t>
      </w:r>
      <w:r w:rsidRPr="00283806">
        <w:rPr>
          <w:spacing w:val="80"/>
          <w:w w:val="105"/>
        </w:rPr>
        <w:t xml:space="preserve"> </w:t>
      </w:r>
      <w:r w:rsidRPr="00283806">
        <w:rPr>
          <w:w w:val="105"/>
        </w:rPr>
        <w:t>reclaimed refrigerants for servicing and repair. One commenter recommended that EPA follow the approach taken by California’s SB 1206 and implement reclaimed use requirements for all HFC sectors. The commenter stated that</w:t>
      </w:r>
      <w:r w:rsidRPr="00283806">
        <w:rPr>
          <w:spacing w:val="40"/>
          <w:w w:val="105"/>
        </w:rPr>
        <w:t xml:space="preserve"> </w:t>
      </w:r>
      <w:r w:rsidRPr="00283806">
        <w:rPr>
          <w:w w:val="105"/>
        </w:rPr>
        <w:t>CARB adopted a prohibition on the sale, distribution, or other entrance to the market of newly produced bulk high- GWP HFCs, regardless of the sector. The commenter recommended that EPA take this comprehensive approach to establishing requirements for reclaimed HFCs, since it would apply to bulk refrigerant used in all sectors, including retail food applications and non-space conditioning heat pump sectors such as clothes dryers, water heaters, and pool</w:t>
      </w:r>
    </w:p>
    <w:p w14:paraId="3C145BAD" w14:textId="77777777" w:rsidR="00D67C1E" w:rsidRPr="00283806" w:rsidRDefault="001265CA">
      <w:pPr>
        <w:pStyle w:val="BodyText"/>
        <w:spacing w:before="136" w:line="225" w:lineRule="auto"/>
        <w:ind w:left="144" w:right="148"/>
      </w:pPr>
      <w:r w:rsidRPr="00283806">
        <w:br w:type="column"/>
      </w:r>
      <w:r w:rsidRPr="00283806">
        <w:rPr>
          <w:w w:val="105"/>
        </w:rPr>
        <w:t>and spa heaters. The commenter also stated that since these technologies are projected to experience rapid adoption in the next decade, if they are not addressed in the 2023 Technology Transitions Rule, these sectors’ equipment manufacturers may not be incentivized to transition away from high-GWP refrigerants.</w:t>
      </w:r>
    </w:p>
    <w:p w14:paraId="740DD22A" w14:textId="77777777" w:rsidR="00D67C1E" w:rsidRPr="00283806" w:rsidRDefault="001265CA">
      <w:pPr>
        <w:pStyle w:val="BodyText"/>
        <w:spacing w:line="177" w:lineRule="exact"/>
        <w:ind w:left="324"/>
      </w:pPr>
      <w:r w:rsidRPr="00283806">
        <w:rPr>
          <w:w w:val="105"/>
        </w:rPr>
        <w:t>One</w:t>
      </w:r>
      <w:r w:rsidRPr="00283806">
        <w:rPr>
          <w:spacing w:val="13"/>
          <w:w w:val="105"/>
        </w:rPr>
        <w:t xml:space="preserve"> </w:t>
      </w:r>
      <w:r w:rsidRPr="00283806">
        <w:rPr>
          <w:w w:val="105"/>
        </w:rPr>
        <w:t>commenter</w:t>
      </w:r>
      <w:r w:rsidRPr="00283806">
        <w:rPr>
          <w:spacing w:val="14"/>
          <w:w w:val="105"/>
        </w:rPr>
        <w:t xml:space="preserve"> </w:t>
      </w:r>
      <w:r w:rsidRPr="00283806">
        <w:rPr>
          <w:w w:val="105"/>
        </w:rPr>
        <w:t>recommended</w:t>
      </w:r>
      <w:r w:rsidRPr="00283806">
        <w:rPr>
          <w:spacing w:val="14"/>
          <w:w w:val="105"/>
        </w:rPr>
        <w:t xml:space="preserve"> </w:t>
      </w:r>
      <w:r w:rsidRPr="00283806">
        <w:rPr>
          <w:spacing w:val="-4"/>
          <w:w w:val="105"/>
        </w:rPr>
        <w:t>that</w:t>
      </w:r>
    </w:p>
    <w:p w14:paraId="514478B0" w14:textId="77777777" w:rsidR="00D67C1E" w:rsidRPr="00283806" w:rsidRDefault="001265CA">
      <w:pPr>
        <w:pStyle w:val="BodyText"/>
        <w:spacing w:before="3" w:line="225" w:lineRule="auto"/>
        <w:ind w:left="144"/>
      </w:pPr>
      <w:r w:rsidRPr="00283806">
        <w:rPr>
          <w:w w:val="105"/>
        </w:rPr>
        <w:t>EPA</w:t>
      </w:r>
      <w:r w:rsidRPr="00283806">
        <w:rPr>
          <w:spacing w:val="40"/>
          <w:w w:val="105"/>
        </w:rPr>
        <w:t xml:space="preserve"> </w:t>
      </w:r>
      <w:proofErr w:type="gramStart"/>
      <w:r w:rsidRPr="00283806">
        <w:rPr>
          <w:w w:val="105"/>
        </w:rPr>
        <w:t>include</w:t>
      </w:r>
      <w:proofErr w:type="gramEnd"/>
      <w:r w:rsidRPr="00283806">
        <w:rPr>
          <w:spacing w:val="40"/>
          <w:w w:val="105"/>
        </w:rPr>
        <w:t xml:space="preserve"> </w:t>
      </w:r>
      <w:r w:rsidRPr="00283806">
        <w:rPr>
          <w:w w:val="105"/>
        </w:rPr>
        <w:t>residential</w:t>
      </w:r>
      <w:r w:rsidRPr="00283806">
        <w:rPr>
          <w:spacing w:val="40"/>
          <w:w w:val="105"/>
        </w:rPr>
        <w:t xml:space="preserve"> </w:t>
      </w:r>
      <w:r w:rsidRPr="00283806">
        <w:rPr>
          <w:w w:val="105"/>
        </w:rPr>
        <w:t>air</w:t>
      </w:r>
      <w:r w:rsidRPr="00283806">
        <w:rPr>
          <w:spacing w:val="40"/>
          <w:w w:val="105"/>
        </w:rPr>
        <w:t xml:space="preserve"> </w:t>
      </w:r>
      <w:r w:rsidRPr="00283806">
        <w:rPr>
          <w:w w:val="105"/>
        </w:rPr>
        <w:t>conditioning, light commercial air conditioning, heat pumps, cold storage warehouses, and IPR sectors in the requirements for servicing and/or repair of refrigerant-containing equipment</w:t>
      </w:r>
      <w:r w:rsidRPr="00283806">
        <w:rPr>
          <w:spacing w:val="80"/>
          <w:w w:val="105"/>
        </w:rPr>
        <w:t xml:space="preserve"> </w:t>
      </w:r>
      <w:r w:rsidRPr="00283806">
        <w:rPr>
          <w:w w:val="105"/>
        </w:rPr>
        <w:t>with reclaimed HFCs if EPA does not</w:t>
      </w:r>
      <w:r w:rsidRPr="00283806">
        <w:rPr>
          <w:spacing w:val="80"/>
          <w:w w:val="105"/>
        </w:rPr>
        <w:t xml:space="preserve"> </w:t>
      </w:r>
      <w:r w:rsidRPr="00283806">
        <w:rPr>
          <w:w w:val="105"/>
        </w:rPr>
        <w:t>take a comprehensive approach to include</w:t>
      </w:r>
      <w:r w:rsidRPr="00283806">
        <w:rPr>
          <w:spacing w:val="40"/>
          <w:w w:val="105"/>
        </w:rPr>
        <w:t xml:space="preserve"> </w:t>
      </w:r>
      <w:r w:rsidRPr="00283806">
        <w:rPr>
          <w:w w:val="105"/>
        </w:rPr>
        <w:t>all</w:t>
      </w:r>
      <w:r w:rsidRPr="00283806">
        <w:rPr>
          <w:spacing w:val="40"/>
          <w:w w:val="105"/>
        </w:rPr>
        <w:t xml:space="preserve"> </w:t>
      </w:r>
      <w:r w:rsidRPr="00283806">
        <w:rPr>
          <w:w w:val="105"/>
        </w:rPr>
        <w:t>sectors</w:t>
      </w:r>
      <w:r w:rsidRPr="00283806">
        <w:rPr>
          <w:spacing w:val="40"/>
          <w:w w:val="105"/>
        </w:rPr>
        <w:t xml:space="preserve"> </w:t>
      </w:r>
      <w:r w:rsidRPr="00283806">
        <w:rPr>
          <w:w w:val="105"/>
        </w:rPr>
        <w:t>in</w:t>
      </w:r>
      <w:r w:rsidRPr="00283806">
        <w:rPr>
          <w:spacing w:val="40"/>
          <w:w w:val="105"/>
        </w:rPr>
        <w:t xml:space="preserve"> </w:t>
      </w:r>
      <w:r w:rsidRPr="00283806">
        <w:rPr>
          <w:w w:val="105"/>
        </w:rPr>
        <w:t>these requirements.</w:t>
      </w:r>
      <w:r w:rsidRPr="00283806">
        <w:rPr>
          <w:spacing w:val="-4"/>
          <w:w w:val="105"/>
        </w:rPr>
        <w:t xml:space="preserve"> </w:t>
      </w:r>
      <w:r w:rsidRPr="00283806">
        <w:rPr>
          <w:w w:val="105"/>
        </w:rPr>
        <w:t>One</w:t>
      </w:r>
      <w:r w:rsidRPr="00283806">
        <w:rPr>
          <w:spacing w:val="-4"/>
          <w:w w:val="105"/>
        </w:rPr>
        <w:t xml:space="preserve"> </w:t>
      </w:r>
      <w:r w:rsidRPr="00283806">
        <w:rPr>
          <w:w w:val="105"/>
        </w:rPr>
        <w:t>commenter</w:t>
      </w:r>
      <w:r w:rsidRPr="00283806">
        <w:rPr>
          <w:spacing w:val="-4"/>
          <w:w w:val="105"/>
        </w:rPr>
        <w:t xml:space="preserve"> </w:t>
      </w:r>
      <w:r w:rsidRPr="00283806">
        <w:rPr>
          <w:w w:val="105"/>
        </w:rPr>
        <w:t>requested that the proposed prohibition of virgin refrigerant usage for equipment</w:t>
      </w:r>
      <w:r w:rsidRPr="00283806">
        <w:rPr>
          <w:spacing w:val="40"/>
          <w:w w:val="105"/>
        </w:rPr>
        <w:t xml:space="preserve"> </w:t>
      </w:r>
      <w:r w:rsidRPr="00283806">
        <w:rPr>
          <w:w w:val="105"/>
        </w:rPr>
        <w:t>servicing be limited to supermarkets,</w:t>
      </w:r>
      <w:r w:rsidRPr="00283806">
        <w:rPr>
          <w:spacing w:val="40"/>
          <w:w w:val="105"/>
        </w:rPr>
        <w:t xml:space="preserve"> </w:t>
      </w:r>
      <w:r w:rsidRPr="00283806">
        <w:rPr>
          <w:w w:val="105"/>
        </w:rPr>
        <w:t>cold storage warehouses, refrigerated transport, and automatic commercial icemakers. Another commenter noted that many of these subsectors are</w:t>
      </w:r>
      <w:r w:rsidRPr="00283806">
        <w:rPr>
          <w:spacing w:val="80"/>
          <w:w w:val="105"/>
        </w:rPr>
        <w:t xml:space="preserve"> </w:t>
      </w:r>
      <w:r w:rsidRPr="00283806">
        <w:rPr>
          <w:w w:val="105"/>
        </w:rPr>
        <w:t xml:space="preserve">already transitioning to ultra-low-GWP alternatives for new equipment. The commenter stated that the supermarket sector </w:t>
      </w:r>
      <w:proofErr w:type="gramStart"/>
      <w:r w:rsidRPr="00283806">
        <w:rPr>
          <w:w w:val="105"/>
        </w:rPr>
        <w:t>in particular is</w:t>
      </w:r>
      <w:proofErr w:type="gramEnd"/>
      <w:r w:rsidRPr="00283806">
        <w:rPr>
          <w:w w:val="105"/>
        </w:rPr>
        <w:t xml:space="preserve"> anticipated to undergo significant near-term retrofits from</w:t>
      </w:r>
      <w:r w:rsidRPr="00283806">
        <w:rPr>
          <w:spacing w:val="40"/>
          <w:w w:val="105"/>
        </w:rPr>
        <w:t xml:space="preserve"> </w:t>
      </w:r>
      <w:r w:rsidRPr="00283806">
        <w:rPr>
          <w:w w:val="105"/>
        </w:rPr>
        <w:t>high-</w:t>
      </w:r>
      <w:r w:rsidRPr="00283806">
        <w:rPr>
          <w:spacing w:val="40"/>
          <w:w w:val="105"/>
        </w:rPr>
        <w:t xml:space="preserve"> </w:t>
      </w:r>
      <w:r w:rsidRPr="00283806">
        <w:rPr>
          <w:w w:val="105"/>
        </w:rPr>
        <w:t>to</w:t>
      </w:r>
      <w:r w:rsidRPr="00283806">
        <w:rPr>
          <w:spacing w:val="40"/>
          <w:w w:val="105"/>
        </w:rPr>
        <w:t xml:space="preserve"> </w:t>
      </w:r>
      <w:r w:rsidRPr="00283806">
        <w:rPr>
          <w:w w:val="105"/>
        </w:rPr>
        <w:t>low-GWP</w:t>
      </w:r>
      <w:r w:rsidRPr="00283806">
        <w:rPr>
          <w:spacing w:val="40"/>
          <w:w w:val="105"/>
        </w:rPr>
        <w:t xml:space="preserve"> </w:t>
      </w:r>
      <w:r w:rsidRPr="00283806">
        <w:rPr>
          <w:w w:val="105"/>
        </w:rPr>
        <w:t>HFCs,</w:t>
      </w:r>
      <w:r w:rsidRPr="00283806">
        <w:rPr>
          <w:spacing w:val="40"/>
          <w:w w:val="105"/>
        </w:rPr>
        <w:t xml:space="preserve"> </w:t>
      </w:r>
      <w:r w:rsidRPr="00283806">
        <w:rPr>
          <w:w w:val="105"/>
        </w:rPr>
        <w:t xml:space="preserve">which will make large quantities of retired refrigerant available for reclamation and reuse in the refrigeration servicing </w:t>
      </w:r>
      <w:r w:rsidRPr="00283806">
        <w:rPr>
          <w:spacing w:val="-2"/>
          <w:w w:val="105"/>
        </w:rPr>
        <w:t>market.</w:t>
      </w:r>
    </w:p>
    <w:p w14:paraId="4AD6D346" w14:textId="77777777" w:rsidR="00D67C1E" w:rsidRPr="00283806" w:rsidRDefault="001265CA">
      <w:pPr>
        <w:pStyle w:val="BodyText"/>
        <w:spacing w:line="170" w:lineRule="exact"/>
        <w:ind w:left="324"/>
      </w:pPr>
      <w:r w:rsidRPr="00283806">
        <w:rPr>
          <w:w w:val="105"/>
        </w:rPr>
        <w:t>One</w:t>
      </w:r>
      <w:r w:rsidRPr="00283806">
        <w:rPr>
          <w:spacing w:val="12"/>
          <w:w w:val="105"/>
        </w:rPr>
        <w:t xml:space="preserve"> </w:t>
      </w:r>
      <w:r w:rsidRPr="00283806">
        <w:rPr>
          <w:w w:val="105"/>
        </w:rPr>
        <w:t>commenter</w:t>
      </w:r>
      <w:r w:rsidRPr="00283806">
        <w:rPr>
          <w:spacing w:val="12"/>
          <w:w w:val="105"/>
        </w:rPr>
        <w:t xml:space="preserve"> </w:t>
      </w:r>
      <w:r w:rsidRPr="00283806">
        <w:rPr>
          <w:w w:val="105"/>
        </w:rPr>
        <w:t>urged</w:t>
      </w:r>
      <w:r w:rsidRPr="00283806">
        <w:rPr>
          <w:spacing w:val="12"/>
          <w:w w:val="105"/>
        </w:rPr>
        <w:t xml:space="preserve"> </w:t>
      </w:r>
      <w:r w:rsidRPr="00283806">
        <w:rPr>
          <w:w w:val="105"/>
        </w:rPr>
        <w:t>EPA</w:t>
      </w:r>
      <w:r w:rsidRPr="00283806">
        <w:rPr>
          <w:spacing w:val="12"/>
          <w:w w:val="105"/>
        </w:rPr>
        <w:t xml:space="preserve"> </w:t>
      </w:r>
      <w:r w:rsidRPr="00283806">
        <w:rPr>
          <w:w w:val="105"/>
        </w:rPr>
        <w:t>to</w:t>
      </w:r>
      <w:r w:rsidRPr="00283806">
        <w:rPr>
          <w:spacing w:val="12"/>
          <w:w w:val="105"/>
        </w:rPr>
        <w:t xml:space="preserve"> </w:t>
      </w:r>
      <w:r w:rsidRPr="00283806">
        <w:rPr>
          <w:spacing w:val="-2"/>
          <w:w w:val="105"/>
        </w:rPr>
        <w:t>expand</w:t>
      </w:r>
    </w:p>
    <w:p w14:paraId="2E740E61" w14:textId="77777777" w:rsidR="00D67C1E" w:rsidRPr="00283806" w:rsidRDefault="001265CA">
      <w:pPr>
        <w:pStyle w:val="BodyText"/>
        <w:spacing w:before="4" w:line="225" w:lineRule="auto"/>
        <w:ind w:left="144" w:right="30"/>
      </w:pPr>
      <w:r w:rsidRPr="00283806">
        <w:rPr>
          <w:w w:val="105"/>
        </w:rPr>
        <w:t>the servicing and repair reclamation mandate to additional sectors; specifically light commercial and residential air conditioning and heat pumps. The commenter stated that the inclusion of this sector is essential to</w:t>
      </w:r>
      <w:r w:rsidRPr="00283806">
        <w:rPr>
          <w:spacing w:val="80"/>
          <w:w w:val="105"/>
        </w:rPr>
        <w:t xml:space="preserve"> </w:t>
      </w:r>
      <w:r w:rsidRPr="00283806">
        <w:rPr>
          <w:w w:val="105"/>
        </w:rPr>
        <w:t>any material growth in recovery and reclamation as it has the greatest</w:t>
      </w:r>
      <w:r w:rsidRPr="00283806">
        <w:rPr>
          <w:spacing w:val="40"/>
          <w:w w:val="105"/>
        </w:rPr>
        <w:t xml:space="preserve"> </w:t>
      </w:r>
      <w:r w:rsidRPr="00283806">
        <w:rPr>
          <w:w w:val="105"/>
        </w:rPr>
        <w:t>number of operating units and therefore the greatest number of pounds of refrigerant that can be recovered at EOL. The commenter also suggested expanding the proposed rule to include smaller outdoor units would also increase the amount of reclaim</w:t>
      </w:r>
      <w:r w:rsidRPr="00283806">
        <w:rPr>
          <w:spacing w:val="40"/>
          <w:w w:val="105"/>
        </w:rPr>
        <w:t xml:space="preserve"> </w:t>
      </w:r>
      <w:r w:rsidRPr="00283806">
        <w:rPr>
          <w:w w:val="105"/>
        </w:rPr>
        <w:t>recovered annually. The commenter suggested</w:t>
      </w:r>
      <w:r w:rsidRPr="00283806">
        <w:rPr>
          <w:spacing w:val="40"/>
          <w:w w:val="105"/>
        </w:rPr>
        <w:t xml:space="preserve"> </w:t>
      </w:r>
      <w:r w:rsidRPr="00283806">
        <w:rPr>
          <w:w w:val="105"/>
        </w:rPr>
        <w:t>that</w:t>
      </w:r>
      <w:r w:rsidRPr="00283806">
        <w:rPr>
          <w:spacing w:val="40"/>
          <w:w w:val="105"/>
        </w:rPr>
        <w:t xml:space="preserve"> </w:t>
      </w:r>
      <w:r w:rsidRPr="00283806">
        <w:rPr>
          <w:w w:val="105"/>
        </w:rPr>
        <w:t>EPA</w:t>
      </w:r>
      <w:r w:rsidRPr="00283806">
        <w:rPr>
          <w:spacing w:val="40"/>
          <w:w w:val="105"/>
        </w:rPr>
        <w:t xml:space="preserve"> </w:t>
      </w:r>
      <w:r w:rsidRPr="00283806">
        <w:rPr>
          <w:w w:val="105"/>
        </w:rPr>
        <w:t>should</w:t>
      </w:r>
      <w:r w:rsidRPr="00283806">
        <w:rPr>
          <w:spacing w:val="40"/>
          <w:w w:val="105"/>
        </w:rPr>
        <w:t xml:space="preserve"> </w:t>
      </w:r>
      <w:r w:rsidRPr="00283806">
        <w:rPr>
          <w:w w:val="105"/>
        </w:rPr>
        <w:t>focus</w:t>
      </w:r>
      <w:r w:rsidRPr="00283806">
        <w:rPr>
          <w:spacing w:val="40"/>
          <w:w w:val="105"/>
        </w:rPr>
        <w:t xml:space="preserve"> </w:t>
      </w:r>
      <w:r w:rsidRPr="00283806">
        <w:rPr>
          <w:w w:val="105"/>
        </w:rPr>
        <w:t>the rule on system mandates, as opposed to mandates by sector. The commenter noted that this approach will help contractors better understand the reclaim refrigerant requirements by relying on the type of system and stated refrigerant charge. Moreover, the commenter claimed that, as the lower- GWP systems begin to be installed pursuant to the 2023 Technology Transitions Rule, EPA could then lower its GWP target below 1,000 GWP as stated in this suggested approach and create additional reclaim mandates for</w:t>
      </w:r>
    </w:p>
    <w:p w14:paraId="355872EF" w14:textId="77777777" w:rsidR="00D67C1E" w:rsidRPr="00283806" w:rsidRDefault="001265CA">
      <w:pPr>
        <w:pStyle w:val="BodyText"/>
        <w:spacing w:before="134" w:line="228" w:lineRule="auto"/>
        <w:ind w:left="142" w:right="153"/>
      </w:pPr>
      <w:r w:rsidRPr="00283806">
        <w:br w:type="column"/>
      </w:r>
      <w:r w:rsidRPr="00283806">
        <w:rPr>
          <w:w w:val="105"/>
        </w:rPr>
        <w:t xml:space="preserve">the lower-GWP systems. The commenter further stated that, as with the ODS phaseout, using the ‘‘worst </w:t>
      </w:r>
      <w:proofErr w:type="gramStart"/>
      <w:r w:rsidRPr="00283806">
        <w:rPr>
          <w:w w:val="105"/>
        </w:rPr>
        <w:t>first’’</w:t>
      </w:r>
      <w:proofErr w:type="gramEnd"/>
      <w:r w:rsidRPr="00283806">
        <w:rPr>
          <w:spacing w:val="40"/>
          <w:w w:val="105"/>
        </w:rPr>
        <w:t xml:space="preserve"> </w:t>
      </w:r>
      <w:r w:rsidRPr="00283806">
        <w:rPr>
          <w:w w:val="105"/>
        </w:rPr>
        <w:t>principle</w:t>
      </w:r>
      <w:r w:rsidRPr="00283806">
        <w:rPr>
          <w:spacing w:val="40"/>
          <w:w w:val="105"/>
        </w:rPr>
        <w:t xml:space="preserve"> </w:t>
      </w:r>
      <w:r w:rsidRPr="00283806">
        <w:rPr>
          <w:w w:val="105"/>
        </w:rPr>
        <w:t>creates</w:t>
      </w:r>
      <w:r w:rsidRPr="00283806">
        <w:rPr>
          <w:spacing w:val="40"/>
          <w:w w:val="105"/>
        </w:rPr>
        <w:t xml:space="preserve"> </w:t>
      </w:r>
      <w:r w:rsidRPr="00283806">
        <w:rPr>
          <w:w w:val="105"/>
        </w:rPr>
        <w:t>significant</w:t>
      </w:r>
      <w:r w:rsidRPr="00283806">
        <w:rPr>
          <w:spacing w:val="40"/>
          <w:w w:val="105"/>
        </w:rPr>
        <w:t xml:space="preserve"> </w:t>
      </w:r>
      <w:r w:rsidRPr="00283806">
        <w:rPr>
          <w:w w:val="105"/>
        </w:rPr>
        <w:t>reduction</w:t>
      </w:r>
      <w:r w:rsidRPr="00283806">
        <w:rPr>
          <w:spacing w:val="40"/>
          <w:w w:val="105"/>
        </w:rPr>
        <w:t xml:space="preserve"> </w:t>
      </w:r>
      <w:r w:rsidRPr="00283806">
        <w:rPr>
          <w:w w:val="105"/>
        </w:rPr>
        <w:t xml:space="preserve">in </w:t>
      </w:r>
      <w:proofErr w:type="gramStart"/>
      <w:r w:rsidRPr="00283806">
        <w:rPr>
          <w:w w:val="105"/>
        </w:rPr>
        <w:t>the earlier</w:t>
      </w:r>
      <w:proofErr w:type="gramEnd"/>
      <w:r w:rsidRPr="00283806">
        <w:rPr>
          <w:w w:val="105"/>
        </w:rPr>
        <w:t xml:space="preserve"> years.</w:t>
      </w:r>
    </w:p>
    <w:p w14:paraId="1D3E108B" w14:textId="77777777" w:rsidR="00D67C1E" w:rsidRPr="00283806" w:rsidRDefault="001265CA">
      <w:pPr>
        <w:pStyle w:val="BodyText"/>
        <w:spacing w:before="37" w:line="228" w:lineRule="auto"/>
        <w:ind w:left="142" w:right="120" w:firstLine="180"/>
      </w:pPr>
      <w:r w:rsidRPr="00283806">
        <w:rPr>
          <w:w w:val="105"/>
        </w:rPr>
        <w:t>Some commenters expressed opposition to EPA’s proposed mandate</w:t>
      </w:r>
      <w:r w:rsidRPr="00283806">
        <w:rPr>
          <w:spacing w:val="80"/>
          <w:w w:val="105"/>
        </w:rPr>
        <w:t xml:space="preserve"> </w:t>
      </w:r>
      <w:r w:rsidRPr="00283806">
        <w:rPr>
          <w:w w:val="105"/>
        </w:rPr>
        <w:t>to use reclaimed gas for servicing</w:t>
      </w:r>
      <w:r w:rsidRPr="00283806">
        <w:rPr>
          <w:spacing w:val="80"/>
          <w:w w:val="105"/>
        </w:rPr>
        <w:t xml:space="preserve"> </w:t>
      </w:r>
      <w:r w:rsidRPr="00283806">
        <w:rPr>
          <w:w w:val="105"/>
        </w:rPr>
        <w:t>various subsectors; specifically, the</w:t>
      </w:r>
      <w:r w:rsidRPr="00283806">
        <w:rPr>
          <w:spacing w:val="80"/>
          <w:w w:val="150"/>
        </w:rPr>
        <w:t xml:space="preserve"> </w:t>
      </w:r>
      <w:r w:rsidRPr="00283806">
        <w:rPr>
          <w:w w:val="105"/>
        </w:rPr>
        <w:t>retail food manufacturing and distribution</w:t>
      </w:r>
      <w:r w:rsidRPr="00283806">
        <w:rPr>
          <w:spacing w:val="35"/>
          <w:w w:val="105"/>
        </w:rPr>
        <w:t xml:space="preserve"> </w:t>
      </w:r>
      <w:r w:rsidRPr="00283806">
        <w:rPr>
          <w:w w:val="105"/>
        </w:rPr>
        <w:t>sector.</w:t>
      </w:r>
      <w:r w:rsidRPr="00283806">
        <w:rPr>
          <w:spacing w:val="35"/>
          <w:w w:val="105"/>
        </w:rPr>
        <w:t xml:space="preserve"> </w:t>
      </w:r>
      <w:r w:rsidRPr="00283806">
        <w:rPr>
          <w:w w:val="105"/>
        </w:rPr>
        <w:t>Multiple</w:t>
      </w:r>
      <w:r w:rsidRPr="00283806">
        <w:rPr>
          <w:spacing w:val="40"/>
          <w:w w:val="105"/>
        </w:rPr>
        <w:t xml:space="preserve"> </w:t>
      </w:r>
      <w:r w:rsidRPr="00283806">
        <w:rPr>
          <w:w w:val="105"/>
        </w:rPr>
        <w:t>commenters expressed opposition to EPA’s proposed requirements for HFC refrigerant reclaim in the retail food industry and other commercial refrigeration. The commenters stated</w:t>
      </w:r>
      <w:r w:rsidRPr="00283806">
        <w:rPr>
          <w:spacing w:val="40"/>
          <w:w w:val="105"/>
        </w:rPr>
        <w:t xml:space="preserve"> </w:t>
      </w:r>
      <w:r w:rsidRPr="00283806">
        <w:rPr>
          <w:w w:val="105"/>
        </w:rPr>
        <w:t>that the cost of reclaimed HFC refrigerants will not be cheaper than</w:t>
      </w:r>
      <w:r w:rsidRPr="00283806">
        <w:rPr>
          <w:spacing w:val="80"/>
          <w:w w:val="105"/>
        </w:rPr>
        <w:t xml:space="preserve"> </w:t>
      </w:r>
      <w:r w:rsidRPr="00283806">
        <w:rPr>
          <w:w w:val="105"/>
        </w:rPr>
        <w:t>new HFCs. Three commenters claimed that reclaimed HFCs are more expensive than HFCs because reclaimers incur significant equipment and operational costs, including HFC losses during reclamation, equipment upkeep costs,</w:t>
      </w:r>
      <w:r w:rsidRPr="00283806">
        <w:rPr>
          <w:spacing w:val="40"/>
          <w:w w:val="105"/>
        </w:rPr>
        <w:t xml:space="preserve"> </w:t>
      </w:r>
      <w:r w:rsidRPr="00283806">
        <w:rPr>
          <w:w w:val="105"/>
        </w:rPr>
        <w:t>and costs associated with rebalancing refrigerants. One commenter stated that, since some industries are not required</w:t>
      </w:r>
      <w:r w:rsidRPr="00283806">
        <w:rPr>
          <w:spacing w:val="80"/>
          <w:w w:val="150"/>
        </w:rPr>
        <w:t xml:space="preserve"> </w:t>
      </w:r>
      <w:r w:rsidRPr="00283806">
        <w:rPr>
          <w:w w:val="105"/>
        </w:rPr>
        <w:t>to use reclaimed HFC refrigerant, they will procure either new or used HFCs, depending on which is cheaper, so the price of reclaimed HFC refrigerant will always be at least as high as new HFCs. The commenter continued by stating</w:t>
      </w:r>
      <w:r w:rsidRPr="00283806">
        <w:rPr>
          <w:spacing w:val="80"/>
          <w:w w:val="105"/>
        </w:rPr>
        <w:t xml:space="preserve"> </w:t>
      </w:r>
      <w:r w:rsidRPr="00283806">
        <w:rPr>
          <w:w w:val="105"/>
        </w:rPr>
        <w:t>that the proposed requirements will</w:t>
      </w:r>
      <w:r w:rsidRPr="00283806">
        <w:rPr>
          <w:spacing w:val="40"/>
          <w:w w:val="105"/>
        </w:rPr>
        <w:t xml:space="preserve"> </w:t>
      </w:r>
      <w:r w:rsidRPr="00283806">
        <w:rPr>
          <w:w w:val="105"/>
        </w:rPr>
        <w:t>drive demand for reclaimed HFC refrigerant above that of new HFC refrigerant, likely causing them to cost more. Further, the commenter claimed that the use of reclaimed HFCs for equipment servicing and repair may be technically infeasible for custom-built equipment, particularly when upgrading or replacing components. The</w:t>
      </w:r>
      <w:r w:rsidRPr="00283806">
        <w:rPr>
          <w:spacing w:val="40"/>
          <w:w w:val="105"/>
        </w:rPr>
        <w:t xml:space="preserve"> </w:t>
      </w:r>
      <w:r w:rsidRPr="00283806">
        <w:rPr>
          <w:w w:val="105"/>
        </w:rPr>
        <w:t>commenter stated that a limited supply</w:t>
      </w:r>
      <w:r w:rsidRPr="00283806">
        <w:rPr>
          <w:spacing w:val="40"/>
          <w:w w:val="105"/>
        </w:rPr>
        <w:t xml:space="preserve"> </w:t>
      </w:r>
      <w:r w:rsidRPr="00283806">
        <w:rPr>
          <w:w w:val="105"/>
        </w:rPr>
        <w:t>of niche HFCs or blends not</w:t>
      </w:r>
      <w:r w:rsidRPr="00283806">
        <w:rPr>
          <w:spacing w:val="40"/>
          <w:w w:val="105"/>
        </w:rPr>
        <w:t xml:space="preserve"> </w:t>
      </w:r>
      <w:r w:rsidRPr="00283806">
        <w:rPr>
          <w:w w:val="105"/>
        </w:rPr>
        <w:t>manufactured</w:t>
      </w:r>
      <w:r w:rsidRPr="00283806">
        <w:rPr>
          <w:spacing w:val="40"/>
          <w:w w:val="105"/>
        </w:rPr>
        <w:t xml:space="preserve"> </w:t>
      </w:r>
      <w:r w:rsidRPr="00283806">
        <w:rPr>
          <w:w w:val="105"/>
        </w:rPr>
        <w:t>or</w:t>
      </w:r>
      <w:r w:rsidRPr="00283806">
        <w:rPr>
          <w:spacing w:val="40"/>
          <w:w w:val="105"/>
        </w:rPr>
        <w:t xml:space="preserve"> </w:t>
      </w:r>
      <w:r w:rsidRPr="00283806">
        <w:rPr>
          <w:w w:val="105"/>
        </w:rPr>
        <w:t>reclaimed</w:t>
      </w:r>
      <w:r w:rsidRPr="00283806">
        <w:rPr>
          <w:spacing w:val="40"/>
          <w:w w:val="105"/>
        </w:rPr>
        <w:t xml:space="preserve"> </w:t>
      </w:r>
      <w:r w:rsidRPr="00283806">
        <w:rPr>
          <w:w w:val="105"/>
        </w:rPr>
        <w:t>in significant volumes but essential for specific subsectors may also create compliance challenges. The other commenter expressed concerns that the mandate to use reclaimed gas for servicing</w:t>
      </w:r>
      <w:r w:rsidRPr="00283806">
        <w:rPr>
          <w:spacing w:val="40"/>
          <w:w w:val="105"/>
        </w:rPr>
        <w:t xml:space="preserve"> </w:t>
      </w:r>
      <w:r w:rsidRPr="00283806">
        <w:rPr>
          <w:w w:val="105"/>
        </w:rPr>
        <w:t>will</w:t>
      </w:r>
      <w:r w:rsidRPr="00283806">
        <w:rPr>
          <w:spacing w:val="40"/>
          <w:w w:val="105"/>
        </w:rPr>
        <w:t xml:space="preserve"> </w:t>
      </w:r>
      <w:r w:rsidRPr="00283806">
        <w:rPr>
          <w:w w:val="105"/>
        </w:rPr>
        <w:t>strand</w:t>
      </w:r>
      <w:r w:rsidRPr="00283806">
        <w:rPr>
          <w:spacing w:val="40"/>
          <w:w w:val="105"/>
        </w:rPr>
        <w:t xml:space="preserve"> </w:t>
      </w:r>
      <w:r w:rsidRPr="00283806">
        <w:rPr>
          <w:w w:val="105"/>
        </w:rPr>
        <w:t xml:space="preserve">installed equipment if there is insufficient reclaimed gas to service the equipment. The commenter also noted that any time market supply and demand for a commodity are short, the price of that commodity will increase, and some consumers </w:t>
      </w:r>
      <w:proofErr w:type="gramStart"/>
      <w:r w:rsidRPr="00283806">
        <w:rPr>
          <w:w w:val="105"/>
        </w:rPr>
        <w:t>have to</w:t>
      </w:r>
      <w:proofErr w:type="gramEnd"/>
      <w:r w:rsidRPr="00283806">
        <w:rPr>
          <w:w w:val="105"/>
        </w:rPr>
        <w:t xml:space="preserve"> forgo the product, which the commenter stated would be especially unfortunate for equipment owners in the food manufacturing and distribution sectors. The commenter stated that any further disruptions or</w:t>
      </w:r>
      <w:r w:rsidRPr="00283806">
        <w:rPr>
          <w:spacing w:val="40"/>
          <w:w w:val="105"/>
        </w:rPr>
        <w:t xml:space="preserve"> </w:t>
      </w:r>
      <w:r w:rsidRPr="00283806">
        <w:rPr>
          <w:w w:val="105"/>
        </w:rPr>
        <w:t>cost escalations to the food manufacturing and distribution sectors would increase already historically high food costs.</w:t>
      </w:r>
    </w:p>
    <w:p w14:paraId="710D768A"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6" w:space="40"/>
            <w:col w:w="3502" w:space="39"/>
            <w:col w:w="3623"/>
          </w:cols>
        </w:sectPr>
      </w:pPr>
    </w:p>
    <w:p w14:paraId="2C89885E" w14:textId="77777777" w:rsidR="00D67C1E" w:rsidRPr="00283806" w:rsidRDefault="001265CA">
      <w:pPr>
        <w:pStyle w:val="BodyText"/>
        <w:spacing w:before="134" w:line="228" w:lineRule="auto"/>
        <w:ind w:right="48" w:firstLine="180"/>
      </w:pPr>
      <w:r w:rsidRPr="00283806">
        <w:rPr>
          <w:rFonts w:ascii="Book Antiqua"/>
          <w:i/>
          <w:w w:val="105"/>
        </w:rPr>
        <w:lastRenderedPageBreak/>
        <w:t xml:space="preserve">Response: </w:t>
      </w:r>
      <w:r w:rsidRPr="00283806">
        <w:rPr>
          <w:w w:val="105"/>
        </w:rPr>
        <w:t>EPA acknowledges these comments related to including</w:t>
      </w:r>
      <w:r w:rsidRPr="00283806">
        <w:rPr>
          <w:spacing w:val="40"/>
          <w:w w:val="105"/>
        </w:rPr>
        <w:t xml:space="preserve"> </w:t>
      </w:r>
      <w:r w:rsidRPr="00283806">
        <w:rPr>
          <w:w w:val="105"/>
        </w:rPr>
        <w:t>additional subsectors in the requirements for using reclaimed HFCs in this rulemaking. At this time, the Agency is finalizing requirements for</w:t>
      </w:r>
      <w:r w:rsidRPr="00283806">
        <w:rPr>
          <w:spacing w:val="80"/>
          <w:w w:val="105"/>
        </w:rPr>
        <w:t xml:space="preserve"> </w:t>
      </w:r>
      <w:r w:rsidRPr="00283806">
        <w:rPr>
          <w:w w:val="105"/>
        </w:rPr>
        <w:t>the servicing and/or repair of refrigerant-containing equipment with reclaimed HFCs in the supermarket systems, refrigerated transport, and automatic commercial ice makers subsectors. The Agency is not finalizing requirements for the servicing and/or repair of refrigerant-containing equipment with reclaimed HFCs in the stand-alone retail food refrigeration subsector and is not establishing requirements for the initial fill of refrigerant-containing equipment with</w:t>
      </w:r>
    </w:p>
    <w:p w14:paraId="334137EB" w14:textId="77777777" w:rsidR="00D67C1E" w:rsidRPr="00283806" w:rsidRDefault="001265CA">
      <w:pPr>
        <w:pStyle w:val="BodyText"/>
        <w:spacing w:line="178" w:lineRule="exact"/>
      </w:pPr>
      <w:r w:rsidRPr="00283806">
        <w:rPr>
          <w:w w:val="110"/>
        </w:rPr>
        <w:t>reclaimed</w:t>
      </w:r>
      <w:r w:rsidRPr="00283806">
        <w:rPr>
          <w:spacing w:val="-7"/>
          <w:w w:val="110"/>
        </w:rPr>
        <w:t xml:space="preserve"> </w:t>
      </w:r>
      <w:r w:rsidRPr="00283806">
        <w:rPr>
          <w:w w:val="110"/>
        </w:rPr>
        <w:t>HFCs</w:t>
      </w:r>
      <w:r w:rsidRPr="00283806">
        <w:rPr>
          <w:spacing w:val="-5"/>
          <w:w w:val="110"/>
        </w:rPr>
        <w:t xml:space="preserve"> </w:t>
      </w:r>
      <w:r w:rsidRPr="00283806">
        <w:rPr>
          <w:w w:val="110"/>
        </w:rPr>
        <w:t>in</w:t>
      </w:r>
      <w:r w:rsidRPr="00283806">
        <w:rPr>
          <w:spacing w:val="-4"/>
          <w:w w:val="110"/>
        </w:rPr>
        <w:t xml:space="preserve"> </w:t>
      </w:r>
      <w:r w:rsidRPr="00283806">
        <w:rPr>
          <w:w w:val="110"/>
        </w:rPr>
        <w:t>this</w:t>
      </w:r>
      <w:r w:rsidRPr="00283806">
        <w:rPr>
          <w:spacing w:val="-5"/>
          <w:w w:val="110"/>
        </w:rPr>
        <w:t xml:space="preserve"> </w:t>
      </w:r>
      <w:r w:rsidRPr="00283806">
        <w:rPr>
          <w:w w:val="110"/>
        </w:rPr>
        <w:t>rulemaking.</w:t>
      </w:r>
      <w:r w:rsidRPr="00283806">
        <w:rPr>
          <w:spacing w:val="-4"/>
          <w:w w:val="110"/>
        </w:rPr>
        <w:t xml:space="preserve"> </w:t>
      </w:r>
      <w:r w:rsidRPr="00283806">
        <w:rPr>
          <w:spacing w:val="-5"/>
          <w:w w:val="110"/>
        </w:rPr>
        <w:t>EPA</w:t>
      </w:r>
    </w:p>
    <w:p w14:paraId="680B0DEE" w14:textId="77777777" w:rsidR="00D67C1E" w:rsidRPr="00283806" w:rsidRDefault="001265CA">
      <w:pPr>
        <w:pStyle w:val="BodyText"/>
        <w:spacing w:before="3" w:line="228" w:lineRule="auto"/>
        <w:ind w:right="87"/>
      </w:pPr>
      <w:r w:rsidRPr="00283806">
        <w:rPr>
          <w:w w:val="105"/>
        </w:rPr>
        <w:t xml:space="preserve">is removing requirements for reclaimed HFCs in the </w:t>
      </w:r>
      <w:proofErr w:type="gramStart"/>
      <w:r w:rsidRPr="00283806">
        <w:rPr>
          <w:w w:val="105"/>
        </w:rPr>
        <w:t>servicing</w:t>
      </w:r>
      <w:proofErr w:type="gramEnd"/>
      <w:r w:rsidRPr="00283806">
        <w:rPr>
          <w:w w:val="105"/>
        </w:rPr>
        <w:t xml:space="preserve"> and/or repair of stand-alone retail food refrigeration equipment in part due to the nature of the equipment. EPA understands that these types of refrigerant-containing equipment are likely hermetically</w:t>
      </w:r>
      <w:r w:rsidRPr="00283806">
        <w:rPr>
          <w:spacing w:val="40"/>
          <w:w w:val="105"/>
        </w:rPr>
        <w:t xml:space="preserve"> </w:t>
      </w:r>
      <w:r w:rsidRPr="00283806">
        <w:rPr>
          <w:w w:val="105"/>
        </w:rPr>
        <w:t>sealed and are less likely to need servicing and/or repair.</w:t>
      </w:r>
    </w:p>
    <w:p w14:paraId="0B226251" w14:textId="77777777" w:rsidR="00D67C1E" w:rsidRPr="00283806" w:rsidRDefault="001265CA">
      <w:pPr>
        <w:pStyle w:val="BodyText"/>
        <w:spacing w:before="26" w:line="228" w:lineRule="auto"/>
        <w:ind w:firstLine="180"/>
      </w:pPr>
      <w:r w:rsidRPr="00283806">
        <w:rPr>
          <w:w w:val="105"/>
        </w:rPr>
        <w:t>EPA is not establishing an approach</w:t>
      </w:r>
      <w:r w:rsidRPr="00283806">
        <w:rPr>
          <w:spacing w:val="80"/>
          <w:w w:val="105"/>
        </w:rPr>
        <w:t xml:space="preserve"> </w:t>
      </w:r>
      <w:r w:rsidRPr="00283806">
        <w:rPr>
          <w:w w:val="105"/>
        </w:rPr>
        <w:t xml:space="preserve">for requirements to all RACHP subsectors. As described in other responses, EPA considered </w:t>
      </w:r>
      <w:proofErr w:type="gramStart"/>
      <w:r w:rsidRPr="00283806">
        <w:rPr>
          <w:w w:val="105"/>
        </w:rPr>
        <w:t>available</w:t>
      </w:r>
      <w:proofErr w:type="gramEnd"/>
      <w:r w:rsidRPr="00283806">
        <w:rPr>
          <w:w w:val="105"/>
        </w:rPr>
        <w:t xml:space="preserve"> supply</w:t>
      </w:r>
      <w:r w:rsidRPr="00283806">
        <w:rPr>
          <w:spacing w:val="40"/>
          <w:w w:val="105"/>
        </w:rPr>
        <w:t xml:space="preserve"> </w:t>
      </w:r>
      <w:r w:rsidRPr="00283806">
        <w:rPr>
          <w:w w:val="105"/>
        </w:rPr>
        <w:t>of</w:t>
      </w:r>
      <w:r w:rsidRPr="00283806">
        <w:rPr>
          <w:spacing w:val="40"/>
          <w:w w:val="105"/>
        </w:rPr>
        <w:t xml:space="preserve"> </w:t>
      </w:r>
      <w:r w:rsidRPr="00283806">
        <w:rPr>
          <w:w w:val="105"/>
        </w:rPr>
        <w:t>reclaimed</w:t>
      </w:r>
      <w:r w:rsidRPr="00283806">
        <w:rPr>
          <w:spacing w:val="40"/>
          <w:w w:val="105"/>
        </w:rPr>
        <w:t xml:space="preserve"> </w:t>
      </w:r>
      <w:r w:rsidRPr="00283806">
        <w:rPr>
          <w:w w:val="105"/>
        </w:rPr>
        <w:t>HFC</w:t>
      </w:r>
      <w:r w:rsidRPr="00283806">
        <w:rPr>
          <w:spacing w:val="40"/>
          <w:w w:val="105"/>
        </w:rPr>
        <w:t xml:space="preserve"> </w:t>
      </w:r>
      <w:proofErr w:type="gramStart"/>
      <w:r w:rsidRPr="00283806">
        <w:rPr>
          <w:w w:val="105"/>
        </w:rPr>
        <w:t>refrigerants</w:t>
      </w:r>
      <w:proofErr w:type="gramEnd"/>
      <w:r w:rsidRPr="00283806">
        <w:rPr>
          <w:w w:val="105"/>
        </w:rPr>
        <w:t xml:space="preserve"> </w:t>
      </w:r>
      <w:proofErr w:type="gramStart"/>
      <w:r w:rsidRPr="00283806">
        <w:rPr>
          <w:w w:val="105"/>
        </w:rPr>
        <w:t>per</w:t>
      </w:r>
      <w:proofErr w:type="gramEnd"/>
      <w:r w:rsidRPr="00283806">
        <w:rPr>
          <w:w w:val="105"/>
        </w:rPr>
        <w:t xml:space="preserve"> these requirements. EPA is also establishing a reporting requirement to better assess the use of reclaimed HFCs</w:t>
      </w:r>
      <w:r w:rsidRPr="00283806">
        <w:rPr>
          <w:spacing w:val="40"/>
          <w:w w:val="105"/>
        </w:rPr>
        <w:t xml:space="preserve"> </w:t>
      </w:r>
      <w:r w:rsidRPr="00283806">
        <w:rPr>
          <w:w w:val="105"/>
        </w:rPr>
        <w:t xml:space="preserve">in the RACHP subsectors covered in this rulemaking to evaluate the requirements in this rulemaking. The Agency acknowledges comments to establish an approach for all subsectors or to include additional subsectors and may consider additional subsectors in a future </w:t>
      </w:r>
      <w:r w:rsidRPr="00283806">
        <w:rPr>
          <w:spacing w:val="-2"/>
          <w:w w:val="105"/>
        </w:rPr>
        <w:t>rulemaking.</w:t>
      </w:r>
    </w:p>
    <w:p w14:paraId="412284C2" w14:textId="77777777" w:rsidR="00D67C1E" w:rsidRPr="00283806" w:rsidRDefault="001265CA">
      <w:pPr>
        <w:pStyle w:val="BodyText"/>
        <w:spacing w:before="22" w:line="228" w:lineRule="auto"/>
        <w:ind w:right="18" w:firstLine="180"/>
      </w:pPr>
      <w:r w:rsidRPr="00283806">
        <w:rPr>
          <w:w w:val="105"/>
        </w:rPr>
        <w:t>EPA disagrees with the assertion that reclaimed HFCs are substantially more expensive than virgin HFCs and is not aware of market data or analyses clearly indicating such a trend. In response to</w:t>
      </w:r>
      <w:r w:rsidRPr="00283806">
        <w:rPr>
          <w:spacing w:val="40"/>
          <w:w w:val="105"/>
        </w:rPr>
        <w:t xml:space="preserve"> </w:t>
      </w:r>
      <w:r w:rsidRPr="00283806">
        <w:rPr>
          <w:w w:val="105"/>
        </w:rPr>
        <w:t>the NODA that the Agency published on October 17, 2022 (87 FR 62843), in</w:t>
      </w:r>
    </w:p>
    <w:p w14:paraId="644BDD51" w14:textId="77777777" w:rsidR="00D67C1E" w:rsidRPr="00283806" w:rsidRDefault="001265CA">
      <w:pPr>
        <w:pStyle w:val="BodyText"/>
        <w:spacing w:line="228" w:lineRule="auto"/>
        <w:ind w:left="159" w:right="117"/>
      </w:pPr>
      <w:proofErr w:type="gramStart"/>
      <w:r w:rsidRPr="00283806">
        <w:rPr>
          <w:w w:val="105"/>
        </w:rPr>
        <w:t>which EPA</w:t>
      </w:r>
      <w:proofErr w:type="gramEnd"/>
      <w:r w:rsidRPr="00283806">
        <w:rPr>
          <w:w w:val="105"/>
        </w:rPr>
        <w:t xml:space="preserve"> requested </w:t>
      </w:r>
      <w:proofErr w:type="gramStart"/>
      <w:r w:rsidRPr="00283806">
        <w:rPr>
          <w:w w:val="105"/>
        </w:rPr>
        <w:t>comment</w:t>
      </w:r>
      <w:proofErr w:type="gramEnd"/>
      <w:r w:rsidRPr="00283806">
        <w:rPr>
          <w:w w:val="105"/>
        </w:rPr>
        <w:t xml:space="preserve"> on current trends on the price of refrigerant, one reclaimer </w:t>
      </w:r>
      <w:proofErr w:type="gramStart"/>
      <w:r w:rsidRPr="00283806">
        <w:rPr>
          <w:w w:val="105"/>
        </w:rPr>
        <w:t>noted: ‘‘</w:t>
      </w:r>
      <w:proofErr w:type="gramEnd"/>
      <w:r w:rsidRPr="00283806">
        <w:rPr>
          <w:w w:val="105"/>
        </w:rPr>
        <w:t xml:space="preserve">The market price for reclaim and virgin are generally equivalent. There is neither a ‘green premium’ nor a lower price for reclaim.’’ </w:t>
      </w:r>
      <w:r w:rsidRPr="00283806">
        <w:rPr>
          <w:w w:val="105"/>
          <w:position w:val="5"/>
          <w:sz w:val="11"/>
        </w:rPr>
        <w:t>110</w:t>
      </w:r>
      <w:r w:rsidRPr="00283806">
        <w:rPr>
          <w:spacing w:val="40"/>
          <w:w w:val="105"/>
          <w:position w:val="5"/>
          <w:sz w:val="11"/>
        </w:rPr>
        <w:t xml:space="preserve"> </w:t>
      </w:r>
      <w:r w:rsidRPr="00283806">
        <w:rPr>
          <w:w w:val="105"/>
        </w:rPr>
        <w:t>EPA is also aware of at</w:t>
      </w:r>
      <w:r w:rsidRPr="00283806">
        <w:rPr>
          <w:spacing w:val="40"/>
          <w:w w:val="105"/>
        </w:rPr>
        <w:t xml:space="preserve"> </w:t>
      </w:r>
      <w:r w:rsidRPr="00283806">
        <w:rPr>
          <w:w w:val="105"/>
        </w:rPr>
        <w:t xml:space="preserve">least one study indicating that reclaimed HFCs may </w:t>
      </w:r>
      <w:proofErr w:type="gramStart"/>
      <w:r w:rsidRPr="00283806">
        <w:rPr>
          <w:w w:val="105"/>
        </w:rPr>
        <w:t>actually be</w:t>
      </w:r>
      <w:proofErr w:type="gramEnd"/>
      <w:r w:rsidRPr="00283806">
        <w:rPr>
          <w:w w:val="105"/>
        </w:rPr>
        <w:t xml:space="preserve"> more cost-effective than virgin manufacture, when considering the full refrigerant</w:t>
      </w:r>
    </w:p>
    <w:p w14:paraId="4D765A45" w14:textId="77777777" w:rsidR="00D67C1E" w:rsidRPr="00283806" w:rsidRDefault="001265CA">
      <w:pPr>
        <w:pStyle w:val="BodyText"/>
        <w:spacing w:before="136" w:line="225" w:lineRule="auto"/>
        <w:ind w:left="154" w:right="45" w:hanging="1"/>
      </w:pPr>
      <w:r w:rsidRPr="00283806">
        <w:br w:type="column"/>
      </w:r>
      <w:r w:rsidRPr="00283806">
        <w:rPr>
          <w:w w:val="105"/>
        </w:rPr>
        <w:t>study, Yasaka et al. (2023),</w:t>
      </w:r>
      <w:r w:rsidRPr="00283806">
        <w:rPr>
          <w:w w:val="105"/>
          <w:position w:val="5"/>
          <w:sz w:val="11"/>
        </w:rPr>
        <w:t>111</w:t>
      </w:r>
      <w:r w:rsidRPr="00283806">
        <w:rPr>
          <w:spacing w:val="40"/>
          <w:w w:val="105"/>
          <w:position w:val="5"/>
          <w:sz w:val="11"/>
        </w:rPr>
        <w:t xml:space="preserve"> </w:t>
      </w:r>
      <w:r w:rsidRPr="00283806">
        <w:rPr>
          <w:w w:val="105"/>
        </w:rPr>
        <w:t>which performed a life cycle assessment for the virgin production, destruction, and reclamation of R–410A, HFC–32, and HCFC–22</w:t>
      </w:r>
      <w:r w:rsidRPr="00283806">
        <w:rPr>
          <w:spacing w:val="40"/>
          <w:w w:val="105"/>
        </w:rPr>
        <w:t xml:space="preserve"> </w:t>
      </w:r>
      <w:r w:rsidRPr="00283806">
        <w:rPr>
          <w:w w:val="105"/>
        </w:rPr>
        <w:t>in</w:t>
      </w:r>
      <w:r w:rsidRPr="00283806">
        <w:rPr>
          <w:spacing w:val="40"/>
          <w:w w:val="105"/>
        </w:rPr>
        <w:t xml:space="preserve"> </w:t>
      </w:r>
      <w:r w:rsidRPr="00283806">
        <w:rPr>
          <w:w w:val="105"/>
        </w:rPr>
        <w:t>Europe</w:t>
      </w:r>
      <w:r w:rsidRPr="00283806">
        <w:rPr>
          <w:spacing w:val="40"/>
          <w:w w:val="105"/>
        </w:rPr>
        <w:t xml:space="preserve"> </w:t>
      </w:r>
      <w:r w:rsidRPr="00283806">
        <w:rPr>
          <w:w w:val="105"/>
        </w:rPr>
        <w:t>and</w:t>
      </w:r>
      <w:r w:rsidRPr="00283806">
        <w:rPr>
          <w:spacing w:val="40"/>
          <w:w w:val="105"/>
        </w:rPr>
        <w:t xml:space="preserve"> </w:t>
      </w:r>
      <w:r w:rsidRPr="00283806">
        <w:rPr>
          <w:w w:val="105"/>
        </w:rPr>
        <w:t>Japan</w:t>
      </w:r>
      <w:r w:rsidRPr="00283806">
        <w:rPr>
          <w:spacing w:val="40"/>
          <w:w w:val="105"/>
        </w:rPr>
        <w:t xml:space="preserve"> </w:t>
      </w:r>
      <w:r w:rsidRPr="00283806">
        <w:rPr>
          <w:w w:val="105"/>
        </w:rPr>
        <w:t>and found that the reclamation process had lower energy consumption and costs</w:t>
      </w:r>
      <w:r w:rsidRPr="00283806">
        <w:rPr>
          <w:spacing w:val="80"/>
          <w:w w:val="150"/>
        </w:rPr>
        <w:t xml:space="preserve"> </w:t>
      </w:r>
      <w:r w:rsidRPr="00283806">
        <w:rPr>
          <w:w w:val="105"/>
        </w:rPr>
        <w:t>and emitted fewer GHG emissions compared to production and</w:t>
      </w:r>
      <w:r w:rsidRPr="00283806">
        <w:rPr>
          <w:spacing w:val="80"/>
          <w:w w:val="150"/>
        </w:rPr>
        <w:t xml:space="preserve"> </w:t>
      </w:r>
      <w:r w:rsidRPr="00283806">
        <w:rPr>
          <w:w w:val="105"/>
        </w:rPr>
        <w:t>destruction, regardless of the refrigerant type or plant location. EPA is not aware</w:t>
      </w:r>
      <w:r w:rsidRPr="00283806">
        <w:rPr>
          <w:spacing w:val="40"/>
          <w:w w:val="105"/>
        </w:rPr>
        <w:t xml:space="preserve"> </w:t>
      </w:r>
      <w:r w:rsidRPr="00283806">
        <w:rPr>
          <w:w w:val="105"/>
        </w:rPr>
        <w:t>of a similar study for the United States and so has conservatively assumed</w:t>
      </w:r>
      <w:r w:rsidRPr="00283806">
        <w:rPr>
          <w:spacing w:val="40"/>
          <w:w w:val="105"/>
        </w:rPr>
        <w:t xml:space="preserve"> </w:t>
      </w:r>
      <w:r w:rsidRPr="00283806">
        <w:rPr>
          <w:w w:val="105"/>
        </w:rPr>
        <w:t>higher costs for reclaimed HFCs in the analysis</w:t>
      </w:r>
      <w:r w:rsidRPr="00283806">
        <w:rPr>
          <w:spacing w:val="40"/>
          <w:w w:val="105"/>
        </w:rPr>
        <w:t xml:space="preserve"> </w:t>
      </w:r>
      <w:r w:rsidRPr="00283806">
        <w:rPr>
          <w:w w:val="105"/>
        </w:rPr>
        <w:t>for</w:t>
      </w:r>
      <w:r w:rsidRPr="00283806">
        <w:rPr>
          <w:spacing w:val="40"/>
          <w:w w:val="105"/>
        </w:rPr>
        <w:t xml:space="preserve"> </w:t>
      </w:r>
      <w:r w:rsidRPr="00283806">
        <w:rPr>
          <w:w w:val="105"/>
        </w:rPr>
        <w:t>the</w:t>
      </w:r>
      <w:r w:rsidRPr="00283806">
        <w:rPr>
          <w:spacing w:val="40"/>
          <w:w w:val="105"/>
        </w:rPr>
        <w:t xml:space="preserve"> </w:t>
      </w:r>
      <w:r w:rsidRPr="00283806">
        <w:rPr>
          <w:w w:val="105"/>
        </w:rPr>
        <w:t>final</w:t>
      </w:r>
      <w:r w:rsidRPr="00283806">
        <w:rPr>
          <w:spacing w:val="40"/>
          <w:w w:val="105"/>
        </w:rPr>
        <w:t xml:space="preserve"> </w:t>
      </w:r>
      <w:r w:rsidRPr="00283806">
        <w:rPr>
          <w:w w:val="105"/>
        </w:rPr>
        <w:t>rule.</w:t>
      </w:r>
      <w:r w:rsidRPr="00283806">
        <w:rPr>
          <w:spacing w:val="40"/>
          <w:w w:val="105"/>
        </w:rPr>
        <w:t xml:space="preserve"> </w:t>
      </w:r>
      <w:r w:rsidRPr="00283806">
        <w:rPr>
          <w:w w:val="105"/>
        </w:rPr>
        <w:t>Specifically, in its assessment of costs and benefits detailed in the Economic Impact and Benefits TSD and summarized above</w:t>
      </w:r>
      <w:r w:rsidRPr="00283806">
        <w:rPr>
          <w:spacing w:val="80"/>
          <w:w w:val="105"/>
        </w:rPr>
        <w:t xml:space="preserve"> </w:t>
      </w:r>
      <w:r w:rsidRPr="00283806">
        <w:rPr>
          <w:w w:val="105"/>
        </w:rPr>
        <w:t>EPA has assumed a cost premium of 10 percent for reclaimed HFCs vis-a-vis virgin manufactured HFCs.</w:t>
      </w:r>
    </w:p>
    <w:p w14:paraId="5071EDD8" w14:textId="77777777" w:rsidR="00D67C1E" w:rsidRPr="00283806" w:rsidRDefault="001265CA">
      <w:pPr>
        <w:pStyle w:val="BodyText"/>
        <w:spacing w:line="173" w:lineRule="exact"/>
        <w:ind w:left="334"/>
      </w:pPr>
      <w:r w:rsidRPr="00283806">
        <w:rPr>
          <w:w w:val="105"/>
        </w:rPr>
        <w:t>EPA</w:t>
      </w:r>
      <w:r w:rsidRPr="00283806">
        <w:rPr>
          <w:spacing w:val="7"/>
          <w:w w:val="105"/>
        </w:rPr>
        <w:t xml:space="preserve"> </w:t>
      </w:r>
      <w:r w:rsidRPr="00283806">
        <w:rPr>
          <w:w w:val="105"/>
        </w:rPr>
        <w:t>notes</w:t>
      </w:r>
      <w:r w:rsidRPr="00283806">
        <w:rPr>
          <w:spacing w:val="8"/>
          <w:w w:val="105"/>
        </w:rPr>
        <w:t xml:space="preserve"> </w:t>
      </w:r>
      <w:r w:rsidRPr="00283806">
        <w:rPr>
          <w:w w:val="105"/>
        </w:rPr>
        <w:t>that</w:t>
      </w:r>
      <w:r w:rsidRPr="00283806">
        <w:rPr>
          <w:spacing w:val="7"/>
          <w:w w:val="105"/>
        </w:rPr>
        <w:t xml:space="preserve"> </w:t>
      </w:r>
      <w:r w:rsidRPr="00283806">
        <w:rPr>
          <w:w w:val="105"/>
        </w:rPr>
        <w:t>the</w:t>
      </w:r>
      <w:r w:rsidRPr="00283806">
        <w:rPr>
          <w:spacing w:val="8"/>
          <w:w w:val="105"/>
        </w:rPr>
        <w:t xml:space="preserve"> </w:t>
      </w:r>
      <w:r w:rsidRPr="00283806">
        <w:rPr>
          <w:w w:val="105"/>
        </w:rPr>
        <w:t>commenter</w:t>
      </w:r>
      <w:r w:rsidRPr="00283806">
        <w:rPr>
          <w:spacing w:val="8"/>
          <w:w w:val="105"/>
        </w:rPr>
        <w:t xml:space="preserve"> </w:t>
      </w:r>
      <w:r w:rsidRPr="00283806">
        <w:rPr>
          <w:w w:val="105"/>
        </w:rPr>
        <w:t>has</w:t>
      </w:r>
      <w:r w:rsidRPr="00283806">
        <w:rPr>
          <w:spacing w:val="7"/>
          <w:w w:val="105"/>
        </w:rPr>
        <w:t xml:space="preserve"> </w:t>
      </w:r>
      <w:r w:rsidRPr="00283806">
        <w:rPr>
          <w:spacing w:val="-5"/>
          <w:w w:val="105"/>
        </w:rPr>
        <w:t>not</w:t>
      </w:r>
    </w:p>
    <w:p w14:paraId="3DBE5D12" w14:textId="77777777" w:rsidR="00D67C1E" w:rsidRPr="00283806" w:rsidRDefault="001265CA">
      <w:pPr>
        <w:pStyle w:val="BodyText"/>
        <w:spacing w:before="4" w:line="225" w:lineRule="auto"/>
        <w:ind w:left="154" w:right="56"/>
      </w:pPr>
      <w:r w:rsidRPr="00283806">
        <w:rPr>
          <w:w w:val="105"/>
        </w:rPr>
        <w:t>provided any quantitative information regarding a supposed cost increase in food prices resulting from refrigeration, or the effect that other factors such as refrigerant savings resulting from leak detection and repair provisions contained in this rule could have in mitigating such a cost increase.</w:t>
      </w:r>
    </w:p>
    <w:p w14:paraId="4B056111" w14:textId="77777777" w:rsidR="00D67C1E" w:rsidRPr="00283806" w:rsidRDefault="001265CA">
      <w:pPr>
        <w:pStyle w:val="BodyText"/>
        <w:spacing w:line="177" w:lineRule="exact"/>
        <w:ind w:left="334"/>
      </w:pPr>
      <w:r w:rsidRPr="00283806">
        <w:rPr>
          <w:w w:val="105"/>
        </w:rPr>
        <w:t>EPA</w:t>
      </w:r>
      <w:r w:rsidRPr="00283806">
        <w:rPr>
          <w:spacing w:val="9"/>
          <w:w w:val="105"/>
        </w:rPr>
        <w:t xml:space="preserve"> </w:t>
      </w:r>
      <w:r w:rsidRPr="00283806">
        <w:rPr>
          <w:w w:val="105"/>
        </w:rPr>
        <w:t>does</w:t>
      </w:r>
      <w:r w:rsidRPr="00283806">
        <w:rPr>
          <w:spacing w:val="10"/>
          <w:w w:val="105"/>
        </w:rPr>
        <w:t xml:space="preserve"> </w:t>
      </w:r>
      <w:r w:rsidRPr="00283806">
        <w:rPr>
          <w:w w:val="105"/>
        </w:rPr>
        <w:t>not</w:t>
      </w:r>
      <w:r w:rsidRPr="00283806">
        <w:rPr>
          <w:spacing w:val="10"/>
          <w:w w:val="105"/>
        </w:rPr>
        <w:t xml:space="preserve"> </w:t>
      </w:r>
      <w:r w:rsidRPr="00283806">
        <w:rPr>
          <w:w w:val="105"/>
        </w:rPr>
        <w:t>agree</w:t>
      </w:r>
      <w:r w:rsidRPr="00283806">
        <w:rPr>
          <w:spacing w:val="10"/>
          <w:w w:val="105"/>
        </w:rPr>
        <w:t xml:space="preserve"> </w:t>
      </w:r>
      <w:r w:rsidRPr="00283806">
        <w:rPr>
          <w:w w:val="105"/>
        </w:rPr>
        <w:t>with</w:t>
      </w:r>
      <w:r w:rsidRPr="00283806">
        <w:rPr>
          <w:spacing w:val="10"/>
          <w:w w:val="105"/>
        </w:rPr>
        <w:t xml:space="preserve"> </w:t>
      </w:r>
      <w:r w:rsidRPr="00283806">
        <w:rPr>
          <w:spacing w:val="-5"/>
          <w:w w:val="105"/>
        </w:rPr>
        <w:t>the</w:t>
      </w:r>
    </w:p>
    <w:p w14:paraId="2869A7BD" w14:textId="77777777" w:rsidR="00D67C1E" w:rsidRPr="00283806" w:rsidRDefault="001265CA">
      <w:pPr>
        <w:pStyle w:val="BodyText"/>
        <w:spacing w:before="3" w:line="225" w:lineRule="auto"/>
        <w:ind w:left="154" w:right="56"/>
      </w:pPr>
      <w:r w:rsidRPr="00283806">
        <w:rPr>
          <w:w w:val="105"/>
        </w:rPr>
        <w:t>commenter’s position that the requirement for the servicing and/or repair of certain refrigerant-containing equipment with reclaimed HFCs will strand installed equipment. The commenter suggests a scenario where there is an insufficient supply of reclaimed refrigerant. As EPA notes above, the Agency considers these provisions as encouraging increased reclamation. Further, as described</w:t>
      </w:r>
      <w:r w:rsidRPr="00283806">
        <w:rPr>
          <w:spacing w:val="40"/>
          <w:w w:val="105"/>
        </w:rPr>
        <w:t xml:space="preserve"> </w:t>
      </w:r>
      <w:r w:rsidRPr="00283806">
        <w:rPr>
          <w:w w:val="105"/>
        </w:rPr>
        <w:t>above, the provisions for servicing and/ or repair of refrigerant-containing equipment with reclaimed HFCs</w:t>
      </w:r>
      <w:r w:rsidRPr="00283806">
        <w:rPr>
          <w:spacing w:val="40"/>
          <w:w w:val="105"/>
        </w:rPr>
        <w:t xml:space="preserve"> </w:t>
      </w:r>
      <w:r w:rsidRPr="00283806">
        <w:rPr>
          <w:w w:val="105"/>
        </w:rPr>
        <w:t xml:space="preserve">finalized in this rule differ from the proposal. The Agency made changes from the proposal to delay the compliance date. Further, the Agency is only finalizing these provisions for refrigerant-containing equipment in three RACHP subsectors </w:t>
      </w:r>
      <w:proofErr w:type="gramStart"/>
      <w:r w:rsidRPr="00283806">
        <w:rPr>
          <w:w w:val="105"/>
        </w:rPr>
        <w:t>at this time</w:t>
      </w:r>
      <w:proofErr w:type="gramEnd"/>
      <w:r w:rsidRPr="00283806">
        <w:rPr>
          <w:w w:val="105"/>
        </w:rPr>
        <w:t>.</w:t>
      </w:r>
    </w:p>
    <w:p w14:paraId="7854B9F9" w14:textId="77777777" w:rsidR="00D67C1E" w:rsidRPr="00283806" w:rsidRDefault="001265CA">
      <w:pPr>
        <w:pStyle w:val="BodyText"/>
        <w:spacing w:line="225" w:lineRule="auto"/>
        <w:ind w:left="154" w:right="95"/>
      </w:pPr>
      <w:r w:rsidRPr="00283806">
        <w:rPr>
          <w:w w:val="105"/>
        </w:rPr>
        <w:t>Accordingly, the Agency does not</w:t>
      </w:r>
      <w:r w:rsidRPr="00283806">
        <w:rPr>
          <w:spacing w:val="80"/>
          <w:w w:val="105"/>
        </w:rPr>
        <w:t xml:space="preserve"> </w:t>
      </w:r>
      <w:r w:rsidRPr="00283806">
        <w:rPr>
          <w:w w:val="105"/>
        </w:rPr>
        <w:t>expect these concerns to be implicated by this final rule. The Agency does not agree that the provisions will result in unfavorable pricing for consumers. The Agency notes the overall phasedown of HFCs</w:t>
      </w:r>
      <w:r w:rsidRPr="00283806">
        <w:rPr>
          <w:spacing w:val="32"/>
          <w:w w:val="105"/>
        </w:rPr>
        <w:t xml:space="preserve"> </w:t>
      </w:r>
      <w:r w:rsidRPr="00283806">
        <w:rPr>
          <w:w w:val="105"/>
        </w:rPr>
        <w:t>is</w:t>
      </w:r>
      <w:r w:rsidRPr="00283806">
        <w:rPr>
          <w:spacing w:val="32"/>
          <w:w w:val="105"/>
        </w:rPr>
        <w:t xml:space="preserve"> </w:t>
      </w:r>
      <w:r w:rsidRPr="00283806">
        <w:rPr>
          <w:w w:val="105"/>
        </w:rPr>
        <w:t>more</w:t>
      </w:r>
      <w:r w:rsidRPr="00283806">
        <w:rPr>
          <w:spacing w:val="32"/>
          <w:w w:val="105"/>
        </w:rPr>
        <w:t xml:space="preserve"> </w:t>
      </w:r>
      <w:r w:rsidRPr="00283806">
        <w:rPr>
          <w:w w:val="105"/>
        </w:rPr>
        <w:t>likely</w:t>
      </w:r>
      <w:r w:rsidRPr="00283806">
        <w:rPr>
          <w:spacing w:val="32"/>
          <w:w w:val="105"/>
        </w:rPr>
        <w:t xml:space="preserve"> </w:t>
      </w:r>
      <w:r w:rsidRPr="00283806">
        <w:rPr>
          <w:w w:val="105"/>
        </w:rPr>
        <w:t>to</w:t>
      </w:r>
      <w:r w:rsidRPr="00283806">
        <w:rPr>
          <w:spacing w:val="32"/>
          <w:w w:val="105"/>
        </w:rPr>
        <w:t xml:space="preserve"> </w:t>
      </w:r>
      <w:r w:rsidRPr="00283806">
        <w:rPr>
          <w:w w:val="105"/>
        </w:rPr>
        <w:t>affect</w:t>
      </w:r>
      <w:r w:rsidRPr="00283806">
        <w:rPr>
          <w:spacing w:val="32"/>
          <w:w w:val="105"/>
        </w:rPr>
        <w:t xml:space="preserve"> </w:t>
      </w:r>
      <w:r w:rsidRPr="00283806">
        <w:rPr>
          <w:w w:val="105"/>
        </w:rPr>
        <w:t>the</w:t>
      </w:r>
      <w:r w:rsidRPr="00283806">
        <w:rPr>
          <w:spacing w:val="32"/>
          <w:w w:val="105"/>
        </w:rPr>
        <w:t xml:space="preserve"> </w:t>
      </w:r>
      <w:r w:rsidRPr="00283806">
        <w:rPr>
          <w:w w:val="105"/>
        </w:rPr>
        <w:t>price of HFCs than these provisions. In addition, EPA describes current</w:t>
      </w:r>
    </w:p>
    <w:p w14:paraId="656F8E20" w14:textId="77777777" w:rsidR="00D67C1E" w:rsidRPr="00283806" w:rsidRDefault="001265CA">
      <w:pPr>
        <w:pStyle w:val="BodyText"/>
        <w:spacing w:line="225" w:lineRule="auto"/>
        <w:ind w:left="154" w:right="27"/>
      </w:pPr>
      <w:r w:rsidRPr="00283806">
        <w:rPr>
          <w:w w:val="105"/>
        </w:rPr>
        <w:t>reclamation trends in other responses in this section, including reclamation of certain HFC refrigerants that are in</w:t>
      </w:r>
    </w:p>
    <w:p w14:paraId="03AC4775" w14:textId="77777777" w:rsidR="00D67C1E" w:rsidRPr="00283806" w:rsidRDefault="001265CA">
      <w:pPr>
        <w:pStyle w:val="BodyText"/>
        <w:spacing w:before="136" w:line="225" w:lineRule="auto"/>
        <w:ind w:left="145" w:right="285"/>
      </w:pPr>
      <w:r w:rsidRPr="00283806">
        <w:br w:type="column"/>
      </w:r>
      <w:r w:rsidRPr="00283806">
        <w:rPr>
          <w:w w:val="105"/>
        </w:rPr>
        <w:t>blends and/or form the components of other blends. EPA anticipates that, while direct recovery reclamation of certain blends may be occurring at a lower rate, the recovery of blend components is expected to support the overall reclamation of these blends.</w:t>
      </w:r>
    </w:p>
    <w:p w14:paraId="033E0137" w14:textId="77777777" w:rsidR="00D67C1E" w:rsidRPr="00283806" w:rsidRDefault="001265CA">
      <w:pPr>
        <w:pStyle w:val="BodyText"/>
        <w:spacing w:line="213" w:lineRule="auto"/>
        <w:ind w:left="145" w:right="122" w:firstLine="180"/>
      </w:pPr>
      <w:r w:rsidRPr="00283806">
        <w:rPr>
          <w:rFonts w:ascii="Book Antiqua"/>
          <w:i/>
          <w:w w:val="105"/>
        </w:rPr>
        <w:t xml:space="preserve">Comment: </w:t>
      </w:r>
      <w:r w:rsidRPr="00283806">
        <w:rPr>
          <w:w w:val="105"/>
        </w:rPr>
        <w:t>Another commenter suggested that this proposal will create</w:t>
      </w:r>
    </w:p>
    <w:p w14:paraId="7CC146CF" w14:textId="77777777" w:rsidR="00D67C1E" w:rsidRPr="00283806" w:rsidRDefault="001265CA">
      <w:pPr>
        <w:pStyle w:val="BodyText"/>
        <w:spacing w:line="225" w:lineRule="auto"/>
        <w:ind w:left="145" w:right="152"/>
      </w:pPr>
      <w:r w:rsidRPr="00283806">
        <w:rPr>
          <w:w w:val="105"/>
        </w:rPr>
        <w:t xml:space="preserve">confusion by requiring the use of reclaimed refrigerants in certain sub- sectors, while not requiring it in others even though some of these sectors use the same refrigerants. The commenter stated that, currently, based on EPA’s proposal, stand-alone retail food refrigeration, supermarket systems, refrigerated systems, refrigerated transport, and automatic ice makers are required to use reclaimed refrigerants, but cold storage warehouses and IPR are exempt. The commenter suggested that the refrigeration reclaim usage requirements are not separated by subsectors. The commenter noted that the use of reclaimed refrigerants in imported equipment depends on the availability of recovered HFCs in the exporting countries and that it may be challenging to prove the authenticity of reclaimed </w:t>
      </w:r>
      <w:proofErr w:type="gramStart"/>
      <w:r w:rsidRPr="00283806">
        <w:rPr>
          <w:w w:val="105"/>
        </w:rPr>
        <w:t>refrigerants</w:t>
      </w:r>
      <w:proofErr w:type="gramEnd"/>
      <w:r w:rsidRPr="00283806">
        <w:rPr>
          <w:w w:val="105"/>
        </w:rPr>
        <w:t xml:space="preserve"> abroad. The commenter stated that these two factors could </w:t>
      </w:r>
      <w:proofErr w:type="gramStart"/>
      <w:r w:rsidRPr="00283806">
        <w:rPr>
          <w:w w:val="105"/>
        </w:rPr>
        <w:t>amount</w:t>
      </w:r>
      <w:proofErr w:type="gramEnd"/>
      <w:r w:rsidRPr="00283806">
        <w:rPr>
          <w:w w:val="105"/>
        </w:rPr>
        <w:t xml:space="preserve"> to an import ban </w:t>
      </w:r>
      <w:proofErr w:type="gramStart"/>
      <w:r w:rsidRPr="00283806">
        <w:rPr>
          <w:w w:val="105"/>
        </w:rPr>
        <w:t>for</w:t>
      </w:r>
      <w:proofErr w:type="gramEnd"/>
      <w:r w:rsidRPr="00283806">
        <w:rPr>
          <w:w w:val="105"/>
        </w:rPr>
        <w:t xml:space="preserve"> equipment with reclaimed HFCs. The commenter therefore requested that imported equipment be exempted from the mandatory use of reclaimed </w:t>
      </w:r>
      <w:r w:rsidRPr="00283806">
        <w:rPr>
          <w:spacing w:val="-2"/>
          <w:w w:val="105"/>
        </w:rPr>
        <w:t>refrigerants.</w:t>
      </w:r>
    </w:p>
    <w:p w14:paraId="1DC67D5F" w14:textId="77777777" w:rsidR="00D67C1E" w:rsidRPr="00283806" w:rsidRDefault="001265CA">
      <w:pPr>
        <w:pStyle w:val="BodyText"/>
        <w:spacing w:line="170" w:lineRule="exact"/>
        <w:ind w:left="325"/>
      </w:pPr>
      <w:r w:rsidRPr="00283806">
        <w:rPr>
          <w:w w:val="105"/>
        </w:rPr>
        <w:t>Another</w:t>
      </w:r>
      <w:r w:rsidRPr="00283806">
        <w:rPr>
          <w:spacing w:val="4"/>
          <w:w w:val="105"/>
        </w:rPr>
        <w:t xml:space="preserve"> </w:t>
      </w:r>
      <w:r w:rsidRPr="00283806">
        <w:rPr>
          <w:w w:val="105"/>
        </w:rPr>
        <w:t>commenter</w:t>
      </w:r>
      <w:r w:rsidRPr="00283806">
        <w:rPr>
          <w:spacing w:val="4"/>
          <w:w w:val="105"/>
        </w:rPr>
        <w:t xml:space="preserve"> </w:t>
      </w:r>
      <w:r w:rsidRPr="00283806">
        <w:rPr>
          <w:w w:val="105"/>
        </w:rPr>
        <w:t>stated</w:t>
      </w:r>
      <w:r w:rsidRPr="00283806">
        <w:rPr>
          <w:spacing w:val="4"/>
          <w:w w:val="105"/>
        </w:rPr>
        <w:t xml:space="preserve"> </w:t>
      </w:r>
      <w:r w:rsidRPr="00283806">
        <w:rPr>
          <w:w w:val="105"/>
        </w:rPr>
        <w:t>that</w:t>
      </w:r>
      <w:r w:rsidRPr="00283806">
        <w:rPr>
          <w:spacing w:val="4"/>
          <w:w w:val="105"/>
        </w:rPr>
        <w:t xml:space="preserve"> </w:t>
      </w:r>
      <w:r w:rsidRPr="00283806">
        <w:rPr>
          <w:spacing w:val="-5"/>
          <w:w w:val="105"/>
        </w:rPr>
        <w:t>the</w:t>
      </w:r>
    </w:p>
    <w:p w14:paraId="62C46DF7" w14:textId="77777777" w:rsidR="00D67C1E" w:rsidRPr="00283806" w:rsidRDefault="001265CA">
      <w:pPr>
        <w:pStyle w:val="BodyText"/>
        <w:spacing w:line="225" w:lineRule="auto"/>
        <w:ind w:left="145" w:right="171"/>
      </w:pPr>
      <w:r w:rsidRPr="00283806">
        <w:rPr>
          <w:w w:val="105"/>
        </w:rPr>
        <w:t xml:space="preserve">NPRM did not address how </w:t>
      </w:r>
      <w:proofErr w:type="gramStart"/>
      <w:r w:rsidRPr="00283806">
        <w:rPr>
          <w:w w:val="105"/>
        </w:rPr>
        <w:t>reclaim</w:t>
      </w:r>
      <w:proofErr w:type="gramEnd"/>
      <w:r w:rsidRPr="00283806">
        <w:rPr>
          <w:w w:val="105"/>
        </w:rPr>
        <w:t xml:space="preserve"> requirements would apply to imported units and HFCs. The commenter questioned what the effects of reclamation in other countries would be upon capacity in the U.S. market and suggested that EPA should not provide offshore producers with an advantage.</w:t>
      </w:r>
    </w:p>
    <w:p w14:paraId="24BB8F5F" w14:textId="77777777" w:rsidR="00D67C1E" w:rsidRPr="00283806" w:rsidRDefault="001265CA">
      <w:pPr>
        <w:pStyle w:val="BodyText"/>
        <w:spacing w:line="213" w:lineRule="auto"/>
        <w:ind w:left="145" w:right="171" w:firstLine="180"/>
      </w:pPr>
      <w:r w:rsidRPr="00283806">
        <w:rPr>
          <w:rFonts w:ascii="Book Antiqua"/>
          <w:i/>
          <w:w w:val="105"/>
        </w:rPr>
        <w:t xml:space="preserve">Response: </w:t>
      </w:r>
      <w:r w:rsidRPr="00283806">
        <w:rPr>
          <w:w w:val="105"/>
        </w:rPr>
        <w:t>EPA responds to comments about the requirements for servicing</w:t>
      </w:r>
    </w:p>
    <w:p w14:paraId="4A7805E7" w14:textId="77777777" w:rsidR="00D67C1E" w:rsidRPr="00283806" w:rsidRDefault="001265CA">
      <w:pPr>
        <w:pStyle w:val="BodyText"/>
        <w:spacing w:line="225" w:lineRule="auto"/>
        <w:ind w:left="145" w:right="141"/>
      </w:pPr>
      <w:r w:rsidRPr="00283806">
        <w:rPr>
          <w:w w:val="105"/>
        </w:rPr>
        <w:t>and/or repair of certain refrigerant- containing equipment with reclaimed HFCs by noting that these types of provisions are within the authority</w:t>
      </w:r>
      <w:r w:rsidRPr="00283806">
        <w:rPr>
          <w:spacing w:val="40"/>
          <w:w w:val="105"/>
        </w:rPr>
        <w:t xml:space="preserve"> </w:t>
      </w:r>
      <w:r w:rsidRPr="00283806">
        <w:rPr>
          <w:w w:val="105"/>
        </w:rPr>
        <w:t>under subsection (h) to promulgate regulations to control practices, process, or activities related to the servicing, repair, disposal, or installation of equipment. EPA disagrees that requiring that the servicing and/or repair of refrigerant-containing equipment with reclaimed HFCs in certain RACHP subsectors and not others would create confusion. The Agency is establishing labeling requirements for containers of</w:t>
      </w:r>
    </w:p>
    <w:p w14:paraId="79875950"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06" w:space="40"/>
            <w:col w:w="3510" w:space="39"/>
            <w:col w:w="3625"/>
          </w:cols>
        </w:sectPr>
      </w:pPr>
    </w:p>
    <w:p w14:paraId="587A4F91" w14:textId="77777777" w:rsidR="00D67C1E" w:rsidRPr="00283806" w:rsidRDefault="001265CA">
      <w:pPr>
        <w:pStyle w:val="BodyText"/>
        <w:tabs>
          <w:tab w:val="left" w:pos="3699"/>
          <w:tab w:val="left" w:pos="4699"/>
        </w:tabs>
        <w:spacing w:line="163" w:lineRule="exact"/>
        <w:ind w:left="159"/>
      </w:pPr>
      <w:r w:rsidRPr="00283806">
        <w:rPr>
          <w:w w:val="105"/>
        </w:rPr>
        <w:t>lifecycle.</w:t>
      </w:r>
      <w:r w:rsidRPr="00283806">
        <w:rPr>
          <w:spacing w:val="17"/>
          <w:w w:val="105"/>
        </w:rPr>
        <w:t xml:space="preserve"> </w:t>
      </w:r>
      <w:r w:rsidRPr="00283806">
        <w:rPr>
          <w:w w:val="105"/>
        </w:rPr>
        <w:t>In</w:t>
      </w:r>
      <w:r w:rsidRPr="00283806">
        <w:rPr>
          <w:spacing w:val="17"/>
          <w:w w:val="105"/>
        </w:rPr>
        <w:t xml:space="preserve"> </w:t>
      </w:r>
      <w:r w:rsidRPr="00283806">
        <w:rPr>
          <w:w w:val="105"/>
        </w:rPr>
        <w:t>the</w:t>
      </w:r>
      <w:r w:rsidRPr="00283806">
        <w:rPr>
          <w:spacing w:val="17"/>
          <w:w w:val="105"/>
        </w:rPr>
        <w:t xml:space="preserve"> </w:t>
      </w:r>
      <w:r w:rsidRPr="00283806">
        <w:rPr>
          <w:w w:val="105"/>
        </w:rPr>
        <w:t>analysis</w:t>
      </w:r>
      <w:r w:rsidRPr="00283806">
        <w:rPr>
          <w:spacing w:val="18"/>
          <w:w w:val="105"/>
        </w:rPr>
        <w:t xml:space="preserve"> </w:t>
      </w:r>
      <w:r w:rsidRPr="00283806">
        <w:rPr>
          <w:w w:val="105"/>
        </w:rPr>
        <w:t>for</w:t>
      </w:r>
      <w:r w:rsidRPr="00283806">
        <w:rPr>
          <w:spacing w:val="17"/>
          <w:w w:val="105"/>
        </w:rPr>
        <w:t xml:space="preserve"> </w:t>
      </w:r>
      <w:r w:rsidRPr="00283806">
        <w:rPr>
          <w:spacing w:val="-5"/>
          <w:w w:val="105"/>
        </w:rPr>
        <w:t>the</w:t>
      </w:r>
      <w:r w:rsidRPr="00283806">
        <w:tab/>
      </w:r>
      <w:r w:rsidRPr="00283806">
        <w:rPr>
          <w:u w:val="single"/>
        </w:rPr>
        <w:tab/>
      </w:r>
    </w:p>
    <w:p w14:paraId="674B511B" w14:textId="77777777" w:rsidR="00D67C1E" w:rsidRPr="00283806" w:rsidRDefault="001265CA">
      <w:pPr>
        <w:pStyle w:val="BodyText"/>
        <w:spacing w:line="163" w:lineRule="exact"/>
        <w:ind w:left="159"/>
      </w:pPr>
      <w:r w:rsidRPr="00283806">
        <w:br w:type="column"/>
      </w:r>
      <w:r w:rsidRPr="00283806">
        <w:rPr>
          <w:w w:val="105"/>
        </w:rPr>
        <w:t>reclaimed</w:t>
      </w:r>
      <w:r w:rsidRPr="00283806">
        <w:rPr>
          <w:spacing w:val="5"/>
          <w:w w:val="105"/>
        </w:rPr>
        <w:t xml:space="preserve"> </w:t>
      </w:r>
      <w:r w:rsidRPr="00283806">
        <w:rPr>
          <w:w w:val="105"/>
        </w:rPr>
        <w:t>refrigerants</w:t>
      </w:r>
      <w:r w:rsidRPr="00283806">
        <w:rPr>
          <w:spacing w:val="5"/>
          <w:w w:val="105"/>
        </w:rPr>
        <w:t xml:space="preserve"> </w:t>
      </w:r>
      <w:r w:rsidRPr="00283806">
        <w:rPr>
          <w:w w:val="105"/>
        </w:rPr>
        <w:t>that</w:t>
      </w:r>
      <w:r w:rsidRPr="00283806">
        <w:rPr>
          <w:spacing w:val="5"/>
          <w:w w:val="105"/>
        </w:rPr>
        <w:t xml:space="preserve"> </w:t>
      </w:r>
      <w:r w:rsidRPr="00283806">
        <w:rPr>
          <w:w w:val="105"/>
        </w:rPr>
        <w:t>contain</w:t>
      </w:r>
      <w:r w:rsidRPr="00283806">
        <w:rPr>
          <w:spacing w:val="6"/>
          <w:w w:val="105"/>
        </w:rPr>
        <w:t xml:space="preserve"> </w:t>
      </w:r>
      <w:r w:rsidRPr="00283806">
        <w:rPr>
          <w:spacing w:val="-4"/>
          <w:w w:val="105"/>
        </w:rPr>
        <w:t>HFCs</w:t>
      </w:r>
    </w:p>
    <w:p w14:paraId="4F735412" w14:textId="77777777" w:rsidR="00D67C1E" w:rsidRPr="00283806" w:rsidRDefault="00D67C1E">
      <w:pPr>
        <w:spacing w:line="163" w:lineRule="exact"/>
        <w:sectPr w:rsidR="00D67C1E" w:rsidRPr="00283806">
          <w:type w:val="continuous"/>
          <w:pgSz w:w="12240" w:h="15840"/>
          <w:pgMar w:top="880" w:right="780" w:bottom="280" w:left="740" w:header="627" w:footer="0" w:gutter="0"/>
          <w:cols w:num="2" w:space="720" w:equalWidth="0">
            <w:col w:w="4740" w:space="2340"/>
            <w:col w:w="3640"/>
          </w:cols>
        </w:sectPr>
      </w:pPr>
    </w:p>
    <w:p w14:paraId="166D1986" w14:textId="77777777" w:rsidR="00D67C1E" w:rsidRPr="00283806" w:rsidRDefault="001265CA">
      <w:pPr>
        <w:pStyle w:val="BodyText"/>
        <w:spacing w:before="20"/>
        <w:ind w:left="159"/>
      </w:pPr>
      <w:r w:rsidRPr="00283806">
        <w:rPr>
          <w:w w:val="105"/>
        </w:rPr>
        <w:t>proposed</w:t>
      </w:r>
      <w:r w:rsidRPr="00283806">
        <w:rPr>
          <w:spacing w:val="12"/>
          <w:w w:val="105"/>
        </w:rPr>
        <w:t xml:space="preserve"> </w:t>
      </w:r>
      <w:r w:rsidRPr="00283806">
        <w:rPr>
          <w:w w:val="105"/>
        </w:rPr>
        <w:t>ER&amp;R</w:t>
      </w:r>
      <w:r w:rsidRPr="00283806">
        <w:rPr>
          <w:spacing w:val="12"/>
          <w:w w:val="105"/>
        </w:rPr>
        <w:t xml:space="preserve"> </w:t>
      </w:r>
      <w:r w:rsidRPr="00283806">
        <w:rPr>
          <w:w w:val="105"/>
        </w:rPr>
        <w:t>rule,</w:t>
      </w:r>
      <w:r w:rsidRPr="00283806">
        <w:rPr>
          <w:spacing w:val="12"/>
          <w:w w:val="105"/>
        </w:rPr>
        <w:t xml:space="preserve"> </w:t>
      </w:r>
      <w:r w:rsidRPr="00283806">
        <w:rPr>
          <w:w w:val="105"/>
        </w:rPr>
        <w:t>EPA</w:t>
      </w:r>
      <w:r w:rsidRPr="00283806">
        <w:rPr>
          <w:spacing w:val="13"/>
          <w:w w:val="105"/>
        </w:rPr>
        <w:t xml:space="preserve"> </w:t>
      </w:r>
      <w:r w:rsidRPr="00283806">
        <w:rPr>
          <w:w w:val="105"/>
        </w:rPr>
        <w:t>referenced</w:t>
      </w:r>
      <w:r w:rsidRPr="00283806">
        <w:rPr>
          <w:spacing w:val="12"/>
          <w:w w:val="105"/>
        </w:rPr>
        <w:t xml:space="preserve"> </w:t>
      </w:r>
      <w:r w:rsidRPr="00283806">
        <w:rPr>
          <w:spacing w:val="-10"/>
          <w:w w:val="105"/>
        </w:rPr>
        <w:t>a</w:t>
      </w:r>
    </w:p>
    <w:p w14:paraId="7278DB21" w14:textId="77777777" w:rsidR="00D67C1E" w:rsidRPr="00283806" w:rsidRDefault="001265CA">
      <w:pPr>
        <w:pStyle w:val="BodyText"/>
        <w:spacing w:before="4"/>
        <w:ind w:left="0"/>
        <w:rPr>
          <w:sz w:val="15"/>
        </w:rPr>
      </w:pPr>
      <w:r w:rsidRPr="00283806">
        <w:rPr>
          <w:noProof/>
        </w:rPr>
        <mc:AlternateContent>
          <mc:Choice Requires="wps">
            <w:drawing>
              <wp:anchor distT="0" distB="0" distL="0" distR="0" simplePos="0" relativeHeight="251661312" behindDoc="1" locked="0" layoutInCell="1" allowOverlap="1" wp14:anchorId="46A5E008" wp14:editId="00CE9758">
                <wp:simplePos x="0" y="0"/>
                <wp:positionH relativeFrom="page">
                  <wp:posOffset>571500</wp:posOffset>
                </wp:positionH>
                <wp:positionV relativeFrom="paragraph">
                  <wp:posOffset>129904</wp:posOffset>
                </wp:positionV>
                <wp:extent cx="635000" cy="1270"/>
                <wp:effectExtent l="0" t="0" r="0" b="0"/>
                <wp:wrapTopAndBottom/>
                <wp:docPr id="93" name="Graphic 9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B5C55AC" id="Graphic 93" o:spid="_x0000_s1026" alt="&quot;&quot;" style="position:absolute;margin-left:45pt;margin-top:10.25pt;width:50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" path="m,l635000,e" filled="f" strokeweight=".5pt">
                <v:path arrowok="t"/>
                <w10:wrap type="topAndBottom" anchorx="page"/>
              </v:shape>
            </w:pict>
          </mc:Fallback>
        </mc:AlternateContent>
      </w:r>
    </w:p>
    <w:p w14:paraId="217B7CB2" w14:textId="77777777" w:rsidR="00D67C1E" w:rsidRPr="00283806" w:rsidRDefault="001265CA">
      <w:pPr>
        <w:spacing w:before="40" w:line="232" w:lineRule="auto"/>
        <w:ind w:left="159" w:right="38" w:firstLine="140"/>
        <w:rPr>
          <w:sz w:val="14"/>
        </w:rPr>
      </w:pPr>
      <w:r w:rsidRPr="00283806">
        <w:rPr>
          <w:w w:val="110"/>
          <w:position w:val="4"/>
          <w:sz w:val="9"/>
        </w:rPr>
        <w:t>110</w:t>
      </w:r>
      <w:r w:rsidRPr="00283806">
        <w:rPr>
          <w:spacing w:val="-6"/>
          <w:w w:val="110"/>
          <w:position w:val="4"/>
          <w:sz w:val="9"/>
        </w:rPr>
        <w:t xml:space="preserve"> </w:t>
      </w:r>
      <w:r w:rsidRPr="00283806">
        <w:rPr>
          <w:w w:val="110"/>
          <w:sz w:val="14"/>
        </w:rPr>
        <w:t>See</w:t>
      </w:r>
      <w:r w:rsidRPr="00283806">
        <w:rPr>
          <w:spacing w:val="-8"/>
          <w:w w:val="110"/>
          <w:sz w:val="14"/>
        </w:rPr>
        <w:t xml:space="preserve"> </w:t>
      </w:r>
      <w:r w:rsidRPr="00283806">
        <w:rPr>
          <w:w w:val="110"/>
          <w:sz w:val="14"/>
        </w:rPr>
        <w:t>comment</w:t>
      </w:r>
      <w:r w:rsidRPr="00283806">
        <w:rPr>
          <w:spacing w:val="-9"/>
          <w:w w:val="110"/>
          <w:sz w:val="14"/>
        </w:rPr>
        <w:t xml:space="preserve"> </w:t>
      </w:r>
      <w:r w:rsidRPr="00283806">
        <w:rPr>
          <w:w w:val="110"/>
          <w:sz w:val="14"/>
        </w:rPr>
        <w:t>number</w:t>
      </w:r>
      <w:r w:rsidRPr="00283806">
        <w:rPr>
          <w:spacing w:val="-8"/>
          <w:w w:val="110"/>
          <w:sz w:val="14"/>
        </w:rPr>
        <w:t xml:space="preserve"> </w:t>
      </w:r>
      <w:r w:rsidRPr="00283806">
        <w:rPr>
          <w:w w:val="110"/>
          <w:sz w:val="14"/>
        </w:rPr>
        <w:t>EPA–HQ–OAR–2022–</w:t>
      </w:r>
      <w:r w:rsidRPr="00283806">
        <w:rPr>
          <w:spacing w:val="40"/>
          <w:w w:val="110"/>
          <w:sz w:val="14"/>
        </w:rPr>
        <w:t xml:space="preserve"> </w:t>
      </w:r>
      <w:r w:rsidRPr="00283806">
        <w:rPr>
          <w:spacing w:val="-2"/>
          <w:w w:val="110"/>
          <w:sz w:val="14"/>
        </w:rPr>
        <w:t>0606–0009.</w:t>
      </w:r>
    </w:p>
    <w:p w14:paraId="196B8E4F" w14:textId="77777777" w:rsidR="00D67C1E" w:rsidRPr="00283806" w:rsidRDefault="001265CA">
      <w:pPr>
        <w:spacing w:before="19" w:line="228" w:lineRule="auto"/>
        <w:ind w:left="159" w:firstLine="140"/>
        <w:rPr>
          <w:sz w:val="14"/>
        </w:rPr>
      </w:pPr>
      <w:r w:rsidRPr="00283806">
        <w:br w:type="column"/>
      </w:r>
      <w:r w:rsidRPr="00283806">
        <w:rPr>
          <w:w w:val="105"/>
          <w:position w:val="4"/>
          <w:sz w:val="9"/>
        </w:rPr>
        <w:t xml:space="preserve">111 </w:t>
      </w:r>
      <w:proofErr w:type="spellStart"/>
      <w:r w:rsidRPr="00283806">
        <w:rPr>
          <w:w w:val="105"/>
          <w:sz w:val="14"/>
        </w:rPr>
        <w:t>Yasaka</w:t>
      </w:r>
      <w:proofErr w:type="spellEnd"/>
      <w:r w:rsidRPr="00283806">
        <w:rPr>
          <w:w w:val="105"/>
          <w:sz w:val="14"/>
        </w:rPr>
        <w:t>, Yoshihito, et al. ‘‘Life-Cycle</w:t>
      </w:r>
      <w:r w:rsidRPr="00283806">
        <w:rPr>
          <w:spacing w:val="40"/>
          <w:w w:val="105"/>
          <w:sz w:val="14"/>
        </w:rPr>
        <w:t xml:space="preserve"> </w:t>
      </w:r>
      <w:r w:rsidRPr="00283806">
        <w:rPr>
          <w:w w:val="105"/>
          <w:sz w:val="14"/>
        </w:rPr>
        <w:t>Assessment of Refrigerants for Air Conditioners</w:t>
      </w:r>
      <w:r w:rsidRPr="00283806">
        <w:rPr>
          <w:spacing w:val="40"/>
          <w:w w:val="105"/>
          <w:sz w:val="14"/>
        </w:rPr>
        <w:t xml:space="preserve"> </w:t>
      </w:r>
      <w:r w:rsidRPr="00283806">
        <w:rPr>
          <w:w w:val="105"/>
          <w:sz w:val="14"/>
        </w:rPr>
        <w:t>Considering Reclamation and Destruction.’’</w:t>
      </w:r>
      <w:r w:rsidRPr="00283806">
        <w:rPr>
          <w:spacing w:val="40"/>
          <w:w w:val="105"/>
          <w:sz w:val="14"/>
        </w:rPr>
        <w:t xml:space="preserve"> </w:t>
      </w:r>
      <w:r w:rsidRPr="00283806">
        <w:rPr>
          <w:w w:val="105"/>
          <w:sz w:val="14"/>
        </w:rPr>
        <w:t>Sustainability, vol. 15, no.1, 2023, p. 473,</w:t>
      </w:r>
      <w:r w:rsidRPr="00283806">
        <w:rPr>
          <w:spacing w:val="40"/>
          <w:w w:val="105"/>
          <w:sz w:val="14"/>
        </w:rPr>
        <w:t xml:space="preserve"> </w:t>
      </w:r>
      <w:r w:rsidRPr="00283806">
        <w:rPr>
          <w:spacing w:val="-2"/>
          <w:w w:val="105"/>
          <w:sz w:val="14"/>
        </w:rPr>
        <w:t>doi:10.3390/su15010473.</w:t>
      </w:r>
    </w:p>
    <w:p w14:paraId="4E3F37C7" w14:textId="77777777" w:rsidR="00D67C1E" w:rsidRPr="00283806" w:rsidRDefault="001265CA">
      <w:pPr>
        <w:pStyle w:val="BodyText"/>
        <w:spacing w:before="9" w:line="228" w:lineRule="auto"/>
        <w:ind w:left="159" w:right="154"/>
      </w:pPr>
      <w:r w:rsidRPr="00283806">
        <w:br w:type="column"/>
      </w:r>
      <w:r w:rsidRPr="00283806">
        <w:rPr>
          <w:w w:val="105"/>
        </w:rPr>
        <w:t>(as</w:t>
      </w:r>
      <w:r w:rsidRPr="00283806">
        <w:rPr>
          <w:spacing w:val="40"/>
          <w:w w:val="105"/>
        </w:rPr>
        <w:t xml:space="preserve"> </w:t>
      </w:r>
      <w:r w:rsidRPr="00283806">
        <w:rPr>
          <w:w w:val="105"/>
        </w:rPr>
        <w:t>discussed</w:t>
      </w:r>
      <w:r w:rsidRPr="00283806">
        <w:rPr>
          <w:spacing w:val="40"/>
          <w:w w:val="105"/>
        </w:rPr>
        <w:t xml:space="preserve"> </w:t>
      </w:r>
      <w:r w:rsidRPr="00283806">
        <w:rPr>
          <w:w w:val="105"/>
        </w:rPr>
        <w:t>in</w:t>
      </w:r>
      <w:r w:rsidRPr="00283806">
        <w:rPr>
          <w:spacing w:val="40"/>
          <w:w w:val="105"/>
        </w:rPr>
        <w:t xml:space="preserve"> </w:t>
      </w:r>
      <w:r w:rsidRPr="00283806">
        <w:rPr>
          <w:w w:val="105"/>
        </w:rPr>
        <w:t>section</w:t>
      </w:r>
      <w:r w:rsidRPr="00283806">
        <w:rPr>
          <w:spacing w:val="40"/>
          <w:w w:val="105"/>
        </w:rPr>
        <w:t xml:space="preserve"> </w:t>
      </w:r>
      <w:r w:rsidRPr="00283806">
        <w:rPr>
          <w:w w:val="105"/>
        </w:rPr>
        <w:t>IV.E.1)</w:t>
      </w:r>
      <w:r w:rsidRPr="00283806">
        <w:rPr>
          <w:spacing w:val="40"/>
          <w:w w:val="105"/>
        </w:rPr>
        <w:t xml:space="preserve"> </w:t>
      </w:r>
      <w:r w:rsidRPr="00283806">
        <w:rPr>
          <w:w w:val="105"/>
        </w:rPr>
        <w:t>such that equipment owners and operators can verify they are using reclaimed HFC refrigerants for servicing and/or repair</w:t>
      </w:r>
    </w:p>
    <w:p w14:paraId="6A4BA748" w14:textId="77777777" w:rsidR="00D67C1E" w:rsidRPr="00283806" w:rsidRDefault="00D67C1E">
      <w:pPr>
        <w:spacing w:line="228" w:lineRule="auto"/>
        <w:sectPr w:rsidR="00D67C1E" w:rsidRPr="00283806">
          <w:type w:val="continuous"/>
          <w:pgSz w:w="12240" w:h="15840"/>
          <w:pgMar w:top="880" w:right="780" w:bottom="280" w:left="740" w:header="627" w:footer="0" w:gutter="0"/>
          <w:cols w:num="3" w:space="720" w:equalWidth="0">
            <w:col w:w="3415" w:space="125"/>
            <w:col w:w="3263" w:space="278"/>
            <w:col w:w="3639"/>
          </w:cols>
        </w:sectPr>
      </w:pPr>
    </w:p>
    <w:p w14:paraId="735D54C3" w14:textId="77777777" w:rsidR="00D67C1E" w:rsidRPr="00283806" w:rsidRDefault="001265CA">
      <w:pPr>
        <w:pStyle w:val="BodyText"/>
        <w:spacing w:before="134" w:line="228" w:lineRule="auto"/>
        <w:ind w:right="28"/>
      </w:pPr>
      <w:r w:rsidRPr="00283806">
        <w:rPr>
          <w:w w:val="105"/>
        </w:rPr>
        <w:lastRenderedPageBreak/>
        <w:t>of refrigerant-containing equipment in the supermarket systems, refrigerated transport, and automatic commercial ice maker subsectors. Further, EPA clarifies that</w:t>
      </w:r>
      <w:r w:rsidRPr="00283806">
        <w:rPr>
          <w:spacing w:val="40"/>
          <w:w w:val="105"/>
        </w:rPr>
        <w:t xml:space="preserve"> </w:t>
      </w:r>
      <w:r w:rsidRPr="00283806">
        <w:rPr>
          <w:w w:val="105"/>
        </w:rPr>
        <w:t>this</w:t>
      </w:r>
      <w:r w:rsidRPr="00283806">
        <w:rPr>
          <w:spacing w:val="40"/>
          <w:w w:val="105"/>
        </w:rPr>
        <w:t xml:space="preserve"> </w:t>
      </w:r>
      <w:r w:rsidRPr="00283806">
        <w:rPr>
          <w:w w:val="105"/>
        </w:rPr>
        <w:t>rule</w:t>
      </w:r>
      <w:r w:rsidRPr="00283806">
        <w:rPr>
          <w:spacing w:val="40"/>
          <w:w w:val="105"/>
        </w:rPr>
        <w:t xml:space="preserve"> </w:t>
      </w:r>
      <w:r w:rsidRPr="00283806">
        <w:rPr>
          <w:w w:val="105"/>
        </w:rPr>
        <w:t>would</w:t>
      </w:r>
      <w:r w:rsidRPr="00283806">
        <w:rPr>
          <w:spacing w:val="40"/>
          <w:w w:val="105"/>
        </w:rPr>
        <w:t xml:space="preserve"> </w:t>
      </w:r>
      <w:r w:rsidRPr="00283806">
        <w:rPr>
          <w:w w:val="105"/>
        </w:rPr>
        <w:t>not</w:t>
      </w:r>
      <w:r w:rsidRPr="00283806">
        <w:rPr>
          <w:spacing w:val="40"/>
          <w:w w:val="105"/>
        </w:rPr>
        <w:t xml:space="preserve"> </w:t>
      </w:r>
      <w:r w:rsidRPr="00283806">
        <w:rPr>
          <w:w w:val="105"/>
        </w:rPr>
        <w:t>preclude</w:t>
      </w:r>
      <w:r w:rsidRPr="00283806">
        <w:rPr>
          <w:spacing w:val="40"/>
          <w:w w:val="105"/>
        </w:rPr>
        <w:t xml:space="preserve"> </w:t>
      </w:r>
      <w:r w:rsidRPr="00283806">
        <w:rPr>
          <w:w w:val="105"/>
        </w:rPr>
        <w:t>the use of reclaimed HFC refrigerants in any manner. Consistent with the proposed rule and EPA’s experience in the use of reclaimed ODS refrigerants, EPA anticipates that reclaimed HFC refrigerants will continue to play an increasingly significant role in the servicing and/or repair of existing equipment that use HFC refrigerants as the phasedown on production and consumption of virgin HFCs progresses.</w:t>
      </w:r>
    </w:p>
    <w:p w14:paraId="5E89B459" w14:textId="77777777" w:rsidR="00D67C1E" w:rsidRPr="00283806" w:rsidRDefault="001265CA">
      <w:pPr>
        <w:pStyle w:val="BodyText"/>
        <w:spacing w:before="6" w:line="228" w:lineRule="auto"/>
        <w:ind w:right="28" w:firstLine="180"/>
      </w:pPr>
      <w:r w:rsidRPr="00283806">
        <w:rPr>
          <w:w w:val="105"/>
        </w:rPr>
        <w:t xml:space="preserve">EPA responds that the Agency is not establishing requirements for the initial fill of refrigerant-containing equipment with reclaimed HFCs </w:t>
      </w:r>
      <w:proofErr w:type="gramStart"/>
      <w:r w:rsidRPr="00283806">
        <w:rPr>
          <w:w w:val="105"/>
        </w:rPr>
        <w:t>at this time</w:t>
      </w:r>
      <w:proofErr w:type="gramEnd"/>
      <w:r w:rsidRPr="00283806">
        <w:rPr>
          <w:w w:val="105"/>
        </w:rPr>
        <w:t>.</w:t>
      </w:r>
    </w:p>
    <w:p w14:paraId="63D8AFBE" w14:textId="77777777" w:rsidR="00D67C1E" w:rsidRPr="00283806" w:rsidRDefault="001265CA">
      <w:pPr>
        <w:pStyle w:val="BodyText"/>
        <w:spacing w:before="12" w:line="228" w:lineRule="auto"/>
        <w:ind w:firstLine="180"/>
      </w:pPr>
      <w:r w:rsidRPr="00283806">
        <w:rPr>
          <w:rFonts w:ascii="Book Antiqua" w:hAnsi="Book Antiqua"/>
          <w:i/>
          <w:w w:val="105"/>
        </w:rPr>
        <w:t xml:space="preserve">Comment: </w:t>
      </w:r>
      <w:r w:rsidRPr="00283806">
        <w:rPr>
          <w:w w:val="105"/>
        </w:rPr>
        <w:t>One commenter proposed</w:t>
      </w:r>
      <w:r w:rsidRPr="00283806">
        <w:rPr>
          <w:spacing w:val="40"/>
          <w:w w:val="105"/>
        </w:rPr>
        <w:t xml:space="preserve"> </w:t>
      </w:r>
      <w:r w:rsidRPr="00283806">
        <w:rPr>
          <w:w w:val="105"/>
        </w:rPr>
        <w:t>an alternative where EPA could finalize</w:t>
      </w:r>
      <w:r w:rsidRPr="00283806">
        <w:rPr>
          <w:spacing w:val="80"/>
          <w:w w:val="105"/>
        </w:rPr>
        <w:t xml:space="preserve"> </w:t>
      </w:r>
      <w:r w:rsidRPr="00283806">
        <w:rPr>
          <w:w w:val="105"/>
        </w:rPr>
        <w:t>a program to define a ‘‘service gas’’ to distribute the finite reclaimed HFCs across the entire service market, and in this alternative, exclude first fill requirements with reclaimed HFC refrigerants. The commenter further claimed that EPA could require a minimum percentage of reclaimed HFCs (with consideration of the 15 percent limit, by weight, on virgin HFCs) to be used in service gas sold to the aftermarket. The commenter further suggested requiring that all reclaimed HFCs be recovered from equipment manufactured in the United States (excluding equipment meeting GWPs under the 2023 Technology Transitions Rule and first fill requirements),</w:t>
      </w:r>
      <w:r w:rsidRPr="00283806">
        <w:rPr>
          <w:spacing w:val="80"/>
          <w:w w:val="105"/>
        </w:rPr>
        <w:t xml:space="preserve"> </w:t>
      </w:r>
      <w:r w:rsidRPr="00283806">
        <w:rPr>
          <w:w w:val="105"/>
        </w:rPr>
        <w:t xml:space="preserve">claiming that this would maximize reclaim across the full market, maintain free market competition, return reclaimed higher-GWP refrigerants to service, and maximize reclaim as recovery rates grow over time. The commenter recommended that EPA consider different service levels by </w:t>
      </w:r>
      <w:proofErr w:type="gramStart"/>
      <w:r w:rsidRPr="00283806">
        <w:rPr>
          <w:w w:val="105"/>
        </w:rPr>
        <w:t>market</w:t>
      </w:r>
      <w:proofErr w:type="gramEnd"/>
      <w:r w:rsidRPr="00283806">
        <w:rPr>
          <w:w w:val="105"/>
        </w:rPr>
        <w:t xml:space="preserve"> sector, exempting IPR because of its requirement to continuously</w:t>
      </w:r>
      <w:r w:rsidRPr="00283806">
        <w:rPr>
          <w:spacing w:val="80"/>
          <w:w w:val="105"/>
        </w:rPr>
        <w:t xml:space="preserve"> </w:t>
      </w:r>
      <w:r w:rsidRPr="00283806">
        <w:rPr>
          <w:w w:val="105"/>
        </w:rPr>
        <w:t>maintain temperature ranges.</w:t>
      </w:r>
    </w:p>
    <w:p w14:paraId="0ADAFE11" w14:textId="77777777" w:rsidR="00D67C1E" w:rsidRPr="00283806" w:rsidRDefault="001265CA">
      <w:pPr>
        <w:pStyle w:val="BodyText"/>
        <w:spacing w:line="184" w:lineRule="exact"/>
        <w:ind w:left="340"/>
      </w:pPr>
      <w:r w:rsidRPr="00283806">
        <w:rPr>
          <w:w w:val="110"/>
        </w:rPr>
        <w:t>A</w:t>
      </w:r>
      <w:r w:rsidRPr="00283806">
        <w:rPr>
          <w:spacing w:val="-9"/>
          <w:w w:val="110"/>
        </w:rPr>
        <w:t xml:space="preserve"> </w:t>
      </w:r>
      <w:r w:rsidRPr="00283806">
        <w:rPr>
          <w:w w:val="110"/>
        </w:rPr>
        <w:t>couple</w:t>
      </w:r>
      <w:r w:rsidRPr="00283806">
        <w:rPr>
          <w:spacing w:val="-8"/>
          <w:w w:val="110"/>
        </w:rPr>
        <w:t xml:space="preserve"> </w:t>
      </w:r>
      <w:r w:rsidRPr="00283806">
        <w:rPr>
          <w:w w:val="110"/>
        </w:rPr>
        <w:t>of</w:t>
      </w:r>
      <w:r w:rsidRPr="00283806">
        <w:rPr>
          <w:spacing w:val="-8"/>
          <w:w w:val="110"/>
        </w:rPr>
        <w:t xml:space="preserve"> </w:t>
      </w:r>
      <w:r w:rsidRPr="00283806">
        <w:rPr>
          <w:w w:val="110"/>
        </w:rPr>
        <w:t>commenters</w:t>
      </w:r>
      <w:r w:rsidRPr="00283806">
        <w:rPr>
          <w:spacing w:val="-9"/>
          <w:w w:val="110"/>
        </w:rPr>
        <w:t xml:space="preserve"> </w:t>
      </w:r>
      <w:r w:rsidRPr="00283806">
        <w:rPr>
          <w:spacing w:val="-2"/>
          <w:w w:val="110"/>
        </w:rPr>
        <w:t>discussed</w:t>
      </w:r>
    </w:p>
    <w:p w14:paraId="0E519730" w14:textId="77777777" w:rsidR="00D67C1E" w:rsidRPr="00283806" w:rsidRDefault="001265CA">
      <w:pPr>
        <w:pStyle w:val="BodyText"/>
        <w:spacing w:before="3" w:line="228" w:lineRule="auto"/>
        <w:ind w:right="22"/>
      </w:pPr>
      <w:proofErr w:type="gramStart"/>
      <w:r w:rsidRPr="00283806">
        <w:rPr>
          <w:w w:val="105"/>
        </w:rPr>
        <w:t>the</w:t>
      </w:r>
      <w:proofErr w:type="gramEnd"/>
      <w:r w:rsidRPr="00283806">
        <w:rPr>
          <w:w w:val="105"/>
        </w:rPr>
        <w:t xml:space="preserve"> feasibility of EPA creating a new service</w:t>
      </w:r>
      <w:r w:rsidRPr="00283806">
        <w:rPr>
          <w:spacing w:val="-3"/>
          <w:w w:val="105"/>
        </w:rPr>
        <w:t xml:space="preserve"> </w:t>
      </w:r>
      <w:r w:rsidRPr="00283806">
        <w:rPr>
          <w:w w:val="105"/>
        </w:rPr>
        <w:t>gas</w:t>
      </w:r>
      <w:r w:rsidRPr="00283806">
        <w:rPr>
          <w:spacing w:val="-3"/>
          <w:w w:val="105"/>
        </w:rPr>
        <w:t xml:space="preserve"> </w:t>
      </w:r>
      <w:r w:rsidRPr="00283806">
        <w:rPr>
          <w:w w:val="105"/>
        </w:rPr>
        <w:t>category</w:t>
      </w:r>
      <w:r w:rsidRPr="00283806">
        <w:rPr>
          <w:spacing w:val="-3"/>
          <w:w w:val="105"/>
        </w:rPr>
        <w:t xml:space="preserve"> </w:t>
      </w:r>
      <w:r w:rsidRPr="00283806">
        <w:rPr>
          <w:w w:val="105"/>
        </w:rPr>
        <w:t>for</w:t>
      </w:r>
      <w:r w:rsidRPr="00283806">
        <w:rPr>
          <w:spacing w:val="-3"/>
          <w:w w:val="105"/>
        </w:rPr>
        <w:t xml:space="preserve"> </w:t>
      </w:r>
      <w:r w:rsidRPr="00283806">
        <w:rPr>
          <w:w w:val="105"/>
        </w:rPr>
        <w:t>refrigerants.</w:t>
      </w:r>
      <w:r w:rsidRPr="00283806">
        <w:rPr>
          <w:spacing w:val="-3"/>
          <w:w w:val="105"/>
        </w:rPr>
        <w:t xml:space="preserve"> </w:t>
      </w:r>
      <w:r w:rsidRPr="00283806">
        <w:rPr>
          <w:w w:val="105"/>
        </w:rPr>
        <w:t>One commenter requested that EPA reject arguments that reclaim goals cannot be met due to challenges in recovery practices and that a new service gas category can be used in the secondary market (that is less than 85 percent reclaim). The commenter contended</w:t>
      </w:r>
      <w:r w:rsidRPr="00283806">
        <w:rPr>
          <w:spacing w:val="80"/>
          <w:w w:val="105"/>
        </w:rPr>
        <w:t xml:space="preserve"> </w:t>
      </w:r>
      <w:r w:rsidRPr="00283806">
        <w:rPr>
          <w:w w:val="105"/>
        </w:rPr>
        <w:t xml:space="preserve">that such arguments were intended to cast doubt on the ability of reclaimers to provide sufficient reclaimed refrigerant. Another commenter suggested that a limit on virgin </w:t>
      </w:r>
      <w:proofErr w:type="gramStart"/>
      <w:r w:rsidRPr="00283806">
        <w:rPr>
          <w:w w:val="105"/>
        </w:rPr>
        <w:t>refrigerant</w:t>
      </w:r>
      <w:proofErr w:type="gramEnd"/>
      <w:r w:rsidRPr="00283806">
        <w:rPr>
          <w:w w:val="105"/>
        </w:rPr>
        <w:t xml:space="preserve"> could thwart reclaim goals and restrict uses like a ‘‘service gas’’ where an increasing</w:t>
      </w:r>
    </w:p>
    <w:p w14:paraId="6B21CB13" w14:textId="77777777" w:rsidR="00D67C1E" w:rsidRPr="00283806" w:rsidRDefault="001265CA">
      <w:pPr>
        <w:pStyle w:val="BodyText"/>
        <w:spacing w:before="133" w:line="228" w:lineRule="auto"/>
        <w:ind w:right="128"/>
      </w:pPr>
      <w:r w:rsidRPr="00283806">
        <w:br w:type="column"/>
      </w:r>
      <w:r w:rsidRPr="00283806">
        <w:rPr>
          <w:w w:val="105"/>
        </w:rPr>
        <w:t>percentage</w:t>
      </w:r>
      <w:r w:rsidRPr="00283806">
        <w:rPr>
          <w:spacing w:val="-10"/>
          <w:w w:val="105"/>
        </w:rPr>
        <w:t xml:space="preserve"> </w:t>
      </w:r>
      <w:r w:rsidRPr="00283806">
        <w:rPr>
          <w:w w:val="105"/>
        </w:rPr>
        <w:t>of</w:t>
      </w:r>
      <w:r w:rsidRPr="00283806">
        <w:rPr>
          <w:spacing w:val="-10"/>
          <w:w w:val="105"/>
        </w:rPr>
        <w:t xml:space="preserve"> </w:t>
      </w:r>
      <w:r w:rsidRPr="00283806">
        <w:rPr>
          <w:w w:val="105"/>
        </w:rPr>
        <w:t>reclaimed</w:t>
      </w:r>
      <w:r w:rsidRPr="00283806">
        <w:rPr>
          <w:spacing w:val="-10"/>
          <w:w w:val="105"/>
        </w:rPr>
        <w:t xml:space="preserve"> </w:t>
      </w:r>
      <w:r w:rsidRPr="00283806">
        <w:rPr>
          <w:w w:val="105"/>
        </w:rPr>
        <w:t>refrigerant could be used over time.</w:t>
      </w:r>
    </w:p>
    <w:p w14:paraId="0A78926A" w14:textId="77777777" w:rsidR="00D67C1E" w:rsidRPr="00283806" w:rsidRDefault="001265CA">
      <w:pPr>
        <w:pStyle w:val="BodyText"/>
        <w:spacing w:before="39" w:line="228" w:lineRule="auto"/>
        <w:ind w:firstLine="180"/>
      </w:pPr>
      <w:r w:rsidRPr="00283806">
        <w:rPr>
          <w:rFonts w:ascii="Book Antiqua" w:hAnsi="Book Antiqua"/>
          <w:i/>
          <w:w w:val="105"/>
        </w:rPr>
        <w:t xml:space="preserve">Response: </w:t>
      </w:r>
      <w:r w:rsidRPr="00283806">
        <w:rPr>
          <w:w w:val="105"/>
        </w:rPr>
        <w:t>EPA did not propose and is not finalizing the creation of a service</w:t>
      </w:r>
      <w:r w:rsidRPr="00283806">
        <w:rPr>
          <w:spacing w:val="80"/>
          <w:w w:val="105"/>
        </w:rPr>
        <w:t xml:space="preserve"> </w:t>
      </w:r>
      <w:r w:rsidRPr="00283806">
        <w:rPr>
          <w:w w:val="105"/>
        </w:rPr>
        <w:t>gas category for refrigerants as EPA does not agree that the creation of a service</w:t>
      </w:r>
      <w:r w:rsidRPr="00283806">
        <w:rPr>
          <w:spacing w:val="40"/>
          <w:w w:val="105"/>
        </w:rPr>
        <w:t xml:space="preserve"> </w:t>
      </w:r>
      <w:r w:rsidRPr="00283806">
        <w:rPr>
          <w:w w:val="105"/>
        </w:rPr>
        <w:t>gas category is necessary. EPA acknowledges</w:t>
      </w:r>
      <w:r w:rsidRPr="00283806">
        <w:rPr>
          <w:spacing w:val="40"/>
          <w:w w:val="105"/>
        </w:rPr>
        <w:t xml:space="preserve"> </w:t>
      </w:r>
      <w:r w:rsidRPr="00283806">
        <w:rPr>
          <w:w w:val="105"/>
        </w:rPr>
        <w:t>that</w:t>
      </w:r>
      <w:r w:rsidRPr="00283806">
        <w:rPr>
          <w:spacing w:val="40"/>
          <w:w w:val="105"/>
        </w:rPr>
        <w:t xml:space="preserve"> </w:t>
      </w:r>
      <w:r w:rsidRPr="00283806">
        <w:rPr>
          <w:w w:val="105"/>
        </w:rPr>
        <w:t>under</w:t>
      </w:r>
      <w:r w:rsidRPr="00283806">
        <w:rPr>
          <w:spacing w:val="40"/>
          <w:w w:val="105"/>
        </w:rPr>
        <w:t xml:space="preserve"> </w:t>
      </w:r>
      <w:r w:rsidRPr="00283806">
        <w:rPr>
          <w:w w:val="105"/>
        </w:rPr>
        <w:t>the</w:t>
      </w:r>
      <w:r w:rsidRPr="00283806">
        <w:rPr>
          <w:spacing w:val="40"/>
          <w:w w:val="105"/>
        </w:rPr>
        <w:t xml:space="preserve"> </w:t>
      </w:r>
      <w:r w:rsidRPr="00283806">
        <w:rPr>
          <w:w w:val="105"/>
        </w:rPr>
        <w:t>CAA</w:t>
      </w:r>
      <w:r w:rsidRPr="00283806">
        <w:rPr>
          <w:spacing w:val="40"/>
          <w:w w:val="105"/>
        </w:rPr>
        <w:t xml:space="preserve"> </w:t>
      </w:r>
      <w:r w:rsidRPr="00283806">
        <w:rPr>
          <w:w w:val="105"/>
        </w:rPr>
        <w:t>title VI phaseout ODS regulations, virgin HCFCs</w:t>
      </w:r>
      <w:r w:rsidRPr="00283806">
        <w:rPr>
          <w:spacing w:val="40"/>
          <w:w w:val="105"/>
        </w:rPr>
        <w:t xml:space="preserve"> </w:t>
      </w:r>
      <w:r w:rsidRPr="00283806">
        <w:rPr>
          <w:w w:val="105"/>
        </w:rPr>
        <w:t>can</w:t>
      </w:r>
      <w:r w:rsidRPr="00283806">
        <w:rPr>
          <w:spacing w:val="40"/>
          <w:w w:val="105"/>
        </w:rPr>
        <w:t xml:space="preserve"> </w:t>
      </w:r>
      <w:r w:rsidRPr="00283806">
        <w:rPr>
          <w:w w:val="105"/>
        </w:rPr>
        <w:t>be</w:t>
      </w:r>
      <w:r w:rsidRPr="00283806">
        <w:rPr>
          <w:spacing w:val="40"/>
          <w:w w:val="105"/>
        </w:rPr>
        <w:t xml:space="preserve"> </w:t>
      </w:r>
      <w:r w:rsidRPr="00283806">
        <w:rPr>
          <w:w w:val="105"/>
        </w:rPr>
        <w:t>produced</w:t>
      </w:r>
      <w:r w:rsidRPr="00283806">
        <w:rPr>
          <w:spacing w:val="40"/>
          <w:w w:val="105"/>
        </w:rPr>
        <w:t xml:space="preserve"> </w:t>
      </w:r>
      <w:r w:rsidRPr="00283806">
        <w:rPr>
          <w:w w:val="105"/>
        </w:rPr>
        <w:t>and</w:t>
      </w:r>
      <w:r w:rsidRPr="00283806">
        <w:rPr>
          <w:spacing w:val="40"/>
          <w:w w:val="105"/>
        </w:rPr>
        <w:t xml:space="preserve"> </w:t>
      </w:r>
      <w:r w:rsidRPr="00283806">
        <w:rPr>
          <w:w w:val="105"/>
        </w:rPr>
        <w:t>imported in very small quantities solely for purposes</w:t>
      </w:r>
      <w:r w:rsidRPr="00283806">
        <w:rPr>
          <w:spacing w:val="40"/>
          <w:w w:val="105"/>
        </w:rPr>
        <w:t xml:space="preserve"> </w:t>
      </w:r>
      <w:r w:rsidRPr="00283806">
        <w:rPr>
          <w:w w:val="105"/>
        </w:rPr>
        <w:t>of</w:t>
      </w:r>
      <w:r w:rsidRPr="00283806">
        <w:rPr>
          <w:spacing w:val="40"/>
          <w:w w:val="105"/>
        </w:rPr>
        <w:t xml:space="preserve"> </w:t>
      </w:r>
      <w:r w:rsidRPr="00283806">
        <w:rPr>
          <w:w w:val="105"/>
        </w:rPr>
        <w:t>servicing</w:t>
      </w:r>
      <w:r w:rsidRPr="00283806">
        <w:rPr>
          <w:spacing w:val="40"/>
          <w:w w:val="105"/>
        </w:rPr>
        <w:t xml:space="preserve"> </w:t>
      </w:r>
      <w:r w:rsidRPr="00283806">
        <w:rPr>
          <w:w w:val="105"/>
        </w:rPr>
        <w:t>certain</w:t>
      </w:r>
      <w:r w:rsidRPr="00283806">
        <w:rPr>
          <w:spacing w:val="40"/>
          <w:w w:val="105"/>
        </w:rPr>
        <w:t xml:space="preserve"> </w:t>
      </w:r>
      <w:r w:rsidRPr="00283806">
        <w:rPr>
          <w:w w:val="105"/>
        </w:rPr>
        <w:t>appliances. For example, today under</w:t>
      </w:r>
      <w:r w:rsidRPr="00283806">
        <w:rPr>
          <w:spacing w:val="80"/>
          <w:w w:val="150"/>
        </w:rPr>
        <w:t xml:space="preserve"> </w:t>
      </w:r>
      <w:r w:rsidRPr="00283806">
        <w:rPr>
          <w:w w:val="105"/>
        </w:rPr>
        <w:t>the ‘‘servicing tail’’ requirements, EPA issues allowances that allow for no more than 0.5 percent of the U.S. HCFC</w:t>
      </w:r>
      <w:r w:rsidRPr="00283806">
        <w:rPr>
          <w:spacing w:val="80"/>
          <w:w w:val="105"/>
        </w:rPr>
        <w:t xml:space="preserve"> </w:t>
      </w:r>
      <w:r w:rsidRPr="00283806">
        <w:rPr>
          <w:w w:val="105"/>
        </w:rPr>
        <w:t>baseline to be produced and imported, requires that those HCFCs must be used solely for servicing, and further limits</w:t>
      </w:r>
      <w:r w:rsidRPr="00283806">
        <w:rPr>
          <w:spacing w:val="80"/>
          <w:w w:val="105"/>
        </w:rPr>
        <w:t xml:space="preserve"> </w:t>
      </w:r>
      <w:r w:rsidRPr="00283806">
        <w:rPr>
          <w:w w:val="105"/>
        </w:rPr>
        <w:t>the allowances to only the two HCFCs with the lowest ozone-depleting potentials (</w:t>
      </w:r>
      <w:r w:rsidRPr="00283806">
        <w:rPr>
          <w:rFonts w:ascii="Book Antiqua" w:hAnsi="Book Antiqua"/>
          <w:i/>
          <w:w w:val="105"/>
        </w:rPr>
        <w:t xml:space="preserve">i.e., </w:t>
      </w:r>
      <w:r w:rsidRPr="00283806">
        <w:rPr>
          <w:w w:val="105"/>
        </w:rPr>
        <w:t>HCFC–123 and HCFC– 124). The structure of the AIM Act and</w:t>
      </w:r>
      <w:r w:rsidRPr="00283806">
        <w:rPr>
          <w:spacing w:val="40"/>
          <w:w w:val="105"/>
        </w:rPr>
        <w:t xml:space="preserve"> </w:t>
      </w:r>
      <w:r w:rsidRPr="00283806">
        <w:rPr>
          <w:w w:val="105"/>
        </w:rPr>
        <w:t>the CAA differs significantly in this area and</w:t>
      </w:r>
      <w:proofErr w:type="gramStart"/>
      <w:r w:rsidRPr="00283806">
        <w:rPr>
          <w:w w:val="105"/>
        </w:rPr>
        <w:t>, in particular, the</w:t>
      </w:r>
      <w:proofErr w:type="gramEnd"/>
      <w:r w:rsidRPr="00283806">
        <w:rPr>
          <w:w w:val="105"/>
        </w:rPr>
        <w:t xml:space="preserve"> AIM Act’s phasedown and not phaseout of HFC production and consumption is a stark difference from the ODS structure, resulting in a need for a different approach with regards to servicing. EPA does not agree conceptually with a new category of gas that has a percentage of reclaimed material between a ‘‘virgin regulated substance’’ and ‘‘reclaimed refrigerant.’’ It is EPA’s view that the creation of this new category could</w:t>
      </w:r>
      <w:r w:rsidRPr="00283806">
        <w:rPr>
          <w:spacing w:val="40"/>
          <w:w w:val="105"/>
        </w:rPr>
        <w:t xml:space="preserve"> </w:t>
      </w:r>
      <w:r w:rsidRPr="00283806">
        <w:rPr>
          <w:w w:val="105"/>
        </w:rPr>
        <w:t>create unnecessary complications in the market and could weaken the demand</w:t>
      </w:r>
      <w:r w:rsidRPr="00283806">
        <w:rPr>
          <w:spacing w:val="40"/>
          <w:w w:val="105"/>
        </w:rPr>
        <w:t xml:space="preserve"> </w:t>
      </w:r>
      <w:r w:rsidRPr="00283806">
        <w:rPr>
          <w:w w:val="105"/>
        </w:rPr>
        <w:t xml:space="preserve">for reclaimed </w:t>
      </w:r>
      <w:proofErr w:type="gramStart"/>
      <w:r w:rsidRPr="00283806">
        <w:rPr>
          <w:w w:val="105"/>
        </w:rPr>
        <w:t>refrigerant</w:t>
      </w:r>
      <w:proofErr w:type="gramEnd"/>
      <w:r w:rsidRPr="00283806">
        <w:rPr>
          <w:w w:val="105"/>
        </w:rPr>
        <w:t xml:space="preserve"> rather than strengthening it. As EPA explains in section</w:t>
      </w:r>
      <w:r w:rsidRPr="00283806">
        <w:rPr>
          <w:spacing w:val="40"/>
          <w:w w:val="105"/>
        </w:rPr>
        <w:t xml:space="preserve"> </w:t>
      </w:r>
      <w:r w:rsidRPr="00283806">
        <w:rPr>
          <w:w w:val="105"/>
        </w:rPr>
        <w:t>IV.E.1,</w:t>
      </w:r>
      <w:r w:rsidRPr="00283806">
        <w:rPr>
          <w:spacing w:val="40"/>
          <w:w w:val="105"/>
        </w:rPr>
        <w:t xml:space="preserve"> </w:t>
      </w:r>
      <w:r w:rsidRPr="00283806">
        <w:rPr>
          <w:w w:val="105"/>
        </w:rPr>
        <w:t>the</w:t>
      </w:r>
      <w:r w:rsidRPr="00283806">
        <w:rPr>
          <w:spacing w:val="40"/>
          <w:w w:val="105"/>
        </w:rPr>
        <w:t xml:space="preserve"> </w:t>
      </w:r>
      <w:r w:rsidRPr="00283806">
        <w:rPr>
          <w:w w:val="105"/>
        </w:rPr>
        <w:t>Agency</w:t>
      </w:r>
      <w:r w:rsidRPr="00283806">
        <w:rPr>
          <w:spacing w:val="40"/>
          <w:w w:val="105"/>
        </w:rPr>
        <w:t xml:space="preserve"> </w:t>
      </w:r>
      <w:r w:rsidRPr="00283806">
        <w:rPr>
          <w:w w:val="105"/>
        </w:rPr>
        <w:t>is establishing a standard for the limit on the</w:t>
      </w:r>
      <w:r w:rsidRPr="00283806">
        <w:rPr>
          <w:spacing w:val="40"/>
          <w:w w:val="105"/>
        </w:rPr>
        <w:t xml:space="preserve"> </w:t>
      </w:r>
      <w:r w:rsidRPr="00283806">
        <w:rPr>
          <w:w w:val="105"/>
        </w:rPr>
        <w:t>percentage</w:t>
      </w:r>
      <w:r w:rsidRPr="00283806">
        <w:rPr>
          <w:spacing w:val="40"/>
          <w:w w:val="105"/>
        </w:rPr>
        <w:t xml:space="preserve"> </w:t>
      </w:r>
      <w:r w:rsidRPr="00283806">
        <w:rPr>
          <w:w w:val="105"/>
        </w:rPr>
        <w:t>of</w:t>
      </w:r>
      <w:r w:rsidRPr="00283806">
        <w:rPr>
          <w:spacing w:val="40"/>
          <w:w w:val="105"/>
        </w:rPr>
        <w:t xml:space="preserve"> </w:t>
      </w:r>
      <w:r w:rsidRPr="00283806">
        <w:rPr>
          <w:w w:val="105"/>
        </w:rPr>
        <w:t>virgin</w:t>
      </w:r>
      <w:r w:rsidRPr="00283806">
        <w:rPr>
          <w:spacing w:val="40"/>
          <w:w w:val="105"/>
        </w:rPr>
        <w:t xml:space="preserve"> </w:t>
      </w:r>
      <w:r w:rsidRPr="00283806">
        <w:rPr>
          <w:w w:val="105"/>
        </w:rPr>
        <w:t>HFCs,</w:t>
      </w:r>
      <w:r w:rsidRPr="00283806">
        <w:rPr>
          <w:spacing w:val="40"/>
          <w:w w:val="105"/>
        </w:rPr>
        <w:t xml:space="preserve"> </w:t>
      </w:r>
      <w:r w:rsidRPr="00283806">
        <w:rPr>
          <w:w w:val="105"/>
        </w:rPr>
        <w:t>by weight, in reclaimed HFC refrigerants. EPA explains that, in addition to supporting</w:t>
      </w:r>
      <w:r w:rsidRPr="00283806">
        <w:rPr>
          <w:spacing w:val="35"/>
          <w:w w:val="105"/>
        </w:rPr>
        <w:t xml:space="preserve"> </w:t>
      </w:r>
      <w:r w:rsidRPr="00283806">
        <w:rPr>
          <w:w w:val="105"/>
        </w:rPr>
        <w:t>maximizing</w:t>
      </w:r>
      <w:r w:rsidRPr="00283806">
        <w:rPr>
          <w:spacing w:val="35"/>
          <w:w w:val="105"/>
        </w:rPr>
        <w:t xml:space="preserve"> </w:t>
      </w:r>
      <w:r w:rsidRPr="00283806">
        <w:rPr>
          <w:w w:val="105"/>
        </w:rPr>
        <w:t>reclamation,</w:t>
      </w:r>
      <w:r w:rsidRPr="00283806">
        <w:rPr>
          <w:spacing w:val="80"/>
          <w:w w:val="105"/>
        </w:rPr>
        <w:t xml:space="preserve"> </w:t>
      </w:r>
      <w:r w:rsidRPr="00283806">
        <w:rPr>
          <w:w w:val="105"/>
        </w:rPr>
        <w:t>this standard helps to provide a consistent understanding of what constitutes reclaimed HFCs for their use in refrigerant-containing equipment.</w:t>
      </w:r>
    </w:p>
    <w:p w14:paraId="4E959F62" w14:textId="77777777" w:rsidR="00D67C1E" w:rsidRPr="00283806" w:rsidRDefault="001265CA">
      <w:pPr>
        <w:pStyle w:val="BodyText"/>
        <w:spacing w:line="153" w:lineRule="exact"/>
      </w:pPr>
      <w:r w:rsidRPr="00283806">
        <w:rPr>
          <w:w w:val="105"/>
        </w:rPr>
        <w:t>EPA</w:t>
      </w:r>
      <w:r w:rsidRPr="00283806">
        <w:rPr>
          <w:spacing w:val="7"/>
          <w:w w:val="105"/>
        </w:rPr>
        <w:t xml:space="preserve"> </w:t>
      </w:r>
      <w:r w:rsidRPr="00283806">
        <w:rPr>
          <w:w w:val="105"/>
        </w:rPr>
        <w:t>views</w:t>
      </w:r>
      <w:r w:rsidRPr="00283806">
        <w:rPr>
          <w:spacing w:val="8"/>
          <w:w w:val="105"/>
        </w:rPr>
        <w:t xml:space="preserve"> </w:t>
      </w:r>
      <w:r w:rsidRPr="00283806">
        <w:rPr>
          <w:w w:val="105"/>
        </w:rPr>
        <w:t>that</w:t>
      </w:r>
      <w:r w:rsidRPr="00283806">
        <w:rPr>
          <w:spacing w:val="8"/>
          <w:w w:val="105"/>
        </w:rPr>
        <w:t xml:space="preserve"> </w:t>
      </w:r>
      <w:r w:rsidRPr="00283806">
        <w:rPr>
          <w:w w:val="105"/>
        </w:rPr>
        <w:t>a</w:t>
      </w:r>
      <w:r w:rsidRPr="00283806">
        <w:rPr>
          <w:spacing w:val="7"/>
          <w:w w:val="105"/>
        </w:rPr>
        <w:t xml:space="preserve"> </w:t>
      </w:r>
      <w:r w:rsidRPr="00283806">
        <w:rPr>
          <w:w w:val="105"/>
        </w:rPr>
        <w:t>service</w:t>
      </w:r>
      <w:r w:rsidRPr="00283806">
        <w:rPr>
          <w:spacing w:val="8"/>
          <w:w w:val="105"/>
        </w:rPr>
        <w:t xml:space="preserve"> </w:t>
      </w:r>
      <w:r w:rsidRPr="00283806">
        <w:rPr>
          <w:w w:val="105"/>
        </w:rPr>
        <w:t>gas</w:t>
      </w:r>
      <w:r w:rsidRPr="00283806">
        <w:rPr>
          <w:spacing w:val="8"/>
          <w:w w:val="105"/>
        </w:rPr>
        <w:t xml:space="preserve"> </w:t>
      </w:r>
      <w:r w:rsidRPr="00283806">
        <w:rPr>
          <w:w w:val="105"/>
        </w:rPr>
        <w:t>category</w:t>
      </w:r>
      <w:r w:rsidRPr="00283806">
        <w:rPr>
          <w:spacing w:val="7"/>
          <w:w w:val="105"/>
        </w:rPr>
        <w:t xml:space="preserve"> </w:t>
      </w:r>
      <w:r w:rsidRPr="00283806">
        <w:rPr>
          <w:spacing w:val="-5"/>
          <w:w w:val="105"/>
        </w:rPr>
        <w:t>as</w:t>
      </w:r>
    </w:p>
    <w:p w14:paraId="5D105940" w14:textId="77777777" w:rsidR="00D67C1E" w:rsidRPr="00283806" w:rsidRDefault="001265CA">
      <w:pPr>
        <w:pStyle w:val="BodyText"/>
        <w:spacing w:before="3" w:line="228" w:lineRule="auto"/>
      </w:pPr>
      <w:r w:rsidRPr="00283806">
        <w:rPr>
          <w:w w:val="105"/>
        </w:rPr>
        <w:t>described by the commenter would be detrimental to this, such that the service gas category would introduce</w:t>
      </w:r>
      <w:r w:rsidRPr="00283806">
        <w:rPr>
          <w:spacing w:val="40"/>
          <w:w w:val="105"/>
        </w:rPr>
        <w:t xml:space="preserve"> </w:t>
      </w:r>
      <w:r w:rsidRPr="00283806">
        <w:rPr>
          <w:w w:val="105"/>
        </w:rPr>
        <w:t xml:space="preserve">refrigerants with more virgin HFCs than would be in reclaimed HFC refrigerants meeting the standard established in this rulemaking. Such a </w:t>
      </w:r>
      <w:proofErr w:type="gramStart"/>
      <w:r w:rsidRPr="00283806">
        <w:rPr>
          <w:w w:val="105"/>
        </w:rPr>
        <w:t>service gas</w:t>
      </w:r>
      <w:proofErr w:type="gramEnd"/>
      <w:r w:rsidRPr="00283806">
        <w:rPr>
          <w:w w:val="105"/>
        </w:rPr>
        <w:t xml:space="preserve"> category would contradict the goal of maximizing reclamation by allowing more virgin</w:t>
      </w:r>
      <w:r w:rsidRPr="00283806">
        <w:rPr>
          <w:spacing w:val="40"/>
          <w:w w:val="105"/>
        </w:rPr>
        <w:t xml:space="preserve"> </w:t>
      </w:r>
      <w:r w:rsidRPr="00283806">
        <w:rPr>
          <w:w w:val="105"/>
        </w:rPr>
        <w:t>HFCs in the servicing and/or repair of refrigerant-containing equipment.</w:t>
      </w:r>
    </w:p>
    <w:p w14:paraId="573CE69B" w14:textId="77777777" w:rsidR="00D67C1E" w:rsidRPr="00283806" w:rsidRDefault="001265CA">
      <w:pPr>
        <w:pStyle w:val="BodyText"/>
        <w:spacing w:line="228" w:lineRule="auto"/>
        <w:ind w:right="57"/>
      </w:pPr>
      <w:r w:rsidRPr="00283806">
        <w:rPr>
          <w:w w:val="105"/>
        </w:rPr>
        <w:t xml:space="preserve">Further, EPA anticipates that this approach would require additional recordkeeping, and potential reporting, to confirm </w:t>
      </w:r>
      <w:proofErr w:type="gramStart"/>
      <w:r w:rsidRPr="00283806">
        <w:rPr>
          <w:w w:val="105"/>
        </w:rPr>
        <w:t>particular owners</w:t>
      </w:r>
      <w:proofErr w:type="gramEnd"/>
      <w:r w:rsidRPr="00283806">
        <w:rPr>
          <w:w w:val="105"/>
        </w:rPr>
        <w:t xml:space="preserve"> and operators were using a service gas of a specified percentage of reclaimed HFCs.</w:t>
      </w:r>
    </w:p>
    <w:p w14:paraId="5667B9E6" w14:textId="77777777" w:rsidR="00D67C1E" w:rsidRPr="00283806" w:rsidRDefault="001265CA">
      <w:pPr>
        <w:pStyle w:val="BodyText"/>
        <w:spacing w:before="133" w:line="225" w:lineRule="auto"/>
        <w:ind w:left="144" w:right="122"/>
      </w:pPr>
      <w:r w:rsidRPr="00283806">
        <w:br w:type="column"/>
      </w:r>
      <w:r w:rsidRPr="00283806">
        <w:rPr>
          <w:w w:val="105"/>
        </w:rPr>
        <w:t>Where the commenter states that</w:t>
      </w:r>
      <w:r w:rsidRPr="00283806">
        <w:rPr>
          <w:spacing w:val="80"/>
          <w:w w:val="105"/>
        </w:rPr>
        <w:t xml:space="preserve"> </w:t>
      </w:r>
      <w:r w:rsidRPr="00283806">
        <w:rPr>
          <w:w w:val="105"/>
        </w:rPr>
        <w:t>varying percentages of reclaimed HFCs could be in service gas by subsector, the Agency responds that this could create confusion on the market. Equipment owners and operators would be required to ensure that the correct service gas</w:t>
      </w:r>
      <w:r w:rsidRPr="00283806">
        <w:rPr>
          <w:spacing w:val="80"/>
          <w:w w:val="105"/>
        </w:rPr>
        <w:t xml:space="preserve"> </w:t>
      </w:r>
      <w:r w:rsidRPr="00283806">
        <w:rPr>
          <w:w w:val="105"/>
        </w:rPr>
        <w:t xml:space="preserve">was being used to service and/or repair their refrigerant-containing equipment depending on the subsector they are in. The established requirements for the </w:t>
      </w:r>
      <w:proofErr w:type="gramStart"/>
      <w:r w:rsidRPr="00283806">
        <w:rPr>
          <w:w w:val="105"/>
        </w:rPr>
        <w:t>standard on</w:t>
      </w:r>
      <w:proofErr w:type="gramEnd"/>
      <w:r w:rsidRPr="00283806">
        <w:rPr>
          <w:w w:val="105"/>
        </w:rPr>
        <w:t xml:space="preserve"> reclaimed HFC refrigerants avoid</w:t>
      </w:r>
      <w:r w:rsidRPr="00283806">
        <w:rPr>
          <w:spacing w:val="40"/>
          <w:w w:val="105"/>
        </w:rPr>
        <w:t xml:space="preserve"> </w:t>
      </w:r>
      <w:r w:rsidRPr="00283806">
        <w:rPr>
          <w:w w:val="105"/>
        </w:rPr>
        <w:t>this</w:t>
      </w:r>
      <w:r w:rsidRPr="00283806">
        <w:rPr>
          <w:spacing w:val="40"/>
          <w:w w:val="105"/>
        </w:rPr>
        <w:t xml:space="preserve"> </w:t>
      </w:r>
      <w:r w:rsidRPr="00283806">
        <w:rPr>
          <w:w w:val="105"/>
        </w:rPr>
        <w:t>confusion</w:t>
      </w:r>
      <w:r w:rsidRPr="00283806">
        <w:rPr>
          <w:spacing w:val="40"/>
          <w:w w:val="105"/>
        </w:rPr>
        <w:t xml:space="preserve"> </w:t>
      </w:r>
      <w:r w:rsidRPr="00283806">
        <w:rPr>
          <w:w w:val="105"/>
        </w:rPr>
        <w:t>by</w:t>
      </w:r>
      <w:r w:rsidRPr="00283806">
        <w:rPr>
          <w:spacing w:val="40"/>
          <w:w w:val="105"/>
        </w:rPr>
        <w:t xml:space="preserve"> </w:t>
      </w:r>
      <w:r w:rsidRPr="00283806">
        <w:rPr>
          <w:w w:val="105"/>
        </w:rPr>
        <w:t>ensuring</w:t>
      </w:r>
      <w:r w:rsidRPr="00283806">
        <w:rPr>
          <w:spacing w:val="40"/>
          <w:w w:val="105"/>
        </w:rPr>
        <w:t xml:space="preserve"> </w:t>
      </w:r>
      <w:r w:rsidRPr="00283806">
        <w:rPr>
          <w:w w:val="105"/>
        </w:rPr>
        <w:t>there is a consistent understanding of reclaimed HFC refrigerant on the</w:t>
      </w:r>
      <w:r w:rsidRPr="00283806">
        <w:rPr>
          <w:spacing w:val="80"/>
          <w:w w:val="105"/>
        </w:rPr>
        <w:t xml:space="preserve"> </w:t>
      </w:r>
      <w:r w:rsidRPr="00283806">
        <w:rPr>
          <w:w w:val="105"/>
        </w:rPr>
        <w:t>market. This standard and the</w:t>
      </w:r>
      <w:r w:rsidRPr="00283806">
        <w:rPr>
          <w:spacing w:val="40"/>
          <w:w w:val="105"/>
        </w:rPr>
        <w:t xml:space="preserve"> </w:t>
      </w:r>
      <w:r w:rsidRPr="00283806">
        <w:rPr>
          <w:w w:val="105"/>
        </w:rPr>
        <w:t>established labeling requirements (discussed in section IV.E.1) properly support the requirements for the servicing and/or repair of refrigerant- containing equipment with reclaimed HFCs</w:t>
      </w:r>
      <w:r w:rsidRPr="00283806">
        <w:rPr>
          <w:spacing w:val="40"/>
          <w:w w:val="105"/>
        </w:rPr>
        <w:t xml:space="preserve"> </w:t>
      </w:r>
      <w:r w:rsidRPr="00283806">
        <w:rPr>
          <w:w w:val="105"/>
        </w:rPr>
        <w:t>in</w:t>
      </w:r>
      <w:r w:rsidRPr="00283806">
        <w:rPr>
          <w:spacing w:val="40"/>
          <w:w w:val="105"/>
        </w:rPr>
        <w:t xml:space="preserve"> </w:t>
      </w:r>
      <w:r w:rsidRPr="00283806">
        <w:rPr>
          <w:w w:val="105"/>
        </w:rPr>
        <w:t>certain</w:t>
      </w:r>
      <w:r w:rsidRPr="00283806">
        <w:rPr>
          <w:spacing w:val="40"/>
          <w:w w:val="105"/>
        </w:rPr>
        <w:t xml:space="preserve"> </w:t>
      </w:r>
      <w:r w:rsidRPr="00283806">
        <w:rPr>
          <w:w w:val="105"/>
        </w:rPr>
        <w:t>RACHP</w:t>
      </w:r>
      <w:r w:rsidRPr="00283806">
        <w:rPr>
          <w:spacing w:val="40"/>
          <w:w w:val="105"/>
        </w:rPr>
        <w:t xml:space="preserve"> </w:t>
      </w:r>
      <w:r w:rsidRPr="00283806">
        <w:rPr>
          <w:w w:val="105"/>
        </w:rPr>
        <w:t>subsectors,</w:t>
      </w:r>
      <w:r w:rsidRPr="00283806">
        <w:rPr>
          <w:spacing w:val="40"/>
          <w:w w:val="105"/>
        </w:rPr>
        <w:t xml:space="preserve"> </w:t>
      </w:r>
      <w:r w:rsidRPr="00283806">
        <w:rPr>
          <w:w w:val="105"/>
        </w:rPr>
        <w:t>such that equipment owners or</w:t>
      </w:r>
      <w:r w:rsidRPr="00283806">
        <w:rPr>
          <w:spacing w:val="80"/>
          <w:w w:val="105"/>
        </w:rPr>
        <w:t xml:space="preserve"> </w:t>
      </w:r>
      <w:r w:rsidRPr="00283806">
        <w:rPr>
          <w:w w:val="105"/>
        </w:rPr>
        <w:t>operators</w:t>
      </w:r>
      <w:r w:rsidRPr="00283806">
        <w:rPr>
          <w:spacing w:val="-3"/>
          <w:w w:val="105"/>
        </w:rPr>
        <w:t xml:space="preserve"> </w:t>
      </w:r>
      <w:r w:rsidRPr="00283806">
        <w:rPr>
          <w:w w:val="105"/>
        </w:rPr>
        <w:t>in</w:t>
      </w:r>
      <w:r w:rsidRPr="00283806">
        <w:rPr>
          <w:spacing w:val="-3"/>
          <w:w w:val="105"/>
        </w:rPr>
        <w:t xml:space="preserve"> </w:t>
      </w:r>
      <w:r w:rsidRPr="00283806">
        <w:rPr>
          <w:w w:val="105"/>
        </w:rPr>
        <w:t>these</w:t>
      </w:r>
      <w:r w:rsidRPr="00283806">
        <w:rPr>
          <w:spacing w:val="-3"/>
          <w:w w:val="105"/>
        </w:rPr>
        <w:t xml:space="preserve"> </w:t>
      </w:r>
      <w:r w:rsidRPr="00283806">
        <w:rPr>
          <w:w w:val="105"/>
        </w:rPr>
        <w:t>subsectors</w:t>
      </w:r>
      <w:r w:rsidRPr="00283806">
        <w:rPr>
          <w:spacing w:val="-3"/>
          <w:w w:val="105"/>
        </w:rPr>
        <w:t xml:space="preserve"> </w:t>
      </w:r>
      <w:r w:rsidRPr="00283806">
        <w:rPr>
          <w:w w:val="105"/>
        </w:rPr>
        <w:t>can</w:t>
      </w:r>
      <w:r w:rsidRPr="00283806">
        <w:rPr>
          <w:spacing w:val="-3"/>
          <w:w w:val="105"/>
        </w:rPr>
        <w:t xml:space="preserve"> </w:t>
      </w:r>
      <w:r w:rsidRPr="00283806">
        <w:rPr>
          <w:w w:val="105"/>
        </w:rPr>
        <w:t>be</w:t>
      </w:r>
      <w:r w:rsidRPr="00283806">
        <w:rPr>
          <w:spacing w:val="-3"/>
          <w:w w:val="105"/>
        </w:rPr>
        <w:t xml:space="preserve"> </w:t>
      </w:r>
      <w:r w:rsidRPr="00283806">
        <w:rPr>
          <w:w w:val="105"/>
        </w:rPr>
        <w:t>sure that the reclaimed HFC refrigerants are compliant and can be used to service and/or repair their refrigerant- containing equipment.</w:t>
      </w:r>
    </w:p>
    <w:p w14:paraId="6453947A" w14:textId="77777777" w:rsidR="00D67C1E" w:rsidRPr="00283806" w:rsidRDefault="001265CA">
      <w:pPr>
        <w:pStyle w:val="BodyText"/>
        <w:spacing w:line="170" w:lineRule="exact"/>
        <w:ind w:left="324"/>
      </w:pPr>
      <w:r w:rsidRPr="00283806">
        <w:rPr>
          <w:w w:val="110"/>
        </w:rPr>
        <w:t>As</w:t>
      </w:r>
      <w:r w:rsidRPr="00283806">
        <w:rPr>
          <w:spacing w:val="-10"/>
          <w:w w:val="110"/>
        </w:rPr>
        <w:t xml:space="preserve"> </w:t>
      </w:r>
      <w:r w:rsidRPr="00283806">
        <w:rPr>
          <w:w w:val="110"/>
        </w:rPr>
        <w:t>explained</w:t>
      </w:r>
      <w:r w:rsidRPr="00283806">
        <w:rPr>
          <w:spacing w:val="-10"/>
          <w:w w:val="110"/>
        </w:rPr>
        <w:t xml:space="preserve"> </w:t>
      </w:r>
      <w:r w:rsidRPr="00283806">
        <w:rPr>
          <w:w w:val="110"/>
        </w:rPr>
        <w:t>in</w:t>
      </w:r>
      <w:r w:rsidRPr="00283806">
        <w:rPr>
          <w:spacing w:val="-9"/>
          <w:w w:val="110"/>
        </w:rPr>
        <w:t xml:space="preserve"> </w:t>
      </w:r>
      <w:r w:rsidRPr="00283806">
        <w:rPr>
          <w:w w:val="110"/>
        </w:rPr>
        <w:t>other</w:t>
      </w:r>
      <w:r w:rsidRPr="00283806">
        <w:rPr>
          <w:spacing w:val="-10"/>
          <w:w w:val="110"/>
        </w:rPr>
        <w:t xml:space="preserve"> </w:t>
      </w:r>
      <w:r w:rsidRPr="00283806">
        <w:rPr>
          <w:w w:val="110"/>
        </w:rPr>
        <w:t>responses</w:t>
      </w:r>
      <w:r w:rsidRPr="00283806">
        <w:rPr>
          <w:spacing w:val="-10"/>
          <w:w w:val="110"/>
        </w:rPr>
        <w:t xml:space="preserve"> </w:t>
      </w:r>
      <w:r w:rsidRPr="00283806">
        <w:rPr>
          <w:spacing w:val="-5"/>
          <w:w w:val="110"/>
        </w:rPr>
        <w:t>in</w:t>
      </w:r>
    </w:p>
    <w:p w14:paraId="75740A0C" w14:textId="77777777" w:rsidR="00D67C1E" w:rsidRPr="00283806" w:rsidRDefault="001265CA">
      <w:pPr>
        <w:pStyle w:val="BodyText"/>
        <w:spacing w:before="4" w:line="225" w:lineRule="auto"/>
        <w:ind w:left="144" w:right="141"/>
      </w:pPr>
      <w:proofErr w:type="gramStart"/>
      <w:r w:rsidRPr="00283806">
        <w:rPr>
          <w:w w:val="105"/>
        </w:rPr>
        <w:t>this</w:t>
      </w:r>
      <w:proofErr w:type="gramEnd"/>
      <w:r w:rsidRPr="00283806">
        <w:rPr>
          <w:w w:val="105"/>
        </w:rPr>
        <w:t xml:space="preserve"> section, the provisions that EPA is </w:t>
      </w:r>
      <w:proofErr w:type="gramStart"/>
      <w:r w:rsidRPr="00283806">
        <w:rPr>
          <w:w w:val="105"/>
        </w:rPr>
        <w:t>finalizing to</w:t>
      </w:r>
      <w:proofErr w:type="gramEnd"/>
      <w:r w:rsidRPr="00283806">
        <w:rPr>
          <w:w w:val="105"/>
        </w:rPr>
        <w:t xml:space="preserve"> require that the servicing and/or repair of refrigerant-containing equipment with reclaimed HFCs in certain</w:t>
      </w:r>
      <w:r w:rsidRPr="00283806">
        <w:rPr>
          <w:spacing w:val="40"/>
          <w:w w:val="105"/>
        </w:rPr>
        <w:t xml:space="preserve"> </w:t>
      </w:r>
      <w:r w:rsidRPr="00283806">
        <w:rPr>
          <w:w w:val="105"/>
        </w:rPr>
        <w:t>RACHP</w:t>
      </w:r>
      <w:r w:rsidRPr="00283806">
        <w:rPr>
          <w:spacing w:val="40"/>
          <w:w w:val="105"/>
        </w:rPr>
        <w:t xml:space="preserve"> </w:t>
      </w:r>
      <w:r w:rsidRPr="00283806">
        <w:rPr>
          <w:w w:val="105"/>
        </w:rPr>
        <w:t>subsectors</w:t>
      </w:r>
      <w:r w:rsidRPr="00283806">
        <w:rPr>
          <w:spacing w:val="40"/>
          <w:w w:val="105"/>
        </w:rPr>
        <w:t xml:space="preserve"> </w:t>
      </w:r>
      <w:r w:rsidRPr="00283806">
        <w:rPr>
          <w:w w:val="105"/>
        </w:rPr>
        <w:t>are</w:t>
      </w:r>
      <w:r w:rsidRPr="00283806">
        <w:rPr>
          <w:spacing w:val="40"/>
          <w:w w:val="105"/>
        </w:rPr>
        <w:t xml:space="preserve"> </w:t>
      </w:r>
      <w:r w:rsidRPr="00283806">
        <w:rPr>
          <w:w w:val="105"/>
        </w:rPr>
        <w:t>within the authority of subsection (h) of the</w:t>
      </w:r>
      <w:r w:rsidRPr="00283806">
        <w:rPr>
          <w:spacing w:val="80"/>
          <w:w w:val="105"/>
        </w:rPr>
        <w:t xml:space="preserve"> </w:t>
      </w:r>
      <w:r w:rsidRPr="00283806">
        <w:rPr>
          <w:w w:val="105"/>
        </w:rPr>
        <w:t xml:space="preserve">AIM Act. EPA </w:t>
      </w:r>
      <w:proofErr w:type="gramStart"/>
      <w:r w:rsidRPr="00283806">
        <w:rPr>
          <w:w w:val="105"/>
        </w:rPr>
        <w:t>is also notes</w:t>
      </w:r>
      <w:proofErr w:type="gramEnd"/>
      <w:r w:rsidRPr="00283806">
        <w:rPr>
          <w:w w:val="105"/>
        </w:rPr>
        <w:t xml:space="preserve"> that the</w:t>
      </w:r>
      <w:r w:rsidRPr="00283806">
        <w:rPr>
          <w:spacing w:val="40"/>
          <w:w w:val="105"/>
        </w:rPr>
        <w:t xml:space="preserve"> </w:t>
      </w:r>
      <w:r w:rsidRPr="00283806">
        <w:rPr>
          <w:w w:val="105"/>
        </w:rPr>
        <w:t xml:space="preserve">Agency discusses considerations and responds to comments related to establishing the servicing and/or repair with reclaimed HFCs provisions with a GWP limit (including considering those GWP levels established in the 2023 Technology Transitions Rule). The Agency is not establishing GWP-based cut-offs for reclaimed HFC refrigerants for the provisions in this rulemaking for servicing and/or repair of refrigerant- containing equipment in certain RACHP subsectors. Further, the Agency is not establishing requirements for reclaimed HFC refrigerants in the initial fill of any refrigerant-containing equipment in this </w:t>
      </w:r>
      <w:r w:rsidRPr="00283806">
        <w:rPr>
          <w:spacing w:val="-2"/>
          <w:w w:val="105"/>
        </w:rPr>
        <w:t>rulemaking.</w:t>
      </w:r>
    </w:p>
    <w:p w14:paraId="7FB2669E" w14:textId="77777777" w:rsidR="00D67C1E" w:rsidRPr="00283806" w:rsidRDefault="001265CA">
      <w:pPr>
        <w:spacing w:line="177" w:lineRule="exact"/>
        <w:ind w:left="324"/>
        <w:rPr>
          <w:sz w:val="18"/>
        </w:rPr>
      </w:pPr>
      <w:r w:rsidRPr="00283806">
        <w:rPr>
          <w:rFonts w:ascii="Book Antiqua"/>
          <w:i/>
          <w:w w:val="105"/>
          <w:sz w:val="18"/>
        </w:rPr>
        <w:t>Comment:</w:t>
      </w:r>
      <w:r w:rsidRPr="00283806">
        <w:rPr>
          <w:rFonts w:ascii="Book Antiqua"/>
          <w:i/>
          <w:spacing w:val="33"/>
          <w:w w:val="105"/>
          <w:sz w:val="18"/>
        </w:rPr>
        <w:t xml:space="preserve"> </w:t>
      </w:r>
      <w:r w:rsidRPr="00283806">
        <w:rPr>
          <w:w w:val="105"/>
          <w:sz w:val="18"/>
        </w:rPr>
        <w:t>Several</w:t>
      </w:r>
      <w:r w:rsidRPr="00283806">
        <w:rPr>
          <w:spacing w:val="39"/>
          <w:w w:val="105"/>
          <w:sz w:val="18"/>
        </w:rPr>
        <w:t xml:space="preserve"> </w:t>
      </w:r>
      <w:r w:rsidRPr="00283806">
        <w:rPr>
          <w:spacing w:val="-2"/>
          <w:w w:val="105"/>
          <w:sz w:val="18"/>
        </w:rPr>
        <w:t>commenters</w:t>
      </w:r>
    </w:p>
    <w:p w14:paraId="7A17A9C4" w14:textId="77777777" w:rsidR="00D67C1E" w:rsidRPr="00283806" w:rsidRDefault="001265CA">
      <w:pPr>
        <w:pStyle w:val="BodyText"/>
        <w:spacing w:line="225" w:lineRule="auto"/>
        <w:ind w:left="144" w:right="212"/>
      </w:pPr>
      <w:r w:rsidRPr="00283806">
        <w:rPr>
          <w:w w:val="105"/>
        </w:rPr>
        <w:t>expressed concern about patent and intellectual property issues with reclamation. One commenter recommended that EPA provide an exception for certain newer and commonly used low-GWP refrigerants such as R–448A, R–449A and R–407A, given that they are unlikely to be reclaimed in sufficient quantity to</w:t>
      </w:r>
      <w:r w:rsidRPr="00283806">
        <w:rPr>
          <w:spacing w:val="40"/>
          <w:w w:val="105"/>
        </w:rPr>
        <w:t xml:space="preserve"> </w:t>
      </w:r>
      <w:r w:rsidRPr="00283806">
        <w:rPr>
          <w:w w:val="105"/>
        </w:rPr>
        <w:t>satisfy industry needs, as these substances have only recently started to be used in newly installed or retrofitted commercial refrigeration systems. The commenter further claimed that these refrigerants are subject to patents held</w:t>
      </w:r>
    </w:p>
    <w:p w14:paraId="78D8B378"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497" w:space="43"/>
            <w:col w:w="3516" w:space="40"/>
            <w:col w:w="3624"/>
          </w:cols>
        </w:sectPr>
      </w:pPr>
    </w:p>
    <w:p w14:paraId="2C69F8C2" w14:textId="77777777" w:rsidR="00D67C1E" w:rsidRPr="00283806" w:rsidRDefault="001265CA">
      <w:pPr>
        <w:pStyle w:val="BodyText"/>
        <w:spacing w:before="134" w:line="228" w:lineRule="auto"/>
        <w:ind w:right="22"/>
      </w:pPr>
      <w:r w:rsidRPr="00283806">
        <w:rPr>
          <w:w w:val="105"/>
        </w:rPr>
        <w:lastRenderedPageBreak/>
        <w:t xml:space="preserve">by their manufacturers; thus, not all reclaimers can legally formulate their blends, which will constrict supply. The commenter also stated that the proposed rule does not clarify EPA’s analysis with respect to patent issues when carrying out HFC reclamation activities. Another commenter requested that EPA exclude </w:t>
      </w:r>
      <w:proofErr w:type="gramStart"/>
      <w:r w:rsidRPr="00283806">
        <w:rPr>
          <w:w w:val="105"/>
        </w:rPr>
        <w:t>patented</w:t>
      </w:r>
      <w:proofErr w:type="gramEnd"/>
      <w:r w:rsidRPr="00283806">
        <w:rPr>
          <w:w w:val="105"/>
        </w:rPr>
        <w:t xml:space="preserve"> or intellectual property- protected products from these requirements. One commenter stated</w:t>
      </w:r>
      <w:r w:rsidRPr="00283806">
        <w:rPr>
          <w:spacing w:val="40"/>
          <w:w w:val="105"/>
        </w:rPr>
        <w:t xml:space="preserve"> </w:t>
      </w:r>
      <w:r w:rsidRPr="00283806">
        <w:rPr>
          <w:w w:val="105"/>
        </w:rPr>
        <w:t>that a portion of reclaimer recovered refrigerants are patented and cannot be reclaimed to AHRI 700 specifications without ‘‘rebalancing’’ through the addition of blend components. The commenter claimed that rebalancing</w:t>
      </w:r>
      <w:r w:rsidRPr="00283806">
        <w:rPr>
          <w:spacing w:val="40"/>
          <w:w w:val="105"/>
        </w:rPr>
        <w:t xml:space="preserve"> </w:t>
      </w:r>
      <w:r w:rsidRPr="00283806">
        <w:rPr>
          <w:w w:val="105"/>
        </w:rPr>
        <w:t>puts reclaimers at odds with patent laws and the refrigerant producers. The commenter noted that if out-of- specification patented refrigerants fell under RCRA, within a year the</w:t>
      </w:r>
      <w:r w:rsidRPr="00283806">
        <w:rPr>
          <w:spacing w:val="80"/>
          <w:w w:val="105"/>
        </w:rPr>
        <w:t xml:space="preserve"> </w:t>
      </w:r>
      <w:r w:rsidRPr="00283806">
        <w:rPr>
          <w:w w:val="105"/>
        </w:rPr>
        <w:t>reclaimers would be unable to process the material and unable to store it.</w:t>
      </w:r>
    </w:p>
    <w:p w14:paraId="7878EF2F" w14:textId="77777777" w:rsidR="00D67C1E" w:rsidRPr="00283806" w:rsidRDefault="001265CA">
      <w:pPr>
        <w:pStyle w:val="BodyText"/>
        <w:spacing w:line="185" w:lineRule="exact"/>
      </w:pPr>
      <w:r w:rsidRPr="00283806">
        <w:rPr>
          <w:w w:val="105"/>
        </w:rPr>
        <w:t>Another</w:t>
      </w:r>
      <w:r w:rsidRPr="00283806">
        <w:rPr>
          <w:spacing w:val="8"/>
          <w:w w:val="105"/>
        </w:rPr>
        <w:t xml:space="preserve"> </w:t>
      </w:r>
      <w:r w:rsidRPr="00283806">
        <w:rPr>
          <w:w w:val="105"/>
        </w:rPr>
        <w:t>commenter</w:t>
      </w:r>
      <w:r w:rsidRPr="00283806">
        <w:rPr>
          <w:spacing w:val="8"/>
          <w:w w:val="105"/>
        </w:rPr>
        <w:t xml:space="preserve"> </w:t>
      </w:r>
      <w:r w:rsidRPr="00283806">
        <w:rPr>
          <w:w w:val="105"/>
        </w:rPr>
        <w:t>expressed</w:t>
      </w:r>
      <w:r w:rsidRPr="00283806">
        <w:rPr>
          <w:spacing w:val="8"/>
          <w:w w:val="105"/>
        </w:rPr>
        <w:t xml:space="preserve"> </w:t>
      </w:r>
      <w:r w:rsidRPr="00283806">
        <w:rPr>
          <w:spacing w:val="-2"/>
          <w:w w:val="105"/>
        </w:rPr>
        <w:t>concern</w:t>
      </w:r>
    </w:p>
    <w:p w14:paraId="527CCD91" w14:textId="77777777" w:rsidR="00D67C1E" w:rsidRPr="00283806" w:rsidRDefault="001265CA">
      <w:pPr>
        <w:pStyle w:val="BodyText"/>
        <w:spacing w:before="3" w:line="228" w:lineRule="auto"/>
        <w:ind w:right="46"/>
      </w:pPr>
      <w:r w:rsidRPr="00283806">
        <w:rPr>
          <w:w w:val="105"/>
        </w:rPr>
        <w:t>about intellectual property restrictions, particularly for new low-GWP refrigerants.</w:t>
      </w:r>
      <w:r w:rsidRPr="00283806">
        <w:rPr>
          <w:spacing w:val="-6"/>
          <w:w w:val="105"/>
        </w:rPr>
        <w:t xml:space="preserve"> </w:t>
      </w:r>
      <w:r w:rsidRPr="00283806">
        <w:rPr>
          <w:w w:val="105"/>
        </w:rPr>
        <w:t>The</w:t>
      </w:r>
      <w:r w:rsidRPr="00283806">
        <w:rPr>
          <w:spacing w:val="-6"/>
          <w:w w:val="105"/>
        </w:rPr>
        <w:t xml:space="preserve"> </w:t>
      </w:r>
      <w:r w:rsidRPr="00283806">
        <w:rPr>
          <w:w w:val="105"/>
        </w:rPr>
        <w:t>commenter</w:t>
      </w:r>
      <w:r w:rsidRPr="00283806">
        <w:rPr>
          <w:spacing w:val="-6"/>
          <w:w w:val="105"/>
        </w:rPr>
        <w:t xml:space="preserve"> </w:t>
      </w:r>
      <w:r w:rsidRPr="00283806">
        <w:rPr>
          <w:w w:val="105"/>
        </w:rPr>
        <w:t>stated</w:t>
      </w:r>
      <w:r w:rsidRPr="00283806">
        <w:rPr>
          <w:spacing w:val="-6"/>
          <w:w w:val="105"/>
        </w:rPr>
        <w:t xml:space="preserve"> </w:t>
      </w:r>
      <w:r w:rsidRPr="00283806">
        <w:rPr>
          <w:w w:val="105"/>
        </w:rPr>
        <w:t>that reclaimers would need to secure authorization from producers to re- blend recovered HFCs into mixtures.</w:t>
      </w:r>
    </w:p>
    <w:p w14:paraId="18E7184F" w14:textId="77777777" w:rsidR="00D67C1E" w:rsidRPr="00283806" w:rsidRDefault="001265CA">
      <w:pPr>
        <w:pStyle w:val="BodyText"/>
        <w:spacing w:line="225" w:lineRule="auto"/>
        <w:ind w:right="27"/>
      </w:pPr>
      <w:r w:rsidRPr="00283806">
        <w:rPr>
          <w:w w:val="105"/>
        </w:rPr>
        <w:t>The commenter suggested that this would be a bottleneck in the supply of reclaimed</w:t>
      </w:r>
      <w:r w:rsidRPr="00283806">
        <w:rPr>
          <w:spacing w:val="-3"/>
          <w:w w:val="105"/>
        </w:rPr>
        <w:t xml:space="preserve"> </w:t>
      </w:r>
      <w:r w:rsidRPr="00283806">
        <w:rPr>
          <w:w w:val="105"/>
        </w:rPr>
        <w:t>refrigerant</w:t>
      </w:r>
      <w:r w:rsidRPr="00283806">
        <w:rPr>
          <w:spacing w:val="-3"/>
          <w:w w:val="105"/>
        </w:rPr>
        <w:t xml:space="preserve"> </w:t>
      </w:r>
      <w:r w:rsidRPr="00283806">
        <w:rPr>
          <w:w w:val="105"/>
        </w:rPr>
        <w:t>and</w:t>
      </w:r>
      <w:r w:rsidRPr="00283806">
        <w:rPr>
          <w:spacing w:val="-3"/>
          <w:w w:val="105"/>
        </w:rPr>
        <w:t xml:space="preserve"> </w:t>
      </w:r>
      <w:r w:rsidRPr="00283806">
        <w:rPr>
          <w:w w:val="105"/>
        </w:rPr>
        <w:t>that</w:t>
      </w:r>
      <w:r w:rsidRPr="00283806">
        <w:rPr>
          <w:spacing w:val="-3"/>
          <w:w w:val="105"/>
        </w:rPr>
        <w:t xml:space="preserve"> </w:t>
      </w:r>
      <w:r w:rsidRPr="00283806">
        <w:rPr>
          <w:w w:val="105"/>
        </w:rPr>
        <w:t>recovered refrigerant should be primarily utilized</w:t>
      </w:r>
      <w:r w:rsidRPr="00283806">
        <w:rPr>
          <w:spacing w:val="40"/>
          <w:w w:val="105"/>
        </w:rPr>
        <w:t xml:space="preserve"> </w:t>
      </w:r>
      <w:r w:rsidRPr="00283806">
        <w:rPr>
          <w:w w:val="105"/>
        </w:rPr>
        <w:t>to service the installed base (</w:t>
      </w:r>
      <w:r w:rsidRPr="00283806">
        <w:rPr>
          <w:rFonts w:ascii="Book Antiqua" w:hAnsi="Book Antiqua"/>
          <w:i/>
          <w:w w:val="105"/>
        </w:rPr>
        <w:t xml:space="preserve">e.g., </w:t>
      </w:r>
      <w:r w:rsidRPr="00283806">
        <w:rPr>
          <w:w w:val="105"/>
        </w:rPr>
        <w:t xml:space="preserve">R– 410A) instead of </w:t>
      </w:r>
      <w:proofErr w:type="gramStart"/>
      <w:r w:rsidRPr="00283806">
        <w:rPr>
          <w:w w:val="105"/>
        </w:rPr>
        <w:t>for the production of</w:t>
      </w:r>
      <w:proofErr w:type="gramEnd"/>
      <w:r w:rsidRPr="00283806">
        <w:rPr>
          <w:w w:val="105"/>
        </w:rPr>
        <w:t xml:space="preserve"> low-GWP blends (</w:t>
      </w:r>
      <w:r w:rsidRPr="00283806">
        <w:rPr>
          <w:rFonts w:ascii="Book Antiqua" w:hAnsi="Book Antiqua"/>
          <w:i/>
          <w:w w:val="105"/>
        </w:rPr>
        <w:t xml:space="preserve">e.g., </w:t>
      </w:r>
      <w:r w:rsidRPr="00283806">
        <w:rPr>
          <w:w w:val="105"/>
        </w:rPr>
        <w:t>R–32 from R– 410A to blend R–454B). Another commenter pointed out that many refrigerant blends are patented and cannot be reclaimed until the patents expire, which would make it impossible to supply the necessary refrigerants for this proposal.</w:t>
      </w:r>
    </w:p>
    <w:p w14:paraId="749C4000" w14:textId="77777777" w:rsidR="00D67C1E" w:rsidRPr="00283806" w:rsidRDefault="001265CA">
      <w:pPr>
        <w:pStyle w:val="BodyText"/>
        <w:spacing w:before="40" w:line="228" w:lineRule="auto"/>
        <w:ind w:right="6" w:firstLine="180"/>
      </w:pPr>
      <w:r w:rsidRPr="00283806">
        <w:rPr>
          <w:w w:val="105"/>
        </w:rPr>
        <w:t>One commenter recommended that</w:t>
      </w:r>
      <w:r w:rsidRPr="00283806">
        <w:rPr>
          <w:spacing w:val="40"/>
          <w:w w:val="105"/>
        </w:rPr>
        <w:t xml:space="preserve"> </w:t>
      </w:r>
      <w:r w:rsidRPr="00283806">
        <w:rPr>
          <w:w w:val="105"/>
        </w:rPr>
        <w:t>the final rule exclude patented refrigerants from any reclaim requirements under subsection (h) due</w:t>
      </w:r>
      <w:r w:rsidRPr="00283806">
        <w:rPr>
          <w:spacing w:val="40"/>
          <w:w w:val="105"/>
        </w:rPr>
        <w:t xml:space="preserve"> </w:t>
      </w:r>
      <w:r w:rsidRPr="00283806">
        <w:rPr>
          <w:w w:val="105"/>
        </w:rPr>
        <w:t>to the requirements’ potential to create serious issues for patented blends and incentivize patent infringement. The commenter stated that licensing rights would need to be secured to sell</w:t>
      </w:r>
      <w:r w:rsidRPr="00283806">
        <w:rPr>
          <w:spacing w:val="80"/>
          <w:w w:val="105"/>
        </w:rPr>
        <w:t xml:space="preserve"> </w:t>
      </w:r>
      <w:r w:rsidRPr="00283806">
        <w:rPr>
          <w:w w:val="105"/>
        </w:rPr>
        <w:t>patented blends. Alternatively, the commenter suggested that the reclaim mandates could compel owners or operators to prematurely decommission equipment, leading to high costs and waste, counteracting sustainability</w:t>
      </w:r>
      <w:r w:rsidRPr="00283806">
        <w:rPr>
          <w:spacing w:val="80"/>
          <w:w w:val="150"/>
        </w:rPr>
        <w:t xml:space="preserve"> </w:t>
      </w:r>
      <w:r w:rsidRPr="00283806">
        <w:rPr>
          <w:w w:val="105"/>
        </w:rPr>
        <w:t>goals. Another commenter highlighted that other free market initiatives are already underway to support refrigerant recovery, reclaim, and recycling by U.S. companies exploring programs to enable the circularity of proprietary HFO</w:t>
      </w:r>
      <w:r w:rsidRPr="00283806">
        <w:rPr>
          <w:spacing w:val="80"/>
          <w:w w:val="105"/>
        </w:rPr>
        <w:t xml:space="preserve"> </w:t>
      </w:r>
      <w:r w:rsidRPr="00283806">
        <w:rPr>
          <w:w w:val="105"/>
        </w:rPr>
        <w:t>blends. The commenter stated that EPA should not finalize any rule that</w:t>
      </w:r>
    </w:p>
    <w:p w14:paraId="29502DC6" w14:textId="77777777" w:rsidR="00D67C1E" w:rsidRPr="00283806" w:rsidRDefault="001265CA">
      <w:pPr>
        <w:pStyle w:val="BodyText"/>
        <w:spacing w:before="133" w:line="228" w:lineRule="auto"/>
        <w:ind w:left="144"/>
      </w:pPr>
      <w:r w:rsidRPr="00283806">
        <w:br w:type="column"/>
      </w:r>
      <w:r w:rsidRPr="00283806">
        <w:rPr>
          <w:w w:val="105"/>
        </w:rPr>
        <w:t>incentivizes or requires patent infringement or authorizes reprocessing of patented blends when source material is unknown.</w:t>
      </w:r>
    </w:p>
    <w:p w14:paraId="03F8BC75" w14:textId="77777777" w:rsidR="00D67C1E" w:rsidRPr="00283806" w:rsidRDefault="001265CA">
      <w:pPr>
        <w:pStyle w:val="BodyText"/>
        <w:spacing w:before="39" w:line="225" w:lineRule="auto"/>
        <w:ind w:left="144" w:right="81" w:firstLine="180"/>
      </w:pPr>
      <w:r w:rsidRPr="00283806">
        <w:rPr>
          <w:rFonts w:ascii="Book Antiqua"/>
          <w:i/>
          <w:w w:val="105"/>
        </w:rPr>
        <w:t>Response:</w:t>
      </w:r>
      <w:r w:rsidRPr="00283806">
        <w:rPr>
          <w:rFonts w:ascii="Book Antiqua"/>
          <w:i/>
          <w:spacing w:val="40"/>
          <w:w w:val="105"/>
        </w:rPr>
        <w:t xml:space="preserve"> </w:t>
      </w:r>
      <w:r w:rsidRPr="00283806">
        <w:rPr>
          <w:w w:val="105"/>
        </w:rPr>
        <w:t>On</w:t>
      </w:r>
      <w:r w:rsidRPr="00283806">
        <w:rPr>
          <w:spacing w:val="40"/>
          <w:w w:val="105"/>
        </w:rPr>
        <w:t xml:space="preserve"> </w:t>
      </w:r>
      <w:r w:rsidRPr="00283806">
        <w:rPr>
          <w:w w:val="105"/>
        </w:rPr>
        <w:t>a</w:t>
      </w:r>
      <w:r w:rsidRPr="00283806">
        <w:rPr>
          <w:spacing w:val="40"/>
          <w:w w:val="105"/>
        </w:rPr>
        <w:t xml:space="preserve"> </w:t>
      </w:r>
      <w:r w:rsidRPr="00283806">
        <w:rPr>
          <w:w w:val="105"/>
        </w:rPr>
        <w:t>global</w:t>
      </w:r>
      <w:r w:rsidRPr="00283806">
        <w:rPr>
          <w:spacing w:val="40"/>
          <w:w w:val="105"/>
        </w:rPr>
        <w:t xml:space="preserve"> </w:t>
      </w:r>
      <w:r w:rsidRPr="00283806">
        <w:rPr>
          <w:w w:val="105"/>
        </w:rPr>
        <w:t>basis,</w:t>
      </w:r>
      <w:r w:rsidRPr="00283806">
        <w:rPr>
          <w:rFonts w:ascii="Times New Roman"/>
          <w:w w:val="105"/>
          <w:position w:val="4"/>
          <w:sz w:val="11"/>
        </w:rPr>
        <w:t>112</w:t>
      </w:r>
      <w:r w:rsidRPr="00283806">
        <w:rPr>
          <w:rFonts w:ascii="Times New Roman"/>
          <w:spacing w:val="24"/>
          <w:w w:val="105"/>
          <w:position w:val="4"/>
          <w:sz w:val="11"/>
        </w:rPr>
        <w:t xml:space="preserve"> </w:t>
      </w:r>
      <w:r w:rsidRPr="00283806">
        <w:rPr>
          <w:rFonts w:ascii="Times New Roman"/>
          <w:w w:val="105"/>
          <w:position w:val="4"/>
          <w:sz w:val="11"/>
        </w:rPr>
        <w:t>113</w:t>
      </w:r>
      <w:r w:rsidRPr="00283806">
        <w:rPr>
          <w:rFonts w:ascii="Times New Roman"/>
          <w:spacing w:val="80"/>
          <w:w w:val="105"/>
          <w:position w:val="4"/>
          <w:sz w:val="11"/>
        </w:rPr>
        <w:t xml:space="preserve"> </w:t>
      </w:r>
      <w:r w:rsidRPr="00283806">
        <w:rPr>
          <w:w w:val="105"/>
        </w:rPr>
        <w:t>EPA is also aware that some chemical producers</w:t>
      </w:r>
      <w:r w:rsidRPr="00283806">
        <w:rPr>
          <w:spacing w:val="-5"/>
          <w:w w:val="105"/>
        </w:rPr>
        <w:t xml:space="preserve"> </w:t>
      </w:r>
      <w:r w:rsidRPr="00283806">
        <w:rPr>
          <w:w w:val="105"/>
        </w:rPr>
        <w:t>have</w:t>
      </w:r>
      <w:r w:rsidRPr="00283806">
        <w:rPr>
          <w:spacing w:val="-5"/>
          <w:w w:val="105"/>
        </w:rPr>
        <w:t xml:space="preserve"> </w:t>
      </w:r>
      <w:r w:rsidRPr="00283806">
        <w:rPr>
          <w:w w:val="105"/>
        </w:rPr>
        <w:t>entered</w:t>
      </w:r>
      <w:r w:rsidRPr="00283806">
        <w:rPr>
          <w:spacing w:val="-5"/>
          <w:w w:val="105"/>
        </w:rPr>
        <w:t xml:space="preserve"> </w:t>
      </w:r>
      <w:r w:rsidRPr="00283806">
        <w:rPr>
          <w:w w:val="105"/>
        </w:rPr>
        <w:t>into</w:t>
      </w:r>
      <w:r w:rsidRPr="00283806">
        <w:rPr>
          <w:spacing w:val="-5"/>
          <w:w w:val="105"/>
        </w:rPr>
        <w:t xml:space="preserve"> </w:t>
      </w:r>
      <w:r w:rsidRPr="00283806">
        <w:rPr>
          <w:w w:val="105"/>
        </w:rPr>
        <w:t>agreements with reclaimers that support additional reclamation particularly where patents may be in place. EPA acknowledges</w:t>
      </w:r>
      <w:r w:rsidRPr="00283806">
        <w:rPr>
          <w:spacing w:val="40"/>
          <w:w w:val="105"/>
        </w:rPr>
        <w:t xml:space="preserve"> </w:t>
      </w:r>
      <w:r w:rsidRPr="00283806">
        <w:rPr>
          <w:w w:val="105"/>
        </w:rPr>
        <w:t>there may be patents, licensing agreements, and other business</w:t>
      </w:r>
      <w:r w:rsidRPr="00283806">
        <w:rPr>
          <w:spacing w:val="40"/>
          <w:w w:val="105"/>
        </w:rPr>
        <w:t xml:space="preserve"> </w:t>
      </w:r>
      <w:r w:rsidRPr="00283806">
        <w:rPr>
          <w:w w:val="105"/>
        </w:rPr>
        <w:t xml:space="preserve">practices that may impact the ability of some reclaimers to reclaim certain refrigerants. The Agency saw a similar situation when the market shifted from ODS to HFC refrigerants and to some extent has seen it with </w:t>
      </w:r>
      <w:proofErr w:type="gramStart"/>
      <w:r w:rsidRPr="00283806">
        <w:rPr>
          <w:w w:val="105"/>
        </w:rPr>
        <w:t>each</w:t>
      </w:r>
      <w:proofErr w:type="gramEnd"/>
      <w:r w:rsidRPr="00283806">
        <w:rPr>
          <w:spacing w:val="80"/>
          <w:w w:val="105"/>
        </w:rPr>
        <w:t xml:space="preserve"> </w:t>
      </w:r>
      <w:r w:rsidRPr="00283806">
        <w:rPr>
          <w:w w:val="105"/>
        </w:rPr>
        <w:t>introduction of a new HFC blend.</w:t>
      </w:r>
    </w:p>
    <w:p w14:paraId="78627877" w14:textId="77777777" w:rsidR="00D67C1E" w:rsidRPr="00283806" w:rsidRDefault="001265CA">
      <w:pPr>
        <w:pStyle w:val="BodyText"/>
        <w:spacing w:before="15" w:line="228" w:lineRule="auto"/>
        <w:ind w:left="144" w:right="120"/>
      </w:pPr>
      <w:r w:rsidRPr="00283806">
        <w:rPr>
          <w:w w:val="105"/>
        </w:rPr>
        <w:t xml:space="preserve">However, requiring an upper bound of virgin HFCs, as the Agency is doing in this final rule, would not change </w:t>
      </w:r>
      <w:proofErr w:type="gramStart"/>
      <w:r w:rsidRPr="00283806">
        <w:rPr>
          <w:w w:val="105"/>
        </w:rPr>
        <w:t>whether or not</w:t>
      </w:r>
      <w:proofErr w:type="gramEnd"/>
      <w:r w:rsidRPr="00283806">
        <w:rPr>
          <w:w w:val="105"/>
        </w:rPr>
        <w:t xml:space="preserve"> a reclaimer could reclaim or introduce to commerce reclaimed HFCs.</w:t>
      </w:r>
    </w:p>
    <w:p w14:paraId="74B4749F" w14:textId="77777777" w:rsidR="00D67C1E" w:rsidRPr="00283806" w:rsidRDefault="001265CA">
      <w:pPr>
        <w:pStyle w:val="BodyText"/>
        <w:spacing w:before="36" w:line="228" w:lineRule="auto"/>
        <w:ind w:left="144" w:right="46" w:firstLine="180"/>
      </w:pPr>
      <w:r w:rsidRPr="00283806">
        <w:rPr>
          <w:rFonts w:ascii="Book Antiqua" w:hAnsi="Book Antiqua"/>
          <w:i/>
          <w:w w:val="105"/>
        </w:rPr>
        <w:t xml:space="preserve">Comment: </w:t>
      </w:r>
      <w:r w:rsidRPr="00283806">
        <w:rPr>
          <w:w w:val="105"/>
        </w:rPr>
        <w:t>Two commenters stated</w:t>
      </w:r>
      <w:r w:rsidRPr="00283806">
        <w:rPr>
          <w:spacing w:val="40"/>
          <w:w w:val="105"/>
        </w:rPr>
        <w:t xml:space="preserve"> </w:t>
      </w:r>
      <w:r w:rsidRPr="00283806">
        <w:rPr>
          <w:w w:val="105"/>
        </w:rPr>
        <w:t>that the proposal to mandate the use of reclaimed HFCs in servicing/repair for certain subsectors exceeds EPA’s authority in subsection (h) of the AIM Act, as the Act provides no authority for the Agency to single out specific subsectors to shoulder the increased costs of using reclaimed HFC</w:t>
      </w:r>
      <w:r w:rsidRPr="00283806">
        <w:rPr>
          <w:spacing w:val="40"/>
          <w:w w:val="105"/>
        </w:rPr>
        <w:t xml:space="preserve"> </w:t>
      </w:r>
      <w:r w:rsidRPr="00283806">
        <w:rPr>
          <w:w w:val="105"/>
        </w:rPr>
        <w:t>refrigerants. The commenters noted that subsection (i) of the statute provides specific authority for EPA to ‘‘restrict, fully, partially, or on a graduated schedule, the use of a regulated substance in the sector or subsector in which the regulated substance is used,’’ and that EPA has used that authority to promulgate specific requirements for subsectors in the 2023 Technology Transitions Rule. One commenter continued by stating that subsection (h), the authority for this rulemaking, does not refer to ‘‘sectors’’ or ‘‘subsectors,’’ giving no basis for EPA to treat subsectors differently in requiring the use of reclaimed HFCs. The commenter noted that this action exceeds the scope of EPA’s AIM Act authority and is arbitrary and capricious within the meaning of the Administrative</w:t>
      </w:r>
      <w:r w:rsidRPr="00283806">
        <w:rPr>
          <w:spacing w:val="40"/>
          <w:w w:val="105"/>
        </w:rPr>
        <w:t xml:space="preserve"> </w:t>
      </w:r>
      <w:r w:rsidRPr="00283806">
        <w:rPr>
          <w:w w:val="105"/>
        </w:rPr>
        <w:t>Procedure Act.</w:t>
      </w:r>
    </w:p>
    <w:p w14:paraId="49EB00A8" w14:textId="77777777" w:rsidR="00D67C1E" w:rsidRPr="00283806" w:rsidRDefault="001265CA">
      <w:pPr>
        <w:pStyle w:val="BodyText"/>
        <w:spacing w:before="6"/>
        <w:ind w:left="0"/>
        <w:rPr>
          <w:sz w:val="13"/>
        </w:rPr>
      </w:pPr>
      <w:r w:rsidRPr="00283806">
        <w:rPr>
          <w:noProof/>
        </w:rPr>
        <mc:AlternateContent>
          <mc:Choice Requires="wps">
            <w:drawing>
              <wp:anchor distT="0" distB="0" distL="0" distR="0" simplePos="0" relativeHeight="251662336" behindDoc="1" locked="0" layoutInCell="1" allowOverlap="1" wp14:anchorId="14ED7E73" wp14:editId="18C2114D">
                <wp:simplePos x="0" y="0"/>
                <wp:positionH relativeFrom="page">
                  <wp:posOffset>2819400</wp:posOffset>
                </wp:positionH>
                <wp:positionV relativeFrom="paragraph">
                  <wp:posOffset>116216</wp:posOffset>
                </wp:positionV>
                <wp:extent cx="635000" cy="1270"/>
                <wp:effectExtent l="0" t="0" r="0" b="0"/>
                <wp:wrapTopAndBottom/>
                <wp:docPr id="94" name="Graphic 9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4FF403C" id="Graphic 94" o:spid="_x0000_s1026" alt="&quot;&quot;" style="position:absolute;margin-left:222pt;margin-top:9.15pt;width:50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" path="m,l635000,e" filled="f" strokeweight=".5pt">
                <v:path arrowok="t"/>
                <w10:wrap type="topAndBottom" anchorx="page"/>
              </v:shape>
            </w:pict>
          </mc:Fallback>
        </mc:AlternateContent>
      </w:r>
    </w:p>
    <w:p w14:paraId="57850179" w14:textId="3575FA13" w:rsidR="00D67C1E" w:rsidRPr="00283806" w:rsidRDefault="001265CA">
      <w:pPr>
        <w:spacing w:before="41" w:line="230" w:lineRule="auto"/>
        <w:ind w:left="144" w:firstLine="140"/>
        <w:rPr>
          <w:rFonts w:ascii="Book Antiqua"/>
          <w:i/>
          <w:sz w:val="14"/>
        </w:rPr>
      </w:pPr>
      <w:r w:rsidRPr="00283806">
        <w:rPr>
          <w:w w:val="110"/>
          <w:position w:val="4"/>
          <w:sz w:val="9"/>
        </w:rPr>
        <w:t>112</w:t>
      </w:r>
      <w:r w:rsidRPr="00283806">
        <w:rPr>
          <w:spacing w:val="-3"/>
          <w:w w:val="110"/>
          <w:position w:val="4"/>
          <w:sz w:val="9"/>
        </w:rPr>
        <w:t xml:space="preserve"> </w:t>
      </w:r>
      <w:r w:rsidRPr="00283806">
        <w:rPr>
          <w:w w:val="110"/>
          <w:sz w:val="14"/>
        </w:rPr>
        <w:t>Chemours</w:t>
      </w:r>
      <w:r w:rsidRPr="00283806">
        <w:rPr>
          <w:spacing w:val="-1"/>
          <w:w w:val="110"/>
          <w:sz w:val="14"/>
        </w:rPr>
        <w:t xml:space="preserve"> </w:t>
      </w:r>
      <w:r w:rsidRPr="00283806">
        <w:rPr>
          <w:w w:val="110"/>
          <w:sz w:val="14"/>
        </w:rPr>
        <w:t>and</w:t>
      </w:r>
      <w:r w:rsidRPr="00283806">
        <w:rPr>
          <w:spacing w:val="-1"/>
          <w:w w:val="110"/>
          <w:sz w:val="14"/>
        </w:rPr>
        <w:t xml:space="preserve"> </w:t>
      </w:r>
      <w:r w:rsidRPr="00283806">
        <w:rPr>
          <w:w w:val="110"/>
          <w:sz w:val="14"/>
        </w:rPr>
        <w:t>Honeywell</w:t>
      </w:r>
      <w:r w:rsidRPr="00283806">
        <w:rPr>
          <w:spacing w:val="-1"/>
          <w:w w:val="110"/>
          <w:sz w:val="14"/>
        </w:rPr>
        <w:t xml:space="preserve"> </w:t>
      </w:r>
      <w:r w:rsidRPr="00283806">
        <w:rPr>
          <w:w w:val="110"/>
          <w:sz w:val="14"/>
        </w:rPr>
        <w:t>Announce</w:t>
      </w:r>
      <w:r w:rsidRPr="00283806">
        <w:rPr>
          <w:spacing w:val="-1"/>
          <w:w w:val="110"/>
          <w:sz w:val="14"/>
        </w:rPr>
        <w:t xml:space="preserve"> </w:t>
      </w:r>
      <w:r w:rsidRPr="00283806">
        <w:rPr>
          <w:w w:val="110"/>
          <w:sz w:val="14"/>
        </w:rPr>
        <w:t>Program</w:t>
      </w:r>
      <w:r w:rsidRPr="00283806">
        <w:rPr>
          <w:spacing w:val="40"/>
          <w:w w:val="110"/>
          <w:sz w:val="14"/>
        </w:rPr>
        <w:t xml:space="preserve"> </w:t>
      </w:r>
      <w:r w:rsidRPr="00283806">
        <w:rPr>
          <w:spacing w:val="-2"/>
          <w:w w:val="110"/>
          <w:sz w:val="14"/>
        </w:rPr>
        <w:t>to</w:t>
      </w:r>
      <w:r w:rsidRPr="00283806">
        <w:rPr>
          <w:spacing w:val="-5"/>
          <w:w w:val="110"/>
          <w:sz w:val="14"/>
        </w:rPr>
        <w:t xml:space="preserve"> </w:t>
      </w:r>
      <w:r w:rsidRPr="00283806">
        <w:rPr>
          <w:spacing w:val="-2"/>
          <w:w w:val="110"/>
          <w:sz w:val="14"/>
        </w:rPr>
        <w:t>Enable</w:t>
      </w:r>
      <w:r w:rsidRPr="00283806">
        <w:rPr>
          <w:spacing w:val="-5"/>
          <w:w w:val="110"/>
          <w:sz w:val="14"/>
        </w:rPr>
        <w:t xml:space="preserve"> </w:t>
      </w:r>
      <w:r w:rsidRPr="00283806">
        <w:rPr>
          <w:spacing w:val="-2"/>
          <w:w w:val="110"/>
          <w:sz w:val="14"/>
        </w:rPr>
        <w:t>Reclamation</w:t>
      </w:r>
      <w:r w:rsidRPr="00283806">
        <w:rPr>
          <w:spacing w:val="-5"/>
          <w:w w:val="110"/>
          <w:sz w:val="14"/>
        </w:rPr>
        <w:t xml:space="preserve"> </w:t>
      </w:r>
      <w:r w:rsidRPr="00283806">
        <w:rPr>
          <w:spacing w:val="-2"/>
          <w:w w:val="110"/>
          <w:sz w:val="14"/>
        </w:rPr>
        <w:t>and</w:t>
      </w:r>
      <w:r w:rsidRPr="00283806">
        <w:rPr>
          <w:spacing w:val="-5"/>
          <w:w w:val="110"/>
          <w:sz w:val="14"/>
        </w:rPr>
        <w:t xml:space="preserve"> </w:t>
      </w:r>
      <w:r w:rsidRPr="00283806">
        <w:rPr>
          <w:spacing w:val="-2"/>
          <w:w w:val="110"/>
          <w:sz w:val="14"/>
        </w:rPr>
        <w:t>Recycling</w:t>
      </w:r>
      <w:r w:rsidRPr="00283806">
        <w:rPr>
          <w:spacing w:val="-5"/>
          <w:w w:val="110"/>
          <w:sz w:val="14"/>
        </w:rPr>
        <w:t xml:space="preserve"> </w:t>
      </w:r>
      <w:r w:rsidRPr="00283806">
        <w:rPr>
          <w:spacing w:val="-2"/>
          <w:w w:val="110"/>
          <w:sz w:val="14"/>
        </w:rPr>
        <w:t>of</w:t>
      </w:r>
      <w:r w:rsidRPr="00283806">
        <w:rPr>
          <w:spacing w:val="-5"/>
          <w:w w:val="110"/>
          <w:sz w:val="14"/>
        </w:rPr>
        <w:t xml:space="preserve"> </w:t>
      </w:r>
      <w:r w:rsidRPr="00283806">
        <w:rPr>
          <w:spacing w:val="-2"/>
          <w:w w:val="110"/>
          <w:sz w:val="14"/>
        </w:rPr>
        <w:t>Refrigerants</w:t>
      </w:r>
      <w:r w:rsidRPr="00283806">
        <w:rPr>
          <w:spacing w:val="40"/>
          <w:w w:val="115"/>
          <w:sz w:val="14"/>
        </w:rPr>
        <w:t xml:space="preserve"> </w:t>
      </w:r>
      <w:r w:rsidRPr="00283806">
        <w:rPr>
          <w:w w:val="115"/>
          <w:sz w:val="14"/>
        </w:rPr>
        <w:t>in</w:t>
      </w:r>
      <w:r w:rsidRPr="00283806">
        <w:rPr>
          <w:spacing w:val="-9"/>
          <w:w w:val="115"/>
          <w:sz w:val="14"/>
        </w:rPr>
        <w:t xml:space="preserve"> </w:t>
      </w:r>
      <w:r w:rsidRPr="00283806">
        <w:rPr>
          <w:w w:val="115"/>
          <w:sz w:val="14"/>
        </w:rPr>
        <w:t>Support</w:t>
      </w:r>
      <w:r w:rsidRPr="00283806">
        <w:rPr>
          <w:spacing w:val="-8"/>
          <w:w w:val="115"/>
          <w:sz w:val="14"/>
        </w:rPr>
        <w:t xml:space="preserve"> </w:t>
      </w:r>
      <w:r w:rsidRPr="00283806">
        <w:rPr>
          <w:w w:val="115"/>
          <w:sz w:val="14"/>
        </w:rPr>
        <w:t>of</w:t>
      </w:r>
      <w:r w:rsidRPr="00283806">
        <w:rPr>
          <w:spacing w:val="-9"/>
          <w:w w:val="115"/>
          <w:sz w:val="14"/>
        </w:rPr>
        <w:t xml:space="preserve"> </w:t>
      </w:r>
      <w:r w:rsidRPr="00283806">
        <w:rPr>
          <w:w w:val="115"/>
          <w:sz w:val="14"/>
        </w:rPr>
        <w:t>Circular</w:t>
      </w:r>
      <w:r w:rsidRPr="00283806">
        <w:rPr>
          <w:spacing w:val="-8"/>
          <w:w w:val="115"/>
          <w:sz w:val="14"/>
        </w:rPr>
        <w:t xml:space="preserve"> </w:t>
      </w:r>
      <w:r w:rsidRPr="00283806">
        <w:rPr>
          <w:w w:val="115"/>
          <w:sz w:val="14"/>
        </w:rPr>
        <w:t>Economy,</w:t>
      </w:r>
      <w:r w:rsidRPr="00283806">
        <w:rPr>
          <w:spacing w:val="-9"/>
          <w:w w:val="115"/>
          <w:sz w:val="14"/>
        </w:rPr>
        <w:t xml:space="preserve"> </w:t>
      </w:r>
      <w:r w:rsidRPr="00283806">
        <w:rPr>
          <w:w w:val="115"/>
          <w:sz w:val="14"/>
        </w:rPr>
        <w:t>November</w:t>
      </w:r>
      <w:r w:rsidRPr="00283806">
        <w:rPr>
          <w:spacing w:val="-8"/>
          <w:w w:val="115"/>
          <w:sz w:val="14"/>
        </w:rPr>
        <w:t xml:space="preserve"> </w:t>
      </w:r>
      <w:r w:rsidRPr="00283806">
        <w:rPr>
          <w:w w:val="115"/>
          <w:sz w:val="14"/>
        </w:rPr>
        <w:t>16,</w:t>
      </w:r>
      <w:r w:rsidRPr="00283806">
        <w:rPr>
          <w:spacing w:val="40"/>
          <w:w w:val="115"/>
          <w:sz w:val="14"/>
        </w:rPr>
        <w:t xml:space="preserve"> </w:t>
      </w:r>
      <w:r w:rsidRPr="00283806">
        <w:rPr>
          <w:w w:val="115"/>
          <w:sz w:val="14"/>
        </w:rPr>
        <w:t>2022, available</w:t>
      </w:r>
      <w:proofErr w:type="gramStart"/>
      <w:r w:rsidRPr="00283806">
        <w:rPr>
          <w:w w:val="115"/>
          <w:sz w:val="14"/>
        </w:rPr>
        <w:t xml:space="preserve">: </w:t>
      </w:r>
      <w:r w:rsidRPr="00283806">
        <w:rPr>
          <w:rFonts w:ascii="Book Antiqua"/>
          <w:i/>
          <w:w w:val="115"/>
          <w:sz w:val="14"/>
        </w:rPr>
        <w:t xml:space="preserve">https://www.chemours.com/en/ </w:t>
      </w:r>
      <w:r w:rsidRPr="00283806">
        <w:rPr>
          <w:rFonts w:ascii="Book Antiqua"/>
          <w:i/>
          <w:spacing w:val="-2"/>
          <w:w w:val="115"/>
          <w:sz w:val="14"/>
        </w:rPr>
        <w:t>news-media-center/all-news/press-releases/2022/</w:t>
      </w:r>
      <w:r w:rsidRPr="00283806">
        <w:rPr>
          <w:rFonts w:ascii="Book Antiqua"/>
          <w:i/>
          <w:spacing w:val="40"/>
          <w:w w:val="115"/>
          <w:sz w:val="14"/>
        </w:rPr>
        <w:t xml:space="preserve"> </w:t>
      </w:r>
      <w:proofErr w:type="spellStart"/>
      <w:r w:rsidRPr="00283806">
        <w:rPr>
          <w:rFonts w:ascii="Book Antiqua"/>
          <w:i/>
          <w:spacing w:val="-2"/>
          <w:w w:val="115"/>
          <w:sz w:val="14"/>
        </w:rPr>
        <w:t>chemours</w:t>
      </w:r>
      <w:proofErr w:type="spellEnd"/>
      <w:r w:rsidRPr="00283806">
        <w:rPr>
          <w:rFonts w:ascii="Book Antiqua"/>
          <w:i/>
          <w:spacing w:val="-2"/>
          <w:w w:val="115"/>
          <w:sz w:val="14"/>
        </w:rPr>
        <w:t>-and-</w:t>
      </w:r>
      <w:proofErr w:type="spellStart"/>
      <w:r w:rsidRPr="00283806">
        <w:rPr>
          <w:rFonts w:ascii="Book Antiqua"/>
          <w:i/>
          <w:spacing w:val="-2"/>
          <w:w w:val="115"/>
          <w:sz w:val="14"/>
        </w:rPr>
        <w:t>honeywell</w:t>
      </w:r>
      <w:proofErr w:type="spellEnd"/>
      <w:r w:rsidRPr="00283806">
        <w:rPr>
          <w:rFonts w:ascii="Book Antiqua"/>
          <w:i/>
          <w:spacing w:val="-2"/>
          <w:w w:val="115"/>
          <w:sz w:val="14"/>
        </w:rPr>
        <w:t>-announce-program-to-</w:t>
      </w:r>
      <w:r w:rsidRPr="00283806">
        <w:rPr>
          <w:rFonts w:ascii="Book Antiqua"/>
          <w:i/>
          <w:spacing w:val="40"/>
          <w:w w:val="115"/>
          <w:sz w:val="14"/>
        </w:rPr>
        <w:t xml:space="preserve"> </w:t>
      </w:r>
      <w:r w:rsidRPr="00283806">
        <w:rPr>
          <w:rFonts w:ascii="Book Antiqua"/>
          <w:i/>
          <w:spacing w:val="-2"/>
          <w:w w:val="110"/>
          <w:sz w:val="14"/>
        </w:rPr>
        <w:t>enable-reclamation-and-recycling-of-refrigerants-in-</w:t>
      </w:r>
      <w:r w:rsidRPr="00283806">
        <w:rPr>
          <w:rFonts w:ascii="Book Antiqua"/>
          <w:i/>
          <w:spacing w:val="40"/>
          <w:w w:val="115"/>
          <w:sz w:val="14"/>
        </w:rPr>
        <w:t xml:space="preserve"> </w:t>
      </w:r>
      <w:proofErr w:type="spellStart"/>
      <w:r w:rsidRPr="00283806">
        <w:rPr>
          <w:rFonts w:ascii="Book Antiqua"/>
          <w:i/>
          <w:spacing w:val="-2"/>
          <w:w w:val="115"/>
          <w:sz w:val="14"/>
        </w:rPr>
        <w:t>suppo</w:t>
      </w:r>
      <w:proofErr w:type="spellEnd"/>
      <w:r w:rsidRPr="00283806">
        <w:rPr>
          <w:rFonts w:ascii="Book Antiqua"/>
          <w:i/>
          <w:spacing w:val="-2"/>
          <w:w w:val="115"/>
          <w:sz w:val="14"/>
        </w:rPr>
        <w:t>.</w:t>
      </w:r>
      <w:proofErr w:type="gramEnd"/>
    </w:p>
    <w:p w14:paraId="249673FF" w14:textId="44BECAA0" w:rsidR="00D67C1E" w:rsidRPr="00283806" w:rsidRDefault="001265CA">
      <w:pPr>
        <w:spacing w:before="15" w:line="228" w:lineRule="auto"/>
        <w:ind w:left="144" w:right="73" w:firstLine="140"/>
        <w:rPr>
          <w:rFonts w:ascii="Book Antiqua"/>
          <w:i/>
          <w:sz w:val="14"/>
        </w:rPr>
      </w:pPr>
      <w:r w:rsidRPr="00283806">
        <w:rPr>
          <w:w w:val="110"/>
          <w:position w:val="4"/>
          <w:sz w:val="9"/>
        </w:rPr>
        <w:t>113</w:t>
      </w:r>
      <w:r w:rsidRPr="00283806">
        <w:rPr>
          <w:spacing w:val="-6"/>
          <w:w w:val="110"/>
          <w:position w:val="4"/>
          <w:sz w:val="9"/>
        </w:rPr>
        <w:t xml:space="preserve"> </w:t>
      </w:r>
      <w:r w:rsidRPr="00283806">
        <w:rPr>
          <w:w w:val="110"/>
          <w:sz w:val="14"/>
        </w:rPr>
        <w:t>A-Gas</w:t>
      </w:r>
      <w:r w:rsidRPr="00283806">
        <w:rPr>
          <w:spacing w:val="-8"/>
          <w:w w:val="110"/>
          <w:sz w:val="14"/>
        </w:rPr>
        <w:t xml:space="preserve"> </w:t>
      </w:r>
      <w:r w:rsidRPr="00283806">
        <w:rPr>
          <w:w w:val="110"/>
          <w:sz w:val="14"/>
        </w:rPr>
        <w:t>Named</w:t>
      </w:r>
      <w:r w:rsidRPr="00283806">
        <w:rPr>
          <w:spacing w:val="-9"/>
          <w:w w:val="110"/>
          <w:sz w:val="14"/>
        </w:rPr>
        <w:t xml:space="preserve"> </w:t>
      </w:r>
      <w:proofErr w:type="spellStart"/>
      <w:r w:rsidRPr="00283806">
        <w:rPr>
          <w:w w:val="110"/>
          <w:sz w:val="14"/>
        </w:rPr>
        <w:t>Authorised</w:t>
      </w:r>
      <w:proofErr w:type="spellEnd"/>
      <w:r w:rsidRPr="00283806">
        <w:rPr>
          <w:spacing w:val="-8"/>
          <w:w w:val="110"/>
          <w:sz w:val="14"/>
        </w:rPr>
        <w:t xml:space="preserve"> </w:t>
      </w:r>
      <w:r w:rsidRPr="00283806">
        <w:rPr>
          <w:w w:val="110"/>
          <w:sz w:val="14"/>
        </w:rPr>
        <w:t>Reclaimer</w:t>
      </w:r>
      <w:r w:rsidRPr="00283806">
        <w:rPr>
          <w:spacing w:val="-9"/>
          <w:w w:val="110"/>
          <w:sz w:val="14"/>
        </w:rPr>
        <w:t xml:space="preserve"> </w:t>
      </w:r>
      <w:r w:rsidRPr="00283806">
        <w:rPr>
          <w:w w:val="110"/>
          <w:sz w:val="14"/>
        </w:rPr>
        <w:t>of</w:t>
      </w:r>
      <w:r w:rsidRPr="00283806">
        <w:rPr>
          <w:spacing w:val="-8"/>
          <w:w w:val="110"/>
          <w:sz w:val="14"/>
        </w:rPr>
        <w:t xml:space="preserve"> </w:t>
      </w:r>
      <w:r w:rsidRPr="00283806">
        <w:rPr>
          <w:w w:val="110"/>
          <w:sz w:val="14"/>
        </w:rPr>
        <w:t>Patent</w:t>
      </w:r>
      <w:r w:rsidRPr="00283806">
        <w:rPr>
          <w:spacing w:val="40"/>
          <w:w w:val="110"/>
          <w:sz w:val="14"/>
        </w:rPr>
        <w:t xml:space="preserve"> </w:t>
      </w:r>
      <w:r w:rsidRPr="00283806">
        <w:rPr>
          <w:w w:val="110"/>
          <w:sz w:val="14"/>
        </w:rPr>
        <w:t xml:space="preserve">Protected Refrigerants, 2023, available: </w:t>
      </w:r>
      <w:r w:rsidRPr="00283806">
        <w:rPr>
          <w:rFonts w:ascii="Book Antiqua"/>
          <w:i/>
          <w:w w:val="110"/>
          <w:sz w:val="14"/>
        </w:rPr>
        <w:t>https://</w:t>
      </w:r>
      <w:r w:rsidRPr="00283806">
        <w:rPr>
          <w:rFonts w:ascii="Book Antiqua"/>
          <w:i/>
          <w:spacing w:val="40"/>
          <w:w w:val="110"/>
          <w:sz w:val="14"/>
        </w:rPr>
        <w:t xml:space="preserve"> </w:t>
      </w:r>
      <w:r w:rsidRPr="00283806">
        <w:rPr>
          <w:rFonts w:ascii="Book Antiqua"/>
          <w:i/>
          <w:spacing w:val="-2"/>
          <w:w w:val="110"/>
          <w:sz w:val="14"/>
        </w:rPr>
        <w:t>www.agas.com/uk/news-insights/a-gas-named-</w:t>
      </w:r>
      <w:r w:rsidRPr="00283806">
        <w:rPr>
          <w:rFonts w:ascii="Book Antiqua"/>
          <w:i/>
          <w:spacing w:val="40"/>
          <w:w w:val="110"/>
          <w:sz w:val="14"/>
        </w:rPr>
        <w:t xml:space="preserve"> </w:t>
      </w:r>
      <w:proofErr w:type="spellStart"/>
      <w:r w:rsidRPr="00283806">
        <w:rPr>
          <w:rFonts w:ascii="Book Antiqua"/>
          <w:i/>
          <w:spacing w:val="-2"/>
          <w:w w:val="110"/>
          <w:sz w:val="14"/>
        </w:rPr>
        <w:t>authorised</w:t>
      </w:r>
      <w:proofErr w:type="spellEnd"/>
      <w:r w:rsidRPr="00283806">
        <w:rPr>
          <w:rFonts w:ascii="Book Antiqua"/>
          <w:i/>
          <w:spacing w:val="-2"/>
          <w:w w:val="110"/>
          <w:sz w:val="14"/>
        </w:rPr>
        <w:t>-reclaimer-of-patent-protected-</w:t>
      </w:r>
      <w:r w:rsidRPr="00283806">
        <w:rPr>
          <w:rFonts w:ascii="Book Antiqua"/>
          <w:i/>
          <w:spacing w:val="40"/>
          <w:w w:val="110"/>
          <w:sz w:val="14"/>
        </w:rPr>
        <w:t xml:space="preserve"> </w:t>
      </w:r>
      <w:r w:rsidRPr="00283806">
        <w:rPr>
          <w:rFonts w:ascii="Book Antiqua"/>
          <w:i/>
          <w:spacing w:val="-2"/>
          <w:w w:val="110"/>
          <w:sz w:val="14"/>
        </w:rPr>
        <w:t>refrigerants/.</w:t>
      </w:r>
    </w:p>
    <w:p w14:paraId="3AECCCD6" w14:textId="77777777" w:rsidR="00D67C1E" w:rsidRPr="00283806" w:rsidRDefault="001265CA">
      <w:pPr>
        <w:pStyle w:val="BodyText"/>
        <w:spacing w:before="133" w:line="228" w:lineRule="auto"/>
        <w:ind w:left="142" w:right="182" w:firstLine="180"/>
      </w:pPr>
      <w:r w:rsidRPr="00283806">
        <w:br w:type="column"/>
      </w:r>
      <w:r w:rsidRPr="00283806">
        <w:rPr>
          <w:w w:val="105"/>
        </w:rPr>
        <w:t>Two commenters stated that the proposed rule would regulate the ‘‘use’’ of HFCs, which would require fulfilling prerequisites under subsection (i) of the AIM Act, and that this rulemaking does not fulfill them. The commenters stated that manufacturing a new unit or supplying refrigerant for servicing is not such a practice, process, or activity related to the servicing, repair, disposal, or installation of equipment. One commenter stated that subsection (h) provided one specific example for what would be ‘‘appropriate’’—requiring servicing,</w:t>
      </w:r>
      <w:r w:rsidRPr="00283806">
        <w:rPr>
          <w:spacing w:val="40"/>
          <w:w w:val="105"/>
        </w:rPr>
        <w:t xml:space="preserve"> </w:t>
      </w:r>
      <w:r w:rsidRPr="00283806">
        <w:rPr>
          <w:w w:val="105"/>
        </w:rPr>
        <w:t>repair,</w:t>
      </w:r>
      <w:r w:rsidRPr="00283806">
        <w:rPr>
          <w:spacing w:val="40"/>
          <w:w w:val="105"/>
        </w:rPr>
        <w:t xml:space="preserve"> </w:t>
      </w:r>
      <w:r w:rsidRPr="00283806">
        <w:rPr>
          <w:w w:val="105"/>
        </w:rPr>
        <w:t>disposal,</w:t>
      </w:r>
      <w:r w:rsidRPr="00283806">
        <w:rPr>
          <w:spacing w:val="40"/>
          <w:w w:val="105"/>
        </w:rPr>
        <w:t xml:space="preserve"> </w:t>
      </w:r>
      <w:r w:rsidRPr="00283806">
        <w:rPr>
          <w:w w:val="105"/>
        </w:rPr>
        <w:t>or installation to be performed by a trained technician. The commenter further</w:t>
      </w:r>
      <w:r w:rsidRPr="00283806">
        <w:rPr>
          <w:spacing w:val="40"/>
          <w:w w:val="105"/>
        </w:rPr>
        <w:t xml:space="preserve"> </w:t>
      </w:r>
      <w:r w:rsidRPr="00283806">
        <w:rPr>
          <w:w w:val="105"/>
        </w:rPr>
        <w:t>stated that the same practices,</w:t>
      </w:r>
      <w:r w:rsidRPr="00283806">
        <w:rPr>
          <w:spacing w:val="80"/>
          <w:w w:val="105"/>
        </w:rPr>
        <w:t xml:space="preserve"> </w:t>
      </w:r>
      <w:r w:rsidRPr="00283806">
        <w:rPr>
          <w:w w:val="105"/>
        </w:rPr>
        <w:t>processes, or activities are done for virgin or reclaimed HFCs and the requirement to use reclaimed HFCs is removed from subsection (h)’s example of what is appropriate—technician training. The commenter also claimed that EPA’s interpretation of subsection</w:t>
      </w:r>
    </w:p>
    <w:p w14:paraId="297B075C" w14:textId="77777777" w:rsidR="00D67C1E" w:rsidRPr="00283806" w:rsidRDefault="001265CA">
      <w:pPr>
        <w:pStyle w:val="BodyText"/>
        <w:spacing w:line="185" w:lineRule="exact"/>
        <w:ind w:left="142"/>
      </w:pPr>
      <w:r w:rsidRPr="00283806">
        <w:rPr>
          <w:w w:val="105"/>
        </w:rPr>
        <w:t>(h)</w:t>
      </w:r>
      <w:r w:rsidRPr="00283806">
        <w:rPr>
          <w:spacing w:val="6"/>
          <w:w w:val="105"/>
        </w:rPr>
        <w:t xml:space="preserve"> </w:t>
      </w:r>
      <w:r w:rsidRPr="00283806">
        <w:rPr>
          <w:w w:val="105"/>
        </w:rPr>
        <w:t>was</w:t>
      </w:r>
      <w:r w:rsidRPr="00283806">
        <w:rPr>
          <w:spacing w:val="7"/>
          <w:w w:val="105"/>
        </w:rPr>
        <w:t xml:space="preserve"> </w:t>
      </w:r>
      <w:r w:rsidRPr="00283806">
        <w:rPr>
          <w:w w:val="105"/>
        </w:rPr>
        <w:t>impermissibly</w:t>
      </w:r>
      <w:r w:rsidRPr="00283806">
        <w:rPr>
          <w:spacing w:val="7"/>
          <w:w w:val="105"/>
        </w:rPr>
        <w:t xml:space="preserve"> </w:t>
      </w:r>
      <w:r w:rsidRPr="00283806">
        <w:rPr>
          <w:w w:val="105"/>
        </w:rPr>
        <w:t>broad</w:t>
      </w:r>
      <w:r w:rsidRPr="00283806">
        <w:rPr>
          <w:spacing w:val="7"/>
          <w:w w:val="105"/>
        </w:rPr>
        <w:t xml:space="preserve"> </w:t>
      </w:r>
      <w:r w:rsidRPr="00283806">
        <w:rPr>
          <w:w w:val="105"/>
        </w:rPr>
        <w:t>and</w:t>
      </w:r>
      <w:r w:rsidRPr="00283806">
        <w:rPr>
          <w:spacing w:val="7"/>
          <w:w w:val="105"/>
        </w:rPr>
        <w:t xml:space="preserve"> </w:t>
      </w:r>
      <w:r w:rsidRPr="00283806">
        <w:rPr>
          <w:spacing w:val="-4"/>
          <w:w w:val="105"/>
        </w:rPr>
        <w:t>could</w:t>
      </w:r>
    </w:p>
    <w:p w14:paraId="6FD61130" w14:textId="77777777" w:rsidR="00D67C1E" w:rsidRPr="00283806" w:rsidRDefault="001265CA">
      <w:pPr>
        <w:pStyle w:val="BodyText"/>
        <w:spacing w:before="3" w:line="228" w:lineRule="auto"/>
        <w:ind w:left="142" w:right="301"/>
      </w:pPr>
      <w:r w:rsidRPr="00283806">
        <w:rPr>
          <w:w w:val="105"/>
        </w:rPr>
        <w:t xml:space="preserve">cover ‘‘anything and everything’’ that has to do with HFCs as connected to equipment. The other commenter claimed that these practices do not include opportunities for reclamation. The commenter stated that EPA’s justification under subsection (h) </w:t>
      </w:r>
      <w:proofErr w:type="gramStart"/>
      <w:r w:rsidRPr="00283806">
        <w:rPr>
          <w:w w:val="105"/>
        </w:rPr>
        <w:t>to require</w:t>
      </w:r>
      <w:proofErr w:type="gramEnd"/>
      <w:r w:rsidRPr="00283806">
        <w:rPr>
          <w:w w:val="105"/>
        </w:rPr>
        <w:t xml:space="preserve"> the use of reclaimed HFCs in certain applications to minimize the release of regulated substances is creating a situation where EPA’s authority could theoretically become unlimited. The commenter gave a theoretical example of EPA requiring lower-GWP refrigerants in certain applications to ‘‘minimize </w:t>
      </w:r>
      <w:proofErr w:type="gramStart"/>
      <w:r w:rsidRPr="00283806">
        <w:rPr>
          <w:w w:val="105"/>
        </w:rPr>
        <w:t>releases’’</w:t>
      </w:r>
      <w:proofErr w:type="gramEnd"/>
      <w:r w:rsidRPr="00283806">
        <w:rPr>
          <w:w w:val="105"/>
        </w:rPr>
        <w:t xml:space="preserve"> of </w:t>
      </w:r>
      <w:r w:rsidRPr="00283806">
        <w:rPr>
          <w:spacing w:val="-2"/>
          <w:w w:val="105"/>
        </w:rPr>
        <w:t>HFCs.</w:t>
      </w:r>
    </w:p>
    <w:p w14:paraId="025E4432" w14:textId="77777777" w:rsidR="00D67C1E" w:rsidRPr="00283806" w:rsidRDefault="001265CA">
      <w:pPr>
        <w:pStyle w:val="BodyText"/>
        <w:spacing w:before="33" w:line="225" w:lineRule="auto"/>
        <w:ind w:left="142" w:right="176" w:firstLine="180"/>
      </w:pPr>
      <w:r w:rsidRPr="00283806">
        <w:rPr>
          <w:rFonts w:ascii="Book Antiqua" w:hAnsi="Book Antiqua"/>
          <w:i/>
          <w:w w:val="105"/>
        </w:rPr>
        <w:t xml:space="preserve">Response: </w:t>
      </w:r>
      <w:r w:rsidRPr="00283806">
        <w:rPr>
          <w:w w:val="105"/>
        </w:rPr>
        <w:t>EPA disagrees with the comment that the requirement for the servicing and/or repair of refrigerant- containing equipment with reclaimed HFCs in certain RACHP subsectors exceeds EPA’s authority in subsection</w:t>
      </w:r>
    </w:p>
    <w:p w14:paraId="756AD90D" w14:textId="77777777" w:rsidR="00D67C1E" w:rsidRPr="00283806" w:rsidRDefault="001265CA">
      <w:pPr>
        <w:pStyle w:val="BodyText"/>
        <w:spacing w:line="228" w:lineRule="auto"/>
        <w:ind w:left="142" w:right="208"/>
      </w:pPr>
      <w:r w:rsidRPr="00283806">
        <w:rPr>
          <w:w w:val="105"/>
        </w:rPr>
        <w:t>(h) of the AIM Act. EPA does not</w:t>
      </w:r>
      <w:r w:rsidRPr="00283806">
        <w:rPr>
          <w:spacing w:val="40"/>
          <w:w w:val="105"/>
        </w:rPr>
        <w:t xml:space="preserve"> </w:t>
      </w:r>
      <w:r w:rsidRPr="00283806">
        <w:rPr>
          <w:w w:val="105"/>
        </w:rPr>
        <w:t>consider the authority conveyed in subsection (i)(1), or the use of the terms ‘‘sector’’ and ‘‘subsector’’ in subsection (i), to preclude EPA from tailoring its regulations under other provisions of</w:t>
      </w:r>
      <w:r w:rsidRPr="00283806">
        <w:rPr>
          <w:spacing w:val="40"/>
          <w:w w:val="105"/>
        </w:rPr>
        <w:t xml:space="preserve"> </w:t>
      </w:r>
      <w:r w:rsidRPr="00283806">
        <w:rPr>
          <w:w w:val="105"/>
        </w:rPr>
        <w:t xml:space="preserve">the Act to </w:t>
      </w:r>
      <w:proofErr w:type="gramStart"/>
      <w:r w:rsidRPr="00283806">
        <w:rPr>
          <w:w w:val="105"/>
        </w:rPr>
        <w:t>particular sectors</w:t>
      </w:r>
      <w:proofErr w:type="gramEnd"/>
      <w:r w:rsidRPr="00283806">
        <w:rPr>
          <w:w w:val="105"/>
        </w:rPr>
        <w:t xml:space="preserve"> or subsectors, where it is appropriate and reasonable to do so. As noted elsewhere in this action, EPA interprets the AIM</w:t>
      </w:r>
      <w:r w:rsidRPr="00283806">
        <w:rPr>
          <w:spacing w:val="80"/>
          <w:w w:val="105"/>
        </w:rPr>
        <w:t xml:space="preserve"> </w:t>
      </w:r>
      <w:r w:rsidRPr="00283806">
        <w:rPr>
          <w:w w:val="105"/>
        </w:rPr>
        <w:t xml:space="preserve">Act as providing separate and distinct regulatory authorities, which can be implemented in ways that reinforce and complement one another. In this final rule, EPA is </w:t>
      </w:r>
      <w:proofErr w:type="gramStart"/>
      <w:r w:rsidRPr="00283806">
        <w:rPr>
          <w:w w:val="105"/>
        </w:rPr>
        <w:t>requiring</w:t>
      </w:r>
      <w:proofErr w:type="gramEnd"/>
      <w:r w:rsidRPr="00283806">
        <w:rPr>
          <w:w w:val="105"/>
        </w:rPr>
        <w:t xml:space="preserve"> that the servicing and/or repair of certain refrigerant- containing equipment be done with reclaimed HFCs as part of the</w:t>
      </w:r>
      <w:r w:rsidRPr="00283806">
        <w:rPr>
          <w:spacing w:val="40"/>
          <w:w w:val="105"/>
        </w:rPr>
        <w:t xml:space="preserve"> </w:t>
      </w:r>
      <w:r w:rsidRPr="00283806">
        <w:rPr>
          <w:w w:val="105"/>
        </w:rPr>
        <w:t>regulations implementing its authority</w:t>
      </w:r>
    </w:p>
    <w:p w14:paraId="1F15ABFB"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6" w:space="40"/>
            <w:col w:w="3503" w:space="39"/>
            <w:col w:w="3622"/>
          </w:cols>
        </w:sectPr>
      </w:pPr>
    </w:p>
    <w:p w14:paraId="1D738817" w14:textId="77777777" w:rsidR="00D67C1E" w:rsidRPr="00283806" w:rsidRDefault="001265CA">
      <w:pPr>
        <w:pStyle w:val="BodyText"/>
        <w:spacing w:before="134" w:line="228" w:lineRule="auto"/>
        <w:ind w:right="8"/>
      </w:pPr>
      <w:r w:rsidRPr="00283806">
        <w:rPr>
          <w:w w:val="105"/>
        </w:rPr>
        <w:lastRenderedPageBreak/>
        <w:t>under subsection (h) of the Act. That provision directs EPA to promulgate regulations to control, where</w:t>
      </w:r>
      <w:r w:rsidRPr="00283806">
        <w:rPr>
          <w:spacing w:val="40"/>
          <w:w w:val="105"/>
        </w:rPr>
        <w:t xml:space="preserve"> </w:t>
      </w:r>
      <w:r w:rsidRPr="00283806">
        <w:rPr>
          <w:w w:val="105"/>
        </w:rPr>
        <w:t>appropriate, any practice, process, or activity regarding the servicing, repair, disposal, or installation of equipment</w:t>
      </w:r>
      <w:r w:rsidRPr="00283806">
        <w:rPr>
          <w:spacing w:val="40"/>
          <w:w w:val="105"/>
        </w:rPr>
        <w:t xml:space="preserve"> </w:t>
      </w:r>
      <w:r w:rsidRPr="00283806">
        <w:rPr>
          <w:w w:val="105"/>
        </w:rPr>
        <w:t>that involves: a regulated substance, a substitute for a regulated substance, the reclaiming of a regulated substance used as a refrigerant, or the reclaiming of a substitute</w:t>
      </w:r>
      <w:r w:rsidRPr="00283806">
        <w:rPr>
          <w:spacing w:val="-1"/>
          <w:w w:val="105"/>
        </w:rPr>
        <w:t xml:space="preserve"> </w:t>
      </w:r>
      <w:r w:rsidRPr="00283806">
        <w:rPr>
          <w:w w:val="105"/>
        </w:rPr>
        <w:t>for</w:t>
      </w:r>
      <w:r w:rsidRPr="00283806">
        <w:rPr>
          <w:spacing w:val="-1"/>
          <w:w w:val="105"/>
        </w:rPr>
        <w:t xml:space="preserve"> </w:t>
      </w:r>
      <w:r w:rsidRPr="00283806">
        <w:rPr>
          <w:w w:val="105"/>
        </w:rPr>
        <w:t>a</w:t>
      </w:r>
      <w:r w:rsidRPr="00283806">
        <w:rPr>
          <w:spacing w:val="-1"/>
          <w:w w:val="105"/>
        </w:rPr>
        <w:t xml:space="preserve"> </w:t>
      </w:r>
      <w:r w:rsidRPr="00283806">
        <w:rPr>
          <w:w w:val="105"/>
        </w:rPr>
        <w:t>regulated</w:t>
      </w:r>
      <w:r w:rsidRPr="00283806">
        <w:rPr>
          <w:spacing w:val="-1"/>
          <w:w w:val="105"/>
        </w:rPr>
        <w:t xml:space="preserve"> </w:t>
      </w:r>
      <w:r w:rsidRPr="00283806">
        <w:rPr>
          <w:w w:val="105"/>
        </w:rPr>
        <w:t>substance</w:t>
      </w:r>
      <w:r w:rsidRPr="00283806">
        <w:rPr>
          <w:spacing w:val="-1"/>
          <w:w w:val="105"/>
        </w:rPr>
        <w:t xml:space="preserve"> </w:t>
      </w:r>
      <w:r w:rsidRPr="00283806">
        <w:rPr>
          <w:w w:val="105"/>
        </w:rPr>
        <w:t xml:space="preserve">used as a refrigerant. A requirement for the servicing and/or repair of certain refrigerant-containing equipment be </w:t>
      </w:r>
      <w:proofErr w:type="gramStart"/>
      <w:r w:rsidRPr="00283806">
        <w:rPr>
          <w:w w:val="105"/>
        </w:rPr>
        <w:t>done</w:t>
      </w:r>
      <w:proofErr w:type="gramEnd"/>
      <w:r w:rsidRPr="00283806">
        <w:rPr>
          <w:w w:val="105"/>
        </w:rPr>
        <w:t xml:space="preserve"> with reclaimed HFCs controls a practice, process, or activity regarding</w:t>
      </w:r>
      <w:r w:rsidRPr="00283806">
        <w:rPr>
          <w:spacing w:val="40"/>
          <w:w w:val="105"/>
        </w:rPr>
        <w:t xml:space="preserve"> </w:t>
      </w:r>
      <w:r w:rsidRPr="00283806">
        <w:rPr>
          <w:w w:val="105"/>
        </w:rPr>
        <w:t>the servicing or repair of equipment and involves a regulated substance or the reclaiming of a regulated substance.</w:t>
      </w:r>
    </w:p>
    <w:p w14:paraId="74388DE7" w14:textId="77777777" w:rsidR="00D67C1E" w:rsidRPr="00283806" w:rsidRDefault="001265CA">
      <w:pPr>
        <w:pStyle w:val="BodyText"/>
        <w:spacing w:line="228" w:lineRule="auto"/>
        <w:ind w:right="65"/>
      </w:pPr>
      <w:r w:rsidRPr="00283806">
        <w:rPr>
          <w:w w:val="105"/>
        </w:rPr>
        <w:t>This requirement also supports and encourages reclamation of HFCs and</w:t>
      </w:r>
      <w:r w:rsidRPr="00283806">
        <w:rPr>
          <w:spacing w:val="80"/>
          <w:w w:val="105"/>
        </w:rPr>
        <w:t xml:space="preserve"> </w:t>
      </w:r>
      <w:r w:rsidRPr="00283806">
        <w:rPr>
          <w:w w:val="105"/>
        </w:rPr>
        <w:t>thus</w:t>
      </w:r>
      <w:r w:rsidRPr="00283806">
        <w:rPr>
          <w:spacing w:val="34"/>
          <w:w w:val="105"/>
        </w:rPr>
        <w:t xml:space="preserve"> </w:t>
      </w:r>
      <w:r w:rsidRPr="00283806">
        <w:rPr>
          <w:w w:val="105"/>
        </w:rPr>
        <w:t>is</w:t>
      </w:r>
      <w:r w:rsidRPr="00283806">
        <w:rPr>
          <w:spacing w:val="34"/>
          <w:w w:val="105"/>
        </w:rPr>
        <w:t xml:space="preserve"> </w:t>
      </w:r>
      <w:r w:rsidRPr="00283806">
        <w:rPr>
          <w:w w:val="105"/>
        </w:rPr>
        <w:t>consistent</w:t>
      </w:r>
      <w:r w:rsidRPr="00283806">
        <w:rPr>
          <w:spacing w:val="34"/>
          <w:w w:val="105"/>
        </w:rPr>
        <w:t xml:space="preserve"> </w:t>
      </w:r>
      <w:r w:rsidRPr="00283806">
        <w:rPr>
          <w:w w:val="105"/>
        </w:rPr>
        <w:t>with</w:t>
      </w:r>
      <w:r w:rsidRPr="00283806">
        <w:rPr>
          <w:spacing w:val="34"/>
          <w:w w:val="105"/>
        </w:rPr>
        <w:t xml:space="preserve"> </w:t>
      </w:r>
      <w:r w:rsidRPr="00283806">
        <w:rPr>
          <w:w w:val="105"/>
        </w:rPr>
        <w:t>at</w:t>
      </w:r>
      <w:r w:rsidRPr="00283806">
        <w:rPr>
          <w:spacing w:val="34"/>
          <w:w w:val="105"/>
        </w:rPr>
        <w:t xml:space="preserve"> </w:t>
      </w:r>
      <w:r w:rsidRPr="00283806">
        <w:rPr>
          <w:w w:val="105"/>
        </w:rPr>
        <w:t>least</w:t>
      </w:r>
      <w:r w:rsidRPr="00283806">
        <w:rPr>
          <w:spacing w:val="34"/>
          <w:w w:val="105"/>
        </w:rPr>
        <w:t xml:space="preserve"> </w:t>
      </w:r>
      <w:r w:rsidRPr="00283806">
        <w:rPr>
          <w:w w:val="105"/>
        </w:rPr>
        <w:t>one</w:t>
      </w:r>
      <w:r w:rsidRPr="00283806">
        <w:rPr>
          <w:spacing w:val="34"/>
          <w:w w:val="105"/>
        </w:rPr>
        <w:t xml:space="preserve"> </w:t>
      </w:r>
      <w:r w:rsidRPr="00283806">
        <w:rPr>
          <w:w w:val="105"/>
        </w:rPr>
        <w:t>of the purposes identified in subsection (h)(1). Accordingly, this requirement is within the scope of EPA’s authority</w:t>
      </w:r>
      <w:r w:rsidRPr="00283806">
        <w:rPr>
          <w:spacing w:val="80"/>
          <w:w w:val="105"/>
        </w:rPr>
        <w:t xml:space="preserve"> </w:t>
      </w:r>
      <w:r w:rsidRPr="00283806">
        <w:rPr>
          <w:w w:val="105"/>
        </w:rPr>
        <w:t>under subsection (h). In contrast to the regulations established under the 2023 Technology</w:t>
      </w:r>
      <w:r w:rsidRPr="00283806">
        <w:rPr>
          <w:spacing w:val="40"/>
          <w:w w:val="105"/>
        </w:rPr>
        <w:t xml:space="preserve"> </w:t>
      </w:r>
      <w:r w:rsidRPr="00283806">
        <w:rPr>
          <w:w w:val="105"/>
        </w:rPr>
        <w:t>Transitions</w:t>
      </w:r>
      <w:r w:rsidRPr="00283806">
        <w:rPr>
          <w:spacing w:val="40"/>
          <w:w w:val="105"/>
        </w:rPr>
        <w:t xml:space="preserve"> </w:t>
      </w:r>
      <w:r w:rsidRPr="00283806">
        <w:rPr>
          <w:w w:val="105"/>
        </w:rPr>
        <w:t>Rule,</w:t>
      </w:r>
      <w:r w:rsidRPr="00283806">
        <w:rPr>
          <w:spacing w:val="40"/>
          <w:w w:val="105"/>
        </w:rPr>
        <w:t xml:space="preserve"> </w:t>
      </w:r>
      <w:r w:rsidRPr="00283806">
        <w:rPr>
          <w:w w:val="105"/>
        </w:rPr>
        <w:t>in</w:t>
      </w:r>
      <w:r w:rsidRPr="00283806">
        <w:rPr>
          <w:spacing w:val="40"/>
          <w:w w:val="105"/>
        </w:rPr>
        <w:t xml:space="preserve"> </w:t>
      </w:r>
      <w:r w:rsidRPr="00283806">
        <w:rPr>
          <w:w w:val="105"/>
        </w:rPr>
        <w:t>this rule, EPA is not restricting the use of specific HFCs in a sector or subsector,</w:t>
      </w:r>
      <w:r w:rsidRPr="00283806">
        <w:rPr>
          <w:spacing w:val="80"/>
          <w:w w:val="105"/>
        </w:rPr>
        <w:t xml:space="preserve"> </w:t>
      </w:r>
      <w:r w:rsidRPr="00283806">
        <w:rPr>
          <w:w w:val="105"/>
        </w:rPr>
        <w:t>nor is it limiting the use of HFCs based</w:t>
      </w:r>
      <w:r w:rsidRPr="00283806">
        <w:rPr>
          <w:spacing w:val="80"/>
          <w:w w:val="105"/>
        </w:rPr>
        <w:t xml:space="preserve"> </w:t>
      </w:r>
      <w:r w:rsidRPr="00283806">
        <w:rPr>
          <w:w w:val="105"/>
        </w:rPr>
        <w:t>on a GWP threshold. Rather, it is requiring</w:t>
      </w:r>
      <w:r w:rsidRPr="00283806">
        <w:rPr>
          <w:spacing w:val="40"/>
          <w:w w:val="105"/>
        </w:rPr>
        <w:t xml:space="preserve"> </w:t>
      </w:r>
      <w:r w:rsidRPr="00283806">
        <w:rPr>
          <w:w w:val="105"/>
        </w:rPr>
        <w:t>that</w:t>
      </w:r>
      <w:r w:rsidRPr="00283806">
        <w:rPr>
          <w:spacing w:val="40"/>
          <w:w w:val="105"/>
        </w:rPr>
        <w:t xml:space="preserve"> </w:t>
      </w:r>
      <w:r w:rsidRPr="00283806">
        <w:rPr>
          <w:w w:val="105"/>
        </w:rPr>
        <w:t>the</w:t>
      </w:r>
      <w:r w:rsidRPr="00283806">
        <w:rPr>
          <w:spacing w:val="40"/>
          <w:w w:val="105"/>
        </w:rPr>
        <w:t xml:space="preserve"> </w:t>
      </w:r>
      <w:r w:rsidRPr="00283806">
        <w:rPr>
          <w:w w:val="105"/>
        </w:rPr>
        <w:t>HFCs</w:t>
      </w:r>
      <w:r w:rsidRPr="00283806">
        <w:rPr>
          <w:spacing w:val="40"/>
          <w:w w:val="105"/>
        </w:rPr>
        <w:t xml:space="preserve"> </w:t>
      </w:r>
      <w:r w:rsidRPr="00283806">
        <w:rPr>
          <w:w w:val="105"/>
        </w:rPr>
        <w:t>used</w:t>
      </w:r>
      <w:r w:rsidRPr="00283806">
        <w:rPr>
          <w:spacing w:val="40"/>
          <w:w w:val="105"/>
        </w:rPr>
        <w:t xml:space="preserve"> </w:t>
      </w:r>
      <w:r w:rsidRPr="00283806">
        <w:rPr>
          <w:w w:val="105"/>
        </w:rPr>
        <w:t>in servicing and/or repair of refrigerant- containing equipment in certain RACHP subsectors meet criteria related to the processing of the HFC before it is used; specifically, requiring that the reclaimed HFC refrigerants meet specific purity standards and meet the established standards in this rulemaking limiting virgin HFC content (see section IV.E.1). EPA identified the refrigerant-</w:t>
      </w:r>
      <w:r w:rsidRPr="00283806">
        <w:rPr>
          <w:spacing w:val="80"/>
          <w:w w:val="105"/>
        </w:rPr>
        <w:t xml:space="preserve"> </w:t>
      </w:r>
      <w:r w:rsidRPr="00283806">
        <w:rPr>
          <w:w w:val="105"/>
        </w:rPr>
        <w:t>containing equipment subject to this requirement by sector or subsector in part to build on terms that are already familiar to the regulated community so that it is easier to understand how these requirements will apply. Nothing in subsection (h) requires that regulations established under this subsection apply equally to all types of equipment. Such</w:t>
      </w:r>
      <w:r w:rsidRPr="00283806">
        <w:rPr>
          <w:spacing w:val="80"/>
          <w:w w:val="105"/>
        </w:rPr>
        <w:t xml:space="preserve"> </w:t>
      </w:r>
      <w:r w:rsidRPr="00283806">
        <w:rPr>
          <w:w w:val="105"/>
        </w:rPr>
        <w:t>an interpretation would make little</w:t>
      </w:r>
      <w:r w:rsidRPr="00283806">
        <w:rPr>
          <w:spacing w:val="40"/>
          <w:w w:val="105"/>
        </w:rPr>
        <w:t xml:space="preserve"> </w:t>
      </w:r>
      <w:r w:rsidRPr="00283806">
        <w:rPr>
          <w:w w:val="105"/>
        </w:rPr>
        <w:t xml:space="preserve">sense, as different types of equipment necessarily involve different practices, processes, or activities regarding their </w:t>
      </w:r>
      <w:proofErr w:type="gramStart"/>
      <w:r w:rsidRPr="00283806">
        <w:rPr>
          <w:w w:val="105"/>
        </w:rPr>
        <w:t>servicing</w:t>
      </w:r>
      <w:proofErr w:type="gramEnd"/>
      <w:r w:rsidRPr="00283806">
        <w:rPr>
          <w:w w:val="105"/>
        </w:rPr>
        <w:t>, repair, disposal, or</w:t>
      </w:r>
      <w:r w:rsidRPr="00283806">
        <w:rPr>
          <w:spacing w:val="80"/>
          <w:w w:val="150"/>
        </w:rPr>
        <w:t xml:space="preserve"> </w:t>
      </w:r>
      <w:r w:rsidRPr="00283806">
        <w:rPr>
          <w:w w:val="105"/>
        </w:rPr>
        <w:t>installation. EPA has explained its rationale</w:t>
      </w:r>
      <w:r w:rsidRPr="00283806">
        <w:rPr>
          <w:spacing w:val="40"/>
          <w:w w:val="105"/>
        </w:rPr>
        <w:t xml:space="preserve"> </w:t>
      </w:r>
      <w:r w:rsidRPr="00283806">
        <w:rPr>
          <w:w w:val="105"/>
        </w:rPr>
        <w:t>for</w:t>
      </w:r>
      <w:r w:rsidRPr="00283806">
        <w:rPr>
          <w:spacing w:val="40"/>
          <w:w w:val="105"/>
        </w:rPr>
        <w:t xml:space="preserve"> </w:t>
      </w:r>
      <w:r w:rsidRPr="00283806">
        <w:rPr>
          <w:w w:val="105"/>
        </w:rPr>
        <w:t>this</w:t>
      </w:r>
      <w:r w:rsidRPr="00283806">
        <w:rPr>
          <w:spacing w:val="40"/>
          <w:w w:val="105"/>
        </w:rPr>
        <w:t xml:space="preserve"> </w:t>
      </w:r>
      <w:r w:rsidRPr="00283806">
        <w:rPr>
          <w:w w:val="105"/>
        </w:rPr>
        <w:t>action</w:t>
      </w:r>
      <w:r w:rsidRPr="00283806">
        <w:rPr>
          <w:spacing w:val="40"/>
          <w:w w:val="105"/>
        </w:rPr>
        <w:t xml:space="preserve"> </w:t>
      </w:r>
      <w:r w:rsidRPr="00283806">
        <w:rPr>
          <w:w w:val="105"/>
        </w:rPr>
        <w:t>elsewhere</w:t>
      </w:r>
      <w:r w:rsidRPr="00283806">
        <w:rPr>
          <w:spacing w:val="40"/>
          <w:w w:val="105"/>
        </w:rPr>
        <w:t xml:space="preserve"> </w:t>
      </w:r>
      <w:r w:rsidRPr="00283806">
        <w:rPr>
          <w:w w:val="105"/>
        </w:rPr>
        <w:t>in this preamble, and for those reasons, views this requirement as a reasonable measure to implement its authority</w:t>
      </w:r>
      <w:r w:rsidRPr="00283806">
        <w:rPr>
          <w:spacing w:val="40"/>
          <w:w w:val="105"/>
        </w:rPr>
        <w:t xml:space="preserve"> </w:t>
      </w:r>
      <w:r w:rsidRPr="00283806">
        <w:rPr>
          <w:w w:val="105"/>
        </w:rPr>
        <w:t>under subsection (h)(1) of the Act.</w:t>
      </w:r>
    </w:p>
    <w:p w14:paraId="38A8D5EC" w14:textId="77777777" w:rsidR="00D67C1E" w:rsidRPr="00283806" w:rsidRDefault="001265CA">
      <w:pPr>
        <w:pStyle w:val="BodyText"/>
        <w:spacing w:before="9" w:line="228" w:lineRule="auto"/>
        <w:ind w:right="93" w:firstLine="180"/>
      </w:pPr>
      <w:r w:rsidRPr="00283806">
        <w:rPr>
          <w:w w:val="105"/>
        </w:rPr>
        <w:t xml:space="preserve">In response to comments that state that subsection (h) provides </w:t>
      </w:r>
      <w:proofErr w:type="gramStart"/>
      <w:r w:rsidRPr="00283806">
        <w:rPr>
          <w:w w:val="105"/>
        </w:rPr>
        <w:t>one,</w:t>
      </w:r>
      <w:proofErr w:type="gramEnd"/>
      <w:r w:rsidRPr="00283806">
        <w:rPr>
          <w:spacing w:val="40"/>
          <w:w w:val="105"/>
        </w:rPr>
        <w:t xml:space="preserve"> </w:t>
      </w:r>
      <w:r w:rsidRPr="00283806">
        <w:rPr>
          <w:w w:val="105"/>
        </w:rPr>
        <w:t>specific example of what is</w:t>
      </w:r>
      <w:r w:rsidRPr="00283806">
        <w:rPr>
          <w:spacing w:val="40"/>
          <w:w w:val="105"/>
        </w:rPr>
        <w:t xml:space="preserve"> </w:t>
      </w:r>
      <w:r w:rsidRPr="00283806">
        <w:rPr>
          <w:w w:val="105"/>
        </w:rPr>
        <w:t>‘‘appropriate’’ to control, which the commenter states is technician training,</w:t>
      </w:r>
    </w:p>
    <w:p w14:paraId="40239414" w14:textId="77777777" w:rsidR="00D67C1E" w:rsidRPr="00283806" w:rsidRDefault="001265CA">
      <w:pPr>
        <w:pStyle w:val="BodyText"/>
        <w:spacing w:before="133" w:line="228" w:lineRule="auto"/>
        <w:ind w:left="143"/>
      </w:pPr>
      <w:r w:rsidRPr="00283806">
        <w:br w:type="column"/>
      </w:r>
      <w:r w:rsidRPr="00283806">
        <w:rPr>
          <w:w w:val="110"/>
        </w:rPr>
        <w:t xml:space="preserve">EPA disagrees that the statutory language under subsection (h) is best read as narrowly defining technician training as the only appropriate practice, process, or activity regarding the servicing, repair, disposal, or installation of equipment. Rather, EPA </w:t>
      </w:r>
      <w:r w:rsidRPr="00283806">
        <w:t>interprets the text at subsection (h)(1) to</w:t>
      </w:r>
      <w:r w:rsidRPr="00283806">
        <w:rPr>
          <w:w w:val="110"/>
        </w:rPr>
        <w:t xml:space="preserve"> simply identify an example of a requirement that would fit within the scope of (h)(1), not as a limitation that would preclude establishing other regulations that are also within the scope of (h)(1). The fact that the </w:t>
      </w:r>
      <w:r w:rsidRPr="00283806">
        <w:rPr>
          <w:spacing w:val="-2"/>
          <w:w w:val="110"/>
        </w:rPr>
        <w:t>statutory</w:t>
      </w:r>
      <w:r w:rsidRPr="00283806">
        <w:rPr>
          <w:spacing w:val="-4"/>
          <w:w w:val="110"/>
        </w:rPr>
        <w:t xml:space="preserve"> </w:t>
      </w:r>
      <w:r w:rsidRPr="00283806">
        <w:rPr>
          <w:spacing w:val="-2"/>
          <w:w w:val="110"/>
        </w:rPr>
        <w:t>text</w:t>
      </w:r>
      <w:r w:rsidRPr="00283806">
        <w:rPr>
          <w:spacing w:val="-4"/>
          <w:w w:val="110"/>
        </w:rPr>
        <w:t xml:space="preserve"> </w:t>
      </w:r>
      <w:proofErr w:type="gramStart"/>
      <w:r w:rsidRPr="00283806">
        <w:rPr>
          <w:spacing w:val="-2"/>
          <w:w w:val="110"/>
        </w:rPr>
        <w:t>says,</w:t>
      </w:r>
      <w:r w:rsidRPr="00283806">
        <w:rPr>
          <w:spacing w:val="-4"/>
          <w:w w:val="110"/>
        </w:rPr>
        <w:t xml:space="preserve"> </w:t>
      </w:r>
      <w:r w:rsidRPr="00283806">
        <w:rPr>
          <w:spacing w:val="-2"/>
          <w:w w:val="110"/>
        </w:rPr>
        <w:t>‘‘</w:t>
      </w:r>
      <w:proofErr w:type="gramEnd"/>
      <w:r w:rsidRPr="00283806">
        <w:rPr>
          <w:spacing w:val="-2"/>
          <w:w w:val="110"/>
        </w:rPr>
        <w:t>including</w:t>
      </w:r>
      <w:r w:rsidRPr="00283806">
        <w:rPr>
          <w:spacing w:val="-4"/>
          <w:w w:val="110"/>
        </w:rPr>
        <w:t xml:space="preserve"> </w:t>
      </w:r>
      <w:r w:rsidRPr="00283806">
        <w:rPr>
          <w:spacing w:val="-2"/>
          <w:w w:val="110"/>
        </w:rPr>
        <w:t xml:space="preserve">requiring, </w:t>
      </w:r>
      <w:r w:rsidRPr="00283806">
        <w:rPr>
          <w:w w:val="110"/>
        </w:rPr>
        <w:t xml:space="preserve">where appropriate </w:t>
      </w:r>
      <w:proofErr w:type="gramStart"/>
      <w:r w:rsidRPr="00283806">
        <w:rPr>
          <w:w w:val="110"/>
        </w:rPr>
        <w:t>.</w:t>
      </w:r>
      <w:r w:rsidRPr="00283806">
        <w:rPr>
          <w:spacing w:val="40"/>
          <w:w w:val="110"/>
        </w:rPr>
        <w:t xml:space="preserve"> </w:t>
      </w:r>
      <w:r w:rsidRPr="00283806">
        <w:rPr>
          <w:w w:val="110"/>
        </w:rPr>
        <w:t>.</w:t>
      </w:r>
      <w:r w:rsidRPr="00283806">
        <w:rPr>
          <w:spacing w:val="40"/>
          <w:w w:val="110"/>
        </w:rPr>
        <w:t xml:space="preserve"> </w:t>
      </w:r>
      <w:r w:rsidRPr="00283806">
        <w:rPr>
          <w:w w:val="110"/>
        </w:rPr>
        <w:t>.,’</w:t>
      </w:r>
      <w:proofErr w:type="gramEnd"/>
      <w:r w:rsidRPr="00283806">
        <w:rPr>
          <w:w w:val="110"/>
        </w:rPr>
        <w:t xml:space="preserve">’ indicates that the example was not intended as a limitation, as ‘‘including’’ makes clear that what follows is a potential requirement contemplated under the </w:t>
      </w:r>
      <w:r w:rsidRPr="00283806">
        <w:t xml:space="preserve">statutory </w:t>
      </w:r>
      <w:proofErr w:type="gramStart"/>
      <w:r w:rsidRPr="00283806">
        <w:t>text but</w:t>
      </w:r>
      <w:proofErr w:type="gramEnd"/>
      <w:r w:rsidRPr="00283806">
        <w:t xml:space="preserve"> does not exclude other</w:t>
      </w:r>
      <w:r w:rsidRPr="00283806">
        <w:rPr>
          <w:spacing w:val="40"/>
        </w:rPr>
        <w:t xml:space="preserve"> </w:t>
      </w:r>
      <w:r w:rsidRPr="00283806">
        <w:t>possibilities. Further, the phrase ‘‘where</w:t>
      </w:r>
      <w:r w:rsidRPr="00283806">
        <w:rPr>
          <w:spacing w:val="40"/>
          <w:w w:val="110"/>
        </w:rPr>
        <w:t xml:space="preserve"> </w:t>
      </w:r>
      <w:proofErr w:type="gramStart"/>
      <w:r w:rsidRPr="00283806">
        <w:rPr>
          <w:w w:val="110"/>
        </w:rPr>
        <w:t>appropriate’’</w:t>
      </w:r>
      <w:proofErr w:type="gramEnd"/>
      <w:r w:rsidRPr="00283806">
        <w:rPr>
          <w:w w:val="110"/>
        </w:rPr>
        <w:t xml:space="preserve"> in </w:t>
      </w:r>
      <w:proofErr w:type="gramStart"/>
      <w:r w:rsidRPr="00283806">
        <w:rPr>
          <w:w w:val="110"/>
        </w:rPr>
        <w:t>the parenthetical</w:t>
      </w:r>
      <w:proofErr w:type="gramEnd"/>
      <w:r w:rsidRPr="00283806">
        <w:rPr>
          <w:w w:val="110"/>
        </w:rPr>
        <w:t xml:space="preserve"> suggests that Congress contemplated that the Agency would consider whether such a requirement was appropriate before establishing it, not that Congress automatically assumed that any such requirement would </w:t>
      </w:r>
      <w:r w:rsidRPr="00283806">
        <w:t>necessarily be appropriate, much less be</w:t>
      </w:r>
      <w:r w:rsidRPr="00283806">
        <w:rPr>
          <w:spacing w:val="40"/>
          <w:w w:val="110"/>
        </w:rPr>
        <w:t xml:space="preserve"> </w:t>
      </w:r>
      <w:r w:rsidRPr="00283806">
        <w:rPr>
          <w:w w:val="110"/>
        </w:rPr>
        <w:t xml:space="preserve">the only appropriate option. Moreover, as discussed previously in this preamble, the phrase ‘‘where appropriate’’ in subsection (h)(1) provides EPA discretion to reasonably determine how the regulations under subsection (h)(1) will apply. Thus, as explained above, the phrase ‘‘where appropriate’’ in the parenthetical in subsection (h)(1) clearly leaves EPA flexibility to determine whether and in what circumstances to require that ‘‘such servicing, repair, disposal, or installation be performed by a trained </w:t>
      </w:r>
      <w:r w:rsidRPr="00283806">
        <w:t>technician meeting minimum standards,</w:t>
      </w:r>
      <w:r w:rsidRPr="00283806">
        <w:rPr>
          <w:spacing w:val="80"/>
          <w:w w:val="110"/>
        </w:rPr>
        <w:t xml:space="preserve"> </w:t>
      </w:r>
      <w:r w:rsidRPr="00283806">
        <w:rPr>
          <w:w w:val="110"/>
        </w:rPr>
        <w:t>as</w:t>
      </w:r>
      <w:r w:rsidRPr="00283806">
        <w:rPr>
          <w:spacing w:val="-11"/>
          <w:w w:val="110"/>
        </w:rPr>
        <w:t xml:space="preserve"> </w:t>
      </w:r>
      <w:r w:rsidRPr="00283806">
        <w:rPr>
          <w:w w:val="110"/>
        </w:rPr>
        <w:t>determined</w:t>
      </w:r>
      <w:r w:rsidRPr="00283806">
        <w:rPr>
          <w:spacing w:val="-11"/>
          <w:w w:val="110"/>
        </w:rPr>
        <w:t xml:space="preserve"> </w:t>
      </w:r>
      <w:r w:rsidRPr="00283806">
        <w:rPr>
          <w:w w:val="110"/>
        </w:rPr>
        <w:t>by</w:t>
      </w:r>
      <w:r w:rsidRPr="00283806">
        <w:rPr>
          <w:spacing w:val="-11"/>
          <w:w w:val="110"/>
        </w:rPr>
        <w:t xml:space="preserve"> </w:t>
      </w:r>
      <w:r w:rsidRPr="00283806">
        <w:rPr>
          <w:w w:val="110"/>
        </w:rPr>
        <w:t>the</w:t>
      </w:r>
      <w:r w:rsidRPr="00283806">
        <w:rPr>
          <w:spacing w:val="-11"/>
          <w:w w:val="110"/>
        </w:rPr>
        <w:t xml:space="preserve"> </w:t>
      </w:r>
      <w:r w:rsidRPr="00283806">
        <w:rPr>
          <w:w w:val="110"/>
        </w:rPr>
        <w:t>Administrator,’’</w:t>
      </w:r>
      <w:r w:rsidRPr="00283806">
        <w:rPr>
          <w:spacing w:val="-11"/>
          <w:w w:val="110"/>
        </w:rPr>
        <w:t xml:space="preserve"> </w:t>
      </w:r>
      <w:r w:rsidRPr="00283806">
        <w:rPr>
          <w:w w:val="110"/>
        </w:rPr>
        <w:t>as well as discretion to establish such minimum standards.</w:t>
      </w:r>
    </w:p>
    <w:p w14:paraId="2FF498D6" w14:textId="77777777" w:rsidR="00D67C1E" w:rsidRPr="00283806" w:rsidRDefault="001265CA">
      <w:pPr>
        <w:pStyle w:val="BodyText"/>
        <w:spacing w:before="16" w:line="228" w:lineRule="auto"/>
        <w:ind w:left="143" w:right="75" w:firstLine="180"/>
      </w:pPr>
      <w:r w:rsidRPr="00283806">
        <w:rPr>
          <w:rFonts w:ascii="Book Antiqua" w:hAnsi="Book Antiqua"/>
          <w:i/>
          <w:w w:val="105"/>
        </w:rPr>
        <w:t xml:space="preserve">Comment: </w:t>
      </w:r>
      <w:r w:rsidRPr="00283806">
        <w:rPr>
          <w:w w:val="105"/>
        </w:rPr>
        <w:t>Two commenters stated</w:t>
      </w:r>
      <w:r w:rsidRPr="00283806">
        <w:rPr>
          <w:spacing w:val="80"/>
          <w:w w:val="105"/>
        </w:rPr>
        <w:t xml:space="preserve"> </w:t>
      </w:r>
      <w:r w:rsidRPr="00283806">
        <w:rPr>
          <w:w w:val="105"/>
        </w:rPr>
        <w:t>that EPA lacks authority over non- servicing</w:t>
      </w:r>
      <w:r w:rsidRPr="00283806">
        <w:rPr>
          <w:spacing w:val="40"/>
          <w:w w:val="105"/>
        </w:rPr>
        <w:t xml:space="preserve"> </w:t>
      </w:r>
      <w:r w:rsidRPr="00283806">
        <w:rPr>
          <w:w w:val="105"/>
        </w:rPr>
        <w:t>actions</w:t>
      </w:r>
      <w:r w:rsidRPr="00283806">
        <w:rPr>
          <w:spacing w:val="40"/>
          <w:w w:val="105"/>
        </w:rPr>
        <w:t xml:space="preserve"> </w:t>
      </w:r>
      <w:r w:rsidRPr="00283806">
        <w:rPr>
          <w:w w:val="105"/>
        </w:rPr>
        <w:t>under</w:t>
      </w:r>
      <w:r w:rsidRPr="00283806">
        <w:rPr>
          <w:spacing w:val="40"/>
          <w:w w:val="105"/>
        </w:rPr>
        <w:t xml:space="preserve"> </w:t>
      </w:r>
      <w:r w:rsidRPr="00283806">
        <w:rPr>
          <w:w w:val="105"/>
        </w:rPr>
        <w:t>the</w:t>
      </w:r>
      <w:r w:rsidRPr="00283806">
        <w:rPr>
          <w:spacing w:val="40"/>
          <w:w w:val="105"/>
        </w:rPr>
        <w:t xml:space="preserve"> </w:t>
      </w:r>
      <w:r w:rsidRPr="00283806">
        <w:rPr>
          <w:w w:val="105"/>
        </w:rPr>
        <w:t>AIM</w:t>
      </w:r>
      <w:r w:rsidRPr="00283806">
        <w:rPr>
          <w:spacing w:val="40"/>
          <w:w w:val="105"/>
        </w:rPr>
        <w:t xml:space="preserve"> </w:t>
      </w:r>
      <w:r w:rsidRPr="00283806">
        <w:rPr>
          <w:w w:val="105"/>
        </w:rPr>
        <w:t>Act. The commenters claimed that EPA’s proposal in section 84.112 to regulate</w:t>
      </w:r>
      <w:r w:rsidRPr="00283806">
        <w:rPr>
          <w:spacing w:val="40"/>
          <w:w w:val="105"/>
        </w:rPr>
        <w:t xml:space="preserve"> </w:t>
      </w:r>
      <w:r w:rsidRPr="00283806">
        <w:rPr>
          <w:w w:val="105"/>
        </w:rPr>
        <w:t>the marketing and sale of HFCs in commerce upstream from the use of</w:t>
      </w:r>
      <w:r w:rsidRPr="00283806">
        <w:rPr>
          <w:spacing w:val="80"/>
          <w:w w:val="150"/>
        </w:rPr>
        <w:t xml:space="preserve"> </w:t>
      </w:r>
      <w:r w:rsidRPr="00283806">
        <w:rPr>
          <w:w w:val="105"/>
        </w:rPr>
        <w:t xml:space="preserve">HFC gas in equipment is not reasonably within EPA’s authority. </w:t>
      </w:r>
      <w:proofErr w:type="gramStart"/>
      <w:r w:rsidRPr="00283806">
        <w:rPr>
          <w:w w:val="105"/>
        </w:rPr>
        <w:t>In particular, EPA’s</w:t>
      </w:r>
      <w:proofErr w:type="gramEnd"/>
      <w:r w:rsidRPr="00283806">
        <w:rPr>
          <w:w w:val="105"/>
        </w:rPr>
        <w:t xml:space="preserve"> proposal to restrict the sale of reclaimed gas in section 84.112(b) does not relate to servicing of </w:t>
      </w:r>
      <w:proofErr w:type="gramStart"/>
      <w:r w:rsidRPr="00283806">
        <w:rPr>
          <w:w w:val="105"/>
        </w:rPr>
        <w:t>equipment, but</w:t>
      </w:r>
      <w:proofErr w:type="gramEnd"/>
      <w:r w:rsidRPr="00283806">
        <w:rPr>
          <w:w w:val="105"/>
        </w:rPr>
        <w:t xml:space="preserve"> rather restricts the sale of reclaimed gas upstream from the equipment. EPA’s</w:t>
      </w:r>
      <w:r w:rsidRPr="00283806">
        <w:rPr>
          <w:spacing w:val="80"/>
          <w:w w:val="105"/>
        </w:rPr>
        <w:t xml:space="preserve"> </w:t>
      </w:r>
      <w:r w:rsidRPr="00283806">
        <w:rPr>
          <w:w w:val="105"/>
        </w:rPr>
        <w:t>rule would restrict any sale of reclaimed HFCs in lieu of virgin gas for any uses</w:t>
      </w:r>
      <w:r w:rsidRPr="00283806">
        <w:rPr>
          <w:spacing w:val="40"/>
          <w:w w:val="105"/>
        </w:rPr>
        <w:t xml:space="preserve"> </w:t>
      </w:r>
      <w:r w:rsidRPr="00283806">
        <w:rPr>
          <w:w w:val="105"/>
        </w:rPr>
        <w:t>that are still available to virgin gas</w:t>
      </w:r>
      <w:r w:rsidRPr="00283806">
        <w:rPr>
          <w:spacing w:val="80"/>
          <w:w w:val="150"/>
        </w:rPr>
        <w:t xml:space="preserve"> </w:t>
      </w:r>
      <w:r w:rsidRPr="00283806">
        <w:rPr>
          <w:w w:val="105"/>
        </w:rPr>
        <w:t>under EPA’s various AIM Act</w:t>
      </w:r>
      <w:r w:rsidRPr="00283806">
        <w:rPr>
          <w:spacing w:val="80"/>
          <w:w w:val="105"/>
        </w:rPr>
        <w:t xml:space="preserve"> </w:t>
      </w:r>
      <w:r w:rsidRPr="00283806">
        <w:rPr>
          <w:w w:val="105"/>
        </w:rPr>
        <w:t>regulations. One commenter claimed</w:t>
      </w:r>
      <w:r w:rsidRPr="00283806">
        <w:rPr>
          <w:spacing w:val="80"/>
          <w:w w:val="105"/>
        </w:rPr>
        <w:t xml:space="preserve"> </w:t>
      </w:r>
      <w:r w:rsidRPr="00283806">
        <w:rPr>
          <w:w w:val="105"/>
        </w:rPr>
        <w:t>that EPA is going beyond its subsection</w:t>
      </w:r>
    </w:p>
    <w:p w14:paraId="55980DDA" w14:textId="77777777" w:rsidR="00D67C1E" w:rsidRPr="00283806" w:rsidRDefault="001265CA">
      <w:pPr>
        <w:pStyle w:val="BodyText"/>
        <w:spacing w:before="130" w:line="230" w:lineRule="auto"/>
        <w:ind w:left="152" w:right="132"/>
      </w:pPr>
      <w:r w:rsidRPr="00283806">
        <w:br w:type="column"/>
      </w:r>
      <w:r w:rsidRPr="00283806">
        <w:rPr>
          <w:w w:val="105"/>
        </w:rPr>
        <w:t>(h) authority by implementing reclaim requirements that go beyond</w:t>
      </w:r>
      <w:r w:rsidRPr="00283806">
        <w:rPr>
          <w:spacing w:val="80"/>
          <w:w w:val="105"/>
        </w:rPr>
        <w:t xml:space="preserve"> </w:t>
      </w:r>
      <w:r w:rsidRPr="00283806">
        <w:rPr>
          <w:w w:val="105"/>
        </w:rPr>
        <w:t>maximizing reclaim and minimizing emissions that occur during specified events such as servicing and repair, and that EPA only has explicit authority to regulate releases from equipment and to ensure safety of technicians and consumers. The other commenter</w:t>
      </w:r>
      <w:r w:rsidRPr="00283806">
        <w:rPr>
          <w:spacing w:val="80"/>
          <w:w w:val="105"/>
        </w:rPr>
        <w:t xml:space="preserve"> </w:t>
      </w:r>
      <w:r w:rsidRPr="00283806">
        <w:rPr>
          <w:w w:val="105"/>
        </w:rPr>
        <w:t>further asserted that, read together, the terms that Congress used—‘‘servicing, repair, disposal, or installation of equipment’’—naturally refer to work performed on equipment, not to the design of the equipment or the choice of which refrigerant gas is used in the equipment, and that given the context of the statute, it is not natural (and therefore</w:t>
      </w:r>
      <w:r w:rsidRPr="00283806">
        <w:rPr>
          <w:spacing w:val="-1"/>
          <w:w w:val="105"/>
        </w:rPr>
        <w:t xml:space="preserve"> </w:t>
      </w:r>
      <w:r w:rsidRPr="00283806">
        <w:rPr>
          <w:w w:val="105"/>
        </w:rPr>
        <w:t>not</w:t>
      </w:r>
      <w:r w:rsidRPr="00283806">
        <w:rPr>
          <w:spacing w:val="-1"/>
          <w:w w:val="105"/>
        </w:rPr>
        <w:t xml:space="preserve"> </w:t>
      </w:r>
      <w:r w:rsidRPr="00283806">
        <w:rPr>
          <w:w w:val="105"/>
        </w:rPr>
        <w:t>reasonable)</w:t>
      </w:r>
      <w:r w:rsidRPr="00283806">
        <w:rPr>
          <w:spacing w:val="-1"/>
          <w:w w:val="105"/>
        </w:rPr>
        <w:t xml:space="preserve"> </w:t>
      </w:r>
      <w:r w:rsidRPr="00283806">
        <w:rPr>
          <w:w w:val="105"/>
        </w:rPr>
        <w:t>to</w:t>
      </w:r>
      <w:r w:rsidRPr="00283806">
        <w:rPr>
          <w:spacing w:val="-1"/>
          <w:w w:val="105"/>
        </w:rPr>
        <w:t xml:space="preserve"> </w:t>
      </w:r>
      <w:r w:rsidRPr="00283806">
        <w:rPr>
          <w:w w:val="105"/>
        </w:rPr>
        <w:t>describe</w:t>
      </w:r>
      <w:r w:rsidRPr="00283806">
        <w:rPr>
          <w:spacing w:val="-1"/>
          <w:w w:val="105"/>
        </w:rPr>
        <w:t xml:space="preserve"> </w:t>
      </w:r>
      <w:r w:rsidRPr="00283806">
        <w:rPr>
          <w:w w:val="105"/>
        </w:rPr>
        <w:t>the choice of what gas is used in equipment as a ‘‘practice, process, or activity.’’ The commenter maintained that the choice</w:t>
      </w:r>
      <w:r w:rsidRPr="00283806">
        <w:rPr>
          <w:spacing w:val="80"/>
          <w:w w:val="105"/>
        </w:rPr>
        <w:t xml:space="preserve"> </w:t>
      </w:r>
      <w:r w:rsidRPr="00283806">
        <w:rPr>
          <w:w w:val="105"/>
        </w:rPr>
        <w:t>or specification of what refrigerant gas</w:t>
      </w:r>
      <w:r w:rsidRPr="00283806">
        <w:rPr>
          <w:spacing w:val="80"/>
          <w:w w:val="105"/>
        </w:rPr>
        <w:t xml:space="preserve"> </w:t>
      </w:r>
      <w:r w:rsidRPr="00283806">
        <w:rPr>
          <w:w w:val="105"/>
        </w:rPr>
        <w:t>to use to charge a system is simply not</w:t>
      </w:r>
      <w:r w:rsidRPr="00283806">
        <w:rPr>
          <w:spacing w:val="80"/>
          <w:w w:val="105"/>
        </w:rPr>
        <w:t xml:space="preserve"> </w:t>
      </w:r>
      <w:r w:rsidRPr="00283806">
        <w:rPr>
          <w:w w:val="105"/>
        </w:rPr>
        <w:t>an ‘‘activity’’ as used in the statute, and that EPA’s reading of the concept of ‘‘activity,’’ which they characterize as overly expansive, would lead to unexpected and overbroad results if, for example, specification of equipment components is considered to be an activity</w:t>
      </w:r>
      <w:r w:rsidRPr="00283806">
        <w:rPr>
          <w:spacing w:val="34"/>
          <w:w w:val="105"/>
        </w:rPr>
        <w:t xml:space="preserve"> </w:t>
      </w:r>
      <w:r w:rsidRPr="00283806">
        <w:rPr>
          <w:w w:val="105"/>
        </w:rPr>
        <w:t>and</w:t>
      </w:r>
      <w:r w:rsidRPr="00283806">
        <w:rPr>
          <w:spacing w:val="34"/>
          <w:w w:val="105"/>
        </w:rPr>
        <w:t xml:space="preserve"> </w:t>
      </w:r>
      <w:r w:rsidRPr="00283806">
        <w:rPr>
          <w:w w:val="105"/>
        </w:rPr>
        <w:t>EPA</w:t>
      </w:r>
      <w:r w:rsidRPr="00283806">
        <w:rPr>
          <w:spacing w:val="34"/>
          <w:w w:val="105"/>
        </w:rPr>
        <w:t xml:space="preserve"> </w:t>
      </w:r>
      <w:r w:rsidRPr="00283806">
        <w:rPr>
          <w:w w:val="105"/>
        </w:rPr>
        <w:t>could</w:t>
      </w:r>
      <w:r w:rsidRPr="00283806">
        <w:rPr>
          <w:spacing w:val="34"/>
          <w:w w:val="105"/>
        </w:rPr>
        <w:t xml:space="preserve"> </w:t>
      </w:r>
      <w:r w:rsidRPr="00283806">
        <w:rPr>
          <w:w w:val="105"/>
        </w:rPr>
        <w:t>dictate</w:t>
      </w:r>
      <w:r w:rsidRPr="00283806">
        <w:rPr>
          <w:spacing w:val="34"/>
          <w:w w:val="105"/>
        </w:rPr>
        <w:t xml:space="preserve"> </w:t>
      </w:r>
      <w:r w:rsidRPr="00283806">
        <w:rPr>
          <w:w w:val="105"/>
        </w:rPr>
        <w:t>the</w:t>
      </w:r>
      <w:r w:rsidRPr="00283806">
        <w:rPr>
          <w:spacing w:val="34"/>
          <w:w w:val="105"/>
        </w:rPr>
        <w:t xml:space="preserve"> </w:t>
      </w:r>
      <w:r w:rsidRPr="00283806">
        <w:rPr>
          <w:w w:val="105"/>
        </w:rPr>
        <w:t>type of steel used in the refrigeration system or the energy efficiency of the system.</w:t>
      </w:r>
    </w:p>
    <w:p w14:paraId="4558424E" w14:textId="77777777" w:rsidR="00D67C1E" w:rsidRPr="00283806" w:rsidRDefault="001265CA">
      <w:pPr>
        <w:pStyle w:val="BodyText"/>
        <w:spacing w:before="86" w:line="230" w:lineRule="auto"/>
        <w:ind w:left="152" w:right="163" w:firstLine="180"/>
      </w:pPr>
      <w:r w:rsidRPr="00283806">
        <w:rPr>
          <w:w w:val="105"/>
        </w:rPr>
        <w:t>The commenter asserted that the mandate to use reclaimed gas when servicing or repairing equipment relates to the choice of which gas to use, not</w:t>
      </w:r>
    </w:p>
    <w:p w14:paraId="65F48991" w14:textId="77777777" w:rsidR="00D67C1E" w:rsidRPr="00283806" w:rsidRDefault="001265CA">
      <w:pPr>
        <w:pStyle w:val="BodyText"/>
        <w:spacing w:line="230" w:lineRule="auto"/>
        <w:ind w:left="152" w:right="150"/>
      </w:pPr>
      <w:r w:rsidRPr="00283806">
        <w:rPr>
          <w:w w:val="105"/>
        </w:rPr>
        <w:t>to the activities that are normally considered repair and servicing such as refrigerant recovery or charging gas (apart from the choice of using virgin or reclaimed gas), replacing parts, or fixing coupling or seals, and further claimed</w:t>
      </w:r>
      <w:r w:rsidRPr="00283806">
        <w:rPr>
          <w:spacing w:val="40"/>
          <w:w w:val="105"/>
        </w:rPr>
        <w:t xml:space="preserve"> </w:t>
      </w:r>
      <w:r w:rsidRPr="00283806">
        <w:rPr>
          <w:w w:val="105"/>
        </w:rPr>
        <w:t>that</w:t>
      </w:r>
      <w:r w:rsidRPr="00283806">
        <w:rPr>
          <w:spacing w:val="40"/>
          <w:w w:val="105"/>
        </w:rPr>
        <w:t xml:space="preserve"> </w:t>
      </w:r>
      <w:r w:rsidRPr="00283806">
        <w:rPr>
          <w:w w:val="105"/>
        </w:rPr>
        <w:t>if</w:t>
      </w:r>
      <w:r w:rsidRPr="00283806">
        <w:rPr>
          <w:spacing w:val="40"/>
          <w:w w:val="105"/>
        </w:rPr>
        <w:t xml:space="preserve"> </w:t>
      </w:r>
      <w:r w:rsidRPr="00283806">
        <w:rPr>
          <w:w w:val="105"/>
        </w:rPr>
        <w:t>Congress</w:t>
      </w:r>
      <w:r w:rsidRPr="00283806">
        <w:rPr>
          <w:spacing w:val="40"/>
          <w:w w:val="105"/>
        </w:rPr>
        <w:t xml:space="preserve"> </w:t>
      </w:r>
      <w:r w:rsidRPr="00283806">
        <w:rPr>
          <w:w w:val="105"/>
        </w:rPr>
        <w:t>had</w:t>
      </w:r>
      <w:r w:rsidRPr="00283806">
        <w:rPr>
          <w:spacing w:val="40"/>
          <w:w w:val="105"/>
        </w:rPr>
        <w:t xml:space="preserve"> </w:t>
      </w:r>
      <w:r w:rsidRPr="00283806">
        <w:rPr>
          <w:w w:val="105"/>
        </w:rPr>
        <w:t>intended</w:t>
      </w:r>
      <w:r w:rsidRPr="00283806">
        <w:rPr>
          <w:spacing w:val="40"/>
          <w:w w:val="105"/>
        </w:rPr>
        <w:t xml:space="preserve"> </w:t>
      </w:r>
      <w:r w:rsidRPr="00283806">
        <w:rPr>
          <w:w w:val="105"/>
        </w:rPr>
        <w:t>to delegate to EPA the authority to dictate the type of refrigerant gas that can be</w:t>
      </w:r>
      <w:r w:rsidRPr="00283806">
        <w:rPr>
          <w:spacing w:val="40"/>
          <w:w w:val="105"/>
        </w:rPr>
        <w:t xml:space="preserve"> </w:t>
      </w:r>
      <w:r w:rsidRPr="00283806">
        <w:rPr>
          <w:w w:val="105"/>
        </w:rPr>
        <w:t>sold in the marketplace, it would have provided express authority similar to</w:t>
      </w:r>
      <w:r w:rsidRPr="00283806">
        <w:rPr>
          <w:spacing w:val="40"/>
          <w:w w:val="105"/>
        </w:rPr>
        <w:t xml:space="preserve"> </w:t>
      </w:r>
      <w:r w:rsidRPr="00283806">
        <w:rPr>
          <w:w w:val="105"/>
        </w:rPr>
        <w:t>that in subsection (i) relating to technology transitions. The commenter further stated that there is no indication in subsection (h) that Congress intended to give EPA the ability to ‘‘eliminate</w:t>
      </w:r>
      <w:r w:rsidRPr="00283806">
        <w:rPr>
          <w:spacing w:val="40"/>
          <w:w w:val="105"/>
        </w:rPr>
        <w:t xml:space="preserve"> </w:t>
      </w:r>
      <w:r w:rsidRPr="00283806">
        <w:rPr>
          <w:w w:val="105"/>
        </w:rPr>
        <w:t>virgin gas’’ and replace it with reclaim gas. The commenter further claimed that had Congress intended to give EPA the power to do so, it would have ‘‘stated</w:t>
      </w:r>
    </w:p>
    <w:p w14:paraId="714E7AB5" w14:textId="77777777" w:rsidR="00D67C1E" w:rsidRPr="00283806" w:rsidRDefault="001265CA">
      <w:pPr>
        <w:pStyle w:val="BodyText"/>
        <w:spacing w:line="187" w:lineRule="exact"/>
        <w:ind w:left="152"/>
      </w:pPr>
      <w:proofErr w:type="gramStart"/>
      <w:r w:rsidRPr="00283806">
        <w:rPr>
          <w:w w:val="105"/>
        </w:rPr>
        <w:t>so</w:t>
      </w:r>
      <w:proofErr w:type="gramEnd"/>
      <w:r w:rsidRPr="00283806">
        <w:rPr>
          <w:spacing w:val="11"/>
          <w:w w:val="105"/>
        </w:rPr>
        <w:t xml:space="preserve"> </w:t>
      </w:r>
      <w:r w:rsidRPr="00283806">
        <w:rPr>
          <w:w w:val="105"/>
        </w:rPr>
        <w:t>in</w:t>
      </w:r>
      <w:r w:rsidRPr="00283806">
        <w:rPr>
          <w:spacing w:val="11"/>
          <w:w w:val="105"/>
        </w:rPr>
        <w:t xml:space="preserve"> </w:t>
      </w:r>
      <w:r w:rsidRPr="00283806">
        <w:rPr>
          <w:w w:val="105"/>
        </w:rPr>
        <w:t>clear</w:t>
      </w:r>
      <w:r w:rsidRPr="00283806">
        <w:rPr>
          <w:spacing w:val="11"/>
          <w:w w:val="105"/>
        </w:rPr>
        <w:t xml:space="preserve"> </w:t>
      </w:r>
      <w:proofErr w:type="gramStart"/>
      <w:r w:rsidRPr="00283806">
        <w:rPr>
          <w:w w:val="105"/>
        </w:rPr>
        <w:t>terms.’</w:t>
      </w:r>
      <w:proofErr w:type="gramEnd"/>
      <w:r w:rsidRPr="00283806">
        <w:rPr>
          <w:w w:val="105"/>
        </w:rPr>
        <w:t>’</w:t>
      </w:r>
      <w:r w:rsidRPr="00283806">
        <w:rPr>
          <w:spacing w:val="11"/>
          <w:w w:val="105"/>
        </w:rPr>
        <w:t xml:space="preserve"> </w:t>
      </w:r>
      <w:r w:rsidRPr="00283806">
        <w:rPr>
          <w:w w:val="105"/>
        </w:rPr>
        <w:t>There</w:t>
      </w:r>
      <w:r w:rsidRPr="00283806">
        <w:rPr>
          <w:spacing w:val="12"/>
          <w:w w:val="105"/>
        </w:rPr>
        <w:t xml:space="preserve"> </w:t>
      </w:r>
      <w:r w:rsidRPr="00283806">
        <w:rPr>
          <w:w w:val="105"/>
        </w:rPr>
        <w:t>is</w:t>
      </w:r>
      <w:r w:rsidRPr="00283806">
        <w:rPr>
          <w:spacing w:val="11"/>
          <w:w w:val="105"/>
        </w:rPr>
        <w:t xml:space="preserve"> </w:t>
      </w:r>
      <w:r w:rsidRPr="00283806">
        <w:rPr>
          <w:spacing w:val="-7"/>
          <w:w w:val="105"/>
        </w:rPr>
        <w:t>no</w:t>
      </w:r>
    </w:p>
    <w:p w14:paraId="6AC65555" w14:textId="77777777" w:rsidR="00D67C1E" w:rsidRPr="00283806" w:rsidRDefault="001265CA">
      <w:pPr>
        <w:pStyle w:val="BodyText"/>
        <w:spacing w:line="230" w:lineRule="auto"/>
        <w:ind w:left="152" w:right="222"/>
      </w:pPr>
      <w:r w:rsidRPr="00283806">
        <w:rPr>
          <w:w w:val="105"/>
        </w:rPr>
        <w:t>indication in the AIM Act that the reclaim provision was intended to trump the allowance program and technology transition provisions in this way. The commenter claimed that in contrast, a narrower approach focused on equipment servicing is entirely consistent with the statutory goal of</w:t>
      </w:r>
    </w:p>
    <w:p w14:paraId="55C48727" w14:textId="77777777" w:rsidR="00D67C1E" w:rsidRPr="00283806" w:rsidRDefault="00D67C1E">
      <w:pPr>
        <w:spacing w:line="230" w:lineRule="auto"/>
        <w:sectPr w:rsidR="00D67C1E" w:rsidRPr="00283806">
          <w:pgSz w:w="12240" w:h="15840"/>
          <w:pgMar w:top="1040" w:right="780" w:bottom="280" w:left="740" w:header="627" w:footer="0" w:gutter="0"/>
          <w:cols w:num="3" w:space="720" w:equalWidth="0">
            <w:col w:w="3517" w:space="40"/>
            <w:col w:w="3491" w:space="39"/>
            <w:col w:w="3633"/>
          </w:cols>
        </w:sectPr>
      </w:pPr>
    </w:p>
    <w:p w14:paraId="6F81C4F2" w14:textId="77777777" w:rsidR="00D67C1E" w:rsidRPr="00283806" w:rsidRDefault="001265CA">
      <w:pPr>
        <w:pStyle w:val="BodyText"/>
        <w:spacing w:before="134" w:line="228" w:lineRule="auto"/>
      </w:pPr>
      <w:r w:rsidRPr="00283806">
        <w:rPr>
          <w:w w:val="105"/>
        </w:rPr>
        <w:lastRenderedPageBreak/>
        <w:t>increasing reclaim, reducing emissions, and enhancing safety.</w:t>
      </w:r>
    </w:p>
    <w:p w14:paraId="606D79B0" w14:textId="77777777" w:rsidR="00D67C1E" w:rsidRPr="00283806" w:rsidRDefault="001265CA">
      <w:pPr>
        <w:pStyle w:val="BodyText"/>
        <w:spacing w:before="44" w:line="220" w:lineRule="auto"/>
        <w:ind w:firstLine="180"/>
      </w:pPr>
      <w:r w:rsidRPr="00283806">
        <w:rPr>
          <w:rFonts w:ascii="Book Antiqua"/>
          <w:i/>
          <w:w w:val="105"/>
        </w:rPr>
        <w:t xml:space="preserve">Response: </w:t>
      </w:r>
      <w:r w:rsidRPr="00283806">
        <w:rPr>
          <w:w w:val="105"/>
        </w:rPr>
        <w:t>The Agency disagrees with the comments that these provisions go beyond its authority under subsection</w:t>
      </w:r>
    </w:p>
    <w:p w14:paraId="62E245DA" w14:textId="77777777" w:rsidR="00D67C1E" w:rsidRPr="00283806" w:rsidRDefault="001265CA">
      <w:pPr>
        <w:pStyle w:val="BodyText"/>
        <w:spacing w:before="3" w:line="228" w:lineRule="auto"/>
        <w:ind w:right="26"/>
      </w:pPr>
      <w:r w:rsidRPr="00283806">
        <w:rPr>
          <w:w w:val="105"/>
        </w:rPr>
        <w:t>(h)</w:t>
      </w:r>
      <w:r w:rsidRPr="00283806">
        <w:rPr>
          <w:spacing w:val="40"/>
          <w:w w:val="105"/>
        </w:rPr>
        <w:t xml:space="preserve"> </w:t>
      </w:r>
      <w:r w:rsidRPr="00283806">
        <w:rPr>
          <w:w w:val="105"/>
        </w:rPr>
        <w:t>of</w:t>
      </w:r>
      <w:r w:rsidRPr="00283806">
        <w:rPr>
          <w:spacing w:val="40"/>
          <w:w w:val="105"/>
        </w:rPr>
        <w:t xml:space="preserve"> </w:t>
      </w:r>
      <w:r w:rsidRPr="00283806">
        <w:rPr>
          <w:w w:val="105"/>
        </w:rPr>
        <w:t>the</w:t>
      </w:r>
      <w:r w:rsidRPr="00283806">
        <w:rPr>
          <w:spacing w:val="40"/>
          <w:w w:val="105"/>
        </w:rPr>
        <w:t xml:space="preserve"> </w:t>
      </w:r>
      <w:r w:rsidRPr="00283806">
        <w:rPr>
          <w:w w:val="105"/>
        </w:rPr>
        <w:t>AIM</w:t>
      </w:r>
      <w:r w:rsidRPr="00283806">
        <w:rPr>
          <w:spacing w:val="40"/>
          <w:w w:val="105"/>
        </w:rPr>
        <w:t xml:space="preserve"> </w:t>
      </w:r>
      <w:r w:rsidRPr="00283806">
        <w:rPr>
          <w:w w:val="105"/>
        </w:rPr>
        <w:t>Act.</w:t>
      </w:r>
      <w:r w:rsidRPr="00283806">
        <w:rPr>
          <w:spacing w:val="40"/>
          <w:w w:val="105"/>
        </w:rPr>
        <w:t xml:space="preserve"> </w:t>
      </w:r>
      <w:r w:rsidRPr="00283806">
        <w:rPr>
          <w:w w:val="105"/>
        </w:rPr>
        <w:t>The</w:t>
      </w:r>
      <w:r w:rsidRPr="00283806">
        <w:rPr>
          <w:spacing w:val="40"/>
          <w:w w:val="105"/>
        </w:rPr>
        <w:t xml:space="preserve"> </w:t>
      </w:r>
      <w:r w:rsidRPr="00283806">
        <w:rPr>
          <w:w w:val="105"/>
        </w:rPr>
        <w:t>AIM</w:t>
      </w:r>
      <w:r w:rsidRPr="00283806">
        <w:rPr>
          <w:spacing w:val="40"/>
          <w:w w:val="105"/>
        </w:rPr>
        <w:t xml:space="preserve"> </w:t>
      </w:r>
      <w:r w:rsidRPr="00283806">
        <w:rPr>
          <w:w w:val="105"/>
        </w:rPr>
        <w:t>Act provides various grants of authority to EPA,</w:t>
      </w:r>
      <w:r w:rsidRPr="00283806">
        <w:rPr>
          <w:spacing w:val="40"/>
          <w:w w:val="105"/>
        </w:rPr>
        <w:t xml:space="preserve"> </w:t>
      </w:r>
      <w:r w:rsidRPr="00283806">
        <w:rPr>
          <w:w w:val="105"/>
        </w:rPr>
        <w:t>which,</w:t>
      </w:r>
      <w:r w:rsidRPr="00283806">
        <w:rPr>
          <w:spacing w:val="40"/>
          <w:w w:val="105"/>
        </w:rPr>
        <w:t xml:space="preserve"> </w:t>
      </w:r>
      <w:r w:rsidRPr="00283806">
        <w:rPr>
          <w:w w:val="105"/>
        </w:rPr>
        <w:t>while</w:t>
      </w:r>
      <w:r w:rsidRPr="00283806">
        <w:rPr>
          <w:spacing w:val="40"/>
          <w:w w:val="105"/>
        </w:rPr>
        <w:t xml:space="preserve"> </w:t>
      </w:r>
      <w:r w:rsidRPr="00283806">
        <w:rPr>
          <w:w w:val="105"/>
        </w:rPr>
        <w:t>separate</w:t>
      </w:r>
      <w:r w:rsidRPr="00283806">
        <w:rPr>
          <w:spacing w:val="40"/>
          <w:w w:val="105"/>
        </w:rPr>
        <w:t xml:space="preserve"> </w:t>
      </w:r>
      <w:r w:rsidRPr="00283806">
        <w:rPr>
          <w:w w:val="105"/>
        </w:rPr>
        <w:t>and</w:t>
      </w:r>
      <w:r w:rsidRPr="00283806">
        <w:rPr>
          <w:spacing w:val="40"/>
          <w:w w:val="105"/>
        </w:rPr>
        <w:t xml:space="preserve"> </w:t>
      </w:r>
      <w:r w:rsidRPr="00283806">
        <w:rPr>
          <w:w w:val="105"/>
        </w:rPr>
        <w:t>distinct, can be implemented in ways</w:t>
      </w:r>
      <w:r w:rsidRPr="00283806">
        <w:rPr>
          <w:spacing w:val="40"/>
          <w:w w:val="105"/>
        </w:rPr>
        <w:t xml:space="preserve"> </w:t>
      </w:r>
      <w:r w:rsidRPr="00283806">
        <w:rPr>
          <w:w w:val="105"/>
        </w:rPr>
        <w:t>that reinforce and complement one another. Under subsection (h), for purposes including maximizing reclaiming</w:t>
      </w:r>
      <w:r w:rsidRPr="00283806">
        <w:rPr>
          <w:spacing w:val="40"/>
          <w:w w:val="105"/>
        </w:rPr>
        <w:t xml:space="preserve"> </w:t>
      </w:r>
      <w:r w:rsidRPr="00283806">
        <w:rPr>
          <w:w w:val="105"/>
        </w:rPr>
        <w:t>and</w:t>
      </w:r>
      <w:r w:rsidRPr="00283806">
        <w:rPr>
          <w:spacing w:val="40"/>
          <w:w w:val="105"/>
        </w:rPr>
        <w:t xml:space="preserve"> </w:t>
      </w:r>
      <w:r w:rsidRPr="00283806">
        <w:rPr>
          <w:w w:val="105"/>
        </w:rPr>
        <w:t>minimizing</w:t>
      </w:r>
      <w:r w:rsidRPr="00283806">
        <w:rPr>
          <w:spacing w:val="40"/>
          <w:w w:val="105"/>
        </w:rPr>
        <w:t xml:space="preserve"> </w:t>
      </w:r>
      <w:r w:rsidRPr="00283806">
        <w:rPr>
          <w:w w:val="105"/>
        </w:rPr>
        <w:t>the</w:t>
      </w:r>
      <w:r w:rsidRPr="00283806">
        <w:rPr>
          <w:spacing w:val="40"/>
          <w:w w:val="105"/>
        </w:rPr>
        <w:t xml:space="preserve"> </w:t>
      </w:r>
      <w:r w:rsidRPr="00283806">
        <w:rPr>
          <w:w w:val="105"/>
        </w:rPr>
        <w:t>release of a regulated substance from</w:t>
      </w:r>
      <w:r w:rsidRPr="00283806">
        <w:rPr>
          <w:spacing w:val="40"/>
          <w:w w:val="105"/>
        </w:rPr>
        <w:t xml:space="preserve"> </w:t>
      </w:r>
      <w:r w:rsidRPr="00283806">
        <w:rPr>
          <w:w w:val="105"/>
        </w:rPr>
        <w:t>equipment, Congress directed the Administrator to promulgate regulations to control practices, processes, or activities regarding the servicing, repair, disposal, or installation of equipment</w:t>
      </w:r>
      <w:r w:rsidRPr="00283806">
        <w:rPr>
          <w:spacing w:val="40"/>
          <w:w w:val="105"/>
        </w:rPr>
        <w:t xml:space="preserve"> </w:t>
      </w:r>
      <w:r w:rsidRPr="00283806">
        <w:rPr>
          <w:w w:val="105"/>
        </w:rPr>
        <w:t xml:space="preserve">that involves a regulated </w:t>
      </w:r>
      <w:proofErr w:type="gramStart"/>
      <w:r w:rsidRPr="00283806">
        <w:rPr>
          <w:w w:val="105"/>
        </w:rPr>
        <w:t>substance</w:t>
      </w:r>
      <w:proofErr w:type="gramEnd"/>
      <w:r w:rsidRPr="00283806">
        <w:rPr>
          <w:w w:val="105"/>
        </w:rPr>
        <w:t xml:space="preserve"> and the reclaiming of a regulated substance used as a refrigerant. This final </w:t>
      </w:r>
      <w:proofErr w:type="gramStart"/>
      <w:r w:rsidRPr="00283806">
        <w:rPr>
          <w:w w:val="105"/>
        </w:rPr>
        <w:t>rule,</w:t>
      </w:r>
      <w:proofErr w:type="gramEnd"/>
      <w:r w:rsidRPr="00283806">
        <w:rPr>
          <w:w w:val="105"/>
        </w:rPr>
        <w:t xml:space="preserve"> </w:t>
      </w:r>
      <w:proofErr w:type="gramStart"/>
      <w:r w:rsidRPr="00283806">
        <w:rPr>
          <w:w w:val="105"/>
        </w:rPr>
        <w:t>including</w:t>
      </w:r>
      <w:proofErr w:type="gramEnd"/>
      <w:r w:rsidRPr="00283806">
        <w:rPr>
          <w:w w:val="105"/>
        </w:rPr>
        <w:t xml:space="preserve"> the requirements related to</w:t>
      </w:r>
      <w:r w:rsidRPr="00283806">
        <w:rPr>
          <w:spacing w:val="80"/>
          <w:w w:val="105"/>
        </w:rPr>
        <w:t xml:space="preserve"> </w:t>
      </w:r>
      <w:r w:rsidRPr="00283806">
        <w:rPr>
          <w:w w:val="105"/>
        </w:rPr>
        <w:t xml:space="preserve">the </w:t>
      </w:r>
      <w:proofErr w:type="gramStart"/>
      <w:r w:rsidRPr="00283806">
        <w:rPr>
          <w:w w:val="105"/>
        </w:rPr>
        <w:t>servicing</w:t>
      </w:r>
      <w:proofErr w:type="gramEnd"/>
      <w:r w:rsidRPr="00283806">
        <w:rPr>
          <w:w w:val="105"/>
        </w:rPr>
        <w:t xml:space="preserve"> and/or repair of</w:t>
      </w:r>
    </w:p>
    <w:p w14:paraId="1D9EB223" w14:textId="77777777" w:rsidR="00D67C1E" w:rsidRPr="00283806" w:rsidRDefault="001265CA">
      <w:pPr>
        <w:pStyle w:val="BodyText"/>
        <w:spacing w:line="228" w:lineRule="auto"/>
        <w:ind w:right="109"/>
      </w:pPr>
      <w:r w:rsidRPr="00283806">
        <w:rPr>
          <w:w w:val="105"/>
        </w:rPr>
        <w:t>refrigerant-containing equipment with reclaimed HFCs in certain RACHP subsectors, carries out this direction in subsection (h). The requirement for the servicing and/or repair of certain refrigerant-containing equipment with reclaimed HFCs controls a practice, process, or activity regarding the servicing or repair of equipment and involves a regulated substance or the reclaiming of a regulated substance.</w:t>
      </w:r>
    </w:p>
    <w:p w14:paraId="6C249871" w14:textId="77777777" w:rsidR="00D67C1E" w:rsidRPr="00283806" w:rsidRDefault="001265CA">
      <w:pPr>
        <w:pStyle w:val="BodyText"/>
        <w:spacing w:line="228" w:lineRule="auto"/>
        <w:ind w:right="74"/>
      </w:pPr>
      <w:r w:rsidRPr="00283806">
        <w:rPr>
          <w:w w:val="105"/>
        </w:rPr>
        <w:t xml:space="preserve">This requirement also supports and encourages </w:t>
      </w:r>
      <w:proofErr w:type="gramStart"/>
      <w:r w:rsidRPr="00283806">
        <w:rPr>
          <w:w w:val="105"/>
        </w:rPr>
        <w:t>reclamation</w:t>
      </w:r>
      <w:proofErr w:type="gramEnd"/>
      <w:r w:rsidRPr="00283806">
        <w:rPr>
          <w:w w:val="105"/>
        </w:rPr>
        <w:t xml:space="preserve"> of HFCs and thus is consistent with the purposes identified in subsection (h)(1).</w:t>
      </w:r>
    </w:p>
    <w:p w14:paraId="52F91BF0" w14:textId="77777777" w:rsidR="00D67C1E" w:rsidRPr="00283806" w:rsidRDefault="001265CA">
      <w:pPr>
        <w:pStyle w:val="BodyText"/>
        <w:spacing w:line="228" w:lineRule="auto"/>
        <w:ind w:right="26"/>
      </w:pPr>
      <w:r w:rsidRPr="00283806">
        <w:rPr>
          <w:w w:val="105"/>
        </w:rPr>
        <w:t xml:space="preserve">Accordingly, this requirement is within the scope of EPA’s authority under subsection (h). While this requirement regulates the activities of the person performing the servicing or repair by requiring that the refrigerant used during servicing or repair meet certain criteria, Congress did not limit EPA’s authority under (h)(1) to only servicing activities that are performed directly on equipment. Rather, as noted previously, Congress authorized EPA to regulate a broader scope of processes, practices or activities </w:t>
      </w:r>
      <w:r w:rsidRPr="00283806">
        <w:rPr>
          <w:rFonts w:ascii="Book Antiqua" w:hAnsi="Book Antiqua"/>
          <w:i/>
          <w:w w:val="105"/>
        </w:rPr>
        <w:t xml:space="preserve">regarding </w:t>
      </w:r>
      <w:r w:rsidRPr="00283806">
        <w:rPr>
          <w:w w:val="105"/>
        </w:rPr>
        <w:t>servicing, repair, disposal, or installation of equipment. The statutory term ‘‘regarding’’ is quite expansive and EPA interprets it broadly in this context. Selection of a refrigerant for servicing and/or repair is an important part of the servicing or repair process, as not all refrigerants are compatible with all equipment, and it is</w:t>
      </w:r>
    </w:p>
    <w:p w14:paraId="39B1ADD0" w14:textId="77777777" w:rsidR="00D67C1E" w:rsidRPr="00283806" w:rsidRDefault="001265CA">
      <w:pPr>
        <w:pStyle w:val="BodyText"/>
        <w:spacing w:before="136" w:line="223" w:lineRule="auto"/>
        <w:ind w:right="7"/>
      </w:pPr>
      <w:r w:rsidRPr="00283806">
        <w:br w:type="column"/>
      </w:r>
      <w:r w:rsidRPr="00283806">
        <w:rPr>
          <w:w w:val="105"/>
        </w:rPr>
        <w:t>designed to use only nonflammable refrigerants,</w:t>
      </w:r>
      <w:r w:rsidRPr="00283806">
        <w:rPr>
          <w:spacing w:val="-4"/>
          <w:w w:val="105"/>
        </w:rPr>
        <w:t xml:space="preserve"> </w:t>
      </w:r>
      <w:r w:rsidRPr="00283806">
        <w:rPr>
          <w:w w:val="105"/>
        </w:rPr>
        <w:t>so</w:t>
      </w:r>
      <w:r w:rsidRPr="00283806">
        <w:rPr>
          <w:spacing w:val="-4"/>
          <w:w w:val="105"/>
        </w:rPr>
        <w:t xml:space="preserve"> </w:t>
      </w:r>
      <w:r w:rsidRPr="00283806">
        <w:rPr>
          <w:w w:val="105"/>
        </w:rPr>
        <w:t>selecting</w:t>
      </w:r>
      <w:r w:rsidRPr="00283806">
        <w:rPr>
          <w:spacing w:val="-4"/>
          <w:w w:val="105"/>
        </w:rPr>
        <w:t xml:space="preserve"> </w:t>
      </w:r>
      <w:r w:rsidRPr="00283806">
        <w:rPr>
          <w:w w:val="105"/>
        </w:rPr>
        <w:t>the</w:t>
      </w:r>
      <w:r w:rsidRPr="00283806">
        <w:rPr>
          <w:spacing w:val="-4"/>
          <w:w w:val="105"/>
        </w:rPr>
        <w:t xml:space="preserve"> </w:t>
      </w:r>
      <w:r w:rsidRPr="00283806">
        <w:rPr>
          <w:w w:val="105"/>
        </w:rPr>
        <w:t>appropriate refrigerant for recharging such equipment after repair is a vital part of the repair process. The commenter’s hypothetical examples regarding EPA dictating the steel used in the refrigeration system or its energy efficiency are inapposite because</w:t>
      </w:r>
      <w:r w:rsidRPr="00283806">
        <w:rPr>
          <w:spacing w:val="80"/>
          <w:w w:val="105"/>
        </w:rPr>
        <w:t xml:space="preserve"> </w:t>
      </w:r>
      <w:r w:rsidRPr="00283806">
        <w:rPr>
          <w:w w:val="105"/>
        </w:rPr>
        <w:t>neither of those choices appear to</w:t>
      </w:r>
      <w:r w:rsidRPr="00283806">
        <w:rPr>
          <w:spacing w:val="40"/>
          <w:w w:val="105"/>
        </w:rPr>
        <w:t xml:space="preserve"> </w:t>
      </w:r>
      <w:r w:rsidRPr="00283806">
        <w:rPr>
          <w:w w:val="105"/>
        </w:rPr>
        <w:t xml:space="preserve">involve a regulated substance or substitute, nor the reclaiming of a regulated substance (or substitute) used as a refrigerant. </w:t>
      </w:r>
      <w:r w:rsidRPr="00283806">
        <w:rPr>
          <w:rFonts w:ascii="Book Antiqua" w:hAnsi="Book Antiqua"/>
          <w:i/>
          <w:w w:val="105"/>
        </w:rPr>
        <w:t xml:space="preserve">See </w:t>
      </w:r>
      <w:r w:rsidRPr="00283806">
        <w:rPr>
          <w:w w:val="105"/>
        </w:rPr>
        <w:t xml:space="preserve">subsection </w:t>
      </w:r>
      <w:r w:rsidRPr="00283806">
        <w:rPr>
          <w:spacing w:val="-2"/>
          <w:w w:val="105"/>
        </w:rPr>
        <w:t>(h)(1)(A)–(D).</w:t>
      </w:r>
    </w:p>
    <w:p w14:paraId="7065E66B" w14:textId="77777777" w:rsidR="00D67C1E" w:rsidRPr="00283806" w:rsidRDefault="001265CA">
      <w:pPr>
        <w:pStyle w:val="BodyText"/>
        <w:spacing w:before="1" w:line="225" w:lineRule="auto"/>
        <w:ind w:firstLine="180"/>
      </w:pPr>
      <w:r w:rsidRPr="00283806">
        <w:rPr>
          <w:w w:val="105"/>
        </w:rPr>
        <w:t>The limitation on selling, identifying,</w:t>
      </w:r>
      <w:r w:rsidRPr="00283806">
        <w:rPr>
          <w:spacing w:val="40"/>
          <w:w w:val="105"/>
        </w:rPr>
        <w:t xml:space="preserve"> </w:t>
      </w:r>
      <w:r w:rsidRPr="00283806">
        <w:rPr>
          <w:w w:val="105"/>
        </w:rPr>
        <w:t xml:space="preserve">or reporting a refrigerant as reclaimed unless it meets certain criteria helps ensure that the refrigerant used to comply with the requirements for reclaimed refrigerants </w:t>
      </w:r>
      <w:proofErr w:type="gramStart"/>
      <w:r w:rsidRPr="00283806">
        <w:rPr>
          <w:w w:val="105"/>
        </w:rPr>
        <w:t>actually contains</w:t>
      </w:r>
      <w:proofErr w:type="gramEnd"/>
      <w:r w:rsidRPr="00283806">
        <w:rPr>
          <w:w w:val="105"/>
        </w:rPr>
        <w:t xml:space="preserve"> HFCs that have had bona fide use in equipment and been recovered from equipment before being reclaimed. This provision helps ensure that the requirements in this final rule achieve their regulatory purposes of maximizing reclamation and minimizing release of HFCs from equipment. For instance, it gives assurance to a technician purchasing refrigerant for servicing equipment in a RACHP subsector</w:t>
      </w:r>
      <w:r w:rsidRPr="00283806">
        <w:rPr>
          <w:spacing w:val="80"/>
          <w:w w:val="150"/>
        </w:rPr>
        <w:t xml:space="preserve"> </w:t>
      </w:r>
      <w:r w:rsidRPr="00283806">
        <w:rPr>
          <w:w w:val="105"/>
        </w:rPr>
        <w:t xml:space="preserve">subject to the requirement to service with </w:t>
      </w:r>
      <w:proofErr w:type="gramStart"/>
      <w:r w:rsidRPr="00283806">
        <w:rPr>
          <w:w w:val="105"/>
        </w:rPr>
        <w:t>reclaimed refrigerant that</w:t>
      </w:r>
      <w:proofErr w:type="gramEnd"/>
      <w:r w:rsidRPr="00283806">
        <w:rPr>
          <w:w w:val="105"/>
        </w:rPr>
        <w:t xml:space="preserve"> refrigerant</w:t>
      </w:r>
      <w:r w:rsidRPr="00283806">
        <w:rPr>
          <w:spacing w:val="-5"/>
          <w:w w:val="105"/>
        </w:rPr>
        <w:t xml:space="preserve"> </w:t>
      </w:r>
      <w:r w:rsidRPr="00283806">
        <w:rPr>
          <w:w w:val="105"/>
        </w:rPr>
        <w:t>that</w:t>
      </w:r>
      <w:r w:rsidRPr="00283806">
        <w:rPr>
          <w:spacing w:val="-5"/>
          <w:w w:val="105"/>
        </w:rPr>
        <w:t xml:space="preserve"> </w:t>
      </w:r>
      <w:r w:rsidRPr="00283806">
        <w:rPr>
          <w:w w:val="105"/>
        </w:rPr>
        <w:t>is</w:t>
      </w:r>
      <w:r w:rsidRPr="00283806">
        <w:rPr>
          <w:spacing w:val="-5"/>
          <w:w w:val="105"/>
        </w:rPr>
        <w:t xml:space="preserve"> </w:t>
      </w:r>
      <w:r w:rsidRPr="00283806">
        <w:rPr>
          <w:w w:val="105"/>
        </w:rPr>
        <w:t>marketed</w:t>
      </w:r>
      <w:r w:rsidRPr="00283806">
        <w:rPr>
          <w:spacing w:val="-5"/>
          <w:w w:val="105"/>
        </w:rPr>
        <w:t xml:space="preserve"> </w:t>
      </w:r>
      <w:r w:rsidRPr="00283806">
        <w:rPr>
          <w:w w:val="105"/>
        </w:rPr>
        <w:t>as</w:t>
      </w:r>
      <w:r w:rsidRPr="00283806">
        <w:rPr>
          <w:spacing w:val="-5"/>
          <w:w w:val="105"/>
        </w:rPr>
        <w:t xml:space="preserve"> </w:t>
      </w:r>
      <w:r w:rsidRPr="00283806">
        <w:rPr>
          <w:w w:val="105"/>
        </w:rPr>
        <w:t xml:space="preserve">reclaimed refrigerant will meet EPA’s regulatory requirements. Under EPA’s interpretation of subsection (h), the practices, processes, or activities regulated by this provision have sufficient relation to servicing or repair of equipment to also be within the Agency’s authority under subsection (h)(1). Because EPA is not finalizing, </w:t>
      </w:r>
      <w:proofErr w:type="gramStart"/>
      <w:r w:rsidRPr="00283806">
        <w:rPr>
          <w:w w:val="105"/>
        </w:rPr>
        <w:t>at this time</w:t>
      </w:r>
      <w:proofErr w:type="gramEnd"/>
      <w:r w:rsidRPr="00283806">
        <w:rPr>
          <w:w w:val="105"/>
        </w:rPr>
        <w:t>, the proposed requirement for the initial fill of refrigerant-containing equipment with HFCs, it is not responding to comments concerning its authority for that provision.</w:t>
      </w:r>
    </w:p>
    <w:p w14:paraId="10457941" w14:textId="77777777" w:rsidR="00D67C1E" w:rsidRPr="00283806" w:rsidRDefault="001265CA">
      <w:pPr>
        <w:pStyle w:val="BodyText"/>
        <w:spacing w:line="168" w:lineRule="exact"/>
        <w:ind w:left="340"/>
      </w:pPr>
      <w:r w:rsidRPr="00283806">
        <w:rPr>
          <w:w w:val="105"/>
        </w:rPr>
        <w:t>Contrary</w:t>
      </w:r>
      <w:r w:rsidRPr="00283806">
        <w:rPr>
          <w:spacing w:val="4"/>
          <w:w w:val="105"/>
        </w:rPr>
        <w:t xml:space="preserve"> </w:t>
      </w:r>
      <w:r w:rsidRPr="00283806">
        <w:rPr>
          <w:w w:val="105"/>
        </w:rPr>
        <w:t>to</w:t>
      </w:r>
      <w:r w:rsidRPr="00283806">
        <w:rPr>
          <w:spacing w:val="5"/>
          <w:w w:val="105"/>
        </w:rPr>
        <w:t xml:space="preserve"> </w:t>
      </w:r>
      <w:r w:rsidRPr="00283806">
        <w:rPr>
          <w:w w:val="105"/>
        </w:rPr>
        <w:t>the</w:t>
      </w:r>
      <w:r w:rsidRPr="00283806">
        <w:rPr>
          <w:spacing w:val="4"/>
          <w:w w:val="105"/>
        </w:rPr>
        <w:t xml:space="preserve"> </w:t>
      </w:r>
      <w:r w:rsidRPr="00283806">
        <w:rPr>
          <w:spacing w:val="-2"/>
          <w:w w:val="105"/>
        </w:rPr>
        <w:t>commenters’</w:t>
      </w:r>
    </w:p>
    <w:p w14:paraId="5449791F" w14:textId="77777777" w:rsidR="00D67C1E" w:rsidRPr="00283806" w:rsidRDefault="001265CA">
      <w:pPr>
        <w:pStyle w:val="BodyText"/>
        <w:spacing w:line="225" w:lineRule="auto"/>
        <w:ind w:right="72"/>
      </w:pPr>
      <w:proofErr w:type="gramStart"/>
      <w:r w:rsidRPr="00283806">
        <w:rPr>
          <w:w w:val="105"/>
        </w:rPr>
        <w:t>assertions</w:t>
      </w:r>
      <w:proofErr w:type="gramEnd"/>
      <w:r w:rsidRPr="00283806">
        <w:rPr>
          <w:w w:val="105"/>
        </w:rPr>
        <w:t>, EPA further notes that this provision does not restrict the sale of all refrigerants in the marketplace, but rather only applies to those refrigerants that are being sold, identified or</w:t>
      </w:r>
      <w:r w:rsidRPr="00283806">
        <w:rPr>
          <w:spacing w:val="40"/>
          <w:w w:val="105"/>
        </w:rPr>
        <w:t xml:space="preserve"> </w:t>
      </w:r>
      <w:r w:rsidRPr="00283806">
        <w:rPr>
          <w:w w:val="105"/>
        </w:rPr>
        <w:t>reported as reclaimed. Further, these requirements do not mandate elimination of virgin gas from the</w:t>
      </w:r>
      <w:r w:rsidRPr="00283806">
        <w:rPr>
          <w:spacing w:val="80"/>
          <w:w w:val="150"/>
        </w:rPr>
        <w:t xml:space="preserve"> </w:t>
      </w:r>
      <w:r w:rsidRPr="00283806">
        <w:rPr>
          <w:w w:val="105"/>
        </w:rPr>
        <w:t>supply chain, but rather prevent it from being sold, identified, or reported as reclaimed refrigerant and limits its use</w:t>
      </w:r>
      <w:r w:rsidRPr="00283806">
        <w:rPr>
          <w:spacing w:val="40"/>
          <w:w w:val="105"/>
        </w:rPr>
        <w:t xml:space="preserve"> </w:t>
      </w:r>
      <w:r w:rsidRPr="00283806">
        <w:rPr>
          <w:w w:val="105"/>
        </w:rPr>
        <w:t>in servicing or repairing certain</w:t>
      </w:r>
    </w:p>
    <w:p w14:paraId="21B8712E" w14:textId="77777777" w:rsidR="00D67C1E" w:rsidRPr="00283806" w:rsidRDefault="001265CA">
      <w:pPr>
        <w:pStyle w:val="BodyText"/>
        <w:spacing w:before="134" w:line="225" w:lineRule="auto"/>
        <w:ind w:right="182"/>
      </w:pPr>
      <w:r w:rsidRPr="00283806">
        <w:br w:type="column"/>
      </w:r>
      <w:r w:rsidRPr="00283806">
        <w:rPr>
          <w:w w:val="105"/>
        </w:rPr>
        <w:t>subsection (h). Finally, EPA acknowledges the commenters’ suggested approaches to refrigerant management that it believes EPA should adopt. Some of those suggestions are consistent with regulations that EPA is finalizing in this action; others reflect approaches that EPA did not propose</w:t>
      </w:r>
      <w:r w:rsidRPr="00283806">
        <w:rPr>
          <w:spacing w:val="40"/>
          <w:w w:val="105"/>
        </w:rPr>
        <w:t xml:space="preserve"> </w:t>
      </w:r>
      <w:r w:rsidRPr="00283806">
        <w:rPr>
          <w:w w:val="105"/>
        </w:rPr>
        <w:t>and is not finalizing in this action, but which may be considered in the future under subsection (h).</w:t>
      </w:r>
    </w:p>
    <w:p w14:paraId="3BDAC029" w14:textId="77777777" w:rsidR="00D67C1E" w:rsidRPr="00283806" w:rsidRDefault="001265CA">
      <w:pPr>
        <w:spacing w:line="181" w:lineRule="exact"/>
        <w:ind w:left="340"/>
        <w:rPr>
          <w:sz w:val="18"/>
        </w:rPr>
      </w:pPr>
      <w:r w:rsidRPr="00283806">
        <w:rPr>
          <w:rFonts w:ascii="Book Antiqua"/>
          <w:i/>
          <w:w w:val="110"/>
          <w:sz w:val="18"/>
        </w:rPr>
        <w:t>Comment:</w:t>
      </w:r>
      <w:r w:rsidRPr="00283806">
        <w:rPr>
          <w:rFonts w:ascii="Book Antiqua"/>
          <w:i/>
          <w:spacing w:val="-11"/>
          <w:w w:val="110"/>
          <w:sz w:val="18"/>
        </w:rPr>
        <w:t xml:space="preserve"> </w:t>
      </w:r>
      <w:r w:rsidRPr="00283806">
        <w:rPr>
          <w:w w:val="110"/>
          <w:sz w:val="18"/>
        </w:rPr>
        <w:t>A</w:t>
      </w:r>
      <w:r w:rsidRPr="00283806">
        <w:rPr>
          <w:spacing w:val="-4"/>
          <w:w w:val="110"/>
          <w:sz w:val="18"/>
        </w:rPr>
        <w:t xml:space="preserve"> </w:t>
      </w:r>
      <w:r w:rsidRPr="00283806">
        <w:rPr>
          <w:w w:val="110"/>
          <w:sz w:val="18"/>
        </w:rPr>
        <w:t>few</w:t>
      </w:r>
      <w:r w:rsidRPr="00283806">
        <w:rPr>
          <w:spacing w:val="-5"/>
          <w:w w:val="110"/>
          <w:sz w:val="18"/>
        </w:rPr>
        <w:t xml:space="preserve"> </w:t>
      </w:r>
      <w:r w:rsidRPr="00283806">
        <w:rPr>
          <w:w w:val="110"/>
          <w:sz w:val="18"/>
        </w:rPr>
        <w:t>commenters</w:t>
      </w:r>
      <w:r w:rsidRPr="00283806">
        <w:rPr>
          <w:spacing w:val="-4"/>
          <w:w w:val="110"/>
          <w:sz w:val="18"/>
        </w:rPr>
        <w:t xml:space="preserve"> </w:t>
      </w:r>
      <w:r w:rsidRPr="00283806">
        <w:rPr>
          <w:spacing w:val="-2"/>
          <w:w w:val="110"/>
          <w:sz w:val="18"/>
        </w:rPr>
        <w:t>claimed</w:t>
      </w:r>
    </w:p>
    <w:p w14:paraId="520AC58D" w14:textId="77777777" w:rsidR="00D67C1E" w:rsidRPr="00283806" w:rsidRDefault="001265CA">
      <w:pPr>
        <w:pStyle w:val="BodyText"/>
        <w:spacing w:line="225" w:lineRule="auto"/>
        <w:ind w:right="182"/>
      </w:pPr>
      <w:r w:rsidRPr="00283806">
        <w:rPr>
          <w:w w:val="105"/>
        </w:rPr>
        <w:t>that the proposed rule, if finalized,</w:t>
      </w:r>
      <w:r w:rsidRPr="00283806">
        <w:rPr>
          <w:spacing w:val="40"/>
          <w:w w:val="105"/>
        </w:rPr>
        <w:t xml:space="preserve"> </w:t>
      </w:r>
      <w:r w:rsidRPr="00283806">
        <w:rPr>
          <w:w w:val="105"/>
        </w:rPr>
        <w:t>would improperly accelerate the phasedown of HFC production and import for specific sectors by restricting HFC use in those sectors to 15 percent</w:t>
      </w:r>
      <w:r w:rsidRPr="00283806">
        <w:rPr>
          <w:spacing w:val="80"/>
          <w:w w:val="105"/>
        </w:rPr>
        <w:t xml:space="preserve"> </w:t>
      </w:r>
      <w:r w:rsidRPr="00283806">
        <w:rPr>
          <w:w w:val="105"/>
        </w:rPr>
        <w:t>of (baseline) levels for repair and servicing in contravention to the AIM</w:t>
      </w:r>
      <w:r w:rsidRPr="00283806">
        <w:rPr>
          <w:spacing w:val="40"/>
          <w:w w:val="105"/>
        </w:rPr>
        <w:t xml:space="preserve"> </w:t>
      </w:r>
      <w:r w:rsidRPr="00283806">
        <w:rPr>
          <w:w w:val="105"/>
        </w:rPr>
        <w:t>Act and the HFC phasedown</w:t>
      </w:r>
      <w:r w:rsidRPr="00283806">
        <w:rPr>
          <w:spacing w:val="80"/>
          <w:w w:val="105"/>
        </w:rPr>
        <w:t xml:space="preserve"> </w:t>
      </w:r>
      <w:r w:rsidRPr="00283806">
        <w:rPr>
          <w:w w:val="105"/>
        </w:rPr>
        <w:t>regulations. The commenters claimed that the proposed rule effectively mandates an 85 percent reduction of production and import of HFCs for use</w:t>
      </w:r>
      <w:r w:rsidRPr="00283806">
        <w:rPr>
          <w:spacing w:val="80"/>
          <w:w w:val="105"/>
        </w:rPr>
        <w:t xml:space="preserve"> </w:t>
      </w:r>
      <w:r w:rsidRPr="00283806">
        <w:rPr>
          <w:w w:val="105"/>
        </w:rPr>
        <w:t>in those sectors by 2028, which is substantially faster than the 40 percent reduction in 2028 required by the AIM Act.</w:t>
      </w:r>
      <w:r w:rsidRPr="00283806">
        <w:rPr>
          <w:w w:val="105"/>
          <w:position w:val="5"/>
          <w:sz w:val="11"/>
        </w:rPr>
        <w:t>114</w:t>
      </w:r>
      <w:r w:rsidRPr="00283806">
        <w:rPr>
          <w:spacing w:val="40"/>
          <w:w w:val="105"/>
          <w:position w:val="5"/>
          <w:sz w:val="11"/>
        </w:rPr>
        <w:t xml:space="preserve"> </w:t>
      </w:r>
      <w:r w:rsidRPr="00283806">
        <w:rPr>
          <w:w w:val="105"/>
        </w:rPr>
        <w:t>While the commenters</w:t>
      </w:r>
      <w:r w:rsidRPr="00283806">
        <w:rPr>
          <w:spacing w:val="40"/>
          <w:w w:val="105"/>
        </w:rPr>
        <w:t xml:space="preserve"> </w:t>
      </w:r>
      <w:r w:rsidRPr="00283806">
        <w:rPr>
          <w:w w:val="105"/>
        </w:rPr>
        <w:t>recognized that the proposed acceleration is limited to certain subsectors and activities, the practical implications are much broader because HFCs are specific to end-use. The commenters requested that EPA reconsider the reclaim requirements because the AIM Act does not authorize such an acceleration of the HFC phasedown in these sectors; there is not sufficient evidence that supply of reclaimed HFCs can meet demand for</w:t>
      </w:r>
      <w:r w:rsidRPr="00283806">
        <w:rPr>
          <w:spacing w:val="40"/>
          <w:w w:val="105"/>
        </w:rPr>
        <w:t xml:space="preserve"> </w:t>
      </w:r>
      <w:r w:rsidRPr="00283806">
        <w:rPr>
          <w:w w:val="105"/>
        </w:rPr>
        <w:t>the specific sectors; and the mandate</w:t>
      </w:r>
      <w:r w:rsidRPr="00283806">
        <w:rPr>
          <w:spacing w:val="40"/>
          <w:w w:val="105"/>
        </w:rPr>
        <w:t xml:space="preserve"> </w:t>
      </w:r>
      <w:r w:rsidRPr="00283806">
        <w:rPr>
          <w:w w:val="105"/>
        </w:rPr>
        <w:t>will increase HFC prices in the sectors, resulting in harm to consumers.</w:t>
      </w:r>
    </w:p>
    <w:p w14:paraId="02499834" w14:textId="77777777" w:rsidR="00D67C1E" w:rsidRPr="00283806" w:rsidRDefault="001265CA">
      <w:pPr>
        <w:pStyle w:val="BodyText"/>
        <w:spacing w:line="176" w:lineRule="exact"/>
        <w:ind w:left="340"/>
      </w:pPr>
      <w:r w:rsidRPr="00283806">
        <w:rPr>
          <w:w w:val="105"/>
        </w:rPr>
        <w:t>Another</w:t>
      </w:r>
      <w:r w:rsidRPr="00283806">
        <w:rPr>
          <w:spacing w:val="4"/>
          <w:w w:val="105"/>
        </w:rPr>
        <w:t xml:space="preserve"> </w:t>
      </w:r>
      <w:r w:rsidRPr="00283806">
        <w:rPr>
          <w:w w:val="105"/>
        </w:rPr>
        <w:t>commenter</w:t>
      </w:r>
      <w:r w:rsidRPr="00283806">
        <w:rPr>
          <w:spacing w:val="4"/>
          <w:w w:val="105"/>
        </w:rPr>
        <w:t xml:space="preserve"> </w:t>
      </w:r>
      <w:r w:rsidRPr="00283806">
        <w:rPr>
          <w:w w:val="105"/>
        </w:rPr>
        <w:t>stated</w:t>
      </w:r>
      <w:r w:rsidRPr="00283806">
        <w:rPr>
          <w:spacing w:val="4"/>
          <w:w w:val="105"/>
        </w:rPr>
        <w:t xml:space="preserve"> </w:t>
      </w:r>
      <w:r w:rsidRPr="00283806">
        <w:rPr>
          <w:w w:val="105"/>
        </w:rPr>
        <w:t>that</w:t>
      </w:r>
      <w:r w:rsidRPr="00283806">
        <w:rPr>
          <w:spacing w:val="4"/>
          <w:w w:val="105"/>
        </w:rPr>
        <w:t xml:space="preserve"> </w:t>
      </w:r>
      <w:r w:rsidRPr="00283806">
        <w:rPr>
          <w:spacing w:val="-5"/>
          <w:w w:val="105"/>
        </w:rPr>
        <w:t>the</w:t>
      </w:r>
    </w:p>
    <w:p w14:paraId="5C60BE88" w14:textId="77777777" w:rsidR="00D67C1E" w:rsidRPr="00283806" w:rsidRDefault="001265CA">
      <w:pPr>
        <w:pStyle w:val="BodyText"/>
        <w:spacing w:line="200" w:lineRule="exact"/>
        <w:ind w:right="221"/>
      </w:pPr>
      <w:r w:rsidRPr="00283806">
        <w:rPr>
          <w:w w:val="105"/>
        </w:rPr>
        <w:t>possible outcome suggested in the Draft RIA addendum for the proposed rule</w:t>
      </w:r>
      <w:r w:rsidRPr="00283806">
        <w:rPr>
          <w:spacing w:val="80"/>
          <w:w w:val="105"/>
        </w:rPr>
        <w:t xml:space="preserve"> </w:t>
      </w:r>
      <w:r w:rsidRPr="00283806">
        <w:rPr>
          <w:w w:val="105"/>
        </w:rPr>
        <w:t>that the requirements for the use of reclaimed HFCs in refrigerant-</w:t>
      </w:r>
      <w:r w:rsidRPr="00283806">
        <w:rPr>
          <w:spacing w:val="40"/>
          <w:w w:val="105"/>
        </w:rPr>
        <w:t xml:space="preserve"> </w:t>
      </w:r>
      <w:r w:rsidRPr="00283806">
        <w:rPr>
          <w:w w:val="105"/>
        </w:rPr>
        <w:t>containing equipment in certain RACHP subsectors would reduce the need for production of refrigerant. Further, the commenter cited that the high additionality case in the Draft RIA addendum showed environmental benefits related to reduced</w:t>
      </w:r>
      <w:r w:rsidRPr="00283806">
        <w:rPr>
          <w:spacing w:val="80"/>
          <w:w w:val="105"/>
        </w:rPr>
        <w:t xml:space="preserve"> </w:t>
      </w:r>
      <w:r w:rsidRPr="00283806">
        <w:rPr>
          <w:w w:val="105"/>
        </w:rPr>
        <w:t>consumption. The commenter stated</w:t>
      </w:r>
      <w:r w:rsidRPr="00283806">
        <w:rPr>
          <w:spacing w:val="80"/>
          <w:w w:val="105"/>
        </w:rPr>
        <w:t xml:space="preserve"> </w:t>
      </w:r>
      <w:r w:rsidRPr="00283806">
        <w:rPr>
          <w:w w:val="105"/>
        </w:rPr>
        <w:t>that to the extent that occurs, it would</w:t>
      </w:r>
      <w:r w:rsidRPr="00283806">
        <w:rPr>
          <w:spacing w:val="80"/>
          <w:w w:val="105"/>
        </w:rPr>
        <w:t xml:space="preserve"> </w:t>
      </w:r>
      <w:r w:rsidRPr="00283806">
        <w:rPr>
          <w:w w:val="105"/>
        </w:rPr>
        <w:t>be an improper acceleration of the phasedown in contravention with subsection (f). The commenter,</w:t>
      </w:r>
      <w:r w:rsidRPr="00283806">
        <w:rPr>
          <w:spacing w:val="80"/>
          <w:w w:val="105"/>
        </w:rPr>
        <w:t xml:space="preserve"> </w:t>
      </w:r>
      <w:r w:rsidRPr="00283806">
        <w:rPr>
          <w:w w:val="105"/>
        </w:rPr>
        <w:t>however, also suggested that EPA separately consider accelerating the</w:t>
      </w:r>
    </w:p>
    <w:p w14:paraId="067A57BB" w14:textId="77777777" w:rsidR="00D67C1E" w:rsidRPr="00283806" w:rsidRDefault="00D67C1E">
      <w:pPr>
        <w:spacing w:line="200" w:lineRule="exact"/>
        <w:sectPr w:rsidR="00D67C1E" w:rsidRPr="00283806">
          <w:pgSz w:w="12240" w:h="15840"/>
          <w:pgMar w:top="1040" w:right="780" w:bottom="280" w:left="740" w:header="627" w:footer="0" w:gutter="0"/>
          <w:cols w:num="3" w:space="720" w:equalWidth="0">
            <w:col w:w="3498" w:space="42"/>
            <w:col w:w="3486" w:space="54"/>
            <w:col w:w="3640"/>
          </w:cols>
        </w:sectPr>
      </w:pPr>
    </w:p>
    <w:p w14:paraId="1E844FC4" w14:textId="77777777" w:rsidR="00D67C1E" w:rsidRPr="00283806" w:rsidRDefault="001265CA">
      <w:pPr>
        <w:pStyle w:val="BodyText"/>
        <w:tabs>
          <w:tab w:val="left" w:pos="3700"/>
          <w:tab w:val="left" w:pos="7239"/>
          <w:tab w:val="left" w:pos="8239"/>
        </w:tabs>
        <w:spacing w:line="142" w:lineRule="exact"/>
      </w:pPr>
      <w:r w:rsidRPr="00283806">
        <w:rPr>
          <w:position w:val="1"/>
        </w:rPr>
        <w:t>critical</w:t>
      </w:r>
      <w:r w:rsidRPr="00283806">
        <w:rPr>
          <w:spacing w:val="28"/>
          <w:position w:val="1"/>
        </w:rPr>
        <w:t xml:space="preserve"> </w:t>
      </w:r>
      <w:r w:rsidRPr="00283806">
        <w:rPr>
          <w:position w:val="1"/>
        </w:rPr>
        <w:t>to</w:t>
      </w:r>
      <w:r w:rsidRPr="00283806">
        <w:rPr>
          <w:spacing w:val="28"/>
          <w:position w:val="1"/>
        </w:rPr>
        <w:t xml:space="preserve"> </w:t>
      </w:r>
      <w:r w:rsidRPr="00283806">
        <w:rPr>
          <w:position w:val="1"/>
        </w:rPr>
        <w:t>select</w:t>
      </w:r>
      <w:r w:rsidRPr="00283806">
        <w:rPr>
          <w:spacing w:val="28"/>
          <w:position w:val="1"/>
        </w:rPr>
        <w:t xml:space="preserve"> </w:t>
      </w:r>
      <w:r w:rsidRPr="00283806">
        <w:rPr>
          <w:position w:val="1"/>
        </w:rPr>
        <w:t>a</w:t>
      </w:r>
      <w:r w:rsidRPr="00283806">
        <w:rPr>
          <w:spacing w:val="28"/>
          <w:position w:val="1"/>
        </w:rPr>
        <w:t xml:space="preserve"> </w:t>
      </w:r>
      <w:r w:rsidRPr="00283806">
        <w:rPr>
          <w:position w:val="1"/>
        </w:rPr>
        <w:t>refrigerant</w:t>
      </w:r>
      <w:r w:rsidRPr="00283806">
        <w:rPr>
          <w:spacing w:val="29"/>
          <w:position w:val="1"/>
        </w:rPr>
        <w:t xml:space="preserve"> </w:t>
      </w:r>
      <w:r w:rsidRPr="00283806">
        <w:rPr>
          <w:spacing w:val="-5"/>
          <w:position w:val="1"/>
        </w:rPr>
        <w:t>for</w:t>
      </w:r>
      <w:r w:rsidRPr="00283806">
        <w:rPr>
          <w:position w:val="1"/>
        </w:rPr>
        <w:tab/>
      </w:r>
      <w:r w:rsidRPr="00283806">
        <w:rPr>
          <w:spacing w:val="2"/>
        </w:rPr>
        <w:t>refrigerant-containing</w:t>
      </w:r>
      <w:r w:rsidRPr="00283806">
        <w:rPr>
          <w:spacing w:val="33"/>
        </w:rPr>
        <w:t xml:space="preserve"> </w:t>
      </w:r>
      <w:r w:rsidRPr="00283806">
        <w:rPr>
          <w:spacing w:val="-2"/>
        </w:rPr>
        <w:t>appliances.</w:t>
      </w:r>
      <w:r w:rsidRPr="00283806">
        <w:tab/>
      </w:r>
      <w:r w:rsidRPr="00283806">
        <w:rPr>
          <w:u w:val="single"/>
        </w:rPr>
        <w:tab/>
      </w:r>
    </w:p>
    <w:p w14:paraId="54F4D9D5" w14:textId="77777777" w:rsidR="00D67C1E" w:rsidRPr="00283806" w:rsidRDefault="00D67C1E">
      <w:pPr>
        <w:spacing w:line="142" w:lineRule="exact"/>
        <w:sectPr w:rsidR="00D67C1E" w:rsidRPr="00283806">
          <w:type w:val="continuous"/>
          <w:pgSz w:w="12240" w:h="15840"/>
          <w:pgMar w:top="880" w:right="780" w:bottom="280" w:left="740" w:header="627" w:footer="0" w:gutter="0"/>
          <w:cols w:space="720"/>
        </w:sectPr>
      </w:pPr>
    </w:p>
    <w:p w14:paraId="5055B318" w14:textId="77777777" w:rsidR="00D67C1E" w:rsidRPr="00283806" w:rsidRDefault="001265CA">
      <w:pPr>
        <w:pStyle w:val="BodyText"/>
        <w:spacing w:before="9" w:line="228" w:lineRule="auto"/>
        <w:ind w:right="38"/>
      </w:pPr>
      <w:r w:rsidRPr="00283806">
        <w:rPr>
          <w:w w:val="105"/>
        </w:rPr>
        <w:t>servicing or repair that can appropriately be used with the equipment being serviced or repaired. For example, it would not be appropriate to use a flammable refrigerant in equipment that is</w:t>
      </w:r>
    </w:p>
    <w:p w14:paraId="02C47D15" w14:textId="77777777" w:rsidR="00D67C1E" w:rsidRPr="00283806" w:rsidRDefault="001265CA">
      <w:pPr>
        <w:pStyle w:val="BodyText"/>
        <w:spacing w:before="16" w:line="225" w:lineRule="auto"/>
        <w:ind w:right="17"/>
      </w:pPr>
      <w:r w:rsidRPr="00283806">
        <w:br w:type="column"/>
      </w:r>
      <w:r w:rsidRPr="00283806">
        <w:rPr>
          <w:w w:val="105"/>
        </w:rPr>
        <w:t>Moreover, this final rule does not reflect an approach that would ‘‘trump the allowance program and technology transition provisions’’ but rather</w:t>
      </w:r>
      <w:r w:rsidRPr="00283806">
        <w:rPr>
          <w:spacing w:val="40"/>
          <w:w w:val="105"/>
        </w:rPr>
        <w:t xml:space="preserve"> </w:t>
      </w:r>
      <w:r w:rsidRPr="00283806">
        <w:rPr>
          <w:w w:val="105"/>
        </w:rPr>
        <w:t>contains requirements that are designed to serve the direction and purposes in</w:t>
      </w:r>
    </w:p>
    <w:p w14:paraId="46FF4E8B" w14:textId="77777777" w:rsidR="00D67C1E" w:rsidRPr="00283806" w:rsidRDefault="001265CA">
      <w:pPr>
        <w:spacing w:before="81" w:line="232" w:lineRule="auto"/>
        <w:ind w:left="160" w:right="174" w:firstLine="140"/>
        <w:rPr>
          <w:sz w:val="14"/>
        </w:rPr>
      </w:pPr>
      <w:r w:rsidRPr="00283806">
        <w:br w:type="column"/>
      </w:r>
      <w:r w:rsidRPr="00283806">
        <w:rPr>
          <w:w w:val="105"/>
          <w:position w:val="4"/>
          <w:sz w:val="9"/>
        </w:rPr>
        <w:t xml:space="preserve">114 </w:t>
      </w:r>
      <w:r w:rsidRPr="00283806">
        <w:rPr>
          <w:w w:val="105"/>
          <w:sz w:val="14"/>
        </w:rPr>
        <w:t>EPA is clarifying the commenters’</w:t>
      </w:r>
      <w:r w:rsidRPr="00283806">
        <w:rPr>
          <w:spacing w:val="40"/>
          <w:w w:val="105"/>
          <w:sz w:val="14"/>
        </w:rPr>
        <w:t xml:space="preserve"> </w:t>
      </w:r>
      <w:r w:rsidRPr="00283806">
        <w:rPr>
          <w:w w:val="105"/>
          <w:sz w:val="14"/>
        </w:rPr>
        <w:t>characterization of the phasedown on the</w:t>
      </w:r>
      <w:r w:rsidRPr="00283806">
        <w:rPr>
          <w:spacing w:val="40"/>
          <w:w w:val="105"/>
          <w:sz w:val="14"/>
        </w:rPr>
        <w:t xml:space="preserve"> </w:t>
      </w:r>
      <w:r w:rsidRPr="00283806">
        <w:rPr>
          <w:w w:val="105"/>
          <w:sz w:val="14"/>
        </w:rPr>
        <w:t>production</w:t>
      </w:r>
      <w:r w:rsidRPr="00283806">
        <w:rPr>
          <w:spacing w:val="36"/>
          <w:w w:val="105"/>
          <w:sz w:val="14"/>
        </w:rPr>
        <w:t xml:space="preserve"> </w:t>
      </w:r>
      <w:r w:rsidRPr="00283806">
        <w:rPr>
          <w:w w:val="105"/>
          <w:sz w:val="14"/>
        </w:rPr>
        <w:t>and</w:t>
      </w:r>
      <w:r w:rsidRPr="00283806">
        <w:rPr>
          <w:spacing w:val="36"/>
          <w:w w:val="105"/>
          <w:sz w:val="14"/>
        </w:rPr>
        <w:t xml:space="preserve"> </w:t>
      </w:r>
      <w:r w:rsidRPr="00283806">
        <w:rPr>
          <w:w w:val="105"/>
          <w:sz w:val="14"/>
        </w:rPr>
        <w:t>consumption</w:t>
      </w:r>
      <w:r w:rsidRPr="00283806">
        <w:rPr>
          <w:spacing w:val="36"/>
          <w:w w:val="105"/>
          <w:sz w:val="14"/>
        </w:rPr>
        <w:t xml:space="preserve"> </w:t>
      </w:r>
      <w:r w:rsidRPr="00283806">
        <w:rPr>
          <w:w w:val="105"/>
          <w:sz w:val="14"/>
        </w:rPr>
        <w:t>of</w:t>
      </w:r>
      <w:r w:rsidRPr="00283806">
        <w:rPr>
          <w:spacing w:val="36"/>
          <w:w w:val="105"/>
          <w:sz w:val="14"/>
        </w:rPr>
        <w:t xml:space="preserve"> </w:t>
      </w:r>
      <w:r w:rsidRPr="00283806">
        <w:rPr>
          <w:w w:val="105"/>
          <w:sz w:val="14"/>
        </w:rPr>
        <w:t>HFCs</w:t>
      </w:r>
      <w:r w:rsidRPr="00283806">
        <w:rPr>
          <w:spacing w:val="36"/>
          <w:w w:val="105"/>
          <w:sz w:val="14"/>
        </w:rPr>
        <w:t xml:space="preserve"> </w:t>
      </w:r>
      <w:r w:rsidRPr="00283806">
        <w:rPr>
          <w:w w:val="105"/>
          <w:sz w:val="14"/>
        </w:rPr>
        <w:t>under</w:t>
      </w:r>
      <w:r w:rsidRPr="00283806">
        <w:rPr>
          <w:spacing w:val="36"/>
          <w:w w:val="105"/>
          <w:sz w:val="14"/>
        </w:rPr>
        <w:t xml:space="preserve"> </w:t>
      </w:r>
      <w:r w:rsidRPr="00283806">
        <w:rPr>
          <w:w w:val="105"/>
          <w:sz w:val="14"/>
        </w:rPr>
        <w:t>the</w:t>
      </w:r>
      <w:r w:rsidRPr="00283806">
        <w:rPr>
          <w:spacing w:val="40"/>
          <w:w w:val="105"/>
          <w:sz w:val="14"/>
        </w:rPr>
        <w:t xml:space="preserve"> </w:t>
      </w:r>
      <w:r w:rsidRPr="00283806">
        <w:rPr>
          <w:w w:val="105"/>
          <w:sz w:val="14"/>
        </w:rPr>
        <w:t>AIM Act. The phasedown requires a 40 percent</w:t>
      </w:r>
      <w:r w:rsidRPr="00283806">
        <w:rPr>
          <w:spacing w:val="40"/>
          <w:w w:val="105"/>
          <w:sz w:val="14"/>
        </w:rPr>
        <w:t xml:space="preserve"> </w:t>
      </w:r>
      <w:r w:rsidRPr="00283806">
        <w:rPr>
          <w:w w:val="105"/>
          <w:sz w:val="14"/>
        </w:rPr>
        <w:t>reduction from the baseline in 2024 (</w:t>
      </w:r>
      <w:r w:rsidRPr="00283806">
        <w:rPr>
          <w:rFonts w:ascii="Book Antiqua" w:hAnsi="Book Antiqua"/>
          <w:i/>
          <w:w w:val="105"/>
          <w:sz w:val="14"/>
        </w:rPr>
        <w:t>i.e.,</w:t>
      </w:r>
      <w:r w:rsidRPr="00283806">
        <w:rPr>
          <w:rFonts w:ascii="Book Antiqua" w:hAnsi="Book Antiqua"/>
          <w:i/>
          <w:spacing w:val="-1"/>
          <w:w w:val="105"/>
          <w:sz w:val="14"/>
        </w:rPr>
        <w:t xml:space="preserve"> </w:t>
      </w:r>
      <w:r w:rsidRPr="00283806">
        <w:rPr>
          <w:w w:val="105"/>
          <w:sz w:val="14"/>
        </w:rPr>
        <w:t>60 percent</w:t>
      </w:r>
      <w:r w:rsidRPr="00283806">
        <w:rPr>
          <w:spacing w:val="40"/>
          <w:w w:val="105"/>
          <w:sz w:val="14"/>
        </w:rPr>
        <w:t xml:space="preserve"> </w:t>
      </w:r>
      <w:r w:rsidRPr="00283806">
        <w:rPr>
          <w:w w:val="105"/>
          <w:sz w:val="14"/>
        </w:rPr>
        <w:t>of the baseline) and a 70 percent reduction from the</w:t>
      </w:r>
      <w:r w:rsidRPr="00283806">
        <w:rPr>
          <w:spacing w:val="40"/>
          <w:w w:val="105"/>
          <w:sz w:val="14"/>
        </w:rPr>
        <w:t xml:space="preserve"> </w:t>
      </w:r>
      <w:r w:rsidRPr="00283806">
        <w:rPr>
          <w:w w:val="105"/>
          <w:sz w:val="14"/>
        </w:rPr>
        <w:t>baseline in 2029 (</w:t>
      </w:r>
      <w:r w:rsidRPr="00283806">
        <w:rPr>
          <w:rFonts w:ascii="Book Antiqua" w:hAnsi="Book Antiqua"/>
          <w:i/>
          <w:w w:val="105"/>
          <w:sz w:val="14"/>
        </w:rPr>
        <w:t xml:space="preserve">i.e., </w:t>
      </w:r>
      <w:r w:rsidRPr="00283806">
        <w:rPr>
          <w:w w:val="105"/>
          <w:sz w:val="14"/>
        </w:rPr>
        <w:t>30 percent of the baseline).</w:t>
      </w:r>
    </w:p>
    <w:p w14:paraId="4B750204" w14:textId="77777777" w:rsidR="00D67C1E" w:rsidRPr="00283806" w:rsidRDefault="00D67C1E">
      <w:pPr>
        <w:spacing w:line="232" w:lineRule="auto"/>
        <w:rPr>
          <w:sz w:val="14"/>
        </w:rPr>
        <w:sectPr w:rsidR="00D67C1E" w:rsidRPr="00283806">
          <w:type w:val="continuous"/>
          <w:pgSz w:w="12240" w:h="15840"/>
          <w:pgMar w:top="880" w:right="780" w:bottom="280" w:left="740" w:header="627" w:footer="0" w:gutter="0"/>
          <w:cols w:num="3" w:space="720" w:equalWidth="0">
            <w:col w:w="3338" w:space="202"/>
            <w:col w:w="3486" w:space="54"/>
            <w:col w:w="3640"/>
          </w:cols>
        </w:sectPr>
      </w:pPr>
    </w:p>
    <w:p w14:paraId="62DB23ED" w14:textId="77777777" w:rsidR="00D67C1E" w:rsidRPr="00283806" w:rsidRDefault="001265CA">
      <w:pPr>
        <w:pStyle w:val="BodyText"/>
        <w:spacing w:before="126" w:line="206" w:lineRule="exact"/>
      </w:pPr>
      <w:r w:rsidRPr="00283806">
        <w:rPr>
          <w:w w:val="105"/>
        </w:rPr>
        <w:lastRenderedPageBreak/>
        <w:t>HFC</w:t>
      </w:r>
      <w:r w:rsidRPr="00283806">
        <w:rPr>
          <w:spacing w:val="18"/>
          <w:w w:val="105"/>
        </w:rPr>
        <w:t xml:space="preserve"> </w:t>
      </w:r>
      <w:r w:rsidRPr="00283806">
        <w:rPr>
          <w:w w:val="105"/>
        </w:rPr>
        <w:t>phasedown</w:t>
      </w:r>
      <w:r w:rsidRPr="00283806">
        <w:rPr>
          <w:spacing w:val="18"/>
          <w:w w:val="105"/>
        </w:rPr>
        <w:t xml:space="preserve"> </w:t>
      </w:r>
      <w:r w:rsidRPr="00283806">
        <w:rPr>
          <w:w w:val="105"/>
        </w:rPr>
        <w:t>pursuant</w:t>
      </w:r>
      <w:r w:rsidRPr="00283806">
        <w:rPr>
          <w:spacing w:val="18"/>
          <w:w w:val="105"/>
        </w:rPr>
        <w:t xml:space="preserve"> </w:t>
      </w:r>
      <w:r w:rsidRPr="00283806">
        <w:rPr>
          <w:w w:val="105"/>
        </w:rPr>
        <w:t>to</w:t>
      </w:r>
      <w:r w:rsidRPr="00283806">
        <w:rPr>
          <w:spacing w:val="19"/>
          <w:w w:val="105"/>
        </w:rPr>
        <w:t xml:space="preserve"> </w:t>
      </w:r>
      <w:r w:rsidRPr="00283806">
        <w:rPr>
          <w:spacing w:val="-2"/>
          <w:w w:val="105"/>
        </w:rPr>
        <w:t>subsection</w:t>
      </w:r>
    </w:p>
    <w:p w14:paraId="0BFE1816" w14:textId="77777777" w:rsidR="00D67C1E" w:rsidRPr="00283806" w:rsidRDefault="001265CA">
      <w:pPr>
        <w:pStyle w:val="BodyText"/>
        <w:spacing w:before="3" w:line="228" w:lineRule="auto"/>
        <w:ind w:right="1"/>
      </w:pPr>
      <w:r w:rsidRPr="00283806">
        <w:rPr>
          <w:w w:val="105"/>
        </w:rPr>
        <w:t>(f) as a means of supporting reclamation. The commenter stated that there currently is an excess of HFCs available</w:t>
      </w:r>
      <w:r w:rsidRPr="00283806">
        <w:rPr>
          <w:spacing w:val="80"/>
          <w:w w:val="105"/>
        </w:rPr>
        <w:t xml:space="preserve"> </w:t>
      </w:r>
      <w:r w:rsidRPr="00283806">
        <w:rPr>
          <w:w w:val="105"/>
        </w:rPr>
        <w:t>in the market due to stockpiling and soft demand for RACHP equipment. The commenter mentioned that the current over-supply of HFCs discourages reclamation. The commenter suggested that a 10 percent step-down in each of 2027, 2028, and 2029 would help</w:t>
      </w:r>
      <w:r w:rsidRPr="00283806">
        <w:rPr>
          <w:spacing w:val="40"/>
          <w:w w:val="105"/>
        </w:rPr>
        <w:t xml:space="preserve"> </w:t>
      </w:r>
      <w:r w:rsidRPr="00283806">
        <w:rPr>
          <w:w w:val="105"/>
        </w:rPr>
        <w:t>prevent the shock of a sudden drop in supply and encourage reclamation.</w:t>
      </w:r>
    </w:p>
    <w:p w14:paraId="2DEEC76E" w14:textId="77777777" w:rsidR="00D67C1E" w:rsidRPr="00283806" w:rsidRDefault="001265CA">
      <w:pPr>
        <w:pStyle w:val="BodyText"/>
        <w:spacing w:before="35" w:line="225" w:lineRule="auto"/>
        <w:ind w:right="63" w:firstLine="180"/>
      </w:pPr>
      <w:r w:rsidRPr="00283806">
        <w:rPr>
          <w:rFonts w:ascii="Book Antiqua"/>
          <w:i/>
          <w:w w:val="105"/>
        </w:rPr>
        <w:t xml:space="preserve">Response: </w:t>
      </w:r>
      <w:r w:rsidRPr="00283806">
        <w:rPr>
          <w:w w:val="105"/>
        </w:rPr>
        <w:t>The Agency responds by noting the AIM Act provides various grants of authority to EPA, which, while separate and distinct, can be implemented in ways that reinforce and complement one another. As explained elsewhere in this notice, the</w:t>
      </w:r>
      <w:r w:rsidRPr="00283806">
        <w:rPr>
          <w:spacing w:val="40"/>
          <w:w w:val="105"/>
        </w:rPr>
        <w:t xml:space="preserve"> </w:t>
      </w:r>
      <w:r w:rsidRPr="00283806">
        <w:rPr>
          <w:w w:val="105"/>
        </w:rPr>
        <w:t>requirements for the servicing and/or repair of certain refrigerant-containing equipment with reclaimed HFCs are</w:t>
      </w:r>
      <w:r w:rsidRPr="00283806">
        <w:rPr>
          <w:spacing w:val="40"/>
          <w:w w:val="105"/>
        </w:rPr>
        <w:t xml:space="preserve"> </w:t>
      </w:r>
      <w:r w:rsidRPr="00283806">
        <w:rPr>
          <w:w w:val="105"/>
        </w:rPr>
        <w:t>being finalized under subsection (h) of the AIM Act, consistent with the</w:t>
      </w:r>
      <w:r w:rsidRPr="00283806">
        <w:rPr>
          <w:spacing w:val="80"/>
          <w:w w:val="105"/>
        </w:rPr>
        <w:t xml:space="preserve"> </w:t>
      </w:r>
      <w:r w:rsidRPr="00283806">
        <w:rPr>
          <w:w w:val="105"/>
        </w:rPr>
        <w:t>direction and purposes identified in that subsection. The Agency did not propose to and is not accelerating the HFC phasedown</w:t>
      </w:r>
      <w:r w:rsidRPr="00283806">
        <w:rPr>
          <w:spacing w:val="40"/>
          <w:w w:val="105"/>
        </w:rPr>
        <w:t xml:space="preserve"> </w:t>
      </w:r>
      <w:r w:rsidRPr="00283806">
        <w:rPr>
          <w:w w:val="105"/>
        </w:rPr>
        <w:t>through</w:t>
      </w:r>
      <w:r w:rsidRPr="00283806">
        <w:rPr>
          <w:spacing w:val="40"/>
          <w:w w:val="105"/>
        </w:rPr>
        <w:t xml:space="preserve"> </w:t>
      </w:r>
      <w:r w:rsidRPr="00283806">
        <w:rPr>
          <w:w w:val="105"/>
        </w:rPr>
        <w:t>this</w:t>
      </w:r>
      <w:r w:rsidRPr="00283806">
        <w:rPr>
          <w:spacing w:val="40"/>
          <w:w w:val="105"/>
        </w:rPr>
        <w:t xml:space="preserve"> </w:t>
      </w:r>
      <w:r w:rsidRPr="00283806">
        <w:rPr>
          <w:w w:val="105"/>
        </w:rPr>
        <w:t>action,</w:t>
      </w:r>
      <w:r w:rsidRPr="00283806">
        <w:rPr>
          <w:spacing w:val="40"/>
          <w:w w:val="105"/>
        </w:rPr>
        <w:t xml:space="preserve"> </w:t>
      </w:r>
      <w:r w:rsidRPr="00283806">
        <w:rPr>
          <w:w w:val="105"/>
        </w:rPr>
        <w:t>nor does the RIA addendum analyze an acceleration of the HFC phasedown.</w:t>
      </w:r>
    </w:p>
    <w:p w14:paraId="3C658CB8" w14:textId="77777777" w:rsidR="00D67C1E" w:rsidRPr="00283806" w:rsidRDefault="001265CA">
      <w:pPr>
        <w:pStyle w:val="BodyText"/>
        <w:spacing w:before="18" w:line="228" w:lineRule="auto"/>
        <w:ind w:right="100"/>
      </w:pPr>
      <w:r w:rsidRPr="00283806">
        <w:rPr>
          <w:w w:val="105"/>
        </w:rPr>
        <w:t>Rather, HFCs will continue to be</w:t>
      </w:r>
      <w:r w:rsidRPr="00283806">
        <w:rPr>
          <w:spacing w:val="40"/>
          <w:w w:val="105"/>
        </w:rPr>
        <w:t xml:space="preserve"> </w:t>
      </w:r>
      <w:r w:rsidRPr="00283806">
        <w:rPr>
          <w:w w:val="105"/>
        </w:rPr>
        <w:t xml:space="preserve">available </w:t>
      </w:r>
      <w:proofErr w:type="gramStart"/>
      <w:r w:rsidRPr="00283806">
        <w:rPr>
          <w:w w:val="105"/>
        </w:rPr>
        <w:t>consistent</w:t>
      </w:r>
      <w:proofErr w:type="gramEnd"/>
      <w:r w:rsidRPr="00283806">
        <w:rPr>
          <w:w w:val="105"/>
        </w:rPr>
        <w:t xml:space="preserve"> with the</w:t>
      </w:r>
      <w:r w:rsidRPr="00283806">
        <w:rPr>
          <w:spacing w:val="80"/>
          <w:w w:val="105"/>
        </w:rPr>
        <w:t xml:space="preserve"> </w:t>
      </w:r>
      <w:r w:rsidRPr="00283806">
        <w:rPr>
          <w:w w:val="105"/>
        </w:rPr>
        <w:t xml:space="preserve">phasedown codified at 40 CFR part 84, subpart A. Even if commenters’ contentions were </w:t>
      </w:r>
      <w:proofErr w:type="gramStart"/>
      <w:r w:rsidRPr="00283806">
        <w:rPr>
          <w:w w:val="105"/>
        </w:rPr>
        <w:t>correct that</w:t>
      </w:r>
      <w:proofErr w:type="gramEnd"/>
      <w:r w:rsidRPr="00283806">
        <w:rPr>
          <w:w w:val="105"/>
        </w:rPr>
        <w:t xml:space="preserve"> these requirements would in effect reduce the production or consumption of HFCs</w:t>
      </w:r>
      <w:r w:rsidRPr="00283806">
        <w:rPr>
          <w:spacing w:val="80"/>
          <w:w w:val="105"/>
        </w:rPr>
        <w:t xml:space="preserve"> </w:t>
      </w:r>
      <w:r w:rsidRPr="00283806">
        <w:rPr>
          <w:w w:val="105"/>
        </w:rPr>
        <w:t xml:space="preserve">used </w:t>
      </w:r>
      <w:proofErr w:type="gramStart"/>
      <w:r w:rsidRPr="00283806">
        <w:rPr>
          <w:w w:val="105"/>
        </w:rPr>
        <w:t>in particular sectors</w:t>
      </w:r>
      <w:proofErr w:type="gramEnd"/>
      <w:r w:rsidRPr="00283806">
        <w:rPr>
          <w:w w:val="105"/>
        </w:rPr>
        <w:t xml:space="preserve"> or subsectors faster than the scheduled reductions under the Act, that does not make this rule an acceleration under subsection</w:t>
      </w:r>
    </w:p>
    <w:p w14:paraId="1ED44CCE" w14:textId="77777777" w:rsidR="00D67C1E" w:rsidRPr="00283806" w:rsidRDefault="001265CA">
      <w:pPr>
        <w:pStyle w:val="BodyText"/>
        <w:spacing w:line="228" w:lineRule="auto"/>
        <w:ind w:right="41"/>
      </w:pPr>
      <w:r w:rsidRPr="00283806">
        <w:rPr>
          <w:w w:val="105"/>
        </w:rPr>
        <w:t>(f). Subsection (f) addresses the EPA Administrator’s authority to</w:t>
      </w:r>
      <w:r w:rsidRPr="00283806">
        <w:rPr>
          <w:spacing w:val="80"/>
          <w:w w:val="105"/>
        </w:rPr>
        <w:t xml:space="preserve"> </w:t>
      </w:r>
      <w:r w:rsidRPr="00283806">
        <w:rPr>
          <w:w w:val="105"/>
        </w:rPr>
        <w:t>‘‘promulgate regulations that establish a schedule for phasing down the production or consumption of regulated substances that is more stringent than</w:t>
      </w:r>
      <w:r w:rsidRPr="00283806">
        <w:rPr>
          <w:spacing w:val="40"/>
          <w:w w:val="105"/>
        </w:rPr>
        <w:t xml:space="preserve"> </w:t>
      </w:r>
      <w:r w:rsidRPr="00283806">
        <w:rPr>
          <w:w w:val="105"/>
        </w:rPr>
        <w:t>the production and consumption levels</w:t>
      </w:r>
      <w:r w:rsidRPr="00283806">
        <w:rPr>
          <w:spacing w:val="80"/>
          <w:w w:val="105"/>
        </w:rPr>
        <w:t xml:space="preserve"> </w:t>
      </w:r>
      <w:r w:rsidRPr="00283806">
        <w:rPr>
          <w:w w:val="105"/>
        </w:rPr>
        <w:t>of regulated substances required under subsection (e)(2)(C)’’ and the requirements for such regulations. As discussed in greater detail elsewhere in this notice, subsection (e)(2)(C) establishes an economy-wide</w:t>
      </w:r>
      <w:r w:rsidRPr="00283806">
        <w:rPr>
          <w:spacing w:val="80"/>
          <w:w w:val="105"/>
        </w:rPr>
        <w:t xml:space="preserve"> </w:t>
      </w:r>
      <w:r w:rsidRPr="00283806">
        <w:rPr>
          <w:w w:val="105"/>
        </w:rPr>
        <w:t>phasedown schedule from baselines that are established pursuant to subsection (e)(1)(A) ‘‘for all regulated substances in the United States,’’ and the production</w:t>
      </w:r>
    </w:p>
    <w:p w14:paraId="51934C22" w14:textId="77777777" w:rsidR="00D67C1E" w:rsidRPr="00283806" w:rsidRDefault="001265CA">
      <w:pPr>
        <w:pStyle w:val="BodyText"/>
        <w:spacing w:before="134" w:line="225" w:lineRule="auto"/>
        <w:ind w:left="143" w:right="67"/>
      </w:pPr>
      <w:r w:rsidRPr="00283806">
        <w:br w:type="column"/>
      </w:r>
      <w:r w:rsidRPr="00283806">
        <w:rPr>
          <w:w w:val="105"/>
        </w:rPr>
        <w:t xml:space="preserve">EPA will allocate in </w:t>
      </w:r>
      <w:proofErr w:type="gramStart"/>
      <w:r w:rsidRPr="00283806">
        <w:rPr>
          <w:w w:val="105"/>
        </w:rPr>
        <w:t>a future</w:t>
      </w:r>
      <w:proofErr w:type="gramEnd"/>
      <w:r w:rsidRPr="00283806">
        <w:rPr>
          <w:w w:val="105"/>
        </w:rPr>
        <w:t xml:space="preserve"> year. Further, this rule does not prohibit any production or import of any HFC. Instead, the provisions in this rule govern specified processes, practices, and activities concerning the servicing and/or repair of certain refrigerant- containing equipment with reclaimed HFCs in specific subsectors.</w:t>
      </w:r>
    </w:p>
    <w:p w14:paraId="1ADC9144" w14:textId="77777777" w:rsidR="00D67C1E" w:rsidRPr="00283806" w:rsidRDefault="001265CA">
      <w:pPr>
        <w:pStyle w:val="BodyText"/>
        <w:spacing w:line="177" w:lineRule="exact"/>
        <w:ind w:left="323"/>
      </w:pPr>
      <w:r w:rsidRPr="00283806">
        <w:rPr>
          <w:w w:val="105"/>
        </w:rPr>
        <w:t>EPA</w:t>
      </w:r>
      <w:r w:rsidRPr="00283806">
        <w:rPr>
          <w:spacing w:val="13"/>
          <w:w w:val="105"/>
        </w:rPr>
        <w:t xml:space="preserve"> </w:t>
      </w:r>
      <w:r w:rsidRPr="00283806">
        <w:rPr>
          <w:w w:val="105"/>
        </w:rPr>
        <w:t>notes</w:t>
      </w:r>
      <w:r w:rsidRPr="00283806">
        <w:rPr>
          <w:spacing w:val="13"/>
          <w:w w:val="105"/>
        </w:rPr>
        <w:t xml:space="preserve"> </w:t>
      </w:r>
      <w:r w:rsidRPr="00283806">
        <w:rPr>
          <w:w w:val="105"/>
        </w:rPr>
        <w:t>that</w:t>
      </w:r>
      <w:r w:rsidRPr="00283806">
        <w:rPr>
          <w:spacing w:val="14"/>
          <w:w w:val="105"/>
        </w:rPr>
        <w:t xml:space="preserve"> </w:t>
      </w:r>
      <w:r w:rsidRPr="00283806">
        <w:rPr>
          <w:w w:val="105"/>
        </w:rPr>
        <w:t>consideration</w:t>
      </w:r>
      <w:r w:rsidRPr="00283806">
        <w:rPr>
          <w:spacing w:val="13"/>
          <w:w w:val="105"/>
        </w:rPr>
        <w:t xml:space="preserve"> </w:t>
      </w:r>
      <w:r w:rsidRPr="00283806">
        <w:rPr>
          <w:spacing w:val="-5"/>
          <w:w w:val="105"/>
        </w:rPr>
        <w:t>of</w:t>
      </w:r>
    </w:p>
    <w:p w14:paraId="1ABD9A2C" w14:textId="77777777" w:rsidR="00D67C1E" w:rsidRPr="00283806" w:rsidRDefault="001265CA">
      <w:pPr>
        <w:pStyle w:val="BodyText"/>
        <w:spacing w:before="4" w:line="225" w:lineRule="auto"/>
        <w:ind w:left="143" w:right="81"/>
      </w:pPr>
      <w:r w:rsidRPr="00283806">
        <w:rPr>
          <w:w w:val="105"/>
        </w:rPr>
        <w:t>accelerating the phasedown under subsection (f) of the AIM Act is beyond the scope of this rulemaking and thus the comment suggesting that EPA consider such an acceleration requires no further response.</w:t>
      </w:r>
    </w:p>
    <w:p w14:paraId="76D053DC" w14:textId="77777777" w:rsidR="00D67C1E" w:rsidRPr="00283806" w:rsidRDefault="001265CA">
      <w:pPr>
        <w:pStyle w:val="BodyText"/>
        <w:spacing w:line="178" w:lineRule="exact"/>
        <w:ind w:left="323"/>
      </w:pPr>
      <w:r w:rsidRPr="00283806">
        <w:rPr>
          <w:w w:val="105"/>
        </w:rPr>
        <w:t>Regarding</w:t>
      </w:r>
      <w:r w:rsidRPr="00283806">
        <w:rPr>
          <w:spacing w:val="12"/>
          <w:w w:val="105"/>
        </w:rPr>
        <w:t xml:space="preserve"> </w:t>
      </w:r>
      <w:r w:rsidRPr="00283806">
        <w:rPr>
          <w:w w:val="105"/>
        </w:rPr>
        <w:t>the</w:t>
      </w:r>
      <w:r w:rsidRPr="00283806">
        <w:rPr>
          <w:spacing w:val="13"/>
          <w:w w:val="105"/>
        </w:rPr>
        <w:t xml:space="preserve"> </w:t>
      </w:r>
      <w:r w:rsidRPr="00283806">
        <w:rPr>
          <w:w w:val="105"/>
        </w:rPr>
        <w:t>claim</w:t>
      </w:r>
      <w:r w:rsidRPr="00283806">
        <w:rPr>
          <w:spacing w:val="13"/>
          <w:w w:val="105"/>
        </w:rPr>
        <w:t xml:space="preserve"> </w:t>
      </w:r>
      <w:r w:rsidRPr="00283806">
        <w:rPr>
          <w:w w:val="105"/>
        </w:rPr>
        <w:t>that</w:t>
      </w:r>
      <w:r w:rsidRPr="00283806">
        <w:rPr>
          <w:spacing w:val="13"/>
          <w:w w:val="105"/>
        </w:rPr>
        <w:t xml:space="preserve"> </w:t>
      </w:r>
      <w:r w:rsidRPr="00283806">
        <w:rPr>
          <w:w w:val="105"/>
        </w:rPr>
        <w:t>the</w:t>
      </w:r>
      <w:r w:rsidRPr="00283806">
        <w:rPr>
          <w:spacing w:val="13"/>
          <w:w w:val="105"/>
        </w:rPr>
        <w:t xml:space="preserve"> </w:t>
      </w:r>
      <w:r w:rsidRPr="00283806">
        <w:rPr>
          <w:w w:val="105"/>
        </w:rPr>
        <w:t>supply</w:t>
      </w:r>
      <w:r w:rsidRPr="00283806">
        <w:rPr>
          <w:spacing w:val="13"/>
          <w:w w:val="105"/>
        </w:rPr>
        <w:t xml:space="preserve"> </w:t>
      </w:r>
      <w:r w:rsidRPr="00283806">
        <w:rPr>
          <w:spacing w:val="-5"/>
          <w:w w:val="105"/>
        </w:rPr>
        <w:t>of</w:t>
      </w:r>
    </w:p>
    <w:p w14:paraId="312E22DF" w14:textId="77777777" w:rsidR="00D67C1E" w:rsidRPr="00283806" w:rsidRDefault="001265CA">
      <w:pPr>
        <w:pStyle w:val="BodyText"/>
        <w:spacing w:before="4" w:line="225" w:lineRule="auto"/>
        <w:ind w:left="143" w:right="81"/>
      </w:pPr>
      <w:r w:rsidRPr="00283806">
        <w:rPr>
          <w:w w:val="105"/>
        </w:rPr>
        <w:t>reclaimed HFCs cannot meet the demand, the Agency notes that the Economic Impact and Benefits TSD examined such supply. While EPA’s analysis does show that the amount of HFCs reclaimed in 2023 (latest year available) was less than the estimated demand, the data showed a significant increase in HFC reclamation compared to the previous year and showed that if this trend continued, there would be enough reclaimed HFC to meet the projected demand many times over.</w:t>
      </w:r>
    </w:p>
    <w:p w14:paraId="51FC99E8" w14:textId="77777777" w:rsidR="00D67C1E" w:rsidRPr="00283806" w:rsidRDefault="001265CA">
      <w:pPr>
        <w:pStyle w:val="BodyText"/>
        <w:spacing w:line="225" w:lineRule="auto"/>
        <w:ind w:left="143" w:right="67"/>
      </w:pPr>
      <w:r w:rsidRPr="00283806">
        <w:rPr>
          <w:w w:val="105"/>
        </w:rPr>
        <w:t>Further, in the Economic Impact and Benefits TSD, EPA evaluated the expected amount of HFCs from equipment coming out of service when the requirements for servicing and/or repair of refrigerant-containing equipment with reclaimed HFCs in certain RACHP subsectors take effect, and sees that such amounts, if</w:t>
      </w:r>
      <w:r w:rsidRPr="00283806">
        <w:rPr>
          <w:spacing w:val="40"/>
          <w:w w:val="105"/>
        </w:rPr>
        <w:t xml:space="preserve"> </w:t>
      </w:r>
      <w:r w:rsidRPr="00283806">
        <w:rPr>
          <w:w w:val="105"/>
        </w:rPr>
        <w:t>reclaimed, could meet the demand on a chemical-by-chemical basis. Further, nothing in this rule prevents</w:t>
      </w:r>
      <w:r w:rsidRPr="00283806">
        <w:rPr>
          <w:spacing w:val="40"/>
          <w:w w:val="105"/>
        </w:rPr>
        <w:t xml:space="preserve"> </w:t>
      </w:r>
      <w:r w:rsidRPr="00283806">
        <w:rPr>
          <w:w w:val="105"/>
        </w:rPr>
        <w:t>reclamation of refrigerants in compliance with the standard in this rule before the reclaim requirements take effect. Reclaimers or users may</w:t>
      </w:r>
      <w:r w:rsidRPr="00283806">
        <w:rPr>
          <w:spacing w:val="40"/>
          <w:w w:val="105"/>
        </w:rPr>
        <w:t xml:space="preserve"> </w:t>
      </w:r>
      <w:r w:rsidRPr="00283806">
        <w:rPr>
          <w:w w:val="105"/>
        </w:rPr>
        <w:t xml:space="preserve">then choose to hold such materials for any expected demand </w:t>
      </w:r>
      <w:proofErr w:type="gramStart"/>
      <w:r w:rsidRPr="00283806">
        <w:rPr>
          <w:w w:val="105"/>
        </w:rPr>
        <w:t>later on</w:t>
      </w:r>
      <w:proofErr w:type="gramEnd"/>
      <w:r w:rsidRPr="00283806">
        <w:rPr>
          <w:w w:val="105"/>
        </w:rPr>
        <w:t>, meeting the recordkeeping and reporting provisions that apply to such material.</w:t>
      </w:r>
    </w:p>
    <w:p w14:paraId="62A92B67" w14:textId="77777777" w:rsidR="00D67C1E" w:rsidRPr="00283806" w:rsidRDefault="001265CA">
      <w:pPr>
        <w:pStyle w:val="BodyText"/>
        <w:spacing w:line="173" w:lineRule="exact"/>
        <w:ind w:left="323"/>
      </w:pPr>
      <w:r w:rsidRPr="00283806">
        <w:rPr>
          <w:w w:val="105"/>
        </w:rPr>
        <w:t>In</w:t>
      </w:r>
      <w:r w:rsidRPr="00283806">
        <w:rPr>
          <w:spacing w:val="13"/>
          <w:w w:val="105"/>
        </w:rPr>
        <w:t xml:space="preserve"> </w:t>
      </w:r>
      <w:r w:rsidRPr="00283806">
        <w:rPr>
          <w:w w:val="105"/>
        </w:rPr>
        <w:t>the</w:t>
      </w:r>
      <w:r w:rsidRPr="00283806">
        <w:rPr>
          <w:spacing w:val="14"/>
          <w:w w:val="105"/>
        </w:rPr>
        <w:t xml:space="preserve"> </w:t>
      </w:r>
      <w:r w:rsidRPr="00283806">
        <w:rPr>
          <w:w w:val="105"/>
        </w:rPr>
        <w:t>Economic</w:t>
      </w:r>
      <w:r w:rsidRPr="00283806">
        <w:rPr>
          <w:spacing w:val="13"/>
          <w:w w:val="105"/>
        </w:rPr>
        <w:t xml:space="preserve"> </w:t>
      </w:r>
      <w:r w:rsidRPr="00283806">
        <w:rPr>
          <w:w w:val="105"/>
        </w:rPr>
        <w:t>Impact</w:t>
      </w:r>
      <w:r w:rsidRPr="00283806">
        <w:rPr>
          <w:spacing w:val="14"/>
          <w:w w:val="105"/>
        </w:rPr>
        <w:t xml:space="preserve"> </w:t>
      </w:r>
      <w:r w:rsidRPr="00283806">
        <w:rPr>
          <w:w w:val="105"/>
        </w:rPr>
        <w:t>and</w:t>
      </w:r>
      <w:r w:rsidRPr="00283806">
        <w:rPr>
          <w:spacing w:val="13"/>
          <w:w w:val="105"/>
        </w:rPr>
        <w:t xml:space="preserve"> </w:t>
      </w:r>
      <w:r w:rsidRPr="00283806">
        <w:rPr>
          <w:spacing w:val="-2"/>
          <w:w w:val="105"/>
        </w:rPr>
        <w:t>Benefits</w:t>
      </w:r>
    </w:p>
    <w:p w14:paraId="0EF2EB42" w14:textId="77777777" w:rsidR="00D67C1E" w:rsidRPr="00283806" w:rsidRDefault="001265CA">
      <w:pPr>
        <w:pStyle w:val="BodyText"/>
        <w:spacing w:line="228" w:lineRule="auto"/>
        <w:ind w:left="143" w:right="67"/>
      </w:pPr>
      <w:r w:rsidRPr="00283806">
        <w:rPr>
          <w:w w:val="105"/>
        </w:rPr>
        <w:t>TSD, EPA assumed an increase in price for reclaimed refrigerant compared to virgin refrigerant. Based on comments received, the Agency also provided a sensitivity analysis under which it assumed cost parity between reclaimed and virgin refrigerant.</w:t>
      </w:r>
    </w:p>
    <w:p w14:paraId="1837F87A" w14:textId="77777777" w:rsidR="00D67C1E" w:rsidRPr="00283806" w:rsidRDefault="001265CA">
      <w:pPr>
        <w:spacing w:line="183" w:lineRule="exact"/>
        <w:ind w:left="323"/>
        <w:rPr>
          <w:sz w:val="18"/>
        </w:rPr>
      </w:pPr>
      <w:r w:rsidRPr="00283806">
        <w:rPr>
          <w:rFonts w:ascii="Book Antiqua"/>
          <w:i/>
          <w:w w:val="105"/>
          <w:sz w:val="18"/>
        </w:rPr>
        <w:t>Comment:</w:t>
      </w:r>
      <w:r w:rsidRPr="00283806">
        <w:rPr>
          <w:rFonts w:ascii="Book Antiqua"/>
          <w:i/>
          <w:spacing w:val="33"/>
          <w:w w:val="105"/>
          <w:sz w:val="18"/>
        </w:rPr>
        <w:t xml:space="preserve"> </w:t>
      </w:r>
      <w:r w:rsidRPr="00283806">
        <w:rPr>
          <w:w w:val="105"/>
          <w:sz w:val="18"/>
        </w:rPr>
        <w:t>Two</w:t>
      </w:r>
      <w:r w:rsidRPr="00283806">
        <w:rPr>
          <w:spacing w:val="38"/>
          <w:w w:val="105"/>
          <w:sz w:val="18"/>
        </w:rPr>
        <w:t xml:space="preserve"> </w:t>
      </w:r>
      <w:proofErr w:type="gramStart"/>
      <w:r w:rsidRPr="00283806">
        <w:rPr>
          <w:spacing w:val="-2"/>
          <w:w w:val="105"/>
          <w:sz w:val="18"/>
        </w:rPr>
        <w:t>commenters</w:t>
      </w:r>
      <w:proofErr w:type="gramEnd"/>
    </w:p>
    <w:p w14:paraId="36442E52" w14:textId="77777777" w:rsidR="00D67C1E" w:rsidRPr="00283806" w:rsidRDefault="001265CA">
      <w:pPr>
        <w:pStyle w:val="BodyText"/>
        <w:spacing w:line="189" w:lineRule="exact"/>
        <w:ind w:left="143"/>
      </w:pPr>
      <w:r w:rsidRPr="00283806">
        <w:rPr>
          <w:w w:val="105"/>
        </w:rPr>
        <w:t>recommended</w:t>
      </w:r>
      <w:r w:rsidRPr="00283806">
        <w:rPr>
          <w:spacing w:val="16"/>
          <w:w w:val="105"/>
        </w:rPr>
        <w:t xml:space="preserve"> </w:t>
      </w:r>
      <w:r w:rsidRPr="00283806">
        <w:rPr>
          <w:w w:val="105"/>
        </w:rPr>
        <w:t>that</w:t>
      </w:r>
      <w:r w:rsidRPr="00283806">
        <w:rPr>
          <w:spacing w:val="16"/>
          <w:w w:val="105"/>
        </w:rPr>
        <w:t xml:space="preserve"> </w:t>
      </w:r>
      <w:r w:rsidRPr="00283806">
        <w:rPr>
          <w:w w:val="105"/>
        </w:rPr>
        <w:t>EPA</w:t>
      </w:r>
      <w:r w:rsidRPr="00283806">
        <w:rPr>
          <w:spacing w:val="16"/>
          <w:w w:val="105"/>
        </w:rPr>
        <w:t xml:space="preserve"> </w:t>
      </w:r>
      <w:r w:rsidRPr="00283806">
        <w:rPr>
          <w:w w:val="105"/>
        </w:rPr>
        <w:t>consider</w:t>
      </w:r>
      <w:r w:rsidRPr="00283806">
        <w:rPr>
          <w:spacing w:val="17"/>
          <w:w w:val="105"/>
        </w:rPr>
        <w:t xml:space="preserve"> </w:t>
      </w:r>
      <w:r w:rsidRPr="00283806">
        <w:rPr>
          <w:spacing w:val="-5"/>
          <w:w w:val="105"/>
        </w:rPr>
        <w:t>an</w:t>
      </w:r>
    </w:p>
    <w:p w14:paraId="70B1DCFF" w14:textId="77777777" w:rsidR="00D67C1E" w:rsidRPr="00283806" w:rsidRDefault="001265CA">
      <w:pPr>
        <w:pStyle w:val="BodyText"/>
        <w:spacing w:before="134" w:line="225" w:lineRule="auto"/>
        <w:ind w:right="152"/>
        <w:rPr>
          <w:sz w:val="11"/>
        </w:rPr>
      </w:pPr>
      <w:r w:rsidRPr="00283806">
        <w:br w:type="column"/>
      </w:r>
      <w:r w:rsidRPr="00283806">
        <w:rPr>
          <w:w w:val="105"/>
        </w:rPr>
        <w:t>of the Agency’s assumptions about reclaim supply without risking adverse consequences. The commenter claimed that imposing a requirement for the use of reclaimed HFCs on Federal departments and agencies would allow EPA to assess the feasibility and</w:t>
      </w:r>
      <w:r w:rsidRPr="00283806">
        <w:rPr>
          <w:spacing w:val="40"/>
          <w:w w:val="105"/>
        </w:rPr>
        <w:t xml:space="preserve"> </w:t>
      </w:r>
      <w:r w:rsidRPr="00283806">
        <w:rPr>
          <w:w w:val="105"/>
        </w:rPr>
        <w:t>resulting costs without imposing a widespread requirement nationwide.</w:t>
      </w:r>
      <w:r w:rsidRPr="00283806">
        <w:rPr>
          <w:spacing w:val="40"/>
          <w:w w:val="105"/>
        </w:rPr>
        <w:t xml:space="preserve"> </w:t>
      </w:r>
      <w:r w:rsidRPr="00283806">
        <w:rPr>
          <w:w w:val="105"/>
        </w:rPr>
        <w:t>The commenter claimed that such a</w:t>
      </w:r>
      <w:r w:rsidRPr="00283806">
        <w:rPr>
          <w:spacing w:val="80"/>
          <w:w w:val="150"/>
        </w:rPr>
        <w:t xml:space="preserve"> </w:t>
      </w:r>
      <w:r w:rsidRPr="00283806">
        <w:rPr>
          <w:w w:val="105"/>
        </w:rPr>
        <w:t>pilot would allow for the assembly of verified data and lead to ‘‘lessons learned’’ and the refinement of resulting regulation, minimizing any consumer</w:t>
      </w:r>
      <w:r w:rsidRPr="00283806">
        <w:rPr>
          <w:spacing w:val="40"/>
          <w:w w:val="105"/>
        </w:rPr>
        <w:t xml:space="preserve"> </w:t>
      </w:r>
      <w:r w:rsidRPr="00283806">
        <w:rPr>
          <w:w w:val="105"/>
        </w:rPr>
        <w:t>and community impact that EPA may</w:t>
      </w:r>
      <w:r w:rsidRPr="00283806">
        <w:rPr>
          <w:spacing w:val="80"/>
          <w:w w:val="105"/>
        </w:rPr>
        <w:t xml:space="preserve"> </w:t>
      </w:r>
      <w:r w:rsidRPr="00283806">
        <w:rPr>
          <w:w w:val="105"/>
        </w:rPr>
        <w:t>not have considered. Another</w:t>
      </w:r>
      <w:r w:rsidRPr="00283806">
        <w:rPr>
          <w:spacing w:val="40"/>
          <w:w w:val="105"/>
        </w:rPr>
        <w:t xml:space="preserve"> </w:t>
      </w:r>
      <w:r w:rsidRPr="00283806">
        <w:rPr>
          <w:w w:val="105"/>
        </w:rPr>
        <w:t>commenter pointed to California as an example where reclaim requirements were implemented for State owned or operated equipment and noted the large number of buildings owned or leased by the Federal government. Another commenter noted that many large-scale purchasers are already purchasing reclaimed refrigerants and encouraged the</w:t>
      </w:r>
      <w:r w:rsidRPr="00283806">
        <w:rPr>
          <w:spacing w:val="40"/>
          <w:w w:val="105"/>
        </w:rPr>
        <w:t xml:space="preserve"> </w:t>
      </w:r>
      <w:r w:rsidRPr="00283806">
        <w:rPr>
          <w:w w:val="105"/>
        </w:rPr>
        <w:t>General</w:t>
      </w:r>
      <w:r w:rsidRPr="00283806">
        <w:rPr>
          <w:spacing w:val="40"/>
          <w:w w:val="105"/>
        </w:rPr>
        <w:t xml:space="preserve"> </w:t>
      </w:r>
      <w:r w:rsidRPr="00283806">
        <w:rPr>
          <w:w w:val="105"/>
        </w:rPr>
        <w:t>Services</w:t>
      </w:r>
      <w:r w:rsidRPr="00283806">
        <w:rPr>
          <w:spacing w:val="40"/>
          <w:w w:val="105"/>
        </w:rPr>
        <w:t xml:space="preserve"> </w:t>
      </w:r>
      <w:r w:rsidRPr="00283806">
        <w:rPr>
          <w:w w:val="105"/>
        </w:rPr>
        <w:t>Administration and other Federal agencies to continue</w:t>
      </w:r>
      <w:r w:rsidRPr="00283806">
        <w:rPr>
          <w:spacing w:val="40"/>
          <w:w w:val="105"/>
        </w:rPr>
        <w:t xml:space="preserve"> </w:t>
      </w:r>
      <w:r w:rsidRPr="00283806">
        <w:rPr>
          <w:w w:val="105"/>
        </w:rPr>
        <w:t>to support the reclaim market. Another commenter stated that the Biden Administration previously announced that</w:t>
      </w:r>
      <w:r w:rsidRPr="00283806">
        <w:rPr>
          <w:spacing w:val="40"/>
          <w:w w:val="105"/>
        </w:rPr>
        <w:t xml:space="preserve"> </w:t>
      </w:r>
      <w:r w:rsidRPr="00283806">
        <w:rPr>
          <w:w w:val="105"/>
        </w:rPr>
        <w:t>the</w:t>
      </w:r>
      <w:r w:rsidRPr="00283806">
        <w:rPr>
          <w:spacing w:val="40"/>
          <w:w w:val="105"/>
        </w:rPr>
        <w:t xml:space="preserve"> </w:t>
      </w:r>
      <w:r w:rsidRPr="00283806">
        <w:rPr>
          <w:w w:val="105"/>
        </w:rPr>
        <w:t>General</w:t>
      </w:r>
      <w:r w:rsidRPr="00283806">
        <w:rPr>
          <w:spacing w:val="40"/>
          <w:w w:val="105"/>
        </w:rPr>
        <w:t xml:space="preserve"> </w:t>
      </w:r>
      <w:r w:rsidRPr="00283806">
        <w:rPr>
          <w:w w:val="105"/>
        </w:rPr>
        <w:t>Services Administration would review contracts to support the use of reclaimed refrigerants in facilities.</w:t>
      </w:r>
      <w:r w:rsidRPr="00283806">
        <w:rPr>
          <w:w w:val="105"/>
          <w:position w:val="4"/>
          <w:sz w:val="11"/>
        </w:rPr>
        <w:t>115</w:t>
      </w:r>
    </w:p>
    <w:p w14:paraId="72782156" w14:textId="77777777" w:rsidR="00D67C1E" w:rsidRPr="00283806" w:rsidRDefault="001265CA">
      <w:pPr>
        <w:spacing w:line="175" w:lineRule="exact"/>
        <w:ind w:left="340"/>
        <w:rPr>
          <w:sz w:val="18"/>
        </w:rPr>
      </w:pPr>
      <w:r w:rsidRPr="00283806">
        <w:rPr>
          <w:rFonts w:ascii="Book Antiqua"/>
          <w:i/>
          <w:w w:val="105"/>
          <w:sz w:val="18"/>
        </w:rPr>
        <w:t>Response:</w:t>
      </w:r>
      <w:r w:rsidRPr="00283806">
        <w:rPr>
          <w:rFonts w:ascii="Book Antiqua"/>
          <w:i/>
          <w:spacing w:val="36"/>
          <w:w w:val="105"/>
          <w:sz w:val="18"/>
        </w:rPr>
        <w:t xml:space="preserve"> </w:t>
      </w:r>
      <w:r w:rsidRPr="00283806">
        <w:rPr>
          <w:w w:val="105"/>
          <w:sz w:val="18"/>
        </w:rPr>
        <w:t>EPA</w:t>
      </w:r>
      <w:r w:rsidRPr="00283806">
        <w:rPr>
          <w:spacing w:val="42"/>
          <w:w w:val="105"/>
          <w:sz w:val="18"/>
        </w:rPr>
        <w:t xml:space="preserve"> </w:t>
      </w:r>
      <w:r w:rsidRPr="00283806">
        <w:rPr>
          <w:w w:val="105"/>
          <w:sz w:val="18"/>
        </w:rPr>
        <w:t>appreciates</w:t>
      </w:r>
      <w:r w:rsidRPr="00283806">
        <w:rPr>
          <w:spacing w:val="41"/>
          <w:w w:val="105"/>
          <w:sz w:val="18"/>
        </w:rPr>
        <w:t xml:space="preserve"> </w:t>
      </w:r>
      <w:r w:rsidRPr="00283806">
        <w:rPr>
          <w:spacing w:val="-5"/>
          <w:w w:val="105"/>
          <w:sz w:val="18"/>
        </w:rPr>
        <w:t>the</w:t>
      </w:r>
    </w:p>
    <w:p w14:paraId="05A3E671" w14:textId="77777777" w:rsidR="00D67C1E" w:rsidRPr="00283806" w:rsidRDefault="001265CA">
      <w:pPr>
        <w:pStyle w:val="BodyText"/>
        <w:spacing w:line="225" w:lineRule="auto"/>
        <w:ind w:right="143"/>
      </w:pPr>
      <w:r w:rsidRPr="00283806">
        <w:rPr>
          <w:w w:val="110"/>
        </w:rPr>
        <w:t xml:space="preserve">suggestion for a program aimed at federally-owned buildings. The Agency will share with other relevant Federal entities, including the General Services Administration, these comments encouraging a </w:t>
      </w:r>
      <w:proofErr w:type="gramStart"/>
      <w:r w:rsidRPr="00283806">
        <w:rPr>
          <w:w w:val="110"/>
        </w:rPr>
        <w:t>Federal</w:t>
      </w:r>
      <w:proofErr w:type="gramEnd"/>
      <w:r w:rsidRPr="00283806">
        <w:rPr>
          <w:w w:val="110"/>
        </w:rPr>
        <w:t xml:space="preserve"> program. While such a program is out of scope for this </w:t>
      </w:r>
      <w:r w:rsidRPr="00283806">
        <w:t>rulemaking and thus requires no further</w:t>
      </w:r>
      <w:r w:rsidRPr="00283806">
        <w:rPr>
          <w:w w:val="110"/>
        </w:rPr>
        <w:t xml:space="preserve"> response,</w:t>
      </w:r>
      <w:r w:rsidRPr="00283806">
        <w:rPr>
          <w:spacing w:val="-5"/>
          <w:w w:val="110"/>
        </w:rPr>
        <w:t xml:space="preserve"> </w:t>
      </w:r>
      <w:r w:rsidRPr="00283806">
        <w:rPr>
          <w:w w:val="110"/>
        </w:rPr>
        <w:t>the</w:t>
      </w:r>
      <w:r w:rsidRPr="00283806">
        <w:rPr>
          <w:spacing w:val="-5"/>
          <w:w w:val="110"/>
        </w:rPr>
        <w:t xml:space="preserve"> </w:t>
      </w:r>
      <w:r w:rsidRPr="00283806">
        <w:rPr>
          <w:w w:val="110"/>
        </w:rPr>
        <w:t>Agency</w:t>
      </w:r>
      <w:r w:rsidRPr="00283806">
        <w:rPr>
          <w:spacing w:val="-5"/>
          <w:w w:val="110"/>
        </w:rPr>
        <w:t xml:space="preserve"> </w:t>
      </w:r>
      <w:r w:rsidRPr="00283806">
        <w:rPr>
          <w:w w:val="110"/>
        </w:rPr>
        <w:t>does</w:t>
      </w:r>
      <w:r w:rsidRPr="00283806">
        <w:rPr>
          <w:spacing w:val="-5"/>
          <w:w w:val="110"/>
        </w:rPr>
        <w:t xml:space="preserve"> </w:t>
      </w:r>
      <w:r w:rsidRPr="00283806">
        <w:rPr>
          <w:w w:val="110"/>
        </w:rPr>
        <w:t>note</w:t>
      </w:r>
      <w:r w:rsidRPr="00283806">
        <w:rPr>
          <w:spacing w:val="-5"/>
          <w:w w:val="110"/>
        </w:rPr>
        <w:t xml:space="preserve"> </w:t>
      </w:r>
      <w:r w:rsidRPr="00283806">
        <w:rPr>
          <w:w w:val="110"/>
        </w:rPr>
        <w:t>that</w:t>
      </w:r>
      <w:r w:rsidRPr="00283806">
        <w:rPr>
          <w:spacing w:val="-5"/>
          <w:w w:val="110"/>
        </w:rPr>
        <w:t xml:space="preserve"> </w:t>
      </w:r>
      <w:r w:rsidRPr="00283806">
        <w:rPr>
          <w:w w:val="110"/>
        </w:rPr>
        <w:t>for the leak repair provisions, the Agency did not propose and is not finalizing flexibilities that allow for additional time for federally-owned buildings, which</w:t>
      </w:r>
      <w:r w:rsidRPr="00283806">
        <w:rPr>
          <w:spacing w:val="-5"/>
          <w:w w:val="110"/>
        </w:rPr>
        <w:t xml:space="preserve"> </w:t>
      </w:r>
      <w:r w:rsidRPr="00283806">
        <w:rPr>
          <w:w w:val="110"/>
        </w:rPr>
        <w:t>is</w:t>
      </w:r>
      <w:r w:rsidRPr="00283806">
        <w:rPr>
          <w:spacing w:val="-5"/>
          <w:w w:val="110"/>
        </w:rPr>
        <w:t xml:space="preserve"> </w:t>
      </w:r>
      <w:r w:rsidRPr="00283806">
        <w:rPr>
          <w:w w:val="110"/>
        </w:rPr>
        <w:t>allowed</w:t>
      </w:r>
      <w:r w:rsidRPr="00283806">
        <w:rPr>
          <w:spacing w:val="-5"/>
          <w:w w:val="110"/>
        </w:rPr>
        <w:t xml:space="preserve"> </w:t>
      </w:r>
      <w:r w:rsidRPr="00283806">
        <w:rPr>
          <w:w w:val="110"/>
        </w:rPr>
        <w:t>under</w:t>
      </w:r>
      <w:r w:rsidRPr="00283806">
        <w:rPr>
          <w:spacing w:val="-5"/>
          <w:w w:val="110"/>
        </w:rPr>
        <w:t xml:space="preserve"> </w:t>
      </w:r>
      <w:r w:rsidRPr="00283806">
        <w:rPr>
          <w:w w:val="110"/>
        </w:rPr>
        <w:t>the</w:t>
      </w:r>
      <w:r w:rsidRPr="00283806">
        <w:rPr>
          <w:spacing w:val="-5"/>
          <w:w w:val="110"/>
        </w:rPr>
        <w:t xml:space="preserve"> </w:t>
      </w:r>
      <w:r w:rsidRPr="00283806">
        <w:rPr>
          <w:w w:val="110"/>
        </w:rPr>
        <w:t>related</w:t>
      </w:r>
      <w:r w:rsidRPr="00283806">
        <w:rPr>
          <w:spacing w:val="-5"/>
          <w:w w:val="110"/>
        </w:rPr>
        <w:t xml:space="preserve"> </w:t>
      </w:r>
      <w:r w:rsidRPr="00283806">
        <w:rPr>
          <w:w w:val="110"/>
        </w:rPr>
        <w:t>CAA section 608 regulations.</w:t>
      </w:r>
    </w:p>
    <w:p w14:paraId="7BCC3CD0" w14:textId="77777777" w:rsidR="00D67C1E" w:rsidRPr="00283806" w:rsidRDefault="001265CA">
      <w:pPr>
        <w:spacing w:line="180" w:lineRule="exact"/>
        <w:ind w:left="340"/>
        <w:rPr>
          <w:sz w:val="18"/>
        </w:rPr>
      </w:pPr>
      <w:r w:rsidRPr="00283806">
        <w:rPr>
          <w:rFonts w:ascii="Book Antiqua"/>
          <w:i/>
          <w:w w:val="105"/>
          <w:sz w:val="18"/>
        </w:rPr>
        <w:t>Comment:</w:t>
      </w:r>
      <w:r w:rsidRPr="00283806">
        <w:rPr>
          <w:rFonts w:ascii="Book Antiqua"/>
          <w:i/>
          <w:spacing w:val="15"/>
          <w:w w:val="105"/>
          <w:sz w:val="18"/>
        </w:rPr>
        <w:t xml:space="preserve"> </w:t>
      </w:r>
      <w:r w:rsidRPr="00283806">
        <w:rPr>
          <w:w w:val="105"/>
          <w:sz w:val="18"/>
        </w:rPr>
        <w:t>One</w:t>
      </w:r>
      <w:r w:rsidRPr="00283806">
        <w:rPr>
          <w:spacing w:val="20"/>
          <w:w w:val="105"/>
          <w:sz w:val="18"/>
        </w:rPr>
        <w:t xml:space="preserve"> </w:t>
      </w:r>
      <w:r w:rsidRPr="00283806">
        <w:rPr>
          <w:w w:val="105"/>
          <w:sz w:val="18"/>
        </w:rPr>
        <w:t>commenter</w:t>
      </w:r>
      <w:r w:rsidRPr="00283806">
        <w:rPr>
          <w:spacing w:val="20"/>
          <w:w w:val="105"/>
          <w:sz w:val="18"/>
        </w:rPr>
        <w:t xml:space="preserve"> </w:t>
      </w:r>
      <w:r w:rsidRPr="00283806">
        <w:rPr>
          <w:w w:val="105"/>
          <w:sz w:val="18"/>
        </w:rPr>
        <w:t>stated</w:t>
      </w:r>
      <w:r w:rsidRPr="00283806">
        <w:rPr>
          <w:spacing w:val="20"/>
          <w:w w:val="105"/>
          <w:sz w:val="18"/>
        </w:rPr>
        <w:t xml:space="preserve"> </w:t>
      </w:r>
      <w:r w:rsidRPr="00283806">
        <w:rPr>
          <w:spacing w:val="-2"/>
          <w:w w:val="105"/>
          <w:sz w:val="18"/>
        </w:rPr>
        <w:t>that,</w:t>
      </w:r>
    </w:p>
    <w:p w14:paraId="6545E781" w14:textId="77777777" w:rsidR="00D67C1E" w:rsidRPr="00283806" w:rsidRDefault="001265CA">
      <w:pPr>
        <w:pStyle w:val="BodyText"/>
        <w:spacing w:line="225" w:lineRule="auto"/>
        <w:ind w:right="146"/>
      </w:pPr>
      <w:proofErr w:type="gramStart"/>
      <w:r w:rsidRPr="00283806">
        <w:rPr>
          <w:w w:val="105"/>
        </w:rPr>
        <w:t>if</w:t>
      </w:r>
      <w:proofErr w:type="gramEnd"/>
      <w:r w:rsidRPr="00283806">
        <w:rPr>
          <w:w w:val="105"/>
        </w:rPr>
        <w:t xml:space="preserve"> EPA finalizes any of the proposed reclaim requirements, EPA should: require contractors to maintain records (subject to audit) of the quantity and</w:t>
      </w:r>
      <w:r w:rsidRPr="00283806">
        <w:rPr>
          <w:spacing w:val="40"/>
          <w:w w:val="105"/>
        </w:rPr>
        <w:t xml:space="preserve"> </w:t>
      </w:r>
      <w:r w:rsidRPr="00283806">
        <w:rPr>
          <w:w w:val="105"/>
        </w:rPr>
        <w:t>type</w:t>
      </w:r>
      <w:r w:rsidRPr="00283806">
        <w:rPr>
          <w:spacing w:val="-1"/>
          <w:w w:val="105"/>
        </w:rPr>
        <w:t xml:space="preserve"> </w:t>
      </w:r>
      <w:r w:rsidRPr="00283806">
        <w:rPr>
          <w:w w:val="105"/>
        </w:rPr>
        <w:t>of</w:t>
      </w:r>
      <w:r w:rsidRPr="00283806">
        <w:rPr>
          <w:spacing w:val="-1"/>
          <w:w w:val="105"/>
        </w:rPr>
        <w:t xml:space="preserve"> </w:t>
      </w:r>
      <w:r w:rsidRPr="00283806">
        <w:rPr>
          <w:w w:val="105"/>
        </w:rPr>
        <w:t>refrigerant</w:t>
      </w:r>
      <w:r w:rsidRPr="00283806">
        <w:rPr>
          <w:spacing w:val="-1"/>
          <w:w w:val="105"/>
        </w:rPr>
        <w:t xml:space="preserve"> </w:t>
      </w:r>
      <w:r w:rsidRPr="00283806">
        <w:rPr>
          <w:w w:val="105"/>
        </w:rPr>
        <w:t>recovered</w:t>
      </w:r>
      <w:r w:rsidRPr="00283806">
        <w:rPr>
          <w:spacing w:val="-1"/>
          <w:w w:val="105"/>
        </w:rPr>
        <w:t xml:space="preserve"> </w:t>
      </w:r>
      <w:r w:rsidRPr="00283806">
        <w:rPr>
          <w:w w:val="105"/>
        </w:rPr>
        <w:t>and</w:t>
      </w:r>
      <w:r w:rsidRPr="00283806">
        <w:rPr>
          <w:spacing w:val="-1"/>
          <w:w w:val="105"/>
        </w:rPr>
        <w:t xml:space="preserve"> </w:t>
      </w:r>
      <w:r w:rsidRPr="00283806">
        <w:rPr>
          <w:w w:val="105"/>
        </w:rPr>
        <w:t>used</w:t>
      </w:r>
      <w:r w:rsidRPr="00283806">
        <w:rPr>
          <w:spacing w:val="-1"/>
          <w:w w:val="105"/>
        </w:rPr>
        <w:t xml:space="preserve"> </w:t>
      </w:r>
      <w:r w:rsidRPr="00283806">
        <w:rPr>
          <w:w w:val="105"/>
        </w:rPr>
        <w:t>to service equipment, require OEMs, distributors, reclaimers, and other allowance holders to annually report on the quantities of refrigerant recovered,</w:t>
      </w:r>
    </w:p>
    <w:p w14:paraId="45CF2817"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7" w:space="40"/>
            <w:col w:w="3479" w:space="44"/>
            <w:col w:w="3640"/>
          </w:cols>
        </w:sectPr>
      </w:pPr>
    </w:p>
    <w:p w14:paraId="3741C73C" w14:textId="77777777" w:rsidR="00D67C1E" w:rsidRPr="00283806" w:rsidRDefault="001265CA">
      <w:pPr>
        <w:pStyle w:val="BodyText"/>
        <w:tabs>
          <w:tab w:val="left" w:pos="3699"/>
          <w:tab w:val="left" w:pos="7239"/>
          <w:tab w:val="left" w:pos="8239"/>
        </w:tabs>
        <w:spacing w:line="170" w:lineRule="exact"/>
      </w:pPr>
      <w:r w:rsidRPr="00283806">
        <w:rPr>
          <w:w w:val="105"/>
        </w:rPr>
        <w:t>and</w:t>
      </w:r>
      <w:r w:rsidRPr="00283806">
        <w:rPr>
          <w:spacing w:val="24"/>
          <w:w w:val="105"/>
        </w:rPr>
        <w:t xml:space="preserve"> </w:t>
      </w:r>
      <w:r w:rsidRPr="00283806">
        <w:rPr>
          <w:w w:val="105"/>
        </w:rPr>
        <w:t>consumption</w:t>
      </w:r>
      <w:r w:rsidRPr="00283806">
        <w:rPr>
          <w:spacing w:val="25"/>
          <w:w w:val="105"/>
        </w:rPr>
        <w:t xml:space="preserve"> </w:t>
      </w:r>
      <w:r w:rsidRPr="00283806">
        <w:rPr>
          <w:w w:val="105"/>
        </w:rPr>
        <w:t>phasedown</w:t>
      </w:r>
      <w:r w:rsidRPr="00283806">
        <w:rPr>
          <w:spacing w:val="25"/>
          <w:w w:val="105"/>
        </w:rPr>
        <w:t xml:space="preserve"> </w:t>
      </w:r>
      <w:r w:rsidRPr="00283806">
        <w:rPr>
          <w:spacing w:val="-5"/>
          <w:w w:val="105"/>
        </w:rPr>
        <w:t>is</w:t>
      </w:r>
      <w:r w:rsidRPr="00283806">
        <w:tab/>
      </w:r>
      <w:r w:rsidRPr="00283806">
        <w:rPr>
          <w:w w:val="105"/>
        </w:rPr>
        <w:t>accelerated</w:t>
      </w:r>
      <w:r w:rsidRPr="00283806">
        <w:rPr>
          <w:spacing w:val="12"/>
          <w:w w:val="105"/>
        </w:rPr>
        <w:t xml:space="preserve"> </w:t>
      </w:r>
      <w:r w:rsidRPr="00283806">
        <w:rPr>
          <w:w w:val="105"/>
        </w:rPr>
        <w:t>reclaim</w:t>
      </w:r>
      <w:r w:rsidRPr="00283806">
        <w:rPr>
          <w:spacing w:val="13"/>
          <w:w w:val="105"/>
        </w:rPr>
        <w:t xml:space="preserve"> </w:t>
      </w:r>
      <w:r w:rsidRPr="00283806">
        <w:rPr>
          <w:spacing w:val="-2"/>
          <w:w w:val="105"/>
        </w:rPr>
        <w:t>refrigerant</w:t>
      </w:r>
      <w:r w:rsidRPr="00283806">
        <w:tab/>
      </w:r>
      <w:r w:rsidRPr="00283806">
        <w:rPr>
          <w:u w:val="single"/>
        </w:rPr>
        <w:tab/>
      </w:r>
    </w:p>
    <w:p w14:paraId="71850A35" w14:textId="77777777" w:rsidR="00D67C1E" w:rsidRPr="00283806" w:rsidRDefault="00D67C1E">
      <w:pPr>
        <w:spacing w:line="170" w:lineRule="exact"/>
        <w:sectPr w:rsidR="00D67C1E" w:rsidRPr="00283806">
          <w:type w:val="continuous"/>
          <w:pgSz w:w="12240" w:h="15840"/>
          <w:pgMar w:top="880" w:right="780" w:bottom="280" w:left="740" w:header="627" w:footer="0" w:gutter="0"/>
          <w:cols w:space="720"/>
        </w:sectPr>
      </w:pPr>
    </w:p>
    <w:p w14:paraId="17E5830D" w14:textId="77777777" w:rsidR="00D67C1E" w:rsidRPr="00283806" w:rsidRDefault="001265CA">
      <w:pPr>
        <w:pStyle w:val="BodyText"/>
        <w:spacing w:before="9" w:line="228" w:lineRule="auto"/>
        <w:ind w:right="27"/>
      </w:pPr>
      <w:r w:rsidRPr="00283806">
        <w:rPr>
          <w:w w:val="105"/>
        </w:rPr>
        <w:t>implemented on an exchange value</w:t>
      </w:r>
      <w:proofErr w:type="gramStart"/>
      <w:r w:rsidRPr="00283806">
        <w:rPr>
          <w:w w:val="105"/>
        </w:rPr>
        <w:t>- weighted</w:t>
      </w:r>
      <w:proofErr w:type="gramEnd"/>
      <w:r w:rsidRPr="00283806">
        <w:rPr>
          <w:w w:val="105"/>
        </w:rPr>
        <w:t xml:space="preserve"> basis (rather than establishing caps for </w:t>
      </w:r>
      <w:proofErr w:type="gramStart"/>
      <w:r w:rsidRPr="00283806">
        <w:rPr>
          <w:w w:val="105"/>
        </w:rPr>
        <w:t>particular HFCs</w:t>
      </w:r>
      <w:proofErr w:type="gramEnd"/>
      <w:r w:rsidRPr="00283806">
        <w:rPr>
          <w:w w:val="105"/>
        </w:rPr>
        <w:t>). This rule does not change the phasedown schedule,</w:t>
      </w:r>
      <w:r w:rsidRPr="00283806">
        <w:rPr>
          <w:spacing w:val="40"/>
          <w:w w:val="105"/>
        </w:rPr>
        <w:t xml:space="preserve"> </w:t>
      </w:r>
      <w:r w:rsidRPr="00283806">
        <w:rPr>
          <w:w w:val="105"/>
        </w:rPr>
        <w:t>alter the amount of HFC production and consumption allowed in any year on an exchange value-weighted basis, nor does it alter the number of allowances that</w:t>
      </w:r>
    </w:p>
    <w:p w14:paraId="5AE13D7F" w14:textId="77777777" w:rsidR="00D67C1E" w:rsidRPr="00283806" w:rsidRDefault="001265CA">
      <w:pPr>
        <w:pStyle w:val="BodyText"/>
        <w:spacing w:before="9" w:line="228" w:lineRule="auto"/>
        <w:ind w:left="143"/>
      </w:pPr>
      <w:r w:rsidRPr="00283806">
        <w:br w:type="column"/>
      </w:r>
      <w:r w:rsidRPr="00283806">
        <w:rPr>
          <w:w w:val="105"/>
        </w:rPr>
        <w:t xml:space="preserve">requirement for federally owned equipment or buildings to lead by example and stimulate reclaim market expansion. One of the commenters recommended this as a pilot program to assemble real-world data on costs and various issues. The commenter stated that a pilot could allow </w:t>
      </w:r>
      <w:proofErr w:type="gramStart"/>
      <w:r w:rsidRPr="00283806">
        <w:rPr>
          <w:w w:val="105"/>
        </w:rPr>
        <w:t>the validation</w:t>
      </w:r>
      <w:proofErr w:type="gramEnd"/>
    </w:p>
    <w:p w14:paraId="0E011EAF" w14:textId="0DA6AB83" w:rsidR="00D67C1E" w:rsidRPr="00283806" w:rsidRDefault="001265CA">
      <w:pPr>
        <w:spacing w:before="42" w:line="225" w:lineRule="auto"/>
        <w:ind w:left="160" w:right="275" w:firstLine="140"/>
        <w:rPr>
          <w:rFonts w:ascii="Book Antiqua" w:hAnsi="Book Antiqua"/>
          <w:i/>
          <w:sz w:val="14"/>
        </w:rPr>
      </w:pPr>
      <w:r w:rsidRPr="00283806">
        <w:br w:type="column"/>
      </w:r>
      <w:r w:rsidRPr="00283806">
        <w:rPr>
          <w:w w:val="115"/>
          <w:position w:val="4"/>
          <w:sz w:val="9"/>
        </w:rPr>
        <w:t xml:space="preserve">115 </w:t>
      </w:r>
      <w:r w:rsidRPr="00283806">
        <w:rPr>
          <w:w w:val="115"/>
          <w:sz w:val="14"/>
        </w:rPr>
        <w:t>The White House, ‘‘FACT SHEET: Biden</w:t>
      </w:r>
      <w:r w:rsidRPr="00283806">
        <w:rPr>
          <w:spacing w:val="40"/>
          <w:w w:val="115"/>
          <w:sz w:val="14"/>
        </w:rPr>
        <w:t xml:space="preserve"> </w:t>
      </w:r>
      <w:r w:rsidRPr="00283806">
        <w:rPr>
          <w:w w:val="110"/>
          <w:sz w:val="14"/>
        </w:rPr>
        <w:t>Administration Combats Super-Pollutants and</w:t>
      </w:r>
      <w:r w:rsidRPr="00283806">
        <w:rPr>
          <w:spacing w:val="40"/>
          <w:w w:val="115"/>
          <w:sz w:val="14"/>
        </w:rPr>
        <w:t xml:space="preserve"> </w:t>
      </w:r>
      <w:r w:rsidRPr="00283806">
        <w:rPr>
          <w:w w:val="115"/>
          <w:sz w:val="14"/>
        </w:rPr>
        <w:t>Bolsters</w:t>
      </w:r>
      <w:r w:rsidRPr="00283806">
        <w:rPr>
          <w:spacing w:val="-9"/>
          <w:w w:val="115"/>
          <w:sz w:val="14"/>
        </w:rPr>
        <w:t xml:space="preserve"> </w:t>
      </w:r>
      <w:r w:rsidRPr="00283806">
        <w:rPr>
          <w:w w:val="115"/>
          <w:sz w:val="14"/>
        </w:rPr>
        <w:t>Domestic</w:t>
      </w:r>
      <w:r w:rsidRPr="00283806">
        <w:rPr>
          <w:spacing w:val="-9"/>
          <w:w w:val="115"/>
          <w:sz w:val="14"/>
        </w:rPr>
        <w:t xml:space="preserve"> </w:t>
      </w:r>
      <w:r w:rsidRPr="00283806">
        <w:rPr>
          <w:w w:val="115"/>
          <w:sz w:val="14"/>
        </w:rPr>
        <w:t>Manufacturing</w:t>
      </w:r>
      <w:r w:rsidRPr="00283806">
        <w:rPr>
          <w:spacing w:val="-9"/>
          <w:w w:val="115"/>
          <w:sz w:val="14"/>
        </w:rPr>
        <w:t xml:space="preserve"> </w:t>
      </w:r>
      <w:r w:rsidRPr="00283806">
        <w:rPr>
          <w:w w:val="115"/>
          <w:sz w:val="14"/>
        </w:rPr>
        <w:t>with</w:t>
      </w:r>
      <w:r w:rsidRPr="00283806">
        <w:rPr>
          <w:spacing w:val="-9"/>
          <w:w w:val="115"/>
          <w:sz w:val="14"/>
        </w:rPr>
        <w:t xml:space="preserve"> </w:t>
      </w:r>
      <w:r w:rsidRPr="00283806">
        <w:rPr>
          <w:w w:val="115"/>
          <w:sz w:val="14"/>
        </w:rPr>
        <w:t>New</w:t>
      </w:r>
      <w:r w:rsidRPr="00283806">
        <w:rPr>
          <w:spacing w:val="40"/>
          <w:w w:val="115"/>
          <w:sz w:val="14"/>
        </w:rPr>
        <w:t xml:space="preserve"> </w:t>
      </w:r>
      <w:r w:rsidRPr="00283806">
        <w:rPr>
          <w:spacing w:val="-2"/>
          <w:w w:val="110"/>
          <w:sz w:val="14"/>
        </w:rPr>
        <w:t>Programs and Historic Commitments,’’ The White</w:t>
      </w:r>
      <w:r w:rsidRPr="00283806">
        <w:rPr>
          <w:spacing w:val="40"/>
          <w:w w:val="110"/>
          <w:sz w:val="14"/>
        </w:rPr>
        <w:t xml:space="preserve"> </w:t>
      </w:r>
      <w:r w:rsidRPr="00283806">
        <w:rPr>
          <w:w w:val="110"/>
          <w:sz w:val="14"/>
        </w:rPr>
        <w:t xml:space="preserve">House, September 23, 2021, available at: </w:t>
      </w:r>
      <w:r w:rsidRPr="00283806">
        <w:rPr>
          <w:rFonts w:ascii="Book Antiqua" w:hAnsi="Book Antiqua"/>
          <w:i/>
          <w:w w:val="110"/>
          <w:sz w:val="14"/>
        </w:rPr>
        <w:t>https://</w:t>
      </w:r>
      <w:r w:rsidRPr="00283806">
        <w:rPr>
          <w:rFonts w:ascii="Book Antiqua" w:hAnsi="Book Antiqua"/>
          <w:i/>
          <w:w w:val="115"/>
          <w:sz w:val="14"/>
        </w:rPr>
        <w:t xml:space="preserve"> </w:t>
      </w:r>
      <w:r w:rsidRPr="00283806">
        <w:rPr>
          <w:rFonts w:ascii="Book Antiqua" w:hAnsi="Book Antiqua"/>
          <w:i/>
          <w:spacing w:val="-2"/>
          <w:w w:val="115"/>
          <w:sz w:val="14"/>
        </w:rPr>
        <w:t>www.whitehouse.gov/briefing-room/statements-</w:t>
      </w:r>
      <w:r w:rsidRPr="00283806">
        <w:rPr>
          <w:rFonts w:ascii="Book Antiqua" w:hAnsi="Book Antiqua"/>
          <w:i/>
          <w:spacing w:val="40"/>
          <w:w w:val="115"/>
          <w:sz w:val="14"/>
        </w:rPr>
        <w:t xml:space="preserve"> </w:t>
      </w:r>
      <w:r w:rsidRPr="00283806">
        <w:rPr>
          <w:rFonts w:ascii="Book Antiqua" w:hAnsi="Book Antiqua"/>
          <w:i/>
          <w:spacing w:val="-2"/>
          <w:w w:val="115"/>
          <w:sz w:val="14"/>
        </w:rPr>
        <w:t>releases/2021/09/23/fact-sheet-</w:t>
      </w:r>
      <w:proofErr w:type="spellStart"/>
      <w:r w:rsidRPr="00283806">
        <w:rPr>
          <w:rFonts w:ascii="Book Antiqua" w:hAnsi="Book Antiqua"/>
          <w:i/>
          <w:spacing w:val="-2"/>
          <w:w w:val="115"/>
          <w:sz w:val="14"/>
        </w:rPr>
        <w:t>biden</w:t>
      </w:r>
      <w:proofErr w:type="spellEnd"/>
      <w:r w:rsidRPr="00283806">
        <w:rPr>
          <w:rFonts w:ascii="Book Antiqua" w:hAnsi="Book Antiqua"/>
          <w:i/>
          <w:spacing w:val="-2"/>
          <w:w w:val="115"/>
          <w:sz w:val="14"/>
        </w:rPr>
        <w:t>-</w:t>
      </w:r>
      <w:r w:rsidRPr="00283806">
        <w:rPr>
          <w:rFonts w:ascii="Book Antiqua" w:hAnsi="Book Antiqua"/>
          <w:i/>
          <w:spacing w:val="40"/>
          <w:w w:val="115"/>
          <w:sz w:val="14"/>
        </w:rPr>
        <w:t xml:space="preserve"> </w:t>
      </w:r>
      <w:r w:rsidRPr="00283806">
        <w:rPr>
          <w:rFonts w:ascii="Book Antiqua" w:hAnsi="Book Antiqua"/>
          <w:i/>
          <w:spacing w:val="-2"/>
          <w:w w:val="115"/>
          <w:sz w:val="14"/>
        </w:rPr>
        <w:t>administration-combats-super-pollutants-and-</w:t>
      </w:r>
      <w:r w:rsidRPr="00283806">
        <w:rPr>
          <w:rFonts w:ascii="Book Antiqua" w:hAnsi="Book Antiqua"/>
          <w:i/>
          <w:spacing w:val="40"/>
          <w:w w:val="115"/>
          <w:sz w:val="14"/>
        </w:rPr>
        <w:t xml:space="preserve"> </w:t>
      </w:r>
      <w:r w:rsidRPr="00283806">
        <w:rPr>
          <w:rFonts w:ascii="Book Antiqua" w:hAnsi="Book Antiqua"/>
          <w:i/>
          <w:spacing w:val="-2"/>
          <w:w w:val="115"/>
          <w:sz w:val="14"/>
        </w:rPr>
        <w:t>bolsters-domestic-manufacturing-with-new-</w:t>
      </w:r>
      <w:r w:rsidRPr="00283806">
        <w:rPr>
          <w:rFonts w:ascii="Book Antiqua" w:hAnsi="Book Antiqua"/>
          <w:i/>
          <w:spacing w:val="40"/>
          <w:w w:val="115"/>
          <w:sz w:val="14"/>
        </w:rPr>
        <w:t xml:space="preserve"> </w:t>
      </w:r>
      <w:r w:rsidRPr="00283806">
        <w:rPr>
          <w:rFonts w:ascii="Book Antiqua" w:hAnsi="Book Antiqua"/>
          <w:i/>
          <w:spacing w:val="-2"/>
          <w:w w:val="115"/>
          <w:sz w:val="14"/>
        </w:rPr>
        <w:t>programs-and-historic-commitments.</w:t>
      </w:r>
    </w:p>
    <w:p w14:paraId="5C02E87A" w14:textId="77777777" w:rsidR="00D67C1E" w:rsidRPr="00283806" w:rsidRDefault="00D67C1E">
      <w:pPr>
        <w:spacing w:line="225" w:lineRule="auto"/>
        <w:rPr>
          <w:rFonts w:ascii="Book Antiqua" w:hAnsi="Book Antiqua"/>
          <w:sz w:val="14"/>
        </w:rPr>
        <w:sectPr w:rsidR="00D67C1E" w:rsidRPr="00283806">
          <w:type w:val="continuous"/>
          <w:pgSz w:w="12240" w:h="15840"/>
          <w:pgMar w:top="880" w:right="780" w:bottom="280" w:left="740" w:header="627" w:footer="0" w:gutter="0"/>
          <w:cols w:num="3" w:space="720" w:equalWidth="0">
            <w:col w:w="3517" w:space="40"/>
            <w:col w:w="3469" w:space="54"/>
            <w:col w:w="3640"/>
          </w:cols>
        </w:sectPr>
      </w:pPr>
    </w:p>
    <w:p w14:paraId="769D8667" w14:textId="77777777" w:rsidR="00D67C1E" w:rsidRPr="00283806" w:rsidRDefault="001265CA">
      <w:pPr>
        <w:pStyle w:val="BodyText"/>
        <w:spacing w:before="136" w:line="225" w:lineRule="auto"/>
        <w:ind w:right="71"/>
      </w:pPr>
      <w:r w:rsidRPr="00283806">
        <w:rPr>
          <w:w w:val="105"/>
        </w:rPr>
        <w:lastRenderedPageBreak/>
        <w:t>reclaimed, disposed of, and introduced into commerce, and review EPA’s program, including opportunity for public comment, by October 1, 2026,</w:t>
      </w:r>
      <w:r w:rsidRPr="00283806">
        <w:rPr>
          <w:spacing w:val="80"/>
          <w:w w:val="105"/>
        </w:rPr>
        <w:t xml:space="preserve"> </w:t>
      </w:r>
      <w:r w:rsidRPr="00283806">
        <w:rPr>
          <w:w w:val="105"/>
        </w:rPr>
        <w:t>and finalize revised standards by 2027. The commenter also requested that EPA ‘‘condition the effectiveness of such requirements on the development of</w:t>
      </w:r>
      <w:r w:rsidRPr="00283806">
        <w:rPr>
          <w:spacing w:val="40"/>
          <w:w w:val="105"/>
        </w:rPr>
        <w:t xml:space="preserve"> </w:t>
      </w:r>
      <w:r w:rsidRPr="00283806">
        <w:rPr>
          <w:w w:val="105"/>
        </w:rPr>
        <w:t xml:space="preserve">new certification standards for </w:t>
      </w:r>
      <w:r w:rsidRPr="00283806">
        <w:rPr>
          <w:spacing w:val="-2"/>
          <w:w w:val="105"/>
        </w:rPr>
        <w:t>contractors.’’</w:t>
      </w:r>
    </w:p>
    <w:p w14:paraId="143A27D0" w14:textId="77777777" w:rsidR="00D67C1E" w:rsidRPr="00283806" w:rsidRDefault="001265CA">
      <w:pPr>
        <w:pStyle w:val="BodyText"/>
        <w:spacing w:line="213" w:lineRule="auto"/>
        <w:ind w:right="25" w:firstLine="180"/>
      </w:pPr>
      <w:r w:rsidRPr="00283806">
        <w:rPr>
          <w:rFonts w:ascii="Book Antiqua"/>
          <w:i/>
          <w:w w:val="110"/>
        </w:rPr>
        <w:t xml:space="preserve">Response: </w:t>
      </w:r>
      <w:r w:rsidRPr="00283806">
        <w:rPr>
          <w:w w:val="110"/>
        </w:rPr>
        <w:t xml:space="preserve">EPA responds to this </w:t>
      </w:r>
      <w:r w:rsidRPr="00283806">
        <w:t>comment</w:t>
      </w:r>
      <w:r w:rsidRPr="00283806">
        <w:rPr>
          <w:spacing w:val="38"/>
        </w:rPr>
        <w:t xml:space="preserve"> </w:t>
      </w:r>
      <w:r w:rsidRPr="00283806">
        <w:t>that</w:t>
      </w:r>
      <w:r w:rsidRPr="00283806">
        <w:rPr>
          <w:spacing w:val="39"/>
        </w:rPr>
        <w:t xml:space="preserve"> </w:t>
      </w:r>
      <w:r w:rsidRPr="00283806">
        <w:t>the</w:t>
      </w:r>
      <w:r w:rsidRPr="00283806">
        <w:rPr>
          <w:spacing w:val="38"/>
        </w:rPr>
        <w:t xml:space="preserve"> </w:t>
      </w:r>
      <w:r w:rsidRPr="00283806">
        <w:t>Agency</w:t>
      </w:r>
      <w:r w:rsidRPr="00283806">
        <w:rPr>
          <w:spacing w:val="39"/>
        </w:rPr>
        <w:t xml:space="preserve"> </w:t>
      </w:r>
      <w:r w:rsidRPr="00283806">
        <w:rPr>
          <w:spacing w:val="-2"/>
        </w:rPr>
        <w:t>solicited</w:t>
      </w:r>
    </w:p>
    <w:p w14:paraId="16161CEC" w14:textId="77777777" w:rsidR="00D67C1E" w:rsidRPr="00283806" w:rsidRDefault="001265CA">
      <w:pPr>
        <w:pStyle w:val="BodyText"/>
        <w:spacing w:line="225" w:lineRule="auto"/>
        <w:ind w:right="25"/>
      </w:pPr>
      <w:r w:rsidRPr="00283806">
        <w:rPr>
          <w:w w:val="105"/>
        </w:rPr>
        <w:t xml:space="preserve">comments in an ANPRM related to technician training, certification, and other considerations. The Agency acknowledges the comment related to requiring certain recordkeeping and/or certification standards for contractors and considers this comment related to the ANPRM. As such, the Agency is not addressing the comment </w:t>
      </w:r>
      <w:proofErr w:type="gramStart"/>
      <w:r w:rsidRPr="00283806">
        <w:rPr>
          <w:w w:val="105"/>
        </w:rPr>
        <w:t>at this time</w:t>
      </w:r>
      <w:proofErr w:type="gramEnd"/>
      <w:r w:rsidRPr="00283806">
        <w:rPr>
          <w:w w:val="105"/>
        </w:rPr>
        <w:t>.</w:t>
      </w:r>
    </w:p>
    <w:p w14:paraId="696052B6" w14:textId="77777777" w:rsidR="00D67C1E" w:rsidRPr="00283806" w:rsidRDefault="001265CA">
      <w:pPr>
        <w:pStyle w:val="BodyText"/>
        <w:spacing w:line="177" w:lineRule="exact"/>
        <w:ind w:left="340"/>
      </w:pPr>
      <w:r w:rsidRPr="00283806">
        <w:rPr>
          <w:w w:val="110"/>
        </w:rPr>
        <w:t>As</w:t>
      </w:r>
      <w:r w:rsidRPr="00283806">
        <w:rPr>
          <w:spacing w:val="-4"/>
          <w:w w:val="110"/>
        </w:rPr>
        <w:t xml:space="preserve"> </w:t>
      </w:r>
      <w:r w:rsidRPr="00283806">
        <w:rPr>
          <w:w w:val="110"/>
        </w:rPr>
        <w:t>discussed</w:t>
      </w:r>
      <w:r w:rsidRPr="00283806">
        <w:rPr>
          <w:spacing w:val="-4"/>
          <w:w w:val="110"/>
        </w:rPr>
        <w:t xml:space="preserve"> </w:t>
      </w:r>
      <w:r w:rsidRPr="00283806">
        <w:rPr>
          <w:w w:val="110"/>
        </w:rPr>
        <w:t>earlier</w:t>
      </w:r>
      <w:r w:rsidRPr="00283806">
        <w:rPr>
          <w:spacing w:val="-4"/>
          <w:w w:val="110"/>
        </w:rPr>
        <w:t xml:space="preserve"> </w:t>
      </w:r>
      <w:r w:rsidRPr="00283806">
        <w:rPr>
          <w:w w:val="110"/>
        </w:rPr>
        <w:t>in</w:t>
      </w:r>
      <w:r w:rsidRPr="00283806">
        <w:rPr>
          <w:spacing w:val="-4"/>
          <w:w w:val="110"/>
        </w:rPr>
        <w:t xml:space="preserve"> </w:t>
      </w:r>
      <w:r w:rsidRPr="00283806">
        <w:rPr>
          <w:w w:val="110"/>
        </w:rPr>
        <w:t>this</w:t>
      </w:r>
      <w:r w:rsidRPr="00283806">
        <w:rPr>
          <w:spacing w:val="-4"/>
          <w:w w:val="110"/>
        </w:rPr>
        <w:t xml:space="preserve"> </w:t>
      </w:r>
      <w:r w:rsidRPr="00283806">
        <w:rPr>
          <w:spacing w:val="-2"/>
          <w:w w:val="110"/>
        </w:rPr>
        <w:t>section,</w:t>
      </w:r>
    </w:p>
    <w:p w14:paraId="2F520D2D" w14:textId="77777777" w:rsidR="00D67C1E" w:rsidRPr="00283806" w:rsidRDefault="001265CA">
      <w:pPr>
        <w:pStyle w:val="BodyText"/>
        <w:spacing w:line="225" w:lineRule="auto"/>
        <w:ind w:right="60"/>
      </w:pPr>
      <w:r w:rsidRPr="00283806">
        <w:rPr>
          <w:w w:val="105"/>
        </w:rPr>
        <w:t>EPA is establishing a discrete reporting requirement for relevant data to be submitted to the Agency to evaluate the availability of reclaimed HFC</w:t>
      </w:r>
      <w:r w:rsidRPr="00283806">
        <w:rPr>
          <w:spacing w:val="40"/>
          <w:w w:val="105"/>
        </w:rPr>
        <w:t xml:space="preserve"> </w:t>
      </w:r>
      <w:r w:rsidRPr="00283806">
        <w:rPr>
          <w:w w:val="105"/>
        </w:rPr>
        <w:t>refrigerants being supplied for servicing and/or repair of refrigerant-containing equipment in the supermarket systems, refrigerated transport, and automatic commercial icemakers subsectors. EPA</w:t>
      </w:r>
      <w:r w:rsidRPr="00283806">
        <w:rPr>
          <w:spacing w:val="40"/>
          <w:w w:val="105"/>
        </w:rPr>
        <w:t xml:space="preserve"> </w:t>
      </w:r>
      <w:r w:rsidRPr="00283806">
        <w:rPr>
          <w:w w:val="105"/>
        </w:rPr>
        <w:t xml:space="preserve">is establishing these reporting requirements to be prior to the compliance date of the requirements for reclaimed HFC refrigerants used for servicing and/or repair in these subsectors. EPA intends to consider the reported data and evaluate the requirements that begin as of January 1, </w:t>
      </w:r>
      <w:r w:rsidRPr="00283806">
        <w:rPr>
          <w:spacing w:val="-2"/>
          <w:w w:val="105"/>
        </w:rPr>
        <w:t>2029.</w:t>
      </w:r>
    </w:p>
    <w:p w14:paraId="79D030E4" w14:textId="77777777" w:rsidR="00D67C1E" w:rsidRPr="00283806" w:rsidRDefault="001265CA">
      <w:pPr>
        <w:spacing w:line="179" w:lineRule="exact"/>
        <w:ind w:left="340"/>
        <w:rPr>
          <w:sz w:val="18"/>
        </w:rPr>
      </w:pPr>
      <w:r w:rsidRPr="00283806">
        <w:rPr>
          <w:rFonts w:ascii="Book Antiqua"/>
          <w:i/>
          <w:w w:val="110"/>
          <w:sz w:val="18"/>
        </w:rPr>
        <w:t>Comment:</w:t>
      </w:r>
      <w:r w:rsidRPr="00283806">
        <w:rPr>
          <w:rFonts w:ascii="Book Antiqua"/>
          <w:i/>
          <w:spacing w:val="-13"/>
          <w:w w:val="110"/>
          <w:sz w:val="18"/>
        </w:rPr>
        <w:t xml:space="preserve"> </w:t>
      </w:r>
      <w:r w:rsidRPr="00283806">
        <w:rPr>
          <w:w w:val="110"/>
          <w:sz w:val="18"/>
        </w:rPr>
        <w:t>One</w:t>
      </w:r>
      <w:r w:rsidRPr="00283806">
        <w:rPr>
          <w:spacing w:val="-6"/>
          <w:w w:val="110"/>
          <w:sz w:val="18"/>
        </w:rPr>
        <w:t xml:space="preserve"> </w:t>
      </w:r>
      <w:r w:rsidRPr="00283806">
        <w:rPr>
          <w:w w:val="110"/>
          <w:sz w:val="18"/>
        </w:rPr>
        <w:t>commenter</w:t>
      </w:r>
      <w:r w:rsidRPr="00283806">
        <w:rPr>
          <w:spacing w:val="-7"/>
          <w:w w:val="110"/>
          <w:sz w:val="18"/>
        </w:rPr>
        <w:t xml:space="preserve"> </w:t>
      </w:r>
      <w:r w:rsidRPr="00283806">
        <w:rPr>
          <w:spacing w:val="-2"/>
          <w:w w:val="110"/>
          <w:sz w:val="18"/>
        </w:rPr>
        <w:t>claimed</w:t>
      </w:r>
    </w:p>
    <w:p w14:paraId="42F087D9" w14:textId="77777777" w:rsidR="00D67C1E" w:rsidRPr="00283806" w:rsidRDefault="001265CA">
      <w:pPr>
        <w:pStyle w:val="BodyText"/>
        <w:spacing w:line="225" w:lineRule="auto"/>
        <w:ind w:right="16"/>
      </w:pPr>
      <w:r w:rsidRPr="00283806">
        <w:rPr>
          <w:w w:val="105"/>
        </w:rPr>
        <w:t xml:space="preserve">that subsection (h)(2) does not give EPA authority to require the use of reclaimed substances or substitutes. The comment stated that subsection (h)(2) simply provides </w:t>
      </w:r>
      <w:proofErr w:type="gramStart"/>
      <w:r w:rsidRPr="00283806">
        <w:rPr>
          <w:w w:val="105"/>
        </w:rPr>
        <w:t>that ‘‘[i]n</w:t>
      </w:r>
      <w:proofErr w:type="gramEnd"/>
      <w:r w:rsidRPr="00283806">
        <w:rPr>
          <w:w w:val="105"/>
        </w:rPr>
        <w:t xml:space="preserve"> carrying out this section’’ EPA is to ‘‘consider the </w:t>
      </w:r>
      <w:proofErr w:type="gramStart"/>
      <w:r w:rsidRPr="00283806">
        <w:rPr>
          <w:w w:val="105"/>
        </w:rPr>
        <w:t>use’’</w:t>
      </w:r>
      <w:proofErr w:type="gramEnd"/>
      <w:r w:rsidRPr="00283806">
        <w:rPr>
          <w:w w:val="105"/>
        </w:rPr>
        <w:t xml:space="preserve"> of authority under ‘‘this </w:t>
      </w:r>
      <w:proofErr w:type="gramStart"/>
      <w:r w:rsidRPr="00283806">
        <w:rPr>
          <w:w w:val="105"/>
        </w:rPr>
        <w:t>section’’</w:t>
      </w:r>
      <w:proofErr w:type="gramEnd"/>
      <w:r w:rsidRPr="00283806">
        <w:rPr>
          <w:w w:val="105"/>
        </w:rPr>
        <w:t xml:space="preserve"> </w:t>
      </w:r>
      <w:proofErr w:type="gramStart"/>
      <w:r w:rsidRPr="00283806">
        <w:rPr>
          <w:w w:val="105"/>
        </w:rPr>
        <w:t>with regard to</w:t>
      </w:r>
      <w:proofErr w:type="gramEnd"/>
      <w:r w:rsidRPr="00283806">
        <w:rPr>
          <w:w w:val="105"/>
        </w:rPr>
        <w:t xml:space="preserve"> opportunities for reclaim. The commenter asserted that this provision must be read within its statutory context and</w:t>
      </w:r>
      <w:r w:rsidRPr="00283806">
        <w:rPr>
          <w:spacing w:val="40"/>
          <w:w w:val="105"/>
        </w:rPr>
        <w:t xml:space="preserve"> </w:t>
      </w:r>
      <w:r w:rsidRPr="00283806">
        <w:rPr>
          <w:w w:val="105"/>
        </w:rPr>
        <w:t>does</w:t>
      </w:r>
      <w:r w:rsidRPr="00283806">
        <w:rPr>
          <w:spacing w:val="40"/>
          <w:w w:val="105"/>
        </w:rPr>
        <w:t xml:space="preserve"> </w:t>
      </w:r>
      <w:r w:rsidRPr="00283806">
        <w:rPr>
          <w:w w:val="105"/>
        </w:rPr>
        <w:t>not</w:t>
      </w:r>
      <w:r w:rsidRPr="00283806">
        <w:rPr>
          <w:spacing w:val="40"/>
          <w:w w:val="105"/>
        </w:rPr>
        <w:t xml:space="preserve"> </w:t>
      </w:r>
      <w:r w:rsidRPr="00283806">
        <w:rPr>
          <w:w w:val="105"/>
        </w:rPr>
        <w:t>provide</w:t>
      </w:r>
      <w:r w:rsidRPr="00283806">
        <w:rPr>
          <w:spacing w:val="40"/>
          <w:w w:val="105"/>
        </w:rPr>
        <w:t xml:space="preserve"> </w:t>
      </w:r>
      <w:r w:rsidRPr="00283806">
        <w:rPr>
          <w:w w:val="105"/>
        </w:rPr>
        <w:t>EPA</w:t>
      </w:r>
      <w:r w:rsidRPr="00283806">
        <w:rPr>
          <w:spacing w:val="40"/>
          <w:w w:val="105"/>
        </w:rPr>
        <w:t xml:space="preserve"> </w:t>
      </w:r>
      <w:r w:rsidRPr="00283806">
        <w:rPr>
          <w:w w:val="105"/>
        </w:rPr>
        <w:t>with authority to utilize authority contained outside of subsection (h). The</w:t>
      </w:r>
      <w:r w:rsidRPr="00283806">
        <w:rPr>
          <w:spacing w:val="40"/>
          <w:w w:val="105"/>
        </w:rPr>
        <w:t xml:space="preserve"> </w:t>
      </w:r>
      <w:r w:rsidRPr="00283806">
        <w:rPr>
          <w:w w:val="105"/>
        </w:rPr>
        <w:t>commenter stated that subsection (h)(2) is ‘‘most naturally read’’ to mean that when instituting regulations relating to servicing,</w:t>
      </w:r>
      <w:r w:rsidRPr="00283806">
        <w:rPr>
          <w:spacing w:val="40"/>
          <w:w w:val="105"/>
        </w:rPr>
        <w:t xml:space="preserve"> </w:t>
      </w:r>
      <w:r w:rsidRPr="00283806">
        <w:rPr>
          <w:w w:val="105"/>
        </w:rPr>
        <w:t>repair,</w:t>
      </w:r>
      <w:r w:rsidRPr="00283806">
        <w:rPr>
          <w:spacing w:val="40"/>
          <w:w w:val="105"/>
        </w:rPr>
        <w:t xml:space="preserve"> </w:t>
      </w:r>
      <w:r w:rsidRPr="00283806">
        <w:rPr>
          <w:w w:val="105"/>
        </w:rPr>
        <w:t>disposal,</w:t>
      </w:r>
      <w:r w:rsidRPr="00283806">
        <w:rPr>
          <w:spacing w:val="40"/>
          <w:w w:val="105"/>
        </w:rPr>
        <w:t xml:space="preserve"> </w:t>
      </w:r>
      <w:r w:rsidRPr="00283806">
        <w:rPr>
          <w:w w:val="105"/>
        </w:rPr>
        <w:t>or installation of equipment, EPA consider opportunities for refrigerant</w:t>
      </w:r>
      <w:r w:rsidRPr="00283806">
        <w:rPr>
          <w:spacing w:val="40"/>
          <w:w w:val="105"/>
        </w:rPr>
        <w:t xml:space="preserve"> </w:t>
      </w:r>
      <w:r w:rsidRPr="00283806">
        <w:rPr>
          <w:w w:val="105"/>
        </w:rPr>
        <w:t>reclamation. The commenter also stated that EPA cites no legislative history to support a broader interpretation of (h)(2), and asserts that EPA is arbitrarily creating an unauthorized, mandatory market for reclaimed HFCs based on its reading of the purposes of this section, while simultaneously claiming that market forces alone will increase the</w:t>
      </w:r>
    </w:p>
    <w:p w14:paraId="209874C3" w14:textId="77777777" w:rsidR="00D67C1E" w:rsidRPr="00283806" w:rsidRDefault="001265CA">
      <w:pPr>
        <w:pStyle w:val="BodyText"/>
        <w:spacing w:before="134" w:line="228" w:lineRule="auto"/>
        <w:ind w:left="155" w:right="18"/>
      </w:pPr>
      <w:r w:rsidRPr="00283806">
        <w:br w:type="column"/>
      </w:r>
      <w:r w:rsidRPr="00283806">
        <w:rPr>
          <w:w w:val="105"/>
        </w:rPr>
        <w:t>amount of reclaimed HFCs available.</w:t>
      </w:r>
      <w:r w:rsidRPr="00283806">
        <w:rPr>
          <w:spacing w:val="80"/>
          <w:w w:val="150"/>
        </w:rPr>
        <w:t xml:space="preserve"> </w:t>
      </w:r>
      <w:r w:rsidRPr="00283806">
        <w:rPr>
          <w:w w:val="105"/>
        </w:rPr>
        <w:t>The commenter further stated that there is no ‘‘market failure’’ for EPA to correct via regulation, and that market forces should take precedence.</w:t>
      </w:r>
    </w:p>
    <w:p w14:paraId="13C42A05" w14:textId="77777777" w:rsidR="00D67C1E" w:rsidRPr="00283806" w:rsidRDefault="001265CA">
      <w:pPr>
        <w:pStyle w:val="BodyText"/>
        <w:spacing w:before="37" w:line="228" w:lineRule="auto"/>
        <w:ind w:left="155" w:right="58" w:firstLine="180"/>
      </w:pPr>
      <w:r w:rsidRPr="00283806">
        <w:rPr>
          <w:rFonts w:ascii="Book Antiqua"/>
          <w:i/>
          <w:w w:val="105"/>
        </w:rPr>
        <w:t xml:space="preserve">Response: </w:t>
      </w:r>
      <w:r w:rsidRPr="00283806">
        <w:rPr>
          <w:w w:val="105"/>
        </w:rPr>
        <w:t>Although the commenter does not specify which part of</w:t>
      </w:r>
      <w:r w:rsidRPr="00283806">
        <w:rPr>
          <w:spacing w:val="80"/>
          <w:w w:val="105"/>
        </w:rPr>
        <w:t xml:space="preserve"> </w:t>
      </w:r>
      <w:r w:rsidRPr="00283806">
        <w:rPr>
          <w:w w:val="105"/>
        </w:rPr>
        <w:t>subsection (h)(2) of the AIM Act the comment is referencing, the Agency, based on the excerpt quoted (which appears in subsection (h)(2)(A) of the Act) interprets this comment to relate to subsection (h)(2)(A) but not subsection (h)(2)(B), which as discussed elsewhere in this notice pertains to reclamation of recovered HFC refrigerants. As</w:t>
      </w:r>
      <w:r w:rsidRPr="00283806">
        <w:rPr>
          <w:spacing w:val="80"/>
          <w:w w:val="105"/>
        </w:rPr>
        <w:t xml:space="preserve"> </w:t>
      </w:r>
      <w:r w:rsidRPr="00283806">
        <w:rPr>
          <w:w w:val="105"/>
        </w:rPr>
        <w:t>discussed in the proposal and in this</w:t>
      </w:r>
      <w:r w:rsidRPr="00283806">
        <w:rPr>
          <w:spacing w:val="80"/>
          <w:w w:val="105"/>
        </w:rPr>
        <w:t xml:space="preserve"> </w:t>
      </w:r>
      <w:r w:rsidRPr="00283806">
        <w:rPr>
          <w:w w:val="105"/>
        </w:rPr>
        <w:t>final</w:t>
      </w:r>
      <w:r w:rsidRPr="00283806">
        <w:rPr>
          <w:spacing w:val="40"/>
          <w:w w:val="105"/>
        </w:rPr>
        <w:t xml:space="preserve"> </w:t>
      </w:r>
      <w:r w:rsidRPr="00283806">
        <w:rPr>
          <w:w w:val="105"/>
        </w:rPr>
        <w:t>rule,</w:t>
      </w:r>
      <w:r w:rsidRPr="00283806">
        <w:rPr>
          <w:spacing w:val="40"/>
          <w:w w:val="105"/>
        </w:rPr>
        <w:t xml:space="preserve"> </w:t>
      </w:r>
      <w:r w:rsidRPr="00283806">
        <w:rPr>
          <w:w w:val="105"/>
        </w:rPr>
        <w:t>the</w:t>
      </w:r>
      <w:r w:rsidRPr="00283806">
        <w:rPr>
          <w:spacing w:val="40"/>
          <w:w w:val="105"/>
        </w:rPr>
        <w:t xml:space="preserve"> </w:t>
      </w:r>
      <w:r w:rsidRPr="00283806">
        <w:rPr>
          <w:w w:val="105"/>
        </w:rPr>
        <w:t>Agency</w:t>
      </w:r>
      <w:r w:rsidRPr="00283806">
        <w:rPr>
          <w:spacing w:val="40"/>
          <w:w w:val="105"/>
        </w:rPr>
        <w:t xml:space="preserve"> </w:t>
      </w:r>
      <w:r w:rsidRPr="00283806">
        <w:rPr>
          <w:w w:val="105"/>
        </w:rPr>
        <w:t>has</w:t>
      </w:r>
      <w:r w:rsidRPr="00283806">
        <w:rPr>
          <w:spacing w:val="40"/>
          <w:w w:val="105"/>
        </w:rPr>
        <w:t xml:space="preserve"> </w:t>
      </w:r>
      <w:r w:rsidRPr="00283806">
        <w:rPr>
          <w:w w:val="105"/>
        </w:rPr>
        <w:t>considered the use of authority available to the Administrator to increase opportunities for reclamation of HFCs used as refrigerants in developing the requirements established in this rule. As this action is taken under subsection (h) of the Act, EPA need not address the application of subsection (h)(2)(A) to other subsections of the AIM Act, and</w:t>
      </w:r>
    </w:p>
    <w:p w14:paraId="678CB8BD" w14:textId="77777777" w:rsidR="00D67C1E" w:rsidRPr="00283806" w:rsidRDefault="001265CA">
      <w:pPr>
        <w:pStyle w:val="BodyText"/>
        <w:spacing w:line="176" w:lineRule="exact"/>
        <w:ind w:left="155"/>
      </w:pPr>
      <w:r w:rsidRPr="00283806">
        <w:rPr>
          <w:w w:val="105"/>
        </w:rPr>
        <w:t>to</w:t>
      </w:r>
      <w:r w:rsidRPr="00283806">
        <w:rPr>
          <w:spacing w:val="3"/>
          <w:w w:val="105"/>
        </w:rPr>
        <w:t xml:space="preserve"> </w:t>
      </w:r>
      <w:r w:rsidRPr="00283806">
        <w:rPr>
          <w:w w:val="105"/>
        </w:rPr>
        <w:t>the</w:t>
      </w:r>
      <w:r w:rsidRPr="00283806">
        <w:rPr>
          <w:spacing w:val="4"/>
          <w:w w:val="105"/>
        </w:rPr>
        <w:t xml:space="preserve"> </w:t>
      </w:r>
      <w:r w:rsidRPr="00283806">
        <w:rPr>
          <w:w w:val="105"/>
        </w:rPr>
        <w:t>extent</w:t>
      </w:r>
      <w:r w:rsidRPr="00283806">
        <w:rPr>
          <w:spacing w:val="3"/>
          <w:w w:val="105"/>
        </w:rPr>
        <w:t xml:space="preserve"> </w:t>
      </w:r>
      <w:r w:rsidRPr="00283806">
        <w:rPr>
          <w:w w:val="105"/>
        </w:rPr>
        <w:t>that</w:t>
      </w:r>
      <w:r w:rsidRPr="00283806">
        <w:rPr>
          <w:spacing w:val="4"/>
          <w:w w:val="105"/>
        </w:rPr>
        <w:t xml:space="preserve"> </w:t>
      </w:r>
      <w:r w:rsidRPr="00283806">
        <w:rPr>
          <w:w w:val="105"/>
        </w:rPr>
        <w:t>the</w:t>
      </w:r>
      <w:r w:rsidRPr="00283806">
        <w:rPr>
          <w:spacing w:val="3"/>
          <w:w w:val="105"/>
        </w:rPr>
        <w:t xml:space="preserve"> </w:t>
      </w:r>
      <w:r w:rsidRPr="00283806">
        <w:rPr>
          <w:w w:val="105"/>
        </w:rPr>
        <w:t>comment</w:t>
      </w:r>
      <w:r w:rsidRPr="00283806">
        <w:rPr>
          <w:spacing w:val="4"/>
          <w:w w:val="105"/>
        </w:rPr>
        <w:t xml:space="preserve"> </w:t>
      </w:r>
      <w:r w:rsidRPr="00283806">
        <w:rPr>
          <w:w w:val="105"/>
        </w:rPr>
        <w:t>relates</w:t>
      </w:r>
      <w:r w:rsidRPr="00283806">
        <w:rPr>
          <w:spacing w:val="3"/>
          <w:w w:val="105"/>
        </w:rPr>
        <w:t xml:space="preserve"> </w:t>
      </w:r>
      <w:r w:rsidRPr="00283806">
        <w:rPr>
          <w:spacing w:val="-5"/>
          <w:w w:val="105"/>
        </w:rPr>
        <w:t>to</w:t>
      </w:r>
    </w:p>
    <w:p w14:paraId="1C9809F9" w14:textId="77777777" w:rsidR="00D67C1E" w:rsidRPr="00283806" w:rsidRDefault="001265CA">
      <w:pPr>
        <w:pStyle w:val="BodyText"/>
        <w:spacing w:before="3" w:line="228" w:lineRule="auto"/>
        <w:ind w:left="155" w:right="62"/>
      </w:pPr>
      <w:r w:rsidRPr="00283806">
        <w:rPr>
          <w:w w:val="105"/>
        </w:rPr>
        <w:t xml:space="preserve">other subsections of the </w:t>
      </w:r>
      <w:proofErr w:type="gramStart"/>
      <w:r w:rsidRPr="00283806">
        <w:rPr>
          <w:w w:val="105"/>
        </w:rPr>
        <w:t>Act it is</w:t>
      </w:r>
      <w:proofErr w:type="gramEnd"/>
      <w:r w:rsidRPr="00283806">
        <w:rPr>
          <w:w w:val="105"/>
        </w:rPr>
        <w:t xml:space="preserve"> beyond the scope of this rulemaking and thus </w:t>
      </w:r>
      <w:proofErr w:type="gramStart"/>
      <w:r w:rsidRPr="00283806">
        <w:rPr>
          <w:w w:val="105"/>
        </w:rPr>
        <w:t>requires</w:t>
      </w:r>
      <w:proofErr w:type="gramEnd"/>
      <w:r w:rsidRPr="00283806">
        <w:rPr>
          <w:w w:val="105"/>
        </w:rPr>
        <w:t xml:space="preserve"> no further response. As discussed in more detail elsewhere in this preamble and in other responses to comment, EPA interprets the requirements established in this final rule to perform servicing and/or repair of certain appliances in certain sectors</w:t>
      </w:r>
      <w:r w:rsidRPr="00283806">
        <w:rPr>
          <w:spacing w:val="40"/>
          <w:w w:val="105"/>
        </w:rPr>
        <w:t xml:space="preserve"> </w:t>
      </w:r>
      <w:r w:rsidRPr="00283806">
        <w:rPr>
          <w:w w:val="105"/>
        </w:rPr>
        <w:t xml:space="preserve">or subsectors with reclaimed HFCs as being within the scope of its regulatory authority under subsection (h)(1) of the Act. Subsection (h)(1) of the AIM Act directs the Agency to establish regulations to control, where appropriate, practices, processes, or activities regarding the servicing or repair of equipment that involves a regulated </w:t>
      </w:r>
      <w:proofErr w:type="gramStart"/>
      <w:r w:rsidRPr="00283806">
        <w:rPr>
          <w:w w:val="105"/>
        </w:rPr>
        <w:t>substance</w:t>
      </w:r>
      <w:proofErr w:type="gramEnd"/>
      <w:r w:rsidRPr="00283806">
        <w:rPr>
          <w:w w:val="105"/>
        </w:rPr>
        <w:t xml:space="preserve"> or the reclaiming of a regulated substance used as a refrigerant. The relevant provisions in the final rule control the servicing and/ or repair of certain refrigerant- containing equipment by requiring that</w:t>
      </w:r>
      <w:r w:rsidRPr="00283806">
        <w:rPr>
          <w:spacing w:val="40"/>
          <w:w w:val="105"/>
        </w:rPr>
        <w:t xml:space="preserve"> </w:t>
      </w:r>
      <w:r w:rsidRPr="00283806">
        <w:rPr>
          <w:w w:val="105"/>
        </w:rPr>
        <w:t>it</w:t>
      </w:r>
      <w:r w:rsidRPr="00283806">
        <w:rPr>
          <w:spacing w:val="40"/>
          <w:w w:val="105"/>
        </w:rPr>
        <w:t xml:space="preserve"> </w:t>
      </w:r>
      <w:r w:rsidRPr="00283806">
        <w:rPr>
          <w:w w:val="105"/>
        </w:rPr>
        <w:t>be</w:t>
      </w:r>
      <w:r w:rsidRPr="00283806">
        <w:rPr>
          <w:spacing w:val="40"/>
          <w:w w:val="105"/>
        </w:rPr>
        <w:t xml:space="preserve"> </w:t>
      </w:r>
      <w:r w:rsidRPr="00283806">
        <w:rPr>
          <w:w w:val="105"/>
        </w:rPr>
        <w:t>done</w:t>
      </w:r>
      <w:r w:rsidRPr="00283806">
        <w:rPr>
          <w:spacing w:val="40"/>
          <w:w w:val="105"/>
        </w:rPr>
        <w:t xml:space="preserve"> </w:t>
      </w:r>
      <w:r w:rsidRPr="00283806">
        <w:rPr>
          <w:w w:val="105"/>
        </w:rPr>
        <w:t>with</w:t>
      </w:r>
      <w:r w:rsidRPr="00283806">
        <w:rPr>
          <w:spacing w:val="40"/>
          <w:w w:val="105"/>
        </w:rPr>
        <w:t xml:space="preserve"> </w:t>
      </w:r>
      <w:r w:rsidRPr="00283806">
        <w:rPr>
          <w:w w:val="105"/>
        </w:rPr>
        <w:t>reclaimed</w:t>
      </w:r>
      <w:r w:rsidRPr="00283806">
        <w:rPr>
          <w:spacing w:val="40"/>
          <w:w w:val="105"/>
        </w:rPr>
        <w:t xml:space="preserve"> </w:t>
      </w:r>
      <w:r w:rsidRPr="00283806">
        <w:rPr>
          <w:w w:val="105"/>
        </w:rPr>
        <w:t>HFCs</w:t>
      </w:r>
      <w:r w:rsidRPr="00283806">
        <w:rPr>
          <w:spacing w:val="40"/>
          <w:w w:val="105"/>
        </w:rPr>
        <w:t xml:space="preserve"> </w:t>
      </w:r>
      <w:r w:rsidRPr="00283806">
        <w:rPr>
          <w:w w:val="105"/>
        </w:rPr>
        <w:t>and thus are within this authority and support the purpose of maximizing reclaim of HFCs. This interpretation is based on the text of subsection (h), as</w:t>
      </w:r>
      <w:r w:rsidRPr="00283806">
        <w:rPr>
          <w:spacing w:val="40"/>
          <w:w w:val="105"/>
        </w:rPr>
        <w:t xml:space="preserve"> </w:t>
      </w:r>
      <w:r w:rsidRPr="00283806">
        <w:rPr>
          <w:w w:val="105"/>
        </w:rPr>
        <w:t xml:space="preserve">the available legislative history for the AIM Act is very limited, and the commenter does not cite any statutory text or legislative history to suggest that this interpretation is inconsistent with Congressional intent. Given that the statutory text in subsection (h)(1) identifies </w:t>
      </w:r>
      <w:proofErr w:type="gramStart"/>
      <w:r w:rsidRPr="00283806">
        <w:rPr>
          <w:w w:val="105"/>
        </w:rPr>
        <w:t>particular purposes</w:t>
      </w:r>
      <w:proofErr w:type="gramEnd"/>
      <w:r w:rsidRPr="00283806">
        <w:rPr>
          <w:w w:val="105"/>
        </w:rPr>
        <w:t xml:space="preserve"> for regulations established under this provision, it is reasonable to consider those purposes in establishing such</w:t>
      </w:r>
    </w:p>
    <w:p w14:paraId="0FC34ABC" w14:textId="77777777" w:rsidR="00D67C1E" w:rsidRPr="00283806" w:rsidRDefault="001265CA">
      <w:pPr>
        <w:pStyle w:val="BodyText"/>
        <w:spacing w:before="134" w:line="225" w:lineRule="auto"/>
        <w:ind w:left="154" w:right="231"/>
      </w:pPr>
      <w:r w:rsidRPr="00283806">
        <w:br w:type="column"/>
      </w:r>
      <w:r w:rsidRPr="00283806">
        <w:rPr>
          <w:w w:val="105"/>
        </w:rPr>
        <w:t xml:space="preserve">regulations, as EPA is doing in this rule. The Agency disagrees with the commenter’s assertion that these requirements arbitrarily create an unauthorized, mandatory market for reclaimed HFCs. While EPA acknowledges that existing market dynamics may incentivize the use of reclaimed </w:t>
      </w:r>
      <w:proofErr w:type="gramStart"/>
      <w:r w:rsidRPr="00283806">
        <w:rPr>
          <w:w w:val="105"/>
        </w:rPr>
        <w:t>refrigerants</w:t>
      </w:r>
      <w:proofErr w:type="gramEnd"/>
      <w:r w:rsidRPr="00283806">
        <w:rPr>
          <w:w w:val="105"/>
        </w:rPr>
        <w:t xml:space="preserve"> over time, as explained elsewhere in this final rule,</w:t>
      </w:r>
      <w:r w:rsidRPr="00283806">
        <w:rPr>
          <w:spacing w:val="80"/>
          <w:w w:val="105"/>
        </w:rPr>
        <w:t xml:space="preserve"> </w:t>
      </w:r>
      <w:r w:rsidRPr="00283806">
        <w:rPr>
          <w:w w:val="105"/>
        </w:rPr>
        <w:t>the Agency disagrees with the</w:t>
      </w:r>
      <w:r w:rsidRPr="00283806">
        <w:rPr>
          <w:spacing w:val="40"/>
          <w:w w:val="105"/>
        </w:rPr>
        <w:t xml:space="preserve"> </w:t>
      </w:r>
      <w:r w:rsidRPr="00283806">
        <w:rPr>
          <w:w w:val="105"/>
        </w:rPr>
        <w:t>conclusion that those possible</w:t>
      </w:r>
      <w:r w:rsidRPr="00283806">
        <w:rPr>
          <w:spacing w:val="80"/>
          <w:w w:val="105"/>
        </w:rPr>
        <w:t xml:space="preserve"> </w:t>
      </w:r>
      <w:r w:rsidRPr="00283806">
        <w:rPr>
          <w:w w:val="105"/>
        </w:rPr>
        <w:t>incentives mean this requirement is unneeded or that those market</w:t>
      </w:r>
      <w:r w:rsidRPr="00283806">
        <w:rPr>
          <w:spacing w:val="80"/>
          <w:w w:val="105"/>
        </w:rPr>
        <w:t xml:space="preserve"> </w:t>
      </w:r>
      <w:r w:rsidRPr="00283806">
        <w:rPr>
          <w:w w:val="105"/>
        </w:rPr>
        <w:t>dynamics mean that the Agency should not establish these requirements.</w:t>
      </w:r>
    </w:p>
    <w:p w14:paraId="5216C764" w14:textId="77777777" w:rsidR="00D67C1E" w:rsidRPr="00283806" w:rsidRDefault="001265CA">
      <w:pPr>
        <w:pStyle w:val="BodyText"/>
        <w:spacing w:line="225" w:lineRule="auto"/>
        <w:ind w:left="154" w:right="125"/>
      </w:pPr>
      <w:r w:rsidRPr="00283806">
        <w:rPr>
          <w:w w:val="105"/>
        </w:rPr>
        <w:t xml:space="preserve">Congress put </w:t>
      </w:r>
      <w:proofErr w:type="gramStart"/>
      <w:r w:rsidRPr="00283806">
        <w:rPr>
          <w:w w:val="105"/>
        </w:rPr>
        <w:t>particular weight</w:t>
      </w:r>
      <w:proofErr w:type="gramEnd"/>
      <w:r w:rsidRPr="00283806">
        <w:rPr>
          <w:w w:val="105"/>
        </w:rPr>
        <w:t xml:space="preserve"> on reclamation in subsection (h) of the AIM Act, including through the provisions of (h)(1) and (h)(2)(A) referenced previously in this response. Even </w:t>
      </w:r>
      <w:proofErr w:type="gramStart"/>
      <w:r w:rsidRPr="00283806">
        <w:rPr>
          <w:w w:val="105"/>
        </w:rPr>
        <w:t>assuming that</w:t>
      </w:r>
      <w:proofErr w:type="gramEnd"/>
      <w:r w:rsidRPr="00283806">
        <w:rPr>
          <w:w w:val="105"/>
        </w:rPr>
        <w:t xml:space="preserve"> market dynamics or implementation of other programs lead</w:t>
      </w:r>
      <w:r w:rsidRPr="00283806">
        <w:rPr>
          <w:spacing w:val="40"/>
          <w:w w:val="105"/>
        </w:rPr>
        <w:t xml:space="preserve"> </w:t>
      </w:r>
      <w:r w:rsidRPr="00283806">
        <w:rPr>
          <w:w w:val="105"/>
        </w:rPr>
        <w:t>to some additional use of reclaimed refrigerant over time, the commenter did not provide any reason to think that</w:t>
      </w:r>
      <w:r w:rsidRPr="00283806">
        <w:rPr>
          <w:spacing w:val="40"/>
          <w:w w:val="105"/>
        </w:rPr>
        <w:t xml:space="preserve"> </w:t>
      </w:r>
      <w:r w:rsidRPr="00283806">
        <w:rPr>
          <w:w w:val="105"/>
        </w:rPr>
        <w:t>those factors alone would ‘‘maximize’’ reclamation as stated in subsection (h)(1). It is the Agency’s view that the reclaim requirements established in this action</w:t>
      </w:r>
      <w:r w:rsidRPr="00283806">
        <w:rPr>
          <w:spacing w:val="40"/>
          <w:w w:val="105"/>
        </w:rPr>
        <w:t xml:space="preserve"> </w:t>
      </w:r>
      <w:r w:rsidRPr="00283806">
        <w:rPr>
          <w:w w:val="105"/>
        </w:rPr>
        <w:t>will</w:t>
      </w:r>
      <w:r w:rsidRPr="00283806">
        <w:rPr>
          <w:spacing w:val="40"/>
          <w:w w:val="105"/>
        </w:rPr>
        <w:t xml:space="preserve"> </w:t>
      </w:r>
      <w:r w:rsidRPr="00283806">
        <w:rPr>
          <w:w w:val="105"/>
        </w:rPr>
        <w:t>help</w:t>
      </w:r>
      <w:r w:rsidRPr="00283806">
        <w:rPr>
          <w:spacing w:val="40"/>
          <w:w w:val="105"/>
        </w:rPr>
        <w:t xml:space="preserve"> </w:t>
      </w:r>
      <w:r w:rsidRPr="00283806">
        <w:rPr>
          <w:w w:val="105"/>
        </w:rPr>
        <w:t>increase</w:t>
      </w:r>
      <w:r w:rsidRPr="00283806">
        <w:rPr>
          <w:spacing w:val="40"/>
          <w:w w:val="105"/>
        </w:rPr>
        <w:t xml:space="preserve"> </w:t>
      </w:r>
      <w:r w:rsidRPr="00283806">
        <w:rPr>
          <w:w w:val="105"/>
        </w:rPr>
        <w:t xml:space="preserve">reclamation and support additional recovery of HFC refrigerants, are within its authority under subsection (h) of the </w:t>
      </w:r>
      <w:proofErr w:type="gramStart"/>
      <w:r w:rsidRPr="00283806">
        <w:rPr>
          <w:w w:val="105"/>
        </w:rPr>
        <w:t>Act, and</w:t>
      </w:r>
      <w:proofErr w:type="gramEnd"/>
      <w:r w:rsidRPr="00283806">
        <w:rPr>
          <w:w w:val="105"/>
        </w:rPr>
        <w:t xml:space="preserve"> will help</w:t>
      </w:r>
      <w:r w:rsidRPr="00283806">
        <w:rPr>
          <w:spacing w:val="40"/>
          <w:w w:val="105"/>
        </w:rPr>
        <w:t xml:space="preserve"> </w:t>
      </w:r>
      <w:r w:rsidRPr="00283806">
        <w:rPr>
          <w:w w:val="105"/>
        </w:rPr>
        <w:t>serve</w:t>
      </w:r>
      <w:r w:rsidRPr="00283806">
        <w:rPr>
          <w:spacing w:val="40"/>
          <w:w w:val="105"/>
        </w:rPr>
        <w:t xml:space="preserve"> </w:t>
      </w:r>
      <w:r w:rsidRPr="00283806">
        <w:rPr>
          <w:w w:val="105"/>
        </w:rPr>
        <w:t>the</w:t>
      </w:r>
      <w:r w:rsidRPr="00283806">
        <w:rPr>
          <w:spacing w:val="40"/>
          <w:w w:val="105"/>
        </w:rPr>
        <w:t xml:space="preserve"> </w:t>
      </w:r>
      <w:r w:rsidRPr="00283806">
        <w:rPr>
          <w:w w:val="105"/>
        </w:rPr>
        <w:t>purposes</w:t>
      </w:r>
      <w:r w:rsidRPr="00283806">
        <w:rPr>
          <w:spacing w:val="40"/>
          <w:w w:val="105"/>
        </w:rPr>
        <w:t xml:space="preserve"> </w:t>
      </w:r>
      <w:r w:rsidRPr="00283806">
        <w:rPr>
          <w:w w:val="105"/>
        </w:rPr>
        <w:t>identified</w:t>
      </w:r>
      <w:r w:rsidRPr="00283806">
        <w:rPr>
          <w:spacing w:val="40"/>
          <w:w w:val="105"/>
        </w:rPr>
        <w:t xml:space="preserve"> </w:t>
      </w:r>
      <w:r w:rsidRPr="00283806">
        <w:rPr>
          <w:w w:val="105"/>
        </w:rPr>
        <w:t>in that subsection.</w:t>
      </w:r>
    </w:p>
    <w:p w14:paraId="4EEC30E7" w14:textId="77777777" w:rsidR="00D67C1E" w:rsidRPr="00283806" w:rsidRDefault="001265CA">
      <w:pPr>
        <w:spacing w:line="178" w:lineRule="exact"/>
        <w:ind w:left="334"/>
        <w:rPr>
          <w:sz w:val="18"/>
        </w:rPr>
      </w:pPr>
      <w:r w:rsidRPr="00283806">
        <w:rPr>
          <w:rFonts w:ascii="Book Antiqua"/>
          <w:i/>
          <w:w w:val="105"/>
          <w:sz w:val="18"/>
        </w:rPr>
        <w:t>Comment:</w:t>
      </w:r>
      <w:r w:rsidRPr="00283806">
        <w:rPr>
          <w:rFonts w:ascii="Book Antiqua"/>
          <w:i/>
          <w:spacing w:val="22"/>
          <w:w w:val="105"/>
          <w:sz w:val="18"/>
        </w:rPr>
        <w:t xml:space="preserve"> </w:t>
      </w:r>
      <w:r w:rsidRPr="00283806">
        <w:rPr>
          <w:w w:val="105"/>
          <w:sz w:val="18"/>
        </w:rPr>
        <w:t>One</w:t>
      </w:r>
      <w:r w:rsidRPr="00283806">
        <w:rPr>
          <w:spacing w:val="28"/>
          <w:w w:val="105"/>
          <w:sz w:val="18"/>
        </w:rPr>
        <w:t xml:space="preserve"> </w:t>
      </w:r>
      <w:r w:rsidRPr="00283806">
        <w:rPr>
          <w:w w:val="105"/>
          <w:sz w:val="18"/>
        </w:rPr>
        <w:t>commenter</w:t>
      </w:r>
      <w:r w:rsidRPr="00283806">
        <w:rPr>
          <w:spacing w:val="28"/>
          <w:w w:val="105"/>
          <w:sz w:val="18"/>
        </w:rPr>
        <w:t xml:space="preserve"> </w:t>
      </w:r>
      <w:r w:rsidRPr="00283806">
        <w:rPr>
          <w:spacing w:val="-2"/>
          <w:w w:val="105"/>
          <w:sz w:val="18"/>
        </w:rPr>
        <w:t>requested</w:t>
      </w:r>
    </w:p>
    <w:p w14:paraId="561CE522" w14:textId="77777777" w:rsidR="00D67C1E" w:rsidRPr="00283806" w:rsidRDefault="001265CA">
      <w:pPr>
        <w:pStyle w:val="BodyText"/>
        <w:spacing w:line="225" w:lineRule="auto"/>
        <w:ind w:left="154" w:right="176"/>
      </w:pPr>
      <w:r w:rsidRPr="00283806">
        <w:rPr>
          <w:w w:val="105"/>
        </w:rPr>
        <w:t xml:space="preserve">that EPA </w:t>
      </w:r>
      <w:proofErr w:type="gramStart"/>
      <w:r w:rsidRPr="00283806">
        <w:rPr>
          <w:w w:val="105"/>
        </w:rPr>
        <w:t>revise</w:t>
      </w:r>
      <w:proofErr w:type="gramEnd"/>
      <w:r w:rsidRPr="00283806">
        <w:rPr>
          <w:w w:val="105"/>
        </w:rPr>
        <w:t xml:space="preserve"> its proposed language in sections 84.112(e) and (f) to specify that all permissible substitutes will continue to be allowed for servicing and repair. The commenter stated that EPA’s proposed regulatory language in</w:t>
      </w:r>
      <w:r w:rsidRPr="00283806">
        <w:rPr>
          <w:spacing w:val="80"/>
          <w:w w:val="105"/>
        </w:rPr>
        <w:t xml:space="preserve"> </w:t>
      </w:r>
      <w:r w:rsidRPr="00283806">
        <w:rPr>
          <w:w w:val="105"/>
        </w:rPr>
        <w:t xml:space="preserve">sections 84.112(e) and (f) could be read to require that refrigerant-containing appliances in the identified subsectors may only be serviced and repaired with reclaimed HFCs, to the exclusion of </w:t>
      </w:r>
      <w:r w:rsidRPr="00283806">
        <w:rPr>
          <w:spacing w:val="-2"/>
          <w:w w:val="105"/>
        </w:rPr>
        <w:t>substitutes.</w:t>
      </w:r>
    </w:p>
    <w:p w14:paraId="2D8F33AD" w14:textId="77777777" w:rsidR="00D67C1E" w:rsidRPr="00283806" w:rsidRDefault="001265CA">
      <w:pPr>
        <w:pStyle w:val="BodyText"/>
        <w:spacing w:line="176" w:lineRule="exact"/>
        <w:ind w:left="334"/>
      </w:pPr>
      <w:r w:rsidRPr="00283806">
        <w:rPr>
          <w:w w:val="105"/>
        </w:rPr>
        <w:t>The</w:t>
      </w:r>
      <w:r w:rsidRPr="00283806">
        <w:rPr>
          <w:spacing w:val="3"/>
          <w:w w:val="105"/>
        </w:rPr>
        <w:t xml:space="preserve"> </w:t>
      </w:r>
      <w:r w:rsidRPr="00283806">
        <w:rPr>
          <w:w w:val="105"/>
        </w:rPr>
        <w:t>commenter</w:t>
      </w:r>
      <w:r w:rsidRPr="00283806">
        <w:rPr>
          <w:spacing w:val="3"/>
          <w:w w:val="105"/>
        </w:rPr>
        <w:t xml:space="preserve"> </w:t>
      </w:r>
      <w:r w:rsidRPr="00283806">
        <w:rPr>
          <w:w w:val="105"/>
        </w:rPr>
        <w:t>stated</w:t>
      </w:r>
      <w:r w:rsidRPr="00283806">
        <w:rPr>
          <w:spacing w:val="3"/>
          <w:w w:val="105"/>
        </w:rPr>
        <w:t xml:space="preserve"> </w:t>
      </w:r>
      <w:r w:rsidRPr="00283806">
        <w:rPr>
          <w:w w:val="105"/>
        </w:rPr>
        <w:t>that</w:t>
      </w:r>
      <w:r w:rsidRPr="00283806">
        <w:rPr>
          <w:spacing w:val="3"/>
          <w:w w:val="105"/>
        </w:rPr>
        <w:t xml:space="preserve"> </w:t>
      </w:r>
      <w:proofErr w:type="gramStart"/>
      <w:r w:rsidRPr="00283806">
        <w:rPr>
          <w:spacing w:val="-2"/>
          <w:w w:val="105"/>
        </w:rPr>
        <w:t>robust</w:t>
      </w:r>
      <w:proofErr w:type="gramEnd"/>
    </w:p>
    <w:p w14:paraId="69BE4405" w14:textId="77777777" w:rsidR="00D67C1E" w:rsidRPr="00283806" w:rsidRDefault="001265CA">
      <w:pPr>
        <w:pStyle w:val="BodyText"/>
        <w:spacing w:line="225" w:lineRule="auto"/>
        <w:ind w:left="154" w:right="171"/>
      </w:pPr>
      <w:r w:rsidRPr="00283806">
        <w:rPr>
          <w:w w:val="105"/>
        </w:rPr>
        <w:t>demand for reclaimed HFC refrigerant already exists and will continue to grow significantly due to the AIM Act’s phasedown of HFCs. The commenter requested that EPA revise its proposed language to specify that all permissible substitutes will continue to be allowed for servicing and repair and include a regulatory exception to relieve the obligation to comply where there is an inadequate supply of reclaimed HFCs to meet service and repair needs in the identified subsectors.</w:t>
      </w:r>
    </w:p>
    <w:p w14:paraId="43445B4B" w14:textId="77777777" w:rsidR="00D67C1E" w:rsidRPr="00283806" w:rsidRDefault="001265CA">
      <w:pPr>
        <w:pStyle w:val="BodyText"/>
        <w:spacing w:line="225" w:lineRule="auto"/>
        <w:ind w:left="154" w:right="231" w:firstLine="180"/>
      </w:pPr>
      <w:r w:rsidRPr="00283806">
        <w:rPr>
          <w:rFonts w:ascii="Book Antiqua"/>
          <w:i/>
          <w:w w:val="105"/>
        </w:rPr>
        <w:t xml:space="preserve">Response: </w:t>
      </w:r>
      <w:r w:rsidRPr="00283806">
        <w:rPr>
          <w:w w:val="105"/>
        </w:rPr>
        <w:t>EPA responds that substitutes for HFCs can be used in the servicing and/or repair of refrigerant- containing equipment in the RACHP subsectors included in this rulemaking (</w:t>
      </w:r>
      <w:r w:rsidRPr="00283806">
        <w:rPr>
          <w:rFonts w:ascii="Book Antiqua"/>
          <w:i/>
          <w:w w:val="105"/>
        </w:rPr>
        <w:t>i.e.,</w:t>
      </w:r>
      <w:r w:rsidRPr="00283806">
        <w:rPr>
          <w:rFonts w:ascii="Book Antiqua"/>
          <w:i/>
          <w:spacing w:val="2"/>
          <w:w w:val="105"/>
        </w:rPr>
        <w:t xml:space="preserve"> </w:t>
      </w:r>
      <w:r w:rsidRPr="00283806">
        <w:rPr>
          <w:w w:val="105"/>
        </w:rPr>
        <w:t>supermarket</w:t>
      </w:r>
      <w:r w:rsidRPr="00283806">
        <w:rPr>
          <w:spacing w:val="8"/>
          <w:w w:val="105"/>
        </w:rPr>
        <w:t xml:space="preserve"> </w:t>
      </w:r>
      <w:r w:rsidRPr="00283806">
        <w:rPr>
          <w:w w:val="105"/>
        </w:rPr>
        <w:t>systems,</w:t>
      </w:r>
      <w:r w:rsidRPr="00283806">
        <w:rPr>
          <w:spacing w:val="8"/>
          <w:w w:val="105"/>
        </w:rPr>
        <w:t xml:space="preserve"> </w:t>
      </w:r>
      <w:r w:rsidRPr="00283806">
        <w:rPr>
          <w:spacing w:val="-2"/>
          <w:w w:val="105"/>
        </w:rPr>
        <w:t>refrigerated</w:t>
      </w:r>
    </w:p>
    <w:p w14:paraId="306F202B"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05" w:space="40"/>
            <w:col w:w="3501" w:space="39"/>
            <w:col w:w="3635"/>
          </w:cols>
        </w:sectPr>
      </w:pPr>
    </w:p>
    <w:p w14:paraId="3231D5E2" w14:textId="77777777" w:rsidR="00D67C1E" w:rsidRPr="00283806" w:rsidRDefault="001265CA">
      <w:pPr>
        <w:pStyle w:val="BodyText"/>
        <w:spacing w:before="134" w:line="228" w:lineRule="auto"/>
        <w:ind w:right="17"/>
      </w:pPr>
      <w:r w:rsidRPr="00283806">
        <w:rPr>
          <w:w w:val="105"/>
        </w:rPr>
        <w:lastRenderedPageBreak/>
        <w:t>transport, and automatic commercial ice makers).</w:t>
      </w:r>
      <w:r w:rsidRPr="00283806">
        <w:rPr>
          <w:spacing w:val="-3"/>
          <w:w w:val="105"/>
        </w:rPr>
        <w:t xml:space="preserve"> </w:t>
      </w:r>
      <w:r w:rsidRPr="00283806">
        <w:rPr>
          <w:w w:val="105"/>
        </w:rPr>
        <w:t>The</w:t>
      </w:r>
      <w:r w:rsidRPr="00283806">
        <w:rPr>
          <w:spacing w:val="-3"/>
          <w:w w:val="105"/>
        </w:rPr>
        <w:t xml:space="preserve"> </w:t>
      </w:r>
      <w:r w:rsidRPr="00283806">
        <w:rPr>
          <w:w w:val="105"/>
        </w:rPr>
        <w:t>proposed</w:t>
      </w:r>
      <w:r w:rsidRPr="00283806">
        <w:rPr>
          <w:spacing w:val="-3"/>
          <w:w w:val="105"/>
        </w:rPr>
        <w:t xml:space="preserve"> </w:t>
      </w:r>
      <w:r w:rsidRPr="00283806">
        <w:rPr>
          <w:w w:val="105"/>
        </w:rPr>
        <w:t>regulatory</w:t>
      </w:r>
      <w:r w:rsidRPr="00283806">
        <w:rPr>
          <w:spacing w:val="-3"/>
          <w:w w:val="105"/>
        </w:rPr>
        <w:t xml:space="preserve"> </w:t>
      </w:r>
      <w:r w:rsidRPr="00283806">
        <w:rPr>
          <w:w w:val="105"/>
        </w:rPr>
        <w:t>text</w:t>
      </w:r>
      <w:r w:rsidRPr="00283806">
        <w:rPr>
          <w:spacing w:val="-3"/>
          <w:w w:val="105"/>
        </w:rPr>
        <w:t xml:space="preserve"> </w:t>
      </w:r>
      <w:r w:rsidRPr="00283806">
        <w:rPr>
          <w:w w:val="105"/>
        </w:rPr>
        <w:t>at section 84.112(f) was intended to</w:t>
      </w:r>
      <w:r w:rsidRPr="00283806">
        <w:rPr>
          <w:spacing w:val="40"/>
          <w:w w:val="105"/>
        </w:rPr>
        <w:t xml:space="preserve"> </w:t>
      </w:r>
      <w:r w:rsidRPr="00283806">
        <w:rPr>
          <w:w w:val="105"/>
        </w:rPr>
        <w:t xml:space="preserve">require that the servicing and/or repair of refrigerant-containing equipment in these subsectors must be done with reclaimed HFCs, where those pieces of refrigerant-containing equipment use a refrigerant containing an </w:t>
      </w:r>
      <w:proofErr w:type="gramStart"/>
      <w:r w:rsidRPr="00283806">
        <w:rPr>
          <w:w w:val="105"/>
        </w:rPr>
        <w:t>HFC, but</w:t>
      </w:r>
      <w:proofErr w:type="gramEnd"/>
      <w:r w:rsidRPr="00283806">
        <w:rPr>
          <w:spacing w:val="80"/>
          <w:w w:val="150"/>
        </w:rPr>
        <w:t xml:space="preserve"> </w:t>
      </w:r>
      <w:r w:rsidRPr="00283806">
        <w:rPr>
          <w:w w:val="105"/>
        </w:rPr>
        <w:t>would not apply to refrigerant that contains no HFCs or to any non-HFC constituents in the refrigerant. For example, if an owner or operator uses CO</w:t>
      </w:r>
      <w:r w:rsidRPr="00283806">
        <w:rPr>
          <w:rFonts w:ascii="Times New Roman" w:hAnsi="Times New Roman"/>
          <w:w w:val="105"/>
          <w:vertAlign w:val="subscript"/>
        </w:rPr>
        <w:t>2</w:t>
      </w:r>
      <w:r w:rsidRPr="00283806">
        <w:rPr>
          <w:rFonts w:ascii="Times New Roman" w:hAnsi="Times New Roman"/>
          <w:w w:val="105"/>
        </w:rPr>
        <w:t xml:space="preserve"> </w:t>
      </w:r>
      <w:r w:rsidRPr="00283806">
        <w:rPr>
          <w:w w:val="105"/>
        </w:rPr>
        <w:t>as the refrigerant in its existing supermarket system, they would not be required to service and/or repair the refrigerant-containing equipment with reclaimed refrigerant, since such equipment is not using a refrigerant that contains an HFC. EPA is finalizing revisions to the regulatory text to make this intent clearer in response to this comment but does not view these edits</w:t>
      </w:r>
      <w:r w:rsidRPr="00283806">
        <w:rPr>
          <w:spacing w:val="40"/>
          <w:w w:val="105"/>
        </w:rPr>
        <w:t xml:space="preserve"> </w:t>
      </w:r>
      <w:r w:rsidRPr="00283806">
        <w:rPr>
          <w:w w:val="105"/>
        </w:rPr>
        <w:t>as changing the substance of the provision. As discussed elsewhere in</w:t>
      </w:r>
      <w:r w:rsidRPr="00283806">
        <w:rPr>
          <w:spacing w:val="80"/>
          <w:w w:val="150"/>
        </w:rPr>
        <w:t xml:space="preserve"> </w:t>
      </w:r>
      <w:r w:rsidRPr="00283806">
        <w:rPr>
          <w:w w:val="105"/>
        </w:rPr>
        <w:t>this preamble, EPA is not finalizing in</w:t>
      </w:r>
      <w:r w:rsidRPr="00283806">
        <w:rPr>
          <w:spacing w:val="40"/>
          <w:w w:val="105"/>
        </w:rPr>
        <w:t xml:space="preserve"> </w:t>
      </w:r>
      <w:r w:rsidRPr="00283806">
        <w:rPr>
          <w:w w:val="105"/>
        </w:rPr>
        <w:t>this rule, the proposed requirement for the initial charge of new refrigerant- containing equipment with reclaimed HFCs and thus, is not making parallel edits to that provision. For the reasons described in a prior response to</w:t>
      </w:r>
      <w:r w:rsidRPr="00283806">
        <w:rPr>
          <w:spacing w:val="40"/>
          <w:w w:val="105"/>
        </w:rPr>
        <w:t xml:space="preserve"> </w:t>
      </w:r>
      <w:r w:rsidRPr="00283806">
        <w:rPr>
          <w:w w:val="105"/>
        </w:rPr>
        <w:t>comment in this section, the Agency</w:t>
      </w:r>
      <w:r w:rsidRPr="00283806">
        <w:rPr>
          <w:spacing w:val="80"/>
          <w:w w:val="105"/>
        </w:rPr>
        <w:t xml:space="preserve"> </w:t>
      </w:r>
      <w:r w:rsidRPr="00283806">
        <w:rPr>
          <w:w w:val="105"/>
        </w:rPr>
        <w:t xml:space="preserve">does not agree that exceptions are needed for the requirements </w:t>
      </w:r>
      <w:proofErr w:type="gramStart"/>
      <w:r w:rsidRPr="00283806">
        <w:rPr>
          <w:w w:val="105"/>
        </w:rPr>
        <w:t>to</w:t>
      </w:r>
      <w:proofErr w:type="gramEnd"/>
      <w:r w:rsidRPr="00283806">
        <w:rPr>
          <w:w w:val="105"/>
        </w:rPr>
        <w:t xml:space="preserve"> service and/or repair existing equipment in the covered subsectors using reclaimed</w:t>
      </w:r>
      <w:r w:rsidRPr="00283806">
        <w:rPr>
          <w:spacing w:val="40"/>
          <w:w w:val="105"/>
        </w:rPr>
        <w:t xml:space="preserve"> </w:t>
      </w:r>
      <w:r w:rsidRPr="00283806">
        <w:rPr>
          <w:w w:val="105"/>
        </w:rPr>
        <w:t>HFCs when there is an inadequate</w:t>
      </w:r>
      <w:r w:rsidRPr="00283806">
        <w:rPr>
          <w:spacing w:val="80"/>
          <w:w w:val="105"/>
        </w:rPr>
        <w:t xml:space="preserve"> </w:t>
      </w:r>
      <w:r w:rsidRPr="00283806">
        <w:rPr>
          <w:w w:val="105"/>
        </w:rPr>
        <w:t>supply</w:t>
      </w:r>
      <w:r w:rsidRPr="00283806">
        <w:rPr>
          <w:spacing w:val="40"/>
          <w:w w:val="105"/>
        </w:rPr>
        <w:t xml:space="preserve"> </w:t>
      </w:r>
      <w:r w:rsidRPr="00283806">
        <w:rPr>
          <w:w w:val="105"/>
        </w:rPr>
        <w:t>and</w:t>
      </w:r>
      <w:r w:rsidRPr="00283806">
        <w:rPr>
          <w:spacing w:val="40"/>
          <w:w w:val="105"/>
        </w:rPr>
        <w:t xml:space="preserve"> </w:t>
      </w:r>
      <w:r w:rsidRPr="00283806">
        <w:rPr>
          <w:w w:val="105"/>
        </w:rPr>
        <w:t>thus</w:t>
      </w:r>
      <w:r w:rsidRPr="00283806">
        <w:rPr>
          <w:spacing w:val="40"/>
          <w:w w:val="105"/>
        </w:rPr>
        <w:t xml:space="preserve"> </w:t>
      </w:r>
      <w:r w:rsidRPr="00283806">
        <w:rPr>
          <w:w w:val="105"/>
        </w:rPr>
        <w:t>is</w:t>
      </w:r>
      <w:r w:rsidRPr="00283806">
        <w:rPr>
          <w:spacing w:val="40"/>
          <w:w w:val="105"/>
        </w:rPr>
        <w:t xml:space="preserve"> </w:t>
      </w:r>
      <w:r w:rsidRPr="00283806">
        <w:rPr>
          <w:w w:val="105"/>
        </w:rPr>
        <w:t>not</w:t>
      </w:r>
      <w:r w:rsidRPr="00283806">
        <w:rPr>
          <w:spacing w:val="40"/>
          <w:w w:val="105"/>
        </w:rPr>
        <w:t xml:space="preserve"> </w:t>
      </w:r>
      <w:r w:rsidRPr="00283806">
        <w:rPr>
          <w:w w:val="105"/>
        </w:rPr>
        <w:t>finalizing</w:t>
      </w:r>
      <w:r w:rsidRPr="00283806">
        <w:rPr>
          <w:spacing w:val="40"/>
          <w:w w:val="105"/>
        </w:rPr>
        <w:t xml:space="preserve"> </w:t>
      </w:r>
      <w:r w:rsidRPr="00283806">
        <w:rPr>
          <w:w w:val="105"/>
        </w:rPr>
        <w:t>such an exception. The Agency recognizes</w:t>
      </w:r>
      <w:r w:rsidRPr="00283806">
        <w:rPr>
          <w:spacing w:val="80"/>
          <w:w w:val="105"/>
        </w:rPr>
        <w:t xml:space="preserve"> </w:t>
      </w:r>
      <w:r w:rsidRPr="00283806">
        <w:rPr>
          <w:w w:val="105"/>
        </w:rPr>
        <w:t xml:space="preserve">that commenter’s points on the existing market for reclaimed HFCs and agrees with that commenter’s </w:t>
      </w:r>
      <w:proofErr w:type="gramStart"/>
      <w:r w:rsidRPr="00283806">
        <w:rPr>
          <w:w w:val="105"/>
        </w:rPr>
        <w:t>views</w:t>
      </w:r>
      <w:proofErr w:type="gramEnd"/>
      <w:r w:rsidRPr="00283806">
        <w:rPr>
          <w:w w:val="105"/>
        </w:rPr>
        <w:t xml:space="preserve"> that this market will in fact grow. The Agency is finalizing provisions to support and encourage growth in reclamation.</w:t>
      </w:r>
    </w:p>
    <w:p w14:paraId="3CE704C9" w14:textId="77777777" w:rsidR="00D67C1E" w:rsidRPr="00283806" w:rsidRDefault="001265CA">
      <w:pPr>
        <w:pStyle w:val="BodyText"/>
        <w:spacing w:before="17" w:line="228" w:lineRule="auto"/>
        <w:ind w:right="49" w:firstLine="180"/>
      </w:pPr>
      <w:r w:rsidRPr="00283806">
        <w:rPr>
          <w:rFonts w:ascii="Book Antiqua"/>
          <w:i/>
          <w:w w:val="105"/>
        </w:rPr>
        <w:t xml:space="preserve">Comment: </w:t>
      </w:r>
      <w:r w:rsidRPr="00283806">
        <w:rPr>
          <w:w w:val="105"/>
        </w:rPr>
        <w:t>One commenter suggested EPA allow the use of reclaimed refrigerant for servicing in 2025 to be credited against compliance obligations in future years. Another commenter requested that EPA confirm that exports of virgin HFCs will be eligible under the Request for Additional Consumption Allowance (RACA) program, regardless</w:t>
      </w:r>
      <w:r w:rsidRPr="00283806">
        <w:rPr>
          <w:spacing w:val="80"/>
          <w:w w:val="105"/>
        </w:rPr>
        <w:t xml:space="preserve"> </w:t>
      </w:r>
      <w:r w:rsidRPr="00283806">
        <w:rPr>
          <w:w w:val="105"/>
        </w:rPr>
        <w:t>of when the original HFCs or individual blend components were imported. The commenter added that it is critical that the RACA program, under 40 CFR 84.17, be available to obtain allowances for HFCs that can be used in the United</w:t>
      </w:r>
      <w:r w:rsidRPr="00283806">
        <w:rPr>
          <w:spacing w:val="40"/>
          <w:w w:val="105"/>
        </w:rPr>
        <w:t xml:space="preserve"> </w:t>
      </w:r>
      <w:r w:rsidRPr="00283806">
        <w:rPr>
          <w:w w:val="105"/>
        </w:rPr>
        <w:t>States</w:t>
      </w:r>
      <w:r w:rsidRPr="00283806">
        <w:rPr>
          <w:spacing w:val="40"/>
          <w:w w:val="105"/>
        </w:rPr>
        <w:t xml:space="preserve"> </w:t>
      </w:r>
      <w:r w:rsidRPr="00283806">
        <w:rPr>
          <w:w w:val="105"/>
        </w:rPr>
        <w:t>and</w:t>
      </w:r>
      <w:r w:rsidRPr="00283806">
        <w:rPr>
          <w:spacing w:val="40"/>
          <w:w w:val="105"/>
        </w:rPr>
        <w:t xml:space="preserve"> </w:t>
      </w:r>
      <w:r w:rsidRPr="00283806">
        <w:rPr>
          <w:w w:val="105"/>
        </w:rPr>
        <w:t>that</w:t>
      </w:r>
      <w:r w:rsidRPr="00283806">
        <w:rPr>
          <w:spacing w:val="40"/>
          <w:w w:val="105"/>
        </w:rPr>
        <w:t xml:space="preserve"> </w:t>
      </w:r>
      <w:r w:rsidRPr="00283806">
        <w:rPr>
          <w:w w:val="105"/>
        </w:rPr>
        <w:t>EPA</w:t>
      </w:r>
      <w:r w:rsidRPr="00283806">
        <w:rPr>
          <w:spacing w:val="40"/>
          <w:w w:val="105"/>
        </w:rPr>
        <w:t xml:space="preserve"> </w:t>
      </w:r>
      <w:r w:rsidRPr="00283806">
        <w:rPr>
          <w:w w:val="105"/>
        </w:rPr>
        <w:t>has</w:t>
      </w:r>
      <w:r w:rsidRPr="00283806">
        <w:rPr>
          <w:spacing w:val="40"/>
          <w:w w:val="105"/>
        </w:rPr>
        <w:t xml:space="preserve"> </w:t>
      </w:r>
      <w:r w:rsidRPr="00283806">
        <w:rPr>
          <w:w w:val="105"/>
        </w:rPr>
        <w:t>projected</w:t>
      </w:r>
      <w:r w:rsidRPr="00283806">
        <w:rPr>
          <w:spacing w:val="40"/>
          <w:w w:val="105"/>
        </w:rPr>
        <w:t xml:space="preserve"> </w:t>
      </w:r>
      <w:r w:rsidRPr="00283806">
        <w:rPr>
          <w:w w:val="105"/>
        </w:rPr>
        <w:t>will be available in the market. The commenter stated that this is essential</w:t>
      </w:r>
      <w:r w:rsidRPr="00283806">
        <w:rPr>
          <w:spacing w:val="80"/>
          <w:w w:val="150"/>
        </w:rPr>
        <w:t xml:space="preserve"> </w:t>
      </w:r>
      <w:r w:rsidRPr="00283806">
        <w:rPr>
          <w:w w:val="105"/>
        </w:rPr>
        <w:t>to minimizing stranded assets and preventing further disruptions to the market that would ultimately effectuate significant commercial harm to the</w:t>
      </w:r>
    </w:p>
    <w:p w14:paraId="05AF6A04" w14:textId="77777777" w:rsidR="00D67C1E" w:rsidRPr="00283806" w:rsidRDefault="001265CA">
      <w:pPr>
        <w:pStyle w:val="BodyText"/>
        <w:spacing w:before="135" w:line="225" w:lineRule="auto"/>
        <w:ind w:left="143" w:right="62"/>
      </w:pPr>
      <w:r w:rsidRPr="00283806">
        <w:br w:type="column"/>
      </w:r>
      <w:r w:rsidRPr="00283806">
        <w:rPr>
          <w:w w:val="105"/>
        </w:rPr>
        <w:t>after-market</w:t>
      </w:r>
      <w:r w:rsidRPr="00283806">
        <w:rPr>
          <w:spacing w:val="-5"/>
          <w:w w:val="105"/>
        </w:rPr>
        <w:t xml:space="preserve"> </w:t>
      </w:r>
      <w:r w:rsidRPr="00283806">
        <w:rPr>
          <w:w w:val="105"/>
        </w:rPr>
        <w:t>and</w:t>
      </w:r>
      <w:r w:rsidRPr="00283806">
        <w:rPr>
          <w:spacing w:val="-5"/>
          <w:w w:val="105"/>
        </w:rPr>
        <w:t xml:space="preserve"> </w:t>
      </w:r>
      <w:r w:rsidRPr="00283806">
        <w:rPr>
          <w:w w:val="105"/>
        </w:rPr>
        <w:t>ultimately</w:t>
      </w:r>
      <w:r w:rsidRPr="00283806">
        <w:rPr>
          <w:spacing w:val="-5"/>
          <w:w w:val="105"/>
        </w:rPr>
        <w:t xml:space="preserve"> </w:t>
      </w:r>
      <w:r w:rsidRPr="00283806">
        <w:rPr>
          <w:w w:val="105"/>
        </w:rPr>
        <w:t xml:space="preserve">to </w:t>
      </w:r>
      <w:r w:rsidRPr="00283806">
        <w:rPr>
          <w:spacing w:val="-2"/>
          <w:w w:val="105"/>
        </w:rPr>
        <w:t>consumers).</w:t>
      </w:r>
    </w:p>
    <w:p w14:paraId="3582CA82" w14:textId="77777777" w:rsidR="00D67C1E" w:rsidRPr="00283806" w:rsidRDefault="001265CA">
      <w:pPr>
        <w:pStyle w:val="BodyText"/>
        <w:spacing w:line="213" w:lineRule="auto"/>
        <w:ind w:left="143" w:right="62" w:firstLine="180"/>
      </w:pPr>
      <w:r w:rsidRPr="00283806">
        <w:rPr>
          <w:rFonts w:ascii="Book Antiqua"/>
          <w:i/>
          <w:w w:val="105"/>
        </w:rPr>
        <w:t xml:space="preserve">Response: </w:t>
      </w:r>
      <w:r w:rsidRPr="00283806">
        <w:rPr>
          <w:w w:val="105"/>
        </w:rPr>
        <w:t>EPA disagrees with the suggestion</w:t>
      </w:r>
      <w:r w:rsidRPr="00283806">
        <w:rPr>
          <w:spacing w:val="14"/>
          <w:w w:val="105"/>
        </w:rPr>
        <w:t xml:space="preserve"> </w:t>
      </w:r>
      <w:r w:rsidRPr="00283806">
        <w:rPr>
          <w:w w:val="105"/>
        </w:rPr>
        <w:t>that</w:t>
      </w:r>
      <w:r w:rsidRPr="00283806">
        <w:rPr>
          <w:spacing w:val="14"/>
          <w:w w:val="105"/>
        </w:rPr>
        <w:t xml:space="preserve"> </w:t>
      </w:r>
      <w:r w:rsidRPr="00283806">
        <w:rPr>
          <w:w w:val="105"/>
        </w:rPr>
        <w:t>the</w:t>
      </w:r>
      <w:r w:rsidRPr="00283806">
        <w:rPr>
          <w:spacing w:val="14"/>
          <w:w w:val="105"/>
        </w:rPr>
        <w:t xml:space="preserve"> </w:t>
      </w:r>
      <w:r w:rsidRPr="00283806">
        <w:rPr>
          <w:w w:val="105"/>
        </w:rPr>
        <w:t>Agency</w:t>
      </w:r>
      <w:r w:rsidRPr="00283806">
        <w:rPr>
          <w:spacing w:val="14"/>
          <w:w w:val="105"/>
        </w:rPr>
        <w:t xml:space="preserve"> </w:t>
      </w:r>
      <w:r w:rsidRPr="00283806">
        <w:rPr>
          <w:w w:val="105"/>
        </w:rPr>
        <w:t>allow</w:t>
      </w:r>
      <w:r w:rsidRPr="00283806">
        <w:rPr>
          <w:spacing w:val="15"/>
          <w:w w:val="105"/>
        </w:rPr>
        <w:t xml:space="preserve"> </w:t>
      </w:r>
      <w:r w:rsidRPr="00283806">
        <w:rPr>
          <w:spacing w:val="-5"/>
          <w:w w:val="105"/>
        </w:rPr>
        <w:t>the</w:t>
      </w:r>
    </w:p>
    <w:p w14:paraId="759FB9C3" w14:textId="77777777" w:rsidR="00D67C1E" w:rsidRPr="00283806" w:rsidRDefault="001265CA">
      <w:pPr>
        <w:pStyle w:val="BodyText"/>
        <w:spacing w:line="225" w:lineRule="auto"/>
        <w:ind w:left="143" w:right="47"/>
      </w:pPr>
      <w:r w:rsidRPr="00283806">
        <w:rPr>
          <w:w w:val="105"/>
        </w:rPr>
        <w:t>use of reclaim refrigerants for servicing and/or repair in 2025 to be credited against compliance obligations for</w:t>
      </w:r>
      <w:r w:rsidRPr="00283806">
        <w:rPr>
          <w:spacing w:val="80"/>
          <w:w w:val="105"/>
        </w:rPr>
        <w:t xml:space="preserve"> </w:t>
      </w:r>
      <w:r w:rsidRPr="00283806">
        <w:rPr>
          <w:w w:val="105"/>
        </w:rPr>
        <w:t>future years. The Agency did not</w:t>
      </w:r>
      <w:r w:rsidRPr="00283806">
        <w:rPr>
          <w:spacing w:val="40"/>
          <w:w w:val="105"/>
        </w:rPr>
        <w:t xml:space="preserve"> </w:t>
      </w:r>
      <w:r w:rsidRPr="00283806">
        <w:rPr>
          <w:w w:val="105"/>
        </w:rPr>
        <w:t>propose and is not finalizing any sort of early crediting regime. In the NPRM,</w:t>
      </w:r>
      <w:r w:rsidRPr="00283806">
        <w:rPr>
          <w:spacing w:val="80"/>
          <w:w w:val="105"/>
        </w:rPr>
        <w:t xml:space="preserve"> </w:t>
      </w:r>
      <w:proofErr w:type="gramStart"/>
      <w:r w:rsidRPr="00283806">
        <w:rPr>
          <w:w w:val="105"/>
        </w:rPr>
        <w:t>EPA did discuss</w:t>
      </w:r>
      <w:proofErr w:type="gramEnd"/>
      <w:r w:rsidRPr="00283806">
        <w:rPr>
          <w:w w:val="105"/>
        </w:rPr>
        <w:t xml:space="preserve"> scaling the reclaim requirements</w:t>
      </w:r>
      <w:r w:rsidRPr="00283806">
        <w:rPr>
          <w:spacing w:val="-10"/>
          <w:w w:val="105"/>
        </w:rPr>
        <w:t xml:space="preserve"> </w:t>
      </w:r>
      <w:r w:rsidRPr="00283806">
        <w:rPr>
          <w:w w:val="105"/>
        </w:rPr>
        <w:t>for</w:t>
      </w:r>
      <w:r w:rsidRPr="00283806">
        <w:rPr>
          <w:spacing w:val="-10"/>
          <w:w w:val="105"/>
        </w:rPr>
        <w:t xml:space="preserve"> </w:t>
      </w:r>
      <w:r w:rsidRPr="00283806">
        <w:rPr>
          <w:w w:val="105"/>
        </w:rPr>
        <w:t>servicing</w:t>
      </w:r>
      <w:r w:rsidRPr="00283806">
        <w:rPr>
          <w:spacing w:val="-10"/>
          <w:w w:val="105"/>
        </w:rPr>
        <w:t xml:space="preserve"> </w:t>
      </w:r>
      <w:r w:rsidRPr="00283806">
        <w:rPr>
          <w:w w:val="105"/>
        </w:rPr>
        <w:t>and/or</w:t>
      </w:r>
      <w:r w:rsidRPr="00283806">
        <w:rPr>
          <w:spacing w:val="-10"/>
          <w:w w:val="105"/>
        </w:rPr>
        <w:t xml:space="preserve"> </w:t>
      </w:r>
      <w:r w:rsidRPr="00283806">
        <w:rPr>
          <w:w w:val="105"/>
        </w:rPr>
        <w:t>repair on a percentage basis, but as discussed</w:t>
      </w:r>
      <w:r w:rsidRPr="00283806">
        <w:rPr>
          <w:spacing w:val="40"/>
          <w:w w:val="105"/>
        </w:rPr>
        <w:t xml:space="preserve"> </w:t>
      </w:r>
      <w:r w:rsidRPr="00283806">
        <w:rPr>
          <w:w w:val="105"/>
        </w:rPr>
        <w:t>in responses earlier in this section, the Agency is not finalizing that approach. However, EPA encourages early action</w:t>
      </w:r>
      <w:r w:rsidRPr="00283806">
        <w:rPr>
          <w:spacing w:val="40"/>
          <w:w w:val="105"/>
        </w:rPr>
        <w:t xml:space="preserve"> </w:t>
      </w:r>
      <w:r w:rsidRPr="00283806">
        <w:rPr>
          <w:w w:val="105"/>
        </w:rPr>
        <w:t>by industry to support the uptake of reclaimed HFC refrigerants ahead of the compliance date.</w:t>
      </w:r>
    </w:p>
    <w:p w14:paraId="0BA65432" w14:textId="77777777" w:rsidR="00D67C1E" w:rsidRPr="00283806" w:rsidRDefault="001265CA">
      <w:pPr>
        <w:pStyle w:val="BodyText"/>
        <w:spacing w:line="175" w:lineRule="exact"/>
        <w:ind w:left="323"/>
      </w:pPr>
      <w:r w:rsidRPr="00283806">
        <w:rPr>
          <w:w w:val="105"/>
        </w:rPr>
        <w:t>Comments</w:t>
      </w:r>
      <w:r w:rsidRPr="00283806">
        <w:rPr>
          <w:spacing w:val="6"/>
          <w:w w:val="105"/>
        </w:rPr>
        <w:t xml:space="preserve"> </w:t>
      </w:r>
      <w:r w:rsidRPr="00283806">
        <w:rPr>
          <w:w w:val="105"/>
        </w:rPr>
        <w:t>or</w:t>
      </w:r>
      <w:r w:rsidRPr="00283806">
        <w:rPr>
          <w:spacing w:val="6"/>
          <w:w w:val="105"/>
        </w:rPr>
        <w:t xml:space="preserve"> </w:t>
      </w:r>
      <w:r w:rsidRPr="00283806">
        <w:rPr>
          <w:w w:val="105"/>
        </w:rPr>
        <w:t>requests</w:t>
      </w:r>
      <w:r w:rsidRPr="00283806">
        <w:rPr>
          <w:spacing w:val="6"/>
          <w:w w:val="105"/>
        </w:rPr>
        <w:t xml:space="preserve"> </w:t>
      </w:r>
      <w:r w:rsidRPr="00283806">
        <w:rPr>
          <w:w w:val="105"/>
        </w:rPr>
        <w:t>concerning</w:t>
      </w:r>
      <w:r w:rsidRPr="00283806">
        <w:rPr>
          <w:spacing w:val="7"/>
          <w:w w:val="105"/>
        </w:rPr>
        <w:t xml:space="preserve"> </w:t>
      </w:r>
      <w:r w:rsidRPr="00283806">
        <w:rPr>
          <w:spacing w:val="-5"/>
          <w:w w:val="105"/>
        </w:rPr>
        <w:t>the</w:t>
      </w:r>
    </w:p>
    <w:p w14:paraId="06F8BA70" w14:textId="77777777" w:rsidR="00D67C1E" w:rsidRPr="00283806" w:rsidRDefault="001265CA">
      <w:pPr>
        <w:pStyle w:val="BodyText"/>
        <w:spacing w:line="225" w:lineRule="auto"/>
        <w:ind w:left="143" w:right="62"/>
      </w:pPr>
      <w:r w:rsidRPr="00283806">
        <w:rPr>
          <w:w w:val="105"/>
        </w:rPr>
        <w:t>structure</w:t>
      </w:r>
      <w:r w:rsidRPr="00283806">
        <w:rPr>
          <w:spacing w:val="-2"/>
          <w:w w:val="105"/>
        </w:rPr>
        <w:t xml:space="preserve"> </w:t>
      </w:r>
      <w:r w:rsidRPr="00283806">
        <w:rPr>
          <w:w w:val="105"/>
        </w:rPr>
        <w:t>of</w:t>
      </w:r>
      <w:r w:rsidRPr="00283806">
        <w:rPr>
          <w:spacing w:val="-2"/>
          <w:w w:val="105"/>
        </w:rPr>
        <w:t xml:space="preserve"> </w:t>
      </w:r>
      <w:r w:rsidRPr="00283806">
        <w:rPr>
          <w:w w:val="105"/>
        </w:rPr>
        <w:t>the</w:t>
      </w:r>
      <w:r w:rsidRPr="00283806">
        <w:rPr>
          <w:spacing w:val="-2"/>
          <w:w w:val="105"/>
        </w:rPr>
        <w:t xml:space="preserve"> </w:t>
      </w:r>
      <w:r w:rsidRPr="00283806">
        <w:rPr>
          <w:w w:val="105"/>
        </w:rPr>
        <w:t>allocation</w:t>
      </w:r>
      <w:r w:rsidRPr="00283806">
        <w:rPr>
          <w:spacing w:val="-2"/>
          <w:w w:val="105"/>
        </w:rPr>
        <w:t xml:space="preserve"> </w:t>
      </w:r>
      <w:r w:rsidRPr="00283806">
        <w:rPr>
          <w:w w:val="105"/>
        </w:rPr>
        <w:t>program</w:t>
      </w:r>
      <w:r w:rsidRPr="00283806">
        <w:rPr>
          <w:spacing w:val="-2"/>
          <w:w w:val="105"/>
        </w:rPr>
        <w:t xml:space="preserve"> </w:t>
      </w:r>
      <w:proofErr w:type="gramStart"/>
      <w:r w:rsidRPr="00283806">
        <w:rPr>
          <w:w w:val="105"/>
        </w:rPr>
        <w:t>are</w:t>
      </w:r>
      <w:proofErr w:type="gramEnd"/>
      <w:r w:rsidRPr="00283806">
        <w:rPr>
          <w:w w:val="105"/>
        </w:rPr>
        <w:t xml:space="preserve"> beyond the scope of this rulemaking. However, the Agency notes, allowing entities to receive allowances for the reclamation of refrigerant would artificially inflate the number of allowances in the market.</w:t>
      </w:r>
    </w:p>
    <w:p w14:paraId="0F151DFA" w14:textId="77777777" w:rsidR="00D67C1E" w:rsidRPr="00283806" w:rsidRDefault="001265CA">
      <w:pPr>
        <w:pStyle w:val="BodyText"/>
        <w:spacing w:line="178" w:lineRule="exact"/>
        <w:ind w:left="323"/>
      </w:pPr>
      <w:r w:rsidRPr="00283806">
        <w:rPr>
          <w:w w:val="110"/>
        </w:rPr>
        <w:t>EPA</w:t>
      </w:r>
      <w:r w:rsidRPr="00283806">
        <w:rPr>
          <w:spacing w:val="-3"/>
          <w:w w:val="110"/>
        </w:rPr>
        <w:t xml:space="preserve"> </w:t>
      </w:r>
      <w:r w:rsidRPr="00283806">
        <w:rPr>
          <w:w w:val="110"/>
        </w:rPr>
        <w:t>agrees</w:t>
      </w:r>
      <w:r w:rsidRPr="00283806">
        <w:rPr>
          <w:spacing w:val="-2"/>
          <w:w w:val="110"/>
        </w:rPr>
        <w:t xml:space="preserve"> </w:t>
      </w:r>
      <w:r w:rsidRPr="00283806">
        <w:rPr>
          <w:w w:val="110"/>
        </w:rPr>
        <w:t>that</w:t>
      </w:r>
      <w:r w:rsidRPr="00283806">
        <w:rPr>
          <w:spacing w:val="-3"/>
          <w:w w:val="110"/>
        </w:rPr>
        <w:t xml:space="preserve"> </w:t>
      </w:r>
      <w:r w:rsidRPr="00283806">
        <w:rPr>
          <w:w w:val="110"/>
        </w:rPr>
        <w:t>the</w:t>
      </w:r>
      <w:r w:rsidRPr="00283806">
        <w:rPr>
          <w:spacing w:val="-2"/>
          <w:w w:val="110"/>
        </w:rPr>
        <w:t xml:space="preserve"> </w:t>
      </w:r>
      <w:r w:rsidRPr="00283806">
        <w:rPr>
          <w:w w:val="110"/>
        </w:rPr>
        <w:t>RACA</w:t>
      </w:r>
      <w:r w:rsidRPr="00283806">
        <w:rPr>
          <w:spacing w:val="-3"/>
          <w:w w:val="110"/>
        </w:rPr>
        <w:t xml:space="preserve"> </w:t>
      </w:r>
      <w:r w:rsidRPr="00283806">
        <w:rPr>
          <w:spacing w:val="-2"/>
          <w:w w:val="110"/>
        </w:rPr>
        <w:t>process</w:t>
      </w:r>
    </w:p>
    <w:p w14:paraId="382BB7A5" w14:textId="77777777" w:rsidR="00D67C1E" w:rsidRPr="00283806" w:rsidRDefault="001265CA">
      <w:pPr>
        <w:pStyle w:val="BodyText"/>
        <w:spacing w:before="3" w:line="225" w:lineRule="auto"/>
        <w:ind w:left="143" w:right="119"/>
      </w:pPr>
      <w:proofErr w:type="gramStart"/>
      <w:r w:rsidRPr="00283806">
        <w:rPr>
          <w:w w:val="105"/>
        </w:rPr>
        <w:t>under</w:t>
      </w:r>
      <w:proofErr w:type="gramEnd"/>
      <w:r w:rsidRPr="00283806">
        <w:rPr>
          <w:w w:val="105"/>
        </w:rPr>
        <w:t xml:space="preserve"> 40 CFR part 84 subpart A is important to allowance holders. EPA is not modifying that RACA program in this rulemaking, and EPA further notes that the reclamation requirements for servicing and/or repair of refrigerant- containing equipment in certain subsectors in this rulemaking will not impact the RACA program.</w:t>
      </w:r>
    </w:p>
    <w:p w14:paraId="0030F4C9" w14:textId="77777777" w:rsidR="00D67C1E" w:rsidRPr="00283806" w:rsidRDefault="001265CA">
      <w:pPr>
        <w:pStyle w:val="BodyText"/>
        <w:spacing w:line="213" w:lineRule="auto"/>
        <w:ind w:left="143" w:right="62" w:firstLine="180"/>
      </w:pPr>
      <w:r w:rsidRPr="00283806">
        <w:rPr>
          <w:rFonts w:ascii="Book Antiqua"/>
          <w:i/>
          <w:w w:val="105"/>
        </w:rPr>
        <w:t xml:space="preserve">Comment: </w:t>
      </w:r>
      <w:r w:rsidRPr="00283806">
        <w:rPr>
          <w:w w:val="105"/>
        </w:rPr>
        <w:t>Another commenter recommended that EPA not replicate</w:t>
      </w:r>
    </w:p>
    <w:p w14:paraId="712B6D34" w14:textId="77777777" w:rsidR="00D67C1E" w:rsidRPr="00283806" w:rsidRDefault="001265CA">
      <w:pPr>
        <w:pStyle w:val="BodyText"/>
        <w:spacing w:line="228" w:lineRule="auto"/>
        <w:ind w:left="143" w:right="92"/>
      </w:pPr>
      <w:r w:rsidRPr="00283806">
        <w:rPr>
          <w:w w:val="105"/>
        </w:rPr>
        <w:t>California’s HFC programs because California State law has no bearing on how the Agency interprets the AIM Act and because the State’s current R4 Program is short term in nature. The commenter stated that EPA should</w:t>
      </w:r>
      <w:r w:rsidRPr="00283806">
        <w:rPr>
          <w:spacing w:val="80"/>
          <w:w w:val="150"/>
        </w:rPr>
        <w:t xml:space="preserve"> </w:t>
      </w:r>
      <w:r w:rsidRPr="00283806">
        <w:rPr>
          <w:w w:val="105"/>
        </w:rPr>
        <w:t>avoid adopting different regulatory provisions based on State law instead of the intentional design of the AIM Act.</w:t>
      </w:r>
      <w:r w:rsidRPr="00283806">
        <w:rPr>
          <w:spacing w:val="40"/>
          <w:w w:val="105"/>
        </w:rPr>
        <w:t xml:space="preserve"> </w:t>
      </w:r>
      <w:r w:rsidRPr="00283806">
        <w:rPr>
          <w:w w:val="105"/>
        </w:rPr>
        <w:t>The commenter claimed that the R4 Program was created as an interim measure after CARB finalized sector control limits that could not be implemented by the effective date. The commenter suggested that EPA consult with OEMs to understand the complications and burden of the R4 Program when the first reports are due</w:t>
      </w:r>
      <w:r w:rsidRPr="00283806">
        <w:rPr>
          <w:spacing w:val="40"/>
          <w:w w:val="105"/>
        </w:rPr>
        <w:t xml:space="preserve"> </w:t>
      </w:r>
      <w:r w:rsidRPr="00283806">
        <w:rPr>
          <w:w w:val="105"/>
        </w:rPr>
        <w:t>in July 2024 and not to adopt provisions until after this.</w:t>
      </w:r>
    </w:p>
    <w:p w14:paraId="2A0947D9" w14:textId="77777777" w:rsidR="00D67C1E" w:rsidRPr="00283806" w:rsidRDefault="001265CA">
      <w:pPr>
        <w:spacing w:line="166" w:lineRule="exact"/>
        <w:ind w:left="323"/>
        <w:rPr>
          <w:sz w:val="18"/>
        </w:rPr>
      </w:pPr>
      <w:r w:rsidRPr="00283806">
        <w:rPr>
          <w:rFonts w:ascii="Book Antiqua"/>
          <w:i/>
          <w:w w:val="110"/>
          <w:sz w:val="18"/>
        </w:rPr>
        <w:t>Response:</w:t>
      </w:r>
      <w:r w:rsidRPr="00283806">
        <w:rPr>
          <w:rFonts w:ascii="Book Antiqua"/>
          <w:i/>
          <w:spacing w:val="2"/>
          <w:w w:val="110"/>
          <w:sz w:val="18"/>
        </w:rPr>
        <w:t xml:space="preserve"> </w:t>
      </w:r>
      <w:r w:rsidRPr="00283806">
        <w:rPr>
          <w:w w:val="110"/>
          <w:sz w:val="18"/>
        </w:rPr>
        <w:t>EPA</w:t>
      </w:r>
      <w:r w:rsidRPr="00283806">
        <w:rPr>
          <w:spacing w:val="8"/>
          <w:w w:val="110"/>
          <w:sz w:val="18"/>
        </w:rPr>
        <w:t xml:space="preserve"> </w:t>
      </w:r>
      <w:r w:rsidRPr="00283806">
        <w:rPr>
          <w:w w:val="110"/>
          <w:sz w:val="18"/>
        </w:rPr>
        <w:t>acknowledges</w:t>
      </w:r>
      <w:r w:rsidRPr="00283806">
        <w:rPr>
          <w:spacing w:val="8"/>
          <w:w w:val="110"/>
          <w:sz w:val="18"/>
        </w:rPr>
        <w:t xml:space="preserve"> </w:t>
      </w:r>
      <w:r w:rsidRPr="00283806">
        <w:rPr>
          <w:spacing w:val="-2"/>
          <w:w w:val="110"/>
          <w:sz w:val="18"/>
        </w:rPr>
        <w:t>these</w:t>
      </w:r>
    </w:p>
    <w:p w14:paraId="41161D88" w14:textId="77777777" w:rsidR="00D67C1E" w:rsidRPr="00283806" w:rsidRDefault="001265CA">
      <w:pPr>
        <w:pStyle w:val="BodyText"/>
        <w:spacing w:line="228" w:lineRule="auto"/>
        <w:ind w:left="143" w:right="46"/>
      </w:pPr>
      <w:r w:rsidRPr="00283806">
        <w:rPr>
          <w:w w:val="105"/>
        </w:rPr>
        <w:t xml:space="preserve">comments and </w:t>
      </w:r>
      <w:proofErr w:type="gramStart"/>
      <w:r w:rsidRPr="00283806">
        <w:rPr>
          <w:w w:val="105"/>
        </w:rPr>
        <w:t>responds</w:t>
      </w:r>
      <w:proofErr w:type="gramEnd"/>
      <w:r w:rsidRPr="00283806">
        <w:rPr>
          <w:w w:val="105"/>
        </w:rPr>
        <w:t xml:space="preserve"> that the Agency proposed a rule and is now establishing provisions based on that proposal that are</w:t>
      </w:r>
      <w:r w:rsidRPr="00283806">
        <w:rPr>
          <w:spacing w:val="40"/>
          <w:w w:val="105"/>
        </w:rPr>
        <w:t xml:space="preserve"> </w:t>
      </w:r>
      <w:r w:rsidRPr="00283806">
        <w:rPr>
          <w:w w:val="105"/>
        </w:rPr>
        <w:t>in</w:t>
      </w:r>
      <w:r w:rsidRPr="00283806">
        <w:rPr>
          <w:spacing w:val="40"/>
          <w:w w:val="105"/>
        </w:rPr>
        <w:t xml:space="preserve"> </w:t>
      </w:r>
      <w:r w:rsidRPr="00283806">
        <w:rPr>
          <w:w w:val="105"/>
        </w:rPr>
        <w:t>correspondence</w:t>
      </w:r>
      <w:r w:rsidRPr="00283806">
        <w:rPr>
          <w:spacing w:val="40"/>
          <w:w w:val="105"/>
        </w:rPr>
        <w:t xml:space="preserve"> </w:t>
      </w:r>
      <w:r w:rsidRPr="00283806">
        <w:rPr>
          <w:w w:val="105"/>
        </w:rPr>
        <w:t>with</w:t>
      </w:r>
      <w:r w:rsidRPr="00283806">
        <w:rPr>
          <w:spacing w:val="40"/>
          <w:w w:val="105"/>
        </w:rPr>
        <w:t xml:space="preserve"> </w:t>
      </w:r>
      <w:r w:rsidRPr="00283806">
        <w:rPr>
          <w:w w:val="105"/>
        </w:rPr>
        <w:t>the</w:t>
      </w:r>
      <w:r w:rsidRPr="00283806">
        <w:rPr>
          <w:spacing w:val="40"/>
          <w:w w:val="105"/>
        </w:rPr>
        <w:t xml:space="preserve"> </w:t>
      </w:r>
      <w:r w:rsidRPr="00283806">
        <w:rPr>
          <w:w w:val="105"/>
        </w:rPr>
        <w:t xml:space="preserve">AIM Act, not a </w:t>
      </w:r>
      <w:proofErr w:type="gramStart"/>
      <w:r w:rsidRPr="00283806">
        <w:rPr>
          <w:w w:val="105"/>
        </w:rPr>
        <w:t>State’s</w:t>
      </w:r>
      <w:proofErr w:type="gramEnd"/>
      <w:r w:rsidRPr="00283806">
        <w:rPr>
          <w:w w:val="105"/>
        </w:rPr>
        <w:t xml:space="preserve"> regulation or</w:t>
      </w:r>
      <w:r w:rsidRPr="00283806">
        <w:rPr>
          <w:spacing w:val="80"/>
          <w:w w:val="105"/>
        </w:rPr>
        <w:t xml:space="preserve"> </w:t>
      </w:r>
      <w:r w:rsidRPr="00283806">
        <w:rPr>
          <w:w w:val="105"/>
        </w:rPr>
        <w:t>legislation.</w:t>
      </w:r>
      <w:r w:rsidRPr="00283806">
        <w:rPr>
          <w:spacing w:val="40"/>
          <w:w w:val="105"/>
        </w:rPr>
        <w:t xml:space="preserve"> </w:t>
      </w:r>
      <w:r w:rsidRPr="00283806">
        <w:rPr>
          <w:w w:val="105"/>
        </w:rPr>
        <w:t>EPA</w:t>
      </w:r>
      <w:r w:rsidRPr="00283806">
        <w:rPr>
          <w:spacing w:val="40"/>
          <w:w w:val="105"/>
        </w:rPr>
        <w:t xml:space="preserve"> </w:t>
      </w:r>
      <w:r w:rsidRPr="00283806">
        <w:rPr>
          <w:w w:val="105"/>
        </w:rPr>
        <w:t>referenced</w:t>
      </w:r>
      <w:r w:rsidRPr="00283806">
        <w:rPr>
          <w:spacing w:val="40"/>
          <w:w w:val="105"/>
        </w:rPr>
        <w:t xml:space="preserve"> </w:t>
      </w:r>
      <w:r w:rsidRPr="00283806">
        <w:rPr>
          <w:w w:val="105"/>
        </w:rPr>
        <w:t>and reviewed multiple States’ programs and policies in place or under consideration, including the California regulations,</w:t>
      </w:r>
    </w:p>
    <w:p w14:paraId="0877D21C" w14:textId="77777777" w:rsidR="00D67C1E" w:rsidRPr="00283806" w:rsidRDefault="001265CA">
      <w:pPr>
        <w:pStyle w:val="BodyText"/>
        <w:spacing w:before="134" w:line="225" w:lineRule="auto"/>
        <w:ind w:left="144" w:right="177"/>
      </w:pPr>
      <w:r w:rsidRPr="00283806">
        <w:br w:type="column"/>
      </w:r>
      <w:r w:rsidRPr="00283806">
        <w:rPr>
          <w:w w:val="105"/>
        </w:rPr>
        <w:t>when developing the proposed rule. The Agency reviewed these regulations for informational purposes and awareness</w:t>
      </w:r>
      <w:r w:rsidRPr="00283806">
        <w:rPr>
          <w:spacing w:val="80"/>
          <w:w w:val="105"/>
        </w:rPr>
        <w:t xml:space="preserve"> </w:t>
      </w:r>
      <w:r w:rsidRPr="00283806">
        <w:rPr>
          <w:w w:val="105"/>
        </w:rPr>
        <w:t xml:space="preserve">of what was being implemented under those programs; however, EPA did not propose and is not finalizing regulations that </w:t>
      </w:r>
      <w:proofErr w:type="gramStart"/>
      <w:r w:rsidRPr="00283806">
        <w:rPr>
          <w:w w:val="105"/>
        </w:rPr>
        <w:t>mirror, fully,</w:t>
      </w:r>
      <w:proofErr w:type="gramEnd"/>
      <w:r w:rsidRPr="00283806">
        <w:rPr>
          <w:w w:val="105"/>
        </w:rPr>
        <w:t xml:space="preserve"> any specific State requirements, nor was it the Agency’s intent</w:t>
      </w:r>
      <w:r w:rsidRPr="00283806">
        <w:rPr>
          <w:spacing w:val="40"/>
          <w:w w:val="105"/>
        </w:rPr>
        <w:t xml:space="preserve"> </w:t>
      </w:r>
      <w:r w:rsidRPr="00283806">
        <w:rPr>
          <w:w w:val="105"/>
        </w:rPr>
        <w:t>to</w:t>
      </w:r>
      <w:r w:rsidRPr="00283806">
        <w:rPr>
          <w:spacing w:val="40"/>
          <w:w w:val="105"/>
        </w:rPr>
        <w:t xml:space="preserve"> </w:t>
      </w:r>
      <w:r w:rsidRPr="00283806">
        <w:rPr>
          <w:w w:val="105"/>
        </w:rPr>
        <w:t>do</w:t>
      </w:r>
      <w:r w:rsidRPr="00283806">
        <w:rPr>
          <w:spacing w:val="40"/>
          <w:w w:val="105"/>
        </w:rPr>
        <w:t xml:space="preserve"> </w:t>
      </w:r>
      <w:r w:rsidRPr="00283806">
        <w:rPr>
          <w:w w:val="105"/>
        </w:rPr>
        <w:t>so.</w:t>
      </w:r>
      <w:r w:rsidRPr="00283806">
        <w:rPr>
          <w:spacing w:val="40"/>
          <w:w w:val="105"/>
        </w:rPr>
        <w:t xml:space="preserve"> </w:t>
      </w:r>
      <w:r w:rsidRPr="00283806">
        <w:rPr>
          <w:w w:val="105"/>
        </w:rPr>
        <w:t>EPA</w:t>
      </w:r>
      <w:r w:rsidRPr="00283806">
        <w:rPr>
          <w:spacing w:val="40"/>
          <w:w w:val="105"/>
        </w:rPr>
        <w:t xml:space="preserve"> </w:t>
      </w:r>
      <w:r w:rsidRPr="00283806">
        <w:rPr>
          <w:w w:val="105"/>
        </w:rPr>
        <w:t>consulted</w:t>
      </w:r>
      <w:r w:rsidRPr="00283806">
        <w:rPr>
          <w:spacing w:val="40"/>
          <w:w w:val="105"/>
        </w:rPr>
        <w:t xml:space="preserve"> </w:t>
      </w:r>
      <w:r w:rsidRPr="00283806">
        <w:rPr>
          <w:w w:val="105"/>
        </w:rPr>
        <w:t xml:space="preserve">with many different stakeholders when developing the proposal, including information from comments received on the Agency’s NODA, through multiple webinars, and through the comment period, including from OEMs. EPA is finalizing requirements for the </w:t>
      </w:r>
      <w:proofErr w:type="gramStart"/>
      <w:r w:rsidRPr="00283806">
        <w:rPr>
          <w:w w:val="105"/>
        </w:rPr>
        <w:t>servicing and/or repair of</w:t>
      </w:r>
      <w:proofErr w:type="gramEnd"/>
      <w:r w:rsidRPr="00283806">
        <w:rPr>
          <w:w w:val="105"/>
        </w:rPr>
        <w:t xml:space="preserve"> refrigerant-containing equipment in certain RACHP subsectors and is not finalizing requirements for reclaimed HFC </w:t>
      </w:r>
      <w:proofErr w:type="gramStart"/>
      <w:r w:rsidRPr="00283806">
        <w:rPr>
          <w:w w:val="105"/>
        </w:rPr>
        <w:t>refrigerants</w:t>
      </w:r>
      <w:proofErr w:type="gramEnd"/>
      <w:r w:rsidRPr="00283806">
        <w:rPr>
          <w:w w:val="105"/>
        </w:rPr>
        <w:t xml:space="preserve"> in the initial fill of refrigerant. The Agency acknowledges that in many instances,</w:t>
      </w:r>
      <w:r w:rsidRPr="00283806">
        <w:rPr>
          <w:spacing w:val="80"/>
          <w:w w:val="105"/>
        </w:rPr>
        <w:t xml:space="preserve"> </w:t>
      </w:r>
      <w:r w:rsidRPr="00283806">
        <w:rPr>
          <w:w w:val="105"/>
        </w:rPr>
        <w:t>the industry seeks alignment with</w:t>
      </w:r>
      <w:r w:rsidRPr="00283806">
        <w:rPr>
          <w:spacing w:val="40"/>
          <w:w w:val="105"/>
        </w:rPr>
        <w:t xml:space="preserve"> </w:t>
      </w:r>
      <w:r w:rsidRPr="00283806">
        <w:rPr>
          <w:w w:val="105"/>
        </w:rPr>
        <w:t xml:space="preserve">Federal and State regulations. However, this regulation is being finalized </w:t>
      </w:r>
      <w:proofErr w:type="gramStart"/>
      <w:r w:rsidRPr="00283806">
        <w:rPr>
          <w:w w:val="105"/>
        </w:rPr>
        <w:t>consistent</w:t>
      </w:r>
      <w:proofErr w:type="gramEnd"/>
      <w:r w:rsidRPr="00283806">
        <w:rPr>
          <w:w w:val="105"/>
        </w:rPr>
        <w:t xml:space="preserve"> with, and to serve the </w:t>
      </w:r>
      <w:proofErr w:type="gramStart"/>
      <w:r w:rsidRPr="00283806">
        <w:rPr>
          <w:w w:val="105"/>
        </w:rPr>
        <w:t>particular purposes</w:t>
      </w:r>
      <w:proofErr w:type="gramEnd"/>
      <w:r w:rsidRPr="00283806">
        <w:rPr>
          <w:w w:val="105"/>
        </w:rPr>
        <w:t xml:space="preserve"> of and direction in, subsection (h) of the AIM Act, and EPA understands that States are</w:t>
      </w:r>
      <w:r w:rsidRPr="00283806">
        <w:rPr>
          <w:spacing w:val="80"/>
          <w:w w:val="105"/>
        </w:rPr>
        <w:t xml:space="preserve"> </w:t>
      </w:r>
      <w:r w:rsidRPr="00283806">
        <w:rPr>
          <w:w w:val="105"/>
        </w:rPr>
        <w:t xml:space="preserve">promulgating regulations based on their </w:t>
      </w:r>
      <w:proofErr w:type="gramStart"/>
      <w:r w:rsidRPr="00283806">
        <w:rPr>
          <w:w w:val="105"/>
        </w:rPr>
        <w:t>State</w:t>
      </w:r>
      <w:proofErr w:type="gramEnd"/>
      <w:r w:rsidRPr="00283806">
        <w:rPr>
          <w:w w:val="105"/>
        </w:rPr>
        <w:t xml:space="preserve"> authorities.</w:t>
      </w:r>
    </w:p>
    <w:p w14:paraId="77C43EA1" w14:textId="77777777" w:rsidR="00D67C1E" w:rsidRPr="00283806" w:rsidRDefault="001265CA">
      <w:pPr>
        <w:spacing w:line="174" w:lineRule="exact"/>
        <w:ind w:left="324"/>
        <w:rPr>
          <w:sz w:val="18"/>
        </w:rPr>
      </w:pPr>
      <w:r w:rsidRPr="00283806">
        <w:rPr>
          <w:rFonts w:ascii="Book Antiqua"/>
          <w:i/>
          <w:w w:val="110"/>
          <w:sz w:val="18"/>
        </w:rPr>
        <w:t>Comment:</w:t>
      </w:r>
      <w:r w:rsidRPr="00283806">
        <w:rPr>
          <w:rFonts w:ascii="Book Antiqua"/>
          <w:i/>
          <w:spacing w:val="-3"/>
          <w:w w:val="110"/>
          <w:sz w:val="18"/>
        </w:rPr>
        <w:t xml:space="preserve"> </w:t>
      </w:r>
      <w:r w:rsidRPr="00283806">
        <w:rPr>
          <w:w w:val="110"/>
          <w:sz w:val="18"/>
        </w:rPr>
        <w:t>EPA</w:t>
      </w:r>
      <w:r w:rsidRPr="00283806">
        <w:rPr>
          <w:spacing w:val="3"/>
          <w:w w:val="110"/>
          <w:sz w:val="18"/>
        </w:rPr>
        <w:t xml:space="preserve"> </w:t>
      </w:r>
      <w:r w:rsidRPr="00283806">
        <w:rPr>
          <w:w w:val="110"/>
          <w:sz w:val="18"/>
        </w:rPr>
        <w:t>received</w:t>
      </w:r>
      <w:r w:rsidRPr="00283806">
        <w:rPr>
          <w:spacing w:val="3"/>
          <w:w w:val="110"/>
          <w:sz w:val="18"/>
        </w:rPr>
        <w:t xml:space="preserve"> </w:t>
      </w:r>
      <w:r w:rsidRPr="00283806">
        <w:rPr>
          <w:w w:val="110"/>
          <w:sz w:val="18"/>
        </w:rPr>
        <w:t>a</w:t>
      </w:r>
      <w:r w:rsidRPr="00283806">
        <w:rPr>
          <w:spacing w:val="2"/>
          <w:w w:val="110"/>
          <w:sz w:val="18"/>
        </w:rPr>
        <w:t xml:space="preserve"> </w:t>
      </w:r>
      <w:r w:rsidRPr="00283806">
        <w:rPr>
          <w:spacing w:val="-5"/>
          <w:w w:val="110"/>
          <w:sz w:val="18"/>
        </w:rPr>
        <w:t>few</w:t>
      </w:r>
    </w:p>
    <w:p w14:paraId="3EA3AB1D" w14:textId="77777777" w:rsidR="00D67C1E" w:rsidRPr="00283806" w:rsidRDefault="001265CA">
      <w:pPr>
        <w:pStyle w:val="BodyText"/>
        <w:spacing w:line="225" w:lineRule="auto"/>
        <w:ind w:left="144" w:right="149"/>
      </w:pPr>
      <w:r w:rsidRPr="00283806">
        <w:rPr>
          <w:w w:val="105"/>
        </w:rPr>
        <w:t xml:space="preserve">comments on establishing requirements for refrigerant recovery. One commenter was disappointed that EPA did not propose requirements that would increase recovery of refrigerants from existing equipment, but instead focused requirements on increasing demand for reclaimed </w:t>
      </w:r>
      <w:proofErr w:type="gramStart"/>
      <w:r w:rsidRPr="00283806">
        <w:rPr>
          <w:w w:val="105"/>
        </w:rPr>
        <w:t>refrigerant</w:t>
      </w:r>
      <w:proofErr w:type="gramEnd"/>
      <w:r w:rsidRPr="00283806">
        <w:rPr>
          <w:w w:val="105"/>
        </w:rPr>
        <w:t>. The commenter stated</w:t>
      </w:r>
      <w:r w:rsidRPr="00283806">
        <w:rPr>
          <w:spacing w:val="-6"/>
          <w:w w:val="105"/>
        </w:rPr>
        <w:t xml:space="preserve"> </w:t>
      </w:r>
      <w:r w:rsidRPr="00283806">
        <w:rPr>
          <w:w w:val="105"/>
        </w:rPr>
        <w:t>that</w:t>
      </w:r>
      <w:r w:rsidRPr="00283806">
        <w:rPr>
          <w:spacing w:val="-6"/>
          <w:w w:val="105"/>
        </w:rPr>
        <w:t xml:space="preserve"> </w:t>
      </w:r>
      <w:r w:rsidRPr="00283806">
        <w:rPr>
          <w:w w:val="105"/>
        </w:rPr>
        <w:t>government</w:t>
      </w:r>
      <w:r w:rsidRPr="00283806">
        <w:rPr>
          <w:spacing w:val="-6"/>
          <w:w w:val="105"/>
        </w:rPr>
        <w:t xml:space="preserve"> </w:t>
      </w:r>
      <w:r w:rsidRPr="00283806">
        <w:rPr>
          <w:w w:val="105"/>
        </w:rPr>
        <w:t>mandates</w:t>
      </w:r>
      <w:r w:rsidRPr="00283806">
        <w:rPr>
          <w:spacing w:val="-6"/>
          <w:w w:val="105"/>
        </w:rPr>
        <w:t xml:space="preserve"> </w:t>
      </w:r>
      <w:r w:rsidRPr="00283806">
        <w:rPr>
          <w:w w:val="105"/>
        </w:rPr>
        <w:t>are</w:t>
      </w:r>
      <w:r w:rsidRPr="00283806">
        <w:rPr>
          <w:spacing w:val="-6"/>
          <w:w w:val="105"/>
        </w:rPr>
        <w:t xml:space="preserve"> </w:t>
      </w:r>
      <w:r w:rsidRPr="00283806">
        <w:rPr>
          <w:w w:val="105"/>
        </w:rPr>
        <w:t>not needed to increase demand through the HFC phasedown and that such solutions will not maximize reclamation. The commenter also stated that there does not appear to be a bias for or against reclaimed refrigerant according to distributors, so the emphasis should be on increasing refrigerant recovery. The commenter suggested that, if mandates are put in place, such mandates should</w:t>
      </w:r>
      <w:r w:rsidRPr="00283806">
        <w:rPr>
          <w:spacing w:val="40"/>
          <w:w w:val="105"/>
        </w:rPr>
        <w:t xml:space="preserve"> </w:t>
      </w:r>
      <w:r w:rsidRPr="00283806">
        <w:rPr>
          <w:w w:val="105"/>
        </w:rPr>
        <w:t>be visible to the technician community</w:t>
      </w:r>
      <w:r w:rsidRPr="00283806">
        <w:rPr>
          <w:spacing w:val="40"/>
          <w:w w:val="105"/>
        </w:rPr>
        <w:t xml:space="preserve"> </w:t>
      </w:r>
      <w:r w:rsidRPr="00283806">
        <w:rPr>
          <w:w w:val="105"/>
        </w:rPr>
        <w:t xml:space="preserve">by creating access to reclaimed </w:t>
      </w:r>
      <w:proofErr w:type="gramStart"/>
      <w:r w:rsidRPr="00283806">
        <w:rPr>
          <w:w w:val="105"/>
        </w:rPr>
        <w:t>refrigerant</w:t>
      </w:r>
      <w:proofErr w:type="gramEnd"/>
      <w:r w:rsidRPr="00283806">
        <w:rPr>
          <w:w w:val="105"/>
        </w:rPr>
        <w:t xml:space="preserve"> to create an incentive to increase their recovery rates. The commenter claimed that technicians understanding</w:t>
      </w:r>
      <w:r w:rsidRPr="00283806">
        <w:rPr>
          <w:spacing w:val="-4"/>
          <w:w w:val="105"/>
        </w:rPr>
        <w:t xml:space="preserve"> </w:t>
      </w:r>
      <w:r w:rsidRPr="00283806">
        <w:rPr>
          <w:w w:val="105"/>
        </w:rPr>
        <w:t>that</w:t>
      </w:r>
      <w:r w:rsidRPr="00283806">
        <w:rPr>
          <w:spacing w:val="-4"/>
          <w:w w:val="105"/>
        </w:rPr>
        <w:t xml:space="preserve"> </w:t>
      </w:r>
      <w:r w:rsidRPr="00283806">
        <w:rPr>
          <w:w w:val="105"/>
        </w:rPr>
        <w:t>reclaimed</w:t>
      </w:r>
      <w:r w:rsidRPr="00283806">
        <w:rPr>
          <w:spacing w:val="-4"/>
          <w:w w:val="105"/>
        </w:rPr>
        <w:t xml:space="preserve"> </w:t>
      </w:r>
      <w:r w:rsidRPr="00283806">
        <w:rPr>
          <w:w w:val="105"/>
        </w:rPr>
        <w:t>refrigerant must be used in servicing and that no additional</w:t>
      </w:r>
      <w:r w:rsidRPr="00283806">
        <w:rPr>
          <w:spacing w:val="40"/>
          <w:w w:val="105"/>
        </w:rPr>
        <w:t xml:space="preserve"> </w:t>
      </w:r>
      <w:r w:rsidRPr="00283806">
        <w:rPr>
          <w:w w:val="105"/>
        </w:rPr>
        <w:t>virgin</w:t>
      </w:r>
      <w:r w:rsidRPr="00283806">
        <w:rPr>
          <w:spacing w:val="40"/>
          <w:w w:val="105"/>
        </w:rPr>
        <w:t xml:space="preserve"> </w:t>
      </w:r>
      <w:r w:rsidRPr="00283806">
        <w:rPr>
          <w:w w:val="105"/>
        </w:rPr>
        <w:t>material</w:t>
      </w:r>
      <w:r w:rsidRPr="00283806">
        <w:rPr>
          <w:spacing w:val="40"/>
          <w:w w:val="105"/>
        </w:rPr>
        <w:t xml:space="preserve"> </w:t>
      </w:r>
      <w:r w:rsidRPr="00283806">
        <w:rPr>
          <w:w w:val="105"/>
        </w:rPr>
        <w:t>is</w:t>
      </w:r>
      <w:r w:rsidRPr="00283806">
        <w:rPr>
          <w:spacing w:val="40"/>
          <w:w w:val="105"/>
        </w:rPr>
        <w:t xml:space="preserve"> </w:t>
      </w:r>
      <w:r w:rsidRPr="00283806">
        <w:rPr>
          <w:w w:val="105"/>
        </w:rPr>
        <w:t>allowed will have a better understanding of why recovery is required.</w:t>
      </w:r>
    </w:p>
    <w:p w14:paraId="27E83E7E" w14:textId="77777777" w:rsidR="00D67C1E" w:rsidRPr="00283806" w:rsidRDefault="001265CA">
      <w:pPr>
        <w:pStyle w:val="BodyText"/>
        <w:spacing w:line="170" w:lineRule="exact"/>
        <w:ind w:left="324"/>
      </w:pPr>
      <w:r w:rsidRPr="00283806">
        <w:rPr>
          <w:w w:val="105"/>
        </w:rPr>
        <w:t>Another</w:t>
      </w:r>
      <w:r w:rsidRPr="00283806">
        <w:rPr>
          <w:spacing w:val="4"/>
          <w:w w:val="105"/>
        </w:rPr>
        <w:t xml:space="preserve"> </w:t>
      </w:r>
      <w:r w:rsidRPr="00283806">
        <w:rPr>
          <w:w w:val="105"/>
        </w:rPr>
        <w:t>commenter</w:t>
      </w:r>
      <w:r w:rsidRPr="00283806">
        <w:rPr>
          <w:spacing w:val="4"/>
          <w:w w:val="105"/>
        </w:rPr>
        <w:t xml:space="preserve"> </w:t>
      </w:r>
      <w:r w:rsidRPr="00283806">
        <w:rPr>
          <w:w w:val="105"/>
        </w:rPr>
        <w:t>stated</w:t>
      </w:r>
      <w:r w:rsidRPr="00283806">
        <w:rPr>
          <w:spacing w:val="4"/>
          <w:w w:val="105"/>
        </w:rPr>
        <w:t xml:space="preserve"> </w:t>
      </w:r>
      <w:r w:rsidRPr="00283806">
        <w:rPr>
          <w:w w:val="105"/>
        </w:rPr>
        <w:t>that</w:t>
      </w:r>
      <w:r w:rsidRPr="00283806">
        <w:rPr>
          <w:spacing w:val="4"/>
          <w:w w:val="105"/>
        </w:rPr>
        <w:t xml:space="preserve"> </w:t>
      </w:r>
      <w:r w:rsidRPr="00283806">
        <w:rPr>
          <w:spacing w:val="-5"/>
          <w:w w:val="105"/>
        </w:rPr>
        <w:t>not</w:t>
      </w:r>
    </w:p>
    <w:p w14:paraId="13B24224" w14:textId="77777777" w:rsidR="00D67C1E" w:rsidRPr="00283806" w:rsidRDefault="001265CA">
      <w:pPr>
        <w:pStyle w:val="BodyText"/>
        <w:spacing w:before="2" w:line="225" w:lineRule="auto"/>
        <w:ind w:left="144" w:right="141"/>
      </w:pPr>
      <w:r w:rsidRPr="00283806">
        <w:rPr>
          <w:w w:val="105"/>
        </w:rPr>
        <w:t>only is recovered refrigerant not</w:t>
      </w:r>
      <w:r w:rsidRPr="00283806">
        <w:rPr>
          <w:spacing w:val="40"/>
          <w:w w:val="105"/>
        </w:rPr>
        <w:t xml:space="preserve"> </w:t>
      </w:r>
      <w:r w:rsidRPr="00283806">
        <w:rPr>
          <w:w w:val="105"/>
        </w:rPr>
        <w:t xml:space="preserve">reaching reclaimers, there also seem to be stockpiles not turned </w:t>
      </w:r>
      <w:proofErr w:type="gramStart"/>
      <w:r w:rsidRPr="00283806">
        <w:rPr>
          <w:w w:val="105"/>
        </w:rPr>
        <w:t>in to</w:t>
      </w:r>
      <w:proofErr w:type="gramEnd"/>
      <w:r w:rsidRPr="00283806">
        <w:rPr>
          <w:spacing w:val="80"/>
          <w:w w:val="150"/>
        </w:rPr>
        <w:t xml:space="preserve"> </w:t>
      </w:r>
      <w:r w:rsidRPr="00283806">
        <w:rPr>
          <w:w w:val="105"/>
        </w:rPr>
        <w:t>reclaimers. The commenter also stated that they have heard that it takes too</w:t>
      </w:r>
      <w:r w:rsidRPr="00283806">
        <w:rPr>
          <w:spacing w:val="40"/>
          <w:w w:val="105"/>
        </w:rPr>
        <w:t xml:space="preserve"> </w:t>
      </w:r>
      <w:r w:rsidRPr="00283806">
        <w:rPr>
          <w:w w:val="105"/>
        </w:rPr>
        <w:t>long to recover refrigerant, especially R– 410A. The commenter noted that this</w:t>
      </w:r>
    </w:p>
    <w:p w14:paraId="38A014CD"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7" w:space="40"/>
            <w:col w:w="3500" w:space="39"/>
            <w:col w:w="3624"/>
          </w:cols>
        </w:sectPr>
      </w:pPr>
    </w:p>
    <w:p w14:paraId="704ADF60" w14:textId="77777777" w:rsidR="00D67C1E" w:rsidRPr="00283806" w:rsidRDefault="001265CA">
      <w:pPr>
        <w:pStyle w:val="BodyText"/>
        <w:spacing w:before="136" w:line="225" w:lineRule="auto"/>
        <w:ind w:right="60"/>
      </w:pPr>
      <w:r w:rsidRPr="00283806">
        <w:rPr>
          <w:w w:val="105"/>
        </w:rPr>
        <w:lastRenderedPageBreak/>
        <w:t>could be because of using the recovery equipment for R–22 instead of R–410A. The commenter suggested that EPA may want to consider using some of its funding for small contractors serving</w:t>
      </w:r>
      <w:r w:rsidRPr="00283806">
        <w:rPr>
          <w:spacing w:val="80"/>
          <w:w w:val="105"/>
        </w:rPr>
        <w:t xml:space="preserve"> </w:t>
      </w:r>
      <w:r w:rsidRPr="00283806">
        <w:rPr>
          <w:w w:val="105"/>
        </w:rPr>
        <w:t>low and medium-income communities</w:t>
      </w:r>
      <w:r w:rsidRPr="00283806">
        <w:rPr>
          <w:spacing w:val="80"/>
          <w:w w:val="105"/>
        </w:rPr>
        <w:t xml:space="preserve"> </w:t>
      </w:r>
      <w:r w:rsidRPr="00283806">
        <w:rPr>
          <w:w w:val="105"/>
        </w:rPr>
        <w:t>to apply for grants or to outright purchase the correct recovery equipment. The commenter further suggested that EPA may wish to interview contractors to better understand the challenges they face</w:t>
      </w:r>
      <w:r w:rsidRPr="00283806">
        <w:rPr>
          <w:spacing w:val="80"/>
          <w:w w:val="105"/>
        </w:rPr>
        <w:t xml:space="preserve"> </w:t>
      </w:r>
      <w:r w:rsidRPr="00283806">
        <w:rPr>
          <w:w w:val="105"/>
        </w:rPr>
        <w:t>with recovery and price points to incentivize purchasing reclaimed refrigerant. The commenter noted that despite these relatively high prices, reclaim rates have never been above 5,000 metric tons per year for HCFC–22, even with a complete ban on newly produced HCFC–22 for servicing, according to EPA’s Summary of Refrigerant Reclamation.</w:t>
      </w:r>
    </w:p>
    <w:p w14:paraId="03685D17" w14:textId="77777777" w:rsidR="00D67C1E" w:rsidRPr="00283806" w:rsidRDefault="001265CA">
      <w:pPr>
        <w:pStyle w:val="BodyText"/>
        <w:spacing w:line="172" w:lineRule="exact"/>
        <w:ind w:left="340"/>
      </w:pPr>
      <w:r w:rsidRPr="00283806">
        <w:rPr>
          <w:w w:val="105"/>
        </w:rPr>
        <w:t>One</w:t>
      </w:r>
      <w:r w:rsidRPr="00283806">
        <w:rPr>
          <w:spacing w:val="3"/>
          <w:w w:val="105"/>
        </w:rPr>
        <w:t xml:space="preserve"> </w:t>
      </w:r>
      <w:r w:rsidRPr="00283806">
        <w:rPr>
          <w:w w:val="105"/>
        </w:rPr>
        <w:t>commenter</w:t>
      </w:r>
      <w:r w:rsidRPr="00283806">
        <w:rPr>
          <w:spacing w:val="3"/>
          <w:w w:val="105"/>
        </w:rPr>
        <w:t xml:space="preserve"> </w:t>
      </w:r>
      <w:proofErr w:type="gramStart"/>
      <w:r w:rsidRPr="00283806">
        <w:rPr>
          <w:w w:val="105"/>
        </w:rPr>
        <w:t>states</w:t>
      </w:r>
      <w:proofErr w:type="gramEnd"/>
      <w:r w:rsidRPr="00283806">
        <w:rPr>
          <w:spacing w:val="3"/>
          <w:w w:val="105"/>
        </w:rPr>
        <w:t xml:space="preserve"> </w:t>
      </w:r>
      <w:r w:rsidRPr="00283806">
        <w:rPr>
          <w:w w:val="105"/>
        </w:rPr>
        <w:t>that</w:t>
      </w:r>
      <w:r w:rsidRPr="00283806">
        <w:rPr>
          <w:spacing w:val="4"/>
          <w:w w:val="105"/>
        </w:rPr>
        <w:t xml:space="preserve"> </w:t>
      </w:r>
      <w:r w:rsidRPr="00283806">
        <w:rPr>
          <w:spacing w:val="-5"/>
          <w:w w:val="105"/>
        </w:rPr>
        <w:t>the</w:t>
      </w:r>
    </w:p>
    <w:p w14:paraId="55C7EE88" w14:textId="77777777" w:rsidR="00D67C1E" w:rsidRPr="00283806" w:rsidRDefault="001265CA">
      <w:pPr>
        <w:pStyle w:val="BodyText"/>
        <w:spacing w:before="4" w:line="225" w:lineRule="auto"/>
        <w:ind w:right="52"/>
      </w:pPr>
      <w:r w:rsidRPr="00283806">
        <w:rPr>
          <w:w w:val="105"/>
        </w:rPr>
        <w:t>proposed rule did not pay sufficient attention to the role of recovery in maximizing reclamation. The</w:t>
      </w:r>
      <w:r w:rsidRPr="00283806">
        <w:rPr>
          <w:spacing w:val="40"/>
          <w:w w:val="105"/>
        </w:rPr>
        <w:t xml:space="preserve"> </w:t>
      </w:r>
      <w:r w:rsidRPr="00283806">
        <w:rPr>
          <w:w w:val="105"/>
        </w:rPr>
        <w:t>commenter further proposed that, given the central role recovery plays, EPA should initiate a new rulemaking under subsection</w:t>
      </w:r>
      <w:r w:rsidRPr="00283806">
        <w:rPr>
          <w:spacing w:val="37"/>
          <w:w w:val="105"/>
        </w:rPr>
        <w:t xml:space="preserve"> </w:t>
      </w:r>
      <w:r w:rsidRPr="00283806">
        <w:rPr>
          <w:w w:val="105"/>
        </w:rPr>
        <w:t>(h)</w:t>
      </w:r>
      <w:r w:rsidRPr="00283806">
        <w:rPr>
          <w:spacing w:val="37"/>
          <w:w w:val="105"/>
        </w:rPr>
        <w:t xml:space="preserve"> </w:t>
      </w:r>
      <w:r w:rsidRPr="00283806">
        <w:rPr>
          <w:w w:val="105"/>
        </w:rPr>
        <w:t>of</w:t>
      </w:r>
      <w:r w:rsidRPr="00283806">
        <w:rPr>
          <w:spacing w:val="37"/>
          <w:w w:val="105"/>
        </w:rPr>
        <w:t xml:space="preserve"> </w:t>
      </w:r>
      <w:r w:rsidRPr="00283806">
        <w:rPr>
          <w:w w:val="105"/>
        </w:rPr>
        <w:t>the</w:t>
      </w:r>
      <w:r w:rsidRPr="00283806">
        <w:rPr>
          <w:spacing w:val="37"/>
          <w:w w:val="105"/>
        </w:rPr>
        <w:t xml:space="preserve"> </w:t>
      </w:r>
      <w:r w:rsidRPr="00283806">
        <w:rPr>
          <w:w w:val="105"/>
        </w:rPr>
        <w:t>AIM</w:t>
      </w:r>
      <w:r w:rsidRPr="00283806">
        <w:rPr>
          <w:spacing w:val="37"/>
          <w:w w:val="105"/>
        </w:rPr>
        <w:t xml:space="preserve"> </w:t>
      </w:r>
      <w:r w:rsidRPr="00283806">
        <w:rPr>
          <w:w w:val="105"/>
        </w:rPr>
        <w:t>Act</w:t>
      </w:r>
      <w:r w:rsidRPr="00283806">
        <w:rPr>
          <w:spacing w:val="37"/>
          <w:w w:val="105"/>
        </w:rPr>
        <w:t xml:space="preserve"> </w:t>
      </w:r>
      <w:r w:rsidRPr="00283806">
        <w:rPr>
          <w:w w:val="105"/>
        </w:rPr>
        <w:t>as</w:t>
      </w:r>
      <w:r w:rsidRPr="00283806">
        <w:rPr>
          <w:spacing w:val="37"/>
          <w:w w:val="105"/>
        </w:rPr>
        <w:t xml:space="preserve"> </w:t>
      </w:r>
      <w:r w:rsidRPr="00283806">
        <w:rPr>
          <w:w w:val="105"/>
        </w:rPr>
        <w:t>soon as possible to ensure these and other</w:t>
      </w:r>
    </w:p>
    <w:p w14:paraId="7216B391" w14:textId="77777777" w:rsidR="00D67C1E" w:rsidRPr="00283806" w:rsidRDefault="001265CA">
      <w:pPr>
        <w:pStyle w:val="BodyText"/>
        <w:spacing w:line="225" w:lineRule="auto"/>
      </w:pPr>
      <w:r w:rsidRPr="00283806">
        <w:rPr>
          <w:w w:val="105"/>
        </w:rPr>
        <w:t>issues</w:t>
      </w:r>
      <w:r w:rsidRPr="00283806">
        <w:rPr>
          <w:spacing w:val="-3"/>
          <w:w w:val="105"/>
        </w:rPr>
        <w:t xml:space="preserve"> </w:t>
      </w:r>
      <w:r w:rsidRPr="00283806">
        <w:rPr>
          <w:w w:val="105"/>
        </w:rPr>
        <w:t>related</w:t>
      </w:r>
      <w:r w:rsidRPr="00283806">
        <w:rPr>
          <w:spacing w:val="-3"/>
          <w:w w:val="105"/>
        </w:rPr>
        <w:t xml:space="preserve"> </w:t>
      </w:r>
      <w:r w:rsidRPr="00283806">
        <w:rPr>
          <w:w w:val="105"/>
        </w:rPr>
        <w:t>to</w:t>
      </w:r>
      <w:r w:rsidRPr="00283806">
        <w:rPr>
          <w:spacing w:val="-3"/>
          <w:w w:val="105"/>
        </w:rPr>
        <w:t xml:space="preserve"> </w:t>
      </w:r>
      <w:r w:rsidRPr="00283806">
        <w:rPr>
          <w:w w:val="105"/>
        </w:rPr>
        <w:t>recovery</w:t>
      </w:r>
      <w:r w:rsidRPr="00283806">
        <w:rPr>
          <w:spacing w:val="-3"/>
          <w:w w:val="105"/>
        </w:rPr>
        <w:t xml:space="preserve"> </w:t>
      </w:r>
      <w:r w:rsidRPr="00283806">
        <w:rPr>
          <w:w w:val="105"/>
        </w:rPr>
        <w:t>are</w:t>
      </w:r>
      <w:r w:rsidRPr="00283806">
        <w:rPr>
          <w:spacing w:val="-3"/>
          <w:w w:val="105"/>
        </w:rPr>
        <w:t xml:space="preserve"> </w:t>
      </w:r>
      <w:r w:rsidRPr="00283806">
        <w:rPr>
          <w:w w:val="105"/>
        </w:rPr>
        <w:t>adequately addressed before any further reclaim mandates are considered.</w:t>
      </w:r>
    </w:p>
    <w:p w14:paraId="6BF3AB8C" w14:textId="77777777" w:rsidR="00D67C1E" w:rsidRPr="00283806" w:rsidRDefault="001265CA">
      <w:pPr>
        <w:pStyle w:val="BodyText"/>
        <w:spacing w:line="179" w:lineRule="exact"/>
        <w:ind w:left="340"/>
      </w:pPr>
      <w:r w:rsidRPr="00283806">
        <w:rPr>
          <w:w w:val="105"/>
        </w:rPr>
        <w:t>Another</w:t>
      </w:r>
      <w:r w:rsidRPr="00283806">
        <w:rPr>
          <w:spacing w:val="8"/>
          <w:w w:val="105"/>
        </w:rPr>
        <w:t xml:space="preserve"> </w:t>
      </w:r>
      <w:r w:rsidRPr="00283806">
        <w:rPr>
          <w:w w:val="105"/>
        </w:rPr>
        <w:t>commenter</w:t>
      </w:r>
      <w:r w:rsidRPr="00283806">
        <w:rPr>
          <w:spacing w:val="9"/>
          <w:w w:val="105"/>
        </w:rPr>
        <w:t xml:space="preserve"> </w:t>
      </w:r>
      <w:r w:rsidRPr="00283806">
        <w:rPr>
          <w:spacing w:val="-2"/>
          <w:w w:val="105"/>
        </w:rPr>
        <w:t>recommended</w:t>
      </w:r>
    </w:p>
    <w:p w14:paraId="7E090D05" w14:textId="77777777" w:rsidR="00D67C1E" w:rsidRPr="00283806" w:rsidRDefault="001265CA">
      <w:pPr>
        <w:pStyle w:val="BodyText"/>
        <w:spacing w:before="1" w:line="225" w:lineRule="auto"/>
        <w:ind w:right="41"/>
      </w:pPr>
      <w:r w:rsidRPr="00283806">
        <w:rPr>
          <w:w w:val="105"/>
        </w:rPr>
        <w:t>considering process enhancements to reduce</w:t>
      </w:r>
      <w:r w:rsidRPr="00283806">
        <w:rPr>
          <w:spacing w:val="-1"/>
          <w:w w:val="105"/>
        </w:rPr>
        <w:t xml:space="preserve"> </w:t>
      </w:r>
      <w:r w:rsidRPr="00283806">
        <w:rPr>
          <w:w w:val="105"/>
        </w:rPr>
        <w:t>refrigerant</w:t>
      </w:r>
      <w:r w:rsidRPr="00283806">
        <w:rPr>
          <w:spacing w:val="-1"/>
          <w:w w:val="105"/>
        </w:rPr>
        <w:t xml:space="preserve"> </w:t>
      </w:r>
      <w:r w:rsidRPr="00283806">
        <w:rPr>
          <w:w w:val="105"/>
        </w:rPr>
        <w:t>contamination</w:t>
      </w:r>
      <w:r w:rsidRPr="00283806">
        <w:rPr>
          <w:spacing w:val="-1"/>
          <w:w w:val="105"/>
        </w:rPr>
        <w:t xml:space="preserve"> </w:t>
      </w:r>
      <w:r w:rsidRPr="00283806">
        <w:rPr>
          <w:w w:val="105"/>
        </w:rPr>
        <w:t xml:space="preserve">before </w:t>
      </w:r>
      <w:proofErr w:type="gramStart"/>
      <w:r w:rsidRPr="00283806">
        <w:rPr>
          <w:w w:val="105"/>
        </w:rPr>
        <w:t>reuse</w:t>
      </w:r>
      <w:proofErr w:type="gramEnd"/>
      <w:r w:rsidRPr="00283806">
        <w:rPr>
          <w:w w:val="105"/>
        </w:rPr>
        <w:t xml:space="preserve"> or return for reclaim arguing that many reclamation facilities without fractional distillation capacities cannot separate components when contamination is above 15 percent. The commenter requested that EPA evaluate how much refrigerant is returned contaminated and how much is destroyed annually and integrate tools</w:t>
      </w:r>
      <w:r w:rsidRPr="00283806">
        <w:rPr>
          <w:spacing w:val="40"/>
          <w:w w:val="105"/>
        </w:rPr>
        <w:t xml:space="preserve"> </w:t>
      </w:r>
      <w:r w:rsidRPr="00283806">
        <w:rPr>
          <w:w w:val="105"/>
        </w:rPr>
        <w:t xml:space="preserve">to reduce cross-contamination to maximize the potential for reusing </w:t>
      </w:r>
      <w:r w:rsidRPr="00283806">
        <w:rPr>
          <w:spacing w:val="-2"/>
          <w:w w:val="105"/>
        </w:rPr>
        <w:t>refrigerants.</w:t>
      </w:r>
    </w:p>
    <w:p w14:paraId="3C458010" w14:textId="77777777" w:rsidR="00D67C1E" w:rsidRPr="00283806" w:rsidRDefault="001265CA">
      <w:pPr>
        <w:pStyle w:val="BodyText"/>
        <w:spacing w:line="175" w:lineRule="exact"/>
        <w:ind w:left="340"/>
      </w:pPr>
      <w:r w:rsidRPr="00283806">
        <w:rPr>
          <w:w w:val="105"/>
        </w:rPr>
        <w:t>One</w:t>
      </w:r>
      <w:r w:rsidRPr="00283806">
        <w:rPr>
          <w:spacing w:val="5"/>
          <w:w w:val="105"/>
        </w:rPr>
        <w:t xml:space="preserve"> </w:t>
      </w:r>
      <w:r w:rsidRPr="00283806">
        <w:rPr>
          <w:w w:val="105"/>
        </w:rPr>
        <w:t>commenter</w:t>
      </w:r>
      <w:r w:rsidRPr="00283806">
        <w:rPr>
          <w:spacing w:val="5"/>
          <w:w w:val="105"/>
        </w:rPr>
        <w:t xml:space="preserve"> </w:t>
      </w:r>
      <w:r w:rsidRPr="00283806">
        <w:rPr>
          <w:w w:val="105"/>
        </w:rPr>
        <w:t>stated</w:t>
      </w:r>
      <w:r w:rsidRPr="00283806">
        <w:rPr>
          <w:spacing w:val="6"/>
          <w:w w:val="105"/>
        </w:rPr>
        <w:t xml:space="preserve"> </w:t>
      </w:r>
      <w:r w:rsidRPr="00283806">
        <w:rPr>
          <w:w w:val="105"/>
        </w:rPr>
        <w:t>that</w:t>
      </w:r>
      <w:r w:rsidRPr="00283806">
        <w:rPr>
          <w:spacing w:val="5"/>
          <w:w w:val="105"/>
        </w:rPr>
        <w:t xml:space="preserve"> </w:t>
      </w:r>
      <w:r w:rsidRPr="00283806">
        <w:rPr>
          <w:spacing w:val="-2"/>
          <w:w w:val="105"/>
        </w:rPr>
        <w:t>increasing</w:t>
      </w:r>
    </w:p>
    <w:p w14:paraId="514EBA68" w14:textId="77777777" w:rsidR="00D67C1E" w:rsidRPr="00283806" w:rsidRDefault="001265CA">
      <w:pPr>
        <w:pStyle w:val="BodyText"/>
        <w:spacing w:line="228" w:lineRule="auto"/>
        <w:ind w:right="28"/>
      </w:pPr>
      <w:proofErr w:type="gramStart"/>
      <w:r w:rsidRPr="00283806">
        <w:rPr>
          <w:w w:val="105"/>
        </w:rPr>
        <w:t>the</w:t>
      </w:r>
      <w:proofErr w:type="gramEnd"/>
      <w:r w:rsidRPr="00283806">
        <w:rPr>
          <w:w w:val="105"/>
        </w:rPr>
        <w:t xml:space="preserve"> recovery of HFCs for reclamation is essential for economic growth and other environmental benefits, while another commenter stated the importance of mandates for increased recovery is needed to support reclamation. Another commenter noted that financial incentives for technicians may be effective to enhance recovery of HFCs.</w:t>
      </w:r>
    </w:p>
    <w:p w14:paraId="54520464" w14:textId="77777777" w:rsidR="00D67C1E" w:rsidRPr="00283806" w:rsidRDefault="001265CA">
      <w:pPr>
        <w:pStyle w:val="BodyText"/>
        <w:spacing w:before="134" w:line="228" w:lineRule="auto"/>
        <w:ind w:right="37"/>
      </w:pPr>
      <w:r w:rsidRPr="00283806">
        <w:br w:type="column"/>
      </w:r>
      <w:r w:rsidRPr="00283806">
        <w:rPr>
          <w:w w:val="105"/>
        </w:rPr>
        <w:t>The commenter requested that EPA consider establishing a standard for equipment</w:t>
      </w:r>
      <w:r w:rsidRPr="00283806">
        <w:rPr>
          <w:spacing w:val="-5"/>
          <w:w w:val="105"/>
        </w:rPr>
        <w:t xml:space="preserve"> </w:t>
      </w:r>
      <w:r w:rsidRPr="00283806">
        <w:rPr>
          <w:w w:val="105"/>
        </w:rPr>
        <w:t>used</w:t>
      </w:r>
      <w:r w:rsidRPr="00283806">
        <w:rPr>
          <w:spacing w:val="-5"/>
          <w:w w:val="105"/>
        </w:rPr>
        <w:t xml:space="preserve"> </w:t>
      </w:r>
      <w:r w:rsidRPr="00283806">
        <w:rPr>
          <w:w w:val="105"/>
        </w:rPr>
        <w:t>to</w:t>
      </w:r>
      <w:r w:rsidRPr="00283806">
        <w:rPr>
          <w:spacing w:val="-5"/>
          <w:w w:val="105"/>
        </w:rPr>
        <w:t xml:space="preserve"> </w:t>
      </w:r>
      <w:r w:rsidRPr="00283806">
        <w:rPr>
          <w:w w:val="105"/>
        </w:rPr>
        <w:t>recover</w:t>
      </w:r>
      <w:r w:rsidRPr="00283806">
        <w:rPr>
          <w:spacing w:val="-5"/>
          <w:w w:val="105"/>
        </w:rPr>
        <w:t xml:space="preserve"> </w:t>
      </w:r>
      <w:r w:rsidRPr="00283806">
        <w:rPr>
          <w:w w:val="105"/>
        </w:rPr>
        <w:t>refrigerant</w:t>
      </w:r>
      <w:r w:rsidRPr="00283806">
        <w:rPr>
          <w:spacing w:val="-5"/>
          <w:w w:val="105"/>
        </w:rPr>
        <w:t xml:space="preserve"> </w:t>
      </w:r>
      <w:r w:rsidRPr="00283806">
        <w:rPr>
          <w:w w:val="105"/>
        </w:rPr>
        <w:t>to control leakage during recovery.</w:t>
      </w:r>
    </w:p>
    <w:p w14:paraId="697F5DA5" w14:textId="77777777" w:rsidR="00D67C1E" w:rsidRPr="00283806" w:rsidRDefault="001265CA">
      <w:pPr>
        <w:pStyle w:val="BodyText"/>
        <w:spacing w:before="8" w:line="228" w:lineRule="auto"/>
        <w:ind w:right="37" w:firstLine="180"/>
      </w:pPr>
      <w:r w:rsidRPr="00283806">
        <w:rPr>
          <w:rFonts w:ascii="Book Antiqua"/>
          <w:i/>
          <w:w w:val="105"/>
        </w:rPr>
        <w:t xml:space="preserve">Response: </w:t>
      </w:r>
      <w:r w:rsidRPr="00283806">
        <w:rPr>
          <w:w w:val="105"/>
        </w:rPr>
        <w:t>EPA responds to these comments</w:t>
      </w:r>
      <w:r w:rsidRPr="00283806">
        <w:rPr>
          <w:spacing w:val="-4"/>
          <w:w w:val="105"/>
        </w:rPr>
        <w:t xml:space="preserve"> </w:t>
      </w:r>
      <w:r w:rsidRPr="00283806">
        <w:rPr>
          <w:w w:val="105"/>
        </w:rPr>
        <w:t>that</w:t>
      </w:r>
      <w:r w:rsidRPr="00283806">
        <w:rPr>
          <w:spacing w:val="-4"/>
          <w:w w:val="105"/>
        </w:rPr>
        <w:t xml:space="preserve"> </w:t>
      </w:r>
      <w:r w:rsidRPr="00283806">
        <w:rPr>
          <w:w w:val="105"/>
        </w:rPr>
        <w:t>requirements</w:t>
      </w:r>
      <w:r w:rsidRPr="00283806">
        <w:rPr>
          <w:spacing w:val="-4"/>
          <w:w w:val="105"/>
        </w:rPr>
        <w:t xml:space="preserve"> </w:t>
      </w:r>
      <w:r w:rsidRPr="00283806">
        <w:rPr>
          <w:w w:val="105"/>
        </w:rPr>
        <w:t>established for the recovery of HFCs from</w:t>
      </w:r>
      <w:r w:rsidRPr="00283806">
        <w:rPr>
          <w:spacing w:val="80"/>
          <w:w w:val="105"/>
        </w:rPr>
        <w:t xml:space="preserve"> </w:t>
      </w:r>
      <w:r w:rsidRPr="00283806">
        <w:rPr>
          <w:w w:val="105"/>
        </w:rPr>
        <w:t>equipment would be related to those requirements for technicians and contractors performing the actual recovery. EPA understands that critical link between recovery and reclamation and agrees that increased recovery of refrigerants supports the increased reclamation of those refrigerants. The Agency views requirements related to recovery under the authority of subsection (h) of the AIM Act, as they</w:t>
      </w:r>
      <w:r w:rsidRPr="00283806">
        <w:rPr>
          <w:spacing w:val="80"/>
          <w:w w:val="150"/>
        </w:rPr>
        <w:t xml:space="preserve"> </w:t>
      </w:r>
      <w:r w:rsidRPr="00283806">
        <w:rPr>
          <w:w w:val="105"/>
        </w:rPr>
        <w:t>are related to practices, processes, or activities related to the servicing, repair, or disposal of equipment. Recovery of</w:t>
      </w:r>
      <w:r w:rsidRPr="00283806">
        <w:rPr>
          <w:spacing w:val="40"/>
          <w:w w:val="105"/>
        </w:rPr>
        <w:t xml:space="preserve"> </w:t>
      </w:r>
      <w:r w:rsidRPr="00283806">
        <w:rPr>
          <w:w w:val="105"/>
        </w:rPr>
        <w:t>the refrigerant would likely be a</w:t>
      </w:r>
      <w:r w:rsidRPr="00283806">
        <w:rPr>
          <w:spacing w:val="80"/>
          <w:w w:val="105"/>
        </w:rPr>
        <w:t xml:space="preserve"> </w:t>
      </w:r>
      <w:r w:rsidRPr="00283806">
        <w:rPr>
          <w:w w:val="105"/>
        </w:rPr>
        <w:t xml:space="preserve">practice, process, or activity required to remove the </w:t>
      </w:r>
      <w:proofErr w:type="gramStart"/>
      <w:r w:rsidRPr="00283806">
        <w:rPr>
          <w:w w:val="105"/>
        </w:rPr>
        <w:t>charge of refrigerant</w:t>
      </w:r>
      <w:proofErr w:type="gramEnd"/>
      <w:r w:rsidRPr="00283806">
        <w:rPr>
          <w:w w:val="105"/>
        </w:rPr>
        <w:t xml:space="preserve"> to</w:t>
      </w:r>
      <w:r w:rsidRPr="00283806">
        <w:rPr>
          <w:spacing w:val="40"/>
          <w:w w:val="105"/>
        </w:rPr>
        <w:t xml:space="preserve"> </w:t>
      </w:r>
      <w:r w:rsidRPr="00283806">
        <w:rPr>
          <w:w w:val="105"/>
        </w:rPr>
        <w:t>repair the equipment or would be performed during the process of disposing the equipment to recover the refrigerant before it is disposed. EPA views such practices, processes, or activities as those performed by a technician</w:t>
      </w:r>
      <w:r w:rsidRPr="00283806">
        <w:rPr>
          <w:spacing w:val="40"/>
          <w:w w:val="105"/>
        </w:rPr>
        <w:t xml:space="preserve"> </w:t>
      </w:r>
      <w:r w:rsidRPr="00283806">
        <w:rPr>
          <w:w w:val="105"/>
        </w:rPr>
        <w:t>or</w:t>
      </w:r>
      <w:r w:rsidRPr="00283806">
        <w:rPr>
          <w:spacing w:val="40"/>
          <w:w w:val="105"/>
        </w:rPr>
        <w:t xml:space="preserve"> </w:t>
      </w:r>
      <w:r w:rsidRPr="00283806">
        <w:rPr>
          <w:w w:val="105"/>
        </w:rPr>
        <w:t>contractor,</w:t>
      </w:r>
      <w:r w:rsidRPr="00283806">
        <w:rPr>
          <w:spacing w:val="40"/>
          <w:w w:val="105"/>
        </w:rPr>
        <w:t xml:space="preserve"> </w:t>
      </w:r>
      <w:r w:rsidRPr="00283806">
        <w:rPr>
          <w:w w:val="105"/>
        </w:rPr>
        <w:t>and</w:t>
      </w:r>
      <w:r w:rsidRPr="00283806">
        <w:rPr>
          <w:spacing w:val="40"/>
          <w:w w:val="105"/>
        </w:rPr>
        <w:t xml:space="preserve"> </w:t>
      </w:r>
      <w:r w:rsidRPr="00283806">
        <w:rPr>
          <w:w w:val="105"/>
        </w:rPr>
        <w:t xml:space="preserve">the Agency refers to the ANPRM published related to technician training, certification, and other considerations. The Agency, thus, acknowledges these comments and will consider them for </w:t>
      </w:r>
      <w:proofErr w:type="gramStart"/>
      <w:r w:rsidRPr="00283806">
        <w:rPr>
          <w:w w:val="105"/>
        </w:rPr>
        <w:t>a future</w:t>
      </w:r>
      <w:proofErr w:type="gramEnd"/>
      <w:r w:rsidRPr="00283806">
        <w:rPr>
          <w:w w:val="105"/>
        </w:rPr>
        <w:t xml:space="preserve"> rulemaking under subsection (h) of the AIM Act.</w:t>
      </w:r>
    </w:p>
    <w:p w14:paraId="563883AB" w14:textId="77777777" w:rsidR="00D67C1E" w:rsidRPr="00283806" w:rsidRDefault="001265CA">
      <w:pPr>
        <w:pStyle w:val="BodyText"/>
        <w:spacing w:line="180" w:lineRule="exact"/>
        <w:ind w:left="340"/>
      </w:pPr>
      <w:r w:rsidRPr="00283806">
        <w:rPr>
          <w:w w:val="105"/>
        </w:rPr>
        <w:t>EPA</w:t>
      </w:r>
      <w:r w:rsidRPr="00283806">
        <w:rPr>
          <w:spacing w:val="21"/>
          <w:w w:val="105"/>
        </w:rPr>
        <w:t xml:space="preserve"> </w:t>
      </w:r>
      <w:r w:rsidRPr="00283806">
        <w:rPr>
          <w:w w:val="105"/>
        </w:rPr>
        <w:t>acknowledges</w:t>
      </w:r>
      <w:r w:rsidRPr="00283806">
        <w:rPr>
          <w:spacing w:val="22"/>
          <w:w w:val="105"/>
        </w:rPr>
        <w:t xml:space="preserve"> </w:t>
      </w:r>
      <w:r w:rsidRPr="00283806">
        <w:rPr>
          <w:w w:val="105"/>
        </w:rPr>
        <w:t>comments</w:t>
      </w:r>
      <w:r w:rsidRPr="00283806">
        <w:rPr>
          <w:spacing w:val="22"/>
          <w:w w:val="105"/>
        </w:rPr>
        <w:t xml:space="preserve"> </w:t>
      </w:r>
      <w:r w:rsidRPr="00283806">
        <w:rPr>
          <w:spacing w:val="-2"/>
          <w:w w:val="105"/>
        </w:rPr>
        <w:t>related</w:t>
      </w:r>
    </w:p>
    <w:p w14:paraId="51201335" w14:textId="77777777" w:rsidR="00D67C1E" w:rsidRPr="00283806" w:rsidRDefault="001265CA">
      <w:pPr>
        <w:pStyle w:val="BodyText"/>
        <w:spacing w:before="3" w:line="228" w:lineRule="auto"/>
        <w:ind w:right="85"/>
      </w:pPr>
      <w:r w:rsidRPr="00283806">
        <w:rPr>
          <w:w w:val="105"/>
        </w:rPr>
        <w:t xml:space="preserve">to </w:t>
      </w:r>
      <w:proofErr w:type="gramStart"/>
      <w:r w:rsidRPr="00283806">
        <w:rPr>
          <w:w w:val="105"/>
        </w:rPr>
        <w:t>using</w:t>
      </w:r>
      <w:proofErr w:type="gramEnd"/>
      <w:r w:rsidRPr="00283806">
        <w:rPr>
          <w:w w:val="105"/>
        </w:rPr>
        <w:t xml:space="preserve"> the proper recovery machines</w:t>
      </w:r>
      <w:r w:rsidRPr="00283806">
        <w:rPr>
          <w:spacing w:val="80"/>
          <w:w w:val="105"/>
        </w:rPr>
        <w:t xml:space="preserve"> </w:t>
      </w:r>
      <w:r w:rsidRPr="00283806">
        <w:rPr>
          <w:w w:val="105"/>
        </w:rPr>
        <w:t>to recover refrigerants from equipment. EPA also notes that certified recovery equipment</w:t>
      </w:r>
      <w:r w:rsidRPr="00283806">
        <w:rPr>
          <w:spacing w:val="40"/>
          <w:w w:val="105"/>
        </w:rPr>
        <w:t xml:space="preserve"> </w:t>
      </w:r>
      <w:r w:rsidRPr="00283806">
        <w:rPr>
          <w:w w:val="105"/>
        </w:rPr>
        <w:t>is</w:t>
      </w:r>
      <w:r w:rsidRPr="00283806">
        <w:rPr>
          <w:spacing w:val="40"/>
          <w:w w:val="105"/>
        </w:rPr>
        <w:t xml:space="preserve"> </w:t>
      </w:r>
      <w:r w:rsidRPr="00283806">
        <w:rPr>
          <w:w w:val="105"/>
        </w:rPr>
        <w:t>required</w:t>
      </w:r>
      <w:r w:rsidRPr="00283806">
        <w:rPr>
          <w:spacing w:val="40"/>
          <w:w w:val="105"/>
        </w:rPr>
        <w:t xml:space="preserve"> </w:t>
      </w:r>
      <w:r w:rsidRPr="00283806">
        <w:rPr>
          <w:w w:val="105"/>
        </w:rPr>
        <w:t>for</w:t>
      </w:r>
      <w:r w:rsidRPr="00283806">
        <w:rPr>
          <w:spacing w:val="40"/>
          <w:w w:val="105"/>
        </w:rPr>
        <w:t xml:space="preserve"> </w:t>
      </w:r>
      <w:r w:rsidRPr="00283806">
        <w:rPr>
          <w:w w:val="105"/>
        </w:rPr>
        <w:t>such practices, as handled under other regulations under the CAA.</w:t>
      </w:r>
      <w:r w:rsidRPr="00283806">
        <w:rPr>
          <w:w w:val="105"/>
          <w:position w:val="5"/>
          <w:sz w:val="11"/>
        </w:rPr>
        <w:t>116</w:t>
      </w:r>
      <w:r w:rsidRPr="00283806">
        <w:rPr>
          <w:spacing w:val="40"/>
          <w:w w:val="105"/>
          <w:position w:val="5"/>
          <w:sz w:val="11"/>
        </w:rPr>
        <w:t xml:space="preserve"> </w:t>
      </w:r>
      <w:r w:rsidRPr="00283806">
        <w:rPr>
          <w:w w:val="105"/>
        </w:rPr>
        <w:t>EPA acknowledges the comment related to grant funding for recovery equipment</w:t>
      </w:r>
      <w:r w:rsidRPr="00283806">
        <w:rPr>
          <w:spacing w:val="40"/>
          <w:w w:val="105"/>
        </w:rPr>
        <w:t xml:space="preserve"> </w:t>
      </w:r>
      <w:r w:rsidRPr="00283806">
        <w:rPr>
          <w:w w:val="105"/>
        </w:rPr>
        <w:t xml:space="preserve">and notes that such considerations are outside of the scope of this rulemaking. EPA agrees there is value in understanding challenges faced with recovery of refrigerants. As previously stated, EPA solicited comments in an ANPRM on considerations related to technicians and, while not addressing in this rulemaking, the Agency will review and consider those for future </w:t>
      </w:r>
      <w:r w:rsidRPr="00283806">
        <w:rPr>
          <w:spacing w:val="-2"/>
          <w:w w:val="105"/>
        </w:rPr>
        <w:t>rulemakings.</w:t>
      </w:r>
    </w:p>
    <w:p w14:paraId="568DBB28" w14:textId="77777777" w:rsidR="00D67C1E" w:rsidRPr="00283806" w:rsidRDefault="001265CA">
      <w:pPr>
        <w:pStyle w:val="BodyText"/>
        <w:spacing w:before="135" w:line="225" w:lineRule="auto"/>
        <w:ind w:left="144" w:right="161" w:firstLine="180"/>
      </w:pPr>
      <w:r w:rsidRPr="00283806">
        <w:br w:type="column"/>
      </w:r>
      <w:r w:rsidRPr="00283806">
        <w:rPr>
          <w:rFonts w:ascii="Book Antiqua"/>
          <w:i/>
          <w:w w:val="105"/>
        </w:rPr>
        <w:t xml:space="preserve">Comment: </w:t>
      </w:r>
      <w:r w:rsidRPr="00283806">
        <w:rPr>
          <w:w w:val="105"/>
        </w:rPr>
        <w:t>One commenter suggested that there is evident viability of on-site recycling during the refrigerant recovery process for HVACR appliances. The commenter</w:t>
      </w:r>
      <w:r w:rsidRPr="00283806">
        <w:rPr>
          <w:spacing w:val="36"/>
          <w:w w:val="105"/>
        </w:rPr>
        <w:t xml:space="preserve"> </w:t>
      </w:r>
      <w:r w:rsidRPr="00283806">
        <w:rPr>
          <w:w w:val="105"/>
        </w:rPr>
        <w:t>stated</w:t>
      </w:r>
      <w:r w:rsidRPr="00283806">
        <w:rPr>
          <w:spacing w:val="36"/>
          <w:w w:val="105"/>
        </w:rPr>
        <w:t xml:space="preserve"> </w:t>
      </w:r>
      <w:r w:rsidRPr="00283806">
        <w:rPr>
          <w:w w:val="105"/>
        </w:rPr>
        <w:t>that</w:t>
      </w:r>
      <w:r w:rsidRPr="00283806">
        <w:rPr>
          <w:spacing w:val="36"/>
          <w:w w:val="105"/>
        </w:rPr>
        <w:t xml:space="preserve"> </w:t>
      </w:r>
      <w:proofErr w:type="gramStart"/>
      <w:r w:rsidRPr="00283806">
        <w:rPr>
          <w:w w:val="105"/>
        </w:rPr>
        <w:t>as</w:t>
      </w:r>
      <w:r w:rsidRPr="00283806">
        <w:rPr>
          <w:spacing w:val="36"/>
          <w:w w:val="105"/>
        </w:rPr>
        <w:t xml:space="preserve"> </w:t>
      </w:r>
      <w:r w:rsidRPr="00283806">
        <w:rPr>
          <w:w w:val="105"/>
        </w:rPr>
        <w:t>long</w:t>
      </w:r>
      <w:r w:rsidRPr="00283806">
        <w:rPr>
          <w:spacing w:val="36"/>
          <w:w w:val="105"/>
        </w:rPr>
        <w:t xml:space="preserve"> </w:t>
      </w:r>
      <w:r w:rsidRPr="00283806">
        <w:rPr>
          <w:w w:val="105"/>
        </w:rPr>
        <w:t>as</w:t>
      </w:r>
      <w:proofErr w:type="gramEnd"/>
      <w:r w:rsidRPr="00283806">
        <w:rPr>
          <w:w w:val="105"/>
        </w:rPr>
        <w:t xml:space="preserve"> HVACR technicians use AHRI 740 certified equipment and establish refrigerant identification protocols, the recycled refrigerant will be suitable for reuse within the same system. The commenter recommended that this industry learn from the successes that</w:t>
      </w:r>
      <w:r w:rsidRPr="00283806">
        <w:rPr>
          <w:spacing w:val="40"/>
          <w:w w:val="105"/>
        </w:rPr>
        <w:t xml:space="preserve"> </w:t>
      </w:r>
      <w:r w:rsidRPr="00283806">
        <w:rPr>
          <w:w w:val="105"/>
        </w:rPr>
        <w:t>the MVAC industry has had with refrigerant reclamation. The commenter also recommended that there be a</w:t>
      </w:r>
      <w:r w:rsidRPr="00283806">
        <w:rPr>
          <w:spacing w:val="40"/>
          <w:w w:val="105"/>
        </w:rPr>
        <w:t xml:space="preserve"> </w:t>
      </w:r>
      <w:r w:rsidRPr="00283806">
        <w:rPr>
          <w:w w:val="105"/>
        </w:rPr>
        <w:t>defined process to qualify refrigerant for reuse in the field alongside on-site analyses. In addition, the commenter stated that a refrigerant identifier or analyzer should be present. The commenter noted that such measures</w:t>
      </w:r>
      <w:r w:rsidRPr="00283806">
        <w:rPr>
          <w:spacing w:val="80"/>
          <w:w w:val="105"/>
        </w:rPr>
        <w:t xml:space="preserve"> </w:t>
      </w:r>
      <w:r w:rsidRPr="00283806">
        <w:rPr>
          <w:w w:val="105"/>
        </w:rPr>
        <w:t>are fundamental to the safe and proper recycling of refrigerants to mitigate risks associated with the use of unqualified or contaminated refrigerants and to</w:t>
      </w:r>
      <w:r w:rsidRPr="00283806">
        <w:rPr>
          <w:spacing w:val="80"/>
          <w:w w:val="105"/>
        </w:rPr>
        <w:t xml:space="preserve"> </w:t>
      </w:r>
      <w:r w:rsidRPr="00283806">
        <w:rPr>
          <w:w w:val="105"/>
        </w:rPr>
        <w:t>provide an alternative to reclaiming all refrigerant extracted.</w:t>
      </w:r>
    </w:p>
    <w:p w14:paraId="1651E4BF" w14:textId="77777777" w:rsidR="00D67C1E" w:rsidRPr="00283806" w:rsidRDefault="001265CA">
      <w:pPr>
        <w:spacing w:line="166" w:lineRule="exact"/>
        <w:ind w:left="324"/>
        <w:rPr>
          <w:sz w:val="18"/>
        </w:rPr>
      </w:pPr>
      <w:r w:rsidRPr="00283806">
        <w:rPr>
          <w:rFonts w:ascii="Book Antiqua"/>
          <w:i/>
          <w:w w:val="105"/>
          <w:sz w:val="18"/>
        </w:rPr>
        <w:t>Response:</w:t>
      </w:r>
      <w:r w:rsidRPr="00283806">
        <w:rPr>
          <w:rFonts w:ascii="Book Antiqua"/>
          <w:i/>
          <w:spacing w:val="26"/>
          <w:w w:val="105"/>
          <w:sz w:val="18"/>
        </w:rPr>
        <w:t xml:space="preserve"> </w:t>
      </w:r>
      <w:r w:rsidRPr="00283806">
        <w:rPr>
          <w:w w:val="105"/>
          <w:sz w:val="18"/>
        </w:rPr>
        <w:t>EPA</w:t>
      </w:r>
      <w:r w:rsidRPr="00283806">
        <w:rPr>
          <w:spacing w:val="32"/>
          <w:w w:val="105"/>
          <w:sz w:val="18"/>
        </w:rPr>
        <w:t xml:space="preserve"> </w:t>
      </w:r>
      <w:r w:rsidRPr="00283806">
        <w:rPr>
          <w:w w:val="105"/>
          <w:sz w:val="18"/>
        </w:rPr>
        <w:t>responds</w:t>
      </w:r>
      <w:r w:rsidRPr="00283806">
        <w:rPr>
          <w:spacing w:val="32"/>
          <w:w w:val="105"/>
          <w:sz w:val="18"/>
        </w:rPr>
        <w:t xml:space="preserve"> </w:t>
      </w:r>
      <w:r w:rsidRPr="00283806">
        <w:rPr>
          <w:w w:val="105"/>
          <w:sz w:val="18"/>
        </w:rPr>
        <w:t>to</w:t>
      </w:r>
      <w:r w:rsidRPr="00283806">
        <w:rPr>
          <w:spacing w:val="32"/>
          <w:w w:val="105"/>
          <w:sz w:val="18"/>
        </w:rPr>
        <w:t xml:space="preserve"> </w:t>
      </w:r>
      <w:r w:rsidRPr="00283806">
        <w:rPr>
          <w:spacing w:val="-4"/>
          <w:w w:val="105"/>
          <w:sz w:val="18"/>
        </w:rPr>
        <w:t>this</w:t>
      </w:r>
    </w:p>
    <w:p w14:paraId="5EC1267C" w14:textId="77777777" w:rsidR="00D67C1E" w:rsidRPr="00283806" w:rsidRDefault="001265CA">
      <w:pPr>
        <w:pStyle w:val="BodyText"/>
        <w:spacing w:line="225" w:lineRule="auto"/>
        <w:ind w:left="144" w:right="132"/>
      </w:pPr>
      <w:r w:rsidRPr="00283806">
        <w:rPr>
          <w:w w:val="105"/>
        </w:rPr>
        <w:t>comment that on-site recovery and recycling for stationary refrigerant- containing equipment is a current practice in industry, such that the recovered refrigerant is used in the same piece of refrigerant-containing</w:t>
      </w:r>
      <w:r w:rsidRPr="00283806">
        <w:rPr>
          <w:spacing w:val="40"/>
          <w:w w:val="105"/>
        </w:rPr>
        <w:t xml:space="preserve"> </w:t>
      </w:r>
      <w:r w:rsidRPr="00283806">
        <w:rPr>
          <w:w w:val="105"/>
        </w:rPr>
        <w:t>equipment or is recovered and used in another piece of refrigerant-containing equipment of the same owner. This practice is consistent with the requirements under 40 CFR 82.156(h), which are applicable to appliances containing ODS refrigerants as well as certain substitutes for ODS refrigerants (</w:t>
      </w:r>
      <w:r w:rsidRPr="00283806">
        <w:rPr>
          <w:rFonts w:ascii="Book Antiqua"/>
          <w:i/>
          <w:w w:val="105"/>
        </w:rPr>
        <w:t xml:space="preserve">e.g., </w:t>
      </w:r>
      <w:r w:rsidRPr="00283806">
        <w:rPr>
          <w:w w:val="105"/>
        </w:rPr>
        <w:t>HFCs). This rulemaking does not affect such practice and EPA notes that HFC refrigerants that are recovered can continue to be recycled to the same</w:t>
      </w:r>
      <w:r w:rsidRPr="00283806">
        <w:rPr>
          <w:spacing w:val="80"/>
          <w:w w:val="105"/>
        </w:rPr>
        <w:t xml:space="preserve"> </w:t>
      </w:r>
      <w:r w:rsidRPr="00283806">
        <w:rPr>
          <w:w w:val="105"/>
        </w:rPr>
        <w:t>piece of refrigerant-containing</w:t>
      </w:r>
      <w:r w:rsidRPr="00283806">
        <w:rPr>
          <w:spacing w:val="40"/>
          <w:w w:val="105"/>
        </w:rPr>
        <w:t xml:space="preserve"> </w:t>
      </w:r>
      <w:r w:rsidRPr="00283806">
        <w:rPr>
          <w:w w:val="105"/>
        </w:rPr>
        <w:t>equipment that the HFC refrigerant was recovered from or another piece of refrigerant-containing equipment under the same ownership.</w:t>
      </w:r>
    </w:p>
    <w:p w14:paraId="32EE5E9B" w14:textId="77777777" w:rsidR="00D67C1E" w:rsidRPr="00283806" w:rsidRDefault="001265CA">
      <w:pPr>
        <w:pStyle w:val="BodyText"/>
        <w:spacing w:line="162" w:lineRule="exact"/>
        <w:ind w:left="324"/>
      </w:pPr>
      <w:r w:rsidRPr="00283806">
        <w:rPr>
          <w:w w:val="105"/>
        </w:rPr>
        <w:t>EPA</w:t>
      </w:r>
      <w:r w:rsidRPr="00283806">
        <w:rPr>
          <w:spacing w:val="11"/>
          <w:w w:val="105"/>
        </w:rPr>
        <w:t xml:space="preserve"> </w:t>
      </w:r>
      <w:r w:rsidRPr="00283806">
        <w:rPr>
          <w:w w:val="105"/>
        </w:rPr>
        <w:t>recommends</w:t>
      </w:r>
      <w:r w:rsidRPr="00283806">
        <w:rPr>
          <w:spacing w:val="12"/>
          <w:w w:val="105"/>
        </w:rPr>
        <w:t xml:space="preserve"> </w:t>
      </w:r>
      <w:r w:rsidRPr="00283806">
        <w:rPr>
          <w:w w:val="105"/>
        </w:rPr>
        <w:t>but</w:t>
      </w:r>
      <w:r w:rsidRPr="00283806">
        <w:rPr>
          <w:spacing w:val="11"/>
          <w:w w:val="105"/>
        </w:rPr>
        <w:t xml:space="preserve"> </w:t>
      </w:r>
      <w:r w:rsidRPr="00283806">
        <w:rPr>
          <w:w w:val="105"/>
        </w:rPr>
        <w:t>does</w:t>
      </w:r>
      <w:r w:rsidRPr="00283806">
        <w:rPr>
          <w:spacing w:val="12"/>
          <w:w w:val="105"/>
        </w:rPr>
        <w:t xml:space="preserve"> </w:t>
      </w:r>
      <w:r w:rsidRPr="00283806">
        <w:rPr>
          <w:w w:val="105"/>
        </w:rPr>
        <w:t>not</w:t>
      </w:r>
      <w:r w:rsidRPr="00283806">
        <w:rPr>
          <w:spacing w:val="11"/>
          <w:w w:val="105"/>
        </w:rPr>
        <w:t xml:space="preserve"> </w:t>
      </w:r>
      <w:r w:rsidRPr="00283806">
        <w:rPr>
          <w:spacing w:val="-2"/>
          <w:w w:val="105"/>
        </w:rPr>
        <w:t>require</w:t>
      </w:r>
    </w:p>
    <w:p w14:paraId="7DB027F0" w14:textId="77777777" w:rsidR="00D67C1E" w:rsidRPr="00283806" w:rsidRDefault="001265CA">
      <w:pPr>
        <w:pStyle w:val="BodyText"/>
        <w:spacing w:line="225" w:lineRule="auto"/>
        <w:ind w:left="144" w:right="179"/>
      </w:pPr>
      <w:r w:rsidRPr="00283806">
        <w:rPr>
          <w:w w:val="105"/>
        </w:rPr>
        <w:t xml:space="preserve">the use of refrigerant identification technology in the </w:t>
      </w:r>
      <w:proofErr w:type="gramStart"/>
      <w:r w:rsidRPr="00283806">
        <w:rPr>
          <w:w w:val="105"/>
        </w:rPr>
        <w:t>servicing</w:t>
      </w:r>
      <w:proofErr w:type="gramEnd"/>
      <w:r w:rsidRPr="00283806">
        <w:rPr>
          <w:w w:val="105"/>
        </w:rPr>
        <w:t xml:space="preserve"> of AC systems. EPA agrees that refrigerant analyzers are an important tool to identify contaminated systems and to prevent a technician from charging the incorrect refrigerant into an air</w:t>
      </w:r>
    </w:p>
    <w:p w14:paraId="69F914E7"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497" w:space="43"/>
            <w:col w:w="3516" w:space="39"/>
            <w:col w:w="3625"/>
          </w:cols>
        </w:sectPr>
      </w:pPr>
    </w:p>
    <w:p w14:paraId="13A3BF5B" w14:textId="77777777" w:rsidR="00D67C1E" w:rsidRPr="00283806" w:rsidRDefault="001265CA">
      <w:pPr>
        <w:pStyle w:val="BodyText"/>
        <w:tabs>
          <w:tab w:val="left" w:pos="3699"/>
          <w:tab w:val="left" w:pos="4699"/>
          <w:tab w:val="left" w:pos="7239"/>
        </w:tabs>
        <w:spacing w:line="187" w:lineRule="exact"/>
      </w:pPr>
      <w:r w:rsidRPr="00283806">
        <w:rPr>
          <w:w w:val="105"/>
        </w:rPr>
        <w:t>Another</w:t>
      </w:r>
      <w:r w:rsidRPr="00283806">
        <w:rPr>
          <w:spacing w:val="4"/>
          <w:w w:val="105"/>
        </w:rPr>
        <w:t xml:space="preserve"> </w:t>
      </w:r>
      <w:r w:rsidRPr="00283806">
        <w:rPr>
          <w:w w:val="105"/>
        </w:rPr>
        <w:t>commenter</w:t>
      </w:r>
      <w:r w:rsidRPr="00283806">
        <w:rPr>
          <w:spacing w:val="4"/>
          <w:w w:val="105"/>
        </w:rPr>
        <w:t xml:space="preserve"> </w:t>
      </w:r>
      <w:r w:rsidRPr="00283806">
        <w:rPr>
          <w:w w:val="105"/>
        </w:rPr>
        <w:t>stated</w:t>
      </w:r>
      <w:r w:rsidRPr="00283806">
        <w:rPr>
          <w:spacing w:val="4"/>
          <w:w w:val="105"/>
        </w:rPr>
        <w:t xml:space="preserve"> </w:t>
      </w:r>
      <w:r w:rsidRPr="00283806">
        <w:rPr>
          <w:w w:val="105"/>
        </w:rPr>
        <w:t>that</w:t>
      </w:r>
      <w:r w:rsidRPr="00283806">
        <w:rPr>
          <w:spacing w:val="4"/>
          <w:w w:val="105"/>
        </w:rPr>
        <w:t xml:space="preserve"> </w:t>
      </w:r>
      <w:r w:rsidRPr="00283806">
        <w:rPr>
          <w:spacing w:val="-5"/>
          <w:w w:val="105"/>
        </w:rPr>
        <w:t>in</w:t>
      </w:r>
      <w:r w:rsidRPr="00283806">
        <w:tab/>
      </w:r>
      <w:r w:rsidRPr="00283806">
        <w:rPr>
          <w:u w:val="single"/>
        </w:rPr>
        <w:tab/>
      </w:r>
      <w:r w:rsidRPr="00283806">
        <w:tab/>
      </w:r>
      <w:r w:rsidRPr="00283806">
        <w:rPr>
          <w:w w:val="110"/>
        </w:rPr>
        <w:t>conditioning</w:t>
      </w:r>
      <w:r w:rsidRPr="00283806">
        <w:rPr>
          <w:spacing w:val="-6"/>
          <w:w w:val="110"/>
        </w:rPr>
        <w:t xml:space="preserve"> </w:t>
      </w:r>
      <w:r w:rsidRPr="00283806">
        <w:rPr>
          <w:w w:val="110"/>
        </w:rPr>
        <w:t>system.</w:t>
      </w:r>
      <w:r w:rsidRPr="00283806">
        <w:rPr>
          <w:spacing w:val="-6"/>
          <w:w w:val="110"/>
        </w:rPr>
        <w:t xml:space="preserve"> </w:t>
      </w:r>
      <w:r w:rsidRPr="00283806">
        <w:rPr>
          <w:w w:val="110"/>
        </w:rPr>
        <w:t>While</w:t>
      </w:r>
      <w:r w:rsidRPr="00283806">
        <w:rPr>
          <w:spacing w:val="-6"/>
          <w:w w:val="110"/>
        </w:rPr>
        <w:t xml:space="preserve"> </w:t>
      </w:r>
      <w:r w:rsidRPr="00283806">
        <w:rPr>
          <w:spacing w:val="-5"/>
          <w:w w:val="110"/>
        </w:rPr>
        <w:t>not</w:t>
      </w:r>
    </w:p>
    <w:p w14:paraId="0BF0CCF2" w14:textId="77777777" w:rsidR="00D67C1E" w:rsidRPr="00283806" w:rsidRDefault="00D67C1E">
      <w:pPr>
        <w:spacing w:line="187" w:lineRule="exact"/>
        <w:sectPr w:rsidR="00D67C1E" w:rsidRPr="00283806">
          <w:type w:val="continuous"/>
          <w:pgSz w:w="12240" w:h="15840"/>
          <w:pgMar w:top="880" w:right="780" w:bottom="280" w:left="740" w:header="627" w:footer="0" w:gutter="0"/>
          <w:cols w:space="720"/>
        </w:sectPr>
      </w:pPr>
    </w:p>
    <w:p w14:paraId="2FF30CF3" w14:textId="77777777" w:rsidR="00D67C1E" w:rsidRPr="00283806" w:rsidRDefault="001265CA">
      <w:pPr>
        <w:pStyle w:val="BodyText"/>
        <w:spacing w:before="9" w:line="228" w:lineRule="auto"/>
        <w:ind w:right="82"/>
      </w:pPr>
      <w:r w:rsidRPr="00283806">
        <w:rPr>
          <w:w w:val="105"/>
        </w:rPr>
        <w:t>addition to incentivizing recovery, regulations can be effective for enforcement of recovery of HFCs.</w:t>
      </w:r>
    </w:p>
    <w:p w14:paraId="1A448020" w14:textId="77777777" w:rsidR="00D67C1E" w:rsidRPr="00283806" w:rsidRDefault="001265CA">
      <w:pPr>
        <w:pStyle w:val="BodyText"/>
        <w:spacing w:line="179" w:lineRule="exact"/>
        <w:ind w:left="340"/>
      </w:pPr>
      <w:r w:rsidRPr="00283806">
        <w:rPr>
          <w:w w:val="105"/>
        </w:rPr>
        <w:t>One</w:t>
      </w:r>
      <w:r w:rsidRPr="00283806">
        <w:rPr>
          <w:spacing w:val="5"/>
          <w:w w:val="105"/>
        </w:rPr>
        <w:t xml:space="preserve"> </w:t>
      </w:r>
      <w:r w:rsidRPr="00283806">
        <w:rPr>
          <w:w w:val="105"/>
        </w:rPr>
        <w:t>commenter</w:t>
      </w:r>
      <w:r w:rsidRPr="00283806">
        <w:rPr>
          <w:spacing w:val="5"/>
          <w:w w:val="105"/>
        </w:rPr>
        <w:t xml:space="preserve"> </w:t>
      </w:r>
      <w:r w:rsidRPr="00283806">
        <w:rPr>
          <w:w w:val="105"/>
        </w:rPr>
        <w:t>stated</w:t>
      </w:r>
      <w:r w:rsidRPr="00283806">
        <w:rPr>
          <w:spacing w:val="6"/>
          <w:w w:val="105"/>
        </w:rPr>
        <w:t xml:space="preserve"> </w:t>
      </w:r>
      <w:r w:rsidRPr="00283806">
        <w:rPr>
          <w:w w:val="105"/>
        </w:rPr>
        <w:t>that</w:t>
      </w:r>
      <w:r w:rsidRPr="00283806">
        <w:rPr>
          <w:spacing w:val="5"/>
          <w:w w:val="105"/>
        </w:rPr>
        <w:t xml:space="preserve"> </w:t>
      </w:r>
      <w:r w:rsidRPr="00283806">
        <w:rPr>
          <w:spacing w:val="-5"/>
          <w:w w:val="105"/>
        </w:rPr>
        <w:t>the</w:t>
      </w:r>
    </w:p>
    <w:p w14:paraId="50F407CB" w14:textId="77777777" w:rsidR="00D67C1E" w:rsidRPr="00283806" w:rsidRDefault="001265CA">
      <w:pPr>
        <w:pStyle w:val="BodyText"/>
        <w:spacing w:before="3" w:line="228" w:lineRule="auto"/>
        <w:ind w:right="32"/>
      </w:pPr>
      <w:r w:rsidRPr="00283806">
        <w:rPr>
          <w:w w:val="105"/>
        </w:rPr>
        <w:t>requirements for reclaimed HFCs would lead to increased demand for reclaimed HFCs and thus incentivize recovery of HFCs; however, additional measures</w:t>
      </w:r>
      <w:r w:rsidRPr="00283806">
        <w:rPr>
          <w:spacing w:val="40"/>
          <w:w w:val="105"/>
        </w:rPr>
        <w:t xml:space="preserve"> </w:t>
      </w:r>
      <w:r w:rsidRPr="00283806">
        <w:rPr>
          <w:w w:val="105"/>
        </w:rPr>
        <w:t>may also be needed to bolster recovery.</w:t>
      </w:r>
    </w:p>
    <w:p w14:paraId="3CDBCB1E" w14:textId="77777777" w:rsidR="00D67C1E" w:rsidRPr="00283806" w:rsidRDefault="001265CA">
      <w:pPr>
        <w:spacing w:before="24" w:line="232" w:lineRule="auto"/>
        <w:ind w:left="160" w:right="65" w:firstLine="140"/>
        <w:rPr>
          <w:sz w:val="14"/>
        </w:rPr>
      </w:pPr>
      <w:r w:rsidRPr="00283806">
        <w:br w:type="column"/>
      </w:r>
      <w:r w:rsidRPr="00283806">
        <w:rPr>
          <w:w w:val="105"/>
          <w:position w:val="4"/>
          <w:sz w:val="9"/>
        </w:rPr>
        <w:t xml:space="preserve">116 </w:t>
      </w:r>
      <w:r w:rsidRPr="00283806">
        <w:rPr>
          <w:w w:val="105"/>
          <w:sz w:val="14"/>
        </w:rPr>
        <w:t>EPA has established standards for recovery</w:t>
      </w:r>
      <w:r w:rsidRPr="00283806">
        <w:rPr>
          <w:spacing w:val="40"/>
          <w:w w:val="105"/>
          <w:sz w:val="14"/>
        </w:rPr>
        <w:t xml:space="preserve"> </w:t>
      </w:r>
      <w:r w:rsidRPr="00283806">
        <w:rPr>
          <w:w w:val="105"/>
          <w:sz w:val="14"/>
        </w:rPr>
        <w:t>and/or recycling equipment under section 608 of</w:t>
      </w:r>
      <w:r w:rsidRPr="00283806">
        <w:rPr>
          <w:spacing w:val="40"/>
          <w:w w:val="105"/>
          <w:sz w:val="14"/>
        </w:rPr>
        <w:t xml:space="preserve"> </w:t>
      </w:r>
      <w:r w:rsidRPr="00283806">
        <w:rPr>
          <w:w w:val="105"/>
          <w:sz w:val="14"/>
        </w:rPr>
        <w:t>the CAA for the service, repair, or disposal of</w:t>
      </w:r>
      <w:r w:rsidRPr="00283806">
        <w:rPr>
          <w:spacing w:val="40"/>
          <w:w w:val="105"/>
          <w:sz w:val="14"/>
        </w:rPr>
        <w:t xml:space="preserve"> </w:t>
      </w:r>
      <w:r w:rsidRPr="00283806">
        <w:rPr>
          <w:w w:val="105"/>
          <w:sz w:val="14"/>
        </w:rPr>
        <w:t>appliances containing ODS and ODS substitutes</w:t>
      </w:r>
      <w:r w:rsidRPr="00283806">
        <w:rPr>
          <w:spacing w:val="80"/>
          <w:w w:val="105"/>
          <w:sz w:val="14"/>
        </w:rPr>
        <w:t xml:space="preserve"> </w:t>
      </w:r>
      <w:r w:rsidRPr="00283806">
        <w:rPr>
          <w:w w:val="105"/>
          <w:sz w:val="14"/>
        </w:rPr>
        <w:t>(</w:t>
      </w:r>
      <w:r w:rsidRPr="00283806">
        <w:rPr>
          <w:rFonts w:ascii="Book Antiqua"/>
          <w:i/>
          <w:w w:val="105"/>
          <w:sz w:val="14"/>
        </w:rPr>
        <w:t>e.g.,</w:t>
      </w:r>
      <w:r w:rsidRPr="00283806">
        <w:rPr>
          <w:rFonts w:ascii="Book Antiqua"/>
          <w:i/>
          <w:spacing w:val="32"/>
          <w:w w:val="105"/>
          <w:sz w:val="14"/>
        </w:rPr>
        <w:t xml:space="preserve"> </w:t>
      </w:r>
      <w:r w:rsidRPr="00283806">
        <w:rPr>
          <w:w w:val="105"/>
          <w:sz w:val="14"/>
        </w:rPr>
        <w:t>HFCs)</w:t>
      </w:r>
      <w:r w:rsidRPr="00283806">
        <w:rPr>
          <w:spacing w:val="36"/>
          <w:w w:val="105"/>
          <w:sz w:val="14"/>
        </w:rPr>
        <w:t xml:space="preserve"> </w:t>
      </w:r>
      <w:r w:rsidRPr="00283806">
        <w:rPr>
          <w:w w:val="105"/>
          <w:sz w:val="14"/>
        </w:rPr>
        <w:t>under</w:t>
      </w:r>
      <w:r w:rsidRPr="00283806">
        <w:rPr>
          <w:spacing w:val="36"/>
          <w:w w:val="105"/>
          <w:sz w:val="14"/>
        </w:rPr>
        <w:t xml:space="preserve"> </w:t>
      </w:r>
      <w:r w:rsidRPr="00283806">
        <w:rPr>
          <w:w w:val="105"/>
          <w:sz w:val="14"/>
        </w:rPr>
        <w:t>40</w:t>
      </w:r>
      <w:r w:rsidRPr="00283806">
        <w:rPr>
          <w:spacing w:val="36"/>
          <w:w w:val="105"/>
          <w:sz w:val="14"/>
        </w:rPr>
        <w:t xml:space="preserve"> </w:t>
      </w:r>
      <w:r w:rsidRPr="00283806">
        <w:rPr>
          <w:w w:val="105"/>
          <w:sz w:val="14"/>
        </w:rPr>
        <w:t>CFR</w:t>
      </w:r>
      <w:r w:rsidRPr="00283806">
        <w:rPr>
          <w:spacing w:val="36"/>
          <w:w w:val="105"/>
          <w:sz w:val="14"/>
        </w:rPr>
        <w:t xml:space="preserve"> </w:t>
      </w:r>
      <w:r w:rsidRPr="00283806">
        <w:rPr>
          <w:w w:val="105"/>
          <w:sz w:val="14"/>
        </w:rPr>
        <w:t>82.158.</w:t>
      </w:r>
      <w:r w:rsidRPr="00283806">
        <w:rPr>
          <w:spacing w:val="36"/>
          <w:w w:val="105"/>
          <w:sz w:val="14"/>
        </w:rPr>
        <w:t xml:space="preserve"> </w:t>
      </w:r>
      <w:r w:rsidRPr="00283806">
        <w:rPr>
          <w:w w:val="105"/>
          <w:sz w:val="14"/>
        </w:rPr>
        <w:t>Additionally,</w:t>
      </w:r>
      <w:r w:rsidRPr="00283806">
        <w:rPr>
          <w:spacing w:val="40"/>
          <w:w w:val="105"/>
          <w:sz w:val="14"/>
        </w:rPr>
        <w:t xml:space="preserve"> </w:t>
      </w:r>
      <w:r w:rsidRPr="00283806">
        <w:rPr>
          <w:w w:val="105"/>
          <w:sz w:val="14"/>
        </w:rPr>
        <w:t>EPA has standardized equipment for the servicing</w:t>
      </w:r>
      <w:r w:rsidRPr="00283806">
        <w:rPr>
          <w:spacing w:val="80"/>
          <w:w w:val="105"/>
          <w:sz w:val="14"/>
        </w:rPr>
        <w:t xml:space="preserve"> </w:t>
      </w:r>
      <w:r w:rsidRPr="00283806">
        <w:rPr>
          <w:w w:val="105"/>
          <w:sz w:val="14"/>
        </w:rPr>
        <w:t>of refrigerant from MVAC systems under CAA</w:t>
      </w:r>
      <w:r w:rsidRPr="00283806">
        <w:rPr>
          <w:spacing w:val="40"/>
          <w:w w:val="105"/>
          <w:sz w:val="14"/>
        </w:rPr>
        <w:t xml:space="preserve"> </w:t>
      </w:r>
      <w:r w:rsidRPr="00283806">
        <w:rPr>
          <w:w w:val="105"/>
          <w:sz w:val="14"/>
        </w:rPr>
        <w:t>section 609, and any technician servicing</w:t>
      </w:r>
      <w:r w:rsidRPr="00283806">
        <w:rPr>
          <w:spacing w:val="80"/>
          <w:w w:val="105"/>
          <w:sz w:val="14"/>
        </w:rPr>
        <w:t xml:space="preserve"> </w:t>
      </w:r>
      <w:r w:rsidRPr="00283806">
        <w:rPr>
          <w:w w:val="105"/>
          <w:sz w:val="14"/>
        </w:rPr>
        <w:t>equipment for consideration must use approved</w:t>
      </w:r>
      <w:r w:rsidRPr="00283806">
        <w:rPr>
          <w:spacing w:val="40"/>
          <w:w w:val="105"/>
          <w:sz w:val="14"/>
        </w:rPr>
        <w:t xml:space="preserve"> </w:t>
      </w:r>
      <w:r w:rsidRPr="00283806">
        <w:rPr>
          <w:w w:val="105"/>
          <w:sz w:val="14"/>
        </w:rPr>
        <w:t>refrigerant handling equipment pursuant to 40 CFR</w:t>
      </w:r>
      <w:r w:rsidRPr="00283806">
        <w:rPr>
          <w:spacing w:val="40"/>
          <w:w w:val="105"/>
          <w:sz w:val="14"/>
        </w:rPr>
        <w:t xml:space="preserve"> </w:t>
      </w:r>
      <w:r w:rsidRPr="00283806">
        <w:rPr>
          <w:spacing w:val="-2"/>
          <w:w w:val="105"/>
          <w:sz w:val="14"/>
        </w:rPr>
        <w:t>82.36.</w:t>
      </w:r>
    </w:p>
    <w:p w14:paraId="570C059B" w14:textId="77777777" w:rsidR="00D67C1E" w:rsidRPr="00283806" w:rsidRDefault="001265CA">
      <w:pPr>
        <w:pStyle w:val="BodyText"/>
        <w:spacing w:before="9" w:line="228" w:lineRule="auto"/>
        <w:ind w:right="151"/>
      </w:pPr>
      <w:r w:rsidRPr="00283806">
        <w:br w:type="column"/>
      </w:r>
      <w:r w:rsidRPr="00283806">
        <w:rPr>
          <w:w w:val="105"/>
        </w:rPr>
        <w:t>addressed in this rulemaking, EPA considers this comment to fall under the scope of the ANPRM as it relates to considerations for technicians. As explained in section VIII below, EPA is</w:t>
      </w:r>
      <w:r w:rsidRPr="00283806">
        <w:rPr>
          <w:spacing w:val="40"/>
          <w:w w:val="105"/>
        </w:rPr>
        <w:t xml:space="preserve"> </w:t>
      </w:r>
      <w:r w:rsidRPr="00283806">
        <w:rPr>
          <w:w w:val="105"/>
        </w:rPr>
        <w:t>not responding to comments related to the ANPRM in this final rule.</w:t>
      </w:r>
    </w:p>
    <w:p w14:paraId="033FDEA2" w14:textId="77777777" w:rsidR="00D67C1E" w:rsidRPr="00283806" w:rsidRDefault="001265CA">
      <w:pPr>
        <w:spacing w:line="183" w:lineRule="exact"/>
        <w:ind w:left="340"/>
        <w:rPr>
          <w:sz w:val="18"/>
        </w:rPr>
      </w:pPr>
      <w:r w:rsidRPr="00283806">
        <w:rPr>
          <w:rFonts w:ascii="Book Antiqua"/>
          <w:i/>
          <w:w w:val="105"/>
          <w:sz w:val="18"/>
        </w:rPr>
        <w:t>Comment:</w:t>
      </w:r>
      <w:r w:rsidRPr="00283806">
        <w:rPr>
          <w:rFonts w:ascii="Book Antiqua"/>
          <w:i/>
          <w:spacing w:val="15"/>
          <w:w w:val="105"/>
          <w:sz w:val="18"/>
        </w:rPr>
        <w:t xml:space="preserve"> </w:t>
      </w:r>
      <w:r w:rsidRPr="00283806">
        <w:rPr>
          <w:w w:val="105"/>
          <w:sz w:val="18"/>
        </w:rPr>
        <w:t>One</w:t>
      </w:r>
      <w:r w:rsidRPr="00283806">
        <w:rPr>
          <w:spacing w:val="20"/>
          <w:w w:val="105"/>
          <w:sz w:val="18"/>
        </w:rPr>
        <w:t xml:space="preserve"> </w:t>
      </w:r>
      <w:r w:rsidRPr="00283806">
        <w:rPr>
          <w:w w:val="105"/>
          <w:sz w:val="18"/>
        </w:rPr>
        <w:t>commenter</w:t>
      </w:r>
      <w:r w:rsidRPr="00283806">
        <w:rPr>
          <w:spacing w:val="20"/>
          <w:w w:val="105"/>
          <w:sz w:val="18"/>
        </w:rPr>
        <w:t xml:space="preserve"> </w:t>
      </w:r>
      <w:r w:rsidRPr="00283806">
        <w:rPr>
          <w:w w:val="105"/>
          <w:sz w:val="18"/>
        </w:rPr>
        <w:t>stated</w:t>
      </w:r>
      <w:r w:rsidRPr="00283806">
        <w:rPr>
          <w:spacing w:val="20"/>
          <w:w w:val="105"/>
          <w:sz w:val="18"/>
        </w:rPr>
        <w:t xml:space="preserve"> </w:t>
      </w:r>
      <w:r w:rsidRPr="00283806">
        <w:rPr>
          <w:spacing w:val="-4"/>
          <w:w w:val="105"/>
          <w:sz w:val="18"/>
        </w:rPr>
        <w:t>that</w:t>
      </w:r>
    </w:p>
    <w:p w14:paraId="444C9FBA" w14:textId="77777777" w:rsidR="00D67C1E" w:rsidRPr="00283806" w:rsidRDefault="001265CA">
      <w:pPr>
        <w:pStyle w:val="BodyText"/>
        <w:spacing w:line="200" w:lineRule="exact"/>
      </w:pPr>
      <w:r w:rsidRPr="00283806">
        <w:rPr>
          <w:w w:val="105"/>
        </w:rPr>
        <w:t>the</w:t>
      </w:r>
      <w:r w:rsidRPr="00283806">
        <w:rPr>
          <w:spacing w:val="7"/>
          <w:w w:val="105"/>
        </w:rPr>
        <w:t xml:space="preserve"> </w:t>
      </w:r>
      <w:r w:rsidRPr="00283806">
        <w:rPr>
          <w:w w:val="105"/>
        </w:rPr>
        <w:t>proposed</w:t>
      </w:r>
      <w:r w:rsidRPr="00283806">
        <w:rPr>
          <w:spacing w:val="8"/>
          <w:w w:val="105"/>
        </w:rPr>
        <w:t xml:space="preserve"> </w:t>
      </w:r>
      <w:r w:rsidRPr="00283806">
        <w:rPr>
          <w:w w:val="105"/>
        </w:rPr>
        <w:t>rule</w:t>
      </w:r>
      <w:r w:rsidRPr="00283806">
        <w:rPr>
          <w:spacing w:val="8"/>
          <w:w w:val="105"/>
        </w:rPr>
        <w:t xml:space="preserve"> </w:t>
      </w:r>
      <w:r w:rsidRPr="00283806">
        <w:rPr>
          <w:w w:val="105"/>
        </w:rPr>
        <w:t>disrupts</w:t>
      </w:r>
      <w:r w:rsidRPr="00283806">
        <w:rPr>
          <w:spacing w:val="8"/>
          <w:w w:val="105"/>
        </w:rPr>
        <w:t xml:space="preserve"> </w:t>
      </w:r>
      <w:r w:rsidRPr="00283806">
        <w:rPr>
          <w:w w:val="105"/>
        </w:rPr>
        <w:t>the</w:t>
      </w:r>
      <w:r w:rsidRPr="00283806">
        <w:rPr>
          <w:spacing w:val="8"/>
          <w:w w:val="105"/>
        </w:rPr>
        <w:t xml:space="preserve"> </w:t>
      </w:r>
      <w:r w:rsidRPr="00283806">
        <w:rPr>
          <w:spacing w:val="-2"/>
          <w:w w:val="105"/>
        </w:rPr>
        <w:t>supply</w:t>
      </w:r>
    </w:p>
    <w:p w14:paraId="4A988939" w14:textId="77777777" w:rsidR="00D67C1E" w:rsidRPr="00283806" w:rsidRDefault="00D67C1E">
      <w:pPr>
        <w:spacing w:line="200" w:lineRule="exact"/>
        <w:sectPr w:rsidR="00D67C1E" w:rsidRPr="00283806">
          <w:type w:val="continuous"/>
          <w:pgSz w:w="12240" w:h="15840"/>
          <w:pgMar w:top="880" w:right="780" w:bottom="280" w:left="740" w:header="627" w:footer="0" w:gutter="0"/>
          <w:cols w:num="3" w:space="720" w:equalWidth="0">
            <w:col w:w="3477" w:space="63"/>
            <w:col w:w="3496" w:space="44"/>
            <w:col w:w="3640"/>
          </w:cols>
        </w:sectPr>
      </w:pPr>
    </w:p>
    <w:p w14:paraId="58D53AB4" w14:textId="77777777" w:rsidR="00D67C1E" w:rsidRPr="00283806" w:rsidRDefault="001265CA">
      <w:pPr>
        <w:pStyle w:val="BodyText"/>
        <w:spacing w:before="136" w:line="225" w:lineRule="auto"/>
      </w:pPr>
      <w:r w:rsidRPr="00283806">
        <w:rPr>
          <w:w w:val="105"/>
        </w:rPr>
        <w:lastRenderedPageBreak/>
        <w:t>chain by creating a captive market</w:t>
      </w:r>
      <w:r w:rsidRPr="00283806">
        <w:rPr>
          <w:spacing w:val="80"/>
          <w:w w:val="105"/>
        </w:rPr>
        <w:t xml:space="preserve"> </w:t>
      </w:r>
      <w:r w:rsidRPr="00283806">
        <w:rPr>
          <w:w w:val="105"/>
        </w:rPr>
        <w:t>where specific market transitions are mandated,</w:t>
      </w:r>
      <w:r w:rsidRPr="00283806">
        <w:rPr>
          <w:spacing w:val="40"/>
          <w:w w:val="105"/>
        </w:rPr>
        <w:t xml:space="preserve"> </w:t>
      </w:r>
      <w:r w:rsidRPr="00283806">
        <w:rPr>
          <w:w w:val="105"/>
        </w:rPr>
        <w:t>losing</w:t>
      </w:r>
      <w:r w:rsidRPr="00283806">
        <w:rPr>
          <w:spacing w:val="40"/>
          <w:w w:val="105"/>
        </w:rPr>
        <w:t xml:space="preserve"> </w:t>
      </w:r>
      <w:r w:rsidRPr="00283806">
        <w:rPr>
          <w:w w:val="105"/>
        </w:rPr>
        <w:t>economic</w:t>
      </w:r>
      <w:r w:rsidRPr="00283806">
        <w:rPr>
          <w:spacing w:val="40"/>
          <w:w w:val="105"/>
        </w:rPr>
        <w:t xml:space="preserve"> </w:t>
      </w:r>
      <w:r w:rsidRPr="00283806">
        <w:rPr>
          <w:w w:val="105"/>
        </w:rPr>
        <w:t>incentives</w:t>
      </w:r>
      <w:r w:rsidRPr="00283806">
        <w:rPr>
          <w:spacing w:val="40"/>
          <w:w w:val="105"/>
        </w:rPr>
        <w:t xml:space="preserve"> </w:t>
      </w:r>
      <w:r w:rsidRPr="00283806">
        <w:rPr>
          <w:w w:val="105"/>
        </w:rPr>
        <w:t>to lower the costs of products. The commenter claimed that the proposed rule requires that OEMs and technicians buy reclaimed HFCs, creating a closed market</w:t>
      </w:r>
      <w:r w:rsidRPr="00283806">
        <w:rPr>
          <w:spacing w:val="40"/>
          <w:w w:val="105"/>
        </w:rPr>
        <w:t xml:space="preserve"> </w:t>
      </w:r>
      <w:r w:rsidRPr="00283806">
        <w:rPr>
          <w:w w:val="105"/>
        </w:rPr>
        <w:t>with</w:t>
      </w:r>
      <w:r w:rsidRPr="00283806">
        <w:rPr>
          <w:spacing w:val="40"/>
          <w:w w:val="105"/>
        </w:rPr>
        <w:t xml:space="preserve"> </w:t>
      </w:r>
      <w:r w:rsidRPr="00283806">
        <w:rPr>
          <w:w w:val="105"/>
        </w:rPr>
        <w:t>a</w:t>
      </w:r>
      <w:r w:rsidRPr="00283806">
        <w:rPr>
          <w:spacing w:val="40"/>
          <w:w w:val="105"/>
        </w:rPr>
        <w:t xml:space="preserve"> </w:t>
      </w:r>
      <w:r w:rsidRPr="00283806">
        <w:rPr>
          <w:w w:val="105"/>
        </w:rPr>
        <w:t>finite</w:t>
      </w:r>
      <w:r w:rsidRPr="00283806">
        <w:rPr>
          <w:spacing w:val="40"/>
          <w:w w:val="105"/>
        </w:rPr>
        <w:t xml:space="preserve"> </w:t>
      </w:r>
      <w:r w:rsidRPr="00283806">
        <w:rPr>
          <w:w w:val="105"/>
        </w:rPr>
        <w:t>amount</w:t>
      </w:r>
      <w:r w:rsidRPr="00283806">
        <w:rPr>
          <w:spacing w:val="40"/>
          <w:w w:val="105"/>
        </w:rPr>
        <w:t xml:space="preserve"> </w:t>
      </w:r>
      <w:r w:rsidRPr="00283806">
        <w:rPr>
          <w:w w:val="105"/>
        </w:rPr>
        <w:t>of reclaimed</w:t>
      </w:r>
      <w:r w:rsidRPr="00283806">
        <w:rPr>
          <w:spacing w:val="40"/>
          <w:w w:val="105"/>
        </w:rPr>
        <w:t xml:space="preserve"> </w:t>
      </w:r>
      <w:r w:rsidRPr="00283806">
        <w:rPr>
          <w:w w:val="105"/>
        </w:rPr>
        <w:t>HFCs.</w:t>
      </w:r>
      <w:r w:rsidRPr="00283806">
        <w:rPr>
          <w:spacing w:val="40"/>
          <w:w w:val="105"/>
        </w:rPr>
        <w:t xml:space="preserve"> </w:t>
      </w:r>
      <w:r w:rsidRPr="00283806">
        <w:rPr>
          <w:w w:val="105"/>
        </w:rPr>
        <w:t>The</w:t>
      </w:r>
      <w:r w:rsidRPr="00283806">
        <w:rPr>
          <w:spacing w:val="40"/>
          <w:w w:val="105"/>
        </w:rPr>
        <w:t xml:space="preserve"> </w:t>
      </w:r>
      <w:r w:rsidRPr="00283806">
        <w:rPr>
          <w:w w:val="105"/>
        </w:rPr>
        <w:t>commenter claimed that EPA has not analyzed the cost impact of such an unbalanced, artificial market to the end consumer,</w:t>
      </w:r>
      <w:r w:rsidRPr="00283806">
        <w:rPr>
          <w:spacing w:val="40"/>
          <w:w w:val="105"/>
        </w:rPr>
        <w:t xml:space="preserve"> </w:t>
      </w:r>
      <w:r w:rsidRPr="00283806">
        <w:rPr>
          <w:w w:val="105"/>
        </w:rPr>
        <w:t>nor the potential concentration of a</w:t>
      </w:r>
      <w:r w:rsidRPr="00283806">
        <w:rPr>
          <w:spacing w:val="80"/>
          <w:w w:val="105"/>
        </w:rPr>
        <w:t xml:space="preserve"> </w:t>
      </w:r>
      <w:r w:rsidRPr="00283806">
        <w:rPr>
          <w:w w:val="105"/>
        </w:rPr>
        <w:t>finite reclaimed HFC supply within a small number of suppliers. The commenter recommended that proposed mandates be validated by robust supply/ demand modeling.</w:t>
      </w:r>
    </w:p>
    <w:p w14:paraId="0739F3EB" w14:textId="77777777" w:rsidR="00D67C1E" w:rsidRPr="00283806" w:rsidRDefault="001265CA">
      <w:pPr>
        <w:spacing w:line="179" w:lineRule="exact"/>
        <w:ind w:left="340"/>
        <w:rPr>
          <w:sz w:val="18"/>
        </w:rPr>
      </w:pPr>
      <w:r w:rsidRPr="00283806">
        <w:rPr>
          <w:rFonts w:ascii="Book Antiqua"/>
          <w:i/>
          <w:w w:val="105"/>
          <w:sz w:val="18"/>
        </w:rPr>
        <w:t>Response:</w:t>
      </w:r>
      <w:r w:rsidRPr="00283806">
        <w:rPr>
          <w:rFonts w:ascii="Book Antiqua"/>
          <w:i/>
          <w:spacing w:val="26"/>
          <w:w w:val="105"/>
          <w:sz w:val="18"/>
        </w:rPr>
        <w:t xml:space="preserve"> </w:t>
      </w:r>
      <w:r w:rsidRPr="00283806">
        <w:rPr>
          <w:w w:val="105"/>
          <w:sz w:val="18"/>
        </w:rPr>
        <w:t>EPA</w:t>
      </w:r>
      <w:r w:rsidRPr="00283806">
        <w:rPr>
          <w:spacing w:val="32"/>
          <w:w w:val="105"/>
          <w:sz w:val="18"/>
        </w:rPr>
        <w:t xml:space="preserve"> </w:t>
      </w:r>
      <w:r w:rsidRPr="00283806">
        <w:rPr>
          <w:w w:val="105"/>
          <w:sz w:val="18"/>
        </w:rPr>
        <w:t>responds</w:t>
      </w:r>
      <w:r w:rsidRPr="00283806">
        <w:rPr>
          <w:spacing w:val="32"/>
          <w:w w:val="105"/>
          <w:sz w:val="18"/>
        </w:rPr>
        <w:t xml:space="preserve"> </w:t>
      </w:r>
      <w:r w:rsidRPr="00283806">
        <w:rPr>
          <w:w w:val="105"/>
          <w:sz w:val="18"/>
        </w:rPr>
        <w:t>to</w:t>
      </w:r>
      <w:r w:rsidRPr="00283806">
        <w:rPr>
          <w:spacing w:val="32"/>
          <w:w w:val="105"/>
          <w:sz w:val="18"/>
        </w:rPr>
        <w:t xml:space="preserve"> </w:t>
      </w:r>
      <w:r w:rsidRPr="00283806">
        <w:rPr>
          <w:spacing w:val="-5"/>
          <w:w w:val="105"/>
          <w:sz w:val="18"/>
        </w:rPr>
        <w:t>the</w:t>
      </w:r>
    </w:p>
    <w:p w14:paraId="554F40C2" w14:textId="77777777" w:rsidR="00D67C1E" w:rsidRPr="00283806" w:rsidRDefault="001265CA">
      <w:pPr>
        <w:pStyle w:val="BodyText"/>
        <w:spacing w:line="225" w:lineRule="auto"/>
        <w:ind w:right="58"/>
      </w:pPr>
      <w:r w:rsidRPr="00283806">
        <w:rPr>
          <w:w w:val="110"/>
        </w:rPr>
        <w:t xml:space="preserve">commenter’s concerns </w:t>
      </w:r>
      <w:proofErr w:type="gramStart"/>
      <w:r w:rsidRPr="00283806">
        <w:rPr>
          <w:w w:val="110"/>
        </w:rPr>
        <w:t>for</w:t>
      </w:r>
      <w:proofErr w:type="gramEnd"/>
      <w:r w:rsidRPr="00283806">
        <w:rPr>
          <w:w w:val="110"/>
        </w:rPr>
        <w:t xml:space="preserve"> a closed market and relevant analysis. This rulemaking does not limit the production or consumption of HFCs. HFCs</w:t>
      </w:r>
      <w:r w:rsidRPr="00283806">
        <w:rPr>
          <w:spacing w:val="-1"/>
          <w:w w:val="110"/>
        </w:rPr>
        <w:t xml:space="preserve"> </w:t>
      </w:r>
      <w:r w:rsidRPr="00283806">
        <w:rPr>
          <w:w w:val="110"/>
        </w:rPr>
        <w:t>will</w:t>
      </w:r>
      <w:r w:rsidRPr="00283806">
        <w:rPr>
          <w:spacing w:val="-1"/>
          <w:w w:val="110"/>
        </w:rPr>
        <w:t xml:space="preserve"> </w:t>
      </w:r>
      <w:r w:rsidRPr="00283806">
        <w:rPr>
          <w:w w:val="110"/>
        </w:rPr>
        <w:t>continue</w:t>
      </w:r>
      <w:r w:rsidRPr="00283806">
        <w:rPr>
          <w:spacing w:val="-1"/>
          <w:w w:val="110"/>
        </w:rPr>
        <w:t xml:space="preserve"> </w:t>
      </w:r>
      <w:r w:rsidRPr="00283806">
        <w:rPr>
          <w:w w:val="110"/>
        </w:rPr>
        <w:t>to</w:t>
      </w:r>
      <w:r w:rsidRPr="00283806">
        <w:rPr>
          <w:spacing w:val="-1"/>
          <w:w w:val="110"/>
        </w:rPr>
        <w:t xml:space="preserve"> </w:t>
      </w:r>
      <w:r w:rsidRPr="00283806">
        <w:rPr>
          <w:w w:val="110"/>
        </w:rPr>
        <w:t>be</w:t>
      </w:r>
      <w:r w:rsidRPr="00283806">
        <w:rPr>
          <w:spacing w:val="-1"/>
          <w:w w:val="110"/>
        </w:rPr>
        <w:t xml:space="preserve"> </w:t>
      </w:r>
      <w:r w:rsidRPr="00283806">
        <w:rPr>
          <w:w w:val="110"/>
        </w:rPr>
        <w:t>produced</w:t>
      </w:r>
      <w:r w:rsidRPr="00283806">
        <w:rPr>
          <w:spacing w:val="-1"/>
          <w:w w:val="110"/>
        </w:rPr>
        <w:t xml:space="preserve"> </w:t>
      </w:r>
      <w:r w:rsidRPr="00283806">
        <w:rPr>
          <w:w w:val="110"/>
        </w:rPr>
        <w:t>and imported in accordance with the phasedown schedule. HFCs will be available to be sold and distributed for a range of eligible applications. It is likely</w:t>
      </w:r>
      <w:r w:rsidRPr="00283806">
        <w:rPr>
          <w:spacing w:val="-11"/>
          <w:w w:val="110"/>
        </w:rPr>
        <w:t xml:space="preserve"> </w:t>
      </w:r>
      <w:r w:rsidRPr="00283806">
        <w:rPr>
          <w:w w:val="110"/>
        </w:rPr>
        <w:t>that</w:t>
      </w:r>
      <w:r w:rsidRPr="00283806">
        <w:rPr>
          <w:spacing w:val="-11"/>
          <w:w w:val="110"/>
        </w:rPr>
        <w:t xml:space="preserve"> </w:t>
      </w:r>
      <w:r w:rsidRPr="00283806">
        <w:rPr>
          <w:w w:val="110"/>
        </w:rPr>
        <w:t>as</w:t>
      </w:r>
      <w:r w:rsidRPr="00283806">
        <w:rPr>
          <w:spacing w:val="-11"/>
          <w:w w:val="110"/>
        </w:rPr>
        <w:t xml:space="preserve"> </w:t>
      </w:r>
      <w:r w:rsidRPr="00283806">
        <w:rPr>
          <w:w w:val="110"/>
        </w:rPr>
        <w:t>the</w:t>
      </w:r>
      <w:r w:rsidRPr="00283806">
        <w:rPr>
          <w:spacing w:val="-11"/>
          <w:w w:val="110"/>
        </w:rPr>
        <w:t xml:space="preserve"> </w:t>
      </w:r>
      <w:r w:rsidRPr="00283806">
        <w:rPr>
          <w:w w:val="110"/>
        </w:rPr>
        <w:t>phasedown</w:t>
      </w:r>
      <w:r w:rsidRPr="00283806">
        <w:rPr>
          <w:spacing w:val="-11"/>
          <w:w w:val="110"/>
        </w:rPr>
        <w:t xml:space="preserve"> </w:t>
      </w:r>
      <w:r w:rsidRPr="00283806">
        <w:rPr>
          <w:w w:val="110"/>
        </w:rPr>
        <w:t xml:space="preserve">continues, shifts in which HFCs are produced and imported will occur as well. The Agency notes and directs interested readers </w:t>
      </w:r>
      <w:proofErr w:type="gramStart"/>
      <w:r w:rsidRPr="00283806">
        <w:rPr>
          <w:w w:val="110"/>
        </w:rPr>
        <w:t>to</w:t>
      </w:r>
      <w:proofErr w:type="gramEnd"/>
      <w:r w:rsidRPr="00283806">
        <w:rPr>
          <w:w w:val="110"/>
        </w:rPr>
        <w:t xml:space="preserve"> the Allocation Framework Rule,</w:t>
      </w:r>
      <w:r w:rsidRPr="00283806">
        <w:rPr>
          <w:spacing w:val="-11"/>
          <w:w w:val="110"/>
        </w:rPr>
        <w:t xml:space="preserve"> </w:t>
      </w:r>
      <w:r w:rsidRPr="00283806">
        <w:rPr>
          <w:w w:val="110"/>
        </w:rPr>
        <w:t>where</w:t>
      </w:r>
      <w:r w:rsidRPr="00283806">
        <w:rPr>
          <w:spacing w:val="-11"/>
          <w:w w:val="110"/>
        </w:rPr>
        <w:t xml:space="preserve"> </w:t>
      </w:r>
      <w:r w:rsidRPr="00283806">
        <w:rPr>
          <w:w w:val="110"/>
        </w:rPr>
        <w:t>the</w:t>
      </w:r>
      <w:r w:rsidRPr="00283806">
        <w:rPr>
          <w:spacing w:val="-11"/>
          <w:w w:val="110"/>
        </w:rPr>
        <w:t xml:space="preserve"> </w:t>
      </w:r>
      <w:r w:rsidRPr="00283806">
        <w:rPr>
          <w:w w:val="110"/>
        </w:rPr>
        <w:t>Agency</w:t>
      </w:r>
      <w:r w:rsidRPr="00283806">
        <w:rPr>
          <w:spacing w:val="-11"/>
          <w:w w:val="110"/>
        </w:rPr>
        <w:t xml:space="preserve"> </w:t>
      </w:r>
      <w:r w:rsidRPr="00283806">
        <w:rPr>
          <w:w w:val="110"/>
        </w:rPr>
        <w:t>discussed</w:t>
      </w:r>
      <w:r w:rsidRPr="00283806">
        <w:rPr>
          <w:spacing w:val="-11"/>
          <w:w w:val="110"/>
        </w:rPr>
        <w:t xml:space="preserve"> </w:t>
      </w:r>
      <w:r w:rsidRPr="00283806">
        <w:rPr>
          <w:w w:val="110"/>
        </w:rPr>
        <w:t>more fully the use of an exchange value weighted approach rather than a chemical-to-chemical approach to phasing down HFCs.</w:t>
      </w:r>
    </w:p>
    <w:p w14:paraId="5C7429C4" w14:textId="77777777" w:rsidR="00D67C1E" w:rsidRPr="00283806" w:rsidRDefault="001265CA">
      <w:pPr>
        <w:pStyle w:val="BodyText"/>
        <w:spacing w:line="173" w:lineRule="exact"/>
        <w:ind w:left="340"/>
      </w:pPr>
      <w:r w:rsidRPr="00283806">
        <w:rPr>
          <w:w w:val="105"/>
        </w:rPr>
        <w:t>The</w:t>
      </w:r>
      <w:r w:rsidRPr="00283806">
        <w:rPr>
          <w:spacing w:val="17"/>
          <w:w w:val="105"/>
        </w:rPr>
        <w:t xml:space="preserve"> </w:t>
      </w:r>
      <w:r w:rsidRPr="00283806">
        <w:rPr>
          <w:w w:val="105"/>
        </w:rPr>
        <w:t>Agency</w:t>
      </w:r>
      <w:r w:rsidRPr="00283806">
        <w:rPr>
          <w:spacing w:val="17"/>
          <w:w w:val="105"/>
        </w:rPr>
        <w:t xml:space="preserve"> </w:t>
      </w:r>
      <w:r w:rsidRPr="00283806">
        <w:rPr>
          <w:w w:val="105"/>
        </w:rPr>
        <w:t>acknowledges</w:t>
      </w:r>
      <w:r w:rsidRPr="00283806">
        <w:rPr>
          <w:spacing w:val="18"/>
          <w:w w:val="105"/>
        </w:rPr>
        <w:t xml:space="preserve"> </w:t>
      </w:r>
      <w:r w:rsidRPr="00283806">
        <w:rPr>
          <w:w w:val="105"/>
        </w:rPr>
        <w:t>that</w:t>
      </w:r>
      <w:r w:rsidRPr="00283806">
        <w:rPr>
          <w:spacing w:val="17"/>
          <w:w w:val="105"/>
        </w:rPr>
        <w:t xml:space="preserve"> </w:t>
      </w:r>
      <w:r w:rsidRPr="00283806">
        <w:rPr>
          <w:spacing w:val="-5"/>
          <w:w w:val="105"/>
        </w:rPr>
        <w:t>by</w:t>
      </w:r>
    </w:p>
    <w:p w14:paraId="6F73357E" w14:textId="77777777" w:rsidR="00D67C1E" w:rsidRPr="00283806" w:rsidRDefault="001265CA">
      <w:pPr>
        <w:pStyle w:val="BodyText"/>
        <w:spacing w:before="2" w:line="225" w:lineRule="auto"/>
      </w:pPr>
      <w:r w:rsidRPr="00283806">
        <w:rPr>
          <w:w w:val="105"/>
        </w:rPr>
        <w:t xml:space="preserve">requiring the servicing and/or repair of refrigerant-containing equipment with reclaimed refrigerant in certain RACHP subsectors, the Agency is precluding the use of virgin HFCs for servicing and/or repair in those applications. The Agency disagrees that requiring the servicing and/or repair of refrigerant-containing equipment with reclaimed HFCs in certain subsectors would create any sort of monopoly, as EPA has not mandated that stakeholders purchase </w:t>
      </w:r>
      <w:proofErr w:type="gramStart"/>
      <w:r w:rsidRPr="00283806">
        <w:rPr>
          <w:w w:val="105"/>
        </w:rPr>
        <w:t>refrigerant</w:t>
      </w:r>
      <w:proofErr w:type="gramEnd"/>
      <w:r w:rsidRPr="00283806">
        <w:rPr>
          <w:w w:val="105"/>
        </w:rPr>
        <w:t xml:space="preserve"> from any specific entity.</w:t>
      </w:r>
    </w:p>
    <w:p w14:paraId="31D81531" w14:textId="77777777" w:rsidR="00D67C1E" w:rsidRPr="00283806" w:rsidRDefault="001265CA">
      <w:pPr>
        <w:pStyle w:val="BodyText"/>
        <w:spacing w:line="175" w:lineRule="exact"/>
        <w:ind w:left="340"/>
      </w:pPr>
      <w:r w:rsidRPr="00283806">
        <w:rPr>
          <w:w w:val="105"/>
        </w:rPr>
        <w:t>The</w:t>
      </w:r>
      <w:r w:rsidRPr="00283806">
        <w:rPr>
          <w:spacing w:val="6"/>
          <w:w w:val="105"/>
        </w:rPr>
        <w:t xml:space="preserve"> </w:t>
      </w:r>
      <w:r w:rsidRPr="00283806">
        <w:rPr>
          <w:w w:val="105"/>
        </w:rPr>
        <w:t>Agency</w:t>
      </w:r>
      <w:r w:rsidRPr="00283806">
        <w:rPr>
          <w:spacing w:val="7"/>
          <w:w w:val="105"/>
        </w:rPr>
        <w:t xml:space="preserve"> </w:t>
      </w:r>
      <w:r w:rsidRPr="00283806">
        <w:rPr>
          <w:w w:val="105"/>
        </w:rPr>
        <w:t>notes</w:t>
      </w:r>
      <w:r w:rsidRPr="00283806">
        <w:rPr>
          <w:spacing w:val="7"/>
          <w:w w:val="105"/>
        </w:rPr>
        <w:t xml:space="preserve"> </w:t>
      </w:r>
      <w:r w:rsidRPr="00283806">
        <w:rPr>
          <w:w w:val="105"/>
        </w:rPr>
        <w:t>that</w:t>
      </w:r>
      <w:r w:rsidRPr="00283806">
        <w:rPr>
          <w:spacing w:val="7"/>
          <w:w w:val="105"/>
        </w:rPr>
        <w:t xml:space="preserve"> </w:t>
      </w:r>
      <w:proofErr w:type="gramStart"/>
      <w:r w:rsidRPr="00283806">
        <w:rPr>
          <w:w w:val="105"/>
        </w:rPr>
        <w:t>there</w:t>
      </w:r>
      <w:proofErr w:type="gramEnd"/>
      <w:r w:rsidRPr="00283806">
        <w:rPr>
          <w:spacing w:val="7"/>
          <w:w w:val="105"/>
        </w:rPr>
        <w:t xml:space="preserve"> </w:t>
      </w:r>
      <w:proofErr w:type="gramStart"/>
      <w:r w:rsidRPr="00283806">
        <w:rPr>
          <w:w w:val="105"/>
        </w:rPr>
        <w:t>are</w:t>
      </w:r>
      <w:proofErr w:type="gramEnd"/>
      <w:r w:rsidRPr="00283806">
        <w:rPr>
          <w:spacing w:val="7"/>
          <w:w w:val="105"/>
        </w:rPr>
        <w:t xml:space="preserve"> </w:t>
      </w:r>
      <w:r w:rsidRPr="00283806">
        <w:rPr>
          <w:spacing w:val="-4"/>
          <w:w w:val="105"/>
        </w:rPr>
        <w:t>over</w:t>
      </w:r>
    </w:p>
    <w:p w14:paraId="49B1BA5D" w14:textId="77777777" w:rsidR="00D67C1E" w:rsidRPr="00283806" w:rsidRDefault="001265CA">
      <w:pPr>
        <w:pStyle w:val="BodyText"/>
        <w:spacing w:line="225" w:lineRule="auto"/>
      </w:pPr>
      <w:r w:rsidRPr="00283806">
        <w:rPr>
          <w:w w:val="110"/>
        </w:rPr>
        <w:t xml:space="preserve">50 certified reclaimers in the United </w:t>
      </w:r>
      <w:r w:rsidRPr="00283806">
        <w:rPr>
          <w:spacing w:val="-2"/>
          <w:w w:val="110"/>
        </w:rPr>
        <w:t>States.</w:t>
      </w:r>
      <w:r w:rsidRPr="00283806">
        <w:rPr>
          <w:spacing w:val="-4"/>
          <w:w w:val="110"/>
        </w:rPr>
        <w:t xml:space="preserve"> </w:t>
      </w:r>
      <w:r w:rsidRPr="00283806">
        <w:rPr>
          <w:spacing w:val="-2"/>
          <w:w w:val="110"/>
        </w:rPr>
        <w:t>Therefore,</w:t>
      </w:r>
      <w:r w:rsidRPr="00283806">
        <w:rPr>
          <w:spacing w:val="-4"/>
          <w:w w:val="110"/>
        </w:rPr>
        <w:t xml:space="preserve"> </w:t>
      </w:r>
      <w:r w:rsidRPr="00283806">
        <w:rPr>
          <w:spacing w:val="-2"/>
          <w:w w:val="110"/>
        </w:rPr>
        <w:t>there</w:t>
      </w:r>
      <w:r w:rsidRPr="00283806">
        <w:rPr>
          <w:spacing w:val="-4"/>
          <w:w w:val="110"/>
        </w:rPr>
        <w:t xml:space="preserve"> </w:t>
      </w:r>
      <w:r w:rsidRPr="00283806">
        <w:rPr>
          <w:spacing w:val="-2"/>
          <w:w w:val="110"/>
        </w:rPr>
        <w:t>will</w:t>
      </w:r>
      <w:r w:rsidRPr="00283806">
        <w:rPr>
          <w:spacing w:val="-4"/>
          <w:w w:val="110"/>
        </w:rPr>
        <w:t xml:space="preserve"> </w:t>
      </w:r>
      <w:r w:rsidRPr="00283806">
        <w:rPr>
          <w:spacing w:val="-2"/>
          <w:w w:val="110"/>
        </w:rPr>
        <w:t>be</w:t>
      </w:r>
      <w:r w:rsidRPr="00283806">
        <w:rPr>
          <w:spacing w:val="-4"/>
          <w:w w:val="110"/>
        </w:rPr>
        <w:t xml:space="preserve"> </w:t>
      </w:r>
      <w:r w:rsidRPr="00283806">
        <w:rPr>
          <w:spacing w:val="-2"/>
          <w:w w:val="110"/>
        </w:rPr>
        <w:t xml:space="preserve">sufficient </w:t>
      </w:r>
      <w:r w:rsidRPr="00283806">
        <w:rPr>
          <w:w w:val="110"/>
        </w:rPr>
        <w:t>competition among those reclaimers to supply reclaimed HFCs. The Agency further notes that there are only five HFC producers with production facilities in the United States, and often there</w:t>
      </w:r>
      <w:r w:rsidRPr="00283806">
        <w:rPr>
          <w:spacing w:val="-9"/>
          <w:w w:val="110"/>
        </w:rPr>
        <w:t xml:space="preserve"> </w:t>
      </w:r>
      <w:r w:rsidRPr="00283806">
        <w:rPr>
          <w:w w:val="110"/>
        </w:rPr>
        <w:t>is</w:t>
      </w:r>
      <w:r w:rsidRPr="00283806">
        <w:rPr>
          <w:spacing w:val="-9"/>
          <w:w w:val="110"/>
        </w:rPr>
        <w:t xml:space="preserve"> </w:t>
      </w:r>
      <w:r w:rsidRPr="00283806">
        <w:rPr>
          <w:w w:val="110"/>
        </w:rPr>
        <w:t>only</w:t>
      </w:r>
      <w:r w:rsidRPr="00283806">
        <w:rPr>
          <w:spacing w:val="-9"/>
          <w:w w:val="110"/>
        </w:rPr>
        <w:t xml:space="preserve"> </w:t>
      </w:r>
      <w:r w:rsidRPr="00283806">
        <w:rPr>
          <w:w w:val="110"/>
        </w:rPr>
        <w:t>one</w:t>
      </w:r>
      <w:r w:rsidRPr="00283806">
        <w:rPr>
          <w:spacing w:val="-9"/>
          <w:w w:val="110"/>
        </w:rPr>
        <w:t xml:space="preserve"> </w:t>
      </w:r>
      <w:r w:rsidRPr="00283806">
        <w:rPr>
          <w:w w:val="110"/>
        </w:rPr>
        <w:t>facility</w:t>
      </w:r>
      <w:r w:rsidRPr="00283806">
        <w:rPr>
          <w:spacing w:val="-9"/>
          <w:w w:val="110"/>
        </w:rPr>
        <w:t xml:space="preserve"> </w:t>
      </w:r>
      <w:r w:rsidRPr="00283806">
        <w:rPr>
          <w:w w:val="110"/>
        </w:rPr>
        <w:t>producing</w:t>
      </w:r>
      <w:r w:rsidRPr="00283806">
        <w:rPr>
          <w:spacing w:val="-9"/>
          <w:w w:val="110"/>
        </w:rPr>
        <w:t xml:space="preserve"> </w:t>
      </w:r>
      <w:r w:rsidRPr="00283806">
        <w:rPr>
          <w:w w:val="110"/>
        </w:rPr>
        <w:t>each of the HFCs that are produced domestically, with other HFCs only available through imports. Supply of</w:t>
      </w:r>
    </w:p>
    <w:p w14:paraId="42475927" w14:textId="77777777" w:rsidR="00D67C1E" w:rsidRPr="00283806" w:rsidRDefault="001265CA">
      <w:pPr>
        <w:pStyle w:val="BodyText"/>
        <w:spacing w:before="136" w:line="225" w:lineRule="auto"/>
        <w:ind w:left="143" w:right="54"/>
      </w:pPr>
      <w:r w:rsidRPr="00283806">
        <w:br w:type="column"/>
      </w:r>
      <w:r w:rsidRPr="00283806">
        <w:rPr>
          <w:w w:val="105"/>
        </w:rPr>
        <w:t>allowances that allow them to legally import virgin or reclaimed HFCs.</w:t>
      </w:r>
    </w:p>
    <w:p w14:paraId="4633FF11" w14:textId="77777777" w:rsidR="00D67C1E" w:rsidRPr="00283806" w:rsidRDefault="001265CA">
      <w:pPr>
        <w:pStyle w:val="BodyText"/>
        <w:spacing w:line="179" w:lineRule="exact"/>
        <w:ind w:left="323"/>
      </w:pPr>
      <w:r w:rsidRPr="00283806">
        <w:rPr>
          <w:w w:val="110"/>
        </w:rPr>
        <w:t>EPA</w:t>
      </w:r>
      <w:r w:rsidRPr="00283806">
        <w:rPr>
          <w:spacing w:val="-5"/>
          <w:w w:val="110"/>
        </w:rPr>
        <w:t xml:space="preserve"> </w:t>
      </w:r>
      <w:r w:rsidRPr="00283806">
        <w:rPr>
          <w:w w:val="110"/>
        </w:rPr>
        <w:t>has</w:t>
      </w:r>
      <w:r w:rsidRPr="00283806">
        <w:rPr>
          <w:spacing w:val="-5"/>
          <w:w w:val="110"/>
        </w:rPr>
        <w:t xml:space="preserve"> </w:t>
      </w:r>
      <w:r w:rsidRPr="00283806">
        <w:rPr>
          <w:w w:val="110"/>
        </w:rPr>
        <w:t>analyzed</w:t>
      </w:r>
      <w:r w:rsidRPr="00283806">
        <w:rPr>
          <w:spacing w:val="-5"/>
          <w:w w:val="110"/>
        </w:rPr>
        <w:t xml:space="preserve"> </w:t>
      </w:r>
      <w:r w:rsidRPr="00283806">
        <w:rPr>
          <w:w w:val="110"/>
        </w:rPr>
        <w:t>the</w:t>
      </w:r>
      <w:r w:rsidRPr="00283806">
        <w:rPr>
          <w:spacing w:val="-4"/>
          <w:w w:val="110"/>
        </w:rPr>
        <w:t xml:space="preserve"> </w:t>
      </w:r>
      <w:r w:rsidRPr="00283806">
        <w:rPr>
          <w:spacing w:val="-2"/>
          <w:w w:val="110"/>
        </w:rPr>
        <w:t>compliance</w:t>
      </w:r>
    </w:p>
    <w:p w14:paraId="53CCF71B" w14:textId="77777777" w:rsidR="00D67C1E" w:rsidRPr="00283806" w:rsidRDefault="001265CA">
      <w:pPr>
        <w:pStyle w:val="BodyText"/>
        <w:spacing w:before="3" w:line="225" w:lineRule="auto"/>
        <w:ind w:left="143" w:right="54"/>
      </w:pPr>
      <w:r w:rsidRPr="00283806">
        <w:rPr>
          <w:w w:val="105"/>
        </w:rPr>
        <w:t>costs and benefits for using reclaim requirements in the Economic Impact and Benefits TSD included with this rulemaking. Results from this analysis indicate that requiring the servicing and/or repair of refrigerant-containing equipment with reclaimed HFCs in the covered subsectors by this rulemaking may result in incremental costs to industry while also reducing demand</w:t>
      </w:r>
      <w:r w:rsidRPr="00283806">
        <w:rPr>
          <w:spacing w:val="80"/>
          <w:w w:val="105"/>
        </w:rPr>
        <w:t xml:space="preserve"> </w:t>
      </w:r>
      <w:r w:rsidRPr="00283806">
        <w:rPr>
          <w:w w:val="105"/>
        </w:rPr>
        <w:t>for virgin HFCs. This reduction in demand may in turn reduce costs to industry by alleviating potential supply shortages, although EPA has not quantified such cost savings in its analysis. A study</w:t>
      </w:r>
      <w:r w:rsidRPr="00283806">
        <w:rPr>
          <w:w w:val="105"/>
          <w:position w:val="5"/>
          <w:sz w:val="11"/>
        </w:rPr>
        <w:t>117</w:t>
      </w:r>
      <w:r w:rsidRPr="00283806">
        <w:rPr>
          <w:spacing w:val="40"/>
          <w:w w:val="105"/>
          <w:position w:val="5"/>
          <w:sz w:val="11"/>
        </w:rPr>
        <w:t xml:space="preserve"> </w:t>
      </w:r>
      <w:r w:rsidRPr="00283806">
        <w:rPr>
          <w:w w:val="105"/>
        </w:rPr>
        <w:t>cited by EPA in the Economic Impact and Benefits TSD and comments EPA has received from at</w:t>
      </w:r>
      <w:r w:rsidRPr="00283806">
        <w:rPr>
          <w:spacing w:val="40"/>
          <w:w w:val="105"/>
        </w:rPr>
        <w:t xml:space="preserve"> </w:t>
      </w:r>
      <w:r w:rsidRPr="00283806">
        <w:rPr>
          <w:w w:val="105"/>
        </w:rPr>
        <w:t>least one reclaimer of HFCs also</w:t>
      </w:r>
      <w:r w:rsidRPr="00283806">
        <w:rPr>
          <w:spacing w:val="80"/>
          <w:w w:val="150"/>
        </w:rPr>
        <w:t xml:space="preserve"> </w:t>
      </w:r>
      <w:r w:rsidRPr="00283806">
        <w:rPr>
          <w:w w:val="105"/>
        </w:rPr>
        <w:t xml:space="preserve">indicate that the use of reclaimed HFCs may </w:t>
      </w:r>
      <w:proofErr w:type="gramStart"/>
      <w:r w:rsidRPr="00283806">
        <w:rPr>
          <w:w w:val="105"/>
        </w:rPr>
        <w:t>actually be</w:t>
      </w:r>
      <w:proofErr w:type="gramEnd"/>
      <w:r w:rsidRPr="00283806">
        <w:rPr>
          <w:w w:val="105"/>
        </w:rPr>
        <w:t xml:space="preserve"> on par with or more cost-effective than the use of virgin</w:t>
      </w:r>
      <w:r w:rsidRPr="00283806">
        <w:rPr>
          <w:spacing w:val="40"/>
          <w:w w:val="105"/>
        </w:rPr>
        <w:t xml:space="preserve"> </w:t>
      </w:r>
      <w:r w:rsidRPr="00283806">
        <w:rPr>
          <w:w w:val="105"/>
        </w:rPr>
        <w:t>HFCs. Therefore, EPA has included a sensitivity analysis in its Economic Impact and Benefits TSD in which the</w:t>
      </w:r>
      <w:r w:rsidRPr="00283806">
        <w:rPr>
          <w:spacing w:val="40"/>
          <w:w w:val="105"/>
        </w:rPr>
        <w:t xml:space="preserve"> </w:t>
      </w:r>
      <w:r w:rsidRPr="00283806">
        <w:rPr>
          <w:w w:val="105"/>
        </w:rPr>
        <w:t xml:space="preserve">use of reclaimed HFCs is assumed to be </w:t>
      </w:r>
      <w:r w:rsidRPr="00283806">
        <w:rPr>
          <w:spacing w:val="-2"/>
          <w:w w:val="105"/>
        </w:rPr>
        <w:t>cost-neutral.</w:t>
      </w:r>
    </w:p>
    <w:p w14:paraId="7930AF08" w14:textId="77777777" w:rsidR="00D67C1E" w:rsidRPr="00283806" w:rsidRDefault="001265CA">
      <w:pPr>
        <w:spacing w:line="176" w:lineRule="exact"/>
        <w:ind w:left="323"/>
        <w:rPr>
          <w:sz w:val="18"/>
        </w:rPr>
      </w:pPr>
      <w:r w:rsidRPr="00283806">
        <w:rPr>
          <w:rFonts w:ascii="Book Antiqua"/>
          <w:i/>
          <w:w w:val="110"/>
          <w:sz w:val="18"/>
        </w:rPr>
        <w:t>Comment:</w:t>
      </w:r>
      <w:r w:rsidRPr="00283806">
        <w:rPr>
          <w:rFonts w:ascii="Book Antiqua"/>
          <w:i/>
          <w:spacing w:val="-13"/>
          <w:w w:val="110"/>
          <w:sz w:val="18"/>
        </w:rPr>
        <w:t xml:space="preserve"> </w:t>
      </w:r>
      <w:r w:rsidRPr="00283806">
        <w:rPr>
          <w:w w:val="110"/>
          <w:sz w:val="18"/>
        </w:rPr>
        <w:t>One</w:t>
      </w:r>
      <w:r w:rsidRPr="00283806">
        <w:rPr>
          <w:spacing w:val="-6"/>
          <w:w w:val="110"/>
          <w:sz w:val="18"/>
        </w:rPr>
        <w:t xml:space="preserve"> </w:t>
      </w:r>
      <w:r w:rsidRPr="00283806">
        <w:rPr>
          <w:w w:val="110"/>
          <w:sz w:val="18"/>
        </w:rPr>
        <w:t>commenter</w:t>
      </w:r>
      <w:r w:rsidRPr="00283806">
        <w:rPr>
          <w:spacing w:val="-7"/>
          <w:w w:val="110"/>
          <w:sz w:val="18"/>
        </w:rPr>
        <w:t xml:space="preserve"> </w:t>
      </w:r>
      <w:r w:rsidRPr="00283806">
        <w:rPr>
          <w:spacing w:val="-2"/>
          <w:w w:val="110"/>
          <w:sz w:val="18"/>
        </w:rPr>
        <w:t>claimed</w:t>
      </w:r>
    </w:p>
    <w:p w14:paraId="5BB7B925" w14:textId="77777777" w:rsidR="00D67C1E" w:rsidRPr="00283806" w:rsidRDefault="001265CA">
      <w:pPr>
        <w:pStyle w:val="BodyText"/>
        <w:spacing w:before="1" w:line="223" w:lineRule="auto"/>
        <w:ind w:left="143" w:right="122"/>
        <w:rPr>
          <w:rFonts w:ascii="Book Antiqua" w:hAnsi="Book Antiqua"/>
          <w:i/>
        </w:rPr>
      </w:pPr>
      <w:r w:rsidRPr="00283806">
        <w:rPr>
          <w:w w:val="110"/>
        </w:rPr>
        <w:t>that</w:t>
      </w:r>
      <w:r w:rsidRPr="00283806">
        <w:rPr>
          <w:spacing w:val="-11"/>
          <w:w w:val="110"/>
        </w:rPr>
        <w:t xml:space="preserve"> </w:t>
      </w:r>
      <w:r w:rsidRPr="00283806">
        <w:rPr>
          <w:w w:val="110"/>
        </w:rPr>
        <w:t>the</w:t>
      </w:r>
      <w:r w:rsidRPr="00283806">
        <w:rPr>
          <w:spacing w:val="-11"/>
          <w:w w:val="110"/>
        </w:rPr>
        <w:t xml:space="preserve"> </w:t>
      </w:r>
      <w:r w:rsidRPr="00283806">
        <w:rPr>
          <w:w w:val="110"/>
        </w:rPr>
        <w:t>existing</w:t>
      </w:r>
      <w:r w:rsidRPr="00283806">
        <w:rPr>
          <w:spacing w:val="-11"/>
          <w:w w:val="110"/>
        </w:rPr>
        <w:t xml:space="preserve"> </w:t>
      </w:r>
      <w:r w:rsidRPr="00283806">
        <w:rPr>
          <w:w w:val="110"/>
        </w:rPr>
        <w:t>record</w:t>
      </w:r>
      <w:r w:rsidRPr="00283806">
        <w:rPr>
          <w:spacing w:val="-11"/>
          <w:w w:val="110"/>
        </w:rPr>
        <w:t xml:space="preserve"> </w:t>
      </w:r>
      <w:r w:rsidRPr="00283806">
        <w:rPr>
          <w:w w:val="110"/>
        </w:rPr>
        <w:t>does</w:t>
      </w:r>
      <w:r w:rsidRPr="00283806">
        <w:rPr>
          <w:spacing w:val="-11"/>
          <w:w w:val="110"/>
        </w:rPr>
        <w:t xml:space="preserve"> </w:t>
      </w:r>
      <w:r w:rsidRPr="00283806">
        <w:rPr>
          <w:w w:val="110"/>
        </w:rPr>
        <w:t>not</w:t>
      </w:r>
      <w:r w:rsidRPr="00283806">
        <w:rPr>
          <w:spacing w:val="-11"/>
          <w:w w:val="110"/>
        </w:rPr>
        <w:t xml:space="preserve"> </w:t>
      </w:r>
      <w:r w:rsidRPr="00283806">
        <w:rPr>
          <w:w w:val="110"/>
        </w:rPr>
        <w:t xml:space="preserve">show </w:t>
      </w:r>
      <w:r w:rsidRPr="00283806">
        <w:t>a current need for the requirements for</w:t>
      </w:r>
      <w:r w:rsidRPr="00283806">
        <w:rPr>
          <w:w w:val="110"/>
        </w:rPr>
        <w:t xml:space="preserve"> the use of reclaimed HFCs in certain RACHP subsectors, noting that the proposed rule extols the successes of recycling</w:t>
      </w:r>
      <w:r w:rsidRPr="00283806">
        <w:rPr>
          <w:spacing w:val="-1"/>
          <w:w w:val="110"/>
        </w:rPr>
        <w:t xml:space="preserve"> </w:t>
      </w:r>
      <w:r w:rsidRPr="00283806">
        <w:rPr>
          <w:w w:val="110"/>
        </w:rPr>
        <w:t>and</w:t>
      </w:r>
      <w:r w:rsidRPr="00283806">
        <w:rPr>
          <w:spacing w:val="-2"/>
          <w:w w:val="110"/>
        </w:rPr>
        <w:t xml:space="preserve"> </w:t>
      </w:r>
      <w:r w:rsidRPr="00283806">
        <w:rPr>
          <w:w w:val="110"/>
        </w:rPr>
        <w:t>reclaiming</w:t>
      </w:r>
      <w:r w:rsidRPr="00283806">
        <w:rPr>
          <w:spacing w:val="-1"/>
          <w:w w:val="110"/>
        </w:rPr>
        <w:t xml:space="preserve"> </w:t>
      </w:r>
      <w:r w:rsidRPr="00283806">
        <w:rPr>
          <w:w w:val="110"/>
        </w:rPr>
        <w:t>Class</w:t>
      </w:r>
      <w:r w:rsidRPr="00283806">
        <w:rPr>
          <w:spacing w:val="-2"/>
          <w:w w:val="110"/>
        </w:rPr>
        <w:t xml:space="preserve"> </w:t>
      </w:r>
      <w:r w:rsidRPr="00283806">
        <w:rPr>
          <w:w w:val="110"/>
        </w:rPr>
        <w:t>II</w:t>
      </w:r>
      <w:r w:rsidRPr="00283806">
        <w:rPr>
          <w:spacing w:val="-1"/>
          <w:w w:val="110"/>
        </w:rPr>
        <w:t xml:space="preserve"> </w:t>
      </w:r>
      <w:r w:rsidRPr="00283806">
        <w:rPr>
          <w:w w:val="110"/>
        </w:rPr>
        <w:t xml:space="preserve">ODS. The commenter cites EPA’s </w:t>
      </w:r>
      <w:r w:rsidRPr="00283806">
        <w:rPr>
          <w:rFonts w:ascii="Book Antiqua" w:hAnsi="Book Antiqua"/>
          <w:i/>
          <w:w w:val="110"/>
        </w:rPr>
        <w:t>Draft Report—Analysis of the U.S Hydrofluorocarbon Market:</w:t>
      </w:r>
    </w:p>
    <w:p w14:paraId="3246A85E" w14:textId="77777777" w:rsidR="00D67C1E" w:rsidRPr="00283806" w:rsidRDefault="001265CA">
      <w:pPr>
        <w:pStyle w:val="BodyText"/>
        <w:spacing w:line="223" w:lineRule="auto"/>
        <w:ind w:left="143"/>
      </w:pPr>
      <w:r w:rsidRPr="00283806">
        <w:rPr>
          <w:rFonts w:ascii="Book Antiqua"/>
          <w:i/>
          <w:w w:val="105"/>
        </w:rPr>
        <w:t>Stakeholders, Drivers, and Practices</w:t>
      </w:r>
      <w:r w:rsidRPr="00283806">
        <w:rPr>
          <w:rFonts w:ascii="Book Antiqua"/>
          <w:i/>
          <w:spacing w:val="40"/>
          <w:w w:val="105"/>
        </w:rPr>
        <w:t xml:space="preserve"> </w:t>
      </w:r>
      <w:r w:rsidRPr="00283806">
        <w:rPr>
          <w:w w:val="105"/>
        </w:rPr>
        <w:t>(September</w:t>
      </w:r>
      <w:r w:rsidRPr="00283806">
        <w:rPr>
          <w:spacing w:val="-3"/>
          <w:w w:val="105"/>
        </w:rPr>
        <w:t xml:space="preserve"> </w:t>
      </w:r>
      <w:r w:rsidRPr="00283806">
        <w:rPr>
          <w:w w:val="105"/>
        </w:rPr>
        <w:t>2023)</w:t>
      </w:r>
      <w:r w:rsidRPr="00283806">
        <w:rPr>
          <w:spacing w:val="-3"/>
          <w:w w:val="105"/>
        </w:rPr>
        <w:t xml:space="preserve"> </w:t>
      </w:r>
      <w:r w:rsidRPr="00283806">
        <w:rPr>
          <w:w w:val="105"/>
        </w:rPr>
        <w:t>in</w:t>
      </w:r>
      <w:r w:rsidRPr="00283806">
        <w:rPr>
          <w:spacing w:val="-3"/>
          <w:w w:val="105"/>
        </w:rPr>
        <w:t xml:space="preserve"> </w:t>
      </w:r>
      <w:r w:rsidRPr="00283806">
        <w:rPr>
          <w:w w:val="105"/>
        </w:rPr>
        <w:t>arguing</w:t>
      </w:r>
      <w:r w:rsidRPr="00283806">
        <w:rPr>
          <w:spacing w:val="-3"/>
          <w:w w:val="105"/>
        </w:rPr>
        <w:t xml:space="preserve"> </w:t>
      </w:r>
      <w:r w:rsidRPr="00283806">
        <w:rPr>
          <w:w w:val="105"/>
        </w:rPr>
        <w:t>that</w:t>
      </w:r>
      <w:r w:rsidRPr="00283806">
        <w:rPr>
          <w:spacing w:val="-3"/>
          <w:w w:val="105"/>
        </w:rPr>
        <w:t xml:space="preserve"> </w:t>
      </w:r>
      <w:r w:rsidRPr="00283806">
        <w:rPr>
          <w:w w:val="105"/>
        </w:rPr>
        <w:t>the</w:t>
      </w:r>
      <w:r w:rsidRPr="00283806">
        <w:rPr>
          <w:spacing w:val="-3"/>
          <w:w w:val="105"/>
        </w:rPr>
        <w:t xml:space="preserve"> </w:t>
      </w:r>
      <w:r w:rsidRPr="00283806">
        <w:rPr>
          <w:w w:val="105"/>
        </w:rPr>
        <w:t>use of recycled/reclaimed HFCs was already anticipated as a path to compliance with the phasedown. Further, the commenter noted that among impediments to the</w:t>
      </w:r>
    </w:p>
    <w:p w14:paraId="5BB5F583" w14:textId="77777777" w:rsidR="00D67C1E" w:rsidRPr="00283806" w:rsidRDefault="001265CA">
      <w:pPr>
        <w:pStyle w:val="BodyText"/>
        <w:spacing w:line="225" w:lineRule="auto"/>
        <w:ind w:left="143" w:right="6"/>
      </w:pPr>
      <w:r w:rsidRPr="00283806">
        <w:rPr>
          <w:w w:val="105"/>
        </w:rPr>
        <w:t>U.S. reclaim market noted in the draft report, inadequate demand for</w:t>
      </w:r>
      <w:r w:rsidRPr="00283806">
        <w:rPr>
          <w:spacing w:val="80"/>
          <w:w w:val="105"/>
        </w:rPr>
        <w:t xml:space="preserve"> </w:t>
      </w:r>
      <w:r w:rsidRPr="00283806">
        <w:rPr>
          <w:w w:val="105"/>
        </w:rPr>
        <w:t>reclaimed HFCs was not identified as</w:t>
      </w:r>
      <w:r w:rsidRPr="00283806">
        <w:rPr>
          <w:spacing w:val="40"/>
          <w:w w:val="105"/>
        </w:rPr>
        <w:t xml:space="preserve"> </w:t>
      </w:r>
      <w:r w:rsidRPr="00283806">
        <w:rPr>
          <w:w w:val="105"/>
        </w:rPr>
        <w:t>such an impediment to the market. The commenter also stated that environmental benefits estimated for the requirements for using reclaimed HFCs are non-existent, and that the requirements could result in shifting allowance use to meet demand in other sectors and subsectors.</w:t>
      </w:r>
    </w:p>
    <w:p w14:paraId="6E989AD9" w14:textId="77777777" w:rsidR="00D67C1E" w:rsidRPr="00283806" w:rsidRDefault="001265CA">
      <w:pPr>
        <w:pStyle w:val="BodyText"/>
        <w:spacing w:line="213" w:lineRule="auto"/>
        <w:ind w:left="143" w:right="54" w:firstLine="180"/>
      </w:pPr>
      <w:r w:rsidRPr="00283806">
        <w:rPr>
          <w:rFonts w:ascii="Book Antiqua"/>
          <w:i/>
          <w:w w:val="105"/>
        </w:rPr>
        <w:t xml:space="preserve">Response: </w:t>
      </w:r>
      <w:r w:rsidRPr="00283806">
        <w:rPr>
          <w:w w:val="105"/>
        </w:rPr>
        <w:t>EPA responds that the requirements for reclaimed HFC</w:t>
      </w:r>
    </w:p>
    <w:p w14:paraId="6F796520" w14:textId="77777777" w:rsidR="00D67C1E" w:rsidRPr="00283806" w:rsidRDefault="001265CA">
      <w:pPr>
        <w:pStyle w:val="BodyText"/>
        <w:spacing w:line="225" w:lineRule="auto"/>
        <w:ind w:left="143" w:right="54"/>
      </w:pPr>
      <w:r w:rsidRPr="00283806">
        <w:rPr>
          <w:w w:val="105"/>
        </w:rPr>
        <w:t>refrigerants in the servicing and/or repair of refrigerant-containing equipment in certain RACHP subsectors are being established under subsection (h)(1) of the AIM Act, which provides</w:t>
      </w:r>
    </w:p>
    <w:p w14:paraId="1F2964DA" w14:textId="77777777" w:rsidR="00D67C1E" w:rsidRPr="00283806" w:rsidRDefault="001265CA">
      <w:pPr>
        <w:pStyle w:val="BodyText"/>
        <w:spacing w:before="134" w:line="228" w:lineRule="auto"/>
        <w:ind w:left="145" w:right="131"/>
      </w:pPr>
      <w:r w:rsidRPr="00283806">
        <w:br w:type="column"/>
      </w:r>
      <w:r w:rsidRPr="00283806">
        <w:rPr>
          <w:w w:val="105"/>
        </w:rPr>
        <w:t>EPA with the authority to promulgate regulations to control, where</w:t>
      </w:r>
      <w:r w:rsidRPr="00283806">
        <w:rPr>
          <w:spacing w:val="40"/>
          <w:w w:val="105"/>
        </w:rPr>
        <w:t xml:space="preserve"> </w:t>
      </w:r>
      <w:proofErr w:type="gramStart"/>
      <w:r w:rsidRPr="00283806">
        <w:rPr>
          <w:w w:val="105"/>
        </w:rPr>
        <w:t>appropriate, ‘‘</w:t>
      </w:r>
      <w:proofErr w:type="gramEnd"/>
      <w:r w:rsidRPr="00283806">
        <w:rPr>
          <w:w w:val="105"/>
        </w:rPr>
        <w:t xml:space="preserve">any practice, process, or activity, regarding the </w:t>
      </w:r>
      <w:proofErr w:type="gramStart"/>
      <w:r w:rsidRPr="00283806">
        <w:rPr>
          <w:w w:val="105"/>
        </w:rPr>
        <w:t>servicing</w:t>
      </w:r>
      <w:proofErr w:type="gramEnd"/>
      <w:r w:rsidRPr="00283806">
        <w:rPr>
          <w:w w:val="105"/>
        </w:rPr>
        <w:t xml:space="preserve">, repair, disposal, or installation of </w:t>
      </w:r>
      <w:proofErr w:type="gramStart"/>
      <w:r w:rsidRPr="00283806">
        <w:rPr>
          <w:w w:val="105"/>
        </w:rPr>
        <w:t>equipment’’</w:t>
      </w:r>
      <w:proofErr w:type="gramEnd"/>
      <w:r w:rsidRPr="00283806">
        <w:rPr>
          <w:spacing w:val="40"/>
          <w:w w:val="105"/>
        </w:rPr>
        <w:t xml:space="preserve"> </w:t>
      </w:r>
      <w:r w:rsidRPr="00283806">
        <w:rPr>
          <w:w w:val="105"/>
        </w:rPr>
        <w:t>for purposes that include maximizing reclamation and minimizing releases of HFCs from equipment. EPA views these requirements for using reclaimed HFC refrigerants in the servicing and/or repair of refrigerant-containing equipment as controlling a practice, process, or activity regarding the servicing and/or repair of such equipment, and as helping serve the purpose of maximizing reclamation, as the requirements present opportunities for increased recovery of used refrigerants and use of and demand for reclaimed HFCs and thus increased reclamation. Even assuming increased recycling</w:t>
      </w:r>
      <w:r w:rsidRPr="00283806">
        <w:rPr>
          <w:spacing w:val="40"/>
          <w:w w:val="105"/>
        </w:rPr>
        <w:t xml:space="preserve"> </w:t>
      </w:r>
      <w:r w:rsidRPr="00283806">
        <w:rPr>
          <w:w w:val="105"/>
        </w:rPr>
        <w:t>or</w:t>
      </w:r>
      <w:r w:rsidRPr="00283806">
        <w:rPr>
          <w:spacing w:val="40"/>
          <w:w w:val="105"/>
        </w:rPr>
        <w:t xml:space="preserve"> </w:t>
      </w:r>
      <w:r w:rsidRPr="00283806">
        <w:rPr>
          <w:w w:val="105"/>
        </w:rPr>
        <w:t>reclamation</w:t>
      </w:r>
      <w:r w:rsidRPr="00283806">
        <w:rPr>
          <w:spacing w:val="40"/>
          <w:w w:val="105"/>
        </w:rPr>
        <w:t xml:space="preserve"> </w:t>
      </w:r>
      <w:r w:rsidRPr="00283806">
        <w:rPr>
          <w:w w:val="105"/>
        </w:rPr>
        <w:t>is</w:t>
      </w:r>
      <w:r w:rsidRPr="00283806">
        <w:rPr>
          <w:spacing w:val="40"/>
          <w:w w:val="105"/>
        </w:rPr>
        <w:t xml:space="preserve"> </w:t>
      </w:r>
      <w:r w:rsidRPr="00283806">
        <w:rPr>
          <w:w w:val="105"/>
        </w:rPr>
        <w:t>anticipated to occur under the phasedown, the commenter provides no reason to think that such voluntary increases alone would be sufficient to serve the</w:t>
      </w:r>
      <w:r w:rsidRPr="00283806">
        <w:rPr>
          <w:spacing w:val="80"/>
          <w:w w:val="105"/>
        </w:rPr>
        <w:t xml:space="preserve"> </w:t>
      </w:r>
      <w:r w:rsidRPr="00283806">
        <w:rPr>
          <w:w w:val="105"/>
        </w:rPr>
        <w:t>statutory purpose identified in</w:t>
      </w:r>
      <w:r w:rsidRPr="00283806">
        <w:rPr>
          <w:spacing w:val="40"/>
          <w:w w:val="105"/>
        </w:rPr>
        <w:t xml:space="preserve"> </w:t>
      </w:r>
      <w:r w:rsidRPr="00283806">
        <w:rPr>
          <w:w w:val="105"/>
        </w:rPr>
        <w:t>subsection (h)(1) of maximizing reclamation. To the extent that the commenter suggests that EPA must demonstrate a particular degree or magnitude of current need to establish regulations under subsection (h)(1), EPA disagrees, as such a requirement is not explicitly stated in the statutory</w:t>
      </w:r>
      <w:r w:rsidRPr="00283806">
        <w:rPr>
          <w:spacing w:val="80"/>
          <w:w w:val="105"/>
        </w:rPr>
        <w:t xml:space="preserve"> </w:t>
      </w:r>
      <w:r w:rsidRPr="00283806">
        <w:rPr>
          <w:w w:val="105"/>
        </w:rPr>
        <w:t>language of subsection (h). Nonetheless, for the reasons described earlier in this response and elsewhere in this final</w:t>
      </w:r>
      <w:r w:rsidRPr="00283806">
        <w:rPr>
          <w:spacing w:val="80"/>
          <w:w w:val="150"/>
        </w:rPr>
        <w:t xml:space="preserve"> </w:t>
      </w:r>
      <w:r w:rsidRPr="00283806">
        <w:rPr>
          <w:w w:val="105"/>
        </w:rPr>
        <w:t>rule, the Agency concludes that these requirements are appropriate to serve purposes identified in subsection (h)(1) and to implement that provision.</w:t>
      </w:r>
    </w:p>
    <w:p w14:paraId="120ECC26" w14:textId="77777777" w:rsidR="00D67C1E" w:rsidRPr="00283806" w:rsidRDefault="001265CA">
      <w:pPr>
        <w:pStyle w:val="BodyText"/>
        <w:spacing w:line="228" w:lineRule="auto"/>
        <w:ind w:left="145" w:right="200" w:firstLine="180"/>
      </w:pPr>
      <w:r w:rsidRPr="00283806">
        <w:rPr>
          <w:w w:val="105"/>
        </w:rPr>
        <w:t>EPA acknowledges that inadequate demand was not identified as a barrier</w:t>
      </w:r>
      <w:r w:rsidRPr="00283806">
        <w:rPr>
          <w:spacing w:val="80"/>
          <w:w w:val="105"/>
        </w:rPr>
        <w:t xml:space="preserve"> </w:t>
      </w:r>
      <w:r w:rsidRPr="00283806">
        <w:rPr>
          <w:w w:val="105"/>
        </w:rPr>
        <w:t>to increased reclamation in the Draft Report.</w:t>
      </w:r>
      <w:r w:rsidRPr="00283806">
        <w:rPr>
          <w:spacing w:val="40"/>
          <w:w w:val="105"/>
        </w:rPr>
        <w:t xml:space="preserve"> </w:t>
      </w:r>
      <w:r w:rsidRPr="00283806">
        <w:rPr>
          <w:w w:val="105"/>
        </w:rPr>
        <w:t>However,</w:t>
      </w:r>
      <w:r w:rsidRPr="00283806">
        <w:rPr>
          <w:spacing w:val="40"/>
          <w:w w:val="105"/>
        </w:rPr>
        <w:t xml:space="preserve"> </w:t>
      </w:r>
      <w:r w:rsidRPr="00283806">
        <w:rPr>
          <w:w w:val="105"/>
        </w:rPr>
        <w:t>as</w:t>
      </w:r>
      <w:r w:rsidRPr="00283806">
        <w:rPr>
          <w:spacing w:val="40"/>
          <w:w w:val="105"/>
        </w:rPr>
        <w:t xml:space="preserve"> </w:t>
      </w:r>
      <w:r w:rsidRPr="00283806">
        <w:rPr>
          <w:w w:val="105"/>
        </w:rPr>
        <w:t>the</w:t>
      </w:r>
      <w:r w:rsidRPr="00283806">
        <w:rPr>
          <w:spacing w:val="40"/>
          <w:w w:val="105"/>
        </w:rPr>
        <w:t xml:space="preserve"> </w:t>
      </w:r>
      <w:r w:rsidRPr="00283806">
        <w:rPr>
          <w:w w:val="105"/>
        </w:rPr>
        <w:t>Agency explains in this rulemaking and</w:t>
      </w:r>
      <w:r w:rsidRPr="00283806">
        <w:rPr>
          <w:spacing w:val="40"/>
          <w:w w:val="105"/>
        </w:rPr>
        <w:t xml:space="preserve"> </w:t>
      </w:r>
      <w:r w:rsidRPr="00283806">
        <w:rPr>
          <w:w w:val="105"/>
        </w:rPr>
        <w:t>consistent with the proposed rule, these provisions are expected to support additional recovery of HFC refrigerants and, thus, reclamation. As noted in a previous comment response, EPA’s Economic Impact and Benefits TSD does not include increased recovery in the</w:t>
      </w:r>
      <w:r w:rsidRPr="00283806">
        <w:rPr>
          <w:spacing w:val="40"/>
          <w:w w:val="105"/>
        </w:rPr>
        <w:t xml:space="preserve"> </w:t>
      </w:r>
      <w:r w:rsidRPr="00283806">
        <w:rPr>
          <w:w w:val="105"/>
        </w:rPr>
        <w:t>base case for this rule based on the assumptions for that scenario; however, EPA did consider an alternate scenario with increased recovery and anticipates that the reclamation provisions could support increased recovery during servicing or disposal where the refrigerant may otherwise have been vented or released. EPA notes that the</w:t>
      </w:r>
    </w:p>
    <w:p w14:paraId="5CBA962F"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7" w:space="40"/>
            <w:col w:w="3499" w:space="39"/>
            <w:col w:w="3625"/>
          </w:cols>
        </w:sectPr>
      </w:pPr>
    </w:p>
    <w:p w14:paraId="7D2074BE" w14:textId="77777777" w:rsidR="00D67C1E" w:rsidRPr="00283806" w:rsidRDefault="001265CA">
      <w:pPr>
        <w:pStyle w:val="BodyText"/>
        <w:tabs>
          <w:tab w:val="left" w:pos="3699"/>
          <w:tab w:val="left" w:pos="4699"/>
          <w:tab w:val="left" w:pos="7240"/>
        </w:tabs>
        <w:spacing w:line="187" w:lineRule="exact"/>
      </w:pPr>
      <w:r w:rsidRPr="00283806">
        <w:rPr>
          <w:w w:val="110"/>
        </w:rPr>
        <w:t>virgin HFCs</w:t>
      </w:r>
      <w:r w:rsidRPr="00283806">
        <w:rPr>
          <w:spacing w:val="1"/>
          <w:w w:val="110"/>
        </w:rPr>
        <w:t xml:space="preserve"> </w:t>
      </w:r>
      <w:r w:rsidRPr="00283806">
        <w:rPr>
          <w:w w:val="110"/>
        </w:rPr>
        <w:t>is</w:t>
      </w:r>
      <w:r w:rsidRPr="00283806">
        <w:rPr>
          <w:spacing w:val="1"/>
          <w:w w:val="110"/>
        </w:rPr>
        <w:t xml:space="preserve"> </w:t>
      </w:r>
      <w:r w:rsidRPr="00283806">
        <w:rPr>
          <w:w w:val="110"/>
        </w:rPr>
        <w:t>significantly</w:t>
      </w:r>
      <w:r w:rsidRPr="00283806">
        <w:rPr>
          <w:spacing w:val="1"/>
          <w:w w:val="110"/>
        </w:rPr>
        <w:t xml:space="preserve"> </w:t>
      </w:r>
      <w:r w:rsidRPr="00283806">
        <w:rPr>
          <w:spacing w:val="-2"/>
          <w:w w:val="110"/>
        </w:rPr>
        <w:t>augmented</w:t>
      </w:r>
      <w:r w:rsidRPr="00283806">
        <w:tab/>
      </w:r>
      <w:r w:rsidRPr="00283806">
        <w:rPr>
          <w:u w:val="single"/>
        </w:rPr>
        <w:tab/>
      </w:r>
      <w:r w:rsidRPr="00283806">
        <w:tab/>
      </w:r>
      <w:r w:rsidRPr="00283806">
        <w:rPr>
          <w:w w:val="105"/>
        </w:rPr>
        <w:t>barriers described</w:t>
      </w:r>
      <w:r w:rsidRPr="00283806">
        <w:rPr>
          <w:spacing w:val="1"/>
          <w:w w:val="105"/>
        </w:rPr>
        <w:t xml:space="preserve"> </w:t>
      </w:r>
      <w:r w:rsidRPr="00283806">
        <w:rPr>
          <w:w w:val="105"/>
        </w:rPr>
        <w:t>in</w:t>
      </w:r>
      <w:r w:rsidRPr="00283806">
        <w:rPr>
          <w:spacing w:val="1"/>
          <w:w w:val="105"/>
        </w:rPr>
        <w:t xml:space="preserve"> </w:t>
      </w:r>
      <w:r w:rsidRPr="00283806">
        <w:rPr>
          <w:w w:val="105"/>
        </w:rPr>
        <w:t>the</w:t>
      </w:r>
      <w:r w:rsidRPr="00283806">
        <w:rPr>
          <w:spacing w:val="1"/>
          <w:w w:val="105"/>
        </w:rPr>
        <w:t xml:space="preserve"> </w:t>
      </w:r>
      <w:r w:rsidRPr="00283806">
        <w:rPr>
          <w:w w:val="105"/>
        </w:rPr>
        <w:t xml:space="preserve">Draft </w:t>
      </w:r>
      <w:r w:rsidRPr="00283806">
        <w:rPr>
          <w:spacing w:val="-2"/>
          <w:w w:val="105"/>
        </w:rPr>
        <w:t>Report</w:t>
      </w:r>
    </w:p>
    <w:p w14:paraId="612B9DE6" w14:textId="77777777" w:rsidR="00D67C1E" w:rsidRPr="00283806" w:rsidRDefault="00D67C1E">
      <w:pPr>
        <w:spacing w:line="187" w:lineRule="exact"/>
        <w:sectPr w:rsidR="00D67C1E" w:rsidRPr="00283806">
          <w:type w:val="continuous"/>
          <w:pgSz w:w="12240" w:h="15840"/>
          <w:pgMar w:top="880" w:right="780" w:bottom="280" w:left="740" w:header="627" w:footer="0" w:gutter="0"/>
          <w:cols w:space="720"/>
        </w:sectPr>
      </w:pPr>
    </w:p>
    <w:p w14:paraId="61556A94" w14:textId="77777777" w:rsidR="00D67C1E" w:rsidRPr="00283806" w:rsidRDefault="001265CA">
      <w:pPr>
        <w:pStyle w:val="BodyText"/>
        <w:spacing w:before="10" w:line="228" w:lineRule="auto"/>
        <w:ind w:right="38"/>
      </w:pPr>
      <w:r w:rsidRPr="00283806">
        <w:rPr>
          <w:w w:val="105"/>
        </w:rPr>
        <w:t>by imports, and on an annual basis between</w:t>
      </w:r>
      <w:r w:rsidRPr="00283806">
        <w:rPr>
          <w:spacing w:val="-3"/>
          <w:w w:val="105"/>
        </w:rPr>
        <w:t xml:space="preserve"> </w:t>
      </w:r>
      <w:r w:rsidRPr="00283806">
        <w:rPr>
          <w:w w:val="105"/>
        </w:rPr>
        <w:t>2024</w:t>
      </w:r>
      <w:r w:rsidRPr="00283806">
        <w:rPr>
          <w:spacing w:val="-3"/>
          <w:w w:val="105"/>
        </w:rPr>
        <w:t xml:space="preserve"> </w:t>
      </w:r>
      <w:r w:rsidRPr="00283806">
        <w:rPr>
          <w:w w:val="105"/>
        </w:rPr>
        <w:t>and</w:t>
      </w:r>
      <w:r w:rsidRPr="00283806">
        <w:rPr>
          <w:spacing w:val="-3"/>
          <w:w w:val="105"/>
        </w:rPr>
        <w:t xml:space="preserve"> </w:t>
      </w:r>
      <w:r w:rsidRPr="00283806">
        <w:rPr>
          <w:w w:val="105"/>
        </w:rPr>
        <w:t>2028,</w:t>
      </w:r>
      <w:r w:rsidRPr="00283806">
        <w:rPr>
          <w:spacing w:val="-3"/>
          <w:w w:val="105"/>
        </w:rPr>
        <w:t xml:space="preserve"> </w:t>
      </w:r>
      <w:r w:rsidRPr="00283806">
        <w:rPr>
          <w:w w:val="105"/>
        </w:rPr>
        <w:t>there</w:t>
      </w:r>
      <w:r w:rsidRPr="00283806">
        <w:rPr>
          <w:spacing w:val="-3"/>
          <w:w w:val="105"/>
        </w:rPr>
        <w:t xml:space="preserve"> </w:t>
      </w:r>
      <w:r w:rsidRPr="00283806">
        <w:rPr>
          <w:w w:val="105"/>
        </w:rPr>
        <w:t>are,</w:t>
      </w:r>
      <w:r w:rsidRPr="00283806">
        <w:rPr>
          <w:spacing w:val="-3"/>
          <w:w w:val="105"/>
        </w:rPr>
        <w:t xml:space="preserve"> </w:t>
      </w:r>
      <w:r w:rsidRPr="00283806">
        <w:rPr>
          <w:w w:val="105"/>
        </w:rPr>
        <w:t>or will be, approximately 75 companies with EPA-issued consumption</w:t>
      </w:r>
    </w:p>
    <w:p w14:paraId="24E68A6E" w14:textId="77777777" w:rsidR="00D67C1E" w:rsidRPr="00283806" w:rsidRDefault="001265CA">
      <w:pPr>
        <w:spacing w:before="20" w:line="228" w:lineRule="auto"/>
        <w:ind w:left="160" w:firstLine="140"/>
        <w:rPr>
          <w:sz w:val="14"/>
        </w:rPr>
      </w:pPr>
      <w:r w:rsidRPr="00283806">
        <w:br w:type="column"/>
      </w:r>
      <w:r w:rsidRPr="00283806">
        <w:rPr>
          <w:w w:val="105"/>
          <w:position w:val="4"/>
          <w:sz w:val="9"/>
        </w:rPr>
        <w:t xml:space="preserve">117 </w:t>
      </w:r>
      <w:proofErr w:type="spellStart"/>
      <w:r w:rsidRPr="00283806">
        <w:rPr>
          <w:w w:val="105"/>
          <w:sz w:val="14"/>
        </w:rPr>
        <w:t>Yasaka</w:t>
      </w:r>
      <w:proofErr w:type="spellEnd"/>
      <w:r w:rsidRPr="00283806">
        <w:rPr>
          <w:w w:val="105"/>
          <w:sz w:val="14"/>
        </w:rPr>
        <w:t>, Yoshihito, et al. ‘‘Life-Cycle</w:t>
      </w:r>
      <w:r w:rsidRPr="00283806">
        <w:rPr>
          <w:spacing w:val="40"/>
          <w:w w:val="105"/>
          <w:sz w:val="14"/>
        </w:rPr>
        <w:t xml:space="preserve"> </w:t>
      </w:r>
      <w:r w:rsidRPr="00283806">
        <w:rPr>
          <w:w w:val="105"/>
          <w:sz w:val="14"/>
        </w:rPr>
        <w:t>Assessment of Refrigerants for Air Conditioners</w:t>
      </w:r>
      <w:r w:rsidRPr="00283806">
        <w:rPr>
          <w:spacing w:val="40"/>
          <w:w w:val="105"/>
          <w:sz w:val="14"/>
        </w:rPr>
        <w:t xml:space="preserve"> </w:t>
      </w:r>
      <w:r w:rsidRPr="00283806">
        <w:rPr>
          <w:w w:val="105"/>
          <w:sz w:val="14"/>
        </w:rPr>
        <w:t>Considering Reclamation and Destruction.’’</w:t>
      </w:r>
      <w:r w:rsidRPr="00283806">
        <w:rPr>
          <w:spacing w:val="40"/>
          <w:w w:val="105"/>
          <w:sz w:val="14"/>
        </w:rPr>
        <w:t xml:space="preserve"> </w:t>
      </w:r>
      <w:r w:rsidRPr="00283806">
        <w:rPr>
          <w:w w:val="105"/>
          <w:sz w:val="14"/>
        </w:rPr>
        <w:t>Sustainability, vol. 15, no.1, 2023, p. 473,</w:t>
      </w:r>
      <w:r w:rsidRPr="00283806">
        <w:rPr>
          <w:spacing w:val="40"/>
          <w:w w:val="105"/>
          <w:sz w:val="14"/>
        </w:rPr>
        <w:t xml:space="preserve"> </w:t>
      </w:r>
      <w:r w:rsidRPr="00283806">
        <w:rPr>
          <w:spacing w:val="-2"/>
          <w:w w:val="105"/>
          <w:sz w:val="14"/>
        </w:rPr>
        <w:t>doi:10.3390/su15010473.</w:t>
      </w:r>
    </w:p>
    <w:p w14:paraId="3B596F8F" w14:textId="77777777" w:rsidR="00D67C1E" w:rsidRPr="00283806" w:rsidRDefault="001265CA">
      <w:pPr>
        <w:pStyle w:val="BodyText"/>
        <w:spacing w:before="9" w:line="228" w:lineRule="auto"/>
        <w:ind w:right="286"/>
      </w:pPr>
      <w:r w:rsidRPr="00283806">
        <w:br w:type="column"/>
      </w:r>
      <w:r w:rsidRPr="00283806">
        <w:rPr>
          <w:w w:val="105"/>
        </w:rPr>
        <w:t>were intended to capture the status of the reclamation industry and inform this rulemaking. The Draft Report identified barriers such as separating</w:t>
      </w:r>
    </w:p>
    <w:p w14:paraId="7119935E" w14:textId="77777777" w:rsidR="00D67C1E" w:rsidRPr="00283806" w:rsidRDefault="00D67C1E">
      <w:pPr>
        <w:spacing w:line="228" w:lineRule="auto"/>
        <w:sectPr w:rsidR="00D67C1E" w:rsidRPr="00283806">
          <w:type w:val="continuous"/>
          <w:pgSz w:w="12240" w:h="15840"/>
          <w:pgMar w:top="880" w:right="780" w:bottom="280" w:left="740" w:header="627" w:footer="0" w:gutter="0"/>
          <w:cols w:num="3" w:space="720" w:equalWidth="0">
            <w:col w:w="3258" w:space="282"/>
            <w:col w:w="3263" w:space="277"/>
            <w:col w:w="3640"/>
          </w:cols>
        </w:sectPr>
      </w:pPr>
    </w:p>
    <w:p w14:paraId="7D3775DB" w14:textId="77777777" w:rsidR="00D67C1E" w:rsidRPr="00283806" w:rsidRDefault="001265CA">
      <w:pPr>
        <w:pStyle w:val="BodyText"/>
        <w:spacing w:before="136" w:line="225" w:lineRule="auto"/>
        <w:ind w:right="88"/>
      </w:pPr>
      <w:r w:rsidRPr="00283806">
        <w:rPr>
          <w:w w:val="105"/>
        </w:rPr>
        <w:lastRenderedPageBreak/>
        <w:t xml:space="preserve">mixed </w:t>
      </w:r>
      <w:proofErr w:type="gramStart"/>
      <w:r w:rsidRPr="00283806">
        <w:rPr>
          <w:w w:val="105"/>
        </w:rPr>
        <w:t>refrigerants</w:t>
      </w:r>
      <w:proofErr w:type="gramEnd"/>
      <w:r w:rsidRPr="00283806">
        <w:rPr>
          <w:w w:val="105"/>
        </w:rPr>
        <w:t xml:space="preserve"> and refrigerant release events (</w:t>
      </w:r>
      <w:r w:rsidRPr="00283806">
        <w:rPr>
          <w:rFonts w:ascii="Book Antiqua"/>
          <w:i/>
          <w:w w:val="105"/>
        </w:rPr>
        <w:t xml:space="preserve">e.g., </w:t>
      </w:r>
      <w:r w:rsidRPr="00283806">
        <w:rPr>
          <w:w w:val="105"/>
        </w:rPr>
        <w:t>leakage during operation or venting at EOL), among others. The provisions in this rule and current market dynamics help to</w:t>
      </w:r>
      <w:r w:rsidRPr="00283806">
        <w:rPr>
          <w:spacing w:val="40"/>
          <w:w w:val="105"/>
        </w:rPr>
        <w:t xml:space="preserve"> </w:t>
      </w:r>
      <w:r w:rsidRPr="00283806">
        <w:rPr>
          <w:w w:val="105"/>
        </w:rPr>
        <w:t>address these barriers. This final rule is expected to encourage reclamation and drive innovation in separation technologies as well as capacity of these technologies to meet the estimated demand of reclaimed HFCs related to</w:t>
      </w:r>
      <w:r w:rsidRPr="00283806">
        <w:rPr>
          <w:spacing w:val="80"/>
          <w:w w:val="105"/>
        </w:rPr>
        <w:t xml:space="preserve"> </w:t>
      </w:r>
      <w:r w:rsidRPr="00283806">
        <w:rPr>
          <w:w w:val="105"/>
        </w:rPr>
        <w:t>the requirements in this rule. Further,</w:t>
      </w:r>
      <w:r w:rsidRPr="00283806">
        <w:rPr>
          <w:spacing w:val="40"/>
          <w:w w:val="105"/>
        </w:rPr>
        <w:t xml:space="preserve"> </w:t>
      </w:r>
      <w:r w:rsidRPr="00283806">
        <w:rPr>
          <w:w w:val="105"/>
        </w:rPr>
        <w:t>the requirements related to leak repair and ALD systems will lead to reduced amounts of emissions of refrigerants from appliances; thus, ensuring additional material is available to be recovered and reclaimed.</w:t>
      </w:r>
    </w:p>
    <w:p w14:paraId="53B14460" w14:textId="77777777" w:rsidR="00D67C1E" w:rsidRPr="00283806" w:rsidRDefault="001265CA">
      <w:pPr>
        <w:pStyle w:val="BodyText"/>
        <w:spacing w:line="164" w:lineRule="exact"/>
        <w:ind w:left="340"/>
      </w:pPr>
      <w:r w:rsidRPr="00283806">
        <w:rPr>
          <w:w w:val="105"/>
        </w:rPr>
        <w:t>The</w:t>
      </w:r>
      <w:r w:rsidRPr="00283806">
        <w:rPr>
          <w:spacing w:val="22"/>
          <w:w w:val="105"/>
        </w:rPr>
        <w:t xml:space="preserve"> </w:t>
      </w:r>
      <w:r w:rsidRPr="00283806">
        <w:rPr>
          <w:w w:val="105"/>
        </w:rPr>
        <w:t>Agency</w:t>
      </w:r>
      <w:r w:rsidRPr="00283806">
        <w:rPr>
          <w:spacing w:val="23"/>
          <w:w w:val="105"/>
        </w:rPr>
        <w:t xml:space="preserve"> </w:t>
      </w:r>
      <w:r w:rsidRPr="00283806">
        <w:rPr>
          <w:w w:val="105"/>
        </w:rPr>
        <w:t>acknowledges</w:t>
      </w:r>
      <w:r w:rsidRPr="00283806">
        <w:rPr>
          <w:spacing w:val="23"/>
          <w:w w:val="105"/>
        </w:rPr>
        <w:t xml:space="preserve"> </w:t>
      </w:r>
      <w:r w:rsidRPr="00283806">
        <w:rPr>
          <w:spacing w:val="-4"/>
          <w:w w:val="105"/>
        </w:rPr>
        <w:t>that</w:t>
      </w:r>
    </w:p>
    <w:p w14:paraId="5298ED6B" w14:textId="77777777" w:rsidR="00D67C1E" w:rsidRPr="00283806" w:rsidRDefault="001265CA">
      <w:pPr>
        <w:pStyle w:val="BodyText"/>
        <w:spacing w:before="4" w:line="225" w:lineRule="auto"/>
        <w:ind w:right="55"/>
      </w:pPr>
      <w:r w:rsidRPr="00283806">
        <w:rPr>
          <w:w w:val="105"/>
        </w:rPr>
        <w:t xml:space="preserve">allowance use for virgin HFCs may shift related to the provisions established in this rulemaking. However, the Agency anticipates that any such shifts in use of allowances would be related to allowances needed for difficult </w:t>
      </w:r>
      <w:proofErr w:type="gramStart"/>
      <w:r w:rsidRPr="00283806">
        <w:rPr>
          <w:w w:val="105"/>
        </w:rPr>
        <w:t>to transition</w:t>
      </w:r>
      <w:proofErr w:type="gramEnd"/>
      <w:r w:rsidRPr="00283806">
        <w:rPr>
          <w:w w:val="105"/>
        </w:rPr>
        <w:t xml:space="preserve"> applications where a path to substitutes for HFCs is less clear at this time. Further, even assuming such shifts occur, they do not provide a reason to</w:t>
      </w:r>
      <w:r w:rsidRPr="00283806">
        <w:rPr>
          <w:spacing w:val="40"/>
          <w:w w:val="105"/>
        </w:rPr>
        <w:t xml:space="preserve"> </w:t>
      </w:r>
      <w:r w:rsidRPr="00283806">
        <w:rPr>
          <w:w w:val="105"/>
        </w:rPr>
        <w:t>not</w:t>
      </w:r>
      <w:r w:rsidRPr="00283806">
        <w:rPr>
          <w:spacing w:val="40"/>
          <w:w w:val="105"/>
        </w:rPr>
        <w:t xml:space="preserve"> </w:t>
      </w:r>
      <w:r w:rsidRPr="00283806">
        <w:rPr>
          <w:w w:val="105"/>
        </w:rPr>
        <w:t>finalize</w:t>
      </w:r>
      <w:r w:rsidRPr="00283806">
        <w:rPr>
          <w:spacing w:val="40"/>
          <w:w w:val="105"/>
        </w:rPr>
        <w:t xml:space="preserve"> </w:t>
      </w:r>
      <w:r w:rsidRPr="00283806">
        <w:rPr>
          <w:w w:val="105"/>
        </w:rPr>
        <w:t>the</w:t>
      </w:r>
      <w:r w:rsidRPr="00283806">
        <w:rPr>
          <w:spacing w:val="40"/>
          <w:w w:val="105"/>
        </w:rPr>
        <w:t xml:space="preserve"> </w:t>
      </w:r>
      <w:r w:rsidRPr="00283806">
        <w:rPr>
          <w:w w:val="105"/>
        </w:rPr>
        <w:t>requirements</w:t>
      </w:r>
      <w:r w:rsidRPr="00283806">
        <w:rPr>
          <w:spacing w:val="40"/>
          <w:w w:val="105"/>
        </w:rPr>
        <w:t xml:space="preserve"> </w:t>
      </w:r>
      <w:r w:rsidRPr="00283806">
        <w:rPr>
          <w:w w:val="105"/>
        </w:rPr>
        <w:t>in</w:t>
      </w:r>
      <w:r w:rsidRPr="00283806">
        <w:rPr>
          <w:spacing w:val="40"/>
          <w:w w:val="105"/>
        </w:rPr>
        <w:t xml:space="preserve"> </w:t>
      </w:r>
      <w:r w:rsidRPr="00283806">
        <w:rPr>
          <w:w w:val="105"/>
        </w:rPr>
        <w:t>this rule. If anything, they merely provide an example of how implementation of this rule may also have the effect of assisting in supporting implementation of other programs under the AIM Act.</w:t>
      </w:r>
    </w:p>
    <w:p w14:paraId="4FD8F3D8" w14:textId="77777777" w:rsidR="00D67C1E" w:rsidRPr="00283806" w:rsidRDefault="001265CA">
      <w:pPr>
        <w:spacing w:line="180" w:lineRule="exact"/>
        <w:ind w:left="340"/>
        <w:rPr>
          <w:sz w:val="18"/>
        </w:rPr>
      </w:pPr>
      <w:r w:rsidRPr="00283806">
        <w:rPr>
          <w:rFonts w:ascii="Book Antiqua"/>
          <w:i/>
          <w:w w:val="105"/>
          <w:sz w:val="18"/>
        </w:rPr>
        <w:t>Comment:</w:t>
      </w:r>
      <w:r w:rsidRPr="00283806">
        <w:rPr>
          <w:rFonts w:ascii="Book Antiqua"/>
          <w:i/>
          <w:spacing w:val="22"/>
          <w:w w:val="105"/>
          <w:sz w:val="18"/>
        </w:rPr>
        <w:t xml:space="preserve"> </w:t>
      </w:r>
      <w:r w:rsidRPr="00283806">
        <w:rPr>
          <w:w w:val="105"/>
          <w:sz w:val="18"/>
        </w:rPr>
        <w:t>One</w:t>
      </w:r>
      <w:r w:rsidRPr="00283806">
        <w:rPr>
          <w:spacing w:val="28"/>
          <w:w w:val="105"/>
          <w:sz w:val="18"/>
        </w:rPr>
        <w:t xml:space="preserve"> </w:t>
      </w:r>
      <w:r w:rsidRPr="00283806">
        <w:rPr>
          <w:w w:val="105"/>
          <w:sz w:val="18"/>
        </w:rPr>
        <w:t>commenter</w:t>
      </w:r>
      <w:r w:rsidRPr="00283806">
        <w:rPr>
          <w:spacing w:val="28"/>
          <w:w w:val="105"/>
          <w:sz w:val="18"/>
        </w:rPr>
        <w:t xml:space="preserve"> </w:t>
      </w:r>
      <w:r w:rsidRPr="00283806">
        <w:rPr>
          <w:spacing w:val="-2"/>
          <w:w w:val="105"/>
          <w:sz w:val="18"/>
        </w:rPr>
        <w:t>suggested</w:t>
      </w:r>
    </w:p>
    <w:p w14:paraId="510F745E" w14:textId="77777777" w:rsidR="00D67C1E" w:rsidRPr="00283806" w:rsidRDefault="001265CA">
      <w:pPr>
        <w:pStyle w:val="BodyText"/>
        <w:spacing w:line="225" w:lineRule="auto"/>
        <w:ind w:right="26"/>
      </w:pPr>
      <w:r w:rsidRPr="00283806">
        <w:rPr>
          <w:w w:val="105"/>
        </w:rPr>
        <w:t>that EPA did not analyze the economic cost and consumer pricing impacts of</w:t>
      </w:r>
      <w:r w:rsidRPr="00283806">
        <w:rPr>
          <w:spacing w:val="80"/>
          <w:w w:val="105"/>
        </w:rPr>
        <w:t xml:space="preserve"> </w:t>
      </w:r>
      <w:r w:rsidRPr="00283806">
        <w:rPr>
          <w:w w:val="105"/>
        </w:rPr>
        <w:t>the HFC supply and demand mismatch. The commenter stated that EPA’s awareness of impact without analysis is not consideration of relevant factors required by subsection (h). The commenter stated that the NPRM does not estimate the costs of resetting the market through new customer/supplier relationships, and the commenter</w:t>
      </w:r>
      <w:r w:rsidRPr="00283806">
        <w:rPr>
          <w:spacing w:val="40"/>
          <w:w w:val="105"/>
        </w:rPr>
        <w:t xml:space="preserve"> </w:t>
      </w:r>
      <w:r w:rsidRPr="00283806">
        <w:rPr>
          <w:w w:val="105"/>
        </w:rPr>
        <w:t>further stated that restricting HFC quantities would increase refrigerant prices. The commenter stated that certain</w:t>
      </w:r>
      <w:r w:rsidRPr="00283806">
        <w:rPr>
          <w:spacing w:val="-6"/>
          <w:w w:val="105"/>
        </w:rPr>
        <w:t xml:space="preserve"> </w:t>
      </w:r>
      <w:r w:rsidRPr="00283806">
        <w:rPr>
          <w:w w:val="105"/>
        </w:rPr>
        <w:t>refrigerants</w:t>
      </w:r>
      <w:r w:rsidRPr="00283806">
        <w:rPr>
          <w:spacing w:val="-6"/>
          <w:w w:val="105"/>
        </w:rPr>
        <w:t xml:space="preserve"> </w:t>
      </w:r>
      <w:r w:rsidRPr="00283806">
        <w:rPr>
          <w:w w:val="105"/>
        </w:rPr>
        <w:t>from</w:t>
      </w:r>
      <w:r w:rsidRPr="00283806">
        <w:rPr>
          <w:spacing w:val="-6"/>
          <w:w w:val="105"/>
        </w:rPr>
        <w:t xml:space="preserve"> </w:t>
      </w:r>
      <w:r w:rsidRPr="00283806">
        <w:rPr>
          <w:w w:val="105"/>
        </w:rPr>
        <w:t>producers</w:t>
      </w:r>
      <w:r w:rsidRPr="00283806">
        <w:rPr>
          <w:spacing w:val="-6"/>
          <w:w w:val="105"/>
        </w:rPr>
        <w:t xml:space="preserve"> </w:t>
      </w:r>
      <w:r w:rsidRPr="00283806">
        <w:rPr>
          <w:w w:val="105"/>
        </w:rPr>
        <w:t>(</w:t>
      </w:r>
      <w:r w:rsidRPr="00283806">
        <w:rPr>
          <w:rFonts w:ascii="Book Antiqua" w:hAnsi="Book Antiqua"/>
          <w:i/>
          <w:w w:val="105"/>
        </w:rPr>
        <w:t xml:space="preserve">e.g., </w:t>
      </w:r>
      <w:r w:rsidRPr="00283806">
        <w:rPr>
          <w:w w:val="105"/>
        </w:rPr>
        <w:t>certain HFC–32 lines) may no longer be economically viable and stated that the NPRM should have considered the likelihood of stranding production</w:t>
      </w:r>
      <w:r w:rsidRPr="00283806">
        <w:rPr>
          <w:spacing w:val="40"/>
          <w:w w:val="105"/>
        </w:rPr>
        <w:t xml:space="preserve"> </w:t>
      </w:r>
      <w:r w:rsidRPr="00283806">
        <w:rPr>
          <w:w w:val="105"/>
        </w:rPr>
        <w:t xml:space="preserve">assets. The commenter additionally asserted that the reclaim mandate eliminates incentives to develop low- GWP blends with an HFC </w:t>
      </w:r>
      <w:proofErr w:type="gramStart"/>
      <w:r w:rsidRPr="00283806">
        <w:rPr>
          <w:w w:val="105"/>
        </w:rPr>
        <w:t>component,</w:t>
      </w:r>
      <w:r w:rsidRPr="00283806">
        <w:rPr>
          <w:spacing w:val="40"/>
          <w:w w:val="105"/>
        </w:rPr>
        <w:t xml:space="preserve"> </w:t>
      </w:r>
      <w:r w:rsidRPr="00283806">
        <w:rPr>
          <w:w w:val="105"/>
        </w:rPr>
        <w:t>and</w:t>
      </w:r>
      <w:proofErr w:type="gramEnd"/>
      <w:r w:rsidRPr="00283806">
        <w:rPr>
          <w:w w:val="105"/>
        </w:rPr>
        <w:t xml:space="preserve"> recommended that EPA base any reclaim requirement on robust and appropriate data.</w:t>
      </w:r>
    </w:p>
    <w:p w14:paraId="58F01E40" w14:textId="77777777" w:rsidR="00D67C1E" w:rsidRPr="00283806" w:rsidRDefault="001265CA">
      <w:pPr>
        <w:spacing w:line="173" w:lineRule="exact"/>
        <w:ind w:left="340"/>
        <w:rPr>
          <w:sz w:val="18"/>
        </w:rPr>
      </w:pPr>
      <w:r w:rsidRPr="00283806">
        <w:rPr>
          <w:rFonts w:ascii="Book Antiqua"/>
          <w:i/>
          <w:w w:val="110"/>
          <w:sz w:val="18"/>
        </w:rPr>
        <w:t>Response:</w:t>
      </w:r>
      <w:r w:rsidRPr="00283806">
        <w:rPr>
          <w:rFonts w:ascii="Book Antiqua"/>
          <w:i/>
          <w:spacing w:val="17"/>
          <w:w w:val="110"/>
          <w:sz w:val="18"/>
        </w:rPr>
        <w:t xml:space="preserve"> </w:t>
      </w:r>
      <w:r w:rsidRPr="00283806">
        <w:rPr>
          <w:w w:val="110"/>
          <w:sz w:val="18"/>
        </w:rPr>
        <w:t>The</w:t>
      </w:r>
      <w:r w:rsidRPr="00283806">
        <w:rPr>
          <w:spacing w:val="22"/>
          <w:w w:val="110"/>
          <w:sz w:val="18"/>
        </w:rPr>
        <w:t xml:space="preserve"> </w:t>
      </w:r>
      <w:r w:rsidRPr="00283806">
        <w:rPr>
          <w:w w:val="110"/>
          <w:sz w:val="18"/>
        </w:rPr>
        <w:t>HFC</w:t>
      </w:r>
      <w:r w:rsidRPr="00283806">
        <w:rPr>
          <w:spacing w:val="23"/>
          <w:w w:val="110"/>
          <w:sz w:val="18"/>
        </w:rPr>
        <w:t xml:space="preserve"> </w:t>
      </w:r>
      <w:r w:rsidRPr="00283806">
        <w:rPr>
          <w:spacing w:val="-2"/>
          <w:w w:val="110"/>
          <w:sz w:val="18"/>
        </w:rPr>
        <w:t>allowance</w:t>
      </w:r>
    </w:p>
    <w:p w14:paraId="0EC570DE" w14:textId="77777777" w:rsidR="00D67C1E" w:rsidRPr="00283806" w:rsidRDefault="001265CA">
      <w:pPr>
        <w:pStyle w:val="BodyText"/>
        <w:spacing w:line="228" w:lineRule="auto"/>
        <w:ind w:right="6"/>
      </w:pPr>
      <w:r w:rsidRPr="00283806">
        <w:rPr>
          <w:w w:val="110"/>
        </w:rPr>
        <w:t>allocation</w:t>
      </w:r>
      <w:r w:rsidRPr="00283806">
        <w:rPr>
          <w:spacing w:val="-10"/>
          <w:w w:val="110"/>
        </w:rPr>
        <w:t xml:space="preserve"> </w:t>
      </w:r>
      <w:r w:rsidRPr="00283806">
        <w:rPr>
          <w:w w:val="110"/>
        </w:rPr>
        <w:t>system</w:t>
      </w:r>
      <w:r w:rsidRPr="00283806">
        <w:rPr>
          <w:spacing w:val="-10"/>
          <w:w w:val="110"/>
        </w:rPr>
        <w:t xml:space="preserve"> </w:t>
      </w:r>
      <w:r w:rsidRPr="00283806">
        <w:rPr>
          <w:w w:val="110"/>
        </w:rPr>
        <w:t>is</w:t>
      </w:r>
      <w:r w:rsidRPr="00283806">
        <w:rPr>
          <w:spacing w:val="-10"/>
          <w:w w:val="110"/>
        </w:rPr>
        <w:t xml:space="preserve"> </w:t>
      </w:r>
      <w:r w:rsidRPr="00283806">
        <w:rPr>
          <w:w w:val="110"/>
        </w:rPr>
        <w:t>out</w:t>
      </w:r>
      <w:r w:rsidRPr="00283806">
        <w:rPr>
          <w:spacing w:val="-10"/>
          <w:w w:val="110"/>
        </w:rPr>
        <w:t xml:space="preserve"> </w:t>
      </w:r>
      <w:r w:rsidRPr="00283806">
        <w:rPr>
          <w:w w:val="110"/>
        </w:rPr>
        <w:t>of</w:t>
      </w:r>
      <w:r w:rsidRPr="00283806">
        <w:rPr>
          <w:spacing w:val="-10"/>
          <w:w w:val="110"/>
        </w:rPr>
        <w:t xml:space="preserve"> </w:t>
      </w:r>
      <w:r w:rsidRPr="00283806">
        <w:rPr>
          <w:w w:val="110"/>
        </w:rPr>
        <w:t>scope</w:t>
      </w:r>
      <w:r w:rsidRPr="00283806">
        <w:rPr>
          <w:spacing w:val="-10"/>
          <w:w w:val="110"/>
        </w:rPr>
        <w:t xml:space="preserve"> </w:t>
      </w:r>
      <w:r w:rsidRPr="00283806">
        <w:rPr>
          <w:w w:val="110"/>
        </w:rPr>
        <w:t>for</w:t>
      </w:r>
      <w:r w:rsidRPr="00283806">
        <w:rPr>
          <w:spacing w:val="-10"/>
          <w:w w:val="110"/>
        </w:rPr>
        <w:t xml:space="preserve"> </w:t>
      </w:r>
      <w:r w:rsidRPr="00283806">
        <w:rPr>
          <w:w w:val="110"/>
        </w:rPr>
        <w:t xml:space="preserve">this rulemaking; however, EPA reminds </w:t>
      </w:r>
      <w:r w:rsidRPr="00283806">
        <w:rPr>
          <w:spacing w:val="-2"/>
          <w:w w:val="110"/>
        </w:rPr>
        <w:t>readers</w:t>
      </w:r>
      <w:r w:rsidRPr="00283806">
        <w:rPr>
          <w:spacing w:val="-6"/>
          <w:w w:val="110"/>
        </w:rPr>
        <w:t xml:space="preserve"> </w:t>
      </w:r>
      <w:r w:rsidRPr="00283806">
        <w:rPr>
          <w:spacing w:val="-2"/>
          <w:w w:val="110"/>
        </w:rPr>
        <w:t>that</w:t>
      </w:r>
      <w:r w:rsidRPr="00283806">
        <w:rPr>
          <w:spacing w:val="-6"/>
          <w:w w:val="110"/>
        </w:rPr>
        <w:t xml:space="preserve"> </w:t>
      </w:r>
      <w:r w:rsidRPr="00283806">
        <w:rPr>
          <w:spacing w:val="-2"/>
          <w:w w:val="110"/>
        </w:rPr>
        <w:t>the</w:t>
      </w:r>
      <w:r w:rsidRPr="00283806">
        <w:rPr>
          <w:spacing w:val="-6"/>
          <w:w w:val="110"/>
        </w:rPr>
        <w:t xml:space="preserve"> </w:t>
      </w:r>
      <w:r w:rsidRPr="00283806">
        <w:rPr>
          <w:spacing w:val="-2"/>
          <w:w w:val="110"/>
        </w:rPr>
        <w:t>United</w:t>
      </w:r>
      <w:r w:rsidRPr="00283806">
        <w:rPr>
          <w:spacing w:val="-6"/>
          <w:w w:val="110"/>
        </w:rPr>
        <w:t xml:space="preserve"> </w:t>
      </w:r>
      <w:r w:rsidRPr="00283806">
        <w:rPr>
          <w:spacing w:val="-2"/>
          <w:w w:val="110"/>
        </w:rPr>
        <w:t>States</w:t>
      </w:r>
      <w:r w:rsidRPr="00283806">
        <w:rPr>
          <w:spacing w:val="-6"/>
          <w:w w:val="110"/>
        </w:rPr>
        <w:t xml:space="preserve"> </w:t>
      </w:r>
      <w:r w:rsidRPr="00283806">
        <w:rPr>
          <w:spacing w:val="-2"/>
          <w:w w:val="110"/>
        </w:rPr>
        <w:t>is</w:t>
      </w:r>
      <w:r w:rsidRPr="00283806">
        <w:rPr>
          <w:spacing w:val="-6"/>
          <w:w w:val="110"/>
        </w:rPr>
        <w:t xml:space="preserve"> </w:t>
      </w:r>
      <w:r w:rsidRPr="00283806">
        <w:rPr>
          <w:spacing w:val="-2"/>
          <w:w w:val="110"/>
        </w:rPr>
        <w:t xml:space="preserve">phasing </w:t>
      </w:r>
      <w:r w:rsidRPr="00283806">
        <w:rPr>
          <w:w w:val="110"/>
        </w:rPr>
        <w:t xml:space="preserve">down HFC production and </w:t>
      </w:r>
      <w:r w:rsidRPr="00283806">
        <w:rPr>
          <w:spacing w:val="-2"/>
          <w:w w:val="110"/>
        </w:rPr>
        <w:t>consumption.</w:t>
      </w:r>
      <w:r w:rsidRPr="00283806">
        <w:rPr>
          <w:spacing w:val="-3"/>
          <w:w w:val="110"/>
        </w:rPr>
        <w:t xml:space="preserve"> </w:t>
      </w:r>
      <w:r w:rsidRPr="00283806">
        <w:rPr>
          <w:spacing w:val="-2"/>
          <w:w w:val="110"/>
        </w:rPr>
        <w:t>The</w:t>
      </w:r>
      <w:r w:rsidRPr="00283806">
        <w:rPr>
          <w:spacing w:val="-3"/>
          <w:w w:val="110"/>
        </w:rPr>
        <w:t xml:space="preserve"> </w:t>
      </w:r>
      <w:r w:rsidRPr="00283806">
        <w:rPr>
          <w:spacing w:val="-2"/>
          <w:w w:val="110"/>
        </w:rPr>
        <w:t>overall</w:t>
      </w:r>
      <w:r w:rsidRPr="00283806">
        <w:rPr>
          <w:spacing w:val="-3"/>
          <w:w w:val="110"/>
        </w:rPr>
        <w:t xml:space="preserve"> </w:t>
      </w:r>
      <w:r w:rsidRPr="00283806">
        <w:rPr>
          <w:spacing w:val="-2"/>
          <w:w w:val="110"/>
        </w:rPr>
        <w:t>phasedown</w:t>
      </w:r>
      <w:r w:rsidRPr="00283806">
        <w:rPr>
          <w:spacing w:val="-3"/>
          <w:w w:val="110"/>
        </w:rPr>
        <w:t xml:space="preserve"> </w:t>
      </w:r>
      <w:r w:rsidRPr="00283806">
        <w:rPr>
          <w:spacing w:val="-2"/>
          <w:w w:val="110"/>
        </w:rPr>
        <w:t xml:space="preserve">of </w:t>
      </w:r>
      <w:r w:rsidRPr="00283806">
        <w:rPr>
          <w:w w:val="110"/>
        </w:rPr>
        <w:t>HFCs will result in changes in</w:t>
      </w:r>
    </w:p>
    <w:p w14:paraId="4787B28A" w14:textId="77777777" w:rsidR="00D67C1E" w:rsidRPr="00283806" w:rsidRDefault="001265CA">
      <w:pPr>
        <w:pStyle w:val="BodyText"/>
        <w:spacing w:before="136" w:line="225" w:lineRule="auto"/>
        <w:ind w:left="154" w:right="60"/>
      </w:pPr>
      <w:r w:rsidRPr="00283806">
        <w:br w:type="column"/>
      </w:r>
      <w:r w:rsidRPr="00283806">
        <w:rPr>
          <w:w w:val="105"/>
        </w:rPr>
        <w:t>production and consumption of specific HFCs and blends. Furthermore, the commenter mischaracterizes the</w:t>
      </w:r>
      <w:r w:rsidRPr="00283806">
        <w:rPr>
          <w:spacing w:val="40"/>
          <w:w w:val="105"/>
        </w:rPr>
        <w:t xml:space="preserve"> </w:t>
      </w:r>
      <w:r w:rsidRPr="00283806">
        <w:rPr>
          <w:w w:val="105"/>
        </w:rPr>
        <w:t>relevant factors for this rulemaking. The Agency has provided an analysis of the costs and benefits of this rule for informational purposes and to address</w:t>
      </w:r>
    </w:p>
    <w:p w14:paraId="3BD93352" w14:textId="77777777" w:rsidR="00D67C1E" w:rsidRPr="00283806" w:rsidRDefault="001265CA">
      <w:pPr>
        <w:pStyle w:val="BodyText"/>
        <w:spacing w:line="225" w:lineRule="auto"/>
        <w:ind w:left="154" w:right="15"/>
      </w:pPr>
      <w:r w:rsidRPr="00283806">
        <w:rPr>
          <w:w w:val="105"/>
        </w:rPr>
        <w:t>E.O. requirements. The Agency does not rely on this information as a record base for this rule and would have reached the same conclusions without this analysis. Instead, this rule is focused on serving</w:t>
      </w:r>
      <w:r w:rsidRPr="00283806">
        <w:rPr>
          <w:spacing w:val="40"/>
          <w:w w:val="105"/>
        </w:rPr>
        <w:t xml:space="preserve"> </w:t>
      </w:r>
      <w:r w:rsidRPr="00283806">
        <w:rPr>
          <w:w w:val="105"/>
        </w:rPr>
        <w:t>the statutory purposes identified in subsection (h), which are maximizing reclaiming</w:t>
      </w:r>
      <w:r w:rsidRPr="00283806">
        <w:rPr>
          <w:spacing w:val="40"/>
          <w:w w:val="105"/>
        </w:rPr>
        <w:t xml:space="preserve"> </w:t>
      </w:r>
      <w:r w:rsidRPr="00283806">
        <w:rPr>
          <w:w w:val="105"/>
        </w:rPr>
        <w:t>and</w:t>
      </w:r>
      <w:r w:rsidRPr="00283806">
        <w:rPr>
          <w:spacing w:val="40"/>
          <w:w w:val="105"/>
        </w:rPr>
        <w:t xml:space="preserve"> </w:t>
      </w:r>
      <w:r w:rsidRPr="00283806">
        <w:rPr>
          <w:w w:val="105"/>
        </w:rPr>
        <w:t>minimizing</w:t>
      </w:r>
      <w:r w:rsidRPr="00283806">
        <w:rPr>
          <w:spacing w:val="40"/>
          <w:w w:val="105"/>
        </w:rPr>
        <w:t xml:space="preserve"> </w:t>
      </w:r>
      <w:r w:rsidRPr="00283806">
        <w:rPr>
          <w:w w:val="105"/>
        </w:rPr>
        <w:t>the</w:t>
      </w:r>
      <w:r w:rsidRPr="00283806">
        <w:rPr>
          <w:spacing w:val="40"/>
          <w:w w:val="105"/>
        </w:rPr>
        <w:t xml:space="preserve"> </w:t>
      </w:r>
      <w:r w:rsidRPr="00283806">
        <w:rPr>
          <w:w w:val="105"/>
        </w:rPr>
        <w:t>release of regulated substances from equipment and ensuring the safety of technicians</w:t>
      </w:r>
      <w:r w:rsidRPr="00283806">
        <w:rPr>
          <w:spacing w:val="40"/>
          <w:w w:val="105"/>
        </w:rPr>
        <w:t xml:space="preserve"> </w:t>
      </w:r>
      <w:r w:rsidRPr="00283806">
        <w:rPr>
          <w:w w:val="105"/>
        </w:rPr>
        <w:t>and consumers.</w:t>
      </w:r>
    </w:p>
    <w:p w14:paraId="1692ACCE" w14:textId="77777777" w:rsidR="00D67C1E" w:rsidRPr="00283806" w:rsidRDefault="001265CA">
      <w:pPr>
        <w:pStyle w:val="BodyText"/>
        <w:spacing w:line="176" w:lineRule="exact"/>
        <w:ind w:left="334"/>
      </w:pPr>
      <w:r w:rsidRPr="00283806">
        <w:rPr>
          <w:w w:val="105"/>
        </w:rPr>
        <w:t>EPA</w:t>
      </w:r>
      <w:r w:rsidRPr="00283806">
        <w:rPr>
          <w:spacing w:val="7"/>
          <w:w w:val="105"/>
        </w:rPr>
        <w:t xml:space="preserve"> </w:t>
      </w:r>
      <w:r w:rsidRPr="00283806">
        <w:rPr>
          <w:w w:val="105"/>
        </w:rPr>
        <w:t>disagrees</w:t>
      </w:r>
      <w:r w:rsidRPr="00283806">
        <w:rPr>
          <w:spacing w:val="7"/>
          <w:w w:val="105"/>
        </w:rPr>
        <w:t xml:space="preserve"> </w:t>
      </w:r>
      <w:r w:rsidRPr="00283806">
        <w:rPr>
          <w:w w:val="105"/>
        </w:rPr>
        <w:t>that</w:t>
      </w:r>
      <w:r w:rsidRPr="00283806">
        <w:rPr>
          <w:spacing w:val="8"/>
          <w:w w:val="105"/>
        </w:rPr>
        <w:t xml:space="preserve"> </w:t>
      </w:r>
      <w:r w:rsidRPr="00283806">
        <w:rPr>
          <w:w w:val="105"/>
        </w:rPr>
        <w:t>the</w:t>
      </w:r>
      <w:r w:rsidRPr="00283806">
        <w:rPr>
          <w:spacing w:val="7"/>
          <w:w w:val="105"/>
        </w:rPr>
        <w:t xml:space="preserve"> </w:t>
      </w:r>
      <w:r w:rsidRPr="00283806">
        <w:rPr>
          <w:w w:val="105"/>
        </w:rPr>
        <w:t>proposed</w:t>
      </w:r>
      <w:r w:rsidRPr="00283806">
        <w:rPr>
          <w:spacing w:val="8"/>
          <w:w w:val="105"/>
        </w:rPr>
        <w:t xml:space="preserve"> </w:t>
      </w:r>
      <w:r w:rsidRPr="00283806">
        <w:rPr>
          <w:spacing w:val="-4"/>
          <w:w w:val="105"/>
        </w:rPr>
        <w:t>rule</w:t>
      </w:r>
    </w:p>
    <w:p w14:paraId="13FC106A" w14:textId="77777777" w:rsidR="00D67C1E" w:rsidRPr="00283806" w:rsidRDefault="001265CA">
      <w:pPr>
        <w:pStyle w:val="BodyText"/>
        <w:spacing w:before="1" w:line="225" w:lineRule="auto"/>
        <w:ind w:left="154" w:right="6"/>
      </w:pPr>
      <w:r w:rsidRPr="00283806">
        <w:rPr>
          <w:w w:val="110"/>
        </w:rPr>
        <w:t xml:space="preserve">disincentivizes the development and deployment of low-GWP blends. As </w:t>
      </w:r>
      <w:r w:rsidRPr="00283806">
        <w:t>noted elsewhere, the overall phasedown</w:t>
      </w:r>
      <w:r w:rsidRPr="00283806">
        <w:rPr>
          <w:spacing w:val="80"/>
          <w:w w:val="150"/>
        </w:rPr>
        <w:t xml:space="preserve"> </w:t>
      </w:r>
      <w:r w:rsidRPr="00283806">
        <w:rPr>
          <w:w w:val="110"/>
        </w:rPr>
        <w:t>of</w:t>
      </w:r>
      <w:r w:rsidRPr="00283806">
        <w:rPr>
          <w:spacing w:val="-4"/>
          <w:w w:val="110"/>
        </w:rPr>
        <w:t xml:space="preserve"> </w:t>
      </w:r>
      <w:r w:rsidRPr="00283806">
        <w:rPr>
          <w:w w:val="110"/>
        </w:rPr>
        <w:t>HFC</w:t>
      </w:r>
      <w:r w:rsidRPr="00283806">
        <w:rPr>
          <w:spacing w:val="-4"/>
          <w:w w:val="110"/>
        </w:rPr>
        <w:t xml:space="preserve"> </w:t>
      </w:r>
      <w:r w:rsidRPr="00283806">
        <w:rPr>
          <w:w w:val="110"/>
        </w:rPr>
        <w:t>production</w:t>
      </w:r>
      <w:r w:rsidRPr="00283806">
        <w:rPr>
          <w:spacing w:val="-4"/>
          <w:w w:val="110"/>
        </w:rPr>
        <w:t xml:space="preserve"> </w:t>
      </w:r>
      <w:r w:rsidRPr="00283806">
        <w:rPr>
          <w:w w:val="110"/>
        </w:rPr>
        <w:t>and</w:t>
      </w:r>
      <w:r w:rsidRPr="00283806">
        <w:rPr>
          <w:spacing w:val="-4"/>
          <w:w w:val="110"/>
        </w:rPr>
        <w:t xml:space="preserve"> </w:t>
      </w:r>
      <w:r w:rsidRPr="00283806">
        <w:rPr>
          <w:w w:val="110"/>
        </w:rPr>
        <w:t>consumption,</w:t>
      </w:r>
      <w:r w:rsidRPr="00283806">
        <w:rPr>
          <w:spacing w:val="-4"/>
          <w:w w:val="110"/>
        </w:rPr>
        <w:t xml:space="preserve"> </w:t>
      </w:r>
      <w:r w:rsidRPr="00283806">
        <w:rPr>
          <w:w w:val="110"/>
        </w:rPr>
        <w:t xml:space="preserve">as </w:t>
      </w:r>
      <w:r w:rsidRPr="00283806">
        <w:rPr>
          <w:spacing w:val="-2"/>
          <w:w w:val="110"/>
        </w:rPr>
        <w:t>well</w:t>
      </w:r>
      <w:r w:rsidRPr="00283806">
        <w:rPr>
          <w:spacing w:val="-9"/>
          <w:w w:val="110"/>
        </w:rPr>
        <w:t xml:space="preserve"> </w:t>
      </w:r>
      <w:r w:rsidRPr="00283806">
        <w:rPr>
          <w:spacing w:val="-2"/>
          <w:w w:val="110"/>
        </w:rPr>
        <w:t>as</w:t>
      </w:r>
      <w:r w:rsidRPr="00283806">
        <w:rPr>
          <w:spacing w:val="-9"/>
          <w:w w:val="110"/>
        </w:rPr>
        <w:t xml:space="preserve"> </w:t>
      </w:r>
      <w:r w:rsidRPr="00283806">
        <w:rPr>
          <w:spacing w:val="-2"/>
          <w:w w:val="110"/>
        </w:rPr>
        <w:t>the</w:t>
      </w:r>
      <w:r w:rsidRPr="00283806">
        <w:rPr>
          <w:spacing w:val="-9"/>
          <w:w w:val="110"/>
        </w:rPr>
        <w:t xml:space="preserve"> </w:t>
      </w:r>
      <w:r w:rsidRPr="00283806">
        <w:rPr>
          <w:spacing w:val="-2"/>
          <w:w w:val="110"/>
        </w:rPr>
        <w:t>2023</w:t>
      </w:r>
      <w:r w:rsidRPr="00283806">
        <w:rPr>
          <w:spacing w:val="-9"/>
          <w:w w:val="110"/>
        </w:rPr>
        <w:t xml:space="preserve"> </w:t>
      </w:r>
      <w:r w:rsidRPr="00283806">
        <w:rPr>
          <w:spacing w:val="-2"/>
          <w:w w:val="110"/>
        </w:rPr>
        <w:t>Technology</w:t>
      </w:r>
      <w:r w:rsidRPr="00283806">
        <w:rPr>
          <w:spacing w:val="-9"/>
          <w:w w:val="110"/>
        </w:rPr>
        <w:t xml:space="preserve"> </w:t>
      </w:r>
      <w:r w:rsidRPr="00283806">
        <w:rPr>
          <w:spacing w:val="-2"/>
          <w:w w:val="110"/>
        </w:rPr>
        <w:t xml:space="preserve">Transitions </w:t>
      </w:r>
      <w:r w:rsidRPr="00283806">
        <w:rPr>
          <w:w w:val="110"/>
        </w:rPr>
        <w:t>Rule, will affect both the overall supply and demand for virgin HFCs. The Agency does not agree that this rule results in a mismatch of supply and demand. Nor does the Agency consider this rule as contributing to a disincentive for U.S. innovation. The Agency further notes that innovation can</w:t>
      </w:r>
      <w:r w:rsidRPr="00283806">
        <w:rPr>
          <w:spacing w:val="-5"/>
          <w:w w:val="110"/>
        </w:rPr>
        <w:t xml:space="preserve"> </w:t>
      </w:r>
      <w:r w:rsidRPr="00283806">
        <w:rPr>
          <w:w w:val="110"/>
        </w:rPr>
        <w:t>come</w:t>
      </w:r>
      <w:r w:rsidRPr="00283806">
        <w:rPr>
          <w:spacing w:val="-5"/>
          <w:w w:val="110"/>
        </w:rPr>
        <w:t xml:space="preserve"> </w:t>
      </w:r>
      <w:r w:rsidRPr="00283806">
        <w:rPr>
          <w:w w:val="110"/>
        </w:rPr>
        <w:t>in</w:t>
      </w:r>
      <w:r w:rsidRPr="00283806">
        <w:rPr>
          <w:spacing w:val="-5"/>
          <w:w w:val="110"/>
        </w:rPr>
        <w:t xml:space="preserve"> </w:t>
      </w:r>
      <w:r w:rsidRPr="00283806">
        <w:rPr>
          <w:w w:val="110"/>
        </w:rPr>
        <w:t>many</w:t>
      </w:r>
      <w:r w:rsidRPr="00283806">
        <w:rPr>
          <w:spacing w:val="-5"/>
          <w:w w:val="110"/>
        </w:rPr>
        <w:t xml:space="preserve"> </w:t>
      </w:r>
      <w:r w:rsidRPr="00283806">
        <w:rPr>
          <w:w w:val="110"/>
        </w:rPr>
        <w:t>forms.</w:t>
      </w:r>
      <w:r w:rsidRPr="00283806">
        <w:rPr>
          <w:spacing w:val="-5"/>
          <w:w w:val="110"/>
        </w:rPr>
        <w:t xml:space="preserve"> </w:t>
      </w:r>
      <w:r w:rsidRPr="00283806">
        <w:rPr>
          <w:w w:val="110"/>
        </w:rPr>
        <w:t>It</w:t>
      </w:r>
      <w:r w:rsidRPr="00283806">
        <w:rPr>
          <w:spacing w:val="-5"/>
          <w:w w:val="110"/>
        </w:rPr>
        <w:t xml:space="preserve"> </w:t>
      </w:r>
      <w:r w:rsidRPr="00283806">
        <w:rPr>
          <w:w w:val="110"/>
        </w:rPr>
        <w:t>could</w:t>
      </w:r>
      <w:r w:rsidRPr="00283806">
        <w:rPr>
          <w:spacing w:val="-5"/>
          <w:w w:val="110"/>
        </w:rPr>
        <w:t xml:space="preserve"> </w:t>
      </w:r>
      <w:r w:rsidRPr="00283806">
        <w:rPr>
          <w:w w:val="110"/>
        </w:rPr>
        <w:t>be</w:t>
      </w:r>
      <w:r w:rsidRPr="00283806">
        <w:rPr>
          <w:spacing w:val="-5"/>
          <w:w w:val="110"/>
        </w:rPr>
        <w:t xml:space="preserve"> </w:t>
      </w:r>
      <w:r w:rsidRPr="00283806">
        <w:rPr>
          <w:w w:val="110"/>
        </w:rPr>
        <w:t>the introduction of new chemistry, and it also could include better and more efficient ways to recover and reuse HFCs, including through HFC reclamation technologies.</w:t>
      </w:r>
    </w:p>
    <w:p w14:paraId="480E611D" w14:textId="77777777" w:rsidR="00D67C1E" w:rsidRPr="00283806" w:rsidRDefault="001265CA">
      <w:pPr>
        <w:pStyle w:val="BodyText"/>
        <w:spacing w:line="173" w:lineRule="exact"/>
        <w:ind w:left="334"/>
      </w:pPr>
      <w:r w:rsidRPr="00283806">
        <w:rPr>
          <w:w w:val="105"/>
        </w:rPr>
        <w:t>Further,</w:t>
      </w:r>
      <w:r w:rsidRPr="00283806">
        <w:rPr>
          <w:spacing w:val="18"/>
          <w:w w:val="105"/>
        </w:rPr>
        <w:t xml:space="preserve"> </w:t>
      </w:r>
      <w:r w:rsidRPr="00283806">
        <w:rPr>
          <w:w w:val="105"/>
        </w:rPr>
        <w:t>EPA</w:t>
      </w:r>
      <w:r w:rsidRPr="00283806">
        <w:rPr>
          <w:spacing w:val="19"/>
          <w:w w:val="105"/>
        </w:rPr>
        <w:t xml:space="preserve"> </w:t>
      </w:r>
      <w:r w:rsidRPr="00283806">
        <w:rPr>
          <w:w w:val="105"/>
        </w:rPr>
        <w:t>is</w:t>
      </w:r>
      <w:r w:rsidRPr="00283806">
        <w:rPr>
          <w:spacing w:val="18"/>
          <w:w w:val="105"/>
        </w:rPr>
        <w:t xml:space="preserve"> </w:t>
      </w:r>
      <w:r w:rsidRPr="00283806">
        <w:rPr>
          <w:w w:val="105"/>
        </w:rPr>
        <w:t>establishing</w:t>
      </w:r>
      <w:r w:rsidRPr="00283806">
        <w:rPr>
          <w:spacing w:val="19"/>
          <w:w w:val="105"/>
        </w:rPr>
        <w:t xml:space="preserve"> </w:t>
      </w:r>
      <w:r w:rsidRPr="00283806">
        <w:rPr>
          <w:spacing w:val="-10"/>
          <w:w w:val="105"/>
        </w:rPr>
        <w:t>a</w:t>
      </w:r>
    </w:p>
    <w:p w14:paraId="6AB06E9F" w14:textId="77777777" w:rsidR="00D67C1E" w:rsidRPr="00283806" w:rsidRDefault="001265CA">
      <w:pPr>
        <w:pStyle w:val="BodyText"/>
        <w:spacing w:before="4" w:line="225" w:lineRule="auto"/>
        <w:ind w:left="154" w:right="58"/>
      </w:pPr>
      <w:r w:rsidRPr="00283806">
        <w:rPr>
          <w:w w:val="105"/>
        </w:rPr>
        <w:t xml:space="preserve">reporting </w:t>
      </w:r>
      <w:proofErr w:type="gramStart"/>
      <w:r w:rsidRPr="00283806">
        <w:rPr>
          <w:w w:val="105"/>
        </w:rPr>
        <w:t>requirement</w:t>
      </w:r>
      <w:proofErr w:type="gramEnd"/>
      <w:r w:rsidRPr="00283806">
        <w:rPr>
          <w:w w:val="105"/>
        </w:rPr>
        <w:t xml:space="preserve"> in this rulemaking for information related to</w:t>
      </w:r>
      <w:r w:rsidRPr="00283806">
        <w:rPr>
          <w:spacing w:val="40"/>
          <w:w w:val="105"/>
        </w:rPr>
        <w:t xml:space="preserve"> </w:t>
      </w:r>
      <w:r w:rsidRPr="00283806">
        <w:rPr>
          <w:w w:val="105"/>
        </w:rPr>
        <w:t>the availability of reclaimed HFC refrigerants</w:t>
      </w:r>
      <w:r w:rsidRPr="00283806">
        <w:rPr>
          <w:spacing w:val="-7"/>
          <w:w w:val="105"/>
        </w:rPr>
        <w:t xml:space="preserve"> </w:t>
      </w:r>
      <w:r w:rsidRPr="00283806">
        <w:rPr>
          <w:w w:val="105"/>
        </w:rPr>
        <w:t>in</w:t>
      </w:r>
      <w:r w:rsidRPr="00283806">
        <w:rPr>
          <w:spacing w:val="-7"/>
          <w:w w:val="105"/>
        </w:rPr>
        <w:t xml:space="preserve"> </w:t>
      </w:r>
      <w:r w:rsidRPr="00283806">
        <w:rPr>
          <w:w w:val="105"/>
        </w:rPr>
        <w:t>the</w:t>
      </w:r>
      <w:r w:rsidRPr="00283806">
        <w:rPr>
          <w:spacing w:val="-7"/>
          <w:w w:val="105"/>
        </w:rPr>
        <w:t xml:space="preserve"> </w:t>
      </w:r>
      <w:r w:rsidRPr="00283806">
        <w:rPr>
          <w:w w:val="105"/>
        </w:rPr>
        <w:t>supermarket</w:t>
      </w:r>
      <w:r w:rsidRPr="00283806">
        <w:rPr>
          <w:spacing w:val="-7"/>
          <w:w w:val="105"/>
        </w:rPr>
        <w:t xml:space="preserve"> </w:t>
      </w:r>
      <w:r w:rsidRPr="00283806">
        <w:rPr>
          <w:w w:val="105"/>
        </w:rPr>
        <w:t>systems, refrigerated transport, and automatic commercial ice makers subsectors. EPA intends to assess the reported data and consider further evaluating the established requirements for reclaimed HFC refrigerants in the servicing and/or repair of refrigerant-containing equipment in these subsectors.</w:t>
      </w:r>
    </w:p>
    <w:p w14:paraId="0D90C8D8" w14:textId="77777777" w:rsidR="00D67C1E" w:rsidRPr="00283806" w:rsidRDefault="001265CA">
      <w:pPr>
        <w:pStyle w:val="BodyText"/>
        <w:spacing w:line="213" w:lineRule="auto"/>
        <w:ind w:left="154" w:firstLine="180"/>
      </w:pPr>
      <w:r w:rsidRPr="00283806">
        <w:rPr>
          <w:rFonts w:ascii="Book Antiqua"/>
          <w:i/>
          <w:w w:val="105"/>
        </w:rPr>
        <w:t xml:space="preserve">Comment: </w:t>
      </w:r>
      <w:r w:rsidRPr="00283806">
        <w:rPr>
          <w:w w:val="105"/>
        </w:rPr>
        <w:t>One commenter expressed concern</w:t>
      </w:r>
      <w:r w:rsidRPr="00283806">
        <w:rPr>
          <w:spacing w:val="7"/>
          <w:w w:val="105"/>
        </w:rPr>
        <w:t xml:space="preserve"> </w:t>
      </w:r>
      <w:r w:rsidRPr="00283806">
        <w:rPr>
          <w:w w:val="105"/>
        </w:rPr>
        <w:t>that</w:t>
      </w:r>
      <w:r w:rsidRPr="00283806">
        <w:rPr>
          <w:spacing w:val="8"/>
          <w:w w:val="105"/>
        </w:rPr>
        <w:t xml:space="preserve"> </w:t>
      </w:r>
      <w:r w:rsidRPr="00283806">
        <w:rPr>
          <w:w w:val="105"/>
        </w:rPr>
        <w:t>there</w:t>
      </w:r>
      <w:r w:rsidRPr="00283806">
        <w:rPr>
          <w:spacing w:val="7"/>
          <w:w w:val="105"/>
        </w:rPr>
        <w:t xml:space="preserve"> </w:t>
      </w:r>
      <w:r w:rsidRPr="00283806">
        <w:rPr>
          <w:w w:val="105"/>
        </w:rPr>
        <w:t>is</w:t>
      </w:r>
      <w:r w:rsidRPr="00283806">
        <w:rPr>
          <w:spacing w:val="8"/>
          <w:w w:val="105"/>
        </w:rPr>
        <w:t xml:space="preserve"> </w:t>
      </w:r>
      <w:r w:rsidRPr="00283806">
        <w:rPr>
          <w:w w:val="105"/>
        </w:rPr>
        <w:t>no</w:t>
      </w:r>
      <w:r w:rsidRPr="00283806">
        <w:rPr>
          <w:spacing w:val="7"/>
          <w:w w:val="105"/>
        </w:rPr>
        <w:t xml:space="preserve"> </w:t>
      </w:r>
      <w:r w:rsidRPr="00283806">
        <w:rPr>
          <w:w w:val="105"/>
        </w:rPr>
        <w:t>plan</w:t>
      </w:r>
      <w:r w:rsidRPr="00283806">
        <w:rPr>
          <w:spacing w:val="8"/>
          <w:w w:val="105"/>
        </w:rPr>
        <w:t xml:space="preserve"> </w:t>
      </w:r>
      <w:r w:rsidRPr="00283806">
        <w:rPr>
          <w:w w:val="105"/>
        </w:rPr>
        <w:t>for</w:t>
      </w:r>
      <w:r w:rsidRPr="00283806">
        <w:rPr>
          <w:spacing w:val="7"/>
          <w:w w:val="105"/>
        </w:rPr>
        <w:t xml:space="preserve"> </w:t>
      </w:r>
      <w:r w:rsidRPr="00283806">
        <w:rPr>
          <w:spacing w:val="-2"/>
          <w:w w:val="105"/>
        </w:rPr>
        <w:t>banned</w:t>
      </w:r>
    </w:p>
    <w:p w14:paraId="0675BC59" w14:textId="77777777" w:rsidR="00D67C1E" w:rsidRPr="00283806" w:rsidRDefault="001265CA">
      <w:pPr>
        <w:pStyle w:val="BodyText"/>
        <w:spacing w:line="225" w:lineRule="auto"/>
        <w:ind w:left="154" w:right="60"/>
      </w:pPr>
      <w:r w:rsidRPr="00283806">
        <w:rPr>
          <w:w w:val="105"/>
        </w:rPr>
        <w:t>virgin refrigerants that can no longer be used for service in the proposed sectors. The commenter claimed that these</w:t>
      </w:r>
      <w:r w:rsidRPr="00283806">
        <w:rPr>
          <w:spacing w:val="80"/>
          <w:w w:val="105"/>
        </w:rPr>
        <w:t xml:space="preserve"> </w:t>
      </w:r>
      <w:r w:rsidRPr="00283806">
        <w:rPr>
          <w:w w:val="105"/>
        </w:rPr>
        <w:t>virgin refrigerants would have no value. The commenter stated that EPA has not done research to determine the quantity of HFCs currently stockpiled in the country (imported before the AIM Act) and that this quantity is large. The commenter recommended a carbon credit program for destroyed HFCs and stated that without such a program the price of virgin HFCs will drastically decline as distributors with stockpiles</w:t>
      </w:r>
      <w:r w:rsidRPr="00283806">
        <w:rPr>
          <w:spacing w:val="40"/>
          <w:w w:val="105"/>
        </w:rPr>
        <w:t xml:space="preserve"> </w:t>
      </w:r>
      <w:r w:rsidRPr="00283806">
        <w:rPr>
          <w:w w:val="105"/>
        </w:rPr>
        <w:t>sell this material, limiting the number of system retrofits to lower-GWP</w:t>
      </w:r>
    </w:p>
    <w:p w14:paraId="6DC74672" w14:textId="77777777" w:rsidR="00D67C1E" w:rsidRPr="00283806" w:rsidRDefault="001265CA">
      <w:pPr>
        <w:pStyle w:val="BodyText"/>
        <w:spacing w:before="135" w:line="225" w:lineRule="auto"/>
        <w:ind w:left="145" w:right="131"/>
      </w:pPr>
      <w:r w:rsidRPr="00283806">
        <w:br w:type="column"/>
      </w:r>
      <w:r w:rsidRPr="00283806">
        <w:rPr>
          <w:w w:val="105"/>
        </w:rPr>
        <w:t>refrigerants. The commenter noted that this would continue until late 2027, at which point companies would be forced to change or use expensive and scarce refrigerant to service equipment, leaving considerable virgin material with no value and no destruction and carbon credit program. The commenter questioned if there was a need to speed up</w:t>
      </w:r>
      <w:r w:rsidRPr="00283806">
        <w:rPr>
          <w:spacing w:val="40"/>
          <w:w w:val="105"/>
        </w:rPr>
        <w:t xml:space="preserve"> </w:t>
      </w:r>
      <w:r w:rsidRPr="00283806">
        <w:rPr>
          <w:w w:val="105"/>
        </w:rPr>
        <w:t>the</w:t>
      </w:r>
      <w:r w:rsidRPr="00283806">
        <w:rPr>
          <w:spacing w:val="40"/>
          <w:w w:val="105"/>
        </w:rPr>
        <w:t xml:space="preserve"> </w:t>
      </w:r>
      <w:r w:rsidRPr="00283806">
        <w:rPr>
          <w:w w:val="105"/>
        </w:rPr>
        <w:t>HFC</w:t>
      </w:r>
      <w:r w:rsidRPr="00283806">
        <w:rPr>
          <w:spacing w:val="40"/>
          <w:w w:val="105"/>
        </w:rPr>
        <w:t xml:space="preserve"> </w:t>
      </w:r>
      <w:r w:rsidRPr="00283806">
        <w:rPr>
          <w:w w:val="105"/>
        </w:rPr>
        <w:t>phasedown</w:t>
      </w:r>
      <w:r w:rsidRPr="00283806">
        <w:rPr>
          <w:spacing w:val="40"/>
          <w:w w:val="105"/>
        </w:rPr>
        <w:t xml:space="preserve"> </w:t>
      </w:r>
      <w:r w:rsidRPr="00283806">
        <w:rPr>
          <w:w w:val="105"/>
        </w:rPr>
        <w:t>that</w:t>
      </w:r>
      <w:r w:rsidRPr="00283806">
        <w:rPr>
          <w:spacing w:val="40"/>
          <w:w w:val="105"/>
        </w:rPr>
        <w:t xml:space="preserve"> </w:t>
      </w:r>
      <w:r w:rsidRPr="00283806">
        <w:rPr>
          <w:w w:val="105"/>
        </w:rPr>
        <w:t>is</w:t>
      </w:r>
      <w:r w:rsidRPr="00283806">
        <w:rPr>
          <w:spacing w:val="40"/>
          <w:w w:val="105"/>
        </w:rPr>
        <w:t xml:space="preserve"> </w:t>
      </w:r>
      <w:r w:rsidRPr="00283806">
        <w:rPr>
          <w:w w:val="105"/>
        </w:rPr>
        <w:t>already in place.</w:t>
      </w:r>
    </w:p>
    <w:p w14:paraId="10E67263" w14:textId="77777777" w:rsidR="00D67C1E" w:rsidRPr="00283806" w:rsidRDefault="001265CA">
      <w:pPr>
        <w:pStyle w:val="BodyText"/>
        <w:spacing w:line="176" w:lineRule="exact"/>
        <w:ind w:left="325"/>
      </w:pPr>
      <w:r w:rsidRPr="00283806">
        <w:rPr>
          <w:w w:val="105"/>
        </w:rPr>
        <w:t>Another</w:t>
      </w:r>
      <w:r w:rsidRPr="00283806">
        <w:rPr>
          <w:spacing w:val="4"/>
          <w:w w:val="105"/>
        </w:rPr>
        <w:t xml:space="preserve"> </w:t>
      </w:r>
      <w:r w:rsidRPr="00283806">
        <w:rPr>
          <w:w w:val="105"/>
        </w:rPr>
        <w:t>commenter</w:t>
      </w:r>
      <w:r w:rsidRPr="00283806">
        <w:rPr>
          <w:spacing w:val="4"/>
          <w:w w:val="105"/>
        </w:rPr>
        <w:t xml:space="preserve"> </w:t>
      </w:r>
      <w:r w:rsidRPr="00283806">
        <w:rPr>
          <w:w w:val="105"/>
        </w:rPr>
        <w:t>stated</w:t>
      </w:r>
      <w:r w:rsidRPr="00283806">
        <w:rPr>
          <w:spacing w:val="4"/>
          <w:w w:val="105"/>
        </w:rPr>
        <w:t xml:space="preserve"> </w:t>
      </w:r>
      <w:r w:rsidRPr="00283806">
        <w:rPr>
          <w:w w:val="105"/>
        </w:rPr>
        <w:t>that</w:t>
      </w:r>
      <w:r w:rsidRPr="00283806">
        <w:rPr>
          <w:spacing w:val="4"/>
          <w:w w:val="105"/>
        </w:rPr>
        <w:t xml:space="preserve"> </w:t>
      </w:r>
      <w:r w:rsidRPr="00283806">
        <w:rPr>
          <w:spacing w:val="-5"/>
          <w:w w:val="105"/>
        </w:rPr>
        <w:t>the</w:t>
      </w:r>
    </w:p>
    <w:p w14:paraId="73BEF3E3" w14:textId="77777777" w:rsidR="00D67C1E" w:rsidRPr="00283806" w:rsidRDefault="001265CA">
      <w:pPr>
        <w:pStyle w:val="BodyText"/>
        <w:spacing w:before="4" w:line="225" w:lineRule="auto"/>
        <w:ind w:left="145" w:right="209"/>
      </w:pPr>
      <w:proofErr w:type="gramStart"/>
      <w:r w:rsidRPr="00283806">
        <w:rPr>
          <w:w w:val="105"/>
        </w:rPr>
        <w:t>requirements</w:t>
      </w:r>
      <w:proofErr w:type="gramEnd"/>
      <w:r w:rsidRPr="00283806">
        <w:rPr>
          <w:w w:val="105"/>
        </w:rPr>
        <w:t xml:space="preserve"> for using reclaimed HFC refrigerants for refrigerant-containing equipment in certain RACHP subsectors could have adverse effects on existing allowance holders by denying them customers and therefore harming business plans and investments.</w:t>
      </w:r>
    </w:p>
    <w:p w14:paraId="7F9F46F1" w14:textId="77777777" w:rsidR="00D67C1E" w:rsidRPr="00283806" w:rsidRDefault="001265CA">
      <w:pPr>
        <w:pStyle w:val="BodyText"/>
        <w:spacing w:line="213" w:lineRule="auto"/>
        <w:ind w:left="145" w:right="271" w:firstLine="180"/>
      </w:pPr>
      <w:r w:rsidRPr="00283806">
        <w:rPr>
          <w:rFonts w:ascii="Book Antiqua"/>
          <w:i/>
          <w:w w:val="105"/>
        </w:rPr>
        <w:t xml:space="preserve">Response: </w:t>
      </w:r>
      <w:r w:rsidRPr="00283806">
        <w:rPr>
          <w:w w:val="105"/>
        </w:rPr>
        <w:t>EPA disagrees that a specific plan is needed for the virgin</w:t>
      </w:r>
    </w:p>
    <w:p w14:paraId="1C7198F1" w14:textId="77777777" w:rsidR="00D67C1E" w:rsidRPr="00283806" w:rsidRDefault="001265CA">
      <w:pPr>
        <w:pStyle w:val="BodyText"/>
        <w:spacing w:line="225" w:lineRule="auto"/>
        <w:ind w:left="145" w:right="171"/>
      </w:pPr>
      <w:r w:rsidRPr="00283806">
        <w:rPr>
          <w:w w:val="105"/>
        </w:rPr>
        <w:t>HFCs that would have been used for the servicing and/or repair of refrigerant- containing equipment in the covered RACHP subsectors where this rule requires that those activities be done with</w:t>
      </w:r>
      <w:r w:rsidRPr="00283806">
        <w:rPr>
          <w:spacing w:val="40"/>
          <w:w w:val="105"/>
        </w:rPr>
        <w:t xml:space="preserve"> </w:t>
      </w:r>
      <w:r w:rsidRPr="00283806">
        <w:rPr>
          <w:w w:val="105"/>
        </w:rPr>
        <w:t>reclaimed</w:t>
      </w:r>
      <w:r w:rsidRPr="00283806">
        <w:rPr>
          <w:spacing w:val="40"/>
          <w:w w:val="105"/>
        </w:rPr>
        <w:t xml:space="preserve"> </w:t>
      </w:r>
      <w:r w:rsidRPr="00283806">
        <w:rPr>
          <w:w w:val="105"/>
        </w:rPr>
        <w:t>HFCs.</w:t>
      </w:r>
      <w:r w:rsidRPr="00283806">
        <w:rPr>
          <w:spacing w:val="40"/>
          <w:w w:val="105"/>
        </w:rPr>
        <w:t xml:space="preserve"> </w:t>
      </w:r>
      <w:r w:rsidRPr="00283806">
        <w:rPr>
          <w:w w:val="105"/>
        </w:rPr>
        <w:t>EPA</w:t>
      </w:r>
      <w:r w:rsidRPr="00283806">
        <w:rPr>
          <w:spacing w:val="40"/>
          <w:w w:val="105"/>
        </w:rPr>
        <w:t xml:space="preserve"> </w:t>
      </w:r>
      <w:r w:rsidRPr="00283806">
        <w:rPr>
          <w:w w:val="105"/>
        </w:rPr>
        <w:t>also disagrees that these virgin HFCs would have</w:t>
      </w:r>
      <w:r w:rsidRPr="00283806">
        <w:rPr>
          <w:spacing w:val="40"/>
          <w:w w:val="105"/>
        </w:rPr>
        <w:t xml:space="preserve"> </w:t>
      </w:r>
      <w:r w:rsidRPr="00283806">
        <w:rPr>
          <w:w w:val="105"/>
        </w:rPr>
        <w:t>no</w:t>
      </w:r>
      <w:r w:rsidRPr="00283806">
        <w:rPr>
          <w:spacing w:val="40"/>
          <w:w w:val="105"/>
        </w:rPr>
        <w:t xml:space="preserve"> </w:t>
      </w:r>
      <w:r w:rsidRPr="00283806">
        <w:rPr>
          <w:w w:val="105"/>
        </w:rPr>
        <w:t>value,</w:t>
      </w:r>
      <w:r w:rsidRPr="00283806">
        <w:rPr>
          <w:spacing w:val="40"/>
          <w:w w:val="105"/>
        </w:rPr>
        <w:t xml:space="preserve"> </w:t>
      </w:r>
      <w:r w:rsidRPr="00283806">
        <w:rPr>
          <w:w w:val="105"/>
        </w:rPr>
        <w:t>as</w:t>
      </w:r>
      <w:r w:rsidRPr="00283806">
        <w:rPr>
          <w:spacing w:val="40"/>
          <w:w w:val="105"/>
        </w:rPr>
        <w:t xml:space="preserve"> </w:t>
      </w:r>
      <w:r w:rsidRPr="00283806">
        <w:rPr>
          <w:w w:val="105"/>
        </w:rPr>
        <w:t>they</w:t>
      </w:r>
      <w:r w:rsidRPr="00283806">
        <w:rPr>
          <w:spacing w:val="40"/>
          <w:w w:val="105"/>
        </w:rPr>
        <w:t xml:space="preserve"> </w:t>
      </w:r>
      <w:r w:rsidRPr="00283806">
        <w:rPr>
          <w:w w:val="105"/>
        </w:rPr>
        <w:t>could</w:t>
      </w:r>
      <w:r w:rsidRPr="00283806">
        <w:rPr>
          <w:spacing w:val="40"/>
          <w:w w:val="105"/>
        </w:rPr>
        <w:t xml:space="preserve"> </w:t>
      </w:r>
      <w:r w:rsidRPr="00283806">
        <w:rPr>
          <w:w w:val="105"/>
        </w:rPr>
        <w:t>still</w:t>
      </w:r>
      <w:r w:rsidRPr="00283806">
        <w:rPr>
          <w:spacing w:val="40"/>
          <w:w w:val="105"/>
        </w:rPr>
        <w:t xml:space="preserve"> </w:t>
      </w:r>
      <w:r w:rsidRPr="00283806">
        <w:rPr>
          <w:w w:val="105"/>
        </w:rPr>
        <w:t>be used other applications, such as the servicing and/or repair of refrigerant- containing equipment in other RACHP subsectors. Furthermore, the Agency is not at this time finalizing requirements for the initial charge of refrigerant- containing equipment, and the virgin HFCs could be used in these cases. EPA notes that the requirements to service and/or repair refrigerant-containing equipment in the supermarket systems, refrigerated transport, and automatic commercial ice makers subsectors will</w:t>
      </w:r>
      <w:r w:rsidRPr="00283806">
        <w:rPr>
          <w:spacing w:val="40"/>
          <w:w w:val="105"/>
        </w:rPr>
        <w:t xml:space="preserve"> </w:t>
      </w:r>
      <w:r w:rsidRPr="00283806">
        <w:rPr>
          <w:w w:val="105"/>
        </w:rPr>
        <w:t xml:space="preserve">be effective beginning January 1, 2029. Regulated entities would have approximately four years to determine how to best use any remaining virgin HFCs that they own, which includes the option to continue servicing and/or repairing refrigerant-containing equipment with any virgin HFCs they own until these requirements are </w:t>
      </w:r>
      <w:r w:rsidRPr="00283806">
        <w:rPr>
          <w:spacing w:val="-2"/>
          <w:w w:val="105"/>
        </w:rPr>
        <w:t>effective.</w:t>
      </w:r>
    </w:p>
    <w:p w14:paraId="4D052619" w14:textId="77777777" w:rsidR="00D67C1E" w:rsidRPr="00283806" w:rsidRDefault="001265CA">
      <w:pPr>
        <w:pStyle w:val="BodyText"/>
        <w:spacing w:line="169" w:lineRule="exact"/>
        <w:ind w:left="325"/>
      </w:pPr>
      <w:r w:rsidRPr="00283806">
        <w:rPr>
          <w:w w:val="105"/>
        </w:rPr>
        <w:t>The</w:t>
      </w:r>
      <w:r w:rsidRPr="00283806">
        <w:rPr>
          <w:spacing w:val="13"/>
          <w:w w:val="105"/>
        </w:rPr>
        <w:t xml:space="preserve"> </w:t>
      </w:r>
      <w:r w:rsidRPr="00283806">
        <w:rPr>
          <w:w w:val="105"/>
        </w:rPr>
        <w:t>Agency</w:t>
      </w:r>
      <w:r w:rsidRPr="00283806">
        <w:rPr>
          <w:spacing w:val="13"/>
          <w:w w:val="105"/>
        </w:rPr>
        <w:t xml:space="preserve"> </w:t>
      </w:r>
      <w:r w:rsidRPr="00283806">
        <w:rPr>
          <w:w w:val="105"/>
        </w:rPr>
        <w:t>disagrees</w:t>
      </w:r>
      <w:r w:rsidRPr="00283806">
        <w:rPr>
          <w:spacing w:val="13"/>
          <w:w w:val="105"/>
        </w:rPr>
        <w:t xml:space="preserve"> </w:t>
      </w:r>
      <w:r w:rsidRPr="00283806">
        <w:rPr>
          <w:w w:val="105"/>
        </w:rPr>
        <w:t>with</w:t>
      </w:r>
      <w:r w:rsidRPr="00283806">
        <w:rPr>
          <w:spacing w:val="13"/>
          <w:w w:val="105"/>
        </w:rPr>
        <w:t xml:space="preserve"> </w:t>
      </w:r>
      <w:r w:rsidRPr="00283806">
        <w:rPr>
          <w:w w:val="105"/>
        </w:rPr>
        <w:t>the</w:t>
      </w:r>
      <w:r w:rsidRPr="00283806">
        <w:rPr>
          <w:spacing w:val="13"/>
          <w:w w:val="105"/>
        </w:rPr>
        <w:t xml:space="preserve"> </w:t>
      </w:r>
      <w:r w:rsidRPr="00283806">
        <w:rPr>
          <w:spacing w:val="-4"/>
          <w:w w:val="105"/>
        </w:rPr>
        <w:t>need</w:t>
      </w:r>
    </w:p>
    <w:p w14:paraId="59937109" w14:textId="77777777" w:rsidR="00D67C1E" w:rsidRPr="00283806" w:rsidRDefault="001265CA">
      <w:pPr>
        <w:pStyle w:val="BodyText"/>
        <w:spacing w:line="225" w:lineRule="auto"/>
        <w:ind w:left="145" w:right="138"/>
      </w:pPr>
      <w:r w:rsidRPr="00283806">
        <w:rPr>
          <w:w w:val="105"/>
        </w:rPr>
        <w:t>to establish a destruction program for virgin HFCs for generating carbon</w:t>
      </w:r>
      <w:r w:rsidRPr="00283806">
        <w:rPr>
          <w:spacing w:val="40"/>
          <w:w w:val="105"/>
        </w:rPr>
        <w:t xml:space="preserve"> </w:t>
      </w:r>
      <w:proofErr w:type="gramStart"/>
      <w:r w:rsidRPr="00283806">
        <w:rPr>
          <w:w w:val="105"/>
        </w:rPr>
        <w:t>credits</w:t>
      </w:r>
      <w:proofErr w:type="gramEnd"/>
      <w:r w:rsidRPr="00283806">
        <w:rPr>
          <w:w w:val="105"/>
        </w:rPr>
        <w:t>. As stated above, EPA disagrees with the commenter’s statement that virgin HFCs would lose their value, as they</w:t>
      </w:r>
      <w:r w:rsidRPr="00283806">
        <w:rPr>
          <w:spacing w:val="40"/>
          <w:w w:val="105"/>
        </w:rPr>
        <w:t xml:space="preserve"> </w:t>
      </w:r>
      <w:r w:rsidRPr="00283806">
        <w:rPr>
          <w:w w:val="105"/>
        </w:rPr>
        <w:t>could</w:t>
      </w:r>
      <w:r w:rsidRPr="00283806">
        <w:rPr>
          <w:spacing w:val="40"/>
          <w:w w:val="105"/>
        </w:rPr>
        <w:t xml:space="preserve"> </w:t>
      </w:r>
      <w:r w:rsidRPr="00283806">
        <w:rPr>
          <w:w w:val="105"/>
        </w:rPr>
        <w:t>be</w:t>
      </w:r>
      <w:r w:rsidRPr="00283806">
        <w:rPr>
          <w:spacing w:val="40"/>
          <w:w w:val="105"/>
        </w:rPr>
        <w:t xml:space="preserve"> </w:t>
      </w:r>
      <w:r w:rsidRPr="00283806">
        <w:rPr>
          <w:w w:val="105"/>
        </w:rPr>
        <w:t>used</w:t>
      </w:r>
      <w:r w:rsidRPr="00283806">
        <w:rPr>
          <w:spacing w:val="40"/>
          <w:w w:val="105"/>
        </w:rPr>
        <w:t xml:space="preserve"> </w:t>
      </w:r>
      <w:r w:rsidRPr="00283806">
        <w:rPr>
          <w:w w:val="105"/>
        </w:rPr>
        <w:t>in</w:t>
      </w:r>
      <w:r w:rsidRPr="00283806">
        <w:rPr>
          <w:spacing w:val="40"/>
          <w:w w:val="105"/>
        </w:rPr>
        <w:t xml:space="preserve"> </w:t>
      </w:r>
      <w:r w:rsidRPr="00283806">
        <w:rPr>
          <w:w w:val="105"/>
        </w:rPr>
        <w:t>other applications. Further, the Agency notes that it has been more than 30 years since the CFC phaseout, yet there is still demand for reclaimed CFCs, indicating there is continued demand for these substances. EPA believes there will continue to be demand for both virgin and reclaimed HFCs as the phasedown progresses and even after the final step</w:t>
      </w:r>
      <w:r w:rsidRPr="00283806">
        <w:rPr>
          <w:spacing w:val="40"/>
          <w:w w:val="105"/>
        </w:rPr>
        <w:t xml:space="preserve"> </w:t>
      </w:r>
      <w:r w:rsidRPr="00283806">
        <w:rPr>
          <w:w w:val="105"/>
        </w:rPr>
        <w:t>of the phasedown, when 15 percent of</w:t>
      </w:r>
    </w:p>
    <w:p w14:paraId="08644BF3"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06" w:space="40"/>
            <w:col w:w="3509" w:space="39"/>
            <w:col w:w="3626"/>
          </w:cols>
        </w:sectPr>
      </w:pPr>
    </w:p>
    <w:p w14:paraId="0AC26F6A" w14:textId="77777777" w:rsidR="00D67C1E" w:rsidRPr="00283806" w:rsidRDefault="001265CA">
      <w:pPr>
        <w:pStyle w:val="BodyText"/>
        <w:spacing w:before="136" w:line="225" w:lineRule="auto"/>
        <w:ind w:right="60"/>
      </w:pPr>
      <w:proofErr w:type="gramStart"/>
      <w:r w:rsidRPr="00283806">
        <w:rPr>
          <w:w w:val="105"/>
        </w:rPr>
        <w:lastRenderedPageBreak/>
        <w:t>the</w:t>
      </w:r>
      <w:proofErr w:type="gramEnd"/>
      <w:r w:rsidRPr="00283806">
        <w:rPr>
          <w:w w:val="105"/>
        </w:rPr>
        <w:t xml:space="preserve"> baseline of production and consumption of virgin HFCs will be allowed. EPA discusses this in a prior response in this section, noting that any such program would, among other</w:t>
      </w:r>
      <w:r w:rsidRPr="00283806">
        <w:rPr>
          <w:spacing w:val="40"/>
          <w:w w:val="105"/>
        </w:rPr>
        <w:t xml:space="preserve"> </w:t>
      </w:r>
      <w:r w:rsidRPr="00283806">
        <w:rPr>
          <w:w w:val="105"/>
        </w:rPr>
        <w:t>things, need to consider additionality of any generated credits and moreover</w:t>
      </w:r>
      <w:r w:rsidRPr="00283806">
        <w:rPr>
          <w:spacing w:val="80"/>
          <w:w w:val="105"/>
        </w:rPr>
        <w:t xml:space="preserve"> </w:t>
      </w:r>
      <w:r w:rsidRPr="00283806">
        <w:rPr>
          <w:w w:val="105"/>
        </w:rPr>
        <w:t>such consideration of carbon credits is outside of the scope of this rulemaking. EPA notes that the phasedown of production and consumption addresses virgin HFCs by reducing the overall</w:t>
      </w:r>
      <w:r w:rsidRPr="00283806">
        <w:rPr>
          <w:spacing w:val="40"/>
          <w:w w:val="105"/>
        </w:rPr>
        <w:t xml:space="preserve"> </w:t>
      </w:r>
      <w:r w:rsidRPr="00283806">
        <w:rPr>
          <w:w w:val="105"/>
        </w:rPr>
        <w:t>levels in a stepwise fashion while not precluding their use generally in a range of acceptable applications. Regarding comments about stockpiles of HFCs in</w:t>
      </w:r>
      <w:r w:rsidRPr="00283806">
        <w:rPr>
          <w:spacing w:val="40"/>
          <w:w w:val="105"/>
        </w:rPr>
        <w:t xml:space="preserve"> </w:t>
      </w:r>
      <w:r w:rsidRPr="00283806">
        <w:rPr>
          <w:w w:val="105"/>
        </w:rPr>
        <w:t>the United States, the Agency responds that as with the CFC phaseout, the</w:t>
      </w:r>
      <w:r w:rsidRPr="00283806">
        <w:rPr>
          <w:spacing w:val="40"/>
          <w:w w:val="105"/>
        </w:rPr>
        <w:t xml:space="preserve"> </w:t>
      </w:r>
      <w:r w:rsidRPr="00283806">
        <w:rPr>
          <w:w w:val="105"/>
        </w:rPr>
        <w:t>Agency anticipates the continuing demand for these HFCs in the multitude of acceptable applications. The 2024 Allocation Rule provides additional</w:t>
      </w:r>
      <w:r w:rsidRPr="00283806">
        <w:rPr>
          <w:spacing w:val="80"/>
          <w:w w:val="105"/>
        </w:rPr>
        <w:t xml:space="preserve"> </w:t>
      </w:r>
      <w:r w:rsidRPr="00283806">
        <w:rPr>
          <w:w w:val="105"/>
        </w:rPr>
        <w:t>detail related to assessing stockpiling</w:t>
      </w:r>
      <w:r w:rsidRPr="00283806">
        <w:rPr>
          <w:spacing w:val="40"/>
          <w:w w:val="105"/>
        </w:rPr>
        <w:t xml:space="preserve"> </w:t>
      </w:r>
      <w:r w:rsidRPr="00283806">
        <w:rPr>
          <w:w w:val="105"/>
        </w:rPr>
        <w:t>and how that is considered in the methodology for allocating</w:t>
      </w:r>
      <w:r w:rsidRPr="00283806">
        <w:rPr>
          <w:spacing w:val="80"/>
          <w:w w:val="105"/>
        </w:rPr>
        <w:t xml:space="preserve"> </w:t>
      </w:r>
      <w:r w:rsidRPr="00283806">
        <w:rPr>
          <w:w w:val="105"/>
        </w:rPr>
        <w:t>allowances.</w:t>
      </w:r>
      <w:r w:rsidRPr="00283806">
        <w:rPr>
          <w:w w:val="105"/>
          <w:position w:val="5"/>
          <w:sz w:val="11"/>
        </w:rPr>
        <w:t>118</w:t>
      </w:r>
      <w:r w:rsidRPr="00283806">
        <w:rPr>
          <w:spacing w:val="40"/>
          <w:w w:val="105"/>
          <w:position w:val="5"/>
          <w:sz w:val="11"/>
        </w:rPr>
        <w:t xml:space="preserve"> </w:t>
      </w:r>
      <w:r w:rsidRPr="00283806">
        <w:rPr>
          <w:w w:val="105"/>
        </w:rPr>
        <w:t xml:space="preserve">EPA notes that allocation of allowances is out of scope for this </w:t>
      </w:r>
      <w:r w:rsidRPr="00283806">
        <w:rPr>
          <w:spacing w:val="-2"/>
          <w:w w:val="105"/>
        </w:rPr>
        <w:t>rulemaking.</w:t>
      </w:r>
    </w:p>
    <w:p w14:paraId="6038E995" w14:textId="77777777" w:rsidR="00D67C1E" w:rsidRPr="00283806" w:rsidRDefault="001265CA">
      <w:pPr>
        <w:pStyle w:val="BodyText"/>
        <w:spacing w:line="170" w:lineRule="exact"/>
        <w:ind w:left="340"/>
      </w:pPr>
      <w:r w:rsidRPr="00283806">
        <w:rPr>
          <w:w w:val="105"/>
        </w:rPr>
        <w:t>EPA</w:t>
      </w:r>
      <w:r w:rsidRPr="00283806">
        <w:rPr>
          <w:spacing w:val="9"/>
          <w:w w:val="105"/>
        </w:rPr>
        <w:t xml:space="preserve"> </w:t>
      </w:r>
      <w:r w:rsidRPr="00283806">
        <w:rPr>
          <w:w w:val="105"/>
        </w:rPr>
        <w:t>disagrees</w:t>
      </w:r>
      <w:r w:rsidRPr="00283806">
        <w:rPr>
          <w:spacing w:val="10"/>
          <w:w w:val="105"/>
        </w:rPr>
        <w:t xml:space="preserve"> </w:t>
      </w:r>
      <w:r w:rsidRPr="00283806">
        <w:rPr>
          <w:w w:val="105"/>
        </w:rPr>
        <w:t>that</w:t>
      </w:r>
      <w:r w:rsidRPr="00283806">
        <w:rPr>
          <w:spacing w:val="9"/>
          <w:w w:val="105"/>
        </w:rPr>
        <w:t xml:space="preserve"> </w:t>
      </w:r>
      <w:r w:rsidRPr="00283806">
        <w:rPr>
          <w:w w:val="105"/>
        </w:rPr>
        <w:t>this</w:t>
      </w:r>
      <w:r w:rsidRPr="00283806">
        <w:rPr>
          <w:spacing w:val="10"/>
          <w:w w:val="105"/>
        </w:rPr>
        <w:t xml:space="preserve"> </w:t>
      </w:r>
      <w:r w:rsidRPr="00283806">
        <w:rPr>
          <w:spacing w:val="-2"/>
          <w:w w:val="105"/>
        </w:rPr>
        <w:t>rulemaking</w:t>
      </w:r>
    </w:p>
    <w:p w14:paraId="0265DC30" w14:textId="77777777" w:rsidR="00D67C1E" w:rsidRPr="00283806" w:rsidRDefault="001265CA">
      <w:pPr>
        <w:pStyle w:val="BodyText"/>
        <w:spacing w:before="4" w:line="225" w:lineRule="auto"/>
        <w:ind w:right="1"/>
      </w:pPr>
      <w:r w:rsidRPr="00283806">
        <w:rPr>
          <w:w w:val="105"/>
        </w:rPr>
        <w:t>would</w:t>
      </w:r>
      <w:r w:rsidRPr="00283806">
        <w:rPr>
          <w:spacing w:val="40"/>
          <w:w w:val="105"/>
        </w:rPr>
        <w:t xml:space="preserve"> </w:t>
      </w:r>
      <w:r w:rsidRPr="00283806">
        <w:rPr>
          <w:w w:val="105"/>
        </w:rPr>
        <w:t>accelerate</w:t>
      </w:r>
      <w:r w:rsidRPr="00283806">
        <w:rPr>
          <w:spacing w:val="40"/>
          <w:w w:val="105"/>
        </w:rPr>
        <w:t xml:space="preserve"> </w:t>
      </w:r>
      <w:r w:rsidRPr="00283806">
        <w:rPr>
          <w:w w:val="105"/>
        </w:rPr>
        <w:t>the</w:t>
      </w:r>
      <w:r w:rsidRPr="00283806">
        <w:rPr>
          <w:spacing w:val="40"/>
          <w:w w:val="105"/>
        </w:rPr>
        <w:t xml:space="preserve"> </w:t>
      </w:r>
      <w:r w:rsidRPr="00283806">
        <w:rPr>
          <w:w w:val="105"/>
        </w:rPr>
        <w:t>phasedown</w:t>
      </w:r>
      <w:r w:rsidRPr="00283806">
        <w:rPr>
          <w:spacing w:val="40"/>
          <w:w w:val="105"/>
        </w:rPr>
        <w:t xml:space="preserve"> </w:t>
      </w:r>
      <w:r w:rsidRPr="00283806">
        <w:rPr>
          <w:w w:val="105"/>
        </w:rPr>
        <w:t>of HFCs under the AIM Act, which would</w:t>
      </w:r>
      <w:r w:rsidRPr="00283806">
        <w:rPr>
          <w:spacing w:val="40"/>
          <w:w w:val="105"/>
        </w:rPr>
        <w:t xml:space="preserve"> </w:t>
      </w:r>
      <w:r w:rsidRPr="00283806">
        <w:rPr>
          <w:w w:val="105"/>
        </w:rPr>
        <w:t>require meeting specific criteria as provided in subsection (f) of the AIM</w:t>
      </w:r>
      <w:r w:rsidRPr="00283806">
        <w:rPr>
          <w:spacing w:val="80"/>
          <w:w w:val="150"/>
        </w:rPr>
        <w:t xml:space="preserve"> </w:t>
      </w:r>
      <w:r w:rsidRPr="00283806">
        <w:rPr>
          <w:w w:val="105"/>
        </w:rPr>
        <w:t>Act. EPA responds to comments</w:t>
      </w:r>
      <w:r w:rsidRPr="00283806">
        <w:rPr>
          <w:spacing w:val="40"/>
          <w:w w:val="105"/>
        </w:rPr>
        <w:t xml:space="preserve"> </w:t>
      </w:r>
      <w:r w:rsidRPr="00283806">
        <w:rPr>
          <w:w w:val="105"/>
        </w:rPr>
        <w:t xml:space="preserve">regarding the acceleration of the phasedown in an earlier response in this </w:t>
      </w:r>
      <w:r w:rsidRPr="00283806">
        <w:rPr>
          <w:spacing w:val="-2"/>
          <w:w w:val="105"/>
        </w:rPr>
        <w:t>section.</w:t>
      </w:r>
    </w:p>
    <w:p w14:paraId="18BCD5DC" w14:textId="77777777" w:rsidR="00D67C1E" w:rsidRPr="00283806" w:rsidRDefault="001265CA">
      <w:pPr>
        <w:pStyle w:val="BodyText"/>
        <w:spacing w:line="177" w:lineRule="exact"/>
        <w:ind w:left="340"/>
      </w:pPr>
      <w:r w:rsidRPr="00283806">
        <w:rPr>
          <w:w w:val="105"/>
        </w:rPr>
        <w:t>EPA</w:t>
      </w:r>
      <w:r w:rsidRPr="00283806">
        <w:rPr>
          <w:spacing w:val="7"/>
          <w:w w:val="105"/>
        </w:rPr>
        <w:t xml:space="preserve"> </w:t>
      </w:r>
      <w:r w:rsidRPr="00283806">
        <w:rPr>
          <w:w w:val="105"/>
        </w:rPr>
        <w:t>disagrees</w:t>
      </w:r>
      <w:r w:rsidRPr="00283806">
        <w:rPr>
          <w:spacing w:val="8"/>
          <w:w w:val="105"/>
        </w:rPr>
        <w:t xml:space="preserve"> </w:t>
      </w:r>
      <w:r w:rsidRPr="00283806">
        <w:rPr>
          <w:w w:val="105"/>
        </w:rPr>
        <w:t>that</w:t>
      </w:r>
      <w:r w:rsidRPr="00283806">
        <w:rPr>
          <w:spacing w:val="7"/>
          <w:w w:val="105"/>
        </w:rPr>
        <w:t xml:space="preserve"> </w:t>
      </w:r>
      <w:r w:rsidRPr="00283806">
        <w:rPr>
          <w:w w:val="105"/>
        </w:rPr>
        <w:t>the</w:t>
      </w:r>
      <w:r w:rsidRPr="00283806">
        <w:rPr>
          <w:spacing w:val="8"/>
          <w:w w:val="105"/>
        </w:rPr>
        <w:t xml:space="preserve"> </w:t>
      </w:r>
      <w:r w:rsidRPr="00283806">
        <w:rPr>
          <w:spacing w:val="-2"/>
          <w:w w:val="105"/>
        </w:rPr>
        <w:t>requirements</w:t>
      </w:r>
    </w:p>
    <w:p w14:paraId="1F652A26" w14:textId="77777777" w:rsidR="00D67C1E" w:rsidRPr="00283806" w:rsidRDefault="001265CA">
      <w:pPr>
        <w:pStyle w:val="BodyText"/>
        <w:spacing w:before="3" w:line="225" w:lineRule="auto"/>
      </w:pPr>
      <w:r w:rsidRPr="00283806">
        <w:rPr>
          <w:w w:val="105"/>
        </w:rPr>
        <w:t xml:space="preserve">for the </w:t>
      </w:r>
      <w:proofErr w:type="gramStart"/>
      <w:r w:rsidRPr="00283806">
        <w:rPr>
          <w:w w:val="105"/>
        </w:rPr>
        <w:t>servicing</w:t>
      </w:r>
      <w:proofErr w:type="gramEnd"/>
      <w:r w:rsidRPr="00283806">
        <w:rPr>
          <w:w w:val="105"/>
        </w:rPr>
        <w:t xml:space="preserve"> and/or repair of refrigerant-containing equipment with reclaimed HFCs in certain RACHP subsectors would drastically disrupt current allowance holders’ business plans. EPA is not establishing requirements for reclaimed HFC refrigerants in the initial fill of refrigerant-containing equipment in this rulemaking. Such requirements are only for the servicing and/or repair of refrigerant-containing equipment in certain RACHP subsectors. Most of these existing types of equipment are</w:t>
      </w:r>
      <w:r w:rsidRPr="00283806">
        <w:rPr>
          <w:spacing w:val="80"/>
          <w:w w:val="105"/>
        </w:rPr>
        <w:t xml:space="preserve"> </w:t>
      </w:r>
      <w:r w:rsidRPr="00283806">
        <w:rPr>
          <w:w w:val="105"/>
        </w:rPr>
        <w:t>currently using refrigerants that contain HFCs</w:t>
      </w:r>
      <w:r w:rsidRPr="00283806">
        <w:rPr>
          <w:spacing w:val="40"/>
          <w:w w:val="105"/>
        </w:rPr>
        <w:t xml:space="preserve"> </w:t>
      </w:r>
      <w:r w:rsidRPr="00283806">
        <w:rPr>
          <w:w w:val="105"/>
        </w:rPr>
        <w:t>that</w:t>
      </w:r>
      <w:r w:rsidRPr="00283806">
        <w:rPr>
          <w:spacing w:val="40"/>
          <w:w w:val="105"/>
        </w:rPr>
        <w:t xml:space="preserve"> </w:t>
      </w:r>
      <w:r w:rsidRPr="00283806">
        <w:rPr>
          <w:w w:val="105"/>
        </w:rPr>
        <w:t>have</w:t>
      </w:r>
      <w:r w:rsidRPr="00283806">
        <w:rPr>
          <w:spacing w:val="40"/>
          <w:w w:val="105"/>
        </w:rPr>
        <w:t xml:space="preserve"> </w:t>
      </w:r>
      <w:r w:rsidRPr="00283806">
        <w:rPr>
          <w:w w:val="105"/>
        </w:rPr>
        <w:t>been</w:t>
      </w:r>
      <w:r w:rsidRPr="00283806">
        <w:rPr>
          <w:spacing w:val="40"/>
          <w:w w:val="105"/>
        </w:rPr>
        <w:t xml:space="preserve"> </w:t>
      </w:r>
      <w:r w:rsidRPr="00283806">
        <w:rPr>
          <w:w w:val="105"/>
        </w:rPr>
        <w:t>in</w:t>
      </w:r>
      <w:r w:rsidRPr="00283806">
        <w:rPr>
          <w:spacing w:val="40"/>
          <w:w w:val="105"/>
        </w:rPr>
        <w:t xml:space="preserve"> </w:t>
      </w:r>
      <w:r w:rsidRPr="00283806">
        <w:rPr>
          <w:w w:val="105"/>
        </w:rPr>
        <w:t>equipment</w:t>
      </w:r>
      <w:r w:rsidRPr="00283806">
        <w:rPr>
          <w:spacing w:val="40"/>
          <w:w w:val="105"/>
        </w:rPr>
        <w:t xml:space="preserve"> </w:t>
      </w:r>
      <w:r w:rsidRPr="00283806">
        <w:rPr>
          <w:w w:val="105"/>
        </w:rPr>
        <w:t xml:space="preserve">for an extended </w:t>
      </w:r>
      <w:proofErr w:type="gramStart"/>
      <w:r w:rsidRPr="00283806">
        <w:rPr>
          <w:w w:val="105"/>
        </w:rPr>
        <w:t>period of time</w:t>
      </w:r>
      <w:proofErr w:type="gramEnd"/>
      <w:r w:rsidRPr="00283806">
        <w:rPr>
          <w:w w:val="105"/>
        </w:rPr>
        <w:t>. As such,</w:t>
      </w:r>
      <w:r w:rsidRPr="00283806">
        <w:rPr>
          <w:spacing w:val="40"/>
          <w:w w:val="105"/>
        </w:rPr>
        <w:t xml:space="preserve"> </w:t>
      </w:r>
      <w:r w:rsidRPr="00283806">
        <w:rPr>
          <w:w w:val="105"/>
        </w:rPr>
        <w:t>these types of refrigerant-containing equipment are likely to continue to rely on reclaimed HFCs as the phasedown progresses. EPA does not dictate how allowance holders use their allowances but understands that some may use allowances for refrigerants that contain HFCs that would be compliant with the 2023 Technology Transitions Rule.</w:t>
      </w:r>
    </w:p>
    <w:p w14:paraId="070EBA64" w14:textId="77777777" w:rsidR="00D67C1E" w:rsidRPr="00283806" w:rsidRDefault="001265CA">
      <w:pPr>
        <w:pStyle w:val="BodyText"/>
        <w:spacing w:line="228" w:lineRule="auto"/>
        <w:ind w:right="18"/>
      </w:pPr>
      <w:r w:rsidRPr="00283806">
        <w:rPr>
          <w:w w:val="105"/>
        </w:rPr>
        <w:t>Further, as noted above, EPA is establishing a compliance date of</w:t>
      </w:r>
      <w:r w:rsidRPr="00283806">
        <w:rPr>
          <w:spacing w:val="80"/>
          <w:w w:val="105"/>
        </w:rPr>
        <w:t xml:space="preserve"> </w:t>
      </w:r>
      <w:r w:rsidRPr="00283806">
        <w:rPr>
          <w:w w:val="105"/>
        </w:rPr>
        <w:t>January</w:t>
      </w:r>
      <w:r w:rsidRPr="00283806">
        <w:rPr>
          <w:spacing w:val="-2"/>
          <w:w w:val="105"/>
        </w:rPr>
        <w:t xml:space="preserve"> </w:t>
      </w:r>
      <w:r w:rsidRPr="00283806">
        <w:rPr>
          <w:w w:val="105"/>
        </w:rPr>
        <w:t>1,</w:t>
      </w:r>
      <w:r w:rsidRPr="00283806">
        <w:rPr>
          <w:spacing w:val="-2"/>
          <w:w w:val="105"/>
        </w:rPr>
        <w:t xml:space="preserve"> </w:t>
      </w:r>
      <w:r w:rsidRPr="00283806">
        <w:rPr>
          <w:w w:val="105"/>
        </w:rPr>
        <w:t>2029,</w:t>
      </w:r>
      <w:r w:rsidRPr="00283806">
        <w:rPr>
          <w:spacing w:val="-2"/>
          <w:w w:val="105"/>
        </w:rPr>
        <w:t xml:space="preserve"> </w:t>
      </w:r>
      <w:r w:rsidRPr="00283806">
        <w:rPr>
          <w:w w:val="105"/>
        </w:rPr>
        <w:t>for</w:t>
      </w:r>
      <w:r w:rsidRPr="00283806">
        <w:rPr>
          <w:spacing w:val="-2"/>
          <w:w w:val="105"/>
        </w:rPr>
        <w:t xml:space="preserve"> </w:t>
      </w:r>
      <w:r w:rsidRPr="00283806">
        <w:rPr>
          <w:w w:val="105"/>
        </w:rPr>
        <w:t>the</w:t>
      </w:r>
      <w:r w:rsidRPr="00283806">
        <w:rPr>
          <w:spacing w:val="-2"/>
          <w:w w:val="105"/>
        </w:rPr>
        <w:t xml:space="preserve"> </w:t>
      </w:r>
      <w:r w:rsidRPr="00283806">
        <w:rPr>
          <w:w w:val="105"/>
        </w:rPr>
        <w:t>requirements</w:t>
      </w:r>
      <w:r w:rsidRPr="00283806">
        <w:rPr>
          <w:spacing w:val="-2"/>
          <w:w w:val="105"/>
        </w:rPr>
        <w:t xml:space="preserve"> </w:t>
      </w:r>
      <w:r w:rsidRPr="00283806">
        <w:rPr>
          <w:w w:val="105"/>
        </w:rPr>
        <w:t>for</w:t>
      </w:r>
    </w:p>
    <w:p w14:paraId="5B1145D9" w14:textId="77777777" w:rsidR="00D67C1E" w:rsidRPr="00283806" w:rsidRDefault="001265CA">
      <w:pPr>
        <w:pStyle w:val="BodyText"/>
        <w:spacing w:before="6"/>
        <w:ind w:left="0"/>
        <w:rPr>
          <w:sz w:val="12"/>
        </w:rPr>
      </w:pPr>
      <w:r w:rsidRPr="00283806">
        <w:rPr>
          <w:noProof/>
        </w:rPr>
        <mc:AlternateContent>
          <mc:Choice Requires="wps">
            <w:drawing>
              <wp:anchor distT="0" distB="0" distL="0" distR="0" simplePos="0" relativeHeight="251663360" behindDoc="1" locked="0" layoutInCell="1" allowOverlap="1" wp14:anchorId="2C10FA3F" wp14:editId="74018733">
                <wp:simplePos x="0" y="0"/>
                <wp:positionH relativeFrom="page">
                  <wp:posOffset>571500</wp:posOffset>
                </wp:positionH>
                <wp:positionV relativeFrom="paragraph">
                  <wp:posOffset>108392</wp:posOffset>
                </wp:positionV>
                <wp:extent cx="635000" cy="1270"/>
                <wp:effectExtent l="0" t="0" r="0" b="0"/>
                <wp:wrapTopAndBottom/>
                <wp:docPr id="95" name="Graphic 9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199727" id="Graphic 95" o:spid="_x0000_s1026" alt="&quot;&quot;" style="position:absolute;margin-left:45pt;margin-top:8.55pt;width:50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" path="m,l635000,e" filled="f" strokeweight=".5pt">
                <v:path arrowok="t"/>
                <w10:wrap type="topAndBottom" anchorx="page"/>
              </v:shape>
            </w:pict>
          </mc:Fallback>
        </mc:AlternateContent>
      </w:r>
    </w:p>
    <w:p w14:paraId="40B18686" w14:textId="77777777" w:rsidR="00D67C1E" w:rsidRPr="00283806" w:rsidRDefault="001265CA">
      <w:pPr>
        <w:spacing w:before="36"/>
        <w:ind w:left="300"/>
        <w:rPr>
          <w:sz w:val="14"/>
        </w:rPr>
      </w:pPr>
      <w:r w:rsidRPr="00283806">
        <w:rPr>
          <w:w w:val="110"/>
          <w:position w:val="4"/>
          <w:sz w:val="9"/>
        </w:rPr>
        <w:t>118</w:t>
      </w:r>
      <w:r w:rsidRPr="00283806">
        <w:rPr>
          <w:spacing w:val="-4"/>
          <w:w w:val="110"/>
          <w:position w:val="4"/>
          <w:sz w:val="9"/>
        </w:rPr>
        <w:t xml:space="preserve"> </w:t>
      </w:r>
      <w:r w:rsidRPr="00283806">
        <w:rPr>
          <w:w w:val="110"/>
          <w:sz w:val="14"/>
        </w:rPr>
        <w:t>88</w:t>
      </w:r>
      <w:r w:rsidRPr="00283806">
        <w:rPr>
          <w:spacing w:val="-3"/>
          <w:w w:val="110"/>
          <w:sz w:val="14"/>
        </w:rPr>
        <w:t xml:space="preserve"> </w:t>
      </w:r>
      <w:r w:rsidRPr="00283806">
        <w:rPr>
          <w:w w:val="110"/>
          <w:sz w:val="14"/>
        </w:rPr>
        <w:t>FR</w:t>
      </w:r>
      <w:r w:rsidRPr="00283806">
        <w:rPr>
          <w:spacing w:val="-3"/>
          <w:w w:val="110"/>
          <w:sz w:val="14"/>
        </w:rPr>
        <w:t xml:space="preserve"> </w:t>
      </w:r>
      <w:r w:rsidRPr="00283806">
        <w:rPr>
          <w:w w:val="110"/>
          <w:sz w:val="14"/>
        </w:rPr>
        <w:t>46843,</w:t>
      </w:r>
      <w:r w:rsidRPr="00283806">
        <w:rPr>
          <w:spacing w:val="-2"/>
          <w:w w:val="110"/>
          <w:sz w:val="14"/>
        </w:rPr>
        <w:t xml:space="preserve"> </w:t>
      </w:r>
      <w:r w:rsidRPr="00283806">
        <w:rPr>
          <w:w w:val="110"/>
          <w:sz w:val="14"/>
        </w:rPr>
        <w:t>July</w:t>
      </w:r>
      <w:r w:rsidRPr="00283806">
        <w:rPr>
          <w:spacing w:val="-3"/>
          <w:w w:val="110"/>
          <w:sz w:val="14"/>
        </w:rPr>
        <w:t xml:space="preserve"> </w:t>
      </w:r>
      <w:r w:rsidRPr="00283806">
        <w:rPr>
          <w:w w:val="110"/>
          <w:sz w:val="14"/>
        </w:rPr>
        <w:t>20,</w:t>
      </w:r>
      <w:r w:rsidRPr="00283806">
        <w:rPr>
          <w:spacing w:val="-3"/>
          <w:w w:val="110"/>
          <w:sz w:val="14"/>
        </w:rPr>
        <w:t xml:space="preserve"> </w:t>
      </w:r>
      <w:r w:rsidRPr="00283806">
        <w:rPr>
          <w:spacing w:val="-4"/>
          <w:w w:val="110"/>
          <w:sz w:val="14"/>
        </w:rPr>
        <w:t>2023.</w:t>
      </w:r>
    </w:p>
    <w:p w14:paraId="7582A3B5" w14:textId="77777777" w:rsidR="00D67C1E" w:rsidRPr="00283806" w:rsidRDefault="001265CA">
      <w:pPr>
        <w:pStyle w:val="BodyText"/>
        <w:spacing w:before="136" w:line="225" w:lineRule="auto"/>
        <w:ind w:left="144" w:right="86"/>
      </w:pPr>
      <w:r w:rsidRPr="00283806">
        <w:br w:type="column"/>
      </w:r>
      <w:r w:rsidRPr="00283806">
        <w:rPr>
          <w:w w:val="105"/>
        </w:rPr>
        <w:t>reclaimed HFC refrigerants for servicing and/or repair of refrigerant-containing equipment</w:t>
      </w:r>
      <w:r w:rsidRPr="00283806">
        <w:rPr>
          <w:spacing w:val="40"/>
          <w:w w:val="105"/>
        </w:rPr>
        <w:t xml:space="preserve"> </w:t>
      </w:r>
      <w:r w:rsidRPr="00283806">
        <w:rPr>
          <w:w w:val="105"/>
        </w:rPr>
        <w:t>in</w:t>
      </w:r>
      <w:r w:rsidRPr="00283806">
        <w:rPr>
          <w:spacing w:val="40"/>
          <w:w w:val="105"/>
        </w:rPr>
        <w:t xml:space="preserve"> </w:t>
      </w:r>
      <w:r w:rsidRPr="00283806">
        <w:rPr>
          <w:w w:val="105"/>
        </w:rPr>
        <w:t>certain</w:t>
      </w:r>
      <w:r w:rsidRPr="00283806">
        <w:rPr>
          <w:spacing w:val="40"/>
          <w:w w:val="105"/>
        </w:rPr>
        <w:t xml:space="preserve"> </w:t>
      </w:r>
      <w:r w:rsidRPr="00283806">
        <w:rPr>
          <w:w w:val="105"/>
        </w:rPr>
        <w:t>RACHP subsectors. This period of</w:t>
      </w:r>
      <w:r w:rsidRPr="00283806">
        <w:rPr>
          <w:spacing w:val="80"/>
          <w:w w:val="105"/>
        </w:rPr>
        <w:t xml:space="preserve"> </w:t>
      </w:r>
      <w:r w:rsidRPr="00283806">
        <w:rPr>
          <w:w w:val="105"/>
        </w:rPr>
        <w:t>approximately four years provides entities with time to secure and adjust business relationships as needed.</w:t>
      </w:r>
    </w:p>
    <w:p w14:paraId="2FCF5F93" w14:textId="77777777" w:rsidR="00D67C1E" w:rsidRPr="00283806" w:rsidRDefault="001265CA">
      <w:pPr>
        <w:spacing w:line="183" w:lineRule="exact"/>
        <w:ind w:left="324"/>
        <w:rPr>
          <w:sz w:val="18"/>
        </w:rPr>
      </w:pPr>
      <w:r w:rsidRPr="00283806">
        <w:rPr>
          <w:rFonts w:ascii="Book Antiqua"/>
          <w:i/>
          <w:w w:val="110"/>
          <w:sz w:val="18"/>
        </w:rPr>
        <w:t>Comment:</w:t>
      </w:r>
      <w:r w:rsidRPr="00283806">
        <w:rPr>
          <w:rFonts w:ascii="Book Antiqua"/>
          <w:i/>
          <w:spacing w:val="8"/>
          <w:w w:val="110"/>
          <w:sz w:val="18"/>
        </w:rPr>
        <w:t xml:space="preserve"> </w:t>
      </w:r>
      <w:r w:rsidRPr="00283806">
        <w:rPr>
          <w:w w:val="110"/>
          <w:sz w:val="18"/>
        </w:rPr>
        <w:t>One</w:t>
      </w:r>
      <w:r w:rsidRPr="00283806">
        <w:rPr>
          <w:spacing w:val="14"/>
          <w:w w:val="110"/>
          <w:sz w:val="18"/>
        </w:rPr>
        <w:t xml:space="preserve"> </w:t>
      </w:r>
      <w:r w:rsidRPr="00283806">
        <w:rPr>
          <w:spacing w:val="-2"/>
          <w:w w:val="110"/>
          <w:sz w:val="18"/>
        </w:rPr>
        <w:t>commenter</w:t>
      </w:r>
    </w:p>
    <w:p w14:paraId="419257F4" w14:textId="77777777" w:rsidR="00D67C1E" w:rsidRPr="00283806" w:rsidRDefault="001265CA">
      <w:pPr>
        <w:pStyle w:val="BodyText"/>
        <w:spacing w:line="225" w:lineRule="auto"/>
        <w:ind w:left="144" w:right="28"/>
      </w:pPr>
      <w:r w:rsidRPr="00283806">
        <w:rPr>
          <w:w w:val="105"/>
        </w:rPr>
        <w:t>recommended that, if after each three- year period (starting in 2028) EPA requires each consumption allowance holder to acquire a quantity in exchange value equivalent metric tons of</w:t>
      </w:r>
      <w:r w:rsidRPr="00283806">
        <w:rPr>
          <w:spacing w:val="40"/>
          <w:w w:val="105"/>
        </w:rPr>
        <w:t xml:space="preserve"> </w:t>
      </w:r>
      <w:r w:rsidRPr="00283806">
        <w:rPr>
          <w:w w:val="105"/>
        </w:rPr>
        <w:t>reclaimed HFCs produced by any U.S. reclaimer equal to a portion of their consumption allowance allocation (capped at a maximum five percent to reasonably balance the supply of reclaimed material with consumption holder demand) and the program remains necessary, then the percentage be adjusted for the following three-year period based on changes over the prior three-year period in reclaim capacity</w:t>
      </w:r>
      <w:r w:rsidRPr="00283806">
        <w:rPr>
          <w:spacing w:val="80"/>
          <w:w w:val="105"/>
        </w:rPr>
        <w:t xml:space="preserve"> </w:t>
      </w:r>
      <w:r w:rsidRPr="00283806">
        <w:rPr>
          <w:w w:val="105"/>
        </w:rPr>
        <w:t>and</w:t>
      </w:r>
      <w:r w:rsidRPr="00283806">
        <w:rPr>
          <w:spacing w:val="40"/>
          <w:w w:val="105"/>
        </w:rPr>
        <w:t xml:space="preserve"> </w:t>
      </w:r>
      <w:r w:rsidRPr="00283806">
        <w:rPr>
          <w:w w:val="105"/>
        </w:rPr>
        <w:t>availability,</w:t>
      </w:r>
      <w:r w:rsidRPr="00283806">
        <w:rPr>
          <w:spacing w:val="40"/>
          <w:w w:val="105"/>
        </w:rPr>
        <w:t xml:space="preserve"> </w:t>
      </w:r>
      <w:r w:rsidRPr="00283806">
        <w:rPr>
          <w:w w:val="105"/>
        </w:rPr>
        <w:t>the</w:t>
      </w:r>
      <w:r w:rsidRPr="00283806">
        <w:rPr>
          <w:spacing w:val="40"/>
          <w:w w:val="105"/>
        </w:rPr>
        <w:t xml:space="preserve"> </w:t>
      </w:r>
      <w:r w:rsidRPr="00283806">
        <w:rPr>
          <w:w w:val="105"/>
        </w:rPr>
        <w:t>supply</w:t>
      </w:r>
      <w:r w:rsidRPr="00283806">
        <w:rPr>
          <w:spacing w:val="40"/>
          <w:w w:val="105"/>
        </w:rPr>
        <w:t xml:space="preserve"> </w:t>
      </w:r>
      <w:r w:rsidRPr="00283806">
        <w:rPr>
          <w:w w:val="105"/>
        </w:rPr>
        <w:t>of</w:t>
      </w:r>
      <w:r w:rsidRPr="00283806">
        <w:rPr>
          <w:spacing w:val="40"/>
          <w:w w:val="105"/>
        </w:rPr>
        <w:t xml:space="preserve"> </w:t>
      </w:r>
      <w:r w:rsidRPr="00283806">
        <w:rPr>
          <w:w w:val="105"/>
        </w:rPr>
        <w:t xml:space="preserve">HFCs, and market demands. The commenter stated that the program could include exemptions for </w:t>
      </w:r>
      <w:r w:rsidRPr="00283806">
        <w:rPr>
          <w:rFonts w:ascii="Book Antiqua"/>
          <w:i/>
          <w:w w:val="105"/>
        </w:rPr>
        <w:t xml:space="preserve">de minimis </w:t>
      </w:r>
      <w:r w:rsidRPr="00283806">
        <w:rPr>
          <w:w w:val="105"/>
        </w:rPr>
        <w:t>allowance holders and economic hardships, such</w:t>
      </w:r>
      <w:r w:rsidRPr="00283806">
        <w:rPr>
          <w:spacing w:val="80"/>
          <w:w w:val="150"/>
        </w:rPr>
        <w:t xml:space="preserve"> </w:t>
      </w:r>
      <w:r w:rsidRPr="00283806">
        <w:rPr>
          <w:w w:val="105"/>
        </w:rPr>
        <w:t>as lack of reclaimed HFCs in the market or unreasonable prices.</w:t>
      </w:r>
    </w:p>
    <w:p w14:paraId="26450568" w14:textId="77777777" w:rsidR="00D67C1E" w:rsidRPr="00283806" w:rsidRDefault="001265CA">
      <w:pPr>
        <w:spacing w:line="167" w:lineRule="exact"/>
        <w:ind w:left="324"/>
        <w:rPr>
          <w:sz w:val="18"/>
        </w:rPr>
      </w:pPr>
      <w:r w:rsidRPr="00283806">
        <w:rPr>
          <w:rFonts w:ascii="Book Antiqua"/>
          <w:i/>
          <w:w w:val="105"/>
          <w:sz w:val="18"/>
        </w:rPr>
        <w:t>Response:</w:t>
      </w:r>
      <w:r w:rsidRPr="00283806">
        <w:rPr>
          <w:rFonts w:ascii="Book Antiqua"/>
          <w:i/>
          <w:spacing w:val="26"/>
          <w:w w:val="105"/>
          <w:sz w:val="18"/>
        </w:rPr>
        <w:t xml:space="preserve"> </w:t>
      </w:r>
      <w:r w:rsidRPr="00283806">
        <w:rPr>
          <w:w w:val="105"/>
          <w:sz w:val="18"/>
        </w:rPr>
        <w:t>EPA</w:t>
      </w:r>
      <w:r w:rsidRPr="00283806">
        <w:rPr>
          <w:spacing w:val="31"/>
          <w:w w:val="105"/>
          <w:sz w:val="18"/>
        </w:rPr>
        <w:t xml:space="preserve"> </w:t>
      </w:r>
      <w:r w:rsidRPr="00283806">
        <w:rPr>
          <w:w w:val="105"/>
          <w:sz w:val="18"/>
        </w:rPr>
        <w:t>responds</w:t>
      </w:r>
      <w:r w:rsidRPr="00283806">
        <w:rPr>
          <w:spacing w:val="32"/>
          <w:w w:val="105"/>
          <w:sz w:val="18"/>
        </w:rPr>
        <w:t xml:space="preserve"> </w:t>
      </w:r>
      <w:r w:rsidRPr="00283806">
        <w:rPr>
          <w:w w:val="105"/>
          <w:sz w:val="18"/>
        </w:rPr>
        <w:t>that</w:t>
      </w:r>
      <w:r w:rsidRPr="00283806">
        <w:rPr>
          <w:spacing w:val="31"/>
          <w:w w:val="105"/>
          <w:sz w:val="18"/>
        </w:rPr>
        <w:t xml:space="preserve"> </w:t>
      </w:r>
      <w:r w:rsidRPr="00283806">
        <w:rPr>
          <w:spacing w:val="-4"/>
          <w:w w:val="105"/>
          <w:sz w:val="18"/>
        </w:rPr>
        <w:t>this</w:t>
      </w:r>
    </w:p>
    <w:p w14:paraId="40ED317C" w14:textId="77777777" w:rsidR="00D67C1E" w:rsidRPr="00283806" w:rsidRDefault="001265CA">
      <w:pPr>
        <w:pStyle w:val="BodyText"/>
        <w:spacing w:line="225" w:lineRule="auto"/>
        <w:ind w:left="144" w:right="132"/>
      </w:pPr>
      <w:r w:rsidRPr="00283806">
        <w:rPr>
          <w:w w:val="105"/>
        </w:rPr>
        <w:t>comment is out of scope for this rulemaking. EPA did not propose or seek comments on changes to the allowance system codified at 40 CFR part 84, subpart A.</w:t>
      </w:r>
    </w:p>
    <w:p w14:paraId="66903F8E" w14:textId="77777777" w:rsidR="00D67C1E" w:rsidRPr="00283806" w:rsidRDefault="001265CA">
      <w:pPr>
        <w:pStyle w:val="BodyText"/>
        <w:spacing w:line="223" w:lineRule="auto"/>
        <w:ind w:left="144" w:right="71" w:firstLine="180"/>
      </w:pPr>
      <w:r w:rsidRPr="00283806">
        <w:rPr>
          <w:rFonts w:ascii="Book Antiqua"/>
          <w:i/>
          <w:w w:val="105"/>
        </w:rPr>
        <w:t xml:space="preserve">Comment: </w:t>
      </w:r>
      <w:r w:rsidRPr="00283806">
        <w:rPr>
          <w:w w:val="105"/>
        </w:rPr>
        <w:t>One commenter stated that if EPA goes forward with these requirements, it should make grant funding available to offset the increased</w:t>
      </w:r>
    </w:p>
    <w:p w14:paraId="46E31ECD" w14:textId="77777777" w:rsidR="00D67C1E" w:rsidRPr="00283806" w:rsidRDefault="001265CA">
      <w:pPr>
        <w:pStyle w:val="BodyText"/>
        <w:spacing w:line="228" w:lineRule="auto"/>
        <w:ind w:left="144" w:right="1"/>
      </w:pPr>
      <w:r w:rsidRPr="00283806">
        <w:rPr>
          <w:w w:val="105"/>
        </w:rPr>
        <w:t>costs associated with purchasing reclaimed HFC refrigerant, and the requirement should be imposed only on grant recipients.</w:t>
      </w:r>
    </w:p>
    <w:p w14:paraId="12216DC0" w14:textId="77777777" w:rsidR="00D67C1E" w:rsidRPr="00283806" w:rsidRDefault="001265CA">
      <w:pPr>
        <w:pStyle w:val="BodyText"/>
        <w:spacing w:line="216" w:lineRule="auto"/>
        <w:ind w:left="144" w:right="125" w:firstLine="180"/>
      </w:pPr>
      <w:r w:rsidRPr="00283806">
        <w:rPr>
          <w:rFonts w:ascii="Book Antiqua"/>
          <w:i/>
          <w:w w:val="105"/>
        </w:rPr>
        <w:t xml:space="preserve">Response: </w:t>
      </w:r>
      <w:r w:rsidRPr="00283806">
        <w:rPr>
          <w:w w:val="105"/>
        </w:rPr>
        <w:t>EPA notes that establishment of grant funding is</w:t>
      </w:r>
    </w:p>
    <w:p w14:paraId="277C18F9" w14:textId="77777777" w:rsidR="00D67C1E" w:rsidRPr="00283806" w:rsidRDefault="001265CA">
      <w:pPr>
        <w:pStyle w:val="BodyText"/>
        <w:spacing w:line="191" w:lineRule="exact"/>
        <w:ind w:left="144"/>
      </w:pPr>
      <w:r w:rsidRPr="00283806">
        <w:rPr>
          <w:w w:val="105"/>
        </w:rPr>
        <w:t>outside</w:t>
      </w:r>
      <w:r w:rsidRPr="00283806">
        <w:rPr>
          <w:spacing w:val="10"/>
          <w:w w:val="105"/>
        </w:rPr>
        <w:t xml:space="preserve"> </w:t>
      </w:r>
      <w:r w:rsidRPr="00283806">
        <w:rPr>
          <w:w w:val="105"/>
        </w:rPr>
        <w:t>the</w:t>
      </w:r>
      <w:r w:rsidRPr="00283806">
        <w:rPr>
          <w:spacing w:val="9"/>
          <w:w w:val="105"/>
        </w:rPr>
        <w:t xml:space="preserve"> </w:t>
      </w:r>
      <w:r w:rsidRPr="00283806">
        <w:rPr>
          <w:w w:val="105"/>
        </w:rPr>
        <w:t>scope</w:t>
      </w:r>
      <w:r w:rsidRPr="00283806">
        <w:rPr>
          <w:spacing w:val="10"/>
          <w:w w:val="105"/>
        </w:rPr>
        <w:t xml:space="preserve"> </w:t>
      </w:r>
      <w:r w:rsidRPr="00283806">
        <w:rPr>
          <w:w w:val="105"/>
        </w:rPr>
        <w:t>of</w:t>
      </w:r>
      <w:r w:rsidRPr="00283806">
        <w:rPr>
          <w:spacing w:val="10"/>
          <w:w w:val="105"/>
        </w:rPr>
        <w:t xml:space="preserve"> </w:t>
      </w:r>
      <w:r w:rsidRPr="00283806">
        <w:rPr>
          <w:w w:val="105"/>
        </w:rPr>
        <w:t>this</w:t>
      </w:r>
      <w:r w:rsidRPr="00283806">
        <w:rPr>
          <w:spacing w:val="10"/>
          <w:w w:val="105"/>
        </w:rPr>
        <w:t xml:space="preserve"> </w:t>
      </w:r>
      <w:r w:rsidRPr="00283806">
        <w:rPr>
          <w:spacing w:val="-2"/>
          <w:w w:val="105"/>
        </w:rPr>
        <w:t>rulemaking.</w:t>
      </w:r>
    </w:p>
    <w:p w14:paraId="5ED6C11A" w14:textId="77777777" w:rsidR="00D67C1E" w:rsidRPr="00283806" w:rsidRDefault="001265CA">
      <w:pPr>
        <w:pStyle w:val="BodyText"/>
        <w:spacing w:line="225" w:lineRule="auto"/>
        <w:ind w:left="144" w:firstLine="180"/>
      </w:pPr>
      <w:r w:rsidRPr="00283806">
        <w:rPr>
          <w:rFonts w:ascii="Book Antiqua"/>
          <w:i/>
          <w:w w:val="105"/>
        </w:rPr>
        <w:t xml:space="preserve">Comment: </w:t>
      </w:r>
      <w:r w:rsidRPr="00283806">
        <w:rPr>
          <w:w w:val="105"/>
        </w:rPr>
        <w:t>One commenter expressed concern that the proposed rule could impact smaller businesses by adding tasks</w:t>
      </w:r>
      <w:r w:rsidRPr="00283806">
        <w:rPr>
          <w:spacing w:val="40"/>
          <w:w w:val="105"/>
        </w:rPr>
        <w:t xml:space="preserve"> </w:t>
      </w:r>
      <w:r w:rsidRPr="00283806">
        <w:rPr>
          <w:w w:val="105"/>
        </w:rPr>
        <w:t>for</w:t>
      </w:r>
      <w:r w:rsidRPr="00283806">
        <w:rPr>
          <w:spacing w:val="40"/>
          <w:w w:val="105"/>
        </w:rPr>
        <w:t xml:space="preserve"> </w:t>
      </w:r>
      <w:r w:rsidRPr="00283806">
        <w:rPr>
          <w:w w:val="105"/>
        </w:rPr>
        <w:t>recovering</w:t>
      </w:r>
      <w:r w:rsidRPr="00283806">
        <w:rPr>
          <w:spacing w:val="40"/>
          <w:w w:val="105"/>
        </w:rPr>
        <w:t xml:space="preserve"> </w:t>
      </w:r>
      <w:r w:rsidRPr="00283806">
        <w:rPr>
          <w:w w:val="105"/>
        </w:rPr>
        <w:t>HFCs</w:t>
      </w:r>
      <w:r w:rsidRPr="00283806">
        <w:rPr>
          <w:spacing w:val="40"/>
          <w:w w:val="105"/>
        </w:rPr>
        <w:t xml:space="preserve"> </w:t>
      </w:r>
      <w:r w:rsidRPr="00283806">
        <w:rPr>
          <w:w w:val="105"/>
        </w:rPr>
        <w:t>and</w:t>
      </w:r>
      <w:r w:rsidRPr="00283806">
        <w:rPr>
          <w:spacing w:val="40"/>
          <w:w w:val="105"/>
        </w:rPr>
        <w:t xml:space="preserve"> </w:t>
      </w:r>
      <w:r w:rsidRPr="00283806">
        <w:rPr>
          <w:w w:val="105"/>
        </w:rPr>
        <w:t>for related logistics and that burdensome demands coupled with potentially unrealistic reclaim targets may divert resources</w:t>
      </w:r>
      <w:r w:rsidRPr="00283806">
        <w:rPr>
          <w:spacing w:val="-1"/>
          <w:w w:val="105"/>
        </w:rPr>
        <w:t xml:space="preserve"> </w:t>
      </w:r>
      <w:r w:rsidRPr="00283806">
        <w:rPr>
          <w:w w:val="105"/>
        </w:rPr>
        <w:t>from</w:t>
      </w:r>
      <w:r w:rsidRPr="00283806">
        <w:rPr>
          <w:spacing w:val="-1"/>
          <w:w w:val="105"/>
        </w:rPr>
        <w:t xml:space="preserve"> </w:t>
      </w:r>
      <w:r w:rsidRPr="00283806">
        <w:rPr>
          <w:w w:val="105"/>
        </w:rPr>
        <w:t>core</w:t>
      </w:r>
      <w:r w:rsidRPr="00283806">
        <w:rPr>
          <w:spacing w:val="-1"/>
          <w:w w:val="105"/>
        </w:rPr>
        <w:t xml:space="preserve"> </w:t>
      </w:r>
      <w:r w:rsidRPr="00283806">
        <w:rPr>
          <w:w w:val="105"/>
        </w:rPr>
        <w:t>operations</w:t>
      </w:r>
      <w:r w:rsidRPr="00283806">
        <w:rPr>
          <w:spacing w:val="-1"/>
          <w:w w:val="105"/>
        </w:rPr>
        <w:t xml:space="preserve"> </w:t>
      </w:r>
      <w:r w:rsidRPr="00283806">
        <w:rPr>
          <w:w w:val="105"/>
        </w:rPr>
        <w:t>and</w:t>
      </w:r>
      <w:r w:rsidRPr="00283806">
        <w:rPr>
          <w:spacing w:val="-1"/>
          <w:w w:val="105"/>
        </w:rPr>
        <w:t xml:space="preserve"> </w:t>
      </w:r>
      <w:r w:rsidRPr="00283806">
        <w:rPr>
          <w:w w:val="105"/>
        </w:rPr>
        <w:t>stifle innovation of the value chain.</w:t>
      </w:r>
    </w:p>
    <w:p w14:paraId="6FBAE892" w14:textId="77777777" w:rsidR="00D67C1E" w:rsidRPr="00283806" w:rsidRDefault="001265CA">
      <w:pPr>
        <w:pStyle w:val="BodyText"/>
        <w:spacing w:line="184" w:lineRule="exact"/>
        <w:ind w:left="324"/>
      </w:pPr>
      <w:r w:rsidRPr="00283806">
        <w:rPr>
          <w:w w:val="105"/>
        </w:rPr>
        <w:t>The</w:t>
      </w:r>
      <w:r w:rsidRPr="00283806">
        <w:rPr>
          <w:spacing w:val="1"/>
          <w:w w:val="105"/>
        </w:rPr>
        <w:t xml:space="preserve"> </w:t>
      </w:r>
      <w:r w:rsidRPr="00283806">
        <w:rPr>
          <w:w w:val="105"/>
        </w:rPr>
        <w:t>commenter</w:t>
      </w:r>
      <w:r w:rsidRPr="00283806">
        <w:rPr>
          <w:spacing w:val="2"/>
          <w:w w:val="105"/>
        </w:rPr>
        <w:t xml:space="preserve"> </w:t>
      </w:r>
      <w:r w:rsidRPr="00283806">
        <w:rPr>
          <w:w w:val="105"/>
        </w:rPr>
        <w:t>further</w:t>
      </w:r>
      <w:r w:rsidRPr="00283806">
        <w:rPr>
          <w:spacing w:val="2"/>
          <w:w w:val="105"/>
        </w:rPr>
        <w:t xml:space="preserve"> </w:t>
      </w:r>
      <w:r w:rsidRPr="00283806">
        <w:rPr>
          <w:w w:val="105"/>
        </w:rPr>
        <w:t>stated</w:t>
      </w:r>
      <w:r w:rsidRPr="00283806">
        <w:rPr>
          <w:spacing w:val="2"/>
          <w:w w:val="105"/>
        </w:rPr>
        <w:t xml:space="preserve"> </w:t>
      </w:r>
      <w:r w:rsidRPr="00283806">
        <w:rPr>
          <w:spacing w:val="-4"/>
          <w:w w:val="105"/>
        </w:rPr>
        <w:t>that</w:t>
      </w:r>
    </w:p>
    <w:p w14:paraId="707918FB" w14:textId="77777777" w:rsidR="00D67C1E" w:rsidRPr="00283806" w:rsidRDefault="001265CA">
      <w:pPr>
        <w:pStyle w:val="BodyText"/>
        <w:spacing w:line="228" w:lineRule="auto"/>
        <w:ind w:left="144" w:right="18"/>
      </w:pPr>
      <w:r w:rsidRPr="00283806">
        <w:t>requirements</w:t>
      </w:r>
      <w:r w:rsidRPr="00283806">
        <w:rPr>
          <w:spacing w:val="40"/>
        </w:rPr>
        <w:t xml:space="preserve"> </w:t>
      </w:r>
      <w:r w:rsidRPr="00283806">
        <w:t>for</w:t>
      </w:r>
      <w:r w:rsidRPr="00283806">
        <w:rPr>
          <w:spacing w:val="40"/>
        </w:rPr>
        <w:t xml:space="preserve"> </w:t>
      </w:r>
      <w:r w:rsidRPr="00283806">
        <w:t>reclaimed</w:t>
      </w:r>
      <w:r w:rsidRPr="00283806">
        <w:rPr>
          <w:spacing w:val="40"/>
        </w:rPr>
        <w:t xml:space="preserve"> </w:t>
      </w:r>
      <w:r w:rsidRPr="00283806">
        <w:t>refrigerants</w:t>
      </w:r>
      <w:r w:rsidRPr="00283806">
        <w:rPr>
          <w:w w:val="110"/>
        </w:rPr>
        <w:t xml:space="preserve"> at</w:t>
      </w:r>
      <w:r w:rsidRPr="00283806">
        <w:rPr>
          <w:spacing w:val="-7"/>
          <w:w w:val="110"/>
        </w:rPr>
        <w:t xml:space="preserve"> </w:t>
      </w:r>
      <w:r w:rsidRPr="00283806">
        <w:rPr>
          <w:w w:val="110"/>
        </w:rPr>
        <w:t>the</w:t>
      </w:r>
      <w:r w:rsidRPr="00283806">
        <w:rPr>
          <w:spacing w:val="-7"/>
          <w:w w:val="110"/>
        </w:rPr>
        <w:t xml:space="preserve"> </w:t>
      </w:r>
      <w:r w:rsidRPr="00283806">
        <w:rPr>
          <w:w w:val="110"/>
        </w:rPr>
        <w:t>OEM</w:t>
      </w:r>
      <w:r w:rsidRPr="00283806">
        <w:rPr>
          <w:spacing w:val="-7"/>
          <w:w w:val="110"/>
        </w:rPr>
        <w:t xml:space="preserve"> </w:t>
      </w:r>
      <w:r w:rsidRPr="00283806">
        <w:rPr>
          <w:w w:val="110"/>
        </w:rPr>
        <w:t>level</w:t>
      </w:r>
      <w:r w:rsidRPr="00283806">
        <w:rPr>
          <w:spacing w:val="-7"/>
          <w:w w:val="110"/>
        </w:rPr>
        <w:t xml:space="preserve"> </w:t>
      </w:r>
      <w:proofErr w:type="gramStart"/>
      <w:r w:rsidRPr="00283806">
        <w:rPr>
          <w:w w:val="110"/>
        </w:rPr>
        <w:t>is</w:t>
      </w:r>
      <w:proofErr w:type="gramEnd"/>
      <w:r w:rsidRPr="00283806">
        <w:rPr>
          <w:spacing w:val="-7"/>
          <w:w w:val="110"/>
        </w:rPr>
        <w:t xml:space="preserve"> </w:t>
      </w:r>
      <w:r w:rsidRPr="00283806">
        <w:rPr>
          <w:w w:val="110"/>
        </w:rPr>
        <w:t>impractical,</w:t>
      </w:r>
      <w:r w:rsidRPr="00283806">
        <w:rPr>
          <w:spacing w:val="-7"/>
          <w:w w:val="110"/>
        </w:rPr>
        <w:t xml:space="preserve"> </w:t>
      </w:r>
      <w:r w:rsidRPr="00283806">
        <w:rPr>
          <w:w w:val="110"/>
        </w:rPr>
        <w:t>and</w:t>
      </w:r>
      <w:r w:rsidRPr="00283806">
        <w:rPr>
          <w:spacing w:val="-7"/>
          <w:w w:val="110"/>
        </w:rPr>
        <w:t xml:space="preserve"> </w:t>
      </w:r>
      <w:r w:rsidRPr="00283806">
        <w:rPr>
          <w:w w:val="110"/>
        </w:rPr>
        <w:t xml:space="preserve">that the Agency should shift its regulatory scope to focus on chemical producers and importers, which could allow the Agency to reduce its burden on small businesses and reduce supply chain disruptions and costs. The commenter stated that it will be difficult for the Agency to achieve its goal of regulating anyone who </w:t>
      </w:r>
      <w:proofErr w:type="gramStart"/>
      <w:r w:rsidRPr="00283806">
        <w:rPr>
          <w:w w:val="110"/>
        </w:rPr>
        <w:t>produces,</w:t>
      </w:r>
      <w:proofErr w:type="gramEnd"/>
      <w:r w:rsidRPr="00283806">
        <w:rPr>
          <w:w w:val="110"/>
        </w:rPr>
        <w:t xml:space="preserve"> imports,</w:t>
      </w:r>
    </w:p>
    <w:p w14:paraId="70C03D68" w14:textId="77777777" w:rsidR="00D67C1E" w:rsidRPr="00283806" w:rsidRDefault="001265CA">
      <w:pPr>
        <w:pStyle w:val="BodyText"/>
        <w:spacing w:before="133" w:line="228" w:lineRule="auto"/>
        <w:ind w:left="144" w:right="210"/>
      </w:pPr>
      <w:r w:rsidRPr="00283806">
        <w:br w:type="column"/>
      </w:r>
      <w:r w:rsidRPr="00283806">
        <w:rPr>
          <w:w w:val="105"/>
        </w:rPr>
        <w:t>reclaims, repackages, or fills a container with a regulated substance used in servicing, repair, or installation of equipment by regulating at the wholesaler/distributor or contractor level. The commenter asserted that</w:t>
      </w:r>
      <w:r w:rsidRPr="00283806">
        <w:rPr>
          <w:spacing w:val="40"/>
          <w:w w:val="105"/>
        </w:rPr>
        <w:t xml:space="preserve"> </w:t>
      </w:r>
      <w:r w:rsidRPr="00283806">
        <w:rPr>
          <w:w w:val="105"/>
        </w:rPr>
        <w:t xml:space="preserve">doing so would require extensive container tracking and reporting frameworks alongside enforcement mechanisms. The commenter claimed that since </w:t>
      </w:r>
      <w:proofErr w:type="gramStart"/>
      <w:r w:rsidRPr="00283806">
        <w:rPr>
          <w:w w:val="105"/>
        </w:rPr>
        <w:t>a majority of</w:t>
      </w:r>
      <w:proofErr w:type="gramEnd"/>
      <w:r w:rsidRPr="00283806">
        <w:rPr>
          <w:w w:val="105"/>
        </w:rPr>
        <w:t xml:space="preserve"> wholesalers and contractors are small businesses, EPA would have to complete EPA’s Small Business Ombudsmen assessment.</w:t>
      </w:r>
    </w:p>
    <w:p w14:paraId="1A00B219" w14:textId="77777777" w:rsidR="00D67C1E" w:rsidRPr="00283806" w:rsidRDefault="001265CA">
      <w:pPr>
        <w:pStyle w:val="BodyText"/>
        <w:spacing w:line="228" w:lineRule="auto"/>
        <w:ind w:left="144" w:right="228"/>
      </w:pPr>
      <w:r w:rsidRPr="00283806">
        <w:rPr>
          <w:w w:val="105"/>
        </w:rPr>
        <w:t>Additionally, the commenter claimed EPA would have to regulate over 1,000 wholesalers/distributors and 200,000 contractors, making enforcement more difficult. Additionally, the commenter stated that EPA would require significant support from industry, potentially delaying implementation.</w:t>
      </w:r>
    </w:p>
    <w:p w14:paraId="27BD318A" w14:textId="77777777" w:rsidR="00D67C1E" w:rsidRPr="00283806" w:rsidRDefault="001265CA">
      <w:pPr>
        <w:pStyle w:val="BodyText"/>
        <w:spacing w:before="9" w:line="228" w:lineRule="auto"/>
        <w:ind w:left="144" w:right="150" w:firstLine="180"/>
      </w:pPr>
      <w:r w:rsidRPr="00283806">
        <w:rPr>
          <w:w w:val="105"/>
        </w:rPr>
        <w:t>Alternatively, the commenter stated that EPA should regulate reclaim at the producer/importer level. The</w:t>
      </w:r>
      <w:r w:rsidRPr="00283806">
        <w:rPr>
          <w:spacing w:val="80"/>
          <w:w w:val="105"/>
        </w:rPr>
        <w:t xml:space="preserve"> </w:t>
      </w:r>
      <w:r w:rsidRPr="00283806">
        <w:rPr>
          <w:w w:val="105"/>
        </w:rPr>
        <w:t>commenter mentioned that chemical producers/importers are already regulated under the AIM Act, and that these entities already have established infrastructures to report sales, imports, production, and destruction of refrigerants. The commenter continued that regulating at the point of sale would make implementing reclaim requirements easier, reduce the number of companies that EPA would have to regulate, and allow for more effective communication and collaboration between EPA and the regulated entities. The commenter further noted that 14 companies control 89% of the consumption allowances and that eight</w:t>
      </w:r>
      <w:r w:rsidRPr="00283806">
        <w:rPr>
          <w:spacing w:val="80"/>
          <w:w w:val="105"/>
        </w:rPr>
        <w:t xml:space="preserve"> </w:t>
      </w:r>
      <w:r w:rsidRPr="00283806">
        <w:rPr>
          <w:w w:val="105"/>
        </w:rPr>
        <w:t>of these 14 are reclaimers themselves, reducing the need for new infrastructure and investment. The commenter stated that</w:t>
      </w:r>
      <w:r w:rsidRPr="00283806">
        <w:rPr>
          <w:spacing w:val="40"/>
          <w:w w:val="105"/>
        </w:rPr>
        <w:t xml:space="preserve"> </w:t>
      </w:r>
      <w:r w:rsidRPr="00283806">
        <w:rPr>
          <w:w w:val="105"/>
        </w:rPr>
        <w:t>this</w:t>
      </w:r>
      <w:r w:rsidRPr="00283806">
        <w:rPr>
          <w:spacing w:val="40"/>
          <w:w w:val="105"/>
        </w:rPr>
        <w:t xml:space="preserve"> </w:t>
      </w:r>
      <w:r w:rsidRPr="00283806">
        <w:rPr>
          <w:w w:val="105"/>
        </w:rPr>
        <w:t>approach</w:t>
      </w:r>
      <w:r w:rsidRPr="00283806">
        <w:rPr>
          <w:spacing w:val="40"/>
          <w:w w:val="105"/>
        </w:rPr>
        <w:t xml:space="preserve"> </w:t>
      </w:r>
      <w:r w:rsidRPr="00283806">
        <w:rPr>
          <w:w w:val="105"/>
        </w:rPr>
        <w:t>would</w:t>
      </w:r>
      <w:r w:rsidRPr="00283806">
        <w:rPr>
          <w:spacing w:val="40"/>
          <w:w w:val="105"/>
        </w:rPr>
        <w:t xml:space="preserve"> </w:t>
      </w:r>
      <w:r w:rsidRPr="00283806">
        <w:rPr>
          <w:w w:val="105"/>
        </w:rPr>
        <w:t>also</w:t>
      </w:r>
      <w:r w:rsidRPr="00283806">
        <w:rPr>
          <w:spacing w:val="40"/>
          <w:w w:val="105"/>
        </w:rPr>
        <w:t xml:space="preserve"> </w:t>
      </w:r>
      <w:r w:rsidRPr="00283806">
        <w:rPr>
          <w:w w:val="105"/>
        </w:rPr>
        <w:t>reduce the burden on small businesses.</w:t>
      </w:r>
    </w:p>
    <w:p w14:paraId="20224769" w14:textId="77777777" w:rsidR="00D67C1E" w:rsidRPr="00283806" w:rsidRDefault="001265CA">
      <w:pPr>
        <w:pStyle w:val="BodyText"/>
        <w:spacing w:before="8" w:line="228" w:lineRule="auto"/>
        <w:ind w:left="144" w:right="173" w:firstLine="180"/>
      </w:pPr>
      <w:r w:rsidRPr="00283806">
        <w:rPr>
          <w:rFonts w:ascii="Book Antiqua"/>
          <w:i/>
          <w:w w:val="105"/>
        </w:rPr>
        <w:t xml:space="preserve">Response: </w:t>
      </w:r>
      <w:r w:rsidRPr="00283806">
        <w:rPr>
          <w:w w:val="105"/>
        </w:rPr>
        <w:t>EPA disagrees with the commenter both on the small business impacts associated with recovering refrigerant and with how those impacts would be affected by the reclamation provisions. The Agency conducted a</w:t>
      </w:r>
      <w:r w:rsidRPr="00283806">
        <w:rPr>
          <w:spacing w:val="40"/>
          <w:w w:val="105"/>
        </w:rPr>
        <w:t xml:space="preserve"> </w:t>
      </w:r>
      <w:r w:rsidRPr="00283806">
        <w:rPr>
          <w:w w:val="105"/>
        </w:rPr>
        <w:t xml:space="preserve">small business screening analysis and </w:t>
      </w:r>
      <w:proofErr w:type="gramStart"/>
      <w:r w:rsidRPr="00283806">
        <w:rPr>
          <w:w w:val="105"/>
        </w:rPr>
        <w:t>refers</w:t>
      </w:r>
      <w:proofErr w:type="gramEnd"/>
      <w:r w:rsidRPr="00283806">
        <w:rPr>
          <w:w w:val="105"/>
        </w:rPr>
        <w:t xml:space="preserve"> readers to section VI of this preamble and to Appendix G of the Economic Impact and Benefits TSD. The commenter did not provide sufficient information to explain how these provisions would divert resources from core operations and stifle </w:t>
      </w:r>
      <w:proofErr w:type="gramStart"/>
      <w:r w:rsidRPr="00283806">
        <w:rPr>
          <w:w w:val="105"/>
        </w:rPr>
        <w:t>innovation</w:t>
      </w:r>
      <w:proofErr w:type="gramEnd"/>
      <w:r w:rsidRPr="00283806">
        <w:rPr>
          <w:w w:val="105"/>
        </w:rPr>
        <w:t xml:space="preserve"> of the value chain. EPA considered supply chain and logistics when drafting the</w:t>
      </w:r>
      <w:r w:rsidRPr="00283806">
        <w:rPr>
          <w:spacing w:val="40"/>
          <w:w w:val="105"/>
        </w:rPr>
        <w:t xml:space="preserve"> </w:t>
      </w:r>
      <w:r w:rsidRPr="00283806">
        <w:rPr>
          <w:w w:val="105"/>
        </w:rPr>
        <w:t>rule, including projections of future refrigerant supply. Based on these projections, EPA determined that finalizing requirements for the servicing and/or repair of refrigerant-containing</w:t>
      </w:r>
    </w:p>
    <w:p w14:paraId="5E1A5D89"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6" w:space="40"/>
            <w:col w:w="3501" w:space="39"/>
            <w:col w:w="3624"/>
          </w:cols>
        </w:sectPr>
      </w:pPr>
    </w:p>
    <w:p w14:paraId="34833B2B" w14:textId="77777777" w:rsidR="00D67C1E" w:rsidRPr="00283806" w:rsidRDefault="001265CA">
      <w:pPr>
        <w:pStyle w:val="BodyText"/>
        <w:spacing w:before="133" w:line="230" w:lineRule="auto"/>
        <w:ind w:right="56"/>
      </w:pPr>
      <w:r w:rsidRPr="00283806">
        <w:rPr>
          <w:w w:val="105"/>
        </w:rPr>
        <w:lastRenderedPageBreak/>
        <w:t>equipment with reclaimed HFCs in the covered subsectors is feasible.</w:t>
      </w:r>
    </w:p>
    <w:p w14:paraId="2981B7C4" w14:textId="77777777" w:rsidR="00D67C1E" w:rsidRPr="00283806" w:rsidRDefault="001265CA">
      <w:pPr>
        <w:pStyle w:val="BodyText"/>
        <w:spacing w:before="60" w:line="230" w:lineRule="auto"/>
        <w:ind w:right="57" w:firstLine="180"/>
      </w:pPr>
      <w:r w:rsidRPr="00283806">
        <w:rPr>
          <w:w w:val="105"/>
        </w:rPr>
        <w:t>EPA responds to the commenter’s suggestion to regulate reclaim at the producer/import level by noting that it</w:t>
      </w:r>
      <w:r w:rsidRPr="00283806">
        <w:rPr>
          <w:spacing w:val="40"/>
          <w:w w:val="105"/>
        </w:rPr>
        <w:t xml:space="preserve"> </w:t>
      </w:r>
      <w:r w:rsidRPr="00283806">
        <w:rPr>
          <w:w w:val="105"/>
        </w:rPr>
        <w:t xml:space="preserve">is not clear to the Agency how such a regime would work in practice. The commenter provides information on the potential benefits of efficiency and a reduced number of regulated </w:t>
      </w:r>
      <w:proofErr w:type="gramStart"/>
      <w:r w:rsidRPr="00283806">
        <w:rPr>
          <w:w w:val="105"/>
        </w:rPr>
        <w:t>entities, but</w:t>
      </w:r>
      <w:proofErr w:type="gramEnd"/>
      <w:r w:rsidRPr="00283806">
        <w:rPr>
          <w:w w:val="105"/>
        </w:rPr>
        <w:t xml:space="preserve"> does not make clear </w:t>
      </w:r>
      <w:proofErr w:type="gramStart"/>
      <w:r w:rsidRPr="00283806">
        <w:rPr>
          <w:w w:val="105"/>
        </w:rPr>
        <w:t>statements</w:t>
      </w:r>
      <w:proofErr w:type="gramEnd"/>
      <w:r w:rsidRPr="00283806">
        <w:rPr>
          <w:w w:val="105"/>
        </w:rPr>
        <w:t xml:space="preserve"> how this program could work. The commenter States that the existing framework under 40 CFR 84 could simplify to implementation for point of sale for the reclaim requirements.</w:t>
      </w:r>
    </w:p>
    <w:p w14:paraId="70739731" w14:textId="77777777" w:rsidR="00D67C1E" w:rsidRPr="00283806" w:rsidRDefault="001265CA">
      <w:pPr>
        <w:pStyle w:val="BodyText"/>
        <w:spacing w:line="230" w:lineRule="auto"/>
        <w:ind w:right="23"/>
      </w:pPr>
      <w:r w:rsidRPr="00283806">
        <w:rPr>
          <w:w w:val="105"/>
        </w:rPr>
        <w:t xml:space="preserve">However, it is unclear how </w:t>
      </w:r>
      <w:proofErr w:type="gramStart"/>
      <w:r w:rsidRPr="00283806">
        <w:rPr>
          <w:w w:val="105"/>
        </w:rPr>
        <w:t>the majority of</w:t>
      </w:r>
      <w:proofErr w:type="gramEnd"/>
      <w:r w:rsidRPr="00283806">
        <w:rPr>
          <w:w w:val="105"/>
        </w:rPr>
        <w:t xml:space="preserve"> reclaimers who are not importers or who do not receive allowances would operate under such a program for the effective implementation of the requirements for reclaimed HFC refrigerants for servicing and/or repair of refrigerant-containing equipment in certain RACHP sectors. Further, to the extent that this comment relates to proposed requirements that EPA is not finalizing </w:t>
      </w:r>
      <w:proofErr w:type="gramStart"/>
      <w:r w:rsidRPr="00283806">
        <w:rPr>
          <w:w w:val="105"/>
        </w:rPr>
        <w:t>at this time</w:t>
      </w:r>
      <w:proofErr w:type="gramEnd"/>
      <w:r w:rsidRPr="00283806">
        <w:rPr>
          <w:w w:val="105"/>
        </w:rPr>
        <w:t>, EPA notes that it</w:t>
      </w:r>
      <w:r w:rsidRPr="00283806">
        <w:rPr>
          <w:spacing w:val="80"/>
          <w:w w:val="105"/>
        </w:rPr>
        <w:t xml:space="preserve"> </w:t>
      </w:r>
      <w:r w:rsidRPr="00283806">
        <w:rPr>
          <w:w w:val="105"/>
        </w:rPr>
        <w:t>is not responding to comments on those aspects</w:t>
      </w:r>
      <w:r w:rsidRPr="00283806">
        <w:rPr>
          <w:spacing w:val="12"/>
          <w:w w:val="105"/>
        </w:rPr>
        <w:t xml:space="preserve"> </w:t>
      </w:r>
      <w:r w:rsidRPr="00283806">
        <w:rPr>
          <w:w w:val="105"/>
        </w:rPr>
        <w:t>of</w:t>
      </w:r>
      <w:r w:rsidRPr="00283806">
        <w:rPr>
          <w:spacing w:val="12"/>
          <w:w w:val="105"/>
        </w:rPr>
        <w:t xml:space="preserve"> </w:t>
      </w:r>
      <w:r w:rsidRPr="00283806">
        <w:rPr>
          <w:w w:val="105"/>
        </w:rPr>
        <w:t>the</w:t>
      </w:r>
      <w:r w:rsidRPr="00283806">
        <w:rPr>
          <w:spacing w:val="12"/>
          <w:w w:val="105"/>
        </w:rPr>
        <w:t xml:space="preserve"> </w:t>
      </w:r>
      <w:r w:rsidRPr="00283806">
        <w:rPr>
          <w:w w:val="105"/>
        </w:rPr>
        <w:t>proposal</w:t>
      </w:r>
      <w:r w:rsidRPr="00283806">
        <w:rPr>
          <w:spacing w:val="12"/>
          <w:w w:val="105"/>
        </w:rPr>
        <w:t xml:space="preserve"> </w:t>
      </w:r>
      <w:r w:rsidRPr="00283806">
        <w:rPr>
          <w:w w:val="105"/>
        </w:rPr>
        <w:t>in</w:t>
      </w:r>
      <w:r w:rsidRPr="00283806">
        <w:rPr>
          <w:spacing w:val="12"/>
          <w:w w:val="105"/>
        </w:rPr>
        <w:t xml:space="preserve"> </w:t>
      </w:r>
      <w:r w:rsidRPr="00283806">
        <w:rPr>
          <w:w w:val="105"/>
        </w:rPr>
        <w:t>this</w:t>
      </w:r>
      <w:r w:rsidRPr="00283806">
        <w:rPr>
          <w:spacing w:val="12"/>
          <w:w w:val="105"/>
        </w:rPr>
        <w:t xml:space="preserve"> </w:t>
      </w:r>
      <w:r w:rsidRPr="00283806">
        <w:rPr>
          <w:w w:val="105"/>
        </w:rPr>
        <w:t>final</w:t>
      </w:r>
      <w:r w:rsidRPr="00283806">
        <w:rPr>
          <w:spacing w:val="12"/>
          <w:w w:val="105"/>
        </w:rPr>
        <w:t xml:space="preserve"> </w:t>
      </w:r>
      <w:r w:rsidRPr="00283806">
        <w:rPr>
          <w:spacing w:val="-4"/>
          <w:w w:val="105"/>
        </w:rPr>
        <w:t>rule.</w:t>
      </w:r>
    </w:p>
    <w:p w14:paraId="1D7C2D76" w14:textId="77777777" w:rsidR="00D67C1E" w:rsidRPr="00283806" w:rsidRDefault="001265CA">
      <w:pPr>
        <w:pStyle w:val="BodyText"/>
        <w:spacing w:before="43" w:line="228" w:lineRule="auto"/>
        <w:ind w:right="1" w:firstLine="180"/>
      </w:pPr>
      <w:r w:rsidRPr="00283806">
        <w:rPr>
          <w:rFonts w:ascii="Book Antiqua" w:hAnsi="Book Antiqua"/>
          <w:i/>
          <w:w w:val="105"/>
        </w:rPr>
        <w:t xml:space="preserve">Comment: </w:t>
      </w:r>
      <w:r w:rsidRPr="00283806">
        <w:rPr>
          <w:w w:val="105"/>
        </w:rPr>
        <w:t xml:space="preserve">One commenter stated that to purchase ‘‘reclaim materials’’ in the market, a company would need to be an EPA-certified reclaimer; have reporting responsibility under EPA’s HAWK (HFC and ODS Allowance Tracking) </w:t>
      </w:r>
      <w:r w:rsidRPr="00283806">
        <w:rPr>
          <w:w w:val="105"/>
          <w:position w:val="5"/>
          <w:sz w:val="11"/>
        </w:rPr>
        <w:t>119</w:t>
      </w:r>
      <w:r w:rsidRPr="00283806">
        <w:rPr>
          <w:spacing w:val="40"/>
          <w:w w:val="105"/>
          <w:position w:val="5"/>
          <w:sz w:val="11"/>
        </w:rPr>
        <w:t xml:space="preserve"> </w:t>
      </w:r>
      <w:r w:rsidRPr="00283806">
        <w:rPr>
          <w:w w:val="105"/>
        </w:rPr>
        <w:t>electronic reporting system;</w:t>
      </w:r>
      <w:r w:rsidRPr="00283806">
        <w:rPr>
          <w:spacing w:val="40"/>
          <w:w w:val="105"/>
        </w:rPr>
        <w:t xml:space="preserve"> </w:t>
      </w:r>
      <w:r w:rsidRPr="00283806">
        <w:rPr>
          <w:w w:val="105"/>
        </w:rPr>
        <w:t>demonstrate analytical chemistry and blending capabilities; avoid engaging in transshipping or various import</w:t>
      </w:r>
      <w:r w:rsidRPr="00283806">
        <w:rPr>
          <w:spacing w:val="40"/>
          <w:w w:val="105"/>
        </w:rPr>
        <w:t xml:space="preserve"> </w:t>
      </w:r>
      <w:r w:rsidRPr="00283806">
        <w:rPr>
          <w:w w:val="105"/>
        </w:rPr>
        <w:t>schemes; demonstrate chain of custody ability; have a fleet of refillable</w:t>
      </w:r>
      <w:r w:rsidRPr="00283806">
        <w:rPr>
          <w:spacing w:val="80"/>
          <w:w w:val="105"/>
        </w:rPr>
        <w:t xml:space="preserve"> </w:t>
      </w:r>
      <w:r w:rsidRPr="00283806">
        <w:rPr>
          <w:w w:val="105"/>
        </w:rPr>
        <w:t>cylinders; and maintain a physical reclamation facility in the United States. The commenter asserted that a company should not be engaged in simply drop- shipping refrigerants to actual EPA- certified reclaimers to control access to the market. Similarly, no company involved in market manipulation or illegal imports should be allowed to</w:t>
      </w:r>
      <w:r w:rsidRPr="00283806">
        <w:rPr>
          <w:spacing w:val="80"/>
          <w:w w:val="105"/>
        </w:rPr>
        <w:t xml:space="preserve"> </w:t>
      </w:r>
      <w:r w:rsidRPr="00283806">
        <w:rPr>
          <w:w w:val="105"/>
        </w:rPr>
        <w:t>grow market share by forcing small reclaimers out of the market and purchasing their allowances. Given the increased emphasis the proposed rule places on the role of EPA-certified reclaimers, the commenter</w:t>
      </w:r>
      <w:r w:rsidRPr="00283806">
        <w:rPr>
          <w:spacing w:val="40"/>
          <w:w w:val="105"/>
        </w:rPr>
        <w:t xml:space="preserve"> </w:t>
      </w:r>
      <w:r w:rsidRPr="00283806">
        <w:rPr>
          <w:w w:val="105"/>
        </w:rPr>
        <w:t>recommended that EPA develop enhanced requirements for reviewing</w:t>
      </w:r>
      <w:r w:rsidRPr="00283806">
        <w:rPr>
          <w:spacing w:val="40"/>
          <w:w w:val="105"/>
        </w:rPr>
        <w:t xml:space="preserve"> </w:t>
      </w:r>
      <w:r w:rsidRPr="00283806">
        <w:rPr>
          <w:w w:val="105"/>
        </w:rPr>
        <w:t>the qualifications of certified reclaimers. The commenter noted that this process should also involve the inclusion of</w:t>
      </w:r>
    </w:p>
    <w:p w14:paraId="3FE8C8AE" w14:textId="77777777" w:rsidR="00D67C1E" w:rsidRPr="00283806" w:rsidRDefault="001265CA">
      <w:pPr>
        <w:pStyle w:val="BodyText"/>
        <w:spacing w:before="5"/>
        <w:ind w:left="0"/>
        <w:rPr>
          <w:sz w:val="13"/>
        </w:rPr>
      </w:pPr>
      <w:r w:rsidRPr="00283806">
        <w:rPr>
          <w:noProof/>
        </w:rPr>
        <mc:AlternateContent>
          <mc:Choice Requires="wps">
            <w:drawing>
              <wp:anchor distT="0" distB="0" distL="0" distR="0" simplePos="0" relativeHeight="251664384" behindDoc="1" locked="0" layoutInCell="1" allowOverlap="1" wp14:anchorId="64E54E20" wp14:editId="6D1B75ED">
                <wp:simplePos x="0" y="0"/>
                <wp:positionH relativeFrom="page">
                  <wp:posOffset>571500</wp:posOffset>
                </wp:positionH>
                <wp:positionV relativeFrom="paragraph">
                  <wp:posOffset>115712</wp:posOffset>
                </wp:positionV>
                <wp:extent cx="635000" cy="1270"/>
                <wp:effectExtent l="0" t="0" r="0" b="0"/>
                <wp:wrapTopAndBottom/>
                <wp:docPr id="96" name="Graphic 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D9CA9B7" id="Graphic 96" o:spid="_x0000_s1026" alt="&quot;&quot;" style="position:absolute;margin-left:45pt;margin-top:9.1pt;width:50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" path="m,l635000,e" filled="f" strokeweight=".5pt">
                <v:path arrowok="t"/>
                <w10:wrap type="topAndBottom" anchorx="page"/>
              </v:shape>
            </w:pict>
          </mc:Fallback>
        </mc:AlternateContent>
      </w:r>
    </w:p>
    <w:p w14:paraId="6067999E" w14:textId="77777777" w:rsidR="00D67C1E" w:rsidRPr="00283806" w:rsidRDefault="001265CA">
      <w:pPr>
        <w:spacing w:before="40" w:line="232" w:lineRule="auto"/>
        <w:ind w:left="159" w:right="37" w:firstLine="140"/>
        <w:rPr>
          <w:sz w:val="14"/>
        </w:rPr>
      </w:pPr>
      <w:r w:rsidRPr="00283806">
        <w:rPr>
          <w:w w:val="105"/>
          <w:position w:val="4"/>
          <w:sz w:val="9"/>
        </w:rPr>
        <w:t xml:space="preserve">119 </w:t>
      </w:r>
      <w:r w:rsidRPr="00283806">
        <w:rPr>
          <w:w w:val="105"/>
          <w:sz w:val="14"/>
        </w:rPr>
        <w:t>EPA’s HAWK electronic reporting system can</w:t>
      </w:r>
      <w:r w:rsidRPr="00283806">
        <w:rPr>
          <w:spacing w:val="80"/>
          <w:w w:val="105"/>
          <w:sz w:val="14"/>
        </w:rPr>
        <w:t xml:space="preserve"> </w:t>
      </w:r>
      <w:r w:rsidRPr="00283806">
        <w:rPr>
          <w:w w:val="105"/>
          <w:sz w:val="14"/>
        </w:rPr>
        <w:t>be accessed through the Electronic Greenhouse Gas</w:t>
      </w:r>
      <w:r w:rsidRPr="00283806">
        <w:rPr>
          <w:spacing w:val="40"/>
          <w:w w:val="105"/>
          <w:sz w:val="14"/>
        </w:rPr>
        <w:t xml:space="preserve"> </w:t>
      </w:r>
      <w:r w:rsidRPr="00283806">
        <w:rPr>
          <w:w w:val="105"/>
          <w:sz w:val="14"/>
        </w:rPr>
        <w:t>Reporting Tool (e-GGRT). Regulated entities that are</w:t>
      </w:r>
      <w:r w:rsidRPr="00283806">
        <w:rPr>
          <w:spacing w:val="40"/>
          <w:w w:val="105"/>
          <w:sz w:val="14"/>
        </w:rPr>
        <w:t xml:space="preserve"> </w:t>
      </w:r>
      <w:r w:rsidRPr="00283806">
        <w:rPr>
          <w:w w:val="105"/>
          <w:sz w:val="14"/>
        </w:rPr>
        <w:t>subject</w:t>
      </w:r>
      <w:r w:rsidRPr="00283806">
        <w:rPr>
          <w:spacing w:val="28"/>
          <w:w w:val="105"/>
          <w:sz w:val="14"/>
        </w:rPr>
        <w:t xml:space="preserve"> </w:t>
      </w:r>
      <w:r w:rsidRPr="00283806">
        <w:rPr>
          <w:w w:val="105"/>
          <w:sz w:val="14"/>
        </w:rPr>
        <w:t>to</w:t>
      </w:r>
      <w:r w:rsidRPr="00283806">
        <w:rPr>
          <w:spacing w:val="28"/>
          <w:w w:val="105"/>
          <w:sz w:val="14"/>
        </w:rPr>
        <w:t xml:space="preserve"> </w:t>
      </w:r>
      <w:r w:rsidRPr="00283806">
        <w:rPr>
          <w:w w:val="105"/>
          <w:sz w:val="14"/>
        </w:rPr>
        <w:t>reporting</w:t>
      </w:r>
      <w:r w:rsidRPr="00283806">
        <w:rPr>
          <w:spacing w:val="28"/>
          <w:w w:val="105"/>
          <w:sz w:val="14"/>
        </w:rPr>
        <w:t xml:space="preserve"> </w:t>
      </w:r>
      <w:r w:rsidRPr="00283806">
        <w:rPr>
          <w:w w:val="105"/>
          <w:sz w:val="14"/>
        </w:rPr>
        <w:t>requirements</w:t>
      </w:r>
      <w:r w:rsidRPr="00283806">
        <w:rPr>
          <w:spacing w:val="28"/>
          <w:w w:val="105"/>
          <w:sz w:val="14"/>
        </w:rPr>
        <w:t xml:space="preserve"> </w:t>
      </w:r>
      <w:r w:rsidRPr="00283806">
        <w:rPr>
          <w:w w:val="105"/>
          <w:sz w:val="14"/>
        </w:rPr>
        <w:t>under</w:t>
      </w:r>
      <w:r w:rsidRPr="00283806">
        <w:rPr>
          <w:spacing w:val="28"/>
          <w:w w:val="105"/>
          <w:sz w:val="14"/>
        </w:rPr>
        <w:t xml:space="preserve"> </w:t>
      </w:r>
      <w:r w:rsidRPr="00283806">
        <w:rPr>
          <w:w w:val="105"/>
          <w:sz w:val="14"/>
        </w:rPr>
        <w:t>the</w:t>
      </w:r>
      <w:r w:rsidRPr="00283806">
        <w:rPr>
          <w:spacing w:val="28"/>
          <w:w w:val="105"/>
          <w:sz w:val="14"/>
        </w:rPr>
        <w:t xml:space="preserve"> </w:t>
      </w:r>
      <w:r w:rsidRPr="00283806">
        <w:rPr>
          <w:w w:val="105"/>
          <w:sz w:val="14"/>
        </w:rPr>
        <w:t>AIM</w:t>
      </w:r>
      <w:r w:rsidRPr="00283806">
        <w:rPr>
          <w:spacing w:val="40"/>
          <w:w w:val="105"/>
          <w:sz w:val="14"/>
        </w:rPr>
        <w:t xml:space="preserve"> </w:t>
      </w:r>
      <w:r w:rsidRPr="00283806">
        <w:rPr>
          <w:w w:val="105"/>
          <w:sz w:val="14"/>
        </w:rPr>
        <w:t xml:space="preserve">Act submit </w:t>
      </w:r>
      <w:proofErr w:type="gramStart"/>
      <w:r w:rsidRPr="00283806">
        <w:rPr>
          <w:w w:val="105"/>
          <w:sz w:val="14"/>
        </w:rPr>
        <w:t>reports</w:t>
      </w:r>
      <w:proofErr w:type="gramEnd"/>
      <w:r w:rsidRPr="00283806">
        <w:rPr>
          <w:w w:val="105"/>
          <w:sz w:val="14"/>
        </w:rPr>
        <w:t xml:space="preserve"> this electronic reporting system.</w:t>
      </w:r>
    </w:p>
    <w:p w14:paraId="017D3D82" w14:textId="77777777" w:rsidR="00D67C1E" w:rsidRPr="00283806" w:rsidRDefault="001265CA">
      <w:pPr>
        <w:pStyle w:val="BodyText"/>
        <w:spacing w:before="135" w:line="225" w:lineRule="auto"/>
        <w:ind w:left="150" w:right="28"/>
      </w:pPr>
      <w:r w:rsidRPr="00283806">
        <w:br w:type="column"/>
      </w:r>
      <w:r w:rsidRPr="00283806">
        <w:rPr>
          <w:w w:val="105"/>
        </w:rPr>
        <w:t>individuals on their hotline who are not reclaimers but are buying material.</w:t>
      </w:r>
    </w:p>
    <w:p w14:paraId="3CAD6869" w14:textId="77777777" w:rsidR="00D67C1E" w:rsidRPr="00283806" w:rsidRDefault="001265CA">
      <w:pPr>
        <w:pStyle w:val="BodyText"/>
        <w:spacing w:line="213" w:lineRule="auto"/>
        <w:ind w:left="150" w:right="28" w:firstLine="180"/>
      </w:pPr>
      <w:r w:rsidRPr="00283806">
        <w:rPr>
          <w:rFonts w:ascii="Book Antiqua"/>
          <w:i/>
          <w:w w:val="105"/>
        </w:rPr>
        <w:t xml:space="preserve">Response: </w:t>
      </w:r>
      <w:r w:rsidRPr="00283806">
        <w:rPr>
          <w:w w:val="105"/>
        </w:rPr>
        <w:t>EPA acknowledges this comment.</w:t>
      </w:r>
      <w:r w:rsidRPr="00283806">
        <w:rPr>
          <w:spacing w:val="16"/>
          <w:w w:val="105"/>
        </w:rPr>
        <w:t xml:space="preserve"> </w:t>
      </w:r>
      <w:r w:rsidRPr="00283806">
        <w:rPr>
          <w:w w:val="105"/>
        </w:rPr>
        <w:t>EPA</w:t>
      </w:r>
      <w:r w:rsidRPr="00283806">
        <w:rPr>
          <w:spacing w:val="17"/>
          <w:w w:val="105"/>
        </w:rPr>
        <w:t xml:space="preserve"> </w:t>
      </w:r>
      <w:r w:rsidRPr="00283806">
        <w:rPr>
          <w:w w:val="105"/>
        </w:rPr>
        <w:t>understands</w:t>
      </w:r>
      <w:r w:rsidRPr="00283806">
        <w:rPr>
          <w:spacing w:val="16"/>
          <w:w w:val="105"/>
        </w:rPr>
        <w:t xml:space="preserve"> </w:t>
      </w:r>
      <w:r w:rsidRPr="00283806">
        <w:rPr>
          <w:w w:val="105"/>
        </w:rPr>
        <w:t>the</w:t>
      </w:r>
      <w:r w:rsidRPr="00283806">
        <w:rPr>
          <w:spacing w:val="17"/>
          <w:w w:val="105"/>
        </w:rPr>
        <w:t xml:space="preserve"> </w:t>
      </w:r>
      <w:r w:rsidRPr="00283806">
        <w:rPr>
          <w:spacing w:val="-4"/>
          <w:w w:val="105"/>
        </w:rPr>
        <w:t>term</w:t>
      </w:r>
    </w:p>
    <w:p w14:paraId="638B6939" w14:textId="77777777" w:rsidR="00D67C1E" w:rsidRPr="00283806" w:rsidRDefault="001265CA">
      <w:pPr>
        <w:pStyle w:val="BodyText"/>
        <w:spacing w:line="225" w:lineRule="auto"/>
        <w:ind w:left="150" w:right="40"/>
      </w:pPr>
      <w:r w:rsidRPr="00283806">
        <w:rPr>
          <w:w w:val="105"/>
        </w:rPr>
        <w:t>‘‘reclaim materials’’ to refer to recovered materials that are available to be reclaimed.</w:t>
      </w:r>
      <w:r w:rsidRPr="00283806">
        <w:rPr>
          <w:spacing w:val="40"/>
          <w:w w:val="105"/>
        </w:rPr>
        <w:t xml:space="preserve"> </w:t>
      </w:r>
      <w:r w:rsidRPr="00283806">
        <w:rPr>
          <w:w w:val="105"/>
        </w:rPr>
        <w:t>The</w:t>
      </w:r>
      <w:r w:rsidRPr="00283806">
        <w:rPr>
          <w:spacing w:val="40"/>
          <w:w w:val="105"/>
        </w:rPr>
        <w:t xml:space="preserve"> </w:t>
      </w:r>
      <w:r w:rsidRPr="00283806">
        <w:rPr>
          <w:w w:val="105"/>
        </w:rPr>
        <w:t>Agency</w:t>
      </w:r>
      <w:r w:rsidRPr="00283806">
        <w:rPr>
          <w:spacing w:val="40"/>
          <w:w w:val="105"/>
        </w:rPr>
        <w:t xml:space="preserve"> </w:t>
      </w:r>
      <w:r w:rsidRPr="00283806">
        <w:rPr>
          <w:w w:val="105"/>
        </w:rPr>
        <w:t>appreciates these considerations, but notes that it is neither reopening nor modifying the criteria and qualifications for</w:t>
      </w:r>
      <w:r w:rsidRPr="00283806">
        <w:rPr>
          <w:spacing w:val="40"/>
          <w:w w:val="105"/>
        </w:rPr>
        <w:t xml:space="preserve"> </w:t>
      </w:r>
      <w:r w:rsidRPr="00283806">
        <w:rPr>
          <w:w w:val="105"/>
        </w:rPr>
        <w:t>certification for reclaimers under 40</w:t>
      </w:r>
      <w:r w:rsidRPr="00283806">
        <w:rPr>
          <w:spacing w:val="80"/>
          <w:w w:val="150"/>
        </w:rPr>
        <w:t xml:space="preserve"> </w:t>
      </w:r>
      <w:r w:rsidRPr="00283806">
        <w:rPr>
          <w:w w:val="105"/>
        </w:rPr>
        <w:t>CFR part 82, subpart F in this</w:t>
      </w:r>
      <w:r w:rsidRPr="00283806">
        <w:rPr>
          <w:spacing w:val="40"/>
          <w:w w:val="105"/>
        </w:rPr>
        <w:t xml:space="preserve"> </w:t>
      </w:r>
      <w:r w:rsidRPr="00283806">
        <w:rPr>
          <w:w w:val="105"/>
        </w:rPr>
        <w:t>rulemaking. EPA has established recordkeeping and reporting requirements for reclaimers under both the AIM Act and CAA section 608. In addition to these requirements, starting in 2024, EPA is requiring third-party auditing of EPA-certified reclaimers.</w:t>
      </w:r>
    </w:p>
    <w:p w14:paraId="76509648" w14:textId="77777777" w:rsidR="00D67C1E" w:rsidRPr="00283806" w:rsidRDefault="001265CA">
      <w:pPr>
        <w:pStyle w:val="BodyText"/>
        <w:spacing w:line="225" w:lineRule="auto"/>
        <w:ind w:left="150" w:right="28"/>
      </w:pPr>
      <w:r w:rsidRPr="00283806">
        <w:rPr>
          <w:w w:val="105"/>
        </w:rPr>
        <w:t xml:space="preserve">Information related to the auditing of reclamation facilities can be found </w:t>
      </w:r>
      <w:proofErr w:type="gramStart"/>
      <w:r w:rsidRPr="00283806">
        <w:rPr>
          <w:w w:val="105"/>
        </w:rPr>
        <w:t>in</w:t>
      </w:r>
      <w:proofErr w:type="gramEnd"/>
      <w:r w:rsidRPr="00283806">
        <w:rPr>
          <w:w w:val="105"/>
        </w:rPr>
        <w:t xml:space="preserve"> 40 CFR 84.33.</w:t>
      </w:r>
    </w:p>
    <w:p w14:paraId="0CA23B8D" w14:textId="77777777" w:rsidR="00D67C1E" w:rsidRPr="00283806" w:rsidRDefault="001265CA">
      <w:pPr>
        <w:pStyle w:val="BodyText"/>
        <w:spacing w:line="213" w:lineRule="auto"/>
        <w:ind w:left="150" w:right="28" w:firstLine="180"/>
      </w:pPr>
      <w:r w:rsidRPr="00283806">
        <w:rPr>
          <w:rFonts w:ascii="Book Antiqua"/>
          <w:i/>
          <w:w w:val="105"/>
        </w:rPr>
        <w:t xml:space="preserve">Comment: </w:t>
      </w:r>
      <w:r w:rsidRPr="00283806">
        <w:rPr>
          <w:w w:val="105"/>
        </w:rPr>
        <w:t>One commenter recommended that EPA consider a</w:t>
      </w:r>
    </w:p>
    <w:p w14:paraId="46D33935" w14:textId="77777777" w:rsidR="00D67C1E" w:rsidRPr="00283806" w:rsidRDefault="001265CA">
      <w:pPr>
        <w:pStyle w:val="BodyText"/>
        <w:spacing w:line="225" w:lineRule="auto"/>
        <w:ind w:left="150"/>
      </w:pPr>
      <w:r w:rsidRPr="00283806">
        <w:rPr>
          <w:w w:val="105"/>
        </w:rPr>
        <w:t>mechanism that would allow</w:t>
      </w:r>
      <w:r w:rsidRPr="00283806">
        <w:rPr>
          <w:spacing w:val="40"/>
          <w:w w:val="105"/>
        </w:rPr>
        <w:t xml:space="preserve"> </w:t>
      </w:r>
      <w:r w:rsidRPr="00283806">
        <w:rPr>
          <w:w w:val="105"/>
        </w:rPr>
        <w:t>negotiations between entities to fulfill reclaim requirements. The commenter stated that, for example, allowance holders of refrigerants, who may not want to manage reclaim operations or purchase reclaimed gas directly, could negotiate with another entity to take on CO</w:t>
      </w:r>
      <w:r w:rsidRPr="00283806">
        <w:rPr>
          <w:rFonts w:ascii="Times New Roman"/>
          <w:w w:val="105"/>
          <w:vertAlign w:val="subscript"/>
        </w:rPr>
        <w:t>2</w:t>
      </w:r>
      <w:r w:rsidRPr="00283806">
        <w:rPr>
          <w:rFonts w:ascii="Times New Roman"/>
          <w:w w:val="105"/>
        </w:rPr>
        <w:t xml:space="preserve"> </w:t>
      </w:r>
      <w:r w:rsidRPr="00283806">
        <w:rPr>
          <w:w w:val="105"/>
        </w:rPr>
        <w:t>equivalent reclaim obligations, allowing smaller entities to participate</w:t>
      </w:r>
      <w:r w:rsidRPr="00283806">
        <w:rPr>
          <w:spacing w:val="80"/>
          <w:w w:val="105"/>
        </w:rPr>
        <w:t xml:space="preserve"> </w:t>
      </w:r>
      <w:r w:rsidRPr="00283806">
        <w:rPr>
          <w:w w:val="105"/>
        </w:rPr>
        <w:t>in the reclaim program without significant investments in infrastructure or expertise. The commenter claimed</w:t>
      </w:r>
      <w:r w:rsidRPr="00283806">
        <w:rPr>
          <w:spacing w:val="40"/>
          <w:w w:val="105"/>
        </w:rPr>
        <w:t xml:space="preserve"> </w:t>
      </w:r>
      <w:r w:rsidRPr="00283806">
        <w:rPr>
          <w:w w:val="105"/>
        </w:rPr>
        <w:t>that this would make the reclaim program more accessible and flexible for smaller allowance holders, promoting broader participation.</w:t>
      </w:r>
    </w:p>
    <w:p w14:paraId="30468DCE" w14:textId="77777777" w:rsidR="00D67C1E" w:rsidRPr="00283806" w:rsidRDefault="001265CA">
      <w:pPr>
        <w:spacing w:line="180" w:lineRule="exact"/>
        <w:ind w:left="330"/>
        <w:rPr>
          <w:sz w:val="18"/>
        </w:rPr>
      </w:pPr>
      <w:r w:rsidRPr="00283806">
        <w:rPr>
          <w:rFonts w:ascii="Book Antiqua"/>
          <w:i/>
          <w:w w:val="110"/>
          <w:sz w:val="18"/>
        </w:rPr>
        <w:t xml:space="preserve">Response: </w:t>
      </w:r>
      <w:r w:rsidRPr="00283806">
        <w:rPr>
          <w:w w:val="110"/>
          <w:sz w:val="18"/>
        </w:rPr>
        <w:t>EPA</w:t>
      </w:r>
      <w:r w:rsidRPr="00283806">
        <w:rPr>
          <w:spacing w:val="6"/>
          <w:w w:val="110"/>
          <w:sz w:val="18"/>
        </w:rPr>
        <w:t xml:space="preserve"> </w:t>
      </w:r>
      <w:r w:rsidRPr="00283806">
        <w:rPr>
          <w:w w:val="110"/>
          <w:sz w:val="18"/>
        </w:rPr>
        <w:t>responds</w:t>
      </w:r>
      <w:r w:rsidRPr="00283806">
        <w:rPr>
          <w:spacing w:val="6"/>
          <w:w w:val="110"/>
          <w:sz w:val="18"/>
        </w:rPr>
        <w:t xml:space="preserve"> </w:t>
      </w:r>
      <w:r w:rsidRPr="00283806">
        <w:rPr>
          <w:w w:val="110"/>
          <w:sz w:val="18"/>
        </w:rPr>
        <w:t>that</w:t>
      </w:r>
      <w:r w:rsidRPr="00283806">
        <w:rPr>
          <w:spacing w:val="6"/>
          <w:w w:val="110"/>
          <w:sz w:val="18"/>
        </w:rPr>
        <w:t xml:space="preserve"> </w:t>
      </w:r>
      <w:r w:rsidRPr="00283806">
        <w:rPr>
          <w:w w:val="110"/>
          <w:sz w:val="18"/>
        </w:rPr>
        <w:t>EPA</w:t>
      </w:r>
      <w:r w:rsidRPr="00283806">
        <w:rPr>
          <w:spacing w:val="6"/>
          <w:w w:val="110"/>
          <w:sz w:val="18"/>
        </w:rPr>
        <w:t xml:space="preserve"> </w:t>
      </w:r>
      <w:r w:rsidRPr="00283806">
        <w:rPr>
          <w:spacing w:val="-5"/>
          <w:w w:val="110"/>
          <w:sz w:val="18"/>
        </w:rPr>
        <w:t>is</w:t>
      </w:r>
    </w:p>
    <w:p w14:paraId="1DBAF2BA" w14:textId="77777777" w:rsidR="00D67C1E" w:rsidRPr="00283806" w:rsidRDefault="001265CA">
      <w:pPr>
        <w:pStyle w:val="BodyText"/>
        <w:spacing w:line="225" w:lineRule="auto"/>
        <w:ind w:left="150" w:right="28"/>
      </w:pPr>
      <w:r w:rsidRPr="00283806">
        <w:rPr>
          <w:w w:val="105"/>
        </w:rPr>
        <w:t>not implementing a reclaim program based on CO</w:t>
      </w:r>
      <w:r w:rsidRPr="00283806">
        <w:rPr>
          <w:rFonts w:ascii="Times New Roman"/>
          <w:w w:val="105"/>
          <w:vertAlign w:val="subscript"/>
        </w:rPr>
        <w:t>2</w:t>
      </w:r>
      <w:r w:rsidRPr="00283806">
        <w:rPr>
          <w:rFonts w:ascii="Times New Roman"/>
          <w:w w:val="105"/>
        </w:rPr>
        <w:t xml:space="preserve"> </w:t>
      </w:r>
      <w:r w:rsidRPr="00283806">
        <w:rPr>
          <w:w w:val="105"/>
        </w:rPr>
        <w:t>equivalency at this time. EPA notes that the established requirements in this rulemaking may result in some allowance holders purchasing reclaimed HFC refrigerants</w:t>
      </w:r>
      <w:r w:rsidRPr="00283806">
        <w:rPr>
          <w:spacing w:val="40"/>
          <w:w w:val="105"/>
        </w:rPr>
        <w:t xml:space="preserve"> </w:t>
      </w:r>
      <w:r w:rsidRPr="00283806">
        <w:rPr>
          <w:w w:val="105"/>
        </w:rPr>
        <w:t>to service or repair their equipment in the covered RACHP subsectors;</w:t>
      </w:r>
      <w:r w:rsidRPr="00283806">
        <w:rPr>
          <w:spacing w:val="80"/>
          <w:w w:val="105"/>
        </w:rPr>
        <w:t xml:space="preserve"> </w:t>
      </w:r>
      <w:r w:rsidRPr="00283806">
        <w:rPr>
          <w:w w:val="105"/>
        </w:rPr>
        <w:t xml:space="preserve">however, EPA does intend for </w:t>
      </w:r>
      <w:proofErr w:type="gramStart"/>
      <w:r w:rsidRPr="00283806">
        <w:rPr>
          <w:w w:val="105"/>
        </w:rPr>
        <w:t>all of</w:t>
      </w:r>
      <w:proofErr w:type="gramEnd"/>
      <w:r w:rsidRPr="00283806">
        <w:rPr>
          <w:spacing w:val="80"/>
          <w:w w:val="105"/>
        </w:rPr>
        <w:t xml:space="preserve"> </w:t>
      </w:r>
      <w:r w:rsidRPr="00283806">
        <w:rPr>
          <w:w w:val="105"/>
        </w:rPr>
        <w:t>these allowance holders to manage their own reclamation operations.</w:t>
      </w:r>
    </w:p>
    <w:p w14:paraId="27FE89B6" w14:textId="77777777" w:rsidR="00D67C1E" w:rsidRPr="00283806" w:rsidRDefault="001265CA">
      <w:pPr>
        <w:pStyle w:val="BodyText"/>
        <w:spacing w:line="228" w:lineRule="auto"/>
        <w:ind w:left="150" w:right="8"/>
      </w:pPr>
      <w:r w:rsidRPr="00283806">
        <w:rPr>
          <w:w w:val="105"/>
        </w:rPr>
        <w:t>Reclaimers, who in some cases are also allowance holders, are certified under</w:t>
      </w:r>
      <w:r w:rsidRPr="00283806">
        <w:rPr>
          <w:spacing w:val="80"/>
          <w:w w:val="105"/>
        </w:rPr>
        <w:t xml:space="preserve"> </w:t>
      </w:r>
      <w:r w:rsidRPr="00283806">
        <w:rPr>
          <w:w w:val="105"/>
        </w:rPr>
        <w:t xml:space="preserve">40 CFR 82.164. If an allowance holder who is not already a certified reclaimer wishes to manage their own reclamation operations, they would need to be approved by EPA to become a certified </w:t>
      </w:r>
      <w:r w:rsidRPr="00283806">
        <w:rPr>
          <w:spacing w:val="-2"/>
          <w:w w:val="105"/>
        </w:rPr>
        <w:t>reclaimer.</w:t>
      </w:r>
    </w:p>
    <w:p w14:paraId="6AF5D12C" w14:textId="77777777" w:rsidR="00D67C1E" w:rsidRPr="00283806" w:rsidRDefault="001265CA">
      <w:pPr>
        <w:pStyle w:val="BodyText"/>
        <w:spacing w:line="177" w:lineRule="exact"/>
        <w:ind w:left="330"/>
      </w:pPr>
      <w:r w:rsidRPr="00283806">
        <w:rPr>
          <w:w w:val="105"/>
        </w:rPr>
        <w:t>The</w:t>
      </w:r>
      <w:r w:rsidRPr="00283806">
        <w:rPr>
          <w:spacing w:val="19"/>
          <w:w w:val="105"/>
        </w:rPr>
        <w:t xml:space="preserve"> </w:t>
      </w:r>
      <w:r w:rsidRPr="00283806">
        <w:rPr>
          <w:w w:val="105"/>
        </w:rPr>
        <w:t>Agency</w:t>
      </w:r>
      <w:r w:rsidRPr="00283806">
        <w:rPr>
          <w:spacing w:val="19"/>
          <w:w w:val="105"/>
        </w:rPr>
        <w:t xml:space="preserve"> </w:t>
      </w:r>
      <w:r w:rsidRPr="00283806">
        <w:rPr>
          <w:w w:val="105"/>
        </w:rPr>
        <w:t>understands</w:t>
      </w:r>
      <w:r w:rsidRPr="00283806">
        <w:rPr>
          <w:spacing w:val="19"/>
          <w:w w:val="105"/>
        </w:rPr>
        <w:t xml:space="preserve"> </w:t>
      </w:r>
      <w:r w:rsidRPr="00283806">
        <w:rPr>
          <w:spacing w:val="-5"/>
          <w:w w:val="105"/>
        </w:rPr>
        <w:t>the</w:t>
      </w:r>
    </w:p>
    <w:p w14:paraId="73667ED1" w14:textId="77777777" w:rsidR="00D67C1E" w:rsidRPr="00283806" w:rsidRDefault="001265CA">
      <w:pPr>
        <w:pStyle w:val="BodyText"/>
        <w:spacing w:line="228" w:lineRule="auto"/>
        <w:ind w:left="150" w:right="104"/>
      </w:pPr>
      <w:r w:rsidRPr="00283806">
        <w:rPr>
          <w:w w:val="105"/>
        </w:rPr>
        <w:t>availability of advanced reclamation technology and describes some of these considerations in section IV.E.1 of this preamble, related to the reclamation standard. As EPA understands, some reclaimers have access to more advanced separation technologies to</w:t>
      </w:r>
    </w:p>
    <w:p w14:paraId="3E1BFF41" w14:textId="77777777" w:rsidR="00D67C1E" w:rsidRPr="00283806" w:rsidRDefault="001265CA">
      <w:pPr>
        <w:pStyle w:val="BodyText"/>
        <w:spacing w:before="134" w:line="228" w:lineRule="auto"/>
        <w:ind w:left="153" w:right="252"/>
      </w:pPr>
      <w:r w:rsidRPr="00283806">
        <w:br w:type="column"/>
      </w:r>
      <w:r w:rsidRPr="00283806">
        <w:rPr>
          <w:w w:val="105"/>
        </w:rPr>
        <w:t>reprocess materials to proper specifications. These advanced technologies can be useful for reclaiming more complex and multi- component refrigerants blends.</w:t>
      </w:r>
    </w:p>
    <w:p w14:paraId="531C26AC" w14:textId="77777777" w:rsidR="00D67C1E" w:rsidRPr="00283806" w:rsidRDefault="001265CA">
      <w:pPr>
        <w:pStyle w:val="BodyText"/>
        <w:spacing w:line="228" w:lineRule="auto"/>
        <w:ind w:left="153" w:right="141"/>
      </w:pPr>
      <w:r w:rsidRPr="00283806">
        <w:rPr>
          <w:w w:val="105"/>
        </w:rPr>
        <w:t>However,</w:t>
      </w:r>
      <w:r w:rsidRPr="00283806">
        <w:rPr>
          <w:spacing w:val="40"/>
          <w:w w:val="105"/>
        </w:rPr>
        <w:t xml:space="preserve"> </w:t>
      </w:r>
      <w:r w:rsidRPr="00283806">
        <w:rPr>
          <w:w w:val="105"/>
        </w:rPr>
        <w:t>the</w:t>
      </w:r>
      <w:r w:rsidRPr="00283806">
        <w:rPr>
          <w:spacing w:val="40"/>
          <w:w w:val="105"/>
        </w:rPr>
        <w:t xml:space="preserve"> </w:t>
      </w:r>
      <w:r w:rsidRPr="00283806">
        <w:rPr>
          <w:w w:val="105"/>
        </w:rPr>
        <w:t>Agency</w:t>
      </w:r>
      <w:r w:rsidRPr="00283806">
        <w:rPr>
          <w:spacing w:val="40"/>
          <w:w w:val="105"/>
        </w:rPr>
        <w:t xml:space="preserve"> </w:t>
      </w:r>
      <w:r w:rsidRPr="00283806">
        <w:rPr>
          <w:w w:val="105"/>
        </w:rPr>
        <w:t>is</w:t>
      </w:r>
      <w:r w:rsidRPr="00283806">
        <w:rPr>
          <w:spacing w:val="40"/>
          <w:w w:val="105"/>
        </w:rPr>
        <w:t xml:space="preserve"> </w:t>
      </w:r>
      <w:r w:rsidRPr="00283806">
        <w:rPr>
          <w:w w:val="105"/>
        </w:rPr>
        <w:t>establishing that reclaimed refrigerant may still contain an amount of virgin HFCs that may be necessary for reclaiming these blends. Further, the Agency is not establishing requirements for the initial fill of refrigerant-containing equipment with reclaimed HFCs in RACHP subsectors, including those where</w:t>
      </w:r>
      <w:r w:rsidRPr="00283806">
        <w:rPr>
          <w:spacing w:val="80"/>
          <w:w w:val="150"/>
        </w:rPr>
        <w:t xml:space="preserve"> </w:t>
      </w:r>
      <w:r w:rsidRPr="00283806">
        <w:rPr>
          <w:w w:val="105"/>
        </w:rPr>
        <w:t>newer blends of refrigerants that are compliant with the 2023 Technology Transitions Rule would be used in new equipment. By limiting requirements for reclaimed HFCs to servicing and/or repair, EPA is focusing on existing equipment where more common HFCs and HFC blends have been used for</w:t>
      </w:r>
      <w:r w:rsidRPr="00283806">
        <w:rPr>
          <w:spacing w:val="80"/>
          <w:w w:val="105"/>
        </w:rPr>
        <w:t xml:space="preserve"> </w:t>
      </w:r>
      <w:r w:rsidRPr="00283806">
        <w:rPr>
          <w:w w:val="105"/>
        </w:rPr>
        <w:t>years and are currently being reclaimed.</w:t>
      </w:r>
    </w:p>
    <w:p w14:paraId="7A0467F4" w14:textId="77777777" w:rsidR="00D67C1E" w:rsidRPr="00283806" w:rsidRDefault="001265CA">
      <w:pPr>
        <w:pStyle w:val="BodyText"/>
        <w:spacing w:before="2" w:line="228" w:lineRule="auto"/>
        <w:ind w:left="153" w:right="131" w:firstLine="180"/>
      </w:pPr>
      <w:r w:rsidRPr="00283806">
        <w:rPr>
          <w:rFonts w:ascii="Book Antiqua"/>
          <w:i/>
          <w:w w:val="105"/>
        </w:rPr>
        <w:t xml:space="preserve">Comment: </w:t>
      </w:r>
      <w:r w:rsidRPr="00283806">
        <w:rPr>
          <w:w w:val="105"/>
        </w:rPr>
        <w:t>One commenter recommended that EPA put a per-pound deposit on regulated refrigerants that would be refunded when the substance</w:t>
      </w:r>
      <w:r w:rsidRPr="00283806">
        <w:rPr>
          <w:spacing w:val="80"/>
          <w:w w:val="105"/>
        </w:rPr>
        <w:t xml:space="preserve"> </w:t>
      </w:r>
      <w:r w:rsidRPr="00283806">
        <w:rPr>
          <w:w w:val="105"/>
        </w:rPr>
        <w:t>is recycled. The commenter noted a potential downside due to the creation</w:t>
      </w:r>
      <w:r w:rsidRPr="00283806">
        <w:rPr>
          <w:spacing w:val="80"/>
          <w:w w:val="105"/>
        </w:rPr>
        <w:t xml:space="preserve"> </w:t>
      </w:r>
      <w:r w:rsidRPr="00283806">
        <w:rPr>
          <w:w w:val="105"/>
        </w:rPr>
        <w:t>of a market for stolen refrigerant but noted that recordkeeping requirements would deter theft. The commenter suggested a balance between a price that could encourage recycling but not encourage theft and claimed that the</w:t>
      </w:r>
      <w:r w:rsidRPr="00283806">
        <w:rPr>
          <w:spacing w:val="80"/>
          <w:w w:val="105"/>
        </w:rPr>
        <w:t xml:space="preserve"> </w:t>
      </w:r>
      <w:r w:rsidRPr="00283806">
        <w:rPr>
          <w:w w:val="105"/>
        </w:rPr>
        <w:t>cost would also support leak reduction measures. The commenter also recommended monthly reporting of refrigerants given the importance of the issue but noted a negative impact on consumers as the cost of reporting increases. The commenter</w:t>
      </w:r>
      <w:r w:rsidRPr="00283806">
        <w:rPr>
          <w:spacing w:val="80"/>
          <w:w w:val="105"/>
        </w:rPr>
        <w:t xml:space="preserve"> </w:t>
      </w:r>
      <w:r w:rsidRPr="00283806">
        <w:rPr>
          <w:w w:val="105"/>
        </w:rPr>
        <w:t>recommended relying on market forces where possible and providing rewards</w:t>
      </w:r>
      <w:r w:rsidRPr="00283806">
        <w:rPr>
          <w:spacing w:val="40"/>
          <w:w w:val="105"/>
        </w:rPr>
        <w:t xml:space="preserve"> </w:t>
      </w:r>
      <w:r w:rsidRPr="00283806">
        <w:rPr>
          <w:w w:val="105"/>
        </w:rPr>
        <w:t>for compliance.</w:t>
      </w:r>
    </w:p>
    <w:p w14:paraId="1614E2D2" w14:textId="77777777" w:rsidR="00D67C1E" w:rsidRPr="00283806" w:rsidRDefault="001265CA">
      <w:pPr>
        <w:pStyle w:val="BodyText"/>
        <w:spacing w:line="225" w:lineRule="auto"/>
        <w:ind w:left="153" w:right="196" w:firstLine="180"/>
      </w:pPr>
      <w:r w:rsidRPr="00283806">
        <w:rPr>
          <w:rFonts w:ascii="Book Antiqua"/>
          <w:i/>
          <w:w w:val="105"/>
        </w:rPr>
        <w:t xml:space="preserve">Response: </w:t>
      </w:r>
      <w:r w:rsidRPr="00283806">
        <w:rPr>
          <w:w w:val="105"/>
        </w:rPr>
        <w:t>EPA did not propose and is not finalizing a refrigerant deposit program. If in the future, the Agency</w:t>
      </w:r>
      <w:r w:rsidRPr="00283806">
        <w:rPr>
          <w:spacing w:val="40"/>
          <w:w w:val="105"/>
        </w:rPr>
        <w:t xml:space="preserve"> </w:t>
      </w:r>
      <w:r w:rsidRPr="00283806">
        <w:rPr>
          <w:w w:val="105"/>
        </w:rPr>
        <w:t>were to consider such a program, the Agency would evaluate the potential drawbacks of implementing such a program (such as the potential for fraud and increased recordkeeping or reporting burden) that could outweigh potential benefits. EPA notes that the requirements in the rulemaking have been established considering market conditions and other analyses as described in the Economic Impact and Benefits TSD for this rule.</w:t>
      </w:r>
    </w:p>
    <w:p w14:paraId="3A4E4A69" w14:textId="77777777" w:rsidR="00D67C1E" w:rsidRPr="00283806" w:rsidRDefault="001265CA">
      <w:pPr>
        <w:pStyle w:val="BodyText"/>
        <w:spacing w:before="21" w:line="225" w:lineRule="auto"/>
        <w:ind w:left="153" w:right="196" w:firstLine="180"/>
      </w:pPr>
      <w:r w:rsidRPr="00283806">
        <w:rPr>
          <w:rFonts w:ascii="Book Antiqua"/>
          <w:i/>
          <w:w w:val="105"/>
        </w:rPr>
        <w:t xml:space="preserve">Comment: </w:t>
      </w:r>
      <w:r w:rsidRPr="00283806">
        <w:rPr>
          <w:w w:val="105"/>
        </w:rPr>
        <w:t>Another commenter supported the provision in section 84.104(a)</w:t>
      </w:r>
      <w:r w:rsidRPr="00283806">
        <w:rPr>
          <w:spacing w:val="-3"/>
          <w:w w:val="105"/>
        </w:rPr>
        <w:t xml:space="preserve"> </w:t>
      </w:r>
      <w:r w:rsidRPr="00283806">
        <w:rPr>
          <w:w w:val="105"/>
        </w:rPr>
        <w:t>to</w:t>
      </w:r>
      <w:r w:rsidRPr="00283806">
        <w:rPr>
          <w:spacing w:val="-3"/>
          <w:w w:val="105"/>
        </w:rPr>
        <w:t xml:space="preserve"> </w:t>
      </w:r>
      <w:r w:rsidRPr="00283806">
        <w:rPr>
          <w:w w:val="105"/>
        </w:rPr>
        <w:t>prevent</w:t>
      </w:r>
      <w:r w:rsidRPr="00283806">
        <w:rPr>
          <w:spacing w:val="-3"/>
          <w:w w:val="105"/>
        </w:rPr>
        <w:t xml:space="preserve"> </w:t>
      </w:r>
      <w:proofErr w:type="gramStart"/>
      <w:r w:rsidRPr="00283806">
        <w:rPr>
          <w:w w:val="105"/>
        </w:rPr>
        <w:t>resale</w:t>
      </w:r>
      <w:proofErr w:type="gramEnd"/>
      <w:r w:rsidRPr="00283806">
        <w:rPr>
          <w:spacing w:val="-3"/>
          <w:w w:val="105"/>
        </w:rPr>
        <w:t xml:space="preserve"> </w:t>
      </w:r>
      <w:r w:rsidRPr="00283806">
        <w:rPr>
          <w:w w:val="105"/>
        </w:rPr>
        <w:t>of</w:t>
      </w:r>
      <w:r w:rsidRPr="00283806">
        <w:rPr>
          <w:spacing w:val="-3"/>
          <w:w w:val="105"/>
        </w:rPr>
        <w:t xml:space="preserve"> </w:t>
      </w:r>
      <w:r w:rsidRPr="00283806">
        <w:rPr>
          <w:w w:val="105"/>
        </w:rPr>
        <w:t>reclaimed refrigerant for any purpose besides reclamation and recommended that there be explicit enforcement mechanisms. The commenter requested that EPA provide clearer guidance for</w:t>
      </w:r>
    </w:p>
    <w:p w14:paraId="688979DB"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0" w:space="40"/>
            <w:col w:w="3497" w:space="39"/>
            <w:col w:w="3634"/>
          </w:cols>
        </w:sectPr>
      </w:pPr>
    </w:p>
    <w:p w14:paraId="7D14ACFB" w14:textId="77777777" w:rsidR="00D67C1E" w:rsidRPr="00283806" w:rsidRDefault="001265CA">
      <w:pPr>
        <w:pStyle w:val="BodyText"/>
        <w:spacing w:before="136" w:line="225" w:lineRule="auto"/>
        <w:ind w:right="78"/>
      </w:pPr>
      <w:r w:rsidRPr="00283806">
        <w:rPr>
          <w:w w:val="105"/>
        </w:rPr>
        <w:lastRenderedPageBreak/>
        <w:t>what enforcement would entail under this rulemaking.</w:t>
      </w:r>
    </w:p>
    <w:p w14:paraId="1D3D2501" w14:textId="77777777" w:rsidR="00D67C1E" w:rsidRPr="00283806" w:rsidRDefault="001265CA">
      <w:pPr>
        <w:pStyle w:val="BodyText"/>
        <w:spacing w:line="213" w:lineRule="auto"/>
        <w:ind w:firstLine="180"/>
      </w:pPr>
      <w:r w:rsidRPr="00283806">
        <w:rPr>
          <w:rFonts w:ascii="Book Antiqua"/>
          <w:i/>
          <w:w w:val="105"/>
        </w:rPr>
        <w:t xml:space="preserve">Response: </w:t>
      </w:r>
      <w:r w:rsidRPr="00283806">
        <w:rPr>
          <w:w w:val="105"/>
        </w:rPr>
        <w:t>EPA acknowledges this comment and notes that this provision</w:t>
      </w:r>
    </w:p>
    <w:p w14:paraId="4DC148BE" w14:textId="77777777" w:rsidR="00D67C1E" w:rsidRPr="00283806" w:rsidRDefault="001265CA">
      <w:pPr>
        <w:pStyle w:val="BodyText"/>
        <w:spacing w:line="225" w:lineRule="auto"/>
        <w:ind w:right="24"/>
      </w:pPr>
      <w:r w:rsidRPr="00283806">
        <w:rPr>
          <w:w w:val="105"/>
        </w:rPr>
        <w:t>is consistent with the statutory language in subsection (h)(2)(B) of the AIM Act, which provides that recovered regulated substances that are used as a refrigerant must be reclaimed before it is sold or transferred to a new owner, unless the recovered regulated substances are</w:t>
      </w:r>
      <w:r w:rsidRPr="00283806">
        <w:rPr>
          <w:spacing w:val="80"/>
          <w:w w:val="105"/>
        </w:rPr>
        <w:t xml:space="preserve"> </w:t>
      </w:r>
      <w:r w:rsidRPr="00283806">
        <w:rPr>
          <w:w w:val="105"/>
        </w:rPr>
        <w:t>being sold or transferred to a new owner solely for the purposes of reclamation or destruction. As described above, under</w:t>
      </w:r>
      <w:r w:rsidRPr="00283806">
        <w:rPr>
          <w:spacing w:val="40"/>
          <w:w w:val="105"/>
        </w:rPr>
        <w:t xml:space="preserve"> </w:t>
      </w:r>
      <w:r w:rsidRPr="00283806">
        <w:rPr>
          <w:w w:val="105"/>
        </w:rPr>
        <w:t xml:space="preserve">40 CFR part 82, subpart F, recovered refrigerant may be recycled and used for servicing or </w:t>
      </w:r>
      <w:proofErr w:type="gramStart"/>
      <w:r w:rsidRPr="00283806">
        <w:rPr>
          <w:w w:val="105"/>
        </w:rPr>
        <w:t>repair</w:t>
      </w:r>
      <w:proofErr w:type="gramEnd"/>
      <w:r w:rsidRPr="00283806">
        <w:rPr>
          <w:w w:val="105"/>
        </w:rPr>
        <w:t xml:space="preserve"> of the same appliance or another appliance of the same owner. EPA clarifies that this rulemaking does not prevent that practice.</w:t>
      </w:r>
    </w:p>
    <w:p w14:paraId="0B106F67" w14:textId="77777777" w:rsidR="00D67C1E" w:rsidRPr="00283806" w:rsidRDefault="001265CA">
      <w:pPr>
        <w:pStyle w:val="BodyText"/>
        <w:spacing w:line="174" w:lineRule="exact"/>
        <w:ind w:left="340"/>
      </w:pPr>
      <w:r w:rsidRPr="00283806">
        <w:rPr>
          <w:w w:val="105"/>
        </w:rPr>
        <w:t>EPA</w:t>
      </w:r>
      <w:r w:rsidRPr="00283806">
        <w:rPr>
          <w:spacing w:val="12"/>
          <w:w w:val="105"/>
        </w:rPr>
        <w:t xml:space="preserve"> </w:t>
      </w:r>
      <w:r w:rsidRPr="00283806">
        <w:rPr>
          <w:w w:val="105"/>
        </w:rPr>
        <w:t>notes</w:t>
      </w:r>
      <w:r w:rsidRPr="00283806">
        <w:rPr>
          <w:spacing w:val="13"/>
          <w:w w:val="105"/>
        </w:rPr>
        <w:t xml:space="preserve"> </w:t>
      </w:r>
      <w:r w:rsidRPr="00283806">
        <w:rPr>
          <w:w w:val="105"/>
        </w:rPr>
        <w:t>that</w:t>
      </w:r>
      <w:r w:rsidRPr="00283806">
        <w:rPr>
          <w:spacing w:val="13"/>
          <w:w w:val="105"/>
        </w:rPr>
        <w:t xml:space="preserve"> </w:t>
      </w:r>
      <w:r w:rsidRPr="00283806">
        <w:rPr>
          <w:w w:val="105"/>
        </w:rPr>
        <w:t>the</w:t>
      </w:r>
      <w:r w:rsidRPr="00283806">
        <w:rPr>
          <w:spacing w:val="13"/>
          <w:w w:val="105"/>
        </w:rPr>
        <w:t xml:space="preserve"> </w:t>
      </w:r>
      <w:r w:rsidRPr="00283806">
        <w:rPr>
          <w:w w:val="105"/>
        </w:rPr>
        <w:t>provisions</w:t>
      </w:r>
      <w:r w:rsidRPr="00283806">
        <w:rPr>
          <w:spacing w:val="12"/>
          <w:w w:val="105"/>
        </w:rPr>
        <w:t xml:space="preserve"> </w:t>
      </w:r>
      <w:r w:rsidRPr="00283806">
        <w:rPr>
          <w:spacing w:val="-2"/>
          <w:w w:val="105"/>
        </w:rPr>
        <w:t>related</w:t>
      </w:r>
    </w:p>
    <w:p w14:paraId="108E75BF" w14:textId="77777777" w:rsidR="00D67C1E" w:rsidRPr="00283806" w:rsidRDefault="001265CA">
      <w:pPr>
        <w:pStyle w:val="BodyText"/>
        <w:spacing w:line="225" w:lineRule="auto"/>
        <w:ind w:right="29"/>
      </w:pPr>
      <w:r w:rsidRPr="00283806">
        <w:rPr>
          <w:w w:val="105"/>
        </w:rPr>
        <w:t>to reclaimed refrigerant use for servicing and/or repair of certain equipment build on the established reclamation standard for limiting the virgin HFC content in reclaimed refrigerant to 15 percent, by weight. This requirement, as described</w:t>
      </w:r>
      <w:r w:rsidRPr="00283806">
        <w:rPr>
          <w:spacing w:val="80"/>
          <w:w w:val="105"/>
        </w:rPr>
        <w:t xml:space="preserve"> </w:t>
      </w:r>
      <w:r w:rsidRPr="00283806">
        <w:rPr>
          <w:w w:val="105"/>
        </w:rPr>
        <w:t>in section IV.E.1 includes labeling, recordkeeping, and certification requirements to ensure reclaimed refrigerants are meeting the established standard. Certification must be provided to the purchaser of the reclaimed refrigerants to verify that the product does</w:t>
      </w:r>
      <w:r w:rsidRPr="00283806">
        <w:rPr>
          <w:spacing w:val="40"/>
          <w:w w:val="105"/>
        </w:rPr>
        <w:t xml:space="preserve"> </w:t>
      </w:r>
      <w:r w:rsidRPr="00283806">
        <w:rPr>
          <w:w w:val="105"/>
        </w:rPr>
        <w:t>not</w:t>
      </w:r>
      <w:r w:rsidRPr="00283806">
        <w:rPr>
          <w:spacing w:val="40"/>
          <w:w w:val="105"/>
        </w:rPr>
        <w:t xml:space="preserve"> </w:t>
      </w:r>
      <w:r w:rsidRPr="00283806">
        <w:rPr>
          <w:w w:val="105"/>
        </w:rPr>
        <w:t>exceed</w:t>
      </w:r>
      <w:r w:rsidRPr="00283806">
        <w:rPr>
          <w:spacing w:val="40"/>
          <w:w w:val="105"/>
        </w:rPr>
        <w:t xml:space="preserve"> </w:t>
      </w:r>
      <w:r w:rsidRPr="00283806">
        <w:rPr>
          <w:w w:val="105"/>
        </w:rPr>
        <w:t>the</w:t>
      </w:r>
      <w:r w:rsidRPr="00283806">
        <w:rPr>
          <w:spacing w:val="40"/>
          <w:w w:val="105"/>
        </w:rPr>
        <w:t xml:space="preserve"> </w:t>
      </w:r>
      <w:r w:rsidRPr="00283806">
        <w:rPr>
          <w:w w:val="105"/>
        </w:rPr>
        <w:t>limit</w:t>
      </w:r>
      <w:r w:rsidRPr="00283806">
        <w:rPr>
          <w:spacing w:val="40"/>
          <w:w w:val="105"/>
        </w:rPr>
        <w:t xml:space="preserve"> </w:t>
      </w:r>
      <w:r w:rsidRPr="00283806">
        <w:rPr>
          <w:w w:val="105"/>
        </w:rPr>
        <w:t>on</w:t>
      </w:r>
      <w:r w:rsidRPr="00283806">
        <w:rPr>
          <w:spacing w:val="40"/>
          <w:w w:val="105"/>
        </w:rPr>
        <w:t xml:space="preserve"> </w:t>
      </w:r>
      <w:r w:rsidRPr="00283806">
        <w:rPr>
          <w:w w:val="105"/>
        </w:rPr>
        <w:t>virgin HFCs. Thus, the purchaser can ensure</w:t>
      </w:r>
      <w:r w:rsidRPr="00283806">
        <w:rPr>
          <w:spacing w:val="40"/>
          <w:w w:val="105"/>
        </w:rPr>
        <w:t xml:space="preserve"> </w:t>
      </w:r>
      <w:r w:rsidRPr="00283806">
        <w:rPr>
          <w:w w:val="105"/>
        </w:rPr>
        <w:t>that reclaimed HFCs are appropriately used to service or repair equipment in</w:t>
      </w:r>
      <w:r w:rsidRPr="00283806">
        <w:rPr>
          <w:spacing w:val="40"/>
          <w:w w:val="105"/>
        </w:rPr>
        <w:t xml:space="preserve"> </w:t>
      </w:r>
      <w:r w:rsidRPr="00283806">
        <w:rPr>
          <w:w w:val="105"/>
        </w:rPr>
        <w:t>the covered subsectors of this rulemaking. Enforcement action may be taken where virgin HFC refrigerant is used for servicing or repairing</w:t>
      </w:r>
      <w:r w:rsidRPr="00283806">
        <w:rPr>
          <w:spacing w:val="40"/>
          <w:w w:val="105"/>
        </w:rPr>
        <w:t xml:space="preserve"> </w:t>
      </w:r>
      <w:r w:rsidRPr="00283806">
        <w:rPr>
          <w:w w:val="105"/>
        </w:rPr>
        <w:t>equipment in the covered subsectors, where containers of refrigerant do not have the proper labeling for reclaimed refrigerants and records/certifications can be checked. Specific requests about what more information is being asked</w:t>
      </w:r>
      <w:r w:rsidRPr="00283806">
        <w:rPr>
          <w:spacing w:val="80"/>
          <w:w w:val="105"/>
        </w:rPr>
        <w:t xml:space="preserve"> </w:t>
      </w:r>
      <w:r w:rsidRPr="00283806">
        <w:rPr>
          <w:w w:val="105"/>
        </w:rPr>
        <w:t xml:space="preserve">for </w:t>
      </w:r>
      <w:proofErr w:type="gramStart"/>
      <w:r w:rsidRPr="00283806">
        <w:rPr>
          <w:w w:val="105"/>
        </w:rPr>
        <w:t>has</w:t>
      </w:r>
      <w:proofErr w:type="gramEnd"/>
      <w:r w:rsidRPr="00283806">
        <w:rPr>
          <w:w w:val="105"/>
        </w:rPr>
        <w:t xml:space="preserve"> not been described by the commenter, and the Agency may</w:t>
      </w:r>
      <w:r w:rsidRPr="00283806">
        <w:rPr>
          <w:spacing w:val="40"/>
          <w:w w:val="105"/>
        </w:rPr>
        <w:t xml:space="preserve"> </w:t>
      </w:r>
      <w:r w:rsidRPr="00283806">
        <w:rPr>
          <w:w w:val="105"/>
        </w:rPr>
        <w:t>consider issuing additional guidance in the future.</w:t>
      </w:r>
    </w:p>
    <w:p w14:paraId="4447E41F" w14:textId="77777777" w:rsidR="00D67C1E" w:rsidRPr="00283806" w:rsidRDefault="001265CA">
      <w:pPr>
        <w:spacing w:line="174" w:lineRule="exact"/>
        <w:ind w:left="340"/>
        <w:rPr>
          <w:sz w:val="18"/>
        </w:rPr>
      </w:pPr>
      <w:r w:rsidRPr="00283806">
        <w:rPr>
          <w:rFonts w:ascii="Book Antiqua"/>
          <w:i/>
          <w:w w:val="105"/>
          <w:sz w:val="18"/>
        </w:rPr>
        <w:t>Comment:</w:t>
      </w:r>
      <w:r w:rsidRPr="00283806">
        <w:rPr>
          <w:rFonts w:ascii="Book Antiqua"/>
          <w:i/>
          <w:spacing w:val="22"/>
          <w:w w:val="105"/>
          <w:sz w:val="18"/>
        </w:rPr>
        <w:t xml:space="preserve"> </w:t>
      </w:r>
      <w:r w:rsidRPr="00283806">
        <w:rPr>
          <w:w w:val="105"/>
          <w:sz w:val="18"/>
        </w:rPr>
        <w:t>One</w:t>
      </w:r>
      <w:r w:rsidRPr="00283806">
        <w:rPr>
          <w:spacing w:val="28"/>
          <w:w w:val="105"/>
          <w:sz w:val="18"/>
        </w:rPr>
        <w:t xml:space="preserve"> </w:t>
      </w:r>
      <w:r w:rsidRPr="00283806">
        <w:rPr>
          <w:w w:val="105"/>
          <w:sz w:val="18"/>
        </w:rPr>
        <w:t>commenter</w:t>
      </w:r>
      <w:r w:rsidRPr="00283806">
        <w:rPr>
          <w:spacing w:val="28"/>
          <w:w w:val="105"/>
          <w:sz w:val="18"/>
        </w:rPr>
        <w:t xml:space="preserve"> </w:t>
      </w:r>
      <w:r w:rsidRPr="00283806">
        <w:rPr>
          <w:spacing w:val="-2"/>
          <w:w w:val="105"/>
          <w:sz w:val="18"/>
        </w:rPr>
        <w:t>expressed</w:t>
      </w:r>
    </w:p>
    <w:p w14:paraId="15075AE5" w14:textId="77777777" w:rsidR="00D67C1E" w:rsidRPr="00283806" w:rsidRDefault="001265CA">
      <w:pPr>
        <w:pStyle w:val="BodyText"/>
        <w:spacing w:line="225" w:lineRule="auto"/>
        <w:ind w:left="159" w:right="65"/>
      </w:pPr>
      <w:r w:rsidRPr="00283806">
        <w:rPr>
          <w:w w:val="105"/>
        </w:rPr>
        <w:t xml:space="preserve">concern that the proposed rule does not allow sufficient flexibility to spread reclaimed </w:t>
      </w:r>
      <w:proofErr w:type="gramStart"/>
      <w:r w:rsidRPr="00283806">
        <w:rPr>
          <w:w w:val="105"/>
        </w:rPr>
        <w:t>refrigerants</w:t>
      </w:r>
      <w:proofErr w:type="gramEnd"/>
      <w:r w:rsidRPr="00283806">
        <w:rPr>
          <w:w w:val="105"/>
        </w:rPr>
        <w:t xml:space="preserve"> across the entire market, allowing for potential circumvention in the aftermarket space. The commenter requested that EPA</w:t>
      </w:r>
      <w:r w:rsidRPr="00283806">
        <w:rPr>
          <w:spacing w:val="80"/>
          <w:w w:val="105"/>
        </w:rPr>
        <w:t xml:space="preserve"> </w:t>
      </w:r>
      <w:r w:rsidRPr="00283806">
        <w:rPr>
          <w:w w:val="105"/>
        </w:rPr>
        <w:t>tailor reclaim requirements for sectors and end users to create a more flexible, practical, and achievable program. The commenter stated that reclaiming many newer refrigerants with HFO</w:t>
      </w:r>
      <w:r w:rsidRPr="00283806">
        <w:rPr>
          <w:spacing w:val="40"/>
          <w:w w:val="105"/>
        </w:rPr>
        <w:t xml:space="preserve"> </w:t>
      </w:r>
      <w:r w:rsidRPr="00283806">
        <w:rPr>
          <w:w w:val="105"/>
        </w:rPr>
        <w:t>components is currently impractical and that EPA should proceed on a CO</w:t>
      </w:r>
      <w:r w:rsidRPr="00283806">
        <w:rPr>
          <w:rFonts w:ascii="Times New Roman"/>
          <w:w w:val="105"/>
          <w:vertAlign w:val="subscript"/>
        </w:rPr>
        <w:t>2</w:t>
      </w:r>
      <w:r w:rsidRPr="00283806">
        <w:rPr>
          <w:w w:val="105"/>
        </w:rPr>
        <w:t>e net basis to allow producers to provide</w:t>
      </w:r>
      <w:r w:rsidRPr="00283806">
        <w:rPr>
          <w:spacing w:val="80"/>
          <w:w w:val="150"/>
        </w:rPr>
        <w:t xml:space="preserve"> </w:t>
      </w:r>
      <w:r w:rsidRPr="00283806">
        <w:rPr>
          <w:w w:val="105"/>
        </w:rPr>
        <w:t>more virgin lower-GWP substances and offset them with higher-GWP</w:t>
      </w:r>
    </w:p>
    <w:p w14:paraId="5636D0AB" w14:textId="77777777" w:rsidR="00D67C1E" w:rsidRPr="00283806" w:rsidRDefault="001265CA">
      <w:pPr>
        <w:pStyle w:val="BodyText"/>
        <w:spacing w:before="136" w:line="225" w:lineRule="auto"/>
        <w:ind w:left="143"/>
      </w:pPr>
      <w:r w:rsidRPr="00283806">
        <w:br w:type="column"/>
      </w:r>
      <w:r w:rsidRPr="00283806">
        <w:rPr>
          <w:w w:val="105"/>
        </w:rPr>
        <w:t xml:space="preserve">substances, </w:t>
      </w:r>
      <w:proofErr w:type="gramStart"/>
      <w:r w:rsidRPr="00283806">
        <w:rPr>
          <w:w w:val="105"/>
        </w:rPr>
        <w:t>in order to</w:t>
      </w:r>
      <w:proofErr w:type="gramEnd"/>
      <w:r w:rsidRPr="00283806">
        <w:rPr>
          <w:w w:val="105"/>
        </w:rPr>
        <w:t xml:space="preserve"> ensure both the transition to low-GWP alternatives and continued reclaim activity and to encourage the responsible transition to low-GWP refrigerants without hindering the overall effectiveness of the reclaim program, with requirements implemented at the producer or</w:t>
      </w:r>
      <w:r w:rsidRPr="00283806">
        <w:rPr>
          <w:spacing w:val="40"/>
          <w:w w:val="105"/>
        </w:rPr>
        <w:t xml:space="preserve"> </w:t>
      </w:r>
      <w:r w:rsidRPr="00283806">
        <w:rPr>
          <w:w w:val="105"/>
        </w:rPr>
        <w:t xml:space="preserve">importer level to streamline AIM Act </w:t>
      </w:r>
      <w:r w:rsidRPr="00283806">
        <w:rPr>
          <w:spacing w:val="-2"/>
          <w:w w:val="105"/>
        </w:rPr>
        <w:t>reporting.</w:t>
      </w:r>
    </w:p>
    <w:p w14:paraId="0FF002EC" w14:textId="77777777" w:rsidR="00D67C1E" w:rsidRPr="00283806" w:rsidRDefault="001265CA">
      <w:pPr>
        <w:pStyle w:val="BodyText"/>
        <w:spacing w:line="177" w:lineRule="exact"/>
        <w:ind w:left="323"/>
      </w:pPr>
      <w:r w:rsidRPr="00283806">
        <w:rPr>
          <w:w w:val="105"/>
        </w:rPr>
        <w:t>The</w:t>
      </w:r>
      <w:r w:rsidRPr="00283806">
        <w:rPr>
          <w:spacing w:val="1"/>
          <w:w w:val="105"/>
        </w:rPr>
        <w:t xml:space="preserve"> </w:t>
      </w:r>
      <w:r w:rsidRPr="00283806">
        <w:rPr>
          <w:w w:val="105"/>
        </w:rPr>
        <w:t>commenter</w:t>
      </w:r>
      <w:r w:rsidRPr="00283806">
        <w:rPr>
          <w:spacing w:val="2"/>
          <w:w w:val="105"/>
        </w:rPr>
        <w:t xml:space="preserve"> </w:t>
      </w:r>
      <w:r w:rsidRPr="00283806">
        <w:rPr>
          <w:w w:val="105"/>
        </w:rPr>
        <w:t>further</w:t>
      </w:r>
      <w:r w:rsidRPr="00283806">
        <w:rPr>
          <w:spacing w:val="2"/>
          <w:w w:val="105"/>
        </w:rPr>
        <w:t xml:space="preserve"> </w:t>
      </w:r>
      <w:r w:rsidRPr="00283806">
        <w:rPr>
          <w:w w:val="105"/>
        </w:rPr>
        <w:t>stated</w:t>
      </w:r>
      <w:r w:rsidRPr="00283806">
        <w:rPr>
          <w:spacing w:val="2"/>
          <w:w w:val="105"/>
        </w:rPr>
        <w:t xml:space="preserve"> </w:t>
      </w:r>
      <w:r w:rsidRPr="00283806">
        <w:rPr>
          <w:spacing w:val="-4"/>
          <w:w w:val="105"/>
        </w:rPr>
        <w:t>that</w:t>
      </w:r>
    </w:p>
    <w:p w14:paraId="05ACC033" w14:textId="77777777" w:rsidR="00D67C1E" w:rsidRPr="00283806" w:rsidRDefault="001265CA">
      <w:pPr>
        <w:pStyle w:val="BodyText"/>
        <w:spacing w:before="4" w:line="225" w:lineRule="auto"/>
        <w:ind w:left="143" w:right="27"/>
      </w:pPr>
      <w:proofErr w:type="gramStart"/>
      <w:r w:rsidRPr="00283806">
        <w:rPr>
          <w:w w:val="105"/>
        </w:rPr>
        <w:t>companies</w:t>
      </w:r>
      <w:proofErr w:type="gramEnd"/>
      <w:r w:rsidRPr="00283806">
        <w:rPr>
          <w:w w:val="105"/>
        </w:rPr>
        <w:t xml:space="preserve"> should be encouraged to recover low-GWP refrigerants by receiving GWP credit towards compliance requirements, incentivizing low-GWP recovery. The commenter requested that EPA allow companies to voluntarily reclaim and place on the market refrigerants exceeding the 2023 Technology Transitions Rule thresholds beyond their percentage reclaim requirements and receive GWP credits. The commenter claimed that these two measures would encourage a consistent culture of refrigerant management across the industry, reward companies for reclaiming, and pave the way for future regulations. The commenter additionally</w:t>
      </w:r>
      <w:r w:rsidRPr="00283806">
        <w:rPr>
          <w:spacing w:val="40"/>
          <w:w w:val="105"/>
        </w:rPr>
        <w:t xml:space="preserve"> </w:t>
      </w:r>
      <w:r w:rsidRPr="00283806">
        <w:rPr>
          <w:w w:val="105"/>
        </w:rPr>
        <w:t>proposed</w:t>
      </w:r>
      <w:r w:rsidRPr="00283806">
        <w:rPr>
          <w:spacing w:val="40"/>
          <w:w w:val="105"/>
        </w:rPr>
        <w:t xml:space="preserve"> </w:t>
      </w:r>
      <w:r w:rsidRPr="00283806">
        <w:rPr>
          <w:w w:val="105"/>
        </w:rPr>
        <w:t>that</w:t>
      </w:r>
      <w:r w:rsidRPr="00283806">
        <w:rPr>
          <w:spacing w:val="40"/>
          <w:w w:val="105"/>
        </w:rPr>
        <w:t xml:space="preserve"> </w:t>
      </w:r>
      <w:r w:rsidRPr="00283806">
        <w:rPr>
          <w:w w:val="105"/>
        </w:rPr>
        <w:t xml:space="preserve">EPA consider requiring that businesses or </w:t>
      </w:r>
      <w:proofErr w:type="gramStart"/>
      <w:r w:rsidRPr="00283806">
        <w:rPr>
          <w:w w:val="105"/>
        </w:rPr>
        <w:t>persons</w:t>
      </w:r>
      <w:proofErr w:type="gramEnd"/>
      <w:r w:rsidRPr="00283806">
        <w:rPr>
          <w:w w:val="105"/>
        </w:rPr>
        <w:t xml:space="preserve"> offering </w:t>
      </w:r>
      <w:proofErr w:type="gramStart"/>
      <w:r w:rsidRPr="00283806">
        <w:rPr>
          <w:w w:val="105"/>
        </w:rPr>
        <w:t>refrigerant</w:t>
      </w:r>
      <w:proofErr w:type="gramEnd"/>
      <w:r w:rsidRPr="00283806">
        <w:rPr>
          <w:w w:val="105"/>
        </w:rPr>
        <w:t xml:space="preserve"> for sale or distribution for service must receive recovered refrigerant for reclaim in a ratio determined and updated by the Administrator, preferably based on CO</w:t>
      </w:r>
      <w:r w:rsidRPr="00283806">
        <w:rPr>
          <w:rFonts w:ascii="Times New Roman"/>
          <w:w w:val="105"/>
          <w:vertAlign w:val="subscript"/>
        </w:rPr>
        <w:t>2</w:t>
      </w:r>
      <w:r w:rsidRPr="00283806">
        <w:rPr>
          <w:rFonts w:ascii="Times New Roman"/>
          <w:w w:val="105"/>
        </w:rPr>
        <w:t xml:space="preserve"> </w:t>
      </w:r>
      <w:r w:rsidRPr="00283806">
        <w:rPr>
          <w:w w:val="105"/>
        </w:rPr>
        <w:t xml:space="preserve">equivalents. The commenter stated that, if implemented at the wholesaler/ distributor level, this could be audited using the proposed container tracking </w:t>
      </w:r>
      <w:r w:rsidRPr="00283806">
        <w:rPr>
          <w:spacing w:val="-2"/>
          <w:w w:val="105"/>
        </w:rPr>
        <w:t>system.</w:t>
      </w:r>
    </w:p>
    <w:p w14:paraId="4F561B4D" w14:textId="77777777" w:rsidR="00D67C1E" w:rsidRPr="00283806" w:rsidRDefault="001265CA">
      <w:pPr>
        <w:spacing w:line="175" w:lineRule="exact"/>
        <w:ind w:left="323"/>
        <w:rPr>
          <w:sz w:val="18"/>
        </w:rPr>
      </w:pPr>
      <w:r w:rsidRPr="00283806">
        <w:rPr>
          <w:rFonts w:ascii="Book Antiqua"/>
          <w:i/>
          <w:w w:val="110"/>
          <w:sz w:val="18"/>
        </w:rPr>
        <w:t>Response:</w:t>
      </w:r>
      <w:r w:rsidRPr="00283806">
        <w:rPr>
          <w:rFonts w:ascii="Book Antiqua"/>
          <w:i/>
          <w:spacing w:val="2"/>
          <w:w w:val="110"/>
          <w:sz w:val="18"/>
        </w:rPr>
        <w:t xml:space="preserve"> </w:t>
      </w:r>
      <w:r w:rsidRPr="00283806">
        <w:rPr>
          <w:w w:val="110"/>
          <w:sz w:val="18"/>
        </w:rPr>
        <w:t>EPA</w:t>
      </w:r>
      <w:r w:rsidRPr="00283806">
        <w:rPr>
          <w:spacing w:val="8"/>
          <w:w w:val="110"/>
          <w:sz w:val="18"/>
        </w:rPr>
        <w:t xml:space="preserve"> </w:t>
      </w:r>
      <w:r w:rsidRPr="00283806">
        <w:rPr>
          <w:w w:val="110"/>
          <w:sz w:val="18"/>
        </w:rPr>
        <w:t>acknowledges</w:t>
      </w:r>
      <w:r w:rsidRPr="00283806">
        <w:rPr>
          <w:spacing w:val="8"/>
          <w:w w:val="110"/>
          <w:sz w:val="18"/>
        </w:rPr>
        <w:t xml:space="preserve"> </w:t>
      </w:r>
      <w:r w:rsidRPr="00283806">
        <w:rPr>
          <w:spacing w:val="-5"/>
          <w:w w:val="110"/>
          <w:sz w:val="18"/>
        </w:rPr>
        <w:t>the</w:t>
      </w:r>
    </w:p>
    <w:p w14:paraId="35622A59" w14:textId="77777777" w:rsidR="00D67C1E" w:rsidRPr="00283806" w:rsidRDefault="001265CA">
      <w:pPr>
        <w:pStyle w:val="BodyText"/>
        <w:spacing w:line="225" w:lineRule="auto"/>
        <w:ind w:left="143" w:right="19"/>
      </w:pPr>
      <w:r w:rsidRPr="00283806">
        <w:rPr>
          <w:w w:val="105"/>
        </w:rPr>
        <w:t>commenter’s interest in flexibility and</w:t>
      </w:r>
      <w:r w:rsidRPr="00283806">
        <w:rPr>
          <w:spacing w:val="80"/>
          <w:w w:val="150"/>
        </w:rPr>
        <w:t xml:space="preserve"> </w:t>
      </w:r>
      <w:r w:rsidRPr="00283806">
        <w:rPr>
          <w:w w:val="105"/>
        </w:rPr>
        <w:t>in spreading the requirements to service and/or repair refrigerant-containing equipment with reclaimed HFCs across additional subsectors as well as their concerns for reclaiming blends with HFOs. As described above in section</w:t>
      </w:r>
    </w:p>
    <w:p w14:paraId="11FF55DA" w14:textId="77777777" w:rsidR="00D67C1E" w:rsidRPr="00283806" w:rsidRDefault="001265CA">
      <w:pPr>
        <w:pStyle w:val="BodyText"/>
        <w:spacing w:line="225" w:lineRule="auto"/>
        <w:ind w:left="143" w:right="25"/>
      </w:pPr>
      <w:r w:rsidRPr="00283806">
        <w:rPr>
          <w:w w:val="105"/>
        </w:rPr>
        <w:t>IV.E.1 of this preamble, EPA is establishing a limit of 15 percent, by weight, virgin HFCs in reclaimed HFC refrigerants. Further, EPA notes that it is not</w:t>
      </w:r>
      <w:r w:rsidRPr="00283806">
        <w:rPr>
          <w:spacing w:val="40"/>
          <w:w w:val="105"/>
        </w:rPr>
        <w:t xml:space="preserve"> </w:t>
      </w:r>
      <w:r w:rsidRPr="00283806">
        <w:rPr>
          <w:w w:val="105"/>
        </w:rPr>
        <w:t>establishing</w:t>
      </w:r>
      <w:r w:rsidRPr="00283806">
        <w:rPr>
          <w:spacing w:val="40"/>
          <w:w w:val="105"/>
        </w:rPr>
        <w:t xml:space="preserve"> </w:t>
      </w:r>
      <w:r w:rsidRPr="00283806">
        <w:rPr>
          <w:w w:val="105"/>
        </w:rPr>
        <w:t>a</w:t>
      </w:r>
      <w:r w:rsidRPr="00283806">
        <w:rPr>
          <w:spacing w:val="40"/>
          <w:w w:val="105"/>
        </w:rPr>
        <w:t xml:space="preserve"> </w:t>
      </w:r>
      <w:r w:rsidRPr="00283806">
        <w:rPr>
          <w:w w:val="105"/>
        </w:rPr>
        <w:t>limit</w:t>
      </w:r>
      <w:r w:rsidRPr="00283806">
        <w:rPr>
          <w:spacing w:val="40"/>
          <w:w w:val="105"/>
        </w:rPr>
        <w:t xml:space="preserve"> </w:t>
      </w:r>
      <w:r w:rsidRPr="00283806">
        <w:rPr>
          <w:w w:val="105"/>
        </w:rPr>
        <w:t>on</w:t>
      </w:r>
      <w:r w:rsidRPr="00283806">
        <w:rPr>
          <w:spacing w:val="40"/>
          <w:w w:val="105"/>
        </w:rPr>
        <w:t xml:space="preserve"> </w:t>
      </w:r>
      <w:r w:rsidRPr="00283806">
        <w:rPr>
          <w:w w:val="105"/>
        </w:rPr>
        <w:t>the</w:t>
      </w:r>
      <w:r w:rsidRPr="00283806">
        <w:rPr>
          <w:spacing w:val="40"/>
          <w:w w:val="105"/>
        </w:rPr>
        <w:t xml:space="preserve"> </w:t>
      </w:r>
      <w:r w:rsidRPr="00283806">
        <w:rPr>
          <w:w w:val="105"/>
        </w:rPr>
        <w:t>amount of virgin HFC substitutes that can be</w:t>
      </w:r>
      <w:r w:rsidRPr="00283806">
        <w:rPr>
          <w:spacing w:val="40"/>
          <w:w w:val="105"/>
        </w:rPr>
        <w:t xml:space="preserve"> </w:t>
      </w:r>
      <w:r w:rsidRPr="00283806">
        <w:rPr>
          <w:w w:val="105"/>
        </w:rPr>
        <w:t>used in a reclaimed refrigerant blend</w:t>
      </w:r>
      <w:r w:rsidRPr="00283806">
        <w:rPr>
          <w:spacing w:val="80"/>
          <w:w w:val="105"/>
        </w:rPr>
        <w:t xml:space="preserve"> </w:t>
      </w:r>
      <w:r w:rsidRPr="00283806">
        <w:rPr>
          <w:w w:val="105"/>
        </w:rPr>
        <w:t>and is thus not requiring reclamation of HFC substitutes. However, EPA recognizes that for HFC/HFO blends the commenter is likely referring to</w:t>
      </w:r>
      <w:r w:rsidRPr="00283806">
        <w:rPr>
          <w:spacing w:val="80"/>
          <w:w w:val="105"/>
        </w:rPr>
        <w:t xml:space="preserve"> </w:t>
      </w:r>
      <w:r w:rsidRPr="00283806">
        <w:rPr>
          <w:w w:val="105"/>
        </w:rPr>
        <w:t>concerns with patents, licensing arrangements, and other business practices</w:t>
      </w:r>
      <w:r w:rsidRPr="00283806">
        <w:rPr>
          <w:spacing w:val="40"/>
          <w:w w:val="105"/>
        </w:rPr>
        <w:t xml:space="preserve"> </w:t>
      </w:r>
      <w:r w:rsidRPr="00283806">
        <w:rPr>
          <w:w w:val="105"/>
        </w:rPr>
        <w:t>that</w:t>
      </w:r>
      <w:r w:rsidRPr="00283806">
        <w:rPr>
          <w:spacing w:val="40"/>
          <w:w w:val="105"/>
        </w:rPr>
        <w:t xml:space="preserve"> </w:t>
      </w:r>
      <w:r w:rsidRPr="00283806">
        <w:rPr>
          <w:w w:val="105"/>
        </w:rPr>
        <w:t>may</w:t>
      </w:r>
      <w:r w:rsidRPr="00283806">
        <w:rPr>
          <w:spacing w:val="40"/>
          <w:w w:val="105"/>
        </w:rPr>
        <w:t xml:space="preserve"> </w:t>
      </w:r>
      <w:r w:rsidRPr="00283806">
        <w:rPr>
          <w:w w:val="105"/>
        </w:rPr>
        <w:t>limit</w:t>
      </w:r>
      <w:r w:rsidRPr="00283806">
        <w:rPr>
          <w:spacing w:val="40"/>
          <w:w w:val="105"/>
        </w:rPr>
        <w:t xml:space="preserve"> </w:t>
      </w:r>
      <w:r w:rsidRPr="00283806">
        <w:rPr>
          <w:w w:val="105"/>
        </w:rPr>
        <w:t>who</w:t>
      </w:r>
      <w:r w:rsidRPr="00283806">
        <w:rPr>
          <w:spacing w:val="40"/>
          <w:w w:val="105"/>
        </w:rPr>
        <w:t xml:space="preserve"> </w:t>
      </w:r>
      <w:r w:rsidRPr="00283806">
        <w:rPr>
          <w:w w:val="105"/>
        </w:rPr>
        <w:t>can reclaim certain newer refrigerants. As discussed in a previous response in this section, the Agency is aware of these practices. However, the Agency has considered these concerns and made modifications to what it is finalizing in this rule that are intended to address</w:t>
      </w:r>
    </w:p>
    <w:p w14:paraId="0B8D448B" w14:textId="77777777" w:rsidR="00D67C1E" w:rsidRPr="00283806" w:rsidRDefault="001265CA">
      <w:pPr>
        <w:pStyle w:val="BodyText"/>
        <w:spacing w:before="136" w:line="225" w:lineRule="auto"/>
        <w:ind w:right="142"/>
      </w:pPr>
      <w:r w:rsidRPr="00283806">
        <w:br w:type="column"/>
      </w:r>
      <w:r w:rsidRPr="00283806">
        <w:rPr>
          <w:w w:val="105"/>
        </w:rPr>
        <w:t>these concerns with respect to</w:t>
      </w:r>
      <w:r w:rsidRPr="00283806">
        <w:rPr>
          <w:spacing w:val="40"/>
          <w:w w:val="105"/>
        </w:rPr>
        <w:t xml:space="preserve"> </w:t>
      </w:r>
      <w:r w:rsidRPr="00283806">
        <w:rPr>
          <w:w w:val="105"/>
        </w:rPr>
        <w:t>provisions finalized in this rule. For example, EPA delayed the compliance date, which will allow regulated entities additional time to prepare to comply</w:t>
      </w:r>
      <w:r w:rsidRPr="00283806">
        <w:rPr>
          <w:spacing w:val="40"/>
          <w:w w:val="105"/>
        </w:rPr>
        <w:t xml:space="preserve"> </w:t>
      </w:r>
      <w:r w:rsidRPr="00283806">
        <w:rPr>
          <w:w w:val="105"/>
        </w:rPr>
        <w:t>with the rule. Further, EPA is finalizing the requirement for servicing and/or repair with reclaimed HFCs for refrigerant-containing equipment in</w:t>
      </w:r>
      <w:r w:rsidRPr="00283806">
        <w:rPr>
          <w:spacing w:val="80"/>
          <w:w w:val="105"/>
        </w:rPr>
        <w:t xml:space="preserve"> </w:t>
      </w:r>
      <w:r w:rsidRPr="00283806">
        <w:rPr>
          <w:w w:val="105"/>
        </w:rPr>
        <w:t>only</w:t>
      </w:r>
      <w:r w:rsidRPr="00283806">
        <w:rPr>
          <w:spacing w:val="40"/>
          <w:w w:val="105"/>
        </w:rPr>
        <w:t xml:space="preserve"> </w:t>
      </w:r>
      <w:r w:rsidRPr="00283806">
        <w:rPr>
          <w:w w:val="105"/>
        </w:rPr>
        <w:t>three</w:t>
      </w:r>
      <w:r w:rsidRPr="00283806">
        <w:rPr>
          <w:spacing w:val="40"/>
          <w:w w:val="105"/>
        </w:rPr>
        <w:t xml:space="preserve"> </w:t>
      </w:r>
      <w:r w:rsidRPr="00283806">
        <w:rPr>
          <w:w w:val="105"/>
        </w:rPr>
        <w:t>RACHP</w:t>
      </w:r>
      <w:r w:rsidRPr="00283806">
        <w:rPr>
          <w:spacing w:val="40"/>
          <w:w w:val="105"/>
        </w:rPr>
        <w:t xml:space="preserve"> </w:t>
      </w:r>
      <w:r w:rsidRPr="00283806">
        <w:rPr>
          <w:w w:val="105"/>
        </w:rPr>
        <w:t>subsectors;</w:t>
      </w:r>
      <w:r w:rsidRPr="00283806">
        <w:rPr>
          <w:spacing w:val="40"/>
          <w:w w:val="105"/>
        </w:rPr>
        <w:t xml:space="preserve"> </w:t>
      </w:r>
      <w:r w:rsidRPr="00283806">
        <w:rPr>
          <w:w w:val="105"/>
        </w:rPr>
        <w:t>EPA</w:t>
      </w:r>
      <w:r w:rsidRPr="00283806">
        <w:rPr>
          <w:spacing w:val="40"/>
          <w:w w:val="105"/>
        </w:rPr>
        <w:t xml:space="preserve"> </w:t>
      </w:r>
      <w:r w:rsidRPr="00283806">
        <w:rPr>
          <w:w w:val="105"/>
        </w:rPr>
        <w:t>is not finalizing requirements for the</w:t>
      </w:r>
      <w:r w:rsidRPr="00283806">
        <w:rPr>
          <w:spacing w:val="80"/>
          <w:w w:val="150"/>
        </w:rPr>
        <w:t xml:space="preserve"> </w:t>
      </w:r>
      <w:r w:rsidRPr="00283806">
        <w:rPr>
          <w:w w:val="105"/>
        </w:rPr>
        <w:t xml:space="preserve">initial fill of refrigerant-containing equipment with reclaimed HFCs or the proposed requirement for the servicing and/or repair of refrigerant-containing equipment in the stand-alone refrigeration subsector </w:t>
      </w:r>
      <w:proofErr w:type="gramStart"/>
      <w:r w:rsidRPr="00283806">
        <w:rPr>
          <w:w w:val="105"/>
        </w:rPr>
        <w:t>at this time</w:t>
      </w:r>
      <w:proofErr w:type="gramEnd"/>
      <w:r w:rsidRPr="00283806">
        <w:rPr>
          <w:w w:val="105"/>
        </w:rPr>
        <w:t>.</w:t>
      </w:r>
    </w:p>
    <w:p w14:paraId="458B52C0" w14:textId="77777777" w:rsidR="00D67C1E" w:rsidRPr="00283806" w:rsidRDefault="001265CA">
      <w:pPr>
        <w:pStyle w:val="BodyText"/>
        <w:spacing w:line="225" w:lineRule="auto"/>
        <w:ind w:right="286"/>
      </w:pPr>
      <w:r w:rsidRPr="00283806">
        <w:rPr>
          <w:w w:val="105"/>
        </w:rPr>
        <w:t xml:space="preserve">Existing equipment in </w:t>
      </w:r>
      <w:proofErr w:type="gramStart"/>
      <w:r w:rsidRPr="00283806">
        <w:rPr>
          <w:w w:val="105"/>
        </w:rPr>
        <w:t>the majority of</w:t>
      </w:r>
      <w:proofErr w:type="gramEnd"/>
      <w:r w:rsidRPr="00283806">
        <w:rPr>
          <w:w w:val="105"/>
        </w:rPr>
        <w:t xml:space="preserve"> cases currently uses HFCs or HFC blends that are common and are currently being reclaimed.</w:t>
      </w:r>
    </w:p>
    <w:p w14:paraId="0CF269D1" w14:textId="77777777" w:rsidR="00D67C1E" w:rsidRPr="00283806" w:rsidRDefault="001265CA">
      <w:pPr>
        <w:pStyle w:val="BodyText"/>
        <w:spacing w:line="179" w:lineRule="exact"/>
        <w:ind w:left="340"/>
      </w:pPr>
      <w:r w:rsidRPr="00283806">
        <w:rPr>
          <w:w w:val="110"/>
        </w:rPr>
        <w:t>The</w:t>
      </w:r>
      <w:r w:rsidRPr="00283806">
        <w:rPr>
          <w:spacing w:val="-7"/>
          <w:w w:val="110"/>
        </w:rPr>
        <w:t xml:space="preserve"> </w:t>
      </w:r>
      <w:r w:rsidRPr="00283806">
        <w:rPr>
          <w:w w:val="110"/>
        </w:rPr>
        <w:t>Agency</w:t>
      </w:r>
      <w:r w:rsidRPr="00283806">
        <w:rPr>
          <w:spacing w:val="-5"/>
          <w:w w:val="110"/>
        </w:rPr>
        <w:t xml:space="preserve"> </w:t>
      </w:r>
      <w:r w:rsidRPr="00283806">
        <w:rPr>
          <w:w w:val="110"/>
        </w:rPr>
        <w:t>did</w:t>
      </w:r>
      <w:r w:rsidRPr="00283806">
        <w:rPr>
          <w:spacing w:val="-5"/>
          <w:w w:val="110"/>
        </w:rPr>
        <w:t xml:space="preserve"> </w:t>
      </w:r>
      <w:r w:rsidRPr="00283806">
        <w:rPr>
          <w:w w:val="110"/>
        </w:rPr>
        <w:t>not</w:t>
      </w:r>
      <w:r w:rsidRPr="00283806">
        <w:rPr>
          <w:spacing w:val="-5"/>
          <w:w w:val="110"/>
        </w:rPr>
        <w:t xml:space="preserve"> </w:t>
      </w:r>
      <w:r w:rsidRPr="00283806">
        <w:rPr>
          <w:w w:val="110"/>
        </w:rPr>
        <w:t>propose</w:t>
      </w:r>
      <w:r w:rsidRPr="00283806">
        <w:rPr>
          <w:spacing w:val="-5"/>
          <w:w w:val="110"/>
        </w:rPr>
        <w:t xml:space="preserve"> </w:t>
      </w:r>
      <w:r w:rsidRPr="00283806">
        <w:rPr>
          <w:w w:val="110"/>
        </w:rPr>
        <w:t>and</w:t>
      </w:r>
      <w:r w:rsidRPr="00283806">
        <w:rPr>
          <w:spacing w:val="-5"/>
          <w:w w:val="110"/>
        </w:rPr>
        <w:t xml:space="preserve"> is</w:t>
      </w:r>
    </w:p>
    <w:p w14:paraId="4AD23724" w14:textId="77777777" w:rsidR="00D67C1E" w:rsidRPr="00283806" w:rsidRDefault="001265CA">
      <w:pPr>
        <w:pStyle w:val="BodyText"/>
        <w:spacing w:line="225" w:lineRule="auto"/>
        <w:ind w:right="169"/>
      </w:pPr>
      <w:r w:rsidRPr="00283806">
        <w:rPr>
          <w:w w:val="105"/>
        </w:rPr>
        <w:t xml:space="preserve">not finalizing a </w:t>
      </w:r>
      <w:proofErr w:type="gramStart"/>
      <w:r w:rsidRPr="00283806">
        <w:rPr>
          <w:w w:val="105"/>
        </w:rPr>
        <w:t>crediting</w:t>
      </w:r>
      <w:proofErr w:type="gramEnd"/>
      <w:r w:rsidRPr="00283806">
        <w:rPr>
          <w:w w:val="105"/>
        </w:rPr>
        <w:t xml:space="preserve"> system. Moreover, the 2023 Technology Transitions Rule sets GWP limits for certain new equipment and not for existing equipment where this rule will establish requirements for reclaimed HFCs. EPA did not reopen the 2023 Technology Transitions Rule in this rulemaking and is not making any changes to its requirements in this rule. EPA further notes that these requirements are not optional, and the Agency is not establishing a credit</w:t>
      </w:r>
      <w:r w:rsidRPr="00283806">
        <w:rPr>
          <w:spacing w:val="40"/>
          <w:w w:val="105"/>
        </w:rPr>
        <w:t xml:space="preserve"> </w:t>
      </w:r>
      <w:r w:rsidRPr="00283806">
        <w:rPr>
          <w:w w:val="105"/>
        </w:rPr>
        <w:t>system that could be related to</w:t>
      </w:r>
      <w:r w:rsidRPr="00283806">
        <w:rPr>
          <w:spacing w:val="40"/>
          <w:w w:val="105"/>
        </w:rPr>
        <w:t xml:space="preserve"> </w:t>
      </w:r>
      <w:r w:rsidRPr="00283806">
        <w:rPr>
          <w:w w:val="105"/>
        </w:rPr>
        <w:t>exceeding the requirements in those regulations. The Agency is requiring the servicing and/or repair of refrigerant- containing equipment with reclaimed HFCs</w:t>
      </w:r>
      <w:r w:rsidRPr="00283806">
        <w:rPr>
          <w:spacing w:val="40"/>
          <w:w w:val="105"/>
        </w:rPr>
        <w:t xml:space="preserve"> </w:t>
      </w:r>
      <w:r w:rsidRPr="00283806">
        <w:rPr>
          <w:w w:val="105"/>
        </w:rPr>
        <w:t>in</w:t>
      </w:r>
      <w:r w:rsidRPr="00283806">
        <w:rPr>
          <w:spacing w:val="40"/>
          <w:w w:val="105"/>
        </w:rPr>
        <w:t xml:space="preserve"> </w:t>
      </w:r>
      <w:r w:rsidRPr="00283806">
        <w:rPr>
          <w:w w:val="105"/>
        </w:rPr>
        <w:t>certain</w:t>
      </w:r>
      <w:r w:rsidRPr="00283806">
        <w:rPr>
          <w:spacing w:val="40"/>
          <w:w w:val="105"/>
        </w:rPr>
        <w:t xml:space="preserve"> </w:t>
      </w:r>
      <w:r w:rsidRPr="00283806">
        <w:rPr>
          <w:w w:val="105"/>
        </w:rPr>
        <w:t>RACHP</w:t>
      </w:r>
      <w:r w:rsidRPr="00283806">
        <w:rPr>
          <w:spacing w:val="40"/>
          <w:w w:val="105"/>
        </w:rPr>
        <w:t xml:space="preserve"> </w:t>
      </w:r>
      <w:r w:rsidRPr="00283806">
        <w:rPr>
          <w:w w:val="105"/>
        </w:rPr>
        <w:t>subsectors</w:t>
      </w:r>
      <w:r w:rsidRPr="00283806">
        <w:rPr>
          <w:spacing w:val="40"/>
          <w:w w:val="105"/>
        </w:rPr>
        <w:t xml:space="preserve"> </w:t>
      </w:r>
      <w:r w:rsidRPr="00283806">
        <w:rPr>
          <w:w w:val="105"/>
        </w:rPr>
        <w:t>in the ER&amp;R regulations established in this rulemaking. Moreover, EPA anticipates that there will be reclaimed refrigerant</w:t>
      </w:r>
      <w:r w:rsidRPr="00283806">
        <w:rPr>
          <w:spacing w:val="40"/>
          <w:w w:val="105"/>
        </w:rPr>
        <w:t xml:space="preserve"> </w:t>
      </w:r>
      <w:r w:rsidRPr="00283806">
        <w:rPr>
          <w:w w:val="105"/>
        </w:rPr>
        <w:t>to</w:t>
      </w:r>
      <w:r w:rsidRPr="00283806">
        <w:rPr>
          <w:spacing w:val="-2"/>
          <w:w w:val="105"/>
        </w:rPr>
        <w:t xml:space="preserve"> </w:t>
      </w:r>
      <w:r w:rsidRPr="00283806">
        <w:rPr>
          <w:w w:val="105"/>
        </w:rPr>
        <w:t>meet</w:t>
      </w:r>
      <w:r w:rsidRPr="00283806">
        <w:rPr>
          <w:spacing w:val="-2"/>
          <w:w w:val="105"/>
        </w:rPr>
        <w:t xml:space="preserve"> </w:t>
      </w:r>
      <w:r w:rsidRPr="00283806">
        <w:rPr>
          <w:w w:val="105"/>
        </w:rPr>
        <w:t>demand</w:t>
      </w:r>
      <w:r w:rsidRPr="00283806">
        <w:rPr>
          <w:spacing w:val="-2"/>
          <w:w w:val="105"/>
        </w:rPr>
        <w:t xml:space="preserve"> </w:t>
      </w:r>
      <w:r w:rsidRPr="00283806">
        <w:rPr>
          <w:w w:val="105"/>
        </w:rPr>
        <w:t>for</w:t>
      </w:r>
      <w:r w:rsidRPr="00283806">
        <w:rPr>
          <w:spacing w:val="-2"/>
          <w:w w:val="105"/>
        </w:rPr>
        <w:t xml:space="preserve"> </w:t>
      </w:r>
      <w:r w:rsidRPr="00283806">
        <w:rPr>
          <w:w w:val="105"/>
        </w:rPr>
        <w:t>refrigerant</w:t>
      </w:r>
      <w:r w:rsidRPr="00283806">
        <w:rPr>
          <w:spacing w:val="-2"/>
          <w:w w:val="105"/>
        </w:rPr>
        <w:t xml:space="preserve"> </w:t>
      </w:r>
      <w:r w:rsidRPr="00283806">
        <w:rPr>
          <w:w w:val="105"/>
        </w:rPr>
        <w:t>servicing in the affected subsectors consistent</w:t>
      </w:r>
      <w:r w:rsidRPr="00283806">
        <w:rPr>
          <w:spacing w:val="40"/>
          <w:w w:val="105"/>
        </w:rPr>
        <w:t xml:space="preserve"> </w:t>
      </w:r>
      <w:r w:rsidRPr="00283806">
        <w:rPr>
          <w:w w:val="105"/>
        </w:rPr>
        <w:t xml:space="preserve">with the compliance date, which may prevent the early retirement of existing </w:t>
      </w:r>
      <w:r w:rsidRPr="00283806">
        <w:rPr>
          <w:spacing w:val="-2"/>
          <w:w w:val="105"/>
        </w:rPr>
        <w:t>equipment.</w:t>
      </w:r>
    </w:p>
    <w:p w14:paraId="7D9A2D1A" w14:textId="77777777" w:rsidR="00D67C1E" w:rsidRPr="00283806" w:rsidRDefault="001265CA">
      <w:pPr>
        <w:pStyle w:val="BodyText"/>
        <w:spacing w:line="170" w:lineRule="exact"/>
        <w:ind w:left="340"/>
      </w:pPr>
      <w:r w:rsidRPr="00283806">
        <w:rPr>
          <w:w w:val="110"/>
        </w:rPr>
        <w:t>The</w:t>
      </w:r>
      <w:r w:rsidRPr="00283806">
        <w:rPr>
          <w:spacing w:val="-7"/>
          <w:w w:val="110"/>
        </w:rPr>
        <w:t xml:space="preserve"> </w:t>
      </w:r>
      <w:r w:rsidRPr="00283806">
        <w:rPr>
          <w:w w:val="110"/>
        </w:rPr>
        <w:t>Agency</w:t>
      </w:r>
      <w:r w:rsidRPr="00283806">
        <w:rPr>
          <w:spacing w:val="-5"/>
          <w:w w:val="110"/>
        </w:rPr>
        <w:t xml:space="preserve"> </w:t>
      </w:r>
      <w:r w:rsidRPr="00283806">
        <w:rPr>
          <w:w w:val="110"/>
        </w:rPr>
        <w:t>did</w:t>
      </w:r>
      <w:r w:rsidRPr="00283806">
        <w:rPr>
          <w:spacing w:val="-5"/>
          <w:w w:val="110"/>
        </w:rPr>
        <w:t xml:space="preserve"> </w:t>
      </w:r>
      <w:r w:rsidRPr="00283806">
        <w:rPr>
          <w:w w:val="110"/>
        </w:rPr>
        <w:t>not</w:t>
      </w:r>
      <w:r w:rsidRPr="00283806">
        <w:rPr>
          <w:spacing w:val="-5"/>
          <w:w w:val="110"/>
        </w:rPr>
        <w:t xml:space="preserve"> </w:t>
      </w:r>
      <w:r w:rsidRPr="00283806">
        <w:rPr>
          <w:w w:val="110"/>
        </w:rPr>
        <w:t>propose</w:t>
      </w:r>
      <w:r w:rsidRPr="00283806">
        <w:rPr>
          <w:spacing w:val="-5"/>
          <w:w w:val="110"/>
        </w:rPr>
        <w:t xml:space="preserve"> </w:t>
      </w:r>
      <w:r w:rsidRPr="00283806">
        <w:rPr>
          <w:w w:val="110"/>
        </w:rPr>
        <w:t>and</w:t>
      </w:r>
      <w:r w:rsidRPr="00283806">
        <w:rPr>
          <w:spacing w:val="-5"/>
          <w:w w:val="110"/>
        </w:rPr>
        <w:t xml:space="preserve"> is</w:t>
      </w:r>
    </w:p>
    <w:p w14:paraId="1EC13429" w14:textId="77777777" w:rsidR="00D67C1E" w:rsidRPr="00283806" w:rsidRDefault="001265CA">
      <w:pPr>
        <w:pStyle w:val="BodyText"/>
        <w:spacing w:before="1" w:line="225" w:lineRule="auto"/>
        <w:ind w:left="159" w:right="252"/>
      </w:pPr>
      <w:r w:rsidRPr="00283806">
        <w:rPr>
          <w:w w:val="105"/>
        </w:rPr>
        <w:t>not finalizing refrigerant reclaim requirements on a CO</w:t>
      </w:r>
      <w:r w:rsidRPr="00283806">
        <w:rPr>
          <w:rFonts w:ascii="Times New Roman"/>
          <w:w w:val="105"/>
          <w:vertAlign w:val="subscript"/>
        </w:rPr>
        <w:t>2</w:t>
      </w:r>
      <w:r w:rsidRPr="00283806">
        <w:rPr>
          <w:w w:val="105"/>
        </w:rPr>
        <w:t xml:space="preserve">e net basis. EPA </w:t>
      </w:r>
      <w:proofErr w:type="gramStart"/>
      <w:r w:rsidRPr="00283806">
        <w:rPr>
          <w:w w:val="105"/>
        </w:rPr>
        <w:t>acknowledges the</w:t>
      </w:r>
      <w:proofErr w:type="gramEnd"/>
      <w:r w:rsidRPr="00283806">
        <w:rPr>
          <w:w w:val="105"/>
        </w:rPr>
        <w:t xml:space="preserve"> comment on the use of a tracking system and notes that the Agency is not finalizing the proposed tracking system </w:t>
      </w:r>
      <w:proofErr w:type="gramStart"/>
      <w:r w:rsidRPr="00283806">
        <w:rPr>
          <w:w w:val="105"/>
        </w:rPr>
        <w:t>at this time</w:t>
      </w:r>
      <w:proofErr w:type="gramEnd"/>
      <w:r w:rsidRPr="00283806">
        <w:rPr>
          <w:w w:val="105"/>
        </w:rPr>
        <w:t>.</w:t>
      </w:r>
    </w:p>
    <w:p w14:paraId="74FACA27" w14:textId="77777777" w:rsidR="00D67C1E" w:rsidRPr="00283806" w:rsidRDefault="001265CA">
      <w:pPr>
        <w:spacing w:line="183" w:lineRule="exact"/>
        <w:ind w:left="339"/>
        <w:rPr>
          <w:sz w:val="18"/>
        </w:rPr>
      </w:pPr>
      <w:r w:rsidRPr="00283806">
        <w:rPr>
          <w:rFonts w:ascii="Book Antiqua"/>
          <w:i/>
          <w:w w:val="105"/>
          <w:sz w:val="18"/>
        </w:rPr>
        <w:t>Comment:</w:t>
      </w:r>
      <w:r w:rsidRPr="00283806">
        <w:rPr>
          <w:rFonts w:ascii="Book Antiqua"/>
          <w:i/>
          <w:spacing w:val="15"/>
          <w:w w:val="105"/>
          <w:sz w:val="18"/>
        </w:rPr>
        <w:t xml:space="preserve"> </w:t>
      </w:r>
      <w:r w:rsidRPr="00283806">
        <w:rPr>
          <w:w w:val="105"/>
          <w:sz w:val="18"/>
        </w:rPr>
        <w:t>One</w:t>
      </w:r>
      <w:r w:rsidRPr="00283806">
        <w:rPr>
          <w:spacing w:val="20"/>
          <w:w w:val="105"/>
          <w:sz w:val="18"/>
        </w:rPr>
        <w:t xml:space="preserve"> </w:t>
      </w:r>
      <w:r w:rsidRPr="00283806">
        <w:rPr>
          <w:w w:val="105"/>
          <w:sz w:val="18"/>
        </w:rPr>
        <w:t>commenter</w:t>
      </w:r>
      <w:r w:rsidRPr="00283806">
        <w:rPr>
          <w:spacing w:val="20"/>
          <w:w w:val="105"/>
          <w:sz w:val="18"/>
        </w:rPr>
        <w:t xml:space="preserve"> </w:t>
      </w:r>
      <w:r w:rsidRPr="00283806">
        <w:rPr>
          <w:w w:val="105"/>
          <w:sz w:val="18"/>
        </w:rPr>
        <w:t>stated</w:t>
      </w:r>
      <w:r w:rsidRPr="00283806">
        <w:rPr>
          <w:spacing w:val="20"/>
          <w:w w:val="105"/>
          <w:sz w:val="18"/>
        </w:rPr>
        <w:t xml:space="preserve"> </w:t>
      </w:r>
      <w:r w:rsidRPr="00283806">
        <w:rPr>
          <w:spacing w:val="-4"/>
          <w:w w:val="105"/>
          <w:sz w:val="18"/>
        </w:rPr>
        <w:t>that</w:t>
      </w:r>
    </w:p>
    <w:p w14:paraId="542A4263" w14:textId="77777777" w:rsidR="00D67C1E" w:rsidRPr="00283806" w:rsidRDefault="001265CA">
      <w:pPr>
        <w:pStyle w:val="BodyText"/>
        <w:spacing w:line="228" w:lineRule="auto"/>
        <w:ind w:left="159" w:right="218"/>
      </w:pPr>
      <w:proofErr w:type="gramStart"/>
      <w:r w:rsidRPr="00283806">
        <w:rPr>
          <w:w w:val="105"/>
        </w:rPr>
        <w:t>the</w:t>
      </w:r>
      <w:proofErr w:type="gramEnd"/>
      <w:r w:rsidRPr="00283806">
        <w:rPr>
          <w:w w:val="105"/>
        </w:rPr>
        <w:t xml:space="preserve"> supply of virgin refrigerants is far more plentiful than anticipated in 2021. The commenter stated that there seems to have been significant stockpiling,</w:t>
      </w:r>
      <w:r w:rsidRPr="00283806">
        <w:rPr>
          <w:spacing w:val="40"/>
          <w:w w:val="105"/>
        </w:rPr>
        <w:t xml:space="preserve"> </w:t>
      </w:r>
      <w:r w:rsidRPr="00283806">
        <w:rPr>
          <w:w w:val="105"/>
        </w:rPr>
        <w:t>some amount of illegal imports, and significant growth in the import of products containing HFCs, with the</w:t>
      </w:r>
      <w:r w:rsidRPr="00283806">
        <w:rPr>
          <w:spacing w:val="80"/>
          <w:w w:val="105"/>
        </w:rPr>
        <w:t xml:space="preserve"> </w:t>
      </w:r>
      <w:r w:rsidRPr="00283806">
        <w:rPr>
          <w:w w:val="105"/>
        </w:rPr>
        <w:t>value of imported air conditioning systems from Mexico increasing by approximately 50 percent from 2020 to 2022. The commenter noted that the allowance for Mexican refrigerant</w:t>
      </w:r>
    </w:p>
    <w:p w14:paraId="7441B27E"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7" w:space="40"/>
            <w:col w:w="3481" w:space="42"/>
            <w:col w:w="3640"/>
          </w:cols>
        </w:sectPr>
      </w:pPr>
    </w:p>
    <w:p w14:paraId="17698682" w14:textId="77777777" w:rsidR="00D67C1E" w:rsidRPr="00283806" w:rsidRDefault="001265CA">
      <w:pPr>
        <w:pStyle w:val="BodyText"/>
        <w:spacing w:before="134" w:line="228" w:lineRule="auto"/>
        <w:ind w:right="76"/>
      </w:pPr>
      <w:r w:rsidRPr="00283806">
        <w:rPr>
          <w:w w:val="105"/>
        </w:rPr>
        <w:lastRenderedPageBreak/>
        <w:t>extends to R–410A containing</w:t>
      </w:r>
      <w:r w:rsidRPr="00283806">
        <w:rPr>
          <w:spacing w:val="40"/>
          <w:w w:val="105"/>
        </w:rPr>
        <w:t xml:space="preserve"> </w:t>
      </w:r>
      <w:r w:rsidRPr="00283806">
        <w:rPr>
          <w:w w:val="105"/>
        </w:rPr>
        <w:t>condensing units, which may currently</w:t>
      </w:r>
      <w:r w:rsidRPr="00283806">
        <w:rPr>
          <w:spacing w:val="40"/>
          <w:w w:val="105"/>
        </w:rPr>
        <w:t xml:space="preserve"> </w:t>
      </w:r>
      <w:r w:rsidRPr="00283806">
        <w:rPr>
          <w:w w:val="105"/>
        </w:rPr>
        <w:t>be imported with no restriction other than a label for service consistent with the 2023 Technology Transitions Rule. The commenter stated that EPA could increase demand for reclaimed refrigerant by addressing this issue</w:t>
      </w:r>
      <w:r w:rsidRPr="00283806">
        <w:rPr>
          <w:spacing w:val="40"/>
          <w:w w:val="105"/>
        </w:rPr>
        <w:t xml:space="preserve"> </w:t>
      </w:r>
      <w:r w:rsidRPr="00283806">
        <w:rPr>
          <w:w w:val="105"/>
        </w:rPr>
        <w:t>under the Technology Transitions Program. The commenter claimed that without these changes, it is unlikely that</w:t>
      </w:r>
      <w:r w:rsidRPr="00283806">
        <w:rPr>
          <w:spacing w:val="40"/>
          <w:w w:val="105"/>
        </w:rPr>
        <w:t xml:space="preserve"> </w:t>
      </w:r>
      <w:r w:rsidRPr="00283806">
        <w:rPr>
          <w:w w:val="105"/>
        </w:rPr>
        <w:t>a transition away from R–410A will</w:t>
      </w:r>
      <w:r w:rsidRPr="00283806">
        <w:rPr>
          <w:spacing w:val="80"/>
          <w:w w:val="105"/>
        </w:rPr>
        <w:t xml:space="preserve"> </w:t>
      </w:r>
      <w:r w:rsidRPr="00283806">
        <w:rPr>
          <w:w w:val="105"/>
        </w:rPr>
        <w:t>occur fully in the United States until</w:t>
      </w:r>
      <w:r w:rsidRPr="00283806">
        <w:rPr>
          <w:spacing w:val="80"/>
          <w:w w:val="105"/>
        </w:rPr>
        <w:t xml:space="preserve"> </w:t>
      </w:r>
      <w:r w:rsidRPr="00283806">
        <w:rPr>
          <w:w w:val="105"/>
        </w:rPr>
        <w:t>2034 when both countries are impacted by their phasedown schedules. The commenter also claimed that there will not be any significant demand for reclaimed refrigerant because of this</w:t>
      </w:r>
      <w:r w:rsidRPr="00283806">
        <w:rPr>
          <w:spacing w:val="40"/>
          <w:w w:val="105"/>
        </w:rPr>
        <w:t xml:space="preserve"> </w:t>
      </w:r>
      <w:r w:rsidRPr="00283806">
        <w:rPr>
          <w:w w:val="105"/>
        </w:rPr>
        <w:t>legal allowance of imported products containing HFCs.</w:t>
      </w:r>
    </w:p>
    <w:p w14:paraId="4659F115" w14:textId="77777777" w:rsidR="00D67C1E" w:rsidRPr="00283806" w:rsidRDefault="001265CA">
      <w:pPr>
        <w:pStyle w:val="BodyText"/>
        <w:spacing w:line="225" w:lineRule="auto"/>
        <w:ind w:right="46" w:firstLine="180"/>
      </w:pPr>
      <w:r w:rsidRPr="00283806">
        <w:rPr>
          <w:rFonts w:ascii="Book Antiqua"/>
          <w:i/>
          <w:w w:val="105"/>
        </w:rPr>
        <w:t xml:space="preserve">Response: </w:t>
      </w:r>
      <w:r w:rsidRPr="00283806">
        <w:rPr>
          <w:w w:val="105"/>
        </w:rPr>
        <w:t xml:space="preserve">EPA acknowledges these comments and concerns related to demand for reclaimed refrigerant due to the factors mentioned. EPA notes that this comment is out of scope for this </w:t>
      </w:r>
      <w:r w:rsidRPr="00283806">
        <w:rPr>
          <w:spacing w:val="-2"/>
          <w:w w:val="105"/>
        </w:rPr>
        <w:t>rulemaking.</w:t>
      </w:r>
    </w:p>
    <w:p w14:paraId="038293E4" w14:textId="77777777" w:rsidR="00D67C1E" w:rsidRPr="00283806" w:rsidRDefault="001265CA">
      <w:pPr>
        <w:pStyle w:val="ListParagraph"/>
        <w:numPr>
          <w:ilvl w:val="1"/>
          <w:numId w:val="64"/>
        </w:numPr>
        <w:tabs>
          <w:tab w:val="left" w:pos="365"/>
        </w:tabs>
        <w:spacing w:before="99" w:line="220" w:lineRule="auto"/>
        <w:ind w:right="29" w:firstLine="0"/>
        <w:rPr>
          <w:rFonts w:ascii="Book Antiqua"/>
          <w:i/>
          <w:sz w:val="18"/>
        </w:rPr>
      </w:pPr>
      <w:r w:rsidRPr="00283806">
        <w:rPr>
          <w:rFonts w:ascii="Book Antiqua"/>
          <w:i/>
          <w:w w:val="115"/>
          <w:sz w:val="18"/>
        </w:rPr>
        <w:t>How is EPA establishing an HFC emissions</w:t>
      </w:r>
      <w:r w:rsidRPr="00283806">
        <w:rPr>
          <w:rFonts w:ascii="Book Antiqua"/>
          <w:i/>
          <w:spacing w:val="-10"/>
          <w:w w:val="115"/>
          <w:sz w:val="18"/>
        </w:rPr>
        <w:t xml:space="preserve"> </w:t>
      </w:r>
      <w:r w:rsidRPr="00283806">
        <w:rPr>
          <w:rFonts w:ascii="Book Antiqua"/>
          <w:i/>
          <w:w w:val="115"/>
          <w:sz w:val="18"/>
        </w:rPr>
        <w:t>reduction</w:t>
      </w:r>
      <w:r w:rsidRPr="00283806">
        <w:rPr>
          <w:rFonts w:ascii="Book Antiqua"/>
          <w:i/>
          <w:spacing w:val="-10"/>
          <w:w w:val="115"/>
          <w:sz w:val="18"/>
        </w:rPr>
        <w:t xml:space="preserve"> </w:t>
      </w:r>
      <w:r w:rsidRPr="00283806">
        <w:rPr>
          <w:rFonts w:ascii="Book Antiqua"/>
          <w:i/>
          <w:w w:val="115"/>
          <w:sz w:val="18"/>
        </w:rPr>
        <w:t>program</w:t>
      </w:r>
      <w:r w:rsidRPr="00283806">
        <w:rPr>
          <w:rFonts w:ascii="Book Antiqua"/>
          <w:i/>
          <w:spacing w:val="-10"/>
          <w:w w:val="115"/>
          <w:sz w:val="18"/>
        </w:rPr>
        <w:t xml:space="preserve"> </w:t>
      </w:r>
      <w:r w:rsidRPr="00283806">
        <w:rPr>
          <w:rFonts w:ascii="Book Antiqua"/>
          <w:i/>
          <w:w w:val="115"/>
          <w:sz w:val="18"/>
        </w:rPr>
        <w:t>for</w:t>
      </w:r>
      <w:r w:rsidRPr="00283806">
        <w:rPr>
          <w:rFonts w:ascii="Book Antiqua"/>
          <w:i/>
          <w:spacing w:val="-10"/>
          <w:w w:val="115"/>
          <w:sz w:val="18"/>
        </w:rPr>
        <w:t xml:space="preserve"> </w:t>
      </w:r>
      <w:r w:rsidRPr="00283806">
        <w:rPr>
          <w:rFonts w:ascii="Book Antiqua"/>
          <w:i/>
          <w:w w:val="115"/>
          <w:sz w:val="18"/>
        </w:rPr>
        <w:t>the</w:t>
      </w:r>
      <w:r w:rsidRPr="00283806">
        <w:rPr>
          <w:rFonts w:ascii="Book Antiqua"/>
          <w:i/>
          <w:spacing w:val="-10"/>
          <w:w w:val="115"/>
          <w:sz w:val="18"/>
        </w:rPr>
        <w:t xml:space="preserve"> </w:t>
      </w:r>
      <w:r w:rsidRPr="00283806">
        <w:rPr>
          <w:rFonts w:ascii="Book Antiqua"/>
          <w:i/>
          <w:w w:val="115"/>
          <w:sz w:val="18"/>
        </w:rPr>
        <w:t>fire suppression sector?</w:t>
      </w:r>
    </w:p>
    <w:p w14:paraId="43703C76" w14:textId="77777777" w:rsidR="00D67C1E" w:rsidRPr="00283806" w:rsidRDefault="001265CA">
      <w:pPr>
        <w:pStyle w:val="BodyText"/>
        <w:spacing w:before="72" w:line="228" w:lineRule="auto"/>
        <w:ind w:right="33" w:firstLine="180"/>
      </w:pPr>
      <w:r w:rsidRPr="00283806">
        <w:rPr>
          <w:w w:val="105"/>
        </w:rPr>
        <w:t>HFCs and substitutes for HFCs are</w:t>
      </w:r>
      <w:r w:rsidRPr="00283806">
        <w:rPr>
          <w:spacing w:val="40"/>
          <w:w w:val="105"/>
        </w:rPr>
        <w:t xml:space="preserve"> </w:t>
      </w:r>
      <w:r w:rsidRPr="00283806">
        <w:rPr>
          <w:w w:val="105"/>
        </w:rPr>
        <w:t>used in many different sectors, subsectors, and applications beyond those in the RACHP sector, and EPA interprets</w:t>
      </w:r>
      <w:r w:rsidRPr="00283806">
        <w:rPr>
          <w:spacing w:val="4"/>
          <w:w w:val="105"/>
        </w:rPr>
        <w:t xml:space="preserve"> </w:t>
      </w:r>
      <w:r w:rsidRPr="00283806">
        <w:rPr>
          <w:w w:val="105"/>
        </w:rPr>
        <w:t>its</w:t>
      </w:r>
      <w:r w:rsidRPr="00283806">
        <w:rPr>
          <w:spacing w:val="5"/>
          <w:w w:val="105"/>
        </w:rPr>
        <w:t xml:space="preserve"> </w:t>
      </w:r>
      <w:r w:rsidRPr="00283806">
        <w:rPr>
          <w:w w:val="105"/>
        </w:rPr>
        <w:t>authority</w:t>
      </w:r>
      <w:r w:rsidRPr="00283806">
        <w:rPr>
          <w:spacing w:val="5"/>
          <w:w w:val="105"/>
        </w:rPr>
        <w:t xml:space="preserve"> </w:t>
      </w:r>
      <w:r w:rsidRPr="00283806">
        <w:rPr>
          <w:w w:val="105"/>
        </w:rPr>
        <w:t>under</w:t>
      </w:r>
      <w:r w:rsidRPr="00283806">
        <w:rPr>
          <w:spacing w:val="5"/>
          <w:w w:val="105"/>
        </w:rPr>
        <w:t xml:space="preserve"> </w:t>
      </w:r>
      <w:r w:rsidRPr="00283806">
        <w:rPr>
          <w:spacing w:val="-2"/>
          <w:w w:val="105"/>
        </w:rPr>
        <w:t>subsection</w:t>
      </w:r>
    </w:p>
    <w:p w14:paraId="43CC6245" w14:textId="77777777" w:rsidR="00D67C1E" w:rsidRPr="00283806" w:rsidRDefault="001265CA">
      <w:pPr>
        <w:pStyle w:val="BodyText"/>
        <w:spacing w:line="228" w:lineRule="auto"/>
        <w:ind w:right="27"/>
      </w:pPr>
      <w:r w:rsidRPr="00283806">
        <w:rPr>
          <w:w w:val="105"/>
        </w:rPr>
        <w:t>(h) to include promulgating regulations that control the types of practices, processes, or activities identified in subsection (h)(1) in those sectors, subsectors, and applications, with the limitation that the Agency does not interpret its regulatory authority under subsection (h) to extend to HFCs or substitutes for HFCs when they are contained in foams.</w:t>
      </w:r>
    </w:p>
    <w:p w14:paraId="12E2BE05" w14:textId="77777777" w:rsidR="00D67C1E" w:rsidRPr="00283806" w:rsidRDefault="001265CA">
      <w:pPr>
        <w:pStyle w:val="BodyText"/>
        <w:spacing w:line="228" w:lineRule="auto"/>
        <w:ind w:left="159" w:right="109" w:firstLine="180"/>
      </w:pPr>
      <w:r w:rsidRPr="00283806">
        <w:rPr>
          <w:w w:val="105"/>
        </w:rPr>
        <w:t xml:space="preserve">HFCs are also used in the fire suppression sector. EPA is establishing certain requirements to address HFC management for fire suppression under subsection (h), further described in section IV.F.2 of this preamble. EPA proposed and is finalizing requirements for the initial installation </w:t>
      </w:r>
      <w:r w:rsidRPr="00283806">
        <w:rPr>
          <w:w w:val="105"/>
          <w:position w:val="5"/>
          <w:sz w:val="11"/>
        </w:rPr>
        <w:t>120</w:t>
      </w:r>
      <w:r w:rsidRPr="00283806">
        <w:rPr>
          <w:spacing w:val="40"/>
          <w:w w:val="105"/>
          <w:position w:val="5"/>
          <w:sz w:val="11"/>
        </w:rPr>
        <w:t xml:space="preserve"> </w:t>
      </w:r>
      <w:r w:rsidRPr="00283806">
        <w:rPr>
          <w:w w:val="105"/>
        </w:rPr>
        <w:t>and servicing and/or repair of fire suppression equipment to be done with recycled HFCs as well as requirements for minimizing HFC releases during the servicing, repair, disposal, or</w:t>
      </w:r>
      <w:r w:rsidRPr="00283806">
        <w:rPr>
          <w:spacing w:val="80"/>
          <w:w w:val="105"/>
        </w:rPr>
        <w:t xml:space="preserve"> </w:t>
      </w:r>
      <w:r w:rsidRPr="00283806">
        <w:rPr>
          <w:w w:val="105"/>
        </w:rPr>
        <w:t>installation of fire suppression equipment; technician training;</w:t>
      </w:r>
      <w:r w:rsidRPr="00283806">
        <w:rPr>
          <w:spacing w:val="40"/>
          <w:w w:val="105"/>
        </w:rPr>
        <w:t xml:space="preserve"> </w:t>
      </w:r>
      <w:r w:rsidRPr="00283806">
        <w:rPr>
          <w:w w:val="105"/>
        </w:rPr>
        <w:t>recycling of HFCs prior to the disposal</w:t>
      </w:r>
      <w:r w:rsidRPr="00283806">
        <w:rPr>
          <w:spacing w:val="80"/>
          <w:w w:val="105"/>
        </w:rPr>
        <w:t xml:space="preserve"> </w:t>
      </w:r>
      <w:r w:rsidRPr="00283806">
        <w:rPr>
          <w:w w:val="105"/>
        </w:rPr>
        <w:t>of fire suppression equipment</w:t>
      </w:r>
      <w:r w:rsidRPr="00283806">
        <w:rPr>
          <w:spacing w:val="40"/>
          <w:w w:val="105"/>
        </w:rPr>
        <w:t xml:space="preserve"> </w:t>
      </w:r>
      <w:r w:rsidRPr="00283806">
        <w:rPr>
          <w:w w:val="105"/>
        </w:rPr>
        <w:t>containing HFCs; and recordkeeping</w:t>
      </w:r>
      <w:r w:rsidRPr="00283806">
        <w:rPr>
          <w:spacing w:val="80"/>
          <w:w w:val="105"/>
        </w:rPr>
        <w:t xml:space="preserve"> </w:t>
      </w:r>
      <w:r w:rsidRPr="00283806">
        <w:rPr>
          <w:w w:val="105"/>
        </w:rPr>
        <w:t>and reporting. EPA is finalizing a</w:t>
      </w:r>
    </w:p>
    <w:p w14:paraId="1FA08E33" w14:textId="77777777" w:rsidR="00D67C1E" w:rsidRPr="00283806" w:rsidRDefault="001265CA">
      <w:pPr>
        <w:pStyle w:val="BodyText"/>
        <w:spacing w:before="10"/>
        <w:ind w:left="0"/>
        <w:rPr>
          <w:sz w:val="10"/>
        </w:rPr>
      </w:pPr>
      <w:r w:rsidRPr="00283806">
        <w:rPr>
          <w:noProof/>
        </w:rPr>
        <mc:AlternateContent>
          <mc:Choice Requires="wps">
            <w:drawing>
              <wp:anchor distT="0" distB="0" distL="0" distR="0" simplePos="0" relativeHeight="251665408" behindDoc="1" locked="0" layoutInCell="1" allowOverlap="1" wp14:anchorId="470FAE96" wp14:editId="6A1DAE45">
                <wp:simplePos x="0" y="0"/>
                <wp:positionH relativeFrom="page">
                  <wp:posOffset>571500</wp:posOffset>
                </wp:positionH>
                <wp:positionV relativeFrom="paragraph">
                  <wp:posOffset>96060</wp:posOffset>
                </wp:positionV>
                <wp:extent cx="635000" cy="1270"/>
                <wp:effectExtent l="0" t="0" r="0" b="0"/>
                <wp:wrapTopAndBottom/>
                <wp:docPr id="97" name="Graphic 9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222AB3F" id="Graphic 97" o:spid="_x0000_s1026" alt="&quot;&quot;" style="position:absolute;margin-left:45pt;margin-top:7.55pt;width:50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" path="m,l635000,e" filled="f" strokeweight=".5pt">
                <v:path arrowok="t"/>
                <w10:wrap type="topAndBottom" anchorx="page"/>
              </v:shape>
            </w:pict>
          </mc:Fallback>
        </mc:AlternateContent>
      </w:r>
    </w:p>
    <w:p w14:paraId="6D7BFFD5" w14:textId="77777777" w:rsidR="00D67C1E" w:rsidRPr="00283806" w:rsidRDefault="001265CA">
      <w:pPr>
        <w:spacing w:before="36" w:line="160" w:lineRule="exact"/>
        <w:ind w:left="300"/>
        <w:rPr>
          <w:sz w:val="14"/>
        </w:rPr>
      </w:pPr>
      <w:r w:rsidRPr="00283806">
        <w:rPr>
          <w:position w:val="4"/>
          <w:sz w:val="9"/>
        </w:rPr>
        <w:t>120</w:t>
      </w:r>
      <w:r w:rsidRPr="00283806">
        <w:rPr>
          <w:spacing w:val="17"/>
          <w:position w:val="4"/>
          <w:sz w:val="9"/>
        </w:rPr>
        <w:t xml:space="preserve"> </w:t>
      </w:r>
      <w:r w:rsidRPr="00283806">
        <w:rPr>
          <w:sz w:val="14"/>
        </w:rPr>
        <w:t>EPA</w:t>
      </w:r>
      <w:r w:rsidRPr="00283806">
        <w:rPr>
          <w:spacing w:val="33"/>
          <w:sz w:val="14"/>
        </w:rPr>
        <w:t xml:space="preserve"> </w:t>
      </w:r>
      <w:r w:rsidRPr="00283806">
        <w:rPr>
          <w:sz w:val="14"/>
        </w:rPr>
        <w:t>understands</w:t>
      </w:r>
      <w:r w:rsidRPr="00283806">
        <w:rPr>
          <w:spacing w:val="34"/>
          <w:sz w:val="14"/>
        </w:rPr>
        <w:t xml:space="preserve"> </w:t>
      </w:r>
      <w:r w:rsidRPr="00283806">
        <w:rPr>
          <w:sz w:val="14"/>
        </w:rPr>
        <w:t>these</w:t>
      </w:r>
      <w:r w:rsidRPr="00283806">
        <w:rPr>
          <w:spacing w:val="33"/>
          <w:sz w:val="14"/>
        </w:rPr>
        <w:t xml:space="preserve"> </w:t>
      </w:r>
      <w:proofErr w:type="gramStart"/>
      <w:r w:rsidRPr="00283806">
        <w:rPr>
          <w:sz w:val="14"/>
        </w:rPr>
        <w:t>terms</w:t>
      </w:r>
      <w:r w:rsidRPr="00283806">
        <w:rPr>
          <w:spacing w:val="33"/>
          <w:sz w:val="14"/>
        </w:rPr>
        <w:t xml:space="preserve"> </w:t>
      </w:r>
      <w:r w:rsidRPr="00283806">
        <w:rPr>
          <w:spacing w:val="-2"/>
          <w:sz w:val="14"/>
        </w:rPr>
        <w:t>‘‘initial</w:t>
      </w:r>
      <w:proofErr w:type="gramEnd"/>
    </w:p>
    <w:p w14:paraId="49128F41" w14:textId="77777777" w:rsidR="00D67C1E" w:rsidRPr="00283806" w:rsidRDefault="001265CA">
      <w:pPr>
        <w:pStyle w:val="BodyText"/>
        <w:spacing w:before="132" w:line="230" w:lineRule="auto"/>
        <w:ind w:left="145" w:right="91"/>
      </w:pPr>
      <w:r w:rsidRPr="00283806">
        <w:br w:type="column"/>
      </w:r>
      <w:r w:rsidRPr="00283806">
        <w:rPr>
          <w:w w:val="105"/>
        </w:rPr>
        <w:t>compliance date of January 1, 2026, for the following fire suppression requirements: (1) Minimizing HFC releases during the servicing, repair, disposal, or installation of fire suppression equipment; (2) the servicing and/or repair of fire suppression equipment to be done with recycled HFCs; (3) technician training;</w:t>
      </w:r>
    </w:p>
    <w:p w14:paraId="680E9AA2" w14:textId="77777777" w:rsidR="00D67C1E" w:rsidRPr="00283806" w:rsidRDefault="001265CA">
      <w:pPr>
        <w:pStyle w:val="BodyText"/>
        <w:spacing w:line="230" w:lineRule="auto"/>
        <w:ind w:left="145" w:right="71"/>
      </w:pPr>
      <w:r w:rsidRPr="00283806">
        <w:rPr>
          <w:w w:val="105"/>
        </w:rPr>
        <w:t xml:space="preserve">(4) recycling of HFCs prior to the disposal of fire suppression equipment containing HFCs; and (5) recordkeeping and reporting. EPA is finalizing a compliance date of January 1, 2030, for the requirement for the initial installation of fire suppression equipment to be done with recycled </w:t>
      </w:r>
      <w:r w:rsidRPr="00283806">
        <w:rPr>
          <w:spacing w:val="-2"/>
          <w:w w:val="105"/>
        </w:rPr>
        <w:t>HFCs.</w:t>
      </w:r>
    </w:p>
    <w:p w14:paraId="134F39E2" w14:textId="77777777" w:rsidR="00D67C1E" w:rsidRPr="00283806" w:rsidRDefault="001265CA">
      <w:pPr>
        <w:pStyle w:val="BodyText"/>
        <w:spacing w:before="51" w:line="230" w:lineRule="auto"/>
        <w:ind w:left="145" w:firstLine="180"/>
      </w:pPr>
      <w:r w:rsidRPr="00283806">
        <w:rPr>
          <w:w w:val="105"/>
        </w:rPr>
        <w:t>EPA notes that the finalized definition of ‘‘fire suppression equipment’’ for purposes of subsection (h) excludes military equipment used in deployable and expeditionary applications, as well</w:t>
      </w:r>
      <w:r w:rsidRPr="00283806">
        <w:rPr>
          <w:spacing w:val="80"/>
          <w:w w:val="105"/>
        </w:rPr>
        <w:t xml:space="preserve"> </w:t>
      </w:r>
      <w:r w:rsidRPr="00283806">
        <w:rPr>
          <w:w w:val="105"/>
        </w:rPr>
        <w:t>as</w:t>
      </w:r>
      <w:r w:rsidRPr="00283806">
        <w:rPr>
          <w:spacing w:val="40"/>
          <w:w w:val="105"/>
        </w:rPr>
        <w:t xml:space="preserve"> </w:t>
      </w:r>
      <w:r w:rsidRPr="00283806">
        <w:rPr>
          <w:w w:val="105"/>
        </w:rPr>
        <w:t>space</w:t>
      </w:r>
      <w:r w:rsidRPr="00283806">
        <w:rPr>
          <w:spacing w:val="40"/>
          <w:w w:val="105"/>
        </w:rPr>
        <w:t xml:space="preserve"> </w:t>
      </w:r>
      <w:r w:rsidRPr="00283806">
        <w:rPr>
          <w:w w:val="105"/>
        </w:rPr>
        <w:t>vehicles.</w:t>
      </w:r>
      <w:r w:rsidRPr="00283806">
        <w:rPr>
          <w:spacing w:val="40"/>
          <w:w w:val="105"/>
        </w:rPr>
        <w:t xml:space="preserve"> </w:t>
      </w:r>
      <w:r w:rsidRPr="00283806">
        <w:rPr>
          <w:w w:val="105"/>
        </w:rPr>
        <w:t>Those</w:t>
      </w:r>
      <w:r w:rsidRPr="00283806">
        <w:rPr>
          <w:spacing w:val="40"/>
          <w:w w:val="105"/>
        </w:rPr>
        <w:t xml:space="preserve"> </w:t>
      </w:r>
      <w:r w:rsidRPr="00283806">
        <w:rPr>
          <w:w w:val="105"/>
        </w:rPr>
        <w:t>applications are exempt from the requirements to use recycled HFCs in the installation, servicing, and/or repair of such fire suppression equipment. This exclusion</w:t>
      </w:r>
      <w:r w:rsidRPr="00283806">
        <w:rPr>
          <w:spacing w:val="80"/>
          <w:w w:val="150"/>
        </w:rPr>
        <w:t xml:space="preserve"> </w:t>
      </w:r>
      <w:r w:rsidRPr="00283806">
        <w:rPr>
          <w:w w:val="105"/>
        </w:rPr>
        <w:t>is based on EPA’s understanding that there are situations in which the unique design and use of such military equipment and space vehicles make it impossible to recover fire suppression agents during the service, repair,</w:t>
      </w:r>
      <w:r w:rsidRPr="00283806">
        <w:rPr>
          <w:spacing w:val="40"/>
          <w:w w:val="105"/>
        </w:rPr>
        <w:t xml:space="preserve"> </w:t>
      </w:r>
      <w:r w:rsidRPr="00283806">
        <w:rPr>
          <w:w w:val="105"/>
        </w:rPr>
        <w:t>disposal, or installation of the</w:t>
      </w:r>
      <w:r w:rsidRPr="00283806">
        <w:rPr>
          <w:spacing w:val="80"/>
          <w:w w:val="105"/>
        </w:rPr>
        <w:t xml:space="preserve"> </w:t>
      </w:r>
      <w:r w:rsidRPr="00283806">
        <w:rPr>
          <w:w w:val="105"/>
        </w:rPr>
        <w:t>equipment. They are also exempt from the</w:t>
      </w:r>
      <w:r w:rsidRPr="00283806">
        <w:rPr>
          <w:spacing w:val="40"/>
          <w:w w:val="105"/>
        </w:rPr>
        <w:t xml:space="preserve"> </w:t>
      </w:r>
      <w:r w:rsidRPr="00283806">
        <w:rPr>
          <w:w w:val="105"/>
        </w:rPr>
        <w:t>requirement</w:t>
      </w:r>
      <w:r w:rsidRPr="00283806">
        <w:rPr>
          <w:spacing w:val="40"/>
          <w:w w:val="105"/>
        </w:rPr>
        <w:t xml:space="preserve"> </w:t>
      </w:r>
      <w:r w:rsidRPr="00283806">
        <w:rPr>
          <w:w w:val="105"/>
        </w:rPr>
        <w:t>to</w:t>
      </w:r>
      <w:r w:rsidRPr="00283806">
        <w:rPr>
          <w:spacing w:val="40"/>
          <w:w w:val="105"/>
        </w:rPr>
        <w:t xml:space="preserve"> </w:t>
      </w:r>
      <w:r w:rsidRPr="00283806">
        <w:rPr>
          <w:w w:val="105"/>
        </w:rPr>
        <w:t>use</w:t>
      </w:r>
      <w:r w:rsidRPr="00283806">
        <w:rPr>
          <w:spacing w:val="40"/>
          <w:w w:val="105"/>
        </w:rPr>
        <w:t xml:space="preserve"> </w:t>
      </w:r>
      <w:r w:rsidRPr="00283806">
        <w:rPr>
          <w:w w:val="105"/>
        </w:rPr>
        <w:t>recycled</w:t>
      </w:r>
      <w:r w:rsidRPr="00283806">
        <w:rPr>
          <w:spacing w:val="40"/>
          <w:w w:val="105"/>
        </w:rPr>
        <w:t xml:space="preserve"> </w:t>
      </w:r>
      <w:r w:rsidRPr="00283806">
        <w:rPr>
          <w:w w:val="105"/>
        </w:rPr>
        <w:t xml:space="preserve">HFCs for the initial installation of equipment and for the servicing and/or repair of </w:t>
      </w:r>
      <w:r w:rsidRPr="00283806">
        <w:rPr>
          <w:spacing w:val="-2"/>
          <w:w w:val="105"/>
        </w:rPr>
        <w:t>equipment.</w:t>
      </w:r>
    </w:p>
    <w:p w14:paraId="616C3E55" w14:textId="77777777" w:rsidR="00D67C1E" w:rsidRPr="00283806" w:rsidRDefault="001265CA">
      <w:pPr>
        <w:pStyle w:val="BodyText"/>
        <w:spacing w:before="46" w:line="228" w:lineRule="auto"/>
        <w:ind w:left="145" w:right="27" w:firstLine="180"/>
      </w:pPr>
      <w:r w:rsidRPr="00283806">
        <w:rPr>
          <w:w w:val="105"/>
        </w:rPr>
        <w:t xml:space="preserve">Application-specific HFC allowances are available to mission-critical military end uses as well as on board aerospace fire suppression </w:t>
      </w:r>
      <w:r w:rsidRPr="00283806">
        <w:rPr>
          <w:w w:val="105"/>
          <w:position w:val="5"/>
          <w:sz w:val="11"/>
        </w:rPr>
        <w:t>121</w:t>
      </w:r>
      <w:r w:rsidRPr="00283806">
        <w:rPr>
          <w:spacing w:val="40"/>
          <w:w w:val="105"/>
          <w:position w:val="5"/>
          <w:sz w:val="11"/>
        </w:rPr>
        <w:t xml:space="preserve"> </w:t>
      </w:r>
      <w:r w:rsidRPr="00283806">
        <w:rPr>
          <w:w w:val="105"/>
        </w:rPr>
        <w:t xml:space="preserve">applications under regulations at 40 CFR 84.13. EPA is not extending the requirement to use recycled HFCs in the installation, servicing, and/or repair of such fire suppression equipment </w:t>
      </w:r>
      <w:proofErr w:type="gramStart"/>
      <w:r w:rsidRPr="00283806">
        <w:rPr>
          <w:w w:val="105"/>
        </w:rPr>
        <w:t>provided that</w:t>
      </w:r>
      <w:proofErr w:type="gramEnd"/>
      <w:r w:rsidRPr="00283806">
        <w:rPr>
          <w:w w:val="105"/>
        </w:rPr>
        <w:t xml:space="preserve"> they meet the requirements for application-specific allowances in 40</w:t>
      </w:r>
      <w:r w:rsidRPr="00283806">
        <w:rPr>
          <w:spacing w:val="40"/>
          <w:w w:val="105"/>
        </w:rPr>
        <w:t xml:space="preserve"> </w:t>
      </w:r>
      <w:r w:rsidRPr="00283806">
        <w:rPr>
          <w:w w:val="105"/>
        </w:rPr>
        <w:t xml:space="preserve">CFR 84.13. </w:t>
      </w:r>
      <w:proofErr w:type="gramStart"/>
      <w:r w:rsidRPr="00283806">
        <w:rPr>
          <w:w w:val="105"/>
        </w:rPr>
        <w:t>As long as</w:t>
      </w:r>
      <w:proofErr w:type="gramEnd"/>
      <w:r w:rsidRPr="00283806">
        <w:rPr>
          <w:w w:val="105"/>
        </w:rPr>
        <w:t xml:space="preserve"> they meet the requirements for application-specific allowances, these applications are also exempt from the requirement to use recycled HFCs for the initial installation of equipment and for the servicing and</w:t>
      </w:r>
      <w:proofErr w:type="gramStart"/>
      <w:r w:rsidRPr="00283806">
        <w:rPr>
          <w:w w:val="105"/>
        </w:rPr>
        <w:t>/ or</w:t>
      </w:r>
      <w:proofErr w:type="gramEnd"/>
      <w:r w:rsidRPr="00283806">
        <w:rPr>
          <w:w w:val="105"/>
        </w:rPr>
        <w:t xml:space="preserve"> repair of equipment.</w:t>
      </w:r>
    </w:p>
    <w:p w14:paraId="10A03BAB" w14:textId="77777777" w:rsidR="00D67C1E" w:rsidRPr="00283806" w:rsidRDefault="001265CA">
      <w:pPr>
        <w:pStyle w:val="ListParagraph"/>
        <w:numPr>
          <w:ilvl w:val="0"/>
          <w:numId w:val="50"/>
        </w:numPr>
        <w:tabs>
          <w:tab w:val="left" w:pos="343"/>
        </w:tabs>
        <w:spacing w:before="101"/>
        <w:ind w:left="343" w:hanging="198"/>
        <w:rPr>
          <w:sz w:val="18"/>
        </w:rPr>
      </w:pPr>
      <w:r w:rsidRPr="00283806">
        <w:rPr>
          <w:w w:val="110"/>
          <w:sz w:val="18"/>
        </w:rPr>
        <w:t>Nomenclature</w:t>
      </w:r>
      <w:r w:rsidRPr="00283806">
        <w:rPr>
          <w:spacing w:val="-6"/>
          <w:w w:val="110"/>
          <w:sz w:val="18"/>
        </w:rPr>
        <w:t xml:space="preserve"> </w:t>
      </w:r>
      <w:r w:rsidRPr="00283806">
        <w:rPr>
          <w:w w:val="110"/>
          <w:sz w:val="18"/>
        </w:rPr>
        <w:t>Used</w:t>
      </w:r>
      <w:r w:rsidRPr="00283806">
        <w:rPr>
          <w:spacing w:val="-5"/>
          <w:w w:val="110"/>
          <w:sz w:val="18"/>
        </w:rPr>
        <w:t xml:space="preserve"> </w:t>
      </w:r>
      <w:r w:rsidRPr="00283806">
        <w:rPr>
          <w:w w:val="110"/>
          <w:sz w:val="18"/>
        </w:rPr>
        <w:t>in</w:t>
      </w:r>
      <w:r w:rsidRPr="00283806">
        <w:rPr>
          <w:spacing w:val="-5"/>
          <w:w w:val="110"/>
          <w:sz w:val="18"/>
        </w:rPr>
        <w:t xml:space="preserve"> </w:t>
      </w:r>
      <w:r w:rsidRPr="00283806">
        <w:rPr>
          <w:w w:val="110"/>
          <w:sz w:val="18"/>
        </w:rPr>
        <w:t>This</w:t>
      </w:r>
      <w:r w:rsidRPr="00283806">
        <w:rPr>
          <w:spacing w:val="-5"/>
          <w:w w:val="110"/>
          <w:sz w:val="18"/>
        </w:rPr>
        <w:t xml:space="preserve"> </w:t>
      </w:r>
      <w:r w:rsidRPr="00283806">
        <w:rPr>
          <w:spacing w:val="-2"/>
          <w:w w:val="110"/>
          <w:sz w:val="18"/>
        </w:rPr>
        <w:t>Section</w:t>
      </w:r>
    </w:p>
    <w:p w14:paraId="6E1DBB1A" w14:textId="77777777" w:rsidR="00D67C1E" w:rsidRPr="00283806" w:rsidRDefault="001265CA">
      <w:pPr>
        <w:pStyle w:val="BodyText"/>
        <w:spacing w:before="141" w:line="228" w:lineRule="auto"/>
        <w:ind w:left="145" w:right="71" w:firstLine="180"/>
      </w:pPr>
      <w:r w:rsidRPr="00283806">
        <w:rPr>
          <w:w w:val="105"/>
        </w:rPr>
        <w:t>This section uses the term ‘‘recycled’’ or ‘‘recycling’’ to describe the testing and/or reprocessing of HFCs used in the fire suppression sector to certain purity</w:t>
      </w:r>
    </w:p>
    <w:p w14:paraId="059FC631" w14:textId="77777777" w:rsidR="00D67C1E" w:rsidRPr="00283806" w:rsidRDefault="001265CA">
      <w:pPr>
        <w:pStyle w:val="BodyText"/>
        <w:spacing w:before="134" w:line="228" w:lineRule="auto"/>
        <w:ind w:left="144" w:right="122"/>
      </w:pPr>
      <w:r w:rsidRPr="00283806">
        <w:br w:type="column"/>
      </w:r>
      <w:r w:rsidRPr="00283806">
        <w:rPr>
          <w:w w:val="110"/>
        </w:rPr>
        <w:t>standards.</w:t>
      </w:r>
      <w:r w:rsidRPr="00283806">
        <w:rPr>
          <w:w w:val="110"/>
          <w:position w:val="5"/>
          <w:sz w:val="11"/>
        </w:rPr>
        <w:t>122</w:t>
      </w:r>
      <w:r w:rsidRPr="00283806">
        <w:rPr>
          <w:spacing w:val="6"/>
          <w:w w:val="110"/>
          <w:position w:val="5"/>
          <w:sz w:val="11"/>
        </w:rPr>
        <w:t xml:space="preserve"> </w:t>
      </w:r>
      <w:r w:rsidRPr="00283806">
        <w:rPr>
          <w:w w:val="110"/>
        </w:rPr>
        <w:t>HFCs</w:t>
      </w:r>
      <w:r w:rsidRPr="00283806">
        <w:rPr>
          <w:spacing w:val="-11"/>
          <w:w w:val="110"/>
        </w:rPr>
        <w:t xml:space="preserve"> </w:t>
      </w:r>
      <w:r w:rsidRPr="00283806">
        <w:rPr>
          <w:w w:val="110"/>
        </w:rPr>
        <w:t>that</w:t>
      </w:r>
      <w:r w:rsidRPr="00283806">
        <w:rPr>
          <w:spacing w:val="-11"/>
          <w:w w:val="110"/>
        </w:rPr>
        <w:t xml:space="preserve"> </w:t>
      </w:r>
      <w:r w:rsidRPr="00283806">
        <w:rPr>
          <w:w w:val="110"/>
        </w:rPr>
        <w:t>are</w:t>
      </w:r>
      <w:r w:rsidRPr="00283806">
        <w:rPr>
          <w:spacing w:val="-11"/>
          <w:w w:val="110"/>
        </w:rPr>
        <w:t xml:space="preserve"> </w:t>
      </w:r>
      <w:r w:rsidRPr="00283806">
        <w:rPr>
          <w:w w:val="110"/>
        </w:rPr>
        <w:t>recycled</w:t>
      </w:r>
      <w:r w:rsidRPr="00283806">
        <w:rPr>
          <w:spacing w:val="-11"/>
          <w:w w:val="110"/>
        </w:rPr>
        <w:t xml:space="preserve"> </w:t>
      </w:r>
      <w:r w:rsidRPr="00283806">
        <w:rPr>
          <w:w w:val="110"/>
        </w:rPr>
        <w:t>for fire suppression use include HFC– 227ea,</w:t>
      </w:r>
      <w:r w:rsidRPr="00283806">
        <w:rPr>
          <w:spacing w:val="-11"/>
          <w:w w:val="110"/>
        </w:rPr>
        <w:t xml:space="preserve"> </w:t>
      </w:r>
      <w:r w:rsidRPr="00283806">
        <w:rPr>
          <w:w w:val="110"/>
        </w:rPr>
        <w:t>HFC–125,</w:t>
      </w:r>
      <w:r w:rsidRPr="00283806">
        <w:rPr>
          <w:spacing w:val="-10"/>
          <w:w w:val="110"/>
        </w:rPr>
        <w:t xml:space="preserve"> </w:t>
      </w:r>
      <w:r w:rsidRPr="00283806">
        <w:rPr>
          <w:w w:val="110"/>
        </w:rPr>
        <w:t>HFC–236fa,</w:t>
      </w:r>
      <w:r w:rsidRPr="00283806">
        <w:rPr>
          <w:spacing w:val="-10"/>
          <w:w w:val="110"/>
        </w:rPr>
        <w:t xml:space="preserve"> </w:t>
      </w:r>
      <w:r w:rsidRPr="00283806">
        <w:rPr>
          <w:w w:val="110"/>
        </w:rPr>
        <w:t>and</w:t>
      </w:r>
      <w:r w:rsidRPr="00283806">
        <w:rPr>
          <w:spacing w:val="-10"/>
          <w:w w:val="110"/>
        </w:rPr>
        <w:t xml:space="preserve"> </w:t>
      </w:r>
      <w:r w:rsidRPr="00283806">
        <w:rPr>
          <w:spacing w:val="-4"/>
          <w:w w:val="110"/>
        </w:rPr>
        <w:t>HFC–</w:t>
      </w:r>
    </w:p>
    <w:p w14:paraId="5D82EF16" w14:textId="77777777" w:rsidR="00D67C1E" w:rsidRPr="00283806" w:rsidRDefault="001265CA">
      <w:pPr>
        <w:pStyle w:val="BodyText"/>
        <w:spacing w:line="228" w:lineRule="auto"/>
        <w:ind w:left="144" w:right="202"/>
      </w:pPr>
      <w:r w:rsidRPr="00283806">
        <w:rPr>
          <w:w w:val="105"/>
        </w:rPr>
        <w:t>23. The term ‘‘recycled’</w:t>
      </w:r>
      <w:proofErr w:type="gramStart"/>
      <w:r w:rsidRPr="00283806">
        <w:rPr>
          <w:w w:val="105"/>
        </w:rPr>
        <w:t>’</w:t>
      </w:r>
      <w:proofErr w:type="gramEnd"/>
      <w:r w:rsidRPr="00283806">
        <w:rPr>
          <w:w w:val="105"/>
        </w:rPr>
        <w:t xml:space="preserve"> or ‘‘recycling’’</w:t>
      </w:r>
      <w:r w:rsidRPr="00283806">
        <w:rPr>
          <w:spacing w:val="40"/>
          <w:w w:val="105"/>
        </w:rPr>
        <w:t xml:space="preserve"> </w:t>
      </w:r>
      <w:r w:rsidRPr="00283806">
        <w:rPr>
          <w:w w:val="105"/>
        </w:rPr>
        <w:t>as used in the fire suppression sector is similar, but not identical, to the term ‘‘reclaim’’</w:t>
      </w:r>
      <w:r w:rsidRPr="00283806">
        <w:rPr>
          <w:spacing w:val="40"/>
          <w:w w:val="105"/>
        </w:rPr>
        <w:t xml:space="preserve"> </w:t>
      </w:r>
      <w:r w:rsidRPr="00283806">
        <w:rPr>
          <w:w w:val="105"/>
        </w:rPr>
        <w:t>as</w:t>
      </w:r>
      <w:r w:rsidRPr="00283806">
        <w:rPr>
          <w:spacing w:val="40"/>
          <w:w w:val="105"/>
        </w:rPr>
        <w:t xml:space="preserve"> </w:t>
      </w:r>
      <w:r w:rsidRPr="00283806">
        <w:rPr>
          <w:w w:val="105"/>
        </w:rPr>
        <w:t>defined</w:t>
      </w:r>
      <w:r w:rsidRPr="00283806">
        <w:rPr>
          <w:spacing w:val="40"/>
          <w:w w:val="105"/>
        </w:rPr>
        <w:t xml:space="preserve"> </w:t>
      </w:r>
      <w:r w:rsidRPr="00283806">
        <w:rPr>
          <w:w w:val="105"/>
        </w:rPr>
        <w:t>under</w:t>
      </w:r>
      <w:r w:rsidRPr="00283806">
        <w:rPr>
          <w:spacing w:val="40"/>
          <w:w w:val="105"/>
        </w:rPr>
        <w:t xml:space="preserve"> </w:t>
      </w:r>
      <w:r w:rsidRPr="00283806">
        <w:rPr>
          <w:w w:val="105"/>
        </w:rPr>
        <w:t>the</w:t>
      </w:r>
      <w:r w:rsidRPr="00283806">
        <w:rPr>
          <w:spacing w:val="40"/>
          <w:w w:val="105"/>
        </w:rPr>
        <w:t xml:space="preserve"> </w:t>
      </w:r>
      <w:r w:rsidRPr="00283806">
        <w:rPr>
          <w:w w:val="105"/>
        </w:rPr>
        <w:t>AIM Act. Under the AIM Act, the terms ‘‘reclaim; reclamation’’ are defined in subsection (b)(9) of the Act, and that definition refers to the purity standards under AHRI Standard 700–2016 (or an appropriate</w:t>
      </w:r>
      <w:r w:rsidRPr="00283806">
        <w:rPr>
          <w:spacing w:val="-4"/>
          <w:w w:val="105"/>
        </w:rPr>
        <w:t xml:space="preserve"> </w:t>
      </w:r>
      <w:r w:rsidRPr="00283806">
        <w:rPr>
          <w:w w:val="105"/>
        </w:rPr>
        <w:t>successor</w:t>
      </w:r>
      <w:r w:rsidRPr="00283806">
        <w:rPr>
          <w:spacing w:val="-4"/>
          <w:w w:val="105"/>
        </w:rPr>
        <w:t xml:space="preserve"> </w:t>
      </w:r>
      <w:r w:rsidRPr="00283806">
        <w:rPr>
          <w:w w:val="105"/>
        </w:rPr>
        <w:t>standard</w:t>
      </w:r>
      <w:r w:rsidRPr="00283806">
        <w:rPr>
          <w:spacing w:val="-4"/>
          <w:w w:val="105"/>
        </w:rPr>
        <w:t xml:space="preserve"> </w:t>
      </w:r>
      <w:r w:rsidRPr="00283806">
        <w:rPr>
          <w:w w:val="105"/>
        </w:rPr>
        <w:t>adopted by the Administrator) and the verification of purity using, at a minimum, the analytical methodology described in that standard.</w:t>
      </w:r>
    </w:p>
    <w:p w14:paraId="031AFC0F" w14:textId="77777777" w:rsidR="00D67C1E" w:rsidRPr="00283806" w:rsidRDefault="001265CA">
      <w:pPr>
        <w:pStyle w:val="BodyText"/>
        <w:spacing w:line="174" w:lineRule="exact"/>
        <w:ind w:left="324"/>
      </w:pPr>
      <w:r w:rsidRPr="00283806">
        <w:rPr>
          <w:w w:val="105"/>
        </w:rPr>
        <w:t>The</w:t>
      </w:r>
      <w:r w:rsidRPr="00283806">
        <w:rPr>
          <w:spacing w:val="12"/>
          <w:w w:val="105"/>
        </w:rPr>
        <w:t xml:space="preserve"> </w:t>
      </w:r>
      <w:r w:rsidRPr="00283806">
        <w:rPr>
          <w:w w:val="105"/>
        </w:rPr>
        <w:t>fire</w:t>
      </w:r>
      <w:r w:rsidRPr="00283806">
        <w:rPr>
          <w:spacing w:val="12"/>
          <w:w w:val="105"/>
        </w:rPr>
        <w:t xml:space="preserve"> </w:t>
      </w:r>
      <w:r w:rsidRPr="00283806">
        <w:rPr>
          <w:w w:val="105"/>
        </w:rPr>
        <w:t>suppression</w:t>
      </w:r>
      <w:r w:rsidRPr="00283806">
        <w:rPr>
          <w:spacing w:val="12"/>
          <w:w w:val="105"/>
        </w:rPr>
        <w:t xml:space="preserve"> </w:t>
      </w:r>
      <w:r w:rsidRPr="00283806">
        <w:rPr>
          <w:spacing w:val="-2"/>
          <w:w w:val="105"/>
        </w:rPr>
        <w:t>industry</w:t>
      </w:r>
    </w:p>
    <w:p w14:paraId="3D446F7D" w14:textId="77777777" w:rsidR="00D67C1E" w:rsidRPr="00283806" w:rsidRDefault="001265CA">
      <w:pPr>
        <w:pStyle w:val="BodyText"/>
        <w:spacing w:before="2" w:line="228" w:lineRule="auto"/>
        <w:ind w:left="144" w:right="253"/>
      </w:pPr>
      <w:r w:rsidRPr="00283806">
        <w:rPr>
          <w:w w:val="105"/>
        </w:rPr>
        <w:t>describes clean agent as ‘‘a gaseous fire suppressant that is electrically nonconducting and that does not leave</w:t>
      </w:r>
      <w:r w:rsidRPr="00283806">
        <w:rPr>
          <w:spacing w:val="80"/>
          <w:w w:val="105"/>
        </w:rPr>
        <w:t xml:space="preserve"> </w:t>
      </w:r>
      <w:r w:rsidRPr="00283806">
        <w:rPr>
          <w:w w:val="105"/>
        </w:rPr>
        <w:t>a residue upon evaporation,’’ and the term ‘‘clean agents’’ includes HFCs, according to the National Fire</w:t>
      </w:r>
      <w:r w:rsidRPr="00283806">
        <w:rPr>
          <w:spacing w:val="40"/>
          <w:w w:val="105"/>
        </w:rPr>
        <w:t xml:space="preserve"> </w:t>
      </w:r>
      <w:r w:rsidRPr="00283806">
        <w:rPr>
          <w:w w:val="105"/>
        </w:rPr>
        <w:t>Protection Association (NFPA).</w:t>
      </w:r>
      <w:r w:rsidRPr="00283806">
        <w:rPr>
          <w:w w:val="105"/>
          <w:position w:val="5"/>
          <w:sz w:val="11"/>
        </w:rPr>
        <w:t>123</w:t>
      </w:r>
      <w:r w:rsidRPr="00283806">
        <w:rPr>
          <w:spacing w:val="40"/>
          <w:w w:val="105"/>
          <w:position w:val="5"/>
          <w:sz w:val="11"/>
        </w:rPr>
        <w:t xml:space="preserve"> </w:t>
      </w:r>
      <w:r w:rsidRPr="00283806">
        <w:rPr>
          <w:w w:val="105"/>
        </w:rPr>
        <w:t xml:space="preserve">For the purposes of this section, EPA is generally referring to the term ‘‘clean agents’’ as HFCs. While the term ‘‘fire </w:t>
      </w:r>
      <w:proofErr w:type="gramStart"/>
      <w:r w:rsidRPr="00283806">
        <w:rPr>
          <w:w w:val="105"/>
        </w:rPr>
        <w:t>suppressants’’</w:t>
      </w:r>
      <w:proofErr w:type="gramEnd"/>
      <w:r w:rsidRPr="00283806">
        <w:rPr>
          <w:w w:val="105"/>
        </w:rPr>
        <w:t xml:space="preserve"> may have a broader meaning, including non-gaseous agents for example, EPA generally views the terms ‘‘fire </w:t>
      </w:r>
      <w:proofErr w:type="gramStart"/>
      <w:r w:rsidRPr="00283806">
        <w:rPr>
          <w:w w:val="105"/>
        </w:rPr>
        <w:t>suppressants’’ and ‘‘</w:t>
      </w:r>
      <w:proofErr w:type="gramEnd"/>
      <w:r w:rsidRPr="00283806">
        <w:rPr>
          <w:w w:val="105"/>
        </w:rPr>
        <w:t xml:space="preserve">fire suppression </w:t>
      </w:r>
      <w:proofErr w:type="gramStart"/>
      <w:r w:rsidRPr="00283806">
        <w:rPr>
          <w:w w:val="105"/>
        </w:rPr>
        <w:t>agents’’</w:t>
      </w:r>
      <w:proofErr w:type="gramEnd"/>
      <w:r w:rsidRPr="00283806">
        <w:rPr>
          <w:w w:val="105"/>
        </w:rPr>
        <w:t xml:space="preserve"> as interchangeable for the purposes of this section.</w:t>
      </w:r>
    </w:p>
    <w:p w14:paraId="0575F66B" w14:textId="77777777" w:rsidR="00D67C1E" w:rsidRPr="00283806" w:rsidRDefault="001265CA">
      <w:pPr>
        <w:pStyle w:val="ListParagraph"/>
        <w:numPr>
          <w:ilvl w:val="0"/>
          <w:numId w:val="50"/>
        </w:numPr>
        <w:tabs>
          <w:tab w:val="left" w:pos="342"/>
        </w:tabs>
        <w:spacing w:before="92" w:line="228" w:lineRule="auto"/>
        <w:ind w:left="144" w:right="632" w:firstLine="0"/>
        <w:rPr>
          <w:sz w:val="18"/>
        </w:rPr>
      </w:pPr>
      <w:r w:rsidRPr="00283806">
        <w:rPr>
          <w:w w:val="105"/>
          <w:sz w:val="18"/>
        </w:rPr>
        <w:t>Emissions Reduction in the Fire Suppression Sector</w:t>
      </w:r>
    </w:p>
    <w:p w14:paraId="197B0F7C" w14:textId="77777777" w:rsidR="00D67C1E" w:rsidRPr="00283806" w:rsidRDefault="001265CA">
      <w:pPr>
        <w:pStyle w:val="BodyText"/>
        <w:spacing w:before="66" w:line="228" w:lineRule="auto"/>
        <w:ind w:left="144" w:right="203" w:firstLine="180"/>
      </w:pPr>
      <w:r w:rsidRPr="00283806">
        <w:rPr>
          <w:w w:val="105"/>
        </w:rPr>
        <w:t xml:space="preserve">As part of implementing subsection (h)(1), EPA is finalizing </w:t>
      </w:r>
      <w:proofErr w:type="gramStart"/>
      <w:r w:rsidRPr="00283806">
        <w:rPr>
          <w:w w:val="105"/>
        </w:rPr>
        <w:t>a number of</w:t>
      </w:r>
      <w:proofErr w:type="gramEnd"/>
      <w:r w:rsidRPr="00283806">
        <w:rPr>
          <w:w w:val="105"/>
        </w:rPr>
        <w:t xml:space="preserve"> requirements to minimize releases of HFCs during the servicing, repair, disposal, or installation of fire suppression</w:t>
      </w:r>
      <w:r w:rsidRPr="00283806">
        <w:rPr>
          <w:spacing w:val="35"/>
          <w:w w:val="105"/>
        </w:rPr>
        <w:t xml:space="preserve"> </w:t>
      </w:r>
      <w:r w:rsidRPr="00283806">
        <w:rPr>
          <w:w w:val="105"/>
        </w:rPr>
        <w:t>equipment</w:t>
      </w:r>
      <w:r w:rsidRPr="00283806">
        <w:rPr>
          <w:spacing w:val="35"/>
          <w:w w:val="105"/>
        </w:rPr>
        <w:t xml:space="preserve"> </w:t>
      </w:r>
      <w:r w:rsidRPr="00283806">
        <w:rPr>
          <w:w w:val="105"/>
        </w:rPr>
        <w:t>containing</w:t>
      </w:r>
      <w:r w:rsidRPr="00283806">
        <w:rPr>
          <w:spacing w:val="40"/>
          <w:w w:val="105"/>
        </w:rPr>
        <w:t xml:space="preserve"> </w:t>
      </w:r>
      <w:r w:rsidRPr="00283806">
        <w:rPr>
          <w:w w:val="105"/>
        </w:rPr>
        <w:t xml:space="preserve">HFCs or during the use of such equipment for fire suppression technician training. These requirements are </w:t>
      </w:r>
      <w:proofErr w:type="gramStart"/>
      <w:r w:rsidRPr="00283806">
        <w:rPr>
          <w:w w:val="105"/>
        </w:rPr>
        <w:t>similar to</w:t>
      </w:r>
      <w:proofErr w:type="gramEnd"/>
      <w:r w:rsidRPr="00283806">
        <w:rPr>
          <w:w w:val="105"/>
        </w:rPr>
        <w:t xml:space="preserve"> the halon emissions reduction requirements found at 40 CFR part 82, subpart H. The fact that</w:t>
      </w:r>
      <w:r w:rsidRPr="00283806">
        <w:rPr>
          <w:spacing w:val="80"/>
          <w:w w:val="150"/>
        </w:rPr>
        <w:t xml:space="preserve"> </w:t>
      </w:r>
      <w:r w:rsidRPr="00283806">
        <w:rPr>
          <w:w w:val="105"/>
        </w:rPr>
        <w:t>recycled halons have been the only supply of halons in the United States 30 years after its production and consumption phaseout in 1994 demonstrates the important role recovery and recycling of clean agents from fire suppression equipment can</w:t>
      </w:r>
    </w:p>
    <w:p w14:paraId="210DCCC2" w14:textId="77777777" w:rsidR="00D67C1E" w:rsidRPr="00283806" w:rsidRDefault="001265CA">
      <w:pPr>
        <w:pStyle w:val="BodyText"/>
        <w:spacing w:before="2"/>
        <w:ind w:left="0"/>
        <w:rPr>
          <w:sz w:val="12"/>
        </w:rPr>
      </w:pPr>
      <w:r w:rsidRPr="00283806">
        <w:rPr>
          <w:noProof/>
        </w:rPr>
        <mc:AlternateContent>
          <mc:Choice Requires="wps">
            <w:drawing>
              <wp:anchor distT="0" distB="0" distL="0" distR="0" simplePos="0" relativeHeight="251666432" behindDoc="1" locked="0" layoutInCell="1" allowOverlap="1" wp14:anchorId="68155A90" wp14:editId="7323258F">
                <wp:simplePos x="0" y="0"/>
                <wp:positionH relativeFrom="page">
                  <wp:posOffset>5067300</wp:posOffset>
                </wp:positionH>
                <wp:positionV relativeFrom="paragraph">
                  <wp:posOffset>106288</wp:posOffset>
                </wp:positionV>
                <wp:extent cx="635000" cy="1270"/>
                <wp:effectExtent l="0" t="0" r="0" b="0"/>
                <wp:wrapTopAndBottom/>
                <wp:docPr id="98" name="Graphic 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F0CBD12" id="Graphic 98" o:spid="_x0000_s1026" alt="&quot;&quot;" style="position:absolute;margin-left:399pt;margin-top:8.35pt;width:50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" path="m,l635000,e" filled="f" strokeweight=".5pt">
                <v:path arrowok="t"/>
                <w10:wrap type="topAndBottom" anchorx="page"/>
              </v:shape>
            </w:pict>
          </mc:Fallback>
        </mc:AlternateContent>
      </w:r>
    </w:p>
    <w:p w14:paraId="2974F79C" w14:textId="77777777" w:rsidR="00D67C1E" w:rsidRPr="00283806" w:rsidRDefault="001265CA">
      <w:pPr>
        <w:spacing w:before="40" w:line="232" w:lineRule="auto"/>
        <w:ind w:left="144" w:right="122" w:firstLine="140"/>
        <w:rPr>
          <w:sz w:val="14"/>
        </w:rPr>
      </w:pPr>
      <w:r w:rsidRPr="00283806">
        <w:rPr>
          <w:w w:val="105"/>
          <w:position w:val="4"/>
          <w:sz w:val="9"/>
        </w:rPr>
        <w:t xml:space="preserve">122 </w:t>
      </w:r>
      <w:r w:rsidRPr="00283806">
        <w:rPr>
          <w:w w:val="105"/>
          <w:sz w:val="14"/>
        </w:rPr>
        <w:t>These industry standards may include NFPA</w:t>
      </w:r>
      <w:r w:rsidRPr="00283806">
        <w:rPr>
          <w:spacing w:val="40"/>
          <w:w w:val="105"/>
          <w:sz w:val="14"/>
        </w:rPr>
        <w:t xml:space="preserve"> </w:t>
      </w:r>
      <w:r w:rsidRPr="00283806">
        <w:rPr>
          <w:w w:val="105"/>
          <w:sz w:val="14"/>
        </w:rPr>
        <w:t>2001 (Standard on Clean Agent Fire Extinguishing</w:t>
      </w:r>
      <w:r w:rsidRPr="00283806">
        <w:rPr>
          <w:spacing w:val="40"/>
          <w:w w:val="105"/>
          <w:sz w:val="14"/>
        </w:rPr>
        <w:t xml:space="preserve"> </w:t>
      </w:r>
      <w:r w:rsidRPr="00283806">
        <w:rPr>
          <w:w w:val="105"/>
          <w:sz w:val="14"/>
        </w:rPr>
        <w:t>Systems), NFPA 10 (Standard for Portable Fire</w:t>
      </w:r>
      <w:r w:rsidRPr="00283806">
        <w:rPr>
          <w:spacing w:val="40"/>
          <w:w w:val="105"/>
          <w:sz w:val="14"/>
        </w:rPr>
        <w:t xml:space="preserve"> </w:t>
      </w:r>
      <w:r w:rsidRPr="00283806">
        <w:rPr>
          <w:w w:val="105"/>
          <w:sz w:val="14"/>
        </w:rPr>
        <w:t>Extinguishers), ASTM D6064–11 (Standard</w:t>
      </w:r>
      <w:r w:rsidRPr="00283806">
        <w:rPr>
          <w:spacing w:val="40"/>
          <w:w w:val="105"/>
          <w:sz w:val="14"/>
        </w:rPr>
        <w:t xml:space="preserve"> </w:t>
      </w:r>
      <w:r w:rsidRPr="00283806">
        <w:rPr>
          <w:w w:val="105"/>
          <w:sz w:val="14"/>
        </w:rPr>
        <w:t>Specification for HFC–227ea), ASTM D6231/</w:t>
      </w:r>
      <w:r w:rsidRPr="00283806">
        <w:rPr>
          <w:spacing w:val="40"/>
          <w:w w:val="105"/>
          <w:sz w:val="14"/>
        </w:rPr>
        <w:t xml:space="preserve"> </w:t>
      </w:r>
      <w:r w:rsidRPr="00283806">
        <w:rPr>
          <w:w w:val="105"/>
          <w:sz w:val="14"/>
        </w:rPr>
        <w:t>D6231M–21 (Standard Specification for HFC–125),</w:t>
      </w:r>
      <w:r w:rsidRPr="00283806">
        <w:rPr>
          <w:spacing w:val="40"/>
          <w:w w:val="105"/>
          <w:sz w:val="14"/>
        </w:rPr>
        <w:t xml:space="preserve"> </w:t>
      </w:r>
      <w:r w:rsidRPr="00283806">
        <w:rPr>
          <w:w w:val="105"/>
          <w:sz w:val="14"/>
        </w:rPr>
        <w:t>ASTM D6541–21 (Standard Specification for HFC–</w:t>
      </w:r>
      <w:r w:rsidRPr="00283806">
        <w:rPr>
          <w:spacing w:val="40"/>
          <w:w w:val="105"/>
          <w:sz w:val="14"/>
        </w:rPr>
        <w:t xml:space="preserve"> </w:t>
      </w:r>
      <w:r w:rsidRPr="00283806">
        <w:rPr>
          <w:w w:val="105"/>
          <w:sz w:val="14"/>
        </w:rPr>
        <w:t>236fa), and ASTM D6126/D6126M–21 (Standard</w:t>
      </w:r>
      <w:r w:rsidRPr="00283806">
        <w:rPr>
          <w:spacing w:val="40"/>
          <w:w w:val="105"/>
          <w:sz w:val="14"/>
        </w:rPr>
        <w:t xml:space="preserve"> </w:t>
      </w:r>
      <w:r w:rsidRPr="00283806">
        <w:rPr>
          <w:w w:val="105"/>
          <w:sz w:val="14"/>
        </w:rPr>
        <w:t>Specification for HFC–23).</w:t>
      </w:r>
    </w:p>
    <w:p w14:paraId="074BD9F1" w14:textId="1B902176" w:rsidR="00D67C1E" w:rsidRPr="00283806" w:rsidRDefault="001265CA">
      <w:pPr>
        <w:spacing w:before="16" w:line="232" w:lineRule="auto"/>
        <w:ind w:left="144" w:right="171" w:firstLine="140"/>
        <w:rPr>
          <w:rFonts w:ascii="Book Antiqua"/>
          <w:i/>
          <w:sz w:val="14"/>
        </w:rPr>
      </w:pPr>
      <w:r w:rsidRPr="00283806">
        <w:rPr>
          <w:w w:val="110"/>
          <w:position w:val="4"/>
          <w:sz w:val="9"/>
        </w:rPr>
        <w:t>123</w:t>
      </w:r>
      <w:r w:rsidRPr="00283806">
        <w:rPr>
          <w:spacing w:val="-4"/>
          <w:w w:val="110"/>
          <w:position w:val="4"/>
          <w:sz w:val="9"/>
        </w:rPr>
        <w:t xml:space="preserve"> </w:t>
      </w:r>
      <w:r w:rsidRPr="00283806">
        <w:rPr>
          <w:w w:val="110"/>
          <w:sz w:val="14"/>
        </w:rPr>
        <w:t>National</w:t>
      </w:r>
      <w:r w:rsidRPr="00283806">
        <w:rPr>
          <w:spacing w:val="-3"/>
          <w:w w:val="110"/>
          <w:sz w:val="14"/>
        </w:rPr>
        <w:t xml:space="preserve"> </w:t>
      </w:r>
      <w:r w:rsidRPr="00283806">
        <w:rPr>
          <w:w w:val="110"/>
          <w:sz w:val="14"/>
        </w:rPr>
        <w:t>Fire</w:t>
      </w:r>
      <w:r w:rsidRPr="00283806">
        <w:rPr>
          <w:spacing w:val="-3"/>
          <w:w w:val="110"/>
          <w:sz w:val="14"/>
        </w:rPr>
        <w:t xml:space="preserve"> </w:t>
      </w:r>
      <w:r w:rsidRPr="00283806">
        <w:rPr>
          <w:w w:val="110"/>
          <w:sz w:val="14"/>
        </w:rPr>
        <w:t>Protection</w:t>
      </w:r>
      <w:r w:rsidRPr="00283806">
        <w:rPr>
          <w:spacing w:val="-3"/>
          <w:w w:val="110"/>
          <w:sz w:val="14"/>
        </w:rPr>
        <w:t xml:space="preserve"> </w:t>
      </w:r>
      <w:r w:rsidRPr="00283806">
        <w:rPr>
          <w:w w:val="110"/>
          <w:sz w:val="14"/>
        </w:rPr>
        <w:t>Association,</w:t>
      </w:r>
      <w:r w:rsidRPr="00283806">
        <w:rPr>
          <w:spacing w:val="-3"/>
          <w:w w:val="110"/>
          <w:sz w:val="14"/>
        </w:rPr>
        <w:t xml:space="preserve"> </w:t>
      </w:r>
      <w:r w:rsidRPr="00283806">
        <w:rPr>
          <w:w w:val="110"/>
          <w:sz w:val="14"/>
        </w:rPr>
        <w:t>NFPA</w:t>
      </w:r>
      <w:r w:rsidRPr="00283806">
        <w:rPr>
          <w:spacing w:val="40"/>
          <w:w w:val="110"/>
          <w:sz w:val="14"/>
        </w:rPr>
        <w:t xml:space="preserve"> </w:t>
      </w:r>
      <w:r w:rsidRPr="00283806">
        <w:rPr>
          <w:w w:val="110"/>
          <w:sz w:val="14"/>
        </w:rPr>
        <w:t>Today,</w:t>
      </w:r>
      <w:r w:rsidRPr="00283806">
        <w:rPr>
          <w:spacing w:val="-3"/>
          <w:w w:val="110"/>
          <w:sz w:val="14"/>
        </w:rPr>
        <w:t xml:space="preserve"> </w:t>
      </w:r>
      <w:r w:rsidRPr="00283806">
        <w:rPr>
          <w:w w:val="110"/>
          <w:sz w:val="14"/>
        </w:rPr>
        <w:t>May</w:t>
      </w:r>
      <w:r w:rsidRPr="00283806">
        <w:rPr>
          <w:spacing w:val="-2"/>
          <w:w w:val="110"/>
          <w:sz w:val="14"/>
        </w:rPr>
        <w:t xml:space="preserve"> </w:t>
      </w:r>
      <w:r w:rsidRPr="00283806">
        <w:rPr>
          <w:w w:val="110"/>
          <w:sz w:val="14"/>
        </w:rPr>
        <w:t>6,</w:t>
      </w:r>
      <w:r w:rsidRPr="00283806">
        <w:rPr>
          <w:spacing w:val="-2"/>
          <w:w w:val="110"/>
          <w:sz w:val="14"/>
        </w:rPr>
        <w:t xml:space="preserve"> </w:t>
      </w:r>
      <w:r w:rsidRPr="00283806">
        <w:rPr>
          <w:w w:val="110"/>
          <w:sz w:val="14"/>
        </w:rPr>
        <w:t>2022,</w:t>
      </w:r>
      <w:r w:rsidRPr="00283806">
        <w:rPr>
          <w:spacing w:val="-3"/>
          <w:w w:val="110"/>
          <w:sz w:val="14"/>
        </w:rPr>
        <w:t xml:space="preserve"> </w:t>
      </w:r>
      <w:r w:rsidRPr="00283806">
        <w:rPr>
          <w:rFonts w:ascii="Book Antiqua"/>
          <w:i/>
          <w:spacing w:val="-2"/>
          <w:w w:val="110"/>
          <w:sz w:val="14"/>
        </w:rPr>
        <w:t>https://www.nfpa.org/News-</w:t>
      </w:r>
    </w:p>
    <w:p w14:paraId="03F4A3DC" w14:textId="77777777" w:rsidR="00D67C1E" w:rsidRPr="00283806" w:rsidRDefault="00D67C1E">
      <w:pPr>
        <w:spacing w:line="232" w:lineRule="auto"/>
        <w:rPr>
          <w:rFonts w:ascii="Book Antiqua"/>
          <w:sz w:val="14"/>
        </w:rPr>
        <w:sectPr w:rsidR="00D67C1E" w:rsidRPr="00283806">
          <w:pgSz w:w="12240" w:h="15840"/>
          <w:pgMar w:top="1040" w:right="780" w:bottom="280" w:left="740" w:header="627" w:footer="0" w:gutter="0"/>
          <w:cols w:num="3" w:space="720" w:equalWidth="0">
            <w:col w:w="3515" w:space="40"/>
            <w:col w:w="3501" w:space="39"/>
            <w:col w:w="3625"/>
          </w:cols>
        </w:sectPr>
      </w:pPr>
    </w:p>
    <w:p w14:paraId="5B3ECFF7" w14:textId="270AB88B" w:rsidR="00D67C1E" w:rsidRPr="00283806" w:rsidRDefault="001265CA">
      <w:pPr>
        <w:tabs>
          <w:tab w:val="left" w:pos="3699"/>
          <w:tab w:val="left" w:pos="4699"/>
          <w:tab w:val="left" w:pos="7239"/>
        </w:tabs>
        <w:spacing w:line="160" w:lineRule="exact"/>
        <w:ind w:left="159"/>
        <w:rPr>
          <w:rFonts w:ascii="Book Antiqua" w:hAnsi="Book Antiqua"/>
          <w:i/>
          <w:sz w:val="14"/>
        </w:rPr>
      </w:pPr>
      <w:r w:rsidRPr="00283806">
        <w:rPr>
          <w:w w:val="110"/>
          <w:sz w:val="14"/>
        </w:rPr>
        <w:t>installation,’’</w:t>
      </w:r>
      <w:r w:rsidRPr="00283806">
        <w:rPr>
          <w:spacing w:val="5"/>
          <w:w w:val="110"/>
          <w:sz w:val="14"/>
        </w:rPr>
        <w:t xml:space="preserve"> </w:t>
      </w:r>
      <w:r w:rsidRPr="00283806">
        <w:rPr>
          <w:w w:val="110"/>
          <w:sz w:val="14"/>
        </w:rPr>
        <w:t>‘‘initial</w:t>
      </w:r>
      <w:r w:rsidRPr="00283806">
        <w:rPr>
          <w:spacing w:val="6"/>
          <w:w w:val="110"/>
          <w:sz w:val="14"/>
        </w:rPr>
        <w:t xml:space="preserve"> </w:t>
      </w:r>
      <w:r w:rsidRPr="00283806">
        <w:rPr>
          <w:w w:val="110"/>
          <w:sz w:val="14"/>
        </w:rPr>
        <w:t>charge,’’</w:t>
      </w:r>
      <w:r w:rsidRPr="00283806">
        <w:rPr>
          <w:spacing w:val="6"/>
          <w:w w:val="110"/>
          <w:sz w:val="14"/>
        </w:rPr>
        <w:t xml:space="preserve"> </w:t>
      </w:r>
      <w:r w:rsidRPr="00283806">
        <w:rPr>
          <w:w w:val="110"/>
          <w:sz w:val="14"/>
        </w:rPr>
        <w:t>or</w:t>
      </w:r>
      <w:r w:rsidRPr="00283806">
        <w:rPr>
          <w:spacing w:val="6"/>
          <w:w w:val="110"/>
          <w:sz w:val="14"/>
        </w:rPr>
        <w:t xml:space="preserve"> </w:t>
      </w:r>
      <w:r w:rsidRPr="00283806">
        <w:rPr>
          <w:w w:val="110"/>
          <w:sz w:val="14"/>
        </w:rPr>
        <w:t>‘‘initial</w:t>
      </w:r>
      <w:r w:rsidRPr="00283806">
        <w:rPr>
          <w:spacing w:val="6"/>
          <w:w w:val="110"/>
          <w:sz w:val="14"/>
        </w:rPr>
        <w:t xml:space="preserve"> </w:t>
      </w:r>
      <w:r w:rsidRPr="00283806">
        <w:rPr>
          <w:w w:val="110"/>
          <w:sz w:val="14"/>
        </w:rPr>
        <w:t>fill’’</w:t>
      </w:r>
      <w:r w:rsidRPr="00283806">
        <w:rPr>
          <w:spacing w:val="6"/>
          <w:w w:val="110"/>
          <w:sz w:val="14"/>
        </w:rPr>
        <w:t xml:space="preserve"> </w:t>
      </w:r>
      <w:r w:rsidRPr="00283806">
        <w:rPr>
          <w:w w:val="110"/>
          <w:sz w:val="14"/>
        </w:rPr>
        <w:t>to</w:t>
      </w:r>
      <w:r w:rsidRPr="00283806">
        <w:rPr>
          <w:spacing w:val="6"/>
          <w:w w:val="110"/>
          <w:sz w:val="14"/>
        </w:rPr>
        <w:t xml:space="preserve"> </w:t>
      </w:r>
      <w:r w:rsidRPr="00283806">
        <w:rPr>
          <w:spacing w:val="-5"/>
          <w:w w:val="110"/>
          <w:sz w:val="14"/>
        </w:rPr>
        <w:t>be</w:t>
      </w:r>
      <w:r w:rsidRPr="00283806">
        <w:rPr>
          <w:sz w:val="14"/>
        </w:rPr>
        <w:tab/>
      </w:r>
      <w:r w:rsidRPr="00283806">
        <w:rPr>
          <w:sz w:val="14"/>
          <w:u w:val="single"/>
        </w:rPr>
        <w:tab/>
      </w:r>
      <w:r w:rsidRPr="00283806">
        <w:rPr>
          <w:sz w:val="14"/>
        </w:rPr>
        <w:tab/>
      </w:r>
      <w:r w:rsidRPr="00283806">
        <w:rPr>
          <w:rFonts w:ascii="Book Antiqua" w:hAnsi="Book Antiqua"/>
          <w:i/>
          <w:w w:val="115"/>
          <w:sz w:val="14"/>
        </w:rPr>
        <w:t>and-Research/Publications-and-</w:t>
      </w:r>
      <w:r w:rsidRPr="00283806">
        <w:rPr>
          <w:rFonts w:ascii="Book Antiqua" w:hAnsi="Book Antiqua"/>
          <w:i/>
          <w:spacing w:val="-2"/>
          <w:w w:val="115"/>
          <w:sz w:val="14"/>
        </w:rPr>
        <w:t>media/Blogs-</w:t>
      </w:r>
    </w:p>
    <w:p w14:paraId="13BD148B" w14:textId="77777777" w:rsidR="00D67C1E" w:rsidRPr="00283806" w:rsidRDefault="00D67C1E">
      <w:pPr>
        <w:spacing w:line="160" w:lineRule="exact"/>
        <w:rPr>
          <w:rFonts w:ascii="Book Antiqua" w:hAnsi="Book Antiqua"/>
          <w:sz w:val="14"/>
        </w:rPr>
        <w:sectPr w:rsidR="00D67C1E" w:rsidRPr="00283806">
          <w:type w:val="continuous"/>
          <w:pgSz w:w="12240" w:h="15840"/>
          <w:pgMar w:top="880" w:right="780" w:bottom="280" w:left="740" w:header="627" w:footer="0" w:gutter="0"/>
          <w:cols w:space="720"/>
        </w:sectPr>
      </w:pPr>
    </w:p>
    <w:p w14:paraId="57C9DBDB" w14:textId="77777777" w:rsidR="00D67C1E" w:rsidRPr="00283806" w:rsidRDefault="001265CA">
      <w:pPr>
        <w:spacing w:before="4" w:line="232" w:lineRule="auto"/>
        <w:ind w:left="159" w:right="32"/>
        <w:rPr>
          <w:sz w:val="14"/>
        </w:rPr>
      </w:pPr>
      <w:r w:rsidRPr="00283806">
        <w:rPr>
          <w:w w:val="105"/>
          <w:sz w:val="14"/>
        </w:rPr>
        <w:t>synonymous when discussing fire suppression</w:t>
      </w:r>
      <w:r w:rsidRPr="00283806">
        <w:rPr>
          <w:spacing w:val="40"/>
          <w:w w:val="105"/>
          <w:sz w:val="14"/>
        </w:rPr>
        <w:t xml:space="preserve"> </w:t>
      </w:r>
      <w:r w:rsidRPr="00283806">
        <w:rPr>
          <w:w w:val="105"/>
          <w:sz w:val="14"/>
        </w:rPr>
        <w:t xml:space="preserve">equipment to </w:t>
      </w:r>
      <w:proofErr w:type="gramStart"/>
      <w:r w:rsidRPr="00283806">
        <w:rPr>
          <w:w w:val="105"/>
          <w:sz w:val="14"/>
        </w:rPr>
        <w:t>done</w:t>
      </w:r>
      <w:proofErr w:type="gramEnd"/>
      <w:r w:rsidRPr="00283806">
        <w:rPr>
          <w:w w:val="105"/>
          <w:sz w:val="14"/>
        </w:rPr>
        <w:t xml:space="preserve"> with recycled HFCs.</w:t>
      </w:r>
    </w:p>
    <w:p w14:paraId="760445B5" w14:textId="77777777" w:rsidR="00D67C1E" w:rsidRPr="00283806" w:rsidRDefault="001265CA">
      <w:pPr>
        <w:spacing w:before="4" w:line="232" w:lineRule="auto"/>
        <w:ind w:left="159" w:firstLine="140"/>
        <w:rPr>
          <w:sz w:val="14"/>
        </w:rPr>
      </w:pPr>
      <w:r w:rsidRPr="00283806">
        <w:br w:type="column"/>
      </w:r>
      <w:r w:rsidRPr="00283806">
        <w:rPr>
          <w:spacing w:val="-2"/>
          <w:w w:val="110"/>
          <w:position w:val="4"/>
          <w:sz w:val="9"/>
        </w:rPr>
        <w:t>121</w:t>
      </w:r>
      <w:r w:rsidRPr="00283806">
        <w:rPr>
          <w:spacing w:val="-3"/>
          <w:w w:val="110"/>
          <w:position w:val="4"/>
          <w:sz w:val="9"/>
        </w:rPr>
        <w:t xml:space="preserve"> </w:t>
      </w:r>
      <w:r w:rsidRPr="00283806">
        <w:rPr>
          <w:spacing w:val="-2"/>
          <w:w w:val="110"/>
          <w:sz w:val="14"/>
        </w:rPr>
        <w:t>On board aerospace fire suppression is defined</w:t>
      </w:r>
      <w:r w:rsidRPr="00283806">
        <w:rPr>
          <w:spacing w:val="40"/>
          <w:w w:val="110"/>
          <w:sz w:val="14"/>
        </w:rPr>
        <w:t xml:space="preserve"> </w:t>
      </w:r>
      <w:r w:rsidRPr="00283806">
        <w:rPr>
          <w:w w:val="110"/>
          <w:sz w:val="14"/>
        </w:rPr>
        <w:t>at 40 CFR 84.3.</w:t>
      </w:r>
    </w:p>
    <w:p w14:paraId="1CF33933" w14:textId="599FF892" w:rsidR="00D67C1E" w:rsidRPr="00283806" w:rsidRDefault="001265CA">
      <w:pPr>
        <w:spacing w:before="13" w:line="223" w:lineRule="auto"/>
        <w:ind w:left="140" w:right="150"/>
        <w:rPr>
          <w:sz w:val="14"/>
        </w:rPr>
      </w:pPr>
      <w:r w:rsidRPr="00283806">
        <w:br w:type="column"/>
      </w:r>
      <w:r w:rsidRPr="00283806">
        <w:rPr>
          <w:rFonts w:ascii="Book Antiqua"/>
          <w:i/>
          <w:spacing w:val="-2"/>
          <w:w w:val="110"/>
          <w:sz w:val="14"/>
        </w:rPr>
        <w:t>Landing-Page/NFPA-Today/Blog-Posts/2022/05/06/</w:t>
      </w:r>
      <w:r w:rsidRPr="00283806">
        <w:rPr>
          <w:rFonts w:ascii="Book Antiqua"/>
          <w:i/>
          <w:spacing w:val="40"/>
          <w:w w:val="110"/>
          <w:sz w:val="14"/>
        </w:rPr>
        <w:t xml:space="preserve"> </w:t>
      </w:r>
      <w:r w:rsidRPr="00283806">
        <w:rPr>
          <w:rFonts w:ascii="Book Antiqua"/>
          <w:i/>
          <w:spacing w:val="-2"/>
          <w:w w:val="110"/>
          <w:sz w:val="14"/>
        </w:rPr>
        <w:t>Clean-Agent-System-Basics</w:t>
      </w:r>
      <w:r w:rsidRPr="00283806">
        <w:rPr>
          <w:spacing w:val="-2"/>
          <w:w w:val="110"/>
          <w:sz w:val="14"/>
        </w:rPr>
        <w:t>.</w:t>
      </w:r>
    </w:p>
    <w:p w14:paraId="39E62A87" w14:textId="77777777" w:rsidR="00D67C1E" w:rsidRPr="00283806" w:rsidRDefault="00D67C1E">
      <w:pPr>
        <w:spacing w:line="223" w:lineRule="auto"/>
        <w:rPr>
          <w:sz w:val="14"/>
        </w:rPr>
        <w:sectPr w:rsidR="00D67C1E" w:rsidRPr="00283806">
          <w:type w:val="continuous"/>
          <w:pgSz w:w="12240" w:h="15840"/>
          <w:pgMar w:top="880" w:right="780" w:bottom="280" w:left="740" w:header="627" w:footer="0" w:gutter="0"/>
          <w:cols w:num="3" w:space="720" w:equalWidth="0">
            <w:col w:w="3201" w:space="339"/>
            <w:col w:w="3520" w:space="40"/>
            <w:col w:w="3620"/>
          </w:cols>
        </w:sectPr>
      </w:pPr>
    </w:p>
    <w:p w14:paraId="4DFA3E15" w14:textId="77777777" w:rsidR="00D67C1E" w:rsidRPr="00283806" w:rsidRDefault="001265CA">
      <w:pPr>
        <w:pStyle w:val="BodyText"/>
        <w:spacing w:before="136" w:line="225" w:lineRule="auto"/>
        <w:ind w:right="110"/>
      </w:pPr>
      <w:r w:rsidRPr="00283806">
        <w:rPr>
          <w:w w:val="105"/>
        </w:rPr>
        <w:lastRenderedPageBreak/>
        <w:t xml:space="preserve">play by providing an ongoing supply where substitutes may not be suitable. As discussed in the proposal, EPA understands that this model has </w:t>
      </w:r>
      <w:proofErr w:type="gramStart"/>
      <w:r w:rsidRPr="00283806">
        <w:rPr>
          <w:w w:val="105"/>
        </w:rPr>
        <w:t>carried</w:t>
      </w:r>
      <w:proofErr w:type="gramEnd"/>
      <w:r w:rsidRPr="00283806">
        <w:rPr>
          <w:w w:val="105"/>
        </w:rPr>
        <w:t xml:space="preserve"> over on a voluntary basis to the management of HFCs by many in the</w:t>
      </w:r>
      <w:r w:rsidRPr="00283806">
        <w:rPr>
          <w:spacing w:val="80"/>
          <w:w w:val="105"/>
        </w:rPr>
        <w:t xml:space="preserve"> </w:t>
      </w:r>
      <w:r w:rsidRPr="00283806">
        <w:rPr>
          <w:w w:val="105"/>
        </w:rPr>
        <w:t>fire suppression sector.</w:t>
      </w:r>
    </w:p>
    <w:p w14:paraId="142C7895" w14:textId="77777777" w:rsidR="00D67C1E" w:rsidRPr="00283806" w:rsidRDefault="001265CA">
      <w:pPr>
        <w:pStyle w:val="ListParagraph"/>
        <w:numPr>
          <w:ilvl w:val="1"/>
          <w:numId w:val="50"/>
        </w:numPr>
        <w:tabs>
          <w:tab w:val="left" w:pos="348"/>
        </w:tabs>
        <w:spacing w:before="85"/>
        <w:ind w:left="348" w:hanging="188"/>
        <w:rPr>
          <w:sz w:val="18"/>
        </w:rPr>
      </w:pPr>
      <w:r w:rsidRPr="00283806">
        <w:rPr>
          <w:w w:val="110"/>
          <w:sz w:val="18"/>
        </w:rPr>
        <w:t>Minimizing</w:t>
      </w:r>
      <w:r w:rsidRPr="00283806">
        <w:rPr>
          <w:spacing w:val="-8"/>
          <w:w w:val="110"/>
          <w:sz w:val="18"/>
        </w:rPr>
        <w:t xml:space="preserve"> </w:t>
      </w:r>
      <w:r w:rsidRPr="00283806">
        <w:rPr>
          <w:w w:val="110"/>
          <w:sz w:val="18"/>
        </w:rPr>
        <w:t>Releases</w:t>
      </w:r>
      <w:r w:rsidRPr="00283806">
        <w:rPr>
          <w:spacing w:val="-7"/>
          <w:w w:val="110"/>
          <w:sz w:val="18"/>
        </w:rPr>
        <w:t xml:space="preserve"> </w:t>
      </w:r>
      <w:r w:rsidRPr="00283806">
        <w:rPr>
          <w:w w:val="110"/>
          <w:sz w:val="18"/>
        </w:rPr>
        <w:t>of</w:t>
      </w:r>
      <w:r w:rsidRPr="00283806">
        <w:rPr>
          <w:spacing w:val="-8"/>
          <w:w w:val="110"/>
          <w:sz w:val="18"/>
        </w:rPr>
        <w:t xml:space="preserve"> </w:t>
      </w:r>
      <w:r w:rsidRPr="00283806">
        <w:rPr>
          <w:spacing w:val="-4"/>
          <w:w w:val="110"/>
          <w:sz w:val="18"/>
        </w:rPr>
        <w:t>HFCs</w:t>
      </w:r>
    </w:p>
    <w:p w14:paraId="091AB483" w14:textId="77777777" w:rsidR="00D67C1E" w:rsidRPr="00283806" w:rsidRDefault="001265CA">
      <w:pPr>
        <w:pStyle w:val="BodyText"/>
        <w:spacing w:before="63" w:line="225" w:lineRule="auto"/>
        <w:ind w:right="88" w:firstLine="180"/>
      </w:pPr>
      <w:r w:rsidRPr="00283806">
        <w:rPr>
          <w:w w:val="105"/>
        </w:rPr>
        <w:t>To minimize releases of HFCs, EPA is requiring that covered entities</w:t>
      </w:r>
      <w:r w:rsidRPr="00283806">
        <w:rPr>
          <w:spacing w:val="80"/>
          <w:w w:val="105"/>
        </w:rPr>
        <w:t xml:space="preserve"> </w:t>
      </w:r>
      <w:r w:rsidRPr="00283806">
        <w:rPr>
          <w:w w:val="105"/>
        </w:rPr>
        <w:t>installing, servicing, repairing, or disposing of fire suppression equipment containing a regulated substance may</w:t>
      </w:r>
      <w:r w:rsidRPr="00283806">
        <w:rPr>
          <w:spacing w:val="40"/>
          <w:w w:val="105"/>
        </w:rPr>
        <w:t xml:space="preserve"> </w:t>
      </w:r>
      <w:r w:rsidRPr="00283806">
        <w:rPr>
          <w:w w:val="105"/>
        </w:rPr>
        <w:t>not release into the environment, such</w:t>
      </w:r>
      <w:r w:rsidRPr="00283806">
        <w:rPr>
          <w:spacing w:val="80"/>
          <w:w w:val="105"/>
        </w:rPr>
        <w:t xml:space="preserve"> </w:t>
      </w:r>
      <w:r w:rsidRPr="00283806">
        <w:rPr>
          <w:w w:val="105"/>
        </w:rPr>
        <w:t>as</w:t>
      </w:r>
      <w:r w:rsidRPr="00283806">
        <w:rPr>
          <w:spacing w:val="40"/>
          <w:w w:val="105"/>
        </w:rPr>
        <w:t xml:space="preserve"> </w:t>
      </w:r>
      <w:r w:rsidRPr="00283806">
        <w:rPr>
          <w:w w:val="105"/>
        </w:rPr>
        <w:t>by</w:t>
      </w:r>
      <w:r w:rsidRPr="00283806">
        <w:rPr>
          <w:spacing w:val="40"/>
          <w:w w:val="105"/>
        </w:rPr>
        <w:t xml:space="preserve"> </w:t>
      </w:r>
      <w:r w:rsidRPr="00283806">
        <w:rPr>
          <w:w w:val="105"/>
        </w:rPr>
        <w:t>intentional</w:t>
      </w:r>
      <w:r w:rsidRPr="00283806">
        <w:rPr>
          <w:spacing w:val="40"/>
          <w:w w:val="105"/>
        </w:rPr>
        <w:t xml:space="preserve"> </w:t>
      </w:r>
      <w:r w:rsidRPr="00283806">
        <w:rPr>
          <w:w w:val="105"/>
        </w:rPr>
        <w:t>venting,</w:t>
      </w:r>
      <w:r w:rsidRPr="00283806">
        <w:rPr>
          <w:spacing w:val="40"/>
          <w:w w:val="105"/>
        </w:rPr>
        <w:t xml:space="preserve"> </w:t>
      </w:r>
      <w:r w:rsidRPr="00283806">
        <w:rPr>
          <w:w w:val="105"/>
        </w:rPr>
        <w:t>any</w:t>
      </w:r>
      <w:r w:rsidRPr="00283806">
        <w:rPr>
          <w:spacing w:val="40"/>
          <w:w w:val="105"/>
        </w:rPr>
        <w:t xml:space="preserve"> </w:t>
      </w:r>
      <w:r w:rsidRPr="00283806">
        <w:rPr>
          <w:w w:val="105"/>
        </w:rPr>
        <w:t xml:space="preserve">HFCs used in such equipment. EPA is also </w:t>
      </w:r>
      <w:proofErr w:type="gramStart"/>
      <w:r w:rsidRPr="00283806">
        <w:rPr>
          <w:w w:val="105"/>
        </w:rPr>
        <w:t>requiring</w:t>
      </w:r>
      <w:proofErr w:type="gramEnd"/>
      <w:r w:rsidRPr="00283806">
        <w:rPr>
          <w:w w:val="105"/>
        </w:rPr>
        <w:t xml:space="preserve"> that owners and operators of fire suppression equipment containing HFCs not allow the release of HFCs as</w:t>
      </w:r>
    </w:p>
    <w:p w14:paraId="608BCAE6" w14:textId="77777777" w:rsidR="00D67C1E" w:rsidRPr="00283806" w:rsidRDefault="001265CA">
      <w:pPr>
        <w:pStyle w:val="BodyText"/>
        <w:spacing w:before="5" w:line="228" w:lineRule="auto"/>
        <w:ind w:right="128"/>
      </w:pPr>
      <w:r w:rsidRPr="00283806">
        <w:rPr>
          <w:w w:val="105"/>
        </w:rPr>
        <w:t xml:space="preserve">a result of failure to maintain such </w:t>
      </w:r>
      <w:r w:rsidRPr="00283806">
        <w:rPr>
          <w:spacing w:val="-2"/>
          <w:w w:val="105"/>
        </w:rPr>
        <w:t>equipment.</w:t>
      </w:r>
    </w:p>
    <w:p w14:paraId="6DF3B411" w14:textId="77777777" w:rsidR="00D67C1E" w:rsidRPr="00283806" w:rsidRDefault="001265CA">
      <w:pPr>
        <w:pStyle w:val="BodyText"/>
        <w:spacing w:line="180" w:lineRule="exact"/>
        <w:ind w:left="340"/>
      </w:pPr>
      <w:r w:rsidRPr="00283806">
        <w:rPr>
          <w:w w:val="105"/>
        </w:rPr>
        <w:t>Recognizing</w:t>
      </w:r>
      <w:r w:rsidRPr="00283806">
        <w:rPr>
          <w:spacing w:val="19"/>
          <w:w w:val="105"/>
        </w:rPr>
        <w:t xml:space="preserve"> </w:t>
      </w:r>
      <w:r w:rsidRPr="00283806">
        <w:rPr>
          <w:w w:val="105"/>
        </w:rPr>
        <w:t>the</w:t>
      </w:r>
      <w:r w:rsidRPr="00283806">
        <w:rPr>
          <w:spacing w:val="20"/>
          <w:w w:val="105"/>
        </w:rPr>
        <w:t xml:space="preserve"> </w:t>
      </w:r>
      <w:r w:rsidRPr="00283806">
        <w:rPr>
          <w:spacing w:val="-2"/>
          <w:w w:val="105"/>
        </w:rPr>
        <w:t>extensive</w:t>
      </w:r>
    </w:p>
    <w:p w14:paraId="394FDA33" w14:textId="77777777" w:rsidR="00D67C1E" w:rsidRPr="00283806" w:rsidRDefault="001265CA">
      <w:pPr>
        <w:pStyle w:val="BodyText"/>
        <w:spacing w:before="4" w:line="225" w:lineRule="auto"/>
      </w:pPr>
      <w:r w:rsidRPr="00283806">
        <w:rPr>
          <w:w w:val="105"/>
        </w:rPr>
        <w:t>requirements for testing (</w:t>
      </w:r>
      <w:r w:rsidRPr="00283806">
        <w:rPr>
          <w:rFonts w:ascii="Book Antiqua"/>
          <w:i/>
          <w:w w:val="105"/>
        </w:rPr>
        <w:t xml:space="preserve">e.g., </w:t>
      </w:r>
      <w:r w:rsidRPr="00283806">
        <w:rPr>
          <w:w w:val="105"/>
        </w:rPr>
        <w:t>Federal Aviation Administration, United States Coast Guard, Department of Defense) associated with the approval for use of fire suppressants in certain applications, certain limited HFC releases for health, safety, environmental, and other considerations</w:t>
      </w:r>
      <w:r w:rsidRPr="00283806">
        <w:rPr>
          <w:spacing w:val="11"/>
          <w:w w:val="105"/>
        </w:rPr>
        <w:t xml:space="preserve"> </w:t>
      </w:r>
      <w:r w:rsidRPr="00283806">
        <w:rPr>
          <w:w w:val="105"/>
        </w:rPr>
        <w:t>are</w:t>
      </w:r>
      <w:r w:rsidRPr="00283806">
        <w:rPr>
          <w:spacing w:val="11"/>
          <w:w w:val="105"/>
        </w:rPr>
        <w:t xml:space="preserve"> </w:t>
      </w:r>
      <w:r w:rsidRPr="00283806">
        <w:rPr>
          <w:w w:val="105"/>
        </w:rPr>
        <w:t>exempted,</w:t>
      </w:r>
      <w:r w:rsidRPr="00283806">
        <w:rPr>
          <w:spacing w:val="11"/>
          <w:w w:val="105"/>
        </w:rPr>
        <w:t xml:space="preserve"> </w:t>
      </w:r>
      <w:r w:rsidRPr="00283806">
        <w:rPr>
          <w:spacing w:val="-2"/>
          <w:w w:val="105"/>
        </w:rPr>
        <w:t>including:</w:t>
      </w:r>
    </w:p>
    <w:p w14:paraId="4772B144" w14:textId="77777777" w:rsidR="00D67C1E" w:rsidRPr="00283806" w:rsidRDefault="001265CA">
      <w:pPr>
        <w:pStyle w:val="ListParagraph"/>
        <w:numPr>
          <w:ilvl w:val="2"/>
          <w:numId w:val="50"/>
        </w:numPr>
        <w:tabs>
          <w:tab w:val="left" w:pos="522"/>
        </w:tabs>
        <w:spacing w:line="182" w:lineRule="exact"/>
        <w:ind w:hanging="182"/>
        <w:rPr>
          <w:sz w:val="18"/>
        </w:rPr>
      </w:pPr>
      <w:r w:rsidRPr="00283806">
        <w:rPr>
          <w:w w:val="105"/>
          <w:sz w:val="18"/>
        </w:rPr>
        <w:t>Releases</w:t>
      </w:r>
      <w:r w:rsidRPr="00283806">
        <w:rPr>
          <w:spacing w:val="6"/>
          <w:w w:val="105"/>
          <w:sz w:val="18"/>
        </w:rPr>
        <w:t xml:space="preserve"> </w:t>
      </w:r>
      <w:r w:rsidRPr="00283806">
        <w:rPr>
          <w:w w:val="105"/>
          <w:sz w:val="18"/>
        </w:rPr>
        <w:t>during</w:t>
      </w:r>
      <w:r w:rsidRPr="00283806">
        <w:rPr>
          <w:spacing w:val="6"/>
          <w:w w:val="105"/>
          <w:sz w:val="18"/>
        </w:rPr>
        <w:t xml:space="preserve"> </w:t>
      </w:r>
      <w:r w:rsidRPr="00283806">
        <w:rPr>
          <w:w w:val="105"/>
          <w:sz w:val="18"/>
        </w:rPr>
        <w:t>the</w:t>
      </w:r>
      <w:r w:rsidRPr="00283806">
        <w:rPr>
          <w:spacing w:val="7"/>
          <w:w w:val="105"/>
          <w:sz w:val="18"/>
        </w:rPr>
        <w:t xml:space="preserve"> </w:t>
      </w:r>
      <w:r w:rsidRPr="00283806">
        <w:rPr>
          <w:w w:val="105"/>
          <w:sz w:val="18"/>
        </w:rPr>
        <w:t>testing</w:t>
      </w:r>
      <w:r w:rsidRPr="00283806">
        <w:rPr>
          <w:spacing w:val="6"/>
          <w:w w:val="105"/>
          <w:sz w:val="18"/>
        </w:rPr>
        <w:t xml:space="preserve"> </w:t>
      </w:r>
      <w:r w:rsidRPr="00283806">
        <w:rPr>
          <w:w w:val="105"/>
          <w:sz w:val="18"/>
        </w:rPr>
        <w:t>of</w:t>
      </w:r>
      <w:r w:rsidRPr="00283806">
        <w:rPr>
          <w:spacing w:val="7"/>
          <w:w w:val="105"/>
          <w:sz w:val="18"/>
        </w:rPr>
        <w:t xml:space="preserve"> </w:t>
      </w:r>
      <w:r w:rsidRPr="00283806">
        <w:rPr>
          <w:spacing w:val="-4"/>
          <w:w w:val="105"/>
          <w:sz w:val="18"/>
        </w:rPr>
        <w:t>fire</w:t>
      </w:r>
    </w:p>
    <w:p w14:paraId="16075645" w14:textId="77777777" w:rsidR="00D67C1E" w:rsidRPr="00283806" w:rsidRDefault="001265CA">
      <w:pPr>
        <w:pStyle w:val="BodyText"/>
        <w:spacing w:before="3" w:line="228" w:lineRule="auto"/>
        <w:ind w:right="31"/>
      </w:pPr>
      <w:r w:rsidRPr="00283806">
        <w:rPr>
          <w:w w:val="105"/>
        </w:rPr>
        <w:t>suppression equipment only if the following four criteria are met: (1) Equipment employing suitable alternative fire suppressants is not available,</w:t>
      </w:r>
      <w:r w:rsidRPr="00283806">
        <w:rPr>
          <w:spacing w:val="-2"/>
          <w:w w:val="105"/>
        </w:rPr>
        <w:t xml:space="preserve"> </w:t>
      </w:r>
      <w:r w:rsidRPr="00283806">
        <w:rPr>
          <w:w w:val="105"/>
        </w:rPr>
        <w:t>(2)</w:t>
      </w:r>
      <w:r w:rsidRPr="00283806">
        <w:rPr>
          <w:spacing w:val="-2"/>
          <w:w w:val="105"/>
        </w:rPr>
        <w:t xml:space="preserve"> </w:t>
      </w:r>
      <w:r w:rsidRPr="00283806">
        <w:rPr>
          <w:w w:val="105"/>
        </w:rPr>
        <w:t>release</w:t>
      </w:r>
      <w:r w:rsidRPr="00283806">
        <w:rPr>
          <w:spacing w:val="-2"/>
          <w:w w:val="105"/>
        </w:rPr>
        <w:t xml:space="preserve"> </w:t>
      </w:r>
      <w:r w:rsidRPr="00283806">
        <w:rPr>
          <w:w w:val="105"/>
        </w:rPr>
        <w:t>of</w:t>
      </w:r>
      <w:r w:rsidRPr="00283806">
        <w:rPr>
          <w:spacing w:val="-2"/>
          <w:w w:val="105"/>
        </w:rPr>
        <w:t xml:space="preserve"> </w:t>
      </w:r>
      <w:r w:rsidRPr="00283806">
        <w:rPr>
          <w:w w:val="105"/>
        </w:rPr>
        <w:t>fire</w:t>
      </w:r>
      <w:r w:rsidRPr="00283806">
        <w:rPr>
          <w:spacing w:val="-2"/>
          <w:w w:val="105"/>
        </w:rPr>
        <w:t xml:space="preserve"> </w:t>
      </w:r>
      <w:r w:rsidRPr="00283806">
        <w:rPr>
          <w:w w:val="105"/>
        </w:rPr>
        <w:t>suppressants is essential to demonstrate equipment functionality, (3) failure of the</w:t>
      </w:r>
      <w:r w:rsidRPr="00283806">
        <w:rPr>
          <w:spacing w:val="40"/>
          <w:w w:val="105"/>
        </w:rPr>
        <w:t xml:space="preserve"> </w:t>
      </w:r>
      <w:r w:rsidRPr="00283806">
        <w:rPr>
          <w:w w:val="105"/>
        </w:rPr>
        <w:t>equipment would pose great risk to human safety or the environment, and</w:t>
      </w:r>
    </w:p>
    <w:p w14:paraId="3285635E" w14:textId="77777777" w:rsidR="00D67C1E" w:rsidRPr="00283806" w:rsidRDefault="001265CA">
      <w:pPr>
        <w:pStyle w:val="BodyText"/>
        <w:spacing w:line="228" w:lineRule="auto"/>
        <w:ind w:right="128"/>
      </w:pPr>
      <w:r w:rsidRPr="00283806">
        <w:rPr>
          <w:w w:val="105"/>
        </w:rPr>
        <w:t>(4) a simulant agent cannot be used in place of the regulated substance for testing purposes.</w:t>
      </w:r>
    </w:p>
    <w:p w14:paraId="4241DFDF" w14:textId="77777777" w:rsidR="00D67C1E" w:rsidRPr="00283806" w:rsidRDefault="001265CA">
      <w:pPr>
        <w:pStyle w:val="ListParagraph"/>
        <w:numPr>
          <w:ilvl w:val="0"/>
          <w:numId w:val="49"/>
        </w:numPr>
        <w:tabs>
          <w:tab w:val="left" w:pos="522"/>
        </w:tabs>
        <w:spacing w:line="179" w:lineRule="exact"/>
        <w:ind w:hanging="182"/>
        <w:rPr>
          <w:sz w:val="18"/>
        </w:rPr>
      </w:pPr>
      <w:r w:rsidRPr="00283806">
        <w:rPr>
          <w:w w:val="105"/>
          <w:sz w:val="18"/>
        </w:rPr>
        <w:t>Releases</w:t>
      </w:r>
      <w:r w:rsidRPr="00283806">
        <w:rPr>
          <w:spacing w:val="3"/>
          <w:w w:val="105"/>
          <w:sz w:val="18"/>
        </w:rPr>
        <w:t xml:space="preserve"> </w:t>
      </w:r>
      <w:r w:rsidRPr="00283806">
        <w:rPr>
          <w:w w:val="105"/>
          <w:sz w:val="18"/>
        </w:rPr>
        <w:t>associated</w:t>
      </w:r>
      <w:r w:rsidRPr="00283806">
        <w:rPr>
          <w:spacing w:val="4"/>
          <w:w w:val="105"/>
          <w:sz w:val="18"/>
        </w:rPr>
        <w:t xml:space="preserve"> </w:t>
      </w:r>
      <w:r w:rsidRPr="00283806">
        <w:rPr>
          <w:spacing w:val="-4"/>
          <w:w w:val="105"/>
          <w:sz w:val="18"/>
        </w:rPr>
        <w:t>with</w:t>
      </w:r>
    </w:p>
    <w:p w14:paraId="743635DD" w14:textId="77777777" w:rsidR="00D67C1E" w:rsidRPr="00283806" w:rsidRDefault="001265CA">
      <w:pPr>
        <w:pStyle w:val="BodyText"/>
        <w:spacing w:line="228" w:lineRule="auto"/>
        <w:ind w:right="109"/>
      </w:pPr>
      <w:r w:rsidRPr="00283806">
        <w:rPr>
          <w:w w:val="105"/>
        </w:rPr>
        <w:t>qualification and development testing during the design and development of equipment containing regulated substances only when (1) such tests are essential to demonstrate equipment functionality, and (2) a suitable</w:t>
      </w:r>
      <w:r w:rsidRPr="00283806">
        <w:rPr>
          <w:spacing w:val="40"/>
          <w:w w:val="105"/>
        </w:rPr>
        <w:t xml:space="preserve"> </w:t>
      </w:r>
      <w:r w:rsidRPr="00283806">
        <w:rPr>
          <w:w w:val="105"/>
        </w:rPr>
        <w:t xml:space="preserve">simulant agent cannot be used in place of the regulated substance for testing </w:t>
      </w:r>
      <w:r w:rsidRPr="00283806">
        <w:rPr>
          <w:spacing w:val="-2"/>
          <w:w w:val="105"/>
        </w:rPr>
        <w:t>purposes.</w:t>
      </w:r>
    </w:p>
    <w:p w14:paraId="5EBD66E7" w14:textId="77777777" w:rsidR="00D67C1E" w:rsidRPr="00283806" w:rsidRDefault="001265CA">
      <w:pPr>
        <w:pStyle w:val="BodyText"/>
        <w:spacing w:line="176" w:lineRule="exact"/>
        <w:ind w:left="340"/>
      </w:pPr>
      <w:r w:rsidRPr="00283806">
        <w:rPr>
          <w:w w:val="105"/>
        </w:rPr>
        <w:t>In</w:t>
      </w:r>
      <w:r w:rsidRPr="00283806">
        <w:rPr>
          <w:spacing w:val="9"/>
          <w:w w:val="105"/>
        </w:rPr>
        <w:t xml:space="preserve"> </w:t>
      </w:r>
      <w:r w:rsidRPr="00283806">
        <w:rPr>
          <w:w w:val="105"/>
        </w:rPr>
        <w:t>addition,</w:t>
      </w:r>
      <w:r w:rsidRPr="00283806">
        <w:rPr>
          <w:spacing w:val="10"/>
          <w:w w:val="105"/>
        </w:rPr>
        <w:t xml:space="preserve"> </w:t>
      </w:r>
      <w:r w:rsidRPr="00283806">
        <w:rPr>
          <w:w w:val="105"/>
        </w:rPr>
        <w:t>these</w:t>
      </w:r>
      <w:r w:rsidRPr="00283806">
        <w:rPr>
          <w:spacing w:val="9"/>
          <w:w w:val="105"/>
        </w:rPr>
        <w:t xml:space="preserve"> </w:t>
      </w:r>
      <w:r w:rsidRPr="00283806">
        <w:rPr>
          <w:w w:val="105"/>
        </w:rPr>
        <w:t>requirements</w:t>
      </w:r>
      <w:r w:rsidRPr="00283806">
        <w:rPr>
          <w:spacing w:val="10"/>
          <w:w w:val="105"/>
        </w:rPr>
        <w:t xml:space="preserve"> </w:t>
      </w:r>
      <w:r w:rsidRPr="00283806">
        <w:rPr>
          <w:spacing w:val="-5"/>
          <w:w w:val="105"/>
        </w:rPr>
        <w:t>to</w:t>
      </w:r>
    </w:p>
    <w:p w14:paraId="2321A36E" w14:textId="77777777" w:rsidR="00D67C1E" w:rsidRPr="00283806" w:rsidRDefault="001265CA">
      <w:pPr>
        <w:pStyle w:val="BodyText"/>
        <w:spacing w:before="2" w:line="228" w:lineRule="auto"/>
      </w:pPr>
      <w:r w:rsidRPr="00283806">
        <w:rPr>
          <w:w w:val="110"/>
        </w:rPr>
        <w:t>minimize HFC releases do not apply to emergency releases of HFCs for actual fire</w:t>
      </w:r>
      <w:r w:rsidRPr="00283806">
        <w:rPr>
          <w:spacing w:val="-11"/>
          <w:w w:val="110"/>
        </w:rPr>
        <w:t xml:space="preserve"> </w:t>
      </w:r>
      <w:r w:rsidRPr="00283806">
        <w:rPr>
          <w:w w:val="110"/>
        </w:rPr>
        <w:t>extinguishing,</w:t>
      </w:r>
      <w:r w:rsidRPr="00283806">
        <w:rPr>
          <w:spacing w:val="-11"/>
          <w:w w:val="110"/>
        </w:rPr>
        <w:t xml:space="preserve"> </w:t>
      </w:r>
      <w:r w:rsidRPr="00283806">
        <w:rPr>
          <w:w w:val="110"/>
        </w:rPr>
        <w:t>explosion</w:t>
      </w:r>
      <w:r w:rsidRPr="00283806">
        <w:rPr>
          <w:spacing w:val="-11"/>
          <w:w w:val="110"/>
        </w:rPr>
        <w:t xml:space="preserve"> </w:t>
      </w:r>
      <w:proofErr w:type="spellStart"/>
      <w:r w:rsidRPr="00283806">
        <w:rPr>
          <w:w w:val="110"/>
        </w:rPr>
        <w:t>inertion</w:t>
      </w:r>
      <w:proofErr w:type="spellEnd"/>
      <w:r w:rsidRPr="00283806">
        <w:rPr>
          <w:w w:val="110"/>
        </w:rPr>
        <w:t>,</w:t>
      </w:r>
      <w:r w:rsidRPr="00283806">
        <w:rPr>
          <w:spacing w:val="-11"/>
          <w:w w:val="110"/>
        </w:rPr>
        <w:t xml:space="preserve"> </w:t>
      </w:r>
      <w:r w:rsidRPr="00283806">
        <w:rPr>
          <w:w w:val="110"/>
        </w:rPr>
        <w:t>or other</w:t>
      </w:r>
      <w:r w:rsidRPr="00283806">
        <w:rPr>
          <w:spacing w:val="-11"/>
          <w:w w:val="110"/>
        </w:rPr>
        <w:t xml:space="preserve"> </w:t>
      </w:r>
      <w:r w:rsidRPr="00283806">
        <w:rPr>
          <w:w w:val="110"/>
        </w:rPr>
        <w:t>emergency</w:t>
      </w:r>
      <w:r w:rsidRPr="00283806">
        <w:rPr>
          <w:spacing w:val="-11"/>
          <w:w w:val="110"/>
        </w:rPr>
        <w:t xml:space="preserve"> </w:t>
      </w:r>
      <w:r w:rsidRPr="00283806">
        <w:rPr>
          <w:w w:val="110"/>
        </w:rPr>
        <w:t>applications</w:t>
      </w:r>
      <w:r w:rsidRPr="00283806">
        <w:rPr>
          <w:spacing w:val="-11"/>
          <w:w w:val="110"/>
        </w:rPr>
        <w:t xml:space="preserve"> </w:t>
      </w:r>
      <w:r w:rsidRPr="00283806">
        <w:rPr>
          <w:w w:val="110"/>
        </w:rPr>
        <w:t>for</w:t>
      </w:r>
      <w:r w:rsidRPr="00283806">
        <w:rPr>
          <w:spacing w:val="-11"/>
          <w:w w:val="110"/>
        </w:rPr>
        <w:t xml:space="preserve"> </w:t>
      </w:r>
      <w:r w:rsidRPr="00283806">
        <w:rPr>
          <w:w w:val="110"/>
        </w:rPr>
        <w:t>which the equipment was designed.</w:t>
      </w:r>
    </w:p>
    <w:p w14:paraId="5C8781EF" w14:textId="77777777" w:rsidR="00D67C1E" w:rsidRPr="00283806" w:rsidRDefault="001265CA">
      <w:pPr>
        <w:pStyle w:val="BodyText"/>
        <w:spacing w:line="178" w:lineRule="exact"/>
        <w:ind w:left="340"/>
      </w:pPr>
      <w:r w:rsidRPr="00283806">
        <w:rPr>
          <w:w w:val="105"/>
        </w:rPr>
        <w:t>Below,</w:t>
      </w:r>
      <w:r w:rsidRPr="00283806">
        <w:rPr>
          <w:spacing w:val="22"/>
          <w:w w:val="105"/>
        </w:rPr>
        <w:t xml:space="preserve"> </w:t>
      </w:r>
      <w:r w:rsidRPr="00283806">
        <w:rPr>
          <w:w w:val="105"/>
        </w:rPr>
        <w:t>EPA</w:t>
      </w:r>
      <w:r w:rsidRPr="00283806">
        <w:rPr>
          <w:spacing w:val="22"/>
          <w:w w:val="105"/>
        </w:rPr>
        <w:t xml:space="preserve"> </w:t>
      </w:r>
      <w:r w:rsidRPr="00283806">
        <w:rPr>
          <w:w w:val="105"/>
        </w:rPr>
        <w:t>is</w:t>
      </w:r>
      <w:r w:rsidRPr="00283806">
        <w:rPr>
          <w:spacing w:val="22"/>
          <w:w w:val="105"/>
        </w:rPr>
        <w:t xml:space="preserve"> </w:t>
      </w:r>
      <w:r w:rsidRPr="00283806">
        <w:rPr>
          <w:w w:val="105"/>
        </w:rPr>
        <w:t>responding</w:t>
      </w:r>
      <w:r w:rsidRPr="00283806">
        <w:rPr>
          <w:spacing w:val="22"/>
          <w:w w:val="105"/>
        </w:rPr>
        <w:t xml:space="preserve"> </w:t>
      </w:r>
      <w:r w:rsidRPr="00283806">
        <w:rPr>
          <w:spacing w:val="-5"/>
          <w:w w:val="105"/>
        </w:rPr>
        <w:t>to</w:t>
      </w:r>
    </w:p>
    <w:p w14:paraId="559098E5" w14:textId="77777777" w:rsidR="00D67C1E" w:rsidRPr="00283806" w:rsidRDefault="001265CA">
      <w:pPr>
        <w:pStyle w:val="BodyText"/>
        <w:spacing w:before="3" w:line="228" w:lineRule="auto"/>
        <w:ind w:right="128"/>
      </w:pPr>
      <w:r w:rsidRPr="00283806">
        <w:rPr>
          <w:w w:val="105"/>
        </w:rPr>
        <w:t>comments related to its approach and requirements to minimize releases of HFCs from the fire suppression sector.</w:t>
      </w:r>
    </w:p>
    <w:p w14:paraId="274678B0" w14:textId="77777777" w:rsidR="00D67C1E" w:rsidRPr="00283806" w:rsidRDefault="001265CA">
      <w:pPr>
        <w:pStyle w:val="BodyText"/>
        <w:spacing w:line="216" w:lineRule="auto"/>
        <w:ind w:firstLine="180"/>
      </w:pPr>
      <w:r w:rsidRPr="00283806">
        <w:rPr>
          <w:rFonts w:ascii="Book Antiqua"/>
          <w:i/>
          <w:w w:val="105"/>
        </w:rPr>
        <w:t xml:space="preserve">Comment: </w:t>
      </w:r>
      <w:r w:rsidRPr="00283806">
        <w:rPr>
          <w:w w:val="105"/>
        </w:rPr>
        <w:t>Several commenters expressed</w:t>
      </w:r>
      <w:r w:rsidRPr="00283806">
        <w:rPr>
          <w:spacing w:val="-6"/>
          <w:w w:val="105"/>
        </w:rPr>
        <w:t xml:space="preserve"> </w:t>
      </w:r>
      <w:r w:rsidRPr="00283806">
        <w:rPr>
          <w:w w:val="105"/>
        </w:rPr>
        <w:t>support</w:t>
      </w:r>
      <w:r w:rsidRPr="00283806">
        <w:rPr>
          <w:spacing w:val="-6"/>
          <w:w w:val="105"/>
        </w:rPr>
        <w:t xml:space="preserve"> </w:t>
      </w:r>
      <w:r w:rsidRPr="00283806">
        <w:rPr>
          <w:w w:val="105"/>
        </w:rPr>
        <w:t>for</w:t>
      </w:r>
      <w:r w:rsidRPr="00283806">
        <w:rPr>
          <w:spacing w:val="-6"/>
          <w:w w:val="105"/>
        </w:rPr>
        <w:t xml:space="preserve"> </w:t>
      </w:r>
      <w:r w:rsidRPr="00283806">
        <w:rPr>
          <w:w w:val="105"/>
        </w:rPr>
        <w:t>the</w:t>
      </w:r>
      <w:r w:rsidRPr="00283806">
        <w:rPr>
          <w:spacing w:val="-6"/>
          <w:w w:val="105"/>
        </w:rPr>
        <w:t xml:space="preserve"> </w:t>
      </w:r>
      <w:r w:rsidRPr="00283806">
        <w:rPr>
          <w:w w:val="105"/>
        </w:rPr>
        <w:t>requirements</w:t>
      </w:r>
    </w:p>
    <w:p w14:paraId="5590B634" w14:textId="77777777" w:rsidR="00D67C1E" w:rsidRPr="00283806" w:rsidRDefault="001265CA">
      <w:pPr>
        <w:pStyle w:val="BodyText"/>
        <w:spacing w:line="228" w:lineRule="auto"/>
        <w:ind w:right="128"/>
      </w:pPr>
      <w:r w:rsidRPr="00283806">
        <w:rPr>
          <w:w w:val="105"/>
        </w:rPr>
        <w:t>to reduce HFC emissions from the fire suppression sector. One of the commenters stated that the proposed</w:t>
      </w:r>
    </w:p>
    <w:p w14:paraId="2BAAC08F" w14:textId="77777777" w:rsidR="00D67C1E" w:rsidRPr="00283806" w:rsidRDefault="001265CA">
      <w:pPr>
        <w:pStyle w:val="BodyText"/>
        <w:spacing w:before="133" w:line="228" w:lineRule="auto"/>
        <w:ind w:left="144" w:right="9"/>
      </w:pPr>
      <w:r w:rsidRPr="00283806">
        <w:br w:type="column"/>
      </w:r>
      <w:r w:rsidRPr="00283806">
        <w:rPr>
          <w:w w:val="105"/>
        </w:rPr>
        <w:t>requirements are akin to the 1998 halon emissions reduction requirements. The commenter stated that the fire suppression sector has developed</w:t>
      </w:r>
      <w:r w:rsidRPr="00283806">
        <w:rPr>
          <w:spacing w:val="40"/>
          <w:w w:val="105"/>
        </w:rPr>
        <w:t xml:space="preserve"> </w:t>
      </w:r>
      <w:r w:rsidRPr="00283806">
        <w:rPr>
          <w:w w:val="105"/>
        </w:rPr>
        <w:t>several voluntary measures to decrease emissions, such as the voluntary code of practice (VCOP) and the voluntary recycling</w:t>
      </w:r>
      <w:r w:rsidRPr="00283806">
        <w:rPr>
          <w:spacing w:val="40"/>
          <w:w w:val="105"/>
        </w:rPr>
        <w:t xml:space="preserve"> </w:t>
      </w:r>
      <w:r w:rsidRPr="00283806">
        <w:rPr>
          <w:w w:val="105"/>
        </w:rPr>
        <w:t>code</w:t>
      </w:r>
      <w:r w:rsidRPr="00283806">
        <w:rPr>
          <w:spacing w:val="40"/>
          <w:w w:val="105"/>
        </w:rPr>
        <w:t xml:space="preserve"> </w:t>
      </w:r>
      <w:r w:rsidRPr="00283806">
        <w:rPr>
          <w:w w:val="105"/>
        </w:rPr>
        <w:t>of</w:t>
      </w:r>
      <w:r w:rsidRPr="00283806">
        <w:rPr>
          <w:spacing w:val="40"/>
          <w:w w:val="105"/>
        </w:rPr>
        <w:t xml:space="preserve"> </w:t>
      </w:r>
      <w:r w:rsidRPr="00283806">
        <w:rPr>
          <w:w w:val="105"/>
        </w:rPr>
        <w:t>practice,</w:t>
      </w:r>
      <w:r w:rsidRPr="00283806">
        <w:rPr>
          <w:spacing w:val="40"/>
          <w:w w:val="105"/>
        </w:rPr>
        <w:t xml:space="preserve"> </w:t>
      </w:r>
      <w:r w:rsidRPr="00283806">
        <w:rPr>
          <w:w w:val="105"/>
        </w:rPr>
        <w:t>and</w:t>
      </w:r>
      <w:r w:rsidRPr="00283806">
        <w:rPr>
          <w:spacing w:val="40"/>
          <w:w w:val="105"/>
        </w:rPr>
        <w:t xml:space="preserve"> </w:t>
      </w:r>
      <w:r w:rsidRPr="00283806">
        <w:rPr>
          <w:w w:val="105"/>
        </w:rPr>
        <w:t>that these voluntary programs and the industry’s</w:t>
      </w:r>
      <w:r w:rsidRPr="00283806">
        <w:rPr>
          <w:spacing w:val="40"/>
          <w:w w:val="105"/>
        </w:rPr>
        <w:t xml:space="preserve"> </w:t>
      </w:r>
      <w:r w:rsidRPr="00283806">
        <w:rPr>
          <w:w w:val="105"/>
        </w:rPr>
        <w:t>experience</w:t>
      </w:r>
      <w:r w:rsidRPr="00283806">
        <w:rPr>
          <w:spacing w:val="40"/>
          <w:w w:val="105"/>
        </w:rPr>
        <w:t xml:space="preserve"> </w:t>
      </w:r>
      <w:r w:rsidRPr="00283806">
        <w:rPr>
          <w:w w:val="105"/>
        </w:rPr>
        <w:t>in</w:t>
      </w:r>
      <w:r w:rsidRPr="00283806">
        <w:rPr>
          <w:spacing w:val="40"/>
          <w:w w:val="105"/>
        </w:rPr>
        <w:t xml:space="preserve"> </w:t>
      </w:r>
      <w:r w:rsidRPr="00283806">
        <w:rPr>
          <w:w w:val="105"/>
        </w:rPr>
        <w:t>recycling halons provide the infrastructure necessary for the success of the HFC recycling requirements in EPA’s</w:t>
      </w:r>
      <w:r w:rsidRPr="00283806">
        <w:rPr>
          <w:spacing w:val="40"/>
          <w:w w:val="105"/>
        </w:rPr>
        <w:t xml:space="preserve"> </w:t>
      </w:r>
      <w:r w:rsidRPr="00283806">
        <w:rPr>
          <w:w w:val="105"/>
        </w:rPr>
        <w:t>proposal. The commenter also maintained that the required use of recycled</w:t>
      </w:r>
      <w:r w:rsidRPr="00283806">
        <w:rPr>
          <w:spacing w:val="40"/>
          <w:w w:val="105"/>
        </w:rPr>
        <w:t xml:space="preserve"> </w:t>
      </w:r>
      <w:r w:rsidRPr="00283806">
        <w:rPr>
          <w:w w:val="105"/>
        </w:rPr>
        <w:t>HFCs</w:t>
      </w:r>
      <w:r w:rsidRPr="00283806">
        <w:rPr>
          <w:spacing w:val="40"/>
          <w:w w:val="105"/>
        </w:rPr>
        <w:t xml:space="preserve"> </w:t>
      </w:r>
      <w:r w:rsidRPr="00283806">
        <w:rPr>
          <w:w w:val="105"/>
        </w:rPr>
        <w:t>is</w:t>
      </w:r>
      <w:r w:rsidRPr="00283806">
        <w:rPr>
          <w:spacing w:val="40"/>
          <w:w w:val="105"/>
        </w:rPr>
        <w:t xml:space="preserve"> </w:t>
      </w:r>
      <w:r w:rsidRPr="00283806">
        <w:rPr>
          <w:w w:val="105"/>
        </w:rPr>
        <w:t>important</w:t>
      </w:r>
      <w:r w:rsidRPr="00283806">
        <w:rPr>
          <w:spacing w:val="40"/>
          <w:w w:val="105"/>
        </w:rPr>
        <w:t xml:space="preserve"> </w:t>
      </w:r>
      <w:r w:rsidRPr="00283806">
        <w:rPr>
          <w:w w:val="105"/>
        </w:rPr>
        <w:t>in mitigating emissions and encouraging</w:t>
      </w:r>
      <w:r w:rsidRPr="00283806">
        <w:rPr>
          <w:spacing w:val="40"/>
          <w:w w:val="105"/>
        </w:rPr>
        <w:t xml:space="preserve"> </w:t>
      </w:r>
      <w:r w:rsidRPr="00283806">
        <w:rPr>
          <w:w w:val="105"/>
        </w:rPr>
        <w:t>the use of other alternatives due to the high-GWP</w:t>
      </w:r>
      <w:r w:rsidRPr="00283806">
        <w:rPr>
          <w:spacing w:val="40"/>
          <w:w w:val="105"/>
        </w:rPr>
        <w:t xml:space="preserve"> </w:t>
      </w:r>
      <w:r w:rsidRPr="00283806">
        <w:rPr>
          <w:w w:val="105"/>
        </w:rPr>
        <w:t>HFCs</w:t>
      </w:r>
      <w:r w:rsidRPr="00283806">
        <w:rPr>
          <w:spacing w:val="40"/>
          <w:w w:val="105"/>
        </w:rPr>
        <w:t xml:space="preserve"> </w:t>
      </w:r>
      <w:r w:rsidRPr="00283806">
        <w:rPr>
          <w:w w:val="105"/>
        </w:rPr>
        <w:t>typically</w:t>
      </w:r>
      <w:r w:rsidRPr="00283806">
        <w:rPr>
          <w:spacing w:val="40"/>
          <w:w w:val="105"/>
        </w:rPr>
        <w:t xml:space="preserve"> </w:t>
      </w:r>
      <w:r w:rsidRPr="00283806">
        <w:rPr>
          <w:w w:val="105"/>
        </w:rPr>
        <w:t>used</w:t>
      </w:r>
      <w:r w:rsidRPr="00283806">
        <w:rPr>
          <w:spacing w:val="40"/>
          <w:w w:val="105"/>
        </w:rPr>
        <w:t xml:space="preserve"> </w:t>
      </w:r>
      <w:r w:rsidRPr="00283806">
        <w:rPr>
          <w:w w:val="105"/>
        </w:rPr>
        <w:t>in</w:t>
      </w:r>
      <w:r w:rsidRPr="00283806">
        <w:rPr>
          <w:spacing w:val="40"/>
          <w:w w:val="105"/>
        </w:rPr>
        <w:t xml:space="preserve"> </w:t>
      </w:r>
      <w:r w:rsidRPr="00283806">
        <w:rPr>
          <w:w w:val="105"/>
        </w:rPr>
        <w:t>the fire suppression sector. Another commenter stated that the fire suppression industry fully supports</w:t>
      </w:r>
      <w:r w:rsidRPr="00283806">
        <w:rPr>
          <w:spacing w:val="40"/>
          <w:w w:val="105"/>
        </w:rPr>
        <w:t xml:space="preserve"> </w:t>
      </w:r>
      <w:r w:rsidRPr="00283806">
        <w:rPr>
          <w:w w:val="105"/>
        </w:rPr>
        <w:t>EPA’s goals of minimizing emissions of HFCs and encouraging the recycling and reuse of HFCs. The commenter stated</w:t>
      </w:r>
      <w:r w:rsidRPr="00283806">
        <w:rPr>
          <w:spacing w:val="40"/>
          <w:w w:val="105"/>
        </w:rPr>
        <w:t xml:space="preserve"> </w:t>
      </w:r>
      <w:r w:rsidRPr="00283806">
        <w:rPr>
          <w:w w:val="105"/>
        </w:rPr>
        <w:t>that</w:t>
      </w:r>
      <w:r w:rsidRPr="00283806">
        <w:rPr>
          <w:spacing w:val="40"/>
          <w:w w:val="105"/>
        </w:rPr>
        <w:t xml:space="preserve"> </w:t>
      </w:r>
      <w:r w:rsidRPr="00283806">
        <w:rPr>
          <w:w w:val="105"/>
        </w:rPr>
        <w:t>as</w:t>
      </w:r>
      <w:r w:rsidRPr="00283806">
        <w:rPr>
          <w:spacing w:val="40"/>
          <w:w w:val="105"/>
        </w:rPr>
        <w:t xml:space="preserve"> </w:t>
      </w:r>
      <w:r w:rsidRPr="00283806">
        <w:rPr>
          <w:w w:val="105"/>
        </w:rPr>
        <w:t>a</w:t>
      </w:r>
      <w:r w:rsidRPr="00283806">
        <w:rPr>
          <w:spacing w:val="40"/>
          <w:w w:val="105"/>
        </w:rPr>
        <w:t xml:space="preserve"> </w:t>
      </w:r>
      <w:r w:rsidRPr="00283806">
        <w:rPr>
          <w:w w:val="105"/>
        </w:rPr>
        <w:t>companion</w:t>
      </w:r>
      <w:r w:rsidRPr="00283806">
        <w:rPr>
          <w:spacing w:val="40"/>
          <w:w w:val="105"/>
        </w:rPr>
        <w:t xml:space="preserve"> </w:t>
      </w:r>
      <w:r w:rsidRPr="00283806">
        <w:rPr>
          <w:w w:val="105"/>
        </w:rPr>
        <w:t>to</w:t>
      </w:r>
      <w:r w:rsidRPr="00283806">
        <w:rPr>
          <w:spacing w:val="40"/>
          <w:w w:val="105"/>
        </w:rPr>
        <w:t xml:space="preserve"> </w:t>
      </w:r>
      <w:proofErr w:type="gramStart"/>
      <w:r w:rsidRPr="00283806">
        <w:rPr>
          <w:w w:val="105"/>
        </w:rPr>
        <w:t>the</w:t>
      </w:r>
      <w:r w:rsidRPr="00283806">
        <w:rPr>
          <w:spacing w:val="40"/>
          <w:w w:val="105"/>
        </w:rPr>
        <w:t xml:space="preserve"> </w:t>
      </w:r>
      <w:r w:rsidRPr="00283806">
        <w:rPr>
          <w:w w:val="105"/>
        </w:rPr>
        <w:t>VCOP</w:t>
      </w:r>
      <w:proofErr w:type="gramEnd"/>
      <w:r w:rsidRPr="00283806">
        <w:rPr>
          <w:w w:val="105"/>
        </w:rPr>
        <w:t>,</w:t>
      </w:r>
      <w:r w:rsidRPr="00283806">
        <w:rPr>
          <w:spacing w:val="40"/>
          <w:w w:val="105"/>
        </w:rPr>
        <w:t xml:space="preserve"> </w:t>
      </w:r>
      <w:r w:rsidRPr="00283806">
        <w:rPr>
          <w:w w:val="105"/>
        </w:rPr>
        <w:t>an HFC emissions estimating program (HEEP) was developed that collects data on sales of HFCs for recharge of fire protection equipment as a surrogate for emissions. The commenter stated that compiled data of estimated emissions of HFCs from fire protection equipment have been submitted to EPA and published each year since 2002.</w:t>
      </w:r>
    </w:p>
    <w:p w14:paraId="50A9F55B" w14:textId="77777777" w:rsidR="00D67C1E" w:rsidRPr="00283806" w:rsidRDefault="001265CA">
      <w:pPr>
        <w:pStyle w:val="BodyText"/>
        <w:spacing w:line="180" w:lineRule="exact"/>
        <w:ind w:left="144"/>
      </w:pPr>
      <w:r w:rsidRPr="00283806">
        <w:rPr>
          <w:w w:val="105"/>
        </w:rPr>
        <w:t>Another</w:t>
      </w:r>
      <w:r w:rsidRPr="00283806">
        <w:rPr>
          <w:spacing w:val="10"/>
          <w:w w:val="105"/>
        </w:rPr>
        <w:t xml:space="preserve"> </w:t>
      </w:r>
      <w:r w:rsidRPr="00283806">
        <w:rPr>
          <w:w w:val="105"/>
        </w:rPr>
        <w:t>commenter</w:t>
      </w:r>
      <w:r w:rsidRPr="00283806">
        <w:rPr>
          <w:spacing w:val="11"/>
          <w:w w:val="105"/>
        </w:rPr>
        <w:t xml:space="preserve"> </w:t>
      </w:r>
      <w:r w:rsidRPr="00283806">
        <w:rPr>
          <w:w w:val="105"/>
        </w:rPr>
        <w:t>generally</w:t>
      </w:r>
      <w:r w:rsidRPr="00283806">
        <w:rPr>
          <w:spacing w:val="10"/>
          <w:w w:val="105"/>
        </w:rPr>
        <w:t xml:space="preserve"> </w:t>
      </w:r>
      <w:r w:rsidRPr="00283806">
        <w:rPr>
          <w:spacing w:val="-2"/>
          <w:w w:val="105"/>
        </w:rPr>
        <w:t>supported</w:t>
      </w:r>
    </w:p>
    <w:p w14:paraId="233681DF" w14:textId="77777777" w:rsidR="00D67C1E" w:rsidRPr="00283806" w:rsidRDefault="001265CA">
      <w:pPr>
        <w:pStyle w:val="BodyText"/>
        <w:spacing w:before="3" w:line="228" w:lineRule="auto"/>
        <w:ind w:left="144" w:right="120"/>
      </w:pPr>
      <w:r w:rsidRPr="00283806">
        <w:rPr>
          <w:w w:val="105"/>
        </w:rPr>
        <w:t>exploring potential practices that can help expand HFC recycling and reduce GHG emissions, while expressing concern with whether there is a sufficient supply of recycled HFCs for use in fire suppression systems.</w:t>
      </w:r>
    </w:p>
    <w:p w14:paraId="7D210B5E" w14:textId="77777777" w:rsidR="00D67C1E" w:rsidRPr="00283806" w:rsidRDefault="001265CA">
      <w:pPr>
        <w:pStyle w:val="BodyText"/>
        <w:spacing w:before="37" w:line="228" w:lineRule="auto"/>
        <w:ind w:left="144" w:right="1" w:firstLine="180"/>
      </w:pPr>
      <w:r w:rsidRPr="00283806">
        <w:rPr>
          <w:w w:val="105"/>
        </w:rPr>
        <w:t>A couple of commenters stated that</w:t>
      </w:r>
      <w:r w:rsidRPr="00283806">
        <w:rPr>
          <w:spacing w:val="80"/>
          <w:w w:val="105"/>
        </w:rPr>
        <w:t xml:space="preserve"> </w:t>
      </w:r>
      <w:r w:rsidRPr="00283806">
        <w:rPr>
          <w:w w:val="105"/>
        </w:rPr>
        <w:t xml:space="preserve">the proposed requirements of 40 CFR 84.110(a), (b), (d), (e), and (f) are </w:t>
      </w:r>
      <w:proofErr w:type="gramStart"/>
      <w:r w:rsidRPr="00283806">
        <w:rPr>
          <w:w w:val="105"/>
        </w:rPr>
        <w:t>similar to</w:t>
      </w:r>
      <w:proofErr w:type="gramEnd"/>
      <w:r w:rsidRPr="00283806">
        <w:rPr>
          <w:w w:val="105"/>
        </w:rPr>
        <w:t xml:space="preserve"> the halon emission reduction requirements found at 40 CFR part 82, subpart</w:t>
      </w:r>
      <w:r w:rsidRPr="00283806">
        <w:rPr>
          <w:spacing w:val="40"/>
          <w:w w:val="105"/>
        </w:rPr>
        <w:t xml:space="preserve"> </w:t>
      </w:r>
      <w:r w:rsidRPr="00283806">
        <w:rPr>
          <w:w w:val="105"/>
        </w:rPr>
        <w:t>H.</w:t>
      </w:r>
      <w:r w:rsidRPr="00283806">
        <w:rPr>
          <w:spacing w:val="40"/>
          <w:w w:val="105"/>
        </w:rPr>
        <w:t xml:space="preserve"> </w:t>
      </w:r>
      <w:r w:rsidRPr="00283806">
        <w:rPr>
          <w:w w:val="105"/>
        </w:rPr>
        <w:t>One</w:t>
      </w:r>
      <w:r w:rsidRPr="00283806">
        <w:rPr>
          <w:spacing w:val="40"/>
          <w:w w:val="105"/>
        </w:rPr>
        <w:t xml:space="preserve"> </w:t>
      </w:r>
      <w:r w:rsidRPr="00283806">
        <w:rPr>
          <w:w w:val="105"/>
        </w:rPr>
        <w:t>of</w:t>
      </w:r>
      <w:r w:rsidRPr="00283806">
        <w:rPr>
          <w:spacing w:val="40"/>
          <w:w w:val="105"/>
        </w:rPr>
        <w:t xml:space="preserve"> </w:t>
      </w:r>
      <w:r w:rsidRPr="00283806">
        <w:rPr>
          <w:w w:val="105"/>
        </w:rPr>
        <w:t>the</w:t>
      </w:r>
      <w:r w:rsidRPr="00283806">
        <w:rPr>
          <w:spacing w:val="40"/>
          <w:w w:val="105"/>
        </w:rPr>
        <w:t xml:space="preserve"> </w:t>
      </w:r>
      <w:r w:rsidRPr="00283806">
        <w:rPr>
          <w:w w:val="105"/>
        </w:rPr>
        <w:t>commenters stated that the halon emission reduction requirements have proven to be effective and useful in the responsible management of fire suppressants and</w:t>
      </w:r>
      <w:r w:rsidRPr="00283806">
        <w:rPr>
          <w:spacing w:val="40"/>
          <w:w w:val="105"/>
        </w:rPr>
        <w:t xml:space="preserve"> </w:t>
      </w:r>
      <w:r w:rsidRPr="00283806">
        <w:rPr>
          <w:w w:val="105"/>
        </w:rPr>
        <w:t>that these practices are commonplace in the fire protection industry and are incorporated into industry codes and standards. Another commenter commended EPA for basing the requirements for HFC management in</w:t>
      </w:r>
      <w:r w:rsidRPr="00283806">
        <w:rPr>
          <w:spacing w:val="40"/>
          <w:w w:val="105"/>
        </w:rPr>
        <w:t xml:space="preserve"> </w:t>
      </w:r>
      <w:r w:rsidRPr="00283806">
        <w:rPr>
          <w:w w:val="105"/>
        </w:rPr>
        <w:t>fire suppression equipment on the halon emission reduction rule, as these practices are commonplace within the</w:t>
      </w:r>
      <w:r w:rsidRPr="00283806">
        <w:rPr>
          <w:spacing w:val="40"/>
          <w:w w:val="105"/>
        </w:rPr>
        <w:t xml:space="preserve"> </w:t>
      </w:r>
      <w:r w:rsidRPr="00283806">
        <w:rPr>
          <w:w w:val="105"/>
        </w:rPr>
        <w:t>fire protection industry and</w:t>
      </w:r>
      <w:r w:rsidRPr="00283806">
        <w:rPr>
          <w:spacing w:val="80"/>
          <w:w w:val="105"/>
        </w:rPr>
        <w:t xml:space="preserve"> </w:t>
      </w:r>
      <w:r w:rsidRPr="00283806">
        <w:rPr>
          <w:w w:val="105"/>
        </w:rPr>
        <w:t>incorporated into industry codes and standards. The commenter expressed support for the prohibition in 40 CFR 84.110(a) against knowingly venting HFCs</w:t>
      </w:r>
      <w:r w:rsidRPr="00283806">
        <w:rPr>
          <w:spacing w:val="40"/>
          <w:w w:val="105"/>
        </w:rPr>
        <w:t xml:space="preserve"> </w:t>
      </w:r>
      <w:r w:rsidRPr="00283806">
        <w:rPr>
          <w:w w:val="105"/>
        </w:rPr>
        <w:t>in</w:t>
      </w:r>
      <w:r w:rsidRPr="00283806">
        <w:rPr>
          <w:spacing w:val="40"/>
          <w:w w:val="105"/>
        </w:rPr>
        <w:t xml:space="preserve"> </w:t>
      </w:r>
      <w:r w:rsidRPr="00283806">
        <w:rPr>
          <w:w w:val="105"/>
        </w:rPr>
        <w:t>the</w:t>
      </w:r>
      <w:r w:rsidRPr="00283806">
        <w:rPr>
          <w:spacing w:val="40"/>
          <w:w w:val="105"/>
        </w:rPr>
        <w:t xml:space="preserve"> </w:t>
      </w:r>
      <w:r w:rsidRPr="00283806">
        <w:rPr>
          <w:w w:val="105"/>
        </w:rPr>
        <w:t>installation,</w:t>
      </w:r>
      <w:r w:rsidRPr="00283806">
        <w:rPr>
          <w:spacing w:val="40"/>
          <w:w w:val="105"/>
        </w:rPr>
        <w:t xml:space="preserve"> </w:t>
      </w:r>
      <w:r w:rsidRPr="00283806">
        <w:rPr>
          <w:w w:val="105"/>
        </w:rPr>
        <w:t>servicing, repair, or disposal of fire suppression</w:t>
      </w:r>
    </w:p>
    <w:p w14:paraId="77BE20A9" w14:textId="77777777" w:rsidR="00D67C1E" w:rsidRPr="00283806" w:rsidRDefault="001265CA">
      <w:pPr>
        <w:pStyle w:val="BodyText"/>
        <w:spacing w:before="133" w:line="225" w:lineRule="auto"/>
        <w:ind w:left="142" w:right="200"/>
      </w:pPr>
      <w:r w:rsidRPr="00283806">
        <w:br w:type="column"/>
      </w:r>
      <w:r w:rsidRPr="00283806">
        <w:rPr>
          <w:w w:val="105"/>
        </w:rPr>
        <w:t>equipment. The commenter stated that the proposed exemptions for testing fire suppression equipment and</w:t>
      </w:r>
      <w:r w:rsidRPr="00283806">
        <w:rPr>
          <w:spacing w:val="80"/>
          <w:w w:val="105"/>
        </w:rPr>
        <w:t xml:space="preserve"> </w:t>
      </w:r>
      <w:r w:rsidRPr="00283806">
        <w:rPr>
          <w:w w:val="105"/>
        </w:rPr>
        <w:t>qualification testing during system design and development are</w:t>
      </w:r>
      <w:r w:rsidRPr="00283806">
        <w:rPr>
          <w:spacing w:val="40"/>
          <w:w w:val="105"/>
        </w:rPr>
        <w:t xml:space="preserve"> </w:t>
      </w:r>
      <w:r w:rsidRPr="00283806">
        <w:rPr>
          <w:w w:val="105"/>
        </w:rPr>
        <w:t xml:space="preserve">appropriate. The commenter also expressed support for the prohibition in section 84.110(b) against allowing release of HFCs </w:t>
      </w:r>
      <w:proofErr w:type="gramStart"/>
      <w:r w:rsidRPr="00283806">
        <w:rPr>
          <w:w w:val="105"/>
        </w:rPr>
        <w:t>as a result of</w:t>
      </w:r>
      <w:proofErr w:type="gramEnd"/>
      <w:r w:rsidRPr="00283806">
        <w:rPr>
          <w:w w:val="105"/>
        </w:rPr>
        <w:t xml:space="preserve"> failure to properly maintain equipment.</w:t>
      </w:r>
    </w:p>
    <w:p w14:paraId="53F7FBFD" w14:textId="77777777" w:rsidR="00D67C1E" w:rsidRPr="00283806" w:rsidRDefault="001265CA">
      <w:pPr>
        <w:pStyle w:val="BodyText"/>
        <w:spacing w:line="213" w:lineRule="auto"/>
        <w:ind w:left="142" w:firstLine="180"/>
      </w:pPr>
      <w:r w:rsidRPr="00283806">
        <w:rPr>
          <w:rFonts w:ascii="Book Antiqua" w:hAnsi="Book Antiqua"/>
          <w:i/>
          <w:w w:val="105"/>
        </w:rPr>
        <w:t xml:space="preserve">Response: </w:t>
      </w:r>
      <w:r w:rsidRPr="00283806">
        <w:rPr>
          <w:w w:val="105"/>
        </w:rPr>
        <w:t>EPA acknowledges the commenters’</w:t>
      </w:r>
      <w:r w:rsidRPr="00283806">
        <w:rPr>
          <w:spacing w:val="5"/>
          <w:w w:val="105"/>
        </w:rPr>
        <w:t xml:space="preserve"> </w:t>
      </w:r>
      <w:r w:rsidRPr="00283806">
        <w:rPr>
          <w:w w:val="105"/>
        </w:rPr>
        <w:t>general</w:t>
      </w:r>
      <w:r w:rsidRPr="00283806">
        <w:rPr>
          <w:spacing w:val="6"/>
          <w:w w:val="105"/>
        </w:rPr>
        <w:t xml:space="preserve"> </w:t>
      </w:r>
      <w:r w:rsidRPr="00283806">
        <w:rPr>
          <w:w w:val="105"/>
        </w:rPr>
        <w:t>support</w:t>
      </w:r>
      <w:r w:rsidRPr="00283806">
        <w:rPr>
          <w:spacing w:val="6"/>
          <w:w w:val="105"/>
        </w:rPr>
        <w:t xml:space="preserve"> </w:t>
      </w:r>
      <w:r w:rsidRPr="00283806">
        <w:rPr>
          <w:w w:val="105"/>
        </w:rPr>
        <w:t>of</w:t>
      </w:r>
      <w:r w:rsidRPr="00283806">
        <w:rPr>
          <w:spacing w:val="5"/>
          <w:w w:val="105"/>
        </w:rPr>
        <w:t xml:space="preserve"> </w:t>
      </w:r>
      <w:r w:rsidRPr="00283806">
        <w:rPr>
          <w:w w:val="105"/>
        </w:rPr>
        <w:t>the</w:t>
      </w:r>
      <w:r w:rsidRPr="00283806">
        <w:rPr>
          <w:spacing w:val="6"/>
          <w:w w:val="105"/>
        </w:rPr>
        <w:t xml:space="preserve"> </w:t>
      </w:r>
      <w:r w:rsidRPr="00283806">
        <w:rPr>
          <w:spacing w:val="-4"/>
          <w:w w:val="105"/>
        </w:rPr>
        <w:t>fire</w:t>
      </w:r>
    </w:p>
    <w:p w14:paraId="6B8AF7D8" w14:textId="77777777" w:rsidR="00D67C1E" w:rsidRPr="00283806" w:rsidRDefault="001265CA">
      <w:pPr>
        <w:pStyle w:val="BodyText"/>
        <w:spacing w:line="225" w:lineRule="auto"/>
        <w:ind w:left="142" w:right="170"/>
      </w:pPr>
      <w:r w:rsidRPr="00283806">
        <w:rPr>
          <w:w w:val="105"/>
        </w:rPr>
        <w:t xml:space="preserve">suppression requirements, and that the Agency considered the fire suppression industry’s </w:t>
      </w:r>
      <w:proofErr w:type="gramStart"/>
      <w:r w:rsidRPr="00283806">
        <w:rPr>
          <w:w w:val="105"/>
        </w:rPr>
        <w:t>past experience</w:t>
      </w:r>
      <w:proofErr w:type="gramEnd"/>
      <w:r w:rsidRPr="00283806">
        <w:rPr>
          <w:w w:val="105"/>
        </w:rPr>
        <w:t xml:space="preserve"> with recycled halons as well as their voluntary efforts with recycled HFCs to develop fire suppression requirements that complement current industry practices</w:t>
      </w:r>
      <w:r w:rsidRPr="00283806">
        <w:rPr>
          <w:spacing w:val="40"/>
          <w:w w:val="105"/>
        </w:rPr>
        <w:t xml:space="preserve"> </w:t>
      </w:r>
      <w:r w:rsidRPr="00283806">
        <w:rPr>
          <w:w w:val="105"/>
        </w:rPr>
        <w:t>to minimize emissions of HFCs.</w:t>
      </w:r>
    </w:p>
    <w:p w14:paraId="4D52F8A1" w14:textId="77777777" w:rsidR="00D67C1E" w:rsidRPr="00283806" w:rsidRDefault="001265CA">
      <w:pPr>
        <w:spacing w:line="182" w:lineRule="exact"/>
        <w:ind w:left="322"/>
        <w:rPr>
          <w:sz w:val="18"/>
        </w:rPr>
      </w:pPr>
      <w:r w:rsidRPr="00283806">
        <w:rPr>
          <w:rFonts w:ascii="Book Antiqua"/>
          <w:i/>
          <w:w w:val="110"/>
          <w:sz w:val="18"/>
        </w:rPr>
        <w:t>Comment:</w:t>
      </w:r>
      <w:r w:rsidRPr="00283806">
        <w:rPr>
          <w:rFonts w:ascii="Book Antiqua"/>
          <w:i/>
          <w:spacing w:val="14"/>
          <w:w w:val="110"/>
          <w:sz w:val="18"/>
        </w:rPr>
        <w:t xml:space="preserve"> </w:t>
      </w:r>
      <w:r w:rsidRPr="00283806">
        <w:rPr>
          <w:w w:val="110"/>
          <w:sz w:val="18"/>
        </w:rPr>
        <w:t>A</w:t>
      </w:r>
      <w:r w:rsidRPr="00283806">
        <w:rPr>
          <w:spacing w:val="21"/>
          <w:w w:val="110"/>
          <w:sz w:val="18"/>
        </w:rPr>
        <w:t xml:space="preserve"> </w:t>
      </w:r>
      <w:r w:rsidRPr="00283806">
        <w:rPr>
          <w:spacing w:val="-2"/>
          <w:w w:val="110"/>
          <w:sz w:val="18"/>
        </w:rPr>
        <w:t>commenter</w:t>
      </w:r>
    </w:p>
    <w:p w14:paraId="03190658" w14:textId="77777777" w:rsidR="00D67C1E" w:rsidRPr="00283806" w:rsidRDefault="001265CA">
      <w:pPr>
        <w:pStyle w:val="BodyText"/>
        <w:spacing w:line="228" w:lineRule="auto"/>
        <w:ind w:left="142" w:right="120"/>
      </w:pPr>
      <w:r w:rsidRPr="00283806">
        <w:rPr>
          <w:w w:val="105"/>
        </w:rPr>
        <w:t>recommended a stricter set of terms and greater consistency in alignment</w:t>
      </w:r>
      <w:r w:rsidRPr="00283806">
        <w:rPr>
          <w:spacing w:val="40"/>
          <w:w w:val="105"/>
        </w:rPr>
        <w:t xml:space="preserve"> </w:t>
      </w:r>
      <w:r w:rsidRPr="00283806">
        <w:rPr>
          <w:w w:val="105"/>
        </w:rPr>
        <w:t>between industry groups represented in subsection (h), including the fire suppression industry and the RACHP industry. The commenter expressed support for the proposal to align requirements for recyclers of fire suppression</w:t>
      </w:r>
      <w:r w:rsidRPr="00283806">
        <w:rPr>
          <w:spacing w:val="-10"/>
          <w:w w:val="105"/>
        </w:rPr>
        <w:t xml:space="preserve"> </w:t>
      </w:r>
      <w:r w:rsidRPr="00283806">
        <w:rPr>
          <w:w w:val="105"/>
        </w:rPr>
        <w:t>or</w:t>
      </w:r>
      <w:r w:rsidRPr="00283806">
        <w:rPr>
          <w:spacing w:val="-11"/>
          <w:w w:val="105"/>
        </w:rPr>
        <w:t xml:space="preserve"> </w:t>
      </w:r>
      <w:r w:rsidRPr="00283806">
        <w:rPr>
          <w:w w:val="105"/>
        </w:rPr>
        <w:t>refrigerant-based</w:t>
      </w:r>
      <w:r w:rsidRPr="00283806">
        <w:rPr>
          <w:spacing w:val="-10"/>
          <w:w w:val="105"/>
        </w:rPr>
        <w:t xml:space="preserve"> </w:t>
      </w:r>
      <w:r w:rsidRPr="00283806">
        <w:rPr>
          <w:w w:val="105"/>
        </w:rPr>
        <w:t>systems to meet the same rigid standards as</w:t>
      </w:r>
      <w:r w:rsidRPr="00283806">
        <w:rPr>
          <w:spacing w:val="80"/>
          <w:w w:val="105"/>
        </w:rPr>
        <w:t xml:space="preserve"> </w:t>
      </w:r>
      <w:r w:rsidRPr="00283806">
        <w:rPr>
          <w:w w:val="105"/>
        </w:rPr>
        <w:t>EPA’s CAA section 608 certified</w:t>
      </w:r>
      <w:r w:rsidRPr="00283806">
        <w:rPr>
          <w:spacing w:val="80"/>
          <w:w w:val="105"/>
        </w:rPr>
        <w:t xml:space="preserve"> </w:t>
      </w:r>
      <w:r w:rsidRPr="00283806">
        <w:rPr>
          <w:w w:val="105"/>
        </w:rPr>
        <w:t>reclaimer program. The commenter maintained that voluntary practices do not</w:t>
      </w:r>
      <w:r w:rsidRPr="00283806">
        <w:rPr>
          <w:spacing w:val="40"/>
          <w:w w:val="105"/>
        </w:rPr>
        <w:t xml:space="preserve"> </w:t>
      </w:r>
      <w:r w:rsidRPr="00283806">
        <w:rPr>
          <w:w w:val="105"/>
        </w:rPr>
        <w:t>require</w:t>
      </w:r>
      <w:r w:rsidRPr="00283806">
        <w:rPr>
          <w:spacing w:val="40"/>
          <w:w w:val="105"/>
        </w:rPr>
        <w:t xml:space="preserve"> </w:t>
      </w:r>
      <w:r w:rsidRPr="00283806">
        <w:rPr>
          <w:w w:val="105"/>
        </w:rPr>
        <w:t>the</w:t>
      </w:r>
      <w:r w:rsidRPr="00283806">
        <w:rPr>
          <w:spacing w:val="40"/>
          <w:w w:val="105"/>
        </w:rPr>
        <w:t xml:space="preserve"> </w:t>
      </w:r>
      <w:r w:rsidRPr="00283806">
        <w:rPr>
          <w:w w:val="105"/>
        </w:rPr>
        <w:t>level</w:t>
      </w:r>
      <w:r w:rsidRPr="00283806">
        <w:rPr>
          <w:spacing w:val="40"/>
          <w:w w:val="105"/>
        </w:rPr>
        <w:t xml:space="preserve"> </w:t>
      </w:r>
      <w:r w:rsidRPr="00283806">
        <w:rPr>
          <w:w w:val="105"/>
        </w:rPr>
        <w:t>of</w:t>
      </w:r>
      <w:r w:rsidRPr="00283806">
        <w:rPr>
          <w:spacing w:val="40"/>
          <w:w w:val="105"/>
        </w:rPr>
        <w:t xml:space="preserve"> </w:t>
      </w:r>
      <w:r w:rsidRPr="00283806">
        <w:rPr>
          <w:w w:val="105"/>
        </w:rPr>
        <w:t>recycling,</w:t>
      </w:r>
      <w:r w:rsidRPr="00283806">
        <w:rPr>
          <w:spacing w:val="40"/>
          <w:w w:val="105"/>
        </w:rPr>
        <w:t xml:space="preserve"> </w:t>
      </w:r>
      <w:r w:rsidRPr="00283806">
        <w:rPr>
          <w:w w:val="105"/>
        </w:rPr>
        <w:t>such as</w:t>
      </w:r>
      <w:r w:rsidRPr="00283806">
        <w:rPr>
          <w:spacing w:val="39"/>
          <w:w w:val="105"/>
        </w:rPr>
        <w:t xml:space="preserve"> </w:t>
      </w:r>
      <w:r w:rsidRPr="00283806">
        <w:rPr>
          <w:w w:val="105"/>
        </w:rPr>
        <w:t>the</w:t>
      </w:r>
      <w:r w:rsidRPr="00283806">
        <w:rPr>
          <w:spacing w:val="39"/>
          <w:w w:val="105"/>
        </w:rPr>
        <w:t xml:space="preserve"> </w:t>
      </w:r>
      <w:r w:rsidRPr="00283806">
        <w:rPr>
          <w:w w:val="105"/>
        </w:rPr>
        <w:t>need</w:t>
      </w:r>
      <w:r w:rsidRPr="00283806">
        <w:rPr>
          <w:spacing w:val="39"/>
          <w:w w:val="105"/>
        </w:rPr>
        <w:t xml:space="preserve"> </w:t>
      </w:r>
      <w:r w:rsidRPr="00283806">
        <w:rPr>
          <w:w w:val="105"/>
        </w:rPr>
        <w:t>for</w:t>
      </w:r>
      <w:r w:rsidRPr="00283806">
        <w:rPr>
          <w:spacing w:val="39"/>
          <w:w w:val="105"/>
        </w:rPr>
        <w:t xml:space="preserve"> </w:t>
      </w:r>
      <w:r w:rsidRPr="00283806">
        <w:rPr>
          <w:w w:val="105"/>
        </w:rPr>
        <w:t>reclaim,</w:t>
      </w:r>
      <w:r w:rsidRPr="00283806">
        <w:rPr>
          <w:spacing w:val="39"/>
          <w:w w:val="105"/>
        </w:rPr>
        <w:t xml:space="preserve"> </w:t>
      </w:r>
      <w:r w:rsidRPr="00283806">
        <w:rPr>
          <w:w w:val="105"/>
        </w:rPr>
        <w:t>so</w:t>
      </w:r>
      <w:r w:rsidRPr="00283806">
        <w:rPr>
          <w:spacing w:val="39"/>
          <w:w w:val="105"/>
        </w:rPr>
        <w:t xml:space="preserve"> </w:t>
      </w:r>
      <w:r w:rsidRPr="00283806">
        <w:rPr>
          <w:w w:val="105"/>
        </w:rPr>
        <w:t>recycled HFCs sourced from fire suppression applications</w:t>
      </w:r>
      <w:r w:rsidRPr="00283806">
        <w:rPr>
          <w:spacing w:val="40"/>
          <w:w w:val="105"/>
        </w:rPr>
        <w:t xml:space="preserve"> </w:t>
      </w:r>
      <w:r w:rsidRPr="00283806">
        <w:rPr>
          <w:w w:val="105"/>
        </w:rPr>
        <w:t>‘‘could</w:t>
      </w:r>
      <w:r w:rsidRPr="00283806">
        <w:rPr>
          <w:spacing w:val="40"/>
          <w:w w:val="105"/>
        </w:rPr>
        <w:t xml:space="preserve"> </w:t>
      </w:r>
      <w:r w:rsidRPr="00283806">
        <w:rPr>
          <w:w w:val="105"/>
        </w:rPr>
        <w:t>act</w:t>
      </w:r>
      <w:r w:rsidRPr="00283806">
        <w:rPr>
          <w:spacing w:val="40"/>
          <w:w w:val="105"/>
        </w:rPr>
        <w:t xml:space="preserve"> </w:t>
      </w:r>
      <w:r w:rsidRPr="00283806">
        <w:rPr>
          <w:w w:val="105"/>
        </w:rPr>
        <w:t>to</w:t>
      </w:r>
      <w:r w:rsidRPr="00283806">
        <w:rPr>
          <w:spacing w:val="40"/>
          <w:w w:val="105"/>
        </w:rPr>
        <w:t xml:space="preserve"> </w:t>
      </w:r>
      <w:r w:rsidRPr="00283806">
        <w:rPr>
          <w:w w:val="105"/>
        </w:rPr>
        <w:t>undermine the integrity and quality of the</w:t>
      </w:r>
      <w:r w:rsidRPr="00283806">
        <w:rPr>
          <w:spacing w:val="40"/>
          <w:w w:val="105"/>
        </w:rPr>
        <w:t xml:space="preserve"> </w:t>
      </w:r>
      <w:r w:rsidRPr="00283806">
        <w:rPr>
          <w:w w:val="105"/>
        </w:rPr>
        <w:t>refrigerant supply chain.’’ The</w:t>
      </w:r>
      <w:r w:rsidRPr="00283806">
        <w:rPr>
          <w:spacing w:val="40"/>
          <w:w w:val="105"/>
        </w:rPr>
        <w:t xml:space="preserve"> </w:t>
      </w:r>
      <w:r w:rsidRPr="00283806">
        <w:rPr>
          <w:w w:val="105"/>
        </w:rPr>
        <w:t>commenter stated that the marketplace should be able to expect the same</w:t>
      </w:r>
      <w:r w:rsidRPr="00283806">
        <w:rPr>
          <w:spacing w:val="80"/>
          <w:w w:val="105"/>
        </w:rPr>
        <w:t xml:space="preserve"> </w:t>
      </w:r>
      <w:r w:rsidRPr="00283806">
        <w:rPr>
          <w:w w:val="105"/>
        </w:rPr>
        <w:t>quality, rigor, and tracking as proposed for refrigerants in the rulemaking.</w:t>
      </w:r>
    </w:p>
    <w:p w14:paraId="721506E0" w14:textId="77777777" w:rsidR="00D67C1E" w:rsidRPr="00283806" w:rsidRDefault="001265CA">
      <w:pPr>
        <w:spacing w:line="171" w:lineRule="exact"/>
        <w:ind w:left="322"/>
        <w:rPr>
          <w:sz w:val="18"/>
        </w:rPr>
      </w:pPr>
      <w:r w:rsidRPr="00283806">
        <w:rPr>
          <w:rFonts w:ascii="Book Antiqua"/>
          <w:i/>
          <w:w w:val="110"/>
          <w:sz w:val="18"/>
        </w:rPr>
        <w:t>Response:</w:t>
      </w:r>
      <w:r w:rsidRPr="00283806">
        <w:rPr>
          <w:rFonts w:ascii="Book Antiqua"/>
          <w:i/>
          <w:spacing w:val="1"/>
          <w:w w:val="110"/>
          <w:sz w:val="18"/>
        </w:rPr>
        <w:t xml:space="preserve"> </w:t>
      </w:r>
      <w:r w:rsidRPr="00283806">
        <w:rPr>
          <w:w w:val="110"/>
          <w:sz w:val="18"/>
        </w:rPr>
        <w:t>The</w:t>
      </w:r>
      <w:r w:rsidRPr="00283806">
        <w:rPr>
          <w:spacing w:val="7"/>
          <w:w w:val="110"/>
          <w:sz w:val="18"/>
        </w:rPr>
        <w:t xml:space="preserve"> </w:t>
      </w:r>
      <w:r w:rsidRPr="00283806">
        <w:rPr>
          <w:w w:val="110"/>
          <w:sz w:val="18"/>
        </w:rPr>
        <w:t>Agency</w:t>
      </w:r>
      <w:r w:rsidRPr="00283806">
        <w:rPr>
          <w:spacing w:val="7"/>
          <w:w w:val="110"/>
          <w:sz w:val="18"/>
        </w:rPr>
        <w:t xml:space="preserve"> </w:t>
      </w:r>
      <w:r w:rsidRPr="00283806">
        <w:rPr>
          <w:w w:val="110"/>
          <w:sz w:val="18"/>
        </w:rPr>
        <w:t>considers</w:t>
      </w:r>
      <w:r w:rsidRPr="00283806">
        <w:rPr>
          <w:spacing w:val="6"/>
          <w:w w:val="110"/>
          <w:sz w:val="18"/>
        </w:rPr>
        <w:t xml:space="preserve"> </w:t>
      </w:r>
      <w:r w:rsidRPr="00283806">
        <w:rPr>
          <w:spacing w:val="-5"/>
          <w:w w:val="110"/>
          <w:sz w:val="18"/>
        </w:rPr>
        <w:t>the</w:t>
      </w:r>
    </w:p>
    <w:p w14:paraId="2BB5C653" w14:textId="77777777" w:rsidR="00D67C1E" w:rsidRPr="00283806" w:rsidRDefault="001265CA">
      <w:pPr>
        <w:pStyle w:val="BodyText"/>
        <w:spacing w:line="228" w:lineRule="auto"/>
        <w:ind w:left="142" w:right="121"/>
      </w:pPr>
      <w:proofErr w:type="gramStart"/>
      <w:r w:rsidRPr="00283806">
        <w:rPr>
          <w:w w:val="110"/>
        </w:rPr>
        <w:t>fire</w:t>
      </w:r>
      <w:proofErr w:type="gramEnd"/>
      <w:r w:rsidRPr="00283806">
        <w:rPr>
          <w:w w:val="110"/>
        </w:rPr>
        <w:t xml:space="preserve"> suppression sector and the RACHP sector as distinct sectors with unique </w:t>
      </w:r>
      <w:r w:rsidRPr="00283806">
        <w:rPr>
          <w:spacing w:val="-2"/>
          <w:w w:val="110"/>
        </w:rPr>
        <w:t>specifications</w:t>
      </w:r>
      <w:r w:rsidRPr="00283806">
        <w:rPr>
          <w:spacing w:val="-3"/>
          <w:w w:val="110"/>
        </w:rPr>
        <w:t xml:space="preserve"> </w:t>
      </w:r>
      <w:r w:rsidRPr="00283806">
        <w:rPr>
          <w:spacing w:val="-2"/>
          <w:w w:val="110"/>
        </w:rPr>
        <w:t>and</w:t>
      </w:r>
      <w:r w:rsidRPr="00283806">
        <w:rPr>
          <w:spacing w:val="-3"/>
          <w:w w:val="110"/>
        </w:rPr>
        <w:t xml:space="preserve"> </w:t>
      </w:r>
      <w:r w:rsidRPr="00283806">
        <w:rPr>
          <w:spacing w:val="-2"/>
          <w:w w:val="110"/>
        </w:rPr>
        <w:t>experiences;</w:t>
      </w:r>
      <w:r w:rsidRPr="00283806">
        <w:rPr>
          <w:spacing w:val="-3"/>
          <w:w w:val="110"/>
        </w:rPr>
        <w:t xml:space="preserve"> </w:t>
      </w:r>
      <w:r w:rsidRPr="00283806">
        <w:rPr>
          <w:spacing w:val="-2"/>
          <w:w w:val="110"/>
        </w:rPr>
        <w:t>thus,</w:t>
      </w:r>
      <w:r w:rsidRPr="00283806">
        <w:rPr>
          <w:spacing w:val="-3"/>
          <w:w w:val="110"/>
        </w:rPr>
        <w:t xml:space="preserve"> </w:t>
      </w:r>
      <w:r w:rsidRPr="00283806">
        <w:rPr>
          <w:spacing w:val="-2"/>
          <w:w w:val="110"/>
        </w:rPr>
        <w:t xml:space="preserve">the </w:t>
      </w:r>
      <w:r w:rsidRPr="00283806">
        <w:t>requirements established for each sector</w:t>
      </w:r>
      <w:r w:rsidRPr="00283806">
        <w:rPr>
          <w:w w:val="110"/>
        </w:rPr>
        <w:t xml:space="preserve"> are tailored to that sector. EPA understands</w:t>
      </w:r>
      <w:r w:rsidRPr="00283806">
        <w:rPr>
          <w:spacing w:val="-5"/>
          <w:w w:val="110"/>
        </w:rPr>
        <w:t xml:space="preserve"> </w:t>
      </w:r>
      <w:r w:rsidRPr="00283806">
        <w:rPr>
          <w:w w:val="110"/>
        </w:rPr>
        <w:t>that</w:t>
      </w:r>
      <w:r w:rsidRPr="00283806">
        <w:rPr>
          <w:spacing w:val="-5"/>
          <w:w w:val="110"/>
        </w:rPr>
        <w:t xml:space="preserve"> </w:t>
      </w:r>
      <w:r w:rsidRPr="00283806">
        <w:rPr>
          <w:w w:val="110"/>
        </w:rPr>
        <w:t>entities</w:t>
      </w:r>
      <w:r w:rsidRPr="00283806">
        <w:rPr>
          <w:spacing w:val="-5"/>
          <w:w w:val="110"/>
        </w:rPr>
        <w:t xml:space="preserve"> </w:t>
      </w:r>
      <w:r w:rsidRPr="00283806">
        <w:rPr>
          <w:w w:val="110"/>
        </w:rPr>
        <w:t>in</w:t>
      </w:r>
      <w:r w:rsidRPr="00283806">
        <w:rPr>
          <w:spacing w:val="-5"/>
          <w:w w:val="110"/>
        </w:rPr>
        <w:t xml:space="preserve"> </w:t>
      </w:r>
      <w:r w:rsidRPr="00283806">
        <w:rPr>
          <w:w w:val="110"/>
        </w:rPr>
        <w:t>the</w:t>
      </w:r>
      <w:r w:rsidRPr="00283806">
        <w:rPr>
          <w:spacing w:val="-5"/>
          <w:w w:val="110"/>
        </w:rPr>
        <w:t xml:space="preserve"> </w:t>
      </w:r>
      <w:r w:rsidRPr="00283806">
        <w:rPr>
          <w:w w:val="110"/>
        </w:rPr>
        <w:t>U.S.</w:t>
      </w:r>
      <w:r w:rsidRPr="00283806">
        <w:rPr>
          <w:spacing w:val="-5"/>
          <w:w w:val="110"/>
        </w:rPr>
        <w:t xml:space="preserve"> </w:t>
      </w:r>
      <w:r w:rsidRPr="00283806">
        <w:rPr>
          <w:w w:val="110"/>
        </w:rPr>
        <w:t xml:space="preserve">fire suppression industry typically operate in accordance with requirements from NFPA 2001 </w:t>
      </w:r>
      <w:r w:rsidRPr="00283806">
        <w:rPr>
          <w:w w:val="110"/>
          <w:position w:val="5"/>
          <w:sz w:val="11"/>
        </w:rPr>
        <w:t>124</w:t>
      </w:r>
      <w:r w:rsidRPr="00283806">
        <w:rPr>
          <w:spacing w:val="40"/>
          <w:w w:val="110"/>
          <w:position w:val="5"/>
          <w:sz w:val="11"/>
        </w:rPr>
        <w:t xml:space="preserve"> </w:t>
      </w:r>
      <w:r w:rsidRPr="00283806">
        <w:rPr>
          <w:w w:val="110"/>
        </w:rPr>
        <w:t xml:space="preserve">or NFPA 10 </w:t>
      </w:r>
      <w:r w:rsidRPr="00283806">
        <w:rPr>
          <w:w w:val="110"/>
          <w:position w:val="5"/>
          <w:sz w:val="11"/>
        </w:rPr>
        <w:t>125</w:t>
      </w:r>
      <w:r w:rsidRPr="00283806">
        <w:rPr>
          <w:spacing w:val="40"/>
          <w:w w:val="110"/>
          <w:position w:val="5"/>
          <w:sz w:val="11"/>
        </w:rPr>
        <w:t xml:space="preserve"> </w:t>
      </w:r>
      <w:r w:rsidRPr="00283806">
        <w:rPr>
          <w:w w:val="110"/>
        </w:rPr>
        <w:t>or</w:t>
      </w:r>
    </w:p>
    <w:p w14:paraId="77862DCC" w14:textId="77777777" w:rsidR="00D67C1E" w:rsidRPr="00283806" w:rsidRDefault="001265CA">
      <w:pPr>
        <w:pStyle w:val="BodyText"/>
        <w:spacing w:line="228" w:lineRule="auto"/>
        <w:ind w:left="142" w:right="186"/>
      </w:pPr>
      <w:r w:rsidRPr="00283806">
        <w:rPr>
          <w:w w:val="105"/>
        </w:rPr>
        <w:t>appropriate American Society for</w:t>
      </w:r>
      <w:r w:rsidRPr="00283806">
        <w:rPr>
          <w:spacing w:val="80"/>
          <w:w w:val="105"/>
        </w:rPr>
        <w:t xml:space="preserve"> </w:t>
      </w:r>
      <w:r w:rsidRPr="00283806">
        <w:rPr>
          <w:w w:val="105"/>
        </w:rPr>
        <w:t>Testing and Materials (ASTM) standards to recover and recycle HFCs during servicing and/or repair of fire suppression equipment. None of these current industry standards or specifications related to HFCs used in</w:t>
      </w:r>
    </w:p>
    <w:p w14:paraId="7197EE88" w14:textId="77777777" w:rsidR="00D67C1E" w:rsidRPr="00283806" w:rsidRDefault="001265CA">
      <w:pPr>
        <w:pStyle w:val="BodyText"/>
        <w:spacing w:before="7"/>
        <w:ind w:left="0"/>
        <w:rPr>
          <w:sz w:val="11"/>
        </w:rPr>
      </w:pPr>
      <w:r w:rsidRPr="00283806">
        <w:rPr>
          <w:noProof/>
        </w:rPr>
        <mc:AlternateContent>
          <mc:Choice Requires="wps">
            <w:drawing>
              <wp:anchor distT="0" distB="0" distL="0" distR="0" simplePos="0" relativeHeight="251667456" behindDoc="1" locked="0" layoutInCell="1" allowOverlap="1" wp14:anchorId="394B99BB" wp14:editId="05591DC9">
                <wp:simplePos x="0" y="0"/>
                <wp:positionH relativeFrom="page">
                  <wp:posOffset>5067300</wp:posOffset>
                </wp:positionH>
                <wp:positionV relativeFrom="paragraph">
                  <wp:posOffset>101818</wp:posOffset>
                </wp:positionV>
                <wp:extent cx="635000" cy="1270"/>
                <wp:effectExtent l="0" t="0" r="0" b="0"/>
                <wp:wrapTopAndBottom/>
                <wp:docPr id="99" name="Graphic 9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A9E707F" id="Graphic 99" o:spid="_x0000_s1026" alt="&quot;&quot;" style="position:absolute;margin-left:399pt;margin-top:8pt;width:50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" path="m,l635000,e" filled="f" strokeweight=".5pt">
                <v:path arrowok="t"/>
                <w10:wrap type="topAndBottom" anchorx="page"/>
              </v:shape>
            </w:pict>
          </mc:Fallback>
        </mc:AlternateContent>
      </w:r>
    </w:p>
    <w:p w14:paraId="6CA6C852" w14:textId="07289046" w:rsidR="00D67C1E" w:rsidRPr="00283806" w:rsidRDefault="001265CA">
      <w:pPr>
        <w:spacing w:before="42" w:line="228" w:lineRule="auto"/>
        <w:ind w:left="142" w:right="429" w:firstLine="140"/>
        <w:rPr>
          <w:sz w:val="14"/>
        </w:rPr>
      </w:pPr>
      <w:r w:rsidRPr="00283806">
        <w:rPr>
          <w:w w:val="110"/>
          <w:position w:val="4"/>
          <w:sz w:val="9"/>
        </w:rPr>
        <w:t>124</w:t>
      </w:r>
      <w:r w:rsidRPr="00283806">
        <w:rPr>
          <w:spacing w:val="-4"/>
          <w:w w:val="110"/>
          <w:position w:val="4"/>
          <w:sz w:val="9"/>
        </w:rPr>
        <w:t xml:space="preserve"> </w:t>
      </w:r>
      <w:r w:rsidRPr="00283806">
        <w:rPr>
          <w:w w:val="110"/>
          <w:sz w:val="14"/>
        </w:rPr>
        <w:t>NFPA</w:t>
      </w:r>
      <w:r w:rsidRPr="00283806">
        <w:rPr>
          <w:spacing w:val="-2"/>
          <w:w w:val="110"/>
          <w:sz w:val="14"/>
        </w:rPr>
        <w:t xml:space="preserve"> </w:t>
      </w:r>
      <w:r w:rsidRPr="00283806">
        <w:rPr>
          <w:w w:val="110"/>
          <w:sz w:val="14"/>
        </w:rPr>
        <w:t>2001</w:t>
      </w:r>
      <w:r w:rsidRPr="00283806">
        <w:rPr>
          <w:spacing w:val="-2"/>
          <w:w w:val="110"/>
          <w:sz w:val="14"/>
        </w:rPr>
        <w:t xml:space="preserve"> </w:t>
      </w:r>
      <w:r w:rsidRPr="00283806">
        <w:rPr>
          <w:w w:val="110"/>
          <w:sz w:val="14"/>
        </w:rPr>
        <w:t>Standard</w:t>
      </w:r>
      <w:r w:rsidRPr="00283806">
        <w:rPr>
          <w:spacing w:val="-2"/>
          <w:w w:val="110"/>
          <w:sz w:val="14"/>
        </w:rPr>
        <w:t xml:space="preserve"> </w:t>
      </w:r>
      <w:r w:rsidRPr="00283806">
        <w:rPr>
          <w:w w:val="110"/>
          <w:sz w:val="14"/>
        </w:rPr>
        <w:t>on</w:t>
      </w:r>
      <w:r w:rsidRPr="00283806">
        <w:rPr>
          <w:spacing w:val="-2"/>
          <w:w w:val="110"/>
          <w:sz w:val="14"/>
        </w:rPr>
        <w:t xml:space="preserve"> </w:t>
      </w:r>
      <w:r w:rsidRPr="00283806">
        <w:rPr>
          <w:w w:val="110"/>
          <w:sz w:val="14"/>
        </w:rPr>
        <w:t>Clean</w:t>
      </w:r>
      <w:r w:rsidRPr="00283806">
        <w:rPr>
          <w:spacing w:val="-2"/>
          <w:w w:val="110"/>
          <w:sz w:val="14"/>
        </w:rPr>
        <w:t xml:space="preserve"> </w:t>
      </w:r>
      <w:r w:rsidRPr="00283806">
        <w:rPr>
          <w:w w:val="110"/>
          <w:sz w:val="14"/>
        </w:rPr>
        <w:t>Agent</w:t>
      </w:r>
      <w:r w:rsidRPr="00283806">
        <w:rPr>
          <w:spacing w:val="-2"/>
          <w:w w:val="110"/>
          <w:sz w:val="14"/>
        </w:rPr>
        <w:t xml:space="preserve"> </w:t>
      </w:r>
      <w:r w:rsidRPr="00283806">
        <w:rPr>
          <w:w w:val="110"/>
          <w:sz w:val="14"/>
        </w:rPr>
        <w:t>Fire</w:t>
      </w:r>
      <w:r w:rsidRPr="00283806">
        <w:rPr>
          <w:spacing w:val="40"/>
          <w:w w:val="115"/>
          <w:sz w:val="14"/>
        </w:rPr>
        <w:t xml:space="preserve"> </w:t>
      </w:r>
      <w:r w:rsidRPr="00283806">
        <w:rPr>
          <w:w w:val="115"/>
          <w:sz w:val="14"/>
        </w:rPr>
        <w:t xml:space="preserve">Extinguishing Systems. Available at: </w:t>
      </w:r>
      <w:r w:rsidRPr="00283806">
        <w:rPr>
          <w:rFonts w:ascii="Book Antiqua"/>
          <w:i/>
          <w:w w:val="115"/>
          <w:sz w:val="14"/>
        </w:rPr>
        <w:t xml:space="preserve">https:// </w:t>
      </w:r>
      <w:r w:rsidRPr="00283806">
        <w:rPr>
          <w:rFonts w:ascii="Book Antiqua"/>
          <w:i/>
          <w:spacing w:val="-2"/>
          <w:w w:val="115"/>
          <w:sz w:val="14"/>
        </w:rPr>
        <w:t>www.nfpa.org/codes-and-standards/nfpa-2001-</w:t>
      </w:r>
      <w:r w:rsidRPr="00283806">
        <w:rPr>
          <w:rFonts w:ascii="Book Antiqua"/>
          <w:i/>
          <w:spacing w:val="40"/>
          <w:w w:val="115"/>
          <w:sz w:val="14"/>
        </w:rPr>
        <w:t xml:space="preserve"> </w:t>
      </w:r>
      <w:r w:rsidRPr="00283806">
        <w:rPr>
          <w:rFonts w:ascii="Book Antiqua"/>
          <w:i/>
          <w:spacing w:val="-2"/>
          <w:w w:val="115"/>
          <w:sz w:val="14"/>
        </w:rPr>
        <w:t>standard-development/2001</w:t>
      </w:r>
      <w:r w:rsidRPr="00283806">
        <w:rPr>
          <w:spacing w:val="-2"/>
          <w:w w:val="115"/>
          <w:sz w:val="14"/>
        </w:rPr>
        <w:t>.</w:t>
      </w:r>
    </w:p>
    <w:p w14:paraId="555FE7CD" w14:textId="64F3754E" w:rsidR="00D67C1E" w:rsidRPr="00283806" w:rsidRDefault="001265CA">
      <w:pPr>
        <w:spacing w:before="17" w:line="228" w:lineRule="auto"/>
        <w:ind w:left="142" w:right="251" w:firstLine="140"/>
        <w:rPr>
          <w:sz w:val="14"/>
        </w:rPr>
      </w:pPr>
      <w:r w:rsidRPr="00283806">
        <w:rPr>
          <w:w w:val="110"/>
          <w:position w:val="4"/>
          <w:sz w:val="9"/>
        </w:rPr>
        <w:t xml:space="preserve">125 </w:t>
      </w:r>
      <w:r w:rsidRPr="00283806">
        <w:rPr>
          <w:w w:val="110"/>
          <w:sz w:val="14"/>
        </w:rPr>
        <w:t>NFPA 10 Standard for Portable Fire</w:t>
      </w:r>
      <w:r w:rsidRPr="00283806">
        <w:rPr>
          <w:spacing w:val="40"/>
          <w:w w:val="110"/>
          <w:sz w:val="14"/>
        </w:rPr>
        <w:t xml:space="preserve"> </w:t>
      </w:r>
      <w:r w:rsidRPr="00283806">
        <w:rPr>
          <w:w w:val="110"/>
          <w:sz w:val="14"/>
        </w:rPr>
        <w:t>Extinguishers.</w:t>
      </w:r>
      <w:r w:rsidRPr="00283806">
        <w:rPr>
          <w:spacing w:val="-3"/>
          <w:w w:val="110"/>
          <w:sz w:val="14"/>
        </w:rPr>
        <w:t xml:space="preserve"> </w:t>
      </w:r>
      <w:r w:rsidRPr="00283806">
        <w:rPr>
          <w:w w:val="110"/>
          <w:sz w:val="14"/>
        </w:rPr>
        <w:t>Available</w:t>
      </w:r>
      <w:r w:rsidRPr="00283806">
        <w:rPr>
          <w:spacing w:val="-3"/>
          <w:w w:val="110"/>
          <w:sz w:val="14"/>
        </w:rPr>
        <w:t xml:space="preserve"> </w:t>
      </w:r>
      <w:r w:rsidRPr="00283806">
        <w:rPr>
          <w:w w:val="110"/>
          <w:sz w:val="14"/>
        </w:rPr>
        <w:t>at:</w:t>
      </w:r>
      <w:r w:rsidRPr="00283806">
        <w:rPr>
          <w:spacing w:val="-3"/>
          <w:w w:val="110"/>
          <w:sz w:val="14"/>
        </w:rPr>
        <w:t xml:space="preserve"> </w:t>
      </w:r>
      <w:r w:rsidRPr="00283806">
        <w:rPr>
          <w:rFonts w:ascii="Book Antiqua"/>
          <w:i/>
          <w:w w:val="110"/>
          <w:sz w:val="14"/>
        </w:rPr>
        <w:t>https://www.nfpa.org/</w:t>
      </w:r>
      <w:r w:rsidRPr="00283806">
        <w:rPr>
          <w:rFonts w:ascii="Book Antiqua"/>
          <w:i/>
          <w:spacing w:val="40"/>
          <w:w w:val="110"/>
          <w:sz w:val="14"/>
        </w:rPr>
        <w:t xml:space="preserve"> </w:t>
      </w:r>
      <w:r w:rsidRPr="00283806">
        <w:rPr>
          <w:rFonts w:ascii="Book Antiqua"/>
          <w:i/>
          <w:spacing w:val="-2"/>
          <w:w w:val="110"/>
          <w:sz w:val="14"/>
        </w:rPr>
        <w:t>codes-and-standards/nfpa-10-standard-</w:t>
      </w:r>
      <w:r w:rsidRPr="00283806">
        <w:rPr>
          <w:rFonts w:ascii="Book Antiqua"/>
          <w:i/>
          <w:spacing w:val="40"/>
          <w:w w:val="110"/>
          <w:sz w:val="14"/>
        </w:rPr>
        <w:t xml:space="preserve"> </w:t>
      </w:r>
      <w:r w:rsidRPr="00283806">
        <w:rPr>
          <w:rFonts w:ascii="Book Antiqua"/>
          <w:i/>
          <w:spacing w:val="-2"/>
          <w:w w:val="110"/>
          <w:sz w:val="14"/>
        </w:rPr>
        <w:t>development/10</w:t>
      </w:r>
      <w:r w:rsidRPr="00283806">
        <w:rPr>
          <w:spacing w:val="-2"/>
          <w:w w:val="110"/>
          <w:sz w:val="14"/>
        </w:rPr>
        <w:t>.</w:t>
      </w:r>
    </w:p>
    <w:p w14:paraId="5B4C809B" w14:textId="77777777" w:rsidR="00D67C1E" w:rsidRPr="00283806" w:rsidRDefault="00D67C1E">
      <w:pPr>
        <w:spacing w:line="228" w:lineRule="auto"/>
        <w:rPr>
          <w:sz w:val="14"/>
        </w:rPr>
        <w:sectPr w:rsidR="00D67C1E" w:rsidRPr="00283806">
          <w:pgSz w:w="12240" w:h="15840"/>
          <w:pgMar w:top="1040" w:right="780" w:bottom="280" w:left="740" w:header="627" w:footer="0" w:gutter="0"/>
          <w:cols w:num="3" w:space="720" w:equalWidth="0">
            <w:col w:w="3516" w:space="40"/>
            <w:col w:w="3502" w:space="39"/>
            <w:col w:w="3623"/>
          </w:cols>
        </w:sectPr>
      </w:pPr>
    </w:p>
    <w:p w14:paraId="20EEB20C" w14:textId="77777777" w:rsidR="00D67C1E" w:rsidRPr="00283806" w:rsidRDefault="001265CA">
      <w:pPr>
        <w:pStyle w:val="BodyText"/>
        <w:spacing w:before="136" w:line="225" w:lineRule="auto"/>
        <w:ind w:right="62"/>
      </w:pPr>
      <w:proofErr w:type="gramStart"/>
      <w:r w:rsidRPr="00283806">
        <w:rPr>
          <w:w w:val="105"/>
        </w:rPr>
        <w:lastRenderedPageBreak/>
        <w:t>fire</w:t>
      </w:r>
      <w:proofErr w:type="gramEnd"/>
      <w:r w:rsidRPr="00283806">
        <w:rPr>
          <w:w w:val="105"/>
        </w:rPr>
        <w:t xml:space="preserve"> suppression </w:t>
      </w:r>
      <w:proofErr w:type="gramStart"/>
      <w:r w:rsidRPr="00283806">
        <w:rPr>
          <w:w w:val="105"/>
        </w:rPr>
        <w:t>contain</w:t>
      </w:r>
      <w:proofErr w:type="gramEnd"/>
      <w:r w:rsidRPr="00283806">
        <w:rPr>
          <w:w w:val="105"/>
        </w:rPr>
        <w:t xml:space="preserve"> specific requirements to minimize releases of HFCs, including during servicing or</w:t>
      </w:r>
      <w:r w:rsidRPr="00283806">
        <w:rPr>
          <w:spacing w:val="40"/>
          <w:w w:val="105"/>
        </w:rPr>
        <w:t xml:space="preserve"> </w:t>
      </w:r>
      <w:r w:rsidRPr="00283806">
        <w:rPr>
          <w:w w:val="105"/>
        </w:rPr>
        <w:t>repair of the equipment. Therefore, and as noted by the commenter, efforts by</w:t>
      </w:r>
      <w:r w:rsidRPr="00283806">
        <w:rPr>
          <w:spacing w:val="40"/>
          <w:w w:val="105"/>
        </w:rPr>
        <w:t xml:space="preserve"> </w:t>
      </w:r>
      <w:r w:rsidRPr="00283806">
        <w:rPr>
          <w:w w:val="105"/>
        </w:rPr>
        <w:t xml:space="preserve">the industry to minimize emissions of HFCs used in the fire suppression sector have to date been on a voluntary basis. For example, </w:t>
      </w:r>
      <w:proofErr w:type="gramStart"/>
      <w:r w:rsidRPr="00283806">
        <w:rPr>
          <w:w w:val="105"/>
        </w:rPr>
        <w:t>the VCOP</w:t>
      </w:r>
      <w:proofErr w:type="gramEnd"/>
      <w:r w:rsidRPr="00283806">
        <w:rPr>
          <w:w w:val="105"/>
        </w:rPr>
        <w:t xml:space="preserve"> includes as part</w:t>
      </w:r>
      <w:r w:rsidRPr="00283806">
        <w:rPr>
          <w:spacing w:val="40"/>
          <w:w w:val="105"/>
        </w:rPr>
        <w:t xml:space="preserve"> </w:t>
      </w:r>
      <w:r w:rsidRPr="00283806">
        <w:rPr>
          <w:w w:val="105"/>
        </w:rPr>
        <w:t>of its emission reduction strategies during storage, handling, and transfer of HFCs to recover and recycle agents during servicing and to adopt maintenance practices that reduce leakage as much as is technically</w:t>
      </w:r>
      <w:r w:rsidRPr="00283806">
        <w:rPr>
          <w:spacing w:val="80"/>
          <w:w w:val="105"/>
        </w:rPr>
        <w:t xml:space="preserve"> </w:t>
      </w:r>
      <w:r w:rsidRPr="00283806">
        <w:rPr>
          <w:w w:val="105"/>
        </w:rPr>
        <w:t>feasible. By adopting regulatory requirements informed by these current voluntary practices and relevant</w:t>
      </w:r>
      <w:r w:rsidRPr="00283806">
        <w:rPr>
          <w:spacing w:val="40"/>
          <w:w w:val="105"/>
        </w:rPr>
        <w:t xml:space="preserve"> </w:t>
      </w:r>
      <w:r w:rsidRPr="00283806">
        <w:rPr>
          <w:w w:val="105"/>
        </w:rPr>
        <w:t>industry standards, this action will minimize emissions of HFCs more broadly within this sector of where</w:t>
      </w:r>
      <w:r w:rsidRPr="00283806">
        <w:rPr>
          <w:spacing w:val="80"/>
          <w:w w:val="150"/>
        </w:rPr>
        <w:t xml:space="preserve"> </w:t>
      </w:r>
      <w:r w:rsidRPr="00283806">
        <w:rPr>
          <w:w w:val="105"/>
        </w:rPr>
        <w:t>HFCs are used, consistent with the purposes identified in subsection (h),</w:t>
      </w:r>
      <w:r w:rsidRPr="00283806">
        <w:rPr>
          <w:spacing w:val="40"/>
          <w:w w:val="105"/>
        </w:rPr>
        <w:t xml:space="preserve"> </w:t>
      </w:r>
      <w:r w:rsidRPr="00283806">
        <w:rPr>
          <w:w w:val="105"/>
        </w:rPr>
        <w:t xml:space="preserve">and in a manner that maintains the integrity of recycled HFCs from this </w:t>
      </w:r>
      <w:r w:rsidRPr="00283806">
        <w:rPr>
          <w:spacing w:val="-2"/>
          <w:w w:val="105"/>
        </w:rPr>
        <w:t>source.</w:t>
      </w:r>
    </w:p>
    <w:p w14:paraId="003133E1" w14:textId="77777777" w:rsidR="00D67C1E" w:rsidRPr="00283806" w:rsidRDefault="001265CA">
      <w:pPr>
        <w:pStyle w:val="ListParagraph"/>
        <w:numPr>
          <w:ilvl w:val="1"/>
          <w:numId w:val="50"/>
        </w:numPr>
        <w:tabs>
          <w:tab w:val="left" w:pos="358"/>
        </w:tabs>
        <w:spacing w:before="88" w:line="225" w:lineRule="auto"/>
        <w:ind w:left="160" w:right="177" w:firstLine="0"/>
        <w:rPr>
          <w:sz w:val="18"/>
        </w:rPr>
      </w:pPr>
      <w:r w:rsidRPr="00283806">
        <w:rPr>
          <w:w w:val="105"/>
          <w:sz w:val="18"/>
        </w:rPr>
        <w:t>Requirements for Initial Installation of Equipment for Fire Suppression</w:t>
      </w:r>
    </w:p>
    <w:p w14:paraId="7A9FF715" w14:textId="77777777" w:rsidR="00D67C1E" w:rsidRPr="00283806" w:rsidRDefault="001265CA">
      <w:pPr>
        <w:pStyle w:val="BodyText"/>
        <w:spacing w:before="66" w:line="225" w:lineRule="auto"/>
        <w:ind w:right="98" w:firstLine="180"/>
      </w:pPr>
      <w:r w:rsidRPr="00283806">
        <w:rPr>
          <w:w w:val="105"/>
        </w:rPr>
        <w:t xml:space="preserve">EPA is </w:t>
      </w:r>
      <w:proofErr w:type="gramStart"/>
      <w:r w:rsidRPr="00283806">
        <w:rPr>
          <w:w w:val="105"/>
        </w:rPr>
        <w:t>requiring for</w:t>
      </w:r>
      <w:proofErr w:type="gramEnd"/>
      <w:r w:rsidRPr="00283806">
        <w:rPr>
          <w:w w:val="105"/>
        </w:rPr>
        <w:t xml:space="preserve"> the fire suppression sector where HFCs are used, that the initial installation of fire suppression equipment, including both total flooding systems and streaming applications, must be with recycled HFCs, starting on January 1, 2030.</w:t>
      </w:r>
    </w:p>
    <w:p w14:paraId="65D6D13F" w14:textId="77777777" w:rsidR="00D67C1E" w:rsidRPr="00283806" w:rsidRDefault="001265CA">
      <w:pPr>
        <w:pStyle w:val="BodyText"/>
        <w:spacing w:line="225" w:lineRule="auto"/>
        <w:ind w:right="3"/>
      </w:pPr>
      <w:r w:rsidRPr="00283806">
        <w:rPr>
          <w:w w:val="105"/>
        </w:rPr>
        <w:t xml:space="preserve">Specifically, for factory-charged equipment that uses HFCs, EPA </w:t>
      </w:r>
      <w:proofErr w:type="gramStart"/>
      <w:r w:rsidRPr="00283806">
        <w:rPr>
          <w:w w:val="105"/>
        </w:rPr>
        <w:t>is requiring</w:t>
      </w:r>
      <w:proofErr w:type="gramEnd"/>
      <w:r w:rsidRPr="00283806">
        <w:rPr>
          <w:w w:val="105"/>
        </w:rPr>
        <w:t xml:space="preserve"> that </w:t>
      </w:r>
      <w:proofErr w:type="gramStart"/>
      <w:r w:rsidRPr="00283806">
        <w:rPr>
          <w:w w:val="105"/>
        </w:rPr>
        <w:t>in order to</w:t>
      </w:r>
      <w:proofErr w:type="gramEnd"/>
      <w:r w:rsidRPr="00283806">
        <w:rPr>
          <w:w w:val="105"/>
        </w:rPr>
        <w:t xml:space="preserve"> install such equipment, the equipment is required to use recycled HFCs for the initial installation during the manufacture of</w:t>
      </w:r>
      <w:r w:rsidRPr="00283806">
        <w:rPr>
          <w:spacing w:val="40"/>
          <w:w w:val="105"/>
        </w:rPr>
        <w:t xml:space="preserve"> </w:t>
      </w:r>
      <w:r w:rsidRPr="00283806">
        <w:rPr>
          <w:w w:val="105"/>
        </w:rPr>
        <w:t>the equipment. These requirements</w:t>
      </w:r>
      <w:r w:rsidRPr="00283806">
        <w:rPr>
          <w:spacing w:val="40"/>
          <w:w w:val="105"/>
        </w:rPr>
        <w:t xml:space="preserve"> </w:t>
      </w:r>
      <w:r w:rsidRPr="00283806">
        <w:rPr>
          <w:w w:val="105"/>
        </w:rPr>
        <w:t>apply</w:t>
      </w:r>
      <w:r w:rsidRPr="00283806">
        <w:rPr>
          <w:spacing w:val="39"/>
          <w:w w:val="105"/>
        </w:rPr>
        <w:t xml:space="preserve"> </w:t>
      </w:r>
      <w:r w:rsidRPr="00283806">
        <w:rPr>
          <w:w w:val="105"/>
        </w:rPr>
        <w:t>whether</w:t>
      </w:r>
      <w:r w:rsidRPr="00283806">
        <w:rPr>
          <w:spacing w:val="39"/>
          <w:w w:val="105"/>
        </w:rPr>
        <w:t xml:space="preserve"> </w:t>
      </w:r>
      <w:r w:rsidRPr="00283806">
        <w:rPr>
          <w:w w:val="105"/>
        </w:rPr>
        <w:t>the</w:t>
      </w:r>
      <w:r w:rsidRPr="00283806">
        <w:rPr>
          <w:spacing w:val="39"/>
          <w:w w:val="105"/>
        </w:rPr>
        <w:t xml:space="preserve"> </w:t>
      </w:r>
      <w:r w:rsidRPr="00283806">
        <w:rPr>
          <w:w w:val="105"/>
        </w:rPr>
        <w:t>HFCs</w:t>
      </w:r>
      <w:r w:rsidRPr="00283806">
        <w:rPr>
          <w:spacing w:val="39"/>
          <w:w w:val="105"/>
        </w:rPr>
        <w:t xml:space="preserve"> </w:t>
      </w:r>
      <w:r w:rsidRPr="00283806">
        <w:rPr>
          <w:w w:val="105"/>
        </w:rPr>
        <w:t>are</w:t>
      </w:r>
      <w:r w:rsidRPr="00283806">
        <w:rPr>
          <w:spacing w:val="39"/>
          <w:w w:val="105"/>
        </w:rPr>
        <w:t xml:space="preserve"> </w:t>
      </w:r>
      <w:r w:rsidRPr="00283806">
        <w:rPr>
          <w:w w:val="105"/>
        </w:rPr>
        <w:t>used</w:t>
      </w:r>
      <w:r w:rsidRPr="00283806">
        <w:rPr>
          <w:spacing w:val="39"/>
          <w:w w:val="105"/>
        </w:rPr>
        <w:t xml:space="preserve"> </w:t>
      </w:r>
      <w:r w:rsidRPr="00283806">
        <w:rPr>
          <w:w w:val="105"/>
        </w:rPr>
        <w:t>neat or in a blend.</w:t>
      </w:r>
    </w:p>
    <w:p w14:paraId="7D264669" w14:textId="77777777" w:rsidR="00D67C1E" w:rsidRPr="00283806" w:rsidRDefault="001265CA">
      <w:pPr>
        <w:pStyle w:val="BodyText"/>
        <w:spacing w:line="228" w:lineRule="auto"/>
        <w:ind w:right="122" w:firstLine="180"/>
      </w:pPr>
      <w:r w:rsidRPr="00283806">
        <w:rPr>
          <w:w w:val="105"/>
        </w:rPr>
        <w:t>However, EPA notes that most often, where fire suppression agents are needed and HFCs are being used, these are single component HFCs with some</w:t>
      </w:r>
      <w:r w:rsidRPr="00283806">
        <w:rPr>
          <w:spacing w:val="40"/>
          <w:w w:val="105"/>
        </w:rPr>
        <w:t xml:space="preserve"> </w:t>
      </w:r>
      <w:r w:rsidRPr="00283806">
        <w:rPr>
          <w:w w:val="105"/>
        </w:rPr>
        <w:t>of the highest GWPs for the regulated HFCs. Given the high GWPs for the commonly used HFC fire suppression agents, this aspect of the action is anticipated to further minimize emissions by requiring that recycled HFCs be used for the initial installation of fire suppression equipment.</w:t>
      </w:r>
    </w:p>
    <w:p w14:paraId="406812E5" w14:textId="77777777" w:rsidR="00D67C1E" w:rsidRPr="00283806" w:rsidRDefault="001265CA">
      <w:pPr>
        <w:pStyle w:val="BodyText"/>
        <w:spacing w:line="175" w:lineRule="exact"/>
        <w:ind w:left="340"/>
      </w:pPr>
      <w:r w:rsidRPr="00283806">
        <w:rPr>
          <w:w w:val="105"/>
        </w:rPr>
        <w:t>Currently,</w:t>
      </w:r>
      <w:r w:rsidRPr="00283806">
        <w:rPr>
          <w:spacing w:val="28"/>
          <w:w w:val="105"/>
        </w:rPr>
        <w:t xml:space="preserve"> </w:t>
      </w:r>
      <w:r w:rsidRPr="00283806">
        <w:rPr>
          <w:w w:val="105"/>
        </w:rPr>
        <w:t>recycled</w:t>
      </w:r>
      <w:r w:rsidRPr="00283806">
        <w:rPr>
          <w:spacing w:val="28"/>
          <w:w w:val="105"/>
        </w:rPr>
        <w:t xml:space="preserve"> </w:t>
      </w:r>
      <w:r w:rsidRPr="00283806">
        <w:rPr>
          <w:w w:val="105"/>
        </w:rPr>
        <w:t>HFCs</w:t>
      </w:r>
      <w:r w:rsidRPr="00283806">
        <w:rPr>
          <w:spacing w:val="29"/>
          <w:w w:val="105"/>
        </w:rPr>
        <w:t xml:space="preserve"> </w:t>
      </w:r>
      <w:r w:rsidRPr="00283806">
        <w:rPr>
          <w:spacing w:val="-5"/>
          <w:w w:val="105"/>
        </w:rPr>
        <w:t>are</w:t>
      </w:r>
    </w:p>
    <w:p w14:paraId="73A9B2A1" w14:textId="77777777" w:rsidR="00D67C1E" w:rsidRPr="00283806" w:rsidRDefault="001265CA">
      <w:pPr>
        <w:pStyle w:val="BodyText"/>
        <w:spacing w:line="228" w:lineRule="auto"/>
        <w:ind w:right="122"/>
      </w:pPr>
      <w:r w:rsidRPr="00283806">
        <w:rPr>
          <w:w w:val="105"/>
        </w:rPr>
        <w:t xml:space="preserve">primarily used for the </w:t>
      </w:r>
      <w:proofErr w:type="gramStart"/>
      <w:r w:rsidRPr="00283806">
        <w:rPr>
          <w:w w:val="105"/>
        </w:rPr>
        <w:t>servicing</w:t>
      </w:r>
      <w:proofErr w:type="gramEnd"/>
      <w:r w:rsidRPr="00283806">
        <w:rPr>
          <w:w w:val="105"/>
        </w:rPr>
        <w:t xml:space="preserve"> and recharge of existing fire suppression equipment. EPA understands that, in practice, recycled HFCs are required to meet applicable purity standards and function the same as their virgin counterparts when used in equipment in the fire suppression sector.</w:t>
      </w:r>
    </w:p>
    <w:p w14:paraId="5036C9B7" w14:textId="77777777" w:rsidR="00D67C1E" w:rsidRPr="00283806" w:rsidRDefault="001265CA">
      <w:pPr>
        <w:spacing w:line="182" w:lineRule="exact"/>
        <w:ind w:left="340"/>
        <w:rPr>
          <w:sz w:val="18"/>
        </w:rPr>
      </w:pPr>
      <w:r w:rsidRPr="00283806">
        <w:rPr>
          <w:rFonts w:ascii="Book Antiqua"/>
          <w:i/>
          <w:w w:val="105"/>
          <w:sz w:val="18"/>
        </w:rPr>
        <w:t>Comment:</w:t>
      </w:r>
      <w:r w:rsidRPr="00283806">
        <w:rPr>
          <w:rFonts w:ascii="Book Antiqua"/>
          <w:i/>
          <w:spacing w:val="22"/>
          <w:w w:val="105"/>
          <w:sz w:val="18"/>
        </w:rPr>
        <w:t xml:space="preserve"> </w:t>
      </w:r>
      <w:r w:rsidRPr="00283806">
        <w:rPr>
          <w:w w:val="105"/>
          <w:sz w:val="18"/>
        </w:rPr>
        <w:t>One</w:t>
      </w:r>
      <w:r w:rsidRPr="00283806">
        <w:rPr>
          <w:spacing w:val="28"/>
          <w:w w:val="105"/>
          <w:sz w:val="18"/>
        </w:rPr>
        <w:t xml:space="preserve"> </w:t>
      </w:r>
      <w:r w:rsidRPr="00283806">
        <w:rPr>
          <w:w w:val="105"/>
          <w:sz w:val="18"/>
        </w:rPr>
        <w:t>commenter</w:t>
      </w:r>
      <w:r w:rsidRPr="00283806">
        <w:rPr>
          <w:spacing w:val="28"/>
          <w:w w:val="105"/>
          <w:sz w:val="18"/>
        </w:rPr>
        <w:t xml:space="preserve"> </w:t>
      </w:r>
      <w:r w:rsidRPr="00283806">
        <w:rPr>
          <w:spacing w:val="-2"/>
          <w:w w:val="105"/>
          <w:sz w:val="18"/>
        </w:rPr>
        <w:t>expressed</w:t>
      </w:r>
    </w:p>
    <w:p w14:paraId="60E55BCD" w14:textId="77777777" w:rsidR="00D67C1E" w:rsidRPr="00283806" w:rsidRDefault="001265CA">
      <w:pPr>
        <w:pStyle w:val="BodyText"/>
        <w:spacing w:line="228" w:lineRule="auto"/>
        <w:ind w:right="98"/>
      </w:pPr>
      <w:r w:rsidRPr="00283806">
        <w:rPr>
          <w:w w:val="105"/>
        </w:rPr>
        <w:t>support for EPA’s proposal to increase the use of reclaimed and recycled HFCs</w:t>
      </w:r>
    </w:p>
    <w:p w14:paraId="59FFBE02" w14:textId="77777777" w:rsidR="00D67C1E" w:rsidRPr="00283806" w:rsidRDefault="001265CA">
      <w:pPr>
        <w:pStyle w:val="BodyText"/>
        <w:spacing w:before="133" w:line="228" w:lineRule="auto"/>
        <w:ind w:right="17"/>
      </w:pPr>
      <w:r w:rsidRPr="00283806">
        <w:br w:type="column"/>
      </w:r>
      <w:r w:rsidRPr="00283806">
        <w:rPr>
          <w:w w:val="105"/>
        </w:rPr>
        <w:t>in new and existing HFC-containing fire suppression equipment. Some commenters expressed concern with the requirement to use recycled HFCs for</w:t>
      </w:r>
      <w:r w:rsidRPr="00283806">
        <w:rPr>
          <w:spacing w:val="80"/>
          <w:w w:val="105"/>
        </w:rPr>
        <w:t xml:space="preserve"> </w:t>
      </w:r>
      <w:r w:rsidRPr="00283806">
        <w:rPr>
          <w:w w:val="105"/>
        </w:rPr>
        <w:t>the</w:t>
      </w:r>
      <w:r w:rsidRPr="00283806">
        <w:rPr>
          <w:spacing w:val="40"/>
          <w:w w:val="105"/>
        </w:rPr>
        <w:t xml:space="preserve"> </w:t>
      </w:r>
      <w:r w:rsidRPr="00283806">
        <w:rPr>
          <w:w w:val="105"/>
        </w:rPr>
        <w:t>initial</w:t>
      </w:r>
      <w:r w:rsidRPr="00283806">
        <w:rPr>
          <w:spacing w:val="40"/>
          <w:w w:val="105"/>
        </w:rPr>
        <w:t xml:space="preserve"> </w:t>
      </w:r>
      <w:r w:rsidRPr="00283806">
        <w:rPr>
          <w:w w:val="105"/>
        </w:rPr>
        <w:t>installation</w:t>
      </w:r>
      <w:r w:rsidRPr="00283806">
        <w:rPr>
          <w:spacing w:val="40"/>
          <w:w w:val="105"/>
        </w:rPr>
        <w:t xml:space="preserve"> </w:t>
      </w:r>
      <w:r w:rsidRPr="00283806">
        <w:rPr>
          <w:w w:val="105"/>
        </w:rPr>
        <w:t>of</w:t>
      </w:r>
      <w:r w:rsidRPr="00283806">
        <w:rPr>
          <w:spacing w:val="40"/>
          <w:w w:val="105"/>
        </w:rPr>
        <w:t xml:space="preserve"> </w:t>
      </w:r>
      <w:r w:rsidRPr="00283806">
        <w:rPr>
          <w:w w:val="105"/>
        </w:rPr>
        <w:t>fire suppression equipment. One of these commenters stated that the requirement to use recycled HFCs for the first fill of fire suppression equipment should not</w:t>
      </w:r>
      <w:r w:rsidRPr="00283806">
        <w:rPr>
          <w:spacing w:val="40"/>
          <w:w w:val="105"/>
        </w:rPr>
        <w:t xml:space="preserve"> </w:t>
      </w:r>
      <w:r w:rsidRPr="00283806">
        <w:rPr>
          <w:w w:val="105"/>
        </w:rPr>
        <w:t xml:space="preserve">be included in the final rule. The commenter also stated that there is uncertainty </w:t>
      </w:r>
      <w:proofErr w:type="gramStart"/>
      <w:r w:rsidRPr="00283806">
        <w:rPr>
          <w:w w:val="105"/>
        </w:rPr>
        <w:t>in</w:t>
      </w:r>
      <w:proofErr w:type="gramEnd"/>
      <w:r w:rsidRPr="00283806">
        <w:rPr>
          <w:w w:val="105"/>
        </w:rPr>
        <w:t xml:space="preserve"> whether the supply of recycled HFCs will be adequate to serve new and existing equipment. The commenter questioned the appropriateness and necessity of the requirement to use recycled HFCs for</w:t>
      </w:r>
      <w:r w:rsidRPr="00283806">
        <w:rPr>
          <w:spacing w:val="80"/>
          <w:w w:val="105"/>
        </w:rPr>
        <w:t xml:space="preserve"> </w:t>
      </w:r>
      <w:r w:rsidRPr="00283806">
        <w:rPr>
          <w:w w:val="105"/>
        </w:rPr>
        <w:t xml:space="preserve">the initial </w:t>
      </w:r>
      <w:proofErr w:type="gramStart"/>
      <w:r w:rsidRPr="00283806">
        <w:rPr>
          <w:w w:val="105"/>
        </w:rPr>
        <w:t>fill</w:t>
      </w:r>
      <w:proofErr w:type="gramEnd"/>
      <w:r w:rsidRPr="00283806">
        <w:rPr>
          <w:w w:val="105"/>
        </w:rPr>
        <w:t xml:space="preserve"> of fire suppression equipment.</w:t>
      </w:r>
      <w:r w:rsidRPr="00283806">
        <w:rPr>
          <w:spacing w:val="35"/>
          <w:w w:val="105"/>
        </w:rPr>
        <w:t xml:space="preserve"> </w:t>
      </w:r>
      <w:r w:rsidRPr="00283806">
        <w:rPr>
          <w:w w:val="105"/>
        </w:rPr>
        <w:t>Additionally,</w:t>
      </w:r>
      <w:r w:rsidRPr="00283806">
        <w:rPr>
          <w:spacing w:val="35"/>
          <w:w w:val="105"/>
        </w:rPr>
        <w:t xml:space="preserve"> </w:t>
      </w:r>
      <w:r w:rsidRPr="00283806">
        <w:rPr>
          <w:w w:val="105"/>
        </w:rPr>
        <w:t>the</w:t>
      </w:r>
      <w:r w:rsidRPr="00283806">
        <w:rPr>
          <w:spacing w:val="80"/>
          <w:w w:val="105"/>
        </w:rPr>
        <w:t xml:space="preserve"> </w:t>
      </w:r>
      <w:r w:rsidRPr="00283806">
        <w:rPr>
          <w:w w:val="105"/>
        </w:rPr>
        <w:t>commenter stated that during meetings with EPA staff and in the public stakeholder meeting, no indication was given</w:t>
      </w:r>
      <w:r w:rsidRPr="00283806">
        <w:rPr>
          <w:spacing w:val="40"/>
          <w:w w:val="105"/>
        </w:rPr>
        <w:t xml:space="preserve"> </w:t>
      </w:r>
      <w:r w:rsidRPr="00283806">
        <w:rPr>
          <w:w w:val="105"/>
        </w:rPr>
        <w:t>that</w:t>
      </w:r>
      <w:r w:rsidRPr="00283806">
        <w:rPr>
          <w:spacing w:val="40"/>
          <w:w w:val="105"/>
        </w:rPr>
        <w:t xml:space="preserve"> </w:t>
      </w:r>
      <w:proofErr w:type="gramStart"/>
      <w:r w:rsidRPr="00283806">
        <w:rPr>
          <w:w w:val="105"/>
        </w:rPr>
        <w:t>initial</w:t>
      </w:r>
      <w:proofErr w:type="gramEnd"/>
      <w:r w:rsidRPr="00283806">
        <w:rPr>
          <w:spacing w:val="40"/>
          <w:w w:val="105"/>
        </w:rPr>
        <w:t xml:space="preserve"> </w:t>
      </w:r>
      <w:r w:rsidRPr="00283806">
        <w:rPr>
          <w:w w:val="105"/>
        </w:rPr>
        <w:t>fill</w:t>
      </w:r>
      <w:r w:rsidRPr="00283806">
        <w:rPr>
          <w:spacing w:val="40"/>
          <w:w w:val="105"/>
        </w:rPr>
        <w:t xml:space="preserve"> </w:t>
      </w:r>
      <w:r w:rsidRPr="00283806">
        <w:rPr>
          <w:w w:val="105"/>
        </w:rPr>
        <w:t>of</w:t>
      </w:r>
      <w:r w:rsidRPr="00283806">
        <w:rPr>
          <w:spacing w:val="40"/>
          <w:w w:val="105"/>
        </w:rPr>
        <w:t xml:space="preserve"> </w:t>
      </w:r>
      <w:r w:rsidRPr="00283806">
        <w:rPr>
          <w:w w:val="105"/>
        </w:rPr>
        <w:t>equipment would be regulated in this rule, as the commenter understood that the technology transition section of the AIM Act was the appropriate place for such proposed regulations.</w:t>
      </w:r>
    </w:p>
    <w:p w14:paraId="43293A34" w14:textId="77777777" w:rsidR="00D67C1E" w:rsidRPr="00283806" w:rsidRDefault="001265CA">
      <w:pPr>
        <w:pStyle w:val="BodyText"/>
        <w:spacing w:before="27" w:line="228" w:lineRule="auto"/>
        <w:ind w:right="53" w:firstLine="180"/>
      </w:pPr>
      <w:r w:rsidRPr="00283806">
        <w:rPr>
          <w:w w:val="105"/>
        </w:rPr>
        <w:t>Another commenter stated that the proposed requirement to use only recycled HFCs for the initial fill is not supported based on the historical</w:t>
      </w:r>
      <w:r w:rsidRPr="00283806">
        <w:rPr>
          <w:spacing w:val="80"/>
          <w:w w:val="105"/>
        </w:rPr>
        <w:t xml:space="preserve"> </w:t>
      </w:r>
      <w:r w:rsidRPr="00283806">
        <w:rPr>
          <w:w w:val="105"/>
        </w:rPr>
        <w:t>success of halon recycling. The commenter stated that the current market for clean agent fire systems and the need for virgin HFCs are very different from the historical halon market. The commenter stated that they are a contributor to this success and suggested that EPA should not equate</w:t>
      </w:r>
      <w:r w:rsidRPr="00283806">
        <w:rPr>
          <w:spacing w:val="80"/>
          <w:w w:val="105"/>
        </w:rPr>
        <w:t xml:space="preserve"> </w:t>
      </w:r>
      <w:r w:rsidRPr="00283806">
        <w:rPr>
          <w:w w:val="105"/>
        </w:rPr>
        <w:t>the current HFC market with that of</w:t>
      </w:r>
      <w:r w:rsidRPr="00283806">
        <w:rPr>
          <w:spacing w:val="40"/>
          <w:w w:val="105"/>
        </w:rPr>
        <w:t xml:space="preserve"> </w:t>
      </w:r>
      <w:r w:rsidRPr="00283806">
        <w:rPr>
          <w:w w:val="105"/>
        </w:rPr>
        <w:t>halon given important differences between halons and HFCs and their use patterns. Specifically, the commenter stated that recycled halon has been</w:t>
      </w:r>
      <w:r w:rsidRPr="00283806">
        <w:rPr>
          <w:spacing w:val="80"/>
          <w:w w:val="105"/>
        </w:rPr>
        <w:t xml:space="preserve"> </w:t>
      </w:r>
      <w:r w:rsidRPr="00283806">
        <w:rPr>
          <w:w w:val="105"/>
        </w:rPr>
        <w:t>made available for redeployment by a steady system of replacement with HFCs on a comparable performance basis, while current non-HFC replacement fire technologies</w:t>
      </w:r>
      <w:r w:rsidRPr="00283806">
        <w:rPr>
          <w:spacing w:val="40"/>
          <w:w w:val="105"/>
        </w:rPr>
        <w:t xml:space="preserve"> </w:t>
      </w:r>
      <w:r w:rsidRPr="00283806">
        <w:rPr>
          <w:w w:val="105"/>
        </w:rPr>
        <w:t>provide</w:t>
      </w:r>
      <w:r w:rsidRPr="00283806">
        <w:rPr>
          <w:spacing w:val="40"/>
          <w:w w:val="105"/>
        </w:rPr>
        <w:t xml:space="preserve"> </w:t>
      </w:r>
      <w:r w:rsidRPr="00283806">
        <w:rPr>
          <w:w w:val="105"/>
        </w:rPr>
        <w:t>many</w:t>
      </w:r>
      <w:r w:rsidRPr="00283806">
        <w:rPr>
          <w:spacing w:val="40"/>
          <w:w w:val="105"/>
        </w:rPr>
        <w:t xml:space="preserve"> </w:t>
      </w:r>
      <w:r w:rsidRPr="00283806">
        <w:rPr>
          <w:w w:val="105"/>
        </w:rPr>
        <w:t>challenges to comparable replacement, extending the lifetime for HFC fire systems to remain in place, and reducing the availability of material to be recycled.</w:t>
      </w:r>
    </w:p>
    <w:p w14:paraId="1FAAB0D0" w14:textId="77777777" w:rsidR="00D67C1E" w:rsidRPr="00283806" w:rsidRDefault="001265CA">
      <w:pPr>
        <w:pStyle w:val="BodyText"/>
        <w:spacing w:line="184" w:lineRule="exact"/>
      </w:pPr>
      <w:r w:rsidRPr="00283806">
        <w:rPr>
          <w:w w:val="105"/>
        </w:rPr>
        <w:t>The</w:t>
      </w:r>
      <w:r w:rsidRPr="00283806">
        <w:rPr>
          <w:spacing w:val="12"/>
          <w:w w:val="105"/>
        </w:rPr>
        <w:t xml:space="preserve"> </w:t>
      </w:r>
      <w:r w:rsidRPr="00283806">
        <w:rPr>
          <w:w w:val="105"/>
        </w:rPr>
        <w:t>commenter</w:t>
      </w:r>
      <w:r w:rsidRPr="00283806">
        <w:rPr>
          <w:spacing w:val="12"/>
          <w:w w:val="105"/>
        </w:rPr>
        <w:t xml:space="preserve"> </w:t>
      </w:r>
      <w:r w:rsidRPr="00283806">
        <w:rPr>
          <w:w w:val="105"/>
        </w:rPr>
        <w:t>also</w:t>
      </w:r>
      <w:r w:rsidRPr="00283806">
        <w:rPr>
          <w:spacing w:val="12"/>
          <w:w w:val="105"/>
        </w:rPr>
        <w:t xml:space="preserve"> </w:t>
      </w:r>
      <w:r w:rsidRPr="00283806">
        <w:rPr>
          <w:w w:val="105"/>
        </w:rPr>
        <w:t>maintained</w:t>
      </w:r>
      <w:r w:rsidRPr="00283806">
        <w:rPr>
          <w:spacing w:val="12"/>
          <w:w w:val="105"/>
        </w:rPr>
        <w:t xml:space="preserve"> </w:t>
      </w:r>
      <w:r w:rsidRPr="00283806">
        <w:rPr>
          <w:spacing w:val="-4"/>
          <w:w w:val="105"/>
        </w:rPr>
        <w:t>that</w:t>
      </w:r>
    </w:p>
    <w:p w14:paraId="724DDFD2" w14:textId="77777777" w:rsidR="00D67C1E" w:rsidRPr="00283806" w:rsidRDefault="001265CA">
      <w:pPr>
        <w:pStyle w:val="BodyText"/>
        <w:spacing w:before="3" w:line="228" w:lineRule="auto"/>
        <w:ind w:right="88"/>
      </w:pPr>
      <w:r w:rsidRPr="00283806">
        <w:rPr>
          <w:w w:val="105"/>
        </w:rPr>
        <w:t>installed halon systems are significantly older than HFC systems, and that the accelerated changes in facilities and technologies being protected make</w:t>
      </w:r>
      <w:r w:rsidRPr="00283806">
        <w:rPr>
          <w:spacing w:val="80"/>
          <w:w w:val="105"/>
        </w:rPr>
        <w:t xml:space="preserve"> </w:t>
      </w:r>
      <w:r w:rsidRPr="00283806">
        <w:rPr>
          <w:w w:val="105"/>
        </w:rPr>
        <w:t>many of these halon installations obsolete, providing sufficient stocks for recycling. The commenter provided an example that shipbreaking of aged vessels is a significant halon source for which there is no HFC equivalent.</w:t>
      </w:r>
    </w:p>
    <w:p w14:paraId="30906756" w14:textId="77777777" w:rsidR="00D67C1E" w:rsidRPr="00283806" w:rsidRDefault="001265CA">
      <w:pPr>
        <w:pStyle w:val="BodyText"/>
        <w:spacing w:line="228" w:lineRule="auto"/>
        <w:ind w:right="57"/>
      </w:pPr>
      <w:r w:rsidRPr="00283806">
        <w:rPr>
          <w:w w:val="105"/>
        </w:rPr>
        <w:t>Additionally, the commenter stated that halon recovery and recycling is active and viable on a global basis and the</w:t>
      </w:r>
    </w:p>
    <w:p w14:paraId="2ED92563" w14:textId="77777777" w:rsidR="00D67C1E" w:rsidRPr="00283806" w:rsidRDefault="001265CA">
      <w:pPr>
        <w:pStyle w:val="BodyText"/>
        <w:spacing w:before="134" w:line="225" w:lineRule="auto"/>
        <w:ind w:left="144" w:right="290"/>
      </w:pPr>
      <w:r w:rsidRPr="00283806">
        <w:br w:type="column"/>
      </w:r>
      <w:r w:rsidRPr="00283806">
        <w:rPr>
          <w:w w:val="110"/>
        </w:rPr>
        <w:t xml:space="preserve">United States receives significant </w:t>
      </w:r>
      <w:r w:rsidRPr="00283806">
        <w:t>quantities of halon from non-domestic</w:t>
      </w:r>
      <w:r w:rsidRPr="00283806">
        <w:rPr>
          <w:spacing w:val="40"/>
          <w:w w:val="110"/>
        </w:rPr>
        <w:t xml:space="preserve"> </w:t>
      </w:r>
      <w:r w:rsidRPr="00283806">
        <w:rPr>
          <w:w w:val="110"/>
        </w:rPr>
        <w:t>sources,</w:t>
      </w:r>
      <w:r w:rsidRPr="00283806">
        <w:rPr>
          <w:spacing w:val="-9"/>
          <w:w w:val="110"/>
        </w:rPr>
        <w:t xml:space="preserve"> </w:t>
      </w:r>
      <w:r w:rsidRPr="00283806">
        <w:rPr>
          <w:w w:val="110"/>
        </w:rPr>
        <w:t>while</w:t>
      </w:r>
      <w:r w:rsidRPr="00283806">
        <w:rPr>
          <w:spacing w:val="-9"/>
          <w:w w:val="110"/>
        </w:rPr>
        <w:t xml:space="preserve"> </w:t>
      </w:r>
      <w:r w:rsidRPr="00283806">
        <w:rPr>
          <w:w w:val="110"/>
        </w:rPr>
        <w:t>non-domestic</w:t>
      </w:r>
      <w:r w:rsidRPr="00283806">
        <w:rPr>
          <w:spacing w:val="-9"/>
          <w:w w:val="110"/>
        </w:rPr>
        <w:t xml:space="preserve"> </w:t>
      </w:r>
      <w:r w:rsidRPr="00283806">
        <w:rPr>
          <w:w w:val="110"/>
        </w:rPr>
        <w:t>HFCs</w:t>
      </w:r>
      <w:r w:rsidRPr="00283806">
        <w:rPr>
          <w:spacing w:val="-9"/>
          <w:w w:val="110"/>
        </w:rPr>
        <w:t xml:space="preserve"> </w:t>
      </w:r>
      <w:r w:rsidRPr="00283806">
        <w:rPr>
          <w:w w:val="110"/>
        </w:rPr>
        <w:t xml:space="preserve">for recycling will require AIM Act allowances limiting their viability to </w:t>
      </w:r>
      <w:r w:rsidRPr="00283806">
        <w:rPr>
          <w:spacing w:val="-2"/>
          <w:w w:val="110"/>
        </w:rPr>
        <w:t>relocate</w:t>
      </w:r>
      <w:r w:rsidRPr="00283806">
        <w:rPr>
          <w:spacing w:val="-5"/>
          <w:w w:val="110"/>
        </w:rPr>
        <w:t xml:space="preserve"> </w:t>
      </w:r>
      <w:r w:rsidRPr="00283806">
        <w:rPr>
          <w:spacing w:val="-2"/>
          <w:w w:val="110"/>
        </w:rPr>
        <w:t>to</w:t>
      </w:r>
      <w:r w:rsidRPr="00283806">
        <w:rPr>
          <w:spacing w:val="-5"/>
          <w:w w:val="110"/>
        </w:rPr>
        <w:t xml:space="preserve"> </w:t>
      </w:r>
      <w:r w:rsidRPr="00283806">
        <w:rPr>
          <w:spacing w:val="-2"/>
          <w:w w:val="110"/>
        </w:rPr>
        <w:t>the</w:t>
      </w:r>
      <w:r w:rsidRPr="00283806">
        <w:rPr>
          <w:spacing w:val="-5"/>
          <w:w w:val="110"/>
        </w:rPr>
        <w:t xml:space="preserve"> </w:t>
      </w:r>
      <w:r w:rsidRPr="00283806">
        <w:rPr>
          <w:spacing w:val="-2"/>
          <w:w w:val="110"/>
        </w:rPr>
        <w:t>U.S.</w:t>
      </w:r>
      <w:r w:rsidRPr="00283806">
        <w:rPr>
          <w:spacing w:val="-5"/>
          <w:w w:val="110"/>
        </w:rPr>
        <w:t xml:space="preserve"> </w:t>
      </w:r>
      <w:r w:rsidRPr="00283806">
        <w:rPr>
          <w:spacing w:val="-2"/>
          <w:w w:val="110"/>
        </w:rPr>
        <w:t>market,</w:t>
      </w:r>
      <w:r w:rsidRPr="00283806">
        <w:rPr>
          <w:spacing w:val="-5"/>
          <w:w w:val="110"/>
        </w:rPr>
        <w:t xml:space="preserve"> </w:t>
      </w:r>
      <w:r w:rsidRPr="00283806">
        <w:rPr>
          <w:spacing w:val="-2"/>
          <w:w w:val="110"/>
        </w:rPr>
        <w:t>requiring</w:t>
      </w:r>
      <w:r w:rsidRPr="00283806">
        <w:rPr>
          <w:spacing w:val="-5"/>
          <w:w w:val="110"/>
        </w:rPr>
        <w:t xml:space="preserve"> </w:t>
      </w:r>
      <w:r w:rsidRPr="00283806">
        <w:rPr>
          <w:spacing w:val="-2"/>
          <w:w w:val="110"/>
        </w:rPr>
        <w:t xml:space="preserve">a </w:t>
      </w:r>
      <w:r w:rsidRPr="00283806">
        <w:rPr>
          <w:w w:val="110"/>
        </w:rPr>
        <w:t xml:space="preserve">domestic bank of installed HFC to </w:t>
      </w:r>
      <w:r w:rsidRPr="00283806">
        <w:t>support requirements for both service</w:t>
      </w:r>
      <w:r w:rsidRPr="00283806">
        <w:rPr>
          <w:w w:val="110"/>
        </w:rPr>
        <w:t xml:space="preserve"> and new systems. However, the commenter</w:t>
      </w:r>
      <w:r w:rsidRPr="00283806">
        <w:rPr>
          <w:spacing w:val="-4"/>
          <w:w w:val="110"/>
        </w:rPr>
        <w:t xml:space="preserve"> </w:t>
      </w:r>
      <w:r w:rsidRPr="00283806">
        <w:rPr>
          <w:w w:val="110"/>
        </w:rPr>
        <w:t>stated</w:t>
      </w:r>
      <w:r w:rsidRPr="00283806">
        <w:rPr>
          <w:spacing w:val="-4"/>
          <w:w w:val="110"/>
        </w:rPr>
        <w:t xml:space="preserve"> </w:t>
      </w:r>
      <w:r w:rsidRPr="00283806">
        <w:rPr>
          <w:w w:val="110"/>
        </w:rPr>
        <w:t>that</w:t>
      </w:r>
      <w:r w:rsidRPr="00283806">
        <w:rPr>
          <w:spacing w:val="-4"/>
          <w:w w:val="110"/>
        </w:rPr>
        <w:t xml:space="preserve"> </w:t>
      </w:r>
      <w:r w:rsidRPr="00283806">
        <w:rPr>
          <w:w w:val="110"/>
        </w:rPr>
        <w:t>most</w:t>
      </w:r>
      <w:r w:rsidRPr="00283806">
        <w:rPr>
          <w:spacing w:val="-4"/>
          <w:w w:val="110"/>
        </w:rPr>
        <w:t xml:space="preserve"> </w:t>
      </w:r>
      <w:r w:rsidRPr="00283806">
        <w:rPr>
          <w:w w:val="110"/>
        </w:rPr>
        <w:t>installed HFC</w:t>
      </w:r>
      <w:r w:rsidRPr="00283806">
        <w:rPr>
          <w:spacing w:val="-11"/>
          <w:w w:val="110"/>
        </w:rPr>
        <w:t xml:space="preserve"> </w:t>
      </w:r>
      <w:r w:rsidRPr="00283806">
        <w:rPr>
          <w:w w:val="110"/>
        </w:rPr>
        <w:t>fire</w:t>
      </w:r>
      <w:r w:rsidRPr="00283806">
        <w:rPr>
          <w:spacing w:val="-11"/>
          <w:w w:val="110"/>
        </w:rPr>
        <w:t xml:space="preserve"> </w:t>
      </w:r>
      <w:r w:rsidRPr="00283806">
        <w:rPr>
          <w:w w:val="110"/>
        </w:rPr>
        <w:t>systems</w:t>
      </w:r>
      <w:r w:rsidRPr="00283806">
        <w:rPr>
          <w:spacing w:val="-11"/>
          <w:w w:val="110"/>
        </w:rPr>
        <w:t xml:space="preserve"> </w:t>
      </w:r>
      <w:r w:rsidRPr="00283806">
        <w:rPr>
          <w:w w:val="110"/>
        </w:rPr>
        <w:t>are</w:t>
      </w:r>
      <w:r w:rsidRPr="00283806">
        <w:rPr>
          <w:spacing w:val="-11"/>
          <w:w w:val="110"/>
        </w:rPr>
        <w:t xml:space="preserve"> </w:t>
      </w:r>
      <w:r w:rsidRPr="00283806">
        <w:rPr>
          <w:w w:val="110"/>
        </w:rPr>
        <w:t>protecting</w:t>
      </w:r>
      <w:r w:rsidRPr="00283806">
        <w:rPr>
          <w:spacing w:val="-11"/>
          <w:w w:val="110"/>
        </w:rPr>
        <w:t xml:space="preserve"> </w:t>
      </w:r>
      <w:r w:rsidRPr="00283806">
        <w:rPr>
          <w:w w:val="110"/>
        </w:rPr>
        <w:t>viable ongoing facilities with no anticipated need</w:t>
      </w:r>
      <w:r w:rsidRPr="00283806">
        <w:rPr>
          <w:spacing w:val="-11"/>
          <w:w w:val="110"/>
        </w:rPr>
        <w:t xml:space="preserve"> </w:t>
      </w:r>
      <w:r w:rsidRPr="00283806">
        <w:rPr>
          <w:w w:val="110"/>
        </w:rPr>
        <w:t>to</w:t>
      </w:r>
      <w:r w:rsidRPr="00283806">
        <w:rPr>
          <w:spacing w:val="-11"/>
          <w:w w:val="110"/>
        </w:rPr>
        <w:t xml:space="preserve"> </w:t>
      </w:r>
      <w:r w:rsidRPr="00283806">
        <w:rPr>
          <w:w w:val="110"/>
        </w:rPr>
        <w:t>convert</w:t>
      </w:r>
      <w:r w:rsidRPr="00283806">
        <w:rPr>
          <w:spacing w:val="-11"/>
          <w:w w:val="110"/>
        </w:rPr>
        <w:t xml:space="preserve"> </w:t>
      </w:r>
      <w:r w:rsidRPr="00283806">
        <w:rPr>
          <w:w w:val="110"/>
        </w:rPr>
        <w:t>or</w:t>
      </w:r>
      <w:r w:rsidRPr="00283806">
        <w:rPr>
          <w:spacing w:val="-11"/>
          <w:w w:val="110"/>
        </w:rPr>
        <w:t xml:space="preserve"> </w:t>
      </w:r>
      <w:r w:rsidRPr="00283806">
        <w:rPr>
          <w:w w:val="110"/>
        </w:rPr>
        <w:t>retrofit</w:t>
      </w:r>
      <w:r w:rsidRPr="00283806">
        <w:rPr>
          <w:spacing w:val="-11"/>
          <w:w w:val="110"/>
        </w:rPr>
        <w:t xml:space="preserve"> </w:t>
      </w:r>
      <w:r w:rsidRPr="00283806">
        <w:rPr>
          <w:w w:val="110"/>
        </w:rPr>
        <w:t>to</w:t>
      </w:r>
      <w:r w:rsidRPr="00283806">
        <w:rPr>
          <w:spacing w:val="-11"/>
          <w:w w:val="110"/>
        </w:rPr>
        <w:t xml:space="preserve"> </w:t>
      </w:r>
      <w:r w:rsidRPr="00283806">
        <w:rPr>
          <w:w w:val="110"/>
        </w:rPr>
        <w:t>alternate technologies, reducing the available resource bank.</w:t>
      </w:r>
    </w:p>
    <w:p w14:paraId="5B7C03F5" w14:textId="77777777" w:rsidR="00D67C1E" w:rsidRPr="00283806" w:rsidRDefault="001265CA">
      <w:pPr>
        <w:spacing w:line="180" w:lineRule="exact"/>
        <w:ind w:left="324"/>
        <w:rPr>
          <w:sz w:val="18"/>
        </w:rPr>
      </w:pPr>
      <w:r w:rsidRPr="00283806">
        <w:rPr>
          <w:rFonts w:ascii="Book Antiqua"/>
          <w:i/>
          <w:w w:val="105"/>
          <w:sz w:val="18"/>
        </w:rPr>
        <w:t>Response:</w:t>
      </w:r>
      <w:r w:rsidRPr="00283806">
        <w:rPr>
          <w:rFonts w:ascii="Book Antiqua"/>
          <w:i/>
          <w:spacing w:val="18"/>
          <w:w w:val="105"/>
          <w:sz w:val="18"/>
        </w:rPr>
        <w:t xml:space="preserve"> </w:t>
      </w:r>
      <w:r w:rsidRPr="00283806">
        <w:rPr>
          <w:w w:val="105"/>
          <w:sz w:val="18"/>
        </w:rPr>
        <w:t>In</w:t>
      </w:r>
      <w:r w:rsidRPr="00283806">
        <w:rPr>
          <w:spacing w:val="25"/>
          <w:w w:val="105"/>
          <w:sz w:val="18"/>
        </w:rPr>
        <w:t xml:space="preserve"> </w:t>
      </w:r>
      <w:r w:rsidRPr="00283806">
        <w:rPr>
          <w:w w:val="105"/>
          <w:sz w:val="18"/>
        </w:rPr>
        <w:t>response</w:t>
      </w:r>
      <w:r w:rsidRPr="00283806">
        <w:rPr>
          <w:spacing w:val="24"/>
          <w:w w:val="105"/>
          <w:sz w:val="18"/>
        </w:rPr>
        <w:t xml:space="preserve"> </w:t>
      </w:r>
      <w:r w:rsidRPr="00283806">
        <w:rPr>
          <w:w w:val="105"/>
          <w:sz w:val="18"/>
        </w:rPr>
        <w:t>to</w:t>
      </w:r>
      <w:r w:rsidRPr="00283806">
        <w:rPr>
          <w:spacing w:val="24"/>
          <w:w w:val="105"/>
          <w:sz w:val="18"/>
        </w:rPr>
        <w:t xml:space="preserve"> </w:t>
      </w:r>
      <w:r w:rsidRPr="00283806">
        <w:rPr>
          <w:spacing w:val="-5"/>
          <w:w w:val="105"/>
          <w:sz w:val="18"/>
        </w:rPr>
        <w:t>the</w:t>
      </w:r>
    </w:p>
    <w:p w14:paraId="3FB0A24C" w14:textId="77777777" w:rsidR="00D67C1E" w:rsidRPr="00283806" w:rsidRDefault="001265CA">
      <w:pPr>
        <w:pStyle w:val="BodyText"/>
        <w:spacing w:line="225" w:lineRule="auto"/>
        <w:ind w:left="144" w:right="121"/>
      </w:pPr>
      <w:r w:rsidRPr="00283806">
        <w:rPr>
          <w:spacing w:val="-2"/>
          <w:w w:val="110"/>
        </w:rPr>
        <w:t>comment’s</w:t>
      </w:r>
      <w:r w:rsidRPr="00283806">
        <w:rPr>
          <w:spacing w:val="-4"/>
          <w:w w:val="110"/>
        </w:rPr>
        <w:t xml:space="preserve"> </w:t>
      </w:r>
      <w:r w:rsidRPr="00283806">
        <w:rPr>
          <w:spacing w:val="-2"/>
          <w:w w:val="110"/>
        </w:rPr>
        <w:t>assertions</w:t>
      </w:r>
      <w:r w:rsidRPr="00283806">
        <w:rPr>
          <w:spacing w:val="-4"/>
          <w:w w:val="110"/>
        </w:rPr>
        <w:t xml:space="preserve"> </w:t>
      </w:r>
      <w:r w:rsidRPr="00283806">
        <w:rPr>
          <w:spacing w:val="-2"/>
          <w:w w:val="110"/>
        </w:rPr>
        <w:t>that</w:t>
      </w:r>
      <w:r w:rsidRPr="00283806">
        <w:rPr>
          <w:spacing w:val="-4"/>
          <w:w w:val="110"/>
        </w:rPr>
        <w:t xml:space="preserve"> </w:t>
      </w:r>
      <w:r w:rsidRPr="00283806">
        <w:rPr>
          <w:spacing w:val="-2"/>
          <w:w w:val="110"/>
        </w:rPr>
        <w:t>there</w:t>
      </w:r>
      <w:r w:rsidRPr="00283806">
        <w:rPr>
          <w:spacing w:val="-4"/>
          <w:w w:val="110"/>
        </w:rPr>
        <w:t xml:space="preserve"> </w:t>
      </w:r>
      <w:r w:rsidRPr="00283806">
        <w:rPr>
          <w:spacing w:val="-2"/>
          <w:w w:val="110"/>
        </w:rPr>
        <w:t>was</w:t>
      </w:r>
      <w:r w:rsidRPr="00283806">
        <w:rPr>
          <w:spacing w:val="-4"/>
          <w:w w:val="110"/>
        </w:rPr>
        <w:t xml:space="preserve"> </w:t>
      </w:r>
      <w:r w:rsidRPr="00283806">
        <w:rPr>
          <w:spacing w:val="-2"/>
          <w:w w:val="110"/>
        </w:rPr>
        <w:t xml:space="preserve">no </w:t>
      </w:r>
      <w:r w:rsidRPr="00283806">
        <w:rPr>
          <w:w w:val="110"/>
        </w:rPr>
        <w:t>notice</w:t>
      </w:r>
      <w:r w:rsidRPr="00283806">
        <w:rPr>
          <w:spacing w:val="-11"/>
          <w:w w:val="110"/>
        </w:rPr>
        <w:t xml:space="preserve"> </w:t>
      </w:r>
      <w:r w:rsidRPr="00283806">
        <w:rPr>
          <w:w w:val="110"/>
        </w:rPr>
        <w:t>in</w:t>
      </w:r>
      <w:r w:rsidRPr="00283806">
        <w:rPr>
          <w:spacing w:val="-11"/>
          <w:w w:val="110"/>
        </w:rPr>
        <w:t xml:space="preserve"> </w:t>
      </w:r>
      <w:r w:rsidRPr="00283806">
        <w:rPr>
          <w:w w:val="110"/>
        </w:rPr>
        <w:t>public</w:t>
      </w:r>
      <w:r w:rsidRPr="00283806">
        <w:rPr>
          <w:spacing w:val="-11"/>
          <w:w w:val="110"/>
        </w:rPr>
        <w:t xml:space="preserve"> </w:t>
      </w:r>
      <w:r w:rsidRPr="00283806">
        <w:rPr>
          <w:w w:val="110"/>
        </w:rPr>
        <w:t>meetings</w:t>
      </w:r>
      <w:r w:rsidRPr="00283806">
        <w:rPr>
          <w:spacing w:val="-11"/>
          <w:w w:val="110"/>
        </w:rPr>
        <w:t xml:space="preserve"> </w:t>
      </w:r>
      <w:r w:rsidRPr="00283806">
        <w:rPr>
          <w:w w:val="110"/>
        </w:rPr>
        <w:t>of</w:t>
      </w:r>
      <w:r w:rsidRPr="00283806">
        <w:rPr>
          <w:spacing w:val="-11"/>
          <w:w w:val="110"/>
        </w:rPr>
        <w:t xml:space="preserve"> </w:t>
      </w:r>
      <w:r w:rsidRPr="00283806">
        <w:rPr>
          <w:w w:val="110"/>
        </w:rPr>
        <w:t>an</w:t>
      </w:r>
      <w:r w:rsidRPr="00283806">
        <w:rPr>
          <w:spacing w:val="-11"/>
          <w:w w:val="110"/>
        </w:rPr>
        <w:t xml:space="preserve"> </w:t>
      </w:r>
      <w:r w:rsidRPr="00283806">
        <w:rPr>
          <w:w w:val="110"/>
        </w:rPr>
        <w:t>intent</w:t>
      </w:r>
      <w:r w:rsidRPr="00283806">
        <w:rPr>
          <w:spacing w:val="-10"/>
          <w:w w:val="110"/>
        </w:rPr>
        <w:t xml:space="preserve"> </w:t>
      </w:r>
      <w:r w:rsidRPr="00283806">
        <w:rPr>
          <w:w w:val="110"/>
        </w:rPr>
        <w:t xml:space="preserve">to cover initial </w:t>
      </w:r>
      <w:proofErr w:type="gramStart"/>
      <w:r w:rsidRPr="00283806">
        <w:rPr>
          <w:w w:val="110"/>
        </w:rPr>
        <w:t>fill</w:t>
      </w:r>
      <w:proofErr w:type="gramEnd"/>
      <w:r w:rsidRPr="00283806">
        <w:rPr>
          <w:w w:val="110"/>
        </w:rPr>
        <w:t xml:space="preserve"> or installation, EPA notes that the proposed rule provided notification</w:t>
      </w:r>
      <w:r w:rsidRPr="00283806">
        <w:rPr>
          <w:spacing w:val="-11"/>
          <w:w w:val="110"/>
        </w:rPr>
        <w:t xml:space="preserve"> </w:t>
      </w:r>
      <w:r w:rsidRPr="00283806">
        <w:rPr>
          <w:w w:val="110"/>
        </w:rPr>
        <w:t>of</w:t>
      </w:r>
      <w:r w:rsidRPr="00283806">
        <w:rPr>
          <w:spacing w:val="-11"/>
          <w:w w:val="110"/>
        </w:rPr>
        <w:t xml:space="preserve"> </w:t>
      </w:r>
      <w:r w:rsidRPr="00283806">
        <w:rPr>
          <w:w w:val="110"/>
        </w:rPr>
        <w:t>the</w:t>
      </w:r>
      <w:r w:rsidRPr="00283806">
        <w:rPr>
          <w:spacing w:val="-11"/>
          <w:w w:val="110"/>
        </w:rPr>
        <w:t xml:space="preserve"> </w:t>
      </w:r>
      <w:r w:rsidRPr="00283806">
        <w:rPr>
          <w:w w:val="110"/>
        </w:rPr>
        <w:t>Agency’s</w:t>
      </w:r>
      <w:r w:rsidRPr="00283806">
        <w:rPr>
          <w:spacing w:val="-11"/>
          <w:w w:val="110"/>
        </w:rPr>
        <w:t xml:space="preserve"> </w:t>
      </w:r>
      <w:r w:rsidRPr="00283806">
        <w:rPr>
          <w:w w:val="110"/>
        </w:rPr>
        <w:t>intention</w:t>
      </w:r>
      <w:r w:rsidRPr="00283806">
        <w:rPr>
          <w:spacing w:val="-11"/>
          <w:w w:val="110"/>
        </w:rPr>
        <w:t xml:space="preserve"> </w:t>
      </w:r>
      <w:r w:rsidRPr="00283806">
        <w:rPr>
          <w:w w:val="110"/>
        </w:rPr>
        <w:t>to include both initial installation and servicing requirements (88 FR 72216,</w:t>
      </w:r>
    </w:p>
    <w:p w14:paraId="764F24B5" w14:textId="77777777" w:rsidR="00D67C1E" w:rsidRPr="00283806" w:rsidRDefault="001265CA">
      <w:pPr>
        <w:pStyle w:val="BodyText"/>
        <w:spacing w:line="225" w:lineRule="auto"/>
        <w:ind w:left="144" w:right="151"/>
      </w:pPr>
      <w:r w:rsidRPr="00283806">
        <w:rPr>
          <w:w w:val="105"/>
        </w:rPr>
        <w:t>October 19, 2023). EPA disagrees with the commenter’s assertion that it should not draw parallels between the experience with recycled halons and</w:t>
      </w:r>
      <w:r w:rsidRPr="00283806">
        <w:rPr>
          <w:spacing w:val="40"/>
          <w:w w:val="105"/>
        </w:rPr>
        <w:t xml:space="preserve"> </w:t>
      </w:r>
      <w:r w:rsidRPr="00283806">
        <w:rPr>
          <w:w w:val="105"/>
        </w:rPr>
        <w:t>with</w:t>
      </w:r>
      <w:r w:rsidRPr="00283806">
        <w:rPr>
          <w:spacing w:val="40"/>
          <w:w w:val="105"/>
        </w:rPr>
        <w:t xml:space="preserve"> </w:t>
      </w:r>
      <w:r w:rsidRPr="00283806">
        <w:rPr>
          <w:w w:val="105"/>
        </w:rPr>
        <w:t>recycled</w:t>
      </w:r>
      <w:r w:rsidRPr="00283806">
        <w:rPr>
          <w:spacing w:val="40"/>
          <w:w w:val="105"/>
        </w:rPr>
        <w:t xml:space="preserve"> </w:t>
      </w:r>
      <w:r w:rsidRPr="00283806">
        <w:rPr>
          <w:w w:val="105"/>
        </w:rPr>
        <w:t>HFCs.</w:t>
      </w:r>
      <w:r w:rsidRPr="00283806">
        <w:rPr>
          <w:spacing w:val="40"/>
          <w:w w:val="105"/>
        </w:rPr>
        <w:t xml:space="preserve"> </w:t>
      </w:r>
      <w:r w:rsidRPr="00283806">
        <w:rPr>
          <w:w w:val="105"/>
        </w:rPr>
        <w:t>There</w:t>
      </w:r>
      <w:r w:rsidRPr="00283806">
        <w:rPr>
          <w:spacing w:val="40"/>
          <w:w w:val="105"/>
        </w:rPr>
        <w:t xml:space="preserve"> </w:t>
      </w:r>
      <w:r w:rsidRPr="00283806">
        <w:rPr>
          <w:w w:val="105"/>
        </w:rPr>
        <w:t>are numerous similarities between the use</w:t>
      </w:r>
      <w:r w:rsidRPr="00283806">
        <w:rPr>
          <w:spacing w:val="40"/>
          <w:w w:val="105"/>
        </w:rPr>
        <w:t xml:space="preserve"> </w:t>
      </w:r>
      <w:r w:rsidRPr="00283806">
        <w:rPr>
          <w:w w:val="105"/>
        </w:rPr>
        <w:t>of halons and the use of HFCs for fire suppression. This includes the supply chain, the types of applications and equipment, and general industry practices. Recycled halon is still</w:t>
      </w:r>
      <w:r w:rsidRPr="00283806">
        <w:rPr>
          <w:spacing w:val="80"/>
          <w:w w:val="105"/>
        </w:rPr>
        <w:t xml:space="preserve"> </w:t>
      </w:r>
      <w:r w:rsidRPr="00283806">
        <w:rPr>
          <w:w w:val="105"/>
        </w:rPr>
        <w:t>available today, 30 years after the</w:t>
      </w:r>
      <w:r w:rsidRPr="00283806">
        <w:rPr>
          <w:spacing w:val="80"/>
          <w:w w:val="105"/>
        </w:rPr>
        <w:t xml:space="preserve"> </w:t>
      </w:r>
      <w:r w:rsidRPr="00283806">
        <w:rPr>
          <w:w w:val="105"/>
        </w:rPr>
        <w:t>United States phased out production</w:t>
      </w:r>
      <w:r w:rsidRPr="00283806">
        <w:rPr>
          <w:spacing w:val="80"/>
          <w:w w:val="150"/>
        </w:rPr>
        <w:t xml:space="preserve"> </w:t>
      </w:r>
      <w:r w:rsidRPr="00283806">
        <w:rPr>
          <w:w w:val="105"/>
        </w:rPr>
        <w:t>and consumption of halons. It is this experience, since the phaseout of the halons in 1994, that demonstrates the important role recovery and recycling of fire suppression agents can play by providing an ongoing supply of HFCs in fire suppression applications especially where other substitutes may not be suitable. EPA understands that this</w:t>
      </w:r>
      <w:r w:rsidRPr="00283806">
        <w:rPr>
          <w:spacing w:val="40"/>
          <w:w w:val="105"/>
        </w:rPr>
        <w:t xml:space="preserve"> </w:t>
      </w:r>
      <w:r w:rsidRPr="00283806">
        <w:rPr>
          <w:w w:val="105"/>
        </w:rPr>
        <w:t>model has carried over on a voluntary basis to the management of HFCs by many in the fire suppression sector.</w:t>
      </w:r>
    </w:p>
    <w:p w14:paraId="5540318F" w14:textId="77777777" w:rsidR="00D67C1E" w:rsidRPr="00283806" w:rsidRDefault="001265CA">
      <w:pPr>
        <w:pStyle w:val="BodyText"/>
        <w:spacing w:line="171" w:lineRule="exact"/>
        <w:ind w:left="324"/>
      </w:pPr>
      <w:r w:rsidRPr="00283806">
        <w:rPr>
          <w:w w:val="105"/>
        </w:rPr>
        <w:t>In</w:t>
      </w:r>
      <w:r w:rsidRPr="00283806">
        <w:rPr>
          <w:spacing w:val="3"/>
          <w:w w:val="105"/>
        </w:rPr>
        <w:t xml:space="preserve"> </w:t>
      </w:r>
      <w:r w:rsidRPr="00283806">
        <w:rPr>
          <w:w w:val="105"/>
        </w:rPr>
        <w:t>response</w:t>
      </w:r>
      <w:r w:rsidRPr="00283806">
        <w:rPr>
          <w:spacing w:val="4"/>
          <w:w w:val="105"/>
        </w:rPr>
        <w:t xml:space="preserve"> </w:t>
      </w:r>
      <w:r w:rsidRPr="00283806">
        <w:rPr>
          <w:w w:val="105"/>
        </w:rPr>
        <w:t>to</w:t>
      </w:r>
      <w:r w:rsidRPr="00283806">
        <w:rPr>
          <w:spacing w:val="4"/>
          <w:w w:val="105"/>
        </w:rPr>
        <w:t xml:space="preserve"> </w:t>
      </w:r>
      <w:r w:rsidRPr="00283806">
        <w:rPr>
          <w:w w:val="105"/>
        </w:rPr>
        <w:t>the</w:t>
      </w:r>
      <w:r w:rsidRPr="00283806">
        <w:rPr>
          <w:spacing w:val="4"/>
          <w:w w:val="105"/>
        </w:rPr>
        <w:t xml:space="preserve"> </w:t>
      </w:r>
      <w:r w:rsidRPr="00283806">
        <w:rPr>
          <w:spacing w:val="-2"/>
          <w:w w:val="105"/>
        </w:rPr>
        <w:t>comments</w:t>
      </w:r>
    </w:p>
    <w:p w14:paraId="1ABA13E4" w14:textId="77777777" w:rsidR="00D67C1E" w:rsidRPr="00283806" w:rsidRDefault="001265CA">
      <w:pPr>
        <w:pStyle w:val="BodyText"/>
        <w:spacing w:line="225" w:lineRule="auto"/>
        <w:ind w:left="144" w:right="142"/>
      </w:pPr>
      <w:r w:rsidRPr="00283806">
        <w:rPr>
          <w:w w:val="105"/>
        </w:rPr>
        <w:t>questioning the appropriateness and necessity of the requirement for initial installation of fire suppression</w:t>
      </w:r>
      <w:r w:rsidRPr="00283806">
        <w:rPr>
          <w:spacing w:val="40"/>
          <w:w w:val="105"/>
        </w:rPr>
        <w:t xml:space="preserve"> </w:t>
      </w:r>
      <w:r w:rsidRPr="00283806">
        <w:rPr>
          <w:w w:val="105"/>
        </w:rPr>
        <w:t>equipment with recycled HFCs, EPA views the requirement to use of recycled HFCs for the initial installation of fire suppression equipment as part of its efforts to minimize emissions of HFCs from equipment, consistent with one of the purposes identified in the Act for regulations under subsection (h). EPA notes that most often, where fire suppression</w:t>
      </w:r>
      <w:r w:rsidRPr="00283806">
        <w:rPr>
          <w:spacing w:val="40"/>
          <w:w w:val="105"/>
        </w:rPr>
        <w:t xml:space="preserve"> </w:t>
      </w:r>
      <w:r w:rsidRPr="00283806">
        <w:rPr>
          <w:w w:val="105"/>
        </w:rPr>
        <w:t>agents</w:t>
      </w:r>
      <w:r w:rsidRPr="00283806">
        <w:rPr>
          <w:spacing w:val="40"/>
          <w:w w:val="105"/>
        </w:rPr>
        <w:t xml:space="preserve"> </w:t>
      </w:r>
      <w:r w:rsidRPr="00283806">
        <w:rPr>
          <w:w w:val="105"/>
        </w:rPr>
        <w:t>are</w:t>
      </w:r>
      <w:r w:rsidRPr="00283806">
        <w:rPr>
          <w:spacing w:val="40"/>
          <w:w w:val="105"/>
        </w:rPr>
        <w:t xml:space="preserve"> </w:t>
      </w:r>
      <w:r w:rsidRPr="00283806">
        <w:rPr>
          <w:w w:val="105"/>
        </w:rPr>
        <w:t>needed</w:t>
      </w:r>
      <w:r w:rsidRPr="00283806">
        <w:rPr>
          <w:spacing w:val="40"/>
          <w:w w:val="105"/>
        </w:rPr>
        <w:t xml:space="preserve"> </w:t>
      </w:r>
      <w:r w:rsidRPr="00283806">
        <w:rPr>
          <w:w w:val="105"/>
        </w:rPr>
        <w:t>and HFCs are being used, these are single component HFCs with some of the highest GWPs for the regulated HFCs.</w:t>
      </w:r>
    </w:p>
    <w:p w14:paraId="6F99DC9B" w14:textId="77777777" w:rsidR="00D67C1E" w:rsidRPr="00283806" w:rsidRDefault="001265CA">
      <w:pPr>
        <w:pStyle w:val="BodyText"/>
        <w:spacing w:line="225" w:lineRule="auto"/>
        <w:ind w:left="144" w:right="171"/>
      </w:pPr>
      <w:r w:rsidRPr="00283806">
        <w:rPr>
          <w:w w:val="105"/>
        </w:rPr>
        <w:t>Given the high GWPs for the commonly used HFC fire suppression agents, this provision will further minimize emissions by requiring that only</w:t>
      </w:r>
    </w:p>
    <w:p w14:paraId="7CB10AC9"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496" w:space="44"/>
            <w:col w:w="3516" w:space="40"/>
            <w:col w:w="3624"/>
          </w:cols>
        </w:sectPr>
      </w:pPr>
    </w:p>
    <w:p w14:paraId="2EF7B130" w14:textId="77777777" w:rsidR="00D67C1E" w:rsidRPr="00283806" w:rsidRDefault="001265CA">
      <w:pPr>
        <w:pStyle w:val="BodyText"/>
        <w:spacing w:before="136" w:line="225" w:lineRule="auto"/>
        <w:ind w:right="48"/>
      </w:pPr>
      <w:r w:rsidRPr="00283806">
        <w:rPr>
          <w:w w:val="105"/>
        </w:rPr>
        <w:lastRenderedPageBreak/>
        <w:t>recycled HFCs be used in fire</w:t>
      </w:r>
      <w:r w:rsidRPr="00283806">
        <w:rPr>
          <w:spacing w:val="40"/>
          <w:w w:val="105"/>
        </w:rPr>
        <w:t xml:space="preserve"> </w:t>
      </w:r>
      <w:r w:rsidRPr="00283806">
        <w:rPr>
          <w:w w:val="105"/>
        </w:rPr>
        <w:t>suppression equipment as well as ensuring that HFCs have been recovered and recycled from the equipment prior</w:t>
      </w:r>
      <w:r w:rsidRPr="00283806">
        <w:rPr>
          <w:spacing w:val="40"/>
          <w:w w:val="105"/>
        </w:rPr>
        <w:t xml:space="preserve"> </w:t>
      </w:r>
      <w:r w:rsidRPr="00283806">
        <w:rPr>
          <w:w w:val="105"/>
        </w:rPr>
        <w:t>to the final step of the disposal of the equipment so that HFCs are not released during the disposal of the equipment.</w:t>
      </w:r>
    </w:p>
    <w:p w14:paraId="6F555521" w14:textId="77777777" w:rsidR="00D67C1E" w:rsidRPr="00283806" w:rsidRDefault="001265CA">
      <w:pPr>
        <w:pStyle w:val="BodyText"/>
        <w:spacing w:line="225" w:lineRule="auto"/>
      </w:pPr>
      <w:r w:rsidRPr="00283806">
        <w:rPr>
          <w:w w:val="105"/>
        </w:rPr>
        <w:t>EPA understands that, in practice, recycled HFCs are required to meet applicable</w:t>
      </w:r>
      <w:r w:rsidRPr="00283806">
        <w:rPr>
          <w:spacing w:val="40"/>
          <w:w w:val="105"/>
        </w:rPr>
        <w:t xml:space="preserve"> </w:t>
      </w:r>
      <w:r w:rsidRPr="00283806">
        <w:rPr>
          <w:w w:val="105"/>
        </w:rPr>
        <w:t>purity</w:t>
      </w:r>
      <w:r w:rsidRPr="00283806">
        <w:rPr>
          <w:spacing w:val="40"/>
          <w:w w:val="105"/>
        </w:rPr>
        <w:t xml:space="preserve"> </w:t>
      </w:r>
      <w:r w:rsidRPr="00283806">
        <w:rPr>
          <w:w w:val="105"/>
        </w:rPr>
        <w:t>standards</w:t>
      </w:r>
      <w:r w:rsidRPr="00283806">
        <w:rPr>
          <w:spacing w:val="40"/>
          <w:w w:val="105"/>
        </w:rPr>
        <w:t xml:space="preserve"> </w:t>
      </w:r>
      <w:r w:rsidRPr="00283806">
        <w:rPr>
          <w:w w:val="105"/>
        </w:rPr>
        <w:t>and</w:t>
      </w:r>
      <w:r w:rsidRPr="00283806">
        <w:rPr>
          <w:spacing w:val="40"/>
          <w:w w:val="105"/>
        </w:rPr>
        <w:t xml:space="preserve"> </w:t>
      </w:r>
      <w:r w:rsidRPr="00283806">
        <w:rPr>
          <w:w w:val="105"/>
        </w:rPr>
        <w:t>function the same as their virgin counterparts</w:t>
      </w:r>
      <w:r w:rsidRPr="00283806">
        <w:rPr>
          <w:spacing w:val="40"/>
          <w:w w:val="105"/>
        </w:rPr>
        <w:t xml:space="preserve"> </w:t>
      </w:r>
      <w:r w:rsidRPr="00283806">
        <w:rPr>
          <w:w w:val="105"/>
        </w:rPr>
        <w:t>when</w:t>
      </w:r>
      <w:r w:rsidRPr="00283806">
        <w:rPr>
          <w:spacing w:val="40"/>
          <w:w w:val="105"/>
        </w:rPr>
        <w:t xml:space="preserve"> </w:t>
      </w:r>
      <w:r w:rsidRPr="00283806">
        <w:rPr>
          <w:w w:val="105"/>
        </w:rPr>
        <w:t>used</w:t>
      </w:r>
      <w:r w:rsidRPr="00283806">
        <w:rPr>
          <w:spacing w:val="40"/>
          <w:w w:val="105"/>
        </w:rPr>
        <w:t xml:space="preserve"> </w:t>
      </w:r>
      <w:r w:rsidRPr="00283806">
        <w:rPr>
          <w:w w:val="105"/>
        </w:rPr>
        <w:t>in</w:t>
      </w:r>
      <w:r w:rsidRPr="00283806">
        <w:rPr>
          <w:spacing w:val="40"/>
          <w:w w:val="105"/>
        </w:rPr>
        <w:t xml:space="preserve"> </w:t>
      </w:r>
      <w:r w:rsidRPr="00283806">
        <w:rPr>
          <w:w w:val="105"/>
        </w:rPr>
        <w:t>equipment in the fire suppression sector. Currently, recycled HFCs are primarily used for the servicing and recharge of existing fire suppression equipment. Comments by Halon Alternatives Research</w:t>
      </w:r>
      <w:r w:rsidRPr="00283806">
        <w:rPr>
          <w:spacing w:val="80"/>
          <w:w w:val="150"/>
        </w:rPr>
        <w:t xml:space="preserve"> </w:t>
      </w:r>
      <w:r w:rsidRPr="00283806">
        <w:rPr>
          <w:w w:val="105"/>
        </w:rPr>
        <w:t>Corporation (HARC) on the October</w:t>
      </w:r>
      <w:r w:rsidRPr="00283806">
        <w:rPr>
          <w:spacing w:val="80"/>
          <w:w w:val="105"/>
        </w:rPr>
        <w:t xml:space="preserve"> </w:t>
      </w:r>
      <w:r w:rsidRPr="00283806">
        <w:rPr>
          <w:w w:val="105"/>
        </w:rPr>
        <w:t>2022 NODA indicate that it does not anticipate major barriers to using recycled HFCs in new fire suppression equipment.</w:t>
      </w:r>
      <w:r w:rsidRPr="00283806">
        <w:rPr>
          <w:spacing w:val="40"/>
          <w:w w:val="105"/>
        </w:rPr>
        <w:t xml:space="preserve"> </w:t>
      </w:r>
      <w:r w:rsidRPr="00283806">
        <w:rPr>
          <w:w w:val="105"/>
        </w:rPr>
        <w:t>EPA</w:t>
      </w:r>
      <w:r w:rsidRPr="00283806">
        <w:rPr>
          <w:spacing w:val="40"/>
          <w:w w:val="105"/>
        </w:rPr>
        <w:t xml:space="preserve"> </w:t>
      </w:r>
      <w:r w:rsidRPr="00283806">
        <w:rPr>
          <w:w w:val="105"/>
        </w:rPr>
        <w:t>understands</w:t>
      </w:r>
      <w:r w:rsidRPr="00283806">
        <w:rPr>
          <w:spacing w:val="40"/>
          <w:w w:val="105"/>
        </w:rPr>
        <w:t xml:space="preserve"> </w:t>
      </w:r>
      <w:r w:rsidRPr="00283806">
        <w:rPr>
          <w:w w:val="105"/>
        </w:rPr>
        <w:t>while there may not be barriers to using recycled HFCs in new fire suppression equipment, commenters have stated that there may be uncertainty in the supply</w:t>
      </w:r>
      <w:r w:rsidRPr="00283806">
        <w:rPr>
          <w:spacing w:val="80"/>
          <w:w w:val="105"/>
        </w:rPr>
        <w:t xml:space="preserve"> </w:t>
      </w:r>
      <w:r w:rsidRPr="00283806">
        <w:rPr>
          <w:w w:val="105"/>
        </w:rPr>
        <w:t>of</w:t>
      </w:r>
      <w:r w:rsidRPr="00283806">
        <w:rPr>
          <w:spacing w:val="40"/>
          <w:w w:val="105"/>
        </w:rPr>
        <w:t xml:space="preserve"> </w:t>
      </w:r>
      <w:r w:rsidRPr="00283806">
        <w:rPr>
          <w:w w:val="105"/>
        </w:rPr>
        <w:t>recycled</w:t>
      </w:r>
      <w:r w:rsidRPr="00283806">
        <w:rPr>
          <w:spacing w:val="40"/>
          <w:w w:val="105"/>
        </w:rPr>
        <w:t xml:space="preserve"> </w:t>
      </w:r>
      <w:r w:rsidRPr="00283806">
        <w:rPr>
          <w:w w:val="105"/>
        </w:rPr>
        <w:t>HFCs.</w:t>
      </w:r>
      <w:r w:rsidRPr="00283806">
        <w:rPr>
          <w:spacing w:val="40"/>
          <w:w w:val="105"/>
        </w:rPr>
        <w:t xml:space="preserve"> </w:t>
      </w:r>
      <w:r w:rsidRPr="00283806">
        <w:rPr>
          <w:w w:val="105"/>
        </w:rPr>
        <w:t>EPA</w:t>
      </w:r>
      <w:r w:rsidRPr="00283806">
        <w:rPr>
          <w:spacing w:val="40"/>
          <w:w w:val="105"/>
        </w:rPr>
        <w:t xml:space="preserve"> </w:t>
      </w:r>
      <w:r w:rsidRPr="00283806">
        <w:rPr>
          <w:w w:val="105"/>
        </w:rPr>
        <w:t xml:space="preserve">acknowledges the need for allowances to import recycled HFCs for fire suppression, however the Agency </w:t>
      </w:r>
      <w:proofErr w:type="gramStart"/>
      <w:r w:rsidRPr="00283806">
        <w:rPr>
          <w:w w:val="105"/>
        </w:rPr>
        <w:t>anticipate</w:t>
      </w:r>
      <w:proofErr w:type="gramEnd"/>
      <w:r w:rsidRPr="00283806">
        <w:rPr>
          <w:w w:val="105"/>
        </w:rPr>
        <w:t xml:space="preserve"> that as</w:t>
      </w:r>
      <w:r w:rsidRPr="00283806">
        <w:rPr>
          <w:spacing w:val="40"/>
          <w:w w:val="105"/>
        </w:rPr>
        <w:t xml:space="preserve"> </w:t>
      </w:r>
      <w:proofErr w:type="gramStart"/>
      <w:r w:rsidRPr="00283806">
        <w:rPr>
          <w:w w:val="105"/>
        </w:rPr>
        <w:t>the</w:t>
      </w:r>
      <w:r w:rsidRPr="00283806">
        <w:rPr>
          <w:spacing w:val="40"/>
          <w:w w:val="105"/>
        </w:rPr>
        <w:t xml:space="preserve"> </w:t>
      </w:r>
      <w:r w:rsidRPr="00283806">
        <w:rPr>
          <w:w w:val="105"/>
        </w:rPr>
        <w:t>HFC</w:t>
      </w:r>
      <w:proofErr w:type="gramEnd"/>
      <w:r w:rsidRPr="00283806">
        <w:rPr>
          <w:spacing w:val="40"/>
          <w:w w:val="105"/>
        </w:rPr>
        <w:t xml:space="preserve"> </w:t>
      </w:r>
      <w:r w:rsidRPr="00283806">
        <w:rPr>
          <w:w w:val="105"/>
        </w:rPr>
        <w:t>Phasedown</w:t>
      </w:r>
      <w:r w:rsidRPr="00283806">
        <w:rPr>
          <w:spacing w:val="40"/>
          <w:w w:val="105"/>
        </w:rPr>
        <w:t xml:space="preserve"> </w:t>
      </w:r>
      <w:r w:rsidRPr="00283806">
        <w:rPr>
          <w:w w:val="105"/>
        </w:rPr>
        <w:t>progresses,</w:t>
      </w:r>
      <w:r w:rsidRPr="00283806">
        <w:rPr>
          <w:spacing w:val="40"/>
          <w:w w:val="105"/>
        </w:rPr>
        <w:t xml:space="preserve"> </w:t>
      </w:r>
      <w:r w:rsidRPr="00283806">
        <w:rPr>
          <w:w w:val="105"/>
        </w:rPr>
        <w:t>HFCs no longer needed in larger uses such as refrigeration and air conditioning may become available for fire suppression applications. Informed by comments,</w:t>
      </w:r>
      <w:r w:rsidRPr="00283806">
        <w:rPr>
          <w:spacing w:val="40"/>
          <w:w w:val="105"/>
        </w:rPr>
        <w:t xml:space="preserve"> </w:t>
      </w:r>
      <w:r w:rsidRPr="00283806">
        <w:rPr>
          <w:w w:val="105"/>
        </w:rPr>
        <w:t>EPA acknowledges that commenters expressed concerns regarding the</w:t>
      </w:r>
      <w:r w:rsidRPr="00283806">
        <w:rPr>
          <w:spacing w:val="80"/>
          <w:w w:val="150"/>
        </w:rPr>
        <w:t xml:space="preserve"> </w:t>
      </w:r>
      <w:r w:rsidRPr="00283806">
        <w:rPr>
          <w:w w:val="105"/>
        </w:rPr>
        <w:t>supply</w:t>
      </w:r>
      <w:r w:rsidRPr="00283806">
        <w:rPr>
          <w:spacing w:val="40"/>
          <w:w w:val="105"/>
        </w:rPr>
        <w:t xml:space="preserve"> </w:t>
      </w:r>
      <w:r w:rsidRPr="00283806">
        <w:rPr>
          <w:w w:val="105"/>
        </w:rPr>
        <w:t>of</w:t>
      </w:r>
      <w:r w:rsidRPr="00283806">
        <w:rPr>
          <w:spacing w:val="40"/>
          <w:w w:val="105"/>
        </w:rPr>
        <w:t xml:space="preserve"> </w:t>
      </w:r>
      <w:r w:rsidRPr="00283806">
        <w:rPr>
          <w:w w:val="105"/>
        </w:rPr>
        <w:t>recycled</w:t>
      </w:r>
      <w:r w:rsidRPr="00283806">
        <w:rPr>
          <w:spacing w:val="40"/>
          <w:w w:val="105"/>
        </w:rPr>
        <w:t xml:space="preserve"> </w:t>
      </w:r>
      <w:r w:rsidRPr="00283806">
        <w:rPr>
          <w:w w:val="105"/>
        </w:rPr>
        <w:t>HFCs</w:t>
      </w:r>
      <w:r w:rsidRPr="00283806">
        <w:rPr>
          <w:spacing w:val="40"/>
          <w:w w:val="105"/>
        </w:rPr>
        <w:t xml:space="preserve"> </w:t>
      </w:r>
      <w:r w:rsidRPr="00283806">
        <w:rPr>
          <w:w w:val="105"/>
        </w:rPr>
        <w:t>and</w:t>
      </w:r>
      <w:r w:rsidRPr="00283806">
        <w:rPr>
          <w:spacing w:val="40"/>
          <w:w w:val="105"/>
        </w:rPr>
        <w:t xml:space="preserve"> </w:t>
      </w:r>
      <w:r w:rsidRPr="00283806">
        <w:rPr>
          <w:w w:val="105"/>
        </w:rPr>
        <w:t>is extending the compliance dates for the use of recycled HFCs to ensure that the infrastructure and supply will be available for affected stakeholders to be able to comply with requirements,</w:t>
      </w:r>
      <w:r w:rsidRPr="00283806">
        <w:rPr>
          <w:spacing w:val="40"/>
          <w:w w:val="105"/>
        </w:rPr>
        <w:t xml:space="preserve"> </w:t>
      </w:r>
      <w:r w:rsidRPr="00283806">
        <w:rPr>
          <w:w w:val="105"/>
        </w:rPr>
        <w:t>further described later in this section</w:t>
      </w:r>
    </w:p>
    <w:p w14:paraId="37AFB2E6" w14:textId="77777777" w:rsidR="00D67C1E" w:rsidRPr="00283806" w:rsidRDefault="001265CA">
      <w:pPr>
        <w:pStyle w:val="BodyText"/>
        <w:spacing w:line="174" w:lineRule="exact"/>
      </w:pPr>
      <w:r w:rsidRPr="00283806">
        <w:rPr>
          <w:w w:val="105"/>
        </w:rPr>
        <w:t>IV.F.2.b</w:t>
      </w:r>
      <w:r w:rsidRPr="00283806">
        <w:rPr>
          <w:spacing w:val="24"/>
          <w:w w:val="105"/>
        </w:rPr>
        <w:t xml:space="preserve"> </w:t>
      </w:r>
      <w:r w:rsidRPr="00283806">
        <w:rPr>
          <w:w w:val="105"/>
        </w:rPr>
        <w:t>of</w:t>
      </w:r>
      <w:r w:rsidRPr="00283806">
        <w:rPr>
          <w:spacing w:val="25"/>
          <w:w w:val="105"/>
        </w:rPr>
        <w:t xml:space="preserve"> </w:t>
      </w:r>
      <w:r w:rsidRPr="00283806">
        <w:rPr>
          <w:w w:val="105"/>
        </w:rPr>
        <w:t>this</w:t>
      </w:r>
      <w:r w:rsidRPr="00283806">
        <w:rPr>
          <w:spacing w:val="25"/>
          <w:w w:val="105"/>
        </w:rPr>
        <w:t xml:space="preserve"> </w:t>
      </w:r>
      <w:r w:rsidRPr="00283806">
        <w:rPr>
          <w:spacing w:val="-2"/>
          <w:w w:val="105"/>
        </w:rPr>
        <w:t>preamble.</w:t>
      </w:r>
    </w:p>
    <w:p w14:paraId="6A6EE836" w14:textId="77777777" w:rsidR="00D67C1E" w:rsidRPr="00283806" w:rsidRDefault="001265CA">
      <w:pPr>
        <w:pStyle w:val="BodyText"/>
        <w:spacing w:line="225" w:lineRule="auto"/>
        <w:ind w:right="67" w:firstLine="180"/>
      </w:pPr>
      <w:r w:rsidRPr="00283806">
        <w:rPr>
          <w:w w:val="105"/>
        </w:rPr>
        <w:t>With regards to the sourcing of used HFCs, the comments concerning the</w:t>
      </w:r>
      <w:r w:rsidRPr="00283806">
        <w:rPr>
          <w:spacing w:val="40"/>
          <w:w w:val="105"/>
        </w:rPr>
        <w:t xml:space="preserve"> </w:t>
      </w:r>
      <w:r w:rsidRPr="00283806">
        <w:rPr>
          <w:w w:val="105"/>
        </w:rPr>
        <w:t>need for allowances are outside the scope</w:t>
      </w:r>
      <w:r w:rsidRPr="00283806">
        <w:rPr>
          <w:spacing w:val="13"/>
          <w:w w:val="105"/>
        </w:rPr>
        <w:t xml:space="preserve"> </w:t>
      </w:r>
      <w:r w:rsidRPr="00283806">
        <w:rPr>
          <w:w w:val="105"/>
        </w:rPr>
        <w:t>of</w:t>
      </w:r>
      <w:r w:rsidRPr="00283806">
        <w:rPr>
          <w:spacing w:val="13"/>
          <w:w w:val="105"/>
        </w:rPr>
        <w:t xml:space="preserve"> </w:t>
      </w:r>
      <w:r w:rsidRPr="00283806">
        <w:rPr>
          <w:w w:val="105"/>
        </w:rPr>
        <w:t>this</w:t>
      </w:r>
      <w:r w:rsidRPr="00283806">
        <w:rPr>
          <w:spacing w:val="13"/>
          <w:w w:val="105"/>
        </w:rPr>
        <w:t xml:space="preserve"> </w:t>
      </w:r>
      <w:r w:rsidRPr="00283806">
        <w:rPr>
          <w:w w:val="105"/>
        </w:rPr>
        <w:t>rulemaking.</w:t>
      </w:r>
      <w:r w:rsidRPr="00283806">
        <w:rPr>
          <w:spacing w:val="13"/>
          <w:w w:val="105"/>
        </w:rPr>
        <w:t xml:space="preserve"> </w:t>
      </w:r>
      <w:r w:rsidRPr="00283806">
        <w:rPr>
          <w:w w:val="105"/>
        </w:rPr>
        <w:t>In</w:t>
      </w:r>
      <w:r w:rsidRPr="00283806">
        <w:rPr>
          <w:spacing w:val="14"/>
          <w:w w:val="105"/>
        </w:rPr>
        <w:t xml:space="preserve"> </w:t>
      </w:r>
      <w:r w:rsidRPr="00283806">
        <w:rPr>
          <w:w w:val="105"/>
        </w:rPr>
        <w:t>this</w:t>
      </w:r>
      <w:r w:rsidRPr="00283806">
        <w:rPr>
          <w:spacing w:val="13"/>
          <w:w w:val="105"/>
        </w:rPr>
        <w:t xml:space="preserve"> </w:t>
      </w:r>
      <w:r w:rsidRPr="00283806">
        <w:rPr>
          <w:spacing w:val="-2"/>
          <w:w w:val="105"/>
        </w:rPr>
        <w:t>section</w:t>
      </w:r>
    </w:p>
    <w:p w14:paraId="3BCF4479" w14:textId="77777777" w:rsidR="00D67C1E" w:rsidRPr="00283806" w:rsidRDefault="001265CA">
      <w:pPr>
        <w:pStyle w:val="BodyText"/>
        <w:spacing w:line="225" w:lineRule="auto"/>
        <w:ind w:right="46"/>
      </w:pPr>
      <w:r w:rsidRPr="00283806">
        <w:rPr>
          <w:w w:val="105"/>
        </w:rPr>
        <w:t>IV.F.2.b of the final rule, the comments regarding the RACA process, are also beyond the scope of this action and thus require no further response, as EPA has proposed no changes to the</w:t>
      </w:r>
      <w:r w:rsidRPr="00283806">
        <w:rPr>
          <w:spacing w:val="40"/>
          <w:w w:val="105"/>
        </w:rPr>
        <w:t xml:space="preserve"> </w:t>
      </w:r>
      <w:r w:rsidRPr="00283806">
        <w:rPr>
          <w:w w:val="105"/>
        </w:rPr>
        <w:t>requirements of the RACA process.</w:t>
      </w:r>
    </w:p>
    <w:p w14:paraId="19829C2B" w14:textId="77777777" w:rsidR="00D67C1E" w:rsidRPr="00283806" w:rsidRDefault="001265CA">
      <w:pPr>
        <w:spacing w:line="183" w:lineRule="exact"/>
        <w:ind w:left="160" w:firstLine="180"/>
        <w:rPr>
          <w:sz w:val="18"/>
        </w:rPr>
      </w:pPr>
      <w:r w:rsidRPr="00283806">
        <w:rPr>
          <w:rFonts w:ascii="Book Antiqua"/>
          <w:i/>
          <w:w w:val="105"/>
          <w:sz w:val="18"/>
        </w:rPr>
        <w:t>Comment:</w:t>
      </w:r>
      <w:r w:rsidRPr="00283806">
        <w:rPr>
          <w:rFonts w:ascii="Book Antiqua"/>
          <w:i/>
          <w:spacing w:val="15"/>
          <w:w w:val="105"/>
          <w:sz w:val="18"/>
        </w:rPr>
        <w:t xml:space="preserve"> </w:t>
      </w:r>
      <w:r w:rsidRPr="00283806">
        <w:rPr>
          <w:w w:val="105"/>
          <w:sz w:val="18"/>
        </w:rPr>
        <w:t>One</w:t>
      </w:r>
      <w:r w:rsidRPr="00283806">
        <w:rPr>
          <w:spacing w:val="20"/>
          <w:w w:val="105"/>
          <w:sz w:val="18"/>
        </w:rPr>
        <w:t xml:space="preserve"> </w:t>
      </w:r>
      <w:r w:rsidRPr="00283806">
        <w:rPr>
          <w:w w:val="105"/>
          <w:sz w:val="18"/>
        </w:rPr>
        <w:t>commenter</w:t>
      </w:r>
      <w:r w:rsidRPr="00283806">
        <w:rPr>
          <w:spacing w:val="20"/>
          <w:w w:val="105"/>
          <w:sz w:val="18"/>
        </w:rPr>
        <w:t xml:space="preserve"> </w:t>
      </w:r>
      <w:r w:rsidRPr="00283806">
        <w:rPr>
          <w:w w:val="105"/>
          <w:sz w:val="18"/>
        </w:rPr>
        <w:t>stated</w:t>
      </w:r>
      <w:r w:rsidRPr="00283806">
        <w:rPr>
          <w:spacing w:val="20"/>
          <w:w w:val="105"/>
          <w:sz w:val="18"/>
        </w:rPr>
        <w:t xml:space="preserve"> </w:t>
      </w:r>
      <w:r w:rsidRPr="00283806">
        <w:rPr>
          <w:spacing w:val="-4"/>
          <w:w w:val="105"/>
          <w:sz w:val="18"/>
        </w:rPr>
        <w:t>that</w:t>
      </w:r>
    </w:p>
    <w:p w14:paraId="42ADD8AA" w14:textId="77777777" w:rsidR="00D67C1E" w:rsidRPr="00283806" w:rsidRDefault="001265CA">
      <w:pPr>
        <w:pStyle w:val="BodyText"/>
        <w:spacing w:line="225" w:lineRule="auto"/>
      </w:pPr>
      <w:proofErr w:type="gramStart"/>
      <w:r w:rsidRPr="00283806">
        <w:rPr>
          <w:w w:val="110"/>
        </w:rPr>
        <w:t>their</w:t>
      </w:r>
      <w:proofErr w:type="gramEnd"/>
      <w:r w:rsidRPr="00283806">
        <w:rPr>
          <w:spacing w:val="-11"/>
          <w:w w:val="110"/>
        </w:rPr>
        <w:t xml:space="preserve"> </w:t>
      </w:r>
      <w:r w:rsidRPr="00283806">
        <w:rPr>
          <w:w w:val="110"/>
        </w:rPr>
        <w:t>support</w:t>
      </w:r>
      <w:r w:rsidRPr="00283806">
        <w:rPr>
          <w:spacing w:val="-11"/>
          <w:w w:val="110"/>
        </w:rPr>
        <w:t xml:space="preserve"> </w:t>
      </w:r>
      <w:r w:rsidRPr="00283806">
        <w:rPr>
          <w:w w:val="110"/>
        </w:rPr>
        <w:t>for</w:t>
      </w:r>
      <w:r w:rsidRPr="00283806">
        <w:rPr>
          <w:spacing w:val="-11"/>
          <w:w w:val="110"/>
        </w:rPr>
        <w:t xml:space="preserve"> </w:t>
      </w:r>
      <w:r w:rsidRPr="00283806">
        <w:rPr>
          <w:w w:val="110"/>
        </w:rPr>
        <w:t>the</w:t>
      </w:r>
      <w:r w:rsidRPr="00283806">
        <w:rPr>
          <w:spacing w:val="-11"/>
          <w:w w:val="110"/>
        </w:rPr>
        <w:t xml:space="preserve"> </w:t>
      </w:r>
      <w:r w:rsidRPr="00283806">
        <w:rPr>
          <w:w w:val="110"/>
        </w:rPr>
        <w:t>AIM</w:t>
      </w:r>
      <w:r w:rsidRPr="00283806">
        <w:rPr>
          <w:spacing w:val="-11"/>
          <w:w w:val="110"/>
        </w:rPr>
        <w:t xml:space="preserve"> </w:t>
      </w:r>
      <w:r w:rsidRPr="00283806">
        <w:rPr>
          <w:w w:val="110"/>
        </w:rPr>
        <w:t>Act</w:t>
      </w:r>
      <w:r w:rsidRPr="00283806">
        <w:rPr>
          <w:spacing w:val="-11"/>
          <w:w w:val="110"/>
        </w:rPr>
        <w:t xml:space="preserve"> </w:t>
      </w:r>
      <w:r w:rsidRPr="00283806">
        <w:rPr>
          <w:w w:val="110"/>
        </w:rPr>
        <w:t>was</w:t>
      </w:r>
      <w:r w:rsidRPr="00283806">
        <w:rPr>
          <w:spacing w:val="-11"/>
          <w:w w:val="110"/>
        </w:rPr>
        <w:t xml:space="preserve"> </w:t>
      </w:r>
      <w:r w:rsidRPr="00283806">
        <w:rPr>
          <w:w w:val="110"/>
        </w:rPr>
        <w:t>based on there being a phasedown of HFC production, not a complete phaseout.</w:t>
      </w:r>
    </w:p>
    <w:p w14:paraId="225DD0B2" w14:textId="77777777" w:rsidR="00D67C1E" w:rsidRPr="00283806" w:rsidRDefault="001265CA">
      <w:pPr>
        <w:pStyle w:val="BodyText"/>
        <w:spacing w:line="225" w:lineRule="auto"/>
      </w:pPr>
      <w:r w:rsidRPr="00283806">
        <w:rPr>
          <w:w w:val="110"/>
        </w:rPr>
        <w:t>The commenter stated that EPA’s proposal is equivalent to an HFC phaseout for fire protection in the United States, stating that they did not believe that it was appropriate or necessary</w:t>
      </w:r>
      <w:r w:rsidRPr="00283806">
        <w:rPr>
          <w:spacing w:val="-5"/>
          <w:w w:val="110"/>
        </w:rPr>
        <w:t xml:space="preserve"> </w:t>
      </w:r>
      <w:r w:rsidRPr="00283806">
        <w:rPr>
          <w:w w:val="110"/>
        </w:rPr>
        <w:t>for</w:t>
      </w:r>
      <w:r w:rsidRPr="00283806">
        <w:rPr>
          <w:spacing w:val="-5"/>
          <w:w w:val="110"/>
        </w:rPr>
        <w:t xml:space="preserve"> </w:t>
      </w:r>
      <w:r w:rsidRPr="00283806">
        <w:rPr>
          <w:w w:val="110"/>
        </w:rPr>
        <w:t>EPA</w:t>
      </w:r>
      <w:r w:rsidRPr="00283806">
        <w:rPr>
          <w:spacing w:val="-5"/>
          <w:w w:val="110"/>
        </w:rPr>
        <w:t xml:space="preserve"> </w:t>
      </w:r>
      <w:r w:rsidRPr="00283806">
        <w:rPr>
          <w:w w:val="110"/>
        </w:rPr>
        <w:t>to</w:t>
      </w:r>
      <w:r w:rsidRPr="00283806">
        <w:rPr>
          <w:spacing w:val="-5"/>
          <w:w w:val="110"/>
        </w:rPr>
        <w:t xml:space="preserve"> </w:t>
      </w:r>
      <w:r w:rsidRPr="00283806">
        <w:rPr>
          <w:w w:val="110"/>
        </w:rPr>
        <w:t>regulate</w:t>
      </w:r>
      <w:r w:rsidRPr="00283806">
        <w:rPr>
          <w:spacing w:val="-5"/>
          <w:w w:val="110"/>
        </w:rPr>
        <w:t xml:space="preserve"> </w:t>
      </w:r>
      <w:r w:rsidRPr="00283806">
        <w:rPr>
          <w:w w:val="110"/>
        </w:rPr>
        <w:t>initial</w:t>
      </w:r>
      <w:r w:rsidRPr="00283806">
        <w:rPr>
          <w:spacing w:val="-5"/>
          <w:w w:val="110"/>
        </w:rPr>
        <w:t xml:space="preserve"> </w:t>
      </w:r>
      <w:r w:rsidRPr="00283806">
        <w:rPr>
          <w:w w:val="110"/>
        </w:rPr>
        <w:t>fill of fire suppression equipment in this rule.</w:t>
      </w:r>
      <w:r w:rsidRPr="00283806">
        <w:rPr>
          <w:spacing w:val="-2"/>
          <w:w w:val="110"/>
        </w:rPr>
        <w:t xml:space="preserve"> </w:t>
      </w:r>
      <w:r w:rsidRPr="00283806">
        <w:rPr>
          <w:w w:val="110"/>
        </w:rPr>
        <w:t>The</w:t>
      </w:r>
      <w:r w:rsidRPr="00283806">
        <w:rPr>
          <w:spacing w:val="-2"/>
          <w:w w:val="110"/>
        </w:rPr>
        <w:t xml:space="preserve"> </w:t>
      </w:r>
      <w:r w:rsidRPr="00283806">
        <w:rPr>
          <w:w w:val="110"/>
        </w:rPr>
        <w:t>commenter</w:t>
      </w:r>
      <w:r w:rsidRPr="00283806">
        <w:rPr>
          <w:spacing w:val="-2"/>
          <w:w w:val="110"/>
        </w:rPr>
        <w:t xml:space="preserve"> </w:t>
      </w:r>
      <w:r w:rsidRPr="00283806">
        <w:rPr>
          <w:w w:val="110"/>
        </w:rPr>
        <w:t>also</w:t>
      </w:r>
      <w:r w:rsidRPr="00283806">
        <w:rPr>
          <w:spacing w:val="-2"/>
          <w:w w:val="110"/>
        </w:rPr>
        <w:t xml:space="preserve"> </w:t>
      </w:r>
      <w:r w:rsidRPr="00283806">
        <w:rPr>
          <w:w w:val="110"/>
        </w:rPr>
        <w:t>stated</w:t>
      </w:r>
      <w:r w:rsidRPr="00283806">
        <w:rPr>
          <w:spacing w:val="-2"/>
          <w:w w:val="110"/>
        </w:rPr>
        <w:t xml:space="preserve"> </w:t>
      </w:r>
      <w:r w:rsidRPr="00283806">
        <w:rPr>
          <w:w w:val="110"/>
        </w:rPr>
        <w:t>that</w:t>
      </w:r>
      <w:r w:rsidRPr="00283806">
        <w:rPr>
          <w:spacing w:val="-2"/>
          <w:w w:val="110"/>
        </w:rPr>
        <w:t xml:space="preserve"> </w:t>
      </w:r>
      <w:r w:rsidRPr="00283806">
        <w:rPr>
          <w:w w:val="110"/>
        </w:rPr>
        <w:t>it would</w:t>
      </w:r>
      <w:r w:rsidRPr="00283806">
        <w:rPr>
          <w:spacing w:val="-8"/>
          <w:w w:val="110"/>
        </w:rPr>
        <w:t xml:space="preserve"> </w:t>
      </w:r>
      <w:r w:rsidRPr="00283806">
        <w:rPr>
          <w:w w:val="110"/>
        </w:rPr>
        <w:t>put</w:t>
      </w:r>
      <w:r w:rsidRPr="00283806">
        <w:rPr>
          <w:spacing w:val="-8"/>
          <w:w w:val="110"/>
        </w:rPr>
        <w:t xml:space="preserve"> </w:t>
      </w:r>
      <w:r w:rsidRPr="00283806">
        <w:rPr>
          <w:w w:val="110"/>
        </w:rPr>
        <w:t>HFCs</w:t>
      </w:r>
      <w:r w:rsidRPr="00283806">
        <w:rPr>
          <w:spacing w:val="-8"/>
          <w:w w:val="110"/>
        </w:rPr>
        <w:t xml:space="preserve"> </w:t>
      </w:r>
      <w:r w:rsidRPr="00283806">
        <w:rPr>
          <w:w w:val="110"/>
        </w:rPr>
        <w:t>domestically</w:t>
      </w:r>
      <w:r w:rsidRPr="00283806">
        <w:rPr>
          <w:spacing w:val="-8"/>
          <w:w w:val="110"/>
        </w:rPr>
        <w:t xml:space="preserve"> </w:t>
      </w:r>
      <w:r w:rsidRPr="00283806">
        <w:rPr>
          <w:w w:val="110"/>
        </w:rPr>
        <w:t>in</w:t>
      </w:r>
      <w:r w:rsidRPr="00283806">
        <w:rPr>
          <w:spacing w:val="-8"/>
          <w:w w:val="110"/>
        </w:rPr>
        <w:t xml:space="preserve"> </w:t>
      </w:r>
      <w:r w:rsidRPr="00283806">
        <w:rPr>
          <w:w w:val="110"/>
        </w:rPr>
        <w:t>a</w:t>
      </w:r>
      <w:r w:rsidRPr="00283806">
        <w:rPr>
          <w:spacing w:val="-8"/>
          <w:w w:val="110"/>
        </w:rPr>
        <w:t xml:space="preserve"> </w:t>
      </w:r>
      <w:r w:rsidRPr="00283806">
        <w:rPr>
          <w:w w:val="110"/>
        </w:rPr>
        <w:t>more restrictive position than halons and</w:t>
      </w:r>
    </w:p>
    <w:p w14:paraId="041BF577" w14:textId="77777777" w:rsidR="00D67C1E" w:rsidRPr="00283806" w:rsidRDefault="001265CA">
      <w:pPr>
        <w:pStyle w:val="BodyText"/>
        <w:spacing w:before="136" w:line="225" w:lineRule="auto"/>
        <w:ind w:left="144" w:right="51"/>
      </w:pPr>
      <w:r w:rsidRPr="00283806">
        <w:br w:type="column"/>
      </w:r>
      <w:r w:rsidRPr="00283806">
        <w:rPr>
          <w:w w:val="105"/>
        </w:rPr>
        <w:t>CFCs, as these chemicals can be</w:t>
      </w:r>
      <w:r w:rsidRPr="00283806">
        <w:rPr>
          <w:spacing w:val="40"/>
          <w:w w:val="105"/>
        </w:rPr>
        <w:t xml:space="preserve"> </w:t>
      </w:r>
      <w:r w:rsidRPr="00283806">
        <w:rPr>
          <w:w w:val="105"/>
        </w:rPr>
        <w:t>imported without the expenditure of allowances. In addition, the commenter stated that due to the high-GWP nature of HFCs used for fire protection, the observed effect of the AIM Act has been to reduce the production and consumption of virgin HFCs in the</w:t>
      </w:r>
      <w:r w:rsidRPr="00283806">
        <w:rPr>
          <w:spacing w:val="40"/>
          <w:w w:val="105"/>
        </w:rPr>
        <w:t xml:space="preserve"> </w:t>
      </w:r>
      <w:r w:rsidRPr="00283806">
        <w:rPr>
          <w:w w:val="105"/>
        </w:rPr>
        <w:t>sector, below the phasedown schedule, and that companies have obtained the required</w:t>
      </w:r>
      <w:r w:rsidRPr="00283806">
        <w:rPr>
          <w:spacing w:val="28"/>
          <w:w w:val="105"/>
        </w:rPr>
        <w:t xml:space="preserve"> </w:t>
      </w:r>
      <w:r w:rsidRPr="00283806">
        <w:rPr>
          <w:w w:val="105"/>
        </w:rPr>
        <w:t>listings</w:t>
      </w:r>
      <w:r w:rsidRPr="00283806">
        <w:rPr>
          <w:spacing w:val="28"/>
          <w:w w:val="105"/>
        </w:rPr>
        <w:t xml:space="preserve"> </w:t>
      </w:r>
      <w:r w:rsidRPr="00283806">
        <w:rPr>
          <w:w w:val="105"/>
        </w:rPr>
        <w:t>and</w:t>
      </w:r>
      <w:r w:rsidRPr="00283806">
        <w:rPr>
          <w:spacing w:val="28"/>
          <w:w w:val="105"/>
        </w:rPr>
        <w:t xml:space="preserve"> </w:t>
      </w:r>
      <w:r w:rsidRPr="00283806">
        <w:rPr>
          <w:w w:val="105"/>
        </w:rPr>
        <w:t>approvals</w:t>
      </w:r>
      <w:r w:rsidRPr="00283806">
        <w:rPr>
          <w:spacing w:val="28"/>
          <w:w w:val="105"/>
        </w:rPr>
        <w:t xml:space="preserve"> </w:t>
      </w:r>
      <w:r w:rsidRPr="00283806">
        <w:rPr>
          <w:w w:val="105"/>
        </w:rPr>
        <w:t>so</w:t>
      </w:r>
      <w:r w:rsidRPr="00283806">
        <w:rPr>
          <w:spacing w:val="28"/>
          <w:w w:val="105"/>
        </w:rPr>
        <w:t xml:space="preserve"> </w:t>
      </w:r>
      <w:r w:rsidRPr="00283806">
        <w:rPr>
          <w:w w:val="105"/>
        </w:rPr>
        <w:t>that a transition to the use of recycled HFCs in new fire suppression systems is underway. The commenter expressed a view that they would expect this</w:t>
      </w:r>
    </w:p>
    <w:p w14:paraId="3FA47D91" w14:textId="77777777" w:rsidR="00D67C1E" w:rsidRPr="00283806" w:rsidRDefault="001265CA">
      <w:pPr>
        <w:pStyle w:val="BodyText"/>
        <w:spacing w:line="225" w:lineRule="auto"/>
        <w:ind w:left="144" w:right="49"/>
      </w:pPr>
      <w:r w:rsidRPr="00283806">
        <w:rPr>
          <w:w w:val="105"/>
        </w:rPr>
        <w:t>transition to occur naturally and expand as the phasedown proceeds and claimed that it was not environmentally justified to force this transition on the industry</w:t>
      </w:r>
      <w:r w:rsidRPr="00283806">
        <w:rPr>
          <w:spacing w:val="80"/>
          <w:w w:val="105"/>
        </w:rPr>
        <w:t xml:space="preserve"> </w:t>
      </w:r>
      <w:r w:rsidRPr="00283806">
        <w:rPr>
          <w:w w:val="105"/>
        </w:rPr>
        <w:t>by regulation in what in their view is a short time frame.</w:t>
      </w:r>
    </w:p>
    <w:p w14:paraId="24720B61" w14:textId="77777777" w:rsidR="00D67C1E" w:rsidRPr="00283806" w:rsidRDefault="001265CA">
      <w:pPr>
        <w:pStyle w:val="BodyText"/>
        <w:spacing w:line="178" w:lineRule="exact"/>
        <w:ind w:left="324"/>
      </w:pPr>
      <w:r w:rsidRPr="00283806">
        <w:rPr>
          <w:w w:val="105"/>
        </w:rPr>
        <w:t>Another</w:t>
      </w:r>
      <w:r w:rsidRPr="00283806">
        <w:rPr>
          <w:spacing w:val="1"/>
          <w:w w:val="105"/>
        </w:rPr>
        <w:t xml:space="preserve"> </w:t>
      </w:r>
      <w:r w:rsidRPr="00283806">
        <w:rPr>
          <w:w w:val="105"/>
        </w:rPr>
        <w:t>commenter</w:t>
      </w:r>
      <w:r w:rsidRPr="00283806">
        <w:rPr>
          <w:spacing w:val="2"/>
          <w:w w:val="105"/>
        </w:rPr>
        <w:t xml:space="preserve"> </w:t>
      </w:r>
      <w:r w:rsidRPr="00283806">
        <w:rPr>
          <w:w w:val="105"/>
        </w:rPr>
        <w:t>asserted</w:t>
      </w:r>
      <w:r w:rsidRPr="00283806">
        <w:rPr>
          <w:spacing w:val="1"/>
          <w:w w:val="105"/>
        </w:rPr>
        <w:t xml:space="preserve"> </w:t>
      </w:r>
      <w:r w:rsidRPr="00283806">
        <w:rPr>
          <w:w w:val="105"/>
        </w:rPr>
        <w:t>that</w:t>
      </w:r>
      <w:r w:rsidRPr="00283806">
        <w:rPr>
          <w:spacing w:val="2"/>
          <w:w w:val="105"/>
        </w:rPr>
        <w:t xml:space="preserve"> </w:t>
      </w:r>
      <w:r w:rsidRPr="00283806">
        <w:rPr>
          <w:spacing w:val="-5"/>
          <w:w w:val="105"/>
        </w:rPr>
        <w:t>the</w:t>
      </w:r>
    </w:p>
    <w:p w14:paraId="462B4AB3" w14:textId="77777777" w:rsidR="00D67C1E" w:rsidRPr="00283806" w:rsidRDefault="001265CA">
      <w:pPr>
        <w:pStyle w:val="BodyText"/>
        <w:spacing w:line="225" w:lineRule="auto"/>
        <w:ind w:left="144" w:right="77"/>
      </w:pPr>
      <w:r w:rsidRPr="00283806">
        <w:rPr>
          <w:w w:val="105"/>
        </w:rPr>
        <w:t>proposed requirements for use of recycled HFCs for initial fill and</w:t>
      </w:r>
      <w:r w:rsidRPr="00283806">
        <w:rPr>
          <w:spacing w:val="40"/>
          <w:w w:val="105"/>
        </w:rPr>
        <w:t xml:space="preserve"> </w:t>
      </w:r>
      <w:r w:rsidRPr="00283806">
        <w:rPr>
          <w:w w:val="105"/>
        </w:rPr>
        <w:t>recharge, would, in effect, ban the production of fire suppression HFCs as</w:t>
      </w:r>
      <w:r w:rsidRPr="00283806">
        <w:rPr>
          <w:spacing w:val="40"/>
          <w:w w:val="105"/>
        </w:rPr>
        <w:t xml:space="preserve"> </w:t>
      </w:r>
      <w:r w:rsidRPr="00283806">
        <w:rPr>
          <w:w w:val="105"/>
        </w:rPr>
        <w:t>of January 1, 2025, and it would mean there would be no commercial market for virgin fire suppression HFCs, since any use of the agents (other than in extremely limited essential uses) would be illegal. The commenter contended that the AIM Act implements the phasedown under the Kigali</w:t>
      </w:r>
      <w:r w:rsidRPr="00283806">
        <w:rPr>
          <w:spacing w:val="40"/>
          <w:w w:val="105"/>
        </w:rPr>
        <w:t xml:space="preserve"> </w:t>
      </w:r>
      <w:r w:rsidRPr="00283806">
        <w:rPr>
          <w:w w:val="105"/>
        </w:rPr>
        <w:t>Amendment to the Montreal Protocol and does not authorize EPA to issue a rule that results in a total ban on the production and consumption of HFCs, including fire suppression HFCs, and therefore that the proposed rule is not authorized by the AIM Act.</w:t>
      </w:r>
    </w:p>
    <w:p w14:paraId="05DD934A" w14:textId="77777777" w:rsidR="00D67C1E" w:rsidRPr="00283806" w:rsidRDefault="001265CA">
      <w:pPr>
        <w:pStyle w:val="BodyText"/>
        <w:spacing w:line="173" w:lineRule="exact"/>
        <w:ind w:left="324"/>
      </w:pPr>
      <w:r w:rsidRPr="00283806">
        <w:rPr>
          <w:w w:val="105"/>
        </w:rPr>
        <w:t>This</w:t>
      </w:r>
      <w:r w:rsidRPr="00283806">
        <w:rPr>
          <w:spacing w:val="6"/>
          <w:w w:val="105"/>
        </w:rPr>
        <w:t xml:space="preserve"> </w:t>
      </w:r>
      <w:r w:rsidRPr="00283806">
        <w:rPr>
          <w:w w:val="105"/>
        </w:rPr>
        <w:t>commenter</w:t>
      </w:r>
      <w:r w:rsidRPr="00283806">
        <w:rPr>
          <w:spacing w:val="6"/>
          <w:w w:val="105"/>
        </w:rPr>
        <w:t xml:space="preserve"> </w:t>
      </w:r>
      <w:r w:rsidRPr="00283806">
        <w:rPr>
          <w:w w:val="105"/>
        </w:rPr>
        <w:t>also</w:t>
      </w:r>
      <w:r w:rsidRPr="00283806">
        <w:rPr>
          <w:spacing w:val="6"/>
          <w:w w:val="105"/>
        </w:rPr>
        <w:t xml:space="preserve"> </w:t>
      </w:r>
      <w:r w:rsidRPr="00283806">
        <w:rPr>
          <w:w w:val="105"/>
        </w:rPr>
        <w:t>stated</w:t>
      </w:r>
      <w:r w:rsidRPr="00283806">
        <w:rPr>
          <w:spacing w:val="6"/>
          <w:w w:val="105"/>
        </w:rPr>
        <w:t xml:space="preserve"> </w:t>
      </w:r>
      <w:r w:rsidRPr="00283806">
        <w:rPr>
          <w:w w:val="105"/>
        </w:rPr>
        <w:t>that</w:t>
      </w:r>
      <w:r w:rsidRPr="00283806">
        <w:rPr>
          <w:spacing w:val="6"/>
          <w:w w:val="105"/>
        </w:rPr>
        <w:t xml:space="preserve"> </w:t>
      </w:r>
      <w:r w:rsidRPr="00283806">
        <w:rPr>
          <w:spacing w:val="-5"/>
          <w:w w:val="105"/>
        </w:rPr>
        <w:t>the</w:t>
      </w:r>
    </w:p>
    <w:p w14:paraId="206844B1" w14:textId="77777777" w:rsidR="00D67C1E" w:rsidRPr="00283806" w:rsidRDefault="001265CA">
      <w:pPr>
        <w:pStyle w:val="BodyText"/>
        <w:spacing w:before="2" w:line="225" w:lineRule="auto"/>
        <w:ind w:left="144" w:right="77"/>
      </w:pPr>
      <w:r w:rsidRPr="00283806">
        <w:rPr>
          <w:w w:val="105"/>
        </w:rPr>
        <w:t>proposed rule also violates the accelerated schedule provision of the AIM Act (42 U.S.C. 7675(f)). This</w:t>
      </w:r>
    </w:p>
    <w:p w14:paraId="5B2006BA" w14:textId="77777777" w:rsidR="00D67C1E" w:rsidRPr="00283806" w:rsidRDefault="001265CA">
      <w:pPr>
        <w:pStyle w:val="BodyText"/>
        <w:spacing w:line="225" w:lineRule="auto"/>
        <w:ind w:left="144" w:right="38"/>
      </w:pPr>
      <w:r w:rsidRPr="00283806">
        <w:rPr>
          <w:w w:val="105"/>
        </w:rPr>
        <w:t>commenter maintained that the proposed</w:t>
      </w:r>
      <w:r w:rsidRPr="00283806">
        <w:rPr>
          <w:spacing w:val="-4"/>
          <w:w w:val="105"/>
        </w:rPr>
        <w:t xml:space="preserve"> </w:t>
      </w:r>
      <w:r w:rsidRPr="00283806">
        <w:rPr>
          <w:w w:val="105"/>
        </w:rPr>
        <w:t>fire</w:t>
      </w:r>
      <w:r w:rsidRPr="00283806">
        <w:rPr>
          <w:spacing w:val="-4"/>
          <w:w w:val="105"/>
        </w:rPr>
        <w:t xml:space="preserve"> </w:t>
      </w:r>
      <w:r w:rsidRPr="00283806">
        <w:rPr>
          <w:w w:val="105"/>
        </w:rPr>
        <w:t>suppression</w:t>
      </w:r>
      <w:r w:rsidRPr="00283806">
        <w:rPr>
          <w:spacing w:val="-4"/>
          <w:w w:val="105"/>
        </w:rPr>
        <w:t xml:space="preserve"> </w:t>
      </w:r>
      <w:r w:rsidRPr="00283806">
        <w:rPr>
          <w:w w:val="105"/>
        </w:rPr>
        <w:t>requirements would result in a total ban on the production and consumption of virgin fire suppression HFCs as of January 1, 2025, which would be more stringent than the phasedown schedule under subsection (e)(2)(C) of the AIM Act.</w:t>
      </w:r>
    </w:p>
    <w:p w14:paraId="76AEF1E5" w14:textId="77777777" w:rsidR="00D67C1E" w:rsidRPr="00283806" w:rsidRDefault="001265CA">
      <w:pPr>
        <w:pStyle w:val="BodyText"/>
        <w:spacing w:line="225" w:lineRule="auto"/>
        <w:ind w:left="144" w:right="37"/>
      </w:pPr>
      <w:r w:rsidRPr="00283806">
        <w:rPr>
          <w:w w:val="105"/>
        </w:rPr>
        <w:t>Thus, they asserted that establishing an effective total ban on the production</w:t>
      </w:r>
      <w:r w:rsidRPr="00283806">
        <w:rPr>
          <w:spacing w:val="80"/>
          <w:w w:val="105"/>
        </w:rPr>
        <w:t xml:space="preserve"> </w:t>
      </w:r>
      <w:r w:rsidRPr="00283806">
        <w:rPr>
          <w:w w:val="105"/>
        </w:rPr>
        <w:t>and consumption of virgin fire suppression HFCs as of that date would require rulemaking following receipt of</w:t>
      </w:r>
      <w:r w:rsidRPr="00283806">
        <w:rPr>
          <w:spacing w:val="40"/>
          <w:w w:val="105"/>
        </w:rPr>
        <w:t xml:space="preserve"> </w:t>
      </w:r>
      <w:r w:rsidRPr="00283806">
        <w:rPr>
          <w:w w:val="105"/>
        </w:rPr>
        <w:t>a petition as specified in subsection (f)</w:t>
      </w:r>
      <w:r w:rsidRPr="00283806">
        <w:rPr>
          <w:spacing w:val="80"/>
          <w:w w:val="105"/>
        </w:rPr>
        <w:t xml:space="preserve"> </w:t>
      </w:r>
      <w:r w:rsidRPr="00283806">
        <w:rPr>
          <w:w w:val="105"/>
        </w:rPr>
        <w:t>of the AIM Act. The commenter also stated that the proposed requirement to use only recycled HFCs for initial fill is not supported based on the historical success of halon recycling, due to important differences between halons and HFCs and their use patterns. For example, the commenter stated that an important difference between HFCs and halons is their relative firefighting</w:t>
      </w:r>
    </w:p>
    <w:p w14:paraId="3082E6B6" w14:textId="77777777" w:rsidR="00D67C1E" w:rsidRPr="00283806" w:rsidRDefault="001265CA">
      <w:pPr>
        <w:pStyle w:val="BodyText"/>
        <w:spacing w:before="136" w:line="225" w:lineRule="auto"/>
        <w:ind w:right="232"/>
      </w:pPr>
      <w:r w:rsidRPr="00283806">
        <w:br w:type="column"/>
      </w:r>
      <w:r w:rsidRPr="00283806">
        <w:rPr>
          <w:w w:val="105"/>
        </w:rPr>
        <w:t>effectiveness. The commenter stated</w:t>
      </w:r>
      <w:r w:rsidRPr="00283806">
        <w:rPr>
          <w:spacing w:val="40"/>
          <w:w w:val="105"/>
        </w:rPr>
        <w:t xml:space="preserve"> </w:t>
      </w:r>
      <w:r w:rsidRPr="00283806">
        <w:rPr>
          <w:w w:val="105"/>
        </w:rPr>
        <w:t>that halons, bearing no blanket import restrictions, were successfully funneled into reuse under a production phaseout due to halon’s uniquely effective fire extinguishing properties. The</w:t>
      </w:r>
      <w:r w:rsidRPr="00283806">
        <w:rPr>
          <w:spacing w:val="40"/>
          <w:w w:val="105"/>
        </w:rPr>
        <w:t xml:space="preserve"> </w:t>
      </w:r>
      <w:r w:rsidRPr="00283806">
        <w:rPr>
          <w:w w:val="105"/>
        </w:rPr>
        <w:t>commenter further stated that market forces in critical applications like aerospace consistently supported a recycle market, maintaining sufficient value to drive recycling activity. The commenter maintained that HFCs do</w:t>
      </w:r>
      <w:r w:rsidRPr="00283806">
        <w:rPr>
          <w:spacing w:val="80"/>
          <w:w w:val="105"/>
        </w:rPr>
        <w:t xml:space="preserve"> </w:t>
      </w:r>
      <w:r w:rsidRPr="00283806">
        <w:rPr>
          <w:w w:val="105"/>
        </w:rPr>
        <w:t>not have the same level of market pull</w:t>
      </w:r>
      <w:r w:rsidRPr="00283806">
        <w:rPr>
          <w:spacing w:val="80"/>
          <w:w w:val="105"/>
        </w:rPr>
        <w:t xml:space="preserve"> </w:t>
      </w:r>
      <w:r w:rsidRPr="00283806">
        <w:rPr>
          <w:w w:val="105"/>
        </w:rPr>
        <w:t>to support recycling activity in a market that immediately accelerates the sunset of virgin material for initial fill versus</w:t>
      </w:r>
      <w:r w:rsidRPr="00283806">
        <w:rPr>
          <w:spacing w:val="40"/>
          <w:w w:val="105"/>
        </w:rPr>
        <w:t xml:space="preserve"> </w:t>
      </w:r>
      <w:r w:rsidRPr="00283806">
        <w:rPr>
          <w:w w:val="105"/>
        </w:rPr>
        <w:t xml:space="preserve">the anticipated phasedown schedule supported by the AIM Act framework </w:t>
      </w:r>
      <w:r w:rsidRPr="00283806">
        <w:rPr>
          <w:spacing w:val="-2"/>
          <w:w w:val="105"/>
        </w:rPr>
        <w:t>rule.</w:t>
      </w:r>
    </w:p>
    <w:p w14:paraId="28D9AC29" w14:textId="77777777" w:rsidR="00D67C1E" w:rsidRPr="00283806" w:rsidRDefault="001265CA">
      <w:pPr>
        <w:spacing w:line="178" w:lineRule="exact"/>
        <w:ind w:left="340"/>
        <w:rPr>
          <w:sz w:val="18"/>
        </w:rPr>
      </w:pPr>
      <w:r w:rsidRPr="00283806">
        <w:rPr>
          <w:rFonts w:ascii="Book Antiqua"/>
          <w:i/>
          <w:w w:val="110"/>
          <w:sz w:val="18"/>
        </w:rPr>
        <w:t>Response:</w:t>
      </w:r>
      <w:r w:rsidRPr="00283806">
        <w:rPr>
          <w:rFonts w:ascii="Book Antiqua"/>
          <w:i/>
          <w:spacing w:val="-2"/>
          <w:w w:val="110"/>
          <w:sz w:val="18"/>
        </w:rPr>
        <w:t xml:space="preserve"> </w:t>
      </w:r>
      <w:r w:rsidRPr="00283806">
        <w:rPr>
          <w:w w:val="110"/>
          <w:sz w:val="18"/>
        </w:rPr>
        <w:t>EPA</w:t>
      </w:r>
      <w:r w:rsidRPr="00283806">
        <w:rPr>
          <w:spacing w:val="3"/>
          <w:w w:val="110"/>
          <w:sz w:val="18"/>
        </w:rPr>
        <w:t xml:space="preserve"> </w:t>
      </w:r>
      <w:r w:rsidRPr="00283806">
        <w:rPr>
          <w:w w:val="110"/>
          <w:sz w:val="18"/>
        </w:rPr>
        <w:t>disagrees</w:t>
      </w:r>
      <w:r w:rsidRPr="00283806">
        <w:rPr>
          <w:spacing w:val="4"/>
          <w:w w:val="110"/>
          <w:sz w:val="18"/>
        </w:rPr>
        <w:t xml:space="preserve"> </w:t>
      </w:r>
      <w:r w:rsidRPr="00283806">
        <w:rPr>
          <w:w w:val="110"/>
          <w:sz w:val="18"/>
        </w:rPr>
        <w:t>with</w:t>
      </w:r>
      <w:r w:rsidRPr="00283806">
        <w:rPr>
          <w:spacing w:val="3"/>
          <w:w w:val="110"/>
          <w:sz w:val="18"/>
        </w:rPr>
        <w:t xml:space="preserve"> </w:t>
      </w:r>
      <w:r w:rsidRPr="00283806">
        <w:rPr>
          <w:spacing w:val="-5"/>
          <w:w w:val="110"/>
          <w:sz w:val="18"/>
        </w:rPr>
        <w:t>the</w:t>
      </w:r>
    </w:p>
    <w:p w14:paraId="41AE64C8" w14:textId="77777777" w:rsidR="00D67C1E" w:rsidRPr="00283806" w:rsidRDefault="001265CA">
      <w:pPr>
        <w:pStyle w:val="BodyText"/>
        <w:spacing w:line="225" w:lineRule="auto"/>
        <w:ind w:right="173"/>
      </w:pPr>
      <w:r w:rsidRPr="00283806">
        <w:rPr>
          <w:w w:val="105"/>
        </w:rPr>
        <w:t>commenters’ assertion that finalizing these</w:t>
      </w:r>
      <w:r w:rsidRPr="00283806">
        <w:rPr>
          <w:spacing w:val="-7"/>
          <w:w w:val="105"/>
        </w:rPr>
        <w:t xml:space="preserve"> </w:t>
      </w:r>
      <w:r w:rsidRPr="00283806">
        <w:rPr>
          <w:w w:val="105"/>
        </w:rPr>
        <w:t>requirements</w:t>
      </w:r>
      <w:r w:rsidRPr="00283806">
        <w:rPr>
          <w:spacing w:val="-7"/>
          <w:w w:val="105"/>
        </w:rPr>
        <w:t xml:space="preserve"> </w:t>
      </w:r>
      <w:r w:rsidRPr="00283806">
        <w:rPr>
          <w:w w:val="105"/>
        </w:rPr>
        <w:t>under</w:t>
      </w:r>
      <w:r w:rsidRPr="00283806">
        <w:rPr>
          <w:spacing w:val="-7"/>
          <w:w w:val="105"/>
        </w:rPr>
        <w:t xml:space="preserve"> </w:t>
      </w:r>
      <w:r w:rsidRPr="00283806">
        <w:rPr>
          <w:w w:val="105"/>
        </w:rPr>
        <w:t>subsection</w:t>
      </w:r>
      <w:r w:rsidRPr="00283806">
        <w:rPr>
          <w:spacing w:val="-7"/>
          <w:w w:val="105"/>
        </w:rPr>
        <w:t xml:space="preserve"> </w:t>
      </w:r>
      <w:r w:rsidRPr="00283806">
        <w:rPr>
          <w:w w:val="105"/>
        </w:rPr>
        <w:t>(h) regarding recycled fire suppression agents is a phaseout of HFCs or an acceleration of the phasedown under subsection (f) of the AIM Act. EPA</w:t>
      </w:r>
      <w:r w:rsidRPr="00283806">
        <w:rPr>
          <w:spacing w:val="40"/>
          <w:w w:val="105"/>
        </w:rPr>
        <w:t xml:space="preserve"> </w:t>
      </w:r>
      <w:r w:rsidRPr="00283806">
        <w:rPr>
          <w:w w:val="105"/>
        </w:rPr>
        <w:t>further disagrees with the commenters’ conclusion that these requirements are not authorized under the AIM Act.</w:t>
      </w:r>
    </w:p>
    <w:p w14:paraId="5A5D15DC" w14:textId="77777777" w:rsidR="00D67C1E" w:rsidRPr="00283806" w:rsidRDefault="001265CA">
      <w:pPr>
        <w:pStyle w:val="BodyText"/>
        <w:spacing w:line="177" w:lineRule="exact"/>
        <w:ind w:left="340"/>
      </w:pPr>
      <w:r w:rsidRPr="00283806">
        <w:rPr>
          <w:w w:val="110"/>
        </w:rPr>
        <w:t>While</w:t>
      </w:r>
      <w:r w:rsidRPr="00283806">
        <w:rPr>
          <w:spacing w:val="8"/>
          <w:w w:val="110"/>
        </w:rPr>
        <w:t xml:space="preserve"> </w:t>
      </w:r>
      <w:r w:rsidRPr="00283806">
        <w:rPr>
          <w:w w:val="110"/>
        </w:rPr>
        <w:t>the</w:t>
      </w:r>
      <w:r w:rsidRPr="00283806">
        <w:rPr>
          <w:spacing w:val="9"/>
          <w:w w:val="110"/>
        </w:rPr>
        <w:t xml:space="preserve"> </w:t>
      </w:r>
      <w:r w:rsidRPr="00283806">
        <w:rPr>
          <w:w w:val="110"/>
        </w:rPr>
        <w:t>AIM</w:t>
      </w:r>
      <w:r w:rsidRPr="00283806">
        <w:rPr>
          <w:spacing w:val="8"/>
          <w:w w:val="110"/>
        </w:rPr>
        <w:t xml:space="preserve"> </w:t>
      </w:r>
      <w:r w:rsidRPr="00283806">
        <w:rPr>
          <w:w w:val="110"/>
        </w:rPr>
        <w:t>Act</w:t>
      </w:r>
      <w:r w:rsidRPr="00283806">
        <w:rPr>
          <w:spacing w:val="9"/>
          <w:w w:val="110"/>
        </w:rPr>
        <w:t xml:space="preserve"> </w:t>
      </w:r>
      <w:r w:rsidRPr="00283806">
        <w:rPr>
          <w:spacing w:val="-2"/>
          <w:w w:val="110"/>
        </w:rPr>
        <w:t>includes</w:t>
      </w:r>
    </w:p>
    <w:p w14:paraId="401C8485" w14:textId="77777777" w:rsidR="00D67C1E" w:rsidRPr="00283806" w:rsidRDefault="001265CA">
      <w:pPr>
        <w:pStyle w:val="BodyText"/>
        <w:spacing w:before="2" w:line="225" w:lineRule="auto"/>
        <w:ind w:right="221"/>
        <w:jc w:val="both"/>
      </w:pPr>
      <w:r w:rsidRPr="00283806">
        <w:rPr>
          <w:w w:val="110"/>
        </w:rPr>
        <w:t>provisions</w:t>
      </w:r>
      <w:r w:rsidRPr="00283806">
        <w:rPr>
          <w:spacing w:val="-11"/>
          <w:w w:val="110"/>
        </w:rPr>
        <w:t xml:space="preserve"> </w:t>
      </w:r>
      <w:r w:rsidRPr="00283806">
        <w:rPr>
          <w:w w:val="110"/>
        </w:rPr>
        <w:t>related</w:t>
      </w:r>
      <w:r w:rsidRPr="00283806">
        <w:rPr>
          <w:spacing w:val="-11"/>
          <w:w w:val="110"/>
        </w:rPr>
        <w:t xml:space="preserve"> </w:t>
      </w:r>
      <w:r w:rsidRPr="00283806">
        <w:rPr>
          <w:w w:val="110"/>
        </w:rPr>
        <w:t>to</w:t>
      </w:r>
      <w:r w:rsidRPr="00283806">
        <w:rPr>
          <w:spacing w:val="-11"/>
          <w:w w:val="110"/>
        </w:rPr>
        <w:t xml:space="preserve"> </w:t>
      </w:r>
      <w:r w:rsidRPr="00283806">
        <w:rPr>
          <w:w w:val="110"/>
        </w:rPr>
        <w:t>the</w:t>
      </w:r>
      <w:r w:rsidRPr="00283806">
        <w:rPr>
          <w:spacing w:val="-11"/>
          <w:w w:val="110"/>
        </w:rPr>
        <w:t xml:space="preserve"> </w:t>
      </w:r>
      <w:r w:rsidRPr="00283806">
        <w:rPr>
          <w:w w:val="110"/>
        </w:rPr>
        <w:t>phasedown</w:t>
      </w:r>
      <w:r w:rsidRPr="00283806">
        <w:rPr>
          <w:spacing w:val="-11"/>
          <w:w w:val="110"/>
        </w:rPr>
        <w:t xml:space="preserve"> </w:t>
      </w:r>
      <w:r w:rsidRPr="00283806">
        <w:rPr>
          <w:w w:val="110"/>
        </w:rPr>
        <w:t>of production and consumption of HFCs, including</w:t>
      </w:r>
      <w:r w:rsidRPr="00283806">
        <w:rPr>
          <w:spacing w:val="-3"/>
          <w:w w:val="110"/>
        </w:rPr>
        <w:t xml:space="preserve"> </w:t>
      </w:r>
      <w:r w:rsidRPr="00283806">
        <w:rPr>
          <w:w w:val="110"/>
        </w:rPr>
        <w:t>the</w:t>
      </w:r>
      <w:r w:rsidRPr="00283806">
        <w:rPr>
          <w:spacing w:val="-2"/>
          <w:w w:val="110"/>
        </w:rPr>
        <w:t xml:space="preserve"> </w:t>
      </w:r>
      <w:r w:rsidRPr="00283806">
        <w:rPr>
          <w:w w:val="110"/>
        </w:rPr>
        <w:t>provisions</w:t>
      </w:r>
      <w:r w:rsidRPr="00283806">
        <w:rPr>
          <w:spacing w:val="-2"/>
          <w:w w:val="110"/>
        </w:rPr>
        <w:t xml:space="preserve"> </w:t>
      </w:r>
      <w:r w:rsidRPr="00283806">
        <w:rPr>
          <w:w w:val="110"/>
        </w:rPr>
        <w:t>in</w:t>
      </w:r>
      <w:r w:rsidRPr="00283806">
        <w:rPr>
          <w:spacing w:val="-2"/>
          <w:w w:val="110"/>
        </w:rPr>
        <w:t xml:space="preserve"> </w:t>
      </w:r>
      <w:r w:rsidRPr="00283806">
        <w:rPr>
          <w:spacing w:val="-4"/>
          <w:w w:val="110"/>
        </w:rPr>
        <w:t>subsections</w:t>
      </w:r>
    </w:p>
    <w:p w14:paraId="2114B5DD" w14:textId="77777777" w:rsidR="00D67C1E" w:rsidRPr="00283806" w:rsidRDefault="001265CA">
      <w:pPr>
        <w:pStyle w:val="BodyText"/>
        <w:spacing w:line="225" w:lineRule="auto"/>
        <w:ind w:right="199"/>
      </w:pPr>
      <w:r w:rsidRPr="00283806">
        <w:rPr>
          <w:w w:val="105"/>
        </w:rPr>
        <w:t>(e) and (f) of the Act, it also includes separate and additional regulatory authorities, such as those in subsection</w:t>
      </w:r>
    </w:p>
    <w:p w14:paraId="3291A711" w14:textId="77777777" w:rsidR="00D67C1E" w:rsidRPr="00283806" w:rsidRDefault="001265CA">
      <w:pPr>
        <w:pStyle w:val="BodyText"/>
        <w:spacing w:line="225" w:lineRule="auto"/>
        <w:ind w:right="159"/>
      </w:pPr>
      <w:r w:rsidRPr="00283806">
        <w:rPr>
          <w:w w:val="105"/>
        </w:rPr>
        <w:t>(h) of the Act. As explained in detail throughout, this rule is promulgated under subsection (h) of the AIM Act, not subsections (e) or (f). Subsection (h)</w:t>
      </w:r>
      <w:r w:rsidRPr="00283806">
        <w:rPr>
          <w:spacing w:val="80"/>
          <w:w w:val="105"/>
        </w:rPr>
        <w:t xml:space="preserve"> </w:t>
      </w:r>
      <w:r w:rsidRPr="00283806">
        <w:rPr>
          <w:w w:val="105"/>
        </w:rPr>
        <w:t>uses different language from subsections</w:t>
      </w:r>
    </w:p>
    <w:p w14:paraId="18C31178" w14:textId="77777777" w:rsidR="00D67C1E" w:rsidRPr="00283806" w:rsidRDefault="001265CA">
      <w:pPr>
        <w:pStyle w:val="BodyText"/>
        <w:spacing w:line="225" w:lineRule="auto"/>
        <w:ind w:right="131"/>
      </w:pPr>
      <w:r w:rsidRPr="00283806">
        <w:rPr>
          <w:w w:val="105"/>
        </w:rPr>
        <w:t>(e) and (f), and it is framed differently. EPA interprets Congress’ direction</w:t>
      </w:r>
      <w:r w:rsidRPr="00283806">
        <w:rPr>
          <w:spacing w:val="80"/>
          <w:w w:val="105"/>
        </w:rPr>
        <w:t xml:space="preserve"> </w:t>
      </w:r>
      <w:r w:rsidRPr="00283806">
        <w:rPr>
          <w:w w:val="105"/>
        </w:rPr>
        <w:t>under these subsections as different and as providing distinct authorities that are tailored to the respective areas of focus</w:t>
      </w:r>
      <w:r w:rsidRPr="00283806">
        <w:rPr>
          <w:spacing w:val="40"/>
          <w:w w:val="105"/>
        </w:rPr>
        <w:t xml:space="preserve"> </w:t>
      </w:r>
      <w:r w:rsidRPr="00283806">
        <w:rPr>
          <w:w w:val="105"/>
        </w:rPr>
        <w:t>of these subsections, so that EPA can establish regulatory regimes that effectively achieve each subsection’s purposes. For example, subsection (e)(1)(A) directs EPA to establish production and consumption baselines ‘‘for all regulated substances in the</w:t>
      </w:r>
      <w:r w:rsidRPr="00283806">
        <w:rPr>
          <w:spacing w:val="40"/>
          <w:w w:val="105"/>
        </w:rPr>
        <w:t xml:space="preserve"> </w:t>
      </w:r>
      <w:r w:rsidRPr="00283806">
        <w:rPr>
          <w:w w:val="105"/>
        </w:rPr>
        <w:t>United States,’’ and subsection (e)(2)(B) describes the methodology for determining the quantity of regulated substances that may be ‘‘produced or consumed in the United States’’ in a particular calendar year by multiplying the percentage listed for that year in subsection</w:t>
      </w:r>
      <w:r w:rsidRPr="00283806">
        <w:rPr>
          <w:spacing w:val="-8"/>
          <w:w w:val="105"/>
        </w:rPr>
        <w:t xml:space="preserve"> </w:t>
      </w:r>
      <w:r w:rsidRPr="00283806">
        <w:rPr>
          <w:w w:val="105"/>
        </w:rPr>
        <w:t>(e)(2)(C)</w:t>
      </w:r>
      <w:r w:rsidRPr="00283806">
        <w:rPr>
          <w:spacing w:val="-8"/>
          <w:w w:val="105"/>
        </w:rPr>
        <w:t xml:space="preserve"> </w:t>
      </w:r>
      <w:r w:rsidRPr="00283806">
        <w:rPr>
          <w:w w:val="105"/>
        </w:rPr>
        <w:t>by</w:t>
      </w:r>
      <w:r w:rsidRPr="00283806">
        <w:rPr>
          <w:spacing w:val="-8"/>
          <w:w w:val="105"/>
        </w:rPr>
        <w:t xml:space="preserve"> </w:t>
      </w:r>
      <w:r w:rsidRPr="00283806">
        <w:rPr>
          <w:w w:val="105"/>
        </w:rPr>
        <w:t>the</w:t>
      </w:r>
      <w:r w:rsidRPr="00283806">
        <w:rPr>
          <w:spacing w:val="-8"/>
          <w:w w:val="105"/>
        </w:rPr>
        <w:t xml:space="preserve"> </w:t>
      </w:r>
      <w:r w:rsidRPr="00283806">
        <w:rPr>
          <w:w w:val="105"/>
        </w:rPr>
        <w:t>production</w:t>
      </w:r>
      <w:r w:rsidRPr="00283806">
        <w:rPr>
          <w:spacing w:val="-8"/>
          <w:w w:val="105"/>
        </w:rPr>
        <w:t xml:space="preserve"> </w:t>
      </w:r>
      <w:r w:rsidRPr="00283806">
        <w:rPr>
          <w:w w:val="105"/>
        </w:rPr>
        <w:t>or consumption baseline. EPA’s implementing regulations for these provisions</w:t>
      </w:r>
      <w:r w:rsidRPr="00283806">
        <w:rPr>
          <w:spacing w:val="40"/>
          <w:w w:val="105"/>
        </w:rPr>
        <w:t xml:space="preserve"> </w:t>
      </w:r>
      <w:r w:rsidRPr="00283806">
        <w:rPr>
          <w:w w:val="105"/>
        </w:rPr>
        <w:t>establish</w:t>
      </w:r>
      <w:r w:rsidRPr="00283806">
        <w:rPr>
          <w:spacing w:val="40"/>
          <w:w w:val="105"/>
        </w:rPr>
        <w:t xml:space="preserve"> </w:t>
      </w:r>
      <w:r w:rsidRPr="00283806">
        <w:rPr>
          <w:w w:val="105"/>
        </w:rPr>
        <w:t>limits</w:t>
      </w:r>
      <w:r w:rsidRPr="00283806">
        <w:rPr>
          <w:spacing w:val="40"/>
          <w:w w:val="105"/>
        </w:rPr>
        <w:t xml:space="preserve"> </w:t>
      </w:r>
      <w:r w:rsidRPr="00283806">
        <w:rPr>
          <w:w w:val="105"/>
        </w:rPr>
        <w:t>on</w:t>
      </w:r>
      <w:r w:rsidRPr="00283806">
        <w:rPr>
          <w:spacing w:val="40"/>
          <w:w w:val="105"/>
        </w:rPr>
        <w:t xml:space="preserve"> </w:t>
      </w:r>
      <w:r w:rsidRPr="00283806">
        <w:rPr>
          <w:w w:val="105"/>
        </w:rPr>
        <w:t>the ‘‘[t]</w:t>
      </w:r>
      <w:proofErr w:type="spellStart"/>
      <w:r w:rsidRPr="00283806">
        <w:rPr>
          <w:w w:val="105"/>
        </w:rPr>
        <w:t>otal</w:t>
      </w:r>
      <w:proofErr w:type="spellEnd"/>
      <w:r w:rsidRPr="00283806">
        <w:rPr>
          <w:w w:val="105"/>
        </w:rPr>
        <w:t xml:space="preserve"> production and consumption of regulated substances in the United</w:t>
      </w:r>
      <w:r w:rsidRPr="00283806">
        <w:rPr>
          <w:spacing w:val="80"/>
          <w:w w:val="105"/>
        </w:rPr>
        <w:t xml:space="preserve"> </w:t>
      </w:r>
      <w:r w:rsidRPr="00283806">
        <w:rPr>
          <w:w w:val="105"/>
        </w:rPr>
        <w:t>States in each year’’ (40 CFR 84.7) that apply to HFC production and consumption in the United States on an</w:t>
      </w:r>
    </w:p>
    <w:p w14:paraId="0E81D75A"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6" w:space="40"/>
            <w:col w:w="3481" w:space="43"/>
            <w:col w:w="3640"/>
          </w:cols>
        </w:sectPr>
      </w:pPr>
    </w:p>
    <w:p w14:paraId="262F585C" w14:textId="77777777" w:rsidR="00D67C1E" w:rsidRPr="00283806" w:rsidRDefault="001265CA">
      <w:pPr>
        <w:pStyle w:val="BodyText"/>
        <w:spacing w:before="136" w:line="225" w:lineRule="auto"/>
      </w:pPr>
      <w:r w:rsidRPr="00283806">
        <w:rPr>
          <w:w w:val="105"/>
        </w:rPr>
        <w:lastRenderedPageBreak/>
        <w:t>economy-wide basis. Subsection (f) addresses the EPA Administrator’s authority to ‘‘promulgate regulations</w:t>
      </w:r>
      <w:r w:rsidRPr="00283806">
        <w:rPr>
          <w:spacing w:val="80"/>
          <w:w w:val="105"/>
        </w:rPr>
        <w:t xml:space="preserve"> </w:t>
      </w:r>
      <w:r w:rsidRPr="00283806">
        <w:rPr>
          <w:w w:val="105"/>
        </w:rPr>
        <w:t>that establish a schedule for phasing down the production or consumption of regulated substances that is more stringent than the production and consumption levels of regulated substances required under subsection (e)(2)(C)’’ and the requirements for such regulations. The comment does not provide any data or analysis that indicates that the requirements to use recycled fire suppression agents in this rule would alter the phase down</w:t>
      </w:r>
      <w:r w:rsidRPr="00283806">
        <w:rPr>
          <w:spacing w:val="40"/>
          <w:w w:val="105"/>
        </w:rPr>
        <w:t xml:space="preserve"> </w:t>
      </w:r>
      <w:r w:rsidRPr="00283806">
        <w:rPr>
          <w:w w:val="105"/>
        </w:rPr>
        <w:t>schedule established under subsection (e)(2)(C). EPA codified numeric levels of permissible production and</w:t>
      </w:r>
      <w:r w:rsidRPr="00283806">
        <w:rPr>
          <w:spacing w:val="80"/>
          <w:w w:val="105"/>
        </w:rPr>
        <w:t xml:space="preserve"> </w:t>
      </w:r>
      <w:r w:rsidRPr="00283806">
        <w:rPr>
          <w:w w:val="105"/>
        </w:rPr>
        <w:t>consumption</w:t>
      </w:r>
      <w:r w:rsidRPr="00283806">
        <w:rPr>
          <w:spacing w:val="7"/>
          <w:w w:val="105"/>
        </w:rPr>
        <w:t xml:space="preserve"> </w:t>
      </w:r>
      <w:r w:rsidRPr="00283806">
        <w:rPr>
          <w:w w:val="105"/>
        </w:rPr>
        <w:t>in</w:t>
      </w:r>
      <w:r w:rsidRPr="00283806">
        <w:rPr>
          <w:spacing w:val="8"/>
          <w:w w:val="105"/>
        </w:rPr>
        <w:t xml:space="preserve"> </w:t>
      </w:r>
      <w:r w:rsidRPr="00283806">
        <w:rPr>
          <w:w w:val="105"/>
        </w:rPr>
        <w:t>40</w:t>
      </w:r>
      <w:r w:rsidRPr="00283806">
        <w:rPr>
          <w:spacing w:val="8"/>
          <w:w w:val="105"/>
        </w:rPr>
        <w:t xml:space="preserve"> </w:t>
      </w:r>
      <w:r w:rsidRPr="00283806">
        <w:rPr>
          <w:w w:val="105"/>
        </w:rPr>
        <w:t>CFR</w:t>
      </w:r>
      <w:r w:rsidRPr="00283806">
        <w:rPr>
          <w:spacing w:val="8"/>
          <w:w w:val="105"/>
        </w:rPr>
        <w:t xml:space="preserve"> </w:t>
      </w:r>
      <w:r w:rsidRPr="00283806">
        <w:rPr>
          <w:w w:val="105"/>
        </w:rPr>
        <w:t>84.7(b)(3),</w:t>
      </w:r>
      <w:r w:rsidRPr="00283806">
        <w:rPr>
          <w:spacing w:val="8"/>
          <w:w w:val="105"/>
        </w:rPr>
        <w:t xml:space="preserve"> </w:t>
      </w:r>
      <w:r w:rsidRPr="00283806">
        <w:rPr>
          <w:spacing w:val="-2"/>
          <w:w w:val="105"/>
        </w:rPr>
        <w:t>Table</w:t>
      </w:r>
    </w:p>
    <w:p w14:paraId="015D91E6" w14:textId="77777777" w:rsidR="00D67C1E" w:rsidRPr="00283806" w:rsidRDefault="001265CA">
      <w:pPr>
        <w:pStyle w:val="BodyText"/>
        <w:spacing w:line="225" w:lineRule="auto"/>
        <w:ind w:right="54"/>
      </w:pPr>
      <w:r w:rsidRPr="00283806">
        <w:rPr>
          <w:w w:val="105"/>
        </w:rPr>
        <w:t>2. EPA did not propose and is not taking any</w:t>
      </w:r>
      <w:r w:rsidRPr="00283806">
        <w:rPr>
          <w:spacing w:val="40"/>
          <w:w w:val="105"/>
        </w:rPr>
        <w:t xml:space="preserve"> </w:t>
      </w:r>
      <w:r w:rsidRPr="00283806">
        <w:rPr>
          <w:w w:val="105"/>
        </w:rPr>
        <w:t>action</w:t>
      </w:r>
      <w:r w:rsidRPr="00283806">
        <w:rPr>
          <w:spacing w:val="40"/>
          <w:w w:val="105"/>
        </w:rPr>
        <w:t xml:space="preserve"> </w:t>
      </w:r>
      <w:r w:rsidRPr="00283806">
        <w:rPr>
          <w:w w:val="105"/>
        </w:rPr>
        <w:t>in</w:t>
      </w:r>
      <w:r w:rsidRPr="00283806">
        <w:rPr>
          <w:spacing w:val="40"/>
          <w:w w:val="105"/>
        </w:rPr>
        <w:t xml:space="preserve"> </w:t>
      </w:r>
      <w:r w:rsidRPr="00283806">
        <w:rPr>
          <w:w w:val="105"/>
        </w:rPr>
        <w:t>this</w:t>
      </w:r>
      <w:r w:rsidRPr="00283806">
        <w:rPr>
          <w:spacing w:val="40"/>
          <w:w w:val="105"/>
        </w:rPr>
        <w:t xml:space="preserve"> </w:t>
      </w:r>
      <w:r w:rsidRPr="00283806">
        <w:rPr>
          <w:w w:val="105"/>
        </w:rPr>
        <w:t>rulemaking</w:t>
      </w:r>
      <w:r w:rsidRPr="00283806">
        <w:rPr>
          <w:spacing w:val="40"/>
          <w:w w:val="105"/>
        </w:rPr>
        <w:t xml:space="preserve"> </w:t>
      </w:r>
      <w:r w:rsidRPr="00283806">
        <w:rPr>
          <w:w w:val="105"/>
        </w:rPr>
        <w:t>that would change the economy-wide phasedown schedule established in subsection (e)(2)(C) or the numeric</w:t>
      </w:r>
      <w:r w:rsidRPr="00283806">
        <w:rPr>
          <w:spacing w:val="40"/>
          <w:w w:val="105"/>
        </w:rPr>
        <w:t xml:space="preserve"> </w:t>
      </w:r>
      <w:r w:rsidRPr="00283806">
        <w:rPr>
          <w:w w:val="105"/>
        </w:rPr>
        <w:t>levels of permissible production and consumption codified in 40 CFR 84.7(b).</w:t>
      </w:r>
      <w:r w:rsidRPr="00283806">
        <w:rPr>
          <w:w w:val="105"/>
          <w:position w:val="5"/>
          <w:sz w:val="11"/>
        </w:rPr>
        <w:t>126</w:t>
      </w:r>
      <w:r w:rsidRPr="00283806">
        <w:rPr>
          <w:spacing w:val="40"/>
          <w:w w:val="105"/>
          <w:position w:val="5"/>
          <w:sz w:val="11"/>
        </w:rPr>
        <w:t xml:space="preserve"> </w:t>
      </w:r>
      <w:r w:rsidRPr="00283806">
        <w:rPr>
          <w:w w:val="105"/>
        </w:rPr>
        <w:t>The production and consumption phasedown is</w:t>
      </w:r>
      <w:r w:rsidRPr="00283806">
        <w:rPr>
          <w:spacing w:val="80"/>
          <w:w w:val="105"/>
        </w:rPr>
        <w:t xml:space="preserve"> </w:t>
      </w:r>
      <w:r w:rsidRPr="00283806">
        <w:rPr>
          <w:w w:val="105"/>
        </w:rPr>
        <w:t xml:space="preserve">implemented on an exchange value- weighted basis (rather than establishing caps for particular HFCs), and this rule does not alter the amount of HFC production and consumption allowed in any year on an exchange value-weighted basis, nor does it alter the number of allowances that EPA will allocate in a future year. Further, it does not prohibit any production or import of any HFC. HFCs affected by the rule’s requirements to use recycled fire suppression </w:t>
      </w:r>
      <w:proofErr w:type="gramStart"/>
      <w:r w:rsidRPr="00283806">
        <w:rPr>
          <w:w w:val="105"/>
        </w:rPr>
        <w:t>agent</w:t>
      </w:r>
      <w:proofErr w:type="gramEnd"/>
      <w:r w:rsidRPr="00283806">
        <w:rPr>
          <w:spacing w:val="80"/>
          <w:w w:val="105"/>
        </w:rPr>
        <w:t xml:space="preserve"> </w:t>
      </w:r>
      <w:r w:rsidRPr="00283806">
        <w:rPr>
          <w:w w:val="105"/>
        </w:rPr>
        <w:t xml:space="preserve">are not exclusively used for fire </w:t>
      </w:r>
      <w:r w:rsidRPr="00283806">
        <w:rPr>
          <w:spacing w:val="-2"/>
          <w:w w:val="105"/>
        </w:rPr>
        <w:t>suppression.</w:t>
      </w:r>
    </w:p>
    <w:p w14:paraId="7DB2DB2D" w14:textId="77777777" w:rsidR="00D67C1E" w:rsidRPr="00283806" w:rsidRDefault="001265CA">
      <w:pPr>
        <w:pStyle w:val="BodyText"/>
        <w:spacing w:line="172" w:lineRule="exact"/>
        <w:ind w:left="340"/>
      </w:pPr>
      <w:r w:rsidRPr="00283806">
        <w:rPr>
          <w:w w:val="105"/>
        </w:rPr>
        <w:t>In</w:t>
      </w:r>
      <w:r w:rsidRPr="00283806">
        <w:rPr>
          <w:spacing w:val="6"/>
          <w:w w:val="105"/>
        </w:rPr>
        <w:t xml:space="preserve"> </w:t>
      </w:r>
      <w:r w:rsidRPr="00283806">
        <w:rPr>
          <w:w w:val="105"/>
        </w:rPr>
        <w:t>contrast</w:t>
      </w:r>
      <w:r w:rsidRPr="00283806">
        <w:rPr>
          <w:spacing w:val="7"/>
          <w:w w:val="105"/>
        </w:rPr>
        <w:t xml:space="preserve"> </w:t>
      </w:r>
      <w:r w:rsidRPr="00283806">
        <w:rPr>
          <w:w w:val="105"/>
        </w:rPr>
        <w:t>to</w:t>
      </w:r>
      <w:r w:rsidRPr="00283806">
        <w:rPr>
          <w:spacing w:val="6"/>
          <w:w w:val="105"/>
        </w:rPr>
        <w:t xml:space="preserve"> </w:t>
      </w:r>
      <w:r w:rsidRPr="00283806">
        <w:rPr>
          <w:w w:val="105"/>
        </w:rPr>
        <w:t>the</w:t>
      </w:r>
      <w:r w:rsidRPr="00283806">
        <w:rPr>
          <w:spacing w:val="7"/>
          <w:w w:val="105"/>
        </w:rPr>
        <w:t xml:space="preserve"> </w:t>
      </w:r>
      <w:r w:rsidRPr="00283806">
        <w:rPr>
          <w:w w:val="105"/>
        </w:rPr>
        <w:t>focus</w:t>
      </w:r>
      <w:r w:rsidRPr="00283806">
        <w:rPr>
          <w:spacing w:val="7"/>
          <w:w w:val="105"/>
        </w:rPr>
        <w:t xml:space="preserve"> </w:t>
      </w:r>
      <w:r w:rsidRPr="00283806">
        <w:rPr>
          <w:w w:val="105"/>
        </w:rPr>
        <w:t>on</w:t>
      </w:r>
      <w:r w:rsidRPr="00283806">
        <w:rPr>
          <w:spacing w:val="6"/>
          <w:w w:val="105"/>
        </w:rPr>
        <w:t xml:space="preserve"> </w:t>
      </w:r>
      <w:r w:rsidRPr="00283806">
        <w:rPr>
          <w:spacing w:val="-5"/>
          <w:w w:val="105"/>
        </w:rPr>
        <w:t>the</w:t>
      </w:r>
    </w:p>
    <w:p w14:paraId="518F3726" w14:textId="77777777" w:rsidR="00D67C1E" w:rsidRPr="00283806" w:rsidRDefault="001265CA">
      <w:pPr>
        <w:pStyle w:val="BodyText"/>
        <w:spacing w:line="228" w:lineRule="auto"/>
        <w:ind w:right="24"/>
      </w:pPr>
      <w:r w:rsidRPr="00283806">
        <w:rPr>
          <w:w w:val="105"/>
        </w:rPr>
        <w:t>phasedown of production and consumption in subsections (e) and (f), subsection</w:t>
      </w:r>
      <w:r w:rsidRPr="00283806">
        <w:rPr>
          <w:spacing w:val="-7"/>
          <w:w w:val="105"/>
        </w:rPr>
        <w:t xml:space="preserve"> </w:t>
      </w:r>
      <w:r w:rsidRPr="00283806">
        <w:rPr>
          <w:w w:val="105"/>
        </w:rPr>
        <w:t>(h)</w:t>
      </w:r>
      <w:r w:rsidRPr="00283806">
        <w:rPr>
          <w:spacing w:val="-7"/>
          <w:w w:val="105"/>
        </w:rPr>
        <w:t xml:space="preserve"> </w:t>
      </w:r>
      <w:r w:rsidRPr="00283806">
        <w:rPr>
          <w:w w:val="105"/>
        </w:rPr>
        <w:t>is</w:t>
      </w:r>
      <w:r w:rsidRPr="00283806">
        <w:rPr>
          <w:spacing w:val="-7"/>
          <w:w w:val="105"/>
        </w:rPr>
        <w:t xml:space="preserve"> </w:t>
      </w:r>
      <w:r w:rsidRPr="00283806">
        <w:rPr>
          <w:w w:val="105"/>
        </w:rPr>
        <w:t>targeted</w:t>
      </w:r>
      <w:r w:rsidRPr="00283806">
        <w:rPr>
          <w:spacing w:val="-7"/>
          <w:w w:val="105"/>
        </w:rPr>
        <w:t xml:space="preserve"> </w:t>
      </w:r>
      <w:r w:rsidRPr="00283806">
        <w:rPr>
          <w:w w:val="105"/>
        </w:rPr>
        <w:t>at</w:t>
      </w:r>
      <w:r w:rsidRPr="00283806">
        <w:rPr>
          <w:spacing w:val="-7"/>
          <w:w w:val="105"/>
        </w:rPr>
        <w:t xml:space="preserve"> </w:t>
      </w:r>
      <w:r w:rsidRPr="00283806">
        <w:rPr>
          <w:w w:val="105"/>
        </w:rPr>
        <w:t>management of regulated substances. As relevant</w:t>
      </w:r>
      <w:r w:rsidRPr="00283806">
        <w:rPr>
          <w:spacing w:val="80"/>
          <w:w w:val="105"/>
        </w:rPr>
        <w:t xml:space="preserve"> </w:t>
      </w:r>
      <w:r w:rsidRPr="00283806">
        <w:rPr>
          <w:w w:val="105"/>
        </w:rPr>
        <w:t>here, subsection (h)(1) directs EPA to ‘‘promulgate regulations to control, where appropriate, any practice,</w:t>
      </w:r>
      <w:r w:rsidRPr="00283806">
        <w:rPr>
          <w:spacing w:val="80"/>
          <w:w w:val="105"/>
        </w:rPr>
        <w:t xml:space="preserve"> </w:t>
      </w:r>
      <w:r w:rsidRPr="00283806">
        <w:rPr>
          <w:w w:val="105"/>
        </w:rPr>
        <w:t>process, or activity regarding the servicing,</w:t>
      </w:r>
      <w:r w:rsidRPr="00283806">
        <w:rPr>
          <w:spacing w:val="40"/>
          <w:w w:val="105"/>
        </w:rPr>
        <w:t xml:space="preserve"> </w:t>
      </w:r>
      <w:r w:rsidRPr="00283806">
        <w:rPr>
          <w:w w:val="105"/>
        </w:rPr>
        <w:t>repair,</w:t>
      </w:r>
      <w:r w:rsidRPr="00283806">
        <w:rPr>
          <w:spacing w:val="40"/>
          <w:w w:val="105"/>
        </w:rPr>
        <w:t xml:space="preserve"> </w:t>
      </w:r>
      <w:r w:rsidRPr="00283806">
        <w:rPr>
          <w:w w:val="105"/>
        </w:rPr>
        <w:t>disposal,</w:t>
      </w:r>
      <w:r w:rsidRPr="00283806">
        <w:rPr>
          <w:spacing w:val="40"/>
          <w:w w:val="105"/>
        </w:rPr>
        <w:t xml:space="preserve"> </w:t>
      </w:r>
      <w:r w:rsidRPr="00283806">
        <w:rPr>
          <w:w w:val="105"/>
        </w:rPr>
        <w:t>or</w:t>
      </w:r>
      <w:r w:rsidRPr="00283806">
        <w:rPr>
          <w:spacing w:val="40"/>
          <w:w w:val="105"/>
        </w:rPr>
        <w:t xml:space="preserve"> </w:t>
      </w:r>
      <w:r w:rsidRPr="00283806">
        <w:rPr>
          <w:w w:val="105"/>
        </w:rPr>
        <w:t>installation of equipment’’ that involves</w:t>
      </w:r>
      <w:r w:rsidRPr="00283806">
        <w:rPr>
          <w:spacing w:val="80"/>
          <w:w w:val="105"/>
        </w:rPr>
        <w:t xml:space="preserve"> </w:t>
      </w:r>
      <w:r w:rsidRPr="00283806">
        <w:rPr>
          <w:w w:val="105"/>
        </w:rPr>
        <w:t>a regulated substance, for purposes that include minimizing releases of HFCs</w:t>
      </w:r>
      <w:r w:rsidRPr="00283806">
        <w:rPr>
          <w:spacing w:val="80"/>
          <w:w w:val="105"/>
        </w:rPr>
        <w:t xml:space="preserve"> </w:t>
      </w:r>
      <w:r w:rsidRPr="00283806">
        <w:rPr>
          <w:w w:val="105"/>
        </w:rPr>
        <w:t>from equipment. This final action is an appropriate</w:t>
      </w:r>
      <w:r w:rsidRPr="00283806">
        <w:rPr>
          <w:spacing w:val="40"/>
          <w:w w:val="105"/>
        </w:rPr>
        <w:t xml:space="preserve"> </w:t>
      </w:r>
      <w:r w:rsidRPr="00283806">
        <w:rPr>
          <w:w w:val="105"/>
        </w:rPr>
        <w:t>use</w:t>
      </w:r>
      <w:r w:rsidRPr="00283806">
        <w:rPr>
          <w:spacing w:val="40"/>
          <w:w w:val="105"/>
        </w:rPr>
        <w:t xml:space="preserve"> </w:t>
      </w:r>
      <w:r w:rsidRPr="00283806">
        <w:rPr>
          <w:w w:val="105"/>
        </w:rPr>
        <w:t>of</w:t>
      </w:r>
      <w:r w:rsidRPr="00283806">
        <w:rPr>
          <w:spacing w:val="40"/>
          <w:w w:val="105"/>
        </w:rPr>
        <w:t xml:space="preserve"> </w:t>
      </w:r>
      <w:r w:rsidRPr="00283806">
        <w:rPr>
          <w:w w:val="105"/>
        </w:rPr>
        <w:t>EPA’s</w:t>
      </w:r>
      <w:r w:rsidRPr="00283806">
        <w:rPr>
          <w:spacing w:val="40"/>
          <w:w w:val="105"/>
        </w:rPr>
        <w:t xml:space="preserve"> </w:t>
      </w:r>
      <w:r w:rsidRPr="00283806">
        <w:rPr>
          <w:w w:val="105"/>
        </w:rPr>
        <w:t>authority under subsection (h), as requiring the servicing, repair, and installation of fire suppression equipment with recycled HFCs</w:t>
      </w:r>
      <w:r w:rsidRPr="00283806">
        <w:rPr>
          <w:spacing w:val="30"/>
          <w:w w:val="105"/>
        </w:rPr>
        <w:t xml:space="preserve"> </w:t>
      </w:r>
      <w:r w:rsidRPr="00283806">
        <w:rPr>
          <w:w w:val="105"/>
        </w:rPr>
        <w:t>at</w:t>
      </w:r>
      <w:r w:rsidRPr="00283806">
        <w:rPr>
          <w:spacing w:val="30"/>
          <w:w w:val="105"/>
        </w:rPr>
        <w:t xml:space="preserve"> </w:t>
      </w:r>
      <w:r w:rsidRPr="00283806">
        <w:rPr>
          <w:w w:val="105"/>
        </w:rPr>
        <w:t>a</w:t>
      </w:r>
      <w:r w:rsidRPr="00283806">
        <w:rPr>
          <w:spacing w:val="30"/>
          <w:w w:val="105"/>
        </w:rPr>
        <w:t xml:space="preserve"> </w:t>
      </w:r>
      <w:r w:rsidRPr="00283806">
        <w:rPr>
          <w:w w:val="105"/>
        </w:rPr>
        <w:t>set</w:t>
      </w:r>
      <w:r w:rsidRPr="00283806">
        <w:rPr>
          <w:spacing w:val="30"/>
          <w:w w:val="105"/>
        </w:rPr>
        <w:t xml:space="preserve"> </w:t>
      </w:r>
      <w:r w:rsidRPr="00283806">
        <w:rPr>
          <w:w w:val="105"/>
        </w:rPr>
        <w:t>date</w:t>
      </w:r>
      <w:r w:rsidRPr="00283806">
        <w:rPr>
          <w:spacing w:val="30"/>
          <w:w w:val="105"/>
        </w:rPr>
        <w:t xml:space="preserve"> </w:t>
      </w:r>
      <w:r w:rsidRPr="00283806">
        <w:rPr>
          <w:w w:val="105"/>
        </w:rPr>
        <w:t>in</w:t>
      </w:r>
      <w:r w:rsidRPr="00283806">
        <w:rPr>
          <w:spacing w:val="30"/>
          <w:w w:val="105"/>
        </w:rPr>
        <w:t xml:space="preserve"> </w:t>
      </w:r>
      <w:r w:rsidRPr="00283806">
        <w:rPr>
          <w:w w:val="105"/>
        </w:rPr>
        <w:t>the</w:t>
      </w:r>
      <w:r w:rsidRPr="00283806">
        <w:rPr>
          <w:spacing w:val="30"/>
          <w:w w:val="105"/>
        </w:rPr>
        <w:t xml:space="preserve"> </w:t>
      </w:r>
      <w:r w:rsidRPr="00283806">
        <w:rPr>
          <w:w w:val="105"/>
        </w:rPr>
        <w:t>future</w:t>
      </w:r>
      <w:r w:rsidRPr="00283806">
        <w:rPr>
          <w:spacing w:val="30"/>
          <w:w w:val="105"/>
        </w:rPr>
        <w:t xml:space="preserve"> </w:t>
      </w:r>
      <w:r w:rsidRPr="00283806">
        <w:rPr>
          <w:w w:val="105"/>
        </w:rPr>
        <w:t>is exactly the type of activity that the AIM</w:t>
      </w:r>
    </w:p>
    <w:p w14:paraId="7E437E19" w14:textId="77777777" w:rsidR="00D67C1E" w:rsidRPr="00283806" w:rsidRDefault="001265CA">
      <w:pPr>
        <w:pStyle w:val="BodyText"/>
        <w:spacing w:before="11"/>
        <w:ind w:left="0"/>
        <w:rPr>
          <w:sz w:val="10"/>
        </w:rPr>
      </w:pPr>
      <w:r w:rsidRPr="00283806">
        <w:rPr>
          <w:noProof/>
        </w:rPr>
        <mc:AlternateContent>
          <mc:Choice Requires="wps">
            <w:drawing>
              <wp:anchor distT="0" distB="0" distL="0" distR="0" simplePos="0" relativeHeight="251668480" behindDoc="1" locked="0" layoutInCell="1" allowOverlap="1" wp14:anchorId="7D95DFCA" wp14:editId="03CCF35F">
                <wp:simplePos x="0" y="0"/>
                <wp:positionH relativeFrom="page">
                  <wp:posOffset>571500</wp:posOffset>
                </wp:positionH>
                <wp:positionV relativeFrom="paragraph">
                  <wp:posOffset>97070</wp:posOffset>
                </wp:positionV>
                <wp:extent cx="635000" cy="1270"/>
                <wp:effectExtent l="0" t="0" r="0" b="0"/>
                <wp:wrapTopAndBottom/>
                <wp:docPr id="100" name="Graphic 1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82A69A" id="Graphic 100" o:spid="_x0000_s1026" alt="&quot;&quot;" style="position:absolute;margin-left:45pt;margin-top:7.65pt;width:50pt;height:.1pt;z-index:-251648000;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" path="m,l635000,e" filled="f" strokeweight=".5pt">
                <v:path arrowok="t"/>
                <w10:wrap type="topAndBottom" anchorx="page"/>
              </v:shape>
            </w:pict>
          </mc:Fallback>
        </mc:AlternateContent>
      </w:r>
    </w:p>
    <w:p w14:paraId="7E49885A" w14:textId="77777777" w:rsidR="00D67C1E" w:rsidRPr="00283806" w:rsidRDefault="001265CA">
      <w:pPr>
        <w:spacing w:before="40" w:line="232" w:lineRule="auto"/>
        <w:ind w:left="159" w:right="9" w:firstLine="140"/>
        <w:rPr>
          <w:sz w:val="14"/>
        </w:rPr>
      </w:pPr>
      <w:r w:rsidRPr="00283806">
        <w:rPr>
          <w:w w:val="110"/>
          <w:position w:val="4"/>
          <w:sz w:val="9"/>
        </w:rPr>
        <w:t>126</w:t>
      </w:r>
      <w:r w:rsidRPr="00283806">
        <w:rPr>
          <w:spacing w:val="-2"/>
          <w:w w:val="110"/>
          <w:position w:val="4"/>
          <w:sz w:val="9"/>
        </w:rPr>
        <w:t xml:space="preserve"> </w:t>
      </w:r>
      <w:r w:rsidRPr="00283806">
        <w:rPr>
          <w:w w:val="110"/>
          <w:sz w:val="14"/>
        </w:rPr>
        <w:t>As this rule does not prohibit any production</w:t>
      </w:r>
      <w:r w:rsidRPr="00283806">
        <w:rPr>
          <w:spacing w:val="40"/>
          <w:w w:val="110"/>
          <w:sz w:val="14"/>
        </w:rPr>
        <w:t xml:space="preserve"> </w:t>
      </w:r>
      <w:r w:rsidRPr="00283806">
        <w:rPr>
          <w:w w:val="110"/>
          <w:sz w:val="14"/>
        </w:rPr>
        <w:t>or consumption of HFCs, EPA need not and is not</w:t>
      </w:r>
      <w:r w:rsidRPr="00283806">
        <w:rPr>
          <w:spacing w:val="40"/>
          <w:w w:val="110"/>
          <w:sz w:val="14"/>
        </w:rPr>
        <w:t xml:space="preserve"> </w:t>
      </w:r>
      <w:r w:rsidRPr="00283806">
        <w:rPr>
          <w:sz w:val="14"/>
        </w:rPr>
        <w:t>further addressing the comment’s assertion that the</w:t>
      </w:r>
      <w:r w:rsidRPr="00283806">
        <w:rPr>
          <w:spacing w:val="40"/>
          <w:w w:val="110"/>
          <w:sz w:val="14"/>
        </w:rPr>
        <w:t xml:space="preserve"> </w:t>
      </w:r>
      <w:r w:rsidRPr="00283806">
        <w:rPr>
          <w:w w:val="110"/>
          <w:sz w:val="14"/>
        </w:rPr>
        <w:t>AIM</w:t>
      </w:r>
      <w:r w:rsidRPr="00283806">
        <w:rPr>
          <w:spacing w:val="-6"/>
          <w:w w:val="110"/>
          <w:sz w:val="14"/>
        </w:rPr>
        <w:t xml:space="preserve"> </w:t>
      </w:r>
      <w:r w:rsidRPr="00283806">
        <w:rPr>
          <w:w w:val="110"/>
          <w:sz w:val="14"/>
        </w:rPr>
        <w:t>Act</w:t>
      </w:r>
      <w:r w:rsidRPr="00283806">
        <w:rPr>
          <w:spacing w:val="-6"/>
          <w:w w:val="110"/>
          <w:sz w:val="14"/>
        </w:rPr>
        <w:t xml:space="preserve"> </w:t>
      </w:r>
      <w:r w:rsidRPr="00283806">
        <w:rPr>
          <w:w w:val="110"/>
          <w:sz w:val="14"/>
        </w:rPr>
        <w:t>does</w:t>
      </w:r>
      <w:r w:rsidRPr="00283806">
        <w:rPr>
          <w:spacing w:val="-6"/>
          <w:w w:val="110"/>
          <w:sz w:val="14"/>
        </w:rPr>
        <w:t xml:space="preserve"> </w:t>
      </w:r>
      <w:r w:rsidRPr="00283806">
        <w:rPr>
          <w:w w:val="110"/>
          <w:sz w:val="14"/>
        </w:rPr>
        <w:t>not</w:t>
      </w:r>
      <w:r w:rsidRPr="00283806">
        <w:rPr>
          <w:spacing w:val="-6"/>
          <w:w w:val="110"/>
          <w:sz w:val="14"/>
        </w:rPr>
        <w:t xml:space="preserve"> </w:t>
      </w:r>
      <w:r w:rsidRPr="00283806">
        <w:rPr>
          <w:w w:val="110"/>
          <w:sz w:val="14"/>
        </w:rPr>
        <w:t>authorize</w:t>
      </w:r>
      <w:r w:rsidRPr="00283806">
        <w:rPr>
          <w:spacing w:val="-6"/>
          <w:w w:val="110"/>
          <w:sz w:val="14"/>
        </w:rPr>
        <w:t xml:space="preserve"> </w:t>
      </w:r>
      <w:r w:rsidRPr="00283806">
        <w:rPr>
          <w:w w:val="110"/>
          <w:sz w:val="14"/>
        </w:rPr>
        <w:t>EPA</w:t>
      </w:r>
      <w:r w:rsidRPr="00283806">
        <w:rPr>
          <w:spacing w:val="-6"/>
          <w:w w:val="110"/>
          <w:sz w:val="14"/>
        </w:rPr>
        <w:t xml:space="preserve"> </w:t>
      </w:r>
      <w:r w:rsidRPr="00283806">
        <w:rPr>
          <w:w w:val="110"/>
          <w:sz w:val="14"/>
        </w:rPr>
        <w:t>to</w:t>
      </w:r>
      <w:r w:rsidRPr="00283806">
        <w:rPr>
          <w:spacing w:val="-6"/>
          <w:w w:val="110"/>
          <w:sz w:val="14"/>
        </w:rPr>
        <w:t xml:space="preserve"> </w:t>
      </w:r>
      <w:r w:rsidRPr="00283806">
        <w:rPr>
          <w:w w:val="110"/>
          <w:sz w:val="14"/>
        </w:rPr>
        <w:t>issue</w:t>
      </w:r>
      <w:r w:rsidRPr="00283806">
        <w:rPr>
          <w:spacing w:val="-6"/>
          <w:w w:val="110"/>
          <w:sz w:val="14"/>
        </w:rPr>
        <w:t xml:space="preserve"> </w:t>
      </w:r>
      <w:r w:rsidRPr="00283806">
        <w:rPr>
          <w:w w:val="110"/>
          <w:sz w:val="14"/>
        </w:rPr>
        <w:t>a</w:t>
      </w:r>
      <w:r w:rsidRPr="00283806">
        <w:rPr>
          <w:spacing w:val="-6"/>
          <w:w w:val="110"/>
          <w:sz w:val="14"/>
        </w:rPr>
        <w:t xml:space="preserve"> </w:t>
      </w:r>
      <w:r w:rsidRPr="00283806">
        <w:rPr>
          <w:w w:val="110"/>
          <w:sz w:val="14"/>
        </w:rPr>
        <w:t>rule</w:t>
      </w:r>
      <w:r w:rsidRPr="00283806">
        <w:rPr>
          <w:spacing w:val="-6"/>
          <w:w w:val="110"/>
          <w:sz w:val="14"/>
        </w:rPr>
        <w:t xml:space="preserve"> </w:t>
      </w:r>
      <w:r w:rsidRPr="00283806">
        <w:rPr>
          <w:w w:val="110"/>
          <w:sz w:val="14"/>
        </w:rPr>
        <w:t>that</w:t>
      </w:r>
      <w:r w:rsidRPr="00283806">
        <w:rPr>
          <w:spacing w:val="40"/>
          <w:w w:val="110"/>
          <w:sz w:val="14"/>
        </w:rPr>
        <w:t xml:space="preserve"> </w:t>
      </w:r>
      <w:r w:rsidRPr="00283806">
        <w:rPr>
          <w:w w:val="110"/>
          <w:sz w:val="14"/>
        </w:rPr>
        <w:t>results in a total ban on the production and</w:t>
      </w:r>
      <w:r w:rsidRPr="00283806">
        <w:rPr>
          <w:spacing w:val="40"/>
          <w:w w:val="110"/>
          <w:sz w:val="14"/>
        </w:rPr>
        <w:t xml:space="preserve"> </w:t>
      </w:r>
      <w:r w:rsidRPr="00283806">
        <w:rPr>
          <w:w w:val="110"/>
          <w:sz w:val="14"/>
        </w:rPr>
        <w:t>consumption of HFCs, including fire suppression</w:t>
      </w:r>
      <w:r w:rsidRPr="00283806">
        <w:rPr>
          <w:spacing w:val="40"/>
          <w:w w:val="110"/>
          <w:sz w:val="14"/>
        </w:rPr>
        <w:t xml:space="preserve"> </w:t>
      </w:r>
      <w:r w:rsidRPr="00283806">
        <w:rPr>
          <w:spacing w:val="-2"/>
          <w:w w:val="110"/>
          <w:sz w:val="14"/>
        </w:rPr>
        <w:t>HFCs.</w:t>
      </w:r>
    </w:p>
    <w:p w14:paraId="6600EDE3" w14:textId="77777777" w:rsidR="00D67C1E" w:rsidRPr="00283806" w:rsidRDefault="001265CA">
      <w:pPr>
        <w:pStyle w:val="BodyText"/>
        <w:spacing w:before="136" w:line="225" w:lineRule="auto"/>
        <w:ind w:left="143" w:right="38"/>
      </w:pPr>
      <w:r w:rsidRPr="00283806">
        <w:br w:type="column"/>
      </w:r>
      <w:r w:rsidRPr="00283806">
        <w:rPr>
          <w:w w:val="105"/>
        </w:rPr>
        <w:t>Act envisions in subsection (h) since the requirements are controlling practices, processes, and activities regarding the servicing, repair, disposal, and installation of fire suppression</w:t>
      </w:r>
      <w:r w:rsidRPr="00283806">
        <w:rPr>
          <w:spacing w:val="40"/>
          <w:w w:val="105"/>
        </w:rPr>
        <w:t xml:space="preserve"> </w:t>
      </w:r>
      <w:r w:rsidRPr="00283806">
        <w:rPr>
          <w:w w:val="105"/>
        </w:rPr>
        <w:t xml:space="preserve">equipment that involves a regulated </w:t>
      </w:r>
      <w:r w:rsidRPr="00283806">
        <w:rPr>
          <w:spacing w:val="-2"/>
          <w:w w:val="105"/>
        </w:rPr>
        <w:t>substance.</w:t>
      </w:r>
    </w:p>
    <w:p w14:paraId="4CB30DC8" w14:textId="77777777" w:rsidR="00D67C1E" w:rsidRPr="00283806" w:rsidRDefault="001265CA">
      <w:pPr>
        <w:pStyle w:val="BodyText"/>
        <w:spacing w:line="178" w:lineRule="exact"/>
        <w:ind w:left="323"/>
      </w:pPr>
      <w:r w:rsidRPr="00283806">
        <w:rPr>
          <w:w w:val="105"/>
        </w:rPr>
        <w:t>To</w:t>
      </w:r>
      <w:r w:rsidRPr="00283806">
        <w:rPr>
          <w:spacing w:val="6"/>
          <w:w w:val="105"/>
        </w:rPr>
        <w:t xml:space="preserve"> </w:t>
      </w:r>
      <w:r w:rsidRPr="00283806">
        <w:rPr>
          <w:w w:val="105"/>
        </w:rPr>
        <w:t>the</w:t>
      </w:r>
      <w:r w:rsidRPr="00283806">
        <w:rPr>
          <w:spacing w:val="7"/>
          <w:w w:val="105"/>
        </w:rPr>
        <w:t xml:space="preserve"> </w:t>
      </w:r>
      <w:r w:rsidRPr="00283806">
        <w:rPr>
          <w:w w:val="105"/>
        </w:rPr>
        <w:t>extent</w:t>
      </w:r>
      <w:r w:rsidRPr="00283806">
        <w:rPr>
          <w:spacing w:val="7"/>
          <w:w w:val="105"/>
        </w:rPr>
        <w:t xml:space="preserve"> </w:t>
      </w:r>
      <w:r w:rsidRPr="00283806">
        <w:rPr>
          <w:w w:val="105"/>
        </w:rPr>
        <w:t>these</w:t>
      </w:r>
      <w:r w:rsidRPr="00283806">
        <w:rPr>
          <w:spacing w:val="7"/>
          <w:w w:val="105"/>
        </w:rPr>
        <w:t xml:space="preserve"> </w:t>
      </w:r>
      <w:r w:rsidRPr="00283806">
        <w:rPr>
          <w:spacing w:val="-2"/>
          <w:w w:val="105"/>
        </w:rPr>
        <w:t>commenters</w:t>
      </w:r>
    </w:p>
    <w:p w14:paraId="0C249637" w14:textId="77777777" w:rsidR="00D67C1E" w:rsidRPr="00283806" w:rsidRDefault="001265CA">
      <w:pPr>
        <w:pStyle w:val="BodyText"/>
        <w:spacing w:before="3" w:line="225" w:lineRule="auto"/>
        <w:ind w:left="143" w:right="54"/>
      </w:pPr>
      <w:r w:rsidRPr="00283806">
        <w:rPr>
          <w:w w:val="105"/>
        </w:rPr>
        <w:t>contend that these requirements would in effect ban the production or consumption of fire suppression HFCs, that is a mischaracterization of the requirements of the rule. These requirements involve the practice or activity of using recycled HFCs to</w:t>
      </w:r>
      <w:r w:rsidRPr="00283806">
        <w:rPr>
          <w:spacing w:val="80"/>
          <w:w w:val="105"/>
        </w:rPr>
        <w:t xml:space="preserve"> </w:t>
      </w:r>
      <w:r w:rsidRPr="00283806">
        <w:rPr>
          <w:w w:val="105"/>
        </w:rPr>
        <w:t xml:space="preserve">service, repair, and install fire suppression equipment, with different compliance dates for existing and new equipment, and thus also control the practice or activity of </w:t>
      </w:r>
      <w:proofErr w:type="gramStart"/>
      <w:r w:rsidRPr="00283806">
        <w:rPr>
          <w:w w:val="105"/>
        </w:rPr>
        <w:t>using of</w:t>
      </w:r>
      <w:proofErr w:type="gramEnd"/>
      <w:r w:rsidRPr="00283806">
        <w:rPr>
          <w:w w:val="105"/>
        </w:rPr>
        <w:t xml:space="preserve"> virgin</w:t>
      </w:r>
      <w:r w:rsidRPr="00283806">
        <w:rPr>
          <w:spacing w:val="40"/>
          <w:w w:val="105"/>
        </w:rPr>
        <w:t xml:space="preserve"> </w:t>
      </w:r>
      <w:r w:rsidRPr="00283806">
        <w:rPr>
          <w:w w:val="105"/>
        </w:rPr>
        <w:t>HFCs during these activities in fire suppression equipment. However, even</w:t>
      </w:r>
      <w:r w:rsidRPr="00283806">
        <w:rPr>
          <w:spacing w:val="80"/>
          <w:w w:val="105"/>
        </w:rPr>
        <w:t xml:space="preserve"> </w:t>
      </w:r>
      <w:r w:rsidRPr="00283806">
        <w:rPr>
          <w:w w:val="105"/>
        </w:rPr>
        <w:t>if the requirements result in virgin HFCs no longer being used to service, repair, and install fire suppression equipment, that is not a ban on production or consumption of HFCs, as those are distinctly defined terms under the AIM Act. Requiring this practice or activity is appropriate under subsection (h). There is availability of recovered and reprocessed HFCs that can be used for this purpose. While opposing the time frame of the proposed rule, one commenter indicated that the transition to recycled HFCs in fire suppression is underway and would expand as the phasedown proceeds. Further, this provision</w:t>
      </w:r>
      <w:r w:rsidRPr="00283806">
        <w:rPr>
          <w:spacing w:val="40"/>
          <w:w w:val="105"/>
        </w:rPr>
        <w:t xml:space="preserve"> </w:t>
      </w:r>
      <w:r w:rsidRPr="00283806">
        <w:rPr>
          <w:w w:val="105"/>
        </w:rPr>
        <w:t>will</w:t>
      </w:r>
      <w:r w:rsidRPr="00283806">
        <w:rPr>
          <w:spacing w:val="40"/>
          <w:w w:val="105"/>
        </w:rPr>
        <w:t xml:space="preserve"> </w:t>
      </w:r>
      <w:r w:rsidRPr="00283806">
        <w:rPr>
          <w:w w:val="105"/>
        </w:rPr>
        <w:t>foster</w:t>
      </w:r>
      <w:r w:rsidRPr="00283806">
        <w:rPr>
          <w:spacing w:val="40"/>
          <w:w w:val="105"/>
        </w:rPr>
        <w:t xml:space="preserve"> </w:t>
      </w:r>
      <w:r w:rsidRPr="00283806">
        <w:rPr>
          <w:w w:val="105"/>
        </w:rPr>
        <w:t>additional recycling of these HFCs and thus fewer emissions of HFCs from this equipment, consistent with the purposes identified</w:t>
      </w:r>
      <w:r w:rsidRPr="00283806">
        <w:rPr>
          <w:spacing w:val="40"/>
          <w:w w:val="105"/>
        </w:rPr>
        <w:t xml:space="preserve"> </w:t>
      </w:r>
      <w:r w:rsidRPr="00283806">
        <w:rPr>
          <w:w w:val="105"/>
        </w:rPr>
        <w:t>in subsection (h).</w:t>
      </w:r>
    </w:p>
    <w:p w14:paraId="72A36650" w14:textId="77777777" w:rsidR="00D67C1E" w:rsidRPr="00283806" w:rsidRDefault="001265CA">
      <w:pPr>
        <w:pStyle w:val="BodyText"/>
        <w:spacing w:line="167" w:lineRule="exact"/>
        <w:ind w:left="323"/>
      </w:pPr>
      <w:r w:rsidRPr="00283806">
        <w:rPr>
          <w:w w:val="105"/>
        </w:rPr>
        <w:t>EPA</w:t>
      </w:r>
      <w:r w:rsidRPr="00283806">
        <w:rPr>
          <w:spacing w:val="19"/>
          <w:w w:val="105"/>
        </w:rPr>
        <w:t xml:space="preserve"> </w:t>
      </w:r>
      <w:r w:rsidRPr="00283806">
        <w:rPr>
          <w:w w:val="105"/>
        </w:rPr>
        <w:t>acknowledges</w:t>
      </w:r>
      <w:r w:rsidRPr="00283806">
        <w:rPr>
          <w:spacing w:val="20"/>
          <w:w w:val="105"/>
        </w:rPr>
        <w:t xml:space="preserve"> </w:t>
      </w:r>
      <w:r w:rsidRPr="00283806">
        <w:rPr>
          <w:w w:val="105"/>
        </w:rPr>
        <w:t>that</w:t>
      </w:r>
      <w:r w:rsidRPr="00283806">
        <w:rPr>
          <w:spacing w:val="20"/>
          <w:w w:val="105"/>
        </w:rPr>
        <w:t xml:space="preserve"> </w:t>
      </w:r>
      <w:r w:rsidRPr="00283806">
        <w:rPr>
          <w:w w:val="105"/>
        </w:rPr>
        <w:t>while</w:t>
      </w:r>
      <w:r w:rsidRPr="00283806">
        <w:rPr>
          <w:spacing w:val="20"/>
          <w:w w:val="105"/>
        </w:rPr>
        <w:t xml:space="preserve"> </w:t>
      </w:r>
      <w:r w:rsidRPr="00283806">
        <w:rPr>
          <w:spacing w:val="-2"/>
          <w:w w:val="105"/>
        </w:rPr>
        <w:t>there</w:t>
      </w:r>
    </w:p>
    <w:p w14:paraId="0198FCF5" w14:textId="77777777" w:rsidR="00D67C1E" w:rsidRPr="00283806" w:rsidRDefault="001265CA">
      <w:pPr>
        <w:pStyle w:val="BodyText"/>
        <w:spacing w:before="4" w:line="225" w:lineRule="auto"/>
        <w:ind w:left="143" w:right="16"/>
      </w:pPr>
      <w:proofErr w:type="gramStart"/>
      <w:r w:rsidRPr="00283806">
        <w:rPr>
          <w:w w:val="105"/>
        </w:rPr>
        <w:t>are</w:t>
      </w:r>
      <w:proofErr w:type="gramEnd"/>
      <w:r w:rsidRPr="00283806">
        <w:rPr>
          <w:w w:val="105"/>
        </w:rPr>
        <w:t xml:space="preserve"> numerous similarities, there may be certain market and efficacy differences between halons and HFCs, such as</w:t>
      </w:r>
      <w:r w:rsidRPr="00283806">
        <w:rPr>
          <w:spacing w:val="80"/>
          <w:w w:val="105"/>
        </w:rPr>
        <w:t xml:space="preserve"> </w:t>
      </w:r>
      <w:r w:rsidRPr="00283806">
        <w:rPr>
          <w:w w:val="105"/>
        </w:rPr>
        <w:t>halons not requiring expenditure of allowances as described earlier in this section.</w:t>
      </w:r>
      <w:r w:rsidRPr="00283806">
        <w:rPr>
          <w:spacing w:val="40"/>
          <w:w w:val="105"/>
        </w:rPr>
        <w:t xml:space="preserve"> </w:t>
      </w:r>
      <w:r w:rsidRPr="00283806">
        <w:rPr>
          <w:w w:val="105"/>
        </w:rPr>
        <w:t>Since</w:t>
      </w:r>
      <w:r w:rsidRPr="00283806">
        <w:rPr>
          <w:spacing w:val="40"/>
          <w:w w:val="105"/>
        </w:rPr>
        <w:t xml:space="preserve"> </w:t>
      </w:r>
      <w:r w:rsidRPr="00283806">
        <w:rPr>
          <w:w w:val="105"/>
        </w:rPr>
        <w:t>1994,</w:t>
      </w:r>
      <w:r w:rsidRPr="00283806">
        <w:rPr>
          <w:spacing w:val="40"/>
          <w:w w:val="105"/>
        </w:rPr>
        <w:t xml:space="preserve"> </w:t>
      </w:r>
      <w:r w:rsidRPr="00283806">
        <w:rPr>
          <w:w w:val="105"/>
        </w:rPr>
        <w:t>with</w:t>
      </w:r>
      <w:r w:rsidRPr="00283806">
        <w:rPr>
          <w:spacing w:val="40"/>
          <w:w w:val="105"/>
        </w:rPr>
        <w:t xml:space="preserve"> </w:t>
      </w:r>
      <w:r w:rsidRPr="00283806">
        <w:rPr>
          <w:w w:val="105"/>
        </w:rPr>
        <w:t>the</w:t>
      </w:r>
      <w:r w:rsidRPr="00283806">
        <w:rPr>
          <w:spacing w:val="40"/>
          <w:w w:val="105"/>
        </w:rPr>
        <w:t xml:space="preserve"> </w:t>
      </w:r>
      <w:r w:rsidRPr="00283806">
        <w:rPr>
          <w:w w:val="105"/>
        </w:rPr>
        <w:t>phaseout of the production and consumption of halons, recycled halons have been available and are still available today, which demonstrates the important role recovery and recycling of fire suppression agents can play by</w:t>
      </w:r>
      <w:r w:rsidRPr="00283806">
        <w:rPr>
          <w:spacing w:val="40"/>
          <w:w w:val="105"/>
        </w:rPr>
        <w:t xml:space="preserve"> </w:t>
      </w:r>
      <w:r w:rsidRPr="00283806">
        <w:rPr>
          <w:w w:val="105"/>
        </w:rPr>
        <w:t>providing an ongoing supply of HFCs in fire suppression applications, especially where substitutes may not be suitable.</w:t>
      </w:r>
      <w:r w:rsidRPr="00283806">
        <w:rPr>
          <w:spacing w:val="40"/>
          <w:w w:val="105"/>
        </w:rPr>
        <w:t xml:space="preserve"> </w:t>
      </w:r>
      <w:r w:rsidRPr="00283806">
        <w:rPr>
          <w:w w:val="105"/>
        </w:rPr>
        <w:t>As discussed in the proposal, EPA understands that this model has already been carried over on a voluntary basis</w:t>
      </w:r>
      <w:r w:rsidRPr="00283806">
        <w:rPr>
          <w:spacing w:val="80"/>
          <w:w w:val="105"/>
        </w:rPr>
        <w:t xml:space="preserve"> </w:t>
      </w:r>
      <w:r w:rsidRPr="00283806">
        <w:rPr>
          <w:w w:val="105"/>
        </w:rPr>
        <w:t>to the management of HFCs by many in the fire suppression sector. In 2002, the fire suppression industry developed a VCOP for the reduction of emissions of fire suppression agents including HFCs. The VCOP was developed by HARC, an industry organization, in partnership</w:t>
      </w:r>
    </w:p>
    <w:p w14:paraId="652CFA13" w14:textId="77777777" w:rsidR="00D67C1E" w:rsidRPr="00283806" w:rsidRDefault="001265CA">
      <w:pPr>
        <w:pStyle w:val="BodyText"/>
        <w:spacing w:before="135" w:line="225" w:lineRule="auto"/>
        <w:ind w:left="155" w:right="133"/>
      </w:pPr>
      <w:r w:rsidRPr="00283806">
        <w:br w:type="column"/>
      </w:r>
      <w:r w:rsidRPr="00283806">
        <w:rPr>
          <w:w w:val="105"/>
        </w:rPr>
        <w:t>with EPA, the Fire Suppression Systems Association (FSSA), the Fire Equipment Manufacturers Association (FEMA), and the National Association of Fire Equipment Distributors (NAFED). Many of the practices have already been voluntarily adopted by the fire suppression sector, such as equipment manufacturers or distributors. In EPA’s view, the fire suppression requirements will benefit from and bolster these efforts. While EPA notes that the commenter did not think HFC extinguishants would have the same market demand that supports halon recycling, the Agency views VCOP as an example of this industry already significantly supporting HFC recycling and reuse of fire suppression agents and understands that with the extended compliance dates, it would provide the market time to adjust. EPA</w:t>
      </w:r>
      <w:r w:rsidRPr="00283806">
        <w:rPr>
          <w:spacing w:val="80"/>
          <w:w w:val="105"/>
        </w:rPr>
        <w:t xml:space="preserve"> </w:t>
      </w:r>
      <w:r w:rsidRPr="00283806">
        <w:rPr>
          <w:w w:val="105"/>
        </w:rPr>
        <w:t xml:space="preserve">acknowledges that HFCs are not used in </w:t>
      </w:r>
      <w:proofErr w:type="gramStart"/>
      <w:r w:rsidRPr="00283806">
        <w:rPr>
          <w:w w:val="105"/>
        </w:rPr>
        <w:t>all</w:t>
      </w:r>
      <w:r w:rsidRPr="00283806">
        <w:rPr>
          <w:spacing w:val="40"/>
          <w:w w:val="105"/>
        </w:rPr>
        <w:t xml:space="preserve"> </w:t>
      </w:r>
      <w:r w:rsidRPr="00283806">
        <w:rPr>
          <w:w w:val="105"/>
        </w:rPr>
        <w:t>of</w:t>
      </w:r>
      <w:proofErr w:type="gramEnd"/>
      <w:r w:rsidRPr="00283806">
        <w:rPr>
          <w:spacing w:val="40"/>
          <w:w w:val="105"/>
        </w:rPr>
        <w:t xml:space="preserve"> </w:t>
      </w:r>
      <w:r w:rsidRPr="00283806">
        <w:rPr>
          <w:w w:val="105"/>
        </w:rPr>
        <w:t>the</w:t>
      </w:r>
      <w:r w:rsidRPr="00283806">
        <w:rPr>
          <w:spacing w:val="40"/>
          <w:w w:val="105"/>
        </w:rPr>
        <w:t xml:space="preserve"> </w:t>
      </w:r>
      <w:r w:rsidRPr="00283806">
        <w:rPr>
          <w:w w:val="105"/>
        </w:rPr>
        <w:t>same</w:t>
      </w:r>
      <w:r w:rsidRPr="00283806">
        <w:rPr>
          <w:spacing w:val="40"/>
          <w:w w:val="105"/>
        </w:rPr>
        <w:t xml:space="preserve"> </w:t>
      </w:r>
      <w:r w:rsidRPr="00283806">
        <w:rPr>
          <w:w w:val="105"/>
        </w:rPr>
        <w:t>applications</w:t>
      </w:r>
      <w:r w:rsidRPr="00283806">
        <w:rPr>
          <w:spacing w:val="40"/>
          <w:w w:val="105"/>
        </w:rPr>
        <w:t xml:space="preserve"> </w:t>
      </w:r>
      <w:r w:rsidRPr="00283806">
        <w:rPr>
          <w:w w:val="105"/>
        </w:rPr>
        <w:t>as</w:t>
      </w:r>
      <w:r w:rsidRPr="00283806">
        <w:rPr>
          <w:spacing w:val="40"/>
          <w:w w:val="105"/>
        </w:rPr>
        <w:t xml:space="preserve"> </w:t>
      </w:r>
      <w:r w:rsidRPr="00283806">
        <w:rPr>
          <w:w w:val="105"/>
        </w:rPr>
        <w:t>halons for</w:t>
      </w:r>
      <w:r w:rsidRPr="00283806">
        <w:rPr>
          <w:spacing w:val="-2"/>
          <w:w w:val="105"/>
        </w:rPr>
        <w:t xml:space="preserve"> </w:t>
      </w:r>
      <w:r w:rsidRPr="00283806">
        <w:rPr>
          <w:w w:val="105"/>
        </w:rPr>
        <w:t>various</w:t>
      </w:r>
      <w:r w:rsidRPr="00283806">
        <w:rPr>
          <w:spacing w:val="-2"/>
          <w:w w:val="105"/>
        </w:rPr>
        <w:t xml:space="preserve"> </w:t>
      </w:r>
      <w:r w:rsidRPr="00283806">
        <w:rPr>
          <w:w w:val="105"/>
        </w:rPr>
        <w:t>reasons</w:t>
      </w:r>
      <w:r w:rsidRPr="00283806">
        <w:rPr>
          <w:spacing w:val="-2"/>
          <w:w w:val="105"/>
        </w:rPr>
        <w:t xml:space="preserve"> </w:t>
      </w:r>
      <w:r w:rsidRPr="00283806">
        <w:rPr>
          <w:w w:val="105"/>
        </w:rPr>
        <w:t>and</w:t>
      </w:r>
      <w:r w:rsidRPr="00283806">
        <w:rPr>
          <w:spacing w:val="-2"/>
          <w:w w:val="105"/>
        </w:rPr>
        <w:t xml:space="preserve"> </w:t>
      </w:r>
      <w:r w:rsidRPr="00283806">
        <w:rPr>
          <w:w w:val="105"/>
        </w:rPr>
        <w:t>for</w:t>
      </w:r>
      <w:r w:rsidRPr="00283806">
        <w:rPr>
          <w:spacing w:val="-2"/>
          <w:w w:val="105"/>
        </w:rPr>
        <w:t xml:space="preserve"> </w:t>
      </w:r>
      <w:r w:rsidRPr="00283806">
        <w:rPr>
          <w:w w:val="105"/>
        </w:rPr>
        <w:t>the</w:t>
      </w:r>
      <w:r w:rsidRPr="00283806">
        <w:rPr>
          <w:spacing w:val="-2"/>
          <w:w w:val="105"/>
        </w:rPr>
        <w:t xml:space="preserve"> </w:t>
      </w:r>
      <w:r w:rsidRPr="00283806">
        <w:rPr>
          <w:w w:val="105"/>
        </w:rPr>
        <w:t>near</w:t>
      </w:r>
      <w:r w:rsidRPr="00283806">
        <w:rPr>
          <w:spacing w:val="-2"/>
          <w:w w:val="105"/>
        </w:rPr>
        <w:t xml:space="preserve"> </w:t>
      </w:r>
      <w:r w:rsidRPr="00283806">
        <w:rPr>
          <w:w w:val="105"/>
        </w:rPr>
        <w:t>term those applications will continue to rely</w:t>
      </w:r>
      <w:r w:rsidRPr="00283806">
        <w:rPr>
          <w:spacing w:val="40"/>
          <w:w w:val="105"/>
        </w:rPr>
        <w:t xml:space="preserve"> </w:t>
      </w:r>
      <w:r w:rsidRPr="00283806">
        <w:rPr>
          <w:w w:val="105"/>
        </w:rPr>
        <w:t>on the over 30-year practice of recycling and reusing halons. EPA considers the longstanding and highly successful use</w:t>
      </w:r>
      <w:r w:rsidRPr="00283806">
        <w:rPr>
          <w:spacing w:val="80"/>
          <w:w w:val="105"/>
        </w:rPr>
        <w:t xml:space="preserve"> </w:t>
      </w:r>
      <w:r w:rsidRPr="00283806">
        <w:rPr>
          <w:w w:val="105"/>
        </w:rPr>
        <w:t>of recycled halons for both installation and servicing of fire suppression equipment in the United States to be a premier example of the effectiveness of relying on recycling.</w:t>
      </w:r>
    </w:p>
    <w:p w14:paraId="09829827" w14:textId="77777777" w:rsidR="00D67C1E" w:rsidRPr="00283806" w:rsidRDefault="001265CA">
      <w:pPr>
        <w:pStyle w:val="BodyText"/>
        <w:spacing w:line="168" w:lineRule="exact"/>
        <w:ind w:left="335"/>
      </w:pPr>
      <w:r w:rsidRPr="00283806">
        <w:rPr>
          <w:w w:val="105"/>
        </w:rPr>
        <w:t>The</w:t>
      </w:r>
      <w:r w:rsidRPr="00283806">
        <w:rPr>
          <w:spacing w:val="15"/>
          <w:w w:val="105"/>
        </w:rPr>
        <w:t xml:space="preserve"> </w:t>
      </w:r>
      <w:r w:rsidRPr="00283806">
        <w:rPr>
          <w:w w:val="105"/>
        </w:rPr>
        <w:t>Agency</w:t>
      </w:r>
      <w:r w:rsidRPr="00283806">
        <w:rPr>
          <w:spacing w:val="15"/>
          <w:w w:val="105"/>
        </w:rPr>
        <w:t xml:space="preserve"> </w:t>
      </w:r>
      <w:r w:rsidRPr="00283806">
        <w:rPr>
          <w:w w:val="105"/>
        </w:rPr>
        <w:t>responds</w:t>
      </w:r>
      <w:r w:rsidRPr="00283806">
        <w:rPr>
          <w:spacing w:val="15"/>
          <w:w w:val="105"/>
        </w:rPr>
        <w:t xml:space="preserve"> </w:t>
      </w:r>
      <w:r w:rsidRPr="00283806">
        <w:rPr>
          <w:w w:val="105"/>
        </w:rPr>
        <w:t>to</w:t>
      </w:r>
      <w:r w:rsidRPr="00283806">
        <w:rPr>
          <w:spacing w:val="15"/>
          <w:w w:val="105"/>
        </w:rPr>
        <w:t xml:space="preserve"> </w:t>
      </w:r>
      <w:r w:rsidRPr="00283806">
        <w:rPr>
          <w:spacing w:val="-5"/>
          <w:w w:val="105"/>
        </w:rPr>
        <w:t>the</w:t>
      </w:r>
    </w:p>
    <w:p w14:paraId="7213C8A9" w14:textId="77777777" w:rsidR="00D67C1E" w:rsidRPr="00283806" w:rsidRDefault="001265CA">
      <w:pPr>
        <w:pStyle w:val="BodyText"/>
        <w:spacing w:before="4" w:line="225" w:lineRule="auto"/>
        <w:ind w:left="155" w:right="181"/>
      </w:pPr>
      <w:r w:rsidRPr="00283806">
        <w:rPr>
          <w:w w:val="105"/>
        </w:rPr>
        <w:t>comments regarding the compliance timelines to meet these requirements by noting that EPA is finalizing compliance dates for the initial installation with recycled HFCs (beginning January 1, 2030) and for servicing and/or repair with recycled HFCs (beginning January</w:t>
      </w:r>
      <w:r w:rsidRPr="00283806">
        <w:rPr>
          <w:spacing w:val="80"/>
          <w:w w:val="105"/>
        </w:rPr>
        <w:t xml:space="preserve"> </w:t>
      </w:r>
      <w:r w:rsidRPr="00283806">
        <w:rPr>
          <w:w w:val="105"/>
        </w:rPr>
        <w:t>1, 2026) of fire suppression equipment, as described in more detail in sections</w:t>
      </w:r>
    </w:p>
    <w:p w14:paraId="7C05F9F2" w14:textId="77777777" w:rsidR="00D67C1E" w:rsidRPr="00283806" w:rsidRDefault="001265CA">
      <w:pPr>
        <w:pStyle w:val="BodyText"/>
        <w:spacing w:line="184" w:lineRule="exact"/>
        <w:ind w:left="155"/>
      </w:pPr>
      <w:r w:rsidRPr="00283806">
        <w:rPr>
          <w:w w:val="110"/>
        </w:rPr>
        <w:t>IV.F.2.b</w:t>
      </w:r>
      <w:r w:rsidRPr="00283806">
        <w:rPr>
          <w:spacing w:val="9"/>
          <w:w w:val="110"/>
        </w:rPr>
        <w:t xml:space="preserve"> </w:t>
      </w:r>
      <w:r w:rsidRPr="00283806">
        <w:rPr>
          <w:w w:val="110"/>
        </w:rPr>
        <w:t>and</w:t>
      </w:r>
      <w:r w:rsidRPr="00283806">
        <w:rPr>
          <w:spacing w:val="9"/>
          <w:w w:val="110"/>
        </w:rPr>
        <w:t xml:space="preserve"> </w:t>
      </w:r>
      <w:r w:rsidRPr="00283806">
        <w:rPr>
          <w:w w:val="110"/>
        </w:rPr>
        <w:t>IV.F.2.c</w:t>
      </w:r>
      <w:r w:rsidRPr="00283806">
        <w:rPr>
          <w:spacing w:val="10"/>
          <w:w w:val="110"/>
        </w:rPr>
        <w:t xml:space="preserve"> </w:t>
      </w:r>
      <w:r w:rsidRPr="00283806">
        <w:rPr>
          <w:w w:val="110"/>
        </w:rPr>
        <w:t>of</w:t>
      </w:r>
      <w:r w:rsidRPr="00283806">
        <w:rPr>
          <w:spacing w:val="9"/>
          <w:w w:val="110"/>
        </w:rPr>
        <w:t xml:space="preserve"> </w:t>
      </w:r>
      <w:r w:rsidRPr="00283806">
        <w:rPr>
          <w:w w:val="110"/>
        </w:rPr>
        <w:t>this</w:t>
      </w:r>
      <w:r w:rsidRPr="00283806">
        <w:rPr>
          <w:spacing w:val="9"/>
          <w:w w:val="110"/>
        </w:rPr>
        <w:t xml:space="preserve"> </w:t>
      </w:r>
      <w:r w:rsidRPr="00283806">
        <w:rPr>
          <w:spacing w:val="-2"/>
          <w:w w:val="110"/>
        </w:rPr>
        <w:t>preamble.</w:t>
      </w:r>
    </w:p>
    <w:p w14:paraId="0C52B12D" w14:textId="77777777" w:rsidR="00D67C1E" w:rsidRPr="00283806" w:rsidRDefault="001265CA">
      <w:pPr>
        <w:pStyle w:val="BodyText"/>
        <w:spacing w:line="225" w:lineRule="auto"/>
        <w:ind w:left="155" w:right="188" w:firstLine="180"/>
      </w:pPr>
      <w:r w:rsidRPr="00283806">
        <w:rPr>
          <w:rFonts w:ascii="Book Antiqua"/>
          <w:i/>
          <w:w w:val="105"/>
        </w:rPr>
        <w:t xml:space="preserve">Comment: </w:t>
      </w:r>
      <w:r w:rsidRPr="00283806">
        <w:rPr>
          <w:w w:val="105"/>
        </w:rPr>
        <w:t>One commenter mentioned that the final rule should preserve the ability to use substitutes for initial installation and servicing/repair of fire suppression equipment. The commenter stated that the proposed regulatory language could be read to suggest that only recycled regulated substances, and not</w:t>
      </w:r>
      <w:r w:rsidRPr="00283806">
        <w:rPr>
          <w:spacing w:val="38"/>
          <w:w w:val="105"/>
        </w:rPr>
        <w:t xml:space="preserve"> </w:t>
      </w:r>
      <w:r w:rsidRPr="00283806">
        <w:rPr>
          <w:w w:val="105"/>
        </w:rPr>
        <w:t>their</w:t>
      </w:r>
      <w:r w:rsidRPr="00283806">
        <w:rPr>
          <w:spacing w:val="38"/>
          <w:w w:val="105"/>
        </w:rPr>
        <w:t xml:space="preserve"> </w:t>
      </w:r>
      <w:r w:rsidRPr="00283806">
        <w:rPr>
          <w:w w:val="105"/>
        </w:rPr>
        <w:t>substitutes,</w:t>
      </w:r>
      <w:r w:rsidRPr="00283806">
        <w:rPr>
          <w:spacing w:val="38"/>
          <w:w w:val="105"/>
        </w:rPr>
        <w:t xml:space="preserve"> </w:t>
      </w:r>
      <w:r w:rsidRPr="00283806">
        <w:rPr>
          <w:w w:val="105"/>
        </w:rPr>
        <w:t>could</w:t>
      </w:r>
      <w:r w:rsidRPr="00283806">
        <w:rPr>
          <w:spacing w:val="38"/>
          <w:w w:val="105"/>
        </w:rPr>
        <w:t xml:space="preserve"> </w:t>
      </w:r>
      <w:r w:rsidRPr="00283806">
        <w:rPr>
          <w:w w:val="105"/>
        </w:rPr>
        <w:t>be</w:t>
      </w:r>
      <w:r w:rsidRPr="00283806">
        <w:rPr>
          <w:spacing w:val="38"/>
          <w:w w:val="105"/>
        </w:rPr>
        <w:t xml:space="preserve"> </w:t>
      </w:r>
      <w:r w:rsidRPr="00283806">
        <w:rPr>
          <w:w w:val="105"/>
        </w:rPr>
        <w:t>used</w:t>
      </w:r>
      <w:r w:rsidRPr="00283806">
        <w:rPr>
          <w:spacing w:val="38"/>
          <w:w w:val="105"/>
        </w:rPr>
        <w:t xml:space="preserve"> </w:t>
      </w:r>
      <w:r w:rsidRPr="00283806">
        <w:rPr>
          <w:w w:val="105"/>
        </w:rPr>
        <w:t>to fill and/or service fire suppression equipment. The commenter stated that this result was likely unintended</w:t>
      </w:r>
      <w:r w:rsidRPr="00283806">
        <w:rPr>
          <w:spacing w:val="80"/>
          <w:w w:val="105"/>
        </w:rPr>
        <w:t xml:space="preserve"> </w:t>
      </w:r>
      <w:r w:rsidRPr="00283806">
        <w:rPr>
          <w:w w:val="105"/>
        </w:rPr>
        <w:t>because it overlooks the potential use of HFC substitutes in fire suppression equipment, which in some cases may be more environmentally friendly than recycled HFCs. The commenter</w:t>
      </w:r>
      <w:r w:rsidRPr="00283806">
        <w:rPr>
          <w:spacing w:val="80"/>
          <w:w w:val="105"/>
        </w:rPr>
        <w:t xml:space="preserve"> </w:t>
      </w:r>
      <w:r w:rsidRPr="00283806">
        <w:rPr>
          <w:w w:val="105"/>
        </w:rPr>
        <w:t>requested that EPA amend 40 CFR 84.110(c) to clarify that fire suppression equipment must be initially charged and serviced with recycled HFCs or</w:t>
      </w:r>
      <w:r w:rsidRPr="00283806">
        <w:rPr>
          <w:spacing w:val="80"/>
          <w:w w:val="150"/>
        </w:rPr>
        <w:t xml:space="preserve"> </w:t>
      </w:r>
      <w:r w:rsidRPr="00283806">
        <w:rPr>
          <w:w w:val="105"/>
        </w:rPr>
        <w:t xml:space="preserve">allowable HFC substitutes, as such substitutes become available on the </w:t>
      </w:r>
      <w:r w:rsidRPr="00283806">
        <w:rPr>
          <w:spacing w:val="-2"/>
          <w:w w:val="105"/>
        </w:rPr>
        <w:t>market.</w:t>
      </w:r>
    </w:p>
    <w:p w14:paraId="5B63D35A"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7" w:space="40"/>
            <w:col w:w="3489" w:space="39"/>
            <w:col w:w="3635"/>
          </w:cols>
        </w:sectPr>
      </w:pPr>
    </w:p>
    <w:p w14:paraId="1FB012E4" w14:textId="77777777" w:rsidR="00D67C1E" w:rsidRPr="00283806" w:rsidRDefault="001265CA">
      <w:pPr>
        <w:pStyle w:val="BodyText"/>
        <w:spacing w:before="139" w:line="220" w:lineRule="auto"/>
        <w:ind w:right="128" w:firstLine="180"/>
      </w:pPr>
      <w:r w:rsidRPr="00283806">
        <w:rPr>
          <w:rFonts w:ascii="Book Antiqua"/>
          <w:i/>
          <w:w w:val="105"/>
        </w:rPr>
        <w:lastRenderedPageBreak/>
        <w:t xml:space="preserve">Response: </w:t>
      </w:r>
      <w:r w:rsidRPr="00283806">
        <w:rPr>
          <w:w w:val="105"/>
        </w:rPr>
        <w:t>EPA did not propose and is not finalizing requirements for the use</w:t>
      </w:r>
      <w:r w:rsidRPr="00283806">
        <w:rPr>
          <w:spacing w:val="80"/>
          <w:w w:val="105"/>
        </w:rPr>
        <w:t xml:space="preserve"> </w:t>
      </w:r>
      <w:r w:rsidRPr="00283806">
        <w:rPr>
          <w:w w:val="105"/>
        </w:rPr>
        <w:t>of recycled HFC substitutes in fire suppression equipment at this time.</w:t>
      </w:r>
    </w:p>
    <w:p w14:paraId="40D17D95" w14:textId="77777777" w:rsidR="00D67C1E" w:rsidRPr="00283806" w:rsidRDefault="001265CA">
      <w:pPr>
        <w:pStyle w:val="BodyText"/>
        <w:spacing w:before="2" w:line="225" w:lineRule="auto"/>
      </w:pPr>
      <w:r w:rsidRPr="00283806">
        <w:rPr>
          <w:w w:val="105"/>
        </w:rPr>
        <w:t>EPA notes that nothing in this final rule impedes the use of fire suppression alternatives. EPA determined that it is prudent to limit the requirements to HFCs, noting that the consumption and production phasedown will create scarcity for certain HFCs and such demand should partly be addressed by the increased use of recycled HFCs. The Agency acknowledges the importance of HFC substitutes and encourages the development and deployment of HFC substitutes to the extent possible. EPA also recognizes that in the context of a phasedown, certain uses of HFCs will continue indefinitely.</w:t>
      </w:r>
    </w:p>
    <w:p w14:paraId="3FCBA548" w14:textId="77777777" w:rsidR="00D67C1E" w:rsidRPr="00283806" w:rsidRDefault="001265CA">
      <w:pPr>
        <w:spacing w:line="180" w:lineRule="exact"/>
        <w:ind w:left="340"/>
        <w:rPr>
          <w:sz w:val="18"/>
        </w:rPr>
      </w:pPr>
      <w:r w:rsidRPr="00283806">
        <w:rPr>
          <w:rFonts w:ascii="Book Antiqua"/>
          <w:i/>
          <w:w w:val="110"/>
          <w:sz w:val="18"/>
        </w:rPr>
        <w:t>Comment:</w:t>
      </w:r>
      <w:r w:rsidRPr="00283806">
        <w:rPr>
          <w:rFonts w:ascii="Book Antiqua"/>
          <w:i/>
          <w:spacing w:val="-8"/>
          <w:w w:val="110"/>
          <w:sz w:val="18"/>
        </w:rPr>
        <w:t xml:space="preserve"> </w:t>
      </w:r>
      <w:r w:rsidRPr="00283806">
        <w:rPr>
          <w:w w:val="110"/>
          <w:sz w:val="18"/>
        </w:rPr>
        <w:t>A</w:t>
      </w:r>
      <w:r w:rsidRPr="00283806">
        <w:rPr>
          <w:spacing w:val="-3"/>
          <w:w w:val="110"/>
          <w:sz w:val="18"/>
        </w:rPr>
        <w:t xml:space="preserve"> </w:t>
      </w:r>
      <w:r w:rsidRPr="00283806">
        <w:rPr>
          <w:w w:val="110"/>
          <w:sz w:val="18"/>
        </w:rPr>
        <w:t>commenter</w:t>
      </w:r>
      <w:r w:rsidRPr="00283806">
        <w:rPr>
          <w:spacing w:val="-2"/>
          <w:w w:val="110"/>
          <w:sz w:val="18"/>
        </w:rPr>
        <w:t xml:space="preserve"> mentioned</w:t>
      </w:r>
    </w:p>
    <w:p w14:paraId="02908112" w14:textId="77777777" w:rsidR="00D67C1E" w:rsidRPr="00283806" w:rsidRDefault="001265CA">
      <w:pPr>
        <w:pStyle w:val="BodyText"/>
        <w:spacing w:line="225" w:lineRule="auto"/>
      </w:pPr>
      <w:r w:rsidRPr="00283806">
        <w:rPr>
          <w:w w:val="105"/>
        </w:rPr>
        <w:t>that because the Federal Aviation Act</w:t>
      </w:r>
      <w:r w:rsidRPr="00283806">
        <w:rPr>
          <w:spacing w:val="80"/>
          <w:w w:val="105"/>
        </w:rPr>
        <w:t xml:space="preserve"> </w:t>
      </w:r>
      <w:r w:rsidRPr="00283806">
        <w:rPr>
          <w:w w:val="105"/>
        </w:rPr>
        <w:t>and controlling case law interpreting the Act reserve to the FAA primary jurisdiction over matters related to aircraft safety and operations, requirements related to passenger aircraft air conditioning and fire suppression equipment necessarily falls within the purview of FAA’s authority</w:t>
      </w:r>
      <w:r w:rsidRPr="00283806">
        <w:rPr>
          <w:spacing w:val="40"/>
          <w:w w:val="105"/>
        </w:rPr>
        <w:t xml:space="preserve"> </w:t>
      </w:r>
      <w:r w:rsidRPr="00283806">
        <w:rPr>
          <w:w w:val="105"/>
        </w:rPr>
        <w:t>and therefore cannot be infringed upon by EPA. The commenter also states that more important than any jurisdictional considerations, any acknowledged</w:t>
      </w:r>
      <w:r w:rsidRPr="00283806">
        <w:rPr>
          <w:spacing w:val="80"/>
          <w:w w:val="150"/>
        </w:rPr>
        <w:t xml:space="preserve"> </w:t>
      </w:r>
      <w:r w:rsidRPr="00283806">
        <w:rPr>
          <w:w w:val="105"/>
        </w:rPr>
        <w:t>threat to passenger safety is</w:t>
      </w:r>
      <w:r w:rsidRPr="00283806">
        <w:rPr>
          <w:spacing w:val="40"/>
          <w:w w:val="105"/>
        </w:rPr>
        <w:t xml:space="preserve"> </w:t>
      </w:r>
      <w:r w:rsidRPr="00283806">
        <w:rPr>
          <w:w w:val="105"/>
        </w:rPr>
        <w:t>unacceptable as a regulatory requirement, and notes that a lack of meaningful coordination with the FAA could</w:t>
      </w:r>
      <w:r w:rsidRPr="00283806">
        <w:rPr>
          <w:spacing w:val="34"/>
          <w:w w:val="105"/>
        </w:rPr>
        <w:t xml:space="preserve"> </w:t>
      </w:r>
      <w:r w:rsidRPr="00283806">
        <w:rPr>
          <w:w w:val="105"/>
        </w:rPr>
        <w:t>result</w:t>
      </w:r>
      <w:r w:rsidRPr="00283806">
        <w:rPr>
          <w:spacing w:val="34"/>
          <w:w w:val="105"/>
        </w:rPr>
        <w:t xml:space="preserve"> </w:t>
      </w:r>
      <w:r w:rsidRPr="00283806">
        <w:rPr>
          <w:w w:val="105"/>
        </w:rPr>
        <w:t>in</w:t>
      </w:r>
      <w:r w:rsidRPr="00283806">
        <w:rPr>
          <w:spacing w:val="34"/>
          <w:w w:val="105"/>
        </w:rPr>
        <w:t xml:space="preserve"> </w:t>
      </w:r>
      <w:r w:rsidRPr="00283806">
        <w:rPr>
          <w:w w:val="105"/>
        </w:rPr>
        <w:t>a</w:t>
      </w:r>
      <w:r w:rsidRPr="00283806">
        <w:rPr>
          <w:spacing w:val="34"/>
          <w:w w:val="105"/>
        </w:rPr>
        <w:t xml:space="preserve"> </w:t>
      </w:r>
      <w:r w:rsidRPr="00283806">
        <w:rPr>
          <w:w w:val="105"/>
        </w:rPr>
        <w:t>failure</w:t>
      </w:r>
      <w:r w:rsidRPr="00283806">
        <w:rPr>
          <w:spacing w:val="34"/>
          <w:w w:val="105"/>
        </w:rPr>
        <w:t xml:space="preserve"> </w:t>
      </w:r>
      <w:r w:rsidRPr="00283806">
        <w:rPr>
          <w:w w:val="105"/>
        </w:rPr>
        <w:t>to</w:t>
      </w:r>
      <w:r w:rsidRPr="00283806">
        <w:rPr>
          <w:spacing w:val="34"/>
          <w:w w:val="105"/>
        </w:rPr>
        <w:t xml:space="preserve"> </w:t>
      </w:r>
      <w:r w:rsidRPr="00283806">
        <w:rPr>
          <w:w w:val="105"/>
        </w:rPr>
        <w:t>ensure</w:t>
      </w:r>
      <w:r w:rsidRPr="00283806">
        <w:rPr>
          <w:spacing w:val="34"/>
          <w:w w:val="105"/>
        </w:rPr>
        <w:t xml:space="preserve"> </w:t>
      </w:r>
      <w:r w:rsidRPr="00283806">
        <w:rPr>
          <w:w w:val="105"/>
        </w:rPr>
        <w:t>that air safety is the top consideration when determining applicability of the</w:t>
      </w:r>
      <w:r w:rsidRPr="00283806">
        <w:rPr>
          <w:spacing w:val="80"/>
          <w:w w:val="105"/>
        </w:rPr>
        <w:t xml:space="preserve"> </w:t>
      </w:r>
      <w:r w:rsidRPr="00283806">
        <w:rPr>
          <w:w w:val="105"/>
        </w:rPr>
        <w:t>proposed rule’s requirements to the commercial aviation sector. The commenter expressed support for EPA’s proposed exemption for onboard aerospace fire suppression systems from the requirement to use recycled HFCs</w:t>
      </w:r>
      <w:r w:rsidRPr="00283806">
        <w:rPr>
          <w:spacing w:val="40"/>
          <w:w w:val="105"/>
        </w:rPr>
        <w:t xml:space="preserve"> </w:t>
      </w:r>
      <w:r w:rsidRPr="00283806">
        <w:rPr>
          <w:w w:val="105"/>
        </w:rPr>
        <w:t>and recommended that the exemption</w:t>
      </w:r>
      <w:r w:rsidRPr="00283806">
        <w:rPr>
          <w:spacing w:val="80"/>
          <w:w w:val="105"/>
        </w:rPr>
        <w:t xml:space="preserve"> </w:t>
      </w:r>
      <w:r w:rsidRPr="00283806">
        <w:rPr>
          <w:w w:val="105"/>
        </w:rPr>
        <w:t>be expanded to hangar fire suppression systems. The commenter also requested the</w:t>
      </w:r>
      <w:r w:rsidRPr="00283806">
        <w:rPr>
          <w:spacing w:val="40"/>
          <w:w w:val="105"/>
        </w:rPr>
        <w:t xml:space="preserve"> </w:t>
      </w:r>
      <w:r w:rsidRPr="00283806">
        <w:rPr>
          <w:w w:val="105"/>
        </w:rPr>
        <w:t>broadest</w:t>
      </w:r>
      <w:r w:rsidRPr="00283806">
        <w:rPr>
          <w:spacing w:val="40"/>
          <w:w w:val="105"/>
        </w:rPr>
        <w:t xml:space="preserve"> </w:t>
      </w:r>
      <w:r w:rsidRPr="00283806">
        <w:rPr>
          <w:w w:val="105"/>
        </w:rPr>
        <w:t>application</w:t>
      </w:r>
      <w:r w:rsidRPr="00283806">
        <w:rPr>
          <w:spacing w:val="40"/>
          <w:w w:val="105"/>
        </w:rPr>
        <w:t xml:space="preserve"> </w:t>
      </w:r>
      <w:r w:rsidRPr="00283806">
        <w:rPr>
          <w:w w:val="105"/>
        </w:rPr>
        <w:t>possible</w:t>
      </w:r>
      <w:r w:rsidRPr="00283806">
        <w:rPr>
          <w:spacing w:val="40"/>
          <w:w w:val="105"/>
        </w:rPr>
        <w:t xml:space="preserve"> </w:t>
      </w:r>
      <w:r w:rsidRPr="00283806">
        <w:rPr>
          <w:w w:val="105"/>
        </w:rPr>
        <w:t xml:space="preserve">for this proposed exemption given the potentially lengthy process for FAA approval of such products and their potential to impact the safe operation of </w:t>
      </w:r>
      <w:r w:rsidRPr="00283806">
        <w:rPr>
          <w:spacing w:val="-2"/>
          <w:w w:val="105"/>
        </w:rPr>
        <w:t>aircraft.</w:t>
      </w:r>
    </w:p>
    <w:p w14:paraId="7CB42EB5" w14:textId="77777777" w:rsidR="00D67C1E" w:rsidRPr="00283806" w:rsidRDefault="001265CA">
      <w:pPr>
        <w:pStyle w:val="BodyText"/>
        <w:spacing w:line="167" w:lineRule="exact"/>
        <w:ind w:left="340"/>
      </w:pPr>
      <w:r w:rsidRPr="00283806">
        <w:rPr>
          <w:w w:val="105"/>
        </w:rPr>
        <w:t>The</w:t>
      </w:r>
      <w:r w:rsidRPr="00283806">
        <w:rPr>
          <w:spacing w:val="3"/>
          <w:w w:val="105"/>
        </w:rPr>
        <w:t xml:space="preserve"> </w:t>
      </w:r>
      <w:r w:rsidRPr="00283806">
        <w:rPr>
          <w:w w:val="105"/>
        </w:rPr>
        <w:t>commenter</w:t>
      </w:r>
      <w:r w:rsidRPr="00283806">
        <w:rPr>
          <w:spacing w:val="3"/>
          <w:w w:val="105"/>
        </w:rPr>
        <w:t xml:space="preserve"> </w:t>
      </w:r>
      <w:r w:rsidRPr="00283806">
        <w:rPr>
          <w:w w:val="105"/>
        </w:rPr>
        <w:t>stated</w:t>
      </w:r>
      <w:r w:rsidRPr="00283806">
        <w:rPr>
          <w:spacing w:val="3"/>
          <w:w w:val="105"/>
        </w:rPr>
        <w:t xml:space="preserve"> </w:t>
      </w:r>
      <w:r w:rsidRPr="00283806">
        <w:rPr>
          <w:w w:val="105"/>
        </w:rPr>
        <w:t>that</w:t>
      </w:r>
      <w:r w:rsidRPr="00283806">
        <w:rPr>
          <w:spacing w:val="3"/>
          <w:w w:val="105"/>
        </w:rPr>
        <w:t xml:space="preserve"> </w:t>
      </w:r>
      <w:r w:rsidRPr="00283806">
        <w:rPr>
          <w:spacing w:val="-5"/>
          <w:w w:val="105"/>
        </w:rPr>
        <w:t>the</w:t>
      </w:r>
    </w:p>
    <w:p w14:paraId="2770C52D" w14:textId="77777777" w:rsidR="00D67C1E" w:rsidRPr="00283806" w:rsidRDefault="001265CA">
      <w:pPr>
        <w:pStyle w:val="BodyText"/>
        <w:spacing w:before="3" w:line="225" w:lineRule="auto"/>
        <w:ind w:right="56"/>
      </w:pPr>
      <w:r w:rsidRPr="00283806">
        <w:rPr>
          <w:w w:val="105"/>
        </w:rPr>
        <w:t>proposed rule does not appear to</w:t>
      </w:r>
      <w:r w:rsidRPr="00283806">
        <w:rPr>
          <w:spacing w:val="80"/>
          <w:w w:val="105"/>
        </w:rPr>
        <w:t xml:space="preserve"> </w:t>
      </w:r>
      <w:r w:rsidRPr="00283806">
        <w:rPr>
          <w:w w:val="105"/>
        </w:rPr>
        <w:t>contain a similar exemption from the requirement to use recycled HFCs for</w:t>
      </w:r>
      <w:r w:rsidRPr="00283806">
        <w:rPr>
          <w:spacing w:val="80"/>
          <w:w w:val="105"/>
        </w:rPr>
        <w:t xml:space="preserve"> </w:t>
      </w:r>
      <w:r w:rsidRPr="00283806">
        <w:rPr>
          <w:w w:val="105"/>
        </w:rPr>
        <w:t xml:space="preserve">fire suppression systems in hangars. The commenter stated that hangar fire suppression systems are highly </w:t>
      </w:r>
      <w:proofErr w:type="gramStart"/>
      <w:r w:rsidRPr="00283806">
        <w:rPr>
          <w:w w:val="105"/>
        </w:rPr>
        <w:t>specialized,</w:t>
      </w:r>
      <w:r w:rsidRPr="00283806">
        <w:rPr>
          <w:spacing w:val="40"/>
          <w:w w:val="105"/>
        </w:rPr>
        <w:t xml:space="preserve"> </w:t>
      </w:r>
      <w:r w:rsidRPr="00283806">
        <w:rPr>
          <w:w w:val="105"/>
        </w:rPr>
        <w:t>and</w:t>
      </w:r>
      <w:proofErr w:type="gramEnd"/>
      <w:r w:rsidRPr="00283806">
        <w:rPr>
          <w:spacing w:val="40"/>
          <w:w w:val="105"/>
        </w:rPr>
        <w:t xml:space="preserve"> </w:t>
      </w:r>
      <w:r w:rsidRPr="00283806">
        <w:rPr>
          <w:w w:val="105"/>
        </w:rPr>
        <w:t>mandating</w:t>
      </w:r>
      <w:r w:rsidRPr="00283806">
        <w:rPr>
          <w:spacing w:val="40"/>
          <w:w w:val="105"/>
        </w:rPr>
        <w:t xml:space="preserve"> </w:t>
      </w:r>
      <w:r w:rsidRPr="00283806">
        <w:rPr>
          <w:w w:val="105"/>
        </w:rPr>
        <w:t>that</w:t>
      </w:r>
      <w:r w:rsidRPr="00283806">
        <w:rPr>
          <w:spacing w:val="40"/>
          <w:w w:val="105"/>
        </w:rPr>
        <w:t xml:space="preserve"> </w:t>
      </w:r>
      <w:r w:rsidRPr="00283806">
        <w:rPr>
          <w:w w:val="105"/>
        </w:rPr>
        <w:t>new and existing hangar fire suppression systems use recycled HFCs could be incredibly costly for their members and potentially disruptive to safe and</w:t>
      </w:r>
      <w:r w:rsidRPr="00283806">
        <w:rPr>
          <w:spacing w:val="80"/>
          <w:w w:val="150"/>
        </w:rPr>
        <w:t xml:space="preserve"> </w:t>
      </w:r>
      <w:r w:rsidRPr="00283806">
        <w:rPr>
          <w:w w:val="105"/>
        </w:rPr>
        <w:t>smooth commercial aviation operations.</w:t>
      </w:r>
    </w:p>
    <w:p w14:paraId="2C491DA6" w14:textId="77777777" w:rsidR="00D67C1E" w:rsidRPr="00283806" w:rsidRDefault="001265CA">
      <w:pPr>
        <w:pStyle w:val="BodyText"/>
        <w:spacing w:before="134" w:line="228" w:lineRule="auto"/>
        <w:ind w:left="144"/>
      </w:pPr>
      <w:r w:rsidRPr="00283806">
        <w:br w:type="column"/>
      </w:r>
      <w:r w:rsidRPr="00283806">
        <w:rPr>
          <w:w w:val="105"/>
        </w:rPr>
        <w:t>The commenter also stated that such a requirement for hangars must also go through the FAA consultation process to ensure that any final requirements that may apply to the commercial aviation sector and its ground facilities do not jeopardize safety or the smooth and efficient operation of the commercial aviation industry when planes are in the air and on the ground.</w:t>
      </w:r>
    </w:p>
    <w:p w14:paraId="0C033C07" w14:textId="77777777" w:rsidR="00D67C1E" w:rsidRPr="00283806" w:rsidRDefault="001265CA">
      <w:pPr>
        <w:pStyle w:val="BodyText"/>
        <w:spacing w:before="35" w:line="228" w:lineRule="auto"/>
        <w:ind w:left="144" w:right="1" w:firstLine="180"/>
      </w:pPr>
      <w:r w:rsidRPr="00283806">
        <w:rPr>
          <w:rFonts w:ascii="Book Antiqua" w:hAnsi="Book Antiqua"/>
          <w:i/>
          <w:w w:val="105"/>
        </w:rPr>
        <w:t xml:space="preserve">Response: </w:t>
      </w:r>
      <w:r w:rsidRPr="00283806">
        <w:rPr>
          <w:w w:val="105"/>
        </w:rPr>
        <w:t xml:space="preserve">EPA disagrees with the commenter’s broad assertions that EPA does not have </w:t>
      </w:r>
      <w:proofErr w:type="gramStart"/>
      <w:r w:rsidRPr="00283806">
        <w:rPr>
          <w:w w:val="105"/>
        </w:rPr>
        <w:t>authority</w:t>
      </w:r>
      <w:proofErr w:type="gramEnd"/>
      <w:r w:rsidRPr="00283806">
        <w:rPr>
          <w:w w:val="105"/>
        </w:rPr>
        <w:t xml:space="preserve"> to issue regulations</w:t>
      </w:r>
      <w:r w:rsidRPr="00283806">
        <w:rPr>
          <w:spacing w:val="40"/>
          <w:w w:val="105"/>
        </w:rPr>
        <w:t xml:space="preserve"> </w:t>
      </w:r>
      <w:r w:rsidRPr="00283806">
        <w:rPr>
          <w:w w:val="105"/>
        </w:rPr>
        <w:t>pertaining</w:t>
      </w:r>
      <w:r w:rsidRPr="00283806">
        <w:rPr>
          <w:spacing w:val="40"/>
          <w:w w:val="105"/>
        </w:rPr>
        <w:t xml:space="preserve"> </w:t>
      </w:r>
      <w:r w:rsidRPr="00283806">
        <w:rPr>
          <w:w w:val="105"/>
        </w:rPr>
        <w:t>to</w:t>
      </w:r>
      <w:r w:rsidRPr="00283806">
        <w:rPr>
          <w:spacing w:val="40"/>
          <w:w w:val="105"/>
        </w:rPr>
        <w:t xml:space="preserve"> </w:t>
      </w:r>
      <w:r w:rsidRPr="00283806">
        <w:rPr>
          <w:w w:val="105"/>
        </w:rPr>
        <w:t>HFCs</w:t>
      </w:r>
      <w:r w:rsidRPr="00283806">
        <w:rPr>
          <w:spacing w:val="40"/>
          <w:w w:val="105"/>
        </w:rPr>
        <w:t xml:space="preserve"> </w:t>
      </w:r>
      <w:r w:rsidRPr="00283806">
        <w:rPr>
          <w:w w:val="105"/>
        </w:rPr>
        <w:t>in aircraft and aircraft operations. While EPA</w:t>
      </w:r>
      <w:r w:rsidRPr="00283806">
        <w:rPr>
          <w:spacing w:val="40"/>
          <w:w w:val="105"/>
        </w:rPr>
        <w:t xml:space="preserve"> </w:t>
      </w:r>
      <w:r w:rsidRPr="00283806">
        <w:rPr>
          <w:w w:val="105"/>
        </w:rPr>
        <w:t>agrees</w:t>
      </w:r>
      <w:r w:rsidRPr="00283806">
        <w:rPr>
          <w:spacing w:val="40"/>
          <w:w w:val="105"/>
        </w:rPr>
        <w:t xml:space="preserve"> </w:t>
      </w:r>
      <w:r w:rsidRPr="00283806">
        <w:rPr>
          <w:w w:val="105"/>
        </w:rPr>
        <w:t>that</w:t>
      </w:r>
      <w:r w:rsidRPr="00283806">
        <w:rPr>
          <w:spacing w:val="40"/>
          <w:w w:val="105"/>
        </w:rPr>
        <w:t xml:space="preserve"> </w:t>
      </w:r>
      <w:r w:rsidRPr="00283806">
        <w:rPr>
          <w:w w:val="105"/>
        </w:rPr>
        <w:t>the</w:t>
      </w:r>
      <w:r w:rsidRPr="00283806">
        <w:rPr>
          <w:spacing w:val="40"/>
          <w:w w:val="105"/>
        </w:rPr>
        <w:t xml:space="preserve"> </w:t>
      </w:r>
      <w:r w:rsidRPr="00283806">
        <w:rPr>
          <w:w w:val="105"/>
        </w:rPr>
        <w:t>FAA</w:t>
      </w:r>
      <w:r w:rsidRPr="00283806">
        <w:rPr>
          <w:spacing w:val="40"/>
          <w:w w:val="105"/>
        </w:rPr>
        <w:t xml:space="preserve"> </w:t>
      </w:r>
      <w:r w:rsidRPr="00283806">
        <w:rPr>
          <w:w w:val="105"/>
        </w:rPr>
        <w:t>has jurisdiction over matters related to aircraft safety and operations consistent with its Congressionally mandated authorities, under CAA title VI and the AIM Act, EPA has issued numerous regulations that concern the use of ODS and</w:t>
      </w:r>
      <w:r w:rsidRPr="00283806">
        <w:rPr>
          <w:spacing w:val="40"/>
          <w:w w:val="105"/>
        </w:rPr>
        <w:t xml:space="preserve"> </w:t>
      </w:r>
      <w:r w:rsidRPr="00283806">
        <w:rPr>
          <w:w w:val="105"/>
        </w:rPr>
        <w:t>HFCs</w:t>
      </w:r>
      <w:r w:rsidRPr="00283806">
        <w:rPr>
          <w:spacing w:val="40"/>
          <w:w w:val="105"/>
        </w:rPr>
        <w:t xml:space="preserve"> </w:t>
      </w:r>
      <w:r w:rsidRPr="00283806">
        <w:rPr>
          <w:w w:val="105"/>
        </w:rPr>
        <w:t>in</w:t>
      </w:r>
      <w:r w:rsidRPr="00283806">
        <w:rPr>
          <w:spacing w:val="40"/>
          <w:w w:val="105"/>
        </w:rPr>
        <w:t xml:space="preserve"> </w:t>
      </w:r>
      <w:r w:rsidRPr="00283806">
        <w:rPr>
          <w:w w:val="105"/>
        </w:rPr>
        <w:t>many</w:t>
      </w:r>
      <w:r w:rsidRPr="00283806">
        <w:rPr>
          <w:spacing w:val="40"/>
          <w:w w:val="105"/>
        </w:rPr>
        <w:t xml:space="preserve"> </w:t>
      </w:r>
      <w:r w:rsidRPr="00283806">
        <w:rPr>
          <w:w w:val="105"/>
        </w:rPr>
        <w:t>applications including onboard aviation and flight operations. With respect to this action, the AIM Act does not exclude aircraft or aircraft operations from the scope of implementing regulations. As noted previously</w:t>
      </w:r>
      <w:r w:rsidRPr="00283806">
        <w:rPr>
          <w:spacing w:val="40"/>
          <w:w w:val="105"/>
        </w:rPr>
        <w:t xml:space="preserve"> </w:t>
      </w:r>
      <w:r w:rsidRPr="00283806">
        <w:rPr>
          <w:w w:val="105"/>
        </w:rPr>
        <w:t>in</w:t>
      </w:r>
      <w:r w:rsidRPr="00283806">
        <w:rPr>
          <w:spacing w:val="40"/>
          <w:w w:val="105"/>
        </w:rPr>
        <w:t xml:space="preserve"> </w:t>
      </w:r>
      <w:r w:rsidRPr="00283806">
        <w:rPr>
          <w:w w:val="105"/>
        </w:rPr>
        <w:t>this</w:t>
      </w:r>
      <w:r w:rsidRPr="00283806">
        <w:rPr>
          <w:spacing w:val="40"/>
          <w:w w:val="105"/>
        </w:rPr>
        <w:t xml:space="preserve"> </w:t>
      </w:r>
      <w:r w:rsidRPr="00283806">
        <w:rPr>
          <w:w w:val="105"/>
        </w:rPr>
        <w:t>notice,</w:t>
      </w:r>
      <w:r w:rsidRPr="00283806">
        <w:rPr>
          <w:spacing w:val="40"/>
          <w:w w:val="105"/>
        </w:rPr>
        <w:t xml:space="preserve"> </w:t>
      </w:r>
      <w:r w:rsidRPr="00283806">
        <w:rPr>
          <w:w w:val="105"/>
        </w:rPr>
        <w:t>the</w:t>
      </w:r>
      <w:r w:rsidRPr="00283806">
        <w:rPr>
          <w:spacing w:val="40"/>
          <w:w w:val="105"/>
        </w:rPr>
        <w:t xml:space="preserve"> </w:t>
      </w:r>
      <w:r w:rsidRPr="00283806">
        <w:rPr>
          <w:w w:val="105"/>
        </w:rPr>
        <w:t>inclusion in the statute at subsection (e)(4)(b)(iv) of ‘‘on board aerospace fire</w:t>
      </w:r>
      <w:r w:rsidRPr="00283806">
        <w:rPr>
          <w:spacing w:val="80"/>
          <w:w w:val="105"/>
        </w:rPr>
        <w:t xml:space="preserve"> </w:t>
      </w:r>
      <w:r w:rsidRPr="00283806">
        <w:rPr>
          <w:w w:val="105"/>
        </w:rPr>
        <w:t>suppression,’’ which includes aircraft, indicates that Congress did not intend to exempt aircraft and aircraft operations from the AIM Act. In addition, the commenter does not address the provisions of subsection (h) itself. None of the text of subsection (h) indicates</w:t>
      </w:r>
      <w:r w:rsidRPr="00283806">
        <w:rPr>
          <w:spacing w:val="80"/>
          <w:w w:val="105"/>
        </w:rPr>
        <w:t xml:space="preserve"> </w:t>
      </w:r>
      <w:r w:rsidRPr="00283806">
        <w:rPr>
          <w:w w:val="105"/>
        </w:rPr>
        <w:t>that Congress contemplated that these provisions would not apply to</w:t>
      </w:r>
      <w:r w:rsidRPr="00283806">
        <w:rPr>
          <w:spacing w:val="80"/>
          <w:w w:val="105"/>
        </w:rPr>
        <w:t xml:space="preserve"> </w:t>
      </w:r>
      <w:r w:rsidRPr="00283806">
        <w:rPr>
          <w:w w:val="105"/>
        </w:rPr>
        <w:t>equipment used in commercial aviation. Congress expressly addressed inapplicability of regulations under (h)</w:t>
      </w:r>
      <w:r w:rsidRPr="00283806">
        <w:rPr>
          <w:spacing w:val="80"/>
          <w:w w:val="105"/>
        </w:rPr>
        <w:t xml:space="preserve"> </w:t>
      </w:r>
      <w:r w:rsidRPr="00283806">
        <w:rPr>
          <w:w w:val="105"/>
        </w:rPr>
        <w:t>in subsection (h)(4), in which it</w:t>
      </w:r>
      <w:r w:rsidRPr="00283806">
        <w:rPr>
          <w:spacing w:val="80"/>
          <w:w w:val="150"/>
        </w:rPr>
        <w:t xml:space="preserve"> </w:t>
      </w:r>
      <w:proofErr w:type="gramStart"/>
      <w:r w:rsidRPr="00283806">
        <w:rPr>
          <w:w w:val="105"/>
        </w:rPr>
        <w:t>provided that</w:t>
      </w:r>
      <w:proofErr w:type="gramEnd"/>
      <w:r w:rsidRPr="00283806">
        <w:rPr>
          <w:w w:val="105"/>
        </w:rPr>
        <w:t xml:space="preserve"> regulations under subsection</w:t>
      </w:r>
      <w:r w:rsidRPr="00283806">
        <w:rPr>
          <w:spacing w:val="40"/>
          <w:w w:val="105"/>
        </w:rPr>
        <w:t xml:space="preserve"> </w:t>
      </w:r>
      <w:r w:rsidRPr="00283806">
        <w:rPr>
          <w:w w:val="105"/>
        </w:rPr>
        <w:t>(h)</w:t>
      </w:r>
      <w:r w:rsidRPr="00283806">
        <w:rPr>
          <w:spacing w:val="40"/>
          <w:w w:val="105"/>
        </w:rPr>
        <w:t xml:space="preserve"> </w:t>
      </w:r>
      <w:r w:rsidRPr="00283806">
        <w:rPr>
          <w:w w:val="105"/>
        </w:rPr>
        <w:t>shall</w:t>
      </w:r>
      <w:r w:rsidRPr="00283806">
        <w:rPr>
          <w:spacing w:val="40"/>
          <w:w w:val="105"/>
        </w:rPr>
        <w:t xml:space="preserve"> </w:t>
      </w:r>
      <w:r w:rsidRPr="00283806">
        <w:rPr>
          <w:w w:val="105"/>
        </w:rPr>
        <w:t>not</w:t>
      </w:r>
      <w:r w:rsidRPr="00283806">
        <w:rPr>
          <w:spacing w:val="40"/>
          <w:w w:val="105"/>
        </w:rPr>
        <w:t xml:space="preserve"> </w:t>
      </w:r>
      <w:r w:rsidRPr="00283806">
        <w:rPr>
          <w:w w:val="105"/>
        </w:rPr>
        <w:t>apply</w:t>
      </w:r>
      <w:r w:rsidRPr="00283806">
        <w:rPr>
          <w:spacing w:val="40"/>
          <w:w w:val="105"/>
        </w:rPr>
        <w:t xml:space="preserve"> </w:t>
      </w:r>
      <w:r w:rsidRPr="00283806">
        <w:rPr>
          <w:w w:val="105"/>
        </w:rPr>
        <w:t>to</w:t>
      </w:r>
      <w:r w:rsidRPr="00283806">
        <w:rPr>
          <w:spacing w:val="40"/>
          <w:w w:val="105"/>
        </w:rPr>
        <w:t xml:space="preserve"> </w:t>
      </w:r>
      <w:r w:rsidRPr="00283806">
        <w:rPr>
          <w:w w:val="105"/>
        </w:rPr>
        <w:t>HFCs or their substitutes contained in foams.</w:t>
      </w:r>
      <w:r w:rsidRPr="00283806">
        <w:rPr>
          <w:spacing w:val="80"/>
          <w:w w:val="150"/>
        </w:rPr>
        <w:t xml:space="preserve"> </w:t>
      </w:r>
      <w:r w:rsidRPr="00283806">
        <w:rPr>
          <w:w w:val="105"/>
        </w:rPr>
        <w:t>If Congress had intended to exclude equipment used in commercial aviation from regulations promulgated under subsection (h), it would be reasonable to expect that the statute would include similar language creating that exclusion. Although the commenter did not appear to base objections on the text of subsection (h), to the extent they intended to argue that this rulemaking exceeds EPA’s authority under that provision, EPA notes that it is</w:t>
      </w:r>
      <w:r w:rsidRPr="00283806">
        <w:rPr>
          <w:spacing w:val="40"/>
          <w:w w:val="105"/>
        </w:rPr>
        <w:t xml:space="preserve"> </w:t>
      </w:r>
      <w:r w:rsidRPr="00283806">
        <w:rPr>
          <w:w w:val="105"/>
        </w:rPr>
        <w:t>establishing the subsection (h) requirements in this final rule to control practices, processes, or activities regarding the servicing, repair, disposal, or installation of equipment that</w:t>
      </w:r>
      <w:r w:rsidRPr="00283806">
        <w:rPr>
          <w:spacing w:val="80"/>
          <w:w w:val="105"/>
        </w:rPr>
        <w:t xml:space="preserve"> </w:t>
      </w:r>
      <w:r w:rsidRPr="00283806">
        <w:rPr>
          <w:w w:val="105"/>
        </w:rPr>
        <w:t>involves a regulated substance or a substitute for a regulated substance and to serve the statutory purposes</w:t>
      </w:r>
      <w:r w:rsidRPr="00283806">
        <w:rPr>
          <w:spacing w:val="80"/>
          <w:w w:val="105"/>
        </w:rPr>
        <w:t xml:space="preserve"> </w:t>
      </w:r>
      <w:r w:rsidRPr="00283806">
        <w:rPr>
          <w:w w:val="105"/>
        </w:rPr>
        <w:t>identified in subsection (h). Thus, this</w:t>
      </w:r>
    </w:p>
    <w:p w14:paraId="7322A065" w14:textId="77777777" w:rsidR="00D67C1E" w:rsidRPr="00283806" w:rsidRDefault="001265CA">
      <w:pPr>
        <w:pStyle w:val="BodyText"/>
        <w:spacing w:before="134" w:line="225" w:lineRule="auto"/>
        <w:ind w:left="144" w:right="141"/>
      </w:pPr>
      <w:r w:rsidRPr="00283806">
        <w:br w:type="column"/>
      </w:r>
      <w:r w:rsidRPr="00283806">
        <w:rPr>
          <w:w w:val="105"/>
        </w:rPr>
        <w:t>final rule is within the scope of EPA’s authority under subsection (h)(1), including as it pertains to equipment used in commercial aviation. Further, as discussed above, EPA is not extending</w:t>
      </w:r>
      <w:r w:rsidRPr="00283806">
        <w:rPr>
          <w:spacing w:val="40"/>
          <w:w w:val="105"/>
        </w:rPr>
        <w:t xml:space="preserve"> </w:t>
      </w:r>
      <w:r w:rsidRPr="00283806">
        <w:rPr>
          <w:w w:val="105"/>
        </w:rPr>
        <w:t>the requirements for recycled HFCs under this rule to on board aerospace</w:t>
      </w:r>
      <w:r w:rsidRPr="00283806">
        <w:rPr>
          <w:spacing w:val="40"/>
          <w:w w:val="105"/>
        </w:rPr>
        <w:t xml:space="preserve"> </w:t>
      </w:r>
      <w:r w:rsidRPr="00283806">
        <w:rPr>
          <w:w w:val="105"/>
        </w:rPr>
        <w:t>fire</w:t>
      </w:r>
      <w:r w:rsidRPr="00283806">
        <w:rPr>
          <w:spacing w:val="40"/>
          <w:w w:val="105"/>
        </w:rPr>
        <w:t xml:space="preserve"> </w:t>
      </w:r>
      <w:r w:rsidRPr="00283806">
        <w:rPr>
          <w:w w:val="105"/>
        </w:rPr>
        <w:t>suppression</w:t>
      </w:r>
      <w:r w:rsidRPr="00283806">
        <w:rPr>
          <w:spacing w:val="40"/>
          <w:w w:val="105"/>
        </w:rPr>
        <w:t xml:space="preserve"> </w:t>
      </w:r>
      <w:r w:rsidRPr="00283806">
        <w:rPr>
          <w:w w:val="105"/>
        </w:rPr>
        <w:t>applications,</w:t>
      </w:r>
      <w:r w:rsidRPr="00283806">
        <w:rPr>
          <w:spacing w:val="40"/>
          <w:w w:val="105"/>
        </w:rPr>
        <w:t xml:space="preserve"> </w:t>
      </w:r>
      <w:r w:rsidRPr="00283806">
        <w:rPr>
          <w:w w:val="105"/>
        </w:rPr>
        <w:t>as</w:t>
      </w:r>
      <w:r w:rsidRPr="00283806">
        <w:rPr>
          <w:spacing w:val="40"/>
          <w:w w:val="105"/>
        </w:rPr>
        <w:t xml:space="preserve"> </w:t>
      </w:r>
      <w:r w:rsidRPr="00283806">
        <w:rPr>
          <w:w w:val="105"/>
        </w:rPr>
        <w:t>listed at previously finalized EPA regulations</w:t>
      </w:r>
      <w:r w:rsidRPr="00283806">
        <w:rPr>
          <w:spacing w:val="80"/>
          <w:w w:val="105"/>
        </w:rPr>
        <w:t xml:space="preserve"> </w:t>
      </w:r>
      <w:r w:rsidRPr="00283806">
        <w:rPr>
          <w:w w:val="105"/>
        </w:rPr>
        <w:t>at 40 CFR 84.13, for a year or years for which that application receives an application-specific allowance as</w:t>
      </w:r>
      <w:r w:rsidRPr="00283806">
        <w:rPr>
          <w:spacing w:val="80"/>
          <w:w w:val="150"/>
        </w:rPr>
        <w:t xml:space="preserve"> </w:t>
      </w:r>
      <w:r w:rsidRPr="00283806">
        <w:rPr>
          <w:w w:val="105"/>
        </w:rPr>
        <w:t>defined at § 84.3.</w:t>
      </w:r>
    </w:p>
    <w:p w14:paraId="12704A51" w14:textId="77777777" w:rsidR="00D67C1E" w:rsidRPr="00283806" w:rsidRDefault="001265CA">
      <w:pPr>
        <w:pStyle w:val="BodyText"/>
        <w:spacing w:line="178" w:lineRule="exact"/>
        <w:ind w:left="324"/>
      </w:pPr>
      <w:proofErr w:type="gramStart"/>
      <w:r w:rsidRPr="00283806">
        <w:rPr>
          <w:w w:val="105"/>
        </w:rPr>
        <w:t>With</w:t>
      </w:r>
      <w:r w:rsidRPr="00283806">
        <w:rPr>
          <w:spacing w:val="2"/>
          <w:w w:val="105"/>
        </w:rPr>
        <w:t xml:space="preserve"> </w:t>
      </w:r>
      <w:r w:rsidRPr="00283806">
        <w:rPr>
          <w:w w:val="105"/>
        </w:rPr>
        <w:t>regard</w:t>
      </w:r>
      <w:r w:rsidRPr="00283806">
        <w:rPr>
          <w:spacing w:val="3"/>
          <w:w w:val="105"/>
        </w:rPr>
        <w:t xml:space="preserve"> </w:t>
      </w:r>
      <w:r w:rsidRPr="00283806">
        <w:rPr>
          <w:w w:val="105"/>
        </w:rPr>
        <w:t>to</w:t>
      </w:r>
      <w:proofErr w:type="gramEnd"/>
      <w:r w:rsidRPr="00283806">
        <w:rPr>
          <w:spacing w:val="3"/>
          <w:w w:val="105"/>
        </w:rPr>
        <w:t xml:space="preserve"> </w:t>
      </w:r>
      <w:r w:rsidRPr="00283806">
        <w:rPr>
          <w:w w:val="105"/>
        </w:rPr>
        <w:t>the</w:t>
      </w:r>
      <w:r w:rsidRPr="00283806">
        <w:rPr>
          <w:spacing w:val="3"/>
          <w:w w:val="105"/>
        </w:rPr>
        <w:t xml:space="preserve"> </w:t>
      </w:r>
      <w:r w:rsidRPr="00283806">
        <w:rPr>
          <w:spacing w:val="-2"/>
          <w:w w:val="105"/>
        </w:rPr>
        <w:t>commenters’</w:t>
      </w:r>
    </w:p>
    <w:p w14:paraId="78DFB035" w14:textId="77777777" w:rsidR="00D67C1E" w:rsidRPr="00283806" w:rsidRDefault="001265CA">
      <w:pPr>
        <w:pStyle w:val="BodyText"/>
        <w:spacing w:before="3" w:line="228" w:lineRule="auto"/>
        <w:ind w:left="144" w:right="151"/>
      </w:pPr>
      <w:r w:rsidRPr="00283806">
        <w:rPr>
          <w:w w:val="105"/>
        </w:rPr>
        <w:t>assertions that finalizing the proposed rule would conflict with the Federal Aviation Act’s statutory purpose and scheme and that this statute reserves to the FAA jurisdiction over matters</w:t>
      </w:r>
      <w:r w:rsidRPr="00283806">
        <w:rPr>
          <w:spacing w:val="80"/>
          <w:w w:val="105"/>
        </w:rPr>
        <w:t xml:space="preserve"> </w:t>
      </w:r>
      <w:r w:rsidRPr="00283806">
        <w:rPr>
          <w:w w:val="105"/>
        </w:rPr>
        <w:t>related to aircraft safety and operations and broadly preempts the field of regulation with respect to commercial aviation, aircraft operations, and aircraft safety, EPA responds that the</w:t>
      </w:r>
      <w:r w:rsidRPr="00283806">
        <w:rPr>
          <w:spacing w:val="40"/>
          <w:w w:val="105"/>
        </w:rPr>
        <w:t xml:space="preserve"> </w:t>
      </w:r>
      <w:r w:rsidRPr="00283806">
        <w:rPr>
          <w:w w:val="105"/>
        </w:rPr>
        <w:t>information presented in the comment letter does not indicate that EPA is generally precluded from including requirements related to the commercial aviation sector in this rulemaking. The comment cites and quotes cases that speak to the pervasive nature of Federal regulation in this area and address the preemption of State and local</w:t>
      </w:r>
      <w:r w:rsidRPr="00283806">
        <w:rPr>
          <w:spacing w:val="40"/>
          <w:w w:val="105"/>
        </w:rPr>
        <w:t xml:space="preserve"> </w:t>
      </w:r>
      <w:r w:rsidRPr="00283806">
        <w:rPr>
          <w:w w:val="105"/>
        </w:rPr>
        <w:t>regulations. However, preemption of State and local laws is not relevant to EPA’s authority to establish regulations.</w:t>
      </w:r>
    </w:p>
    <w:p w14:paraId="3877D698" w14:textId="77777777" w:rsidR="00D67C1E" w:rsidRPr="00283806" w:rsidRDefault="001265CA">
      <w:pPr>
        <w:pStyle w:val="BodyText"/>
        <w:spacing w:line="170" w:lineRule="exact"/>
        <w:ind w:left="324"/>
      </w:pPr>
      <w:r w:rsidRPr="00283806">
        <w:rPr>
          <w:w w:val="105"/>
        </w:rPr>
        <w:t>In</w:t>
      </w:r>
      <w:r w:rsidRPr="00283806">
        <w:rPr>
          <w:spacing w:val="3"/>
          <w:w w:val="105"/>
        </w:rPr>
        <w:t xml:space="preserve"> </w:t>
      </w:r>
      <w:r w:rsidRPr="00283806">
        <w:rPr>
          <w:w w:val="105"/>
        </w:rPr>
        <w:t>response</w:t>
      </w:r>
      <w:r w:rsidRPr="00283806">
        <w:rPr>
          <w:spacing w:val="4"/>
          <w:w w:val="105"/>
        </w:rPr>
        <w:t xml:space="preserve"> </w:t>
      </w:r>
      <w:r w:rsidRPr="00283806">
        <w:rPr>
          <w:w w:val="105"/>
        </w:rPr>
        <w:t>to</w:t>
      </w:r>
      <w:r w:rsidRPr="00283806">
        <w:rPr>
          <w:spacing w:val="4"/>
          <w:w w:val="105"/>
        </w:rPr>
        <w:t xml:space="preserve"> </w:t>
      </w:r>
      <w:r w:rsidRPr="00283806">
        <w:rPr>
          <w:w w:val="105"/>
        </w:rPr>
        <w:t>the</w:t>
      </w:r>
      <w:r w:rsidRPr="00283806">
        <w:rPr>
          <w:spacing w:val="4"/>
          <w:w w:val="105"/>
        </w:rPr>
        <w:t xml:space="preserve"> </w:t>
      </w:r>
      <w:proofErr w:type="gramStart"/>
      <w:r w:rsidRPr="00283806">
        <w:rPr>
          <w:spacing w:val="-2"/>
          <w:w w:val="105"/>
        </w:rPr>
        <w:t>commenter’s</w:t>
      </w:r>
      <w:proofErr w:type="gramEnd"/>
    </w:p>
    <w:p w14:paraId="68704A13" w14:textId="77777777" w:rsidR="00D67C1E" w:rsidRPr="00283806" w:rsidRDefault="001265CA">
      <w:pPr>
        <w:pStyle w:val="BodyText"/>
        <w:spacing w:before="3" w:line="228" w:lineRule="auto"/>
        <w:ind w:left="143" w:right="210"/>
      </w:pPr>
      <w:r w:rsidRPr="00283806">
        <w:rPr>
          <w:w w:val="105"/>
        </w:rPr>
        <w:t>assertions that EPA did not consult with the FAA on these regulations,</w:t>
      </w:r>
      <w:r w:rsidRPr="00283806">
        <w:rPr>
          <w:spacing w:val="40"/>
          <w:w w:val="105"/>
        </w:rPr>
        <w:t xml:space="preserve"> </w:t>
      </w:r>
      <w:r w:rsidRPr="00283806">
        <w:rPr>
          <w:w w:val="105"/>
        </w:rPr>
        <w:t>particularly for any fire suppression requirements that may apply to the commercial aviation sector, the Agency notes that it reached out to FAA on certain topics in developing the draft</w:t>
      </w:r>
      <w:r w:rsidRPr="00283806">
        <w:rPr>
          <w:spacing w:val="40"/>
          <w:w w:val="105"/>
        </w:rPr>
        <w:t xml:space="preserve"> </w:t>
      </w:r>
      <w:r w:rsidRPr="00283806">
        <w:rPr>
          <w:w w:val="105"/>
        </w:rPr>
        <w:t>final rule prior to interagency review.</w:t>
      </w:r>
      <w:r w:rsidRPr="00283806">
        <w:rPr>
          <w:w w:val="105"/>
          <w:position w:val="4"/>
          <w:sz w:val="11"/>
        </w:rPr>
        <w:t>127</w:t>
      </w:r>
      <w:r w:rsidRPr="00283806">
        <w:rPr>
          <w:spacing w:val="40"/>
          <w:w w:val="105"/>
          <w:position w:val="4"/>
          <w:sz w:val="11"/>
        </w:rPr>
        <w:t xml:space="preserve"> </w:t>
      </w:r>
      <w:r w:rsidRPr="00283806">
        <w:rPr>
          <w:w w:val="105"/>
        </w:rPr>
        <w:t>Further,</w:t>
      </w:r>
      <w:r w:rsidRPr="00283806">
        <w:rPr>
          <w:spacing w:val="40"/>
          <w:w w:val="105"/>
        </w:rPr>
        <w:t xml:space="preserve"> </w:t>
      </w:r>
      <w:r w:rsidRPr="00283806">
        <w:rPr>
          <w:w w:val="105"/>
        </w:rPr>
        <w:t>FAA</w:t>
      </w:r>
      <w:r w:rsidRPr="00283806">
        <w:rPr>
          <w:spacing w:val="40"/>
          <w:w w:val="105"/>
        </w:rPr>
        <w:t xml:space="preserve"> </w:t>
      </w:r>
      <w:r w:rsidRPr="00283806">
        <w:rPr>
          <w:w w:val="105"/>
        </w:rPr>
        <w:t>and</w:t>
      </w:r>
      <w:r w:rsidRPr="00283806">
        <w:rPr>
          <w:spacing w:val="40"/>
          <w:w w:val="105"/>
        </w:rPr>
        <w:t xml:space="preserve"> </w:t>
      </w:r>
      <w:r w:rsidRPr="00283806">
        <w:rPr>
          <w:w w:val="105"/>
        </w:rPr>
        <w:t>other</w:t>
      </w:r>
      <w:r w:rsidRPr="00283806">
        <w:rPr>
          <w:spacing w:val="40"/>
          <w:w w:val="105"/>
        </w:rPr>
        <w:t xml:space="preserve"> </w:t>
      </w:r>
      <w:r w:rsidRPr="00283806">
        <w:rPr>
          <w:w w:val="105"/>
        </w:rPr>
        <w:t>Federal agencies had an opportunity to review</w:t>
      </w:r>
    </w:p>
    <w:p w14:paraId="36D6B855" w14:textId="77777777" w:rsidR="00D67C1E" w:rsidRPr="00283806" w:rsidRDefault="001265CA">
      <w:pPr>
        <w:pStyle w:val="BodyText"/>
        <w:spacing w:line="228" w:lineRule="auto"/>
        <w:ind w:left="143" w:right="210"/>
      </w:pPr>
      <w:r w:rsidRPr="00283806">
        <w:rPr>
          <w:w w:val="105"/>
        </w:rPr>
        <w:t>a draft of the final rule during interagency review.</w:t>
      </w:r>
    </w:p>
    <w:p w14:paraId="666A7143" w14:textId="77777777" w:rsidR="00D67C1E" w:rsidRPr="00283806" w:rsidRDefault="001265CA">
      <w:pPr>
        <w:pStyle w:val="BodyText"/>
        <w:spacing w:line="180" w:lineRule="exact"/>
        <w:ind w:left="323"/>
      </w:pPr>
      <w:r w:rsidRPr="00283806">
        <w:rPr>
          <w:w w:val="105"/>
        </w:rPr>
        <w:t>EPA</w:t>
      </w:r>
      <w:r w:rsidRPr="00283806">
        <w:rPr>
          <w:spacing w:val="13"/>
          <w:w w:val="105"/>
        </w:rPr>
        <w:t xml:space="preserve"> </w:t>
      </w:r>
      <w:r w:rsidRPr="00283806">
        <w:rPr>
          <w:w w:val="105"/>
        </w:rPr>
        <w:t>also</w:t>
      </w:r>
      <w:r w:rsidRPr="00283806">
        <w:rPr>
          <w:spacing w:val="13"/>
          <w:w w:val="105"/>
        </w:rPr>
        <w:t xml:space="preserve"> </w:t>
      </w:r>
      <w:r w:rsidRPr="00283806">
        <w:rPr>
          <w:w w:val="105"/>
        </w:rPr>
        <w:t>disagrees</w:t>
      </w:r>
      <w:r w:rsidRPr="00283806">
        <w:rPr>
          <w:spacing w:val="13"/>
          <w:w w:val="105"/>
        </w:rPr>
        <w:t xml:space="preserve"> </w:t>
      </w:r>
      <w:r w:rsidRPr="00283806">
        <w:rPr>
          <w:w w:val="105"/>
        </w:rPr>
        <w:t>with</w:t>
      </w:r>
      <w:r w:rsidRPr="00283806">
        <w:rPr>
          <w:spacing w:val="13"/>
          <w:w w:val="105"/>
        </w:rPr>
        <w:t xml:space="preserve"> </w:t>
      </w:r>
      <w:r w:rsidRPr="00283806">
        <w:rPr>
          <w:spacing w:val="-5"/>
          <w:w w:val="105"/>
        </w:rPr>
        <w:t>the</w:t>
      </w:r>
    </w:p>
    <w:p w14:paraId="1C88161F" w14:textId="77777777" w:rsidR="00D67C1E" w:rsidRPr="00283806" w:rsidRDefault="001265CA">
      <w:pPr>
        <w:pStyle w:val="BodyText"/>
        <w:spacing w:before="1" w:line="228" w:lineRule="auto"/>
        <w:ind w:left="143" w:right="228"/>
      </w:pPr>
      <w:r w:rsidRPr="00283806">
        <w:rPr>
          <w:w w:val="105"/>
        </w:rPr>
        <w:t xml:space="preserve">commenter that hangars or ground facilities are not subject to this rule and should be exempted. EPA </w:t>
      </w:r>
      <w:proofErr w:type="gramStart"/>
      <w:r w:rsidRPr="00283806">
        <w:rPr>
          <w:w w:val="105"/>
        </w:rPr>
        <w:t>is not</w:t>
      </w:r>
      <w:r w:rsidRPr="00283806">
        <w:rPr>
          <w:spacing w:val="40"/>
          <w:w w:val="105"/>
        </w:rPr>
        <w:t xml:space="preserve"> </w:t>
      </w:r>
      <w:r w:rsidRPr="00283806">
        <w:rPr>
          <w:w w:val="105"/>
        </w:rPr>
        <w:t>requiring</w:t>
      </w:r>
      <w:proofErr w:type="gramEnd"/>
      <w:r w:rsidRPr="00283806">
        <w:rPr>
          <w:w w:val="105"/>
        </w:rPr>
        <w:t xml:space="preserve"> the initial installation or servicing and/or repair of fire suppression equipment with recycled HFCs</w:t>
      </w:r>
      <w:r w:rsidRPr="00283806">
        <w:rPr>
          <w:spacing w:val="40"/>
          <w:w w:val="105"/>
        </w:rPr>
        <w:t xml:space="preserve"> </w:t>
      </w:r>
      <w:r w:rsidRPr="00283806">
        <w:rPr>
          <w:w w:val="105"/>
        </w:rPr>
        <w:t>in</w:t>
      </w:r>
      <w:r w:rsidRPr="00283806">
        <w:rPr>
          <w:spacing w:val="40"/>
          <w:w w:val="105"/>
        </w:rPr>
        <w:t xml:space="preserve"> </w:t>
      </w:r>
      <w:r w:rsidRPr="00283806">
        <w:rPr>
          <w:w w:val="105"/>
        </w:rPr>
        <w:t>certain</w:t>
      </w:r>
      <w:r w:rsidRPr="00283806">
        <w:rPr>
          <w:spacing w:val="40"/>
          <w:w w:val="105"/>
        </w:rPr>
        <w:t xml:space="preserve"> </w:t>
      </w:r>
      <w:r w:rsidRPr="00283806">
        <w:rPr>
          <w:w w:val="105"/>
        </w:rPr>
        <w:t>applications</w:t>
      </w:r>
      <w:r w:rsidRPr="00283806">
        <w:rPr>
          <w:spacing w:val="40"/>
          <w:w w:val="105"/>
        </w:rPr>
        <w:t xml:space="preserve"> </w:t>
      </w:r>
      <w:r w:rsidRPr="00283806">
        <w:rPr>
          <w:w w:val="105"/>
        </w:rPr>
        <w:t xml:space="preserve">that receive application-specific allowances, including mission-critical military end uses and </w:t>
      </w:r>
      <w:proofErr w:type="gramStart"/>
      <w:r w:rsidRPr="00283806">
        <w:rPr>
          <w:w w:val="105"/>
        </w:rPr>
        <w:t>on board</w:t>
      </w:r>
      <w:proofErr w:type="gramEnd"/>
      <w:r w:rsidRPr="00283806">
        <w:rPr>
          <w:w w:val="105"/>
        </w:rPr>
        <w:t xml:space="preserve"> aerospace fire suppression. </w:t>
      </w:r>
      <w:proofErr w:type="gramStart"/>
      <w:r w:rsidRPr="00283806">
        <w:rPr>
          <w:w w:val="105"/>
        </w:rPr>
        <w:t>On board</w:t>
      </w:r>
      <w:proofErr w:type="gramEnd"/>
      <w:r w:rsidRPr="00283806">
        <w:rPr>
          <w:w w:val="105"/>
        </w:rPr>
        <w:t xml:space="preserve"> aerospace fire suppression is one of the six</w:t>
      </w:r>
      <w:r w:rsidRPr="00283806">
        <w:rPr>
          <w:spacing w:val="80"/>
          <w:w w:val="105"/>
        </w:rPr>
        <w:t xml:space="preserve"> </w:t>
      </w:r>
      <w:r w:rsidRPr="00283806">
        <w:rPr>
          <w:w w:val="105"/>
        </w:rPr>
        <w:t>applications listed in the AIM Act that allows companies that use HFCs to receive application-specific allowances.</w:t>
      </w:r>
    </w:p>
    <w:p w14:paraId="2BC563A0" w14:textId="77777777" w:rsidR="00D67C1E" w:rsidRPr="00283806" w:rsidRDefault="001265CA">
      <w:pPr>
        <w:pStyle w:val="BodyText"/>
        <w:spacing w:before="4"/>
        <w:ind w:left="0"/>
        <w:rPr>
          <w:sz w:val="12"/>
        </w:rPr>
      </w:pPr>
      <w:r w:rsidRPr="00283806">
        <w:rPr>
          <w:noProof/>
        </w:rPr>
        <mc:AlternateContent>
          <mc:Choice Requires="wps">
            <w:drawing>
              <wp:anchor distT="0" distB="0" distL="0" distR="0" simplePos="0" relativeHeight="251669504" behindDoc="1" locked="0" layoutInCell="1" allowOverlap="1" wp14:anchorId="04719663" wp14:editId="0A8E07AF">
                <wp:simplePos x="0" y="0"/>
                <wp:positionH relativeFrom="page">
                  <wp:posOffset>5067300</wp:posOffset>
                </wp:positionH>
                <wp:positionV relativeFrom="paragraph">
                  <wp:posOffset>107686</wp:posOffset>
                </wp:positionV>
                <wp:extent cx="635000" cy="1270"/>
                <wp:effectExtent l="0" t="0" r="0" b="0"/>
                <wp:wrapTopAndBottom/>
                <wp:docPr id="101" name="Graphic 10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EC881DC" id="Graphic 101" o:spid="_x0000_s1026" alt="&quot;&quot;" style="position:absolute;margin-left:399pt;margin-top:8.5pt;width:50pt;height:.1pt;z-index:-251646976;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" path="m,l635000,e" filled="f" strokeweight=".5pt">
                <v:path arrowok="t"/>
                <w10:wrap type="topAndBottom" anchorx="page"/>
              </v:shape>
            </w:pict>
          </mc:Fallback>
        </mc:AlternateContent>
      </w:r>
    </w:p>
    <w:p w14:paraId="4E8BCC16" w14:textId="77777777" w:rsidR="00D67C1E" w:rsidRPr="00283806" w:rsidRDefault="001265CA">
      <w:pPr>
        <w:spacing w:before="42" w:line="228" w:lineRule="auto"/>
        <w:ind w:left="143" w:right="131" w:firstLine="140"/>
        <w:rPr>
          <w:sz w:val="14"/>
        </w:rPr>
      </w:pPr>
      <w:r w:rsidRPr="00283806">
        <w:rPr>
          <w:w w:val="110"/>
          <w:position w:val="4"/>
          <w:sz w:val="9"/>
        </w:rPr>
        <w:t xml:space="preserve">127 </w:t>
      </w:r>
      <w:r w:rsidRPr="00283806">
        <w:rPr>
          <w:w w:val="110"/>
          <w:sz w:val="14"/>
        </w:rPr>
        <w:t xml:space="preserve">See memo titled </w:t>
      </w:r>
      <w:r w:rsidRPr="00283806">
        <w:rPr>
          <w:rFonts w:ascii="Book Antiqua" w:hAnsi="Book Antiqua"/>
          <w:i/>
          <w:w w:val="110"/>
          <w:sz w:val="14"/>
        </w:rPr>
        <w:t>EPA Questions to FAA,</w:t>
      </w:r>
      <w:r w:rsidRPr="00283806">
        <w:rPr>
          <w:rFonts w:ascii="Book Antiqua" w:hAnsi="Book Antiqua"/>
          <w:i/>
          <w:spacing w:val="40"/>
          <w:w w:val="110"/>
          <w:sz w:val="14"/>
        </w:rPr>
        <w:t xml:space="preserve"> </w:t>
      </w:r>
      <w:r w:rsidRPr="00283806">
        <w:rPr>
          <w:w w:val="110"/>
          <w:sz w:val="14"/>
        </w:rPr>
        <w:t>which</w:t>
      </w:r>
      <w:r w:rsidRPr="00283806">
        <w:rPr>
          <w:spacing w:val="-9"/>
          <w:w w:val="110"/>
          <w:sz w:val="14"/>
        </w:rPr>
        <w:t xml:space="preserve"> </w:t>
      </w:r>
      <w:r w:rsidRPr="00283806">
        <w:rPr>
          <w:w w:val="110"/>
          <w:sz w:val="14"/>
        </w:rPr>
        <w:t>is</w:t>
      </w:r>
      <w:r w:rsidRPr="00283806">
        <w:rPr>
          <w:spacing w:val="-8"/>
          <w:w w:val="110"/>
          <w:sz w:val="14"/>
        </w:rPr>
        <w:t xml:space="preserve"> </w:t>
      </w:r>
      <w:r w:rsidRPr="00283806">
        <w:rPr>
          <w:w w:val="110"/>
          <w:sz w:val="14"/>
        </w:rPr>
        <w:t>available</w:t>
      </w:r>
      <w:r w:rsidRPr="00283806">
        <w:rPr>
          <w:spacing w:val="-9"/>
          <w:w w:val="110"/>
          <w:sz w:val="14"/>
        </w:rPr>
        <w:t xml:space="preserve"> </w:t>
      </w:r>
      <w:r w:rsidRPr="00283806">
        <w:rPr>
          <w:w w:val="110"/>
          <w:sz w:val="14"/>
        </w:rPr>
        <w:t>in</w:t>
      </w:r>
      <w:r w:rsidRPr="00283806">
        <w:rPr>
          <w:spacing w:val="-8"/>
          <w:w w:val="110"/>
          <w:sz w:val="14"/>
        </w:rPr>
        <w:t xml:space="preserve"> </w:t>
      </w:r>
      <w:r w:rsidRPr="00283806">
        <w:rPr>
          <w:w w:val="110"/>
          <w:sz w:val="14"/>
        </w:rPr>
        <w:t>the</w:t>
      </w:r>
      <w:r w:rsidRPr="00283806">
        <w:rPr>
          <w:spacing w:val="-9"/>
          <w:w w:val="110"/>
          <w:sz w:val="14"/>
        </w:rPr>
        <w:t xml:space="preserve"> </w:t>
      </w:r>
      <w:r w:rsidRPr="00283806">
        <w:rPr>
          <w:w w:val="110"/>
          <w:sz w:val="14"/>
        </w:rPr>
        <w:t>docket</w:t>
      </w:r>
      <w:r w:rsidRPr="00283806">
        <w:rPr>
          <w:spacing w:val="-8"/>
          <w:w w:val="110"/>
          <w:sz w:val="14"/>
        </w:rPr>
        <w:t xml:space="preserve"> </w:t>
      </w:r>
      <w:r w:rsidRPr="00283806">
        <w:rPr>
          <w:w w:val="110"/>
          <w:sz w:val="14"/>
        </w:rPr>
        <w:t>for</w:t>
      </w:r>
      <w:r w:rsidRPr="00283806">
        <w:rPr>
          <w:spacing w:val="-9"/>
          <w:w w:val="110"/>
          <w:sz w:val="14"/>
        </w:rPr>
        <w:t xml:space="preserve"> </w:t>
      </w:r>
      <w:r w:rsidRPr="00283806">
        <w:rPr>
          <w:w w:val="110"/>
          <w:sz w:val="14"/>
        </w:rPr>
        <w:t>this</w:t>
      </w:r>
      <w:r w:rsidRPr="00283806">
        <w:rPr>
          <w:spacing w:val="-8"/>
          <w:w w:val="110"/>
          <w:sz w:val="14"/>
        </w:rPr>
        <w:t xml:space="preserve"> </w:t>
      </w:r>
      <w:r w:rsidRPr="00283806">
        <w:rPr>
          <w:w w:val="110"/>
          <w:sz w:val="14"/>
        </w:rPr>
        <w:t>rulemaking,</w:t>
      </w:r>
      <w:r w:rsidRPr="00283806">
        <w:rPr>
          <w:spacing w:val="40"/>
          <w:w w:val="110"/>
          <w:sz w:val="14"/>
        </w:rPr>
        <w:t xml:space="preserve"> </w:t>
      </w:r>
      <w:r w:rsidRPr="00283806">
        <w:rPr>
          <w:spacing w:val="-2"/>
          <w:w w:val="110"/>
          <w:sz w:val="14"/>
        </w:rPr>
        <w:t>EPA–HQ–OAR–2022–0606.</w:t>
      </w:r>
    </w:p>
    <w:p w14:paraId="64215576" w14:textId="77777777" w:rsidR="00D67C1E" w:rsidRPr="00283806" w:rsidRDefault="00D67C1E">
      <w:pPr>
        <w:spacing w:line="228" w:lineRule="auto"/>
        <w:rPr>
          <w:sz w:val="14"/>
        </w:rPr>
        <w:sectPr w:rsidR="00D67C1E" w:rsidRPr="00283806">
          <w:pgSz w:w="12240" w:h="15840"/>
          <w:pgMar w:top="1040" w:right="780" w:bottom="280" w:left="740" w:header="627" w:footer="0" w:gutter="0"/>
          <w:cols w:num="3" w:space="720" w:equalWidth="0">
            <w:col w:w="3516" w:space="40"/>
            <w:col w:w="3501" w:space="39"/>
            <w:col w:w="3624"/>
          </w:cols>
        </w:sectPr>
      </w:pPr>
    </w:p>
    <w:p w14:paraId="6DD8782A" w14:textId="77777777" w:rsidR="00D67C1E" w:rsidRPr="00283806" w:rsidRDefault="001265CA">
      <w:pPr>
        <w:pStyle w:val="BodyText"/>
        <w:spacing w:before="131" w:line="232" w:lineRule="auto"/>
        <w:ind w:right="43"/>
      </w:pPr>
      <w:r w:rsidRPr="00283806">
        <w:rPr>
          <w:w w:val="105"/>
        </w:rPr>
        <w:lastRenderedPageBreak/>
        <w:t>Specifically, as defined in EPA’s implementing regulations at 40 CFR</w:t>
      </w:r>
      <w:r w:rsidRPr="00283806">
        <w:rPr>
          <w:spacing w:val="80"/>
          <w:w w:val="105"/>
        </w:rPr>
        <w:t xml:space="preserve"> </w:t>
      </w:r>
      <w:r w:rsidRPr="00283806">
        <w:rPr>
          <w:w w:val="105"/>
        </w:rPr>
        <w:t>84.3, on board aerospace fire</w:t>
      </w:r>
      <w:r w:rsidRPr="00283806">
        <w:rPr>
          <w:spacing w:val="40"/>
          <w:w w:val="105"/>
        </w:rPr>
        <w:t xml:space="preserve"> </w:t>
      </w:r>
      <w:r w:rsidRPr="00283806">
        <w:rPr>
          <w:w w:val="105"/>
        </w:rPr>
        <w:t>suppression means use of a regulated substance in fire suppression equipment used aboard commercial and general aviation aircraft, including commercial- derivative aircraft for military use; rotorcraft; and space vehicles. Onboard commercial aviation fire suppression systems are installed throughout mainline and regional passenger and freighter aircraft, including engine nacelles, auxiliary power units, lavatory trash receptacles, baggage/crew compartments, and handheld extinguishers. As such, hangars or</w:t>
      </w:r>
      <w:r w:rsidRPr="00283806">
        <w:rPr>
          <w:spacing w:val="40"/>
          <w:w w:val="105"/>
        </w:rPr>
        <w:t xml:space="preserve"> </w:t>
      </w:r>
      <w:r w:rsidRPr="00283806">
        <w:rPr>
          <w:w w:val="105"/>
        </w:rPr>
        <w:t xml:space="preserve">ground facilities do not fall under this </w:t>
      </w:r>
      <w:r w:rsidRPr="00283806">
        <w:rPr>
          <w:spacing w:val="-2"/>
          <w:w w:val="105"/>
        </w:rPr>
        <w:t>purview.</w:t>
      </w:r>
    </w:p>
    <w:p w14:paraId="2486DD78" w14:textId="77777777" w:rsidR="00D67C1E" w:rsidRPr="00283806" w:rsidRDefault="001265CA">
      <w:pPr>
        <w:pStyle w:val="BodyText"/>
        <w:spacing w:before="47" w:line="230" w:lineRule="auto"/>
        <w:ind w:right="67" w:firstLine="180"/>
      </w:pPr>
      <w:r w:rsidRPr="00283806">
        <w:rPr>
          <w:rFonts w:ascii="Book Antiqua"/>
          <w:i/>
          <w:w w:val="105"/>
        </w:rPr>
        <w:t xml:space="preserve">Comment: </w:t>
      </w:r>
      <w:r w:rsidRPr="00283806">
        <w:rPr>
          <w:w w:val="105"/>
        </w:rPr>
        <w:t xml:space="preserve">The Agency also received comments regarding the supply of recycled HFCs. One commenter stated that while they mentioned that there are no barriers to using recycled HFCs for initial </w:t>
      </w:r>
      <w:proofErr w:type="gramStart"/>
      <w:r w:rsidRPr="00283806">
        <w:rPr>
          <w:w w:val="105"/>
        </w:rPr>
        <w:t>fill</w:t>
      </w:r>
      <w:proofErr w:type="gramEnd"/>
      <w:r w:rsidRPr="00283806">
        <w:rPr>
          <w:w w:val="105"/>
        </w:rPr>
        <w:t>, they provide no information that could be used to conclude that the supply of recycled HFCs is adequate to serve new and existing equipment. The commenter also stated that their</w:t>
      </w:r>
      <w:r w:rsidRPr="00283806">
        <w:rPr>
          <w:spacing w:val="80"/>
          <w:w w:val="105"/>
        </w:rPr>
        <w:t xml:space="preserve"> </w:t>
      </w:r>
      <w:r w:rsidRPr="00283806">
        <w:rPr>
          <w:w w:val="105"/>
        </w:rPr>
        <w:t>concern is not currently when the</w:t>
      </w:r>
      <w:r w:rsidRPr="00283806">
        <w:rPr>
          <w:spacing w:val="80"/>
          <w:w w:val="105"/>
        </w:rPr>
        <w:t xml:space="preserve"> </w:t>
      </w:r>
      <w:r w:rsidRPr="00283806">
        <w:rPr>
          <w:w w:val="105"/>
        </w:rPr>
        <w:t>supply of recycled HFCs may be high,</w:t>
      </w:r>
      <w:r w:rsidRPr="00283806">
        <w:rPr>
          <w:spacing w:val="80"/>
          <w:w w:val="105"/>
        </w:rPr>
        <w:t xml:space="preserve"> </w:t>
      </w:r>
      <w:r w:rsidRPr="00283806">
        <w:rPr>
          <w:w w:val="105"/>
        </w:rPr>
        <w:t>but five to ten years in the future, when there may still be a significant installed base of HFC-containing equipment.</w:t>
      </w:r>
    </w:p>
    <w:p w14:paraId="64EB01F5" w14:textId="77777777" w:rsidR="00D67C1E" w:rsidRPr="00283806" w:rsidRDefault="001265CA">
      <w:pPr>
        <w:pStyle w:val="BodyText"/>
        <w:spacing w:line="230" w:lineRule="auto"/>
        <w:ind w:right="37"/>
      </w:pPr>
      <w:r w:rsidRPr="00283806">
        <w:rPr>
          <w:w w:val="105"/>
        </w:rPr>
        <w:t>Another commenter maintained that recycled HFCs have been used for years</w:t>
      </w:r>
      <w:r w:rsidRPr="00283806">
        <w:rPr>
          <w:spacing w:val="40"/>
          <w:w w:val="105"/>
        </w:rPr>
        <w:t xml:space="preserve"> </w:t>
      </w:r>
      <w:r w:rsidRPr="00283806">
        <w:rPr>
          <w:w w:val="105"/>
        </w:rPr>
        <w:t>to recharge most fire systems in the</w:t>
      </w:r>
      <w:r w:rsidRPr="00283806">
        <w:rPr>
          <w:spacing w:val="40"/>
          <w:w w:val="105"/>
        </w:rPr>
        <w:t xml:space="preserve"> </w:t>
      </w:r>
      <w:r w:rsidRPr="00283806">
        <w:rPr>
          <w:w w:val="105"/>
        </w:rPr>
        <w:t>event of discharge, and that historically the availability of recycled HFCs has balanced well with the nominal requirements for system service. The commenter stated that there are not sufficient recycled HFCs available to the market to confidently supply all</w:t>
      </w:r>
      <w:r w:rsidRPr="00283806">
        <w:rPr>
          <w:spacing w:val="80"/>
          <w:w w:val="105"/>
        </w:rPr>
        <w:t xml:space="preserve"> </w:t>
      </w:r>
      <w:r w:rsidRPr="00283806">
        <w:rPr>
          <w:w w:val="105"/>
        </w:rPr>
        <w:t xml:space="preserve">domestic fire suppression needs for both service and new systems now and into the future. The commenter also stated that the lack of sufficient available fire suppressants to meet crucial fire suppression needs will put </w:t>
      </w:r>
      <w:proofErr w:type="gramStart"/>
      <w:r w:rsidRPr="00283806">
        <w:rPr>
          <w:w w:val="105"/>
        </w:rPr>
        <w:t>critical facilities</w:t>
      </w:r>
      <w:proofErr w:type="gramEnd"/>
      <w:r w:rsidRPr="00283806">
        <w:rPr>
          <w:w w:val="105"/>
        </w:rPr>
        <w:t>, and the people who work in those facilities, at risk of harm from fire events and reduce market confidence in the use of fire suppression technologies for special hazard applications. The commenter also stated that the</w:t>
      </w:r>
      <w:r w:rsidRPr="00283806">
        <w:rPr>
          <w:spacing w:val="40"/>
          <w:w w:val="105"/>
        </w:rPr>
        <w:t xml:space="preserve"> </w:t>
      </w:r>
      <w:r w:rsidRPr="00283806">
        <w:rPr>
          <w:w w:val="105"/>
        </w:rPr>
        <w:t>remaining</w:t>
      </w:r>
      <w:r w:rsidRPr="00283806">
        <w:rPr>
          <w:spacing w:val="40"/>
          <w:w w:val="105"/>
        </w:rPr>
        <w:t xml:space="preserve"> </w:t>
      </w:r>
      <w:r w:rsidRPr="00283806">
        <w:rPr>
          <w:w w:val="105"/>
        </w:rPr>
        <w:t>need</w:t>
      </w:r>
      <w:r w:rsidRPr="00283806">
        <w:rPr>
          <w:spacing w:val="40"/>
          <w:w w:val="105"/>
        </w:rPr>
        <w:t xml:space="preserve"> </w:t>
      </w:r>
      <w:r w:rsidRPr="00283806">
        <w:rPr>
          <w:w w:val="105"/>
        </w:rPr>
        <w:t>for</w:t>
      </w:r>
      <w:r w:rsidRPr="00283806">
        <w:rPr>
          <w:spacing w:val="40"/>
          <w:w w:val="105"/>
        </w:rPr>
        <w:t xml:space="preserve"> </w:t>
      </w:r>
      <w:r w:rsidRPr="00283806">
        <w:rPr>
          <w:w w:val="105"/>
        </w:rPr>
        <w:t>HFCs</w:t>
      </w:r>
      <w:r w:rsidRPr="00283806">
        <w:rPr>
          <w:spacing w:val="40"/>
          <w:w w:val="105"/>
        </w:rPr>
        <w:t xml:space="preserve"> </w:t>
      </w:r>
      <w:r w:rsidRPr="00283806">
        <w:rPr>
          <w:w w:val="105"/>
        </w:rPr>
        <w:t>in</w:t>
      </w:r>
      <w:r w:rsidRPr="00283806">
        <w:rPr>
          <w:spacing w:val="40"/>
          <w:w w:val="105"/>
        </w:rPr>
        <w:t xml:space="preserve"> </w:t>
      </w:r>
      <w:r w:rsidRPr="00283806">
        <w:rPr>
          <w:w w:val="105"/>
        </w:rPr>
        <w:t>new systems in the United States is due to</w:t>
      </w:r>
    </w:p>
    <w:p w14:paraId="26B70B24" w14:textId="77777777" w:rsidR="00D67C1E" w:rsidRPr="00283806" w:rsidRDefault="001265CA">
      <w:pPr>
        <w:pStyle w:val="BodyText"/>
        <w:spacing w:line="185" w:lineRule="exact"/>
      </w:pPr>
      <w:r w:rsidRPr="00283806">
        <w:rPr>
          <w:w w:val="105"/>
        </w:rPr>
        <w:t>a</w:t>
      </w:r>
      <w:r w:rsidRPr="00283806">
        <w:rPr>
          <w:spacing w:val="7"/>
          <w:w w:val="105"/>
        </w:rPr>
        <w:t xml:space="preserve"> </w:t>
      </w:r>
      <w:r w:rsidRPr="00283806">
        <w:rPr>
          <w:w w:val="105"/>
        </w:rPr>
        <w:t>lack</w:t>
      </w:r>
      <w:r w:rsidRPr="00283806">
        <w:rPr>
          <w:spacing w:val="8"/>
          <w:w w:val="105"/>
        </w:rPr>
        <w:t xml:space="preserve"> </w:t>
      </w:r>
      <w:r w:rsidRPr="00283806">
        <w:rPr>
          <w:w w:val="105"/>
        </w:rPr>
        <w:t>of</w:t>
      </w:r>
      <w:r w:rsidRPr="00283806">
        <w:rPr>
          <w:spacing w:val="8"/>
          <w:w w:val="105"/>
        </w:rPr>
        <w:t xml:space="preserve"> </w:t>
      </w:r>
      <w:r w:rsidRPr="00283806">
        <w:rPr>
          <w:w w:val="105"/>
        </w:rPr>
        <w:t>viable</w:t>
      </w:r>
      <w:r w:rsidRPr="00283806">
        <w:rPr>
          <w:spacing w:val="8"/>
          <w:w w:val="105"/>
        </w:rPr>
        <w:t xml:space="preserve"> </w:t>
      </w:r>
      <w:r w:rsidRPr="00283806">
        <w:rPr>
          <w:w w:val="105"/>
        </w:rPr>
        <w:t>alternatives</w:t>
      </w:r>
      <w:r w:rsidRPr="00283806">
        <w:rPr>
          <w:spacing w:val="7"/>
          <w:w w:val="105"/>
        </w:rPr>
        <w:t xml:space="preserve"> </w:t>
      </w:r>
      <w:r w:rsidRPr="00283806">
        <w:rPr>
          <w:w w:val="105"/>
        </w:rPr>
        <w:t>for</w:t>
      </w:r>
      <w:r w:rsidRPr="00283806">
        <w:rPr>
          <w:spacing w:val="8"/>
          <w:w w:val="105"/>
        </w:rPr>
        <w:t xml:space="preserve"> </w:t>
      </w:r>
      <w:r w:rsidRPr="00283806">
        <w:rPr>
          <w:spacing w:val="-2"/>
          <w:w w:val="105"/>
        </w:rPr>
        <w:t>meeting</w:t>
      </w:r>
    </w:p>
    <w:p w14:paraId="57333693" w14:textId="77777777" w:rsidR="00D67C1E" w:rsidRPr="00283806" w:rsidRDefault="001265CA">
      <w:pPr>
        <w:pStyle w:val="BodyText"/>
        <w:spacing w:line="230" w:lineRule="auto"/>
        <w:ind w:right="60"/>
      </w:pPr>
      <w:r w:rsidRPr="00283806">
        <w:rPr>
          <w:w w:val="105"/>
        </w:rPr>
        <w:t>very challenging technical requirements for special hazard fire systems. The commenter maintained that implementing the rule as proposed will make providing effective fire</w:t>
      </w:r>
      <w:r w:rsidRPr="00283806">
        <w:rPr>
          <w:spacing w:val="40"/>
          <w:w w:val="105"/>
        </w:rPr>
        <w:t xml:space="preserve"> </w:t>
      </w:r>
      <w:r w:rsidRPr="00283806">
        <w:rPr>
          <w:w w:val="105"/>
        </w:rPr>
        <w:t>suppression more difficult for these applications without providing a meaningful impact on emissions</w:t>
      </w:r>
    </w:p>
    <w:p w14:paraId="62C17EB7" w14:textId="77777777" w:rsidR="00D67C1E" w:rsidRPr="00283806" w:rsidRDefault="001265CA">
      <w:pPr>
        <w:pStyle w:val="BodyText"/>
        <w:spacing w:before="133" w:line="225" w:lineRule="auto"/>
        <w:ind w:left="144"/>
      </w:pPr>
      <w:r w:rsidRPr="00283806">
        <w:br w:type="column"/>
      </w:r>
      <w:r w:rsidRPr="00283806">
        <w:rPr>
          <w:w w:val="105"/>
        </w:rPr>
        <w:t xml:space="preserve">associated with the use of HFCs in fire </w:t>
      </w:r>
      <w:r w:rsidRPr="00283806">
        <w:rPr>
          <w:spacing w:val="-2"/>
          <w:w w:val="105"/>
        </w:rPr>
        <w:t>suppression.</w:t>
      </w:r>
    </w:p>
    <w:p w14:paraId="3427201A" w14:textId="77777777" w:rsidR="00D67C1E" w:rsidRPr="00283806" w:rsidRDefault="001265CA">
      <w:pPr>
        <w:pStyle w:val="BodyText"/>
        <w:spacing w:line="179" w:lineRule="exact"/>
        <w:ind w:left="324"/>
      </w:pPr>
      <w:r w:rsidRPr="00283806">
        <w:rPr>
          <w:w w:val="105"/>
        </w:rPr>
        <w:t>Another</w:t>
      </w:r>
      <w:r w:rsidRPr="00283806">
        <w:rPr>
          <w:spacing w:val="4"/>
          <w:w w:val="105"/>
        </w:rPr>
        <w:t xml:space="preserve"> </w:t>
      </w:r>
      <w:r w:rsidRPr="00283806">
        <w:rPr>
          <w:w w:val="105"/>
        </w:rPr>
        <w:t>commenter</w:t>
      </w:r>
      <w:r w:rsidRPr="00283806">
        <w:rPr>
          <w:spacing w:val="4"/>
          <w:w w:val="105"/>
        </w:rPr>
        <w:t xml:space="preserve"> </w:t>
      </w:r>
      <w:r w:rsidRPr="00283806">
        <w:rPr>
          <w:w w:val="105"/>
        </w:rPr>
        <w:t>stated</w:t>
      </w:r>
      <w:r w:rsidRPr="00283806">
        <w:rPr>
          <w:spacing w:val="4"/>
          <w:w w:val="105"/>
        </w:rPr>
        <w:t xml:space="preserve"> </w:t>
      </w:r>
      <w:r w:rsidRPr="00283806">
        <w:rPr>
          <w:w w:val="105"/>
        </w:rPr>
        <w:t>that</w:t>
      </w:r>
      <w:r w:rsidRPr="00283806">
        <w:rPr>
          <w:spacing w:val="4"/>
          <w:w w:val="105"/>
        </w:rPr>
        <w:t xml:space="preserve"> </w:t>
      </w:r>
      <w:r w:rsidRPr="00283806">
        <w:rPr>
          <w:spacing w:val="-2"/>
          <w:w w:val="105"/>
        </w:rPr>
        <w:t>while</w:t>
      </w:r>
    </w:p>
    <w:p w14:paraId="5C075551" w14:textId="77777777" w:rsidR="00D67C1E" w:rsidRPr="00283806" w:rsidRDefault="001265CA">
      <w:pPr>
        <w:pStyle w:val="BodyText"/>
        <w:spacing w:before="4" w:line="225" w:lineRule="auto"/>
        <w:ind w:left="144"/>
      </w:pPr>
      <w:proofErr w:type="gramStart"/>
      <w:r w:rsidRPr="00283806">
        <w:rPr>
          <w:w w:val="105"/>
        </w:rPr>
        <w:t>there</w:t>
      </w:r>
      <w:proofErr w:type="gramEnd"/>
      <w:r w:rsidRPr="00283806">
        <w:rPr>
          <w:w w:val="105"/>
        </w:rPr>
        <w:t xml:space="preserve"> is a robust recycling market in the fire suppression industry, there is concern that the availability of recycled HFCs would not always balance market demand under the proposed rule requirements. Instead, the commenter suggested that the availability of</w:t>
      </w:r>
      <w:r w:rsidRPr="00283806">
        <w:rPr>
          <w:spacing w:val="80"/>
          <w:w w:val="105"/>
        </w:rPr>
        <w:t xml:space="preserve"> </w:t>
      </w:r>
      <w:r w:rsidRPr="00283806">
        <w:rPr>
          <w:w w:val="105"/>
        </w:rPr>
        <w:t xml:space="preserve">recycled HFCs </w:t>
      </w:r>
      <w:proofErr w:type="gramStart"/>
      <w:r w:rsidRPr="00283806">
        <w:rPr>
          <w:w w:val="105"/>
        </w:rPr>
        <w:t>would</w:t>
      </w:r>
      <w:proofErr w:type="gramEnd"/>
      <w:r w:rsidRPr="00283806">
        <w:rPr>
          <w:w w:val="105"/>
        </w:rPr>
        <w:t xml:space="preserve"> adjust to balance the required market needs given time under the current AIM Act rule</w:t>
      </w:r>
      <w:r w:rsidRPr="00283806">
        <w:rPr>
          <w:spacing w:val="80"/>
          <w:w w:val="150"/>
        </w:rPr>
        <w:t xml:space="preserve"> </w:t>
      </w:r>
      <w:r w:rsidRPr="00283806">
        <w:rPr>
          <w:w w:val="105"/>
        </w:rPr>
        <w:t>structure.</w:t>
      </w:r>
      <w:r w:rsidRPr="00283806">
        <w:rPr>
          <w:spacing w:val="-1"/>
          <w:w w:val="105"/>
        </w:rPr>
        <w:t xml:space="preserve"> </w:t>
      </w:r>
      <w:r w:rsidRPr="00283806">
        <w:rPr>
          <w:w w:val="105"/>
        </w:rPr>
        <w:t>The</w:t>
      </w:r>
      <w:r w:rsidRPr="00283806">
        <w:rPr>
          <w:spacing w:val="-1"/>
          <w:w w:val="105"/>
        </w:rPr>
        <w:t xml:space="preserve"> </w:t>
      </w:r>
      <w:r w:rsidRPr="00283806">
        <w:rPr>
          <w:w w:val="105"/>
        </w:rPr>
        <w:t>commenter</w:t>
      </w:r>
      <w:r w:rsidRPr="00283806">
        <w:rPr>
          <w:spacing w:val="-1"/>
          <w:w w:val="105"/>
        </w:rPr>
        <w:t xml:space="preserve"> </w:t>
      </w:r>
      <w:r w:rsidRPr="00283806">
        <w:rPr>
          <w:w w:val="105"/>
        </w:rPr>
        <w:t>stated</w:t>
      </w:r>
      <w:r w:rsidRPr="00283806">
        <w:rPr>
          <w:spacing w:val="-1"/>
          <w:w w:val="105"/>
        </w:rPr>
        <w:t xml:space="preserve"> </w:t>
      </w:r>
      <w:r w:rsidRPr="00283806">
        <w:rPr>
          <w:w w:val="105"/>
        </w:rPr>
        <w:t>that</w:t>
      </w:r>
      <w:r w:rsidRPr="00283806">
        <w:rPr>
          <w:spacing w:val="-1"/>
          <w:w w:val="105"/>
        </w:rPr>
        <w:t xml:space="preserve"> </w:t>
      </w:r>
      <w:r w:rsidRPr="00283806">
        <w:rPr>
          <w:w w:val="105"/>
        </w:rPr>
        <w:t>the required</w:t>
      </w:r>
      <w:r w:rsidRPr="00283806">
        <w:rPr>
          <w:spacing w:val="40"/>
          <w:w w:val="105"/>
        </w:rPr>
        <w:t xml:space="preserve"> </w:t>
      </w:r>
      <w:r w:rsidRPr="00283806">
        <w:rPr>
          <w:w w:val="105"/>
        </w:rPr>
        <w:t>use</w:t>
      </w:r>
      <w:r w:rsidRPr="00283806">
        <w:rPr>
          <w:spacing w:val="40"/>
          <w:w w:val="105"/>
        </w:rPr>
        <w:t xml:space="preserve"> </w:t>
      </w:r>
      <w:r w:rsidRPr="00283806">
        <w:rPr>
          <w:w w:val="105"/>
        </w:rPr>
        <w:t>of</w:t>
      </w:r>
      <w:r w:rsidRPr="00283806">
        <w:rPr>
          <w:spacing w:val="40"/>
          <w:w w:val="105"/>
        </w:rPr>
        <w:t xml:space="preserve"> </w:t>
      </w:r>
      <w:r w:rsidRPr="00283806">
        <w:rPr>
          <w:w w:val="105"/>
        </w:rPr>
        <w:t>recycled</w:t>
      </w:r>
      <w:r w:rsidRPr="00283806">
        <w:rPr>
          <w:spacing w:val="40"/>
          <w:w w:val="105"/>
        </w:rPr>
        <w:t xml:space="preserve"> </w:t>
      </w:r>
      <w:r w:rsidRPr="00283806">
        <w:rPr>
          <w:w w:val="105"/>
        </w:rPr>
        <w:t xml:space="preserve">fire suppression </w:t>
      </w:r>
      <w:proofErr w:type="gramStart"/>
      <w:r w:rsidRPr="00283806">
        <w:rPr>
          <w:w w:val="105"/>
        </w:rPr>
        <w:t>agent</w:t>
      </w:r>
      <w:proofErr w:type="gramEnd"/>
      <w:r w:rsidRPr="00283806">
        <w:rPr>
          <w:w w:val="105"/>
        </w:rPr>
        <w:t xml:space="preserve"> would be</w:t>
      </w:r>
      <w:r w:rsidRPr="00283806">
        <w:rPr>
          <w:spacing w:val="80"/>
          <w:w w:val="150"/>
        </w:rPr>
        <w:t xml:space="preserve"> </w:t>
      </w:r>
      <w:r w:rsidRPr="00283806">
        <w:rPr>
          <w:w w:val="105"/>
        </w:rPr>
        <w:t>unnecessary and counterproductive to the existing market-driven activities in the fire suppression industry.</w:t>
      </w:r>
    </w:p>
    <w:p w14:paraId="2060F665" w14:textId="77777777" w:rsidR="00D67C1E" w:rsidRPr="00283806" w:rsidRDefault="001265CA">
      <w:pPr>
        <w:pStyle w:val="BodyText"/>
        <w:spacing w:line="174" w:lineRule="exact"/>
        <w:ind w:left="324"/>
      </w:pPr>
      <w:r w:rsidRPr="00283806">
        <w:rPr>
          <w:w w:val="105"/>
        </w:rPr>
        <w:t>One</w:t>
      </w:r>
      <w:r w:rsidRPr="00283806">
        <w:rPr>
          <w:spacing w:val="8"/>
          <w:w w:val="105"/>
        </w:rPr>
        <w:t xml:space="preserve"> </w:t>
      </w:r>
      <w:r w:rsidRPr="00283806">
        <w:rPr>
          <w:w w:val="105"/>
        </w:rPr>
        <w:t>of</w:t>
      </w:r>
      <w:r w:rsidRPr="00283806">
        <w:rPr>
          <w:spacing w:val="9"/>
          <w:w w:val="105"/>
        </w:rPr>
        <w:t xml:space="preserve"> </w:t>
      </w:r>
      <w:r w:rsidRPr="00283806">
        <w:rPr>
          <w:w w:val="105"/>
        </w:rPr>
        <w:t>the</w:t>
      </w:r>
      <w:r w:rsidRPr="00283806">
        <w:rPr>
          <w:spacing w:val="9"/>
          <w:w w:val="105"/>
        </w:rPr>
        <w:t xml:space="preserve"> </w:t>
      </w:r>
      <w:r w:rsidRPr="00283806">
        <w:rPr>
          <w:w w:val="105"/>
        </w:rPr>
        <w:t>commenters</w:t>
      </w:r>
      <w:r w:rsidRPr="00283806">
        <w:rPr>
          <w:spacing w:val="9"/>
          <w:w w:val="105"/>
        </w:rPr>
        <w:t xml:space="preserve"> </w:t>
      </w:r>
      <w:r w:rsidRPr="00283806">
        <w:rPr>
          <w:spacing w:val="-2"/>
          <w:w w:val="105"/>
        </w:rPr>
        <w:t>expressed</w:t>
      </w:r>
    </w:p>
    <w:p w14:paraId="42D93EBB" w14:textId="77777777" w:rsidR="00D67C1E" w:rsidRPr="00283806" w:rsidRDefault="001265CA">
      <w:pPr>
        <w:pStyle w:val="BodyText"/>
        <w:spacing w:before="3" w:line="225" w:lineRule="auto"/>
        <w:ind w:left="144" w:right="83"/>
      </w:pPr>
      <w:r w:rsidRPr="00283806">
        <w:rPr>
          <w:w w:val="105"/>
        </w:rPr>
        <w:t>concern over whether the proposed requirements</w:t>
      </w:r>
      <w:r w:rsidRPr="00283806">
        <w:rPr>
          <w:spacing w:val="-1"/>
          <w:w w:val="105"/>
        </w:rPr>
        <w:t xml:space="preserve"> </w:t>
      </w:r>
      <w:r w:rsidRPr="00283806">
        <w:rPr>
          <w:w w:val="105"/>
        </w:rPr>
        <w:t>would</w:t>
      </w:r>
      <w:r w:rsidRPr="00283806">
        <w:rPr>
          <w:spacing w:val="-1"/>
          <w:w w:val="105"/>
        </w:rPr>
        <w:t xml:space="preserve"> </w:t>
      </w:r>
      <w:r w:rsidRPr="00283806">
        <w:rPr>
          <w:w w:val="105"/>
        </w:rPr>
        <w:t>ensure</w:t>
      </w:r>
      <w:r w:rsidRPr="00283806">
        <w:rPr>
          <w:spacing w:val="-1"/>
          <w:w w:val="105"/>
        </w:rPr>
        <w:t xml:space="preserve"> </w:t>
      </w:r>
      <w:r w:rsidRPr="00283806">
        <w:rPr>
          <w:w w:val="105"/>
        </w:rPr>
        <w:t>that</w:t>
      </w:r>
      <w:r w:rsidRPr="00283806">
        <w:rPr>
          <w:spacing w:val="-1"/>
          <w:w w:val="105"/>
        </w:rPr>
        <w:t xml:space="preserve"> </w:t>
      </w:r>
      <w:r w:rsidRPr="00283806">
        <w:rPr>
          <w:w w:val="105"/>
        </w:rPr>
        <w:t>there</w:t>
      </w:r>
      <w:r w:rsidRPr="00283806">
        <w:rPr>
          <w:spacing w:val="-1"/>
          <w:w w:val="105"/>
        </w:rPr>
        <w:t xml:space="preserve"> </w:t>
      </w:r>
      <w:r w:rsidRPr="00283806">
        <w:rPr>
          <w:w w:val="105"/>
        </w:rPr>
        <w:t>is a sufficient supply of recycled HFCs available for use in fire suppression systems, especially for hangars. The commenter stated that if EPA intends</w:t>
      </w:r>
      <w:r w:rsidRPr="00283806">
        <w:rPr>
          <w:spacing w:val="80"/>
          <w:w w:val="105"/>
        </w:rPr>
        <w:t xml:space="preserve"> </w:t>
      </w:r>
      <w:r w:rsidRPr="00283806">
        <w:rPr>
          <w:w w:val="105"/>
        </w:rPr>
        <w:t>for hangars to be covered by the proposed fire suppression system requirements, it is imperative that the requirements ensure that a sufficient supply of recycled HFCs would be available so that industry sectors would have a sufficient supply of necessary materials to ensure safe operations</w:t>
      </w:r>
      <w:r w:rsidRPr="00283806">
        <w:rPr>
          <w:spacing w:val="40"/>
          <w:w w:val="105"/>
        </w:rPr>
        <w:t xml:space="preserve"> </w:t>
      </w:r>
      <w:r w:rsidRPr="00283806">
        <w:rPr>
          <w:w w:val="105"/>
        </w:rPr>
        <w:t>while also complying with any</w:t>
      </w:r>
      <w:r w:rsidRPr="00283806">
        <w:rPr>
          <w:spacing w:val="40"/>
          <w:w w:val="105"/>
        </w:rPr>
        <w:t xml:space="preserve"> </w:t>
      </w:r>
      <w:r w:rsidRPr="00283806">
        <w:rPr>
          <w:w w:val="105"/>
        </w:rPr>
        <w:t>applicable regulatory requirements.</w:t>
      </w:r>
    </w:p>
    <w:p w14:paraId="2348750F" w14:textId="77777777" w:rsidR="00D67C1E" w:rsidRPr="00283806" w:rsidRDefault="001265CA">
      <w:pPr>
        <w:spacing w:line="180" w:lineRule="exact"/>
        <w:ind w:left="324"/>
        <w:rPr>
          <w:sz w:val="18"/>
        </w:rPr>
      </w:pPr>
      <w:r w:rsidRPr="00283806">
        <w:rPr>
          <w:rFonts w:ascii="Book Antiqua"/>
          <w:i/>
          <w:w w:val="110"/>
          <w:sz w:val="18"/>
        </w:rPr>
        <w:t>Response:</w:t>
      </w:r>
      <w:r w:rsidRPr="00283806">
        <w:rPr>
          <w:rFonts w:ascii="Book Antiqua"/>
          <w:i/>
          <w:spacing w:val="25"/>
          <w:w w:val="110"/>
          <w:sz w:val="18"/>
        </w:rPr>
        <w:t xml:space="preserve"> </w:t>
      </w:r>
      <w:r w:rsidRPr="00283806">
        <w:rPr>
          <w:w w:val="110"/>
          <w:sz w:val="18"/>
        </w:rPr>
        <w:t>EPA</w:t>
      </w:r>
      <w:r w:rsidRPr="00283806">
        <w:rPr>
          <w:spacing w:val="31"/>
          <w:w w:val="110"/>
          <w:sz w:val="18"/>
        </w:rPr>
        <w:t xml:space="preserve"> </w:t>
      </w:r>
      <w:r w:rsidRPr="00283806">
        <w:rPr>
          <w:spacing w:val="-2"/>
          <w:w w:val="110"/>
          <w:sz w:val="18"/>
        </w:rPr>
        <w:t>acknowledges</w:t>
      </w:r>
    </w:p>
    <w:p w14:paraId="2DBF9438" w14:textId="77777777" w:rsidR="00D67C1E" w:rsidRPr="00283806" w:rsidRDefault="001265CA">
      <w:pPr>
        <w:pStyle w:val="BodyText"/>
        <w:spacing w:line="225" w:lineRule="auto"/>
        <w:ind w:left="144" w:right="125"/>
      </w:pPr>
      <w:r w:rsidRPr="00283806">
        <w:rPr>
          <w:w w:val="105"/>
        </w:rPr>
        <w:t>comments related to the supply of recycled HFCs to support the requirements for recycled HFCs in fire suppression equipment established in this rulemaking. EPA understands that the fire suppression industry has been generally using recycled HFCs for servicing (as shown in the HEEP data).</w:t>
      </w:r>
    </w:p>
    <w:p w14:paraId="29A60508" w14:textId="77777777" w:rsidR="00D67C1E" w:rsidRPr="00283806" w:rsidRDefault="001265CA">
      <w:pPr>
        <w:pStyle w:val="BodyText"/>
        <w:spacing w:line="177" w:lineRule="exact"/>
        <w:ind w:left="324"/>
      </w:pPr>
      <w:r w:rsidRPr="00283806">
        <w:rPr>
          <w:w w:val="105"/>
        </w:rPr>
        <w:t>EPA</w:t>
      </w:r>
      <w:r w:rsidRPr="00283806">
        <w:rPr>
          <w:spacing w:val="17"/>
          <w:w w:val="105"/>
        </w:rPr>
        <w:t xml:space="preserve"> </w:t>
      </w:r>
      <w:r w:rsidRPr="00283806">
        <w:rPr>
          <w:w w:val="105"/>
        </w:rPr>
        <w:t>acknowledges</w:t>
      </w:r>
      <w:r w:rsidRPr="00283806">
        <w:rPr>
          <w:spacing w:val="17"/>
          <w:w w:val="105"/>
        </w:rPr>
        <w:t xml:space="preserve"> </w:t>
      </w:r>
      <w:r w:rsidRPr="00283806">
        <w:rPr>
          <w:w w:val="105"/>
        </w:rPr>
        <w:t>that</w:t>
      </w:r>
      <w:r w:rsidRPr="00283806">
        <w:rPr>
          <w:spacing w:val="17"/>
          <w:w w:val="105"/>
        </w:rPr>
        <w:t xml:space="preserve"> </w:t>
      </w:r>
      <w:r w:rsidRPr="00283806">
        <w:rPr>
          <w:spacing w:val="-5"/>
          <w:w w:val="105"/>
        </w:rPr>
        <w:t>the</w:t>
      </w:r>
    </w:p>
    <w:p w14:paraId="611BD1D4" w14:textId="77777777" w:rsidR="00D67C1E" w:rsidRPr="00283806" w:rsidRDefault="001265CA">
      <w:pPr>
        <w:pStyle w:val="BodyText"/>
        <w:spacing w:before="1" w:line="228" w:lineRule="auto"/>
        <w:ind w:left="144" w:right="96"/>
      </w:pPr>
      <w:r w:rsidRPr="00283806">
        <w:rPr>
          <w:w w:val="105"/>
        </w:rPr>
        <w:t>phasedown of production and consumption of HFCs under the AIM</w:t>
      </w:r>
      <w:r w:rsidRPr="00283806">
        <w:rPr>
          <w:spacing w:val="80"/>
          <w:w w:val="105"/>
        </w:rPr>
        <w:t xml:space="preserve"> </w:t>
      </w:r>
      <w:r w:rsidRPr="00283806">
        <w:rPr>
          <w:w w:val="105"/>
        </w:rPr>
        <w:t>Act and Kigali Amendment to the Montreal Protocol will have broader impacts on HFC use and transition to HFC substitutes. In the context of the HFC phasedown, not establishing requirements to limit the release of HFCs will create supply issues as the phasedown progresses. As addressed elsewhere in this preamble, this final rule is being promulgated under subsection (h). EPA acknowledges the comments</w:t>
      </w:r>
      <w:r w:rsidRPr="00283806">
        <w:rPr>
          <w:spacing w:val="-7"/>
          <w:w w:val="105"/>
        </w:rPr>
        <w:t xml:space="preserve"> </w:t>
      </w:r>
      <w:r w:rsidRPr="00283806">
        <w:rPr>
          <w:w w:val="105"/>
        </w:rPr>
        <w:t>regarding</w:t>
      </w:r>
      <w:r w:rsidRPr="00283806">
        <w:rPr>
          <w:spacing w:val="-7"/>
          <w:w w:val="105"/>
        </w:rPr>
        <w:t xml:space="preserve"> </w:t>
      </w:r>
      <w:r w:rsidRPr="00283806">
        <w:rPr>
          <w:w w:val="105"/>
        </w:rPr>
        <w:t>the</w:t>
      </w:r>
      <w:r w:rsidRPr="00283806">
        <w:rPr>
          <w:spacing w:val="-7"/>
          <w:w w:val="105"/>
        </w:rPr>
        <w:t xml:space="preserve"> </w:t>
      </w:r>
      <w:r w:rsidRPr="00283806">
        <w:rPr>
          <w:w w:val="105"/>
        </w:rPr>
        <w:t>current</w:t>
      </w:r>
      <w:r w:rsidRPr="00283806">
        <w:rPr>
          <w:spacing w:val="-7"/>
          <w:w w:val="105"/>
        </w:rPr>
        <w:t xml:space="preserve"> </w:t>
      </w:r>
      <w:r w:rsidRPr="00283806">
        <w:rPr>
          <w:w w:val="105"/>
        </w:rPr>
        <w:t xml:space="preserve">market structure of the fire suppression industry with respect to the use of recycled HFCs. EPA notes that the provisions established in this rulemaking are intended to support increased recycling and further bolster the supply of recycled HFCs. As the phasedown progresses, other sectors that use certain HFCs may reduce </w:t>
      </w:r>
      <w:proofErr w:type="gramStart"/>
      <w:r w:rsidRPr="00283806">
        <w:rPr>
          <w:w w:val="105"/>
        </w:rPr>
        <w:t>their</w:t>
      </w:r>
      <w:proofErr w:type="gramEnd"/>
    </w:p>
    <w:p w14:paraId="034DAEA0" w14:textId="77777777" w:rsidR="00D67C1E" w:rsidRPr="00283806" w:rsidRDefault="001265CA">
      <w:pPr>
        <w:pStyle w:val="BodyText"/>
        <w:spacing w:before="131" w:line="228" w:lineRule="auto"/>
        <w:ind w:left="144" w:right="185"/>
      </w:pPr>
      <w:r w:rsidRPr="00283806">
        <w:br w:type="column"/>
      </w:r>
      <w:r w:rsidRPr="00283806">
        <w:rPr>
          <w:w w:val="105"/>
        </w:rPr>
        <w:t xml:space="preserve">use of certain HFCs or no longer use certain HFCs, which may </w:t>
      </w:r>
      <w:proofErr w:type="gramStart"/>
      <w:r w:rsidRPr="00283806">
        <w:rPr>
          <w:w w:val="105"/>
        </w:rPr>
        <w:t>be become</w:t>
      </w:r>
      <w:proofErr w:type="gramEnd"/>
      <w:r w:rsidRPr="00283806">
        <w:rPr>
          <w:w w:val="105"/>
        </w:rPr>
        <w:t xml:space="preserve"> available for use in the fire suppression sector. After further consideration, EPA agrees that additional time is warranted, this will enable the fire suppression sector to build up additional stock of recycled HFCs to meet demand for the installation, servicing, and/or repair of fire suppression equipment and to</w:t>
      </w:r>
      <w:r w:rsidRPr="00283806">
        <w:rPr>
          <w:spacing w:val="80"/>
          <w:w w:val="105"/>
        </w:rPr>
        <w:t xml:space="preserve"> </w:t>
      </w:r>
      <w:r w:rsidRPr="00283806">
        <w:rPr>
          <w:w w:val="105"/>
        </w:rPr>
        <w:t>adjust any relevant existing contracts.</w:t>
      </w:r>
    </w:p>
    <w:p w14:paraId="5630E639" w14:textId="77777777" w:rsidR="00D67C1E" w:rsidRPr="00283806" w:rsidRDefault="001265CA">
      <w:pPr>
        <w:pStyle w:val="BodyText"/>
        <w:spacing w:line="228" w:lineRule="auto"/>
        <w:ind w:left="144" w:right="171"/>
      </w:pPr>
      <w:r w:rsidRPr="00283806">
        <w:rPr>
          <w:w w:val="105"/>
        </w:rPr>
        <w:t>The date for the requirement for the initial installation of fire suppression equipment with recycled HFCs is after the next major phasedown step of production and consumption of virgin HFCs</w:t>
      </w:r>
      <w:r w:rsidRPr="00283806">
        <w:rPr>
          <w:spacing w:val="40"/>
          <w:w w:val="105"/>
        </w:rPr>
        <w:t xml:space="preserve"> </w:t>
      </w:r>
      <w:r w:rsidRPr="00283806">
        <w:rPr>
          <w:w w:val="105"/>
        </w:rPr>
        <w:t>under</w:t>
      </w:r>
      <w:r w:rsidRPr="00283806">
        <w:rPr>
          <w:spacing w:val="40"/>
          <w:w w:val="105"/>
        </w:rPr>
        <w:t xml:space="preserve"> </w:t>
      </w:r>
      <w:r w:rsidRPr="00283806">
        <w:rPr>
          <w:w w:val="105"/>
        </w:rPr>
        <w:t>the</w:t>
      </w:r>
      <w:r w:rsidRPr="00283806">
        <w:rPr>
          <w:spacing w:val="40"/>
          <w:w w:val="105"/>
        </w:rPr>
        <w:t xml:space="preserve"> </w:t>
      </w:r>
      <w:r w:rsidRPr="00283806">
        <w:rPr>
          <w:w w:val="105"/>
        </w:rPr>
        <w:t>AIM</w:t>
      </w:r>
      <w:r w:rsidRPr="00283806">
        <w:rPr>
          <w:spacing w:val="40"/>
          <w:w w:val="105"/>
        </w:rPr>
        <w:t xml:space="preserve"> </w:t>
      </w:r>
      <w:r w:rsidRPr="00283806">
        <w:rPr>
          <w:w w:val="105"/>
        </w:rPr>
        <w:t>Act,</w:t>
      </w:r>
      <w:r w:rsidRPr="00283806">
        <w:rPr>
          <w:spacing w:val="40"/>
          <w:w w:val="105"/>
        </w:rPr>
        <w:t xml:space="preserve"> </w:t>
      </w:r>
      <w:r w:rsidRPr="00283806">
        <w:rPr>
          <w:w w:val="105"/>
        </w:rPr>
        <w:t>when recycled HFCs will play an even greater role in supporting the servicing and repair of existing equipment. The commenters pointed to the need for additional time for the market to further adjust supply and demand for recycled fire suppression agents. Thus, EPA is finalizing later compliance dates than proposed for the initial installation and the servicing and/or repair of fire suppression equipment with recycled HFCs, as described in more detail in sections IV.F.2.b and IV.F.2.c of this preamble. The Agency is also finalizing differentiated dates for servicing and initial installation, with the date for servicing earlier than initial installation based on commenters’ information on current practices.</w:t>
      </w:r>
    </w:p>
    <w:p w14:paraId="2CFCF818" w14:textId="77777777" w:rsidR="00D67C1E" w:rsidRPr="00283806" w:rsidRDefault="001265CA">
      <w:pPr>
        <w:pStyle w:val="BodyText"/>
        <w:spacing w:before="22" w:line="228" w:lineRule="auto"/>
        <w:ind w:left="144" w:right="178" w:firstLine="180"/>
      </w:pPr>
      <w:r w:rsidRPr="00283806">
        <w:rPr>
          <w:rFonts w:ascii="Book Antiqua" w:hAnsi="Book Antiqua"/>
          <w:i/>
          <w:w w:val="105"/>
        </w:rPr>
        <w:t xml:space="preserve">Comment: </w:t>
      </w:r>
      <w:r w:rsidRPr="00283806">
        <w:rPr>
          <w:w w:val="105"/>
        </w:rPr>
        <w:t xml:space="preserve">One commenter stated the proposed requirement to only use recycled HFCs for initial </w:t>
      </w:r>
      <w:proofErr w:type="gramStart"/>
      <w:r w:rsidRPr="00283806">
        <w:rPr>
          <w:w w:val="105"/>
        </w:rPr>
        <w:t>fill</w:t>
      </w:r>
      <w:proofErr w:type="gramEnd"/>
      <w:r w:rsidRPr="00283806">
        <w:rPr>
          <w:w w:val="105"/>
        </w:rPr>
        <w:t xml:space="preserve"> will disrupt the current market-driven balance of recycled agent supply and demand, impacting the AIM Act’s important environmental goals. The commenter stated that the 2020 HEEP data show recycled HFCs currently support the preponderance of system service requirements (80 percent in 2020), providing a viable and responsible life cycle process and market-driven</w:t>
      </w:r>
      <w:r w:rsidRPr="00283806">
        <w:rPr>
          <w:spacing w:val="80"/>
          <w:w w:val="105"/>
        </w:rPr>
        <w:t xml:space="preserve"> </w:t>
      </w:r>
      <w:r w:rsidRPr="00283806">
        <w:rPr>
          <w:w w:val="105"/>
        </w:rPr>
        <w:t>balance. The commenter claimed, however, that the proposal requiring the use of recycled HFCs for initial installation would have the effect of reinforcing the market perception that HFCs are being regulated out of</w:t>
      </w:r>
      <w:r w:rsidRPr="00283806">
        <w:rPr>
          <w:spacing w:val="40"/>
          <w:w w:val="105"/>
        </w:rPr>
        <w:t xml:space="preserve"> </w:t>
      </w:r>
      <w:r w:rsidRPr="00283806">
        <w:rPr>
          <w:w w:val="105"/>
        </w:rPr>
        <w:t>existence. The commenter stated that</w:t>
      </w:r>
      <w:r w:rsidRPr="00283806">
        <w:rPr>
          <w:spacing w:val="80"/>
          <w:w w:val="105"/>
        </w:rPr>
        <w:t xml:space="preserve"> </w:t>
      </w:r>
      <w:r w:rsidRPr="00283806">
        <w:rPr>
          <w:w w:val="105"/>
        </w:rPr>
        <w:t>the EU’s 2000 regulation devalued halon 1301 and that the regulation correlated with the EU halon emissions. The commenter voiced concerns that the requirement to use only recycled HFCs</w:t>
      </w:r>
      <w:r w:rsidRPr="00283806">
        <w:rPr>
          <w:spacing w:val="40"/>
          <w:w w:val="105"/>
        </w:rPr>
        <w:t xml:space="preserve"> </w:t>
      </w:r>
      <w:r w:rsidRPr="00283806">
        <w:rPr>
          <w:w w:val="105"/>
        </w:rPr>
        <w:t>for initial fill, by overriding current market forces, would have a similar</w:t>
      </w:r>
      <w:r w:rsidRPr="00283806">
        <w:rPr>
          <w:spacing w:val="80"/>
          <w:w w:val="105"/>
        </w:rPr>
        <w:t xml:space="preserve"> </w:t>
      </w:r>
      <w:r w:rsidRPr="00283806">
        <w:rPr>
          <w:w w:val="105"/>
        </w:rPr>
        <w:t xml:space="preserve">effect of instigating a spike in emissions due to </w:t>
      </w:r>
      <w:proofErr w:type="gramStart"/>
      <w:r w:rsidRPr="00283806">
        <w:rPr>
          <w:w w:val="105"/>
        </w:rPr>
        <w:t>collapse</w:t>
      </w:r>
      <w:proofErr w:type="gramEnd"/>
      <w:r w:rsidRPr="00283806">
        <w:rPr>
          <w:w w:val="105"/>
        </w:rPr>
        <w:t xml:space="preserve"> of market confidence in HFCs. In such a market, the commenter maintained, where used HFC stocks are</w:t>
      </w:r>
      <w:r w:rsidRPr="00283806">
        <w:rPr>
          <w:spacing w:val="40"/>
          <w:w w:val="105"/>
        </w:rPr>
        <w:t xml:space="preserve"> </w:t>
      </w:r>
      <w:r w:rsidRPr="00283806">
        <w:rPr>
          <w:w w:val="105"/>
        </w:rPr>
        <w:t>of low or negative value, owners and</w:t>
      </w:r>
    </w:p>
    <w:p w14:paraId="7FC683F6"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6" w:space="40"/>
            <w:col w:w="3501" w:space="39"/>
            <w:col w:w="3624"/>
          </w:cols>
        </w:sectPr>
      </w:pPr>
    </w:p>
    <w:p w14:paraId="7DC16D00" w14:textId="77777777" w:rsidR="00D67C1E" w:rsidRPr="00283806" w:rsidRDefault="001265CA">
      <w:pPr>
        <w:pStyle w:val="BodyText"/>
        <w:spacing w:before="134" w:line="228" w:lineRule="auto"/>
      </w:pPr>
      <w:r w:rsidRPr="00283806">
        <w:rPr>
          <w:w w:val="105"/>
        </w:rPr>
        <w:lastRenderedPageBreak/>
        <w:t>service entities could be negatively incentivized to release stocks of HFCs to the</w:t>
      </w:r>
      <w:r w:rsidRPr="00283806">
        <w:rPr>
          <w:spacing w:val="40"/>
          <w:w w:val="105"/>
        </w:rPr>
        <w:t xml:space="preserve"> </w:t>
      </w:r>
      <w:r w:rsidRPr="00283806">
        <w:rPr>
          <w:w w:val="105"/>
        </w:rPr>
        <w:t>atmosphere</w:t>
      </w:r>
      <w:r w:rsidRPr="00283806">
        <w:rPr>
          <w:spacing w:val="40"/>
          <w:w w:val="105"/>
        </w:rPr>
        <w:t xml:space="preserve"> </w:t>
      </w:r>
      <w:r w:rsidRPr="00283806">
        <w:rPr>
          <w:w w:val="105"/>
        </w:rPr>
        <w:t>in</w:t>
      </w:r>
      <w:r w:rsidRPr="00283806">
        <w:rPr>
          <w:spacing w:val="40"/>
          <w:w w:val="105"/>
        </w:rPr>
        <w:t xml:space="preserve"> </w:t>
      </w:r>
      <w:r w:rsidRPr="00283806">
        <w:rPr>
          <w:w w:val="105"/>
        </w:rPr>
        <w:t>anticipation</w:t>
      </w:r>
      <w:r w:rsidRPr="00283806">
        <w:rPr>
          <w:spacing w:val="40"/>
          <w:w w:val="105"/>
        </w:rPr>
        <w:t xml:space="preserve"> </w:t>
      </w:r>
      <w:r w:rsidRPr="00283806">
        <w:rPr>
          <w:w w:val="105"/>
        </w:rPr>
        <w:t>of further regulations or to avoid storing a valueless commodity. The commenter also stated that with the termination of production of a potential fire</w:t>
      </w:r>
      <w:r w:rsidRPr="00283806">
        <w:rPr>
          <w:spacing w:val="80"/>
          <w:w w:val="105"/>
        </w:rPr>
        <w:t xml:space="preserve"> </w:t>
      </w:r>
      <w:r w:rsidRPr="00283806">
        <w:rPr>
          <w:w w:val="105"/>
        </w:rPr>
        <w:t>suppression agent (</w:t>
      </w:r>
      <w:r w:rsidRPr="00283806">
        <w:rPr>
          <w:rFonts w:ascii="Book Antiqua" w:hAnsi="Book Antiqua"/>
          <w:i/>
          <w:w w:val="105"/>
        </w:rPr>
        <w:t xml:space="preserve">i.e., </w:t>
      </w:r>
      <w:r w:rsidRPr="00283806">
        <w:rPr>
          <w:w w:val="105"/>
        </w:rPr>
        <w:t>FK–5–1–12)</w:t>
      </w:r>
      <w:r w:rsidRPr="00283806">
        <w:rPr>
          <w:spacing w:val="80"/>
          <w:w w:val="105"/>
        </w:rPr>
        <w:t xml:space="preserve"> </w:t>
      </w:r>
      <w:r w:rsidRPr="00283806">
        <w:rPr>
          <w:w w:val="105"/>
        </w:rPr>
        <w:t>from</w:t>
      </w:r>
      <w:r w:rsidRPr="00283806">
        <w:rPr>
          <w:spacing w:val="40"/>
          <w:w w:val="105"/>
        </w:rPr>
        <w:t xml:space="preserve"> </w:t>
      </w:r>
      <w:r w:rsidRPr="00283806">
        <w:rPr>
          <w:w w:val="105"/>
        </w:rPr>
        <w:t>a</w:t>
      </w:r>
      <w:r w:rsidRPr="00283806">
        <w:rPr>
          <w:spacing w:val="40"/>
          <w:w w:val="105"/>
        </w:rPr>
        <w:t xml:space="preserve"> </w:t>
      </w:r>
      <w:r w:rsidRPr="00283806">
        <w:rPr>
          <w:w w:val="105"/>
        </w:rPr>
        <w:t>manufacturer,</w:t>
      </w:r>
      <w:r w:rsidRPr="00283806">
        <w:rPr>
          <w:spacing w:val="40"/>
          <w:w w:val="105"/>
        </w:rPr>
        <w:t xml:space="preserve"> </w:t>
      </w:r>
      <w:r w:rsidRPr="00283806">
        <w:rPr>
          <w:w w:val="105"/>
        </w:rPr>
        <w:t>there</w:t>
      </w:r>
      <w:r w:rsidRPr="00283806">
        <w:rPr>
          <w:spacing w:val="40"/>
          <w:w w:val="105"/>
        </w:rPr>
        <w:t xml:space="preserve"> </w:t>
      </w:r>
      <w:r w:rsidRPr="00283806">
        <w:rPr>
          <w:w w:val="105"/>
        </w:rPr>
        <w:t>may</w:t>
      </w:r>
      <w:r w:rsidRPr="00283806">
        <w:rPr>
          <w:spacing w:val="40"/>
          <w:w w:val="105"/>
        </w:rPr>
        <w:t xml:space="preserve"> </w:t>
      </w:r>
      <w:r w:rsidRPr="00283806">
        <w:rPr>
          <w:w w:val="105"/>
        </w:rPr>
        <w:t>likely be insufficient supply of a low-GWP alternative</w:t>
      </w:r>
      <w:r w:rsidRPr="00283806">
        <w:rPr>
          <w:spacing w:val="40"/>
          <w:w w:val="105"/>
        </w:rPr>
        <w:t xml:space="preserve"> </w:t>
      </w:r>
      <w:r w:rsidRPr="00283806">
        <w:rPr>
          <w:w w:val="105"/>
        </w:rPr>
        <w:t>for</w:t>
      </w:r>
      <w:r w:rsidRPr="00283806">
        <w:rPr>
          <w:spacing w:val="40"/>
          <w:w w:val="105"/>
        </w:rPr>
        <w:t xml:space="preserve"> </w:t>
      </w:r>
      <w:r w:rsidRPr="00283806">
        <w:rPr>
          <w:w w:val="105"/>
        </w:rPr>
        <w:t>HFCs,</w:t>
      </w:r>
      <w:r w:rsidRPr="00283806">
        <w:rPr>
          <w:spacing w:val="40"/>
          <w:w w:val="105"/>
        </w:rPr>
        <w:t xml:space="preserve"> </w:t>
      </w:r>
      <w:r w:rsidRPr="00283806">
        <w:rPr>
          <w:w w:val="105"/>
        </w:rPr>
        <w:t>causing uncertainty about the long-term viability of fire suppression technologies. The commenter further stated that, as with the EU in 2000, they expected a rise in HFC</w:t>
      </w:r>
      <w:r w:rsidRPr="00283806">
        <w:rPr>
          <w:spacing w:val="40"/>
          <w:w w:val="105"/>
        </w:rPr>
        <w:t xml:space="preserve"> </w:t>
      </w:r>
      <w:r w:rsidRPr="00283806">
        <w:rPr>
          <w:w w:val="105"/>
        </w:rPr>
        <w:t>emissions</w:t>
      </w:r>
      <w:r w:rsidRPr="00283806">
        <w:rPr>
          <w:spacing w:val="40"/>
          <w:w w:val="105"/>
        </w:rPr>
        <w:t xml:space="preserve"> </w:t>
      </w:r>
      <w:r w:rsidRPr="00283806">
        <w:rPr>
          <w:w w:val="105"/>
        </w:rPr>
        <w:t>from</w:t>
      </w:r>
      <w:r w:rsidRPr="00283806">
        <w:rPr>
          <w:spacing w:val="40"/>
          <w:w w:val="105"/>
        </w:rPr>
        <w:t xml:space="preserve"> </w:t>
      </w:r>
      <w:r w:rsidRPr="00283806">
        <w:rPr>
          <w:w w:val="105"/>
        </w:rPr>
        <w:t>the</w:t>
      </w:r>
      <w:r w:rsidRPr="00283806">
        <w:rPr>
          <w:spacing w:val="40"/>
          <w:w w:val="105"/>
        </w:rPr>
        <w:t xml:space="preserve"> </w:t>
      </w:r>
      <w:r w:rsidRPr="00283806">
        <w:rPr>
          <w:w w:val="105"/>
        </w:rPr>
        <w:t>fire suppression sector if the requirement to use recycled HFCs for initial fill is promulgated. The commenter stated that the proposed rule, along with potential supply issues, would severely restrict market access to effective fire suppressants, further eroding customer confidence</w:t>
      </w:r>
      <w:r w:rsidRPr="00283806">
        <w:rPr>
          <w:spacing w:val="40"/>
          <w:w w:val="105"/>
        </w:rPr>
        <w:t xml:space="preserve"> </w:t>
      </w:r>
      <w:r w:rsidRPr="00283806">
        <w:rPr>
          <w:w w:val="105"/>
        </w:rPr>
        <w:t>in</w:t>
      </w:r>
      <w:r w:rsidRPr="00283806">
        <w:rPr>
          <w:spacing w:val="40"/>
          <w:w w:val="105"/>
        </w:rPr>
        <w:t xml:space="preserve"> </w:t>
      </w:r>
      <w:r w:rsidRPr="00283806">
        <w:rPr>
          <w:w w:val="105"/>
        </w:rPr>
        <w:t>clean</w:t>
      </w:r>
      <w:r w:rsidRPr="00283806">
        <w:rPr>
          <w:spacing w:val="40"/>
          <w:w w:val="105"/>
        </w:rPr>
        <w:t xml:space="preserve"> </w:t>
      </w:r>
      <w:r w:rsidRPr="00283806">
        <w:rPr>
          <w:w w:val="105"/>
        </w:rPr>
        <w:t>agent</w:t>
      </w:r>
      <w:r w:rsidRPr="00283806">
        <w:rPr>
          <w:spacing w:val="40"/>
          <w:w w:val="105"/>
        </w:rPr>
        <w:t xml:space="preserve"> </w:t>
      </w:r>
      <w:r w:rsidRPr="00283806">
        <w:rPr>
          <w:w w:val="105"/>
        </w:rPr>
        <w:t>protection and putting additional critical facilities and people at risk from a fire event.</w:t>
      </w:r>
    </w:p>
    <w:p w14:paraId="007F83ED" w14:textId="77777777" w:rsidR="00D67C1E" w:rsidRPr="00283806" w:rsidRDefault="001265CA">
      <w:pPr>
        <w:pStyle w:val="BodyText"/>
        <w:spacing w:before="19" w:line="225" w:lineRule="auto"/>
        <w:ind w:right="30" w:firstLine="180"/>
      </w:pPr>
      <w:r w:rsidRPr="00283806">
        <w:rPr>
          <w:rFonts w:ascii="Book Antiqua" w:hAnsi="Book Antiqua"/>
          <w:i/>
          <w:w w:val="105"/>
        </w:rPr>
        <w:t xml:space="preserve">Response: </w:t>
      </w:r>
      <w:r w:rsidRPr="00283806">
        <w:rPr>
          <w:w w:val="105"/>
        </w:rPr>
        <w:t>EPA disagrees with the commenter’s assessment of the requirement</w:t>
      </w:r>
      <w:r w:rsidRPr="00283806">
        <w:rPr>
          <w:spacing w:val="40"/>
          <w:w w:val="105"/>
        </w:rPr>
        <w:t xml:space="preserve"> </w:t>
      </w:r>
      <w:r w:rsidRPr="00283806">
        <w:rPr>
          <w:w w:val="105"/>
        </w:rPr>
        <w:t>for</w:t>
      </w:r>
      <w:r w:rsidRPr="00283806">
        <w:rPr>
          <w:spacing w:val="40"/>
          <w:w w:val="105"/>
        </w:rPr>
        <w:t xml:space="preserve"> </w:t>
      </w:r>
      <w:r w:rsidRPr="00283806">
        <w:rPr>
          <w:w w:val="105"/>
        </w:rPr>
        <w:t>recycled</w:t>
      </w:r>
      <w:r w:rsidRPr="00283806">
        <w:rPr>
          <w:spacing w:val="40"/>
          <w:w w:val="105"/>
        </w:rPr>
        <w:t xml:space="preserve"> </w:t>
      </w:r>
      <w:r w:rsidRPr="00283806">
        <w:rPr>
          <w:w w:val="105"/>
        </w:rPr>
        <w:t>HFCs</w:t>
      </w:r>
      <w:r w:rsidRPr="00283806">
        <w:rPr>
          <w:spacing w:val="40"/>
          <w:w w:val="105"/>
        </w:rPr>
        <w:t xml:space="preserve"> </w:t>
      </w:r>
      <w:r w:rsidRPr="00283806">
        <w:rPr>
          <w:w w:val="105"/>
        </w:rPr>
        <w:t>in</w:t>
      </w:r>
      <w:r w:rsidRPr="00283806">
        <w:rPr>
          <w:spacing w:val="40"/>
          <w:w w:val="105"/>
        </w:rPr>
        <w:t xml:space="preserve"> </w:t>
      </w:r>
      <w:r w:rsidRPr="00283806">
        <w:rPr>
          <w:w w:val="105"/>
        </w:rPr>
        <w:t>the fire suppression sector as disruptive or that it would be misinterpreted as regulating HFCs out of existence. The</w:t>
      </w:r>
      <w:r w:rsidRPr="00283806">
        <w:rPr>
          <w:spacing w:val="80"/>
          <w:w w:val="105"/>
        </w:rPr>
        <w:t xml:space="preserve"> </w:t>
      </w:r>
      <w:r w:rsidRPr="00283806">
        <w:rPr>
          <w:w w:val="105"/>
        </w:rPr>
        <w:t>AIM</w:t>
      </w:r>
      <w:r w:rsidRPr="00283806">
        <w:rPr>
          <w:spacing w:val="40"/>
          <w:w w:val="105"/>
        </w:rPr>
        <w:t xml:space="preserve"> </w:t>
      </w:r>
      <w:r w:rsidRPr="00283806">
        <w:rPr>
          <w:w w:val="105"/>
        </w:rPr>
        <w:t>Act</w:t>
      </w:r>
      <w:r w:rsidRPr="00283806">
        <w:rPr>
          <w:spacing w:val="40"/>
          <w:w w:val="105"/>
        </w:rPr>
        <w:t xml:space="preserve"> </w:t>
      </w:r>
      <w:r w:rsidRPr="00283806">
        <w:rPr>
          <w:w w:val="105"/>
        </w:rPr>
        <w:t>directs</w:t>
      </w:r>
      <w:r w:rsidRPr="00283806">
        <w:rPr>
          <w:spacing w:val="40"/>
          <w:w w:val="105"/>
        </w:rPr>
        <w:t xml:space="preserve"> </w:t>
      </w:r>
      <w:r w:rsidRPr="00283806">
        <w:rPr>
          <w:w w:val="105"/>
        </w:rPr>
        <w:t>EPA</w:t>
      </w:r>
      <w:r w:rsidRPr="00283806">
        <w:rPr>
          <w:spacing w:val="40"/>
          <w:w w:val="105"/>
        </w:rPr>
        <w:t xml:space="preserve"> </w:t>
      </w:r>
      <w:r w:rsidRPr="00283806">
        <w:rPr>
          <w:w w:val="105"/>
        </w:rPr>
        <w:t>to</w:t>
      </w:r>
      <w:r w:rsidRPr="00283806">
        <w:rPr>
          <w:spacing w:val="40"/>
          <w:w w:val="105"/>
        </w:rPr>
        <w:t xml:space="preserve"> </w:t>
      </w:r>
      <w:r w:rsidRPr="00283806">
        <w:rPr>
          <w:w w:val="105"/>
        </w:rPr>
        <w:t>implement</w:t>
      </w:r>
      <w:r w:rsidRPr="00283806">
        <w:rPr>
          <w:spacing w:val="40"/>
          <w:w w:val="105"/>
        </w:rPr>
        <w:t xml:space="preserve"> </w:t>
      </w:r>
      <w:r w:rsidRPr="00283806">
        <w:rPr>
          <w:w w:val="105"/>
        </w:rPr>
        <w:t>an 85 percent phasedown of the production and consumption of HFCs from baseline by 2036. This is a phasedown and not</w:t>
      </w:r>
    </w:p>
    <w:p w14:paraId="36F4D65E" w14:textId="77777777" w:rsidR="00D67C1E" w:rsidRPr="00283806" w:rsidRDefault="001265CA">
      <w:pPr>
        <w:pStyle w:val="BodyText"/>
        <w:spacing w:line="228" w:lineRule="auto"/>
        <w:ind w:right="66"/>
      </w:pPr>
      <w:r w:rsidRPr="00283806">
        <w:rPr>
          <w:w w:val="105"/>
        </w:rPr>
        <w:t>a phaseout. The Agency foresees continued production and consumption</w:t>
      </w:r>
      <w:r w:rsidRPr="00283806">
        <w:rPr>
          <w:spacing w:val="40"/>
          <w:w w:val="105"/>
        </w:rPr>
        <w:t xml:space="preserve"> </w:t>
      </w:r>
      <w:r w:rsidRPr="00283806">
        <w:rPr>
          <w:w w:val="105"/>
        </w:rPr>
        <w:t xml:space="preserve">of HFCs beyond 2036, albeit limited </w:t>
      </w:r>
      <w:proofErr w:type="gramStart"/>
      <w:r w:rsidRPr="00283806">
        <w:rPr>
          <w:w w:val="105"/>
        </w:rPr>
        <w:t>so</w:t>
      </w:r>
      <w:r w:rsidRPr="00283806">
        <w:rPr>
          <w:spacing w:val="80"/>
          <w:w w:val="150"/>
        </w:rPr>
        <w:t xml:space="preserve"> </w:t>
      </w:r>
      <w:r w:rsidRPr="00283806">
        <w:rPr>
          <w:w w:val="105"/>
        </w:rPr>
        <w:t>as to</w:t>
      </w:r>
      <w:proofErr w:type="gramEnd"/>
      <w:r w:rsidRPr="00283806">
        <w:rPr>
          <w:w w:val="105"/>
        </w:rPr>
        <w:t xml:space="preserve"> not exceed the very restrictive cap. While this final rule has the effect of restricting the use of virgin HFCs for </w:t>
      </w:r>
      <w:proofErr w:type="gramStart"/>
      <w:r w:rsidRPr="00283806">
        <w:rPr>
          <w:w w:val="105"/>
        </w:rPr>
        <w:t>particular practices</w:t>
      </w:r>
      <w:proofErr w:type="gramEnd"/>
      <w:r w:rsidRPr="00283806">
        <w:rPr>
          <w:w w:val="105"/>
        </w:rPr>
        <w:t>, processes, and activities</w:t>
      </w:r>
      <w:r w:rsidRPr="00283806">
        <w:rPr>
          <w:spacing w:val="40"/>
          <w:w w:val="105"/>
        </w:rPr>
        <w:t xml:space="preserve"> </w:t>
      </w:r>
      <w:r w:rsidRPr="00283806">
        <w:rPr>
          <w:w w:val="105"/>
        </w:rPr>
        <w:t>related</w:t>
      </w:r>
      <w:r w:rsidRPr="00283806">
        <w:rPr>
          <w:spacing w:val="40"/>
          <w:w w:val="105"/>
        </w:rPr>
        <w:t xml:space="preserve"> </w:t>
      </w:r>
      <w:r w:rsidRPr="00283806">
        <w:rPr>
          <w:w w:val="105"/>
        </w:rPr>
        <w:t>to</w:t>
      </w:r>
      <w:r w:rsidRPr="00283806">
        <w:rPr>
          <w:spacing w:val="40"/>
          <w:w w:val="105"/>
        </w:rPr>
        <w:t xml:space="preserve"> </w:t>
      </w:r>
      <w:r w:rsidRPr="00283806">
        <w:rPr>
          <w:w w:val="105"/>
        </w:rPr>
        <w:t>servicing,</w:t>
      </w:r>
      <w:r w:rsidRPr="00283806">
        <w:rPr>
          <w:spacing w:val="40"/>
          <w:w w:val="105"/>
        </w:rPr>
        <w:t xml:space="preserve"> </w:t>
      </w:r>
      <w:r w:rsidRPr="00283806">
        <w:rPr>
          <w:w w:val="105"/>
        </w:rPr>
        <w:t xml:space="preserve">repair, and installation of </w:t>
      </w:r>
      <w:proofErr w:type="gramStart"/>
      <w:r w:rsidRPr="00283806">
        <w:rPr>
          <w:w w:val="105"/>
        </w:rPr>
        <w:t>particular equipment</w:t>
      </w:r>
      <w:proofErr w:type="gramEnd"/>
      <w:r w:rsidRPr="00283806">
        <w:rPr>
          <w:w w:val="105"/>
        </w:rPr>
        <w:t>, those requirements do not apply to all applications</w:t>
      </w:r>
      <w:r w:rsidRPr="00283806">
        <w:rPr>
          <w:spacing w:val="40"/>
          <w:w w:val="105"/>
        </w:rPr>
        <w:t xml:space="preserve"> </w:t>
      </w:r>
      <w:r w:rsidRPr="00283806">
        <w:rPr>
          <w:w w:val="105"/>
        </w:rPr>
        <w:t>in</w:t>
      </w:r>
      <w:r w:rsidRPr="00283806">
        <w:rPr>
          <w:spacing w:val="40"/>
          <w:w w:val="105"/>
        </w:rPr>
        <w:t xml:space="preserve"> </w:t>
      </w:r>
      <w:r w:rsidRPr="00283806">
        <w:rPr>
          <w:w w:val="105"/>
        </w:rPr>
        <w:t>which</w:t>
      </w:r>
      <w:r w:rsidRPr="00283806">
        <w:rPr>
          <w:spacing w:val="40"/>
          <w:w w:val="105"/>
        </w:rPr>
        <w:t xml:space="preserve"> </w:t>
      </w:r>
      <w:r w:rsidRPr="00283806">
        <w:rPr>
          <w:w w:val="105"/>
        </w:rPr>
        <w:t>HFCs</w:t>
      </w:r>
      <w:r w:rsidRPr="00283806">
        <w:rPr>
          <w:spacing w:val="40"/>
          <w:w w:val="105"/>
        </w:rPr>
        <w:t xml:space="preserve"> </w:t>
      </w:r>
      <w:r w:rsidRPr="00283806">
        <w:rPr>
          <w:w w:val="105"/>
        </w:rPr>
        <w:t>are</w:t>
      </w:r>
      <w:r w:rsidRPr="00283806">
        <w:rPr>
          <w:spacing w:val="40"/>
          <w:w w:val="105"/>
        </w:rPr>
        <w:t xml:space="preserve"> </w:t>
      </w:r>
      <w:r w:rsidRPr="00283806">
        <w:rPr>
          <w:w w:val="105"/>
        </w:rPr>
        <w:t xml:space="preserve">used, and they do not limit the use of recycled or reclaimed HFCs that meet the regulatory criteria. In fact, as discussed throughout this final rule, the Agency expects that virgin production and consumption </w:t>
      </w:r>
      <w:proofErr w:type="gramStart"/>
      <w:r w:rsidRPr="00283806">
        <w:rPr>
          <w:w w:val="105"/>
        </w:rPr>
        <w:t>consistent</w:t>
      </w:r>
      <w:proofErr w:type="gramEnd"/>
      <w:r w:rsidRPr="00283806">
        <w:rPr>
          <w:w w:val="105"/>
        </w:rPr>
        <w:t xml:space="preserve"> with 40 CFR</w:t>
      </w:r>
    </w:p>
    <w:p w14:paraId="69D0A1A0" w14:textId="77777777" w:rsidR="00D67C1E" w:rsidRPr="00283806" w:rsidRDefault="001265CA">
      <w:pPr>
        <w:pStyle w:val="BodyText"/>
        <w:spacing w:before="134" w:line="225" w:lineRule="auto"/>
        <w:ind w:left="143" w:right="125"/>
      </w:pPr>
      <w:r w:rsidRPr="00283806">
        <w:br w:type="column"/>
      </w:r>
      <w:r w:rsidRPr="00283806">
        <w:rPr>
          <w:w w:val="105"/>
        </w:rPr>
        <w:t>virgin HFCs decreases while the market demand for recycled HFCs increases in the fire suppression sector; however, EPA anticipates there will be continued demand for and use of virgin HFCs for other applications for many years.</w:t>
      </w:r>
    </w:p>
    <w:p w14:paraId="03D55564" w14:textId="77777777" w:rsidR="00D67C1E" w:rsidRPr="00283806" w:rsidRDefault="001265CA">
      <w:pPr>
        <w:pStyle w:val="BodyText"/>
        <w:spacing w:line="225" w:lineRule="auto"/>
        <w:ind w:left="143" w:right="31"/>
      </w:pPr>
      <w:r w:rsidRPr="00283806">
        <w:rPr>
          <w:w w:val="105"/>
        </w:rPr>
        <w:t>Unlike halons, most of the HFCs used in fire suppression have other uses (</w:t>
      </w:r>
      <w:r w:rsidRPr="00283806">
        <w:rPr>
          <w:rFonts w:ascii="Book Antiqua" w:hAnsi="Book Antiqua"/>
          <w:i/>
          <w:w w:val="105"/>
        </w:rPr>
        <w:t xml:space="preserve">e.g., </w:t>
      </w:r>
      <w:r w:rsidRPr="00283806">
        <w:rPr>
          <w:w w:val="105"/>
        </w:rPr>
        <w:t>HFC–227ea is used as a propellant for metered</w:t>
      </w:r>
      <w:r w:rsidRPr="00283806">
        <w:rPr>
          <w:spacing w:val="40"/>
          <w:w w:val="105"/>
        </w:rPr>
        <w:t xml:space="preserve"> </w:t>
      </w:r>
      <w:r w:rsidRPr="00283806">
        <w:rPr>
          <w:w w:val="105"/>
        </w:rPr>
        <w:t>dose</w:t>
      </w:r>
      <w:r w:rsidRPr="00283806">
        <w:rPr>
          <w:spacing w:val="40"/>
          <w:w w:val="105"/>
        </w:rPr>
        <w:t xml:space="preserve"> </w:t>
      </w:r>
      <w:r w:rsidRPr="00283806">
        <w:rPr>
          <w:w w:val="105"/>
        </w:rPr>
        <w:t>inhalers).</w:t>
      </w:r>
      <w:r w:rsidRPr="00283806">
        <w:rPr>
          <w:spacing w:val="40"/>
          <w:w w:val="105"/>
        </w:rPr>
        <w:t xml:space="preserve"> </w:t>
      </w:r>
      <w:r w:rsidRPr="00283806">
        <w:rPr>
          <w:w w:val="105"/>
        </w:rPr>
        <w:t>Halons generally have only been used for fire suppression. Contrary to the comment, recent updates to the EU regulation 2024/590 puts a high value on existing supply of halons by prohibiting the destruction</w:t>
      </w:r>
      <w:r w:rsidRPr="00283806">
        <w:rPr>
          <w:spacing w:val="40"/>
          <w:w w:val="105"/>
        </w:rPr>
        <w:t xml:space="preserve"> </w:t>
      </w:r>
      <w:r w:rsidRPr="00283806">
        <w:rPr>
          <w:w w:val="105"/>
        </w:rPr>
        <w:t>of</w:t>
      </w:r>
      <w:r w:rsidRPr="00283806">
        <w:rPr>
          <w:spacing w:val="40"/>
          <w:w w:val="105"/>
        </w:rPr>
        <w:t xml:space="preserve"> </w:t>
      </w:r>
      <w:r w:rsidRPr="00283806">
        <w:rPr>
          <w:w w:val="105"/>
        </w:rPr>
        <w:t>halons</w:t>
      </w:r>
      <w:r w:rsidRPr="00283806">
        <w:rPr>
          <w:spacing w:val="40"/>
          <w:w w:val="105"/>
        </w:rPr>
        <w:t xml:space="preserve"> </w:t>
      </w:r>
      <w:r w:rsidRPr="00283806">
        <w:rPr>
          <w:w w:val="105"/>
        </w:rPr>
        <w:t>unless</w:t>
      </w:r>
      <w:r w:rsidRPr="00283806">
        <w:rPr>
          <w:spacing w:val="40"/>
          <w:w w:val="105"/>
        </w:rPr>
        <w:t xml:space="preserve"> </w:t>
      </w:r>
      <w:r w:rsidRPr="00283806">
        <w:rPr>
          <w:w w:val="105"/>
        </w:rPr>
        <w:t>the</w:t>
      </w:r>
      <w:r w:rsidRPr="00283806">
        <w:rPr>
          <w:spacing w:val="40"/>
          <w:w w:val="105"/>
        </w:rPr>
        <w:t xml:space="preserve"> </w:t>
      </w:r>
      <w:r w:rsidRPr="00283806">
        <w:rPr>
          <w:w w:val="105"/>
        </w:rPr>
        <w:t>purity of the recovered or recycled substance does not allow for reclamation and reuse.</w:t>
      </w:r>
      <w:r w:rsidRPr="00283806">
        <w:rPr>
          <w:w w:val="105"/>
          <w:position w:val="5"/>
          <w:sz w:val="11"/>
        </w:rPr>
        <w:t>128</w:t>
      </w:r>
      <w:r w:rsidRPr="00283806">
        <w:rPr>
          <w:spacing w:val="40"/>
          <w:w w:val="105"/>
          <w:position w:val="5"/>
          <w:sz w:val="11"/>
        </w:rPr>
        <w:t xml:space="preserve"> </w:t>
      </w:r>
      <w:r w:rsidRPr="00283806">
        <w:rPr>
          <w:w w:val="105"/>
        </w:rPr>
        <w:t>As market demand increases</w:t>
      </w:r>
      <w:r w:rsidRPr="00283806">
        <w:rPr>
          <w:spacing w:val="80"/>
          <w:w w:val="105"/>
        </w:rPr>
        <w:t xml:space="preserve"> </w:t>
      </w:r>
      <w:r w:rsidRPr="00283806">
        <w:rPr>
          <w:w w:val="105"/>
        </w:rPr>
        <w:t>for</w:t>
      </w:r>
      <w:r w:rsidRPr="00283806">
        <w:rPr>
          <w:spacing w:val="40"/>
          <w:w w:val="105"/>
        </w:rPr>
        <w:t xml:space="preserve"> </w:t>
      </w:r>
      <w:r w:rsidRPr="00283806">
        <w:rPr>
          <w:w w:val="105"/>
        </w:rPr>
        <w:t>recycled</w:t>
      </w:r>
      <w:r w:rsidRPr="00283806">
        <w:rPr>
          <w:spacing w:val="40"/>
          <w:w w:val="105"/>
        </w:rPr>
        <w:t xml:space="preserve"> </w:t>
      </w:r>
      <w:r w:rsidRPr="00283806">
        <w:rPr>
          <w:w w:val="105"/>
        </w:rPr>
        <w:t>HFCs</w:t>
      </w:r>
      <w:r w:rsidRPr="00283806">
        <w:rPr>
          <w:spacing w:val="40"/>
          <w:w w:val="105"/>
        </w:rPr>
        <w:t xml:space="preserve"> </w:t>
      </w:r>
      <w:r w:rsidRPr="00283806">
        <w:rPr>
          <w:w w:val="105"/>
        </w:rPr>
        <w:t>in</w:t>
      </w:r>
      <w:r w:rsidRPr="00283806">
        <w:rPr>
          <w:spacing w:val="40"/>
          <w:w w:val="105"/>
        </w:rPr>
        <w:t xml:space="preserve"> </w:t>
      </w:r>
      <w:r w:rsidRPr="00283806">
        <w:rPr>
          <w:w w:val="105"/>
        </w:rPr>
        <w:t>the</w:t>
      </w:r>
      <w:r w:rsidRPr="00283806">
        <w:rPr>
          <w:spacing w:val="40"/>
          <w:w w:val="105"/>
        </w:rPr>
        <w:t xml:space="preserve"> </w:t>
      </w:r>
      <w:r w:rsidRPr="00283806">
        <w:rPr>
          <w:w w:val="105"/>
        </w:rPr>
        <w:t>fire suppression sector, the value of the recycled HFCs should also increase and lead to more incentive to recover and recycle HFCs rather than releasing them. One commenter noted that the termination of a potential fire suppression agent (</w:t>
      </w:r>
      <w:r w:rsidRPr="00283806">
        <w:rPr>
          <w:rFonts w:ascii="Book Antiqua" w:hAnsi="Book Antiqua"/>
          <w:i/>
          <w:w w:val="105"/>
        </w:rPr>
        <w:t xml:space="preserve">i.e., </w:t>
      </w:r>
      <w:r w:rsidRPr="00283806">
        <w:rPr>
          <w:w w:val="105"/>
        </w:rPr>
        <w:t>FK–5–1–12) production from a manufacturer would mean an insufficient supply of a low-</w:t>
      </w:r>
      <w:r w:rsidRPr="00283806">
        <w:rPr>
          <w:spacing w:val="40"/>
          <w:w w:val="105"/>
        </w:rPr>
        <w:t xml:space="preserve"> </w:t>
      </w:r>
      <w:r w:rsidRPr="00283806">
        <w:rPr>
          <w:w w:val="105"/>
        </w:rPr>
        <w:t>GWP alternative for HFCs, causing uncertainty about the long-term viability of fire suppression technologies. EPA recognizes the loss of an alternative</w:t>
      </w:r>
      <w:r w:rsidRPr="00283806">
        <w:rPr>
          <w:spacing w:val="40"/>
          <w:w w:val="105"/>
        </w:rPr>
        <w:t xml:space="preserve"> </w:t>
      </w:r>
      <w:r w:rsidRPr="00283806">
        <w:rPr>
          <w:w w:val="105"/>
        </w:rPr>
        <w:t>agent may limit one option, but with the limited use of FK–5–1–12 to date, the termination of this agent should not</w:t>
      </w:r>
      <w:r w:rsidRPr="00283806">
        <w:rPr>
          <w:spacing w:val="40"/>
          <w:w w:val="105"/>
        </w:rPr>
        <w:t xml:space="preserve"> </w:t>
      </w:r>
      <w:r w:rsidRPr="00283806">
        <w:rPr>
          <w:w w:val="105"/>
        </w:rPr>
        <w:t>cause much disruption to the market as the search for suitable alternatives</w:t>
      </w:r>
      <w:r w:rsidRPr="00283806">
        <w:rPr>
          <w:spacing w:val="80"/>
          <w:w w:val="105"/>
        </w:rPr>
        <w:t xml:space="preserve"> </w:t>
      </w:r>
      <w:r w:rsidRPr="00283806">
        <w:rPr>
          <w:w w:val="105"/>
        </w:rPr>
        <w:t>would continue in those applications. It</w:t>
      </w:r>
      <w:r w:rsidRPr="00283806">
        <w:rPr>
          <w:spacing w:val="80"/>
          <w:w w:val="105"/>
        </w:rPr>
        <w:t xml:space="preserve"> </w:t>
      </w:r>
      <w:r w:rsidRPr="00283806">
        <w:rPr>
          <w:w w:val="105"/>
        </w:rPr>
        <w:t>is unclear that the end of production of one agent with current limited use</w:t>
      </w:r>
      <w:r w:rsidRPr="00283806">
        <w:rPr>
          <w:spacing w:val="80"/>
          <w:w w:val="105"/>
        </w:rPr>
        <w:t xml:space="preserve"> </w:t>
      </w:r>
      <w:r w:rsidRPr="00283806">
        <w:rPr>
          <w:w w:val="105"/>
        </w:rPr>
        <w:t>would cause uncertainty with fire suppression technologies in general.</w:t>
      </w:r>
    </w:p>
    <w:p w14:paraId="2A397DC6" w14:textId="77777777" w:rsidR="00D67C1E" w:rsidRPr="00283806" w:rsidRDefault="001265CA">
      <w:pPr>
        <w:pStyle w:val="BodyText"/>
        <w:spacing w:line="162" w:lineRule="exact"/>
        <w:ind w:left="143"/>
      </w:pPr>
      <w:r w:rsidRPr="00283806">
        <w:rPr>
          <w:w w:val="105"/>
        </w:rPr>
        <w:t>One</w:t>
      </w:r>
      <w:r w:rsidRPr="00283806">
        <w:rPr>
          <w:spacing w:val="5"/>
          <w:w w:val="105"/>
        </w:rPr>
        <w:t xml:space="preserve"> </w:t>
      </w:r>
      <w:r w:rsidRPr="00283806">
        <w:rPr>
          <w:w w:val="105"/>
        </w:rPr>
        <w:t>commenter</w:t>
      </w:r>
      <w:r w:rsidRPr="00283806">
        <w:rPr>
          <w:spacing w:val="5"/>
          <w:w w:val="105"/>
        </w:rPr>
        <w:t xml:space="preserve"> </w:t>
      </w:r>
      <w:r w:rsidRPr="00283806">
        <w:rPr>
          <w:w w:val="105"/>
        </w:rPr>
        <w:t>stated</w:t>
      </w:r>
      <w:r w:rsidRPr="00283806">
        <w:rPr>
          <w:spacing w:val="6"/>
          <w:w w:val="105"/>
        </w:rPr>
        <w:t xml:space="preserve"> </w:t>
      </w:r>
      <w:r w:rsidRPr="00283806">
        <w:rPr>
          <w:w w:val="105"/>
        </w:rPr>
        <w:t>that</w:t>
      </w:r>
      <w:r w:rsidRPr="00283806">
        <w:rPr>
          <w:spacing w:val="5"/>
          <w:w w:val="105"/>
        </w:rPr>
        <w:t xml:space="preserve"> </w:t>
      </w:r>
      <w:r w:rsidRPr="00283806">
        <w:rPr>
          <w:spacing w:val="-2"/>
          <w:w w:val="105"/>
        </w:rPr>
        <w:t>recycled</w:t>
      </w:r>
    </w:p>
    <w:p w14:paraId="7A9AE15A" w14:textId="77777777" w:rsidR="00D67C1E" w:rsidRPr="00283806" w:rsidRDefault="001265CA">
      <w:pPr>
        <w:pStyle w:val="BodyText"/>
        <w:spacing w:before="2" w:line="225" w:lineRule="auto"/>
        <w:ind w:left="143" w:right="188"/>
      </w:pPr>
      <w:r w:rsidRPr="00283806">
        <w:rPr>
          <w:w w:val="105"/>
        </w:rPr>
        <w:t>HFCs support many service requirements, providing a viable and responsible life cycle process and market-driven balance. EPA views the requirements for recycled HFCs in fire suppression equipment as a bolster to this effort.</w:t>
      </w:r>
    </w:p>
    <w:p w14:paraId="22C44464" w14:textId="77777777" w:rsidR="00D67C1E" w:rsidRPr="00283806" w:rsidRDefault="001265CA">
      <w:pPr>
        <w:spacing w:line="183" w:lineRule="exact"/>
        <w:ind w:left="143" w:firstLine="180"/>
        <w:rPr>
          <w:sz w:val="18"/>
        </w:rPr>
      </w:pPr>
      <w:r w:rsidRPr="00283806">
        <w:rPr>
          <w:rFonts w:ascii="Book Antiqua"/>
          <w:i/>
          <w:w w:val="110"/>
          <w:sz w:val="18"/>
        </w:rPr>
        <w:t>Comment:</w:t>
      </w:r>
      <w:r w:rsidRPr="00283806">
        <w:rPr>
          <w:rFonts w:ascii="Book Antiqua"/>
          <w:i/>
          <w:spacing w:val="-2"/>
          <w:w w:val="110"/>
          <w:sz w:val="18"/>
        </w:rPr>
        <w:t xml:space="preserve"> </w:t>
      </w:r>
      <w:r w:rsidRPr="00283806">
        <w:rPr>
          <w:w w:val="110"/>
          <w:sz w:val="18"/>
        </w:rPr>
        <w:t>EPA</w:t>
      </w:r>
      <w:r w:rsidRPr="00283806">
        <w:rPr>
          <w:spacing w:val="5"/>
          <w:w w:val="110"/>
          <w:sz w:val="18"/>
        </w:rPr>
        <w:t xml:space="preserve"> </w:t>
      </w:r>
      <w:r w:rsidRPr="00283806">
        <w:rPr>
          <w:w w:val="110"/>
          <w:sz w:val="18"/>
        </w:rPr>
        <w:t>received</w:t>
      </w:r>
      <w:r w:rsidRPr="00283806">
        <w:rPr>
          <w:spacing w:val="4"/>
          <w:w w:val="110"/>
          <w:sz w:val="18"/>
        </w:rPr>
        <w:t xml:space="preserve"> </w:t>
      </w:r>
      <w:r w:rsidRPr="00283806">
        <w:rPr>
          <w:spacing w:val="-2"/>
          <w:w w:val="110"/>
          <w:sz w:val="18"/>
        </w:rPr>
        <w:t>comments</w:t>
      </w:r>
    </w:p>
    <w:p w14:paraId="5E806C32" w14:textId="77777777" w:rsidR="00D67C1E" w:rsidRPr="00283806" w:rsidRDefault="001265CA">
      <w:pPr>
        <w:pStyle w:val="BodyText"/>
        <w:spacing w:line="225" w:lineRule="auto"/>
        <w:ind w:left="143"/>
      </w:pPr>
      <w:r w:rsidRPr="00283806">
        <w:rPr>
          <w:w w:val="105"/>
        </w:rPr>
        <w:t>requesting the export of fire suppression systems containing virgin HFCs. One</w:t>
      </w:r>
    </w:p>
    <w:p w14:paraId="7FC39905" w14:textId="77777777" w:rsidR="00D67C1E" w:rsidRPr="00283806" w:rsidRDefault="001265CA">
      <w:pPr>
        <w:pStyle w:val="BodyText"/>
        <w:spacing w:before="136" w:line="225" w:lineRule="auto"/>
        <w:ind w:left="143" w:right="173"/>
      </w:pPr>
      <w:r w:rsidRPr="00283806">
        <w:br w:type="column"/>
      </w:r>
      <w:r w:rsidRPr="00283806">
        <w:rPr>
          <w:w w:val="105"/>
        </w:rPr>
        <w:t xml:space="preserve">with virgin HFCs and that the expended allowances would continue to be refunded under the RACA process. The commenter asked for confirmation on the interpretation </w:t>
      </w:r>
      <w:proofErr w:type="gramStart"/>
      <w:r w:rsidRPr="00283806">
        <w:rPr>
          <w:w w:val="105"/>
        </w:rPr>
        <w:t>in</w:t>
      </w:r>
      <w:proofErr w:type="gramEnd"/>
      <w:r w:rsidRPr="00283806">
        <w:rPr>
          <w:w w:val="105"/>
        </w:rPr>
        <w:t xml:space="preserve"> the final rule.</w:t>
      </w:r>
    </w:p>
    <w:p w14:paraId="0DD25360" w14:textId="77777777" w:rsidR="00D67C1E" w:rsidRPr="00283806" w:rsidRDefault="001265CA">
      <w:pPr>
        <w:pStyle w:val="BodyText"/>
        <w:spacing w:line="178" w:lineRule="exact"/>
        <w:ind w:left="323"/>
      </w:pPr>
      <w:r w:rsidRPr="00283806">
        <w:rPr>
          <w:w w:val="105"/>
        </w:rPr>
        <w:t>Another</w:t>
      </w:r>
      <w:r w:rsidRPr="00283806">
        <w:rPr>
          <w:spacing w:val="1"/>
          <w:w w:val="105"/>
        </w:rPr>
        <w:t xml:space="preserve"> </w:t>
      </w:r>
      <w:r w:rsidRPr="00283806">
        <w:rPr>
          <w:w w:val="105"/>
        </w:rPr>
        <w:t>commenter</w:t>
      </w:r>
      <w:r w:rsidRPr="00283806">
        <w:rPr>
          <w:spacing w:val="2"/>
          <w:w w:val="105"/>
        </w:rPr>
        <w:t xml:space="preserve"> </w:t>
      </w:r>
      <w:r w:rsidRPr="00283806">
        <w:rPr>
          <w:w w:val="105"/>
        </w:rPr>
        <w:t>asserted</w:t>
      </w:r>
      <w:r w:rsidRPr="00283806">
        <w:rPr>
          <w:spacing w:val="1"/>
          <w:w w:val="105"/>
        </w:rPr>
        <w:t xml:space="preserve"> </w:t>
      </w:r>
      <w:r w:rsidRPr="00283806">
        <w:rPr>
          <w:w w:val="105"/>
        </w:rPr>
        <w:t>that</w:t>
      </w:r>
      <w:r w:rsidRPr="00283806">
        <w:rPr>
          <w:spacing w:val="2"/>
          <w:w w:val="105"/>
        </w:rPr>
        <w:t xml:space="preserve"> </w:t>
      </w:r>
      <w:r w:rsidRPr="00283806">
        <w:rPr>
          <w:spacing w:val="-4"/>
          <w:w w:val="105"/>
        </w:rPr>
        <w:t>with</w:t>
      </w:r>
    </w:p>
    <w:p w14:paraId="58D53568" w14:textId="77777777" w:rsidR="00D67C1E" w:rsidRPr="00283806" w:rsidRDefault="001265CA">
      <w:pPr>
        <w:pStyle w:val="BodyText"/>
        <w:spacing w:before="4" w:line="225" w:lineRule="auto"/>
        <w:ind w:left="143" w:right="122"/>
      </w:pPr>
      <w:r w:rsidRPr="00283806">
        <w:rPr>
          <w:w w:val="105"/>
        </w:rPr>
        <w:t>the implementation of the AIM Act, the volume of HFCs placed in new fire systems in the United States has dramatically decreased. The commenter experienced more than 90 percent reduction in volume of HFCs in new systems, far exceeding the intent and goals of the AIM Act. The commenter further stated that the AIM Act has motivated fire system manufacturers to promote non-HFCs alternatives and initiate approvals for recycled HFC use</w:t>
      </w:r>
      <w:r w:rsidRPr="00283806">
        <w:rPr>
          <w:spacing w:val="80"/>
          <w:w w:val="150"/>
        </w:rPr>
        <w:t xml:space="preserve"> </w:t>
      </w:r>
      <w:r w:rsidRPr="00283806">
        <w:rPr>
          <w:w w:val="105"/>
        </w:rPr>
        <w:t>in new fire systems. The commenter stated that there is no reasonable requirement for EPA to overreach its authority and require the use of recycled HFCs in the fire market, and that the market is responding and progressing in an accelerated manner without prescriptive forces. The commenter further stated if EPA believes it has the authority</w:t>
      </w:r>
      <w:r w:rsidRPr="00283806">
        <w:rPr>
          <w:spacing w:val="39"/>
          <w:w w:val="105"/>
        </w:rPr>
        <w:t xml:space="preserve"> </w:t>
      </w:r>
      <w:r w:rsidRPr="00283806">
        <w:rPr>
          <w:w w:val="105"/>
        </w:rPr>
        <w:t>under</w:t>
      </w:r>
      <w:r w:rsidRPr="00283806">
        <w:rPr>
          <w:spacing w:val="39"/>
          <w:w w:val="105"/>
        </w:rPr>
        <w:t xml:space="preserve"> </w:t>
      </w:r>
      <w:r w:rsidRPr="00283806">
        <w:rPr>
          <w:w w:val="105"/>
        </w:rPr>
        <w:t>the</w:t>
      </w:r>
      <w:r w:rsidRPr="00283806">
        <w:rPr>
          <w:spacing w:val="39"/>
          <w:w w:val="105"/>
        </w:rPr>
        <w:t xml:space="preserve"> </w:t>
      </w:r>
      <w:r w:rsidRPr="00283806">
        <w:rPr>
          <w:w w:val="105"/>
        </w:rPr>
        <w:t>AIM</w:t>
      </w:r>
      <w:r w:rsidRPr="00283806">
        <w:rPr>
          <w:spacing w:val="39"/>
          <w:w w:val="105"/>
        </w:rPr>
        <w:t xml:space="preserve"> </w:t>
      </w:r>
      <w:r w:rsidRPr="00283806">
        <w:rPr>
          <w:w w:val="105"/>
        </w:rPr>
        <w:t>Act</w:t>
      </w:r>
      <w:r w:rsidRPr="00283806">
        <w:rPr>
          <w:spacing w:val="39"/>
          <w:w w:val="105"/>
        </w:rPr>
        <w:t xml:space="preserve"> </w:t>
      </w:r>
      <w:r w:rsidRPr="00283806">
        <w:rPr>
          <w:w w:val="105"/>
        </w:rPr>
        <w:t>and</w:t>
      </w:r>
      <w:r w:rsidRPr="00283806">
        <w:rPr>
          <w:spacing w:val="39"/>
          <w:w w:val="105"/>
        </w:rPr>
        <w:t xml:space="preserve"> </w:t>
      </w:r>
      <w:r w:rsidRPr="00283806">
        <w:rPr>
          <w:w w:val="105"/>
        </w:rPr>
        <w:t>there is</w:t>
      </w:r>
      <w:r w:rsidRPr="00283806">
        <w:rPr>
          <w:spacing w:val="31"/>
          <w:w w:val="105"/>
        </w:rPr>
        <w:t xml:space="preserve"> </w:t>
      </w:r>
      <w:r w:rsidRPr="00283806">
        <w:rPr>
          <w:w w:val="105"/>
        </w:rPr>
        <w:t>a</w:t>
      </w:r>
      <w:r w:rsidRPr="00283806">
        <w:rPr>
          <w:spacing w:val="31"/>
          <w:w w:val="105"/>
        </w:rPr>
        <w:t xml:space="preserve"> </w:t>
      </w:r>
      <w:r w:rsidRPr="00283806">
        <w:rPr>
          <w:w w:val="105"/>
        </w:rPr>
        <w:t>need</w:t>
      </w:r>
      <w:r w:rsidRPr="00283806">
        <w:rPr>
          <w:spacing w:val="31"/>
          <w:w w:val="105"/>
        </w:rPr>
        <w:t xml:space="preserve"> </w:t>
      </w:r>
      <w:r w:rsidRPr="00283806">
        <w:rPr>
          <w:w w:val="105"/>
        </w:rPr>
        <w:t>and</w:t>
      </w:r>
      <w:r w:rsidRPr="00283806">
        <w:rPr>
          <w:spacing w:val="31"/>
          <w:w w:val="105"/>
        </w:rPr>
        <w:t xml:space="preserve"> </w:t>
      </w:r>
      <w:r w:rsidRPr="00283806">
        <w:rPr>
          <w:w w:val="105"/>
        </w:rPr>
        <w:t>benefit</w:t>
      </w:r>
      <w:r w:rsidRPr="00283806">
        <w:rPr>
          <w:spacing w:val="31"/>
          <w:w w:val="105"/>
        </w:rPr>
        <w:t xml:space="preserve"> </w:t>
      </w:r>
      <w:r w:rsidRPr="00283806">
        <w:rPr>
          <w:w w:val="105"/>
        </w:rPr>
        <w:t>to</w:t>
      </w:r>
      <w:r w:rsidRPr="00283806">
        <w:rPr>
          <w:spacing w:val="31"/>
          <w:w w:val="105"/>
        </w:rPr>
        <w:t xml:space="preserve"> </w:t>
      </w:r>
      <w:r w:rsidRPr="00283806">
        <w:rPr>
          <w:w w:val="105"/>
        </w:rPr>
        <w:t>requiring</w:t>
      </w:r>
      <w:r w:rsidRPr="00283806">
        <w:rPr>
          <w:spacing w:val="31"/>
          <w:w w:val="105"/>
        </w:rPr>
        <w:t xml:space="preserve"> </w:t>
      </w:r>
      <w:r w:rsidRPr="00283806">
        <w:rPr>
          <w:w w:val="105"/>
        </w:rPr>
        <w:t>the use</w:t>
      </w:r>
      <w:r w:rsidRPr="00283806">
        <w:rPr>
          <w:spacing w:val="40"/>
          <w:w w:val="105"/>
        </w:rPr>
        <w:t xml:space="preserve"> </w:t>
      </w:r>
      <w:r w:rsidRPr="00283806">
        <w:rPr>
          <w:w w:val="105"/>
        </w:rPr>
        <w:t>of</w:t>
      </w:r>
      <w:r w:rsidRPr="00283806">
        <w:rPr>
          <w:spacing w:val="40"/>
          <w:w w:val="105"/>
        </w:rPr>
        <w:t xml:space="preserve"> </w:t>
      </w:r>
      <w:r w:rsidRPr="00283806">
        <w:rPr>
          <w:w w:val="105"/>
        </w:rPr>
        <w:t>recycled</w:t>
      </w:r>
      <w:r w:rsidRPr="00283806">
        <w:rPr>
          <w:spacing w:val="40"/>
          <w:w w:val="105"/>
        </w:rPr>
        <w:t xml:space="preserve"> </w:t>
      </w:r>
      <w:r w:rsidRPr="00283806">
        <w:rPr>
          <w:w w:val="105"/>
        </w:rPr>
        <w:t>HFCs</w:t>
      </w:r>
      <w:r w:rsidRPr="00283806">
        <w:rPr>
          <w:spacing w:val="40"/>
          <w:w w:val="105"/>
        </w:rPr>
        <w:t xml:space="preserve"> </w:t>
      </w:r>
      <w:r w:rsidRPr="00283806">
        <w:rPr>
          <w:w w:val="105"/>
        </w:rPr>
        <w:t>for</w:t>
      </w:r>
      <w:r w:rsidRPr="00283806">
        <w:rPr>
          <w:spacing w:val="40"/>
          <w:w w:val="105"/>
        </w:rPr>
        <w:t xml:space="preserve"> </w:t>
      </w:r>
      <w:r w:rsidRPr="00283806">
        <w:rPr>
          <w:w w:val="105"/>
        </w:rPr>
        <w:t>fire suppression equipment, both new systems</w:t>
      </w:r>
      <w:r w:rsidRPr="00283806">
        <w:rPr>
          <w:spacing w:val="40"/>
          <w:w w:val="105"/>
        </w:rPr>
        <w:t xml:space="preserve"> </w:t>
      </w:r>
      <w:r w:rsidRPr="00283806">
        <w:rPr>
          <w:w w:val="105"/>
        </w:rPr>
        <w:t>and</w:t>
      </w:r>
      <w:r w:rsidRPr="00283806">
        <w:rPr>
          <w:spacing w:val="40"/>
          <w:w w:val="105"/>
        </w:rPr>
        <w:t xml:space="preserve"> </w:t>
      </w:r>
      <w:r w:rsidRPr="00283806">
        <w:rPr>
          <w:w w:val="105"/>
        </w:rPr>
        <w:t>service,</w:t>
      </w:r>
      <w:r w:rsidRPr="00283806">
        <w:rPr>
          <w:spacing w:val="40"/>
          <w:w w:val="105"/>
        </w:rPr>
        <w:t xml:space="preserve"> </w:t>
      </w:r>
      <w:r w:rsidRPr="00283806">
        <w:rPr>
          <w:w w:val="105"/>
        </w:rPr>
        <w:t>in</w:t>
      </w:r>
      <w:r w:rsidRPr="00283806">
        <w:rPr>
          <w:spacing w:val="40"/>
          <w:w w:val="105"/>
        </w:rPr>
        <w:t xml:space="preserve"> </w:t>
      </w:r>
      <w:r w:rsidRPr="00283806">
        <w:rPr>
          <w:w w:val="105"/>
        </w:rPr>
        <w:t>the</w:t>
      </w:r>
      <w:r w:rsidRPr="00283806">
        <w:rPr>
          <w:spacing w:val="40"/>
          <w:w w:val="105"/>
        </w:rPr>
        <w:t xml:space="preserve"> </w:t>
      </w:r>
      <w:r w:rsidRPr="00283806">
        <w:rPr>
          <w:w w:val="105"/>
        </w:rPr>
        <w:t>United States, the export of fire systems containing virgin HFCs should continue</w:t>
      </w:r>
      <w:r w:rsidRPr="00283806">
        <w:rPr>
          <w:spacing w:val="40"/>
          <w:w w:val="105"/>
        </w:rPr>
        <w:t xml:space="preserve"> </w:t>
      </w:r>
      <w:r w:rsidRPr="00283806">
        <w:rPr>
          <w:w w:val="105"/>
        </w:rPr>
        <w:t>to be allowed and qualify for the RACA process. The commenter stated that requiring U.S. fire system manufacturers to use only recycled agents for all global requirements would place them at a significant</w:t>
      </w:r>
      <w:r w:rsidRPr="00283806">
        <w:rPr>
          <w:spacing w:val="35"/>
          <w:w w:val="105"/>
        </w:rPr>
        <w:t xml:space="preserve"> </w:t>
      </w:r>
      <w:r w:rsidRPr="00283806">
        <w:rPr>
          <w:w w:val="105"/>
        </w:rPr>
        <w:t>competitive</w:t>
      </w:r>
      <w:r w:rsidRPr="00283806">
        <w:rPr>
          <w:spacing w:val="35"/>
          <w:w w:val="105"/>
        </w:rPr>
        <w:t xml:space="preserve"> </w:t>
      </w:r>
      <w:r w:rsidRPr="00283806">
        <w:rPr>
          <w:w w:val="105"/>
        </w:rPr>
        <w:t>disadvantage</w:t>
      </w:r>
      <w:r w:rsidRPr="00283806">
        <w:rPr>
          <w:spacing w:val="40"/>
          <w:w w:val="105"/>
        </w:rPr>
        <w:t xml:space="preserve"> </w:t>
      </w:r>
      <w:r w:rsidRPr="00283806">
        <w:rPr>
          <w:w w:val="105"/>
        </w:rPr>
        <w:t>and appreciably reduce the available inventories of domestic recycled HFC</w:t>
      </w:r>
      <w:r w:rsidRPr="00283806">
        <w:rPr>
          <w:spacing w:val="80"/>
          <w:w w:val="105"/>
        </w:rPr>
        <w:t xml:space="preserve"> </w:t>
      </w:r>
      <w:r w:rsidRPr="00283806">
        <w:rPr>
          <w:w w:val="105"/>
        </w:rPr>
        <w:t>fire extinguishing agents.</w:t>
      </w:r>
    </w:p>
    <w:p w14:paraId="066EC514" w14:textId="77777777" w:rsidR="00D67C1E" w:rsidRPr="00283806" w:rsidRDefault="001265CA">
      <w:pPr>
        <w:spacing w:line="177" w:lineRule="exact"/>
        <w:ind w:left="323"/>
        <w:rPr>
          <w:sz w:val="18"/>
        </w:rPr>
      </w:pPr>
      <w:r w:rsidRPr="00283806">
        <w:rPr>
          <w:rFonts w:ascii="Book Antiqua"/>
          <w:i/>
          <w:w w:val="105"/>
          <w:sz w:val="18"/>
        </w:rPr>
        <w:t>Response:</w:t>
      </w:r>
      <w:r w:rsidRPr="00283806">
        <w:rPr>
          <w:rFonts w:ascii="Book Antiqua"/>
          <w:i/>
          <w:spacing w:val="18"/>
          <w:w w:val="105"/>
          <w:sz w:val="18"/>
        </w:rPr>
        <w:t xml:space="preserve"> </w:t>
      </w:r>
      <w:r w:rsidRPr="00283806">
        <w:rPr>
          <w:w w:val="105"/>
          <w:sz w:val="18"/>
        </w:rPr>
        <w:t>In</w:t>
      </w:r>
      <w:r w:rsidRPr="00283806">
        <w:rPr>
          <w:spacing w:val="25"/>
          <w:w w:val="105"/>
          <w:sz w:val="18"/>
        </w:rPr>
        <w:t xml:space="preserve"> </w:t>
      </w:r>
      <w:r w:rsidRPr="00283806">
        <w:rPr>
          <w:w w:val="105"/>
          <w:sz w:val="18"/>
        </w:rPr>
        <w:t>response</w:t>
      </w:r>
      <w:r w:rsidRPr="00283806">
        <w:rPr>
          <w:spacing w:val="24"/>
          <w:w w:val="105"/>
          <w:sz w:val="18"/>
        </w:rPr>
        <w:t xml:space="preserve"> </w:t>
      </w:r>
      <w:r w:rsidRPr="00283806">
        <w:rPr>
          <w:w w:val="105"/>
          <w:sz w:val="18"/>
        </w:rPr>
        <w:t>to</w:t>
      </w:r>
      <w:r w:rsidRPr="00283806">
        <w:rPr>
          <w:spacing w:val="24"/>
          <w:w w:val="105"/>
          <w:sz w:val="18"/>
        </w:rPr>
        <w:t xml:space="preserve"> </w:t>
      </w:r>
      <w:r w:rsidRPr="00283806">
        <w:rPr>
          <w:spacing w:val="-4"/>
          <w:w w:val="105"/>
          <w:sz w:val="18"/>
        </w:rPr>
        <w:t>this</w:t>
      </w:r>
    </w:p>
    <w:p w14:paraId="628B5220" w14:textId="77777777" w:rsidR="00D67C1E" w:rsidRPr="00283806" w:rsidRDefault="001265CA">
      <w:pPr>
        <w:pStyle w:val="BodyText"/>
        <w:spacing w:line="228" w:lineRule="auto"/>
        <w:ind w:left="143" w:right="250"/>
      </w:pPr>
      <w:r w:rsidRPr="00283806">
        <w:rPr>
          <w:w w:val="105"/>
        </w:rPr>
        <w:t>comment, EPA first notes that it views the requirement in this final rule for recycled HFCs for fire suppression equipment to align with the purpose of minimizing the release of HFCs from</w:t>
      </w:r>
      <w:r w:rsidRPr="00283806">
        <w:rPr>
          <w:spacing w:val="40"/>
          <w:w w:val="105"/>
        </w:rPr>
        <w:t xml:space="preserve"> </w:t>
      </w:r>
      <w:r w:rsidRPr="00283806">
        <w:rPr>
          <w:w w:val="105"/>
        </w:rPr>
        <w:t>that equipment under subsection (h) and to be consistent with its authority under that provision, as discussed in detail elsewhere in this section.</w:t>
      </w:r>
      <w:r w:rsidRPr="00283806">
        <w:rPr>
          <w:w w:val="105"/>
          <w:position w:val="5"/>
          <w:sz w:val="11"/>
        </w:rPr>
        <w:t>129</w:t>
      </w:r>
      <w:r w:rsidRPr="00283806">
        <w:rPr>
          <w:spacing w:val="40"/>
          <w:w w:val="105"/>
          <w:position w:val="5"/>
          <w:sz w:val="11"/>
        </w:rPr>
        <w:t xml:space="preserve"> </w:t>
      </w:r>
      <w:r w:rsidRPr="00283806">
        <w:rPr>
          <w:w w:val="105"/>
        </w:rPr>
        <w:t>EPA</w:t>
      </w:r>
    </w:p>
    <w:p w14:paraId="15DA88DE" w14:textId="77777777" w:rsidR="00D67C1E" w:rsidRPr="00283806" w:rsidRDefault="001265CA">
      <w:pPr>
        <w:pStyle w:val="BodyText"/>
        <w:spacing w:line="136" w:lineRule="exact"/>
        <w:ind w:left="143"/>
      </w:pPr>
      <w:r w:rsidRPr="00283806">
        <w:rPr>
          <w:w w:val="105"/>
        </w:rPr>
        <w:t>notes</w:t>
      </w:r>
      <w:r w:rsidRPr="00283806">
        <w:rPr>
          <w:spacing w:val="7"/>
          <w:w w:val="105"/>
        </w:rPr>
        <w:t xml:space="preserve"> </w:t>
      </w:r>
      <w:r w:rsidRPr="00283806">
        <w:rPr>
          <w:w w:val="105"/>
        </w:rPr>
        <w:t>that</w:t>
      </w:r>
      <w:r w:rsidRPr="00283806">
        <w:rPr>
          <w:spacing w:val="7"/>
          <w:w w:val="105"/>
        </w:rPr>
        <w:t xml:space="preserve"> </w:t>
      </w:r>
      <w:r w:rsidRPr="00283806">
        <w:rPr>
          <w:w w:val="105"/>
        </w:rPr>
        <w:t>with</w:t>
      </w:r>
      <w:r w:rsidRPr="00283806">
        <w:rPr>
          <w:spacing w:val="7"/>
          <w:w w:val="105"/>
        </w:rPr>
        <w:t xml:space="preserve"> </w:t>
      </w:r>
      <w:r w:rsidRPr="00283806">
        <w:rPr>
          <w:w w:val="105"/>
        </w:rPr>
        <w:t>certain</w:t>
      </w:r>
      <w:r w:rsidRPr="00283806">
        <w:rPr>
          <w:spacing w:val="7"/>
          <w:w w:val="105"/>
        </w:rPr>
        <w:t xml:space="preserve"> </w:t>
      </w:r>
      <w:r w:rsidRPr="00283806">
        <w:rPr>
          <w:spacing w:val="-2"/>
          <w:w w:val="105"/>
        </w:rPr>
        <w:t>limited</w:t>
      </w:r>
    </w:p>
    <w:p w14:paraId="7BC16E0F" w14:textId="77777777" w:rsidR="00D67C1E" w:rsidRPr="00283806" w:rsidRDefault="00D67C1E">
      <w:pPr>
        <w:spacing w:line="136" w:lineRule="exact"/>
        <w:sectPr w:rsidR="00D67C1E" w:rsidRPr="00283806">
          <w:pgSz w:w="12240" w:h="15840"/>
          <w:pgMar w:top="1040" w:right="780" w:bottom="280" w:left="740" w:header="627" w:footer="0" w:gutter="0"/>
          <w:cols w:num="3" w:space="720" w:equalWidth="0">
            <w:col w:w="3517" w:space="40"/>
            <w:col w:w="3501" w:space="39"/>
            <w:col w:w="3623"/>
          </w:cols>
        </w:sectPr>
      </w:pPr>
    </w:p>
    <w:p w14:paraId="46A8253E" w14:textId="77777777" w:rsidR="00D67C1E" w:rsidRPr="00283806" w:rsidRDefault="001265CA">
      <w:pPr>
        <w:pStyle w:val="BodyText"/>
        <w:spacing w:line="149" w:lineRule="exact"/>
      </w:pPr>
      <w:proofErr w:type="spellStart"/>
      <w:r w:rsidRPr="00283806">
        <w:rPr>
          <w:w w:val="110"/>
        </w:rPr>
        <w:t>part</w:t>
      </w:r>
      <w:proofErr w:type="spellEnd"/>
      <w:r w:rsidRPr="00283806">
        <w:rPr>
          <w:spacing w:val="-6"/>
          <w:w w:val="110"/>
        </w:rPr>
        <w:t xml:space="preserve"> </w:t>
      </w:r>
      <w:r w:rsidRPr="00283806">
        <w:rPr>
          <w:w w:val="110"/>
        </w:rPr>
        <w:t>84,</w:t>
      </w:r>
      <w:r w:rsidRPr="00283806">
        <w:rPr>
          <w:spacing w:val="-6"/>
          <w:w w:val="110"/>
        </w:rPr>
        <w:t xml:space="preserve"> </w:t>
      </w:r>
      <w:r w:rsidRPr="00283806">
        <w:rPr>
          <w:w w:val="110"/>
        </w:rPr>
        <w:t>subpart</w:t>
      </w:r>
      <w:r w:rsidRPr="00283806">
        <w:rPr>
          <w:spacing w:val="-6"/>
          <w:w w:val="110"/>
        </w:rPr>
        <w:t xml:space="preserve"> </w:t>
      </w:r>
      <w:r w:rsidRPr="00283806">
        <w:rPr>
          <w:w w:val="110"/>
        </w:rPr>
        <w:t>A</w:t>
      </w:r>
      <w:r w:rsidRPr="00283806">
        <w:rPr>
          <w:spacing w:val="-6"/>
          <w:w w:val="110"/>
        </w:rPr>
        <w:t xml:space="preserve"> </w:t>
      </w:r>
      <w:r w:rsidRPr="00283806">
        <w:rPr>
          <w:w w:val="110"/>
        </w:rPr>
        <w:t>will</w:t>
      </w:r>
      <w:r w:rsidRPr="00283806">
        <w:rPr>
          <w:spacing w:val="-6"/>
          <w:w w:val="110"/>
        </w:rPr>
        <w:t xml:space="preserve"> </w:t>
      </w:r>
      <w:r w:rsidRPr="00283806">
        <w:rPr>
          <w:w w:val="110"/>
        </w:rPr>
        <w:t>continue</w:t>
      </w:r>
      <w:r w:rsidRPr="00283806">
        <w:rPr>
          <w:spacing w:val="-6"/>
          <w:w w:val="110"/>
        </w:rPr>
        <w:t xml:space="preserve"> </w:t>
      </w:r>
      <w:r w:rsidRPr="00283806">
        <w:rPr>
          <w:spacing w:val="-5"/>
          <w:w w:val="110"/>
        </w:rPr>
        <w:t>and</w:t>
      </w:r>
    </w:p>
    <w:p w14:paraId="3BA995AA" w14:textId="77777777" w:rsidR="00D67C1E" w:rsidRPr="00283806" w:rsidRDefault="001265CA">
      <w:pPr>
        <w:pStyle w:val="BodyText"/>
        <w:tabs>
          <w:tab w:val="left" w:pos="3699"/>
          <w:tab w:val="left" w:pos="4699"/>
        </w:tabs>
        <w:spacing w:line="149" w:lineRule="exact"/>
      </w:pPr>
      <w:r w:rsidRPr="00283806">
        <w:br w:type="column"/>
      </w:r>
      <w:r w:rsidRPr="00283806">
        <w:rPr>
          <w:w w:val="105"/>
        </w:rPr>
        <w:t>commenter</w:t>
      </w:r>
      <w:r w:rsidRPr="00283806">
        <w:rPr>
          <w:spacing w:val="-2"/>
          <w:w w:val="105"/>
        </w:rPr>
        <w:t xml:space="preserve"> </w:t>
      </w:r>
      <w:r w:rsidRPr="00283806">
        <w:rPr>
          <w:w w:val="105"/>
        </w:rPr>
        <w:t>interpreted</w:t>
      </w:r>
      <w:r w:rsidRPr="00283806">
        <w:rPr>
          <w:spacing w:val="-2"/>
          <w:w w:val="105"/>
        </w:rPr>
        <w:t xml:space="preserve"> </w:t>
      </w:r>
      <w:r w:rsidRPr="00283806">
        <w:rPr>
          <w:w w:val="105"/>
        </w:rPr>
        <w:t>the</w:t>
      </w:r>
      <w:r w:rsidRPr="00283806">
        <w:rPr>
          <w:spacing w:val="-1"/>
          <w:w w:val="105"/>
        </w:rPr>
        <w:t xml:space="preserve"> </w:t>
      </w:r>
      <w:r w:rsidRPr="00283806">
        <w:rPr>
          <w:w w:val="105"/>
        </w:rPr>
        <w:t>phrase</w:t>
      </w:r>
      <w:r w:rsidRPr="00283806">
        <w:rPr>
          <w:spacing w:val="-2"/>
          <w:w w:val="105"/>
        </w:rPr>
        <w:t xml:space="preserve"> ‘‘that</w:t>
      </w:r>
      <w:r w:rsidRPr="00283806">
        <w:tab/>
      </w:r>
      <w:r w:rsidRPr="00283806">
        <w:rPr>
          <w:u w:val="single"/>
        </w:rPr>
        <w:tab/>
      </w:r>
    </w:p>
    <w:p w14:paraId="73DF61F0" w14:textId="77777777" w:rsidR="00D67C1E" w:rsidRPr="00283806" w:rsidRDefault="00D67C1E">
      <w:pPr>
        <w:spacing w:line="149" w:lineRule="exact"/>
        <w:sectPr w:rsidR="00D67C1E" w:rsidRPr="00283806">
          <w:type w:val="continuous"/>
          <w:pgSz w:w="12240" w:h="15840"/>
          <w:pgMar w:top="880" w:right="780" w:bottom="280" w:left="740" w:header="627" w:footer="0" w:gutter="0"/>
          <w:cols w:num="2" w:space="720" w:equalWidth="0">
            <w:col w:w="3206" w:space="334"/>
            <w:col w:w="7180"/>
          </w:cols>
        </w:sectPr>
      </w:pPr>
    </w:p>
    <w:p w14:paraId="5BBD2374" w14:textId="77777777" w:rsidR="00D67C1E" w:rsidRPr="00283806" w:rsidRDefault="001265CA">
      <w:pPr>
        <w:pStyle w:val="BodyText"/>
        <w:spacing w:before="9" w:line="228" w:lineRule="auto"/>
      </w:pPr>
      <w:r w:rsidRPr="00283806">
        <w:rPr>
          <w:w w:val="105"/>
        </w:rPr>
        <w:t>anticipates continued use of both virgin and reclaimed or recycled HFCs.</w:t>
      </w:r>
    </w:p>
    <w:p w14:paraId="02060F4F" w14:textId="77777777" w:rsidR="00D67C1E" w:rsidRPr="00283806" w:rsidRDefault="001265CA">
      <w:pPr>
        <w:pStyle w:val="BodyText"/>
        <w:spacing w:line="200" w:lineRule="exact"/>
        <w:ind w:right="12"/>
      </w:pPr>
      <w:r w:rsidRPr="00283806">
        <w:rPr>
          <w:w w:val="105"/>
        </w:rPr>
        <w:t>Consistent with subsection (h), in developing this rule, the Agency</w:t>
      </w:r>
      <w:r w:rsidRPr="00283806">
        <w:rPr>
          <w:spacing w:val="40"/>
          <w:w w:val="105"/>
        </w:rPr>
        <w:t xml:space="preserve"> </w:t>
      </w:r>
      <w:r w:rsidRPr="00283806">
        <w:rPr>
          <w:w w:val="105"/>
        </w:rPr>
        <w:t>explored options that would serve the purposes identified in subsection (h)(1), including</w:t>
      </w:r>
      <w:r w:rsidRPr="00283806">
        <w:rPr>
          <w:spacing w:val="40"/>
          <w:w w:val="105"/>
        </w:rPr>
        <w:t xml:space="preserve"> </w:t>
      </w:r>
      <w:r w:rsidRPr="00283806">
        <w:rPr>
          <w:w w:val="105"/>
        </w:rPr>
        <w:t>minimizing</w:t>
      </w:r>
      <w:r w:rsidRPr="00283806">
        <w:rPr>
          <w:spacing w:val="40"/>
          <w:w w:val="105"/>
        </w:rPr>
        <w:t xml:space="preserve"> </w:t>
      </w:r>
      <w:r w:rsidRPr="00283806">
        <w:rPr>
          <w:w w:val="105"/>
        </w:rPr>
        <w:t>emissions</w:t>
      </w:r>
      <w:r w:rsidRPr="00283806">
        <w:rPr>
          <w:spacing w:val="40"/>
          <w:w w:val="105"/>
        </w:rPr>
        <w:t xml:space="preserve"> </w:t>
      </w:r>
      <w:r w:rsidRPr="00283806">
        <w:rPr>
          <w:w w:val="105"/>
        </w:rPr>
        <w:t>of</w:t>
      </w:r>
      <w:r w:rsidRPr="00283806">
        <w:rPr>
          <w:spacing w:val="40"/>
          <w:w w:val="105"/>
        </w:rPr>
        <w:t xml:space="preserve"> </w:t>
      </w:r>
      <w:r w:rsidRPr="00283806">
        <w:rPr>
          <w:w w:val="105"/>
        </w:rPr>
        <w:t>HFCs from equipment and maximizing</w:t>
      </w:r>
    </w:p>
    <w:p w14:paraId="3D85E7F9" w14:textId="77777777" w:rsidR="00D67C1E" w:rsidRPr="00283806" w:rsidRDefault="001265CA">
      <w:pPr>
        <w:pStyle w:val="BodyText"/>
        <w:spacing w:before="10" w:line="198" w:lineRule="exact"/>
        <w:ind w:right="28"/>
      </w:pPr>
      <w:r w:rsidRPr="00283806">
        <w:br w:type="column"/>
      </w:r>
      <w:r w:rsidRPr="00283806">
        <w:rPr>
          <w:w w:val="105"/>
        </w:rPr>
        <w:t>is installed in the United States’’ in 40 CFR 84.110(c), to say that the requirement to use recycled HFCs for initial fill of fire suppression equipment does not pertain to equipment intended for export. The commenter stated that fire suppression equipment intended for export could continue to be installed</w:t>
      </w:r>
    </w:p>
    <w:p w14:paraId="5520FD9F" w14:textId="77777777" w:rsidR="00D67C1E" w:rsidRPr="00283806" w:rsidRDefault="001265CA">
      <w:pPr>
        <w:spacing w:before="81" w:line="232" w:lineRule="auto"/>
        <w:ind w:left="160" w:right="183" w:firstLine="140"/>
        <w:rPr>
          <w:sz w:val="14"/>
        </w:rPr>
      </w:pPr>
      <w:r w:rsidRPr="00283806">
        <w:br w:type="column"/>
      </w:r>
      <w:r w:rsidRPr="00283806">
        <w:rPr>
          <w:w w:val="105"/>
          <w:position w:val="4"/>
          <w:sz w:val="9"/>
        </w:rPr>
        <w:t>129</w:t>
      </w:r>
      <w:r w:rsidRPr="00283806">
        <w:rPr>
          <w:spacing w:val="12"/>
          <w:w w:val="105"/>
          <w:position w:val="4"/>
          <w:sz w:val="9"/>
        </w:rPr>
        <w:t xml:space="preserve"> </w:t>
      </w:r>
      <w:r w:rsidRPr="00283806">
        <w:rPr>
          <w:w w:val="105"/>
          <w:sz w:val="14"/>
        </w:rPr>
        <w:t>The</w:t>
      </w:r>
      <w:r w:rsidRPr="00283806">
        <w:rPr>
          <w:spacing w:val="25"/>
          <w:w w:val="105"/>
          <w:sz w:val="14"/>
        </w:rPr>
        <w:t xml:space="preserve"> </w:t>
      </w:r>
      <w:r w:rsidRPr="00283806">
        <w:rPr>
          <w:w w:val="105"/>
          <w:sz w:val="14"/>
        </w:rPr>
        <w:t>comment</w:t>
      </w:r>
      <w:r w:rsidRPr="00283806">
        <w:rPr>
          <w:spacing w:val="25"/>
          <w:w w:val="105"/>
          <w:sz w:val="14"/>
        </w:rPr>
        <w:t xml:space="preserve"> </w:t>
      </w:r>
      <w:r w:rsidRPr="00283806">
        <w:rPr>
          <w:w w:val="105"/>
          <w:sz w:val="14"/>
        </w:rPr>
        <w:t>is</w:t>
      </w:r>
      <w:r w:rsidRPr="00283806">
        <w:rPr>
          <w:spacing w:val="25"/>
          <w:w w:val="105"/>
          <w:sz w:val="14"/>
        </w:rPr>
        <w:t xml:space="preserve"> </w:t>
      </w:r>
      <w:r w:rsidRPr="00283806">
        <w:rPr>
          <w:w w:val="105"/>
          <w:sz w:val="14"/>
        </w:rPr>
        <w:t>not</w:t>
      </w:r>
      <w:r w:rsidRPr="00283806">
        <w:rPr>
          <w:spacing w:val="25"/>
          <w:w w:val="105"/>
          <w:sz w:val="14"/>
        </w:rPr>
        <w:t xml:space="preserve"> </w:t>
      </w:r>
      <w:r w:rsidRPr="00283806">
        <w:rPr>
          <w:w w:val="105"/>
          <w:sz w:val="14"/>
        </w:rPr>
        <w:t>clear</w:t>
      </w:r>
      <w:r w:rsidRPr="00283806">
        <w:rPr>
          <w:spacing w:val="25"/>
          <w:w w:val="105"/>
          <w:sz w:val="14"/>
        </w:rPr>
        <w:t xml:space="preserve"> </w:t>
      </w:r>
      <w:r w:rsidRPr="00283806">
        <w:rPr>
          <w:w w:val="105"/>
          <w:sz w:val="14"/>
        </w:rPr>
        <w:t>whether</w:t>
      </w:r>
      <w:r w:rsidRPr="00283806">
        <w:rPr>
          <w:spacing w:val="25"/>
          <w:w w:val="105"/>
          <w:sz w:val="14"/>
        </w:rPr>
        <w:t xml:space="preserve"> </w:t>
      </w:r>
      <w:r w:rsidRPr="00283806">
        <w:rPr>
          <w:w w:val="105"/>
          <w:sz w:val="14"/>
        </w:rPr>
        <w:t>it</w:t>
      </w:r>
      <w:r w:rsidRPr="00283806">
        <w:rPr>
          <w:spacing w:val="25"/>
          <w:w w:val="105"/>
          <w:sz w:val="14"/>
        </w:rPr>
        <w:t xml:space="preserve"> </w:t>
      </w:r>
      <w:r w:rsidRPr="00283806">
        <w:rPr>
          <w:w w:val="105"/>
          <w:sz w:val="14"/>
        </w:rPr>
        <w:t>intends</w:t>
      </w:r>
      <w:r w:rsidRPr="00283806">
        <w:rPr>
          <w:spacing w:val="40"/>
          <w:w w:val="105"/>
          <w:sz w:val="14"/>
        </w:rPr>
        <w:t xml:space="preserve"> </w:t>
      </w:r>
      <w:r w:rsidRPr="00283806">
        <w:rPr>
          <w:w w:val="105"/>
          <w:sz w:val="14"/>
        </w:rPr>
        <w:t>to suggest that the commenter views these</w:t>
      </w:r>
      <w:r w:rsidRPr="00283806">
        <w:rPr>
          <w:spacing w:val="40"/>
          <w:w w:val="105"/>
          <w:sz w:val="14"/>
        </w:rPr>
        <w:t xml:space="preserve"> </w:t>
      </w:r>
      <w:r w:rsidRPr="00283806">
        <w:rPr>
          <w:w w:val="105"/>
          <w:sz w:val="14"/>
        </w:rPr>
        <w:t>provisions as an overreach of EPA’s authority or</w:t>
      </w:r>
      <w:r w:rsidRPr="00283806">
        <w:rPr>
          <w:spacing w:val="40"/>
          <w:w w:val="105"/>
          <w:sz w:val="14"/>
        </w:rPr>
        <w:t xml:space="preserve"> </w:t>
      </w:r>
      <w:r w:rsidRPr="00283806">
        <w:rPr>
          <w:w w:val="105"/>
          <w:sz w:val="14"/>
        </w:rPr>
        <w:t>rather is simply stating that there would be no need</w:t>
      </w:r>
      <w:r w:rsidRPr="00283806">
        <w:rPr>
          <w:spacing w:val="40"/>
          <w:w w:val="105"/>
          <w:sz w:val="14"/>
        </w:rPr>
        <w:t xml:space="preserve"> </w:t>
      </w:r>
      <w:r w:rsidRPr="00283806">
        <w:rPr>
          <w:w w:val="105"/>
          <w:sz w:val="14"/>
        </w:rPr>
        <w:t>to overreach EPA’s authority in this context</w:t>
      </w:r>
      <w:r w:rsidRPr="00283806">
        <w:rPr>
          <w:spacing w:val="80"/>
          <w:w w:val="105"/>
          <w:sz w:val="14"/>
        </w:rPr>
        <w:t xml:space="preserve"> </w:t>
      </w:r>
      <w:r w:rsidRPr="00283806">
        <w:rPr>
          <w:w w:val="105"/>
          <w:sz w:val="14"/>
        </w:rPr>
        <w:t>(without expressing any opinion as to whether the</w:t>
      </w:r>
      <w:r w:rsidRPr="00283806">
        <w:rPr>
          <w:spacing w:val="40"/>
          <w:w w:val="105"/>
          <w:sz w:val="14"/>
        </w:rPr>
        <w:t xml:space="preserve"> </w:t>
      </w:r>
      <w:r w:rsidRPr="00283806">
        <w:rPr>
          <w:w w:val="105"/>
          <w:sz w:val="14"/>
        </w:rPr>
        <w:t>proposed provisions did so), the commenter fails to</w:t>
      </w:r>
      <w:r w:rsidRPr="00283806">
        <w:rPr>
          <w:spacing w:val="40"/>
          <w:w w:val="105"/>
          <w:sz w:val="14"/>
        </w:rPr>
        <w:t xml:space="preserve"> </w:t>
      </w:r>
      <w:r w:rsidRPr="00283806">
        <w:rPr>
          <w:w w:val="105"/>
          <w:sz w:val="14"/>
        </w:rPr>
        <w:t>provide any reasoning or analysis that would</w:t>
      </w:r>
      <w:r w:rsidRPr="00283806">
        <w:rPr>
          <w:spacing w:val="40"/>
          <w:w w:val="105"/>
          <w:sz w:val="14"/>
        </w:rPr>
        <w:t xml:space="preserve"> </w:t>
      </w:r>
      <w:r w:rsidRPr="00283806">
        <w:rPr>
          <w:w w:val="105"/>
          <w:sz w:val="14"/>
        </w:rPr>
        <w:t>support an argument that these provisions exceed</w:t>
      </w:r>
    </w:p>
    <w:p w14:paraId="6DAE9626" w14:textId="77777777" w:rsidR="00D67C1E" w:rsidRPr="00283806" w:rsidRDefault="00D67C1E">
      <w:pPr>
        <w:spacing w:line="232" w:lineRule="auto"/>
        <w:rPr>
          <w:sz w:val="14"/>
        </w:rPr>
        <w:sectPr w:rsidR="00D67C1E" w:rsidRPr="00283806">
          <w:type w:val="continuous"/>
          <w:pgSz w:w="12240" w:h="15840"/>
          <w:pgMar w:top="880" w:right="780" w:bottom="280" w:left="740" w:header="627" w:footer="0" w:gutter="0"/>
          <w:cols w:num="3" w:space="720" w:equalWidth="0">
            <w:col w:w="3467" w:space="73"/>
            <w:col w:w="3497" w:space="43"/>
            <w:col w:w="3640"/>
          </w:cols>
        </w:sectPr>
      </w:pPr>
    </w:p>
    <w:p w14:paraId="5DC32464" w14:textId="77777777" w:rsidR="00D67C1E" w:rsidRPr="00283806" w:rsidRDefault="001265CA">
      <w:pPr>
        <w:pStyle w:val="BodyText"/>
        <w:tabs>
          <w:tab w:val="left" w:pos="3699"/>
          <w:tab w:val="left" w:pos="4699"/>
        </w:tabs>
        <w:spacing w:line="190" w:lineRule="exact"/>
      </w:pPr>
      <w:r w:rsidRPr="00283806">
        <w:rPr>
          <w:w w:val="105"/>
        </w:rPr>
        <w:t>reclamation</w:t>
      </w:r>
      <w:r w:rsidRPr="00283806">
        <w:rPr>
          <w:spacing w:val="8"/>
          <w:w w:val="105"/>
        </w:rPr>
        <w:t xml:space="preserve"> </w:t>
      </w:r>
      <w:r w:rsidRPr="00283806">
        <w:rPr>
          <w:w w:val="105"/>
        </w:rPr>
        <w:t>where</w:t>
      </w:r>
      <w:r w:rsidRPr="00283806">
        <w:rPr>
          <w:spacing w:val="8"/>
          <w:w w:val="105"/>
        </w:rPr>
        <w:t xml:space="preserve"> </w:t>
      </w:r>
      <w:r w:rsidRPr="00283806">
        <w:rPr>
          <w:w w:val="105"/>
        </w:rPr>
        <w:t>appropriate.</w:t>
      </w:r>
      <w:r w:rsidRPr="00283806">
        <w:rPr>
          <w:spacing w:val="9"/>
          <w:w w:val="105"/>
        </w:rPr>
        <w:t xml:space="preserve"> </w:t>
      </w:r>
      <w:r w:rsidRPr="00283806">
        <w:rPr>
          <w:spacing w:val="-5"/>
          <w:w w:val="105"/>
        </w:rPr>
        <w:t>The</w:t>
      </w:r>
      <w:r w:rsidRPr="00283806">
        <w:tab/>
      </w:r>
      <w:r w:rsidRPr="00283806">
        <w:rPr>
          <w:u w:val="single"/>
        </w:rPr>
        <w:tab/>
      </w:r>
    </w:p>
    <w:p w14:paraId="22580272" w14:textId="77777777" w:rsidR="00D67C1E" w:rsidRPr="00283806" w:rsidRDefault="001265CA">
      <w:pPr>
        <w:spacing w:line="70" w:lineRule="exact"/>
        <w:ind w:left="160"/>
        <w:rPr>
          <w:sz w:val="14"/>
        </w:rPr>
      </w:pPr>
      <w:r w:rsidRPr="00283806">
        <w:br w:type="column"/>
      </w:r>
      <w:r w:rsidRPr="00283806">
        <w:rPr>
          <w:w w:val="105"/>
          <w:sz w:val="14"/>
        </w:rPr>
        <w:t>EPA’s</w:t>
      </w:r>
      <w:r w:rsidRPr="00283806">
        <w:rPr>
          <w:spacing w:val="10"/>
          <w:w w:val="105"/>
          <w:sz w:val="14"/>
        </w:rPr>
        <w:t xml:space="preserve"> </w:t>
      </w:r>
      <w:r w:rsidRPr="00283806">
        <w:rPr>
          <w:w w:val="105"/>
          <w:sz w:val="14"/>
        </w:rPr>
        <w:t>authority</w:t>
      </w:r>
      <w:r w:rsidRPr="00283806">
        <w:rPr>
          <w:spacing w:val="11"/>
          <w:w w:val="105"/>
          <w:sz w:val="14"/>
        </w:rPr>
        <w:t xml:space="preserve"> </w:t>
      </w:r>
      <w:r w:rsidRPr="00283806">
        <w:rPr>
          <w:w w:val="105"/>
          <w:sz w:val="14"/>
        </w:rPr>
        <w:t>and</w:t>
      </w:r>
      <w:r w:rsidRPr="00283806">
        <w:rPr>
          <w:spacing w:val="11"/>
          <w:w w:val="105"/>
          <w:sz w:val="14"/>
        </w:rPr>
        <w:t xml:space="preserve"> </w:t>
      </w:r>
      <w:r w:rsidRPr="00283806">
        <w:rPr>
          <w:w w:val="105"/>
          <w:sz w:val="14"/>
        </w:rPr>
        <w:t>does</w:t>
      </w:r>
      <w:r w:rsidRPr="00283806">
        <w:rPr>
          <w:spacing w:val="11"/>
          <w:w w:val="105"/>
          <w:sz w:val="14"/>
        </w:rPr>
        <w:t xml:space="preserve"> </w:t>
      </w:r>
      <w:r w:rsidRPr="00283806">
        <w:rPr>
          <w:w w:val="105"/>
          <w:sz w:val="14"/>
        </w:rPr>
        <w:t>not</w:t>
      </w:r>
      <w:r w:rsidRPr="00283806">
        <w:rPr>
          <w:spacing w:val="11"/>
          <w:w w:val="105"/>
          <w:sz w:val="14"/>
        </w:rPr>
        <w:t xml:space="preserve"> </w:t>
      </w:r>
      <w:r w:rsidRPr="00283806">
        <w:rPr>
          <w:w w:val="105"/>
          <w:sz w:val="14"/>
        </w:rPr>
        <w:t>provide</w:t>
      </w:r>
      <w:r w:rsidRPr="00283806">
        <w:rPr>
          <w:spacing w:val="11"/>
          <w:w w:val="105"/>
          <w:sz w:val="14"/>
        </w:rPr>
        <w:t xml:space="preserve"> </w:t>
      </w:r>
      <w:r w:rsidRPr="00283806">
        <w:rPr>
          <w:spacing w:val="-5"/>
          <w:w w:val="105"/>
          <w:sz w:val="14"/>
        </w:rPr>
        <w:t>any</w:t>
      </w:r>
    </w:p>
    <w:p w14:paraId="25629B65" w14:textId="77777777" w:rsidR="00D67C1E" w:rsidRPr="00283806" w:rsidRDefault="001265CA">
      <w:pPr>
        <w:spacing w:line="120" w:lineRule="exact"/>
        <w:ind w:left="160"/>
        <w:rPr>
          <w:sz w:val="14"/>
        </w:rPr>
      </w:pPr>
      <w:r w:rsidRPr="00283806">
        <w:rPr>
          <w:w w:val="105"/>
          <w:sz w:val="14"/>
        </w:rPr>
        <w:t>explanation</w:t>
      </w:r>
      <w:r w:rsidRPr="00283806">
        <w:rPr>
          <w:spacing w:val="8"/>
          <w:w w:val="105"/>
          <w:sz w:val="14"/>
        </w:rPr>
        <w:t xml:space="preserve"> </w:t>
      </w:r>
      <w:r w:rsidRPr="00283806">
        <w:rPr>
          <w:w w:val="105"/>
          <w:sz w:val="14"/>
        </w:rPr>
        <w:t>for</w:t>
      </w:r>
      <w:r w:rsidRPr="00283806">
        <w:rPr>
          <w:spacing w:val="9"/>
          <w:w w:val="105"/>
          <w:sz w:val="14"/>
        </w:rPr>
        <w:t xml:space="preserve"> </w:t>
      </w:r>
      <w:r w:rsidRPr="00283806">
        <w:rPr>
          <w:w w:val="105"/>
          <w:sz w:val="14"/>
        </w:rPr>
        <w:t>why</w:t>
      </w:r>
      <w:r w:rsidRPr="00283806">
        <w:rPr>
          <w:spacing w:val="9"/>
          <w:w w:val="105"/>
          <w:sz w:val="14"/>
        </w:rPr>
        <w:t xml:space="preserve"> </w:t>
      </w:r>
      <w:r w:rsidRPr="00283806">
        <w:rPr>
          <w:w w:val="105"/>
          <w:sz w:val="14"/>
        </w:rPr>
        <w:t>it</w:t>
      </w:r>
      <w:r w:rsidRPr="00283806">
        <w:rPr>
          <w:spacing w:val="9"/>
          <w:w w:val="105"/>
          <w:sz w:val="14"/>
        </w:rPr>
        <w:t xml:space="preserve"> </w:t>
      </w:r>
      <w:r w:rsidRPr="00283806">
        <w:rPr>
          <w:w w:val="105"/>
          <w:sz w:val="14"/>
        </w:rPr>
        <w:t>disagrees</w:t>
      </w:r>
      <w:r w:rsidRPr="00283806">
        <w:rPr>
          <w:spacing w:val="9"/>
          <w:w w:val="105"/>
          <w:sz w:val="14"/>
        </w:rPr>
        <w:t xml:space="preserve"> </w:t>
      </w:r>
      <w:r w:rsidRPr="00283806">
        <w:rPr>
          <w:w w:val="105"/>
          <w:sz w:val="14"/>
        </w:rPr>
        <w:t>with</w:t>
      </w:r>
      <w:r w:rsidRPr="00283806">
        <w:rPr>
          <w:spacing w:val="8"/>
          <w:w w:val="105"/>
          <w:sz w:val="14"/>
        </w:rPr>
        <w:t xml:space="preserve"> </w:t>
      </w:r>
      <w:r w:rsidRPr="00283806">
        <w:rPr>
          <w:w w:val="105"/>
          <w:sz w:val="14"/>
        </w:rPr>
        <w:t>the</w:t>
      </w:r>
      <w:r w:rsidRPr="00283806">
        <w:rPr>
          <w:spacing w:val="9"/>
          <w:w w:val="105"/>
          <w:sz w:val="14"/>
        </w:rPr>
        <w:t xml:space="preserve"> </w:t>
      </w:r>
      <w:r w:rsidRPr="00283806">
        <w:rPr>
          <w:spacing w:val="-2"/>
          <w:w w:val="105"/>
          <w:sz w:val="14"/>
        </w:rPr>
        <w:t>discussion</w:t>
      </w:r>
    </w:p>
    <w:p w14:paraId="52F02C36" w14:textId="77777777" w:rsidR="00D67C1E" w:rsidRPr="00283806" w:rsidRDefault="00D67C1E">
      <w:pPr>
        <w:spacing w:line="120" w:lineRule="exact"/>
        <w:rPr>
          <w:sz w:val="14"/>
        </w:rPr>
        <w:sectPr w:rsidR="00D67C1E" w:rsidRPr="00283806">
          <w:type w:val="continuous"/>
          <w:pgSz w:w="12240" w:h="15840"/>
          <w:pgMar w:top="880" w:right="780" w:bottom="280" w:left="740" w:header="627" w:footer="0" w:gutter="0"/>
          <w:cols w:num="2" w:space="720" w:equalWidth="0">
            <w:col w:w="4740" w:space="2339"/>
            <w:col w:w="3641"/>
          </w:cols>
        </w:sectPr>
      </w:pPr>
    </w:p>
    <w:p w14:paraId="62DCE822" w14:textId="77777777" w:rsidR="00D67C1E" w:rsidRPr="00283806" w:rsidRDefault="001265CA">
      <w:pPr>
        <w:pStyle w:val="BodyText"/>
        <w:spacing w:before="9" w:line="228" w:lineRule="auto"/>
      </w:pPr>
      <w:r w:rsidRPr="00283806">
        <w:rPr>
          <w:w w:val="105"/>
        </w:rPr>
        <w:t>Agency considers fire suppression, with its long and successful history of using recycled HFCs, an appropriate</w:t>
      </w:r>
      <w:r w:rsidRPr="00283806">
        <w:rPr>
          <w:spacing w:val="40"/>
          <w:w w:val="105"/>
        </w:rPr>
        <w:t xml:space="preserve"> </w:t>
      </w:r>
      <w:r w:rsidRPr="00283806">
        <w:rPr>
          <w:w w:val="105"/>
        </w:rPr>
        <w:t>application for this requirement. As the phasedown</w:t>
      </w:r>
      <w:r w:rsidRPr="00283806">
        <w:rPr>
          <w:spacing w:val="27"/>
          <w:w w:val="105"/>
        </w:rPr>
        <w:t xml:space="preserve"> </w:t>
      </w:r>
      <w:r w:rsidRPr="00283806">
        <w:rPr>
          <w:w w:val="105"/>
        </w:rPr>
        <w:t>continues,</w:t>
      </w:r>
      <w:r w:rsidRPr="00283806">
        <w:rPr>
          <w:spacing w:val="27"/>
          <w:w w:val="105"/>
        </w:rPr>
        <w:t xml:space="preserve"> </w:t>
      </w:r>
      <w:r w:rsidRPr="00283806">
        <w:rPr>
          <w:w w:val="105"/>
        </w:rPr>
        <w:t>the</w:t>
      </w:r>
      <w:r w:rsidRPr="00283806">
        <w:rPr>
          <w:spacing w:val="27"/>
          <w:w w:val="105"/>
        </w:rPr>
        <w:t xml:space="preserve"> </w:t>
      </w:r>
      <w:r w:rsidRPr="00283806">
        <w:rPr>
          <w:w w:val="105"/>
        </w:rPr>
        <w:t>availability</w:t>
      </w:r>
      <w:r w:rsidRPr="00283806">
        <w:rPr>
          <w:spacing w:val="27"/>
          <w:w w:val="105"/>
        </w:rPr>
        <w:t xml:space="preserve"> </w:t>
      </w:r>
      <w:r w:rsidRPr="00283806">
        <w:rPr>
          <w:spacing w:val="-5"/>
          <w:w w:val="105"/>
        </w:rPr>
        <w:t>of</w:t>
      </w:r>
    </w:p>
    <w:p w14:paraId="4FC25C5B" w14:textId="70E8D2DE" w:rsidR="00D67C1E" w:rsidRPr="00283806" w:rsidRDefault="001265CA">
      <w:pPr>
        <w:spacing w:before="57" w:line="225" w:lineRule="auto"/>
        <w:ind w:left="143" w:right="71" w:firstLine="140"/>
        <w:rPr>
          <w:sz w:val="14"/>
        </w:rPr>
      </w:pPr>
      <w:r w:rsidRPr="00283806">
        <w:br w:type="column"/>
      </w:r>
      <w:r w:rsidRPr="00283806">
        <w:rPr>
          <w:w w:val="105"/>
          <w:position w:val="4"/>
          <w:sz w:val="9"/>
        </w:rPr>
        <w:t xml:space="preserve">128 </w:t>
      </w:r>
      <w:r w:rsidRPr="00283806">
        <w:rPr>
          <w:w w:val="105"/>
          <w:sz w:val="14"/>
        </w:rPr>
        <w:t>Regulation (EU) 2024/590 of the European</w:t>
      </w:r>
      <w:r w:rsidRPr="00283806">
        <w:rPr>
          <w:spacing w:val="40"/>
          <w:w w:val="105"/>
          <w:sz w:val="14"/>
        </w:rPr>
        <w:t xml:space="preserve"> </w:t>
      </w:r>
      <w:r w:rsidRPr="00283806">
        <w:rPr>
          <w:w w:val="105"/>
          <w:sz w:val="14"/>
        </w:rPr>
        <w:t>Parliament and of the Council of 7 February 2024</w:t>
      </w:r>
      <w:r w:rsidRPr="00283806">
        <w:rPr>
          <w:spacing w:val="80"/>
          <w:w w:val="105"/>
          <w:sz w:val="14"/>
        </w:rPr>
        <w:t xml:space="preserve"> </w:t>
      </w:r>
      <w:r w:rsidRPr="00283806">
        <w:rPr>
          <w:w w:val="105"/>
          <w:sz w:val="14"/>
        </w:rPr>
        <w:t>on substances that deplete the ozone layer, and</w:t>
      </w:r>
      <w:r w:rsidRPr="00283806">
        <w:rPr>
          <w:spacing w:val="40"/>
          <w:w w:val="105"/>
          <w:sz w:val="14"/>
        </w:rPr>
        <w:t xml:space="preserve"> </w:t>
      </w:r>
      <w:r w:rsidRPr="00283806">
        <w:rPr>
          <w:w w:val="105"/>
          <w:sz w:val="14"/>
        </w:rPr>
        <w:t>repealing Regulation (EC) No 1005/2009. Available</w:t>
      </w:r>
      <w:r w:rsidRPr="00283806">
        <w:rPr>
          <w:spacing w:val="40"/>
          <w:w w:val="105"/>
          <w:sz w:val="14"/>
        </w:rPr>
        <w:t xml:space="preserve"> </w:t>
      </w:r>
      <w:r w:rsidRPr="00283806">
        <w:rPr>
          <w:w w:val="105"/>
          <w:sz w:val="14"/>
        </w:rPr>
        <w:t xml:space="preserve">at </w:t>
      </w:r>
      <w:r w:rsidRPr="00283806">
        <w:rPr>
          <w:rFonts w:ascii="Book Antiqua" w:hAnsi="Book Antiqua"/>
          <w:i/>
          <w:w w:val="105"/>
          <w:sz w:val="14"/>
        </w:rPr>
        <w:t>https://eur-lex.europa.eu/legal-content/EN/TXT/</w:t>
      </w:r>
      <w:r w:rsidRPr="00283806">
        <w:rPr>
          <w:rFonts w:ascii="Book Antiqua" w:hAnsi="Book Antiqua"/>
          <w:i/>
          <w:spacing w:val="80"/>
          <w:w w:val="105"/>
          <w:sz w:val="14"/>
        </w:rPr>
        <w:t xml:space="preserve"> </w:t>
      </w:r>
      <w:r w:rsidRPr="00283806">
        <w:rPr>
          <w:rFonts w:ascii="Book Antiqua" w:hAnsi="Book Antiqua"/>
          <w:i/>
          <w:spacing w:val="-2"/>
          <w:w w:val="105"/>
          <w:sz w:val="14"/>
        </w:rPr>
        <w:t>PDF/?</w:t>
      </w:r>
      <w:proofErr w:type="spellStart"/>
      <w:r w:rsidRPr="00283806">
        <w:rPr>
          <w:rFonts w:ascii="Book Antiqua" w:hAnsi="Book Antiqua"/>
          <w:i/>
          <w:spacing w:val="-2"/>
          <w:w w:val="105"/>
          <w:sz w:val="14"/>
        </w:rPr>
        <w:t>uri</w:t>
      </w:r>
      <w:proofErr w:type="spellEnd"/>
      <w:r w:rsidRPr="00283806">
        <w:rPr>
          <w:rFonts w:ascii="Book Antiqua" w:hAnsi="Book Antiqua"/>
          <w:i/>
          <w:spacing w:val="-2"/>
          <w:w w:val="105"/>
          <w:sz w:val="14"/>
        </w:rPr>
        <w:t>=OJ:L</w:t>
      </w:r>
      <w:r w:rsidRPr="00283806">
        <w:rPr>
          <w:rFonts w:ascii="Symbol" w:hAnsi="Symbol"/>
          <w:spacing w:val="-2"/>
          <w:w w:val="105"/>
          <w:sz w:val="14"/>
        </w:rPr>
        <w:t></w:t>
      </w:r>
      <w:r w:rsidRPr="00283806">
        <w:rPr>
          <w:rFonts w:ascii="Book Antiqua" w:hAnsi="Book Antiqua"/>
          <w:i/>
          <w:spacing w:val="-2"/>
          <w:w w:val="105"/>
          <w:sz w:val="14"/>
        </w:rPr>
        <w:t>202400590</w:t>
      </w:r>
      <w:r w:rsidRPr="00283806">
        <w:rPr>
          <w:spacing w:val="-2"/>
          <w:w w:val="105"/>
          <w:sz w:val="14"/>
        </w:rPr>
        <w:t>.</w:t>
      </w:r>
    </w:p>
    <w:p w14:paraId="6E5E007F" w14:textId="77777777" w:rsidR="00D67C1E" w:rsidRPr="00283806" w:rsidRDefault="001265CA">
      <w:pPr>
        <w:spacing w:before="42" w:line="232" w:lineRule="auto"/>
        <w:ind w:left="160" w:right="174"/>
        <w:rPr>
          <w:sz w:val="14"/>
        </w:rPr>
      </w:pPr>
      <w:r w:rsidRPr="00283806">
        <w:br w:type="column"/>
      </w:r>
      <w:r w:rsidRPr="00283806">
        <w:rPr>
          <w:w w:val="105"/>
          <w:sz w:val="14"/>
        </w:rPr>
        <w:t>of authority for these provisions that EPA provided</w:t>
      </w:r>
      <w:r w:rsidRPr="00283806">
        <w:rPr>
          <w:spacing w:val="40"/>
          <w:w w:val="105"/>
          <w:sz w:val="14"/>
        </w:rPr>
        <w:t xml:space="preserve"> </w:t>
      </w:r>
      <w:r w:rsidRPr="00283806">
        <w:rPr>
          <w:w w:val="105"/>
          <w:sz w:val="14"/>
        </w:rPr>
        <w:t>in the proposal. Accordingly, even if the comment</w:t>
      </w:r>
      <w:r w:rsidRPr="00283806">
        <w:rPr>
          <w:spacing w:val="40"/>
          <w:w w:val="105"/>
          <w:sz w:val="14"/>
        </w:rPr>
        <w:t xml:space="preserve"> </w:t>
      </w:r>
      <w:r w:rsidRPr="00283806">
        <w:rPr>
          <w:w w:val="105"/>
          <w:sz w:val="14"/>
        </w:rPr>
        <w:t>does intend to challenge EPA’s authority for the fire</w:t>
      </w:r>
      <w:r w:rsidRPr="00283806">
        <w:rPr>
          <w:spacing w:val="40"/>
          <w:w w:val="105"/>
          <w:sz w:val="14"/>
        </w:rPr>
        <w:t xml:space="preserve"> </w:t>
      </w:r>
      <w:r w:rsidRPr="00283806">
        <w:rPr>
          <w:w w:val="105"/>
          <w:sz w:val="14"/>
        </w:rPr>
        <w:t>suppression provisions, those points are addressed</w:t>
      </w:r>
      <w:r w:rsidRPr="00283806">
        <w:rPr>
          <w:spacing w:val="40"/>
          <w:w w:val="105"/>
          <w:sz w:val="14"/>
        </w:rPr>
        <w:t xml:space="preserve"> </w:t>
      </w:r>
      <w:r w:rsidRPr="00283806">
        <w:rPr>
          <w:w w:val="105"/>
          <w:sz w:val="14"/>
        </w:rPr>
        <w:t>by</w:t>
      </w:r>
      <w:r w:rsidRPr="00283806">
        <w:rPr>
          <w:spacing w:val="32"/>
          <w:w w:val="105"/>
          <w:sz w:val="14"/>
        </w:rPr>
        <w:t xml:space="preserve"> </w:t>
      </w:r>
      <w:r w:rsidRPr="00283806">
        <w:rPr>
          <w:w w:val="105"/>
          <w:sz w:val="14"/>
        </w:rPr>
        <w:t>EPA’s</w:t>
      </w:r>
      <w:r w:rsidRPr="00283806">
        <w:rPr>
          <w:spacing w:val="32"/>
          <w:w w:val="105"/>
          <w:sz w:val="14"/>
        </w:rPr>
        <w:t xml:space="preserve"> </w:t>
      </w:r>
      <w:r w:rsidRPr="00283806">
        <w:rPr>
          <w:w w:val="105"/>
          <w:sz w:val="14"/>
        </w:rPr>
        <w:t>discussion</w:t>
      </w:r>
      <w:r w:rsidRPr="00283806">
        <w:rPr>
          <w:spacing w:val="32"/>
          <w:w w:val="105"/>
          <w:sz w:val="14"/>
        </w:rPr>
        <w:t xml:space="preserve"> </w:t>
      </w:r>
      <w:r w:rsidRPr="00283806">
        <w:rPr>
          <w:w w:val="105"/>
          <w:sz w:val="14"/>
        </w:rPr>
        <w:t>of</w:t>
      </w:r>
      <w:r w:rsidRPr="00283806">
        <w:rPr>
          <w:spacing w:val="32"/>
          <w:w w:val="105"/>
          <w:sz w:val="14"/>
        </w:rPr>
        <w:t xml:space="preserve"> </w:t>
      </w:r>
      <w:r w:rsidRPr="00283806">
        <w:rPr>
          <w:w w:val="105"/>
          <w:sz w:val="14"/>
        </w:rPr>
        <w:t>its</w:t>
      </w:r>
      <w:r w:rsidRPr="00283806">
        <w:rPr>
          <w:spacing w:val="32"/>
          <w:w w:val="105"/>
          <w:sz w:val="14"/>
        </w:rPr>
        <w:t xml:space="preserve"> </w:t>
      </w:r>
      <w:r w:rsidRPr="00283806">
        <w:rPr>
          <w:w w:val="105"/>
          <w:sz w:val="14"/>
        </w:rPr>
        <w:t>authority</w:t>
      </w:r>
      <w:r w:rsidRPr="00283806">
        <w:rPr>
          <w:spacing w:val="32"/>
          <w:w w:val="105"/>
          <w:sz w:val="14"/>
        </w:rPr>
        <w:t xml:space="preserve"> </w:t>
      </w:r>
      <w:r w:rsidRPr="00283806">
        <w:rPr>
          <w:w w:val="105"/>
          <w:sz w:val="14"/>
        </w:rPr>
        <w:t>elsewhere</w:t>
      </w:r>
      <w:r w:rsidRPr="00283806">
        <w:rPr>
          <w:spacing w:val="32"/>
          <w:w w:val="105"/>
          <w:sz w:val="14"/>
        </w:rPr>
        <w:t xml:space="preserve"> </w:t>
      </w:r>
      <w:r w:rsidRPr="00283806">
        <w:rPr>
          <w:w w:val="105"/>
          <w:sz w:val="14"/>
        </w:rPr>
        <w:t>in</w:t>
      </w:r>
      <w:r w:rsidRPr="00283806">
        <w:rPr>
          <w:spacing w:val="40"/>
          <w:w w:val="105"/>
          <w:sz w:val="14"/>
        </w:rPr>
        <w:t xml:space="preserve"> </w:t>
      </w:r>
      <w:r w:rsidRPr="00283806">
        <w:rPr>
          <w:w w:val="105"/>
          <w:sz w:val="14"/>
        </w:rPr>
        <w:t>this section and no further response is needed.</w:t>
      </w:r>
    </w:p>
    <w:p w14:paraId="2746087E" w14:textId="77777777" w:rsidR="00D67C1E" w:rsidRPr="00283806" w:rsidRDefault="00D67C1E">
      <w:pPr>
        <w:spacing w:line="232" w:lineRule="auto"/>
        <w:rPr>
          <w:sz w:val="14"/>
        </w:rPr>
        <w:sectPr w:rsidR="00D67C1E" w:rsidRPr="00283806">
          <w:type w:val="continuous"/>
          <w:pgSz w:w="12240" w:h="15840"/>
          <w:pgMar w:top="880" w:right="780" w:bottom="280" w:left="740" w:header="627" w:footer="0" w:gutter="0"/>
          <w:cols w:num="3" w:space="720" w:equalWidth="0">
            <w:col w:w="3517" w:space="40"/>
            <w:col w:w="3482" w:space="41"/>
            <w:col w:w="3640"/>
          </w:cols>
        </w:sectPr>
      </w:pPr>
    </w:p>
    <w:p w14:paraId="44C08318" w14:textId="77777777" w:rsidR="00D67C1E" w:rsidRPr="00283806" w:rsidRDefault="001265CA">
      <w:pPr>
        <w:pStyle w:val="BodyText"/>
        <w:spacing w:before="136" w:line="225" w:lineRule="auto"/>
        <w:ind w:right="60"/>
      </w:pPr>
      <w:r w:rsidRPr="00283806">
        <w:rPr>
          <w:w w:val="105"/>
        </w:rPr>
        <w:lastRenderedPageBreak/>
        <w:t>exceptions</w:t>
      </w:r>
      <w:r w:rsidRPr="00283806">
        <w:rPr>
          <w:spacing w:val="40"/>
          <w:w w:val="105"/>
        </w:rPr>
        <w:t xml:space="preserve"> </w:t>
      </w:r>
      <w:r w:rsidRPr="00283806">
        <w:rPr>
          <w:w w:val="105"/>
        </w:rPr>
        <w:t>discussed</w:t>
      </w:r>
      <w:r w:rsidRPr="00283806">
        <w:rPr>
          <w:spacing w:val="40"/>
          <w:w w:val="105"/>
        </w:rPr>
        <w:t xml:space="preserve"> </w:t>
      </w:r>
      <w:r w:rsidRPr="00283806">
        <w:rPr>
          <w:w w:val="105"/>
        </w:rPr>
        <w:t>in</w:t>
      </w:r>
      <w:r w:rsidRPr="00283806">
        <w:rPr>
          <w:spacing w:val="40"/>
          <w:w w:val="105"/>
        </w:rPr>
        <w:t xml:space="preserve"> </w:t>
      </w:r>
      <w:r w:rsidRPr="00283806">
        <w:rPr>
          <w:w w:val="105"/>
        </w:rPr>
        <w:t>section</w:t>
      </w:r>
      <w:r w:rsidRPr="00283806">
        <w:rPr>
          <w:spacing w:val="40"/>
          <w:w w:val="105"/>
        </w:rPr>
        <w:t xml:space="preserve"> </w:t>
      </w:r>
      <w:r w:rsidRPr="00283806">
        <w:rPr>
          <w:w w:val="105"/>
        </w:rPr>
        <w:t>IV.F, fire suppression equipment installed in the United States will be required to</w:t>
      </w:r>
      <w:r w:rsidRPr="00283806">
        <w:rPr>
          <w:spacing w:val="40"/>
          <w:w w:val="105"/>
        </w:rPr>
        <w:t xml:space="preserve"> </w:t>
      </w:r>
      <w:r w:rsidRPr="00283806">
        <w:rPr>
          <w:w w:val="105"/>
        </w:rPr>
        <w:t>meet the requirements the Agency is finalizing in this action. The comments regarding RACA are beyond the scope of this action and thus require no further response because EPA has proposed no changes to the RACA requirements of process. However, for purposes of providing information to regulated entities, EPA notes that whether fire suppression equipment may qualify for the RACA process depends on whether the equipment meets the definition of bulk in 40 CFR 84.3, which EPA is not reopening or revisiting through this rulemaking. For the purposes of 40 CFR part 84, subpart A, system cylinders,</w:t>
      </w:r>
      <w:r w:rsidRPr="00283806">
        <w:rPr>
          <w:spacing w:val="40"/>
          <w:w w:val="105"/>
        </w:rPr>
        <w:t xml:space="preserve"> </w:t>
      </w:r>
      <w:r w:rsidRPr="00283806">
        <w:rPr>
          <w:w w:val="105"/>
        </w:rPr>
        <w:t>such as those used in total flooding systems are bulk substances and may be eligible</w:t>
      </w:r>
      <w:r w:rsidRPr="00283806">
        <w:rPr>
          <w:spacing w:val="40"/>
          <w:w w:val="105"/>
        </w:rPr>
        <w:t xml:space="preserve"> </w:t>
      </w:r>
      <w:r w:rsidRPr="00283806">
        <w:rPr>
          <w:w w:val="105"/>
        </w:rPr>
        <w:t>for</w:t>
      </w:r>
      <w:r w:rsidRPr="00283806">
        <w:rPr>
          <w:spacing w:val="40"/>
          <w:w w:val="105"/>
        </w:rPr>
        <w:t xml:space="preserve"> </w:t>
      </w:r>
      <w:r w:rsidRPr="00283806">
        <w:rPr>
          <w:w w:val="105"/>
        </w:rPr>
        <w:t>the</w:t>
      </w:r>
      <w:r w:rsidRPr="00283806">
        <w:rPr>
          <w:spacing w:val="40"/>
          <w:w w:val="105"/>
        </w:rPr>
        <w:t xml:space="preserve"> </w:t>
      </w:r>
      <w:r w:rsidRPr="00283806">
        <w:rPr>
          <w:w w:val="105"/>
        </w:rPr>
        <w:t>RACA</w:t>
      </w:r>
      <w:r w:rsidRPr="00283806">
        <w:rPr>
          <w:spacing w:val="40"/>
          <w:w w:val="105"/>
        </w:rPr>
        <w:t xml:space="preserve"> </w:t>
      </w:r>
      <w:r w:rsidRPr="00283806">
        <w:rPr>
          <w:w w:val="105"/>
        </w:rPr>
        <w:t>process.</w:t>
      </w:r>
      <w:r w:rsidRPr="00283806">
        <w:rPr>
          <w:spacing w:val="40"/>
          <w:w w:val="105"/>
        </w:rPr>
        <w:t xml:space="preserve"> </w:t>
      </w:r>
      <w:r w:rsidRPr="00283806">
        <w:rPr>
          <w:w w:val="105"/>
        </w:rPr>
        <w:t>A portable fire extinguisher, in contrast, is not considered a bulk regulated substance because it contains a dispensing apparatus and may be used without transferring the contained regulated substance to another</w:t>
      </w:r>
      <w:r w:rsidRPr="00283806">
        <w:rPr>
          <w:spacing w:val="40"/>
          <w:w w:val="105"/>
        </w:rPr>
        <w:t xml:space="preserve"> </w:t>
      </w:r>
      <w:r w:rsidRPr="00283806">
        <w:rPr>
          <w:w w:val="105"/>
        </w:rPr>
        <w:t>container. These portable fire extinguishers are products and are not eligible for the RACA process.</w:t>
      </w:r>
    </w:p>
    <w:p w14:paraId="287207D6" w14:textId="77777777" w:rsidR="00D67C1E" w:rsidRPr="00283806" w:rsidRDefault="001265CA">
      <w:pPr>
        <w:pStyle w:val="BodyText"/>
        <w:spacing w:line="183" w:lineRule="exact"/>
      </w:pPr>
      <w:r w:rsidRPr="00283806">
        <w:rPr>
          <w:w w:val="105"/>
        </w:rPr>
        <w:t>Furthermore,</w:t>
      </w:r>
      <w:r w:rsidRPr="00283806">
        <w:rPr>
          <w:spacing w:val="19"/>
          <w:w w:val="105"/>
        </w:rPr>
        <w:t xml:space="preserve"> </w:t>
      </w:r>
      <w:r w:rsidRPr="00283806">
        <w:rPr>
          <w:w w:val="105"/>
        </w:rPr>
        <w:t>RACAs</w:t>
      </w:r>
      <w:r w:rsidRPr="00283806">
        <w:rPr>
          <w:spacing w:val="20"/>
          <w:w w:val="105"/>
        </w:rPr>
        <w:t xml:space="preserve"> </w:t>
      </w:r>
      <w:r w:rsidRPr="00283806">
        <w:rPr>
          <w:w w:val="105"/>
        </w:rPr>
        <w:t>are</w:t>
      </w:r>
      <w:r w:rsidRPr="00283806">
        <w:rPr>
          <w:spacing w:val="20"/>
          <w:w w:val="105"/>
        </w:rPr>
        <w:t xml:space="preserve"> </w:t>
      </w:r>
      <w:r w:rsidRPr="00283806">
        <w:rPr>
          <w:w w:val="105"/>
        </w:rPr>
        <w:t>not</w:t>
      </w:r>
      <w:r w:rsidRPr="00283806">
        <w:rPr>
          <w:spacing w:val="19"/>
          <w:w w:val="105"/>
        </w:rPr>
        <w:t xml:space="preserve"> </w:t>
      </w:r>
      <w:r w:rsidRPr="00283806">
        <w:rPr>
          <w:w w:val="105"/>
        </w:rPr>
        <w:t>limited</w:t>
      </w:r>
      <w:r w:rsidRPr="00283806">
        <w:rPr>
          <w:spacing w:val="20"/>
          <w:w w:val="105"/>
        </w:rPr>
        <w:t xml:space="preserve"> </w:t>
      </w:r>
      <w:r w:rsidRPr="00283806">
        <w:rPr>
          <w:spacing w:val="-5"/>
          <w:w w:val="105"/>
        </w:rPr>
        <w:t>to</w:t>
      </w:r>
    </w:p>
    <w:p w14:paraId="39A36799" w14:textId="77777777" w:rsidR="00D67C1E" w:rsidRPr="00283806" w:rsidRDefault="001265CA">
      <w:pPr>
        <w:pStyle w:val="BodyText"/>
        <w:spacing w:before="4" w:line="225" w:lineRule="auto"/>
        <w:ind w:right="93"/>
      </w:pPr>
      <w:r w:rsidRPr="00283806">
        <w:rPr>
          <w:w w:val="105"/>
        </w:rPr>
        <w:t>virgin HFCs—additional consumption allowances may be requested in general for verified exports of any bulk</w:t>
      </w:r>
      <w:r w:rsidRPr="00283806">
        <w:rPr>
          <w:spacing w:val="40"/>
          <w:w w:val="105"/>
        </w:rPr>
        <w:t xml:space="preserve"> </w:t>
      </w:r>
      <w:r w:rsidRPr="00283806">
        <w:rPr>
          <w:w w:val="105"/>
        </w:rPr>
        <w:t>regulated substance.</w:t>
      </w:r>
    </w:p>
    <w:p w14:paraId="4CCA1DAA" w14:textId="77777777" w:rsidR="00D67C1E" w:rsidRPr="00283806" w:rsidRDefault="001265CA">
      <w:pPr>
        <w:pStyle w:val="BodyText"/>
        <w:spacing w:line="179" w:lineRule="exact"/>
        <w:ind w:left="340"/>
      </w:pPr>
      <w:r w:rsidRPr="00283806">
        <w:rPr>
          <w:w w:val="110"/>
        </w:rPr>
        <w:t>EPA</w:t>
      </w:r>
      <w:r w:rsidRPr="00283806">
        <w:rPr>
          <w:spacing w:val="-8"/>
          <w:w w:val="110"/>
        </w:rPr>
        <w:t xml:space="preserve"> </w:t>
      </w:r>
      <w:r w:rsidRPr="00283806">
        <w:rPr>
          <w:w w:val="110"/>
        </w:rPr>
        <w:t>proposed</w:t>
      </w:r>
      <w:r w:rsidRPr="00283806">
        <w:rPr>
          <w:spacing w:val="-8"/>
          <w:w w:val="110"/>
        </w:rPr>
        <w:t xml:space="preserve"> </w:t>
      </w:r>
      <w:r w:rsidRPr="00283806">
        <w:rPr>
          <w:w w:val="110"/>
        </w:rPr>
        <w:t>a</w:t>
      </w:r>
      <w:r w:rsidRPr="00283806">
        <w:rPr>
          <w:spacing w:val="-7"/>
          <w:w w:val="110"/>
        </w:rPr>
        <w:t xml:space="preserve"> </w:t>
      </w:r>
      <w:r w:rsidRPr="00283806">
        <w:rPr>
          <w:w w:val="110"/>
        </w:rPr>
        <w:t>compliance</w:t>
      </w:r>
      <w:r w:rsidRPr="00283806">
        <w:rPr>
          <w:spacing w:val="-8"/>
          <w:w w:val="110"/>
        </w:rPr>
        <w:t xml:space="preserve"> </w:t>
      </w:r>
      <w:r w:rsidRPr="00283806">
        <w:rPr>
          <w:w w:val="110"/>
        </w:rPr>
        <w:t>date</w:t>
      </w:r>
      <w:r w:rsidRPr="00283806">
        <w:rPr>
          <w:spacing w:val="-7"/>
          <w:w w:val="110"/>
        </w:rPr>
        <w:t xml:space="preserve"> </w:t>
      </w:r>
      <w:r w:rsidRPr="00283806">
        <w:rPr>
          <w:spacing w:val="-5"/>
          <w:w w:val="110"/>
        </w:rPr>
        <w:t>of</w:t>
      </w:r>
    </w:p>
    <w:p w14:paraId="00E0EEBC" w14:textId="77777777" w:rsidR="00D67C1E" w:rsidRPr="00283806" w:rsidRDefault="001265CA">
      <w:pPr>
        <w:pStyle w:val="BodyText"/>
        <w:spacing w:before="3" w:line="225" w:lineRule="auto"/>
        <w:ind w:right="22"/>
      </w:pPr>
      <w:r w:rsidRPr="00283806">
        <w:rPr>
          <w:w w:val="105"/>
        </w:rPr>
        <w:t>January 1, 2025, for the initial</w:t>
      </w:r>
      <w:r w:rsidRPr="00283806">
        <w:rPr>
          <w:spacing w:val="80"/>
          <w:w w:val="105"/>
        </w:rPr>
        <w:t xml:space="preserve"> </w:t>
      </w:r>
      <w:r w:rsidRPr="00283806">
        <w:rPr>
          <w:w w:val="105"/>
        </w:rPr>
        <w:t>installation of fire suppression</w:t>
      </w:r>
      <w:r w:rsidRPr="00283806">
        <w:rPr>
          <w:spacing w:val="40"/>
          <w:w w:val="105"/>
        </w:rPr>
        <w:t xml:space="preserve"> </w:t>
      </w:r>
      <w:r w:rsidRPr="00283806">
        <w:rPr>
          <w:w w:val="105"/>
        </w:rPr>
        <w:t xml:space="preserve">equipment with recycled </w:t>
      </w:r>
      <w:proofErr w:type="gramStart"/>
      <w:r w:rsidRPr="00283806">
        <w:rPr>
          <w:w w:val="105"/>
        </w:rPr>
        <w:t>HFCs, and</w:t>
      </w:r>
      <w:proofErr w:type="gramEnd"/>
      <w:r w:rsidRPr="00283806">
        <w:rPr>
          <w:w w:val="105"/>
        </w:rPr>
        <w:t xml:space="preserve"> also considered other potential compliance dates.</w:t>
      </w:r>
      <w:r w:rsidRPr="00283806">
        <w:rPr>
          <w:spacing w:val="27"/>
          <w:w w:val="105"/>
        </w:rPr>
        <w:t xml:space="preserve"> </w:t>
      </w:r>
      <w:r w:rsidRPr="00283806">
        <w:rPr>
          <w:w w:val="105"/>
        </w:rPr>
        <w:t>In</w:t>
      </w:r>
      <w:r w:rsidRPr="00283806">
        <w:rPr>
          <w:spacing w:val="27"/>
          <w:w w:val="105"/>
        </w:rPr>
        <w:t xml:space="preserve"> </w:t>
      </w:r>
      <w:r w:rsidRPr="00283806">
        <w:rPr>
          <w:w w:val="105"/>
        </w:rPr>
        <w:t>this</w:t>
      </w:r>
      <w:r w:rsidRPr="00283806">
        <w:rPr>
          <w:spacing w:val="27"/>
          <w:w w:val="105"/>
        </w:rPr>
        <w:t xml:space="preserve"> </w:t>
      </w:r>
      <w:r w:rsidRPr="00283806">
        <w:rPr>
          <w:w w:val="105"/>
        </w:rPr>
        <w:t>final</w:t>
      </w:r>
      <w:r w:rsidRPr="00283806">
        <w:rPr>
          <w:spacing w:val="27"/>
          <w:w w:val="105"/>
        </w:rPr>
        <w:t xml:space="preserve"> </w:t>
      </w:r>
      <w:r w:rsidRPr="00283806">
        <w:rPr>
          <w:w w:val="105"/>
        </w:rPr>
        <w:t>rule,</w:t>
      </w:r>
      <w:r w:rsidRPr="00283806">
        <w:rPr>
          <w:spacing w:val="27"/>
          <w:w w:val="105"/>
        </w:rPr>
        <w:t xml:space="preserve"> </w:t>
      </w:r>
      <w:r w:rsidRPr="00283806">
        <w:rPr>
          <w:w w:val="105"/>
        </w:rPr>
        <w:t>the</w:t>
      </w:r>
      <w:r w:rsidRPr="00283806">
        <w:rPr>
          <w:spacing w:val="27"/>
          <w:w w:val="105"/>
        </w:rPr>
        <w:t xml:space="preserve"> </w:t>
      </w:r>
      <w:r w:rsidRPr="00283806">
        <w:rPr>
          <w:w w:val="105"/>
        </w:rPr>
        <w:t>Agency</w:t>
      </w:r>
      <w:r w:rsidRPr="00283806">
        <w:rPr>
          <w:spacing w:val="27"/>
          <w:w w:val="105"/>
        </w:rPr>
        <w:t xml:space="preserve"> </w:t>
      </w:r>
      <w:r w:rsidRPr="00283806">
        <w:rPr>
          <w:w w:val="105"/>
        </w:rPr>
        <w:t>sets a</w:t>
      </w:r>
      <w:r w:rsidRPr="00283806">
        <w:rPr>
          <w:spacing w:val="39"/>
          <w:w w:val="105"/>
        </w:rPr>
        <w:t xml:space="preserve"> </w:t>
      </w:r>
      <w:r w:rsidRPr="00283806">
        <w:rPr>
          <w:w w:val="105"/>
        </w:rPr>
        <w:t>compliance</w:t>
      </w:r>
      <w:r w:rsidRPr="00283806">
        <w:rPr>
          <w:spacing w:val="39"/>
          <w:w w:val="105"/>
        </w:rPr>
        <w:t xml:space="preserve"> </w:t>
      </w:r>
      <w:r w:rsidRPr="00283806">
        <w:rPr>
          <w:w w:val="105"/>
        </w:rPr>
        <w:t>date</w:t>
      </w:r>
      <w:r w:rsidRPr="00283806">
        <w:rPr>
          <w:spacing w:val="39"/>
          <w:w w:val="105"/>
        </w:rPr>
        <w:t xml:space="preserve"> </w:t>
      </w:r>
      <w:r w:rsidRPr="00283806">
        <w:rPr>
          <w:w w:val="105"/>
        </w:rPr>
        <w:t>of</w:t>
      </w:r>
      <w:r w:rsidRPr="00283806">
        <w:rPr>
          <w:spacing w:val="39"/>
          <w:w w:val="105"/>
        </w:rPr>
        <w:t xml:space="preserve"> </w:t>
      </w:r>
      <w:r w:rsidRPr="00283806">
        <w:rPr>
          <w:w w:val="105"/>
        </w:rPr>
        <w:t>January</w:t>
      </w:r>
      <w:r w:rsidRPr="00283806">
        <w:rPr>
          <w:spacing w:val="39"/>
          <w:w w:val="105"/>
        </w:rPr>
        <w:t xml:space="preserve"> </w:t>
      </w:r>
      <w:r w:rsidRPr="00283806">
        <w:rPr>
          <w:w w:val="105"/>
        </w:rPr>
        <w:t>1,</w:t>
      </w:r>
      <w:r w:rsidRPr="00283806">
        <w:rPr>
          <w:spacing w:val="39"/>
          <w:w w:val="105"/>
        </w:rPr>
        <w:t xml:space="preserve"> </w:t>
      </w:r>
      <w:r w:rsidRPr="00283806">
        <w:rPr>
          <w:w w:val="105"/>
        </w:rPr>
        <w:t xml:space="preserve">2030, for the initial installation of fire suppression equipment with recycled </w:t>
      </w:r>
      <w:r w:rsidRPr="00283806">
        <w:rPr>
          <w:spacing w:val="-2"/>
          <w:w w:val="105"/>
        </w:rPr>
        <w:t>HFCs.</w:t>
      </w:r>
    </w:p>
    <w:p w14:paraId="50334BF5" w14:textId="77777777" w:rsidR="00D67C1E" w:rsidRPr="00283806" w:rsidRDefault="001265CA">
      <w:pPr>
        <w:pStyle w:val="BodyText"/>
        <w:spacing w:line="213" w:lineRule="auto"/>
        <w:ind w:firstLine="180"/>
      </w:pPr>
      <w:r w:rsidRPr="00283806">
        <w:rPr>
          <w:rFonts w:ascii="Book Antiqua"/>
          <w:i/>
          <w:w w:val="105"/>
        </w:rPr>
        <w:t xml:space="preserve">Comment: </w:t>
      </w:r>
      <w:r w:rsidRPr="00283806">
        <w:rPr>
          <w:w w:val="105"/>
        </w:rPr>
        <w:t>One commenter stated that the</w:t>
      </w:r>
      <w:r w:rsidRPr="00283806">
        <w:rPr>
          <w:spacing w:val="13"/>
          <w:w w:val="105"/>
        </w:rPr>
        <w:t xml:space="preserve"> </w:t>
      </w:r>
      <w:r w:rsidRPr="00283806">
        <w:rPr>
          <w:w w:val="105"/>
        </w:rPr>
        <w:t>compliance</w:t>
      </w:r>
      <w:r w:rsidRPr="00283806">
        <w:rPr>
          <w:spacing w:val="13"/>
          <w:w w:val="105"/>
        </w:rPr>
        <w:t xml:space="preserve"> </w:t>
      </w:r>
      <w:r w:rsidRPr="00283806">
        <w:rPr>
          <w:w w:val="105"/>
        </w:rPr>
        <w:t>date</w:t>
      </w:r>
      <w:r w:rsidRPr="00283806">
        <w:rPr>
          <w:spacing w:val="13"/>
          <w:w w:val="105"/>
        </w:rPr>
        <w:t xml:space="preserve"> </w:t>
      </w:r>
      <w:r w:rsidRPr="00283806">
        <w:rPr>
          <w:w w:val="105"/>
        </w:rPr>
        <w:t>of</w:t>
      </w:r>
      <w:r w:rsidRPr="00283806">
        <w:rPr>
          <w:spacing w:val="13"/>
          <w:w w:val="105"/>
        </w:rPr>
        <w:t xml:space="preserve"> </w:t>
      </w:r>
      <w:r w:rsidRPr="00283806">
        <w:rPr>
          <w:w w:val="105"/>
        </w:rPr>
        <w:t>January</w:t>
      </w:r>
      <w:r w:rsidRPr="00283806">
        <w:rPr>
          <w:spacing w:val="13"/>
          <w:w w:val="105"/>
        </w:rPr>
        <w:t xml:space="preserve"> </w:t>
      </w:r>
      <w:r w:rsidRPr="00283806">
        <w:rPr>
          <w:w w:val="105"/>
        </w:rPr>
        <w:t>1,</w:t>
      </w:r>
      <w:r w:rsidRPr="00283806">
        <w:rPr>
          <w:spacing w:val="13"/>
          <w:w w:val="105"/>
        </w:rPr>
        <w:t xml:space="preserve"> </w:t>
      </w:r>
      <w:r w:rsidRPr="00283806">
        <w:rPr>
          <w:spacing w:val="-2"/>
          <w:w w:val="105"/>
        </w:rPr>
        <w:t>2025,</w:t>
      </w:r>
    </w:p>
    <w:p w14:paraId="5AF5CF8B" w14:textId="77777777" w:rsidR="00D67C1E" w:rsidRPr="00283806" w:rsidRDefault="001265CA">
      <w:pPr>
        <w:pStyle w:val="BodyText"/>
        <w:spacing w:line="225" w:lineRule="auto"/>
        <w:ind w:right="60"/>
      </w:pPr>
      <w:r w:rsidRPr="00283806">
        <w:rPr>
          <w:w w:val="105"/>
        </w:rPr>
        <w:t>is feasible given the sector’s overall comparatively small volumes of</w:t>
      </w:r>
      <w:r w:rsidRPr="00283806">
        <w:rPr>
          <w:spacing w:val="80"/>
          <w:w w:val="105"/>
        </w:rPr>
        <w:t xml:space="preserve"> </w:t>
      </w:r>
      <w:r w:rsidRPr="00283806">
        <w:rPr>
          <w:w w:val="105"/>
        </w:rPr>
        <w:t>material, as well as existing infrastructure and practices regarding the use of reclaimed material, which already makes up a significant percentage of overall volumes. A few commenters expressed concern regarding the January 1, 2025, start date for the requirement for the use of recycled HFCs for the initial installation of fire suppression equipment.</w:t>
      </w:r>
    </w:p>
    <w:p w14:paraId="2327EF20" w14:textId="77777777" w:rsidR="00D67C1E" w:rsidRPr="00283806" w:rsidRDefault="001265CA">
      <w:pPr>
        <w:pStyle w:val="BodyText"/>
        <w:spacing w:line="179" w:lineRule="exact"/>
        <w:ind w:left="340"/>
      </w:pPr>
      <w:r w:rsidRPr="00283806">
        <w:rPr>
          <w:w w:val="105"/>
        </w:rPr>
        <w:t>One</w:t>
      </w:r>
      <w:r w:rsidRPr="00283806">
        <w:rPr>
          <w:spacing w:val="6"/>
          <w:w w:val="105"/>
        </w:rPr>
        <w:t xml:space="preserve"> </w:t>
      </w:r>
      <w:r w:rsidRPr="00283806">
        <w:rPr>
          <w:w w:val="105"/>
        </w:rPr>
        <w:t>commenter</w:t>
      </w:r>
      <w:r w:rsidRPr="00283806">
        <w:rPr>
          <w:spacing w:val="6"/>
          <w:w w:val="105"/>
        </w:rPr>
        <w:t xml:space="preserve"> </w:t>
      </w:r>
      <w:r w:rsidRPr="00283806">
        <w:rPr>
          <w:w w:val="105"/>
        </w:rPr>
        <w:t>stated</w:t>
      </w:r>
      <w:r w:rsidRPr="00283806">
        <w:rPr>
          <w:spacing w:val="6"/>
          <w:w w:val="105"/>
        </w:rPr>
        <w:t xml:space="preserve"> </w:t>
      </w:r>
      <w:r w:rsidRPr="00283806">
        <w:rPr>
          <w:w w:val="105"/>
        </w:rPr>
        <w:t>that</w:t>
      </w:r>
      <w:r w:rsidRPr="00283806">
        <w:rPr>
          <w:spacing w:val="6"/>
          <w:w w:val="105"/>
        </w:rPr>
        <w:t xml:space="preserve"> </w:t>
      </w:r>
      <w:r w:rsidRPr="00283806">
        <w:rPr>
          <w:w w:val="105"/>
        </w:rPr>
        <w:t>the</w:t>
      </w:r>
      <w:r w:rsidRPr="00283806">
        <w:rPr>
          <w:spacing w:val="6"/>
          <w:w w:val="105"/>
        </w:rPr>
        <w:t xml:space="preserve"> </w:t>
      </w:r>
      <w:r w:rsidRPr="00283806">
        <w:rPr>
          <w:w w:val="105"/>
        </w:rPr>
        <w:t>time</w:t>
      </w:r>
      <w:r w:rsidRPr="00283806">
        <w:rPr>
          <w:spacing w:val="6"/>
          <w:w w:val="105"/>
        </w:rPr>
        <w:t xml:space="preserve"> </w:t>
      </w:r>
      <w:r w:rsidRPr="00283806">
        <w:rPr>
          <w:spacing w:val="-5"/>
          <w:w w:val="105"/>
        </w:rPr>
        <w:t>to</w:t>
      </w:r>
    </w:p>
    <w:p w14:paraId="4E0D5A1E" w14:textId="77777777" w:rsidR="00D67C1E" w:rsidRPr="00283806" w:rsidRDefault="001265CA">
      <w:pPr>
        <w:pStyle w:val="BodyText"/>
        <w:spacing w:line="228" w:lineRule="auto"/>
      </w:pPr>
      <w:proofErr w:type="gramStart"/>
      <w:r w:rsidRPr="00283806">
        <w:rPr>
          <w:w w:val="110"/>
        </w:rPr>
        <w:t>implement</w:t>
      </w:r>
      <w:proofErr w:type="gramEnd"/>
      <w:r w:rsidRPr="00283806">
        <w:rPr>
          <w:w w:val="110"/>
        </w:rPr>
        <w:t xml:space="preserve"> the recycle requirement </w:t>
      </w:r>
      <w:r w:rsidRPr="00283806">
        <w:rPr>
          <w:spacing w:val="-2"/>
          <w:w w:val="110"/>
        </w:rPr>
        <w:t>proposal</w:t>
      </w:r>
      <w:r w:rsidRPr="00283806">
        <w:rPr>
          <w:spacing w:val="-5"/>
          <w:w w:val="110"/>
        </w:rPr>
        <w:t xml:space="preserve"> </w:t>
      </w:r>
      <w:r w:rsidRPr="00283806">
        <w:rPr>
          <w:spacing w:val="-2"/>
          <w:w w:val="110"/>
        </w:rPr>
        <w:t>is</w:t>
      </w:r>
      <w:r w:rsidRPr="00283806">
        <w:rPr>
          <w:spacing w:val="-5"/>
          <w:w w:val="110"/>
        </w:rPr>
        <w:t xml:space="preserve"> </w:t>
      </w:r>
      <w:r w:rsidRPr="00283806">
        <w:rPr>
          <w:spacing w:val="-2"/>
          <w:w w:val="110"/>
        </w:rPr>
        <w:t>not</w:t>
      </w:r>
      <w:r w:rsidRPr="00283806">
        <w:rPr>
          <w:spacing w:val="-5"/>
          <w:w w:val="110"/>
        </w:rPr>
        <w:t xml:space="preserve"> </w:t>
      </w:r>
      <w:r w:rsidRPr="00283806">
        <w:rPr>
          <w:spacing w:val="-2"/>
          <w:w w:val="110"/>
        </w:rPr>
        <w:t>sufficient</w:t>
      </w:r>
      <w:r w:rsidRPr="00283806">
        <w:rPr>
          <w:spacing w:val="-5"/>
          <w:w w:val="110"/>
        </w:rPr>
        <w:t xml:space="preserve"> </w:t>
      </w:r>
      <w:r w:rsidRPr="00283806">
        <w:rPr>
          <w:spacing w:val="-2"/>
          <w:w w:val="110"/>
        </w:rPr>
        <w:t>for</w:t>
      </w:r>
      <w:r w:rsidRPr="00283806">
        <w:rPr>
          <w:spacing w:val="-5"/>
          <w:w w:val="110"/>
        </w:rPr>
        <w:t xml:space="preserve"> </w:t>
      </w:r>
      <w:r w:rsidRPr="00283806">
        <w:rPr>
          <w:spacing w:val="-2"/>
          <w:w w:val="110"/>
        </w:rPr>
        <w:t>industry</w:t>
      </w:r>
      <w:r w:rsidRPr="00283806">
        <w:rPr>
          <w:spacing w:val="-5"/>
          <w:w w:val="110"/>
        </w:rPr>
        <w:t xml:space="preserve"> </w:t>
      </w:r>
      <w:r w:rsidRPr="00283806">
        <w:rPr>
          <w:spacing w:val="-2"/>
          <w:w w:val="110"/>
        </w:rPr>
        <w:t xml:space="preserve">to </w:t>
      </w:r>
      <w:r w:rsidRPr="00283806">
        <w:rPr>
          <w:w w:val="110"/>
        </w:rPr>
        <w:t xml:space="preserve">adjust. The commenter stated that the </w:t>
      </w:r>
      <w:r w:rsidRPr="00283806">
        <w:rPr>
          <w:spacing w:val="-2"/>
          <w:w w:val="110"/>
        </w:rPr>
        <w:t>proposed</w:t>
      </w:r>
      <w:r w:rsidRPr="00283806">
        <w:rPr>
          <w:spacing w:val="-3"/>
          <w:w w:val="110"/>
        </w:rPr>
        <w:t xml:space="preserve"> </w:t>
      </w:r>
      <w:r w:rsidRPr="00283806">
        <w:rPr>
          <w:spacing w:val="-2"/>
          <w:w w:val="110"/>
        </w:rPr>
        <w:t>rule</w:t>
      </w:r>
      <w:r w:rsidRPr="00283806">
        <w:rPr>
          <w:spacing w:val="-3"/>
          <w:w w:val="110"/>
        </w:rPr>
        <w:t xml:space="preserve"> </w:t>
      </w:r>
      <w:r w:rsidRPr="00283806">
        <w:rPr>
          <w:spacing w:val="-2"/>
          <w:w w:val="110"/>
        </w:rPr>
        <w:t>will</w:t>
      </w:r>
      <w:r w:rsidRPr="00283806">
        <w:rPr>
          <w:spacing w:val="-3"/>
          <w:w w:val="110"/>
        </w:rPr>
        <w:t xml:space="preserve"> </w:t>
      </w:r>
      <w:r w:rsidRPr="00283806">
        <w:rPr>
          <w:spacing w:val="-2"/>
          <w:w w:val="110"/>
        </w:rPr>
        <w:t>likely</w:t>
      </w:r>
      <w:r w:rsidRPr="00283806">
        <w:rPr>
          <w:spacing w:val="-3"/>
          <w:w w:val="110"/>
        </w:rPr>
        <w:t xml:space="preserve"> </w:t>
      </w:r>
      <w:r w:rsidRPr="00283806">
        <w:rPr>
          <w:spacing w:val="-2"/>
          <w:w w:val="110"/>
        </w:rPr>
        <w:t>leave</w:t>
      </w:r>
      <w:r w:rsidRPr="00283806">
        <w:rPr>
          <w:spacing w:val="-3"/>
          <w:w w:val="110"/>
        </w:rPr>
        <w:t xml:space="preserve"> </w:t>
      </w:r>
      <w:r w:rsidRPr="00283806">
        <w:rPr>
          <w:spacing w:val="-2"/>
          <w:w w:val="110"/>
        </w:rPr>
        <w:t xml:space="preserve">stranded </w:t>
      </w:r>
      <w:r w:rsidRPr="00283806">
        <w:rPr>
          <w:w w:val="110"/>
        </w:rPr>
        <w:t>virgin HFCs already in the U.S. inventory, given the few alternative applications of fire suppression HFCs have</w:t>
      </w:r>
      <w:r w:rsidRPr="00283806">
        <w:rPr>
          <w:spacing w:val="-5"/>
          <w:w w:val="110"/>
        </w:rPr>
        <w:t xml:space="preserve"> </w:t>
      </w:r>
      <w:r w:rsidRPr="00283806">
        <w:rPr>
          <w:w w:val="110"/>
        </w:rPr>
        <w:t>for</w:t>
      </w:r>
      <w:r w:rsidRPr="00283806">
        <w:rPr>
          <w:spacing w:val="-5"/>
          <w:w w:val="110"/>
        </w:rPr>
        <w:t xml:space="preserve"> </w:t>
      </w:r>
      <w:r w:rsidRPr="00283806">
        <w:rPr>
          <w:w w:val="110"/>
        </w:rPr>
        <w:t>use</w:t>
      </w:r>
      <w:r w:rsidRPr="00283806">
        <w:rPr>
          <w:spacing w:val="-5"/>
          <w:w w:val="110"/>
        </w:rPr>
        <w:t xml:space="preserve"> </w:t>
      </w:r>
      <w:r w:rsidRPr="00283806">
        <w:rPr>
          <w:w w:val="110"/>
        </w:rPr>
        <w:t>in</w:t>
      </w:r>
      <w:r w:rsidRPr="00283806">
        <w:rPr>
          <w:spacing w:val="-5"/>
          <w:w w:val="110"/>
        </w:rPr>
        <w:t xml:space="preserve"> </w:t>
      </w:r>
      <w:r w:rsidRPr="00283806">
        <w:rPr>
          <w:w w:val="110"/>
        </w:rPr>
        <w:t>other</w:t>
      </w:r>
      <w:r w:rsidRPr="00283806">
        <w:rPr>
          <w:spacing w:val="-5"/>
          <w:w w:val="110"/>
        </w:rPr>
        <w:t xml:space="preserve"> </w:t>
      </w:r>
      <w:r w:rsidRPr="00283806">
        <w:rPr>
          <w:w w:val="110"/>
        </w:rPr>
        <w:t>market</w:t>
      </w:r>
      <w:r w:rsidRPr="00283806">
        <w:rPr>
          <w:spacing w:val="-5"/>
          <w:w w:val="110"/>
        </w:rPr>
        <w:t xml:space="preserve"> </w:t>
      </w:r>
      <w:r w:rsidRPr="00283806">
        <w:rPr>
          <w:w w:val="110"/>
        </w:rPr>
        <w:t>segments,</w:t>
      </w:r>
    </w:p>
    <w:p w14:paraId="71471347" w14:textId="77777777" w:rsidR="00D67C1E" w:rsidRPr="00283806" w:rsidRDefault="001265CA">
      <w:pPr>
        <w:pStyle w:val="BodyText"/>
        <w:spacing w:before="134" w:line="228" w:lineRule="auto"/>
        <w:ind w:left="144" w:right="53"/>
      </w:pPr>
      <w:r w:rsidRPr="00283806">
        <w:br w:type="column"/>
      </w:r>
      <w:r w:rsidRPr="00283806">
        <w:rPr>
          <w:w w:val="105"/>
        </w:rPr>
        <w:t>and claimed that the timeframe would damage responsible manufacturers and shake</w:t>
      </w:r>
      <w:r w:rsidRPr="00283806">
        <w:rPr>
          <w:spacing w:val="40"/>
          <w:w w:val="105"/>
        </w:rPr>
        <w:t xml:space="preserve"> </w:t>
      </w:r>
      <w:r w:rsidRPr="00283806">
        <w:rPr>
          <w:w w:val="105"/>
        </w:rPr>
        <w:t>industry</w:t>
      </w:r>
      <w:r w:rsidRPr="00283806">
        <w:rPr>
          <w:spacing w:val="40"/>
          <w:w w:val="105"/>
        </w:rPr>
        <w:t xml:space="preserve"> </w:t>
      </w:r>
      <w:r w:rsidRPr="00283806">
        <w:rPr>
          <w:w w:val="105"/>
        </w:rPr>
        <w:t>confidence</w:t>
      </w:r>
      <w:r w:rsidRPr="00283806">
        <w:rPr>
          <w:spacing w:val="40"/>
          <w:w w:val="105"/>
        </w:rPr>
        <w:t xml:space="preserve"> </w:t>
      </w:r>
      <w:r w:rsidRPr="00283806">
        <w:rPr>
          <w:w w:val="105"/>
        </w:rPr>
        <w:t>in</w:t>
      </w:r>
      <w:r w:rsidRPr="00283806">
        <w:rPr>
          <w:spacing w:val="40"/>
          <w:w w:val="105"/>
        </w:rPr>
        <w:t xml:space="preserve"> </w:t>
      </w:r>
      <w:r w:rsidRPr="00283806">
        <w:rPr>
          <w:w w:val="105"/>
        </w:rPr>
        <w:t>clean agent fire protection technologies. The commenter stated that the short</w:t>
      </w:r>
      <w:r w:rsidRPr="00283806">
        <w:rPr>
          <w:spacing w:val="40"/>
          <w:w w:val="105"/>
        </w:rPr>
        <w:t xml:space="preserve"> </w:t>
      </w:r>
      <w:r w:rsidRPr="00283806">
        <w:rPr>
          <w:w w:val="105"/>
        </w:rPr>
        <w:t>enaction timeframe would create significant</w:t>
      </w:r>
      <w:r w:rsidRPr="00283806">
        <w:rPr>
          <w:spacing w:val="40"/>
          <w:w w:val="105"/>
        </w:rPr>
        <w:t xml:space="preserve"> </w:t>
      </w:r>
      <w:r w:rsidRPr="00283806">
        <w:rPr>
          <w:w w:val="105"/>
        </w:rPr>
        <w:t>delays,</w:t>
      </w:r>
      <w:r w:rsidRPr="00283806">
        <w:rPr>
          <w:spacing w:val="40"/>
          <w:w w:val="105"/>
        </w:rPr>
        <w:t xml:space="preserve"> </w:t>
      </w:r>
      <w:r w:rsidRPr="00283806">
        <w:rPr>
          <w:w w:val="105"/>
        </w:rPr>
        <w:t>contract</w:t>
      </w:r>
      <w:r w:rsidRPr="00283806">
        <w:rPr>
          <w:spacing w:val="40"/>
          <w:w w:val="105"/>
        </w:rPr>
        <w:t xml:space="preserve"> </w:t>
      </w:r>
      <w:r w:rsidRPr="00283806">
        <w:rPr>
          <w:w w:val="105"/>
        </w:rPr>
        <w:t>disputes, and costly modifications for projects currently in process, since new fire system requirements are mostly for newly</w:t>
      </w:r>
      <w:r w:rsidRPr="00283806">
        <w:rPr>
          <w:spacing w:val="40"/>
          <w:w w:val="105"/>
        </w:rPr>
        <w:t xml:space="preserve"> </w:t>
      </w:r>
      <w:r w:rsidRPr="00283806">
        <w:rPr>
          <w:w w:val="105"/>
        </w:rPr>
        <w:t>constructed</w:t>
      </w:r>
      <w:r w:rsidRPr="00283806">
        <w:rPr>
          <w:spacing w:val="40"/>
          <w:w w:val="105"/>
        </w:rPr>
        <w:t xml:space="preserve"> </w:t>
      </w:r>
      <w:r w:rsidRPr="00283806">
        <w:rPr>
          <w:w w:val="105"/>
        </w:rPr>
        <w:t>facilities,</w:t>
      </w:r>
      <w:r w:rsidRPr="00283806">
        <w:rPr>
          <w:spacing w:val="40"/>
          <w:w w:val="105"/>
        </w:rPr>
        <w:t xml:space="preserve"> </w:t>
      </w:r>
      <w:r w:rsidRPr="00283806">
        <w:rPr>
          <w:w w:val="105"/>
        </w:rPr>
        <w:t>fire systems are often the last item to be installed before occupancy, and construction agreements are executed in advance of the delivery of the specified fire system, with many subcontractor agreements. The commenter mentioned that this too will further destabilize and reduce confidence in the overall fire system industry and stall the current market driven shift to recycled HFCs</w:t>
      </w:r>
      <w:r w:rsidRPr="00283806">
        <w:rPr>
          <w:spacing w:val="80"/>
          <w:w w:val="150"/>
        </w:rPr>
        <w:t xml:space="preserve"> </w:t>
      </w:r>
      <w:r w:rsidRPr="00283806">
        <w:rPr>
          <w:w w:val="105"/>
        </w:rPr>
        <w:t>and alternative protection options.</w:t>
      </w:r>
    </w:p>
    <w:p w14:paraId="4EBB7797" w14:textId="77777777" w:rsidR="00D67C1E" w:rsidRPr="00283806" w:rsidRDefault="001265CA">
      <w:pPr>
        <w:pStyle w:val="BodyText"/>
        <w:spacing w:line="228" w:lineRule="auto"/>
        <w:ind w:left="144"/>
      </w:pPr>
      <w:r w:rsidRPr="00283806">
        <w:rPr>
          <w:w w:val="105"/>
        </w:rPr>
        <w:t>Additionally,</w:t>
      </w:r>
      <w:r w:rsidRPr="00283806">
        <w:rPr>
          <w:spacing w:val="35"/>
          <w:w w:val="105"/>
        </w:rPr>
        <w:t xml:space="preserve"> </w:t>
      </w:r>
      <w:r w:rsidRPr="00283806">
        <w:rPr>
          <w:w w:val="105"/>
        </w:rPr>
        <w:t>the</w:t>
      </w:r>
      <w:r w:rsidRPr="00283806">
        <w:rPr>
          <w:spacing w:val="35"/>
          <w:w w:val="105"/>
        </w:rPr>
        <w:t xml:space="preserve"> </w:t>
      </w:r>
      <w:r w:rsidRPr="00283806">
        <w:rPr>
          <w:w w:val="105"/>
        </w:rPr>
        <w:t>commenter</w:t>
      </w:r>
      <w:r w:rsidRPr="00283806">
        <w:rPr>
          <w:spacing w:val="80"/>
          <w:w w:val="105"/>
        </w:rPr>
        <w:t xml:space="preserve"> </w:t>
      </w:r>
      <w:r w:rsidRPr="00283806">
        <w:rPr>
          <w:w w:val="105"/>
        </w:rPr>
        <w:t>maintained that the fire suppression industry operates under existing long- term contracts that require</w:t>
      </w:r>
      <w:r w:rsidRPr="00283806">
        <w:rPr>
          <w:spacing w:val="80"/>
          <w:w w:val="105"/>
        </w:rPr>
        <w:t xml:space="preserve"> </w:t>
      </w:r>
      <w:r w:rsidRPr="00283806">
        <w:rPr>
          <w:w w:val="105"/>
        </w:rPr>
        <w:t>commitments of certain volumes using specific agents and asserted that the rule as proposed will cause problems and irreparable financial harm to business and users with these contractual obligations. The commenter stated that an alternative to the initial fill rule proposed, which is a ban on the import</w:t>
      </w:r>
      <w:r w:rsidRPr="00283806">
        <w:rPr>
          <w:spacing w:val="80"/>
          <w:w w:val="105"/>
        </w:rPr>
        <w:t xml:space="preserve"> </w:t>
      </w:r>
      <w:r w:rsidRPr="00283806">
        <w:rPr>
          <w:w w:val="105"/>
        </w:rPr>
        <w:t>of virgin HFCs for use in domestic fire protection (except for the critical end- uses) after a certain future date, could be considered. The commenter stated that this may help avoid the irreparable financial</w:t>
      </w:r>
      <w:r w:rsidRPr="00283806">
        <w:rPr>
          <w:spacing w:val="40"/>
          <w:w w:val="105"/>
        </w:rPr>
        <w:t xml:space="preserve"> </w:t>
      </w:r>
      <w:r w:rsidRPr="00283806">
        <w:rPr>
          <w:w w:val="105"/>
        </w:rPr>
        <w:t>harm</w:t>
      </w:r>
      <w:r w:rsidRPr="00283806">
        <w:rPr>
          <w:spacing w:val="40"/>
          <w:w w:val="105"/>
        </w:rPr>
        <w:t xml:space="preserve"> </w:t>
      </w:r>
      <w:r w:rsidRPr="00283806">
        <w:rPr>
          <w:w w:val="105"/>
        </w:rPr>
        <w:t>to</w:t>
      </w:r>
      <w:r w:rsidRPr="00283806">
        <w:rPr>
          <w:spacing w:val="40"/>
          <w:w w:val="105"/>
        </w:rPr>
        <w:t xml:space="preserve"> </w:t>
      </w:r>
      <w:r w:rsidRPr="00283806">
        <w:rPr>
          <w:w w:val="105"/>
        </w:rPr>
        <w:t>entities</w:t>
      </w:r>
      <w:r w:rsidRPr="00283806">
        <w:rPr>
          <w:spacing w:val="40"/>
          <w:w w:val="105"/>
        </w:rPr>
        <w:t xml:space="preserve"> </w:t>
      </w:r>
      <w:r w:rsidRPr="00283806">
        <w:rPr>
          <w:w w:val="105"/>
        </w:rPr>
        <w:t>that</w:t>
      </w:r>
      <w:r w:rsidRPr="00283806">
        <w:rPr>
          <w:spacing w:val="40"/>
          <w:w w:val="105"/>
        </w:rPr>
        <w:t xml:space="preserve"> </w:t>
      </w:r>
      <w:r w:rsidRPr="00283806">
        <w:rPr>
          <w:w w:val="105"/>
        </w:rPr>
        <w:t>have, since September 23, 2021, acted in good faith under the framework rule. The commenter expressed concerns that the passage of the rule, with the recycled</w:t>
      </w:r>
      <w:r w:rsidRPr="00283806">
        <w:rPr>
          <w:spacing w:val="40"/>
          <w:w w:val="105"/>
        </w:rPr>
        <w:t xml:space="preserve"> </w:t>
      </w:r>
      <w:r w:rsidRPr="00283806">
        <w:rPr>
          <w:w w:val="105"/>
        </w:rPr>
        <w:t>HFC initial fill requirement as proposed, will not reduce HFC emissions or</w:t>
      </w:r>
      <w:r w:rsidRPr="00283806">
        <w:rPr>
          <w:spacing w:val="40"/>
          <w:w w:val="105"/>
        </w:rPr>
        <w:t xml:space="preserve"> </w:t>
      </w:r>
      <w:r w:rsidRPr="00283806">
        <w:rPr>
          <w:w w:val="105"/>
        </w:rPr>
        <w:t>improve the environmental impact of</w:t>
      </w:r>
      <w:r w:rsidRPr="00283806">
        <w:rPr>
          <w:spacing w:val="40"/>
          <w:w w:val="105"/>
        </w:rPr>
        <w:t xml:space="preserve"> </w:t>
      </w:r>
      <w:r w:rsidRPr="00283806">
        <w:rPr>
          <w:w w:val="105"/>
        </w:rPr>
        <w:t>HFC</w:t>
      </w:r>
      <w:r w:rsidRPr="00283806">
        <w:rPr>
          <w:spacing w:val="40"/>
          <w:w w:val="105"/>
        </w:rPr>
        <w:t xml:space="preserve"> </w:t>
      </w:r>
      <w:r w:rsidRPr="00283806">
        <w:rPr>
          <w:w w:val="105"/>
        </w:rPr>
        <w:t>fire</w:t>
      </w:r>
      <w:r w:rsidRPr="00283806">
        <w:rPr>
          <w:spacing w:val="40"/>
          <w:w w:val="105"/>
        </w:rPr>
        <w:t xml:space="preserve"> </w:t>
      </w:r>
      <w:r w:rsidRPr="00283806">
        <w:rPr>
          <w:w w:val="105"/>
        </w:rPr>
        <w:t>systems</w:t>
      </w:r>
      <w:r w:rsidRPr="00283806">
        <w:rPr>
          <w:spacing w:val="40"/>
          <w:w w:val="105"/>
        </w:rPr>
        <w:t xml:space="preserve"> </w:t>
      </w:r>
      <w:r w:rsidRPr="00283806">
        <w:rPr>
          <w:w w:val="105"/>
        </w:rPr>
        <w:t>to</w:t>
      </w:r>
      <w:r w:rsidRPr="00283806">
        <w:rPr>
          <w:spacing w:val="40"/>
          <w:w w:val="105"/>
        </w:rPr>
        <w:t xml:space="preserve"> </w:t>
      </w:r>
      <w:r w:rsidRPr="00283806">
        <w:rPr>
          <w:w w:val="105"/>
        </w:rPr>
        <w:t>sufficiently</w:t>
      </w:r>
      <w:r w:rsidRPr="00283806">
        <w:rPr>
          <w:spacing w:val="40"/>
          <w:w w:val="105"/>
        </w:rPr>
        <w:t xml:space="preserve"> </w:t>
      </w:r>
      <w:r w:rsidRPr="00283806">
        <w:rPr>
          <w:w w:val="105"/>
        </w:rPr>
        <w:t>offset the increased risk to property and</w:t>
      </w:r>
      <w:r w:rsidRPr="00283806">
        <w:rPr>
          <w:spacing w:val="40"/>
          <w:w w:val="105"/>
        </w:rPr>
        <w:t xml:space="preserve"> </w:t>
      </w:r>
      <w:r w:rsidRPr="00283806">
        <w:rPr>
          <w:spacing w:val="-2"/>
          <w:w w:val="105"/>
        </w:rPr>
        <w:t>people.</w:t>
      </w:r>
    </w:p>
    <w:p w14:paraId="08E7ABCF" w14:textId="77777777" w:rsidR="00D67C1E" w:rsidRPr="00283806" w:rsidRDefault="001265CA">
      <w:pPr>
        <w:pStyle w:val="BodyText"/>
        <w:spacing w:before="15" w:line="228" w:lineRule="auto"/>
        <w:ind w:left="144" w:right="77" w:firstLine="180"/>
      </w:pPr>
      <w:r w:rsidRPr="00283806">
        <w:rPr>
          <w:w w:val="105"/>
        </w:rPr>
        <w:t>The same commenter claimed that EPA’s 2025 enaction timeframe limits</w:t>
      </w:r>
      <w:r w:rsidRPr="00283806">
        <w:rPr>
          <w:spacing w:val="80"/>
          <w:w w:val="105"/>
        </w:rPr>
        <w:t xml:space="preserve"> </w:t>
      </w:r>
      <w:r w:rsidRPr="00283806">
        <w:rPr>
          <w:w w:val="105"/>
        </w:rPr>
        <w:t>the ability to revise and adjust these agreements and would create confusion among entities who have entered into agreements in good faith under the AIM Act framework schedules and</w:t>
      </w:r>
      <w:r w:rsidRPr="00283806">
        <w:rPr>
          <w:spacing w:val="80"/>
          <w:w w:val="150"/>
        </w:rPr>
        <w:t xml:space="preserve"> </w:t>
      </w:r>
      <w:r w:rsidRPr="00283806">
        <w:rPr>
          <w:w w:val="105"/>
        </w:rPr>
        <w:t>structures. The commenter stated that if EPA were to enact this requirement,</w:t>
      </w:r>
      <w:r w:rsidRPr="00283806">
        <w:rPr>
          <w:spacing w:val="80"/>
          <w:w w:val="105"/>
        </w:rPr>
        <w:t xml:space="preserve"> </w:t>
      </w:r>
      <w:r w:rsidRPr="00283806">
        <w:rPr>
          <w:w w:val="105"/>
        </w:rPr>
        <w:t>they would recommend a start date of January 1, 2036, or after the AIM Act phasedown to 15 percent of baseline is complete, in order to allow equipment manufacturers to fulfill or modify</w:t>
      </w:r>
      <w:r w:rsidRPr="00283806">
        <w:rPr>
          <w:spacing w:val="40"/>
          <w:w w:val="105"/>
        </w:rPr>
        <w:t xml:space="preserve"> </w:t>
      </w:r>
      <w:r w:rsidRPr="00283806">
        <w:rPr>
          <w:w w:val="105"/>
        </w:rPr>
        <w:t>existing contracts, and for potential low- GWP alternatives to be introduced in an orderly manner, supportive of the</w:t>
      </w:r>
      <w:r w:rsidRPr="00283806">
        <w:rPr>
          <w:spacing w:val="40"/>
          <w:w w:val="105"/>
        </w:rPr>
        <w:t xml:space="preserve"> </w:t>
      </w:r>
      <w:r w:rsidRPr="00283806">
        <w:rPr>
          <w:w w:val="105"/>
        </w:rPr>
        <w:t>market balance the commenter</w:t>
      </w:r>
    </w:p>
    <w:p w14:paraId="3AB6D068" w14:textId="77777777" w:rsidR="00D67C1E" w:rsidRPr="00283806" w:rsidRDefault="001265CA">
      <w:pPr>
        <w:pStyle w:val="BodyText"/>
        <w:spacing w:before="134" w:line="225" w:lineRule="auto"/>
        <w:ind w:left="144" w:right="162"/>
      </w:pPr>
      <w:r w:rsidRPr="00283806">
        <w:br w:type="column"/>
      </w:r>
      <w:proofErr w:type="gramStart"/>
      <w:r w:rsidRPr="00283806">
        <w:rPr>
          <w:w w:val="105"/>
        </w:rPr>
        <w:t>maintains</w:t>
      </w:r>
      <w:proofErr w:type="gramEnd"/>
      <w:r w:rsidRPr="00283806">
        <w:rPr>
          <w:w w:val="105"/>
        </w:rPr>
        <w:t xml:space="preserve"> is necessary for a viable, long- term, recycled HFC market. The commenter stated that if EPA believes enactment of this rule is required, an in- force date, no sooner than a 2030</w:t>
      </w:r>
      <w:r w:rsidRPr="00283806">
        <w:rPr>
          <w:spacing w:val="40"/>
          <w:w w:val="105"/>
        </w:rPr>
        <w:t xml:space="preserve"> </w:t>
      </w:r>
      <w:r w:rsidRPr="00283806">
        <w:rPr>
          <w:w w:val="105"/>
        </w:rPr>
        <w:t>through 2036 timeframe, must be considered to provide sufficient time to effectively prepare for such a ruling.</w:t>
      </w:r>
    </w:p>
    <w:p w14:paraId="12660611" w14:textId="77777777" w:rsidR="00D67C1E" w:rsidRPr="00283806" w:rsidRDefault="001265CA">
      <w:pPr>
        <w:pStyle w:val="BodyText"/>
        <w:spacing w:line="177" w:lineRule="exact"/>
        <w:ind w:left="324"/>
      </w:pPr>
      <w:r w:rsidRPr="00283806">
        <w:rPr>
          <w:w w:val="105"/>
        </w:rPr>
        <w:t>Another</w:t>
      </w:r>
      <w:r w:rsidRPr="00283806">
        <w:rPr>
          <w:spacing w:val="3"/>
          <w:w w:val="105"/>
        </w:rPr>
        <w:t xml:space="preserve"> </w:t>
      </w:r>
      <w:r w:rsidRPr="00283806">
        <w:rPr>
          <w:w w:val="105"/>
        </w:rPr>
        <w:t>commenter</w:t>
      </w:r>
      <w:r w:rsidRPr="00283806">
        <w:rPr>
          <w:spacing w:val="3"/>
          <w:w w:val="105"/>
        </w:rPr>
        <w:t xml:space="preserve"> </w:t>
      </w:r>
      <w:r w:rsidRPr="00283806">
        <w:rPr>
          <w:w w:val="105"/>
        </w:rPr>
        <w:t>requested</w:t>
      </w:r>
      <w:r w:rsidRPr="00283806">
        <w:rPr>
          <w:spacing w:val="3"/>
          <w:w w:val="105"/>
        </w:rPr>
        <w:t xml:space="preserve"> </w:t>
      </w:r>
      <w:r w:rsidRPr="00283806">
        <w:rPr>
          <w:spacing w:val="-4"/>
          <w:w w:val="105"/>
        </w:rPr>
        <w:t>that</w:t>
      </w:r>
    </w:p>
    <w:p w14:paraId="6F037D4F" w14:textId="77777777" w:rsidR="00D67C1E" w:rsidRPr="00283806" w:rsidRDefault="001265CA">
      <w:pPr>
        <w:pStyle w:val="BodyText"/>
        <w:spacing w:before="4" w:line="225" w:lineRule="auto"/>
        <w:ind w:left="144" w:right="171"/>
      </w:pPr>
      <w:r w:rsidRPr="00283806">
        <w:rPr>
          <w:w w:val="105"/>
        </w:rPr>
        <w:t xml:space="preserve">EPA extend the date of implementation to January 1, 2027, to allow proper time for fire suppression equipment manufacturers to assess any safety concerns or unexpected impacts of transitioning to recycled substances and development of the reclaimed HFC </w:t>
      </w:r>
      <w:r w:rsidRPr="00283806">
        <w:rPr>
          <w:spacing w:val="-2"/>
          <w:w w:val="105"/>
        </w:rPr>
        <w:t>supply.</w:t>
      </w:r>
    </w:p>
    <w:p w14:paraId="73EB364F" w14:textId="77777777" w:rsidR="00D67C1E" w:rsidRPr="00283806" w:rsidRDefault="001265CA">
      <w:pPr>
        <w:pStyle w:val="BodyText"/>
        <w:spacing w:line="177" w:lineRule="exact"/>
        <w:ind w:left="324"/>
      </w:pPr>
      <w:r w:rsidRPr="00283806">
        <w:rPr>
          <w:w w:val="105"/>
        </w:rPr>
        <w:t>Another</w:t>
      </w:r>
      <w:r w:rsidRPr="00283806">
        <w:rPr>
          <w:spacing w:val="4"/>
          <w:w w:val="105"/>
        </w:rPr>
        <w:t xml:space="preserve"> </w:t>
      </w:r>
      <w:r w:rsidRPr="00283806">
        <w:rPr>
          <w:w w:val="105"/>
        </w:rPr>
        <w:t>commenter</w:t>
      </w:r>
      <w:r w:rsidRPr="00283806">
        <w:rPr>
          <w:spacing w:val="4"/>
          <w:w w:val="105"/>
        </w:rPr>
        <w:t xml:space="preserve"> </w:t>
      </w:r>
      <w:r w:rsidRPr="00283806">
        <w:rPr>
          <w:w w:val="105"/>
        </w:rPr>
        <w:t>stated</w:t>
      </w:r>
      <w:r w:rsidRPr="00283806">
        <w:rPr>
          <w:spacing w:val="4"/>
          <w:w w:val="105"/>
        </w:rPr>
        <w:t xml:space="preserve"> </w:t>
      </w:r>
      <w:r w:rsidRPr="00283806">
        <w:rPr>
          <w:w w:val="105"/>
        </w:rPr>
        <w:t>that</w:t>
      </w:r>
      <w:r w:rsidRPr="00283806">
        <w:rPr>
          <w:spacing w:val="4"/>
          <w:w w:val="105"/>
        </w:rPr>
        <w:t xml:space="preserve"> </w:t>
      </w:r>
      <w:r w:rsidRPr="00283806">
        <w:rPr>
          <w:spacing w:val="-2"/>
          <w:w w:val="105"/>
        </w:rPr>
        <w:t>since</w:t>
      </w:r>
    </w:p>
    <w:p w14:paraId="218F6338" w14:textId="77777777" w:rsidR="00D67C1E" w:rsidRPr="00283806" w:rsidRDefault="001265CA">
      <w:pPr>
        <w:pStyle w:val="BodyText"/>
        <w:spacing w:before="4" w:line="225" w:lineRule="auto"/>
        <w:ind w:left="144" w:right="162"/>
      </w:pPr>
      <w:proofErr w:type="gramStart"/>
      <w:r w:rsidRPr="00283806">
        <w:rPr>
          <w:w w:val="105"/>
        </w:rPr>
        <w:t>the</w:t>
      </w:r>
      <w:proofErr w:type="gramEnd"/>
      <w:r w:rsidRPr="00283806">
        <w:rPr>
          <w:w w:val="105"/>
        </w:rPr>
        <w:t xml:space="preserve"> final rule will not be published until sometime in 2024, the industry would have less than a year to transition </w:t>
      </w:r>
      <w:proofErr w:type="gramStart"/>
      <w:r w:rsidRPr="00283806">
        <w:rPr>
          <w:w w:val="105"/>
        </w:rPr>
        <w:t>to using</w:t>
      </w:r>
      <w:proofErr w:type="gramEnd"/>
      <w:r w:rsidRPr="00283806">
        <w:rPr>
          <w:w w:val="105"/>
        </w:rPr>
        <w:t xml:space="preserve"> recycled HFCs for all first fills.</w:t>
      </w:r>
    </w:p>
    <w:p w14:paraId="14DE3230" w14:textId="77777777" w:rsidR="00D67C1E" w:rsidRPr="00283806" w:rsidRDefault="001265CA">
      <w:pPr>
        <w:pStyle w:val="BodyText"/>
        <w:spacing w:line="225" w:lineRule="auto"/>
        <w:ind w:left="144" w:right="179"/>
      </w:pPr>
      <w:r w:rsidRPr="00283806">
        <w:rPr>
          <w:w w:val="105"/>
        </w:rPr>
        <w:t xml:space="preserve">The commenter stated that if EPA decides to maintain this requirement in the final rule, a start date of January 1, 2030, would be more appropriate. The commenter stated that this would provide time for equipment manufacturers to fulfill or modify existing contracts that specify newly produced </w:t>
      </w:r>
      <w:proofErr w:type="gramStart"/>
      <w:r w:rsidRPr="00283806">
        <w:rPr>
          <w:w w:val="105"/>
        </w:rPr>
        <w:t>agent</w:t>
      </w:r>
      <w:proofErr w:type="gramEnd"/>
      <w:r w:rsidRPr="00283806">
        <w:rPr>
          <w:w w:val="105"/>
        </w:rPr>
        <w:t xml:space="preserve"> and find alternative avenues of supply.</w:t>
      </w:r>
    </w:p>
    <w:p w14:paraId="2B3822EC" w14:textId="77777777" w:rsidR="00D67C1E" w:rsidRPr="00283806" w:rsidRDefault="001265CA">
      <w:pPr>
        <w:pStyle w:val="BodyText"/>
        <w:spacing w:line="177" w:lineRule="exact"/>
        <w:ind w:left="324"/>
      </w:pPr>
      <w:r w:rsidRPr="00283806">
        <w:rPr>
          <w:w w:val="105"/>
        </w:rPr>
        <w:t>One</w:t>
      </w:r>
      <w:r w:rsidRPr="00283806">
        <w:rPr>
          <w:spacing w:val="5"/>
          <w:w w:val="105"/>
        </w:rPr>
        <w:t xml:space="preserve"> </w:t>
      </w:r>
      <w:r w:rsidRPr="00283806">
        <w:rPr>
          <w:w w:val="105"/>
        </w:rPr>
        <w:t>commenter</w:t>
      </w:r>
      <w:r w:rsidRPr="00283806">
        <w:rPr>
          <w:spacing w:val="5"/>
          <w:w w:val="105"/>
        </w:rPr>
        <w:t xml:space="preserve"> </w:t>
      </w:r>
      <w:r w:rsidRPr="00283806">
        <w:rPr>
          <w:w w:val="105"/>
        </w:rPr>
        <w:t>stated</w:t>
      </w:r>
      <w:r w:rsidRPr="00283806">
        <w:rPr>
          <w:spacing w:val="6"/>
          <w:w w:val="105"/>
        </w:rPr>
        <w:t xml:space="preserve"> </w:t>
      </w:r>
      <w:r w:rsidRPr="00283806">
        <w:rPr>
          <w:w w:val="105"/>
        </w:rPr>
        <w:t>that</w:t>
      </w:r>
      <w:r w:rsidRPr="00283806">
        <w:rPr>
          <w:spacing w:val="5"/>
          <w:w w:val="105"/>
        </w:rPr>
        <w:t xml:space="preserve"> </w:t>
      </w:r>
      <w:r w:rsidRPr="00283806">
        <w:rPr>
          <w:spacing w:val="-5"/>
          <w:w w:val="105"/>
        </w:rPr>
        <w:t>the</w:t>
      </w:r>
    </w:p>
    <w:p w14:paraId="23A07627" w14:textId="77777777" w:rsidR="00D67C1E" w:rsidRPr="00283806" w:rsidRDefault="001265CA">
      <w:pPr>
        <w:pStyle w:val="BodyText"/>
        <w:spacing w:before="2" w:line="225" w:lineRule="auto"/>
        <w:ind w:left="144" w:right="152"/>
      </w:pPr>
      <w:r w:rsidRPr="00283806">
        <w:rPr>
          <w:w w:val="105"/>
        </w:rPr>
        <w:t xml:space="preserve">proposal provides a short window to perform the </w:t>
      </w:r>
      <w:proofErr w:type="gramStart"/>
      <w:r w:rsidRPr="00283806">
        <w:rPr>
          <w:w w:val="105"/>
        </w:rPr>
        <w:t>transition</w:t>
      </w:r>
      <w:proofErr w:type="gramEnd"/>
      <w:r w:rsidRPr="00283806">
        <w:rPr>
          <w:w w:val="105"/>
        </w:rPr>
        <w:t xml:space="preserve"> and, in their</w:t>
      </w:r>
      <w:r w:rsidRPr="00283806">
        <w:rPr>
          <w:spacing w:val="80"/>
          <w:w w:val="105"/>
        </w:rPr>
        <w:t xml:space="preserve"> </w:t>
      </w:r>
      <w:r w:rsidRPr="00283806">
        <w:rPr>
          <w:w w:val="105"/>
        </w:rPr>
        <w:t>view, the most logical year would be to start the transition in 2029 when the</w:t>
      </w:r>
      <w:r w:rsidRPr="00283806">
        <w:rPr>
          <w:spacing w:val="40"/>
          <w:w w:val="105"/>
        </w:rPr>
        <w:t xml:space="preserve"> </w:t>
      </w:r>
      <w:r w:rsidRPr="00283806">
        <w:rPr>
          <w:w w:val="105"/>
        </w:rPr>
        <w:t>next stepdown happens. The</w:t>
      </w:r>
      <w:r w:rsidRPr="00283806">
        <w:rPr>
          <w:spacing w:val="80"/>
          <w:w w:val="150"/>
        </w:rPr>
        <w:t xml:space="preserve"> </w:t>
      </w:r>
      <w:r w:rsidRPr="00283806">
        <w:rPr>
          <w:w w:val="105"/>
        </w:rPr>
        <w:t>commenter stated that the fire suppression industry is project-based and often, projects are worked in phases over many years.</w:t>
      </w:r>
    </w:p>
    <w:p w14:paraId="5DE17568" w14:textId="77777777" w:rsidR="00D67C1E" w:rsidRPr="00283806" w:rsidRDefault="001265CA">
      <w:pPr>
        <w:pStyle w:val="BodyText"/>
        <w:spacing w:line="177" w:lineRule="exact"/>
        <w:ind w:left="324"/>
      </w:pPr>
      <w:r w:rsidRPr="00283806">
        <w:rPr>
          <w:w w:val="105"/>
        </w:rPr>
        <w:t>One</w:t>
      </w:r>
      <w:r w:rsidRPr="00283806">
        <w:rPr>
          <w:spacing w:val="5"/>
          <w:w w:val="105"/>
        </w:rPr>
        <w:t xml:space="preserve"> </w:t>
      </w:r>
      <w:r w:rsidRPr="00283806">
        <w:rPr>
          <w:w w:val="105"/>
        </w:rPr>
        <w:t>commenter</w:t>
      </w:r>
      <w:r w:rsidRPr="00283806">
        <w:rPr>
          <w:spacing w:val="5"/>
          <w:w w:val="105"/>
        </w:rPr>
        <w:t xml:space="preserve"> </w:t>
      </w:r>
      <w:r w:rsidRPr="00283806">
        <w:rPr>
          <w:w w:val="105"/>
        </w:rPr>
        <w:t>stated</w:t>
      </w:r>
      <w:r w:rsidRPr="00283806">
        <w:rPr>
          <w:spacing w:val="6"/>
          <w:w w:val="105"/>
        </w:rPr>
        <w:t xml:space="preserve"> </w:t>
      </w:r>
      <w:r w:rsidRPr="00283806">
        <w:rPr>
          <w:w w:val="105"/>
        </w:rPr>
        <w:t>that</w:t>
      </w:r>
      <w:r w:rsidRPr="00283806">
        <w:rPr>
          <w:spacing w:val="5"/>
          <w:w w:val="105"/>
        </w:rPr>
        <w:t xml:space="preserve"> </w:t>
      </w:r>
      <w:r w:rsidRPr="00283806">
        <w:rPr>
          <w:spacing w:val="-5"/>
          <w:w w:val="105"/>
        </w:rPr>
        <w:t>the</w:t>
      </w:r>
    </w:p>
    <w:p w14:paraId="2D61FC4F" w14:textId="77777777" w:rsidR="00D67C1E" w:rsidRPr="00283806" w:rsidRDefault="001265CA">
      <w:pPr>
        <w:pStyle w:val="BodyText"/>
        <w:spacing w:before="2" w:line="228" w:lineRule="auto"/>
        <w:ind w:left="144" w:right="237"/>
      </w:pPr>
      <w:proofErr w:type="gramStart"/>
      <w:r w:rsidRPr="00283806">
        <w:rPr>
          <w:w w:val="105"/>
        </w:rPr>
        <w:t>proposal</w:t>
      </w:r>
      <w:proofErr w:type="gramEnd"/>
      <w:r w:rsidRPr="00283806">
        <w:rPr>
          <w:w w:val="105"/>
        </w:rPr>
        <w:t xml:space="preserve"> does not provide sufficient</w:t>
      </w:r>
      <w:r w:rsidRPr="00283806">
        <w:rPr>
          <w:spacing w:val="40"/>
          <w:w w:val="105"/>
        </w:rPr>
        <w:t xml:space="preserve"> </w:t>
      </w:r>
      <w:r w:rsidRPr="00283806">
        <w:rPr>
          <w:w w:val="105"/>
        </w:rPr>
        <w:t xml:space="preserve">time for the commercial aviation sector to safely comply with the proposed fire suppression system requirements at ground facilities such as hangars. The commenter requested that EPA extend the applicable compliance deadlines for using recycled HFCs in fire suppression </w:t>
      </w:r>
      <w:r w:rsidRPr="00283806">
        <w:rPr>
          <w:spacing w:val="-2"/>
          <w:w w:val="105"/>
        </w:rPr>
        <w:t>systems.</w:t>
      </w:r>
    </w:p>
    <w:p w14:paraId="23194143" w14:textId="77777777" w:rsidR="00D67C1E" w:rsidRPr="00283806" w:rsidRDefault="001265CA">
      <w:pPr>
        <w:spacing w:line="180" w:lineRule="exact"/>
        <w:ind w:left="324"/>
        <w:rPr>
          <w:sz w:val="18"/>
        </w:rPr>
      </w:pPr>
      <w:r w:rsidRPr="00283806">
        <w:rPr>
          <w:rFonts w:ascii="Book Antiqua"/>
          <w:i/>
          <w:w w:val="110"/>
          <w:sz w:val="18"/>
        </w:rPr>
        <w:t>Response:</w:t>
      </w:r>
      <w:r w:rsidRPr="00283806">
        <w:rPr>
          <w:rFonts w:ascii="Book Antiqua"/>
          <w:i/>
          <w:spacing w:val="2"/>
          <w:w w:val="110"/>
          <w:sz w:val="18"/>
        </w:rPr>
        <w:t xml:space="preserve"> </w:t>
      </w:r>
      <w:r w:rsidRPr="00283806">
        <w:rPr>
          <w:w w:val="110"/>
          <w:sz w:val="18"/>
        </w:rPr>
        <w:t>EPA</w:t>
      </w:r>
      <w:r w:rsidRPr="00283806">
        <w:rPr>
          <w:spacing w:val="8"/>
          <w:w w:val="110"/>
          <w:sz w:val="18"/>
        </w:rPr>
        <w:t xml:space="preserve"> </w:t>
      </w:r>
      <w:r w:rsidRPr="00283806">
        <w:rPr>
          <w:w w:val="110"/>
          <w:sz w:val="18"/>
        </w:rPr>
        <w:t>acknowledges</w:t>
      </w:r>
      <w:r w:rsidRPr="00283806">
        <w:rPr>
          <w:spacing w:val="8"/>
          <w:w w:val="110"/>
          <w:sz w:val="18"/>
        </w:rPr>
        <w:t xml:space="preserve"> </w:t>
      </w:r>
      <w:r w:rsidRPr="00283806">
        <w:rPr>
          <w:spacing w:val="-2"/>
          <w:w w:val="110"/>
          <w:sz w:val="18"/>
        </w:rPr>
        <w:t>these</w:t>
      </w:r>
    </w:p>
    <w:p w14:paraId="1AE963A9" w14:textId="77777777" w:rsidR="00D67C1E" w:rsidRPr="00283806" w:rsidRDefault="001265CA">
      <w:pPr>
        <w:pStyle w:val="BodyText"/>
        <w:spacing w:line="228" w:lineRule="auto"/>
        <w:ind w:left="144" w:right="185"/>
      </w:pPr>
      <w:r w:rsidRPr="00283806">
        <w:rPr>
          <w:w w:val="105"/>
        </w:rPr>
        <w:t xml:space="preserve">comments both in support of and </w:t>
      </w:r>
      <w:proofErr w:type="gramStart"/>
      <w:r w:rsidRPr="00283806">
        <w:rPr>
          <w:w w:val="105"/>
        </w:rPr>
        <w:t>raising</w:t>
      </w:r>
      <w:proofErr w:type="gramEnd"/>
      <w:r w:rsidRPr="00283806">
        <w:rPr>
          <w:w w:val="105"/>
        </w:rPr>
        <w:t xml:space="preserve"> concerns with the timing of the requirements for recycled HFCs</w:t>
      </w:r>
      <w:r w:rsidRPr="00283806">
        <w:rPr>
          <w:spacing w:val="80"/>
          <w:w w:val="105"/>
        </w:rPr>
        <w:t xml:space="preserve"> </w:t>
      </w:r>
      <w:r w:rsidRPr="00283806">
        <w:rPr>
          <w:w w:val="105"/>
        </w:rPr>
        <w:t>including sufficient availability of recycled HFCs for the initial installation</w:t>
      </w:r>
      <w:r w:rsidRPr="00283806">
        <w:rPr>
          <w:spacing w:val="40"/>
          <w:w w:val="105"/>
        </w:rPr>
        <w:t xml:space="preserve"> </w:t>
      </w:r>
      <w:r w:rsidRPr="00283806">
        <w:rPr>
          <w:w w:val="105"/>
        </w:rPr>
        <w:t>of fire suppression equipment. EPA acknowledges the importance of the overall HFC phasedown and notes that comments on the phasedown’s</w:t>
      </w:r>
      <w:r w:rsidRPr="00283806">
        <w:rPr>
          <w:spacing w:val="80"/>
          <w:w w:val="150"/>
        </w:rPr>
        <w:t xml:space="preserve"> </w:t>
      </w:r>
      <w:r w:rsidRPr="00283806">
        <w:rPr>
          <w:w w:val="105"/>
        </w:rPr>
        <w:t>structure, including a ban on the import of</w:t>
      </w:r>
      <w:r w:rsidRPr="00283806">
        <w:rPr>
          <w:spacing w:val="40"/>
          <w:w w:val="105"/>
        </w:rPr>
        <w:t xml:space="preserve"> </w:t>
      </w:r>
      <w:r w:rsidRPr="00283806">
        <w:rPr>
          <w:w w:val="105"/>
        </w:rPr>
        <w:t>virgin</w:t>
      </w:r>
      <w:r w:rsidRPr="00283806">
        <w:rPr>
          <w:spacing w:val="40"/>
          <w:w w:val="105"/>
        </w:rPr>
        <w:t xml:space="preserve"> </w:t>
      </w:r>
      <w:r w:rsidRPr="00283806">
        <w:rPr>
          <w:w w:val="105"/>
        </w:rPr>
        <w:t>HFCs</w:t>
      </w:r>
      <w:r w:rsidRPr="00283806">
        <w:rPr>
          <w:spacing w:val="40"/>
          <w:w w:val="105"/>
        </w:rPr>
        <w:t xml:space="preserve"> </w:t>
      </w:r>
      <w:r w:rsidRPr="00283806">
        <w:rPr>
          <w:w w:val="105"/>
        </w:rPr>
        <w:t>for</w:t>
      </w:r>
      <w:r w:rsidRPr="00283806">
        <w:rPr>
          <w:spacing w:val="40"/>
          <w:w w:val="105"/>
        </w:rPr>
        <w:t xml:space="preserve"> </w:t>
      </w:r>
      <w:r w:rsidRPr="00283806">
        <w:rPr>
          <w:w w:val="105"/>
        </w:rPr>
        <w:t>use</w:t>
      </w:r>
      <w:r w:rsidRPr="00283806">
        <w:rPr>
          <w:spacing w:val="40"/>
          <w:w w:val="105"/>
        </w:rPr>
        <w:t xml:space="preserve"> </w:t>
      </w:r>
      <w:r w:rsidRPr="00283806">
        <w:rPr>
          <w:w w:val="105"/>
        </w:rPr>
        <w:t>in</w:t>
      </w:r>
      <w:r w:rsidRPr="00283806">
        <w:rPr>
          <w:spacing w:val="40"/>
          <w:w w:val="105"/>
        </w:rPr>
        <w:t xml:space="preserve"> </w:t>
      </w:r>
      <w:r w:rsidRPr="00283806">
        <w:rPr>
          <w:w w:val="105"/>
        </w:rPr>
        <w:t>fire suppression and use of consumption allowances to import virgin HFCs, are beyond the scope of this action and require no further response. The Agency does not agree that the provisions as</w:t>
      </w:r>
    </w:p>
    <w:p w14:paraId="06A10657"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6" w:space="40"/>
            <w:col w:w="3500" w:space="39"/>
            <w:col w:w="3625"/>
          </w:cols>
        </w:sectPr>
      </w:pPr>
    </w:p>
    <w:p w14:paraId="6A7CF711" w14:textId="77777777" w:rsidR="00D67C1E" w:rsidRPr="00283806" w:rsidRDefault="001265CA">
      <w:pPr>
        <w:pStyle w:val="BodyText"/>
        <w:spacing w:before="136" w:line="225" w:lineRule="auto"/>
        <w:ind w:right="68"/>
      </w:pPr>
      <w:r w:rsidRPr="00283806">
        <w:rPr>
          <w:w w:val="105"/>
        </w:rPr>
        <w:lastRenderedPageBreak/>
        <w:t>proposed will result in irreparable financial harm, given the adjustment made in this final rule to extend the compliance date. As noted previously, reliance</w:t>
      </w:r>
      <w:r w:rsidRPr="00283806">
        <w:rPr>
          <w:spacing w:val="40"/>
          <w:w w:val="105"/>
        </w:rPr>
        <w:t xml:space="preserve"> </w:t>
      </w:r>
      <w:r w:rsidRPr="00283806">
        <w:rPr>
          <w:w w:val="105"/>
        </w:rPr>
        <w:t>on</w:t>
      </w:r>
      <w:r w:rsidRPr="00283806">
        <w:rPr>
          <w:spacing w:val="40"/>
          <w:w w:val="105"/>
        </w:rPr>
        <w:t xml:space="preserve"> </w:t>
      </w:r>
      <w:r w:rsidRPr="00283806">
        <w:rPr>
          <w:w w:val="105"/>
        </w:rPr>
        <w:t>recovered</w:t>
      </w:r>
      <w:r w:rsidRPr="00283806">
        <w:rPr>
          <w:spacing w:val="40"/>
          <w:w w:val="105"/>
        </w:rPr>
        <w:t xml:space="preserve"> </w:t>
      </w:r>
      <w:r w:rsidRPr="00283806">
        <w:rPr>
          <w:w w:val="105"/>
        </w:rPr>
        <w:t>and</w:t>
      </w:r>
      <w:r w:rsidRPr="00283806">
        <w:rPr>
          <w:spacing w:val="40"/>
          <w:w w:val="105"/>
        </w:rPr>
        <w:t xml:space="preserve"> </w:t>
      </w:r>
      <w:r w:rsidRPr="00283806">
        <w:rPr>
          <w:w w:val="105"/>
        </w:rPr>
        <w:t>reusable HFCs will be increasingly important. Informed by comments and after further evaluation, EPA is finalizing the compliance date for the initial</w:t>
      </w:r>
      <w:r w:rsidRPr="00283806">
        <w:rPr>
          <w:spacing w:val="40"/>
          <w:w w:val="105"/>
        </w:rPr>
        <w:t xml:space="preserve"> </w:t>
      </w:r>
      <w:r w:rsidRPr="00283806">
        <w:rPr>
          <w:w w:val="105"/>
        </w:rPr>
        <w:t>installation of fire suppression</w:t>
      </w:r>
      <w:r w:rsidRPr="00283806">
        <w:rPr>
          <w:spacing w:val="40"/>
          <w:w w:val="105"/>
        </w:rPr>
        <w:t xml:space="preserve"> </w:t>
      </w:r>
      <w:r w:rsidRPr="00283806">
        <w:rPr>
          <w:w w:val="105"/>
        </w:rPr>
        <w:t>equipment with recycled HFCs of</w:t>
      </w:r>
      <w:r w:rsidRPr="00283806">
        <w:rPr>
          <w:spacing w:val="80"/>
          <w:w w:val="105"/>
        </w:rPr>
        <w:t xml:space="preserve"> </w:t>
      </w:r>
      <w:r w:rsidRPr="00283806">
        <w:rPr>
          <w:w w:val="105"/>
        </w:rPr>
        <w:t>January 1, 2030, five years later than proposed and after the next phasedown in 2029. This will provide any</w:t>
      </w:r>
      <w:r w:rsidRPr="00283806">
        <w:rPr>
          <w:spacing w:val="80"/>
          <w:w w:val="150"/>
        </w:rPr>
        <w:t xml:space="preserve"> </w:t>
      </w:r>
      <w:r w:rsidRPr="00283806">
        <w:rPr>
          <w:w w:val="105"/>
        </w:rPr>
        <w:t>companies using virgin HFCs for this purpose more time to transition to recycled</w:t>
      </w:r>
      <w:r w:rsidRPr="00283806">
        <w:rPr>
          <w:spacing w:val="40"/>
          <w:w w:val="105"/>
        </w:rPr>
        <w:t xml:space="preserve"> </w:t>
      </w:r>
      <w:r w:rsidRPr="00283806">
        <w:rPr>
          <w:w w:val="105"/>
        </w:rPr>
        <w:t>HFCs.</w:t>
      </w:r>
      <w:r w:rsidRPr="00283806">
        <w:rPr>
          <w:spacing w:val="40"/>
          <w:w w:val="105"/>
        </w:rPr>
        <w:t xml:space="preserve"> </w:t>
      </w:r>
      <w:r w:rsidRPr="00283806">
        <w:rPr>
          <w:w w:val="105"/>
        </w:rPr>
        <w:t>It</w:t>
      </w:r>
      <w:r w:rsidRPr="00283806">
        <w:rPr>
          <w:spacing w:val="40"/>
          <w:w w:val="105"/>
        </w:rPr>
        <w:t xml:space="preserve"> </w:t>
      </w:r>
      <w:r w:rsidRPr="00283806">
        <w:rPr>
          <w:w w:val="105"/>
        </w:rPr>
        <w:t>will</w:t>
      </w:r>
      <w:r w:rsidRPr="00283806">
        <w:rPr>
          <w:spacing w:val="40"/>
          <w:w w:val="105"/>
        </w:rPr>
        <w:t xml:space="preserve"> </w:t>
      </w:r>
      <w:r w:rsidRPr="00283806">
        <w:rPr>
          <w:w w:val="105"/>
        </w:rPr>
        <w:t>also</w:t>
      </w:r>
      <w:r w:rsidRPr="00283806">
        <w:rPr>
          <w:spacing w:val="40"/>
          <w:w w:val="105"/>
        </w:rPr>
        <w:t xml:space="preserve"> </w:t>
      </w:r>
      <w:r w:rsidRPr="00283806">
        <w:rPr>
          <w:w w:val="105"/>
        </w:rPr>
        <w:t xml:space="preserve">allow industry time to adjust any relevant existing contracts concerning </w:t>
      </w:r>
      <w:proofErr w:type="gramStart"/>
      <w:r w:rsidRPr="00283806">
        <w:rPr>
          <w:w w:val="105"/>
        </w:rPr>
        <w:t>supply</w:t>
      </w:r>
      <w:proofErr w:type="gramEnd"/>
      <w:r w:rsidRPr="00283806">
        <w:rPr>
          <w:w w:val="105"/>
        </w:rPr>
        <w:t xml:space="preserve"> of recycled HFCs and provide more time to alleviate concern about </w:t>
      </w:r>
      <w:proofErr w:type="gramStart"/>
      <w:r w:rsidRPr="00283806">
        <w:rPr>
          <w:w w:val="105"/>
        </w:rPr>
        <w:t>inadequate</w:t>
      </w:r>
      <w:proofErr w:type="gramEnd"/>
      <w:r w:rsidRPr="00283806">
        <w:rPr>
          <w:w w:val="105"/>
        </w:rPr>
        <w:t xml:space="preserve"> supply of recycled HFCs.</w:t>
      </w:r>
    </w:p>
    <w:p w14:paraId="571F419C" w14:textId="77777777" w:rsidR="00D67C1E" w:rsidRPr="00283806" w:rsidRDefault="001265CA">
      <w:pPr>
        <w:spacing w:line="177" w:lineRule="exact"/>
        <w:ind w:left="340"/>
        <w:rPr>
          <w:sz w:val="18"/>
        </w:rPr>
      </w:pPr>
      <w:r w:rsidRPr="00283806">
        <w:rPr>
          <w:rFonts w:ascii="Book Antiqua"/>
          <w:i/>
          <w:w w:val="110"/>
          <w:sz w:val="18"/>
        </w:rPr>
        <w:t>Comment:</w:t>
      </w:r>
      <w:r w:rsidRPr="00283806">
        <w:rPr>
          <w:rFonts w:ascii="Book Antiqua"/>
          <w:i/>
          <w:spacing w:val="4"/>
          <w:w w:val="110"/>
          <w:sz w:val="18"/>
        </w:rPr>
        <w:t xml:space="preserve"> </w:t>
      </w:r>
      <w:r w:rsidRPr="00283806">
        <w:rPr>
          <w:w w:val="110"/>
          <w:sz w:val="18"/>
        </w:rPr>
        <w:t>A</w:t>
      </w:r>
      <w:r w:rsidRPr="00283806">
        <w:rPr>
          <w:spacing w:val="10"/>
          <w:w w:val="110"/>
          <w:sz w:val="18"/>
        </w:rPr>
        <w:t xml:space="preserve"> </w:t>
      </w:r>
      <w:r w:rsidRPr="00283806">
        <w:rPr>
          <w:w w:val="110"/>
          <w:sz w:val="18"/>
        </w:rPr>
        <w:t>couple</w:t>
      </w:r>
      <w:r w:rsidRPr="00283806">
        <w:rPr>
          <w:spacing w:val="10"/>
          <w:w w:val="110"/>
          <w:sz w:val="18"/>
        </w:rPr>
        <w:t xml:space="preserve"> </w:t>
      </w:r>
      <w:r w:rsidRPr="00283806">
        <w:rPr>
          <w:w w:val="110"/>
          <w:sz w:val="18"/>
        </w:rPr>
        <w:t>of</w:t>
      </w:r>
      <w:r w:rsidRPr="00283806">
        <w:rPr>
          <w:spacing w:val="10"/>
          <w:w w:val="110"/>
          <w:sz w:val="18"/>
        </w:rPr>
        <w:t xml:space="preserve"> </w:t>
      </w:r>
      <w:r w:rsidRPr="00283806">
        <w:rPr>
          <w:spacing w:val="-2"/>
          <w:w w:val="110"/>
          <w:sz w:val="18"/>
        </w:rPr>
        <w:t>commenters</w:t>
      </w:r>
    </w:p>
    <w:p w14:paraId="6524CFDE" w14:textId="77777777" w:rsidR="00D67C1E" w:rsidRPr="00283806" w:rsidRDefault="001265CA">
      <w:pPr>
        <w:pStyle w:val="BodyText"/>
        <w:spacing w:line="225" w:lineRule="auto"/>
        <w:ind w:right="9"/>
      </w:pPr>
      <w:r w:rsidRPr="00283806">
        <w:rPr>
          <w:w w:val="105"/>
        </w:rPr>
        <w:t>also mentioned that potential cross contamination continues to be an issue for recycled halon and that the requirements</w:t>
      </w:r>
      <w:r w:rsidRPr="00283806">
        <w:rPr>
          <w:spacing w:val="-4"/>
          <w:w w:val="105"/>
        </w:rPr>
        <w:t xml:space="preserve"> </w:t>
      </w:r>
      <w:r w:rsidRPr="00283806">
        <w:rPr>
          <w:w w:val="105"/>
        </w:rPr>
        <w:t>in</w:t>
      </w:r>
      <w:r w:rsidRPr="00283806">
        <w:rPr>
          <w:spacing w:val="-4"/>
          <w:w w:val="105"/>
        </w:rPr>
        <w:t xml:space="preserve"> </w:t>
      </w:r>
      <w:r w:rsidRPr="00283806">
        <w:rPr>
          <w:w w:val="105"/>
        </w:rPr>
        <w:t>40</w:t>
      </w:r>
      <w:r w:rsidRPr="00283806">
        <w:rPr>
          <w:spacing w:val="-4"/>
          <w:w w:val="105"/>
        </w:rPr>
        <w:t xml:space="preserve"> </w:t>
      </w:r>
      <w:r w:rsidRPr="00283806">
        <w:rPr>
          <w:w w:val="105"/>
        </w:rPr>
        <w:t>CFR</w:t>
      </w:r>
      <w:r w:rsidRPr="00283806">
        <w:rPr>
          <w:spacing w:val="-4"/>
          <w:w w:val="105"/>
        </w:rPr>
        <w:t xml:space="preserve"> </w:t>
      </w:r>
      <w:r w:rsidRPr="00283806">
        <w:rPr>
          <w:w w:val="105"/>
        </w:rPr>
        <w:t>84.110(c)(1)</w:t>
      </w:r>
      <w:r w:rsidRPr="00283806">
        <w:rPr>
          <w:spacing w:val="-4"/>
          <w:w w:val="105"/>
        </w:rPr>
        <w:t xml:space="preserve"> </w:t>
      </w:r>
      <w:r w:rsidRPr="00283806">
        <w:rPr>
          <w:spacing w:val="-5"/>
          <w:w w:val="105"/>
        </w:rPr>
        <w:t>and</w:t>
      </w:r>
    </w:p>
    <w:p w14:paraId="50475B74" w14:textId="77777777" w:rsidR="00D67C1E" w:rsidRPr="00283806" w:rsidRDefault="001265CA">
      <w:pPr>
        <w:pStyle w:val="BodyText"/>
        <w:spacing w:line="225" w:lineRule="auto"/>
        <w:ind w:right="12"/>
      </w:pPr>
      <w:r w:rsidRPr="00283806">
        <w:rPr>
          <w:w w:val="105"/>
        </w:rPr>
        <w:t>(2) should support the avoidance of this issue for HFCs in the fire suppression sector. One of the commenters commended EPA for the requirements intended to prevent cross-contamination of recycled fire suppression agents</w:t>
      </w:r>
      <w:r w:rsidRPr="00283806">
        <w:rPr>
          <w:spacing w:val="40"/>
          <w:w w:val="105"/>
        </w:rPr>
        <w:t xml:space="preserve"> </w:t>
      </w:r>
      <w:r w:rsidRPr="00283806">
        <w:rPr>
          <w:w w:val="105"/>
        </w:rPr>
        <w:t>during transfer, recovery, and storage, stating that the cross-contamination of recycled halon 1301 is an ongoing problem, and that these requirements would enhance ongoing industry efforts and keep it from becoming a significant issue for HFCs.</w:t>
      </w:r>
    </w:p>
    <w:p w14:paraId="5C8C48E1" w14:textId="77777777" w:rsidR="00D67C1E" w:rsidRPr="00283806" w:rsidRDefault="001265CA">
      <w:pPr>
        <w:pStyle w:val="BodyText"/>
        <w:spacing w:line="213" w:lineRule="auto"/>
        <w:ind w:firstLine="180"/>
      </w:pPr>
      <w:r w:rsidRPr="00283806">
        <w:rPr>
          <w:rFonts w:ascii="Book Antiqua"/>
          <w:i/>
          <w:w w:val="105"/>
        </w:rPr>
        <w:t xml:space="preserve">Response: </w:t>
      </w:r>
      <w:r w:rsidRPr="00283806">
        <w:rPr>
          <w:w w:val="105"/>
        </w:rPr>
        <w:t>EPA acknowledges the comments</w:t>
      </w:r>
      <w:r w:rsidRPr="00283806">
        <w:rPr>
          <w:spacing w:val="-1"/>
          <w:w w:val="105"/>
        </w:rPr>
        <w:t xml:space="preserve"> </w:t>
      </w:r>
      <w:r w:rsidRPr="00283806">
        <w:rPr>
          <w:w w:val="105"/>
        </w:rPr>
        <w:t>that</w:t>
      </w:r>
      <w:r w:rsidRPr="00283806">
        <w:rPr>
          <w:spacing w:val="-1"/>
          <w:w w:val="105"/>
        </w:rPr>
        <w:t xml:space="preserve"> </w:t>
      </w:r>
      <w:r w:rsidRPr="00283806">
        <w:rPr>
          <w:w w:val="105"/>
        </w:rPr>
        <w:t>the</w:t>
      </w:r>
      <w:r w:rsidRPr="00283806">
        <w:rPr>
          <w:spacing w:val="-1"/>
          <w:w w:val="105"/>
        </w:rPr>
        <w:t xml:space="preserve"> </w:t>
      </w:r>
      <w:r w:rsidRPr="00283806">
        <w:rPr>
          <w:w w:val="105"/>
        </w:rPr>
        <w:t>requirements</w:t>
      </w:r>
      <w:r w:rsidRPr="00283806">
        <w:rPr>
          <w:spacing w:val="-1"/>
          <w:w w:val="105"/>
        </w:rPr>
        <w:t xml:space="preserve"> </w:t>
      </w:r>
      <w:r w:rsidRPr="00283806">
        <w:rPr>
          <w:w w:val="105"/>
        </w:rPr>
        <w:t>in</w:t>
      </w:r>
      <w:r w:rsidRPr="00283806">
        <w:rPr>
          <w:spacing w:val="-1"/>
          <w:w w:val="105"/>
        </w:rPr>
        <w:t xml:space="preserve"> </w:t>
      </w:r>
      <w:r w:rsidRPr="00283806">
        <w:rPr>
          <w:w w:val="105"/>
        </w:rPr>
        <w:t>40</w:t>
      </w:r>
    </w:p>
    <w:p w14:paraId="0CD4D47B" w14:textId="77777777" w:rsidR="00D67C1E" w:rsidRPr="00283806" w:rsidRDefault="001265CA">
      <w:pPr>
        <w:pStyle w:val="BodyText"/>
        <w:spacing w:line="225" w:lineRule="auto"/>
      </w:pPr>
      <w:r w:rsidRPr="00283806">
        <w:rPr>
          <w:w w:val="105"/>
        </w:rPr>
        <w:t>CFR</w:t>
      </w:r>
      <w:r w:rsidRPr="00283806">
        <w:rPr>
          <w:spacing w:val="-2"/>
          <w:w w:val="105"/>
        </w:rPr>
        <w:t xml:space="preserve"> </w:t>
      </w:r>
      <w:r w:rsidRPr="00283806">
        <w:rPr>
          <w:w w:val="105"/>
        </w:rPr>
        <w:t>84.110(c)(1)</w:t>
      </w:r>
      <w:r w:rsidRPr="00283806">
        <w:rPr>
          <w:spacing w:val="-2"/>
          <w:w w:val="105"/>
        </w:rPr>
        <w:t xml:space="preserve"> </w:t>
      </w:r>
      <w:r w:rsidRPr="00283806">
        <w:rPr>
          <w:w w:val="105"/>
        </w:rPr>
        <w:t>and</w:t>
      </w:r>
      <w:r w:rsidRPr="00283806">
        <w:rPr>
          <w:spacing w:val="-2"/>
          <w:w w:val="105"/>
        </w:rPr>
        <w:t xml:space="preserve"> </w:t>
      </w:r>
      <w:r w:rsidRPr="00283806">
        <w:rPr>
          <w:w w:val="105"/>
        </w:rPr>
        <w:t>(2)</w:t>
      </w:r>
      <w:r w:rsidRPr="00283806">
        <w:rPr>
          <w:spacing w:val="-2"/>
          <w:w w:val="105"/>
        </w:rPr>
        <w:t xml:space="preserve"> </w:t>
      </w:r>
      <w:r w:rsidRPr="00283806">
        <w:rPr>
          <w:w w:val="105"/>
        </w:rPr>
        <w:t>should</w:t>
      </w:r>
      <w:r w:rsidRPr="00283806">
        <w:rPr>
          <w:spacing w:val="-2"/>
          <w:w w:val="105"/>
        </w:rPr>
        <w:t xml:space="preserve"> </w:t>
      </w:r>
      <w:r w:rsidRPr="00283806">
        <w:rPr>
          <w:w w:val="105"/>
        </w:rPr>
        <w:t>help</w:t>
      </w:r>
      <w:r w:rsidRPr="00283806">
        <w:rPr>
          <w:spacing w:val="-2"/>
          <w:w w:val="105"/>
        </w:rPr>
        <w:t xml:space="preserve"> </w:t>
      </w:r>
      <w:r w:rsidRPr="00283806">
        <w:rPr>
          <w:w w:val="105"/>
        </w:rPr>
        <w:t xml:space="preserve">to address potential cross-contamination issues with HFCs used for fire </w:t>
      </w:r>
      <w:r w:rsidRPr="00283806">
        <w:rPr>
          <w:spacing w:val="-2"/>
          <w:w w:val="105"/>
        </w:rPr>
        <w:t>suppression.</w:t>
      </w:r>
    </w:p>
    <w:p w14:paraId="5BE82602" w14:textId="77777777" w:rsidR="00D67C1E" w:rsidRPr="00283806" w:rsidRDefault="001265CA">
      <w:pPr>
        <w:pStyle w:val="BodyText"/>
        <w:spacing w:line="213" w:lineRule="auto"/>
        <w:ind w:firstLine="180"/>
      </w:pPr>
      <w:r w:rsidRPr="00283806">
        <w:rPr>
          <w:rFonts w:ascii="Book Antiqua" w:hAnsi="Book Antiqua"/>
          <w:i/>
          <w:w w:val="105"/>
        </w:rPr>
        <w:t xml:space="preserve">Comment: </w:t>
      </w:r>
      <w:r w:rsidRPr="00283806">
        <w:rPr>
          <w:w w:val="105"/>
        </w:rPr>
        <w:t>One commenter stated that EPA’s proffered options for the use of</w:t>
      </w:r>
    </w:p>
    <w:p w14:paraId="740704D2" w14:textId="77777777" w:rsidR="00D67C1E" w:rsidRPr="00283806" w:rsidRDefault="001265CA">
      <w:pPr>
        <w:pStyle w:val="BodyText"/>
        <w:spacing w:line="225" w:lineRule="auto"/>
        <w:ind w:right="38"/>
      </w:pPr>
      <w:proofErr w:type="gramStart"/>
      <w:r w:rsidRPr="00283806">
        <w:rPr>
          <w:w w:val="105"/>
        </w:rPr>
        <w:t>recycled</w:t>
      </w:r>
      <w:proofErr w:type="gramEnd"/>
      <w:r w:rsidRPr="00283806">
        <w:rPr>
          <w:w w:val="105"/>
        </w:rPr>
        <w:t xml:space="preserve"> HFCs for initial fill still come with difficult challenges: how far out to extend the requirement to ensure sufficient available recycled material,</w:t>
      </w:r>
      <w:r w:rsidRPr="00283806">
        <w:rPr>
          <w:spacing w:val="40"/>
          <w:w w:val="105"/>
        </w:rPr>
        <w:t xml:space="preserve"> </w:t>
      </w:r>
      <w:r w:rsidRPr="00283806">
        <w:rPr>
          <w:w w:val="105"/>
        </w:rPr>
        <w:t>and how to report and manage a</w:t>
      </w:r>
      <w:r w:rsidRPr="00283806">
        <w:rPr>
          <w:spacing w:val="80"/>
          <w:w w:val="105"/>
        </w:rPr>
        <w:t xml:space="preserve"> </w:t>
      </w:r>
      <w:r w:rsidRPr="00283806">
        <w:rPr>
          <w:w w:val="105"/>
        </w:rPr>
        <w:t>variable percent recycled content requirement.</w:t>
      </w:r>
      <w:r w:rsidRPr="00283806">
        <w:rPr>
          <w:spacing w:val="-2"/>
          <w:w w:val="105"/>
        </w:rPr>
        <w:t xml:space="preserve"> </w:t>
      </w:r>
      <w:r w:rsidRPr="00283806">
        <w:rPr>
          <w:w w:val="105"/>
        </w:rPr>
        <w:t>The</w:t>
      </w:r>
      <w:r w:rsidRPr="00283806">
        <w:rPr>
          <w:spacing w:val="-2"/>
          <w:w w:val="105"/>
        </w:rPr>
        <w:t xml:space="preserve"> </w:t>
      </w:r>
      <w:r w:rsidRPr="00283806">
        <w:rPr>
          <w:w w:val="105"/>
        </w:rPr>
        <w:t>commenter</w:t>
      </w:r>
      <w:r w:rsidRPr="00283806">
        <w:rPr>
          <w:spacing w:val="-2"/>
          <w:w w:val="105"/>
        </w:rPr>
        <w:t xml:space="preserve"> </w:t>
      </w:r>
      <w:r w:rsidRPr="00283806">
        <w:rPr>
          <w:w w:val="105"/>
        </w:rPr>
        <w:t>stated</w:t>
      </w:r>
      <w:r w:rsidRPr="00283806">
        <w:rPr>
          <w:spacing w:val="-2"/>
          <w:w w:val="105"/>
        </w:rPr>
        <w:t xml:space="preserve"> </w:t>
      </w:r>
      <w:r w:rsidRPr="00283806">
        <w:rPr>
          <w:w w:val="105"/>
        </w:rPr>
        <w:t>that existing AIM Act structure already presents a challenge to the use of virgin HFCs in fire suppression due to their high-GWP allowance opportunity cost. The commenter stated that this intent of</w:t>
      </w:r>
    </w:p>
    <w:p w14:paraId="4C50F449" w14:textId="77777777" w:rsidR="00D67C1E" w:rsidRPr="00283806" w:rsidRDefault="001265CA">
      <w:pPr>
        <w:pStyle w:val="BodyText"/>
        <w:spacing w:before="136" w:line="225" w:lineRule="auto"/>
        <w:ind w:left="142" w:right="143"/>
      </w:pPr>
      <w:r w:rsidRPr="00283806">
        <w:br w:type="column"/>
      </w:r>
      <w:r w:rsidRPr="00283806">
        <w:rPr>
          <w:w w:val="105"/>
        </w:rPr>
        <w:t>HFCs may be unavailable. The commenter suggested that this is the right way to manage the limited use of HFCs in fire suppression without putting critical facilities and people at risk of a fire.</w:t>
      </w:r>
    </w:p>
    <w:p w14:paraId="58B86212" w14:textId="77777777" w:rsidR="00D67C1E" w:rsidRPr="00283806" w:rsidRDefault="001265CA">
      <w:pPr>
        <w:spacing w:line="183" w:lineRule="exact"/>
        <w:ind w:left="322"/>
        <w:rPr>
          <w:sz w:val="18"/>
        </w:rPr>
      </w:pPr>
      <w:r w:rsidRPr="00283806">
        <w:rPr>
          <w:rFonts w:ascii="Book Antiqua"/>
          <w:i/>
          <w:w w:val="110"/>
          <w:sz w:val="18"/>
        </w:rPr>
        <w:t>Response:</w:t>
      </w:r>
      <w:r w:rsidRPr="00283806">
        <w:rPr>
          <w:rFonts w:ascii="Book Antiqua"/>
          <w:i/>
          <w:spacing w:val="4"/>
          <w:w w:val="110"/>
          <w:sz w:val="18"/>
        </w:rPr>
        <w:t xml:space="preserve"> </w:t>
      </w:r>
      <w:r w:rsidRPr="00283806">
        <w:rPr>
          <w:w w:val="110"/>
          <w:sz w:val="18"/>
        </w:rPr>
        <w:t>As</w:t>
      </w:r>
      <w:r w:rsidRPr="00283806">
        <w:rPr>
          <w:spacing w:val="10"/>
          <w:w w:val="110"/>
          <w:sz w:val="18"/>
        </w:rPr>
        <w:t xml:space="preserve"> </w:t>
      </w:r>
      <w:r w:rsidRPr="00283806">
        <w:rPr>
          <w:w w:val="110"/>
          <w:sz w:val="18"/>
        </w:rPr>
        <w:t>described</w:t>
      </w:r>
      <w:r w:rsidRPr="00283806">
        <w:rPr>
          <w:spacing w:val="10"/>
          <w:w w:val="110"/>
          <w:sz w:val="18"/>
        </w:rPr>
        <w:t xml:space="preserve"> </w:t>
      </w:r>
      <w:r w:rsidRPr="00283806">
        <w:rPr>
          <w:w w:val="110"/>
          <w:sz w:val="18"/>
        </w:rPr>
        <w:t>in</w:t>
      </w:r>
      <w:r w:rsidRPr="00283806">
        <w:rPr>
          <w:spacing w:val="10"/>
          <w:w w:val="110"/>
          <w:sz w:val="18"/>
        </w:rPr>
        <w:t xml:space="preserve"> </w:t>
      </w:r>
      <w:r w:rsidRPr="00283806">
        <w:rPr>
          <w:spacing w:val="-5"/>
          <w:w w:val="110"/>
          <w:sz w:val="18"/>
        </w:rPr>
        <w:t>the</w:t>
      </w:r>
    </w:p>
    <w:p w14:paraId="3497264E" w14:textId="77777777" w:rsidR="00D67C1E" w:rsidRPr="00283806" w:rsidRDefault="001265CA">
      <w:pPr>
        <w:pStyle w:val="BodyText"/>
        <w:spacing w:line="225" w:lineRule="auto"/>
        <w:ind w:left="142" w:right="70"/>
      </w:pPr>
      <w:r w:rsidRPr="00283806">
        <w:rPr>
          <w:w w:val="105"/>
        </w:rPr>
        <w:t>proposal, EPA sought comments from stakeholders on options that would be viable. The commenter does not cite any provision in the AIM Act to support its assertion that the Act’s intent is to leave general flexibility to use new virgin material for fire suppression</w:t>
      </w:r>
      <w:r w:rsidRPr="00283806">
        <w:rPr>
          <w:spacing w:val="80"/>
          <w:w w:val="105"/>
        </w:rPr>
        <w:t xml:space="preserve"> </w:t>
      </w:r>
      <w:r w:rsidRPr="00283806">
        <w:rPr>
          <w:w w:val="105"/>
        </w:rPr>
        <w:t>applications nor does it cite any information or data to support the implication that there are situations</w:t>
      </w:r>
      <w:r w:rsidRPr="00283806">
        <w:rPr>
          <w:spacing w:val="40"/>
          <w:w w:val="105"/>
        </w:rPr>
        <w:t xml:space="preserve"> </w:t>
      </w:r>
      <w:r w:rsidRPr="00283806">
        <w:rPr>
          <w:w w:val="105"/>
        </w:rPr>
        <w:t>when performance and safety requirements would indicate use of an HFC fire suppressant but no low/no</w:t>
      </w:r>
      <w:r w:rsidRPr="00283806">
        <w:rPr>
          <w:spacing w:val="80"/>
          <w:w w:val="105"/>
        </w:rPr>
        <w:t xml:space="preserve"> </w:t>
      </w:r>
      <w:r w:rsidRPr="00283806">
        <w:rPr>
          <w:w w:val="105"/>
        </w:rPr>
        <w:t>GWP options are suitable and recycled HFCs are unavailable. Thus, EPA cannot provide a more detailed response to</w:t>
      </w:r>
      <w:r w:rsidRPr="00283806">
        <w:rPr>
          <w:spacing w:val="40"/>
          <w:w w:val="105"/>
        </w:rPr>
        <w:t xml:space="preserve"> </w:t>
      </w:r>
      <w:r w:rsidRPr="00283806">
        <w:rPr>
          <w:w w:val="105"/>
        </w:rPr>
        <w:t>these concerns. As explained in detail elsewhere in section IV.F.2.b of this preamble,</w:t>
      </w:r>
      <w:r w:rsidRPr="00283806">
        <w:rPr>
          <w:spacing w:val="40"/>
          <w:w w:val="105"/>
        </w:rPr>
        <w:t xml:space="preserve"> </w:t>
      </w:r>
      <w:r w:rsidRPr="00283806">
        <w:rPr>
          <w:w w:val="105"/>
        </w:rPr>
        <w:t>the</w:t>
      </w:r>
      <w:r w:rsidRPr="00283806">
        <w:rPr>
          <w:spacing w:val="40"/>
          <w:w w:val="105"/>
        </w:rPr>
        <w:t xml:space="preserve"> </w:t>
      </w:r>
      <w:r w:rsidRPr="00283806">
        <w:rPr>
          <w:w w:val="105"/>
        </w:rPr>
        <w:t>provisions</w:t>
      </w:r>
      <w:r w:rsidRPr="00283806">
        <w:rPr>
          <w:spacing w:val="40"/>
          <w:w w:val="105"/>
        </w:rPr>
        <w:t xml:space="preserve"> </w:t>
      </w:r>
      <w:r w:rsidRPr="00283806">
        <w:rPr>
          <w:w w:val="105"/>
        </w:rPr>
        <w:t>finalized</w:t>
      </w:r>
      <w:r w:rsidRPr="00283806">
        <w:rPr>
          <w:spacing w:val="40"/>
          <w:w w:val="105"/>
        </w:rPr>
        <w:t xml:space="preserve"> </w:t>
      </w:r>
      <w:r w:rsidRPr="00283806">
        <w:rPr>
          <w:w w:val="105"/>
        </w:rPr>
        <w:t>in this rule, including the requirements to use recycled HFCs in fire suppression equipment are consistent with EPA’s interpretation of its authority under subsection (h) of the AIM Act and the direction in the statutory provision.</w:t>
      </w:r>
    </w:p>
    <w:p w14:paraId="25A5490B" w14:textId="77777777" w:rsidR="00D67C1E" w:rsidRPr="00283806" w:rsidRDefault="001265CA">
      <w:pPr>
        <w:pStyle w:val="BodyText"/>
        <w:spacing w:line="225" w:lineRule="auto"/>
        <w:ind w:left="142"/>
      </w:pPr>
      <w:r w:rsidRPr="00283806">
        <w:rPr>
          <w:w w:val="105"/>
        </w:rPr>
        <w:t xml:space="preserve">Further, elsewhere in section IV.F.2.b of this preamble, EPA has </w:t>
      </w:r>
      <w:proofErr w:type="gramStart"/>
      <w:r w:rsidRPr="00283806">
        <w:rPr>
          <w:w w:val="105"/>
        </w:rPr>
        <w:t>made</w:t>
      </w:r>
      <w:r w:rsidRPr="00283806">
        <w:rPr>
          <w:spacing w:val="40"/>
          <w:w w:val="105"/>
        </w:rPr>
        <w:t xml:space="preserve"> </w:t>
      </w:r>
      <w:r w:rsidRPr="00283806">
        <w:rPr>
          <w:w w:val="105"/>
        </w:rPr>
        <w:t>adjustments to</w:t>
      </w:r>
      <w:proofErr w:type="gramEnd"/>
      <w:r w:rsidRPr="00283806">
        <w:rPr>
          <w:w w:val="105"/>
        </w:rPr>
        <w:t xml:space="preserve"> the requirements in the final rule based on points raised in</w:t>
      </w:r>
      <w:r w:rsidRPr="00283806">
        <w:rPr>
          <w:spacing w:val="80"/>
          <w:w w:val="105"/>
        </w:rPr>
        <w:t xml:space="preserve"> </w:t>
      </w:r>
      <w:r w:rsidRPr="00283806">
        <w:rPr>
          <w:w w:val="105"/>
        </w:rPr>
        <w:t xml:space="preserve">public comments by delaying the compliance dates to address possible concerns with the supply of </w:t>
      </w:r>
      <w:proofErr w:type="gramStart"/>
      <w:r w:rsidRPr="00283806">
        <w:rPr>
          <w:w w:val="105"/>
        </w:rPr>
        <w:t>recycle</w:t>
      </w:r>
      <w:proofErr w:type="gramEnd"/>
      <w:r w:rsidRPr="00283806">
        <w:rPr>
          <w:spacing w:val="80"/>
          <w:w w:val="105"/>
        </w:rPr>
        <w:t xml:space="preserve"> </w:t>
      </w:r>
      <w:r w:rsidRPr="00283806">
        <w:rPr>
          <w:w w:val="105"/>
        </w:rPr>
        <w:t>HFCs. To the extent this comment concerns</w:t>
      </w:r>
      <w:r w:rsidRPr="00283806">
        <w:rPr>
          <w:spacing w:val="40"/>
          <w:w w:val="105"/>
        </w:rPr>
        <w:t xml:space="preserve"> </w:t>
      </w:r>
      <w:r w:rsidRPr="00283806">
        <w:rPr>
          <w:w w:val="105"/>
        </w:rPr>
        <w:t>aspects</w:t>
      </w:r>
      <w:r w:rsidRPr="00283806">
        <w:rPr>
          <w:spacing w:val="40"/>
          <w:w w:val="105"/>
        </w:rPr>
        <w:t xml:space="preserve"> </w:t>
      </w:r>
      <w:r w:rsidRPr="00283806">
        <w:rPr>
          <w:w w:val="105"/>
        </w:rPr>
        <w:t>of</w:t>
      </w:r>
      <w:r w:rsidRPr="00283806">
        <w:rPr>
          <w:spacing w:val="40"/>
          <w:w w:val="105"/>
        </w:rPr>
        <w:t xml:space="preserve"> </w:t>
      </w:r>
      <w:r w:rsidRPr="00283806">
        <w:rPr>
          <w:w w:val="105"/>
        </w:rPr>
        <w:t>the</w:t>
      </w:r>
      <w:r w:rsidRPr="00283806">
        <w:rPr>
          <w:spacing w:val="40"/>
          <w:w w:val="105"/>
        </w:rPr>
        <w:t xml:space="preserve"> </w:t>
      </w:r>
      <w:r w:rsidRPr="00283806">
        <w:rPr>
          <w:w w:val="105"/>
        </w:rPr>
        <w:t>AIM</w:t>
      </w:r>
      <w:r w:rsidRPr="00283806">
        <w:rPr>
          <w:spacing w:val="40"/>
          <w:w w:val="105"/>
        </w:rPr>
        <w:t xml:space="preserve"> </w:t>
      </w:r>
      <w:r w:rsidRPr="00283806">
        <w:rPr>
          <w:w w:val="105"/>
        </w:rPr>
        <w:t>Act</w:t>
      </w:r>
      <w:r w:rsidRPr="00283806">
        <w:rPr>
          <w:spacing w:val="40"/>
          <w:w w:val="105"/>
        </w:rPr>
        <w:t xml:space="preserve"> </w:t>
      </w:r>
      <w:r w:rsidRPr="00283806">
        <w:rPr>
          <w:w w:val="105"/>
        </w:rPr>
        <w:t>or EPA’s implementing regulations beyond the proposed rule under subsection</w:t>
      </w:r>
      <w:r w:rsidRPr="00283806">
        <w:rPr>
          <w:spacing w:val="80"/>
          <w:w w:val="105"/>
        </w:rPr>
        <w:t xml:space="preserve"> </w:t>
      </w:r>
      <w:r w:rsidRPr="00283806">
        <w:rPr>
          <w:w w:val="105"/>
        </w:rPr>
        <w:t>(h)—such as the allowances, the</w:t>
      </w:r>
      <w:r w:rsidRPr="00283806">
        <w:rPr>
          <w:spacing w:val="40"/>
          <w:w w:val="105"/>
        </w:rPr>
        <w:t xml:space="preserve"> </w:t>
      </w:r>
      <w:r w:rsidRPr="00283806">
        <w:rPr>
          <w:w w:val="105"/>
        </w:rPr>
        <w:t>structure of the phasedown, and tradeable allowances—it is outside the scope</w:t>
      </w:r>
      <w:r w:rsidRPr="00283806">
        <w:rPr>
          <w:spacing w:val="40"/>
          <w:w w:val="105"/>
        </w:rPr>
        <w:t xml:space="preserve"> </w:t>
      </w:r>
      <w:r w:rsidRPr="00283806">
        <w:rPr>
          <w:w w:val="105"/>
        </w:rPr>
        <w:t>of</w:t>
      </w:r>
      <w:r w:rsidRPr="00283806">
        <w:rPr>
          <w:spacing w:val="40"/>
          <w:w w:val="105"/>
        </w:rPr>
        <w:t xml:space="preserve"> </w:t>
      </w:r>
      <w:r w:rsidRPr="00283806">
        <w:rPr>
          <w:w w:val="105"/>
        </w:rPr>
        <w:t>this</w:t>
      </w:r>
      <w:r w:rsidRPr="00283806">
        <w:rPr>
          <w:spacing w:val="40"/>
          <w:w w:val="105"/>
        </w:rPr>
        <w:t xml:space="preserve"> </w:t>
      </w:r>
      <w:r w:rsidRPr="00283806">
        <w:rPr>
          <w:w w:val="105"/>
        </w:rPr>
        <w:t>rulemaking.</w:t>
      </w:r>
      <w:r w:rsidRPr="00283806">
        <w:rPr>
          <w:spacing w:val="40"/>
          <w:w w:val="105"/>
        </w:rPr>
        <w:t xml:space="preserve"> </w:t>
      </w:r>
      <w:r w:rsidRPr="00283806">
        <w:rPr>
          <w:w w:val="105"/>
        </w:rPr>
        <w:t>EPA</w:t>
      </w:r>
      <w:r w:rsidRPr="00283806">
        <w:rPr>
          <w:spacing w:val="40"/>
          <w:w w:val="105"/>
        </w:rPr>
        <w:t xml:space="preserve"> </w:t>
      </w:r>
      <w:r w:rsidRPr="00283806">
        <w:rPr>
          <w:w w:val="105"/>
        </w:rPr>
        <w:t>has</w:t>
      </w:r>
      <w:r w:rsidRPr="00283806">
        <w:rPr>
          <w:spacing w:val="40"/>
          <w:w w:val="105"/>
        </w:rPr>
        <w:t xml:space="preserve"> </w:t>
      </w:r>
      <w:r w:rsidRPr="00283806">
        <w:rPr>
          <w:w w:val="105"/>
        </w:rPr>
        <w:t>a long and successful history of working with the fire suppression industry to</w:t>
      </w:r>
      <w:r w:rsidRPr="00283806">
        <w:rPr>
          <w:spacing w:val="80"/>
          <w:w w:val="105"/>
        </w:rPr>
        <w:t xml:space="preserve"> </w:t>
      </w:r>
      <w:r w:rsidRPr="00283806">
        <w:rPr>
          <w:w w:val="105"/>
        </w:rPr>
        <w:t>lead in the production phaseout of</w:t>
      </w:r>
      <w:r w:rsidRPr="00283806">
        <w:rPr>
          <w:spacing w:val="80"/>
          <w:w w:val="105"/>
        </w:rPr>
        <w:t xml:space="preserve"> </w:t>
      </w:r>
      <w:r w:rsidRPr="00283806">
        <w:rPr>
          <w:w w:val="105"/>
        </w:rPr>
        <w:t>halons and transition to safe alternatives through testing and changes to industry standards. This has taken into consideration the needs and challenges</w:t>
      </w:r>
      <w:r w:rsidRPr="00283806">
        <w:rPr>
          <w:spacing w:val="40"/>
          <w:w w:val="105"/>
        </w:rPr>
        <w:t xml:space="preserve"> </w:t>
      </w:r>
      <w:r w:rsidRPr="00283806">
        <w:rPr>
          <w:w w:val="105"/>
        </w:rPr>
        <w:t>in sectors such as the military, oil and</w:t>
      </w:r>
      <w:r w:rsidRPr="00283806">
        <w:rPr>
          <w:spacing w:val="40"/>
          <w:w w:val="105"/>
        </w:rPr>
        <w:t xml:space="preserve"> </w:t>
      </w:r>
      <w:r w:rsidRPr="00283806">
        <w:rPr>
          <w:w w:val="105"/>
        </w:rPr>
        <w:t>gas, maritime, and aviation to protect critical facilities, equipment, and personnel. We look forward to managing the ER&amp;R program in the same way.</w:t>
      </w:r>
    </w:p>
    <w:p w14:paraId="50EFE225" w14:textId="77777777" w:rsidR="00D67C1E" w:rsidRPr="00283806" w:rsidRDefault="001265CA">
      <w:pPr>
        <w:pStyle w:val="ListParagraph"/>
        <w:numPr>
          <w:ilvl w:val="1"/>
          <w:numId w:val="50"/>
        </w:numPr>
        <w:tabs>
          <w:tab w:val="left" w:pos="330"/>
        </w:tabs>
        <w:spacing w:before="77" w:line="64" w:lineRule="exact"/>
        <w:ind w:left="330" w:hanging="188"/>
        <w:rPr>
          <w:sz w:val="18"/>
        </w:rPr>
      </w:pPr>
      <w:r w:rsidRPr="00283806">
        <w:rPr>
          <w:w w:val="105"/>
          <w:sz w:val="18"/>
        </w:rPr>
        <w:t>Requirements</w:t>
      </w:r>
      <w:r w:rsidRPr="00283806">
        <w:rPr>
          <w:spacing w:val="10"/>
          <w:w w:val="105"/>
          <w:sz w:val="18"/>
        </w:rPr>
        <w:t xml:space="preserve"> </w:t>
      </w:r>
      <w:r w:rsidRPr="00283806">
        <w:rPr>
          <w:w w:val="105"/>
          <w:sz w:val="18"/>
        </w:rPr>
        <w:t>for</w:t>
      </w:r>
      <w:r w:rsidRPr="00283806">
        <w:rPr>
          <w:spacing w:val="11"/>
          <w:w w:val="105"/>
          <w:sz w:val="18"/>
        </w:rPr>
        <w:t xml:space="preserve"> </w:t>
      </w:r>
      <w:r w:rsidRPr="00283806">
        <w:rPr>
          <w:w w:val="105"/>
          <w:sz w:val="18"/>
        </w:rPr>
        <w:t>Servicing</w:t>
      </w:r>
      <w:r w:rsidRPr="00283806">
        <w:rPr>
          <w:spacing w:val="10"/>
          <w:w w:val="105"/>
          <w:sz w:val="18"/>
        </w:rPr>
        <w:t xml:space="preserve"> </w:t>
      </w:r>
      <w:r w:rsidRPr="00283806">
        <w:rPr>
          <w:spacing w:val="-2"/>
          <w:w w:val="105"/>
          <w:sz w:val="18"/>
        </w:rPr>
        <w:t>and/or</w:t>
      </w:r>
    </w:p>
    <w:p w14:paraId="1DC3734B" w14:textId="77777777" w:rsidR="00D67C1E" w:rsidRPr="00283806" w:rsidRDefault="001265CA">
      <w:pPr>
        <w:pStyle w:val="BodyText"/>
        <w:spacing w:before="135" w:line="225" w:lineRule="auto"/>
        <w:ind w:left="143" w:right="211"/>
      </w:pPr>
      <w:r w:rsidRPr="00283806">
        <w:br w:type="column"/>
      </w:r>
      <w:r w:rsidRPr="00283806">
        <w:rPr>
          <w:w w:val="105"/>
        </w:rPr>
        <w:t>required to evacuate, as applicable, all equipment used to recover, store, and/ or transfer HFCs prior to each use to prevent contamination, arrange for destruction of the recovered HFCs as necessary (</w:t>
      </w:r>
      <w:r w:rsidRPr="00283806">
        <w:rPr>
          <w:rFonts w:ascii="Book Antiqua"/>
          <w:i/>
          <w:w w:val="105"/>
        </w:rPr>
        <w:t>e.g.,</w:t>
      </w:r>
      <w:r w:rsidRPr="00283806">
        <w:rPr>
          <w:rFonts w:ascii="Book Antiqua"/>
          <w:i/>
          <w:spacing w:val="-3"/>
          <w:w w:val="105"/>
        </w:rPr>
        <w:t xml:space="preserve"> </w:t>
      </w:r>
      <w:r w:rsidRPr="00283806">
        <w:rPr>
          <w:w w:val="105"/>
        </w:rPr>
        <w:t>recovered HFCs that are too contaminated to be recycled), and collect and dispose of wastes from recycling process. If the recycling of HFCs is not practical, the disposal of HFCs will help to prevent releases of used HFCs into the atmosphere.</w:t>
      </w:r>
    </w:p>
    <w:p w14:paraId="6E2AD385" w14:textId="77777777" w:rsidR="00D67C1E" w:rsidRPr="00283806" w:rsidRDefault="001265CA">
      <w:pPr>
        <w:pStyle w:val="BodyText"/>
        <w:spacing w:line="228" w:lineRule="auto"/>
        <w:ind w:left="143" w:right="193" w:firstLine="180"/>
        <w:rPr>
          <w:sz w:val="11"/>
        </w:rPr>
      </w:pPr>
      <w:r w:rsidRPr="00283806">
        <w:rPr>
          <w:w w:val="105"/>
        </w:rPr>
        <w:t>In 2015, data on recycling of HFC fire suppression agents were collected as part of the HEEP, which is a voluntary data collection effort implemented by</w:t>
      </w:r>
      <w:r w:rsidRPr="00283806">
        <w:rPr>
          <w:spacing w:val="40"/>
          <w:w w:val="105"/>
        </w:rPr>
        <w:t xml:space="preserve"> </w:t>
      </w:r>
      <w:r w:rsidRPr="00283806">
        <w:rPr>
          <w:w w:val="105"/>
        </w:rPr>
        <w:t xml:space="preserve">the fire suppression industry. HEEP collects data on sales of fire suppression agents for recharge </w:t>
      </w:r>
      <w:proofErr w:type="gramStart"/>
      <w:r w:rsidRPr="00283806">
        <w:rPr>
          <w:w w:val="105"/>
        </w:rPr>
        <w:t>in order to</w:t>
      </w:r>
      <w:proofErr w:type="gramEnd"/>
      <w:r w:rsidRPr="00283806">
        <w:rPr>
          <w:w w:val="105"/>
        </w:rPr>
        <w:t xml:space="preserve"> estimate annual emissions of HFCs. These data showed that the HFC–227ea, HFC–125, HFC–236fa and HFC–23 were all</w:t>
      </w:r>
      <w:r w:rsidRPr="00283806">
        <w:rPr>
          <w:spacing w:val="40"/>
          <w:w w:val="105"/>
        </w:rPr>
        <w:t xml:space="preserve"> </w:t>
      </w:r>
      <w:r w:rsidRPr="00283806">
        <w:rPr>
          <w:w w:val="105"/>
        </w:rPr>
        <w:t>recycled for fire suppression use.</w:t>
      </w:r>
      <w:r w:rsidRPr="00283806">
        <w:rPr>
          <w:w w:val="105"/>
          <w:position w:val="5"/>
          <w:sz w:val="11"/>
        </w:rPr>
        <w:t>130</w:t>
      </w:r>
      <w:r w:rsidRPr="00283806">
        <w:rPr>
          <w:spacing w:val="40"/>
          <w:w w:val="105"/>
          <w:position w:val="5"/>
          <w:sz w:val="11"/>
        </w:rPr>
        <w:t xml:space="preserve"> </w:t>
      </w:r>
      <w:r w:rsidRPr="00283806">
        <w:rPr>
          <w:w w:val="105"/>
        </w:rPr>
        <w:t>In recent years, approximately 75 percent</w:t>
      </w:r>
      <w:r w:rsidRPr="00283806">
        <w:rPr>
          <w:spacing w:val="40"/>
          <w:w w:val="105"/>
        </w:rPr>
        <w:t xml:space="preserve"> </w:t>
      </w:r>
      <w:r w:rsidRPr="00283806">
        <w:rPr>
          <w:w w:val="105"/>
        </w:rPr>
        <w:t>of HFCs sold for recharge came from recyclers, with 80 percent reported in 2020, based on data submitted voluntarily to HEEP, which may not include all entities in this sector.</w:t>
      </w:r>
      <w:r w:rsidRPr="00283806">
        <w:rPr>
          <w:w w:val="105"/>
          <w:position w:val="5"/>
          <w:sz w:val="11"/>
        </w:rPr>
        <w:t>131</w:t>
      </w:r>
    </w:p>
    <w:p w14:paraId="7C0175E5" w14:textId="77777777" w:rsidR="00D67C1E" w:rsidRPr="00283806" w:rsidRDefault="001265CA">
      <w:pPr>
        <w:pStyle w:val="BodyText"/>
        <w:spacing w:line="174" w:lineRule="exact"/>
        <w:ind w:left="323"/>
      </w:pPr>
      <w:r w:rsidRPr="00283806">
        <w:rPr>
          <w:w w:val="105"/>
        </w:rPr>
        <w:t>As</w:t>
      </w:r>
      <w:r w:rsidRPr="00283806">
        <w:rPr>
          <w:spacing w:val="6"/>
          <w:w w:val="105"/>
        </w:rPr>
        <w:t xml:space="preserve"> </w:t>
      </w:r>
      <w:r w:rsidRPr="00283806">
        <w:rPr>
          <w:w w:val="105"/>
        </w:rPr>
        <w:t>part</w:t>
      </w:r>
      <w:r w:rsidRPr="00283806">
        <w:rPr>
          <w:spacing w:val="7"/>
          <w:w w:val="105"/>
        </w:rPr>
        <w:t xml:space="preserve"> </w:t>
      </w:r>
      <w:r w:rsidRPr="00283806">
        <w:rPr>
          <w:w w:val="105"/>
        </w:rPr>
        <w:t>of</w:t>
      </w:r>
      <w:r w:rsidRPr="00283806">
        <w:rPr>
          <w:spacing w:val="7"/>
          <w:w w:val="105"/>
        </w:rPr>
        <w:t xml:space="preserve"> </w:t>
      </w:r>
      <w:r w:rsidRPr="00283806">
        <w:rPr>
          <w:w w:val="105"/>
        </w:rPr>
        <w:t>servicing</w:t>
      </w:r>
      <w:r w:rsidRPr="00283806">
        <w:rPr>
          <w:spacing w:val="7"/>
          <w:w w:val="105"/>
        </w:rPr>
        <w:t xml:space="preserve"> </w:t>
      </w:r>
      <w:r w:rsidRPr="00283806">
        <w:rPr>
          <w:w w:val="105"/>
        </w:rPr>
        <w:t>and/or</w:t>
      </w:r>
      <w:r w:rsidRPr="00283806">
        <w:rPr>
          <w:spacing w:val="7"/>
          <w:w w:val="105"/>
        </w:rPr>
        <w:t xml:space="preserve"> </w:t>
      </w:r>
      <w:r w:rsidRPr="00283806">
        <w:rPr>
          <w:spacing w:val="-2"/>
          <w:w w:val="105"/>
        </w:rPr>
        <w:t>repairing</w:t>
      </w:r>
    </w:p>
    <w:p w14:paraId="5F14D7A3" w14:textId="77777777" w:rsidR="00D67C1E" w:rsidRPr="00283806" w:rsidRDefault="001265CA">
      <w:pPr>
        <w:pStyle w:val="BodyText"/>
        <w:spacing w:line="228" w:lineRule="auto"/>
        <w:ind w:left="143" w:right="131"/>
      </w:pPr>
      <w:proofErr w:type="gramStart"/>
      <w:r w:rsidRPr="00283806">
        <w:rPr>
          <w:w w:val="105"/>
        </w:rPr>
        <w:t>fire</w:t>
      </w:r>
      <w:proofErr w:type="gramEnd"/>
      <w:r w:rsidRPr="00283806">
        <w:rPr>
          <w:w w:val="105"/>
        </w:rPr>
        <w:t xml:space="preserve"> suppression equipment, recovery</w:t>
      </w:r>
      <w:r w:rsidRPr="00283806">
        <w:rPr>
          <w:spacing w:val="40"/>
          <w:w w:val="105"/>
        </w:rPr>
        <w:t xml:space="preserve"> </w:t>
      </w:r>
      <w:r w:rsidRPr="00283806">
        <w:rPr>
          <w:w w:val="105"/>
        </w:rPr>
        <w:t>and recycling equipment is used to recover HFCs. EPA is also requiring that covered entities must (1) operate and maintain recovery and recycling equipment in accordance with manufacturer specifications to ensure that the equipment performs as</w:t>
      </w:r>
      <w:r w:rsidRPr="00283806">
        <w:rPr>
          <w:spacing w:val="40"/>
          <w:w w:val="105"/>
        </w:rPr>
        <w:t xml:space="preserve"> </w:t>
      </w:r>
      <w:r w:rsidRPr="00283806">
        <w:rPr>
          <w:w w:val="105"/>
        </w:rPr>
        <w:t>specified; (2) repair leaks in HFC</w:t>
      </w:r>
      <w:r w:rsidRPr="00283806">
        <w:rPr>
          <w:spacing w:val="80"/>
          <w:w w:val="105"/>
        </w:rPr>
        <w:t xml:space="preserve"> </w:t>
      </w:r>
      <w:r w:rsidRPr="00283806">
        <w:rPr>
          <w:w w:val="105"/>
        </w:rPr>
        <w:t>storage, recovery, recycling, or charging equipment before use; and (3) ensure that cross-contamination does not occur through the mixing of HFCs that may be contained in similar cylinders. Recovery equipment collects HFCs from</w:t>
      </w:r>
      <w:r w:rsidRPr="00283806">
        <w:rPr>
          <w:spacing w:val="40"/>
          <w:w w:val="105"/>
        </w:rPr>
        <w:t xml:space="preserve"> </w:t>
      </w:r>
      <w:r w:rsidRPr="00283806">
        <w:rPr>
          <w:w w:val="105"/>
        </w:rPr>
        <w:t>equipment, and recycling equipment, which is used during servicing and/or repair, removes contaminants from</w:t>
      </w:r>
      <w:r w:rsidRPr="00283806">
        <w:rPr>
          <w:spacing w:val="40"/>
          <w:w w:val="105"/>
        </w:rPr>
        <w:t xml:space="preserve"> </w:t>
      </w:r>
      <w:r w:rsidRPr="00283806">
        <w:rPr>
          <w:w w:val="105"/>
        </w:rPr>
        <w:t>HFCs.</w:t>
      </w:r>
      <w:r w:rsidRPr="00283806">
        <w:rPr>
          <w:spacing w:val="40"/>
          <w:w w:val="105"/>
        </w:rPr>
        <w:t xml:space="preserve"> </w:t>
      </w:r>
      <w:r w:rsidRPr="00283806">
        <w:rPr>
          <w:w w:val="105"/>
        </w:rPr>
        <w:t>By</w:t>
      </w:r>
      <w:r w:rsidRPr="00283806">
        <w:rPr>
          <w:spacing w:val="40"/>
          <w:w w:val="105"/>
        </w:rPr>
        <w:t xml:space="preserve"> </w:t>
      </w:r>
      <w:r w:rsidRPr="00283806">
        <w:rPr>
          <w:w w:val="105"/>
        </w:rPr>
        <w:t>ensuring</w:t>
      </w:r>
      <w:r w:rsidRPr="00283806">
        <w:rPr>
          <w:spacing w:val="40"/>
          <w:w w:val="105"/>
        </w:rPr>
        <w:t xml:space="preserve"> </w:t>
      </w:r>
      <w:r w:rsidRPr="00283806">
        <w:rPr>
          <w:w w:val="105"/>
        </w:rPr>
        <w:t>that</w:t>
      </w:r>
      <w:r w:rsidRPr="00283806">
        <w:rPr>
          <w:spacing w:val="40"/>
          <w:w w:val="105"/>
        </w:rPr>
        <w:t xml:space="preserve"> </w:t>
      </w:r>
      <w:r w:rsidRPr="00283806">
        <w:rPr>
          <w:w w:val="105"/>
        </w:rPr>
        <w:t>this</w:t>
      </w:r>
      <w:r w:rsidRPr="00283806">
        <w:rPr>
          <w:spacing w:val="40"/>
          <w:w w:val="105"/>
        </w:rPr>
        <w:t xml:space="preserve"> </w:t>
      </w:r>
      <w:r w:rsidRPr="00283806">
        <w:rPr>
          <w:w w:val="105"/>
        </w:rPr>
        <w:t>equipment is</w:t>
      </w:r>
      <w:r w:rsidRPr="00283806">
        <w:rPr>
          <w:spacing w:val="40"/>
          <w:w w:val="105"/>
        </w:rPr>
        <w:t xml:space="preserve"> </w:t>
      </w:r>
      <w:r w:rsidRPr="00283806">
        <w:rPr>
          <w:w w:val="105"/>
        </w:rPr>
        <w:t>functioning</w:t>
      </w:r>
      <w:r w:rsidRPr="00283806">
        <w:rPr>
          <w:spacing w:val="40"/>
          <w:w w:val="105"/>
        </w:rPr>
        <w:t xml:space="preserve"> </w:t>
      </w:r>
      <w:r w:rsidRPr="00283806">
        <w:rPr>
          <w:w w:val="105"/>
        </w:rPr>
        <w:t>properly,</w:t>
      </w:r>
      <w:r w:rsidRPr="00283806">
        <w:rPr>
          <w:spacing w:val="40"/>
          <w:w w:val="105"/>
        </w:rPr>
        <w:t xml:space="preserve"> </w:t>
      </w:r>
      <w:r w:rsidRPr="00283806">
        <w:rPr>
          <w:w w:val="105"/>
        </w:rPr>
        <w:t>HFC</w:t>
      </w:r>
      <w:r w:rsidRPr="00283806">
        <w:rPr>
          <w:spacing w:val="40"/>
          <w:w w:val="105"/>
        </w:rPr>
        <w:t xml:space="preserve"> </w:t>
      </w:r>
      <w:r w:rsidRPr="00283806">
        <w:rPr>
          <w:w w:val="105"/>
        </w:rPr>
        <w:t>releases can be minimized during the recovery and recycling process. The requirements finalized in this rule will ensure that releases from fire suppression</w:t>
      </w:r>
      <w:r w:rsidRPr="00283806">
        <w:rPr>
          <w:spacing w:val="40"/>
          <w:w w:val="105"/>
        </w:rPr>
        <w:t xml:space="preserve"> </w:t>
      </w:r>
      <w:r w:rsidRPr="00283806">
        <w:rPr>
          <w:w w:val="105"/>
        </w:rPr>
        <w:t>equipment are minimized when</w:t>
      </w:r>
      <w:r w:rsidRPr="00283806">
        <w:rPr>
          <w:spacing w:val="40"/>
          <w:w w:val="105"/>
        </w:rPr>
        <w:t xml:space="preserve"> </w:t>
      </w:r>
      <w:r w:rsidRPr="00283806">
        <w:rPr>
          <w:w w:val="105"/>
        </w:rPr>
        <w:t xml:space="preserve">recycling HFCs during </w:t>
      </w:r>
      <w:proofErr w:type="gramStart"/>
      <w:r w:rsidRPr="00283806">
        <w:rPr>
          <w:w w:val="105"/>
        </w:rPr>
        <w:t>servicing</w:t>
      </w:r>
      <w:proofErr w:type="gramEnd"/>
      <w:r w:rsidRPr="00283806">
        <w:rPr>
          <w:w w:val="105"/>
        </w:rPr>
        <w:t xml:space="preserve"> and/or repairing fire suppression equipment.</w:t>
      </w:r>
    </w:p>
    <w:p w14:paraId="3DA17563" w14:textId="77777777" w:rsidR="00D67C1E" w:rsidRPr="00283806" w:rsidRDefault="001265CA">
      <w:pPr>
        <w:spacing w:line="173" w:lineRule="exact"/>
        <w:ind w:left="323"/>
        <w:rPr>
          <w:sz w:val="18"/>
        </w:rPr>
      </w:pPr>
      <w:r w:rsidRPr="00283806">
        <w:rPr>
          <w:rFonts w:ascii="Book Antiqua"/>
          <w:i/>
          <w:w w:val="105"/>
          <w:sz w:val="18"/>
        </w:rPr>
        <w:t>Comment:</w:t>
      </w:r>
      <w:r w:rsidRPr="00283806">
        <w:rPr>
          <w:rFonts w:ascii="Book Antiqua"/>
          <w:i/>
          <w:spacing w:val="15"/>
          <w:w w:val="105"/>
          <w:sz w:val="18"/>
        </w:rPr>
        <w:t xml:space="preserve"> </w:t>
      </w:r>
      <w:r w:rsidRPr="00283806">
        <w:rPr>
          <w:w w:val="105"/>
          <w:sz w:val="18"/>
        </w:rPr>
        <w:t>One</w:t>
      </w:r>
      <w:r w:rsidRPr="00283806">
        <w:rPr>
          <w:spacing w:val="20"/>
          <w:w w:val="105"/>
          <w:sz w:val="18"/>
        </w:rPr>
        <w:t xml:space="preserve"> </w:t>
      </w:r>
      <w:r w:rsidRPr="00283806">
        <w:rPr>
          <w:w w:val="105"/>
          <w:sz w:val="18"/>
        </w:rPr>
        <w:t>commenter</w:t>
      </w:r>
      <w:r w:rsidRPr="00283806">
        <w:rPr>
          <w:spacing w:val="20"/>
          <w:w w:val="105"/>
          <w:sz w:val="18"/>
        </w:rPr>
        <w:t xml:space="preserve"> </w:t>
      </w:r>
      <w:r w:rsidRPr="00283806">
        <w:rPr>
          <w:w w:val="105"/>
          <w:sz w:val="18"/>
        </w:rPr>
        <w:t>stated</w:t>
      </w:r>
      <w:r w:rsidRPr="00283806">
        <w:rPr>
          <w:spacing w:val="20"/>
          <w:w w:val="105"/>
          <w:sz w:val="18"/>
        </w:rPr>
        <w:t xml:space="preserve"> </w:t>
      </w:r>
      <w:r w:rsidRPr="00283806">
        <w:rPr>
          <w:spacing w:val="-4"/>
          <w:w w:val="105"/>
          <w:sz w:val="18"/>
        </w:rPr>
        <w:t>that</w:t>
      </w:r>
    </w:p>
    <w:p w14:paraId="76212364" w14:textId="77777777" w:rsidR="00D67C1E" w:rsidRPr="00283806" w:rsidRDefault="001265CA">
      <w:pPr>
        <w:pStyle w:val="BodyText"/>
        <w:spacing w:line="200" w:lineRule="exact"/>
        <w:ind w:left="143" w:right="132"/>
      </w:pPr>
      <w:r w:rsidRPr="00283806">
        <w:rPr>
          <w:w w:val="105"/>
        </w:rPr>
        <w:t>there is no need to require the fire suppression industry to migrate to a</w:t>
      </w:r>
    </w:p>
    <w:p w14:paraId="705797A8" w14:textId="77777777" w:rsidR="00D67C1E" w:rsidRPr="00283806" w:rsidRDefault="00D67C1E">
      <w:pPr>
        <w:spacing w:line="200" w:lineRule="exact"/>
        <w:sectPr w:rsidR="00D67C1E" w:rsidRPr="00283806">
          <w:pgSz w:w="12240" w:h="15840"/>
          <w:pgMar w:top="1040" w:right="780" w:bottom="280" w:left="740" w:header="627" w:footer="0" w:gutter="0"/>
          <w:cols w:num="3" w:space="720" w:equalWidth="0">
            <w:col w:w="3518" w:space="40"/>
            <w:col w:w="3500" w:space="39"/>
            <w:col w:w="3623"/>
          </w:cols>
        </w:sectPr>
      </w:pPr>
    </w:p>
    <w:p w14:paraId="6B61EA43" w14:textId="77777777" w:rsidR="00D67C1E" w:rsidRPr="00283806" w:rsidRDefault="001265CA">
      <w:pPr>
        <w:pStyle w:val="BodyText"/>
        <w:spacing w:line="79" w:lineRule="exact"/>
      </w:pPr>
      <w:proofErr w:type="gramStart"/>
      <w:r w:rsidRPr="00283806">
        <w:rPr>
          <w:w w:val="110"/>
        </w:rPr>
        <w:t>the</w:t>
      </w:r>
      <w:proofErr w:type="gramEnd"/>
      <w:r w:rsidRPr="00283806">
        <w:rPr>
          <w:w w:val="110"/>
        </w:rPr>
        <w:t xml:space="preserve"> AIM</w:t>
      </w:r>
      <w:r w:rsidRPr="00283806">
        <w:rPr>
          <w:spacing w:val="1"/>
          <w:w w:val="110"/>
        </w:rPr>
        <w:t xml:space="preserve"> </w:t>
      </w:r>
      <w:r w:rsidRPr="00283806">
        <w:rPr>
          <w:w w:val="110"/>
        </w:rPr>
        <w:t>Act</w:t>
      </w:r>
      <w:r w:rsidRPr="00283806">
        <w:rPr>
          <w:spacing w:val="1"/>
          <w:w w:val="110"/>
        </w:rPr>
        <w:t xml:space="preserve"> </w:t>
      </w:r>
      <w:r w:rsidRPr="00283806">
        <w:rPr>
          <w:w w:val="110"/>
        </w:rPr>
        <w:t>is</w:t>
      </w:r>
      <w:r w:rsidRPr="00283806">
        <w:rPr>
          <w:spacing w:val="1"/>
          <w:w w:val="110"/>
        </w:rPr>
        <w:t xml:space="preserve"> </w:t>
      </w:r>
      <w:proofErr w:type="gramStart"/>
      <w:r w:rsidRPr="00283806">
        <w:rPr>
          <w:w w:val="110"/>
        </w:rPr>
        <w:t>motivating</w:t>
      </w:r>
      <w:proofErr w:type="gramEnd"/>
      <w:r w:rsidRPr="00283806">
        <w:rPr>
          <w:spacing w:val="1"/>
          <w:w w:val="110"/>
        </w:rPr>
        <w:t xml:space="preserve"> </w:t>
      </w:r>
      <w:r w:rsidRPr="00283806">
        <w:rPr>
          <w:spacing w:val="-2"/>
          <w:w w:val="110"/>
        </w:rPr>
        <w:t>industry</w:t>
      </w:r>
    </w:p>
    <w:p w14:paraId="2664EB47" w14:textId="77777777" w:rsidR="00D67C1E" w:rsidRPr="00283806" w:rsidRDefault="001265CA">
      <w:pPr>
        <w:pStyle w:val="BodyText"/>
        <w:spacing w:line="130" w:lineRule="exact"/>
      </w:pPr>
      <w:r w:rsidRPr="00283806">
        <w:rPr>
          <w:w w:val="105"/>
        </w:rPr>
        <w:t>towards</w:t>
      </w:r>
      <w:r w:rsidRPr="00283806">
        <w:rPr>
          <w:spacing w:val="8"/>
          <w:w w:val="105"/>
        </w:rPr>
        <w:t xml:space="preserve"> </w:t>
      </w:r>
      <w:r w:rsidRPr="00283806">
        <w:rPr>
          <w:w w:val="105"/>
        </w:rPr>
        <w:t>low/no</w:t>
      </w:r>
      <w:r w:rsidRPr="00283806">
        <w:rPr>
          <w:spacing w:val="8"/>
          <w:w w:val="105"/>
        </w:rPr>
        <w:t xml:space="preserve"> </w:t>
      </w:r>
      <w:r w:rsidRPr="00283806">
        <w:rPr>
          <w:w w:val="105"/>
        </w:rPr>
        <w:t>GWP</w:t>
      </w:r>
      <w:r w:rsidRPr="00283806">
        <w:rPr>
          <w:spacing w:val="8"/>
          <w:w w:val="105"/>
        </w:rPr>
        <w:t xml:space="preserve"> </w:t>
      </w:r>
      <w:r w:rsidRPr="00283806">
        <w:rPr>
          <w:w w:val="105"/>
        </w:rPr>
        <w:t>options</w:t>
      </w:r>
      <w:r w:rsidRPr="00283806">
        <w:rPr>
          <w:spacing w:val="8"/>
          <w:w w:val="105"/>
        </w:rPr>
        <w:t xml:space="preserve"> </w:t>
      </w:r>
      <w:r w:rsidRPr="00283806">
        <w:rPr>
          <w:spacing w:val="-2"/>
          <w:w w:val="105"/>
        </w:rPr>
        <w:t>where</w:t>
      </w:r>
    </w:p>
    <w:p w14:paraId="08A2BBAB" w14:textId="77777777" w:rsidR="00D67C1E" w:rsidRPr="00283806" w:rsidRDefault="001265CA">
      <w:pPr>
        <w:pStyle w:val="BodyText"/>
        <w:tabs>
          <w:tab w:val="left" w:pos="3699"/>
          <w:tab w:val="left" w:pos="4699"/>
        </w:tabs>
        <w:spacing w:before="8" w:line="200" w:lineRule="exact"/>
      </w:pPr>
      <w:r w:rsidRPr="00283806">
        <w:br w:type="column"/>
      </w:r>
      <w:r w:rsidRPr="00283806">
        <w:rPr>
          <w:w w:val="105"/>
        </w:rPr>
        <w:t>Repair</w:t>
      </w:r>
      <w:r w:rsidRPr="00283806">
        <w:rPr>
          <w:spacing w:val="11"/>
          <w:w w:val="105"/>
        </w:rPr>
        <w:t xml:space="preserve"> </w:t>
      </w:r>
      <w:r w:rsidRPr="00283806">
        <w:rPr>
          <w:w w:val="105"/>
        </w:rPr>
        <w:t>of</w:t>
      </w:r>
      <w:r w:rsidRPr="00283806">
        <w:rPr>
          <w:spacing w:val="11"/>
          <w:w w:val="105"/>
        </w:rPr>
        <w:t xml:space="preserve"> </w:t>
      </w:r>
      <w:r w:rsidRPr="00283806">
        <w:rPr>
          <w:w w:val="105"/>
        </w:rPr>
        <w:t>Existing</w:t>
      </w:r>
      <w:r w:rsidRPr="00283806">
        <w:rPr>
          <w:spacing w:val="12"/>
          <w:w w:val="105"/>
        </w:rPr>
        <w:t xml:space="preserve"> </w:t>
      </w:r>
      <w:r w:rsidRPr="00283806">
        <w:rPr>
          <w:w w:val="105"/>
        </w:rPr>
        <w:t>Equipment</w:t>
      </w:r>
      <w:r w:rsidRPr="00283806">
        <w:rPr>
          <w:spacing w:val="11"/>
          <w:w w:val="105"/>
        </w:rPr>
        <w:t xml:space="preserve"> </w:t>
      </w:r>
      <w:r w:rsidRPr="00283806">
        <w:rPr>
          <w:w w:val="105"/>
        </w:rPr>
        <w:t>for</w:t>
      </w:r>
      <w:r w:rsidRPr="00283806">
        <w:rPr>
          <w:spacing w:val="11"/>
          <w:w w:val="105"/>
        </w:rPr>
        <w:t xml:space="preserve"> </w:t>
      </w:r>
      <w:r w:rsidRPr="00283806">
        <w:rPr>
          <w:spacing w:val="-4"/>
          <w:w w:val="105"/>
        </w:rPr>
        <w:t>Fire</w:t>
      </w:r>
      <w:r w:rsidRPr="00283806">
        <w:tab/>
      </w:r>
      <w:r w:rsidRPr="00283806">
        <w:rPr>
          <w:u w:val="single"/>
        </w:rPr>
        <w:tab/>
      </w:r>
    </w:p>
    <w:p w14:paraId="66063D6D" w14:textId="77777777" w:rsidR="00D67C1E" w:rsidRPr="00283806" w:rsidRDefault="00D67C1E">
      <w:pPr>
        <w:spacing w:line="200" w:lineRule="exact"/>
        <w:sectPr w:rsidR="00D67C1E" w:rsidRPr="00283806">
          <w:type w:val="continuous"/>
          <w:pgSz w:w="12240" w:h="15840"/>
          <w:pgMar w:top="880" w:right="780" w:bottom="280" w:left="740" w:header="627" w:footer="0" w:gutter="0"/>
          <w:cols w:num="2" w:space="720" w:equalWidth="0">
            <w:col w:w="3197" w:space="343"/>
            <w:col w:w="7180"/>
          </w:cols>
        </w:sectPr>
      </w:pPr>
    </w:p>
    <w:p w14:paraId="186F622E" w14:textId="77777777" w:rsidR="00D67C1E" w:rsidRPr="00283806" w:rsidRDefault="001265CA">
      <w:pPr>
        <w:pStyle w:val="BodyText"/>
        <w:spacing w:before="73" w:line="228" w:lineRule="auto"/>
        <w:ind w:right="17"/>
      </w:pPr>
      <w:r w:rsidRPr="00283806">
        <w:rPr>
          <w:w w:val="105"/>
        </w:rPr>
        <w:t>available, promoting the general use of recycled material when possible, but leaving the flexibility of new, virgin material for those applications requiring the performance and safety of an HFC</w:t>
      </w:r>
      <w:r w:rsidRPr="00283806">
        <w:rPr>
          <w:spacing w:val="40"/>
          <w:w w:val="105"/>
        </w:rPr>
        <w:t xml:space="preserve"> </w:t>
      </w:r>
      <w:r w:rsidRPr="00283806">
        <w:rPr>
          <w:w w:val="105"/>
        </w:rPr>
        <w:t>fire suppression agent when low/no</w:t>
      </w:r>
      <w:r w:rsidRPr="00283806">
        <w:rPr>
          <w:spacing w:val="40"/>
          <w:w w:val="105"/>
        </w:rPr>
        <w:t xml:space="preserve"> </w:t>
      </w:r>
      <w:r w:rsidRPr="00283806">
        <w:rPr>
          <w:w w:val="105"/>
        </w:rPr>
        <w:t>GWP options are suitable and recycled</w:t>
      </w:r>
    </w:p>
    <w:p w14:paraId="0416418D" w14:textId="77777777" w:rsidR="00D67C1E" w:rsidRPr="00283806" w:rsidRDefault="001265CA">
      <w:pPr>
        <w:pStyle w:val="BodyText"/>
      </w:pPr>
      <w:r w:rsidRPr="00283806">
        <w:br w:type="column"/>
      </w:r>
      <w:r w:rsidRPr="00283806">
        <w:rPr>
          <w:spacing w:val="-2"/>
          <w:w w:val="110"/>
        </w:rPr>
        <w:t>Suppression</w:t>
      </w:r>
    </w:p>
    <w:p w14:paraId="64DD7298" w14:textId="77777777" w:rsidR="00D67C1E" w:rsidRPr="00283806" w:rsidRDefault="001265CA">
      <w:pPr>
        <w:pStyle w:val="BodyText"/>
        <w:spacing w:before="62" w:line="228" w:lineRule="auto"/>
        <w:ind w:firstLine="180"/>
      </w:pPr>
      <w:r w:rsidRPr="00283806">
        <w:rPr>
          <w:w w:val="105"/>
        </w:rPr>
        <w:t xml:space="preserve">EPA is </w:t>
      </w:r>
      <w:proofErr w:type="gramStart"/>
      <w:r w:rsidRPr="00283806">
        <w:rPr>
          <w:w w:val="105"/>
        </w:rPr>
        <w:t>requiring</w:t>
      </w:r>
      <w:proofErr w:type="gramEnd"/>
      <w:r w:rsidRPr="00283806">
        <w:rPr>
          <w:w w:val="105"/>
        </w:rPr>
        <w:t xml:space="preserve"> the servicing and/or repair of fire suppression equipment to be done with recycled HFCs, including both total flooding systems and streaming applications, starting on January 1, 2026. Covered entities are</w:t>
      </w:r>
    </w:p>
    <w:p w14:paraId="1E823026" w14:textId="679E5E45" w:rsidR="00D67C1E" w:rsidRPr="00283806" w:rsidRDefault="001265CA">
      <w:pPr>
        <w:spacing w:before="5" w:line="232" w:lineRule="auto"/>
        <w:ind w:left="160" w:right="252" w:firstLine="140"/>
        <w:rPr>
          <w:sz w:val="14"/>
        </w:rPr>
      </w:pPr>
      <w:r w:rsidRPr="00283806">
        <w:br w:type="column"/>
      </w:r>
      <w:r w:rsidRPr="00283806">
        <w:rPr>
          <w:w w:val="105"/>
          <w:position w:val="4"/>
          <w:sz w:val="9"/>
        </w:rPr>
        <w:t xml:space="preserve">130 </w:t>
      </w:r>
      <w:r w:rsidRPr="00283806">
        <w:rPr>
          <w:w w:val="105"/>
          <w:sz w:val="14"/>
        </w:rPr>
        <w:t>HARC comments on Notice of Data</w:t>
      </w:r>
      <w:r w:rsidRPr="00283806">
        <w:rPr>
          <w:spacing w:val="80"/>
          <w:w w:val="105"/>
          <w:sz w:val="14"/>
        </w:rPr>
        <w:t xml:space="preserve"> </w:t>
      </w:r>
      <w:r w:rsidRPr="00283806">
        <w:rPr>
          <w:w w:val="105"/>
          <w:sz w:val="14"/>
        </w:rPr>
        <w:t>Availability Relevant to Management of Regulated</w:t>
      </w:r>
      <w:r w:rsidRPr="00283806">
        <w:rPr>
          <w:spacing w:val="40"/>
          <w:w w:val="105"/>
          <w:sz w:val="14"/>
        </w:rPr>
        <w:t xml:space="preserve"> </w:t>
      </w:r>
      <w:r w:rsidRPr="00283806">
        <w:rPr>
          <w:w w:val="105"/>
          <w:sz w:val="14"/>
        </w:rPr>
        <w:t>Substances under the American Innovation and</w:t>
      </w:r>
      <w:r w:rsidRPr="00283806">
        <w:rPr>
          <w:spacing w:val="40"/>
          <w:w w:val="105"/>
          <w:sz w:val="14"/>
        </w:rPr>
        <w:t xml:space="preserve"> </w:t>
      </w:r>
      <w:r w:rsidRPr="00283806">
        <w:rPr>
          <w:w w:val="105"/>
          <w:sz w:val="14"/>
        </w:rPr>
        <w:t>Manufacturing Act of 2020 are available in the</w:t>
      </w:r>
      <w:r w:rsidRPr="00283806">
        <w:rPr>
          <w:spacing w:val="40"/>
          <w:w w:val="105"/>
          <w:sz w:val="14"/>
        </w:rPr>
        <w:t xml:space="preserve"> </w:t>
      </w:r>
      <w:r w:rsidRPr="00283806">
        <w:rPr>
          <w:w w:val="105"/>
          <w:sz w:val="14"/>
        </w:rPr>
        <w:t>docket (EPA–HQ–OAR–2022–0606) for this</w:t>
      </w:r>
      <w:r w:rsidRPr="00283806">
        <w:rPr>
          <w:spacing w:val="40"/>
          <w:w w:val="105"/>
          <w:sz w:val="14"/>
        </w:rPr>
        <w:t xml:space="preserve"> </w:t>
      </w:r>
      <w:r w:rsidRPr="00283806">
        <w:rPr>
          <w:w w:val="105"/>
          <w:sz w:val="14"/>
        </w:rPr>
        <w:t xml:space="preserve">rulemaking at </w:t>
      </w:r>
      <w:r w:rsidRPr="00283806">
        <w:rPr>
          <w:rFonts w:ascii="Book Antiqua" w:hAnsi="Book Antiqua"/>
          <w:i/>
          <w:w w:val="105"/>
          <w:sz w:val="14"/>
        </w:rPr>
        <w:t>https://www.regulations.gov</w:t>
      </w:r>
      <w:r w:rsidRPr="00283806">
        <w:rPr>
          <w:w w:val="105"/>
          <w:sz w:val="14"/>
        </w:rPr>
        <w:t>.</w:t>
      </w:r>
    </w:p>
    <w:p w14:paraId="037DF01C" w14:textId="77777777" w:rsidR="00D67C1E" w:rsidRPr="00283806" w:rsidRDefault="001265CA">
      <w:pPr>
        <w:spacing w:before="16" w:line="232" w:lineRule="auto"/>
        <w:ind w:left="160" w:right="161" w:firstLine="140"/>
        <w:rPr>
          <w:sz w:val="14"/>
        </w:rPr>
      </w:pPr>
      <w:r w:rsidRPr="00283806">
        <w:rPr>
          <w:w w:val="105"/>
          <w:position w:val="4"/>
          <w:sz w:val="9"/>
        </w:rPr>
        <w:t xml:space="preserve">131 </w:t>
      </w:r>
      <w:r w:rsidRPr="00283806">
        <w:rPr>
          <w:w w:val="105"/>
          <w:sz w:val="14"/>
        </w:rPr>
        <w:t>HARC Report of the HFC Emissions Estimating</w:t>
      </w:r>
      <w:r w:rsidRPr="00283806">
        <w:rPr>
          <w:spacing w:val="40"/>
          <w:w w:val="105"/>
          <w:sz w:val="14"/>
        </w:rPr>
        <w:t xml:space="preserve"> </w:t>
      </w:r>
      <w:r w:rsidRPr="00283806">
        <w:rPr>
          <w:w w:val="105"/>
          <w:sz w:val="14"/>
        </w:rPr>
        <w:t>Program (HEEP) 2002–2020 Data Collection,</w:t>
      </w:r>
      <w:r w:rsidRPr="00283806">
        <w:rPr>
          <w:spacing w:val="80"/>
          <w:w w:val="105"/>
          <w:sz w:val="14"/>
        </w:rPr>
        <w:t xml:space="preserve"> </w:t>
      </w:r>
      <w:r w:rsidRPr="00283806">
        <w:rPr>
          <w:w w:val="105"/>
          <w:sz w:val="14"/>
        </w:rPr>
        <w:t>October 2022.</w:t>
      </w:r>
    </w:p>
    <w:p w14:paraId="11710E88" w14:textId="77777777" w:rsidR="00D67C1E" w:rsidRPr="00283806" w:rsidRDefault="00D67C1E">
      <w:pPr>
        <w:spacing w:line="232" w:lineRule="auto"/>
        <w:rPr>
          <w:sz w:val="14"/>
        </w:rPr>
        <w:sectPr w:rsidR="00D67C1E" w:rsidRPr="00283806">
          <w:type w:val="continuous"/>
          <w:pgSz w:w="12240" w:h="15840"/>
          <w:pgMar w:top="880" w:right="780" w:bottom="280" w:left="740" w:header="627" w:footer="0" w:gutter="0"/>
          <w:cols w:num="3" w:space="720" w:equalWidth="0">
            <w:col w:w="3487" w:space="53"/>
            <w:col w:w="3446" w:space="93"/>
            <w:col w:w="3641"/>
          </w:cols>
        </w:sectPr>
      </w:pPr>
    </w:p>
    <w:p w14:paraId="39473F43" w14:textId="77777777" w:rsidR="00D67C1E" w:rsidRPr="00283806" w:rsidRDefault="001265CA">
      <w:pPr>
        <w:pStyle w:val="BodyText"/>
        <w:spacing w:before="136" w:line="225" w:lineRule="auto"/>
        <w:ind w:right="59"/>
      </w:pPr>
      <w:r w:rsidRPr="00283806">
        <w:rPr>
          <w:w w:val="105"/>
        </w:rPr>
        <w:lastRenderedPageBreak/>
        <w:t>recycled agent for servicing existing systems. The commenter stated that most</w:t>
      </w:r>
      <w:r w:rsidRPr="00283806">
        <w:rPr>
          <w:spacing w:val="-7"/>
          <w:w w:val="105"/>
        </w:rPr>
        <w:t xml:space="preserve"> </w:t>
      </w:r>
      <w:r w:rsidRPr="00283806">
        <w:rPr>
          <w:w w:val="105"/>
        </w:rPr>
        <w:t>important,</w:t>
      </w:r>
      <w:r w:rsidRPr="00283806">
        <w:rPr>
          <w:spacing w:val="-7"/>
          <w:w w:val="105"/>
        </w:rPr>
        <w:t xml:space="preserve"> </w:t>
      </w:r>
      <w:r w:rsidRPr="00283806">
        <w:rPr>
          <w:w w:val="105"/>
        </w:rPr>
        <w:t>protected</w:t>
      </w:r>
      <w:r w:rsidRPr="00283806">
        <w:rPr>
          <w:spacing w:val="-7"/>
          <w:w w:val="105"/>
        </w:rPr>
        <w:t xml:space="preserve"> </w:t>
      </w:r>
      <w:r w:rsidRPr="00283806">
        <w:rPr>
          <w:w w:val="105"/>
        </w:rPr>
        <w:t>assets</w:t>
      </w:r>
      <w:r w:rsidRPr="00283806">
        <w:rPr>
          <w:spacing w:val="-7"/>
          <w:w w:val="105"/>
        </w:rPr>
        <w:t xml:space="preserve"> </w:t>
      </w:r>
      <w:r w:rsidRPr="00283806">
        <w:rPr>
          <w:w w:val="105"/>
        </w:rPr>
        <w:t xml:space="preserve">require quick </w:t>
      </w:r>
      <w:proofErr w:type="gramStart"/>
      <w:r w:rsidRPr="00283806">
        <w:rPr>
          <w:w w:val="105"/>
        </w:rPr>
        <w:t>servicing</w:t>
      </w:r>
      <w:proofErr w:type="gramEnd"/>
      <w:r w:rsidRPr="00283806">
        <w:rPr>
          <w:w w:val="105"/>
        </w:rPr>
        <w:t>, often within 24 hours,</w:t>
      </w:r>
      <w:r w:rsidRPr="00283806">
        <w:rPr>
          <w:spacing w:val="80"/>
          <w:w w:val="105"/>
        </w:rPr>
        <w:t xml:space="preserve"> </w:t>
      </w:r>
      <w:proofErr w:type="gramStart"/>
      <w:r w:rsidRPr="00283806">
        <w:rPr>
          <w:w w:val="105"/>
        </w:rPr>
        <w:t>in order to</w:t>
      </w:r>
      <w:proofErr w:type="gramEnd"/>
      <w:r w:rsidRPr="00283806">
        <w:rPr>
          <w:w w:val="105"/>
        </w:rPr>
        <w:t xml:space="preserve"> maintain their critical functions. The commenter stated that sometimes, to maintain critical function in a timely manner, newly made HFCs</w:t>
      </w:r>
      <w:r w:rsidRPr="00283806">
        <w:rPr>
          <w:spacing w:val="40"/>
          <w:w w:val="105"/>
        </w:rPr>
        <w:t xml:space="preserve"> </w:t>
      </w:r>
      <w:r w:rsidRPr="00283806">
        <w:rPr>
          <w:w w:val="105"/>
        </w:rPr>
        <w:t>are more expedient. The commenter stated that the high value risk and</w:t>
      </w:r>
      <w:r w:rsidRPr="00283806">
        <w:rPr>
          <w:spacing w:val="40"/>
          <w:w w:val="105"/>
        </w:rPr>
        <w:t xml:space="preserve"> </w:t>
      </w:r>
      <w:r w:rsidRPr="00283806">
        <w:rPr>
          <w:w w:val="105"/>
        </w:rPr>
        <w:t>critical function requirements of many protected facilities supports the continued availability of both options, virgin and recycled, to best manage risk for these facilities.</w:t>
      </w:r>
    </w:p>
    <w:p w14:paraId="7D52CE98" w14:textId="77777777" w:rsidR="00D67C1E" w:rsidRPr="00283806" w:rsidRDefault="001265CA">
      <w:pPr>
        <w:pStyle w:val="BodyText"/>
        <w:spacing w:line="175" w:lineRule="exact"/>
        <w:ind w:left="340"/>
      </w:pPr>
      <w:r w:rsidRPr="00283806">
        <w:rPr>
          <w:w w:val="105"/>
        </w:rPr>
        <w:t>Another</w:t>
      </w:r>
      <w:r w:rsidRPr="00283806">
        <w:rPr>
          <w:spacing w:val="11"/>
          <w:w w:val="105"/>
        </w:rPr>
        <w:t xml:space="preserve"> </w:t>
      </w:r>
      <w:r w:rsidRPr="00283806">
        <w:rPr>
          <w:w w:val="105"/>
        </w:rPr>
        <w:t>commenter</w:t>
      </w:r>
      <w:r w:rsidRPr="00283806">
        <w:rPr>
          <w:spacing w:val="11"/>
          <w:w w:val="105"/>
        </w:rPr>
        <w:t xml:space="preserve"> </w:t>
      </w:r>
      <w:r w:rsidRPr="00283806">
        <w:rPr>
          <w:w w:val="105"/>
        </w:rPr>
        <w:t>mentioned</w:t>
      </w:r>
      <w:r w:rsidRPr="00283806">
        <w:rPr>
          <w:spacing w:val="11"/>
          <w:w w:val="105"/>
        </w:rPr>
        <w:t xml:space="preserve"> </w:t>
      </w:r>
      <w:r w:rsidRPr="00283806">
        <w:rPr>
          <w:spacing w:val="-4"/>
          <w:w w:val="105"/>
        </w:rPr>
        <w:t>that</w:t>
      </w:r>
    </w:p>
    <w:p w14:paraId="6CCC9494" w14:textId="77777777" w:rsidR="00D67C1E" w:rsidRPr="00283806" w:rsidRDefault="001265CA">
      <w:pPr>
        <w:pStyle w:val="BodyText"/>
        <w:spacing w:before="4" w:line="225" w:lineRule="auto"/>
        <w:ind w:right="128"/>
      </w:pPr>
      <w:proofErr w:type="gramStart"/>
      <w:r w:rsidRPr="00283806">
        <w:rPr>
          <w:w w:val="105"/>
        </w:rPr>
        <w:t>the</w:t>
      </w:r>
      <w:proofErr w:type="gramEnd"/>
      <w:r w:rsidRPr="00283806">
        <w:rPr>
          <w:w w:val="105"/>
        </w:rPr>
        <w:t xml:space="preserve"> AIM Act has already effectively reduced the use of HFCs in new fire suppression systems beyond the statutory requirements of the Act, reinforcing the use of recycled HFCs for servicing existing systems. This comment is also covered in </w:t>
      </w:r>
      <w:proofErr w:type="gramStart"/>
      <w:r w:rsidRPr="00283806">
        <w:rPr>
          <w:w w:val="105"/>
        </w:rPr>
        <w:t>section</w:t>
      </w:r>
      <w:proofErr w:type="gramEnd"/>
    </w:p>
    <w:p w14:paraId="7F6CD93D" w14:textId="77777777" w:rsidR="00D67C1E" w:rsidRPr="00283806" w:rsidRDefault="001265CA">
      <w:pPr>
        <w:pStyle w:val="BodyText"/>
        <w:spacing w:line="185" w:lineRule="exact"/>
      </w:pPr>
      <w:r w:rsidRPr="00283806">
        <w:rPr>
          <w:w w:val="110"/>
        </w:rPr>
        <w:t>IV.F.2.b</w:t>
      </w:r>
      <w:r w:rsidRPr="00283806">
        <w:rPr>
          <w:spacing w:val="6"/>
          <w:w w:val="110"/>
        </w:rPr>
        <w:t xml:space="preserve"> </w:t>
      </w:r>
      <w:r w:rsidRPr="00283806">
        <w:rPr>
          <w:w w:val="110"/>
        </w:rPr>
        <w:t>of</w:t>
      </w:r>
      <w:r w:rsidRPr="00283806">
        <w:rPr>
          <w:spacing w:val="7"/>
          <w:w w:val="110"/>
        </w:rPr>
        <w:t xml:space="preserve"> </w:t>
      </w:r>
      <w:r w:rsidRPr="00283806">
        <w:rPr>
          <w:w w:val="110"/>
        </w:rPr>
        <w:t>this</w:t>
      </w:r>
      <w:r w:rsidRPr="00283806">
        <w:rPr>
          <w:spacing w:val="6"/>
          <w:w w:val="110"/>
        </w:rPr>
        <w:t xml:space="preserve"> </w:t>
      </w:r>
      <w:r w:rsidRPr="00283806">
        <w:rPr>
          <w:w w:val="110"/>
        </w:rPr>
        <w:t>final</w:t>
      </w:r>
      <w:r w:rsidRPr="00283806">
        <w:rPr>
          <w:spacing w:val="7"/>
          <w:w w:val="110"/>
        </w:rPr>
        <w:t xml:space="preserve"> </w:t>
      </w:r>
      <w:r w:rsidRPr="00283806">
        <w:rPr>
          <w:spacing w:val="-2"/>
          <w:w w:val="110"/>
        </w:rPr>
        <w:t>rule.</w:t>
      </w:r>
    </w:p>
    <w:p w14:paraId="0DD6F385" w14:textId="77777777" w:rsidR="00D67C1E" w:rsidRPr="00283806" w:rsidRDefault="001265CA">
      <w:pPr>
        <w:pStyle w:val="BodyText"/>
        <w:spacing w:line="225" w:lineRule="auto"/>
        <w:ind w:firstLine="180"/>
      </w:pPr>
      <w:r w:rsidRPr="00283806">
        <w:rPr>
          <w:w w:val="105"/>
        </w:rPr>
        <w:t>As</w:t>
      </w:r>
      <w:r w:rsidRPr="00283806">
        <w:rPr>
          <w:spacing w:val="40"/>
          <w:w w:val="105"/>
        </w:rPr>
        <w:t xml:space="preserve"> </w:t>
      </w:r>
      <w:r w:rsidRPr="00283806">
        <w:rPr>
          <w:w w:val="105"/>
        </w:rPr>
        <w:t>mentioned</w:t>
      </w:r>
      <w:r w:rsidRPr="00283806">
        <w:rPr>
          <w:spacing w:val="40"/>
          <w:w w:val="105"/>
        </w:rPr>
        <w:t xml:space="preserve"> </w:t>
      </w:r>
      <w:r w:rsidRPr="00283806">
        <w:rPr>
          <w:w w:val="105"/>
        </w:rPr>
        <w:t>in</w:t>
      </w:r>
      <w:r w:rsidRPr="00283806">
        <w:rPr>
          <w:spacing w:val="40"/>
          <w:w w:val="105"/>
        </w:rPr>
        <w:t xml:space="preserve"> </w:t>
      </w:r>
      <w:r w:rsidRPr="00283806">
        <w:rPr>
          <w:w w:val="105"/>
        </w:rPr>
        <w:t>section</w:t>
      </w:r>
      <w:r w:rsidRPr="00283806">
        <w:rPr>
          <w:spacing w:val="40"/>
          <w:w w:val="105"/>
        </w:rPr>
        <w:t xml:space="preserve"> </w:t>
      </w:r>
      <w:r w:rsidRPr="00283806">
        <w:rPr>
          <w:w w:val="105"/>
        </w:rPr>
        <w:t>IV.F.2.b</w:t>
      </w:r>
      <w:r w:rsidRPr="00283806">
        <w:rPr>
          <w:spacing w:val="40"/>
          <w:w w:val="105"/>
        </w:rPr>
        <w:t xml:space="preserve"> </w:t>
      </w:r>
      <w:r w:rsidRPr="00283806">
        <w:rPr>
          <w:w w:val="105"/>
        </w:rPr>
        <w:t>of this</w:t>
      </w:r>
      <w:r w:rsidRPr="00283806">
        <w:rPr>
          <w:spacing w:val="40"/>
          <w:w w:val="105"/>
        </w:rPr>
        <w:t xml:space="preserve"> </w:t>
      </w:r>
      <w:r w:rsidRPr="00283806">
        <w:rPr>
          <w:w w:val="105"/>
        </w:rPr>
        <w:t>final</w:t>
      </w:r>
      <w:r w:rsidRPr="00283806">
        <w:rPr>
          <w:spacing w:val="40"/>
          <w:w w:val="105"/>
        </w:rPr>
        <w:t xml:space="preserve"> </w:t>
      </w:r>
      <w:r w:rsidRPr="00283806">
        <w:rPr>
          <w:w w:val="105"/>
        </w:rPr>
        <w:t>rule,</w:t>
      </w:r>
      <w:r w:rsidRPr="00283806">
        <w:rPr>
          <w:spacing w:val="40"/>
          <w:w w:val="105"/>
        </w:rPr>
        <w:t xml:space="preserve"> </w:t>
      </w:r>
      <w:r w:rsidRPr="00283806">
        <w:rPr>
          <w:w w:val="105"/>
        </w:rPr>
        <w:t>one</w:t>
      </w:r>
      <w:r w:rsidRPr="00283806">
        <w:rPr>
          <w:spacing w:val="40"/>
          <w:w w:val="105"/>
        </w:rPr>
        <w:t xml:space="preserve"> </w:t>
      </w:r>
      <w:r w:rsidRPr="00283806">
        <w:rPr>
          <w:w w:val="105"/>
        </w:rPr>
        <w:t>commenter expressed support for EPA’s proposal to increase the use of reclaimed and recycled HFCs in new and existing HFC- containing fire suppression equipment. Another commenter also expressed support for the proposal to require the use of recycled HFCs to service existing fire suppression equipment. The commenter stated that as the HEEP data show,</w:t>
      </w:r>
      <w:r w:rsidRPr="00283806">
        <w:rPr>
          <w:spacing w:val="40"/>
          <w:w w:val="105"/>
        </w:rPr>
        <w:t xml:space="preserve"> </w:t>
      </w:r>
      <w:r w:rsidRPr="00283806">
        <w:rPr>
          <w:w w:val="105"/>
        </w:rPr>
        <w:t>recycled</w:t>
      </w:r>
      <w:r w:rsidRPr="00283806">
        <w:rPr>
          <w:spacing w:val="40"/>
          <w:w w:val="105"/>
        </w:rPr>
        <w:t xml:space="preserve"> </w:t>
      </w:r>
      <w:r w:rsidRPr="00283806">
        <w:rPr>
          <w:w w:val="105"/>
        </w:rPr>
        <w:t>HFCs</w:t>
      </w:r>
      <w:r w:rsidRPr="00283806">
        <w:rPr>
          <w:spacing w:val="40"/>
          <w:w w:val="105"/>
        </w:rPr>
        <w:t xml:space="preserve"> </w:t>
      </w:r>
      <w:r w:rsidRPr="00283806">
        <w:rPr>
          <w:w w:val="105"/>
        </w:rPr>
        <w:t>already</w:t>
      </w:r>
      <w:r w:rsidRPr="00283806">
        <w:rPr>
          <w:spacing w:val="40"/>
          <w:w w:val="105"/>
        </w:rPr>
        <w:t xml:space="preserve"> </w:t>
      </w:r>
      <w:r w:rsidRPr="00283806">
        <w:rPr>
          <w:w w:val="105"/>
        </w:rPr>
        <w:t xml:space="preserve">provide the vast majority of agent used for servicing in the United States. The commenter suggested that the requirement to use recycled HFCs for servicing should begin on January 1, 2028, </w:t>
      </w:r>
      <w:proofErr w:type="gramStart"/>
      <w:r w:rsidRPr="00283806">
        <w:rPr>
          <w:w w:val="105"/>
        </w:rPr>
        <w:t>in order to</w:t>
      </w:r>
      <w:proofErr w:type="gramEnd"/>
      <w:r w:rsidRPr="00283806">
        <w:rPr>
          <w:w w:val="105"/>
        </w:rPr>
        <w:t xml:space="preserve"> provide adequate time for</w:t>
      </w:r>
      <w:r w:rsidRPr="00283806">
        <w:rPr>
          <w:spacing w:val="40"/>
          <w:w w:val="105"/>
        </w:rPr>
        <w:t xml:space="preserve"> </w:t>
      </w:r>
      <w:r w:rsidRPr="00283806">
        <w:rPr>
          <w:w w:val="105"/>
        </w:rPr>
        <w:t>any</w:t>
      </w:r>
      <w:r w:rsidRPr="00283806">
        <w:rPr>
          <w:spacing w:val="40"/>
          <w:w w:val="105"/>
        </w:rPr>
        <w:t xml:space="preserve"> </w:t>
      </w:r>
      <w:r w:rsidRPr="00283806">
        <w:rPr>
          <w:w w:val="105"/>
        </w:rPr>
        <w:t>companies</w:t>
      </w:r>
      <w:r w:rsidRPr="00283806">
        <w:rPr>
          <w:spacing w:val="40"/>
          <w:w w:val="105"/>
        </w:rPr>
        <w:t xml:space="preserve"> </w:t>
      </w:r>
      <w:r w:rsidRPr="00283806">
        <w:rPr>
          <w:w w:val="105"/>
        </w:rPr>
        <w:t>still</w:t>
      </w:r>
      <w:r w:rsidRPr="00283806">
        <w:rPr>
          <w:spacing w:val="40"/>
          <w:w w:val="105"/>
        </w:rPr>
        <w:t xml:space="preserve"> </w:t>
      </w:r>
      <w:r w:rsidRPr="00283806">
        <w:rPr>
          <w:w w:val="105"/>
        </w:rPr>
        <w:t>using</w:t>
      </w:r>
      <w:r w:rsidRPr="00283806">
        <w:rPr>
          <w:spacing w:val="40"/>
          <w:w w:val="105"/>
        </w:rPr>
        <w:t xml:space="preserve"> </w:t>
      </w:r>
      <w:r w:rsidRPr="00283806">
        <w:rPr>
          <w:w w:val="105"/>
        </w:rPr>
        <w:t>virgin HFCs for service to make the transition.</w:t>
      </w:r>
    </w:p>
    <w:p w14:paraId="0A49009F" w14:textId="77777777" w:rsidR="00D67C1E" w:rsidRPr="00283806" w:rsidRDefault="001265CA">
      <w:pPr>
        <w:spacing w:line="178" w:lineRule="exact"/>
        <w:ind w:left="340"/>
        <w:rPr>
          <w:sz w:val="18"/>
        </w:rPr>
      </w:pPr>
      <w:r w:rsidRPr="00283806">
        <w:rPr>
          <w:rFonts w:ascii="Book Antiqua"/>
          <w:i/>
          <w:w w:val="110"/>
          <w:sz w:val="18"/>
        </w:rPr>
        <w:t xml:space="preserve">Response: </w:t>
      </w:r>
      <w:r w:rsidRPr="00283806">
        <w:rPr>
          <w:w w:val="110"/>
          <w:sz w:val="18"/>
        </w:rPr>
        <w:t>As</w:t>
      </w:r>
      <w:r w:rsidRPr="00283806">
        <w:rPr>
          <w:spacing w:val="7"/>
          <w:w w:val="110"/>
          <w:sz w:val="18"/>
        </w:rPr>
        <w:t xml:space="preserve"> </w:t>
      </w:r>
      <w:r w:rsidRPr="00283806">
        <w:rPr>
          <w:w w:val="110"/>
          <w:sz w:val="18"/>
        </w:rPr>
        <w:t>the</w:t>
      </w:r>
      <w:r w:rsidRPr="00283806">
        <w:rPr>
          <w:spacing w:val="6"/>
          <w:w w:val="110"/>
          <w:sz w:val="18"/>
        </w:rPr>
        <w:t xml:space="preserve"> </w:t>
      </w:r>
      <w:r w:rsidRPr="00283806">
        <w:rPr>
          <w:w w:val="110"/>
          <w:sz w:val="18"/>
        </w:rPr>
        <w:t>HEEP</w:t>
      </w:r>
      <w:r w:rsidRPr="00283806">
        <w:rPr>
          <w:spacing w:val="7"/>
          <w:w w:val="110"/>
          <w:sz w:val="18"/>
        </w:rPr>
        <w:t xml:space="preserve"> </w:t>
      </w:r>
      <w:r w:rsidRPr="00283806">
        <w:rPr>
          <w:w w:val="110"/>
          <w:sz w:val="18"/>
        </w:rPr>
        <w:t>data</w:t>
      </w:r>
      <w:r w:rsidRPr="00283806">
        <w:rPr>
          <w:spacing w:val="6"/>
          <w:w w:val="110"/>
          <w:sz w:val="18"/>
        </w:rPr>
        <w:t xml:space="preserve"> </w:t>
      </w:r>
      <w:r w:rsidRPr="00283806">
        <w:rPr>
          <w:spacing w:val="-2"/>
          <w:w w:val="110"/>
          <w:sz w:val="18"/>
        </w:rPr>
        <w:t>show,</w:t>
      </w:r>
    </w:p>
    <w:p w14:paraId="2DA99C4B" w14:textId="77777777" w:rsidR="00D67C1E" w:rsidRPr="00283806" w:rsidRDefault="001265CA">
      <w:pPr>
        <w:pStyle w:val="BodyText"/>
        <w:spacing w:line="225" w:lineRule="auto"/>
        <w:ind w:right="128"/>
      </w:pPr>
      <w:r w:rsidRPr="00283806">
        <w:rPr>
          <w:w w:val="105"/>
        </w:rPr>
        <w:t xml:space="preserve">recycled HFCs are already extensively being used for servicing. EPA understands this to be already industry practice used by most entities. EPA also appreciates the need for flexibility in supporting critical function of fire suppression equipment and </w:t>
      </w:r>
      <w:proofErr w:type="gramStart"/>
      <w:r w:rsidRPr="00283806">
        <w:rPr>
          <w:w w:val="105"/>
        </w:rPr>
        <w:t>in</w:t>
      </w:r>
      <w:r w:rsidRPr="00283806">
        <w:rPr>
          <w:spacing w:val="80"/>
          <w:w w:val="105"/>
        </w:rPr>
        <w:t xml:space="preserve"> </w:t>
      </w:r>
      <w:r w:rsidRPr="00283806">
        <w:rPr>
          <w:w w:val="105"/>
        </w:rPr>
        <w:t>particular for</w:t>
      </w:r>
      <w:proofErr w:type="gramEnd"/>
      <w:r w:rsidRPr="00283806">
        <w:rPr>
          <w:w w:val="105"/>
        </w:rPr>
        <w:t xml:space="preserve"> high value equipment.</w:t>
      </w:r>
    </w:p>
    <w:p w14:paraId="5EDDBC7D" w14:textId="77777777" w:rsidR="00D67C1E" w:rsidRPr="00283806" w:rsidRDefault="001265CA">
      <w:pPr>
        <w:pStyle w:val="BodyText"/>
        <w:spacing w:line="225" w:lineRule="auto"/>
        <w:ind w:right="85"/>
      </w:pPr>
      <w:r w:rsidRPr="00283806">
        <w:rPr>
          <w:w w:val="105"/>
        </w:rPr>
        <w:t>Therefore, EPA is finalizing a later compliance date than proposed for the use recycled HFCs in the service and/or repair of fire suppression equipment (</w:t>
      </w:r>
      <w:r w:rsidRPr="00283806">
        <w:rPr>
          <w:rFonts w:ascii="Book Antiqua"/>
          <w:i/>
          <w:w w:val="105"/>
        </w:rPr>
        <w:t xml:space="preserve">i.e., </w:t>
      </w:r>
      <w:r w:rsidRPr="00283806">
        <w:rPr>
          <w:w w:val="105"/>
        </w:rPr>
        <w:t>January 1, 2026) to provide industry time to adjust to the changes, make any necessary infrastructure changes, and make any necessary changes to existing business contracts. This delay of the compliance date will</w:t>
      </w:r>
    </w:p>
    <w:p w14:paraId="7B95000B" w14:textId="77777777" w:rsidR="00D67C1E" w:rsidRPr="00283806" w:rsidRDefault="001265CA">
      <w:pPr>
        <w:pStyle w:val="BodyText"/>
        <w:spacing w:before="136" w:line="225" w:lineRule="auto"/>
        <w:ind w:left="144" w:right="8"/>
      </w:pPr>
      <w:r w:rsidRPr="00283806">
        <w:br w:type="column"/>
      </w:r>
      <w:r w:rsidRPr="00283806">
        <w:rPr>
          <w:w w:val="105"/>
        </w:rPr>
        <w:t>EPA concludes that an earlier</w:t>
      </w:r>
      <w:r w:rsidRPr="00283806">
        <w:rPr>
          <w:spacing w:val="80"/>
          <w:w w:val="105"/>
        </w:rPr>
        <w:t xml:space="preserve"> </w:t>
      </w:r>
      <w:r w:rsidRPr="00283806">
        <w:rPr>
          <w:w w:val="105"/>
        </w:rPr>
        <w:t>compliance date than 2028 is reasonable for these requirements, given the use of recycled HFCs is already common practice in the fire suppression industry for this application.</w:t>
      </w:r>
    </w:p>
    <w:p w14:paraId="1E2F90C5" w14:textId="77777777" w:rsidR="00D67C1E" w:rsidRPr="00283806" w:rsidRDefault="001265CA">
      <w:pPr>
        <w:spacing w:line="183" w:lineRule="exact"/>
        <w:ind w:left="324"/>
        <w:rPr>
          <w:sz w:val="18"/>
        </w:rPr>
      </w:pPr>
      <w:r w:rsidRPr="00283806">
        <w:rPr>
          <w:rFonts w:ascii="Book Antiqua"/>
          <w:i/>
          <w:w w:val="110"/>
          <w:sz w:val="18"/>
        </w:rPr>
        <w:t>Comment:</w:t>
      </w:r>
      <w:r w:rsidRPr="00283806">
        <w:rPr>
          <w:rFonts w:ascii="Book Antiqua"/>
          <w:i/>
          <w:spacing w:val="-1"/>
          <w:w w:val="110"/>
          <w:sz w:val="18"/>
        </w:rPr>
        <w:t xml:space="preserve"> </w:t>
      </w:r>
      <w:r w:rsidRPr="00283806">
        <w:rPr>
          <w:w w:val="110"/>
          <w:sz w:val="18"/>
        </w:rPr>
        <w:t>As</w:t>
      </w:r>
      <w:r w:rsidRPr="00283806">
        <w:rPr>
          <w:spacing w:val="4"/>
          <w:w w:val="110"/>
          <w:sz w:val="18"/>
        </w:rPr>
        <w:t xml:space="preserve"> </w:t>
      </w:r>
      <w:r w:rsidRPr="00283806">
        <w:rPr>
          <w:w w:val="110"/>
          <w:sz w:val="18"/>
        </w:rPr>
        <w:t>covered</w:t>
      </w:r>
      <w:r w:rsidRPr="00283806">
        <w:rPr>
          <w:spacing w:val="5"/>
          <w:w w:val="110"/>
          <w:sz w:val="18"/>
        </w:rPr>
        <w:t xml:space="preserve"> </w:t>
      </w:r>
      <w:r w:rsidRPr="00283806">
        <w:rPr>
          <w:w w:val="110"/>
          <w:sz w:val="18"/>
        </w:rPr>
        <w:t>in</w:t>
      </w:r>
      <w:r w:rsidRPr="00283806">
        <w:rPr>
          <w:spacing w:val="5"/>
          <w:w w:val="110"/>
          <w:sz w:val="18"/>
        </w:rPr>
        <w:t xml:space="preserve"> </w:t>
      </w:r>
      <w:r w:rsidRPr="00283806">
        <w:rPr>
          <w:spacing w:val="-2"/>
          <w:w w:val="110"/>
          <w:sz w:val="18"/>
        </w:rPr>
        <w:t>section</w:t>
      </w:r>
    </w:p>
    <w:p w14:paraId="21D1A943" w14:textId="77777777" w:rsidR="00D67C1E" w:rsidRPr="00283806" w:rsidRDefault="001265CA">
      <w:pPr>
        <w:pStyle w:val="BodyText"/>
        <w:spacing w:line="225" w:lineRule="auto"/>
        <w:ind w:left="144" w:right="10"/>
      </w:pPr>
      <w:r w:rsidRPr="00283806">
        <w:rPr>
          <w:w w:val="105"/>
        </w:rPr>
        <w:t>IV.F.2.b</w:t>
      </w:r>
      <w:r w:rsidRPr="00283806">
        <w:rPr>
          <w:spacing w:val="40"/>
          <w:w w:val="105"/>
        </w:rPr>
        <w:t xml:space="preserve"> </w:t>
      </w:r>
      <w:r w:rsidRPr="00283806">
        <w:rPr>
          <w:w w:val="105"/>
        </w:rPr>
        <w:t>of</w:t>
      </w:r>
      <w:r w:rsidRPr="00283806">
        <w:rPr>
          <w:spacing w:val="40"/>
          <w:w w:val="105"/>
        </w:rPr>
        <w:t xml:space="preserve"> </w:t>
      </w:r>
      <w:r w:rsidRPr="00283806">
        <w:rPr>
          <w:w w:val="105"/>
        </w:rPr>
        <w:t>this</w:t>
      </w:r>
      <w:r w:rsidRPr="00283806">
        <w:rPr>
          <w:spacing w:val="40"/>
          <w:w w:val="105"/>
        </w:rPr>
        <w:t xml:space="preserve"> </w:t>
      </w:r>
      <w:r w:rsidRPr="00283806">
        <w:rPr>
          <w:w w:val="105"/>
        </w:rPr>
        <w:t>final</w:t>
      </w:r>
      <w:r w:rsidRPr="00283806">
        <w:rPr>
          <w:spacing w:val="40"/>
          <w:w w:val="105"/>
        </w:rPr>
        <w:t xml:space="preserve"> </w:t>
      </w:r>
      <w:r w:rsidRPr="00283806">
        <w:rPr>
          <w:w w:val="105"/>
        </w:rPr>
        <w:t>rule,</w:t>
      </w:r>
      <w:r w:rsidRPr="00283806">
        <w:rPr>
          <w:spacing w:val="40"/>
          <w:w w:val="105"/>
        </w:rPr>
        <w:t xml:space="preserve"> </w:t>
      </w:r>
      <w:r w:rsidRPr="00283806">
        <w:rPr>
          <w:w w:val="105"/>
        </w:rPr>
        <w:t xml:space="preserve">one commenter mentioned that the final rule should preserve the ability to use substitutes for initial installation and servicing/repair of fire suppression </w:t>
      </w:r>
      <w:r w:rsidRPr="00283806">
        <w:rPr>
          <w:spacing w:val="-2"/>
          <w:w w:val="105"/>
        </w:rPr>
        <w:t>equipment.</w:t>
      </w:r>
    </w:p>
    <w:p w14:paraId="03574510" w14:textId="77777777" w:rsidR="00D67C1E" w:rsidRPr="00283806" w:rsidRDefault="001265CA">
      <w:pPr>
        <w:spacing w:line="183" w:lineRule="exact"/>
        <w:ind w:left="324"/>
        <w:rPr>
          <w:sz w:val="18"/>
        </w:rPr>
      </w:pPr>
      <w:r w:rsidRPr="00283806">
        <w:rPr>
          <w:rFonts w:ascii="Book Antiqua"/>
          <w:i/>
          <w:w w:val="110"/>
          <w:sz w:val="18"/>
        </w:rPr>
        <w:t>Response:</w:t>
      </w:r>
      <w:r w:rsidRPr="00283806">
        <w:rPr>
          <w:rFonts w:ascii="Book Antiqua"/>
          <w:i/>
          <w:spacing w:val="6"/>
          <w:w w:val="110"/>
          <w:sz w:val="18"/>
        </w:rPr>
        <w:t xml:space="preserve"> </w:t>
      </w:r>
      <w:r w:rsidRPr="00283806">
        <w:rPr>
          <w:w w:val="110"/>
          <w:sz w:val="18"/>
        </w:rPr>
        <w:t>As</w:t>
      </w:r>
      <w:r w:rsidRPr="00283806">
        <w:rPr>
          <w:spacing w:val="11"/>
          <w:w w:val="110"/>
          <w:sz w:val="18"/>
        </w:rPr>
        <w:t xml:space="preserve"> </w:t>
      </w:r>
      <w:r w:rsidRPr="00283806">
        <w:rPr>
          <w:w w:val="110"/>
          <w:sz w:val="18"/>
        </w:rPr>
        <w:t>covered</w:t>
      </w:r>
      <w:r w:rsidRPr="00283806">
        <w:rPr>
          <w:spacing w:val="12"/>
          <w:w w:val="110"/>
          <w:sz w:val="18"/>
        </w:rPr>
        <w:t xml:space="preserve"> </w:t>
      </w:r>
      <w:r w:rsidRPr="00283806">
        <w:rPr>
          <w:w w:val="110"/>
          <w:sz w:val="18"/>
        </w:rPr>
        <w:t>in</w:t>
      </w:r>
      <w:r w:rsidRPr="00283806">
        <w:rPr>
          <w:spacing w:val="12"/>
          <w:w w:val="110"/>
          <w:sz w:val="18"/>
        </w:rPr>
        <w:t xml:space="preserve"> </w:t>
      </w:r>
      <w:r w:rsidRPr="00283806">
        <w:rPr>
          <w:spacing w:val="-2"/>
          <w:w w:val="110"/>
          <w:sz w:val="18"/>
        </w:rPr>
        <w:t>section</w:t>
      </w:r>
    </w:p>
    <w:p w14:paraId="4601227F" w14:textId="77777777" w:rsidR="00D67C1E" w:rsidRPr="00283806" w:rsidRDefault="001265CA">
      <w:pPr>
        <w:pStyle w:val="BodyText"/>
        <w:spacing w:line="225" w:lineRule="auto"/>
        <w:ind w:left="144" w:right="10"/>
      </w:pPr>
      <w:r w:rsidRPr="00283806">
        <w:rPr>
          <w:w w:val="105"/>
        </w:rPr>
        <w:t xml:space="preserve">IV.F.2.b of this final rule, EPA acknowledges the comment. As responded to in section IV.F.2.b of this final rule, nothing in this final rule impedes the use of fire suppression </w:t>
      </w:r>
      <w:r w:rsidRPr="00283806">
        <w:rPr>
          <w:spacing w:val="-2"/>
          <w:w w:val="105"/>
        </w:rPr>
        <w:t>alternatives.</w:t>
      </w:r>
    </w:p>
    <w:p w14:paraId="34953801" w14:textId="77777777" w:rsidR="00D67C1E" w:rsidRPr="00283806" w:rsidRDefault="001265CA">
      <w:pPr>
        <w:pStyle w:val="ListParagraph"/>
        <w:numPr>
          <w:ilvl w:val="1"/>
          <w:numId w:val="50"/>
        </w:numPr>
        <w:tabs>
          <w:tab w:val="left" w:pos="324"/>
          <w:tab w:val="left" w:pos="352"/>
        </w:tabs>
        <w:spacing w:before="33" w:line="260" w:lineRule="atLeast"/>
        <w:ind w:left="324" w:hanging="180"/>
        <w:rPr>
          <w:sz w:val="18"/>
        </w:rPr>
      </w:pPr>
      <w:r w:rsidRPr="00283806">
        <w:rPr>
          <w:w w:val="110"/>
          <w:sz w:val="18"/>
        </w:rPr>
        <w:t>Fire</w:t>
      </w:r>
      <w:r w:rsidRPr="00283806">
        <w:rPr>
          <w:spacing w:val="5"/>
          <w:w w:val="110"/>
          <w:sz w:val="18"/>
        </w:rPr>
        <w:t xml:space="preserve"> </w:t>
      </w:r>
      <w:r w:rsidRPr="00283806">
        <w:rPr>
          <w:w w:val="110"/>
          <w:sz w:val="18"/>
        </w:rPr>
        <w:t>Suppression</w:t>
      </w:r>
      <w:r w:rsidRPr="00283806">
        <w:rPr>
          <w:spacing w:val="-11"/>
          <w:w w:val="110"/>
          <w:sz w:val="18"/>
        </w:rPr>
        <w:t xml:space="preserve"> </w:t>
      </w:r>
      <w:r w:rsidRPr="00283806">
        <w:rPr>
          <w:w w:val="110"/>
          <w:sz w:val="18"/>
        </w:rPr>
        <w:t>Technician</w:t>
      </w:r>
      <w:r w:rsidRPr="00283806">
        <w:rPr>
          <w:spacing w:val="-11"/>
          <w:w w:val="110"/>
          <w:sz w:val="18"/>
        </w:rPr>
        <w:t xml:space="preserve"> </w:t>
      </w:r>
      <w:r w:rsidRPr="00283806">
        <w:rPr>
          <w:w w:val="110"/>
          <w:sz w:val="18"/>
        </w:rPr>
        <w:t>Training Starting as of January 1, 2026, EPA is</w:t>
      </w:r>
    </w:p>
    <w:p w14:paraId="5B925E58" w14:textId="77777777" w:rsidR="00D67C1E" w:rsidRPr="00283806" w:rsidRDefault="001265CA">
      <w:pPr>
        <w:pStyle w:val="BodyText"/>
        <w:spacing w:before="1" w:line="225" w:lineRule="auto"/>
        <w:ind w:left="144" w:right="82"/>
      </w:pPr>
      <w:r w:rsidRPr="00283806">
        <w:rPr>
          <w:w w:val="105"/>
        </w:rPr>
        <w:t>requiring that all entities that employ</w:t>
      </w:r>
      <w:r w:rsidRPr="00283806">
        <w:rPr>
          <w:spacing w:val="40"/>
          <w:w w:val="105"/>
        </w:rPr>
        <w:t xml:space="preserve"> </w:t>
      </w:r>
      <w:r w:rsidRPr="00283806">
        <w:rPr>
          <w:w w:val="105"/>
        </w:rPr>
        <w:t>fire suppression technicians who maintain, service, repair, install, or dispose of fire suppression equipment containing HFCs must provide training (as described in this section) and ensure that their fire suppression technicians complete this training. Fire suppression technicians must be trained by June 1, 2026. Fire suppression technicians</w:t>
      </w:r>
      <w:r w:rsidRPr="00283806">
        <w:rPr>
          <w:spacing w:val="80"/>
          <w:w w:val="105"/>
        </w:rPr>
        <w:t xml:space="preserve"> </w:t>
      </w:r>
      <w:r w:rsidRPr="00283806">
        <w:rPr>
          <w:w w:val="105"/>
        </w:rPr>
        <w:t>hired after January 1, 2026, must be similarly trained within 30 days of</w:t>
      </w:r>
      <w:r w:rsidRPr="00283806">
        <w:rPr>
          <w:spacing w:val="40"/>
          <w:w w:val="105"/>
        </w:rPr>
        <w:t xml:space="preserve"> </w:t>
      </w:r>
      <w:r w:rsidRPr="00283806">
        <w:rPr>
          <w:w w:val="105"/>
        </w:rPr>
        <w:t>hiring, or by June 1, 2026, whichever is later. EPA considers this a one-time training requirement. This requirement is intended to control practices, processes, or activities regarding servicing, repair, disposal, or</w:t>
      </w:r>
      <w:r w:rsidRPr="00283806">
        <w:rPr>
          <w:spacing w:val="80"/>
          <w:w w:val="150"/>
        </w:rPr>
        <w:t xml:space="preserve"> </w:t>
      </w:r>
      <w:r w:rsidRPr="00283806">
        <w:rPr>
          <w:w w:val="105"/>
        </w:rPr>
        <w:t>installation of such fire suppression equipment by providing fire</w:t>
      </w:r>
      <w:r w:rsidRPr="00283806">
        <w:rPr>
          <w:spacing w:val="80"/>
          <w:w w:val="105"/>
        </w:rPr>
        <w:t xml:space="preserve"> </w:t>
      </w:r>
      <w:r w:rsidRPr="00283806">
        <w:rPr>
          <w:w w:val="105"/>
        </w:rPr>
        <w:t>suppression technicians with</w:t>
      </w:r>
      <w:r w:rsidRPr="00283806">
        <w:rPr>
          <w:spacing w:val="80"/>
          <w:w w:val="105"/>
        </w:rPr>
        <w:t xml:space="preserve"> </w:t>
      </w:r>
      <w:r w:rsidRPr="00283806">
        <w:rPr>
          <w:w w:val="105"/>
        </w:rPr>
        <w:t>knowledge and skills to minimize releases of HFCs during such practices, processes, or activities, and the requirements involve a regulated substance. Fire suppression technicians are an important part in any effort to control unnecessary HFC emissions</w:t>
      </w:r>
      <w:r w:rsidRPr="00283806">
        <w:rPr>
          <w:spacing w:val="80"/>
          <w:w w:val="105"/>
        </w:rPr>
        <w:t xml:space="preserve"> </w:t>
      </w:r>
      <w:r w:rsidRPr="00283806">
        <w:rPr>
          <w:w w:val="105"/>
        </w:rPr>
        <w:t>from fire suppression equipment while servicing, repairing, installing, or disposing of such equipment. By</w:t>
      </w:r>
      <w:r w:rsidRPr="00283806">
        <w:rPr>
          <w:spacing w:val="80"/>
          <w:w w:val="105"/>
        </w:rPr>
        <w:t xml:space="preserve"> </w:t>
      </w:r>
      <w:r w:rsidRPr="00283806">
        <w:rPr>
          <w:w w:val="105"/>
        </w:rPr>
        <w:t xml:space="preserve">training fire suppression technicians in the significance of minimizing unnecessary HFC releases from fire suppression equipment and providing information on applicable procedures such as the recovery and recycling or reclamation of HFCs from </w:t>
      </w:r>
      <w:proofErr w:type="gramStart"/>
      <w:r w:rsidRPr="00283806">
        <w:rPr>
          <w:w w:val="105"/>
        </w:rPr>
        <w:t>the fire</w:t>
      </w:r>
      <w:proofErr w:type="gramEnd"/>
      <w:r w:rsidRPr="00283806">
        <w:rPr>
          <w:w w:val="105"/>
        </w:rPr>
        <w:t xml:space="preserve"> suppression equipment, technician training supports EPA’s effort to reduce</w:t>
      </w:r>
    </w:p>
    <w:p w14:paraId="193A49F6" w14:textId="77777777" w:rsidR="00D67C1E" w:rsidRPr="00283806" w:rsidRDefault="001265CA">
      <w:pPr>
        <w:pStyle w:val="BodyText"/>
        <w:spacing w:before="135" w:line="225" w:lineRule="auto"/>
        <w:ind w:left="143" w:right="173"/>
      </w:pPr>
      <w:r w:rsidRPr="00283806">
        <w:br w:type="column"/>
      </w:r>
      <w:r w:rsidRPr="00283806">
        <w:rPr>
          <w:w w:val="105"/>
        </w:rPr>
        <w:t>significance of minimizing releases of HFCs and ensuring technician safety; (2) an overview of HFCs and environmental concerns</w:t>
      </w:r>
      <w:r w:rsidRPr="00283806">
        <w:rPr>
          <w:spacing w:val="40"/>
          <w:w w:val="105"/>
        </w:rPr>
        <w:t xml:space="preserve"> </w:t>
      </w:r>
      <w:r w:rsidRPr="00283806">
        <w:rPr>
          <w:w w:val="105"/>
        </w:rPr>
        <w:t>with</w:t>
      </w:r>
      <w:r w:rsidRPr="00283806">
        <w:rPr>
          <w:spacing w:val="40"/>
          <w:w w:val="105"/>
        </w:rPr>
        <w:t xml:space="preserve"> </w:t>
      </w:r>
      <w:r w:rsidRPr="00283806">
        <w:rPr>
          <w:w w:val="105"/>
        </w:rPr>
        <w:t>HFCs</w:t>
      </w:r>
      <w:r w:rsidRPr="00283806">
        <w:rPr>
          <w:spacing w:val="40"/>
          <w:w w:val="105"/>
        </w:rPr>
        <w:t xml:space="preserve"> </w:t>
      </w:r>
      <w:r w:rsidRPr="00283806">
        <w:rPr>
          <w:w w:val="105"/>
        </w:rPr>
        <w:t>including discussion of other Federal, State, local,</w:t>
      </w:r>
      <w:r w:rsidRPr="00283806">
        <w:rPr>
          <w:spacing w:val="40"/>
          <w:w w:val="105"/>
        </w:rPr>
        <w:t xml:space="preserve"> </w:t>
      </w:r>
      <w:r w:rsidRPr="00283806">
        <w:rPr>
          <w:w w:val="105"/>
        </w:rPr>
        <w:t>or Tribal fire, building, safety, and environmental codes and standards; (3)</w:t>
      </w:r>
      <w:r w:rsidRPr="00283806">
        <w:rPr>
          <w:spacing w:val="40"/>
          <w:w w:val="105"/>
        </w:rPr>
        <w:t xml:space="preserve"> </w:t>
      </w:r>
      <w:r w:rsidRPr="00283806">
        <w:rPr>
          <w:w w:val="105"/>
        </w:rPr>
        <w:t>a review of relevant regulations concerning HFCs,</w:t>
      </w:r>
      <w:r w:rsidRPr="00283806">
        <w:rPr>
          <w:w w:val="105"/>
          <w:position w:val="5"/>
          <w:sz w:val="11"/>
        </w:rPr>
        <w:t>132</w:t>
      </w:r>
      <w:r w:rsidRPr="00283806">
        <w:rPr>
          <w:spacing w:val="40"/>
          <w:w w:val="105"/>
          <w:position w:val="5"/>
          <w:sz w:val="11"/>
        </w:rPr>
        <w:t xml:space="preserve"> </w:t>
      </w:r>
      <w:r w:rsidRPr="00283806">
        <w:rPr>
          <w:w w:val="105"/>
        </w:rPr>
        <w:t>including the requirements of this section that apply with respect to fire suppression equipment; and (4) specific technical instruction relevant to avoiding unnecessary HFC emissions during the servicing,</w:t>
      </w:r>
      <w:r w:rsidRPr="00283806">
        <w:rPr>
          <w:spacing w:val="40"/>
          <w:w w:val="105"/>
        </w:rPr>
        <w:t xml:space="preserve"> </w:t>
      </w:r>
      <w:r w:rsidRPr="00283806">
        <w:rPr>
          <w:w w:val="105"/>
        </w:rPr>
        <w:t>repair,</w:t>
      </w:r>
      <w:r w:rsidRPr="00283806">
        <w:rPr>
          <w:spacing w:val="40"/>
          <w:w w:val="105"/>
        </w:rPr>
        <w:t xml:space="preserve"> </w:t>
      </w:r>
      <w:r w:rsidRPr="00283806">
        <w:rPr>
          <w:w w:val="105"/>
        </w:rPr>
        <w:t>disposal,</w:t>
      </w:r>
      <w:r w:rsidRPr="00283806">
        <w:rPr>
          <w:spacing w:val="40"/>
          <w:w w:val="105"/>
        </w:rPr>
        <w:t xml:space="preserve"> </w:t>
      </w:r>
      <w:r w:rsidRPr="00283806">
        <w:rPr>
          <w:w w:val="105"/>
        </w:rPr>
        <w:t xml:space="preserve">or installation of fire suppression </w:t>
      </w:r>
      <w:r w:rsidRPr="00283806">
        <w:rPr>
          <w:spacing w:val="-2"/>
          <w:w w:val="105"/>
        </w:rPr>
        <w:t>equipment.</w:t>
      </w:r>
    </w:p>
    <w:p w14:paraId="6C341CBC" w14:textId="77777777" w:rsidR="00D67C1E" w:rsidRPr="00283806" w:rsidRDefault="001265CA">
      <w:pPr>
        <w:pStyle w:val="BodyText"/>
        <w:spacing w:line="213" w:lineRule="auto"/>
        <w:ind w:left="143" w:right="153" w:firstLine="180"/>
      </w:pPr>
      <w:r w:rsidRPr="00283806">
        <w:rPr>
          <w:rFonts w:ascii="Book Antiqua" w:hAnsi="Book Antiqua"/>
          <w:i/>
          <w:w w:val="105"/>
        </w:rPr>
        <w:t xml:space="preserve">Comment: </w:t>
      </w:r>
      <w:r w:rsidRPr="00283806">
        <w:rPr>
          <w:w w:val="105"/>
        </w:rPr>
        <w:t>A few commenters expressed their support for EPA’s</w:t>
      </w:r>
    </w:p>
    <w:p w14:paraId="263F453F" w14:textId="77777777" w:rsidR="00D67C1E" w:rsidRPr="00283806" w:rsidRDefault="001265CA">
      <w:pPr>
        <w:pStyle w:val="BodyText"/>
        <w:spacing w:line="225" w:lineRule="auto"/>
        <w:ind w:left="143" w:right="132"/>
      </w:pPr>
      <w:r w:rsidRPr="00283806">
        <w:rPr>
          <w:w w:val="105"/>
        </w:rPr>
        <w:t>proposed training requirement for fire suppression technicians. One of the commenters expressed support for the proposed training requirements for this sector</w:t>
      </w:r>
      <w:r w:rsidRPr="00283806">
        <w:rPr>
          <w:spacing w:val="-4"/>
          <w:w w:val="105"/>
        </w:rPr>
        <w:t xml:space="preserve"> </w:t>
      </w:r>
      <w:r w:rsidRPr="00283806">
        <w:rPr>
          <w:w w:val="105"/>
        </w:rPr>
        <w:t>to</w:t>
      </w:r>
      <w:r w:rsidRPr="00283806">
        <w:rPr>
          <w:spacing w:val="-4"/>
          <w:w w:val="105"/>
        </w:rPr>
        <w:t xml:space="preserve"> </w:t>
      </w:r>
      <w:r w:rsidRPr="00283806">
        <w:rPr>
          <w:w w:val="105"/>
        </w:rPr>
        <w:t>ensure</w:t>
      </w:r>
      <w:r w:rsidRPr="00283806">
        <w:rPr>
          <w:spacing w:val="-4"/>
          <w:w w:val="105"/>
        </w:rPr>
        <w:t xml:space="preserve"> </w:t>
      </w:r>
      <w:r w:rsidRPr="00283806">
        <w:rPr>
          <w:w w:val="105"/>
        </w:rPr>
        <w:t>higher</w:t>
      </w:r>
      <w:r w:rsidRPr="00283806">
        <w:rPr>
          <w:spacing w:val="-4"/>
          <w:w w:val="105"/>
        </w:rPr>
        <w:t xml:space="preserve"> </w:t>
      </w:r>
      <w:r w:rsidRPr="00283806">
        <w:rPr>
          <w:w w:val="105"/>
        </w:rPr>
        <w:t>rates</w:t>
      </w:r>
      <w:r w:rsidRPr="00283806">
        <w:rPr>
          <w:spacing w:val="-4"/>
          <w:w w:val="105"/>
        </w:rPr>
        <w:t xml:space="preserve"> </w:t>
      </w:r>
      <w:r w:rsidRPr="00283806">
        <w:rPr>
          <w:w w:val="105"/>
        </w:rPr>
        <w:t>of</w:t>
      </w:r>
      <w:r w:rsidRPr="00283806">
        <w:rPr>
          <w:spacing w:val="-4"/>
          <w:w w:val="105"/>
        </w:rPr>
        <w:t xml:space="preserve"> </w:t>
      </w:r>
      <w:r w:rsidRPr="00283806">
        <w:rPr>
          <w:w w:val="105"/>
        </w:rPr>
        <w:t xml:space="preserve">recovery and recycling of HFCs. The commenter stated that the proposed training requirements will be highly valuable to the fire suppression sector which has technicians skilled in the recovery and recycling of HFCs. Another commenter supported enhanced training for fire suppression technicians to facilitate the implementation of the fire protection </w:t>
      </w:r>
      <w:r w:rsidRPr="00283806">
        <w:rPr>
          <w:spacing w:val="-2"/>
          <w:w w:val="105"/>
        </w:rPr>
        <w:t>requirements.</w:t>
      </w:r>
    </w:p>
    <w:p w14:paraId="6450398E" w14:textId="77777777" w:rsidR="00D67C1E" w:rsidRPr="00283806" w:rsidRDefault="001265CA">
      <w:pPr>
        <w:pStyle w:val="BodyText"/>
        <w:spacing w:line="175" w:lineRule="exact"/>
        <w:ind w:left="323"/>
      </w:pPr>
      <w:r w:rsidRPr="00283806">
        <w:rPr>
          <w:w w:val="105"/>
        </w:rPr>
        <w:t>One</w:t>
      </w:r>
      <w:r w:rsidRPr="00283806">
        <w:rPr>
          <w:spacing w:val="3"/>
          <w:w w:val="105"/>
        </w:rPr>
        <w:t xml:space="preserve"> </w:t>
      </w:r>
      <w:r w:rsidRPr="00283806">
        <w:rPr>
          <w:w w:val="105"/>
        </w:rPr>
        <w:t>commenter</w:t>
      </w:r>
      <w:r w:rsidRPr="00283806">
        <w:rPr>
          <w:spacing w:val="4"/>
          <w:w w:val="105"/>
        </w:rPr>
        <w:t xml:space="preserve"> </w:t>
      </w:r>
      <w:r w:rsidRPr="00283806">
        <w:rPr>
          <w:w w:val="105"/>
        </w:rPr>
        <w:t>requested</w:t>
      </w:r>
      <w:r w:rsidRPr="00283806">
        <w:rPr>
          <w:spacing w:val="4"/>
          <w:w w:val="105"/>
        </w:rPr>
        <w:t xml:space="preserve"> </w:t>
      </w:r>
      <w:r w:rsidRPr="00283806">
        <w:rPr>
          <w:w w:val="105"/>
        </w:rPr>
        <w:t>that</w:t>
      </w:r>
      <w:r w:rsidRPr="00283806">
        <w:rPr>
          <w:spacing w:val="4"/>
          <w:w w:val="105"/>
        </w:rPr>
        <w:t xml:space="preserve"> </w:t>
      </w:r>
      <w:r w:rsidRPr="00283806">
        <w:rPr>
          <w:spacing w:val="-5"/>
          <w:w w:val="105"/>
        </w:rPr>
        <w:t>EPA</w:t>
      </w:r>
    </w:p>
    <w:p w14:paraId="74BCFB36" w14:textId="77777777" w:rsidR="00D67C1E" w:rsidRPr="00283806" w:rsidRDefault="001265CA">
      <w:pPr>
        <w:pStyle w:val="BodyText"/>
        <w:spacing w:line="225" w:lineRule="auto"/>
        <w:ind w:left="143" w:right="141"/>
      </w:pPr>
      <w:r w:rsidRPr="00283806">
        <w:rPr>
          <w:w w:val="105"/>
        </w:rPr>
        <w:t xml:space="preserve">develop </w:t>
      </w:r>
      <w:proofErr w:type="gramStart"/>
      <w:r w:rsidRPr="00283806">
        <w:rPr>
          <w:w w:val="105"/>
        </w:rPr>
        <w:t>course</w:t>
      </w:r>
      <w:proofErr w:type="gramEnd"/>
      <w:r w:rsidRPr="00283806">
        <w:rPr>
          <w:w w:val="105"/>
        </w:rPr>
        <w:t xml:space="preserve"> content of the required training and make it available to the regulated community. The commenter stated that this would ensure consistent course content across the country and</w:t>
      </w:r>
      <w:r w:rsidRPr="00283806">
        <w:rPr>
          <w:spacing w:val="80"/>
          <w:w w:val="105"/>
        </w:rPr>
        <w:t xml:space="preserve"> </w:t>
      </w:r>
      <w:r w:rsidRPr="00283806">
        <w:rPr>
          <w:w w:val="105"/>
        </w:rPr>
        <w:t>be far more cost-effective then having every regulated facility generate training for the technicians that service their regulated fire suppression systems.</w:t>
      </w:r>
    </w:p>
    <w:p w14:paraId="10FE45C6" w14:textId="77777777" w:rsidR="00D67C1E" w:rsidRPr="00283806" w:rsidRDefault="001265CA">
      <w:pPr>
        <w:spacing w:line="182" w:lineRule="exact"/>
        <w:ind w:left="323"/>
        <w:rPr>
          <w:sz w:val="18"/>
        </w:rPr>
      </w:pPr>
      <w:r w:rsidRPr="00283806">
        <w:rPr>
          <w:rFonts w:ascii="Book Antiqua"/>
          <w:i/>
          <w:w w:val="110"/>
          <w:sz w:val="18"/>
        </w:rPr>
        <w:t>Response:</w:t>
      </w:r>
      <w:r w:rsidRPr="00283806">
        <w:rPr>
          <w:rFonts w:ascii="Book Antiqua"/>
          <w:i/>
          <w:spacing w:val="25"/>
          <w:w w:val="110"/>
          <w:sz w:val="18"/>
        </w:rPr>
        <w:t xml:space="preserve"> </w:t>
      </w:r>
      <w:r w:rsidRPr="00283806">
        <w:rPr>
          <w:w w:val="110"/>
          <w:sz w:val="18"/>
        </w:rPr>
        <w:t>EPA</w:t>
      </w:r>
      <w:r w:rsidRPr="00283806">
        <w:rPr>
          <w:spacing w:val="31"/>
          <w:w w:val="110"/>
          <w:sz w:val="18"/>
        </w:rPr>
        <w:t xml:space="preserve"> </w:t>
      </w:r>
      <w:r w:rsidRPr="00283806">
        <w:rPr>
          <w:spacing w:val="-2"/>
          <w:w w:val="110"/>
          <w:sz w:val="18"/>
        </w:rPr>
        <w:t>acknowledges</w:t>
      </w:r>
    </w:p>
    <w:p w14:paraId="05C779DA" w14:textId="77777777" w:rsidR="00D67C1E" w:rsidRPr="00283806" w:rsidRDefault="001265CA">
      <w:pPr>
        <w:pStyle w:val="BodyText"/>
        <w:spacing w:line="225" w:lineRule="auto"/>
        <w:ind w:left="143" w:right="190"/>
      </w:pPr>
      <w:r w:rsidRPr="00283806">
        <w:rPr>
          <w:w w:val="105"/>
        </w:rPr>
        <w:t>commenters’ support of the training requirement for fire suppression technicians and is finalizing this requirement as proposed with only a change to the compliance date to</w:t>
      </w:r>
      <w:r w:rsidRPr="00283806">
        <w:rPr>
          <w:spacing w:val="80"/>
          <w:w w:val="105"/>
        </w:rPr>
        <w:t xml:space="preserve"> </w:t>
      </w:r>
      <w:r w:rsidRPr="00283806">
        <w:rPr>
          <w:w w:val="105"/>
        </w:rPr>
        <w:t>January 1, 2026, to align with other changes such as the compliance date for the servicing and/repair of fire suppression equipment to be done with recycled HFCs. The Agency</w:t>
      </w:r>
      <w:r w:rsidRPr="00283806">
        <w:rPr>
          <w:spacing w:val="40"/>
          <w:w w:val="105"/>
        </w:rPr>
        <w:t xml:space="preserve"> </w:t>
      </w:r>
      <w:r w:rsidRPr="00283806">
        <w:rPr>
          <w:w w:val="105"/>
        </w:rPr>
        <w:t>acknowledges the request for consistent course content across the country; however, the Agency considers the affected entities able to design effective training on their own taking into consideration their needs and practices, as relevant. That said, on a voluntary basis, EPA could review and provide</w:t>
      </w:r>
    </w:p>
    <w:p w14:paraId="509A4728"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6" w:space="40"/>
            <w:col w:w="3502" w:space="39"/>
            <w:col w:w="3623"/>
          </w:cols>
        </w:sectPr>
      </w:pPr>
    </w:p>
    <w:p w14:paraId="49A8B4C1" w14:textId="77777777" w:rsidR="00D67C1E" w:rsidRPr="00283806" w:rsidRDefault="001265CA">
      <w:pPr>
        <w:pStyle w:val="BodyText"/>
        <w:tabs>
          <w:tab w:val="left" w:pos="3699"/>
          <w:tab w:val="left" w:pos="7239"/>
          <w:tab w:val="left" w:pos="8239"/>
        </w:tabs>
        <w:spacing w:line="176" w:lineRule="exact"/>
      </w:pPr>
      <w:r w:rsidRPr="00283806">
        <w:rPr>
          <w:w w:val="105"/>
          <w:position w:val="2"/>
        </w:rPr>
        <w:t>enable</w:t>
      </w:r>
      <w:r w:rsidRPr="00283806">
        <w:rPr>
          <w:spacing w:val="10"/>
          <w:w w:val="105"/>
          <w:position w:val="2"/>
        </w:rPr>
        <w:t xml:space="preserve"> </w:t>
      </w:r>
      <w:r w:rsidRPr="00283806">
        <w:rPr>
          <w:w w:val="105"/>
          <w:position w:val="2"/>
        </w:rPr>
        <w:t>the</w:t>
      </w:r>
      <w:r w:rsidRPr="00283806">
        <w:rPr>
          <w:spacing w:val="10"/>
          <w:w w:val="105"/>
          <w:position w:val="2"/>
        </w:rPr>
        <w:t xml:space="preserve"> </w:t>
      </w:r>
      <w:r w:rsidRPr="00283806">
        <w:rPr>
          <w:w w:val="105"/>
          <w:position w:val="2"/>
        </w:rPr>
        <w:t>fire</w:t>
      </w:r>
      <w:r w:rsidRPr="00283806">
        <w:rPr>
          <w:spacing w:val="11"/>
          <w:w w:val="105"/>
          <w:position w:val="2"/>
        </w:rPr>
        <w:t xml:space="preserve"> </w:t>
      </w:r>
      <w:r w:rsidRPr="00283806">
        <w:rPr>
          <w:w w:val="105"/>
          <w:position w:val="2"/>
        </w:rPr>
        <w:t>suppression</w:t>
      </w:r>
      <w:r w:rsidRPr="00283806">
        <w:rPr>
          <w:spacing w:val="10"/>
          <w:w w:val="105"/>
          <w:position w:val="2"/>
        </w:rPr>
        <w:t xml:space="preserve"> </w:t>
      </w:r>
      <w:r w:rsidRPr="00283806">
        <w:rPr>
          <w:w w:val="105"/>
          <w:position w:val="2"/>
        </w:rPr>
        <w:t>industry</w:t>
      </w:r>
      <w:r w:rsidRPr="00283806">
        <w:rPr>
          <w:spacing w:val="11"/>
          <w:w w:val="105"/>
          <w:position w:val="2"/>
        </w:rPr>
        <w:t xml:space="preserve"> </w:t>
      </w:r>
      <w:r w:rsidRPr="00283806">
        <w:rPr>
          <w:spacing w:val="-5"/>
          <w:w w:val="105"/>
          <w:position w:val="2"/>
        </w:rPr>
        <w:t>to</w:t>
      </w:r>
      <w:r w:rsidRPr="00283806">
        <w:rPr>
          <w:position w:val="2"/>
        </w:rPr>
        <w:tab/>
      </w:r>
      <w:r w:rsidRPr="00283806">
        <w:rPr>
          <w:w w:val="105"/>
        </w:rPr>
        <w:t>HFC</w:t>
      </w:r>
      <w:r w:rsidRPr="00283806">
        <w:rPr>
          <w:spacing w:val="17"/>
          <w:w w:val="105"/>
        </w:rPr>
        <w:t xml:space="preserve"> </w:t>
      </w:r>
      <w:r w:rsidRPr="00283806">
        <w:rPr>
          <w:w w:val="105"/>
        </w:rPr>
        <w:t>emissions</w:t>
      </w:r>
      <w:r w:rsidRPr="00283806">
        <w:rPr>
          <w:spacing w:val="17"/>
          <w:w w:val="105"/>
        </w:rPr>
        <w:t xml:space="preserve"> </w:t>
      </w:r>
      <w:r w:rsidRPr="00283806">
        <w:rPr>
          <w:w w:val="105"/>
        </w:rPr>
        <w:t>from</w:t>
      </w:r>
      <w:r w:rsidRPr="00283806">
        <w:rPr>
          <w:spacing w:val="17"/>
          <w:w w:val="105"/>
        </w:rPr>
        <w:t xml:space="preserve"> </w:t>
      </w:r>
      <w:r w:rsidRPr="00283806">
        <w:rPr>
          <w:w w:val="105"/>
        </w:rPr>
        <w:t>fire</w:t>
      </w:r>
      <w:r w:rsidRPr="00283806">
        <w:rPr>
          <w:spacing w:val="18"/>
          <w:w w:val="105"/>
        </w:rPr>
        <w:t xml:space="preserve"> </w:t>
      </w:r>
      <w:r w:rsidRPr="00283806">
        <w:rPr>
          <w:spacing w:val="-2"/>
          <w:w w:val="105"/>
        </w:rPr>
        <w:t>suppression</w:t>
      </w:r>
      <w:r w:rsidRPr="00283806">
        <w:tab/>
      </w:r>
      <w:r w:rsidRPr="00283806">
        <w:rPr>
          <w:u w:val="single"/>
        </w:rPr>
        <w:tab/>
      </w:r>
    </w:p>
    <w:p w14:paraId="682B272E" w14:textId="77777777" w:rsidR="00D67C1E" w:rsidRPr="00283806" w:rsidRDefault="00D67C1E">
      <w:pPr>
        <w:spacing w:line="176" w:lineRule="exact"/>
        <w:sectPr w:rsidR="00D67C1E" w:rsidRPr="00283806">
          <w:type w:val="continuous"/>
          <w:pgSz w:w="12240" w:h="15840"/>
          <w:pgMar w:top="880" w:right="780" w:bottom="280" w:left="740" w:header="627" w:footer="0" w:gutter="0"/>
          <w:cols w:space="720"/>
        </w:sectPr>
      </w:pPr>
    </w:p>
    <w:p w14:paraId="5A8AEC19" w14:textId="77777777" w:rsidR="00D67C1E" w:rsidRPr="00283806" w:rsidRDefault="001265CA">
      <w:pPr>
        <w:pStyle w:val="BodyText"/>
        <w:spacing w:before="9" w:line="228" w:lineRule="auto"/>
      </w:pPr>
      <w:r w:rsidRPr="00283806">
        <w:rPr>
          <w:w w:val="105"/>
        </w:rPr>
        <w:t>build up additional stock of recycled HFCs to meet demand for servicing and/ or repair of fire suppression equipment. While one commenter suggested a compliance date of 2028 for servicing,</w:t>
      </w:r>
    </w:p>
    <w:p w14:paraId="1E905380" w14:textId="77777777" w:rsidR="00D67C1E" w:rsidRPr="00283806" w:rsidRDefault="001265CA">
      <w:pPr>
        <w:pStyle w:val="BodyText"/>
        <w:spacing w:before="15" w:line="197" w:lineRule="exact"/>
      </w:pPr>
      <w:r w:rsidRPr="00283806">
        <w:br w:type="column"/>
      </w:r>
      <w:r w:rsidRPr="00283806">
        <w:rPr>
          <w:spacing w:val="-2"/>
          <w:w w:val="105"/>
        </w:rPr>
        <w:t>equipment.</w:t>
      </w:r>
    </w:p>
    <w:p w14:paraId="21E015DE" w14:textId="77777777" w:rsidR="00D67C1E" w:rsidRPr="00283806" w:rsidRDefault="001265CA">
      <w:pPr>
        <w:pStyle w:val="BodyText"/>
        <w:spacing w:line="228" w:lineRule="auto"/>
        <w:ind w:firstLine="180"/>
      </w:pPr>
      <w:r w:rsidRPr="00283806">
        <w:rPr>
          <w:w w:val="105"/>
        </w:rPr>
        <w:t>The HFC fire suppression technician training must be designed to include: (1) An explanation of the purpose of the training requirement, including the</w:t>
      </w:r>
    </w:p>
    <w:p w14:paraId="2CB39A40" w14:textId="77777777" w:rsidR="00D67C1E" w:rsidRPr="00283806" w:rsidRDefault="001265CA">
      <w:pPr>
        <w:spacing w:before="40" w:line="232" w:lineRule="auto"/>
        <w:ind w:left="155" w:right="131" w:firstLine="140"/>
        <w:rPr>
          <w:sz w:val="14"/>
        </w:rPr>
      </w:pPr>
      <w:r w:rsidRPr="00283806">
        <w:br w:type="column"/>
      </w:r>
      <w:r w:rsidRPr="00283806">
        <w:rPr>
          <w:w w:val="110"/>
          <w:position w:val="4"/>
          <w:sz w:val="9"/>
        </w:rPr>
        <w:t xml:space="preserve">132 </w:t>
      </w:r>
      <w:r w:rsidRPr="00283806">
        <w:rPr>
          <w:w w:val="110"/>
          <w:sz w:val="14"/>
        </w:rPr>
        <w:t>These may include, but are not limited to,</w:t>
      </w:r>
      <w:r w:rsidRPr="00283806">
        <w:rPr>
          <w:spacing w:val="40"/>
          <w:w w:val="110"/>
          <w:sz w:val="14"/>
        </w:rPr>
        <w:t xml:space="preserve"> </w:t>
      </w:r>
      <w:r w:rsidRPr="00283806">
        <w:rPr>
          <w:w w:val="110"/>
          <w:sz w:val="14"/>
        </w:rPr>
        <w:t>other EPA regulations, DOT regulations,</w:t>
      </w:r>
      <w:r w:rsidRPr="00283806">
        <w:rPr>
          <w:spacing w:val="40"/>
          <w:w w:val="110"/>
          <w:sz w:val="14"/>
        </w:rPr>
        <w:t xml:space="preserve"> </w:t>
      </w:r>
      <w:r w:rsidRPr="00283806">
        <w:rPr>
          <w:w w:val="110"/>
          <w:sz w:val="14"/>
        </w:rPr>
        <w:t>Occupational Safety and Health Administration</w:t>
      </w:r>
      <w:r w:rsidRPr="00283806">
        <w:rPr>
          <w:spacing w:val="40"/>
          <w:w w:val="110"/>
          <w:sz w:val="14"/>
        </w:rPr>
        <w:t xml:space="preserve"> </w:t>
      </w:r>
      <w:r w:rsidRPr="00283806">
        <w:rPr>
          <w:w w:val="110"/>
          <w:sz w:val="14"/>
        </w:rPr>
        <w:t>(OSHA)</w:t>
      </w:r>
      <w:r w:rsidRPr="00283806">
        <w:rPr>
          <w:spacing w:val="-9"/>
          <w:w w:val="110"/>
          <w:sz w:val="14"/>
        </w:rPr>
        <w:t xml:space="preserve"> </w:t>
      </w:r>
      <w:r w:rsidRPr="00283806">
        <w:rPr>
          <w:w w:val="110"/>
          <w:sz w:val="14"/>
        </w:rPr>
        <w:t>regulations,</w:t>
      </w:r>
      <w:r w:rsidRPr="00283806">
        <w:rPr>
          <w:spacing w:val="-8"/>
          <w:w w:val="110"/>
          <w:sz w:val="14"/>
        </w:rPr>
        <w:t xml:space="preserve"> </w:t>
      </w:r>
      <w:r w:rsidRPr="00283806">
        <w:rPr>
          <w:w w:val="110"/>
          <w:sz w:val="14"/>
        </w:rPr>
        <w:t>codes</w:t>
      </w:r>
      <w:r w:rsidRPr="00283806">
        <w:rPr>
          <w:spacing w:val="-9"/>
          <w:w w:val="110"/>
          <w:sz w:val="14"/>
        </w:rPr>
        <w:t xml:space="preserve"> </w:t>
      </w:r>
      <w:r w:rsidRPr="00283806">
        <w:rPr>
          <w:w w:val="110"/>
          <w:sz w:val="14"/>
        </w:rPr>
        <w:t>and</w:t>
      </w:r>
      <w:r w:rsidRPr="00283806">
        <w:rPr>
          <w:spacing w:val="-8"/>
          <w:w w:val="110"/>
          <w:sz w:val="14"/>
        </w:rPr>
        <w:t xml:space="preserve"> </w:t>
      </w:r>
      <w:r w:rsidRPr="00283806">
        <w:rPr>
          <w:w w:val="110"/>
          <w:sz w:val="14"/>
        </w:rPr>
        <w:t>standards</w:t>
      </w:r>
      <w:r w:rsidRPr="00283806">
        <w:rPr>
          <w:spacing w:val="-9"/>
          <w:w w:val="110"/>
          <w:sz w:val="14"/>
        </w:rPr>
        <w:t xml:space="preserve"> </w:t>
      </w:r>
      <w:r w:rsidRPr="00283806">
        <w:rPr>
          <w:w w:val="110"/>
          <w:sz w:val="14"/>
        </w:rPr>
        <w:t>of</w:t>
      </w:r>
      <w:r w:rsidRPr="00283806">
        <w:rPr>
          <w:spacing w:val="-8"/>
          <w:w w:val="110"/>
          <w:sz w:val="14"/>
        </w:rPr>
        <w:t xml:space="preserve"> </w:t>
      </w:r>
      <w:r w:rsidRPr="00283806">
        <w:rPr>
          <w:w w:val="110"/>
          <w:sz w:val="14"/>
        </w:rPr>
        <w:t>NFPA,</w:t>
      </w:r>
      <w:r w:rsidRPr="00283806">
        <w:rPr>
          <w:spacing w:val="40"/>
          <w:w w:val="110"/>
          <w:sz w:val="14"/>
        </w:rPr>
        <w:t xml:space="preserve"> </w:t>
      </w:r>
      <w:r w:rsidRPr="00283806">
        <w:rPr>
          <w:w w:val="110"/>
          <w:sz w:val="14"/>
        </w:rPr>
        <w:t>and other federal, state, or local fire, building,</w:t>
      </w:r>
      <w:r w:rsidRPr="00283806">
        <w:rPr>
          <w:spacing w:val="40"/>
          <w:w w:val="110"/>
          <w:sz w:val="14"/>
        </w:rPr>
        <w:t xml:space="preserve"> </w:t>
      </w:r>
      <w:r w:rsidRPr="00283806">
        <w:rPr>
          <w:w w:val="110"/>
          <w:sz w:val="14"/>
        </w:rPr>
        <w:t>safety, and environmental codes and standards.</w:t>
      </w:r>
    </w:p>
    <w:p w14:paraId="0131505C" w14:textId="77777777" w:rsidR="00D67C1E" w:rsidRPr="00283806" w:rsidRDefault="00D67C1E">
      <w:pPr>
        <w:spacing w:line="232" w:lineRule="auto"/>
        <w:rPr>
          <w:sz w:val="14"/>
        </w:rPr>
        <w:sectPr w:rsidR="00D67C1E" w:rsidRPr="00283806">
          <w:type w:val="continuous"/>
          <w:pgSz w:w="12240" w:h="15840"/>
          <w:pgMar w:top="880" w:right="780" w:bottom="280" w:left="740" w:header="627" w:footer="0" w:gutter="0"/>
          <w:cols w:num="3" w:space="720" w:equalWidth="0">
            <w:col w:w="3496" w:space="44"/>
            <w:col w:w="3505" w:space="40"/>
            <w:col w:w="3635"/>
          </w:cols>
        </w:sectPr>
      </w:pPr>
    </w:p>
    <w:p w14:paraId="5BE49B5B" w14:textId="77777777" w:rsidR="00D67C1E" w:rsidRPr="00283806" w:rsidRDefault="001265CA">
      <w:pPr>
        <w:pStyle w:val="BodyText"/>
        <w:spacing w:before="136" w:line="225" w:lineRule="auto"/>
        <w:ind w:right="68"/>
      </w:pPr>
      <w:r w:rsidRPr="00283806">
        <w:rPr>
          <w:w w:val="105"/>
        </w:rPr>
        <w:lastRenderedPageBreak/>
        <w:t>feedback on training programs and materials. The Agency has provided a</w:t>
      </w:r>
      <w:r w:rsidRPr="00283806">
        <w:rPr>
          <w:spacing w:val="80"/>
          <w:w w:val="150"/>
        </w:rPr>
        <w:t xml:space="preserve"> </w:t>
      </w:r>
      <w:r w:rsidRPr="00283806">
        <w:rPr>
          <w:w w:val="105"/>
        </w:rPr>
        <w:t>list of the primary topics to be included</w:t>
      </w:r>
      <w:r w:rsidRPr="00283806">
        <w:rPr>
          <w:spacing w:val="40"/>
          <w:w w:val="105"/>
        </w:rPr>
        <w:t xml:space="preserve"> </w:t>
      </w:r>
      <w:r w:rsidRPr="00283806">
        <w:rPr>
          <w:w w:val="105"/>
        </w:rPr>
        <w:t>in the training: (1) An explanation of the purpose of the training requirement, including</w:t>
      </w:r>
      <w:r w:rsidRPr="00283806">
        <w:rPr>
          <w:spacing w:val="40"/>
          <w:w w:val="105"/>
        </w:rPr>
        <w:t xml:space="preserve"> </w:t>
      </w:r>
      <w:r w:rsidRPr="00283806">
        <w:rPr>
          <w:w w:val="105"/>
        </w:rPr>
        <w:t>the</w:t>
      </w:r>
      <w:r w:rsidRPr="00283806">
        <w:rPr>
          <w:spacing w:val="40"/>
          <w:w w:val="105"/>
        </w:rPr>
        <w:t xml:space="preserve"> </w:t>
      </w:r>
      <w:r w:rsidRPr="00283806">
        <w:rPr>
          <w:w w:val="105"/>
        </w:rPr>
        <w:t>significance</w:t>
      </w:r>
      <w:r w:rsidRPr="00283806">
        <w:rPr>
          <w:spacing w:val="40"/>
          <w:w w:val="105"/>
        </w:rPr>
        <w:t xml:space="preserve"> </w:t>
      </w:r>
      <w:r w:rsidRPr="00283806">
        <w:rPr>
          <w:w w:val="105"/>
        </w:rPr>
        <w:t>of</w:t>
      </w:r>
      <w:r w:rsidRPr="00283806">
        <w:rPr>
          <w:spacing w:val="80"/>
          <w:w w:val="105"/>
        </w:rPr>
        <w:t xml:space="preserve"> </w:t>
      </w:r>
      <w:r w:rsidRPr="00283806">
        <w:rPr>
          <w:w w:val="105"/>
        </w:rPr>
        <w:t>minimizing releases of HFCs and</w:t>
      </w:r>
      <w:r w:rsidRPr="00283806">
        <w:rPr>
          <w:spacing w:val="40"/>
          <w:w w:val="105"/>
        </w:rPr>
        <w:t xml:space="preserve"> </w:t>
      </w:r>
      <w:r w:rsidRPr="00283806">
        <w:rPr>
          <w:w w:val="105"/>
        </w:rPr>
        <w:t>ensuring fire suppression technician safety; (2) an overview of HFCs and environmental concerns with HFCs; (3)</w:t>
      </w:r>
      <w:r w:rsidRPr="00283806">
        <w:rPr>
          <w:spacing w:val="80"/>
          <w:w w:val="105"/>
        </w:rPr>
        <w:t xml:space="preserve"> </w:t>
      </w:r>
      <w:r w:rsidRPr="00283806">
        <w:rPr>
          <w:w w:val="105"/>
        </w:rPr>
        <w:t>a review of relevant regulations concerning HFCs, including the requirements of the HFC emissions reduction program for fire suppression equipment; and (4) specific technical instruction relevant to avoiding unnecessary HFC emissions during the servicing,</w:t>
      </w:r>
      <w:r w:rsidRPr="00283806">
        <w:rPr>
          <w:spacing w:val="40"/>
          <w:w w:val="105"/>
        </w:rPr>
        <w:t xml:space="preserve"> </w:t>
      </w:r>
      <w:r w:rsidRPr="00283806">
        <w:rPr>
          <w:w w:val="105"/>
        </w:rPr>
        <w:t>repair,</w:t>
      </w:r>
      <w:r w:rsidRPr="00283806">
        <w:rPr>
          <w:spacing w:val="40"/>
          <w:w w:val="105"/>
        </w:rPr>
        <w:t xml:space="preserve"> </w:t>
      </w:r>
      <w:r w:rsidRPr="00283806">
        <w:rPr>
          <w:w w:val="105"/>
        </w:rPr>
        <w:t>disposal,</w:t>
      </w:r>
      <w:r w:rsidRPr="00283806">
        <w:rPr>
          <w:spacing w:val="40"/>
          <w:w w:val="105"/>
        </w:rPr>
        <w:t xml:space="preserve"> </w:t>
      </w:r>
      <w:r w:rsidRPr="00283806">
        <w:rPr>
          <w:w w:val="105"/>
        </w:rPr>
        <w:t>or installation of fire suppression</w:t>
      </w:r>
      <w:r w:rsidRPr="00283806">
        <w:rPr>
          <w:spacing w:val="40"/>
          <w:w w:val="105"/>
        </w:rPr>
        <w:t xml:space="preserve"> </w:t>
      </w:r>
      <w:r w:rsidRPr="00283806">
        <w:rPr>
          <w:w w:val="105"/>
        </w:rPr>
        <w:t>equipment at each individual facility.</w:t>
      </w:r>
    </w:p>
    <w:p w14:paraId="6C28EC44" w14:textId="77777777" w:rsidR="00D67C1E" w:rsidRPr="00283806" w:rsidRDefault="001265CA">
      <w:pPr>
        <w:pStyle w:val="BodyText"/>
        <w:spacing w:line="225" w:lineRule="auto"/>
        <w:ind w:right="25"/>
      </w:pPr>
      <w:r w:rsidRPr="00283806">
        <w:rPr>
          <w:w w:val="105"/>
        </w:rPr>
        <w:t xml:space="preserve">EPA may provide suggested resources to assist entities to develop the training as </w:t>
      </w:r>
      <w:r w:rsidRPr="00283806">
        <w:rPr>
          <w:spacing w:val="-2"/>
          <w:w w:val="105"/>
        </w:rPr>
        <w:t>necessary.</w:t>
      </w:r>
    </w:p>
    <w:p w14:paraId="78FCDBD2" w14:textId="77777777" w:rsidR="00D67C1E" w:rsidRPr="00283806" w:rsidRDefault="001265CA">
      <w:pPr>
        <w:pStyle w:val="ListParagraph"/>
        <w:numPr>
          <w:ilvl w:val="1"/>
          <w:numId w:val="50"/>
        </w:numPr>
        <w:tabs>
          <w:tab w:val="left" w:pos="348"/>
        </w:tabs>
        <w:spacing w:before="89" w:line="225" w:lineRule="auto"/>
        <w:ind w:left="160" w:right="206" w:firstLine="0"/>
        <w:rPr>
          <w:sz w:val="18"/>
        </w:rPr>
      </w:pPr>
      <w:r w:rsidRPr="00283806">
        <w:rPr>
          <w:w w:val="105"/>
          <w:sz w:val="18"/>
        </w:rPr>
        <w:t>Recycling of HFCs Prior to Disposal of Fire Suppression Equipment Containing HFCs</w:t>
      </w:r>
    </w:p>
    <w:p w14:paraId="1789EF84" w14:textId="77777777" w:rsidR="00D67C1E" w:rsidRPr="00283806" w:rsidRDefault="001265CA">
      <w:pPr>
        <w:pStyle w:val="BodyText"/>
        <w:spacing w:before="65" w:line="225" w:lineRule="auto"/>
        <w:ind w:right="6" w:firstLine="180"/>
      </w:pPr>
      <w:r w:rsidRPr="00283806">
        <w:rPr>
          <w:w w:val="105"/>
        </w:rPr>
        <w:t>EPA proposed requirements related to the disposal of fire suppression equipment. The intent of these requirements is to ensure that HFCs</w:t>
      </w:r>
      <w:r w:rsidRPr="00283806">
        <w:rPr>
          <w:spacing w:val="80"/>
          <w:w w:val="105"/>
        </w:rPr>
        <w:t xml:space="preserve"> </w:t>
      </w:r>
      <w:r w:rsidRPr="00283806">
        <w:rPr>
          <w:w w:val="105"/>
        </w:rPr>
        <w:t>have been recovered and recycled from the equipment prior to the final step of the disposal of the equipment so that HFCs are not released during the</w:t>
      </w:r>
      <w:r w:rsidRPr="00283806">
        <w:rPr>
          <w:spacing w:val="40"/>
          <w:w w:val="105"/>
        </w:rPr>
        <w:t xml:space="preserve"> </w:t>
      </w:r>
      <w:r w:rsidRPr="00283806">
        <w:rPr>
          <w:w w:val="105"/>
        </w:rPr>
        <w:t>disposal of the equipment. EPA is requiring owners and operators of fire suppression</w:t>
      </w:r>
      <w:r w:rsidRPr="00283806">
        <w:rPr>
          <w:spacing w:val="35"/>
          <w:w w:val="105"/>
        </w:rPr>
        <w:t xml:space="preserve"> </w:t>
      </w:r>
      <w:r w:rsidRPr="00283806">
        <w:rPr>
          <w:w w:val="105"/>
        </w:rPr>
        <w:t>equipment</w:t>
      </w:r>
      <w:r w:rsidRPr="00283806">
        <w:rPr>
          <w:spacing w:val="35"/>
          <w:w w:val="105"/>
        </w:rPr>
        <w:t xml:space="preserve"> </w:t>
      </w:r>
      <w:r w:rsidRPr="00283806">
        <w:rPr>
          <w:w w:val="105"/>
        </w:rPr>
        <w:t>containing</w:t>
      </w:r>
      <w:r w:rsidRPr="00283806">
        <w:rPr>
          <w:spacing w:val="80"/>
          <w:w w:val="105"/>
        </w:rPr>
        <w:t xml:space="preserve"> </w:t>
      </w:r>
      <w:r w:rsidRPr="00283806">
        <w:rPr>
          <w:w w:val="105"/>
        </w:rPr>
        <w:t>HFCs (including an HFC blend) to</w:t>
      </w:r>
      <w:r w:rsidRPr="00283806">
        <w:rPr>
          <w:spacing w:val="40"/>
          <w:w w:val="105"/>
        </w:rPr>
        <w:t xml:space="preserve"> </w:t>
      </w:r>
      <w:r w:rsidRPr="00283806">
        <w:rPr>
          <w:w w:val="105"/>
        </w:rPr>
        <w:t>dispose of this equipment by recovering the HFCs themselves or by arranging for HFC recovery by a fire suppression equipment manufacturer or distributor, or a fire suppressant recycler. EPA is</w:t>
      </w:r>
      <w:r w:rsidRPr="00283806">
        <w:rPr>
          <w:spacing w:val="80"/>
          <w:w w:val="105"/>
        </w:rPr>
        <w:t xml:space="preserve"> </w:t>
      </w:r>
      <w:r w:rsidRPr="00283806">
        <w:rPr>
          <w:w w:val="105"/>
        </w:rPr>
        <w:t>also</w:t>
      </w:r>
      <w:r w:rsidRPr="00283806">
        <w:rPr>
          <w:spacing w:val="-4"/>
          <w:w w:val="105"/>
        </w:rPr>
        <w:t xml:space="preserve"> </w:t>
      </w:r>
      <w:proofErr w:type="gramStart"/>
      <w:r w:rsidRPr="00283806">
        <w:rPr>
          <w:w w:val="105"/>
        </w:rPr>
        <w:t>requiring</w:t>
      </w:r>
      <w:proofErr w:type="gramEnd"/>
      <w:r w:rsidRPr="00283806">
        <w:rPr>
          <w:spacing w:val="-4"/>
          <w:w w:val="105"/>
        </w:rPr>
        <w:t xml:space="preserve"> </w:t>
      </w:r>
      <w:r w:rsidRPr="00283806">
        <w:rPr>
          <w:w w:val="105"/>
        </w:rPr>
        <w:t>that</w:t>
      </w:r>
      <w:r w:rsidRPr="00283806">
        <w:rPr>
          <w:spacing w:val="-4"/>
          <w:w w:val="105"/>
        </w:rPr>
        <w:t xml:space="preserve"> </w:t>
      </w:r>
      <w:r w:rsidRPr="00283806">
        <w:rPr>
          <w:w w:val="105"/>
        </w:rPr>
        <w:t>owners</w:t>
      </w:r>
      <w:r w:rsidRPr="00283806">
        <w:rPr>
          <w:spacing w:val="-4"/>
          <w:w w:val="105"/>
        </w:rPr>
        <w:t xml:space="preserve"> </w:t>
      </w:r>
      <w:r w:rsidRPr="00283806">
        <w:rPr>
          <w:w w:val="105"/>
        </w:rPr>
        <w:t>and</w:t>
      </w:r>
      <w:r w:rsidRPr="00283806">
        <w:rPr>
          <w:spacing w:val="-4"/>
          <w:w w:val="105"/>
        </w:rPr>
        <w:t xml:space="preserve"> </w:t>
      </w:r>
      <w:r w:rsidRPr="00283806">
        <w:rPr>
          <w:w w:val="105"/>
        </w:rPr>
        <w:t xml:space="preserve">operators dispose of HFCs </w:t>
      </w:r>
      <w:proofErr w:type="gramStart"/>
      <w:r w:rsidRPr="00283806">
        <w:rPr>
          <w:w w:val="105"/>
        </w:rPr>
        <w:t>used</w:t>
      </w:r>
      <w:proofErr w:type="gramEnd"/>
      <w:r w:rsidRPr="00283806">
        <w:rPr>
          <w:w w:val="105"/>
        </w:rPr>
        <w:t xml:space="preserve"> as a fire suppression agent by sending them for recycling to a fire suppressant recycler</w:t>
      </w:r>
      <w:r w:rsidRPr="00283806">
        <w:rPr>
          <w:spacing w:val="40"/>
          <w:w w:val="105"/>
        </w:rPr>
        <w:t xml:space="preserve"> </w:t>
      </w:r>
      <w:r w:rsidRPr="00283806">
        <w:rPr>
          <w:w w:val="105"/>
        </w:rPr>
        <w:t>or a reclaimer certified under 40 CFR</w:t>
      </w:r>
    </w:p>
    <w:p w14:paraId="21B667E8" w14:textId="77777777" w:rsidR="00D67C1E" w:rsidRPr="00283806" w:rsidRDefault="001265CA">
      <w:pPr>
        <w:pStyle w:val="BodyText"/>
        <w:spacing w:line="225" w:lineRule="auto"/>
        <w:ind w:right="46"/>
      </w:pPr>
      <w:r w:rsidRPr="00283806">
        <w:rPr>
          <w:w w:val="105"/>
        </w:rPr>
        <w:t>82.164 or by arranging for its destruction using one of the controlled processes listed in 40 CFR 84.29. Consistent with 40 CFR part 82, subpart H, disposal of HFCs used as a fire suppression agent means the process leading to and including discarding of HFC-containing equipment. The voluntary industry standards that apply to the uses of HFCs in fire suppression equipment, NFPA 2001 for fire suppression systems and NFPA 10 for fire extinguishers, contain no current requirement for the recovery and</w:t>
      </w:r>
    </w:p>
    <w:p w14:paraId="6DBCF7A9" w14:textId="77777777" w:rsidR="00D67C1E" w:rsidRPr="00283806" w:rsidRDefault="001265CA">
      <w:pPr>
        <w:pStyle w:val="BodyText"/>
        <w:spacing w:before="134" w:line="228" w:lineRule="auto"/>
        <w:ind w:left="155" w:right="98"/>
      </w:pPr>
      <w:r w:rsidRPr="00283806">
        <w:br w:type="column"/>
      </w:r>
      <w:r w:rsidRPr="00283806">
        <w:rPr>
          <w:w w:val="105"/>
        </w:rPr>
        <w:t>reduction strategies during storage, handling, and transfer of HFCs, requirements</w:t>
      </w:r>
      <w:r w:rsidRPr="00283806">
        <w:rPr>
          <w:spacing w:val="-10"/>
          <w:w w:val="105"/>
        </w:rPr>
        <w:t xml:space="preserve"> </w:t>
      </w:r>
      <w:r w:rsidRPr="00283806">
        <w:rPr>
          <w:w w:val="105"/>
        </w:rPr>
        <w:t>to</w:t>
      </w:r>
      <w:r w:rsidRPr="00283806">
        <w:rPr>
          <w:spacing w:val="-10"/>
          <w:w w:val="105"/>
        </w:rPr>
        <w:t xml:space="preserve"> </w:t>
      </w:r>
      <w:r w:rsidRPr="00283806">
        <w:rPr>
          <w:w w:val="105"/>
        </w:rPr>
        <w:t>recover</w:t>
      </w:r>
      <w:r w:rsidRPr="00283806">
        <w:rPr>
          <w:spacing w:val="-10"/>
          <w:w w:val="105"/>
        </w:rPr>
        <w:t xml:space="preserve"> </w:t>
      </w:r>
      <w:r w:rsidRPr="00283806">
        <w:rPr>
          <w:w w:val="105"/>
        </w:rPr>
        <w:t>the</w:t>
      </w:r>
      <w:r w:rsidRPr="00283806">
        <w:rPr>
          <w:spacing w:val="-10"/>
          <w:w w:val="105"/>
        </w:rPr>
        <w:t xml:space="preserve"> </w:t>
      </w:r>
      <w:r w:rsidRPr="00283806">
        <w:rPr>
          <w:w w:val="105"/>
        </w:rPr>
        <w:t>agents</w:t>
      </w:r>
      <w:r w:rsidRPr="00283806">
        <w:rPr>
          <w:spacing w:val="-10"/>
          <w:w w:val="105"/>
        </w:rPr>
        <w:t xml:space="preserve"> </w:t>
      </w:r>
      <w:r w:rsidRPr="00283806">
        <w:rPr>
          <w:w w:val="105"/>
        </w:rPr>
        <w:t>after the end of the equipment’s useful life and either recycle or destroy them.</w:t>
      </w:r>
    </w:p>
    <w:p w14:paraId="0575FA12" w14:textId="77777777" w:rsidR="00D67C1E" w:rsidRPr="00283806" w:rsidRDefault="001265CA">
      <w:pPr>
        <w:pStyle w:val="BodyText"/>
        <w:spacing w:line="225" w:lineRule="auto"/>
        <w:ind w:left="155" w:right="72"/>
      </w:pPr>
      <w:r w:rsidRPr="00283806">
        <w:rPr>
          <w:w w:val="105"/>
        </w:rPr>
        <w:t>These requirements will minimize emissions of HFCs through recovery of the agent prior to disposal of the equipment and ensure that recycling or proper disposal of HFCs occurs broadly within this sector of use. Under the requirements, the owners and operators of this equipment (</w:t>
      </w:r>
      <w:r w:rsidRPr="00283806">
        <w:rPr>
          <w:rFonts w:ascii="Book Antiqua"/>
          <w:i/>
          <w:w w:val="105"/>
        </w:rPr>
        <w:t xml:space="preserve">e.g., </w:t>
      </w:r>
      <w:r w:rsidRPr="00283806">
        <w:rPr>
          <w:w w:val="105"/>
        </w:rPr>
        <w:t>specialized fire suppression systems containing HFCs that protect high value equipment, such as electronic server rooms or oil and gas production facilities) must ensure that HFCs are recovered from the fire suppression equipment before it is sent for disposal, either by recovering the HFCs themselves before sending the equipment for disposal or by leaving the HFCs in the equipment and sending it</w:t>
      </w:r>
      <w:r w:rsidRPr="00283806">
        <w:rPr>
          <w:spacing w:val="80"/>
          <w:w w:val="150"/>
        </w:rPr>
        <w:t xml:space="preserve"> </w:t>
      </w:r>
      <w:r w:rsidRPr="00283806">
        <w:rPr>
          <w:w w:val="105"/>
        </w:rPr>
        <w:t>for disposal to a facility (</w:t>
      </w:r>
      <w:r w:rsidRPr="00283806">
        <w:rPr>
          <w:rFonts w:ascii="Book Antiqua"/>
          <w:i/>
          <w:w w:val="105"/>
        </w:rPr>
        <w:t xml:space="preserve">e.g., </w:t>
      </w:r>
      <w:r w:rsidRPr="00283806">
        <w:rPr>
          <w:w w:val="105"/>
        </w:rPr>
        <w:t>fire suppression equipment manufacturer, a distributor, or a fire suppressant recycler) operating in accordance with industry standards (</w:t>
      </w:r>
      <w:r w:rsidRPr="00283806">
        <w:rPr>
          <w:rFonts w:ascii="Book Antiqua"/>
          <w:i/>
          <w:w w:val="105"/>
        </w:rPr>
        <w:t xml:space="preserve">i.e., </w:t>
      </w:r>
      <w:r w:rsidRPr="00283806">
        <w:rPr>
          <w:w w:val="105"/>
        </w:rPr>
        <w:t>NFPA 10 and NFPA 2001 standards), as applicable.</w:t>
      </w:r>
    </w:p>
    <w:p w14:paraId="1A0738C4" w14:textId="77777777" w:rsidR="00D67C1E" w:rsidRPr="00283806" w:rsidRDefault="001265CA">
      <w:pPr>
        <w:pStyle w:val="BodyText"/>
        <w:spacing w:before="6" w:line="228" w:lineRule="auto"/>
        <w:ind w:left="155"/>
      </w:pPr>
      <w:r w:rsidRPr="00283806">
        <w:rPr>
          <w:w w:val="105"/>
        </w:rPr>
        <w:t>The owners or operators of fire suppression equipment also must</w:t>
      </w:r>
      <w:r w:rsidRPr="00283806">
        <w:rPr>
          <w:spacing w:val="40"/>
          <w:w w:val="105"/>
        </w:rPr>
        <w:t xml:space="preserve"> </w:t>
      </w:r>
      <w:r w:rsidRPr="00283806">
        <w:rPr>
          <w:w w:val="105"/>
        </w:rPr>
        <w:t>recover</w:t>
      </w:r>
      <w:r w:rsidRPr="00283806">
        <w:rPr>
          <w:spacing w:val="38"/>
          <w:w w:val="105"/>
        </w:rPr>
        <w:t xml:space="preserve"> </w:t>
      </w:r>
      <w:r w:rsidRPr="00283806">
        <w:rPr>
          <w:w w:val="105"/>
        </w:rPr>
        <w:t>any</w:t>
      </w:r>
      <w:r w:rsidRPr="00283806">
        <w:rPr>
          <w:spacing w:val="38"/>
          <w:w w:val="105"/>
        </w:rPr>
        <w:t xml:space="preserve"> </w:t>
      </w:r>
      <w:r w:rsidRPr="00283806">
        <w:rPr>
          <w:w w:val="105"/>
        </w:rPr>
        <w:t>HFCs,</w:t>
      </w:r>
      <w:r w:rsidRPr="00283806">
        <w:rPr>
          <w:spacing w:val="38"/>
          <w:w w:val="105"/>
        </w:rPr>
        <w:t xml:space="preserve"> </w:t>
      </w:r>
      <w:r w:rsidRPr="00283806">
        <w:rPr>
          <w:w w:val="105"/>
        </w:rPr>
        <w:t>as</w:t>
      </w:r>
      <w:r w:rsidRPr="00283806">
        <w:rPr>
          <w:spacing w:val="38"/>
          <w:w w:val="105"/>
        </w:rPr>
        <w:t xml:space="preserve"> </w:t>
      </w:r>
      <w:r w:rsidRPr="00283806">
        <w:rPr>
          <w:w w:val="105"/>
        </w:rPr>
        <w:t>part</w:t>
      </w:r>
      <w:r w:rsidRPr="00283806">
        <w:rPr>
          <w:spacing w:val="38"/>
          <w:w w:val="105"/>
        </w:rPr>
        <w:t xml:space="preserve"> </w:t>
      </w:r>
      <w:r w:rsidRPr="00283806">
        <w:rPr>
          <w:w w:val="105"/>
        </w:rPr>
        <w:t>of</w:t>
      </w:r>
      <w:r w:rsidRPr="00283806">
        <w:rPr>
          <w:spacing w:val="38"/>
          <w:w w:val="105"/>
        </w:rPr>
        <w:t xml:space="preserve"> </w:t>
      </w:r>
      <w:r w:rsidRPr="00283806">
        <w:rPr>
          <w:w w:val="105"/>
        </w:rPr>
        <w:t>the disposal of such equipment, by sending them to a fire suppressant recycler operating in accordance with the</w:t>
      </w:r>
      <w:r w:rsidRPr="00283806">
        <w:rPr>
          <w:spacing w:val="40"/>
          <w:w w:val="105"/>
        </w:rPr>
        <w:t xml:space="preserve"> </w:t>
      </w:r>
      <w:r w:rsidRPr="00283806">
        <w:rPr>
          <w:w w:val="105"/>
        </w:rPr>
        <w:t>relevant industry standards, which EPA understands to be the NFPA 10 and</w:t>
      </w:r>
      <w:r w:rsidRPr="00283806">
        <w:rPr>
          <w:spacing w:val="80"/>
          <w:w w:val="105"/>
        </w:rPr>
        <w:t xml:space="preserve"> </w:t>
      </w:r>
      <w:r w:rsidRPr="00283806">
        <w:rPr>
          <w:w w:val="105"/>
        </w:rPr>
        <w:t>NFPA 2001 standards (depending on the type</w:t>
      </w:r>
      <w:r w:rsidRPr="00283806">
        <w:rPr>
          <w:spacing w:val="25"/>
          <w:w w:val="105"/>
        </w:rPr>
        <w:t xml:space="preserve"> </w:t>
      </w:r>
      <w:r w:rsidRPr="00283806">
        <w:rPr>
          <w:w w:val="105"/>
        </w:rPr>
        <w:t>of</w:t>
      </w:r>
      <w:r w:rsidRPr="00283806">
        <w:rPr>
          <w:spacing w:val="24"/>
          <w:w w:val="105"/>
        </w:rPr>
        <w:t xml:space="preserve"> </w:t>
      </w:r>
      <w:r w:rsidRPr="00283806">
        <w:rPr>
          <w:w w:val="105"/>
        </w:rPr>
        <w:t>equipment),</w:t>
      </w:r>
      <w:r w:rsidRPr="00283806">
        <w:rPr>
          <w:spacing w:val="25"/>
          <w:w w:val="105"/>
        </w:rPr>
        <w:t xml:space="preserve"> </w:t>
      </w:r>
      <w:r w:rsidRPr="00283806">
        <w:rPr>
          <w:w w:val="105"/>
        </w:rPr>
        <w:t>by</w:t>
      </w:r>
      <w:r w:rsidRPr="00283806">
        <w:rPr>
          <w:spacing w:val="24"/>
          <w:w w:val="105"/>
        </w:rPr>
        <w:t xml:space="preserve"> </w:t>
      </w:r>
      <w:r w:rsidRPr="00283806">
        <w:rPr>
          <w:w w:val="105"/>
        </w:rPr>
        <w:t>sending</w:t>
      </w:r>
      <w:r w:rsidRPr="00283806">
        <w:rPr>
          <w:spacing w:val="25"/>
          <w:w w:val="105"/>
        </w:rPr>
        <w:t xml:space="preserve"> </w:t>
      </w:r>
      <w:r w:rsidRPr="00283806">
        <w:rPr>
          <w:w w:val="105"/>
        </w:rPr>
        <w:t>them</w:t>
      </w:r>
      <w:r w:rsidRPr="00283806">
        <w:rPr>
          <w:spacing w:val="24"/>
          <w:w w:val="105"/>
        </w:rPr>
        <w:t xml:space="preserve"> </w:t>
      </w:r>
      <w:r w:rsidRPr="00283806">
        <w:rPr>
          <w:w w:val="105"/>
        </w:rPr>
        <w:t>to a reclaimer certified under 40 CFR 82.164, or by arranging for their destruction by a technology that is listed as an approved technology for destruction of the relevant regulated substance in the regulations at 40 CFR</w:t>
      </w:r>
    </w:p>
    <w:p w14:paraId="221981D5" w14:textId="77777777" w:rsidR="00D67C1E" w:rsidRPr="00283806" w:rsidRDefault="001265CA">
      <w:pPr>
        <w:pStyle w:val="BodyText"/>
        <w:spacing w:line="228" w:lineRule="auto"/>
        <w:ind w:left="155" w:right="21"/>
      </w:pPr>
      <w:r w:rsidRPr="00283806">
        <w:rPr>
          <w:w w:val="105"/>
        </w:rPr>
        <w:t>84.29. As part of implementing subsection (h)(1) of the AIM Act, these requirements control practices, processes, or activities regarding the disposal of such fire suppression equipment by establishing certain requirements</w:t>
      </w:r>
      <w:r w:rsidRPr="00283806">
        <w:rPr>
          <w:spacing w:val="-3"/>
          <w:w w:val="105"/>
        </w:rPr>
        <w:t xml:space="preserve"> </w:t>
      </w:r>
      <w:r w:rsidRPr="00283806">
        <w:rPr>
          <w:w w:val="105"/>
        </w:rPr>
        <w:t>that</w:t>
      </w:r>
      <w:r w:rsidRPr="00283806">
        <w:rPr>
          <w:spacing w:val="-3"/>
          <w:w w:val="105"/>
        </w:rPr>
        <w:t xml:space="preserve"> </w:t>
      </w:r>
      <w:r w:rsidRPr="00283806">
        <w:rPr>
          <w:w w:val="105"/>
        </w:rPr>
        <w:t>must</w:t>
      </w:r>
      <w:r w:rsidRPr="00283806">
        <w:rPr>
          <w:spacing w:val="-3"/>
          <w:w w:val="105"/>
        </w:rPr>
        <w:t xml:space="preserve"> </w:t>
      </w:r>
      <w:r w:rsidRPr="00283806">
        <w:rPr>
          <w:w w:val="105"/>
        </w:rPr>
        <w:t>be</w:t>
      </w:r>
      <w:r w:rsidRPr="00283806">
        <w:rPr>
          <w:spacing w:val="-3"/>
          <w:w w:val="105"/>
        </w:rPr>
        <w:t xml:space="preserve"> </w:t>
      </w:r>
      <w:r w:rsidRPr="00283806">
        <w:rPr>
          <w:w w:val="105"/>
        </w:rPr>
        <w:t>met</w:t>
      </w:r>
      <w:r w:rsidRPr="00283806">
        <w:rPr>
          <w:spacing w:val="-3"/>
          <w:w w:val="105"/>
        </w:rPr>
        <w:t xml:space="preserve"> </w:t>
      </w:r>
      <w:r w:rsidRPr="00283806">
        <w:rPr>
          <w:w w:val="105"/>
        </w:rPr>
        <w:t>as</w:t>
      </w:r>
      <w:r w:rsidRPr="00283806">
        <w:rPr>
          <w:spacing w:val="-3"/>
          <w:w w:val="105"/>
        </w:rPr>
        <w:t xml:space="preserve"> </w:t>
      </w:r>
      <w:r w:rsidRPr="00283806">
        <w:rPr>
          <w:w w:val="105"/>
        </w:rPr>
        <w:t>part</w:t>
      </w:r>
      <w:r w:rsidRPr="00283806">
        <w:rPr>
          <w:spacing w:val="-3"/>
          <w:w w:val="105"/>
        </w:rPr>
        <w:t xml:space="preserve"> </w:t>
      </w:r>
      <w:r w:rsidRPr="00283806">
        <w:rPr>
          <w:w w:val="105"/>
        </w:rPr>
        <w:t>of the disposal process and involve a regulated substance.</w:t>
      </w:r>
    </w:p>
    <w:p w14:paraId="47969EEC" w14:textId="77777777" w:rsidR="00D67C1E" w:rsidRPr="00283806" w:rsidRDefault="001265CA">
      <w:pPr>
        <w:pStyle w:val="BodyText"/>
        <w:spacing w:before="15" w:line="228" w:lineRule="auto"/>
        <w:ind w:left="155" w:right="98" w:firstLine="180"/>
      </w:pPr>
      <w:r w:rsidRPr="00283806">
        <w:rPr>
          <w:w w:val="105"/>
        </w:rPr>
        <w:t>Owners and operators of fire suppression equipment who recover HFCs prior to disposal may already be aware of the importance of HFC</w:t>
      </w:r>
      <w:r w:rsidRPr="00283806">
        <w:rPr>
          <w:spacing w:val="40"/>
          <w:w w:val="105"/>
        </w:rPr>
        <w:t xml:space="preserve"> </w:t>
      </w:r>
      <w:r w:rsidRPr="00283806">
        <w:rPr>
          <w:w w:val="105"/>
        </w:rPr>
        <w:t>recycling given prior communication efforts by the industry and may already take steps to ensure recovery of HFCs prior to disposal. The recycling of HFCs</w:t>
      </w:r>
    </w:p>
    <w:p w14:paraId="785B95B4" w14:textId="77777777" w:rsidR="00D67C1E" w:rsidRPr="00283806" w:rsidRDefault="001265CA">
      <w:pPr>
        <w:pStyle w:val="BodyText"/>
        <w:spacing w:before="134" w:line="225" w:lineRule="auto"/>
        <w:ind w:left="143" w:right="150"/>
      </w:pPr>
      <w:r w:rsidRPr="00283806">
        <w:br w:type="column"/>
      </w:r>
      <w:r w:rsidRPr="00283806">
        <w:rPr>
          <w:w w:val="105"/>
        </w:rPr>
        <w:t>suppression equipment and those disposing of HFCs to contact fire suppression equipment manufacturers, distributors, or fire suppressant</w:t>
      </w:r>
      <w:r w:rsidRPr="00283806">
        <w:rPr>
          <w:spacing w:val="40"/>
          <w:w w:val="105"/>
        </w:rPr>
        <w:t xml:space="preserve"> </w:t>
      </w:r>
      <w:r w:rsidRPr="00283806">
        <w:rPr>
          <w:w w:val="105"/>
        </w:rPr>
        <w:t>recyclers to ensure that HFCs are safely recovered from equipment and recycled for future use. Therefore, the requirements finalized in this rule are likely consistent with current industry practices. Most fire suppression systems and extinguishers in use today are purchased, installed, and serviced by</w:t>
      </w:r>
      <w:r w:rsidRPr="00283806">
        <w:rPr>
          <w:spacing w:val="80"/>
          <w:w w:val="150"/>
        </w:rPr>
        <w:t xml:space="preserve"> </w:t>
      </w:r>
      <w:r w:rsidRPr="00283806">
        <w:rPr>
          <w:w w:val="105"/>
        </w:rPr>
        <w:t>fire suppression equipment distributors. EPA is aware that there are established distribution channels within the commercial and industrial sectors</w:t>
      </w:r>
      <w:r w:rsidRPr="00283806">
        <w:rPr>
          <w:spacing w:val="80"/>
          <w:w w:val="105"/>
        </w:rPr>
        <w:t xml:space="preserve"> </w:t>
      </w:r>
      <w:r w:rsidRPr="00283806">
        <w:rPr>
          <w:w w:val="105"/>
        </w:rPr>
        <w:t>where these specialized systems are used. Industry representatives have also indicated that the simplest way in their opinion to ensure proper recycling of HFCs is to encourage equipment owners to return equipment containing HFCs to distributors.</w:t>
      </w:r>
      <w:r w:rsidRPr="00283806">
        <w:rPr>
          <w:w w:val="105"/>
          <w:position w:val="5"/>
          <w:sz w:val="11"/>
        </w:rPr>
        <w:t>133</w:t>
      </w:r>
      <w:r w:rsidRPr="00283806">
        <w:rPr>
          <w:spacing w:val="40"/>
          <w:w w:val="105"/>
          <w:position w:val="5"/>
          <w:sz w:val="11"/>
        </w:rPr>
        <w:t xml:space="preserve"> </w:t>
      </w:r>
      <w:r w:rsidRPr="00283806">
        <w:rPr>
          <w:w w:val="105"/>
        </w:rPr>
        <w:t>EPA values using established industry practices where such practices exist and can be used to meet the Agency’s intended goals.</w:t>
      </w:r>
    </w:p>
    <w:p w14:paraId="6C8B0FA7" w14:textId="77777777" w:rsidR="00D67C1E" w:rsidRPr="00283806" w:rsidRDefault="001265CA">
      <w:pPr>
        <w:spacing w:line="178" w:lineRule="exact"/>
        <w:ind w:left="323"/>
        <w:rPr>
          <w:sz w:val="18"/>
        </w:rPr>
      </w:pPr>
      <w:r w:rsidRPr="00283806">
        <w:rPr>
          <w:rFonts w:ascii="Book Antiqua"/>
          <w:i/>
          <w:w w:val="105"/>
          <w:sz w:val="18"/>
        </w:rPr>
        <w:t>Comment:</w:t>
      </w:r>
      <w:r w:rsidRPr="00283806">
        <w:rPr>
          <w:rFonts w:ascii="Book Antiqua"/>
          <w:i/>
          <w:spacing w:val="22"/>
          <w:w w:val="105"/>
          <w:sz w:val="18"/>
        </w:rPr>
        <w:t xml:space="preserve"> </w:t>
      </w:r>
      <w:r w:rsidRPr="00283806">
        <w:rPr>
          <w:w w:val="105"/>
          <w:sz w:val="18"/>
        </w:rPr>
        <w:t>One</w:t>
      </w:r>
      <w:r w:rsidRPr="00283806">
        <w:rPr>
          <w:spacing w:val="28"/>
          <w:w w:val="105"/>
          <w:sz w:val="18"/>
        </w:rPr>
        <w:t xml:space="preserve"> </w:t>
      </w:r>
      <w:r w:rsidRPr="00283806">
        <w:rPr>
          <w:w w:val="105"/>
          <w:sz w:val="18"/>
        </w:rPr>
        <w:t>commenter</w:t>
      </w:r>
      <w:r w:rsidRPr="00283806">
        <w:rPr>
          <w:spacing w:val="28"/>
          <w:w w:val="105"/>
          <w:sz w:val="18"/>
        </w:rPr>
        <w:t xml:space="preserve"> </w:t>
      </w:r>
      <w:r w:rsidRPr="00283806">
        <w:rPr>
          <w:spacing w:val="-2"/>
          <w:w w:val="105"/>
          <w:sz w:val="18"/>
        </w:rPr>
        <w:t>expressed</w:t>
      </w:r>
    </w:p>
    <w:p w14:paraId="2DE45DD9" w14:textId="77777777" w:rsidR="00D67C1E" w:rsidRPr="00283806" w:rsidRDefault="001265CA">
      <w:pPr>
        <w:pStyle w:val="BodyText"/>
        <w:spacing w:line="225" w:lineRule="auto"/>
        <w:ind w:left="143" w:right="179"/>
      </w:pPr>
      <w:r w:rsidRPr="00283806">
        <w:rPr>
          <w:w w:val="105"/>
        </w:rPr>
        <w:t>support for the requirements in sections 84.110(e) and 84.110(f) on the disposal of fire suppression equipment and the disposal of HFCs used in fire</w:t>
      </w:r>
      <w:r w:rsidRPr="00283806">
        <w:rPr>
          <w:spacing w:val="40"/>
          <w:w w:val="105"/>
        </w:rPr>
        <w:t xml:space="preserve"> </w:t>
      </w:r>
      <w:r w:rsidRPr="00283806">
        <w:rPr>
          <w:w w:val="105"/>
        </w:rPr>
        <w:t>suppression. Another commenter also supported the proper disposal of HFC</w:t>
      </w:r>
      <w:r w:rsidRPr="00283806">
        <w:rPr>
          <w:spacing w:val="40"/>
          <w:w w:val="105"/>
        </w:rPr>
        <w:t xml:space="preserve"> </w:t>
      </w:r>
      <w:r w:rsidRPr="00283806">
        <w:rPr>
          <w:w w:val="105"/>
        </w:rPr>
        <w:t>fire suppression equipment and agents.</w:t>
      </w:r>
    </w:p>
    <w:p w14:paraId="2CF12221" w14:textId="77777777" w:rsidR="00D67C1E" w:rsidRPr="00283806" w:rsidRDefault="001265CA">
      <w:pPr>
        <w:pStyle w:val="BodyText"/>
        <w:spacing w:line="213" w:lineRule="auto"/>
        <w:ind w:left="143" w:right="210" w:firstLine="180"/>
      </w:pPr>
      <w:r w:rsidRPr="00283806">
        <w:rPr>
          <w:rFonts w:ascii="Book Antiqua" w:hAnsi="Book Antiqua"/>
          <w:i/>
          <w:w w:val="105"/>
        </w:rPr>
        <w:t xml:space="preserve">Response: </w:t>
      </w:r>
      <w:r w:rsidRPr="00283806">
        <w:rPr>
          <w:w w:val="105"/>
        </w:rPr>
        <w:t>EPA acknowledges the commenters’ support for the</w:t>
      </w:r>
    </w:p>
    <w:p w14:paraId="39B70CBA" w14:textId="77777777" w:rsidR="00D67C1E" w:rsidRPr="00283806" w:rsidRDefault="001265CA">
      <w:pPr>
        <w:pStyle w:val="BodyText"/>
        <w:spacing w:line="225" w:lineRule="auto"/>
        <w:ind w:left="143" w:right="210"/>
      </w:pPr>
      <w:r w:rsidRPr="00283806">
        <w:rPr>
          <w:w w:val="105"/>
        </w:rPr>
        <w:t xml:space="preserve">requirement to recycle HFCs prior to disposal of fire suppression equipment containing HFCs and is finalizing as proposed requirements to recover and recycle HFCs prior to the final step of disposal of the fire suppression </w:t>
      </w:r>
      <w:r w:rsidRPr="00283806">
        <w:rPr>
          <w:spacing w:val="-2"/>
          <w:w w:val="105"/>
        </w:rPr>
        <w:t>equipment.</w:t>
      </w:r>
    </w:p>
    <w:p w14:paraId="3E701303" w14:textId="77777777" w:rsidR="00D67C1E" w:rsidRPr="00283806" w:rsidRDefault="001265CA">
      <w:pPr>
        <w:pStyle w:val="ListParagraph"/>
        <w:numPr>
          <w:ilvl w:val="1"/>
          <w:numId w:val="50"/>
        </w:numPr>
        <w:tabs>
          <w:tab w:val="left" w:pos="301"/>
        </w:tabs>
        <w:spacing w:before="80"/>
        <w:ind w:left="301" w:hanging="158"/>
        <w:rPr>
          <w:sz w:val="18"/>
        </w:rPr>
      </w:pPr>
      <w:r w:rsidRPr="00283806">
        <w:rPr>
          <w:w w:val="105"/>
          <w:sz w:val="18"/>
        </w:rPr>
        <w:t>Recordkeeping</w:t>
      </w:r>
      <w:r w:rsidRPr="00283806">
        <w:rPr>
          <w:spacing w:val="15"/>
          <w:w w:val="105"/>
          <w:sz w:val="18"/>
        </w:rPr>
        <w:t xml:space="preserve"> </w:t>
      </w:r>
      <w:r w:rsidRPr="00283806">
        <w:rPr>
          <w:w w:val="105"/>
          <w:sz w:val="18"/>
        </w:rPr>
        <w:t>and</w:t>
      </w:r>
      <w:r w:rsidRPr="00283806">
        <w:rPr>
          <w:spacing w:val="16"/>
          <w:w w:val="105"/>
          <w:sz w:val="18"/>
        </w:rPr>
        <w:t xml:space="preserve"> </w:t>
      </w:r>
      <w:r w:rsidRPr="00283806">
        <w:rPr>
          <w:spacing w:val="-2"/>
          <w:w w:val="105"/>
          <w:sz w:val="18"/>
        </w:rPr>
        <w:t>Reporting</w:t>
      </w:r>
    </w:p>
    <w:p w14:paraId="6C9632F4" w14:textId="77777777" w:rsidR="00D67C1E" w:rsidRPr="00283806" w:rsidRDefault="001265CA">
      <w:pPr>
        <w:pStyle w:val="BodyText"/>
        <w:spacing w:before="33" w:line="228" w:lineRule="auto"/>
        <w:ind w:left="143" w:right="205" w:firstLine="180"/>
      </w:pPr>
      <w:r w:rsidRPr="00283806">
        <w:rPr>
          <w:w w:val="105"/>
        </w:rPr>
        <w:t>EPA is finalizing recordkeeping and reporting requirements on the fire suppression provisions under</w:t>
      </w:r>
      <w:r w:rsidRPr="00283806">
        <w:rPr>
          <w:spacing w:val="80"/>
          <w:w w:val="105"/>
        </w:rPr>
        <w:t xml:space="preserve"> </w:t>
      </w:r>
      <w:r w:rsidRPr="00283806">
        <w:rPr>
          <w:w w:val="105"/>
        </w:rPr>
        <w:t>subsection (h) for HFCs used in the installation of new equipment and servicing and/or repair of existing equipment. EPA is finalizing these recordkeeping and reporting requirements mainly as proposed with some modifications to the requested information to clarify the intent of the regulatory text. As part of implementing subsection (h)(1) of the AIM Act, these provisions control practices, processes, or activities regarding servicing, repair, disposal, or installation of fire suppression equipment, and involve a regulated substance. For example, the</w:t>
      </w:r>
    </w:p>
    <w:p w14:paraId="592DA4D0"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05" w:space="40"/>
            <w:col w:w="3512" w:space="39"/>
            <w:col w:w="3624"/>
          </w:cols>
        </w:sectPr>
      </w:pPr>
    </w:p>
    <w:p w14:paraId="4718A83D" w14:textId="77777777" w:rsidR="00D67C1E" w:rsidRPr="00283806" w:rsidRDefault="001265CA">
      <w:pPr>
        <w:pStyle w:val="BodyText"/>
        <w:tabs>
          <w:tab w:val="left" w:pos="3699"/>
          <w:tab w:val="left" w:pos="7239"/>
          <w:tab w:val="left" w:pos="8239"/>
        </w:tabs>
        <w:spacing w:line="176" w:lineRule="exact"/>
      </w:pPr>
      <w:r w:rsidRPr="00283806">
        <w:rPr>
          <w:w w:val="105"/>
        </w:rPr>
        <w:t>disposal</w:t>
      </w:r>
      <w:r w:rsidRPr="00283806">
        <w:rPr>
          <w:spacing w:val="16"/>
          <w:w w:val="105"/>
        </w:rPr>
        <w:t xml:space="preserve"> </w:t>
      </w:r>
      <w:r w:rsidRPr="00283806">
        <w:rPr>
          <w:w w:val="105"/>
        </w:rPr>
        <w:t>of</w:t>
      </w:r>
      <w:r w:rsidRPr="00283806">
        <w:rPr>
          <w:spacing w:val="16"/>
          <w:w w:val="105"/>
        </w:rPr>
        <w:t xml:space="preserve"> </w:t>
      </w:r>
      <w:r w:rsidRPr="00283806">
        <w:rPr>
          <w:w w:val="105"/>
        </w:rPr>
        <w:t>HFCs</w:t>
      </w:r>
      <w:r w:rsidRPr="00283806">
        <w:rPr>
          <w:spacing w:val="16"/>
          <w:w w:val="105"/>
        </w:rPr>
        <w:t xml:space="preserve"> </w:t>
      </w:r>
      <w:r w:rsidRPr="00283806">
        <w:rPr>
          <w:w w:val="105"/>
        </w:rPr>
        <w:t>prior</w:t>
      </w:r>
      <w:r w:rsidRPr="00283806">
        <w:rPr>
          <w:spacing w:val="16"/>
          <w:w w:val="105"/>
        </w:rPr>
        <w:t xml:space="preserve"> </w:t>
      </w:r>
      <w:r w:rsidRPr="00283806">
        <w:rPr>
          <w:w w:val="105"/>
        </w:rPr>
        <w:t>to</w:t>
      </w:r>
      <w:r w:rsidRPr="00283806">
        <w:rPr>
          <w:spacing w:val="16"/>
          <w:w w:val="105"/>
        </w:rPr>
        <w:t xml:space="preserve"> </w:t>
      </w:r>
      <w:r w:rsidRPr="00283806">
        <w:rPr>
          <w:w w:val="105"/>
        </w:rPr>
        <w:t>disposal</w:t>
      </w:r>
      <w:r w:rsidRPr="00283806">
        <w:rPr>
          <w:spacing w:val="17"/>
          <w:w w:val="105"/>
        </w:rPr>
        <w:t xml:space="preserve"> </w:t>
      </w:r>
      <w:r w:rsidRPr="00283806">
        <w:rPr>
          <w:spacing w:val="-5"/>
          <w:w w:val="105"/>
        </w:rPr>
        <w:t>of</w:t>
      </w:r>
      <w:r w:rsidRPr="00283806">
        <w:tab/>
      </w:r>
      <w:r w:rsidRPr="00283806">
        <w:rPr>
          <w:w w:val="105"/>
        </w:rPr>
        <w:t>plays</w:t>
      </w:r>
      <w:r w:rsidRPr="00283806">
        <w:rPr>
          <w:spacing w:val="13"/>
          <w:w w:val="105"/>
        </w:rPr>
        <w:t xml:space="preserve"> </w:t>
      </w:r>
      <w:r w:rsidRPr="00283806">
        <w:rPr>
          <w:w w:val="105"/>
        </w:rPr>
        <w:t>an</w:t>
      </w:r>
      <w:r w:rsidRPr="00283806">
        <w:rPr>
          <w:spacing w:val="13"/>
          <w:w w:val="105"/>
        </w:rPr>
        <w:t xml:space="preserve"> </w:t>
      </w:r>
      <w:r w:rsidRPr="00283806">
        <w:rPr>
          <w:w w:val="105"/>
        </w:rPr>
        <w:t>important</w:t>
      </w:r>
      <w:r w:rsidRPr="00283806">
        <w:rPr>
          <w:spacing w:val="13"/>
          <w:w w:val="105"/>
        </w:rPr>
        <w:t xml:space="preserve"> </w:t>
      </w:r>
      <w:r w:rsidRPr="00283806">
        <w:rPr>
          <w:w w:val="105"/>
        </w:rPr>
        <w:t>role</w:t>
      </w:r>
      <w:r w:rsidRPr="00283806">
        <w:rPr>
          <w:spacing w:val="13"/>
          <w:w w:val="105"/>
        </w:rPr>
        <w:t xml:space="preserve"> </w:t>
      </w:r>
      <w:r w:rsidRPr="00283806">
        <w:rPr>
          <w:w w:val="105"/>
        </w:rPr>
        <w:t>in</w:t>
      </w:r>
      <w:r w:rsidRPr="00283806">
        <w:rPr>
          <w:spacing w:val="13"/>
          <w:w w:val="105"/>
        </w:rPr>
        <w:t xml:space="preserve"> </w:t>
      </w:r>
      <w:r w:rsidRPr="00283806">
        <w:rPr>
          <w:w w:val="105"/>
        </w:rPr>
        <w:t>providing</w:t>
      </w:r>
      <w:r w:rsidRPr="00283806">
        <w:rPr>
          <w:spacing w:val="13"/>
          <w:w w:val="105"/>
        </w:rPr>
        <w:t xml:space="preserve"> </w:t>
      </w:r>
      <w:r w:rsidRPr="00283806">
        <w:rPr>
          <w:spacing w:val="-5"/>
          <w:w w:val="105"/>
        </w:rPr>
        <w:t>the</w:t>
      </w:r>
      <w:r w:rsidRPr="00283806">
        <w:tab/>
      </w:r>
      <w:r w:rsidRPr="00283806">
        <w:rPr>
          <w:u w:val="single"/>
        </w:rPr>
        <w:tab/>
      </w:r>
    </w:p>
    <w:p w14:paraId="17FAFC7C" w14:textId="77777777" w:rsidR="00D67C1E" w:rsidRPr="00283806" w:rsidRDefault="00D67C1E">
      <w:pPr>
        <w:spacing w:line="176" w:lineRule="exact"/>
        <w:sectPr w:rsidR="00D67C1E" w:rsidRPr="00283806">
          <w:type w:val="continuous"/>
          <w:pgSz w:w="12240" w:h="15840"/>
          <w:pgMar w:top="880" w:right="780" w:bottom="280" w:left="740" w:header="627" w:footer="0" w:gutter="0"/>
          <w:cols w:space="720"/>
        </w:sectPr>
      </w:pPr>
    </w:p>
    <w:p w14:paraId="12B4F019" w14:textId="77777777" w:rsidR="00D67C1E" w:rsidRPr="00283806" w:rsidRDefault="001265CA">
      <w:pPr>
        <w:pStyle w:val="BodyText"/>
        <w:spacing w:before="10" w:line="228" w:lineRule="auto"/>
      </w:pPr>
      <w:r w:rsidRPr="00283806">
        <w:rPr>
          <w:w w:val="105"/>
        </w:rPr>
        <w:t xml:space="preserve">equipment. Efforts by </w:t>
      </w:r>
      <w:proofErr w:type="gramStart"/>
      <w:r w:rsidRPr="00283806">
        <w:rPr>
          <w:w w:val="105"/>
        </w:rPr>
        <w:t>the industry</w:t>
      </w:r>
      <w:proofErr w:type="gramEnd"/>
      <w:r w:rsidRPr="00283806">
        <w:rPr>
          <w:w w:val="105"/>
        </w:rPr>
        <w:t xml:space="preserve"> to minimize emissions of HFCs used in the fire suppression sector have to date been on a voluntary basis. For example, the VCOP includes as part of its emission</w:t>
      </w:r>
    </w:p>
    <w:p w14:paraId="426BBAC3" w14:textId="77777777" w:rsidR="00D67C1E" w:rsidRPr="00283806" w:rsidRDefault="001265CA">
      <w:pPr>
        <w:pStyle w:val="BodyText"/>
        <w:spacing w:before="9" w:line="228" w:lineRule="auto"/>
        <w:ind w:left="144" w:right="38"/>
      </w:pPr>
      <w:r w:rsidRPr="00283806">
        <w:br w:type="column"/>
      </w:r>
      <w:r w:rsidRPr="00283806">
        <w:rPr>
          <w:w w:val="105"/>
        </w:rPr>
        <w:t xml:space="preserve">fire suppression sector with continued supply of HFCs for fire suppression equipment during </w:t>
      </w:r>
      <w:proofErr w:type="gramStart"/>
      <w:r w:rsidRPr="00283806">
        <w:rPr>
          <w:w w:val="105"/>
        </w:rPr>
        <w:t>servicing</w:t>
      </w:r>
      <w:proofErr w:type="gramEnd"/>
      <w:r w:rsidRPr="00283806">
        <w:rPr>
          <w:w w:val="105"/>
        </w:rPr>
        <w:t>. Industry trade organizations have encouraged owners and operators of fire</w:t>
      </w:r>
    </w:p>
    <w:p w14:paraId="39E88FD9" w14:textId="4CCA5055" w:rsidR="00D67C1E" w:rsidRPr="00283806" w:rsidRDefault="001265CA">
      <w:pPr>
        <w:spacing w:before="42" w:line="232" w:lineRule="auto"/>
        <w:ind w:left="160" w:right="151" w:firstLine="140"/>
        <w:rPr>
          <w:sz w:val="14"/>
        </w:rPr>
      </w:pPr>
      <w:r w:rsidRPr="00283806">
        <w:br w:type="column"/>
      </w:r>
      <w:r w:rsidRPr="00283806">
        <w:rPr>
          <w:w w:val="105"/>
          <w:position w:val="4"/>
          <w:sz w:val="9"/>
        </w:rPr>
        <w:t xml:space="preserve">133 </w:t>
      </w:r>
      <w:r w:rsidRPr="00283806">
        <w:rPr>
          <w:w w:val="105"/>
          <w:sz w:val="14"/>
        </w:rPr>
        <w:t>HARC comments, dated November 7, 2022, to</w:t>
      </w:r>
      <w:r w:rsidRPr="00283806">
        <w:rPr>
          <w:spacing w:val="40"/>
          <w:w w:val="105"/>
          <w:sz w:val="14"/>
        </w:rPr>
        <w:t xml:space="preserve"> </w:t>
      </w:r>
      <w:r w:rsidRPr="00283806">
        <w:rPr>
          <w:w w:val="105"/>
          <w:sz w:val="14"/>
        </w:rPr>
        <w:t>Notice of Data Availability Relevant to Management</w:t>
      </w:r>
      <w:r w:rsidRPr="00283806">
        <w:rPr>
          <w:spacing w:val="40"/>
          <w:w w:val="105"/>
          <w:sz w:val="14"/>
        </w:rPr>
        <w:t xml:space="preserve"> </w:t>
      </w:r>
      <w:r w:rsidRPr="00283806">
        <w:rPr>
          <w:w w:val="105"/>
          <w:sz w:val="14"/>
        </w:rPr>
        <w:t>of Regulated Substances Under the American</w:t>
      </w:r>
      <w:r w:rsidRPr="00283806">
        <w:rPr>
          <w:spacing w:val="40"/>
          <w:w w:val="105"/>
          <w:sz w:val="14"/>
        </w:rPr>
        <w:t xml:space="preserve"> </w:t>
      </w:r>
      <w:r w:rsidRPr="00283806">
        <w:rPr>
          <w:w w:val="105"/>
          <w:sz w:val="14"/>
        </w:rPr>
        <w:t>Innovation and Manufacturing Act of 2020 are</w:t>
      </w:r>
      <w:r w:rsidRPr="00283806">
        <w:rPr>
          <w:spacing w:val="40"/>
          <w:w w:val="105"/>
          <w:sz w:val="14"/>
        </w:rPr>
        <w:t xml:space="preserve"> </w:t>
      </w:r>
      <w:r w:rsidRPr="00283806">
        <w:rPr>
          <w:w w:val="105"/>
          <w:sz w:val="14"/>
        </w:rPr>
        <w:t>available in the docket (EPA–HQ–OAR–2022–0606)</w:t>
      </w:r>
      <w:r w:rsidRPr="00283806">
        <w:rPr>
          <w:spacing w:val="40"/>
          <w:w w:val="105"/>
          <w:sz w:val="14"/>
        </w:rPr>
        <w:t xml:space="preserve"> </w:t>
      </w:r>
      <w:r w:rsidRPr="00283806">
        <w:rPr>
          <w:w w:val="105"/>
          <w:sz w:val="14"/>
        </w:rPr>
        <w:t xml:space="preserve">for this rulemaking at </w:t>
      </w:r>
      <w:r w:rsidRPr="00283806">
        <w:rPr>
          <w:rFonts w:ascii="Book Antiqua" w:hAnsi="Book Antiqua"/>
          <w:i/>
          <w:w w:val="105"/>
          <w:sz w:val="14"/>
        </w:rPr>
        <w:t>https://www.regulations.gov</w:t>
      </w:r>
      <w:r w:rsidRPr="00283806">
        <w:rPr>
          <w:w w:val="105"/>
          <w:sz w:val="14"/>
        </w:rPr>
        <w:t>.</w:t>
      </w:r>
    </w:p>
    <w:p w14:paraId="29E35CD6" w14:textId="77777777" w:rsidR="00D67C1E" w:rsidRPr="00283806" w:rsidRDefault="00D67C1E">
      <w:pPr>
        <w:spacing w:line="232" w:lineRule="auto"/>
        <w:rPr>
          <w:sz w:val="14"/>
        </w:rPr>
        <w:sectPr w:rsidR="00D67C1E" w:rsidRPr="00283806">
          <w:type w:val="continuous"/>
          <w:pgSz w:w="12240" w:h="15840"/>
          <w:pgMar w:top="880" w:right="780" w:bottom="280" w:left="740" w:header="627" w:footer="0" w:gutter="0"/>
          <w:cols w:num="3" w:space="720" w:equalWidth="0">
            <w:col w:w="3516" w:space="40"/>
            <w:col w:w="3372" w:space="152"/>
            <w:col w:w="3640"/>
          </w:cols>
        </w:sectPr>
      </w:pPr>
    </w:p>
    <w:p w14:paraId="126D51E4" w14:textId="77777777" w:rsidR="00D67C1E" w:rsidRPr="00283806" w:rsidRDefault="001265CA">
      <w:pPr>
        <w:pStyle w:val="BodyText"/>
        <w:spacing w:before="134" w:line="228" w:lineRule="auto"/>
      </w:pPr>
      <w:r w:rsidRPr="00283806">
        <w:rPr>
          <w:w w:val="105"/>
        </w:rPr>
        <w:lastRenderedPageBreak/>
        <w:t xml:space="preserve">requirements control recordkeeping and reporting practices, </w:t>
      </w:r>
      <w:proofErr w:type="gramStart"/>
      <w:r w:rsidRPr="00283806">
        <w:rPr>
          <w:w w:val="105"/>
        </w:rPr>
        <w:t>process</w:t>
      </w:r>
      <w:proofErr w:type="gramEnd"/>
      <w:r w:rsidRPr="00283806">
        <w:rPr>
          <w:w w:val="105"/>
        </w:rPr>
        <w:t xml:space="preserve">, or activities for servicing and repair that involves </w:t>
      </w:r>
      <w:r w:rsidRPr="00283806">
        <w:rPr>
          <w:spacing w:val="-2"/>
          <w:w w:val="105"/>
        </w:rPr>
        <w:t>HFCs.</w:t>
      </w:r>
    </w:p>
    <w:p w14:paraId="06EB4AA2" w14:textId="77777777" w:rsidR="00D67C1E" w:rsidRPr="00283806" w:rsidRDefault="001265CA">
      <w:pPr>
        <w:pStyle w:val="BodyText"/>
        <w:spacing w:before="6" w:line="228" w:lineRule="auto"/>
        <w:ind w:right="43" w:firstLine="180"/>
      </w:pPr>
      <w:r w:rsidRPr="00283806">
        <w:rPr>
          <w:w w:val="105"/>
        </w:rPr>
        <w:t>EPA is requiring covered entities in</w:t>
      </w:r>
      <w:r w:rsidRPr="00283806">
        <w:rPr>
          <w:spacing w:val="80"/>
          <w:w w:val="105"/>
        </w:rPr>
        <w:t xml:space="preserve"> </w:t>
      </w:r>
      <w:r w:rsidRPr="00283806">
        <w:rPr>
          <w:w w:val="105"/>
        </w:rPr>
        <w:t>the fire suppression sector to provide data on HFCs to the Agency. The fire suppression industry is familiar with</w:t>
      </w:r>
      <w:r w:rsidRPr="00283806">
        <w:rPr>
          <w:spacing w:val="40"/>
          <w:w w:val="105"/>
        </w:rPr>
        <w:t xml:space="preserve"> </w:t>
      </w:r>
      <w:r w:rsidRPr="00283806">
        <w:rPr>
          <w:w w:val="105"/>
        </w:rPr>
        <w:t xml:space="preserve">data collection and reporting, as some of the entities in this industry are voluntarily reporting data to HEEP as mentioned in section IV.F.2.b of this preamble. Relevant reporting entities covered under this requirement include entities that perform </w:t>
      </w:r>
      <w:proofErr w:type="gramStart"/>
      <w:r w:rsidRPr="00283806">
        <w:rPr>
          <w:w w:val="105"/>
        </w:rPr>
        <w:t>first</w:t>
      </w:r>
      <w:proofErr w:type="gramEnd"/>
      <w:r w:rsidRPr="00283806">
        <w:rPr>
          <w:w w:val="105"/>
        </w:rPr>
        <w:t xml:space="preserve"> </w:t>
      </w:r>
      <w:proofErr w:type="gramStart"/>
      <w:r w:rsidRPr="00283806">
        <w:rPr>
          <w:w w:val="105"/>
        </w:rPr>
        <w:t>fill</w:t>
      </w:r>
      <w:proofErr w:type="gramEnd"/>
      <w:r w:rsidRPr="00283806">
        <w:rPr>
          <w:w w:val="105"/>
        </w:rPr>
        <w:t xml:space="preserve"> of equipment, service (</w:t>
      </w:r>
      <w:r w:rsidRPr="00283806">
        <w:rPr>
          <w:rFonts w:ascii="Book Antiqua" w:hAnsi="Book Antiqua"/>
          <w:i/>
          <w:w w:val="105"/>
        </w:rPr>
        <w:t xml:space="preserve">e.g., </w:t>
      </w:r>
      <w:r w:rsidRPr="00283806">
        <w:rPr>
          <w:w w:val="105"/>
        </w:rPr>
        <w:t xml:space="preserve">recharge) equipment and/or recycle regulated substances. Relevant entities include companies, such as equipment manufacturers, distributors, agent suppliers, or installers that recycle regulated substances. Records </w:t>
      </w:r>
      <w:proofErr w:type="gramStart"/>
      <w:r w:rsidRPr="00283806">
        <w:rPr>
          <w:w w:val="105"/>
        </w:rPr>
        <w:t>related</w:t>
      </w:r>
      <w:proofErr w:type="gramEnd"/>
      <w:r w:rsidRPr="00283806">
        <w:rPr>
          <w:w w:val="105"/>
        </w:rPr>
        <w:t xml:space="preserve"> to the fire suppression sector must be maintained for three years. Specifically, the covered entities must submit a</w:t>
      </w:r>
      <w:r w:rsidRPr="00283806">
        <w:rPr>
          <w:spacing w:val="80"/>
          <w:w w:val="105"/>
        </w:rPr>
        <w:t xml:space="preserve"> </w:t>
      </w:r>
      <w:r w:rsidRPr="00283806">
        <w:rPr>
          <w:w w:val="105"/>
        </w:rPr>
        <w:t>report to the Agency annually covering the prior year’s activity from January 1 through December 31. The first annual report must be submitted to the Agency on February 14, 2027, and subsequent annual reports must be submitted by February 14 of each subsequent year.</w:t>
      </w:r>
    </w:p>
    <w:p w14:paraId="0B9AE22D" w14:textId="77777777" w:rsidR="00D67C1E" w:rsidRPr="00283806" w:rsidRDefault="001265CA">
      <w:pPr>
        <w:pStyle w:val="BodyText"/>
        <w:spacing w:line="173" w:lineRule="exact"/>
      </w:pPr>
      <w:r w:rsidRPr="00283806">
        <w:rPr>
          <w:w w:val="105"/>
        </w:rPr>
        <w:t>Each</w:t>
      </w:r>
      <w:r w:rsidRPr="00283806">
        <w:rPr>
          <w:spacing w:val="7"/>
          <w:w w:val="105"/>
        </w:rPr>
        <w:t xml:space="preserve"> </w:t>
      </w:r>
      <w:r w:rsidRPr="00283806">
        <w:rPr>
          <w:w w:val="105"/>
        </w:rPr>
        <w:t>annual</w:t>
      </w:r>
      <w:r w:rsidRPr="00283806">
        <w:rPr>
          <w:spacing w:val="7"/>
          <w:w w:val="105"/>
        </w:rPr>
        <w:t xml:space="preserve"> </w:t>
      </w:r>
      <w:r w:rsidRPr="00283806">
        <w:rPr>
          <w:w w:val="105"/>
        </w:rPr>
        <w:t>report</w:t>
      </w:r>
      <w:r w:rsidRPr="00283806">
        <w:rPr>
          <w:spacing w:val="7"/>
          <w:w w:val="105"/>
        </w:rPr>
        <w:t xml:space="preserve"> </w:t>
      </w:r>
      <w:r w:rsidRPr="00283806">
        <w:rPr>
          <w:w w:val="105"/>
        </w:rPr>
        <w:t>must</w:t>
      </w:r>
      <w:r w:rsidRPr="00283806">
        <w:rPr>
          <w:spacing w:val="8"/>
          <w:w w:val="105"/>
        </w:rPr>
        <w:t xml:space="preserve"> </w:t>
      </w:r>
      <w:r w:rsidRPr="00283806">
        <w:rPr>
          <w:w w:val="105"/>
        </w:rPr>
        <w:t>be</w:t>
      </w:r>
      <w:r w:rsidRPr="00283806">
        <w:rPr>
          <w:spacing w:val="7"/>
          <w:w w:val="105"/>
        </w:rPr>
        <w:t xml:space="preserve"> </w:t>
      </w:r>
      <w:r w:rsidRPr="00283806">
        <w:rPr>
          <w:spacing w:val="-2"/>
          <w:w w:val="105"/>
        </w:rPr>
        <w:t>submitted</w:t>
      </w:r>
    </w:p>
    <w:p w14:paraId="4FE38A19" w14:textId="77777777" w:rsidR="00D67C1E" w:rsidRPr="00283806" w:rsidRDefault="001265CA">
      <w:pPr>
        <w:pStyle w:val="BodyText"/>
        <w:spacing w:before="5" w:line="225" w:lineRule="auto"/>
        <w:ind w:right="38"/>
      </w:pPr>
      <w:r w:rsidRPr="00283806">
        <w:rPr>
          <w:w w:val="110"/>
        </w:rPr>
        <w:t>electronically, using the Agency’s applicable reporting platform. Each annual report must contain basic identification information (</w:t>
      </w:r>
      <w:r w:rsidRPr="00283806">
        <w:rPr>
          <w:rFonts w:ascii="Book Antiqua" w:hAnsi="Book Antiqua"/>
          <w:i/>
          <w:w w:val="110"/>
        </w:rPr>
        <w:t xml:space="preserve">i.e., </w:t>
      </w:r>
      <w:r w:rsidRPr="00283806">
        <w:rPr>
          <w:w w:val="110"/>
        </w:rPr>
        <w:t xml:space="preserve">owner name, facility name, facility address where equipment is located) and the </w:t>
      </w:r>
      <w:r w:rsidRPr="00283806">
        <w:t>following information for each regulated</w:t>
      </w:r>
      <w:r w:rsidRPr="00283806">
        <w:rPr>
          <w:spacing w:val="40"/>
          <w:w w:val="110"/>
        </w:rPr>
        <w:t xml:space="preserve"> </w:t>
      </w:r>
      <w:r w:rsidRPr="00283806">
        <w:rPr>
          <w:spacing w:val="-2"/>
          <w:w w:val="110"/>
        </w:rPr>
        <w:t>substance:</w:t>
      </w:r>
    </w:p>
    <w:p w14:paraId="6735D24C" w14:textId="77777777" w:rsidR="00D67C1E" w:rsidRPr="00283806" w:rsidRDefault="001265CA">
      <w:pPr>
        <w:pStyle w:val="ListParagraph"/>
        <w:numPr>
          <w:ilvl w:val="0"/>
          <w:numId w:val="48"/>
        </w:numPr>
        <w:tabs>
          <w:tab w:val="left" w:pos="522"/>
        </w:tabs>
        <w:spacing w:line="228" w:lineRule="auto"/>
        <w:ind w:right="98" w:firstLine="180"/>
        <w:rPr>
          <w:sz w:val="18"/>
        </w:rPr>
      </w:pPr>
      <w:r w:rsidRPr="00283806">
        <w:rPr>
          <w:w w:val="105"/>
          <w:sz w:val="18"/>
        </w:rPr>
        <w:t>The quantity of material (the combined mass of regulated substance and contaminants) sold for the purpose of installation of new fire suppression equipment and servicing and/or repair of</w:t>
      </w:r>
      <w:r w:rsidRPr="00283806">
        <w:rPr>
          <w:spacing w:val="12"/>
          <w:w w:val="105"/>
          <w:sz w:val="18"/>
        </w:rPr>
        <w:t xml:space="preserve"> </w:t>
      </w:r>
      <w:r w:rsidRPr="00283806">
        <w:rPr>
          <w:w w:val="105"/>
          <w:sz w:val="18"/>
        </w:rPr>
        <w:t>existing</w:t>
      </w:r>
      <w:r w:rsidRPr="00283806">
        <w:rPr>
          <w:spacing w:val="12"/>
          <w:w w:val="105"/>
          <w:sz w:val="18"/>
        </w:rPr>
        <w:t xml:space="preserve"> </w:t>
      </w:r>
      <w:r w:rsidRPr="00283806">
        <w:rPr>
          <w:w w:val="105"/>
          <w:sz w:val="18"/>
        </w:rPr>
        <w:t>fire</w:t>
      </w:r>
      <w:r w:rsidRPr="00283806">
        <w:rPr>
          <w:spacing w:val="12"/>
          <w:w w:val="105"/>
          <w:sz w:val="18"/>
        </w:rPr>
        <w:t xml:space="preserve"> </w:t>
      </w:r>
      <w:r w:rsidRPr="00283806">
        <w:rPr>
          <w:w w:val="105"/>
          <w:sz w:val="18"/>
        </w:rPr>
        <w:t>suppression</w:t>
      </w:r>
      <w:r w:rsidRPr="00283806">
        <w:rPr>
          <w:spacing w:val="12"/>
          <w:w w:val="105"/>
          <w:sz w:val="18"/>
        </w:rPr>
        <w:t xml:space="preserve"> </w:t>
      </w:r>
      <w:r w:rsidRPr="00283806">
        <w:rPr>
          <w:spacing w:val="-2"/>
          <w:w w:val="105"/>
          <w:sz w:val="18"/>
        </w:rPr>
        <w:t>equipment;</w:t>
      </w:r>
    </w:p>
    <w:p w14:paraId="16D1990F" w14:textId="77777777" w:rsidR="00D67C1E" w:rsidRPr="00283806" w:rsidRDefault="001265CA">
      <w:pPr>
        <w:pStyle w:val="ListParagraph"/>
        <w:numPr>
          <w:ilvl w:val="0"/>
          <w:numId w:val="48"/>
        </w:numPr>
        <w:tabs>
          <w:tab w:val="left" w:pos="522"/>
        </w:tabs>
        <w:spacing w:line="228" w:lineRule="auto"/>
        <w:ind w:right="178" w:firstLine="180"/>
        <w:rPr>
          <w:sz w:val="18"/>
        </w:rPr>
      </w:pPr>
      <w:r w:rsidRPr="00283806">
        <w:rPr>
          <w:w w:val="105"/>
          <w:sz w:val="18"/>
        </w:rPr>
        <w:t>The quantity of material (the combined mass of regulated substance and contaminants) in inventory onsite for the purpose of installation of new fire suppression equipment and servicing and/or repair of existing fire suppression equipment broken out by recovered, recycled, and virgin;</w:t>
      </w:r>
    </w:p>
    <w:p w14:paraId="01E99A10" w14:textId="77777777" w:rsidR="00D67C1E" w:rsidRPr="00283806" w:rsidRDefault="001265CA">
      <w:pPr>
        <w:pStyle w:val="ListParagraph"/>
        <w:numPr>
          <w:ilvl w:val="0"/>
          <w:numId w:val="48"/>
        </w:numPr>
        <w:tabs>
          <w:tab w:val="left" w:pos="522"/>
        </w:tabs>
        <w:spacing w:line="228" w:lineRule="auto"/>
        <w:ind w:right="118" w:firstLine="180"/>
        <w:rPr>
          <w:sz w:val="18"/>
        </w:rPr>
      </w:pPr>
      <w:r w:rsidRPr="00283806">
        <w:rPr>
          <w:w w:val="105"/>
          <w:sz w:val="18"/>
        </w:rPr>
        <w:t>The total sold for the purpose of installation of new fire suppression equipment and servicing and/or repair of</w:t>
      </w:r>
      <w:r w:rsidRPr="00283806">
        <w:rPr>
          <w:spacing w:val="12"/>
          <w:w w:val="105"/>
          <w:sz w:val="18"/>
        </w:rPr>
        <w:t xml:space="preserve"> </w:t>
      </w:r>
      <w:r w:rsidRPr="00283806">
        <w:rPr>
          <w:w w:val="105"/>
          <w:sz w:val="18"/>
        </w:rPr>
        <w:t>existing</w:t>
      </w:r>
      <w:r w:rsidRPr="00283806">
        <w:rPr>
          <w:spacing w:val="12"/>
          <w:w w:val="105"/>
          <w:sz w:val="18"/>
        </w:rPr>
        <w:t xml:space="preserve"> </w:t>
      </w:r>
      <w:r w:rsidRPr="00283806">
        <w:rPr>
          <w:w w:val="105"/>
          <w:sz w:val="18"/>
        </w:rPr>
        <w:t>fire</w:t>
      </w:r>
      <w:r w:rsidRPr="00283806">
        <w:rPr>
          <w:spacing w:val="12"/>
          <w:w w:val="105"/>
          <w:sz w:val="18"/>
        </w:rPr>
        <w:t xml:space="preserve"> </w:t>
      </w:r>
      <w:r w:rsidRPr="00283806">
        <w:rPr>
          <w:w w:val="105"/>
          <w:sz w:val="18"/>
        </w:rPr>
        <w:t>suppression</w:t>
      </w:r>
      <w:r w:rsidRPr="00283806">
        <w:rPr>
          <w:spacing w:val="12"/>
          <w:w w:val="105"/>
          <w:sz w:val="18"/>
        </w:rPr>
        <w:t xml:space="preserve"> </w:t>
      </w:r>
      <w:r w:rsidRPr="00283806">
        <w:rPr>
          <w:spacing w:val="-2"/>
          <w:w w:val="105"/>
          <w:sz w:val="18"/>
        </w:rPr>
        <w:t>equipment;</w:t>
      </w:r>
    </w:p>
    <w:p w14:paraId="79C80178" w14:textId="77777777" w:rsidR="00D67C1E" w:rsidRPr="00283806" w:rsidRDefault="001265CA">
      <w:pPr>
        <w:pStyle w:val="ListParagraph"/>
        <w:numPr>
          <w:ilvl w:val="0"/>
          <w:numId w:val="48"/>
        </w:numPr>
        <w:tabs>
          <w:tab w:val="left" w:pos="522"/>
        </w:tabs>
        <w:spacing w:line="228" w:lineRule="auto"/>
        <w:ind w:right="165" w:firstLine="180"/>
        <w:rPr>
          <w:sz w:val="18"/>
        </w:rPr>
      </w:pPr>
      <w:r w:rsidRPr="00283806">
        <w:rPr>
          <w:w w:val="105"/>
          <w:sz w:val="18"/>
        </w:rPr>
        <w:t xml:space="preserve">The total mass in inventory </w:t>
      </w:r>
      <w:proofErr w:type="gramStart"/>
      <w:r w:rsidRPr="00283806">
        <w:rPr>
          <w:w w:val="105"/>
          <w:sz w:val="18"/>
        </w:rPr>
        <w:t>onsite</w:t>
      </w:r>
      <w:proofErr w:type="gramEnd"/>
      <w:r w:rsidRPr="00283806">
        <w:rPr>
          <w:w w:val="105"/>
          <w:sz w:val="18"/>
        </w:rPr>
        <w:t xml:space="preserve"> for the purpose of installation of new fire suppression equipment and servicing and/or repair of existing fire suppression equipment broken out by recovered, recycled, and virgin; and</w:t>
      </w:r>
    </w:p>
    <w:p w14:paraId="08ED5881" w14:textId="77777777" w:rsidR="00D67C1E" w:rsidRPr="00283806" w:rsidRDefault="001265CA">
      <w:pPr>
        <w:pStyle w:val="ListParagraph"/>
        <w:numPr>
          <w:ilvl w:val="0"/>
          <w:numId w:val="48"/>
        </w:numPr>
        <w:tabs>
          <w:tab w:val="left" w:pos="522"/>
        </w:tabs>
        <w:spacing w:line="228" w:lineRule="auto"/>
        <w:ind w:right="277" w:firstLine="180"/>
        <w:jc w:val="both"/>
        <w:rPr>
          <w:sz w:val="18"/>
        </w:rPr>
      </w:pPr>
      <w:r w:rsidRPr="00283806">
        <w:rPr>
          <w:w w:val="105"/>
          <w:sz w:val="18"/>
        </w:rPr>
        <w:t>The total mass of waste products the reporting entity sent for disposal, along with information about the</w:t>
      </w:r>
    </w:p>
    <w:p w14:paraId="1468F34E" w14:textId="77777777" w:rsidR="00D67C1E" w:rsidRPr="00283806" w:rsidRDefault="001265CA">
      <w:pPr>
        <w:pStyle w:val="BodyText"/>
        <w:spacing w:before="134" w:line="225" w:lineRule="auto"/>
        <w:ind w:left="153" w:right="237"/>
      </w:pPr>
      <w:r w:rsidRPr="00283806">
        <w:br w:type="column"/>
      </w:r>
      <w:r w:rsidRPr="00283806">
        <w:rPr>
          <w:w w:val="105"/>
        </w:rPr>
        <w:t>disposal facility if waste is not processed by the reporting entity.</w:t>
      </w:r>
    </w:p>
    <w:p w14:paraId="194AB1C8" w14:textId="77777777" w:rsidR="00D67C1E" w:rsidRPr="00283806" w:rsidRDefault="001265CA">
      <w:pPr>
        <w:pStyle w:val="BodyText"/>
        <w:spacing w:line="179" w:lineRule="exact"/>
        <w:ind w:left="333"/>
      </w:pPr>
      <w:r w:rsidRPr="00283806">
        <w:rPr>
          <w:w w:val="105"/>
        </w:rPr>
        <w:t>Covered</w:t>
      </w:r>
      <w:r w:rsidRPr="00283806">
        <w:rPr>
          <w:spacing w:val="12"/>
          <w:w w:val="105"/>
        </w:rPr>
        <w:t xml:space="preserve"> </w:t>
      </w:r>
      <w:r w:rsidRPr="00283806">
        <w:rPr>
          <w:w w:val="105"/>
        </w:rPr>
        <w:t>entities</w:t>
      </w:r>
      <w:r w:rsidRPr="00283806">
        <w:rPr>
          <w:spacing w:val="12"/>
          <w:w w:val="105"/>
        </w:rPr>
        <w:t xml:space="preserve"> </w:t>
      </w:r>
      <w:r w:rsidRPr="00283806">
        <w:rPr>
          <w:w w:val="105"/>
        </w:rPr>
        <w:t>must</w:t>
      </w:r>
      <w:r w:rsidRPr="00283806">
        <w:rPr>
          <w:spacing w:val="12"/>
          <w:w w:val="105"/>
        </w:rPr>
        <w:t xml:space="preserve"> </w:t>
      </w:r>
      <w:r w:rsidRPr="00283806">
        <w:rPr>
          <w:w w:val="105"/>
        </w:rPr>
        <w:t>maintain</w:t>
      </w:r>
      <w:r w:rsidRPr="00283806">
        <w:rPr>
          <w:spacing w:val="12"/>
          <w:w w:val="105"/>
        </w:rPr>
        <w:t xml:space="preserve"> </w:t>
      </w:r>
      <w:r w:rsidRPr="00283806">
        <w:rPr>
          <w:spacing w:val="-5"/>
          <w:w w:val="105"/>
        </w:rPr>
        <w:t>an</w:t>
      </w:r>
    </w:p>
    <w:p w14:paraId="61931335" w14:textId="77777777" w:rsidR="00D67C1E" w:rsidRPr="00283806" w:rsidRDefault="001265CA">
      <w:pPr>
        <w:pStyle w:val="BodyText"/>
        <w:spacing w:before="4" w:line="225" w:lineRule="auto"/>
        <w:ind w:left="153" w:right="60"/>
      </w:pPr>
      <w:r w:rsidRPr="00283806">
        <w:rPr>
          <w:w w:val="105"/>
        </w:rPr>
        <w:t>electronic or paper copy of the fire suppression technician training as discussed in section IV.F.2.d, and EPA</w:t>
      </w:r>
      <w:r w:rsidRPr="00283806">
        <w:rPr>
          <w:spacing w:val="80"/>
          <w:w w:val="105"/>
        </w:rPr>
        <w:t xml:space="preserve"> </w:t>
      </w:r>
      <w:r w:rsidRPr="00283806">
        <w:rPr>
          <w:w w:val="105"/>
        </w:rPr>
        <w:t>can request to view a copy of the</w:t>
      </w:r>
      <w:r w:rsidRPr="00283806">
        <w:rPr>
          <w:spacing w:val="80"/>
          <w:w w:val="105"/>
        </w:rPr>
        <w:t xml:space="preserve"> </w:t>
      </w:r>
      <w:r w:rsidRPr="00283806">
        <w:rPr>
          <w:w w:val="105"/>
        </w:rPr>
        <w:t xml:space="preserve">training on an as needed basis. </w:t>
      </w:r>
      <w:proofErr w:type="gramStart"/>
      <w:r w:rsidRPr="00283806">
        <w:rPr>
          <w:w w:val="105"/>
        </w:rPr>
        <w:t>EPA is</w:t>
      </w:r>
      <w:proofErr w:type="gramEnd"/>
      <w:r w:rsidRPr="00283806">
        <w:rPr>
          <w:spacing w:val="40"/>
          <w:w w:val="105"/>
        </w:rPr>
        <w:t xml:space="preserve"> </w:t>
      </w:r>
      <w:r w:rsidRPr="00283806">
        <w:rPr>
          <w:w w:val="105"/>
        </w:rPr>
        <w:t>also requiring facilities to document that they have provided training to</w:t>
      </w:r>
      <w:r w:rsidRPr="00283806">
        <w:rPr>
          <w:spacing w:val="80"/>
          <w:w w:val="105"/>
        </w:rPr>
        <w:t xml:space="preserve"> </w:t>
      </w:r>
      <w:r w:rsidRPr="00283806">
        <w:rPr>
          <w:w w:val="105"/>
        </w:rPr>
        <w:t xml:space="preserve">personnel. For example, local personnel records could be annotated, indicating where and when the training occurred. Alternatively, records could be centralized. Where EPA established requirements for recordkeeping, the Agency </w:t>
      </w:r>
      <w:proofErr w:type="gramStart"/>
      <w:r w:rsidRPr="00283806">
        <w:rPr>
          <w:w w:val="105"/>
        </w:rPr>
        <w:t>is requiring</w:t>
      </w:r>
      <w:proofErr w:type="gramEnd"/>
      <w:r w:rsidRPr="00283806">
        <w:rPr>
          <w:w w:val="105"/>
        </w:rPr>
        <w:t xml:space="preserve"> that the records be maintained for three years in either electronic or paper format.</w:t>
      </w:r>
    </w:p>
    <w:p w14:paraId="6254B204" w14:textId="77777777" w:rsidR="00D67C1E" w:rsidRPr="00283806" w:rsidRDefault="001265CA">
      <w:pPr>
        <w:pStyle w:val="BodyText"/>
        <w:spacing w:line="174" w:lineRule="exact"/>
        <w:ind w:left="333"/>
      </w:pPr>
      <w:r w:rsidRPr="00283806">
        <w:rPr>
          <w:w w:val="110"/>
        </w:rPr>
        <w:t>As</w:t>
      </w:r>
      <w:r w:rsidRPr="00283806">
        <w:rPr>
          <w:spacing w:val="6"/>
          <w:w w:val="110"/>
        </w:rPr>
        <w:t xml:space="preserve"> </w:t>
      </w:r>
      <w:r w:rsidRPr="00283806">
        <w:rPr>
          <w:w w:val="110"/>
        </w:rPr>
        <w:t>discussed</w:t>
      </w:r>
      <w:r w:rsidRPr="00283806">
        <w:rPr>
          <w:spacing w:val="6"/>
          <w:w w:val="110"/>
        </w:rPr>
        <w:t xml:space="preserve"> </w:t>
      </w:r>
      <w:r w:rsidRPr="00283806">
        <w:rPr>
          <w:w w:val="110"/>
        </w:rPr>
        <w:t>in</w:t>
      </w:r>
      <w:r w:rsidRPr="00283806">
        <w:rPr>
          <w:spacing w:val="7"/>
          <w:w w:val="110"/>
        </w:rPr>
        <w:t xml:space="preserve"> </w:t>
      </w:r>
      <w:r w:rsidRPr="00283806">
        <w:rPr>
          <w:w w:val="110"/>
        </w:rPr>
        <w:t>section</w:t>
      </w:r>
      <w:r w:rsidRPr="00283806">
        <w:rPr>
          <w:spacing w:val="6"/>
          <w:w w:val="110"/>
        </w:rPr>
        <w:t xml:space="preserve"> </w:t>
      </w:r>
      <w:r w:rsidRPr="00283806">
        <w:rPr>
          <w:w w:val="110"/>
        </w:rPr>
        <w:t>IV.F.2.e,</w:t>
      </w:r>
      <w:r w:rsidRPr="00283806">
        <w:rPr>
          <w:spacing w:val="7"/>
          <w:w w:val="110"/>
        </w:rPr>
        <w:t xml:space="preserve"> </w:t>
      </w:r>
      <w:r w:rsidRPr="00283806">
        <w:rPr>
          <w:spacing w:val="-5"/>
          <w:w w:val="110"/>
        </w:rPr>
        <w:t>EPA</w:t>
      </w:r>
    </w:p>
    <w:p w14:paraId="663E3485" w14:textId="77777777" w:rsidR="00D67C1E" w:rsidRPr="00283806" w:rsidRDefault="001265CA">
      <w:pPr>
        <w:pStyle w:val="BodyText"/>
        <w:spacing w:before="6" w:line="223" w:lineRule="auto"/>
        <w:ind w:left="153" w:right="89"/>
      </w:pPr>
      <w:r w:rsidRPr="00283806">
        <w:rPr>
          <w:w w:val="105"/>
        </w:rPr>
        <w:t>is requiring that covered entities maintain records documenting that</w:t>
      </w:r>
      <w:r w:rsidRPr="00283806">
        <w:rPr>
          <w:spacing w:val="80"/>
          <w:w w:val="105"/>
        </w:rPr>
        <w:t xml:space="preserve"> </w:t>
      </w:r>
      <w:r w:rsidRPr="00283806">
        <w:rPr>
          <w:w w:val="105"/>
        </w:rPr>
        <w:t>HFCs are recovered from the fire suppression equipment before the equipment is sent for disposal, either by recovering the HFCs themselves before sending the equipment for disposal or</w:t>
      </w:r>
      <w:r w:rsidRPr="00283806">
        <w:rPr>
          <w:spacing w:val="80"/>
          <w:w w:val="105"/>
        </w:rPr>
        <w:t xml:space="preserve"> </w:t>
      </w:r>
      <w:r w:rsidRPr="00283806">
        <w:rPr>
          <w:w w:val="105"/>
        </w:rPr>
        <w:t>by leaving the HFCs in the equipment</w:t>
      </w:r>
      <w:r w:rsidRPr="00283806">
        <w:rPr>
          <w:spacing w:val="40"/>
          <w:w w:val="105"/>
        </w:rPr>
        <w:t xml:space="preserve"> </w:t>
      </w:r>
      <w:r w:rsidRPr="00283806">
        <w:rPr>
          <w:w w:val="105"/>
        </w:rPr>
        <w:t>and sending it for disposal to a facility (</w:t>
      </w:r>
      <w:r w:rsidRPr="00283806">
        <w:rPr>
          <w:rFonts w:ascii="Book Antiqua"/>
          <w:i/>
          <w:w w:val="105"/>
        </w:rPr>
        <w:t xml:space="preserve">e.g., </w:t>
      </w:r>
      <w:r w:rsidRPr="00283806">
        <w:rPr>
          <w:w w:val="105"/>
        </w:rPr>
        <w:t>fire suppression equipment manufacturer, distributor, or a fire suppressant recycler). Such records</w:t>
      </w:r>
      <w:r w:rsidRPr="00283806">
        <w:rPr>
          <w:spacing w:val="40"/>
          <w:w w:val="105"/>
        </w:rPr>
        <w:t xml:space="preserve"> </w:t>
      </w:r>
      <w:r w:rsidRPr="00283806">
        <w:rPr>
          <w:w w:val="105"/>
        </w:rPr>
        <w:t>must be maintained for three years.</w:t>
      </w:r>
    </w:p>
    <w:p w14:paraId="7B71AFD3" w14:textId="77777777" w:rsidR="00D67C1E" w:rsidRPr="00283806" w:rsidRDefault="001265CA">
      <w:pPr>
        <w:pStyle w:val="BodyText"/>
        <w:spacing w:line="225" w:lineRule="auto"/>
        <w:ind w:left="153" w:firstLine="180"/>
      </w:pPr>
      <w:r w:rsidRPr="00283806">
        <w:rPr>
          <w:w w:val="105"/>
        </w:rPr>
        <w:t>The recordkeeping and reporting requirements in this action do not</w:t>
      </w:r>
      <w:r w:rsidRPr="00283806">
        <w:rPr>
          <w:spacing w:val="80"/>
          <w:w w:val="105"/>
        </w:rPr>
        <w:t xml:space="preserve"> </w:t>
      </w:r>
      <w:r w:rsidRPr="00283806">
        <w:rPr>
          <w:w w:val="105"/>
        </w:rPr>
        <w:t>change any recordkeeping and reporting requirements for fire suppressant recycling per 40 CFR 84.31(j) (Subpart</w:t>
      </w:r>
      <w:r w:rsidRPr="00283806">
        <w:rPr>
          <w:spacing w:val="80"/>
          <w:w w:val="105"/>
        </w:rPr>
        <w:t xml:space="preserve"> </w:t>
      </w:r>
      <w:r w:rsidRPr="00283806">
        <w:rPr>
          <w:w w:val="105"/>
        </w:rPr>
        <w:t>A)</w:t>
      </w:r>
      <w:r w:rsidRPr="00283806">
        <w:rPr>
          <w:spacing w:val="40"/>
          <w:w w:val="105"/>
        </w:rPr>
        <w:t xml:space="preserve"> </w:t>
      </w:r>
      <w:r w:rsidRPr="00283806">
        <w:rPr>
          <w:w w:val="105"/>
        </w:rPr>
        <w:t>and</w:t>
      </w:r>
      <w:r w:rsidRPr="00283806">
        <w:rPr>
          <w:spacing w:val="40"/>
          <w:w w:val="105"/>
        </w:rPr>
        <w:t xml:space="preserve"> </w:t>
      </w:r>
      <w:r w:rsidRPr="00283806">
        <w:rPr>
          <w:w w:val="105"/>
        </w:rPr>
        <w:t>EPA</w:t>
      </w:r>
      <w:r w:rsidRPr="00283806">
        <w:rPr>
          <w:spacing w:val="40"/>
          <w:w w:val="105"/>
        </w:rPr>
        <w:t xml:space="preserve"> </w:t>
      </w:r>
      <w:r w:rsidRPr="00283806">
        <w:rPr>
          <w:w w:val="105"/>
        </w:rPr>
        <w:t>is</w:t>
      </w:r>
      <w:r w:rsidRPr="00283806">
        <w:rPr>
          <w:spacing w:val="40"/>
          <w:w w:val="105"/>
        </w:rPr>
        <w:t xml:space="preserve"> </w:t>
      </w:r>
      <w:r w:rsidRPr="00283806">
        <w:rPr>
          <w:w w:val="105"/>
        </w:rPr>
        <w:t>not</w:t>
      </w:r>
      <w:r w:rsidRPr="00283806">
        <w:rPr>
          <w:spacing w:val="40"/>
          <w:w w:val="105"/>
        </w:rPr>
        <w:t xml:space="preserve"> </w:t>
      </w:r>
      <w:r w:rsidRPr="00283806">
        <w:rPr>
          <w:w w:val="105"/>
        </w:rPr>
        <w:t>reopening</w:t>
      </w:r>
      <w:r w:rsidRPr="00283806">
        <w:rPr>
          <w:spacing w:val="40"/>
          <w:w w:val="105"/>
        </w:rPr>
        <w:t xml:space="preserve"> </w:t>
      </w:r>
      <w:r w:rsidRPr="00283806">
        <w:rPr>
          <w:w w:val="105"/>
        </w:rPr>
        <w:t>or revisiting those requirements through this action. If any entity is reporting information</w:t>
      </w:r>
      <w:r w:rsidRPr="00283806">
        <w:rPr>
          <w:spacing w:val="40"/>
          <w:w w:val="105"/>
        </w:rPr>
        <w:t xml:space="preserve"> </w:t>
      </w:r>
      <w:r w:rsidRPr="00283806">
        <w:rPr>
          <w:w w:val="105"/>
        </w:rPr>
        <w:t>to</w:t>
      </w:r>
      <w:r w:rsidRPr="00283806">
        <w:rPr>
          <w:spacing w:val="40"/>
          <w:w w:val="105"/>
        </w:rPr>
        <w:t xml:space="preserve"> </w:t>
      </w:r>
      <w:r w:rsidRPr="00283806">
        <w:rPr>
          <w:w w:val="105"/>
        </w:rPr>
        <w:t>EPA</w:t>
      </w:r>
      <w:r w:rsidRPr="00283806">
        <w:rPr>
          <w:spacing w:val="40"/>
          <w:w w:val="105"/>
        </w:rPr>
        <w:t xml:space="preserve"> </w:t>
      </w:r>
      <w:r w:rsidRPr="00283806">
        <w:rPr>
          <w:w w:val="105"/>
        </w:rPr>
        <w:t>under</w:t>
      </w:r>
      <w:r w:rsidRPr="00283806">
        <w:rPr>
          <w:spacing w:val="40"/>
          <w:w w:val="105"/>
        </w:rPr>
        <w:t xml:space="preserve"> </w:t>
      </w:r>
      <w:r w:rsidRPr="00283806">
        <w:rPr>
          <w:w w:val="105"/>
        </w:rPr>
        <w:t>Subpart</w:t>
      </w:r>
      <w:r w:rsidRPr="00283806">
        <w:rPr>
          <w:spacing w:val="40"/>
          <w:w w:val="105"/>
        </w:rPr>
        <w:t xml:space="preserve"> </w:t>
      </w:r>
      <w:r w:rsidRPr="00283806">
        <w:rPr>
          <w:w w:val="105"/>
        </w:rPr>
        <w:t>A that is also required under the reporting provisions established in this final rule</w:t>
      </w:r>
      <w:r w:rsidRPr="00283806">
        <w:rPr>
          <w:spacing w:val="80"/>
          <w:w w:val="105"/>
        </w:rPr>
        <w:t xml:space="preserve"> </w:t>
      </w:r>
      <w:r w:rsidRPr="00283806">
        <w:rPr>
          <w:w w:val="105"/>
        </w:rPr>
        <w:t>at 84.110(g), EPA will consider the information</w:t>
      </w:r>
      <w:r w:rsidRPr="00283806">
        <w:rPr>
          <w:spacing w:val="40"/>
          <w:w w:val="105"/>
        </w:rPr>
        <w:t xml:space="preserve"> </w:t>
      </w:r>
      <w:r w:rsidRPr="00283806">
        <w:rPr>
          <w:w w:val="105"/>
        </w:rPr>
        <w:t>reported</w:t>
      </w:r>
      <w:r w:rsidRPr="00283806">
        <w:rPr>
          <w:spacing w:val="40"/>
          <w:w w:val="105"/>
        </w:rPr>
        <w:t xml:space="preserve"> </w:t>
      </w:r>
      <w:r w:rsidRPr="00283806">
        <w:rPr>
          <w:w w:val="105"/>
        </w:rPr>
        <w:t>under</w:t>
      </w:r>
      <w:r w:rsidRPr="00283806">
        <w:rPr>
          <w:spacing w:val="40"/>
          <w:w w:val="105"/>
        </w:rPr>
        <w:t xml:space="preserve"> </w:t>
      </w:r>
      <w:r w:rsidRPr="00283806">
        <w:rPr>
          <w:w w:val="105"/>
        </w:rPr>
        <w:t>Subpart</w:t>
      </w:r>
      <w:r w:rsidRPr="00283806">
        <w:rPr>
          <w:spacing w:val="40"/>
          <w:w w:val="105"/>
        </w:rPr>
        <w:t xml:space="preserve"> </w:t>
      </w:r>
      <w:r w:rsidRPr="00283806">
        <w:rPr>
          <w:w w:val="105"/>
        </w:rPr>
        <w:t>A in evaluating whether the corresponding reporting obligations under this final</w:t>
      </w:r>
      <w:r w:rsidRPr="00283806">
        <w:rPr>
          <w:spacing w:val="80"/>
          <w:w w:val="105"/>
        </w:rPr>
        <w:t xml:space="preserve"> </w:t>
      </w:r>
      <w:r w:rsidRPr="00283806">
        <w:rPr>
          <w:w w:val="105"/>
        </w:rPr>
        <w:t xml:space="preserve">rule have been satisfied. There is one instance where there is </w:t>
      </w:r>
      <w:proofErr w:type="gramStart"/>
      <w:r w:rsidRPr="00283806">
        <w:rPr>
          <w:w w:val="105"/>
        </w:rPr>
        <w:t>overlap</w:t>
      </w:r>
      <w:proofErr w:type="gramEnd"/>
      <w:r w:rsidRPr="00283806">
        <w:rPr>
          <w:w w:val="105"/>
        </w:rPr>
        <w:t xml:space="preserve"> between 40 CFR 84.31(j) and in this final rule at 84.110(g). Under 40 CFR 84.31(j), each recycler of a regulated substance used as a fire suppressant must submit a report containing</w:t>
      </w:r>
      <w:r w:rsidRPr="00283806">
        <w:rPr>
          <w:spacing w:val="40"/>
          <w:w w:val="105"/>
        </w:rPr>
        <w:t xml:space="preserve"> </w:t>
      </w:r>
      <w:r w:rsidRPr="00283806">
        <w:rPr>
          <w:w w:val="105"/>
        </w:rPr>
        <w:t>the</w:t>
      </w:r>
      <w:r w:rsidRPr="00283806">
        <w:rPr>
          <w:spacing w:val="40"/>
          <w:w w:val="105"/>
        </w:rPr>
        <w:t xml:space="preserve"> </w:t>
      </w:r>
      <w:r w:rsidRPr="00283806">
        <w:rPr>
          <w:w w:val="105"/>
        </w:rPr>
        <w:t>quantity</w:t>
      </w:r>
      <w:r w:rsidRPr="00283806">
        <w:rPr>
          <w:spacing w:val="40"/>
          <w:w w:val="105"/>
        </w:rPr>
        <w:t xml:space="preserve"> </w:t>
      </w:r>
      <w:r w:rsidRPr="00283806">
        <w:rPr>
          <w:w w:val="105"/>
        </w:rPr>
        <w:t>of</w:t>
      </w:r>
      <w:r w:rsidRPr="00283806">
        <w:rPr>
          <w:spacing w:val="40"/>
          <w:w w:val="105"/>
        </w:rPr>
        <w:t xml:space="preserve"> </w:t>
      </w:r>
      <w:r w:rsidRPr="00283806">
        <w:rPr>
          <w:w w:val="105"/>
        </w:rPr>
        <w:t>each regulated substance held in inventory onsite broken out by recovered,</w:t>
      </w:r>
      <w:r w:rsidRPr="00283806">
        <w:rPr>
          <w:spacing w:val="80"/>
          <w:w w:val="105"/>
        </w:rPr>
        <w:t xml:space="preserve"> </w:t>
      </w:r>
      <w:r w:rsidRPr="00283806">
        <w:rPr>
          <w:w w:val="105"/>
        </w:rPr>
        <w:t>recycled, and virgin. To the extent the information reported by an entity under Subpart A overlaps with the information that must be reported under provisions established in this final rule at</w:t>
      </w:r>
      <w:r w:rsidRPr="00283806">
        <w:rPr>
          <w:spacing w:val="80"/>
          <w:w w:val="150"/>
        </w:rPr>
        <w:t xml:space="preserve"> </w:t>
      </w:r>
      <w:r w:rsidRPr="00283806">
        <w:rPr>
          <w:w w:val="105"/>
        </w:rPr>
        <w:t>84.110(g), in lieu of reporting the same information twice, in completing the reporting</w:t>
      </w:r>
      <w:r w:rsidRPr="00283806">
        <w:rPr>
          <w:spacing w:val="-5"/>
          <w:w w:val="105"/>
        </w:rPr>
        <w:t xml:space="preserve"> </w:t>
      </w:r>
      <w:r w:rsidRPr="00283806">
        <w:rPr>
          <w:w w:val="105"/>
        </w:rPr>
        <w:t>under</w:t>
      </w:r>
      <w:r w:rsidRPr="00283806">
        <w:rPr>
          <w:spacing w:val="-5"/>
          <w:w w:val="105"/>
        </w:rPr>
        <w:t xml:space="preserve"> </w:t>
      </w:r>
      <w:r w:rsidRPr="00283806">
        <w:rPr>
          <w:w w:val="105"/>
        </w:rPr>
        <w:t>84.110(g)</w:t>
      </w:r>
      <w:r w:rsidRPr="00283806">
        <w:rPr>
          <w:spacing w:val="-5"/>
          <w:w w:val="105"/>
        </w:rPr>
        <w:t xml:space="preserve"> </w:t>
      </w:r>
      <w:r w:rsidRPr="00283806">
        <w:rPr>
          <w:w w:val="105"/>
        </w:rPr>
        <w:t>the</w:t>
      </w:r>
      <w:r w:rsidRPr="00283806">
        <w:rPr>
          <w:spacing w:val="-5"/>
          <w:w w:val="105"/>
        </w:rPr>
        <w:t xml:space="preserve"> </w:t>
      </w:r>
      <w:r w:rsidRPr="00283806">
        <w:rPr>
          <w:w w:val="105"/>
        </w:rPr>
        <w:t>entity</w:t>
      </w:r>
      <w:r w:rsidRPr="00283806">
        <w:rPr>
          <w:spacing w:val="-5"/>
          <w:w w:val="105"/>
        </w:rPr>
        <w:t xml:space="preserve"> </w:t>
      </w:r>
      <w:r w:rsidRPr="00283806">
        <w:rPr>
          <w:w w:val="105"/>
        </w:rPr>
        <w:t>may refer to the corresponding information reported under Subpart A and explain how it satisfies the reporting requirements under 84.110(g).</w:t>
      </w:r>
    </w:p>
    <w:p w14:paraId="537325DE" w14:textId="77777777" w:rsidR="00D67C1E" w:rsidRPr="00283806" w:rsidRDefault="001265CA">
      <w:pPr>
        <w:pStyle w:val="BodyText"/>
        <w:spacing w:before="131" w:line="230" w:lineRule="auto"/>
        <w:ind w:left="143" w:right="121" w:firstLine="180"/>
      </w:pPr>
      <w:r w:rsidRPr="00283806">
        <w:br w:type="column"/>
      </w:r>
      <w:r w:rsidRPr="00283806">
        <w:rPr>
          <w:rFonts w:ascii="Book Antiqua"/>
          <w:i/>
          <w:w w:val="105"/>
        </w:rPr>
        <w:t xml:space="preserve">Comment: </w:t>
      </w:r>
      <w:r w:rsidRPr="00283806">
        <w:rPr>
          <w:w w:val="105"/>
        </w:rPr>
        <w:t>A couple of commenters expressed concerns about the requirements for reporting and recordkeeping being onerous and unnecessary. The commenters stated</w:t>
      </w:r>
      <w:r w:rsidRPr="00283806">
        <w:rPr>
          <w:spacing w:val="80"/>
          <w:w w:val="105"/>
        </w:rPr>
        <w:t xml:space="preserve"> </w:t>
      </w:r>
      <w:r w:rsidRPr="00283806">
        <w:rPr>
          <w:w w:val="105"/>
        </w:rPr>
        <w:t>that the current requirements under the Allocation Program provide sufficient information for EPA to track the amount of HFCs being used and recycled for fire suppression. The commenters also claimed that the domestic movement of halons or HCFCs used for fire</w:t>
      </w:r>
      <w:r w:rsidRPr="00283806">
        <w:rPr>
          <w:spacing w:val="40"/>
          <w:w w:val="105"/>
        </w:rPr>
        <w:t xml:space="preserve"> </w:t>
      </w:r>
      <w:r w:rsidRPr="00283806">
        <w:rPr>
          <w:w w:val="105"/>
        </w:rPr>
        <w:t>suppression have had no history of</w:t>
      </w:r>
      <w:r w:rsidRPr="00283806">
        <w:rPr>
          <w:spacing w:val="80"/>
          <w:w w:val="105"/>
        </w:rPr>
        <w:t xml:space="preserve"> </w:t>
      </w:r>
      <w:r w:rsidRPr="00283806">
        <w:rPr>
          <w:w w:val="105"/>
        </w:rPr>
        <w:t>illegal activity, while the high GWPs of</w:t>
      </w:r>
      <w:r w:rsidRPr="00283806">
        <w:rPr>
          <w:spacing w:val="40"/>
          <w:w w:val="105"/>
        </w:rPr>
        <w:t xml:space="preserve"> </w:t>
      </w:r>
      <w:r w:rsidRPr="00283806">
        <w:rPr>
          <w:w w:val="105"/>
        </w:rPr>
        <w:t>fire suppression agents make it unlikely that fire suppression equipment would</w:t>
      </w:r>
      <w:r w:rsidRPr="00283806">
        <w:rPr>
          <w:spacing w:val="40"/>
          <w:w w:val="105"/>
        </w:rPr>
        <w:t xml:space="preserve"> </w:t>
      </w:r>
      <w:r w:rsidRPr="00283806">
        <w:rPr>
          <w:w w:val="105"/>
        </w:rPr>
        <w:t>be used to illegally move HFCs. The commenters also claimed that existing reporting, recordkeeping, and testing requirements under 40 CFR 84.31(j)</w:t>
      </w:r>
      <w:r w:rsidRPr="00283806">
        <w:rPr>
          <w:spacing w:val="40"/>
          <w:w w:val="105"/>
        </w:rPr>
        <w:t xml:space="preserve"> </w:t>
      </w:r>
      <w:r w:rsidRPr="00283806">
        <w:rPr>
          <w:w w:val="105"/>
        </w:rPr>
        <w:t>have been challenging for the industry,</w:t>
      </w:r>
      <w:r w:rsidRPr="00283806">
        <w:rPr>
          <w:spacing w:val="80"/>
          <w:w w:val="105"/>
        </w:rPr>
        <w:t xml:space="preserve"> </w:t>
      </w:r>
      <w:r w:rsidRPr="00283806">
        <w:rPr>
          <w:w w:val="105"/>
        </w:rPr>
        <w:t>to a degree that companies in the sector who</w:t>
      </w:r>
      <w:r w:rsidRPr="00283806">
        <w:rPr>
          <w:spacing w:val="40"/>
          <w:w w:val="105"/>
        </w:rPr>
        <w:t xml:space="preserve"> </w:t>
      </w:r>
      <w:r w:rsidRPr="00283806">
        <w:rPr>
          <w:w w:val="105"/>
        </w:rPr>
        <w:t>previously</w:t>
      </w:r>
      <w:r w:rsidRPr="00283806">
        <w:rPr>
          <w:spacing w:val="40"/>
          <w:w w:val="105"/>
        </w:rPr>
        <w:t xml:space="preserve"> </w:t>
      </w:r>
      <w:r w:rsidRPr="00283806">
        <w:rPr>
          <w:w w:val="105"/>
        </w:rPr>
        <w:t>performed</w:t>
      </w:r>
      <w:r w:rsidRPr="00283806">
        <w:rPr>
          <w:spacing w:val="40"/>
          <w:w w:val="105"/>
        </w:rPr>
        <w:t xml:space="preserve"> </w:t>
      </w:r>
      <w:r w:rsidRPr="00283806">
        <w:rPr>
          <w:w w:val="105"/>
        </w:rPr>
        <w:t>HFC recycling in-house no longer perform</w:t>
      </w:r>
      <w:r w:rsidRPr="00283806">
        <w:rPr>
          <w:spacing w:val="40"/>
          <w:w w:val="105"/>
        </w:rPr>
        <w:t xml:space="preserve"> </w:t>
      </w:r>
      <w:r w:rsidRPr="00283806">
        <w:rPr>
          <w:w w:val="105"/>
        </w:rPr>
        <w:t xml:space="preserve">that service to avoid EPA reporting requirements. The commenters also stated that if the proposed reporting and recordkeeping requirements take effect, companies may </w:t>
      </w:r>
      <w:proofErr w:type="gramStart"/>
      <w:r w:rsidRPr="00283806">
        <w:rPr>
          <w:w w:val="105"/>
        </w:rPr>
        <w:t>choose to</w:t>
      </w:r>
      <w:proofErr w:type="gramEnd"/>
      <w:r w:rsidRPr="00283806">
        <w:rPr>
          <w:w w:val="105"/>
        </w:rPr>
        <w:t xml:space="preserve"> not to install</w:t>
      </w:r>
      <w:r w:rsidRPr="00283806">
        <w:rPr>
          <w:spacing w:val="80"/>
          <w:w w:val="105"/>
        </w:rPr>
        <w:t xml:space="preserve"> </w:t>
      </w:r>
      <w:r w:rsidRPr="00283806">
        <w:rPr>
          <w:w w:val="105"/>
        </w:rPr>
        <w:t xml:space="preserve">or service HFC-based equipment, which they </w:t>
      </w:r>
      <w:proofErr w:type="gramStart"/>
      <w:r w:rsidRPr="00283806">
        <w:rPr>
          <w:w w:val="105"/>
        </w:rPr>
        <w:t>claimed</w:t>
      </w:r>
      <w:proofErr w:type="gramEnd"/>
      <w:r w:rsidRPr="00283806">
        <w:rPr>
          <w:w w:val="105"/>
        </w:rPr>
        <w:t xml:space="preserve"> would work against the stated goal of the AIM Act framework</w:t>
      </w:r>
      <w:r w:rsidRPr="00283806">
        <w:rPr>
          <w:spacing w:val="40"/>
          <w:w w:val="105"/>
        </w:rPr>
        <w:t xml:space="preserve"> </w:t>
      </w:r>
      <w:r w:rsidRPr="00283806">
        <w:rPr>
          <w:w w:val="105"/>
        </w:rPr>
        <w:t>rule to stimulate HFC recycling and</w:t>
      </w:r>
      <w:r w:rsidRPr="00283806">
        <w:rPr>
          <w:spacing w:val="80"/>
          <w:w w:val="150"/>
        </w:rPr>
        <w:t xml:space="preserve"> </w:t>
      </w:r>
      <w:r w:rsidRPr="00283806">
        <w:rPr>
          <w:w w:val="105"/>
        </w:rPr>
        <w:t>could lead to increased HFC emissions. Additionally,</w:t>
      </w:r>
      <w:r w:rsidRPr="00283806">
        <w:rPr>
          <w:spacing w:val="40"/>
          <w:w w:val="105"/>
        </w:rPr>
        <w:t xml:space="preserve"> </w:t>
      </w:r>
      <w:r w:rsidRPr="00283806">
        <w:rPr>
          <w:w w:val="105"/>
        </w:rPr>
        <w:t>the</w:t>
      </w:r>
      <w:r w:rsidRPr="00283806">
        <w:rPr>
          <w:spacing w:val="40"/>
          <w:w w:val="105"/>
        </w:rPr>
        <w:t xml:space="preserve"> </w:t>
      </w:r>
      <w:r w:rsidRPr="00283806">
        <w:rPr>
          <w:w w:val="105"/>
        </w:rPr>
        <w:t>commenters</w:t>
      </w:r>
      <w:r w:rsidRPr="00283806">
        <w:rPr>
          <w:spacing w:val="40"/>
          <w:w w:val="105"/>
        </w:rPr>
        <w:t xml:space="preserve"> </w:t>
      </w:r>
      <w:r w:rsidRPr="00283806">
        <w:rPr>
          <w:w w:val="105"/>
        </w:rPr>
        <w:t xml:space="preserve">stated that the management of halons in the United States over the last several decades has demonstrated a model of collaboration between industry, government, and users, which the commenters maintained has been accomplished with the necessary reporting requirements on manufacture, import, and export. One of the commenters claimed that the degree of reporting and recordkeeping requirements in the existing requirements and the proposed action makes the regulation burdensome, while bringing no environmental benefit. The commenter claimed this burden would further disrupt the market balance currently allowing for environmentally responsible, circular economy, commercial options. The commenter stated that increasing the burden of recordkeeping and reporting beyond what is currently proven successful would provide no value to EPA or </w:t>
      </w:r>
      <w:proofErr w:type="gramStart"/>
      <w:r w:rsidRPr="00283806">
        <w:rPr>
          <w:w w:val="105"/>
        </w:rPr>
        <w:t>industry, and</w:t>
      </w:r>
      <w:proofErr w:type="gramEnd"/>
      <w:r w:rsidRPr="00283806">
        <w:rPr>
          <w:w w:val="105"/>
        </w:rPr>
        <w:t xml:space="preserve"> would add what they characterized</w:t>
      </w:r>
      <w:r w:rsidRPr="00283806">
        <w:rPr>
          <w:spacing w:val="35"/>
          <w:w w:val="105"/>
        </w:rPr>
        <w:t xml:space="preserve"> </w:t>
      </w:r>
      <w:r w:rsidRPr="00283806">
        <w:rPr>
          <w:w w:val="105"/>
        </w:rPr>
        <w:t>as</w:t>
      </w:r>
      <w:r w:rsidRPr="00283806">
        <w:rPr>
          <w:spacing w:val="35"/>
          <w:w w:val="105"/>
        </w:rPr>
        <w:t xml:space="preserve"> </w:t>
      </w:r>
      <w:r w:rsidRPr="00283806">
        <w:rPr>
          <w:w w:val="105"/>
        </w:rPr>
        <w:t>unnecessary</w:t>
      </w:r>
      <w:r w:rsidRPr="00283806">
        <w:rPr>
          <w:spacing w:val="40"/>
          <w:w w:val="105"/>
        </w:rPr>
        <w:t xml:space="preserve"> </w:t>
      </w:r>
      <w:r w:rsidRPr="00283806">
        <w:rPr>
          <w:w w:val="105"/>
        </w:rPr>
        <w:t>complexity to an already challenging situation. The other commenter questioned why EPA needs a report of every HFC-based fire protection system or</w:t>
      </w:r>
      <w:r w:rsidRPr="00283806">
        <w:rPr>
          <w:spacing w:val="37"/>
          <w:w w:val="105"/>
        </w:rPr>
        <w:t xml:space="preserve"> </w:t>
      </w:r>
      <w:r w:rsidRPr="00283806">
        <w:rPr>
          <w:w w:val="105"/>
        </w:rPr>
        <w:t>extinguisher</w:t>
      </w:r>
      <w:r w:rsidRPr="00283806">
        <w:rPr>
          <w:spacing w:val="37"/>
          <w:w w:val="105"/>
        </w:rPr>
        <w:t xml:space="preserve"> </w:t>
      </w:r>
      <w:r w:rsidRPr="00283806">
        <w:rPr>
          <w:w w:val="105"/>
        </w:rPr>
        <w:t>that</w:t>
      </w:r>
      <w:r w:rsidRPr="00283806">
        <w:rPr>
          <w:spacing w:val="37"/>
          <w:w w:val="105"/>
        </w:rPr>
        <w:t xml:space="preserve"> </w:t>
      </w:r>
      <w:r w:rsidRPr="00283806">
        <w:rPr>
          <w:w w:val="105"/>
        </w:rPr>
        <w:t>is</w:t>
      </w:r>
      <w:r w:rsidRPr="00283806">
        <w:rPr>
          <w:spacing w:val="37"/>
          <w:w w:val="105"/>
        </w:rPr>
        <w:t xml:space="preserve"> </w:t>
      </w:r>
      <w:r w:rsidRPr="00283806">
        <w:rPr>
          <w:w w:val="105"/>
        </w:rPr>
        <w:t>sold</w:t>
      </w:r>
      <w:r w:rsidRPr="00283806">
        <w:rPr>
          <w:spacing w:val="37"/>
          <w:w w:val="105"/>
        </w:rPr>
        <w:t xml:space="preserve"> </w:t>
      </w:r>
      <w:r w:rsidRPr="00283806">
        <w:rPr>
          <w:w w:val="105"/>
        </w:rPr>
        <w:t>or</w:t>
      </w:r>
      <w:r w:rsidRPr="00283806">
        <w:rPr>
          <w:spacing w:val="37"/>
          <w:w w:val="105"/>
        </w:rPr>
        <w:t xml:space="preserve"> </w:t>
      </w:r>
      <w:r w:rsidRPr="00283806">
        <w:rPr>
          <w:w w:val="105"/>
        </w:rPr>
        <w:t>serviced in the United States.</w:t>
      </w:r>
    </w:p>
    <w:p w14:paraId="03808500" w14:textId="77777777" w:rsidR="00D67C1E" w:rsidRPr="00283806" w:rsidRDefault="00D67C1E">
      <w:pPr>
        <w:spacing w:line="230" w:lineRule="auto"/>
        <w:sectPr w:rsidR="00D67C1E" w:rsidRPr="00283806">
          <w:pgSz w:w="12240" w:h="15840"/>
          <w:pgMar w:top="1040" w:right="780" w:bottom="280" w:left="740" w:header="627" w:footer="0" w:gutter="0"/>
          <w:cols w:num="3" w:space="720" w:equalWidth="0">
            <w:col w:w="3507" w:space="40"/>
            <w:col w:w="3510" w:space="39"/>
            <w:col w:w="3624"/>
          </w:cols>
        </w:sectPr>
      </w:pPr>
    </w:p>
    <w:p w14:paraId="747B122F" w14:textId="77777777" w:rsidR="00D67C1E" w:rsidRPr="00283806" w:rsidRDefault="001265CA">
      <w:pPr>
        <w:pStyle w:val="BodyText"/>
        <w:spacing w:before="134" w:line="228" w:lineRule="auto"/>
        <w:ind w:right="65" w:firstLine="180"/>
      </w:pPr>
      <w:r w:rsidRPr="00283806">
        <w:rPr>
          <w:rFonts w:ascii="Book Antiqua"/>
          <w:i/>
          <w:w w:val="105"/>
        </w:rPr>
        <w:lastRenderedPageBreak/>
        <w:t xml:space="preserve">Response: </w:t>
      </w:r>
      <w:r w:rsidRPr="00283806">
        <w:rPr>
          <w:w w:val="105"/>
        </w:rPr>
        <w:t>EPA acknowledges the time and resources that reporters dedicate to fulfilling reporting requirements. EPA considers these recordkeeping and reporting requirements to be a reasonable approach to assessing compliance with requirements under subsection (h) to help ensure the rules serve their intended purposes of minimizing releases of HFCs from fire suppression equipment. Additionally,</w:t>
      </w:r>
      <w:r w:rsidRPr="00283806">
        <w:rPr>
          <w:spacing w:val="80"/>
          <w:w w:val="150"/>
        </w:rPr>
        <w:t xml:space="preserve"> </w:t>
      </w:r>
      <w:r w:rsidRPr="00283806">
        <w:rPr>
          <w:w w:val="105"/>
        </w:rPr>
        <w:t>the fire suppression industry is familiar with data collection and reporting under HEEP, which helps industry minimize emissions</w:t>
      </w:r>
      <w:r w:rsidRPr="00283806">
        <w:rPr>
          <w:spacing w:val="40"/>
          <w:w w:val="105"/>
        </w:rPr>
        <w:t xml:space="preserve"> </w:t>
      </w:r>
      <w:r w:rsidRPr="00283806">
        <w:rPr>
          <w:w w:val="105"/>
        </w:rPr>
        <w:t>by</w:t>
      </w:r>
      <w:r w:rsidRPr="00283806">
        <w:rPr>
          <w:spacing w:val="40"/>
          <w:w w:val="105"/>
        </w:rPr>
        <w:t xml:space="preserve"> </w:t>
      </w:r>
      <w:r w:rsidRPr="00283806">
        <w:rPr>
          <w:w w:val="105"/>
        </w:rPr>
        <w:t>setting</w:t>
      </w:r>
      <w:r w:rsidRPr="00283806">
        <w:rPr>
          <w:spacing w:val="40"/>
          <w:w w:val="105"/>
        </w:rPr>
        <w:t xml:space="preserve"> </w:t>
      </w:r>
      <w:r w:rsidRPr="00283806">
        <w:rPr>
          <w:w w:val="105"/>
        </w:rPr>
        <w:t>benchmarks, among other things. HEEP supports successful implementation of the elements of the VCOP. EPA</w:t>
      </w:r>
      <w:r w:rsidRPr="00283806">
        <w:rPr>
          <w:spacing w:val="80"/>
          <w:w w:val="105"/>
        </w:rPr>
        <w:t xml:space="preserve"> </w:t>
      </w:r>
      <w:r w:rsidRPr="00283806">
        <w:rPr>
          <w:w w:val="105"/>
        </w:rPr>
        <w:t>acknowledges that the fire suppression industry has been voluntarily reporting under HEEP, however because this reporting is voluntary and managed by</w:t>
      </w:r>
    </w:p>
    <w:p w14:paraId="30759654" w14:textId="77777777" w:rsidR="00D67C1E" w:rsidRPr="00283806" w:rsidRDefault="001265CA">
      <w:pPr>
        <w:pStyle w:val="BodyText"/>
        <w:spacing w:before="19" w:line="228" w:lineRule="auto"/>
        <w:ind w:right="32"/>
      </w:pPr>
      <w:proofErr w:type="gramStart"/>
      <w:r w:rsidRPr="00283806">
        <w:rPr>
          <w:w w:val="105"/>
        </w:rPr>
        <w:t>a third</w:t>
      </w:r>
      <w:proofErr w:type="gramEnd"/>
      <w:r w:rsidRPr="00283806">
        <w:rPr>
          <w:w w:val="105"/>
        </w:rPr>
        <w:t xml:space="preserve"> party, </w:t>
      </w:r>
      <w:proofErr w:type="gramStart"/>
      <w:r w:rsidRPr="00283806">
        <w:rPr>
          <w:w w:val="105"/>
        </w:rPr>
        <w:t>EPA</w:t>
      </w:r>
      <w:proofErr w:type="gramEnd"/>
      <w:r w:rsidRPr="00283806">
        <w:rPr>
          <w:w w:val="105"/>
        </w:rPr>
        <w:t xml:space="preserve"> could not reasonably</w:t>
      </w:r>
      <w:r w:rsidRPr="00283806">
        <w:rPr>
          <w:spacing w:val="40"/>
          <w:w w:val="105"/>
        </w:rPr>
        <w:t xml:space="preserve"> </w:t>
      </w:r>
      <w:r w:rsidRPr="00283806">
        <w:rPr>
          <w:w w:val="105"/>
        </w:rPr>
        <w:t>be expected to have complete</w:t>
      </w:r>
      <w:r w:rsidRPr="00283806">
        <w:rPr>
          <w:spacing w:val="40"/>
          <w:w w:val="105"/>
        </w:rPr>
        <w:t xml:space="preserve"> </w:t>
      </w:r>
      <w:r w:rsidRPr="00283806">
        <w:rPr>
          <w:w w:val="105"/>
        </w:rPr>
        <w:t xml:space="preserve">information </w:t>
      </w:r>
      <w:proofErr w:type="gramStart"/>
      <w:r w:rsidRPr="00283806">
        <w:rPr>
          <w:w w:val="105"/>
        </w:rPr>
        <w:t>in order to</w:t>
      </w:r>
      <w:proofErr w:type="gramEnd"/>
      <w:r w:rsidRPr="00283806">
        <w:rPr>
          <w:w w:val="105"/>
        </w:rPr>
        <w:t xml:space="preserve"> accurately assess compliance by individual companies subject to this rule. EPA is not asking for information</w:t>
      </w:r>
      <w:r w:rsidRPr="00283806">
        <w:rPr>
          <w:spacing w:val="40"/>
          <w:w w:val="105"/>
        </w:rPr>
        <w:t xml:space="preserve"> </w:t>
      </w:r>
      <w:r w:rsidRPr="00283806">
        <w:rPr>
          <w:w w:val="105"/>
        </w:rPr>
        <w:t>for</w:t>
      </w:r>
      <w:r w:rsidRPr="00283806">
        <w:rPr>
          <w:spacing w:val="40"/>
          <w:w w:val="105"/>
        </w:rPr>
        <w:t xml:space="preserve"> </w:t>
      </w:r>
      <w:r w:rsidRPr="00283806">
        <w:rPr>
          <w:w w:val="105"/>
        </w:rPr>
        <w:t>every</w:t>
      </w:r>
      <w:r w:rsidRPr="00283806">
        <w:rPr>
          <w:spacing w:val="40"/>
          <w:w w:val="105"/>
        </w:rPr>
        <w:t xml:space="preserve"> </w:t>
      </w:r>
      <w:r w:rsidRPr="00283806">
        <w:rPr>
          <w:w w:val="105"/>
        </w:rPr>
        <w:t>individual</w:t>
      </w:r>
      <w:r w:rsidRPr="00283806">
        <w:rPr>
          <w:spacing w:val="40"/>
          <w:w w:val="105"/>
        </w:rPr>
        <w:t xml:space="preserve"> </w:t>
      </w:r>
      <w:r w:rsidRPr="00283806">
        <w:rPr>
          <w:w w:val="105"/>
        </w:rPr>
        <w:t xml:space="preserve">piece of equipment, but instead </w:t>
      </w:r>
      <w:proofErr w:type="gramStart"/>
      <w:r w:rsidRPr="00283806">
        <w:rPr>
          <w:w w:val="105"/>
        </w:rPr>
        <w:t>on</w:t>
      </w:r>
      <w:proofErr w:type="gramEnd"/>
      <w:r w:rsidRPr="00283806">
        <w:rPr>
          <w:w w:val="105"/>
        </w:rPr>
        <w:t xml:space="preserve"> the quantities</w:t>
      </w:r>
      <w:r w:rsidRPr="00283806">
        <w:rPr>
          <w:spacing w:val="40"/>
          <w:w w:val="105"/>
        </w:rPr>
        <w:t xml:space="preserve"> </w:t>
      </w:r>
      <w:r w:rsidRPr="00283806">
        <w:rPr>
          <w:w w:val="105"/>
        </w:rPr>
        <w:t>of</w:t>
      </w:r>
      <w:r w:rsidRPr="00283806">
        <w:rPr>
          <w:spacing w:val="40"/>
          <w:w w:val="105"/>
        </w:rPr>
        <w:t xml:space="preserve"> </w:t>
      </w:r>
      <w:r w:rsidRPr="00283806">
        <w:rPr>
          <w:w w:val="105"/>
        </w:rPr>
        <w:t>HFCs</w:t>
      </w:r>
      <w:r w:rsidRPr="00283806">
        <w:rPr>
          <w:spacing w:val="40"/>
          <w:w w:val="105"/>
        </w:rPr>
        <w:t xml:space="preserve"> </w:t>
      </w:r>
      <w:r w:rsidRPr="00283806">
        <w:rPr>
          <w:w w:val="105"/>
        </w:rPr>
        <w:t>sold,</w:t>
      </w:r>
      <w:r w:rsidRPr="00283806">
        <w:rPr>
          <w:spacing w:val="40"/>
          <w:w w:val="105"/>
        </w:rPr>
        <w:t xml:space="preserve"> </w:t>
      </w:r>
      <w:r w:rsidRPr="00283806">
        <w:rPr>
          <w:w w:val="105"/>
        </w:rPr>
        <w:t>the</w:t>
      </w:r>
      <w:r w:rsidRPr="00283806">
        <w:rPr>
          <w:spacing w:val="40"/>
          <w:w w:val="105"/>
        </w:rPr>
        <w:t xml:space="preserve"> </w:t>
      </w:r>
      <w:r w:rsidRPr="00283806">
        <w:rPr>
          <w:w w:val="105"/>
        </w:rPr>
        <w:t xml:space="preserve">quantities in inventory onsite </w:t>
      </w:r>
      <w:proofErr w:type="gramStart"/>
      <w:r w:rsidRPr="00283806">
        <w:rPr>
          <w:w w:val="105"/>
        </w:rPr>
        <w:t>including</w:t>
      </w:r>
      <w:proofErr w:type="gramEnd"/>
      <w:r w:rsidRPr="00283806">
        <w:rPr>
          <w:w w:val="105"/>
        </w:rPr>
        <w:t xml:space="preserve"> virgin, recovered,</w:t>
      </w:r>
      <w:r w:rsidRPr="00283806">
        <w:rPr>
          <w:spacing w:val="40"/>
          <w:w w:val="105"/>
        </w:rPr>
        <w:t xml:space="preserve"> </w:t>
      </w:r>
      <w:r w:rsidRPr="00283806">
        <w:rPr>
          <w:w w:val="105"/>
        </w:rPr>
        <w:t>and</w:t>
      </w:r>
      <w:r w:rsidRPr="00283806">
        <w:rPr>
          <w:spacing w:val="40"/>
          <w:w w:val="105"/>
        </w:rPr>
        <w:t xml:space="preserve"> </w:t>
      </w:r>
      <w:r w:rsidRPr="00283806">
        <w:rPr>
          <w:w w:val="105"/>
        </w:rPr>
        <w:t>recycled</w:t>
      </w:r>
      <w:r w:rsidRPr="00283806">
        <w:rPr>
          <w:spacing w:val="40"/>
          <w:w w:val="105"/>
        </w:rPr>
        <w:t xml:space="preserve"> </w:t>
      </w:r>
      <w:r w:rsidRPr="00283806">
        <w:rPr>
          <w:w w:val="105"/>
        </w:rPr>
        <w:t>HFCs,</w:t>
      </w:r>
      <w:r w:rsidRPr="00283806">
        <w:rPr>
          <w:spacing w:val="40"/>
          <w:w w:val="105"/>
        </w:rPr>
        <w:t xml:space="preserve"> </w:t>
      </w:r>
      <w:r w:rsidRPr="00283806">
        <w:rPr>
          <w:w w:val="105"/>
        </w:rPr>
        <w:t xml:space="preserve">and virgin as well as quantities sent for disposal. This information is </w:t>
      </w:r>
      <w:proofErr w:type="gramStart"/>
      <w:r w:rsidRPr="00283806">
        <w:rPr>
          <w:w w:val="105"/>
        </w:rPr>
        <w:t>similar to</w:t>
      </w:r>
      <w:proofErr w:type="gramEnd"/>
      <w:r w:rsidRPr="00283806">
        <w:rPr>
          <w:w w:val="105"/>
        </w:rPr>
        <w:t xml:space="preserve"> information already reported by certain members of the industry on a voluntary basis to HEEP. The recordkeeping and reporting requirements will support compliance and improve the overall understanding of the availability of recycled HFCs used in the fire suppression sector. This information</w:t>
      </w:r>
      <w:r w:rsidRPr="00283806">
        <w:rPr>
          <w:spacing w:val="80"/>
          <w:w w:val="105"/>
        </w:rPr>
        <w:t xml:space="preserve"> </w:t>
      </w:r>
      <w:r w:rsidRPr="00283806">
        <w:rPr>
          <w:w w:val="105"/>
        </w:rPr>
        <w:t xml:space="preserve">may provide data that is helpful in implementing the regulations and assessing compliance. This information may also help to </w:t>
      </w:r>
      <w:proofErr w:type="gramStart"/>
      <w:r w:rsidRPr="00283806">
        <w:rPr>
          <w:w w:val="105"/>
        </w:rPr>
        <w:t>inform</w:t>
      </w:r>
      <w:proofErr w:type="gramEnd"/>
      <w:r w:rsidRPr="00283806">
        <w:rPr>
          <w:w w:val="105"/>
        </w:rPr>
        <w:t xml:space="preserve"> future rulemakings under the AIM Act.</w:t>
      </w:r>
    </w:p>
    <w:p w14:paraId="2A14D4BB" w14:textId="77777777" w:rsidR="00D67C1E" w:rsidRPr="00283806" w:rsidRDefault="001265CA">
      <w:pPr>
        <w:pStyle w:val="BodyText"/>
        <w:spacing w:line="185" w:lineRule="exact"/>
      </w:pPr>
      <w:r w:rsidRPr="00283806">
        <w:rPr>
          <w:w w:val="110"/>
        </w:rPr>
        <w:t>Consistent</w:t>
      </w:r>
      <w:r w:rsidRPr="00283806">
        <w:rPr>
          <w:spacing w:val="-8"/>
          <w:w w:val="110"/>
        </w:rPr>
        <w:t xml:space="preserve"> </w:t>
      </w:r>
      <w:r w:rsidRPr="00283806">
        <w:rPr>
          <w:w w:val="110"/>
        </w:rPr>
        <w:t>with</w:t>
      </w:r>
      <w:r w:rsidRPr="00283806">
        <w:rPr>
          <w:spacing w:val="-8"/>
          <w:w w:val="110"/>
        </w:rPr>
        <w:t xml:space="preserve"> </w:t>
      </w:r>
      <w:r w:rsidRPr="00283806">
        <w:rPr>
          <w:w w:val="110"/>
        </w:rPr>
        <w:t>EPA’s</w:t>
      </w:r>
      <w:r w:rsidRPr="00283806">
        <w:rPr>
          <w:spacing w:val="-8"/>
          <w:w w:val="110"/>
        </w:rPr>
        <w:t xml:space="preserve"> </w:t>
      </w:r>
      <w:r w:rsidRPr="00283806">
        <w:rPr>
          <w:w w:val="110"/>
        </w:rPr>
        <w:t>approach</w:t>
      </w:r>
      <w:r w:rsidRPr="00283806">
        <w:rPr>
          <w:spacing w:val="-8"/>
          <w:w w:val="110"/>
        </w:rPr>
        <w:t xml:space="preserve"> </w:t>
      </w:r>
      <w:r w:rsidRPr="00283806">
        <w:rPr>
          <w:spacing w:val="-4"/>
          <w:w w:val="110"/>
        </w:rPr>
        <w:t>under</w:t>
      </w:r>
    </w:p>
    <w:p w14:paraId="7C31D6F5" w14:textId="77777777" w:rsidR="00D67C1E" w:rsidRPr="00283806" w:rsidRDefault="001265CA">
      <w:pPr>
        <w:pStyle w:val="BodyText"/>
        <w:spacing w:before="5" w:line="225" w:lineRule="auto"/>
      </w:pPr>
      <w:r w:rsidRPr="00283806">
        <w:rPr>
          <w:w w:val="105"/>
        </w:rPr>
        <w:t>other AIM Act programs, EPA intends to share data publicly. Additionally, these requirements are limited to entities that perform first fill of equipment, service (</w:t>
      </w:r>
      <w:r w:rsidRPr="00283806">
        <w:rPr>
          <w:rFonts w:ascii="Book Antiqua" w:hAnsi="Book Antiqua"/>
          <w:i/>
          <w:w w:val="105"/>
        </w:rPr>
        <w:t xml:space="preserve">e.g., </w:t>
      </w:r>
      <w:r w:rsidRPr="00283806">
        <w:rPr>
          <w:w w:val="105"/>
        </w:rPr>
        <w:t>recharge) equipment and/or</w:t>
      </w:r>
      <w:r w:rsidRPr="00283806">
        <w:rPr>
          <w:spacing w:val="40"/>
          <w:w w:val="105"/>
        </w:rPr>
        <w:t xml:space="preserve"> </w:t>
      </w:r>
      <w:r w:rsidRPr="00283806">
        <w:rPr>
          <w:w w:val="105"/>
        </w:rPr>
        <w:t>recycle regulated substances. Relevant entities include companies, such as equipment manufacturers, distributors, agent suppliers, or installers that recycle regulated substances. These covered entities are in the same categories as those that provide information on a voluntary basis to HEEP (</w:t>
      </w:r>
      <w:r w:rsidRPr="00283806">
        <w:rPr>
          <w:rFonts w:ascii="Book Antiqua" w:hAnsi="Book Antiqua"/>
          <w:i/>
          <w:w w:val="105"/>
        </w:rPr>
        <w:t xml:space="preserve">i.e., </w:t>
      </w:r>
      <w:r w:rsidRPr="00283806">
        <w:rPr>
          <w:w w:val="105"/>
        </w:rPr>
        <w:t>in 2020, 16 companies reported to HEEP). As a</w:t>
      </w:r>
      <w:r w:rsidRPr="00283806">
        <w:rPr>
          <w:spacing w:val="40"/>
          <w:w w:val="105"/>
        </w:rPr>
        <w:t xml:space="preserve"> </w:t>
      </w:r>
      <w:r w:rsidRPr="00283806">
        <w:rPr>
          <w:w w:val="105"/>
        </w:rPr>
        <w:t>result, the Agency disagrees with the commenters’ assertion that recordkeeping and reporting would</w:t>
      </w:r>
      <w:r w:rsidRPr="00283806">
        <w:rPr>
          <w:spacing w:val="80"/>
          <w:w w:val="105"/>
        </w:rPr>
        <w:t xml:space="preserve"> </w:t>
      </w:r>
      <w:r w:rsidRPr="00283806">
        <w:rPr>
          <w:w w:val="105"/>
        </w:rPr>
        <w:t>bring no environmental benefit. Under</w:t>
      </w:r>
      <w:r w:rsidRPr="00283806">
        <w:rPr>
          <w:spacing w:val="80"/>
          <w:w w:val="105"/>
        </w:rPr>
        <w:t xml:space="preserve"> </w:t>
      </w:r>
      <w:r w:rsidRPr="00283806">
        <w:rPr>
          <w:w w:val="105"/>
        </w:rPr>
        <w:t>40</w:t>
      </w:r>
      <w:r w:rsidRPr="00283806">
        <w:rPr>
          <w:spacing w:val="33"/>
          <w:w w:val="105"/>
        </w:rPr>
        <w:t xml:space="preserve"> </w:t>
      </w:r>
      <w:r w:rsidRPr="00283806">
        <w:rPr>
          <w:w w:val="105"/>
        </w:rPr>
        <w:t>CFR</w:t>
      </w:r>
      <w:r w:rsidRPr="00283806">
        <w:rPr>
          <w:spacing w:val="33"/>
          <w:w w:val="105"/>
        </w:rPr>
        <w:t xml:space="preserve"> </w:t>
      </w:r>
      <w:r w:rsidRPr="00283806">
        <w:rPr>
          <w:w w:val="105"/>
        </w:rPr>
        <w:t>part</w:t>
      </w:r>
      <w:r w:rsidRPr="00283806">
        <w:rPr>
          <w:spacing w:val="33"/>
          <w:w w:val="105"/>
        </w:rPr>
        <w:t xml:space="preserve"> </w:t>
      </w:r>
      <w:r w:rsidRPr="00283806">
        <w:rPr>
          <w:w w:val="105"/>
        </w:rPr>
        <w:t>84,</w:t>
      </w:r>
      <w:r w:rsidRPr="00283806">
        <w:rPr>
          <w:spacing w:val="33"/>
          <w:w w:val="105"/>
        </w:rPr>
        <w:t xml:space="preserve"> </w:t>
      </w:r>
      <w:r w:rsidRPr="00283806">
        <w:rPr>
          <w:w w:val="105"/>
        </w:rPr>
        <w:t>subpart</w:t>
      </w:r>
      <w:r w:rsidRPr="00283806">
        <w:rPr>
          <w:spacing w:val="33"/>
          <w:w w:val="105"/>
        </w:rPr>
        <w:t xml:space="preserve"> </w:t>
      </w:r>
      <w:r w:rsidRPr="00283806">
        <w:rPr>
          <w:w w:val="105"/>
        </w:rPr>
        <w:t>A,</w:t>
      </w:r>
      <w:r w:rsidRPr="00283806">
        <w:rPr>
          <w:spacing w:val="33"/>
          <w:w w:val="105"/>
        </w:rPr>
        <w:t xml:space="preserve"> </w:t>
      </w:r>
      <w:r w:rsidRPr="00283806">
        <w:rPr>
          <w:w w:val="105"/>
        </w:rPr>
        <w:t>information is collected for the purposes related to</w:t>
      </w:r>
    </w:p>
    <w:p w14:paraId="1F106AB8" w14:textId="77777777" w:rsidR="00D67C1E" w:rsidRPr="00283806" w:rsidRDefault="001265CA">
      <w:pPr>
        <w:pStyle w:val="BodyText"/>
        <w:spacing w:before="132" w:line="228" w:lineRule="auto"/>
        <w:ind w:left="138"/>
      </w:pPr>
      <w:r w:rsidRPr="00283806">
        <w:br w:type="column"/>
      </w:r>
      <w:r w:rsidRPr="00283806">
        <w:rPr>
          <w:w w:val="105"/>
        </w:rPr>
        <w:t>the Allocation Program and requested from fire suppression recyclers only.</w:t>
      </w:r>
      <w:r w:rsidRPr="00283806">
        <w:rPr>
          <w:spacing w:val="80"/>
          <w:w w:val="105"/>
        </w:rPr>
        <w:t xml:space="preserve"> </w:t>
      </w:r>
      <w:r w:rsidRPr="00283806">
        <w:rPr>
          <w:w w:val="105"/>
        </w:rPr>
        <w:t>EPA is requesting information from covered entities under this provision to account for the management of HFCs</w:t>
      </w:r>
      <w:r w:rsidRPr="00283806">
        <w:rPr>
          <w:spacing w:val="80"/>
          <w:w w:val="105"/>
        </w:rPr>
        <w:t xml:space="preserve"> </w:t>
      </w:r>
      <w:r w:rsidRPr="00283806">
        <w:rPr>
          <w:w w:val="105"/>
        </w:rPr>
        <w:t>and to minimize releases in the fire suppression sector. EPA intends to limit to the extent practicable duplicative burden between part 84 subparts A and</w:t>
      </w:r>
      <w:r w:rsidRPr="00283806">
        <w:rPr>
          <w:spacing w:val="40"/>
          <w:w w:val="105"/>
        </w:rPr>
        <w:t xml:space="preserve"> </w:t>
      </w:r>
      <w:r w:rsidRPr="00283806">
        <w:rPr>
          <w:w w:val="105"/>
        </w:rPr>
        <w:t>C</w:t>
      </w:r>
      <w:r w:rsidRPr="00283806">
        <w:rPr>
          <w:spacing w:val="28"/>
          <w:w w:val="105"/>
        </w:rPr>
        <w:t xml:space="preserve"> </w:t>
      </w:r>
      <w:r w:rsidRPr="00283806">
        <w:rPr>
          <w:w w:val="105"/>
        </w:rPr>
        <w:t>by</w:t>
      </w:r>
      <w:r w:rsidRPr="00283806">
        <w:rPr>
          <w:spacing w:val="28"/>
          <w:w w:val="105"/>
        </w:rPr>
        <w:t xml:space="preserve"> </w:t>
      </w:r>
      <w:r w:rsidRPr="00283806">
        <w:rPr>
          <w:w w:val="105"/>
        </w:rPr>
        <w:t>using</w:t>
      </w:r>
      <w:r w:rsidRPr="00283806">
        <w:rPr>
          <w:spacing w:val="28"/>
          <w:w w:val="105"/>
        </w:rPr>
        <w:t xml:space="preserve"> </w:t>
      </w:r>
      <w:r w:rsidRPr="00283806">
        <w:rPr>
          <w:w w:val="105"/>
        </w:rPr>
        <w:t>the</w:t>
      </w:r>
      <w:r w:rsidRPr="00283806">
        <w:rPr>
          <w:spacing w:val="28"/>
          <w:w w:val="105"/>
        </w:rPr>
        <w:t xml:space="preserve"> </w:t>
      </w:r>
      <w:r w:rsidRPr="00283806">
        <w:rPr>
          <w:w w:val="105"/>
        </w:rPr>
        <w:t>same</w:t>
      </w:r>
      <w:r w:rsidRPr="00283806">
        <w:rPr>
          <w:spacing w:val="28"/>
          <w:w w:val="105"/>
        </w:rPr>
        <w:t xml:space="preserve"> </w:t>
      </w:r>
      <w:r w:rsidRPr="00283806">
        <w:rPr>
          <w:w w:val="105"/>
        </w:rPr>
        <w:t>reporting</w:t>
      </w:r>
      <w:r w:rsidRPr="00283806">
        <w:rPr>
          <w:spacing w:val="28"/>
          <w:w w:val="105"/>
        </w:rPr>
        <w:t xml:space="preserve"> </w:t>
      </w:r>
      <w:r w:rsidRPr="00283806">
        <w:rPr>
          <w:w w:val="105"/>
        </w:rPr>
        <w:t>systems. If there are any duplicative</w:t>
      </w:r>
      <w:r w:rsidRPr="00283806">
        <w:rPr>
          <w:spacing w:val="40"/>
          <w:w w:val="105"/>
        </w:rPr>
        <w:t xml:space="preserve"> </w:t>
      </w:r>
      <w:r w:rsidRPr="00283806">
        <w:rPr>
          <w:w w:val="105"/>
        </w:rPr>
        <w:t>requirements, entities would only report once. As noted in section II.B of this preamble, recordkeeping and reporting under</w:t>
      </w:r>
      <w:r w:rsidRPr="00283806">
        <w:rPr>
          <w:spacing w:val="40"/>
          <w:w w:val="105"/>
        </w:rPr>
        <w:t xml:space="preserve"> </w:t>
      </w:r>
      <w:r w:rsidRPr="00283806">
        <w:rPr>
          <w:w w:val="105"/>
        </w:rPr>
        <w:t>the</w:t>
      </w:r>
      <w:r w:rsidRPr="00283806">
        <w:rPr>
          <w:spacing w:val="40"/>
          <w:w w:val="105"/>
        </w:rPr>
        <w:t xml:space="preserve"> </w:t>
      </w:r>
      <w:r w:rsidRPr="00283806">
        <w:rPr>
          <w:w w:val="105"/>
        </w:rPr>
        <w:t>AIM</w:t>
      </w:r>
      <w:r w:rsidRPr="00283806">
        <w:rPr>
          <w:spacing w:val="40"/>
          <w:w w:val="105"/>
        </w:rPr>
        <w:t xml:space="preserve"> </w:t>
      </w:r>
      <w:r w:rsidRPr="00283806">
        <w:rPr>
          <w:w w:val="105"/>
        </w:rPr>
        <w:t>Act</w:t>
      </w:r>
      <w:r w:rsidRPr="00283806">
        <w:rPr>
          <w:spacing w:val="40"/>
          <w:w w:val="105"/>
        </w:rPr>
        <w:t xml:space="preserve"> </w:t>
      </w:r>
      <w:r w:rsidRPr="00283806">
        <w:rPr>
          <w:w w:val="105"/>
        </w:rPr>
        <w:t>are</w:t>
      </w:r>
      <w:r w:rsidRPr="00283806">
        <w:rPr>
          <w:spacing w:val="40"/>
          <w:w w:val="105"/>
        </w:rPr>
        <w:t xml:space="preserve"> </w:t>
      </w:r>
      <w:r w:rsidRPr="00283806">
        <w:rPr>
          <w:w w:val="105"/>
        </w:rPr>
        <w:t>also</w:t>
      </w:r>
      <w:r w:rsidRPr="00283806">
        <w:rPr>
          <w:spacing w:val="40"/>
          <w:w w:val="105"/>
        </w:rPr>
        <w:t xml:space="preserve"> </w:t>
      </w:r>
      <w:r w:rsidRPr="00283806">
        <w:rPr>
          <w:w w:val="105"/>
        </w:rPr>
        <w:t>supported by</w:t>
      </w:r>
      <w:r w:rsidRPr="00283806">
        <w:rPr>
          <w:spacing w:val="40"/>
          <w:w w:val="105"/>
        </w:rPr>
        <w:t xml:space="preserve"> </w:t>
      </w:r>
      <w:r w:rsidRPr="00283806">
        <w:rPr>
          <w:w w:val="105"/>
        </w:rPr>
        <w:t>section</w:t>
      </w:r>
      <w:r w:rsidRPr="00283806">
        <w:rPr>
          <w:spacing w:val="40"/>
          <w:w w:val="105"/>
        </w:rPr>
        <w:t xml:space="preserve"> </w:t>
      </w:r>
      <w:r w:rsidRPr="00283806">
        <w:rPr>
          <w:w w:val="105"/>
        </w:rPr>
        <w:t>114</w:t>
      </w:r>
      <w:r w:rsidRPr="00283806">
        <w:rPr>
          <w:spacing w:val="40"/>
          <w:w w:val="105"/>
        </w:rPr>
        <w:t xml:space="preserve"> </w:t>
      </w:r>
      <w:r w:rsidRPr="00283806">
        <w:rPr>
          <w:w w:val="105"/>
        </w:rPr>
        <w:t>of</w:t>
      </w:r>
      <w:r w:rsidRPr="00283806">
        <w:rPr>
          <w:spacing w:val="40"/>
          <w:w w:val="105"/>
        </w:rPr>
        <w:t xml:space="preserve"> </w:t>
      </w:r>
      <w:r w:rsidRPr="00283806">
        <w:rPr>
          <w:w w:val="105"/>
        </w:rPr>
        <w:t>the</w:t>
      </w:r>
      <w:r w:rsidRPr="00283806">
        <w:rPr>
          <w:spacing w:val="40"/>
          <w:w w:val="105"/>
        </w:rPr>
        <w:t xml:space="preserve"> </w:t>
      </w:r>
      <w:r w:rsidRPr="00283806">
        <w:rPr>
          <w:w w:val="105"/>
        </w:rPr>
        <w:t>CAA,</w:t>
      </w:r>
      <w:r w:rsidRPr="00283806">
        <w:rPr>
          <w:spacing w:val="40"/>
          <w:w w:val="105"/>
        </w:rPr>
        <w:t xml:space="preserve"> </w:t>
      </w:r>
      <w:r w:rsidRPr="00283806">
        <w:rPr>
          <w:w w:val="105"/>
        </w:rPr>
        <w:t>which applies to the AIM Act and rules promulgated under it as provided in subsection (k)(1)(C) of the AIM Act.</w:t>
      </w:r>
    </w:p>
    <w:p w14:paraId="53DAD61B" w14:textId="77777777" w:rsidR="00D67C1E" w:rsidRPr="00283806" w:rsidRDefault="001265CA">
      <w:pPr>
        <w:spacing w:line="183" w:lineRule="exact"/>
        <w:ind w:left="318"/>
        <w:rPr>
          <w:sz w:val="18"/>
        </w:rPr>
      </w:pPr>
      <w:r w:rsidRPr="00283806">
        <w:rPr>
          <w:rFonts w:ascii="Book Antiqua"/>
          <w:i/>
          <w:w w:val="105"/>
          <w:sz w:val="18"/>
        </w:rPr>
        <w:t>Comment:</w:t>
      </w:r>
      <w:r w:rsidRPr="00283806">
        <w:rPr>
          <w:rFonts w:ascii="Book Antiqua"/>
          <w:i/>
          <w:spacing w:val="20"/>
          <w:w w:val="105"/>
          <w:sz w:val="18"/>
        </w:rPr>
        <w:t xml:space="preserve"> </w:t>
      </w:r>
      <w:r w:rsidRPr="00283806">
        <w:rPr>
          <w:w w:val="105"/>
          <w:sz w:val="18"/>
        </w:rPr>
        <w:t>Another</w:t>
      </w:r>
      <w:r w:rsidRPr="00283806">
        <w:rPr>
          <w:spacing w:val="26"/>
          <w:w w:val="105"/>
          <w:sz w:val="18"/>
        </w:rPr>
        <w:t xml:space="preserve"> </w:t>
      </w:r>
      <w:r w:rsidRPr="00283806">
        <w:rPr>
          <w:w w:val="105"/>
          <w:sz w:val="18"/>
        </w:rPr>
        <w:t>commenter</w:t>
      </w:r>
      <w:r w:rsidRPr="00283806">
        <w:rPr>
          <w:spacing w:val="26"/>
          <w:w w:val="105"/>
          <w:sz w:val="18"/>
        </w:rPr>
        <w:t xml:space="preserve"> </w:t>
      </w:r>
      <w:r w:rsidRPr="00283806">
        <w:rPr>
          <w:spacing w:val="-2"/>
          <w:w w:val="105"/>
          <w:sz w:val="18"/>
        </w:rPr>
        <w:t>stated</w:t>
      </w:r>
    </w:p>
    <w:p w14:paraId="0D54ABAB" w14:textId="77777777" w:rsidR="00D67C1E" w:rsidRPr="00283806" w:rsidRDefault="001265CA">
      <w:pPr>
        <w:pStyle w:val="BodyText"/>
        <w:spacing w:line="225" w:lineRule="auto"/>
        <w:ind w:left="138" w:right="29"/>
      </w:pPr>
      <w:r w:rsidRPr="00283806">
        <w:rPr>
          <w:w w:val="105"/>
        </w:rPr>
        <w:t xml:space="preserve">that fire suppression systems can </w:t>
      </w:r>
      <w:proofErr w:type="gramStart"/>
      <w:r w:rsidRPr="00283806">
        <w:rPr>
          <w:w w:val="105"/>
        </w:rPr>
        <w:t>accidently</w:t>
      </w:r>
      <w:proofErr w:type="gramEnd"/>
      <w:r w:rsidRPr="00283806">
        <w:rPr>
          <w:w w:val="105"/>
        </w:rPr>
        <w:t xml:space="preserve"> be triggered to release the regulated substance (</w:t>
      </w:r>
      <w:r w:rsidRPr="00283806">
        <w:rPr>
          <w:rFonts w:ascii="Book Antiqua"/>
          <w:i/>
          <w:w w:val="105"/>
        </w:rPr>
        <w:t xml:space="preserve">e.g., </w:t>
      </w:r>
      <w:r w:rsidRPr="00283806">
        <w:rPr>
          <w:w w:val="105"/>
        </w:rPr>
        <w:t>electronic failure) and are not situations of intentional release or releases due to failure to maintain the system. The commenter suggested that EPA require, under</w:t>
      </w:r>
      <w:r w:rsidRPr="00283806">
        <w:rPr>
          <w:spacing w:val="-5"/>
          <w:w w:val="105"/>
        </w:rPr>
        <w:t xml:space="preserve"> </w:t>
      </w:r>
      <w:r w:rsidRPr="00283806">
        <w:rPr>
          <w:w w:val="105"/>
        </w:rPr>
        <w:t>40</w:t>
      </w:r>
      <w:r w:rsidRPr="00283806">
        <w:rPr>
          <w:spacing w:val="-5"/>
          <w:w w:val="105"/>
        </w:rPr>
        <w:t xml:space="preserve"> </w:t>
      </w:r>
      <w:r w:rsidRPr="00283806">
        <w:rPr>
          <w:w w:val="105"/>
        </w:rPr>
        <w:t>CFR</w:t>
      </w:r>
      <w:r w:rsidRPr="00283806">
        <w:rPr>
          <w:spacing w:val="-5"/>
          <w:w w:val="105"/>
        </w:rPr>
        <w:t xml:space="preserve"> </w:t>
      </w:r>
      <w:r w:rsidRPr="00283806">
        <w:rPr>
          <w:w w:val="105"/>
        </w:rPr>
        <w:t>84.110(g),</w:t>
      </w:r>
      <w:r w:rsidRPr="00283806">
        <w:rPr>
          <w:spacing w:val="-5"/>
          <w:w w:val="105"/>
        </w:rPr>
        <w:t xml:space="preserve"> </w:t>
      </w:r>
      <w:r w:rsidRPr="00283806">
        <w:rPr>
          <w:w w:val="105"/>
        </w:rPr>
        <w:t>that</w:t>
      </w:r>
      <w:r w:rsidRPr="00283806">
        <w:rPr>
          <w:spacing w:val="-5"/>
          <w:w w:val="105"/>
        </w:rPr>
        <w:t xml:space="preserve"> </w:t>
      </w:r>
      <w:r w:rsidRPr="00283806">
        <w:rPr>
          <w:w w:val="105"/>
        </w:rPr>
        <w:t>the</w:t>
      </w:r>
      <w:r w:rsidRPr="00283806">
        <w:rPr>
          <w:spacing w:val="-5"/>
          <w:w w:val="105"/>
        </w:rPr>
        <w:t xml:space="preserve"> </w:t>
      </w:r>
      <w:r w:rsidRPr="00283806">
        <w:rPr>
          <w:w w:val="105"/>
        </w:rPr>
        <w:t>owner/ operator maintain documentation for three years from the date of release of any accidental releases of a regulated substance from a fire suppression</w:t>
      </w:r>
      <w:r w:rsidRPr="00283806">
        <w:rPr>
          <w:spacing w:val="40"/>
          <w:w w:val="105"/>
        </w:rPr>
        <w:t xml:space="preserve"> </w:t>
      </w:r>
      <w:r w:rsidRPr="00283806">
        <w:rPr>
          <w:w w:val="105"/>
        </w:rPr>
        <w:t>system that was not a result of failure to maintain the system. The commenter also requested that EPA specify the address or location where to send the report requested in 84.110(g).</w:t>
      </w:r>
    </w:p>
    <w:p w14:paraId="044A7B25" w14:textId="77777777" w:rsidR="00D67C1E" w:rsidRPr="00283806" w:rsidRDefault="001265CA">
      <w:pPr>
        <w:pStyle w:val="BodyText"/>
        <w:spacing w:before="7" w:line="225" w:lineRule="auto"/>
        <w:ind w:left="138" w:firstLine="180"/>
      </w:pPr>
      <w:r w:rsidRPr="00283806">
        <w:rPr>
          <w:rFonts w:ascii="Book Antiqua"/>
          <w:i/>
          <w:w w:val="105"/>
        </w:rPr>
        <w:t xml:space="preserve">Response: </w:t>
      </w:r>
      <w:r w:rsidRPr="00283806">
        <w:rPr>
          <w:w w:val="105"/>
        </w:rPr>
        <w:t xml:space="preserve">EPA acknowledges the suggestion for including the date of release of any accidental releases of a regulated substance from a fire suppression system that was not a result of failure to maintain the system. EPA understands that accidental releases in these fire suppression systems are relatively rare, and any releases are typically addressed quickly due to the nature of the specialty equipment these fire suppression systems are protecting. For these reasons, EPA is not finalizing such a requirement because the Agency does not plan to use this information </w:t>
      </w:r>
      <w:proofErr w:type="gramStart"/>
      <w:r w:rsidRPr="00283806">
        <w:rPr>
          <w:w w:val="105"/>
        </w:rPr>
        <w:t>at this time</w:t>
      </w:r>
      <w:proofErr w:type="gramEnd"/>
      <w:r w:rsidRPr="00283806">
        <w:rPr>
          <w:w w:val="105"/>
        </w:rPr>
        <w:t>.</w:t>
      </w:r>
    </w:p>
    <w:p w14:paraId="3862DA83" w14:textId="77777777" w:rsidR="00D67C1E" w:rsidRPr="00283806" w:rsidRDefault="001265CA">
      <w:pPr>
        <w:pStyle w:val="BodyText"/>
        <w:spacing w:before="5" w:line="228" w:lineRule="auto"/>
        <w:ind w:left="138" w:right="45" w:firstLine="180"/>
      </w:pPr>
      <w:r w:rsidRPr="00283806">
        <w:rPr>
          <w:w w:val="105"/>
        </w:rPr>
        <w:t xml:space="preserve">Reports requested </w:t>
      </w:r>
      <w:proofErr w:type="gramStart"/>
      <w:r w:rsidRPr="00283806">
        <w:rPr>
          <w:w w:val="105"/>
        </w:rPr>
        <w:t>in</w:t>
      </w:r>
      <w:proofErr w:type="gramEnd"/>
      <w:r w:rsidRPr="00283806">
        <w:rPr>
          <w:w w:val="105"/>
        </w:rPr>
        <w:t xml:space="preserve"> 84.110(g) must be submitted electronically using the Agency’s applicable reporting platform.</w:t>
      </w:r>
    </w:p>
    <w:p w14:paraId="4365A38A" w14:textId="77777777" w:rsidR="00D67C1E" w:rsidRPr="00283806" w:rsidRDefault="001265CA">
      <w:pPr>
        <w:pStyle w:val="ListParagraph"/>
        <w:numPr>
          <w:ilvl w:val="1"/>
          <w:numId w:val="64"/>
        </w:numPr>
        <w:tabs>
          <w:tab w:val="left" w:pos="367"/>
        </w:tabs>
        <w:spacing w:before="108" w:line="220" w:lineRule="auto"/>
        <w:ind w:left="138" w:right="350" w:firstLine="0"/>
        <w:rPr>
          <w:rFonts w:ascii="Book Antiqua"/>
          <w:i/>
          <w:sz w:val="18"/>
        </w:rPr>
      </w:pPr>
      <w:r w:rsidRPr="00283806">
        <w:rPr>
          <w:rFonts w:ascii="Book Antiqua"/>
          <w:i/>
          <w:w w:val="115"/>
          <w:sz w:val="18"/>
        </w:rPr>
        <w:t xml:space="preserve">What requirements is EPA </w:t>
      </w:r>
      <w:proofErr w:type="gramStart"/>
      <w:r w:rsidRPr="00283806">
        <w:rPr>
          <w:rFonts w:ascii="Book Antiqua"/>
          <w:i/>
          <w:w w:val="115"/>
          <w:sz w:val="18"/>
        </w:rPr>
        <w:t>establishing</w:t>
      </w:r>
      <w:proofErr w:type="gramEnd"/>
      <w:r w:rsidRPr="00283806">
        <w:rPr>
          <w:rFonts w:ascii="Book Antiqua"/>
          <w:i/>
          <w:spacing w:val="-5"/>
          <w:w w:val="115"/>
          <w:sz w:val="18"/>
        </w:rPr>
        <w:t xml:space="preserve"> </w:t>
      </w:r>
      <w:r w:rsidRPr="00283806">
        <w:rPr>
          <w:rFonts w:ascii="Book Antiqua"/>
          <w:i/>
          <w:w w:val="115"/>
          <w:sz w:val="18"/>
        </w:rPr>
        <w:t>for</w:t>
      </w:r>
      <w:r w:rsidRPr="00283806">
        <w:rPr>
          <w:rFonts w:ascii="Book Antiqua"/>
          <w:i/>
          <w:spacing w:val="-5"/>
          <w:w w:val="115"/>
          <w:sz w:val="18"/>
        </w:rPr>
        <w:t xml:space="preserve"> </w:t>
      </w:r>
      <w:r w:rsidRPr="00283806">
        <w:rPr>
          <w:rFonts w:ascii="Book Antiqua"/>
          <w:i/>
          <w:w w:val="115"/>
          <w:sz w:val="18"/>
        </w:rPr>
        <w:t>handling</w:t>
      </w:r>
      <w:r w:rsidRPr="00283806">
        <w:rPr>
          <w:rFonts w:ascii="Book Antiqua"/>
          <w:i/>
          <w:spacing w:val="-5"/>
          <w:w w:val="115"/>
          <w:sz w:val="18"/>
        </w:rPr>
        <w:t xml:space="preserve"> </w:t>
      </w:r>
      <w:r w:rsidRPr="00283806">
        <w:rPr>
          <w:rFonts w:ascii="Book Antiqua"/>
          <w:i/>
          <w:w w:val="115"/>
          <w:sz w:val="18"/>
        </w:rPr>
        <w:t xml:space="preserve">disposable </w:t>
      </w:r>
      <w:r w:rsidRPr="00283806">
        <w:rPr>
          <w:rFonts w:ascii="Book Antiqua"/>
          <w:i/>
          <w:spacing w:val="-2"/>
          <w:w w:val="115"/>
          <w:sz w:val="18"/>
        </w:rPr>
        <w:t>cylinders?</w:t>
      </w:r>
    </w:p>
    <w:p w14:paraId="2D3FB7B5" w14:textId="77777777" w:rsidR="00D67C1E" w:rsidRPr="00283806" w:rsidRDefault="001265CA">
      <w:pPr>
        <w:pStyle w:val="ListParagraph"/>
        <w:numPr>
          <w:ilvl w:val="0"/>
          <w:numId w:val="47"/>
        </w:numPr>
        <w:tabs>
          <w:tab w:val="left" w:pos="336"/>
        </w:tabs>
        <w:spacing w:before="91" w:line="228" w:lineRule="auto"/>
        <w:ind w:right="776" w:firstLine="0"/>
        <w:rPr>
          <w:sz w:val="18"/>
        </w:rPr>
      </w:pPr>
      <w:r w:rsidRPr="00283806">
        <w:rPr>
          <w:w w:val="105"/>
          <w:sz w:val="18"/>
        </w:rPr>
        <w:t>Requirements</w:t>
      </w:r>
      <w:r w:rsidRPr="00283806">
        <w:rPr>
          <w:spacing w:val="-6"/>
          <w:w w:val="105"/>
          <w:sz w:val="18"/>
        </w:rPr>
        <w:t xml:space="preserve"> </w:t>
      </w:r>
      <w:r w:rsidRPr="00283806">
        <w:rPr>
          <w:w w:val="105"/>
          <w:sz w:val="18"/>
        </w:rPr>
        <w:t>for</w:t>
      </w:r>
      <w:r w:rsidRPr="00283806">
        <w:rPr>
          <w:spacing w:val="-6"/>
          <w:w w:val="105"/>
          <w:sz w:val="18"/>
        </w:rPr>
        <w:t xml:space="preserve"> </w:t>
      </w:r>
      <w:r w:rsidRPr="00283806">
        <w:rPr>
          <w:w w:val="105"/>
          <w:sz w:val="18"/>
        </w:rPr>
        <w:t xml:space="preserve">Disposable </w:t>
      </w:r>
      <w:r w:rsidRPr="00283806">
        <w:rPr>
          <w:spacing w:val="-2"/>
          <w:w w:val="105"/>
          <w:sz w:val="18"/>
        </w:rPr>
        <w:t>Cylinders</w:t>
      </w:r>
    </w:p>
    <w:p w14:paraId="007754AD" w14:textId="77777777" w:rsidR="00D67C1E" w:rsidRPr="00283806" w:rsidRDefault="001265CA">
      <w:pPr>
        <w:pStyle w:val="BodyText"/>
        <w:spacing w:before="69" w:line="228" w:lineRule="auto"/>
        <w:ind w:left="138" w:right="57" w:firstLine="180"/>
      </w:pPr>
      <w:r w:rsidRPr="00283806">
        <w:rPr>
          <w:w w:val="105"/>
        </w:rPr>
        <w:t>EPA proposed to require that disposable cylinders containing HFCs and that have been used for the servicing, repair, or installation of refrigerant-containing</w:t>
      </w:r>
      <w:r w:rsidRPr="00283806">
        <w:rPr>
          <w:spacing w:val="-4"/>
          <w:w w:val="105"/>
        </w:rPr>
        <w:t xml:space="preserve"> </w:t>
      </w:r>
      <w:r w:rsidRPr="00283806">
        <w:rPr>
          <w:w w:val="105"/>
        </w:rPr>
        <w:t>equipment</w:t>
      </w:r>
      <w:r w:rsidRPr="00283806">
        <w:rPr>
          <w:spacing w:val="-4"/>
          <w:w w:val="105"/>
        </w:rPr>
        <w:t xml:space="preserve"> </w:t>
      </w:r>
      <w:r w:rsidRPr="00283806">
        <w:rPr>
          <w:w w:val="105"/>
        </w:rPr>
        <w:t>or</w:t>
      </w:r>
      <w:r w:rsidRPr="00283806">
        <w:rPr>
          <w:spacing w:val="-4"/>
          <w:w w:val="105"/>
        </w:rPr>
        <w:t xml:space="preserve"> </w:t>
      </w:r>
      <w:r w:rsidRPr="00283806">
        <w:rPr>
          <w:w w:val="105"/>
        </w:rPr>
        <w:t>fire suppression</w:t>
      </w:r>
      <w:r w:rsidRPr="00283806">
        <w:rPr>
          <w:spacing w:val="8"/>
          <w:w w:val="105"/>
        </w:rPr>
        <w:t xml:space="preserve"> </w:t>
      </w:r>
      <w:r w:rsidRPr="00283806">
        <w:rPr>
          <w:w w:val="105"/>
        </w:rPr>
        <w:t>equipment</w:t>
      </w:r>
      <w:r w:rsidRPr="00283806">
        <w:rPr>
          <w:spacing w:val="9"/>
          <w:w w:val="105"/>
        </w:rPr>
        <w:t xml:space="preserve"> </w:t>
      </w:r>
      <w:r w:rsidRPr="00283806">
        <w:rPr>
          <w:w w:val="105"/>
        </w:rPr>
        <w:t>must</w:t>
      </w:r>
      <w:r w:rsidRPr="00283806">
        <w:rPr>
          <w:spacing w:val="9"/>
          <w:w w:val="105"/>
        </w:rPr>
        <w:t xml:space="preserve"> </w:t>
      </w:r>
      <w:r w:rsidRPr="00283806">
        <w:rPr>
          <w:w w:val="105"/>
        </w:rPr>
        <w:t>be</w:t>
      </w:r>
      <w:r w:rsidRPr="00283806">
        <w:rPr>
          <w:spacing w:val="9"/>
          <w:w w:val="105"/>
        </w:rPr>
        <w:t xml:space="preserve"> </w:t>
      </w:r>
      <w:r w:rsidRPr="00283806">
        <w:rPr>
          <w:w w:val="105"/>
        </w:rPr>
        <w:t>sent</w:t>
      </w:r>
      <w:r w:rsidRPr="00283806">
        <w:rPr>
          <w:spacing w:val="8"/>
          <w:w w:val="105"/>
        </w:rPr>
        <w:t xml:space="preserve"> </w:t>
      </w:r>
      <w:r w:rsidRPr="00283806">
        <w:rPr>
          <w:spacing w:val="-5"/>
          <w:w w:val="105"/>
        </w:rPr>
        <w:t>to</w:t>
      </w:r>
    </w:p>
    <w:p w14:paraId="7CF833FB" w14:textId="77777777" w:rsidR="00D67C1E" w:rsidRPr="00283806" w:rsidRDefault="001265CA">
      <w:pPr>
        <w:pStyle w:val="BodyText"/>
        <w:spacing w:before="132" w:line="228" w:lineRule="auto"/>
        <w:ind w:left="153" w:right="185"/>
      </w:pPr>
      <w:r w:rsidRPr="00283806">
        <w:br w:type="column"/>
      </w:r>
      <w:r w:rsidRPr="00283806">
        <w:rPr>
          <w:w w:val="105"/>
        </w:rPr>
        <w:t>an EPA-certified reclaimer or a fire suppressant recycler. EPA also proposed that these entities (</w:t>
      </w:r>
      <w:r w:rsidRPr="00283806">
        <w:rPr>
          <w:rFonts w:ascii="Book Antiqua"/>
          <w:i/>
          <w:w w:val="105"/>
        </w:rPr>
        <w:t xml:space="preserve">i.e., </w:t>
      </w:r>
      <w:r w:rsidRPr="00283806">
        <w:rPr>
          <w:w w:val="105"/>
        </w:rPr>
        <w:t>reclaimers and</w:t>
      </w:r>
      <w:r w:rsidRPr="00283806">
        <w:rPr>
          <w:spacing w:val="40"/>
          <w:w w:val="105"/>
        </w:rPr>
        <w:t xml:space="preserve"> </w:t>
      </w:r>
      <w:r w:rsidRPr="00283806">
        <w:rPr>
          <w:w w:val="105"/>
        </w:rPr>
        <w:t>fire suppressant recyclers) must remove all HFCs, including any remaining</w:t>
      </w:r>
      <w:r w:rsidRPr="00283806">
        <w:rPr>
          <w:spacing w:val="80"/>
          <w:w w:val="105"/>
        </w:rPr>
        <w:t xml:space="preserve"> </w:t>
      </w:r>
      <w:r w:rsidRPr="00283806">
        <w:rPr>
          <w:w w:val="105"/>
        </w:rPr>
        <w:t>amount after the cylinders are</w:t>
      </w:r>
      <w:r w:rsidRPr="00283806">
        <w:rPr>
          <w:spacing w:val="40"/>
          <w:w w:val="105"/>
        </w:rPr>
        <w:t xml:space="preserve"> </w:t>
      </w:r>
      <w:r w:rsidRPr="00283806">
        <w:rPr>
          <w:w w:val="105"/>
        </w:rPr>
        <w:t>considered empty for servicing, repair, and installation purposes (</w:t>
      </w:r>
      <w:r w:rsidRPr="00283806">
        <w:rPr>
          <w:rFonts w:ascii="Book Antiqua"/>
          <w:i/>
          <w:w w:val="105"/>
        </w:rPr>
        <w:t xml:space="preserve">e.g., </w:t>
      </w:r>
      <w:r w:rsidRPr="00283806">
        <w:rPr>
          <w:w w:val="105"/>
        </w:rPr>
        <w:t>the heel), prior to discarding these cylinders. The Agency proposed a compliance date of January 1, 2025, for requiring that disposable cylinders be sent to a reclaimer or fire suppressant recycler</w:t>
      </w:r>
      <w:r w:rsidRPr="00283806">
        <w:rPr>
          <w:spacing w:val="40"/>
          <w:w w:val="105"/>
        </w:rPr>
        <w:t xml:space="preserve"> </w:t>
      </w:r>
      <w:r w:rsidRPr="00283806">
        <w:rPr>
          <w:w w:val="105"/>
        </w:rPr>
        <w:t>and for the removal of HFCs from disposable cylinders. EPA also proposed that the remaining heel in containers</w:t>
      </w:r>
      <w:r w:rsidRPr="00283806">
        <w:rPr>
          <w:spacing w:val="80"/>
          <w:w w:val="105"/>
        </w:rPr>
        <w:t xml:space="preserve"> </w:t>
      </w:r>
      <w:r w:rsidRPr="00283806">
        <w:rPr>
          <w:w w:val="105"/>
        </w:rPr>
        <w:t>that have been used in the servicing, repair, or installation of equipment</w:t>
      </w:r>
      <w:r w:rsidRPr="00283806">
        <w:rPr>
          <w:spacing w:val="40"/>
          <w:w w:val="105"/>
        </w:rPr>
        <w:t xml:space="preserve"> </w:t>
      </w:r>
      <w:r w:rsidRPr="00283806">
        <w:rPr>
          <w:w w:val="105"/>
        </w:rPr>
        <w:t>would not be considered a virgin regulated substance. Additionally, EPA requested comment on an alternative approach that would involve requiring the final processor of a disposable cylinder to ensure that all regulated substances, including the remaining</w:t>
      </w:r>
      <w:r w:rsidRPr="00283806">
        <w:rPr>
          <w:spacing w:val="80"/>
          <w:w w:val="150"/>
        </w:rPr>
        <w:t xml:space="preserve"> </w:t>
      </w:r>
      <w:r w:rsidRPr="00283806">
        <w:rPr>
          <w:w w:val="105"/>
        </w:rPr>
        <w:t>heel, have been recovered prior to final disposition of the cylinder; or a combination of the lead proposal and</w:t>
      </w:r>
      <w:r w:rsidRPr="00283806">
        <w:rPr>
          <w:spacing w:val="80"/>
          <w:w w:val="105"/>
        </w:rPr>
        <w:t xml:space="preserve"> </w:t>
      </w:r>
      <w:r w:rsidRPr="00283806">
        <w:rPr>
          <w:w w:val="105"/>
        </w:rPr>
        <w:t>this alternate approach. Related to the alternative approach, EPA discussed the consideration of recordkeeping requirements that would be necessary</w:t>
      </w:r>
      <w:r w:rsidRPr="00283806">
        <w:rPr>
          <w:spacing w:val="40"/>
          <w:w w:val="105"/>
        </w:rPr>
        <w:t xml:space="preserve"> </w:t>
      </w:r>
      <w:r w:rsidRPr="00283806">
        <w:rPr>
          <w:w w:val="105"/>
        </w:rPr>
        <w:t xml:space="preserve">for the alternative approach and requested comments on other relevant factors such as the level of vacuum needed to ensure proper evacuation of the heel and information on recovery machines available to perform the heel removal. EPA also requested </w:t>
      </w:r>
      <w:proofErr w:type="gramStart"/>
      <w:r w:rsidRPr="00283806">
        <w:rPr>
          <w:w w:val="105"/>
        </w:rPr>
        <w:t>comment</w:t>
      </w:r>
      <w:proofErr w:type="gramEnd"/>
      <w:r w:rsidRPr="00283806">
        <w:rPr>
          <w:w w:val="105"/>
        </w:rPr>
        <w:t xml:space="preserve"> broadly on the current channels </w:t>
      </w:r>
      <w:proofErr w:type="gramStart"/>
      <w:r w:rsidRPr="00283806">
        <w:rPr>
          <w:w w:val="105"/>
        </w:rPr>
        <w:t>by</w:t>
      </w:r>
      <w:proofErr w:type="gramEnd"/>
      <w:r w:rsidRPr="00283806">
        <w:rPr>
          <w:spacing w:val="80"/>
          <w:w w:val="105"/>
        </w:rPr>
        <w:t xml:space="preserve"> </w:t>
      </w:r>
      <w:r w:rsidRPr="00283806">
        <w:rPr>
          <w:w w:val="105"/>
        </w:rPr>
        <w:t>which disposable cylinders are transported to have the heels removed.</w:t>
      </w:r>
    </w:p>
    <w:p w14:paraId="58EF1ACC" w14:textId="77777777" w:rsidR="00D67C1E" w:rsidRPr="00283806" w:rsidRDefault="001265CA">
      <w:pPr>
        <w:pStyle w:val="BodyText"/>
        <w:spacing w:line="228" w:lineRule="auto"/>
        <w:ind w:left="153" w:right="142" w:firstLine="180"/>
      </w:pPr>
      <w:r w:rsidRPr="00283806">
        <w:rPr>
          <w:w w:val="105"/>
        </w:rPr>
        <w:t xml:space="preserve">EPA is finalizing aspects of the proposal, with modifications, after consideration of the comments and information received on the proposed rule. First, EPA </w:t>
      </w:r>
      <w:proofErr w:type="gramStart"/>
      <w:r w:rsidRPr="00283806">
        <w:rPr>
          <w:w w:val="105"/>
        </w:rPr>
        <w:t>is requiring</w:t>
      </w:r>
      <w:proofErr w:type="gramEnd"/>
      <w:r w:rsidRPr="00283806">
        <w:rPr>
          <w:w w:val="105"/>
        </w:rPr>
        <w:t xml:space="preserve"> that disposable cylinders that contain HFCs and that have been used for the</w:t>
      </w:r>
      <w:r w:rsidRPr="00283806">
        <w:rPr>
          <w:spacing w:val="40"/>
          <w:w w:val="105"/>
        </w:rPr>
        <w:t xml:space="preserve"> </w:t>
      </w:r>
      <w:r w:rsidRPr="00283806">
        <w:rPr>
          <w:w w:val="105"/>
        </w:rPr>
        <w:t>servicing, repair, or installation of refrigerant-containing equipment or fire suppression equipment must be sent to</w:t>
      </w:r>
      <w:r w:rsidRPr="00283806">
        <w:rPr>
          <w:spacing w:val="80"/>
          <w:w w:val="105"/>
        </w:rPr>
        <w:t xml:space="preserve"> </w:t>
      </w:r>
      <w:r w:rsidRPr="00283806">
        <w:rPr>
          <w:w w:val="105"/>
        </w:rPr>
        <w:t>a reclaimer, fire suppressant recycler, final processor, or refrigerant supplier</w:t>
      </w:r>
      <w:r w:rsidRPr="00283806">
        <w:rPr>
          <w:spacing w:val="40"/>
          <w:w w:val="105"/>
        </w:rPr>
        <w:t xml:space="preserve"> </w:t>
      </w:r>
      <w:r w:rsidRPr="00283806">
        <w:rPr>
          <w:w w:val="105"/>
        </w:rPr>
        <w:t xml:space="preserve">for removal of the heel. EPA is also </w:t>
      </w:r>
      <w:proofErr w:type="gramStart"/>
      <w:r w:rsidRPr="00283806">
        <w:rPr>
          <w:w w:val="105"/>
        </w:rPr>
        <w:t>requiring</w:t>
      </w:r>
      <w:proofErr w:type="gramEnd"/>
      <w:r w:rsidRPr="00283806">
        <w:rPr>
          <w:w w:val="105"/>
        </w:rPr>
        <w:t xml:space="preserve"> that the removed heel must be sent to an EPA-certified reclaimer for further processing. In the case where disposable</w:t>
      </w:r>
      <w:r w:rsidRPr="00283806">
        <w:rPr>
          <w:spacing w:val="40"/>
          <w:w w:val="105"/>
        </w:rPr>
        <w:t xml:space="preserve"> </w:t>
      </w:r>
      <w:r w:rsidRPr="00283806">
        <w:rPr>
          <w:w w:val="105"/>
        </w:rPr>
        <w:t>cylinders</w:t>
      </w:r>
      <w:r w:rsidRPr="00283806">
        <w:rPr>
          <w:spacing w:val="40"/>
          <w:w w:val="105"/>
        </w:rPr>
        <w:t xml:space="preserve"> </w:t>
      </w:r>
      <w:r w:rsidRPr="00283806">
        <w:rPr>
          <w:w w:val="105"/>
        </w:rPr>
        <w:t>contain</w:t>
      </w:r>
      <w:r w:rsidRPr="00283806">
        <w:rPr>
          <w:spacing w:val="40"/>
          <w:w w:val="105"/>
        </w:rPr>
        <w:t xml:space="preserve"> </w:t>
      </w:r>
      <w:r w:rsidRPr="00283806">
        <w:rPr>
          <w:w w:val="105"/>
        </w:rPr>
        <w:t>a</w:t>
      </w:r>
      <w:r w:rsidRPr="00283806">
        <w:rPr>
          <w:spacing w:val="40"/>
          <w:w w:val="105"/>
        </w:rPr>
        <w:t xml:space="preserve"> </w:t>
      </w:r>
      <w:r w:rsidRPr="00283806">
        <w:rPr>
          <w:w w:val="105"/>
        </w:rPr>
        <w:t>heel</w:t>
      </w:r>
      <w:r w:rsidRPr="00283806">
        <w:rPr>
          <w:spacing w:val="40"/>
          <w:w w:val="105"/>
        </w:rPr>
        <w:t xml:space="preserve"> </w:t>
      </w:r>
      <w:r w:rsidRPr="00283806">
        <w:rPr>
          <w:w w:val="105"/>
        </w:rPr>
        <w:t>of an HFC refrigerant that has flammability characteristics (</w:t>
      </w:r>
      <w:r w:rsidRPr="00283806">
        <w:rPr>
          <w:rFonts w:ascii="Book Antiqua"/>
          <w:i/>
          <w:w w:val="105"/>
        </w:rPr>
        <w:t xml:space="preserve">i.e., </w:t>
      </w:r>
      <w:r w:rsidRPr="00283806">
        <w:rPr>
          <w:w w:val="105"/>
        </w:rPr>
        <w:t>class 2 or class 2L), EPA is finalizing that final processors or wholesalers/distributors may remove these heels that would be considered ignitable spent refrigerant under 40 CFR part 266, subpart Q, as long as the recovered ignitable spent refrigerant is sent to an EPA-certified reclaimer</w:t>
      </w:r>
    </w:p>
    <w:p w14:paraId="67E3D7CD"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22" w:space="40"/>
            <w:col w:w="3485" w:space="39"/>
            <w:col w:w="3634"/>
          </w:cols>
        </w:sectPr>
      </w:pPr>
    </w:p>
    <w:p w14:paraId="2ADACF8E" w14:textId="77777777" w:rsidR="00D67C1E" w:rsidRPr="00283806" w:rsidRDefault="001265CA">
      <w:pPr>
        <w:pStyle w:val="BodyText"/>
        <w:spacing w:before="136" w:line="225" w:lineRule="auto"/>
        <w:ind w:right="137"/>
      </w:pPr>
      <w:r w:rsidRPr="00283806">
        <w:rPr>
          <w:w w:val="105"/>
        </w:rPr>
        <w:lastRenderedPageBreak/>
        <w:t>meeting the RCRA alternate standards, as described in section IV.H. The</w:t>
      </w:r>
      <w:r w:rsidRPr="00283806">
        <w:rPr>
          <w:spacing w:val="40"/>
          <w:w w:val="105"/>
        </w:rPr>
        <w:t xml:space="preserve"> </w:t>
      </w:r>
      <w:r w:rsidRPr="00283806">
        <w:rPr>
          <w:w w:val="105"/>
        </w:rPr>
        <w:t>Agency is also delaying the proposed compliance date from January 1, 2025, to January 1, 2028, to allow additional time for implementation (as described in</w:t>
      </w:r>
      <w:r w:rsidRPr="00283806">
        <w:rPr>
          <w:spacing w:val="4"/>
          <w:w w:val="105"/>
        </w:rPr>
        <w:t xml:space="preserve"> </w:t>
      </w:r>
      <w:r w:rsidRPr="00283806">
        <w:rPr>
          <w:w w:val="105"/>
        </w:rPr>
        <w:t>subsequent</w:t>
      </w:r>
      <w:r w:rsidRPr="00283806">
        <w:rPr>
          <w:spacing w:val="4"/>
          <w:w w:val="105"/>
        </w:rPr>
        <w:t xml:space="preserve"> </w:t>
      </w:r>
      <w:r w:rsidRPr="00283806">
        <w:rPr>
          <w:w w:val="105"/>
        </w:rPr>
        <w:t>responses</w:t>
      </w:r>
      <w:r w:rsidRPr="00283806">
        <w:rPr>
          <w:spacing w:val="4"/>
          <w:w w:val="105"/>
        </w:rPr>
        <w:t xml:space="preserve"> </w:t>
      </w:r>
      <w:r w:rsidRPr="00283806">
        <w:rPr>
          <w:w w:val="105"/>
        </w:rPr>
        <w:t>to</w:t>
      </w:r>
      <w:r w:rsidRPr="00283806">
        <w:rPr>
          <w:spacing w:val="5"/>
          <w:w w:val="105"/>
        </w:rPr>
        <w:t xml:space="preserve"> </w:t>
      </w:r>
      <w:r w:rsidRPr="00283806">
        <w:rPr>
          <w:spacing w:val="-2"/>
          <w:w w:val="105"/>
        </w:rPr>
        <w:t>comments).</w:t>
      </w:r>
    </w:p>
    <w:p w14:paraId="27594CA2" w14:textId="77777777" w:rsidR="00D67C1E" w:rsidRPr="00283806" w:rsidRDefault="001265CA">
      <w:pPr>
        <w:pStyle w:val="BodyText"/>
        <w:spacing w:line="178" w:lineRule="exact"/>
        <w:ind w:left="340"/>
      </w:pPr>
      <w:r w:rsidRPr="00283806">
        <w:rPr>
          <w:w w:val="105"/>
        </w:rPr>
        <w:t>Finally,</w:t>
      </w:r>
      <w:r w:rsidRPr="00283806">
        <w:rPr>
          <w:spacing w:val="25"/>
          <w:w w:val="105"/>
        </w:rPr>
        <w:t xml:space="preserve"> </w:t>
      </w:r>
      <w:r w:rsidRPr="00283806">
        <w:rPr>
          <w:w w:val="105"/>
        </w:rPr>
        <w:t>the</w:t>
      </w:r>
      <w:r w:rsidRPr="00283806">
        <w:rPr>
          <w:spacing w:val="25"/>
          <w:w w:val="105"/>
        </w:rPr>
        <w:t xml:space="preserve"> </w:t>
      </w:r>
      <w:r w:rsidRPr="00283806">
        <w:rPr>
          <w:w w:val="105"/>
        </w:rPr>
        <w:t>Agency</w:t>
      </w:r>
      <w:r w:rsidRPr="00283806">
        <w:rPr>
          <w:spacing w:val="25"/>
          <w:w w:val="105"/>
        </w:rPr>
        <w:t xml:space="preserve"> </w:t>
      </w:r>
      <w:r w:rsidRPr="00283806">
        <w:rPr>
          <w:w w:val="105"/>
        </w:rPr>
        <w:t>is</w:t>
      </w:r>
      <w:r w:rsidRPr="00283806">
        <w:rPr>
          <w:spacing w:val="25"/>
          <w:w w:val="105"/>
        </w:rPr>
        <w:t xml:space="preserve"> </w:t>
      </w:r>
      <w:r w:rsidRPr="00283806">
        <w:rPr>
          <w:w w:val="105"/>
        </w:rPr>
        <w:t>establishing</w:t>
      </w:r>
      <w:r w:rsidRPr="00283806">
        <w:rPr>
          <w:spacing w:val="25"/>
          <w:w w:val="105"/>
        </w:rPr>
        <w:t xml:space="preserve"> </w:t>
      </w:r>
      <w:r w:rsidRPr="00283806">
        <w:rPr>
          <w:spacing w:val="-5"/>
          <w:w w:val="105"/>
        </w:rPr>
        <w:t>an</w:t>
      </w:r>
    </w:p>
    <w:p w14:paraId="27DDB8B9" w14:textId="77777777" w:rsidR="00D67C1E" w:rsidRPr="00283806" w:rsidRDefault="001265CA">
      <w:pPr>
        <w:pStyle w:val="BodyText"/>
        <w:spacing w:before="4" w:line="225" w:lineRule="auto"/>
        <w:ind w:right="69"/>
      </w:pPr>
      <w:r w:rsidRPr="00283806">
        <w:rPr>
          <w:w w:val="105"/>
        </w:rPr>
        <w:t>alternate approach informed by comments received on the proposed</w:t>
      </w:r>
      <w:r w:rsidRPr="00283806">
        <w:rPr>
          <w:spacing w:val="80"/>
          <w:w w:val="105"/>
        </w:rPr>
        <w:t xml:space="preserve"> </w:t>
      </w:r>
      <w:r w:rsidRPr="00283806">
        <w:rPr>
          <w:w w:val="105"/>
        </w:rPr>
        <w:t>rule for appropriate levels of evacuation of the heel from disposable cylinders.</w:t>
      </w:r>
    </w:p>
    <w:p w14:paraId="00044AD5" w14:textId="77777777" w:rsidR="00D67C1E" w:rsidRPr="00283806" w:rsidRDefault="001265CA">
      <w:pPr>
        <w:pStyle w:val="BodyText"/>
        <w:spacing w:line="225" w:lineRule="auto"/>
        <w:ind w:right="35"/>
      </w:pPr>
      <w:r w:rsidRPr="00283806">
        <w:rPr>
          <w:w w:val="105"/>
        </w:rPr>
        <w:t>As</w:t>
      </w:r>
      <w:r w:rsidRPr="00283806">
        <w:rPr>
          <w:spacing w:val="40"/>
          <w:w w:val="105"/>
        </w:rPr>
        <w:t xml:space="preserve"> </w:t>
      </w:r>
      <w:r w:rsidRPr="00283806">
        <w:rPr>
          <w:w w:val="105"/>
        </w:rPr>
        <w:t>discussed</w:t>
      </w:r>
      <w:r w:rsidRPr="00283806">
        <w:rPr>
          <w:spacing w:val="40"/>
          <w:w w:val="105"/>
        </w:rPr>
        <w:t xml:space="preserve"> </w:t>
      </w:r>
      <w:r w:rsidRPr="00283806">
        <w:rPr>
          <w:w w:val="105"/>
        </w:rPr>
        <w:t>in</w:t>
      </w:r>
      <w:r w:rsidRPr="00283806">
        <w:rPr>
          <w:spacing w:val="40"/>
          <w:w w:val="105"/>
        </w:rPr>
        <w:t xml:space="preserve"> </w:t>
      </w:r>
      <w:r w:rsidRPr="00283806">
        <w:rPr>
          <w:w w:val="105"/>
        </w:rPr>
        <w:t>response</w:t>
      </w:r>
      <w:r w:rsidRPr="00283806">
        <w:rPr>
          <w:spacing w:val="40"/>
          <w:w w:val="105"/>
        </w:rPr>
        <w:t xml:space="preserve"> </w:t>
      </w:r>
      <w:r w:rsidRPr="00283806">
        <w:rPr>
          <w:w w:val="105"/>
        </w:rPr>
        <w:t>to</w:t>
      </w:r>
      <w:r w:rsidRPr="00283806">
        <w:rPr>
          <w:spacing w:val="40"/>
          <w:w w:val="105"/>
        </w:rPr>
        <w:t xml:space="preserve"> </w:t>
      </w:r>
      <w:r w:rsidRPr="00283806">
        <w:rPr>
          <w:w w:val="105"/>
        </w:rPr>
        <w:t>comments in this section, EPA received comments suggesting an evacuation level of 15 inches of mercury (in-Hg) for disposable cylinders. After consideration of the comments, EPA is establishing an alternate compliance method where a certified technician evacuates a disposable cylinder to a level of 15 in-</w:t>
      </w:r>
      <w:r w:rsidRPr="00283806">
        <w:rPr>
          <w:spacing w:val="80"/>
          <w:w w:val="105"/>
        </w:rPr>
        <w:t xml:space="preserve"> </w:t>
      </w:r>
      <w:r w:rsidRPr="00283806">
        <w:rPr>
          <w:w w:val="105"/>
        </w:rPr>
        <w:t>Hg (relative to a standard atmospheric pressure of 29.9 in-Hg), certifies that</w:t>
      </w:r>
      <w:r w:rsidRPr="00283806">
        <w:rPr>
          <w:spacing w:val="40"/>
          <w:w w:val="105"/>
        </w:rPr>
        <w:t xml:space="preserve"> </w:t>
      </w:r>
      <w:r w:rsidRPr="00283806">
        <w:rPr>
          <w:w w:val="105"/>
        </w:rPr>
        <w:t>they have done so, and provides a certification statement accompanying</w:t>
      </w:r>
      <w:r w:rsidRPr="00283806">
        <w:rPr>
          <w:spacing w:val="80"/>
          <w:w w:val="105"/>
        </w:rPr>
        <w:t xml:space="preserve"> </w:t>
      </w:r>
      <w:r w:rsidRPr="00283806">
        <w:rPr>
          <w:w w:val="105"/>
        </w:rPr>
        <w:t>the evacuated disposable cylinder to the final processor. If these criteria are met,</w:t>
      </w:r>
      <w:r w:rsidRPr="00283806">
        <w:rPr>
          <w:spacing w:val="80"/>
          <w:w w:val="105"/>
        </w:rPr>
        <w:t xml:space="preserve"> </w:t>
      </w:r>
      <w:r w:rsidRPr="00283806">
        <w:rPr>
          <w:w w:val="105"/>
        </w:rPr>
        <w:t>a certified technician may discard the cylinder to a final processor, and the cylinder would not need further processing or be sent to a reclaimer or fire suppressant recycler.</w:t>
      </w:r>
      <w:r w:rsidRPr="00283806">
        <w:rPr>
          <w:w w:val="105"/>
          <w:position w:val="5"/>
          <w:sz w:val="11"/>
        </w:rPr>
        <w:t>134</w:t>
      </w:r>
      <w:r w:rsidRPr="00283806">
        <w:rPr>
          <w:spacing w:val="40"/>
          <w:w w:val="105"/>
          <w:position w:val="5"/>
          <w:sz w:val="11"/>
        </w:rPr>
        <w:t xml:space="preserve"> </w:t>
      </w:r>
      <w:r w:rsidRPr="00283806">
        <w:rPr>
          <w:w w:val="105"/>
        </w:rPr>
        <w:t>In establishing this alternate compliance method, the Agency does not intend for final processors to accept certification statements from a certified technician if the final processor knows or has reason to know that a certification statement contains falsified information (</w:t>
      </w:r>
      <w:r w:rsidRPr="00283806">
        <w:rPr>
          <w:rFonts w:ascii="Book Antiqua" w:hAnsi="Book Antiqua"/>
          <w:i/>
          <w:w w:val="105"/>
        </w:rPr>
        <w:t xml:space="preserve">e.g., </w:t>
      </w:r>
      <w:r w:rsidRPr="00283806">
        <w:rPr>
          <w:w w:val="105"/>
        </w:rPr>
        <w:t>if there are clear indications that the heels within a disposable cylinder have not been evacuated properly, such as punctures in the cylinder that would suggest improper venting of the cylinder’s</w:t>
      </w:r>
      <w:r w:rsidRPr="00283806">
        <w:rPr>
          <w:spacing w:val="40"/>
          <w:w w:val="105"/>
        </w:rPr>
        <w:t xml:space="preserve"> </w:t>
      </w:r>
      <w:r w:rsidRPr="00283806">
        <w:rPr>
          <w:w w:val="105"/>
        </w:rPr>
        <w:t>heel),</w:t>
      </w:r>
      <w:r w:rsidRPr="00283806">
        <w:rPr>
          <w:spacing w:val="40"/>
          <w:w w:val="105"/>
        </w:rPr>
        <w:t xml:space="preserve"> </w:t>
      </w:r>
      <w:r w:rsidRPr="00283806">
        <w:rPr>
          <w:w w:val="105"/>
        </w:rPr>
        <w:t>it</w:t>
      </w:r>
      <w:r w:rsidRPr="00283806">
        <w:rPr>
          <w:spacing w:val="40"/>
          <w:w w:val="105"/>
        </w:rPr>
        <w:t xml:space="preserve"> </w:t>
      </w:r>
      <w:r w:rsidRPr="00283806">
        <w:rPr>
          <w:w w:val="105"/>
        </w:rPr>
        <w:t>would</w:t>
      </w:r>
      <w:r w:rsidRPr="00283806">
        <w:rPr>
          <w:spacing w:val="40"/>
          <w:w w:val="105"/>
        </w:rPr>
        <w:t xml:space="preserve"> </w:t>
      </w:r>
      <w:r w:rsidRPr="00283806">
        <w:rPr>
          <w:w w:val="105"/>
        </w:rPr>
        <w:t>be inconsistent with the intent of this provision for the final processor to</w:t>
      </w:r>
      <w:r w:rsidRPr="00283806">
        <w:rPr>
          <w:spacing w:val="40"/>
          <w:w w:val="105"/>
        </w:rPr>
        <w:t xml:space="preserve"> </w:t>
      </w:r>
      <w:r w:rsidRPr="00283806">
        <w:rPr>
          <w:w w:val="105"/>
        </w:rPr>
        <w:t>accept those cylinders and the accompanying certification. The certification statement must be signed</w:t>
      </w:r>
      <w:r w:rsidRPr="00283806">
        <w:rPr>
          <w:spacing w:val="80"/>
          <w:w w:val="105"/>
        </w:rPr>
        <w:t xml:space="preserve"> </w:t>
      </w:r>
      <w:r w:rsidRPr="00283806">
        <w:rPr>
          <w:w w:val="105"/>
        </w:rPr>
        <w:t>by the certified technician who removed the</w:t>
      </w:r>
      <w:r w:rsidRPr="00283806">
        <w:rPr>
          <w:spacing w:val="40"/>
          <w:w w:val="105"/>
        </w:rPr>
        <w:t xml:space="preserve"> </w:t>
      </w:r>
      <w:r w:rsidRPr="00283806">
        <w:rPr>
          <w:w w:val="105"/>
        </w:rPr>
        <w:t>heel</w:t>
      </w:r>
      <w:r w:rsidRPr="00283806">
        <w:rPr>
          <w:spacing w:val="40"/>
          <w:w w:val="105"/>
        </w:rPr>
        <w:t xml:space="preserve"> </w:t>
      </w:r>
      <w:r w:rsidRPr="00283806">
        <w:rPr>
          <w:w w:val="105"/>
        </w:rPr>
        <w:t>and</w:t>
      </w:r>
      <w:r w:rsidRPr="00283806">
        <w:rPr>
          <w:spacing w:val="40"/>
          <w:w w:val="105"/>
        </w:rPr>
        <w:t xml:space="preserve"> </w:t>
      </w:r>
      <w:proofErr w:type="gramStart"/>
      <w:r w:rsidRPr="00283806">
        <w:rPr>
          <w:w w:val="105"/>
        </w:rPr>
        <w:t>accompany</w:t>
      </w:r>
      <w:proofErr w:type="gramEnd"/>
      <w:r w:rsidRPr="00283806">
        <w:rPr>
          <w:spacing w:val="40"/>
          <w:w w:val="105"/>
        </w:rPr>
        <w:t xml:space="preserve"> </w:t>
      </w:r>
      <w:r w:rsidRPr="00283806">
        <w:rPr>
          <w:w w:val="105"/>
        </w:rPr>
        <w:t>each disposable cylinder discarded in this</w:t>
      </w:r>
      <w:r w:rsidRPr="00283806">
        <w:rPr>
          <w:spacing w:val="40"/>
          <w:w w:val="105"/>
        </w:rPr>
        <w:t xml:space="preserve"> </w:t>
      </w:r>
      <w:r w:rsidRPr="00283806">
        <w:rPr>
          <w:w w:val="105"/>
        </w:rPr>
        <w:t>way. If all the disposable cylinders in a shipment were evacuated by the same technician,</w:t>
      </w:r>
      <w:r w:rsidRPr="00283806">
        <w:rPr>
          <w:spacing w:val="40"/>
          <w:w w:val="105"/>
        </w:rPr>
        <w:t xml:space="preserve"> </w:t>
      </w:r>
      <w:r w:rsidRPr="00283806">
        <w:rPr>
          <w:w w:val="105"/>
        </w:rPr>
        <w:t>the</w:t>
      </w:r>
      <w:r w:rsidRPr="00283806">
        <w:rPr>
          <w:spacing w:val="40"/>
          <w:w w:val="105"/>
        </w:rPr>
        <w:t xml:space="preserve"> </w:t>
      </w:r>
      <w:r w:rsidRPr="00283806">
        <w:rPr>
          <w:w w:val="105"/>
        </w:rPr>
        <w:t>technician</w:t>
      </w:r>
      <w:r w:rsidRPr="00283806">
        <w:rPr>
          <w:spacing w:val="40"/>
          <w:w w:val="105"/>
        </w:rPr>
        <w:t xml:space="preserve"> </w:t>
      </w:r>
      <w:r w:rsidRPr="00283806">
        <w:rPr>
          <w:w w:val="105"/>
        </w:rPr>
        <w:t>may</w:t>
      </w:r>
      <w:r w:rsidRPr="00283806">
        <w:rPr>
          <w:spacing w:val="40"/>
          <w:w w:val="105"/>
        </w:rPr>
        <w:t xml:space="preserve"> </w:t>
      </w:r>
      <w:r w:rsidRPr="00283806">
        <w:rPr>
          <w:w w:val="105"/>
        </w:rPr>
        <w:t>provide a single certification that covers each of the cylinders in the shipment. The</w:t>
      </w:r>
    </w:p>
    <w:p w14:paraId="3FB774A4" w14:textId="77777777" w:rsidR="00D67C1E" w:rsidRPr="00283806" w:rsidRDefault="001265CA">
      <w:pPr>
        <w:pStyle w:val="BodyText"/>
        <w:spacing w:before="1"/>
        <w:ind w:left="0"/>
        <w:rPr>
          <w:sz w:val="12"/>
        </w:rPr>
      </w:pPr>
      <w:r w:rsidRPr="00283806">
        <w:rPr>
          <w:noProof/>
        </w:rPr>
        <mc:AlternateContent>
          <mc:Choice Requires="wps">
            <w:drawing>
              <wp:anchor distT="0" distB="0" distL="0" distR="0" simplePos="0" relativeHeight="251670528" behindDoc="1" locked="0" layoutInCell="1" allowOverlap="1" wp14:anchorId="4AAF6AC3" wp14:editId="1B51D071">
                <wp:simplePos x="0" y="0"/>
                <wp:positionH relativeFrom="page">
                  <wp:posOffset>571500</wp:posOffset>
                </wp:positionH>
                <wp:positionV relativeFrom="paragraph">
                  <wp:posOffset>105780</wp:posOffset>
                </wp:positionV>
                <wp:extent cx="635000" cy="1270"/>
                <wp:effectExtent l="0" t="0" r="0" b="0"/>
                <wp:wrapTopAndBottom/>
                <wp:docPr id="102" name="Graphic 1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BE40BA1" id="Graphic 102" o:spid="_x0000_s1026" alt="&quot;&quot;" style="position:absolute;margin-left:45pt;margin-top:8.35pt;width:50pt;height:.1pt;z-index:-251645952;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" path="m,l635000,e" filled="f" strokeweight=".5pt">
                <v:path arrowok="t"/>
                <w10:wrap type="topAndBottom" anchorx="page"/>
              </v:shape>
            </w:pict>
          </mc:Fallback>
        </mc:AlternateContent>
      </w:r>
    </w:p>
    <w:p w14:paraId="7C02984F" w14:textId="77777777" w:rsidR="00D67C1E" w:rsidRPr="00283806" w:rsidRDefault="001265CA">
      <w:pPr>
        <w:spacing w:before="40" w:line="232" w:lineRule="auto"/>
        <w:ind w:left="159" w:right="38" w:firstLine="140"/>
        <w:rPr>
          <w:sz w:val="14"/>
        </w:rPr>
      </w:pPr>
      <w:r w:rsidRPr="00283806">
        <w:rPr>
          <w:w w:val="105"/>
          <w:position w:val="4"/>
          <w:sz w:val="9"/>
        </w:rPr>
        <w:t xml:space="preserve">134 </w:t>
      </w:r>
      <w:r w:rsidRPr="00283806">
        <w:rPr>
          <w:w w:val="105"/>
          <w:sz w:val="14"/>
        </w:rPr>
        <w:t>EPA clarifies that under 40 CFR 261.7(b)(2), a</w:t>
      </w:r>
      <w:r w:rsidRPr="00283806">
        <w:rPr>
          <w:spacing w:val="40"/>
          <w:w w:val="105"/>
          <w:sz w:val="14"/>
        </w:rPr>
        <w:t xml:space="preserve"> </w:t>
      </w:r>
      <w:r w:rsidRPr="00283806">
        <w:rPr>
          <w:w w:val="105"/>
          <w:sz w:val="14"/>
        </w:rPr>
        <w:t>container that has held a hazardous waste that is</w:t>
      </w:r>
    </w:p>
    <w:p w14:paraId="0A9A0983" w14:textId="77777777" w:rsidR="00D67C1E" w:rsidRPr="00283806" w:rsidRDefault="001265CA">
      <w:pPr>
        <w:spacing w:before="1" w:line="232" w:lineRule="auto"/>
        <w:ind w:left="159" w:right="58"/>
        <w:rPr>
          <w:sz w:val="14"/>
        </w:rPr>
      </w:pPr>
      <w:proofErr w:type="gramStart"/>
      <w:r w:rsidRPr="00283806">
        <w:rPr>
          <w:w w:val="105"/>
          <w:sz w:val="14"/>
        </w:rPr>
        <w:t>a compressed</w:t>
      </w:r>
      <w:proofErr w:type="gramEnd"/>
      <w:r w:rsidRPr="00283806">
        <w:rPr>
          <w:w w:val="105"/>
          <w:sz w:val="14"/>
        </w:rPr>
        <w:t xml:space="preserve"> gas is empty when the pressure in the</w:t>
      </w:r>
      <w:r w:rsidRPr="00283806">
        <w:rPr>
          <w:spacing w:val="40"/>
          <w:w w:val="105"/>
          <w:sz w:val="14"/>
        </w:rPr>
        <w:t xml:space="preserve"> </w:t>
      </w:r>
      <w:r w:rsidRPr="00283806">
        <w:rPr>
          <w:w w:val="105"/>
          <w:sz w:val="14"/>
        </w:rPr>
        <w:t>container approaches atmospheric. Where a</w:t>
      </w:r>
      <w:r w:rsidRPr="00283806">
        <w:rPr>
          <w:spacing w:val="40"/>
          <w:w w:val="105"/>
          <w:sz w:val="14"/>
        </w:rPr>
        <w:t xml:space="preserve"> </w:t>
      </w:r>
      <w:r w:rsidRPr="00283806">
        <w:rPr>
          <w:w w:val="105"/>
          <w:sz w:val="14"/>
        </w:rPr>
        <w:t>disposable cylinder that contained a refrigerant</w:t>
      </w:r>
      <w:r w:rsidRPr="00283806">
        <w:rPr>
          <w:spacing w:val="80"/>
          <w:w w:val="105"/>
          <w:sz w:val="14"/>
        </w:rPr>
        <w:t xml:space="preserve"> </w:t>
      </w:r>
      <w:r w:rsidRPr="00283806">
        <w:rPr>
          <w:w w:val="105"/>
          <w:sz w:val="14"/>
        </w:rPr>
        <w:t>with mild flammability characteristics (</w:t>
      </w:r>
      <w:r w:rsidRPr="00283806">
        <w:rPr>
          <w:rFonts w:ascii="Book Antiqua" w:hAnsi="Book Antiqua"/>
          <w:i/>
          <w:w w:val="105"/>
          <w:sz w:val="14"/>
        </w:rPr>
        <w:t xml:space="preserve">e.g., </w:t>
      </w:r>
      <w:r w:rsidRPr="00283806">
        <w:rPr>
          <w:w w:val="105"/>
          <w:sz w:val="14"/>
        </w:rPr>
        <w:t>class 2</w:t>
      </w:r>
      <w:r w:rsidRPr="00283806">
        <w:rPr>
          <w:spacing w:val="40"/>
          <w:w w:val="105"/>
          <w:sz w:val="14"/>
        </w:rPr>
        <w:t xml:space="preserve"> </w:t>
      </w:r>
      <w:r w:rsidRPr="00283806">
        <w:rPr>
          <w:w w:val="105"/>
          <w:sz w:val="14"/>
        </w:rPr>
        <w:t>or 2L) is being discarded using the alternate</w:t>
      </w:r>
      <w:r w:rsidRPr="00283806">
        <w:rPr>
          <w:spacing w:val="40"/>
          <w:w w:val="105"/>
          <w:sz w:val="14"/>
        </w:rPr>
        <w:t xml:space="preserve"> </w:t>
      </w:r>
      <w:r w:rsidRPr="00283806">
        <w:rPr>
          <w:w w:val="105"/>
          <w:sz w:val="14"/>
        </w:rPr>
        <w:t>compliance method, evacuating to a vacuum of 15-</w:t>
      </w:r>
      <w:r w:rsidRPr="00283806">
        <w:rPr>
          <w:spacing w:val="80"/>
          <w:w w:val="105"/>
          <w:sz w:val="14"/>
        </w:rPr>
        <w:t xml:space="preserve"> </w:t>
      </w:r>
      <w:r w:rsidRPr="00283806">
        <w:rPr>
          <w:w w:val="105"/>
          <w:sz w:val="14"/>
        </w:rPr>
        <w:t>in Hg would also meet the requirements for an</w:t>
      </w:r>
      <w:r w:rsidRPr="00283806">
        <w:rPr>
          <w:spacing w:val="40"/>
          <w:w w:val="105"/>
          <w:sz w:val="14"/>
        </w:rPr>
        <w:t xml:space="preserve"> </w:t>
      </w:r>
      <w:r w:rsidRPr="00283806">
        <w:rPr>
          <w:w w:val="105"/>
          <w:sz w:val="14"/>
        </w:rPr>
        <w:t>‘‘empty container’’ under 40 CFR 261.7(b)(2), since</w:t>
      </w:r>
      <w:r w:rsidRPr="00283806">
        <w:rPr>
          <w:spacing w:val="40"/>
          <w:w w:val="105"/>
          <w:sz w:val="14"/>
        </w:rPr>
        <w:t xml:space="preserve"> </w:t>
      </w:r>
      <w:r w:rsidRPr="00283806">
        <w:rPr>
          <w:w w:val="105"/>
          <w:sz w:val="14"/>
        </w:rPr>
        <w:t>the vacuum of 15 in-Hg would be an evacuation</w:t>
      </w:r>
      <w:r w:rsidRPr="00283806">
        <w:rPr>
          <w:spacing w:val="80"/>
          <w:w w:val="105"/>
          <w:sz w:val="14"/>
        </w:rPr>
        <w:t xml:space="preserve"> </w:t>
      </w:r>
      <w:r w:rsidRPr="00283806">
        <w:rPr>
          <w:w w:val="105"/>
          <w:sz w:val="14"/>
        </w:rPr>
        <w:t>level beyond atmospheric pressure.</w:t>
      </w:r>
    </w:p>
    <w:p w14:paraId="526B8EFA" w14:textId="77777777" w:rsidR="00D67C1E" w:rsidRPr="00283806" w:rsidRDefault="001265CA">
      <w:pPr>
        <w:pStyle w:val="BodyText"/>
        <w:spacing w:before="136" w:line="225" w:lineRule="auto"/>
        <w:ind w:left="154" w:right="85"/>
      </w:pPr>
      <w:r w:rsidRPr="00283806">
        <w:br w:type="column"/>
      </w:r>
      <w:r w:rsidRPr="00283806">
        <w:rPr>
          <w:w w:val="105"/>
        </w:rPr>
        <w:t xml:space="preserve">certification must include the statement and information as provided in 40 CFR 84.116(e). EPA is also finalizing that a final processor who receives a disposable cylinder being discarded in this way must maintain a record of the signed certification statement for three </w:t>
      </w:r>
      <w:r w:rsidRPr="00283806">
        <w:rPr>
          <w:spacing w:val="-2"/>
          <w:w w:val="105"/>
        </w:rPr>
        <w:t>years.</w:t>
      </w:r>
    </w:p>
    <w:p w14:paraId="0358E2FE" w14:textId="77777777" w:rsidR="00D67C1E" w:rsidRPr="00283806" w:rsidRDefault="001265CA">
      <w:pPr>
        <w:pStyle w:val="BodyText"/>
        <w:spacing w:line="213" w:lineRule="auto"/>
        <w:ind w:left="154" w:right="237" w:firstLine="180"/>
      </w:pPr>
      <w:r w:rsidRPr="00283806">
        <w:rPr>
          <w:rFonts w:ascii="Book Antiqua"/>
          <w:i/>
          <w:w w:val="105"/>
        </w:rPr>
        <w:t xml:space="preserve">Comment: </w:t>
      </w:r>
      <w:r w:rsidRPr="00283806">
        <w:rPr>
          <w:w w:val="105"/>
        </w:rPr>
        <w:t>Many commenters generally supported the proposed</w:t>
      </w:r>
    </w:p>
    <w:p w14:paraId="0408D968" w14:textId="77777777" w:rsidR="00D67C1E" w:rsidRPr="00283806" w:rsidRDefault="001265CA">
      <w:pPr>
        <w:pStyle w:val="BodyText"/>
        <w:spacing w:line="225" w:lineRule="auto"/>
        <w:ind w:left="154" w:right="42"/>
      </w:pPr>
      <w:r w:rsidRPr="00283806">
        <w:rPr>
          <w:w w:val="105"/>
        </w:rPr>
        <w:t>requirements to have disposable cylinders sent to certified reclaimers or fire suppressant recyclers for removal of the remaining heel. Some commenters stated that the requirements would support the goals of subsection (h)</w:t>
      </w:r>
      <w:r w:rsidRPr="00283806">
        <w:rPr>
          <w:spacing w:val="40"/>
          <w:w w:val="105"/>
        </w:rPr>
        <w:t xml:space="preserve"> </w:t>
      </w:r>
      <w:r w:rsidRPr="00283806">
        <w:rPr>
          <w:w w:val="105"/>
        </w:rPr>
        <w:t xml:space="preserve">aimed at minimizing releases and maximizing reclamation. Many other commenters opposed the proposed requirements with a few commenters requesting that EPA eliminate the requirements from the final rule </w:t>
      </w:r>
      <w:r w:rsidRPr="00283806">
        <w:rPr>
          <w:spacing w:val="-2"/>
          <w:w w:val="105"/>
        </w:rPr>
        <w:t>altogether.</w:t>
      </w:r>
    </w:p>
    <w:p w14:paraId="628927EC" w14:textId="77777777" w:rsidR="00D67C1E" w:rsidRPr="00283806" w:rsidRDefault="001265CA">
      <w:pPr>
        <w:pStyle w:val="BodyText"/>
        <w:spacing w:line="213" w:lineRule="auto"/>
        <w:ind w:left="154" w:right="56" w:firstLine="180"/>
      </w:pPr>
      <w:r w:rsidRPr="00283806">
        <w:rPr>
          <w:rFonts w:ascii="Book Antiqua"/>
          <w:i/>
          <w:w w:val="105"/>
        </w:rPr>
        <w:t xml:space="preserve">Response: </w:t>
      </w:r>
      <w:r w:rsidRPr="00283806">
        <w:rPr>
          <w:w w:val="105"/>
        </w:rPr>
        <w:t>EPA acknowledges the comments in support of these</w:t>
      </w:r>
    </w:p>
    <w:p w14:paraId="42CD6AF7" w14:textId="77777777" w:rsidR="00D67C1E" w:rsidRPr="00283806" w:rsidRDefault="001265CA">
      <w:pPr>
        <w:pStyle w:val="BodyText"/>
        <w:spacing w:line="225" w:lineRule="auto"/>
        <w:ind w:left="154" w:right="36"/>
      </w:pPr>
      <w:r w:rsidRPr="00283806">
        <w:rPr>
          <w:w w:val="105"/>
        </w:rPr>
        <w:t>provisions</w:t>
      </w:r>
      <w:r w:rsidRPr="00283806">
        <w:rPr>
          <w:spacing w:val="40"/>
          <w:w w:val="105"/>
        </w:rPr>
        <w:t xml:space="preserve"> </w:t>
      </w:r>
      <w:r w:rsidRPr="00283806">
        <w:rPr>
          <w:w w:val="105"/>
        </w:rPr>
        <w:t>and</w:t>
      </w:r>
      <w:r w:rsidRPr="00283806">
        <w:rPr>
          <w:spacing w:val="40"/>
          <w:w w:val="105"/>
        </w:rPr>
        <w:t xml:space="preserve"> </w:t>
      </w:r>
      <w:r w:rsidRPr="00283806">
        <w:rPr>
          <w:w w:val="105"/>
        </w:rPr>
        <w:t>responds</w:t>
      </w:r>
      <w:r w:rsidRPr="00283806">
        <w:rPr>
          <w:spacing w:val="40"/>
          <w:w w:val="105"/>
        </w:rPr>
        <w:t xml:space="preserve"> </w:t>
      </w:r>
      <w:r w:rsidRPr="00283806">
        <w:rPr>
          <w:w w:val="105"/>
        </w:rPr>
        <w:t>that</w:t>
      </w:r>
      <w:r w:rsidRPr="00283806">
        <w:rPr>
          <w:spacing w:val="40"/>
          <w:w w:val="105"/>
        </w:rPr>
        <w:t xml:space="preserve"> </w:t>
      </w:r>
      <w:r w:rsidRPr="00283806">
        <w:rPr>
          <w:w w:val="105"/>
        </w:rPr>
        <w:t xml:space="preserve">the Agency is finalizing these requirements with additional </w:t>
      </w:r>
      <w:proofErr w:type="gramStart"/>
      <w:r w:rsidRPr="00283806">
        <w:rPr>
          <w:w w:val="105"/>
        </w:rPr>
        <w:t>flexibilities</w:t>
      </w:r>
      <w:proofErr w:type="gramEnd"/>
      <w:r w:rsidRPr="00283806">
        <w:rPr>
          <w:w w:val="105"/>
        </w:rPr>
        <w:t xml:space="preserve"> and a later compliance date to ensure effective and efficient implementation. EPA agrees</w:t>
      </w:r>
      <w:r w:rsidRPr="00283806">
        <w:rPr>
          <w:spacing w:val="40"/>
          <w:w w:val="105"/>
        </w:rPr>
        <w:t xml:space="preserve"> </w:t>
      </w:r>
      <w:r w:rsidRPr="00283806">
        <w:rPr>
          <w:w w:val="105"/>
        </w:rPr>
        <w:t>that these requirements are important for meeting the purposes identified in subsection (h) of the AIM Act and promote increased opportunities for reclamation. As discussed in the proposed rule, heels from used disposable cylinders provide an important source of material that can bolster the amount of refrigerant that</w:t>
      </w:r>
      <w:r w:rsidRPr="00283806">
        <w:rPr>
          <w:spacing w:val="40"/>
          <w:w w:val="105"/>
        </w:rPr>
        <w:t xml:space="preserve"> </w:t>
      </w:r>
      <w:r w:rsidRPr="00283806">
        <w:rPr>
          <w:w w:val="105"/>
        </w:rPr>
        <w:t xml:space="preserve">can be reclaimed. HFC releases of heels are far more likely to occur from disposable cylinders than from other types of cylinders, and those </w:t>
      </w:r>
      <w:proofErr w:type="gramStart"/>
      <w:r w:rsidRPr="00283806">
        <w:rPr>
          <w:w w:val="105"/>
        </w:rPr>
        <w:t>amounts of HFCs</w:t>
      </w:r>
      <w:proofErr w:type="gramEnd"/>
      <w:r w:rsidRPr="00283806">
        <w:rPr>
          <w:w w:val="105"/>
        </w:rPr>
        <w:t xml:space="preserve"> released are not available for reclamation. Comments in opposition </w:t>
      </w:r>
      <w:proofErr w:type="gramStart"/>
      <w:r w:rsidRPr="00283806">
        <w:rPr>
          <w:w w:val="105"/>
        </w:rPr>
        <w:t>of</w:t>
      </w:r>
      <w:proofErr w:type="gramEnd"/>
      <w:r w:rsidRPr="00283806">
        <w:rPr>
          <w:w w:val="105"/>
        </w:rPr>
        <w:t xml:space="preserve"> the</w:t>
      </w:r>
      <w:r w:rsidRPr="00283806">
        <w:rPr>
          <w:spacing w:val="-7"/>
          <w:w w:val="105"/>
        </w:rPr>
        <w:t xml:space="preserve"> </w:t>
      </w:r>
      <w:r w:rsidRPr="00283806">
        <w:rPr>
          <w:w w:val="105"/>
        </w:rPr>
        <w:t>requirements</w:t>
      </w:r>
      <w:r w:rsidRPr="00283806">
        <w:rPr>
          <w:spacing w:val="-7"/>
          <w:w w:val="105"/>
        </w:rPr>
        <w:t xml:space="preserve"> </w:t>
      </w:r>
      <w:r w:rsidRPr="00283806">
        <w:rPr>
          <w:w w:val="105"/>
        </w:rPr>
        <w:t>that</w:t>
      </w:r>
      <w:r w:rsidRPr="00283806">
        <w:rPr>
          <w:spacing w:val="-7"/>
          <w:w w:val="105"/>
        </w:rPr>
        <w:t xml:space="preserve"> </w:t>
      </w:r>
      <w:r w:rsidRPr="00283806">
        <w:rPr>
          <w:w w:val="105"/>
        </w:rPr>
        <w:t>were</w:t>
      </w:r>
      <w:r w:rsidRPr="00283806">
        <w:rPr>
          <w:spacing w:val="-7"/>
          <w:w w:val="105"/>
        </w:rPr>
        <w:t xml:space="preserve"> </w:t>
      </w:r>
      <w:r w:rsidRPr="00283806">
        <w:rPr>
          <w:w w:val="105"/>
        </w:rPr>
        <w:t>proposed</w:t>
      </w:r>
      <w:r w:rsidRPr="00283806">
        <w:rPr>
          <w:spacing w:val="-7"/>
          <w:w w:val="105"/>
        </w:rPr>
        <w:t xml:space="preserve"> </w:t>
      </w:r>
      <w:r w:rsidRPr="00283806">
        <w:rPr>
          <w:w w:val="105"/>
        </w:rPr>
        <w:t>are discussed in more detail in this section.</w:t>
      </w:r>
    </w:p>
    <w:p w14:paraId="5D8D6497" w14:textId="77777777" w:rsidR="00D67C1E" w:rsidRPr="00283806" w:rsidRDefault="001265CA">
      <w:pPr>
        <w:spacing w:line="177" w:lineRule="exact"/>
        <w:ind w:left="334"/>
        <w:rPr>
          <w:sz w:val="18"/>
        </w:rPr>
      </w:pPr>
      <w:r w:rsidRPr="00283806">
        <w:rPr>
          <w:rFonts w:ascii="Book Antiqua"/>
          <w:i/>
          <w:w w:val="105"/>
          <w:sz w:val="18"/>
        </w:rPr>
        <w:t>Comment:</w:t>
      </w:r>
      <w:r w:rsidRPr="00283806">
        <w:rPr>
          <w:rFonts w:ascii="Book Antiqua"/>
          <w:i/>
          <w:spacing w:val="34"/>
          <w:w w:val="105"/>
          <w:sz w:val="18"/>
        </w:rPr>
        <w:t xml:space="preserve"> </w:t>
      </w:r>
      <w:r w:rsidRPr="00283806">
        <w:rPr>
          <w:w w:val="105"/>
          <w:sz w:val="18"/>
        </w:rPr>
        <w:t>Some</w:t>
      </w:r>
      <w:r w:rsidRPr="00283806">
        <w:rPr>
          <w:spacing w:val="40"/>
          <w:w w:val="105"/>
          <w:sz w:val="18"/>
        </w:rPr>
        <w:t xml:space="preserve"> </w:t>
      </w:r>
      <w:proofErr w:type="gramStart"/>
      <w:r w:rsidRPr="00283806">
        <w:rPr>
          <w:spacing w:val="-2"/>
          <w:w w:val="105"/>
          <w:sz w:val="18"/>
        </w:rPr>
        <w:t>commenters</w:t>
      </w:r>
      <w:proofErr w:type="gramEnd"/>
    </w:p>
    <w:p w14:paraId="1458CD0D" w14:textId="77777777" w:rsidR="00D67C1E" w:rsidRPr="00283806" w:rsidRDefault="001265CA">
      <w:pPr>
        <w:pStyle w:val="BodyText"/>
        <w:spacing w:line="225" w:lineRule="auto"/>
        <w:ind w:left="154" w:right="26"/>
      </w:pPr>
      <w:r w:rsidRPr="00283806">
        <w:rPr>
          <w:w w:val="105"/>
        </w:rPr>
        <w:t>questioned EPA’s authority to require that used disposable cylinders be sent to reclaimers or fire suppressant recyclers. One commenter stated that the proposed provision was outside the scope of the authority of subsection (h). The commenter opposed EPA’s</w:t>
      </w:r>
      <w:r w:rsidRPr="00283806">
        <w:rPr>
          <w:spacing w:val="80"/>
          <w:w w:val="105"/>
        </w:rPr>
        <w:t xml:space="preserve"> </w:t>
      </w:r>
      <w:r w:rsidRPr="00283806">
        <w:rPr>
          <w:w w:val="105"/>
        </w:rPr>
        <w:t>interpretation of ‘‘any practice, process, or activity regarding the servicing,</w:t>
      </w:r>
      <w:r w:rsidRPr="00283806">
        <w:rPr>
          <w:spacing w:val="80"/>
          <w:w w:val="105"/>
        </w:rPr>
        <w:t xml:space="preserve"> </w:t>
      </w:r>
      <w:r w:rsidRPr="00283806">
        <w:rPr>
          <w:w w:val="105"/>
        </w:rPr>
        <w:t>repair, disposal, or installation of equipment .</w:t>
      </w:r>
      <w:r w:rsidRPr="00283806">
        <w:rPr>
          <w:spacing w:val="40"/>
          <w:w w:val="105"/>
        </w:rPr>
        <w:t xml:space="preserve"> </w:t>
      </w:r>
      <w:r w:rsidRPr="00283806">
        <w:rPr>
          <w:w w:val="105"/>
        </w:rPr>
        <w:t>.</w:t>
      </w:r>
      <w:r w:rsidRPr="00283806">
        <w:rPr>
          <w:spacing w:val="40"/>
          <w:w w:val="105"/>
        </w:rPr>
        <w:t xml:space="preserve"> </w:t>
      </w:r>
      <w:r w:rsidRPr="00283806">
        <w:rPr>
          <w:w w:val="105"/>
        </w:rPr>
        <w:t>.’’ to cover practices, processes, and activities that may occur before or after the servicing, repair, disposal, or installation of equipment, stating that the interpretation took a limited grant of authority in subsection</w:t>
      </w:r>
    </w:p>
    <w:p w14:paraId="2DBF172F" w14:textId="77777777" w:rsidR="00D67C1E" w:rsidRPr="00283806" w:rsidRDefault="001265CA">
      <w:pPr>
        <w:pStyle w:val="BodyText"/>
        <w:spacing w:line="228" w:lineRule="auto"/>
        <w:ind w:left="154" w:right="56"/>
      </w:pPr>
      <w:r w:rsidRPr="00283806">
        <w:rPr>
          <w:w w:val="105"/>
        </w:rPr>
        <w:t>(h) to an unlimited grant of authority over</w:t>
      </w:r>
      <w:r w:rsidRPr="00283806">
        <w:rPr>
          <w:spacing w:val="40"/>
          <w:w w:val="105"/>
        </w:rPr>
        <w:t xml:space="preserve"> </w:t>
      </w:r>
      <w:r w:rsidRPr="00283806">
        <w:rPr>
          <w:w w:val="105"/>
        </w:rPr>
        <w:t>the</w:t>
      </w:r>
      <w:r w:rsidRPr="00283806">
        <w:rPr>
          <w:spacing w:val="40"/>
          <w:w w:val="105"/>
        </w:rPr>
        <w:t xml:space="preserve"> </w:t>
      </w:r>
      <w:r w:rsidRPr="00283806">
        <w:rPr>
          <w:w w:val="105"/>
        </w:rPr>
        <w:t>entire</w:t>
      </w:r>
      <w:r w:rsidRPr="00283806">
        <w:rPr>
          <w:spacing w:val="40"/>
          <w:w w:val="105"/>
        </w:rPr>
        <w:t xml:space="preserve"> </w:t>
      </w:r>
      <w:r w:rsidRPr="00283806">
        <w:rPr>
          <w:w w:val="105"/>
        </w:rPr>
        <w:t>HVACR</w:t>
      </w:r>
      <w:r w:rsidRPr="00283806">
        <w:rPr>
          <w:spacing w:val="40"/>
          <w:w w:val="105"/>
        </w:rPr>
        <w:t xml:space="preserve"> </w:t>
      </w:r>
      <w:r w:rsidRPr="00283806">
        <w:rPr>
          <w:w w:val="105"/>
        </w:rPr>
        <w:t>supply</w:t>
      </w:r>
      <w:r w:rsidRPr="00283806">
        <w:rPr>
          <w:spacing w:val="40"/>
          <w:w w:val="105"/>
        </w:rPr>
        <w:t xml:space="preserve"> </w:t>
      </w:r>
      <w:r w:rsidRPr="00283806">
        <w:rPr>
          <w:w w:val="105"/>
        </w:rPr>
        <w:t xml:space="preserve">chain. The commenter stated that the provisions for shipping disposable cylinders containing heels </w:t>
      </w:r>
      <w:proofErr w:type="gramStart"/>
      <w:r w:rsidRPr="00283806">
        <w:rPr>
          <w:w w:val="105"/>
        </w:rPr>
        <w:t>is</w:t>
      </w:r>
      <w:proofErr w:type="gramEnd"/>
      <w:r w:rsidRPr="00283806">
        <w:rPr>
          <w:w w:val="105"/>
        </w:rPr>
        <w:t xml:space="preserve"> beyond the</w:t>
      </w:r>
    </w:p>
    <w:p w14:paraId="16E9270A" w14:textId="77777777" w:rsidR="00D67C1E" w:rsidRPr="00283806" w:rsidRDefault="001265CA">
      <w:pPr>
        <w:pStyle w:val="BodyText"/>
        <w:spacing w:before="134" w:line="228" w:lineRule="auto"/>
        <w:ind w:left="144" w:right="164"/>
      </w:pPr>
      <w:r w:rsidRPr="00283806">
        <w:br w:type="column"/>
      </w:r>
      <w:r w:rsidRPr="00283806">
        <w:rPr>
          <w:w w:val="105"/>
        </w:rPr>
        <w:t>authority granted in subsection (h)(1), even it can increase refrigerant reclamation. Another commenter stated that the requirement for used disposable cylinders to be sent only to reclaimers</w:t>
      </w:r>
      <w:r w:rsidRPr="00283806">
        <w:rPr>
          <w:spacing w:val="80"/>
          <w:w w:val="150"/>
        </w:rPr>
        <w:t xml:space="preserve"> </w:t>
      </w:r>
      <w:r w:rsidRPr="00283806">
        <w:rPr>
          <w:w w:val="105"/>
        </w:rPr>
        <w:t>or fire suppressant recyclers was arbitrary and capricious and not adequately justified and that EPA did</w:t>
      </w:r>
      <w:r w:rsidRPr="00283806">
        <w:rPr>
          <w:spacing w:val="80"/>
          <w:w w:val="150"/>
        </w:rPr>
        <w:t xml:space="preserve"> </w:t>
      </w:r>
      <w:r w:rsidRPr="00283806">
        <w:rPr>
          <w:w w:val="105"/>
        </w:rPr>
        <w:t>not properly consider others in the supply chain that could remove the heel from disposable cylinders. Another commenter stated that the authority under subsection (h) does, in fact, allow EPA to establish this provision, as it aligns with the statutory language in subsection (h).</w:t>
      </w:r>
    </w:p>
    <w:p w14:paraId="098B709F" w14:textId="77777777" w:rsidR="00D67C1E" w:rsidRPr="00283806" w:rsidRDefault="001265CA">
      <w:pPr>
        <w:pStyle w:val="BodyText"/>
        <w:spacing w:before="32" w:line="228" w:lineRule="auto"/>
        <w:ind w:left="144" w:right="121" w:firstLine="180"/>
      </w:pPr>
      <w:r w:rsidRPr="00283806">
        <w:rPr>
          <w:rFonts w:ascii="Book Antiqua" w:hAnsi="Book Antiqua"/>
          <w:i/>
          <w:w w:val="105"/>
        </w:rPr>
        <w:t xml:space="preserve">Response: </w:t>
      </w:r>
      <w:r w:rsidRPr="00283806">
        <w:rPr>
          <w:w w:val="105"/>
        </w:rPr>
        <w:t>EPA agrees with the commenter’s conclusion that this provision aligns with EPA’s authority under subsection (h) and disagrees with the comment asserting that EPA is interpreting an unlimited grant of authority of the HVACR supply chain under subsection (h). As described</w:t>
      </w:r>
      <w:r w:rsidRPr="00283806">
        <w:rPr>
          <w:spacing w:val="80"/>
          <w:w w:val="105"/>
        </w:rPr>
        <w:t xml:space="preserve"> </w:t>
      </w:r>
      <w:r w:rsidRPr="00283806">
        <w:rPr>
          <w:w w:val="105"/>
        </w:rPr>
        <w:t>above in this notice and in the proposal, subsection (h) of the AIM Act directs</w:t>
      </w:r>
      <w:r w:rsidRPr="00283806">
        <w:rPr>
          <w:spacing w:val="80"/>
          <w:w w:val="150"/>
        </w:rPr>
        <w:t xml:space="preserve"> </w:t>
      </w:r>
      <w:r w:rsidRPr="00283806">
        <w:rPr>
          <w:w w:val="105"/>
        </w:rPr>
        <w:t>EPA to promulgate regulations to</w:t>
      </w:r>
      <w:r w:rsidRPr="00283806">
        <w:rPr>
          <w:spacing w:val="80"/>
          <w:w w:val="105"/>
        </w:rPr>
        <w:t xml:space="preserve"> </w:t>
      </w:r>
      <w:r w:rsidRPr="00283806">
        <w:rPr>
          <w:w w:val="105"/>
        </w:rPr>
        <w:t>control,</w:t>
      </w:r>
      <w:r w:rsidRPr="00283806">
        <w:rPr>
          <w:spacing w:val="40"/>
          <w:w w:val="105"/>
        </w:rPr>
        <w:t xml:space="preserve"> </w:t>
      </w:r>
      <w:r w:rsidRPr="00283806">
        <w:rPr>
          <w:w w:val="105"/>
        </w:rPr>
        <w:t>where</w:t>
      </w:r>
      <w:r w:rsidRPr="00283806">
        <w:rPr>
          <w:spacing w:val="40"/>
          <w:w w:val="105"/>
        </w:rPr>
        <w:t xml:space="preserve"> </w:t>
      </w:r>
      <w:r w:rsidRPr="00283806">
        <w:rPr>
          <w:w w:val="105"/>
        </w:rPr>
        <w:t>appropriate,</w:t>
      </w:r>
      <w:r w:rsidRPr="00283806">
        <w:rPr>
          <w:spacing w:val="40"/>
          <w:w w:val="105"/>
        </w:rPr>
        <w:t xml:space="preserve"> </w:t>
      </w:r>
      <w:r w:rsidRPr="00283806">
        <w:rPr>
          <w:w w:val="105"/>
        </w:rPr>
        <w:t>any practice, process, or activity regarding</w:t>
      </w:r>
      <w:r w:rsidRPr="00283806">
        <w:rPr>
          <w:spacing w:val="40"/>
          <w:w w:val="105"/>
        </w:rPr>
        <w:t xml:space="preserve"> </w:t>
      </w:r>
      <w:r w:rsidRPr="00283806">
        <w:rPr>
          <w:w w:val="105"/>
        </w:rPr>
        <w:t>the servicing, repair, disposal, or installation of equipment that involves regulated substances, among other</w:t>
      </w:r>
      <w:r w:rsidRPr="00283806">
        <w:rPr>
          <w:spacing w:val="40"/>
          <w:w w:val="105"/>
        </w:rPr>
        <w:t xml:space="preserve"> </w:t>
      </w:r>
      <w:r w:rsidRPr="00283806">
        <w:rPr>
          <w:w w:val="105"/>
        </w:rPr>
        <w:t>things, for purposes of maximizing reclaiming</w:t>
      </w:r>
      <w:r w:rsidRPr="00283806">
        <w:rPr>
          <w:spacing w:val="40"/>
          <w:w w:val="105"/>
        </w:rPr>
        <w:t xml:space="preserve"> </w:t>
      </w:r>
      <w:r w:rsidRPr="00283806">
        <w:rPr>
          <w:w w:val="105"/>
        </w:rPr>
        <w:t>and</w:t>
      </w:r>
      <w:r w:rsidRPr="00283806">
        <w:rPr>
          <w:spacing w:val="40"/>
          <w:w w:val="105"/>
        </w:rPr>
        <w:t xml:space="preserve"> </w:t>
      </w:r>
      <w:r w:rsidRPr="00283806">
        <w:rPr>
          <w:w w:val="105"/>
        </w:rPr>
        <w:t>minimizing</w:t>
      </w:r>
      <w:r w:rsidRPr="00283806">
        <w:rPr>
          <w:spacing w:val="40"/>
          <w:w w:val="105"/>
        </w:rPr>
        <w:t xml:space="preserve"> </w:t>
      </w:r>
      <w:r w:rsidRPr="00283806">
        <w:rPr>
          <w:w w:val="105"/>
        </w:rPr>
        <w:t>the</w:t>
      </w:r>
      <w:r w:rsidRPr="00283806">
        <w:rPr>
          <w:spacing w:val="40"/>
          <w:w w:val="105"/>
        </w:rPr>
        <w:t xml:space="preserve"> </w:t>
      </w:r>
      <w:r w:rsidRPr="00283806">
        <w:rPr>
          <w:w w:val="105"/>
        </w:rPr>
        <w:t>release of a regulated substance from equipment and ensuring the safety of technicians</w:t>
      </w:r>
      <w:r w:rsidRPr="00283806">
        <w:rPr>
          <w:spacing w:val="40"/>
          <w:w w:val="105"/>
        </w:rPr>
        <w:t xml:space="preserve"> </w:t>
      </w:r>
      <w:r w:rsidRPr="00283806">
        <w:rPr>
          <w:w w:val="105"/>
        </w:rPr>
        <w:t>and consumers. EPA interprets this authority to include the comprehensive practice, process, or activity regarding</w:t>
      </w:r>
      <w:r w:rsidRPr="00283806">
        <w:rPr>
          <w:spacing w:val="40"/>
          <w:w w:val="105"/>
        </w:rPr>
        <w:t xml:space="preserve"> </w:t>
      </w:r>
      <w:r w:rsidRPr="00283806">
        <w:rPr>
          <w:w w:val="105"/>
        </w:rPr>
        <w:t>the servicing, repair, disposal, or installation, including aspects that may occur before or after the servicing,</w:t>
      </w:r>
      <w:r w:rsidRPr="00283806">
        <w:rPr>
          <w:spacing w:val="80"/>
          <w:w w:val="105"/>
        </w:rPr>
        <w:t xml:space="preserve"> </w:t>
      </w:r>
      <w:r w:rsidRPr="00283806">
        <w:rPr>
          <w:w w:val="105"/>
        </w:rPr>
        <w:t>repair, disposal, or installation of the equipment. This interpretation is supported by both the text of the provision and the statutory context in which it appears. With respect to the</w:t>
      </w:r>
      <w:r w:rsidRPr="00283806">
        <w:rPr>
          <w:spacing w:val="80"/>
          <w:w w:val="105"/>
        </w:rPr>
        <w:t xml:space="preserve"> </w:t>
      </w:r>
      <w:r w:rsidRPr="00283806">
        <w:rPr>
          <w:w w:val="105"/>
        </w:rPr>
        <w:t>text, Congress authorized EPA to</w:t>
      </w:r>
      <w:r w:rsidRPr="00283806">
        <w:rPr>
          <w:spacing w:val="80"/>
          <w:w w:val="105"/>
        </w:rPr>
        <w:t xml:space="preserve"> </w:t>
      </w:r>
      <w:r w:rsidRPr="00283806">
        <w:rPr>
          <w:w w:val="105"/>
        </w:rPr>
        <w:t>regulate ‘‘any practice, process, or</w:t>
      </w:r>
      <w:r w:rsidRPr="00283806">
        <w:rPr>
          <w:spacing w:val="40"/>
          <w:w w:val="105"/>
        </w:rPr>
        <w:t xml:space="preserve"> </w:t>
      </w:r>
      <w:r w:rsidRPr="00283806">
        <w:rPr>
          <w:w w:val="105"/>
        </w:rPr>
        <w:t xml:space="preserve">activity </w:t>
      </w:r>
      <w:r w:rsidRPr="00283806">
        <w:rPr>
          <w:rFonts w:ascii="Book Antiqua" w:hAnsi="Book Antiqua"/>
          <w:i/>
          <w:w w:val="105"/>
        </w:rPr>
        <w:t xml:space="preserve">regarding </w:t>
      </w:r>
      <w:r w:rsidRPr="00283806">
        <w:rPr>
          <w:w w:val="105"/>
        </w:rPr>
        <w:t>the servicing, repair, disposal, or installation of equipment’’ (emphasis added). The term ‘‘regarding’’ is broad and indicates that Congress intended for EPA’s authority to encompass not only the actions or</w:t>
      </w:r>
      <w:r w:rsidRPr="00283806">
        <w:rPr>
          <w:spacing w:val="80"/>
          <w:w w:val="150"/>
        </w:rPr>
        <w:t xml:space="preserve"> </w:t>
      </w:r>
      <w:r w:rsidRPr="00283806">
        <w:rPr>
          <w:w w:val="105"/>
        </w:rPr>
        <w:t>events</w:t>
      </w:r>
      <w:r w:rsidRPr="00283806">
        <w:rPr>
          <w:spacing w:val="40"/>
          <w:w w:val="105"/>
        </w:rPr>
        <w:t xml:space="preserve"> </w:t>
      </w:r>
      <w:r w:rsidRPr="00283806">
        <w:rPr>
          <w:w w:val="105"/>
        </w:rPr>
        <w:t>directly</w:t>
      </w:r>
      <w:r w:rsidRPr="00283806">
        <w:rPr>
          <w:spacing w:val="40"/>
          <w:w w:val="105"/>
        </w:rPr>
        <w:t xml:space="preserve"> </w:t>
      </w:r>
      <w:r w:rsidRPr="00283806">
        <w:rPr>
          <w:w w:val="105"/>
        </w:rPr>
        <w:t>involved</w:t>
      </w:r>
      <w:r w:rsidRPr="00283806">
        <w:rPr>
          <w:spacing w:val="40"/>
          <w:w w:val="105"/>
        </w:rPr>
        <w:t xml:space="preserve"> </w:t>
      </w:r>
      <w:r w:rsidRPr="00283806">
        <w:rPr>
          <w:w w:val="105"/>
        </w:rPr>
        <w:t>in</w:t>
      </w:r>
      <w:r w:rsidRPr="00283806">
        <w:rPr>
          <w:spacing w:val="40"/>
          <w:w w:val="105"/>
        </w:rPr>
        <w:t xml:space="preserve"> </w:t>
      </w:r>
      <w:r w:rsidRPr="00283806">
        <w:rPr>
          <w:w w:val="105"/>
        </w:rPr>
        <w:t>the servicing,</w:t>
      </w:r>
      <w:r w:rsidRPr="00283806">
        <w:rPr>
          <w:spacing w:val="40"/>
          <w:w w:val="105"/>
        </w:rPr>
        <w:t xml:space="preserve"> </w:t>
      </w:r>
      <w:r w:rsidRPr="00283806">
        <w:rPr>
          <w:w w:val="105"/>
        </w:rPr>
        <w:t>repair,</w:t>
      </w:r>
      <w:r w:rsidRPr="00283806">
        <w:rPr>
          <w:spacing w:val="40"/>
          <w:w w:val="105"/>
        </w:rPr>
        <w:t xml:space="preserve"> </w:t>
      </w:r>
      <w:r w:rsidRPr="00283806">
        <w:rPr>
          <w:w w:val="105"/>
        </w:rPr>
        <w:t>disposal,</w:t>
      </w:r>
      <w:r w:rsidRPr="00283806">
        <w:rPr>
          <w:spacing w:val="40"/>
          <w:w w:val="105"/>
        </w:rPr>
        <w:t xml:space="preserve"> </w:t>
      </w:r>
      <w:r w:rsidRPr="00283806">
        <w:rPr>
          <w:w w:val="105"/>
        </w:rPr>
        <w:t>or</w:t>
      </w:r>
      <w:r w:rsidRPr="00283806">
        <w:rPr>
          <w:spacing w:val="40"/>
          <w:w w:val="105"/>
        </w:rPr>
        <w:t xml:space="preserve"> </w:t>
      </w:r>
      <w:r w:rsidRPr="00283806">
        <w:rPr>
          <w:w w:val="105"/>
        </w:rPr>
        <w:t>installation of equipment, but also practices, processes, or activities that relate to or concern the servicing, repair, disposal, or installation of equipment.</w:t>
      </w:r>
    </w:p>
    <w:p w14:paraId="456C29E6" w14:textId="77777777" w:rsidR="00D67C1E" w:rsidRPr="00283806" w:rsidRDefault="001265CA">
      <w:pPr>
        <w:pStyle w:val="BodyText"/>
        <w:spacing w:line="155" w:lineRule="exact"/>
        <w:ind w:left="144"/>
      </w:pPr>
      <w:r w:rsidRPr="00283806">
        <w:rPr>
          <w:w w:val="110"/>
        </w:rPr>
        <w:t>This</w:t>
      </w:r>
      <w:r w:rsidRPr="00283806">
        <w:rPr>
          <w:spacing w:val="2"/>
          <w:w w:val="110"/>
        </w:rPr>
        <w:t xml:space="preserve"> </w:t>
      </w:r>
      <w:r w:rsidRPr="00283806">
        <w:rPr>
          <w:w w:val="110"/>
        </w:rPr>
        <w:t>could</w:t>
      </w:r>
      <w:r w:rsidRPr="00283806">
        <w:rPr>
          <w:spacing w:val="2"/>
          <w:w w:val="110"/>
        </w:rPr>
        <w:t xml:space="preserve"> </w:t>
      </w:r>
      <w:r w:rsidRPr="00283806">
        <w:rPr>
          <w:w w:val="110"/>
        </w:rPr>
        <w:t>include</w:t>
      </w:r>
      <w:r w:rsidRPr="00283806">
        <w:rPr>
          <w:spacing w:val="2"/>
          <w:w w:val="110"/>
        </w:rPr>
        <w:t xml:space="preserve"> </w:t>
      </w:r>
      <w:r w:rsidRPr="00283806">
        <w:rPr>
          <w:w w:val="110"/>
        </w:rPr>
        <w:t>practices,</w:t>
      </w:r>
      <w:r w:rsidRPr="00283806">
        <w:rPr>
          <w:spacing w:val="2"/>
          <w:w w:val="110"/>
        </w:rPr>
        <w:t xml:space="preserve"> </w:t>
      </w:r>
      <w:r w:rsidRPr="00283806">
        <w:rPr>
          <w:spacing w:val="-2"/>
          <w:w w:val="110"/>
        </w:rPr>
        <w:t>processes,</w:t>
      </w:r>
    </w:p>
    <w:p w14:paraId="619047DA" w14:textId="77777777" w:rsidR="00D67C1E" w:rsidRPr="00283806" w:rsidRDefault="001265CA">
      <w:pPr>
        <w:pStyle w:val="BodyText"/>
        <w:spacing w:before="3" w:line="228" w:lineRule="auto"/>
        <w:ind w:left="144" w:right="147"/>
      </w:pPr>
      <w:r w:rsidRPr="00283806">
        <w:rPr>
          <w:w w:val="105"/>
        </w:rPr>
        <w:t>or</w:t>
      </w:r>
      <w:r w:rsidRPr="00283806">
        <w:rPr>
          <w:spacing w:val="-1"/>
          <w:w w:val="105"/>
        </w:rPr>
        <w:t xml:space="preserve"> </w:t>
      </w:r>
      <w:r w:rsidRPr="00283806">
        <w:rPr>
          <w:w w:val="105"/>
        </w:rPr>
        <w:t>activities</w:t>
      </w:r>
      <w:r w:rsidRPr="00283806">
        <w:rPr>
          <w:spacing w:val="-1"/>
          <w:w w:val="105"/>
        </w:rPr>
        <w:t xml:space="preserve"> </w:t>
      </w:r>
      <w:r w:rsidRPr="00283806">
        <w:rPr>
          <w:w w:val="105"/>
        </w:rPr>
        <w:t>that</w:t>
      </w:r>
      <w:r w:rsidRPr="00283806">
        <w:rPr>
          <w:spacing w:val="-1"/>
          <w:w w:val="105"/>
        </w:rPr>
        <w:t xml:space="preserve"> </w:t>
      </w:r>
      <w:r w:rsidRPr="00283806">
        <w:rPr>
          <w:w w:val="105"/>
        </w:rPr>
        <w:t>occur</w:t>
      </w:r>
      <w:r w:rsidRPr="00283806">
        <w:rPr>
          <w:spacing w:val="-1"/>
          <w:w w:val="105"/>
        </w:rPr>
        <w:t xml:space="preserve"> </w:t>
      </w:r>
      <w:r w:rsidRPr="00283806">
        <w:rPr>
          <w:w w:val="105"/>
        </w:rPr>
        <w:t>before</w:t>
      </w:r>
      <w:r w:rsidRPr="00283806">
        <w:rPr>
          <w:spacing w:val="-1"/>
          <w:w w:val="105"/>
        </w:rPr>
        <w:t xml:space="preserve"> </w:t>
      </w:r>
      <w:r w:rsidRPr="00283806">
        <w:rPr>
          <w:w w:val="105"/>
        </w:rPr>
        <w:t>or</w:t>
      </w:r>
      <w:r w:rsidRPr="00283806">
        <w:rPr>
          <w:spacing w:val="-1"/>
          <w:w w:val="105"/>
        </w:rPr>
        <w:t xml:space="preserve"> </w:t>
      </w:r>
      <w:r w:rsidRPr="00283806">
        <w:rPr>
          <w:w w:val="105"/>
        </w:rPr>
        <w:t>after</w:t>
      </w:r>
      <w:r w:rsidRPr="00283806">
        <w:rPr>
          <w:spacing w:val="-1"/>
          <w:w w:val="105"/>
        </w:rPr>
        <w:t xml:space="preserve"> </w:t>
      </w:r>
      <w:r w:rsidRPr="00283806">
        <w:rPr>
          <w:w w:val="105"/>
        </w:rPr>
        <w:t>the servicing, repair, disposal, or</w:t>
      </w:r>
      <w:r w:rsidRPr="00283806">
        <w:rPr>
          <w:spacing w:val="80"/>
          <w:w w:val="150"/>
        </w:rPr>
        <w:t xml:space="preserve"> </w:t>
      </w:r>
      <w:r w:rsidRPr="00283806">
        <w:rPr>
          <w:w w:val="105"/>
        </w:rPr>
        <w:t>installation. Similarly, by authorizing regulations to control ‘‘any practice, process, or activity,’’ Congress conveyed EPA authority to control actions or</w:t>
      </w:r>
    </w:p>
    <w:p w14:paraId="7721543A"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07" w:space="40"/>
            <w:col w:w="3510" w:space="39"/>
            <w:col w:w="3624"/>
          </w:cols>
        </w:sectPr>
      </w:pPr>
    </w:p>
    <w:p w14:paraId="54A933B3" w14:textId="77777777" w:rsidR="00D67C1E" w:rsidRPr="00283806" w:rsidRDefault="001265CA">
      <w:pPr>
        <w:pStyle w:val="BodyText"/>
        <w:spacing w:before="134" w:line="228" w:lineRule="auto"/>
        <w:ind w:right="29"/>
      </w:pPr>
      <w:r w:rsidRPr="00283806">
        <w:rPr>
          <w:w w:val="105"/>
        </w:rPr>
        <w:lastRenderedPageBreak/>
        <w:t>situations that occur throughout, or at any point, during the relevant practice, process, or activity. This interpretation</w:t>
      </w:r>
      <w:r w:rsidRPr="00283806">
        <w:rPr>
          <w:spacing w:val="80"/>
          <w:w w:val="105"/>
        </w:rPr>
        <w:t xml:space="preserve"> </w:t>
      </w:r>
      <w:r w:rsidRPr="00283806">
        <w:rPr>
          <w:w w:val="105"/>
        </w:rPr>
        <w:t>is also consistent with ensuring that the regulations can fully serve the purposes identified in subsection (h)(1) (‘‘maximizing’’ reclamation,</w:t>
      </w:r>
      <w:r w:rsidRPr="00283806">
        <w:rPr>
          <w:spacing w:val="40"/>
          <w:w w:val="105"/>
        </w:rPr>
        <w:t xml:space="preserve"> </w:t>
      </w:r>
      <w:r w:rsidRPr="00283806">
        <w:rPr>
          <w:w w:val="105"/>
        </w:rPr>
        <w:t>‘‘minimizing’’ release, and ‘‘ensuring’’ safety), as EPA may need to regulate actions or situations that occur before or after the servicing, repair, disposal, or installation to achieve these purposes. EPA acknowledges the statutory language to promulgate regulations ‘‘as appropriate’’ to control such practices, processes,</w:t>
      </w:r>
      <w:r w:rsidRPr="00283806">
        <w:rPr>
          <w:spacing w:val="40"/>
          <w:w w:val="105"/>
        </w:rPr>
        <w:t xml:space="preserve"> </w:t>
      </w:r>
      <w:r w:rsidRPr="00283806">
        <w:rPr>
          <w:w w:val="105"/>
        </w:rPr>
        <w:t>and</w:t>
      </w:r>
      <w:r w:rsidRPr="00283806">
        <w:rPr>
          <w:spacing w:val="40"/>
          <w:w w:val="105"/>
        </w:rPr>
        <w:t xml:space="preserve"> </w:t>
      </w:r>
      <w:r w:rsidRPr="00283806">
        <w:rPr>
          <w:w w:val="105"/>
        </w:rPr>
        <w:t>activities.</w:t>
      </w:r>
      <w:r w:rsidRPr="00283806">
        <w:rPr>
          <w:spacing w:val="40"/>
          <w:w w:val="105"/>
        </w:rPr>
        <w:t xml:space="preserve"> </w:t>
      </w:r>
      <w:r w:rsidRPr="00283806">
        <w:rPr>
          <w:w w:val="105"/>
        </w:rPr>
        <w:t>Based</w:t>
      </w:r>
      <w:r w:rsidRPr="00283806">
        <w:rPr>
          <w:spacing w:val="40"/>
          <w:w w:val="105"/>
        </w:rPr>
        <w:t xml:space="preserve"> </w:t>
      </w:r>
      <w:r w:rsidRPr="00283806">
        <w:rPr>
          <w:w w:val="105"/>
        </w:rPr>
        <w:t>on EPA’s interpretation of this provision, subsection (h)(1) authorizes the Agency to develop regulations that include provisions for the handling of HFCs in</w:t>
      </w:r>
    </w:p>
    <w:p w14:paraId="7A3132F7" w14:textId="77777777" w:rsidR="00D67C1E" w:rsidRPr="00283806" w:rsidRDefault="001265CA">
      <w:pPr>
        <w:pStyle w:val="BodyText"/>
        <w:spacing w:line="228" w:lineRule="auto"/>
        <w:ind w:right="111"/>
      </w:pPr>
      <w:proofErr w:type="gramStart"/>
      <w:r w:rsidRPr="00283806">
        <w:rPr>
          <w:w w:val="105"/>
        </w:rPr>
        <w:t>a disposable</w:t>
      </w:r>
      <w:proofErr w:type="gramEnd"/>
      <w:r w:rsidRPr="00283806">
        <w:rPr>
          <w:w w:val="105"/>
        </w:rPr>
        <w:t xml:space="preserve"> cylinder when the cylinder and a portion of the HFCs contained therein were used in the servicing,</w:t>
      </w:r>
      <w:r w:rsidRPr="00283806">
        <w:rPr>
          <w:spacing w:val="40"/>
          <w:w w:val="105"/>
        </w:rPr>
        <w:t xml:space="preserve"> </w:t>
      </w:r>
      <w:r w:rsidRPr="00283806">
        <w:rPr>
          <w:w w:val="105"/>
        </w:rPr>
        <w:t>repair, disposal, or installation of equipment. The use of HFCs in these cylinders is a typical practice during servicing, repair, or installation of equipment and the associated disposal</w:t>
      </w:r>
      <w:r w:rsidRPr="00283806">
        <w:rPr>
          <w:spacing w:val="80"/>
          <w:w w:val="105"/>
        </w:rPr>
        <w:t xml:space="preserve"> </w:t>
      </w:r>
      <w:r w:rsidRPr="00283806">
        <w:rPr>
          <w:w w:val="105"/>
        </w:rPr>
        <w:t>of</w:t>
      </w:r>
      <w:r w:rsidRPr="00283806">
        <w:rPr>
          <w:spacing w:val="40"/>
          <w:w w:val="105"/>
        </w:rPr>
        <w:t xml:space="preserve"> </w:t>
      </w:r>
      <w:r w:rsidRPr="00283806">
        <w:rPr>
          <w:w w:val="105"/>
        </w:rPr>
        <w:t>the</w:t>
      </w:r>
      <w:r w:rsidRPr="00283806">
        <w:rPr>
          <w:spacing w:val="40"/>
          <w:w w:val="105"/>
        </w:rPr>
        <w:t xml:space="preserve"> </w:t>
      </w:r>
      <w:r w:rsidRPr="00283806">
        <w:rPr>
          <w:w w:val="105"/>
        </w:rPr>
        <w:t>cylinder,</w:t>
      </w:r>
      <w:r w:rsidRPr="00283806">
        <w:rPr>
          <w:spacing w:val="40"/>
          <w:w w:val="105"/>
        </w:rPr>
        <w:t xml:space="preserve"> </w:t>
      </w:r>
      <w:r w:rsidRPr="00283806">
        <w:rPr>
          <w:w w:val="105"/>
        </w:rPr>
        <w:t>and</w:t>
      </w:r>
      <w:r w:rsidRPr="00283806">
        <w:rPr>
          <w:spacing w:val="40"/>
          <w:w w:val="105"/>
        </w:rPr>
        <w:t xml:space="preserve"> </w:t>
      </w:r>
      <w:r w:rsidRPr="00283806">
        <w:rPr>
          <w:w w:val="105"/>
        </w:rPr>
        <w:t>typically</w:t>
      </w:r>
      <w:r w:rsidRPr="00283806">
        <w:rPr>
          <w:spacing w:val="40"/>
          <w:w w:val="105"/>
        </w:rPr>
        <w:t xml:space="preserve"> </w:t>
      </w:r>
      <w:r w:rsidRPr="00283806">
        <w:rPr>
          <w:w w:val="105"/>
        </w:rPr>
        <w:t>some HFCs remain in the cylinder after such use, unless steps have been taken to remove them from the cylinder.</w:t>
      </w:r>
    </w:p>
    <w:p w14:paraId="4C7D1EDF" w14:textId="77777777" w:rsidR="00D67C1E" w:rsidRPr="00283806" w:rsidRDefault="001265CA">
      <w:pPr>
        <w:pStyle w:val="BodyText"/>
        <w:spacing w:line="228" w:lineRule="auto"/>
        <w:ind w:right="20"/>
      </w:pPr>
      <w:r w:rsidRPr="00283806">
        <w:rPr>
          <w:w w:val="105"/>
        </w:rPr>
        <w:t>Accordingly,</w:t>
      </w:r>
      <w:r w:rsidRPr="00283806">
        <w:rPr>
          <w:spacing w:val="40"/>
          <w:w w:val="105"/>
        </w:rPr>
        <w:t xml:space="preserve"> </w:t>
      </w:r>
      <w:r w:rsidRPr="00283806">
        <w:rPr>
          <w:w w:val="105"/>
        </w:rPr>
        <w:t>the</w:t>
      </w:r>
      <w:r w:rsidRPr="00283806">
        <w:rPr>
          <w:spacing w:val="40"/>
          <w:w w:val="105"/>
        </w:rPr>
        <w:t xml:space="preserve"> </w:t>
      </w:r>
      <w:r w:rsidRPr="00283806">
        <w:rPr>
          <w:w w:val="105"/>
        </w:rPr>
        <w:t>disposition</w:t>
      </w:r>
      <w:r w:rsidRPr="00283806">
        <w:rPr>
          <w:spacing w:val="40"/>
          <w:w w:val="105"/>
        </w:rPr>
        <w:t xml:space="preserve"> </w:t>
      </w:r>
      <w:r w:rsidRPr="00283806">
        <w:rPr>
          <w:w w:val="105"/>
        </w:rPr>
        <w:t>of</w:t>
      </w:r>
      <w:r w:rsidRPr="00283806">
        <w:rPr>
          <w:spacing w:val="40"/>
          <w:w w:val="105"/>
        </w:rPr>
        <w:t xml:space="preserve"> </w:t>
      </w:r>
      <w:r w:rsidRPr="00283806">
        <w:rPr>
          <w:w w:val="105"/>
        </w:rPr>
        <w:t>the</w:t>
      </w:r>
      <w:r w:rsidRPr="00283806">
        <w:rPr>
          <w:spacing w:val="40"/>
          <w:w w:val="105"/>
        </w:rPr>
        <w:t xml:space="preserve"> </w:t>
      </w:r>
      <w:r w:rsidRPr="00283806">
        <w:rPr>
          <w:w w:val="105"/>
        </w:rPr>
        <w:t>HFCs remaining in the cylinder is inherent to the use of HFCs in such cylinders in the servicing, repair,</w:t>
      </w:r>
      <w:r w:rsidRPr="00283806">
        <w:rPr>
          <w:spacing w:val="40"/>
          <w:w w:val="105"/>
        </w:rPr>
        <w:t xml:space="preserve"> </w:t>
      </w:r>
      <w:r w:rsidRPr="00283806">
        <w:rPr>
          <w:w w:val="105"/>
        </w:rPr>
        <w:t>disposal, or installation of equipment. Thus, the Agency considers these requirements</w:t>
      </w:r>
      <w:r w:rsidRPr="00283806">
        <w:rPr>
          <w:spacing w:val="-7"/>
          <w:w w:val="105"/>
        </w:rPr>
        <w:t xml:space="preserve"> </w:t>
      </w:r>
      <w:r w:rsidRPr="00283806">
        <w:rPr>
          <w:w w:val="105"/>
        </w:rPr>
        <w:t>as</w:t>
      </w:r>
      <w:r w:rsidRPr="00283806">
        <w:rPr>
          <w:spacing w:val="-7"/>
          <w:w w:val="105"/>
        </w:rPr>
        <w:t xml:space="preserve"> </w:t>
      </w:r>
      <w:r w:rsidRPr="00283806">
        <w:rPr>
          <w:w w:val="105"/>
        </w:rPr>
        <w:t>establishing</w:t>
      </w:r>
      <w:r w:rsidRPr="00283806">
        <w:rPr>
          <w:spacing w:val="-7"/>
          <w:w w:val="105"/>
        </w:rPr>
        <w:t xml:space="preserve"> </w:t>
      </w:r>
      <w:r w:rsidRPr="00283806">
        <w:rPr>
          <w:w w:val="105"/>
        </w:rPr>
        <w:t>appropriate controls for a practice, process, or</w:t>
      </w:r>
      <w:r w:rsidRPr="00283806">
        <w:rPr>
          <w:spacing w:val="40"/>
          <w:w w:val="105"/>
        </w:rPr>
        <w:t xml:space="preserve"> </w:t>
      </w:r>
      <w:proofErr w:type="gramStart"/>
      <w:r w:rsidRPr="00283806">
        <w:rPr>
          <w:w w:val="105"/>
        </w:rPr>
        <w:t>activity as</w:t>
      </w:r>
      <w:proofErr w:type="gramEnd"/>
      <w:r w:rsidRPr="00283806">
        <w:rPr>
          <w:w w:val="105"/>
        </w:rPr>
        <w:t xml:space="preserve"> related to the servicing,</w:t>
      </w:r>
      <w:r w:rsidRPr="00283806">
        <w:rPr>
          <w:spacing w:val="80"/>
          <w:w w:val="105"/>
        </w:rPr>
        <w:t xml:space="preserve"> </w:t>
      </w:r>
      <w:r w:rsidRPr="00283806">
        <w:rPr>
          <w:w w:val="105"/>
        </w:rPr>
        <w:t>repair, or installation of equipment.</w:t>
      </w:r>
    </w:p>
    <w:p w14:paraId="771635A3" w14:textId="77777777" w:rsidR="00D67C1E" w:rsidRPr="00283806" w:rsidRDefault="001265CA">
      <w:pPr>
        <w:pStyle w:val="BodyText"/>
        <w:spacing w:before="21" w:line="225" w:lineRule="auto"/>
        <w:ind w:right="56" w:firstLine="180"/>
      </w:pPr>
      <w:r w:rsidRPr="00283806">
        <w:rPr>
          <w:rFonts w:ascii="Book Antiqua"/>
          <w:i/>
          <w:w w:val="105"/>
        </w:rPr>
        <w:t xml:space="preserve">Comment: </w:t>
      </w:r>
      <w:proofErr w:type="gramStart"/>
      <w:r w:rsidRPr="00283806">
        <w:rPr>
          <w:w w:val="105"/>
        </w:rPr>
        <w:t>A number of</w:t>
      </w:r>
      <w:proofErr w:type="gramEnd"/>
      <w:r w:rsidRPr="00283806">
        <w:rPr>
          <w:w w:val="105"/>
        </w:rPr>
        <w:t xml:space="preserve"> commenters questioned the amount of HFC</w:t>
      </w:r>
      <w:r w:rsidRPr="00283806">
        <w:rPr>
          <w:spacing w:val="40"/>
          <w:w w:val="105"/>
        </w:rPr>
        <w:t xml:space="preserve"> </w:t>
      </w:r>
      <w:r w:rsidRPr="00283806">
        <w:rPr>
          <w:w w:val="105"/>
        </w:rPr>
        <w:t>refrigerant that remains in the heel of disposable cylinders. Some commenters provided information on the amount left in the heels of disposable cylinders</w:t>
      </w:r>
      <w:r w:rsidRPr="00283806">
        <w:rPr>
          <w:spacing w:val="80"/>
          <w:w w:val="105"/>
        </w:rPr>
        <w:t xml:space="preserve"> </w:t>
      </w:r>
      <w:r w:rsidRPr="00283806">
        <w:rPr>
          <w:w w:val="105"/>
        </w:rPr>
        <w:t>based on experience and data.</w:t>
      </w:r>
    </w:p>
    <w:p w14:paraId="2A14AC3F" w14:textId="77777777" w:rsidR="00D67C1E" w:rsidRPr="00283806" w:rsidRDefault="001265CA">
      <w:pPr>
        <w:pStyle w:val="BodyText"/>
        <w:spacing w:before="3" w:line="223" w:lineRule="auto"/>
        <w:ind w:right="88"/>
      </w:pPr>
      <w:r w:rsidRPr="00283806">
        <w:rPr>
          <w:w w:val="105"/>
        </w:rPr>
        <w:t>Commenters provided various estimates, including (percentages based on a nominal 30-pound disposable cylinder): 0.1 pounds (</w:t>
      </w:r>
      <w:r w:rsidRPr="00283806">
        <w:rPr>
          <w:rFonts w:ascii="Symbol" w:hAnsi="Symbol"/>
          <w:w w:val="105"/>
        </w:rPr>
        <w:t></w:t>
      </w:r>
      <w:r w:rsidRPr="00283806">
        <w:rPr>
          <w:w w:val="105"/>
        </w:rPr>
        <w:t>0.33%), 0.3</w:t>
      </w:r>
    </w:p>
    <w:p w14:paraId="7620B471" w14:textId="77777777" w:rsidR="00D67C1E" w:rsidRPr="00283806" w:rsidRDefault="001265CA">
      <w:pPr>
        <w:pStyle w:val="BodyText"/>
        <w:spacing w:line="194" w:lineRule="exact"/>
      </w:pPr>
      <w:r w:rsidRPr="00283806">
        <w:rPr>
          <w:w w:val="105"/>
        </w:rPr>
        <w:t>pounds</w:t>
      </w:r>
      <w:r w:rsidRPr="00283806">
        <w:rPr>
          <w:spacing w:val="9"/>
          <w:w w:val="105"/>
        </w:rPr>
        <w:t xml:space="preserve"> </w:t>
      </w:r>
      <w:r w:rsidRPr="00283806">
        <w:rPr>
          <w:w w:val="105"/>
        </w:rPr>
        <w:t>(1%),</w:t>
      </w:r>
      <w:r w:rsidRPr="00283806">
        <w:rPr>
          <w:spacing w:val="10"/>
          <w:w w:val="105"/>
        </w:rPr>
        <w:t xml:space="preserve"> </w:t>
      </w:r>
      <w:r w:rsidRPr="00283806">
        <w:rPr>
          <w:w w:val="105"/>
        </w:rPr>
        <w:t>0.5</w:t>
      </w:r>
      <w:r w:rsidRPr="00283806">
        <w:rPr>
          <w:spacing w:val="10"/>
          <w:w w:val="105"/>
        </w:rPr>
        <w:t xml:space="preserve"> </w:t>
      </w:r>
      <w:r w:rsidRPr="00283806">
        <w:rPr>
          <w:w w:val="105"/>
        </w:rPr>
        <w:t>pounds</w:t>
      </w:r>
      <w:r w:rsidRPr="00283806">
        <w:rPr>
          <w:spacing w:val="10"/>
          <w:w w:val="105"/>
        </w:rPr>
        <w:t xml:space="preserve"> </w:t>
      </w:r>
      <w:r w:rsidRPr="00283806">
        <w:rPr>
          <w:w w:val="105"/>
        </w:rPr>
        <w:t>(</w:t>
      </w:r>
      <w:r w:rsidRPr="00283806">
        <w:rPr>
          <w:rFonts w:ascii="Symbol" w:hAnsi="Symbol"/>
          <w:w w:val="105"/>
        </w:rPr>
        <w:t></w:t>
      </w:r>
      <w:r w:rsidRPr="00283806">
        <w:rPr>
          <w:w w:val="105"/>
        </w:rPr>
        <w:t>1.67%),</w:t>
      </w:r>
      <w:r w:rsidRPr="00283806">
        <w:rPr>
          <w:spacing w:val="10"/>
          <w:w w:val="105"/>
        </w:rPr>
        <w:t xml:space="preserve"> </w:t>
      </w:r>
      <w:r w:rsidRPr="00283806">
        <w:rPr>
          <w:spacing w:val="-4"/>
          <w:w w:val="105"/>
        </w:rPr>
        <w:t>1.25</w:t>
      </w:r>
    </w:p>
    <w:p w14:paraId="5FB73ECC" w14:textId="77777777" w:rsidR="00D67C1E" w:rsidRPr="00283806" w:rsidRDefault="001265CA">
      <w:pPr>
        <w:pStyle w:val="BodyText"/>
        <w:spacing w:line="228" w:lineRule="auto"/>
        <w:ind w:right="14"/>
      </w:pPr>
      <w:r w:rsidRPr="00283806">
        <w:rPr>
          <w:w w:val="110"/>
        </w:rPr>
        <w:t>pounds</w:t>
      </w:r>
      <w:r w:rsidRPr="00283806">
        <w:rPr>
          <w:spacing w:val="-11"/>
          <w:w w:val="110"/>
        </w:rPr>
        <w:t xml:space="preserve"> </w:t>
      </w:r>
      <w:r w:rsidRPr="00283806">
        <w:rPr>
          <w:w w:val="110"/>
        </w:rPr>
        <w:t>(</w:t>
      </w:r>
      <w:r w:rsidRPr="00283806">
        <w:rPr>
          <w:rFonts w:ascii="Symbol" w:hAnsi="Symbol"/>
          <w:w w:val="110"/>
        </w:rPr>
        <w:t></w:t>
      </w:r>
      <w:r w:rsidRPr="00283806">
        <w:rPr>
          <w:w w:val="110"/>
        </w:rPr>
        <w:t>4.16%),</w:t>
      </w:r>
      <w:r w:rsidRPr="00283806">
        <w:rPr>
          <w:spacing w:val="-11"/>
          <w:w w:val="110"/>
        </w:rPr>
        <w:t xml:space="preserve"> </w:t>
      </w:r>
      <w:r w:rsidRPr="00283806">
        <w:rPr>
          <w:w w:val="110"/>
        </w:rPr>
        <w:t>and</w:t>
      </w:r>
      <w:r w:rsidRPr="00283806">
        <w:rPr>
          <w:spacing w:val="-11"/>
          <w:w w:val="110"/>
        </w:rPr>
        <w:t xml:space="preserve"> </w:t>
      </w:r>
      <w:r w:rsidRPr="00283806">
        <w:rPr>
          <w:w w:val="110"/>
        </w:rPr>
        <w:t>1.5</w:t>
      </w:r>
      <w:r w:rsidRPr="00283806">
        <w:rPr>
          <w:spacing w:val="-11"/>
          <w:w w:val="110"/>
        </w:rPr>
        <w:t xml:space="preserve"> </w:t>
      </w:r>
      <w:r w:rsidRPr="00283806">
        <w:rPr>
          <w:w w:val="110"/>
        </w:rPr>
        <w:t>pounds</w:t>
      </w:r>
      <w:r w:rsidRPr="00283806">
        <w:rPr>
          <w:spacing w:val="-11"/>
          <w:w w:val="110"/>
        </w:rPr>
        <w:t xml:space="preserve"> </w:t>
      </w:r>
      <w:r w:rsidRPr="00283806">
        <w:rPr>
          <w:w w:val="110"/>
        </w:rPr>
        <w:t xml:space="preserve">(5%). One commenter cited various other estimates including 1.85 percent from </w:t>
      </w:r>
      <w:r w:rsidRPr="00283806">
        <w:rPr>
          <w:spacing w:val="-2"/>
          <w:w w:val="110"/>
        </w:rPr>
        <w:t>CARB,</w:t>
      </w:r>
      <w:r w:rsidRPr="00283806">
        <w:rPr>
          <w:spacing w:val="-7"/>
          <w:w w:val="110"/>
        </w:rPr>
        <w:t xml:space="preserve"> </w:t>
      </w:r>
      <w:r w:rsidRPr="00283806">
        <w:rPr>
          <w:spacing w:val="-2"/>
          <w:w w:val="110"/>
        </w:rPr>
        <w:t>noting</w:t>
      </w:r>
      <w:r w:rsidRPr="00283806">
        <w:rPr>
          <w:spacing w:val="-7"/>
          <w:w w:val="110"/>
        </w:rPr>
        <w:t xml:space="preserve"> </w:t>
      </w:r>
      <w:r w:rsidRPr="00283806">
        <w:rPr>
          <w:spacing w:val="-2"/>
          <w:w w:val="110"/>
        </w:rPr>
        <w:t>this</w:t>
      </w:r>
      <w:r w:rsidRPr="00283806">
        <w:rPr>
          <w:spacing w:val="-7"/>
          <w:w w:val="110"/>
        </w:rPr>
        <w:t xml:space="preserve"> </w:t>
      </w:r>
      <w:r w:rsidRPr="00283806">
        <w:rPr>
          <w:spacing w:val="-2"/>
          <w:w w:val="110"/>
        </w:rPr>
        <w:t>was</w:t>
      </w:r>
      <w:r w:rsidRPr="00283806">
        <w:rPr>
          <w:spacing w:val="-7"/>
          <w:w w:val="110"/>
        </w:rPr>
        <w:t xml:space="preserve"> </w:t>
      </w:r>
      <w:r w:rsidRPr="00283806">
        <w:rPr>
          <w:spacing w:val="-2"/>
          <w:w w:val="110"/>
        </w:rPr>
        <w:t>also</w:t>
      </w:r>
      <w:r w:rsidRPr="00283806">
        <w:rPr>
          <w:spacing w:val="-7"/>
          <w:w w:val="110"/>
        </w:rPr>
        <w:t xml:space="preserve"> </w:t>
      </w:r>
      <w:r w:rsidRPr="00283806">
        <w:rPr>
          <w:spacing w:val="-2"/>
          <w:w w:val="110"/>
        </w:rPr>
        <w:t xml:space="preserve">corroborated </w:t>
      </w:r>
      <w:r w:rsidRPr="00283806">
        <w:rPr>
          <w:w w:val="110"/>
        </w:rPr>
        <w:t>by Heating, Air-conditioning and</w:t>
      </w:r>
    </w:p>
    <w:p w14:paraId="13F0F9BE" w14:textId="77777777" w:rsidR="00D67C1E" w:rsidRPr="00283806" w:rsidRDefault="001265CA">
      <w:pPr>
        <w:pStyle w:val="BodyText"/>
        <w:spacing w:before="133" w:line="228" w:lineRule="auto"/>
        <w:ind w:left="142" w:right="7"/>
      </w:pPr>
      <w:r w:rsidRPr="00283806">
        <w:br w:type="column"/>
      </w:r>
      <w:r w:rsidRPr="00283806">
        <w:rPr>
          <w:w w:val="105"/>
        </w:rPr>
        <w:t>commenter provided sample data from UL testing of an SAE J2788 AC Service Machine, noting the net remaining heel was around 50 grams (</w:t>
      </w:r>
      <w:r w:rsidRPr="00283806">
        <w:rPr>
          <w:rFonts w:ascii="Symbol" w:hAnsi="Symbol"/>
          <w:w w:val="105"/>
        </w:rPr>
        <w:t></w:t>
      </w:r>
      <w:r w:rsidRPr="00283806">
        <w:rPr>
          <w:w w:val="105"/>
        </w:rPr>
        <w:t>0.1 pounds), and was typical of heels in disposable cylinders used in the MVAC industry. Another commenter stated that around two-thirds of used cylinders are completely empty. Other commenters stated that the remaining heel in disposable cylinders is minimal as contractors and technicians have a</w:t>
      </w:r>
      <w:r w:rsidRPr="00283806">
        <w:rPr>
          <w:spacing w:val="40"/>
          <w:w w:val="105"/>
        </w:rPr>
        <w:t xml:space="preserve"> </w:t>
      </w:r>
      <w:r w:rsidRPr="00283806">
        <w:rPr>
          <w:w w:val="105"/>
        </w:rPr>
        <w:t>strong incentive to use as much refrigerant from disposable cylinders as possible. Another commenter provided data on remaining refrigerant in small cans of automotive refrigerant per CARB’s regulations, with a remaining amount of 4 percent.</w:t>
      </w:r>
    </w:p>
    <w:p w14:paraId="1EA9BB80" w14:textId="77777777" w:rsidR="00D67C1E" w:rsidRPr="00283806" w:rsidRDefault="001265CA">
      <w:pPr>
        <w:pStyle w:val="BodyText"/>
        <w:spacing w:line="178" w:lineRule="exact"/>
        <w:ind w:left="322"/>
      </w:pPr>
      <w:r w:rsidRPr="00283806">
        <w:rPr>
          <w:w w:val="105"/>
        </w:rPr>
        <w:t>One</w:t>
      </w:r>
      <w:r w:rsidRPr="00283806">
        <w:rPr>
          <w:spacing w:val="3"/>
          <w:w w:val="105"/>
        </w:rPr>
        <w:t xml:space="preserve"> </w:t>
      </w:r>
      <w:r w:rsidRPr="00283806">
        <w:rPr>
          <w:w w:val="105"/>
        </w:rPr>
        <w:t>commenter</w:t>
      </w:r>
      <w:r w:rsidRPr="00283806">
        <w:rPr>
          <w:spacing w:val="3"/>
          <w:w w:val="105"/>
        </w:rPr>
        <w:t xml:space="preserve"> </w:t>
      </w:r>
      <w:r w:rsidRPr="00283806">
        <w:rPr>
          <w:w w:val="105"/>
        </w:rPr>
        <w:t>stated</w:t>
      </w:r>
      <w:r w:rsidRPr="00283806">
        <w:rPr>
          <w:spacing w:val="3"/>
          <w:w w:val="105"/>
        </w:rPr>
        <w:t xml:space="preserve"> </w:t>
      </w:r>
      <w:r w:rsidRPr="00283806">
        <w:rPr>
          <w:w w:val="105"/>
        </w:rPr>
        <w:t>that</w:t>
      </w:r>
      <w:r w:rsidRPr="00283806">
        <w:rPr>
          <w:spacing w:val="4"/>
          <w:w w:val="105"/>
        </w:rPr>
        <w:t xml:space="preserve"> </w:t>
      </w:r>
      <w:r w:rsidRPr="00283806">
        <w:rPr>
          <w:w w:val="105"/>
        </w:rPr>
        <w:t>there</w:t>
      </w:r>
      <w:r w:rsidRPr="00283806">
        <w:rPr>
          <w:spacing w:val="3"/>
          <w:w w:val="105"/>
        </w:rPr>
        <w:t xml:space="preserve"> </w:t>
      </w:r>
      <w:r w:rsidRPr="00283806">
        <w:rPr>
          <w:spacing w:val="-4"/>
          <w:w w:val="105"/>
        </w:rPr>
        <w:t>were</w:t>
      </w:r>
    </w:p>
    <w:p w14:paraId="708AF04B" w14:textId="77777777" w:rsidR="00D67C1E" w:rsidRPr="00283806" w:rsidRDefault="001265CA">
      <w:pPr>
        <w:pStyle w:val="BodyText"/>
        <w:spacing w:before="3" w:line="228" w:lineRule="auto"/>
        <w:ind w:left="142"/>
      </w:pPr>
      <w:r w:rsidRPr="00283806">
        <w:rPr>
          <w:w w:val="110"/>
        </w:rPr>
        <w:t>inconsistencies in the draft RIA and supporting draft Cylinder Analysis TSD.</w:t>
      </w:r>
      <w:r w:rsidRPr="00283806">
        <w:rPr>
          <w:w w:val="110"/>
          <w:position w:val="5"/>
          <w:sz w:val="11"/>
        </w:rPr>
        <w:t>135</w:t>
      </w:r>
      <w:r w:rsidRPr="00283806">
        <w:rPr>
          <w:spacing w:val="39"/>
          <w:w w:val="110"/>
          <w:position w:val="5"/>
          <w:sz w:val="11"/>
        </w:rPr>
        <w:t xml:space="preserve"> </w:t>
      </w:r>
      <w:r w:rsidRPr="00283806">
        <w:rPr>
          <w:w w:val="110"/>
        </w:rPr>
        <w:t xml:space="preserve">Further, the commenter stated EPA did not clearly and consistently identify heel estimates used when assessing potential benefits of the </w:t>
      </w:r>
      <w:r w:rsidRPr="00283806">
        <w:t>cylinder management requirements. The</w:t>
      </w:r>
      <w:r w:rsidRPr="00283806">
        <w:rPr>
          <w:spacing w:val="40"/>
        </w:rPr>
        <w:t xml:space="preserve"> </w:t>
      </w:r>
      <w:r w:rsidRPr="00283806">
        <w:t>commenter stated that the proposed rule</w:t>
      </w:r>
      <w:r w:rsidRPr="00283806">
        <w:rPr>
          <w:w w:val="110"/>
        </w:rPr>
        <w:t xml:space="preserve"> preamble was not clear in how the heel estimate</w:t>
      </w:r>
      <w:r w:rsidRPr="00283806">
        <w:rPr>
          <w:spacing w:val="-9"/>
          <w:w w:val="110"/>
        </w:rPr>
        <w:t xml:space="preserve"> </w:t>
      </w:r>
      <w:r w:rsidRPr="00283806">
        <w:rPr>
          <w:w w:val="110"/>
        </w:rPr>
        <w:t>of</w:t>
      </w:r>
      <w:r w:rsidRPr="00283806">
        <w:rPr>
          <w:spacing w:val="-9"/>
          <w:w w:val="110"/>
        </w:rPr>
        <w:t xml:space="preserve"> </w:t>
      </w:r>
      <w:r w:rsidRPr="00283806">
        <w:rPr>
          <w:w w:val="110"/>
        </w:rPr>
        <w:t>1.25</w:t>
      </w:r>
      <w:r w:rsidRPr="00283806">
        <w:rPr>
          <w:spacing w:val="-9"/>
          <w:w w:val="110"/>
        </w:rPr>
        <w:t xml:space="preserve"> </w:t>
      </w:r>
      <w:r w:rsidRPr="00283806">
        <w:rPr>
          <w:w w:val="110"/>
        </w:rPr>
        <w:t>pounds</w:t>
      </w:r>
      <w:r w:rsidRPr="00283806">
        <w:rPr>
          <w:spacing w:val="-9"/>
          <w:w w:val="110"/>
        </w:rPr>
        <w:t xml:space="preserve"> </w:t>
      </w:r>
      <w:r w:rsidRPr="00283806">
        <w:rPr>
          <w:w w:val="110"/>
        </w:rPr>
        <w:t>was</w:t>
      </w:r>
      <w:r w:rsidRPr="00283806">
        <w:rPr>
          <w:spacing w:val="-9"/>
          <w:w w:val="110"/>
        </w:rPr>
        <w:t xml:space="preserve"> </w:t>
      </w:r>
      <w:r w:rsidRPr="00283806">
        <w:rPr>
          <w:w w:val="110"/>
        </w:rPr>
        <w:t>concluded, while relevant analyses assumed a heel of 0.96 pounds. The commenter stated that EPA referenced personal communications for the heel estimates but</w:t>
      </w:r>
      <w:r w:rsidRPr="00283806">
        <w:rPr>
          <w:spacing w:val="-11"/>
          <w:w w:val="110"/>
        </w:rPr>
        <w:t xml:space="preserve"> </w:t>
      </w:r>
      <w:r w:rsidRPr="00283806">
        <w:rPr>
          <w:w w:val="110"/>
        </w:rPr>
        <w:t>did</w:t>
      </w:r>
      <w:r w:rsidRPr="00283806">
        <w:rPr>
          <w:spacing w:val="-11"/>
          <w:w w:val="110"/>
        </w:rPr>
        <w:t xml:space="preserve"> </w:t>
      </w:r>
      <w:r w:rsidRPr="00283806">
        <w:rPr>
          <w:w w:val="110"/>
        </w:rPr>
        <w:t>not</w:t>
      </w:r>
      <w:r w:rsidRPr="00283806">
        <w:rPr>
          <w:spacing w:val="-11"/>
          <w:w w:val="110"/>
        </w:rPr>
        <w:t xml:space="preserve"> </w:t>
      </w:r>
      <w:r w:rsidRPr="00283806">
        <w:rPr>
          <w:w w:val="110"/>
        </w:rPr>
        <w:t>make</w:t>
      </w:r>
      <w:r w:rsidRPr="00283806">
        <w:rPr>
          <w:spacing w:val="-11"/>
          <w:w w:val="110"/>
        </w:rPr>
        <w:t xml:space="preserve"> </w:t>
      </w:r>
      <w:r w:rsidRPr="00283806">
        <w:rPr>
          <w:w w:val="110"/>
        </w:rPr>
        <w:t>clear</w:t>
      </w:r>
      <w:r w:rsidRPr="00283806">
        <w:rPr>
          <w:spacing w:val="-11"/>
          <w:w w:val="110"/>
        </w:rPr>
        <w:t xml:space="preserve"> </w:t>
      </w:r>
      <w:r w:rsidRPr="00283806">
        <w:rPr>
          <w:w w:val="110"/>
        </w:rPr>
        <w:t>the</w:t>
      </w:r>
      <w:r w:rsidRPr="00283806">
        <w:rPr>
          <w:spacing w:val="-11"/>
          <w:w w:val="110"/>
        </w:rPr>
        <w:t xml:space="preserve"> </w:t>
      </w:r>
      <w:r w:rsidRPr="00283806">
        <w:rPr>
          <w:w w:val="110"/>
        </w:rPr>
        <w:t>sources</w:t>
      </w:r>
      <w:r w:rsidRPr="00283806">
        <w:rPr>
          <w:spacing w:val="-11"/>
          <w:w w:val="110"/>
        </w:rPr>
        <w:t xml:space="preserve"> </w:t>
      </w:r>
      <w:r w:rsidRPr="00283806">
        <w:rPr>
          <w:w w:val="110"/>
        </w:rPr>
        <w:t>of</w:t>
      </w:r>
      <w:r w:rsidRPr="00283806">
        <w:rPr>
          <w:spacing w:val="-11"/>
          <w:w w:val="110"/>
        </w:rPr>
        <w:t xml:space="preserve"> </w:t>
      </w:r>
      <w:r w:rsidRPr="00283806">
        <w:rPr>
          <w:w w:val="110"/>
        </w:rPr>
        <w:t xml:space="preserve">the information or provide them or </w:t>
      </w:r>
      <w:proofErr w:type="gramStart"/>
      <w:r w:rsidRPr="00283806">
        <w:t>supporting</w:t>
      </w:r>
      <w:proofErr w:type="gramEnd"/>
      <w:r w:rsidRPr="00283806">
        <w:t xml:space="preserve"> documentation in the docket</w:t>
      </w:r>
      <w:r w:rsidRPr="00283806">
        <w:rPr>
          <w:spacing w:val="40"/>
          <w:w w:val="110"/>
        </w:rPr>
        <w:t xml:space="preserve"> </w:t>
      </w:r>
      <w:r w:rsidRPr="00283806">
        <w:rPr>
          <w:w w:val="110"/>
        </w:rPr>
        <w:t>for the rulemaking and that other relevant</w:t>
      </w:r>
      <w:r w:rsidRPr="00283806">
        <w:rPr>
          <w:spacing w:val="-6"/>
          <w:w w:val="110"/>
        </w:rPr>
        <w:t xml:space="preserve"> </w:t>
      </w:r>
      <w:r w:rsidRPr="00283806">
        <w:rPr>
          <w:w w:val="110"/>
        </w:rPr>
        <w:t>studies</w:t>
      </w:r>
      <w:r w:rsidRPr="00283806">
        <w:rPr>
          <w:spacing w:val="-6"/>
          <w:w w:val="110"/>
        </w:rPr>
        <w:t xml:space="preserve"> </w:t>
      </w:r>
      <w:r w:rsidRPr="00283806">
        <w:rPr>
          <w:w w:val="110"/>
        </w:rPr>
        <w:t>are</w:t>
      </w:r>
      <w:r w:rsidRPr="00283806">
        <w:rPr>
          <w:spacing w:val="-6"/>
          <w:w w:val="110"/>
        </w:rPr>
        <w:t xml:space="preserve"> </w:t>
      </w:r>
      <w:r w:rsidRPr="00283806">
        <w:rPr>
          <w:w w:val="110"/>
        </w:rPr>
        <w:t>available</w:t>
      </w:r>
      <w:r w:rsidRPr="00283806">
        <w:rPr>
          <w:spacing w:val="-6"/>
          <w:w w:val="110"/>
        </w:rPr>
        <w:t xml:space="preserve"> </w:t>
      </w:r>
      <w:r w:rsidRPr="00283806">
        <w:rPr>
          <w:w w:val="110"/>
        </w:rPr>
        <w:t>and</w:t>
      </w:r>
      <w:r w:rsidRPr="00283806">
        <w:rPr>
          <w:spacing w:val="-6"/>
          <w:w w:val="110"/>
        </w:rPr>
        <w:t xml:space="preserve"> </w:t>
      </w:r>
      <w:r w:rsidRPr="00283806">
        <w:rPr>
          <w:w w:val="110"/>
        </w:rPr>
        <w:t>could have been used to provide information on concluding an accurate heel estimate.</w:t>
      </w:r>
      <w:r w:rsidRPr="00283806">
        <w:rPr>
          <w:spacing w:val="-11"/>
          <w:w w:val="110"/>
        </w:rPr>
        <w:t xml:space="preserve"> </w:t>
      </w:r>
      <w:r w:rsidRPr="00283806">
        <w:rPr>
          <w:w w:val="110"/>
        </w:rPr>
        <w:t>Such</w:t>
      </w:r>
      <w:r w:rsidRPr="00283806">
        <w:rPr>
          <w:spacing w:val="-11"/>
          <w:w w:val="110"/>
        </w:rPr>
        <w:t xml:space="preserve"> </w:t>
      </w:r>
      <w:r w:rsidRPr="00283806">
        <w:rPr>
          <w:w w:val="110"/>
        </w:rPr>
        <w:t>studies</w:t>
      </w:r>
      <w:r w:rsidRPr="00283806">
        <w:rPr>
          <w:spacing w:val="-11"/>
          <w:w w:val="110"/>
        </w:rPr>
        <w:t xml:space="preserve"> </w:t>
      </w:r>
      <w:r w:rsidRPr="00283806">
        <w:rPr>
          <w:w w:val="110"/>
        </w:rPr>
        <w:t>were</w:t>
      </w:r>
      <w:r w:rsidRPr="00283806">
        <w:rPr>
          <w:spacing w:val="-11"/>
          <w:w w:val="110"/>
        </w:rPr>
        <w:t xml:space="preserve"> </w:t>
      </w:r>
      <w:r w:rsidRPr="00283806">
        <w:rPr>
          <w:w w:val="110"/>
        </w:rPr>
        <w:t>provided</w:t>
      </w:r>
      <w:r w:rsidRPr="00283806">
        <w:rPr>
          <w:spacing w:val="-11"/>
          <w:w w:val="110"/>
        </w:rPr>
        <w:t xml:space="preserve"> </w:t>
      </w:r>
      <w:r w:rsidRPr="00283806">
        <w:rPr>
          <w:w w:val="110"/>
        </w:rPr>
        <w:t xml:space="preserve">to EPA in previous comments to the Allocation Framework Rule. The </w:t>
      </w:r>
      <w:r w:rsidRPr="00283806">
        <w:t>commenter provided studies and related</w:t>
      </w:r>
      <w:r w:rsidRPr="00283806">
        <w:rPr>
          <w:spacing w:val="40"/>
          <w:w w:val="110"/>
        </w:rPr>
        <w:t xml:space="preserve"> </w:t>
      </w:r>
      <w:r w:rsidRPr="00283806">
        <w:rPr>
          <w:w w:val="110"/>
        </w:rPr>
        <w:t>data that they stated could be used to estimate the heel in a disposable cylinder. The commenter also stated that EPA’s assumption that 95 percent of all cylinders are vented is an extraordinary assumption, though 95 percent may be feasible if it is based on the number of cylinders that are not returned to companies after they are sold.</w:t>
      </w:r>
      <w:r w:rsidRPr="00283806">
        <w:rPr>
          <w:spacing w:val="-7"/>
          <w:w w:val="110"/>
        </w:rPr>
        <w:t xml:space="preserve"> </w:t>
      </w:r>
      <w:r w:rsidRPr="00283806">
        <w:rPr>
          <w:w w:val="110"/>
        </w:rPr>
        <w:t>The</w:t>
      </w:r>
      <w:r w:rsidRPr="00283806">
        <w:rPr>
          <w:spacing w:val="-7"/>
          <w:w w:val="110"/>
        </w:rPr>
        <w:t xml:space="preserve"> </w:t>
      </w:r>
      <w:r w:rsidRPr="00283806">
        <w:rPr>
          <w:w w:val="110"/>
        </w:rPr>
        <w:t>commenter</w:t>
      </w:r>
      <w:r w:rsidRPr="00283806">
        <w:rPr>
          <w:spacing w:val="-7"/>
          <w:w w:val="110"/>
        </w:rPr>
        <w:t xml:space="preserve"> </w:t>
      </w:r>
      <w:r w:rsidRPr="00283806">
        <w:rPr>
          <w:w w:val="110"/>
        </w:rPr>
        <w:t>continued</w:t>
      </w:r>
      <w:r w:rsidRPr="00283806">
        <w:rPr>
          <w:spacing w:val="-7"/>
          <w:w w:val="110"/>
        </w:rPr>
        <w:t xml:space="preserve"> </w:t>
      </w:r>
      <w:r w:rsidRPr="00283806">
        <w:rPr>
          <w:w w:val="110"/>
        </w:rPr>
        <w:t>to</w:t>
      </w:r>
      <w:r w:rsidRPr="00283806">
        <w:rPr>
          <w:spacing w:val="-7"/>
          <w:w w:val="110"/>
        </w:rPr>
        <w:t xml:space="preserve"> </w:t>
      </w:r>
      <w:r w:rsidRPr="00283806">
        <w:rPr>
          <w:w w:val="110"/>
        </w:rPr>
        <w:t>state that there is currently no nationally applicable cylinder take-back program, and licensed professionals who use the cylinders would not be expected to</w:t>
      </w:r>
    </w:p>
    <w:p w14:paraId="1D316270" w14:textId="77777777" w:rsidR="00D67C1E" w:rsidRPr="00283806" w:rsidRDefault="001265CA">
      <w:pPr>
        <w:pStyle w:val="BodyText"/>
        <w:spacing w:before="135" w:line="225" w:lineRule="auto"/>
        <w:ind w:left="146" w:right="199"/>
      </w:pPr>
      <w:r w:rsidRPr="00283806">
        <w:br w:type="column"/>
      </w:r>
      <w:r w:rsidRPr="00283806">
        <w:rPr>
          <w:w w:val="105"/>
        </w:rPr>
        <w:t>return them but, rather, dispose of them properly without illegal venting, such as through recovery of heel with a vacuum pump in the field; in-house refrigerant recovery or recycling; or sending non- refillable cylinders to a reclamation facility. The commenter noted</w:t>
      </w:r>
      <w:r w:rsidRPr="00283806">
        <w:rPr>
          <w:spacing w:val="80"/>
          <w:w w:val="105"/>
        </w:rPr>
        <w:t xml:space="preserve"> </w:t>
      </w:r>
      <w:r w:rsidRPr="00283806">
        <w:rPr>
          <w:w w:val="105"/>
        </w:rPr>
        <w:t>previously available information on</w:t>
      </w:r>
      <w:r w:rsidRPr="00283806">
        <w:rPr>
          <w:spacing w:val="80"/>
          <w:w w:val="105"/>
        </w:rPr>
        <w:t xml:space="preserve"> </w:t>
      </w:r>
      <w:r w:rsidRPr="00283806">
        <w:rPr>
          <w:w w:val="105"/>
        </w:rPr>
        <w:t>rates of cylinder venting.</w:t>
      </w:r>
    </w:p>
    <w:p w14:paraId="0A9A1977" w14:textId="77777777" w:rsidR="00D67C1E" w:rsidRPr="00283806" w:rsidRDefault="001265CA">
      <w:pPr>
        <w:pStyle w:val="BodyText"/>
        <w:spacing w:line="213" w:lineRule="auto"/>
        <w:ind w:left="146" w:right="150" w:firstLine="180"/>
      </w:pPr>
      <w:r w:rsidRPr="00283806">
        <w:rPr>
          <w:rFonts w:ascii="Book Antiqua"/>
          <w:i/>
          <w:w w:val="105"/>
        </w:rPr>
        <w:t xml:space="preserve">Response: </w:t>
      </w:r>
      <w:r w:rsidRPr="00283806">
        <w:rPr>
          <w:w w:val="105"/>
        </w:rPr>
        <w:t>EPA acknowledges these comments and understands that the</w:t>
      </w:r>
    </w:p>
    <w:p w14:paraId="54CF953D" w14:textId="77777777" w:rsidR="00D67C1E" w:rsidRPr="00283806" w:rsidRDefault="001265CA">
      <w:pPr>
        <w:pStyle w:val="BodyText"/>
        <w:spacing w:line="225" w:lineRule="auto"/>
        <w:ind w:left="146" w:right="121"/>
      </w:pPr>
      <w:r w:rsidRPr="00283806">
        <w:rPr>
          <w:w w:val="105"/>
        </w:rPr>
        <w:t>estimate of a typical heel in a disposable cylinder may vary. Given the wide</w:t>
      </w:r>
      <w:r w:rsidRPr="00283806">
        <w:rPr>
          <w:spacing w:val="80"/>
          <w:w w:val="105"/>
        </w:rPr>
        <w:t xml:space="preserve"> </w:t>
      </w:r>
      <w:r w:rsidRPr="00283806">
        <w:rPr>
          <w:w w:val="105"/>
        </w:rPr>
        <w:t>variety</w:t>
      </w:r>
      <w:r w:rsidRPr="00283806">
        <w:rPr>
          <w:spacing w:val="-1"/>
          <w:w w:val="105"/>
        </w:rPr>
        <w:t xml:space="preserve"> </w:t>
      </w:r>
      <w:r w:rsidRPr="00283806">
        <w:rPr>
          <w:w w:val="105"/>
        </w:rPr>
        <w:t>of</w:t>
      </w:r>
      <w:r w:rsidRPr="00283806">
        <w:rPr>
          <w:spacing w:val="-1"/>
          <w:w w:val="105"/>
        </w:rPr>
        <w:t xml:space="preserve"> </w:t>
      </w:r>
      <w:r w:rsidRPr="00283806">
        <w:rPr>
          <w:w w:val="105"/>
        </w:rPr>
        <w:t>estimates</w:t>
      </w:r>
      <w:r w:rsidRPr="00283806">
        <w:rPr>
          <w:spacing w:val="-1"/>
          <w:w w:val="105"/>
        </w:rPr>
        <w:t xml:space="preserve"> </w:t>
      </w:r>
      <w:r w:rsidRPr="00283806">
        <w:rPr>
          <w:w w:val="105"/>
        </w:rPr>
        <w:t>from</w:t>
      </w:r>
      <w:r w:rsidRPr="00283806">
        <w:rPr>
          <w:spacing w:val="-1"/>
          <w:w w:val="105"/>
        </w:rPr>
        <w:t xml:space="preserve"> </w:t>
      </w:r>
      <w:r w:rsidRPr="00283806">
        <w:rPr>
          <w:w w:val="105"/>
        </w:rPr>
        <w:t>commenters</w:t>
      </w:r>
      <w:r w:rsidRPr="00283806">
        <w:rPr>
          <w:spacing w:val="-1"/>
          <w:w w:val="105"/>
        </w:rPr>
        <w:t xml:space="preserve"> </w:t>
      </w:r>
      <w:r w:rsidRPr="00283806">
        <w:rPr>
          <w:w w:val="105"/>
        </w:rPr>
        <w:t>on the amount of heel in a typical</w:t>
      </w:r>
      <w:r w:rsidRPr="00283806">
        <w:rPr>
          <w:spacing w:val="80"/>
          <w:w w:val="105"/>
        </w:rPr>
        <w:t xml:space="preserve"> </w:t>
      </w:r>
      <w:r w:rsidRPr="00283806">
        <w:rPr>
          <w:w w:val="105"/>
        </w:rPr>
        <w:t>disposable cylinder, EPA maintains its central estimate that a typical heel is 4 percent by weight of the cylinder. We have updated the Refrigerant Cylinders: Analysis of Use, Disposal, and</w:t>
      </w:r>
      <w:r w:rsidRPr="00283806">
        <w:rPr>
          <w:spacing w:val="40"/>
          <w:w w:val="105"/>
        </w:rPr>
        <w:t xml:space="preserve"> </w:t>
      </w:r>
      <w:r w:rsidRPr="00283806">
        <w:rPr>
          <w:w w:val="105"/>
        </w:rPr>
        <w:t>Distribution of Refrigerants TSD to more clearly and consistently show this assumption as well as a low and high estimate. In the Economic Impact and Benefits</w:t>
      </w:r>
      <w:r w:rsidRPr="00283806">
        <w:rPr>
          <w:spacing w:val="39"/>
          <w:w w:val="105"/>
        </w:rPr>
        <w:t xml:space="preserve"> </w:t>
      </w:r>
      <w:r w:rsidRPr="00283806">
        <w:rPr>
          <w:w w:val="105"/>
        </w:rPr>
        <w:t>TSD,</w:t>
      </w:r>
      <w:r w:rsidRPr="00283806">
        <w:rPr>
          <w:spacing w:val="39"/>
          <w:w w:val="105"/>
        </w:rPr>
        <w:t xml:space="preserve"> </w:t>
      </w:r>
      <w:r w:rsidRPr="00283806">
        <w:rPr>
          <w:w w:val="105"/>
        </w:rPr>
        <w:t>the</w:t>
      </w:r>
      <w:r w:rsidRPr="00283806">
        <w:rPr>
          <w:spacing w:val="39"/>
          <w:w w:val="105"/>
        </w:rPr>
        <w:t xml:space="preserve"> </w:t>
      </w:r>
      <w:r w:rsidRPr="00283806">
        <w:rPr>
          <w:w w:val="105"/>
        </w:rPr>
        <w:t>Agency</w:t>
      </w:r>
      <w:r w:rsidRPr="00283806">
        <w:rPr>
          <w:spacing w:val="39"/>
          <w:w w:val="105"/>
        </w:rPr>
        <w:t xml:space="preserve"> </w:t>
      </w:r>
      <w:r w:rsidRPr="00283806">
        <w:rPr>
          <w:w w:val="105"/>
        </w:rPr>
        <w:t>also</w:t>
      </w:r>
      <w:r w:rsidRPr="00283806">
        <w:rPr>
          <w:spacing w:val="39"/>
          <w:w w:val="105"/>
        </w:rPr>
        <w:t xml:space="preserve"> </w:t>
      </w:r>
      <w:r w:rsidRPr="00283806">
        <w:rPr>
          <w:w w:val="105"/>
        </w:rPr>
        <w:t>provides a sensitivity analysis using a value of</w:t>
      </w:r>
    </w:p>
    <w:p w14:paraId="3A9D290A" w14:textId="77777777" w:rsidR="00D67C1E" w:rsidRPr="00283806" w:rsidRDefault="001265CA">
      <w:pPr>
        <w:pStyle w:val="BodyText"/>
        <w:spacing w:line="223" w:lineRule="auto"/>
        <w:ind w:left="146" w:right="195"/>
      </w:pPr>
      <w:r w:rsidRPr="00283806">
        <w:rPr>
          <w:w w:val="105"/>
        </w:rPr>
        <w:t>1.2 percent, as provided by a</w:t>
      </w:r>
      <w:r w:rsidRPr="00283806">
        <w:rPr>
          <w:spacing w:val="40"/>
          <w:w w:val="105"/>
        </w:rPr>
        <w:t xml:space="preserve"> </w:t>
      </w:r>
      <w:r w:rsidRPr="00283806">
        <w:rPr>
          <w:w w:val="105"/>
        </w:rPr>
        <w:t>commenter, which EPA understands to be a possible estimate for the remaining heel</w:t>
      </w:r>
      <w:r w:rsidRPr="00283806">
        <w:rPr>
          <w:spacing w:val="39"/>
          <w:w w:val="105"/>
        </w:rPr>
        <w:t xml:space="preserve"> </w:t>
      </w:r>
      <w:r w:rsidRPr="00283806">
        <w:rPr>
          <w:w w:val="105"/>
        </w:rPr>
        <w:t>in</w:t>
      </w:r>
      <w:r w:rsidRPr="00283806">
        <w:rPr>
          <w:spacing w:val="39"/>
          <w:w w:val="105"/>
        </w:rPr>
        <w:t xml:space="preserve"> </w:t>
      </w:r>
      <w:r w:rsidRPr="00283806">
        <w:rPr>
          <w:w w:val="105"/>
        </w:rPr>
        <w:t>a</w:t>
      </w:r>
      <w:r w:rsidRPr="00283806">
        <w:rPr>
          <w:spacing w:val="39"/>
          <w:w w:val="105"/>
        </w:rPr>
        <w:t xml:space="preserve"> </w:t>
      </w:r>
      <w:r w:rsidRPr="00283806">
        <w:rPr>
          <w:w w:val="105"/>
        </w:rPr>
        <w:t>cylinder.</w:t>
      </w:r>
      <w:r w:rsidRPr="00283806">
        <w:rPr>
          <w:spacing w:val="39"/>
          <w:w w:val="105"/>
        </w:rPr>
        <w:t xml:space="preserve"> </w:t>
      </w:r>
      <w:r w:rsidRPr="00283806">
        <w:rPr>
          <w:w w:val="105"/>
        </w:rPr>
        <w:t>The</w:t>
      </w:r>
      <w:r w:rsidRPr="00283806">
        <w:rPr>
          <w:spacing w:val="39"/>
          <w:w w:val="105"/>
        </w:rPr>
        <w:t xml:space="preserve"> </w:t>
      </w:r>
      <w:r w:rsidRPr="00283806">
        <w:rPr>
          <w:w w:val="105"/>
        </w:rPr>
        <w:t>amount</w:t>
      </w:r>
      <w:r w:rsidRPr="00283806">
        <w:rPr>
          <w:spacing w:val="39"/>
          <w:w w:val="105"/>
        </w:rPr>
        <w:t xml:space="preserve"> </w:t>
      </w:r>
      <w:r w:rsidRPr="00283806">
        <w:rPr>
          <w:w w:val="105"/>
        </w:rPr>
        <w:t>(mass) of an HFC held in a full disposable cylinder varies by HFC, and hence the amount of the heel would vary.</w:t>
      </w:r>
      <w:r w:rsidRPr="00283806">
        <w:rPr>
          <w:spacing w:val="80"/>
          <w:w w:val="105"/>
        </w:rPr>
        <w:t xml:space="preserve"> </w:t>
      </w:r>
      <w:r w:rsidRPr="00283806">
        <w:rPr>
          <w:w w:val="105"/>
        </w:rPr>
        <w:t>Although typical full sizes include 30 pounds (</w:t>
      </w:r>
      <w:r w:rsidRPr="00283806">
        <w:rPr>
          <w:rFonts w:ascii="Book Antiqua" w:hAnsi="Book Antiqua"/>
          <w:i/>
          <w:w w:val="105"/>
        </w:rPr>
        <w:t xml:space="preserve">e.g., </w:t>
      </w:r>
      <w:r w:rsidRPr="00283806">
        <w:rPr>
          <w:w w:val="105"/>
        </w:rPr>
        <w:t>HFC–134a) and 25 pounds (</w:t>
      </w:r>
      <w:r w:rsidRPr="00283806">
        <w:rPr>
          <w:rFonts w:ascii="Book Antiqua" w:hAnsi="Book Antiqua"/>
          <w:i/>
          <w:w w:val="105"/>
        </w:rPr>
        <w:t xml:space="preserve">e.g., </w:t>
      </w:r>
      <w:r w:rsidRPr="00283806">
        <w:rPr>
          <w:w w:val="105"/>
        </w:rPr>
        <w:t>R–410A), to be conservative EPA used 24 pounds (</w:t>
      </w:r>
      <w:r w:rsidRPr="00283806">
        <w:rPr>
          <w:rFonts w:ascii="Book Antiqua" w:hAnsi="Book Antiqua"/>
          <w:i/>
          <w:w w:val="105"/>
        </w:rPr>
        <w:t xml:space="preserve">e.g., </w:t>
      </w:r>
      <w:r w:rsidRPr="00283806">
        <w:rPr>
          <w:w w:val="105"/>
        </w:rPr>
        <w:t>R–404A) as the cylinder size, thus leading to a heel of</w:t>
      </w:r>
    </w:p>
    <w:p w14:paraId="3A3C4358" w14:textId="77777777" w:rsidR="00D67C1E" w:rsidRPr="00283806" w:rsidRDefault="001265CA">
      <w:pPr>
        <w:pStyle w:val="BodyText"/>
        <w:spacing w:line="225" w:lineRule="auto"/>
        <w:ind w:left="146" w:right="179"/>
      </w:pPr>
      <w:r w:rsidRPr="00283806">
        <w:rPr>
          <w:w w:val="105"/>
        </w:rPr>
        <w:t>0.96 pounds or 0.288 pounds in the sensitivity analysis. As one commenter pointed out, at proposal, EPA had estimated higher heel amounts; this was due to the higher estimates of the charge size of cylinders and has been updated</w:t>
      </w:r>
      <w:r w:rsidRPr="00283806">
        <w:rPr>
          <w:spacing w:val="80"/>
          <w:w w:val="105"/>
        </w:rPr>
        <w:t xml:space="preserve"> </w:t>
      </w:r>
      <w:r w:rsidRPr="00283806">
        <w:rPr>
          <w:w w:val="105"/>
        </w:rPr>
        <w:t>in the Economic Impact and Benefits</w:t>
      </w:r>
      <w:r w:rsidRPr="00283806">
        <w:rPr>
          <w:spacing w:val="40"/>
          <w:w w:val="105"/>
        </w:rPr>
        <w:t xml:space="preserve"> </w:t>
      </w:r>
      <w:r w:rsidRPr="00283806">
        <w:rPr>
          <w:w w:val="105"/>
        </w:rPr>
        <w:t>TSD. EPA further notes that the information on which it was relying for the analyses for the proposed rule was reflected in the draft Cylinder Analysis TSD, which was included in the docket</w:t>
      </w:r>
      <w:r w:rsidRPr="00283806">
        <w:rPr>
          <w:spacing w:val="40"/>
          <w:w w:val="105"/>
        </w:rPr>
        <w:t xml:space="preserve"> </w:t>
      </w:r>
      <w:r w:rsidRPr="00283806">
        <w:rPr>
          <w:w w:val="105"/>
        </w:rPr>
        <w:t>for this rulemaking. As noted, EPA has updated the draft TSD and includes revisions to clarify the source of information that is presented in the TSD and</w:t>
      </w:r>
      <w:r w:rsidRPr="00283806">
        <w:rPr>
          <w:spacing w:val="40"/>
          <w:w w:val="105"/>
        </w:rPr>
        <w:t xml:space="preserve"> </w:t>
      </w:r>
      <w:r w:rsidRPr="00283806">
        <w:rPr>
          <w:w w:val="105"/>
        </w:rPr>
        <w:t>used</w:t>
      </w:r>
      <w:r w:rsidRPr="00283806">
        <w:rPr>
          <w:spacing w:val="40"/>
          <w:w w:val="105"/>
        </w:rPr>
        <w:t xml:space="preserve"> </w:t>
      </w:r>
      <w:r w:rsidRPr="00283806">
        <w:rPr>
          <w:w w:val="105"/>
        </w:rPr>
        <w:t>for</w:t>
      </w:r>
      <w:r w:rsidRPr="00283806">
        <w:rPr>
          <w:spacing w:val="40"/>
          <w:w w:val="105"/>
        </w:rPr>
        <w:t xml:space="preserve"> </w:t>
      </w:r>
      <w:r w:rsidRPr="00283806">
        <w:rPr>
          <w:w w:val="105"/>
        </w:rPr>
        <w:t>relevant</w:t>
      </w:r>
      <w:r w:rsidRPr="00283806">
        <w:rPr>
          <w:spacing w:val="40"/>
          <w:w w:val="105"/>
        </w:rPr>
        <w:t xml:space="preserve"> </w:t>
      </w:r>
      <w:r w:rsidRPr="00283806">
        <w:rPr>
          <w:w w:val="105"/>
        </w:rPr>
        <w:t xml:space="preserve">calculations. Thus, the relevant information that was considered in developing the proposed rule was available in the docket at the time of </w:t>
      </w:r>
      <w:proofErr w:type="gramStart"/>
      <w:r w:rsidRPr="00283806">
        <w:rPr>
          <w:w w:val="105"/>
        </w:rPr>
        <w:t>proposal</w:t>
      </w:r>
      <w:proofErr w:type="gramEnd"/>
      <w:r w:rsidRPr="00283806">
        <w:rPr>
          <w:w w:val="105"/>
        </w:rPr>
        <w:t>. Likewise, the information and data on which the final</w:t>
      </w:r>
    </w:p>
    <w:p w14:paraId="34F05139"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8" w:space="40"/>
            <w:col w:w="3497" w:space="39"/>
            <w:col w:w="3626"/>
          </w:cols>
        </w:sectPr>
      </w:pPr>
    </w:p>
    <w:p w14:paraId="0268D1C6" w14:textId="77777777" w:rsidR="00D67C1E" w:rsidRPr="00283806" w:rsidRDefault="001265CA">
      <w:pPr>
        <w:pStyle w:val="BodyText"/>
        <w:tabs>
          <w:tab w:val="left" w:pos="3699"/>
          <w:tab w:val="left" w:pos="4699"/>
        </w:tabs>
        <w:spacing w:line="132" w:lineRule="exact"/>
      </w:pPr>
      <w:r w:rsidRPr="00283806">
        <w:rPr>
          <w:w w:val="105"/>
        </w:rPr>
        <w:t>Refrigeration</w:t>
      </w:r>
      <w:r w:rsidRPr="00283806">
        <w:rPr>
          <w:spacing w:val="-3"/>
          <w:w w:val="105"/>
        </w:rPr>
        <w:t xml:space="preserve"> </w:t>
      </w:r>
      <w:r w:rsidRPr="00283806">
        <w:rPr>
          <w:w w:val="105"/>
        </w:rPr>
        <w:t>Distributors</w:t>
      </w:r>
      <w:r w:rsidRPr="00283806">
        <w:rPr>
          <w:spacing w:val="-3"/>
          <w:w w:val="105"/>
        </w:rPr>
        <w:t xml:space="preserve"> </w:t>
      </w:r>
      <w:r w:rsidRPr="00283806">
        <w:rPr>
          <w:spacing w:val="-2"/>
          <w:w w:val="105"/>
        </w:rPr>
        <w:t>International</w:t>
      </w:r>
      <w:r w:rsidRPr="00283806">
        <w:tab/>
      </w:r>
      <w:r w:rsidRPr="00283806">
        <w:rPr>
          <w:u w:val="single"/>
        </w:rPr>
        <w:tab/>
      </w:r>
    </w:p>
    <w:p w14:paraId="0A445926" w14:textId="77777777" w:rsidR="00D67C1E" w:rsidRPr="00283806" w:rsidRDefault="001265CA">
      <w:pPr>
        <w:pStyle w:val="BodyText"/>
        <w:spacing w:line="132" w:lineRule="exact"/>
      </w:pPr>
      <w:r w:rsidRPr="00283806">
        <w:br w:type="column"/>
      </w:r>
      <w:r w:rsidRPr="00283806">
        <w:rPr>
          <w:w w:val="110"/>
        </w:rPr>
        <w:t>rule</w:t>
      </w:r>
      <w:r w:rsidRPr="00283806">
        <w:rPr>
          <w:spacing w:val="-2"/>
          <w:w w:val="110"/>
        </w:rPr>
        <w:t xml:space="preserve"> </w:t>
      </w:r>
      <w:r w:rsidRPr="00283806">
        <w:rPr>
          <w:w w:val="110"/>
        </w:rPr>
        <w:t>is</w:t>
      </w:r>
      <w:r w:rsidRPr="00283806">
        <w:rPr>
          <w:spacing w:val="-1"/>
          <w:w w:val="110"/>
        </w:rPr>
        <w:t xml:space="preserve"> </w:t>
      </w:r>
      <w:r w:rsidRPr="00283806">
        <w:rPr>
          <w:w w:val="110"/>
        </w:rPr>
        <w:t>based</w:t>
      </w:r>
      <w:r w:rsidRPr="00283806">
        <w:rPr>
          <w:spacing w:val="-2"/>
          <w:w w:val="110"/>
        </w:rPr>
        <w:t xml:space="preserve"> </w:t>
      </w:r>
      <w:r w:rsidRPr="00283806">
        <w:rPr>
          <w:w w:val="110"/>
        </w:rPr>
        <w:t>is</w:t>
      </w:r>
      <w:r w:rsidRPr="00283806">
        <w:rPr>
          <w:spacing w:val="-1"/>
          <w:w w:val="110"/>
        </w:rPr>
        <w:t xml:space="preserve"> </w:t>
      </w:r>
      <w:r w:rsidRPr="00283806">
        <w:rPr>
          <w:w w:val="110"/>
        </w:rPr>
        <w:t>also</w:t>
      </w:r>
      <w:r w:rsidRPr="00283806">
        <w:rPr>
          <w:spacing w:val="-1"/>
          <w:w w:val="110"/>
        </w:rPr>
        <w:t xml:space="preserve"> </w:t>
      </w:r>
      <w:r w:rsidRPr="00283806">
        <w:rPr>
          <w:w w:val="110"/>
        </w:rPr>
        <w:t>included</w:t>
      </w:r>
      <w:r w:rsidRPr="00283806">
        <w:rPr>
          <w:spacing w:val="-2"/>
          <w:w w:val="110"/>
        </w:rPr>
        <w:t xml:space="preserve"> </w:t>
      </w:r>
      <w:r w:rsidRPr="00283806">
        <w:rPr>
          <w:w w:val="110"/>
        </w:rPr>
        <w:t>in</w:t>
      </w:r>
      <w:r w:rsidRPr="00283806">
        <w:rPr>
          <w:spacing w:val="-1"/>
          <w:w w:val="110"/>
        </w:rPr>
        <w:t xml:space="preserve"> </w:t>
      </w:r>
      <w:r w:rsidRPr="00283806">
        <w:rPr>
          <w:spacing w:val="-5"/>
          <w:w w:val="110"/>
        </w:rPr>
        <w:t>the</w:t>
      </w:r>
    </w:p>
    <w:p w14:paraId="7B1CAD77" w14:textId="77777777" w:rsidR="00D67C1E" w:rsidRPr="00283806" w:rsidRDefault="00D67C1E">
      <w:pPr>
        <w:spacing w:line="132" w:lineRule="exact"/>
        <w:sectPr w:rsidR="00D67C1E" w:rsidRPr="00283806">
          <w:type w:val="continuous"/>
          <w:pgSz w:w="12240" w:h="15840"/>
          <w:pgMar w:top="880" w:right="780" w:bottom="280" w:left="740" w:header="627" w:footer="0" w:gutter="0"/>
          <w:cols w:num="2" w:space="720" w:equalWidth="0">
            <w:col w:w="4740" w:space="2340"/>
            <w:col w:w="3640"/>
          </w:cols>
        </w:sectPr>
      </w:pPr>
    </w:p>
    <w:p w14:paraId="1637BAF0" w14:textId="77777777" w:rsidR="00D67C1E" w:rsidRPr="00283806" w:rsidRDefault="001265CA">
      <w:pPr>
        <w:pStyle w:val="BodyText"/>
        <w:spacing w:before="11" w:line="228" w:lineRule="auto"/>
        <w:ind w:right="39"/>
      </w:pPr>
      <w:r w:rsidRPr="00283806">
        <w:rPr>
          <w:w w:val="105"/>
        </w:rPr>
        <w:t>(HARDI), and 0.2 percent to 4.4 percent from Chemours, an HFC producer. The commenter also cited National Refrigerants,</w:t>
      </w:r>
      <w:r w:rsidRPr="00283806">
        <w:rPr>
          <w:spacing w:val="-2"/>
          <w:w w:val="105"/>
        </w:rPr>
        <w:t xml:space="preserve"> </w:t>
      </w:r>
      <w:r w:rsidRPr="00283806">
        <w:rPr>
          <w:w w:val="105"/>
        </w:rPr>
        <w:t>a</w:t>
      </w:r>
      <w:r w:rsidRPr="00283806">
        <w:rPr>
          <w:spacing w:val="-2"/>
          <w:w w:val="105"/>
        </w:rPr>
        <w:t xml:space="preserve"> </w:t>
      </w:r>
      <w:r w:rsidRPr="00283806">
        <w:rPr>
          <w:w w:val="105"/>
        </w:rPr>
        <w:t>reclaimer,</w:t>
      </w:r>
      <w:r w:rsidRPr="00283806">
        <w:rPr>
          <w:spacing w:val="-2"/>
          <w:w w:val="105"/>
        </w:rPr>
        <w:t xml:space="preserve"> </w:t>
      </w:r>
      <w:r w:rsidRPr="00283806">
        <w:rPr>
          <w:w w:val="105"/>
        </w:rPr>
        <w:t>stating</w:t>
      </w:r>
      <w:r w:rsidRPr="00283806">
        <w:rPr>
          <w:spacing w:val="-2"/>
          <w:w w:val="105"/>
        </w:rPr>
        <w:t xml:space="preserve"> </w:t>
      </w:r>
      <w:r w:rsidRPr="00283806">
        <w:rPr>
          <w:w w:val="105"/>
        </w:rPr>
        <w:t>that</w:t>
      </w:r>
      <w:r w:rsidRPr="00283806">
        <w:rPr>
          <w:spacing w:val="-2"/>
          <w:w w:val="105"/>
        </w:rPr>
        <w:t xml:space="preserve"> </w:t>
      </w:r>
      <w:r w:rsidRPr="00283806">
        <w:rPr>
          <w:w w:val="105"/>
        </w:rPr>
        <w:t>90 percent of cylinders have a remaining heel of 0.5 pounds (about two percent</w:t>
      </w:r>
      <w:r w:rsidRPr="00283806">
        <w:rPr>
          <w:spacing w:val="40"/>
          <w:w w:val="105"/>
        </w:rPr>
        <w:t xml:space="preserve"> </w:t>
      </w:r>
      <w:r w:rsidRPr="00283806">
        <w:rPr>
          <w:w w:val="105"/>
        </w:rPr>
        <w:t>by weight) or less and that 60 percent have no discernible heel. One</w:t>
      </w:r>
    </w:p>
    <w:p w14:paraId="730B5889" w14:textId="77777777" w:rsidR="00D67C1E" w:rsidRPr="00283806" w:rsidRDefault="001265CA">
      <w:pPr>
        <w:spacing w:before="4" w:line="232" w:lineRule="auto"/>
        <w:ind w:left="160" w:right="36" w:firstLine="140"/>
        <w:rPr>
          <w:sz w:val="14"/>
        </w:rPr>
      </w:pPr>
      <w:r w:rsidRPr="00283806">
        <w:br w:type="column"/>
      </w:r>
      <w:r w:rsidRPr="00283806">
        <w:rPr>
          <w:w w:val="105"/>
          <w:position w:val="4"/>
          <w:sz w:val="9"/>
        </w:rPr>
        <w:t xml:space="preserve">135 </w:t>
      </w:r>
      <w:r w:rsidRPr="00283806">
        <w:rPr>
          <w:w w:val="105"/>
          <w:sz w:val="14"/>
        </w:rPr>
        <w:t>EPA further notes that this comment stated</w:t>
      </w:r>
      <w:r w:rsidRPr="00283806">
        <w:rPr>
          <w:spacing w:val="40"/>
          <w:w w:val="105"/>
          <w:sz w:val="14"/>
        </w:rPr>
        <w:t xml:space="preserve"> </w:t>
      </w:r>
      <w:r w:rsidRPr="00283806">
        <w:rPr>
          <w:w w:val="105"/>
          <w:sz w:val="14"/>
        </w:rPr>
        <w:t>that it was incorporating the OMB Pass-Back</w:t>
      </w:r>
      <w:r w:rsidRPr="00283806">
        <w:rPr>
          <w:spacing w:val="80"/>
          <w:w w:val="105"/>
          <w:sz w:val="14"/>
        </w:rPr>
        <w:t xml:space="preserve"> </w:t>
      </w:r>
      <w:r w:rsidRPr="00283806">
        <w:rPr>
          <w:w w:val="105"/>
          <w:sz w:val="14"/>
        </w:rPr>
        <w:t>records in EPA–HQ–OAR–2022–0606–0028 with</w:t>
      </w:r>
      <w:r w:rsidRPr="00283806">
        <w:rPr>
          <w:spacing w:val="80"/>
          <w:w w:val="105"/>
          <w:sz w:val="14"/>
        </w:rPr>
        <w:t xml:space="preserve"> </w:t>
      </w:r>
      <w:r w:rsidRPr="00283806">
        <w:rPr>
          <w:w w:val="105"/>
          <w:sz w:val="14"/>
        </w:rPr>
        <w:t>the stated goal of ensuring that these records would</w:t>
      </w:r>
      <w:r w:rsidRPr="00283806">
        <w:rPr>
          <w:spacing w:val="40"/>
          <w:w w:val="105"/>
          <w:sz w:val="14"/>
        </w:rPr>
        <w:t xml:space="preserve"> </w:t>
      </w:r>
      <w:r w:rsidRPr="00283806">
        <w:rPr>
          <w:w w:val="105"/>
          <w:sz w:val="14"/>
        </w:rPr>
        <w:t>be included within the administrative record for</w:t>
      </w:r>
      <w:r w:rsidRPr="00283806">
        <w:rPr>
          <w:spacing w:val="80"/>
          <w:w w:val="105"/>
          <w:sz w:val="14"/>
        </w:rPr>
        <w:t xml:space="preserve"> </w:t>
      </w:r>
      <w:r w:rsidRPr="00283806">
        <w:rPr>
          <w:w w:val="105"/>
          <w:sz w:val="14"/>
        </w:rPr>
        <w:t>any subsequent judicial review of this rulemaking.</w:t>
      </w:r>
      <w:r w:rsidRPr="00283806">
        <w:rPr>
          <w:spacing w:val="40"/>
          <w:w w:val="105"/>
          <w:sz w:val="14"/>
        </w:rPr>
        <w:t xml:space="preserve"> </w:t>
      </w:r>
      <w:r w:rsidRPr="00283806">
        <w:rPr>
          <w:w w:val="105"/>
          <w:sz w:val="14"/>
        </w:rPr>
        <w:t>EPA responds that section 307(d)(7)(A) of the CAA</w:t>
      </w:r>
      <w:r w:rsidRPr="00283806">
        <w:rPr>
          <w:spacing w:val="40"/>
          <w:w w:val="105"/>
          <w:sz w:val="14"/>
        </w:rPr>
        <w:t xml:space="preserve"> </w:t>
      </w:r>
      <w:r w:rsidRPr="00283806">
        <w:rPr>
          <w:w w:val="105"/>
          <w:sz w:val="14"/>
        </w:rPr>
        <w:t>is clear that the record for judicial review does not</w:t>
      </w:r>
      <w:r w:rsidRPr="00283806">
        <w:rPr>
          <w:spacing w:val="40"/>
          <w:w w:val="105"/>
          <w:sz w:val="14"/>
        </w:rPr>
        <w:t xml:space="preserve"> </w:t>
      </w:r>
      <w:r w:rsidRPr="00283806">
        <w:rPr>
          <w:w w:val="105"/>
          <w:sz w:val="14"/>
        </w:rPr>
        <w:t>contain interagency review materials as described</w:t>
      </w:r>
      <w:r w:rsidRPr="00283806">
        <w:rPr>
          <w:spacing w:val="80"/>
          <w:w w:val="105"/>
          <w:sz w:val="14"/>
        </w:rPr>
        <w:t xml:space="preserve"> </w:t>
      </w:r>
      <w:r w:rsidRPr="00283806">
        <w:rPr>
          <w:w w:val="105"/>
          <w:sz w:val="14"/>
        </w:rPr>
        <w:t>in CAA 307(d)(4)(B)(ii).</w:t>
      </w:r>
    </w:p>
    <w:p w14:paraId="15506753" w14:textId="77777777" w:rsidR="00D67C1E" w:rsidRPr="00283806" w:rsidRDefault="001265CA">
      <w:pPr>
        <w:pStyle w:val="BodyText"/>
        <w:spacing w:before="27" w:line="197" w:lineRule="exact"/>
      </w:pPr>
      <w:r w:rsidRPr="00283806">
        <w:br w:type="column"/>
      </w:r>
      <w:r w:rsidRPr="00283806">
        <w:rPr>
          <w:spacing w:val="-2"/>
          <w:w w:val="110"/>
        </w:rPr>
        <w:t>docket.</w:t>
      </w:r>
    </w:p>
    <w:p w14:paraId="48988FD4" w14:textId="77777777" w:rsidR="00D67C1E" w:rsidRPr="00283806" w:rsidRDefault="001265CA">
      <w:pPr>
        <w:pStyle w:val="BodyText"/>
        <w:spacing w:line="225" w:lineRule="auto"/>
        <w:ind w:right="199" w:firstLine="180"/>
      </w:pPr>
      <w:r w:rsidRPr="00283806">
        <w:rPr>
          <w:w w:val="105"/>
        </w:rPr>
        <w:t>In addition to the above sensitivity analysis, EPA performed analyses assuming a much higher number of disposable cylinders, assuming full recovery of a large share of such cylinders, and a combination of all three assumptions. EPA refers to the</w:t>
      </w:r>
    </w:p>
    <w:p w14:paraId="1FD28618" w14:textId="77777777" w:rsidR="00D67C1E" w:rsidRPr="00283806" w:rsidRDefault="00D67C1E">
      <w:pPr>
        <w:spacing w:line="225" w:lineRule="auto"/>
        <w:sectPr w:rsidR="00D67C1E" w:rsidRPr="00283806">
          <w:type w:val="continuous"/>
          <w:pgSz w:w="12240" w:h="15840"/>
          <w:pgMar w:top="880" w:right="780" w:bottom="280" w:left="740" w:header="627" w:footer="0" w:gutter="0"/>
          <w:cols w:num="3" w:space="720" w:equalWidth="0">
            <w:col w:w="3476" w:space="64"/>
            <w:col w:w="3470" w:space="70"/>
            <w:col w:w="3640"/>
          </w:cols>
        </w:sectPr>
      </w:pPr>
    </w:p>
    <w:p w14:paraId="6A6F0488" w14:textId="77777777" w:rsidR="00D67C1E" w:rsidRPr="00283806" w:rsidRDefault="001265CA">
      <w:pPr>
        <w:pStyle w:val="BodyText"/>
        <w:spacing w:before="136" w:line="225" w:lineRule="auto"/>
        <w:ind w:right="128"/>
      </w:pPr>
      <w:r w:rsidRPr="00283806">
        <w:rPr>
          <w:w w:val="110"/>
        </w:rPr>
        <w:lastRenderedPageBreak/>
        <w:t>Economic</w:t>
      </w:r>
      <w:r w:rsidRPr="00283806">
        <w:rPr>
          <w:spacing w:val="-11"/>
          <w:w w:val="110"/>
        </w:rPr>
        <w:t xml:space="preserve"> </w:t>
      </w:r>
      <w:r w:rsidRPr="00283806">
        <w:rPr>
          <w:w w:val="110"/>
        </w:rPr>
        <w:t>Impact</w:t>
      </w:r>
      <w:r w:rsidRPr="00283806">
        <w:rPr>
          <w:spacing w:val="-11"/>
          <w:w w:val="110"/>
        </w:rPr>
        <w:t xml:space="preserve"> </w:t>
      </w:r>
      <w:r w:rsidRPr="00283806">
        <w:rPr>
          <w:w w:val="110"/>
        </w:rPr>
        <w:t>and</w:t>
      </w:r>
      <w:r w:rsidRPr="00283806">
        <w:rPr>
          <w:spacing w:val="-11"/>
          <w:w w:val="110"/>
        </w:rPr>
        <w:t xml:space="preserve"> </w:t>
      </w:r>
      <w:r w:rsidRPr="00283806">
        <w:rPr>
          <w:w w:val="110"/>
        </w:rPr>
        <w:t>Benefits</w:t>
      </w:r>
      <w:r w:rsidRPr="00283806">
        <w:rPr>
          <w:spacing w:val="-11"/>
          <w:w w:val="110"/>
        </w:rPr>
        <w:t xml:space="preserve"> </w:t>
      </w:r>
      <w:r w:rsidRPr="00283806">
        <w:rPr>
          <w:w w:val="110"/>
        </w:rPr>
        <w:t>TSD</w:t>
      </w:r>
      <w:r w:rsidRPr="00283806">
        <w:rPr>
          <w:spacing w:val="-11"/>
          <w:w w:val="110"/>
        </w:rPr>
        <w:t xml:space="preserve"> </w:t>
      </w:r>
      <w:r w:rsidRPr="00283806">
        <w:rPr>
          <w:w w:val="110"/>
        </w:rPr>
        <w:t>for additional details and results.</w:t>
      </w:r>
    </w:p>
    <w:p w14:paraId="400DCFFD" w14:textId="77777777" w:rsidR="00D67C1E" w:rsidRPr="00283806" w:rsidRDefault="001265CA">
      <w:pPr>
        <w:pStyle w:val="BodyText"/>
        <w:spacing w:line="179" w:lineRule="exact"/>
        <w:ind w:left="340"/>
      </w:pPr>
      <w:r w:rsidRPr="00283806">
        <w:rPr>
          <w:w w:val="105"/>
        </w:rPr>
        <w:t>EPA</w:t>
      </w:r>
      <w:r w:rsidRPr="00283806">
        <w:rPr>
          <w:spacing w:val="11"/>
          <w:w w:val="105"/>
        </w:rPr>
        <w:t xml:space="preserve"> </w:t>
      </w:r>
      <w:r w:rsidRPr="00283806">
        <w:rPr>
          <w:w w:val="105"/>
        </w:rPr>
        <w:t>responds</w:t>
      </w:r>
      <w:r w:rsidRPr="00283806">
        <w:rPr>
          <w:spacing w:val="12"/>
          <w:w w:val="105"/>
        </w:rPr>
        <w:t xml:space="preserve"> </w:t>
      </w:r>
      <w:r w:rsidRPr="00283806">
        <w:rPr>
          <w:w w:val="105"/>
        </w:rPr>
        <w:t>to</w:t>
      </w:r>
      <w:r w:rsidRPr="00283806">
        <w:rPr>
          <w:spacing w:val="11"/>
          <w:w w:val="105"/>
        </w:rPr>
        <w:t xml:space="preserve"> </w:t>
      </w:r>
      <w:r w:rsidRPr="00283806">
        <w:rPr>
          <w:w w:val="105"/>
        </w:rPr>
        <w:t>the</w:t>
      </w:r>
      <w:r w:rsidRPr="00283806">
        <w:rPr>
          <w:spacing w:val="12"/>
          <w:w w:val="105"/>
        </w:rPr>
        <w:t xml:space="preserve"> </w:t>
      </w:r>
      <w:r w:rsidRPr="00283806">
        <w:rPr>
          <w:spacing w:val="-2"/>
          <w:w w:val="105"/>
        </w:rPr>
        <w:t>commenter</w:t>
      </w:r>
    </w:p>
    <w:p w14:paraId="6CF0FD0A" w14:textId="77777777" w:rsidR="00D67C1E" w:rsidRPr="00283806" w:rsidRDefault="001265CA">
      <w:pPr>
        <w:pStyle w:val="BodyText"/>
        <w:spacing w:before="4" w:line="225" w:lineRule="auto"/>
        <w:ind w:right="18"/>
      </w:pPr>
      <w:r w:rsidRPr="00283806">
        <w:rPr>
          <w:w w:val="105"/>
        </w:rPr>
        <w:t>regarding the venting rate of refrigerant heels</w:t>
      </w:r>
      <w:r w:rsidRPr="00283806">
        <w:rPr>
          <w:spacing w:val="40"/>
          <w:w w:val="105"/>
        </w:rPr>
        <w:t xml:space="preserve"> </w:t>
      </w:r>
      <w:r w:rsidRPr="00283806">
        <w:rPr>
          <w:w w:val="105"/>
        </w:rPr>
        <w:t>in</w:t>
      </w:r>
      <w:r w:rsidRPr="00283806">
        <w:rPr>
          <w:spacing w:val="40"/>
          <w:w w:val="105"/>
        </w:rPr>
        <w:t xml:space="preserve"> </w:t>
      </w:r>
      <w:r w:rsidRPr="00283806">
        <w:rPr>
          <w:w w:val="105"/>
        </w:rPr>
        <w:t>disposable</w:t>
      </w:r>
      <w:r w:rsidRPr="00283806">
        <w:rPr>
          <w:spacing w:val="40"/>
          <w:w w:val="105"/>
        </w:rPr>
        <w:t xml:space="preserve"> </w:t>
      </w:r>
      <w:r w:rsidRPr="00283806">
        <w:rPr>
          <w:w w:val="105"/>
        </w:rPr>
        <w:t>cylinders.</w:t>
      </w:r>
      <w:r w:rsidRPr="00283806">
        <w:rPr>
          <w:spacing w:val="40"/>
          <w:w w:val="105"/>
        </w:rPr>
        <w:t xml:space="preserve"> </w:t>
      </w:r>
      <w:r w:rsidRPr="00283806">
        <w:rPr>
          <w:w w:val="105"/>
        </w:rPr>
        <w:t>EPA</w:t>
      </w:r>
      <w:r w:rsidRPr="00283806">
        <w:rPr>
          <w:spacing w:val="40"/>
          <w:w w:val="105"/>
        </w:rPr>
        <w:t xml:space="preserve"> </w:t>
      </w:r>
      <w:r w:rsidRPr="00283806">
        <w:rPr>
          <w:w w:val="105"/>
        </w:rPr>
        <w:t>is not using the assumption that 95</w:t>
      </w:r>
      <w:r w:rsidRPr="00283806">
        <w:rPr>
          <w:spacing w:val="80"/>
          <w:w w:val="105"/>
        </w:rPr>
        <w:t xml:space="preserve"> </w:t>
      </w:r>
      <w:r w:rsidRPr="00283806">
        <w:rPr>
          <w:w w:val="105"/>
        </w:rPr>
        <w:t>percent of heels are vented as a basis for its analysis in either the preamble, the Economic</w:t>
      </w:r>
      <w:r w:rsidRPr="00283806">
        <w:rPr>
          <w:spacing w:val="40"/>
          <w:w w:val="105"/>
        </w:rPr>
        <w:t xml:space="preserve"> </w:t>
      </w:r>
      <w:r w:rsidRPr="00283806">
        <w:rPr>
          <w:w w:val="105"/>
        </w:rPr>
        <w:t>Impact</w:t>
      </w:r>
      <w:r w:rsidRPr="00283806">
        <w:rPr>
          <w:spacing w:val="40"/>
          <w:w w:val="105"/>
        </w:rPr>
        <w:t xml:space="preserve"> </w:t>
      </w:r>
      <w:r w:rsidRPr="00283806">
        <w:rPr>
          <w:w w:val="105"/>
        </w:rPr>
        <w:t>and</w:t>
      </w:r>
      <w:r w:rsidRPr="00283806">
        <w:rPr>
          <w:spacing w:val="40"/>
          <w:w w:val="105"/>
        </w:rPr>
        <w:t xml:space="preserve"> </w:t>
      </w:r>
      <w:r w:rsidRPr="00283806">
        <w:rPr>
          <w:w w:val="105"/>
        </w:rPr>
        <w:t>Benefits</w:t>
      </w:r>
      <w:r w:rsidRPr="00283806">
        <w:rPr>
          <w:spacing w:val="40"/>
          <w:w w:val="105"/>
        </w:rPr>
        <w:t xml:space="preserve"> </w:t>
      </w:r>
      <w:r w:rsidRPr="00283806">
        <w:rPr>
          <w:w w:val="105"/>
        </w:rPr>
        <w:t>TSD,</w:t>
      </w:r>
      <w:r w:rsidRPr="00283806">
        <w:rPr>
          <w:spacing w:val="40"/>
          <w:w w:val="105"/>
        </w:rPr>
        <w:t xml:space="preserve"> </w:t>
      </w:r>
      <w:r w:rsidRPr="00283806">
        <w:rPr>
          <w:w w:val="105"/>
        </w:rPr>
        <w:t>or in any other supporting documents. In the Economic Impact and Benefits TSD, EPA provided a cost and emissions reduction analysis for disposable</w:t>
      </w:r>
      <w:r w:rsidRPr="00283806">
        <w:rPr>
          <w:spacing w:val="40"/>
          <w:w w:val="105"/>
        </w:rPr>
        <w:t xml:space="preserve"> </w:t>
      </w:r>
      <w:r w:rsidRPr="00283806">
        <w:rPr>
          <w:w w:val="105"/>
        </w:rPr>
        <w:t>cylinder heels with two venting scenarios: a scenario in which 10</w:t>
      </w:r>
      <w:r w:rsidRPr="00283806">
        <w:rPr>
          <w:spacing w:val="80"/>
          <w:w w:val="105"/>
        </w:rPr>
        <w:t xml:space="preserve"> </w:t>
      </w:r>
      <w:r w:rsidRPr="00283806">
        <w:rPr>
          <w:w w:val="105"/>
        </w:rPr>
        <w:t>percent</w:t>
      </w:r>
      <w:r w:rsidRPr="00283806">
        <w:rPr>
          <w:spacing w:val="40"/>
          <w:w w:val="105"/>
        </w:rPr>
        <w:t xml:space="preserve"> </w:t>
      </w:r>
      <w:r w:rsidRPr="00283806">
        <w:rPr>
          <w:w w:val="105"/>
        </w:rPr>
        <w:t>of</w:t>
      </w:r>
      <w:r w:rsidRPr="00283806">
        <w:rPr>
          <w:spacing w:val="40"/>
          <w:w w:val="105"/>
        </w:rPr>
        <w:t xml:space="preserve"> </w:t>
      </w:r>
      <w:r w:rsidRPr="00283806">
        <w:rPr>
          <w:w w:val="105"/>
        </w:rPr>
        <w:t>cylinder</w:t>
      </w:r>
      <w:r w:rsidRPr="00283806">
        <w:rPr>
          <w:spacing w:val="40"/>
          <w:w w:val="105"/>
        </w:rPr>
        <w:t xml:space="preserve"> </w:t>
      </w:r>
      <w:r w:rsidRPr="00283806">
        <w:rPr>
          <w:w w:val="105"/>
        </w:rPr>
        <w:t>heels</w:t>
      </w:r>
      <w:r w:rsidRPr="00283806">
        <w:rPr>
          <w:spacing w:val="40"/>
          <w:w w:val="105"/>
        </w:rPr>
        <w:t xml:space="preserve"> </w:t>
      </w:r>
      <w:r w:rsidRPr="00283806">
        <w:rPr>
          <w:w w:val="105"/>
        </w:rPr>
        <w:t>are</w:t>
      </w:r>
      <w:r w:rsidRPr="00283806">
        <w:rPr>
          <w:spacing w:val="40"/>
          <w:w w:val="105"/>
        </w:rPr>
        <w:t xml:space="preserve"> </w:t>
      </w:r>
      <w:r w:rsidRPr="00283806">
        <w:rPr>
          <w:w w:val="105"/>
        </w:rPr>
        <w:t>vented, and a control analysis in which 100 percent of refrigerant heels are vented. See Table K–5 of the TSD. Readers may estimate approximate costs and benefits at different venting scenarios by linearly interpolating between the results of the two scenarios conducted. EPA acknowledges that there are other publicly available estimates of</w:t>
      </w:r>
      <w:r w:rsidRPr="00283806">
        <w:rPr>
          <w:spacing w:val="40"/>
          <w:w w:val="105"/>
        </w:rPr>
        <w:t xml:space="preserve"> </w:t>
      </w:r>
      <w:r w:rsidRPr="00283806">
        <w:rPr>
          <w:w w:val="105"/>
        </w:rPr>
        <w:t>refrigerant venting, including CARB’s estimate that 70 percent of disposable cylinders are recycled or disposed of without heel evacuation.</w:t>
      </w:r>
    </w:p>
    <w:p w14:paraId="74286A8E" w14:textId="77777777" w:rsidR="00D67C1E" w:rsidRPr="00283806" w:rsidRDefault="001265CA">
      <w:pPr>
        <w:spacing w:line="176" w:lineRule="exact"/>
        <w:ind w:left="340"/>
        <w:rPr>
          <w:sz w:val="18"/>
        </w:rPr>
      </w:pPr>
      <w:r w:rsidRPr="00283806">
        <w:rPr>
          <w:rFonts w:ascii="Book Antiqua"/>
          <w:i/>
          <w:w w:val="105"/>
          <w:sz w:val="18"/>
        </w:rPr>
        <w:t>Comment:</w:t>
      </w:r>
      <w:r w:rsidRPr="00283806">
        <w:rPr>
          <w:rFonts w:ascii="Book Antiqua"/>
          <w:i/>
          <w:spacing w:val="22"/>
          <w:w w:val="105"/>
          <w:sz w:val="18"/>
        </w:rPr>
        <w:t xml:space="preserve"> </w:t>
      </w:r>
      <w:r w:rsidRPr="00283806">
        <w:rPr>
          <w:w w:val="105"/>
          <w:sz w:val="18"/>
        </w:rPr>
        <w:t>One</w:t>
      </w:r>
      <w:r w:rsidRPr="00283806">
        <w:rPr>
          <w:spacing w:val="28"/>
          <w:w w:val="105"/>
          <w:sz w:val="18"/>
        </w:rPr>
        <w:t xml:space="preserve"> </w:t>
      </w:r>
      <w:r w:rsidRPr="00283806">
        <w:rPr>
          <w:w w:val="105"/>
          <w:sz w:val="18"/>
        </w:rPr>
        <w:t>commenter</w:t>
      </w:r>
      <w:r w:rsidRPr="00283806">
        <w:rPr>
          <w:spacing w:val="28"/>
          <w:w w:val="105"/>
          <w:sz w:val="18"/>
        </w:rPr>
        <w:t xml:space="preserve"> </w:t>
      </w:r>
      <w:r w:rsidRPr="00283806">
        <w:rPr>
          <w:spacing w:val="-2"/>
          <w:w w:val="105"/>
          <w:sz w:val="18"/>
        </w:rPr>
        <w:t>expressed</w:t>
      </w:r>
    </w:p>
    <w:p w14:paraId="4D8CC897" w14:textId="77777777" w:rsidR="00D67C1E" w:rsidRPr="00283806" w:rsidRDefault="001265CA">
      <w:pPr>
        <w:pStyle w:val="BodyText"/>
        <w:spacing w:line="225" w:lineRule="auto"/>
        <w:ind w:right="38"/>
      </w:pPr>
      <w:r w:rsidRPr="00283806">
        <w:rPr>
          <w:w w:val="105"/>
        </w:rPr>
        <w:t>concern with the Agency’s draft RIA addendum and conclusions regarding sufficiency of the infrastructure necessitated by the proposed new cylinder management and tracking requirements, as well as the time and costs associated with its implementation and broad application across multiple industry sectors; requiring thousands of businesses, including many small businesses, to comply with extensive</w:t>
      </w:r>
      <w:r w:rsidRPr="00283806">
        <w:rPr>
          <w:spacing w:val="40"/>
          <w:w w:val="105"/>
        </w:rPr>
        <w:t xml:space="preserve"> </w:t>
      </w:r>
      <w:r w:rsidRPr="00283806">
        <w:rPr>
          <w:w w:val="105"/>
        </w:rPr>
        <w:t>new obligations on extremely short timelines. The commenter stated that</w:t>
      </w:r>
      <w:r w:rsidRPr="00283806">
        <w:rPr>
          <w:spacing w:val="40"/>
          <w:w w:val="105"/>
        </w:rPr>
        <w:t xml:space="preserve"> </w:t>
      </w:r>
      <w:r w:rsidRPr="00283806">
        <w:rPr>
          <w:w w:val="105"/>
        </w:rPr>
        <w:t>EPA must use relevant data to develop</w:t>
      </w:r>
    </w:p>
    <w:p w14:paraId="2CF81E33" w14:textId="77777777" w:rsidR="00D67C1E" w:rsidRPr="00283806" w:rsidRDefault="001265CA">
      <w:pPr>
        <w:pStyle w:val="BodyText"/>
        <w:spacing w:line="225" w:lineRule="auto"/>
        <w:ind w:right="59"/>
      </w:pPr>
      <w:r w:rsidRPr="00283806">
        <w:rPr>
          <w:w w:val="105"/>
        </w:rPr>
        <w:t>a reasonable estimate of the number of refrigerant cylinders that these</w:t>
      </w:r>
      <w:r w:rsidRPr="00283806">
        <w:rPr>
          <w:spacing w:val="40"/>
          <w:w w:val="105"/>
        </w:rPr>
        <w:t xml:space="preserve"> </w:t>
      </w:r>
      <w:r w:rsidRPr="00283806">
        <w:rPr>
          <w:w w:val="105"/>
        </w:rPr>
        <w:t>thousands of newly regulated entities</w:t>
      </w:r>
      <w:r w:rsidRPr="00283806">
        <w:rPr>
          <w:spacing w:val="40"/>
          <w:w w:val="105"/>
        </w:rPr>
        <w:t xml:space="preserve"> </w:t>
      </w:r>
      <w:r w:rsidRPr="00283806">
        <w:rPr>
          <w:w w:val="105"/>
        </w:rPr>
        <w:t>will be required to manage and track, stating that the assumption that ‘‘4.5 million</w:t>
      </w:r>
      <w:r w:rsidRPr="00283806">
        <w:rPr>
          <w:spacing w:val="40"/>
          <w:w w:val="105"/>
        </w:rPr>
        <w:t xml:space="preserve"> </w:t>
      </w:r>
      <w:r w:rsidRPr="00283806">
        <w:rPr>
          <w:w w:val="105"/>
        </w:rPr>
        <w:t>HFC</w:t>
      </w:r>
      <w:r w:rsidRPr="00283806">
        <w:rPr>
          <w:spacing w:val="40"/>
          <w:w w:val="105"/>
        </w:rPr>
        <w:t xml:space="preserve"> </w:t>
      </w:r>
      <w:r w:rsidRPr="00283806">
        <w:rPr>
          <w:w w:val="105"/>
        </w:rPr>
        <w:t>cylinders</w:t>
      </w:r>
      <w:r w:rsidRPr="00283806">
        <w:rPr>
          <w:spacing w:val="40"/>
          <w:w w:val="105"/>
        </w:rPr>
        <w:t xml:space="preserve"> </w:t>
      </w:r>
      <w:r w:rsidRPr="00283806">
        <w:rPr>
          <w:w w:val="105"/>
        </w:rPr>
        <w:t>will</w:t>
      </w:r>
      <w:r w:rsidRPr="00283806">
        <w:rPr>
          <w:spacing w:val="40"/>
          <w:w w:val="105"/>
        </w:rPr>
        <w:t xml:space="preserve"> </w:t>
      </w:r>
      <w:r w:rsidRPr="00283806">
        <w:rPr>
          <w:w w:val="105"/>
        </w:rPr>
        <w:t>be</w:t>
      </w:r>
      <w:r w:rsidRPr="00283806">
        <w:rPr>
          <w:spacing w:val="40"/>
          <w:w w:val="105"/>
        </w:rPr>
        <w:t xml:space="preserve"> </w:t>
      </w:r>
      <w:r w:rsidRPr="00283806">
        <w:rPr>
          <w:w w:val="105"/>
        </w:rPr>
        <w:t>sold</w:t>
      </w:r>
      <w:r w:rsidRPr="00283806">
        <w:rPr>
          <w:spacing w:val="40"/>
          <w:w w:val="105"/>
        </w:rPr>
        <w:t xml:space="preserve"> </w:t>
      </w:r>
      <w:r w:rsidRPr="00283806">
        <w:rPr>
          <w:w w:val="105"/>
        </w:rPr>
        <w:t>in the United States in 2025’’ represents a substantial underestimation that is not based on, and in fact fails to consider, relevant and credible data in the</w:t>
      </w:r>
      <w:r w:rsidRPr="00283806">
        <w:rPr>
          <w:spacing w:val="40"/>
          <w:w w:val="105"/>
        </w:rPr>
        <w:t xml:space="preserve"> </w:t>
      </w:r>
      <w:r w:rsidRPr="00283806">
        <w:rPr>
          <w:w w:val="105"/>
        </w:rPr>
        <w:t>Agency’s possession, including</w:t>
      </w:r>
      <w:r w:rsidRPr="00283806">
        <w:rPr>
          <w:spacing w:val="80"/>
          <w:w w:val="105"/>
        </w:rPr>
        <w:t xml:space="preserve"> </w:t>
      </w:r>
      <w:r w:rsidRPr="00283806">
        <w:rPr>
          <w:w w:val="105"/>
        </w:rPr>
        <w:t>comments on the proposed 2021 NRC Ban</w:t>
      </w:r>
      <w:r w:rsidRPr="00283806">
        <w:rPr>
          <w:spacing w:val="40"/>
          <w:w w:val="105"/>
        </w:rPr>
        <w:t xml:space="preserve"> </w:t>
      </w:r>
      <w:r w:rsidRPr="00283806">
        <w:rPr>
          <w:w w:val="105"/>
        </w:rPr>
        <w:t>and</w:t>
      </w:r>
      <w:r w:rsidRPr="00283806">
        <w:rPr>
          <w:spacing w:val="40"/>
          <w:w w:val="105"/>
        </w:rPr>
        <w:t xml:space="preserve"> </w:t>
      </w:r>
      <w:r w:rsidRPr="00283806">
        <w:rPr>
          <w:w w:val="105"/>
        </w:rPr>
        <w:t>confidential</w:t>
      </w:r>
      <w:r w:rsidRPr="00283806">
        <w:rPr>
          <w:spacing w:val="40"/>
          <w:w w:val="105"/>
        </w:rPr>
        <w:t xml:space="preserve"> </w:t>
      </w:r>
      <w:r w:rsidRPr="00283806">
        <w:rPr>
          <w:w w:val="105"/>
        </w:rPr>
        <w:t>sales</w:t>
      </w:r>
      <w:r w:rsidRPr="00283806">
        <w:rPr>
          <w:spacing w:val="40"/>
          <w:w w:val="105"/>
        </w:rPr>
        <w:t xml:space="preserve"> </w:t>
      </w:r>
      <w:r w:rsidRPr="00283806">
        <w:rPr>
          <w:w w:val="105"/>
        </w:rPr>
        <w:t>data provided to the Agency, as well as data from the United States International Trade Commission. The commenter further stated that the Agency’s 4.5 million cylinder estimate only</w:t>
      </w:r>
      <w:r w:rsidRPr="00283806">
        <w:rPr>
          <w:spacing w:val="80"/>
          <w:w w:val="105"/>
        </w:rPr>
        <w:t xml:space="preserve"> </w:t>
      </w:r>
      <w:r w:rsidRPr="00283806">
        <w:rPr>
          <w:w w:val="105"/>
        </w:rPr>
        <w:t>represents the number of 30-pound refrigerant cylinders used annually in</w:t>
      </w:r>
      <w:r w:rsidRPr="00283806">
        <w:rPr>
          <w:spacing w:val="80"/>
          <w:w w:val="105"/>
        </w:rPr>
        <w:t xml:space="preserve"> </w:t>
      </w:r>
      <w:r w:rsidRPr="00283806">
        <w:rPr>
          <w:w w:val="105"/>
        </w:rPr>
        <w:t>the United States, and this estimate does not include 15-pound cylinders, 50- pound cylinders, or any other bulk refrigerant containers that would be subject to the proposed rule’s cylinder</w:t>
      </w:r>
    </w:p>
    <w:p w14:paraId="45AB6018" w14:textId="77777777" w:rsidR="00D67C1E" w:rsidRPr="00283806" w:rsidRDefault="001265CA">
      <w:pPr>
        <w:pStyle w:val="BodyText"/>
        <w:spacing w:before="136" w:line="225" w:lineRule="auto"/>
        <w:ind w:left="144" w:right="25"/>
      </w:pPr>
      <w:r w:rsidRPr="00283806">
        <w:br w:type="column"/>
      </w:r>
      <w:r w:rsidRPr="00283806">
        <w:rPr>
          <w:w w:val="105"/>
        </w:rPr>
        <w:t>management</w:t>
      </w:r>
      <w:r w:rsidRPr="00283806">
        <w:rPr>
          <w:spacing w:val="-3"/>
          <w:w w:val="105"/>
        </w:rPr>
        <w:t xml:space="preserve"> </w:t>
      </w:r>
      <w:r w:rsidRPr="00283806">
        <w:rPr>
          <w:w w:val="105"/>
        </w:rPr>
        <w:t>and</w:t>
      </w:r>
      <w:r w:rsidRPr="00283806">
        <w:rPr>
          <w:spacing w:val="-3"/>
          <w:w w:val="105"/>
        </w:rPr>
        <w:t xml:space="preserve"> </w:t>
      </w:r>
      <w:r w:rsidRPr="00283806">
        <w:rPr>
          <w:w w:val="105"/>
        </w:rPr>
        <w:t>tracking</w:t>
      </w:r>
      <w:r w:rsidRPr="00283806">
        <w:rPr>
          <w:spacing w:val="-3"/>
          <w:w w:val="105"/>
        </w:rPr>
        <w:t xml:space="preserve"> </w:t>
      </w:r>
      <w:r w:rsidRPr="00283806">
        <w:rPr>
          <w:w w:val="105"/>
        </w:rPr>
        <w:t>requirements, noting that without a reasonable estimate of the universe of refrigerant cylinders potentially impacted, EPA cannot assess small business impacts as required by the Regulatory Flexibility</w:t>
      </w:r>
      <w:r w:rsidRPr="00283806">
        <w:rPr>
          <w:spacing w:val="40"/>
          <w:w w:val="105"/>
        </w:rPr>
        <w:t xml:space="preserve"> </w:t>
      </w:r>
      <w:r w:rsidRPr="00283806">
        <w:rPr>
          <w:w w:val="105"/>
        </w:rPr>
        <w:t xml:space="preserve">Act (RFA) or the cost of the proposed rule’s recordkeeping and reporting requirements under the Paperwork Reduction Act (PRA). The commenter urged EPA </w:t>
      </w:r>
      <w:proofErr w:type="gramStart"/>
      <w:r w:rsidRPr="00283806">
        <w:rPr>
          <w:w w:val="105"/>
        </w:rPr>
        <w:t>reevaluate</w:t>
      </w:r>
      <w:proofErr w:type="gramEnd"/>
      <w:r w:rsidRPr="00283806">
        <w:rPr>
          <w:w w:val="105"/>
        </w:rPr>
        <w:t xml:space="preserve"> its conclusions </w:t>
      </w:r>
      <w:proofErr w:type="gramStart"/>
      <w:r w:rsidRPr="00283806">
        <w:rPr>
          <w:w w:val="105"/>
        </w:rPr>
        <w:t>in light of</w:t>
      </w:r>
      <w:proofErr w:type="gramEnd"/>
      <w:r w:rsidRPr="00283806">
        <w:rPr>
          <w:w w:val="105"/>
        </w:rPr>
        <w:t xml:space="preserve"> the data provided to the Agency throughout the course of multiple cylinder-related rulemakings and to reconsider the cylinder management.</w:t>
      </w:r>
    </w:p>
    <w:p w14:paraId="5A926331" w14:textId="77777777" w:rsidR="00D67C1E" w:rsidRPr="00283806" w:rsidRDefault="001265CA">
      <w:pPr>
        <w:pStyle w:val="BodyText"/>
        <w:spacing w:line="225" w:lineRule="auto"/>
        <w:ind w:left="144"/>
      </w:pPr>
      <w:r w:rsidRPr="00283806">
        <w:rPr>
          <w:w w:val="105"/>
        </w:rPr>
        <w:t>The commenter stated that proposed requirements</w:t>
      </w:r>
      <w:r w:rsidRPr="00283806">
        <w:rPr>
          <w:spacing w:val="-3"/>
          <w:w w:val="105"/>
        </w:rPr>
        <w:t xml:space="preserve"> </w:t>
      </w:r>
      <w:r w:rsidRPr="00283806">
        <w:rPr>
          <w:w w:val="105"/>
        </w:rPr>
        <w:t>do</w:t>
      </w:r>
      <w:r w:rsidRPr="00283806">
        <w:rPr>
          <w:spacing w:val="-3"/>
          <w:w w:val="105"/>
        </w:rPr>
        <w:t xml:space="preserve"> </w:t>
      </w:r>
      <w:r w:rsidRPr="00283806">
        <w:rPr>
          <w:w w:val="105"/>
        </w:rPr>
        <w:t>not</w:t>
      </w:r>
      <w:r w:rsidRPr="00283806">
        <w:rPr>
          <w:spacing w:val="-3"/>
          <w:w w:val="105"/>
        </w:rPr>
        <w:t xml:space="preserve"> </w:t>
      </w:r>
      <w:r w:rsidRPr="00283806">
        <w:rPr>
          <w:w w:val="105"/>
        </w:rPr>
        <w:t>appear</w:t>
      </w:r>
      <w:r w:rsidRPr="00283806">
        <w:rPr>
          <w:spacing w:val="-3"/>
          <w:w w:val="105"/>
        </w:rPr>
        <w:t xml:space="preserve"> </w:t>
      </w:r>
      <w:r w:rsidRPr="00283806">
        <w:rPr>
          <w:w w:val="105"/>
        </w:rPr>
        <w:t>to</w:t>
      </w:r>
      <w:r w:rsidRPr="00283806">
        <w:rPr>
          <w:spacing w:val="-3"/>
          <w:w w:val="105"/>
        </w:rPr>
        <w:t xml:space="preserve"> </w:t>
      </w:r>
      <w:r w:rsidRPr="00283806">
        <w:rPr>
          <w:w w:val="105"/>
        </w:rPr>
        <w:t>be</w:t>
      </w:r>
      <w:r w:rsidRPr="00283806">
        <w:rPr>
          <w:spacing w:val="-3"/>
          <w:w w:val="105"/>
        </w:rPr>
        <w:t xml:space="preserve"> </w:t>
      </w:r>
      <w:r w:rsidRPr="00283806">
        <w:rPr>
          <w:w w:val="105"/>
        </w:rPr>
        <w:t>based on a complete and legally sufficient analysis of the best available data, and that EPA may have overstated the environmental benefits of the proposed cylinder management.</w:t>
      </w:r>
    </w:p>
    <w:p w14:paraId="3CF42CE9" w14:textId="77777777" w:rsidR="00D67C1E" w:rsidRPr="00283806" w:rsidRDefault="001265CA">
      <w:pPr>
        <w:spacing w:line="183" w:lineRule="exact"/>
        <w:ind w:left="324"/>
        <w:rPr>
          <w:sz w:val="18"/>
        </w:rPr>
      </w:pPr>
      <w:r w:rsidRPr="00283806">
        <w:rPr>
          <w:rFonts w:ascii="Book Antiqua"/>
          <w:i/>
          <w:w w:val="110"/>
          <w:sz w:val="18"/>
        </w:rPr>
        <w:t>Response:</w:t>
      </w:r>
      <w:r w:rsidRPr="00283806">
        <w:rPr>
          <w:rFonts w:ascii="Book Antiqua"/>
          <w:i/>
          <w:spacing w:val="2"/>
          <w:w w:val="110"/>
          <w:sz w:val="18"/>
        </w:rPr>
        <w:t xml:space="preserve"> </w:t>
      </w:r>
      <w:r w:rsidRPr="00283806">
        <w:rPr>
          <w:w w:val="110"/>
          <w:sz w:val="18"/>
        </w:rPr>
        <w:t>EPA</w:t>
      </w:r>
      <w:r w:rsidRPr="00283806">
        <w:rPr>
          <w:spacing w:val="8"/>
          <w:w w:val="110"/>
          <w:sz w:val="18"/>
        </w:rPr>
        <w:t xml:space="preserve"> </w:t>
      </w:r>
      <w:r w:rsidRPr="00283806">
        <w:rPr>
          <w:w w:val="110"/>
          <w:sz w:val="18"/>
        </w:rPr>
        <w:t>acknowledges</w:t>
      </w:r>
      <w:r w:rsidRPr="00283806">
        <w:rPr>
          <w:spacing w:val="8"/>
          <w:w w:val="110"/>
          <w:sz w:val="18"/>
        </w:rPr>
        <w:t xml:space="preserve"> </w:t>
      </w:r>
      <w:r w:rsidRPr="00283806">
        <w:rPr>
          <w:spacing w:val="-4"/>
          <w:w w:val="110"/>
          <w:sz w:val="18"/>
        </w:rPr>
        <w:t>this</w:t>
      </w:r>
    </w:p>
    <w:p w14:paraId="7E6BC5E0" w14:textId="77777777" w:rsidR="00D67C1E" w:rsidRPr="00283806" w:rsidRDefault="001265CA">
      <w:pPr>
        <w:pStyle w:val="BodyText"/>
        <w:spacing w:line="225" w:lineRule="auto"/>
        <w:ind w:left="144" w:right="61"/>
      </w:pPr>
      <w:r w:rsidRPr="00283806">
        <w:rPr>
          <w:w w:val="105"/>
        </w:rPr>
        <w:t>comment and reads it as referring to the proposed requirements for container tracking as well as the requirement to remove heels from disposable cylinders. In response to the former, EPA is not finalizing cylinder tracking</w:t>
      </w:r>
      <w:r w:rsidRPr="00283806">
        <w:rPr>
          <w:spacing w:val="80"/>
          <w:w w:val="105"/>
        </w:rPr>
        <w:t xml:space="preserve"> </w:t>
      </w:r>
      <w:r w:rsidRPr="00283806">
        <w:rPr>
          <w:w w:val="105"/>
        </w:rPr>
        <w:t>requirements in this rule. In response to comments on managing the removal of heels from disposable cylinders, please see the response above related to additional considerations and estimates in</w:t>
      </w:r>
      <w:r w:rsidRPr="00283806">
        <w:rPr>
          <w:spacing w:val="40"/>
          <w:w w:val="105"/>
        </w:rPr>
        <w:t xml:space="preserve"> </w:t>
      </w:r>
      <w:r w:rsidRPr="00283806">
        <w:rPr>
          <w:w w:val="105"/>
        </w:rPr>
        <w:t>the</w:t>
      </w:r>
      <w:r w:rsidRPr="00283806">
        <w:rPr>
          <w:spacing w:val="40"/>
          <w:w w:val="105"/>
        </w:rPr>
        <w:t xml:space="preserve"> </w:t>
      </w:r>
      <w:r w:rsidRPr="00283806">
        <w:rPr>
          <w:w w:val="105"/>
        </w:rPr>
        <w:t>Economic</w:t>
      </w:r>
      <w:r w:rsidRPr="00283806">
        <w:rPr>
          <w:spacing w:val="40"/>
          <w:w w:val="105"/>
        </w:rPr>
        <w:t xml:space="preserve"> </w:t>
      </w:r>
      <w:r w:rsidRPr="00283806">
        <w:rPr>
          <w:w w:val="105"/>
        </w:rPr>
        <w:t>Impact</w:t>
      </w:r>
      <w:r w:rsidRPr="00283806">
        <w:rPr>
          <w:spacing w:val="40"/>
          <w:w w:val="105"/>
        </w:rPr>
        <w:t xml:space="preserve"> </w:t>
      </w:r>
      <w:r w:rsidRPr="00283806">
        <w:rPr>
          <w:w w:val="105"/>
        </w:rPr>
        <w:t>and</w:t>
      </w:r>
      <w:r w:rsidRPr="00283806">
        <w:rPr>
          <w:spacing w:val="40"/>
          <w:w w:val="105"/>
        </w:rPr>
        <w:t xml:space="preserve"> </w:t>
      </w:r>
      <w:r w:rsidRPr="00283806">
        <w:rPr>
          <w:w w:val="105"/>
        </w:rPr>
        <w:t xml:space="preserve">Benefit </w:t>
      </w:r>
      <w:r w:rsidRPr="00283806">
        <w:rPr>
          <w:spacing w:val="-4"/>
          <w:w w:val="105"/>
        </w:rPr>
        <w:t>TSD.</w:t>
      </w:r>
    </w:p>
    <w:p w14:paraId="07931D69" w14:textId="77777777" w:rsidR="00D67C1E" w:rsidRPr="00283806" w:rsidRDefault="001265CA">
      <w:pPr>
        <w:pStyle w:val="BodyText"/>
        <w:spacing w:line="175" w:lineRule="exact"/>
        <w:ind w:left="324"/>
      </w:pPr>
      <w:r w:rsidRPr="00283806">
        <w:rPr>
          <w:w w:val="105"/>
        </w:rPr>
        <w:t>EPA</w:t>
      </w:r>
      <w:r w:rsidRPr="00283806">
        <w:rPr>
          <w:spacing w:val="12"/>
          <w:w w:val="105"/>
        </w:rPr>
        <w:t xml:space="preserve"> </w:t>
      </w:r>
      <w:r w:rsidRPr="00283806">
        <w:rPr>
          <w:w w:val="105"/>
        </w:rPr>
        <w:t>also</w:t>
      </w:r>
      <w:r w:rsidRPr="00283806">
        <w:rPr>
          <w:spacing w:val="13"/>
          <w:w w:val="105"/>
        </w:rPr>
        <w:t xml:space="preserve"> </w:t>
      </w:r>
      <w:r w:rsidRPr="00283806">
        <w:rPr>
          <w:w w:val="105"/>
        </w:rPr>
        <w:t>responds</w:t>
      </w:r>
      <w:r w:rsidRPr="00283806">
        <w:rPr>
          <w:spacing w:val="12"/>
          <w:w w:val="105"/>
        </w:rPr>
        <w:t xml:space="preserve"> </w:t>
      </w:r>
      <w:r w:rsidRPr="00283806">
        <w:rPr>
          <w:w w:val="105"/>
        </w:rPr>
        <w:t>that</w:t>
      </w:r>
      <w:r w:rsidRPr="00283806">
        <w:rPr>
          <w:spacing w:val="13"/>
          <w:w w:val="105"/>
        </w:rPr>
        <w:t xml:space="preserve"> </w:t>
      </w:r>
      <w:r w:rsidRPr="00283806">
        <w:rPr>
          <w:spacing w:val="-5"/>
          <w:w w:val="105"/>
        </w:rPr>
        <w:t>the</w:t>
      </w:r>
    </w:p>
    <w:p w14:paraId="31DC0283" w14:textId="77777777" w:rsidR="00D67C1E" w:rsidRPr="00283806" w:rsidRDefault="001265CA">
      <w:pPr>
        <w:pStyle w:val="BodyText"/>
        <w:spacing w:line="225" w:lineRule="auto"/>
        <w:ind w:left="144" w:right="63"/>
      </w:pPr>
      <w:proofErr w:type="gramStart"/>
      <w:r w:rsidRPr="00283806">
        <w:rPr>
          <w:w w:val="105"/>
        </w:rPr>
        <w:t>requirements</w:t>
      </w:r>
      <w:proofErr w:type="gramEnd"/>
      <w:r w:rsidRPr="00283806">
        <w:rPr>
          <w:w w:val="105"/>
        </w:rPr>
        <w:t xml:space="preserve"> for removing the heels from disposable cylinders before they</w:t>
      </w:r>
      <w:r w:rsidRPr="00283806">
        <w:rPr>
          <w:spacing w:val="40"/>
          <w:w w:val="105"/>
        </w:rPr>
        <w:t xml:space="preserve"> </w:t>
      </w:r>
      <w:r w:rsidRPr="00283806">
        <w:rPr>
          <w:w w:val="105"/>
        </w:rPr>
        <w:t>are discarded are being modified from the proposal, based on comments received on the proposal and further considerations. EPA is finalizing additional flexibilities, including</w:t>
      </w:r>
      <w:r w:rsidRPr="00283806">
        <w:rPr>
          <w:spacing w:val="80"/>
          <w:w w:val="105"/>
        </w:rPr>
        <w:t xml:space="preserve"> </w:t>
      </w:r>
      <w:r w:rsidRPr="00283806">
        <w:rPr>
          <w:w w:val="105"/>
        </w:rPr>
        <w:t>allowing the heels of disposable</w:t>
      </w:r>
      <w:r w:rsidRPr="00283806">
        <w:rPr>
          <w:spacing w:val="40"/>
          <w:w w:val="105"/>
        </w:rPr>
        <w:t xml:space="preserve"> </w:t>
      </w:r>
      <w:r w:rsidRPr="00283806">
        <w:rPr>
          <w:w w:val="105"/>
        </w:rPr>
        <w:t>cylinders to be removed at different points in the reverse supply chain (</w:t>
      </w:r>
      <w:r w:rsidRPr="00283806">
        <w:rPr>
          <w:rFonts w:ascii="Book Antiqua"/>
          <w:i/>
          <w:w w:val="105"/>
        </w:rPr>
        <w:t xml:space="preserve">e.g., </w:t>
      </w:r>
      <w:r w:rsidRPr="00283806">
        <w:rPr>
          <w:w w:val="105"/>
        </w:rPr>
        <w:t>by a final processor or a wholesaler/ distributor).</w:t>
      </w:r>
      <w:r w:rsidRPr="00283806">
        <w:rPr>
          <w:spacing w:val="40"/>
          <w:w w:val="105"/>
        </w:rPr>
        <w:t xml:space="preserve"> </w:t>
      </w:r>
      <w:r w:rsidRPr="00283806">
        <w:rPr>
          <w:w w:val="105"/>
        </w:rPr>
        <w:t>Further,</w:t>
      </w:r>
      <w:r w:rsidRPr="00283806">
        <w:rPr>
          <w:spacing w:val="40"/>
          <w:w w:val="105"/>
        </w:rPr>
        <w:t xml:space="preserve"> </w:t>
      </w:r>
      <w:r w:rsidRPr="00283806">
        <w:rPr>
          <w:w w:val="105"/>
        </w:rPr>
        <w:t>EPA</w:t>
      </w:r>
      <w:r w:rsidRPr="00283806">
        <w:rPr>
          <w:spacing w:val="40"/>
          <w:w w:val="105"/>
        </w:rPr>
        <w:t xml:space="preserve"> </w:t>
      </w:r>
      <w:r w:rsidRPr="00283806">
        <w:rPr>
          <w:w w:val="105"/>
        </w:rPr>
        <w:t>is</w:t>
      </w:r>
      <w:r w:rsidRPr="00283806">
        <w:rPr>
          <w:spacing w:val="40"/>
          <w:w w:val="105"/>
        </w:rPr>
        <w:t xml:space="preserve"> </w:t>
      </w:r>
      <w:r w:rsidRPr="00283806">
        <w:rPr>
          <w:w w:val="105"/>
        </w:rPr>
        <w:t>delaying the compliance date for these requirements from January 1, 2025, to January 1, 2028, to allow for additional time for industry to become familiar</w:t>
      </w:r>
      <w:r w:rsidRPr="00283806">
        <w:rPr>
          <w:spacing w:val="80"/>
          <w:w w:val="105"/>
        </w:rPr>
        <w:t xml:space="preserve"> </w:t>
      </w:r>
      <w:r w:rsidRPr="00283806">
        <w:rPr>
          <w:w w:val="105"/>
        </w:rPr>
        <w:t>with the regulations and secure necessary connections within the</w:t>
      </w:r>
      <w:r w:rsidRPr="00283806">
        <w:rPr>
          <w:spacing w:val="80"/>
          <w:w w:val="105"/>
        </w:rPr>
        <w:t xml:space="preserve"> </w:t>
      </w:r>
      <w:r w:rsidRPr="00283806">
        <w:rPr>
          <w:w w:val="105"/>
        </w:rPr>
        <w:t>reverse supply chain. EPA is also establishing an alternative approach to allow disposable cylinders that are evacuated to a specified level of vacuum to be discarded with an accompanying certification. EPA provides additional details on these requirements in responses throughout this section.</w:t>
      </w:r>
    </w:p>
    <w:p w14:paraId="60592C5C" w14:textId="77777777" w:rsidR="00D67C1E" w:rsidRPr="00283806" w:rsidRDefault="001265CA">
      <w:pPr>
        <w:pStyle w:val="BodyText"/>
        <w:spacing w:line="175" w:lineRule="exact"/>
        <w:ind w:left="144"/>
      </w:pPr>
      <w:r w:rsidRPr="00283806">
        <w:rPr>
          <w:w w:val="105"/>
        </w:rPr>
        <w:t>Overall,</w:t>
      </w:r>
      <w:r w:rsidRPr="00283806">
        <w:rPr>
          <w:spacing w:val="28"/>
          <w:w w:val="105"/>
        </w:rPr>
        <w:t xml:space="preserve"> </w:t>
      </w:r>
      <w:r w:rsidRPr="00283806">
        <w:rPr>
          <w:w w:val="105"/>
        </w:rPr>
        <w:t>these</w:t>
      </w:r>
      <w:r w:rsidRPr="00283806">
        <w:rPr>
          <w:spacing w:val="28"/>
          <w:w w:val="105"/>
        </w:rPr>
        <w:t xml:space="preserve"> </w:t>
      </w:r>
      <w:r w:rsidRPr="00283806">
        <w:rPr>
          <w:w w:val="105"/>
        </w:rPr>
        <w:t>modifications</w:t>
      </w:r>
      <w:r w:rsidRPr="00283806">
        <w:rPr>
          <w:spacing w:val="28"/>
          <w:w w:val="105"/>
        </w:rPr>
        <w:t xml:space="preserve"> </w:t>
      </w:r>
      <w:r w:rsidRPr="00283806">
        <w:rPr>
          <w:spacing w:val="-2"/>
          <w:w w:val="105"/>
        </w:rPr>
        <w:t>provide</w:t>
      </w:r>
    </w:p>
    <w:p w14:paraId="5807BE48" w14:textId="77777777" w:rsidR="00D67C1E" w:rsidRPr="00283806" w:rsidRDefault="001265CA">
      <w:pPr>
        <w:pStyle w:val="BodyText"/>
        <w:spacing w:line="225" w:lineRule="auto"/>
        <w:ind w:left="144" w:right="88"/>
      </w:pPr>
      <w:r w:rsidRPr="00283806">
        <w:rPr>
          <w:w w:val="105"/>
        </w:rPr>
        <w:t xml:space="preserve">additional </w:t>
      </w:r>
      <w:proofErr w:type="gramStart"/>
      <w:r w:rsidRPr="00283806">
        <w:rPr>
          <w:w w:val="105"/>
        </w:rPr>
        <w:t>flexibilities</w:t>
      </w:r>
      <w:proofErr w:type="gramEnd"/>
      <w:r w:rsidRPr="00283806">
        <w:rPr>
          <w:w w:val="105"/>
        </w:rPr>
        <w:t xml:space="preserve"> as compared to the proposed requirements while also helping to achieve the purposes identified in subsection (h) of the AIM </w:t>
      </w:r>
      <w:r w:rsidRPr="00283806">
        <w:rPr>
          <w:spacing w:val="-4"/>
          <w:w w:val="105"/>
        </w:rPr>
        <w:t>Act.</w:t>
      </w:r>
    </w:p>
    <w:p w14:paraId="3C1BA979" w14:textId="77777777" w:rsidR="00D67C1E" w:rsidRPr="00283806" w:rsidRDefault="001265CA">
      <w:pPr>
        <w:pStyle w:val="BodyText"/>
        <w:spacing w:before="136" w:line="225" w:lineRule="auto"/>
        <w:ind w:left="154" w:right="231" w:firstLine="180"/>
      </w:pPr>
      <w:r w:rsidRPr="00283806">
        <w:br w:type="column"/>
      </w:r>
      <w:r w:rsidRPr="00283806">
        <w:rPr>
          <w:w w:val="105"/>
        </w:rPr>
        <w:t>With respect to the number of cylinders that the requirement to remove heels covers, EPA notes that it has used data from the commenter to perform a sensitivity analysis. See the Economic Impact and Benefits TSD for additional details.</w:t>
      </w:r>
    </w:p>
    <w:p w14:paraId="0C414E38" w14:textId="77777777" w:rsidR="00D67C1E" w:rsidRPr="00283806" w:rsidRDefault="001265CA">
      <w:pPr>
        <w:pStyle w:val="BodyText"/>
        <w:spacing w:line="213" w:lineRule="auto"/>
        <w:ind w:left="154" w:right="185" w:firstLine="180"/>
      </w:pPr>
      <w:r w:rsidRPr="00283806">
        <w:rPr>
          <w:rFonts w:ascii="Book Antiqua"/>
          <w:i/>
          <w:w w:val="105"/>
        </w:rPr>
        <w:t xml:space="preserve">Comment: </w:t>
      </w:r>
      <w:r w:rsidRPr="00283806">
        <w:rPr>
          <w:w w:val="105"/>
        </w:rPr>
        <w:t>EPA received some comments</w:t>
      </w:r>
      <w:r w:rsidRPr="00283806">
        <w:rPr>
          <w:spacing w:val="4"/>
          <w:w w:val="105"/>
        </w:rPr>
        <w:t xml:space="preserve"> </w:t>
      </w:r>
      <w:r w:rsidRPr="00283806">
        <w:rPr>
          <w:w w:val="105"/>
        </w:rPr>
        <w:t>related</w:t>
      </w:r>
      <w:r w:rsidRPr="00283806">
        <w:rPr>
          <w:spacing w:val="5"/>
          <w:w w:val="105"/>
        </w:rPr>
        <w:t xml:space="preserve"> </w:t>
      </w:r>
      <w:r w:rsidRPr="00283806">
        <w:rPr>
          <w:w w:val="105"/>
        </w:rPr>
        <w:t>to</w:t>
      </w:r>
      <w:r w:rsidRPr="00283806">
        <w:rPr>
          <w:spacing w:val="5"/>
          <w:w w:val="105"/>
        </w:rPr>
        <w:t xml:space="preserve"> </w:t>
      </w:r>
      <w:proofErr w:type="gramStart"/>
      <w:r w:rsidRPr="00283806">
        <w:rPr>
          <w:w w:val="105"/>
        </w:rPr>
        <w:t>the</w:t>
      </w:r>
      <w:r w:rsidRPr="00283806">
        <w:rPr>
          <w:spacing w:val="4"/>
          <w:w w:val="105"/>
        </w:rPr>
        <w:t xml:space="preserve"> </w:t>
      </w:r>
      <w:r w:rsidRPr="00283806">
        <w:rPr>
          <w:w w:val="105"/>
        </w:rPr>
        <w:t>data</w:t>
      </w:r>
      <w:proofErr w:type="gramEnd"/>
      <w:r w:rsidRPr="00283806">
        <w:rPr>
          <w:spacing w:val="5"/>
          <w:w w:val="105"/>
        </w:rPr>
        <w:t xml:space="preserve"> </w:t>
      </w:r>
      <w:r w:rsidRPr="00283806">
        <w:rPr>
          <w:spacing w:val="-2"/>
          <w:w w:val="105"/>
        </w:rPr>
        <w:t>collection</w:t>
      </w:r>
    </w:p>
    <w:p w14:paraId="406263DB" w14:textId="77777777" w:rsidR="00D67C1E" w:rsidRPr="00283806" w:rsidRDefault="001265CA">
      <w:pPr>
        <w:pStyle w:val="BodyText"/>
        <w:spacing w:line="225" w:lineRule="auto"/>
        <w:ind w:left="154" w:right="231"/>
      </w:pPr>
      <w:r w:rsidRPr="00283806">
        <w:rPr>
          <w:w w:val="105"/>
        </w:rPr>
        <w:t>and tracking of transporting disposable cylinders and the associate heel recovery. Some commenters were opposed and stated that the proposed tracking and data collection requirements were burdensome.</w:t>
      </w:r>
    </w:p>
    <w:p w14:paraId="199D942A" w14:textId="77777777" w:rsidR="00D67C1E" w:rsidRPr="00283806" w:rsidRDefault="001265CA">
      <w:pPr>
        <w:pStyle w:val="BodyText"/>
        <w:spacing w:line="225" w:lineRule="auto"/>
        <w:ind w:left="154" w:right="195"/>
      </w:pPr>
      <w:r w:rsidRPr="00283806">
        <w:rPr>
          <w:w w:val="105"/>
        </w:rPr>
        <w:t>Another commenter expressed concerns that the effectiveness of compliance</w:t>
      </w:r>
      <w:r w:rsidRPr="00283806">
        <w:rPr>
          <w:spacing w:val="80"/>
          <w:w w:val="105"/>
        </w:rPr>
        <w:t xml:space="preserve"> </w:t>
      </w:r>
      <w:r w:rsidRPr="00283806">
        <w:rPr>
          <w:w w:val="105"/>
        </w:rPr>
        <w:t>with the requirements to remove heels from disposable cylinders would be lacking absent adequate tracking provisions. Another commenter expressed support for tracking the cylinders until they reach a reclaimer or fire suppressant recycler.</w:t>
      </w:r>
    </w:p>
    <w:p w14:paraId="4D49CD4C" w14:textId="77777777" w:rsidR="00D67C1E" w:rsidRPr="00283806" w:rsidRDefault="001265CA">
      <w:pPr>
        <w:pStyle w:val="BodyText"/>
        <w:spacing w:line="213" w:lineRule="auto"/>
        <w:ind w:left="154" w:firstLine="180"/>
      </w:pPr>
      <w:r w:rsidRPr="00283806">
        <w:rPr>
          <w:rFonts w:ascii="Book Antiqua"/>
          <w:i/>
          <w:w w:val="105"/>
        </w:rPr>
        <w:t xml:space="preserve">Response: </w:t>
      </w:r>
      <w:r w:rsidRPr="00283806">
        <w:rPr>
          <w:w w:val="105"/>
        </w:rPr>
        <w:t>EPA acknowledges these comments. The Agency is not finalizing,</w:t>
      </w:r>
    </w:p>
    <w:p w14:paraId="2355C5BC" w14:textId="77777777" w:rsidR="00D67C1E" w:rsidRPr="00283806" w:rsidRDefault="001265CA">
      <w:pPr>
        <w:pStyle w:val="BodyText"/>
        <w:spacing w:line="225" w:lineRule="auto"/>
        <w:ind w:left="154" w:right="205"/>
      </w:pPr>
      <w:r w:rsidRPr="00283806">
        <w:rPr>
          <w:w w:val="105"/>
        </w:rPr>
        <w:t>as</w:t>
      </w:r>
      <w:r w:rsidRPr="00283806">
        <w:rPr>
          <w:spacing w:val="36"/>
          <w:w w:val="105"/>
        </w:rPr>
        <w:t xml:space="preserve"> </w:t>
      </w:r>
      <w:r w:rsidRPr="00283806">
        <w:rPr>
          <w:w w:val="105"/>
        </w:rPr>
        <w:t>part</w:t>
      </w:r>
      <w:r w:rsidRPr="00283806">
        <w:rPr>
          <w:spacing w:val="36"/>
          <w:w w:val="105"/>
        </w:rPr>
        <w:t xml:space="preserve"> </w:t>
      </w:r>
      <w:r w:rsidRPr="00283806">
        <w:rPr>
          <w:w w:val="105"/>
        </w:rPr>
        <w:t>of</w:t>
      </w:r>
      <w:r w:rsidRPr="00283806">
        <w:rPr>
          <w:spacing w:val="36"/>
          <w:w w:val="105"/>
        </w:rPr>
        <w:t xml:space="preserve"> </w:t>
      </w:r>
      <w:r w:rsidRPr="00283806">
        <w:rPr>
          <w:w w:val="105"/>
        </w:rPr>
        <w:t>this</w:t>
      </w:r>
      <w:r w:rsidRPr="00283806">
        <w:rPr>
          <w:spacing w:val="36"/>
          <w:w w:val="105"/>
        </w:rPr>
        <w:t xml:space="preserve"> </w:t>
      </w:r>
      <w:r w:rsidRPr="00283806">
        <w:rPr>
          <w:w w:val="105"/>
        </w:rPr>
        <w:t>rulemaking</w:t>
      </w:r>
      <w:r w:rsidRPr="00283806">
        <w:rPr>
          <w:spacing w:val="36"/>
          <w:w w:val="105"/>
        </w:rPr>
        <w:t xml:space="preserve"> </w:t>
      </w:r>
      <w:r w:rsidRPr="00283806">
        <w:rPr>
          <w:w w:val="105"/>
        </w:rPr>
        <w:t>under</w:t>
      </w:r>
      <w:r w:rsidRPr="00283806">
        <w:rPr>
          <w:spacing w:val="36"/>
          <w:w w:val="105"/>
        </w:rPr>
        <w:t xml:space="preserve"> </w:t>
      </w:r>
      <w:r w:rsidRPr="00283806">
        <w:rPr>
          <w:w w:val="105"/>
        </w:rPr>
        <w:t>the AIM Act, the proposed provisions for container tracking of HFCs that could be used in the servicing, repair, and/or installation of refrigerant-containing or fire</w:t>
      </w:r>
      <w:r w:rsidRPr="00283806">
        <w:rPr>
          <w:spacing w:val="40"/>
          <w:w w:val="105"/>
        </w:rPr>
        <w:t xml:space="preserve"> </w:t>
      </w:r>
      <w:r w:rsidRPr="00283806">
        <w:rPr>
          <w:w w:val="105"/>
        </w:rPr>
        <w:t>suppression</w:t>
      </w:r>
      <w:r w:rsidRPr="00283806">
        <w:rPr>
          <w:spacing w:val="40"/>
          <w:w w:val="105"/>
        </w:rPr>
        <w:t xml:space="preserve"> </w:t>
      </w:r>
      <w:r w:rsidRPr="00283806">
        <w:rPr>
          <w:w w:val="105"/>
        </w:rPr>
        <w:t>equipment.</w:t>
      </w:r>
      <w:r w:rsidRPr="00283806">
        <w:rPr>
          <w:spacing w:val="40"/>
          <w:w w:val="105"/>
        </w:rPr>
        <w:t xml:space="preserve"> </w:t>
      </w:r>
      <w:r w:rsidRPr="00283806">
        <w:rPr>
          <w:w w:val="105"/>
        </w:rPr>
        <w:t>However, as discussed in this section, the Agency</w:t>
      </w:r>
      <w:r w:rsidRPr="00283806">
        <w:rPr>
          <w:spacing w:val="80"/>
          <w:w w:val="105"/>
        </w:rPr>
        <w:t xml:space="preserve"> </w:t>
      </w:r>
      <w:r w:rsidRPr="00283806">
        <w:rPr>
          <w:w w:val="105"/>
        </w:rPr>
        <w:t xml:space="preserve">is finalizing provisions to ensure that used disposable cylinders are properly handled and the removed heels are sent to reclaimers. EPA </w:t>
      </w:r>
      <w:proofErr w:type="gramStart"/>
      <w:r w:rsidRPr="00283806">
        <w:rPr>
          <w:w w:val="105"/>
        </w:rPr>
        <w:t>is including</w:t>
      </w:r>
      <w:proofErr w:type="gramEnd"/>
      <w:r w:rsidRPr="00283806">
        <w:rPr>
          <w:w w:val="105"/>
        </w:rPr>
        <w:t xml:space="preserve"> </w:t>
      </w:r>
      <w:proofErr w:type="gramStart"/>
      <w:r w:rsidRPr="00283806">
        <w:rPr>
          <w:w w:val="105"/>
        </w:rPr>
        <w:t>flexibilities</w:t>
      </w:r>
      <w:proofErr w:type="gramEnd"/>
      <w:r w:rsidRPr="00283806">
        <w:rPr>
          <w:w w:val="105"/>
        </w:rPr>
        <w:t>,</w:t>
      </w:r>
      <w:r w:rsidRPr="00283806">
        <w:rPr>
          <w:spacing w:val="40"/>
          <w:w w:val="105"/>
        </w:rPr>
        <w:t xml:space="preserve"> </w:t>
      </w:r>
      <w:r w:rsidRPr="00283806">
        <w:rPr>
          <w:w w:val="105"/>
        </w:rPr>
        <w:t>as</w:t>
      </w:r>
      <w:r w:rsidRPr="00283806">
        <w:rPr>
          <w:spacing w:val="40"/>
          <w:w w:val="105"/>
        </w:rPr>
        <w:t xml:space="preserve"> </w:t>
      </w:r>
      <w:r w:rsidRPr="00283806">
        <w:rPr>
          <w:w w:val="105"/>
        </w:rPr>
        <w:t>discussed</w:t>
      </w:r>
      <w:r w:rsidRPr="00283806">
        <w:rPr>
          <w:spacing w:val="40"/>
          <w:w w:val="105"/>
        </w:rPr>
        <w:t xml:space="preserve"> </w:t>
      </w:r>
      <w:r w:rsidRPr="00283806">
        <w:rPr>
          <w:w w:val="105"/>
        </w:rPr>
        <w:t>throughout this section, for the removal of the heel from used disposable cylinders. EPA understands that these flexibilities are,</w:t>
      </w:r>
      <w:r w:rsidRPr="00283806">
        <w:rPr>
          <w:spacing w:val="80"/>
          <w:w w:val="105"/>
        </w:rPr>
        <w:t xml:space="preserve"> </w:t>
      </w:r>
      <w:r w:rsidRPr="00283806">
        <w:rPr>
          <w:w w:val="105"/>
        </w:rPr>
        <w:t xml:space="preserve">in some cases, consistent with current practices for the management of used disposable cylinders to remove the heel, such that entities in the reverse supply chain </w:t>
      </w:r>
      <w:proofErr w:type="gramStart"/>
      <w:r w:rsidRPr="00283806">
        <w:rPr>
          <w:w w:val="105"/>
        </w:rPr>
        <w:t>are capable of removing</w:t>
      </w:r>
      <w:proofErr w:type="gramEnd"/>
      <w:r w:rsidRPr="00283806">
        <w:rPr>
          <w:w w:val="105"/>
        </w:rPr>
        <w:t xml:space="preserve"> the heel and consolidating to a recovery cylinder to send to reclaimers. </w:t>
      </w:r>
      <w:proofErr w:type="gramStart"/>
      <w:r w:rsidRPr="00283806">
        <w:rPr>
          <w:w w:val="105"/>
        </w:rPr>
        <w:t>EPA is</w:t>
      </w:r>
      <w:proofErr w:type="gramEnd"/>
      <w:r w:rsidRPr="00283806">
        <w:rPr>
          <w:w w:val="105"/>
        </w:rPr>
        <w:t xml:space="preserve"> also requiring that heels removed from used disposable cylinders must be sent to reclaimers, where the used disposable cylinder is not already being directly</w:t>
      </w:r>
      <w:r w:rsidRPr="00283806">
        <w:rPr>
          <w:spacing w:val="80"/>
          <w:w w:val="105"/>
        </w:rPr>
        <w:t xml:space="preserve"> </w:t>
      </w:r>
      <w:r w:rsidRPr="00283806">
        <w:rPr>
          <w:w w:val="105"/>
        </w:rPr>
        <w:t>sent to a reclaimer. Further, the Agency</w:t>
      </w:r>
      <w:r w:rsidRPr="00283806">
        <w:rPr>
          <w:spacing w:val="40"/>
          <w:w w:val="105"/>
        </w:rPr>
        <w:t xml:space="preserve"> </w:t>
      </w:r>
      <w:r w:rsidRPr="00283806">
        <w:rPr>
          <w:w w:val="105"/>
        </w:rPr>
        <w:t>is establishing an alternate approach allowing certified technicians to certify that a disposable cylinder has been evacuated to a specified level of vacuum and the cylinder can be discarded with</w:t>
      </w:r>
      <w:r w:rsidRPr="00283806">
        <w:rPr>
          <w:spacing w:val="40"/>
          <w:w w:val="105"/>
        </w:rPr>
        <w:t xml:space="preserve"> </w:t>
      </w:r>
      <w:r w:rsidRPr="00283806">
        <w:rPr>
          <w:w w:val="105"/>
        </w:rPr>
        <w:t>no further processing.</w:t>
      </w:r>
    </w:p>
    <w:p w14:paraId="2C8F9111" w14:textId="77777777" w:rsidR="00D67C1E" w:rsidRPr="00283806" w:rsidRDefault="001265CA">
      <w:pPr>
        <w:spacing w:line="174" w:lineRule="exact"/>
        <w:ind w:left="334"/>
        <w:rPr>
          <w:sz w:val="18"/>
        </w:rPr>
      </w:pPr>
      <w:r w:rsidRPr="00283806">
        <w:rPr>
          <w:rFonts w:ascii="Book Antiqua"/>
          <w:i/>
          <w:w w:val="110"/>
          <w:sz w:val="18"/>
        </w:rPr>
        <w:t>Comment:</w:t>
      </w:r>
      <w:r w:rsidRPr="00283806">
        <w:rPr>
          <w:rFonts w:ascii="Book Antiqua"/>
          <w:i/>
          <w:spacing w:val="10"/>
          <w:w w:val="110"/>
          <w:sz w:val="18"/>
        </w:rPr>
        <w:t xml:space="preserve"> </w:t>
      </w:r>
      <w:r w:rsidRPr="00283806">
        <w:rPr>
          <w:w w:val="110"/>
          <w:sz w:val="18"/>
        </w:rPr>
        <w:t>Multiple</w:t>
      </w:r>
      <w:r w:rsidRPr="00283806">
        <w:rPr>
          <w:spacing w:val="16"/>
          <w:w w:val="110"/>
          <w:sz w:val="18"/>
        </w:rPr>
        <w:t xml:space="preserve"> </w:t>
      </w:r>
      <w:r w:rsidRPr="00283806">
        <w:rPr>
          <w:spacing w:val="-2"/>
          <w:w w:val="110"/>
          <w:sz w:val="18"/>
        </w:rPr>
        <w:t>commenters</w:t>
      </w:r>
    </w:p>
    <w:p w14:paraId="1ABD15DD" w14:textId="77777777" w:rsidR="00D67C1E" w:rsidRPr="00283806" w:rsidRDefault="001265CA">
      <w:pPr>
        <w:pStyle w:val="BodyText"/>
        <w:spacing w:line="228" w:lineRule="auto"/>
        <w:ind w:left="154" w:right="120"/>
      </w:pPr>
      <w:r w:rsidRPr="00283806">
        <w:rPr>
          <w:w w:val="105"/>
        </w:rPr>
        <w:t>voiced concerns regarding the ability</w:t>
      </w:r>
      <w:r w:rsidRPr="00283806">
        <w:rPr>
          <w:spacing w:val="80"/>
          <w:w w:val="105"/>
        </w:rPr>
        <w:t xml:space="preserve"> </w:t>
      </w:r>
      <w:r w:rsidRPr="00283806">
        <w:rPr>
          <w:w w:val="105"/>
        </w:rPr>
        <w:t>and capacity of reclaimers to process the influx of many disposable cylinders and remove heels. One commenter requested that</w:t>
      </w:r>
      <w:r w:rsidRPr="00283806">
        <w:rPr>
          <w:spacing w:val="40"/>
          <w:w w:val="105"/>
        </w:rPr>
        <w:t xml:space="preserve"> </w:t>
      </w:r>
      <w:r w:rsidRPr="00283806">
        <w:rPr>
          <w:w w:val="105"/>
        </w:rPr>
        <w:t>EPA</w:t>
      </w:r>
      <w:r w:rsidRPr="00283806">
        <w:rPr>
          <w:spacing w:val="40"/>
          <w:w w:val="105"/>
        </w:rPr>
        <w:t xml:space="preserve"> </w:t>
      </w:r>
      <w:r w:rsidRPr="00283806">
        <w:rPr>
          <w:w w:val="105"/>
        </w:rPr>
        <w:t>consider</w:t>
      </w:r>
      <w:r w:rsidRPr="00283806">
        <w:rPr>
          <w:spacing w:val="40"/>
          <w:w w:val="105"/>
        </w:rPr>
        <w:t xml:space="preserve"> </w:t>
      </w:r>
      <w:r w:rsidRPr="00283806">
        <w:rPr>
          <w:w w:val="105"/>
        </w:rPr>
        <w:t>allowing</w:t>
      </w:r>
      <w:r w:rsidRPr="00283806">
        <w:rPr>
          <w:spacing w:val="40"/>
          <w:w w:val="105"/>
        </w:rPr>
        <w:t xml:space="preserve"> </w:t>
      </w:r>
      <w:r w:rsidRPr="00283806">
        <w:rPr>
          <w:w w:val="105"/>
        </w:rPr>
        <w:t>reclaimers to use a batch method of removing the heels from disposable cylinders and report as a net amount, rather than per cylinder. A couple of commenters noted</w:t>
      </w:r>
    </w:p>
    <w:p w14:paraId="62FC8D35"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6" w:space="40"/>
            <w:col w:w="3490" w:space="39"/>
            <w:col w:w="3635"/>
          </w:cols>
        </w:sectPr>
      </w:pPr>
    </w:p>
    <w:p w14:paraId="0DC226DD" w14:textId="77777777" w:rsidR="00D67C1E" w:rsidRPr="00283806" w:rsidRDefault="001265CA">
      <w:pPr>
        <w:pStyle w:val="BodyText"/>
        <w:spacing w:before="136" w:line="225" w:lineRule="auto"/>
      </w:pPr>
      <w:r w:rsidRPr="00283806">
        <w:rPr>
          <w:w w:val="105"/>
        </w:rPr>
        <w:lastRenderedPageBreak/>
        <w:t>that reclaimers may not be prepared and have the capacity to handle the volume</w:t>
      </w:r>
      <w:r w:rsidRPr="00283806">
        <w:rPr>
          <w:spacing w:val="80"/>
          <w:w w:val="105"/>
        </w:rPr>
        <w:t xml:space="preserve"> </w:t>
      </w:r>
      <w:r w:rsidRPr="00283806">
        <w:rPr>
          <w:w w:val="105"/>
        </w:rPr>
        <w:t>of incoming disposable cylinders and</w:t>
      </w:r>
      <w:r w:rsidRPr="00283806">
        <w:rPr>
          <w:spacing w:val="80"/>
          <w:w w:val="105"/>
        </w:rPr>
        <w:t xml:space="preserve"> </w:t>
      </w:r>
      <w:r w:rsidRPr="00283806">
        <w:rPr>
          <w:w w:val="105"/>
        </w:rPr>
        <w:t>that the compliance timeline is inadequate. The commenters stated the need for additional storage space for the cylinders and potential investments in transfer, recovery, and crushing and disposal equipment. Some commenters further</w:t>
      </w:r>
      <w:r w:rsidRPr="00283806">
        <w:rPr>
          <w:spacing w:val="-2"/>
          <w:w w:val="105"/>
        </w:rPr>
        <w:t xml:space="preserve"> </w:t>
      </w:r>
      <w:r w:rsidRPr="00283806">
        <w:rPr>
          <w:w w:val="105"/>
        </w:rPr>
        <w:t>stated</w:t>
      </w:r>
      <w:r w:rsidRPr="00283806">
        <w:rPr>
          <w:spacing w:val="-2"/>
          <w:w w:val="105"/>
        </w:rPr>
        <w:t xml:space="preserve"> </w:t>
      </w:r>
      <w:r w:rsidRPr="00283806">
        <w:rPr>
          <w:w w:val="105"/>
        </w:rPr>
        <w:t>that</w:t>
      </w:r>
      <w:r w:rsidRPr="00283806">
        <w:rPr>
          <w:spacing w:val="-2"/>
          <w:w w:val="105"/>
        </w:rPr>
        <w:t xml:space="preserve"> </w:t>
      </w:r>
      <w:r w:rsidRPr="00283806">
        <w:rPr>
          <w:w w:val="105"/>
        </w:rPr>
        <w:t>the</w:t>
      </w:r>
      <w:r w:rsidRPr="00283806">
        <w:rPr>
          <w:spacing w:val="-2"/>
          <w:w w:val="105"/>
        </w:rPr>
        <w:t xml:space="preserve"> </w:t>
      </w:r>
      <w:r w:rsidRPr="00283806">
        <w:rPr>
          <w:w w:val="105"/>
        </w:rPr>
        <w:t>associated</w:t>
      </w:r>
      <w:r w:rsidRPr="00283806">
        <w:rPr>
          <w:spacing w:val="-2"/>
          <w:w w:val="105"/>
        </w:rPr>
        <w:t xml:space="preserve"> </w:t>
      </w:r>
      <w:r w:rsidRPr="00283806">
        <w:rPr>
          <w:w w:val="105"/>
        </w:rPr>
        <w:t>costs</w:t>
      </w:r>
      <w:r w:rsidRPr="00283806">
        <w:rPr>
          <w:spacing w:val="-2"/>
          <w:w w:val="105"/>
        </w:rPr>
        <w:t xml:space="preserve"> </w:t>
      </w:r>
      <w:r w:rsidRPr="00283806">
        <w:rPr>
          <w:w w:val="105"/>
        </w:rPr>
        <w:t>of these</w:t>
      </w:r>
      <w:r w:rsidRPr="00283806">
        <w:rPr>
          <w:spacing w:val="40"/>
          <w:w w:val="105"/>
        </w:rPr>
        <w:t xml:space="preserve"> </w:t>
      </w:r>
      <w:r w:rsidRPr="00283806">
        <w:rPr>
          <w:w w:val="105"/>
        </w:rPr>
        <w:t>types</w:t>
      </w:r>
      <w:r w:rsidRPr="00283806">
        <w:rPr>
          <w:spacing w:val="40"/>
          <w:w w:val="105"/>
        </w:rPr>
        <w:t xml:space="preserve"> </w:t>
      </w:r>
      <w:r w:rsidRPr="00283806">
        <w:rPr>
          <w:w w:val="105"/>
        </w:rPr>
        <w:t>of</w:t>
      </w:r>
      <w:r w:rsidRPr="00283806">
        <w:rPr>
          <w:spacing w:val="40"/>
          <w:w w:val="105"/>
        </w:rPr>
        <w:t xml:space="preserve"> </w:t>
      </w:r>
      <w:r w:rsidRPr="00283806">
        <w:rPr>
          <w:w w:val="105"/>
        </w:rPr>
        <w:t>equipment</w:t>
      </w:r>
      <w:r w:rsidRPr="00283806">
        <w:rPr>
          <w:spacing w:val="40"/>
          <w:w w:val="105"/>
        </w:rPr>
        <w:t xml:space="preserve"> </w:t>
      </w:r>
      <w:r w:rsidRPr="00283806">
        <w:rPr>
          <w:w w:val="105"/>
        </w:rPr>
        <w:t>may ultimately</w:t>
      </w:r>
      <w:r w:rsidRPr="00283806">
        <w:rPr>
          <w:spacing w:val="36"/>
          <w:w w:val="105"/>
        </w:rPr>
        <w:t xml:space="preserve"> </w:t>
      </w:r>
      <w:r w:rsidRPr="00283806">
        <w:rPr>
          <w:w w:val="105"/>
        </w:rPr>
        <w:t>be</w:t>
      </w:r>
      <w:r w:rsidRPr="00283806">
        <w:rPr>
          <w:spacing w:val="36"/>
          <w:w w:val="105"/>
        </w:rPr>
        <w:t xml:space="preserve"> </w:t>
      </w:r>
      <w:r w:rsidRPr="00283806">
        <w:rPr>
          <w:w w:val="105"/>
        </w:rPr>
        <w:t>passed</w:t>
      </w:r>
      <w:r w:rsidRPr="00283806">
        <w:rPr>
          <w:spacing w:val="36"/>
          <w:w w:val="105"/>
        </w:rPr>
        <w:t xml:space="preserve"> </w:t>
      </w:r>
      <w:r w:rsidRPr="00283806">
        <w:rPr>
          <w:w w:val="105"/>
        </w:rPr>
        <w:t>down</w:t>
      </w:r>
      <w:r w:rsidRPr="00283806">
        <w:rPr>
          <w:spacing w:val="36"/>
          <w:w w:val="105"/>
        </w:rPr>
        <w:t xml:space="preserve"> </w:t>
      </w:r>
      <w:r w:rsidRPr="00283806">
        <w:rPr>
          <w:w w:val="105"/>
        </w:rPr>
        <w:t>in</w:t>
      </w:r>
      <w:r w:rsidRPr="00283806">
        <w:rPr>
          <w:spacing w:val="36"/>
          <w:w w:val="105"/>
        </w:rPr>
        <w:t xml:space="preserve"> </w:t>
      </w:r>
      <w:r w:rsidRPr="00283806">
        <w:rPr>
          <w:w w:val="105"/>
        </w:rPr>
        <w:t>the</w:t>
      </w:r>
      <w:r w:rsidRPr="00283806">
        <w:rPr>
          <w:spacing w:val="36"/>
          <w:w w:val="105"/>
        </w:rPr>
        <w:t xml:space="preserve"> </w:t>
      </w:r>
      <w:r w:rsidRPr="00283806">
        <w:rPr>
          <w:w w:val="105"/>
        </w:rPr>
        <w:t>form of charging to accept disposable cylinders. Another commenter stated</w:t>
      </w:r>
      <w:r w:rsidRPr="00283806">
        <w:rPr>
          <w:spacing w:val="40"/>
          <w:w w:val="105"/>
        </w:rPr>
        <w:t xml:space="preserve"> </w:t>
      </w:r>
      <w:r w:rsidRPr="00283806">
        <w:rPr>
          <w:w w:val="105"/>
        </w:rPr>
        <w:t>that the Agency confounded the distinct actions of removal and reclamation, and this requirement to be responsible for removal and reclaiming the material would be burdensome on reclaimers.</w:t>
      </w:r>
    </w:p>
    <w:p w14:paraId="6C59A262" w14:textId="77777777" w:rsidR="00D67C1E" w:rsidRPr="00283806" w:rsidRDefault="001265CA">
      <w:pPr>
        <w:pStyle w:val="BodyText"/>
        <w:spacing w:line="173" w:lineRule="exact"/>
        <w:ind w:left="340"/>
      </w:pPr>
      <w:r w:rsidRPr="00283806">
        <w:rPr>
          <w:w w:val="105"/>
        </w:rPr>
        <w:t>One</w:t>
      </w:r>
      <w:r w:rsidRPr="00283806">
        <w:rPr>
          <w:spacing w:val="6"/>
          <w:w w:val="105"/>
        </w:rPr>
        <w:t xml:space="preserve"> </w:t>
      </w:r>
      <w:r w:rsidRPr="00283806">
        <w:rPr>
          <w:w w:val="105"/>
        </w:rPr>
        <w:t>commenter</w:t>
      </w:r>
      <w:r w:rsidRPr="00283806">
        <w:rPr>
          <w:spacing w:val="7"/>
          <w:w w:val="105"/>
        </w:rPr>
        <w:t xml:space="preserve"> </w:t>
      </w:r>
      <w:r w:rsidRPr="00283806">
        <w:rPr>
          <w:w w:val="105"/>
        </w:rPr>
        <w:t>further</w:t>
      </w:r>
      <w:r w:rsidRPr="00283806">
        <w:rPr>
          <w:spacing w:val="6"/>
          <w:w w:val="105"/>
        </w:rPr>
        <w:t xml:space="preserve"> </w:t>
      </w:r>
      <w:r w:rsidRPr="00283806">
        <w:rPr>
          <w:spacing w:val="-2"/>
          <w:w w:val="105"/>
        </w:rPr>
        <w:t>expressed</w:t>
      </w:r>
    </w:p>
    <w:p w14:paraId="45B768FC" w14:textId="77777777" w:rsidR="00D67C1E" w:rsidRPr="00283806" w:rsidRDefault="001265CA">
      <w:pPr>
        <w:pStyle w:val="BodyText"/>
        <w:spacing w:before="4" w:line="225" w:lineRule="auto"/>
      </w:pPr>
      <w:r w:rsidRPr="00283806">
        <w:rPr>
          <w:w w:val="105"/>
        </w:rPr>
        <w:t>uncertainty as to whether EPA-certified refrigerant reclaimers have adequate capacity to manage the volume of HFCs that would be required to be reclaimed</w:t>
      </w:r>
      <w:r w:rsidRPr="00283806">
        <w:rPr>
          <w:spacing w:val="40"/>
          <w:w w:val="105"/>
        </w:rPr>
        <w:t xml:space="preserve"> </w:t>
      </w:r>
      <w:r w:rsidRPr="00283806">
        <w:rPr>
          <w:w w:val="105"/>
        </w:rPr>
        <w:t>or whether that capacity can sufficiently increase within the proposed</w:t>
      </w:r>
      <w:r w:rsidRPr="00283806">
        <w:rPr>
          <w:spacing w:val="80"/>
          <w:w w:val="105"/>
        </w:rPr>
        <w:t xml:space="preserve"> </w:t>
      </w:r>
      <w:r w:rsidRPr="00283806">
        <w:rPr>
          <w:w w:val="105"/>
        </w:rPr>
        <w:t>compliance deadline. The commenter cited that the Agency’s solicitation of comments on whether to allow recovery by parties other than certified reclaimers suggests its concern that the current 63 EPA-certified refrigerant reclaimers may not be able to manage timely HFC recovery from 4.5 million estimated cylinders. The commenter further stated that the actual domestic refrigerant cylinder market of nearly twice this size will surely create a massive refrigerant recovery bottleneck that will cascade throughout the refrigeration and HVACR supply chain and could undermine the purpose and intent of the proposed rule.</w:t>
      </w:r>
    </w:p>
    <w:p w14:paraId="28436E3B" w14:textId="77777777" w:rsidR="00D67C1E" w:rsidRPr="00283806" w:rsidRDefault="001265CA">
      <w:pPr>
        <w:spacing w:line="177" w:lineRule="exact"/>
        <w:ind w:left="340"/>
        <w:rPr>
          <w:sz w:val="18"/>
        </w:rPr>
      </w:pPr>
      <w:r w:rsidRPr="00283806">
        <w:rPr>
          <w:rFonts w:ascii="Book Antiqua"/>
          <w:i/>
          <w:w w:val="110"/>
          <w:sz w:val="18"/>
        </w:rPr>
        <w:t>Response:</w:t>
      </w:r>
      <w:r w:rsidRPr="00283806">
        <w:rPr>
          <w:rFonts w:ascii="Book Antiqua"/>
          <w:i/>
          <w:spacing w:val="2"/>
          <w:w w:val="110"/>
          <w:sz w:val="18"/>
        </w:rPr>
        <w:t xml:space="preserve"> </w:t>
      </w:r>
      <w:r w:rsidRPr="00283806">
        <w:rPr>
          <w:w w:val="110"/>
          <w:sz w:val="18"/>
        </w:rPr>
        <w:t>EPA</w:t>
      </w:r>
      <w:r w:rsidRPr="00283806">
        <w:rPr>
          <w:spacing w:val="8"/>
          <w:w w:val="110"/>
          <w:sz w:val="18"/>
        </w:rPr>
        <w:t xml:space="preserve"> </w:t>
      </w:r>
      <w:r w:rsidRPr="00283806">
        <w:rPr>
          <w:w w:val="110"/>
          <w:sz w:val="18"/>
        </w:rPr>
        <w:t>acknowledges</w:t>
      </w:r>
      <w:r w:rsidRPr="00283806">
        <w:rPr>
          <w:spacing w:val="8"/>
          <w:w w:val="110"/>
          <w:sz w:val="18"/>
        </w:rPr>
        <w:t xml:space="preserve"> </w:t>
      </w:r>
      <w:r w:rsidRPr="00283806">
        <w:rPr>
          <w:spacing w:val="-5"/>
          <w:w w:val="110"/>
          <w:sz w:val="18"/>
        </w:rPr>
        <w:t>the</w:t>
      </w:r>
    </w:p>
    <w:p w14:paraId="3DE88960" w14:textId="77777777" w:rsidR="00D67C1E" w:rsidRPr="00283806" w:rsidRDefault="001265CA">
      <w:pPr>
        <w:pStyle w:val="BodyText"/>
        <w:spacing w:line="225" w:lineRule="auto"/>
        <w:ind w:right="122"/>
      </w:pPr>
      <w:r w:rsidRPr="00283806">
        <w:rPr>
          <w:w w:val="105"/>
        </w:rPr>
        <w:t>comments related to logistical concerns with handling the influx of disposable cylinders with the proposed requirements. In response to comments stating concerns about reclaimers having capacity, storage space, and</w:t>
      </w:r>
      <w:r w:rsidRPr="00283806">
        <w:rPr>
          <w:spacing w:val="40"/>
          <w:w w:val="105"/>
        </w:rPr>
        <w:t xml:space="preserve"> </w:t>
      </w:r>
      <w:r w:rsidRPr="00283806">
        <w:rPr>
          <w:w w:val="105"/>
        </w:rPr>
        <w:t>other resources to process the influx of disposable cylinders, the Agency notes</w:t>
      </w:r>
      <w:r w:rsidRPr="00283806">
        <w:rPr>
          <w:spacing w:val="80"/>
          <w:w w:val="105"/>
        </w:rPr>
        <w:t xml:space="preserve"> </w:t>
      </w:r>
      <w:r w:rsidRPr="00283806">
        <w:rPr>
          <w:w w:val="105"/>
        </w:rPr>
        <w:t>it is finalizing modifications to the provisions for handling of used disposable cylinders. As explained in</w:t>
      </w:r>
      <w:r w:rsidRPr="00283806">
        <w:rPr>
          <w:spacing w:val="40"/>
          <w:w w:val="105"/>
        </w:rPr>
        <w:t xml:space="preserve"> </w:t>
      </w:r>
      <w:r w:rsidRPr="00283806">
        <w:rPr>
          <w:w w:val="105"/>
        </w:rPr>
        <w:t>this section, EPA is finalizing</w:t>
      </w:r>
      <w:r w:rsidRPr="00283806">
        <w:rPr>
          <w:spacing w:val="80"/>
          <w:w w:val="105"/>
        </w:rPr>
        <w:t xml:space="preserve"> </w:t>
      </w:r>
      <w:proofErr w:type="gramStart"/>
      <w:r w:rsidRPr="00283806">
        <w:rPr>
          <w:w w:val="105"/>
        </w:rPr>
        <w:t>flexibilities</w:t>
      </w:r>
      <w:proofErr w:type="gramEnd"/>
      <w:r w:rsidRPr="00283806">
        <w:rPr>
          <w:w w:val="105"/>
        </w:rPr>
        <w:t xml:space="preserve"> to these requirements that would achieve the goals of subsection</w:t>
      </w:r>
    </w:p>
    <w:p w14:paraId="1CEB0DB4" w14:textId="77777777" w:rsidR="00D67C1E" w:rsidRPr="00283806" w:rsidRDefault="001265CA">
      <w:pPr>
        <w:pStyle w:val="BodyText"/>
        <w:spacing w:line="225" w:lineRule="auto"/>
        <w:ind w:right="63"/>
      </w:pPr>
      <w:r w:rsidRPr="00283806">
        <w:rPr>
          <w:w w:val="105"/>
        </w:rPr>
        <w:t>(h) of the AIM Act. These flexibilities would also help alleviate the number of disposable cylinders that would be sent directly to a reclaimer to have the heel removed and processed. Among these provisions, EPA is finalizing that used disposable cylinders can be sent to a</w:t>
      </w:r>
      <w:r w:rsidRPr="00283806">
        <w:rPr>
          <w:spacing w:val="40"/>
          <w:w w:val="105"/>
        </w:rPr>
        <w:t xml:space="preserve"> </w:t>
      </w:r>
      <w:r w:rsidRPr="00283806">
        <w:rPr>
          <w:w w:val="105"/>
        </w:rPr>
        <w:t>final processor or back through the reverse supply chain to have the heels removed and consolidated. EPA recognizes these current channels in the reverse supply chain or the waste</w:t>
      </w:r>
    </w:p>
    <w:p w14:paraId="00798677" w14:textId="77777777" w:rsidR="00D67C1E" w:rsidRPr="00283806" w:rsidRDefault="001265CA">
      <w:pPr>
        <w:pStyle w:val="BodyText"/>
        <w:spacing w:before="136" w:line="225" w:lineRule="auto"/>
        <w:ind w:left="143" w:right="79"/>
      </w:pPr>
      <w:r w:rsidRPr="00283806">
        <w:br w:type="column"/>
      </w:r>
      <w:r w:rsidRPr="00283806">
        <w:rPr>
          <w:w w:val="105"/>
        </w:rPr>
        <w:t xml:space="preserve">distribution chain that </w:t>
      </w:r>
      <w:proofErr w:type="gramStart"/>
      <w:r w:rsidRPr="00283806">
        <w:rPr>
          <w:w w:val="105"/>
        </w:rPr>
        <w:t>make</w:t>
      </w:r>
      <w:proofErr w:type="gramEnd"/>
      <w:r w:rsidRPr="00283806">
        <w:rPr>
          <w:w w:val="105"/>
        </w:rPr>
        <w:t xml:space="preserve"> for</w:t>
      </w:r>
      <w:r w:rsidRPr="00283806">
        <w:rPr>
          <w:spacing w:val="80"/>
          <w:w w:val="150"/>
        </w:rPr>
        <w:t xml:space="preserve"> </w:t>
      </w:r>
      <w:r w:rsidRPr="00283806">
        <w:rPr>
          <w:w w:val="105"/>
        </w:rPr>
        <w:t xml:space="preserve">effective processing of used disposable cylinders and removal of heels for ultimate reclamation or, for fire suppressants, recycling. EPA anticipates that this would reduce the number of </w:t>
      </w:r>
      <w:proofErr w:type="gramStart"/>
      <w:r w:rsidRPr="00283806">
        <w:rPr>
          <w:w w:val="105"/>
        </w:rPr>
        <w:t>individual</w:t>
      </w:r>
      <w:proofErr w:type="gramEnd"/>
      <w:r w:rsidRPr="00283806">
        <w:rPr>
          <w:w w:val="105"/>
        </w:rPr>
        <w:t xml:space="preserve">, </w:t>
      </w:r>
      <w:proofErr w:type="gramStart"/>
      <w:r w:rsidRPr="00283806">
        <w:rPr>
          <w:w w:val="105"/>
        </w:rPr>
        <w:t>used disposable cylinders</w:t>
      </w:r>
      <w:proofErr w:type="gramEnd"/>
      <w:r w:rsidRPr="00283806">
        <w:rPr>
          <w:spacing w:val="80"/>
          <w:w w:val="105"/>
        </w:rPr>
        <w:t xml:space="preserve"> </w:t>
      </w:r>
      <w:r w:rsidRPr="00283806">
        <w:rPr>
          <w:w w:val="105"/>
        </w:rPr>
        <w:t>that a reclaimer receives for heel</w:t>
      </w:r>
      <w:r w:rsidRPr="00283806">
        <w:rPr>
          <w:spacing w:val="40"/>
          <w:w w:val="105"/>
        </w:rPr>
        <w:t xml:space="preserve"> </w:t>
      </w:r>
      <w:r w:rsidRPr="00283806">
        <w:rPr>
          <w:w w:val="105"/>
        </w:rPr>
        <w:t>removal and processing. Further, the Agency</w:t>
      </w:r>
      <w:r w:rsidRPr="00283806">
        <w:rPr>
          <w:spacing w:val="40"/>
          <w:w w:val="105"/>
        </w:rPr>
        <w:t xml:space="preserve"> </w:t>
      </w:r>
      <w:r w:rsidRPr="00283806">
        <w:rPr>
          <w:w w:val="105"/>
        </w:rPr>
        <w:t>is</w:t>
      </w:r>
      <w:r w:rsidRPr="00283806">
        <w:rPr>
          <w:spacing w:val="40"/>
          <w:w w:val="105"/>
        </w:rPr>
        <w:t xml:space="preserve"> </w:t>
      </w:r>
      <w:r w:rsidRPr="00283806">
        <w:rPr>
          <w:w w:val="105"/>
        </w:rPr>
        <w:t>establishing</w:t>
      </w:r>
      <w:r w:rsidRPr="00283806">
        <w:rPr>
          <w:spacing w:val="40"/>
          <w:w w:val="105"/>
        </w:rPr>
        <w:t xml:space="preserve"> </w:t>
      </w:r>
      <w:r w:rsidRPr="00283806">
        <w:rPr>
          <w:w w:val="105"/>
        </w:rPr>
        <w:t>a</w:t>
      </w:r>
      <w:r w:rsidRPr="00283806">
        <w:rPr>
          <w:spacing w:val="40"/>
          <w:w w:val="105"/>
        </w:rPr>
        <w:t xml:space="preserve"> </w:t>
      </w:r>
      <w:r w:rsidRPr="00283806">
        <w:rPr>
          <w:w w:val="105"/>
        </w:rPr>
        <w:t>compliance date of January 1, 2028, as compared to January 1, 2025, in the proposed rule to allow</w:t>
      </w:r>
      <w:r w:rsidRPr="00283806">
        <w:rPr>
          <w:spacing w:val="40"/>
          <w:w w:val="105"/>
        </w:rPr>
        <w:t xml:space="preserve"> </w:t>
      </w:r>
      <w:r w:rsidRPr="00283806">
        <w:rPr>
          <w:w w:val="105"/>
        </w:rPr>
        <w:t>the</w:t>
      </w:r>
      <w:r w:rsidRPr="00283806">
        <w:rPr>
          <w:spacing w:val="40"/>
          <w:w w:val="105"/>
        </w:rPr>
        <w:t xml:space="preserve"> </w:t>
      </w:r>
      <w:r w:rsidRPr="00283806">
        <w:rPr>
          <w:w w:val="105"/>
        </w:rPr>
        <w:t>industry</w:t>
      </w:r>
      <w:r w:rsidRPr="00283806">
        <w:rPr>
          <w:spacing w:val="40"/>
          <w:w w:val="105"/>
        </w:rPr>
        <w:t xml:space="preserve"> </w:t>
      </w:r>
      <w:r w:rsidRPr="00283806">
        <w:rPr>
          <w:w w:val="105"/>
        </w:rPr>
        <w:t>to</w:t>
      </w:r>
      <w:r w:rsidRPr="00283806">
        <w:rPr>
          <w:spacing w:val="40"/>
          <w:w w:val="105"/>
        </w:rPr>
        <w:t xml:space="preserve"> </w:t>
      </w:r>
      <w:r w:rsidRPr="00283806">
        <w:rPr>
          <w:w w:val="105"/>
        </w:rPr>
        <w:t xml:space="preserve">prepare </w:t>
      </w:r>
      <w:r w:rsidRPr="00283806">
        <w:rPr>
          <w:spacing w:val="-2"/>
          <w:w w:val="105"/>
        </w:rPr>
        <w:t>effectively.</w:t>
      </w:r>
    </w:p>
    <w:p w14:paraId="51282F10" w14:textId="77777777" w:rsidR="00D67C1E" w:rsidRPr="00283806" w:rsidRDefault="001265CA">
      <w:pPr>
        <w:pStyle w:val="BodyText"/>
        <w:spacing w:line="175" w:lineRule="exact"/>
        <w:ind w:left="323"/>
      </w:pPr>
      <w:r w:rsidRPr="00283806">
        <w:rPr>
          <w:w w:val="105"/>
        </w:rPr>
        <w:t>EPA</w:t>
      </w:r>
      <w:r w:rsidRPr="00283806">
        <w:rPr>
          <w:spacing w:val="13"/>
          <w:w w:val="105"/>
        </w:rPr>
        <w:t xml:space="preserve"> </w:t>
      </w:r>
      <w:r w:rsidRPr="00283806">
        <w:rPr>
          <w:w w:val="105"/>
        </w:rPr>
        <w:t>acknowledges</w:t>
      </w:r>
      <w:r w:rsidRPr="00283806">
        <w:rPr>
          <w:spacing w:val="14"/>
          <w:w w:val="105"/>
        </w:rPr>
        <w:t xml:space="preserve"> </w:t>
      </w:r>
      <w:r w:rsidRPr="00283806">
        <w:rPr>
          <w:w w:val="105"/>
        </w:rPr>
        <w:t>there</w:t>
      </w:r>
      <w:r w:rsidRPr="00283806">
        <w:rPr>
          <w:spacing w:val="13"/>
          <w:w w:val="105"/>
        </w:rPr>
        <w:t xml:space="preserve"> </w:t>
      </w:r>
      <w:r w:rsidRPr="00283806">
        <w:rPr>
          <w:w w:val="105"/>
        </w:rPr>
        <w:t>is</w:t>
      </w:r>
      <w:r w:rsidRPr="00283806">
        <w:rPr>
          <w:spacing w:val="14"/>
          <w:w w:val="105"/>
        </w:rPr>
        <w:t xml:space="preserve"> </w:t>
      </w:r>
      <w:r w:rsidRPr="00283806">
        <w:rPr>
          <w:w w:val="105"/>
        </w:rPr>
        <w:t>a</w:t>
      </w:r>
      <w:r w:rsidRPr="00283806">
        <w:rPr>
          <w:spacing w:val="13"/>
          <w:w w:val="105"/>
        </w:rPr>
        <w:t xml:space="preserve"> </w:t>
      </w:r>
      <w:r w:rsidRPr="00283806">
        <w:rPr>
          <w:w w:val="105"/>
        </w:rPr>
        <w:t>value</w:t>
      </w:r>
      <w:r w:rsidRPr="00283806">
        <w:rPr>
          <w:spacing w:val="14"/>
          <w:w w:val="105"/>
        </w:rPr>
        <w:t xml:space="preserve"> </w:t>
      </w:r>
      <w:r w:rsidRPr="00283806">
        <w:rPr>
          <w:spacing w:val="-5"/>
          <w:w w:val="105"/>
        </w:rPr>
        <w:t>in</w:t>
      </w:r>
    </w:p>
    <w:p w14:paraId="0DA25C9F" w14:textId="77777777" w:rsidR="00D67C1E" w:rsidRPr="00283806" w:rsidRDefault="001265CA">
      <w:pPr>
        <w:pStyle w:val="BodyText"/>
        <w:spacing w:before="3" w:line="225" w:lineRule="auto"/>
        <w:ind w:left="143" w:right="7"/>
      </w:pPr>
      <w:r w:rsidRPr="00283806">
        <w:rPr>
          <w:w w:val="105"/>
        </w:rPr>
        <w:t>disposable cylinders and estimates</w:t>
      </w:r>
      <w:r w:rsidRPr="00283806">
        <w:rPr>
          <w:spacing w:val="80"/>
          <w:w w:val="150"/>
        </w:rPr>
        <w:t xml:space="preserve"> </w:t>
      </w:r>
      <w:r w:rsidRPr="00283806">
        <w:rPr>
          <w:w w:val="105"/>
        </w:rPr>
        <w:t>those benefits in the Economic Impact and</w:t>
      </w:r>
      <w:r w:rsidRPr="00283806">
        <w:rPr>
          <w:spacing w:val="40"/>
          <w:w w:val="105"/>
        </w:rPr>
        <w:t xml:space="preserve"> </w:t>
      </w:r>
      <w:r w:rsidRPr="00283806">
        <w:rPr>
          <w:w w:val="105"/>
        </w:rPr>
        <w:t>Benefits</w:t>
      </w:r>
      <w:r w:rsidRPr="00283806">
        <w:rPr>
          <w:spacing w:val="40"/>
          <w:w w:val="105"/>
        </w:rPr>
        <w:t xml:space="preserve"> </w:t>
      </w:r>
      <w:r w:rsidRPr="00283806">
        <w:rPr>
          <w:w w:val="105"/>
        </w:rPr>
        <w:t>TSD.</w:t>
      </w:r>
      <w:r w:rsidRPr="00283806">
        <w:rPr>
          <w:spacing w:val="40"/>
          <w:w w:val="105"/>
        </w:rPr>
        <w:t xml:space="preserve"> </w:t>
      </w:r>
      <w:r w:rsidRPr="00283806">
        <w:rPr>
          <w:w w:val="105"/>
        </w:rPr>
        <w:t>This</w:t>
      </w:r>
      <w:r w:rsidRPr="00283806">
        <w:rPr>
          <w:spacing w:val="40"/>
          <w:w w:val="105"/>
        </w:rPr>
        <w:t xml:space="preserve"> </w:t>
      </w:r>
      <w:r w:rsidRPr="00283806">
        <w:rPr>
          <w:w w:val="105"/>
        </w:rPr>
        <w:t>analysis</w:t>
      </w:r>
      <w:r w:rsidRPr="00283806">
        <w:rPr>
          <w:spacing w:val="40"/>
          <w:w w:val="105"/>
        </w:rPr>
        <w:t xml:space="preserve"> </w:t>
      </w:r>
      <w:r w:rsidRPr="00283806">
        <w:rPr>
          <w:w w:val="105"/>
        </w:rPr>
        <w:t>includes estimated costs for transportation, assumed by truck, as compared to business-as-usual</w:t>
      </w:r>
      <w:r w:rsidRPr="00283806">
        <w:rPr>
          <w:spacing w:val="80"/>
          <w:w w:val="105"/>
        </w:rPr>
        <w:t xml:space="preserve"> </w:t>
      </w:r>
      <w:r w:rsidRPr="00283806">
        <w:rPr>
          <w:w w:val="105"/>
        </w:rPr>
        <w:t>practices. Whether a wholesaler chooses to inventory disposable cylinders that</w:t>
      </w:r>
      <w:r w:rsidRPr="00283806">
        <w:rPr>
          <w:spacing w:val="40"/>
          <w:w w:val="105"/>
        </w:rPr>
        <w:t xml:space="preserve"> </w:t>
      </w:r>
      <w:r w:rsidRPr="00283806">
        <w:rPr>
          <w:w w:val="105"/>
        </w:rPr>
        <w:t>are returned, remove the heels and consolidate them, or expeditiously send them to locations allowed under the</w:t>
      </w:r>
      <w:r w:rsidRPr="00283806">
        <w:rPr>
          <w:spacing w:val="80"/>
          <w:w w:val="105"/>
        </w:rPr>
        <w:t xml:space="preserve"> </w:t>
      </w:r>
      <w:r w:rsidRPr="00283806">
        <w:rPr>
          <w:w w:val="105"/>
        </w:rPr>
        <w:t>final rule, is a business decision; therefore, any value lost due to</w:t>
      </w:r>
      <w:r w:rsidRPr="00283806">
        <w:rPr>
          <w:spacing w:val="40"/>
          <w:w w:val="105"/>
        </w:rPr>
        <w:t xml:space="preserve"> </w:t>
      </w:r>
      <w:r w:rsidRPr="00283806">
        <w:rPr>
          <w:w w:val="105"/>
        </w:rPr>
        <w:t>occupying inventory space is not assessed as doing so is not a</w:t>
      </w:r>
      <w:r w:rsidRPr="00283806">
        <w:rPr>
          <w:spacing w:val="80"/>
          <w:w w:val="105"/>
        </w:rPr>
        <w:t xml:space="preserve"> </w:t>
      </w:r>
      <w:r w:rsidRPr="00283806">
        <w:rPr>
          <w:w w:val="105"/>
        </w:rPr>
        <w:t>requirement in this final rule and EPA does not have information on how to place a value or cost estimate on such inventory space.</w:t>
      </w:r>
    </w:p>
    <w:p w14:paraId="28C7FC9B" w14:textId="77777777" w:rsidR="00D67C1E" w:rsidRPr="00283806" w:rsidRDefault="001265CA">
      <w:pPr>
        <w:pStyle w:val="BodyText"/>
        <w:spacing w:line="173" w:lineRule="exact"/>
        <w:ind w:left="323"/>
      </w:pPr>
      <w:r w:rsidRPr="00283806">
        <w:rPr>
          <w:w w:val="105"/>
        </w:rPr>
        <w:t>In</w:t>
      </w:r>
      <w:r w:rsidRPr="00283806">
        <w:rPr>
          <w:spacing w:val="5"/>
          <w:w w:val="105"/>
        </w:rPr>
        <w:t xml:space="preserve"> </w:t>
      </w:r>
      <w:r w:rsidRPr="00283806">
        <w:rPr>
          <w:w w:val="105"/>
        </w:rPr>
        <w:t>response</w:t>
      </w:r>
      <w:r w:rsidRPr="00283806">
        <w:rPr>
          <w:spacing w:val="6"/>
          <w:w w:val="105"/>
        </w:rPr>
        <w:t xml:space="preserve"> </w:t>
      </w:r>
      <w:r w:rsidRPr="00283806">
        <w:rPr>
          <w:w w:val="105"/>
        </w:rPr>
        <w:t>to</w:t>
      </w:r>
      <w:r w:rsidRPr="00283806">
        <w:rPr>
          <w:spacing w:val="6"/>
          <w:w w:val="105"/>
        </w:rPr>
        <w:t xml:space="preserve"> </w:t>
      </w:r>
      <w:r w:rsidRPr="00283806">
        <w:rPr>
          <w:w w:val="105"/>
        </w:rPr>
        <w:t>the</w:t>
      </w:r>
      <w:r w:rsidRPr="00283806">
        <w:rPr>
          <w:spacing w:val="6"/>
          <w:w w:val="105"/>
        </w:rPr>
        <w:t xml:space="preserve"> </w:t>
      </w:r>
      <w:r w:rsidRPr="00283806">
        <w:rPr>
          <w:w w:val="105"/>
        </w:rPr>
        <w:t>comment</w:t>
      </w:r>
      <w:r w:rsidRPr="00283806">
        <w:rPr>
          <w:spacing w:val="6"/>
          <w:w w:val="105"/>
        </w:rPr>
        <w:t xml:space="preserve"> </w:t>
      </w:r>
      <w:r w:rsidRPr="00283806">
        <w:rPr>
          <w:spacing w:val="-2"/>
          <w:w w:val="105"/>
        </w:rPr>
        <w:t>about</w:t>
      </w:r>
    </w:p>
    <w:p w14:paraId="1B328CAB" w14:textId="77777777" w:rsidR="00D67C1E" w:rsidRPr="00283806" w:rsidRDefault="001265CA">
      <w:pPr>
        <w:pStyle w:val="BodyText"/>
        <w:spacing w:before="4" w:line="225" w:lineRule="auto"/>
        <w:ind w:left="143" w:right="49"/>
      </w:pPr>
      <w:r w:rsidRPr="00283806">
        <w:rPr>
          <w:w w:val="105"/>
        </w:rPr>
        <w:t>processing removed heels in a batch method as compared to the single cylinder level, EPA views this comment as related to the proposed container tracking requirements. As explained in section I.B, the Agency, at this time, is</w:t>
      </w:r>
      <w:r w:rsidRPr="00283806">
        <w:rPr>
          <w:spacing w:val="40"/>
          <w:w w:val="105"/>
        </w:rPr>
        <w:t xml:space="preserve"> </w:t>
      </w:r>
      <w:r w:rsidRPr="00283806">
        <w:rPr>
          <w:w w:val="105"/>
        </w:rPr>
        <w:t xml:space="preserve">not taking final action on container tracking requirements, and this rulemaking does not establish reporting requirements for the </w:t>
      </w:r>
      <w:proofErr w:type="gramStart"/>
      <w:r w:rsidRPr="00283806">
        <w:rPr>
          <w:w w:val="105"/>
        </w:rPr>
        <w:t>amount</w:t>
      </w:r>
      <w:proofErr w:type="gramEnd"/>
      <w:r w:rsidRPr="00283806">
        <w:rPr>
          <w:w w:val="105"/>
        </w:rPr>
        <w:t xml:space="preserve"> of heels removed by reclaimers at the single cylinder level. Additionally, reclaimers who receive disposable cylinders and remove the heels are not required to record data for each single cylinder received. Reclaimers will continue to report</w:t>
      </w:r>
      <w:r w:rsidRPr="00283806">
        <w:rPr>
          <w:spacing w:val="-7"/>
          <w:w w:val="105"/>
        </w:rPr>
        <w:t xml:space="preserve"> </w:t>
      </w:r>
      <w:r w:rsidRPr="00283806">
        <w:rPr>
          <w:w w:val="105"/>
        </w:rPr>
        <w:t>their</w:t>
      </w:r>
      <w:r w:rsidRPr="00283806">
        <w:rPr>
          <w:spacing w:val="-7"/>
          <w:w w:val="105"/>
        </w:rPr>
        <w:t xml:space="preserve"> </w:t>
      </w:r>
      <w:r w:rsidRPr="00283806">
        <w:rPr>
          <w:w w:val="105"/>
        </w:rPr>
        <w:t>totals</w:t>
      </w:r>
      <w:r w:rsidRPr="00283806">
        <w:rPr>
          <w:spacing w:val="-7"/>
          <w:w w:val="105"/>
        </w:rPr>
        <w:t xml:space="preserve"> </w:t>
      </w:r>
      <w:r w:rsidRPr="00283806">
        <w:rPr>
          <w:w w:val="105"/>
        </w:rPr>
        <w:t>of</w:t>
      </w:r>
      <w:r w:rsidRPr="00283806">
        <w:rPr>
          <w:spacing w:val="-7"/>
          <w:w w:val="105"/>
        </w:rPr>
        <w:t xml:space="preserve"> </w:t>
      </w:r>
      <w:r w:rsidRPr="00283806">
        <w:rPr>
          <w:w w:val="105"/>
        </w:rPr>
        <w:t>refrigerant</w:t>
      </w:r>
      <w:r w:rsidRPr="00283806">
        <w:rPr>
          <w:spacing w:val="-7"/>
          <w:w w:val="105"/>
        </w:rPr>
        <w:t xml:space="preserve"> </w:t>
      </w:r>
      <w:r w:rsidRPr="00283806">
        <w:rPr>
          <w:w w:val="105"/>
        </w:rPr>
        <w:t>received or reclaimed when reporting under the CAA section 608 programs (40 CFR part 82, subpart F) and the HFC Allocation Program (40 CFR part 84, subpart A).</w:t>
      </w:r>
    </w:p>
    <w:p w14:paraId="7D4B4519" w14:textId="77777777" w:rsidR="00D67C1E" w:rsidRPr="00283806" w:rsidRDefault="001265CA">
      <w:pPr>
        <w:pStyle w:val="BodyText"/>
        <w:spacing w:line="173" w:lineRule="exact"/>
        <w:ind w:left="323"/>
      </w:pPr>
      <w:r w:rsidRPr="00283806">
        <w:rPr>
          <w:w w:val="105"/>
        </w:rPr>
        <w:t>EPA</w:t>
      </w:r>
      <w:r w:rsidRPr="00283806">
        <w:rPr>
          <w:spacing w:val="21"/>
          <w:w w:val="105"/>
        </w:rPr>
        <w:t xml:space="preserve"> </w:t>
      </w:r>
      <w:r w:rsidRPr="00283806">
        <w:rPr>
          <w:w w:val="105"/>
        </w:rPr>
        <w:t>acknowledges</w:t>
      </w:r>
      <w:r w:rsidRPr="00283806">
        <w:rPr>
          <w:spacing w:val="22"/>
          <w:w w:val="105"/>
        </w:rPr>
        <w:t xml:space="preserve"> </w:t>
      </w:r>
      <w:r w:rsidRPr="00283806">
        <w:rPr>
          <w:w w:val="105"/>
        </w:rPr>
        <w:t>comments</w:t>
      </w:r>
      <w:r w:rsidRPr="00283806">
        <w:rPr>
          <w:spacing w:val="22"/>
          <w:w w:val="105"/>
        </w:rPr>
        <w:t xml:space="preserve"> </w:t>
      </w:r>
      <w:r w:rsidRPr="00283806">
        <w:rPr>
          <w:spacing w:val="-2"/>
          <w:w w:val="105"/>
        </w:rPr>
        <w:t>related</w:t>
      </w:r>
    </w:p>
    <w:p w14:paraId="4BA6CD23" w14:textId="77777777" w:rsidR="00D67C1E" w:rsidRPr="00283806" w:rsidRDefault="001265CA">
      <w:pPr>
        <w:pStyle w:val="BodyText"/>
        <w:spacing w:before="4" w:line="225" w:lineRule="auto"/>
        <w:ind w:left="143" w:right="33"/>
      </w:pPr>
      <w:r w:rsidRPr="00283806">
        <w:rPr>
          <w:w w:val="105"/>
        </w:rPr>
        <w:t>to current reclaimer capacity and</w:t>
      </w:r>
      <w:r w:rsidRPr="00283806">
        <w:rPr>
          <w:spacing w:val="40"/>
          <w:w w:val="105"/>
        </w:rPr>
        <w:t xml:space="preserve"> </w:t>
      </w:r>
      <w:r w:rsidRPr="00283806">
        <w:rPr>
          <w:w w:val="105"/>
        </w:rPr>
        <w:t>meeting supply of reclaimed refrigerants as required to support provisions in this rulemaking. EPA addresses comments related to reclaimed refrigerant supply</w:t>
      </w:r>
      <w:r w:rsidRPr="00283806">
        <w:rPr>
          <w:spacing w:val="80"/>
          <w:w w:val="105"/>
        </w:rPr>
        <w:t xml:space="preserve"> </w:t>
      </w:r>
      <w:r w:rsidRPr="00283806">
        <w:rPr>
          <w:w w:val="105"/>
        </w:rPr>
        <w:t>in section IV.E.2 of this rulemaking.</w:t>
      </w:r>
    </w:p>
    <w:p w14:paraId="591897B2" w14:textId="77777777" w:rsidR="00D67C1E" w:rsidRPr="00283806" w:rsidRDefault="001265CA">
      <w:pPr>
        <w:pStyle w:val="BodyText"/>
        <w:spacing w:before="4" w:line="228" w:lineRule="auto"/>
        <w:ind w:left="143" w:right="99"/>
      </w:pPr>
      <w:r w:rsidRPr="00283806">
        <w:rPr>
          <w:w w:val="105"/>
        </w:rPr>
        <w:t xml:space="preserve">Regarding comments related to </w:t>
      </w:r>
      <w:proofErr w:type="gramStart"/>
      <w:r w:rsidRPr="00283806">
        <w:rPr>
          <w:w w:val="105"/>
        </w:rPr>
        <w:t>uncertainty</w:t>
      </w:r>
      <w:proofErr w:type="gramEnd"/>
      <w:r w:rsidRPr="00283806">
        <w:rPr>
          <w:w w:val="105"/>
        </w:rPr>
        <w:t xml:space="preserve"> of reclaimers to process the influx of a volume of HFCs being</w:t>
      </w:r>
      <w:r w:rsidRPr="00283806">
        <w:rPr>
          <w:spacing w:val="80"/>
          <w:w w:val="105"/>
        </w:rPr>
        <w:t xml:space="preserve"> </w:t>
      </w:r>
      <w:r w:rsidRPr="00283806">
        <w:rPr>
          <w:w w:val="105"/>
        </w:rPr>
        <w:t>sourced from heels of disposable cylinders, EPA responds that comments to the proposed rule describe that</w:t>
      </w:r>
    </w:p>
    <w:p w14:paraId="1F807BA8" w14:textId="77777777" w:rsidR="00D67C1E" w:rsidRPr="00283806" w:rsidRDefault="001265CA">
      <w:pPr>
        <w:pStyle w:val="BodyText"/>
        <w:spacing w:before="135" w:line="225" w:lineRule="auto"/>
        <w:ind w:left="153" w:right="187"/>
      </w:pPr>
      <w:r w:rsidRPr="00283806">
        <w:br w:type="column"/>
      </w:r>
      <w:r w:rsidRPr="00283806">
        <w:rPr>
          <w:w w:val="105"/>
        </w:rPr>
        <w:t>reclaimers have the capacity to process the volume of HFCs. EPA is aware of reclaimers expanding capacity volume- wise and increasing capacity of</w:t>
      </w:r>
      <w:r w:rsidRPr="00283806">
        <w:rPr>
          <w:spacing w:val="80"/>
          <w:w w:val="105"/>
        </w:rPr>
        <w:t xml:space="preserve"> </w:t>
      </w:r>
      <w:r w:rsidRPr="00283806">
        <w:rPr>
          <w:w w:val="105"/>
        </w:rPr>
        <w:t>advanced separation technologies to effectively process additional material. EPA notes that comments related to uncertainty of reclaimers’ capacity received in this rulemaking were related to processing the influx of disposable cylinders and removing heels. The additional flexibilities being finalized related to the handling of used</w:t>
      </w:r>
      <w:r w:rsidRPr="00283806">
        <w:rPr>
          <w:spacing w:val="40"/>
          <w:w w:val="105"/>
        </w:rPr>
        <w:t xml:space="preserve"> </w:t>
      </w:r>
      <w:r w:rsidRPr="00283806">
        <w:rPr>
          <w:w w:val="105"/>
        </w:rPr>
        <w:t>disposable cylinders help to address these concerns (as discussed in</w:t>
      </w:r>
      <w:r w:rsidRPr="00283806">
        <w:rPr>
          <w:spacing w:val="40"/>
          <w:w w:val="105"/>
        </w:rPr>
        <w:t xml:space="preserve"> </w:t>
      </w:r>
      <w:r w:rsidRPr="00283806">
        <w:rPr>
          <w:w w:val="105"/>
        </w:rPr>
        <w:t>responses in this section).</w:t>
      </w:r>
    </w:p>
    <w:p w14:paraId="1F149667" w14:textId="77777777" w:rsidR="00D67C1E" w:rsidRPr="00283806" w:rsidRDefault="001265CA">
      <w:pPr>
        <w:spacing w:line="180" w:lineRule="exact"/>
        <w:ind w:left="333"/>
        <w:rPr>
          <w:sz w:val="18"/>
        </w:rPr>
      </w:pPr>
      <w:r w:rsidRPr="00283806">
        <w:rPr>
          <w:rFonts w:ascii="Book Antiqua"/>
          <w:i/>
          <w:w w:val="110"/>
          <w:sz w:val="18"/>
        </w:rPr>
        <w:t>Comment:</w:t>
      </w:r>
      <w:r w:rsidRPr="00283806">
        <w:rPr>
          <w:rFonts w:ascii="Book Antiqua"/>
          <w:i/>
          <w:spacing w:val="-2"/>
          <w:w w:val="110"/>
          <w:sz w:val="18"/>
        </w:rPr>
        <w:t xml:space="preserve"> </w:t>
      </w:r>
      <w:r w:rsidRPr="00283806">
        <w:rPr>
          <w:w w:val="110"/>
          <w:sz w:val="18"/>
        </w:rPr>
        <w:t>EPA</w:t>
      </w:r>
      <w:r w:rsidRPr="00283806">
        <w:rPr>
          <w:spacing w:val="5"/>
          <w:w w:val="110"/>
          <w:sz w:val="18"/>
        </w:rPr>
        <w:t xml:space="preserve"> </w:t>
      </w:r>
      <w:r w:rsidRPr="00283806">
        <w:rPr>
          <w:w w:val="110"/>
          <w:sz w:val="18"/>
        </w:rPr>
        <w:t>received</w:t>
      </w:r>
      <w:r w:rsidRPr="00283806">
        <w:rPr>
          <w:spacing w:val="4"/>
          <w:w w:val="110"/>
          <w:sz w:val="18"/>
        </w:rPr>
        <w:t xml:space="preserve"> </w:t>
      </w:r>
      <w:r w:rsidRPr="00283806">
        <w:rPr>
          <w:spacing w:val="-2"/>
          <w:w w:val="110"/>
          <w:sz w:val="18"/>
        </w:rPr>
        <w:t>multiple</w:t>
      </w:r>
    </w:p>
    <w:p w14:paraId="73DAB3FF" w14:textId="77777777" w:rsidR="00D67C1E" w:rsidRPr="00283806" w:rsidRDefault="001265CA">
      <w:pPr>
        <w:pStyle w:val="BodyText"/>
        <w:spacing w:line="225" w:lineRule="auto"/>
        <w:ind w:left="153" w:right="132"/>
      </w:pPr>
      <w:r w:rsidRPr="00283806">
        <w:rPr>
          <w:w w:val="105"/>
        </w:rPr>
        <w:t>comments related to the distribution chains that would support the</w:t>
      </w:r>
      <w:r w:rsidRPr="00283806">
        <w:rPr>
          <w:spacing w:val="80"/>
          <w:w w:val="105"/>
        </w:rPr>
        <w:t xml:space="preserve"> </w:t>
      </w:r>
      <w:r w:rsidRPr="00283806">
        <w:rPr>
          <w:w w:val="105"/>
        </w:rPr>
        <w:t>movement of disposable cylinders to reclaimers. Some commenters stated</w:t>
      </w:r>
      <w:r w:rsidRPr="00283806">
        <w:rPr>
          <w:spacing w:val="80"/>
          <w:w w:val="105"/>
        </w:rPr>
        <w:t xml:space="preserve"> </w:t>
      </w:r>
      <w:r w:rsidRPr="00283806">
        <w:rPr>
          <w:w w:val="105"/>
        </w:rPr>
        <w:t>that the distribution chains for returning recovered</w:t>
      </w:r>
      <w:r w:rsidRPr="00283806">
        <w:rPr>
          <w:spacing w:val="40"/>
          <w:w w:val="105"/>
        </w:rPr>
        <w:t xml:space="preserve"> </w:t>
      </w:r>
      <w:r w:rsidRPr="00283806">
        <w:rPr>
          <w:w w:val="105"/>
        </w:rPr>
        <w:t>materials,</w:t>
      </w:r>
      <w:r w:rsidRPr="00283806">
        <w:rPr>
          <w:spacing w:val="40"/>
          <w:w w:val="105"/>
        </w:rPr>
        <w:t xml:space="preserve"> </w:t>
      </w:r>
      <w:r w:rsidRPr="00283806">
        <w:rPr>
          <w:w w:val="105"/>
        </w:rPr>
        <w:t>as</w:t>
      </w:r>
      <w:r w:rsidRPr="00283806">
        <w:rPr>
          <w:spacing w:val="40"/>
          <w:w w:val="105"/>
        </w:rPr>
        <w:t xml:space="preserve"> </w:t>
      </w:r>
      <w:r w:rsidRPr="00283806">
        <w:rPr>
          <w:w w:val="105"/>
        </w:rPr>
        <w:t>EPA</w:t>
      </w:r>
      <w:r w:rsidRPr="00283806">
        <w:rPr>
          <w:spacing w:val="40"/>
          <w:w w:val="105"/>
        </w:rPr>
        <w:t xml:space="preserve"> </w:t>
      </w:r>
      <w:r w:rsidRPr="00283806">
        <w:rPr>
          <w:w w:val="105"/>
        </w:rPr>
        <w:t>alluded</w:t>
      </w:r>
      <w:r w:rsidRPr="00283806">
        <w:rPr>
          <w:spacing w:val="40"/>
          <w:w w:val="105"/>
        </w:rPr>
        <w:t xml:space="preserve"> </w:t>
      </w:r>
      <w:r w:rsidRPr="00283806">
        <w:rPr>
          <w:w w:val="105"/>
        </w:rPr>
        <w:t>to in</w:t>
      </w:r>
      <w:r w:rsidRPr="00283806">
        <w:rPr>
          <w:spacing w:val="40"/>
          <w:w w:val="105"/>
        </w:rPr>
        <w:t xml:space="preserve"> </w:t>
      </w:r>
      <w:r w:rsidRPr="00283806">
        <w:rPr>
          <w:w w:val="105"/>
        </w:rPr>
        <w:t>the</w:t>
      </w:r>
      <w:r w:rsidRPr="00283806">
        <w:rPr>
          <w:spacing w:val="40"/>
          <w:w w:val="105"/>
        </w:rPr>
        <w:t xml:space="preserve"> </w:t>
      </w:r>
      <w:r w:rsidRPr="00283806">
        <w:rPr>
          <w:w w:val="105"/>
        </w:rPr>
        <w:t>proposed</w:t>
      </w:r>
      <w:r w:rsidRPr="00283806">
        <w:rPr>
          <w:spacing w:val="40"/>
          <w:w w:val="105"/>
        </w:rPr>
        <w:t xml:space="preserve"> </w:t>
      </w:r>
      <w:r w:rsidRPr="00283806">
        <w:rPr>
          <w:w w:val="105"/>
        </w:rPr>
        <w:t>rule,</w:t>
      </w:r>
      <w:r w:rsidRPr="00283806">
        <w:rPr>
          <w:spacing w:val="40"/>
          <w:w w:val="105"/>
        </w:rPr>
        <w:t xml:space="preserve"> </w:t>
      </w:r>
      <w:r w:rsidRPr="00283806">
        <w:rPr>
          <w:w w:val="105"/>
        </w:rPr>
        <w:t>may</w:t>
      </w:r>
      <w:r w:rsidRPr="00283806">
        <w:rPr>
          <w:spacing w:val="40"/>
          <w:w w:val="105"/>
        </w:rPr>
        <w:t xml:space="preserve"> </w:t>
      </w:r>
      <w:r w:rsidRPr="00283806">
        <w:rPr>
          <w:w w:val="105"/>
        </w:rPr>
        <w:t>have difficulty</w:t>
      </w:r>
      <w:r w:rsidRPr="00283806">
        <w:rPr>
          <w:spacing w:val="40"/>
          <w:w w:val="105"/>
        </w:rPr>
        <w:t xml:space="preserve"> </w:t>
      </w:r>
      <w:r w:rsidRPr="00283806">
        <w:rPr>
          <w:w w:val="105"/>
        </w:rPr>
        <w:t>accommodating</w:t>
      </w:r>
      <w:r w:rsidRPr="00283806">
        <w:rPr>
          <w:spacing w:val="40"/>
          <w:w w:val="105"/>
        </w:rPr>
        <w:t xml:space="preserve"> </w:t>
      </w:r>
      <w:r w:rsidRPr="00283806">
        <w:rPr>
          <w:w w:val="105"/>
        </w:rPr>
        <w:t>the</w:t>
      </w:r>
      <w:r w:rsidRPr="00283806">
        <w:rPr>
          <w:spacing w:val="40"/>
          <w:w w:val="105"/>
        </w:rPr>
        <w:t xml:space="preserve"> </w:t>
      </w:r>
      <w:r w:rsidRPr="00283806">
        <w:rPr>
          <w:w w:val="105"/>
        </w:rPr>
        <w:t>increase in</w:t>
      </w:r>
      <w:r w:rsidRPr="00283806">
        <w:rPr>
          <w:spacing w:val="40"/>
          <w:w w:val="105"/>
        </w:rPr>
        <w:t xml:space="preserve"> </w:t>
      </w:r>
      <w:r w:rsidRPr="00283806">
        <w:rPr>
          <w:w w:val="105"/>
        </w:rPr>
        <w:t>magnitude</w:t>
      </w:r>
      <w:r w:rsidRPr="00283806">
        <w:rPr>
          <w:spacing w:val="40"/>
          <w:w w:val="105"/>
        </w:rPr>
        <w:t xml:space="preserve"> </w:t>
      </w:r>
      <w:r w:rsidRPr="00283806">
        <w:rPr>
          <w:w w:val="105"/>
        </w:rPr>
        <w:t>of</w:t>
      </w:r>
      <w:r w:rsidRPr="00283806">
        <w:rPr>
          <w:spacing w:val="40"/>
          <w:w w:val="105"/>
        </w:rPr>
        <w:t xml:space="preserve"> </w:t>
      </w:r>
      <w:r w:rsidRPr="00283806">
        <w:rPr>
          <w:w w:val="105"/>
        </w:rPr>
        <w:t>disposable</w:t>
      </w:r>
      <w:r w:rsidRPr="00283806">
        <w:rPr>
          <w:spacing w:val="40"/>
          <w:w w:val="105"/>
        </w:rPr>
        <w:t xml:space="preserve"> </w:t>
      </w:r>
      <w:r w:rsidRPr="00283806">
        <w:rPr>
          <w:w w:val="105"/>
        </w:rPr>
        <w:t xml:space="preserve">cylinders per the proposed requirements, since these distribution chains are typically used more for </w:t>
      </w:r>
      <w:proofErr w:type="gramStart"/>
      <w:r w:rsidRPr="00283806">
        <w:rPr>
          <w:w w:val="105"/>
        </w:rPr>
        <w:t>return of recovery</w:t>
      </w:r>
      <w:proofErr w:type="gramEnd"/>
      <w:r w:rsidRPr="00283806">
        <w:rPr>
          <w:w w:val="105"/>
        </w:rPr>
        <w:t xml:space="preserve"> cylinders. Other commenters noted that the existing distribution chains could be used to support the movement of disposable cylinders per the proposed requirements. One commenter stated</w:t>
      </w:r>
      <w:r w:rsidRPr="00283806">
        <w:rPr>
          <w:spacing w:val="40"/>
          <w:w w:val="105"/>
        </w:rPr>
        <w:t xml:space="preserve"> </w:t>
      </w:r>
      <w:r w:rsidRPr="00283806">
        <w:rPr>
          <w:w w:val="105"/>
        </w:rPr>
        <w:t>that in current practices, contractors</w:t>
      </w:r>
      <w:r w:rsidRPr="00283806">
        <w:rPr>
          <w:spacing w:val="80"/>
          <w:w w:val="105"/>
        </w:rPr>
        <w:t xml:space="preserve"> </w:t>
      </w:r>
      <w:r w:rsidRPr="00283806">
        <w:rPr>
          <w:w w:val="105"/>
        </w:rPr>
        <w:t>may already be consolidating recovered material into a recovery cylinder (including heels) before taking them to</w:t>
      </w:r>
    </w:p>
    <w:p w14:paraId="283841E3" w14:textId="77777777" w:rsidR="00D67C1E" w:rsidRPr="00283806" w:rsidRDefault="001265CA">
      <w:pPr>
        <w:pStyle w:val="BodyText"/>
        <w:spacing w:line="225" w:lineRule="auto"/>
        <w:ind w:left="153" w:right="189"/>
      </w:pPr>
      <w:r w:rsidRPr="00283806">
        <w:rPr>
          <w:w w:val="105"/>
        </w:rPr>
        <w:t>a distributor. Another commenter stated that there are multiple avenues for refrigerant recovery from cylinders,</w:t>
      </w:r>
      <w:r w:rsidRPr="00283806">
        <w:rPr>
          <w:spacing w:val="80"/>
          <w:w w:val="105"/>
        </w:rPr>
        <w:t xml:space="preserve"> </w:t>
      </w:r>
      <w:r w:rsidRPr="00283806">
        <w:rPr>
          <w:w w:val="105"/>
        </w:rPr>
        <w:t>such as current practices to send disposable cylinders to reclaimers or wholesale distribution-operated</w:t>
      </w:r>
      <w:r w:rsidRPr="00283806">
        <w:rPr>
          <w:spacing w:val="80"/>
          <w:w w:val="105"/>
        </w:rPr>
        <w:t xml:space="preserve"> </w:t>
      </w:r>
      <w:r w:rsidRPr="00283806">
        <w:rPr>
          <w:w w:val="105"/>
        </w:rPr>
        <w:t xml:space="preserve">cylinder recycling </w:t>
      </w:r>
      <w:proofErr w:type="gramStart"/>
      <w:r w:rsidRPr="00283806">
        <w:rPr>
          <w:w w:val="105"/>
        </w:rPr>
        <w:t>programs, and</w:t>
      </w:r>
      <w:proofErr w:type="gramEnd"/>
      <w:r w:rsidRPr="00283806">
        <w:rPr>
          <w:w w:val="105"/>
        </w:rPr>
        <w:t xml:space="preserve"> allowing contractors to recover the remaining refrigerant and be compensated for sending the recovered refrigerant to a certified reclaimer. The commenter noted that while programs for returning disposable cylinders to reclaimers exist, this method for recovery of the heel may be inefficient and </w:t>
      </w:r>
      <w:proofErr w:type="gramStart"/>
      <w:r w:rsidRPr="00283806">
        <w:rPr>
          <w:w w:val="105"/>
        </w:rPr>
        <w:t>rely on</w:t>
      </w:r>
      <w:proofErr w:type="gramEnd"/>
      <w:r w:rsidRPr="00283806">
        <w:rPr>
          <w:w w:val="105"/>
        </w:rPr>
        <w:t xml:space="preserve"> proximity to a reclaimer.</w:t>
      </w:r>
    </w:p>
    <w:p w14:paraId="11446BDF" w14:textId="77777777" w:rsidR="00D67C1E" w:rsidRPr="00283806" w:rsidRDefault="001265CA">
      <w:pPr>
        <w:pStyle w:val="BodyText"/>
        <w:spacing w:line="174" w:lineRule="exact"/>
        <w:ind w:left="333"/>
      </w:pPr>
      <w:r w:rsidRPr="00283806">
        <w:rPr>
          <w:w w:val="105"/>
        </w:rPr>
        <w:t>EPA</w:t>
      </w:r>
      <w:r w:rsidRPr="00283806">
        <w:rPr>
          <w:spacing w:val="19"/>
          <w:w w:val="105"/>
        </w:rPr>
        <w:t xml:space="preserve"> </w:t>
      </w:r>
      <w:r w:rsidRPr="00283806">
        <w:rPr>
          <w:w w:val="105"/>
        </w:rPr>
        <w:t>received</w:t>
      </w:r>
      <w:r w:rsidRPr="00283806">
        <w:rPr>
          <w:spacing w:val="19"/>
          <w:w w:val="105"/>
        </w:rPr>
        <w:t xml:space="preserve"> </w:t>
      </w:r>
      <w:r w:rsidRPr="00283806">
        <w:rPr>
          <w:w w:val="105"/>
        </w:rPr>
        <w:t>many</w:t>
      </w:r>
      <w:r w:rsidRPr="00283806">
        <w:rPr>
          <w:spacing w:val="19"/>
          <w:w w:val="105"/>
        </w:rPr>
        <w:t xml:space="preserve"> </w:t>
      </w:r>
      <w:r w:rsidRPr="00283806">
        <w:rPr>
          <w:w w:val="105"/>
        </w:rPr>
        <w:t>comments</w:t>
      </w:r>
      <w:r w:rsidRPr="00283806">
        <w:rPr>
          <w:spacing w:val="19"/>
          <w:w w:val="105"/>
        </w:rPr>
        <w:t xml:space="preserve"> </w:t>
      </w:r>
      <w:r w:rsidRPr="00283806">
        <w:rPr>
          <w:spacing w:val="-5"/>
          <w:w w:val="105"/>
        </w:rPr>
        <w:t>on</w:t>
      </w:r>
    </w:p>
    <w:p w14:paraId="08EB0BA7" w14:textId="77777777" w:rsidR="00D67C1E" w:rsidRPr="00283806" w:rsidRDefault="001265CA">
      <w:pPr>
        <w:pStyle w:val="BodyText"/>
        <w:spacing w:line="225" w:lineRule="auto"/>
        <w:ind w:left="153" w:right="196"/>
      </w:pPr>
      <w:r w:rsidRPr="00283806">
        <w:rPr>
          <w:w w:val="105"/>
        </w:rPr>
        <w:t>alternate approaches that shared features with the alternate approaches described in the proposed rule, one of which</w:t>
      </w:r>
      <w:r w:rsidRPr="00283806">
        <w:rPr>
          <w:spacing w:val="40"/>
          <w:w w:val="105"/>
        </w:rPr>
        <w:t xml:space="preserve"> </w:t>
      </w:r>
      <w:r w:rsidRPr="00283806">
        <w:rPr>
          <w:w w:val="105"/>
        </w:rPr>
        <w:t>would</w:t>
      </w:r>
      <w:r w:rsidRPr="00283806">
        <w:rPr>
          <w:spacing w:val="40"/>
          <w:w w:val="105"/>
        </w:rPr>
        <w:t xml:space="preserve"> </w:t>
      </w:r>
      <w:r w:rsidRPr="00283806">
        <w:rPr>
          <w:w w:val="105"/>
        </w:rPr>
        <w:t>allow</w:t>
      </w:r>
      <w:r w:rsidRPr="00283806">
        <w:rPr>
          <w:spacing w:val="40"/>
          <w:w w:val="105"/>
        </w:rPr>
        <w:t xml:space="preserve"> </w:t>
      </w:r>
      <w:r w:rsidRPr="00283806">
        <w:rPr>
          <w:w w:val="105"/>
        </w:rPr>
        <w:t>final</w:t>
      </w:r>
      <w:r w:rsidRPr="00283806">
        <w:rPr>
          <w:spacing w:val="40"/>
          <w:w w:val="105"/>
        </w:rPr>
        <w:t xml:space="preserve"> </w:t>
      </w:r>
      <w:r w:rsidRPr="00283806">
        <w:rPr>
          <w:w w:val="105"/>
        </w:rPr>
        <w:t>processors (</w:t>
      </w:r>
      <w:r w:rsidRPr="00283806">
        <w:rPr>
          <w:rFonts w:ascii="Book Antiqua"/>
          <w:i/>
          <w:w w:val="105"/>
        </w:rPr>
        <w:t xml:space="preserve">e.g., </w:t>
      </w:r>
      <w:r w:rsidRPr="00283806">
        <w:rPr>
          <w:w w:val="105"/>
        </w:rPr>
        <w:t>landfill operators, scrap metal recyclers) to be the entity to recover heels from disposable cylinders prior to discarding, and another of which would have allowed more than just reclaimers to recover the heel, while still requiring that all the removed material be sent to reclaimers for further processing. Many commenters were supportive of aspects of the alternate approach in</w:t>
      </w:r>
    </w:p>
    <w:p w14:paraId="3C2ABDA4"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7" w:space="40"/>
            <w:col w:w="3490" w:space="39"/>
            <w:col w:w="3634"/>
          </w:cols>
        </w:sectPr>
      </w:pPr>
    </w:p>
    <w:p w14:paraId="4EBA0A5A" w14:textId="77777777" w:rsidR="00D67C1E" w:rsidRPr="00283806" w:rsidRDefault="001265CA">
      <w:pPr>
        <w:pStyle w:val="BodyText"/>
        <w:spacing w:before="136" w:line="225" w:lineRule="auto"/>
        <w:ind w:right="23"/>
      </w:pPr>
      <w:r w:rsidRPr="00283806">
        <w:rPr>
          <w:w w:val="105"/>
        </w:rPr>
        <w:lastRenderedPageBreak/>
        <w:t>combination with the proposed requirements. One commenter stated</w:t>
      </w:r>
      <w:r w:rsidRPr="00283806">
        <w:rPr>
          <w:spacing w:val="40"/>
          <w:w w:val="105"/>
        </w:rPr>
        <w:t xml:space="preserve"> </w:t>
      </w:r>
      <w:r w:rsidRPr="00283806">
        <w:rPr>
          <w:w w:val="105"/>
        </w:rPr>
        <w:t xml:space="preserve">that EPA should consider alternatives to send near-empty disposable cylinders to a local appliance disposal outlet in addition to </w:t>
      </w:r>
      <w:proofErr w:type="gramStart"/>
      <w:r w:rsidRPr="00283806">
        <w:rPr>
          <w:w w:val="105"/>
        </w:rPr>
        <w:t>sending</w:t>
      </w:r>
      <w:proofErr w:type="gramEnd"/>
      <w:r w:rsidRPr="00283806">
        <w:rPr>
          <w:w w:val="105"/>
        </w:rPr>
        <w:t xml:space="preserve"> directly to a reclaimer. Another commenter</w:t>
      </w:r>
      <w:r w:rsidRPr="00283806">
        <w:rPr>
          <w:spacing w:val="40"/>
          <w:w w:val="105"/>
        </w:rPr>
        <w:t xml:space="preserve"> </w:t>
      </w:r>
      <w:r w:rsidRPr="00283806">
        <w:rPr>
          <w:w w:val="105"/>
        </w:rPr>
        <w:t>supported the implementation of similar regulations to those for small appliance disposal under CAA section 608, such</w:t>
      </w:r>
      <w:r w:rsidRPr="00283806">
        <w:rPr>
          <w:spacing w:val="40"/>
          <w:w w:val="105"/>
        </w:rPr>
        <w:t xml:space="preserve"> </w:t>
      </w:r>
      <w:r w:rsidRPr="00283806">
        <w:rPr>
          <w:w w:val="105"/>
        </w:rPr>
        <w:t>that a final processor is responsible for ensuring the remaining refrigerant is removed from a cylinder either by them or prior to them receiving the cylinder. Another commenter stated they supported alternative approaches to allowing others in the supply chain to remove heels from disposable cylinders provided the entities have associated reporting</w:t>
      </w:r>
      <w:r w:rsidRPr="00283806">
        <w:rPr>
          <w:spacing w:val="-9"/>
          <w:w w:val="105"/>
        </w:rPr>
        <w:t xml:space="preserve"> </w:t>
      </w:r>
      <w:r w:rsidRPr="00283806">
        <w:rPr>
          <w:w w:val="105"/>
        </w:rPr>
        <w:t>requirements</w:t>
      </w:r>
      <w:r w:rsidRPr="00283806">
        <w:rPr>
          <w:spacing w:val="-9"/>
          <w:w w:val="105"/>
        </w:rPr>
        <w:t xml:space="preserve"> </w:t>
      </w:r>
      <w:r w:rsidRPr="00283806">
        <w:rPr>
          <w:w w:val="105"/>
        </w:rPr>
        <w:t>for</w:t>
      </w:r>
      <w:r w:rsidRPr="00283806">
        <w:rPr>
          <w:spacing w:val="-9"/>
          <w:w w:val="105"/>
        </w:rPr>
        <w:t xml:space="preserve"> </w:t>
      </w:r>
      <w:r w:rsidRPr="00283806">
        <w:rPr>
          <w:w w:val="105"/>
        </w:rPr>
        <w:t>total</w:t>
      </w:r>
      <w:r w:rsidRPr="00283806">
        <w:rPr>
          <w:spacing w:val="-9"/>
          <w:w w:val="105"/>
        </w:rPr>
        <w:t xml:space="preserve"> </w:t>
      </w:r>
      <w:r w:rsidRPr="00283806">
        <w:rPr>
          <w:w w:val="105"/>
        </w:rPr>
        <w:t>amounts recovered annually. The commenter further noted that the benefits of the alternate approach could help address any increase in transportation emissions or costs related to shipping disposable cylinders. One commenter stated that</w:t>
      </w:r>
      <w:r w:rsidRPr="00283806">
        <w:rPr>
          <w:spacing w:val="80"/>
          <w:w w:val="105"/>
        </w:rPr>
        <w:t xml:space="preserve"> </w:t>
      </w:r>
      <w:r w:rsidRPr="00283806">
        <w:rPr>
          <w:w w:val="105"/>
        </w:rPr>
        <w:t>the alternate approach matches</w:t>
      </w:r>
      <w:r w:rsidRPr="00283806">
        <w:rPr>
          <w:spacing w:val="80"/>
          <w:w w:val="105"/>
        </w:rPr>
        <w:t xml:space="preserve"> </w:t>
      </w:r>
      <w:r w:rsidRPr="00283806">
        <w:rPr>
          <w:w w:val="105"/>
        </w:rPr>
        <w:t>practices that are already occurring effectively where disposable cylinders</w:t>
      </w:r>
      <w:r w:rsidRPr="00283806">
        <w:rPr>
          <w:spacing w:val="40"/>
          <w:w w:val="105"/>
        </w:rPr>
        <w:t xml:space="preserve"> </w:t>
      </w:r>
      <w:r w:rsidRPr="00283806">
        <w:rPr>
          <w:w w:val="105"/>
        </w:rPr>
        <w:t>are collected by recycling companies, distributors, and appliance recyclers.</w:t>
      </w:r>
    </w:p>
    <w:p w14:paraId="522C0D5D" w14:textId="77777777" w:rsidR="00D67C1E" w:rsidRPr="00283806" w:rsidRDefault="001265CA">
      <w:pPr>
        <w:pStyle w:val="BodyText"/>
        <w:spacing w:line="183" w:lineRule="exact"/>
      </w:pPr>
      <w:r w:rsidRPr="00283806">
        <w:rPr>
          <w:w w:val="105"/>
        </w:rPr>
        <w:t>The</w:t>
      </w:r>
      <w:r w:rsidRPr="00283806">
        <w:rPr>
          <w:spacing w:val="1"/>
          <w:w w:val="105"/>
        </w:rPr>
        <w:t xml:space="preserve"> </w:t>
      </w:r>
      <w:r w:rsidRPr="00283806">
        <w:rPr>
          <w:w w:val="105"/>
        </w:rPr>
        <w:t>commenter</w:t>
      </w:r>
      <w:r w:rsidRPr="00283806">
        <w:rPr>
          <w:spacing w:val="2"/>
          <w:w w:val="105"/>
        </w:rPr>
        <w:t xml:space="preserve"> </w:t>
      </w:r>
      <w:r w:rsidRPr="00283806">
        <w:rPr>
          <w:w w:val="105"/>
        </w:rPr>
        <w:t>further</w:t>
      </w:r>
      <w:r w:rsidRPr="00283806">
        <w:rPr>
          <w:spacing w:val="2"/>
          <w:w w:val="105"/>
        </w:rPr>
        <w:t xml:space="preserve"> </w:t>
      </w:r>
      <w:r w:rsidRPr="00283806">
        <w:rPr>
          <w:w w:val="105"/>
        </w:rPr>
        <w:t>stated</w:t>
      </w:r>
      <w:r w:rsidRPr="00283806">
        <w:rPr>
          <w:spacing w:val="1"/>
          <w:w w:val="105"/>
        </w:rPr>
        <w:t xml:space="preserve"> </w:t>
      </w:r>
      <w:r w:rsidRPr="00283806">
        <w:rPr>
          <w:w w:val="105"/>
        </w:rPr>
        <w:t>that</w:t>
      </w:r>
      <w:r w:rsidRPr="00283806">
        <w:rPr>
          <w:spacing w:val="2"/>
          <w:w w:val="105"/>
        </w:rPr>
        <w:t xml:space="preserve"> </w:t>
      </w:r>
      <w:r w:rsidRPr="00283806">
        <w:rPr>
          <w:spacing w:val="-2"/>
          <w:w w:val="105"/>
        </w:rPr>
        <w:t>there</w:t>
      </w:r>
    </w:p>
    <w:p w14:paraId="7F098D7C" w14:textId="77777777" w:rsidR="00D67C1E" w:rsidRPr="00283806" w:rsidRDefault="001265CA">
      <w:pPr>
        <w:pStyle w:val="BodyText"/>
        <w:spacing w:before="4" w:line="225" w:lineRule="auto"/>
      </w:pPr>
      <w:r w:rsidRPr="00283806">
        <w:rPr>
          <w:w w:val="105"/>
        </w:rPr>
        <w:t>may be cases where entities send disposable cylinders that contained a unique refrigerant to reclaimers ‘‘as is’’ rather than recovering and mixing refrigerants in a common recovery cylinder. Another commenter stated that another consideration could be for the cylinders to be sent back to the refrigerant company for proper disposal or recycling.</w:t>
      </w:r>
    </w:p>
    <w:p w14:paraId="2C85D30C" w14:textId="77777777" w:rsidR="00D67C1E" w:rsidRPr="00283806" w:rsidRDefault="001265CA">
      <w:pPr>
        <w:pStyle w:val="BodyText"/>
        <w:spacing w:line="177" w:lineRule="exact"/>
        <w:ind w:left="340"/>
      </w:pPr>
      <w:r w:rsidRPr="00283806">
        <w:rPr>
          <w:w w:val="105"/>
        </w:rPr>
        <w:t>One</w:t>
      </w:r>
      <w:r w:rsidRPr="00283806">
        <w:rPr>
          <w:spacing w:val="5"/>
          <w:w w:val="105"/>
        </w:rPr>
        <w:t xml:space="preserve"> </w:t>
      </w:r>
      <w:r w:rsidRPr="00283806">
        <w:rPr>
          <w:w w:val="105"/>
        </w:rPr>
        <w:t>commenter</w:t>
      </w:r>
      <w:r w:rsidRPr="00283806">
        <w:rPr>
          <w:spacing w:val="5"/>
          <w:w w:val="105"/>
        </w:rPr>
        <w:t xml:space="preserve"> </w:t>
      </w:r>
      <w:r w:rsidRPr="00283806">
        <w:rPr>
          <w:w w:val="105"/>
        </w:rPr>
        <w:t>stated</w:t>
      </w:r>
      <w:r w:rsidRPr="00283806">
        <w:rPr>
          <w:spacing w:val="6"/>
          <w:w w:val="105"/>
        </w:rPr>
        <w:t xml:space="preserve"> </w:t>
      </w:r>
      <w:r w:rsidRPr="00283806">
        <w:rPr>
          <w:w w:val="105"/>
        </w:rPr>
        <w:t>that</w:t>
      </w:r>
      <w:r w:rsidRPr="00283806">
        <w:rPr>
          <w:spacing w:val="5"/>
          <w:w w:val="105"/>
        </w:rPr>
        <w:t xml:space="preserve"> </w:t>
      </w:r>
      <w:r w:rsidRPr="00283806">
        <w:rPr>
          <w:spacing w:val="-5"/>
          <w:w w:val="105"/>
        </w:rPr>
        <w:t>the</w:t>
      </w:r>
    </w:p>
    <w:p w14:paraId="24FE36B9" w14:textId="77777777" w:rsidR="00D67C1E" w:rsidRPr="00283806" w:rsidRDefault="001265CA">
      <w:pPr>
        <w:pStyle w:val="BodyText"/>
        <w:spacing w:before="3" w:line="225" w:lineRule="auto"/>
        <w:ind w:right="17"/>
      </w:pPr>
      <w:proofErr w:type="gramStart"/>
      <w:r w:rsidRPr="00283806">
        <w:rPr>
          <w:w w:val="105"/>
        </w:rPr>
        <w:t>alternate</w:t>
      </w:r>
      <w:proofErr w:type="gramEnd"/>
      <w:r w:rsidRPr="00283806">
        <w:rPr>
          <w:w w:val="105"/>
        </w:rPr>
        <w:t xml:space="preserve"> </w:t>
      </w:r>
      <w:proofErr w:type="gramStart"/>
      <w:r w:rsidRPr="00283806">
        <w:rPr>
          <w:w w:val="105"/>
        </w:rPr>
        <w:t>approach</w:t>
      </w:r>
      <w:proofErr w:type="gramEnd"/>
      <w:r w:rsidRPr="00283806">
        <w:rPr>
          <w:w w:val="105"/>
        </w:rPr>
        <w:t xml:space="preserve"> may also provide benefits for supermarkets, which may</w:t>
      </w:r>
      <w:r w:rsidRPr="00283806">
        <w:rPr>
          <w:spacing w:val="40"/>
          <w:w w:val="105"/>
        </w:rPr>
        <w:t xml:space="preserve"> </w:t>
      </w:r>
      <w:r w:rsidRPr="00283806">
        <w:rPr>
          <w:w w:val="105"/>
        </w:rPr>
        <w:t>not have direct relationships with reclaimers,</w:t>
      </w:r>
      <w:r w:rsidRPr="00283806">
        <w:rPr>
          <w:spacing w:val="-1"/>
          <w:w w:val="105"/>
        </w:rPr>
        <w:t xml:space="preserve"> </w:t>
      </w:r>
      <w:r w:rsidRPr="00283806">
        <w:rPr>
          <w:w w:val="105"/>
        </w:rPr>
        <w:t>but</w:t>
      </w:r>
      <w:r w:rsidRPr="00283806">
        <w:rPr>
          <w:spacing w:val="-1"/>
          <w:w w:val="105"/>
        </w:rPr>
        <w:t xml:space="preserve"> </w:t>
      </w:r>
      <w:r w:rsidRPr="00283806">
        <w:rPr>
          <w:w w:val="105"/>
        </w:rPr>
        <w:t>rather</w:t>
      </w:r>
      <w:r w:rsidRPr="00283806">
        <w:rPr>
          <w:spacing w:val="-1"/>
          <w:w w:val="105"/>
        </w:rPr>
        <w:t xml:space="preserve"> </w:t>
      </w:r>
      <w:r w:rsidRPr="00283806">
        <w:rPr>
          <w:w w:val="105"/>
        </w:rPr>
        <w:t>rely</w:t>
      </w:r>
      <w:r w:rsidRPr="00283806">
        <w:rPr>
          <w:spacing w:val="-1"/>
          <w:w w:val="105"/>
        </w:rPr>
        <w:t xml:space="preserve"> </w:t>
      </w:r>
      <w:r w:rsidRPr="00283806">
        <w:rPr>
          <w:w w:val="105"/>
        </w:rPr>
        <w:t>on</w:t>
      </w:r>
      <w:r w:rsidRPr="00283806">
        <w:rPr>
          <w:spacing w:val="-1"/>
          <w:w w:val="105"/>
        </w:rPr>
        <w:t xml:space="preserve"> </w:t>
      </w:r>
      <w:r w:rsidRPr="00283806">
        <w:rPr>
          <w:w w:val="105"/>
        </w:rPr>
        <w:t>third-party service providers. The commenter noted the importance of using the existing channels to send disposable cylinders to distributers or suppliers to then be sent to a final processor or reclaimer.</w:t>
      </w:r>
    </w:p>
    <w:p w14:paraId="478615FF" w14:textId="77777777" w:rsidR="00D67C1E" w:rsidRPr="00283806" w:rsidRDefault="001265CA">
      <w:pPr>
        <w:pStyle w:val="BodyText"/>
        <w:spacing w:line="177" w:lineRule="exact"/>
        <w:ind w:left="340"/>
      </w:pPr>
      <w:r w:rsidRPr="00283806">
        <w:rPr>
          <w:w w:val="105"/>
        </w:rPr>
        <w:t>Some</w:t>
      </w:r>
      <w:r w:rsidRPr="00283806">
        <w:rPr>
          <w:spacing w:val="15"/>
          <w:w w:val="105"/>
        </w:rPr>
        <w:t xml:space="preserve"> </w:t>
      </w:r>
      <w:r w:rsidRPr="00283806">
        <w:rPr>
          <w:w w:val="105"/>
        </w:rPr>
        <w:t>commenters</w:t>
      </w:r>
      <w:r w:rsidRPr="00283806">
        <w:rPr>
          <w:spacing w:val="16"/>
          <w:w w:val="105"/>
        </w:rPr>
        <w:t xml:space="preserve"> </w:t>
      </w:r>
      <w:r w:rsidRPr="00283806">
        <w:rPr>
          <w:w w:val="105"/>
        </w:rPr>
        <w:t>discussed</w:t>
      </w:r>
      <w:r w:rsidRPr="00283806">
        <w:rPr>
          <w:spacing w:val="15"/>
          <w:w w:val="105"/>
        </w:rPr>
        <w:t xml:space="preserve"> </w:t>
      </w:r>
      <w:r w:rsidRPr="00283806">
        <w:rPr>
          <w:spacing w:val="-2"/>
          <w:w w:val="105"/>
        </w:rPr>
        <w:t>other</w:t>
      </w:r>
    </w:p>
    <w:p w14:paraId="7E06B9B7" w14:textId="77777777" w:rsidR="00D67C1E" w:rsidRPr="00283806" w:rsidRDefault="001265CA">
      <w:pPr>
        <w:pStyle w:val="BodyText"/>
        <w:spacing w:before="4" w:line="225" w:lineRule="auto"/>
        <w:ind w:left="159" w:right="103"/>
      </w:pPr>
      <w:r w:rsidRPr="00283806">
        <w:rPr>
          <w:w w:val="105"/>
        </w:rPr>
        <w:t xml:space="preserve">approaches to be considered for the recovery of heels from disposable cylinders. One commenter supported provisions to recover heels from disposable cylinders in </w:t>
      </w:r>
      <w:proofErr w:type="gramStart"/>
      <w:r w:rsidRPr="00283806">
        <w:rPr>
          <w:w w:val="105"/>
        </w:rPr>
        <w:t>general, but</w:t>
      </w:r>
      <w:proofErr w:type="gramEnd"/>
      <w:r w:rsidRPr="00283806">
        <w:rPr>
          <w:w w:val="105"/>
        </w:rPr>
        <w:t xml:space="preserve"> stated that certified technicians should be trained and able to recover heels from disposable cylinders before disposal of the cylinders. The commenter noted the efficiency and reduced transportation burden associated with allowing certified technicians</w:t>
      </w:r>
      <w:r w:rsidRPr="00283806">
        <w:rPr>
          <w:spacing w:val="-1"/>
          <w:w w:val="105"/>
        </w:rPr>
        <w:t xml:space="preserve"> </w:t>
      </w:r>
      <w:r w:rsidRPr="00283806">
        <w:rPr>
          <w:w w:val="105"/>
        </w:rPr>
        <w:t>or</w:t>
      </w:r>
      <w:r w:rsidRPr="00283806">
        <w:rPr>
          <w:spacing w:val="-1"/>
          <w:w w:val="105"/>
        </w:rPr>
        <w:t xml:space="preserve"> </w:t>
      </w:r>
      <w:r w:rsidRPr="00283806">
        <w:rPr>
          <w:w w:val="105"/>
        </w:rPr>
        <w:t>others</w:t>
      </w:r>
      <w:r w:rsidRPr="00283806">
        <w:rPr>
          <w:spacing w:val="-1"/>
          <w:w w:val="105"/>
        </w:rPr>
        <w:t xml:space="preserve"> </w:t>
      </w:r>
      <w:r w:rsidRPr="00283806">
        <w:rPr>
          <w:w w:val="105"/>
        </w:rPr>
        <w:t>(</w:t>
      </w:r>
      <w:r w:rsidRPr="00283806">
        <w:rPr>
          <w:rFonts w:ascii="Book Antiqua"/>
          <w:i/>
          <w:w w:val="105"/>
        </w:rPr>
        <w:t>e.g.,</w:t>
      </w:r>
      <w:r w:rsidRPr="00283806">
        <w:rPr>
          <w:rFonts w:ascii="Book Antiqua"/>
          <w:i/>
          <w:spacing w:val="-6"/>
          <w:w w:val="105"/>
        </w:rPr>
        <w:t xml:space="preserve"> </w:t>
      </w:r>
      <w:r w:rsidRPr="00283806">
        <w:rPr>
          <w:w w:val="105"/>
        </w:rPr>
        <w:t>distributors) to remove and aggregate heels to a recovery cylinder for shipping, rather than shipping many individual</w:t>
      </w:r>
    </w:p>
    <w:p w14:paraId="630F98C4" w14:textId="77777777" w:rsidR="00D67C1E" w:rsidRPr="00283806" w:rsidRDefault="001265CA">
      <w:pPr>
        <w:pStyle w:val="BodyText"/>
        <w:spacing w:before="136" w:line="225" w:lineRule="auto"/>
        <w:ind w:left="143" w:right="110"/>
      </w:pPr>
      <w:r w:rsidRPr="00283806">
        <w:br w:type="column"/>
      </w:r>
      <w:r w:rsidRPr="00283806">
        <w:rPr>
          <w:w w:val="105"/>
        </w:rPr>
        <w:t>disposable cylinders. The commenter stated that EPA should at least conduct</w:t>
      </w:r>
      <w:r w:rsidRPr="00283806">
        <w:rPr>
          <w:spacing w:val="80"/>
          <w:w w:val="105"/>
        </w:rPr>
        <w:t xml:space="preserve"> </w:t>
      </w:r>
      <w:r w:rsidRPr="00283806">
        <w:rPr>
          <w:w w:val="105"/>
        </w:rPr>
        <w:t>a</w:t>
      </w:r>
      <w:r w:rsidRPr="00283806">
        <w:rPr>
          <w:spacing w:val="40"/>
          <w:w w:val="105"/>
        </w:rPr>
        <w:t xml:space="preserve"> </w:t>
      </w:r>
      <w:r w:rsidRPr="00283806">
        <w:rPr>
          <w:w w:val="105"/>
        </w:rPr>
        <w:t>lifecycle</w:t>
      </w:r>
      <w:r w:rsidRPr="00283806">
        <w:rPr>
          <w:spacing w:val="40"/>
          <w:w w:val="105"/>
        </w:rPr>
        <w:t xml:space="preserve"> </w:t>
      </w:r>
      <w:r w:rsidRPr="00283806">
        <w:rPr>
          <w:w w:val="105"/>
        </w:rPr>
        <w:t>analysis</w:t>
      </w:r>
      <w:r w:rsidRPr="00283806">
        <w:rPr>
          <w:spacing w:val="40"/>
          <w:w w:val="105"/>
        </w:rPr>
        <w:t xml:space="preserve"> </w:t>
      </w:r>
      <w:r w:rsidRPr="00283806">
        <w:rPr>
          <w:w w:val="105"/>
        </w:rPr>
        <w:t>of</w:t>
      </w:r>
      <w:r w:rsidRPr="00283806">
        <w:rPr>
          <w:spacing w:val="40"/>
          <w:w w:val="105"/>
        </w:rPr>
        <w:t xml:space="preserve"> </w:t>
      </w:r>
      <w:r w:rsidRPr="00283806">
        <w:rPr>
          <w:w w:val="105"/>
        </w:rPr>
        <w:t>net</w:t>
      </w:r>
      <w:r w:rsidRPr="00283806">
        <w:rPr>
          <w:spacing w:val="40"/>
          <w:w w:val="105"/>
        </w:rPr>
        <w:t xml:space="preserve"> </w:t>
      </w:r>
      <w:r w:rsidRPr="00283806">
        <w:rPr>
          <w:w w:val="105"/>
        </w:rPr>
        <w:t>GHG emissions in various scenarios to understand their environmental</w:t>
      </w:r>
      <w:r w:rsidRPr="00283806">
        <w:rPr>
          <w:spacing w:val="40"/>
          <w:w w:val="105"/>
        </w:rPr>
        <w:t xml:space="preserve"> </w:t>
      </w:r>
      <w:r w:rsidRPr="00283806">
        <w:rPr>
          <w:w w:val="105"/>
        </w:rPr>
        <w:t>impacts. Other commenters stated that EPA</w:t>
      </w:r>
      <w:r w:rsidRPr="00283806">
        <w:rPr>
          <w:spacing w:val="40"/>
          <w:w w:val="105"/>
        </w:rPr>
        <w:t xml:space="preserve"> </w:t>
      </w:r>
      <w:r w:rsidRPr="00283806">
        <w:rPr>
          <w:w w:val="105"/>
        </w:rPr>
        <w:t>could</w:t>
      </w:r>
      <w:r w:rsidRPr="00283806">
        <w:rPr>
          <w:spacing w:val="40"/>
          <w:w w:val="105"/>
        </w:rPr>
        <w:t xml:space="preserve"> </w:t>
      </w:r>
      <w:r w:rsidRPr="00283806">
        <w:rPr>
          <w:w w:val="105"/>
        </w:rPr>
        <w:t>allow</w:t>
      </w:r>
      <w:r w:rsidRPr="00283806">
        <w:rPr>
          <w:spacing w:val="40"/>
          <w:w w:val="105"/>
        </w:rPr>
        <w:t xml:space="preserve"> </w:t>
      </w:r>
      <w:r w:rsidRPr="00283806">
        <w:rPr>
          <w:w w:val="105"/>
        </w:rPr>
        <w:t>any</w:t>
      </w:r>
      <w:r w:rsidRPr="00283806">
        <w:rPr>
          <w:spacing w:val="40"/>
          <w:w w:val="105"/>
        </w:rPr>
        <w:t xml:space="preserve"> </w:t>
      </w:r>
      <w:r w:rsidRPr="00283806">
        <w:rPr>
          <w:w w:val="105"/>
        </w:rPr>
        <w:t>certified technician to recover heels prior to disposal</w:t>
      </w:r>
      <w:r w:rsidRPr="00283806">
        <w:rPr>
          <w:spacing w:val="40"/>
          <w:w w:val="105"/>
        </w:rPr>
        <w:t xml:space="preserve"> </w:t>
      </w:r>
      <w:r w:rsidRPr="00283806">
        <w:rPr>
          <w:w w:val="105"/>
        </w:rPr>
        <w:t>of</w:t>
      </w:r>
      <w:r w:rsidRPr="00283806">
        <w:rPr>
          <w:spacing w:val="40"/>
          <w:w w:val="105"/>
        </w:rPr>
        <w:t xml:space="preserve"> </w:t>
      </w:r>
      <w:r w:rsidRPr="00283806">
        <w:rPr>
          <w:w w:val="105"/>
        </w:rPr>
        <w:t>the</w:t>
      </w:r>
      <w:r w:rsidRPr="00283806">
        <w:rPr>
          <w:spacing w:val="40"/>
          <w:w w:val="105"/>
        </w:rPr>
        <w:t xml:space="preserve"> </w:t>
      </w:r>
      <w:r w:rsidRPr="00283806">
        <w:rPr>
          <w:w w:val="105"/>
        </w:rPr>
        <w:t>cylinder.</w:t>
      </w:r>
      <w:r w:rsidRPr="00283806">
        <w:rPr>
          <w:spacing w:val="40"/>
          <w:w w:val="105"/>
        </w:rPr>
        <w:t xml:space="preserve"> </w:t>
      </w:r>
      <w:r w:rsidRPr="00283806">
        <w:rPr>
          <w:w w:val="105"/>
        </w:rPr>
        <w:t xml:space="preserve">One commenter also suggested considering associated recordkeeping that could be subject to auditing. The commenter described an approach that would involve contractors and technicians recovering the heels from disposable cylinders prior to disposal and includes suggestions for establishing programs for cylinder returns to wholesalers or </w:t>
      </w:r>
      <w:proofErr w:type="gramStart"/>
      <w:r w:rsidRPr="00283806">
        <w:rPr>
          <w:w w:val="105"/>
        </w:rPr>
        <w:t>distributers</w:t>
      </w:r>
      <w:proofErr w:type="gramEnd"/>
      <w:r w:rsidRPr="00283806">
        <w:rPr>
          <w:w w:val="105"/>
        </w:rPr>
        <w:t xml:space="preserve">. The commenter stated that the approach described could be made less burdensome by extending the program to contractors and disposable cylinder users, in addition to certified technicians, and </w:t>
      </w:r>
      <w:proofErr w:type="gramStart"/>
      <w:r w:rsidRPr="00283806">
        <w:rPr>
          <w:w w:val="105"/>
        </w:rPr>
        <w:t>coordinating with</w:t>
      </w:r>
      <w:proofErr w:type="gramEnd"/>
      <w:r w:rsidRPr="00283806">
        <w:rPr>
          <w:w w:val="105"/>
        </w:rPr>
        <w:t xml:space="preserve"> wholesalers, reclaimers, and/or refrigerant suppliers.</w:t>
      </w:r>
    </w:p>
    <w:p w14:paraId="686477A2" w14:textId="77777777" w:rsidR="00D67C1E" w:rsidRPr="00283806" w:rsidRDefault="001265CA">
      <w:pPr>
        <w:pStyle w:val="BodyText"/>
        <w:spacing w:line="171" w:lineRule="exact"/>
        <w:ind w:left="323"/>
      </w:pPr>
      <w:r w:rsidRPr="00283806">
        <w:rPr>
          <w:w w:val="105"/>
        </w:rPr>
        <w:t>One</w:t>
      </w:r>
      <w:r w:rsidRPr="00283806">
        <w:rPr>
          <w:spacing w:val="9"/>
          <w:w w:val="105"/>
        </w:rPr>
        <w:t xml:space="preserve"> </w:t>
      </w:r>
      <w:r w:rsidRPr="00283806">
        <w:rPr>
          <w:w w:val="105"/>
        </w:rPr>
        <w:t>commenter</w:t>
      </w:r>
      <w:r w:rsidRPr="00283806">
        <w:rPr>
          <w:spacing w:val="9"/>
          <w:w w:val="105"/>
        </w:rPr>
        <w:t xml:space="preserve"> </w:t>
      </w:r>
      <w:r w:rsidRPr="00283806">
        <w:rPr>
          <w:w w:val="105"/>
        </w:rPr>
        <w:t>was</w:t>
      </w:r>
      <w:r w:rsidRPr="00283806">
        <w:rPr>
          <w:spacing w:val="9"/>
          <w:w w:val="105"/>
        </w:rPr>
        <w:t xml:space="preserve"> </w:t>
      </w:r>
      <w:r w:rsidRPr="00283806">
        <w:rPr>
          <w:w w:val="105"/>
        </w:rPr>
        <w:t>opposed</w:t>
      </w:r>
      <w:r w:rsidRPr="00283806">
        <w:rPr>
          <w:spacing w:val="10"/>
          <w:w w:val="105"/>
        </w:rPr>
        <w:t xml:space="preserve"> </w:t>
      </w:r>
      <w:r w:rsidRPr="00283806">
        <w:rPr>
          <w:w w:val="105"/>
        </w:rPr>
        <w:t>to</w:t>
      </w:r>
      <w:r w:rsidRPr="00283806">
        <w:rPr>
          <w:spacing w:val="9"/>
          <w:w w:val="105"/>
        </w:rPr>
        <w:t xml:space="preserve"> </w:t>
      </w:r>
      <w:r w:rsidRPr="00283806">
        <w:rPr>
          <w:spacing w:val="-5"/>
          <w:w w:val="105"/>
        </w:rPr>
        <w:t>the</w:t>
      </w:r>
    </w:p>
    <w:p w14:paraId="714E7949" w14:textId="77777777" w:rsidR="00D67C1E" w:rsidRPr="00283806" w:rsidRDefault="001265CA">
      <w:pPr>
        <w:pStyle w:val="BodyText"/>
        <w:spacing w:before="3" w:line="225" w:lineRule="auto"/>
        <w:ind w:left="143" w:right="1"/>
      </w:pPr>
      <w:r w:rsidRPr="00283806">
        <w:rPr>
          <w:w w:val="105"/>
        </w:rPr>
        <w:t>approach to allow a final processor to recover the heel from disposable cylinders,</w:t>
      </w:r>
      <w:r w:rsidRPr="00283806">
        <w:rPr>
          <w:spacing w:val="40"/>
          <w:w w:val="105"/>
        </w:rPr>
        <w:t xml:space="preserve"> </w:t>
      </w:r>
      <w:r w:rsidRPr="00283806">
        <w:rPr>
          <w:w w:val="105"/>
        </w:rPr>
        <w:t>noting</w:t>
      </w:r>
      <w:r w:rsidRPr="00283806">
        <w:rPr>
          <w:spacing w:val="40"/>
          <w:w w:val="105"/>
        </w:rPr>
        <w:t xml:space="preserve"> </w:t>
      </w:r>
      <w:r w:rsidRPr="00283806">
        <w:rPr>
          <w:w w:val="105"/>
        </w:rPr>
        <w:t>this</w:t>
      </w:r>
      <w:r w:rsidRPr="00283806">
        <w:rPr>
          <w:spacing w:val="40"/>
          <w:w w:val="105"/>
        </w:rPr>
        <w:t xml:space="preserve"> </w:t>
      </w:r>
      <w:r w:rsidRPr="00283806">
        <w:rPr>
          <w:w w:val="105"/>
        </w:rPr>
        <w:t>practice</w:t>
      </w:r>
      <w:r w:rsidRPr="00283806">
        <w:rPr>
          <w:spacing w:val="40"/>
          <w:w w:val="105"/>
        </w:rPr>
        <w:t xml:space="preserve"> </w:t>
      </w:r>
      <w:r w:rsidRPr="00283806">
        <w:rPr>
          <w:w w:val="105"/>
        </w:rPr>
        <w:t>could lead to venting remaining heels by metal recyclers or waste disposal facilities.</w:t>
      </w:r>
    </w:p>
    <w:p w14:paraId="6A8FD3E3" w14:textId="77777777" w:rsidR="00D67C1E" w:rsidRPr="00283806" w:rsidRDefault="001265CA">
      <w:pPr>
        <w:pStyle w:val="BodyText"/>
        <w:spacing w:line="225" w:lineRule="auto"/>
        <w:ind w:left="143" w:right="42"/>
      </w:pPr>
      <w:r w:rsidRPr="00283806">
        <w:rPr>
          <w:w w:val="105"/>
        </w:rPr>
        <w:t>Another commenter, while not opposing the alternate approach, stated it is advantageous to have the disposable cylinders sent to reclaimers, enabling them to promptly remove and reclaim</w:t>
      </w:r>
      <w:r w:rsidRPr="00283806">
        <w:rPr>
          <w:spacing w:val="40"/>
          <w:w w:val="105"/>
        </w:rPr>
        <w:t xml:space="preserve"> </w:t>
      </w:r>
      <w:r w:rsidRPr="00283806">
        <w:rPr>
          <w:w w:val="105"/>
        </w:rPr>
        <w:t>the heel and allowing EPA to gauge success through required reporting.</w:t>
      </w:r>
    </w:p>
    <w:p w14:paraId="2AC09ABC" w14:textId="77777777" w:rsidR="00D67C1E" w:rsidRPr="00283806" w:rsidRDefault="001265CA">
      <w:pPr>
        <w:pStyle w:val="BodyText"/>
        <w:spacing w:line="178" w:lineRule="exact"/>
        <w:ind w:left="323"/>
      </w:pPr>
      <w:r w:rsidRPr="00283806">
        <w:rPr>
          <w:w w:val="105"/>
        </w:rPr>
        <w:t>One</w:t>
      </w:r>
      <w:r w:rsidRPr="00283806">
        <w:rPr>
          <w:spacing w:val="7"/>
          <w:w w:val="105"/>
        </w:rPr>
        <w:t xml:space="preserve"> </w:t>
      </w:r>
      <w:r w:rsidRPr="00283806">
        <w:rPr>
          <w:w w:val="105"/>
        </w:rPr>
        <w:t>commenter</w:t>
      </w:r>
      <w:r w:rsidRPr="00283806">
        <w:rPr>
          <w:spacing w:val="7"/>
          <w:w w:val="105"/>
        </w:rPr>
        <w:t xml:space="preserve"> </w:t>
      </w:r>
      <w:r w:rsidRPr="00283806">
        <w:rPr>
          <w:w w:val="105"/>
        </w:rPr>
        <w:t>stated</w:t>
      </w:r>
      <w:r w:rsidRPr="00283806">
        <w:rPr>
          <w:spacing w:val="7"/>
          <w:w w:val="105"/>
        </w:rPr>
        <w:t xml:space="preserve"> </w:t>
      </w:r>
      <w:r w:rsidRPr="00283806">
        <w:rPr>
          <w:spacing w:val="-4"/>
          <w:w w:val="105"/>
        </w:rPr>
        <w:t>that</w:t>
      </w:r>
    </w:p>
    <w:p w14:paraId="39FCEE05" w14:textId="77777777" w:rsidR="00D67C1E" w:rsidRPr="00283806" w:rsidRDefault="001265CA">
      <w:pPr>
        <w:pStyle w:val="BodyText"/>
        <w:spacing w:before="2" w:line="225" w:lineRule="auto"/>
        <w:ind w:left="143" w:right="42"/>
      </w:pPr>
      <w:r w:rsidRPr="00283806">
        <w:rPr>
          <w:w w:val="105"/>
        </w:rPr>
        <w:t>establishing collection points, especially in areas with few EPA-certified reclaimers, could help mitigate concerns with costs and logistics, though there</w:t>
      </w:r>
      <w:r w:rsidRPr="00283806">
        <w:rPr>
          <w:spacing w:val="40"/>
          <w:w w:val="105"/>
        </w:rPr>
        <w:t xml:space="preserve"> </w:t>
      </w:r>
      <w:r w:rsidRPr="00283806">
        <w:rPr>
          <w:w w:val="105"/>
        </w:rPr>
        <w:t>may still be some associated costs.</w:t>
      </w:r>
    </w:p>
    <w:p w14:paraId="374419D9" w14:textId="77777777" w:rsidR="00D67C1E" w:rsidRPr="00283806" w:rsidRDefault="001265CA">
      <w:pPr>
        <w:pStyle w:val="BodyText"/>
        <w:spacing w:line="225" w:lineRule="auto"/>
        <w:ind w:left="143" w:right="8"/>
      </w:pPr>
      <w:r w:rsidRPr="00283806">
        <w:rPr>
          <w:w w:val="105"/>
        </w:rPr>
        <w:t>Another commenter stated that</w:t>
      </w:r>
      <w:r w:rsidRPr="00283806">
        <w:rPr>
          <w:spacing w:val="80"/>
          <w:w w:val="105"/>
        </w:rPr>
        <w:t xml:space="preserve"> </w:t>
      </w:r>
      <w:r w:rsidRPr="00283806">
        <w:rPr>
          <w:w w:val="105"/>
        </w:rPr>
        <w:t>requiring disposable cylinders to be sent to EPA-certified reclaimers or fire suppressant recyclers would compete</w:t>
      </w:r>
      <w:r w:rsidRPr="00283806">
        <w:rPr>
          <w:spacing w:val="80"/>
          <w:w w:val="105"/>
        </w:rPr>
        <w:t xml:space="preserve"> </w:t>
      </w:r>
      <w:r w:rsidRPr="00283806">
        <w:rPr>
          <w:w w:val="105"/>
        </w:rPr>
        <w:t>for truck space with shipping recovery cylinders that are full of recovered material. Another commenter stated that the logistics and costs of being able to first aggregate heels from disposable cylinders into a larger recovery cylinder would be more efficient, and</w:t>
      </w:r>
      <w:r w:rsidRPr="00283806">
        <w:rPr>
          <w:spacing w:val="40"/>
          <w:w w:val="105"/>
        </w:rPr>
        <w:t xml:space="preserve"> </w:t>
      </w:r>
      <w:r w:rsidRPr="00283806">
        <w:rPr>
          <w:w w:val="105"/>
        </w:rPr>
        <w:t>transporting one larger recovery</w:t>
      </w:r>
      <w:r w:rsidRPr="00283806">
        <w:rPr>
          <w:spacing w:val="80"/>
          <w:w w:val="105"/>
        </w:rPr>
        <w:t xml:space="preserve"> </w:t>
      </w:r>
      <w:r w:rsidRPr="00283806">
        <w:rPr>
          <w:w w:val="105"/>
        </w:rPr>
        <w:t>cylinder would greatly reduce transport of many disposable cylinders.</w:t>
      </w:r>
    </w:p>
    <w:p w14:paraId="4AA0601D" w14:textId="77777777" w:rsidR="00D67C1E" w:rsidRPr="00283806" w:rsidRDefault="001265CA">
      <w:pPr>
        <w:spacing w:line="181" w:lineRule="exact"/>
        <w:ind w:left="323"/>
        <w:rPr>
          <w:sz w:val="18"/>
        </w:rPr>
      </w:pPr>
      <w:r w:rsidRPr="00283806">
        <w:rPr>
          <w:rFonts w:ascii="Book Antiqua"/>
          <w:i/>
          <w:w w:val="105"/>
          <w:sz w:val="18"/>
        </w:rPr>
        <w:t>Response:</w:t>
      </w:r>
      <w:r w:rsidRPr="00283806">
        <w:rPr>
          <w:rFonts w:ascii="Book Antiqua"/>
          <w:i/>
          <w:spacing w:val="29"/>
          <w:w w:val="105"/>
          <w:sz w:val="18"/>
        </w:rPr>
        <w:t xml:space="preserve"> </w:t>
      </w:r>
      <w:r w:rsidRPr="00283806">
        <w:rPr>
          <w:w w:val="105"/>
          <w:sz w:val="18"/>
        </w:rPr>
        <w:t>EPA</w:t>
      </w:r>
      <w:r w:rsidRPr="00283806">
        <w:rPr>
          <w:spacing w:val="34"/>
          <w:w w:val="105"/>
          <w:sz w:val="18"/>
        </w:rPr>
        <w:t xml:space="preserve"> </w:t>
      </w:r>
      <w:r w:rsidRPr="00283806">
        <w:rPr>
          <w:w w:val="105"/>
          <w:sz w:val="18"/>
        </w:rPr>
        <w:t>acknowledges</w:t>
      </w:r>
      <w:r w:rsidRPr="00283806">
        <w:rPr>
          <w:spacing w:val="34"/>
          <w:w w:val="105"/>
          <w:sz w:val="18"/>
        </w:rPr>
        <w:t xml:space="preserve"> </w:t>
      </w:r>
      <w:r w:rsidRPr="00283806">
        <w:rPr>
          <w:w w:val="105"/>
          <w:sz w:val="18"/>
        </w:rPr>
        <w:t>that</w:t>
      </w:r>
      <w:r w:rsidRPr="00283806">
        <w:rPr>
          <w:spacing w:val="34"/>
          <w:w w:val="105"/>
          <w:sz w:val="18"/>
        </w:rPr>
        <w:t xml:space="preserve"> </w:t>
      </w:r>
      <w:r w:rsidRPr="00283806">
        <w:rPr>
          <w:spacing w:val="-5"/>
          <w:w w:val="105"/>
          <w:sz w:val="18"/>
        </w:rPr>
        <w:t>the</w:t>
      </w:r>
    </w:p>
    <w:p w14:paraId="059420EA" w14:textId="77777777" w:rsidR="00D67C1E" w:rsidRPr="00283806" w:rsidRDefault="001265CA">
      <w:pPr>
        <w:pStyle w:val="BodyText"/>
        <w:spacing w:line="228" w:lineRule="auto"/>
        <w:ind w:left="143" w:right="66"/>
      </w:pPr>
      <w:proofErr w:type="gramStart"/>
      <w:r w:rsidRPr="00283806">
        <w:rPr>
          <w:w w:val="105"/>
        </w:rPr>
        <w:t>current</w:t>
      </w:r>
      <w:proofErr w:type="gramEnd"/>
      <w:r w:rsidRPr="00283806">
        <w:rPr>
          <w:w w:val="105"/>
        </w:rPr>
        <w:t xml:space="preserve"> reverse supply chain and waste distribution channels are varied. Many distribution channels for reclaimers are generally more limited to the processing of recovery cylinders to reclaimers, though not exclusively. EPA is also</w:t>
      </w:r>
      <w:r w:rsidRPr="00283806">
        <w:rPr>
          <w:spacing w:val="80"/>
          <w:w w:val="105"/>
        </w:rPr>
        <w:t xml:space="preserve"> </w:t>
      </w:r>
      <w:r w:rsidRPr="00283806">
        <w:rPr>
          <w:w w:val="105"/>
        </w:rPr>
        <w:t>aware that many of these same channels are also currently being used for the transport of disposable cylinders with a</w:t>
      </w:r>
    </w:p>
    <w:p w14:paraId="1EBF6576" w14:textId="77777777" w:rsidR="00D67C1E" w:rsidRPr="00283806" w:rsidRDefault="001265CA">
      <w:pPr>
        <w:pStyle w:val="BodyText"/>
        <w:spacing w:before="129" w:line="235" w:lineRule="auto"/>
        <w:ind w:left="143" w:right="164"/>
      </w:pPr>
      <w:r w:rsidRPr="00283806">
        <w:br w:type="column"/>
      </w:r>
      <w:r w:rsidRPr="00283806">
        <w:rPr>
          <w:w w:val="105"/>
        </w:rPr>
        <w:t>remaining heel. As commenters noted, the current channels are effective, as many contractors or technicians may</w:t>
      </w:r>
      <w:r w:rsidRPr="00283806">
        <w:rPr>
          <w:spacing w:val="40"/>
          <w:w w:val="105"/>
        </w:rPr>
        <w:t xml:space="preserve"> </w:t>
      </w:r>
      <w:r w:rsidRPr="00283806">
        <w:rPr>
          <w:w w:val="105"/>
        </w:rPr>
        <w:t>rely on sending used disposable</w:t>
      </w:r>
      <w:r w:rsidRPr="00283806">
        <w:rPr>
          <w:spacing w:val="40"/>
          <w:w w:val="105"/>
        </w:rPr>
        <w:t xml:space="preserve"> </w:t>
      </w:r>
      <w:r w:rsidRPr="00283806">
        <w:rPr>
          <w:w w:val="105"/>
        </w:rPr>
        <w:t xml:space="preserve">cylinders to a wholesaler or </w:t>
      </w:r>
      <w:proofErr w:type="gramStart"/>
      <w:r w:rsidRPr="00283806">
        <w:rPr>
          <w:w w:val="105"/>
        </w:rPr>
        <w:t>distributer</w:t>
      </w:r>
      <w:proofErr w:type="gramEnd"/>
      <w:r w:rsidRPr="00283806">
        <w:rPr>
          <w:w w:val="105"/>
        </w:rPr>
        <w:t xml:space="preserve"> that consolidates and then sends them</w:t>
      </w:r>
      <w:r w:rsidRPr="00283806">
        <w:rPr>
          <w:spacing w:val="40"/>
          <w:w w:val="105"/>
        </w:rPr>
        <w:t xml:space="preserve"> </w:t>
      </w:r>
      <w:r w:rsidRPr="00283806">
        <w:rPr>
          <w:w w:val="105"/>
        </w:rPr>
        <w:t>for further processing to a reclaimer.</w:t>
      </w:r>
      <w:r w:rsidRPr="00283806">
        <w:rPr>
          <w:spacing w:val="40"/>
          <w:w w:val="105"/>
        </w:rPr>
        <w:t xml:space="preserve"> </w:t>
      </w:r>
      <w:r w:rsidRPr="00283806">
        <w:rPr>
          <w:w w:val="105"/>
        </w:rPr>
        <w:t>EPA is finalizing that disposable</w:t>
      </w:r>
      <w:r w:rsidRPr="00283806">
        <w:rPr>
          <w:spacing w:val="40"/>
          <w:w w:val="105"/>
        </w:rPr>
        <w:t xml:space="preserve"> </w:t>
      </w:r>
      <w:r w:rsidRPr="00283806">
        <w:rPr>
          <w:w w:val="105"/>
        </w:rPr>
        <w:t>cylinders</w:t>
      </w:r>
      <w:r w:rsidRPr="00283806">
        <w:rPr>
          <w:spacing w:val="40"/>
          <w:w w:val="105"/>
        </w:rPr>
        <w:t xml:space="preserve"> </w:t>
      </w:r>
      <w:r w:rsidRPr="00283806">
        <w:rPr>
          <w:w w:val="105"/>
        </w:rPr>
        <w:t>with</w:t>
      </w:r>
      <w:r w:rsidRPr="00283806">
        <w:rPr>
          <w:spacing w:val="40"/>
          <w:w w:val="105"/>
        </w:rPr>
        <w:t xml:space="preserve"> </w:t>
      </w:r>
      <w:r w:rsidRPr="00283806">
        <w:rPr>
          <w:w w:val="105"/>
        </w:rPr>
        <w:t>a</w:t>
      </w:r>
      <w:r w:rsidRPr="00283806">
        <w:rPr>
          <w:spacing w:val="40"/>
          <w:w w:val="105"/>
        </w:rPr>
        <w:t xml:space="preserve"> </w:t>
      </w:r>
      <w:r w:rsidRPr="00283806">
        <w:rPr>
          <w:w w:val="105"/>
        </w:rPr>
        <w:t>heel</w:t>
      </w:r>
      <w:r w:rsidRPr="00283806">
        <w:rPr>
          <w:spacing w:val="40"/>
          <w:w w:val="105"/>
        </w:rPr>
        <w:t xml:space="preserve"> </w:t>
      </w:r>
      <w:r w:rsidRPr="00283806">
        <w:rPr>
          <w:w w:val="105"/>
        </w:rPr>
        <w:t>may</w:t>
      </w:r>
      <w:r w:rsidRPr="00283806">
        <w:rPr>
          <w:spacing w:val="40"/>
          <w:w w:val="105"/>
        </w:rPr>
        <w:t xml:space="preserve"> </w:t>
      </w:r>
      <w:r w:rsidRPr="00283806">
        <w:rPr>
          <w:w w:val="105"/>
        </w:rPr>
        <w:t>continue</w:t>
      </w:r>
      <w:r w:rsidRPr="00283806">
        <w:rPr>
          <w:spacing w:val="40"/>
          <w:w w:val="105"/>
        </w:rPr>
        <w:t xml:space="preserve"> </w:t>
      </w:r>
      <w:r w:rsidRPr="00283806">
        <w:rPr>
          <w:w w:val="105"/>
        </w:rPr>
        <w:t>to be sent through these channels with</w:t>
      </w:r>
      <w:r w:rsidRPr="00283806">
        <w:rPr>
          <w:spacing w:val="40"/>
          <w:w w:val="105"/>
        </w:rPr>
        <w:t xml:space="preserve"> </w:t>
      </w:r>
      <w:r w:rsidRPr="00283806">
        <w:rPr>
          <w:w w:val="105"/>
        </w:rPr>
        <w:t>their intermediate steps to ultimately reach a reclaimer, such as through distributors or wholesalers. EPA recognizes that these current practices can be effective and allowing their continued use for processing of used disposable cylinders provides</w:t>
      </w:r>
      <w:r w:rsidRPr="00283806">
        <w:rPr>
          <w:spacing w:val="80"/>
          <w:w w:val="105"/>
        </w:rPr>
        <w:t xml:space="preserve"> </w:t>
      </w:r>
      <w:r w:rsidRPr="00283806">
        <w:rPr>
          <w:w w:val="105"/>
        </w:rPr>
        <w:t>flexibilities to manage the volume of disposable cylinders being transported for recovery of the heel. The Agency</w:t>
      </w:r>
      <w:r w:rsidRPr="00283806">
        <w:rPr>
          <w:spacing w:val="40"/>
          <w:w w:val="105"/>
        </w:rPr>
        <w:t xml:space="preserve"> </w:t>
      </w:r>
      <w:r w:rsidRPr="00283806">
        <w:rPr>
          <w:w w:val="105"/>
        </w:rPr>
        <w:t>notes that it may be appropriate for the distributor or wholesaler to be the entity that recovers and consolidates the heels from disposable cylinders, recognizing the improved logistics of consolidating heels to a single recovery cylinder.</w:t>
      </w:r>
    </w:p>
    <w:p w14:paraId="2FA4190A" w14:textId="77777777" w:rsidR="00D67C1E" w:rsidRPr="00283806" w:rsidRDefault="001265CA">
      <w:pPr>
        <w:pStyle w:val="BodyText"/>
        <w:spacing w:line="182" w:lineRule="exact"/>
        <w:ind w:left="143"/>
      </w:pPr>
      <w:r w:rsidRPr="00283806">
        <w:rPr>
          <w:w w:val="105"/>
        </w:rPr>
        <w:t>Where</w:t>
      </w:r>
      <w:r w:rsidRPr="00283806">
        <w:rPr>
          <w:spacing w:val="7"/>
          <w:w w:val="105"/>
        </w:rPr>
        <w:t xml:space="preserve"> </w:t>
      </w:r>
      <w:r w:rsidRPr="00283806">
        <w:rPr>
          <w:w w:val="105"/>
        </w:rPr>
        <w:t>this</w:t>
      </w:r>
      <w:r w:rsidRPr="00283806">
        <w:rPr>
          <w:spacing w:val="8"/>
          <w:w w:val="105"/>
        </w:rPr>
        <w:t xml:space="preserve"> </w:t>
      </w:r>
      <w:r w:rsidRPr="00283806">
        <w:rPr>
          <w:w w:val="105"/>
        </w:rPr>
        <w:t>practice</w:t>
      </w:r>
      <w:r w:rsidRPr="00283806">
        <w:rPr>
          <w:spacing w:val="8"/>
          <w:w w:val="105"/>
        </w:rPr>
        <w:t xml:space="preserve"> </w:t>
      </w:r>
      <w:r w:rsidRPr="00283806">
        <w:rPr>
          <w:w w:val="105"/>
        </w:rPr>
        <w:t>may</w:t>
      </w:r>
      <w:r w:rsidRPr="00283806">
        <w:rPr>
          <w:spacing w:val="8"/>
          <w:w w:val="105"/>
        </w:rPr>
        <w:t xml:space="preserve"> </w:t>
      </w:r>
      <w:r w:rsidRPr="00283806">
        <w:rPr>
          <w:w w:val="105"/>
        </w:rPr>
        <w:t>be</w:t>
      </w:r>
      <w:r w:rsidRPr="00283806">
        <w:rPr>
          <w:spacing w:val="8"/>
          <w:w w:val="105"/>
        </w:rPr>
        <w:t xml:space="preserve"> </w:t>
      </w:r>
      <w:r w:rsidRPr="00283806">
        <w:rPr>
          <w:spacing w:val="-2"/>
          <w:w w:val="105"/>
        </w:rPr>
        <w:t>occurring,</w:t>
      </w:r>
    </w:p>
    <w:p w14:paraId="45615ED0" w14:textId="77777777" w:rsidR="00D67C1E" w:rsidRPr="00283806" w:rsidRDefault="001265CA">
      <w:pPr>
        <w:pStyle w:val="BodyText"/>
        <w:spacing w:line="235" w:lineRule="auto"/>
        <w:ind w:left="143" w:right="153"/>
      </w:pPr>
      <w:r w:rsidRPr="00283806">
        <w:rPr>
          <w:w w:val="105"/>
        </w:rPr>
        <w:t xml:space="preserve">EPA anticipates that the distributor or wholesaler has demonstrated the capability to remove </w:t>
      </w:r>
      <w:proofErr w:type="gramStart"/>
      <w:r w:rsidRPr="00283806">
        <w:rPr>
          <w:w w:val="105"/>
        </w:rPr>
        <w:t>all of</w:t>
      </w:r>
      <w:proofErr w:type="gramEnd"/>
      <w:r w:rsidRPr="00283806">
        <w:rPr>
          <w:w w:val="105"/>
        </w:rPr>
        <w:t xml:space="preserve"> the heel from the disposable cylinder prior to discarding. EPA expects this </w:t>
      </w:r>
      <w:proofErr w:type="gramStart"/>
      <w:r w:rsidRPr="00283806">
        <w:rPr>
          <w:w w:val="105"/>
        </w:rPr>
        <w:t>is</w:t>
      </w:r>
      <w:proofErr w:type="gramEnd"/>
      <w:r w:rsidRPr="00283806">
        <w:rPr>
          <w:w w:val="105"/>
        </w:rPr>
        <w:t xml:space="preserve"> reasonable, as commenters have stated this is a common practice that is currently occurring for the processing of a</w:t>
      </w:r>
      <w:r w:rsidRPr="00283806">
        <w:rPr>
          <w:spacing w:val="40"/>
          <w:w w:val="105"/>
        </w:rPr>
        <w:t xml:space="preserve"> </w:t>
      </w:r>
      <w:r w:rsidRPr="00283806">
        <w:rPr>
          <w:w w:val="105"/>
        </w:rPr>
        <w:t>used</w:t>
      </w:r>
      <w:r w:rsidRPr="00283806">
        <w:rPr>
          <w:spacing w:val="40"/>
          <w:w w:val="105"/>
        </w:rPr>
        <w:t xml:space="preserve"> </w:t>
      </w:r>
      <w:r w:rsidRPr="00283806">
        <w:rPr>
          <w:w w:val="105"/>
        </w:rPr>
        <w:t>disposable</w:t>
      </w:r>
      <w:r w:rsidRPr="00283806">
        <w:rPr>
          <w:spacing w:val="40"/>
          <w:w w:val="105"/>
        </w:rPr>
        <w:t xml:space="preserve"> </w:t>
      </w:r>
      <w:r w:rsidRPr="00283806">
        <w:rPr>
          <w:w w:val="105"/>
        </w:rPr>
        <w:t>cylinder.</w:t>
      </w:r>
      <w:r w:rsidRPr="00283806">
        <w:rPr>
          <w:spacing w:val="40"/>
          <w:w w:val="105"/>
        </w:rPr>
        <w:t xml:space="preserve"> </w:t>
      </w:r>
      <w:r w:rsidRPr="00283806">
        <w:rPr>
          <w:w w:val="105"/>
        </w:rPr>
        <w:t xml:space="preserve">Further, EPA anticipates that distributors or wholesalers that are performing this practice recognize the value in the removed heel that can be sent to a </w:t>
      </w:r>
      <w:r w:rsidRPr="00283806">
        <w:rPr>
          <w:spacing w:val="-2"/>
          <w:w w:val="105"/>
        </w:rPr>
        <w:t>reclaimer.</w:t>
      </w:r>
    </w:p>
    <w:p w14:paraId="437F24A8" w14:textId="77777777" w:rsidR="00D67C1E" w:rsidRPr="00283806" w:rsidRDefault="001265CA">
      <w:pPr>
        <w:pStyle w:val="BodyText"/>
        <w:spacing w:before="50" w:line="230" w:lineRule="auto"/>
        <w:ind w:left="143" w:right="155" w:firstLine="180"/>
      </w:pPr>
      <w:r w:rsidRPr="00283806">
        <w:rPr>
          <w:w w:val="105"/>
        </w:rPr>
        <w:t>In</w:t>
      </w:r>
      <w:r w:rsidRPr="00283806">
        <w:rPr>
          <w:spacing w:val="40"/>
          <w:w w:val="105"/>
        </w:rPr>
        <w:t xml:space="preserve"> </w:t>
      </w:r>
      <w:r w:rsidRPr="00283806">
        <w:rPr>
          <w:w w:val="105"/>
        </w:rPr>
        <w:t>this</w:t>
      </w:r>
      <w:r w:rsidRPr="00283806">
        <w:rPr>
          <w:spacing w:val="40"/>
          <w:w w:val="105"/>
        </w:rPr>
        <w:t xml:space="preserve"> </w:t>
      </w:r>
      <w:r w:rsidRPr="00283806">
        <w:rPr>
          <w:w w:val="105"/>
        </w:rPr>
        <w:t>action,</w:t>
      </w:r>
      <w:r w:rsidRPr="00283806">
        <w:rPr>
          <w:spacing w:val="40"/>
          <w:w w:val="105"/>
        </w:rPr>
        <w:t xml:space="preserve"> </w:t>
      </w:r>
      <w:r w:rsidRPr="00283806">
        <w:rPr>
          <w:w w:val="105"/>
        </w:rPr>
        <w:t>EPA</w:t>
      </w:r>
      <w:r w:rsidRPr="00283806">
        <w:rPr>
          <w:spacing w:val="40"/>
          <w:w w:val="105"/>
        </w:rPr>
        <w:t xml:space="preserve"> </w:t>
      </w:r>
      <w:r w:rsidRPr="00283806">
        <w:rPr>
          <w:w w:val="105"/>
        </w:rPr>
        <w:t>is</w:t>
      </w:r>
      <w:r w:rsidRPr="00283806">
        <w:rPr>
          <w:spacing w:val="40"/>
          <w:w w:val="105"/>
        </w:rPr>
        <w:t xml:space="preserve"> </w:t>
      </w:r>
      <w:r w:rsidRPr="00283806">
        <w:rPr>
          <w:w w:val="105"/>
        </w:rPr>
        <w:t>adopting portions of the alternative approach; specifically, EPA is finalizing an option</w:t>
      </w:r>
      <w:r w:rsidRPr="00283806">
        <w:rPr>
          <w:spacing w:val="40"/>
          <w:w w:val="105"/>
        </w:rPr>
        <w:t xml:space="preserve"> </w:t>
      </w:r>
      <w:r w:rsidRPr="00283806">
        <w:rPr>
          <w:w w:val="105"/>
        </w:rPr>
        <w:t>for used disposable cylinders to be sent</w:t>
      </w:r>
      <w:r w:rsidRPr="00283806">
        <w:rPr>
          <w:spacing w:val="40"/>
          <w:w w:val="105"/>
        </w:rPr>
        <w:t xml:space="preserve"> </w:t>
      </w:r>
      <w:r w:rsidRPr="00283806">
        <w:rPr>
          <w:w w:val="105"/>
        </w:rPr>
        <w:t>to final processors (</w:t>
      </w:r>
      <w:r w:rsidRPr="00283806">
        <w:rPr>
          <w:rFonts w:ascii="Book Antiqua"/>
          <w:i/>
          <w:w w:val="105"/>
        </w:rPr>
        <w:t xml:space="preserve">e.g., </w:t>
      </w:r>
      <w:r w:rsidRPr="00283806">
        <w:rPr>
          <w:w w:val="105"/>
        </w:rPr>
        <w:t>landfill</w:t>
      </w:r>
      <w:r w:rsidRPr="00283806">
        <w:rPr>
          <w:spacing w:val="40"/>
          <w:w w:val="105"/>
        </w:rPr>
        <w:t xml:space="preserve"> </w:t>
      </w:r>
      <w:r w:rsidRPr="00283806">
        <w:rPr>
          <w:w w:val="105"/>
        </w:rPr>
        <w:t>operators, scrap metal recyclers, etc.) for removal of the heel. As noted earlier in this response, EPA is also finalizing that the reverse supply chain may be utilized for the transport of used disposable cylinders to have the heel removed (</w:t>
      </w:r>
      <w:r w:rsidRPr="00283806">
        <w:rPr>
          <w:rFonts w:ascii="Book Antiqua"/>
          <w:i/>
          <w:w w:val="105"/>
        </w:rPr>
        <w:t xml:space="preserve">e.g., </w:t>
      </w:r>
      <w:r w:rsidRPr="00283806">
        <w:rPr>
          <w:w w:val="105"/>
        </w:rPr>
        <w:t>sent to a distributor or wholesaler capable of removing the heel). EPA is establishing requirements that heels removed by final processors or distributors/wholesalers must be sent to a reclaimer or fire suppressant recycler. The added flexibilities should allow</w:t>
      </w:r>
      <w:r w:rsidRPr="00283806">
        <w:rPr>
          <w:spacing w:val="80"/>
          <w:w w:val="105"/>
        </w:rPr>
        <w:t xml:space="preserve"> </w:t>
      </w:r>
      <w:r w:rsidRPr="00283806">
        <w:rPr>
          <w:w w:val="105"/>
        </w:rPr>
        <w:t>those with used disposable cylinders to have additional options for the proper handling of such cylinders. In general,</w:t>
      </w:r>
      <w:r w:rsidRPr="00283806">
        <w:rPr>
          <w:spacing w:val="80"/>
          <w:w w:val="105"/>
        </w:rPr>
        <w:t xml:space="preserve"> </w:t>
      </w:r>
      <w:r w:rsidRPr="00283806">
        <w:rPr>
          <w:w w:val="105"/>
        </w:rPr>
        <w:t>the Agency anticipates that the added flexibility will provide access to discard used disposable cylinders at locations in closer proximity to contractors and</w:t>
      </w:r>
    </w:p>
    <w:p w14:paraId="7FAE2BBA" w14:textId="77777777" w:rsidR="00D67C1E" w:rsidRPr="00283806" w:rsidRDefault="00D67C1E">
      <w:pPr>
        <w:spacing w:line="230" w:lineRule="auto"/>
        <w:sectPr w:rsidR="00D67C1E" w:rsidRPr="00283806">
          <w:pgSz w:w="12240" w:h="15840"/>
          <w:pgMar w:top="1040" w:right="780" w:bottom="280" w:left="740" w:header="627" w:footer="0" w:gutter="0"/>
          <w:cols w:num="3" w:space="720" w:equalWidth="0">
            <w:col w:w="3517" w:space="40"/>
            <w:col w:w="3501" w:space="39"/>
            <w:col w:w="3623"/>
          </w:cols>
        </w:sectPr>
      </w:pPr>
    </w:p>
    <w:p w14:paraId="57D07196" w14:textId="77777777" w:rsidR="00D67C1E" w:rsidRPr="00283806" w:rsidRDefault="001265CA">
      <w:pPr>
        <w:pStyle w:val="BodyText"/>
        <w:spacing w:before="138" w:line="223" w:lineRule="auto"/>
        <w:ind w:left="159" w:right="27"/>
      </w:pPr>
      <w:r w:rsidRPr="00283806">
        <w:rPr>
          <w:w w:val="105"/>
        </w:rPr>
        <w:lastRenderedPageBreak/>
        <w:t xml:space="preserve">technicians, reducing transportation </w:t>
      </w:r>
      <w:proofErr w:type="gramStart"/>
      <w:r w:rsidRPr="00283806">
        <w:rPr>
          <w:w w:val="105"/>
          <w:position w:val="5"/>
          <w:sz w:val="11"/>
        </w:rPr>
        <w:t>136</w:t>
      </w:r>
      <w:r w:rsidRPr="00283806">
        <w:rPr>
          <w:spacing w:val="40"/>
          <w:w w:val="105"/>
          <w:position w:val="5"/>
          <w:sz w:val="11"/>
        </w:rPr>
        <w:t xml:space="preserve"> </w:t>
      </w:r>
      <w:r w:rsidRPr="00283806">
        <w:rPr>
          <w:w w:val="105"/>
        </w:rPr>
        <w:t>costs</w:t>
      </w:r>
      <w:proofErr w:type="gramEnd"/>
      <w:r w:rsidRPr="00283806">
        <w:rPr>
          <w:w w:val="105"/>
        </w:rPr>
        <w:t xml:space="preserve"> and emissions associated with disposing the used cylinders. Final processors may already be receiving small appliances (</w:t>
      </w:r>
      <w:r w:rsidRPr="00283806">
        <w:rPr>
          <w:rFonts w:ascii="Book Antiqua"/>
          <w:i/>
          <w:w w:val="105"/>
        </w:rPr>
        <w:t xml:space="preserve">e.g., </w:t>
      </w:r>
      <w:r w:rsidRPr="00283806">
        <w:rPr>
          <w:w w:val="105"/>
        </w:rPr>
        <w:t>less than five pounds of refrigerant) and consistent with the regulations promulgated under CAA section 608, may already be recovering these refrigerants per those requirements and sending them for reclamation per those requirements.</w:t>
      </w:r>
    </w:p>
    <w:p w14:paraId="72A25A6F" w14:textId="77777777" w:rsidR="00D67C1E" w:rsidRPr="00283806" w:rsidRDefault="001265CA">
      <w:pPr>
        <w:pStyle w:val="BodyText"/>
        <w:spacing w:before="7" w:line="225" w:lineRule="auto"/>
        <w:ind w:left="159"/>
      </w:pPr>
      <w:r w:rsidRPr="00283806">
        <w:rPr>
          <w:w w:val="105"/>
        </w:rPr>
        <w:t>Further, where used disposable</w:t>
      </w:r>
      <w:r w:rsidRPr="00283806">
        <w:rPr>
          <w:spacing w:val="80"/>
          <w:w w:val="105"/>
        </w:rPr>
        <w:t xml:space="preserve"> </w:t>
      </w:r>
      <w:r w:rsidRPr="00283806">
        <w:rPr>
          <w:w w:val="105"/>
        </w:rPr>
        <w:t>cylinders have been sent for processing by a final processor or a distributor or wholesaler, the removed heels would be consolidated into a common recovery cylinder. As commenters stated, this practice could help to improve logistics related to truck space for shipping materials to a reclaimer or fire suppressant recycler for further processing. Therefore, EPA is finalizing these flexibilities for sending the disposable cylinders to the reclaimers, which are intended to result in the</w:t>
      </w:r>
      <w:r w:rsidRPr="00283806">
        <w:rPr>
          <w:spacing w:val="40"/>
          <w:w w:val="105"/>
        </w:rPr>
        <w:t xml:space="preserve"> </w:t>
      </w:r>
      <w:r w:rsidRPr="00283806">
        <w:rPr>
          <w:w w:val="105"/>
        </w:rPr>
        <w:t xml:space="preserve">proper removal of the heel and to ensure that the HFCs from removed heels are sent to reclaimers or fire suppressant recyclers for further processing and </w:t>
      </w:r>
      <w:r w:rsidRPr="00283806">
        <w:rPr>
          <w:spacing w:val="-2"/>
          <w:w w:val="105"/>
        </w:rPr>
        <w:t>reuse.</w:t>
      </w:r>
    </w:p>
    <w:p w14:paraId="59745773" w14:textId="77777777" w:rsidR="00D67C1E" w:rsidRPr="00283806" w:rsidRDefault="001265CA">
      <w:pPr>
        <w:pStyle w:val="BodyText"/>
        <w:spacing w:line="173" w:lineRule="exact"/>
        <w:ind w:left="339"/>
      </w:pPr>
      <w:r w:rsidRPr="00283806">
        <w:rPr>
          <w:w w:val="105"/>
        </w:rPr>
        <w:t>EPA</w:t>
      </w:r>
      <w:r w:rsidRPr="00283806">
        <w:rPr>
          <w:spacing w:val="14"/>
          <w:w w:val="105"/>
        </w:rPr>
        <w:t xml:space="preserve"> </w:t>
      </w:r>
      <w:r w:rsidRPr="00283806">
        <w:rPr>
          <w:w w:val="105"/>
        </w:rPr>
        <w:t>acknowledges</w:t>
      </w:r>
      <w:r w:rsidRPr="00283806">
        <w:rPr>
          <w:spacing w:val="15"/>
          <w:w w:val="105"/>
        </w:rPr>
        <w:t xml:space="preserve"> </w:t>
      </w:r>
      <w:r w:rsidRPr="00283806">
        <w:rPr>
          <w:w w:val="105"/>
        </w:rPr>
        <w:t>other</w:t>
      </w:r>
      <w:r w:rsidRPr="00283806">
        <w:rPr>
          <w:spacing w:val="15"/>
          <w:w w:val="105"/>
        </w:rPr>
        <w:t xml:space="preserve"> </w:t>
      </w:r>
      <w:r w:rsidRPr="00283806">
        <w:rPr>
          <w:spacing w:val="-2"/>
          <w:w w:val="105"/>
        </w:rPr>
        <w:t>comments</w:t>
      </w:r>
    </w:p>
    <w:p w14:paraId="5F4BABD2" w14:textId="77777777" w:rsidR="00D67C1E" w:rsidRPr="00283806" w:rsidRDefault="001265CA">
      <w:pPr>
        <w:pStyle w:val="BodyText"/>
        <w:spacing w:before="4" w:line="225" w:lineRule="auto"/>
        <w:ind w:left="159" w:right="69"/>
      </w:pPr>
      <w:r w:rsidRPr="00283806">
        <w:rPr>
          <w:w w:val="105"/>
        </w:rPr>
        <w:t xml:space="preserve">that </w:t>
      </w:r>
      <w:proofErr w:type="gramStart"/>
      <w:r w:rsidRPr="00283806">
        <w:rPr>
          <w:w w:val="105"/>
        </w:rPr>
        <w:t>suggest</w:t>
      </w:r>
      <w:proofErr w:type="gramEnd"/>
      <w:r w:rsidRPr="00283806">
        <w:rPr>
          <w:w w:val="105"/>
        </w:rPr>
        <w:t xml:space="preserve"> that a certified technician</w:t>
      </w:r>
      <w:r w:rsidRPr="00283806">
        <w:rPr>
          <w:spacing w:val="80"/>
          <w:w w:val="150"/>
        </w:rPr>
        <w:t xml:space="preserve"> </w:t>
      </w:r>
      <w:r w:rsidRPr="00283806">
        <w:rPr>
          <w:w w:val="105"/>
        </w:rPr>
        <w:t>be allowed to remove the heel from disposable cylinders. As described more fully in a response later in this section, EPA is finalizing an alternate approach where certified technicians may certify that a heel has been removed from a disposable cylinder to a vacuum level of 15 in-Hg, relative to standard atmospheric pressure of 29.9 in-Hg. In this case, a used disposable cylinder certified to have been evacuated to a vacuum level of 15 in-Hg may be discarded to a final processor without further processing. This alternate approach being finalized by the Agency helps to ensure the contents of</w:t>
      </w:r>
      <w:r w:rsidRPr="00283806">
        <w:rPr>
          <w:spacing w:val="40"/>
          <w:w w:val="105"/>
        </w:rPr>
        <w:t xml:space="preserve"> </w:t>
      </w:r>
      <w:r w:rsidRPr="00283806">
        <w:rPr>
          <w:w w:val="105"/>
        </w:rPr>
        <w:t>disposable cylinders are effectively used and the remaining heel is negligible before the cylinder is discarded.</w:t>
      </w:r>
    </w:p>
    <w:p w14:paraId="750B7758" w14:textId="77777777" w:rsidR="00D67C1E" w:rsidRPr="00283806" w:rsidRDefault="001265CA">
      <w:pPr>
        <w:pStyle w:val="BodyText"/>
        <w:spacing w:line="173" w:lineRule="exact"/>
        <w:ind w:left="339"/>
      </w:pPr>
      <w:r w:rsidRPr="00283806">
        <w:rPr>
          <w:w w:val="105"/>
        </w:rPr>
        <w:t>EPA</w:t>
      </w:r>
      <w:r w:rsidRPr="00283806">
        <w:rPr>
          <w:spacing w:val="18"/>
          <w:w w:val="105"/>
        </w:rPr>
        <w:t xml:space="preserve"> </w:t>
      </w:r>
      <w:r w:rsidRPr="00283806">
        <w:rPr>
          <w:w w:val="105"/>
        </w:rPr>
        <w:t>acknowledges</w:t>
      </w:r>
      <w:r w:rsidRPr="00283806">
        <w:rPr>
          <w:spacing w:val="18"/>
          <w:w w:val="105"/>
        </w:rPr>
        <w:t xml:space="preserve"> </w:t>
      </w:r>
      <w:r w:rsidRPr="00283806">
        <w:rPr>
          <w:w w:val="105"/>
        </w:rPr>
        <w:t>the</w:t>
      </w:r>
      <w:r w:rsidRPr="00283806">
        <w:rPr>
          <w:spacing w:val="18"/>
          <w:w w:val="105"/>
        </w:rPr>
        <w:t xml:space="preserve"> </w:t>
      </w:r>
      <w:r w:rsidRPr="00283806">
        <w:rPr>
          <w:spacing w:val="-2"/>
          <w:w w:val="105"/>
        </w:rPr>
        <w:t>comments</w:t>
      </w:r>
    </w:p>
    <w:p w14:paraId="53EE65ED" w14:textId="77777777" w:rsidR="00D67C1E" w:rsidRPr="00283806" w:rsidRDefault="001265CA">
      <w:pPr>
        <w:pStyle w:val="BodyText"/>
        <w:spacing w:before="4" w:line="225" w:lineRule="auto"/>
        <w:ind w:left="159" w:right="51"/>
      </w:pPr>
      <w:r w:rsidRPr="00283806">
        <w:rPr>
          <w:w w:val="105"/>
        </w:rPr>
        <w:t xml:space="preserve">suggesting </w:t>
      </w:r>
      <w:proofErr w:type="gramStart"/>
      <w:r w:rsidRPr="00283806">
        <w:rPr>
          <w:w w:val="105"/>
        </w:rPr>
        <w:t>establishment of collection</w:t>
      </w:r>
      <w:proofErr w:type="gramEnd"/>
      <w:r w:rsidRPr="00283806">
        <w:rPr>
          <w:w w:val="105"/>
        </w:rPr>
        <w:t xml:space="preserve"> points for used disposable cylinders to promote further organization for the recovery of heels. The Agency agrees</w:t>
      </w:r>
      <w:r w:rsidRPr="00283806">
        <w:rPr>
          <w:spacing w:val="80"/>
          <w:w w:val="105"/>
        </w:rPr>
        <w:t xml:space="preserve"> </w:t>
      </w:r>
      <w:r w:rsidRPr="00283806">
        <w:rPr>
          <w:w w:val="105"/>
        </w:rPr>
        <w:t xml:space="preserve">that collection points could be an effective </w:t>
      </w:r>
      <w:proofErr w:type="gramStart"/>
      <w:r w:rsidRPr="00283806">
        <w:rPr>
          <w:w w:val="105"/>
        </w:rPr>
        <w:t>avenue</w:t>
      </w:r>
      <w:proofErr w:type="gramEnd"/>
      <w:r w:rsidRPr="00283806">
        <w:rPr>
          <w:w w:val="105"/>
        </w:rPr>
        <w:t xml:space="preserve"> for facilitating the</w:t>
      </w:r>
      <w:r w:rsidRPr="00283806">
        <w:rPr>
          <w:spacing w:val="40"/>
          <w:w w:val="105"/>
        </w:rPr>
        <w:t xml:space="preserve"> </w:t>
      </w:r>
      <w:r w:rsidRPr="00283806">
        <w:rPr>
          <w:w w:val="105"/>
        </w:rPr>
        <w:t xml:space="preserve">return of disposable cylinders to entities capable of properly removing the heel and disposing of them. EPA is aware of reclaimers that offer services such as collection sites for returning recovered </w:t>
      </w:r>
      <w:proofErr w:type="gramStart"/>
      <w:r w:rsidRPr="00283806">
        <w:rPr>
          <w:w w:val="105"/>
        </w:rPr>
        <w:t>refrigerant</w:t>
      </w:r>
      <w:proofErr w:type="gramEnd"/>
      <w:r w:rsidRPr="00283806">
        <w:rPr>
          <w:w w:val="105"/>
        </w:rPr>
        <w:t>, which may include</w:t>
      </w:r>
    </w:p>
    <w:p w14:paraId="7BC911C8" w14:textId="77777777" w:rsidR="00D67C1E" w:rsidRPr="00283806" w:rsidRDefault="001265CA">
      <w:pPr>
        <w:pStyle w:val="BodyText"/>
        <w:spacing w:before="11"/>
        <w:ind w:left="0"/>
        <w:rPr>
          <w:sz w:val="10"/>
        </w:rPr>
      </w:pPr>
      <w:r w:rsidRPr="00283806">
        <w:rPr>
          <w:noProof/>
        </w:rPr>
        <mc:AlternateContent>
          <mc:Choice Requires="wps">
            <w:drawing>
              <wp:anchor distT="0" distB="0" distL="0" distR="0" simplePos="0" relativeHeight="251671552" behindDoc="1" locked="0" layoutInCell="1" allowOverlap="1" wp14:anchorId="71C47824" wp14:editId="68692C6C">
                <wp:simplePos x="0" y="0"/>
                <wp:positionH relativeFrom="page">
                  <wp:posOffset>571500</wp:posOffset>
                </wp:positionH>
                <wp:positionV relativeFrom="paragraph">
                  <wp:posOffset>96818</wp:posOffset>
                </wp:positionV>
                <wp:extent cx="635000" cy="1270"/>
                <wp:effectExtent l="0" t="0" r="0" b="0"/>
                <wp:wrapTopAndBottom/>
                <wp:docPr id="103" name="Graphic 1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F11CCC9" id="Graphic 103" o:spid="_x0000_s1026" alt="&quot;&quot;" style="position:absolute;margin-left:45pt;margin-top:7.6pt;width:50pt;height:.1pt;z-index:-251644928;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" path="m,l635000,e" filled="f" strokeweight=".5pt">
                <v:path arrowok="t"/>
                <w10:wrap type="topAndBottom" anchorx="page"/>
              </v:shape>
            </w:pict>
          </mc:Fallback>
        </mc:AlternateContent>
      </w:r>
    </w:p>
    <w:p w14:paraId="6BBC19F1" w14:textId="77777777" w:rsidR="00D67C1E" w:rsidRPr="00283806" w:rsidRDefault="001265CA">
      <w:pPr>
        <w:spacing w:before="42" w:line="228" w:lineRule="auto"/>
        <w:ind w:left="159" w:right="106" w:firstLine="140"/>
        <w:rPr>
          <w:sz w:val="14"/>
        </w:rPr>
      </w:pPr>
      <w:r w:rsidRPr="00283806">
        <w:rPr>
          <w:position w:val="4"/>
          <w:sz w:val="9"/>
        </w:rPr>
        <w:t xml:space="preserve">136 </w:t>
      </w:r>
      <w:r w:rsidRPr="00283806">
        <w:rPr>
          <w:sz w:val="14"/>
        </w:rPr>
        <w:t>EPA addressed transportation related costs in</w:t>
      </w:r>
      <w:r w:rsidRPr="00283806">
        <w:rPr>
          <w:spacing w:val="40"/>
          <w:w w:val="110"/>
          <w:sz w:val="14"/>
        </w:rPr>
        <w:t xml:space="preserve"> </w:t>
      </w:r>
      <w:r w:rsidRPr="00283806">
        <w:rPr>
          <w:w w:val="110"/>
          <w:sz w:val="14"/>
        </w:rPr>
        <w:t>the draft Economic Impact and Benefits TSD and</w:t>
      </w:r>
      <w:r w:rsidRPr="00283806">
        <w:rPr>
          <w:spacing w:val="40"/>
          <w:w w:val="110"/>
          <w:sz w:val="14"/>
        </w:rPr>
        <w:t xml:space="preserve"> </w:t>
      </w:r>
      <w:r w:rsidRPr="00283806">
        <w:rPr>
          <w:w w:val="110"/>
          <w:sz w:val="14"/>
        </w:rPr>
        <w:t>further addresses such costs in the Economic</w:t>
      </w:r>
      <w:r w:rsidRPr="00283806">
        <w:rPr>
          <w:spacing w:val="40"/>
          <w:w w:val="110"/>
          <w:sz w:val="14"/>
        </w:rPr>
        <w:t xml:space="preserve"> </w:t>
      </w:r>
      <w:r w:rsidRPr="00283806">
        <w:rPr>
          <w:w w:val="110"/>
          <w:sz w:val="14"/>
        </w:rPr>
        <w:t>Impact and Benefits TSD accompanying this final</w:t>
      </w:r>
      <w:r w:rsidRPr="00283806">
        <w:rPr>
          <w:spacing w:val="40"/>
          <w:w w:val="110"/>
          <w:sz w:val="14"/>
        </w:rPr>
        <w:t xml:space="preserve"> </w:t>
      </w:r>
      <w:r w:rsidRPr="00283806">
        <w:rPr>
          <w:spacing w:val="-2"/>
          <w:w w:val="110"/>
          <w:sz w:val="14"/>
        </w:rPr>
        <w:t>rule.</w:t>
      </w:r>
    </w:p>
    <w:p w14:paraId="2A3C2F28" w14:textId="77777777" w:rsidR="00D67C1E" w:rsidRPr="00283806" w:rsidRDefault="001265CA">
      <w:pPr>
        <w:pStyle w:val="BodyText"/>
        <w:spacing w:before="134" w:line="228" w:lineRule="auto"/>
        <w:ind w:left="145" w:right="100"/>
      </w:pPr>
      <w:r w:rsidRPr="00283806">
        <w:br w:type="column"/>
      </w:r>
      <w:r w:rsidRPr="00283806">
        <w:rPr>
          <w:w w:val="105"/>
        </w:rPr>
        <w:t>returning used disposable cylinders.</w:t>
      </w:r>
      <w:r w:rsidRPr="00283806">
        <w:rPr>
          <w:spacing w:val="80"/>
          <w:w w:val="105"/>
        </w:rPr>
        <w:t xml:space="preserve"> </w:t>
      </w:r>
      <w:r w:rsidRPr="00283806">
        <w:rPr>
          <w:w w:val="105"/>
        </w:rPr>
        <w:t xml:space="preserve">The Agency sees these collection facilities and practices as appropriate avenues for discarding cylinders and proper heel removal, so long as they </w:t>
      </w:r>
      <w:proofErr w:type="gramStart"/>
      <w:r w:rsidRPr="00283806">
        <w:rPr>
          <w:w w:val="105"/>
        </w:rPr>
        <w:t>are in compliance with</w:t>
      </w:r>
      <w:proofErr w:type="gramEnd"/>
      <w:r w:rsidRPr="00283806">
        <w:rPr>
          <w:w w:val="105"/>
        </w:rPr>
        <w:t xml:space="preserve"> all regulatory requirements, including those being established in this rulemaking.</w:t>
      </w:r>
    </w:p>
    <w:p w14:paraId="61E9EE11" w14:textId="77777777" w:rsidR="00D67C1E" w:rsidRPr="00283806" w:rsidRDefault="001265CA">
      <w:pPr>
        <w:pStyle w:val="BodyText"/>
        <w:spacing w:before="16" w:line="228" w:lineRule="auto"/>
        <w:ind w:left="145" w:right="18" w:firstLine="180"/>
      </w:pPr>
      <w:r w:rsidRPr="00283806">
        <w:rPr>
          <w:w w:val="105"/>
        </w:rPr>
        <w:t>Finally, EPA is establishing a compliance date of January 1, 2028, which is three years later than the proposed compliance date. The later compliance date will allow additional time for the distribution networks to be established and allow industry to set up necessary contracts and logistics for the transport of used disposable cylinders and the recovery of the remaining heels.</w:t>
      </w:r>
    </w:p>
    <w:p w14:paraId="665EE887" w14:textId="77777777" w:rsidR="00D67C1E" w:rsidRPr="00283806" w:rsidRDefault="001265CA">
      <w:pPr>
        <w:pStyle w:val="BodyText"/>
        <w:spacing w:before="15" w:line="228" w:lineRule="auto"/>
        <w:ind w:left="145" w:right="15" w:firstLine="180"/>
      </w:pPr>
      <w:r w:rsidRPr="00283806">
        <w:rPr>
          <w:rFonts w:ascii="Book Antiqua"/>
          <w:i/>
          <w:w w:val="105"/>
        </w:rPr>
        <w:t xml:space="preserve">Comment: </w:t>
      </w:r>
      <w:r w:rsidRPr="00283806">
        <w:rPr>
          <w:w w:val="105"/>
        </w:rPr>
        <w:t>Many commenters</w:t>
      </w:r>
      <w:r w:rsidRPr="00283806">
        <w:rPr>
          <w:spacing w:val="40"/>
          <w:w w:val="105"/>
        </w:rPr>
        <w:t xml:space="preserve"> </w:t>
      </w:r>
      <w:r w:rsidRPr="00283806">
        <w:rPr>
          <w:w w:val="105"/>
        </w:rPr>
        <w:t xml:space="preserve">expressed concerns regarding the logistics related to the proposed requirements and consideration of the net benefits (costs and GHGs emissions avoided) when comparing the potential costs and emissions related to transporting the disposable cylinders to reclaimers or fire suppressant recyclers. Some commenters stated that the transportation of </w:t>
      </w:r>
      <w:proofErr w:type="gramStart"/>
      <w:r w:rsidRPr="00283806">
        <w:rPr>
          <w:w w:val="105"/>
        </w:rPr>
        <w:t>the disposable</w:t>
      </w:r>
      <w:proofErr w:type="gramEnd"/>
      <w:r w:rsidRPr="00283806">
        <w:rPr>
          <w:spacing w:val="40"/>
          <w:w w:val="105"/>
        </w:rPr>
        <w:t xml:space="preserve"> </w:t>
      </w:r>
      <w:r w:rsidRPr="00283806">
        <w:rPr>
          <w:w w:val="105"/>
        </w:rPr>
        <w:t>cylinders would incur costs and require complex logistics. The commenters</w:t>
      </w:r>
      <w:r w:rsidRPr="00283806">
        <w:rPr>
          <w:spacing w:val="40"/>
          <w:w w:val="105"/>
        </w:rPr>
        <w:t xml:space="preserve"> </w:t>
      </w:r>
      <w:r w:rsidRPr="00283806">
        <w:rPr>
          <w:w w:val="105"/>
        </w:rPr>
        <w:t>stated that the contractors or technicians using the disposable cylinders may not</w:t>
      </w:r>
      <w:r w:rsidRPr="00283806">
        <w:rPr>
          <w:spacing w:val="40"/>
          <w:w w:val="105"/>
        </w:rPr>
        <w:t xml:space="preserve"> </w:t>
      </w:r>
      <w:r w:rsidRPr="00283806">
        <w:rPr>
          <w:w w:val="105"/>
        </w:rPr>
        <w:t>be located near an EPA-certified reclaimer or a fire suppressant recycler and would be required to travel further than they normally do to dispose of a used cylinder. Further, the commenters stated that the logistics of transporting and handling the used disposable cylinders would require additional labor and coordinating with reclaimers or fire suppressant recyclers within their operating hours. One commenter noted that labor shortages are present in the industry</w:t>
      </w:r>
      <w:r w:rsidRPr="00283806">
        <w:rPr>
          <w:spacing w:val="39"/>
          <w:w w:val="105"/>
        </w:rPr>
        <w:t xml:space="preserve"> </w:t>
      </w:r>
      <w:r w:rsidRPr="00283806">
        <w:rPr>
          <w:w w:val="105"/>
        </w:rPr>
        <w:t>and</w:t>
      </w:r>
      <w:r w:rsidRPr="00283806">
        <w:rPr>
          <w:spacing w:val="39"/>
          <w:w w:val="105"/>
        </w:rPr>
        <w:t xml:space="preserve"> </w:t>
      </w:r>
      <w:r w:rsidRPr="00283806">
        <w:rPr>
          <w:w w:val="105"/>
        </w:rPr>
        <w:t>there</w:t>
      </w:r>
      <w:r w:rsidRPr="00283806">
        <w:rPr>
          <w:spacing w:val="39"/>
          <w:w w:val="105"/>
        </w:rPr>
        <w:t xml:space="preserve"> </w:t>
      </w:r>
      <w:r w:rsidRPr="00283806">
        <w:rPr>
          <w:w w:val="105"/>
        </w:rPr>
        <w:t>may</w:t>
      </w:r>
      <w:r w:rsidRPr="00283806">
        <w:rPr>
          <w:spacing w:val="39"/>
          <w:w w:val="105"/>
        </w:rPr>
        <w:t xml:space="preserve"> </w:t>
      </w:r>
      <w:r w:rsidRPr="00283806">
        <w:rPr>
          <w:w w:val="105"/>
        </w:rPr>
        <w:t>be</w:t>
      </w:r>
      <w:r w:rsidRPr="00283806">
        <w:rPr>
          <w:spacing w:val="39"/>
          <w:w w:val="105"/>
        </w:rPr>
        <w:t xml:space="preserve"> </w:t>
      </w:r>
      <w:r w:rsidRPr="00283806">
        <w:rPr>
          <w:w w:val="105"/>
        </w:rPr>
        <w:t>a</w:t>
      </w:r>
      <w:r w:rsidRPr="00283806">
        <w:rPr>
          <w:spacing w:val="39"/>
          <w:w w:val="105"/>
        </w:rPr>
        <w:t xml:space="preserve"> </w:t>
      </w:r>
      <w:r w:rsidRPr="00283806">
        <w:rPr>
          <w:w w:val="105"/>
        </w:rPr>
        <w:t>challenge in these requirements competing with other revenue-generating activities.</w:t>
      </w:r>
    </w:p>
    <w:p w14:paraId="620B6187" w14:textId="77777777" w:rsidR="00D67C1E" w:rsidRPr="00283806" w:rsidRDefault="001265CA">
      <w:pPr>
        <w:pStyle w:val="BodyText"/>
        <w:spacing w:line="172" w:lineRule="exact"/>
        <w:ind w:left="145"/>
      </w:pPr>
      <w:r w:rsidRPr="00283806">
        <w:rPr>
          <w:w w:val="105"/>
        </w:rPr>
        <w:t>Another</w:t>
      </w:r>
      <w:r w:rsidRPr="00283806">
        <w:rPr>
          <w:spacing w:val="4"/>
          <w:w w:val="105"/>
        </w:rPr>
        <w:t xml:space="preserve"> </w:t>
      </w:r>
      <w:r w:rsidRPr="00283806">
        <w:rPr>
          <w:w w:val="105"/>
        </w:rPr>
        <w:t>commenter</w:t>
      </w:r>
      <w:r w:rsidRPr="00283806">
        <w:rPr>
          <w:spacing w:val="4"/>
          <w:w w:val="105"/>
        </w:rPr>
        <w:t xml:space="preserve"> </w:t>
      </w:r>
      <w:r w:rsidRPr="00283806">
        <w:rPr>
          <w:w w:val="105"/>
        </w:rPr>
        <w:t>stated</w:t>
      </w:r>
      <w:r w:rsidRPr="00283806">
        <w:rPr>
          <w:spacing w:val="4"/>
          <w:w w:val="105"/>
        </w:rPr>
        <w:t xml:space="preserve"> </w:t>
      </w:r>
      <w:r w:rsidRPr="00283806">
        <w:rPr>
          <w:w w:val="105"/>
        </w:rPr>
        <w:t>that</w:t>
      </w:r>
      <w:r w:rsidRPr="00283806">
        <w:rPr>
          <w:spacing w:val="4"/>
          <w:w w:val="105"/>
        </w:rPr>
        <w:t xml:space="preserve"> </w:t>
      </w:r>
      <w:r w:rsidRPr="00283806">
        <w:rPr>
          <w:spacing w:val="-2"/>
          <w:w w:val="105"/>
        </w:rPr>
        <w:t>shipping</w:t>
      </w:r>
    </w:p>
    <w:p w14:paraId="69A953C1" w14:textId="77777777" w:rsidR="00D67C1E" w:rsidRPr="00283806" w:rsidRDefault="001265CA">
      <w:pPr>
        <w:pStyle w:val="BodyText"/>
        <w:spacing w:before="3" w:line="228" w:lineRule="auto"/>
        <w:ind w:left="145" w:right="33"/>
      </w:pPr>
      <w:r w:rsidRPr="00283806">
        <w:rPr>
          <w:w w:val="105"/>
        </w:rPr>
        <w:t xml:space="preserve">disposable cylinders to reclaimers </w:t>
      </w:r>
      <w:proofErr w:type="gramStart"/>
      <w:r w:rsidRPr="00283806">
        <w:rPr>
          <w:w w:val="105"/>
        </w:rPr>
        <w:t>is</w:t>
      </w:r>
      <w:proofErr w:type="gramEnd"/>
      <w:r w:rsidRPr="00283806">
        <w:rPr>
          <w:w w:val="105"/>
        </w:rPr>
        <w:t xml:space="preserve"> inefficient and noted that others in the supply chain are also capable of</w:t>
      </w:r>
      <w:r w:rsidRPr="00283806">
        <w:rPr>
          <w:spacing w:val="40"/>
          <w:w w:val="105"/>
        </w:rPr>
        <w:t xml:space="preserve"> </w:t>
      </w:r>
      <w:r w:rsidRPr="00283806">
        <w:rPr>
          <w:w w:val="105"/>
        </w:rPr>
        <w:t>removing the heel properly per AHRI Guideline Q. Other commenters stated that the emissions associated with transporting disposable cylinders for</w:t>
      </w:r>
      <w:r w:rsidRPr="00283806">
        <w:rPr>
          <w:spacing w:val="40"/>
          <w:w w:val="105"/>
        </w:rPr>
        <w:t xml:space="preserve"> </w:t>
      </w:r>
      <w:r w:rsidRPr="00283806">
        <w:rPr>
          <w:w w:val="105"/>
        </w:rPr>
        <w:t>heel recovery may exceed those avoided by recovering the heel, and the</w:t>
      </w:r>
      <w:r w:rsidRPr="00283806">
        <w:rPr>
          <w:spacing w:val="40"/>
          <w:w w:val="105"/>
        </w:rPr>
        <w:t xml:space="preserve"> </w:t>
      </w:r>
      <w:r w:rsidRPr="00283806">
        <w:rPr>
          <w:w w:val="105"/>
        </w:rPr>
        <w:t>associated costs may outweigh the value of the recovered refrigerant. Further, other commenters stated that associated costs for collecting disposable cylinders could end up getting passed on to contractors or technicians and then further passed on to customers.</w:t>
      </w:r>
    </w:p>
    <w:p w14:paraId="1FFEF98B" w14:textId="77777777" w:rsidR="00D67C1E" w:rsidRPr="00283806" w:rsidRDefault="001265CA">
      <w:pPr>
        <w:pStyle w:val="BodyText"/>
        <w:spacing w:line="228" w:lineRule="auto"/>
        <w:ind w:left="145"/>
      </w:pPr>
      <w:r w:rsidRPr="00283806">
        <w:rPr>
          <w:w w:val="105"/>
        </w:rPr>
        <w:t>Additional commenters expressed concerns about wholesalers’ storage space for used disposable cylinders that</w:t>
      </w:r>
    </w:p>
    <w:p w14:paraId="13B80897" w14:textId="77777777" w:rsidR="00D67C1E" w:rsidRPr="00283806" w:rsidRDefault="001265CA">
      <w:pPr>
        <w:pStyle w:val="BodyText"/>
        <w:spacing w:before="134" w:line="225" w:lineRule="auto"/>
        <w:ind w:left="143" w:right="132"/>
      </w:pPr>
      <w:r w:rsidRPr="00283806">
        <w:br w:type="column"/>
      </w:r>
      <w:proofErr w:type="gramStart"/>
      <w:r w:rsidRPr="00283806">
        <w:rPr>
          <w:w w:val="105"/>
        </w:rPr>
        <w:t>they</w:t>
      </w:r>
      <w:proofErr w:type="gramEnd"/>
      <w:r w:rsidRPr="00283806">
        <w:rPr>
          <w:w w:val="105"/>
        </w:rPr>
        <w:t xml:space="preserve"> would accept to then be sent to a </w:t>
      </w:r>
      <w:r w:rsidRPr="00283806">
        <w:rPr>
          <w:spacing w:val="-2"/>
          <w:w w:val="105"/>
        </w:rPr>
        <w:t>reclaimer.</w:t>
      </w:r>
    </w:p>
    <w:p w14:paraId="162E3A16" w14:textId="77777777" w:rsidR="00D67C1E" w:rsidRPr="00283806" w:rsidRDefault="001265CA">
      <w:pPr>
        <w:spacing w:line="185" w:lineRule="exact"/>
        <w:ind w:left="323"/>
        <w:rPr>
          <w:sz w:val="18"/>
        </w:rPr>
      </w:pPr>
      <w:r w:rsidRPr="00283806">
        <w:rPr>
          <w:rFonts w:ascii="Book Antiqua"/>
          <w:i/>
          <w:w w:val="110"/>
          <w:sz w:val="18"/>
        </w:rPr>
        <w:t>Response:</w:t>
      </w:r>
      <w:r w:rsidRPr="00283806">
        <w:rPr>
          <w:rFonts w:ascii="Book Antiqua"/>
          <w:i/>
          <w:spacing w:val="2"/>
          <w:w w:val="110"/>
          <w:sz w:val="18"/>
        </w:rPr>
        <w:t xml:space="preserve"> </w:t>
      </w:r>
      <w:r w:rsidRPr="00283806">
        <w:rPr>
          <w:w w:val="110"/>
          <w:sz w:val="18"/>
        </w:rPr>
        <w:t>EPA</w:t>
      </w:r>
      <w:r w:rsidRPr="00283806">
        <w:rPr>
          <w:spacing w:val="8"/>
          <w:w w:val="110"/>
          <w:sz w:val="18"/>
        </w:rPr>
        <w:t xml:space="preserve"> </w:t>
      </w:r>
      <w:r w:rsidRPr="00283806">
        <w:rPr>
          <w:w w:val="110"/>
          <w:sz w:val="18"/>
        </w:rPr>
        <w:t>acknowledges</w:t>
      </w:r>
      <w:r w:rsidRPr="00283806">
        <w:rPr>
          <w:spacing w:val="8"/>
          <w:w w:val="110"/>
          <w:sz w:val="18"/>
        </w:rPr>
        <w:t xml:space="preserve"> </w:t>
      </w:r>
      <w:r w:rsidRPr="00283806">
        <w:rPr>
          <w:spacing w:val="-2"/>
          <w:w w:val="110"/>
          <w:sz w:val="18"/>
        </w:rPr>
        <w:t>these</w:t>
      </w:r>
    </w:p>
    <w:p w14:paraId="06771E6F" w14:textId="77777777" w:rsidR="00D67C1E" w:rsidRPr="00283806" w:rsidRDefault="001265CA">
      <w:pPr>
        <w:pStyle w:val="BodyText"/>
        <w:spacing w:line="225" w:lineRule="auto"/>
        <w:ind w:left="143" w:right="132"/>
      </w:pPr>
      <w:r w:rsidRPr="00283806">
        <w:rPr>
          <w:w w:val="105"/>
        </w:rPr>
        <w:t>comments on the logistics of this provision and responds that the Agency</w:t>
      </w:r>
      <w:r w:rsidRPr="00283806">
        <w:rPr>
          <w:spacing w:val="40"/>
          <w:w w:val="105"/>
        </w:rPr>
        <w:t xml:space="preserve"> </w:t>
      </w:r>
      <w:r w:rsidRPr="00283806">
        <w:rPr>
          <w:w w:val="105"/>
        </w:rPr>
        <w:t>is finalizing modifications that would allow for additional flexibilities for proper handling of used disposable cylinders. The final rule allows for additional avenues for the transport of used disposable cylinders and the removal of the heel; for example, as described in this section, sending used disposable cylinders to a final processor or through the reverse supply chain</w:t>
      </w:r>
      <w:r w:rsidRPr="00283806">
        <w:rPr>
          <w:spacing w:val="80"/>
          <w:w w:val="105"/>
        </w:rPr>
        <w:t xml:space="preserve"> </w:t>
      </w:r>
      <w:r w:rsidRPr="00283806">
        <w:rPr>
          <w:w w:val="105"/>
        </w:rPr>
        <w:t>(</w:t>
      </w:r>
      <w:r w:rsidRPr="00283806">
        <w:rPr>
          <w:rFonts w:ascii="Book Antiqua"/>
          <w:i/>
          <w:w w:val="105"/>
        </w:rPr>
        <w:t xml:space="preserve">e.g., </w:t>
      </w:r>
      <w:r w:rsidRPr="00283806">
        <w:rPr>
          <w:w w:val="105"/>
        </w:rPr>
        <w:t>distributors or wholesalers) for the removal of the heel to be sent to a reclaimer or fire suppressant recycler. EPA</w:t>
      </w:r>
      <w:r w:rsidRPr="00283806">
        <w:rPr>
          <w:spacing w:val="40"/>
          <w:w w:val="105"/>
        </w:rPr>
        <w:t xml:space="preserve"> </w:t>
      </w:r>
      <w:r w:rsidRPr="00283806">
        <w:rPr>
          <w:w w:val="105"/>
        </w:rPr>
        <w:t>acknowledges</w:t>
      </w:r>
      <w:r w:rsidRPr="00283806">
        <w:rPr>
          <w:spacing w:val="40"/>
          <w:w w:val="105"/>
        </w:rPr>
        <w:t xml:space="preserve"> </w:t>
      </w:r>
      <w:r w:rsidRPr="00283806">
        <w:rPr>
          <w:w w:val="105"/>
        </w:rPr>
        <w:t>the</w:t>
      </w:r>
      <w:r w:rsidRPr="00283806">
        <w:rPr>
          <w:spacing w:val="40"/>
          <w:w w:val="105"/>
        </w:rPr>
        <w:t xml:space="preserve"> </w:t>
      </w:r>
      <w:r w:rsidRPr="00283806">
        <w:rPr>
          <w:w w:val="105"/>
        </w:rPr>
        <w:t>importance</w:t>
      </w:r>
      <w:r w:rsidRPr="00283806">
        <w:rPr>
          <w:spacing w:val="40"/>
          <w:w w:val="105"/>
        </w:rPr>
        <w:t xml:space="preserve"> </w:t>
      </w:r>
      <w:r w:rsidRPr="00283806">
        <w:rPr>
          <w:w w:val="105"/>
        </w:rPr>
        <w:t>of the reverse supply chain and waste distribution chains and the capability of distributors and wholesalers to remove heels or otherwise facilitate the</w:t>
      </w:r>
      <w:r w:rsidRPr="00283806">
        <w:rPr>
          <w:spacing w:val="40"/>
          <w:w w:val="105"/>
        </w:rPr>
        <w:t xml:space="preserve"> </w:t>
      </w:r>
      <w:r w:rsidRPr="00283806">
        <w:rPr>
          <w:w w:val="105"/>
        </w:rPr>
        <w:t>transport of the disposable cylinders to</w:t>
      </w:r>
      <w:r w:rsidRPr="00283806">
        <w:rPr>
          <w:spacing w:val="80"/>
          <w:w w:val="150"/>
        </w:rPr>
        <w:t xml:space="preserve"> </w:t>
      </w:r>
      <w:r w:rsidRPr="00283806">
        <w:rPr>
          <w:w w:val="105"/>
        </w:rPr>
        <w:t>a reclaimer, fire suppressant recycler, or final processor for proper heel recovery and cylinder disposal. These additional avenues provide flexibility and</w:t>
      </w:r>
      <w:r w:rsidRPr="00283806">
        <w:rPr>
          <w:spacing w:val="80"/>
          <w:w w:val="105"/>
        </w:rPr>
        <w:t xml:space="preserve"> </w:t>
      </w:r>
      <w:r w:rsidRPr="00283806">
        <w:rPr>
          <w:w w:val="105"/>
        </w:rPr>
        <w:t>improved logistics for returning disposable cylinders. The Economic Impact and Benefits TSD accompanying this rulemaking provides additional</w:t>
      </w:r>
      <w:r w:rsidRPr="00283806">
        <w:rPr>
          <w:spacing w:val="40"/>
          <w:w w:val="105"/>
        </w:rPr>
        <w:t xml:space="preserve"> </w:t>
      </w:r>
      <w:r w:rsidRPr="00283806">
        <w:rPr>
          <w:w w:val="105"/>
        </w:rPr>
        <w:t>detail on costs and considerations of logistics described in these comments. While comments noted that a person</w:t>
      </w:r>
      <w:r w:rsidRPr="00283806">
        <w:rPr>
          <w:spacing w:val="40"/>
          <w:w w:val="105"/>
        </w:rPr>
        <w:t xml:space="preserve"> </w:t>
      </w:r>
      <w:r w:rsidRPr="00283806">
        <w:rPr>
          <w:w w:val="105"/>
        </w:rPr>
        <w:t>may have limited access to returning a disposable cylinder to a reclaimer or fire suppressant recycler as proposed, it is likely</w:t>
      </w:r>
      <w:r w:rsidRPr="00283806">
        <w:rPr>
          <w:spacing w:val="26"/>
          <w:w w:val="105"/>
        </w:rPr>
        <w:t xml:space="preserve"> </w:t>
      </w:r>
      <w:r w:rsidRPr="00283806">
        <w:rPr>
          <w:w w:val="105"/>
        </w:rPr>
        <w:t>that</w:t>
      </w:r>
      <w:r w:rsidRPr="00283806">
        <w:rPr>
          <w:spacing w:val="26"/>
          <w:w w:val="105"/>
        </w:rPr>
        <w:t xml:space="preserve"> </w:t>
      </w:r>
      <w:r w:rsidRPr="00283806">
        <w:rPr>
          <w:w w:val="105"/>
        </w:rPr>
        <w:t>person</w:t>
      </w:r>
      <w:r w:rsidRPr="00283806">
        <w:rPr>
          <w:spacing w:val="26"/>
          <w:w w:val="105"/>
        </w:rPr>
        <w:t xml:space="preserve"> </w:t>
      </w:r>
      <w:r w:rsidRPr="00283806">
        <w:rPr>
          <w:w w:val="105"/>
        </w:rPr>
        <w:t>would</w:t>
      </w:r>
      <w:r w:rsidRPr="00283806">
        <w:rPr>
          <w:spacing w:val="26"/>
          <w:w w:val="105"/>
        </w:rPr>
        <w:t xml:space="preserve"> </w:t>
      </w:r>
      <w:r w:rsidRPr="00283806">
        <w:rPr>
          <w:w w:val="105"/>
        </w:rPr>
        <w:t>have</w:t>
      </w:r>
      <w:r w:rsidRPr="00283806">
        <w:rPr>
          <w:spacing w:val="26"/>
          <w:w w:val="105"/>
        </w:rPr>
        <w:t xml:space="preserve"> </w:t>
      </w:r>
      <w:r w:rsidRPr="00283806">
        <w:rPr>
          <w:w w:val="105"/>
        </w:rPr>
        <w:t>access</w:t>
      </w:r>
      <w:r w:rsidRPr="00283806">
        <w:rPr>
          <w:spacing w:val="26"/>
          <w:w w:val="105"/>
        </w:rPr>
        <w:t xml:space="preserve"> </w:t>
      </w:r>
      <w:r w:rsidRPr="00283806">
        <w:rPr>
          <w:w w:val="105"/>
        </w:rPr>
        <w:t>to a distributor, wholesaler, or final processor where they can transport the disposable cylinder. Further, this additional accessibility includes the consideration of proximity and other logistics, such as cutting down on the overall number of disposable cylinders that would be in transit. These considerations would reduce the overall transportation distance needed to bring these disposable cylinders to proper disposal and the number of trips, by allowing the consolidation of heels by other entities in the distribution chain. Thus, overall emissions associated with transportation of the disposable</w:t>
      </w:r>
      <w:r w:rsidRPr="00283806">
        <w:rPr>
          <w:spacing w:val="40"/>
          <w:w w:val="105"/>
        </w:rPr>
        <w:t xml:space="preserve"> </w:t>
      </w:r>
      <w:r w:rsidRPr="00283806">
        <w:rPr>
          <w:w w:val="105"/>
        </w:rPr>
        <w:t>cylinders would be reduced. Further,</w:t>
      </w:r>
      <w:r w:rsidRPr="00283806">
        <w:rPr>
          <w:spacing w:val="40"/>
          <w:w w:val="105"/>
        </w:rPr>
        <w:t xml:space="preserve"> </w:t>
      </w:r>
      <w:r w:rsidRPr="00283806">
        <w:rPr>
          <w:w w:val="105"/>
        </w:rPr>
        <w:t xml:space="preserve">EPA is aware that some reclaimers operate collection sites or offer services to pick up recovered refrigerant, which could be an additional avenue that provides a closer cylinder return option for returning disposable cylinders to </w:t>
      </w:r>
      <w:r w:rsidRPr="00283806">
        <w:rPr>
          <w:spacing w:val="-2"/>
          <w:w w:val="105"/>
        </w:rPr>
        <w:t>reclaimers.</w:t>
      </w:r>
    </w:p>
    <w:p w14:paraId="22D743E5" w14:textId="77777777" w:rsidR="00D67C1E" w:rsidRPr="00283806" w:rsidRDefault="001265CA">
      <w:pPr>
        <w:pStyle w:val="BodyText"/>
        <w:spacing w:line="148" w:lineRule="exact"/>
        <w:ind w:left="323"/>
      </w:pPr>
      <w:r w:rsidRPr="00283806">
        <w:rPr>
          <w:w w:val="110"/>
        </w:rPr>
        <w:t>Allowing</w:t>
      </w:r>
      <w:r w:rsidRPr="00283806">
        <w:rPr>
          <w:spacing w:val="-3"/>
          <w:w w:val="110"/>
        </w:rPr>
        <w:t xml:space="preserve"> </w:t>
      </w:r>
      <w:r w:rsidRPr="00283806">
        <w:rPr>
          <w:w w:val="110"/>
        </w:rPr>
        <w:t>the</w:t>
      </w:r>
      <w:r w:rsidRPr="00283806">
        <w:rPr>
          <w:spacing w:val="-2"/>
          <w:w w:val="110"/>
        </w:rPr>
        <w:t xml:space="preserve"> </w:t>
      </w:r>
      <w:r w:rsidRPr="00283806">
        <w:rPr>
          <w:w w:val="110"/>
        </w:rPr>
        <w:t>use</w:t>
      </w:r>
      <w:r w:rsidRPr="00283806">
        <w:rPr>
          <w:spacing w:val="-2"/>
          <w:w w:val="110"/>
        </w:rPr>
        <w:t xml:space="preserve"> </w:t>
      </w:r>
      <w:r w:rsidRPr="00283806">
        <w:rPr>
          <w:w w:val="110"/>
        </w:rPr>
        <w:t>of</w:t>
      </w:r>
      <w:r w:rsidRPr="00283806">
        <w:rPr>
          <w:spacing w:val="-2"/>
          <w:w w:val="110"/>
        </w:rPr>
        <w:t xml:space="preserve"> </w:t>
      </w:r>
      <w:r w:rsidRPr="00283806">
        <w:rPr>
          <w:w w:val="110"/>
        </w:rPr>
        <w:t>the</w:t>
      </w:r>
      <w:r w:rsidRPr="00283806">
        <w:rPr>
          <w:spacing w:val="-2"/>
          <w:w w:val="110"/>
        </w:rPr>
        <w:t xml:space="preserve"> typical</w:t>
      </w:r>
    </w:p>
    <w:p w14:paraId="37546B2E" w14:textId="77777777" w:rsidR="00D67C1E" w:rsidRPr="00283806" w:rsidRDefault="001265CA">
      <w:pPr>
        <w:pStyle w:val="BodyText"/>
        <w:spacing w:before="5" w:line="223" w:lineRule="auto"/>
        <w:ind w:left="143"/>
      </w:pPr>
      <w:r w:rsidRPr="00283806">
        <w:rPr>
          <w:w w:val="105"/>
        </w:rPr>
        <w:t>avenues for processing disposable cylinders (</w:t>
      </w:r>
      <w:r w:rsidRPr="00283806">
        <w:rPr>
          <w:rFonts w:ascii="Book Antiqua"/>
          <w:i/>
          <w:w w:val="105"/>
        </w:rPr>
        <w:t xml:space="preserve">e.g., </w:t>
      </w:r>
      <w:r w:rsidRPr="00283806">
        <w:rPr>
          <w:w w:val="105"/>
        </w:rPr>
        <w:t>through distributors or wholesalers) and the inclusion of the alternate approach to allow final processors to recover heels and dispose</w:t>
      </w:r>
    </w:p>
    <w:p w14:paraId="3CA08606" w14:textId="77777777" w:rsidR="00D67C1E" w:rsidRPr="00283806" w:rsidRDefault="00D67C1E">
      <w:pPr>
        <w:spacing w:line="223" w:lineRule="auto"/>
        <w:sectPr w:rsidR="00D67C1E" w:rsidRPr="00283806">
          <w:pgSz w:w="12240" w:h="15840"/>
          <w:pgMar w:top="1040" w:right="780" w:bottom="280" w:left="740" w:header="627" w:footer="0" w:gutter="0"/>
          <w:cols w:num="3" w:space="720" w:equalWidth="0">
            <w:col w:w="3515" w:space="40"/>
            <w:col w:w="3503" w:space="39"/>
            <w:col w:w="3623"/>
          </w:cols>
        </w:sectPr>
      </w:pPr>
    </w:p>
    <w:p w14:paraId="75426480" w14:textId="77777777" w:rsidR="00D67C1E" w:rsidRPr="00283806" w:rsidRDefault="001265CA">
      <w:pPr>
        <w:pStyle w:val="BodyText"/>
        <w:spacing w:before="136" w:line="225" w:lineRule="auto"/>
      </w:pPr>
      <w:proofErr w:type="gramStart"/>
      <w:r w:rsidRPr="00283806">
        <w:rPr>
          <w:w w:val="105"/>
        </w:rPr>
        <w:lastRenderedPageBreak/>
        <w:t>cylinders</w:t>
      </w:r>
      <w:proofErr w:type="gramEnd"/>
      <w:r w:rsidRPr="00283806">
        <w:rPr>
          <w:w w:val="105"/>
        </w:rPr>
        <w:t xml:space="preserve"> would also alleviate concerns related to labor and coordination with reclaimers to accept cylinders. These flexibilities would make use of existing avenues to transport and process disposable cylinders and remove heels</w:t>
      </w:r>
      <w:r w:rsidRPr="00283806">
        <w:rPr>
          <w:spacing w:val="80"/>
          <w:w w:val="105"/>
        </w:rPr>
        <w:t xml:space="preserve"> </w:t>
      </w:r>
      <w:r w:rsidRPr="00283806">
        <w:rPr>
          <w:w w:val="105"/>
        </w:rPr>
        <w:t>as they are sent along to reclaimers or fire suppressant recyclers for further reprocessing. EPA recognizes that</w:t>
      </w:r>
      <w:r w:rsidRPr="00283806">
        <w:rPr>
          <w:spacing w:val="80"/>
          <w:w w:val="105"/>
        </w:rPr>
        <w:t xml:space="preserve"> </w:t>
      </w:r>
      <w:r w:rsidRPr="00283806">
        <w:rPr>
          <w:w w:val="105"/>
        </w:rPr>
        <w:t>factors such as available labor will be a consideration for covered entities as</w:t>
      </w:r>
      <w:r w:rsidRPr="00283806">
        <w:rPr>
          <w:spacing w:val="80"/>
          <w:w w:val="105"/>
        </w:rPr>
        <w:t xml:space="preserve"> </w:t>
      </w:r>
      <w:r w:rsidRPr="00283806">
        <w:rPr>
          <w:w w:val="105"/>
        </w:rPr>
        <w:t>they decide among the expanded available</w:t>
      </w:r>
      <w:r w:rsidRPr="00283806">
        <w:rPr>
          <w:spacing w:val="40"/>
          <w:w w:val="105"/>
        </w:rPr>
        <w:t xml:space="preserve"> </w:t>
      </w:r>
      <w:r w:rsidRPr="00283806">
        <w:rPr>
          <w:w w:val="105"/>
        </w:rPr>
        <w:t>compliance</w:t>
      </w:r>
      <w:r w:rsidRPr="00283806">
        <w:rPr>
          <w:spacing w:val="40"/>
          <w:w w:val="105"/>
        </w:rPr>
        <w:t xml:space="preserve"> </w:t>
      </w:r>
      <w:r w:rsidRPr="00283806">
        <w:rPr>
          <w:w w:val="105"/>
        </w:rPr>
        <w:t>options</w:t>
      </w:r>
      <w:r w:rsidRPr="00283806">
        <w:rPr>
          <w:spacing w:val="40"/>
          <w:w w:val="105"/>
        </w:rPr>
        <w:t xml:space="preserve"> </w:t>
      </w:r>
      <w:r w:rsidRPr="00283806">
        <w:rPr>
          <w:w w:val="105"/>
        </w:rPr>
        <w:t>on removal of heels and proper discarding</w:t>
      </w:r>
      <w:r w:rsidRPr="00283806">
        <w:rPr>
          <w:spacing w:val="40"/>
          <w:w w:val="105"/>
        </w:rPr>
        <w:t xml:space="preserve"> </w:t>
      </w:r>
      <w:r w:rsidRPr="00283806">
        <w:rPr>
          <w:w w:val="105"/>
        </w:rPr>
        <w:t>of disposable cylinders. EPA is aware</w:t>
      </w:r>
      <w:r w:rsidRPr="00283806">
        <w:rPr>
          <w:spacing w:val="40"/>
          <w:w w:val="105"/>
        </w:rPr>
        <w:t xml:space="preserve"> </w:t>
      </w:r>
      <w:r w:rsidRPr="00283806">
        <w:rPr>
          <w:w w:val="105"/>
        </w:rPr>
        <w:t>that</w:t>
      </w:r>
      <w:r w:rsidRPr="00283806">
        <w:rPr>
          <w:spacing w:val="-1"/>
          <w:w w:val="105"/>
        </w:rPr>
        <w:t xml:space="preserve"> </w:t>
      </w:r>
      <w:r w:rsidRPr="00283806">
        <w:rPr>
          <w:w w:val="105"/>
        </w:rPr>
        <w:t>reclaimers</w:t>
      </w:r>
      <w:r w:rsidRPr="00283806">
        <w:rPr>
          <w:spacing w:val="-1"/>
          <w:w w:val="105"/>
        </w:rPr>
        <w:t xml:space="preserve"> </w:t>
      </w:r>
      <w:r w:rsidRPr="00283806">
        <w:rPr>
          <w:w w:val="105"/>
        </w:rPr>
        <w:t>often</w:t>
      </w:r>
      <w:r w:rsidRPr="00283806">
        <w:rPr>
          <w:spacing w:val="-1"/>
          <w:w w:val="105"/>
        </w:rPr>
        <w:t xml:space="preserve"> </w:t>
      </w:r>
      <w:r w:rsidRPr="00283806">
        <w:rPr>
          <w:w w:val="105"/>
        </w:rPr>
        <w:t>buy</w:t>
      </w:r>
      <w:r w:rsidRPr="00283806">
        <w:rPr>
          <w:spacing w:val="-1"/>
          <w:w w:val="105"/>
        </w:rPr>
        <w:t xml:space="preserve"> </w:t>
      </w:r>
      <w:r w:rsidRPr="00283806">
        <w:rPr>
          <w:w w:val="105"/>
        </w:rPr>
        <w:t>back</w:t>
      </w:r>
      <w:r w:rsidRPr="00283806">
        <w:rPr>
          <w:spacing w:val="-1"/>
          <w:w w:val="105"/>
        </w:rPr>
        <w:t xml:space="preserve"> </w:t>
      </w:r>
      <w:r w:rsidRPr="00283806">
        <w:rPr>
          <w:w w:val="105"/>
        </w:rPr>
        <w:t>recovered refrigerant, and the Agency expects that this practice would also be relevant to returned disposable cylinders with remaining heels or with heels that have been recovered and consolidated from disposable</w:t>
      </w:r>
      <w:r w:rsidRPr="00283806">
        <w:rPr>
          <w:spacing w:val="40"/>
          <w:w w:val="105"/>
        </w:rPr>
        <w:t xml:space="preserve"> </w:t>
      </w:r>
      <w:r w:rsidRPr="00283806">
        <w:rPr>
          <w:w w:val="105"/>
        </w:rPr>
        <w:t>cylinders.</w:t>
      </w:r>
      <w:r w:rsidRPr="00283806">
        <w:rPr>
          <w:spacing w:val="40"/>
          <w:w w:val="105"/>
        </w:rPr>
        <w:t xml:space="preserve"> </w:t>
      </w:r>
      <w:r w:rsidRPr="00283806">
        <w:rPr>
          <w:w w:val="105"/>
        </w:rPr>
        <w:t>Others</w:t>
      </w:r>
      <w:r w:rsidRPr="00283806">
        <w:rPr>
          <w:spacing w:val="40"/>
          <w:w w:val="105"/>
        </w:rPr>
        <w:t xml:space="preserve"> </w:t>
      </w:r>
      <w:r w:rsidRPr="00283806">
        <w:rPr>
          <w:w w:val="105"/>
        </w:rPr>
        <w:t>may</w:t>
      </w:r>
      <w:r w:rsidRPr="00283806">
        <w:rPr>
          <w:spacing w:val="40"/>
          <w:w w:val="105"/>
        </w:rPr>
        <w:t xml:space="preserve"> </w:t>
      </w:r>
      <w:r w:rsidRPr="00283806">
        <w:rPr>
          <w:w w:val="105"/>
        </w:rPr>
        <w:t>choose</w:t>
      </w:r>
      <w:r w:rsidRPr="00283806">
        <w:rPr>
          <w:spacing w:val="40"/>
          <w:w w:val="105"/>
        </w:rPr>
        <w:t xml:space="preserve"> </w:t>
      </w:r>
      <w:r w:rsidRPr="00283806">
        <w:rPr>
          <w:w w:val="105"/>
        </w:rPr>
        <w:t>to</w:t>
      </w:r>
      <w:r w:rsidRPr="00283806">
        <w:rPr>
          <w:spacing w:val="40"/>
          <w:w w:val="105"/>
        </w:rPr>
        <w:t xml:space="preserve"> </w:t>
      </w:r>
      <w:r w:rsidRPr="00283806">
        <w:rPr>
          <w:w w:val="105"/>
        </w:rPr>
        <w:t>send</w:t>
      </w:r>
      <w:r w:rsidRPr="00283806">
        <w:rPr>
          <w:spacing w:val="40"/>
          <w:w w:val="105"/>
        </w:rPr>
        <w:t xml:space="preserve"> </w:t>
      </w:r>
      <w:r w:rsidRPr="00283806">
        <w:rPr>
          <w:w w:val="105"/>
        </w:rPr>
        <w:t>cylinders</w:t>
      </w:r>
      <w:r w:rsidRPr="00283806">
        <w:rPr>
          <w:spacing w:val="40"/>
          <w:w w:val="105"/>
        </w:rPr>
        <w:t xml:space="preserve"> </w:t>
      </w:r>
      <w:r w:rsidRPr="00283806">
        <w:rPr>
          <w:w w:val="105"/>
        </w:rPr>
        <w:t>to</w:t>
      </w:r>
      <w:r w:rsidRPr="00283806">
        <w:rPr>
          <w:spacing w:val="40"/>
          <w:w w:val="105"/>
        </w:rPr>
        <w:t xml:space="preserve"> </w:t>
      </w:r>
      <w:r w:rsidRPr="00283806">
        <w:rPr>
          <w:w w:val="105"/>
        </w:rPr>
        <w:t>final disposal</w:t>
      </w:r>
      <w:r w:rsidRPr="00283806">
        <w:rPr>
          <w:spacing w:val="40"/>
          <w:w w:val="105"/>
        </w:rPr>
        <w:t xml:space="preserve"> </w:t>
      </w:r>
      <w:r w:rsidRPr="00283806">
        <w:rPr>
          <w:w w:val="105"/>
        </w:rPr>
        <w:t>entities.</w:t>
      </w:r>
      <w:r w:rsidRPr="00283806">
        <w:rPr>
          <w:spacing w:val="40"/>
          <w:w w:val="105"/>
        </w:rPr>
        <w:t xml:space="preserve"> </w:t>
      </w:r>
      <w:r w:rsidRPr="00283806">
        <w:rPr>
          <w:w w:val="105"/>
        </w:rPr>
        <w:t>Reclaimers</w:t>
      </w:r>
      <w:r w:rsidRPr="00283806">
        <w:rPr>
          <w:spacing w:val="40"/>
          <w:w w:val="105"/>
        </w:rPr>
        <w:t xml:space="preserve"> </w:t>
      </w:r>
      <w:r w:rsidRPr="00283806">
        <w:rPr>
          <w:w w:val="105"/>
        </w:rPr>
        <w:t>may choose to expand the use of collection points or work with distributors. The final rule provides additional flexibility while still increasing the removal of</w:t>
      </w:r>
      <w:r w:rsidRPr="00283806">
        <w:rPr>
          <w:spacing w:val="80"/>
          <w:w w:val="105"/>
        </w:rPr>
        <w:t xml:space="preserve"> </w:t>
      </w:r>
      <w:r w:rsidRPr="00283806">
        <w:rPr>
          <w:w w:val="105"/>
        </w:rPr>
        <w:t>heels from disposable cylinders for further reclamation.</w:t>
      </w:r>
    </w:p>
    <w:p w14:paraId="0F1677EA" w14:textId="77777777" w:rsidR="00D67C1E" w:rsidRPr="00283806" w:rsidRDefault="001265CA">
      <w:pPr>
        <w:pStyle w:val="BodyText"/>
        <w:spacing w:line="169" w:lineRule="exact"/>
        <w:ind w:left="340"/>
      </w:pPr>
      <w:r w:rsidRPr="00283806">
        <w:rPr>
          <w:w w:val="105"/>
        </w:rPr>
        <w:t>Related to storage</w:t>
      </w:r>
      <w:r w:rsidRPr="00283806">
        <w:rPr>
          <w:spacing w:val="1"/>
          <w:w w:val="105"/>
        </w:rPr>
        <w:t xml:space="preserve"> </w:t>
      </w:r>
      <w:r w:rsidRPr="00283806">
        <w:rPr>
          <w:w w:val="105"/>
        </w:rPr>
        <w:t xml:space="preserve">of </w:t>
      </w:r>
      <w:r w:rsidRPr="00283806">
        <w:rPr>
          <w:spacing w:val="-2"/>
          <w:w w:val="105"/>
        </w:rPr>
        <w:t>flammable</w:t>
      </w:r>
    </w:p>
    <w:p w14:paraId="6C0317C2" w14:textId="77777777" w:rsidR="00D67C1E" w:rsidRPr="00283806" w:rsidRDefault="001265CA">
      <w:pPr>
        <w:pStyle w:val="BodyText"/>
        <w:spacing w:before="5" w:line="223" w:lineRule="auto"/>
        <w:ind w:right="52"/>
      </w:pPr>
      <w:r w:rsidRPr="00283806">
        <w:rPr>
          <w:w w:val="105"/>
        </w:rPr>
        <w:t>refrigerants at wholesaler facilities, as discussed in section IV.H, EPA is</w:t>
      </w:r>
      <w:r w:rsidRPr="00283806">
        <w:rPr>
          <w:spacing w:val="40"/>
          <w:w w:val="105"/>
        </w:rPr>
        <w:t xml:space="preserve"> </w:t>
      </w:r>
      <w:r w:rsidRPr="00283806">
        <w:rPr>
          <w:w w:val="105"/>
        </w:rPr>
        <w:t>finalizing requirements that allow final processors or those in the reverse</w:t>
      </w:r>
      <w:r w:rsidRPr="00283806">
        <w:rPr>
          <w:spacing w:val="80"/>
          <w:w w:val="105"/>
        </w:rPr>
        <w:t xml:space="preserve"> </w:t>
      </w:r>
      <w:r w:rsidRPr="00283806">
        <w:rPr>
          <w:w w:val="105"/>
        </w:rPr>
        <w:t>supply chain (</w:t>
      </w:r>
      <w:r w:rsidRPr="00283806">
        <w:rPr>
          <w:rFonts w:ascii="Book Antiqua"/>
          <w:i/>
          <w:w w:val="105"/>
        </w:rPr>
        <w:t xml:space="preserve">e.g., </w:t>
      </w:r>
      <w:r w:rsidRPr="00283806">
        <w:rPr>
          <w:w w:val="105"/>
        </w:rPr>
        <w:t>distributors or wholesalers) to manage ignitable spent refrigerant removed from disposable cylinders under the finalized RCRA alternative standards, which include emergency preparedness and response requirements to address the risk of fire from the storage of flammable refrigerants. As part of compliance with the RCRA alternative standards, final processors or those in the reverse</w:t>
      </w:r>
      <w:r w:rsidRPr="00283806">
        <w:rPr>
          <w:spacing w:val="80"/>
          <w:w w:val="105"/>
        </w:rPr>
        <w:t xml:space="preserve"> </w:t>
      </w:r>
      <w:r w:rsidRPr="00283806">
        <w:rPr>
          <w:w w:val="105"/>
        </w:rPr>
        <w:t>supply chain (</w:t>
      </w:r>
      <w:r w:rsidRPr="00283806">
        <w:rPr>
          <w:rFonts w:ascii="Book Antiqua"/>
          <w:i/>
          <w:w w:val="105"/>
        </w:rPr>
        <w:t xml:space="preserve">e.g., </w:t>
      </w:r>
      <w:r w:rsidRPr="00283806">
        <w:rPr>
          <w:w w:val="105"/>
        </w:rPr>
        <w:t xml:space="preserve">distributors or wholesalers) that remove heels of ignitable spent refrigerants are required to send the materials to an EPA-certified reclaimer that </w:t>
      </w:r>
      <w:proofErr w:type="gramStart"/>
      <w:r w:rsidRPr="00283806">
        <w:rPr>
          <w:w w:val="105"/>
        </w:rPr>
        <w:t>is in compliance with</w:t>
      </w:r>
      <w:proofErr w:type="gramEnd"/>
      <w:r w:rsidRPr="00283806">
        <w:rPr>
          <w:w w:val="105"/>
        </w:rPr>
        <w:t xml:space="preserve"> the RCRA alternative standards. The criteria of the RCRA alternative standards are such that handling of these used</w:t>
      </w:r>
      <w:r w:rsidRPr="00283806">
        <w:rPr>
          <w:spacing w:val="40"/>
          <w:w w:val="105"/>
        </w:rPr>
        <w:t xml:space="preserve"> </w:t>
      </w:r>
      <w:r w:rsidRPr="00283806">
        <w:rPr>
          <w:w w:val="105"/>
        </w:rPr>
        <w:t xml:space="preserve">cylinders is </w:t>
      </w:r>
      <w:proofErr w:type="gramStart"/>
      <w:r w:rsidRPr="00283806">
        <w:rPr>
          <w:w w:val="105"/>
        </w:rPr>
        <w:t>done so</w:t>
      </w:r>
      <w:proofErr w:type="gramEnd"/>
      <w:r w:rsidRPr="00283806">
        <w:rPr>
          <w:w w:val="105"/>
        </w:rPr>
        <w:t xml:space="preserve"> properly and safely.</w:t>
      </w:r>
    </w:p>
    <w:p w14:paraId="4DB35FD1" w14:textId="77777777" w:rsidR="00D67C1E" w:rsidRPr="00283806" w:rsidRDefault="001265CA">
      <w:pPr>
        <w:pStyle w:val="BodyText"/>
        <w:spacing w:before="8" w:line="223" w:lineRule="auto"/>
        <w:ind w:firstLine="180"/>
      </w:pPr>
      <w:r w:rsidRPr="00283806">
        <w:rPr>
          <w:rFonts w:ascii="Book Antiqua"/>
          <w:i/>
          <w:w w:val="105"/>
        </w:rPr>
        <w:t xml:space="preserve">Comment: </w:t>
      </w:r>
      <w:r w:rsidRPr="00283806">
        <w:rPr>
          <w:w w:val="105"/>
        </w:rPr>
        <w:t>One commenter recommended the Agency withdraw the proposed requirements for disposable cylinders</w:t>
      </w:r>
      <w:r w:rsidRPr="00283806">
        <w:rPr>
          <w:spacing w:val="38"/>
          <w:w w:val="105"/>
        </w:rPr>
        <w:t xml:space="preserve"> </w:t>
      </w:r>
      <w:r w:rsidRPr="00283806">
        <w:rPr>
          <w:w w:val="105"/>
        </w:rPr>
        <w:t>and</w:t>
      </w:r>
      <w:r w:rsidRPr="00283806">
        <w:rPr>
          <w:spacing w:val="38"/>
          <w:w w:val="105"/>
        </w:rPr>
        <w:t xml:space="preserve"> </w:t>
      </w:r>
      <w:r w:rsidRPr="00283806">
        <w:rPr>
          <w:w w:val="105"/>
        </w:rPr>
        <w:t>consider</w:t>
      </w:r>
      <w:r w:rsidRPr="00283806">
        <w:rPr>
          <w:spacing w:val="38"/>
          <w:w w:val="105"/>
        </w:rPr>
        <w:t xml:space="preserve"> </w:t>
      </w:r>
      <w:r w:rsidRPr="00283806">
        <w:rPr>
          <w:w w:val="105"/>
        </w:rPr>
        <w:t>re-proposing</w:t>
      </w:r>
      <w:r w:rsidRPr="00283806">
        <w:rPr>
          <w:spacing w:val="38"/>
          <w:w w:val="105"/>
        </w:rPr>
        <w:t xml:space="preserve"> </w:t>
      </w:r>
      <w:r w:rsidRPr="00283806">
        <w:rPr>
          <w:w w:val="105"/>
        </w:rPr>
        <w:t>in a separate action.</w:t>
      </w:r>
    </w:p>
    <w:p w14:paraId="756FB5F4" w14:textId="77777777" w:rsidR="00D67C1E" w:rsidRPr="00283806" w:rsidRDefault="001265CA">
      <w:pPr>
        <w:pStyle w:val="BodyText"/>
        <w:spacing w:line="216" w:lineRule="auto"/>
        <w:ind w:right="38" w:firstLine="180"/>
      </w:pPr>
      <w:r w:rsidRPr="00283806">
        <w:rPr>
          <w:rFonts w:ascii="Book Antiqua"/>
          <w:i/>
          <w:w w:val="105"/>
        </w:rPr>
        <w:t xml:space="preserve">Response: </w:t>
      </w:r>
      <w:r w:rsidRPr="00283806">
        <w:rPr>
          <w:w w:val="105"/>
        </w:rPr>
        <w:t>EPA responds that the Agency is finalizing these requirements</w:t>
      </w:r>
    </w:p>
    <w:p w14:paraId="59A45A75" w14:textId="77777777" w:rsidR="00D67C1E" w:rsidRPr="00283806" w:rsidRDefault="001265CA">
      <w:pPr>
        <w:pStyle w:val="BodyText"/>
        <w:spacing w:line="228" w:lineRule="auto"/>
        <w:ind w:right="38"/>
      </w:pPr>
      <w:r w:rsidRPr="00283806">
        <w:rPr>
          <w:w w:val="105"/>
        </w:rPr>
        <w:t>with a later compliance date and increased flexibility for achieving the outcome. The Agency notes that recovering the heels from disposable cylinders is an important opportunity to help achieve the guiding goals of subsection (h) to minimize releases and</w:t>
      </w:r>
    </w:p>
    <w:p w14:paraId="112F2E6C" w14:textId="77777777" w:rsidR="00D67C1E" w:rsidRPr="00283806" w:rsidRDefault="001265CA">
      <w:pPr>
        <w:pStyle w:val="BodyText"/>
        <w:spacing w:before="136" w:line="225" w:lineRule="auto"/>
        <w:ind w:left="153" w:right="29"/>
      </w:pPr>
      <w:r w:rsidRPr="00283806">
        <w:br w:type="column"/>
      </w:r>
      <w:r w:rsidRPr="00283806">
        <w:rPr>
          <w:w w:val="105"/>
        </w:rPr>
        <w:t>maximize reclaim. The heels in disposable cylinders provide an important source of recovered refrigerant that will be necessary to help support</w:t>
      </w:r>
      <w:r w:rsidRPr="00283806">
        <w:rPr>
          <w:spacing w:val="40"/>
          <w:w w:val="105"/>
        </w:rPr>
        <w:t xml:space="preserve"> </w:t>
      </w:r>
      <w:r w:rsidRPr="00283806">
        <w:rPr>
          <w:w w:val="105"/>
        </w:rPr>
        <w:t>the</w:t>
      </w:r>
      <w:r w:rsidRPr="00283806">
        <w:rPr>
          <w:spacing w:val="40"/>
          <w:w w:val="105"/>
        </w:rPr>
        <w:t xml:space="preserve"> </w:t>
      </w:r>
      <w:r w:rsidRPr="00283806">
        <w:rPr>
          <w:w w:val="105"/>
        </w:rPr>
        <w:t>supply</w:t>
      </w:r>
      <w:r w:rsidRPr="00283806">
        <w:rPr>
          <w:spacing w:val="40"/>
          <w:w w:val="105"/>
        </w:rPr>
        <w:t xml:space="preserve"> </w:t>
      </w:r>
      <w:r w:rsidRPr="00283806">
        <w:rPr>
          <w:w w:val="105"/>
        </w:rPr>
        <w:t>of</w:t>
      </w:r>
      <w:r w:rsidRPr="00283806">
        <w:rPr>
          <w:spacing w:val="40"/>
          <w:w w:val="105"/>
        </w:rPr>
        <w:t xml:space="preserve"> </w:t>
      </w:r>
      <w:r w:rsidRPr="00283806">
        <w:rPr>
          <w:w w:val="105"/>
        </w:rPr>
        <w:t>reclaimed</w:t>
      </w:r>
      <w:r w:rsidRPr="00283806">
        <w:rPr>
          <w:spacing w:val="40"/>
          <w:w w:val="105"/>
        </w:rPr>
        <w:t xml:space="preserve"> </w:t>
      </w:r>
      <w:r w:rsidRPr="00283806">
        <w:rPr>
          <w:w w:val="105"/>
        </w:rPr>
        <w:t>HFCs as the phasedown progresses and the required</w:t>
      </w:r>
      <w:r w:rsidRPr="00283806">
        <w:rPr>
          <w:spacing w:val="40"/>
          <w:w w:val="105"/>
        </w:rPr>
        <w:t xml:space="preserve"> </w:t>
      </w:r>
      <w:r w:rsidRPr="00283806">
        <w:rPr>
          <w:w w:val="105"/>
        </w:rPr>
        <w:t>uses</w:t>
      </w:r>
      <w:r w:rsidRPr="00283806">
        <w:rPr>
          <w:spacing w:val="40"/>
          <w:w w:val="105"/>
        </w:rPr>
        <w:t xml:space="preserve"> </w:t>
      </w:r>
      <w:r w:rsidRPr="00283806">
        <w:rPr>
          <w:w w:val="105"/>
        </w:rPr>
        <w:t>of</w:t>
      </w:r>
      <w:r w:rsidRPr="00283806">
        <w:rPr>
          <w:spacing w:val="40"/>
          <w:w w:val="105"/>
        </w:rPr>
        <w:t xml:space="preserve"> </w:t>
      </w:r>
      <w:r w:rsidRPr="00283806">
        <w:rPr>
          <w:w w:val="105"/>
        </w:rPr>
        <w:t>reclaimed</w:t>
      </w:r>
      <w:r w:rsidRPr="00283806">
        <w:rPr>
          <w:spacing w:val="40"/>
          <w:w w:val="105"/>
        </w:rPr>
        <w:t xml:space="preserve"> </w:t>
      </w:r>
      <w:r w:rsidRPr="00283806">
        <w:rPr>
          <w:w w:val="105"/>
        </w:rPr>
        <w:t>HFCs</w:t>
      </w:r>
      <w:r w:rsidRPr="00283806">
        <w:rPr>
          <w:spacing w:val="40"/>
          <w:w w:val="105"/>
        </w:rPr>
        <w:t xml:space="preserve"> </w:t>
      </w:r>
      <w:r w:rsidRPr="00283806">
        <w:rPr>
          <w:w w:val="105"/>
        </w:rPr>
        <w:t>per this rulemaking become effective.</w:t>
      </w:r>
    </w:p>
    <w:p w14:paraId="5A1498A2" w14:textId="77777777" w:rsidR="00D67C1E" w:rsidRPr="00283806" w:rsidRDefault="001265CA">
      <w:pPr>
        <w:pStyle w:val="BodyText"/>
        <w:spacing w:line="213" w:lineRule="auto"/>
        <w:ind w:left="153" w:right="17" w:firstLine="180"/>
      </w:pPr>
      <w:r w:rsidRPr="00283806">
        <w:rPr>
          <w:rFonts w:ascii="Book Antiqua"/>
          <w:i/>
          <w:w w:val="105"/>
        </w:rPr>
        <w:t xml:space="preserve">Comment: </w:t>
      </w:r>
      <w:r w:rsidRPr="00283806">
        <w:rPr>
          <w:w w:val="105"/>
        </w:rPr>
        <w:t>EPA received multiple comments about the proposed</w:t>
      </w:r>
    </w:p>
    <w:p w14:paraId="63306FEB" w14:textId="77777777" w:rsidR="00D67C1E" w:rsidRPr="00283806" w:rsidRDefault="001265CA">
      <w:pPr>
        <w:pStyle w:val="BodyText"/>
        <w:spacing w:line="225" w:lineRule="auto"/>
        <w:ind w:left="153" w:right="117"/>
      </w:pPr>
      <w:r w:rsidRPr="00283806">
        <w:rPr>
          <w:w w:val="105"/>
        </w:rPr>
        <w:t>compliance dates for these requirements. Some commenters stated that the proposed compliance date of January 1, 2025, would be difficult to meet. One commenter stated that the compliance date should be no earlier than January 1, 2028, due to supply chain constraints and new processes</w:t>
      </w:r>
      <w:r w:rsidRPr="00283806">
        <w:rPr>
          <w:spacing w:val="40"/>
          <w:w w:val="105"/>
        </w:rPr>
        <w:t xml:space="preserve"> </w:t>
      </w:r>
      <w:r w:rsidRPr="00283806">
        <w:rPr>
          <w:w w:val="105"/>
        </w:rPr>
        <w:t>and equipment needed in the supply chain. Another commenter stated that contracts that are already in place</w:t>
      </w:r>
      <w:r w:rsidRPr="00283806">
        <w:rPr>
          <w:spacing w:val="40"/>
          <w:w w:val="105"/>
        </w:rPr>
        <w:t xml:space="preserve"> </w:t>
      </w:r>
      <w:r w:rsidRPr="00283806">
        <w:rPr>
          <w:w w:val="105"/>
        </w:rPr>
        <w:t xml:space="preserve">would need to be revised or established per this </w:t>
      </w:r>
      <w:proofErr w:type="gramStart"/>
      <w:r w:rsidRPr="00283806">
        <w:rPr>
          <w:w w:val="105"/>
        </w:rPr>
        <w:t>provision, but</w:t>
      </w:r>
      <w:proofErr w:type="gramEnd"/>
      <w:r w:rsidRPr="00283806">
        <w:rPr>
          <w:w w:val="105"/>
        </w:rPr>
        <w:t xml:space="preserve"> could not be</w:t>
      </w:r>
      <w:r w:rsidRPr="00283806">
        <w:rPr>
          <w:spacing w:val="80"/>
          <w:w w:val="105"/>
        </w:rPr>
        <w:t xml:space="preserve"> </w:t>
      </w:r>
      <w:r w:rsidRPr="00283806">
        <w:rPr>
          <w:w w:val="105"/>
        </w:rPr>
        <w:t>done so until the regulation is final.</w:t>
      </w:r>
    </w:p>
    <w:p w14:paraId="544267E1" w14:textId="77777777" w:rsidR="00D67C1E" w:rsidRPr="00283806" w:rsidRDefault="001265CA">
      <w:pPr>
        <w:pStyle w:val="BodyText"/>
        <w:spacing w:line="223" w:lineRule="auto"/>
        <w:ind w:left="153" w:right="56"/>
      </w:pPr>
      <w:r w:rsidRPr="00283806">
        <w:rPr>
          <w:w w:val="105"/>
        </w:rPr>
        <w:t>Setting up these contracts would take longer than the anticipated time</w:t>
      </w:r>
      <w:r w:rsidRPr="00283806">
        <w:rPr>
          <w:spacing w:val="80"/>
          <w:w w:val="105"/>
        </w:rPr>
        <w:t xml:space="preserve"> </w:t>
      </w:r>
      <w:r w:rsidRPr="00283806">
        <w:rPr>
          <w:w w:val="105"/>
        </w:rPr>
        <w:t>between the regulation being finalized and the proposed compliance date of January 1, 2025. The commenter suggested that the compliance date be</w:t>
      </w:r>
      <w:r w:rsidRPr="00283806">
        <w:rPr>
          <w:spacing w:val="80"/>
          <w:w w:val="105"/>
        </w:rPr>
        <w:t xml:space="preserve"> </w:t>
      </w:r>
      <w:r w:rsidRPr="00283806">
        <w:rPr>
          <w:w w:val="105"/>
        </w:rPr>
        <w:t>18 months from the final regulation</w:t>
      </w:r>
      <w:r w:rsidRPr="00283806">
        <w:rPr>
          <w:spacing w:val="40"/>
          <w:w w:val="105"/>
        </w:rPr>
        <w:t xml:space="preserve"> </w:t>
      </w:r>
      <w:r w:rsidRPr="00283806">
        <w:rPr>
          <w:w w:val="105"/>
        </w:rPr>
        <w:t xml:space="preserve">being published in the </w:t>
      </w:r>
      <w:r w:rsidRPr="00283806">
        <w:rPr>
          <w:rFonts w:ascii="Book Antiqua"/>
          <w:b/>
          <w:w w:val="105"/>
        </w:rPr>
        <w:t>Federal Register</w:t>
      </w:r>
      <w:r w:rsidRPr="00283806">
        <w:rPr>
          <w:w w:val="105"/>
        </w:rPr>
        <w:t>. Another commenter stated that these provisions should not be in effect until reclaimers are able to sufficiently secure the resources (</w:t>
      </w:r>
      <w:r w:rsidRPr="00283806">
        <w:rPr>
          <w:rFonts w:ascii="Book Antiqua"/>
          <w:i/>
          <w:w w:val="105"/>
        </w:rPr>
        <w:t xml:space="preserve">e.g., </w:t>
      </w:r>
      <w:r w:rsidRPr="00283806">
        <w:rPr>
          <w:w w:val="105"/>
        </w:rPr>
        <w:t>recovery equipment, storage/warehouse space) and logistics (</w:t>
      </w:r>
      <w:r w:rsidRPr="00283806">
        <w:rPr>
          <w:rFonts w:ascii="Book Antiqua"/>
          <w:i/>
          <w:w w:val="105"/>
        </w:rPr>
        <w:t xml:space="preserve">e.g., </w:t>
      </w:r>
      <w:r w:rsidRPr="00283806">
        <w:rPr>
          <w:w w:val="105"/>
        </w:rPr>
        <w:t>agreements with scrap metal recyclers to accept the empty disposable cylinders) needed for implementation. The commenter stated that this is not practical in terms of the proposed compliance date.</w:t>
      </w:r>
    </w:p>
    <w:p w14:paraId="129816F5" w14:textId="77777777" w:rsidR="00D67C1E" w:rsidRPr="00283806" w:rsidRDefault="001265CA">
      <w:pPr>
        <w:pStyle w:val="BodyText"/>
        <w:spacing w:line="213" w:lineRule="auto"/>
        <w:ind w:left="153" w:right="17" w:firstLine="180"/>
      </w:pPr>
      <w:r w:rsidRPr="00283806">
        <w:rPr>
          <w:rFonts w:ascii="Book Antiqua"/>
          <w:i/>
          <w:w w:val="110"/>
        </w:rPr>
        <w:t>Response:</w:t>
      </w:r>
      <w:r w:rsidRPr="00283806">
        <w:rPr>
          <w:rFonts w:ascii="Book Antiqua"/>
          <w:i/>
          <w:spacing w:val="-13"/>
          <w:w w:val="110"/>
        </w:rPr>
        <w:t xml:space="preserve"> </w:t>
      </w:r>
      <w:r w:rsidRPr="00283806">
        <w:rPr>
          <w:w w:val="110"/>
        </w:rPr>
        <w:t>EPA</w:t>
      </w:r>
      <w:r w:rsidRPr="00283806">
        <w:rPr>
          <w:spacing w:val="-11"/>
          <w:w w:val="110"/>
        </w:rPr>
        <w:t xml:space="preserve"> </w:t>
      </w:r>
      <w:r w:rsidRPr="00283806">
        <w:rPr>
          <w:w w:val="110"/>
        </w:rPr>
        <w:t>acknowledges</w:t>
      </w:r>
      <w:r w:rsidRPr="00283806">
        <w:rPr>
          <w:spacing w:val="-9"/>
          <w:w w:val="110"/>
        </w:rPr>
        <w:t xml:space="preserve"> </w:t>
      </w:r>
      <w:r w:rsidRPr="00283806">
        <w:rPr>
          <w:w w:val="110"/>
        </w:rPr>
        <w:t>these comments and considerations.</w:t>
      </w:r>
    </w:p>
    <w:p w14:paraId="6FB55DEA" w14:textId="77777777" w:rsidR="00D67C1E" w:rsidRPr="00283806" w:rsidRDefault="001265CA">
      <w:pPr>
        <w:pStyle w:val="BodyText"/>
        <w:spacing w:line="225" w:lineRule="auto"/>
        <w:ind w:left="153" w:right="73"/>
      </w:pPr>
      <w:r w:rsidRPr="00283806">
        <w:rPr>
          <w:w w:val="105"/>
        </w:rPr>
        <w:t>Consistent with commenters’</w:t>
      </w:r>
      <w:r w:rsidRPr="00283806">
        <w:rPr>
          <w:spacing w:val="40"/>
          <w:w w:val="105"/>
        </w:rPr>
        <w:t xml:space="preserve"> </w:t>
      </w:r>
      <w:r w:rsidRPr="00283806">
        <w:rPr>
          <w:w w:val="105"/>
        </w:rPr>
        <w:t>suggestions, the Agency is finalizing a later compliance date. The Agency is establishing a compliance date of</w:t>
      </w:r>
      <w:r w:rsidRPr="00283806">
        <w:rPr>
          <w:spacing w:val="80"/>
          <w:w w:val="105"/>
        </w:rPr>
        <w:t xml:space="preserve"> </w:t>
      </w:r>
      <w:r w:rsidRPr="00283806">
        <w:rPr>
          <w:w w:val="105"/>
        </w:rPr>
        <w:t>January</w:t>
      </w:r>
      <w:r w:rsidRPr="00283806">
        <w:rPr>
          <w:spacing w:val="40"/>
          <w:w w:val="105"/>
        </w:rPr>
        <w:t xml:space="preserve"> </w:t>
      </w:r>
      <w:r w:rsidRPr="00283806">
        <w:rPr>
          <w:w w:val="105"/>
        </w:rPr>
        <w:t>1,</w:t>
      </w:r>
      <w:r w:rsidRPr="00283806">
        <w:rPr>
          <w:spacing w:val="40"/>
          <w:w w:val="105"/>
        </w:rPr>
        <w:t xml:space="preserve"> </w:t>
      </w:r>
      <w:r w:rsidRPr="00283806">
        <w:rPr>
          <w:w w:val="105"/>
        </w:rPr>
        <w:t>2028,</w:t>
      </w:r>
      <w:r w:rsidRPr="00283806">
        <w:rPr>
          <w:spacing w:val="40"/>
          <w:w w:val="105"/>
        </w:rPr>
        <w:t xml:space="preserve"> </w:t>
      </w:r>
      <w:r w:rsidRPr="00283806">
        <w:rPr>
          <w:w w:val="105"/>
        </w:rPr>
        <w:t>with</w:t>
      </w:r>
      <w:r w:rsidRPr="00283806">
        <w:rPr>
          <w:spacing w:val="40"/>
          <w:w w:val="105"/>
        </w:rPr>
        <w:t xml:space="preserve"> </w:t>
      </w:r>
      <w:r w:rsidRPr="00283806">
        <w:rPr>
          <w:w w:val="105"/>
        </w:rPr>
        <w:t>these</w:t>
      </w:r>
      <w:r w:rsidRPr="00283806">
        <w:rPr>
          <w:spacing w:val="40"/>
          <w:w w:val="105"/>
        </w:rPr>
        <w:t xml:space="preserve"> </w:t>
      </w:r>
      <w:r w:rsidRPr="00283806">
        <w:rPr>
          <w:w w:val="105"/>
        </w:rPr>
        <w:t>logistical and implementation challenges in mind. The delayed compliance date should allow those affected in the transport of disposable cylinders and the reclaimers and fire suppressant recyclers that receive the cylinders to develop the infrastructure and business</w:t>
      </w:r>
      <w:r w:rsidRPr="00283806">
        <w:rPr>
          <w:spacing w:val="80"/>
          <w:w w:val="105"/>
        </w:rPr>
        <w:t xml:space="preserve"> </w:t>
      </w:r>
      <w:r w:rsidRPr="00283806">
        <w:rPr>
          <w:w w:val="105"/>
        </w:rPr>
        <w:t>relationships needed to comply with the more flexible approach in the final rule.</w:t>
      </w:r>
    </w:p>
    <w:p w14:paraId="1BE0BA98" w14:textId="77777777" w:rsidR="00D67C1E" w:rsidRPr="00283806" w:rsidRDefault="001265CA">
      <w:pPr>
        <w:spacing w:line="181" w:lineRule="exact"/>
        <w:ind w:left="333"/>
        <w:rPr>
          <w:sz w:val="18"/>
        </w:rPr>
      </w:pPr>
      <w:r w:rsidRPr="00283806">
        <w:rPr>
          <w:rFonts w:ascii="Book Antiqua"/>
          <w:i/>
          <w:w w:val="105"/>
          <w:sz w:val="18"/>
        </w:rPr>
        <w:t>Comment:</w:t>
      </w:r>
      <w:r w:rsidRPr="00283806">
        <w:rPr>
          <w:rFonts w:ascii="Book Antiqua"/>
          <w:i/>
          <w:spacing w:val="22"/>
          <w:w w:val="105"/>
          <w:sz w:val="18"/>
        </w:rPr>
        <w:t xml:space="preserve"> </w:t>
      </w:r>
      <w:r w:rsidRPr="00283806">
        <w:rPr>
          <w:w w:val="105"/>
          <w:sz w:val="18"/>
        </w:rPr>
        <w:t>One</w:t>
      </w:r>
      <w:r w:rsidRPr="00283806">
        <w:rPr>
          <w:spacing w:val="28"/>
          <w:w w:val="105"/>
          <w:sz w:val="18"/>
        </w:rPr>
        <w:t xml:space="preserve"> </w:t>
      </w:r>
      <w:r w:rsidRPr="00283806">
        <w:rPr>
          <w:w w:val="105"/>
          <w:sz w:val="18"/>
        </w:rPr>
        <w:t>commenter</w:t>
      </w:r>
      <w:r w:rsidRPr="00283806">
        <w:rPr>
          <w:spacing w:val="28"/>
          <w:w w:val="105"/>
          <w:sz w:val="18"/>
        </w:rPr>
        <w:t xml:space="preserve"> </w:t>
      </w:r>
      <w:r w:rsidRPr="00283806">
        <w:rPr>
          <w:spacing w:val="-2"/>
          <w:w w:val="105"/>
          <w:sz w:val="18"/>
        </w:rPr>
        <w:t>expressed</w:t>
      </w:r>
    </w:p>
    <w:p w14:paraId="176311F1" w14:textId="77777777" w:rsidR="00D67C1E" w:rsidRPr="00283806" w:rsidRDefault="001265CA">
      <w:pPr>
        <w:pStyle w:val="BodyText"/>
        <w:spacing w:line="228" w:lineRule="auto"/>
        <w:ind w:left="153" w:right="29"/>
      </w:pPr>
      <w:r w:rsidRPr="00283806">
        <w:rPr>
          <w:w w:val="105"/>
        </w:rPr>
        <w:t>support for the Agency’s proposal that</w:t>
      </w:r>
      <w:r w:rsidRPr="00283806">
        <w:rPr>
          <w:spacing w:val="40"/>
          <w:w w:val="105"/>
        </w:rPr>
        <w:t xml:space="preserve"> </w:t>
      </w:r>
      <w:r w:rsidRPr="00283806">
        <w:rPr>
          <w:w w:val="105"/>
        </w:rPr>
        <w:t xml:space="preserve">the remaining </w:t>
      </w:r>
      <w:proofErr w:type="gramStart"/>
      <w:r w:rsidRPr="00283806">
        <w:rPr>
          <w:w w:val="105"/>
        </w:rPr>
        <w:t>heel</w:t>
      </w:r>
      <w:proofErr w:type="gramEnd"/>
      <w:r w:rsidRPr="00283806">
        <w:rPr>
          <w:w w:val="105"/>
        </w:rPr>
        <w:t xml:space="preserve"> in disposable cylinders </w:t>
      </w:r>
      <w:proofErr w:type="gramStart"/>
      <w:r w:rsidRPr="00283806">
        <w:rPr>
          <w:w w:val="105"/>
        </w:rPr>
        <w:t>not be</w:t>
      </w:r>
      <w:proofErr w:type="gramEnd"/>
      <w:r w:rsidRPr="00283806">
        <w:rPr>
          <w:w w:val="105"/>
        </w:rPr>
        <w:t xml:space="preserve"> treated as virgin material, noting that residual material may deviate from specifications and that recovered residual material should not</w:t>
      </w:r>
      <w:r w:rsidRPr="00283806">
        <w:rPr>
          <w:spacing w:val="40"/>
          <w:w w:val="105"/>
        </w:rPr>
        <w:t xml:space="preserve"> </w:t>
      </w:r>
      <w:r w:rsidRPr="00283806">
        <w:rPr>
          <w:w w:val="105"/>
        </w:rPr>
        <w:t>be exempt from any current reclaimer reporting requirements. Another commenter stated that the remaining</w:t>
      </w:r>
    </w:p>
    <w:p w14:paraId="4EB41148" w14:textId="77777777" w:rsidR="00D67C1E" w:rsidRPr="00283806" w:rsidRDefault="001265CA">
      <w:pPr>
        <w:pStyle w:val="BodyText"/>
        <w:spacing w:before="135" w:line="225" w:lineRule="auto"/>
        <w:ind w:left="143" w:right="132"/>
      </w:pPr>
      <w:r w:rsidRPr="00283806">
        <w:br w:type="column"/>
      </w:r>
      <w:proofErr w:type="gramStart"/>
      <w:r w:rsidRPr="00283806">
        <w:rPr>
          <w:w w:val="105"/>
        </w:rPr>
        <w:t>heel</w:t>
      </w:r>
      <w:proofErr w:type="gramEnd"/>
      <w:r w:rsidRPr="00283806">
        <w:rPr>
          <w:w w:val="105"/>
        </w:rPr>
        <w:t xml:space="preserve"> seems as though it would still be </w:t>
      </w:r>
      <w:proofErr w:type="gramStart"/>
      <w:r w:rsidRPr="00283806">
        <w:rPr>
          <w:w w:val="105"/>
        </w:rPr>
        <w:t>virgin</w:t>
      </w:r>
      <w:proofErr w:type="gramEnd"/>
      <w:r w:rsidRPr="00283806">
        <w:rPr>
          <w:w w:val="105"/>
        </w:rPr>
        <w:t xml:space="preserve"> refrigerant. The commenter stated that a reclaimer could recover and verify the condition of the refrigerant. Further, the commenter stated that the recovered heels could be an additional stock of virgin material available to the market.</w:t>
      </w:r>
    </w:p>
    <w:p w14:paraId="6D07E2FA" w14:textId="77777777" w:rsidR="00D67C1E" w:rsidRPr="00283806" w:rsidRDefault="001265CA">
      <w:pPr>
        <w:pStyle w:val="BodyText"/>
        <w:spacing w:line="213" w:lineRule="auto"/>
        <w:ind w:left="143" w:right="132" w:firstLine="180"/>
      </w:pPr>
      <w:r w:rsidRPr="00283806">
        <w:rPr>
          <w:rFonts w:ascii="Book Antiqua"/>
          <w:i/>
          <w:w w:val="105"/>
        </w:rPr>
        <w:t xml:space="preserve">Response: </w:t>
      </w:r>
      <w:r w:rsidRPr="00283806">
        <w:rPr>
          <w:w w:val="105"/>
        </w:rPr>
        <w:t>EPA acknowledges these comments</w:t>
      </w:r>
      <w:r w:rsidRPr="00283806">
        <w:rPr>
          <w:spacing w:val="18"/>
          <w:w w:val="105"/>
        </w:rPr>
        <w:t xml:space="preserve"> </w:t>
      </w:r>
      <w:r w:rsidRPr="00283806">
        <w:rPr>
          <w:w w:val="105"/>
        </w:rPr>
        <w:t>and,</w:t>
      </w:r>
      <w:r w:rsidRPr="00283806">
        <w:rPr>
          <w:spacing w:val="19"/>
          <w:w w:val="105"/>
        </w:rPr>
        <w:t xml:space="preserve"> </w:t>
      </w:r>
      <w:r w:rsidRPr="00283806">
        <w:rPr>
          <w:w w:val="105"/>
        </w:rPr>
        <w:t>as</w:t>
      </w:r>
      <w:r w:rsidRPr="00283806">
        <w:rPr>
          <w:spacing w:val="19"/>
          <w:w w:val="105"/>
        </w:rPr>
        <w:t xml:space="preserve"> </w:t>
      </w:r>
      <w:r w:rsidRPr="00283806">
        <w:rPr>
          <w:w w:val="105"/>
        </w:rPr>
        <w:t>explained</w:t>
      </w:r>
      <w:r w:rsidRPr="00283806">
        <w:rPr>
          <w:spacing w:val="19"/>
          <w:w w:val="105"/>
        </w:rPr>
        <w:t xml:space="preserve"> </w:t>
      </w:r>
      <w:r w:rsidRPr="00283806">
        <w:rPr>
          <w:w w:val="105"/>
        </w:rPr>
        <w:t>in</w:t>
      </w:r>
      <w:r w:rsidRPr="00283806">
        <w:rPr>
          <w:spacing w:val="19"/>
          <w:w w:val="105"/>
        </w:rPr>
        <w:t xml:space="preserve"> </w:t>
      </w:r>
      <w:r w:rsidRPr="00283806">
        <w:rPr>
          <w:spacing w:val="-2"/>
          <w:w w:val="105"/>
        </w:rPr>
        <w:t>section</w:t>
      </w:r>
    </w:p>
    <w:p w14:paraId="629B7945" w14:textId="77777777" w:rsidR="00D67C1E" w:rsidRPr="00283806" w:rsidRDefault="001265CA">
      <w:pPr>
        <w:pStyle w:val="BodyText"/>
        <w:spacing w:line="225" w:lineRule="auto"/>
        <w:ind w:left="143" w:right="121"/>
      </w:pPr>
      <w:r w:rsidRPr="00283806">
        <w:rPr>
          <w:w w:val="110"/>
        </w:rPr>
        <w:t>IV.A.2, is revising the definition of ‘‘virgin</w:t>
      </w:r>
      <w:r w:rsidRPr="00283806">
        <w:rPr>
          <w:spacing w:val="-11"/>
          <w:w w:val="110"/>
        </w:rPr>
        <w:t xml:space="preserve"> </w:t>
      </w:r>
      <w:r w:rsidRPr="00283806">
        <w:rPr>
          <w:w w:val="110"/>
        </w:rPr>
        <w:t>regulated</w:t>
      </w:r>
      <w:r w:rsidRPr="00283806">
        <w:rPr>
          <w:spacing w:val="-11"/>
          <w:w w:val="110"/>
        </w:rPr>
        <w:t xml:space="preserve"> </w:t>
      </w:r>
      <w:r w:rsidRPr="00283806">
        <w:rPr>
          <w:w w:val="110"/>
        </w:rPr>
        <w:t>substance.’’</w:t>
      </w:r>
      <w:r w:rsidRPr="00283806">
        <w:rPr>
          <w:spacing w:val="-11"/>
          <w:w w:val="110"/>
        </w:rPr>
        <w:t xml:space="preserve"> </w:t>
      </w:r>
      <w:r w:rsidRPr="00283806">
        <w:rPr>
          <w:w w:val="110"/>
        </w:rPr>
        <w:t>EPA</w:t>
      </w:r>
      <w:r w:rsidRPr="00283806">
        <w:rPr>
          <w:spacing w:val="-11"/>
          <w:w w:val="110"/>
        </w:rPr>
        <w:t xml:space="preserve"> </w:t>
      </w:r>
      <w:r w:rsidRPr="00283806">
        <w:rPr>
          <w:w w:val="110"/>
        </w:rPr>
        <w:t>is</w:t>
      </w:r>
      <w:r w:rsidRPr="00283806">
        <w:rPr>
          <w:spacing w:val="-11"/>
          <w:w w:val="110"/>
        </w:rPr>
        <w:t xml:space="preserve"> </w:t>
      </w:r>
      <w:r w:rsidRPr="00283806">
        <w:rPr>
          <w:w w:val="110"/>
        </w:rPr>
        <w:t xml:space="preserve">not including an exclusion to the definition </w:t>
      </w:r>
      <w:r w:rsidRPr="00283806">
        <w:t>for recovered heels from containers. The</w:t>
      </w:r>
      <w:r w:rsidRPr="00283806">
        <w:rPr>
          <w:w w:val="110"/>
        </w:rPr>
        <w:t xml:space="preserve"> Agency is, however, </w:t>
      </w:r>
      <w:proofErr w:type="gramStart"/>
      <w:r w:rsidRPr="00283806">
        <w:rPr>
          <w:w w:val="110"/>
        </w:rPr>
        <w:t>finalizing to</w:t>
      </w:r>
      <w:proofErr w:type="gramEnd"/>
      <w:r w:rsidRPr="00283806">
        <w:rPr>
          <w:w w:val="110"/>
        </w:rPr>
        <w:t xml:space="preserve"> not </w:t>
      </w:r>
      <w:proofErr w:type="gramStart"/>
      <w:r w:rsidRPr="00283806">
        <w:rPr>
          <w:w w:val="110"/>
        </w:rPr>
        <w:t>consider</w:t>
      </w:r>
      <w:proofErr w:type="gramEnd"/>
      <w:r w:rsidRPr="00283806">
        <w:rPr>
          <w:w w:val="110"/>
        </w:rPr>
        <w:t xml:space="preserve"> recovered heels towards the total virgin percentage in reclaimed HFCs, as described in section IV.E.2. As EPA understands, the removed heels from disposable cylinders may be recovered into recovery cylinders for consolidation. While best practices would dictate that the one type of HFC or HFC blend is recovered into a recovery cylinder, this may not always be</w:t>
      </w:r>
      <w:r w:rsidRPr="00283806">
        <w:rPr>
          <w:spacing w:val="-4"/>
          <w:w w:val="110"/>
        </w:rPr>
        <w:t xml:space="preserve"> </w:t>
      </w:r>
      <w:r w:rsidRPr="00283806">
        <w:rPr>
          <w:w w:val="110"/>
        </w:rPr>
        <w:t>the</w:t>
      </w:r>
      <w:r w:rsidRPr="00283806">
        <w:rPr>
          <w:spacing w:val="-4"/>
          <w:w w:val="110"/>
        </w:rPr>
        <w:t xml:space="preserve"> </w:t>
      </w:r>
      <w:r w:rsidRPr="00283806">
        <w:rPr>
          <w:w w:val="110"/>
        </w:rPr>
        <w:t>case.</w:t>
      </w:r>
      <w:r w:rsidRPr="00283806">
        <w:rPr>
          <w:spacing w:val="-4"/>
          <w:w w:val="110"/>
        </w:rPr>
        <w:t xml:space="preserve"> </w:t>
      </w:r>
      <w:r w:rsidRPr="00283806">
        <w:rPr>
          <w:w w:val="110"/>
        </w:rPr>
        <w:t>Removed</w:t>
      </w:r>
      <w:r w:rsidRPr="00283806">
        <w:rPr>
          <w:spacing w:val="-4"/>
          <w:w w:val="110"/>
        </w:rPr>
        <w:t xml:space="preserve"> </w:t>
      </w:r>
      <w:r w:rsidRPr="00283806">
        <w:rPr>
          <w:w w:val="110"/>
        </w:rPr>
        <w:t>heels</w:t>
      </w:r>
      <w:r w:rsidRPr="00283806">
        <w:rPr>
          <w:spacing w:val="-4"/>
          <w:w w:val="110"/>
        </w:rPr>
        <w:t xml:space="preserve"> </w:t>
      </w:r>
      <w:r w:rsidRPr="00283806">
        <w:rPr>
          <w:w w:val="110"/>
        </w:rPr>
        <w:t>may</w:t>
      </w:r>
      <w:r w:rsidRPr="00283806">
        <w:rPr>
          <w:spacing w:val="-4"/>
          <w:w w:val="110"/>
        </w:rPr>
        <w:t xml:space="preserve"> </w:t>
      </w:r>
      <w:r w:rsidRPr="00283806">
        <w:rPr>
          <w:w w:val="110"/>
        </w:rPr>
        <w:t>end</w:t>
      </w:r>
      <w:r w:rsidRPr="00283806">
        <w:rPr>
          <w:spacing w:val="-4"/>
          <w:w w:val="110"/>
        </w:rPr>
        <w:t xml:space="preserve"> </w:t>
      </w:r>
      <w:r w:rsidRPr="00283806">
        <w:rPr>
          <w:w w:val="110"/>
        </w:rPr>
        <w:t>up in</w:t>
      </w:r>
      <w:r w:rsidRPr="00283806">
        <w:rPr>
          <w:spacing w:val="-11"/>
          <w:w w:val="110"/>
        </w:rPr>
        <w:t xml:space="preserve"> </w:t>
      </w:r>
      <w:r w:rsidRPr="00283806">
        <w:rPr>
          <w:w w:val="110"/>
        </w:rPr>
        <w:t>a</w:t>
      </w:r>
      <w:r w:rsidRPr="00283806">
        <w:rPr>
          <w:spacing w:val="-11"/>
          <w:w w:val="110"/>
        </w:rPr>
        <w:t xml:space="preserve"> </w:t>
      </w:r>
      <w:r w:rsidRPr="00283806">
        <w:rPr>
          <w:w w:val="110"/>
        </w:rPr>
        <w:t>recovery</w:t>
      </w:r>
      <w:r w:rsidRPr="00283806">
        <w:rPr>
          <w:spacing w:val="-11"/>
          <w:w w:val="110"/>
        </w:rPr>
        <w:t xml:space="preserve"> </w:t>
      </w:r>
      <w:r w:rsidRPr="00283806">
        <w:rPr>
          <w:w w:val="110"/>
        </w:rPr>
        <w:t>cylinder</w:t>
      </w:r>
      <w:r w:rsidRPr="00283806">
        <w:rPr>
          <w:spacing w:val="-11"/>
          <w:w w:val="110"/>
        </w:rPr>
        <w:t xml:space="preserve"> </w:t>
      </w:r>
      <w:r w:rsidRPr="00283806">
        <w:rPr>
          <w:w w:val="110"/>
        </w:rPr>
        <w:t>containing</w:t>
      </w:r>
      <w:r w:rsidRPr="00283806">
        <w:rPr>
          <w:spacing w:val="-11"/>
          <w:w w:val="110"/>
        </w:rPr>
        <w:t xml:space="preserve"> </w:t>
      </w:r>
      <w:r w:rsidRPr="00283806">
        <w:rPr>
          <w:w w:val="110"/>
        </w:rPr>
        <w:t>one</w:t>
      </w:r>
      <w:r w:rsidRPr="00283806">
        <w:rPr>
          <w:spacing w:val="-11"/>
          <w:w w:val="110"/>
        </w:rPr>
        <w:t xml:space="preserve"> </w:t>
      </w:r>
      <w:r w:rsidRPr="00283806">
        <w:rPr>
          <w:w w:val="110"/>
        </w:rPr>
        <w:t xml:space="preserve">or more other substances. In the case reclaimers are the ones to remove the heels from used disposable cylinders, they will typically reprocess the </w:t>
      </w:r>
      <w:r w:rsidRPr="00283806">
        <w:t>recovered heels to ensure the recovered</w:t>
      </w:r>
      <w:r w:rsidRPr="00283806">
        <w:rPr>
          <w:w w:val="110"/>
        </w:rPr>
        <w:t xml:space="preserve"> materials are brought to the required purity specifications for reclaimed </w:t>
      </w:r>
      <w:r w:rsidRPr="00283806">
        <w:rPr>
          <w:spacing w:val="-2"/>
          <w:w w:val="110"/>
        </w:rPr>
        <w:t>refrigerants.</w:t>
      </w:r>
    </w:p>
    <w:p w14:paraId="01882E00" w14:textId="77777777" w:rsidR="00D67C1E" w:rsidRPr="00283806" w:rsidRDefault="001265CA">
      <w:pPr>
        <w:pStyle w:val="BodyText"/>
        <w:spacing w:line="171" w:lineRule="exact"/>
        <w:ind w:left="323"/>
      </w:pPr>
      <w:r w:rsidRPr="00283806">
        <w:rPr>
          <w:w w:val="105"/>
        </w:rPr>
        <w:t>Further,</w:t>
      </w:r>
      <w:r w:rsidRPr="00283806">
        <w:rPr>
          <w:spacing w:val="13"/>
          <w:w w:val="105"/>
        </w:rPr>
        <w:t xml:space="preserve"> </w:t>
      </w:r>
      <w:r w:rsidRPr="00283806">
        <w:rPr>
          <w:w w:val="105"/>
        </w:rPr>
        <w:t>the</w:t>
      </w:r>
      <w:r w:rsidRPr="00283806">
        <w:rPr>
          <w:spacing w:val="14"/>
          <w:w w:val="105"/>
        </w:rPr>
        <w:t xml:space="preserve"> </w:t>
      </w:r>
      <w:r w:rsidRPr="00283806">
        <w:rPr>
          <w:w w:val="105"/>
        </w:rPr>
        <w:t>Agency</w:t>
      </w:r>
      <w:r w:rsidRPr="00283806">
        <w:rPr>
          <w:spacing w:val="14"/>
          <w:w w:val="105"/>
        </w:rPr>
        <w:t xml:space="preserve"> </w:t>
      </w:r>
      <w:r w:rsidRPr="00283806">
        <w:rPr>
          <w:w w:val="105"/>
        </w:rPr>
        <w:t>notes</w:t>
      </w:r>
      <w:r w:rsidRPr="00283806">
        <w:rPr>
          <w:spacing w:val="14"/>
          <w:w w:val="105"/>
        </w:rPr>
        <w:t xml:space="preserve"> </w:t>
      </w:r>
      <w:r w:rsidRPr="00283806">
        <w:rPr>
          <w:spacing w:val="-4"/>
          <w:w w:val="105"/>
        </w:rPr>
        <w:t>that</w:t>
      </w:r>
    </w:p>
    <w:p w14:paraId="605978FC" w14:textId="77777777" w:rsidR="00D67C1E" w:rsidRPr="00283806" w:rsidRDefault="001265CA">
      <w:pPr>
        <w:pStyle w:val="BodyText"/>
        <w:spacing w:line="225" w:lineRule="auto"/>
        <w:ind w:left="143" w:right="173"/>
      </w:pPr>
      <w:r w:rsidRPr="00283806">
        <w:rPr>
          <w:w w:val="105"/>
        </w:rPr>
        <w:t>material recovered and reclaimed from disposable cylinders must be reported under current reclaimer reporting requirements (</w:t>
      </w:r>
      <w:r w:rsidRPr="00283806">
        <w:rPr>
          <w:rFonts w:ascii="Book Antiqua"/>
          <w:i/>
          <w:w w:val="105"/>
        </w:rPr>
        <w:t xml:space="preserve">i.e., </w:t>
      </w:r>
      <w:r w:rsidRPr="00283806">
        <w:rPr>
          <w:w w:val="105"/>
        </w:rPr>
        <w:t>reporting per 40 CFR part 82, subpart F and 40 CFR part 84, subpart A). Heels directly removed by reclaimers, but not yet reclaimed, are considered as material received and should be reported as such under</w:t>
      </w:r>
      <w:r w:rsidRPr="00283806">
        <w:rPr>
          <w:spacing w:val="80"/>
          <w:w w:val="105"/>
        </w:rPr>
        <w:t xml:space="preserve"> </w:t>
      </w:r>
      <w:r w:rsidRPr="00283806">
        <w:rPr>
          <w:w w:val="105"/>
        </w:rPr>
        <w:t>current reporting for material received</w:t>
      </w:r>
      <w:r w:rsidRPr="00283806">
        <w:rPr>
          <w:spacing w:val="40"/>
          <w:w w:val="105"/>
        </w:rPr>
        <w:t xml:space="preserve"> </w:t>
      </w:r>
      <w:r w:rsidRPr="00283806">
        <w:rPr>
          <w:w w:val="105"/>
        </w:rPr>
        <w:t>by reclaimers. Likewise, for fire suppressant recyclers, any heels directly recovered, but not yet recycled, should</w:t>
      </w:r>
      <w:r w:rsidRPr="00283806">
        <w:rPr>
          <w:spacing w:val="40"/>
          <w:w w:val="105"/>
        </w:rPr>
        <w:t xml:space="preserve"> </w:t>
      </w:r>
      <w:r w:rsidRPr="00283806">
        <w:rPr>
          <w:w w:val="105"/>
        </w:rPr>
        <w:t>be reported as recovered material per</w:t>
      </w:r>
      <w:r w:rsidRPr="00283806">
        <w:rPr>
          <w:spacing w:val="40"/>
          <w:w w:val="105"/>
        </w:rPr>
        <w:t xml:space="preserve"> </w:t>
      </w:r>
      <w:r w:rsidRPr="00283806">
        <w:rPr>
          <w:w w:val="105"/>
        </w:rPr>
        <w:t>the reporting requirements established</w:t>
      </w:r>
      <w:r w:rsidRPr="00283806">
        <w:rPr>
          <w:spacing w:val="40"/>
          <w:w w:val="105"/>
        </w:rPr>
        <w:t xml:space="preserve"> </w:t>
      </w:r>
      <w:r w:rsidRPr="00283806">
        <w:rPr>
          <w:w w:val="105"/>
        </w:rPr>
        <w:t>in</w:t>
      </w:r>
      <w:r w:rsidRPr="00283806">
        <w:rPr>
          <w:spacing w:val="9"/>
          <w:w w:val="105"/>
        </w:rPr>
        <w:t xml:space="preserve"> </w:t>
      </w:r>
      <w:r w:rsidRPr="00283806">
        <w:rPr>
          <w:w w:val="105"/>
        </w:rPr>
        <w:t>this</w:t>
      </w:r>
      <w:r w:rsidRPr="00283806">
        <w:rPr>
          <w:spacing w:val="9"/>
          <w:w w:val="105"/>
        </w:rPr>
        <w:t xml:space="preserve"> </w:t>
      </w:r>
      <w:r w:rsidRPr="00283806">
        <w:rPr>
          <w:w w:val="105"/>
        </w:rPr>
        <w:t>rulemaking</w:t>
      </w:r>
      <w:r w:rsidRPr="00283806">
        <w:rPr>
          <w:spacing w:val="9"/>
          <w:w w:val="105"/>
        </w:rPr>
        <w:t xml:space="preserve"> </w:t>
      </w:r>
      <w:r w:rsidRPr="00283806">
        <w:rPr>
          <w:w w:val="105"/>
        </w:rPr>
        <w:t>(see</w:t>
      </w:r>
      <w:r w:rsidRPr="00283806">
        <w:rPr>
          <w:spacing w:val="10"/>
          <w:w w:val="105"/>
        </w:rPr>
        <w:t xml:space="preserve"> </w:t>
      </w:r>
      <w:r w:rsidRPr="00283806">
        <w:rPr>
          <w:w w:val="105"/>
        </w:rPr>
        <w:t>section</w:t>
      </w:r>
      <w:r w:rsidRPr="00283806">
        <w:rPr>
          <w:spacing w:val="9"/>
          <w:w w:val="105"/>
        </w:rPr>
        <w:t xml:space="preserve"> </w:t>
      </w:r>
      <w:r w:rsidRPr="00283806">
        <w:rPr>
          <w:spacing w:val="-2"/>
          <w:w w:val="105"/>
        </w:rPr>
        <w:t>IV.F.2.f).</w:t>
      </w:r>
    </w:p>
    <w:p w14:paraId="63834439" w14:textId="77777777" w:rsidR="00D67C1E" w:rsidRPr="00283806" w:rsidRDefault="001265CA">
      <w:pPr>
        <w:spacing w:line="171" w:lineRule="exact"/>
        <w:ind w:left="323"/>
        <w:rPr>
          <w:sz w:val="18"/>
        </w:rPr>
      </w:pPr>
      <w:r w:rsidRPr="00283806">
        <w:rPr>
          <w:rFonts w:ascii="Book Antiqua"/>
          <w:i/>
          <w:w w:val="105"/>
          <w:sz w:val="18"/>
        </w:rPr>
        <w:t>Comment:</w:t>
      </w:r>
      <w:r w:rsidRPr="00283806">
        <w:rPr>
          <w:rFonts w:ascii="Book Antiqua"/>
          <w:i/>
          <w:spacing w:val="15"/>
          <w:w w:val="105"/>
          <w:sz w:val="18"/>
        </w:rPr>
        <w:t xml:space="preserve"> </w:t>
      </w:r>
      <w:r w:rsidRPr="00283806">
        <w:rPr>
          <w:w w:val="105"/>
          <w:sz w:val="18"/>
        </w:rPr>
        <w:t>One</w:t>
      </w:r>
      <w:r w:rsidRPr="00283806">
        <w:rPr>
          <w:spacing w:val="20"/>
          <w:w w:val="105"/>
          <w:sz w:val="18"/>
        </w:rPr>
        <w:t xml:space="preserve"> </w:t>
      </w:r>
      <w:r w:rsidRPr="00283806">
        <w:rPr>
          <w:w w:val="105"/>
          <w:sz w:val="18"/>
        </w:rPr>
        <w:t>commenter</w:t>
      </w:r>
      <w:r w:rsidRPr="00283806">
        <w:rPr>
          <w:spacing w:val="20"/>
          <w:w w:val="105"/>
          <w:sz w:val="18"/>
        </w:rPr>
        <w:t xml:space="preserve"> </w:t>
      </w:r>
      <w:r w:rsidRPr="00283806">
        <w:rPr>
          <w:w w:val="105"/>
          <w:sz w:val="18"/>
        </w:rPr>
        <w:t>stated</w:t>
      </w:r>
      <w:r w:rsidRPr="00283806">
        <w:rPr>
          <w:spacing w:val="20"/>
          <w:w w:val="105"/>
          <w:sz w:val="18"/>
        </w:rPr>
        <w:t xml:space="preserve"> </w:t>
      </w:r>
      <w:r w:rsidRPr="00283806">
        <w:rPr>
          <w:spacing w:val="-4"/>
          <w:w w:val="105"/>
          <w:sz w:val="18"/>
        </w:rPr>
        <w:t>that</w:t>
      </w:r>
    </w:p>
    <w:p w14:paraId="3DDD1A7F" w14:textId="77777777" w:rsidR="00D67C1E" w:rsidRPr="00283806" w:rsidRDefault="001265CA">
      <w:pPr>
        <w:pStyle w:val="BodyText"/>
        <w:spacing w:line="228" w:lineRule="auto"/>
        <w:ind w:left="143" w:right="164"/>
      </w:pPr>
      <w:proofErr w:type="gramStart"/>
      <w:r w:rsidRPr="00283806">
        <w:rPr>
          <w:w w:val="105"/>
        </w:rPr>
        <w:t>a ban</w:t>
      </w:r>
      <w:proofErr w:type="gramEnd"/>
      <w:r w:rsidRPr="00283806">
        <w:rPr>
          <w:w w:val="105"/>
        </w:rPr>
        <w:t xml:space="preserve"> on disposable cylinders would</w:t>
      </w:r>
      <w:r w:rsidRPr="00283806">
        <w:rPr>
          <w:spacing w:val="40"/>
          <w:w w:val="105"/>
        </w:rPr>
        <w:t xml:space="preserve"> </w:t>
      </w:r>
      <w:r w:rsidRPr="00283806">
        <w:rPr>
          <w:w w:val="105"/>
        </w:rPr>
        <w:t xml:space="preserve">have been more effective for reducing releases and maximizing the reclaim of regulated substances. Another commenter stated that EPA improperly alluded to having </w:t>
      </w:r>
      <w:proofErr w:type="gramStart"/>
      <w:r w:rsidRPr="00283806">
        <w:rPr>
          <w:w w:val="105"/>
        </w:rPr>
        <w:t>the statutory</w:t>
      </w:r>
      <w:proofErr w:type="gramEnd"/>
      <w:r w:rsidRPr="00283806">
        <w:rPr>
          <w:w w:val="105"/>
        </w:rPr>
        <w:t xml:space="preserve"> authority </w:t>
      </w:r>
      <w:proofErr w:type="gramStart"/>
      <w:r w:rsidRPr="00283806">
        <w:rPr>
          <w:w w:val="105"/>
        </w:rPr>
        <w:t>to reinstate</w:t>
      </w:r>
      <w:proofErr w:type="gramEnd"/>
      <w:r w:rsidRPr="00283806">
        <w:rPr>
          <w:w w:val="105"/>
        </w:rPr>
        <w:t xml:space="preserve"> a ban on non-refillable cylinders by stating in the proposed rule that the Agency is ‘‘not at this time </w:t>
      </w:r>
      <w:proofErr w:type="gramStart"/>
      <w:r w:rsidRPr="00283806">
        <w:rPr>
          <w:w w:val="105"/>
        </w:rPr>
        <w:t>proposing’’</w:t>
      </w:r>
      <w:proofErr w:type="gramEnd"/>
      <w:r w:rsidRPr="00283806">
        <w:rPr>
          <w:w w:val="105"/>
        </w:rPr>
        <w:t xml:space="preserve"> to ban non-refillable </w:t>
      </w:r>
      <w:r w:rsidRPr="00283806">
        <w:rPr>
          <w:spacing w:val="-2"/>
          <w:w w:val="105"/>
        </w:rPr>
        <w:t>cylinders.</w:t>
      </w:r>
    </w:p>
    <w:p w14:paraId="664E412B" w14:textId="77777777" w:rsidR="00D67C1E" w:rsidRPr="00283806" w:rsidRDefault="001265CA">
      <w:pPr>
        <w:spacing w:line="181" w:lineRule="exact"/>
        <w:ind w:left="323"/>
        <w:rPr>
          <w:sz w:val="18"/>
        </w:rPr>
      </w:pPr>
      <w:r w:rsidRPr="00283806">
        <w:rPr>
          <w:rFonts w:ascii="Book Antiqua"/>
          <w:i/>
          <w:w w:val="110"/>
          <w:sz w:val="18"/>
        </w:rPr>
        <w:t>Response:</w:t>
      </w:r>
      <w:r w:rsidRPr="00283806">
        <w:rPr>
          <w:rFonts w:ascii="Book Antiqua"/>
          <w:i/>
          <w:spacing w:val="2"/>
          <w:w w:val="110"/>
          <w:sz w:val="18"/>
        </w:rPr>
        <w:t xml:space="preserve"> </w:t>
      </w:r>
      <w:r w:rsidRPr="00283806">
        <w:rPr>
          <w:w w:val="110"/>
          <w:sz w:val="18"/>
        </w:rPr>
        <w:t>EPA</w:t>
      </w:r>
      <w:r w:rsidRPr="00283806">
        <w:rPr>
          <w:spacing w:val="8"/>
          <w:w w:val="110"/>
          <w:sz w:val="18"/>
        </w:rPr>
        <w:t xml:space="preserve"> </w:t>
      </w:r>
      <w:r w:rsidRPr="00283806">
        <w:rPr>
          <w:w w:val="110"/>
          <w:sz w:val="18"/>
        </w:rPr>
        <w:t>acknowledges</w:t>
      </w:r>
      <w:r w:rsidRPr="00283806">
        <w:rPr>
          <w:spacing w:val="8"/>
          <w:w w:val="110"/>
          <w:sz w:val="18"/>
        </w:rPr>
        <w:t xml:space="preserve"> </w:t>
      </w:r>
      <w:r w:rsidRPr="00283806">
        <w:rPr>
          <w:spacing w:val="-2"/>
          <w:w w:val="110"/>
          <w:sz w:val="18"/>
        </w:rPr>
        <w:t>these</w:t>
      </w:r>
    </w:p>
    <w:p w14:paraId="6326EFF3" w14:textId="77777777" w:rsidR="00D67C1E" w:rsidRPr="00283806" w:rsidRDefault="001265CA">
      <w:pPr>
        <w:pStyle w:val="BodyText"/>
        <w:spacing w:line="228" w:lineRule="auto"/>
        <w:ind w:left="143" w:right="152"/>
      </w:pPr>
      <w:r w:rsidRPr="00283806">
        <w:rPr>
          <w:w w:val="105"/>
        </w:rPr>
        <w:t xml:space="preserve">comments. The Agency did not propose </w:t>
      </w:r>
      <w:proofErr w:type="gramStart"/>
      <w:r w:rsidRPr="00283806">
        <w:rPr>
          <w:w w:val="105"/>
        </w:rPr>
        <w:t>to ban</w:t>
      </w:r>
      <w:proofErr w:type="gramEnd"/>
      <w:r w:rsidRPr="00283806">
        <w:rPr>
          <w:w w:val="105"/>
        </w:rPr>
        <w:t xml:space="preserve"> the use of disposable cylinders in this rulemaking and reiterates that it is not establishing such a ban in this final rule.</w:t>
      </w:r>
      <w:r w:rsidRPr="00283806">
        <w:rPr>
          <w:spacing w:val="9"/>
          <w:w w:val="105"/>
        </w:rPr>
        <w:t xml:space="preserve"> </w:t>
      </w:r>
      <w:r w:rsidRPr="00283806">
        <w:rPr>
          <w:w w:val="105"/>
        </w:rPr>
        <w:t>The</w:t>
      </w:r>
      <w:r w:rsidRPr="00283806">
        <w:rPr>
          <w:spacing w:val="10"/>
          <w:w w:val="105"/>
        </w:rPr>
        <w:t xml:space="preserve"> </w:t>
      </w:r>
      <w:r w:rsidRPr="00283806">
        <w:rPr>
          <w:w w:val="105"/>
        </w:rPr>
        <w:t>statement</w:t>
      </w:r>
      <w:r w:rsidRPr="00283806">
        <w:rPr>
          <w:spacing w:val="9"/>
          <w:w w:val="105"/>
        </w:rPr>
        <w:t xml:space="preserve"> </w:t>
      </w:r>
      <w:r w:rsidRPr="00283806">
        <w:rPr>
          <w:w w:val="105"/>
        </w:rPr>
        <w:t>in</w:t>
      </w:r>
      <w:r w:rsidRPr="00283806">
        <w:rPr>
          <w:spacing w:val="10"/>
          <w:w w:val="105"/>
        </w:rPr>
        <w:t xml:space="preserve"> </w:t>
      </w:r>
      <w:r w:rsidRPr="00283806">
        <w:rPr>
          <w:w w:val="105"/>
        </w:rPr>
        <w:t>the</w:t>
      </w:r>
      <w:r w:rsidRPr="00283806">
        <w:rPr>
          <w:spacing w:val="9"/>
          <w:w w:val="105"/>
        </w:rPr>
        <w:t xml:space="preserve"> </w:t>
      </w:r>
      <w:r w:rsidRPr="00283806">
        <w:rPr>
          <w:w w:val="105"/>
        </w:rPr>
        <w:t>proposed</w:t>
      </w:r>
      <w:r w:rsidRPr="00283806">
        <w:rPr>
          <w:spacing w:val="10"/>
          <w:w w:val="105"/>
        </w:rPr>
        <w:t xml:space="preserve"> </w:t>
      </w:r>
      <w:r w:rsidRPr="00283806">
        <w:rPr>
          <w:spacing w:val="-4"/>
          <w:w w:val="105"/>
        </w:rPr>
        <w:t>rule</w:t>
      </w:r>
    </w:p>
    <w:p w14:paraId="67D03B9B"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07" w:space="40"/>
            <w:col w:w="3511" w:space="39"/>
            <w:col w:w="3623"/>
          </w:cols>
        </w:sectPr>
      </w:pPr>
    </w:p>
    <w:p w14:paraId="3A8B8C97" w14:textId="77777777" w:rsidR="00D67C1E" w:rsidRPr="00283806" w:rsidRDefault="001265CA">
      <w:pPr>
        <w:pStyle w:val="BodyText"/>
        <w:spacing w:before="139" w:line="220" w:lineRule="auto"/>
        <w:ind w:right="128"/>
      </w:pPr>
      <w:r w:rsidRPr="00283806">
        <w:rPr>
          <w:w w:val="105"/>
        </w:rPr>
        <w:lastRenderedPageBreak/>
        <w:t xml:space="preserve">that EPA was ‘‘not at this time proposing’’ to establish a prohibition like the one at issue in </w:t>
      </w:r>
      <w:r w:rsidRPr="00283806">
        <w:rPr>
          <w:rFonts w:ascii="Book Antiqua" w:hAnsi="Book Antiqua"/>
          <w:i/>
          <w:w w:val="105"/>
        </w:rPr>
        <w:t>HARDI</w:t>
      </w:r>
      <w:r w:rsidRPr="00283806">
        <w:rPr>
          <w:rFonts w:ascii="Book Antiqua" w:hAnsi="Book Antiqua"/>
          <w:i/>
          <w:spacing w:val="-2"/>
          <w:w w:val="105"/>
        </w:rPr>
        <w:t xml:space="preserve"> </w:t>
      </w:r>
      <w:r w:rsidRPr="00283806">
        <w:rPr>
          <w:w w:val="105"/>
        </w:rPr>
        <w:t xml:space="preserve">v. </w:t>
      </w:r>
      <w:r w:rsidRPr="00283806">
        <w:rPr>
          <w:rFonts w:ascii="Book Antiqua" w:hAnsi="Book Antiqua"/>
          <w:i/>
          <w:w w:val="105"/>
        </w:rPr>
        <w:t xml:space="preserve">EPA, </w:t>
      </w:r>
      <w:r w:rsidRPr="00283806">
        <w:rPr>
          <w:w w:val="105"/>
        </w:rPr>
        <w:t>71 F.4th 59, 68 (D.C. Cir. 2023) was</w:t>
      </w:r>
    </w:p>
    <w:p w14:paraId="169D4A2F" w14:textId="77777777" w:rsidR="00D67C1E" w:rsidRPr="00283806" w:rsidRDefault="001265CA">
      <w:pPr>
        <w:pStyle w:val="BodyText"/>
        <w:spacing w:before="4" w:line="223" w:lineRule="auto"/>
        <w:ind w:right="10"/>
      </w:pPr>
      <w:r w:rsidRPr="00283806">
        <w:rPr>
          <w:w w:val="105"/>
        </w:rPr>
        <w:t xml:space="preserve">intended to describe the Agency action under consideration and how it differed from the prohibition in the Allocation Framework Rule. In the proposal, the Agency acknowledged that the prohibition had been vacated in the </w:t>
      </w:r>
      <w:r w:rsidRPr="00283806">
        <w:rPr>
          <w:rFonts w:ascii="Book Antiqua"/>
          <w:i/>
          <w:w w:val="105"/>
        </w:rPr>
        <w:t xml:space="preserve">HARDI </w:t>
      </w:r>
      <w:r w:rsidRPr="00283806">
        <w:rPr>
          <w:w w:val="105"/>
        </w:rPr>
        <w:t>decision, as the court found that EPA had not cited adequate authority to support it. Further, as noted in response to a comment below, the Agency is</w:t>
      </w:r>
      <w:r w:rsidRPr="00283806">
        <w:rPr>
          <w:spacing w:val="80"/>
          <w:w w:val="105"/>
        </w:rPr>
        <w:t xml:space="preserve"> </w:t>
      </w:r>
      <w:r w:rsidRPr="00283806">
        <w:rPr>
          <w:w w:val="105"/>
        </w:rPr>
        <w:t xml:space="preserve">acting </w:t>
      </w:r>
      <w:proofErr w:type="gramStart"/>
      <w:r w:rsidRPr="00283806">
        <w:rPr>
          <w:w w:val="105"/>
        </w:rPr>
        <w:t>consistent</w:t>
      </w:r>
      <w:proofErr w:type="gramEnd"/>
      <w:r w:rsidRPr="00283806">
        <w:rPr>
          <w:w w:val="105"/>
        </w:rPr>
        <w:t xml:space="preserve"> with the </w:t>
      </w:r>
      <w:r w:rsidRPr="00283806">
        <w:rPr>
          <w:rFonts w:ascii="Book Antiqua"/>
          <w:i/>
          <w:w w:val="105"/>
        </w:rPr>
        <w:t xml:space="preserve">HARDI </w:t>
      </w:r>
      <w:r w:rsidRPr="00283806">
        <w:rPr>
          <w:w w:val="105"/>
        </w:rPr>
        <w:t>decision. Because the Agency did not propose and is not finalizing such a ban as part of this action, it need not address whether</w:t>
      </w:r>
      <w:r w:rsidRPr="00283806">
        <w:rPr>
          <w:spacing w:val="39"/>
          <w:w w:val="105"/>
        </w:rPr>
        <w:t xml:space="preserve"> </w:t>
      </w:r>
      <w:r w:rsidRPr="00283806">
        <w:rPr>
          <w:w w:val="105"/>
        </w:rPr>
        <w:t>it</w:t>
      </w:r>
      <w:r w:rsidRPr="00283806">
        <w:rPr>
          <w:spacing w:val="39"/>
          <w:w w:val="105"/>
        </w:rPr>
        <w:t xml:space="preserve"> </w:t>
      </w:r>
      <w:r w:rsidRPr="00283806">
        <w:rPr>
          <w:w w:val="105"/>
        </w:rPr>
        <w:t>would</w:t>
      </w:r>
      <w:r w:rsidRPr="00283806">
        <w:rPr>
          <w:spacing w:val="39"/>
          <w:w w:val="105"/>
        </w:rPr>
        <w:t xml:space="preserve"> </w:t>
      </w:r>
      <w:r w:rsidRPr="00283806">
        <w:rPr>
          <w:w w:val="105"/>
        </w:rPr>
        <w:t>have</w:t>
      </w:r>
      <w:r w:rsidRPr="00283806">
        <w:rPr>
          <w:spacing w:val="39"/>
          <w:w w:val="105"/>
        </w:rPr>
        <w:t xml:space="preserve"> </w:t>
      </w:r>
      <w:r w:rsidRPr="00283806">
        <w:rPr>
          <w:w w:val="105"/>
        </w:rPr>
        <w:t>authority</w:t>
      </w:r>
      <w:r w:rsidRPr="00283806">
        <w:rPr>
          <w:spacing w:val="39"/>
          <w:w w:val="105"/>
        </w:rPr>
        <w:t xml:space="preserve"> </w:t>
      </w:r>
      <w:r w:rsidRPr="00283806">
        <w:rPr>
          <w:w w:val="105"/>
        </w:rPr>
        <w:t>to</w:t>
      </w:r>
      <w:r w:rsidRPr="00283806">
        <w:rPr>
          <w:spacing w:val="39"/>
          <w:w w:val="105"/>
        </w:rPr>
        <w:t xml:space="preserve"> </w:t>
      </w:r>
      <w:r w:rsidRPr="00283806">
        <w:rPr>
          <w:w w:val="105"/>
        </w:rPr>
        <w:t>do so</w:t>
      </w:r>
      <w:r w:rsidRPr="00283806">
        <w:rPr>
          <w:spacing w:val="40"/>
          <w:w w:val="105"/>
        </w:rPr>
        <w:t xml:space="preserve"> </w:t>
      </w:r>
      <w:r w:rsidRPr="00283806">
        <w:rPr>
          <w:w w:val="105"/>
        </w:rPr>
        <w:t>here.</w:t>
      </w:r>
      <w:r w:rsidRPr="00283806">
        <w:rPr>
          <w:spacing w:val="40"/>
          <w:w w:val="105"/>
        </w:rPr>
        <w:t xml:space="preserve"> </w:t>
      </w:r>
      <w:r w:rsidRPr="00283806">
        <w:rPr>
          <w:w w:val="105"/>
        </w:rPr>
        <w:t>EPA</w:t>
      </w:r>
      <w:r w:rsidRPr="00283806">
        <w:rPr>
          <w:spacing w:val="40"/>
          <w:w w:val="105"/>
        </w:rPr>
        <w:t xml:space="preserve"> </w:t>
      </w:r>
      <w:r w:rsidRPr="00283806">
        <w:rPr>
          <w:w w:val="105"/>
        </w:rPr>
        <w:t>notes</w:t>
      </w:r>
      <w:r w:rsidRPr="00283806">
        <w:rPr>
          <w:spacing w:val="40"/>
          <w:w w:val="105"/>
        </w:rPr>
        <w:t xml:space="preserve"> </w:t>
      </w:r>
      <w:r w:rsidRPr="00283806">
        <w:rPr>
          <w:w w:val="105"/>
        </w:rPr>
        <w:t>that</w:t>
      </w:r>
      <w:r w:rsidRPr="00283806">
        <w:rPr>
          <w:spacing w:val="40"/>
          <w:w w:val="105"/>
        </w:rPr>
        <w:t xml:space="preserve"> </w:t>
      </w:r>
      <w:r w:rsidRPr="00283806">
        <w:rPr>
          <w:w w:val="105"/>
        </w:rPr>
        <w:t>the</w:t>
      </w:r>
      <w:r w:rsidRPr="00283806">
        <w:rPr>
          <w:spacing w:val="40"/>
          <w:w w:val="105"/>
        </w:rPr>
        <w:t xml:space="preserve"> </w:t>
      </w:r>
      <w:r w:rsidRPr="00283806">
        <w:rPr>
          <w:w w:val="105"/>
        </w:rPr>
        <w:t xml:space="preserve">provisions </w:t>
      </w:r>
      <w:proofErr w:type="gramStart"/>
      <w:r w:rsidRPr="00283806">
        <w:rPr>
          <w:w w:val="105"/>
        </w:rPr>
        <w:t>to require</w:t>
      </w:r>
      <w:proofErr w:type="gramEnd"/>
      <w:r w:rsidRPr="00283806">
        <w:rPr>
          <w:w w:val="105"/>
        </w:rPr>
        <w:t xml:space="preserve"> removal and reclaim of heels from disposable cylinders are effective</w:t>
      </w:r>
      <w:r w:rsidRPr="00283806">
        <w:rPr>
          <w:spacing w:val="80"/>
          <w:w w:val="105"/>
        </w:rPr>
        <w:t xml:space="preserve"> </w:t>
      </w:r>
      <w:r w:rsidRPr="00283806">
        <w:rPr>
          <w:w w:val="105"/>
        </w:rPr>
        <w:t xml:space="preserve">to help mitigate the release of the remaining heel to the atmosphere while providing a source of recovered refrigerant to be available for </w:t>
      </w:r>
      <w:r w:rsidRPr="00283806">
        <w:rPr>
          <w:spacing w:val="-2"/>
          <w:w w:val="105"/>
        </w:rPr>
        <w:t>reclamation.</w:t>
      </w:r>
    </w:p>
    <w:p w14:paraId="2B33B1EF" w14:textId="77777777" w:rsidR="00D67C1E" w:rsidRPr="00283806" w:rsidRDefault="001265CA">
      <w:pPr>
        <w:pStyle w:val="BodyText"/>
        <w:spacing w:before="6" w:line="223" w:lineRule="auto"/>
        <w:ind w:firstLine="180"/>
      </w:pPr>
      <w:r w:rsidRPr="00283806">
        <w:rPr>
          <w:rFonts w:ascii="Book Antiqua"/>
          <w:i/>
          <w:w w:val="105"/>
        </w:rPr>
        <w:t xml:space="preserve">Comment: </w:t>
      </w:r>
      <w:r w:rsidRPr="00283806">
        <w:rPr>
          <w:w w:val="105"/>
        </w:rPr>
        <w:t>One commenter suggested that the requirements for disposable cylinders be expanded to refillable cylinders as well. The commenter noted potential issues of not requiring that refillable cylinders be handled by reclaimers or have required heel recovery, which included potential venting or discarding of the refillable cylinder improperly.</w:t>
      </w:r>
    </w:p>
    <w:p w14:paraId="793DF4E3" w14:textId="77777777" w:rsidR="00D67C1E" w:rsidRPr="00283806" w:rsidRDefault="001265CA">
      <w:pPr>
        <w:pStyle w:val="BodyText"/>
        <w:spacing w:line="223" w:lineRule="auto"/>
        <w:ind w:right="77" w:firstLine="180"/>
      </w:pPr>
      <w:r w:rsidRPr="00283806">
        <w:rPr>
          <w:rFonts w:ascii="Book Antiqua"/>
          <w:i/>
          <w:w w:val="105"/>
        </w:rPr>
        <w:t xml:space="preserve">Response: </w:t>
      </w:r>
      <w:r w:rsidRPr="00283806">
        <w:rPr>
          <w:w w:val="105"/>
        </w:rPr>
        <w:t>EPA acknowledges this comment and understands the value of ensuring removal of the refrigerant left in heels of refillable cylinders. EPA</w:t>
      </w:r>
      <w:r w:rsidRPr="00283806">
        <w:rPr>
          <w:spacing w:val="80"/>
          <w:w w:val="105"/>
        </w:rPr>
        <w:t xml:space="preserve"> </w:t>
      </w:r>
      <w:r w:rsidRPr="00283806">
        <w:rPr>
          <w:w w:val="105"/>
        </w:rPr>
        <w:t>notes that the risk of venting heels and improper</w:t>
      </w:r>
      <w:r w:rsidRPr="00283806">
        <w:rPr>
          <w:spacing w:val="-3"/>
          <w:w w:val="105"/>
        </w:rPr>
        <w:t xml:space="preserve"> </w:t>
      </w:r>
      <w:r w:rsidRPr="00283806">
        <w:rPr>
          <w:w w:val="105"/>
        </w:rPr>
        <w:t>management</w:t>
      </w:r>
      <w:r w:rsidRPr="00283806">
        <w:rPr>
          <w:spacing w:val="-3"/>
          <w:w w:val="105"/>
        </w:rPr>
        <w:t xml:space="preserve"> </w:t>
      </w:r>
      <w:r w:rsidRPr="00283806">
        <w:rPr>
          <w:w w:val="105"/>
        </w:rPr>
        <w:t>after</w:t>
      </w:r>
      <w:r w:rsidRPr="00283806">
        <w:rPr>
          <w:spacing w:val="-3"/>
          <w:w w:val="105"/>
        </w:rPr>
        <w:t xml:space="preserve"> </w:t>
      </w:r>
      <w:r w:rsidRPr="00283806">
        <w:rPr>
          <w:w w:val="105"/>
        </w:rPr>
        <w:t>use</w:t>
      </w:r>
      <w:r w:rsidRPr="00283806">
        <w:rPr>
          <w:spacing w:val="-3"/>
          <w:w w:val="105"/>
        </w:rPr>
        <w:t xml:space="preserve"> </w:t>
      </w:r>
      <w:r w:rsidRPr="00283806">
        <w:rPr>
          <w:w w:val="105"/>
        </w:rPr>
        <w:t>is</w:t>
      </w:r>
      <w:r w:rsidRPr="00283806">
        <w:rPr>
          <w:spacing w:val="-3"/>
          <w:w w:val="105"/>
        </w:rPr>
        <w:t xml:space="preserve"> </w:t>
      </w:r>
      <w:r w:rsidRPr="00283806">
        <w:rPr>
          <w:w w:val="105"/>
        </w:rPr>
        <w:t>more common to disposable cylinders, given they are discarded and not reused.</w:t>
      </w:r>
    </w:p>
    <w:p w14:paraId="58E8AB37" w14:textId="77777777" w:rsidR="00D67C1E" w:rsidRPr="00283806" w:rsidRDefault="001265CA">
      <w:pPr>
        <w:pStyle w:val="BodyText"/>
        <w:spacing w:line="225" w:lineRule="auto"/>
      </w:pPr>
      <w:r w:rsidRPr="00283806">
        <w:rPr>
          <w:w w:val="105"/>
        </w:rPr>
        <w:t>Refillable cylinders are refilled and reused, so a requirement to remove refrigerant heels is unnecessary if the cylinder is being refilled with the same refrigerant. In cases where the refillable cylinder would be filled with a different refrigerant, the remaining refrigerant would need to be properly removed to ensure the cylinder was completely emptied before refilling with a different refrigerant, which EPA understands is a standard practice to avoid mixing refrigerants in a refillable cylinder.</w:t>
      </w:r>
    </w:p>
    <w:p w14:paraId="70FD3578" w14:textId="77777777" w:rsidR="00D67C1E" w:rsidRPr="00283806" w:rsidRDefault="001265CA">
      <w:pPr>
        <w:pStyle w:val="BodyText"/>
        <w:spacing w:before="6" w:line="228" w:lineRule="auto"/>
      </w:pPr>
      <w:r w:rsidRPr="00283806">
        <w:rPr>
          <w:w w:val="105"/>
        </w:rPr>
        <w:t xml:space="preserve">Thus, EPA notes these requirements are more appropriate for disposable </w:t>
      </w:r>
      <w:r w:rsidRPr="00283806">
        <w:rPr>
          <w:spacing w:val="-2"/>
          <w:w w:val="105"/>
        </w:rPr>
        <w:t>cylinders.</w:t>
      </w:r>
    </w:p>
    <w:p w14:paraId="3CF92A4A" w14:textId="77777777" w:rsidR="00D67C1E" w:rsidRPr="00283806" w:rsidRDefault="001265CA">
      <w:pPr>
        <w:pStyle w:val="BodyText"/>
        <w:spacing w:line="216" w:lineRule="auto"/>
        <w:ind w:firstLine="180"/>
      </w:pPr>
      <w:r w:rsidRPr="00283806">
        <w:rPr>
          <w:rFonts w:ascii="Book Antiqua"/>
          <w:i/>
          <w:w w:val="105"/>
        </w:rPr>
        <w:t xml:space="preserve">Comment: </w:t>
      </w:r>
      <w:r w:rsidRPr="00283806">
        <w:rPr>
          <w:w w:val="105"/>
        </w:rPr>
        <w:t>One commenter mentioned that</w:t>
      </w:r>
      <w:r w:rsidRPr="00283806">
        <w:rPr>
          <w:spacing w:val="6"/>
          <w:w w:val="105"/>
        </w:rPr>
        <w:t xml:space="preserve"> </w:t>
      </w:r>
      <w:r w:rsidRPr="00283806">
        <w:rPr>
          <w:w w:val="105"/>
        </w:rPr>
        <w:t>the</w:t>
      </w:r>
      <w:r w:rsidRPr="00283806">
        <w:rPr>
          <w:spacing w:val="7"/>
          <w:w w:val="105"/>
        </w:rPr>
        <w:t xml:space="preserve"> </w:t>
      </w:r>
      <w:r w:rsidRPr="00283806">
        <w:rPr>
          <w:w w:val="105"/>
        </w:rPr>
        <w:t>proposal</w:t>
      </w:r>
      <w:r w:rsidRPr="00283806">
        <w:rPr>
          <w:spacing w:val="7"/>
          <w:w w:val="105"/>
        </w:rPr>
        <w:t xml:space="preserve"> </w:t>
      </w:r>
      <w:r w:rsidRPr="00283806">
        <w:rPr>
          <w:w w:val="105"/>
        </w:rPr>
        <w:t>was</w:t>
      </w:r>
      <w:r w:rsidRPr="00283806">
        <w:rPr>
          <w:spacing w:val="7"/>
          <w:w w:val="105"/>
        </w:rPr>
        <w:t xml:space="preserve"> </w:t>
      </w:r>
      <w:r w:rsidRPr="00283806">
        <w:rPr>
          <w:w w:val="105"/>
        </w:rPr>
        <w:t>unclear</w:t>
      </w:r>
      <w:r w:rsidRPr="00283806">
        <w:rPr>
          <w:spacing w:val="6"/>
          <w:w w:val="105"/>
        </w:rPr>
        <w:t xml:space="preserve"> </w:t>
      </w:r>
      <w:r w:rsidRPr="00283806">
        <w:rPr>
          <w:w w:val="105"/>
        </w:rPr>
        <w:t>about</w:t>
      </w:r>
      <w:r w:rsidRPr="00283806">
        <w:rPr>
          <w:spacing w:val="7"/>
          <w:w w:val="105"/>
        </w:rPr>
        <w:t xml:space="preserve"> </w:t>
      </w:r>
      <w:r w:rsidRPr="00283806">
        <w:rPr>
          <w:spacing w:val="-5"/>
          <w:w w:val="105"/>
        </w:rPr>
        <w:t>who</w:t>
      </w:r>
    </w:p>
    <w:p w14:paraId="3DD82FBA" w14:textId="77777777" w:rsidR="00D67C1E" w:rsidRPr="00283806" w:rsidRDefault="001265CA">
      <w:pPr>
        <w:pStyle w:val="BodyText"/>
        <w:spacing w:line="228" w:lineRule="auto"/>
        <w:ind w:right="35"/>
      </w:pPr>
      <w:r w:rsidRPr="00283806">
        <w:rPr>
          <w:w w:val="105"/>
        </w:rPr>
        <w:t>is responsible for sending the disposable cylinder to a reclaimer and asked if it</w:t>
      </w:r>
      <w:r w:rsidRPr="00283806">
        <w:rPr>
          <w:spacing w:val="80"/>
          <w:w w:val="105"/>
        </w:rPr>
        <w:t xml:space="preserve"> </w:t>
      </w:r>
      <w:r w:rsidRPr="00283806">
        <w:rPr>
          <w:w w:val="105"/>
        </w:rPr>
        <w:t xml:space="preserve">was the equipment owner/operator or a </w:t>
      </w:r>
      <w:r w:rsidRPr="00283806">
        <w:rPr>
          <w:spacing w:val="-2"/>
          <w:w w:val="105"/>
        </w:rPr>
        <w:t>contractor.</w:t>
      </w:r>
    </w:p>
    <w:p w14:paraId="29ABBA0E" w14:textId="77777777" w:rsidR="00D67C1E" w:rsidRPr="00283806" w:rsidRDefault="001265CA">
      <w:pPr>
        <w:pStyle w:val="BodyText"/>
        <w:spacing w:line="216" w:lineRule="auto"/>
        <w:ind w:right="128" w:firstLine="180"/>
      </w:pPr>
      <w:r w:rsidRPr="00283806">
        <w:rPr>
          <w:rFonts w:ascii="Book Antiqua"/>
          <w:i/>
          <w:w w:val="105"/>
        </w:rPr>
        <w:t xml:space="preserve">Response: </w:t>
      </w:r>
      <w:r w:rsidRPr="00283806">
        <w:rPr>
          <w:w w:val="105"/>
        </w:rPr>
        <w:t>EPA is establishing requirements based on the cylinders</w:t>
      </w:r>
    </w:p>
    <w:p w14:paraId="3C0D6980" w14:textId="77777777" w:rsidR="00D67C1E" w:rsidRPr="00283806" w:rsidRDefault="001265CA">
      <w:pPr>
        <w:pStyle w:val="BodyText"/>
        <w:spacing w:before="135" w:line="225" w:lineRule="auto"/>
        <w:ind w:left="144"/>
      </w:pPr>
      <w:r w:rsidRPr="00283806">
        <w:br w:type="column"/>
      </w:r>
      <w:r w:rsidRPr="00283806">
        <w:t>that have been used in the servicing,</w:t>
      </w:r>
      <w:r w:rsidRPr="00283806">
        <w:rPr>
          <w:spacing w:val="80"/>
        </w:rPr>
        <w:t xml:space="preserve"> </w:t>
      </w:r>
      <w:r w:rsidRPr="00283806">
        <w:t>repair, or installation of refrigerant-</w:t>
      </w:r>
      <w:r w:rsidRPr="00283806">
        <w:rPr>
          <w:spacing w:val="40"/>
        </w:rPr>
        <w:t xml:space="preserve"> </w:t>
      </w:r>
      <w:r w:rsidRPr="00283806">
        <w:t>containing</w:t>
      </w:r>
      <w:r w:rsidRPr="00283806">
        <w:rPr>
          <w:spacing w:val="44"/>
        </w:rPr>
        <w:t xml:space="preserve"> </w:t>
      </w:r>
      <w:r w:rsidRPr="00283806">
        <w:t>equipment</w:t>
      </w:r>
      <w:r w:rsidRPr="00283806">
        <w:rPr>
          <w:spacing w:val="44"/>
        </w:rPr>
        <w:t xml:space="preserve"> </w:t>
      </w:r>
      <w:r w:rsidRPr="00283806">
        <w:t>or</w:t>
      </w:r>
      <w:r w:rsidRPr="00283806">
        <w:rPr>
          <w:spacing w:val="44"/>
        </w:rPr>
        <w:t xml:space="preserve"> </w:t>
      </w:r>
      <w:r w:rsidRPr="00283806">
        <w:t>fire</w:t>
      </w:r>
      <w:r w:rsidRPr="00283806">
        <w:rPr>
          <w:spacing w:val="80"/>
          <w:w w:val="150"/>
        </w:rPr>
        <w:t xml:space="preserve"> </w:t>
      </w:r>
      <w:r w:rsidRPr="00283806">
        <w:t>suppression equipment. Ultimately, the</w:t>
      </w:r>
      <w:r w:rsidRPr="00283806">
        <w:rPr>
          <w:spacing w:val="80"/>
        </w:rPr>
        <w:t xml:space="preserve"> </w:t>
      </w:r>
      <w:r w:rsidRPr="00283806">
        <w:t>responsibility would likely fall on the</w:t>
      </w:r>
      <w:r w:rsidRPr="00283806">
        <w:rPr>
          <w:spacing w:val="80"/>
        </w:rPr>
        <w:t xml:space="preserve"> </w:t>
      </w:r>
      <w:r w:rsidRPr="00283806">
        <w:t>person</w:t>
      </w:r>
      <w:r w:rsidRPr="00283806">
        <w:rPr>
          <w:spacing w:val="40"/>
        </w:rPr>
        <w:t xml:space="preserve"> </w:t>
      </w:r>
      <w:r w:rsidRPr="00283806">
        <w:t>using</w:t>
      </w:r>
      <w:r w:rsidRPr="00283806">
        <w:rPr>
          <w:spacing w:val="40"/>
        </w:rPr>
        <w:t xml:space="preserve"> </w:t>
      </w:r>
      <w:r w:rsidRPr="00283806">
        <w:t>or</w:t>
      </w:r>
      <w:r w:rsidRPr="00283806">
        <w:rPr>
          <w:spacing w:val="40"/>
        </w:rPr>
        <w:t xml:space="preserve"> </w:t>
      </w:r>
      <w:r w:rsidRPr="00283806">
        <w:t>managing</w:t>
      </w:r>
      <w:r w:rsidRPr="00283806">
        <w:rPr>
          <w:spacing w:val="40"/>
        </w:rPr>
        <w:t xml:space="preserve"> </w:t>
      </w:r>
      <w:r w:rsidRPr="00283806">
        <w:t>the</w:t>
      </w:r>
      <w:r w:rsidRPr="00283806">
        <w:rPr>
          <w:spacing w:val="80"/>
          <w:w w:val="150"/>
        </w:rPr>
        <w:t xml:space="preserve"> </w:t>
      </w:r>
      <w:r w:rsidRPr="00283806">
        <w:t>disposable cylinder of refrigerant or fire</w:t>
      </w:r>
      <w:r w:rsidRPr="00283806">
        <w:rPr>
          <w:spacing w:val="40"/>
        </w:rPr>
        <w:t xml:space="preserve"> </w:t>
      </w:r>
      <w:r w:rsidRPr="00283806">
        <w:t>suppressant.</w:t>
      </w:r>
      <w:r w:rsidRPr="00283806">
        <w:rPr>
          <w:spacing w:val="40"/>
        </w:rPr>
        <w:t xml:space="preserve"> </w:t>
      </w:r>
      <w:r w:rsidRPr="00283806">
        <w:t>In</w:t>
      </w:r>
      <w:r w:rsidRPr="00283806">
        <w:rPr>
          <w:spacing w:val="40"/>
        </w:rPr>
        <w:t xml:space="preserve"> </w:t>
      </w:r>
      <w:r w:rsidRPr="00283806">
        <w:t>most</w:t>
      </w:r>
      <w:r w:rsidRPr="00283806">
        <w:rPr>
          <w:spacing w:val="40"/>
        </w:rPr>
        <w:t xml:space="preserve"> </w:t>
      </w:r>
      <w:r w:rsidRPr="00283806">
        <w:t>cases,</w:t>
      </w:r>
      <w:r w:rsidRPr="00283806">
        <w:rPr>
          <w:spacing w:val="40"/>
        </w:rPr>
        <w:t xml:space="preserve"> </w:t>
      </w:r>
      <w:r w:rsidRPr="00283806">
        <w:t>the</w:t>
      </w:r>
      <w:r w:rsidRPr="00283806">
        <w:rPr>
          <w:spacing w:val="40"/>
        </w:rPr>
        <w:t xml:space="preserve"> </w:t>
      </w:r>
      <w:r w:rsidRPr="00283806">
        <w:t>technician or contractor performing the</w:t>
      </w:r>
      <w:r w:rsidRPr="00283806">
        <w:rPr>
          <w:spacing w:val="40"/>
        </w:rPr>
        <w:t xml:space="preserve"> </w:t>
      </w:r>
      <w:r w:rsidRPr="00283806">
        <w:t>process, practice, or activity related to</w:t>
      </w:r>
      <w:r w:rsidRPr="00283806">
        <w:rPr>
          <w:spacing w:val="40"/>
        </w:rPr>
        <w:t xml:space="preserve"> </w:t>
      </w:r>
      <w:r w:rsidRPr="00283806">
        <w:t>servicing,</w:t>
      </w:r>
      <w:r w:rsidRPr="00283806">
        <w:rPr>
          <w:spacing w:val="40"/>
        </w:rPr>
        <w:t xml:space="preserve"> </w:t>
      </w:r>
      <w:r w:rsidRPr="00283806">
        <w:t>repair,</w:t>
      </w:r>
      <w:r w:rsidRPr="00283806">
        <w:rPr>
          <w:spacing w:val="40"/>
        </w:rPr>
        <w:t xml:space="preserve"> </w:t>
      </w:r>
      <w:r w:rsidRPr="00283806">
        <w:t>or</w:t>
      </w:r>
      <w:r w:rsidRPr="00283806">
        <w:rPr>
          <w:spacing w:val="40"/>
        </w:rPr>
        <w:t xml:space="preserve"> </w:t>
      </w:r>
      <w:r w:rsidRPr="00283806">
        <w:t>installation</w:t>
      </w:r>
      <w:r w:rsidRPr="00283806">
        <w:rPr>
          <w:spacing w:val="40"/>
        </w:rPr>
        <w:t xml:space="preserve"> </w:t>
      </w:r>
      <w:r w:rsidRPr="00283806">
        <w:t>is</w:t>
      </w:r>
      <w:r w:rsidRPr="00283806">
        <w:rPr>
          <w:spacing w:val="40"/>
        </w:rPr>
        <w:t xml:space="preserve"> </w:t>
      </w:r>
      <w:r w:rsidRPr="00283806">
        <w:t>the</w:t>
      </w:r>
      <w:r w:rsidRPr="00283806">
        <w:rPr>
          <w:spacing w:val="40"/>
        </w:rPr>
        <w:t xml:space="preserve"> </w:t>
      </w:r>
      <w:r w:rsidRPr="00283806">
        <w:t>user of the disposable cylinder. In other</w:t>
      </w:r>
      <w:r w:rsidRPr="00283806">
        <w:rPr>
          <w:spacing w:val="40"/>
        </w:rPr>
        <w:t xml:space="preserve"> </w:t>
      </w:r>
      <w:r w:rsidRPr="00283806">
        <w:t>cases, the contractor or technician may</w:t>
      </w:r>
      <w:r w:rsidRPr="00283806">
        <w:rPr>
          <w:spacing w:val="40"/>
        </w:rPr>
        <w:t xml:space="preserve"> </w:t>
      </w:r>
      <w:r w:rsidRPr="00283806">
        <w:t>report</w:t>
      </w:r>
      <w:r w:rsidRPr="00283806">
        <w:rPr>
          <w:spacing w:val="40"/>
        </w:rPr>
        <w:t xml:space="preserve"> </w:t>
      </w:r>
      <w:r w:rsidRPr="00283806">
        <w:t>to</w:t>
      </w:r>
      <w:r w:rsidRPr="00283806">
        <w:rPr>
          <w:spacing w:val="40"/>
        </w:rPr>
        <w:t xml:space="preserve"> </w:t>
      </w:r>
      <w:r w:rsidRPr="00283806">
        <w:t>the</w:t>
      </w:r>
      <w:r w:rsidRPr="00283806">
        <w:rPr>
          <w:spacing w:val="40"/>
        </w:rPr>
        <w:t xml:space="preserve"> </w:t>
      </w:r>
      <w:r w:rsidRPr="00283806">
        <w:t>location</w:t>
      </w:r>
      <w:r w:rsidRPr="00283806">
        <w:rPr>
          <w:spacing w:val="40"/>
        </w:rPr>
        <w:t xml:space="preserve"> </w:t>
      </w:r>
      <w:r w:rsidRPr="00283806">
        <w:t>(</w:t>
      </w:r>
      <w:r w:rsidRPr="00283806">
        <w:rPr>
          <w:rFonts w:ascii="Book Antiqua"/>
          <w:i/>
        </w:rPr>
        <w:t>e.g.,</w:t>
      </w:r>
      <w:r w:rsidRPr="00283806">
        <w:rPr>
          <w:rFonts w:ascii="Book Antiqua"/>
          <w:i/>
          <w:spacing w:val="40"/>
        </w:rPr>
        <w:t xml:space="preserve"> </w:t>
      </w:r>
      <w:r w:rsidRPr="00283806">
        <w:t>a</w:t>
      </w:r>
      <w:r w:rsidRPr="00283806">
        <w:rPr>
          <w:spacing w:val="40"/>
        </w:rPr>
        <w:t xml:space="preserve"> </w:t>
      </w:r>
      <w:r w:rsidRPr="00283806">
        <w:t>supermarket)</w:t>
      </w:r>
      <w:r w:rsidRPr="00283806">
        <w:rPr>
          <w:spacing w:val="40"/>
        </w:rPr>
        <w:t xml:space="preserve"> </w:t>
      </w:r>
      <w:r w:rsidRPr="00283806">
        <w:t>that</w:t>
      </w:r>
      <w:r w:rsidRPr="00283806">
        <w:rPr>
          <w:spacing w:val="40"/>
        </w:rPr>
        <w:t xml:space="preserve"> </w:t>
      </w:r>
      <w:r w:rsidRPr="00283806">
        <w:t>manages</w:t>
      </w:r>
      <w:r w:rsidRPr="00283806">
        <w:rPr>
          <w:spacing w:val="40"/>
        </w:rPr>
        <w:t xml:space="preserve"> </w:t>
      </w:r>
      <w:r w:rsidRPr="00283806">
        <w:t>its</w:t>
      </w:r>
      <w:r w:rsidRPr="00283806">
        <w:rPr>
          <w:spacing w:val="40"/>
        </w:rPr>
        <w:t xml:space="preserve"> </w:t>
      </w:r>
      <w:r w:rsidRPr="00283806">
        <w:t>own</w:t>
      </w:r>
      <w:r w:rsidRPr="00283806">
        <w:rPr>
          <w:spacing w:val="40"/>
        </w:rPr>
        <w:t xml:space="preserve"> </w:t>
      </w:r>
      <w:r w:rsidRPr="00283806">
        <w:t>supply of refrigerant in disposable</w:t>
      </w:r>
      <w:r w:rsidRPr="00283806">
        <w:rPr>
          <w:spacing w:val="40"/>
        </w:rPr>
        <w:t xml:space="preserve"> </w:t>
      </w:r>
      <w:r w:rsidRPr="00283806">
        <w:t>cylinders.</w:t>
      </w:r>
      <w:r w:rsidRPr="00283806">
        <w:rPr>
          <w:spacing w:val="40"/>
        </w:rPr>
        <w:t xml:space="preserve"> </w:t>
      </w:r>
      <w:r w:rsidRPr="00283806">
        <w:t>In</w:t>
      </w:r>
      <w:r w:rsidRPr="00283806">
        <w:rPr>
          <w:spacing w:val="40"/>
        </w:rPr>
        <w:t xml:space="preserve"> </w:t>
      </w:r>
      <w:r w:rsidRPr="00283806">
        <w:t>this</w:t>
      </w:r>
      <w:r w:rsidRPr="00283806">
        <w:rPr>
          <w:spacing w:val="40"/>
        </w:rPr>
        <w:t xml:space="preserve"> </w:t>
      </w:r>
      <w:r w:rsidRPr="00283806">
        <w:t>case,</w:t>
      </w:r>
      <w:r w:rsidRPr="00283806">
        <w:rPr>
          <w:spacing w:val="40"/>
        </w:rPr>
        <w:t xml:space="preserve"> </w:t>
      </w:r>
      <w:r w:rsidRPr="00283806">
        <w:t>the</w:t>
      </w:r>
      <w:r w:rsidRPr="00283806">
        <w:rPr>
          <w:spacing w:val="40"/>
        </w:rPr>
        <w:t xml:space="preserve"> </w:t>
      </w:r>
      <w:r w:rsidRPr="00283806">
        <w:t>responsibility</w:t>
      </w:r>
      <w:r w:rsidRPr="00283806">
        <w:rPr>
          <w:spacing w:val="40"/>
        </w:rPr>
        <w:t xml:space="preserve"> </w:t>
      </w:r>
      <w:r w:rsidRPr="00283806">
        <w:t>of</w:t>
      </w:r>
      <w:r w:rsidRPr="00283806">
        <w:rPr>
          <w:spacing w:val="40"/>
        </w:rPr>
        <w:t xml:space="preserve"> </w:t>
      </w:r>
      <w:r w:rsidRPr="00283806">
        <w:t>sending</w:t>
      </w:r>
      <w:r w:rsidRPr="00283806">
        <w:rPr>
          <w:spacing w:val="40"/>
        </w:rPr>
        <w:t xml:space="preserve"> </w:t>
      </w:r>
      <w:r w:rsidRPr="00283806">
        <w:t>the</w:t>
      </w:r>
      <w:r w:rsidRPr="00283806">
        <w:rPr>
          <w:spacing w:val="40"/>
        </w:rPr>
        <w:t xml:space="preserve"> </w:t>
      </w:r>
      <w:r w:rsidRPr="00283806">
        <w:t>disposable</w:t>
      </w:r>
      <w:r w:rsidRPr="00283806">
        <w:rPr>
          <w:spacing w:val="40"/>
        </w:rPr>
        <w:t xml:space="preserve"> </w:t>
      </w:r>
      <w:r w:rsidRPr="00283806">
        <w:t>cylinder</w:t>
      </w:r>
      <w:r w:rsidRPr="00283806">
        <w:rPr>
          <w:spacing w:val="40"/>
        </w:rPr>
        <w:t xml:space="preserve"> </w:t>
      </w:r>
      <w:r w:rsidRPr="00283806">
        <w:t>may</w:t>
      </w:r>
      <w:r w:rsidRPr="00283806">
        <w:rPr>
          <w:spacing w:val="40"/>
        </w:rPr>
        <w:t xml:space="preserve"> </w:t>
      </w:r>
      <w:r w:rsidRPr="00283806">
        <w:t>fall on the equipment owner/operator;</w:t>
      </w:r>
      <w:r w:rsidRPr="00283806">
        <w:rPr>
          <w:spacing w:val="40"/>
        </w:rPr>
        <w:t xml:space="preserve"> </w:t>
      </w:r>
      <w:r w:rsidRPr="00283806">
        <w:t>however, they may arrange agreements</w:t>
      </w:r>
      <w:r w:rsidRPr="00283806">
        <w:rPr>
          <w:spacing w:val="40"/>
        </w:rPr>
        <w:t xml:space="preserve"> </w:t>
      </w:r>
      <w:r w:rsidRPr="00283806">
        <w:t>with</w:t>
      </w:r>
      <w:r w:rsidRPr="00283806">
        <w:rPr>
          <w:spacing w:val="40"/>
        </w:rPr>
        <w:t xml:space="preserve"> </w:t>
      </w:r>
      <w:r w:rsidRPr="00283806">
        <w:t>the</w:t>
      </w:r>
      <w:r w:rsidRPr="00283806">
        <w:rPr>
          <w:spacing w:val="40"/>
        </w:rPr>
        <w:t xml:space="preserve"> </w:t>
      </w:r>
      <w:r w:rsidRPr="00283806">
        <w:t>contractor</w:t>
      </w:r>
      <w:r w:rsidRPr="00283806">
        <w:rPr>
          <w:spacing w:val="40"/>
        </w:rPr>
        <w:t xml:space="preserve"> </w:t>
      </w:r>
      <w:r w:rsidRPr="00283806">
        <w:t>or</w:t>
      </w:r>
      <w:r w:rsidRPr="00283806">
        <w:rPr>
          <w:spacing w:val="40"/>
        </w:rPr>
        <w:t xml:space="preserve"> </w:t>
      </w:r>
      <w:r w:rsidRPr="00283806">
        <w:t>technician</w:t>
      </w:r>
      <w:r w:rsidRPr="00283806">
        <w:rPr>
          <w:spacing w:val="40"/>
        </w:rPr>
        <w:t xml:space="preserve"> </w:t>
      </w:r>
      <w:r w:rsidRPr="00283806">
        <w:t>to</w:t>
      </w:r>
      <w:r w:rsidRPr="00283806">
        <w:rPr>
          <w:spacing w:val="40"/>
        </w:rPr>
        <w:t xml:space="preserve"> </w:t>
      </w:r>
      <w:r w:rsidRPr="00283806">
        <w:t>be</w:t>
      </w:r>
      <w:r w:rsidRPr="00283806">
        <w:rPr>
          <w:spacing w:val="40"/>
        </w:rPr>
        <w:t xml:space="preserve"> </w:t>
      </w:r>
      <w:r w:rsidRPr="00283806">
        <w:t>the person sending the disposable</w:t>
      </w:r>
      <w:r w:rsidRPr="00283806">
        <w:rPr>
          <w:spacing w:val="80"/>
        </w:rPr>
        <w:t xml:space="preserve"> </w:t>
      </w:r>
      <w:r w:rsidRPr="00283806">
        <w:t>cylinder. The logistics of sending the</w:t>
      </w:r>
      <w:r w:rsidRPr="00283806">
        <w:rPr>
          <w:spacing w:val="80"/>
        </w:rPr>
        <w:t xml:space="preserve"> </w:t>
      </w:r>
      <w:r w:rsidRPr="00283806">
        <w:t>disposable cylinder may depend on the</w:t>
      </w:r>
      <w:r w:rsidRPr="00283806">
        <w:rPr>
          <w:spacing w:val="80"/>
        </w:rPr>
        <w:t xml:space="preserve"> </w:t>
      </w:r>
      <w:r w:rsidRPr="00283806">
        <w:t>different practices that are used. In the</w:t>
      </w:r>
      <w:r w:rsidRPr="00283806">
        <w:rPr>
          <w:spacing w:val="80"/>
        </w:rPr>
        <w:t xml:space="preserve"> </w:t>
      </w:r>
      <w:r w:rsidRPr="00283806">
        <w:t>case one of these entities has a working</w:t>
      </w:r>
      <w:r w:rsidRPr="00283806">
        <w:rPr>
          <w:spacing w:val="40"/>
        </w:rPr>
        <w:t xml:space="preserve"> </w:t>
      </w:r>
      <w:r w:rsidRPr="00283806">
        <w:t>business</w:t>
      </w:r>
      <w:r w:rsidRPr="00283806">
        <w:rPr>
          <w:spacing w:val="47"/>
        </w:rPr>
        <w:t xml:space="preserve"> </w:t>
      </w:r>
      <w:r w:rsidRPr="00283806">
        <w:t>relationship</w:t>
      </w:r>
      <w:r w:rsidRPr="00283806">
        <w:rPr>
          <w:spacing w:val="47"/>
        </w:rPr>
        <w:t xml:space="preserve"> </w:t>
      </w:r>
      <w:r w:rsidRPr="00283806">
        <w:t>with</w:t>
      </w:r>
      <w:r w:rsidRPr="00283806">
        <w:rPr>
          <w:spacing w:val="47"/>
        </w:rPr>
        <w:t xml:space="preserve"> </w:t>
      </w:r>
      <w:r w:rsidRPr="00283806">
        <w:t>a</w:t>
      </w:r>
      <w:r w:rsidRPr="00283806">
        <w:rPr>
          <w:spacing w:val="47"/>
        </w:rPr>
        <w:t xml:space="preserve"> </w:t>
      </w:r>
      <w:r w:rsidRPr="00283806">
        <w:t>reclaimer,</w:t>
      </w:r>
      <w:r w:rsidRPr="00283806">
        <w:rPr>
          <w:spacing w:val="80"/>
          <w:w w:val="150"/>
        </w:rPr>
        <w:t xml:space="preserve"> </w:t>
      </w:r>
      <w:r w:rsidRPr="00283806">
        <w:t>it would be feasible for that entity to</w:t>
      </w:r>
      <w:r w:rsidRPr="00283806">
        <w:rPr>
          <w:spacing w:val="40"/>
        </w:rPr>
        <w:t xml:space="preserve"> </w:t>
      </w:r>
      <w:r w:rsidRPr="00283806">
        <w:t>manage</w:t>
      </w:r>
      <w:r w:rsidRPr="00283806">
        <w:rPr>
          <w:spacing w:val="53"/>
        </w:rPr>
        <w:t xml:space="preserve"> </w:t>
      </w:r>
      <w:r w:rsidRPr="00283806">
        <w:t>sending</w:t>
      </w:r>
      <w:r w:rsidRPr="00283806">
        <w:rPr>
          <w:spacing w:val="53"/>
        </w:rPr>
        <w:t xml:space="preserve"> </w:t>
      </w:r>
      <w:r w:rsidRPr="00283806">
        <w:t>the</w:t>
      </w:r>
      <w:r w:rsidRPr="00283806">
        <w:rPr>
          <w:spacing w:val="53"/>
        </w:rPr>
        <w:t xml:space="preserve"> </w:t>
      </w:r>
      <w:r w:rsidRPr="00283806">
        <w:t>disposable</w:t>
      </w:r>
      <w:r w:rsidRPr="00283806">
        <w:rPr>
          <w:spacing w:val="80"/>
          <w:w w:val="150"/>
        </w:rPr>
        <w:t xml:space="preserve"> </w:t>
      </w:r>
      <w:r w:rsidRPr="00283806">
        <w:t>cylinders</w:t>
      </w:r>
      <w:r w:rsidRPr="00283806">
        <w:rPr>
          <w:spacing w:val="40"/>
        </w:rPr>
        <w:t xml:space="preserve"> </w:t>
      </w:r>
      <w:r w:rsidRPr="00283806">
        <w:t>to</w:t>
      </w:r>
      <w:r w:rsidRPr="00283806">
        <w:rPr>
          <w:spacing w:val="40"/>
        </w:rPr>
        <w:t xml:space="preserve"> </w:t>
      </w:r>
      <w:r w:rsidRPr="00283806">
        <w:t>a</w:t>
      </w:r>
      <w:r w:rsidRPr="00283806">
        <w:rPr>
          <w:spacing w:val="40"/>
        </w:rPr>
        <w:t xml:space="preserve"> </w:t>
      </w:r>
      <w:r w:rsidRPr="00283806">
        <w:t>reclaimer.</w:t>
      </w:r>
      <w:r w:rsidRPr="00283806">
        <w:rPr>
          <w:spacing w:val="40"/>
        </w:rPr>
        <w:t xml:space="preserve"> </w:t>
      </w:r>
      <w:r w:rsidRPr="00283806">
        <w:t>In</w:t>
      </w:r>
      <w:r w:rsidRPr="00283806">
        <w:rPr>
          <w:spacing w:val="40"/>
        </w:rPr>
        <w:t xml:space="preserve"> </w:t>
      </w:r>
      <w:r w:rsidRPr="00283806">
        <w:t>other</w:t>
      </w:r>
      <w:r w:rsidRPr="00283806">
        <w:rPr>
          <w:spacing w:val="40"/>
        </w:rPr>
        <w:t xml:space="preserve"> </w:t>
      </w:r>
      <w:r w:rsidRPr="00283806">
        <w:t>cases,</w:t>
      </w:r>
      <w:r w:rsidRPr="00283806">
        <w:rPr>
          <w:spacing w:val="40"/>
        </w:rPr>
        <w:t xml:space="preserve"> </w:t>
      </w:r>
      <w:r w:rsidRPr="00283806">
        <w:t>it may be more logistical to have the</w:t>
      </w:r>
      <w:r w:rsidRPr="00283806">
        <w:rPr>
          <w:spacing w:val="80"/>
        </w:rPr>
        <w:t xml:space="preserve"> </w:t>
      </w:r>
      <w:r w:rsidRPr="00283806">
        <w:t>person who purchases the refrigerant be</w:t>
      </w:r>
      <w:r w:rsidRPr="00283806">
        <w:rPr>
          <w:spacing w:val="40"/>
        </w:rPr>
        <w:t xml:space="preserve"> </w:t>
      </w:r>
      <w:r w:rsidRPr="00283806">
        <w:t>responsible for the return of the</w:t>
      </w:r>
      <w:r w:rsidRPr="00283806">
        <w:rPr>
          <w:spacing w:val="80"/>
        </w:rPr>
        <w:t xml:space="preserve"> </w:t>
      </w:r>
      <w:r w:rsidRPr="00283806">
        <w:t>disposable cylinder if they typically are</w:t>
      </w:r>
      <w:r w:rsidRPr="00283806">
        <w:rPr>
          <w:spacing w:val="80"/>
        </w:rPr>
        <w:t xml:space="preserve"> </w:t>
      </w:r>
      <w:r w:rsidRPr="00283806">
        <w:t>already</w:t>
      </w:r>
      <w:r w:rsidRPr="00283806">
        <w:rPr>
          <w:spacing w:val="48"/>
        </w:rPr>
        <w:t xml:space="preserve"> </w:t>
      </w:r>
      <w:r w:rsidRPr="00283806">
        <w:t>returning</w:t>
      </w:r>
      <w:r w:rsidRPr="00283806">
        <w:rPr>
          <w:spacing w:val="48"/>
        </w:rPr>
        <w:t xml:space="preserve"> </w:t>
      </w:r>
      <w:r w:rsidRPr="00283806">
        <w:t>disposable</w:t>
      </w:r>
      <w:r w:rsidRPr="00283806">
        <w:rPr>
          <w:spacing w:val="48"/>
        </w:rPr>
        <w:t xml:space="preserve"> </w:t>
      </w:r>
      <w:r w:rsidRPr="00283806">
        <w:t>cylinders</w:t>
      </w:r>
      <w:r w:rsidRPr="00283806">
        <w:rPr>
          <w:spacing w:val="80"/>
          <w:w w:val="150"/>
        </w:rPr>
        <w:t xml:space="preserve"> </w:t>
      </w:r>
      <w:r w:rsidRPr="00283806">
        <w:t>to their wholesaler or distributor, who</w:t>
      </w:r>
      <w:r w:rsidRPr="00283806">
        <w:rPr>
          <w:spacing w:val="40"/>
        </w:rPr>
        <w:t xml:space="preserve"> </w:t>
      </w:r>
      <w:r w:rsidRPr="00283806">
        <w:t>would then be responsible for returning</w:t>
      </w:r>
      <w:r w:rsidRPr="00283806">
        <w:rPr>
          <w:spacing w:val="40"/>
        </w:rPr>
        <w:t xml:space="preserve"> </w:t>
      </w:r>
      <w:r w:rsidRPr="00283806">
        <w:t>the</w:t>
      </w:r>
      <w:r w:rsidRPr="00283806">
        <w:rPr>
          <w:spacing w:val="40"/>
        </w:rPr>
        <w:t xml:space="preserve"> </w:t>
      </w:r>
      <w:r w:rsidRPr="00283806">
        <w:t>removed</w:t>
      </w:r>
      <w:r w:rsidRPr="00283806">
        <w:rPr>
          <w:spacing w:val="40"/>
        </w:rPr>
        <w:t xml:space="preserve"> </w:t>
      </w:r>
      <w:r w:rsidRPr="00283806">
        <w:t>heels</w:t>
      </w:r>
      <w:r w:rsidRPr="00283806">
        <w:rPr>
          <w:spacing w:val="40"/>
        </w:rPr>
        <w:t xml:space="preserve"> </w:t>
      </w:r>
      <w:r w:rsidRPr="00283806">
        <w:t>or</w:t>
      </w:r>
      <w:r w:rsidRPr="00283806">
        <w:rPr>
          <w:spacing w:val="40"/>
        </w:rPr>
        <w:t xml:space="preserve"> </w:t>
      </w:r>
      <w:r w:rsidRPr="00283806">
        <w:t>disposable</w:t>
      </w:r>
      <w:r w:rsidRPr="00283806">
        <w:rPr>
          <w:spacing w:val="40"/>
        </w:rPr>
        <w:t xml:space="preserve"> </w:t>
      </w:r>
      <w:r w:rsidRPr="00283806">
        <w:t>cylinders to a reclaimer. Finally, as</w:t>
      </w:r>
      <w:r w:rsidRPr="00283806">
        <w:rPr>
          <w:spacing w:val="80"/>
        </w:rPr>
        <w:t xml:space="preserve"> </w:t>
      </w:r>
      <w:r w:rsidRPr="00283806">
        <w:t>described above, EPA is finalizing, in</w:t>
      </w:r>
      <w:r w:rsidRPr="00283806">
        <w:rPr>
          <w:spacing w:val="80"/>
          <w:w w:val="150"/>
        </w:rPr>
        <w:t xml:space="preserve"> </w:t>
      </w:r>
      <w:r w:rsidRPr="00283806">
        <w:t>conjunction, aspects of the alternate</w:t>
      </w:r>
      <w:r w:rsidRPr="00283806">
        <w:rPr>
          <w:spacing w:val="40"/>
        </w:rPr>
        <w:t xml:space="preserve"> </w:t>
      </w:r>
      <w:r w:rsidRPr="00283806">
        <w:t>approach</w:t>
      </w:r>
      <w:r w:rsidRPr="00283806">
        <w:rPr>
          <w:spacing w:val="40"/>
        </w:rPr>
        <w:t xml:space="preserve"> </w:t>
      </w:r>
      <w:r w:rsidRPr="00283806">
        <w:t>to</w:t>
      </w:r>
      <w:r w:rsidRPr="00283806">
        <w:rPr>
          <w:spacing w:val="40"/>
        </w:rPr>
        <w:t xml:space="preserve"> </w:t>
      </w:r>
      <w:r w:rsidRPr="00283806">
        <w:t>allow</w:t>
      </w:r>
      <w:r w:rsidRPr="00283806">
        <w:rPr>
          <w:spacing w:val="40"/>
        </w:rPr>
        <w:t xml:space="preserve"> </w:t>
      </w:r>
      <w:r w:rsidRPr="00283806">
        <w:t>disposable</w:t>
      </w:r>
      <w:r w:rsidRPr="00283806">
        <w:rPr>
          <w:spacing w:val="40"/>
        </w:rPr>
        <w:t xml:space="preserve"> </w:t>
      </w:r>
      <w:r w:rsidRPr="00283806">
        <w:t>cylinders</w:t>
      </w:r>
      <w:r w:rsidRPr="00283806">
        <w:rPr>
          <w:spacing w:val="80"/>
        </w:rPr>
        <w:t xml:space="preserve"> </w:t>
      </w:r>
      <w:r w:rsidRPr="00283806">
        <w:t>to be sent to final processors for the heel</w:t>
      </w:r>
      <w:r w:rsidRPr="00283806">
        <w:rPr>
          <w:spacing w:val="40"/>
        </w:rPr>
        <w:t xml:space="preserve"> </w:t>
      </w:r>
      <w:r w:rsidRPr="00283806">
        <w:t>removal, and EPA is also finalizing that</w:t>
      </w:r>
      <w:r w:rsidRPr="00283806">
        <w:rPr>
          <w:spacing w:val="80"/>
          <w:w w:val="150"/>
        </w:rPr>
        <w:t xml:space="preserve"> </w:t>
      </w:r>
      <w:r w:rsidRPr="00283806">
        <w:t>used disposable cylinders may be</w:t>
      </w:r>
      <w:r w:rsidRPr="00283806">
        <w:rPr>
          <w:spacing w:val="40"/>
        </w:rPr>
        <w:t xml:space="preserve"> </w:t>
      </w:r>
      <w:r w:rsidRPr="00283806">
        <w:t>transported through the reverse supply</w:t>
      </w:r>
      <w:r w:rsidRPr="00283806">
        <w:rPr>
          <w:spacing w:val="40"/>
        </w:rPr>
        <w:t xml:space="preserve"> </w:t>
      </w:r>
      <w:r w:rsidRPr="00283806">
        <w:t>chain (</w:t>
      </w:r>
      <w:r w:rsidRPr="00283806">
        <w:rPr>
          <w:rFonts w:ascii="Book Antiqua"/>
          <w:i/>
        </w:rPr>
        <w:t xml:space="preserve">e.g., </w:t>
      </w:r>
      <w:r w:rsidRPr="00283806">
        <w:t>a distributor or a wholesaler)</w:t>
      </w:r>
      <w:r w:rsidRPr="00283806">
        <w:rPr>
          <w:spacing w:val="40"/>
        </w:rPr>
        <w:t xml:space="preserve"> </w:t>
      </w:r>
      <w:r w:rsidRPr="00283806">
        <w:t>for the removal of the heel. A contractor,</w:t>
      </w:r>
      <w:r w:rsidRPr="00283806">
        <w:rPr>
          <w:spacing w:val="40"/>
        </w:rPr>
        <w:t xml:space="preserve"> </w:t>
      </w:r>
      <w:r w:rsidRPr="00283806">
        <w:t>technician, or an equipment owner/</w:t>
      </w:r>
      <w:r w:rsidRPr="00283806">
        <w:rPr>
          <w:spacing w:val="40"/>
        </w:rPr>
        <w:t xml:space="preserve"> </w:t>
      </w:r>
      <w:r w:rsidRPr="00283806">
        <w:t>operator may wish to establish</w:t>
      </w:r>
      <w:r w:rsidRPr="00283806">
        <w:rPr>
          <w:spacing w:val="80"/>
        </w:rPr>
        <w:t xml:space="preserve"> </w:t>
      </w:r>
      <w:r w:rsidRPr="00283806">
        <w:t>agreements with a final processor or</w:t>
      </w:r>
      <w:r w:rsidRPr="00283806">
        <w:rPr>
          <w:spacing w:val="80"/>
        </w:rPr>
        <w:t xml:space="preserve"> </w:t>
      </w:r>
      <w:r w:rsidRPr="00283806">
        <w:t>utilize</w:t>
      </w:r>
      <w:r w:rsidRPr="00283806">
        <w:rPr>
          <w:spacing w:val="40"/>
        </w:rPr>
        <w:t xml:space="preserve"> </w:t>
      </w:r>
      <w:r w:rsidRPr="00283806">
        <w:t>any</w:t>
      </w:r>
      <w:r w:rsidRPr="00283806">
        <w:rPr>
          <w:spacing w:val="40"/>
        </w:rPr>
        <w:t xml:space="preserve"> </w:t>
      </w:r>
      <w:r w:rsidRPr="00283806">
        <w:t>existing</w:t>
      </w:r>
      <w:r w:rsidRPr="00283806">
        <w:rPr>
          <w:spacing w:val="40"/>
        </w:rPr>
        <w:t xml:space="preserve"> </w:t>
      </w:r>
      <w:r w:rsidRPr="00283806">
        <w:t>business</w:t>
      </w:r>
      <w:r w:rsidRPr="00283806">
        <w:rPr>
          <w:spacing w:val="80"/>
        </w:rPr>
        <w:t xml:space="preserve"> </w:t>
      </w:r>
      <w:r w:rsidRPr="00283806">
        <w:t>relationships</w:t>
      </w:r>
      <w:r w:rsidRPr="00283806">
        <w:rPr>
          <w:spacing w:val="54"/>
        </w:rPr>
        <w:t xml:space="preserve"> </w:t>
      </w:r>
      <w:r w:rsidRPr="00283806">
        <w:t>they</w:t>
      </w:r>
      <w:r w:rsidRPr="00283806">
        <w:rPr>
          <w:spacing w:val="55"/>
        </w:rPr>
        <w:t xml:space="preserve"> </w:t>
      </w:r>
      <w:r w:rsidRPr="00283806">
        <w:t>have</w:t>
      </w:r>
      <w:r w:rsidRPr="00283806">
        <w:rPr>
          <w:spacing w:val="55"/>
        </w:rPr>
        <w:t xml:space="preserve"> </w:t>
      </w:r>
      <w:r w:rsidRPr="00283806">
        <w:t>with</w:t>
      </w:r>
      <w:r w:rsidRPr="00283806">
        <w:rPr>
          <w:spacing w:val="80"/>
          <w:w w:val="150"/>
        </w:rPr>
        <w:t xml:space="preserve"> </w:t>
      </w:r>
      <w:r w:rsidRPr="00283806">
        <w:t>distributors</w:t>
      </w:r>
      <w:r w:rsidRPr="00283806">
        <w:rPr>
          <w:spacing w:val="40"/>
        </w:rPr>
        <w:t xml:space="preserve"> </w:t>
      </w:r>
      <w:r w:rsidRPr="00283806">
        <w:t>or</w:t>
      </w:r>
      <w:r w:rsidRPr="00283806">
        <w:rPr>
          <w:spacing w:val="40"/>
        </w:rPr>
        <w:t xml:space="preserve"> </w:t>
      </w:r>
      <w:r w:rsidRPr="00283806">
        <w:t>wholesalers</w:t>
      </w:r>
      <w:r w:rsidRPr="00283806">
        <w:rPr>
          <w:spacing w:val="40"/>
        </w:rPr>
        <w:t xml:space="preserve"> </w:t>
      </w:r>
      <w:r w:rsidRPr="00283806">
        <w:t>to</w:t>
      </w:r>
      <w:r w:rsidRPr="00283806">
        <w:rPr>
          <w:spacing w:val="40"/>
        </w:rPr>
        <w:t xml:space="preserve"> </w:t>
      </w:r>
      <w:r w:rsidRPr="00283806">
        <w:t>manage</w:t>
      </w:r>
      <w:r w:rsidRPr="00283806">
        <w:rPr>
          <w:spacing w:val="40"/>
        </w:rPr>
        <w:t xml:space="preserve"> </w:t>
      </w:r>
      <w:r w:rsidRPr="00283806">
        <w:t>the</w:t>
      </w:r>
      <w:r w:rsidRPr="00283806">
        <w:rPr>
          <w:spacing w:val="40"/>
        </w:rPr>
        <w:t xml:space="preserve"> </w:t>
      </w:r>
      <w:r w:rsidRPr="00283806">
        <w:t>disposable</w:t>
      </w:r>
      <w:r w:rsidRPr="00283806">
        <w:rPr>
          <w:spacing w:val="40"/>
        </w:rPr>
        <w:t xml:space="preserve"> </w:t>
      </w:r>
      <w:r w:rsidRPr="00283806">
        <w:t>cylinders</w:t>
      </w:r>
      <w:r w:rsidRPr="00283806">
        <w:rPr>
          <w:spacing w:val="40"/>
        </w:rPr>
        <w:t xml:space="preserve"> </w:t>
      </w:r>
      <w:r w:rsidRPr="00283806">
        <w:t>for</w:t>
      </w:r>
      <w:r w:rsidRPr="00283806">
        <w:rPr>
          <w:spacing w:val="40"/>
        </w:rPr>
        <w:t xml:space="preserve"> </w:t>
      </w:r>
      <w:r w:rsidRPr="00283806">
        <w:t>heel</w:t>
      </w:r>
      <w:r w:rsidRPr="00283806">
        <w:rPr>
          <w:spacing w:val="80"/>
        </w:rPr>
        <w:t xml:space="preserve"> </w:t>
      </w:r>
      <w:r w:rsidRPr="00283806">
        <w:t>removal and ultimately sending the</w:t>
      </w:r>
      <w:r w:rsidRPr="00283806">
        <w:rPr>
          <w:spacing w:val="40"/>
        </w:rPr>
        <w:t xml:space="preserve"> </w:t>
      </w:r>
      <w:r w:rsidRPr="00283806">
        <w:t>removed heels to reclaimers or fire</w:t>
      </w:r>
      <w:r w:rsidRPr="00283806">
        <w:rPr>
          <w:spacing w:val="40"/>
        </w:rPr>
        <w:t xml:space="preserve"> </w:t>
      </w:r>
      <w:r w:rsidRPr="00283806">
        <w:t>suppressant recyclers.</w:t>
      </w:r>
    </w:p>
    <w:p w14:paraId="6995391A" w14:textId="77777777" w:rsidR="00D67C1E" w:rsidRPr="00283806" w:rsidRDefault="001265CA">
      <w:pPr>
        <w:spacing w:line="144" w:lineRule="exact"/>
        <w:ind w:left="324"/>
        <w:rPr>
          <w:sz w:val="18"/>
        </w:rPr>
      </w:pPr>
      <w:r w:rsidRPr="00283806">
        <w:rPr>
          <w:rFonts w:ascii="Book Antiqua"/>
          <w:i/>
          <w:w w:val="105"/>
          <w:sz w:val="18"/>
        </w:rPr>
        <w:t>Comment:</w:t>
      </w:r>
      <w:r w:rsidRPr="00283806">
        <w:rPr>
          <w:rFonts w:ascii="Book Antiqua"/>
          <w:i/>
          <w:spacing w:val="15"/>
          <w:w w:val="105"/>
          <w:sz w:val="18"/>
        </w:rPr>
        <w:t xml:space="preserve"> </w:t>
      </w:r>
      <w:r w:rsidRPr="00283806">
        <w:rPr>
          <w:w w:val="105"/>
          <w:sz w:val="18"/>
        </w:rPr>
        <w:t>One</w:t>
      </w:r>
      <w:r w:rsidRPr="00283806">
        <w:rPr>
          <w:spacing w:val="20"/>
          <w:w w:val="105"/>
          <w:sz w:val="18"/>
        </w:rPr>
        <w:t xml:space="preserve"> </w:t>
      </w:r>
      <w:r w:rsidRPr="00283806">
        <w:rPr>
          <w:w w:val="105"/>
          <w:sz w:val="18"/>
        </w:rPr>
        <w:t>commenter</w:t>
      </w:r>
      <w:r w:rsidRPr="00283806">
        <w:rPr>
          <w:spacing w:val="20"/>
          <w:w w:val="105"/>
          <w:sz w:val="18"/>
        </w:rPr>
        <w:t xml:space="preserve"> </w:t>
      </w:r>
      <w:r w:rsidRPr="00283806">
        <w:rPr>
          <w:w w:val="105"/>
          <w:sz w:val="18"/>
        </w:rPr>
        <w:t>stated</w:t>
      </w:r>
      <w:r w:rsidRPr="00283806">
        <w:rPr>
          <w:spacing w:val="20"/>
          <w:w w:val="105"/>
          <w:sz w:val="18"/>
        </w:rPr>
        <w:t xml:space="preserve"> </w:t>
      </w:r>
      <w:r w:rsidRPr="00283806">
        <w:rPr>
          <w:spacing w:val="-4"/>
          <w:w w:val="105"/>
          <w:sz w:val="18"/>
        </w:rPr>
        <w:t>that</w:t>
      </w:r>
    </w:p>
    <w:p w14:paraId="1CBC7FFA" w14:textId="77777777" w:rsidR="00D67C1E" w:rsidRPr="00283806" w:rsidRDefault="001265CA">
      <w:pPr>
        <w:pStyle w:val="BodyText"/>
        <w:spacing w:line="225" w:lineRule="auto"/>
        <w:ind w:left="144" w:right="20"/>
      </w:pPr>
      <w:proofErr w:type="gramStart"/>
      <w:r w:rsidRPr="00283806">
        <w:rPr>
          <w:w w:val="105"/>
        </w:rPr>
        <w:t>when</w:t>
      </w:r>
      <w:proofErr w:type="gramEnd"/>
      <w:r w:rsidRPr="00283806">
        <w:rPr>
          <w:w w:val="105"/>
        </w:rPr>
        <w:t xml:space="preserve"> recovery machines are used for refrigerants, the refrigerant lubricates</w:t>
      </w:r>
      <w:r w:rsidRPr="00283806">
        <w:rPr>
          <w:spacing w:val="40"/>
          <w:w w:val="105"/>
        </w:rPr>
        <w:t xml:space="preserve"> </w:t>
      </w:r>
      <w:r w:rsidRPr="00283806">
        <w:rPr>
          <w:w w:val="105"/>
        </w:rPr>
        <w:t>the machines; however, this lubrication will</w:t>
      </w:r>
      <w:r w:rsidRPr="00283806">
        <w:rPr>
          <w:spacing w:val="40"/>
          <w:w w:val="105"/>
        </w:rPr>
        <w:t xml:space="preserve"> </w:t>
      </w:r>
      <w:r w:rsidRPr="00283806">
        <w:rPr>
          <w:w w:val="105"/>
        </w:rPr>
        <w:t>not</w:t>
      </w:r>
      <w:r w:rsidRPr="00283806">
        <w:rPr>
          <w:spacing w:val="40"/>
          <w:w w:val="105"/>
        </w:rPr>
        <w:t xml:space="preserve"> </w:t>
      </w:r>
      <w:r w:rsidRPr="00283806">
        <w:rPr>
          <w:w w:val="105"/>
        </w:rPr>
        <w:t>occur</w:t>
      </w:r>
      <w:r w:rsidRPr="00283806">
        <w:rPr>
          <w:spacing w:val="40"/>
          <w:w w:val="105"/>
        </w:rPr>
        <w:t xml:space="preserve"> </w:t>
      </w:r>
      <w:r w:rsidRPr="00283806">
        <w:rPr>
          <w:w w:val="105"/>
        </w:rPr>
        <w:t>in</w:t>
      </w:r>
      <w:r w:rsidRPr="00283806">
        <w:rPr>
          <w:spacing w:val="40"/>
          <w:w w:val="105"/>
        </w:rPr>
        <w:t xml:space="preserve"> </w:t>
      </w:r>
      <w:r w:rsidRPr="00283806">
        <w:rPr>
          <w:w w:val="105"/>
        </w:rPr>
        <w:t>a</w:t>
      </w:r>
      <w:r w:rsidRPr="00283806">
        <w:rPr>
          <w:spacing w:val="40"/>
          <w:w w:val="105"/>
        </w:rPr>
        <w:t xml:space="preserve"> </w:t>
      </w:r>
      <w:r w:rsidRPr="00283806">
        <w:rPr>
          <w:w w:val="105"/>
        </w:rPr>
        <w:t>machine</w:t>
      </w:r>
      <w:r w:rsidRPr="00283806">
        <w:rPr>
          <w:spacing w:val="40"/>
          <w:w w:val="105"/>
        </w:rPr>
        <w:t xml:space="preserve"> </w:t>
      </w:r>
      <w:r w:rsidRPr="00283806">
        <w:rPr>
          <w:w w:val="105"/>
        </w:rPr>
        <w:t>strictly doing heel removal, and such a machine will have a shorter lifespan.</w:t>
      </w:r>
    </w:p>
    <w:p w14:paraId="06865205" w14:textId="77777777" w:rsidR="00D67C1E" w:rsidRPr="00283806" w:rsidRDefault="001265CA">
      <w:pPr>
        <w:pStyle w:val="BodyText"/>
        <w:spacing w:line="213" w:lineRule="auto"/>
        <w:ind w:left="144" w:right="7" w:firstLine="180"/>
      </w:pPr>
      <w:r w:rsidRPr="00283806">
        <w:rPr>
          <w:rFonts w:ascii="Book Antiqua"/>
          <w:i/>
          <w:w w:val="105"/>
        </w:rPr>
        <w:t xml:space="preserve">Response: </w:t>
      </w:r>
      <w:r w:rsidRPr="00283806">
        <w:rPr>
          <w:w w:val="105"/>
        </w:rPr>
        <w:t>EPA is aware that recovery machines</w:t>
      </w:r>
      <w:r w:rsidRPr="00283806">
        <w:rPr>
          <w:spacing w:val="9"/>
          <w:w w:val="105"/>
        </w:rPr>
        <w:t xml:space="preserve"> </w:t>
      </w:r>
      <w:r w:rsidRPr="00283806">
        <w:rPr>
          <w:w w:val="105"/>
        </w:rPr>
        <w:t>are</w:t>
      </w:r>
      <w:r w:rsidRPr="00283806">
        <w:rPr>
          <w:spacing w:val="10"/>
          <w:w w:val="105"/>
        </w:rPr>
        <w:t xml:space="preserve"> </w:t>
      </w:r>
      <w:r w:rsidRPr="00283806">
        <w:rPr>
          <w:w w:val="105"/>
        </w:rPr>
        <w:t>used</w:t>
      </w:r>
      <w:r w:rsidRPr="00283806">
        <w:rPr>
          <w:spacing w:val="9"/>
          <w:w w:val="105"/>
        </w:rPr>
        <w:t xml:space="preserve"> </w:t>
      </w:r>
      <w:r w:rsidRPr="00283806">
        <w:rPr>
          <w:w w:val="105"/>
        </w:rPr>
        <w:t>in</w:t>
      </w:r>
      <w:r w:rsidRPr="00283806">
        <w:rPr>
          <w:spacing w:val="10"/>
          <w:w w:val="105"/>
        </w:rPr>
        <w:t xml:space="preserve"> </w:t>
      </w:r>
      <w:r w:rsidRPr="00283806">
        <w:rPr>
          <w:w w:val="105"/>
        </w:rPr>
        <w:t>practice</w:t>
      </w:r>
      <w:r w:rsidRPr="00283806">
        <w:rPr>
          <w:spacing w:val="9"/>
          <w:w w:val="105"/>
        </w:rPr>
        <w:t xml:space="preserve"> </w:t>
      </w:r>
      <w:r w:rsidRPr="00283806">
        <w:rPr>
          <w:w w:val="105"/>
        </w:rPr>
        <w:t>to</w:t>
      </w:r>
      <w:r w:rsidRPr="00283806">
        <w:rPr>
          <w:spacing w:val="10"/>
          <w:w w:val="105"/>
        </w:rPr>
        <w:t xml:space="preserve"> </w:t>
      </w:r>
      <w:r w:rsidRPr="00283806">
        <w:rPr>
          <w:spacing w:val="-2"/>
          <w:w w:val="105"/>
        </w:rPr>
        <w:t>remove</w:t>
      </w:r>
    </w:p>
    <w:p w14:paraId="6A054622" w14:textId="77777777" w:rsidR="00D67C1E" w:rsidRPr="00283806" w:rsidRDefault="001265CA">
      <w:pPr>
        <w:pStyle w:val="BodyText"/>
        <w:spacing w:line="228" w:lineRule="auto"/>
        <w:ind w:left="144" w:right="62"/>
      </w:pPr>
      <w:r w:rsidRPr="00283806">
        <w:rPr>
          <w:w w:val="105"/>
        </w:rPr>
        <w:t>refrigerant</w:t>
      </w:r>
      <w:r w:rsidRPr="00283806">
        <w:rPr>
          <w:spacing w:val="-1"/>
          <w:w w:val="105"/>
        </w:rPr>
        <w:t xml:space="preserve"> </w:t>
      </w:r>
      <w:r w:rsidRPr="00283806">
        <w:rPr>
          <w:w w:val="105"/>
        </w:rPr>
        <w:t>from</w:t>
      </w:r>
      <w:r w:rsidRPr="00283806">
        <w:rPr>
          <w:spacing w:val="-1"/>
          <w:w w:val="105"/>
        </w:rPr>
        <w:t xml:space="preserve"> </w:t>
      </w:r>
      <w:r w:rsidRPr="00283806">
        <w:rPr>
          <w:w w:val="105"/>
        </w:rPr>
        <w:t>equipment</w:t>
      </w:r>
      <w:r w:rsidRPr="00283806">
        <w:rPr>
          <w:spacing w:val="-1"/>
          <w:w w:val="105"/>
        </w:rPr>
        <w:t xml:space="preserve"> </w:t>
      </w:r>
      <w:r w:rsidRPr="00283806">
        <w:rPr>
          <w:w w:val="105"/>
        </w:rPr>
        <w:t>and</w:t>
      </w:r>
      <w:r w:rsidRPr="00283806">
        <w:rPr>
          <w:spacing w:val="-1"/>
          <w:w w:val="105"/>
        </w:rPr>
        <w:t xml:space="preserve"> </w:t>
      </w:r>
      <w:r w:rsidRPr="00283806">
        <w:rPr>
          <w:w w:val="105"/>
        </w:rPr>
        <w:t>can</w:t>
      </w:r>
      <w:r w:rsidRPr="00283806">
        <w:rPr>
          <w:spacing w:val="-1"/>
          <w:w w:val="105"/>
        </w:rPr>
        <w:t xml:space="preserve"> </w:t>
      </w:r>
      <w:r w:rsidRPr="00283806">
        <w:rPr>
          <w:w w:val="105"/>
        </w:rPr>
        <w:t>be used to remove heels from disposable</w:t>
      </w:r>
    </w:p>
    <w:p w14:paraId="676068A8" w14:textId="77777777" w:rsidR="00D67C1E" w:rsidRPr="00283806" w:rsidRDefault="001265CA">
      <w:pPr>
        <w:pStyle w:val="BodyText"/>
        <w:spacing w:before="135" w:line="225" w:lineRule="auto"/>
        <w:ind w:left="145" w:right="179"/>
      </w:pPr>
      <w:r w:rsidRPr="00283806">
        <w:br w:type="column"/>
      </w:r>
      <w:r w:rsidRPr="00283806">
        <w:rPr>
          <w:w w:val="105"/>
        </w:rPr>
        <w:t>cylinders. EPA assumes that a recovery machine will be used for each of these practices, and not strictly one or the other. Further, the Agency anticipates that recovery machines will have proper maintenance to ensure that they are running efficiently and are properly operated throughout their useful</w:t>
      </w:r>
      <w:r w:rsidRPr="00283806">
        <w:rPr>
          <w:spacing w:val="80"/>
          <w:w w:val="105"/>
        </w:rPr>
        <w:t xml:space="preserve"> </w:t>
      </w:r>
      <w:r w:rsidRPr="00283806">
        <w:rPr>
          <w:spacing w:val="-2"/>
          <w:w w:val="105"/>
        </w:rPr>
        <w:t>lifetime.</w:t>
      </w:r>
    </w:p>
    <w:p w14:paraId="789BDADB" w14:textId="77777777" w:rsidR="00D67C1E" w:rsidRPr="00283806" w:rsidRDefault="001265CA">
      <w:pPr>
        <w:spacing w:line="182" w:lineRule="exact"/>
        <w:ind w:left="325"/>
        <w:rPr>
          <w:sz w:val="18"/>
        </w:rPr>
      </w:pPr>
      <w:r w:rsidRPr="00283806">
        <w:rPr>
          <w:rFonts w:ascii="Book Antiqua"/>
          <w:i/>
          <w:w w:val="105"/>
          <w:sz w:val="18"/>
        </w:rPr>
        <w:t>Comment:</w:t>
      </w:r>
      <w:r w:rsidRPr="00283806">
        <w:rPr>
          <w:rFonts w:ascii="Book Antiqua"/>
          <w:i/>
          <w:spacing w:val="15"/>
          <w:w w:val="105"/>
          <w:sz w:val="18"/>
        </w:rPr>
        <w:t xml:space="preserve"> </w:t>
      </w:r>
      <w:r w:rsidRPr="00283806">
        <w:rPr>
          <w:w w:val="105"/>
          <w:sz w:val="18"/>
        </w:rPr>
        <w:t>One</w:t>
      </w:r>
      <w:r w:rsidRPr="00283806">
        <w:rPr>
          <w:spacing w:val="20"/>
          <w:w w:val="105"/>
          <w:sz w:val="18"/>
        </w:rPr>
        <w:t xml:space="preserve"> </w:t>
      </w:r>
      <w:r w:rsidRPr="00283806">
        <w:rPr>
          <w:w w:val="105"/>
          <w:sz w:val="18"/>
        </w:rPr>
        <w:t>commenter</w:t>
      </w:r>
      <w:r w:rsidRPr="00283806">
        <w:rPr>
          <w:spacing w:val="20"/>
          <w:w w:val="105"/>
          <w:sz w:val="18"/>
        </w:rPr>
        <w:t xml:space="preserve"> </w:t>
      </w:r>
      <w:r w:rsidRPr="00283806">
        <w:rPr>
          <w:w w:val="105"/>
          <w:sz w:val="18"/>
        </w:rPr>
        <w:t>stated</w:t>
      </w:r>
      <w:r w:rsidRPr="00283806">
        <w:rPr>
          <w:spacing w:val="20"/>
          <w:w w:val="105"/>
          <w:sz w:val="18"/>
        </w:rPr>
        <w:t xml:space="preserve"> </w:t>
      </w:r>
      <w:r w:rsidRPr="00283806">
        <w:rPr>
          <w:spacing w:val="-4"/>
          <w:w w:val="105"/>
          <w:sz w:val="18"/>
        </w:rPr>
        <w:t>that</w:t>
      </w:r>
    </w:p>
    <w:p w14:paraId="0E27FDFF" w14:textId="77777777" w:rsidR="00D67C1E" w:rsidRPr="00283806" w:rsidRDefault="001265CA">
      <w:pPr>
        <w:pStyle w:val="BodyText"/>
        <w:spacing w:line="225" w:lineRule="auto"/>
        <w:ind w:left="145" w:right="271"/>
      </w:pPr>
      <w:proofErr w:type="gramStart"/>
      <w:r w:rsidRPr="00283806">
        <w:rPr>
          <w:w w:val="105"/>
        </w:rPr>
        <w:t>the</w:t>
      </w:r>
      <w:proofErr w:type="gramEnd"/>
      <w:r w:rsidRPr="00283806">
        <w:rPr>
          <w:w w:val="105"/>
        </w:rPr>
        <w:t xml:space="preserve"> proposed regulatory text contained conflicting language about the ownership of recovered </w:t>
      </w:r>
      <w:proofErr w:type="gramStart"/>
      <w:r w:rsidRPr="00283806">
        <w:rPr>
          <w:w w:val="105"/>
        </w:rPr>
        <w:t>refrigerant</w:t>
      </w:r>
      <w:proofErr w:type="gramEnd"/>
      <w:r w:rsidRPr="00283806">
        <w:rPr>
          <w:w w:val="105"/>
        </w:rPr>
        <w:t xml:space="preserve">, surplus </w:t>
      </w:r>
      <w:proofErr w:type="gramStart"/>
      <w:r w:rsidRPr="00283806">
        <w:rPr>
          <w:w w:val="105"/>
        </w:rPr>
        <w:t>refrigerant</w:t>
      </w:r>
      <w:proofErr w:type="gramEnd"/>
      <w:r w:rsidRPr="00283806">
        <w:rPr>
          <w:w w:val="105"/>
        </w:rPr>
        <w:t>, and disposable containers with heels. The commenter states that the language should be clarified to not exclude companies important to the supply chain that purchase or accept recovered gas or salvage and recycling companies.</w:t>
      </w:r>
    </w:p>
    <w:p w14:paraId="2F47CB9F" w14:textId="77777777" w:rsidR="00D67C1E" w:rsidRPr="00283806" w:rsidRDefault="001265CA">
      <w:pPr>
        <w:spacing w:line="182" w:lineRule="exact"/>
        <w:ind w:left="325"/>
        <w:rPr>
          <w:sz w:val="18"/>
        </w:rPr>
      </w:pPr>
      <w:r w:rsidRPr="00283806">
        <w:rPr>
          <w:rFonts w:ascii="Book Antiqua"/>
          <w:i/>
          <w:w w:val="110"/>
          <w:sz w:val="18"/>
        </w:rPr>
        <w:t>Response:</w:t>
      </w:r>
      <w:r w:rsidRPr="00283806">
        <w:rPr>
          <w:rFonts w:ascii="Book Antiqua"/>
          <w:i/>
          <w:spacing w:val="2"/>
          <w:w w:val="110"/>
          <w:sz w:val="18"/>
        </w:rPr>
        <w:t xml:space="preserve"> </w:t>
      </w:r>
      <w:r w:rsidRPr="00283806">
        <w:rPr>
          <w:w w:val="110"/>
          <w:sz w:val="18"/>
        </w:rPr>
        <w:t>EPA</w:t>
      </w:r>
      <w:r w:rsidRPr="00283806">
        <w:rPr>
          <w:spacing w:val="8"/>
          <w:w w:val="110"/>
          <w:sz w:val="18"/>
        </w:rPr>
        <w:t xml:space="preserve"> </w:t>
      </w:r>
      <w:r w:rsidRPr="00283806">
        <w:rPr>
          <w:w w:val="110"/>
          <w:sz w:val="18"/>
        </w:rPr>
        <w:t>acknowledges</w:t>
      </w:r>
      <w:r w:rsidRPr="00283806">
        <w:rPr>
          <w:spacing w:val="8"/>
          <w:w w:val="110"/>
          <w:sz w:val="18"/>
        </w:rPr>
        <w:t xml:space="preserve"> </w:t>
      </w:r>
      <w:r w:rsidRPr="00283806">
        <w:rPr>
          <w:spacing w:val="-4"/>
          <w:w w:val="110"/>
          <w:sz w:val="18"/>
        </w:rPr>
        <w:t>this</w:t>
      </w:r>
    </w:p>
    <w:p w14:paraId="705B5E23" w14:textId="77777777" w:rsidR="00D67C1E" w:rsidRPr="00283806" w:rsidRDefault="001265CA">
      <w:pPr>
        <w:pStyle w:val="BodyText"/>
        <w:spacing w:line="223" w:lineRule="auto"/>
        <w:ind w:left="145" w:right="153"/>
      </w:pPr>
      <w:r w:rsidRPr="00283806">
        <w:rPr>
          <w:w w:val="105"/>
        </w:rPr>
        <w:t xml:space="preserve">comment. The Agency did not intend to propose to </w:t>
      </w:r>
      <w:proofErr w:type="gramStart"/>
      <w:r w:rsidRPr="00283806">
        <w:rPr>
          <w:w w:val="105"/>
        </w:rPr>
        <w:t>limit</w:t>
      </w:r>
      <w:proofErr w:type="gramEnd"/>
      <w:r w:rsidRPr="00283806">
        <w:rPr>
          <w:w w:val="105"/>
        </w:rPr>
        <w:t xml:space="preserve"> so that only one avenue (</w:t>
      </w:r>
      <w:r w:rsidRPr="00283806">
        <w:rPr>
          <w:rFonts w:ascii="Book Antiqua"/>
          <w:i/>
          <w:w w:val="105"/>
        </w:rPr>
        <w:t xml:space="preserve">i.e., </w:t>
      </w:r>
      <w:r w:rsidRPr="00283806">
        <w:rPr>
          <w:w w:val="105"/>
        </w:rPr>
        <w:t>sending used disposable cylinders</w:t>
      </w:r>
      <w:r w:rsidRPr="00283806">
        <w:rPr>
          <w:spacing w:val="40"/>
          <w:w w:val="105"/>
        </w:rPr>
        <w:t xml:space="preserve"> </w:t>
      </w:r>
      <w:r w:rsidRPr="00283806">
        <w:rPr>
          <w:w w:val="105"/>
        </w:rPr>
        <w:t>to reclaimers or fire suppressant recyclers) would be available to send disposable cylinders to reclaimers or</w:t>
      </w:r>
      <w:r w:rsidRPr="00283806">
        <w:rPr>
          <w:spacing w:val="80"/>
          <w:w w:val="105"/>
        </w:rPr>
        <w:t xml:space="preserve"> </w:t>
      </w:r>
      <w:r w:rsidRPr="00283806">
        <w:rPr>
          <w:w w:val="105"/>
        </w:rPr>
        <w:t>fire suppressant recyclers. EPA is aware of and has reviewed comments on the significance of other components of the reverse supply chain (</w:t>
      </w:r>
      <w:r w:rsidRPr="00283806">
        <w:rPr>
          <w:rFonts w:ascii="Book Antiqua"/>
          <w:i/>
          <w:w w:val="105"/>
        </w:rPr>
        <w:t xml:space="preserve">e.g., </w:t>
      </w:r>
      <w:r w:rsidRPr="00283806">
        <w:rPr>
          <w:w w:val="105"/>
        </w:rPr>
        <w:t>distributors</w:t>
      </w:r>
      <w:r w:rsidRPr="00283806">
        <w:rPr>
          <w:spacing w:val="40"/>
          <w:w w:val="105"/>
        </w:rPr>
        <w:t xml:space="preserve"> </w:t>
      </w:r>
      <w:r w:rsidRPr="00283806">
        <w:rPr>
          <w:w w:val="105"/>
        </w:rPr>
        <w:t>or wholesalers) to the transport of disposable cylinders to reclaimers and fire suppressant recyclers. The Agency also notes that it is finalizing provisions to</w:t>
      </w:r>
      <w:r w:rsidRPr="00283806">
        <w:rPr>
          <w:spacing w:val="40"/>
          <w:w w:val="105"/>
        </w:rPr>
        <w:t xml:space="preserve"> </w:t>
      </w:r>
      <w:r w:rsidRPr="00283806">
        <w:rPr>
          <w:w w:val="105"/>
        </w:rPr>
        <w:t>allow</w:t>
      </w:r>
      <w:r w:rsidRPr="00283806">
        <w:rPr>
          <w:spacing w:val="40"/>
          <w:w w:val="105"/>
        </w:rPr>
        <w:t xml:space="preserve"> </w:t>
      </w:r>
      <w:r w:rsidRPr="00283806">
        <w:rPr>
          <w:w w:val="105"/>
        </w:rPr>
        <w:t>the</w:t>
      </w:r>
      <w:r w:rsidRPr="00283806">
        <w:rPr>
          <w:spacing w:val="40"/>
          <w:w w:val="105"/>
        </w:rPr>
        <w:t xml:space="preserve"> </w:t>
      </w:r>
      <w:r w:rsidRPr="00283806">
        <w:rPr>
          <w:w w:val="105"/>
        </w:rPr>
        <w:t>used</w:t>
      </w:r>
      <w:r w:rsidRPr="00283806">
        <w:rPr>
          <w:spacing w:val="40"/>
          <w:w w:val="105"/>
        </w:rPr>
        <w:t xml:space="preserve"> </w:t>
      </w:r>
      <w:r w:rsidRPr="00283806">
        <w:rPr>
          <w:w w:val="105"/>
        </w:rPr>
        <w:t>disposable</w:t>
      </w:r>
      <w:r w:rsidRPr="00283806">
        <w:rPr>
          <w:spacing w:val="40"/>
          <w:w w:val="105"/>
        </w:rPr>
        <w:t xml:space="preserve"> </w:t>
      </w:r>
      <w:r w:rsidRPr="00283806">
        <w:rPr>
          <w:w w:val="105"/>
        </w:rPr>
        <w:t>cylinders to be sent to a final processor or through the reverse supply chain for removal of the heel and ultimately sending the recovered material to a reclaimer.</w:t>
      </w:r>
    </w:p>
    <w:p w14:paraId="7C375A93" w14:textId="77777777" w:rsidR="00D67C1E" w:rsidRPr="00283806" w:rsidRDefault="001265CA">
      <w:pPr>
        <w:pStyle w:val="BodyText"/>
        <w:spacing w:line="225" w:lineRule="auto"/>
        <w:ind w:left="145" w:right="121" w:firstLine="180"/>
      </w:pPr>
      <w:r w:rsidRPr="00283806">
        <w:rPr>
          <w:rFonts w:ascii="Book Antiqua"/>
          <w:i/>
          <w:w w:val="105"/>
        </w:rPr>
        <w:t xml:space="preserve">Comment: </w:t>
      </w:r>
      <w:r w:rsidRPr="00283806">
        <w:rPr>
          <w:w w:val="105"/>
        </w:rPr>
        <w:t>Two commenters stated</w:t>
      </w:r>
      <w:r w:rsidRPr="00283806">
        <w:rPr>
          <w:spacing w:val="80"/>
          <w:w w:val="105"/>
        </w:rPr>
        <w:t xml:space="preserve"> </w:t>
      </w:r>
      <w:r w:rsidRPr="00283806">
        <w:rPr>
          <w:w w:val="105"/>
        </w:rPr>
        <w:t>that the Agency should define when a cylinder is considered empty and is considered to no longer contain a regulated</w:t>
      </w:r>
      <w:r w:rsidRPr="00283806">
        <w:rPr>
          <w:spacing w:val="40"/>
          <w:w w:val="105"/>
        </w:rPr>
        <w:t xml:space="preserve"> </w:t>
      </w:r>
      <w:r w:rsidRPr="00283806">
        <w:rPr>
          <w:w w:val="105"/>
        </w:rPr>
        <w:t>substance,</w:t>
      </w:r>
      <w:r w:rsidRPr="00283806">
        <w:rPr>
          <w:spacing w:val="40"/>
          <w:w w:val="105"/>
        </w:rPr>
        <w:t xml:space="preserve"> </w:t>
      </w:r>
      <w:r w:rsidRPr="00283806">
        <w:rPr>
          <w:w w:val="105"/>
        </w:rPr>
        <w:t>which</w:t>
      </w:r>
      <w:r w:rsidRPr="00283806">
        <w:rPr>
          <w:spacing w:val="40"/>
          <w:w w:val="105"/>
        </w:rPr>
        <w:t xml:space="preserve"> </w:t>
      </w:r>
      <w:r w:rsidRPr="00283806">
        <w:rPr>
          <w:w w:val="105"/>
        </w:rPr>
        <w:t>could</w:t>
      </w:r>
      <w:r w:rsidRPr="00283806">
        <w:rPr>
          <w:spacing w:val="40"/>
          <w:w w:val="105"/>
        </w:rPr>
        <w:t xml:space="preserve"> </w:t>
      </w:r>
      <w:r w:rsidRPr="00283806">
        <w:rPr>
          <w:w w:val="105"/>
        </w:rPr>
        <w:t>reduce the need to send all disposable cylinders for heel removal. One such commenter suggested that a disposable cylinder could be considered empty</w:t>
      </w:r>
      <w:r w:rsidRPr="00283806">
        <w:rPr>
          <w:spacing w:val="40"/>
          <w:w w:val="105"/>
        </w:rPr>
        <w:t xml:space="preserve"> </w:t>
      </w:r>
      <w:r w:rsidRPr="00283806">
        <w:rPr>
          <w:w w:val="105"/>
        </w:rPr>
        <w:t>when the cylinder approaches atmospheric pressure, as consistent with RCRA regulations; and that the pressure of the cylinder would be documented.</w:t>
      </w:r>
    </w:p>
    <w:p w14:paraId="729AAEF6" w14:textId="77777777" w:rsidR="00D67C1E" w:rsidRPr="00283806" w:rsidRDefault="001265CA">
      <w:pPr>
        <w:pStyle w:val="BodyText"/>
        <w:spacing w:line="185" w:lineRule="exact"/>
        <w:ind w:left="145"/>
      </w:pPr>
      <w:r w:rsidRPr="00283806">
        <w:rPr>
          <w:w w:val="105"/>
        </w:rPr>
        <w:t>Further,</w:t>
      </w:r>
      <w:r w:rsidRPr="00283806">
        <w:rPr>
          <w:spacing w:val="2"/>
          <w:w w:val="105"/>
        </w:rPr>
        <w:t xml:space="preserve"> </w:t>
      </w:r>
      <w:r w:rsidRPr="00283806">
        <w:rPr>
          <w:w w:val="105"/>
        </w:rPr>
        <w:t>the</w:t>
      </w:r>
      <w:r w:rsidRPr="00283806">
        <w:rPr>
          <w:spacing w:val="3"/>
          <w:w w:val="105"/>
        </w:rPr>
        <w:t xml:space="preserve"> </w:t>
      </w:r>
      <w:r w:rsidRPr="00283806">
        <w:rPr>
          <w:w w:val="105"/>
        </w:rPr>
        <w:t>commenter</w:t>
      </w:r>
      <w:r w:rsidRPr="00283806">
        <w:rPr>
          <w:spacing w:val="3"/>
          <w:w w:val="105"/>
        </w:rPr>
        <w:t xml:space="preserve"> </w:t>
      </w:r>
      <w:r w:rsidRPr="00283806">
        <w:rPr>
          <w:w w:val="105"/>
        </w:rPr>
        <w:t>stated</w:t>
      </w:r>
      <w:r w:rsidRPr="00283806">
        <w:rPr>
          <w:spacing w:val="3"/>
          <w:w w:val="105"/>
        </w:rPr>
        <w:t xml:space="preserve"> </w:t>
      </w:r>
      <w:r w:rsidRPr="00283806">
        <w:rPr>
          <w:w w:val="105"/>
        </w:rPr>
        <w:t>that</w:t>
      </w:r>
      <w:r w:rsidRPr="00283806">
        <w:rPr>
          <w:spacing w:val="3"/>
          <w:w w:val="105"/>
        </w:rPr>
        <w:t xml:space="preserve"> </w:t>
      </w:r>
      <w:r w:rsidRPr="00283806">
        <w:rPr>
          <w:spacing w:val="-5"/>
          <w:w w:val="105"/>
        </w:rPr>
        <w:t>EPA</w:t>
      </w:r>
    </w:p>
    <w:p w14:paraId="3337136C" w14:textId="77777777" w:rsidR="00D67C1E" w:rsidRPr="00283806" w:rsidRDefault="001265CA">
      <w:pPr>
        <w:pStyle w:val="BodyText"/>
        <w:spacing w:line="228" w:lineRule="auto"/>
        <w:ind w:left="145" w:right="231"/>
      </w:pPr>
      <w:r w:rsidRPr="00283806">
        <w:rPr>
          <w:w w:val="105"/>
        </w:rPr>
        <w:t>should state in the regulation how a reclaimer would determine that all remaining contents of a disposable cylinder have been removed, and if there is a specified pressure level that should be met. The other commenter stated that EPA must be clear by what</w:t>
      </w:r>
      <w:r w:rsidRPr="00283806">
        <w:rPr>
          <w:spacing w:val="80"/>
          <w:w w:val="105"/>
        </w:rPr>
        <w:t xml:space="preserve"> </w:t>
      </w:r>
      <w:r w:rsidRPr="00283806">
        <w:rPr>
          <w:w w:val="105"/>
        </w:rPr>
        <w:t>is meant to remove all substances from</w:t>
      </w:r>
      <w:r w:rsidRPr="00283806">
        <w:rPr>
          <w:spacing w:val="40"/>
          <w:w w:val="105"/>
        </w:rPr>
        <w:t xml:space="preserve"> </w:t>
      </w:r>
      <w:r w:rsidRPr="00283806">
        <w:rPr>
          <w:w w:val="105"/>
        </w:rPr>
        <w:t>a cylinder, noting current requirements for removing refrigerants from equipment to acceptable levels.</w:t>
      </w:r>
    </w:p>
    <w:p w14:paraId="62F0DA0B" w14:textId="77777777" w:rsidR="00D67C1E" w:rsidRPr="00283806" w:rsidRDefault="001265CA">
      <w:pPr>
        <w:pStyle w:val="BodyText"/>
        <w:spacing w:line="175" w:lineRule="exact"/>
        <w:ind w:left="325"/>
      </w:pPr>
      <w:r w:rsidRPr="00283806">
        <w:rPr>
          <w:w w:val="105"/>
        </w:rPr>
        <w:t>Other</w:t>
      </w:r>
      <w:r w:rsidRPr="00283806">
        <w:rPr>
          <w:spacing w:val="4"/>
          <w:w w:val="105"/>
        </w:rPr>
        <w:t xml:space="preserve"> </w:t>
      </w:r>
      <w:r w:rsidRPr="00283806">
        <w:rPr>
          <w:w w:val="105"/>
        </w:rPr>
        <w:t>commenters</w:t>
      </w:r>
      <w:r w:rsidRPr="00283806">
        <w:rPr>
          <w:spacing w:val="4"/>
          <w:w w:val="105"/>
        </w:rPr>
        <w:t xml:space="preserve"> </w:t>
      </w:r>
      <w:r w:rsidRPr="00283806">
        <w:rPr>
          <w:spacing w:val="-2"/>
          <w:w w:val="105"/>
        </w:rPr>
        <w:t>suggested</w:t>
      </w:r>
    </w:p>
    <w:p w14:paraId="4CE9C098" w14:textId="77777777" w:rsidR="00D67C1E" w:rsidRPr="00283806" w:rsidRDefault="001265CA">
      <w:pPr>
        <w:pStyle w:val="BodyText"/>
        <w:spacing w:before="2" w:line="228" w:lineRule="auto"/>
        <w:ind w:left="145" w:right="171"/>
      </w:pPr>
      <w:r w:rsidRPr="00283806">
        <w:rPr>
          <w:w w:val="105"/>
        </w:rPr>
        <w:t>requiring that heels from disposable cylinders be evacuated to a level of a minimum</w:t>
      </w:r>
      <w:r w:rsidRPr="00283806">
        <w:rPr>
          <w:spacing w:val="22"/>
          <w:w w:val="105"/>
        </w:rPr>
        <w:t xml:space="preserve"> </w:t>
      </w:r>
      <w:r w:rsidRPr="00283806">
        <w:rPr>
          <w:w w:val="105"/>
        </w:rPr>
        <w:t>15</w:t>
      </w:r>
      <w:r w:rsidRPr="00283806">
        <w:rPr>
          <w:spacing w:val="22"/>
          <w:w w:val="105"/>
        </w:rPr>
        <w:t xml:space="preserve"> </w:t>
      </w:r>
      <w:r w:rsidRPr="00283806">
        <w:rPr>
          <w:w w:val="105"/>
        </w:rPr>
        <w:t>in-Hg.</w:t>
      </w:r>
      <w:r w:rsidRPr="00283806">
        <w:rPr>
          <w:spacing w:val="23"/>
          <w:w w:val="105"/>
        </w:rPr>
        <w:t xml:space="preserve"> </w:t>
      </w:r>
      <w:r w:rsidRPr="00283806">
        <w:rPr>
          <w:w w:val="105"/>
        </w:rPr>
        <w:t>One</w:t>
      </w:r>
      <w:r w:rsidRPr="00283806">
        <w:rPr>
          <w:spacing w:val="22"/>
          <w:w w:val="105"/>
        </w:rPr>
        <w:t xml:space="preserve"> </w:t>
      </w:r>
      <w:r w:rsidRPr="00283806">
        <w:rPr>
          <w:spacing w:val="-2"/>
          <w:w w:val="105"/>
        </w:rPr>
        <w:t>commenter</w:t>
      </w:r>
    </w:p>
    <w:p w14:paraId="3E8E76F0"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6" w:space="40"/>
            <w:col w:w="3500" w:space="39"/>
            <w:col w:w="3625"/>
          </w:cols>
        </w:sectPr>
      </w:pPr>
    </w:p>
    <w:p w14:paraId="7A75A85B" w14:textId="77777777" w:rsidR="00D67C1E" w:rsidRPr="00283806" w:rsidRDefault="001265CA">
      <w:pPr>
        <w:pStyle w:val="BodyText"/>
        <w:spacing w:before="136" w:line="225" w:lineRule="auto"/>
        <w:ind w:right="6"/>
      </w:pPr>
      <w:r w:rsidRPr="00283806">
        <w:rPr>
          <w:w w:val="105"/>
        </w:rPr>
        <w:lastRenderedPageBreak/>
        <w:t>stated that EPA could require records be kept for anyone evacuating a cylinder, including quantity of cylinders</w:t>
      </w:r>
      <w:r w:rsidRPr="00283806">
        <w:rPr>
          <w:spacing w:val="80"/>
          <w:w w:val="105"/>
        </w:rPr>
        <w:t xml:space="preserve"> </w:t>
      </w:r>
      <w:r w:rsidRPr="00283806">
        <w:rPr>
          <w:w w:val="105"/>
        </w:rPr>
        <w:t xml:space="preserve">evacuated and disposed of by refrigerant </w:t>
      </w:r>
      <w:r w:rsidRPr="00283806">
        <w:rPr>
          <w:spacing w:val="-2"/>
          <w:w w:val="105"/>
        </w:rPr>
        <w:t>type.</w:t>
      </w:r>
    </w:p>
    <w:p w14:paraId="0EC89CBA" w14:textId="77777777" w:rsidR="00D67C1E" w:rsidRPr="00283806" w:rsidRDefault="001265CA">
      <w:pPr>
        <w:pStyle w:val="BodyText"/>
        <w:spacing w:line="213" w:lineRule="auto"/>
        <w:ind w:right="27" w:firstLine="180"/>
      </w:pPr>
      <w:r w:rsidRPr="00283806">
        <w:rPr>
          <w:rFonts w:ascii="Book Antiqua"/>
          <w:i/>
          <w:w w:val="105"/>
        </w:rPr>
        <w:t xml:space="preserve">Response: </w:t>
      </w:r>
      <w:r w:rsidRPr="00283806">
        <w:rPr>
          <w:w w:val="105"/>
        </w:rPr>
        <w:t>EPA acknowledges this comment and understands that the</w:t>
      </w:r>
    </w:p>
    <w:p w14:paraId="4131542D" w14:textId="77777777" w:rsidR="00D67C1E" w:rsidRPr="00283806" w:rsidRDefault="001265CA">
      <w:pPr>
        <w:pStyle w:val="BodyText"/>
        <w:spacing w:line="225" w:lineRule="auto"/>
        <w:ind w:right="192"/>
      </w:pPr>
      <w:r w:rsidRPr="00283806">
        <w:rPr>
          <w:w w:val="105"/>
        </w:rPr>
        <w:t>industry is seeking clarity on a finite specification of the required level of heel removal from a disposable cylinder. EPA notes that there are longstanding requirements under 40 CFR part 82, subpart F, for evacuation levels of refrigerants from appliances using certified recovery machines.</w:t>
      </w:r>
    </w:p>
    <w:p w14:paraId="1C771C90" w14:textId="77777777" w:rsidR="00D67C1E" w:rsidRPr="00283806" w:rsidRDefault="001265CA">
      <w:pPr>
        <w:pStyle w:val="BodyText"/>
        <w:spacing w:line="225" w:lineRule="auto"/>
        <w:ind w:left="159"/>
      </w:pPr>
      <w:r w:rsidRPr="00283806">
        <w:rPr>
          <w:w w:val="105"/>
        </w:rPr>
        <w:t>These requirements include evacuating</w:t>
      </w:r>
      <w:r w:rsidRPr="00283806">
        <w:rPr>
          <w:spacing w:val="40"/>
          <w:w w:val="105"/>
        </w:rPr>
        <w:t xml:space="preserve"> </w:t>
      </w:r>
      <w:r w:rsidRPr="00283806">
        <w:rPr>
          <w:w w:val="105"/>
        </w:rPr>
        <w:t>to various levels of vacuum on</w:t>
      </w:r>
      <w:r w:rsidRPr="00283806">
        <w:rPr>
          <w:spacing w:val="80"/>
          <w:w w:val="105"/>
        </w:rPr>
        <w:t xml:space="preserve"> </w:t>
      </w:r>
      <w:r w:rsidRPr="00283806">
        <w:rPr>
          <w:w w:val="105"/>
        </w:rPr>
        <w:t>appliances depending on the types of appliances and range from 0 to 15 in-Hg. EPA is also aware of AHRI Guideline Q</w:t>
      </w:r>
      <w:r w:rsidRPr="00283806">
        <w:rPr>
          <w:spacing w:val="80"/>
          <w:w w:val="150"/>
        </w:rPr>
        <w:t xml:space="preserve"> </w:t>
      </w:r>
      <w:r w:rsidRPr="00283806">
        <w:rPr>
          <w:w w:val="105"/>
        </w:rPr>
        <w:t>on recovery and proper recycling of refrigerant cylinders.</w:t>
      </w:r>
      <w:r w:rsidRPr="00283806">
        <w:rPr>
          <w:w w:val="105"/>
          <w:position w:val="5"/>
          <w:sz w:val="11"/>
        </w:rPr>
        <w:t>137</w:t>
      </w:r>
      <w:r w:rsidRPr="00283806">
        <w:rPr>
          <w:spacing w:val="40"/>
          <w:w w:val="105"/>
          <w:position w:val="5"/>
          <w:sz w:val="11"/>
        </w:rPr>
        <w:t xml:space="preserve"> </w:t>
      </w:r>
      <w:r w:rsidRPr="00283806">
        <w:rPr>
          <w:w w:val="105"/>
        </w:rPr>
        <w:t>AHRI Guideline</w:t>
      </w:r>
      <w:r w:rsidRPr="00283806">
        <w:rPr>
          <w:spacing w:val="40"/>
          <w:w w:val="105"/>
        </w:rPr>
        <w:t xml:space="preserve"> </w:t>
      </w:r>
      <w:r w:rsidRPr="00283806">
        <w:rPr>
          <w:w w:val="105"/>
        </w:rPr>
        <w:t>Q defines an empty state for disposable cylinders as being evacuated to a</w:t>
      </w:r>
      <w:r w:rsidRPr="00283806">
        <w:rPr>
          <w:spacing w:val="80"/>
          <w:w w:val="105"/>
        </w:rPr>
        <w:t xml:space="preserve"> </w:t>
      </w:r>
      <w:r w:rsidRPr="00283806">
        <w:rPr>
          <w:w w:val="105"/>
        </w:rPr>
        <w:t>vacuum of 15 in-Hg (relative to a standard atmospheric pressure of 29.9</w:t>
      </w:r>
      <w:r w:rsidRPr="00283806">
        <w:rPr>
          <w:spacing w:val="40"/>
          <w:w w:val="105"/>
        </w:rPr>
        <w:t xml:space="preserve"> </w:t>
      </w:r>
      <w:r w:rsidRPr="00283806">
        <w:rPr>
          <w:w w:val="105"/>
        </w:rPr>
        <w:t>in-Hg). EPA is not establishing a</w:t>
      </w:r>
      <w:r w:rsidRPr="00283806">
        <w:rPr>
          <w:spacing w:val="80"/>
          <w:w w:val="105"/>
        </w:rPr>
        <w:t xml:space="preserve"> </w:t>
      </w:r>
      <w:r w:rsidRPr="00283806">
        <w:rPr>
          <w:w w:val="105"/>
        </w:rPr>
        <w:t>specified level of evacuation for disposable cylinders in this rulemaking. However, EPA is establishing an</w:t>
      </w:r>
      <w:r w:rsidRPr="00283806">
        <w:rPr>
          <w:spacing w:val="80"/>
          <w:w w:val="105"/>
        </w:rPr>
        <w:t xml:space="preserve"> </w:t>
      </w:r>
      <w:r w:rsidRPr="00283806">
        <w:rPr>
          <w:w w:val="105"/>
        </w:rPr>
        <w:t>alternate compliance option that makes use of the evacuation level described in AHRI Guideline Q. Where a used disposable cylinder is evacuated to a</w:t>
      </w:r>
      <w:r w:rsidRPr="00283806">
        <w:rPr>
          <w:spacing w:val="40"/>
          <w:w w:val="105"/>
        </w:rPr>
        <w:t xml:space="preserve"> </w:t>
      </w:r>
      <w:r w:rsidRPr="00283806">
        <w:rPr>
          <w:w w:val="105"/>
        </w:rPr>
        <w:t>level of 15 in-Hg (relative to a standard atmospheric pressure of 29.9 in-Hg), a person may discard of the cylinder, and the cylinder does not require further processing or need to be sent to a reclaimer or fire suppressant recycler, if they provide a certification statement during transport to a final processor.</w:t>
      </w:r>
    </w:p>
    <w:p w14:paraId="208F8E77" w14:textId="77777777" w:rsidR="00D67C1E" w:rsidRPr="00283806" w:rsidRDefault="001265CA">
      <w:pPr>
        <w:pStyle w:val="BodyText"/>
        <w:spacing w:line="228" w:lineRule="auto"/>
        <w:ind w:left="159" w:right="63"/>
      </w:pPr>
      <w:r w:rsidRPr="00283806">
        <w:rPr>
          <w:w w:val="105"/>
        </w:rPr>
        <w:t xml:space="preserve">EPA is aware that the certified recovery machines </w:t>
      </w:r>
      <w:proofErr w:type="gramStart"/>
      <w:r w:rsidRPr="00283806">
        <w:rPr>
          <w:w w:val="105"/>
        </w:rPr>
        <w:t>are capable of achieving</w:t>
      </w:r>
      <w:proofErr w:type="gramEnd"/>
      <w:r w:rsidRPr="00283806">
        <w:rPr>
          <w:w w:val="105"/>
        </w:rPr>
        <w:t xml:space="preserve"> the level of vacuum of 15 in-Hg to remove the heels from disposable cylinders.</w:t>
      </w:r>
    </w:p>
    <w:p w14:paraId="3E593004" w14:textId="77777777" w:rsidR="00D67C1E" w:rsidRPr="00283806" w:rsidRDefault="001265CA">
      <w:pPr>
        <w:pStyle w:val="BodyText"/>
        <w:spacing w:line="228" w:lineRule="auto"/>
        <w:ind w:left="159" w:right="36"/>
      </w:pPr>
      <w:r w:rsidRPr="00283806">
        <w:rPr>
          <w:w w:val="105"/>
        </w:rPr>
        <w:t>Where a cylinder is not evacuated to 15 in-Hg or a certification is not provided, the requirements for sending a disposable cylinder for heel removal to</w:t>
      </w:r>
      <w:r w:rsidRPr="00283806">
        <w:rPr>
          <w:spacing w:val="80"/>
          <w:w w:val="150"/>
        </w:rPr>
        <w:t xml:space="preserve"> </w:t>
      </w:r>
      <w:r w:rsidRPr="00283806">
        <w:rPr>
          <w:w w:val="105"/>
        </w:rPr>
        <w:t>a reclaimer, fire suppressant recycler, or final processor or through the reverse supply chain apply. In addition, in the case of disposable cylinders containing ignitable refrigerant, such cylinders</w:t>
      </w:r>
      <w:r w:rsidRPr="00283806">
        <w:rPr>
          <w:spacing w:val="40"/>
          <w:w w:val="105"/>
        </w:rPr>
        <w:t xml:space="preserve"> </w:t>
      </w:r>
      <w:r w:rsidRPr="00283806">
        <w:rPr>
          <w:w w:val="105"/>
        </w:rPr>
        <w:t>must</w:t>
      </w:r>
      <w:r w:rsidRPr="00283806">
        <w:rPr>
          <w:spacing w:val="40"/>
          <w:w w:val="105"/>
        </w:rPr>
        <w:t xml:space="preserve"> </w:t>
      </w:r>
      <w:r w:rsidRPr="00283806">
        <w:rPr>
          <w:w w:val="105"/>
        </w:rPr>
        <w:t>meet</w:t>
      </w:r>
      <w:r w:rsidRPr="00283806">
        <w:rPr>
          <w:spacing w:val="40"/>
          <w:w w:val="105"/>
        </w:rPr>
        <w:t xml:space="preserve"> </w:t>
      </w:r>
      <w:r w:rsidRPr="00283806">
        <w:rPr>
          <w:w w:val="105"/>
        </w:rPr>
        <w:t>the</w:t>
      </w:r>
      <w:r w:rsidRPr="00283806">
        <w:rPr>
          <w:spacing w:val="40"/>
          <w:w w:val="105"/>
        </w:rPr>
        <w:t xml:space="preserve"> </w:t>
      </w:r>
      <w:r w:rsidRPr="00283806">
        <w:rPr>
          <w:w w:val="105"/>
        </w:rPr>
        <w:t>RCRA</w:t>
      </w:r>
      <w:r w:rsidRPr="00283806">
        <w:rPr>
          <w:spacing w:val="40"/>
          <w:w w:val="105"/>
        </w:rPr>
        <w:t xml:space="preserve"> </w:t>
      </w:r>
      <w:r w:rsidRPr="00283806">
        <w:rPr>
          <w:w w:val="105"/>
        </w:rPr>
        <w:t>definition</w:t>
      </w:r>
      <w:r w:rsidRPr="00283806">
        <w:rPr>
          <w:spacing w:val="40"/>
          <w:w w:val="105"/>
        </w:rPr>
        <w:t xml:space="preserve"> </w:t>
      </w:r>
      <w:r w:rsidRPr="00283806">
        <w:rPr>
          <w:w w:val="105"/>
        </w:rPr>
        <w:t xml:space="preserve">of empty container </w:t>
      </w:r>
      <w:r w:rsidRPr="00283806">
        <w:rPr>
          <w:w w:val="105"/>
          <w:position w:val="5"/>
          <w:sz w:val="11"/>
        </w:rPr>
        <w:t>138</w:t>
      </w:r>
      <w:r w:rsidRPr="00283806">
        <w:rPr>
          <w:spacing w:val="40"/>
          <w:w w:val="105"/>
          <w:position w:val="5"/>
          <w:sz w:val="11"/>
        </w:rPr>
        <w:t xml:space="preserve"> </w:t>
      </w:r>
      <w:r w:rsidRPr="00283806">
        <w:rPr>
          <w:w w:val="105"/>
        </w:rPr>
        <w:t>in 40 CFR 261.7 or</w:t>
      </w:r>
    </w:p>
    <w:p w14:paraId="7E93D98C" w14:textId="77777777" w:rsidR="00D67C1E" w:rsidRPr="00283806" w:rsidRDefault="001265CA">
      <w:pPr>
        <w:pStyle w:val="BodyText"/>
        <w:spacing w:before="5"/>
        <w:ind w:left="0"/>
        <w:rPr>
          <w:sz w:val="11"/>
        </w:rPr>
      </w:pPr>
      <w:r w:rsidRPr="00283806">
        <w:rPr>
          <w:noProof/>
        </w:rPr>
        <mc:AlternateContent>
          <mc:Choice Requires="wps">
            <w:drawing>
              <wp:anchor distT="0" distB="0" distL="0" distR="0" simplePos="0" relativeHeight="251672576" behindDoc="1" locked="0" layoutInCell="1" allowOverlap="1" wp14:anchorId="11B01B26" wp14:editId="3CF5228B">
                <wp:simplePos x="0" y="0"/>
                <wp:positionH relativeFrom="page">
                  <wp:posOffset>571500</wp:posOffset>
                </wp:positionH>
                <wp:positionV relativeFrom="paragraph">
                  <wp:posOffset>100326</wp:posOffset>
                </wp:positionV>
                <wp:extent cx="635000" cy="1270"/>
                <wp:effectExtent l="0" t="0" r="0" b="0"/>
                <wp:wrapTopAndBottom/>
                <wp:docPr id="104" name="Graphic 1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FF94A1A" id="Graphic 104" o:spid="_x0000_s1026" alt="&quot;&quot;" style="position:absolute;margin-left:45pt;margin-top:7.9pt;width:50pt;height:.1pt;z-index:-251643904;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" path="m,l635000,e" filled="f" strokeweight=".5pt">
                <v:path arrowok="t"/>
                <w10:wrap type="topAndBottom" anchorx="page"/>
              </v:shape>
            </w:pict>
          </mc:Fallback>
        </mc:AlternateContent>
      </w:r>
    </w:p>
    <w:p w14:paraId="090DD6BC" w14:textId="2B751B2B" w:rsidR="00D67C1E" w:rsidRPr="00283806" w:rsidRDefault="001265CA">
      <w:pPr>
        <w:spacing w:before="42" w:line="228" w:lineRule="auto"/>
        <w:ind w:left="159" w:right="63" w:firstLine="140"/>
        <w:rPr>
          <w:sz w:val="14"/>
        </w:rPr>
      </w:pPr>
      <w:r w:rsidRPr="00283806">
        <w:rPr>
          <w:w w:val="110"/>
          <w:position w:val="4"/>
          <w:sz w:val="9"/>
        </w:rPr>
        <w:t xml:space="preserve">137 </w:t>
      </w:r>
      <w:r w:rsidRPr="00283806">
        <w:rPr>
          <w:w w:val="110"/>
          <w:sz w:val="14"/>
        </w:rPr>
        <w:t>Air-Conditioning, Heating, and Refrigeration</w:t>
      </w:r>
      <w:r w:rsidRPr="00283806">
        <w:rPr>
          <w:spacing w:val="40"/>
          <w:w w:val="110"/>
          <w:sz w:val="14"/>
        </w:rPr>
        <w:t xml:space="preserve"> </w:t>
      </w:r>
      <w:r w:rsidRPr="00283806">
        <w:rPr>
          <w:w w:val="110"/>
          <w:sz w:val="14"/>
        </w:rPr>
        <w:t>Institute,</w:t>
      </w:r>
      <w:r w:rsidRPr="00283806">
        <w:rPr>
          <w:spacing w:val="-4"/>
          <w:w w:val="110"/>
          <w:sz w:val="14"/>
        </w:rPr>
        <w:t xml:space="preserve"> </w:t>
      </w:r>
      <w:r w:rsidRPr="00283806">
        <w:rPr>
          <w:w w:val="110"/>
          <w:sz w:val="14"/>
        </w:rPr>
        <w:t>Guideline</w:t>
      </w:r>
      <w:r w:rsidRPr="00283806">
        <w:rPr>
          <w:spacing w:val="-4"/>
          <w:w w:val="110"/>
          <w:sz w:val="14"/>
        </w:rPr>
        <w:t xml:space="preserve"> </w:t>
      </w:r>
      <w:r w:rsidRPr="00283806">
        <w:rPr>
          <w:w w:val="110"/>
          <w:sz w:val="14"/>
        </w:rPr>
        <w:t>Q:</w:t>
      </w:r>
      <w:r w:rsidRPr="00283806">
        <w:rPr>
          <w:spacing w:val="-4"/>
          <w:w w:val="110"/>
          <w:sz w:val="14"/>
        </w:rPr>
        <w:t xml:space="preserve"> </w:t>
      </w:r>
      <w:r w:rsidRPr="00283806">
        <w:rPr>
          <w:w w:val="110"/>
          <w:sz w:val="14"/>
        </w:rPr>
        <w:t>Content</w:t>
      </w:r>
      <w:r w:rsidRPr="00283806">
        <w:rPr>
          <w:spacing w:val="-4"/>
          <w:w w:val="110"/>
          <w:sz w:val="14"/>
        </w:rPr>
        <w:t xml:space="preserve"> </w:t>
      </w:r>
      <w:r w:rsidRPr="00283806">
        <w:rPr>
          <w:w w:val="110"/>
          <w:sz w:val="14"/>
        </w:rPr>
        <w:t>Recovery</w:t>
      </w:r>
      <w:r w:rsidRPr="00283806">
        <w:rPr>
          <w:spacing w:val="-4"/>
          <w:w w:val="110"/>
          <w:sz w:val="14"/>
        </w:rPr>
        <w:t xml:space="preserve"> </w:t>
      </w:r>
      <w:r w:rsidRPr="00283806">
        <w:rPr>
          <w:w w:val="110"/>
          <w:sz w:val="14"/>
        </w:rPr>
        <w:t>&amp;</w:t>
      </w:r>
      <w:r w:rsidRPr="00283806">
        <w:rPr>
          <w:spacing w:val="-4"/>
          <w:w w:val="110"/>
          <w:sz w:val="14"/>
        </w:rPr>
        <w:t xml:space="preserve"> </w:t>
      </w:r>
      <w:r w:rsidRPr="00283806">
        <w:rPr>
          <w:w w:val="110"/>
          <w:sz w:val="14"/>
        </w:rPr>
        <w:t>Proper</w:t>
      </w:r>
      <w:r w:rsidRPr="00283806">
        <w:rPr>
          <w:spacing w:val="40"/>
          <w:w w:val="110"/>
          <w:sz w:val="14"/>
        </w:rPr>
        <w:t xml:space="preserve"> </w:t>
      </w:r>
      <w:r w:rsidRPr="00283806">
        <w:rPr>
          <w:spacing w:val="-2"/>
          <w:w w:val="110"/>
          <w:sz w:val="14"/>
        </w:rPr>
        <w:t>Recycling of Refrigerant Cylinders, 2016. Available</w:t>
      </w:r>
      <w:r w:rsidRPr="00283806">
        <w:rPr>
          <w:spacing w:val="40"/>
          <w:w w:val="110"/>
          <w:sz w:val="14"/>
        </w:rPr>
        <w:t xml:space="preserve"> </w:t>
      </w:r>
      <w:r w:rsidRPr="00283806">
        <w:rPr>
          <w:w w:val="110"/>
          <w:sz w:val="14"/>
        </w:rPr>
        <w:t xml:space="preserve">at: </w:t>
      </w:r>
      <w:r w:rsidRPr="00283806">
        <w:rPr>
          <w:rFonts w:ascii="Book Antiqua" w:hAnsi="Book Antiqua"/>
          <w:i/>
          <w:w w:val="110"/>
          <w:sz w:val="14"/>
        </w:rPr>
        <w:t>https://www.ahrinet.org/system/files/2023-06/</w:t>
      </w:r>
      <w:r w:rsidRPr="00283806">
        <w:rPr>
          <w:rFonts w:ascii="Book Antiqua" w:hAnsi="Book Antiqua"/>
          <w:i/>
          <w:spacing w:val="40"/>
          <w:w w:val="110"/>
          <w:sz w:val="14"/>
        </w:rPr>
        <w:t xml:space="preserve"> </w:t>
      </w:r>
      <w:r w:rsidRPr="00283806">
        <w:rPr>
          <w:rFonts w:ascii="Book Antiqua" w:hAnsi="Book Antiqua"/>
          <w:i/>
          <w:spacing w:val="-2"/>
          <w:w w:val="110"/>
          <w:sz w:val="14"/>
        </w:rPr>
        <w:t>AHRI</w:t>
      </w:r>
      <w:r w:rsidRPr="00283806">
        <w:rPr>
          <w:rFonts w:ascii="Symbol" w:hAnsi="Symbol"/>
          <w:spacing w:val="-2"/>
          <w:w w:val="110"/>
          <w:sz w:val="14"/>
        </w:rPr>
        <w:t></w:t>
      </w:r>
      <w:r w:rsidRPr="00283806">
        <w:rPr>
          <w:rFonts w:ascii="Book Antiqua" w:hAnsi="Book Antiqua"/>
          <w:i/>
          <w:spacing w:val="-2"/>
          <w:w w:val="110"/>
          <w:sz w:val="14"/>
        </w:rPr>
        <w:t>Guideline</w:t>
      </w:r>
      <w:r w:rsidRPr="00283806">
        <w:rPr>
          <w:rFonts w:ascii="Symbol" w:hAnsi="Symbol"/>
          <w:spacing w:val="-2"/>
          <w:w w:val="110"/>
          <w:sz w:val="14"/>
        </w:rPr>
        <w:t></w:t>
      </w:r>
      <w:r w:rsidRPr="00283806">
        <w:rPr>
          <w:rFonts w:ascii="Book Antiqua" w:hAnsi="Book Antiqua"/>
          <w:i/>
          <w:spacing w:val="-2"/>
          <w:w w:val="110"/>
          <w:sz w:val="14"/>
        </w:rPr>
        <w:t>Q</w:t>
      </w:r>
      <w:r w:rsidRPr="00283806">
        <w:rPr>
          <w:rFonts w:ascii="Symbol" w:hAnsi="Symbol"/>
          <w:spacing w:val="-2"/>
          <w:w w:val="110"/>
          <w:sz w:val="14"/>
        </w:rPr>
        <w:t></w:t>
      </w:r>
      <w:r w:rsidRPr="00283806">
        <w:rPr>
          <w:rFonts w:ascii="Book Antiqua" w:hAnsi="Book Antiqua"/>
          <w:i/>
          <w:spacing w:val="-2"/>
          <w:w w:val="110"/>
          <w:sz w:val="14"/>
        </w:rPr>
        <w:t>2016</w:t>
      </w:r>
      <w:r w:rsidRPr="00283806">
        <w:rPr>
          <w:rFonts w:ascii="Symbol" w:hAnsi="Symbol"/>
          <w:spacing w:val="-2"/>
          <w:w w:val="110"/>
          <w:sz w:val="14"/>
        </w:rPr>
        <w:t></w:t>
      </w:r>
      <w:r w:rsidRPr="00283806">
        <w:rPr>
          <w:rFonts w:ascii="Book Antiqua" w:hAnsi="Book Antiqua"/>
          <w:i/>
          <w:spacing w:val="-2"/>
          <w:w w:val="110"/>
          <w:sz w:val="14"/>
        </w:rPr>
        <w:t>0.pdf</w:t>
      </w:r>
      <w:r w:rsidRPr="00283806">
        <w:rPr>
          <w:spacing w:val="-2"/>
          <w:w w:val="110"/>
          <w:sz w:val="14"/>
        </w:rPr>
        <w:t>.</w:t>
      </w:r>
    </w:p>
    <w:p w14:paraId="72F39BF9" w14:textId="77777777" w:rsidR="00D67C1E" w:rsidRPr="00283806" w:rsidRDefault="001265CA">
      <w:pPr>
        <w:pStyle w:val="BodyText"/>
        <w:spacing w:before="136" w:line="225" w:lineRule="auto"/>
        <w:ind w:left="145"/>
      </w:pPr>
      <w:r w:rsidRPr="00283806">
        <w:br w:type="column"/>
      </w:r>
      <w:r w:rsidRPr="00283806">
        <w:rPr>
          <w:w w:val="105"/>
        </w:rPr>
        <w:t>be managed under the applicable RCRA standards. EPA is assessing these comments and considering a separate rulemaking as related to comments requested in the ANPRM for considerations for technicians.</w:t>
      </w:r>
    </w:p>
    <w:p w14:paraId="06B389B6" w14:textId="77777777" w:rsidR="00D67C1E" w:rsidRPr="00283806" w:rsidRDefault="001265CA">
      <w:pPr>
        <w:spacing w:line="183" w:lineRule="exact"/>
        <w:ind w:left="325"/>
        <w:rPr>
          <w:rFonts w:ascii="Book Antiqua"/>
          <w:i/>
          <w:sz w:val="18"/>
        </w:rPr>
      </w:pPr>
      <w:r w:rsidRPr="00283806">
        <w:rPr>
          <w:rFonts w:ascii="Book Antiqua"/>
          <w:i/>
          <w:w w:val="105"/>
          <w:sz w:val="18"/>
        </w:rPr>
        <w:t>Comment:</w:t>
      </w:r>
      <w:r w:rsidRPr="00283806">
        <w:rPr>
          <w:rFonts w:ascii="Book Antiqua"/>
          <w:i/>
          <w:spacing w:val="33"/>
          <w:w w:val="105"/>
          <w:sz w:val="18"/>
        </w:rPr>
        <w:t xml:space="preserve"> </w:t>
      </w:r>
      <w:r w:rsidRPr="00283806">
        <w:rPr>
          <w:w w:val="105"/>
          <w:sz w:val="18"/>
        </w:rPr>
        <w:t>While</w:t>
      </w:r>
      <w:r w:rsidRPr="00283806">
        <w:rPr>
          <w:spacing w:val="39"/>
          <w:w w:val="105"/>
          <w:sz w:val="18"/>
        </w:rPr>
        <w:t xml:space="preserve"> </w:t>
      </w:r>
      <w:r w:rsidRPr="00283806">
        <w:rPr>
          <w:w w:val="105"/>
          <w:sz w:val="18"/>
        </w:rPr>
        <w:t>emphasizing</w:t>
      </w:r>
      <w:r w:rsidRPr="00283806">
        <w:rPr>
          <w:spacing w:val="38"/>
          <w:w w:val="105"/>
          <w:sz w:val="18"/>
        </w:rPr>
        <w:t xml:space="preserve"> </w:t>
      </w:r>
      <w:r w:rsidRPr="00283806">
        <w:rPr>
          <w:rFonts w:ascii="Book Antiqua"/>
          <w:i/>
          <w:spacing w:val="-2"/>
          <w:w w:val="105"/>
          <w:sz w:val="18"/>
        </w:rPr>
        <w:t>HARDI</w:t>
      </w:r>
    </w:p>
    <w:p w14:paraId="30B6AE1C" w14:textId="77777777" w:rsidR="00D67C1E" w:rsidRPr="00283806" w:rsidRDefault="001265CA">
      <w:pPr>
        <w:pStyle w:val="BodyText"/>
        <w:spacing w:line="223" w:lineRule="auto"/>
        <w:ind w:left="145" w:right="76" w:hanging="1"/>
      </w:pPr>
      <w:r w:rsidRPr="00283806">
        <w:rPr>
          <w:w w:val="105"/>
        </w:rPr>
        <w:t xml:space="preserve">v. </w:t>
      </w:r>
      <w:r w:rsidRPr="00283806">
        <w:rPr>
          <w:rFonts w:ascii="Book Antiqua" w:hAnsi="Book Antiqua"/>
          <w:i/>
          <w:w w:val="105"/>
        </w:rPr>
        <w:t xml:space="preserve">EPA, </w:t>
      </w:r>
      <w:r w:rsidRPr="00283806">
        <w:rPr>
          <w:w w:val="105"/>
        </w:rPr>
        <w:t>one commenter expressed concern that EPA has yet to amend the CFR</w:t>
      </w:r>
      <w:r w:rsidRPr="00283806">
        <w:rPr>
          <w:spacing w:val="40"/>
          <w:w w:val="105"/>
        </w:rPr>
        <w:t xml:space="preserve"> </w:t>
      </w:r>
      <w:r w:rsidRPr="00283806">
        <w:rPr>
          <w:w w:val="105"/>
        </w:rPr>
        <w:t>in</w:t>
      </w:r>
      <w:r w:rsidRPr="00283806">
        <w:rPr>
          <w:spacing w:val="40"/>
          <w:w w:val="105"/>
        </w:rPr>
        <w:t xml:space="preserve"> </w:t>
      </w:r>
      <w:r w:rsidRPr="00283806">
        <w:rPr>
          <w:w w:val="105"/>
        </w:rPr>
        <w:t>accordance</w:t>
      </w:r>
      <w:r w:rsidRPr="00283806">
        <w:rPr>
          <w:spacing w:val="40"/>
          <w:w w:val="105"/>
        </w:rPr>
        <w:t xml:space="preserve"> </w:t>
      </w:r>
      <w:r w:rsidRPr="00283806">
        <w:rPr>
          <w:w w:val="105"/>
        </w:rPr>
        <w:t>with</w:t>
      </w:r>
      <w:r w:rsidRPr="00283806">
        <w:rPr>
          <w:spacing w:val="40"/>
          <w:w w:val="105"/>
        </w:rPr>
        <w:t xml:space="preserve"> </w:t>
      </w:r>
      <w:r w:rsidRPr="00283806">
        <w:rPr>
          <w:w w:val="105"/>
        </w:rPr>
        <w:t>the</w:t>
      </w:r>
      <w:r w:rsidRPr="00283806">
        <w:rPr>
          <w:spacing w:val="40"/>
          <w:w w:val="105"/>
        </w:rPr>
        <w:t xml:space="preserve"> </w:t>
      </w:r>
      <w:r w:rsidRPr="00283806">
        <w:rPr>
          <w:w w:val="105"/>
        </w:rPr>
        <w:t>D.C. Circuit’s binding vacatur, and indicated the absence of any conforming revisions to the CFR creates significant</w:t>
      </w:r>
      <w:r w:rsidRPr="00283806">
        <w:rPr>
          <w:spacing w:val="80"/>
          <w:w w:val="105"/>
        </w:rPr>
        <w:t xml:space="preserve"> </w:t>
      </w:r>
      <w:r w:rsidRPr="00283806">
        <w:rPr>
          <w:w w:val="105"/>
        </w:rPr>
        <w:t>uncertainty throughout the industry.</w:t>
      </w:r>
    </w:p>
    <w:p w14:paraId="6B423B57" w14:textId="77777777" w:rsidR="00D67C1E" w:rsidRPr="00283806" w:rsidRDefault="001265CA">
      <w:pPr>
        <w:pStyle w:val="BodyText"/>
        <w:spacing w:line="220" w:lineRule="auto"/>
        <w:ind w:left="145" w:right="100" w:firstLine="180"/>
      </w:pPr>
      <w:r w:rsidRPr="00283806">
        <w:rPr>
          <w:rFonts w:ascii="Book Antiqua"/>
          <w:i/>
          <w:w w:val="105"/>
        </w:rPr>
        <w:t xml:space="preserve">Response: </w:t>
      </w:r>
      <w:r w:rsidRPr="00283806">
        <w:rPr>
          <w:w w:val="105"/>
        </w:rPr>
        <w:t xml:space="preserve">EPA responds that any action in response to </w:t>
      </w:r>
      <w:r w:rsidRPr="00283806">
        <w:rPr>
          <w:rFonts w:ascii="Book Antiqua"/>
          <w:i/>
          <w:w w:val="105"/>
        </w:rPr>
        <w:t xml:space="preserve">HARDI </w:t>
      </w:r>
      <w:r w:rsidRPr="00283806">
        <w:rPr>
          <w:w w:val="105"/>
        </w:rPr>
        <w:t xml:space="preserve">v. </w:t>
      </w:r>
      <w:r w:rsidRPr="00283806">
        <w:rPr>
          <w:rFonts w:ascii="Book Antiqua"/>
          <w:i/>
          <w:w w:val="105"/>
        </w:rPr>
        <w:t xml:space="preserve">EPA </w:t>
      </w:r>
      <w:r w:rsidRPr="00283806">
        <w:rPr>
          <w:w w:val="105"/>
        </w:rPr>
        <w:t>is outside the scope of this rulemaking,</w:t>
      </w:r>
      <w:r w:rsidRPr="00283806">
        <w:rPr>
          <w:spacing w:val="40"/>
          <w:w w:val="105"/>
        </w:rPr>
        <w:t xml:space="preserve"> </w:t>
      </w:r>
      <w:r w:rsidRPr="00283806">
        <w:rPr>
          <w:w w:val="105"/>
        </w:rPr>
        <w:t>and thus comments related to such action require no response. For</w:t>
      </w:r>
      <w:r w:rsidRPr="00283806">
        <w:rPr>
          <w:spacing w:val="40"/>
          <w:w w:val="105"/>
        </w:rPr>
        <w:t xml:space="preserve"> </w:t>
      </w:r>
      <w:r w:rsidRPr="00283806">
        <w:rPr>
          <w:w w:val="105"/>
        </w:rPr>
        <w:t xml:space="preserve">purposes of public awareness, the Agency notes that it is acting </w:t>
      </w:r>
      <w:proofErr w:type="gramStart"/>
      <w:r w:rsidRPr="00283806">
        <w:rPr>
          <w:w w:val="105"/>
        </w:rPr>
        <w:t>consistent</w:t>
      </w:r>
      <w:proofErr w:type="gramEnd"/>
    </w:p>
    <w:p w14:paraId="66EB6A45" w14:textId="77777777" w:rsidR="00D67C1E" w:rsidRPr="00283806" w:rsidRDefault="001265CA">
      <w:pPr>
        <w:pStyle w:val="BodyText"/>
        <w:spacing w:line="223" w:lineRule="auto"/>
        <w:ind w:left="145"/>
      </w:pPr>
      <w:r w:rsidRPr="00283806">
        <w:rPr>
          <w:w w:val="105"/>
        </w:rPr>
        <w:t xml:space="preserve">with the </w:t>
      </w:r>
      <w:r w:rsidRPr="00283806">
        <w:rPr>
          <w:rFonts w:ascii="Book Antiqua"/>
          <w:i/>
          <w:w w:val="105"/>
        </w:rPr>
        <w:t xml:space="preserve">HARDI </w:t>
      </w:r>
      <w:r w:rsidRPr="00283806">
        <w:rPr>
          <w:w w:val="105"/>
        </w:rPr>
        <w:t>decision and is not implementing or enforcing the QR code and tracking requirements for all cylinders containing HFCs found at 40 CFR 84.23. EPA has prepared a rulemaking</w:t>
      </w:r>
      <w:r w:rsidRPr="00283806">
        <w:rPr>
          <w:spacing w:val="-1"/>
          <w:w w:val="105"/>
        </w:rPr>
        <w:t xml:space="preserve"> </w:t>
      </w:r>
      <w:r w:rsidRPr="00283806">
        <w:rPr>
          <w:w w:val="105"/>
        </w:rPr>
        <w:t>(89</w:t>
      </w:r>
      <w:r w:rsidRPr="00283806">
        <w:rPr>
          <w:spacing w:val="-1"/>
          <w:w w:val="105"/>
        </w:rPr>
        <w:t xml:space="preserve"> </w:t>
      </w:r>
      <w:r w:rsidRPr="00283806">
        <w:rPr>
          <w:w w:val="105"/>
        </w:rPr>
        <w:t>FR</w:t>
      </w:r>
      <w:r w:rsidRPr="00283806">
        <w:rPr>
          <w:spacing w:val="-2"/>
          <w:w w:val="105"/>
        </w:rPr>
        <w:t xml:space="preserve"> </w:t>
      </w:r>
      <w:r w:rsidRPr="00283806">
        <w:rPr>
          <w:w w:val="105"/>
        </w:rPr>
        <w:t>73588,</w:t>
      </w:r>
      <w:r w:rsidRPr="00283806">
        <w:rPr>
          <w:spacing w:val="-1"/>
          <w:w w:val="105"/>
        </w:rPr>
        <w:t xml:space="preserve"> </w:t>
      </w:r>
      <w:r w:rsidRPr="00283806">
        <w:rPr>
          <w:w w:val="105"/>
        </w:rPr>
        <w:t>September</w:t>
      </w:r>
      <w:r w:rsidRPr="00283806">
        <w:rPr>
          <w:spacing w:val="-1"/>
          <w:w w:val="105"/>
        </w:rPr>
        <w:t xml:space="preserve"> </w:t>
      </w:r>
      <w:r w:rsidRPr="00283806">
        <w:rPr>
          <w:w w:val="105"/>
        </w:rPr>
        <w:t>11, 2024) to remove this requirement from the CFR.</w:t>
      </w:r>
    </w:p>
    <w:p w14:paraId="7058C808" w14:textId="77777777" w:rsidR="00D67C1E" w:rsidRPr="00283806" w:rsidRDefault="001265CA">
      <w:pPr>
        <w:pStyle w:val="BodyText"/>
        <w:spacing w:line="223" w:lineRule="auto"/>
        <w:ind w:left="145" w:right="51" w:firstLine="180"/>
      </w:pPr>
      <w:r w:rsidRPr="00283806">
        <w:rPr>
          <w:rFonts w:ascii="Book Antiqua"/>
          <w:i/>
          <w:w w:val="105"/>
        </w:rPr>
        <w:t xml:space="preserve">Comment: </w:t>
      </w:r>
      <w:r w:rsidRPr="00283806">
        <w:rPr>
          <w:w w:val="105"/>
        </w:rPr>
        <w:t>One commenter provided alternate considerations to address concerns of heel emissions from disposable cylinders. The commenter described their experience in cylinder design and adaptation for class A2L refrigerants,</w:t>
      </w:r>
      <w:r w:rsidRPr="00283806">
        <w:rPr>
          <w:spacing w:val="-9"/>
          <w:w w:val="105"/>
        </w:rPr>
        <w:t xml:space="preserve"> </w:t>
      </w:r>
      <w:r w:rsidRPr="00283806">
        <w:rPr>
          <w:w w:val="105"/>
        </w:rPr>
        <w:t>noting</w:t>
      </w:r>
      <w:r w:rsidRPr="00283806">
        <w:rPr>
          <w:spacing w:val="-9"/>
          <w:w w:val="105"/>
        </w:rPr>
        <w:t xml:space="preserve"> </w:t>
      </w:r>
      <w:r w:rsidRPr="00283806">
        <w:rPr>
          <w:w w:val="105"/>
        </w:rPr>
        <w:t>a</w:t>
      </w:r>
      <w:r w:rsidRPr="00283806">
        <w:rPr>
          <w:spacing w:val="-9"/>
          <w:w w:val="105"/>
        </w:rPr>
        <w:t xml:space="preserve"> </w:t>
      </w:r>
      <w:r w:rsidRPr="00283806">
        <w:rPr>
          <w:w w:val="105"/>
        </w:rPr>
        <w:t>resealable</w:t>
      </w:r>
      <w:r w:rsidRPr="00283806">
        <w:rPr>
          <w:spacing w:val="-9"/>
          <w:w w:val="105"/>
        </w:rPr>
        <w:t xml:space="preserve"> </w:t>
      </w:r>
      <w:r w:rsidRPr="00283806">
        <w:rPr>
          <w:w w:val="105"/>
        </w:rPr>
        <w:t>pressure relief valve and left-handed threads to avoid inadvertent connection to a refrigerant with flammability characteristics. Further, the commenter proposed equipping disposable</w:t>
      </w:r>
      <w:r w:rsidRPr="00283806">
        <w:rPr>
          <w:spacing w:val="80"/>
          <w:w w:val="105"/>
        </w:rPr>
        <w:t xml:space="preserve"> </w:t>
      </w:r>
      <w:r w:rsidRPr="00283806">
        <w:rPr>
          <w:w w:val="105"/>
        </w:rPr>
        <w:t>cylinders with a resealable pressure relief valve to prevent fugitive</w:t>
      </w:r>
      <w:r w:rsidRPr="00283806">
        <w:rPr>
          <w:spacing w:val="80"/>
          <w:w w:val="105"/>
        </w:rPr>
        <w:t xml:space="preserve"> </w:t>
      </w:r>
      <w:r w:rsidRPr="00283806">
        <w:rPr>
          <w:w w:val="105"/>
        </w:rPr>
        <w:t>emissions. The commenter also stated</w:t>
      </w:r>
    </w:p>
    <w:p w14:paraId="18FEDB7C" w14:textId="77777777" w:rsidR="00D67C1E" w:rsidRPr="00283806" w:rsidRDefault="001265CA">
      <w:pPr>
        <w:pStyle w:val="BodyText"/>
        <w:spacing w:line="225" w:lineRule="auto"/>
        <w:ind w:left="145" w:right="1"/>
      </w:pPr>
      <w:r w:rsidRPr="00283806">
        <w:rPr>
          <w:w w:val="105"/>
        </w:rPr>
        <w:t>that disposable cylinders could be redesigned with a redundant pressure- tight seal to prevent venting by using a self-sealing valve that controls gas flow and could prevent venting. The self</w:t>
      </w:r>
      <w:proofErr w:type="gramStart"/>
      <w:r w:rsidRPr="00283806">
        <w:rPr>
          <w:w w:val="105"/>
        </w:rPr>
        <w:t>- sealing</w:t>
      </w:r>
      <w:proofErr w:type="gramEnd"/>
      <w:r w:rsidRPr="00283806">
        <w:rPr>
          <w:spacing w:val="40"/>
          <w:w w:val="105"/>
        </w:rPr>
        <w:t xml:space="preserve"> </w:t>
      </w:r>
      <w:r w:rsidRPr="00283806">
        <w:rPr>
          <w:w w:val="105"/>
        </w:rPr>
        <w:t>valve</w:t>
      </w:r>
      <w:r w:rsidRPr="00283806">
        <w:rPr>
          <w:spacing w:val="40"/>
          <w:w w:val="105"/>
        </w:rPr>
        <w:t xml:space="preserve"> </w:t>
      </w:r>
      <w:r w:rsidRPr="00283806">
        <w:rPr>
          <w:w w:val="105"/>
        </w:rPr>
        <w:t>would</w:t>
      </w:r>
      <w:r w:rsidRPr="00283806">
        <w:rPr>
          <w:spacing w:val="40"/>
          <w:w w:val="105"/>
        </w:rPr>
        <w:t xml:space="preserve"> </w:t>
      </w:r>
      <w:r w:rsidRPr="00283806">
        <w:rPr>
          <w:w w:val="105"/>
        </w:rPr>
        <w:t>be</w:t>
      </w:r>
      <w:r w:rsidRPr="00283806">
        <w:rPr>
          <w:spacing w:val="40"/>
          <w:w w:val="105"/>
        </w:rPr>
        <w:t xml:space="preserve"> </w:t>
      </w:r>
      <w:proofErr w:type="gramStart"/>
      <w:r w:rsidRPr="00283806">
        <w:rPr>
          <w:w w:val="105"/>
        </w:rPr>
        <w:t>similar</w:t>
      </w:r>
      <w:r w:rsidRPr="00283806">
        <w:rPr>
          <w:spacing w:val="40"/>
          <w:w w:val="105"/>
        </w:rPr>
        <w:t xml:space="preserve"> </w:t>
      </w:r>
      <w:r w:rsidRPr="00283806">
        <w:rPr>
          <w:w w:val="105"/>
        </w:rPr>
        <w:t>to</w:t>
      </w:r>
      <w:proofErr w:type="gramEnd"/>
      <w:r w:rsidRPr="00283806">
        <w:rPr>
          <w:spacing w:val="40"/>
          <w:w w:val="105"/>
        </w:rPr>
        <w:t xml:space="preserve"> </w:t>
      </w:r>
      <w:r w:rsidRPr="00283806">
        <w:rPr>
          <w:w w:val="105"/>
        </w:rPr>
        <w:t>that for small cans of automotive refrigerant. The commenter also suggested developing</w:t>
      </w:r>
      <w:r w:rsidRPr="00283806">
        <w:rPr>
          <w:spacing w:val="40"/>
          <w:w w:val="105"/>
        </w:rPr>
        <w:t xml:space="preserve"> </w:t>
      </w:r>
      <w:r w:rsidRPr="00283806">
        <w:rPr>
          <w:w w:val="105"/>
        </w:rPr>
        <w:t>and</w:t>
      </w:r>
      <w:r w:rsidRPr="00283806">
        <w:rPr>
          <w:spacing w:val="40"/>
          <w:w w:val="105"/>
        </w:rPr>
        <w:t xml:space="preserve"> </w:t>
      </w:r>
      <w:r w:rsidRPr="00283806">
        <w:rPr>
          <w:w w:val="105"/>
        </w:rPr>
        <w:t>deploying</w:t>
      </w:r>
      <w:r w:rsidRPr="00283806">
        <w:rPr>
          <w:spacing w:val="40"/>
          <w:w w:val="105"/>
        </w:rPr>
        <w:t xml:space="preserve"> </w:t>
      </w:r>
      <w:r w:rsidRPr="00283806">
        <w:rPr>
          <w:w w:val="105"/>
        </w:rPr>
        <w:t>equipment</w:t>
      </w:r>
      <w:r w:rsidRPr="00283806">
        <w:rPr>
          <w:spacing w:val="40"/>
          <w:w w:val="105"/>
        </w:rPr>
        <w:t xml:space="preserve"> </w:t>
      </w:r>
      <w:r w:rsidRPr="00283806">
        <w:rPr>
          <w:w w:val="105"/>
        </w:rPr>
        <w:t>for heel recovery and preparation of disposable cylinders for disposal. The commenter states that it may be possible to reduce venting of heels by making</w:t>
      </w:r>
      <w:r w:rsidRPr="00283806">
        <w:rPr>
          <w:spacing w:val="80"/>
          <w:w w:val="105"/>
        </w:rPr>
        <w:t xml:space="preserve"> </w:t>
      </w:r>
      <w:r w:rsidRPr="00283806">
        <w:rPr>
          <w:w w:val="105"/>
        </w:rPr>
        <w:t>heel recovery and cylinder recovery easier and less time consuming. Beyond the cylinders, the commenter suggested other means of addressing venting heels, including the development of a</w:t>
      </w:r>
    </w:p>
    <w:p w14:paraId="0436F233" w14:textId="77777777" w:rsidR="00D67C1E" w:rsidRPr="00283806" w:rsidRDefault="001265CA">
      <w:pPr>
        <w:pStyle w:val="BodyText"/>
        <w:spacing w:line="105" w:lineRule="exact"/>
        <w:ind w:left="145"/>
      </w:pPr>
      <w:r w:rsidRPr="00283806">
        <w:rPr>
          <w:w w:val="105"/>
        </w:rPr>
        <w:t>disposable</w:t>
      </w:r>
      <w:r w:rsidRPr="00283806">
        <w:rPr>
          <w:spacing w:val="20"/>
          <w:w w:val="105"/>
        </w:rPr>
        <w:t xml:space="preserve"> </w:t>
      </w:r>
      <w:r w:rsidRPr="00283806">
        <w:rPr>
          <w:w w:val="105"/>
        </w:rPr>
        <w:t>cylinder</w:t>
      </w:r>
      <w:r w:rsidRPr="00283806">
        <w:rPr>
          <w:spacing w:val="20"/>
          <w:w w:val="105"/>
        </w:rPr>
        <w:t xml:space="preserve"> </w:t>
      </w:r>
      <w:r w:rsidRPr="00283806">
        <w:rPr>
          <w:w w:val="105"/>
        </w:rPr>
        <w:t>buyback</w:t>
      </w:r>
      <w:r w:rsidRPr="00283806">
        <w:rPr>
          <w:spacing w:val="21"/>
          <w:w w:val="105"/>
        </w:rPr>
        <w:t xml:space="preserve"> </w:t>
      </w:r>
      <w:r w:rsidRPr="00283806">
        <w:rPr>
          <w:spacing w:val="-2"/>
          <w:w w:val="105"/>
        </w:rPr>
        <w:t>program,</w:t>
      </w:r>
    </w:p>
    <w:p w14:paraId="4AF65350" w14:textId="77777777" w:rsidR="00D67C1E" w:rsidRPr="00283806" w:rsidRDefault="001265CA">
      <w:pPr>
        <w:pStyle w:val="BodyText"/>
        <w:spacing w:before="136" w:line="225" w:lineRule="auto"/>
        <w:ind w:left="143" w:right="141"/>
      </w:pPr>
      <w:r w:rsidRPr="00283806">
        <w:br w:type="column"/>
      </w:r>
      <w:r w:rsidRPr="00283806">
        <w:rPr>
          <w:w w:val="105"/>
        </w:rPr>
        <w:t>which the commenter states could be more effective than the proposed requirements if left to be led by</w:t>
      </w:r>
      <w:r w:rsidRPr="00283806">
        <w:rPr>
          <w:spacing w:val="80"/>
          <w:w w:val="150"/>
        </w:rPr>
        <w:t xml:space="preserve"> </w:t>
      </w:r>
      <w:r w:rsidRPr="00283806">
        <w:rPr>
          <w:w w:val="105"/>
        </w:rPr>
        <w:t xml:space="preserve">industry. The commenter also stated options such as heel recovery and recycling programs internal to companies, contractor-led programs where cylinders are evacuated to 15 in- Hg prior to disposal, or programs where refrigerant producers and packagers establish a seller take-back administered at local levels by wholesale customers. Finally, the commenter recommended that EPA consider </w:t>
      </w:r>
      <w:proofErr w:type="gramStart"/>
      <w:r w:rsidRPr="00283806">
        <w:rPr>
          <w:w w:val="105"/>
        </w:rPr>
        <w:t>labeling for</w:t>
      </w:r>
      <w:proofErr w:type="gramEnd"/>
      <w:r w:rsidRPr="00283806">
        <w:rPr>
          <w:spacing w:val="80"/>
          <w:w w:val="105"/>
        </w:rPr>
        <w:t xml:space="preserve"> </w:t>
      </w:r>
      <w:r w:rsidRPr="00283806">
        <w:rPr>
          <w:w w:val="105"/>
        </w:rPr>
        <w:t>disposable cylinders that includes a warning and disposal instructions.</w:t>
      </w:r>
    </w:p>
    <w:p w14:paraId="66E6F429" w14:textId="77777777" w:rsidR="00D67C1E" w:rsidRPr="00283806" w:rsidRDefault="001265CA">
      <w:pPr>
        <w:pStyle w:val="BodyText"/>
        <w:spacing w:line="174" w:lineRule="exact"/>
        <w:ind w:left="323"/>
      </w:pPr>
      <w:r w:rsidRPr="00283806">
        <w:rPr>
          <w:w w:val="105"/>
        </w:rPr>
        <w:t>Other</w:t>
      </w:r>
      <w:r w:rsidRPr="00283806">
        <w:rPr>
          <w:spacing w:val="2"/>
          <w:w w:val="105"/>
        </w:rPr>
        <w:t xml:space="preserve"> </w:t>
      </w:r>
      <w:r w:rsidRPr="00283806">
        <w:rPr>
          <w:w w:val="105"/>
        </w:rPr>
        <w:t>commenters</w:t>
      </w:r>
      <w:r w:rsidRPr="00283806">
        <w:rPr>
          <w:spacing w:val="2"/>
          <w:w w:val="105"/>
        </w:rPr>
        <w:t xml:space="preserve"> </w:t>
      </w:r>
      <w:r w:rsidRPr="00283806">
        <w:rPr>
          <w:w w:val="105"/>
        </w:rPr>
        <w:t>suggested</w:t>
      </w:r>
      <w:r w:rsidRPr="00283806">
        <w:rPr>
          <w:spacing w:val="2"/>
          <w:w w:val="105"/>
        </w:rPr>
        <w:t xml:space="preserve"> </w:t>
      </w:r>
      <w:r w:rsidRPr="00283806">
        <w:rPr>
          <w:w w:val="105"/>
        </w:rPr>
        <w:t>that</w:t>
      </w:r>
      <w:r w:rsidRPr="00283806">
        <w:rPr>
          <w:spacing w:val="2"/>
          <w:w w:val="105"/>
        </w:rPr>
        <w:t xml:space="preserve"> </w:t>
      </w:r>
      <w:r w:rsidRPr="00283806">
        <w:rPr>
          <w:spacing w:val="-5"/>
          <w:w w:val="105"/>
        </w:rPr>
        <w:t>the</w:t>
      </w:r>
    </w:p>
    <w:p w14:paraId="4531A967" w14:textId="77777777" w:rsidR="00D67C1E" w:rsidRPr="00283806" w:rsidRDefault="001265CA">
      <w:pPr>
        <w:pStyle w:val="BodyText"/>
        <w:spacing w:before="3" w:line="225" w:lineRule="auto"/>
        <w:ind w:left="143"/>
      </w:pPr>
      <w:r w:rsidRPr="00283806">
        <w:rPr>
          <w:w w:val="105"/>
        </w:rPr>
        <w:t>disposable cylinders could be made of recyclable materials.</w:t>
      </w:r>
    </w:p>
    <w:p w14:paraId="1D3CAC76" w14:textId="77777777" w:rsidR="00D67C1E" w:rsidRPr="00283806" w:rsidRDefault="001265CA">
      <w:pPr>
        <w:spacing w:line="185" w:lineRule="exact"/>
        <w:ind w:left="323"/>
        <w:rPr>
          <w:sz w:val="18"/>
        </w:rPr>
      </w:pPr>
      <w:r w:rsidRPr="00283806">
        <w:rPr>
          <w:rFonts w:ascii="Book Antiqua"/>
          <w:i/>
          <w:w w:val="105"/>
          <w:sz w:val="18"/>
        </w:rPr>
        <w:t>Response:</w:t>
      </w:r>
      <w:r w:rsidRPr="00283806">
        <w:rPr>
          <w:rFonts w:ascii="Book Antiqua"/>
          <w:i/>
          <w:spacing w:val="30"/>
          <w:w w:val="105"/>
          <w:sz w:val="18"/>
        </w:rPr>
        <w:t xml:space="preserve"> </w:t>
      </w:r>
      <w:r w:rsidRPr="00283806">
        <w:rPr>
          <w:w w:val="105"/>
          <w:sz w:val="18"/>
        </w:rPr>
        <w:t>The</w:t>
      </w:r>
      <w:r w:rsidRPr="00283806">
        <w:rPr>
          <w:spacing w:val="36"/>
          <w:w w:val="105"/>
          <w:sz w:val="18"/>
        </w:rPr>
        <w:t xml:space="preserve"> </w:t>
      </w:r>
      <w:r w:rsidRPr="00283806">
        <w:rPr>
          <w:w w:val="105"/>
          <w:sz w:val="18"/>
        </w:rPr>
        <w:t>Agency</w:t>
      </w:r>
      <w:r w:rsidRPr="00283806">
        <w:rPr>
          <w:spacing w:val="36"/>
          <w:w w:val="105"/>
          <w:sz w:val="18"/>
        </w:rPr>
        <w:t xml:space="preserve"> </w:t>
      </w:r>
      <w:r w:rsidRPr="00283806">
        <w:rPr>
          <w:w w:val="105"/>
          <w:sz w:val="18"/>
        </w:rPr>
        <w:t>appreciates</w:t>
      </w:r>
      <w:r w:rsidRPr="00283806">
        <w:rPr>
          <w:spacing w:val="36"/>
          <w:w w:val="105"/>
          <w:sz w:val="18"/>
        </w:rPr>
        <w:t xml:space="preserve"> </w:t>
      </w:r>
      <w:r w:rsidRPr="00283806">
        <w:rPr>
          <w:spacing w:val="-5"/>
          <w:w w:val="105"/>
          <w:sz w:val="18"/>
        </w:rPr>
        <w:t>the</w:t>
      </w:r>
    </w:p>
    <w:p w14:paraId="3BB0EEC1" w14:textId="77777777" w:rsidR="00D67C1E" w:rsidRPr="00283806" w:rsidRDefault="001265CA">
      <w:pPr>
        <w:pStyle w:val="BodyText"/>
        <w:spacing w:line="225" w:lineRule="auto"/>
        <w:ind w:left="143" w:right="173"/>
      </w:pPr>
      <w:r w:rsidRPr="00283806">
        <w:rPr>
          <w:w w:val="105"/>
        </w:rPr>
        <w:t>commenter’s suggestions on considerations for alternative cylinder designs to minimize emissions. EPA intends to evaluate the information provided for any potential future rulemakings. While materials for the disposable cylinders are outside of the scope of this rulemaking, EPA notes that the cylinders are made of steel, which</w:t>
      </w:r>
      <w:r w:rsidRPr="00283806">
        <w:rPr>
          <w:spacing w:val="40"/>
          <w:w w:val="105"/>
        </w:rPr>
        <w:t xml:space="preserve"> </w:t>
      </w:r>
      <w:r w:rsidRPr="00283806">
        <w:rPr>
          <w:w w:val="105"/>
        </w:rPr>
        <w:t>can be recycled.</w:t>
      </w:r>
    </w:p>
    <w:p w14:paraId="0DC42B52" w14:textId="77777777" w:rsidR="00D67C1E" w:rsidRPr="00283806" w:rsidRDefault="001265CA">
      <w:pPr>
        <w:pStyle w:val="BodyText"/>
        <w:spacing w:line="177" w:lineRule="exact"/>
        <w:ind w:left="323"/>
      </w:pPr>
      <w:r w:rsidRPr="00283806">
        <w:rPr>
          <w:w w:val="105"/>
        </w:rPr>
        <w:t xml:space="preserve">Regarding alternate </w:t>
      </w:r>
      <w:r w:rsidRPr="00283806">
        <w:rPr>
          <w:spacing w:val="-2"/>
          <w:w w:val="105"/>
        </w:rPr>
        <w:t>considerations</w:t>
      </w:r>
    </w:p>
    <w:p w14:paraId="39BEAE06" w14:textId="77777777" w:rsidR="00D67C1E" w:rsidRPr="00283806" w:rsidRDefault="001265CA">
      <w:pPr>
        <w:pStyle w:val="BodyText"/>
        <w:spacing w:before="3" w:line="225" w:lineRule="auto"/>
        <w:ind w:left="143" w:right="167"/>
      </w:pPr>
      <w:proofErr w:type="gramStart"/>
      <w:r w:rsidRPr="00283806">
        <w:rPr>
          <w:w w:val="105"/>
        </w:rPr>
        <w:t>beyond</w:t>
      </w:r>
      <w:proofErr w:type="gramEnd"/>
      <w:r w:rsidRPr="00283806">
        <w:rPr>
          <w:spacing w:val="40"/>
          <w:w w:val="105"/>
        </w:rPr>
        <w:t xml:space="preserve"> </w:t>
      </w:r>
      <w:r w:rsidRPr="00283806">
        <w:rPr>
          <w:w w:val="105"/>
        </w:rPr>
        <w:t>cylinder</w:t>
      </w:r>
      <w:r w:rsidRPr="00283806">
        <w:rPr>
          <w:spacing w:val="40"/>
          <w:w w:val="105"/>
        </w:rPr>
        <w:t xml:space="preserve"> </w:t>
      </w:r>
      <w:r w:rsidRPr="00283806">
        <w:rPr>
          <w:w w:val="105"/>
        </w:rPr>
        <w:t>design,</w:t>
      </w:r>
      <w:r w:rsidRPr="00283806">
        <w:rPr>
          <w:spacing w:val="40"/>
          <w:w w:val="105"/>
        </w:rPr>
        <w:t xml:space="preserve"> </w:t>
      </w:r>
      <w:r w:rsidRPr="00283806">
        <w:rPr>
          <w:w w:val="105"/>
        </w:rPr>
        <w:t>EPA appreciates these comments and suggestions. The Agency provided responses to similar suggestions in comment responses in this section. For example, EPA is addressing flexibilities</w:t>
      </w:r>
      <w:r w:rsidRPr="00283806">
        <w:rPr>
          <w:spacing w:val="80"/>
          <w:w w:val="105"/>
        </w:rPr>
        <w:t xml:space="preserve"> </w:t>
      </w:r>
      <w:r w:rsidRPr="00283806">
        <w:rPr>
          <w:w w:val="105"/>
        </w:rPr>
        <w:t>of transporting used disposable</w:t>
      </w:r>
      <w:r w:rsidRPr="00283806">
        <w:rPr>
          <w:spacing w:val="80"/>
          <w:w w:val="105"/>
        </w:rPr>
        <w:t xml:space="preserve"> </w:t>
      </w:r>
      <w:r w:rsidRPr="00283806">
        <w:rPr>
          <w:w w:val="105"/>
        </w:rPr>
        <w:t>cylinders to reclaimers and fire suppressant recyclers by including the alternate approach to allow final processors to accept disposable</w:t>
      </w:r>
      <w:r w:rsidRPr="00283806">
        <w:rPr>
          <w:spacing w:val="80"/>
          <w:w w:val="105"/>
        </w:rPr>
        <w:t xml:space="preserve"> </w:t>
      </w:r>
      <w:r w:rsidRPr="00283806">
        <w:rPr>
          <w:w w:val="105"/>
        </w:rPr>
        <w:t>cylinders and recover the heel and establishing that the recovery of the heel may occur at other points in the reverse supply chain (</w:t>
      </w:r>
      <w:r w:rsidRPr="00283806">
        <w:rPr>
          <w:rFonts w:ascii="Book Antiqua"/>
          <w:i/>
          <w:w w:val="105"/>
        </w:rPr>
        <w:t xml:space="preserve">e.g., </w:t>
      </w:r>
      <w:r w:rsidRPr="00283806">
        <w:rPr>
          <w:w w:val="105"/>
        </w:rPr>
        <w:t xml:space="preserve">wholesalers and distributors). These entities are those that </w:t>
      </w:r>
      <w:proofErr w:type="gramStart"/>
      <w:r w:rsidRPr="00283806">
        <w:rPr>
          <w:w w:val="105"/>
        </w:rPr>
        <w:t>are capable of removing</w:t>
      </w:r>
      <w:proofErr w:type="gramEnd"/>
      <w:r w:rsidRPr="00283806">
        <w:rPr>
          <w:w w:val="105"/>
        </w:rPr>
        <w:t xml:space="preserve"> the heel from disposable cylinders and thus have access to the proper recovery machines. EPA also notes that while establishing collection sites may improve logistics of returning disposable cylinders for recovery of the heel, the Agency is not</w:t>
      </w:r>
      <w:r w:rsidRPr="00283806">
        <w:rPr>
          <w:spacing w:val="40"/>
          <w:w w:val="105"/>
        </w:rPr>
        <w:t xml:space="preserve"> </w:t>
      </w:r>
      <w:r w:rsidRPr="00283806">
        <w:rPr>
          <w:w w:val="105"/>
        </w:rPr>
        <w:t>the appropriate entity to establish such sites under a regulatory action. Further, EPA is establishing an alternate</w:t>
      </w:r>
      <w:r w:rsidRPr="00283806">
        <w:rPr>
          <w:spacing w:val="80"/>
          <w:w w:val="105"/>
        </w:rPr>
        <w:t xml:space="preserve"> </w:t>
      </w:r>
      <w:r w:rsidRPr="00283806">
        <w:rPr>
          <w:w w:val="105"/>
        </w:rPr>
        <w:t>approach considering an evacuation</w:t>
      </w:r>
      <w:r w:rsidRPr="00283806">
        <w:rPr>
          <w:spacing w:val="80"/>
          <w:w w:val="105"/>
        </w:rPr>
        <w:t xml:space="preserve"> </w:t>
      </w:r>
      <w:r w:rsidRPr="00283806">
        <w:rPr>
          <w:w w:val="105"/>
        </w:rPr>
        <w:t>level of 15 in-Hg, as described earlier in this section. The Agency appreciates the suggestion to establish a labeling requirement for disposable cylinders</w:t>
      </w:r>
    </w:p>
    <w:p w14:paraId="6326EFB9" w14:textId="77777777" w:rsidR="00D67C1E" w:rsidRPr="00283806" w:rsidRDefault="001265CA">
      <w:pPr>
        <w:pStyle w:val="BodyText"/>
        <w:spacing w:line="91" w:lineRule="exact"/>
        <w:ind w:left="143"/>
      </w:pPr>
      <w:r w:rsidRPr="00283806">
        <w:rPr>
          <w:w w:val="105"/>
        </w:rPr>
        <w:t>that</w:t>
      </w:r>
      <w:r w:rsidRPr="00283806">
        <w:rPr>
          <w:spacing w:val="10"/>
          <w:w w:val="105"/>
        </w:rPr>
        <w:t xml:space="preserve"> </w:t>
      </w:r>
      <w:r w:rsidRPr="00283806">
        <w:rPr>
          <w:w w:val="105"/>
        </w:rPr>
        <w:t>would</w:t>
      </w:r>
      <w:r w:rsidRPr="00283806">
        <w:rPr>
          <w:spacing w:val="10"/>
          <w:w w:val="105"/>
        </w:rPr>
        <w:t xml:space="preserve"> </w:t>
      </w:r>
      <w:r w:rsidRPr="00283806">
        <w:rPr>
          <w:w w:val="105"/>
        </w:rPr>
        <w:t>describe</w:t>
      </w:r>
      <w:r w:rsidRPr="00283806">
        <w:rPr>
          <w:spacing w:val="10"/>
          <w:w w:val="105"/>
        </w:rPr>
        <w:t xml:space="preserve"> </w:t>
      </w:r>
      <w:r w:rsidRPr="00283806">
        <w:rPr>
          <w:w w:val="105"/>
        </w:rPr>
        <w:t>safe</w:t>
      </w:r>
      <w:r w:rsidRPr="00283806">
        <w:rPr>
          <w:spacing w:val="10"/>
          <w:w w:val="105"/>
        </w:rPr>
        <w:t xml:space="preserve"> </w:t>
      </w:r>
      <w:r w:rsidRPr="00283806">
        <w:rPr>
          <w:w w:val="105"/>
        </w:rPr>
        <w:t>and</w:t>
      </w:r>
      <w:r w:rsidRPr="00283806">
        <w:rPr>
          <w:spacing w:val="10"/>
          <w:w w:val="105"/>
        </w:rPr>
        <w:t xml:space="preserve"> </w:t>
      </w:r>
      <w:r w:rsidRPr="00283806">
        <w:rPr>
          <w:spacing w:val="-2"/>
          <w:w w:val="105"/>
        </w:rPr>
        <w:t>proper</w:t>
      </w:r>
    </w:p>
    <w:p w14:paraId="67C77A59" w14:textId="77777777" w:rsidR="00D67C1E" w:rsidRPr="00283806" w:rsidRDefault="00D67C1E">
      <w:pPr>
        <w:spacing w:line="91" w:lineRule="exact"/>
        <w:sectPr w:rsidR="00D67C1E" w:rsidRPr="00283806">
          <w:pgSz w:w="12240" w:h="15840"/>
          <w:pgMar w:top="1040" w:right="780" w:bottom="280" w:left="740" w:header="627" w:footer="0" w:gutter="0"/>
          <w:cols w:num="3" w:space="720" w:equalWidth="0">
            <w:col w:w="3515" w:space="40"/>
            <w:col w:w="3503" w:space="39"/>
            <w:col w:w="3623"/>
          </w:cols>
        </w:sectPr>
      </w:pPr>
    </w:p>
    <w:p w14:paraId="6AADA8FB" w14:textId="77777777" w:rsidR="00D67C1E" w:rsidRPr="00283806" w:rsidRDefault="001265CA">
      <w:pPr>
        <w:tabs>
          <w:tab w:val="left" w:pos="3699"/>
          <w:tab w:val="left" w:pos="4699"/>
        </w:tabs>
        <w:spacing w:line="232" w:lineRule="auto"/>
        <w:ind w:left="159" w:right="38" w:firstLine="140"/>
        <w:rPr>
          <w:sz w:val="14"/>
        </w:rPr>
      </w:pPr>
      <w:r w:rsidRPr="00283806">
        <w:rPr>
          <w:w w:val="105"/>
          <w:position w:val="4"/>
          <w:sz w:val="9"/>
        </w:rPr>
        <w:t xml:space="preserve">138 </w:t>
      </w:r>
      <w:r w:rsidRPr="00283806">
        <w:rPr>
          <w:w w:val="105"/>
          <w:sz w:val="14"/>
        </w:rPr>
        <w:t>EPA clarifies that under 40 CFR 261.7(b)(2), a</w:t>
      </w:r>
      <w:r w:rsidRPr="00283806">
        <w:rPr>
          <w:sz w:val="14"/>
        </w:rPr>
        <w:tab/>
      </w:r>
      <w:r w:rsidRPr="00283806">
        <w:rPr>
          <w:sz w:val="14"/>
          <w:u w:val="single"/>
        </w:rPr>
        <w:tab/>
      </w:r>
      <w:r w:rsidRPr="00283806">
        <w:rPr>
          <w:spacing w:val="40"/>
          <w:w w:val="105"/>
          <w:sz w:val="14"/>
        </w:rPr>
        <w:t xml:space="preserve"> </w:t>
      </w:r>
      <w:r w:rsidRPr="00283806">
        <w:rPr>
          <w:w w:val="105"/>
          <w:sz w:val="14"/>
        </w:rPr>
        <w:t>container that has held a hazardous waste that is</w:t>
      </w:r>
    </w:p>
    <w:p w14:paraId="2338A0AB" w14:textId="77777777" w:rsidR="00D67C1E" w:rsidRPr="00283806" w:rsidRDefault="001265CA">
      <w:pPr>
        <w:pStyle w:val="BodyText"/>
        <w:spacing w:before="84" w:line="200" w:lineRule="exact"/>
        <w:ind w:left="159"/>
      </w:pPr>
      <w:r w:rsidRPr="00283806">
        <w:br w:type="column"/>
      </w:r>
      <w:r w:rsidRPr="00283806">
        <w:rPr>
          <w:w w:val="110"/>
        </w:rPr>
        <w:t>disposal</w:t>
      </w:r>
      <w:r w:rsidRPr="00283806">
        <w:rPr>
          <w:spacing w:val="-1"/>
          <w:w w:val="110"/>
        </w:rPr>
        <w:t xml:space="preserve"> </w:t>
      </w:r>
      <w:r w:rsidRPr="00283806">
        <w:rPr>
          <w:w w:val="110"/>
        </w:rPr>
        <w:t>of the</w:t>
      </w:r>
      <w:r w:rsidRPr="00283806">
        <w:rPr>
          <w:spacing w:val="-1"/>
          <w:w w:val="110"/>
        </w:rPr>
        <w:t xml:space="preserve"> </w:t>
      </w:r>
      <w:r w:rsidRPr="00283806">
        <w:rPr>
          <w:w w:val="110"/>
        </w:rPr>
        <w:t>cylinder. EPA</w:t>
      </w:r>
      <w:r w:rsidRPr="00283806">
        <w:rPr>
          <w:spacing w:val="-1"/>
          <w:w w:val="110"/>
        </w:rPr>
        <w:t xml:space="preserve"> </w:t>
      </w:r>
      <w:r w:rsidRPr="00283806">
        <w:rPr>
          <w:w w:val="110"/>
        </w:rPr>
        <w:t xml:space="preserve">is not </w:t>
      </w:r>
      <w:r w:rsidRPr="00283806">
        <w:rPr>
          <w:spacing w:val="-5"/>
          <w:w w:val="110"/>
        </w:rPr>
        <w:t>at</w:t>
      </w:r>
    </w:p>
    <w:p w14:paraId="4E7880C9" w14:textId="77777777" w:rsidR="00D67C1E" w:rsidRPr="00283806" w:rsidRDefault="00D67C1E">
      <w:pPr>
        <w:spacing w:line="200" w:lineRule="exact"/>
        <w:sectPr w:rsidR="00D67C1E" w:rsidRPr="00283806">
          <w:type w:val="continuous"/>
          <w:pgSz w:w="12240" w:h="15840"/>
          <w:pgMar w:top="880" w:right="780" w:bottom="280" w:left="740" w:header="627" w:footer="0" w:gutter="0"/>
          <w:cols w:num="2" w:space="720" w:equalWidth="0">
            <w:col w:w="4740" w:space="2340"/>
            <w:col w:w="3640"/>
          </w:cols>
        </w:sectPr>
      </w:pPr>
    </w:p>
    <w:p w14:paraId="7FF16F7D" w14:textId="77777777" w:rsidR="00D67C1E" w:rsidRPr="00283806" w:rsidRDefault="001265CA">
      <w:pPr>
        <w:spacing w:before="6" w:line="232" w:lineRule="auto"/>
        <w:ind w:left="159"/>
        <w:rPr>
          <w:sz w:val="14"/>
        </w:rPr>
      </w:pPr>
      <w:proofErr w:type="gramStart"/>
      <w:r w:rsidRPr="00283806">
        <w:rPr>
          <w:w w:val="105"/>
          <w:sz w:val="14"/>
        </w:rPr>
        <w:t>a compressed</w:t>
      </w:r>
      <w:proofErr w:type="gramEnd"/>
      <w:r w:rsidRPr="00283806">
        <w:rPr>
          <w:w w:val="105"/>
          <w:sz w:val="14"/>
        </w:rPr>
        <w:t xml:space="preserve"> gas is empty when the pressure in the</w:t>
      </w:r>
      <w:r w:rsidRPr="00283806">
        <w:rPr>
          <w:spacing w:val="40"/>
          <w:w w:val="105"/>
          <w:sz w:val="14"/>
        </w:rPr>
        <w:t xml:space="preserve"> </w:t>
      </w:r>
      <w:r w:rsidRPr="00283806">
        <w:rPr>
          <w:w w:val="105"/>
          <w:sz w:val="14"/>
        </w:rPr>
        <w:t>container approaches atmospheric. Where a</w:t>
      </w:r>
      <w:r w:rsidRPr="00283806">
        <w:rPr>
          <w:spacing w:val="40"/>
          <w:w w:val="105"/>
          <w:sz w:val="14"/>
        </w:rPr>
        <w:t xml:space="preserve"> </w:t>
      </w:r>
      <w:r w:rsidRPr="00283806">
        <w:rPr>
          <w:w w:val="105"/>
          <w:sz w:val="14"/>
        </w:rPr>
        <w:t>disposable cylinder that contained a refrigerant that</w:t>
      </w:r>
      <w:r w:rsidRPr="00283806">
        <w:rPr>
          <w:spacing w:val="40"/>
          <w:w w:val="105"/>
          <w:sz w:val="14"/>
        </w:rPr>
        <w:t xml:space="preserve"> </w:t>
      </w:r>
      <w:r w:rsidRPr="00283806">
        <w:rPr>
          <w:w w:val="105"/>
          <w:sz w:val="14"/>
        </w:rPr>
        <w:t>exhibits the hazardous characteristic of ignitability</w:t>
      </w:r>
      <w:r w:rsidRPr="00283806">
        <w:rPr>
          <w:spacing w:val="40"/>
          <w:w w:val="105"/>
          <w:sz w:val="14"/>
        </w:rPr>
        <w:t xml:space="preserve"> </w:t>
      </w:r>
      <w:r w:rsidRPr="00283806">
        <w:rPr>
          <w:w w:val="105"/>
          <w:sz w:val="14"/>
        </w:rPr>
        <w:t>under 40 CFR 261.21 (generally expected to include</w:t>
      </w:r>
      <w:r w:rsidRPr="00283806">
        <w:rPr>
          <w:spacing w:val="40"/>
          <w:w w:val="105"/>
          <w:sz w:val="14"/>
        </w:rPr>
        <w:t xml:space="preserve"> </w:t>
      </w:r>
      <w:r w:rsidRPr="00283806">
        <w:rPr>
          <w:w w:val="105"/>
          <w:sz w:val="14"/>
        </w:rPr>
        <w:t xml:space="preserve">all flammable refrigerants; </w:t>
      </w:r>
      <w:r w:rsidRPr="00283806">
        <w:rPr>
          <w:rFonts w:ascii="Book Antiqua"/>
          <w:i/>
          <w:w w:val="105"/>
          <w:sz w:val="14"/>
        </w:rPr>
        <w:t xml:space="preserve">i.e., </w:t>
      </w:r>
      <w:r w:rsidRPr="00283806">
        <w:rPr>
          <w:w w:val="105"/>
          <w:sz w:val="14"/>
        </w:rPr>
        <w:t>Class 2, 2l, and 3)</w:t>
      </w:r>
    </w:p>
    <w:p w14:paraId="6C4F11C2" w14:textId="77777777" w:rsidR="00D67C1E" w:rsidRPr="00283806" w:rsidRDefault="001265CA">
      <w:pPr>
        <w:spacing w:before="6" w:line="232" w:lineRule="auto"/>
        <w:ind w:left="159" w:right="63"/>
        <w:rPr>
          <w:sz w:val="14"/>
        </w:rPr>
      </w:pPr>
      <w:r w:rsidRPr="00283806">
        <w:br w:type="column"/>
      </w:r>
      <w:r w:rsidRPr="00283806">
        <w:rPr>
          <w:w w:val="105"/>
          <w:sz w:val="14"/>
        </w:rPr>
        <w:t>is being discarded using the alternate compliance</w:t>
      </w:r>
      <w:r w:rsidRPr="00283806">
        <w:rPr>
          <w:spacing w:val="40"/>
          <w:w w:val="105"/>
          <w:sz w:val="14"/>
        </w:rPr>
        <w:t xml:space="preserve"> </w:t>
      </w:r>
      <w:r w:rsidRPr="00283806">
        <w:rPr>
          <w:w w:val="105"/>
          <w:sz w:val="14"/>
        </w:rPr>
        <w:t>method, evacuating to a vacuum of 15-in Hg would</w:t>
      </w:r>
      <w:r w:rsidRPr="00283806">
        <w:rPr>
          <w:spacing w:val="40"/>
          <w:w w:val="105"/>
          <w:sz w:val="14"/>
        </w:rPr>
        <w:t xml:space="preserve"> </w:t>
      </w:r>
      <w:r w:rsidRPr="00283806">
        <w:rPr>
          <w:w w:val="105"/>
          <w:sz w:val="14"/>
        </w:rPr>
        <w:t>also meet the requirements for an ‘‘empty</w:t>
      </w:r>
      <w:r w:rsidRPr="00283806">
        <w:rPr>
          <w:spacing w:val="40"/>
          <w:w w:val="105"/>
          <w:sz w:val="14"/>
        </w:rPr>
        <w:t xml:space="preserve"> </w:t>
      </w:r>
      <w:r w:rsidRPr="00283806">
        <w:rPr>
          <w:w w:val="105"/>
          <w:sz w:val="14"/>
        </w:rPr>
        <w:t>container’’ under 40 CFR 261.7(b)(2), since the</w:t>
      </w:r>
      <w:r w:rsidRPr="00283806">
        <w:rPr>
          <w:spacing w:val="40"/>
          <w:w w:val="105"/>
          <w:sz w:val="14"/>
        </w:rPr>
        <w:t xml:space="preserve"> </w:t>
      </w:r>
      <w:r w:rsidRPr="00283806">
        <w:rPr>
          <w:w w:val="105"/>
          <w:sz w:val="14"/>
        </w:rPr>
        <w:t>vacuum of 15 in-Hg would be an evacuation level</w:t>
      </w:r>
      <w:r w:rsidRPr="00283806">
        <w:rPr>
          <w:spacing w:val="40"/>
          <w:w w:val="105"/>
          <w:sz w:val="14"/>
        </w:rPr>
        <w:t xml:space="preserve"> </w:t>
      </w:r>
      <w:r w:rsidRPr="00283806">
        <w:rPr>
          <w:w w:val="105"/>
          <w:sz w:val="14"/>
        </w:rPr>
        <w:t>beyond atmospheric pressure.</w:t>
      </w:r>
    </w:p>
    <w:p w14:paraId="3069295A" w14:textId="77777777" w:rsidR="00D67C1E" w:rsidRPr="00283806" w:rsidRDefault="001265CA">
      <w:pPr>
        <w:pStyle w:val="BodyText"/>
        <w:spacing w:line="171" w:lineRule="exact"/>
        <w:ind w:left="159"/>
      </w:pPr>
      <w:r w:rsidRPr="00283806">
        <w:br w:type="column"/>
      </w:r>
      <w:r w:rsidRPr="00283806">
        <w:rPr>
          <w:w w:val="105"/>
        </w:rPr>
        <w:t>this</w:t>
      </w:r>
      <w:r w:rsidRPr="00283806">
        <w:rPr>
          <w:spacing w:val="15"/>
          <w:w w:val="105"/>
        </w:rPr>
        <w:t xml:space="preserve"> </w:t>
      </w:r>
      <w:r w:rsidRPr="00283806">
        <w:rPr>
          <w:w w:val="105"/>
        </w:rPr>
        <w:t>time</w:t>
      </w:r>
      <w:r w:rsidRPr="00283806">
        <w:rPr>
          <w:spacing w:val="15"/>
          <w:w w:val="105"/>
        </w:rPr>
        <w:t xml:space="preserve"> </w:t>
      </w:r>
      <w:r w:rsidRPr="00283806">
        <w:rPr>
          <w:w w:val="105"/>
        </w:rPr>
        <w:t>establishing</w:t>
      </w:r>
      <w:r w:rsidRPr="00283806">
        <w:rPr>
          <w:spacing w:val="15"/>
          <w:w w:val="105"/>
        </w:rPr>
        <w:t xml:space="preserve"> </w:t>
      </w:r>
      <w:r w:rsidRPr="00283806">
        <w:rPr>
          <w:w w:val="105"/>
        </w:rPr>
        <w:t>such</w:t>
      </w:r>
      <w:r w:rsidRPr="00283806">
        <w:rPr>
          <w:spacing w:val="15"/>
          <w:w w:val="105"/>
        </w:rPr>
        <w:t xml:space="preserve"> </w:t>
      </w:r>
      <w:r w:rsidRPr="00283806">
        <w:rPr>
          <w:spacing w:val="-2"/>
          <w:w w:val="105"/>
        </w:rPr>
        <w:t>labeling</w:t>
      </w:r>
    </w:p>
    <w:p w14:paraId="4D642E7F" w14:textId="77777777" w:rsidR="00D67C1E" w:rsidRPr="00283806" w:rsidRDefault="001265CA">
      <w:pPr>
        <w:pStyle w:val="BodyText"/>
        <w:spacing w:before="3" w:line="228" w:lineRule="auto"/>
        <w:ind w:left="159" w:right="182"/>
      </w:pPr>
      <w:r w:rsidRPr="00283806">
        <w:rPr>
          <w:w w:val="105"/>
        </w:rPr>
        <w:t xml:space="preserve">requirements, but may consider such a requirement in </w:t>
      </w:r>
      <w:proofErr w:type="gramStart"/>
      <w:r w:rsidRPr="00283806">
        <w:rPr>
          <w:w w:val="105"/>
        </w:rPr>
        <w:t>a future</w:t>
      </w:r>
      <w:proofErr w:type="gramEnd"/>
      <w:r w:rsidRPr="00283806">
        <w:rPr>
          <w:w w:val="105"/>
        </w:rPr>
        <w:t xml:space="preserve"> rulemaking. The Agency also notes that the</w:t>
      </w:r>
      <w:r w:rsidRPr="00283806">
        <w:rPr>
          <w:spacing w:val="40"/>
          <w:w w:val="105"/>
        </w:rPr>
        <w:t xml:space="preserve"> </w:t>
      </w:r>
      <w:r w:rsidRPr="00283806">
        <w:rPr>
          <w:w w:val="105"/>
        </w:rPr>
        <w:t>manufacturers of these cylinders could</w:t>
      </w:r>
    </w:p>
    <w:p w14:paraId="17589EF2" w14:textId="77777777" w:rsidR="00D67C1E" w:rsidRPr="00283806" w:rsidRDefault="00D67C1E">
      <w:pPr>
        <w:spacing w:line="228" w:lineRule="auto"/>
        <w:sectPr w:rsidR="00D67C1E" w:rsidRPr="00283806">
          <w:type w:val="continuous"/>
          <w:pgSz w:w="12240" w:h="15840"/>
          <w:pgMar w:top="880" w:right="780" w:bottom="280" w:left="740" w:header="627" w:footer="0" w:gutter="0"/>
          <w:cols w:num="3" w:space="720" w:equalWidth="0">
            <w:col w:w="3495" w:space="45"/>
            <w:col w:w="3488" w:space="53"/>
            <w:col w:w="3639"/>
          </w:cols>
        </w:sectPr>
      </w:pPr>
    </w:p>
    <w:p w14:paraId="3DD67777" w14:textId="77777777" w:rsidR="00D67C1E" w:rsidRPr="00283806" w:rsidRDefault="001265CA">
      <w:pPr>
        <w:pStyle w:val="BodyText"/>
        <w:spacing w:before="136" w:line="225" w:lineRule="auto"/>
        <w:ind w:right="27"/>
      </w:pPr>
      <w:r w:rsidRPr="00283806">
        <w:rPr>
          <w:w w:val="105"/>
        </w:rPr>
        <w:lastRenderedPageBreak/>
        <w:t>provide additional information on their labels if they choose to do so, as long</w:t>
      </w:r>
    </w:p>
    <w:p w14:paraId="67B1E9FE" w14:textId="77777777" w:rsidR="00D67C1E" w:rsidRPr="00283806" w:rsidRDefault="001265CA">
      <w:pPr>
        <w:pStyle w:val="BodyText"/>
        <w:spacing w:line="225" w:lineRule="auto"/>
        <w:ind w:right="27"/>
      </w:pPr>
      <w:r w:rsidRPr="00283806">
        <w:rPr>
          <w:w w:val="105"/>
        </w:rPr>
        <w:t xml:space="preserve">as that information is not counter to the requirements established by this final </w:t>
      </w:r>
      <w:r w:rsidRPr="00283806">
        <w:rPr>
          <w:spacing w:val="-2"/>
          <w:w w:val="105"/>
        </w:rPr>
        <w:t>rule.</w:t>
      </w:r>
    </w:p>
    <w:p w14:paraId="2F6AA657" w14:textId="77777777" w:rsidR="00D67C1E" w:rsidRPr="00283806" w:rsidRDefault="001265CA">
      <w:pPr>
        <w:pStyle w:val="ListParagraph"/>
        <w:numPr>
          <w:ilvl w:val="0"/>
          <w:numId w:val="47"/>
        </w:numPr>
        <w:tabs>
          <w:tab w:val="left" w:pos="358"/>
        </w:tabs>
        <w:spacing w:before="86"/>
        <w:ind w:left="358" w:hanging="198"/>
        <w:rPr>
          <w:sz w:val="18"/>
        </w:rPr>
      </w:pPr>
      <w:r w:rsidRPr="00283806">
        <w:rPr>
          <w:w w:val="105"/>
          <w:sz w:val="18"/>
        </w:rPr>
        <w:t>Small</w:t>
      </w:r>
      <w:r w:rsidRPr="00283806">
        <w:rPr>
          <w:spacing w:val="21"/>
          <w:w w:val="105"/>
          <w:sz w:val="18"/>
        </w:rPr>
        <w:t xml:space="preserve"> </w:t>
      </w:r>
      <w:r w:rsidRPr="00283806">
        <w:rPr>
          <w:w w:val="105"/>
          <w:sz w:val="18"/>
        </w:rPr>
        <w:t>Cans</w:t>
      </w:r>
      <w:r w:rsidRPr="00283806">
        <w:rPr>
          <w:spacing w:val="21"/>
          <w:w w:val="105"/>
          <w:sz w:val="18"/>
        </w:rPr>
        <w:t xml:space="preserve"> </w:t>
      </w:r>
      <w:r w:rsidRPr="00283806">
        <w:rPr>
          <w:w w:val="105"/>
          <w:sz w:val="18"/>
        </w:rPr>
        <w:t>of</w:t>
      </w:r>
      <w:r w:rsidRPr="00283806">
        <w:rPr>
          <w:spacing w:val="21"/>
          <w:w w:val="105"/>
          <w:sz w:val="18"/>
        </w:rPr>
        <w:t xml:space="preserve"> </w:t>
      </w:r>
      <w:r w:rsidRPr="00283806">
        <w:rPr>
          <w:spacing w:val="-2"/>
          <w:w w:val="105"/>
          <w:sz w:val="18"/>
        </w:rPr>
        <w:t>Refrigerant</w:t>
      </w:r>
    </w:p>
    <w:p w14:paraId="297C351E" w14:textId="77777777" w:rsidR="00D67C1E" w:rsidRPr="00283806" w:rsidRDefault="001265CA">
      <w:pPr>
        <w:pStyle w:val="BodyText"/>
        <w:spacing w:before="65" w:line="223" w:lineRule="auto"/>
        <w:ind w:left="159" w:right="139" w:firstLine="180"/>
      </w:pPr>
      <w:r w:rsidRPr="00283806">
        <w:rPr>
          <w:w w:val="105"/>
        </w:rPr>
        <w:t>EPA</w:t>
      </w:r>
      <w:r w:rsidRPr="00283806">
        <w:rPr>
          <w:spacing w:val="40"/>
          <w:w w:val="105"/>
        </w:rPr>
        <w:t xml:space="preserve"> </w:t>
      </w:r>
      <w:r w:rsidRPr="00283806">
        <w:rPr>
          <w:w w:val="105"/>
        </w:rPr>
        <w:t>did</w:t>
      </w:r>
      <w:r w:rsidRPr="00283806">
        <w:rPr>
          <w:spacing w:val="40"/>
          <w:w w:val="105"/>
        </w:rPr>
        <w:t xml:space="preserve"> </w:t>
      </w:r>
      <w:r w:rsidRPr="00283806">
        <w:rPr>
          <w:w w:val="105"/>
        </w:rPr>
        <w:t>not</w:t>
      </w:r>
      <w:r w:rsidRPr="00283806">
        <w:rPr>
          <w:spacing w:val="40"/>
          <w:w w:val="105"/>
        </w:rPr>
        <w:t xml:space="preserve"> </w:t>
      </w:r>
      <w:r w:rsidRPr="00283806">
        <w:rPr>
          <w:w w:val="105"/>
        </w:rPr>
        <w:t>propose</w:t>
      </w:r>
      <w:r w:rsidRPr="00283806">
        <w:rPr>
          <w:spacing w:val="40"/>
          <w:w w:val="105"/>
        </w:rPr>
        <w:t xml:space="preserve"> </w:t>
      </w:r>
      <w:r w:rsidRPr="00283806">
        <w:rPr>
          <w:w w:val="105"/>
        </w:rPr>
        <w:t>that</w:t>
      </w:r>
      <w:r w:rsidRPr="00283806">
        <w:rPr>
          <w:spacing w:val="40"/>
          <w:w w:val="105"/>
        </w:rPr>
        <w:t xml:space="preserve"> </w:t>
      </w:r>
      <w:r w:rsidRPr="00283806">
        <w:rPr>
          <w:w w:val="105"/>
        </w:rPr>
        <w:t>small cans</w:t>
      </w:r>
      <w:r w:rsidRPr="00283806">
        <w:rPr>
          <w:spacing w:val="-9"/>
          <w:w w:val="105"/>
        </w:rPr>
        <w:t xml:space="preserve"> </w:t>
      </w:r>
      <w:r w:rsidRPr="00283806">
        <w:rPr>
          <w:w w:val="105"/>
          <w:position w:val="5"/>
          <w:sz w:val="11"/>
        </w:rPr>
        <w:t>139</w:t>
      </w:r>
      <w:r w:rsidRPr="00283806">
        <w:rPr>
          <w:spacing w:val="28"/>
          <w:w w:val="105"/>
          <w:position w:val="5"/>
          <w:sz w:val="11"/>
        </w:rPr>
        <w:t xml:space="preserve"> </w:t>
      </w:r>
      <w:r w:rsidRPr="00283806">
        <w:rPr>
          <w:w w:val="105"/>
        </w:rPr>
        <w:t>of refrigerant with self-sealing valves (</w:t>
      </w:r>
      <w:r w:rsidRPr="00283806">
        <w:rPr>
          <w:rFonts w:ascii="Book Antiqua"/>
          <w:i/>
          <w:w w:val="105"/>
        </w:rPr>
        <w:t xml:space="preserve">i.e., </w:t>
      </w:r>
      <w:r w:rsidRPr="00283806">
        <w:rPr>
          <w:w w:val="105"/>
        </w:rPr>
        <w:t>those that qualify for exemption from the sales restriction under 40 CFR 82.154(c)(ix)) must be</w:t>
      </w:r>
    </w:p>
    <w:p w14:paraId="1D0E8DC0" w14:textId="77777777" w:rsidR="00D67C1E" w:rsidRPr="00283806" w:rsidRDefault="001265CA">
      <w:pPr>
        <w:pStyle w:val="BodyText"/>
        <w:spacing w:line="225" w:lineRule="auto"/>
        <w:ind w:left="159" w:right="33"/>
      </w:pPr>
      <w:r w:rsidRPr="00283806">
        <w:rPr>
          <w:w w:val="105"/>
        </w:rPr>
        <w:t>sent to a reclaimer for disposal after use. EPA did not receive adverse comments</w:t>
      </w:r>
      <w:r w:rsidRPr="00283806">
        <w:rPr>
          <w:spacing w:val="40"/>
          <w:w w:val="105"/>
        </w:rPr>
        <w:t xml:space="preserve"> </w:t>
      </w:r>
      <w:r w:rsidRPr="00283806">
        <w:rPr>
          <w:w w:val="105"/>
        </w:rPr>
        <w:t>on this proposed approach and is finalizing as proposed. EPA is</w:t>
      </w:r>
      <w:r w:rsidRPr="00283806">
        <w:rPr>
          <w:spacing w:val="80"/>
          <w:w w:val="105"/>
        </w:rPr>
        <w:t xml:space="preserve"> </w:t>
      </w:r>
      <w:r w:rsidRPr="00283806">
        <w:rPr>
          <w:w w:val="105"/>
        </w:rPr>
        <w:t xml:space="preserve">accordingly not applying the modified requirements for disposable cylinders as described in section IV.G.1 to small cans of refrigerant. EPA edited the regulatory text at section 84.116(g) to clarify that the requirements do not apply to small </w:t>
      </w:r>
      <w:r w:rsidRPr="00283806">
        <w:rPr>
          <w:spacing w:val="-2"/>
          <w:w w:val="105"/>
        </w:rPr>
        <w:t>cans.</w:t>
      </w:r>
    </w:p>
    <w:p w14:paraId="5260CE06" w14:textId="77777777" w:rsidR="00D67C1E" w:rsidRPr="00283806" w:rsidRDefault="001265CA">
      <w:pPr>
        <w:pStyle w:val="ListParagraph"/>
        <w:numPr>
          <w:ilvl w:val="1"/>
          <w:numId w:val="64"/>
        </w:numPr>
        <w:tabs>
          <w:tab w:val="left" w:pos="398"/>
        </w:tabs>
        <w:spacing w:before="100" w:line="218" w:lineRule="auto"/>
        <w:ind w:left="159" w:right="559" w:firstLine="0"/>
        <w:rPr>
          <w:rFonts w:ascii="Book Antiqua"/>
          <w:i/>
          <w:sz w:val="18"/>
        </w:rPr>
      </w:pPr>
      <w:r w:rsidRPr="00283806">
        <w:rPr>
          <w:rFonts w:ascii="Book Antiqua"/>
          <w:i/>
          <w:w w:val="110"/>
          <w:sz w:val="18"/>
        </w:rPr>
        <w:t>How</w:t>
      </w:r>
      <w:r w:rsidRPr="00283806">
        <w:rPr>
          <w:rFonts w:ascii="Book Antiqua"/>
          <w:i/>
          <w:spacing w:val="-13"/>
          <w:w w:val="110"/>
          <w:sz w:val="18"/>
        </w:rPr>
        <w:t xml:space="preserve"> </w:t>
      </w:r>
      <w:r w:rsidRPr="00283806">
        <w:rPr>
          <w:rFonts w:ascii="Book Antiqua"/>
          <w:i/>
          <w:w w:val="110"/>
          <w:sz w:val="18"/>
        </w:rPr>
        <w:t>is</w:t>
      </w:r>
      <w:r w:rsidRPr="00283806">
        <w:rPr>
          <w:rFonts w:ascii="Book Antiqua"/>
          <w:i/>
          <w:spacing w:val="-12"/>
          <w:w w:val="110"/>
          <w:sz w:val="18"/>
        </w:rPr>
        <w:t xml:space="preserve"> </w:t>
      </w:r>
      <w:r w:rsidRPr="00283806">
        <w:rPr>
          <w:rFonts w:ascii="Book Antiqua"/>
          <w:i/>
          <w:w w:val="110"/>
          <w:sz w:val="18"/>
        </w:rPr>
        <w:t>EPA</w:t>
      </w:r>
      <w:r w:rsidRPr="00283806">
        <w:rPr>
          <w:rFonts w:ascii="Book Antiqua"/>
          <w:i/>
          <w:spacing w:val="-13"/>
          <w:w w:val="110"/>
          <w:sz w:val="18"/>
        </w:rPr>
        <w:t xml:space="preserve"> </w:t>
      </w:r>
      <w:r w:rsidRPr="00283806">
        <w:rPr>
          <w:rFonts w:ascii="Book Antiqua"/>
          <w:i/>
          <w:w w:val="110"/>
          <w:sz w:val="18"/>
        </w:rPr>
        <w:t>establishing</w:t>
      </w:r>
      <w:r w:rsidRPr="00283806">
        <w:rPr>
          <w:rFonts w:ascii="Book Antiqua"/>
          <w:i/>
          <w:spacing w:val="-12"/>
          <w:w w:val="110"/>
          <w:sz w:val="18"/>
        </w:rPr>
        <w:t xml:space="preserve"> </w:t>
      </w:r>
      <w:r w:rsidRPr="00283806">
        <w:rPr>
          <w:rFonts w:ascii="Book Antiqua"/>
          <w:i/>
          <w:w w:val="110"/>
          <w:sz w:val="18"/>
        </w:rPr>
        <w:t xml:space="preserve">RCRA refrigerant recycling alternative </w:t>
      </w:r>
      <w:r w:rsidRPr="00283806">
        <w:rPr>
          <w:rFonts w:ascii="Book Antiqua"/>
          <w:i/>
          <w:spacing w:val="-2"/>
          <w:w w:val="110"/>
          <w:sz w:val="18"/>
        </w:rPr>
        <w:t>standards?</w:t>
      </w:r>
    </w:p>
    <w:p w14:paraId="66CC9CC3" w14:textId="77777777" w:rsidR="00D67C1E" w:rsidRPr="00283806" w:rsidRDefault="001265CA">
      <w:pPr>
        <w:pStyle w:val="BodyText"/>
        <w:spacing w:before="58" w:line="225" w:lineRule="auto"/>
        <w:ind w:left="159" w:firstLine="180"/>
      </w:pPr>
      <w:r w:rsidRPr="00283806">
        <w:rPr>
          <w:w w:val="105"/>
        </w:rPr>
        <w:t>EPA is finalizing standards under 40 CFR part 266, subpart Q, that apply instead of the full RCRA Subtitle C hazardous</w:t>
      </w:r>
      <w:r w:rsidRPr="00283806">
        <w:rPr>
          <w:spacing w:val="-5"/>
          <w:w w:val="105"/>
        </w:rPr>
        <w:t xml:space="preserve"> </w:t>
      </w:r>
      <w:r w:rsidRPr="00283806">
        <w:rPr>
          <w:w w:val="105"/>
        </w:rPr>
        <w:t>waste</w:t>
      </w:r>
      <w:r w:rsidRPr="00283806">
        <w:rPr>
          <w:spacing w:val="-5"/>
          <w:w w:val="105"/>
        </w:rPr>
        <w:t xml:space="preserve"> </w:t>
      </w:r>
      <w:r w:rsidRPr="00283806">
        <w:rPr>
          <w:w w:val="105"/>
        </w:rPr>
        <w:t>requirements</w:t>
      </w:r>
      <w:r w:rsidRPr="00283806">
        <w:rPr>
          <w:spacing w:val="-5"/>
          <w:w w:val="105"/>
        </w:rPr>
        <w:t xml:space="preserve"> </w:t>
      </w:r>
      <w:r w:rsidRPr="00283806">
        <w:rPr>
          <w:w w:val="105"/>
        </w:rPr>
        <w:t>to</w:t>
      </w:r>
      <w:r w:rsidRPr="00283806">
        <w:rPr>
          <w:spacing w:val="-5"/>
          <w:w w:val="105"/>
        </w:rPr>
        <w:t xml:space="preserve"> </w:t>
      </w:r>
      <w:r w:rsidRPr="00283806">
        <w:rPr>
          <w:w w:val="105"/>
        </w:rPr>
        <w:t>certain ignitable spent refrigerants that are recycled for reuse. The purpose of these standards is to help reduce emissions of ignitable spent refrigerants to the lowest achievable level by maximizing the recovery and safe recycling of such refrigerants during the service, repair, and disposal of appliances.</w:t>
      </w:r>
    </w:p>
    <w:p w14:paraId="52A6C3D9" w14:textId="77777777" w:rsidR="00D67C1E" w:rsidRPr="00283806" w:rsidRDefault="001265CA">
      <w:pPr>
        <w:pStyle w:val="ListParagraph"/>
        <w:numPr>
          <w:ilvl w:val="0"/>
          <w:numId w:val="46"/>
        </w:numPr>
        <w:tabs>
          <w:tab w:val="left" w:pos="339"/>
          <w:tab w:val="left" w:pos="357"/>
        </w:tabs>
        <w:spacing w:before="49" w:line="260" w:lineRule="atLeast"/>
        <w:ind w:right="147" w:hanging="180"/>
        <w:rPr>
          <w:sz w:val="18"/>
        </w:rPr>
      </w:pPr>
      <w:r w:rsidRPr="00283806">
        <w:rPr>
          <w:w w:val="105"/>
          <w:sz w:val="18"/>
        </w:rPr>
        <w:t>Nomenclature</w:t>
      </w:r>
      <w:r w:rsidRPr="00283806">
        <w:rPr>
          <w:spacing w:val="40"/>
          <w:w w:val="105"/>
          <w:sz w:val="18"/>
        </w:rPr>
        <w:t xml:space="preserve"> </w:t>
      </w:r>
      <w:r w:rsidRPr="00283806">
        <w:rPr>
          <w:w w:val="105"/>
          <w:sz w:val="18"/>
        </w:rPr>
        <w:t>Used in This Section This</w:t>
      </w:r>
      <w:r w:rsidRPr="00283806">
        <w:rPr>
          <w:spacing w:val="7"/>
          <w:w w:val="105"/>
          <w:sz w:val="18"/>
        </w:rPr>
        <w:t xml:space="preserve"> </w:t>
      </w:r>
      <w:r w:rsidRPr="00283806">
        <w:rPr>
          <w:w w:val="105"/>
          <w:sz w:val="18"/>
        </w:rPr>
        <w:t>section</w:t>
      </w:r>
      <w:r w:rsidRPr="00283806">
        <w:rPr>
          <w:spacing w:val="8"/>
          <w:w w:val="105"/>
          <w:sz w:val="18"/>
        </w:rPr>
        <w:t xml:space="preserve"> </w:t>
      </w:r>
      <w:r w:rsidRPr="00283806">
        <w:rPr>
          <w:w w:val="105"/>
          <w:sz w:val="18"/>
        </w:rPr>
        <w:t>uses</w:t>
      </w:r>
      <w:r w:rsidRPr="00283806">
        <w:rPr>
          <w:spacing w:val="8"/>
          <w:w w:val="105"/>
          <w:sz w:val="18"/>
        </w:rPr>
        <w:t xml:space="preserve"> </w:t>
      </w:r>
      <w:r w:rsidRPr="00283806">
        <w:rPr>
          <w:w w:val="105"/>
          <w:sz w:val="18"/>
        </w:rPr>
        <w:t>the</w:t>
      </w:r>
      <w:r w:rsidRPr="00283806">
        <w:rPr>
          <w:spacing w:val="8"/>
          <w:w w:val="105"/>
          <w:sz w:val="18"/>
        </w:rPr>
        <w:t xml:space="preserve"> </w:t>
      </w:r>
      <w:r w:rsidRPr="00283806">
        <w:rPr>
          <w:w w:val="105"/>
          <w:sz w:val="18"/>
        </w:rPr>
        <w:t>term</w:t>
      </w:r>
      <w:r w:rsidRPr="00283806">
        <w:rPr>
          <w:spacing w:val="8"/>
          <w:w w:val="105"/>
          <w:sz w:val="18"/>
        </w:rPr>
        <w:t xml:space="preserve"> </w:t>
      </w:r>
      <w:r w:rsidRPr="00283806">
        <w:rPr>
          <w:spacing w:val="-2"/>
          <w:w w:val="105"/>
          <w:sz w:val="18"/>
        </w:rPr>
        <w:t>‘‘ignitable</w:t>
      </w:r>
    </w:p>
    <w:p w14:paraId="62B441F5" w14:textId="77777777" w:rsidR="00D67C1E" w:rsidRPr="00283806" w:rsidRDefault="001265CA">
      <w:pPr>
        <w:pStyle w:val="BodyText"/>
        <w:spacing w:before="1" w:line="228" w:lineRule="auto"/>
        <w:ind w:left="159" w:right="139"/>
      </w:pPr>
      <w:r w:rsidRPr="00283806">
        <w:rPr>
          <w:w w:val="105"/>
        </w:rPr>
        <w:t>spent refrigerant’’ to describe the refrigerants that are potentially subject to RCRA hazardous waste regulation under the current rules, and that will now be subject to the applicable RCRA alternative standards for refrigerants when recycled for reuse under the final rule. ‘‘Ignitability’’ is one of the RCRA hazardous waste characteristics and is used to identify waste that may pose a risk to human health and the environment due to its potential to</w:t>
      </w:r>
      <w:r w:rsidRPr="00283806">
        <w:rPr>
          <w:spacing w:val="40"/>
          <w:w w:val="105"/>
        </w:rPr>
        <w:t xml:space="preserve"> </w:t>
      </w:r>
      <w:r w:rsidRPr="00283806">
        <w:rPr>
          <w:w w:val="105"/>
        </w:rPr>
        <w:t>cause fires if improperly managed.</w:t>
      </w:r>
      <w:r w:rsidRPr="00283806">
        <w:rPr>
          <w:w w:val="105"/>
          <w:position w:val="5"/>
          <w:sz w:val="11"/>
        </w:rPr>
        <w:t>140</w:t>
      </w:r>
      <w:r w:rsidRPr="00283806">
        <w:rPr>
          <w:spacing w:val="40"/>
          <w:w w:val="105"/>
          <w:position w:val="5"/>
          <w:sz w:val="11"/>
        </w:rPr>
        <w:t xml:space="preserve"> </w:t>
      </w:r>
      <w:r w:rsidRPr="00283806">
        <w:rPr>
          <w:w w:val="105"/>
        </w:rPr>
        <w:t>The characteristic of ignitability is defined in 40 CFR 261.21. As discussed in more detail below in this section, ‘‘ignitable’’ is similar, but not identical,</w:t>
      </w:r>
    </w:p>
    <w:p w14:paraId="385343F3" w14:textId="77777777" w:rsidR="00D67C1E" w:rsidRPr="00283806" w:rsidRDefault="001265CA">
      <w:pPr>
        <w:pStyle w:val="BodyText"/>
        <w:spacing w:before="4"/>
        <w:ind w:left="0"/>
        <w:rPr>
          <w:sz w:val="12"/>
        </w:rPr>
      </w:pPr>
      <w:r w:rsidRPr="00283806">
        <w:rPr>
          <w:noProof/>
        </w:rPr>
        <mc:AlternateContent>
          <mc:Choice Requires="wps">
            <w:drawing>
              <wp:anchor distT="0" distB="0" distL="0" distR="0" simplePos="0" relativeHeight="251673600" behindDoc="1" locked="0" layoutInCell="1" allowOverlap="1" wp14:anchorId="3BAFF506" wp14:editId="28855665">
                <wp:simplePos x="0" y="0"/>
                <wp:positionH relativeFrom="page">
                  <wp:posOffset>571500</wp:posOffset>
                </wp:positionH>
                <wp:positionV relativeFrom="paragraph">
                  <wp:posOffset>107372</wp:posOffset>
                </wp:positionV>
                <wp:extent cx="635000" cy="1270"/>
                <wp:effectExtent l="0" t="0" r="0" b="0"/>
                <wp:wrapTopAndBottom/>
                <wp:docPr id="105" name="Graphic 1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0A5ECA6" id="Graphic 105" o:spid="_x0000_s1026" alt="&quot;&quot;" style="position:absolute;margin-left:45pt;margin-top:8.45pt;width:50pt;height:.1pt;z-index:-251642880;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" path="m,l635000,e" filled="f" strokeweight=".5pt">
                <v:path arrowok="t"/>
                <w10:wrap type="topAndBottom" anchorx="page"/>
              </v:shape>
            </w:pict>
          </mc:Fallback>
        </mc:AlternateContent>
      </w:r>
    </w:p>
    <w:p w14:paraId="6D6282FD" w14:textId="77777777" w:rsidR="00D67C1E" w:rsidRPr="00283806" w:rsidRDefault="001265CA">
      <w:pPr>
        <w:spacing w:before="40" w:line="232" w:lineRule="auto"/>
        <w:ind w:left="159" w:right="27" w:firstLine="140"/>
        <w:rPr>
          <w:sz w:val="14"/>
        </w:rPr>
      </w:pPr>
      <w:r w:rsidRPr="00283806">
        <w:rPr>
          <w:w w:val="105"/>
          <w:position w:val="4"/>
          <w:sz w:val="9"/>
        </w:rPr>
        <w:t>139</w:t>
      </w:r>
      <w:r w:rsidRPr="00283806">
        <w:rPr>
          <w:spacing w:val="18"/>
          <w:w w:val="105"/>
          <w:position w:val="4"/>
          <w:sz w:val="9"/>
        </w:rPr>
        <w:t xml:space="preserve"> </w:t>
      </w:r>
      <w:r w:rsidRPr="00283806">
        <w:rPr>
          <w:w w:val="105"/>
          <w:sz w:val="14"/>
        </w:rPr>
        <w:t>Small</w:t>
      </w:r>
      <w:r w:rsidRPr="00283806">
        <w:rPr>
          <w:spacing w:val="36"/>
          <w:w w:val="105"/>
          <w:sz w:val="14"/>
        </w:rPr>
        <w:t xml:space="preserve"> </w:t>
      </w:r>
      <w:r w:rsidRPr="00283806">
        <w:rPr>
          <w:w w:val="105"/>
          <w:sz w:val="14"/>
        </w:rPr>
        <w:t>cans</w:t>
      </w:r>
      <w:r w:rsidRPr="00283806">
        <w:rPr>
          <w:spacing w:val="36"/>
          <w:w w:val="105"/>
          <w:sz w:val="14"/>
        </w:rPr>
        <w:t xml:space="preserve"> </w:t>
      </w:r>
      <w:r w:rsidRPr="00283806">
        <w:rPr>
          <w:w w:val="105"/>
          <w:sz w:val="14"/>
        </w:rPr>
        <w:t>of</w:t>
      </w:r>
      <w:r w:rsidRPr="00283806">
        <w:rPr>
          <w:spacing w:val="36"/>
          <w:w w:val="105"/>
          <w:sz w:val="14"/>
        </w:rPr>
        <w:t xml:space="preserve"> </w:t>
      </w:r>
      <w:r w:rsidRPr="00283806">
        <w:rPr>
          <w:w w:val="105"/>
          <w:sz w:val="14"/>
        </w:rPr>
        <w:t>refrigerant,</w:t>
      </w:r>
      <w:r w:rsidRPr="00283806">
        <w:rPr>
          <w:spacing w:val="36"/>
          <w:w w:val="105"/>
          <w:sz w:val="14"/>
        </w:rPr>
        <w:t xml:space="preserve"> </w:t>
      </w:r>
      <w:r w:rsidRPr="00283806">
        <w:rPr>
          <w:w w:val="105"/>
          <w:sz w:val="14"/>
        </w:rPr>
        <w:t>that</w:t>
      </w:r>
      <w:r w:rsidRPr="00283806">
        <w:rPr>
          <w:spacing w:val="36"/>
          <w:w w:val="105"/>
          <w:sz w:val="14"/>
        </w:rPr>
        <w:t xml:space="preserve"> </w:t>
      </w:r>
      <w:r w:rsidRPr="00283806">
        <w:rPr>
          <w:w w:val="105"/>
          <w:sz w:val="14"/>
        </w:rPr>
        <w:t>typically</w:t>
      </w:r>
      <w:r w:rsidRPr="00283806">
        <w:rPr>
          <w:spacing w:val="40"/>
          <w:w w:val="105"/>
          <w:sz w:val="14"/>
        </w:rPr>
        <w:t xml:space="preserve"> </w:t>
      </w:r>
      <w:r w:rsidRPr="00283806">
        <w:rPr>
          <w:w w:val="105"/>
          <w:sz w:val="14"/>
        </w:rPr>
        <w:t>contain two pounds or less of regulated substances,</w:t>
      </w:r>
      <w:r w:rsidRPr="00283806">
        <w:rPr>
          <w:spacing w:val="40"/>
          <w:w w:val="105"/>
          <w:sz w:val="14"/>
        </w:rPr>
        <w:t xml:space="preserve"> </w:t>
      </w:r>
      <w:r w:rsidRPr="00283806">
        <w:rPr>
          <w:w w:val="105"/>
          <w:sz w:val="14"/>
        </w:rPr>
        <w:t>are commonly used by individuals to service their</w:t>
      </w:r>
      <w:r w:rsidRPr="00283806">
        <w:rPr>
          <w:spacing w:val="40"/>
          <w:w w:val="105"/>
          <w:sz w:val="14"/>
        </w:rPr>
        <w:t xml:space="preserve"> </w:t>
      </w:r>
      <w:r w:rsidRPr="00283806">
        <w:rPr>
          <w:w w:val="105"/>
          <w:sz w:val="14"/>
        </w:rPr>
        <w:t xml:space="preserve">own MVACs. This do-it-yourself (DIY) </w:t>
      </w:r>
      <w:proofErr w:type="gramStart"/>
      <w:r w:rsidRPr="00283806">
        <w:rPr>
          <w:w w:val="105"/>
          <w:sz w:val="14"/>
        </w:rPr>
        <w:t>servicing</w:t>
      </w:r>
      <w:proofErr w:type="gramEnd"/>
      <w:r w:rsidRPr="00283806">
        <w:rPr>
          <w:spacing w:val="40"/>
          <w:w w:val="105"/>
          <w:sz w:val="14"/>
        </w:rPr>
        <w:t xml:space="preserve"> </w:t>
      </w:r>
      <w:r w:rsidRPr="00283806">
        <w:rPr>
          <w:w w:val="105"/>
          <w:sz w:val="14"/>
        </w:rPr>
        <w:t>practice</w:t>
      </w:r>
      <w:r w:rsidRPr="00283806">
        <w:rPr>
          <w:spacing w:val="35"/>
          <w:w w:val="105"/>
          <w:sz w:val="14"/>
        </w:rPr>
        <w:t xml:space="preserve"> </w:t>
      </w:r>
      <w:r w:rsidRPr="00283806">
        <w:rPr>
          <w:w w:val="105"/>
          <w:sz w:val="14"/>
        </w:rPr>
        <w:t>is</w:t>
      </w:r>
      <w:r w:rsidRPr="00283806">
        <w:rPr>
          <w:spacing w:val="35"/>
          <w:w w:val="105"/>
          <w:sz w:val="14"/>
        </w:rPr>
        <w:t xml:space="preserve"> </w:t>
      </w:r>
      <w:r w:rsidRPr="00283806">
        <w:rPr>
          <w:w w:val="105"/>
          <w:sz w:val="14"/>
        </w:rPr>
        <w:t>unique</w:t>
      </w:r>
      <w:r w:rsidRPr="00283806">
        <w:rPr>
          <w:spacing w:val="35"/>
          <w:w w:val="105"/>
          <w:sz w:val="14"/>
        </w:rPr>
        <w:t xml:space="preserve"> </w:t>
      </w:r>
      <w:r w:rsidRPr="00283806">
        <w:rPr>
          <w:w w:val="105"/>
          <w:sz w:val="14"/>
        </w:rPr>
        <w:t>to</w:t>
      </w:r>
      <w:r w:rsidRPr="00283806">
        <w:rPr>
          <w:spacing w:val="35"/>
          <w:w w:val="105"/>
          <w:sz w:val="14"/>
        </w:rPr>
        <w:t xml:space="preserve"> </w:t>
      </w:r>
      <w:r w:rsidRPr="00283806">
        <w:rPr>
          <w:w w:val="105"/>
          <w:sz w:val="14"/>
        </w:rPr>
        <w:t>the</w:t>
      </w:r>
      <w:r w:rsidRPr="00283806">
        <w:rPr>
          <w:spacing w:val="35"/>
          <w:w w:val="105"/>
          <w:sz w:val="14"/>
        </w:rPr>
        <w:t xml:space="preserve"> </w:t>
      </w:r>
      <w:r w:rsidRPr="00283806">
        <w:rPr>
          <w:w w:val="105"/>
          <w:sz w:val="14"/>
        </w:rPr>
        <w:t>MVAC</w:t>
      </w:r>
      <w:r w:rsidRPr="00283806">
        <w:rPr>
          <w:spacing w:val="35"/>
          <w:w w:val="105"/>
          <w:sz w:val="14"/>
        </w:rPr>
        <w:t xml:space="preserve"> </w:t>
      </w:r>
      <w:r w:rsidRPr="00283806">
        <w:rPr>
          <w:w w:val="105"/>
          <w:sz w:val="14"/>
        </w:rPr>
        <w:t>subsector</w:t>
      </w:r>
      <w:r w:rsidRPr="00283806">
        <w:rPr>
          <w:spacing w:val="35"/>
          <w:w w:val="105"/>
          <w:sz w:val="14"/>
        </w:rPr>
        <w:t xml:space="preserve"> </w:t>
      </w:r>
      <w:r w:rsidRPr="00283806">
        <w:rPr>
          <w:w w:val="105"/>
          <w:sz w:val="14"/>
        </w:rPr>
        <w:t>within</w:t>
      </w:r>
      <w:r w:rsidRPr="00283806">
        <w:rPr>
          <w:spacing w:val="40"/>
          <w:w w:val="105"/>
          <w:sz w:val="14"/>
        </w:rPr>
        <w:t xml:space="preserve"> </w:t>
      </w:r>
      <w:r w:rsidRPr="00283806">
        <w:rPr>
          <w:w w:val="105"/>
          <w:sz w:val="14"/>
        </w:rPr>
        <w:t>the RACHP sector.</w:t>
      </w:r>
    </w:p>
    <w:p w14:paraId="77480936" w14:textId="395CBF82" w:rsidR="00D67C1E" w:rsidRPr="00283806" w:rsidRDefault="001265CA">
      <w:pPr>
        <w:spacing w:before="30" w:line="223" w:lineRule="auto"/>
        <w:ind w:left="159" w:right="30" w:firstLine="140"/>
        <w:rPr>
          <w:sz w:val="14"/>
        </w:rPr>
      </w:pPr>
      <w:r w:rsidRPr="00283806">
        <w:rPr>
          <w:w w:val="115"/>
          <w:position w:val="4"/>
          <w:sz w:val="9"/>
        </w:rPr>
        <w:t xml:space="preserve">140 </w:t>
      </w:r>
      <w:r w:rsidRPr="00283806">
        <w:rPr>
          <w:w w:val="115"/>
          <w:sz w:val="14"/>
        </w:rPr>
        <w:t xml:space="preserve">EPA 1980, </w:t>
      </w:r>
      <w:r w:rsidRPr="00283806">
        <w:rPr>
          <w:rFonts w:ascii="Book Antiqua"/>
          <w:i/>
          <w:w w:val="115"/>
          <w:sz w:val="14"/>
        </w:rPr>
        <w:t xml:space="preserve">Background Document for the </w:t>
      </w:r>
      <w:r w:rsidRPr="00283806">
        <w:rPr>
          <w:rFonts w:ascii="Book Antiqua"/>
          <w:i/>
          <w:w w:val="110"/>
          <w:sz w:val="14"/>
        </w:rPr>
        <w:t xml:space="preserve">Hazardous Waste Characteristic of Ignitability, </w:t>
      </w:r>
      <w:r w:rsidRPr="00283806">
        <w:rPr>
          <w:w w:val="110"/>
          <w:sz w:val="14"/>
        </w:rPr>
        <w:t>May</w:t>
      </w:r>
      <w:r w:rsidRPr="00283806">
        <w:rPr>
          <w:spacing w:val="40"/>
          <w:w w:val="115"/>
          <w:sz w:val="14"/>
        </w:rPr>
        <w:t xml:space="preserve"> </w:t>
      </w:r>
      <w:r w:rsidRPr="00283806">
        <w:rPr>
          <w:w w:val="115"/>
          <w:sz w:val="14"/>
        </w:rPr>
        <w:t xml:space="preserve">2, 1980, p.7 </w:t>
      </w:r>
      <w:r w:rsidRPr="00283806">
        <w:rPr>
          <w:rFonts w:ascii="Book Antiqua"/>
          <w:i/>
          <w:w w:val="115"/>
          <w:sz w:val="14"/>
        </w:rPr>
        <w:t xml:space="preserve">https://www.epa.gov/hw/background- </w:t>
      </w:r>
      <w:r w:rsidRPr="00283806">
        <w:rPr>
          <w:rFonts w:ascii="Book Antiqua"/>
          <w:i/>
          <w:spacing w:val="-2"/>
          <w:w w:val="115"/>
          <w:sz w:val="14"/>
        </w:rPr>
        <w:t>document-hazardous-waste-characteristic-</w:t>
      </w:r>
      <w:r w:rsidRPr="00283806">
        <w:rPr>
          <w:rFonts w:ascii="Book Antiqua"/>
          <w:i/>
          <w:spacing w:val="40"/>
          <w:w w:val="115"/>
          <w:sz w:val="14"/>
        </w:rPr>
        <w:t xml:space="preserve"> </w:t>
      </w:r>
      <w:r w:rsidRPr="00283806">
        <w:rPr>
          <w:rFonts w:ascii="Book Antiqua"/>
          <w:i/>
          <w:spacing w:val="-2"/>
          <w:w w:val="115"/>
          <w:sz w:val="14"/>
        </w:rPr>
        <w:t>ignitability</w:t>
      </w:r>
      <w:r w:rsidRPr="00283806">
        <w:rPr>
          <w:spacing w:val="-2"/>
          <w:w w:val="115"/>
          <w:sz w:val="14"/>
        </w:rPr>
        <w:t>.</w:t>
      </w:r>
    </w:p>
    <w:p w14:paraId="21964CA3" w14:textId="77777777" w:rsidR="00D67C1E" w:rsidRPr="00283806" w:rsidRDefault="001265CA">
      <w:pPr>
        <w:pStyle w:val="BodyText"/>
        <w:spacing w:before="136" w:line="225" w:lineRule="auto"/>
        <w:ind w:left="145" w:right="108"/>
      </w:pPr>
      <w:r w:rsidRPr="00283806">
        <w:br w:type="column"/>
      </w:r>
      <w:r w:rsidRPr="00283806">
        <w:rPr>
          <w:w w:val="105"/>
        </w:rPr>
        <w:t xml:space="preserve">to the term ‘‘flammable’’ as used in ASHRAE Standard 34–2022. </w:t>
      </w:r>
      <w:proofErr w:type="gramStart"/>
      <w:r w:rsidRPr="00283806">
        <w:rPr>
          <w:w w:val="105"/>
        </w:rPr>
        <w:t>‘‘Spent’’</w:t>
      </w:r>
      <w:proofErr w:type="gramEnd"/>
      <w:r w:rsidRPr="00283806">
        <w:rPr>
          <w:w w:val="105"/>
        </w:rPr>
        <w:t xml:space="preserve"> is used in the same context as ‘‘spent </w:t>
      </w:r>
      <w:proofErr w:type="gramStart"/>
      <w:r w:rsidRPr="00283806">
        <w:rPr>
          <w:w w:val="105"/>
        </w:rPr>
        <w:t>material,’</w:t>
      </w:r>
      <w:proofErr w:type="gramEnd"/>
      <w:r w:rsidRPr="00283806">
        <w:rPr>
          <w:w w:val="105"/>
        </w:rPr>
        <w:t xml:space="preserve">’ which is defined in 40 CFR 261.1(c)(1) as ‘‘any material that has been used and </w:t>
      </w:r>
      <w:proofErr w:type="gramStart"/>
      <w:r w:rsidRPr="00283806">
        <w:rPr>
          <w:w w:val="105"/>
        </w:rPr>
        <w:t>as a result of</w:t>
      </w:r>
      <w:proofErr w:type="gramEnd"/>
      <w:r w:rsidRPr="00283806">
        <w:rPr>
          <w:w w:val="105"/>
        </w:rPr>
        <w:t xml:space="preserve"> contamination can no longer serve the purpose for which it was produced without</w:t>
      </w:r>
      <w:r w:rsidRPr="00283806">
        <w:rPr>
          <w:spacing w:val="40"/>
          <w:w w:val="105"/>
        </w:rPr>
        <w:t xml:space="preserve"> </w:t>
      </w:r>
      <w:r w:rsidRPr="00283806">
        <w:rPr>
          <w:w w:val="105"/>
        </w:rPr>
        <w:t>processing.’’</w:t>
      </w:r>
      <w:r w:rsidRPr="00283806">
        <w:rPr>
          <w:spacing w:val="40"/>
          <w:w w:val="105"/>
        </w:rPr>
        <w:t xml:space="preserve"> </w:t>
      </w:r>
      <w:r w:rsidRPr="00283806">
        <w:rPr>
          <w:w w:val="105"/>
        </w:rPr>
        <w:t>Thus,</w:t>
      </w:r>
      <w:r w:rsidRPr="00283806">
        <w:rPr>
          <w:spacing w:val="40"/>
          <w:w w:val="105"/>
        </w:rPr>
        <w:t xml:space="preserve"> </w:t>
      </w:r>
      <w:r w:rsidRPr="00283806">
        <w:rPr>
          <w:w w:val="105"/>
        </w:rPr>
        <w:t>an ‘‘ignitable spent refrigerant’’ is a used refrigerant that cannot be reused without first being cleaned, and that exhibits the hazardous characteristic of ignitability per 40 CFR 261.21.</w:t>
      </w:r>
    </w:p>
    <w:p w14:paraId="1E06D1F9" w14:textId="77777777" w:rsidR="00D67C1E" w:rsidRPr="00283806" w:rsidRDefault="001265CA">
      <w:pPr>
        <w:pStyle w:val="BodyText"/>
        <w:spacing w:line="175" w:lineRule="exact"/>
        <w:ind w:left="325"/>
      </w:pPr>
      <w:r w:rsidRPr="00283806">
        <w:rPr>
          <w:w w:val="110"/>
        </w:rPr>
        <w:t>In</w:t>
      </w:r>
      <w:r w:rsidRPr="00283806">
        <w:rPr>
          <w:spacing w:val="-5"/>
          <w:w w:val="110"/>
        </w:rPr>
        <w:t xml:space="preserve"> </w:t>
      </w:r>
      <w:r w:rsidRPr="00283806">
        <w:rPr>
          <w:w w:val="110"/>
        </w:rPr>
        <w:t>addition,</w:t>
      </w:r>
      <w:r w:rsidRPr="00283806">
        <w:rPr>
          <w:spacing w:val="-5"/>
          <w:w w:val="110"/>
        </w:rPr>
        <w:t xml:space="preserve"> </w:t>
      </w:r>
      <w:r w:rsidRPr="00283806">
        <w:rPr>
          <w:w w:val="110"/>
        </w:rPr>
        <w:t>the</w:t>
      </w:r>
      <w:r w:rsidRPr="00283806">
        <w:rPr>
          <w:spacing w:val="-5"/>
          <w:w w:val="110"/>
        </w:rPr>
        <w:t xml:space="preserve"> </w:t>
      </w:r>
      <w:r w:rsidRPr="00283806">
        <w:rPr>
          <w:w w:val="110"/>
        </w:rPr>
        <w:t>terms</w:t>
      </w:r>
      <w:r w:rsidRPr="00283806">
        <w:rPr>
          <w:spacing w:val="-5"/>
          <w:w w:val="110"/>
        </w:rPr>
        <w:t xml:space="preserve"> </w:t>
      </w:r>
      <w:r w:rsidRPr="00283806">
        <w:rPr>
          <w:w w:val="110"/>
        </w:rPr>
        <w:t>‘‘reclaim’’</w:t>
      </w:r>
      <w:r w:rsidRPr="00283806">
        <w:rPr>
          <w:spacing w:val="-5"/>
          <w:w w:val="110"/>
        </w:rPr>
        <w:t xml:space="preserve"> and</w:t>
      </w:r>
    </w:p>
    <w:p w14:paraId="06B1FF3F" w14:textId="77777777" w:rsidR="00D67C1E" w:rsidRPr="00283806" w:rsidRDefault="001265CA">
      <w:pPr>
        <w:pStyle w:val="BodyText"/>
        <w:spacing w:before="4" w:line="225" w:lineRule="auto"/>
        <w:ind w:left="145" w:right="5"/>
      </w:pPr>
      <w:r w:rsidRPr="00283806">
        <w:rPr>
          <w:w w:val="110"/>
        </w:rPr>
        <w:t>‘‘recycle’’ have different regulatory purposes and definitions under RCRA than under the CAA and the AIM Act. Under RCRA, a material is ‘‘reclaimed’’</w:t>
      </w:r>
      <w:r w:rsidRPr="00283806">
        <w:rPr>
          <w:spacing w:val="40"/>
          <w:w w:val="110"/>
        </w:rPr>
        <w:t xml:space="preserve"> </w:t>
      </w:r>
      <w:r w:rsidRPr="00283806">
        <w:rPr>
          <w:w w:val="110"/>
        </w:rPr>
        <w:t xml:space="preserve">if it is processed to recover a usable </w:t>
      </w:r>
      <w:r w:rsidRPr="00283806">
        <w:rPr>
          <w:spacing w:val="-2"/>
          <w:w w:val="110"/>
        </w:rPr>
        <w:t>product,</w:t>
      </w:r>
      <w:r w:rsidRPr="00283806">
        <w:rPr>
          <w:spacing w:val="-7"/>
          <w:w w:val="110"/>
        </w:rPr>
        <w:t xml:space="preserve"> </w:t>
      </w:r>
      <w:r w:rsidRPr="00283806">
        <w:rPr>
          <w:spacing w:val="-2"/>
          <w:w w:val="110"/>
        </w:rPr>
        <w:t>or</w:t>
      </w:r>
      <w:r w:rsidRPr="00283806">
        <w:rPr>
          <w:spacing w:val="-7"/>
          <w:w w:val="110"/>
        </w:rPr>
        <w:t xml:space="preserve"> </w:t>
      </w:r>
      <w:r w:rsidRPr="00283806">
        <w:rPr>
          <w:spacing w:val="-2"/>
          <w:w w:val="110"/>
        </w:rPr>
        <w:t>if</w:t>
      </w:r>
      <w:r w:rsidRPr="00283806">
        <w:rPr>
          <w:spacing w:val="-7"/>
          <w:w w:val="110"/>
        </w:rPr>
        <w:t xml:space="preserve"> </w:t>
      </w:r>
      <w:r w:rsidRPr="00283806">
        <w:rPr>
          <w:spacing w:val="-2"/>
          <w:w w:val="110"/>
        </w:rPr>
        <w:t>it</w:t>
      </w:r>
      <w:r w:rsidRPr="00283806">
        <w:rPr>
          <w:spacing w:val="-7"/>
          <w:w w:val="110"/>
        </w:rPr>
        <w:t xml:space="preserve"> </w:t>
      </w:r>
      <w:r w:rsidRPr="00283806">
        <w:rPr>
          <w:spacing w:val="-2"/>
          <w:w w:val="110"/>
        </w:rPr>
        <w:t>is</w:t>
      </w:r>
      <w:r w:rsidRPr="00283806">
        <w:rPr>
          <w:spacing w:val="-7"/>
          <w:w w:val="110"/>
        </w:rPr>
        <w:t xml:space="preserve"> </w:t>
      </w:r>
      <w:r w:rsidRPr="00283806">
        <w:rPr>
          <w:spacing w:val="-2"/>
          <w:w w:val="110"/>
        </w:rPr>
        <w:t>regenerated.</w:t>
      </w:r>
      <w:r w:rsidRPr="00283806">
        <w:rPr>
          <w:spacing w:val="-7"/>
          <w:w w:val="110"/>
        </w:rPr>
        <w:t xml:space="preserve"> </w:t>
      </w:r>
      <w:r w:rsidRPr="00283806">
        <w:rPr>
          <w:spacing w:val="-2"/>
          <w:w w:val="110"/>
        </w:rPr>
        <w:t xml:space="preserve">Examples </w:t>
      </w:r>
      <w:r w:rsidRPr="00283806">
        <w:rPr>
          <w:w w:val="110"/>
        </w:rPr>
        <w:t>are recovery of lead values from spent batteries and regeneration of spent solvents (see 40 CFR 261.1(c)(4)).</w:t>
      </w:r>
    </w:p>
    <w:p w14:paraId="7599D9CB" w14:textId="77777777" w:rsidR="00D67C1E" w:rsidRPr="00283806" w:rsidRDefault="001265CA">
      <w:pPr>
        <w:pStyle w:val="BodyText"/>
        <w:spacing w:line="225" w:lineRule="auto"/>
        <w:ind w:left="145"/>
      </w:pPr>
      <w:r w:rsidRPr="00283806">
        <w:rPr>
          <w:w w:val="105"/>
        </w:rPr>
        <w:t>Reclamation is one of the four types of ‘‘recycling’’</w:t>
      </w:r>
      <w:r w:rsidRPr="00283806">
        <w:rPr>
          <w:spacing w:val="40"/>
          <w:w w:val="105"/>
        </w:rPr>
        <w:t xml:space="preserve"> </w:t>
      </w:r>
      <w:r w:rsidRPr="00283806">
        <w:rPr>
          <w:w w:val="105"/>
        </w:rPr>
        <w:t>identified</w:t>
      </w:r>
      <w:r w:rsidRPr="00283806">
        <w:rPr>
          <w:spacing w:val="40"/>
          <w:w w:val="105"/>
        </w:rPr>
        <w:t xml:space="preserve"> </w:t>
      </w:r>
      <w:r w:rsidRPr="00283806">
        <w:rPr>
          <w:w w:val="105"/>
        </w:rPr>
        <w:t>in</w:t>
      </w:r>
      <w:r w:rsidRPr="00283806">
        <w:rPr>
          <w:spacing w:val="40"/>
          <w:w w:val="105"/>
        </w:rPr>
        <w:t xml:space="preserve"> </w:t>
      </w:r>
      <w:r w:rsidRPr="00283806">
        <w:rPr>
          <w:w w:val="105"/>
        </w:rPr>
        <w:t>40</w:t>
      </w:r>
      <w:r w:rsidRPr="00283806">
        <w:rPr>
          <w:spacing w:val="40"/>
          <w:w w:val="105"/>
        </w:rPr>
        <w:t xml:space="preserve"> </w:t>
      </w:r>
      <w:r w:rsidRPr="00283806">
        <w:rPr>
          <w:w w:val="105"/>
        </w:rPr>
        <w:t>CFR 261.2(c) that can involve management of a</w:t>
      </w:r>
      <w:r w:rsidRPr="00283806">
        <w:rPr>
          <w:spacing w:val="40"/>
          <w:w w:val="105"/>
        </w:rPr>
        <w:t xml:space="preserve"> </w:t>
      </w:r>
      <w:r w:rsidRPr="00283806">
        <w:rPr>
          <w:w w:val="105"/>
        </w:rPr>
        <w:t>solid</w:t>
      </w:r>
      <w:r w:rsidRPr="00283806">
        <w:rPr>
          <w:spacing w:val="40"/>
          <w:w w:val="105"/>
        </w:rPr>
        <w:t xml:space="preserve"> </w:t>
      </w:r>
      <w:r w:rsidRPr="00283806">
        <w:rPr>
          <w:w w:val="105"/>
        </w:rPr>
        <w:t>waste</w:t>
      </w:r>
      <w:r w:rsidRPr="00283806">
        <w:rPr>
          <w:spacing w:val="40"/>
          <w:w w:val="105"/>
        </w:rPr>
        <w:t xml:space="preserve"> </w:t>
      </w:r>
      <w:r w:rsidRPr="00283806">
        <w:rPr>
          <w:w w:val="105"/>
        </w:rPr>
        <w:t>under</w:t>
      </w:r>
      <w:r w:rsidRPr="00283806">
        <w:rPr>
          <w:spacing w:val="40"/>
          <w:w w:val="105"/>
        </w:rPr>
        <w:t xml:space="preserve"> </w:t>
      </w:r>
      <w:r w:rsidRPr="00283806">
        <w:rPr>
          <w:w w:val="105"/>
        </w:rPr>
        <w:t>RCRA.</w:t>
      </w:r>
      <w:r w:rsidRPr="00283806">
        <w:rPr>
          <w:spacing w:val="40"/>
          <w:w w:val="105"/>
        </w:rPr>
        <w:t xml:space="preserve"> </w:t>
      </w:r>
      <w:r w:rsidRPr="00283806">
        <w:rPr>
          <w:w w:val="105"/>
        </w:rPr>
        <w:t>Materials that are solid waste under RCRA are potentially subject to RCRA hazardous waste requirements.</w:t>
      </w:r>
    </w:p>
    <w:p w14:paraId="2A452CA5" w14:textId="77777777" w:rsidR="00D67C1E" w:rsidRPr="00283806" w:rsidRDefault="001265CA">
      <w:pPr>
        <w:pStyle w:val="BodyText"/>
        <w:spacing w:line="178" w:lineRule="exact"/>
        <w:ind w:left="325"/>
      </w:pPr>
      <w:r w:rsidRPr="00283806">
        <w:rPr>
          <w:w w:val="110"/>
        </w:rPr>
        <w:t>In</w:t>
      </w:r>
      <w:r w:rsidRPr="00283806">
        <w:rPr>
          <w:spacing w:val="-8"/>
          <w:w w:val="110"/>
        </w:rPr>
        <w:t xml:space="preserve"> </w:t>
      </w:r>
      <w:r w:rsidRPr="00283806">
        <w:rPr>
          <w:w w:val="110"/>
        </w:rPr>
        <w:t>contrast,</w:t>
      </w:r>
      <w:r w:rsidRPr="00283806">
        <w:rPr>
          <w:spacing w:val="-7"/>
          <w:w w:val="110"/>
        </w:rPr>
        <w:t xml:space="preserve"> </w:t>
      </w:r>
      <w:r w:rsidRPr="00283806">
        <w:rPr>
          <w:w w:val="110"/>
        </w:rPr>
        <w:t>under</w:t>
      </w:r>
      <w:r w:rsidRPr="00283806">
        <w:rPr>
          <w:spacing w:val="-8"/>
          <w:w w:val="110"/>
        </w:rPr>
        <w:t xml:space="preserve"> </w:t>
      </w:r>
      <w:r w:rsidRPr="00283806">
        <w:rPr>
          <w:w w:val="110"/>
        </w:rPr>
        <w:t>title</w:t>
      </w:r>
      <w:r w:rsidRPr="00283806">
        <w:rPr>
          <w:spacing w:val="-7"/>
          <w:w w:val="110"/>
        </w:rPr>
        <w:t xml:space="preserve"> </w:t>
      </w:r>
      <w:r w:rsidRPr="00283806">
        <w:rPr>
          <w:w w:val="110"/>
        </w:rPr>
        <w:t>VI</w:t>
      </w:r>
      <w:r w:rsidRPr="00283806">
        <w:rPr>
          <w:spacing w:val="-7"/>
          <w:w w:val="110"/>
        </w:rPr>
        <w:t xml:space="preserve"> </w:t>
      </w:r>
      <w:r w:rsidRPr="00283806">
        <w:rPr>
          <w:w w:val="110"/>
        </w:rPr>
        <w:t>of</w:t>
      </w:r>
      <w:r w:rsidRPr="00283806">
        <w:rPr>
          <w:spacing w:val="-8"/>
          <w:w w:val="110"/>
        </w:rPr>
        <w:t xml:space="preserve"> </w:t>
      </w:r>
      <w:r w:rsidRPr="00283806">
        <w:rPr>
          <w:w w:val="110"/>
        </w:rPr>
        <w:t>the</w:t>
      </w:r>
      <w:r w:rsidRPr="00283806">
        <w:rPr>
          <w:spacing w:val="-7"/>
          <w:w w:val="110"/>
        </w:rPr>
        <w:t xml:space="preserve"> </w:t>
      </w:r>
      <w:r w:rsidRPr="00283806">
        <w:rPr>
          <w:spacing w:val="-5"/>
          <w:w w:val="110"/>
        </w:rPr>
        <w:t>CAA</w:t>
      </w:r>
    </w:p>
    <w:p w14:paraId="3ACE7EFF" w14:textId="77777777" w:rsidR="00D67C1E" w:rsidRPr="00283806" w:rsidRDefault="001265CA">
      <w:pPr>
        <w:pStyle w:val="BodyText"/>
        <w:spacing w:line="225" w:lineRule="auto"/>
        <w:ind w:left="145" w:right="66"/>
      </w:pPr>
      <w:r w:rsidRPr="00283806">
        <w:rPr>
          <w:w w:val="105"/>
        </w:rPr>
        <w:t>and its implementing regulations, ‘‘reclaim’’ is a more precise term, requiring the reclaimed refrigerant to meet regulatory specifications based on AHRI Standard 700–2016, while ‘‘recycle’’ means to extract refrigerant from an appliance and clean it for reuse in equipment of the same owner</w:t>
      </w:r>
      <w:r w:rsidRPr="00283806">
        <w:rPr>
          <w:spacing w:val="80"/>
          <w:w w:val="105"/>
        </w:rPr>
        <w:t xml:space="preserve"> </w:t>
      </w:r>
      <w:r w:rsidRPr="00283806">
        <w:rPr>
          <w:w w:val="105"/>
        </w:rPr>
        <w:t xml:space="preserve">without meeting </w:t>
      </w:r>
      <w:proofErr w:type="gramStart"/>
      <w:r w:rsidRPr="00283806">
        <w:rPr>
          <w:w w:val="105"/>
        </w:rPr>
        <w:t>all of</w:t>
      </w:r>
      <w:proofErr w:type="gramEnd"/>
      <w:r w:rsidRPr="00283806">
        <w:rPr>
          <w:w w:val="105"/>
        </w:rPr>
        <w:t xml:space="preserve"> the CAA requirements for reclamation. See those definitions in 40 CFR 82.152. Similarly, under the AIM Act, ‘‘reclaim; reclamation’’ is defined in subsection (b)(9) of the Act, and that definition refers to the purity standards under AHRI Standard 700–2016 (or an appropriate</w:t>
      </w:r>
      <w:r w:rsidRPr="00283806">
        <w:rPr>
          <w:spacing w:val="-4"/>
          <w:w w:val="105"/>
        </w:rPr>
        <w:t xml:space="preserve"> </w:t>
      </w:r>
      <w:r w:rsidRPr="00283806">
        <w:rPr>
          <w:w w:val="105"/>
        </w:rPr>
        <w:t>successor</w:t>
      </w:r>
      <w:r w:rsidRPr="00283806">
        <w:rPr>
          <w:spacing w:val="-4"/>
          <w:w w:val="105"/>
        </w:rPr>
        <w:t xml:space="preserve"> </w:t>
      </w:r>
      <w:r w:rsidRPr="00283806">
        <w:rPr>
          <w:w w:val="105"/>
        </w:rPr>
        <w:t>standard</w:t>
      </w:r>
      <w:r w:rsidRPr="00283806">
        <w:rPr>
          <w:spacing w:val="-4"/>
          <w:w w:val="105"/>
        </w:rPr>
        <w:t xml:space="preserve"> </w:t>
      </w:r>
      <w:r w:rsidRPr="00283806">
        <w:rPr>
          <w:w w:val="105"/>
        </w:rPr>
        <w:t>adopted by EPA Administrator) and the verification of purity using, at a minimum, the analytical methodology described in that standard. ‘‘Recycle’’ is not defined in the AIM Act.</w:t>
      </w:r>
    </w:p>
    <w:p w14:paraId="1EEADA4D" w14:textId="77777777" w:rsidR="00D67C1E" w:rsidRPr="00283806" w:rsidRDefault="001265CA">
      <w:pPr>
        <w:pStyle w:val="BodyText"/>
        <w:spacing w:line="172" w:lineRule="exact"/>
        <w:ind w:left="325"/>
      </w:pPr>
      <w:r w:rsidRPr="00283806">
        <w:rPr>
          <w:w w:val="110"/>
        </w:rPr>
        <w:t>To</w:t>
      </w:r>
      <w:r w:rsidRPr="00283806">
        <w:rPr>
          <w:spacing w:val="-6"/>
          <w:w w:val="110"/>
        </w:rPr>
        <w:t xml:space="preserve"> </w:t>
      </w:r>
      <w:r w:rsidRPr="00283806">
        <w:rPr>
          <w:w w:val="110"/>
        </w:rPr>
        <w:t>avoid</w:t>
      </w:r>
      <w:r w:rsidRPr="00283806">
        <w:rPr>
          <w:spacing w:val="-5"/>
          <w:w w:val="110"/>
        </w:rPr>
        <w:t xml:space="preserve"> </w:t>
      </w:r>
      <w:r w:rsidRPr="00283806">
        <w:rPr>
          <w:w w:val="110"/>
        </w:rPr>
        <w:t>confusion</w:t>
      </w:r>
      <w:r w:rsidRPr="00283806">
        <w:rPr>
          <w:spacing w:val="-5"/>
          <w:w w:val="110"/>
        </w:rPr>
        <w:t xml:space="preserve"> </w:t>
      </w:r>
      <w:r w:rsidRPr="00283806">
        <w:rPr>
          <w:w w:val="110"/>
        </w:rPr>
        <w:t>when</w:t>
      </w:r>
      <w:r w:rsidRPr="00283806">
        <w:rPr>
          <w:spacing w:val="-5"/>
          <w:w w:val="110"/>
        </w:rPr>
        <w:t xml:space="preserve"> </w:t>
      </w:r>
      <w:r w:rsidRPr="00283806">
        <w:rPr>
          <w:spacing w:val="-2"/>
          <w:w w:val="110"/>
        </w:rPr>
        <w:t>discussing</w:t>
      </w:r>
    </w:p>
    <w:p w14:paraId="32C57166" w14:textId="77777777" w:rsidR="00D67C1E" w:rsidRPr="00283806" w:rsidRDefault="001265CA">
      <w:pPr>
        <w:pStyle w:val="BodyText"/>
        <w:spacing w:before="4" w:line="225" w:lineRule="auto"/>
        <w:ind w:left="145" w:right="13"/>
      </w:pPr>
      <w:r w:rsidRPr="00283806">
        <w:rPr>
          <w:w w:val="105"/>
        </w:rPr>
        <w:t>what regulatory requirements apply to ignitable spent refrigerant, for the purposes of the final RCRA alternative standards,</w:t>
      </w:r>
      <w:r w:rsidRPr="00283806">
        <w:rPr>
          <w:spacing w:val="40"/>
          <w:w w:val="105"/>
        </w:rPr>
        <w:t xml:space="preserve"> </w:t>
      </w:r>
      <w:r w:rsidRPr="00283806">
        <w:rPr>
          <w:w w:val="105"/>
        </w:rPr>
        <w:t>EPA</w:t>
      </w:r>
      <w:r w:rsidRPr="00283806">
        <w:rPr>
          <w:spacing w:val="40"/>
          <w:w w:val="105"/>
        </w:rPr>
        <w:t xml:space="preserve"> </w:t>
      </w:r>
      <w:r w:rsidRPr="00283806">
        <w:rPr>
          <w:w w:val="105"/>
        </w:rPr>
        <w:t>is</w:t>
      </w:r>
      <w:r w:rsidRPr="00283806">
        <w:rPr>
          <w:spacing w:val="40"/>
          <w:w w:val="105"/>
        </w:rPr>
        <w:t xml:space="preserve"> </w:t>
      </w:r>
      <w:r w:rsidRPr="00283806">
        <w:rPr>
          <w:w w:val="105"/>
        </w:rPr>
        <w:t>using</w:t>
      </w:r>
      <w:r w:rsidRPr="00283806">
        <w:rPr>
          <w:spacing w:val="40"/>
          <w:w w:val="105"/>
        </w:rPr>
        <w:t xml:space="preserve"> </w:t>
      </w:r>
      <w:r w:rsidRPr="00283806">
        <w:rPr>
          <w:w w:val="105"/>
        </w:rPr>
        <w:t>the</w:t>
      </w:r>
      <w:r w:rsidRPr="00283806">
        <w:rPr>
          <w:spacing w:val="40"/>
          <w:w w:val="105"/>
        </w:rPr>
        <w:t xml:space="preserve"> </w:t>
      </w:r>
      <w:r w:rsidRPr="00283806">
        <w:rPr>
          <w:w w:val="105"/>
        </w:rPr>
        <w:t>term ‘‘recycle for reuse’’ as defined at 40 CFR 266.601 to mean to process an ignitable spent refrigerant to remove contamination and prepare it to be used again. This umbrella term includes reclaiming</w:t>
      </w:r>
      <w:r w:rsidRPr="00283806">
        <w:rPr>
          <w:spacing w:val="-1"/>
          <w:w w:val="105"/>
        </w:rPr>
        <w:t xml:space="preserve"> </w:t>
      </w:r>
      <w:r w:rsidRPr="00283806">
        <w:rPr>
          <w:w w:val="105"/>
        </w:rPr>
        <w:t>ignitable</w:t>
      </w:r>
      <w:r w:rsidRPr="00283806">
        <w:rPr>
          <w:spacing w:val="-1"/>
          <w:w w:val="105"/>
        </w:rPr>
        <w:t xml:space="preserve"> </w:t>
      </w:r>
      <w:r w:rsidRPr="00283806">
        <w:rPr>
          <w:w w:val="105"/>
        </w:rPr>
        <w:t>spent</w:t>
      </w:r>
      <w:r w:rsidRPr="00283806">
        <w:rPr>
          <w:spacing w:val="-1"/>
          <w:w w:val="105"/>
        </w:rPr>
        <w:t xml:space="preserve"> </w:t>
      </w:r>
      <w:r w:rsidRPr="00283806">
        <w:rPr>
          <w:w w:val="105"/>
        </w:rPr>
        <w:t>refrigerants</w:t>
      </w:r>
      <w:r w:rsidRPr="00283806">
        <w:rPr>
          <w:spacing w:val="-1"/>
          <w:w w:val="105"/>
        </w:rPr>
        <w:t xml:space="preserve"> </w:t>
      </w:r>
      <w:r w:rsidRPr="00283806">
        <w:rPr>
          <w:w w:val="105"/>
        </w:rPr>
        <w:t>as defined in the context of the RCRA regulations at 40 CFR 261.1(c), and</w:t>
      </w:r>
      <w:r w:rsidRPr="00283806">
        <w:rPr>
          <w:spacing w:val="40"/>
          <w:w w:val="105"/>
        </w:rPr>
        <w:t xml:space="preserve"> </w:t>
      </w:r>
      <w:r w:rsidRPr="00283806">
        <w:rPr>
          <w:w w:val="105"/>
        </w:rPr>
        <w:t>either reclaiming or recycling</w:t>
      </w:r>
      <w:r w:rsidRPr="00283806">
        <w:rPr>
          <w:spacing w:val="40"/>
          <w:w w:val="105"/>
        </w:rPr>
        <w:t xml:space="preserve"> </w:t>
      </w:r>
      <w:r w:rsidRPr="00283806">
        <w:rPr>
          <w:w w:val="105"/>
        </w:rPr>
        <w:t>refrigerants as defined in 40 CFR 82.152.</w:t>
      </w:r>
    </w:p>
    <w:p w14:paraId="5B9C1D16" w14:textId="77777777" w:rsidR="00D67C1E" w:rsidRPr="00283806" w:rsidRDefault="001265CA">
      <w:pPr>
        <w:pStyle w:val="BodyText"/>
        <w:spacing w:before="134" w:line="228" w:lineRule="auto"/>
        <w:ind w:left="143" w:right="210"/>
      </w:pPr>
      <w:r w:rsidRPr="00283806">
        <w:br w:type="column"/>
      </w:r>
      <w:r w:rsidRPr="00283806">
        <w:rPr>
          <w:w w:val="105"/>
        </w:rPr>
        <w:t xml:space="preserve">‘‘Recycle for reuse’’ would not include recycling that involves burning for energy recovery or use in a manner constituting disposal (use in or on the land) as defined in 40 CFR 261.2(c), or sham recycling as defined in 40 CFR </w:t>
      </w:r>
      <w:r w:rsidRPr="00283806">
        <w:rPr>
          <w:spacing w:val="-2"/>
          <w:w w:val="105"/>
        </w:rPr>
        <w:t>261.2(g).</w:t>
      </w:r>
    </w:p>
    <w:p w14:paraId="0F14B654" w14:textId="77777777" w:rsidR="00D67C1E" w:rsidRPr="00283806" w:rsidRDefault="001265CA">
      <w:pPr>
        <w:pStyle w:val="ListParagraph"/>
        <w:numPr>
          <w:ilvl w:val="0"/>
          <w:numId w:val="46"/>
        </w:numPr>
        <w:tabs>
          <w:tab w:val="left" w:pos="341"/>
        </w:tabs>
        <w:spacing w:before="88"/>
        <w:ind w:left="341" w:hanging="198"/>
        <w:rPr>
          <w:sz w:val="18"/>
        </w:rPr>
      </w:pPr>
      <w:r w:rsidRPr="00283806">
        <w:rPr>
          <w:spacing w:val="-2"/>
          <w:w w:val="105"/>
          <w:sz w:val="18"/>
        </w:rPr>
        <w:t>Background</w:t>
      </w:r>
    </w:p>
    <w:p w14:paraId="28A3661F" w14:textId="77777777" w:rsidR="00D67C1E" w:rsidRPr="00283806" w:rsidRDefault="001265CA">
      <w:pPr>
        <w:pStyle w:val="BodyText"/>
        <w:spacing w:before="77" w:line="228" w:lineRule="auto"/>
        <w:ind w:left="143" w:right="132" w:firstLine="180"/>
      </w:pPr>
      <w:r w:rsidRPr="00283806">
        <w:rPr>
          <w:w w:val="105"/>
        </w:rPr>
        <w:t>On February 13, 1991, EPA promulgated an interim final rule excluding spent chlorofluorocarbon</w:t>
      </w:r>
      <w:r w:rsidRPr="00283806">
        <w:rPr>
          <w:spacing w:val="40"/>
          <w:w w:val="105"/>
        </w:rPr>
        <w:t xml:space="preserve"> </w:t>
      </w:r>
      <w:r w:rsidRPr="00283806">
        <w:rPr>
          <w:w w:val="105"/>
        </w:rPr>
        <w:t>(CFC) refrigerants from the definition of hazardous waste under RCRA when recycled for reuse (56 FR 5910). EPA</w:t>
      </w:r>
      <w:r w:rsidRPr="00283806">
        <w:rPr>
          <w:spacing w:val="80"/>
          <w:w w:val="105"/>
        </w:rPr>
        <w:t xml:space="preserve"> </w:t>
      </w:r>
      <w:r w:rsidRPr="00283806">
        <w:rPr>
          <w:w w:val="105"/>
        </w:rPr>
        <w:t>was concerned that subjecting used CFC refrigerants to RCRA hazardous waste regulations would result in increased venting of these refrigerants, resulting in increased levels of ODS in the stratosphere. As described above in section III.C, EPA promulgated a series</w:t>
      </w:r>
      <w:r w:rsidRPr="00283806">
        <w:rPr>
          <w:spacing w:val="80"/>
          <w:w w:val="150"/>
        </w:rPr>
        <w:t xml:space="preserve"> </w:t>
      </w:r>
      <w:r w:rsidRPr="00283806">
        <w:rPr>
          <w:w w:val="105"/>
        </w:rPr>
        <w:t>of rules implementing provisions under CAA</w:t>
      </w:r>
      <w:r w:rsidRPr="00283806">
        <w:rPr>
          <w:spacing w:val="39"/>
          <w:w w:val="105"/>
        </w:rPr>
        <w:t xml:space="preserve"> </w:t>
      </w:r>
      <w:r w:rsidRPr="00283806">
        <w:rPr>
          <w:w w:val="105"/>
        </w:rPr>
        <w:t>title</w:t>
      </w:r>
      <w:r w:rsidRPr="00283806">
        <w:rPr>
          <w:spacing w:val="39"/>
          <w:w w:val="105"/>
        </w:rPr>
        <w:t xml:space="preserve"> </w:t>
      </w:r>
      <w:r w:rsidRPr="00283806">
        <w:rPr>
          <w:w w:val="105"/>
        </w:rPr>
        <w:t>VI</w:t>
      </w:r>
      <w:r w:rsidRPr="00283806">
        <w:rPr>
          <w:spacing w:val="39"/>
          <w:w w:val="105"/>
        </w:rPr>
        <w:t xml:space="preserve"> </w:t>
      </w:r>
      <w:r w:rsidRPr="00283806">
        <w:rPr>
          <w:w w:val="105"/>
        </w:rPr>
        <w:t>to</w:t>
      </w:r>
      <w:r w:rsidRPr="00283806">
        <w:rPr>
          <w:spacing w:val="39"/>
          <w:w w:val="105"/>
        </w:rPr>
        <w:t xml:space="preserve"> </w:t>
      </w:r>
      <w:r w:rsidRPr="00283806">
        <w:rPr>
          <w:w w:val="105"/>
        </w:rPr>
        <w:t>phase</w:t>
      </w:r>
      <w:r w:rsidRPr="00283806">
        <w:rPr>
          <w:spacing w:val="39"/>
          <w:w w:val="105"/>
        </w:rPr>
        <w:t xml:space="preserve"> </w:t>
      </w:r>
      <w:r w:rsidRPr="00283806">
        <w:rPr>
          <w:w w:val="105"/>
        </w:rPr>
        <w:t>out</w:t>
      </w:r>
      <w:r w:rsidRPr="00283806">
        <w:rPr>
          <w:spacing w:val="39"/>
          <w:w w:val="105"/>
        </w:rPr>
        <w:t xml:space="preserve"> </w:t>
      </w:r>
      <w:r w:rsidRPr="00283806">
        <w:rPr>
          <w:w w:val="105"/>
        </w:rPr>
        <w:t>class</w:t>
      </w:r>
      <w:r w:rsidRPr="00283806">
        <w:rPr>
          <w:spacing w:val="39"/>
          <w:w w:val="105"/>
        </w:rPr>
        <w:t xml:space="preserve"> </w:t>
      </w:r>
      <w:r w:rsidRPr="00283806">
        <w:rPr>
          <w:w w:val="105"/>
        </w:rPr>
        <w:t>I</w:t>
      </w:r>
      <w:r w:rsidRPr="00283806">
        <w:rPr>
          <w:spacing w:val="39"/>
          <w:w w:val="105"/>
        </w:rPr>
        <w:t xml:space="preserve"> </w:t>
      </w:r>
      <w:r w:rsidRPr="00283806">
        <w:rPr>
          <w:w w:val="105"/>
        </w:rPr>
        <w:t>and class II ODS, including CFCs used as refrigerants, and establishing standards applicable to the use, disposal, and recycling of ODS refrigerants and their substitutes. Some of these acceptable substitutes are flammable and likely to exhibit the hazardous waste characteristic of ignitability found in 40 CFR 261.21.</w:t>
      </w:r>
      <w:r w:rsidRPr="00283806">
        <w:rPr>
          <w:w w:val="105"/>
          <w:position w:val="5"/>
          <w:sz w:val="11"/>
        </w:rPr>
        <w:t>141</w:t>
      </w:r>
      <w:r w:rsidRPr="00283806">
        <w:rPr>
          <w:spacing w:val="40"/>
          <w:w w:val="105"/>
          <w:position w:val="5"/>
          <w:sz w:val="11"/>
        </w:rPr>
        <w:t xml:space="preserve"> </w:t>
      </w:r>
      <w:r w:rsidRPr="00283806">
        <w:rPr>
          <w:w w:val="105"/>
        </w:rPr>
        <w:t>As described in section</w:t>
      </w:r>
      <w:r w:rsidRPr="00283806">
        <w:rPr>
          <w:spacing w:val="40"/>
          <w:w w:val="105"/>
        </w:rPr>
        <w:t xml:space="preserve"> </w:t>
      </w:r>
      <w:r w:rsidRPr="00283806">
        <w:rPr>
          <w:w w:val="105"/>
        </w:rPr>
        <w:t>I.B,</w:t>
      </w:r>
      <w:r w:rsidRPr="00283806">
        <w:rPr>
          <w:spacing w:val="39"/>
          <w:w w:val="105"/>
        </w:rPr>
        <w:t xml:space="preserve"> </w:t>
      </w:r>
      <w:r w:rsidRPr="00283806">
        <w:rPr>
          <w:w w:val="105"/>
        </w:rPr>
        <w:t>ASHRAE</w:t>
      </w:r>
      <w:r w:rsidRPr="00283806">
        <w:rPr>
          <w:spacing w:val="39"/>
          <w:w w:val="105"/>
        </w:rPr>
        <w:t xml:space="preserve"> </w:t>
      </w:r>
      <w:r w:rsidRPr="00283806">
        <w:rPr>
          <w:w w:val="105"/>
        </w:rPr>
        <w:t>Standard</w:t>
      </w:r>
      <w:r w:rsidRPr="00283806">
        <w:rPr>
          <w:spacing w:val="39"/>
          <w:w w:val="105"/>
        </w:rPr>
        <w:t xml:space="preserve"> </w:t>
      </w:r>
      <w:r w:rsidRPr="00283806">
        <w:rPr>
          <w:w w:val="105"/>
        </w:rPr>
        <w:t>34–2022</w:t>
      </w:r>
      <w:r w:rsidRPr="00283806">
        <w:rPr>
          <w:spacing w:val="39"/>
          <w:w w:val="105"/>
        </w:rPr>
        <w:t xml:space="preserve"> </w:t>
      </w:r>
      <w:r w:rsidRPr="00283806">
        <w:rPr>
          <w:w w:val="105"/>
        </w:rPr>
        <w:t>assigns a safety group classification for each refrigerant which consists of two alphanumeric</w:t>
      </w:r>
      <w:r w:rsidRPr="00283806">
        <w:rPr>
          <w:spacing w:val="40"/>
          <w:w w:val="105"/>
        </w:rPr>
        <w:t xml:space="preserve"> </w:t>
      </w:r>
      <w:r w:rsidRPr="00283806">
        <w:rPr>
          <w:w w:val="105"/>
        </w:rPr>
        <w:t>characters</w:t>
      </w:r>
      <w:r w:rsidRPr="00283806">
        <w:rPr>
          <w:spacing w:val="40"/>
          <w:w w:val="105"/>
        </w:rPr>
        <w:t xml:space="preserve"> </w:t>
      </w:r>
      <w:r w:rsidRPr="00283806">
        <w:rPr>
          <w:w w:val="105"/>
        </w:rPr>
        <w:t>(</w:t>
      </w:r>
      <w:r w:rsidRPr="00283806">
        <w:rPr>
          <w:rFonts w:ascii="Book Antiqua" w:hAnsi="Book Antiqua"/>
          <w:i/>
          <w:w w:val="105"/>
        </w:rPr>
        <w:t xml:space="preserve">e.g., </w:t>
      </w:r>
      <w:r w:rsidRPr="00283806">
        <w:rPr>
          <w:w w:val="105"/>
        </w:rPr>
        <w:t>A2</w:t>
      </w:r>
      <w:r w:rsidRPr="00283806">
        <w:rPr>
          <w:spacing w:val="40"/>
          <w:w w:val="105"/>
        </w:rPr>
        <w:t xml:space="preserve"> </w:t>
      </w:r>
      <w:r w:rsidRPr="00283806">
        <w:rPr>
          <w:w w:val="105"/>
        </w:rPr>
        <w:t>or B1). The capital letter indicates the toxicity class (‘‘A’’ for lower toxicity),</w:t>
      </w:r>
      <w:r w:rsidRPr="00283806">
        <w:rPr>
          <w:spacing w:val="80"/>
          <w:w w:val="105"/>
        </w:rPr>
        <w:t xml:space="preserve"> </w:t>
      </w:r>
      <w:r w:rsidRPr="00283806">
        <w:rPr>
          <w:w w:val="105"/>
        </w:rPr>
        <w:t>and the numeral denotes the flammability. ASHRAE recognizes three classifications and one subclass for refrigerant flammability. The three main flammability classifications are Class 1, for refrigerants that do not propagate a flame</w:t>
      </w:r>
      <w:r w:rsidRPr="00283806">
        <w:rPr>
          <w:spacing w:val="40"/>
          <w:w w:val="105"/>
        </w:rPr>
        <w:t xml:space="preserve"> </w:t>
      </w:r>
      <w:r w:rsidRPr="00283806">
        <w:rPr>
          <w:w w:val="105"/>
        </w:rPr>
        <w:t>when</w:t>
      </w:r>
      <w:r w:rsidRPr="00283806">
        <w:rPr>
          <w:spacing w:val="40"/>
          <w:w w:val="105"/>
        </w:rPr>
        <w:t xml:space="preserve"> </w:t>
      </w:r>
      <w:r w:rsidRPr="00283806">
        <w:rPr>
          <w:w w:val="105"/>
        </w:rPr>
        <w:t>tested</w:t>
      </w:r>
      <w:r w:rsidRPr="00283806">
        <w:rPr>
          <w:spacing w:val="40"/>
          <w:w w:val="105"/>
        </w:rPr>
        <w:t xml:space="preserve"> </w:t>
      </w:r>
      <w:r w:rsidRPr="00283806">
        <w:rPr>
          <w:w w:val="105"/>
        </w:rPr>
        <w:t>as</w:t>
      </w:r>
      <w:r w:rsidRPr="00283806">
        <w:rPr>
          <w:spacing w:val="40"/>
          <w:w w:val="105"/>
        </w:rPr>
        <w:t xml:space="preserve"> </w:t>
      </w:r>
      <w:r w:rsidRPr="00283806">
        <w:rPr>
          <w:w w:val="105"/>
        </w:rPr>
        <w:t>per</w:t>
      </w:r>
      <w:r w:rsidRPr="00283806">
        <w:rPr>
          <w:spacing w:val="40"/>
          <w:w w:val="105"/>
        </w:rPr>
        <w:t xml:space="preserve"> </w:t>
      </w:r>
      <w:r w:rsidRPr="00283806">
        <w:rPr>
          <w:w w:val="105"/>
        </w:rPr>
        <w:t>the</w:t>
      </w:r>
      <w:r w:rsidRPr="00283806">
        <w:rPr>
          <w:spacing w:val="40"/>
          <w:w w:val="105"/>
        </w:rPr>
        <w:t xml:space="preserve"> </w:t>
      </w:r>
      <w:r w:rsidRPr="00283806">
        <w:rPr>
          <w:w w:val="105"/>
        </w:rPr>
        <w:t>ASHRAE 34 standard, ‘‘Designation and Safety Classification of Refrigerants;’’ Class 2,</w:t>
      </w:r>
      <w:r w:rsidRPr="00283806">
        <w:rPr>
          <w:spacing w:val="40"/>
          <w:w w:val="105"/>
        </w:rPr>
        <w:t xml:space="preserve"> </w:t>
      </w:r>
      <w:r w:rsidRPr="00283806">
        <w:rPr>
          <w:w w:val="105"/>
        </w:rPr>
        <w:t>for refrigerants of lower flammability; and Class 3, for highly flammable refrigerants, such as certain</w:t>
      </w:r>
      <w:r w:rsidRPr="00283806">
        <w:rPr>
          <w:spacing w:val="80"/>
          <w:w w:val="105"/>
        </w:rPr>
        <w:t xml:space="preserve"> </w:t>
      </w:r>
      <w:r w:rsidRPr="00283806">
        <w:rPr>
          <w:w w:val="105"/>
        </w:rPr>
        <w:t>hydrocarbon refrigerants. ASHRAE recently</w:t>
      </w:r>
      <w:r w:rsidRPr="00283806">
        <w:rPr>
          <w:spacing w:val="40"/>
          <w:w w:val="105"/>
        </w:rPr>
        <w:t xml:space="preserve"> </w:t>
      </w:r>
      <w:r w:rsidRPr="00283806">
        <w:rPr>
          <w:w w:val="105"/>
        </w:rPr>
        <w:t>updated</w:t>
      </w:r>
      <w:r w:rsidRPr="00283806">
        <w:rPr>
          <w:spacing w:val="40"/>
          <w:w w:val="105"/>
        </w:rPr>
        <w:t xml:space="preserve"> </w:t>
      </w:r>
      <w:r w:rsidRPr="00283806">
        <w:rPr>
          <w:w w:val="105"/>
        </w:rPr>
        <w:t>the</w:t>
      </w:r>
      <w:r w:rsidRPr="00283806">
        <w:rPr>
          <w:spacing w:val="40"/>
          <w:w w:val="105"/>
        </w:rPr>
        <w:t xml:space="preserve"> </w:t>
      </w:r>
      <w:r w:rsidRPr="00283806">
        <w:rPr>
          <w:w w:val="105"/>
        </w:rPr>
        <w:t>safety classification matrix to include a new flammability subclass 2L, for</w:t>
      </w:r>
      <w:r w:rsidRPr="00283806">
        <w:rPr>
          <w:spacing w:val="40"/>
          <w:w w:val="105"/>
        </w:rPr>
        <w:t xml:space="preserve"> </w:t>
      </w:r>
      <w:r w:rsidRPr="00283806">
        <w:rPr>
          <w:w w:val="105"/>
        </w:rPr>
        <w:t>flammability Class 2 refrigerants that</w:t>
      </w:r>
    </w:p>
    <w:p w14:paraId="1F91702E" w14:textId="77777777" w:rsidR="00D67C1E" w:rsidRPr="00283806" w:rsidRDefault="001265CA">
      <w:pPr>
        <w:pStyle w:val="BodyText"/>
        <w:spacing w:before="5"/>
        <w:ind w:left="0"/>
        <w:rPr>
          <w:sz w:val="9"/>
        </w:rPr>
      </w:pPr>
      <w:r w:rsidRPr="00283806">
        <w:rPr>
          <w:noProof/>
        </w:rPr>
        <mc:AlternateContent>
          <mc:Choice Requires="wps">
            <w:drawing>
              <wp:anchor distT="0" distB="0" distL="0" distR="0" simplePos="0" relativeHeight="251674624" behindDoc="1" locked="0" layoutInCell="1" allowOverlap="1" wp14:anchorId="06503420" wp14:editId="01FFDD57">
                <wp:simplePos x="0" y="0"/>
                <wp:positionH relativeFrom="page">
                  <wp:posOffset>5067300</wp:posOffset>
                </wp:positionH>
                <wp:positionV relativeFrom="paragraph">
                  <wp:posOffset>85915</wp:posOffset>
                </wp:positionV>
                <wp:extent cx="635000" cy="1270"/>
                <wp:effectExtent l="0" t="0" r="0" b="0"/>
                <wp:wrapTopAndBottom/>
                <wp:docPr id="106" name="Graphic 10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2BB8006" id="Graphic 106" o:spid="_x0000_s1026" alt="&quot;&quot;" style="position:absolute;margin-left:399pt;margin-top:6.75pt;width:50pt;height:.1pt;z-index:-251641856;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" path="m,l635000,e" filled="f" strokeweight=".5pt">
                <v:path arrowok="t"/>
                <w10:wrap type="topAndBottom" anchorx="page"/>
              </v:shape>
            </w:pict>
          </mc:Fallback>
        </mc:AlternateContent>
      </w:r>
    </w:p>
    <w:p w14:paraId="2989620A" w14:textId="77777777" w:rsidR="00D67C1E" w:rsidRPr="00283806" w:rsidRDefault="001265CA">
      <w:pPr>
        <w:spacing w:before="40" w:line="232" w:lineRule="auto"/>
        <w:ind w:left="143" w:right="173" w:firstLine="140"/>
        <w:rPr>
          <w:sz w:val="14"/>
        </w:rPr>
      </w:pPr>
      <w:r w:rsidRPr="00283806">
        <w:rPr>
          <w:w w:val="105"/>
          <w:position w:val="4"/>
          <w:sz w:val="9"/>
        </w:rPr>
        <w:t xml:space="preserve">141 </w:t>
      </w:r>
      <w:r w:rsidRPr="00283806">
        <w:rPr>
          <w:w w:val="105"/>
          <w:sz w:val="14"/>
        </w:rPr>
        <w:t>‘‘Flammability’’ as identified by the ASHRAE</w:t>
      </w:r>
      <w:r w:rsidRPr="00283806">
        <w:rPr>
          <w:spacing w:val="40"/>
          <w:w w:val="105"/>
          <w:sz w:val="14"/>
        </w:rPr>
        <w:t xml:space="preserve"> </w:t>
      </w:r>
      <w:r w:rsidRPr="00283806">
        <w:rPr>
          <w:w w:val="105"/>
          <w:sz w:val="14"/>
        </w:rPr>
        <w:t>standards and ‘‘ignitability’’ as identified by the</w:t>
      </w:r>
      <w:r w:rsidRPr="00283806">
        <w:rPr>
          <w:spacing w:val="40"/>
          <w:w w:val="105"/>
          <w:sz w:val="14"/>
        </w:rPr>
        <w:t xml:space="preserve"> </w:t>
      </w:r>
      <w:r w:rsidRPr="00283806">
        <w:rPr>
          <w:w w:val="105"/>
          <w:sz w:val="14"/>
        </w:rPr>
        <w:t>RCRA 40 CFR 261.21 standard are both intended to</w:t>
      </w:r>
      <w:r w:rsidRPr="00283806">
        <w:rPr>
          <w:spacing w:val="40"/>
          <w:w w:val="105"/>
          <w:sz w:val="14"/>
        </w:rPr>
        <w:t xml:space="preserve"> </w:t>
      </w:r>
      <w:r w:rsidRPr="00283806">
        <w:rPr>
          <w:w w:val="105"/>
          <w:sz w:val="14"/>
        </w:rPr>
        <w:t>capture the potential for a substance to cause fires.</w:t>
      </w:r>
      <w:r w:rsidRPr="00283806">
        <w:rPr>
          <w:spacing w:val="40"/>
          <w:w w:val="105"/>
          <w:sz w:val="14"/>
        </w:rPr>
        <w:t xml:space="preserve"> </w:t>
      </w:r>
      <w:r w:rsidRPr="00283806">
        <w:rPr>
          <w:w w:val="105"/>
          <w:sz w:val="14"/>
        </w:rPr>
        <w:t>However, since the methodology used under these</w:t>
      </w:r>
      <w:r w:rsidRPr="00283806">
        <w:rPr>
          <w:spacing w:val="40"/>
          <w:w w:val="105"/>
          <w:sz w:val="14"/>
        </w:rPr>
        <w:t xml:space="preserve"> </w:t>
      </w:r>
      <w:r w:rsidRPr="00283806">
        <w:rPr>
          <w:w w:val="105"/>
          <w:sz w:val="14"/>
        </w:rPr>
        <w:t>two systems differs, EPA is using ‘‘flammability’’</w:t>
      </w:r>
      <w:r w:rsidRPr="00283806">
        <w:rPr>
          <w:spacing w:val="40"/>
          <w:w w:val="105"/>
          <w:sz w:val="14"/>
        </w:rPr>
        <w:t xml:space="preserve"> </w:t>
      </w:r>
      <w:r w:rsidRPr="00283806">
        <w:rPr>
          <w:w w:val="105"/>
          <w:sz w:val="14"/>
        </w:rPr>
        <w:t>when describing the ASHRAE standard and</w:t>
      </w:r>
      <w:r w:rsidRPr="00283806">
        <w:rPr>
          <w:spacing w:val="40"/>
          <w:w w:val="105"/>
          <w:sz w:val="14"/>
        </w:rPr>
        <w:t xml:space="preserve"> </w:t>
      </w:r>
      <w:r w:rsidRPr="00283806">
        <w:rPr>
          <w:w w:val="105"/>
          <w:sz w:val="14"/>
        </w:rPr>
        <w:t>‘‘ignitability’’ when describing wastes that are</w:t>
      </w:r>
      <w:r w:rsidRPr="00283806">
        <w:rPr>
          <w:spacing w:val="40"/>
          <w:w w:val="105"/>
          <w:sz w:val="14"/>
        </w:rPr>
        <w:t xml:space="preserve"> </w:t>
      </w:r>
      <w:r w:rsidRPr="00283806">
        <w:rPr>
          <w:w w:val="105"/>
          <w:sz w:val="14"/>
        </w:rPr>
        <w:t>regulated under RCRA when they meet the ignitable</w:t>
      </w:r>
      <w:r w:rsidRPr="00283806">
        <w:rPr>
          <w:spacing w:val="40"/>
          <w:w w:val="105"/>
          <w:sz w:val="14"/>
        </w:rPr>
        <w:t xml:space="preserve"> </w:t>
      </w:r>
      <w:r w:rsidRPr="00283806">
        <w:rPr>
          <w:w w:val="105"/>
          <w:sz w:val="14"/>
        </w:rPr>
        <w:t>characteristic in §</w:t>
      </w:r>
      <w:r w:rsidRPr="00283806">
        <w:rPr>
          <w:spacing w:val="-3"/>
          <w:w w:val="105"/>
          <w:sz w:val="14"/>
        </w:rPr>
        <w:t xml:space="preserve"> </w:t>
      </w:r>
      <w:r w:rsidRPr="00283806">
        <w:rPr>
          <w:w w:val="105"/>
          <w:sz w:val="14"/>
        </w:rPr>
        <w:t>261.21 and therefore are subject</w:t>
      </w:r>
      <w:r w:rsidRPr="00283806">
        <w:rPr>
          <w:spacing w:val="40"/>
          <w:w w:val="105"/>
          <w:sz w:val="14"/>
        </w:rPr>
        <w:t xml:space="preserve"> </w:t>
      </w:r>
      <w:r w:rsidRPr="00283806">
        <w:rPr>
          <w:w w:val="105"/>
          <w:sz w:val="14"/>
        </w:rPr>
        <w:t>to hazardous waste management requirements. In</w:t>
      </w:r>
      <w:r w:rsidRPr="00283806">
        <w:rPr>
          <w:spacing w:val="40"/>
          <w:w w:val="105"/>
          <w:sz w:val="14"/>
        </w:rPr>
        <w:t xml:space="preserve"> </w:t>
      </w:r>
      <w:r w:rsidRPr="00283806">
        <w:rPr>
          <w:w w:val="105"/>
          <w:sz w:val="14"/>
        </w:rPr>
        <w:t>general, a flammable substance would be presumed</w:t>
      </w:r>
      <w:r w:rsidRPr="00283806">
        <w:rPr>
          <w:spacing w:val="40"/>
          <w:w w:val="105"/>
          <w:sz w:val="14"/>
        </w:rPr>
        <w:t xml:space="preserve"> </w:t>
      </w:r>
      <w:r w:rsidRPr="00283806">
        <w:rPr>
          <w:w w:val="105"/>
          <w:sz w:val="14"/>
        </w:rPr>
        <w:t>to be also ignitable under RCRA unless testing were</w:t>
      </w:r>
      <w:r w:rsidRPr="00283806">
        <w:rPr>
          <w:spacing w:val="40"/>
          <w:w w:val="105"/>
          <w:sz w:val="14"/>
        </w:rPr>
        <w:t xml:space="preserve"> </w:t>
      </w:r>
      <w:r w:rsidRPr="00283806">
        <w:rPr>
          <w:w w:val="105"/>
          <w:sz w:val="14"/>
        </w:rPr>
        <w:t>to demonstrate otherwise.</w:t>
      </w:r>
    </w:p>
    <w:p w14:paraId="1682DE7F" w14:textId="77777777" w:rsidR="00D67C1E" w:rsidRPr="00283806" w:rsidRDefault="00D67C1E">
      <w:pPr>
        <w:spacing w:line="232" w:lineRule="auto"/>
        <w:rPr>
          <w:sz w:val="14"/>
        </w:rPr>
        <w:sectPr w:rsidR="00D67C1E" w:rsidRPr="00283806">
          <w:pgSz w:w="12240" w:h="15840"/>
          <w:pgMar w:top="1040" w:right="780" w:bottom="280" w:left="740" w:header="627" w:footer="0" w:gutter="0"/>
          <w:cols w:num="3" w:space="720" w:equalWidth="0">
            <w:col w:w="3515" w:space="40"/>
            <w:col w:w="3502" w:space="39"/>
            <w:col w:w="3624"/>
          </w:cols>
        </w:sectPr>
      </w:pPr>
    </w:p>
    <w:p w14:paraId="359E5ED7" w14:textId="77777777" w:rsidR="00D67C1E" w:rsidRPr="00283806" w:rsidRDefault="001265CA">
      <w:pPr>
        <w:pStyle w:val="BodyText"/>
        <w:spacing w:before="136" w:line="225" w:lineRule="auto"/>
        <w:ind w:hanging="1"/>
      </w:pPr>
      <w:r w:rsidRPr="00283806">
        <w:rPr>
          <w:w w:val="110"/>
        </w:rPr>
        <w:lastRenderedPageBreak/>
        <w:t>burn very slowly.</w:t>
      </w:r>
      <w:r w:rsidRPr="00283806">
        <w:rPr>
          <w:w w:val="110"/>
          <w:position w:val="5"/>
          <w:sz w:val="11"/>
        </w:rPr>
        <w:t>142</w:t>
      </w:r>
      <w:r w:rsidRPr="00283806">
        <w:rPr>
          <w:spacing w:val="31"/>
          <w:w w:val="110"/>
          <w:position w:val="5"/>
          <w:sz w:val="11"/>
        </w:rPr>
        <w:t xml:space="preserve"> </w:t>
      </w:r>
      <w:r w:rsidRPr="00283806">
        <w:rPr>
          <w:w w:val="110"/>
        </w:rPr>
        <w:t xml:space="preserve">Since 2010, EPA’s SNAP program has listed </w:t>
      </w:r>
      <w:proofErr w:type="gramStart"/>
      <w:r w:rsidRPr="00283806">
        <w:rPr>
          <w:w w:val="110"/>
        </w:rPr>
        <w:t>a number of</w:t>
      </w:r>
      <w:proofErr w:type="gramEnd"/>
      <w:r w:rsidRPr="00283806">
        <w:rPr>
          <w:w w:val="110"/>
        </w:rPr>
        <w:t xml:space="preserve"> flammable substitute refrigerants that have ASHRAE safety classifications of A3 (higher flammability, lower toxicity refrigerants such as propane or isobutane)</w:t>
      </w:r>
      <w:r w:rsidRPr="00283806">
        <w:rPr>
          <w:spacing w:val="-4"/>
          <w:w w:val="110"/>
        </w:rPr>
        <w:t xml:space="preserve"> </w:t>
      </w:r>
      <w:r w:rsidRPr="00283806">
        <w:rPr>
          <w:w w:val="110"/>
        </w:rPr>
        <w:t>or</w:t>
      </w:r>
      <w:r w:rsidRPr="00283806">
        <w:rPr>
          <w:spacing w:val="-4"/>
          <w:w w:val="110"/>
        </w:rPr>
        <w:t xml:space="preserve"> </w:t>
      </w:r>
      <w:r w:rsidRPr="00283806">
        <w:rPr>
          <w:w w:val="110"/>
        </w:rPr>
        <w:t>A2L</w:t>
      </w:r>
      <w:r w:rsidRPr="00283806">
        <w:rPr>
          <w:spacing w:val="-4"/>
          <w:w w:val="110"/>
        </w:rPr>
        <w:t xml:space="preserve"> </w:t>
      </w:r>
      <w:r w:rsidRPr="00283806">
        <w:rPr>
          <w:w w:val="110"/>
        </w:rPr>
        <w:t>(lower</w:t>
      </w:r>
      <w:r w:rsidRPr="00283806">
        <w:rPr>
          <w:spacing w:val="-4"/>
          <w:w w:val="110"/>
        </w:rPr>
        <w:t xml:space="preserve"> </w:t>
      </w:r>
      <w:r w:rsidRPr="00283806">
        <w:rPr>
          <w:w w:val="110"/>
        </w:rPr>
        <w:t xml:space="preserve">flammability, </w:t>
      </w:r>
      <w:r w:rsidRPr="00283806">
        <w:rPr>
          <w:spacing w:val="-2"/>
          <w:w w:val="110"/>
        </w:rPr>
        <w:t>lower</w:t>
      </w:r>
      <w:r w:rsidRPr="00283806">
        <w:rPr>
          <w:spacing w:val="-6"/>
          <w:w w:val="110"/>
        </w:rPr>
        <w:t xml:space="preserve"> </w:t>
      </w:r>
      <w:r w:rsidRPr="00283806">
        <w:rPr>
          <w:spacing w:val="-2"/>
          <w:w w:val="110"/>
        </w:rPr>
        <w:t>toxicity</w:t>
      </w:r>
      <w:r w:rsidRPr="00283806">
        <w:rPr>
          <w:spacing w:val="-6"/>
          <w:w w:val="110"/>
        </w:rPr>
        <w:t xml:space="preserve"> </w:t>
      </w:r>
      <w:r w:rsidRPr="00283806">
        <w:rPr>
          <w:spacing w:val="-2"/>
          <w:w w:val="110"/>
        </w:rPr>
        <w:t>refrigerants</w:t>
      </w:r>
      <w:r w:rsidRPr="00283806">
        <w:rPr>
          <w:spacing w:val="-6"/>
          <w:w w:val="110"/>
        </w:rPr>
        <w:t xml:space="preserve"> </w:t>
      </w:r>
      <w:r w:rsidRPr="00283806">
        <w:rPr>
          <w:spacing w:val="-2"/>
          <w:w w:val="110"/>
        </w:rPr>
        <w:t>such</w:t>
      </w:r>
      <w:r w:rsidRPr="00283806">
        <w:rPr>
          <w:spacing w:val="-6"/>
          <w:w w:val="110"/>
        </w:rPr>
        <w:t xml:space="preserve"> </w:t>
      </w:r>
      <w:r w:rsidRPr="00283806">
        <w:rPr>
          <w:spacing w:val="-2"/>
          <w:w w:val="110"/>
        </w:rPr>
        <w:t>as</w:t>
      </w:r>
      <w:r w:rsidRPr="00283806">
        <w:rPr>
          <w:spacing w:val="-6"/>
          <w:w w:val="110"/>
        </w:rPr>
        <w:t xml:space="preserve"> </w:t>
      </w:r>
      <w:r w:rsidRPr="00283806">
        <w:rPr>
          <w:spacing w:val="-2"/>
          <w:w w:val="110"/>
        </w:rPr>
        <w:t xml:space="preserve">HFC– </w:t>
      </w:r>
      <w:r w:rsidRPr="00283806">
        <w:rPr>
          <w:w w:val="110"/>
        </w:rPr>
        <w:t>32 or HFO–1234yf).</w:t>
      </w:r>
    </w:p>
    <w:p w14:paraId="17A93A7F" w14:textId="77777777" w:rsidR="00D67C1E" w:rsidRPr="00283806" w:rsidRDefault="001265CA">
      <w:pPr>
        <w:pStyle w:val="BodyText"/>
        <w:spacing w:line="177" w:lineRule="exact"/>
        <w:ind w:left="340"/>
      </w:pPr>
      <w:r w:rsidRPr="00283806">
        <w:rPr>
          <w:w w:val="105"/>
        </w:rPr>
        <w:t>The</w:t>
      </w:r>
      <w:r w:rsidRPr="00283806">
        <w:rPr>
          <w:spacing w:val="13"/>
          <w:w w:val="105"/>
        </w:rPr>
        <w:t xml:space="preserve"> </w:t>
      </w:r>
      <w:r w:rsidRPr="00283806">
        <w:rPr>
          <w:w w:val="105"/>
        </w:rPr>
        <w:t>standard</w:t>
      </w:r>
      <w:r w:rsidRPr="00283806">
        <w:rPr>
          <w:spacing w:val="13"/>
          <w:w w:val="105"/>
        </w:rPr>
        <w:t xml:space="preserve"> </w:t>
      </w:r>
      <w:r w:rsidRPr="00283806">
        <w:rPr>
          <w:w w:val="105"/>
        </w:rPr>
        <w:t>for</w:t>
      </w:r>
      <w:r w:rsidRPr="00283806">
        <w:rPr>
          <w:spacing w:val="13"/>
          <w:w w:val="105"/>
        </w:rPr>
        <w:t xml:space="preserve"> </w:t>
      </w:r>
      <w:r w:rsidRPr="00283806">
        <w:rPr>
          <w:w w:val="105"/>
        </w:rPr>
        <w:t>flammability</w:t>
      </w:r>
      <w:r w:rsidRPr="00283806">
        <w:rPr>
          <w:spacing w:val="13"/>
          <w:w w:val="105"/>
        </w:rPr>
        <w:t xml:space="preserve"> </w:t>
      </w:r>
      <w:r w:rsidRPr="00283806">
        <w:rPr>
          <w:spacing w:val="-2"/>
          <w:w w:val="105"/>
        </w:rPr>
        <w:t>under</w:t>
      </w:r>
    </w:p>
    <w:p w14:paraId="5235CC30" w14:textId="77777777" w:rsidR="00D67C1E" w:rsidRPr="00283806" w:rsidRDefault="001265CA">
      <w:pPr>
        <w:pStyle w:val="BodyText"/>
        <w:spacing w:before="4" w:line="225" w:lineRule="auto"/>
        <w:ind w:right="82"/>
      </w:pPr>
      <w:r w:rsidRPr="00283806">
        <w:rPr>
          <w:w w:val="105"/>
        </w:rPr>
        <w:t>ASHRAE Standard 34–2022 does not correspond precisely with the RCRA standards for ignitability found in 40 CFR 261.21, but in general, refrigerants with a flammability Class of 2 or 3 are expected to be ignitable under RCRA. Spent refrigerants with a flammability class of 2L may or may not be ignitable hazardous waste, depending on the specific chemical(s) used in the refrigerant and contamination of the refrigerant during use. Note that even refrigerants that do not exhibit the</w:t>
      </w:r>
      <w:r w:rsidRPr="00283806">
        <w:rPr>
          <w:spacing w:val="40"/>
          <w:w w:val="105"/>
        </w:rPr>
        <w:t xml:space="preserve"> </w:t>
      </w:r>
      <w:r w:rsidRPr="00283806">
        <w:rPr>
          <w:w w:val="105"/>
        </w:rPr>
        <w:t>RCRA characteristic of ignitability as a virgin material could become ignitable with use, especially if contaminated</w:t>
      </w:r>
      <w:r w:rsidRPr="00283806">
        <w:rPr>
          <w:spacing w:val="40"/>
          <w:w w:val="105"/>
        </w:rPr>
        <w:t xml:space="preserve"> </w:t>
      </w:r>
      <w:r w:rsidRPr="00283806">
        <w:rPr>
          <w:w w:val="105"/>
        </w:rPr>
        <w:t>with oil or other lubricants, posing a</w:t>
      </w:r>
      <w:r w:rsidRPr="00283806">
        <w:rPr>
          <w:spacing w:val="40"/>
          <w:w w:val="105"/>
        </w:rPr>
        <w:t xml:space="preserve"> </w:t>
      </w:r>
      <w:r w:rsidRPr="00283806">
        <w:rPr>
          <w:w w:val="105"/>
        </w:rPr>
        <w:t>risk of fire if mismanaged.</w:t>
      </w:r>
      <w:r w:rsidRPr="00283806">
        <w:rPr>
          <w:w w:val="105"/>
          <w:position w:val="5"/>
          <w:sz w:val="11"/>
        </w:rPr>
        <w:t>143</w:t>
      </w:r>
      <w:r w:rsidRPr="00283806">
        <w:rPr>
          <w:spacing w:val="40"/>
          <w:w w:val="105"/>
          <w:position w:val="5"/>
          <w:sz w:val="11"/>
        </w:rPr>
        <w:t xml:space="preserve"> </w:t>
      </w:r>
      <w:r w:rsidRPr="00283806">
        <w:rPr>
          <w:w w:val="105"/>
        </w:rPr>
        <w:t>Similarly, the flash point of a refrigerant that is a blend of two or more chemicals can change if there is a leak during</w:t>
      </w:r>
      <w:r w:rsidRPr="00283806">
        <w:rPr>
          <w:spacing w:val="40"/>
          <w:w w:val="105"/>
        </w:rPr>
        <w:t xml:space="preserve"> </w:t>
      </w:r>
      <w:r w:rsidRPr="00283806">
        <w:rPr>
          <w:w w:val="105"/>
        </w:rPr>
        <w:t>operation or during recovery and storage, when the refrigerant from multiple appliances is combined, or if the recovery process is incomplete, potentially changing the hazardous waste characteristic of the spent refrigerant when collected.</w:t>
      </w:r>
    </w:p>
    <w:p w14:paraId="74E73429" w14:textId="77777777" w:rsidR="00D67C1E" w:rsidRPr="00283806" w:rsidRDefault="001265CA">
      <w:pPr>
        <w:pStyle w:val="BodyText"/>
        <w:spacing w:line="170" w:lineRule="exact"/>
        <w:ind w:left="340"/>
      </w:pPr>
      <w:r w:rsidRPr="00283806">
        <w:rPr>
          <w:w w:val="105"/>
        </w:rPr>
        <w:t>It</w:t>
      </w:r>
      <w:r w:rsidRPr="00283806">
        <w:rPr>
          <w:spacing w:val="6"/>
          <w:w w:val="105"/>
        </w:rPr>
        <w:t xml:space="preserve"> </w:t>
      </w:r>
      <w:r w:rsidRPr="00283806">
        <w:rPr>
          <w:w w:val="105"/>
        </w:rPr>
        <w:t>should</w:t>
      </w:r>
      <w:r w:rsidRPr="00283806">
        <w:rPr>
          <w:spacing w:val="7"/>
          <w:w w:val="105"/>
        </w:rPr>
        <w:t xml:space="preserve"> </w:t>
      </w:r>
      <w:r w:rsidRPr="00283806">
        <w:rPr>
          <w:w w:val="105"/>
        </w:rPr>
        <w:t>be</w:t>
      </w:r>
      <w:r w:rsidRPr="00283806">
        <w:rPr>
          <w:spacing w:val="7"/>
          <w:w w:val="105"/>
        </w:rPr>
        <w:t xml:space="preserve"> </w:t>
      </w:r>
      <w:r w:rsidRPr="00283806">
        <w:rPr>
          <w:w w:val="105"/>
        </w:rPr>
        <w:t>noted</w:t>
      </w:r>
      <w:r w:rsidRPr="00283806">
        <w:rPr>
          <w:spacing w:val="7"/>
          <w:w w:val="105"/>
        </w:rPr>
        <w:t xml:space="preserve"> </w:t>
      </w:r>
      <w:r w:rsidRPr="00283806">
        <w:rPr>
          <w:w w:val="105"/>
        </w:rPr>
        <w:t>that</w:t>
      </w:r>
      <w:r w:rsidRPr="00283806">
        <w:rPr>
          <w:spacing w:val="7"/>
          <w:w w:val="105"/>
        </w:rPr>
        <w:t xml:space="preserve"> </w:t>
      </w:r>
      <w:r w:rsidRPr="00283806">
        <w:rPr>
          <w:w w:val="105"/>
        </w:rPr>
        <w:t>these</w:t>
      </w:r>
      <w:r w:rsidRPr="00283806">
        <w:rPr>
          <w:spacing w:val="7"/>
          <w:w w:val="105"/>
        </w:rPr>
        <w:t xml:space="preserve"> </w:t>
      </w:r>
      <w:r w:rsidRPr="00283806">
        <w:rPr>
          <w:spacing w:val="-2"/>
          <w:w w:val="105"/>
        </w:rPr>
        <w:t>ignitable</w:t>
      </w:r>
    </w:p>
    <w:p w14:paraId="64C90A38" w14:textId="77777777" w:rsidR="00D67C1E" w:rsidRPr="00283806" w:rsidRDefault="001265CA">
      <w:pPr>
        <w:pStyle w:val="BodyText"/>
        <w:spacing w:before="3" w:line="225" w:lineRule="auto"/>
        <w:ind w:right="82"/>
      </w:pPr>
      <w:r w:rsidRPr="00283806">
        <w:rPr>
          <w:w w:val="105"/>
        </w:rPr>
        <w:t>spent</w:t>
      </w:r>
      <w:r w:rsidRPr="00283806">
        <w:rPr>
          <w:spacing w:val="-1"/>
          <w:w w:val="105"/>
        </w:rPr>
        <w:t xml:space="preserve"> </w:t>
      </w:r>
      <w:r w:rsidRPr="00283806">
        <w:rPr>
          <w:w w:val="105"/>
        </w:rPr>
        <w:t>refrigerant</w:t>
      </w:r>
      <w:r w:rsidRPr="00283806">
        <w:rPr>
          <w:spacing w:val="-1"/>
          <w:w w:val="105"/>
        </w:rPr>
        <w:t xml:space="preserve"> </w:t>
      </w:r>
      <w:r w:rsidRPr="00283806">
        <w:rPr>
          <w:w w:val="105"/>
        </w:rPr>
        <w:t>substitutes</w:t>
      </w:r>
      <w:r w:rsidRPr="00283806">
        <w:rPr>
          <w:spacing w:val="-1"/>
          <w:w w:val="105"/>
        </w:rPr>
        <w:t xml:space="preserve"> </w:t>
      </w:r>
      <w:r w:rsidRPr="00283806">
        <w:rPr>
          <w:w w:val="105"/>
        </w:rPr>
        <w:t>do</w:t>
      </w:r>
      <w:r w:rsidRPr="00283806">
        <w:rPr>
          <w:spacing w:val="-1"/>
          <w:w w:val="105"/>
        </w:rPr>
        <w:t xml:space="preserve"> </w:t>
      </w:r>
      <w:r w:rsidRPr="00283806">
        <w:rPr>
          <w:w w:val="105"/>
        </w:rPr>
        <w:t>not</w:t>
      </w:r>
      <w:r w:rsidRPr="00283806">
        <w:rPr>
          <w:spacing w:val="-1"/>
          <w:w w:val="105"/>
        </w:rPr>
        <w:t xml:space="preserve"> </w:t>
      </w:r>
      <w:r w:rsidRPr="00283806">
        <w:rPr>
          <w:w w:val="105"/>
        </w:rPr>
        <w:t>fall under the 40 CFR 261.4(b)(12) RCRA exclusion for refrigerants, since that exclusion is limited to CFC refrigerants.</w:t>
      </w:r>
      <w:r w:rsidRPr="00283806">
        <w:rPr>
          <w:w w:val="105"/>
          <w:position w:val="5"/>
          <w:sz w:val="11"/>
        </w:rPr>
        <w:t>144</w:t>
      </w:r>
      <w:r w:rsidRPr="00283806">
        <w:rPr>
          <w:spacing w:val="40"/>
          <w:w w:val="105"/>
          <w:position w:val="5"/>
          <w:sz w:val="11"/>
        </w:rPr>
        <w:t xml:space="preserve"> </w:t>
      </w:r>
      <w:r w:rsidRPr="00283806">
        <w:rPr>
          <w:w w:val="105"/>
        </w:rPr>
        <w:t>The applicability of RCRA to flammable refrigerants is also discussed in the 2016 SNAP final rule (81 FR 86799–86800, December 1,</w:t>
      </w:r>
    </w:p>
    <w:p w14:paraId="0F99F3F8" w14:textId="77777777" w:rsidR="00D67C1E" w:rsidRPr="00283806" w:rsidRDefault="001265CA">
      <w:pPr>
        <w:pStyle w:val="BodyText"/>
        <w:spacing w:line="223" w:lineRule="auto"/>
        <w:ind w:right="5"/>
      </w:pPr>
      <w:r w:rsidRPr="00283806">
        <w:rPr>
          <w:w w:val="105"/>
        </w:rPr>
        <w:t>2016). Consistent with that discussion, EPA does not consider incidental</w:t>
      </w:r>
      <w:r w:rsidRPr="00283806">
        <w:rPr>
          <w:spacing w:val="40"/>
          <w:w w:val="105"/>
        </w:rPr>
        <w:t xml:space="preserve"> </w:t>
      </w:r>
      <w:r w:rsidRPr="00283806">
        <w:rPr>
          <w:w w:val="105"/>
        </w:rPr>
        <w:t>releases of spent refrigerant that occur during the service and repair of appliances</w:t>
      </w:r>
      <w:r w:rsidRPr="00283806">
        <w:rPr>
          <w:spacing w:val="40"/>
          <w:w w:val="105"/>
        </w:rPr>
        <w:t xml:space="preserve"> </w:t>
      </w:r>
      <w:r w:rsidRPr="00283806">
        <w:rPr>
          <w:w w:val="105"/>
        </w:rPr>
        <w:t>subject</w:t>
      </w:r>
      <w:r w:rsidRPr="00283806">
        <w:rPr>
          <w:spacing w:val="40"/>
          <w:w w:val="105"/>
        </w:rPr>
        <w:t xml:space="preserve"> </w:t>
      </w:r>
      <w:r w:rsidRPr="00283806">
        <w:rPr>
          <w:w w:val="105"/>
        </w:rPr>
        <w:t>to</w:t>
      </w:r>
      <w:r w:rsidRPr="00283806">
        <w:rPr>
          <w:spacing w:val="40"/>
          <w:w w:val="105"/>
        </w:rPr>
        <w:t xml:space="preserve"> </w:t>
      </w:r>
      <w:r w:rsidRPr="00283806">
        <w:rPr>
          <w:w w:val="105"/>
        </w:rPr>
        <w:t>CAA</w:t>
      </w:r>
      <w:r w:rsidRPr="00283806">
        <w:rPr>
          <w:spacing w:val="40"/>
          <w:w w:val="105"/>
        </w:rPr>
        <w:t xml:space="preserve"> </w:t>
      </w:r>
      <w:r w:rsidRPr="00283806">
        <w:rPr>
          <w:w w:val="105"/>
        </w:rPr>
        <w:t>section</w:t>
      </w:r>
      <w:r w:rsidRPr="00283806">
        <w:rPr>
          <w:spacing w:val="40"/>
          <w:w w:val="105"/>
        </w:rPr>
        <w:t xml:space="preserve"> </w:t>
      </w:r>
      <w:r w:rsidRPr="00283806">
        <w:rPr>
          <w:w w:val="105"/>
        </w:rPr>
        <w:t>608 to be disposal of a hazardous waste under RCRA. However, ignitable spent refrigerant from commercial and industrial appliances (</w:t>
      </w:r>
      <w:r w:rsidRPr="00283806">
        <w:rPr>
          <w:rFonts w:ascii="Book Antiqua"/>
          <w:i/>
          <w:w w:val="105"/>
        </w:rPr>
        <w:t xml:space="preserve">i.e., </w:t>
      </w:r>
      <w:r w:rsidRPr="00283806">
        <w:rPr>
          <w:w w:val="105"/>
        </w:rPr>
        <w:t>non- household appliances) will be classified as hazardous waste and will need to be</w:t>
      </w:r>
    </w:p>
    <w:p w14:paraId="20311A9B" w14:textId="77777777" w:rsidR="00D67C1E" w:rsidRPr="00283806" w:rsidRDefault="00D67C1E">
      <w:pPr>
        <w:pStyle w:val="BodyText"/>
        <w:spacing w:before="8"/>
        <w:ind w:left="0"/>
        <w:rPr>
          <w:sz w:val="15"/>
        </w:rPr>
      </w:pPr>
    </w:p>
    <w:p w14:paraId="16D677EA" w14:textId="77777777" w:rsidR="00D67C1E" w:rsidRPr="00283806" w:rsidRDefault="001265CA">
      <w:pPr>
        <w:pStyle w:val="BodyText"/>
        <w:spacing w:line="20" w:lineRule="exact"/>
        <w:rPr>
          <w:sz w:val="2"/>
        </w:rPr>
      </w:pPr>
      <w:r w:rsidRPr="00283806">
        <w:rPr>
          <w:noProof/>
          <w:sz w:val="2"/>
        </w:rPr>
        <mc:AlternateContent>
          <mc:Choice Requires="wpg">
            <w:drawing>
              <wp:inline distT="0" distB="0" distL="0" distR="0" wp14:anchorId="020FBDB2" wp14:editId="1EE4580F">
                <wp:extent cx="635000" cy="6350"/>
                <wp:effectExtent l="9525" t="0" r="3175" b="3175"/>
                <wp:docPr id="107" name="Group 10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00" cy="6350"/>
                          <a:chOff x="0" y="0"/>
                          <a:chExt cx="635000" cy="6350"/>
                        </a:xfrm>
                      </wpg:grpSpPr>
                      <wps:wsp>
                        <wps:cNvPr id="108" name="Graphic 108"/>
                        <wps:cNvSpPr/>
                        <wps:spPr>
                          <a:xfrm>
                            <a:off x="0" y="3175"/>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6175F20" id="Group 107" o:spid="_x0000_s1026" alt="&quot;&quot;" style="width:50pt;height:.5pt;mso-position-horizontal-relative:char;mso-position-vertical-relative:line" coordsize="635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">
                <v:shape id="Graphic 108" o:spid="_x0000_s1027" style="position:absolute;top:31;width:6350;height:13;visibility:visible;mso-wrap-style:square;v-text-anchor:top" coordsize="635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" path="m,l635000,e" filled="f" strokeweight=".5pt">
                  <v:path arrowok="t"/>
                </v:shape>
                <w10:anchorlock/>
              </v:group>
            </w:pict>
          </mc:Fallback>
        </mc:AlternateContent>
      </w:r>
    </w:p>
    <w:p w14:paraId="3CC30A0D" w14:textId="77777777" w:rsidR="00D67C1E" w:rsidRPr="00283806" w:rsidRDefault="001265CA">
      <w:pPr>
        <w:pStyle w:val="BodyText"/>
        <w:spacing w:before="136" w:line="225" w:lineRule="auto"/>
        <w:ind w:right="2"/>
      </w:pPr>
      <w:r w:rsidRPr="00283806">
        <w:br w:type="column"/>
      </w:r>
      <w:r w:rsidRPr="00283806">
        <w:rPr>
          <w:w w:val="105"/>
        </w:rPr>
        <w:t>managed under the applicable RCRA regulations (40 CFR parts 260 through 270)</w:t>
      </w:r>
      <w:r w:rsidRPr="00283806">
        <w:rPr>
          <w:spacing w:val="-2"/>
          <w:w w:val="105"/>
        </w:rPr>
        <w:t xml:space="preserve"> </w:t>
      </w:r>
      <w:r w:rsidRPr="00283806">
        <w:rPr>
          <w:w w:val="105"/>
        </w:rPr>
        <w:t>when</w:t>
      </w:r>
      <w:r w:rsidRPr="00283806">
        <w:rPr>
          <w:spacing w:val="-2"/>
          <w:w w:val="105"/>
        </w:rPr>
        <w:t xml:space="preserve"> </w:t>
      </w:r>
      <w:r w:rsidRPr="00283806">
        <w:rPr>
          <w:w w:val="105"/>
        </w:rPr>
        <w:t>recovered</w:t>
      </w:r>
      <w:r w:rsidRPr="00283806">
        <w:rPr>
          <w:spacing w:val="-2"/>
          <w:w w:val="105"/>
        </w:rPr>
        <w:t xml:space="preserve"> </w:t>
      </w:r>
      <w:r w:rsidRPr="00283806">
        <w:rPr>
          <w:w w:val="105"/>
        </w:rPr>
        <w:t>(</w:t>
      </w:r>
      <w:r w:rsidRPr="00283806">
        <w:rPr>
          <w:rFonts w:ascii="Book Antiqua"/>
          <w:i/>
          <w:w w:val="105"/>
        </w:rPr>
        <w:t>i.e.,</w:t>
      </w:r>
      <w:r w:rsidRPr="00283806">
        <w:rPr>
          <w:rFonts w:ascii="Book Antiqua"/>
          <w:i/>
          <w:spacing w:val="-8"/>
          <w:w w:val="105"/>
        </w:rPr>
        <w:t xml:space="preserve"> </w:t>
      </w:r>
      <w:r w:rsidRPr="00283806">
        <w:rPr>
          <w:w w:val="105"/>
        </w:rPr>
        <w:t>removed</w:t>
      </w:r>
      <w:r w:rsidRPr="00283806">
        <w:rPr>
          <w:spacing w:val="-2"/>
          <w:w w:val="105"/>
        </w:rPr>
        <w:t xml:space="preserve"> </w:t>
      </w:r>
      <w:r w:rsidRPr="00283806">
        <w:rPr>
          <w:w w:val="105"/>
        </w:rPr>
        <w:t>from an appliance and stored in an external container) or disposed of. These requirements include RCRA hazardous waste generator notification and on-site accumulation standards, emergency preparedness and other requirements, hazardous waste manifest and transportation requirements for the ignitable spent refrigerant, and RCRA permit requirements for refrigerant recyclers that store the refrigerant prior to recycling, unless the refrigerants are recycled for reuse under 40 CFR part</w:t>
      </w:r>
      <w:r w:rsidRPr="00283806">
        <w:rPr>
          <w:spacing w:val="40"/>
          <w:w w:val="105"/>
        </w:rPr>
        <w:t xml:space="preserve"> </w:t>
      </w:r>
      <w:r w:rsidRPr="00283806">
        <w:rPr>
          <w:w w:val="105"/>
        </w:rPr>
        <w:t xml:space="preserve">266, subpart Q, as described later in this </w:t>
      </w:r>
      <w:r w:rsidRPr="00283806">
        <w:rPr>
          <w:spacing w:val="-2"/>
          <w:w w:val="105"/>
        </w:rPr>
        <w:t>section.</w:t>
      </w:r>
    </w:p>
    <w:p w14:paraId="2165577C" w14:textId="77777777" w:rsidR="00D67C1E" w:rsidRPr="00283806" w:rsidRDefault="001265CA">
      <w:pPr>
        <w:pStyle w:val="ListParagraph"/>
        <w:numPr>
          <w:ilvl w:val="0"/>
          <w:numId w:val="46"/>
        </w:numPr>
        <w:tabs>
          <w:tab w:val="left" w:pos="358"/>
        </w:tabs>
        <w:spacing w:before="81" w:line="225" w:lineRule="auto"/>
        <w:ind w:left="160" w:right="25" w:firstLine="0"/>
        <w:rPr>
          <w:sz w:val="18"/>
        </w:rPr>
      </w:pPr>
      <w:r w:rsidRPr="00283806">
        <w:rPr>
          <w:w w:val="105"/>
          <w:sz w:val="18"/>
        </w:rPr>
        <w:t>Final Alternative RCRA Standards for Ignitable Spent Refrigerants Being Recycled for Reuse</w:t>
      </w:r>
    </w:p>
    <w:p w14:paraId="47DA03D1" w14:textId="77777777" w:rsidR="00D67C1E" w:rsidRPr="00283806" w:rsidRDefault="001265CA">
      <w:pPr>
        <w:pStyle w:val="BodyText"/>
        <w:spacing w:before="65" w:line="225" w:lineRule="auto"/>
        <w:ind w:right="74" w:firstLine="180"/>
      </w:pPr>
      <w:proofErr w:type="gramStart"/>
      <w:r w:rsidRPr="00283806">
        <w:rPr>
          <w:w w:val="105"/>
        </w:rPr>
        <w:t>Similar to</w:t>
      </w:r>
      <w:proofErr w:type="gramEnd"/>
      <w:r w:rsidRPr="00283806">
        <w:rPr>
          <w:w w:val="105"/>
        </w:rPr>
        <w:t xml:space="preserve"> EPA’s concerns expressed</w:t>
      </w:r>
      <w:r w:rsidRPr="00283806">
        <w:rPr>
          <w:spacing w:val="40"/>
          <w:w w:val="105"/>
        </w:rPr>
        <w:t xml:space="preserve"> </w:t>
      </w:r>
      <w:r w:rsidRPr="00283806">
        <w:rPr>
          <w:w w:val="105"/>
        </w:rPr>
        <w:t>in the 1991 rulemaking establishing the CFC refrigerant recycling exclusion,</w:t>
      </w:r>
      <w:r w:rsidRPr="00283806">
        <w:rPr>
          <w:spacing w:val="80"/>
          <w:w w:val="105"/>
        </w:rPr>
        <w:t xml:space="preserve"> </w:t>
      </w:r>
      <w:r w:rsidRPr="00283806">
        <w:rPr>
          <w:w w:val="105"/>
        </w:rPr>
        <w:t>EPA is concerned that applying the full RCRA hazardous waste requirements to substitute refrigerants that exhibit the hazardous characteristic of ignitability would discourage recycling and could result in an increase in releases of ignitable refrigerants, including HFC ignitable refrigerants, contrary to the goals of RCRA. The Agency separately notes that such releases would also be contrary to one of the purposes of regulations under subsection (h)(1) of the AIM Act, which is to minimize releases of HFCs from equipment.</w:t>
      </w:r>
    </w:p>
    <w:p w14:paraId="11D1459D" w14:textId="77777777" w:rsidR="00D67C1E" w:rsidRPr="00283806" w:rsidRDefault="001265CA">
      <w:pPr>
        <w:pStyle w:val="BodyText"/>
        <w:spacing w:line="225" w:lineRule="auto"/>
        <w:ind w:right="14"/>
      </w:pPr>
      <w:r w:rsidRPr="00283806">
        <w:rPr>
          <w:w w:val="105"/>
        </w:rPr>
        <w:t>Moreover, inadvertently incentivizing releases of refrigerants would be contrary to RCRA section 3004(n),</w:t>
      </w:r>
      <w:r w:rsidRPr="00283806">
        <w:rPr>
          <w:spacing w:val="80"/>
          <w:w w:val="105"/>
        </w:rPr>
        <w:t xml:space="preserve"> </w:t>
      </w:r>
      <w:r w:rsidRPr="00283806">
        <w:rPr>
          <w:w w:val="105"/>
        </w:rPr>
        <w:t>which requires EPA to control air emissions from hazardous waste management, as may be necessary to protect human health and the environment. Finally, the current requirements</w:t>
      </w:r>
      <w:r w:rsidRPr="00283806">
        <w:rPr>
          <w:spacing w:val="-10"/>
          <w:w w:val="105"/>
        </w:rPr>
        <w:t xml:space="preserve"> </w:t>
      </w:r>
      <w:r w:rsidRPr="00283806">
        <w:rPr>
          <w:w w:val="105"/>
        </w:rPr>
        <w:t>for</w:t>
      </w:r>
      <w:r w:rsidRPr="00283806">
        <w:rPr>
          <w:spacing w:val="-11"/>
          <w:w w:val="105"/>
        </w:rPr>
        <w:t xml:space="preserve"> </w:t>
      </w:r>
      <w:r w:rsidRPr="00283806">
        <w:rPr>
          <w:w w:val="105"/>
        </w:rPr>
        <w:t>recovery</w:t>
      </w:r>
      <w:r w:rsidRPr="00283806">
        <w:rPr>
          <w:spacing w:val="-10"/>
          <w:w w:val="105"/>
        </w:rPr>
        <w:t xml:space="preserve"> </w:t>
      </w:r>
      <w:r w:rsidRPr="00283806">
        <w:rPr>
          <w:w w:val="105"/>
        </w:rPr>
        <w:t>of</w:t>
      </w:r>
      <w:r w:rsidRPr="00283806">
        <w:rPr>
          <w:spacing w:val="-10"/>
          <w:w w:val="105"/>
        </w:rPr>
        <w:t xml:space="preserve"> </w:t>
      </w:r>
      <w:r w:rsidRPr="00283806">
        <w:rPr>
          <w:w w:val="105"/>
        </w:rPr>
        <w:t>refrigerants under the CAA section 608 rules are</w:t>
      </w:r>
      <w:r w:rsidRPr="00283806">
        <w:rPr>
          <w:spacing w:val="40"/>
          <w:w w:val="105"/>
        </w:rPr>
        <w:t xml:space="preserve"> </w:t>
      </w:r>
      <w:r w:rsidRPr="00283806">
        <w:rPr>
          <w:w w:val="105"/>
        </w:rPr>
        <w:t>more stringent than the recycling requirements under the RCRA 40 CFR 261.6, recyclable materials rules, and help ensure that ignitable spent refrigerants are legitimately recycled for reuse, as well as address the</w:t>
      </w:r>
      <w:r w:rsidRPr="00283806">
        <w:rPr>
          <w:spacing w:val="40"/>
          <w:w w:val="105"/>
        </w:rPr>
        <w:t xml:space="preserve"> </w:t>
      </w:r>
      <w:r w:rsidRPr="00283806">
        <w:rPr>
          <w:w w:val="105"/>
        </w:rPr>
        <w:t>flammability risks posed by ignitable spent refrigerants.</w:t>
      </w:r>
    </w:p>
    <w:p w14:paraId="246865F6" w14:textId="77777777" w:rsidR="00D67C1E" w:rsidRPr="00283806" w:rsidRDefault="001265CA">
      <w:pPr>
        <w:pStyle w:val="BodyText"/>
        <w:spacing w:line="177" w:lineRule="exact"/>
        <w:ind w:left="0" w:right="186"/>
        <w:jc w:val="right"/>
      </w:pPr>
      <w:r w:rsidRPr="00283806">
        <w:rPr>
          <w:w w:val="105"/>
        </w:rPr>
        <w:t>For</w:t>
      </w:r>
      <w:r w:rsidRPr="00283806">
        <w:rPr>
          <w:spacing w:val="8"/>
          <w:w w:val="105"/>
        </w:rPr>
        <w:t xml:space="preserve"> </w:t>
      </w:r>
      <w:r w:rsidRPr="00283806">
        <w:rPr>
          <w:w w:val="105"/>
        </w:rPr>
        <w:t>the</w:t>
      </w:r>
      <w:r w:rsidRPr="00283806">
        <w:rPr>
          <w:spacing w:val="8"/>
          <w:w w:val="105"/>
        </w:rPr>
        <w:t xml:space="preserve"> </w:t>
      </w:r>
      <w:r w:rsidRPr="00283806">
        <w:rPr>
          <w:w w:val="105"/>
        </w:rPr>
        <w:t>reasons</w:t>
      </w:r>
      <w:r w:rsidRPr="00283806">
        <w:rPr>
          <w:spacing w:val="8"/>
          <w:w w:val="105"/>
        </w:rPr>
        <w:t xml:space="preserve"> </w:t>
      </w:r>
      <w:r w:rsidRPr="00283806">
        <w:rPr>
          <w:w w:val="105"/>
        </w:rPr>
        <w:t>stated</w:t>
      </w:r>
      <w:r w:rsidRPr="00283806">
        <w:rPr>
          <w:spacing w:val="8"/>
          <w:w w:val="105"/>
        </w:rPr>
        <w:t xml:space="preserve"> </w:t>
      </w:r>
      <w:r w:rsidRPr="00283806">
        <w:rPr>
          <w:w w:val="105"/>
        </w:rPr>
        <w:t>above,</w:t>
      </w:r>
      <w:r w:rsidRPr="00283806">
        <w:rPr>
          <w:spacing w:val="8"/>
          <w:w w:val="105"/>
        </w:rPr>
        <w:t xml:space="preserve"> </w:t>
      </w:r>
      <w:r w:rsidRPr="00283806">
        <w:rPr>
          <w:w w:val="105"/>
        </w:rPr>
        <w:t>EPA</w:t>
      </w:r>
      <w:r w:rsidRPr="00283806">
        <w:rPr>
          <w:spacing w:val="8"/>
          <w:w w:val="105"/>
        </w:rPr>
        <w:t xml:space="preserve"> </w:t>
      </w:r>
      <w:r w:rsidRPr="00283806">
        <w:rPr>
          <w:spacing w:val="-5"/>
          <w:w w:val="105"/>
        </w:rPr>
        <w:t>is</w:t>
      </w:r>
    </w:p>
    <w:p w14:paraId="541C649C" w14:textId="77777777" w:rsidR="00D67C1E" w:rsidRPr="00283806" w:rsidRDefault="001265CA">
      <w:pPr>
        <w:pStyle w:val="BodyText"/>
        <w:spacing w:line="194" w:lineRule="exact"/>
        <w:ind w:left="0" w:right="135"/>
        <w:jc w:val="right"/>
      </w:pPr>
      <w:r w:rsidRPr="00283806">
        <w:rPr>
          <w:w w:val="105"/>
        </w:rPr>
        <w:t>finalizing</w:t>
      </w:r>
      <w:r w:rsidRPr="00283806">
        <w:rPr>
          <w:spacing w:val="16"/>
          <w:w w:val="105"/>
        </w:rPr>
        <w:t xml:space="preserve"> </w:t>
      </w:r>
      <w:r w:rsidRPr="00283806">
        <w:rPr>
          <w:w w:val="105"/>
        </w:rPr>
        <w:t>standards</w:t>
      </w:r>
      <w:r w:rsidRPr="00283806">
        <w:rPr>
          <w:spacing w:val="17"/>
          <w:w w:val="105"/>
        </w:rPr>
        <w:t xml:space="preserve"> </w:t>
      </w:r>
      <w:r w:rsidRPr="00283806">
        <w:rPr>
          <w:w w:val="105"/>
        </w:rPr>
        <w:t>under</w:t>
      </w:r>
      <w:r w:rsidRPr="00283806">
        <w:rPr>
          <w:spacing w:val="16"/>
          <w:w w:val="105"/>
        </w:rPr>
        <w:t xml:space="preserve"> </w:t>
      </w:r>
      <w:r w:rsidRPr="00283806">
        <w:rPr>
          <w:w w:val="105"/>
        </w:rPr>
        <w:t>40</w:t>
      </w:r>
      <w:r w:rsidRPr="00283806">
        <w:rPr>
          <w:spacing w:val="17"/>
          <w:w w:val="105"/>
        </w:rPr>
        <w:t xml:space="preserve"> </w:t>
      </w:r>
      <w:r w:rsidRPr="00283806">
        <w:rPr>
          <w:w w:val="105"/>
        </w:rPr>
        <w:t>CFR</w:t>
      </w:r>
      <w:r w:rsidRPr="00283806">
        <w:rPr>
          <w:spacing w:val="16"/>
          <w:w w:val="105"/>
        </w:rPr>
        <w:t xml:space="preserve"> </w:t>
      </w:r>
      <w:r w:rsidRPr="00283806">
        <w:rPr>
          <w:spacing w:val="-4"/>
          <w:w w:val="105"/>
        </w:rPr>
        <w:t>part</w:t>
      </w:r>
    </w:p>
    <w:p w14:paraId="604C9122" w14:textId="77777777" w:rsidR="00D67C1E" w:rsidRPr="00283806" w:rsidRDefault="001265CA">
      <w:pPr>
        <w:pStyle w:val="BodyText"/>
        <w:spacing w:before="136" w:line="225" w:lineRule="auto"/>
        <w:ind w:left="156" w:right="212"/>
      </w:pPr>
      <w:r w:rsidRPr="00283806">
        <w:br w:type="column"/>
      </w:r>
      <w:r w:rsidRPr="00283806">
        <w:rPr>
          <w:w w:val="105"/>
        </w:rPr>
        <w:t>during the service, repair, and disposal of appliances.</w:t>
      </w:r>
    </w:p>
    <w:p w14:paraId="7468A4BB" w14:textId="77777777" w:rsidR="00D67C1E" w:rsidRPr="00283806" w:rsidRDefault="001265CA">
      <w:pPr>
        <w:pStyle w:val="BodyText"/>
        <w:spacing w:line="179" w:lineRule="exact"/>
        <w:ind w:left="336"/>
      </w:pPr>
      <w:r w:rsidRPr="00283806">
        <w:rPr>
          <w:w w:val="105"/>
        </w:rPr>
        <w:t>EPA</w:t>
      </w:r>
      <w:r w:rsidRPr="00283806">
        <w:rPr>
          <w:spacing w:val="11"/>
          <w:w w:val="105"/>
        </w:rPr>
        <w:t xml:space="preserve"> </w:t>
      </w:r>
      <w:r w:rsidRPr="00283806">
        <w:rPr>
          <w:w w:val="105"/>
        </w:rPr>
        <w:t>proposed</w:t>
      </w:r>
      <w:r w:rsidRPr="00283806">
        <w:rPr>
          <w:spacing w:val="11"/>
          <w:w w:val="105"/>
        </w:rPr>
        <w:t xml:space="preserve"> </w:t>
      </w:r>
      <w:r w:rsidRPr="00283806">
        <w:rPr>
          <w:w w:val="105"/>
        </w:rPr>
        <w:t>that</w:t>
      </w:r>
      <w:r w:rsidRPr="00283806">
        <w:rPr>
          <w:spacing w:val="11"/>
          <w:w w:val="105"/>
        </w:rPr>
        <w:t xml:space="preserve"> </w:t>
      </w:r>
      <w:r w:rsidRPr="00283806">
        <w:rPr>
          <w:w w:val="105"/>
        </w:rPr>
        <w:t>40</w:t>
      </w:r>
      <w:r w:rsidRPr="00283806">
        <w:rPr>
          <w:spacing w:val="11"/>
          <w:w w:val="105"/>
        </w:rPr>
        <w:t xml:space="preserve"> </w:t>
      </w:r>
      <w:r w:rsidRPr="00283806">
        <w:rPr>
          <w:w w:val="105"/>
        </w:rPr>
        <w:t>CFR</w:t>
      </w:r>
      <w:r w:rsidRPr="00283806">
        <w:rPr>
          <w:spacing w:val="11"/>
          <w:w w:val="105"/>
        </w:rPr>
        <w:t xml:space="preserve"> </w:t>
      </w:r>
      <w:r w:rsidRPr="00283806">
        <w:rPr>
          <w:w w:val="105"/>
        </w:rPr>
        <w:t>part</w:t>
      </w:r>
      <w:r w:rsidRPr="00283806">
        <w:rPr>
          <w:spacing w:val="11"/>
          <w:w w:val="105"/>
        </w:rPr>
        <w:t xml:space="preserve"> </w:t>
      </w:r>
      <w:r w:rsidRPr="00283806">
        <w:rPr>
          <w:spacing w:val="-4"/>
          <w:w w:val="105"/>
        </w:rPr>
        <w:t>266,</w:t>
      </w:r>
    </w:p>
    <w:p w14:paraId="6D84A2E6" w14:textId="77777777" w:rsidR="00D67C1E" w:rsidRPr="00283806" w:rsidRDefault="001265CA">
      <w:pPr>
        <w:pStyle w:val="BodyText"/>
        <w:spacing w:before="3" w:line="225" w:lineRule="auto"/>
        <w:ind w:left="156" w:right="131"/>
      </w:pPr>
      <w:r w:rsidRPr="00283806">
        <w:rPr>
          <w:w w:val="105"/>
        </w:rPr>
        <w:t>subpart Q, RCRA alternative standards would apply to HFCs and substitutes</w:t>
      </w:r>
      <w:r w:rsidRPr="00283806">
        <w:rPr>
          <w:spacing w:val="80"/>
          <w:w w:val="150"/>
        </w:rPr>
        <w:t xml:space="preserve"> </w:t>
      </w:r>
      <w:r w:rsidRPr="00283806">
        <w:rPr>
          <w:w w:val="105"/>
        </w:rPr>
        <w:t xml:space="preserve">that </w:t>
      </w:r>
      <w:proofErr w:type="gramStart"/>
      <w:r w:rsidRPr="00283806">
        <w:rPr>
          <w:w w:val="105"/>
        </w:rPr>
        <w:t>are</w:t>
      </w:r>
      <w:proofErr w:type="gramEnd"/>
      <w:r w:rsidRPr="00283806">
        <w:rPr>
          <w:w w:val="105"/>
        </w:rPr>
        <w:t xml:space="preserve"> lower flammability (</w:t>
      </w:r>
      <w:r w:rsidRPr="00283806">
        <w:rPr>
          <w:rFonts w:ascii="Book Antiqua"/>
          <w:i/>
          <w:w w:val="105"/>
        </w:rPr>
        <w:t xml:space="preserve">i.e., </w:t>
      </w:r>
      <w:r w:rsidRPr="00283806">
        <w:rPr>
          <w:w w:val="105"/>
        </w:rPr>
        <w:t>that do not belong to flammability Class 3). In this final action, consistent with the proposal, EPA is keeping the</w:t>
      </w:r>
      <w:r w:rsidRPr="00283806">
        <w:rPr>
          <w:spacing w:val="80"/>
          <w:w w:val="105"/>
        </w:rPr>
        <w:t xml:space="preserve"> </w:t>
      </w:r>
      <w:r w:rsidRPr="00283806">
        <w:rPr>
          <w:w w:val="105"/>
        </w:rPr>
        <w:t>applicability of the alternative standards to the lower flammability substitutes because of the lower risk of fire from the collection and recycling for reuse of</w:t>
      </w:r>
      <w:r w:rsidRPr="00283806">
        <w:rPr>
          <w:spacing w:val="80"/>
          <w:w w:val="105"/>
        </w:rPr>
        <w:t xml:space="preserve"> </w:t>
      </w:r>
      <w:r w:rsidRPr="00283806">
        <w:rPr>
          <w:w w:val="105"/>
        </w:rPr>
        <w:t>these refrigerants, and the greater</w:t>
      </w:r>
      <w:r w:rsidRPr="00283806">
        <w:rPr>
          <w:spacing w:val="40"/>
          <w:w w:val="105"/>
        </w:rPr>
        <w:t xml:space="preserve"> </w:t>
      </w:r>
      <w:r w:rsidRPr="00283806">
        <w:rPr>
          <w:w w:val="105"/>
        </w:rPr>
        <w:t>market value of these refrigerants,</w:t>
      </w:r>
      <w:r w:rsidRPr="00283806">
        <w:rPr>
          <w:spacing w:val="80"/>
          <w:w w:val="105"/>
        </w:rPr>
        <w:t xml:space="preserve"> </w:t>
      </w:r>
      <w:r w:rsidRPr="00283806">
        <w:rPr>
          <w:w w:val="105"/>
        </w:rPr>
        <w:t>which supports the conclusion that</w:t>
      </w:r>
      <w:r w:rsidRPr="00283806">
        <w:rPr>
          <w:spacing w:val="80"/>
          <w:w w:val="150"/>
        </w:rPr>
        <w:t xml:space="preserve"> </w:t>
      </w:r>
      <w:r w:rsidRPr="00283806">
        <w:rPr>
          <w:w w:val="105"/>
        </w:rPr>
        <w:t>these spent refrigerants will be recycled for reuse and not stockpiled, mismanaged, or abandoned. In the context of hazardous secondary</w:t>
      </w:r>
      <w:r w:rsidRPr="00283806">
        <w:rPr>
          <w:spacing w:val="40"/>
          <w:w w:val="105"/>
        </w:rPr>
        <w:t xml:space="preserve"> </w:t>
      </w:r>
      <w:r w:rsidRPr="00283806">
        <w:rPr>
          <w:w w:val="105"/>
        </w:rPr>
        <w:t>materials</w:t>
      </w:r>
      <w:r w:rsidRPr="00283806">
        <w:rPr>
          <w:spacing w:val="40"/>
          <w:w w:val="105"/>
        </w:rPr>
        <w:t xml:space="preserve"> </w:t>
      </w:r>
      <w:r w:rsidRPr="00283806">
        <w:rPr>
          <w:w w:val="105"/>
        </w:rPr>
        <w:t>recycled</w:t>
      </w:r>
      <w:r w:rsidRPr="00283806">
        <w:rPr>
          <w:spacing w:val="40"/>
          <w:w w:val="105"/>
        </w:rPr>
        <w:t xml:space="preserve"> </w:t>
      </w:r>
      <w:r w:rsidRPr="00283806">
        <w:rPr>
          <w:w w:val="105"/>
        </w:rPr>
        <w:t>under</w:t>
      </w:r>
      <w:r w:rsidRPr="00283806">
        <w:rPr>
          <w:spacing w:val="40"/>
          <w:w w:val="105"/>
        </w:rPr>
        <w:t xml:space="preserve"> </w:t>
      </w:r>
      <w:r w:rsidRPr="00283806">
        <w:rPr>
          <w:w w:val="105"/>
        </w:rPr>
        <w:t>RCRA,</w:t>
      </w:r>
      <w:r w:rsidRPr="00283806">
        <w:rPr>
          <w:spacing w:val="40"/>
          <w:w w:val="105"/>
        </w:rPr>
        <w:t xml:space="preserve"> </w:t>
      </w:r>
      <w:r w:rsidRPr="00283806">
        <w:rPr>
          <w:w w:val="105"/>
        </w:rPr>
        <w:t>EPA has found that a low market value for</w:t>
      </w:r>
    </w:p>
    <w:p w14:paraId="146A5342" w14:textId="77777777" w:rsidR="00D67C1E" w:rsidRPr="00283806" w:rsidRDefault="001265CA">
      <w:pPr>
        <w:pStyle w:val="BodyText"/>
        <w:spacing w:line="177" w:lineRule="exact"/>
        <w:ind w:left="156"/>
      </w:pPr>
      <w:r w:rsidRPr="00283806">
        <w:rPr>
          <w:w w:val="105"/>
        </w:rPr>
        <w:t>a</w:t>
      </w:r>
      <w:r w:rsidRPr="00283806">
        <w:rPr>
          <w:spacing w:val="12"/>
          <w:w w:val="105"/>
        </w:rPr>
        <w:t xml:space="preserve"> </w:t>
      </w:r>
      <w:r w:rsidRPr="00283806">
        <w:rPr>
          <w:w w:val="105"/>
        </w:rPr>
        <w:t>reclaimed</w:t>
      </w:r>
      <w:r w:rsidRPr="00283806">
        <w:rPr>
          <w:spacing w:val="12"/>
          <w:w w:val="105"/>
        </w:rPr>
        <w:t xml:space="preserve"> </w:t>
      </w:r>
      <w:r w:rsidRPr="00283806">
        <w:rPr>
          <w:w w:val="105"/>
        </w:rPr>
        <w:t>product</w:t>
      </w:r>
      <w:r w:rsidRPr="00283806">
        <w:rPr>
          <w:spacing w:val="13"/>
          <w:w w:val="105"/>
        </w:rPr>
        <w:t xml:space="preserve"> </w:t>
      </w:r>
      <w:r w:rsidRPr="00283806">
        <w:rPr>
          <w:w w:val="105"/>
        </w:rPr>
        <w:t>can</w:t>
      </w:r>
      <w:r w:rsidRPr="00283806">
        <w:rPr>
          <w:spacing w:val="12"/>
          <w:w w:val="105"/>
        </w:rPr>
        <w:t xml:space="preserve"> </w:t>
      </w:r>
      <w:r w:rsidRPr="00283806">
        <w:rPr>
          <w:w w:val="105"/>
        </w:rPr>
        <w:t>increase</w:t>
      </w:r>
      <w:r w:rsidRPr="00283806">
        <w:rPr>
          <w:spacing w:val="12"/>
          <w:w w:val="105"/>
        </w:rPr>
        <w:t xml:space="preserve"> </w:t>
      </w:r>
      <w:r w:rsidRPr="00283806">
        <w:rPr>
          <w:spacing w:val="-5"/>
          <w:w w:val="105"/>
        </w:rPr>
        <w:t>the</w:t>
      </w:r>
    </w:p>
    <w:p w14:paraId="4E08CEA3" w14:textId="77777777" w:rsidR="00D67C1E" w:rsidRPr="00283806" w:rsidRDefault="001265CA">
      <w:pPr>
        <w:pStyle w:val="BodyText"/>
        <w:spacing w:before="4" w:line="225" w:lineRule="auto"/>
        <w:ind w:left="156" w:right="212"/>
        <w:rPr>
          <w:sz w:val="11"/>
        </w:rPr>
      </w:pPr>
      <w:r w:rsidRPr="00283806">
        <w:rPr>
          <w:w w:val="105"/>
        </w:rPr>
        <w:t>likelihood of mismanagement and abandonment occurring during hazardous</w:t>
      </w:r>
      <w:r w:rsidRPr="00283806">
        <w:rPr>
          <w:spacing w:val="11"/>
          <w:w w:val="105"/>
        </w:rPr>
        <w:t xml:space="preserve"> </w:t>
      </w:r>
      <w:r w:rsidRPr="00283806">
        <w:rPr>
          <w:w w:val="105"/>
        </w:rPr>
        <w:t>waste</w:t>
      </w:r>
      <w:r w:rsidRPr="00283806">
        <w:rPr>
          <w:spacing w:val="11"/>
          <w:w w:val="105"/>
        </w:rPr>
        <w:t xml:space="preserve"> </w:t>
      </w:r>
      <w:r w:rsidRPr="00283806">
        <w:rPr>
          <w:w w:val="105"/>
        </w:rPr>
        <w:t>recycling</w:t>
      </w:r>
      <w:r w:rsidRPr="00283806">
        <w:rPr>
          <w:spacing w:val="10"/>
          <w:w w:val="105"/>
        </w:rPr>
        <w:t xml:space="preserve"> </w:t>
      </w:r>
      <w:r w:rsidRPr="00283806">
        <w:rPr>
          <w:spacing w:val="-2"/>
          <w:w w:val="105"/>
        </w:rPr>
        <w:t>activities.</w:t>
      </w:r>
      <w:r w:rsidRPr="00283806">
        <w:rPr>
          <w:spacing w:val="-2"/>
          <w:w w:val="105"/>
          <w:position w:val="5"/>
          <w:sz w:val="11"/>
        </w:rPr>
        <w:t>145</w:t>
      </w:r>
    </w:p>
    <w:p w14:paraId="42EC1DE1" w14:textId="77777777" w:rsidR="00D67C1E" w:rsidRPr="00283806" w:rsidRDefault="001265CA">
      <w:pPr>
        <w:pStyle w:val="BodyText"/>
        <w:spacing w:line="179" w:lineRule="exact"/>
        <w:ind w:left="336"/>
      </w:pPr>
      <w:r w:rsidRPr="00283806">
        <w:rPr>
          <w:w w:val="105"/>
        </w:rPr>
        <w:t>Lower</w:t>
      </w:r>
      <w:r w:rsidRPr="00283806">
        <w:rPr>
          <w:spacing w:val="16"/>
          <w:w w:val="105"/>
        </w:rPr>
        <w:t xml:space="preserve"> </w:t>
      </w:r>
      <w:r w:rsidRPr="00283806">
        <w:rPr>
          <w:w w:val="105"/>
        </w:rPr>
        <w:t>flammability</w:t>
      </w:r>
      <w:r w:rsidRPr="00283806">
        <w:rPr>
          <w:spacing w:val="17"/>
          <w:w w:val="105"/>
        </w:rPr>
        <w:t xml:space="preserve"> </w:t>
      </w:r>
      <w:r w:rsidRPr="00283806">
        <w:rPr>
          <w:w w:val="105"/>
        </w:rPr>
        <w:t>spent</w:t>
      </w:r>
      <w:r w:rsidRPr="00283806">
        <w:rPr>
          <w:spacing w:val="17"/>
          <w:w w:val="105"/>
        </w:rPr>
        <w:t xml:space="preserve"> </w:t>
      </w:r>
      <w:r w:rsidRPr="00283806">
        <w:rPr>
          <w:spacing w:val="-2"/>
          <w:w w:val="105"/>
        </w:rPr>
        <w:t>refrigerant</w:t>
      </w:r>
    </w:p>
    <w:p w14:paraId="77431255" w14:textId="77777777" w:rsidR="00D67C1E" w:rsidRPr="00283806" w:rsidRDefault="001265CA">
      <w:pPr>
        <w:pStyle w:val="BodyText"/>
        <w:spacing w:before="4" w:line="225" w:lineRule="auto"/>
        <w:ind w:left="156" w:right="201"/>
      </w:pPr>
      <w:r w:rsidRPr="00283806">
        <w:rPr>
          <w:w w:val="105"/>
        </w:rPr>
        <w:t xml:space="preserve">means a spent refrigerant that is not considered highly flammable. Highly flammable </w:t>
      </w:r>
      <w:proofErr w:type="gramStart"/>
      <w:r w:rsidRPr="00283806">
        <w:rPr>
          <w:w w:val="105"/>
        </w:rPr>
        <w:t>refrigerants</w:t>
      </w:r>
      <w:proofErr w:type="gramEnd"/>
      <w:r w:rsidRPr="00283806">
        <w:rPr>
          <w:w w:val="105"/>
        </w:rPr>
        <w:t xml:space="preserve"> </w:t>
      </w:r>
      <w:proofErr w:type="gramStart"/>
      <w:r w:rsidRPr="00283806">
        <w:rPr>
          <w:w w:val="105"/>
        </w:rPr>
        <w:t>include, but</w:t>
      </w:r>
      <w:proofErr w:type="gramEnd"/>
      <w:r w:rsidRPr="00283806">
        <w:rPr>
          <w:w w:val="105"/>
        </w:rPr>
        <w:t xml:space="preserve"> are not limited to the following chemicals: butane, isobutane, methane, propane, and/or propylene. EPA did not receive comments on the proposed definition of ‘‘lower flammability spent </w:t>
      </w:r>
      <w:proofErr w:type="gramStart"/>
      <w:r w:rsidRPr="00283806">
        <w:rPr>
          <w:w w:val="105"/>
        </w:rPr>
        <w:t>refrigerant.’</w:t>
      </w:r>
      <w:proofErr w:type="gramEnd"/>
      <w:r w:rsidRPr="00283806">
        <w:rPr>
          <w:w w:val="105"/>
        </w:rPr>
        <w:t xml:space="preserve">’ However, the Agency is modifying the definition in this final rule to provide examples of </w:t>
      </w:r>
      <w:proofErr w:type="gramStart"/>
      <w:r w:rsidRPr="00283806">
        <w:rPr>
          <w:w w:val="105"/>
        </w:rPr>
        <w:t>refrigerants</w:t>
      </w:r>
      <w:proofErr w:type="gramEnd"/>
      <w:r w:rsidRPr="00283806">
        <w:rPr>
          <w:w w:val="105"/>
        </w:rPr>
        <w:t xml:space="preserve"> that are considered highly flammable.</w:t>
      </w:r>
    </w:p>
    <w:p w14:paraId="63233FA9" w14:textId="77777777" w:rsidR="00D67C1E" w:rsidRPr="00283806" w:rsidRDefault="001265CA">
      <w:pPr>
        <w:pStyle w:val="ListParagraph"/>
        <w:numPr>
          <w:ilvl w:val="0"/>
          <w:numId w:val="45"/>
        </w:numPr>
        <w:tabs>
          <w:tab w:val="left" w:pos="344"/>
        </w:tabs>
        <w:spacing w:before="92" w:line="228" w:lineRule="auto"/>
        <w:ind w:right="311" w:firstLine="0"/>
        <w:rPr>
          <w:sz w:val="18"/>
        </w:rPr>
      </w:pPr>
      <w:r w:rsidRPr="00283806">
        <w:rPr>
          <w:w w:val="105"/>
          <w:sz w:val="18"/>
        </w:rPr>
        <w:t>Comments on the RCRA Alternative Standards and Changes Made in Response to Comments</w:t>
      </w:r>
    </w:p>
    <w:p w14:paraId="5A4E2F1A" w14:textId="77777777" w:rsidR="00D67C1E" w:rsidRPr="00283806" w:rsidRDefault="001265CA">
      <w:pPr>
        <w:pStyle w:val="BodyText"/>
        <w:spacing w:before="62" w:line="228" w:lineRule="auto"/>
        <w:ind w:left="156" w:right="201" w:firstLine="180"/>
      </w:pPr>
      <w:r w:rsidRPr="00283806">
        <w:rPr>
          <w:w w:val="105"/>
        </w:rPr>
        <w:t>EPA received 17 public comments on the proposed RCRA alternative</w:t>
      </w:r>
      <w:r w:rsidRPr="00283806">
        <w:rPr>
          <w:spacing w:val="40"/>
          <w:w w:val="105"/>
        </w:rPr>
        <w:t xml:space="preserve"> </w:t>
      </w:r>
      <w:r w:rsidRPr="00283806">
        <w:rPr>
          <w:w w:val="105"/>
        </w:rPr>
        <w:t>standards. All comments were</w:t>
      </w:r>
      <w:r w:rsidRPr="00283806">
        <w:rPr>
          <w:spacing w:val="40"/>
          <w:w w:val="105"/>
        </w:rPr>
        <w:t xml:space="preserve"> </w:t>
      </w:r>
      <w:r w:rsidRPr="00283806">
        <w:rPr>
          <w:w w:val="105"/>
        </w:rPr>
        <w:t>supportive of EPA finalizing alternative standards that are specifically designed for ignitable spent refrigerant being recycled for reuse instead of imposing</w:t>
      </w:r>
      <w:r w:rsidRPr="00283806">
        <w:rPr>
          <w:spacing w:val="40"/>
          <w:w w:val="105"/>
        </w:rPr>
        <w:t xml:space="preserve"> </w:t>
      </w:r>
      <w:r w:rsidRPr="00283806">
        <w:rPr>
          <w:w w:val="105"/>
        </w:rPr>
        <w:t>the standard RCRA Subtitle C hazardous waste requirements on these waste streams. Accordingly, EPA is finalizing these standards largely as proposed.</w:t>
      </w:r>
    </w:p>
    <w:p w14:paraId="0471EA31" w14:textId="77777777" w:rsidR="00D67C1E" w:rsidRPr="00283806" w:rsidRDefault="001265CA">
      <w:pPr>
        <w:pStyle w:val="BodyText"/>
        <w:spacing w:line="175" w:lineRule="exact"/>
        <w:ind w:left="336"/>
      </w:pPr>
      <w:r w:rsidRPr="00283806">
        <w:rPr>
          <w:w w:val="105"/>
        </w:rPr>
        <w:t>However,</w:t>
      </w:r>
      <w:r w:rsidRPr="00283806">
        <w:rPr>
          <w:spacing w:val="12"/>
          <w:w w:val="105"/>
        </w:rPr>
        <w:t xml:space="preserve"> </w:t>
      </w:r>
      <w:r w:rsidRPr="00283806">
        <w:rPr>
          <w:w w:val="105"/>
        </w:rPr>
        <w:t>several</w:t>
      </w:r>
      <w:r w:rsidRPr="00283806">
        <w:rPr>
          <w:spacing w:val="13"/>
          <w:w w:val="105"/>
        </w:rPr>
        <w:t xml:space="preserve"> </w:t>
      </w:r>
      <w:r w:rsidRPr="00283806">
        <w:rPr>
          <w:w w:val="105"/>
        </w:rPr>
        <w:t>comments</w:t>
      </w:r>
      <w:r w:rsidRPr="00283806">
        <w:rPr>
          <w:spacing w:val="13"/>
          <w:w w:val="105"/>
        </w:rPr>
        <w:t xml:space="preserve"> </w:t>
      </w:r>
      <w:r w:rsidRPr="00283806">
        <w:rPr>
          <w:spacing w:val="-2"/>
          <w:w w:val="105"/>
        </w:rPr>
        <w:t>raised</w:t>
      </w:r>
    </w:p>
    <w:p w14:paraId="213202F0" w14:textId="77777777" w:rsidR="00D67C1E" w:rsidRPr="00283806" w:rsidRDefault="001265CA">
      <w:pPr>
        <w:pStyle w:val="BodyText"/>
        <w:spacing w:line="228" w:lineRule="auto"/>
        <w:ind w:left="156" w:right="138"/>
      </w:pPr>
      <w:r w:rsidRPr="00283806">
        <w:rPr>
          <w:w w:val="105"/>
        </w:rPr>
        <w:t>concerns regarding applying the speculative accumulation limit to</w:t>
      </w:r>
      <w:r w:rsidRPr="00283806">
        <w:rPr>
          <w:spacing w:val="80"/>
          <w:w w:val="105"/>
        </w:rPr>
        <w:t xml:space="preserve"> </w:t>
      </w:r>
      <w:r w:rsidRPr="00283806">
        <w:rPr>
          <w:w w:val="105"/>
        </w:rPr>
        <w:t>storage of ignitable spent refrigerants at reclamation</w:t>
      </w:r>
      <w:r w:rsidRPr="00283806">
        <w:rPr>
          <w:spacing w:val="31"/>
          <w:w w:val="105"/>
        </w:rPr>
        <w:t xml:space="preserve"> </w:t>
      </w:r>
      <w:r w:rsidRPr="00283806">
        <w:rPr>
          <w:w w:val="105"/>
        </w:rPr>
        <w:t>facilities.</w:t>
      </w:r>
      <w:r w:rsidRPr="00283806">
        <w:rPr>
          <w:w w:val="105"/>
          <w:position w:val="5"/>
          <w:sz w:val="11"/>
        </w:rPr>
        <w:t>146</w:t>
      </w:r>
      <w:r w:rsidRPr="00283806">
        <w:rPr>
          <w:spacing w:val="47"/>
          <w:w w:val="105"/>
          <w:position w:val="5"/>
          <w:sz w:val="11"/>
        </w:rPr>
        <w:t xml:space="preserve"> </w:t>
      </w:r>
      <w:r w:rsidRPr="00283806">
        <w:rPr>
          <w:w w:val="105"/>
        </w:rPr>
        <w:t>As</w:t>
      </w:r>
      <w:r w:rsidRPr="00283806">
        <w:rPr>
          <w:spacing w:val="31"/>
          <w:w w:val="105"/>
        </w:rPr>
        <w:t xml:space="preserve"> </w:t>
      </w:r>
      <w:r w:rsidRPr="00283806">
        <w:rPr>
          <w:w w:val="105"/>
        </w:rPr>
        <w:t>noted</w:t>
      </w:r>
      <w:r w:rsidRPr="00283806">
        <w:rPr>
          <w:spacing w:val="31"/>
          <w:w w:val="105"/>
        </w:rPr>
        <w:t xml:space="preserve"> </w:t>
      </w:r>
      <w:r w:rsidRPr="00283806">
        <w:rPr>
          <w:w w:val="105"/>
        </w:rPr>
        <w:t>in</w:t>
      </w:r>
      <w:r w:rsidRPr="00283806">
        <w:rPr>
          <w:spacing w:val="31"/>
          <w:w w:val="105"/>
        </w:rPr>
        <w:t xml:space="preserve"> </w:t>
      </w:r>
      <w:r w:rsidRPr="00283806">
        <w:rPr>
          <w:spacing w:val="-5"/>
          <w:w w:val="105"/>
        </w:rPr>
        <w:t>the</w:t>
      </w:r>
    </w:p>
    <w:p w14:paraId="16A78051"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477" w:space="64"/>
            <w:col w:w="3504" w:space="39"/>
            <w:col w:w="3636"/>
          </w:cols>
        </w:sectPr>
      </w:pPr>
    </w:p>
    <w:p w14:paraId="32F24FB6" w14:textId="77777777" w:rsidR="00D67C1E" w:rsidRPr="00283806" w:rsidRDefault="001265CA">
      <w:pPr>
        <w:spacing w:before="21" w:line="156" w:lineRule="exact"/>
        <w:ind w:left="300"/>
        <w:rPr>
          <w:rFonts w:ascii="Book Antiqua"/>
          <w:i/>
          <w:sz w:val="14"/>
        </w:rPr>
      </w:pPr>
      <w:r w:rsidRPr="00283806">
        <w:rPr>
          <w:w w:val="115"/>
          <w:position w:val="4"/>
          <w:sz w:val="9"/>
        </w:rPr>
        <w:t>142</w:t>
      </w:r>
      <w:r w:rsidRPr="00283806">
        <w:rPr>
          <w:spacing w:val="-4"/>
          <w:w w:val="115"/>
          <w:position w:val="4"/>
          <w:sz w:val="9"/>
        </w:rPr>
        <w:t xml:space="preserve"> </w:t>
      </w:r>
      <w:r w:rsidRPr="00283806">
        <w:rPr>
          <w:w w:val="115"/>
          <w:sz w:val="14"/>
        </w:rPr>
        <w:t>ASHRAE</w:t>
      </w:r>
      <w:r w:rsidRPr="00283806">
        <w:rPr>
          <w:spacing w:val="-3"/>
          <w:w w:val="115"/>
          <w:sz w:val="14"/>
        </w:rPr>
        <w:t xml:space="preserve"> </w:t>
      </w:r>
      <w:r w:rsidRPr="00283806">
        <w:rPr>
          <w:w w:val="115"/>
          <w:sz w:val="14"/>
        </w:rPr>
        <w:t>Fact</w:t>
      </w:r>
      <w:r w:rsidRPr="00283806">
        <w:rPr>
          <w:spacing w:val="-3"/>
          <w:w w:val="115"/>
          <w:sz w:val="14"/>
        </w:rPr>
        <w:t xml:space="preserve"> </w:t>
      </w:r>
      <w:r w:rsidRPr="00283806">
        <w:rPr>
          <w:w w:val="115"/>
          <w:sz w:val="14"/>
        </w:rPr>
        <w:t>Sheet</w:t>
      </w:r>
      <w:r w:rsidRPr="00283806">
        <w:rPr>
          <w:spacing w:val="-2"/>
          <w:w w:val="115"/>
          <w:sz w:val="14"/>
        </w:rPr>
        <w:t xml:space="preserve"> </w:t>
      </w:r>
      <w:r w:rsidRPr="00283806">
        <w:rPr>
          <w:rFonts w:ascii="Book Antiqua"/>
          <w:i/>
          <w:w w:val="115"/>
          <w:sz w:val="14"/>
        </w:rPr>
        <w:t>Update</w:t>
      </w:r>
      <w:r w:rsidRPr="00283806">
        <w:rPr>
          <w:rFonts w:ascii="Book Antiqua"/>
          <w:i/>
          <w:spacing w:val="-7"/>
          <w:w w:val="115"/>
          <w:sz w:val="14"/>
        </w:rPr>
        <w:t xml:space="preserve"> </w:t>
      </w:r>
      <w:r w:rsidRPr="00283806">
        <w:rPr>
          <w:rFonts w:ascii="Book Antiqua"/>
          <w:i/>
          <w:w w:val="115"/>
          <w:sz w:val="14"/>
        </w:rPr>
        <w:t>on</w:t>
      </w:r>
      <w:r w:rsidRPr="00283806">
        <w:rPr>
          <w:rFonts w:ascii="Book Antiqua"/>
          <w:i/>
          <w:spacing w:val="-8"/>
          <w:w w:val="115"/>
          <w:sz w:val="14"/>
        </w:rPr>
        <w:t xml:space="preserve"> </w:t>
      </w:r>
      <w:r w:rsidRPr="00283806">
        <w:rPr>
          <w:rFonts w:ascii="Book Antiqua"/>
          <w:i/>
          <w:spacing w:val="-5"/>
          <w:w w:val="115"/>
          <w:sz w:val="14"/>
        </w:rPr>
        <w:t>New</w:t>
      </w:r>
    </w:p>
    <w:p w14:paraId="14E8BA02" w14:textId="77777777" w:rsidR="00D67C1E" w:rsidRPr="00283806" w:rsidRDefault="001265CA">
      <w:pPr>
        <w:pStyle w:val="BodyText"/>
        <w:tabs>
          <w:tab w:val="left" w:pos="3839"/>
          <w:tab w:val="left" w:pos="4839"/>
        </w:tabs>
        <w:spacing w:line="177" w:lineRule="exact"/>
        <w:ind w:left="300"/>
      </w:pPr>
      <w:r w:rsidRPr="00283806">
        <w:br w:type="column"/>
      </w:r>
      <w:r w:rsidRPr="00283806">
        <w:rPr>
          <w:w w:val="110"/>
        </w:rPr>
        <w:t>266,</w:t>
      </w:r>
      <w:r w:rsidRPr="00283806">
        <w:rPr>
          <w:spacing w:val="-10"/>
          <w:w w:val="110"/>
        </w:rPr>
        <w:t xml:space="preserve"> </w:t>
      </w:r>
      <w:r w:rsidRPr="00283806">
        <w:rPr>
          <w:w w:val="110"/>
        </w:rPr>
        <w:t>subpart</w:t>
      </w:r>
      <w:r w:rsidRPr="00283806">
        <w:rPr>
          <w:spacing w:val="-9"/>
          <w:w w:val="110"/>
        </w:rPr>
        <w:t xml:space="preserve"> </w:t>
      </w:r>
      <w:r w:rsidRPr="00283806">
        <w:rPr>
          <w:w w:val="110"/>
        </w:rPr>
        <w:t>Q,</w:t>
      </w:r>
      <w:r w:rsidRPr="00283806">
        <w:rPr>
          <w:spacing w:val="-9"/>
          <w:w w:val="110"/>
        </w:rPr>
        <w:t xml:space="preserve"> </w:t>
      </w:r>
      <w:r w:rsidRPr="00283806">
        <w:rPr>
          <w:w w:val="110"/>
        </w:rPr>
        <w:t>applicable</w:t>
      </w:r>
      <w:r w:rsidRPr="00283806">
        <w:rPr>
          <w:spacing w:val="-9"/>
          <w:w w:val="110"/>
        </w:rPr>
        <w:t xml:space="preserve"> </w:t>
      </w:r>
      <w:r w:rsidRPr="00283806">
        <w:rPr>
          <w:w w:val="110"/>
        </w:rPr>
        <w:t>to</w:t>
      </w:r>
      <w:r w:rsidRPr="00283806">
        <w:rPr>
          <w:spacing w:val="-9"/>
          <w:w w:val="110"/>
        </w:rPr>
        <w:t xml:space="preserve"> </w:t>
      </w:r>
      <w:r w:rsidRPr="00283806">
        <w:rPr>
          <w:spacing w:val="-2"/>
          <w:w w:val="110"/>
        </w:rPr>
        <w:t>certain</w:t>
      </w:r>
      <w:r w:rsidRPr="00283806">
        <w:tab/>
      </w:r>
      <w:r w:rsidRPr="00283806">
        <w:rPr>
          <w:u w:val="single"/>
        </w:rPr>
        <w:tab/>
      </w:r>
    </w:p>
    <w:p w14:paraId="3F349DBE" w14:textId="77777777" w:rsidR="00D67C1E" w:rsidRPr="00283806" w:rsidRDefault="00D67C1E">
      <w:pPr>
        <w:spacing w:line="177" w:lineRule="exact"/>
        <w:sectPr w:rsidR="00D67C1E" w:rsidRPr="00283806">
          <w:type w:val="continuous"/>
          <w:pgSz w:w="12240" w:h="15840"/>
          <w:pgMar w:top="880" w:right="780" w:bottom="280" w:left="740" w:header="627" w:footer="0" w:gutter="0"/>
          <w:cols w:num="2" w:space="720" w:equalWidth="0">
            <w:col w:w="2882" w:space="518"/>
            <w:col w:w="7320"/>
          </w:cols>
        </w:sectPr>
      </w:pPr>
    </w:p>
    <w:p w14:paraId="609452A5" w14:textId="2608D348" w:rsidR="00D67C1E" w:rsidRPr="00283806" w:rsidRDefault="001265CA">
      <w:pPr>
        <w:spacing w:before="17" w:line="218" w:lineRule="auto"/>
        <w:ind w:left="159"/>
        <w:rPr>
          <w:sz w:val="14"/>
        </w:rPr>
      </w:pPr>
      <w:r w:rsidRPr="00283806">
        <w:rPr>
          <w:rFonts w:ascii="Book Antiqua" w:hAnsi="Book Antiqua"/>
          <w:i/>
          <w:spacing w:val="-2"/>
          <w:w w:val="115"/>
          <w:sz w:val="14"/>
        </w:rPr>
        <w:t>Refrigerants</w:t>
      </w:r>
      <w:r w:rsidRPr="00283806">
        <w:rPr>
          <w:rFonts w:ascii="Book Antiqua" w:hAnsi="Book Antiqua"/>
          <w:i/>
          <w:spacing w:val="-3"/>
          <w:w w:val="115"/>
          <w:sz w:val="14"/>
        </w:rPr>
        <w:t xml:space="preserve"> </w:t>
      </w:r>
      <w:r w:rsidRPr="00283806">
        <w:rPr>
          <w:rFonts w:ascii="Book Antiqua" w:hAnsi="Book Antiqua"/>
          <w:i/>
          <w:spacing w:val="-2"/>
          <w:w w:val="115"/>
          <w:sz w:val="14"/>
        </w:rPr>
        <w:t>Designations</w:t>
      </w:r>
      <w:r w:rsidRPr="00283806">
        <w:rPr>
          <w:rFonts w:ascii="Book Antiqua" w:hAnsi="Book Antiqua"/>
          <w:i/>
          <w:spacing w:val="-3"/>
          <w:w w:val="115"/>
          <w:sz w:val="14"/>
        </w:rPr>
        <w:t xml:space="preserve"> </w:t>
      </w:r>
      <w:r w:rsidRPr="00283806">
        <w:rPr>
          <w:rFonts w:ascii="Book Antiqua" w:hAnsi="Book Antiqua"/>
          <w:i/>
          <w:spacing w:val="-2"/>
          <w:w w:val="115"/>
          <w:sz w:val="14"/>
        </w:rPr>
        <w:t>and</w:t>
      </w:r>
      <w:r w:rsidRPr="00283806">
        <w:rPr>
          <w:rFonts w:ascii="Book Antiqua" w:hAnsi="Book Antiqua"/>
          <w:i/>
          <w:spacing w:val="-3"/>
          <w:w w:val="115"/>
          <w:sz w:val="14"/>
        </w:rPr>
        <w:t xml:space="preserve"> </w:t>
      </w:r>
      <w:r w:rsidRPr="00283806">
        <w:rPr>
          <w:rFonts w:ascii="Book Antiqua" w:hAnsi="Book Antiqua"/>
          <w:i/>
          <w:spacing w:val="-2"/>
          <w:w w:val="115"/>
          <w:sz w:val="14"/>
        </w:rPr>
        <w:t>Safety</w:t>
      </w:r>
      <w:r w:rsidRPr="00283806">
        <w:rPr>
          <w:rFonts w:ascii="Book Antiqua" w:hAnsi="Book Antiqua"/>
          <w:i/>
          <w:spacing w:val="-3"/>
          <w:w w:val="115"/>
          <w:sz w:val="14"/>
        </w:rPr>
        <w:t xml:space="preserve"> </w:t>
      </w:r>
      <w:r w:rsidRPr="00283806">
        <w:rPr>
          <w:rFonts w:ascii="Book Antiqua" w:hAnsi="Book Antiqua"/>
          <w:i/>
          <w:spacing w:val="-2"/>
          <w:w w:val="115"/>
          <w:sz w:val="14"/>
        </w:rPr>
        <w:t>Classification</w:t>
      </w:r>
      <w:r w:rsidRPr="00283806">
        <w:rPr>
          <w:rFonts w:ascii="Book Antiqua" w:hAnsi="Book Antiqua"/>
          <w:i/>
          <w:w w:val="115"/>
          <w:sz w:val="14"/>
        </w:rPr>
        <w:t xml:space="preserve"> </w:t>
      </w:r>
      <w:r w:rsidRPr="00283806">
        <w:rPr>
          <w:w w:val="115"/>
          <w:sz w:val="14"/>
        </w:rPr>
        <w:t xml:space="preserve">November 2022. </w:t>
      </w:r>
      <w:r w:rsidRPr="00283806">
        <w:rPr>
          <w:rFonts w:ascii="Book Antiqua" w:hAnsi="Book Antiqua"/>
          <w:i/>
          <w:w w:val="115"/>
          <w:sz w:val="14"/>
        </w:rPr>
        <w:t xml:space="preserve">https://www.ashrae.org/ </w:t>
      </w:r>
      <w:r w:rsidRPr="00283806">
        <w:rPr>
          <w:rFonts w:ascii="Book Antiqua" w:hAnsi="Book Antiqua"/>
          <w:i/>
          <w:spacing w:val="-2"/>
          <w:w w:val="115"/>
          <w:sz w:val="14"/>
        </w:rPr>
        <w:t>file%20library/technical%20resources/bookstore/</w:t>
      </w:r>
      <w:r w:rsidRPr="00283806">
        <w:rPr>
          <w:rFonts w:ascii="Book Antiqua" w:hAnsi="Book Antiqua"/>
          <w:i/>
          <w:spacing w:val="40"/>
          <w:w w:val="115"/>
          <w:sz w:val="14"/>
        </w:rPr>
        <w:t xml:space="preserve"> </w:t>
      </w:r>
      <w:r w:rsidRPr="00283806">
        <w:rPr>
          <w:rFonts w:ascii="Book Antiqua" w:hAnsi="Book Antiqua"/>
          <w:i/>
          <w:spacing w:val="-2"/>
          <w:w w:val="115"/>
          <w:sz w:val="14"/>
        </w:rPr>
        <w:t>factsheet</w:t>
      </w:r>
      <w:r w:rsidRPr="00283806">
        <w:rPr>
          <w:rFonts w:ascii="Symbol" w:hAnsi="Symbol"/>
          <w:spacing w:val="-2"/>
          <w:w w:val="115"/>
          <w:sz w:val="14"/>
        </w:rPr>
        <w:t></w:t>
      </w:r>
      <w:r w:rsidRPr="00283806">
        <w:rPr>
          <w:rFonts w:ascii="Book Antiqua" w:hAnsi="Book Antiqua"/>
          <w:i/>
          <w:spacing w:val="-2"/>
          <w:w w:val="115"/>
          <w:sz w:val="14"/>
        </w:rPr>
        <w:t>ashrae</w:t>
      </w:r>
      <w:r w:rsidRPr="00283806">
        <w:rPr>
          <w:rFonts w:ascii="Symbol" w:hAnsi="Symbol"/>
          <w:spacing w:val="-2"/>
          <w:w w:val="115"/>
          <w:sz w:val="14"/>
        </w:rPr>
        <w:t></w:t>
      </w:r>
      <w:r w:rsidRPr="00283806">
        <w:rPr>
          <w:rFonts w:ascii="Book Antiqua" w:hAnsi="Book Antiqua"/>
          <w:i/>
          <w:spacing w:val="-2"/>
          <w:w w:val="115"/>
          <w:sz w:val="14"/>
        </w:rPr>
        <w:t>english</w:t>
      </w:r>
      <w:r w:rsidRPr="00283806">
        <w:rPr>
          <w:rFonts w:ascii="Symbol" w:hAnsi="Symbol"/>
          <w:spacing w:val="-2"/>
          <w:w w:val="115"/>
          <w:sz w:val="14"/>
        </w:rPr>
        <w:t></w:t>
      </w:r>
      <w:r w:rsidRPr="00283806">
        <w:rPr>
          <w:rFonts w:ascii="Book Antiqua" w:hAnsi="Book Antiqua"/>
          <w:i/>
          <w:spacing w:val="-2"/>
          <w:w w:val="115"/>
          <w:sz w:val="14"/>
        </w:rPr>
        <w:t>november2022.pdf</w:t>
      </w:r>
      <w:r w:rsidRPr="00283806">
        <w:rPr>
          <w:spacing w:val="-2"/>
          <w:w w:val="115"/>
          <w:sz w:val="14"/>
        </w:rPr>
        <w:t>.</w:t>
      </w:r>
    </w:p>
    <w:p w14:paraId="35336EDD" w14:textId="7CCC904A" w:rsidR="00D67C1E" w:rsidRPr="00283806" w:rsidRDefault="001265CA">
      <w:pPr>
        <w:spacing w:before="17" w:line="228" w:lineRule="auto"/>
        <w:ind w:left="159" w:right="63" w:firstLine="140"/>
        <w:rPr>
          <w:sz w:val="14"/>
        </w:rPr>
      </w:pPr>
      <w:r w:rsidRPr="00283806">
        <w:rPr>
          <w:w w:val="115"/>
          <w:position w:val="4"/>
          <w:sz w:val="9"/>
        </w:rPr>
        <w:t>143</w:t>
      </w:r>
      <w:r w:rsidRPr="00283806">
        <w:rPr>
          <w:spacing w:val="-6"/>
          <w:w w:val="115"/>
          <w:position w:val="4"/>
          <w:sz w:val="9"/>
        </w:rPr>
        <w:t xml:space="preserve"> </w:t>
      </w:r>
      <w:r w:rsidRPr="00283806">
        <w:rPr>
          <w:w w:val="115"/>
          <w:sz w:val="14"/>
        </w:rPr>
        <w:t>S</w:t>
      </w:r>
      <w:r w:rsidRPr="00283806">
        <w:rPr>
          <w:spacing w:val="-9"/>
          <w:w w:val="115"/>
          <w:sz w:val="14"/>
        </w:rPr>
        <w:t xml:space="preserve"> </w:t>
      </w:r>
      <w:r w:rsidRPr="00283806">
        <w:rPr>
          <w:w w:val="115"/>
          <w:sz w:val="14"/>
        </w:rPr>
        <w:t>N</w:t>
      </w:r>
      <w:r w:rsidRPr="00283806">
        <w:rPr>
          <w:spacing w:val="-9"/>
          <w:w w:val="115"/>
          <w:sz w:val="14"/>
        </w:rPr>
        <w:t xml:space="preserve"> </w:t>
      </w:r>
      <w:r w:rsidRPr="00283806">
        <w:rPr>
          <w:w w:val="115"/>
          <w:sz w:val="14"/>
        </w:rPr>
        <w:t>Kopylov</w:t>
      </w:r>
      <w:r w:rsidRPr="00283806">
        <w:rPr>
          <w:spacing w:val="-9"/>
          <w:w w:val="115"/>
          <w:sz w:val="14"/>
        </w:rPr>
        <w:t xml:space="preserve"> </w:t>
      </w:r>
      <w:r w:rsidRPr="00283806">
        <w:rPr>
          <w:w w:val="115"/>
          <w:sz w:val="14"/>
        </w:rPr>
        <w:t>et</w:t>
      </w:r>
      <w:r w:rsidRPr="00283806">
        <w:rPr>
          <w:spacing w:val="-8"/>
          <w:w w:val="115"/>
          <w:sz w:val="14"/>
        </w:rPr>
        <w:t xml:space="preserve"> </w:t>
      </w:r>
      <w:r w:rsidRPr="00283806">
        <w:rPr>
          <w:w w:val="115"/>
          <w:sz w:val="14"/>
        </w:rPr>
        <w:t>al</w:t>
      </w:r>
      <w:r w:rsidRPr="00283806">
        <w:rPr>
          <w:spacing w:val="-9"/>
          <w:w w:val="115"/>
          <w:sz w:val="14"/>
        </w:rPr>
        <w:t xml:space="preserve"> </w:t>
      </w:r>
      <w:r w:rsidRPr="00283806">
        <w:rPr>
          <w:w w:val="115"/>
          <w:sz w:val="14"/>
        </w:rPr>
        <w:t>2019</w:t>
      </w:r>
      <w:r w:rsidRPr="00283806">
        <w:rPr>
          <w:spacing w:val="-8"/>
          <w:w w:val="115"/>
          <w:sz w:val="14"/>
        </w:rPr>
        <w:t xml:space="preserve"> </w:t>
      </w:r>
      <w:r w:rsidRPr="00283806">
        <w:rPr>
          <w:w w:val="115"/>
          <w:sz w:val="14"/>
        </w:rPr>
        <w:t>IOP</w:t>
      </w:r>
      <w:r w:rsidRPr="00283806">
        <w:rPr>
          <w:spacing w:val="-9"/>
          <w:w w:val="115"/>
          <w:sz w:val="14"/>
        </w:rPr>
        <w:t xml:space="preserve"> </w:t>
      </w:r>
      <w:r w:rsidRPr="00283806">
        <w:rPr>
          <w:w w:val="115"/>
          <w:sz w:val="14"/>
        </w:rPr>
        <w:t>Conf.</w:t>
      </w:r>
      <w:r w:rsidRPr="00283806">
        <w:rPr>
          <w:spacing w:val="-9"/>
          <w:w w:val="115"/>
          <w:sz w:val="14"/>
        </w:rPr>
        <w:t xml:space="preserve"> </w:t>
      </w:r>
      <w:r w:rsidRPr="00283806">
        <w:rPr>
          <w:w w:val="115"/>
          <w:sz w:val="14"/>
        </w:rPr>
        <w:t>Ser.:</w:t>
      </w:r>
      <w:r w:rsidRPr="00283806">
        <w:rPr>
          <w:spacing w:val="-8"/>
          <w:w w:val="115"/>
          <w:sz w:val="14"/>
        </w:rPr>
        <w:t xml:space="preserve"> </w:t>
      </w:r>
      <w:r w:rsidRPr="00283806">
        <w:rPr>
          <w:w w:val="115"/>
          <w:sz w:val="14"/>
        </w:rPr>
        <w:t>Earth</w:t>
      </w:r>
      <w:r w:rsidRPr="00283806">
        <w:rPr>
          <w:spacing w:val="40"/>
          <w:w w:val="115"/>
          <w:sz w:val="14"/>
        </w:rPr>
        <w:t xml:space="preserve"> </w:t>
      </w:r>
      <w:r w:rsidRPr="00283806">
        <w:rPr>
          <w:w w:val="115"/>
          <w:sz w:val="14"/>
        </w:rPr>
        <w:t xml:space="preserve">Environ. Sci. 272 022064; </w:t>
      </w:r>
      <w:r w:rsidRPr="00283806">
        <w:rPr>
          <w:rFonts w:ascii="Book Antiqua"/>
          <w:i/>
          <w:w w:val="115"/>
          <w:sz w:val="14"/>
        </w:rPr>
        <w:t xml:space="preserve">https:// </w:t>
      </w:r>
      <w:r w:rsidRPr="00283806">
        <w:rPr>
          <w:rFonts w:ascii="Book Antiqua"/>
          <w:i/>
          <w:spacing w:val="-2"/>
          <w:w w:val="115"/>
          <w:sz w:val="14"/>
        </w:rPr>
        <w:t>iopscience.iop.org/article/10.1088/1755-1315/272/</w:t>
      </w:r>
      <w:r w:rsidRPr="00283806">
        <w:rPr>
          <w:rFonts w:ascii="Book Antiqua"/>
          <w:i/>
          <w:spacing w:val="40"/>
          <w:w w:val="115"/>
          <w:sz w:val="14"/>
        </w:rPr>
        <w:t xml:space="preserve"> </w:t>
      </w:r>
      <w:r w:rsidRPr="00283806">
        <w:rPr>
          <w:rFonts w:ascii="Book Antiqua"/>
          <w:i/>
          <w:spacing w:val="-2"/>
          <w:w w:val="115"/>
          <w:sz w:val="14"/>
        </w:rPr>
        <w:t>2/022064</w:t>
      </w:r>
      <w:r w:rsidRPr="00283806">
        <w:rPr>
          <w:spacing w:val="-2"/>
          <w:w w:val="115"/>
          <w:sz w:val="14"/>
        </w:rPr>
        <w:t>.</w:t>
      </w:r>
    </w:p>
    <w:p w14:paraId="1130F5D8" w14:textId="77777777" w:rsidR="00D67C1E" w:rsidRPr="00283806" w:rsidRDefault="001265CA">
      <w:pPr>
        <w:spacing w:before="14" w:line="232" w:lineRule="auto"/>
        <w:ind w:left="159" w:right="38" w:firstLine="140"/>
        <w:rPr>
          <w:sz w:val="14"/>
        </w:rPr>
      </w:pPr>
      <w:r w:rsidRPr="00283806">
        <w:rPr>
          <w:w w:val="110"/>
          <w:position w:val="4"/>
          <w:sz w:val="9"/>
        </w:rPr>
        <w:t xml:space="preserve">144 </w:t>
      </w:r>
      <w:r w:rsidRPr="00283806">
        <w:rPr>
          <w:w w:val="110"/>
          <w:sz w:val="14"/>
        </w:rPr>
        <w:t>EPA did not reopen the original CFC</w:t>
      </w:r>
      <w:r w:rsidRPr="00283806">
        <w:rPr>
          <w:spacing w:val="40"/>
          <w:w w:val="110"/>
          <w:sz w:val="14"/>
        </w:rPr>
        <w:t xml:space="preserve"> </w:t>
      </w:r>
      <w:r w:rsidRPr="00283806">
        <w:rPr>
          <w:sz w:val="14"/>
        </w:rPr>
        <w:t>refrigerant recycling exclusion and did not request</w:t>
      </w:r>
      <w:r w:rsidRPr="00283806">
        <w:rPr>
          <w:spacing w:val="80"/>
          <w:w w:val="110"/>
          <w:sz w:val="14"/>
        </w:rPr>
        <w:t xml:space="preserve"> </w:t>
      </w:r>
      <w:r w:rsidRPr="00283806">
        <w:rPr>
          <w:w w:val="110"/>
          <w:sz w:val="14"/>
        </w:rPr>
        <w:t>comment on 40 CFR 261.4(b)(12).</w:t>
      </w:r>
    </w:p>
    <w:p w14:paraId="1E5425FB" w14:textId="77777777" w:rsidR="00D67C1E" w:rsidRPr="00283806" w:rsidRDefault="001265CA">
      <w:pPr>
        <w:pStyle w:val="BodyText"/>
        <w:spacing w:before="9" w:line="228" w:lineRule="auto"/>
        <w:ind w:left="159" w:right="38"/>
      </w:pPr>
      <w:r w:rsidRPr="00283806">
        <w:br w:type="column"/>
      </w:r>
      <w:r w:rsidRPr="00283806">
        <w:rPr>
          <w:w w:val="105"/>
        </w:rPr>
        <w:t>ignitable spent refrigerants that are recycled for reuse that will apply instead of the full RCRA Subtitle C hazardous waste requirements. The purpose of these standards is to help reduce emissions of ignitable spent refrigerants to the lowest achievable level by maximizing the recovery and safe recycling of such refrigerants</w:t>
      </w:r>
    </w:p>
    <w:p w14:paraId="1D41BEBD" w14:textId="583C4EAD" w:rsidR="00D67C1E" w:rsidRPr="00283806" w:rsidRDefault="001265CA">
      <w:pPr>
        <w:spacing w:before="21" w:line="230" w:lineRule="auto"/>
        <w:ind w:left="159" w:right="290" w:firstLine="140"/>
        <w:rPr>
          <w:rFonts w:ascii="Book Antiqua"/>
          <w:i/>
          <w:sz w:val="14"/>
        </w:rPr>
      </w:pPr>
      <w:r w:rsidRPr="00283806">
        <w:br w:type="column"/>
      </w:r>
      <w:r w:rsidRPr="00283806">
        <w:rPr>
          <w:w w:val="110"/>
          <w:position w:val="4"/>
          <w:sz w:val="9"/>
        </w:rPr>
        <w:t xml:space="preserve">145 </w:t>
      </w:r>
      <w:r w:rsidRPr="00283806">
        <w:rPr>
          <w:w w:val="110"/>
          <w:sz w:val="14"/>
        </w:rPr>
        <w:t>U.S. EPA, A Study of the Potential Effects of</w:t>
      </w:r>
      <w:r w:rsidRPr="00283806">
        <w:rPr>
          <w:spacing w:val="40"/>
          <w:w w:val="110"/>
          <w:sz w:val="14"/>
        </w:rPr>
        <w:t xml:space="preserve"> </w:t>
      </w:r>
      <w:r w:rsidRPr="00283806">
        <w:rPr>
          <w:w w:val="110"/>
          <w:sz w:val="14"/>
        </w:rPr>
        <w:t>Market</w:t>
      </w:r>
      <w:r w:rsidRPr="00283806">
        <w:rPr>
          <w:spacing w:val="-6"/>
          <w:w w:val="110"/>
          <w:sz w:val="14"/>
        </w:rPr>
        <w:t xml:space="preserve"> </w:t>
      </w:r>
      <w:r w:rsidRPr="00283806">
        <w:rPr>
          <w:w w:val="110"/>
          <w:sz w:val="14"/>
        </w:rPr>
        <w:t>Forces</w:t>
      </w:r>
      <w:r w:rsidRPr="00283806">
        <w:rPr>
          <w:spacing w:val="-6"/>
          <w:w w:val="110"/>
          <w:sz w:val="14"/>
        </w:rPr>
        <w:t xml:space="preserve"> </w:t>
      </w:r>
      <w:r w:rsidRPr="00283806">
        <w:rPr>
          <w:w w:val="110"/>
          <w:sz w:val="14"/>
        </w:rPr>
        <w:t>on</w:t>
      </w:r>
      <w:r w:rsidRPr="00283806">
        <w:rPr>
          <w:spacing w:val="-6"/>
          <w:w w:val="110"/>
          <w:sz w:val="14"/>
        </w:rPr>
        <w:t xml:space="preserve"> </w:t>
      </w:r>
      <w:r w:rsidRPr="00283806">
        <w:rPr>
          <w:w w:val="110"/>
          <w:sz w:val="14"/>
        </w:rPr>
        <w:t>the</w:t>
      </w:r>
      <w:r w:rsidRPr="00283806">
        <w:rPr>
          <w:spacing w:val="-6"/>
          <w:w w:val="110"/>
          <w:sz w:val="14"/>
        </w:rPr>
        <w:t xml:space="preserve"> </w:t>
      </w:r>
      <w:r w:rsidRPr="00283806">
        <w:rPr>
          <w:w w:val="110"/>
          <w:sz w:val="14"/>
        </w:rPr>
        <w:t>Management</w:t>
      </w:r>
      <w:r w:rsidRPr="00283806">
        <w:rPr>
          <w:spacing w:val="-6"/>
          <w:w w:val="110"/>
          <w:sz w:val="14"/>
        </w:rPr>
        <w:t xml:space="preserve"> </w:t>
      </w:r>
      <w:r w:rsidRPr="00283806">
        <w:rPr>
          <w:w w:val="110"/>
          <w:sz w:val="14"/>
        </w:rPr>
        <w:t>of</w:t>
      </w:r>
      <w:r w:rsidRPr="00283806">
        <w:rPr>
          <w:spacing w:val="-6"/>
          <w:w w:val="110"/>
          <w:sz w:val="14"/>
        </w:rPr>
        <w:t xml:space="preserve"> </w:t>
      </w:r>
      <w:r w:rsidRPr="00283806">
        <w:rPr>
          <w:w w:val="110"/>
          <w:sz w:val="14"/>
        </w:rPr>
        <w:t>Hazardous</w:t>
      </w:r>
      <w:r w:rsidRPr="00283806">
        <w:rPr>
          <w:spacing w:val="40"/>
          <w:w w:val="110"/>
          <w:sz w:val="14"/>
        </w:rPr>
        <w:t xml:space="preserve"> </w:t>
      </w:r>
      <w:r w:rsidRPr="00283806">
        <w:rPr>
          <w:w w:val="110"/>
          <w:sz w:val="14"/>
        </w:rPr>
        <w:t>Secondary Materials Intended for Recycling,</w:t>
      </w:r>
      <w:r w:rsidRPr="00283806">
        <w:rPr>
          <w:spacing w:val="40"/>
          <w:w w:val="110"/>
          <w:sz w:val="14"/>
        </w:rPr>
        <w:t xml:space="preserve"> </w:t>
      </w:r>
      <w:r w:rsidRPr="00283806">
        <w:rPr>
          <w:w w:val="110"/>
          <w:sz w:val="14"/>
        </w:rPr>
        <w:t xml:space="preserve">November 2006, available at </w:t>
      </w:r>
      <w:r w:rsidRPr="00283806">
        <w:rPr>
          <w:rFonts w:ascii="Book Antiqua"/>
          <w:i/>
          <w:w w:val="110"/>
          <w:sz w:val="14"/>
        </w:rPr>
        <w:t>https://</w:t>
      </w:r>
      <w:r w:rsidRPr="00283806">
        <w:rPr>
          <w:rFonts w:ascii="Book Antiqua"/>
          <w:i/>
          <w:spacing w:val="40"/>
          <w:w w:val="110"/>
          <w:sz w:val="14"/>
        </w:rPr>
        <w:t xml:space="preserve"> </w:t>
      </w:r>
      <w:r w:rsidRPr="00283806">
        <w:rPr>
          <w:rFonts w:ascii="Book Antiqua"/>
          <w:i/>
          <w:spacing w:val="-2"/>
          <w:w w:val="110"/>
          <w:sz w:val="14"/>
        </w:rPr>
        <w:t>www.regulations.gov/document/EPA-HQ-RCRA-</w:t>
      </w:r>
      <w:r w:rsidRPr="00283806">
        <w:rPr>
          <w:rFonts w:ascii="Book Antiqua"/>
          <w:i/>
          <w:spacing w:val="40"/>
          <w:w w:val="110"/>
          <w:sz w:val="14"/>
        </w:rPr>
        <w:t xml:space="preserve"> </w:t>
      </w:r>
      <w:r w:rsidRPr="00283806">
        <w:rPr>
          <w:rFonts w:ascii="Book Antiqua"/>
          <w:i/>
          <w:spacing w:val="-2"/>
          <w:w w:val="110"/>
          <w:sz w:val="14"/>
        </w:rPr>
        <w:t>2002-0031-0358.</w:t>
      </w:r>
    </w:p>
    <w:p w14:paraId="7E3F271B" w14:textId="77777777" w:rsidR="00D67C1E" w:rsidRPr="00283806" w:rsidRDefault="001265CA">
      <w:pPr>
        <w:spacing w:before="17" w:line="232" w:lineRule="auto"/>
        <w:ind w:left="159" w:right="132" w:firstLine="140"/>
        <w:rPr>
          <w:sz w:val="14"/>
        </w:rPr>
      </w:pPr>
      <w:r w:rsidRPr="00283806">
        <w:rPr>
          <w:w w:val="110"/>
          <w:position w:val="4"/>
          <w:sz w:val="9"/>
        </w:rPr>
        <w:t xml:space="preserve">146 </w:t>
      </w:r>
      <w:r w:rsidRPr="00283806">
        <w:rPr>
          <w:w w:val="110"/>
          <w:sz w:val="14"/>
        </w:rPr>
        <w:t>See comment numbers EPA–HQ–OAR–2022–</w:t>
      </w:r>
      <w:r w:rsidRPr="00283806">
        <w:rPr>
          <w:spacing w:val="40"/>
          <w:w w:val="110"/>
          <w:sz w:val="14"/>
        </w:rPr>
        <w:t xml:space="preserve"> </w:t>
      </w:r>
      <w:r w:rsidRPr="00283806">
        <w:rPr>
          <w:sz w:val="14"/>
        </w:rPr>
        <w:t>0606–0084, EPA–HQ–OAR–2022–0606–0085, EPA–</w:t>
      </w:r>
      <w:r w:rsidRPr="00283806">
        <w:rPr>
          <w:spacing w:val="80"/>
          <w:w w:val="110"/>
          <w:sz w:val="14"/>
        </w:rPr>
        <w:t xml:space="preserve"> </w:t>
      </w:r>
      <w:r w:rsidRPr="00283806">
        <w:rPr>
          <w:w w:val="110"/>
          <w:sz w:val="14"/>
        </w:rPr>
        <w:t>HQ–OAR–2022–0606–0102,</w:t>
      </w:r>
      <w:r w:rsidRPr="00283806">
        <w:rPr>
          <w:spacing w:val="-7"/>
          <w:w w:val="110"/>
          <w:sz w:val="14"/>
        </w:rPr>
        <w:t xml:space="preserve"> </w:t>
      </w:r>
      <w:r w:rsidRPr="00283806">
        <w:rPr>
          <w:w w:val="110"/>
          <w:sz w:val="14"/>
        </w:rPr>
        <w:t>EPA–HQ–OAR–2022–</w:t>
      </w:r>
      <w:r w:rsidRPr="00283806">
        <w:rPr>
          <w:spacing w:val="40"/>
          <w:w w:val="110"/>
          <w:sz w:val="14"/>
        </w:rPr>
        <w:t xml:space="preserve"> </w:t>
      </w:r>
      <w:r w:rsidRPr="00283806">
        <w:rPr>
          <w:spacing w:val="4"/>
          <w:sz w:val="14"/>
        </w:rPr>
        <w:t>0606–0109,</w:t>
      </w:r>
      <w:r w:rsidRPr="00283806">
        <w:rPr>
          <w:spacing w:val="22"/>
          <w:sz w:val="14"/>
        </w:rPr>
        <w:t xml:space="preserve"> </w:t>
      </w:r>
      <w:r w:rsidRPr="00283806">
        <w:rPr>
          <w:spacing w:val="4"/>
          <w:sz w:val="14"/>
        </w:rPr>
        <w:t>EPA–HQ–OAR–2022–0606–0111,</w:t>
      </w:r>
      <w:r w:rsidRPr="00283806">
        <w:rPr>
          <w:spacing w:val="23"/>
          <w:sz w:val="14"/>
        </w:rPr>
        <w:t xml:space="preserve"> </w:t>
      </w:r>
      <w:r w:rsidRPr="00283806">
        <w:rPr>
          <w:spacing w:val="-4"/>
          <w:sz w:val="14"/>
        </w:rPr>
        <w:t>EPA–</w:t>
      </w:r>
    </w:p>
    <w:p w14:paraId="57CC3DD4" w14:textId="77777777" w:rsidR="00D67C1E" w:rsidRPr="00283806" w:rsidRDefault="001265CA">
      <w:pPr>
        <w:spacing w:before="18"/>
        <w:ind w:left="2940"/>
        <w:rPr>
          <w:sz w:val="12"/>
        </w:rPr>
      </w:pPr>
      <w:r w:rsidRPr="00283806">
        <w:rPr>
          <w:spacing w:val="-2"/>
          <w:w w:val="110"/>
          <w:sz w:val="12"/>
        </w:rPr>
        <w:t>Continued</w:t>
      </w:r>
    </w:p>
    <w:p w14:paraId="516CD424" w14:textId="77777777" w:rsidR="00D67C1E" w:rsidRPr="00283806" w:rsidRDefault="00D67C1E">
      <w:pPr>
        <w:rPr>
          <w:sz w:val="12"/>
        </w:rPr>
        <w:sectPr w:rsidR="00D67C1E" w:rsidRPr="00283806">
          <w:type w:val="continuous"/>
          <w:pgSz w:w="12240" w:h="15840"/>
          <w:pgMar w:top="880" w:right="780" w:bottom="280" w:left="740" w:header="627" w:footer="0" w:gutter="0"/>
          <w:cols w:num="3" w:space="720" w:equalWidth="0">
            <w:col w:w="3481" w:space="59"/>
            <w:col w:w="3307" w:space="233"/>
            <w:col w:w="3640"/>
          </w:cols>
        </w:sectPr>
      </w:pPr>
    </w:p>
    <w:p w14:paraId="57135905" w14:textId="77777777" w:rsidR="00D67C1E" w:rsidRPr="00283806" w:rsidRDefault="001265CA">
      <w:pPr>
        <w:pStyle w:val="BodyText"/>
        <w:spacing w:before="136" w:line="225" w:lineRule="auto"/>
        <w:ind w:right="128"/>
      </w:pPr>
      <w:r w:rsidRPr="00283806">
        <w:rPr>
          <w:w w:val="105"/>
        </w:rPr>
        <w:lastRenderedPageBreak/>
        <w:t>proposal (88 FR 72275, October 19, 2023), restrictions on speculative accumulation have been an important element of the RCRA hazardous waste recycling regulations since they were originally promulgated on January 4, 1985 (50 FR 634 through 637).</w:t>
      </w:r>
    </w:p>
    <w:p w14:paraId="1C4AFCE5" w14:textId="77777777" w:rsidR="00D67C1E" w:rsidRPr="00283806" w:rsidRDefault="001265CA">
      <w:pPr>
        <w:pStyle w:val="BodyText"/>
        <w:spacing w:line="225" w:lineRule="auto"/>
        <w:ind w:right="128"/>
      </w:pPr>
      <w:r w:rsidRPr="00283806">
        <w:rPr>
          <w:w w:val="105"/>
        </w:rPr>
        <w:t>According to this regulatory provision, the person accumulating the hazardous secondary material must demonstrate that the material is recyclable and that during a calendar year (beginning January 1) the amount of such material that is recycled or transferred to a different site for recycling is at least 75 percent by weight or volume of the amount of the hazardous secondary material present at the beginning of the calendar year (January 1).</w:t>
      </w:r>
    </w:p>
    <w:p w14:paraId="03D49C23" w14:textId="77777777" w:rsidR="00D67C1E" w:rsidRPr="00283806" w:rsidRDefault="001265CA">
      <w:pPr>
        <w:pStyle w:val="BodyText"/>
        <w:spacing w:line="213" w:lineRule="auto"/>
        <w:ind w:right="128" w:firstLine="180"/>
      </w:pPr>
      <w:r w:rsidRPr="00283806">
        <w:rPr>
          <w:rFonts w:ascii="Book Antiqua"/>
          <w:i/>
          <w:w w:val="105"/>
        </w:rPr>
        <w:t xml:space="preserve">Comment: </w:t>
      </w:r>
      <w:r w:rsidRPr="00283806">
        <w:rPr>
          <w:w w:val="105"/>
        </w:rPr>
        <w:t>Commenters stated that requiring reclaimers to process 75</w:t>
      </w:r>
    </w:p>
    <w:p w14:paraId="0E768E02" w14:textId="77777777" w:rsidR="00D67C1E" w:rsidRPr="00283806" w:rsidRDefault="001265CA">
      <w:pPr>
        <w:pStyle w:val="BodyText"/>
        <w:spacing w:line="228" w:lineRule="auto"/>
        <w:ind w:right="16"/>
      </w:pPr>
      <w:r w:rsidRPr="00283806">
        <w:rPr>
          <w:w w:val="105"/>
        </w:rPr>
        <w:t xml:space="preserve">percent of these refrigerants within one year would be very challenging for most reclaimers. </w:t>
      </w:r>
      <w:proofErr w:type="gramStart"/>
      <w:r w:rsidRPr="00283806">
        <w:rPr>
          <w:w w:val="105"/>
        </w:rPr>
        <w:t>In particular, commenters</w:t>
      </w:r>
      <w:proofErr w:type="gramEnd"/>
      <w:r w:rsidRPr="00283806">
        <w:rPr>
          <w:w w:val="105"/>
        </w:rPr>
        <w:t xml:space="preserve"> noted that due to a very small initial installed equipment base and low equipment service rates in the first years of the HFC phasedown, limiting the accumulation period to a one-year maximum would require processing of extremely</w:t>
      </w:r>
      <w:r w:rsidRPr="00283806">
        <w:rPr>
          <w:spacing w:val="40"/>
          <w:w w:val="105"/>
        </w:rPr>
        <w:t xml:space="preserve"> </w:t>
      </w:r>
      <w:r w:rsidRPr="00283806">
        <w:rPr>
          <w:w w:val="105"/>
        </w:rPr>
        <w:t>small</w:t>
      </w:r>
      <w:r w:rsidRPr="00283806">
        <w:rPr>
          <w:spacing w:val="40"/>
          <w:w w:val="105"/>
        </w:rPr>
        <w:t xml:space="preserve"> </w:t>
      </w:r>
      <w:r w:rsidRPr="00283806">
        <w:rPr>
          <w:w w:val="105"/>
        </w:rPr>
        <w:t>quantities,</w:t>
      </w:r>
      <w:r w:rsidRPr="00283806">
        <w:rPr>
          <w:spacing w:val="40"/>
          <w:w w:val="105"/>
        </w:rPr>
        <w:t xml:space="preserve"> </w:t>
      </w:r>
      <w:r w:rsidRPr="00283806">
        <w:rPr>
          <w:w w:val="105"/>
        </w:rPr>
        <w:t>which</w:t>
      </w:r>
      <w:r w:rsidRPr="00283806">
        <w:rPr>
          <w:spacing w:val="40"/>
          <w:w w:val="105"/>
        </w:rPr>
        <w:t xml:space="preserve"> </w:t>
      </w:r>
      <w:r w:rsidRPr="00283806">
        <w:rPr>
          <w:w w:val="105"/>
        </w:rPr>
        <w:t xml:space="preserve">would be an inefficient use of reclaimer </w:t>
      </w:r>
      <w:r w:rsidRPr="00283806">
        <w:rPr>
          <w:spacing w:val="-2"/>
          <w:w w:val="105"/>
        </w:rPr>
        <w:t>resources.</w:t>
      </w:r>
    </w:p>
    <w:p w14:paraId="7532AB67" w14:textId="77777777" w:rsidR="00D67C1E" w:rsidRPr="00283806" w:rsidRDefault="001265CA">
      <w:pPr>
        <w:spacing w:line="174" w:lineRule="exact"/>
        <w:ind w:left="340"/>
        <w:rPr>
          <w:sz w:val="18"/>
        </w:rPr>
      </w:pPr>
      <w:r w:rsidRPr="00283806">
        <w:rPr>
          <w:rFonts w:ascii="Book Antiqua"/>
          <w:i/>
          <w:w w:val="110"/>
          <w:sz w:val="18"/>
        </w:rPr>
        <w:t>Response:</w:t>
      </w:r>
      <w:r w:rsidRPr="00283806">
        <w:rPr>
          <w:rFonts w:ascii="Book Antiqua"/>
          <w:i/>
          <w:spacing w:val="-6"/>
          <w:w w:val="110"/>
          <w:sz w:val="18"/>
        </w:rPr>
        <w:t xml:space="preserve"> </w:t>
      </w:r>
      <w:r w:rsidRPr="00283806">
        <w:rPr>
          <w:w w:val="110"/>
          <w:sz w:val="18"/>
        </w:rPr>
        <w:t>EPA notes</w:t>
      </w:r>
      <w:r w:rsidRPr="00283806">
        <w:rPr>
          <w:spacing w:val="1"/>
          <w:w w:val="110"/>
          <w:sz w:val="18"/>
        </w:rPr>
        <w:t xml:space="preserve"> </w:t>
      </w:r>
      <w:r w:rsidRPr="00283806">
        <w:rPr>
          <w:w w:val="110"/>
          <w:sz w:val="18"/>
        </w:rPr>
        <w:t>that there is</w:t>
      </w:r>
      <w:r w:rsidRPr="00283806">
        <w:rPr>
          <w:spacing w:val="1"/>
          <w:w w:val="110"/>
          <w:sz w:val="18"/>
        </w:rPr>
        <w:t xml:space="preserve"> </w:t>
      </w:r>
      <w:r w:rsidRPr="00283806">
        <w:rPr>
          <w:spacing w:val="-5"/>
          <w:w w:val="110"/>
          <w:sz w:val="18"/>
        </w:rPr>
        <w:t>an</w:t>
      </w:r>
    </w:p>
    <w:p w14:paraId="33E695F7" w14:textId="77777777" w:rsidR="00D67C1E" w:rsidRPr="00283806" w:rsidRDefault="001265CA">
      <w:pPr>
        <w:pStyle w:val="BodyText"/>
        <w:spacing w:line="228" w:lineRule="auto"/>
      </w:pPr>
      <w:r w:rsidRPr="00283806">
        <w:rPr>
          <w:w w:val="110"/>
        </w:rPr>
        <w:t>existing provision at 40 CFR 260.31(a) that allows facilities to petition EPA for an extension of the speculative accumulation time limit if the applicant demonstrates</w:t>
      </w:r>
      <w:r w:rsidRPr="00283806">
        <w:rPr>
          <w:spacing w:val="-11"/>
          <w:w w:val="110"/>
        </w:rPr>
        <w:t xml:space="preserve"> </w:t>
      </w:r>
      <w:r w:rsidRPr="00283806">
        <w:rPr>
          <w:w w:val="110"/>
        </w:rPr>
        <w:t>that</w:t>
      </w:r>
      <w:r w:rsidRPr="00283806">
        <w:rPr>
          <w:spacing w:val="-11"/>
          <w:w w:val="110"/>
        </w:rPr>
        <w:t xml:space="preserve"> </w:t>
      </w:r>
      <w:proofErr w:type="gramStart"/>
      <w:r w:rsidRPr="00283806">
        <w:rPr>
          <w:w w:val="110"/>
        </w:rPr>
        <w:t>sufficient</w:t>
      </w:r>
      <w:r w:rsidRPr="00283806">
        <w:rPr>
          <w:spacing w:val="-11"/>
          <w:w w:val="110"/>
        </w:rPr>
        <w:t xml:space="preserve"> </w:t>
      </w:r>
      <w:r w:rsidRPr="00283806">
        <w:rPr>
          <w:w w:val="110"/>
        </w:rPr>
        <w:t>amounts</w:t>
      </w:r>
      <w:proofErr w:type="gramEnd"/>
      <w:r w:rsidRPr="00283806">
        <w:rPr>
          <w:spacing w:val="-11"/>
          <w:w w:val="110"/>
        </w:rPr>
        <w:t xml:space="preserve"> </w:t>
      </w:r>
      <w:r w:rsidRPr="00283806">
        <w:rPr>
          <w:w w:val="110"/>
        </w:rPr>
        <w:t xml:space="preserve">of the material will be recycled or </w:t>
      </w:r>
      <w:r w:rsidRPr="00283806">
        <w:t>transferred for recycling in the following</w:t>
      </w:r>
      <w:r w:rsidRPr="00283806">
        <w:rPr>
          <w:spacing w:val="40"/>
          <w:w w:val="110"/>
        </w:rPr>
        <w:t xml:space="preserve"> </w:t>
      </w:r>
      <w:r w:rsidRPr="00283806">
        <w:rPr>
          <w:w w:val="110"/>
        </w:rPr>
        <w:t>year. Applicants must follow the procedures in 40 CFR 260.33.</w:t>
      </w:r>
    </w:p>
    <w:p w14:paraId="3013EED6" w14:textId="77777777" w:rsidR="00D67C1E" w:rsidRPr="00283806" w:rsidRDefault="001265CA">
      <w:pPr>
        <w:pStyle w:val="BodyText"/>
        <w:spacing w:line="176" w:lineRule="exact"/>
        <w:ind w:left="340"/>
      </w:pPr>
      <w:r w:rsidRPr="00283806">
        <w:rPr>
          <w:w w:val="105"/>
        </w:rPr>
        <w:t>However,</w:t>
      </w:r>
      <w:r w:rsidRPr="00283806">
        <w:rPr>
          <w:spacing w:val="10"/>
          <w:w w:val="105"/>
        </w:rPr>
        <w:t xml:space="preserve"> </w:t>
      </w:r>
      <w:r w:rsidRPr="00283806">
        <w:rPr>
          <w:w w:val="105"/>
        </w:rPr>
        <w:t>given</w:t>
      </w:r>
      <w:r w:rsidRPr="00283806">
        <w:rPr>
          <w:spacing w:val="11"/>
          <w:w w:val="105"/>
        </w:rPr>
        <w:t xml:space="preserve"> </w:t>
      </w:r>
      <w:r w:rsidRPr="00283806">
        <w:rPr>
          <w:w w:val="105"/>
        </w:rPr>
        <w:t>that</w:t>
      </w:r>
      <w:r w:rsidRPr="00283806">
        <w:rPr>
          <w:spacing w:val="10"/>
          <w:w w:val="105"/>
        </w:rPr>
        <w:t xml:space="preserve"> </w:t>
      </w:r>
      <w:r w:rsidRPr="00283806">
        <w:rPr>
          <w:w w:val="105"/>
        </w:rPr>
        <w:t>the</w:t>
      </w:r>
      <w:r w:rsidRPr="00283806">
        <w:rPr>
          <w:spacing w:val="11"/>
          <w:w w:val="105"/>
        </w:rPr>
        <w:t xml:space="preserve"> </w:t>
      </w:r>
      <w:r w:rsidRPr="00283806">
        <w:rPr>
          <w:spacing w:val="-2"/>
          <w:w w:val="105"/>
        </w:rPr>
        <w:t>potential</w:t>
      </w:r>
    </w:p>
    <w:p w14:paraId="07BE53E0" w14:textId="77777777" w:rsidR="00D67C1E" w:rsidRPr="00283806" w:rsidRDefault="001265CA">
      <w:pPr>
        <w:pStyle w:val="BodyText"/>
        <w:spacing w:line="228" w:lineRule="auto"/>
        <w:ind w:right="7"/>
      </w:pPr>
      <w:r w:rsidRPr="00283806">
        <w:rPr>
          <w:w w:val="105"/>
        </w:rPr>
        <w:t>limitations in the quantities available to be processed would be an industry-wide issue during the first years of the HFC phasedown, EPA agrees with the commenters that a delayed compliance date for the speculative accumulation requirement is warranted. This delayed compliance date is a more efficient use</w:t>
      </w:r>
      <w:r w:rsidRPr="00283806">
        <w:rPr>
          <w:spacing w:val="80"/>
          <w:w w:val="105"/>
        </w:rPr>
        <w:t xml:space="preserve"> </w:t>
      </w:r>
      <w:r w:rsidRPr="00283806">
        <w:rPr>
          <w:w w:val="105"/>
        </w:rPr>
        <w:t>of resources than requiring each affected facility to petition the Agency for an extension</w:t>
      </w:r>
      <w:r w:rsidRPr="00283806">
        <w:rPr>
          <w:spacing w:val="40"/>
          <w:w w:val="105"/>
        </w:rPr>
        <w:t xml:space="preserve"> </w:t>
      </w:r>
      <w:r w:rsidRPr="00283806">
        <w:rPr>
          <w:w w:val="105"/>
        </w:rPr>
        <w:t>and</w:t>
      </w:r>
      <w:r w:rsidRPr="00283806">
        <w:rPr>
          <w:spacing w:val="40"/>
          <w:w w:val="105"/>
        </w:rPr>
        <w:t xml:space="preserve"> </w:t>
      </w:r>
      <w:r w:rsidRPr="00283806">
        <w:rPr>
          <w:w w:val="105"/>
        </w:rPr>
        <w:t>would</w:t>
      </w:r>
      <w:r w:rsidRPr="00283806">
        <w:rPr>
          <w:spacing w:val="40"/>
          <w:w w:val="105"/>
        </w:rPr>
        <w:t xml:space="preserve"> </w:t>
      </w:r>
      <w:r w:rsidRPr="00283806">
        <w:rPr>
          <w:w w:val="105"/>
        </w:rPr>
        <w:t>allow</w:t>
      </w:r>
      <w:r w:rsidRPr="00283806">
        <w:rPr>
          <w:spacing w:val="40"/>
          <w:w w:val="105"/>
        </w:rPr>
        <w:t xml:space="preserve"> </w:t>
      </w:r>
      <w:r w:rsidRPr="00283806">
        <w:rPr>
          <w:w w:val="105"/>
        </w:rPr>
        <w:t>time</w:t>
      </w:r>
      <w:r w:rsidRPr="00283806">
        <w:rPr>
          <w:spacing w:val="40"/>
          <w:w w:val="105"/>
        </w:rPr>
        <w:t xml:space="preserve"> </w:t>
      </w:r>
      <w:r w:rsidRPr="00283806">
        <w:rPr>
          <w:w w:val="105"/>
        </w:rPr>
        <w:t xml:space="preserve">to build up supply to make reclamation more economical for the reclamation </w:t>
      </w:r>
      <w:r w:rsidRPr="00283806">
        <w:rPr>
          <w:spacing w:val="-2"/>
          <w:w w:val="105"/>
        </w:rPr>
        <w:t>facility.</w:t>
      </w:r>
    </w:p>
    <w:p w14:paraId="2BA45A78" w14:textId="77777777" w:rsidR="00D67C1E" w:rsidRPr="00283806" w:rsidRDefault="001265CA">
      <w:pPr>
        <w:pStyle w:val="BodyText"/>
        <w:spacing w:line="174" w:lineRule="exact"/>
        <w:ind w:left="340"/>
      </w:pPr>
      <w:r w:rsidRPr="00283806">
        <w:rPr>
          <w:w w:val="110"/>
        </w:rPr>
        <w:t>Accordingly,</w:t>
      </w:r>
      <w:r w:rsidRPr="00283806">
        <w:rPr>
          <w:spacing w:val="6"/>
          <w:w w:val="110"/>
        </w:rPr>
        <w:t xml:space="preserve"> </w:t>
      </w:r>
      <w:r w:rsidRPr="00283806">
        <w:rPr>
          <w:w w:val="110"/>
        </w:rPr>
        <w:t>EPA</w:t>
      </w:r>
      <w:r w:rsidRPr="00283806">
        <w:rPr>
          <w:spacing w:val="6"/>
          <w:w w:val="110"/>
        </w:rPr>
        <w:t xml:space="preserve"> </w:t>
      </w:r>
      <w:r w:rsidRPr="00283806">
        <w:rPr>
          <w:w w:val="110"/>
        </w:rPr>
        <w:t>is</w:t>
      </w:r>
      <w:r w:rsidRPr="00283806">
        <w:rPr>
          <w:spacing w:val="6"/>
          <w:w w:val="110"/>
        </w:rPr>
        <w:t xml:space="preserve"> </w:t>
      </w:r>
      <w:r w:rsidRPr="00283806">
        <w:rPr>
          <w:w w:val="110"/>
        </w:rPr>
        <w:t>delaying</w:t>
      </w:r>
      <w:r w:rsidRPr="00283806">
        <w:rPr>
          <w:spacing w:val="6"/>
          <w:w w:val="110"/>
        </w:rPr>
        <w:t xml:space="preserve"> </w:t>
      </w:r>
      <w:r w:rsidRPr="00283806">
        <w:rPr>
          <w:spacing w:val="-5"/>
          <w:w w:val="110"/>
        </w:rPr>
        <w:t>the</w:t>
      </w:r>
    </w:p>
    <w:p w14:paraId="5B2F79DF" w14:textId="77777777" w:rsidR="00D67C1E" w:rsidRPr="00283806" w:rsidRDefault="001265CA">
      <w:pPr>
        <w:pStyle w:val="BodyText"/>
        <w:spacing w:line="228" w:lineRule="auto"/>
        <w:ind w:right="128"/>
      </w:pPr>
      <w:r w:rsidRPr="00283806">
        <w:rPr>
          <w:w w:val="105"/>
        </w:rPr>
        <w:t>compliance date for the speculative accumulation time limit until the</w:t>
      </w:r>
    </w:p>
    <w:p w14:paraId="47633667" w14:textId="77777777" w:rsidR="00D67C1E" w:rsidRPr="00283806" w:rsidRDefault="001265CA">
      <w:pPr>
        <w:pStyle w:val="BodyText"/>
        <w:spacing w:before="135" w:line="225" w:lineRule="auto"/>
        <w:ind w:left="144" w:right="31"/>
      </w:pPr>
      <w:r w:rsidRPr="00283806">
        <w:br w:type="column"/>
      </w:r>
      <w:r w:rsidRPr="00283806">
        <w:rPr>
          <w:w w:val="105"/>
        </w:rPr>
        <w:t>alternative RCRA standards are met. The speculative accumulation limits would then begin to apply during calendar year 2029. In other words, by December 31, 2029, reclaimers must reclaim 75</w:t>
      </w:r>
      <w:r w:rsidRPr="00283806">
        <w:rPr>
          <w:spacing w:val="40"/>
          <w:w w:val="105"/>
        </w:rPr>
        <w:t xml:space="preserve"> </w:t>
      </w:r>
      <w:r w:rsidRPr="00283806">
        <w:rPr>
          <w:w w:val="105"/>
        </w:rPr>
        <w:t>percent of the inventory of ignitable</w:t>
      </w:r>
      <w:r w:rsidRPr="00283806">
        <w:rPr>
          <w:spacing w:val="40"/>
          <w:w w:val="105"/>
        </w:rPr>
        <w:t xml:space="preserve"> </w:t>
      </w:r>
      <w:r w:rsidRPr="00283806">
        <w:rPr>
          <w:w w:val="105"/>
        </w:rPr>
        <w:t xml:space="preserve">spent refrigerant that was present on- site on January 1, 2029. If they </w:t>
      </w:r>
      <w:proofErr w:type="gramStart"/>
      <w:r w:rsidRPr="00283806">
        <w:rPr>
          <w:w w:val="105"/>
        </w:rPr>
        <w:t>will be</w:t>
      </w:r>
      <w:proofErr w:type="gramEnd"/>
      <w:r w:rsidRPr="00283806">
        <w:rPr>
          <w:w w:val="105"/>
        </w:rPr>
        <w:t xml:space="preserve"> unable to meet this deadline, they may submit a petition for an extension under 40 CFR 260.31 using the procedures in</w:t>
      </w:r>
      <w:r w:rsidRPr="00283806">
        <w:rPr>
          <w:spacing w:val="40"/>
          <w:w w:val="105"/>
        </w:rPr>
        <w:t xml:space="preserve"> </w:t>
      </w:r>
      <w:r w:rsidRPr="00283806">
        <w:rPr>
          <w:w w:val="105"/>
        </w:rPr>
        <w:t>40 CFR 260.33, or they must manage</w:t>
      </w:r>
      <w:r w:rsidRPr="00283806">
        <w:rPr>
          <w:spacing w:val="40"/>
          <w:w w:val="105"/>
        </w:rPr>
        <w:t xml:space="preserve"> </w:t>
      </w:r>
      <w:r w:rsidRPr="00283806">
        <w:rPr>
          <w:w w:val="105"/>
        </w:rPr>
        <w:t>their inventory of ignitable spent refrigerant as hazardous waste.</w:t>
      </w:r>
    </w:p>
    <w:p w14:paraId="442AF7D1" w14:textId="77777777" w:rsidR="00D67C1E" w:rsidRPr="00283806" w:rsidRDefault="001265CA">
      <w:pPr>
        <w:pStyle w:val="BodyText"/>
        <w:spacing w:line="213" w:lineRule="auto"/>
        <w:ind w:left="144" w:right="10" w:firstLine="180"/>
      </w:pPr>
      <w:r w:rsidRPr="00283806">
        <w:rPr>
          <w:rFonts w:ascii="Book Antiqua"/>
          <w:i/>
        </w:rPr>
        <w:t xml:space="preserve">Comment: </w:t>
      </w:r>
      <w:r w:rsidRPr="00283806">
        <w:t>One commenter requested</w:t>
      </w:r>
      <w:r w:rsidRPr="00283806">
        <w:rPr>
          <w:spacing w:val="40"/>
          <w:w w:val="110"/>
        </w:rPr>
        <w:t xml:space="preserve"> </w:t>
      </w:r>
      <w:r w:rsidRPr="00283806">
        <w:rPr>
          <w:w w:val="110"/>
        </w:rPr>
        <w:t>clarification on how the new RCRA</w:t>
      </w:r>
    </w:p>
    <w:p w14:paraId="3F71E411" w14:textId="77777777" w:rsidR="00D67C1E" w:rsidRPr="00283806" w:rsidRDefault="001265CA">
      <w:pPr>
        <w:pStyle w:val="BodyText"/>
        <w:spacing w:line="225" w:lineRule="auto"/>
        <w:ind w:left="144" w:right="238"/>
        <w:rPr>
          <w:sz w:val="11"/>
        </w:rPr>
      </w:pPr>
      <w:proofErr w:type="gramStart"/>
      <w:r w:rsidRPr="00283806">
        <w:rPr>
          <w:w w:val="105"/>
        </w:rPr>
        <w:t>alternative</w:t>
      </w:r>
      <w:proofErr w:type="gramEnd"/>
      <w:r w:rsidRPr="00283806">
        <w:rPr>
          <w:w w:val="105"/>
        </w:rPr>
        <w:t xml:space="preserve"> standards would apply to </w:t>
      </w:r>
      <w:proofErr w:type="gramStart"/>
      <w:r w:rsidRPr="00283806">
        <w:rPr>
          <w:w w:val="105"/>
        </w:rPr>
        <w:t>persons</w:t>
      </w:r>
      <w:proofErr w:type="gramEnd"/>
      <w:r w:rsidRPr="00283806">
        <w:rPr>
          <w:spacing w:val="-7"/>
          <w:w w:val="105"/>
        </w:rPr>
        <w:t xml:space="preserve"> </w:t>
      </w:r>
      <w:r w:rsidRPr="00283806">
        <w:rPr>
          <w:w w:val="105"/>
        </w:rPr>
        <w:t>who</w:t>
      </w:r>
      <w:r w:rsidRPr="00283806">
        <w:rPr>
          <w:spacing w:val="-7"/>
          <w:w w:val="105"/>
        </w:rPr>
        <w:t xml:space="preserve"> </w:t>
      </w:r>
      <w:r w:rsidRPr="00283806">
        <w:rPr>
          <w:w w:val="105"/>
        </w:rPr>
        <w:t>receive</w:t>
      </w:r>
      <w:r w:rsidRPr="00283806">
        <w:rPr>
          <w:spacing w:val="-7"/>
          <w:w w:val="105"/>
        </w:rPr>
        <w:t xml:space="preserve"> </w:t>
      </w:r>
      <w:r w:rsidRPr="00283806">
        <w:rPr>
          <w:w w:val="105"/>
        </w:rPr>
        <w:t>refrigerants</w:t>
      </w:r>
      <w:r w:rsidRPr="00283806">
        <w:rPr>
          <w:spacing w:val="-7"/>
          <w:w w:val="105"/>
        </w:rPr>
        <w:t xml:space="preserve"> </w:t>
      </w:r>
      <w:r w:rsidRPr="00283806">
        <w:rPr>
          <w:w w:val="105"/>
        </w:rPr>
        <w:t xml:space="preserve">from off-site but do not recycle them for </w:t>
      </w:r>
      <w:r w:rsidRPr="00283806">
        <w:rPr>
          <w:spacing w:val="-2"/>
          <w:w w:val="105"/>
        </w:rPr>
        <w:t>reuse.</w:t>
      </w:r>
      <w:r w:rsidRPr="00283806">
        <w:rPr>
          <w:spacing w:val="-2"/>
          <w:w w:val="105"/>
          <w:position w:val="5"/>
          <w:sz w:val="11"/>
        </w:rPr>
        <w:t>147</w:t>
      </w:r>
    </w:p>
    <w:p w14:paraId="0F474389" w14:textId="77777777" w:rsidR="00D67C1E" w:rsidRPr="00283806" w:rsidRDefault="001265CA">
      <w:pPr>
        <w:pStyle w:val="BodyText"/>
        <w:spacing w:line="213" w:lineRule="auto"/>
        <w:ind w:left="144" w:right="10" w:firstLine="180"/>
      </w:pPr>
      <w:r w:rsidRPr="00283806">
        <w:rPr>
          <w:rFonts w:ascii="Book Antiqua"/>
          <w:i/>
          <w:w w:val="105"/>
        </w:rPr>
        <w:t xml:space="preserve">Response: </w:t>
      </w:r>
      <w:r w:rsidRPr="00283806">
        <w:rPr>
          <w:w w:val="105"/>
        </w:rPr>
        <w:t>EPA agrees that if a facility receives ignitable spent refrigerant but</w:t>
      </w:r>
    </w:p>
    <w:p w14:paraId="3BF68CB3" w14:textId="77777777" w:rsidR="00D67C1E" w:rsidRPr="00283806" w:rsidRDefault="001265CA">
      <w:pPr>
        <w:pStyle w:val="BodyText"/>
        <w:spacing w:line="225" w:lineRule="auto"/>
        <w:ind w:left="144" w:right="120"/>
      </w:pPr>
      <w:r w:rsidRPr="00283806">
        <w:rPr>
          <w:w w:val="105"/>
        </w:rPr>
        <w:t>does not recycle it for reuse, then it should not be subject to the proposed standard that requires off-site facilities to maintain certification by EPA under 40 CFR 82.164. (See 88 FR 72275,</w:t>
      </w:r>
    </w:p>
    <w:p w14:paraId="7C809620" w14:textId="77777777" w:rsidR="00D67C1E" w:rsidRPr="00283806" w:rsidRDefault="001265CA">
      <w:pPr>
        <w:pStyle w:val="BodyText"/>
        <w:spacing w:line="225" w:lineRule="auto"/>
        <w:ind w:left="144" w:right="120"/>
      </w:pPr>
      <w:r w:rsidRPr="00283806">
        <w:rPr>
          <w:w w:val="105"/>
        </w:rPr>
        <w:t>October 19, 2023). However, if such a facility stores the ignitable spent refrigerant</w:t>
      </w:r>
      <w:r w:rsidRPr="00283806">
        <w:rPr>
          <w:spacing w:val="-2"/>
          <w:w w:val="105"/>
        </w:rPr>
        <w:t xml:space="preserve"> </w:t>
      </w:r>
      <w:r w:rsidRPr="00283806">
        <w:rPr>
          <w:w w:val="105"/>
        </w:rPr>
        <w:t>for</w:t>
      </w:r>
      <w:r w:rsidRPr="00283806">
        <w:rPr>
          <w:spacing w:val="-2"/>
          <w:w w:val="105"/>
        </w:rPr>
        <w:t xml:space="preserve"> </w:t>
      </w:r>
      <w:r w:rsidRPr="00283806">
        <w:rPr>
          <w:w w:val="105"/>
        </w:rPr>
        <w:t>more</w:t>
      </w:r>
      <w:r w:rsidRPr="00283806">
        <w:rPr>
          <w:spacing w:val="-2"/>
          <w:w w:val="105"/>
        </w:rPr>
        <w:t xml:space="preserve"> </w:t>
      </w:r>
      <w:r w:rsidRPr="00283806">
        <w:rPr>
          <w:w w:val="105"/>
        </w:rPr>
        <w:t>than</w:t>
      </w:r>
      <w:r w:rsidRPr="00283806">
        <w:rPr>
          <w:spacing w:val="-2"/>
          <w:w w:val="105"/>
        </w:rPr>
        <w:t xml:space="preserve"> </w:t>
      </w:r>
      <w:r w:rsidRPr="00283806">
        <w:rPr>
          <w:w w:val="105"/>
        </w:rPr>
        <w:t>10</w:t>
      </w:r>
      <w:r w:rsidRPr="00283806">
        <w:rPr>
          <w:spacing w:val="-2"/>
          <w:w w:val="105"/>
        </w:rPr>
        <w:t xml:space="preserve"> </w:t>
      </w:r>
      <w:r w:rsidRPr="00283806">
        <w:rPr>
          <w:w w:val="105"/>
        </w:rPr>
        <w:t>days</w:t>
      </w:r>
      <w:r w:rsidRPr="00283806">
        <w:rPr>
          <w:spacing w:val="-2"/>
          <w:w w:val="105"/>
        </w:rPr>
        <w:t xml:space="preserve"> </w:t>
      </w:r>
      <w:r w:rsidRPr="00283806">
        <w:rPr>
          <w:w w:val="105"/>
        </w:rPr>
        <w:t>in</w:t>
      </w:r>
      <w:r w:rsidRPr="00283806">
        <w:rPr>
          <w:spacing w:val="-2"/>
          <w:w w:val="105"/>
        </w:rPr>
        <w:t xml:space="preserve"> </w:t>
      </w:r>
      <w:r w:rsidRPr="00283806">
        <w:rPr>
          <w:w w:val="105"/>
        </w:rPr>
        <w:t>the normal course of transportation,</w:t>
      </w:r>
      <w:r w:rsidRPr="00283806">
        <w:rPr>
          <w:w w:val="105"/>
          <w:position w:val="5"/>
          <w:sz w:val="11"/>
        </w:rPr>
        <w:t>148</w:t>
      </w:r>
      <w:r w:rsidRPr="00283806">
        <w:rPr>
          <w:spacing w:val="34"/>
          <w:w w:val="105"/>
          <w:position w:val="5"/>
          <w:sz w:val="11"/>
        </w:rPr>
        <w:t xml:space="preserve"> </w:t>
      </w:r>
      <w:r w:rsidRPr="00283806">
        <w:rPr>
          <w:w w:val="105"/>
        </w:rPr>
        <w:t>the same requirements regarding speculative accumulation and the risks of fire and explosions that EPA identified in the proposal concerning off-site facilities receiving and accumulating ignitable spent refrigerants would still apply (88 FR 72275–72276,</w:t>
      </w:r>
      <w:r w:rsidRPr="00283806">
        <w:rPr>
          <w:spacing w:val="-3"/>
          <w:w w:val="105"/>
        </w:rPr>
        <w:t xml:space="preserve"> </w:t>
      </w:r>
      <w:r w:rsidRPr="00283806">
        <w:rPr>
          <w:w w:val="105"/>
        </w:rPr>
        <w:t>October</w:t>
      </w:r>
      <w:r w:rsidRPr="00283806">
        <w:rPr>
          <w:spacing w:val="-3"/>
          <w:w w:val="105"/>
        </w:rPr>
        <w:t xml:space="preserve"> </w:t>
      </w:r>
      <w:r w:rsidRPr="00283806">
        <w:rPr>
          <w:w w:val="105"/>
        </w:rPr>
        <w:t>19,</w:t>
      </w:r>
      <w:r w:rsidRPr="00283806">
        <w:rPr>
          <w:spacing w:val="-3"/>
          <w:w w:val="105"/>
        </w:rPr>
        <w:t xml:space="preserve"> </w:t>
      </w:r>
      <w:r w:rsidRPr="00283806">
        <w:rPr>
          <w:w w:val="105"/>
        </w:rPr>
        <w:t>2023).</w:t>
      </w:r>
      <w:r w:rsidRPr="00283806">
        <w:rPr>
          <w:spacing w:val="-3"/>
          <w:w w:val="105"/>
        </w:rPr>
        <w:t xml:space="preserve"> </w:t>
      </w:r>
      <w:r w:rsidRPr="00283806">
        <w:rPr>
          <w:w w:val="105"/>
        </w:rPr>
        <w:t>Thus,</w:t>
      </w:r>
    </w:p>
    <w:p w14:paraId="6C0C476D" w14:textId="77777777" w:rsidR="00D67C1E" w:rsidRPr="00283806" w:rsidRDefault="001265CA">
      <w:pPr>
        <w:pStyle w:val="BodyText"/>
        <w:spacing w:line="225" w:lineRule="auto"/>
        <w:ind w:left="144" w:right="33"/>
      </w:pPr>
      <w:r w:rsidRPr="00283806">
        <w:rPr>
          <w:w w:val="105"/>
        </w:rPr>
        <w:t>in the final rule EPA is including</w:t>
      </w:r>
      <w:r w:rsidRPr="00283806">
        <w:rPr>
          <w:spacing w:val="40"/>
          <w:w w:val="105"/>
        </w:rPr>
        <w:t xml:space="preserve"> </w:t>
      </w:r>
      <w:r w:rsidRPr="00283806">
        <w:rPr>
          <w:w w:val="105"/>
        </w:rPr>
        <w:t>clarifying language to explain that persons who receive ignitable spent refrigerants from off-site, and are not a transfer facility that stores the refrigerants for less than 10 days before sending the refrigerant to another site to be recycled for reuse must: (1) Meet the emergency preparedness and response requirements of 40 CFR part 261,</w:t>
      </w:r>
      <w:r w:rsidRPr="00283806">
        <w:rPr>
          <w:spacing w:val="40"/>
          <w:w w:val="105"/>
        </w:rPr>
        <w:t xml:space="preserve"> </w:t>
      </w:r>
      <w:r w:rsidRPr="00283806">
        <w:rPr>
          <w:w w:val="105"/>
        </w:rPr>
        <w:t>subpart M; and (2) not speculatively accumulate the ignitable spent</w:t>
      </w:r>
      <w:r w:rsidRPr="00283806">
        <w:rPr>
          <w:spacing w:val="40"/>
          <w:w w:val="105"/>
        </w:rPr>
        <w:t xml:space="preserve"> </w:t>
      </w:r>
      <w:r w:rsidRPr="00283806">
        <w:rPr>
          <w:w w:val="105"/>
        </w:rPr>
        <w:t>refrigerant per 40 CFR 261.1(c). This could</w:t>
      </w:r>
      <w:r w:rsidRPr="00283806">
        <w:rPr>
          <w:spacing w:val="40"/>
          <w:w w:val="105"/>
        </w:rPr>
        <w:t xml:space="preserve"> </w:t>
      </w:r>
      <w:r w:rsidRPr="00283806">
        <w:rPr>
          <w:w w:val="105"/>
        </w:rPr>
        <w:t>include</w:t>
      </w:r>
      <w:r w:rsidRPr="00283806">
        <w:rPr>
          <w:spacing w:val="40"/>
          <w:w w:val="105"/>
        </w:rPr>
        <w:t xml:space="preserve"> </w:t>
      </w:r>
      <w:r w:rsidRPr="00283806">
        <w:rPr>
          <w:w w:val="105"/>
        </w:rPr>
        <w:t>those</w:t>
      </w:r>
      <w:r w:rsidRPr="00283806">
        <w:rPr>
          <w:spacing w:val="40"/>
          <w:w w:val="105"/>
        </w:rPr>
        <w:t xml:space="preserve"> </w:t>
      </w:r>
      <w:r w:rsidRPr="00283806">
        <w:rPr>
          <w:w w:val="105"/>
        </w:rPr>
        <w:t>in</w:t>
      </w:r>
      <w:r w:rsidRPr="00283806">
        <w:rPr>
          <w:spacing w:val="40"/>
          <w:w w:val="105"/>
        </w:rPr>
        <w:t xml:space="preserve"> </w:t>
      </w:r>
      <w:r w:rsidRPr="00283806">
        <w:rPr>
          <w:w w:val="105"/>
        </w:rPr>
        <w:t>the</w:t>
      </w:r>
      <w:r w:rsidRPr="00283806">
        <w:rPr>
          <w:spacing w:val="40"/>
          <w:w w:val="105"/>
        </w:rPr>
        <w:t xml:space="preserve"> </w:t>
      </w:r>
      <w:r w:rsidRPr="00283806">
        <w:rPr>
          <w:w w:val="105"/>
        </w:rPr>
        <w:t>reverse supply chain (</w:t>
      </w:r>
      <w:r w:rsidRPr="00283806">
        <w:rPr>
          <w:rFonts w:ascii="Book Antiqua"/>
          <w:i/>
          <w:w w:val="105"/>
        </w:rPr>
        <w:t xml:space="preserve">e.g., </w:t>
      </w:r>
      <w:r w:rsidRPr="00283806">
        <w:rPr>
          <w:w w:val="105"/>
        </w:rPr>
        <w:t xml:space="preserve">distributors or wholesalers) or final processors who receive disposable cylinders and remove heels and consolidate them before discarding the cylinder (see section </w:t>
      </w:r>
      <w:r w:rsidRPr="00283806">
        <w:rPr>
          <w:spacing w:val="-2"/>
          <w:w w:val="105"/>
        </w:rPr>
        <w:t>IV.G.1).</w:t>
      </w:r>
    </w:p>
    <w:p w14:paraId="2E1D1FE7" w14:textId="77777777" w:rsidR="00D67C1E" w:rsidRPr="00283806" w:rsidRDefault="001265CA">
      <w:pPr>
        <w:pStyle w:val="BodyText"/>
        <w:spacing w:line="216" w:lineRule="auto"/>
        <w:ind w:left="144" w:right="10" w:firstLine="180"/>
      </w:pPr>
      <w:r w:rsidRPr="00283806">
        <w:rPr>
          <w:rFonts w:ascii="Book Antiqua"/>
          <w:i/>
          <w:w w:val="105"/>
        </w:rPr>
        <w:t xml:space="preserve">Comment: </w:t>
      </w:r>
      <w:r w:rsidRPr="00283806">
        <w:rPr>
          <w:w w:val="105"/>
        </w:rPr>
        <w:t xml:space="preserve">Finally, one commenter suggested </w:t>
      </w:r>
      <w:proofErr w:type="gramStart"/>
      <w:r w:rsidRPr="00283806">
        <w:rPr>
          <w:w w:val="105"/>
        </w:rPr>
        <w:t>a number of</w:t>
      </w:r>
      <w:proofErr w:type="gramEnd"/>
      <w:r w:rsidRPr="00283806">
        <w:rPr>
          <w:w w:val="105"/>
        </w:rPr>
        <w:t xml:space="preserve"> technical</w:t>
      </w:r>
    </w:p>
    <w:p w14:paraId="2E5DABC6" w14:textId="77777777" w:rsidR="00D67C1E" w:rsidRPr="00283806" w:rsidRDefault="001265CA">
      <w:pPr>
        <w:pStyle w:val="BodyText"/>
        <w:spacing w:before="134" w:line="228" w:lineRule="auto"/>
        <w:ind w:left="143" w:right="173"/>
        <w:rPr>
          <w:sz w:val="11"/>
        </w:rPr>
      </w:pPr>
      <w:r w:rsidRPr="00283806">
        <w:br w:type="column"/>
      </w:r>
      <w:r w:rsidRPr="00283806">
        <w:t>to the proposed regulatory language for</w:t>
      </w:r>
      <w:r w:rsidRPr="00283806">
        <w:rPr>
          <w:w w:val="110"/>
        </w:rPr>
        <w:t xml:space="preserve"> the alternative RCRA standards </w:t>
      </w:r>
      <w:r w:rsidRPr="00283806">
        <w:rPr>
          <w:spacing w:val="-2"/>
          <w:w w:val="110"/>
        </w:rPr>
        <w:t>including</w:t>
      </w:r>
      <w:r w:rsidRPr="00283806">
        <w:rPr>
          <w:spacing w:val="-5"/>
          <w:w w:val="110"/>
        </w:rPr>
        <w:t xml:space="preserve"> </w:t>
      </w:r>
      <w:r w:rsidRPr="00283806">
        <w:rPr>
          <w:spacing w:val="-2"/>
          <w:w w:val="110"/>
        </w:rPr>
        <w:t>a</w:t>
      </w:r>
      <w:r w:rsidRPr="00283806">
        <w:rPr>
          <w:spacing w:val="-5"/>
          <w:w w:val="110"/>
        </w:rPr>
        <w:t xml:space="preserve"> </w:t>
      </w:r>
      <w:r w:rsidRPr="00283806">
        <w:rPr>
          <w:spacing w:val="-2"/>
          <w:w w:val="110"/>
        </w:rPr>
        <w:t>suggestion</w:t>
      </w:r>
      <w:r w:rsidRPr="00283806">
        <w:rPr>
          <w:spacing w:val="-5"/>
          <w:w w:val="110"/>
        </w:rPr>
        <w:t xml:space="preserve"> </w:t>
      </w:r>
      <w:r w:rsidRPr="00283806">
        <w:rPr>
          <w:spacing w:val="-2"/>
          <w:w w:val="110"/>
        </w:rPr>
        <w:t>that</w:t>
      </w:r>
      <w:r w:rsidRPr="00283806">
        <w:rPr>
          <w:spacing w:val="-5"/>
          <w:w w:val="110"/>
        </w:rPr>
        <w:t xml:space="preserve"> </w:t>
      </w:r>
      <w:r w:rsidRPr="00283806">
        <w:rPr>
          <w:spacing w:val="-2"/>
          <w:w w:val="110"/>
        </w:rPr>
        <w:t>EPA</w:t>
      </w:r>
      <w:r w:rsidRPr="00283806">
        <w:rPr>
          <w:spacing w:val="-5"/>
          <w:w w:val="110"/>
        </w:rPr>
        <w:t xml:space="preserve"> </w:t>
      </w:r>
      <w:r w:rsidRPr="00283806">
        <w:rPr>
          <w:spacing w:val="-2"/>
          <w:w w:val="110"/>
        </w:rPr>
        <w:t xml:space="preserve">remove </w:t>
      </w:r>
      <w:r w:rsidRPr="00283806">
        <w:rPr>
          <w:w w:val="110"/>
        </w:rPr>
        <w:t>the term ‘‘alternative,’’ since the new requirements are not optional.</w:t>
      </w:r>
      <w:r w:rsidRPr="00283806">
        <w:rPr>
          <w:w w:val="110"/>
          <w:position w:val="5"/>
          <w:sz w:val="11"/>
        </w:rPr>
        <w:t>149</w:t>
      </w:r>
    </w:p>
    <w:p w14:paraId="5A939003" w14:textId="77777777" w:rsidR="00D67C1E" w:rsidRPr="00283806" w:rsidRDefault="001265CA">
      <w:pPr>
        <w:pStyle w:val="BodyText"/>
        <w:spacing w:before="49" w:line="225" w:lineRule="auto"/>
        <w:ind w:left="143" w:right="121" w:firstLine="180"/>
      </w:pPr>
      <w:r w:rsidRPr="00283806">
        <w:rPr>
          <w:rFonts w:ascii="Book Antiqua" w:hAnsi="Book Antiqua"/>
          <w:i/>
          <w:w w:val="110"/>
        </w:rPr>
        <w:t xml:space="preserve">Response: </w:t>
      </w:r>
      <w:r w:rsidRPr="00283806">
        <w:rPr>
          <w:w w:val="110"/>
        </w:rPr>
        <w:t xml:space="preserve">EPA has </w:t>
      </w:r>
      <w:proofErr w:type="gramStart"/>
      <w:r w:rsidRPr="00283806">
        <w:rPr>
          <w:w w:val="110"/>
        </w:rPr>
        <w:t>made revisions to</w:t>
      </w:r>
      <w:proofErr w:type="gramEnd"/>
      <w:r w:rsidRPr="00283806">
        <w:rPr>
          <w:w w:val="110"/>
        </w:rPr>
        <w:t xml:space="preserve"> the language in response to these suggestions. </w:t>
      </w:r>
      <w:proofErr w:type="gramStart"/>
      <w:r w:rsidRPr="00283806">
        <w:rPr>
          <w:w w:val="110"/>
        </w:rPr>
        <w:t>In regard to</w:t>
      </w:r>
      <w:proofErr w:type="gramEnd"/>
      <w:r w:rsidRPr="00283806">
        <w:rPr>
          <w:w w:val="110"/>
        </w:rPr>
        <w:t xml:space="preserve"> the comment requesting that EPA remove the description of the new RCRA standards as ‘‘alternative,’’ EPA agrees with the comment that they are not optional for </w:t>
      </w:r>
      <w:proofErr w:type="gramStart"/>
      <w:r w:rsidRPr="00283806">
        <w:rPr>
          <w:w w:val="110"/>
        </w:rPr>
        <w:t>persons</w:t>
      </w:r>
      <w:proofErr w:type="gramEnd"/>
      <w:r w:rsidRPr="00283806">
        <w:rPr>
          <w:w w:val="110"/>
        </w:rPr>
        <w:t xml:space="preserve"> who wish to recycle ignitable </w:t>
      </w:r>
      <w:r w:rsidRPr="00283806">
        <w:t xml:space="preserve">spent refrigerant for </w:t>
      </w:r>
      <w:proofErr w:type="gramStart"/>
      <w:r w:rsidRPr="00283806">
        <w:t>reuse</w:t>
      </w:r>
      <w:proofErr w:type="gramEnd"/>
      <w:r w:rsidRPr="00283806">
        <w:t>. However, the</w:t>
      </w:r>
      <w:r w:rsidRPr="00283806">
        <w:rPr>
          <w:spacing w:val="40"/>
        </w:rPr>
        <w:t xml:space="preserve"> </w:t>
      </w:r>
      <w:r w:rsidRPr="00283806">
        <w:t>new</w:t>
      </w:r>
      <w:r w:rsidRPr="00283806">
        <w:rPr>
          <w:spacing w:val="40"/>
        </w:rPr>
        <w:t xml:space="preserve"> </w:t>
      </w:r>
      <w:r w:rsidRPr="00283806">
        <w:t>standards</w:t>
      </w:r>
      <w:r w:rsidRPr="00283806">
        <w:rPr>
          <w:spacing w:val="40"/>
        </w:rPr>
        <w:t xml:space="preserve"> </w:t>
      </w:r>
      <w:r w:rsidRPr="00283806">
        <w:t>do</w:t>
      </w:r>
      <w:r w:rsidRPr="00283806">
        <w:rPr>
          <w:spacing w:val="40"/>
        </w:rPr>
        <w:t xml:space="preserve"> </w:t>
      </w:r>
      <w:r w:rsidRPr="00283806">
        <w:t>provide</w:t>
      </w:r>
      <w:r w:rsidRPr="00283806">
        <w:rPr>
          <w:spacing w:val="40"/>
        </w:rPr>
        <w:t xml:space="preserve"> </w:t>
      </w:r>
      <w:r w:rsidRPr="00283806">
        <w:t>an</w:t>
      </w:r>
      <w:r w:rsidRPr="00283806">
        <w:rPr>
          <w:spacing w:val="40"/>
        </w:rPr>
        <w:t xml:space="preserve"> </w:t>
      </w:r>
      <w:r w:rsidRPr="00283806">
        <w:t>alternative</w:t>
      </w:r>
      <w:r w:rsidRPr="00283806">
        <w:rPr>
          <w:spacing w:val="40"/>
        </w:rPr>
        <w:t xml:space="preserve"> </w:t>
      </w:r>
      <w:r w:rsidRPr="00283806">
        <w:t>to the requirements for hazardous waste</w:t>
      </w:r>
      <w:r w:rsidRPr="00283806">
        <w:rPr>
          <w:w w:val="110"/>
        </w:rPr>
        <w:t xml:space="preserve"> disposal at 40 CFR parts 262 through 270,</w:t>
      </w:r>
      <w:r w:rsidRPr="00283806">
        <w:rPr>
          <w:spacing w:val="-1"/>
          <w:w w:val="110"/>
        </w:rPr>
        <w:t xml:space="preserve"> </w:t>
      </w:r>
      <w:r w:rsidRPr="00283806">
        <w:rPr>
          <w:w w:val="110"/>
        </w:rPr>
        <w:t>and</w:t>
      </w:r>
      <w:r w:rsidRPr="00283806">
        <w:rPr>
          <w:spacing w:val="-1"/>
          <w:w w:val="110"/>
        </w:rPr>
        <w:t xml:space="preserve"> </w:t>
      </w:r>
      <w:r w:rsidRPr="00283806">
        <w:rPr>
          <w:w w:val="110"/>
        </w:rPr>
        <w:t>the</w:t>
      </w:r>
      <w:r w:rsidRPr="00283806">
        <w:rPr>
          <w:spacing w:val="-1"/>
          <w:w w:val="110"/>
        </w:rPr>
        <w:t xml:space="preserve"> </w:t>
      </w:r>
      <w:r w:rsidRPr="00283806">
        <w:rPr>
          <w:w w:val="110"/>
        </w:rPr>
        <w:t>term</w:t>
      </w:r>
      <w:r w:rsidRPr="00283806">
        <w:rPr>
          <w:spacing w:val="-1"/>
          <w:w w:val="110"/>
        </w:rPr>
        <w:t xml:space="preserve"> </w:t>
      </w:r>
      <w:r w:rsidRPr="00283806">
        <w:rPr>
          <w:w w:val="110"/>
        </w:rPr>
        <w:t>was</w:t>
      </w:r>
      <w:r w:rsidRPr="00283806">
        <w:rPr>
          <w:spacing w:val="-1"/>
          <w:w w:val="110"/>
        </w:rPr>
        <w:t xml:space="preserve"> </w:t>
      </w:r>
      <w:r w:rsidRPr="00283806">
        <w:rPr>
          <w:w w:val="110"/>
        </w:rPr>
        <w:t>used</w:t>
      </w:r>
      <w:r w:rsidRPr="00283806">
        <w:rPr>
          <w:spacing w:val="-1"/>
          <w:w w:val="110"/>
        </w:rPr>
        <w:t xml:space="preserve"> </w:t>
      </w:r>
      <w:r w:rsidRPr="00283806">
        <w:rPr>
          <w:w w:val="110"/>
        </w:rPr>
        <w:t>extensively in the proposed rule and communications</w:t>
      </w:r>
      <w:r w:rsidRPr="00283806">
        <w:rPr>
          <w:spacing w:val="-11"/>
          <w:w w:val="110"/>
        </w:rPr>
        <w:t xml:space="preserve"> </w:t>
      </w:r>
      <w:r w:rsidRPr="00283806">
        <w:rPr>
          <w:w w:val="110"/>
        </w:rPr>
        <w:t>materials.</w:t>
      </w:r>
      <w:r w:rsidRPr="00283806">
        <w:rPr>
          <w:spacing w:val="-11"/>
          <w:w w:val="110"/>
        </w:rPr>
        <w:t xml:space="preserve"> </w:t>
      </w:r>
      <w:r w:rsidRPr="00283806">
        <w:rPr>
          <w:w w:val="110"/>
        </w:rPr>
        <w:t>Thus,</w:t>
      </w:r>
      <w:r w:rsidRPr="00283806">
        <w:rPr>
          <w:spacing w:val="-11"/>
          <w:w w:val="110"/>
        </w:rPr>
        <w:t xml:space="preserve"> </w:t>
      </w:r>
      <w:r w:rsidRPr="00283806">
        <w:rPr>
          <w:w w:val="110"/>
        </w:rPr>
        <w:t>EPA</w:t>
      </w:r>
      <w:r w:rsidRPr="00283806">
        <w:rPr>
          <w:spacing w:val="-11"/>
          <w:w w:val="110"/>
        </w:rPr>
        <w:t xml:space="preserve"> </w:t>
      </w:r>
      <w:r w:rsidRPr="00283806">
        <w:rPr>
          <w:w w:val="110"/>
        </w:rPr>
        <w:t xml:space="preserve">is maintaining the description of the new 40 CFR part 266, subpart Q, as ‘‘alternative standards’’ to distinguish them from the RCRA hazardous waste </w:t>
      </w:r>
      <w:r w:rsidRPr="00283806">
        <w:rPr>
          <w:spacing w:val="-2"/>
          <w:w w:val="110"/>
        </w:rPr>
        <w:t>disposal</w:t>
      </w:r>
      <w:r w:rsidRPr="00283806">
        <w:rPr>
          <w:spacing w:val="-4"/>
          <w:w w:val="110"/>
        </w:rPr>
        <w:t xml:space="preserve"> </w:t>
      </w:r>
      <w:proofErr w:type="gramStart"/>
      <w:r w:rsidRPr="00283806">
        <w:rPr>
          <w:spacing w:val="-2"/>
          <w:w w:val="110"/>
        </w:rPr>
        <w:t>standards,</w:t>
      </w:r>
      <w:r w:rsidRPr="00283806">
        <w:rPr>
          <w:spacing w:val="-4"/>
          <w:w w:val="110"/>
        </w:rPr>
        <w:t xml:space="preserve"> </w:t>
      </w:r>
      <w:r w:rsidRPr="00283806">
        <w:rPr>
          <w:spacing w:val="-2"/>
          <w:w w:val="110"/>
        </w:rPr>
        <w:t>but</w:t>
      </w:r>
      <w:proofErr w:type="gramEnd"/>
      <w:r w:rsidRPr="00283806">
        <w:rPr>
          <w:spacing w:val="-4"/>
          <w:w w:val="110"/>
        </w:rPr>
        <w:t xml:space="preserve"> </w:t>
      </w:r>
      <w:r w:rsidRPr="00283806">
        <w:rPr>
          <w:spacing w:val="-2"/>
          <w:w w:val="110"/>
        </w:rPr>
        <w:t>has</w:t>
      </w:r>
      <w:r w:rsidRPr="00283806">
        <w:rPr>
          <w:spacing w:val="-4"/>
          <w:w w:val="110"/>
        </w:rPr>
        <w:t xml:space="preserve"> </w:t>
      </w:r>
      <w:r w:rsidRPr="00283806">
        <w:rPr>
          <w:spacing w:val="-2"/>
          <w:w w:val="110"/>
        </w:rPr>
        <w:t>removed</w:t>
      </w:r>
      <w:r w:rsidRPr="00283806">
        <w:rPr>
          <w:spacing w:val="-4"/>
          <w:w w:val="110"/>
        </w:rPr>
        <w:t xml:space="preserve"> </w:t>
      </w:r>
      <w:r w:rsidRPr="00283806">
        <w:rPr>
          <w:spacing w:val="-2"/>
          <w:w w:val="110"/>
        </w:rPr>
        <w:t xml:space="preserve">the </w:t>
      </w:r>
      <w:r w:rsidRPr="00283806">
        <w:rPr>
          <w:w w:val="110"/>
        </w:rPr>
        <w:t>term from the subpart Q standards themselves. For more information on public comments on the proposed</w:t>
      </w:r>
      <w:r w:rsidRPr="00283806">
        <w:rPr>
          <w:spacing w:val="40"/>
          <w:w w:val="110"/>
        </w:rPr>
        <w:t xml:space="preserve"> </w:t>
      </w:r>
      <w:r w:rsidRPr="00283806">
        <w:rPr>
          <w:w w:val="110"/>
        </w:rPr>
        <w:t>RCRA alternative standards, and EPA’s responses,</w:t>
      </w:r>
      <w:r w:rsidRPr="00283806">
        <w:rPr>
          <w:spacing w:val="-6"/>
          <w:w w:val="110"/>
        </w:rPr>
        <w:t xml:space="preserve"> </w:t>
      </w:r>
      <w:r w:rsidRPr="00283806">
        <w:rPr>
          <w:w w:val="110"/>
        </w:rPr>
        <w:t>please</w:t>
      </w:r>
      <w:r w:rsidRPr="00283806">
        <w:rPr>
          <w:spacing w:val="-6"/>
          <w:w w:val="110"/>
        </w:rPr>
        <w:t xml:space="preserve"> </w:t>
      </w:r>
      <w:r w:rsidRPr="00283806">
        <w:rPr>
          <w:w w:val="110"/>
        </w:rPr>
        <w:t>see</w:t>
      </w:r>
      <w:r w:rsidRPr="00283806">
        <w:rPr>
          <w:spacing w:val="-6"/>
          <w:w w:val="110"/>
        </w:rPr>
        <w:t xml:space="preserve"> </w:t>
      </w:r>
      <w:r w:rsidRPr="00283806">
        <w:rPr>
          <w:rFonts w:ascii="Book Antiqua" w:hAnsi="Book Antiqua"/>
          <w:i/>
          <w:w w:val="110"/>
        </w:rPr>
        <w:t>RCRA</w:t>
      </w:r>
      <w:r w:rsidRPr="00283806">
        <w:rPr>
          <w:rFonts w:ascii="Book Antiqua" w:hAnsi="Book Antiqua"/>
          <w:i/>
          <w:spacing w:val="-12"/>
          <w:w w:val="110"/>
        </w:rPr>
        <w:t xml:space="preserve"> </w:t>
      </w:r>
      <w:r w:rsidRPr="00283806">
        <w:rPr>
          <w:rFonts w:ascii="Book Antiqua" w:hAnsi="Book Antiqua"/>
          <w:i/>
          <w:w w:val="110"/>
        </w:rPr>
        <w:t xml:space="preserve">Alternative Standards for Ignitable Spent Refrigerants: Response to Comments Document </w:t>
      </w:r>
      <w:r w:rsidRPr="00283806">
        <w:rPr>
          <w:w w:val="110"/>
        </w:rPr>
        <w:t>available in the docket.</w:t>
      </w:r>
    </w:p>
    <w:p w14:paraId="6A08AF0F" w14:textId="77777777" w:rsidR="00D67C1E" w:rsidRPr="00283806" w:rsidRDefault="001265CA">
      <w:pPr>
        <w:pStyle w:val="ListParagraph"/>
        <w:numPr>
          <w:ilvl w:val="0"/>
          <w:numId w:val="45"/>
        </w:numPr>
        <w:tabs>
          <w:tab w:val="left" w:pos="341"/>
        </w:tabs>
        <w:spacing w:before="103" w:line="228" w:lineRule="auto"/>
        <w:ind w:left="143" w:right="252" w:firstLine="0"/>
        <w:rPr>
          <w:sz w:val="18"/>
        </w:rPr>
      </w:pPr>
      <w:r w:rsidRPr="00283806">
        <w:rPr>
          <w:w w:val="110"/>
          <w:sz w:val="18"/>
        </w:rPr>
        <w:t>Scope</w:t>
      </w:r>
      <w:r w:rsidRPr="00283806">
        <w:rPr>
          <w:spacing w:val="-3"/>
          <w:w w:val="110"/>
          <w:sz w:val="18"/>
        </w:rPr>
        <w:t xml:space="preserve"> </w:t>
      </w:r>
      <w:r w:rsidRPr="00283806">
        <w:rPr>
          <w:w w:val="110"/>
          <w:sz w:val="18"/>
        </w:rPr>
        <w:t>of</w:t>
      </w:r>
      <w:r w:rsidRPr="00283806">
        <w:rPr>
          <w:spacing w:val="-3"/>
          <w:w w:val="110"/>
          <w:sz w:val="18"/>
        </w:rPr>
        <w:t xml:space="preserve"> </w:t>
      </w:r>
      <w:r w:rsidRPr="00283806">
        <w:rPr>
          <w:w w:val="110"/>
          <w:sz w:val="18"/>
        </w:rPr>
        <w:t>the</w:t>
      </w:r>
      <w:r w:rsidRPr="00283806">
        <w:rPr>
          <w:spacing w:val="-3"/>
          <w:w w:val="110"/>
          <w:sz w:val="18"/>
        </w:rPr>
        <w:t xml:space="preserve"> </w:t>
      </w:r>
      <w:r w:rsidRPr="00283806">
        <w:rPr>
          <w:w w:val="110"/>
          <w:sz w:val="18"/>
        </w:rPr>
        <w:t>Final</w:t>
      </w:r>
      <w:r w:rsidRPr="00283806">
        <w:rPr>
          <w:spacing w:val="-3"/>
          <w:w w:val="110"/>
          <w:sz w:val="18"/>
        </w:rPr>
        <w:t xml:space="preserve"> </w:t>
      </w:r>
      <w:r w:rsidRPr="00283806">
        <w:rPr>
          <w:w w:val="110"/>
          <w:sz w:val="18"/>
        </w:rPr>
        <w:t>RCRA</w:t>
      </w:r>
      <w:r w:rsidRPr="00283806">
        <w:rPr>
          <w:spacing w:val="-3"/>
          <w:w w:val="110"/>
          <w:sz w:val="18"/>
        </w:rPr>
        <w:t xml:space="preserve"> </w:t>
      </w:r>
      <w:r w:rsidRPr="00283806">
        <w:rPr>
          <w:w w:val="110"/>
          <w:sz w:val="18"/>
        </w:rPr>
        <w:t xml:space="preserve">Alternative </w:t>
      </w:r>
      <w:r w:rsidRPr="00283806">
        <w:rPr>
          <w:spacing w:val="-2"/>
          <w:w w:val="110"/>
          <w:sz w:val="18"/>
        </w:rPr>
        <w:t>Standards</w:t>
      </w:r>
    </w:p>
    <w:p w14:paraId="6A30C8D5" w14:textId="77777777" w:rsidR="00D67C1E" w:rsidRPr="00283806" w:rsidRDefault="001265CA">
      <w:pPr>
        <w:pStyle w:val="BodyText"/>
        <w:spacing w:before="99" w:line="228" w:lineRule="auto"/>
        <w:ind w:left="143" w:right="174" w:firstLine="180"/>
      </w:pPr>
      <w:r w:rsidRPr="00283806">
        <w:rPr>
          <w:w w:val="105"/>
        </w:rPr>
        <w:t>The RCRA alternative standards at 40 CFR part 266, subpart Q, apply to HFCs and substitutes that do not belong to flammability Class 3. Class 3 refrigerants are highly flammable refrigerants that include,</w:t>
      </w:r>
      <w:r w:rsidRPr="00283806">
        <w:rPr>
          <w:spacing w:val="40"/>
          <w:w w:val="105"/>
        </w:rPr>
        <w:t xml:space="preserve"> </w:t>
      </w:r>
      <w:r w:rsidRPr="00283806">
        <w:rPr>
          <w:w w:val="105"/>
        </w:rPr>
        <w:t>but</w:t>
      </w:r>
      <w:r w:rsidRPr="00283806">
        <w:rPr>
          <w:spacing w:val="40"/>
          <w:w w:val="105"/>
        </w:rPr>
        <w:t xml:space="preserve"> </w:t>
      </w:r>
      <w:r w:rsidRPr="00283806">
        <w:rPr>
          <w:w w:val="105"/>
        </w:rPr>
        <w:t>are</w:t>
      </w:r>
      <w:r w:rsidRPr="00283806">
        <w:rPr>
          <w:spacing w:val="40"/>
          <w:w w:val="105"/>
        </w:rPr>
        <w:t xml:space="preserve"> </w:t>
      </w:r>
      <w:r w:rsidRPr="00283806">
        <w:rPr>
          <w:w w:val="105"/>
        </w:rPr>
        <w:t>not</w:t>
      </w:r>
      <w:r w:rsidRPr="00283806">
        <w:rPr>
          <w:spacing w:val="40"/>
          <w:w w:val="105"/>
        </w:rPr>
        <w:t xml:space="preserve"> </w:t>
      </w:r>
      <w:r w:rsidRPr="00283806">
        <w:rPr>
          <w:w w:val="105"/>
        </w:rPr>
        <w:t>limited</w:t>
      </w:r>
      <w:r w:rsidRPr="00283806">
        <w:rPr>
          <w:spacing w:val="40"/>
          <w:w w:val="105"/>
        </w:rPr>
        <w:t xml:space="preserve"> </w:t>
      </w:r>
      <w:r w:rsidRPr="00283806">
        <w:rPr>
          <w:w w:val="105"/>
        </w:rPr>
        <w:t>to,</w:t>
      </w:r>
      <w:r w:rsidRPr="00283806">
        <w:rPr>
          <w:spacing w:val="40"/>
          <w:w w:val="105"/>
        </w:rPr>
        <w:t xml:space="preserve"> </w:t>
      </w:r>
      <w:r w:rsidRPr="00283806">
        <w:rPr>
          <w:w w:val="105"/>
        </w:rPr>
        <w:t>any</w:t>
      </w:r>
      <w:r w:rsidRPr="00283806">
        <w:rPr>
          <w:spacing w:val="40"/>
          <w:w w:val="105"/>
        </w:rPr>
        <w:t xml:space="preserve"> </w:t>
      </w:r>
      <w:r w:rsidRPr="00283806">
        <w:rPr>
          <w:w w:val="105"/>
        </w:rPr>
        <w:t>of the following chemicals: butane, isobutane, methane, propane, and/or propylene. The alternative standards are limited</w:t>
      </w:r>
      <w:r w:rsidRPr="00283806">
        <w:rPr>
          <w:spacing w:val="40"/>
          <w:w w:val="105"/>
        </w:rPr>
        <w:t xml:space="preserve"> </w:t>
      </w:r>
      <w:r w:rsidRPr="00283806">
        <w:rPr>
          <w:w w:val="105"/>
        </w:rPr>
        <w:t>to</w:t>
      </w:r>
      <w:r w:rsidRPr="00283806">
        <w:rPr>
          <w:spacing w:val="40"/>
          <w:w w:val="105"/>
        </w:rPr>
        <w:t xml:space="preserve"> </w:t>
      </w:r>
      <w:r w:rsidRPr="00283806">
        <w:rPr>
          <w:w w:val="105"/>
        </w:rPr>
        <w:t>lower</w:t>
      </w:r>
      <w:r w:rsidRPr="00283806">
        <w:rPr>
          <w:spacing w:val="40"/>
          <w:w w:val="105"/>
        </w:rPr>
        <w:t xml:space="preserve"> </w:t>
      </w:r>
      <w:r w:rsidRPr="00283806">
        <w:rPr>
          <w:w w:val="105"/>
        </w:rPr>
        <w:t>flammability substitutes</w:t>
      </w:r>
      <w:r w:rsidRPr="00283806">
        <w:rPr>
          <w:spacing w:val="40"/>
          <w:w w:val="105"/>
        </w:rPr>
        <w:t xml:space="preserve"> </w:t>
      </w:r>
      <w:r w:rsidRPr="00283806">
        <w:rPr>
          <w:w w:val="105"/>
        </w:rPr>
        <w:t>(Class</w:t>
      </w:r>
      <w:r w:rsidRPr="00283806">
        <w:rPr>
          <w:spacing w:val="40"/>
          <w:w w:val="105"/>
        </w:rPr>
        <w:t xml:space="preserve"> </w:t>
      </w:r>
      <w:r w:rsidRPr="00283806">
        <w:rPr>
          <w:w w:val="105"/>
        </w:rPr>
        <w:t>1,</w:t>
      </w:r>
      <w:r w:rsidRPr="00283806">
        <w:rPr>
          <w:spacing w:val="40"/>
          <w:w w:val="105"/>
        </w:rPr>
        <w:t xml:space="preserve"> </w:t>
      </w:r>
      <w:r w:rsidRPr="00283806">
        <w:rPr>
          <w:w w:val="105"/>
        </w:rPr>
        <w:t>2</w:t>
      </w:r>
      <w:r w:rsidRPr="00283806">
        <w:rPr>
          <w:spacing w:val="40"/>
          <w:w w:val="105"/>
        </w:rPr>
        <w:t xml:space="preserve"> </w:t>
      </w:r>
      <w:r w:rsidRPr="00283806">
        <w:rPr>
          <w:w w:val="105"/>
        </w:rPr>
        <w:t>and</w:t>
      </w:r>
      <w:r w:rsidRPr="00283806">
        <w:rPr>
          <w:spacing w:val="40"/>
          <w:w w:val="105"/>
        </w:rPr>
        <w:t xml:space="preserve"> </w:t>
      </w:r>
      <w:r w:rsidRPr="00283806">
        <w:rPr>
          <w:w w:val="105"/>
        </w:rPr>
        <w:t xml:space="preserve">2L) </w:t>
      </w:r>
      <w:r w:rsidRPr="00283806">
        <w:rPr>
          <w:w w:val="105"/>
          <w:position w:val="5"/>
          <w:sz w:val="11"/>
        </w:rPr>
        <w:t>150</w:t>
      </w:r>
      <w:r w:rsidRPr="00283806">
        <w:rPr>
          <w:spacing w:val="40"/>
          <w:w w:val="105"/>
          <w:position w:val="5"/>
          <w:sz w:val="11"/>
        </w:rPr>
        <w:t xml:space="preserve"> </w:t>
      </w:r>
      <w:r w:rsidRPr="00283806">
        <w:rPr>
          <w:w w:val="105"/>
        </w:rPr>
        <w:t>because of the lower risk of fire from the collection and recycling for reuse of</w:t>
      </w:r>
      <w:r w:rsidRPr="00283806">
        <w:rPr>
          <w:spacing w:val="80"/>
          <w:w w:val="105"/>
        </w:rPr>
        <w:t xml:space="preserve"> </w:t>
      </w:r>
      <w:r w:rsidRPr="00283806">
        <w:rPr>
          <w:w w:val="105"/>
        </w:rPr>
        <w:t>these refrigerants, and the greater</w:t>
      </w:r>
      <w:r w:rsidRPr="00283806">
        <w:rPr>
          <w:spacing w:val="40"/>
          <w:w w:val="105"/>
        </w:rPr>
        <w:t xml:space="preserve"> </w:t>
      </w:r>
      <w:r w:rsidRPr="00283806">
        <w:rPr>
          <w:w w:val="105"/>
        </w:rPr>
        <w:t>market value of these refrigerants,</w:t>
      </w:r>
      <w:r w:rsidRPr="00283806">
        <w:rPr>
          <w:spacing w:val="80"/>
          <w:w w:val="150"/>
        </w:rPr>
        <w:t xml:space="preserve"> </w:t>
      </w:r>
      <w:r w:rsidRPr="00283806">
        <w:rPr>
          <w:w w:val="105"/>
        </w:rPr>
        <w:t>which</w:t>
      </w:r>
      <w:r w:rsidRPr="00283806">
        <w:rPr>
          <w:spacing w:val="40"/>
          <w:w w:val="105"/>
        </w:rPr>
        <w:t xml:space="preserve"> </w:t>
      </w:r>
      <w:r w:rsidRPr="00283806">
        <w:rPr>
          <w:w w:val="105"/>
        </w:rPr>
        <w:t>supports</w:t>
      </w:r>
      <w:r w:rsidRPr="00283806">
        <w:rPr>
          <w:spacing w:val="40"/>
          <w:w w:val="105"/>
        </w:rPr>
        <w:t xml:space="preserve"> </w:t>
      </w:r>
      <w:r w:rsidRPr="00283806">
        <w:rPr>
          <w:w w:val="105"/>
        </w:rPr>
        <w:t>the</w:t>
      </w:r>
      <w:r w:rsidRPr="00283806">
        <w:rPr>
          <w:spacing w:val="40"/>
          <w:w w:val="105"/>
        </w:rPr>
        <w:t xml:space="preserve"> </w:t>
      </w:r>
      <w:r w:rsidRPr="00283806">
        <w:rPr>
          <w:w w:val="105"/>
        </w:rPr>
        <w:t>conclusion</w:t>
      </w:r>
      <w:r w:rsidRPr="00283806">
        <w:rPr>
          <w:spacing w:val="40"/>
          <w:w w:val="105"/>
        </w:rPr>
        <w:t xml:space="preserve"> </w:t>
      </w:r>
      <w:r w:rsidRPr="00283806">
        <w:rPr>
          <w:w w:val="105"/>
        </w:rPr>
        <w:t>that these spent refrigerants will be recycled for reuse and not stockpiled, mismanaged, or abandoned. In the context of hazardous waste recycled under RCRA, EPA has found that a low market value for a reclaimed product</w:t>
      </w:r>
      <w:r w:rsidRPr="00283806">
        <w:rPr>
          <w:spacing w:val="80"/>
          <w:w w:val="105"/>
        </w:rPr>
        <w:t xml:space="preserve"> </w:t>
      </w:r>
      <w:r w:rsidRPr="00283806">
        <w:rPr>
          <w:w w:val="105"/>
        </w:rPr>
        <w:t>can increase the likelihood of mismanagement and abandonment</w:t>
      </w:r>
    </w:p>
    <w:p w14:paraId="6C959347"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6" w:space="40"/>
            <w:col w:w="3502" w:space="39"/>
            <w:col w:w="3623"/>
          </w:cols>
        </w:sectPr>
      </w:pPr>
    </w:p>
    <w:p w14:paraId="41400D51" w14:textId="77777777" w:rsidR="00D67C1E" w:rsidRPr="00283806" w:rsidRDefault="001265CA">
      <w:pPr>
        <w:pStyle w:val="BodyText"/>
        <w:tabs>
          <w:tab w:val="left" w:pos="3699"/>
          <w:tab w:val="left" w:pos="7239"/>
          <w:tab w:val="left" w:pos="8239"/>
        </w:tabs>
        <w:spacing w:line="182" w:lineRule="exact"/>
      </w:pPr>
      <w:r w:rsidRPr="00283806">
        <w:t>calendar</w:t>
      </w:r>
      <w:r w:rsidRPr="00283806">
        <w:rPr>
          <w:spacing w:val="35"/>
        </w:rPr>
        <w:t xml:space="preserve"> </w:t>
      </w:r>
      <w:r w:rsidRPr="00283806">
        <w:t>year</w:t>
      </w:r>
      <w:r w:rsidRPr="00283806">
        <w:rPr>
          <w:spacing w:val="36"/>
        </w:rPr>
        <w:t xml:space="preserve"> </w:t>
      </w:r>
      <w:r w:rsidRPr="00283806">
        <w:t>2029.</w:t>
      </w:r>
      <w:r w:rsidRPr="00283806">
        <w:rPr>
          <w:spacing w:val="36"/>
        </w:rPr>
        <w:t xml:space="preserve"> </w:t>
      </w:r>
      <w:r w:rsidRPr="00283806">
        <w:t>Up</w:t>
      </w:r>
      <w:r w:rsidRPr="00283806">
        <w:rPr>
          <w:spacing w:val="36"/>
        </w:rPr>
        <w:t xml:space="preserve"> </w:t>
      </w:r>
      <w:r w:rsidRPr="00283806">
        <w:t>until</w:t>
      </w:r>
      <w:r w:rsidRPr="00283806">
        <w:rPr>
          <w:spacing w:val="36"/>
        </w:rPr>
        <w:t xml:space="preserve"> </w:t>
      </w:r>
      <w:r w:rsidRPr="00283806">
        <w:t>January</w:t>
      </w:r>
      <w:r w:rsidRPr="00283806">
        <w:rPr>
          <w:spacing w:val="36"/>
        </w:rPr>
        <w:t xml:space="preserve"> </w:t>
      </w:r>
      <w:r w:rsidRPr="00283806">
        <w:rPr>
          <w:spacing w:val="-5"/>
        </w:rPr>
        <w:t>1,</w:t>
      </w:r>
      <w:r w:rsidRPr="00283806">
        <w:tab/>
      </w:r>
      <w:r w:rsidRPr="00283806">
        <w:rPr>
          <w:position w:val="2"/>
        </w:rPr>
        <w:t>corrections</w:t>
      </w:r>
      <w:r w:rsidRPr="00283806">
        <w:rPr>
          <w:spacing w:val="43"/>
          <w:position w:val="2"/>
        </w:rPr>
        <w:t xml:space="preserve"> </w:t>
      </w:r>
      <w:r w:rsidRPr="00283806">
        <w:rPr>
          <w:position w:val="2"/>
        </w:rPr>
        <w:t>and</w:t>
      </w:r>
      <w:r w:rsidRPr="00283806">
        <w:rPr>
          <w:spacing w:val="43"/>
          <w:position w:val="2"/>
        </w:rPr>
        <w:t xml:space="preserve"> </w:t>
      </w:r>
      <w:r w:rsidRPr="00283806">
        <w:rPr>
          <w:position w:val="2"/>
        </w:rPr>
        <w:t>editorial</w:t>
      </w:r>
      <w:r w:rsidRPr="00283806">
        <w:rPr>
          <w:spacing w:val="44"/>
          <w:position w:val="2"/>
        </w:rPr>
        <w:t xml:space="preserve"> </w:t>
      </w:r>
      <w:r w:rsidRPr="00283806">
        <w:rPr>
          <w:spacing w:val="-2"/>
          <w:position w:val="2"/>
        </w:rPr>
        <w:t>clarifications</w:t>
      </w:r>
      <w:r w:rsidRPr="00283806">
        <w:rPr>
          <w:position w:val="2"/>
        </w:rPr>
        <w:tab/>
      </w:r>
      <w:r w:rsidRPr="00283806">
        <w:rPr>
          <w:position w:val="2"/>
          <w:u w:val="single"/>
        </w:rPr>
        <w:tab/>
      </w:r>
    </w:p>
    <w:p w14:paraId="514BC673" w14:textId="77777777" w:rsidR="00D67C1E" w:rsidRPr="00283806" w:rsidRDefault="00D67C1E">
      <w:pPr>
        <w:spacing w:line="182" w:lineRule="exact"/>
        <w:sectPr w:rsidR="00D67C1E" w:rsidRPr="00283806">
          <w:type w:val="continuous"/>
          <w:pgSz w:w="12240" w:h="15840"/>
          <w:pgMar w:top="880" w:right="780" w:bottom="280" w:left="740" w:header="627" w:footer="0" w:gutter="0"/>
          <w:cols w:space="720"/>
        </w:sectPr>
      </w:pPr>
    </w:p>
    <w:p w14:paraId="63090470" w14:textId="77777777" w:rsidR="00D67C1E" w:rsidRPr="00283806" w:rsidRDefault="001265CA">
      <w:pPr>
        <w:pStyle w:val="BodyText"/>
        <w:tabs>
          <w:tab w:val="left" w:pos="3699"/>
          <w:tab w:val="left" w:pos="4699"/>
        </w:tabs>
        <w:spacing w:line="200" w:lineRule="exact"/>
      </w:pPr>
      <w:r w:rsidRPr="00283806">
        <w:rPr>
          <w:w w:val="105"/>
        </w:rPr>
        <w:t>2029,</w:t>
      </w:r>
      <w:r w:rsidRPr="00283806">
        <w:rPr>
          <w:spacing w:val="15"/>
          <w:w w:val="105"/>
        </w:rPr>
        <w:t xml:space="preserve"> </w:t>
      </w:r>
      <w:r w:rsidRPr="00283806">
        <w:rPr>
          <w:w w:val="105"/>
        </w:rPr>
        <w:t>reclamation</w:t>
      </w:r>
      <w:r w:rsidRPr="00283806">
        <w:rPr>
          <w:spacing w:val="16"/>
          <w:w w:val="105"/>
        </w:rPr>
        <w:t xml:space="preserve"> </w:t>
      </w:r>
      <w:r w:rsidRPr="00283806">
        <w:rPr>
          <w:w w:val="105"/>
        </w:rPr>
        <w:t>facilities</w:t>
      </w:r>
      <w:r w:rsidRPr="00283806">
        <w:rPr>
          <w:spacing w:val="16"/>
          <w:w w:val="105"/>
        </w:rPr>
        <w:t xml:space="preserve"> </w:t>
      </w:r>
      <w:r w:rsidRPr="00283806">
        <w:rPr>
          <w:spacing w:val="-5"/>
          <w:w w:val="105"/>
        </w:rPr>
        <w:t>may</w:t>
      </w:r>
      <w:r w:rsidRPr="00283806">
        <w:tab/>
      </w:r>
      <w:r w:rsidRPr="00283806">
        <w:rPr>
          <w:u w:val="single"/>
        </w:rPr>
        <w:tab/>
      </w:r>
    </w:p>
    <w:p w14:paraId="6BFC34A5" w14:textId="77777777" w:rsidR="00D67C1E" w:rsidRPr="00283806" w:rsidRDefault="001265CA">
      <w:pPr>
        <w:spacing w:before="47" w:line="153" w:lineRule="exact"/>
        <w:ind w:left="160"/>
        <w:rPr>
          <w:sz w:val="14"/>
        </w:rPr>
      </w:pPr>
      <w:r w:rsidRPr="00283806">
        <w:br w:type="column"/>
      </w:r>
      <w:r w:rsidRPr="00283806">
        <w:rPr>
          <w:w w:val="110"/>
          <w:position w:val="4"/>
          <w:sz w:val="9"/>
        </w:rPr>
        <w:t>149</w:t>
      </w:r>
      <w:r w:rsidRPr="00283806">
        <w:rPr>
          <w:spacing w:val="-6"/>
          <w:w w:val="110"/>
          <w:position w:val="4"/>
          <w:sz w:val="9"/>
        </w:rPr>
        <w:t xml:space="preserve"> </w:t>
      </w:r>
      <w:r w:rsidRPr="00283806">
        <w:rPr>
          <w:w w:val="110"/>
          <w:sz w:val="14"/>
        </w:rPr>
        <w:t>See</w:t>
      </w:r>
      <w:r w:rsidRPr="00283806">
        <w:rPr>
          <w:spacing w:val="-7"/>
          <w:w w:val="110"/>
          <w:sz w:val="14"/>
        </w:rPr>
        <w:t xml:space="preserve"> </w:t>
      </w:r>
      <w:r w:rsidRPr="00283806">
        <w:rPr>
          <w:w w:val="110"/>
          <w:sz w:val="14"/>
        </w:rPr>
        <w:t>comment</w:t>
      </w:r>
      <w:r w:rsidRPr="00283806">
        <w:rPr>
          <w:spacing w:val="-6"/>
          <w:w w:val="110"/>
          <w:sz w:val="14"/>
        </w:rPr>
        <w:t xml:space="preserve"> </w:t>
      </w:r>
      <w:r w:rsidRPr="00283806">
        <w:rPr>
          <w:w w:val="110"/>
          <w:sz w:val="14"/>
        </w:rPr>
        <w:t>number</w:t>
      </w:r>
      <w:r w:rsidRPr="00283806">
        <w:rPr>
          <w:spacing w:val="-6"/>
          <w:w w:val="110"/>
          <w:sz w:val="14"/>
        </w:rPr>
        <w:t xml:space="preserve"> </w:t>
      </w:r>
      <w:r w:rsidRPr="00283806">
        <w:rPr>
          <w:spacing w:val="-2"/>
          <w:w w:val="110"/>
          <w:sz w:val="14"/>
        </w:rPr>
        <w:t>EPA–HQ–OAR–2022–</w:t>
      </w:r>
    </w:p>
    <w:p w14:paraId="457C96BA" w14:textId="77777777" w:rsidR="00D67C1E" w:rsidRPr="00283806" w:rsidRDefault="00D67C1E">
      <w:pPr>
        <w:spacing w:line="153" w:lineRule="exact"/>
        <w:rPr>
          <w:sz w:val="14"/>
        </w:rPr>
        <w:sectPr w:rsidR="00D67C1E" w:rsidRPr="00283806">
          <w:type w:val="continuous"/>
          <w:pgSz w:w="12240" w:h="15840"/>
          <w:pgMar w:top="880" w:right="780" w:bottom="280" w:left="740" w:header="627" w:footer="0" w:gutter="0"/>
          <w:cols w:num="2" w:space="720" w:equalWidth="0">
            <w:col w:w="4740" w:space="2480"/>
            <w:col w:w="3500"/>
          </w:cols>
        </w:sectPr>
      </w:pPr>
    </w:p>
    <w:p w14:paraId="57AF2FEA" w14:textId="77777777" w:rsidR="00D67C1E" w:rsidRPr="00283806" w:rsidRDefault="001265CA">
      <w:pPr>
        <w:pStyle w:val="BodyText"/>
        <w:spacing w:before="9" w:line="228" w:lineRule="auto"/>
        <w:ind w:right="38"/>
      </w:pPr>
      <w:r w:rsidRPr="00283806">
        <w:rPr>
          <w:w w:val="105"/>
        </w:rPr>
        <w:t>accumulate ignitable spent refrigerants without recycling them for reuse as long as the other requirements of the</w:t>
      </w:r>
    </w:p>
    <w:p w14:paraId="76CE15BF" w14:textId="77777777" w:rsidR="00D67C1E" w:rsidRPr="00283806" w:rsidRDefault="001265CA">
      <w:pPr>
        <w:pStyle w:val="BodyText"/>
        <w:spacing w:before="11"/>
        <w:ind w:left="0"/>
        <w:rPr>
          <w:sz w:val="12"/>
        </w:rPr>
      </w:pPr>
      <w:r w:rsidRPr="00283806">
        <w:rPr>
          <w:noProof/>
        </w:rPr>
        <mc:AlternateContent>
          <mc:Choice Requires="wps">
            <w:drawing>
              <wp:anchor distT="0" distB="0" distL="0" distR="0" simplePos="0" relativeHeight="251675648" behindDoc="1" locked="0" layoutInCell="1" allowOverlap="1" wp14:anchorId="128144DD" wp14:editId="26BCCCE8">
                <wp:simplePos x="0" y="0"/>
                <wp:positionH relativeFrom="page">
                  <wp:posOffset>571500</wp:posOffset>
                </wp:positionH>
                <wp:positionV relativeFrom="paragraph">
                  <wp:posOffset>111766</wp:posOffset>
                </wp:positionV>
                <wp:extent cx="635000" cy="1270"/>
                <wp:effectExtent l="0" t="0" r="0" b="0"/>
                <wp:wrapTopAndBottom/>
                <wp:docPr id="109" name="Graphic 10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C6ED1FF" id="Graphic 109" o:spid="_x0000_s1026" alt="&quot;&quot;" style="position:absolute;margin-left:45pt;margin-top:8.8pt;width:50pt;height:.1pt;z-index:-251640832;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" path="m,l635000,e" filled="f" strokeweight=".5pt">
                <v:path arrowok="t"/>
                <w10:wrap type="topAndBottom" anchorx="page"/>
              </v:shape>
            </w:pict>
          </mc:Fallback>
        </mc:AlternateContent>
      </w:r>
    </w:p>
    <w:p w14:paraId="5B25363F" w14:textId="77777777" w:rsidR="00D67C1E" w:rsidRPr="00283806" w:rsidRDefault="001265CA">
      <w:pPr>
        <w:spacing w:before="36" w:line="162" w:lineRule="exact"/>
        <w:ind w:left="160"/>
        <w:rPr>
          <w:sz w:val="14"/>
        </w:rPr>
      </w:pPr>
      <w:r w:rsidRPr="00283806">
        <w:rPr>
          <w:spacing w:val="4"/>
          <w:sz w:val="14"/>
        </w:rPr>
        <w:t>HQ–OAR–2022–0606–0113,</w:t>
      </w:r>
      <w:r w:rsidRPr="00283806">
        <w:rPr>
          <w:spacing w:val="24"/>
          <w:sz w:val="14"/>
        </w:rPr>
        <w:t xml:space="preserve"> </w:t>
      </w:r>
      <w:r w:rsidRPr="00283806">
        <w:rPr>
          <w:spacing w:val="4"/>
          <w:sz w:val="14"/>
        </w:rPr>
        <w:t>and</w:t>
      </w:r>
      <w:r w:rsidRPr="00283806">
        <w:rPr>
          <w:spacing w:val="24"/>
          <w:sz w:val="14"/>
        </w:rPr>
        <w:t xml:space="preserve"> </w:t>
      </w:r>
      <w:r w:rsidRPr="00283806">
        <w:rPr>
          <w:spacing w:val="-2"/>
          <w:sz w:val="14"/>
        </w:rPr>
        <w:t>EPA–HQ–OAR–</w:t>
      </w:r>
    </w:p>
    <w:p w14:paraId="3D9F0473" w14:textId="77777777" w:rsidR="00D67C1E" w:rsidRPr="00283806" w:rsidRDefault="001265CA">
      <w:pPr>
        <w:spacing w:line="162" w:lineRule="exact"/>
        <w:ind w:left="160"/>
        <w:rPr>
          <w:sz w:val="14"/>
        </w:rPr>
      </w:pPr>
      <w:r w:rsidRPr="00283806">
        <w:rPr>
          <w:w w:val="105"/>
          <w:sz w:val="14"/>
        </w:rPr>
        <w:t>2022–0606–0159</w:t>
      </w:r>
      <w:r w:rsidRPr="00283806">
        <w:rPr>
          <w:spacing w:val="-7"/>
          <w:w w:val="105"/>
          <w:sz w:val="14"/>
        </w:rPr>
        <w:t xml:space="preserve"> </w:t>
      </w:r>
      <w:r w:rsidRPr="00283806">
        <w:rPr>
          <w:w w:val="105"/>
          <w:sz w:val="14"/>
        </w:rPr>
        <w:t>in</w:t>
      </w:r>
      <w:r w:rsidRPr="00283806">
        <w:rPr>
          <w:spacing w:val="-7"/>
          <w:w w:val="105"/>
          <w:sz w:val="14"/>
        </w:rPr>
        <w:t xml:space="preserve"> </w:t>
      </w:r>
      <w:r w:rsidRPr="00283806">
        <w:rPr>
          <w:w w:val="105"/>
          <w:sz w:val="14"/>
        </w:rPr>
        <w:t>the</w:t>
      </w:r>
      <w:r w:rsidRPr="00283806">
        <w:rPr>
          <w:spacing w:val="-7"/>
          <w:w w:val="105"/>
          <w:sz w:val="14"/>
        </w:rPr>
        <w:t xml:space="preserve"> </w:t>
      </w:r>
      <w:r w:rsidRPr="00283806">
        <w:rPr>
          <w:spacing w:val="-2"/>
          <w:w w:val="105"/>
          <w:sz w:val="14"/>
        </w:rPr>
        <w:t>docket.</w:t>
      </w:r>
    </w:p>
    <w:p w14:paraId="187A8965" w14:textId="77777777" w:rsidR="00D67C1E" w:rsidRPr="00283806" w:rsidRDefault="001265CA">
      <w:pPr>
        <w:spacing w:before="11" w:line="232" w:lineRule="auto"/>
        <w:ind w:left="160" w:right="76" w:firstLine="140"/>
        <w:rPr>
          <w:sz w:val="14"/>
        </w:rPr>
      </w:pPr>
      <w:r w:rsidRPr="00283806">
        <w:br w:type="column"/>
      </w:r>
      <w:r w:rsidRPr="00283806">
        <w:rPr>
          <w:w w:val="110"/>
          <w:position w:val="4"/>
          <w:sz w:val="9"/>
        </w:rPr>
        <w:t>147</w:t>
      </w:r>
      <w:r w:rsidRPr="00283806">
        <w:rPr>
          <w:spacing w:val="-6"/>
          <w:w w:val="110"/>
          <w:position w:val="4"/>
          <w:sz w:val="9"/>
        </w:rPr>
        <w:t xml:space="preserve"> </w:t>
      </w:r>
      <w:r w:rsidRPr="00283806">
        <w:rPr>
          <w:w w:val="110"/>
          <w:sz w:val="14"/>
        </w:rPr>
        <w:t>See</w:t>
      </w:r>
      <w:r w:rsidRPr="00283806">
        <w:rPr>
          <w:spacing w:val="-8"/>
          <w:w w:val="110"/>
          <w:sz w:val="14"/>
        </w:rPr>
        <w:t xml:space="preserve"> </w:t>
      </w:r>
      <w:r w:rsidRPr="00283806">
        <w:rPr>
          <w:w w:val="110"/>
          <w:sz w:val="14"/>
        </w:rPr>
        <w:t>comment</w:t>
      </w:r>
      <w:r w:rsidRPr="00283806">
        <w:rPr>
          <w:spacing w:val="-9"/>
          <w:w w:val="110"/>
          <w:sz w:val="14"/>
        </w:rPr>
        <w:t xml:space="preserve"> </w:t>
      </w:r>
      <w:r w:rsidRPr="00283806">
        <w:rPr>
          <w:w w:val="110"/>
          <w:sz w:val="14"/>
        </w:rPr>
        <w:t>number</w:t>
      </w:r>
      <w:r w:rsidRPr="00283806">
        <w:rPr>
          <w:spacing w:val="-8"/>
          <w:w w:val="110"/>
          <w:sz w:val="14"/>
        </w:rPr>
        <w:t xml:space="preserve"> </w:t>
      </w:r>
      <w:r w:rsidRPr="00283806">
        <w:rPr>
          <w:w w:val="110"/>
          <w:sz w:val="14"/>
        </w:rPr>
        <w:t>EPA–HQ–OAR–2022–</w:t>
      </w:r>
      <w:r w:rsidRPr="00283806">
        <w:rPr>
          <w:spacing w:val="40"/>
          <w:w w:val="110"/>
          <w:sz w:val="14"/>
        </w:rPr>
        <w:t xml:space="preserve"> </w:t>
      </w:r>
      <w:r w:rsidRPr="00283806">
        <w:rPr>
          <w:w w:val="110"/>
          <w:sz w:val="14"/>
        </w:rPr>
        <w:t>0606–0152 in the docket.</w:t>
      </w:r>
    </w:p>
    <w:p w14:paraId="2FF5A476" w14:textId="77777777" w:rsidR="00D67C1E" w:rsidRPr="00283806" w:rsidRDefault="001265CA">
      <w:pPr>
        <w:spacing w:before="22" w:line="232" w:lineRule="auto"/>
        <w:ind w:left="160" w:right="20" w:firstLine="140"/>
        <w:rPr>
          <w:sz w:val="14"/>
        </w:rPr>
      </w:pPr>
      <w:r w:rsidRPr="00283806">
        <w:rPr>
          <w:w w:val="105"/>
          <w:position w:val="4"/>
          <w:sz w:val="9"/>
        </w:rPr>
        <w:t xml:space="preserve">148 </w:t>
      </w:r>
      <w:r w:rsidRPr="00283806">
        <w:rPr>
          <w:w w:val="105"/>
          <w:sz w:val="14"/>
        </w:rPr>
        <w:t>Facilities that store less than ten days in the</w:t>
      </w:r>
      <w:r w:rsidRPr="00283806">
        <w:rPr>
          <w:spacing w:val="40"/>
          <w:w w:val="105"/>
          <w:sz w:val="14"/>
        </w:rPr>
        <w:t xml:space="preserve"> </w:t>
      </w:r>
      <w:r w:rsidRPr="00283806">
        <w:rPr>
          <w:w w:val="105"/>
          <w:sz w:val="14"/>
        </w:rPr>
        <w:t>normal</w:t>
      </w:r>
      <w:r w:rsidRPr="00283806">
        <w:rPr>
          <w:spacing w:val="-1"/>
          <w:w w:val="105"/>
          <w:sz w:val="14"/>
        </w:rPr>
        <w:t xml:space="preserve"> </w:t>
      </w:r>
      <w:r w:rsidRPr="00283806">
        <w:rPr>
          <w:w w:val="105"/>
          <w:sz w:val="14"/>
        </w:rPr>
        <w:t>course</w:t>
      </w:r>
      <w:r w:rsidRPr="00283806">
        <w:rPr>
          <w:spacing w:val="-1"/>
          <w:w w:val="105"/>
          <w:sz w:val="14"/>
        </w:rPr>
        <w:t xml:space="preserve"> </w:t>
      </w:r>
      <w:r w:rsidRPr="00283806">
        <w:rPr>
          <w:w w:val="105"/>
          <w:sz w:val="14"/>
        </w:rPr>
        <w:t>of</w:t>
      </w:r>
      <w:r w:rsidRPr="00283806">
        <w:rPr>
          <w:spacing w:val="-1"/>
          <w:w w:val="105"/>
          <w:sz w:val="14"/>
        </w:rPr>
        <w:t xml:space="preserve"> </w:t>
      </w:r>
      <w:r w:rsidRPr="00283806">
        <w:rPr>
          <w:w w:val="105"/>
          <w:sz w:val="14"/>
        </w:rPr>
        <w:t>transportation</w:t>
      </w:r>
      <w:r w:rsidRPr="00283806">
        <w:rPr>
          <w:spacing w:val="-1"/>
          <w:w w:val="105"/>
          <w:sz w:val="14"/>
        </w:rPr>
        <w:t xml:space="preserve"> </w:t>
      </w:r>
      <w:proofErr w:type="gramStart"/>
      <w:r w:rsidRPr="00283806">
        <w:rPr>
          <w:w w:val="105"/>
          <w:sz w:val="14"/>
        </w:rPr>
        <w:t>are</w:t>
      </w:r>
      <w:r w:rsidRPr="00283806">
        <w:rPr>
          <w:spacing w:val="-1"/>
          <w:w w:val="105"/>
          <w:sz w:val="14"/>
        </w:rPr>
        <w:t xml:space="preserve"> </w:t>
      </w:r>
      <w:r w:rsidRPr="00283806">
        <w:rPr>
          <w:w w:val="105"/>
          <w:sz w:val="14"/>
        </w:rPr>
        <w:t>considered</w:t>
      </w:r>
      <w:r w:rsidRPr="00283806">
        <w:rPr>
          <w:spacing w:val="-1"/>
          <w:w w:val="105"/>
          <w:sz w:val="14"/>
        </w:rPr>
        <w:t xml:space="preserve"> </w:t>
      </w:r>
      <w:r w:rsidRPr="00283806">
        <w:rPr>
          <w:w w:val="105"/>
          <w:sz w:val="14"/>
        </w:rPr>
        <w:t>to</w:t>
      </w:r>
      <w:r w:rsidRPr="00283806">
        <w:rPr>
          <w:spacing w:val="-1"/>
          <w:w w:val="105"/>
          <w:sz w:val="14"/>
        </w:rPr>
        <w:t xml:space="preserve"> </w:t>
      </w:r>
      <w:r w:rsidRPr="00283806">
        <w:rPr>
          <w:w w:val="105"/>
          <w:sz w:val="14"/>
        </w:rPr>
        <w:t>be</w:t>
      </w:r>
      <w:proofErr w:type="gramEnd"/>
      <w:r w:rsidRPr="00283806">
        <w:rPr>
          <w:spacing w:val="40"/>
          <w:w w:val="105"/>
          <w:sz w:val="14"/>
        </w:rPr>
        <w:t xml:space="preserve"> </w:t>
      </w:r>
      <w:r w:rsidRPr="00283806">
        <w:rPr>
          <w:w w:val="105"/>
          <w:sz w:val="14"/>
        </w:rPr>
        <w:t>transfer facilities as defined in 40 CFR 260.10 and</w:t>
      </w:r>
      <w:r w:rsidRPr="00283806">
        <w:rPr>
          <w:spacing w:val="80"/>
          <w:w w:val="105"/>
          <w:sz w:val="14"/>
        </w:rPr>
        <w:t xml:space="preserve"> </w:t>
      </w:r>
      <w:r w:rsidRPr="00283806">
        <w:rPr>
          <w:w w:val="105"/>
          <w:sz w:val="14"/>
        </w:rPr>
        <w:t>are generally not subject to RCRA requirements. See</w:t>
      </w:r>
      <w:r w:rsidRPr="00283806">
        <w:rPr>
          <w:spacing w:val="40"/>
          <w:w w:val="105"/>
          <w:sz w:val="14"/>
        </w:rPr>
        <w:t xml:space="preserve"> </w:t>
      </w:r>
      <w:r w:rsidRPr="00283806">
        <w:rPr>
          <w:w w:val="105"/>
          <w:sz w:val="14"/>
        </w:rPr>
        <w:t>40 CFR 263.12.</w:t>
      </w:r>
    </w:p>
    <w:p w14:paraId="7DB30241" w14:textId="77777777" w:rsidR="00D67C1E" w:rsidRPr="00283806" w:rsidRDefault="001265CA">
      <w:pPr>
        <w:spacing w:before="7"/>
        <w:ind w:left="142"/>
        <w:rPr>
          <w:sz w:val="14"/>
        </w:rPr>
      </w:pPr>
      <w:r w:rsidRPr="00283806">
        <w:br w:type="column"/>
      </w:r>
      <w:r w:rsidRPr="00283806">
        <w:rPr>
          <w:w w:val="105"/>
          <w:sz w:val="14"/>
        </w:rPr>
        <w:t>0606–0091</w:t>
      </w:r>
      <w:r w:rsidRPr="00283806">
        <w:rPr>
          <w:spacing w:val="-2"/>
          <w:w w:val="105"/>
          <w:sz w:val="14"/>
        </w:rPr>
        <w:t xml:space="preserve"> </w:t>
      </w:r>
      <w:r w:rsidRPr="00283806">
        <w:rPr>
          <w:w w:val="105"/>
          <w:sz w:val="14"/>
        </w:rPr>
        <w:t>in</w:t>
      </w:r>
      <w:r w:rsidRPr="00283806">
        <w:rPr>
          <w:spacing w:val="-2"/>
          <w:w w:val="105"/>
          <w:sz w:val="14"/>
        </w:rPr>
        <w:t xml:space="preserve"> </w:t>
      </w:r>
      <w:r w:rsidRPr="00283806">
        <w:rPr>
          <w:w w:val="105"/>
          <w:sz w:val="14"/>
        </w:rPr>
        <w:t>the</w:t>
      </w:r>
      <w:r w:rsidRPr="00283806">
        <w:rPr>
          <w:spacing w:val="-1"/>
          <w:w w:val="105"/>
          <w:sz w:val="14"/>
        </w:rPr>
        <w:t xml:space="preserve"> </w:t>
      </w:r>
      <w:r w:rsidRPr="00283806">
        <w:rPr>
          <w:spacing w:val="-2"/>
          <w:w w:val="105"/>
          <w:sz w:val="14"/>
        </w:rPr>
        <w:t>docket.</w:t>
      </w:r>
    </w:p>
    <w:p w14:paraId="576A6B14" w14:textId="77777777" w:rsidR="00D67C1E" w:rsidRPr="00283806" w:rsidRDefault="001265CA">
      <w:pPr>
        <w:spacing w:before="20" w:line="232" w:lineRule="auto"/>
        <w:ind w:left="142" w:right="152" w:firstLine="140"/>
        <w:rPr>
          <w:sz w:val="14"/>
        </w:rPr>
      </w:pPr>
      <w:r w:rsidRPr="00283806">
        <w:rPr>
          <w:w w:val="105"/>
          <w:position w:val="4"/>
          <w:sz w:val="9"/>
        </w:rPr>
        <w:t xml:space="preserve">150 </w:t>
      </w:r>
      <w:r w:rsidRPr="00283806">
        <w:rPr>
          <w:w w:val="105"/>
          <w:sz w:val="14"/>
        </w:rPr>
        <w:t>Class 1 refrigerants are nonflammable and</w:t>
      </w:r>
      <w:r w:rsidRPr="00283806">
        <w:rPr>
          <w:spacing w:val="40"/>
          <w:w w:val="105"/>
          <w:sz w:val="14"/>
        </w:rPr>
        <w:t xml:space="preserve"> </w:t>
      </w:r>
      <w:r w:rsidRPr="00283806">
        <w:rPr>
          <w:w w:val="105"/>
          <w:sz w:val="14"/>
        </w:rPr>
        <w:t>generally not expected to be ignitable, and therefore</w:t>
      </w:r>
      <w:r w:rsidRPr="00283806">
        <w:rPr>
          <w:spacing w:val="40"/>
          <w:w w:val="105"/>
          <w:sz w:val="14"/>
        </w:rPr>
        <w:t xml:space="preserve"> </w:t>
      </w:r>
      <w:r w:rsidRPr="00283806">
        <w:rPr>
          <w:w w:val="105"/>
          <w:sz w:val="14"/>
        </w:rPr>
        <w:t>not subject to RCRA requirements. However, if a</w:t>
      </w:r>
      <w:r w:rsidRPr="00283806">
        <w:rPr>
          <w:spacing w:val="40"/>
          <w:w w:val="105"/>
          <w:sz w:val="14"/>
        </w:rPr>
        <w:t xml:space="preserve"> </w:t>
      </w:r>
      <w:r w:rsidRPr="00283806">
        <w:rPr>
          <w:w w:val="105"/>
          <w:sz w:val="14"/>
        </w:rPr>
        <w:t>spent Class 1 refrigerant were ignitable due to</w:t>
      </w:r>
      <w:r w:rsidRPr="00283806">
        <w:rPr>
          <w:spacing w:val="40"/>
          <w:w w:val="105"/>
          <w:sz w:val="14"/>
        </w:rPr>
        <w:t xml:space="preserve"> </w:t>
      </w:r>
      <w:r w:rsidRPr="00283806">
        <w:rPr>
          <w:w w:val="105"/>
          <w:sz w:val="14"/>
        </w:rPr>
        <w:t>contamination with oil or other lubricants, it would</w:t>
      </w:r>
      <w:r w:rsidRPr="00283806">
        <w:rPr>
          <w:spacing w:val="40"/>
          <w:w w:val="105"/>
          <w:sz w:val="14"/>
        </w:rPr>
        <w:t xml:space="preserve"> </w:t>
      </w:r>
      <w:r w:rsidRPr="00283806">
        <w:rPr>
          <w:w w:val="105"/>
          <w:sz w:val="14"/>
        </w:rPr>
        <w:t>be subject to the alternative RCRA standards.</w:t>
      </w:r>
    </w:p>
    <w:p w14:paraId="289AB4A9" w14:textId="77777777" w:rsidR="00D67C1E" w:rsidRPr="00283806" w:rsidRDefault="00D67C1E">
      <w:pPr>
        <w:spacing w:line="232" w:lineRule="auto"/>
        <w:rPr>
          <w:sz w:val="14"/>
        </w:rPr>
        <w:sectPr w:rsidR="00D67C1E" w:rsidRPr="00283806">
          <w:type w:val="continuous"/>
          <w:pgSz w:w="12240" w:h="15840"/>
          <w:pgMar w:top="880" w:right="780" w:bottom="280" w:left="740" w:header="627" w:footer="0" w:gutter="0"/>
          <w:cols w:num="3" w:space="720" w:equalWidth="0">
            <w:col w:w="3486" w:space="54"/>
            <w:col w:w="3518" w:space="39"/>
            <w:col w:w="3623"/>
          </w:cols>
        </w:sectPr>
      </w:pPr>
    </w:p>
    <w:p w14:paraId="52117B6E" w14:textId="77777777" w:rsidR="00D67C1E" w:rsidRPr="00283806" w:rsidRDefault="001265CA">
      <w:pPr>
        <w:pStyle w:val="BodyText"/>
        <w:spacing w:before="136" w:line="225" w:lineRule="auto"/>
      </w:pPr>
      <w:r w:rsidRPr="00283806">
        <w:rPr>
          <w:w w:val="105"/>
        </w:rPr>
        <w:lastRenderedPageBreak/>
        <w:t>occurring during hazardous waste recycling activities.</w:t>
      </w:r>
    </w:p>
    <w:p w14:paraId="03B9021B" w14:textId="77777777" w:rsidR="00D67C1E" w:rsidRPr="00283806" w:rsidRDefault="001265CA">
      <w:pPr>
        <w:pStyle w:val="BodyText"/>
        <w:spacing w:line="179" w:lineRule="exact"/>
        <w:ind w:left="340"/>
      </w:pPr>
      <w:r w:rsidRPr="00283806">
        <w:rPr>
          <w:w w:val="105"/>
        </w:rPr>
        <w:t>EPA</w:t>
      </w:r>
      <w:r w:rsidRPr="00283806">
        <w:rPr>
          <w:spacing w:val="16"/>
          <w:w w:val="105"/>
        </w:rPr>
        <w:t xml:space="preserve"> </w:t>
      </w:r>
      <w:r w:rsidRPr="00283806">
        <w:rPr>
          <w:w w:val="105"/>
        </w:rPr>
        <w:t>did</w:t>
      </w:r>
      <w:r w:rsidRPr="00283806">
        <w:rPr>
          <w:spacing w:val="16"/>
          <w:w w:val="105"/>
        </w:rPr>
        <w:t xml:space="preserve"> </w:t>
      </w:r>
      <w:r w:rsidRPr="00283806">
        <w:rPr>
          <w:w w:val="105"/>
        </w:rPr>
        <w:t>not</w:t>
      </w:r>
      <w:r w:rsidRPr="00283806">
        <w:rPr>
          <w:spacing w:val="17"/>
          <w:w w:val="105"/>
        </w:rPr>
        <w:t xml:space="preserve"> </w:t>
      </w:r>
      <w:r w:rsidRPr="00283806">
        <w:rPr>
          <w:w w:val="105"/>
        </w:rPr>
        <w:t>receive</w:t>
      </w:r>
      <w:r w:rsidRPr="00283806">
        <w:rPr>
          <w:spacing w:val="16"/>
          <w:w w:val="105"/>
        </w:rPr>
        <w:t xml:space="preserve"> </w:t>
      </w:r>
      <w:r w:rsidRPr="00283806">
        <w:rPr>
          <w:w w:val="105"/>
        </w:rPr>
        <w:t>any</w:t>
      </w:r>
      <w:r w:rsidRPr="00283806">
        <w:rPr>
          <w:spacing w:val="17"/>
          <w:w w:val="105"/>
        </w:rPr>
        <w:t xml:space="preserve"> </w:t>
      </w:r>
      <w:r w:rsidRPr="00283806">
        <w:rPr>
          <w:w w:val="105"/>
        </w:rPr>
        <w:t>comments</w:t>
      </w:r>
      <w:r w:rsidRPr="00283806">
        <w:rPr>
          <w:spacing w:val="16"/>
          <w:w w:val="105"/>
        </w:rPr>
        <w:t xml:space="preserve"> </w:t>
      </w:r>
      <w:r w:rsidRPr="00283806">
        <w:rPr>
          <w:spacing w:val="-5"/>
          <w:w w:val="105"/>
        </w:rPr>
        <w:t>on</w:t>
      </w:r>
    </w:p>
    <w:p w14:paraId="6B9282CC" w14:textId="77777777" w:rsidR="00D67C1E" w:rsidRPr="00283806" w:rsidRDefault="001265CA">
      <w:pPr>
        <w:pStyle w:val="BodyText"/>
        <w:spacing w:before="4" w:line="225" w:lineRule="auto"/>
        <w:ind w:right="142"/>
      </w:pPr>
      <w:proofErr w:type="gramStart"/>
      <w:r w:rsidRPr="00283806">
        <w:rPr>
          <w:w w:val="105"/>
        </w:rPr>
        <w:t>the</w:t>
      </w:r>
      <w:proofErr w:type="gramEnd"/>
      <w:r w:rsidRPr="00283806">
        <w:rPr>
          <w:w w:val="105"/>
        </w:rPr>
        <w:t xml:space="preserve"> proposed definition of ‘‘lower flammability spent </w:t>
      </w:r>
      <w:proofErr w:type="gramStart"/>
      <w:r w:rsidRPr="00283806">
        <w:rPr>
          <w:w w:val="105"/>
        </w:rPr>
        <w:t>refrigerant’’</w:t>
      </w:r>
      <w:proofErr w:type="gramEnd"/>
      <w:r w:rsidRPr="00283806">
        <w:rPr>
          <w:w w:val="105"/>
        </w:rPr>
        <w:t xml:space="preserve"> but, </w:t>
      </w:r>
      <w:proofErr w:type="gramStart"/>
      <w:r w:rsidRPr="00283806">
        <w:rPr>
          <w:w w:val="105"/>
        </w:rPr>
        <w:t>in order to</w:t>
      </w:r>
      <w:proofErr w:type="gramEnd"/>
      <w:r w:rsidRPr="00283806">
        <w:rPr>
          <w:w w:val="105"/>
        </w:rPr>
        <w:t xml:space="preserve"> provide greater clarity and simplify implementation, in lieu of referring to the ANSI/ASHRAE</w:t>
      </w:r>
      <w:r w:rsidRPr="00283806">
        <w:rPr>
          <w:spacing w:val="40"/>
          <w:w w:val="105"/>
        </w:rPr>
        <w:t xml:space="preserve"> </w:t>
      </w:r>
      <w:r w:rsidRPr="00283806">
        <w:rPr>
          <w:w w:val="105"/>
        </w:rPr>
        <w:t xml:space="preserve">standard, EPA is including in the regulatory definition the list of specific chemicals that are considered Class 3 ‘‘highly </w:t>
      </w:r>
      <w:proofErr w:type="gramStart"/>
      <w:r w:rsidRPr="00283806">
        <w:rPr>
          <w:w w:val="105"/>
        </w:rPr>
        <w:t>flammable’’</w:t>
      </w:r>
      <w:proofErr w:type="gramEnd"/>
      <w:r w:rsidRPr="00283806">
        <w:rPr>
          <w:w w:val="105"/>
        </w:rPr>
        <w:t xml:space="preserve"> refrigerants and therefore are not lower flammability </w:t>
      </w:r>
      <w:r w:rsidRPr="00283806">
        <w:rPr>
          <w:spacing w:val="-2"/>
          <w:w w:val="105"/>
        </w:rPr>
        <w:t>refrigerants.</w:t>
      </w:r>
    </w:p>
    <w:p w14:paraId="6EB0C6C4" w14:textId="77777777" w:rsidR="00D67C1E" w:rsidRPr="00283806" w:rsidRDefault="001265CA">
      <w:pPr>
        <w:pStyle w:val="ListParagraph"/>
        <w:numPr>
          <w:ilvl w:val="0"/>
          <w:numId w:val="45"/>
        </w:numPr>
        <w:tabs>
          <w:tab w:val="left" w:pos="348"/>
        </w:tabs>
        <w:spacing w:before="94" w:line="225" w:lineRule="auto"/>
        <w:ind w:left="160" w:right="945" w:firstLine="0"/>
        <w:rPr>
          <w:sz w:val="18"/>
        </w:rPr>
      </w:pPr>
      <w:r w:rsidRPr="00283806">
        <w:rPr>
          <w:w w:val="105"/>
          <w:sz w:val="18"/>
        </w:rPr>
        <w:t>Requirements of the RCRA Alternative Standards</w:t>
      </w:r>
    </w:p>
    <w:p w14:paraId="0EC63462" w14:textId="77777777" w:rsidR="00D67C1E" w:rsidRPr="00283806" w:rsidRDefault="001265CA">
      <w:pPr>
        <w:pStyle w:val="BodyText"/>
        <w:spacing w:before="65" w:line="225" w:lineRule="auto"/>
        <w:ind w:right="43" w:firstLine="180"/>
      </w:pPr>
      <w:r w:rsidRPr="00283806">
        <w:rPr>
          <w:w w:val="105"/>
        </w:rPr>
        <w:t>The specific standards EPA is</w:t>
      </w:r>
      <w:r w:rsidRPr="00283806">
        <w:rPr>
          <w:spacing w:val="80"/>
          <w:w w:val="105"/>
        </w:rPr>
        <w:t xml:space="preserve"> </w:t>
      </w:r>
      <w:r w:rsidRPr="00283806">
        <w:rPr>
          <w:w w:val="105"/>
        </w:rPr>
        <w:t>finalizing for ignitable spent refrigerants being recycled for reuse for further use</w:t>
      </w:r>
      <w:r w:rsidRPr="00283806">
        <w:rPr>
          <w:spacing w:val="40"/>
          <w:w w:val="105"/>
        </w:rPr>
        <w:t xml:space="preserve"> </w:t>
      </w:r>
      <w:r w:rsidRPr="00283806">
        <w:rPr>
          <w:w w:val="105"/>
        </w:rPr>
        <w:t>in equipment of the same owner, or by the owner of the recovery equipment in compliance with MVAC standards in 40 CFR part 82, subpart B, are (1) the ignitable spent refrigerants are</w:t>
      </w:r>
      <w:r w:rsidRPr="00283806">
        <w:rPr>
          <w:spacing w:val="40"/>
          <w:w w:val="105"/>
        </w:rPr>
        <w:t xml:space="preserve"> </w:t>
      </w:r>
      <w:r w:rsidRPr="00283806">
        <w:rPr>
          <w:w w:val="105"/>
        </w:rPr>
        <w:t>recovered (</w:t>
      </w:r>
      <w:r w:rsidRPr="00283806">
        <w:rPr>
          <w:rFonts w:ascii="Book Antiqua"/>
          <w:i/>
          <w:w w:val="105"/>
        </w:rPr>
        <w:t xml:space="preserve">i.e., </w:t>
      </w:r>
      <w:r w:rsidRPr="00283806">
        <w:rPr>
          <w:w w:val="105"/>
        </w:rPr>
        <w:t>removed from an appliance and stored in an external container) and/or recycled for reuse using equipment that is certified for that type of refrigerant under 40 CFR 82.36</w:t>
      </w:r>
      <w:r w:rsidRPr="00283806">
        <w:rPr>
          <w:spacing w:val="40"/>
          <w:w w:val="105"/>
        </w:rPr>
        <w:t xml:space="preserve"> </w:t>
      </w:r>
      <w:r w:rsidRPr="00283806">
        <w:rPr>
          <w:w w:val="105"/>
        </w:rPr>
        <w:t xml:space="preserve">or 40 CFR 82.158; and (2) the ignitable spent refrigerants are not speculatively accumulated as defined in 40 CFR </w:t>
      </w:r>
      <w:r w:rsidRPr="00283806">
        <w:rPr>
          <w:spacing w:val="-2"/>
          <w:w w:val="105"/>
        </w:rPr>
        <w:t>261.1(c).</w:t>
      </w:r>
    </w:p>
    <w:p w14:paraId="64D44BB9" w14:textId="77777777" w:rsidR="00D67C1E" w:rsidRPr="00283806" w:rsidRDefault="001265CA">
      <w:pPr>
        <w:pStyle w:val="BodyText"/>
        <w:spacing w:line="164" w:lineRule="exact"/>
        <w:ind w:left="340"/>
      </w:pPr>
      <w:r w:rsidRPr="00283806">
        <w:rPr>
          <w:w w:val="110"/>
        </w:rPr>
        <w:t>The</w:t>
      </w:r>
      <w:r w:rsidRPr="00283806">
        <w:rPr>
          <w:spacing w:val="-8"/>
          <w:w w:val="110"/>
        </w:rPr>
        <w:t xml:space="preserve"> </w:t>
      </w:r>
      <w:r w:rsidRPr="00283806">
        <w:rPr>
          <w:w w:val="110"/>
        </w:rPr>
        <w:t>specific</w:t>
      </w:r>
      <w:r w:rsidRPr="00283806">
        <w:rPr>
          <w:spacing w:val="-8"/>
          <w:w w:val="110"/>
        </w:rPr>
        <w:t xml:space="preserve"> </w:t>
      </w:r>
      <w:r w:rsidRPr="00283806">
        <w:rPr>
          <w:w w:val="110"/>
        </w:rPr>
        <w:t>standards</w:t>
      </w:r>
      <w:r w:rsidRPr="00283806">
        <w:rPr>
          <w:spacing w:val="-8"/>
          <w:w w:val="110"/>
        </w:rPr>
        <w:t xml:space="preserve"> </w:t>
      </w:r>
      <w:r w:rsidRPr="00283806">
        <w:rPr>
          <w:w w:val="110"/>
        </w:rPr>
        <w:t>that</w:t>
      </w:r>
      <w:r w:rsidRPr="00283806">
        <w:rPr>
          <w:spacing w:val="-7"/>
          <w:w w:val="110"/>
        </w:rPr>
        <w:t xml:space="preserve"> </w:t>
      </w:r>
      <w:r w:rsidRPr="00283806">
        <w:rPr>
          <w:w w:val="110"/>
        </w:rPr>
        <w:t>EPA</w:t>
      </w:r>
      <w:r w:rsidRPr="00283806">
        <w:rPr>
          <w:spacing w:val="-8"/>
          <w:w w:val="110"/>
        </w:rPr>
        <w:t xml:space="preserve"> </w:t>
      </w:r>
      <w:r w:rsidRPr="00283806">
        <w:rPr>
          <w:spacing w:val="-5"/>
          <w:w w:val="110"/>
        </w:rPr>
        <w:t>is</w:t>
      </w:r>
    </w:p>
    <w:p w14:paraId="3F69D3EB" w14:textId="77777777" w:rsidR="00D67C1E" w:rsidRPr="00283806" w:rsidRDefault="001265CA">
      <w:pPr>
        <w:pStyle w:val="BodyText"/>
        <w:spacing w:before="2" w:line="228" w:lineRule="auto"/>
      </w:pPr>
      <w:r w:rsidRPr="00283806">
        <w:rPr>
          <w:w w:val="105"/>
        </w:rPr>
        <w:t>finalizing for facilities receiving refrigerant from off-site to be recycled</w:t>
      </w:r>
      <w:r w:rsidRPr="00283806">
        <w:rPr>
          <w:spacing w:val="40"/>
          <w:w w:val="105"/>
        </w:rPr>
        <w:t xml:space="preserve"> </w:t>
      </w:r>
      <w:r w:rsidRPr="00283806">
        <w:rPr>
          <w:w w:val="105"/>
        </w:rPr>
        <w:t>for reuse are (1) the reclaimer must maintain certification by EPA under 40 CFR 82.164; (2) the facility must meet</w:t>
      </w:r>
      <w:r w:rsidRPr="00283806">
        <w:rPr>
          <w:spacing w:val="40"/>
          <w:w w:val="105"/>
        </w:rPr>
        <w:t xml:space="preserve"> </w:t>
      </w:r>
      <w:r w:rsidRPr="00283806">
        <w:rPr>
          <w:w w:val="105"/>
        </w:rPr>
        <w:t>the applicable emergency preparedness and response requirements of 40 CFR part 261, subpart M; and (3) the</w:t>
      </w:r>
      <w:r w:rsidRPr="00283806">
        <w:rPr>
          <w:spacing w:val="80"/>
          <w:w w:val="105"/>
        </w:rPr>
        <w:t xml:space="preserve"> </w:t>
      </w:r>
      <w:r w:rsidRPr="00283806">
        <w:rPr>
          <w:w w:val="105"/>
        </w:rPr>
        <w:t>ignitable spent refrigerants must not be speculatively accumulated as defined in 40</w:t>
      </w:r>
      <w:r w:rsidRPr="00283806">
        <w:rPr>
          <w:spacing w:val="-2"/>
          <w:w w:val="105"/>
        </w:rPr>
        <w:t xml:space="preserve"> </w:t>
      </w:r>
      <w:r w:rsidRPr="00283806">
        <w:rPr>
          <w:w w:val="105"/>
        </w:rPr>
        <w:t>CFR</w:t>
      </w:r>
      <w:r w:rsidRPr="00283806">
        <w:rPr>
          <w:spacing w:val="-2"/>
          <w:w w:val="105"/>
        </w:rPr>
        <w:t xml:space="preserve"> </w:t>
      </w:r>
      <w:r w:rsidRPr="00283806">
        <w:rPr>
          <w:w w:val="105"/>
        </w:rPr>
        <w:t>261.1(c).</w:t>
      </w:r>
      <w:r w:rsidRPr="00283806">
        <w:rPr>
          <w:spacing w:val="-2"/>
          <w:w w:val="105"/>
        </w:rPr>
        <w:t xml:space="preserve"> </w:t>
      </w:r>
      <w:r w:rsidRPr="00283806">
        <w:rPr>
          <w:w w:val="105"/>
        </w:rPr>
        <w:t>These</w:t>
      </w:r>
      <w:r w:rsidRPr="00283806">
        <w:rPr>
          <w:spacing w:val="-2"/>
          <w:w w:val="105"/>
        </w:rPr>
        <w:t xml:space="preserve"> </w:t>
      </w:r>
      <w:r w:rsidRPr="00283806">
        <w:rPr>
          <w:w w:val="105"/>
        </w:rPr>
        <w:t>requirements</w:t>
      </w:r>
      <w:r w:rsidRPr="00283806">
        <w:rPr>
          <w:spacing w:val="-2"/>
          <w:w w:val="105"/>
        </w:rPr>
        <w:t xml:space="preserve"> </w:t>
      </w:r>
      <w:r w:rsidRPr="00283806">
        <w:rPr>
          <w:w w:val="105"/>
        </w:rPr>
        <w:t xml:space="preserve">are included as part of the RCRA alternative standard </w:t>
      </w:r>
      <w:proofErr w:type="gramStart"/>
      <w:r w:rsidRPr="00283806">
        <w:rPr>
          <w:w w:val="105"/>
        </w:rPr>
        <w:t>in order to</w:t>
      </w:r>
      <w:proofErr w:type="gramEnd"/>
      <w:r w:rsidRPr="00283806">
        <w:rPr>
          <w:w w:val="105"/>
        </w:rPr>
        <w:t xml:space="preserve"> ensure that the ignitable spent refrigerants are legitimately recycled for reuse in a way that is protective of human health and</w:t>
      </w:r>
      <w:r w:rsidRPr="00283806">
        <w:rPr>
          <w:spacing w:val="40"/>
          <w:w w:val="105"/>
        </w:rPr>
        <w:t xml:space="preserve"> </w:t>
      </w:r>
      <w:r w:rsidRPr="00283806">
        <w:rPr>
          <w:w w:val="105"/>
        </w:rPr>
        <w:t>the environment. For facilities that receive ignitable spent refrigerant from off-site</w:t>
      </w:r>
      <w:r w:rsidRPr="00283806">
        <w:rPr>
          <w:spacing w:val="-7"/>
          <w:w w:val="105"/>
        </w:rPr>
        <w:t xml:space="preserve"> </w:t>
      </w:r>
      <w:r w:rsidRPr="00283806">
        <w:rPr>
          <w:w w:val="105"/>
        </w:rPr>
        <w:t>and</w:t>
      </w:r>
      <w:r w:rsidRPr="00283806">
        <w:rPr>
          <w:spacing w:val="-7"/>
          <w:w w:val="105"/>
        </w:rPr>
        <w:t xml:space="preserve"> </w:t>
      </w:r>
      <w:r w:rsidRPr="00283806">
        <w:rPr>
          <w:w w:val="105"/>
        </w:rPr>
        <w:t>store</w:t>
      </w:r>
      <w:r w:rsidRPr="00283806">
        <w:rPr>
          <w:spacing w:val="-7"/>
          <w:w w:val="105"/>
        </w:rPr>
        <w:t xml:space="preserve"> </w:t>
      </w:r>
      <w:r w:rsidRPr="00283806">
        <w:rPr>
          <w:w w:val="105"/>
        </w:rPr>
        <w:t>the</w:t>
      </w:r>
      <w:r w:rsidRPr="00283806">
        <w:rPr>
          <w:spacing w:val="-7"/>
          <w:w w:val="105"/>
        </w:rPr>
        <w:t xml:space="preserve"> </w:t>
      </w:r>
      <w:r w:rsidRPr="00283806">
        <w:rPr>
          <w:w w:val="105"/>
        </w:rPr>
        <w:t>refrigerant</w:t>
      </w:r>
      <w:r w:rsidRPr="00283806">
        <w:rPr>
          <w:spacing w:val="-7"/>
          <w:w w:val="105"/>
        </w:rPr>
        <w:t xml:space="preserve"> </w:t>
      </w:r>
      <w:r w:rsidRPr="00283806">
        <w:rPr>
          <w:w w:val="105"/>
        </w:rPr>
        <w:t>for</w:t>
      </w:r>
      <w:r w:rsidRPr="00283806">
        <w:rPr>
          <w:spacing w:val="-7"/>
          <w:w w:val="105"/>
        </w:rPr>
        <w:t xml:space="preserve"> </w:t>
      </w:r>
      <w:r w:rsidRPr="00283806">
        <w:rPr>
          <w:w w:val="105"/>
        </w:rPr>
        <w:t>more than 10 days and then send the refrigerant on to a reclaimer to be recycled for reuse: (1) The facility must meet the applicable emergency preparedness and response</w:t>
      </w:r>
      <w:r w:rsidRPr="00283806">
        <w:rPr>
          <w:spacing w:val="40"/>
          <w:w w:val="105"/>
        </w:rPr>
        <w:t xml:space="preserve"> </w:t>
      </w:r>
      <w:r w:rsidRPr="00283806">
        <w:rPr>
          <w:w w:val="105"/>
        </w:rPr>
        <w:t>requirements of 40 CFR part 261,</w:t>
      </w:r>
      <w:r w:rsidRPr="00283806">
        <w:rPr>
          <w:spacing w:val="40"/>
          <w:w w:val="105"/>
        </w:rPr>
        <w:t xml:space="preserve"> </w:t>
      </w:r>
      <w:r w:rsidRPr="00283806">
        <w:rPr>
          <w:w w:val="105"/>
        </w:rPr>
        <w:t xml:space="preserve">subpart M; and (2) the ignitable spent refrigerants must not be speculatively accumulated as defined in 40 CFR </w:t>
      </w:r>
      <w:r w:rsidRPr="00283806">
        <w:rPr>
          <w:spacing w:val="-2"/>
          <w:w w:val="105"/>
        </w:rPr>
        <w:t>261.1(c).</w:t>
      </w:r>
    </w:p>
    <w:p w14:paraId="59F3C4CC" w14:textId="77777777" w:rsidR="00D67C1E" w:rsidRPr="00283806" w:rsidRDefault="001265CA">
      <w:pPr>
        <w:pStyle w:val="BodyText"/>
        <w:spacing w:line="155" w:lineRule="exact"/>
        <w:ind w:left="340"/>
      </w:pPr>
      <w:r w:rsidRPr="00283806">
        <w:rPr>
          <w:w w:val="105"/>
        </w:rPr>
        <w:t>The</w:t>
      </w:r>
      <w:r w:rsidRPr="00283806">
        <w:rPr>
          <w:spacing w:val="2"/>
          <w:w w:val="105"/>
        </w:rPr>
        <w:t xml:space="preserve"> </w:t>
      </w:r>
      <w:r w:rsidRPr="00283806">
        <w:rPr>
          <w:w w:val="105"/>
        </w:rPr>
        <w:t>requirement</w:t>
      </w:r>
      <w:r w:rsidRPr="00283806">
        <w:rPr>
          <w:spacing w:val="2"/>
          <w:w w:val="105"/>
        </w:rPr>
        <w:t xml:space="preserve"> </w:t>
      </w:r>
      <w:r w:rsidRPr="00283806">
        <w:rPr>
          <w:w w:val="105"/>
        </w:rPr>
        <w:t>that</w:t>
      </w:r>
      <w:r w:rsidRPr="00283806">
        <w:rPr>
          <w:spacing w:val="2"/>
          <w:w w:val="105"/>
        </w:rPr>
        <w:t xml:space="preserve"> </w:t>
      </w:r>
      <w:r w:rsidRPr="00283806">
        <w:rPr>
          <w:w w:val="105"/>
        </w:rPr>
        <w:t>the</w:t>
      </w:r>
      <w:r w:rsidRPr="00283806">
        <w:rPr>
          <w:spacing w:val="2"/>
          <w:w w:val="105"/>
        </w:rPr>
        <w:t xml:space="preserve"> </w:t>
      </w:r>
      <w:r w:rsidRPr="00283806">
        <w:rPr>
          <w:spacing w:val="-2"/>
          <w:w w:val="105"/>
        </w:rPr>
        <w:t>recovery</w:t>
      </w:r>
    </w:p>
    <w:p w14:paraId="77D1AB8F" w14:textId="77777777" w:rsidR="00D67C1E" w:rsidRPr="00283806" w:rsidRDefault="001265CA">
      <w:pPr>
        <w:pStyle w:val="BodyText"/>
        <w:spacing w:before="3" w:line="228" w:lineRule="auto"/>
      </w:pPr>
      <w:r w:rsidRPr="00283806">
        <w:rPr>
          <w:w w:val="105"/>
        </w:rPr>
        <w:t>and/or recycling equipment be certified for that type of refrigerant and appliance under 40 CFR 82.36 (for MVAC</w:t>
      </w:r>
    </w:p>
    <w:p w14:paraId="41AF8AE7" w14:textId="77777777" w:rsidR="00D67C1E" w:rsidRPr="00283806" w:rsidRDefault="001265CA">
      <w:pPr>
        <w:pStyle w:val="BodyText"/>
        <w:spacing w:line="201" w:lineRule="exact"/>
      </w:pPr>
      <w:r w:rsidRPr="00283806">
        <w:rPr>
          <w:w w:val="105"/>
        </w:rPr>
        <w:t>systems),</w:t>
      </w:r>
      <w:r w:rsidRPr="00283806">
        <w:rPr>
          <w:spacing w:val="3"/>
          <w:w w:val="105"/>
        </w:rPr>
        <w:t xml:space="preserve"> </w:t>
      </w:r>
      <w:r w:rsidRPr="00283806">
        <w:rPr>
          <w:w w:val="105"/>
        </w:rPr>
        <w:t>or</w:t>
      </w:r>
      <w:r w:rsidRPr="00283806">
        <w:rPr>
          <w:spacing w:val="4"/>
          <w:w w:val="105"/>
        </w:rPr>
        <w:t xml:space="preserve"> </w:t>
      </w:r>
      <w:r w:rsidRPr="00283806">
        <w:rPr>
          <w:w w:val="105"/>
        </w:rPr>
        <w:t>40</w:t>
      </w:r>
      <w:r w:rsidRPr="00283806">
        <w:rPr>
          <w:spacing w:val="3"/>
          <w:w w:val="105"/>
        </w:rPr>
        <w:t xml:space="preserve"> </w:t>
      </w:r>
      <w:r w:rsidRPr="00283806">
        <w:rPr>
          <w:w w:val="105"/>
        </w:rPr>
        <w:t>CFR</w:t>
      </w:r>
      <w:r w:rsidRPr="00283806">
        <w:rPr>
          <w:spacing w:val="4"/>
          <w:w w:val="105"/>
        </w:rPr>
        <w:t xml:space="preserve"> </w:t>
      </w:r>
      <w:r w:rsidRPr="00283806">
        <w:rPr>
          <w:w w:val="105"/>
        </w:rPr>
        <w:t>82.158</w:t>
      </w:r>
      <w:r w:rsidRPr="00283806">
        <w:rPr>
          <w:spacing w:val="4"/>
          <w:w w:val="105"/>
        </w:rPr>
        <w:t xml:space="preserve"> </w:t>
      </w:r>
      <w:r w:rsidRPr="00283806">
        <w:rPr>
          <w:spacing w:val="-4"/>
          <w:w w:val="105"/>
        </w:rPr>
        <w:t>(for</w:t>
      </w:r>
    </w:p>
    <w:p w14:paraId="0670A6CC" w14:textId="77777777" w:rsidR="00D67C1E" w:rsidRPr="00283806" w:rsidRDefault="001265CA">
      <w:pPr>
        <w:pStyle w:val="BodyText"/>
        <w:spacing w:before="135" w:line="225" w:lineRule="auto"/>
        <w:ind w:left="155"/>
      </w:pPr>
      <w:r w:rsidRPr="00283806">
        <w:br w:type="column"/>
      </w:r>
      <w:r w:rsidRPr="00283806">
        <w:rPr>
          <w:w w:val="105"/>
        </w:rPr>
        <w:t>recycling for reuse in appliances by the same owner) specifically addresses the ignitability hazard during refrigerant recovery and recycling for reuse at</w:t>
      </w:r>
      <w:r w:rsidRPr="00283806">
        <w:rPr>
          <w:spacing w:val="80"/>
          <w:w w:val="105"/>
        </w:rPr>
        <w:t xml:space="preserve"> </w:t>
      </w:r>
      <w:r w:rsidRPr="00283806">
        <w:rPr>
          <w:w w:val="105"/>
        </w:rPr>
        <w:t>MVAC recycling operations in</w:t>
      </w:r>
      <w:r w:rsidRPr="00283806">
        <w:rPr>
          <w:spacing w:val="80"/>
          <w:w w:val="105"/>
        </w:rPr>
        <w:t xml:space="preserve"> </w:t>
      </w:r>
      <w:r w:rsidRPr="00283806">
        <w:rPr>
          <w:w w:val="105"/>
        </w:rPr>
        <w:t>compliance</w:t>
      </w:r>
      <w:r w:rsidRPr="00283806">
        <w:rPr>
          <w:spacing w:val="40"/>
          <w:w w:val="105"/>
        </w:rPr>
        <w:t xml:space="preserve"> </w:t>
      </w:r>
      <w:r w:rsidRPr="00283806">
        <w:rPr>
          <w:w w:val="105"/>
        </w:rPr>
        <w:t>with</w:t>
      </w:r>
      <w:r w:rsidRPr="00283806">
        <w:rPr>
          <w:spacing w:val="40"/>
          <w:w w:val="105"/>
        </w:rPr>
        <w:t xml:space="preserve"> </w:t>
      </w:r>
      <w:r w:rsidRPr="00283806">
        <w:rPr>
          <w:w w:val="105"/>
        </w:rPr>
        <w:t>40</w:t>
      </w:r>
      <w:r w:rsidRPr="00283806">
        <w:rPr>
          <w:spacing w:val="40"/>
          <w:w w:val="105"/>
        </w:rPr>
        <w:t xml:space="preserve"> </w:t>
      </w:r>
      <w:r w:rsidRPr="00283806">
        <w:rPr>
          <w:w w:val="105"/>
        </w:rPr>
        <w:t>CFR</w:t>
      </w:r>
      <w:r w:rsidRPr="00283806">
        <w:rPr>
          <w:spacing w:val="40"/>
          <w:w w:val="105"/>
        </w:rPr>
        <w:t xml:space="preserve"> </w:t>
      </w:r>
      <w:r w:rsidRPr="00283806">
        <w:rPr>
          <w:w w:val="105"/>
        </w:rPr>
        <w:t>part</w:t>
      </w:r>
      <w:r w:rsidRPr="00283806">
        <w:rPr>
          <w:spacing w:val="40"/>
          <w:w w:val="105"/>
        </w:rPr>
        <w:t xml:space="preserve"> </w:t>
      </w:r>
      <w:r w:rsidRPr="00283806">
        <w:rPr>
          <w:w w:val="105"/>
        </w:rPr>
        <w:t>82, subpart B, or for recycling for reuse in appliances by the same owner. In particular, appendix B4 to subpart F of</w:t>
      </w:r>
      <w:r w:rsidRPr="00283806">
        <w:rPr>
          <w:spacing w:val="40"/>
          <w:w w:val="105"/>
        </w:rPr>
        <w:t xml:space="preserve"> </w:t>
      </w:r>
      <w:r w:rsidRPr="00283806">
        <w:rPr>
          <w:w w:val="105"/>
        </w:rPr>
        <w:t>40 CFR part 82—Performance and</w:t>
      </w:r>
      <w:r w:rsidRPr="00283806">
        <w:rPr>
          <w:spacing w:val="80"/>
          <w:w w:val="105"/>
        </w:rPr>
        <w:t xml:space="preserve"> </w:t>
      </w:r>
      <w:r w:rsidRPr="00283806">
        <w:rPr>
          <w:w w:val="105"/>
        </w:rPr>
        <w:t>Safety of Flammable Refrigerant</w:t>
      </w:r>
      <w:r w:rsidRPr="00283806">
        <w:rPr>
          <w:spacing w:val="40"/>
          <w:w w:val="105"/>
        </w:rPr>
        <w:t xml:space="preserve"> </w:t>
      </w:r>
      <w:r w:rsidRPr="00283806">
        <w:rPr>
          <w:w w:val="105"/>
        </w:rPr>
        <w:t>Recovery and/or Recycling Equipment— requires all recovery and/or recycling equipment to be tested to meet</w:t>
      </w:r>
      <w:r w:rsidRPr="00283806">
        <w:rPr>
          <w:spacing w:val="80"/>
          <w:w w:val="105"/>
        </w:rPr>
        <w:t xml:space="preserve"> </w:t>
      </w:r>
      <w:r w:rsidRPr="00283806">
        <w:rPr>
          <w:w w:val="105"/>
        </w:rPr>
        <w:t>standards for the test apparatus, test gas mixtures, sampling procedures,</w:t>
      </w:r>
      <w:r w:rsidRPr="00283806">
        <w:rPr>
          <w:spacing w:val="40"/>
          <w:w w:val="105"/>
        </w:rPr>
        <w:t xml:space="preserve"> </w:t>
      </w:r>
      <w:r w:rsidRPr="00283806">
        <w:rPr>
          <w:w w:val="105"/>
        </w:rPr>
        <w:t>analytical techniques, and equipment construction that will be used to determine the performance and safety of refrigerant recovery.</w:t>
      </w:r>
    </w:p>
    <w:p w14:paraId="2ABBA2A6" w14:textId="77777777" w:rsidR="00D67C1E" w:rsidRPr="00283806" w:rsidRDefault="001265CA">
      <w:pPr>
        <w:pStyle w:val="BodyText"/>
        <w:spacing w:line="173" w:lineRule="exact"/>
        <w:ind w:left="335"/>
      </w:pPr>
      <w:r w:rsidRPr="00283806">
        <w:rPr>
          <w:w w:val="105"/>
        </w:rPr>
        <w:t>The</w:t>
      </w:r>
      <w:r w:rsidRPr="00283806">
        <w:rPr>
          <w:spacing w:val="2"/>
          <w:w w:val="105"/>
        </w:rPr>
        <w:t xml:space="preserve"> </w:t>
      </w:r>
      <w:r w:rsidRPr="00283806">
        <w:rPr>
          <w:w w:val="105"/>
        </w:rPr>
        <w:t>requirement</w:t>
      </w:r>
      <w:r w:rsidRPr="00283806">
        <w:rPr>
          <w:spacing w:val="2"/>
          <w:w w:val="105"/>
        </w:rPr>
        <w:t xml:space="preserve"> </w:t>
      </w:r>
      <w:r w:rsidRPr="00283806">
        <w:rPr>
          <w:w w:val="105"/>
        </w:rPr>
        <w:t>that</w:t>
      </w:r>
      <w:r w:rsidRPr="00283806">
        <w:rPr>
          <w:spacing w:val="2"/>
          <w:w w:val="105"/>
        </w:rPr>
        <w:t xml:space="preserve"> </w:t>
      </w:r>
      <w:r w:rsidRPr="00283806">
        <w:rPr>
          <w:w w:val="105"/>
        </w:rPr>
        <w:t>the</w:t>
      </w:r>
      <w:r w:rsidRPr="00283806">
        <w:rPr>
          <w:spacing w:val="2"/>
          <w:w w:val="105"/>
        </w:rPr>
        <w:t xml:space="preserve"> </w:t>
      </w:r>
      <w:r w:rsidRPr="00283806">
        <w:rPr>
          <w:spacing w:val="-2"/>
          <w:w w:val="105"/>
        </w:rPr>
        <w:t>spent</w:t>
      </w:r>
    </w:p>
    <w:p w14:paraId="7B5B792B" w14:textId="77777777" w:rsidR="00D67C1E" w:rsidRPr="00283806" w:rsidRDefault="001265CA">
      <w:pPr>
        <w:pStyle w:val="BodyText"/>
        <w:spacing w:before="4" w:line="225" w:lineRule="auto"/>
        <w:ind w:left="155" w:right="113"/>
      </w:pPr>
      <w:r w:rsidRPr="00283806">
        <w:rPr>
          <w:w w:val="105"/>
        </w:rPr>
        <w:t xml:space="preserve">refrigerant regulated under the new alternative standards </w:t>
      </w:r>
      <w:proofErr w:type="gramStart"/>
      <w:r w:rsidRPr="00283806">
        <w:rPr>
          <w:w w:val="105"/>
        </w:rPr>
        <w:t>not be</w:t>
      </w:r>
      <w:proofErr w:type="gramEnd"/>
      <w:r w:rsidRPr="00283806">
        <w:rPr>
          <w:w w:val="105"/>
        </w:rPr>
        <w:t xml:space="preserve"> speculatively accumulated per 40 CFR 261.1(c) will help prevent over- accumulation, mismanagement, and abandonment of the spent refrigerant. Restrictions on speculative accumulation have been an important element of the RCRA hazardous waste recycling regulations since they were originally promulgated on January 4, 1985 (50 FR 634 through 637).</w:t>
      </w:r>
    </w:p>
    <w:p w14:paraId="7F444FAB" w14:textId="77777777" w:rsidR="00D67C1E" w:rsidRPr="00283806" w:rsidRDefault="001265CA">
      <w:pPr>
        <w:pStyle w:val="BodyText"/>
        <w:spacing w:line="225" w:lineRule="auto"/>
        <w:ind w:left="155" w:right="38"/>
      </w:pPr>
      <w:r w:rsidRPr="00283806">
        <w:rPr>
          <w:w w:val="105"/>
        </w:rPr>
        <w:t>According to this regulatory provision, hazardous secondary materials as</w:t>
      </w:r>
      <w:r w:rsidRPr="00283806">
        <w:rPr>
          <w:spacing w:val="40"/>
          <w:w w:val="105"/>
        </w:rPr>
        <w:t xml:space="preserve"> </w:t>
      </w:r>
      <w:r w:rsidRPr="00283806">
        <w:rPr>
          <w:w w:val="105"/>
        </w:rPr>
        <w:t>defined in 40 CFR 260.10 (which would include ignitable spent refrigerants) are accumulated speculatively if the person accumulating them cannot demonstrate that the material is potentially</w:t>
      </w:r>
      <w:r w:rsidRPr="00283806">
        <w:rPr>
          <w:spacing w:val="80"/>
          <w:w w:val="105"/>
        </w:rPr>
        <w:t xml:space="preserve"> </w:t>
      </w:r>
      <w:r w:rsidRPr="00283806">
        <w:rPr>
          <w:w w:val="105"/>
        </w:rPr>
        <w:t xml:space="preserve">recyclable. Further, the person accumulating </w:t>
      </w:r>
      <w:proofErr w:type="gramStart"/>
      <w:r w:rsidRPr="00283806">
        <w:rPr>
          <w:w w:val="105"/>
        </w:rPr>
        <w:t>the hazardous</w:t>
      </w:r>
      <w:proofErr w:type="gramEnd"/>
      <w:r w:rsidRPr="00283806">
        <w:rPr>
          <w:w w:val="105"/>
        </w:rPr>
        <w:t xml:space="preserve"> secondary material must demonstrate that during a calendar year (beginning January 1), the amount of such material that is recycled or transferred to a different site for recycling is at least 75 percent by weight or volume of the amount of </w:t>
      </w:r>
      <w:proofErr w:type="gramStart"/>
      <w:r w:rsidRPr="00283806">
        <w:rPr>
          <w:w w:val="105"/>
        </w:rPr>
        <w:t>the</w:t>
      </w:r>
      <w:r w:rsidRPr="00283806">
        <w:rPr>
          <w:spacing w:val="40"/>
          <w:w w:val="105"/>
        </w:rPr>
        <w:t xml:space="preserve"> </w:t>
      </w:r>
      <w:r w:rsidRPr="00283806">
        <w:rPr>
          <w:w w:val="105"/>
        </w:rPr>
        <w:t>hazardous</w:t>
      </w:r>
      <w:proofErr w:type="gramEnd"/>
      <w:r w:rsidRPr="00283806">
        <w:rPr>
          <w:w w:val="105"/>
        </w:rPr>
        <w:t xml:space="preserve"> secondary material present at the beginning of the calendar year (January 1). Hazardous secondary materials to be recycled must be placed</w:t>
      </w:r>
      <w:r w:rsidRPr="00283806">
        <w:rPr>
          <w:spacing w:val="40"/>
          <w:w w:val="105"/>
        </w:rPr>
        <w:t xml:space="preserve"> </w:t>
      </w:r>
      <w:r w:rsidRPr="00283806">
        <w:rPr>
          <w:w w:val="105"/>
        </w:rPr>
        <w:t>in a storage unit with a label indicating the first date that the material began to</w:t>
      </w:r>
      <w:r w:rsidRPr="00283806">
        <w:rPr>
          <w:spacing w:val="40"/>
          <w:w w:val="105"/>
        </w:rPr>
        <w:t xml:space="preserve"> </w:t>
      </w:r>
      <w:r w:rsidRPr="00283806">
        <w:rPr>
          <w:w w:val="105"/>
        </w:rPr>
        <w:t xml:space="preserve">be accumulated, or the accumulation period must be documented through an inventory log or other appropriate method. Otherwise, the hazardous secondary material </w:t>
      </w:r>
      <w:proofErr w:type="gramStart"/>
      <w:r w:rsidRPr="00283806">
        <w:rPr>
          <w:w w:val="105"/>
        </w:rPr>
        <w:t>is considered to be</w:t>
      </w:r>
      <w:proofErr w:type="gramEnd"/>
      <w:r w:rsidRPr="00283806">
        <w:rPr>
          <w:w w:val="105"/>
        </w:rPr>
        <w:t xml:space="preserve"> speculatively accumulated and not eligible for the alternative standards in</w:t>
      </w:r>
      <w:r w:rsidRPr="00283806">
        <w:rPr>
          <w:spacing w:val="40"/>
          <w:w w:val="105"/>
        </w:rPr>
        <w:t xml:space="preserve"> </w:t>
      </w:r>
      <w:r w:rsidRPr="00283806">
        <w:rPr>
          <w:w w:val="105"/>
        </w:rPr>
        <w:t>40 CFR part 266, subpart Q.</w:t>
      </w:r>
    </w:p>
    <w:p w14:paraId="7AB1466F" w14:textId="77777777" w:rsidR="00D67C1E" w:rsidRPr="00283806" w:rsidRDefault="001265CA">
      <w:pPr>
        <w:pStyle w:val="BodyText"/>
        <w:spacing w:line="170" w:lineRule="exact"/>
        <w:ind w:left="335"/>
      </w:pPr>
      <w:r w:rsidRPr="00283806">
        <w:rPr>
          <w:w w:val="105"/>
        </w:rPr>
        <w:t>Facilities</w:t>
      </w:r>
      <w:r w:rsidRPr="00283806">
        <w:rPr>
          <w:spacing w:val="10"/>
          <w:w w:val="105"/>
        </w:rPr>
        <w:t xml:space="preserve"> </w:t>
      </w:r>
      <w:r w:rsidRPr="00283806">
        <w:rPr>
          <w:w w:val="105"/>
        </w:rPr>
        <w:t>that</w:t>
      </w:r>
      <w:r w:rsidRPr="00283806">
        <w:rPr>
          <w:spacing w:val="11"/>
          <w:w w:val="105"/>
        </w:rPr>
        <w:t xml:space="preserve"> </w:t>
      </w:r>
      <w:r w:rsidRPr="00283806">
        <w:rPr>
          <w:w w:val="105"/>
        </w:rPr>
        <w:t>are</w:t>
      </w:r>
      <w:r w:rsidRPr="00283806">
        <w:rPr>
          <w:spacing w:val="11"/>
          <w:w w:val="105"/>
        </w:rPr>
        <w:t xml:space="preserve"> </w:t>
      </w:r>
      <w:r w:rsidRPr="00283806">
        <w:rPr>
          <w:w w:val="105"/>
        </w:rPr>
        <w:t>unable</w:t>
      </w:r>
      <w:r w:rsidRPr="00283806">
        <w:rPr>
          <w:spacing w:val="11"/>
          <w:w w:val="105"/>
        </w:rPr>
        <w:t xml:space="preserve"> </w:t>
      </w:r>
      <w:r w:rsidRPr="00283806">
        <w:rPr>
          <w:w w:val="105"/>
        </w:rPr>
        <w:t>to</w:t>
      </w:r>
      <w:r w:rsidRPr="00283806">
        <w:rPr>
          <w:spacing w:val="11"/>
          <w:w w:val="105"/>
        </w:rPr>
        <w:t xml:space="preserve"> </w:t>
      </w:r>
      <w:r w:rsidRPr="00283806">
        <w:rPr>
          <w:spacing w:val="-2"/>
          <w:w w:val="105"/>
        </w:rPr>
        <w:t>comply</w:t>
      </w:r>
    </w:p>
    <w:p w14:paraId="7DE7FF24" w14:textId="77777777" w:rsidR="00D67C1E" w:rsidRPr="00283806" w:rsidRDefault="001265CA">
      <w:pPr>
        <w:pStyle w:val="BodyText"/>
        <w:spacing w:line="225" w:lineRule="auto"/>
        <w:ind w:left="155" w:right="27"/>
      </w:pPr>
      <w:proofErr w:type="gramStart"/>
      <w:r w:rsidRPr="00283806">
        <w:rPr>
          <w:w w:val="105"/>
        </w:rPr>
        <w:t>with</w:t>
      </w:r>
      <w:proofErr w:type="gramEnd"/>
      <w:r w:rsidRPr="00283806">
        <w:rPr>
          <w:w w:val="105"/>
        </w:rPr>
        <w:t xml:space="preserve"> the speculative accumulation time limits do have the option of petitioning EPA for a variance per 40 CFR 260.31(a), using the procedures in 40 CFR 260.33,</w:t>
      </w:r>
      <w:r w:rsidRPr="00283806">
        <w:rPr>
          <w:spacing w:val="40"/>
          <w:w w:val="105"/>
        </w:rPr>
        <w:t xml:space="preserve"> </w:t>
      </w:r>
      <w:r w:rsidRPr="00283806">
        <w:rPr>
          <w:w w:val="105"/>
        </w:rPr>
        <w:t>to extend the timeframe for one year.</w:t>
      </w:r>
    </w:p>
    <w:p w14:paraId="4833FACB" w14:textId="77777777" w:rsidR="00D67C1E" w:rsidRPr="00283806" w:rsidRDefault="001265CA">
      <w:pPr>
        <w:pStyle w:val="BodyText"/>
        <w:spacing w:line="203" w:lineRule="exact"/>
        <w:ind w:left="155"/>
      </w:pPr>
      <w:r w:rsidRPr="00283806">
        <w:rPr>
          <w:w w:val="105"/>
        </w:rPr>
        <w:t>However,</w:t>
      </w:r>
      <w:r w:rsidRPr="00283806">
        <w:rPr>
          <w:spacing w:val="15"/>
          <w:w w:val="105"/>
        </w:rPr>
        <w:t xml:space="preserve"> </w:t>
      </w:r>
      <w:r w:rsidRPr="00283806">
        <w:rPr>
          <w:w w:val="105"/>
        </w:rPr>
        <w:t>as</w:t>
      </w:r>
      <w:r w:rsidRPr="00283806">
        <w:rPr>
          <w:spacing w:val="15"/>
          <w:w w:val="105"/>
        </w:rPr>
        <w:t xml:space="preserve"> </w:t>
      </w:r>
      <w:r w:rsidRPr="00283806">
        <w:rPr>
          <w:w w:val="105"/>
        </w:rPr>
        <w:t>noted</w:t>
      </w:r>
      <w:r w:rsidRPr="00283806">
        <w:rPr>
          <w:spacing w:val="16"/>
          <w:w w:val="105"/>
        </w:rPr>
        <w:t xml:space="preserve"> </w:t>
      </w:r>
      <w:r w:rsidRPr="00283806">
        <w:rPr>
          <w:w w:val="105"/>
        </w:rPr>
        <w:t>in</w:t>
      </w:r>
      <w:r w:rsidRPr="00283806">
        <w:rPr>
          <w:spacing w:val="15"/>
          <w:w w:val="105"/>
        </w:rPr>
        <w:t xml:space="preserve"> </w:t>
      </w:r>
      <w:r w:rsidRPr="00283806">
        <w:rPr>
          <w:w w:val="105"/>
        </w:rPr>
        <w:t>the</w:t>
      </w:r>
      <w:r w:rsidRPr="00283806">
        <w:rPr>
          <w:spacing w:val="15"/>
          <w:w w:val="105"/>
        </w:rPr>
        <w:t xml:space="preserve"> </w:t>
      </w:r>
      <w:r w:rsidRPr="00283806">
        <w:rPr>
          <w:w w:val="105"/>
        </w:rPr>
        <w:t>discussion</w:t>
      </w:r>
      <w:r w:rsidRPr="00283806">
        <w:rPr>
          <w:spacing w:val="16"/>
          <w:w w:val="105"/>
        </w:rPr>
        <w:t xml:space="preserve"> </w:t>
      </w:r>
      <w:r w:rsidRPr="00283806">
        <w:rPr>
          <w:spacing w:val="-5"/>
          <w:w w:val="105"/>
        </w:rPr>
        <w:t>of</w:t>
      </w:r>
    </w:p>
    <w:p w14:paraId="0D291B2F" w14:textId="77777777" w:rsidR="00D67C1E" w:rsidRPr="00283806" w:rsidRDefault="001265CA">
      <w:pPr>
        <w:pStyle w:val="BodyText"/>
        <w:spacing w:before="135" w:line="225" w:lineRule="auto"/>
        <w:ind w:left="142" w:right="166"/>
      </w:pPr>
      <w:r w:rsidRPr="00283806">
        <w:br w:type="column"/>
      </w:r>
      <w:r w:rsidRPr="00283806">
        <w:rPr>
          <w:w w:val="105"/>
        </w:rPr>
        <w:t>public comments in section IV.H.3.a of this preamble, EPA is aware that the availability of ignitable spent</w:t>
      </w:r>
      <w:r w:rsidRPr="00283806">
        <w:rPr>
          <w:spacing w:val="80"/>
          <w:w w:val="105"/>
        </w:rPr>
        <w:t xml:space="preserve"> </w:t>
      </w:r>
      <w:r w:rsidRPr="00283806">
        <w:rPr>
          <w:w w:val="105"/>
        </w:rPr>
        <w:t xml:space="preserve">refrigerants may be limited during the early years of the HFC </w:t>
      </w:r>
      <w:proofErr w:type="gramStart"/>
      <w:r w:rsidRPr="00283806">
        <w:rPr>
          <w:w w:val="105"/>
        </w:rPr>
        <w:t>phasedown, and</w:t>
      </w:r>
      <w:proofErr w:type="gramEnd"/>
      <w:r w:rsidRPr="00283806">
        <w:rPr>
          <w:w w:val="105"/>
        </w:rPr>
        <w:t xml:space="preserve"> accordingly is delaying the compliance date for speculative accumulation at reclamation facilities until calendar year 2029. Therefore</w:t>
      </w:r>
      <w:proofErr w:type="gramStart"/>
      <w:r w:rsidRPr="00283806">
        <w:rPr>
          <w:w w:val="105"/>
        </w:rPr>
        <w:t>, up</w:t>
      </w:r>
      <w:proofErr w:type="gramEnd"/>
      <w:r w:rsidRPr="00283806">
        <w:rPr>
          <w:w w:val="105"/>
        </w:rPr>
        <w:t xml:space="preserve"> until January 1,</w:t>
      </w:r>
      <w:r w:rsidRPr="00283806">
        <w:rPr>
          <w:spacing w:val="40"/>
          <w:w w:val="105"/>
        </w:rPr>
        <w:t xml:space="preserve"> </w:t>
      </w:r>
      <w:r w:rsidRPr="00283806">
        <w:rPr>
          <w:w w:val="105"/>
        </w:rPr>
        <w:t xml:space="preserve">2029, reclamation facilities may accumulate ignitable spent refrigerants without recycling them for reuse </w:t>
      </w:r>
      <w:proofErr w:type="gramStart"/>
      <w:r w:rsidRPr="00283806">
        <w:rPr>
          <w:w w:val="105"/>
        </w:rPr>
        <w:t>as long as</w:t>
      </w:r>
      <w:proofErr w:type="gramEnd"/>
      <w:r w:rsidRPr="00283806">
        <w:rPr>
          <w:w w:val="105"/>
        </w:rPr>
        <w:t xml:space="preserve"> the other requirements of the RCRA alternative standards are met. The speculative accumulation limits would then begin to apply during calendar year 2029. In other words, by December 31, 2029, reclaimers must reclaim 75</w:t>
      </w:r>
      <w:r w:rsidRPr="00283806">
        <w:rPr>
          <w:spacing w:val="40"/>
          <w:w w:val="105"/>
        </w:rPr>
        <w:t xml:space="preserve"> </w:t>
      </w:r>
      <w:r w:rsidRPr="00283806">
        <w:rPr>
          <w:w w:val="105"/>
        </w:rPr>
        <w:t>percent of the inventory of ignitable</w:t>
      </w:r>
      <w:r w:rsidRPr="00283806">
        <w:rPr>
          <w:spacing w:val="40"/>
          <w:w w:val="105"/>
        </w:rPr>
        <w:t xml:space="preserve"> </w:t>
      </w:r>
      <w:r w:rsidRPr="00283806">
        <w:rPr>
          <w:w w:val="105"/>
        </w:rPr>
        <w:t>spent refrigerants that was present on January 1, 2029. If they will be unable</w:t>
      </w:r>
    </w:p>
    <w:p w14:paraId="7D04A0F4" w14:textId="77777777" w:rsidR="00D67C1E" w:rsidRPr="00283806" w:rsidRDefault="001265CA">
      <w:pPr>
        <w:pStyle w:val="BodyText"/>
        <w:spacing w:line="187" w:lineRule="exact"/>
        <w:ind w:left="142"/>
      </w:pPr>
      <w:r w:rsidRPr="00283806">
        <w:rPr>
          <w:w w:val="105"/>
        </w:rPr>
        <w:t>to</w:t>
      </w:r>
      <w:r w:rsidRPr="00283806">
        <w:rPr>
          <w:spacing w:val="12"/>
          <w:w w:val="105"/>
        </w:rPr>
        <w:t xml:space="preserve"> </w:t>
      </w:r>
      <w:r w:rsidRPr="00283806">
        <w:rPr>
          <w:w w:val="105"/>
        </w:rPr>
        <w:t>meet</w:t>
      </w:r>
      <w:r w:rsidRPr="00283806">
        <w:rPr>
          <w:spacing w:val="13"/>
          <w:w w:val="105"/>
        </w:rPr>
        <w:t xml:space="preserve"> </w:t>
      </w:r>
      <w:r w:rsidRPr="00283806">
        <w:rPr>
          <w:w w:val="105"/>
        </w:rPr>
        <w:t>this</w:t>
      </w:r>
      <w:r w:rsidRPr="00283806">
        <w:rPr>
          <w:spacing w:val="13"/>
          <w:w w:val="105"/>
        </w:rPr>
        <w:t xml:space="preserve"> </w:t>
      </w:r>
      <w:r w:rsidRPr="00283806">
        <w:rPr>
          <w:w w:val="105"/>
        </w:rPr>
        <w:t>deadline,</w:t>
      </w:r>
      <w:r w:rsidRPr="00283806">
        <w:rPr>
          <w:spacing w:val="13"/>
          <w:w w:val="105"/>
        </w:rPr>
        <w:t xml:space="preserve"> </w:t>
      </w:r>
      <w:r w:rsidRPr="00283806">
        <w:rPr>
          <w:w w:val="105"/>
        </w:rPr>
        <w:t>they</w:t>
      </w:r>
      <w:r w:rsidRPr="00283806">
        <w:rPr>
          <w:spacing w:val="13"/>
          <w:w w:val="105"/>
        </w:rPr>
        <w:t xml:space="preserve"> </w:t>
      </w:r>
      <w:r w:rsidRPr="00283806">
        <w:rPr>
          <w:w w:val="105"/>
        </w:rPr>
        <w:t>may</w:t>
      </w:r>
      <w:r w:rsidRPr="00283806">
        <w:rPr>
          <w:spacing w:val="13"/>
          <w:w w:val="105"/>
        </w:rPr>
        <w:t xml:space="preserve"> </w:t>
      </w:r>
      <w:r w:rsidRPr="00283806">
        <w:rPr>
          <w:spacing w:val="-2"/>
          <w:w w:val="105"/>
        </w:rPr>
        <w:t>submit</w:t>
      </w:r>
    </w:p>
    <w:p w14:paraId="359FAA66" w14:textId="77777777" w:rsidR="00D67C1E" w:rsidRPr="00283806" w:rsidRDefault="001265CA">
      <w:pPr>
        <w:pStyle w:val="BodyText"/>
        <w:spacing w:line="198" w:lineRule="exact"/>
        <w:ind w:left="142"/>
      </w:pPr>
      <w:r w:rsidRPr="00283806">
        <w:rPr>
          <w:w w:val="105"/>
        </w:rPr>
        <w:t>a</w:t>
      </w:r>
      <w:r w:rsidRPr="00283806">
        <w:rPr>
          <w:spacing w:val="9"/>
          <w:w w:val="105"/>
        </w:rPr>
        <w:t xml:space="preserve"> </w:t>
      </w:r>
      <w:r w:rsidRPr="00283806">
        <w:rPr>
          <w:w w:val="105"/>
        </w:rPr>
        <w:t>petition</w:t>
      </w:r>
      <w:r w:rsidRPr="00283806">
        <w:rPr>
          <w:spacing w:val="9"/>
          <w:w w:val="105"/>
        </w:rPr>
        <w:t xml:space="preserve"> </w:t>
      </w:r>
      <w:r w:rsidRPr="00283806">
        <w:rPr>
          <w:w w:val="105"/>
        </w:rPr>
        <w:t>for</w:t>
      </w:r>
      <w:r w:rsidRPr="00283806">
        <w:rPr>
          <w:spacing w:val="9"/>
          <w:w w:val="105"/>
        </w:rPr>
        <w:t xml:space="preserve"> </w:t>
      </w:r>
      <w:r w:rsidRPr="00283806">
        <w:rPr>
          <w:w w:val="105"/>
        </w:rPr>
        <w:t>an</w:t>
      </w:r>
      <w:r w:rsidRPr="00283806">
        <w:rPr>
          <w:spacing w:val="9"/>
          <w:w w:val="105"/>
        </w:rPr>
        <w:t xml:space="preserve"> </w:t>
      </w:r>
      <w:r w:rsidRPr="00283806">
        <w:rPr>
          <w:w w:val="105"/>
        </w:rPr>
        <w:t>extension</w:t>
      </w:r>
      <w:r w:rsidRPr="00283806">
        <w:rPr>
          <w:spacing w:val="9"/>
          <w:w w:val="105"/>
        </w:rPr>
        <w:t xml:space="preserve"> </w:t>
      </w:r>
      <w:r w:rsidRPr="00283806">
        <w:rPr>
          <w:w w:val="105"/>
        </w:rPr>
        <w:t>under</w:t>
      </w:r>
      <w:r w:rsidRPr="00283806">
        <w:rPr>
          <w:spacing w:val="9"/>
          <w:w w:val="105"/>
        </w:rPr>
        <w:t xml:space="preserve"> </w:t>
      </w:r>
      <w:r w:rsidRPr="00283806">
        <w:rPr>
          <w:w w:val="105"/>
        </w:rPr>
        <w:t>40</w:t>
      </w:r>
      <w:r w:rsidRPr="00283806">
        <w:rPr>
          <w:spacing w:val="9"/>
          <w:w w:val="105"/>
        </w:rPr>
        <w:t xml:space="preserve"> </w:t>
      </w:r>
      <w:r w:rsidRPr="00283806">
        <w:rPr>
          <w:spacing w:val="-5"/>
          <w:w w:val="105"/>
        </w:rPr>
        <w:t>CFR</w:t>
      </w:r>
    </w:p>
    <w:p w14:paraId="4958EB56" w14:textId="77777777" w:rsidR="00D67C1E" w:rsidRPr="00283806" w:rsidRDefault="001265CA">
      <w:pPr>
        <w:pStyle w:val="BodyText"/>
        <w:spacing w:before="4" w:line="225" w:lineRule="auto"/>
        <w:ind w:left="142" w:right="197"/>
      </w:pPr>
      <w:r w:rsidRPr="00283806">
        <w:rPr>
          <w:w w:val="105"/>
        </w:rPr>
        <w:t>260.31 using the procedures in 40 CFR 260.33, or they must manage their inventory</w:t>
      </w:r>
      <w:r w:rsidRPr="00283806">
        <w:rPr>
          <w:spacing w:val="-2"/>
          <w:w w:val="105"/>
        </w:rPr>
        <w:t xml:space="preserve"> </w:t>
      </w:r>
      <w:r w:rsidRPr="00283806">
        <w:rPr>
          <w:w w:val="105"/>
        </w:rPr>
        <w:t>of</w:t>
      </w:r>
      <w:r w:rsidRPr="00283806">
        <w:rPr>
          <w:spacing w:val="-2"/>
          <w:w w:val="105"/>
        </w:rPr>
        <w:t xml:space="preserve"> </w:t>
      </w:r>
      <w:r w:rsidRPr="00283806">
        <w:rPr>
          <w:w w:val="105"/>
        </w:rPr>
        <w:t>ignitable</w:t>
      </w:r>
      <w:r w:rsidRPr="00283806">
        <w:rPr>
          <w:spacing w:val="-2"/>
          <w:w w:val="105"/>
        </w:rPr>
        <w:t xml:space="preserve"> </w:t>
      </w:r>
      <w:r w:rsidRPr="00283806">
        <w:rPr>
          <w:w w:val="105"/>
        </w:rPr>
        <w:t>spent</w:t>
      </w:r>
      <w:r w:rsidRPr="00283806">
        <w:rPr>
          <w:spacing w:val="-2"/>
          <w:w w:val="105"/>
        </w:rPr>
        <w:t xml:space="preserve"> </w:t>
      </w:r>
      <w:r w:rsidRPr="00283806">
        <w:rPr>
          <w:w w:val="105"/>
        </w:rPr>
        <w:t>refrigerants as RCRA hazardous waste.</w:t>
      </w:r>
    </w:p>
    <w:p w14:paraId="73492BBD" w14:textId="77777777" w:rsidR="00D67C1E" w:rsidRPr="00283806" w:rsidRDefault="001265CA">
      <w:pPr>
        <w:pStyle w:val="BodyText"/>
        <w:spacing w:line="179" w:lineRule="exact"/>
        <w:ind w:left="322"/>
      </w:pPr>
      <w:r w:rsidRPr="00283806">
        <w:rPr>
          <w:w w:val="105"/>
        </w:rPr>
        <w:t>The</w:t>
      </w:r>
      <w:r w:rsidRPr="00283806">
        <w:rPr>
          <w:spacing w:val="1"/>
          <w:w w:val="105"/>
        </w:rPr>
        <w:t xml:space="preserve"> </w:t>
      </w:r>
      <w:r w:rsidRPr="00283806">
        <w:rPr>
          <w:w w:val="105"/>
        </w:rPr>
        <w:t>requirement</w:t>
      </w:r>
      <w:r w:rsidRPr="00283806">
        <w:rPr>
          <w:spacing w:val="1"/>
          <w:w w:val="105"/>
        </w:rPr>
        <w:t xml:space="preserve"> </w:t>
      </w:r>
      <w:r w:rsidRPr="00283806">
        <w:rPr>
          <w:w w:val="105"/>
        </w:rPr>
        <w:t>that</w:t>
      </w:r>
      <w:r w:rsidRPr="00283806">
        <w:rPr>
          <w:spacing w:val="2"/>
          <w:w w:val="105"/>
        </w:rPr>
        <w:t xml:space="preserve"> </w:t>
      </w:r>
      <w:r w:rsidRPr="00283806">
        <w:rPr>
          <w:spacing w:val="-2"/>
          <w:w w:val="105"/>
        </w:rPr>
        <w:t>facilities</w:t>
      </w:r>
    </w:p>
    <w:p w14:paraId="591FE845" w14:textId="77777777" w:rsidR="00D67C1E" w:rsidRPr="00283806" w:rsidRDefault="001265CA">
      <w:pPr>
        <w:pStyle w:val="BodyText"/>
        <w:spacing w:before="2" w:line="228" w:lineRule="auto"/>
        <w:ind w:left="142" w:right="197"/>
      </w:pPr>
      <w:r w:rsidRPr="00283806">
        <w:rPr>
          <w:w w:val="105"/>
        </w:rPr>
        <w:t>receiving refrigerant from off-site to be recycled for reuse maintain certification by EPA under 40 CFR 82.164 helps</w:t>
      </w:r>
      <w:r w:rsidRPr="00283806">
        <w:rPr>
          <w:spacing w:val="40"/>
          <w:w w:val="105"/>
        </w:rPr>
        <w:t xml:space="preserve"> </w:t>
      </w:r>
      <w:r w:rsidRPr="00283806">
        <w:rPr>
          <w:w w:val="105"/>
        </w:rPr>
        <w:t>ensure that the recycler is experienced</w:t>
      </w:r>
      <w:r w:rsidRPr="00283806">
        <w:rPr>
          <w:spacing w:val="80"/>
          <w:w w:val="105"/>
        </w:rPr>
        <w:t xml:space="preserve"> </w:t>
      </w:r>
      <w:r w:rsidRPr="00283806">
        <w:rPr>
          <w:w w:val="105"/>
        </w:rPr>
        <w:t>in proper refrigerant reclamation techniques and will manage the spent refrigerant in a manner that minimizes releases, with an explicit limit under the CAA section 608 rules of no more than</w:t>
      </w:r>
    </w:p>
    <w:p w14:paraId="381E8D96" w14:textId="77777777" w:rsidR="00D67C1E" w:rsidRPr="00283806" w:rsidRDefault="001265CA">
      <w:pPr>
        <w:pStyle w:val="BodyText"/>
        <w:spacing w:line="228" w:lineRule="auto"/>
        <w:ind w:left="141" w:right="131"/>
      </w:pPr>
      <w:r w:rsidRPr="00283806">
        <w:rPr>
          <w:w w:val="105"/>
        </w:rPr>
        <w:t>1.5 percent of the refrigerant released during the reclamation process (see 40 CFR 82.164(a)(3)). The certification requirement also helps with the transparency of the RCRA alternative standards since the list of EPA-certified refrigerant reclaimers is publicly available on EPA’s website.</w:t>
      </w:r>
      <w:r w:rsidRPr="00283806">
        <w:rPr>
          <w:w w:val="105"/>
          <w:position w:val="5"/>
          <w:sz w:val="11"/>
        </w:rPr>
        <w:t>151</w:t>
      </w:r>
      <w:r w:rsidRPr="00283806">
        <w:rPr>
          <w:spacing w:val="40"/>
          <w:w w:val="105"/>
          <w:position w:val="5"/>
          <w:sz w:val="11"/>
        </w:rPr>
        <w:t xml:space="preserve"> </w:t>
      </w:r>
      <w:r w:rsidRPr="00283806">
        <w:rPr>
          <w:w w:val="105"/>
        </w:rPr>
        <w:t>In</w:t>
      </w:r>
      <w:r w:rsidRPr="00283806">
        <w:rPr>
          <w:spacing w:val="40"/>
          <w:w w:val="105"/>
        </w:rPr>
        <w:t xml:space="preserve"> </w:t>
      </w:r>
      <w:r w:rsidRPr="00283806">
        <w:rPr>
          <w:w w:val="105"/>
        </w:rPr>
        <w:t>addition, these facilities are certified reclaimers under CAA section 608 and must follow recordkeeping and</w:t>
      </w:r>
      <w:r w:rsidRPr="00283806">
        <w:rPr>
          <w:spacing w:val="80"/>
          <w:w w:val="105"/>
        </w:rPr>
        <w:t xml:space="preserve"> </w:t>
      </w:r>
      <w:r w:rsidRPr="00283806">
        <w:rPr>
          <w:w w:val="105"/>
        </w:rPr>
        <w:t>reporting requirements per 40 CFR 82.164(d) including (1) maintaining records of the names and addresses of persons sending them material for reclamation and the quantity of the material (the combined mass of refrigerant and contaminants) sent to them for reclamation; and (2) reporting annually the quantity of material sent to them for reclamation by refrigerant type, the mass of refrigerant reclaimed by refrigerant type, and the mass of waste products. Finally, EPA-certified refrigerant reclaimers must verify that each batch of reclaimed refrigerant</w:t>
      </w:r>
      <w:r w:rsidRPr="00283806">
        <w:rPr>
          <w:spacing w:val="40"/>
          <w:w w:val="105"/>
        </w:rPr>
        <w:t xml:space="preserve"> </w:t>
      </w:r>
      <w:r w:rsidRPr="00283806">
        <w:rPr>
          <w:w w:val="105"/>
        </w:rPr>
        <w:t>meets the specifications in the regulations</w:t>
      </w:r>
      <w:r w:rsidRPr="00283806">
        <w:rPr>
          <w:spacing w:val="-8"/>
          <w:w w:val="105"/>
        </w:rPr>
        <w:t xml:space="preserve"> </w:t>
      </w:r>
      <w:r w:rsidRPr="00283806">
        <w:rPr>
          <w:w w:val="105"/>
        </w:rPr>
        <w:t>(40</w:t>
      </w:r>
      <w:r w:rsidRPr="00283806">
        <w:rPr>
          <w:spacing w:val="-8"/>
          <w:w w:val="105"/>
        </w:rPr>
        <w:t xml:space="preserve"> </w:t>
      </w:r>
      <w:r w:rsidRPr="00283806">
        <w:rPr>
          <w:w w:val="105"/>
        </w:rPr>
        <w:t>CFR</w:t>
      </w:r>
      <w:r w:rsidRPr="00283806">
        <w:rPr>
          <w:spacing w:val="-8"/>
          <w:w w:val="105"/>
        </w:rPr>
        <w:t xml:space="preserve"> </w:t>
      </w:r>
      <w:r w:rsidRPr="00283806">
        <w:rPr>
          <w:w w:val="105"/>
        </w:rPr>
        <w:t>82.164(a)(2)),</w:t>
      </w:r>
      <w:r w:rsidRPr="00283806">
        <w:rPr>
          <w:spacing w:val="-8"/>
          <w:w w:val="105"/>
        </w:rPr>
        <w:t xml:space="preserve"> </w:t>
      </w:r>
      <w:r w:rsidRPr="00283806">
        <w:rPr>
          <w:w w:val="105"/>
        </w:rPr>
        <w:t>which</w:t>
      </w:r>
    </w:p>
    <w:p w14:paraId="072A8A43" w14:textId="77777777" w:rsidR="00D67C1E" w:rsidRPr="00283806" w:rsidRDefault="001265CA">
      <w:pPr>
        <w:pStyle w:val="BodyText"/>
        <w:spacing w:before="7"/>
        <w:ind w:left="0"/>
        <w:rPr>
          <w:sz w:val="11"/>
        </w:rPr>
      </w:pPr>
      <w:r w:rsidRPr="00283806">
        <w:rPr>
          <w:noProof/>
        </w:rPr>
        <mc:AlternateContent>
          <mc:Choice Requires="wps">
            <w:drawing>
              <wp:anchor distT="0" distB="0" distL="0" distR="0" simplePos="0" relativeHeight="251676672" behindDoc="1" locked="0" layoutInCell="1" allowOverlap="1" wp14:anchorId="7DD4757D" wp14:editId="0D764B44">
                <wp:simplePos x="0" y="0"/>
                <wp:positionH relativeFrom="page">
                  <wp:posOffset>5067300</wp:posOffset>
                </wp:positionH>
                <wp:positionV relativeFrom="paragraph">
                  <wp:posOffset>101597</wp:posOffset>
                </wp:positionV>
                <wp:extent cx="635000" cy="1270"/>
                <wp:effectExtent l="0" t="0" r="0" b="0"/>
                <wp:wrapTopAndBottom/>
                <wp:docPr id="110" name="Graphic 1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7A769BF" id="Graphic 110" o:spid="_x0000_s1026" alt="&quot;&quot;" style="position:absolute;margin-left:399pt;margin-top:8pt;width:50pt;height:.1pt;z-index:-251639808;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" path="m,l635000,e" filled="f" strokeweight=".5pt">
                <v:path arrowok="t"/>
                <w10:wrap type="topAndBottom" anchorx="page"/>
              </v:shape>
            </w:pict>
          </mc:Fallback>
        </mc:AlternateContent>
      </w:r>
    </w:p>
    <w:p w14:paraId="0606ECDB" w14:textId="651B3E5C" w:rsidR="00D67C1E" w:rsidRPr="00283806" w:rsidRDefault="001265CA">
      <w:pPr>
        <w:spacing w:before="43" w:line="225" w:lineRule="auto"/>
        <w:ind w:left="141" w:right="241" w:firstLine="140"/>
        <w:jc w:val="both"/>
        <w:rPr>
          <w:sz w:val="14"/>
        </w:rPr>
      </w:pPr>
      <w:r w:rsidRPr="00283806">
        <w:rPr>
          <w:w w:val="110"/>
          <w:position w:val="4"/>
          <w:sz w:val="9"/>
        </w:rPr>
        <w:t>151</w:t>
      </w:r>
      <w:r w:rsidRPr="00283806">
        <w:rPr>
          <w:spacing w:val="-6"/>
          <w:w w:val="110"/>
          <w:position w:val="4"/>
          <w:sz w:val="9"/>
        </w:rPr>
        <w:t xml:space="preserve"> </w:t>
      </w:r>
      <w:r w:rsidRPr="00283806">
        <w:rPr>
          <w:w w:val="110"/>
          <w:sz w:val="14"/>
        </w:rPr>
        <w:t>EPA-Certified</w:t>
      </w:r>
      <w:r w:rsidRPr="00283806">
        <w:rPr>
          <w:spacing w:val="-8"/>
          <w:w w:val="110"/>
          <w:sz w:val="14"/>
        </w:rPr>
        <w:t xml:space="preserve"> </w:t>
      </w:r>
      <w:r w:rsidRPr="00283806">
        <w:rPr>
          <w:w w:val="110"/>
          <w:sz w:val="14"/>
        </w:rPr>
        <w:t>Refrigerant</w:t>
      </w:r>
      <w:r w:rsidRPr="00283806">
        <w:rPr>
          <w:spacing w:val="-9"/>
          <w:w w:val="110"/>
          <w:sz w:val="14"/>
        </w:rPr>
        <w:t xml:space="preserve"> </w:t>
      </w:r>
      <w:r w:rsidRPr="00283806">
        <w:rPr>
          <w:w w:val="110"/>
          <w:sz w:val="14"/>
        </w:rPr>
        <w:t>Reclaimers</w:t>
      </w:r>
      <w:r w:rsidRPr="00283806">
        <w:rPr>
          <w:spacing w:val="-8"/>
          <w:w w:val="110"/>
          <w:sz w:val="14"/>
        </w:rPr>
        <w:t xml:space="preserve"> </w:t>
      </w:r>
      <w:r w:rsidRPr="00283806">
        <w:rPr>
          <w:rFonts w:ascii="Book Antiqua"/>
          <w:i/>
          <w:w w:val="110"/>
          <w:sz w:val="14"/>
        </w:rPr>
        <w:t>https://</w:t>
      </w:r>
      <w:r w:rsidRPr="00283806">
        <w:rPr>
          <w:rFonts w:ascii="Book Antiqua"/>
          <w:i/>
          <w:spacing w:val="40"/>
          <w:w w:val="110"/>
          <w:sz w:val="14"/>
        </w:rPr>
        <w:t xml:space="preserve"> </w:t>
      </w:r>
      <w:r w:rsidRPr="00283806">
        <w:rPr>
          <w:rFonts w:ascii="Book Antiqua"/>
          <w:i/>
          <w:spacing w:val="-2"/>
          <w:w w:val="110"/>
          <w:sz w:val="14"/>
        </w:rPr>
        <w:t>www.epa.gov/section608/epa-certified-refrigerant-</w:t>
      </w:r>
      <w:r w:rsidRPr="00283806">
        <w:rPr>
          <w:rFonts w:ascii="Book Antiqua"/>
          <w:i/>
          <w:spacing w:val="40"/>
          <w:w w:val="110"/>
          <w:sz w:val="14"/>
        </w:rPr>
        <w:t xml:space="preserve"> </w:t>
      </w:r>
      <w:r w:rsidRPr="00283806">
        <w:rPr>
          <w:rFonts w:ascii="Book Antiqua"/>
          <w:i/>
          <w:w w:val="110"/>
          <w:sz w:val="14"/>
        </w:rPr>
        <w:t xml:space="preserve">reclaimers. </w:t>
      </w:r>
      <w:r w:rsidRPr="00283806">
        <w:rPr>
          <w:w w:val="110"/>
          <w:sz w:val="14"/>
        </w:rPr>
        <w:t>Last updated June 13, 2024.</w:t>
      </w:r>
    </w:p>
    <w:p w14:paraId="52B95018" w14:textId="77777777" w:rsidR="00D67C1E" w:rsidRPr="00283806" w:rsidRDefault="00D67C1E">
      <w:pPr>
        <w:spacing w:line="225" w:lineRule="auto"/>
        <w:jc w:val="both"/>
        <w:rPr>
          <w:sz w:val="14"/>
        </w:rPr>
        <w:sectPr w:rsidR="00D67C1E" w:rsidRPr="00283806">
          <w:pgSz w:w="12240" w:h="15840"/>
          <w:pgMar w:top="1040" w:right="780" w:bottom="280" w:left="740" w:header="627" w:footer="0" w:gutter="0"/>
          <w:cols w:num="3" w:space="720" w:equalWidth="0">
            <w:col w:w="3506" w:space="40"/>
            <w:col w:w="3514" w:space="39"/>
            <w:col w:w="3621"/>
          </w:cols>
        </w:sectPr>
      </w:pPr>
    </w:p>
    <w:p w14:paraId="2A428DF3" w14:textId="77777777" w:rsidR="00D67C1E" w:rsidRPr="00283806" w:rsidRDefault="001265CA">
      <w:pPr>
        <w:pStyle w:val="BodyText"/>
        <w:spacing w:before="136" w:line="225" w:lineRule="auto"/>
        <w:ind w:right="37"/>
      </w:pPr>
      <w:r w:rsidRPr="00283806">
        <w:rPr>
          <w:w w:val="105"/>
        </w:rPr>
        <w:lastRenderedPageBreak/>
        <w:t>helps ensure that the reclamation</w:t>
      </w:r>
      <w:r w:rsidRPr="00283806">
        <w:rPr>
          <w:spacing w:val="40"/>
          <w:w w:val="105"/>
        </w:rPr>
        <w:t xml:space="preserve"> </w:t>
      </w:r>
      <w:r w:rsidRPr="00283806">
        <w:rPr>
          <w:w w:val="105"/>
        </w:rPr>
        <w:t>process is legitimate recycling under the RCRA regulations.</w:t>
      </w:r>
    </w:p>
    <w:p w14:paraId="564C65F6" w14:textId="77777777" w:rsidR="00D67C1E" w:rsidRPr="00283806" w:rsidRDefault="001265CA">
      <w:pPr>
        <w:pStyle w:val="BodyText"/>
        <w:spacing w:line="179" w:lineRule="exact"/>
        <w:ind w:left="340"/>
      </w:pPr>
      <w:r w:rsidRPr="00283806">
        <w:rPr>
          <w:w w:val="105"/>
        </w:rPr>
        <w:t>EPA</w:t>
      </w:r>
      <w:r w:rsidRPr="00283806">
        <w:rPr>
          <w:spacing w:val="14"/>
          <w:w w:val="105"/>
        </w:rPr>
        <w:t xml:space="preserve"> </w:t>
      </w:r>
      <w:r w:rsidRPr="00283806">
        <w:rPr>
          <w:w w:val="105"/>
        </w:rPr>
        <w:t>notes</w:t>
      </w:r>
      <w:r w:rsidRPr="00283806">
        <w:rPr>
          <w:spacing w:val="15"/>
          <w:w w:val="105"/>
        </w:rPr>
        <w:t xml:space="preserve"> </w:t>
      </w:r>
      <w:r w:rsidRPr="00283806">
        <w:rPr>
          <w:w w:val="105"/>
        </w:rPr>
        <w:t>that</w:t>
      </w:r>
      <w:r w:rsidRPr="00283806">
        <w:rPr>
          <w:spacing w:val="14"/>
          <w:w w:val="105"/>
        </w:rPr>
        <w:t xml:space="preserve"> </w:t>
      </w:r>
      <w:r w:rsidRPr="00283806">
        <w:rPr>
          <w:w w:val="105"/>
        </w:rPr>
        <w:t>reclaimed</w:t>
      </w:r>
      <w:r w:rsidRPr="00283806">
        <w:rPr>
          <w:spacing w:val="15"/>
          <w:w w:val="105"/>
        </w:rPr>
        <w:t xml:space="preserve"> </w:t>
      </w:r>
      <w:r w:rsidRPr="00283806">
        <w:rPr>
          <w:spacing w:val="-2"/>
          <w:w w:val="105"/>
        </w:rPr>
        <w:t>refrigerant</w:t>
      </w:r>
    </w:p>
    <w:p w14:paraId="4BF08188" w14:textId="77777777" w:rsidR="00D67C1E" w:rsidRPr="00283806" w:rsidRDefault="001265CA">
      <w:pPr>
        <w:pStyle w:val="BodyText"/>
        <w:spacing w:before="4" w:line="225" w:lineRule="auto"/>
        <w:ind w:right="7"/>
      </w:pPr>
      <w:r w:rsidRPr="00283806">
        <w:rPr>
          <w:w w:val="105"/>
        </w:rPr>
        <w:t>that does not meet the required specifications would be considered an</w:t>
      </w:r>
      <w:r w:rsidRPr="00283806">
        <w:rPr>
          <w:spacing w:val="40"/>
          <w:w w:val="105"/>
        </w:rPr>
        <w:t xml:space="preserve"> </w:t>
      </w:r>
      <w:r w:rsidRPr="00283806">
        <w:rPr>
          <w:w w:val="105"/>
        </w:rPr>
        <w:t>off-specification</w:t>
      </w:r>
      <w:r w:rsidRPr="00283806">
        <w:rPr>
          <w:spacing w:val="19"/>
          <w:w w:val="105"/>
        </w:rPr>
        <w:t xml:space="preserve"> </w:t>
      </w:r>
      <w:r w:rsidRPr="00283806">
        <w:rPr>
          <w:w w:val="105"/>
        </w:rPr>
        <w:t>(‘‘off-spec’’)</w:t>
      </w:r>
      <w:r w:rsidRPr="00283806">
        <w:rPr>
          <w:spacing w:val="80"/>
          <w:w w:val="150"/>
        </w:rPr>
        <w:t xml:space="preserve"> </w:t>
      </w:r>
      <w:r w:rsidRPr="00283806">
        <w:rPr>
          <w:w w:val="105"/>
        </w:rPr>
        <w:t>commercial chemical product under 40 CFR</w:t>
      </w:r>
      <w:r w:rsidRPr="00283806">
        <w:rPr>
          <w:spacing w:val="38"/>
          <w:w w:val="105"/>
        </w:rPr>
        <w:t xml:space="preserve"> </w:t>
      </w:r>
      <w:r w:rsidRPr="00283806">
        <w:rPr>
          <w:w w:val="105"/>
        </w:rPr>
        <w:t>261.2(c).</w:t>
      </w:r>
      <w:r w:rsidRPr="00283806">
        <w:rPr>
          <w:spacing w:val="38"/>
          <w:w w:val="105"/>
        </w:rPr>
        <w:t xml:space="preserve"> </w:t>
      </w:r>
      <w:r w:rsidRPr="00283806">
        <w:rPr>
          <w:w w:val="105"/>
        </w:rPr>
        <w:t>If</w:t>
      </w:r>
      <w:r w:rsidRPr="00283806">
        <w:rPr>
          <w:spacing w:val="38"/>
          <w:w w:val="105"/>
        </w:rPr>
        <w:t xml:space="preserve"> </w:t>
      </w:r>
      <w:r w:rsidRPr="00283806">
        <w:rPr>
          <w:w w:val="105"/>
        </w:rPr>
        <w:t>there</w:t>
      </w:r>
      <w:r w:rsidRPr="00283806">
        <w:rPr>
          <w:spacing w:val="38"/>
          <w:w w:val="105"/>
        </w:rPr>
        <w:t xml:space="preserve"> </w:t>
      </w:r>
      <w:r w:rsidRPr="00283806">
        <w:rPr>
          <w:w w:val="105"/>
        </w:rPr>
        <w:t>is</w:t>
      </w:r>
      <w:r w:rsidRPr="00283806">
        <w:rPr>
          <w:spacing w:val="38"/>
          <w:w w:val="105"/>
        </w:rPr>
        <w:t xml:space="preserve"> </w:t>
      </w:r>
      <w:r w:rsidRPr="00283806">
        <w:rPr>
          <w:w w:val="105"/>
        </w:rPr>
        <w:t>an</w:t>
      </w:r>
      <w:r w:rsidRPr="00283806">
        <w:rPr>
          <w:spacing w:val="38"/>
          <w:w w:val="105"/>
        </w:rPr>
        <w:t xml:space="preserve"> </w:t>
      </w:r>
      <w:r w:rsidRPr="00283806">
        <w:rPr>
          <w:w w:val="105"/>
        </w:rPr>
        <w:t>allowable use</w:t>
      </w:r>
      <w:r w:rsidRPr="00283806">
        <w:rPr>
          <w:spacing w:val="-1"/>
          <w:w w:val="105"/>
        </w:rPr>
        <w:t xml:space="preserve"> </w:t>
      </w:r>
      <w:r w:rsidRPr="00283806">
        <w:rPr>
          <w:w w:val="105"/>
        </w:rPr>
        <w:t>for</w:t>
      </w:r>
      <w:r w:rsidRPr="00283806">
        <w:rPr>
          <w:spacing w:val="-1"/>
          <w:w w:val="105"/>
        </w:rPr>
        <w:t xml:space="preserve"> </w:t>
      </w:r>
      <w:r w:rsidRPr="00283806">
        <w:rPr>
          <w:w w:val="105"/>
        </w:rPr>
        <w:t>the</w:t>
      </w:r>
      <w:r w:rsidRPr="00283806">
        <w:rPr>
          <w:spacing w:val="-1"/>
          <w:w w:val="105"/>
        </w:rPr>
        <w:t xml:space="preserve"> </w:t>
      </w:r>
      <w:r w:rsidRPr="00283806">
        <w:rPr>
          <w:w w:val="105"/>
        </w:rPr>
        <w:t>off-spec</w:t>
      </w:r>
      <w:r w:rsidRPr="00283806">
        <w:rPr>
          <w:spacing w:val="-1"/>
          <w:w w:val="105"/>
        </w:rPr>
        <w:t xml:space="preserve"> </w:t>
      </w:r>
      <w:r w:rsidRPr="00283806">
        <w:rPr>
          <w:w w:val="105"/>
        </w:rPr>
        <w:t>reclaimed</w:t>
      </w:r>
      <w:r w:rsidRPr="00283806">
        <w:rPr>
          <w:spacing w:val="-1"/>
          <w:w w:val="105"/>
        </w:rPr>
        <w:t xml:space="preserve"> </w:t>
      </w:r>
      <w:r w:rsidRPr="00283806">
        <w:rPr>
          <w:w w:val="105"/>
        </w:rPr>
        <w:t>refrigerant and the material is used as an effective substitute for commercial product, it</w:t>
      </w:r>
      <w:r w:rsidRPr="00283806">
        <w:rPr>
          <w:spacing w:val="80"/>
          <w:w w:val="105"/>
        </w:rPr>
        <w:t xml:space="preserve"> </w:t>
      </w:r>
      <w:r w:rsidRPr="00283806">
        <w:rPr>
          <w:w w:val="105"/>
        </w:rPr>
        <w:t>may be exempt from RCRA under the use/reuse provisions of 40 CFR 261.2(e). If the off-spec reclaimed refrigerant goes to further legitimate reclamation, it</w:t>
      </w:r>
      <w:r w:rsidRPr="00283806">
        <w:rPr>
          <w:spacing w:val="80"/>
          <w:w w:val="105"/>
        </w:rPr>
        <w:t xml:space="preserve"> </w:t>
      </w:r>
      <w:r w:rsidRPr="00283806">
        <w:rPr>
          <w:w w:val="105"/>
        </w:rPr>
        <w:t>could also be exempt from RCRA under 40 CFR 261.2(c)(3). If the ignitable, off- spec reclaimed refrigerant cannot be either legitimately reused or further reclaimed, it would need to be managed as a hazardous waste.</w:t>
      </w:r>
    </w:p>
    <w:p w14:paraId="64A61F36" w14:textId="77777777" w:rsidR="00D67C1E" w:rsidRPr="00283806" w:rsidRDefault="001265CA">
      <w:pPr>
        <w:pStyle w:val="BodyText"/>
        <w:spacing w:line="174" w:lineRule="exact"/>
        <w:ind w:left="340"/>
      </w:pPr>
      <w:r w:rsidRPr="00283806">
        <w:rPr>
          <w:w w:val="105"/>
        </w:rPr>
        <w:t>EPA</w:t>
      </w:r>
      <w:r w:rsidRPr="00283806">
        <w:rPr>
          <w:spacing w:val="6"/>
          <w:w w:val="105"/>
        </w:rPr>
        <w:t xml:space="preserve"> </w:t>
      </w:r>
      <w:r w:rsidRPr="00283806">
        <w:rPr>
          <w:w w:val="105"/>
        </w:rPr>
        <w:t>further</w:t>
      </w:r>
      <w:r w:rsidRPr="00283806">
        <w:rPr>
          <w:spacing w:val="7"/>
          <w:w w:val="105"/>
        </w:rPr>
        <w:t xml:space="preserve"> </w:t>
      </w:r>
      <w:r w:rsidRPr="00283806">
        <w:rPr>
          <w:w w:val="105"/>
        </w:rPr>
        <w:t>notes</w:t>
      </w:r>
      <w:r w:rsidRPr="00283806">
        <w:rPr>
          <w:spacing w:val="6"/>
          <w:w w:val="105"/>
        </w:rPr>
        <w:t xml:space="preserve"> </w:t>
      </w:r>
      <w:r w:rsidRPr="00283806">
        <w:rPr>
          <w:w w:val="105"/>
        </w:rPr>
        <w:t>that</w:t>
      </w:r>
      <w:r w:rsidRPr="00283806">
        <w:rPr>
          <w:spacing w:val="7"/>
          <w:w w:val="105"/>
        </w:rPr>
        <w:t xml:space="preserve"> </w:t>
      </w:r>
      <w:r w:rsidRPr="00283806">
        <w:rPr>
          <w:w w:val="105"/>
        </w:rPr>
        <w:t>persons</w:t>
      </w:r>
      <w:r w:rsidRPr="00283806">
        <w:rPr>
          <w:spacing w:val="6"/>
          <w:w w:val="105"/>
        </w:rPr>
        <w:t xml:space="preserve"> </w:t>
      </w:r>
      <w:r w:rsidRPr="00283806">
        <w:rPr>
          <w:spacing w:val="-5"/>
          <w:w w:val="105"/>
        </w:rPr>
        <w:t>who</w:t>
      </w:r>
    </w:p>
    <w:p w14:paraId="54084E88" w14:textId="77777777" w:rsidR="00D67C1E" w:rsidRPr="00283806" w:rsidRDefault="001265CA">
      <w:pPr>
        <w:pStyle w:val="BodyText"/>
        <w:spacing w:before="3" w:line="225" w:lineRule="auto"/>
        <w:ind w:right="81"/>
      </w:pPr>
      <w:r w:rsidRPr="00283806">
        <w:rPr>
          <w:w w:val="105"/>
        </w:rPr>
        <w:t>reclaim HFCs that are listed as regulated substances under the AIM Act must</w:t>
      </w:r>
      <w:r w:rsidRPr="00283806">
        <w:rPr>
          <w:spacing w:val="80"/>
          <w:w w:val="150"/>
        </w:rPr>
        <w:t xml:space="preserve"> </w:t>
      </w:r>
      <w:r w:rsidRPr="00283806">
        <w:rPr>
          <w:w w:val="105"/>
        </w:rPr>
        <w:t>meet the recordkeeping and reporting requirements as set forth in 40 CFR 84.31(a) and 84.31(i).</w:t>
      </w:r>
    </w:p>
    <w:p w14:paraId="5DB9912B" w14:textId="77777777" w:rsidR="00D67C1E" w:rsidRPr="00283806" w:rsidRDefault="001265CA">
      <w:pPr>
        <w:pStyle w:val="BodyText"/>
        <w:spacing w:line="178" w:lineRule="exact"/>
        <w:ind w:left="340"/>
      </w:pPr>
      <w:r w:rsidRPr="00283806">
        <w:rPr>
          <w:w w:val="110"/>
        </w:rPr>
        <w:t>Finally,</w:t>
      </w:r>
      <w:r w:rsidRPr="00283806">
        <w:rPr>
          <w:spacing w:val="9"/>
          <w:w w:val="110"/>
        </w:rPr>
        <w:t xml:space="preserve"> </w:t>
      </w:r>
      <w:r w:rsidRPr="00283806">
        <w:rPr>
          <w:w w:val="110"/>
        </w:rPr>
        <w:t>including</w:t>
      </w:r>
      <w:r w:rsidRPr="00283806">
        <w:rPr>
          <w:spacing w:val="10"/>
          <w:w w:val="110"/>
        </w:rPr>
        <w:t xml:space="preserve"> </w:t>
      </w:r>
      <w:r w:rsidRPr="00283806">
        <w:rPr>
          <w:w w:val="110"/>
        </w:rPr>
        <w:t>the</w:t>
      </w:r>
      <w:r w:rsidRPr="00283806">
        <w:rPr>
          <w:spacing w:val="10"/>
          <w:w w:val="110"/>
        </w:rPr>
        <w:t xml:space="preserve"> </w:t>
      </w:r>
      <w:r w:rsidRPr="00283806">
        <w:rPr>
          <w:spacing w:val="-2"/>
          <w:w w:val="110"/>
        </w:rPr>
        <w:t>requirement</w:t>
      </w:r>
    </w:p>
    <w:p w14:paraId="33030FB0" w14:textId="77777777" w:rsidR="00D67C1E" w:rsidRPr="00283806" w:rsidRDefault="001265CA">
      <w:pPr>
        <w:pStyle w:val="BodyText"/>
        <w:spacing w:before="4" w:line="225" w:lineRule="auto"/>
        <w:ind w:left="159" w:right="37"/>
      </w:pPr>
      <w:r w:rsidRPr="00283806">
        <w:rPr>
          <w:w w:val="105"/>
        </w:rPr>
        <w:t>that facilities receiving refrigerant to be recycled for reuse, or that store the refrigerant for more than 10 days before sending it on to be recycled for reuse, must meet the RCRA standards under 40 CFR part 261, subpart M, Emergency Preparedness and Response for Management of Excluded Hazardous Secondary Materials, addresses the risks posed specifically by ignitable spent refrigerants, which are a subset of hazardous secondary materials.</w:t>
      </w:r>
      <w:r w:rsidRPr="00283806">
        <w:rPr>
          <w:w w:val="105"/>
          <w:position w:val="5"/>
          <w:sz w:val="11"/>
        </w:rPr>
        <w:t>152</w:t>
      </w:r>
      <w:r w:rsidRPr="00283806">
        <w:rPr>
          <w:spacing w:val="40"/>
          <w:w w:val="105"/>
          <w:position w:val="5"/>
          <w:sz w:val="11"/>
        </w:rPr>
        <w:t xml:space="preserve"> </w:t>
      </w:r>
      <w:r w:rsidRPr="00283806">
        <w:rPr>
          <w:w w:val="105"/>
        </w:rPr>
        <w:t>Facilities receiving ignitable spent refrigerants from other parties for recycling for reuse will be subject to this additional emergency preparedness requirement because these third-party recyclers will receive ignitable spent refrigerants from multiple sources and are likely to store greater volumes for longer time periods than companies that recycle for reuse in appliances by the same owner or as part of an MVAC refrigerant recovery and recycling</w:t>
      </w:r>
      <w:r w:rsidRPr="00283806">
        <w:rPr>
          <w:spacing w:val="40"/>
          <w:w w:val="105"/>
        </w:rPr>
        <w:t xml:space="preserve"> </w:t>
      </w:r>
      <w:r w:rsidRPr="00283806">
        <w:rPr>
          <w:w w:val="105"/>
        </w:rPr>
        <w:t xml:space="preserve">system in compliance with 40 CFR part 82, subpart B. These emergency </w:t>
      </w:r>
      <w:proofErr w:type="gramStart"/>
      <w:r w:rsidRPr="00283806">
        <w:rPr>
          <w:w w:val="105"/>
        </w:rPr>
        <w:t>preparedness</w:t>
      </w:r>
      <w:proofErr w:type="gramEnd"/>
      <w:r w:rsidRPr="00283806">
        <w:rPr>
          <w:w w:val="105"/>
        </w:rPr>
        <w:t xml:space="preserve"> and response</w:t>
      </w:r>
      <w:r w:rsidRPr="00283806">
        <w:rPr>
          <w:spacing w:val="40"/>
          <w:w w:val="105"/>
        </w:rPr>
        <w:t xml:space="preserve"> </w:t>
      </w:r>
      <w:r w:rsidRPr="00283806">
        <w:rPr>
          <w:w w:val="105"/>
        </w:rPr>
        <w:t xml:space="preserve">requirements include maintaining appropriate emergency equipment on- site, having access to alarm systems, maintaining needed aisle space, </w:t>
      </w:r>
      <w:proofErr w:type="gramStart"/>
      <w:r w:rsidRPr="00283806">
        <w:rPr>
          <w:w w:val="105"/>
        </w:rPr>
        <w:t>making arrangements</w:t>
      </w:r>
      <w:proofErr w:type="gramEnd"/>
      <w:r w:rsidRPr="00283806">
        <w:rPr>
          <w:w w:val="105"/>
        </w:rPr>
        <w:t xml:space="preserve"> with local emergency authorities, and having a designated emergency coordinator who is</w:t>
      </w:r>
    </w:p>
    <w:p w14:paraId="177DB073" w14:textId="77777777" w:rsidR="00D67C1E" w:rsidRPr="00283806" w:rsidRDefault="001265CA">
      <w:pPr>
        <w:pStyle w:val="BodyText"/>
        <w:spacing w:before="4"/>
        <w:ind w:left="0"/>
        <w:rPr>
          <w:sz w:val="13"/>
        </w:rPr>
      </w:pPr>
      <w:r w:rsidRPr="00283806">
        <w:rPr>
          <w:noProof/>
        </w:rPr>
        <mc:AlternateContent>
          <mc:Choice Requires="wps">
            <w:drawing>
              <wp:anchor distT="0" distB="0" distL="0" distR="0" simplePos="0" relativeHeight="251677696" behindDoc="1" locked="0" layoutInCell="1" allowOverlap="1" wp14:anchorId="19344C1A" wp14:editId="3409728F">
                <wp:simplePos x="0" y="0"/>
                <wp:positionH relativeFrom="page">
                  <wp:posOffset>571500</wp:posOffset>
                </wp:positionH>
                <wp:positionV relativeFrom="paragraph">
                  <wp:posOffset>114933</wp:posOffset>
                </wp:positionV>
                <wp:extent cx="635000" cy="1270"/>
                <wp:effectExtent l="0" t="0" r="0" b="0"/>
                <wp:wrapTopAndBottom/>
                <wp:docPr id="111" name="Graphic 1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1847FB" id="Graphic 111" o:spid="_x0000_s1026" alt="&quot;&quot;" style="position:absolute;margin-left:45pt;margin-top:9.05pt;width:50pt;height:.1pt;z-index:-251638784;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" path="m,l635000,e" filled="f" strokeweight=".5pt">
                <v:path arrowok="t"/>
                <w10:wrap type="topAndBottom" anchorx="page"/>
              </v:shape>
            </w:pict>
          </mc:Fallback>
        </mc:AlternateContent>
      </w:r>
    </w:p>
    <w:p w14:paraId="4BE6F9A1" w14:textId="77777777" w:rsidR="00D67C1E" w:rsidRPr="00283806" w:rsidRDefault="001265CA">
      <w:pPr>
        <w:spacing w:before="40" w:line="232" w:lineRule="auto"/>
        <w:ind w:left="159" w:right="128" w:firstLine="140"/>
        <w:rPr>
          <w:sz w:val="14"/>
        </w:rPr>
      </w:pPr>
      <w:r w:rsidRPr="00283806">
        <w:rPr>
          <w:w w:val="105"/>
          <w:position w:val="4"/>
          <w:sz w:val="9"/>
        </w:rPr>
        <w:t xml:space="preserve">152 </w:t>
      </w:r>
      <w:r w:rsidRPr="00283806">
        <w:rPr>
          <w:w w:val="105"/>
          <w:sz w:val="14"/>
        </w:rPr>
        <w:t xml:space="preserve">Per 40 CFR </w:t>
      </w:r>
      <w:proofErr w:type="gramStart"/>
      <w:r w:rsidRPr="00283806">
        <w:rPr>
          <w:w w:val="105"/>
          <w:sz w:val="14"/>
        </w:rPr>
        <w:t>260.10, ‘‘</w:t>
      </w:r>
      <w:proofErr w:type="gramEnd"/>
      <w:r w:rsidRPr="00283806">
        <w:rPr>
          <w:w w:val="105"/>
          <w:sz w:val="14"/>
        </w:rPr>
        <w:t>hazardous secondary</w:t>
      </w:r>
      <w:r w:rsidRPr="00283806">
        <w:rPr>
          <w:spacing w:val="40"/>
          <w:w w:val="105"/>
          <w:sz w:val="14"/>
        </w:rPr>
        <w:t xml:space="preserve"> </w:t>
      </w:r>
      <w:proofErr w:type="gramStart"/>
      <w:r w:rsidRPr="00283806">
        <w:rPr>
          <w:w w:val="105"/>
          <w:sz w:val="14"/>
        </w:rPr>
        <w:t>materials’’</w:t>
      </w:r>
      <w:proofErr w:type="gramEnd"/>
      <w:r w:rsidRPr="00283806">
        <w:rPr>
          <w:w w:val="105"/>
          <w:sz w:val="14"/>
        </w:rPr>
        <w:t xml:space="preserve"> means a secondary material (</w:t>
      </w:r>
      <w:r w:rsidRPr="00283806">
        <w:rPr>
          <w:rFonts w:ascii="Book Antiqua" w:hAnsi="Book Antiqua"/>
          <w:i/>
          <w:w w:val="105"/>
          <w:sz w:val="14"/>
        </w:rPr>
        <w:t xml:space="preserve">e.g., </w:t>
      </w:r>
      <w:r w:rsidRPr="00283806">
        <w:rPr>
          <w:w w:val="105"/>
          <w:sz w:val="14"/>
        </w:rPr>
        <w:t>spent</w:t>
      </w:r>
      <w:r w:rsidRPr="00283806">
        <w:rPr>
          <w:spacing w:val="40"/>
          <w:w w:val="105"/>
          <w:sz w:val="14"/>
        </w:rPr>
        <w:t xml:space="preserve"> </w:t>
      </w:r>
      <w:r w:rsidRPr="00283806">
        <w:rPr>
          <w:w w:val="105"/>
          <w:sz w:val="14"/>
        </w:rPr>
        <w:t>material, by-product, or sludge) that, when</w:t>
      </w:r>
      <w:r w:rsidRPr="00283806">
        <w:rPr>
          <w:spacing w:val="40"/>
          <w:w w:val="105"/>
          <w:sz w:val="14"/>
        </w:rPr>
        <w:t xml:space="preserve"> </w:t>
      </w:r>
      <w:r w:rsidRPr="00283806">
        <w:rPr>
          <w:w w:val="105"/>
          <w:sz w:val="14"/>
        </w:rPr>
        <w:t>discarded, would be identified as hazardous waste</w:t>
      </w:r>
      <w:r w:rsidRPr="00283806">
        <w:rPr>
          <w:spacing w:val="40"/>
          <w:w w:val="105"/>
          <w:sz w:val="14"/>
        </w:rPr>
        <w:t xml:space="preserve"> </w:t>
      </w:r>
      <w:r w:rsidRPr="00283806">
        <w:rPr>
          <w:w w:val="105"/>
          <w:sz w:val="14"/>
        </w:rPr>
        <w:t>under 40 CFR part 261. Ignitable spent refrigerant</w:t>
      </w:r>
      <w:r w:rsidRPr="00283806">
        <w:rPr>
          <w:spacing w:val="40"/>
          <w:w w:val="105"/>
          <w:sz w:val="14"/>
        </w:rPr>
        <w:t xml:space="preserve"> </w:t>
      </w:r>
      <w:r w:rsidRPr="00283806">
        <w:rPr>
          <w:w w:val="105"/>
          <w:sz w:val="14"/>
        </w:rPr>
        <w:t>meets this definition.</w:t>
      </w:r>
    </w:p>
    <w:p w14:paraId="770364C2" w14:textId="77777777" w:rsidR="00D67C1E" w:rsidRPr="00283806" w:rsidRDefault="001265CA">
      <w:pPr>
        <w:pStyle w:val="BodyText"/>
        <w:spacing w:before="127" w:line="237" w:lineRule="auto"/>
        <w:ind w:left="144" w:right="98"/>
      </w:pPr>
      <w:r w:rsidRPr="00283806">
        <w:br w:type="column"/>
      </w:r>
      <w:r w:rsidRPr="00283806">
        <w:rPr>
          <w:w w:val="105"/>
        </w:rPr>
        <w:t>responsible for responding in the event of an emergency. This requirement will help protect human health and the environment in the event of a fire or other emergency at the facility. Under the final rule, all facilities receiving ignitable spent refrigerant from off-site, except for 10-day transfer facilities, must</w:t>
      </w:r>
      <w:r w:rsidRPr="00283806">
        <w:rPr>
          <w:spacing w:val="-5"/>
          <w:w w:val="105"/>
        </w:rPr>
        <w:t xml:space="preserve"> </w:t>
      </w:r>
      <w:r w:rsidRPr="00283806">
        <w:rPr>
          <w:w w:val="105"/>
        </w:rPr>
        <w:t>meet</w:t>
      </w:r>
      <w:r w:rsidRPr="00283806">
        <w:rPr>
          <w:spacing w:val="-5"/>
          <w:w w:val="105"/>
        </w:rPr>
        <w:t xml:space="preserve"> </w:t>
      </w:r>
      <w:r w:rsidRPr="00283806">
        <w:rPr>
          <w:w w:val="105"/>
        </w:rPr>
        <w:t>the</w:t>
      </w:r>
      <w:r w:rsidRPr="00283806">
        <w:rPr>
          <w:spacing w:val="-5"/>
          <w:w w:val="105"/>
        </w:rPr>
        <w:t xml:space="preserve"> </w:t>
      </w:r>
      <w:r w:rsidRPr="00283806">
        <w:rPr>
          <w:w w:val="105"/>
        </w:rPr>
        <w:t>emergency</w:t>
      </w:r>
      <w:r w:rsidRPr="00283806">
        <w:rPr>
          <w:spacing w:val="-5"/>
          <w:w w:val="105"/>
        </w:rPr>
        <w:t xml:space="preserve"> </w:t>
      </w:r>
      <w:r w:rsidRPr="00283806">
        <w:rPr>
          <w:w w:val="105"/>
        </w:rPr>
        <w:t>preparedness and response requirements under 40 CFR 261.410 and 40 CFR 261.420,</w:t>
      </w:r>
    </w:p>
    <w:p w14:paraId="583D6D6C" w14:textId="77777777" w:rsidR="00D67C1E" w:rsidRPr="00283806" w:rsidRDefault="001265CA">
      <w:pPr>
        <w:pStyle w:val="BodyText"/>
        <w:spacing w:line="237" w:lineRule="auto"/>
        <w:ind w:left="144" w:right="108"/>
      </w:pPr>
      <w:r w:rsidRPr="00283806">
        <w:rPr>
          <w:w w:val="105"/>
        </w:rPr>
        <w:t xml:space="preserve">which </w:t>
      </w:r>
      <w:proofErr w:type="gramStart"/>
      <w:r w:rsidRPr="00283806">
        <w:rPr>
          <w:w w:val="105"/>
        </w:rPr>
        <w:t>include</w:t>
      </w:r>
      <w:proofErr w:type="gramEnd"/>
      <w:r w:rsidRPr="00283806">
        <w:rPr>
          <w:w w:val="105"/>
        </w:rPr>
        <w:t xml:space="preserve"> general personnel training</w:t>
      </w:r>
      <w:r w:rsidRPr="00283806">
        <w:rPr>
          <w:spacing w:val="-2"/>
          <w:w w:val="105"/>
        </w:rPr>
        <w:t xml:space="preserve"> </w:t>
      </w:r>
      <w:r w:rsidRPr="00283806">
        <w:rPr>
          <w:w w:val="105"/>
        </w:rPr>
        <w:t>requirements</w:t>
      </w:r>
      <w:r w:rsidRPr="00283806">
        <w:rPr>
          <w:spacing w:val="-2"/>
          <w:w w:val="105"/>
        </w:rPr>
        <w:t xml:space="preserve"> </w:t>
      </w:r>
      <w:r w:rsidRPr="00283806">
        <w:rPr>
          <w:w w:val="105"/>
        </w:rPr>
        <w:t>for</w:t>
      </w:r>
      <w:r w:rsidRPr="00283806">
        <w:rPr>
          <w:spacing w:val="-2"/>
          <w:w w:val="105"/>
        </w:rPr>
        <w:t xml:space="preserve"> </w:t>
      </w:r>
      <w:r w:rsidRPr="00283806">
        <w:rPr>
          <w:w w:val="105"/>
        </w:rPr>
        <w:t>facilities</w:t>
      </w:r>
      <w:r w:rsidRPr="00283806">
        <w:rPr>
          <w:spacing w:val="-2"/>
          <w:w w:val="105"/>
        </w:rPr>
        <w:t xml:space="preserve"> </w:t>
      </w:r>
      <w:r w:rsidRPr="00283806">
        <w:rPr>
          <w:w w:val="105"/>
        </w:rPr>
        <w:t>(40 CFR 261.420(g)).</w:t>
      </w:r>
    </w:p>
    <w:p w14:paraId="479BA751" w14:textId="77777777" w:rsidR="00D67C1E" w:rsidRPr="00283806" w:rsidRDefault="001265CA">
      <w:pPr>
        <w:pStyle w:val="ListParagraph"/>
        <w:numPr>
          <w:ilvl w:val="0"/>
          <w:numId w:val="46"/>
        </w:numPr>
        <w:tabs>
          <w:tab w:val="left" w:pos="342"/>
        </w:tabs>
        <w:spacing w:before="97" w:line="237" w:lineRule="auto"/>
        <w:ind w:left="144" w:right="48" w:firstLine="0"/>
        <w:rPr>
          <w:sz w:val="18"/>
        </w:rPr>
      </w:pPr>
      <w:r w:rsidRPr="00283806">
        <w:rPr>
          <w:w w:val="110"/>
          <w:sz w:val="18"/>
        </w:rPr>
        <w:t>RCRA</w:t>
      </w:r>
      <w:r w:rsidRPr="00283806">
        <w:rPr>
          <w:spacing w:val="-10"/>
          <w:w w:val="110"/>
          <w:sz w:val="18"/>
        </w:rPr>
        <w:t xml:space="preserve"> </w:t>
      </w:r>
      <w:r w:rsidRPr="00283806">
        <w:rPr>
          <w:w w:val="110"/>
          <w:sz w:val="18"/>
        </w:rPr>
        <w:t>Very</w:t>
      </w:r>
      <w:r w:rsidRPr="00283806">
        <w:rPr>
          <w:spacing w:val="-11"/>
          <w:w w:val="110"/>
          <w:sz w:val="18"/>
        </w:rPr>
        <w:t xml:space="preserve"> </w:t>
      </w:r>
      <w:r w:rsidRPr="00283806">
        <w:rPr>
          <w:w w:val="110"/>
          <w:sz w:val="18"/>
        </w:rPr>
        <w:t>Small</w:t>
      </w:r>
      <w:r w:rsidRPr="00283806">
        <w:rPr>
          <w:spacing w:val="-10"/>
          <w:w w:val="110"/>
          <w:sz w:val="18"/>
        </w:rPr>
        <w:t xml:space="preserve"> </w:t>
      </w:r>
      <w:r w:rsidRPr="00283806">
        <w:rPr>
          <w:w w:val="110"/>
          <w:sz w:val="18"/>
        </w:rPr>
        <w:t>Quantity</w:t>
      </w:r>
      <w:r w:rsidRPr="00283806">
        <w:rPr>
          <w:spacing w:val="-10"/>
          <w:w w:val="110"/>
          <w:sz w:val="18"/>
        </w:rPr>
        <w:t xml:space="preserve"> </w:t>
      </w:r>
      <w:r w:rsidRPr="00283806">
        <w:rPr>
          <w:w w:val="110"/>
          <w:sz w:val="18"/>
        </w:rPr>
        <w:t xml:space="preserve">Generator </w:t>
      </w:r>
      <w:r w:rsidRPr="00283806">
        <w:rPr>
          <w:spacing w:val="-2"/>
          <w:w w:val="110"/>
          <w:sz w:val="18"/>
        </w:rPr>
        <w:t>Wastes</w:t>
      </w:r>
    </w:p>
    <w:p w14:paraId="396EBB86" w14:textId="77777777" w:rsidR="00D67C1E" w:rsidRPr="00283806" w:rsidRDefault="001265CA">
      <w:pPr>
        <w:pStyle w:val="BodyText"/>
        <w:spacing w:before="134" w:line="237" w:lineRule="auto"/>
        <w:ind w:left="144" w:firstLine="180"/>
      </w:pPr>
      <w:r w:rsidRPr="00283806">
        <w:rPr>
          <w:w w:val="105"/>
        </w:rPr>
        <w:t>Very Small Quantity Generators (VSQGs) generate less than 100</w:t>
      </w:r>
      <w:r w:rsidRPr="00283806">
        <w:rPr>
          <w:spacing w:val="40"/>
          <w:w w:val="105"/>
        </w:rPr>
        <w:t xml:space="preserve"> </w:t>
      </w:r>
      <w:r w:rsidRPr="00283806">
        <w:rPr>
          <w:w w:val="105"/>
        </w:rPr>
        <w:t>kilograms of hazardous waste per month and one kilogram or less per month of acutely hazardous waste and are subject to a limited set of Federal RCRA Subtitle</w:t>
      </w:r>
      <w:r w:rsidRPr="00283806">
        <w:rPr>
          <w:spacing w:val="40"/>
          <w:w w:val="105"/>
        </w:rPr>
        <w:t xml:space="preserve"> </w:t>
      </w:r>
      <w:r w:rsidRPr="00283806">
        <w:rPr>
          <w:w w:val="105"/>
        </w:rPr>
        <w:t xml:space="preserve">C hazardous waste regulations, </w:t>
      </w:r>
      <w:proofErr w:type="gramStart"/>
      <w:r w:rsidRPr="00283806">
        <w:rPr>
          <w:w w:val="105"/>
        </w:rPr>
        <w:t>provided that</w:t>
      </w:r>
      <w:proofErr w:type="gramEnd"/>
      <w:r w:rsidRPr="00283806">
        <w:rPr>
          <w:w w:val="105"/>
        </w:rPr>
        <w:t xml:space="preserve"> they comply with the conditions set forth in 40 CFR 262.14. Among those conditions is that the VSQG must either treat and dispose of its hazardous waste in an on-site facility or ensure delivery</w:t>
      </w:r>
      <w:r w:rsidRPr="00283806">
        <w:rPr>
          <w:spacing w:val="80"/>
          <w:w w:val="150"/>
        </w:rPr>
        <w:t xml:space="preserve"> </w:t>
      </w:r>
      <w:r w:rsidRPr="00283806">
        <w:rPr>
          <w:w w:val="105"/>
        </w:rPr>
        <w:t>to an off-site facility listed in 40 CFR 262.14(a)(5). Included in this list is a facility that (1) beneficially uses or reuses, or legitimately recycles or reclaims, its waste; or (2) treats its waste prior to beneficial use or reuse, or legitimate recycling or reclamation.</w:t>
      </w:r>
    </w:p>
    <w:p w14:paraId="681CC923" w14:textId="77777777" w:rsidR="00D67C1E" w:rsidRPr="00283806" w:rsidRDefault="001265CA">
      <w:pPr>
        <w:pStyle w:val="BodyText"/>
        <w:spacing w:before="40" w:line="237" w:lineRule="auto"/>
        <w:ind w:left="144" w:right="160" w:firstLine="180"/>
      </w:pPr>
      <w:r w:rsidRPr="00283806">
        <w:rPr>
          <w:w w:val="105"/>
        </w:rPr>
        <w:t>For ignitable spent refrigerant regulated under the new RCRA alternative standards, EPA is finalizing</w:t>
      </w:r>
      <w:r w:rsidRPr="00283806">
        <w:rPr>
          <w:spacing w:val="40"/>
          <w:w w:val="105"/>
        </w:rPr>
        <w:t xml:space="preserve"> </w:t>
      </w:r>
      <w:r w:rsidRPr="00283806">
        <w:rPr>
          <w:w w:val="105"/>
        </w:rPr>
        <w:t>a conforming change to 40 CFR 262.14(a)(5) to require that these refrigerants be sent to a facility that meets the requirements of 40 CFR part 266, subpart Q if sent off-site for recycling. This revision incorporates into the RCRA regulations that VSQGs’ ability to send ignitable spent refrigerants for recycling for reuse is limited to facilities that meet EPA’s certification requirements in 40 CFR</w:t>
      </w:r>
    </w:p>
    <w:p w14:paraId="335D2C2A" w14:textId="77777777" w:rsidR="00D67C1E" w:rsidRPr="00283806" w:rsidRDefault="001265CA">
      <w:pPr>
        <w:pStyle w:val="BodyText"/>
        <w:spacing w:line="196" w:lineRule="exact"/>
        <w:ind w:left="144"/>
      </w:pPr>
      <w:r w:rsidRPr="00283806">
        <w:rPr>
          <w:w w:val="105"/>
        </w:rPr>
        <w:t>82.164.</w:t>
      </w:r>
      <w:r w:rsidRPr="00283806">
        <w:rPr>
          <w:spacing w:val="10"/>
          <w:w w:val="105"/>
        </w:rPr>
        <w:t xml:space="preserve"> </w:t>
      </w:r>
      <w:r w:rsidRPr="00283806">
        <w:rPr>
          <w:w w:val="105"/>
        </w:rPr>
        <w:t>This</w:t>
      </w:r>
      <w:r w:rsidRPr="00283806">
        <w:rPr>
          <w:spacing w:val="10"/>
          <w:w w:val="105"/>
        </w:rPr>
        <w:t xml:space="preserve"> </w:t>
      </w:r>
      <w:r w:rsidRPr="00283806">
        <w:rPr>
          <w:w w:val="105"/>
        </w:rPr>
        <w:t>revision</w:t>
      </w:r>
      <w:r w:rsidRPr="00283806">
        <w:rPr>
          <w:spacing w:val="11"/>
          <w:w w:val="105"/>
        </w:rPr>
        <w:t xml:space="preserve"> </w:t>
      </w:r>
      <w:r w:rsidRPr="00283806">
        <w:rPr>
          <w:w w:val="105"/>
        </w:rPr>
        <w:t>does</w:t>
      </w:r>
      <w:r w:rsidRPr="00283806">
        <w:rPr>
          <w:spacing w:val="10"/>
          <w:w w:val="105"/>
        </w:rPr>
        <w:t xml:space="preserve"> </w:t>
      </w:r>
      <w:r w:rsidRPr="00283806">
        <w:rPr>
          <w:w w:val="105"/>
        </w:rPr>
        <w:t>not</w:t>
      </w:r>
      <w:r w:rsidRPr="00283806">
        <w:rPr>
          <w:spacing w:val="11"/>
          <w:w w:val="105"/>
        </w:rPr>
        <w:t xml:space="preserve"> </w:t>
      </w:r>
      <w:r w:rsidRPr="00283806">
        <w:rPr>
          <w:spacing w:val="-2"/>
          <w:w w:val="105"/>
        </w:rPr>
        <w:t>affect</w:t>
      </w:r>
    </w:p>
    <w:p w14:paraId="1874290B" w14:textId="77777777" w:rsidR="00D67C1E" w:rsidRPr="00283806" w:rsidRDefault="001265CA">
      <w:pPr>
        <w:pStyle w:val="BodyText"/>
        <w:spacing w:before="4" w:line="232" w:lineRule="auto"/>
        <w:ind w:left="144" w:right="10"/>
      </w:pPr>
      <w:r w:rsidRPr="00283806">
        <w:rPr>
          <w:w w:val="105"/>
        </w:rPr>
        <w:t>refrigerants not subject to the new RCRA alternative standards (</w:t>
      </w:r>
      <w:r w:rsidRPr="00283806">
        <w:rPr>
          <w:rFonts w:ascii="Book Antiqua"/>
          <w:i/>
          <w:w w:val="105"/>
        </w:rPr>
        <w:t xml:space="preserve">e.g., </w:t>
      </w:r>
      <w:r w:rsidRPr="00283806">
        <w:rPr>
          <w:w w:val="105"/>
        </w:rPr>
        <w:t>ignitable</w:t>
      </w:r>
      <w:r w:rsidRPr="00283806">
        <w:rPr>
          <w:spacing w:val="40"/>
          <w:w w:val="105"/>
        </w:rPr>
        <w:t xml:space="preserve"> </w:t>
      </w:r>
      <w:r w:rsidRPr="00283806">
        <w:rPr>
          <w:w w:val="105"/>
        </w:rPr>
        <w:t>spent refrigerants that are not sent off- site to be recycled for reuse).</w:t>
      </w:r>
    </w:p>
    <w:p w14:paraId="3B57400C" w14:textId="77777777" w:rsidR="00D67C1E" w:rsidRPr="00283806" w:rsidRDefault="001265CA">
      <w:pPr>
        <w:pStyle w:val="BodyText"/>
        <w:spacing w:before="55" w:line="235" w:lineRule="auto"/>
        <w:ind w:left="144" w:right="88" w:firstLine="180"/>
      </w:pPr>
      <w:r w:rsidRPr="00283806">
        <w:rPr>
          <w:w w:val="105"/>
        </w:rPr>
        <w:t>EPA notes that while this change is more stringent than the current RCRA regulations, VSQGs would experience</w:t>
      </w:r>
      <w:r w:rsidRPr="00283806">
        <w:rPr>
          <w:spacing w:val="80"/>
          <w:w w:val="105"/>
        </w:rPr>
        <w:t xml:space="preserve"> </w:t>
      </w:r>
      <w:r w:rsidRPr="00283806">
        <w:rPr>
          <w:w w:val="105"/>
        </w:rPr>
        <w:t xml:space="preserve">no additional burden since under the CAA section 608 rules, all reclaimers receiving used ODS refrigerants or non- exempt substitute refrigerants from off- site for reclamation must meet EPA’s certification requirements in 40 CFR </w:t>
      </w:r>
      <w:r w:rsidRPr="00283806">
        <w:rPr>
          <w:spacing w:val="-2"/>
          <w:w w:val="105"/>
        </w:rPr>
        <w:t>82.164.</w:t>
      </w:r>
    </w:p>
    <w:p w14:paraId="1D40D6EA" w14:textId="77777777" w:rsidR="00D67C1E" w:rsidRPr="00283806" w:rsidRDefault="001265CA">
      <w:pPr>
        <w:pStyle w:val="ListParagraph"/>
        <w:numPr>
          <w:ilvl w:val="0"/>
          <w:numId w:val="46"/>
        </w:numPr>
        <w:tabs>
          <w:tab w:val="left" w:pos="341"/>
        </w:tabs>
        <w:spacing w:before="137" w:line="228" w:lineRule="auto"/>
        <w:ind w:left="143" w:right="591" w:firstLine="0"/>
        <w:rPr>
          <w:sz w:val="18"/>
        </w:rPr>
      </w:pPr>
      <w:r w:rsidRPr="00283806">
        <w:br w:type="column"/>
      </w:r>
      <w:r w:rsidRPr="00283806">
        <w:rPr>
          <w:w w:val="105"/>
          <w:sz w:val="18"/>
        </w:rPr>
        <w:t xml:space="preserve">RCRA Regulation of Exports and Imports of Certain Ignitable Spent </w:t>
      </w:r>
      <w:r w:rsidRPr="00283806">
        <w:rPr>
          <w:spacing w:val="-2"/>
          <w:w w:val="105"/>
          <w:sz w:val="18"/>
        </w:rPr>
        <w:t>Refrigerants</w:t>
      </w:r>
    </w:p>
    <w:p w14:paraId="5B819E95" w14:textId="77777777" w:rsidR="00D67C1E" w:rsidRPr="00283806" w:rsidRDefault="001265CA">
      <w:pPr>
        <w:pStyle w:val="BodyText"/>
        <w:spacing w:before="75" w:line="228" w:lineRule="auto"/>
        <w:ind w:left="143" w:right="193" w:firstLine="180"/>
      </w:pPr>
      <w:r w:rsidRPr="00283806">
        <w:rPr>
          <w:w w:val="105"/>
        </w:rPr>
        <w:t>The RCRA alternative standards are limited to ignitable spent refrigerants that are recycled for reuse in the United States, and they require that off-site recycling for reuse be performed at an EPA-certified reclaimer per 40 CFR</w:t>
      </w:r>
    </w:p>
    <w:p w14:paraId="16AD9039" w14:textId="77777777" w:rsidR="00D67C1E" w:rsidRPr="00283806" w:rsidRDefault="001265CA">
      <w:pPr>
        <w:pStyle w:val="BodyText"/>
        <w:spacing w:line="228" w:lineRule="auto"/>
        <w:ind w:left="143" w:right="153"/>
      </w:pPr>
      <w:r w:rsidRPr="00283806">
        <w:rPr>
          <w:w w:val="105"/>
        </w:rPr>
        <w:t>82.164. Therefore, ignitable spent refrigerants intended for export would not qualify for the RCRA alternative standards, and would instead be regulated</w:t>
      </w:r>
      <w:r w:rsidRPr="00283806">
        <w:rPr>
          <w:spacing w:val="38"/>
          <w:w w:val="105"/>
        </w:rPr>
        <w:t xml:space="preserve"> </w:t>
      </w:r>
      <w:r w:rsidRPr="00283806">
        <w:rPr>
          <w:w w:val="105"/>
        </w:rPr>
        <w:t>under</w:t>
      </w:r>
      <w:r w:rsidRPr="00283806">
        <w:rPr>
          <w:spacing w:val="38"/>
          <w:w w:val="105"/>
        </w:rPr>
        <w:t xml:space="preserve"> </w:t>
      </w:r>
      <w:r w:rsidRPr="00283806">
        <w:rPr>
          <w:w w:val="105"/>
        </w:rPr>
        <w:t>the</w:t>
      </w:r>
      <w:r w:rsidRPr="00283806">
        <w:rPr>
          <w:spacing w:val="38"/>
          <w:w w:val="105"/>
        </w:rPr>
        <w:t xml:space="preserve"> </w:t>
      </w:r>
      <w:r w:rsidRPr="00283806">
        <w:rPr>
          <w:w w:val="105"/>
        </w:rPr>
        <w:t>full</w:t>
      </w:r>
      <w:r w:rsidRPr="00283806">
        <w:rPr>
          <w:spacing w:val="38"/>
          <w:w w:val="105"/>
        </w:rPr>
        <w:t xml:space="preserve"> </w:t>
      </w:r>
      <w:r w:rsidRPr="00283806">
        <w:rPr>
          <w:w w:val="105"/>
        </w:rPr>
        <w:t>RCRA</w:t>
      </w:r>
      <w:r w:rsidRPr="00283806">
        <w:rPr>
          <w:spacing w:val="38"/>
          <w:w w:val="105"/>
        </w:rPr>
        <w:t xml:space="preserve"> </w:t>
      </w:r>
      <w:r w:rsidRPr="00283806">
        <w:rPr>
          <w:w w:val="105"/>
        </w:rPr>
        <w:t>Subtitle C requirements, including the relevant hazardous</w:t>
      </w:r>
      <w:r w:rsidRPr="00283806">
        <w:rPr>
          <w:spacing w:val="-2"/>
          <w:w w:val="105"/>
        </w:rPr>
        <w:t xml:space="preserve"> </w:t>
      </w:r>
      <w:r w:rsidRPr="00283806">
        <w:rPr>
          <w:w w:val="105"/>
        </w:rPr>
        <w:t>waste</w:t>
      </w:r>
      <w:r w:rsidRPr="00283806">
        <w:rPr>
          <w:spacing w:val="-2"/>
          <w:w w:val="105"/>
        </w:rPr>
        <w:t xml:space="preserve"> </w:t>
      </w:r>
      <w:r w:rsidRPr="00283806">
        <w:rPr>
          <w:w w:val="105"/>
        </w:rPr>
        <w:t>export</w:t>
      </w:r>
      <w:r w:rsidRPr="00283806">
        <w:rPr>
          <w:spacing w:val="-2"/>
          <w:w w:val="105"/>
        </w:rPr>
        <w:t xml:space="preserve"> </w:t>
      </w:r>
      <w:r w:rsidRPr="00283806">
        <w:rPr>
          <w:w w:val="105"/>
        </w:rPr>
        <w:t>requirements</w:t>
      </w:r>
      <w:r w:rsidRPr="00283806">
        <w:rPr>
          <w:spacing w:val="-2"/>
          <w:w w:val="105"/>
        </w:rPr>
        <w:t xml:space="preserve"> </w:t>
      </w:r>
      <w:r w:rsidRPr="00283806">
        <w:rPr>
          <w:w w:val="105"/>
        </w:rPr>
        <w:t>in 40 CFR part 262, subpart H.</w:t>
      </w:r>
    </w:p>
    <w:p w14:paraId="1B82A93C" w14:textId="77777777" w:rsidR="00D67C1E" w:rsidRPr="00283806" w:rsidRDefault="001265CA">
      <w:pPr>
        <w:pStyle w:val="BodyText"/>
        <w:spacing w:line="228" w:lineRule="auto"/>
        <w:ind w:left="143" w:right="282" w:firstLine="180"/>
      </w:pPr>
      <w:r w:rsidRPr="00283806">
        <w:rPr>
          <w:w w:val="105"/>
        </w:rPr>
        <w:t xml:space="preserve">Ignitable spent refrigerants that are </w:t>
      </w:r>
      <w:proofErr w:type="gramStart"/>
      <w:r w:rsidRPr="00283806">
        <w:rPr>
          <w:w w:val="105"/>
        </w:rPr>
        <w:t>imported would</w:t>
      </w:r>
      <w:proofErr w:type="gramEnd"/>
      <w:r w:rsidRPr="00283806">
        <w:rPr>
          <w:w w:val="105"/>
        </w:rPr>
        <w:t xml:space="preserve"> qualify for alternative RCRA standards, </w:t>
      </w:r>
      <w:proofErr w:type="gramStart"/>
      <w:r w:rsidRPr="00283806">
        <w:rPr>
          <w:w w:val="105"/>
        </w:rPr>
        <w:t>as long as</w:t>
      </w:r>
      <w:proofErr w:type="gramEnd"/>
      <w:r w:rsidRPr="00283806">
        <w:rPr>
          <w:w w:val="105"/>
        </w:rPr>
        <w:t xml:space="preserve"> the</w:t>
      </w:r>
      <w:r w:rsidRPr="00283806">
        <w:rPr>
          <w:spacing w:val="40"/>
          <w:w w:val="105"/>
        </w:rPr>
        <w:t xml:space="preserve"> </w:t>
      </w:r>
      <w:r w:rsidRPr="00283806">
        <w:rPr>
          <w:w w:val="105"/>
        </w:rPr>
        <w:t>imported refrigerants meet the requirements of the RCRA alternative standards, including being recycled for reuse at an EPA-certified reclaimer per 40 CFR 82.164. This provision does not amend, reopen or otherwise affect any of the requirements for regulated substances established under the AIM Act that are codified at 40 CFR part 84, subpart A.</w:t>
      </w:r>
    </w:p>
    <w:p w14:paraId="7EA3240E" w14:textId="77777777" w:rsidR="00D67C1E" w:rsidRPr="00283806" w:rsidRDefault="001265CA">
      <w:pPr>
        <w:pStyle w:val="ListParagraph"/>
        <w:numPr>
          <w:ilvl w:val="0"/>
          <w:numId w:val="46"/>
        </w:numPr>
        <w:tabs>
          <w:tab w:val="left" w:pos="341"/>
        </w:tabs>
        <w:spacing w:before="83" w:line="228" w:lineRule="auto"/>
        <w:ind w:left="143" w:right="191" w:firstLine="0"/>
        <w:rPr>
          <w:sz w:val="18"/>
        </w:rPr>
      </w:pPr>
      <w:r w:rsidRPr="00283806">
        <w:rPr>
          <w:w w:val="110"/>
          <w:sz w:val="18"/>
        </w:rPr>
        <w:t>Applicability</w:t>
      </w:r>
      <w:r w:rsidRPr="00283806">
        <w:rPr>
          <w:spacing w:val="-11"/>
          <w:w w:val="110"/>
          <w:sz w:val="18"/>
        </w:rPr>
        <w:t xml:space="preserve"> </w:t>
      </w:r>
      <w:r w:rsidRPr="00283806">
        <w:rPr>
          <w:w w:val="110"/>
          <w:sz w:val="18"/>
        </w:rPr>
        <w:t>of</w:t>
      </w:r>
      <w:r w:rsidRPr="00283806">
        <w:rPr>
          <w:spacing w:val="-11"/>
          <w:w w:val="110"/>
          <w:sz w:val="18"/>
        </w:rPr>
        <w:t xml:space="preserve"> </w:t>
      </w:r>
      <w:r w:rsidRPr="00283806">
        <w:rPr>
          <w:w w:val="110"/>
          <w:sz w:val="18"/>
        </w:rPr>
        <w:t>Alternative</w:t>
      </w:r>
      <w:r w:rsidRPr="00283806">
        <w:rPr>
          <w:spacing w:val="-11"/>
          <w:w w:val="110"/>
          <w:sz w:val="18"/>
        </w:rPr>
        <w:t xml:space="preserve"> </w:t>
      </w:r>
      <w:r w:rsidRPr="00283806">
        <w:rPr>
          <w:w w:val="110"/>
          <w:sz w:val="18"/>
        </w:rPr>
        <w:t>Standard in RCRA-Authorized States</w:t>
      </w:r>
    </w:p>
    <w:p w14:paraId="53AB354E" w14:textId="77777777" w:rsidR="00D67C1E" w:rsidRPr="00283806" w:rsidRDefault="001265CA">
      <w:pPr>
        <w:pStyle w:val="BodyText"/>
        <w:spacing w:before="75" w:line="228" w:lineRule="auto"/>
        <w:ind w:left="143" w:right="153" w:firstLine="180"/>
      </w:pPr>
      <w:r w:rsidRPr="00283806">
        <w:rPr>
          <w:w w:val="105"/>
        </w:rPr>
        <w:t>Under</w:t>
      </w:r>
      <w:r w:rsidRPr="00283806">
        <w:rPr>
          <w:spacing w:val="40"/>
          <w:w w:val="105"/>
        </w:rPr>
        <w:t xml:space="preserve"> </w:t>
      </w:r>
      <w:r w:rsidRPr="00283806">
        <w:rPr>
          <w:w w:val="105"/>
        </w:rPr>
        <w:t>section</w:t>
      </w:r>
      <w:r w:rsidRPr="00283806">
        <w:rPr>
          <w:spacing w:val="40"/>
          <w:w w:val="105"/>
        </w:rPr>
        <w:t xml:space="preserve"> </w:t>
      </w:r>
      <w:r w:rsidRPr="00283806">
        <w:rPr>
          <w:w w:val="105"/>
        </w:rPr>
        <w:t>3006</w:t>
      </w:r>
      <w:r w:rsidRPr="00283806">
        <w:rPr>
          <w:spacing w:val="40"/>
          <w:w w:val="105"/>
        </w:rPr>
        <w:t xml:space="preserve"> </w:t>
      </w:r>
      <w:r w:rsidRPr="00283806">
        <w:rPr>
          <w:w w:val="105"/>
        </w:rPr>
        <w:t>of</w:t>
      </w:r>
      <w:r w:rsidRPr="00283806">
        <w:rPr>
          <w:spacing w:val="40"/>
          <w:w w:val="105"/>
        </w:rPr>
        <w:t xml:space="preserve"> </w:t>
      </w:r>
      <w:r w:rsidRPr="00283806">
        <w:rPr>
          <w:w w:val="105"/>
        </w:rPr>
        <w:t>RCRA,</w:t>
      </w:r>
      <w:r w:rsidRPr="00283806">
        <w:rPr>
          <w:spacing w:val="40"/>
          <w:w w:val="105"/>
        </w:rPr>
        <w:t xml:space="preserve"> </w:t>
      </w:r>
      <w:r w:rsidRPr="00283806">
        <w:rPr>
          <w:w w:val="105"/>
        </w:rPr>
        <w:t>EPA may authorize a State hazardous waste program to operate in lieu of the Federal program within the State. Following authorization, EPA maintains its enforcement authorities, although authorized States have primary enforcement responsibility for their authorized programs. The standards and requirements for state authorization are found in 40 CFR part 271.</w:t>
      </w:r>
    </w:p>
    <w:p w14:paraId="6A28D3DD" w14:textId="77777777" w:rsidR="00D67C1E" w:rsidRPr="00283806" w:rsidRDefault="001265CA">
      <w:pPr>
        <w:pStyle w:val="BodyText"/>
        <w:spacing w:line="228" w:lineRule="auto"/>
        <w:ind w:left="143" w:right="208" w:firstLine="180"/>
      </w:pPr>
      <w:r w:rsidRPr="00283806">
        <w:rPr>
          <w:w w:val="105"/>
        </w:rPr>
        <w:t>Prior to the enactment of the HSWA,</w:t>
      </w:r>
      <w:r w:rsidRPr="00283806">
        <w:rPr>
          <w:spacing w:val="40"/>
          <w:w w:val="105"/>
        </w:rPr>
        <w:t xml:space="preserve"> </w:t>
      </w:r>
      <w:r w:rsidRPr="00283806">
        <w:rPr>
          <w:w w:val="105"/>
        </w:rPr>
        <w:t>an authorized state hazardous waste program operated entirely in lieu of the Federal program in that state. The Federal requirements no longer applied in the authorized state, and EPA could not issue permits for any facilities in</w:t>
      </w:r>
      <w:r w:rsidRPr="00283806">
        <w:rPr>
          <w:spacing w:val="80"/>
          <w:w w:val="105"/>
        </w:rPr>
        <w:t xml:space="preserve"> </w:t>
      </w:r>
      <w:r w:rsidRPr="00283806">
        <w:rPr>
          <w:w w:val="105"/>
        </w:rPr>
        <w:t>that state. When new, more stringent, or broader Federal requirements were promulgated, the state was obligated to adopt equivalent authorities under state law within specified time-frames.</w:t>
      </w:r>
    </w:p>
    <w:p w14:paraId="3B54C005" w14:textId="77777777" w:rsidR="00D67C1E" w:rsidRPr="00283806" w:rsidRDefault="001265CA">
      <w:pPr>
        <w:pStyle w:val="BodyText"/>
        <w:spacing w:line="228" w:lineRule="auto"/>
        <w:ind w:left="143" w:right="231"/>
      </w:pPr>
      <w:r w:rsidRPr="00283806">
        <w:rPr>
          <w:w w:val="105"/>
        </w:rPr>
        <w:t>However, new requirements did not take effect in an authorized state until the state adopted such equivalent authorities, and these requirements did not become part of the authorized program enforceable by EPA until EPA authorized them.</w:t>
      </w:r>
    </w:p>
    <w:p w14:paraId="3D574786" w14:textId="77777777" w:rsidR="00D67C1E" w:rsidRPr="00283806" w:rsidRDefault="001265CA">
      <w:pPr>
        <w:pStyle w:val="BodyText"/>
        <w:spacing w:line="228" w:lineRule="auto"/>
        <w:ind w:left="143" w:right="189" w:firstLine="180"/>
      </w:pPr>
      <w:r w:rsidRPr="00283806">
        <w:rPr>
          <w:w w:val="105"/>
        </w:rPr>
        <w:t>In contrast, with the enactment of RCRA section 3006(g), which was added by HSWA, new Federal requirements</w:t>
      </w:r>
      <w:r w:rsidRPr="00283806">
        <w:rPr>
          <w:spacing w:val="80"/>
          <w:w w:val="105"/>
        </w:rPr>
        <w:t xml:space="preserve"> </w:t>
      </w:r>
      <w:r w:rsidRPr="00283806">
        <w:rPr>
          <w:w w:val="105"/>
        </w:rPr>
        <w:t>and prohibitions imposed pursuant to HSWA authority take effect in</w:t>
      </w:r>
    </w:p>
    <w:p w14:paraId="585FB300"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6" w:space="40"/>
            <w:col w:w="3502" w:space="39"/>
            <w:col w:w="3623"/>
          </w:cols>
        </w:sectPr>
      </w:pPr>
    </w:p>
    <w:p w14:paraId="6A62E03D" w14:textId="77777777" w:rsidR="00D67C1E" w:rsidRPr="00283806" w:rsidRDefault="001265CA">
      <w:pPr>
        <w:pStyle w:val="BodyText"/>
        <w:spacing w:before="136" w:line="225" w:lineRule="auto"/>
        <w:ind w:right="74"/>
      </w:pPr>
      <w:r w:rsidRPr="00283806">
        <w:rPr>
          <w:w w:val="105"/>
        </w:rPr>
        <w:lastRenderedPageBreak/>
        <w:t xml:space="preserve">authorized states </w:t>
      </w:r>
      <w:proofErr w:type="gramStart"/>
      <w:r w:rsidRPr="00283806">
        <w:rPr>
          <w:w w:val="105"/>
        </w:rPr>
        <w:t>at the same time that</w:t>
      </w:r>
      <w:proofErr w:type="gramEnd"/>
      <w:r w:rsidRPr="00283806">
        <w:rPr>
          <w:w w:val="105"/>
        </w:rPr>
        <w:t xml:space="preserve"> they take effect in unauthorized States. EPA is directed by section 3006(g) to implement HSWA-based requirements and prohibitions in authorized States until EPA authorizes equivalent State authorities. While States must still</w:t>
      </w:r>
      <w:r w:rsidRPr="00283806">
        <w:rPr>
          <w:spacing w:val="40"/>
          <w:w w:val="105"/>
        </w:rPr>
        <w:t xml:space="preserve"> </w:t>
      </w:r>
      <w:r w:rsidRPr="00283806">
        <w:rPr>
          <w:w w:val="105"/>
        </w:rPr>
        <w:t>adopt state-law equivalents to HSWA- based requirements and prohibitions to retain final authorization, until the States do so, and EPA authorizes the state-law equivalents, EPA implements and enforces these provisions in authorized States.</w:t>
      </w:r>
    </w:p>
    <w:p w14:paraId="6E416ACF" w14:textId="77777777" w:rsidR="00D67C1E" w:rsidRPr="00283806" w:rsidRDefault="001265CA">
      <w:pPr>
        <w:pStyle w:val="BodyText"/>
        <w:spacing w:line="175" w:lineRule="exact"/>
        <w:ind w:left="340"/>
      </w:pPr>
      <w:r w:rsidRPr="00283806">
        <w:rPr>
          <w:w w:val="105"/>
        </w:rPr>
        <w:t>Authorized</w:t>
      </w:r>
      <w:r w:rsidRPr="00283806">
        <w:rPr>
          <w:spacing w:val="5"/>
          <w:w w:val="105"/>
        </w:rPr>
        <w:t xml:space="preserve"> </w:t>
      </w:r>
      <w:r w:rsidRPr="00283806">
        <w:rPr>
          <w:w w:val="105"/>
        </w:rPr>
        <w:t>states</w:t>
      </w:r>
      <w:r w:rsidRPr="00283806">
        <w:rPr>
          <w:spacing w:val="6"/>
          <w:w w:val="105"/>
        </w:rPr>
        <w:t xml:space="preserve"> </w:t>
      </w:r>
      <w:r w:rsidRPr="00283806">
        <w:rPr>
          <w:w w:val="105"/>
        </w:rPr>
        <w:t>are</w:t>
      </w:r>
      <w:r w:rsidRPr="00283806">
        <w:rPr>
          <w:spacing w:val="6"/>
          <w:w w:val="105"/>
        </w:rPr>
        <w:t xml:space="preserve"> </w:t>
      </w:r>
      <w:r w:rsidRPr="00283806">
        <w:rPr>
          <w:w w:val="105"/>
        </w:rPr>
        <w:t>required</w:t>
      </w:r>
      <w:r w:rsidRPr="00283806">
        <w:rPr>
          <w:spacing w:val="5"/>
          <w:w w:val="105"/>
        </w:rPr>
        <w:t xml:space="preserve"> </w:t>
      </w:r>
      <w:r w:rsidRPr="00283806">
        <w:rPr>
          <w:spacing w:val="-5"/>
          <w:w w:val="105"/>
        </w:rPr>
        <w:t>to</w:t>
      </w:r>
    </w:p>
    <w:p w14:paraId="5EAB818E" w14:textId="77777777" w:rsidR="00D67C1E" w:rsidRPr="00283806" w:rsidRDefault="001265CA">
      <w:pPr>
        <w:pStyle w:val="BodyText"/>
        <w:spacing w:before="4" w:line="225" w:lineRule="auto"/>
        <w:ind w:right="54"/>
      </w:pPr>
      <w:r w:rsidRPr="00283806">
        <w:rPr>
          <w:w w:val="105"/>
        </w:rPr>
        <w:t>modify their programs when EPA promulgates</w:t>
      </w:r>
      <w:r w:rsidRPr="00283806">
        <w:rPr>
          <w:spacing w:val="-8"/>
          <w:w w:val="105"/>
        </w:rPr>
        <w:t xml:space="preserve"> </w:t>
      </w:r>
      <w:r w:rsidRPr="00283806">
        <w:rPr>
          <w:w w:val="105"/>
        </w:rPr>
        <w:t>Federal</w:t>
      </w:r>
      <w:r w:rsidRPr="00283806">
        <w:rPr>
          <w:spacing w:val="-8"/>
          <w:w w:val="105"/>
        </w:rPr>
        <w:t xml:space="preserve"> </w:t>
      </w:r>
      <w:r w:rsidRPr="00283806">
        <w:rPr>
          <w:w w:val="105"/>
        </w:rPr>
        <w:t>requirements</w:t>
      </w:r>
      <w:r w:rsidRPr="00283806">
        <w:rPr>
          <w:spacing w:val="-8"/>
          <w:w w:val="105"/>
        </w:rPr>
        <w:t xml:space="preserve"> </w:t>
      </w:r>
      <w:r w:rsidRPr="00283806">
        <w:rPr>
          <w:w w:val="105"/>
        </w:rPr>
        <w:t>that are more stringent or broader in scope than existing Federal requirements.</w:t>
      </w:r>
    </w:p>
    <w:p w14:paraId="74961640" w14:textId="77777777" w:rsidR="00D67C1E" w:rsidRPr="00283806" w:rsidRDefault="001265CA">
      <w:pPr>
        <w:pStyle w:val="BodyText"/>
        <w:spacing w:line="225" w:lineRule="auto"/>
        <w:ind w:right="54"/>
      </w:pPr>
      <w:r w:rsidRPr="00283806">
        <w:rPr>
          <w:w w:val="105"/>
        </w:rPr>
        <w:t xml:space="preserve">RCRA section 3009 allows the States to impose standards more stringent than those in the Federal program (see also 40 CFR 271.1). If EPA promulgates a </w:t>
      </w:r>
      <w:proofErr w:type="gramStart"/>
      <w:r w:rsidRPr="00283806">
        <w:rPr>
          <w:w w:val="105"/>
        </w:rPr>
        <w:t>Federal</w:t>
      </w:r>
      <w:proofErr w:type="gramEnd"/>
      <w:r w:rsidRPr="00283806">
        <w:rPr>
          <w:w w:val="105"/>
        </w:rPr>
        <w:t xml:space="preserve"> requirement that is less stringent or narrower in scope than an existing requirement or of equivalent stringency, authorized States may, but are not required to, adopt a new equivalent requirement regardless of </w:t>
      </w:r>
      <w:proofErr w:type="gramStart"/>
      <w:r w:rsidRPr="00283806">
        <w:rPr>
          <w:w w:val="105"/>
        </w:rPr>
        <w:t>whether or not</w:t>
      </w:r>
      <w:proofErr w:type="gramEnd"/>
      <w:r w:rsidRPr="00283806">
        <w:rPr>
          <w:w w:val="105"/>
        </w:rPr>
        <w:t xml:space="preserve"> it is promulgated under HSWA authority.</w:t>
      </w:r>
    </w:p>
    <w:p w14:paraId="3CE08425" w14:textId="77777777" w:rsidR="00D67C1E" w:rsidRPr="00283806" w:rsidRDefault="001265CA">
      <w:pPr>
        <w:pStyle w:val="ListParagraph"/>
        <w:numPr>
          <w:ilvl w:val="0"/>
          <w:numId w:val="46"/>
        </w:numPr>
        <w:tabs>
          <w:tab w:val="left" w:pos="358"/>
        </w:tabs>
        <w:spacing w:before="82"/>
        <w:ind w:left="358" w:hanging="198"/>
        <w:rPr>
          <w:sz w:val="18"/>
        </w:rPr>
      </w:pPr>
      <w:r w:rsidRPr="00283806">
        <w:rPr>
          <w:w w:val="105"/>
          <w:sz w:val="18"/>
        </w:rPr>
        <w:t>Effect</w:t>
      </w:r>
      <w:r w:rsidRPr="00283806">
        <w:rPr>
          <w:spacing w:val="9"/>
          <w:w w:val="105"/>
          <w:sz w:val="18"/>
        </w:rPr>
        <w:t xml:space="preserve"> </w:t>
      </w:r>
      <w:r w:rsidRPr="00283806">
        <w:rPr>
          <w:w w:val="105"/>
          <w:sz w:val="18"/>
        </w:rPr>
        <w:t>on</w:t>
      </w:r>
      <w:r w:rsidRPr="00283806">
        <w:rPr>
          <w:spacing w:val="10"/>
          <w:w w:val="105"/>
          <w:sz w:val="18"/>
        </w:rPr>
        <w:t xml:space="preserve"> </w:t>
      </w:r>
      <w:r w:rsidRPr="00283806">
        <w:rPr>
          <w:w w:val="105"/>
          <w:sz w:val="18"/>
        </w:rPr>
        <w:t>State</w:t>
      </w:r>
      <w:r w:rsidRPr="00283806">
        <w:rPr>
          <w:spacing w:val="10"/>
          <w:w w:val="105"/>
          <w:sz w:val="18"/>
        </w:rPr>
        <w:t xml:space="preserve"> </w:t>
      </w:r>
      <w:r w:rsidRPr="00283806">
        <w:rPr>
          <w:spacing w:val="-2"/>
          <w:w w:val="105"/>
          <w:sz w:val="18"/>
        </w:rPr>
        <w:t>Authorization</w:t>
      </w:r>
    </w:p>
    <w:p w14:paraId="0C3A52B1" w14:textId="77777777" w:rsidR="00D67C1E" w:rsidRPr="00283806" w:rsidRDefault="001265CA">
      <w:pPr>
        <w:pStyle w:val="BodyText"/>
        <w:spacing w:before="63" w:line="225" w:lineRule="auto"/>
        <w:ind w:right="71" w:firstLine="180"/>
      </w:pPr>
      <w:r w:rsidRPr="00283806">
        <w:rPr>
          <w:w w:val="105"/>
        </w:rPr>
        <w:t>The RCRA regulations described in</w:t>
      </w:r>
      <w:r w:rsidRPr="00283806">
        <w:rPr>
          <w:spacing w:val="80"/>
          <w:w w:val="105"/>
        </w:rPr>
        <w:t xml:space="preserve"> </w:t>
      </w:r>
      <w:r w:rsidRPr="00283806">
        <w:rPr>
          <w:w w:val="105"/>
        </w:rPr>
        <w:t>this final rule are promulgated under</w:t>
      </w:r>
      <w:r w:rsidRPr="00283806">
        <w:rPr>
          <w:spacing w:val="80"/>
          <w:w w:val="105"/>
        </w:rPr>
        <w:t xml:space="preserve"> </w:t>
      </w:r>
      <w:r w:rsidRPr="00283806">
        <w:rPr>
          <w:w w:val="105"/>
        </w:rPr>
        <w:t>the authority of HSWA and are more stringent than the existing Federal regulations. Thus, the standards will be applicable on the rule’s effective date in all States and will be implemented and enforced by EPA until the States receive authorization. These RCRA regulations add a new subpart, Q, to 40 CFR part</w:t>
      </w:r>
      <w:r w:rsidRPr="00283806">
        <w:rPr>
          <w:spacing w:val="40"/>
          <w:w w:val="105"/>
        </w:rPr>
        <w:t xml:space="preserve"> </w:t>
      </w:r>
      <w:r w:rsidRPr="00283806">
        <w:rPr>
          <w:w w:val="105"/>
        </w:rPr>
        <w:t xml:space="preserve">266, </w:t>
      </w:r>
      <w:r w:rsidRPr="00283806">
        <w:rPr>
          <w:rFonts w:ascii="Book Antiqua" w:hAnsi="Book Antiqua"/>
          <w:i/>
          <w:w w:val="105"/>
        </w:rPr>
        <w:t>Standards for the Management of</w:t>
      </w:r>
      <w:r w:rsidRPr="00283806">
        <w:rPr>
          <w:rFonts w:ascii="Book Antiqua" w:hAnsi="Book Antiqua"/>
          <w:i/>
          <w:spacing w:val="40"/>
          <w:w w:val="105"/>
        </w:rPr>
        <w:t xml:space="preserve"> </w:t>
      </w:r>
      <w:r w:rsidRPr="00283806">
        <w:rPr>
          <w:rFonts w:ascii="Book Antiqua" w:hAnsi="Book Antiqua"/>
          <w:i/>
          <w:w w:val="105"/>
        </w:rPr>
        <w:t>Specific Hazardous Wastes and Specific</w:t>
      </w:r>
      <w:r w:rsidRPr="00283806">
        <w:rPr>
          <w:rFonts w:ascii="Book Antiqua" w:hAnsi="Book Antiqua"/>
          <w:i/>
          <w:spacing w:val="80"/>
          <w:w w:val="105"/>
        </w:rPr>
        <w:t xml:space="preserve"> </w:t>
      </w:r>
      <w:r w:rsidRPr="00283806">
        <w:rPr>
          <w:rFonts w:ascii="Book Antiqua" w:hAnsi="Book Antiqua"/>
          <w:i/>
          <w:w w:val="105"/>
        </w:rPr>
        <w:t>Types of Hazardous Waste Management</w:t>
      </w:r>
      <w:r w:rsidRPr="00283806">
        <w:rPr>
          <w:rFonts w:ascii="Book Antiqua" w:hAnsi="Book Antiqua"/>
          <w:i/>
          <w:spacing w:val="40"/>
          <w:w w:val="105"/>
        </w:rPr>
        <w:t xml:space="preserve"> </w:t>
      </w:r>
      <w:r w:rsidRPr="00283806">
        <w:rPr>
          <w:rFonts w:ascii="Book Antiqua" w:hAnsi="Book Antiqua"/>
          <w:i/>
          <w:w w:val="105"/>
        </w:rPr>
        <w:t>Facilities</w:t>
      </w:r>
      <w:r w:rsidRPr="00283806">
        <w:rPr>
          <w:w w:val="105"/>
        </w:rPr>
        <w:t>, and are being finalized under the authority of HSWA due to their purpose of reducing air emissions from the management of ignitable spent refrigerants, in accordance with EPA’s mandate to control air emissions from hazardous waste management, as may</w:t>
      </w:r>
      <w:r w:rsidRPr="00283806">
        <w:rPr>
          <w:spacing w:val="40"/>
          <w:w w:val="105"/>
        </w:rPr>
        <w:t xml:space="preserve"> </w:t>
      </w:r>
      <w:r w:rsidRPr="00283806">
        <w:rPr>
          <w:w w:val="105"/>
        </w:rPr>
        <w:t>be necessary to protect human health and the environment, per RCRA section 3004(n), which was promulgated under HSWA. In addition, the changes to the VSQG Regulations in 40 CFR 262.14 are being promulgated under RCRA section 3001(d)(4), also a HSWA provision.</w:t>
      </w:r>
    </w:p>
    <w:p w14:paraId="3482FC36" w14:textId="77777777" w:rsidR="00D67C1E" w:rsidRPr="00283806" w:rsidRDefault="001265CA">
      <w:pPr>
        <w:pStyle w:val="BodyText"/>
        <w:spacing w:line="162" w:lineRule="exact"/>
        <w:ind w:left="340"/>
      </w:pPr>
      <w:r w:rsidRPr="00283806">
        <w:rPr>
          <w:w w:val="105"/>
        </w:rPr>
        <w:t>The</w:t>
      </w:r>
      <w:r w:rsidRPr="00283806">
        <w:rPr>
          <w:spacing w:val="16"/>
          <w:w w:val="105"/>
        </w:rPr>
        <w:t xml:space="preserve"> </w:t>
      </w:r>
      <w:r w:rsidRPr="00283806">
        <w:rPr>
          <w:w w:val="105"/>
        </w:rPr>
        <w:t>final</w:t>
      </w:r>
      <w:r w:rsidRPr="00283806">
        <w:rPr>
          <w:spacing w:val="17"/>
          <w:w w:val="105"/>
        </w:rPr>
        <w:t xml:space="preserve"> </w:t>
      </w:r>
      <w:r w:rsidRPr="00283806">
        <w:rPr>
          <w:w w:val="105"/>
        </w:rPr>
        <w:t>alternative</w:t>
      </w:r>
      <w:r w:rsidRPr="00283806">
        <w:rPr>
          <w:spacing w:val="17"/>
          <w:w w:val="105"/>
        </w:rPr>
        <w:t xml:space="preserve"> </w:t>
      </w:r>
      <w:r w:rsidRPr="00283806">
        <w:rPr>
          <w:spacing w:val="-2"/>
          <w:w w:val="105"/>
        </w:rPr>
        <w:t>standard</w:t>
      </w:r>
    </w:p>
    <w:p w14:paraId="20126807" w14:textId="77777777" w:rsidR="00D67C1E" w:rsidRPr="00283806" w:rsidRDefault="001265CA">
      <w:pPr>
        <w:pStyle w:val="BodyText"/>
        <w:spacing w:before="3" w:line="228" w:lineRule="auto"/>
      </w:pPr>
      <w:r w:rsidRPr="00283806">
        <w:rPr>
          <w:w w:val="105"/>
        </w:rPr>
        <w:t>establishes a ‘‘cradle-to-cradle’’ management system for ignitable spent refrigerants</w:t>
      </w:r>
      <w:r w:rsidRPr="00283806">
        <w:rPr>
          <w:spacing w:val="-2"/>
          <w:w w:val="105"/>
        </w:rPr>
        <w:t xml:space="preserve"> </w:t>
      </w:r>
      <w:r w:rsidRPr="00283806">
        <w:rPr>
          <w:w w:val="105"/>
        </w:rPr>
        <w:t>being</w:t>
      </w:r>
      <w:r w:rsidRPr="00283806">
        <w:rPr>
          <w:spacing w:val="-2"/>
          <w:w w:val="105"/>
        </w:rPr>
        <w:t xml:space="preserve"> </w:t>
      </w:r>
      <w:r w:rsidRPr="00283806">
        <w:rPr>
          <w:w w:val="105"/>
        </w:rPr>
        <w:t>recycled</w:t>
      </w:r>
      <w:r w:rsidRPr="00283806">
        <w:rPr>
          <w:spacing w:val="-2"/>
          <w:w w:val="105"/>
        </w:rPr>
        <w:t xml:space="preserve"> </w:t>
      </w:r>
      <w:r w:rsidRPr="00283806">
        <w:rPr>
          <w:w w:val="105"/>
        </w:rPr>
        <w:t>for</w:t>
      </w:r>
      <w:r w:rsidRPr="00283806">
        <w:rPr>
          <w:spacing w:val="-2"/>
          <w:w w:val="105"/>
        </w:rPr>
        <w:t xml:space="preserve"> </w:t>
      </w:r>
      <w:r w:rsidRPr="00283806">
        <w:rPr>
          <w:w w:val="105"/>
        </w:rPr>
        <w:t>reuse</w:t>
      </w:r>
      <w:r w:rsidRPr="00283806">
        <w:rPr>
          <w:spacing w:val="-2"/>
          <w:w w:val="105"/>
        </w:rPr>
        <w:t xml:space="preserve"> </w:t>
      </w:r>
      <w:r w:rsidRPr="00283806">
        <w:rPr>
          <w:w w:val="105"/>
        </w:rPr>
        <w:t>and includes requirements that are more stringent than the current applicable RCRA recycling requirements in 40 CFR 261.6(c), which exempts the recycling process itself from RCRA regulation.</w:t>
      </w:r>
    </w:p>
    <w:p w14:paraId="7D2DA829" w14:textId="77777777" w:rsidR="00D67C1E" w:rsidRPr="00283806" w:rsidRDefault="001265CA">
      <w:pPr>
        <w:pStyle w:val="BodyText"/>
        <w:spacing w:before="134" w:line="228" w:lineRule="auto"/>
        <w:ind w:right="53"/>
      </w:pPr>
      <w:r w:rsidRPr="00283806">
        <w:br w:type="column"/>
      </w:r>
      <w:r w:rsidRPr="00283806">
        <w:rPr>
          <w:w w:val="105"/>
        </w:rPr>
        <w:t>This final management system includes the requirement that refrigerant be recovered and/or recycled for reuse in appliances by the same owner using equipment that is certified for that type</w:t>
      </w:r>
      <w:r w:rsidRPr="00283806">
        <w:rPr>
          <w:spacing w:val="40"/>
          <w:w w:val="105"/>
        </w:rPr>
        <w:t xml:space="preserve"> </w:t>
      </w:r>
      <w:r w:rsidRPr="00283806">
        <w:rPr>
          <w:w w:val="105"/>
        </w:rPr>
        <w:t>of refrigerant and appliance under 40 CFR 82.36 or 82.158, and that the recovered refrigerant be sent off-site to be recycled for reuse at a facility</w:t>
      </w:r>
      <w:r w:rsidRPr="00283806">
        <w:rPr>
          <w:spacing w:val="80"/>
          <w:w w:val="105"/>
        </w:rPr>
        <w:t xml:space="preserve"> </w:t>
      </w:r>
      <w:r w:rsidRPr="00283806">
        <w:rPr>
          <w:w w:val="105"/>
        </w:rPr>
        <w:t xml:space="preserve">certified by EPA under 40 CFR 82.164. </w:t>
      </w:r>
      <w:proofErr w:type="gramStart"/>
      <w:r w:rsidRPr="00283806">
        <w:rPr>
          <w:w w:val="105"/>
        </w:rPr>
        <w:t>Both of these</w:t>
      </w:r>
      <w:proofErr w:type="gramEnd"/>
      <w:r w:rsidRPr="00283806">
        <w:rPr>
          <w:w w:val="105"/>
        </w:rPr>
        <w:t xml:space="preserve"> provisions are more stringent than the existing RCRA recycling requirements. In addition, the revisions to the VSQG regulations in 40 CFR</w:t>
      </w:r>
      <w:r w:rsidRPr="00283806">
        <w:rPr>
          <w:spacing w:val="40"/>
          <w:w w:val="105"/>
        </w:rPr>
        <w:t xml:space="preserve"> </w:t>
      </w:r>
      <w:r w:rsidRPr="00283806">
        <w:rPr>
          <w:w w:val="105"/>
        </w:rPr>
        <w:t>262.14</w:t>
      </w:r>
      <w:r w:rsidRPr="00283806">
        <w:rPr>
          <w:spacing w:val="40"/>
          <w:w w:val="105"/>
        </w:rPr>
        <w:t xml:space="preserve"> </w:t>
      </w:r>
      <w:r w:rsidRPr="00283806">
        <w:rPr>
          <w:w w:val="105"/>
        </w:rPr>
        <w:t>specify</w:t>
      </w:r>
      <w:r w:rsidRPr="00283806">
        <w:rPr>
          <w:spacing w:val="40"/>
          <w:w w:val="105"/>
        </w:rPr>
        <w:t xml:space="preserve"> </w:t>
      </w:r>
      <w:r w:rsidRPr="00283806">
        <w:rPr>
          <w:w w:val="105"/>
        </w:rPr>
        <w:t>that</w:t>
      </w:r>
      <w:r w:rsidRPr="00283806">
        <w:rPr>
          <w:spacing w:val="40"/>
          <w:w w:val="105"/>
        </w:rPr>
        <w:t xml:space="preserve"> </w:t>
      </w:r>
      <w:r w:rsidRPr="00283806">
        <w:rPr>
          <w:w w:val="105"/>
        </w:rPr>
        <w:t>VSQGs’</w:t>
      </w:r>
      <w:r w:rsidRPr="00283806">
        <w:rPr>
          <w:spacing w:val="40"/>
          <w:w w:val="105"/>
        </w:rPr>
        <w:t xml:space="preserve"> </w:t>
      </w:r>
      <w:r w:rsidRPr="00283806">
        <w:rPr>
          <w:w w:val="105"/>
        </w:rPr>
        <w:t>ability to send ignitable spent refrigerant for recycling for reuse is limited to facilities that meet EPA’s certification requirements in 40 CFR 82.164 and are more stringent than the current</w:t>
      </w:r>
      <w:r w:rsidRPr="00283806">
        <w:rPr>
          <w:spacing w:val="40"/>
          <w:w w:val="105"/>
        </w:rPr>
        <w:t xml:space="preserve"> </w:t>
      </w:r>
      <w:r w:rsidRPr="00283806">
        <w:rPr>
          <w:w w:val="105"/>
        </w:rPr>
        <w:t>standard. These certifications in 40 CFR</w:t>
      </w:r>
    </w:p>
    <w:p w14:paraId="5B992202" w14:textId="77777777" w:rsidR="00D67C1E" w:rsidRPr="00283806" w:rsidRDefault="001265CA">
      <w:pPr>
        <w:pStyle w:val="BodyText"/>
        <w:spacing w:line="228" w:lineRule="auto"/>
      </w:pPr>
      <w:r w:rsidRPr="00283806">
        <w:rPr>
          <w:w w:val="105"/>
        </w:rPr>
        <w:t xml:space="preserve">82.164 </w:t>
      </w:r>
      <w:proofErr w:type="gramStart"/>
      <w:r w:rsidRPr="00283806">
        <w:rPr>
          <w:w w:val="105"/>
        </w:rPr>
        <w:t>involve</w:t>
      </w:r>
      <w:proofErr w:type="gramEnd"/>
      <w:r w:rsidRPr="00283806">
        <w:rPr>
          <w:w w:val="105"/>
        </w:rPr>
        <w:t xml:space="preserve"> </w:t>
      </w:r>
      <w:proofErr w:type="gramStart"/>
      <w:r w:rsidRPr="00283806">
        <w:rPr>
          <w:w w:val="105"/>
        </w:rPr>
        <w:t>a number of</w:t>
      </w:r>
      <w:proofErr w:type="gramEnd"/>
      <w:r w:rsidRPr="00283806">
        <w:rPr>
          <w:spacing w:val="80"/>
          <w:w w:val="105"/>
        </w:rPr>
        <w:t xml:space="preserve"> </w:t>
      </w:r>
      <w:r w:rsidRPr="00283806">
        <w:rPr>
          <w:w w:val="105"/>
        </w:rPr>
        <w:t>requirements for reclamation that are more stringent than those under the RCRA hazardous waste program, including an explicit limit of no more</w:t>
      </w:r>
      <w:r w:rsidRPr="00283806">
        <w:rPr>
          <w:spacing w:val="40"/>
          <w:w w:val="105"/>
        </w:rPr>
        <w:t xml:space="preserve"> </w:t>
      </w:r>
      <w:r w:rsidRPr="00283806">
        <w:rPr>
          <w:w w:val="105"/>
        </w:rPr>
        <w:t>than 1.5 percent of the refrigerant released during the reclamation process (see 40 CFR 82.164(a)(3)). In addition, these certified reclaimers must follow recordkeeping and reporting requirements per 40 CFR 82.164(d), including (1) maintaining records of the names and addresses of persons sending them material for reclamation and the quantity of the material (the combined mass of refrigerant and contaminants) sent to them for reclamation and (2) reporting annually the quantity of material sent to them for reclamation by refrigerant type, the mass of refrigerant reclaimed by refrigerant type, and the mass of waste products. Finally, EPA- certified refrigerant reclaimers must verify that each batch of reclaimed refrigerant meets the specifications in</w:t>
      </w:r>
      <w:r w:rsidRPr="00283806">
        <w:rPr>
          <w:spacing w:val="40"/>
          <w:w w:val="105"/>
        </w:rPr>
        <w:t xml:space="preserve"> </w:t>
      </w:r>
      <w:r w:rsidRPr="00283806">
        <w:rPr>
          <w:w w:val="105"/>
        </w:rPr>
        <w:t>the regulations (40 CFR 82.164(a)(2)), which helps ensure that the reclamation process is legitimate recycling under the RCRA regulations. These alternative standards are designed to function as a system that is better tailored to the reclamation of ignitable spent refrigerants</w:t>
      </w:r>
      <w:r w:rsidRPr="00283806">
        <w:rPr>
          <w:spacing w:val="-1"/>
          <w:w w:val="105"/>
        </w:rPr>
        <w:t xml:space="preserve"> </w:t>
      </w:r>
      <w:r w:rsidRPr="00283806">
        <w:rPr>
          <w:w w:val="105"/>
        </w:rPr>
        <w:t>than</w:t>
      </w:r>
      <w:r w:rsidRPr="00283806">
        <w:rPr>
          <w:spacing w:val="-1"/>
          <w:w w:val="105"/>
        </w:rPr>
        <w:t xml:space="preserve"> </w:t>
      </w:r>
      <w:r w:rsidRPr="00283806">
        <w:rPr>
          <w:w w:val="105"/>
        </w:rPr>
        <w:t>the</w:t>
      </w:r>
      <w:r w:rsidRPr="00283806">
        <w:rPr>
          <w:spacing w:val="-1"/>
          <w:w w:val="105"/>
        </w:rPr>
        <w:t xml:space="preserve"> </w:t>
      </w:r>
      <w:r w:rsidRPr="00283806">
        <w:rPr>
          <w:w w:val="105"/>
        </w:rPr>
        <w:t>RCRA</w:t>
      </w:r>
      <w:r w:rsidRPr="00283806">
        <w:rPr>
          <w:spacing w:val="-1"/>
          <w:w w:val="105"/>
        </w:rPr>
        <w:t xml:space="preserve"> </w:t>
      </w:r>
      <w:r w:rsidRPr="00283806">
        <w:rPr>
          <w:w w:val="105"/>
        </w:rPr>
        <w:t>requirements in 40 CFR 262–270, and when</w:t>
      </w:r>
      <w:r w:rsidRPr="00283806">
        <w:rPr>
          <w:spacing w:val="80"/>
          <w:w w:val="105"/>
        </w:rPr>
        <w:t xml:space="preserve"> </w:t>
      </w:r>
      <w:r w:rsidRPr="00283806">
        <w:rPr>
          <w:w w:val="105"/>
        </w:rPr>
        <w:t xml:space="preserve">considered </w:t>
      </w:r>
      <w:proofErr w:type="gramStart"/>
      <w:r w:rsidRPr="00283806">
        <w:rPr>
          <w:w w:val="105"/>
        </w:rPr>
        <w:t>as a whole are</w:t>
      </w:r>
      <w:proofErr w:type="gramEnd"/>
      <w:r w:rsidRPr="00283806">
        <w:rPr>
          <w:w w:val="105"/>
        </w:rPr>
        <w:t xml:space="preserve"> more</w:t>
      </w:r>
      <w:r w:rsidRPr="00283806">
        <w:rPr>
          <w:spacing w:val="80"/>
          <w:w w:val="105"/>
        </w:rPr>
        <w:t xml:space="preserve"> </w:t>
      </w:r>
      <w:r w:rsidRPr="00283806">
        <w:rPr>
          <w:w w:val="105"/>
        </w:rPr>
        <w:t xml:space="preserve">stringent when compared to the previously applicable RCRA recycling </w:t>
      </w:r>
      <w:r w:rsidRPr="00283806">
        <w:rPr>
          <w:spacing w:val="-2"/>
          <w:w w:val="105"/>
        </w:rPr>
        <w:t>requirements.</w:t>
      </w:r>
    </w:p>
    <w:p w14:paraId="1CBA7CF9" w14:textId="77777777" w:rsidR="00D67C1E" w:rsidRPr="00283806" w:rsidRDefault="001265CA">
      <w:pPr>
        <w:pStyle w:val="BodyText"/>
        <w:spacing w:before="10" w:line="228" w:lineRule="auto"/>
        <w:ind w:right="68" w:firstLine="180"/>
      </w:pPr>
      <w:r w:rsidRPr="00283806">
        <w:rPr>
          <w:w w:val="105"/>
        </w:rPr>
        <w:t>Moreover, as stated above, authorized States are required to modify their programs when EPA promulgates Federal regulations that are more stringent or broader in scope than the authorized State regulations. Because</w:t>
      </w:r>
      <w:r w:rsidRPr="00283806">
        <w:rPr>
          <w:spacing w:val="40"/>
          <w:w w:val="105"/>
        </w:rPr>
        <w:t xml:space="preserve"> </w:t>
      </w:r>
      <w:r w:rsidRPr="00283806">
        <w:rPr>
          <w:w w:val="105"/>
        </w:rPr>
        <w:t xml:space="preserve">the revisions in this rule </w:t>
      </w:r>
      <w:proofErr w:type="gramStart"/>
      <w:r w:rsidRPr="00283806">
        <w:rPr>
          <w:w w:val="105"/>
        </w:rPr>
        <w:t>are considered to be</w:t>
      </w:r>
      <w:proofErr w:type="gramEnd"/>
      <w:r w:rsidRPr="00283806">
        <w:rPr>
          <w:w w:val="105"/>
        </w:rPr>
        <w:t xml:space="preserve"> more stringent than the existing Federal requirements, authorized States</w:t>
      </w:r>
    </w:p>
    <w:p w14:paraId="3959128E" w14:textId="77777777" w:rsidR="00D67C1E" w:rsidRPr="00283806" w:rsidRDefault="001265CA">
      <w:pPr>
        <w:pStyle w:val="BodyText"/>
        <w:spacing w:before="134" w:line="225" w:lineRule="auto"/>
        <w:ind w:left="143"/>
      </w:pPr>
      <w:r w:rsidRPr="00283806">
        <w:br w:type="column"/>
      </w:r>
      <w:r w:rsidRPr="00283806">
        <w:rPr>
          <w:w w:val="105"/>
        </w:rPr>
        <w:t>must modify their programs to adopt regulations equivalent to the provisions contained in this final RCRA rule.</w:t>
      </w:r>
    </w:p>
    <w:p w14:paraId="2929B0F9" w14:textId="77777777" w:rsidR="00D67C1E" w:rsidRPr="00283806" w:rsidRDefault="001265CA">
      <w:pPr>
        <w:spacing w:before="106" w:line="218" w:lineRule="auto"/>
        <w:ind w:left="143" w:right="132"/>
        <w:rPr>
          <w:rFonts w:ascii="Book Antiqua"/>
          <w:i/>
          <w:sz w:val="18"/>
        </w:rPr>
      </w:pPr>
      <w:r w:rsidRPr="00283806">
        <w:rPr>
          <w:rFonts w:ascii="Book Antiqua"/>
          <w:i/>
          <w:w w:val="110"/>
          <w:sz w:val="18"/>
        </w:rPr>
        <w:t>I.</w:t>
      </w:r>
      <w:r w:rsidRPr="00283806">
        <w:rPr>
          <w:rFonts w:ascii="Book Antiqua"/>
          <w:i/>
          <w:spacing w:val="-2"/>
          <w:w w:val="110"/>
          <w:sz w:val="18"/>
        </w:rPr>
        <w:t xml:space="preserve"> </w:t>
      </w:r>
      <w:r w:rsidRPr="00283806">
        <w:rPr>
          <w:rFonts w:ascii="Book Antiqua"/>
          <w:i/>
          <w:w w:val="110"/>
          <w:sz w:val="18"/>
        </w:rPr>
        <w:t>MVAC</w:t>
      </w:r>
      <w:r w:rsidRPr="00283806">
        <w:rPr>
          <w:rFonts w:ascii="Book Antiqua"/>
          <w:i/>
          <w:spacing w:val="-2"/>
          <w:w w:val="110"/>
          <w:sz w:val="18"/>
        </w:rPr>
        <w:t xml:space="preserve"> </w:t>
      </w:r>
      <w:r w:rsidRPr="00283806">
        <w:rPr>
          <w:rFonts w:ascii="Book Antiqua"/>
          <w:i/>
          <w:w w:val="110"/>
          <w:sz w:val="18"/>
        </w:rPr>
        <w:t>Servicing</w:t>
      </w:r>
      <w:r w:rsidRPr="00283806">
        <w:rPr>
          <w:rFonts w:ascii="Book Antiqua"/>
          <w:i/>
          <w:spacing w:val="-2"/>
          <w:w w:val="110"/>
          <w:sz w:val="18"/>
        </w:rPr>
        <w:t xml:space="preserve"> </w:t>
      </w:r>
      <w:r w:rsidRPr="00283806">
        <w:rPr>
          <w:rFonts w:ascii="Book Antiqua"/>
          <w:i/>
          <w:w w:val="110"/>
          <w:sz w:val="18"/>
        </w:rPr>
        <w:t>and</w:t>
      </w:r>
      <w:r w:rsidRPr="00283806">
        <w:rPr>
          <w:rFonts w:ascii="Book Antiqua"/>
          <w:i/>
          <w:spacing w:val="-2"/>
          <w:w w:val="110"/>
          <w:sz w:val="18"/>
        </w:rPr>
        <w:t xml:space="preserve"> </w:t>
      </w:r>
      <w:r w:rsidRPr="00283806">
        <w:rPr>
          <w:rFonts w:ascii="Book Antiqua"/>
          <w:i/>
          <w:w w:val="110"/>
          <w:sz w:val="18"/>
        </w:rPr>
        <w:t xml:space="preserve">Reprocessed </w:t>
      </w:r>
      <w:r w:rsidRPr="00283806">
        <w:rPr>
          <w:rFonts w:ascii="Book Antiqua"/>
          <w:i/>
          <w:spacing w:val="-2"/>
          <w:w w:val="110"/>
          <w:sz w:val="18"/>
        </w:rPr>
        <w:t>Material</w:t>
      </w:r>
    </w:p>
    <w:p w14:paraId="3F76FCB3" w14:textId="77777777" w:rsidR="00D67C1E" w:rsidRPr="00283806" w:rsidRDefault="001265CA">
      <w:pPr>
        <w:pStyle w:val="BodyText"/>
        <w:spacing w:before="58" w:line="225" w:lineRule="auto"/>
        <w:ind w:left="143" w:right="122" w:firstLine="180"/>
      </w:pPr>
      <w:r w:rsidRPr="00283806">
        <w:rPr>
          <w:w w:val="105"/>
        </w:rPr>
        <w:t xml:space="preserve">EPA did not </w:t>
      </w:r>
      <w:proofErr w:type="gramStart"/>
      <w:r w:rsidRPr="00283806">
        <w:rPr>
          <w:w w:val="105"/>
        </w:rPr>
        <w:t>propose, and</w:t>
      </w:r>
      <w:proofErr w:type="gramEnd"/>
      <w:r w:rsidRPr="00283806">
        <w:rPr>
          <w:w w:val="105"/>
        </w:rPr>
        <w:t xml:space="preserve"> therefore is not establishing requirements focused</w:t>
      </w:r>
      <w:r w:rsidRPr="00283806">
        <w:rPr>
          <w:spacing w:val="80"/>
          <w:w w:val="105"/>
        </w:rPr>
        <w:t xml:space="preserve"> </w:t>
      </w:r>
      <w:r w:rsidRPr="00283806">
        <w:rPr>
          <w:w w:val="105"/>
        </w:rPr>
        <w:t>on implementing subsection (h)(2)(B)</w:t>
      </w:r>
      <w:r w:rsidRPr="00283806">
        <w:rPr>
          <w:spacing w:val="40"/>
          <w:w w:val="105"/>
        </w:rPr>
        <w:t xml:space="preserve"> </w:t>
      </w:r>
      <w:r w:rsidRPr="00283806">
        <w:rPr>
          <w:w w:val="105"/>
        </w:rPr>
        <w:t>for MVAC servicing facilities that currently reclaim or recycle recovered MVAC refrigerant in this action. As</w:t>
      </w:r>
      <w:r w:rsidRPr="00283806">
        <w:rPr>
          <w:spacing w:val="80"/>
          <w:w w:val="105"/>
        </w:rPr>
        <w:t xml:space="preserve"> </w:t>
      </w:r>
      <w:r w:rsidRPr="00283806">
        <w:rPr>
          <w:w w:val="105"/>
        </w:rPr>
        <w:t xml:space="preserve">stated </w:t>
      </w:r>
      <w:proofErr w:type="gramStart"/>
      <w:r w:rsidRPr="00283806">
        <w:rPr>
          <w:w w:val="105"/>
        </w:rPr>
        <w:t>at proposal</w:t>
      </w:r>
      <w:proofErr w:type="gramEnd"/>
      <w:r w:rsidRPr="00283806">
        <w:rPr>
          <w:w w:val="105"/>
        </w:rPr>
        <w:t>, EPA understands that under current industry practices, a variety of things might occur once refrigerant has been recovered from an MVAC system. For example, in some situations, MVAC servicing facilities recover refrigerant from the MVAC, recycle it consistent with EPA’s regulations under CAA section 609, and return the recycled refrigerant to the same MVAC for continued use by the same owner.</w:t>
      </w:r>
      <w:r w:rsidRPr="00283806">
        <w:rPr>
          <w:w w:val="105"/>
          <w:position w:val="5"/>
          <w:sz w:val="11"/>
        </w:rPr>
        <w:t>153</w:t>
      </w:r>
      <w:r w:rsidRPr="00283806">
        <w:rPr>
          <w:spacing w:val="40"/>
          <w:w w:val="105"/>
          <w:position w:val="5"/>
          <w:sz w:val="11"/>
        </w:rPr>
        <w:t xml:space="preserve"> </w:t>
      </w:r>
      <w:r w:rsidRPr="00283806">
        <w:rPr>
          <w:w w:val="105"/>
        </w:rPr>
        <w:t>In other circumstances, however, EPA understands that the recovered MVAC refrigerant is recycled and used in servicing a different MVAC system with a different owner (</w:t>
      </w:r>
      <w:r w:rsidRPr="00283806">
        <w:rPr>
          <w:rFonts w:ascii="Book Antiqua" w:hAnsi="Book Antiqua"/>
          <w:i/>
          <w:w w:val="105"/>
        </w:rPr>
        <w:t xml:space="preserve">e.g., </w:t>
      </w:r>
      <w:r w:rsidRPr="00283806">
        <w:rPr>
          <w:w w:val="105"/>
        </w:rPr>
        <w:t>to charge or recharge such a system), thereby in effect selling or transferring the refrigerant to a new owner. See 40 CFR 82.34(d)(2). Additionally, the</w:t>
      </w:r>
      <w:r w:rsidRPr="00283806">
        <w:rPr>
          <w:spacing w:val="40"/>
          <w:w w:val="105"/>
        </w:rPr>
        <w:t xml:space="preserve"> </w:t>
      </w:r>
      <w:r w:rsidRPr="00283806">
        <w:rPr>
          <w:w w:val="105"/>
        </w:rPr>
        <w:t>Agency understands that there are circumstances where refrigerant recovered from MVAC systems is reclaimed before it is reused, sold, or transferred to a new owner.</w:t>
      </w:r>
    </w:p>
    <w:p w14:paraId="52C93A5D" w14:textId="77777777" w:rsidR="00D67C1E" w:rsidRPr="00283806" w:rsidRDefault="001265CA">
      <w:pPr>
        <w:pStyle w:val="BodyText"/>
        <w:spacing w:line="228" w:lineRule="auto"/>
        <w:ind w:left="143" w:right="132" w:firstLine="180"/>
      </w:pPr>
      <w:r w:rsidRPr="00283806">
        <w:rPr>
          <w:w w:val="110"/>
        </w:rPr>
        <w:t>The servicing and repair of MVAC systems</w:t>
      </w:r>
      <w:r w:rsidRPr="00283806">
        <w:rPr>
          <w:spacing w:val="-11"/>
          <w:w w:val="110"/>
        </w:rPr>
        <w:t xml:space="preserve"> </w:t>
      </w:r>
      <w:r w:rsidRPr="00283806">
        <w:rPr>
          <w:w w:val="110"/>
        </w:rPr>
        <w:t>with</w:t>
      </w:r>
      <w:r w:rsidRPr="00283806">
        <w:rPr>
          <w:spacing w:val="-11"/>
          <w:w w:val="110"/>
        </w:rPr>
        <w:t xml:space="preserve"> </w:t>
      </w:r>
      <w:r w:rsidRPr="00283806">
        <w:rPr>
          <w:w w:val="110"/>
        </w:rPr>
        <w:t>HFCs</w:t>
      </w:r>
      <w:r w:rsidRPr="00283806">
        <w:rPr>
          <w:spacing w:val="-11"/>
          <w:w w:val="110"/>
        </w:rPr>
        <w:t xml:space="preserve"> </w:t>
      </w:r>
      <w:r w:rsidRPr="00283806">
        <w:rPr>
          <w:w w:val="110"/>
        </w:rPr>
        <w:t>and</w:t>
      </w:r>
      <w:r w:rsidRPr="00283806">
        <w:rPr>
          <w:spacing w:val="-11"/>
          <w:w w:val="110"/>
        </w:rPr>
        <w:t xml:space="preserve"> </w:t>
      </w:r>
      <w:r w:rsidRPr="00283806">
        <w:rPr>
          <w:w w:val="110"/>
        </w:rPr>
        <w:t>HFC</w:t>
      </w:r>
      <w:r w:rsidRPr="00283806">
        <w:rPr>
          <w:spacing w:val="-11"/>
          <w:w w:val="110"/>
        </w:rPr>
        <w:t xml:space="preserve"> </w:t>
      </w:r>
      <w:r w:rsidRPr="00283806">
        <w:rPr>
          <w:w w:val="110"/>
        </w:rPr>
        <w:t>substitutes (</w:t>
      </w:r>
      <w:r w:rsidRPr="00283806">
        <w:rPr>
          <w:rFonts w:ascii="Book Antiqua" w:hAnsi="Book Antiqua"/>
          <w:i/>
          <w:w w:val="110"/>
        </w:rPr>
        <w:t xml:space="preserve">e.g., </w:t>
      </w:r>
      <w:r w:rsidRPr="00283806">
        <w:rPr>
          <w:w w:val="110"/>
        </w:rPr>
        <w:t>HFO–1234yf and R–744 (CO</w:t>
      </w:r>
      <w:r w:rsidRPr="00283806">
        <w:rPr>
          <w:rFonts w:ascii="Times New Roman" w:hAnsi="Times New Roman"/>
          <w:w w:val="110"/>
          <w:vertAlign w:val="subscript"/>
        </w:rPr>
        <w:t>2</w:t>
      </w:r>
      <w:r w:rsidRPr="00283806">
        <w:rPr>
          <w:w w:val="110"/>
        </w:rPr>
        <w:t>))</w:t>
      </w:r>
    </w:p>
    <w:p w14:paraId="0CD0EBBD" w14:textId="77777777" w:rsidR="00D67C1E" w:rsidRPr="00283806" w:rsidRDefault="001265CA">
      <w:pPr>
        <w:pStyle w:val="BodyText"/>
        <w:spacing w:line="186" w:lineRule="exact"/>
        <w:ind w:left="143"/>
      </w:pPr>
      <w:r w:rsidRPr="00283806">
        <w:rPr>
          <w:w w:val="105"/>
        </w:rPr>
        <w:t>have</w:t>
      </w:r>
      <w:r w:rsidRPr="00283806">
        <w:rPr>
          <w:spacing w:val="7"/>
          <w:w w:val="105"/>
        </w:rPr>
        <w:t xml:space="preserve"> </w:t>
      </w:r>
      <w:r w:rsidRPr="00283806">
        <w:rPr>
          <w:w w:val="105"/>
        </w:rPr>
        <w:t>long</w:t>
      </w:r>
      <w:r w:rsidRPr="00283806">
        <w:rPr>
          <w:spacing w:val="7"/>
          <w:w w:val="105"/>
        </w:rPr>
        <w:t xml:space="preserve"> </w:t>
      </w:r>
      <w:r w:rsidRPr="00283806">
        <w:rPr>
          <w:w w:val="105"/>
        </w:rPr>
        <w:t>been</w:t>
      </w:r>
      <w:r w:rsidRPr="00283806">
        <w:rPr>
          <w:spacing w:val="8"/>
          <w:w w:val="105"/>
        </w:rPr>
        <w:t xml:space="preserve"> </w:t>
      </w:r>
      <w:r w:rsidRPr="00283806">
        <w:rPr>
          <w:w w:val="105"/>
        </w:rPr>
        <w:t>subject</w:t>
      </w:r>
      <w:r w:rsidRPr="00283806">
        <w:rPr>
          <w:spacing w:val="7"/>
          <w:w w:val="105"/>
        </w:rPr>
        <w:t xml:space="preserve"> </w:t>
      </w:r>
      <w:r w:rsidRPr="00283806">
        <w:rPr>
          <w:w w:val="105"/>
        </w:rPr>
        <w:t>to</w:t>
      </w:r>
      <w:r w:rsidRPr="00283806">
        <w:rPr>
          <w:spacing w:val="7"/>
          <w:w w:val="105"/>
        </w:rPr>
        <w:t xml:space="preserve"> </w:t>
      </w:r>
      <w:r w:rsidRPr="00283806">
        <w:rPr>
          <w:spacing w:val="-2"/>
          <w:w w:val="105"/>
        </w:rPr>
        <w:t>certain</w:t>
      </w:r>
    </w:p>
    <w:p w14:paraId="45F05EFE" w14:textId="77777777" w:rsidR="00D67C1E" w:rsidRPr="00283806" w:rsidRDefault="001265CA">
      <w:pPr>
        <w:pStyle w:val="BodyText"/>
        <w:spacing w:line="228" w:lineRule="auto"/>
        <w:ind w:left="143" w:right="132"/>
      </w:pPr>
      <w:r w:rsidRPr="00283806">
        <w:rPr>
          <w:w w:val="105"/>
        </w:rPr>
        <w:t xml:space="preserve">requirements that are separate from those that apply for the </w:t>
      </w:r>
      <w:proofErr w:type="gramStart"/>
      <w:r w:rsidRPr="00283806">
        <w:rPr>
          <w:w w:val="105"/>
        </w:rPr>
        <w:t>servicing</w:t>
      </w:r>
      <w:proofErr w:type="gramEnd"/>
      <w:r w:rsidRPr="00283806">
        <w:rPr>
          <w:w w:val="105"/>
        </w:rPr>
        <w:t xml:space="preserve"> and repair of stationary appliances.</w:t>
      </w:r>
    </w:p>
    <w:p w14:paraId="31790BFE" w14:textId="77777777" w:rsidR="00D67C1E" w:rsidRPr="00283806" w:rsidRDefault="001265CA">
      <w:pPr>
        <w:pStyle w:val="BodyText"/>
        <w:spacing w:line="228" w:lineRule="auto"/>
        <w:ind w:left="143" w:right="153"/>
      </w:pPr>
      <w:r w:rsidRPr="00283806">
        <w:rPr>
          <w:w w:val="105"/>
        </w:rPr>
        <w:t>Regulations under CAA section 609 require that section 609-certified technicians use equipment approved pursuant to the standards at 40 CFR</w:t>
      </w:r>
    </w:p>
    <w:p w14:paraId="0BCDE153" w14:textId="77777777" w:rsidR="00D67C1E" w:rsidRPr="00283806" w:rsidRDefault="001265CA">
      <w:pPr>
        <w:pStyle w:val="BodyText"/>
        <w:spacing w:line="225" w:lineRule="auto"/>
        <w:ind w:left="143" w:right="157"/>
      </w:pPr>
      <w:r w:rsidRPr="00283806">
        <w:rPr>
          <w:w w:val="105"/>
        </w:rPr>
        <w:t>82.36 to service and repair MVAC systems. Under those existing</w:t>
      </w:r>
      <w:r w:rsidRPr="00283806">
        <w:rPr>
          <w:spacing w:val="40"/>
          <w:w w:val="105"/>
        </w:rPr>
        <w:t xml:space="preserve"> </w:t>
      </w:r>
      <w:r w:rsidRPr="00283806">
        <w:rPr>
          <w:w w:val="105"/>
        </w:rPr>
        <w:t>regulations, recovered refrigerant can either be recycled on-site or off-site</w:t>
      </w:r>
      <w:r w:rsidRPr="00283806">
        <w:rPr>
          <w:spacing w:val="40"/>
          <w:w w:val="105"/>
        </w:rPr>
        <w:t xml:space="preserve"> </w:t>
      </w:r>
      <w:r w:rsidRPr="00283806">
        <w:rPr>
          <w:w w:val="105"/>
        </w:rPr>
        <w:t>using approved equipment designed to both recover and recycle refrigerant certified to meet SAE J2099.</w:t>
      </w:r>
      <w:r w:rsidRPr="00283806">
        <w:rPr>
          <w:w w:val="105"/>
          <w:position w:val="5"/>
          <w:sz w:val="11"/>
        </w:rPr>
        <w:t>154</w:t>
      </w:r>
      <w:r w:rsidRPr="00283806">
        <w:rPr>
          <w:spacing w:val="40"/>
          <w:w w:val="105"/>
          <w:position w:val="5"/>
          <w:sz w:val="11"/>
        </w:rPr>
        <w:t xml:space="preserve"> </w:t>
      </w:r>
      <w:r w:rsidRPr="00283806">
        <w:rPr>
          <w:w w:val="105"/>
        </w:rPr>
        <w:t>SAE</w:t>
      </w:r>
      <w:r w:rsidRPr="00283806">
        <w:rPr>
          <w:spacing w:val="80"/>
          <w:w w:val="105"/>
        </w:rPr>
        <w:t xml:space="preserve"> </w:t>
      </w:r>
      <w:r w:rsidRPr="00283806">
        <w:rPr>
          <w:w w:val="105"/>
        </w:rPr>
        <w:t>J2099 establishes the minimum level of refrigerant purity (</w:t>
      </w:r>
      <w:r w:rsidRPr="00283806">
        <w:rPr>
          <w:rFonts w:ascii="Book Antiqua" w:hAnsi="Book Antiqua"/>
          <w:i/>
          <w:w w:val="105"/>
        </w:rPr>
        <w:t xml:space="preserve">e.g., </w:t>
      </w:r>
      <w:r w:rsidRPr="00283806">
        <w:rPr>
          <w:w w:val="105"/>
        </w:rPr>
        <w:t>98 percent for HFO–1234yf) required for the certification of on-site recovery and recycling machines per SAE J2843 and SAE J2788. Refrigerant from reclamation</w:t>
      </w:r>
    </w:p>
    <w:p w14:paraId="7449DCA7" w14:textId="77777777" w:rsidR="00D67C1E" w:rsidRPr="00283806" w:rsidRDefault="001265CA">
      <w:pPr>
        <w:pStyle w:val="BodyText"/>
        <w:spacing w:before="7"/>
        <w:ind w:left="0"/>
        <w:rPr>
          <w:sz w:val="13"/>
        </w:rPr>
      </w:pPr>
      <w:r w:rsidRPr="00283806">
        <w:rPr>
          <w:noProof/>
        </w:rPr>
        <mc:AlternateContent>
          <mc:Choice Requires="wps">
            <w:drawing>
              <wp:anchor distT="0" distB="0" distL="0" distR="0" simplePos="0" relativeHeight="251678720" behindDoc="1" locked="0" layoutInCell="1" allowOverlap="1" wp14:anchorId="7FF33EEA" wp14:editId="6BA15363">
                <wp:simplePos x="0" y="0"/>
                <wp:positionH relativeFrom="page">
                  <wp:posOffset>5067300</wp:posOffset>
                </wp:positionH>
                <wp:positionV relativeFrom="paragraph">
                  <wp:posOffset>117082</wp:posOffset>
                </wp:positionV>
                <wp:extent cx="635000" cy="1270"/>
                <wp:effectExtent l="0" t="0" r="0" b="0"/>
                <wp:wrapTopAndBottom/>
                <wp:docPr id="112" name="Graphic 1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E9E805" id="Graphic 112" o:spid="_x0000_s1026" alt="&quot;&quot;" style="position:absolute;margin-left:399pt;margin-top:9.2pt;width:50pt;height:.1pt;z-index:-251637760;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" path="m,l635000,e" filled="f" strokeweight=".5pt">
                <v:path arrowok="t"/>
                <w10:wrap type="topAndBottom" anchorx="page"/>
              </v:shape>
            </w:pict>
          </mc:Fallback>
        </mc:AlternateContent>
      </w:r>
    </w:p>
    <w:p w14:paraId="50A2F904" w14:textId="77777777" w:rsidR="00D67C1E" w:rsidRPr="00283806" w:rsidRDefault="001265CA">
      <w:pPr>
        <w:spacing w:before="40" w:line="232" w:lineRule="auto"/>
        <w:ind w:left="143" w:right="282" w:firstLine="140"/>
        <w:rPr>
          <w:sz w:val="14"/>
        </w:rPr>
      </w:pPr>
      <w:r w:rsidRPr="00283806">
        <w:rPr>
          <w:w w:val="105"/>
          <w:position w:val="4"/>
          <w:sz w:val="9"/>
        </w:rPr>
        <w:t xml:space="preserve">153 </w:t>
      </w:r>
      <w:r w:rsidRPr="00283806">
        <w:rPr>
          <w:w w:val="105"/>
          <w:sz w:val="14"/>
        </w:rPr>
        <w:t>Another example of an instance where there</w:t>
      </w:r>
      <w:r w:rsidRPr="00283806">
        <w:rPr>
          <w:spacing w:val="80"/>
          <w:w w:val="105"/>
          <w:sz w:val="14"/>
        </w:rPr>
        <w:t xml:space="preserve"> </w:t>
      </w:r>
      <w:r w:rsidRPr="00283806">
        <w:rPr>
          <w:w w:val="105"/>
          <w:sz w:val="14"/>
        </w:rPr>
        <w:t>is no change in ownership is the off-site servicing</w:t>
      </w:r>
      <w:r w:rsidRPr="00283806">
        <w:rPr>
          <w:spacing w:val="40"/>
          <w:w w:val="105"/>
          <w:sz w:val="14"/>
        </w:rPr>
        <w:t xml:space="preserve"> </w:t>
      </w:r>
      <w:r w:rsidRPr="00283806">
        <w:rPr>
          <w:w w:val="105"/>
          <w:sz w:val="14"/>
        </w:rPr>
        <w:t>and recharge of MVAC systems for a fleet of trucks</w:t>
      </w:r>
      <w:r w:rsidRPr="00283806">
        <w:rPr>
          <w:spacing w:val="40"/>
          <w:w w:val="105"/>
          <w:sz w:val="14"/>
        </w:rPr>
        <w:t xml:space="preserve"> </w:t>
      </w:r>
      <w:r w:rsidRPr="00283806">
        <w:rPr>
          <w:w w:val="105"/>
          <w:sz w:val="14"/>
        </w:rPr>
        <w:t>that are owned by the same company.</w:t>
      </w:r>
    </w:p>
    <w:p w14:paraId="1737DC28" w14:textId="77777777" w:rsidR="00D67C1E" w:rsidRPr="00283806" w:rsidRDefault="001265CA">
      <w:pPr>
        <w:spacing w:before="23" w:line="232" w:lineRule="auto"/>
        <w:ind w:left="143" w:right="250" w:firstLine="140"/>
        <w:rPr>
          <w:sz w:val="14"/>
        </w:rPr>
      </w:pPr>
      <w:r w:rsidRPr="00283806">
        <w:rPr>
          <w:w w:val="105"/>
          <w:position w:val="4"/>
          <w:sz w:val="9"/>
        </w:rPr>
        <w:t xml:space="preserve">154 </w:t>
      </w:r>
      <w:r w:rsidRPr="00283806">
        <w:rPr>
          <w:w w:val="105"/>
          <w:sz w:val="14"/>
        </w:rPr>
        <w:t>SAE International, 2012. SAE J2099: Standard</w:t>
      </w:r>
      <w:r w:rsidRPr="00283806">
        <w:rPr>
          <w:spacing w:val="40"/>
          <w:w w:val="105"/>
          <w:sz w:val="14"/>
        </w:rPr>
        <w:t xml:space="preserve"> </w:t>
      </w:r>
      <w:r w:rsidRPr="00283806">
        <w:rPr>
          <w:w w:val="105"/>
          <w:sz w:val="14"/>
        </w:rPr>
        <w:t>of Purity for Recycled R–134a (HFC–134a) and R–</w:t>
      </w:r>
      <w:r w:rsidRPr="00283806">
        <w:rPr>
          <w:spacing w:val="40"/>
          <w:w w:val="105"/>
          <w:sz w:val="14"/>
        </w:rPr>
        <w:t xml:space="preserve"> </w:t>
      </w:r>
      <w:r w:rsidRPr="00283806">
        <w:rPr>
          <w:w w:val="105"/>
          <w:sz w:val="14"/>
        </w:rPr>
        <w:t>1234yf (HFO–1234yf) for Use in Mobile Air-</w:t>
      </w:r>
      <w:r w:rsidRPr="00283806">
        <w:rPr>
          <w:spacing w:val="40"/>
          <w:w w:val="105"/>
          <w:sz w:val="14"/>
        </w:rPr>
        <w:t xml:space="preserve"> </w:t>
      </w:r>
      <w:r w:rsidRPr="00283806">
        <w:rPr>
          <w:w w:val="105"/>
          <w:sz w:val="14"/>
        </w:rPr>
        <w:t>conditioning Systems.</w:t>
      </w:r>
    </w:p>
    <w:p w14:paraId="5505ABDE" w14:textId="77777777" w:rsidR="00D67C1E" w:rsidRPr="00283806" w:rsidRDefault="00D67C1E">
      <w:pPr>
        <w:spacing w:line="232" w:lineRule="auto"/>
        <w:rPr>
          <w:sz w:val="14"/>
        </w:rPr>
        <w:sectPr w:rsidR="00D67C1E" w:rsidRPr="00283806">
          <w:pgSz w:w="12240" w:h="15840"/>
          <w:pgMar w:top="1040" w:right="780" w:bottom="280" w:left="740" w:header="627" w:footer="0" w:gutter="0"/>
          <w:cols w:num="3" w:space="720" w:equalWidth="0">
            <w:col w:w="3484" w:space="56"/>
            <w:col w:w="3517" w:space="40"/>
            <w:col w:w="3623"/>
          </w:cols>
        </w:sectPr>
      </w:pPr>
    </w:p>
    <w:p w14:paraId="559F4C79" w14:textId="77777777" w:rsidR="00D67C1E" w:rsidRPr="00283806" w:rsidRDefault="001265CA">
      <w:pPr>
        <w:pStyle w:val="BodyText"/>
        <w:spacing w:before="138" w:line="223" w:lineRule="auto"/>
        <w:ind w:left="159"/>
      </w:pPr>
      <w:r w:rsidRPr="00283806">
        <w:rPr>
          <w:w w:val="105"/>
        </w:rPr>
        <w:lastRenderedPageBreak/>
        <w:t xml:space="preserve">facilities that </w:t>
      </w:r>
      <w:proofErr w:type="gramStart"/>
      <w:r w:rsidRPr="00283806">
        <w:rPr>
          <w:w w:val="105"/>
        </w:rPr>
        <w:t>is</w:t>
      </w:r>
      <w:proofErr w:type="gramEnd"/>
      <w:r w:rsidRPr="00283806">
        <w:rPr>
          <w:w w:val="105"/>
        </w:rPr>
        <w:t xml:space="preserve"> used for the purpose of recharging MVACs must be at or above the standard of purity (</w:t>
      </w:r>
      <w:r w:rsidRPr="00283806">
        <w:rPr>
          <w:rFonts w:ascii="Book Antiqua"/>
          <w:i/>
          <w:w w:val="105"/>
        </w:rPr>
        <w:t xml:space="preserve">i.e., </w:t>
      </w:r>
      <w:r w:rsidRPr="00283806">
        <w:rPr>
          <w:w w:val="105"/>
        </w:rPr>
        <w:t>99.5 percent) level</w:t>
      </w:r>
      <w:r w:rsidRPr="00283806">
        <w:rPr>
          <w:spacing w:val="40"/>
          <w:w w:val="105"/>
        </w:rPr>
        <w:t xml:space="preserve"> </w:t>
      </w:r>
      <w:r w:rsidRPr="00283806">
        <w:rPr>
          <w:w w:val="105"/>
        </w:rPr>
        <w:t>defined</w:t>
      </w:r>
      <w:r w:rsidRPr="00283806">
        <w:rPr>
          <w:spacing w:val="40"/>
          <w:w w:val="105"/>
        </w:rPr>
        <w:t xml:space="preserve"> </w:t>
      </w:r>
      <w:r w:rsidRPr="00283806">
        <w:rPr>
          <w:w w:val="105"/>
        </w:rPr>
        <w:t>in</w:t>
      </w:r>
      <w:r w:rsidRPr="00283806">
        <w:rPr>
          <w:spacing w:val="40"/>
          <w:w w:val="105"/>
        </w:rPr>
        <w:t xml:space="preserve"> </w:t>
      </w:r>
      <w:r w:rsidRPr="00283806">
        <w:rPr>
          <w:w w:val="105"/>
        </w:rPr>
        <w:t>AHRI</w:t>
      </w:r>
      <w:r w:rsidRPr="00283806">
        <w:rPr>
          <w:spacing w:val="40"/>
          <w:w w:val="105"/>
        </w:rPr>
        <w:t xml:space="preserve"> </w:t>
      </w:r>
      <w:r w:rsidRPr="00283806">
        <w:rPr>
          <w:w w:val="105"/>
        </w:rPr>
        <w:t>Standard</w:t>
      </w:r>
      <w:r w:rsidRPr="00283806">
        <w:rPr>
          <w:spacing w:val="40"/>
          <w:w w:val="105"/>
        </w:rPr>
        <w:t xml:space="preserve"> </w:t>
      </w:r>
      <w:r w:rsidRPr="00283806">
        <w:rPr>
          <w:w w:val="105"/>
        </w:rPr>
        <w:t>700, and EPA understands that such reclamation typically occurs off-site. See 40 CFR 82.32(e)(2).</w:t>
      </w:r>
    </w:p>
    <w:p w14:paraId="5B459C37" w14:textId="77777777" w:rsidR="00D67C1E" w:rsidRPr="00283806" w:rsidRDefault="001265CA">
      <w:pPr>
        <w:pStyle w:val="BodyText"/>
        <w:spacing w:line="181" w:lineRule="exact"/>
        <w:ind w:left="339"/>
      </w:pPr>
      <w:r w:rsidRPr="00283806">
        <w:rPr>
          <w:w w:val="105"/>
        </w:rPr>
        <w:t>Due</w:t>
      </w:r>
      <w:r w:rsidRPr="00283806">
        <w:rPr>
          <w:spacing w:val="12"/>
          <w:w w:val="105"/>
        </w:rPr>
        <w:t xml:space="preserve"> </w:t>
      </w:r>
      <w:r w:rsidRPr="00283806">
        <w:rPr>
          <w:w w:val="105"/>
        </w:rPr>
        <w:t>to</w:t>
      </w:r>
      <w:r w:rsidRPr="00283806">
        <w:rPr>
          <w:spacing w:val="12"/>
          <w:w w:val="105"/>
        </w:rPr>
        <w:t xml:space="preserve"> </w:t>
      </w:r>
      <w:r w:rsidRPr="00283806">
        <w:rPr>
          <w:w w:val="105"/>
        </w:rPr>
        <w:t>the</w:t>
      </w:r>
      <w:r w:rsidRPr="00283806">
        <w:rPr>
          <w:spacing w:val="12"/>
          <w:w w:val="105"/>
        </w:rPr>
        <w:t xml:space="preserve"> </w:t>
      </w:r>
      <w:r w:rsidRPr="00283806">
        <w:rPr>
          <w:w w:val="105"/>
        </w:rPr>
        <w:t>longstanding</w:t>
      </w:r>
      <w:r w:rsidRPr="00283806">
        <w:rPr>
          <w:spacing w:val="12"/>
          <w:w w:val="105"/>
        </w:rPr>
        <w:t xml:space="preserve"> </w:t>
      </w:r>
      <w:r w:rsidRPr="00283806">
        <w:rPr>
          <w:w w:val="105"/>
        </w:rPr>
        <w:t>practice</w:t>
      </w:r>
      <w:r w:rsidRPr="00283806">
        <w:rPr>
          <w:spacing w:val="12"/>
          <w:w w:val="105"/>
        </w:rPr>
        <w:t xml:space="preserve"> </w:t>
      </w:r>
      <w:r w:rsidRPr="00283806">
        <w:rPr>
          <w:spacing w:val="-5"/>
          <w:w w:val="105"/>
        </w:rPr>
        <w:t>of</w:t>
      </w:r>
    </w:p>
    <w:p w14:paraId="1886D727" w14:textId="77777777" w:rsidR="00D67C1E" w:rsidRPr="00283806" w:rsidRDefault="001265CA">
      <w:pPr>
        <w:pStyle w:val="BodyText"/>
        <w:spacing w:before="3" w:line="225" w:lineRule="auto"/>
        <w:ind w:left="159" w:right="43"/>
      </w:pPr>
      <w:r w:rsidRPr="00283806">
        <w:rPr>
          <w:w w:val="105"/>
        </w:rPr>
        <w:t xml:space="preserve">on-site recycling of single-component MVAC refrigerants, some industry stakeholders </w:t>
      </w:r>
      <w:r w:rsidRPr="00283806">
        <w:rPr>
          <w:w w:val="105"/>
          <w:position w:val="5"/>
          <w:sz w:val="11"/>
        </w:rPr>
        <w:t>155</w:t>
      </w:r>
      <w:r w:rsidRPr="00283806">
        <w:rPr>
          <w:spacing w:val="40"/>
          <w:w w:val="105"/>
          <w:position w:val="5"/>
          <w:sz w:val="11"/>
        </w:rPr>
        <w:t xml:space="preserve"> </w:t>
      </w:r>
      <w:r w:rsidRPr="00283806">
        <w:rPr>
          <w:w w:val="105"/>
        </w:rPr>
        <w:t>questioned the need to reclaim recovered MVAC refrigerant to meet the purity level described in AHRI Standard 700–2016 as specified in the definition of the terms ‘‘reclaim’’ and ‘‘reclamation’’ in subsection (b)(9) of the Act.</w:t>
      </w:r>
      <w:r w:rsidRPr="00283806">
        <w:rPr>
          <w:spacing w:val="40"/>
          <w:w w:val="105"/>
        </w:rPr>
        <w:t xml:space="preserve"> </w:t>
      </w:r>
      <w:r w:rsidRPr="00283806">
        <w:rPr>
          <w:w w:val="105"/>
        </w:rPr>
        <w:t>They</w:t>
      </w:r>
      <w:r w:rsidRPr="00283806">
        <w:rPr>
          <w:spacing w:val="40"/>
          <w:w w:val="105"/>
        </w:rPr>
        <w:t xml:space="preserve"> </w:t>
      </w:r>
      <w:r w:rsidRPr="00283806">
        <w:rPr>
          <w:w w:val="105"/>
        </w:rPr>
        <w:t>noted</w:t>
      </w:r>
      <w:r w:rsidRPr="00283806">
        <w:rPr>
          <w:spacing w:val="40"/>
          <w:w w:val="105"/>
        </w:rPr>
        <w:t xml:space="preserve"> </w:t>
      </w:r>
      <w:r w:rsidRPr="00283806">
        <w:rPr>
          <w:w w:val="105"/>
        </w:rPr>
        <w:t>that</w:t>
      </w:r>
      <w:r w:rsidRPr="00283806">
        <w:rPr>
          <w:spacing w:val="40"/>
          <w:w w:val="105"/>
        </w:rPr>
        <w:t xml:space="preserve"> </w:t>
      </w:r>
      <w:r w:rsidRPr="00283806">
        <w:rPr>
          <w:w w:val="105"/>
        </w:rPr>
        <w:t xml:space="preserve">equipment certified to meet SAE J2099 is rated </w:t>
      </w:r>
      <w:proofErr w:type="gramStart"/>
      <w:r w:rsidRPr="00283806">
        <w:rPr>
          <w:w w:val="105"/>
        </w:rPr>
        <w:t>to</w:t>
      </w:r>
      <w:proofErr w:type="gramEnd"/>
      <w:r w:rsidRPr="00283806">
        <w:rPr>
          <w:w w:val="105"/>
        </w:rPr>
        <w:t xml:space="preserve"> clean and separate material in contaminated refrigerant to a 98 percent purity level, which provides the same level of performance and durability as virgin refrigerant for purposes of use in MVACs. They also pointed out the ambiguity in the phrase ‘‘(or an appropriate successor standard adopted by the Administrator)’’ in the definition</w:t>
      </w:r>
      <w:r w:rsidRPr="00283806">
        <w:rPr>
          <w:spacing w:val="40"/>
          <w:w w:val="105"/>
        </w:rPr>
        <w:t xml:space="preserve"> </w:t>
      </w:r>
      <w:r w:rsidRPr="00283806">
        <w:rPr>
          <w:w w:val="105"/>
        </w:rPr>
        <w:t>of ‘‘reclaim’’ and ‘‘reclamation’’ in the</w:t>
      </w:r>
      <w:r w:rsidRPr="00283806">
        <w:rPr>
          <w:spacing w:val="40"/>
          <w:w w:val="105"/>
        </w:rPr>
        <w:t xml:space="preserve"> </w:t>
      </w:r>
      <w:r w:rsidRPr="00283806">
        <w:rPr>
          <w:w w:val="105"/>
        </w:rPr>
        <w:t>AIM</w:t>
      </w:r>
      <w:r w:rsidRPr="00283806">
        <w:rPr>
          <w:spacing w:val="37"/>
          <w:w w:val="105"/>
        </w:rPr>
        <w:t xml:space="preserve"> </w:t>
      </w:r>
      <w:r w:rsidRPr="00283806">
        <w:rPr>
          <w:w w:val="105"/>
        </w:rPr>
        <w:t>Act.</w:t>
      </w:r>
      <w:r w:rsidRPr="00283806">
        <w:rPr>
          <w:spacing w:val="37"/>
          <w:w w:val="105"/>
        </w:rPr>
        <w:t xml:space="preserve"> </w:t>
      </w:r>
      <w:r w:rsidRPr="00283806">
        <w:rPr>
          <w:w w:val="105"/>
        </w:rPr>
        <w:t>While</w:t>
      </w:r>
      <w:r w:rsidRPr="00283806">
        <w:rPr>
          <w:spacing w:val="37"/>
          <w:w w:val="105"/>
        </w:rPr>
        <w:t xml:space="preserve"> </w:t>
      </w:r>
      <w:r w:rsidRPr="00283806">
        <w:rPr>
          <w:w w:val="105"/>
        </w:rPr>
        <w:t>there</w:t>
      </w:r>
      <w:r w:rsidRPr="00283806">
        <w:rPr>
          <w:spacing w:val="37"/>
          <w:w w:val="105"/>
        </w:rPr>
        <w:t xml:space="preserve"> </w:t>
      </w:r>
      <w:r w:rsidRPr="00283806">
        <w:rPr>
          <w:w w:val="105"/>
        </w:rPr>
        <w:t>may</w:t>
      </w:r>
      <w:r w:rsidRPr="00283806">
        <w:rPr>
          <w:spacing w:val="37"/>
          <w:w w:val="105"/>
        </w:rPr>
        <w:t xml:space="preserve"> </w:t>
      </w:r>
      <w:r w:rsidRPr="00283806">
        <w:rPr>
          <w:w w:val="105"/>
        </w:rPr>
        <w:t>be</w:t>
      </w:r>
      <w:r w:rsidRPr="00283806">
        <w:rPr>
          <w:spacing w:val="37"/>
          <w:w w:val="105"/>
        </w:rPr>
        <w:t xml:space="preserve"> </w:t>
      </w:r>
      <w:r w:rsidRPr="00283806">
        <w:rPr>
          <w:w w:val="105"/>
        </w:rPr>
        <w:t>a</w:t>
      </w:r>
      <w:r w:rsidRPr="00283806">
        <w:rPr>
          <w:spacing w:val="37"/>
          <w:w w:val="105"/>
        </w:rPr>
        <w:t xml:space="preserve"> </w:t>
      </w:r>
      <w:r w:rsidRPr="00283806">
        <w:rPr>
          <w:w w:val="105"/>
        </w:rPr>
        <w:t>variety of situations that could lead to the adoption of a successor standard by the Administrator within the meaning of subsection (b)(9), in EPA’s view one</w:t>
      </w:r>
      <w:r w:rsidRPr="00283806">
        <w:rPr>
          <w:spacing w:val="80"/>
          <w:w w:val="105"/>
        </w:rPr>
        <w:t xml:space="preserve"> </w:t>
      </w:r>
      <w:r w:rsidRPr="00283806">
        <w:rPr>
          <w:w w:val="105"/>
        </w:rPr>
        <w:t>such circumstance would be if AHRI published a subsequent standard or addendum regarding the reprocessing of a recovered regulated substance to a specified purity standard and the analytical methodology to verify the purity of that regulated substance, and that standard were adopted by the Administrator as a successor standard.</w:t>
      </w:r>
    </w:p>
    <w:p w14:paraId="07F8BF99" w14:textId="77777777" w:rsidR="00D67C1E" w:rsidRPr="00283806" w:rsidRDefault="001265CA">
      <w:pPr>
        <w:pStyle w:val="BodyText"/>
        <w:spacing w:line="168" w:lineRule="exact"/>
        <w:ind w:left="339"/>
      </w:pPr>
      <w:r w:rsidRPr="00283806">
        <w:rPr>
          <w:w w:val="110"/>
        </w:rPr>
        <w:t>EPA</w:t>
      </w:r>
      <w:r w:rsidRPr="00283806">
        <w:rPr>
          <w:spacing w:val="-2"/>
          <w:w w:val="110"/>
        </w:rPr>
        <w:t xml:space="preserve"> </w:t>
      </w:r>
      <w:r w:rsidRPr="00283806">
        <w:rPr>
          <w:w w:val="110"/>
        </w:rPr>
        <w:t>is</w:t>
      </w:r>
      <w:r w:rsidRPr="00283806">
        <w:rPr>
          <w:spacing w:val="-2"/>
          <w:w w:val="110"/>
        </w:rPr>
        <w:t xml:space="preserve"> </w:t>
      </w:r>
      <w:r w:rsidRPr="00283806">
        <w:rPr>
          <w:w w:val="110"/>
        </w:rPr>
        <w:t>aware</w:t>
      </w:r>
      <w:r w:rsidRPr="00283806">
        <w:rPr>
          <w:spacing w:val="-2"/>
          <w:w w:val="110"/>
        </w:rPr>
        <w:t xml:space="preserve"> </w:t>
      </w:r>
      <w:r w:rsidRPr="00283806">
        <w:rPr>
          <w:w w:val="110"/>
        </w:rPr>
        <w:t>that</w:t>
      </w:r>
      <w:r w:rsidRPr="00283806">
        <w:rPr>
          <w:spacing w:val="-1"/>
          <w:w w:val="110"/>
        </w:rPr>
        <w:t xml:space="preserve"> </w:t>
      </w:r>
      <w:r w:rsidRPr="00283806">
        <w:rPr>
          <w:w w:val="110"/>
        </w:rPr>
        <w:t>AHRI</w:t>
      </w:r>
      <w:r w:rsidRPr="00283806">
        <w:rPr>
          <w:spacing w:val="-2"/>
          <w:w w:val="110"/>
        </w:rPr>
        <w:t xml:space="preserve"> </w:t>
      </w:r>
      <w:r w:rsidRPr="00283806">
        <w:rPr>
          <w:w w:val="110"/>
        </w:rPr>
        <w:t>is</w:t>
      </w:r>
      <w:r w:rsidRPr="00283806">
        <w:rPr>
          <w:spacing w:val="-2"/>
          <w:w w:val="110"/>
        </w:rPr>
        <w:t xml:space="preserve"> </w:t>
      </w:r>
      <w:r w:rsidRPr="00283806">
        <w:rPr>
          <w:spacing w:val="-5"/>
          <w:w w:val="110"/>
        </w:rPr>
        <w:t>in</w:t>
      </w:r>
    </w:p>
    <w:p w14:paraId="6CDB0E8C" w14:textId="77777777" w:rsidR="00D67C1E" w:rsidRPr="00283806" w:rsidRDefault="001265CA">
      <w:pPr>
        <w:pStyle w:val="BodyText"/>
        <w:spacing w:before="4" w:line="225" w:lineRule="auto"/>
        <w:ind w:left="159" w:right="30"/>
      </w:pPr>
      <w:r w:rsidRPr="00283806">
        <w:rPr>
          <w:w w:val="105"/>
        </w:rPr>
        <w:t>consultations</w:t>
      </w:r>
      <w:r w:rsidRPr="00283806">
        <w:rPr>
          <w:spacing w:val="40"/>
          <w:w w:val="105"/>
        </w:rPr>
        <w:t xml:space="preserve"> </w:t>
      </w:r>
      <w:r w:rsidRPr="00283806">
        <w:rPr>
          <w:w w:val="105"/>
        </w:rPr>
        <w:t>with</w:t>
      </w:r>
      <w:r w:rsidRPr="00283806">
        <w:rPr>
          <w:spacing w:val="40"/>
          <w:w w:val="105"/>
        </w:rPr>
        <w:t xml:space="preserve"> </w:t>
      </w:r>
      <w:r w:rsidRPr="00283806">
        <w:rPr>
          <w:w w:val="105"/>
        </w:rPr>
        <w:t>SAE</w:t>
      </w:r>
      <w:r w:rsidRPr="00283806">
        <w:rPr>
          <w:spacing w:val="40"/>
          <w:w w:val="105"/>
        </w:rPr>
        <w:t xml:space="preserve"> </w:t>
      </w:r>
      <w:r w:rsidRPr="00283806">
        <w:rPr>
          <w:w w:val="105"/>
        </w:rPr>
        <w:t>International, the Mobile Air Climate Systems Association (MACS), and other industry stakeholders to develop a standard (or update an existing standard) that may be more appropriate for MVAC servicing than</w:t>
      </w:r>
      <w:r w:rsidRPr="00283806">
        <w:rPr>
          <w:spacing w:val="40"/>
          <w:w w:val="105"/>
        </w:rPr>
        <w:t xml:space="preserve"> </w:t>
      </w:r>
      <w:r w:rsidRPr="00283806">
        <w:rPr>
          <w:w w:val="105"/>
        </w:rPr>
        <w:t>AHRI</w:t>
      </w:r>
      <w:r w:rsidRPr="00283806">
        <w:rPr>
          <w:spacing w:val="40"/>
          <w:w w:val="105"/>
        </w:rPr>
        <w:t xml:space="preserve"> </w:t>
      </w:r>
      <w:r w:rsidRPr="00283806">
        <w:rPr>
          <w:w w:val="105"/>
        </w:rPr>
        <w:t>Standard</w:t>
      </w:r>
      <w:r w:rsidRPr="00283806">
        <w:rPr>
          <w:spacing w:val="40"/>
          <w:w w:val="105"/>
        </w:rPr>
        <w:t xml:space="preserve"> </w:t>
      </w:r>
      <w:r w:rsidRPr="00283806">
        <w:rPr>
          <w:w w:val="105"/>
        </w:rPr>
        <w:t>700–2016.</w:t>
      </w:r>
      <w:r w:rsidRPr="00283806">
        <w:rPr>
          <w:w w:val="105"/>
          <w:position w:val="5"/>
          <w:sz w:val="11"/>
        </w:rPr>
        <w:t>156</w:t>
      </w:r>
      <w:r w:rsidRPr="00283806">
        <w:rPr>
          <w:spacing w:val="40"/>
          <w:w w:val="105"/>
          <w:position w:val="5"/>
          <w:sz w:val="11"/>
        </w:rPr>
        <w:t xml:space="preserve"> </w:t>
      </w:r>
      <w:r w:rsidRPr="00283806">
        <w:rPr>
          <w:w w:val="105"/>
        </w:rPr>
        <w:t>If such</w:t>
      </w:r>
      <w:r w:rsidRPr="00283806">
        <w:rPr>
          <w:spacing w:val="40"/>
          <w:w w:val="105"/>
        </w:rPr>
        <w:t xml:space="preserve"> </w:t>
      </w:r>
      <w:r w:rsidRPr="00283806">
        <w:rPr>
          <w:w w:val="105"/>
        </w:rPr>
        <w:t>a</w:t>
      </w:r>
      <w:r w:rsidRPr="00283806">
        <w:rPr>
          <w:spacing w:val="40"/>
          <w:w w:val="105"/>
        </w:rPr>
        <w:t xml:space="preserve"> </w:t>
      </w:r>
      <w:r w:rsidRPr="00283806">
        <w:rPr>
          <w:w w:val="105"/>
        </w:rPr>
        <w:t>standard</w:t>
      </w:r>
      <w:r w:rsidRPr="00283806">
        <w:rPr>
          <w:spacing w:val="40"/>
          <w:w w:val="105"/>
        </w:rPr>
        <w:t xml:space="preserve"> </w:t>
      </w:r>
      <w:r w:rsidRPr="00283806">
        <w:rPr>
          <w:w w:val="105"/>
        </w:rPr>
        <w:t>is</w:t>
      </w:r>
      <w:r w:rsidRPr="00283806">
        <w:rPr>
          <w:spacing w:val="40"/>
          <w:w w:val="105"/>
        </w:rPr>
        <w:t xml:space="preserve"> </w:t>
      </w:r>
      <w:r w:rsidRPr="00283806">
        <w:rPr>
          <w:w w:val="105"/>
        </w:rPr>
        <w:t>finalized,</w:t>
      </w:r>
      <w:r w:rsidRPr="00283806">
        <w:rPr>
          <w:spacing w:val="40"/>
          <w:w w:val="105"/>
        </w:rPr>
        <w:t xml:space="preserve"> </w:t>
      </w:r>
      <w:r w:rsidRPr="00283806">
        <w:rPr>
          <w:w w:val="105"/>
        </w:rPr>
        <w:t>EPA intends to review it, and any supporting information, and consider what implications it might have for potential approaches that the Agency might consider in future rulemakings to implement subsection (h)(2)(B) for MVAC</w:t>
      </w:r>
      <w:r w:rsidRPr="00283806">
        <w:rPr>
          <w:spacing w:val="40"/>
          <w:w w:val="105"/>
        </w:rPr>
        <w:t xml:space="preserve"> </w:t>
      </w:r>
      <w:r w:rsidRPr="00283806">
        <w:rPr>
          <w:w w:val="105"/>
        </w:rPr>
        <w:t>systems.</w:t>
      </w:r>
      <w:r w:rsidRPr="00283806">
        <w:rPr>
          <w:spacing w:val="40"/>
          <w:w w:val="105"/>
        </w:rPr>
        <w:t xml:space="preserve"> </w:t>
      </w:r>
      <w:r w:rsidRPr="00283806">
        <w:rPr>
          <w:w w:val="105"/>
        </w:rPr>
        <w:t>Additionally,</w:t>
      </w:r>
      <w:r w:rsidRPr="00283806">
        <w:rPr>
          <w:spacing w:val="40"/>
          <w:w w:val="105"/>
        </w:rPr>
        <w:t xml:space="preserve"> </w:t>
      </w:r>
      <w:r w:rsidRPr="00283806">
        <w:rPr>
          <w:w w:val="105"/>
        </w:rPr>
        <w:t>the</w:t>
      </w:r>
      <w:r w:rsidRPr="00283806">
        <w:rPr>
          <w:spacing w:val="80"/>
          <w:w w:val="105"/>
        </w:rPr>
        <w:t xml:space="preserve"> </w:t>
      </w:r>
      <w:r w:rsidRPr="00283806">
        <w:rPr>
          <w:w w:val="105"/>
        </w:rPr>
        <w:t>Agency could consider establishing its</w:t>
      </w:r>
    </w:p>
    <w:p w14:paraId="2AC9F304" w14:textId="77777777" w:rsidR="00D67C1E" w:rsidRPr="00283806" w:rsidRDefault="001265CA">
      <w:pPr>
        <w:pStyle w:val="BodyText"/>
        <w:spacing w:before="6"/>
        <w:ind w:left="0"/>
        <w:rPr>
          <w:sz w:val="12"/>
        </w:rPr>
      </w:pPr>
      <w:r w:rsidRPr="00283806">
        <w:rPr>
          <w:noProof/>
        </w:rPr>
        <mc:AlternateContent>
          <mc:Choice Requires="wps">
            <w:drawing>
              <wp:anchor distT="0" distB="0" distL="0" distR="0" simplePos="0" relativeHeight="251679744" behindDoc="1" locked="0" layoutInCell="1" allowOverlap="1" wp14:anchorId="683AC229" wp14:editId="1AE5DA69">
                <wp:simplePos x="0" y="0"/>
                <wp:positionH relativeFrom="page">
                  <wp:posOffset>571500</wp:posOffset>
                </wp:positionH>
                <wp:positionV relativeFrom="paragraph">
                  <wp:posOffset>108857</wp:posOffset>
                </wp:positionV>
                <wp:extent cx="635000" cy="1270"/>
                <wp:effectExtent l="0" t="0" r="0" b="0"/>
                <wp:wrapTopAndBottom/>
                <wp:docPr id="113" name="Graphic 1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2FFC15A" id="Graphic 113" o:spid="_x0000_s1026" alt="&quot;&quot;" style="position:absolute;margin-left:45pt;margin-top:8.55pt;width:50pt;height:.1pt;z-index:-251636736;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" path="m,l635000,e" filled="f" strokeweight=".5pt">
                <v:path arrowok="t"/>
                <w10:wrap type="topAndBottom" anchorx="page"/>
              </v:shape>
            </w:pict>
          </mc:Fallback>
        </mc:AlternateContent>
      </w:r>
    </w:p>
    <w:p w14:paraId="207CB87F" w14:textId="2DA90CC4" w:rsidR="00D67C1E" w:rsidRPr="00283806" w:rsidRDefault="001265CA">
      <w:pPr>
        <w:spacing w:before="42" w:line="228" w:lineRule="auto"/>
        <w:ind w:left="159" w:right="39" w:firstLine="140"/>
        <w:rPr>
          <w:rFonts w:ascii="Book Antiqua" w:hAnsi="Book Antiqua"/>
          <w:i/>
          <w:sz w:val="14"/>
        </w:rPr>
      </w:pPr>
      <w:r w:rsidRPr="00283806">
        <w:rPr>
          <w:w w:val="110"/>
          <w:position w:val="4"/>
          <w:sz w:val="9"/>
        </w:rPr>
        <w:t>155</w:t>
      </w:r>
      <w:r w:rsidRPr="00283806">
        <w:rPr>
          <w:spacing w:val="-4"/>
          <w:w w:val="110"/>
          <w:position w:val="4"/>
          <w:sz w:val="9"/>
        </w:rPr>
        <w:t xml:space="preserve"> </w:t>
      </w:r>
      <w:r w:rsidRPr="00283806">
        <w:rPr>
          <w:w w:val="110"/>
          <w:sz w:val="14"/>
        </w:rPr>
        <w:t>March</w:t>
      </w:r>
      <w:r w:rsidRPr="00283806">
        <w:rPr>
          <w:spacing w:val="-3"/>
          <w:w w:val="110"/>
          <w:sz w:val="14"/>
        </w:rPr>
        <w:t xml:space="preserve"> </w:t>
      </w:r>
      <w:r w:rsidRPr="00283806">
        <w:rPr>
          <w:w w:val="110"/>
          <w:sz w:val="14"/>
        </w:rPr>
        <w:t>6,</w:t>
      </w:r>
      <w:r w:rsidRPr="00283806">
        <w:rPr>
          <w:spacing w:val="-3"/>
          <w:w w:val="110"/>
          <w:sz w:val="14"/>
        </w:rPr>
        <w:t xml:space="preserve"> </w:t>
      </w:r>
      <w:r w:rsidRPr="00283806">
        <w:rPr>
          <w:w w:val="110"/>
          <w:sz w:val="14"/>
        </w:rPr>
        <w:t>2023,</w:t>
      </w:r>
      <w:r w:rsidRPr="00283806">
        <w:rPr>
          <w:spacing w:val="-3"/>
          <w:w w:val="110"/>
          <w:sz w:val="14"/>
        </w:rPr>
        <w:t xml:space="preserve"> </w:t>
      </w:r>
      <w:r w:rsidRPr="00283806">
        <w:rPr>
          <w:w w:val="110"/>
          <w:sz w:val="14"/>
        </w:rPr>
        <w:t>EPA</w:t>
      </w:r>
      <w:r w:rsidRPr="00283806">
        <w:rPr>
          <w:spacing w:val="-3"/>
          <w:w w:val="110"/>
          <w:sz w:val="14"/>
        </w:rPr>
        <w:t xml:space="preserve"> </w:t>
      </w:r>
      <w:r w:rsidRPr="00283806">
        <w:rPr>
          <w:w w:val="110"/>
          <w:sz w:val="14"/>
        </w:rPr>
        <w:t>meeting</w:t>
      </w:r>
      <w:r w:rsidRPr="00283806">
        <w:rPr>
          <w:spacing w:val="-3"/>
          <w:w w:val="110"/>
          <w:sz w:val="14"/>
        </w:rPr>
        <w:t xml:space="preserve"> </w:t>
      </w:r>
      <w:r w:rsidRPr="00283806">
        <w:rPr>
          <w:w w:val="110"/>
          <w:sz w:val="14"/>
        </w:rPr>
        <w:t>with</w:t>
      </w:r>
      <w:r w:rsidRPr="00283806">
        <w:rPr>
          <w:spacing w:val="-3"/>
          <w:w w:val="110"/>
          <w:sz w:val="14"/>
        </w:rPr>
        <w:t xml:space="preserve"> </w:t>
      </w:r>
      <w:r w:rsidRPr="00283806">
        <w:rPr>
          <w:w w:val="110"/>
          <w:sz w:val="14"/>
        </w:rPr>
        <w:t>Mobile</w:t>
      </w:r>
      <w:r w:rsidRPr="00283806">
        <w:rPr>
          <w:spacing w:val="-3"/>
          <w:w w:val="110"/>
          <w:sz w:val="14"/>
        </w:rPr>
        <w:t xml:space="preserve"> </w:t>
      </w:r>
      <w:r w:rsidRPr="00283806">
        <w:rPr>
          <w:w w:val="110"/>
          <w:sz w:val="14"/>
        </w:rPr>
        <w:t>Air</w:t>
      </w:r>
      <w:r w:rsidRPr="00283806">
        <w:rPr>
          <w:spacing w:val="40"/>
          <w:w w:val="110"/>
          <w:sz w:val="14"/>
        </w:rPr>
        <w:t xml:space="preserve"> </w:t>
      </w:r>
      <w:r w:rsidRPr="00283806">
        <w:rPr>
          <w:w w:val="110"/>
          <w:sz w:val="14"/>
        </w:rPr>
        <w:t>Climate Systems (MACS) Association and SAE</w:t>
      </w:r>
      <w:r w:rsidRPr="00283806">
        <w:rPr>
          <w:spacing w:val="40"/>
          <w:w w:val="110"/>
          <w:sz w:val="14"/>
        </w:rPr>
        <w:t xml:space="preserve"> </w:t>
      </w:r>
      <w:r w:rsidRPr="00283806">
        <w:rPr>
          <w:w w:val="110"/>
          <w:sz w:val="14"/>
        </w:rPr>
        <w:t>International. Meeting materials available in the</w:t>
      </w:r>
      <w:r w:rsidRPr="00283806">
        <w:rPr>
          <w:spacing w:val="40"/>
          <w:w w:val="110"/>
          <w:sz w:val="14"/>
        </w:rPr>
        <w:t xml:space="preserve"> </w:t>
      </w:r>
      <w:r w:rsidRPr="00283806">
        <w:rPr>
          <w:w w:val="110"/>
          <w:sz w:val="14"/>
        </w:rPr>
        <w:t>docket (EPA–HQ–OAR–2022–0606) for this</w:t>
      </w:r>
      <w:r w:rsidRPr="00283806">
        <w:rPr>
          <w:spacing w:val="40"/>
          <w:w w:val="110"/>
          <w:sz w:val="14"/>
        </w:rPr>
        <w:t xml:space="preserve"> </w:t>
      </w:r>
      <w:r w:rsidRPr="00283806">
        <w:rPr>
          <w:w w:val="110"/>
          <w:sz w:val="14"/>
        </w:rPr>
        <w:t xml:space="preserve">rulemaking at </w:t>
      </w:r>
      <w:r w:rsidRPr="00283806">
        <w:rPr>
          <w:rFonts w:ascii="Book Antiqua" w:hAnsi="Book Antiqua"/>
          <w:i/>
          <w:w w:val="110"/>
          <w:sz w:val="14"/>
        </w:rPr>
        <w:t>https://www.regulations.gov.</w:t>
      </w:r>
    </w:p>
    <w:p w14:paraId="6BBEA405" w14:textId="78DEF23B" w:rsidR="00D67C1E" w:rsidRPr="00283806" w:rsidRDefault="001265CA">
      <w:pPr>
        <w:spacing w:before="16" w:line="230" w:lineRule="auto"/>
        <w:ind w:left="159" w:right="39" w:firstLine="140"/>
        <w:rPr>
          <w:rFonts w:ascii="Book Antiqua" w:hAnsi="Book Antiqua"/>
          <w:i/>
          <w:sz w:val="14"/>
        </w:rPr>
      </w:pPr>
      <w:r w:rsidRPr="00283806">
        <w:rPr>
          <w:w w:val="110"/>
          <w:position w:val="4"/>
          <w:sz w:val="9"/>
        </w:rPr>
        <w:t xml:space="preserve">156 </w:t>
      </w:r>
      <w:r w:rsidRPr="00283806">
        <w:rPr>
          <w:w w:val="110"/>
          <w:sz w:val="14"/>
        </w:rPr>
        <w:t>Letter to EPA from AHRI, Alliance for</w:t>
      </w:r>
      <w:r w:rsidRPr="00283806">
        <w:rPr>
          <w:spacing w:val="40"/>
          <w:w w:val="110"/>
          <w:sz w:val="14"/>
        </w:rPr>
        <w:t xml:space="preserve"> </w:t>
      </w:r>
      <w:r w:rsidRPr="00283806">
        <w:rPr>
          <w:w w:val="110"/>
          <w:sz w:val="14"/>
        </w:rPr>
        <w:t>Automotive Innovation, Alliance for Responsible</w:t>
      </w:r>
      <w:r w:rsidRPr="00283806">
        <w:rPr>
          <w:spacing w:val="40"/>
          <w:w w:val="110"/>
          <w:sz w:val="14"/>
        </w:rPr>
        <w:t xml:space="preserve"> </w:t>
      </w:r>
      <w:r w:rsidRPr="00283806">
        <w:rPr>
          <w:w w:val="110"/>
          <w:sz w:val="14"/>
        </w:rPr>
        <w:t>Atmospheric</w:t>
      </w:r>
      <w:r w:rsidRPr="00283806">
        <w:rPr>
          <w:spacing w:val="-3"/>
          <w:w w:val="110"/>
          <w:sz w:val="14"/>
        </w:rPr>
        <w:t xml:space="preserve"> </w:t>
      </w:r>
      <w:r w:rsidRPr="00283806">
        <w:rPr>
          <w:w w:val="110"/>
          <w:sz w:val="14"/>
        </w:rPr>
        <w:t>Policy,</w:t>
      </w:r>
      <w:r w:rsidRPr="00283806">
        <w:rPr>
          <w:spacing w:val="-3"/>
          <w:w w:val="110"/>
          <w:sz w:val="14"/>
        </w:rPr>
        <w:t xml:space="preserve"> </w:t>
      </w:r>
      <w:r w:rsidRPr="00283806">
        <w:rPr>
          <w:w w:val="110"/>
          <w:sz w:val="14"/>
        </w:rPr>
        <w:t>and</w:t>
      </w:r>
      <w:r w:rsidRPr="00283806">
        <w:rPr>
          <w:spacing w:val="-3"/>
          <w:w w:val="110"/>
          <w:sz w:val="14"/>
        </w:rPr>
        <w:t xml:space="preserve"> </w:t>
      </w:r>
      <w:r w:rsidRPr="00283806">
        <w:rPr>
          <w:w w:val="110"/>
          <w:sz w:val="14"/>
        </w:rPr>
        <w:t>MACS</w:t>
      </w:r>
      <w:r w:rsidRPr="00283806">
        <w:rPr>
          <w:spacing w:val="-3"/>
          <w:w w:val="110"/>
          <w:sz w:val="14"/>
        </w:rPr>
        <w:t xml:space="preserve"> </w:t>
      </w:r>
      <w:r w:rsidRPr="00283806">
        <w:rPr>
          <w:w w:val="110"/>
          <w:sz w:val="14"/>
        </w:rPr>
        <w:t>dated</w:t>
      </w:r>
      <w:r w:rsidRPr="00283806">
        <w:rPr>
          <w:spacing w:val="-3"/>
          <w:w w:val="110"/>
          <w:sz w:val="14"/>
        </w:rPr>
        <w:t xml:space="preserve"> </w:t>
      </w:r>
      <w:r w:rsidRPr="00283806">
        <w:rPr>
          <w:w w:val="110"/>
          <w:sz w:val="14"/>
        </w:rPr>
        <w:t>June</w:t>
      </w:r>
      <w:r w:rsidRPr="00283806">
        <w:rPr>
          <w:spacing w:val="-3"/>
          <w:w w:val="110"/>
          <w:sz w:val="14"/>
        </w:rPr>
        <w:t xml:space="preserve"> </w:t>
      </w:r>
      <w:r w:rsidRPr="00283806">
        <w:rPr>
          <w:w w:val="110"/>
          <w:sz w:val="14"/>
        </w:rPr>
        <w:t>9,</w:t>
      </w:r>
      <w:r w:rsidRPr="00283806">
        <w:rPr>
          <w:spacing w:val="-3"/>
          <w:w w:val="110"/>
          <w:sz w:val="14"/>
        </w:rPr>
        <w:t xml:space="preserve"> </w:t>
      </w:r>
      <w:r w:rsidRPr="00283806">
        <w:rPr>
          <w:w w:val="110"/>
          <w:sz w:val="14"/>
        </w:rPr>
        <w:t>2023.</w:t>
      </w:r>
      <w:r w:rsidRPr="00283806">
        <w:rPr>
          <w:spacing w:val="40"/>
          <w:w w:val="110"/>
          <w:sz w:val="14"/>
        </w:rPr>
        <w:t xml:space="preserve"> </w:t>
      </w:r>
      <w:r w:rsidRPr="00283806">
        <w:rPr>
          <w:w w:val="110"/>
          <w:sz w:val="14"/>
        </w:rPr>
        <w:t>Available in the docket (EPA–HQ–OAR–2022–</w:t>
      </w:r>
      <w:r w:rsidRPr="00283806">
        <w:rPr>
          <w:spacing w:val="40"/>
          <w:w w:val="110"/>
          <w:sz w:val="14"/>
        </w:rPr>
        <w:t xml:space="preserve"> </w:t>
      </w:r>
      <w:r w:rsidRPr="00283806">
        <w:rPr>
          <w:w w:val="110"/>
          <w:sz w:val="14"/>
        </w:rPr>
        <w:t xml:space="preserve">0606) for this rulemaking at </w:t>
      </w:r>
      <w:r w:rsidRPr="00283806">
        <w:rPr>
          <w:rFonts w:ascii="Book Antiqua" w:hAnsi="Book Antiqua"/>
          <w:i/>
          <w:w w:val="110"/>
          <w:sz w:val="14"/>
        </w:rPr>
        <w:t>https://</w:t>
      </w:r>
      <w:r w:rsidRPr="00283806">
        <w:rPr>
          <w:rFonts w:ascii="Book Antiqua" w:hAnsi="Book Antiqua"/>
          <w:i/>
          <w:spacing w:val="40"/>
          <w:w w:val="110"/>
          <w:sz w:val="14"/>
        </w:rPr>
        <w:t xml:space="preserve"> </w:t>
      </w:r>
      <w:r w:rsidRPr="00283806">
        <w:rPr>
          <w:rFonts w:ascii="Book Antiqua" w:hAnsi="Book Antiqua"/>
          <w:i/>
          <w:spacing w:val="-2"/>
          <w:w w:val="110"/>
          <w:sz w:val="14"/>
        </w:rPr>
        <w:t>www.regulations.gov.</w:t>
      </w:r>
    </w:p>
    <w:p w14:paraId="0BA74363" w14:textId="77777777" w:rsidR="00D67C1E" w:rsidRPr="00283806" w:rsidRDefault="001265CA">
      <w:pPr>
        <w:pStyle w:val="BodyText"/>
        <w:spacing w:before="136" w:line="225" w:lineRule="auto"/>
        <w:ind w:left="143" w:right="49"/>
      </w:pPr>
      <w:r w:rsidRPr="00283806">
        <w:br w:type="column"/>
      </w:r>
      <w:r w:rsidRPr="00283806">
        <w:rPr>
          <w:w w:val="105"/>
        </w:rPr>
        <w:t>own purity standard and analytical methodology for verification of the purity of recovered regulated</w:t>
      </w:r>
      <w:r w:rsidRPr="00283806">
        <w:rPr>
          <w:spacing w:val="40"/>
          <w:w w:val="105"/>
        </w:rPr>
        <w:t xml:space="preserve"> </w:t>
      </w:r>
      <w:r w:rsidRPr="00283806">
        <w:rPr>
          <w:w w:val="105"/>
        </w:rPr>
        <w:t>substances, as well as specifying minimum equipment requirements for MVAC systems under subsection (h). Among other things, such a standard could be based on consideration of</w:t>
      </w:r>
      <w:r w:rsidRPr="00283806">
        <w:rPr>
          <w:spacing w:val="80"/>
          <w:w w:val="105"/>
        </w:rPr>
        <w:t xml:space="preserve"> </w:t>
      </w:r>
      <w:r w:rsidRPr="00283806">
        <w:rPr>
          <w:w w:val="105"/>
        </w:rPr>
        <w:t xml:space="preserve">input from stakeholders and consensus standards bodies. EPA could consider adopting any such standard in </w:t>
      </w:r>
      <w:proofErr w:type="gramStart"/>
      <w:r w:rsidRPr="00283806">
        <w:rPr>
          <w:w w:val="105"/>
        </w:rPr>
        <w:t>a future</w:t>
      </w:r>
      <w:proofErr w:type="gramEnd"/>
      <w:r w:rsidRPr="00283806">
        <w:rPr>
          <w:w w:val="105"/>
        </w:rPr>
        <w:t xml:space="preserve"> rulemaking. In light of the time needed</w:t>
      </w:r>
      <w:r w:rsidRPr="00283806">
        <w:rPr>
          <w:spacing w:val="40"/>
          <w:w w:val="105"/>
        </w:rPr>
        <w:t xml:space="preserve"> </w:t>
      </w:r>
      <w:r w:rsidRPr="00283806">
        <w:rPr>
          <w:w w:val="105"/>
        </w:rPr>
        <w:t>to develop such standards (whether developed by EPA or standard-setting organizations) and for EPA to consider whether they are appropriate for the Agency to adopt as successor standards in the context of subsection (h), as well as the implications that such standards might have on the regulations that EPA might propose to implement subsection (h)(2)(B) for MVAC systems, EPA did</w:t>
      </w:r>
      <w:r w:rsidRPr="00283806">
        <w:rPr>
          <w:spacing w:val="80"/>
          <w:w w:val="105"/>
        </w:rPr>
        <w:t xml:space="preserve"> </w:t>
      </w:r>
      <w:r w:rsidRPr="00283806">
        <w:rPr>
          <w:w w:val="105"/>
        </w:rPr>
        <w:t xml:space="preserve">not propose such regulations. Instead, EPA intends to issue proposed regulations for this sector </w:t>
      </w:r>
      <w:proofErr w:type="gramStart"/>
      <w:r w:rsidRPr="00283806">
        <w:rPr>
          <w:w w:val="105"/>
        </w:rPr>
        <w:t>at a later date</w:t>
      </w:r>
      <w:proofErr w:type="gramEnd"/>
      <w:r w:rsidRPr="00283806">
        <w:rPr>
          <w:w w:val="105"/>
        </w:rPr>
        <w:t>, once it has additional clarity on the development of such a successor standard and its likely content.</w:t>
      </w:r>
    </w:p>
    <w:p w14:paraId="2AD0F246" w14:textId="77777777" w:rsidR="00D67C1E" w:rsidRPr="00283806" w:rsidRDefault="001265CA">
      <w:pPr>
        <w:pStyle w:val="BodyText"/>
        <w:spacing w:line="225" w:lineRule="auto"/>
        <w:ind w:left="143" w:right="58"/>
      </w:pPr>
      <w:r w:rsidRPr="00283806">
        <w:rPr>
          <w:w w:val="105"/>
        </w:rPr>
        <w:t xml:space="preserve">Additionally, the Agency may need to consider potential approaches for the recycling and/or reclaiming of MVAC refrigerant blends, which may include regulated substances and/or substitutes for regulated substances, particularly given </w:t>
      </w:r>
      <w:proofErr w:type="gramStart"/>
      <w:r w:rsidRPr="00283806">
        <w:rPr>
          <w:w w:val="105"/>
        </w:rPr>
        <w:t>use</w:t>
      </w:r>
      <w:proofErr w:type="gramEnd"/>
      <w:r w:rsidRPr="00283806">
        <w:rPr>
          <w:w w:val="105"/>
        </w:rPr>
        <w:t xml:space="preserve"> of blends would be a</w:t>
      </w:r>
      <w:r w:rsidRPr="00283806">
        <w:rPr>
          <w:spacing w:val="40"/>
          <w:w w:val="105"/>
        </w:rPr>
        <w:t xml:space="preserve"> </w:t>
      </w:r>
      <w:r w:rsidRPr="00283806">
        <w:rPr>
          <w:w w:val="105"/>
        </w:rPr>
        <w:t>significant departure from industry past practice for MVAC systems.</w:t>
      </w:r>
    </w:p>
    <w:p w14:paraId="2CEB41F2" w14:textId="77777777" w:rsidR="00D67C1E" w:rsidRPr="00283806" w:rsidRDefault="001265CA">
      <w:pPr>
        <w:pStyle w:val="BodyText"/>
        <w:spacing w:line="213" w:lineRule="auto"/>
        <w:ind w:left="143" w:right="54" w:firstLine="180"/>
      </w:pPr>
      <w:r w:rsidRPr="00283806">
        <w:rPr>
          <w:rFonts w:ascii="Book Antiqua"/>
          <w:i/>
          <w:w w:val="105"/>
        </w:rPr>
        <w:t xml:space="preserve">Comment: </w:t>
      </w:r>
      <w:r w:rsidRPr="00283806">
        <w:rPr>
          <w:w w:val="105"/>
        </w:rPr>
        <w:t>One commenter stated that they support the AIM Act and engaged</w:t>
      </w:r>
    </w:p>
    <w:p w14:paraId="584DA493" w14:textId="77777777" w:rsidR="00D67C1E" w:rsidRPr="00283806" w:rsidRDefault="001265CA">
      <w:pPr>
        <w:pStyle w:val="BodyText"/>
        <w:spacing w:line="225" w:lineRule="auto"/>
        <w:ind w:left="143" w:right="95"/>
      </w:pPr>
      <w:r w:rsidRPr="00283806">
        <w:rPr>
          <w:w w:val="105"/>
        </w:rPr>
        <w:t>early with EPA to share their ongoing process for ‘‘phasing out HFCs.’’ The commenter stated that their members fully support the goals of phasing HFCs out of their vehicles sold in the United States, and that their member</w:t>
      </w:r>
      <w:r w:rsidRPr="00283806">
        <w:rPr>
          <w:spacing w:val="40"/>
          <w:w w:val="105"/>
        </w:rPr>
        <w:t xml:space="preserve"> </w:t>
      </w:r>
      <w:r w:rsidRPr="00283806">
        <w:rPr>
          <w:w w:val="105"/>
        </w:rPr>
        <w:t>companies have been undergoing this transition for many years.</w:t>
      </w:r>
    </w:p>
    <w:p w14:paraId="35AF7611" w14:textId="77777777" w:rsidR="00D67C1E" w:rsidRPr="00283806" w:rsidRDefault="001265CA">
      <w:pPr>
        <w:pStyle w:val="BodyText"/>
        <w:spacing w:line="213" w:lineRule="auto"/>
        <w:ind w:left="143" w:right="58" w:firstLine="180"/>
      </w:pPr>
      <w:r w:rsidRPr="00283806">
        <w:rPr>
          <w:rFonts w:ascii="Book Antiqua"/>
          <w:i/>
          <w:w w:val="105"/>
        </w:rPr>
        <w:t xml:space="preserve">Response: </w:t>
      </w:r>
      <w:r w:rsidRPr="00283806">
        <w:rPr>
          <w:w w:val="105"/>
        </w:rPr>
        <w:t>EPA acknowledges these comments</w:t>
      </w:r>
      <w:r w:rsidRPr="00283806">
        <w:rPr>
          <w:spacing w:val="8"/>
          <w:w w:val="105"/>
        </w:rPr>
        <w:t xml:space="preserve"> </w:t>
      </w:r>
      <w:r w:rsidRPr="00283806">
        <w:rPr>
          <w:w w:val="105"/>
        </w:rPr>
        <w:t>and</w:t>
      </w:r>
      <w:r w:rsidRPr="00283806">
        <w:rPr>
          <w:spacing w:val="9"/>
          <w:w w:val="105"/>
        </w:rPr>
        <w:t xml:space="preserve"> </w:t>
      </w:r>
      <w:r w:rsidRPr="00283806">
        <w:rPr>
          <w:w w:val="105"/>
        </w:rPr>
        <w:t>their</w:t>
      </w:r>
      <w:r w:rsidRPr="00283806">
        <w:rPr>
          <w:spacing w:val="8"/>
          <w:w w:val="105"/>
        </w:rPr>
        <w:t xml:space="preserve"> </w:t>
      </w:r>
      <w:r w:rsidRPr="00283806">
        <w:rPr>
          <w:w w:val="105"/>
        </w:rPr>
        <w:t>support</w:t>
      </w:r>
      <w:r w:rsidRPr="00283806">
        <w:rPr>
          <w:spacing w:val="9"/>
          <w:w w:val="105"/>
        </w:rPr>
        <w:t xml:space="preserve"> </w:t>
      </w:r>
      <w:r w:rsidRPr="00283806">
        <w:rPr>
          <w:w w:val="105"/>
        </w:rPr>
        <w:t>of</w:t>
      </w:r>
      <w:r w:rsidRPr="00283806">
        <w:rPr>
          <w:spacing w:val="8"/>
          <w:w w:val="105"/>
        </w:rPr>
        <w:t xml:space="preserve"> </w:t>
      </w:r>
      <w:proofErr w:type="gramStart"/>
      <w:r w:rsidRPr="00283806">
        <w:rPr>
          <w:w w:val="105"/>
        </w:rPr>
        <w:t>the</w:t>
      </w:r>
      <w:r w:rsidRPr="00283806">
        <w:rPr>
          <w:spacing w:val="9"/>
          <w:w w:val="105"/>
        </w:rPr>
        <w:t xml:space="preserve"> </w:t>
      </w:r>
      <w:r w:rsidRPr="00283806">
        <w:rPr>
          <w:spacing w:val="-5"/>
          <w:w w:val="105"/>
        </w:rPr>
        <w:t>AIM</w:t>
      </w:r>
      <w:proofErr w:type="gramEnd"/>
    </w:p>
    <w:p w14:paraId="27513BC6" w14:textId="77777777" w:rsidR="00D67C1E" w:rsidRPr="00283806" w:rsidRDefault="001265CA">
      <w:pPr>
        <w:pStyle w:val="BodyText"/>
        <w:spacing w:line="225" w:lineRule="auto"/>
        <w:ind w:left="143" w:right="49"/>
      </w:pPr>
      <w:r w:rsidRPr="00283806">
        <w:rPr>
          <w:w w:val="105"/>
        </w:rPr>
        <w:t>Act. To the extent that these comments relate to EPA actions under other provisions of the AIM Act, such as the</w:t>
      </w:r>
      <w:r w:rsidRPr="00283806">
        <w:rPr>
          <w:spacing w:val="40"/>
          <w:w w:val="105"/>
        </w:rPr>
        <w:t xml:space="preserve"> </w:t>
      </w:r>
      <w:r w:rsidRPr="00283806">
        <w:rPr>
          <w:w w:val="105"/>
        </w:rPr>
        <w:t>HFC phasedown or restrictions under subsection (i) of the AIM Act, they are beyond the scope of this rulemaking and thus require no further response.</w:t>
      </w:r>
    </w:p>
    <w:p w14:paraId="726EED59" w14:textId="77777777" w:rsidR="00D67C1E" w:rsidRPr="00283806" w:rsidRDefault="001265CA">
      <w:pPr>
        <w:spacing w:line="183" w:lineRule="exact"/>
        <w:ind w:left="323"/>
        <w:rPr>
          <w:sz w:val="18"/>
        </w:rPr>
      </w:pPr>
      <w:r w:rsidRPr="00283806">
        <w:rPr>
          <w:rFonts w:ascii="Book Antiqua"/>
          <w:i/>
          <w:w w:val="105"/>
          <w:sz w:val="18"/>
        </w:rPr>
        <w:t>Comment:</w:t>
      </w:r>
      <w:r w:rsidRPr="00283806">
        <w:rPr>
          <w:rFonts w:ascii="Book Antiqua"/>
          <w:i/>
          <w:spacing w:val="28"/>
          <w:w w:val="105"/>
          <w:sz w:val="18"/>
        </w:rPr>
        <w:t xml:space="preserve"> </w:t>
      </w:r>
      <w:r w:rsidRPr="00283806">
        <w:rPr>
          <w:w w:val="105"/>
          <w:sz w:val="18"/>
        </w:rPr>
        <w:t>Three</w:t>
      </w:r>
      <w:r w:rsidRPr="00283806">
        <w:rPr>
          <w:spacing w:val="33"/>
          <w:w w:val="105"/>
          <w:sz w:val="18"/>
        </w:rPr>
        <w:t xml:space="preserve"> </w:t>
      </w:r>
      <w:proofErr w:type="gramStart"/>
      <w:r w:rsidRPr="00283806">
        <w:rPr>
          <w:spacing w:val="-2"/>
          <w:w w:val="105"/>
          <w:sz w:val="18"/>
        </w:rPr>
        <w:t>commenters</w:t>
      </w:r>
      <w:proofErr w:type="gramEnd"/>
    </w:p>
    <w:p w14:paraId="2494680B" w14:textId="77777777" w:rsidR="00D67C1E" w:rsidRPr="00283806" w:rsidRDefault="001265CA">
      <w:pPr>
        <w:pStyle w:val="BodyText"/>
        <w:spacing w:line="228" w:lineRule="auto"/>
        <w:ind w:left="143" w:right="84"/>
      </w:pPr>
      <w:r w:rsidRPr="00283806">
        <w:rPr>
          <w:w w:val="105"/>
        </w:rPr>
        <w:t>supported the Agency’s decision to not issue requirements under subsection (h)(2)(B) for MVAC servicing facilities. One commenter noted that the MVAC sector is unique, with regulations under 40 CFR part 82, subpart B, allowing recovered and recycled refrigerant to be returned to the same MVAC for continued use by the same owner or used to service a different MVAC</w:t>
      </w:r>
      <w:r w:rsidRPr="00283806">
        <w:rPr>
          <w:spacing w:val="80"/>
          <w:w w:val="105"/>
        </w:rPr>
        <w:t xml:space="preserve"> </w:t>
      </w:r>
      <w:r w:rsidRPr="00283806">
        <w:rPr>
          <w:w w:val="105"/>
        </w:rPr>
        <w:t>system. Another commenter stated that implementing requirements under the</w:t>
      </w:r>
    </w:p>
    <w:p w14:paraId="6C683972" w14:textId="77777777" w:rsidR="00D67C1E" w:rsidRPr="00283806" w:rsidRDefault="001265CA">
      <w:pPr>
        <w:pStyle w:val="BodyText"/>
        <w:spacing w:before="136" w:line="225" w:lineRule="auto"/>
        <w:ind w:left="144" w:right="254"/>
      </w:pPr>
      <w:r w:rsidRPr="00283806">
        <w:br w:type="column"/>
      </w:r>
      <w:r w:rsidRPr="00283806">
        <w:rPr>
          <w:w w:val="105"/>
        </w:rPr>
        <w:t>AIM Act for the MVAC sector or requiring the return of refrigerant heel in disposable cylinders to reclaimers would have a significant cost impact with limited environmental benefits. The commenter further stated that SAE standards already require section 609- certified technicians to recover the refrigerant heel in disposable cylinders and that refrigerant heel amounts are less than one pound under SAE J2788 standards specifications performed in laboratory testing.</w:t>
      </w:r>
    </w:p>
    <w:p w14:paraId="7570C73E" w14:textId="77777777" w:rsidR="00D67C1E" w:rsidRPr="00283806" w:rsidRDefault="001265CA">
      <w:pPr>
        <w:spacing w:line="181" w:lineRule="exact"/>
        <w:ind w:left="144" w:firstLine="180"/>
        <w:rPr>
          <w:sz w:val="18"/>
        </w:rPr>
      </w:pPr>
      <w:r w:rsidRPr="00283806">
        <w:rPr>
          <w:rFonts w:ascii="Book Antiqua"/>
          <w:i/>
          <w:w w:val="110"/>
          <w:sz w:val="18"/>
        </w:rPr>
        <w:t>Response:</w:t>
      </w:r>
      <w:r w:rsidRPr="00283806">
        <w:rPr>
          <w:rFonts w:ascii="Book Antiqua"/>
          <w:i/>
          <w:spacing w:val="2"/>
          <w:w w:val="110"/>
          <w:sz w:val="18"/>
        </w:rPr>
        <w:t xml:space="preserve"> </w:t>
      </w:r>
      <w:r w:rsidRPr="00283806">
        <w:rPr>
          <w:w w:val="110"/>
          <w:sz w:val="18"/>
        </w:rPr>
        <w:t>EPA</w:t>
      </w:r>
      <w:r w:rsidRPr="00283806">
        <w:rPr>
          <w:spacing w:val="8"/>
          <w:w w:val="110"/>
          <w:sz w:val="18"/>
        </w:rPr>
        <w:t xml:space="preserve"> </w:t>
      </w:r>
      <w:r w:rsidRPr="00283806">
        <w:rPr>
          <w:w w:val="110"/>
          <w:sz w:val="18"/>
        </w:rPr>
        <w:t>acknowledges</w:t>
      </w:r>
      <w:r w:rsidRPr="00283806">
        <w:rPr>
          <w:spacing w:val="8"/>
          <w:w w:val="110"/>
          <w:sz w:val="18"/>
        </w:rPr>
        <w:t xml:space="preserve"> </w:t>
      </w:r>
      <w:r w:rsidRPr="00283806">
        <w:rPr>
          <w:spacing w:val="-2"/>
          <w:w w:val="110"/>
          <w:sz w:val="18"/>
        </w:rPr>
        <w:t>these</w:t>
      </w:r>
    </w:p>
    <w:p w14:paraId="0298870B" w14:textId="77777777" w:rsidR="00D67C1E" w:rsidRPr="00283806" w:rsidRDefault="001265CA">
      <w:pPr>
        <w:pStyle w:val="BodyText"/>
        <w:spacing w:line="225" w:lineRule="auto"/>
        <w:ind w:left="144" w:right="141"/>
      </w:pPr>
      <w:r w:rsidRPr="00283806">
        <w:rPr>
          <w:w w:val="105"/>
        </w:rPr>
        <w:t>comments. EPA did not propose and is not finalizing requirements in this rulemaking</w:t>
      </w:r>
      <w:r w:rsidRPr="00283806">
        <w:rPr>
          <w:spacing w:val="-10"/>
          <w:w w:val="105"/>
        </w:rPr>
        <w:t xml:space="preserve"> </w:t>
      </w:r>
      <w:r w:rsidRPr="00283806">
        <w:rPr>
          <w:w w:val="105"/>
        </w:rPr>
        <w:t>under</w:t>
      </w:r>
      <w:r w:rsidRPr="00283806">
        <w:rPr>
          <w:spacing w:val="-11"/>
          <w:w w:val="105"/>
        </w:rPr>
        <w:t xml:space="preserve"> </w:t>
      </w:r>
      <w:r w:rsidRPr="00283806">
        <w:rPr>
          <w:w w:val="105"/>
        </w:rPr>
        <w:t>subsection</w:t>
      </w:r>
      <w:r w:rsidRPr="00283806">
        <w:rPr>
          <w:spacing w:val="-10"/>
          <w:w w:val="105"/>
        </w:rPr>
        <w:t xml:space="preserve"> </w:t>
      </w:r>
      <w:r w:rsidRPr="00283806">
        <w:rPr>
          <w:w w:val="105"/>
        </w:rPr>
        <w:t>(h)(2)(B)</w:t>
      </w:r>
      <w:r w:rsidRPr="00283806">
        <w:rPr>
          <w:spacing w:val="-10"/>
          <w:w w:val="105"/>
        </w:rPr>
        <w:t xml:space="preserve"> </w:t>
      </w:r>
      <w:r w:rsidRPr="00283806">
        <w:rPr>
          <w:w w:val="105"/>
        </w:rPr>
        <w:t>of the</w:t>
      </w:r>
      <w:r w:rsidRPr="00283806">
        <w:rPr>
          <w:spacing w:val="40"/>
          <w:w w:val="105"/>
        </w:rPr>
        <w:t xml:space="preserve"> </w:t>
      </w:r>
      <w:r w:rsidRPr="00283806">
        <w:rPr>
          <w:w w:val="105"/>
        </w:rPr>
        <w:t>AIM</w:t>
      </w:r>
      <w:r w:rsidRPr="00283806">
        <w:rPr>
          <w:spacing w:val="40"/>
          <w:w w:val="105"/>
        </w:rPr>
        <w:t xml:space="preserve"> </w:t>
      </w:r>
      <w:r w:rsidRPr="00283806">
        <w:rPr>
          <w:w w:val="105"/>
        </w:rPr>
        <w:t>Act</w:t>
      </w:r>
      <w:r w:rsidRPr="00283806">
        <w:rPr>
          <w:spacing w:val="40"/>
          <w:w w:val="105"/>
        </w:rPr>
        <w:t xml:space="preserve"> </w:t>
      </w:r>
      <w:r w:rsidRPr="00283806">
        <w:rPr>
          <w:w w:val="105"/>
        </w:rPr>
        <w:t>for</w:t>
      </w:r>
      <w:r w:rsidRPr="00283806">
        <w:rPr>
          <w:spacing w:val="40"/>
          <w:w w:val="105"/>
        </w:rPr>
        <w:t xml:space="preserve"> </w:t>
      </w:r>
      <w:r w:rsidRPr="00283806">
        <w:rPr>
          <w:w w:val="105"/>
        </w:rPr>
        <w:t>MVAC</w:t>
      </w:r>
      <w:r w:rsidRPr="00283806">
        <w:rPr>
          <w:spacing w:val="40"/>
          <w:w w:val="105"/>
        </w:rPr>
        <w:t xml:space="preserve"> </w:t>
      </w:r>
      <w:r w:rsidRPr="00283806">
        <w:rPr>
          <w:w w:val="105"/>
        </w:rPr>
        <w:t>servicing facilities that currently reclaim or</w:t>
      </w:r>
      <w:r w:rsidRPr="00283806">
        <w:rPr>
          <w:spacing w:val="80"/>
          <w:w w:val="105"/>
        </w:rPr>
        <w:t xml:space="preserve"> </w:t>
      </w:r>
      <w:r w:rsidRPr="00283806">
        <w:rPr>
          <w:w w:val="105"/>
        </w:rPr>
        <w:t>recycle recovered MVAC refrigerant.</w:t>
      </w:r>
    </w:p>
    <w:p w14:paraId="30816BAB" w14:textId="77777777" w:rsidR="00D67C1E" w:rsidRPr="00283806" w:rsidRDefault="001265CA">
      <w:pPr>
        <w:pStyle w:val="BodyText"/>
        <w:spacing w:line="225" w:lineRule="auto"/>
        <w:ind w:left="144" w:right="254"/>
      </w:pPr>
      <w:r w:rsidRPr="00283806">
        <w:rPr>
          <w:w w:val="105"/>
        </w:rPr>
        <w:t>Thus, EPA need not further address the points in these comments related to such requirements.</w:t>
      </w:r>
    </w:p>
    <w:p w14:paraId="700C3B37" w14:textId="77777777" w:rsidR="00D67C1E" w:rsidRPr="00283806" w:rsidRDefault="001265CA">
      <w:pPr>
        <w:pStyle w:val="BodyText"/>
        <w:spacing w:line="213" w:lineRule="auto"/>
        <w:ind w:left="144" w:right="254" w:firstLine="180"/>
      </w:pPr>
      <w:r w:rsidRPr="00283806">
        <w:rPr>
          <w:rFonts w:ascii="Book Antiqua" w:hAnsi="Book Antiqua"/>
          <w:i/>
          <w:w w:val="110"/>
        </w:rPr>
        <w:t xml:space="preserve">Comment: </w:t>
      </w:r>
      <w:r w:rsidRPr="00283806">
        <w:rPr>
          <w:w w:val="110"/>
        </w:rPr>
        <w:t>A few commenters expressed</w:t>
      </w:r>
      <w:r w:rsidRPr="00283806">
        <w:rPr>
          <w:spacing w:val="-10"/>
          <w:w w:val="110"/>
        </w:rPr>
        <w:t xml:space="preserve"> </w:t>
      </w:r>
      <w:r w:rsidRPr="00283806">
        <w:rPr>
          <w:w w:val="110"/>
        </w:rPr>
        <w:t>support</w:t>
      </w:r>
      <w:r w:rsidRPr="00283806">
        <w:rPr>
          <w:spacing w:val="-10"/>
          <w:w w:val="110"/>
        </w:rPr>
        <w:t xml:space="preserve"> </w:t>
      </w:r>
      <w:proofErr w:type="gramStart"/>
      <w:r w:rsidRPr="00283806">
        <w:rPr>
          <w:w w:val="110"/>
        </w:rPr>
        <w:t>of</w:t>
      </w:r>
      <w:proofErr w:type="gramEnd"/>
      <w:r w:rsidRPr="00283806">
        <w:rPr>
          <w:spacing w:val="-9"/>
          <w:w w:val="110"/>
        </w:rPr>
        <w:t xml:space="preserve"> </w:t>
      </w:r>
      <w:r w:rsidRPr="00283806">
        <w:rPr>
          <w:w w:val="110"/>
        </w:rPr>
        <w:t>EPA’s</w:t>
      </w:r>
      <w:r w:rsidRPr="00283806">
        <w:rPr>
          <w:spacing w:val="-10"/>
          <w:w w:val="110"/>
        </w:rPr>
        <w:t xml:space="preserve"> </w:t>
      </w:r>
      <w:r w:rsidRPr="00283806">
        <w:rPr>
          <w:w w:val="110"/>
        </w:rPr>
        <w:t>decision</w:t>
      </w:r>
      <w:r w:rsidRPr="00283806">
        <w:rPr>
          <w:spacing w:val="-9"/>
          <w:w w:val="110"/>
        </w:rPr>
        <w:t xml:space="preserve"> </w:t>
      </w:r>
      <w:r w:rsidRPr="00283806">
        <w:rPr>
          <w:spacing w:val="-5"/>
          <w:w w:val="110"/>
        </w:rPr>
        <w:t>to</w:t>
      </w:r>
    </w:p>
    <w:p w14:paraId="20489163" w14:textId="77777777" w:rsidR="00D67C1E" w:rsidRPr="00283806" w:rsidRDefault="001265CA">
      <w:pPr>
        <w:pStyle w:val="BodyText"/>
        <w:spacing w:line="225" w:lineRule="auto"/>
        <w:ind w:left="144" w:right="131"/>
      </w:pPr>
      <w:r w:rsidRPr="00283806">
        <w:rPr>
          <w:w w:val="105"/>
        </w:rPr>
        <w:t>give time for SAE, AHRI, MACS, other</w:t>
      </w:r>
      <w:r w:rsidRPr="00283806">
        <w:rPr>
          <w:spacing w:val="40"/>
          <w:w w:val="105"/>
        </w:rPr>
        <w:t xml:space="preserve"> </w:t>
      </w:r>
      <w:r w:rsidRPr="00283806">
        <w:rPr>
          <w:w w:val="105"/>
        </w:rPr>
        <w:t>industry stakeholders, and/or other entities to consider a new purity</w:t>
      </w:r>
      <w:r w:rsidRPr="00283806">
        <w:rPr>
          <w:spacing w:val="40"/>
          <w:w w:val="105"/>
        </w:rPr>
        <w:t xml:space="preserve"> </w:t>
      </w:r>
      <w:r w:rsidRPr="00283806">
        <w:rPr>
          <w:w w:val="105"/>
        </w:rPr>
        <w:t>standard for MVAC systems. One commenter noted that the ‘‘appropriate successor standard’’ provision under the AIM Act would allow the current</w:t>
      </w:r>
      <w:r w:rsidRPr="00283806">
        <w:rPr>
          <w:spacing w:val="80"/>
          <w:w w:val="105"/>
        </w:rPr>
        <w:t xml:space="preserve"> </w:t>
      </w:r>
      <w:r w:rsidRPr="00283806">
        <w:rPr>
          <w:w w:val="105"/>
        </w:rPr>
        <w:t>practice of on-site recycling of MVAC refrigerant</w:t>
      </w:r>
      <w:r w:rsidRPr="00283806">
        <w:rPr>
          <w:spacing w:val="-7"/>
          <w:w w:val="105"/>
        </w:rPr>
        <w:t xml:space="preserve"> </w:t>
      </w:r>
      <w:r w:rsidRPr="00283806">
        <w:rPr>
          <w:w w:val="105"/>
        </w:rPr>
        <w:t>prior</w:t>
      </w:r>
      <w:r w:rsidRPr="00283806">
        <w:rPr>
          <w:spacing w:val="-7"/>
          <w:w w:val="105"/>
        </w:rPr>
        <w:t xml:space="preserve"> </w:t>
      </w:r>
      <w:r w:rsidRPr="00283806">
        <w:rPr>
          <w:w w:val="105"/>
        </w:rPr>
        <w:t>to</w:t>
      </w:r>
      <w:r w:rsidRPr="00283806">
        <w:rPr>
          <w:spacing w:val="-7"/>
          <w:w w:val="105"/>
        </w:rPr>
        <w:t xml:space="preserve"> </w:t>
      </w:r>
      <w:r w:rsidRPr="00283806">
        <w:rPr>
          <w:w w:val="105"/>
        </w:rPr>
        <w:t>transfer</w:t>
      </w:r>
      <w:r w:rsidRPr="00283806">
        <w:rPr>
          <w:spacing w:val="-7"/>
          <w:w w:val="105"/>
        </w:rPr>
        <w:t xml:space="preserve"> </w:t>
      </w:r>
      <w:r w:rsidRPr="00283806">
        <w:rPr>
          <w:w w:val="105"/>
        </w:rPr>
        <w:t>of</w:t>
      </w:r>
      <w:r w:rsidRPr="00283806">
        <w:rPr>
          <w:spacing w:val="-7"/>
          <w:w w:val="105"/>
        </w:rPr>
        <w:t xml:space="preserve"> </w:t>
      </w:r>
      <w:r w:rsidRPr="00283806">
        <w:rPr>
          <w:w w:val="105"/>
        </w:rPr>
        <w:t>ownership to continue through either a modified version of AHRI 700 or, preferably, an updated version of SAE J2099. Another commenter stated that they supported the Agency’s decision to defer to AHRI and</w:t>
      </w:r>
      <w:r w:rsidRPr="00283806">
        <w:rPr>
          <w:spacing w:val="40"/>
          <w:w w:val="105"/>
        </w:rPr>
        <w:t xml:space="preserve"> </w:t>
      </w:r>
      <w:r w:rsidRPr="00283806">
        <w:rPr>
          <w:w w:val="105"/>
        </w:rPr>
        <w:t>SAE</w:t>
      </w:r>
      <w:r w:rsidRPr="00283806">
        <w:rPr>
          <w:spacing w:val="40"/>
          <w:w w:val="105"/>
        </w:rPr>
        <w:t xml:space="preserve"> </w:t>
      </w:r>
      <w:r w:rsidRPr="00283806">
        <w:rPr>
          <w:w w:val="105"/>
        </w:rPr>
        <w:t>to</w:t>
      </w:r>
      <w:r w:rsidRPr="00283806">
        <w:rPr>
          <w:spacing w:val="40"/>
          <w:w w:val="105"/>
        </w:rPr>
        <w:t xml:space="preserve"> </w:t>
      </w:r>
      <w:r w:rsidRPr="00283806">
        <w:rPr>
          <w:w w:val="105"/>
        </w:rPr>
        <w:t>develop</w:t>
      </w:r>
      <w:r w:rsidRPr="00283806">
        <w:rPr>
          <w:spacing w:val="40"/>
          <w:w w:val="105"/>
        </w:rPr>
        <w:t xml:space="preserve"> </w:t>
      </w:r>
      <w:r w:rsidRPr="00283806">
        <w:rPr>
          <w:w w:val="105"/>
        </w:rPr>
        <w:t>an</w:t>
      </w:r>
      <w:r w:rsidRPr="00283806">
        <w:rPr>
          <w:spacing w:val="40"/>
          <w:w w:val="105"/>
        </w:rPr>
        <w:t xml:space="preserve"> </w:t>
      </w:r>
      <w:r w:rsidRPr="00283806">
        <w:rPr>
          <w:w w:val="105"/>
        </w:rPr>
        <w:t>updated standard or standards and mentioned that AHRI has a long track record of developing robust industry standards</w:t>
      </w:r>
      <w:r w:rsidRPr="00283806">
        <w:rPr>
          <w:spacing w:val="40"/>
          <w:w w:val="105"/>
        </w:rPr>
        <w:t xml:space="preserve"> </w:t>
      </w:r>
      <w:r w:rsidRPr="00283806">
        <w:rPr>
          <w:w w:val="105"/>
        </w:rPr>
        <w:t xml:space="preserve">and is best poised to update Standard 700–2016. One commenter stated that SAE is currently reviewing and revising SAE J2099 to address concerns in the auto sector about using purity-based refrigerant compositions rather than performance-based metrics as a basis for decisions on whether a vehicle must be recovered, or if the material can be </w:t>
      </w:r>
      <w:r w:rsidRPr="00283806">
        <w:rPr>
          <w:spacing w:val="-2"/>
          <w:w w:val="105"/>
        </w:rPr>
        <w:t>recycled.</w:t>
      </w:r>
    </w:p>
    <w:p w14:paraId="1AFE45BB" w14:textId="77777777" w:rsidR="00D67C1E" w:rsidRPr="00283806" w:rsidRDefault="001265CA">
      <w:pPr>
        <w:spacing w:line="175" w:lineRule="exact"/>
        <w:ind w:left="324"/>
        <w:rPr>
          <w:sz w:val="18"/>
        </w:rPr>
      </w:pPr>
      <w:r w:rsidRPr="00283806">
        <w:rPr>
          <w:rFonts w:ascii="Book Antiqua"/>
          <w:i/>
          <w:w w:val="110"/>
          <w:sz w:val="18"/>
        </w:rPr>
        <w:t>Response:</w:t>
      </w:r>
      <w:r w:rsidRPr="00283806">
        <w:rPr>
          <w:rFonts w:ascii="Book Antiqua"/>
          <w:i/>
          <w:spacing w:val="2"/>
          <w:w w:val="110"/>
          <w:sz w:val="18"/>
        </w:rPr>
        <w:t xml:space="preserve"> </w:t>
      </w:r>
      <w:r w:rsidRPr="00283806">
        <w:rPr>
          <w:w w:val="110"/>
          <w:sz w:val="18"/>
        </w:rPr>
        <w:t>EPA</w:t>
      </w:r>
      <w:r w:rsidRPr="00283806">
        <w:rPr>
          <w:spacing w:val="8"/>
          <w:w w:val="110"/>
          <w:sz w:val="18"/>
        </w:rPr>
        <w:t xml:space="preserve"> </w:t>
      </w:r>
      <w:r w:rsidRPr="00283806">
        <w:rPr>
          <w:w w:val="110"/>
          <w:sz w:val="18"/>
        </w:rPr>
        <w:t>acknowledges</w:t>
      </w:r>
      <w:r w:rsidRPr="00283806">
        <w:rPr>
          <w:spacing w:val="8"/>
          <w:w w:val="110"/>
          <w:sz w:val="18"/>
        </w:rPr>
        <w:t xml:space="preserve"> </w:t>
      </w:r>
      <w:r w:rsidRPr="00283806">
        <w:rPr>
          <w:spacing w:val="-2"/>
          <w:w w:val="110"/>
          <w:sz w:val="18"/>
        </w:rPr>
        <w:t>these</w:t>
      </w:r>
    </w:p>
    <w:p w14:paraId="27C5C458" w14:textId="77777777" w:rsidR="00D67C1E" w:rsidRPr="00283806" w:rsidRDefault="001265CA">
      <w:pPr>
        <w:pStyle w:val="BodyText"/>
        <w:spacing w:line="225" w:lineRule="auto"/>
        <w:ind w:left="144" w:right="142"/>
      </w:pPr>
      <w:r w:rsidRPr="00283806">
        <w:rPr>
          <w:w w:val="105"/>
        </w:rPr>
        <w:t>comments.</w:t>
      </w:r>
      <w:r w:rsidRPr="00283806">
        <w:rPr>
          <w:spacing w:val="40"/>
          <w:w w:val="105"/>
        </w:rPr>
        <w:t xml:space="preserve"> </w:t>
      </w:r>
      <w:r w:rsidRPr="00283806">
        <w:rPr>
          <w:w w:val="105"/>
        </w:rPr>
        <w:t>As</w:t>
      </w:r>
      <w:r w:rsidRPr="00283806">
        <w:rPr>
          <w:spacing w:val="40"/>
          <w:w w:val="105"/>
        </w:rPr>
        <w:t xml:space="preserve"> </w:t>
      </w:r>
      <w:r w:rsidRPr="00283806">
        <w:rPr>
          <w:w w:val="105"/>
        </w:rPr>
        <w:t>noted</w:t>
      </w:r>
      <w:r w:rsidRPr="00283806">
        <w:rPr>
          <w:spacing w:val="40"/>
          <w:w w:val="105"/>
        </w:rPr>
        <w:t xml:space="preserve"> </w:t>
      </w:r>
      <w:r w:rsidRPr="00283806">
        <w:rPr>
          <w:w w:val="105"/>
        </w:rPr>
        <w:t>previously,</w:t>
      </w:r>
      <w:r w:rsidRPr="00283806">
        <w:rPr>
          <w:spacing w:val="40"/>
          <w:w w:val="105"/>
        </w:rPr>
        <w:t xml:space="preserve"> </w:t>
      </w:r>
      <w:r w:rsidRPr="00283806">
        <w:rPr>
          <w:w w:val="105"/>
        </w:rPr>
        <w:t>EPA did not propose and is not finalizing requirements</w:t>
      </w:r>
      <w:r w:rsidRPr="00283806">
        <w:rPr>
          <w:spacing w:val="-6"/>
          <w:w w:val="105"/>
        </w:rPr>
        <w:t xml:space="preserve"> </w:t>
      </w:r>
      <w:r w:rsidRPr="00283806">
        <w:rPr>
          <w:w w:val="105"/>
        </w:rPr>
        <w:t>under</w:t>
      </w:r>
      <w:r w:rsidRPr="00283806">
        <w:rPr>
          <w:spacing w:val="-6"/>
          <w:w w:val="105"/>
        </w:rPr>
        <w:t xml:space="preserve"> </w:t>
      </w:r>
      <w:r w:rsidRPr="00283806">
        <w:rPr>
          <w:w w:val="105"/>
        </w:rPr>
        <w:t>subsection</w:t>
      </w:r>
      <w:r w:rsidRPr="00283806">
        <w:rPr>
          <w:spacing w:val="-6"/>
          <w:w w:val="105"/>
        </w:rPr>
        <w:t xml:space="preserve"> </w:t>
      </w:r>
      <w:r w:rsidRPr="00283806">
        <w:rPr>
          <w:w w:val="105"/>
        </w:rPr>
        <w:t>(h)(2)(B) of the AIM Act for MVAC servicing facilities that currently reclaim or</w:t>
      </w:r>
      <w:r w:rsidRPr="00283806">
        <w:rPr>
          <w:spacing w:val="80"/>
          <w:w w:val="105"/>
        </w:rPr>
        <w:t xml:space="preserve"> </w:t>
      </w:r>
      <w:r w:rsidRPr="00283806">
        <w:rPr>
          <w:w w:val="105"/>
        </w:rPr>
        <w:t xml:space="preserve">recycle recovered MVAC refrigerant in this rulemaking. Thus, EPA need not further address the points in these comments related to such requirements. Further, as explained earlier in this section, EPA intends to consider issuing such proposed regulations for this sector </w:t>
      </w:r>
      <w:proofErr w:type="gramStart"/>
      <w:r w:rsidRPr="00283806">
        <w:rPr>
          <w:w w:val="105"/>
        </w:rPr>
        <w:t>at a later date</w:t>
      </w:r>
      <w:proofErr w:type="gramEnd"/>
      <w:r w:rsidRPr="00283806">
        <w:rPr>
          <w:w w:val="105"/>
        </w:rPr>
        <w:t>. The Agency reminds stakeholders that the regulatory provisions under CAA sections 608 and</w:t>
      </w:r>
    </w:p>
    <w:p w14:paraId="690A1A4A"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7" w:space="40"/>
            <w:col w:w="3499" w:space="39"/>
            <w:col w:w="3625"/>
          </w:cols>
        </w:sectPr>
      </w:pPr>
    </w:p>
    <w:p w14:paraId="439F7D2C" w14:textId="77777777" w:rsidR="00D67C1E" w:rsidRPr="00283806" w:rsidRDefault="001265CA">
      <w:pPr>
        <w:pStyle w:val="BodyText"/>
        <w:spacing w:before="136" w:line="225" w:lineRule="auto"/>
      </w:pPr>
      <w:r w:rsidRPr="00283806">
        <w:rPr>
          <w:w w:val="105"/>
        </w:rPr>
        <w:lastRenderedPageBreak/>
        <w:t xml:space="preserve">609 continue to apply and cover both servicing and end-of-life for MVAC </w:t>
      </w:r>
      <w:r w:rsidRPr="00283806">
        <w:rPr>
          <w:spacing w:val="-2"/>
          <w:w w:val="105"/>
        </w:rPr>
        <w:t>systems.</w:t>
      </w:r>
    </w:p>
    <w:p w14:paraId="5891D73A" w14:textId="77777777" w:rsidR="00D67C1E" w:rsidRPr="00283806" w:rsidRDefault="001265CA">
      <w:pPr>
        <w:spacing w:line="184" w:lineRule="exact"/>
        <w:ind w:left="340"/>
        <w:rPr>
          <w:sz w:val="18"/>
        </w:rPr>
      </w:pPr>
      <w:r w:rsidRPr="00283806">
        <w:rPr>
          <w:rFonts w:ascii="Book Antiqua"/>
          <w:i/>
          <w:w w:val="105"/>
          <w:sz w:val="18"/>
        </w:rPr>
        <w:t>Comment:</w:t>
      </w:r>
      <w:r w:rsidRPr="00283806">
        <w:rPr>
          <w:rFonts w:ascii="Book Antiqua"/>
          <w:i/>
          <w:spacing w:val="15"/>
          <w:w w:val="105"/>
          <w:sz w:val="18"/>
        </w:rPr>
        <w:t xml:space="preserve"> </w:t>
      </w:r>
      <w:r w:rsidRPr="00283806">
        <w:rPr>
          <w:w w:val="105"/>
          <w:sz w:val="18"/>
        </w:rPr>
        <w:t>One</w:t>
      </w:r>
      <w:r w:rsidRPr="00283806">
        <w:rPr>
          <w:spacing w:val="20"/>
          <w:w w:val="105"/>
          <w:sz w:val="18"/>
        </w:rPr>
        <w:t xml:space="preserve"> </w:t>
      </w:r>
      <w:r w:rsidRPr="00283806">
        <w:rPr>
          <w:w w:val="105"/>
          <w:sz w:val="18"/>
        </w:rPr>
        <w:t>commenter</w:t>
      </w:r>
      <w:r w:rsidRPr="00283806">
        <w:rPr>
          <w:spacing w:val="20"/>
          <w:w w:val="105"/>
          <w:sz w:val="18"/>
        </w:rPr>
        <w:t xml:space="preserve"> </w:t>
      </w:r>
      <w:r w:rsidRPr="00283806">
        <w:rPr>
          <w:w w:val="105"/>
          <w:sz w:val="18"/>
        </w:rPr>
        <w:t>stated</w:t>
      </w:r>
      <w:r w:rsidRPr="00283806">
        <w:rPr>
          <w:spacing w:val="20"/>
          <w:w w:val="105"/>
          <w:sz w:val="18"/>
        </w:rPr>
        <w:t xml:space="preserve"> </w:t>
      </w:r>
      <w:r w:rsidRPr="00283806">
        <w:rPr>
          <w:spacing w:val="-4"/>
          <w:w w:val="105"/>
          <w:sz w:val="18"/>
        </w:rPr>
        <w:t>that</w:t>
      </w:r>
    </w:p>
    <w:p w14:paraId="6DFAA888" w14:textId="77777777" w:rsidR="00D67C1E" w:rsidRPr="00283806" w:rsidRDefault="001265CA">
      <w:pPr>
        <w:pStyle w:val="BodyText"/>
        <w:spacing w:line="225" w:lineRule="auto"/>
        <w:ind w:right="21"/>
      </w:pPr>
      <w:r w:rsidRPr="00283806">
        <w:rPr>
          <w:w w:val="105"/>
        </w:rPr>
        <w:t>EPA should require 100 percent reclaimed refrigerant in all small containers of MVAC refrigerant by 2027, consistent with CARB’s Small Container of Automotive Refrigerant regulation.</w:t>
      </w:r>
    </w:p>
    <w:p w14:paraId="442048CA" w14:textId="77777777" w:rsidR="00D67C1E" w:rsidRPr="00283806" w:rsidRDefault="001265CA">
      <w:pPr>
        <w:pStyle w:val="BodyText"/>
        <w:spacing w:line="225" w:lineRule="auto"/>
      </w:pPr>
      <w:r w:rsidRPr="00283806">
        <w:rPr>
          <w:w w:val="105"/>
        </w:rPr>
        <w:t>The commenter stated that after conversations will stakeholders, they anticipate that there will be enough supply of reclaimed HFC–134a to meet demand for the refrigerant.</w:t>
      </w:r>
    </w:p>
    <w:p w14:paraId="25955011" w14:textId="77777777" w:rsidR="00D67C1E" w:rsidRPr="00283806" w:rsidRDefault="001265CA">
      <w:pPr>
        <w:spacing w:line="184" w:lineRule="exact"/>
        <w:ind w:left="160" w:firstLine="180"/>
        <w:rPr>
          <w:sz w:val="18"/>
        </w:rPr>
      </w:pPr>
      <w:r w:rsidRPr="00283806">
        <w:rPr>
          <w:rFonts w:ascii="Book Antiqua"/>
          <w:i/>
          <w:w w:val="105"/>
          <w:sz w:val="18"/>
        </w:rPr>
        <w:t>Response:</w:t>
      </w:r>
      <w:r w:rsidRPr="00283806">
        <w:rPr>
          <w:rFonts w:ascii="Book Antiqua"/>
          <w:i/>
          <w:spacing w:val="26"/>
          <w:w w:val="105"/>
          <w:sz w:val="18"/>
        </w:rPr>
        <w:t xml:space="preserve"> </w:t>
      </w:r>
      <w:r w:rsidRPr="00283806">
        <w:rPr>
          <w:w w:val="105"/>
          <w:sz w:val="18"/>
        </w:rPr>
        <w:t>EPA</w:t>
      </w:r>
      <w:r w:rsidRPr="00283806">
        <w:rPr>
          <w:spacing w:val="31"/>
          <w:w w:val="105"/>
          <w:sz w:val="18"/>
        </w:rPr>
        <w:t xml:space="preserve"> </w:t>
      </w:r>
      <w:r w:rsidRPr="00283806">
        <w:rPr>
          <w:w w:val="105"/>
          <w:sz w:val="18"/>
        </w:rPr>
        <w:t>responds</w:t>
      </w:r>
      <w:r w:rsidRPr="00283806">
        <w:rPr>
          <w:spacing w:val="32"/>
          <w:w w:val="105"/>
          <w:sz w:val="18"/>
        </w:rPr>
        <w:t xml:space="preserve"> </w:t>
      </w:r>
      <w:r w:rsidRPr="00283806">
        <w:rPr>
          <w:w w:val="105"/>
          <w:sz w:val="18"/>
        </w:rPr>
        <w:t>that</w:t>
      </w:r>
      <w:r w:rsidRPr="00283806">
        <w:rPr>
          <w:spacing w:val="31"/>
          <w:w w:val="105"/>
          <w:sz w:val="18"/>
        </w:rPr>
        <w:t xml:space="preserve"> </w:t>
      </w:r>
      <w:r w:rsidRPr="00283806">
        <w:rPr>
          <w:spacing w:val="-5"/>
          <w:w w:val="105"/>
          <w:sz w:val="18"/>
        </w:rPr>
        <w:t>the</w:t>
      </w:r>
    </w:p>
    <w:p w14:paraId="6C2D581E" w14:textId="77777777" w:rsidR="00D67C1E" w:rsidRPr="00283806" w:rsidRDefault="001265CA">
      <w:pPr>
        <w:pStyle w:val="BodyText"/>
        <w:spacing w:line="225" w:lineRule="auto"/>
        <w:ind w:right="38"/>
      </w:pPr>
      <w:r w:rsidRPr="00283806">
        <w:rPr>
          <w:w w:val="105"/>
        </w:rPr>
        <w:t>Agency did not propose and is not finalizing use of 100 percent reclaimed refrigerant in small containers of MVAC refrigerant. For reasons explained in section IV.E, the requirements related to the servicing and/or repair of certain refrigerant-containing equipment with reclaimed HFCs in the final rule are limited to stationary equipment.</w:t>
      </w:r>
    </w:p>
    <w:p w14:paraId="229A5CBA" w14:textId="77777777" w:rsidR="00D67C1E" w:rsidRPr="00283806" w:rsidRDefault="001265CA">
      <w:pPr>
        <w:pStyle w:val="Heading3"/>
        <w:numPr>
          <w:ilvl w:val="0"/>
          <w:numId w:val="64"/>
        </w:numPr>
        <w:tabs>
          <w:tab w:val="left" w:pos="389"/>
        </w:tabs>
        <w:spacing w:before="97" w:line="218" w:lineRule="auto"/>
        <w:ind w:left="160" w:right="249" w:firstLine="0"/>
        <w:rPr>
          <w:rFonts w:ascii="Book Antiqua"/>
        </w:rPr>
      </w:pPr>
      <w:r w:rsidRPr="00283806">
        <w:rPr>
          <w:rFonts w:ascii="Book Antiqua"/>
        </w:rPr>
        <w:t>How is EPA treating data reported under this rule?</w:t>
      </w:r>
    </w:p>
    <w:p w14:paraId="16E41FB8" w14:textId="77777777" w:rsidR="00D67C1E" w:rsidRPr="00283806" w:rsidRDefault="001265CA">
      <w:pPr>
        <w:pStyle w:val="BodyText"/>
        <w:spacing w:before="60" w:line="225" w:lineRule="auto"/>
        <w:ind w:right="3" w:firstLine="180"/>
      </w:pPr>
      <w:r w:rsidRPr="00283806">
        <w:rPr>
          <w:w w:val="105"/>
        </w:rPr>
        <w:t>Consistent with EPA’s commitment to transparency in program</w:t>
      </w:r>
      <w:r w:rsidRPr="00283806">
        <w:rPr>
          <w:spacing w:val="40"/>
          <w:w w:val="105"/>
        </w:rPr>
        <w:t xml:space="preserve"> </w:t>
      </w:r>
      <w:r w:rsidRPr="00283806">
        <w:rPr>
          <w:w w:val="105"/>
        </w:rPr>
        <w:t>implementation,</w:t>
      </w:r>
      <w:r w:rsidRPr="00283806">
        <w:rPr>
          <w:spacing w:val="40"/>
          <w:w w:val="105"/>
        </w:rPr>
        <w:t xml:space="preserve"> </w:t>
      </w:r>
      <w:r w:rsidRPr="00283806">
        <w:rPr>
          <w:w w:val="105"/>
        </w:rPr>
        <w:t>as</w:t>
      </w:r>
      <w:r w:rsidRPr="00283806">
        <w:rPr>
          <w:spacing w:val="40"/>
          <w:w w:val="105"/>
        </w:rPr>
        <w:t xml:space="preserve"> </w:t>
      </w:r>
      <w:r w:rsidRPr="00283806">
        <w:rPr>
          <w:w w:val="105"/>
        </w:rPr>
        <w:t>well</w:t>
      </w:r>
      <w:r w:rsidRPr="00283806">
        <w:rPr>
          <w:spacing w:val="40"/>
          <w:w w:val="105"/>
        </w:rPr>
        <w:t xml:space="preserve"> </w:t>
      </w:r>
      <w:r w:rsidRPr="00283806">
        <w:rPr>
          <w:w w:val="105"/>
        </w:rPr>
        <w:t>as</w:t>
      </w:r>
      <w:r w:rsidRPr="00283806">
        <w:rPr>
          <w:spacing w:val="40"/>
          <w:w w:val="105"/>
        </w:rPr>
        <w:t xml:space="preserve"> </w:t>
      </w:r>
      <w:r w:rsidRPr="00283806">
        <w:rPr>
          <w:w w:val="105"/>
        </w:rPr>
        <w:t>to proactively encourage compliance, support enforcement of program requirements and enable third-party engagement to complement EPA’s enforcement efforts, The Agency is finalizing</w:t>
      </w:r>
      <w:r w:rsidRPr="00283806">
        <w:rPr>
          <w:spacing w:val="-2"/>
          <w:w w:val="105"/>
        </w:rPr>
        <w:t xml:space="preserve"> </w:t>
      </w:r>
      <w:r w:rsidRPr="00283806">
        <w:rPr>
          <w:w w:val="105"/>
        </w:rPr>
        <w:t>requirements</w:t>
      </w:r>
      <w:r w:rsidRPr="00283806">
        <w:rPr>
          <w:spacing w:val="-2"/>
          <w:w w:val="105"/>
        </w:rPr>
        <w:t xml:space="preserve"> </w:t>
      </w:r>
      <w:r w:rsidRPr="00283806">
        <w:rPr>
          <w:w w:val="105"/>
        </w:rPr>
        <w:t>for</w:t>
      </w:r>
      <w:r w:rsidRPr="00283806">
        <w:rPr>
          <w:spacing w:val="-2"/>
          <w:w w:val="105"/>
        </w:rPr>
        <w:t xml:space="preserve"> </w:t>
      </w:r>
      <w:r w:rsidRPr="00283806">
        <w:rPr>
          <w:w w:val="105"/>
        </w:rPr>
        <w:t>the</w:t>
      </w:r>
      <w:r w:rsidRPr="00283806">
        <w:rPr>
          <w:spacing w:val="-2"/>
          <w:w w:val="105"/>
        </w:rPr>
        <w:t xml:space="preserve"> </w:t>
      </w:r>
      <w:r w:rsidRPr="00283806">
        <w:rPr>
          <w:w w:val="105"/>
        </w:rPr>
        <w:t>treatment and release of data that it will collect.</w:t>
      </w:r>
    </w:p>
    <w:p w14:paraId="48A188A5" w14:textId="77777777" w:rsidR="00D67C1E" w:rsidRPr="00283806" w:rsidRDefault="001265CA">
      <w:pPr>
        <w:pStyle w:val="BodyText"/>
        <w:spacing w:line="225" w:lineRule="auto"/>
        <w:ind w:right="48"/>
      </w:pPr>
      <w:r w:rsidRPr="00283806">
        <w:rPr>
          <w:w w:val="105"/>
        </w:rPr>
        <w:t xml:space="preserve">EPA is finalizing certain categorical emission data and confidentiality determinations for individual reported data elements that EPA will collect through this rulemaking. This action identifies certain information categories that must be submitted to EPA and will be subject to disclosure to the public without further notice because the information has been determined to be either ‘‘emission </w:t>
      </w:r>
      <w:proofErr w:type="gramStart"/>
      <w:r w:rsidRPr="00283806">
        <w:rPr>
          <w:w w:val="105"/>
        </w:rPr>
        <w:t>data’’</w:t>
      </w:r>
      <w:proofErr w:type="gramEnd"/>
      <w:r w:rsidRPr="00283806">
        <w:rPr>
          <w:w w:val="105"/>
        </w:rPr>
        <w:t xml:space="preserve"> under 40 CFR 2.301(a), or the Agency has found that the information does not meet the standard for confidential treatment under Exemption 4 of the Freedom of</w:t>
      </w:r>
    </w:p>
    <w:p w14:paraId="7804019F" w14:textId="77777777" w:rsidR="00D67C1E" w:rsidRPr="00283806" w:rsidRDefault="001265CA">
      <w:pPr>
        <w:pStyle w:val="BodyText"/>
        <w:spacing w:before="134" w:line="228" w:lineRule="auto"/>
        <w:ind w:left="143" w:right="53"/>
      </w:pPr>
      <w:r w:rsidRPr="00283806">
        <w:br w:type="column"/>
      </w:r>
      <w:r w:rsidRPr="00283806">
        <w:rPr>
          <w:w w:val="105"/>
        </w:rPr>
        <w:t>the same or similar information. Establishing these determinations through this rulemaking provides predictability for both information requesters and submitters. The emission data and confidentiality determinations in this rule will also increase transparency, as well as supporting compliance with, and enforcement of,</w:t>
      </w:r>
      <w:r w:rsidRPr="00283806">
        <w:rPr>
          <w:spacing w:val="80"/>
          <w:w w:val="105"/>
        </w:rPr>
        <w:t xml:space="preserve"> </w:t>
      </w:r>
      <w:r w:rsidRPr="00283806">
        <w:rPr>
          <w:w w:val="105"/>
        </w:rPr>
        <w:t>the program’s requirements.</w:t>
      </w:r>
    </w:p>
    <w:p w14:paraId="4CBF2F3D" w14:textId="77777777" w:rsidR="00D67C1E" w:rsidRPr="00283806" w:rsidRDefault="001265CA">
      <w:pPr>
        <w:pStyle w:val="ListParagraph"/>
        <w:numPr>
          <w:ilvl w:val="1"/>
          <w:numId w:val="64"/>
        </w:numPr>
        <w:tabs>
          <w:tab w:val="left" w:pos="378"/>
        </w:tabs>
        <w:spacing w:before="102" w:line="220" w:lineRule="auto"/>
        <w:ind w:left="143" w:right="150" w:firstLine="0"/>
        <w:rPr>
          <w:rFonts w:ascii="Book Antiqua"/>
          <w:i/>
          <w:sz w:val="18"/>
        </w:rPr>
      </w:pPr>
      <w:r w:rsidRPr="00283806">
        <w:rPr>
          <w:rFonts w:ascii="Book Antiqua"/>
          <w:i/>
          <w:w w:val="110"/>
          <w:sz w:val="18"/>
        </w:rPr>
        <w:t>Background on Determinations of Whether Information Is Entitled to Treatment as Confidential Information</w:t>
      </w:r>
    </w:p>
    <w:p w14:paraId="5D842860" w14:textId="77777777" w:rsidR="00D67C1E" w:rsidRPr="00283806" w:rsidRDefault="001265CA">
      <w:pPr>
        <w:pStyle w:val="ListParagraph"/>
        <w:numPr>
          <w:ilvl w:val="0"/>
          <w:numId w:val="44"/>
        </w:numPr>
        <w:tabs>
          <w:tab w:val="left" w:pos="341"/>
        </w:tabs>
        <w:spacing w:before="92" w:line="228" w:lineRule="auto"/>
        <w:ind w:right="217" w:firstLine="0"/>
        <w:rPr>
          <w:sz w:val="18"/>
        </w:rPr>
      </w:pPr>
      <w:r w:rsidRPr="00283806">
        <w:rPr>
          <w:w w:val="105"/>
          <w:sz w:val="18"/>
        </w:rPr>
        <w:t xml:space="preserve">Confidential Treatment of Reported </w:t>
      </w:r>
      <w:r w:rsidRPr="00283806">
        <w:rPr>
          <w:spacing w:val="-2"/>
          <w:w w:val="105"/>
          <w:sz w:val="18"/>
        </w:rPr>
        <w:t>Information</w:t>
      </w:r>
    </w:p>
    <w:p w14:paraId="320DD653" w14:textId="77777777" w:rsidR="00D67C1E" w:rsidRPr="00283806" w:rsidRDefault="001265CA">
      <w:pPr>
        <w:pStyle w:val="BodyText"/>
        <w:spacing w:before="63" w:line="228" w:lineRule="auto"/>
        <w:ind w:left="143" w:right="32" w:firstLine="180"/>
      </w:pPr>
      <w:r w:rsidRPr="00283806">
        <w:rPr>
          <w:w w:val="105"/>
        </w:rPr>
        <w:t>Regulated entities that must submit information</w:t>
      </w:r>
      <w:r w:rsidRPr="00283806">
        <w:rPr>
          <w:spacing w:val="40"/>
          <w:w w:val="105"/>
        </w:rPr>
        <w:t xml:space="preserve"> </w:t>
      </w:r>
      <w:r w:rsidRPr="00283806">
        <w:rPr>
          <w:w w:val="105"/>
        </w:rPr>
        <w:t>to</w:t>
      </w:r>
      <w:r w:rsidRPr="00283806">
        <w:rPr>
          <w:spacing w:val="40"/>
          <w:w w:val="105"/>
        </w:rPr>
        <w:t xml:space="preserve"> </w:t>
      </w:r>
      <w:r w:rsidRPr="00283806">
        <w:rPr>
          <w:w w:val="105"/>
        </w:rPr>
        <w:t>EPA</w:t>
      </w:r>
      <w:r w:rsidRPr="00283806">
        <w:rPr>
          <w:spacing w:val="40"/>
          <w:w w:val="105"/>
        </w:rPr>
        <w:t xml:space="preserve"> </w:t>
      </w:r>
      <w:r w:rsidRPr="00283806">
        <w:rPr>
          <w:w w:val="105"/>
        </w:rPr>
        <w:t>frequently</w:t>
      </w:r>
      <w:r w:rsidRPr="00283806">
        <w:rPr>
          <w:spacing w:val="40"/>
          <w:w w:val="105"/>
        </w:rPr>
        <w:t xml:space="preserve"> </w:t>
      </w:r>
      <w:r w:rsidRPr="00283806">
        <w:rPr>
          <w:w w:val="105"/>
        </w:rPr>
        <w:t>claim that some or all of that information is entitled to confidential treatment and therefore exempt from disclosure under Exemption</w:t>
      </w:r>
      <w:r w:rsidRPr="00283806">
        <w:rPr>
          <w:spacing w:val="39"/>
          <w:w w:val="105"/>
        </w:rPr>
        <w:t xml:space="preserve"> </w:t>
      </w:r>
      <w:r w:rsidRPr="00283806">
        <w:rPr>
          <w:w w:val="105"/>
        </w:rPr>
        <w:t>4</w:t>
      </w:r>
      <w:r w:rsidRPr="00283806">
        <w:rPr>
          <w:spacing w:val="39"/>
          <w:w w:val="105"/>
        </w:rPr>
        <w:t xml:space="preserve"> </w:t>
      </w:r>
      <w:r w:rsidRPr="00283806">
        <w:rPr>
          <w:w w:val="105"/>
        </w:rPr>
        <w:t>of</w:t>
      </w:r>
      <w:r w:rsidRPr="00283806">
        <w:rPr>
          <w:spacing w:val="39"/>
          <w:w w:val="105"/>
        </w:rPr>
        <w:t xml:space="preserve"> </w:t>
      </w:r>
      <w:r w:rsidRPr="00283806">
        <w:rPr>
          <w:w w:val="105"/>
        </w:rPr>
        <w:t>the</w:t>
      </w:r>
      <w:r w:rsidRPr="00283806">
        <w:rPr>
          <w:spacing w:val="39"/>
          <w:w w:val="105"/>
        </w:rPr>
        <w:t xml:space="preserve"> </w:t>
      </w:r>
      <w:r w:rsidRPr="00283806">
        <w:rPr>
          <w:w w:val="105"/>
        </w:rPr>
        <w:t>FOIA.</w:t>
      </w:r>
      <w:r w:rsidRPr="00283806">
        <w:rPr>
          <w:w w:val="105"/>
          <w:position w:val="5"/>
          <w:sz w:val="11"/>
        </w:rPr>
        <w:t>157</w:t>
      </w:r>
      <w:r w:rsidRPr="00283806">
        <w:rPr>
          <w:spacing w:val="40"/>
          <w:w w:val="105"/>
          <w:position w:val="5"/>
          <w:sz w:val="11"/>
        </w:rPr>
        <w:t xml:space="preserve"> </w:t>
      </w:r>
      <w:r w:rsidRPr="00283806">
        <w:rPr>
          <w:w w:val="105"/>
        </w:rPr>
        <w:t xml:space="preserve">Exemption 4 exempts from disclosure ‘‘trade secrets and commercial or financial information obtained from a person [that is] privileged or confidential.’’ </w:t>
      </w:r>
      <w:r w:rsidRPr="00283806">
        <w:rPr>
          <w:w w:val="105"/>
          <w:position w:val="5"/>
          <w:sz w:val="11"/>
        </w:rPr>
        <w:t>158</w:t>
      </w:r>
      <w:r w:rsidRPr="00283806">
        <w:rPr>
          <w:spacing w:val="40"/>
          <w:w w:val="105"/>
          <w:position w:val="5"/>
          <w:sz w:val="11"/>
        </w:rPr>
        <w:t xml:space="preserve"> </w:t>
      </w:r>
      <w:r w:rsidRPr="00283806">
        <w:rPr>
          <w:w w:val="105"/>
        </w:rPr>
        <w:t>In order for information to meet the</w:t>
      </w:r>
      <w:r w:rsidRPr="00283806">
        <w:rPr>
          <w:spacing w:val="80"/>
          <w:w w:val="105"/>
        </w:rPr>
        <w:t xml:space="preserve"> </w:t>
      </w:r>
      <w:r w:rsidRPr="00283806">
        <w:rPr>
          <w:w w:val="105"/>
        </w:rPr>
        <w:t>requirements of Exemption 4, EPA must find that the information is either: (1) A trade secret, or (2) commercial or financial information that is: (a)</w:t>
      </w:r>
      <w:r w:rsidRPr="00283806">
        <w:rPr>
          <w:spacing w:val="80"/>
          <w:w w:val="105"/>
        </w:rPr>
        <w:t xml:space="preserve"> </w:t>
      </w:r>
      <w:r w:rsidRPr="00283806">
        <w:rPr>
          <w:w w:val="105"/>
        </w:rPr>
        <w:t>Obtained from a person, and (b) privileged or confidential.</w:t>
      </w:r>
    </w:p>
    <w:p w14:paraId="57E3F3C2" w14:textId="77777777" w:rsidR="00D67C1E" w:rsidRPr="00283806" w:rsidRDefault="001265CA">
      <w:pPr>
        <w:pStyle w:val="BodyText"/>
        <w:spacing w:line="173" w:lineRule="exact"/>
        <w:ind w:left="323"/>
      </w:pPr>
      <w:r w:rsidRPr="00283806">
        <w:rPr>
          <w:w w:val="105"/>
        </w:rPr>
        <w:t>Generally,</w:t>
      </w:r>
      <w:r w:rsidRPr="00283806">
        <w:rPr>
          <w:spacing w:val="23"/>
          <w:w w:val="105"/>
        </w:rPr>
        <w:t xml:space="preserve"> </w:t>
      </w:r>
      <w:r w:rsidRPr="00283806">
        <w:rPr>
          <w:w w:val="105"/>
        </w:rPr>
        <w:t>when</w:t>
      </w:r>
      <w:r w:rsidRPr="00283806">
        <w:rPr>
          <w:spacing w:val="23"/>
          <w:w w:val="105"/>
        </w:rPr>
        <w:t xml:space="preserve"> </w:t>
      </w:r>
      <w:r w:rsidRPr="00283806">
        <w:rPr>
          <w:w w:val="105"/>
        </w:rPr>
        <w:t>the</w:t>
      </w:r>
      <w:r w:rsidRPr="00283806">
        <w:rPr>
          <w:spacing w:val="23"/>
          <w:w w:val="105"/>
        </w:rPr>
        <w:t xml:space="preserve"> </w:t>
      </w:r>
      <w:r w:rsidRPr="00283806">
        <w:rPr>
          <w:w w:val="105"/>
        </w:rPr>
        <w:t>Agency</w:t>
      </w:r>
      <w:r w:rsidRPr="00283806">
        <w:rPr>
          <w:spacing w:val="24"/>
          <w:w w:val="105"/>
        </w:rPr>
        <w:t xml:space="preserve"> </w:t>
      </w:r>
      <w:r w:rsidRPr="00283806">
        <w:rPr>
          <w:spacing w:val="-5"/>
          <w:w w:val="105"/>
        </w:rPr>
        <w:t>has</w:t>
      </w:r>
    </w:p>
    <w:p w14:paraId="5F0B4FDD" w14:textId="77777777" w:rsidR="00D67C1E" w:rsidRPr="00283806" w:rsidRDefault="001265CA">
      <w:pPr>
        <w:pStyle w:val="BodyText"/>
        <w:spacing w:line="228" w:lineRule="auto"/>
        <w:ind w:left="143" w:right="47"/>
      </w:pPr>
      <w:r w:rsidRPr="00283806">
        <w:rPr>
          <w:w w:val="105"/>
        </w:rPr>
        <w:t>information that it intends to disclose publicly that is covered by a claim of confidentiality</w:t>
      </w:r>
      <w:r w:rsidRPr="00283806">
        <w:rPr>
          <w:spacing w:val="40"/>
          <w:w w:val="105"/>
        </w:rPr>
        <w:t xml:space="preserve"> </w:t>
      </w:r>
      <w:r w:rsidRPr="00283806">
        <w:rPr>
          <w:w w:val="105"/>
        </w:rPr>
        <w:t>under</w:t>
      </w:r>
      <w:r w:rsidRPr="00283806">
        <w:rPr>
          <w:spacing w:val="40"/>
          <w:w w:val="105"/>
        </w:rPr>
        <w:t xml:space="preserve"> </w:t>
      </w:r>
      <w:r w:rsidRPr="00283806">
        <w:rPr>
          <w:w w:val="105"/>
        </w:rPr>
        <w:t>FOIA</w:t>
      </w:r>
      <w:r w:rsidRPr="00283806">
        <w:rPr>
          <w:spacing w:val="40"/>
          <w:w w:val="105"/>
        </w:rPr>
        <w:t xml:space="preserve"> </w:t>
      </w:r>
      <w:r w:rsidRPr="00283806">
        <w:rPr>
          <w:w w:val="105"/>
        </w:rPr>
        <w:t>Exemption 4, EPA has a process to make case-by- case or class determinations under 40 CFR part 2 to evaluate whether such information qualifies for confidential treatment under the exemption.</w:t>
      </w:r>
      <w:r w:rsidRPr="00283806">
        <w:rPr>
          <w:rFonts w:ascii="Times New Roman"/>
          <w:w w:val="105"/>
          <w:position w:val="4"/>
          <w:sz w:val="11"/>
        </w:rPr>
        <w:t>159 160</w:t>
      </w:r>
      <w:r w:rsidRPr="00283806">
        <w:rPr>
          <w:rFonts w:ascii="Times New Roman"/>
          <w:spacing w:val="36"/>
          <w:w w:val="105"/>
          <w:position w:val="4"/>
          <w:sz w:val="11"/>
        </w:rPr>
        <w:t xml:space="preserve"> </w:t>
      </w:r>
      <w:r w:rsidRPr="00283806">
        <w:rPr>
          <w:w w:val="105"/>
        </w:rPr>
        <w:t xml:space="preserve">In this action, EPA is providing clarity concerning certain categorical emission data and confidentiality determinations for some information that must be submitted to EPA under these requirements. For those determinations, that information would be subject to disclosure to the public without further </w:t>
      </w:r>
      <w:r w:rsidRPr="00283806">
        <w:rPr>
          <w:spacing w:val="-2"/>
          <w:w w:val="105"/>
        </w:rPr>
        <w:t>notice.</w:t>
      </w:r>
    </w:p>
    <w:p w14:paraId="5003AAD3" w14:textId="77777777" w:rsidR="00D67C1E" w:rsidRPr="00283806" w:rsidRDefault="001265CA">
      <w:pPr>
        <w:pStyle w:val="BodyText"/>
        <w:spacing w:before="135" w:line="225" w:lineRule="auto"/>
        <w:ind w:left="143" w:right="121"/>
      </w:pPr>
      <w:r w:rsidRPr="00283806">
        <w:br w:type="column"/>
      </w:r>
      <w:r w:rsidRPr="00283806">
        <w:rPr>
          <w:rFonts w:ascii="Book Antiqua" w:hAnsi="Book Antiqua"/>
          <w:i/>
          <w:w w:val="110"/>
        </w:rPr>
        <w:t xml:space="preserve">Leader Media, </w:t>
      </w:r>
      <w:r w:rsidRPr="00283806">
        <w:rPr>
          <w:w w:val="110"/>
        </w:rPr>
        <w:t xml:space="preserve">139 S. Ct. 2356 (2019) </w:t>
      </w:r>
      <w:r w:rsidRPr="00283806">
        <w:t>(</w:t>
      </w:r>
      <w:r w:rsidRPr="00283806">
        <w:rPr>
          <w:rFonts w:ascii="Book Antiqua" w:hAnsi="Book Antiqua"/>
          <w:i/>
        </w:rPr>
        <w:t>Argus Leader</w:t>
      </w:r>
      <w:r w:rsidRPr="00283806">
        <w:t>) addresses the meaning of</w:t>
      </w:r>
      <w:r w:rsidRPr="00283806">
        <w:rPr>
          <w:spacing w:val="40"/>
          <w:w w:val="110"/>
        </w:rPr>
        <w:t xml:space="preserve"> </w:t>
      </w:r>
      <w:r w:rsidRPr="00283806">
        <w:rPr>
          <w:w w:val="110"/>
        </w:rPr>
        <w:t>‘‘confidential’’ within the context of FOIA Exemption 4. The Court held that ‘‘[a]t least where commercial or financial information is both customarily and actually treated as private</w:t>
      </w:r>
      <w:r w:rsidRPr="00283806">
        <w:rPr>
          <w:spacing w:val="-11"/>
          <w:w w:val="110"/>
        </w:rPr>
        <w:t xml:space="preserve"> </w:t>
      </w:r>
      <w:r w:rsidRPr="00283806">
        <w:rPr>
          <w:w w:val="110"/>
        </w:rPr>
        <w:t>by</w:t>
      </w:r>
      <w:r w:rsidRPr="00283806">
        <w:rPr>
          <w:spacing w:val="-11"/>
          <w:w w:val="110"/>
        </w:rPr>
        <w:t xml:space="preserve"> </w:t>
      </w:r>
      <w:r w:rsidRPr="00283806">
        <w:rPr>
          <w:w w:val="110"/>
        </w:rPr>
        <w:t>its</w:t>
      </w:r>
      <w:r w:rsidRPr="00283806">
        <w:rPr>
          <w:spacing w:val="-11"/>
          <w:w w:val="110"/>
        </w:rPr>
        <w:t xml:space="preserve"> </w:t>
      </w:r>
      <w:r w:rsidRPr="00283806">
        <w:rPr>
          <w:w w:val="110"/>
        </w:rPr>
        <w:t>owner</w:t>
      </w:r>
      <w:r w:rsidRPr="00283806">
        <w:rPr>
          <w:spacing w:val="-11"/>
          <w:w w:val="110"/>
        </w:rPr>
        <w:t xml:space="preserve"> </w:t>
      </w:r>
      <w:r w:rsidRPr="00283806">
        <w:rPr>
          <w:w w:val="110"/>
        </w:rPr>
        <w:t>and</w:t>
      </w:r>
      <w:r w:rsidRPr="00283806">
        <w:rPr>
          <w:spacing w:val="-11"/>
          <w:w w:val="110"/>
        </w:rPr>
        <w:t xml:space="preserve"> </w:t>
      </w:r>
      <w:r w:rsidRPr="00283806">
        <w:rPr>
          <w:w w:val="110"/>
        </w:rPr>
        <w:t>provided</w:t>
      </w:r>
      <w:r w:rsidRPr="00283806">
        <w:rPr>
          <w:spacing w:val="-11"/>
          <w:w w:val="110"/>
        </w:rPr>
        <w:t xml:space="preserve"> </w:t>
      </w:r>
      <w:r w:rsidRPr="00283806">
        <w:rPr>
          <w:w w:val="110"/>
        </w:rPr>
        <w:t>to</w:t>
      </w:r>
      <w:r w:rsidRPr="00283806">
        <w:rPr>
          <w:spacing w:val="-11"/>
          <w:w w:val="110"/>
        </w:rPr>
        <w:t xml:space="preserve"> </w:t>
      </w:r>
      <w:r w:rsidRPr="00283806">
        <w:rPr>
          <w:w w:val="110"/>
        </w:rPr>
        <w:t>the government under an assurance of privacy,</w:t>
      </w:r>
      <w:r w:rsidRPr="00283806">
        <w:rPr>
          <w:spacing w:val="-11"/>
          <w:w w:val="110"/>
        </w:rPr>
        <w:t xml:space="preserve"> </w:t>
      </w:r>
      <w:r w:rsidRPr="00283806">
        <w:rPr>
          <w:w w:val="110"/>
        </w:rPr>
        <w:t>the</w:t>
      </w:r>
      <w:r w:rsidRPr="00283806">
        <w:rPr>
          <w:spacing w:val="-11"/>
          <w:w w:val="110"/>
        </w:rPr>
        <w:t xml:space="preserve"> </w:t>
      </w:r>
      <w:r w:rsidRPr="00283806">
        <w:rPr>
          <w:w w:val="110"/>
        </w:rPr>
        <w:t>information</w:t>
      </w:r>
      <w:r w:rsidRPr="00283806">
        <w:rPr>
          <w:spacing w:val="-11"/>
          <w:w w:val="110"/>
        </w:rPr>
        <w:t xml:space="preserve"> </w:t>
      </w:r>
      <w:r w:rsidRPr="00283806">
        <w:rPr>
          <w:w w:val="110"/>
        </w:rPr>
        <w:t>is</w:t>
      </w:r>
      <w:r w:rsidRPr="00283806">
        <w:rPr>
          <w:spacing w:val="-11"/>
          <w:w w:val="110"/>
        </w:rPr>
        <w:t xml:space="preserve"> </w:t>
      </w:r>
      <w:r w:rsidRPr="00283806">
        <w:rPr>
          <w:w w:val="110"/>
        </w:rPr>
        <w:t>‘confidential’ within</w:t>
      </w:r>
      <w:r w:rsidRPr="00283806">
        <w:rPr>
          <w:spacing w:val="-7"/>
          <w:w w:val="110"/>
        </w:rPr>
        <w:t xml:space="preserve"> </w:t>
      </w:r>
      <w:r w:rsidRPr="00283806">
        <w:rPr>
          <w:w w:val="110"/>
        </w:rPr>
        <w:t>the</w:t>
      </w:r>
      <w:r w:rsidRPr="00283806">
        <w:rPr>
          <w:spacing w:val="-3"/>
          <w:w w:val="110"/>
        </w:rPr>
        <w:t xml:space="preserve"> </w:t>
      </w:r>
      <w:r w:rsidRPr="00283806">
        <w:rPr>
          <w:w w:val="110"/>
        </w:rPr>
        <w:t>meaning</w:t>
      </w:r>
      <w:r w:rsidRPr="00283806">
        <w:rPr>
          <w:spacing w:val="-3"/>
          <w:w w:val="110"/>
        </w:rPr>
        <w:t xml:space="preserve"> </w:t>
      </w:r>
      <w:r w:rsidRPr="00283806">
        <w:rPr>
          <w:w w:val="110"/>
        </w:rPr>
        <w:t>of</w:t>
      </w:r>
      <w:r w:rsidRPr="00283806">
        <w:rPr>
          <w:spacing w:val="-3"/>
          <w:w w:val="110"/>
        </w:rPr>
        <w:t xml:space="preserve"> </w:t>
      </w:r>
      <w:r w:rsidRPr="00283806">
        <w:rPr>
          <w:w w:val="110"/>
        </w:rPr>
        <w:t>Exemption</w:t>
      </w:r>
      <w:r w:rsidRPr="00283806">
        <w:rPr>
          <w:spacing w:val="-3"/>
          <w:w w:val="110"/>
        </w:rPr>
        <w:t xml:space="preserve"> </w:t>
      </w:r>
      <w:r w:rsidRPr="00283806">
        <w:rPr>
          <w:w w:val="110"/>
        </w:rPr>
        <w:t>4.’’</w:t>
      </w:r>
      <w:r w:rsidRPr="00283806">
        <w:rPr>
          <w:spacing w:val="-14"/>
          <w:w w:val="110"/>
        </w:rPr>
        <w:t xml:space="preserve"> </w:t>
      </w:r>
      <w:r w:rsidRPr="00283806">
        <w:rPr>
          <w:w w:val="110"/>
          <w:position w:val="5"/>
          <w:sz w:val="11"/>
        </w:rPr>
        <w:t>161</w:t>
      </w:r>
      <w:r w:rsidRPr="00283806">
        <w:rPr>
          <w:spacing w:val="40"/>
          <w:w w:val="110"/>
          <w:position w:val="5"/>
          <w:sz w:val="11"/>
        </w:rPr>
        <w:t xml:space="preserve"> </w:t>
      </w:r>
      <w:r w:rsidRPr="00283806">
        <w:rPr>
          <w:w w:val="110"/>
        </w:rPr>
        <w:t>The Court identified two conditions ‘‘that</w:t>
      </w:r>
      <w:r w:rsidRPr="00283806">
        <w:rPr>
          <w:spacing w:val="-7"/>
          <w:w w:val="110"/>
        </w:rPr>
        <w:t xml:space="preserve"> </w:t>
      </w:r>
      <w:r w:rsidRPr="00283806">
        <w:rPr>
          <w:w w:val="110"/>
        </w:rPr>
        <w:t>might</w:t>
      </w:r>
      <w:r w:rsidRPr="00283806">
        <w:rPr>
          <w:spacing w:val="-7"/>
          <w:w w:val="110"/>
        </w:rPr>
        <w:t xml:space="preserve"> </w:t>
      </w:r>
      <w:r w:rsidRPr="00283806">
        <w:rPr>
          <w:w w:val="110"/>
        </w:rPr>
        <w:t>be</w:t>
      </w:r>
      <w:r w:rsidRPr="00283806">
        <w:rPr>
          <w:spacing w:val="-7"/>
          <w:w w:val="110"/>
        </w:rPr>
        <w:t xml:space="preserve"> </w:t>
      </w:r>
      <w:r w:rsidRPr="00283806">
        <w:rPr>
          <w:w w:val="110"/>
        </w:rPr>
        <w:t>required</w:t>
      </w:r>
      <w:r w:rsidRPr="00283806">
        <w:rPr>
          <w:spacing w:val="-7"/>
          <w:w w:val="110"/>
        </w:rPr>
        <w:t xml:space="preserve"> </w:t>
      </w:r>
      <w:r w:rsidRPr="00283806">
        <w:rPr>
          <w:w w:val="110"/>
        </w:rPr>
        <w:t>for</w:t>
      </w:r>
      <w:r w:rsidRPr="00283806">
        <w:rPr>
          <w:spacing w:val="-7"/>
          <w:w w:val="110"/>
        </w:rPr>
        <w:t xml:space="preserve"> </w:t>
      </w:r>
      <w:r w:rsidRPr="00283806">
        <w:rPr>
          <w:w w:val="110"/>
        </w:rPr>
        <w:t>information communicated to another to be considered confidential.’’</w:t>
      </w:r>
      <w:r w:rsidRPr="00283806">
        <w:rPr>
          <w:spacing w:val="-4"/>
          <w:w w:val="110"/>
        </w:rPr>
        <w:t xml:space="preserve"> </w:t>
      </w:r>
      <w:r w:rsidRPr="00283806">
        <w:rPr>
          <w:w w:val="110"/>
          <w:position w:val="5"/>
          <w:sz w:val="11"/>
        </w:rPr>
        <w:t>162</w:t>
      </w:r>
      <w:r w:rsidRPr="00283806">
        <w:rPr>
          <w:spacing w:val="38"/>
          <w:w w:val="110"/>
          <w:position w:val="5"/>
          <w:sz w:val="11"/>
        </w:rPr>
        <w:t xml:space="preserve"> </w:t>
      </w:r>
      <w:r w:rsidRPr="00283806">
        <w:rPr>
          <w:w w:val="110"/>
        </w:rPr>
        <w:t>Under the first condition, ‘‘information communicated to another remains confidential whenever it is customarily kept private, or at least closely held, by the</w:t>
      </w:r>
      <w:r w:rsidRPr="00283806">
        <w:rPr>
          <w:spacing w:val="-5"/>
          <w:w w:val="110"/>
        </w:rPr>
        <w:t xml:space="preserve"> </w:t>
      </w:r>
      <w:r w:rsidRPr="00283806">
        <w:rPr>
          <w:w w:val="110"/>
        </w:rPr>
        <w:t>person</w:t>
      </w:r>
      <w:r w:rsidRPr="00283806">
        <w:rPr>
          <w:spacing w:val="-1"/>
          <w:w w:val="110"/>
        </w:rPr>
        <w:t xml:space="preserve"> </w:t>
      </w:r>
      <w:r w:rsidRPr="00283806">
        <w:rPr>
          <w:w w:val="110"/>
        </w:rPr>
        <w:t>imparting</w:t>
      </w:r>
      <w:r w:rsidRPr="00283806">
        <w:rPr>
          <w:spacing w:val="-1"/>
          <w:w w:val="110"/>
        </w:rPr>
        <w:t xml:space="preserve"> </w:t>
      </w:r>
      <w:r w:rsidRPr="00283806">
        <w:rPr>
          <w:w w:val="110"/>
        </w:rPr>
        <w:t>it.’’</w:t>
      </w:r>
      <w:r w:rsidRPr="00283806">
        <w:rPr>
          <w:spacing w:val="-14"/>
          <w:w w:val="110"/>
        </w:rPr>
        <w:t xml:space="preserve"> </w:t>
      </w:r>
      <w:r w:rsidRPr="00283806">
        <w:rPr>
          <w:w w:val="110"/>
          <w:position w:val="5"/>
          <w:sz w:val="11"/>
        </w:rPr>
        <w:t>163</w:t>
      </w:r>
      <w:r w:rsidRPr="00283806">
        <w:rPr>
          <w:spacing w:val="15"/>
          <w:w w:val="110"/>
          <w:position w:val="5"/>
          <w:sz w:val="11"/>
        </w:rPr>
        <w:t xml:space="preserve"> </w:t>
      </w:r>
      <w:r w:rsidRPr="00283806">
        <w:rPr>
          <w:w w:val="110"/>
        </w:rPr>
        <w:t>The</w:t>
      </w:r>
      <w:r w:rsidRPr="00283806">
        <w:rPr>
          <w:spacing w:val="-1"/>
          <w:w w:val="110"/>
        </w:rPr>
        <w:t xml:space="preserve"> </w:t>
      </w:r>
      <w:r w:rsidRPr="00283806">
        <w:rPr>
          <w:w w:val="110"/>
        </w:rPr>
        <w:t>second condition provides that ‘‘information might</w:t>
      </w:r>
      <w:r w:rsidRPr="00283806">
        <w:rPr>
          <w:spacing w:val="-8"/>
          <w:w w:val="110"/>
        </w:rPr>
        <w:t xml:space="preserve"> </w:t>
      </w:r>
      <w:r w:rsidRPr="00283806">
        <w:rPr>
          <w:w w:val="110"/>
        </w:rPr>
        <w:t>be</w:t>
      </w:r>
      <w:r w:rsidRPr="00283806">
        <w:rPr>
          <w:spacing w:val="-8"/>
          <w:w w:val="110"/>
        </w:rPr>
        <w:t xml:space="preserve"> </w:t>
      </w:r>
      <w:r w:rsidRPr="00283806">
        <w:rPr>
          <w:w w:val="110"/>
        </w:rPr>
        <w:t>considered</w:t>
      </w:r>
      <w:r w:rsidRPr="00283806">
        <w:rPr>
          <w:spacing w:val="-8"/>
          <w:w w:val="110"/>
        </w:rPr>
        <w:t xml:space="preserve"> </w:t>
      </w:r>
      <w:r w:rsidRPr="00283806">
        <w:rPr>
          <w:w w:val="110"/>
        </w:rPr>
        <w:t>confidential</w:t>
      </w:r>
      <w:r w:rsidRPr="00283806">
        <w:rPr>
          <w:spacing w:val="-8"/>
          <w:w w:val="110"/>
        </w:rPr>
        <w:t xml:space="preserve"> </w:t>
      </w:r>
      <w:r w:rsidRPr="00283806">
        <w:rPr>
          <w:w w:val="110"/>
        </w:rPr>
        <w:t>only</w:t>
      </w:r>
      <w:r w:rsidRPr="00283806">
        <w:rPr>
          <w:spacing w:val="-8"/>
          <w:w w:val="110"/>
        </w:rPr>
        <w:t xml:space="preserve"> </w:t>
      </w:r>
      <w:r w:rsidRPr="00283806">
        <w:rPr>
          <w:w w:val="110"/>
        </w:rPr>
        <w:t>if the party receiving it provides some assurance</w:t>
      </w:r>
      <w:r w:rsidRPr="00283806">
        <w:rPr>
          <w:spacing w:val="-7"/>
          <w:w w:val="110"/>
        </w:rPr>
        <w:t xml:space="preserve"> </w:t>
      </w:r>
      <w:r w:rsidRPr="00283806">
        <w:rPr>
          <w:w w:val="110"/>
        </w:rPr>
        <w:t>that</w:t>
      </w:r>
      <w:r w:rsidRPr="00283806">
        <w:rPr>
          <w:spacing w:val="-3"/>
          <w:w w:val="110"/>
        </w:rPr>
        <w:t xml:space="preserve"> </w:t>
      </w:r>
      <w:r w:rsidRPr="00283806">
        <w:rPr>
          <w:w w:val="110"/>
        </w:rPr>
        <w:t>it</w:t>
      </w:r>
      <w:r w:rsidRPr="00283806">
        <w:rPr>
          <w:spacing w:val="-3"/>
          <w:w w:val="110"/>
        </w:rPr>
        <w:t xml:space="preserve"> </w:t>
      </w:r>
      <w:r w:rsidRPr="00283806">
        <w:rPr>
          <w:w w:val="110"/>
        </w:rPr>
        <w:t>will</w:t>
      </w:r>
      <w:r w:rsidRPr="00283806">
        <w:rPr>
          <w:spacing w:val="-3"/>
          <w:w w:val="110"/>
        </w:rPr>
        <w:t xml:space="preserve"> </w:t>
      </w:r>
      <w:r w:rsidRPr="00283806">
        <w:rPr>
          <w:w w:val="110"/>
        </w:rPr>
        <w:t>remain</w:t>
      </w:r>
      <w:r w:rsidRPr="00283806">
        <w:rPr>
          <w:spacing w:val="-3"/>
          <w:w w:val="110"/>
        </w:rPr>
        <w:t xml:space="preserve"> </w:t>
      </w:r>
      <w:r w:rsidRPr="00283806">
        <w:rPr>
          <w:w w:val="110"/>
        </w:rPr>
        <w:t>secret.’’</w:t>
      </w:r>
      <w:r w:rsidRPr="00283806">
        <w:rPr>
          <w:spacing w:val="-14"/>
          <w:w w:val="110"/>
        </w:rPr>
        <w:t xml:space="preserve"> </w:t>
      </w:r>
      <w:r w:rsidRPr="00283806">
        <w:rPr>
          <w:w w:val="110"/>
          <w:position w:val="5"/>
          <w:sz w:val="11"/>
        </w:rPr>
        <w:t>164</w:t>
      </w:r>
      <w:r w:rsidRPr="00283806">
        <w:rPr>
          <w:spacing w:val="40"/>
          <w:w w:val="110"/>
          <w:position w:val="5"/>
          <w:sz w:val="11"/>
        </w:rPr>
        <w:t xml:space="preserve"> </w:t>
      </w:r>
      <w:r w:rsidRPr="00283806">
        <w:rPr>
          <w:w w:val="110"/>
        </w:rPr>
        <w:t>The Court found the first condition necessary for information to be considered confidential within the meaning of Exemption 4, but did not address whether the second condition must also be met.</w:t>
      </w:r>
    </w:p>
    <w:p w14:paraId="37BD3CD1" w14:textId="77777777" w:rsidR="00D67C1E" w:rsidRPr="00283806" w:rsidRDefault="001265CA">
      <w:pPr>
        <w:pStyle w:val="BodyText"/>
        <w:spacing w:line="150" w:lineRule="exact"/>
        <w:ind w:left="323"/>
      </w:pPr>
      <w:r w:rsidRPr="00283806">
        <w:rPr>
          <w:w w:val="105"/>
        </w:rPr>
        <w:t>Following</w:t>
      </w:r>
      <w:r w:rsidRPr="00283806">
        <w:rPr>
          <w:spacing w:val="15"/>
          <w:w w:val="105"/>
        </w:rPr>
        <w:t xml:space="preserve"> </w:t>
      </w:r>
      <w:r w:rsidRPr="00283806">
        <w:rPr>
          <w:w w:val="105"/>
        </w:rPr>
        <w:t>the</w:t>
      </w:r>
      <w:r w:rsidRPr="00283806">
        <w:rPr>
          <w:spacing w:val="15"/>
          <w:w w:val="105"/>
        </w:rPr>
        <w:t xml:space="preserve"> </w:t>
      </w:r>
      <w:r w:rsidRPr="00283806">
        <w:rPr>
          <w:w w:val="105"/>
        </w:rPr>
        <w:t>issuance</w:t>
      </w:r>
      <w:r w:rsidRPr="00283806">
        <w:rPr>
          <w:spacing w:val="15"/>
          <w:w w:val="105"/>
        </w:rPr>
        <w:t xml:space="preserve"> </w:t>
      </w:r>
      <w:r w:rsidRPr="00283806">
        <w:rPr>
          <w:w w:val="105"/>
        </w:rPr>
        <w:t>of</w:t>
      </w:r>
      <w:r w:rsidRPr="00283806">
        <w:rPr>
          <w:spacing w:val="15"/>
          <w:w w:val="105"/>
        </w:rPr>
        <w:t xml:space="preserve"> </w:t>
      </w:r>
      <w:r w:rsidRPr="00283806">
        <w:rPr>
          <w:w w:val="105"/>
        </w:rPr>
        <w:t>the</w:t>
      </w:r>
      <w:r w:rsidRPr="00283806">
        <w:rPr>
          <w:spacing w:val="15"/>
          <w:w w:val="105"/>
        </w:rPr>
        <w:t xml:space="preserve"> </w:t>
      </w:r>
      <w:r w:rsidRPr="00283806">
        <w:rPr>
          <w:spacing w:val="-2"/>
          <w:w w:val="105"/>
        </w:rPr>
        <w:t>Court’s</w:t>
      </w:r>
    </w:p>
    <w:p w14:paraId="71D2E16F" w14:textId="77777777" w:rsidR="00D67C1E" w:rsidRPr="00283806" w:rsidRDefault="001265CA">
      <w:pPr>
        <w:pStyle w:val="BodyText"/>
        <w:spacing w:before="6" w:line="223" w:lineRule="auto"/>
        <w:ind w:left="143" w:right="153"/>
      </w:pPr>
      <w:r w:rsidRPr="00283806">
        <w:rPr>
          <w:w w:val="110"/>
        </w:rPr>
        <w:t xml:space="preserve">opinion in </w:t>
      </w:r>
      <w:r w:rsidRPr="00283806">
        <w:rPr>
          <w:rFonts w:ascii="Book Antiqua" w:hAnsi="Book Antiqua"/>
          <w:i/>
          <w:w w:val="110"/>
        </w:rPr>
        <w:t>Argus Leader</w:t>
      </w:r>
      <w:r w:rsidRPr="00283806">
        <w:rPr>
          <w:w w:val="110"/>
        </w:rPr>
        <w:t xml:space="preserve">, the U.S. Department of Justice (DOJ) issued </w:t>
      </w:r>
      <w:r w:rsidRPr="00283806">
        <w:rPr>
          <w:spacing w:val="-2"/>
          <w:w w:val="110"/>
        </w:rPr>
        <w:t>guidance</w:t>
      </w:r>
      <w:r w:rsidRPr="00283806">
        <w:rPr>
          <w:spacing w:val="-3"/>
          <w:w w:val="110"/>
        </w:rPr>
        <w:t xml:space="preserve"> </w:t>
      </w:r>
      <w:r w:rsidRPr="00283806">
        <w:rPr>
          <w:spacing w:val="-2"/>
          <w:w w:val="110"/>
        </w:rPr>
        <w:t>concerning</w:t>
      </w:r>
      <w:r w:rsidRPr="00283806">
        <w:rPr>
          <w:spacing w:val="-3"/>
          <w:w w:val="110"/>
        </w:rPr>
        <w:t xml:space="preserve"> </w:t>
      </w:r>
      <w:r w:rsidRPr="00283806">
        <w:rPr>
          <w:spacing w:val="-2"/>
          <w:w w:val="110"/>
        </w:rPr>
        <w:t>the</w:t>
      </w:r>
      <w:r w:rsidRPr="00283806">
        <w:rPr>
          <w:spacing w:val="-3"/>
          <w:w w:val="110"/>
        </w:rPr>
        <w:t xml:space="preserve"> </w:t>
      </w:r>
      <w:r w:rsidRPr="00283806">
        <w:rPr>
          <w:spacing w:val="-2"/>
          <w:w w:val="110"/>
        </w:rPr>
        <w:t xml:space="preserve">confidentiality </w:t>
      </w:r>
      <w:r w:rsidRPr="00283806">
        <w:rPr>
          <w:w w:val="110"/>
        </w:rPr>
        <w:t>prong</w:t>
      </w:r>
      <w:r w:rsidRPr="00283806">
        <w:rPr>
          <w:spacing w:val="-8"/>
          <w:w w:val="110"/>
        </w:rPr>
        <w:t xml:space="preserve"> </w:t>
      </w:r>
      <w:r w:rsidRPr="00283806">
        <w:rPr>
          <w:w w:val="110"/>
        </w:rPr>
        <w:t>of</w:t>
      </w:r>
      <w:r w:rsidRPr="00283806">
        <w:rPr>
          <w:spacing w:val="-8"/>
          <w:w w:val="110"/>
        </w:rPr>
        <w:t xml:space="preserve"> </w:t>
      </w:r>
      <w:r w:rsidRPr="00283806">
        <w:rPr>
          <w:w w:val="110"/>
        </w:rPr>
        <w:t>Exemption</w:t>
      </w:r>
      <w:r w:rsidRPr="00283806">
        <w:rPr>
          <w:spacing w:val="-8"/>
          <w:w w:val="110"/>
        </w:rPr>
        <w:t xml:space="preserve"> </w:t>
      </w:r>
      <w:r w:rsidRPr="00283806">
        <w:rPr>
          <w:w w:val="110"/>
        </w:rPr>
        <w:t>4,</w:t>
      </w:r>
      <w:r w:rsidRPr="00283806">
        <w:rPr>
          <w:spacing w:val="-8"/>
          <w:w w:val="110"/>
        </w:rPr>
        <w:t xml:space="preserve"> </w:t>
      </w:r>
      <w:r w:rsidRPr="00283806">
        <w:rPr>
          <w:w w:val="110"/>
        </w:rPr>
        <w:t>articulating</w:t>
      </w:r>
      <w:r w:rsidRPr="00283806">
        <w:rPr>
          <w:spacing w:val="-8"/>
          <w:w w:val="110"/>
        </w:rPr>
        <w:t xml:space="preserve"> </w:t>
      </w:r>
      <w:r w:rsidRPr="00283806">
        <w:rPr>
          <w:w w:val="110"/>
        </w:rPr>
        <w:t xml:space="preserve">‘‘the newly defined contours of Exemption 4’’ post- </w:t>
      </w:r>
      <w:r w:rsidRPr="00283806">
        <w:rPr>
          <w:rFonts w:ascii="Book Antiqua" w:hAnsi="Book Antiqua"/>
          <w:i/>
          <w:w w:val="110"/>
        </w:rPr>
        <w:t>Argus Leader</w:t>
      </w:r>
      <w:r w:rsidRPr="00283806">
        <w:rPr>
          <w:w w:val="110"/>
        </w:rPr>
        <w:t>.</w:t>
      </w:r>
      <w:r w:rsidRPr="00283806">
        <w:rPr>
          <w:w w:val="110"/>
          <w:position w:val="5"/>
          <w:sz w:val="11"/>
        </w:rPr>
        <w:t>165</w:t>
      </w:r>
      <w:r w:rsidRPr="00283806">
        <w:rPr>
          <w:spacing w:val="40"/>
          <w:w w:val="110"/>
          <w:position w:val="5"/>
          <w:sz w:val="11"/>
        </w:rPr>
        <w:t xml:space="preserve"> </w:t>
      </w:r>
      <w:r w:rsidRPr="00283806">
        <w:rPr>
          <w:w w:val="110"/>
        </w:rPr>
        <w:t>Where the government provides an express or implied indication to the submitter prior to or at the time the information</w:t>
      </w:r>
    </w:p>
    <w:p w14:paraId="421F526A" w14:textId="77777777" w:rsidR="00D67C1E" w:rsidRPr="00283806" w:rsidRDefault="001265CA">
      <w:pPr>
        <w:pStyle w:val="BodyText"/>
        <w:spacing w:line="225" w:lineRule="auto"/>
        <w:ind w:left="143" w:right="121"/>
      </w:pPr>
      <w:r w:rsidRPr="00283806">
        <w:rPr>
          <w:w w:val="110"/>
        </w:rPr>
        <w:t>is</w:t>
      </w:r>
      <w:r w:rsidRPr="00283806">
        <w:rPr>
          <w:spacing w:val="-11"/>
          <w:w w:val="110"/>
        </w:rPr>
        <w:t xml:space="preserve"> </w:t>
      </w:r>
      <w:r w:rsidRPr="00283806">
        <w:rPr>
          <w:w w:val="110"/>
        </w:rPr>
        <w:t>submitted</w:t>
      </w:r>
      <w:r w:rsidRPr="00283806">
        <w:rPr>
          <w:spacing w:val="-11"/>
          <w:w w:val="110"/>
        </w:rPr>
        <w:t xml:space="preserve"> </w:t>
      </w:r>
      <w:r w:rsidRPr="00283806">
        <w:rPr>
          <w:w w:val="110"/>
        </w:rPr>
        <w:t>to</w:t>
      </w:r>
      <w:r w:rsidRPr="00283806">
        <w:rPr>
          <w:spacing w:val="-11"/>
          <w:w w:val="110"/>
        </w:rPr>
        <w:t xml:space="preserve"> </w:t>
      </w:r>
      <w:r w:rsidRPr="00283806">
        <w:rPr>
          <w:w w:val="110"/>
        </w:rPr>
        <w:t>the</w:t>
      </w:r>
      <w:r w:rsidRPr="00283806">
        <w:rPr>
          <w:spacing w:val="-11"/>
          <w:w w:val="110"/>
        </w:rPr>
        <w:t xml:space="preserve"> </w:t>
      </w:r>
      <w:r w:rsidRPr="00283806">
        <w:rPr>
          <w:w w:val="110"/>
        </w:rPr>
        <w:t>government</w:t>
      </w:r>
      <w:r w:rsidRPr="00283806">
        <w:rPr>
          <w:spacing w:val="-11"/>
          <w:w w:val="110"/>
        </w:rPr>
        <w:t xml:space="preserve"> </w:t>
      </w:r>
      <w:r w:rsidRPr="00283806">
        <w:rPr>
          <w:w w:val="110"/>
        </w:rPr>
        <w:t>that</w:t>
      </w:r>
      <w:r w:rsidRPr="00283806">
        <w:rPr>
          <w:spacing w:val="-11"/>
          <w:w w:val="110"/>
        </w:rPr>
        <w:t xml:space="preserve"> </w:t>
      </w:r>
      <w:r w:rsidRPr="00283806">
        <w:rPr>
          <w:w w:val="110"/>
        </w:rPr>
        <w:t xml:space="preserve">the </w:t>
      </w:r>
      <w:r w:rsidRPr="00283806">
        <w:rPr>
          <w:spacing w:val="-2"/>
          <w:w w:val="110"/>
        </w:rPr>
        <w:t xml:space="preserve">government would publicly disclose the </w:t>
      </w:r>
      <w:r w:rsidRPr="00283806">
        <w:rPr>
          <w:w w:val="110"/>
        </w:rPr>
        <w:t xml:space="preserve">information, then the submitter generally cannot reasonably expect confidentiality of the information upon submission, and the information is not </w:t>
      </w:r>
      <w:r w:rsidRPr="00283806">
        <w:rPr>
          <w:spacing w:val="-2"/>
          <w:w w:val="110"/>
        </w:rPr>
        <w:t xml:space="preserve">entitled to confidential treatment under </w:t>
      </w:r>
      <w:r w:rsidRPr="00283806">
        <w:rPr>
          <w:w w:val="110"/>
        </w:rPr>
        <w:t>Exemption</w:t>
      </w:r>
      <w:r w:rsidRPr="00283806">
        <w:rPr>
          <w:spacing w:val="-5"/>
          <w:w w:val="110"/>
        </w:rPr>
        <w:t xml:space="preserve"> </w:t>
      </w:r>
      <w:r w:rsidRPr="00283806">
        <w:rPr>
          <w:w w:val="110"/>
        </w:rPr>
        <w:t>4.</w:t>
      </w:r>
      <w:r w:rsidRPr="00283806">
        <w:rPr>
          <w:w w:val="110"/>
          <w:position w:val="5"/>
          <w:sz w:val="11"/>
        </w:rPr>
        <w:t>166</w:t>
      </w:r>
      <w:r w:rsidRPr="00283806">
        <w:rPr>
          <w:spacing w:val="12"/>
          <w:w w:val="110"/>
          <w:position w:val="5"/>
          <w:sz w:val="11"/>
        </w:rPr>
        <w:t xml:space="preserve"> </w:t>
      </w:r>
      <w:r w:rsidRPr="00283806">
        <w:rPr>
          <w:w w:val="110"/>
        </w:rPr>
        <w:t>Information</w:t>
      </w:r>
      <w:r w:rsidRPr="00283806">
        <w:rPr>
          <w:spacing w:val="-5"/>
          <w:w w:val="110"/>
        </w:rPr>
        <w:t xml:space="preserve"> </w:t>
      </w:r>
      <w:r w:rsidRPr="00283806">
        <w:rPr>
          <w:w w:val="110"/>
        </w:rPr>
        <w:t>will</w:t>
      </w:r>
      <w:r w:rsidRPr="00283806">
        <w:rPr>
          <w:spacing w:val="-5"/>
          <w:w w:val="110"/>
        </w:rPr>
        <w:t xml:space="preserve"> </w:t>
      </w:r>
      <w:r w:rsidRPr="00283806">
        <w:rPr>
          <w:w w:val="110"/>
        </w:rPr>
        <w:t>not</w:t>
      </w:r>
      <w:r w:rsidRPr="00283806">
        <w:rPr>
          <w:spacing w:val="-5"/>
          <w:w w:val="110"/>
        </w:rPr>
        <w:t xml:space="preserve"> </w:t>
      </w:r>
      <w:r w:rsidRPr="00283806">
        <w:rPr>
          <w:w w:val="110"/>
        </w:rPr>
        <w:t xml:space="preserve">be kept confidential and will be disclosed publicly if it is determined to not be </w:t>
      </w:r>
      <w:r w:rsidRPr="00283806">
        <w:rPr>
          <w:spacing w:val="-2"/>
          <w:w w:val="110"/>
        </w:rPr>
        <w:t>entitled</w:t>
      </w:r>
      <w:r w:rsidRPr="00283806">
        <w:rPr>
          <w:spacing w:val="-5"/>
          <w:w w:val="110"/>
        </w:rPr>
        <w:t xml:space="preserve"> </w:t>
      </w:r>
      <w:r w:rsidRPr="00283806">
        <w:rPr>
          <w:spacing w:val="-2"/>
          <w:w w:val="110"/>
        </w:rPr>
        <w:t>to</w:t>
      </w:r>
      <w:r w:rsidRPr="00283806">
        <w:rPr>
          <w:spacing w:val="-5"/>
          <w:w w:val="110"/>
        </w:rPr>
        <w:t xml:space="preserve"> </w:t>
      </w:r>
      <w:r w:rsidRPr="00283806">
        <w:rPr>
          <w:spacing w:val="-2"/>
          <w:w w:val="110"/>
        </w:rPr>
        <w:t>confidential</w:t>
      </w:r>
      <w:r w:rsidRPr="00283806">
        <w:rPr>
          <w:spacing w:val="-5"/>
          <w:w w:val="110"/>
        </w:rPr>
        <w:t xml:space="preserve"> </w:t>
      </w:r>
      <w:r w:rsidRPr="00283806">
        <w:rPr>
          <w:spacing w:val="-2"/>
          <w:w w:val="110"/>
        </w:rPr>
        <w:t>treatment</w:t>
      </w:r>
      <w:r w:rsidRPr="00283806">
        <w:rPr>
          <w:spacing w:val="-5"/>
          <w:w w:val="110"/>
        </w:rPr>
        <w:t xml:space="preserve"> </w:t>
      </w:r>
      <w:r w:rsidRPr="00283806">
        <w:rPr>
          <w:spacing w:val="-2"/>
          <w:w w:val="110"/>
        </w:rPr>
        <w:t>in</w:t>
      </w:r>
      <w:r w:rsidRPr="00283806">
        <w:rPr>
          <w:spacing w:val="-5"/>
          <w:w w:val="110"/>
        </w:rPr>
        <w:t xml:space="preserve"> </w:t>
      </w:r>
      <w:r w:rsidRPr="00283806">
        <w:rPr>
          <w:spacing w:val="-2"/>
          <w:w w:val="110"/>
        </w:rPr>
        <w:t>this</w:t>
      </w:r>
    </w:p>
    <w:p w14:paraId="46A98659" w14:textId="77777777" w:rsidR="00D67C1E" w:rsidRPr="00283806" w:rsidRDefault="001265CA">
      <w:pPr>
        <w:pStyle w:val="BodyText"/>
        <w:spacing w:line="131" w:lineRule="exact"/>
        <w:ind w:left="143"/>
      </w:pPr>
      <w:r w:rsidRPr="00283806">
        <w:rPr>
          <w:w w:val="110"/>
        </w:rPr>
        <w:t>rule.</w:t>
      </w:r>
      <w:r w:rsidRPr="00283806">
        <w:rPr>
          <w:spacing w:val="-2"/>
          <w:w w:val="110"/>
        </w:rPr>
        <w:t xml:space="preserve"> </w:t>
      </w:r>
      <w:r w:rsidRPr="00283806">
        <w:rPr>
          <w:w w:val="110"/>
        </w:rPr>
        <w:t>This</w:t>
      </w:r>
      <w:r w:rsidRPr="00283806">
        <w:rPr>
          <w:spacing w:val="-1"/>
          <w:w w:val="110"/>
        </w:rPr>
        <w:t xml:space="preserve"> </w:t>
      </w:r>
      <w:r w:rsidRPr="00283806">
        <w:rPr>
          <w:w w:val="110"/>
        </w:rPr>
        <w:t>is</w:t>
      </w:r>
      <w:r w:rsidRPr="00283806">
        <w:rPr>
          <w:spacing w:val="-1"/>
          <w:w w:val="110"/>
        </w:rPr>
        <w:t xml:space="preserve"> </w:t>
      </w:r>
      <w:r w:rsidRPr="00283806">
        <w:rPr>
          <w:w w:val="110"/>
        </w:rPr>
        <w:t>aligned</w:t>
      </w:r>
      <w:r w:rsidRPr="00283806">
        <w:rPr>
          <w:spacing w:val="-2"/>
          <w:w w:val="110"/>
        </w:rPr>
        <w:t xml:space="preserve"> </w:t>
      </w:r>
      <w:r w:rsidRPr="00283806">
        <w:rPr>
          <w:w w:val="110"/>
        </w:rPr>
        <w:t>with</w:t>
      </w:r>
      <w:r w:rsidRPr="00283806">
        <w:rPr>
          <w:spacing w:val="-1"/>
          <w:w w:val="110"/>
        </w:rPr>
        <w:t xml:space="preserve"> </w:t>
      </w:r>
      <w:r w:rsidRPr="00283806">
        <w:rPr>
          <w:w w:val="110"/>
        </w:rPr>
        <w:t>the</w:t>
      </w:r>
      <w:r w:rsidRPr="00283806">
        <w:rPr>
          <w:spacing w:val="-1"/>
          <w:w w:val="110"/>
        </w:rPr>
        <w:t xml:space="preserve"> </w:t>
      </w:r>
      <w:r w:rsidRPr="00283806">
        <w:rPr>
          <w:spacing w:val="-2"/>
          <w:w w:val="110"/>
        </w:rPr>
        <w:t>Supreme</w:t>
      </w:r>
    </w:p>
    <w:p w14:paraId="7093D600" w14:textId="77777777" w:rsidR="00D67C1E" w:rsidRPr="00283806" w:rsidRDefault="00D67C1E">
      <w:pPr>
        <w:spacing w:line="131" w:lineRule="exact"/>
        <w:sectPr w:rsidR="00D67C1E" w:rsidRPr="00283806">
          <w:pgSz w:w="12240" w:h="15840"/>
          <w:pgMar w:top="1040" w:right="780" w:bottom="280" w:left="740" w:header="627" w:footer="0" w:gutter="0"/>
          <w:cols w:num="3" w:space="720" w:equalWidth="0">
            <w:col w:w="3517" w:space="40"/>
            <w:col w:w="3501" w:space="39"/>
            <w:col w:w="3623"/>
          </w:cols>
        </w:sectPr>
      </w:pPr>
    </w:p>
    <w:p w14:paraId="7285BDC0" w14:textId="77777777" w:rsidR="00D67C1E" w:rsidRPr="00283806" w:rsidRDefault="001265CA">
      <w:pPr>
        <w:pStyle w:val="BodyText"/>
        <w:tabs>
          <w:tab w:val="left" w:pos="3879"/>
          <w:tab w:val="left" w:pos="7239"/>
          <w:tab w:val="left" w:pos="8239"/>
        </w:tabs>
        <w:spacing w:line="170" w:lineRule="exact"/>
      </w:pPr>
      <w:r w:rsidRPr="00283806">
        <w:rPr>
          <w:w w:val="110"/>
        </w:rPr>
        <w:t>Information</w:t>
      </w:r>
      <w:r w:rsidRPr="00283806">
        <w:rPr>
          <w:spacing w:val="-3"/>
          <w:w w:val="110"/>
        </w:rPr>
        <w:t xml:space="preserve"> </w:t>
      </w:r>
      <w:r w:rsidRPr="00283806">
        <w:rPr>
          <w:w w:val="110"/>
        </w:rPr>
        <w:t>Act</w:t>
      </w:r>
      <w:r w:rsidRPr="00283806">
        <w:rPr>
          <w:spacing w:val="-3"/>
          <w:w w:val="110"/>
        </w:rPr>
        <w:t xml:space="preserve"> </w:t>
      </w:r>
      <w:r w:rsidRPr="00283806">
        <w:rPr>
          <w:w w:val="110"/>
        </w:rPr>
        <w:t>(FOIA).</w:t>
      </w:r>
      <w:r w:rsidRPr="00283806">
        <w:rPr>
          <w:spacing w:val="-3"/>
          <w:w w:val="110"/>
        </w:rPr>
        <w:t xml:space="preserve"> </w:t>
      </w:r>
      <w:r w:rsidRPr="00283806">
        <w:rPr>
          <w:w w:val="110"/>
        </w:rPr>
        <w:t>EPA</w:t>
      </w:r>
      <w:r w:rsidRPr="00283806">
        <w:rPr>
          <w:spacing w:val="-3"/>
          <w:w w:val="110"/>
        </w:rPr>
        <w:t xml:space="preserve"> </w:t>
      </w:r>
      <w:r w:rsidRPr="00283806">
        <w:rPr>
          <w:w w:val="110"/>
        </w:rPr>
        <w:t>has</w:t>
      </w:r>
      <w:r w:rsidRPr="00283806">
        <w:rPr>
          <w:spacing w:val="-3"/>
          <w:w w:val="110"/>
        </w:rPr>
        <w:t xml:space="preserve"> </w:t>
      </w:r>
      <w:r w:rsidRPr="00283806">
        <w:rPr>
          <w:spacing w:val="-4"/>
          <w:w w:val="110"/>
        </w:rPr>
        <w:t>also</w:t>
      </w:r>
      <w:r w:rsidRPr="00283806">
        <w:tab/>
      </w:r>
      <w:r w:rsidRPr="00283806">
        <w:rPr>
          <w:w w:val="110"/>
          <w:position w:val="1"/>
        </w:rPr>
        <w:t>The</w:t>
      </w:r>
      <w:r w:rsidRPr="00283806">
        <w:rPr>
          <w:spacing w:val="3"/>
          <w:w w:val="110"/>
          <w:position w:val="1"/>
        </w:rPr>
        <w:t xml:space="preserve"> </w:t>
      </w:r>
      <w:r w:rsidRPr="00283806">
        <w:rPr>
          <w:w w:val="110"/>
          <w:position w:val="1"/>
        </w:rPr>
        <w:t>U.S.</w:t>
      </w:r>
      <w:r w:rsidRPr="00283806">
        <w:rPr>
          <w:spacing w:val="3"/>
          <w:w w:val="110"/>
          <w:position w:val="1"/>
        </w:rPr>
        <w:t xml:space="preserve"> </w:t>
      </w:r>
      <w:r w:rsidRPr="00283806">
        <w:rPr>
          <w:w w:val="110"/>
          <w:position w:val="1"/>
        </w:rPr>
        <w:t>Supreme</w:t>
      </w:r>
      <w:r w:rsidRPr="00283806">
        <w:rPr>
          <w:spacing w:val="4"/>
          <w:w w:val="110"/>
          <w:position w:val="1"/>
        </w:rPr>
        <w:t xml:space="preserve"> </w:t>
      </w:r>
      <w:r w:rsidRPr="00283806">
        <w:rPr>
          <w:w w:val="110"/>
          <w:position w:val="1"/>
        </w:rPr>
        <w:t>Court</w:t>
      </w:r>
      <w:r w:rsidRPr="00283806">
        <w:rPr>
          <w:spacing w:val="3"/>
          <w:w w:val="110"/>
          <w:position w:val="1"/>
        </w:rPr>
        <w:t xml:space="preserve"> </w:t>
      </w:r>
      <w:r w:rsidRPr="00283806">
        <w:rPr>
          <w:w w:val="110"/>
          <w:position w:val="1"/>
        </w:rPr>
        <w:t>decision</w:t>
      </w:r>
      <w:r w:rsidRPr="00283806">
        <w:rPr>
          <w:spacing w:val="3"/>
          <w:w w:val="110"/>
          <w:position w:val="1"/>
        </w:rPr>
        <w:t xml:space="preserve"> </w:t>
      </w:r>
      <w:r w:rsidRPr="00283806">
        <w:rPr>
          <w:spacing w:val="-5"/>
          <w:w w:val="110"/>
          <w:position w:val="1"/>
        </w:rPr>
        <w:t>in</w:t>
      </w:r>
      <w:r w:rsidRPr="00283806">
        <w:rPr>
          <w:position w:val="1"/>
        </w:rPr>
        <w:tab/>
      </w:r>
      <w:r w:rsidRPr="00283806">
        <w:rPr>
          <w:position w:val="1"/>
          <w:u w:val="single"/>
        </w:rPr>
        <w:tab/>
      </w:r>
    </w:p>
    <w:p w14:paraId="0FCD636B" w14:textId="77777777" w:rsidR="00D67C1E" w:rsidRPr="00283806" w:rsidRDefault="00D67C1E">
      <w:pPr>
        <w:spacing w:line="170" w:lineRule="exact"/>
        <w:sectPr w:rsidR="00D67C1E" w:rsidRPr="00283806">
          <w:type w:val="continuous"/>
          <w:pgSz w:w="12240" w:h="15840"/>
          <w:pgMar w:top="880" w:right="780" w:bottom="280" w:left="740" w:header="627" w:footer="0" w:gutter="0"/>
          <w:cols w:space="720"/>
        </w:sectPr>
      </w:pPr>
    </w:p>
    <w:p w14:paraId="556BAC4D" w14:textId="77777777" w:rsidR="00D67C1E" w:rsidRPr="00283806" w:rsidRDefault="001265CA">
      <w:pPr>
        <w:pStyle w:val="BodyText"/>
        <w:spacing w:before="10" w:line="200" w:lineRule="exact"/>
      </w:pPr>
      <w:r w:rsidRPr="00283806">
        <w:rPr>
          <w:w w:val="105"/>
        </w:rPr>
        <w:t>identified</w:t>
      </w:r>
      <w:r w:rsidRPr="00283806">
        <w:rPr>
          <w:spacing w:val="7"/>
          <w:w w:val="105"/>
        </w:rPr>
        <w:t xml:space="preserve"> </w:t>
      </w:r>
      <w:r w:rsidRPr="00283806">
        <w:rPr>
          <w:w w:val="105"/>
        </w:rPr>
        <w:t>certain</w:t>
      </w:r>
      <w:r w:rsidRPr="00283806">
        <w:rPr>
          <w:spacing w:val="7"/>
          <w:w w:val="105"/>
        </w:rPr>
        <w:t xml:space="preserve"> </w:t>
      </w:r>
      <w:r w:rsidRPr="00283806">
        <w:rPr>
          <w:w w:val="105"/>
        </w:rPr>
        <w:t>other</w:t>
      </w:r>
      <w:r w:rsidRPr="00283806">
        <w:rPr>
          <w:spacing w:val="8"/>
          <w:w w:val="105"/>
        </w:rPr>
        <w:t xml:space="preserve"> </w:t>
      </w:r>
      <w:r w:rsidRPr="00283806">
        <w:rPr>
          <w:w w:val="105"/>
        </w:rPr>
        <w:t>categories</w:t>
      </w:r>
      <w:r w:rsidRPr="00283806">
        <w:rPr>
          <w:spacing w:val="7"/>
          <w:w w:val="105"/>
        </w:rPr>
        <w:t xml:space="preserve"> </w:t>
      </w:r>
      <w:r w:rsidRPr="00283806">
        <w:rPr>
          <w:spacing w:val="-5"/>
          <w:w w:val="105"/>
        </w:rPr>
        <w:t>of</w:t>
      </w:r>
    </w:p>
    <w:p w14:paraId="1EBDFB2A" w14:textId="77777777" w:rsidR="00D67C1E" w:rsidRPr="00283806" w:rsidRDefault="001265CA">
      <w:pPr>
        <w:spacing w:line="210" w:lineRule="exact"/>
        <w:ind w:left="160"/>
        <w:rPr>
          <w:rFonts w:ascii="Book Antiqua"/>
          <w:i/>
          <w:sz w:val="18"/>
        </w:rPr>
      </w:pPr>
      <w:r w:rsidRPr="00283806">
        <w:br w:type="column"/>
      </w:r>
      <w:r w:rsidRPr="00283806">
        <w:rPr>
          <w:rFonts w:ascii="Book Antiqua"/>
          <w:i/>
          <w:w w:val="110"/>
          <w:sz w:val="18"/>
        </w:rPr>
        <w:t>Food</w:t>
      </w:r>
      <w:r w:rsidRPr="00283806">
        <w:rPr>
          <w:rFonts w:ascii="Book Antiqua"/>
          <w:i/>
          <w:spacing w:val="2"/>
          <w:w w:val="110"/>
          <w:sz w:val="18"/>
        </w:rPr>
        <w:t xml:space="preserve"> </w:t>
      </w:r>
      <w:r w:rsidRPr="00283806">
        <w:rPr>
          <w:rFonts w:ascii="Book Antiqua"/>
          <w:i/>
          <w:w w:val="110"/>
          <w:sz w:val="18"/>
        </w:rPr>
        <w:t>Marketing</w:t>
      </w:r>
      <w:r w:rsidRPr="00283806">
        <w:rPr>
          <w:rFonts w:ascii="Book Antiqua"/>
          <w:i/>
          <w:spacing w:val="3"/>
          <w:w w:val="110"/>
          <w:sz w:val="18"/>
        </w:rPr>
        <w:t xml:space="preserve"> </w:t>
      </w:r>
      <w:r w:rsidRPr="00283806">
        <w:rPr>
          <w:rFonts w:ascii="Book Antiqua"/>
          <w:i/>
          <w:w w:val="110"/>
          <w:sz w:val="18"/>
        </w:rPr>
        <w:t>Institute</w:t>
      </w:r>
      <w:r w:rsidRPr="00283806">
        <w:rPr>
          <w:rFonts w:ascii="Book Antiqua"/>
          <w:i/>
          <w:spacing w:val="2"/>
          <w:w w:val="110"/>
          <w:sz w:val="18"/>
        </w:rPr>
        <w:t xml:space="preserve"> </w:t>
      </w:r>
      <w:r w:rsidRPr="00283806">
        <w:rPr>
          <w:w w:val="110"/>
          <w:sz w:val="18"/>
        </w:rPr>
        <w:t>v.</w:t>
      </w:r>
      <w:r w:rsidRPr="00283806">
        <w:rPr>
          <w:spacing w:val="8"/>
          <w:w w:val="110"/>
          <w:sz w:val="18"/>
        </w:rPr>
        <w:t xml:space="preserve"> </w:t>
      </w:r>
      <w:r w:rsidRPr="00283806">
        <w:rPr>
          <w:rFonts w:ascii="Book Antiqua"/>
          <w:i/>
          <w:spacing w:val="-2"/>
          <w:w w:val="110"/>
          <w:sz w:val="18"/>
        </w:rPr>
        <w:t>Argus</w:t>
      </w:r>
    </w:p>
    <w:p w14:paraId="79593107" w14:textId="77777777" w:rsidR="00D67C1E" w:rsidRPr="00283806" w:rsidRDefault="001265CA">
      <w:pPr>
        <w:spacing w:before="80" w:line="129" w:lineRule="exact"/>
        <w:ind w:left="160"/>
        <w:rPr>
          <w:sz w:val="14"/>
        </w:rPr>
      </w:pPr>
      <w:r w:rsidRPr="00283806">
        <w:br w:type="column"/>
      </w:r>
      <w:r w:rsidRPr="00283806">
        <w:rPr>
          <w:w w:val="110"/>
          <w:position w:val="4"/>
          <w:sz w:val="9"/>
        </w:rPr>
        <w:t>161</w:t>
      </w:r>
      <w:r w:rsidRPr="00283806">
        <w:rPr>
          <w:spacing w:val="1"/>
          <w:w w:val="110"/>
          <w:position w:val="4"/>
          <w:sz w:val="9"/>
        </w:rPr>
        <w:t xml:space="preserve"> </w:t>
      </w:r>
      <w:r w:rsidRPr="00283806">
        <w:rPr>
          <w:rFonts w:ascii="Book Antiqua"/>
          <w:i/>
          <w:w w:val="110"/>
          <w:sz w:val="14"/>
        </w:rPr>
        <w:t>Argus</w:t>
      </w:r>
      <w:r w:rsidRPr="00283806">
        <w:rPr>
          <w:rFonts w:ascii="Book Antiqua"/>
          <w:i/>
          <w:spacing w:val="1"/>
          <w:w w:val="110"/>
          <w:sz w:val="14"/>
        </w:rPr>
        <w:t xml:space="preserve"> </w:t>
      </w:r>
      <w:r w:rsidRPr="00283806">
        <w:rPr>
          <w:rFonts w:ascii="Book Antiqua"/>
          <w:i/>
          <w:w w:val="110"/>
          <w:sz w:val="14"/>
        </w:rPr>
        <w:t>Leader,</w:t>
      </w:r>
      <w:r w:rsidRPr="00283806">
        <w:rPr>
          <w:rFonts w:ascii="Book Antiqua"/>
          <w:i/>
          <w:spacing w:val="1"/>
          <w:w w:val="110"/>
          <w:sz w:val="14"/>
        </w:rPr>
        <w:t xml:space="preserve"> </w:t>
      </w:r>
      <w:r w:rsidRPr="00283806">
        <w:rPr>
          <w:w w:val="110"/>
          <w:sz w:val="14"/>
        </w:rPr>
        <w:t>139</w:t>
      </w:r>
      <w:r w:rsidRPr="00283806">
        <w:rPr>
          <w:spacing w:val="6"/>
          <w:w w:val="110"/>
          <w:sz w:val="14"/>
        </w:rPr>
        <w:t xml:space="preserve"> </w:t>
      </w:r>
      <w:r w:rsidRPr="00283806">
        <w:rPr>
          <w:w w:val="110"/>
          <w:sz w:val="14"/>
        </w:rPr>
        <w:t>S.</w:t>
      </w:r>
      <w:r w:rsidRPr="00283806">
        <w:rPr>
          <w:spacing w:val="5"/>
          <w:w w:val="110"/>
          <w:sz w:val="14"/>
        </w:rPr>
        <w:t xml:space="preserve"> </w:t>
      </w:r>
      <w:r w:rsidRPr="00283806">
        <w:rPr>
          <w:w w:val="110"/>
          <w:sz w:val="14"/>
        </w:rPr>
        <w:t>Ct.</w:t>
      </w:r>
      <w:r w:rsidRPr="00283806">
        <w:rPr>
          <w:spacing w:val="6"/>
          <w:w w:val="110"/>
          <w:sz w:val="14"/>
        </w:rPr>
        <w:t xml:space="preserve"> </w:t>
      </w:r>
      <w:r w:rsidRPr="00283806">
        <w:rPr>
          <w:w w:val="110"/>
          <w:sz w:val="14"/>
        </w:rPr>
        <w:t>at</w:t>
      </w:r>
      <w:r w:rsidRPr="00283806">
        <w:rPr>
          <w:spacing w:val="6"/>
          <w:w w:val="110"/>
          <w:sz w:val="14"/>
        </w:rPr>
        <w:t xml:space="preserve"> </w:t>
      </w:r>
      <w:r w:rsidRPr="00283806">
        <w:rPr>
          <w:spacing w:val="-2"/>
          <w:w w:val="110"/>
          <w:sz w:val="14"/>
        </w:rPr>
        <w:t>2366.</w:t>
      </w:r>
    </w:p>
    <w:p w14:paraId="6DBAD147" w14:textId="77777777" w:rsidR="00D67C1E" w:rsidRPr="00283806" w:rsidRDefault="00D67C1E">
      <w:pPr>
        <w:spacing w:line="129" w:lineRule="exact"/>
        <w:rPr>
          <w:sz w:val="14"/>
        </w:rPr>
        <w:sectPr w:rsidR="00D67C1E" w:rsidRPr="00283806">
          <w:type w:val="continuous"/>
          <w:pgSz w:w="12240" w:h="15840"/>
          <w:pgMar w:top="880" w:right="780" w:bottom="280" w:left="740" w:header="627" w:footer="0" w:gutter="0"/>
          <w:cols w:num="3" w:space="720" w:equalWidth="0">
            <w:col w:w="3187" w:space="353"/>
            <w:col w:w="2974" w:space="706"/>
            <w:col w:w="3500"/>
          </w:cols>
        </w:sectPr>
      </w:pPr>
    </w:p>
    <w:p w14:paraId="32FB74D3" w14:textId="77777777" w:rsidR="00D67C1E" w:rsidRPr="00283806" w:rsidRDefault="001265CA">
      <w:pPr>
        <w:pStyle w:val="BodyText"/>
        <w:tabs>
          <w:tab w:val="left" w:pos="3699"/>
          <w:tab w:val="left" w:pos="4699"/>
        </w:tabs>
        <w:spacing w:line="200" w:lineRule="exact"/>
      </w:pPr>
      <w:r w:rsidRPr="00283806">
        <w:rPr>
          <w:w w:val="105"/>
        </w:rPr>
        <w:t>information</w:t>
      </w:r>
      <w:r w:rsidRPr="00283806">
        <w:rPr>
          <w:spacing w:val="9"/>
          <w:w w:val="105"/>
        </w:rPr>
        <w:t xml:space="preserve"> </w:t>
      </w:r>
      <w:r w:rsidRPr="00283806">
        <w:rPr>
          <w:w w:val="105"/>
        </w:rPr>
        <w:t>that</w:t>
      </w:r>
      <w:r w:rsidRPr="00283806">
        <w:rPr>
          <w:spacing w:val="10"/>
          <w:w w:val="105"/>
        </w:rPr>
        <w:t xml:space="preserve"> </w:t>
      </w:r>
      <w:r w:rsidRPr="00283806">
        <w:rPr>
          <w:w w:val="105"/>
        </w:rPr>
        <w:t>may</w:t>
      </w:r>
      <w:r w:rsidRPr="00283806">
        <w:rPr>
          <w:spacing w:val="9"/>
          <w:w w:val="105"/>
        </w:rPr>
        <w:t xml:space="preserve"> </w:t>
      </w:r>
      <w:r w:rsidRPr="00283806">
        <w:rPr>
          <w:w w:val="105"/>
        </w:rPr>
        <w:t>be</w:t>
      </w:r>
      <w:r w:rsidRPr="00283806">
        <w:rPr>
          <w:spacing w:val="10"/>
          <w:w w:val="105"/>
        </w:rPr>
        <w:t xml:space="preserve"> </w:t>
      </w:r>
      <w:r w:rsidRPr="00283806">
        <w:rPr>
          <w:w w:val="105"/>
        </w:rPr>
        <w:t>entitled</w:t>
      </w:r>
      <w:r w:rsidRPr="00283806">
        <w:rPr>
          <w:spacing w:val="9"/>
          <w:w w:val="105"/>
        </w:rPr>
        <w:t xml:space="preserve"> </w:t>
      </w:r>
      <w:r w:rsidRPr="00283806">
        <w:rPr>
          <w:spacing w:val="-5"/>
          <w:w w:val="105"/>
        </w:rPr>
        <w:t>to</w:t>
      </w:r>
      <w:r w:rsidRPr="00283806">
        <w:tab/>
      </w:r>
      <w:r w:rsidRPr="00283806">
        <w:rPr>
          <w:u w:val="single"/>
        </w:rPr>
        <w:tab/>
      </w:r>
    </w:p>
    <w:p w14:paraId="73BD8902" w14:textId="77777777" w:rsidR="00D67C1E" w:rsidRPr="00283806" w:rsidRDefault="001265CA">
      <w:pPr>
        <w:spacing w:before="49" w:line="151" w:lineRule="exact"/>
        <w:ind w:left="160"/>
        <w:rPr>
          <w:sz w:val="14"/>
        </w:rPr>
      </w:pPr>
      <w:r w:rsidRPr="00283806">
        <w:br w:type="column"/>
      </w:r>
      <w:r w:rsidRPr="00283806">
        <w:rPr>
          <w:w w:val="110"/>
          <w:position w:val="4"/>
          <w:sz w:val="9"/>
        </w:rPr>
        <w:t>162</w:t>
      </w:r>
      <w:r w:rsidRPr="00283806">
        <w:rPr>
          <w:spacing w:val="1"/>
          <w:w w:val="110"/>
          <w:position w:val="4"/>
          <w:sz w:val="9"/>
        </w:rPr>
        <w:t xml:space="preserve"> </w:t>
      </w:r>
      <w:r w:rsidRPr="00283806">
        <w:rPr>
          <w:rFonts w:ascii="Book Antiqua"/>
          <w:i/>
          <w:w w:val="110"/>
          <w:sz w:val="14"/>
        </w:rPr>
        <w:t>Id.</w:t>
      </w:r>
      <w:r w:rsidRPr="00283806">
        <w:rPr>
          <w:rFonts w:ascii="Book Antiqua"/>
          <w:i/>
          <w:spacing w:val="3"/>
          <w:w w:val="110"/>
          <w:sz w:val="14"/>
        </w:rPr>
        <w:t xml:space="preserve"> </w:t>
      </w:r>
      <w:r w:rsidRPr="00283806">
        <w:rPr>
          <w:w w:val="110"/>
          <w:sz w:val="14"/>
        </w:rPr>
        <w:t>at</w:t>
      </w:r>
      <w:r w:rsidRPr="00283806">
        <w:rPr>
          <w:spacing w:val="7"/>
          <w:w w:val="110"/>
          <w:sz w:val="14"/>
        </w:rPr>
        <w:t xml:space="preserve"> </w:t>
      </w:r>
      <w:r w:rsidRPr="00283806">
        <w:rPr>
          <w:spacing w:val="-2"/>
          <w:w w:val="110"/>
          <w:sz w:val="14"/>
        </w:rPr>
        <w:t>2363.</w:t>
      </w:r>
    </w:p>
    <w:p w14:paraId="493E0112" w14:textId="77777777" w:rsidR="00D67C1E" w:rsidRPr="00283806" w:rsidRDefault="00D67C1E">
      <w:pPr>
        <w:spacing w:line="151" w:lineRule="exact"/>
        <w:rPr>
          <w:sz w:val="14"/>
        </w:rPr>
        <w:sectPr w:rsidR="00D67C1E" w:rsidRPr="00283806">
          <w:type w:val="continuous"/>
          <w:pgSz w:w="12240" w:h="15840"/>
          <w:pgMar w:top="880" w:right="780" w:bottom="280" w:left="740" w:header="627" w:footer="0" w:gutter="0"/>
          <w:cols w:num="2" w:space="720" w:equalWidth="0">
            <w:col w:w="4740" w:space="2480"/>
            <w:col w:w="3500"/>
          </w:cols>
        </w:sectPr>
      </w:pPr>
    </w:p>
    <w:p w14:paraId="6ABBE661" w14:textId="77777777" w:rsidR="00D67C1E" w:rsidRPr="00283806" w:rsidRDefault="001265CA">
      <w:pPr>
        <w:pStyle w:val="BodyText"/>
        <w:spacing w:before="8" w:line="228" w:lineRule="auto"/>
        <w:ind w:right="38"/>
      </w:pPr>
      <w:r w:rsidRPr="00283806">
        <w:rPr>
          <w:w w:val="105"/>
        </w:rPr>
        <w:t>confidential treatment. For information EPA is not determining in this rulemaking to be emission data or not otherwise entitled to confidential treatment, EPA will apply the 40 CFR part 2 process for establishing case-by- case confidentiality determinations. As explained further in the following discussion, the emission data and confidentiality determinations in this action are intended to increase the efficiency with which the Agency responds to FOIA requests and to provide consistency in the treatment of</w:t>
      </w:r>
    </w:p>
    <w:p w14:paraId="45820515" w14:textId="77777777" w:rsidR="00D67C1E" w:rsidRPr="00283806" w:rsidRDefault="001265CA">
      <w:pPr>
        <w:spacing w:before="16"/>
        <w:ind w:left="300"/>
        <w:rPr>
          <w:sz w:val="14"/>
        </w:rPr>
      </w:pPr>
      <w:r w:rsidRPr="00283806">
        <w:br w:type="column"/>
      </w:r>
      <w:r w:rsidRPr="00283806">
        <w:rPr>
          <w:w w:val="110"/>
          <w:position w:val="4"/>
          <w:sz w:val="9"/>
        </w:rPr>
        <w:t>157</w:t>
      </w:r>
      <w:r w:rsidRPr="00283806">
        <w:rPr>
          <w:spacing w:val="12"/>
          <w:w w:val="110"/>
          <w:position w:val="4"/>
          <w:sz w:val="9"/>
        </w:rPr>
        <w:t xml:space="preserve"> </w:t>
      </w:r>
      <w:r w:rsidRPr="00283806">
        <w:rPr>
          <w:w w:val="110"/>
          <w:sz w:val="14"/>
        </w:rPr>
        <w:t>5</w:t>
      </w:r>
      <w:r w:rsidRPr="00283806">
        <w:rPr>
          <w:spacing w:val="25"/>
          <w:w w:val="110"/>
          <w:sz w:val="14"/>
        </w:rPr>
        <w:t xml:space="preserve"> </w:t>
      </w:r>
      <w:r w:rsidRPr="00283806">
        <w:rPr>
          <w:w w:val="110"/>
          <w:sz w:val="14"/>
        </w:rPr>
        <w:t>U.S.C.</w:t>
      </w:r>
      <w:r w:rsidRPr="00283806">
        <w:rPr>
          <w:spacing w:val="25"/>
          <w:w w:val="110"/>
          <w:sz w:val="14"/>
        </w:rPr>
        <w:t xml:space="preserve"> </w:t>
      </w:r>
      <w:r w:rsidRPr="00283806">
        <w:rPr>
          <w:spacing w:val="-2"/>
          <w:w w:val="110"/>
          <w:sz w:val="14"/>
        </w:rPr>
        <w:t>552(b)(4).</w:t>
      </w:r>
    </w:p>
    <w:p w14:paraId="2809DB69" w14:textId="77777777" w:rsidR="00D67C1E" w:rsidRPr="00283806" w:rsidRDefault="001265CA">
      <w:pPr>
        <w:spacing w:before="16"/>
        <w:ind w:left="300"/>
        <w:rPr>
          <w:sz w:val="14"/>
        </w:rPr>
      </w:pPr>
      <w:r w:rsidRPr="00283806">
        <w:rPr>
          <w:w w:val="110"/>
          <w:position w:val="4"/>
          <w:sz w:val="9"/>
        </w:rPr>
        <w:t>158</w:t>
      </w:r>
      <w:r w:rsidRPr="00283806">
        <w:rPr>
          <w:spacing w:val="12"/>
          <w:w w:val="110"/>
          <w:position w:val="4"/>
          <w:sz w:val="9"/>
        </w:rPr>
        <w:t xml:space="preserve"> </w:t>
      </w:r>
      <w:r w:rsidRPr="00283806">
        <w:rPr>
          <w:w w:val="110"/>
          <w:sz w:val="14"/>
        </w:rPr>
        <w:t>5</w:t>
      </w:r>
      <w:r w:rsidRPr="00283806">
        <w:rPr>
          <w:spacing w:val="25"/>
          <w:w w:val="110"/>
          <w:sz w:val="14"/>
        </w:rPr>
        <w:t xml:space="preserve"> </w:t>
      </w:r>
      <w:r w:rsidRPr="00283806">
        <w:rPr>
          <w:w w:val="110"/>
          <w:sz w:val="14"/>
        </w:rPr>
        <w:t>U.S.C.</w:t>
      </w:r>
      <w:r w:rsidRPr="00283806">
        <w:rPr>
          <w:spacing w:val="25"/>
          <w:w w:val="110"/>
          <w:sz w:val="14"/>
        </w:rPr>
        <w:t xml:space="preserve"> </w:t>
      </w:r>
      <w:r w:rsidRPr="00283806">
        <w:rPr>
          <w:spacing w:val="-2"/>
          <w:w w:val="110"/>
          <w:sz w:val="14"/>
        </w:rPr>
        <w:t>552(b)(4).</w:t>
      </w:r>
    </w:p>
    <w:p w14:paraId="1D330A63" w14:textId="77777777" w:rsidR="00D67C1E" w:rsidRPr="00283806" w:rsidRDefault="001265CA">
      <w:pPr>
        <w:spacing w:before="16"/>
        <w:ind w:left="300"/>
        <w:rPr>
          <w:sz w:val="14"/>
        </w:rPr>
      </w:pPr>
      <w:r w:rsidRPr="00283806">
        <w:rPr>
          <w:w w:val="110"/>
          <w:position w:val="4"/>
          <w:sz w:val="9"/>
        </w:rPr>
        <w:t>159</w:t>
      </w:r>
      <w:r w:rsidRPr="00283806">
        <w:rPr>
          <w:spacing w:val="1"/>
          <w:w w:val="110"/>
          <w:position w:val="4"/>
          <w:sz w:val="9"/>
        </w:rPr>
        <w:t xml:space="preserve"> </w:t>
      </w:r>
      <w:r w:rsidRPr="00283806">
        <w:rPr>
          <w:w w:val="110"/>
          <w:sz w:val="14"/>
        </w:rPr>
        <w:t>40</w:t>
      </w:r>
      <w:r w:rsidRPr="00283806">
        <w:rPr>
          <w:spacing w:val="7"/>
          <w:w w:val="110"/>
          <w:sz w:val="14"/>
        </w:rPr>
        <w:t xml:space="preserve"> </w:t>
      </w:r>
      <w:r w:rsidRPr="00283806">
        <w:rPr>
          <w:w w:val="110"/>
          <w:sz w:val="14"/>
        </w:rPr>
        <w:t>CFR</w:t>
      </w:r>
      <w:r w:rsidRPr="00283806">
        <w:rPr>
          <w:spacing w:val="8"/>
          <w:w w:val="110"/>
          <w:sz w:val="14"/>
        </w:rPr>
        <w:t xml:space="preserve"> </w:t>
      </w:r>
      <w:r w:rsidRPr="00283806">
        <w:rPr>
          <w:spacing w:val="-2"/>
          <w:w w:val="110"/>
          <w:sz w:val="14"/>
        </w:rPr>
        <w:t>2.205.</w:t>
      </w:r>
    </w:p>
    <w:p w14:paraId="4A223721" w14:textId="77777777" w:rsidR="00D67C1E" w:rsidRPr="00283806" w:rsidRDefault="001265CA">
      <w:pPr>
        <w:spacing w:before="22" w:line="228" w:lineRule="auto"/>
        <w:ind w:left="160" w:firstLine="140"/>
        <w:rPr>
          <w:sz w:val="14"/>
        </w:rPr>
      </w:pPr>
      <w:r w:rsidRPr="00283806">
        <w:rPr>
          <w:w w:val="110"/>
          <w:position w:val="4"/>
          <w:sz w:val="9"/>
        </w:rPr>
        <w:t xml:space="preserve">160 </w:t>
      </w:r>
      <w:r w:rsidRPr="00283806">
        <w:rPr>
          <w:w w:val="110"/>
          <w:sz w:val="14"/>
        </w:rPr>
        <w:t>This approach of making categorical</w:t>
      </w:r>
      <w:r w:rsidRPr="00283806">
        <w:rPr>
          <w:spacing w:val="40"/>
          <w:w w:val="110"/>
          <w:sz w:val="14"/>
        </w:rPr>
        <w:t xml:space="preserve"> </w:t>
      </w:r>
      <w:r w:rsidRPr="00283806">
        <w:rPr>
          <w:w w:val="110"/>
          <w:sz w:val="14"/>
        </w:rPr>
        <w:t>determinations for a class of information is a well-</w:t>
      </w:r>
      <w:r w:rsidRPr="00283806">
        <w:rPr>
          <w:spacing w:val="40"/>
          <w:w w:val="110"/>
          <w:sz w:val="14"/>
        </w:rPr>
        <w:t xml:space="preserve"> </w:t>
      </w:r>
      <w:r w:rsidRPr="00283806">
        <w:rPr>
          <w:spacing w:val="-2"/>
          <w:w w:val="110"/>
          <w:sz w:val="14"/>
        </w:rPr>
        <w:t>established Agency practice. Prior examples of rules</w:t>
      </w:r>
      <w:r w:rsidRPr="00283806">
        <w:rPr>
          <w:spacing w:val="40"/>
          <w:w w:val="110"/>
          <w:sz w:val="14"/>
        </w:rPr>
        <w:t xml:space="preserve"> </w:t>
      </w:r>
      <w:r w:rsidRPr="00283806">
        <w:rPr>
          <w:w w:val="110"/>
          <w:sz w:val="14"/>
        </w:rPr>
        <w:t>where EPA has made such categorical</w:t>
      </w:r>
      <w:r w:rsidRPr="00283806">
        <w:rPr>
          <w:spacing w:val="40"/>
          <w:w w:val="110"/>
          <w:sz w:val="14"/>
        </w:rPr>
        <w:t xml:space="preserve"> </w:t>
      </w:r>
      <w:r w:rsidRPr="00283806">
        <w:rPr>
          <w:w w:val="110"/>
          <w:sz w:val="14"/>
        </w:rPr>
        <w:t xml:space="preserve">determinations include </w:t>
      </w:r>
      <w:r w:rsidRPr="00283806">
        <w:rPr>
          <w:rFonts w:ascii="Book Antiqua"/>
          <w:i/>
          <w:w w:val="110"/>
          <w:sz w:val="14"/>
        </w:rPr>
        <w:t>Confidentiality</w:t>
      </w:r>
      <w:r w:rsidRPr="00283806">
        <w:rPr>
          <w:rFonts w:ascii="Book Antiqua"/>
          <w:i/>
          <w:spacing w:val="40"/>
          <w:w w:val="110"/>
          <w:sz w:val="14"/>
        </w:rPr>
        <w:t xml:space="preserve"> </w:t>
      </w:r>
      <w:r w:rsidRPr="00283806">
        <w:rPr>
          <w:rFonts w:ascii="Book Antiqua"/>
          <w:i/>
          <w:w w:val="110"/>
          <w:sz w:val="14"/>
        </w:rPr>
        <w:t>Determinations for Data Required Under the</w:t>
      </w:r>
      <w:r w:rsidRPr="00283806">
        <w:rPr>
          <w:rFonts w:ascii="Book Antiqua"/>
          <w:i/>
          <w:spacing w:val="40"/>
          <w:w w:val="110"/>
          <w:sz w:val="14"/>
        </w:rPr>
        <w:t xml:space="preserve"> </w:t>
      </w:r>
      <w:r w:rsidRPr="00283806">
        <w:rPr>
          <w:rFonts w:ascii="Book Antiqua"/>
          <w:i/>
          <w:w w:val="110"/>
          <w:sz w:val="14"/>
        </w:rPr>
        <w:t>Mandatory Greenhouse Gas Reporting Rule and</w:t>
      </w:r>
      <w:r w:rsidRPr="00283806">
        <w:rPr>
          <w:rFonts w:ascii="Book Antiqua"/>
          <w:i/>
          <w:spacing w:val="40"/>
          <w:w w:val="110"/>
          <w:sz w:val="14"/>
        </w:rPr>
        <w:t xml:space="preserve"> </w:t>
      </w:r>
      <w:r w:rsidRPr="00283806">
        <w:rPr>
          <w:rFonts w:ascii="Book Antiqua"/>
          <w:i/>
          <w:w w:val="110"/>
          <w:sz w:val="14"/>
        </w:rPr>
        <w:t>Amendments to Special Rules Governing Certain</w:t>
      </w:r>
      <w:r w:rsidRPr="00283806">
        <w:rPr>
          <w:rFonts w:ascii="Book Antiqua"/>
          <w:i/>
          <w:spacing w:val="40"/>
          <w:w w:val="110"/>
          <w:sz w:val="14"/>
        </w:rPr>
        <w:t xml:space="preserve"> </w:t>
      </w:r>
      <w:r w:rsidRPr="00283806">
        <w:rPr>
          <w:rFonts w:ascii="Book Antiqua"/>
          <w:i/>
          <w:w w:val="110"/>
          <w:sz w:val="14"/>
        </w:rPr>
        <w:t xml:space="preserve">Information Obtained Under the Clean Air Act </w:t>
      </w:r>
      <w:r w:rsidRPr="00283806">
        <w:rPr>
          <w:w w:val="110"/>
          <w:sz w:val="14"/>
        </w:rPr>
        <w:t>(76</w:t>
      </w:r>
      <w:r w:rsidRPr="00283806">
        <w:rPr>
          <w:spacing w:val="40"/>
          <w:w w:val="110"/>
          <w:sz w:val="14"/>
        </w:rPr>
        <w:t xml:space="preserve"> </w:t>
      </w:r>
      <w:r w:rsidRPr="00283806">
        <w:rPr>
          <w:w w:val="110"/>
          <w:sz w:val="14"/>
        </w:rPr>
        <w:t xml:space="preserve">FR 30817) (May 26, 2011); </w:t>
      </w:r>
      <w:r w:rsidRPr="00283806">
        <w:rPr>
          <w:rFonts w:ascii="Book Antiqua"/>
          <w:i/>
          <w:w w:val="110"/>
          <w:sz w:val="14"/>
        </w:rPr>
        <w:t>Control</w:t>
      </w:r>
      <w:r w:rsidRPr="00283806">
        <w:rPr>
          <w:rFonts w:ascii="Book Antiqua"/>
          <w:i/>
          <w:spacing w:val="-3"/>
          <w:w w:val="110"/>
          <w:sz w:val="14"/>
        </w:rPr>
        <w:t xml:space="preserve"> </w:t>
      </w:r>
      <w:r w:rsidRPr="00283806">
        <w:rPr>
          <w:rFonts w:ascii="Book Antiqua"/>
          <w:i/>
          <w:w w:val="110"/>
          <w:sz w:val="14"/>
        </w:rPr>
        <w:t>of</w:t>
      </w:r>
      <w:r w:rsidRPr="00283806">
        <w:rPr>
          <w:rFonts w:ascii="Book Antiqua"/>
          <w:i/>
          <w:spacing w:val="-3"/>
          <w:w w:val="110"/>
          <w:sz w:val="14"/>
        </w:rPr>
        <w:t xml:space="preserve"> </w:t>
      </w:r>
      <w:r w:rsidRPr="00283806">
        <w:rPr>
          <w:rFonts w:ascii="Book Antiqua"/>
          <w:i/>
          <w:w w:val="110"/>
          <w:sz w:val="14"/>
        </w:rPr>
        <w:t>Air</w:t>
      </w:r>
      <w:r w:rsidRPr="00283806">
        <w:rPr>
          <w:rFonts w:ascii="Book Antiqua"/>
          <w:i/>
          <w:spacing w:val="-3"/>
          <w:w w:val="110"/>
          <w:sz w:val="14"/>
        </w:rPr>
        <w:t xml:space="preserve"> </w:t>
      </w:r>
      <w:r w:rsidRPr="00283806">
        <w:rPr>
          <w:rFonts w:ascii="Book Antiqua"/>
          <w:i/>
          <w:w w:val="110"/>
          <w:sz w:val="14"/>
        </w:rPr>
        <w:t>Pollution</w:t>
      </w:r>
      <w:r w:rsidRPr="00283806">
        <w:rPr>
          <w:rFonts w:ascii="Book Antiqua"/>
          <w:i/>
          <w:spacing w:val="40"/>
          <w:w w:val="110"/>
          <w:sz w:val="14"/>
        </w:rPr>
        <w:t xml:space="preserve"> </w:t>
      </w:r>
      <w:r w:rsidRPr="00283806">
        <w:rPr>
          <w:rFonts w:ascii="Book Antiqua"/>
          <w:i/>
          <w:w w:val="110"/>
          <w:sz w:val="14"/>
        </w:rPr>
        <w:t>From New Motor Vehicles: Heavy-Duty Engine and</w:t>
      </w:r>
      <w:r w:rsidRPr="00283806">
        <w:rPr>
          <w:rFonts w:ascii="Book Antiqua"/>
          <w:i/>
          <w:spacing w:val="40"/>
          <w:w w:val="110"/>
          <w:sz w:val="14"/>
        </w:rPr>
        <w:t xml:space="preserve"> </w:t>
      </w:r>
      <w:r w:rsidRPr="00283806">
        <w:rPr>
          <w:rFonts w:ascii="Book Antiqua"/>
          <w:i/>
          <w:w w:val="110"/>
          <w:sz w:val="14"/>
        </w:rPr>
        <w:t>Vehicle</w:t>
      </w:r>
      <w:r w:rsidRPr="00283806">
        <w:rPr>
          <w:rFonts w:ascii="Book Antiqua"/>
          <w:i/>
          <w:spacing w:val="-9"/>
          <w:w w:val="110"/>
          <w:sz w:val="14"/>
        </w:rPr>
        <w:t xml:space="preserve"> </w:t>
      </w:r>
      <w:r w:rsidRPr="00283806">
        <w:rPr>
          <w:rFonts w:ascii="Book Antiqua"/>
          <w:i/>
          <w:w w:val="110"/>
          <w:sz w:val="14"/>
        </w:rPr>
        <w:t>Standards</w:t>
      </w:r>
      <w:r w:rsidRPr="00283806">
        <w:rPr>
          <w:rFonts w:ascii="Book Antiqua"/>
          <w:i/>
          <w:spacing w:val="-9"/>
          <w:w w:val="110"/>
          <w:sz w:val="14"/>
        </w:rPr>
        <w:t xml:space="preserve"> </w:t>
      </w:r>
      <w:r w:rsidRPr="00283806">
        <w:rPr>
          <w:w w:val="110"/>
          <w:sz w:val="14"/>
        </w:rPr>
        <w:t>(88</w:t>
      </w:r>
      <w:r w:rsidRPr="00283806">
        <w:rPr>
          <w:spacing w:val="-5"/>
          <w:w w:val="110"/>
          <w:sz w:val="14"/>
        </w:rPr>
        <w:t xml:space="preserve"> </w:t>
      </w:r>
      <w:r w:rsidRPr="00283806">
        <w:rPr>
          <w:w w:val="110"/>
          <w:sz w:val="14"/>
        </w:rPr>
        <w:t>FR</w:t>
      </w:r>
      <w:r w:rsidRPr="00283806">
        <w:rPr>
          <w:spacing w:val="-5"/>
          <w:w w:val="110"/>
          <w:sz w:val="14"/>
        </w:rPr>
        <w:t xml:space="preserve"> </w:t>
      </w:r>
      <w:r w:rsidRPr="00283806">
        <w:rPr>
          <w:w w:val="110"/>
          <w:sz w:val="14"/>
        </w:rPr>
        <w:t>4296)</w:t>
      </w:r>
      <w:r w:rsidRPr="00283806">
        <w:rPr>
          <w:spacing w:val="-5"/>
          <w:w w:val="110"/>
          <w:sz w:val="14"/>
        </w:rPr>
        <w:t xml:space="preserve"> </w:t>
      </w:r>
      <w:r w:rsidRPr="00283806">
        <w:rPr>
          <w:w w:val="110"/>
          <w:sz w:val="14"/>
        </w:rPr>
        <w:t>(January</w:t>
      </w:r>
      <w:r w:rsidRPr="00283806">
        <w:rPr>
          <w:spacing w:val="-5"/>
          <w:w w:val="110"/>
          <w:sz w:val="14"/>
        </w:rPr>
        <w:t xml:space="preserve"> </w:t>
      </w:r>
      <w:r w:rsidRPr="00283806">
        <w:rPr>
          <w:w w:val="110"/>
          <w:sz w:val="14"/>
        </w:rPr>
        <w:t>24,</w:t>
      </w:r>
      <w:r w:rsidRPr="00283806">
        <w:rPr>
          <w:spacing w:val="-5"/>
          <w:w w:val="110"/>
          <w:sz w:val="14"/>
        </w:rPr>
        <w:t xml:space="preserve"> </w:t>
      </w:r>
      <w:r w:rsidRPr="00283806">
        <w:rPr>
          <w:w w:val="110"/>
          <w:sz w:val="14"/>
        </w:rPr>
        <w:t>2023);</w:t>
      </w:r>
      <w:r w:rsidRPr="00283806">
        <w:rPr>
          <w:spacing w:val="40"/>
          <w:w w:val="110"/>
          <w:sz w:val="14"/>
        </w:rPr>
        <w:t xml:space="preserve"> </w:t>
      </w:r>
      <w:r w:rsidRPr="00283806">
        <w:rPr>
          <w:w w:val="110"/>
          <w:sz w:val="14"/>
        </w:rPr>
        <w:t xml:space="preserve">and </w:t>
      </w:r>
      <w:r w:rsidRPr="00283806">
        <w:rPr>
          <w:rFonts w:ascii="Book Antiqua"/>
          <w:i/>
          <w:w w:val="110"/>
          <w:sz w:val="14"/>
        </w:rPr>
        <w:t>Renewable Fuel Standard (RFS) Program: RFS</w:t>
      </w:r>
      <w:r w:rsidRPr="00283806">
        <w:rPr>
          <w:rFonts w:ascii="Book Antiqua"/>
          <w:i/>
          <w:spacing w:val="40"/>
          <w:w w:val="110"/>
          <w:sz w:val="14"/>
        </w:rPr>
        <w:t xml:space="preserve"> </w:t>
      </w:r>
      <w:r w:rsidRPr="00283806">
        <w:rPr>
          <w:rFonts w:ascii="Book Antiqua"/>
          <w:i/>
          <w:w w:val="110"/>
          <w:sz w:val="14"/>
        </w:rPr>
        <w:t xml:space="preserve">Annual Rules </w:t>
      </w:r>
      <w:r w:rsidRPr="00283806">
        <w:rPr>
          <w:w w:val="110"/>
          <w:sz w:val="14"/>
        </w:rPr>
        <w:t>(87 FR 39600) (July 1, 2002).</w:t>
      </w:r>
    </w:p>
    <w:p w14:paraId="1DA9CB8D" w14:textId="77777777" w:rsidR="00D67C1E" w:rsidRPr="00283806" w:rsidRDefault="001265CA">
      <w:pPr>
        <w:spacing w:before="26"/>
        <w:ind w:left="282"/>
        <w:rPr>
          <w:sz w:val="14"/>
        </w:rPr>
      </w:pPr>
      <w:r w:rsidRPr="00283806">
        <w:br w:type="column"/>
      </w:r>
      <w:r w:rsidRPr="00283806">
        <w:rPr>
          <w:w w:val="110"/>
          <w:position w:val="4"/>
          <w:sz w:val="9"/>
        </w:rPr>
        <w:t>163</w:t>
      </w:r>
      <w:r w:rsidRPr="00283806">
        <w:rPr>
          <w:spacing w:val="-5"/>
          <w:w w:val="110"/>
          <w:position w:val="4"/>
          <w:sz w:val="9"/>
        </w:rPr>
        <w:t xml:space="preserve"> </w:t>
      </w:r>
      <w:r w:rsidRPr="00283806">
        <w:rPr>
          <w:rFonts w:ascii="Book Antiqua"/>
          <w:i/>
          <w:w w:val="110"/>
          <w:sz w:val="14"/>
        </w:rPr>
        <w:t>Id.</w:t>
      </w:r>
      <w:r w:rsidRPr="00283806">
        <w:rPr>
          <w:rFonts w:ascii="Book Antiqua"/>
          <w:i/>
          <w:spacing w:val="-8"/>
          <w:w w:val="110"/>
          <w:sz w:val="14"/>
        </w:rPr>
        <w:t xml:space="preserve"> </w:t>
      </w:r>
      <w:r w:rsidRPr="00283806">
        <w:rPr>
          <w:w w:val="110"/>
          <w:sz w:val="14"/>
        </w:rPr>
        <w:t>(internal</w:t>
      </w:r>
      <w:r w:rsidRPr="00283806">
        <w:rPr>
          <w:spacing w:val="-4"/>
          <w:w w:val="110"/>
          <w:sz w:val="14"/>
        </w:rPr>
        <w:t xml:space="preserve"> </w:t>
      </w:r>
      <w:r w:rsidRPr="00283806">
        <w:rPr>
          <w:w w:val="110"/>
          <w:sz w:val="14"/>
        </w:rPr>
        <w:t>citations</w:t>
      </w:r>
      <w:r w:rsidRPr="00283806">
        <w:rPr>
          <w:spacing w:val="-4"/>
          <w:w w:val="110"/>
          <w:sz w:val="14"/>
        </w:rPr>
        <w:t xml:space="preserve"> </w:t>
      </w:r>
      <w:r w:rsidRPr="00283806">
        <w:rPr>
          <w:spacing w:val="-2"/>
          <w:w w:val="110"/>
          <w:sz w:val="14"/>
        </w:rPr>
        <w:t>omitted).</w:t>
      </w:r>
    </w:p>
    <w:p w14:paraId="15F29C8B" w14:textId="77777777" w:rsidR="00D67C1E" w:rsidRPr="00283806" w:rsidRDefault="001265CA">
      <w:pPr>
        <w:spacing w:before="6"/>
        <w:ind w:left="282"/>
        <w:rPr>
          <w:sz w:val="14"/>
        </w:rPr>
      </w:pPr>
      <w:r w:rsidRPr="00283806">
        <w:rPr>
          <w:w w:val="110"/>
          <w:position w:val="4"/>
          <w:sz w:val="9"/>
        </w:rPr>
        <w:t>164</w:t>
      </w:r>
      <w:r w:rsidRPr="00283806">
        <w:rPr>
          <w:spacing w:val="-5"/>
          <w:w w:val="110"/>
          <w:position w:val="4"/>
          <w:sz w:val="9"/>
        </w:rPr>
        <w:t xml:space="preserve"> </w:t>
      </w:r>
      <w:r w:rsidRPr="00283806">
        <w:rPr>
          <w:rFonts w:ascii="Book Antiqua"/>
          <w:i/>
          <w:w w:val="110"/>
          <w:sz w:val="14"/>
        </w:rPr>
        <w:t>Id.</w:t>
      </w:r>
      <w:r w:rsidRPr="00283806">
        <w:rPr>
          <w:rFonts w:ascii="Book Antiqua"/>
          <w:i/>
          <w:spacing w:val="-8"/>
          <w:w w:val="110"/>
          <w:sz w:val="14"/>
        </w:rPr>
        <w:t xml:space="preserve"> </w:t>
      </w:r>
      <w:r w:rsidRPr="00283806">
        <w:rPr>
          <w:w w:val="110"/>
          <w:sz w:val="14"/>
        </w:rPr>
        <w:t>(internal</w:t>
      </w:r>
      <w:r w:rsidRPr="00283806">
        <w:rPr>
          <w:spacing w:val="-4"/>
          <w:w w:val="110"/>
          <w:sz w:val="14"/>
        </w:rPr>
        <w:t xml:space="preserve"> </w:t>
      </w:r>
      <w:r w:rsidRPr="00283806">
        <w:rPr>
          <w:w w:val="110"/>
          <w:sz w:val="14"/>
        </w:rPr>
        <w:t>citations</w:t>
      </w:r>
      <w:r w:rsidRPr="00283806">
        <w:rPr>
          <w:spacing w:val="-4"/>
          <w:w w:val="110"/>
          <w:sz w:val="14"/>
        </w:rPr>
        <w:t xml:space="preserve"> </w:t>
      </w:r>
      <w:r w:rsidRPr="00283806">
        <w:rPr>
          <w:spacing w:val="-2"/>
          <w:w w:val="110"/>
          <w:sz w:val="14"/>
        </w:rPr>
        <w:t>omitted).</w:t>
      </w:r>
    </w:p>
    <w:p w14:paraId="176C3C71" w14:textId="4D8B4C11" w:rsidR="00D67C1E" w:rsidRPr="00283806" w:rsidRDefault="001265CA">
      <w:pPr>
        <w:spacing w:before="14" w:line="225" w:lineRule="auto"/>
        <w:ind w:left="142" w:right="208" w:firstLine="140"/>
        <w:rPr>
          <w:rFonts w:ascii="Book Antiqua" w:hAnsi="Book Antiqua"/>
          <w:i/>
          <w:sz w:val="14"/>
        </w:rPr>
      </w:pPr>
      <w:r w:rsidRPr="00283806">
        <w:rPr>
          <w:w w:val="110"/>
          <w:position w:val="4"/>
          <w:sz w:val="9"/>
        </w:rPr>
        <w:t xml:space="preserve">165 </w:t>
      </w:r>
      <w:r w:rsidRPr="00283806">
        <w:rPr>
          <w:w w:val="110"/>
          <w:sz w:val="14"/>
        </w:rPr>
        <w:t>‘‘Exemption 4 After the Supreme Court’s</w:t>
      </w:r>
      <w:r w:rsidRPr="00283806">
        <w:rPr>
          <w:spacing w:val="40"/>
          <w:w w:val="110"/>
          <w:sz w:val="14"/>
        </w:rPr>
        <w:t xml:space="preserve"> </w:t>
      </w:r>
      <w:r w:rsidRPr="00283806">
        <w:rPr>
          <w:w w:val="110"/>
          <w:sz w:val="14"/>
        </w:rPr>
        <w:t xml:space="preserve">Ruling in </w:t>
      </w:r>
      <w:r w:rsidRPr="00283806">
        <w:rPr>
          <w:rFonts w:ascii="Book Antiqua" w:hAnsi="Book Antiqua"/>
          <w:i/>
          <w:w w:val="110"/>
          <w:sz w:val="14"/>
        </w:rPr>
        <w:t>Food</w:t>
      </w:r>
      <w:r w:rsidRPr="00283806">
        <w:rPr>
          <w:rFonts w:ascii="Book Antiqua" w:hAnsi="Book Antiqua"/>
          <w:i/>
          <w:spacing w:val="-1"/>
          <w:w w:val="110"/>
          <w:sz w:val="14"/>
        </w:rPr>
        <w:t xml:space="preserve"> </w:t>
      </w:r>
      <w:r w:rsidRPr="00283806">
        <w:rPr>
          <w:rFonts w:ascii="Book Antiqua" w:hAnsi="Book Antiqua"/>
          <w:i/>
          <w:w w:val="110"/>
          <w:sz w:val="14"/>
        </w:rPr>
        <w:t>Marketing</w:t>
      </w:r>
      <w:r w:rsidRPr="00283806">
        <w:rPr>
          <w:rFonts w:ascii="Book Antiqua" w:hAnsi="Book Antiqua"/>
          <w:i/>
          <w:spacing w:val="-1"/>
          <w:w w:val="110"/>
          <w:sz w:val="14"/>
        </w:rPr>
        <w:t xml:space="preserve"> </w:t>
      </w:r>
      <w:r w:rsidRPr="00283806">
        <w:rPr>
          <w:rFonts w:ascii="Book Antiqua" w:hAnsi="Book Antiqua"/>
          <w:i/>
          <w:w w:val="110"/>
          <w:sz w:val="14"/>
        </w:rPr>
        <w:t>Institute</w:t>
      </w:r>
      <w:r w:rsidRPr="00283806">
        <w:rPr>
          <w:rFonts w:ascii="Book Antiqua" w:hAnsi="Book Antiqua"/>
          <w:i/>
          <w:spacing w:val="-1"/>
          <w:w w:val="110"/>
          <w:sz w:val="14"/>
        </w:rPr>
        <w:t xml:space="preserve"> </w:t>
      </w:r>
      <w:r w:rsidRPr="00283806">
        <w:rPr>
          <w:w w:val="110"/>
          <w:sz w:val="14"/>
        </w:rPr>
        <w:t xml:space="preserve">v. </w:t>
      </w:r>
      <w:r w:rsidRPr="00283806">
        <w:rPr>
          <w:rFonts w:ascii="Book Antiqua" w:hAnsi="Book Antiqua"/>
          <w:i/>
          <w:w w:val="110"/>
          <w:sz w:val="14"/>
        </w:rPr>
        <w:t>Argus</w:t>
      </w:r>
      <w:r w:rsidRPr="00283806">
        <w:rPr>
          <w:rFonts w:ascii="Book Antiqua" w:hAnsi="Book Antiqua"/>
          <w:i/>
          <w:spacing w:val="-1"/>
          <w:w w:val="110"/>
          <w:sz w:val="14"/>
        </w:rPr>
        <w:t xml:space="preserve"> </w:t>
      </w:r>
      <w:r w:rsidRPr="00283806">
        <w:rPr>
          <w:rFonts w:ascii="Book Antiqua" w:hAnsi="Book Antiqua"/>
          <w:i/>
          <w:w w:val="110"/>
          <w:sz w:val="14"/>
        </w:rPr>
        <w:t>Leader</w:t>
      </w:r>
      <w:r w:rsidRPr="00283806">
        <w:rPr>
          <w:rFonts w:ascii="Book Antiqua" w:hAnsi="Book Antiqua"/>
          <w:i/>
          <w:spacing w:val="40"/>
          <w:w w:val="110"/>
          <w:sz w:val="14"/>
        </w:rPr>
        <w:t xml:space="preserve"> </w:t>
      </w:r>
      <w:r w:rsidRPr="00283806">
        <w:rPr>
          <w:rFonts w:ascii="Book Antiqua" w:hAnsi="Book Antiqua"/>
          <w:i/>
          <w:w w:val="110"/>
          <w:sz w:val="14"/>
        </w:rPr>
        <w:t xml:space="preserve">Media </w:t>
      </w:r>
      <w:r w:rsidRPr="00283806">
        <w:rPr>
          <w:w w:val="110"/>
          <w:sz w:val="14"/>
        </w:rPr>
        <w:t>and Accompanying Step-by-Step Guide,’’</w:t>
      </w:r>
      <w:r w:rsidRPr="00283806">
        <w:rPr>
          <w:spacing w:val="40"/>
          <w:w w:val="110"/>
          <w:sz w:val="14"/>
        </w:rPr>
        <w:t xml:space="preserve"> </w:t>
      </w:r>
      <w:r w:rsidRPr="00283806">
        <w:rPr>
          <w:w w:val="110"/>
          <w:sz w:val="14"/>
        </w:rPr>
        <w:t>Office of Information Policy, U.S. DOJ, (October 4,</w:t>
      </w:r>
      <w:r w:rsidRPr="00283806">
        <w:rPr>
          <w:spacing w:val="40"/>
          <w:w w:val="110"/>
          <w:sz w:val="14"/>
        </w:rPr>
        <w:t xml:space="preserve"> </w:t>
      </w:r>
      <w:r w:rsidRPr="00283806">
        <w:rPr>
          <w:w w:val="110"/>
          <w:sz w:val="14"/>
        </w:rPr>
        <w:t xml:space="preserve">2019). Available at: </w:t>
      </w:r>
      <w:r w:rsidRPr="00283806">
        <w:rPr>
          <w:rFonts w:ascii="Book Antiqua" w:hAnsi="Book Antiqua"/>
          <w:i/>
          <w:w w:val="110"/>
          <w:sz w:val="14"/>
        </w:rPr>
        <w:t>https://www.justice.gov/oip/</w:t>
      </w:r>
      <w:r w:rsidRPr="00283806">
        <w:rPr>
          <w:rFonts w:ascii="Book Antiqua" w:hAnsi="Book Antiqua"/>
          <w:i/>
          <w:spacing w:val="40"/>
          <w:w w:val="110"/>
          <w:sz w:val="14"/>
        </w:rPr>
        <w:t xml:space="preserve"> </w:t>
      </w:r>
      <w:r w:rsidRPr="00283806">
        <w:rPr>
          <w:rFonts w:ascii="Book Antiqua" w:hAnsi="Book Antiqua"/>
          <w:i/>
          <w:spacing w:val="-2"/>
          <w:w w:val="110"/>
          <w:sz w:val="14"/>
        </w:rPr>
        <w:t>exemption-4-after-supreme-courts-ruling-food-</w:t>
      </w:r>
      <w:r w:rsidRPr="00283806">
        <w:rPr>
          <w:rFonts w:ascii="Book Antiqua" w:hAnsi="Book Antiqua"/>
          <w:i/>
          <w:spacing w:val="40"/>
          <w:w w:val="110"/>
          <w:sz w:val="14"/>
        </w:rPr>
        <w:t xml:space="preserve"> </w:t>
      </w:r>
      <w:r w:rsidRPr="00283806">
        <w:rPr>
          <w:rFonts w:ascii="Book Antiqua" w:hAnsi="Book Antiqua"/>
          <w:i/>
          <w:spacing w:val="-2"/>
          <w:w w:val="110"/>
          <w:sz w:val="14"/>
        </w:rPr>
        <w:t>marketing-institute-v-argus-leader-media.</w:t>
      </w:r>
    </w:p>
    <w:p w14:paraId="2E577A84" w14:textId="7BE85705" w:rsidR="00D67C1E" w:rsidRPr="00283806" w:rsidRDefault="001265CA">
      <w:pPr>
        <w:spacing w:before="19" w:line="230" w:lineRule="auto"/>
        <w:ind w:left="142" w:right="133" w:firstLine="140"/>
        <w:rPr>
          <w:rFonts w:ascii="Book Antiqua" w:hAnsi="Book Antiqua"/>
          <w:i/>
          <w:sz w:val="14"/>
        </w:rPr>
      </w:pPr>
      <w:r w:rsidRPr="00283806">
        <w:rPr>
          <w:w w:val="110"/>
          <w:position w:val="4"/>
          <w:sz w:val="9"/>
        </w:rPr>
        <w:t xml:space="preserve">166 </w:t>
      </w:r>
      <w:r w:rsidRPr="00283806">
        <w:rPr>
          <w:w w:val="110"/>
          <w:sz w:val="14"/>
        </w:rPr>
        <w:t xml:space="preserve">See </w:t>
      </w:r>
      <w:r w:rsidRPr="00283806">
        <w:rPr>
          <w:rFonts w:ascii="Book Antiqua" w:hAnsi="Book Antiqua"/>
          <w:i/>
          <w:w w:val="110"/>
          <w:sz w:val="14"/>
        </w:rPr>
        <w:t xml:space="preserve">id.; </w:t>
      </w:r>
      <w:r w:rsidRPr="00283806">
        <w:rPr>
          <w:w w:val="110"/>
          <w:sz w:val="14"/>
        </w:rPr>
        <w:t>see also ‘‘Step-by-Step Guide for</w:t>
      </w:r>
      <w:r w:rsidRPr="00283806">
        <w:rPr>
          <w:spacing w:val="40"/>
          <w:w w:val="110"/>
          <w:sz w:val="14"/>
        </w:rPr>
        <w:t xml:space="preserve"> </w:t>
      </w:r>
      <w:r w:rsidRPr="00283806">
        <w:rPr>
          <w:w w:val="110"/>
          <w:sz w:val="14"/>
        </w:rPr>
        <w:t>Determining if Commercial or Financial</w:t>
      </w:r>
      <w:r w:rsidRPr="00283806">
        <w:rPr>
          <w:spacing w:val="40"/>
          <w:w w:val="110"/>
          <w:sz w:val="14"/>
        </w:rPr>
        <w:t xml:space="preserve"> </w:t>
      </w:r>
      <w:r w:rsidRPr="00283806">
        <w:rPr>
          <w:w w:val="110"/>
          <w:sz w:val="14"/>
        </w:rPr>
        <w:t>Information</w:t>
      </w:r>
      <w:r w:rsidRPr="00283806">
        <w:rPr>
          <w:spacing w:val="-9"/>
          <w:w w:val="110"/>
          <w:sz w:val="14"/>
        </w:rPr>
        <w:t xml:space="preserve"> </w:t>
      </w:r>
      <w:r w:rsidRPr="00283806">
        <w:rPr>
          <w:w w:val="110"/>
          <w:sz w:val="14"/>
        </w:rPr>
        <w:t>Obtained</w:t>
      </w:r>
      <w:r w:rsidRPr="00283806">
        <w:rPr>
          <w:spacing w:val="-8"/>
          <w:w w:val="110"/>
          <w:sz w:val="14"/>
        </w:rPr>
        <w:t xml:space="preserve"> </w:t>
      </w:r>
      <w:r w:rsidRPr="00283806">
        <w:rPr>
          <w:w w:val="110"/>
          <w:sz w:val="14"/>
        </w:rPr>
        <w:t>from</w:t>
      </w:r>
      <w:r w:rsidRPr="00283806">
        <w:rPr>
          <w:spacing w:val="-9"/>
          <w:w w:val="110"/>
          <w:sz w:val="14"/>
        </w:rPr>
        <w:t xml:space="preserve"> </w:t>
      </w:r>
      <w:r w:rsidRPr="00283806">
        <w:rPr>
          <w:w w:val="110"/>
          <w:sz w:val="14"/>
        </w:rPr>
        <w:t>a</w:t>
      </w:r>
      <w:r w:rsidRPr="00283806">
        <w:rPr>
          <w:spacing w:val="-8"/>
          <w:w w:val="110"/>
          <w:sz w:val="14"/>
        </w:rPr>
        <w:t xml:space="preserve"> </w:t>
      </w:r>
      <w:r w:rsidRPr="00283806">
        <w:rPr>
          <w:w w:val="110"/>
          <w:sz w:val="14"/>
        </w:rPr>
        <w:t>Person</w:t>
      </w:r>
      <w:r w:rsidRPr="00283806">
        <w:rPr>
          <w:spacing w:val="-9"/>
          <w:w w:val="110"/>
          <w:sz w:val="14"/>
        </w:rPr>
        <w:t xml:space="preserve"> </w:t>
      </w:r>
      <w:r w:rsidRPr="00283806">
        <w:rPr>
          <w:w w:val="110"/>
          <w:sz w:val="14"/>
        </w:rPr>
        <w:t>is</w:t>
      </w:r>
      <w:r w:rsidRPr="00283806">
        <w:rPr>
          <w:spacing w:val="-8"/>
          <w:w w:val="110"/>
          <w:sz w:val="14"/>
        </w:rPr>
        <w:t xml:space="preserve"> </w:t>
      </w:r>
      <w:r w:rsidRPr="00283806">
        <w:rPr>
          <w:w w:val="110"/>
          <w:sz w:val="14"/>
        </w:rPr>
        <w:t>Confidential</w:t>
      </w:r>
      <w:r w:rsidRPr="00283806">
        <w:rPr>
          <w:spacing w:val="40"/>
          <w:w w:val="110"/>
          <w:sz w:val="14"/>
        </w:rPr>
        <w:t xml:space="preserve"> </w:t>
      </w:r>
      <w:r w:rsidRPr="00283806">
        <w:rPr>
          <w:w w:val="110"/>
          <w:sz w:val="14"/>
        </w:rPr>
        <w:t>under Exemption 4 of the FOIA,’’ Office of</w:t>
      </w:r>
      <w:r w:rsidRPr="00283806">
        <w:rPr>
          <w:spacing w:val="40"/>
          <w:w w:val="110"/>
          <w:sz w:val="14"/>
        </w:rPr>
        <w:t xml:space="preserve"> </w:t>
      </w:r>
      <w:r w:rsidRPr="00283806">
        <w:rPr>
          <w:w w:val="110"/>
          <w:sz w:val="14"/>
        </w:rPr>
        <w:t>Information Policy, U.S. DOJ, (updated October 7,</w:t>
      </w:r>
      <w:r w:rsidRPr="00283806">
        <w:rPr>
          <w:spacing w:val="40"/>
          <w:w w:val="110"/>
          <w:sz w:val="14"/>
        </w:rPr>
        <w:t xml:space="preserve"> </w:t>
      </w:r>
      <w:r w:rsidRPr="00283806">
        <w:rPr>
          <w:w w:val="110"/>
          <w:sz w:val="14"/>
        </w:rPr>
        <w:t xml:space="preserve">2019). Available at: </w:t>
      </w:r>
      <w:r w:rsidRPr="00283806">
        <w:rPr>
          <w:rFonts w:ascii="Book Antiqua" w:hAnsi="Book Antiqua"/>
          <w:i/>
          <w:w w:val="110"/>
          <w:sz w:val="14"/>
        </w:rPr>
        <w:t>https://www.justice.gov/oip/</w:t>
      </w:r>
      <w:r w:rsidRPr="00283806">
        <w:rPr>
          <w:rFonts w:ascii="Book Antiqua" w:hAnsi="Book Antiqua"/>
          <w:i/>
          <w:spacing w:val="40"/>
          <w:w w:val="110"/>
          <w:sz w:val="14"/>
        </w:rPr>
        <w:t xml:space="preserve"> </w:t>
      </w:r>
      <w:r w:rsidRPr="00283806">
        <w:rPr>
          <w:rFonts w:ascii="Book Antiqua" w:hAnsi="Book Antiqua"/>
          <w:i/>
          <w:spacing w:val="-2"/>
          <w:w w:val="110"/>
          <w:sz w:val="14"/>
        </w:rPr>
        <w:t>step-step-guide-determining-if-commercial-or-</w:t>
      </w:r>
      <w:r w:rsidRPr="00283806">
        <w:rPr>
          <w:rFonts w:ascii="Book Antiqua" w:hAnsi="Book Antiqua"/>
          <w:i/>
          <w:spacing w:val="40"/>
          <w:w w:val="110"/>
          <w:sz w:val="14"/>
        </w:rPr>
        <w:t xml:space="preserve"> </w:t>
      </w:r>
      <w:r w:rsidRPr="00283806">
        <w:rPr>
          <w:rFonts w:ascii="Book Antiqua" w:hAnsi="Book Antiqua"/>
          <w:i/>
          <w:spacing w:val="-2"/>
          <w:w w:val="110"/>
          <w:sz w:val="14"/>
        </w:rPr>
        <w:t>financial-information-obtained-person-confidential.</w:t>
      </w:r>
    </w:p>
    <w:p w14:paraId="6D03EE05" w14:textId="77777777" w:rsidR="00D67C1E" w:rsidRPr="00283806" w:rsidRDefault="00D67C1E">
      <w:pPr>
        <w:spacing w:line="230" w:lineRule="auto"/>
        <w:rPr>
          <w:rFonts w:ascii="Book Antiqua" w:hAnsi="Book Antiqua"/>
          <w:sz w:val="14"/>
        </w:rPr>
        <w:sectPr w:rsidR="00D67C1E" w:rsidRPr="00283806">
          <w:type w:val="continuous"/>
          <w:pgSz w:w="12240" w:h="15840"/>
          <w:pgMar w:top="880" w:right="780" w:bottom="280" w:left="740" w:header="627" w:footer="0" w:gutter="0"/>
          <w:cols w:num="3" w:space="720" w:equalWidth="0">
            <w:col w:w="3448" w:space="92"/>
            <w:col w:w="3518" w:space="39"/>
            <w:col w:w="3623"/>
          </w:cols>
        </w:sectPr>
      </w:pPr>
    </w:p>
    <w:p w14:paraId="4ACF2E60" w14:textId="77777777" w:rsidR="00D67C1E" w:rsidRPr="00283806" w:rsidRDefault="001265CA">
      <w:pPr>
        <w:pStyle w:val="BodyText"/>
        <w:spacing w:before="138" w:line="223" w:lineRule="auto"/>
        <w:ind w:left="159" w:right="37"/>
      </w:pPr>
      <w:r w:rsidRPr="00283806">
        <w:rPr>
          <w:w w:val="105"/>
        </w:rPr>
        <w:lastRenderedPageBreak/>
        <w:t>Court’s decision, and the subsequent</w:t>
      </w:r>
      <w:r w:rsidRPr="00283806">
        <w:rPr>
          <w:spacing w:val="80"/>
          <w:w w:val="105"/>
        </w:rPr>
        <w:t xml:space="preserve"> </w:t>
      </w:r>
      <w:r w:rsidRPr="00283806">
        <w:rPr>
          <w:w w:val="105"/>
        </w:rPr>
        <w:t xml:space="preserve">DOJ guidance that the government’s assurances that a submission will be treated as </w:t>
      </w:r>
      <w:r w:rsidRPr="00283806">
        <w:rPr>
          <w:rFonts w:ascii="Book Antiqua" w:hAnsi="Book Antiqua"/>
          <w:i/>
          <w:w w:val="105"/>
        </w:rPr>
        <w:t xml:space="preserve">not </w:t>
      </w:r>
      <w:r w:rsidRPr="00283806">
        <w:rPr>
          <w:w w:val="105"/>
        </w:rPr>
        <w:t>confidential should</w:t>
      </w:r>
      <w:r w:rsidRPr="00283806">
        <w:rPr>
          <w:spacing w:val="80"/>
          <w:w w:val="105"/>
        </w:rPr>
        <w:t xml:space="preserve"> </w:t>
      </w:r>
      <w:r w:rsidRPr="00283806">
        <w:rPr>
          <w:w w:val="105"/>
        </w:rPr>
        <w:t>dictate the expectations of submitters. Based on the finalized determinations, submitters are on notice before they submit any information that EPA has determined that the identified data elements outlined in Tables 2, 3, and 4 below, as well as in the memorandum provided in the docket for this action titled</w:t>
      </w:r>
      <w:r w:rsidRPr="00283806">
        <w:rPr>
          <w:spacing w:val="35"/>
          <w:w w:val="105"/>
        </w:rPr>
        <w:t xml:space="preserve"> </w:t>
      </w:r>
      <w:r w:rsidRPr="00283806">
        <w:rPr>
          <w:rFonts w:ascii="Book Antiqua" w:hAnsi="Book Antiqua"/>
          <w:i/>
          <w:w w:val="105"/>
        </w:rPr>
        <w:t>Confidentiality</w:t>
      </w:r>
      <w:r w:rsidRPr="00283806">
        <w:rPr>
          <w:rFonts w:ascii="Book Antiqua" w:hAnsi="Book Antiqua"/>
          <w:i/>
          <w:spacing w:val="30"/>
          <w:w w:val="105"/>
        </w:rPr>
        <w:t xml:space="preserve"> </w:t>
      </w:r>
      <w:r w:rsidRPr="00283806">
        <w:rPr>
          <w:rFonts w:ascii="Book Antiqua" w:hAnsi="Book Antiqua"/>
          <w:i/>
          <w:w w:val="105"/>
        </w:rPr>
        <w:t>Determinations</w:t>
      </w:r>
      <w:r w:rsidRPr="00283806">
        <w:rPr>
          <w:rFonts w:ascii="Book Antiqua" w:hAnsi="Book Antiqua"/>
          <w:i/>
          <w:spacing w:val="80"/>
          <w:w w:val="105"/>
        </w:rPr>
        <w:t xml:space="preserve"> </w:t>
      </w:r>
      <w:r w:rsidRPr="00283806">
        <w:rPr>
          <w:rFonts w:ascii="Book Antiqua" w:hAnsi="Book Antiqua"/>
          <w:i/>
          <w:w w:val="105"/>
        </w:rPr>
        <w:t>and</w:t>
      </w:r>
      <w:r w:rsidRPr="00283806">
        <w:rPr>
          <w:rFonts w:ascii="Book Antiqua" w:hAnsi="Book Antiqua"/>
          <w:i/>
          <w:spacing w:val="40"/>
          <w:w w:val="105"/>
        </w:rPr>
        <w:t xml:space="preserve"> </w:t>
      </w:r>
      <w:r w:rsidRPr="00283806">
        <w:rPr>
          <w:rFonts w:ascii="Book Antiqua" w:hAnsi="Book Antiqua"/>
          <w:i/>
          <w:w w:val="105"/>
        </w:rPr>
        <w:t>Emission</w:t>
      </w:r>
      <w:r w:rsidRPr="00283806">
        <w:rPr>
          <w:rFonts w:ascii="Book Antiqua" w:hAnsi="Book Antiqua"/>
          <w:i/>
          <w:spacing w:val="40"/>
          <w:w w:val="105"/>
        </w:rPr>
        <w:t xml:space="preserve"> </w:t>
      </w:r>
      <w:r w:rsidRPr="00283806">
        <w:rPr>
          <w:rFonts w:ascii="Book Antiqua" w:hAnsi="Book Antiqua"/>
          <w:i/>
          <w:w w:val="105"/>
        </w:rPr>
        <w:t>Data</w:t>
      </w:r>
      <w:r w:rsidRPr="00283806">
        <w:rPr>
          <w:rFonts w:ascii="Book Antiqua" w:hAnsi="Book Antiqua"/>
          <w:i/>
          <w:spacing w:val="40"/>
          <w:w w:val="105"/>
        </w:rPr>
        <w:t xml:space="preserve"> </w:t>
      </w:r>
      <w:r w:rsidRPr="00283806">
        <w:rPr>
          <w:rFonts w:ascii="Book Antiqua" w:hAnsi="Book Antiqua"/>
          <w:i/>
          <w:w w:val="105"/>
        </w:rPr>
        <w:t>Designations</w:t>
      </w:r>
      <w:r w:rsidRPr="00283806">
        <w:rPr>
          <w:rFonts w:ascii="Book Antiqua" w:hAnsi="Book Antiqua"/>
          <w:i/>
          <w:spacing w:val="40"/>
          <w:w w:val="105"/>
        </w:rPr>
        <w:t xml:space="preserve"> </w:t>
      </w:r>
      <w:r w:rsidRPr="00283806">
        <w:rPr>
          <w:rFonts w:ascii="Book Antiqua" w:hAnsi="Book Antiqua"/>
          <w:i/>
          <w:w w:val="105"/>
        </w:rPr>
        <w:t>for Data</w:t>
      </w:r>
      <w:r w:rsidRPr="00283806">
        <w:rPr>
          <w:rFonts w:ascii="Book Antiqua" w:hAnsi="Book Antiqua"/>
          <w:i/>
          <w:spacing w:val="40"/>
          <w:w w:val="105"/>
        </w:rPr>
        <w:t xml:space="preserve"> </w:t>
      </w:r>
      <w:r w:rsidRPr="00283806">
        <w:rPr>
          <w:rFonts w:ascii="Book Antiqua" w:hAnsi="Book Antiqua"/>
          <w:i/>
          <w:w w:val="105"/>
        </w:rPr>
        <w:t>Elements</w:t>
      </w:r>
      <w:r w:rsidRPr="00283806">
        <w:rPr>
          <w:rFonts w:ascii="Book Antiqua" w:hAnsi="Book Antiqua"/>
          <w:i/>
          <w:spacing w:val="40"/>
          <w:w w:val="105"/>
        </w:rPr>
        <w:t xml:space="preserve"> </w:t>
      </w:r>
      <w:r w:rsidRPr="00283806">
        <w:rPr>
          <w:rFonts w:ascii="Book Antiqua" w:hAnsi="Book Antiqua"/>
          <w:i/>
          <w:w w:val="105"/>
        </w:rPr>
        <w:t>in</w:t>
      </w:r>
      <w:r w:rsidRPr="00283806">
        <w:rPr>
          <w:rFonts w:ascii="Book Antiqua" w:hAnsi="Book Antiqua"/>
          <w:i/>
          <w:spacing w:val="40"/>
          <w:w w:val="105"/>
        </w:rPr>
        <w:t xml:space="preserve"> </w:t>
      </w:r>
      <w:r w:rsidRPr="00283806">
        <w:rPr>
          <w:rFonts w:ascii="Book Antiqua" w:hAnsi="Book Antiqua"/>
          <w:i/>
          <w:w w:val="105"/>
        </w:rPr>
        <w:t>the</w:t>
      </w:r>
      <w:r w:rsidRPr="00283806">
        <w:rPr>
          <w:rFonts w:ascii="Book Antiqua" w:hAnsi="Book Antiqua"/>
          <w:i/>
          <w:spacing w:val="40"/>
          <w:w w:val="105"/>
        </w:rPr>
        <w:t xml:space="preserve"> </w:t>
      </w:r>
      <w:r w:rsidRPr="00283806">
        <w:rPr>
          <w:rFonts w:ascii="Book Antiqua" w:hAnsi="Book Antiqua"/>
          <w:i/>
          <w:w w:val="105"/>
        </w:rPr>
        <w:t>Final</w:t>
      </w:r>
      <w:r w:rsidRPr="00283806">
        <w:rPr>
          <w:rFonts w:ascii="Book Antiqua" w:hAnsi="Book Antiqua"/>
          <w:i/>
          <w:spacing w:val="40"/>
          <w:w w:val="105"/>
        </w:rPr>
        <w:t xml:space="preserve"> </w:t>
      </w:r>
      <w:r w:rsidRPr="00283806">
        <w:rPr>
          <w:rFonts w:ascii="Book Antiqua" w:hAnsi="Book Antiqua"/>
          <w:i/>
          <w:w w:val="105"/>
        </w:rPr>
        <w:t>Rule,</w:t>
      </w:r>
      <w:r w:rsidRPr="00283806">
        <w:rPr>
          <w:rFonts w:ascii="Book Antiqua" w:hAnsi="Book Antiqua"/>
          <w:i/>
          <w:spacing w:val="40"/>
          <w:w w:val="105"/>
        </w:rPr>
        <w:t xml:space="preserve"> </w:t>
      </w:r>
      <w:r w:rsidRPr="00283806">
        <w:rPr>
          <w:w w:val="105"/>
        </w:rPr>
        <w:t>will not be entitled to confidential treatment upon submission and may be released</w:t>
      </w:r>
      <w:r w:rsidRPr="00283806">
        <w:rPr>
          <w:spacing w:val="40"/>
          <w:w w:val="105"/>
        </w:rPr>
        <w:t xml:space="preserve"> </w:t>
      </w:r>
      <w:r w:rsidRPr="00283806">
        <w:rPr>
          <w:w w:val="105"/>
        </w:rPr>
        <w:t>by</w:t>
      </w:r>
      <w:r w:rsidRPr="00283806">
        <w:rPr>
          <w:spacing w:val="40"/>
          <w:w w:val="105"/>
        </w:rPr>
        <w:t xml:space="preserve"> </w:t>
      </w:r>
      <w:r w:rsidRPr="00283806">
        <w:rPr>
          <w:w w:val="105"/>
        </w:rPr>
        <w:t>the</w:t>
      </w:r>
      <w:r w:rsidRPr="00283806">
        <w:rPr>
          <w:spacing w:val="40"/>
          <w:w w:val="105"/>
        </w:rPr>
        <w:t xml:space="preserve"> </w:t>
      </w:r>
      <w:r w:rsidRPr="00283806">
        <w:rPr>
          <w:w w:val="105"/>
        </w:rPr>
        <w:t>Agency</w:t>
      </w:r>
      <w:r w:rsidRPr="00283806">
        <w:rPr>
          <w:spacing w:val="40"/>
          <w:w w:val="105"/>
        </w:rPr>
        <w:t xml:space="preserve"> </w:t>
      </w:r>
      <w:r w:rsidRPr="00283806">
        <w:rPr>
          <w:w w:val="105"/>
        </w:rPr>
        <w:t>without</w:t>
      </w:r>
      <w:r w:rsidRPr="00283806">
        <w:rPr>
          <w:spacing w:val="40"/>
          <w:w w:val="105"/>
        </w:rPr>
        <w:t xml:space="preserve"> </w:t>
      </w:r>
      <w:r w:rsidRPr="00283806">
        <w:rPr>
          <w:w w:val="105"/>
        </w:rPr>
        <w:t>further</w:t>
      </w:r>
      <w:r w:rsidRPr="00283806">
        <w:rPr>
          <w:spacing w:val="40"/>
          <w:w w:val="105"/>
        </w:rPr>
        <w:t xml:space="preserve"> </w:t>
      </w:r>
      <w:r w:rsidRPr="00283806">
        <w:rPr>
          <w:w w:val="105"/>
        </w:rPr>
        <w:t>notice. As a result, submitters do not have a reasonable expectation that the information will be treated as confidential; rather, they have the reasonable expectation that the information will be disclosed.</w:t>
      </w:r>
    </w:p>
    <w:p w14:paraId="0932FCC2" w14:textId="77777777" w:rsidR="00D67C1E" w:rsidRPr="00283806" w:rsidRDefault="001265CA">
      <w:pPr>
        <w:pStyle w:val="BodyText"/>
        <w:spacing w:line="225" w:lineRule="auto"/>
        <w:ind w:left="159" w:right="35" w:firstLine="180"/>
      </w:pPr>
      <w:r w:rsidRPr="00283806">
        <w:rPr>
          <w:w w:val="105"/>
        </w:rPr>
        <w:t xml:space="preserve">As </w:t>
      </w:r>
      <w:proofErr w:type="gramStart"/>
      <w:r w:rsidRPr="00283806">
        <w:rPr>
          <w:w w:val="105"/>
        </w:rPr>
        <w:t>described further</w:t>
      </w:r>
      <w:proofErr w:type="gramEnd"/>
      <w:r w:rsidRPr="00283806">
        <w:rPr>
          <w:w w:val="105"/>
        </w:rPr>
        <w:t xml:space="preserve"> below, EPA is making categorical confidentiality determinations for some of the data that will be submitted to EPA because </w:t>
      </w:r>
      <w:proofErr w:type="gramStart"/>
      <w:r w:rsidRPr="00283806">
        <w:rPr>
          <w:w w:val="105"/>
        </w:rPr>
        <w:t>these</w:t>
      </w:r>
      <w:proofErr w:type="gramEnd"/>
      <w:r w:rsidRPr="00283806">
        <w:rPr>
          <w:w w:val="105"/>
        </w:rPr>
        <w:t xml:space="preserve"> data contain information that is not entitled to confidential treatment. The reason this information is not entitled to confidential treatment is that either it is not the type of information that submitters customarily keep private or closely held, it is already publicly available,</w:t>
      </w:r>
      <w:r w:rsidRPr="00283806">
        <w:rPr>
          <w:spacing w:val="40"/>
          <w:w w:val="105"/>
        </w:rPr>
        <w:t xml:space="preserve"> </w:t>
      </w:r>
      <w:r w:rsidRPr="00283806">
        <w:rPr>
          <w:w w:val="105"/>
        </w:rPr>
        <w:t>or</w:t>
      </w:r>
      <w:r w:rsidRPr="00283806">
        <w:rPr>
          <w:spacing w:val="40"/>
          <w:w w:val="105"/>
        </w:rPr>
        <w:t xml:space="preserve"> </w:t>
      </w:r>
      <w:r w:rsidRPr="00283806">
        <w:rPr>
          <w:w w:val="105"/>
        </w:rPr>
        <w:t>it</w:t>
      </w:r>
      <w:r w:rsidRPr="00283806">
        <w:rPr>
          <w:spacing w:val="40"/>
          <w:w w:val="105"/>
        </w:rPr>
        <w:t xml:space="preserve"> </w:t>
      </w:r>
      <w:r w:rsidRPr="00283806">
        <w:rPr>
          <w:w w:val="105"/>
        </w:rPr>
        <w:t>is</w:t>
      </w:r>
      <w:r w:rsidRPr="00283806">
        <w:rPr>
          <w:spacing w:val="40"/>
          <w:w w:val="105"/>
        </w:rPr>
        <w:t xml:space="preserve"> </w:t>
      </w:r>
      <w:r w:rsidRPr="00283806">
        <w:rPr>
          <w:w w:val="105"/>
        </w:rPr>
        <w:t>discernible information that is self-evident or</w:t>
      </w:r>
      <w:r w:rsidRPr="00283806">
        <w:rPr>
          <w:spacing w:val="80"/>
          <w:w w:val="105"/>
        </w:rPr>
        <w:t xml:space="preserve"> </w:t>
      </w:r>
      <w:r w:rsidRPr="00283806">
        <w:rPr>
          <w:w w:val="105"/>
        </w:rPr>
        <w:t>readily observable through reverse engineering by a third party.</w:t>
      </w:r>
    </w:p>
    <w:p w14:paraId="041756D4" w14:textId="77777777" w:rsidR="00D67C1E" w:rsidRPr="00283806" w:rsidRDefault="001265CA">
      <w:pPr>
        <w:spacing w:line="180" w:lineRule="exact"/>
        <w:ind w:left="339"/>
        <w:rPr>
          <w:sz w:val="18"/>
        </w:rPr>
      </w:pPr>
      <w:r w:rsidRPr="00283806">
        <w:rPr>
          <w:rFonts w:ascii="Book Antiqua"/>
          <w:i/>
          <w:w w:val="105"/>
          <w:sz w:val="18"/>
        </w:rPr>
        <w:t>Comment:</w:t>
      </w:r>
      <w:r w:rsidRPr="00283806">
        <w:rPr>
          <w:rFonts w:ascii="Book Antiqua"/>
          <w:i/>
          <w:spacing w:val="15"/>
          <w:w w:val="105"/>
          <w:sz w:val="18"/>
        </w:rPr>
        <w:t xml:space="preserve"> </w:t>
      </w:r>
      <w:r w:rsidRPr="00283806">
        <w:rPr>
          <w:w w:val="105"/>
          <w:sz w:val="18"/>
        </w:rPr>
        <w:t>One</w:t>
      </w:r>
      <w:r w:rsidRPr="00283806">
        <w:rPr>
          <w:spacing w:val="20"/>
          <w:w w:val="105"/>
          <w:sz w:val="18"/>
        </w:rPr>
        <w:t xml:space="preserve"> </w:t>
      </w:r>
      <w:r w:rsidRPr="00283806">
        <w:rPr>
          <w:w w:val="105"/>
          <w:sz w:val="18"/>
        </w:rPr>
        <w:t>commenter</w:t>
      </w:r>
      <w:r w:rsidRPr="00283806">
        <w:rPr>
          <w:spacing w:val="20"/>
          <w:w w:val="105"/>
          <w:sz w:val="18"/>
        </w:rPr>
        <w:t xml:space="preserve"> </w:t>
      </w:r>
      <w:r w:rsidRPr="00283806">
        <w:rPr>
          <w:w w:val="105"/>
          <w:sz w:val="18"/>
        </w:rPr>
        <w:t>stated</w:t>
      </w:r>
      <w:r w:rsidRPr="00283806">
        <w:rPr>
          <w:spacing w:val="20"/>
          <w:w w:val="105"/>
          <w:sz w:val="18"/>
        </w:rPr>
        <w:t xml:space="preserve"> </w:t>
      </w:r>
      <w:r w:rsidRPr="00283806">
        <w:rPr>
          <w:spacing w:val="-4"/>
          <w:w w:val="105"/>
          <w:sz w:val="18"/>
        </w:rPr>
        <w:t>that</w:t>
      </w:r>
    </w:p>
    <w:p w14:paraId="0E6AA6E9" w14:textId="77777777" w:rsidR="00D67C1E" w:rsidRPr="00283806" w:rsidRDefault="001265CA">
      <w:pPr>
        <w:pStyle w:val="BodyText"/>
        <w:spacing w:line="225" w:lineRule="auto"/>
        <w:ind w:left="159" w:right="37"/>
      </w:pPr>
      <w:r w:rsidRPr="00283806">
        <w:rPr>
          <w:w w:val="105"/>
        </w:rPr>
        <w:t>EPA’s requirements with respect to confidential data are responsible and appropriate. Another commenter recommended that EPA consider the scope, cost, and effort for the Agency to publish and maintain such information and that EPA consider modifying its publications to be on an annual or other basis if the burden of publication becomes too great to maintain.</w:t>
      </w:r>
    </w:p>
    <w:p w14:paraId="2C91EC59" w14:textId="77777777" w:rsidR="00D67C1E" w:rsidRPr="00283806" w:rsidRDefault="001265CA">
      <w:pPr>
        <w:pStyle w:val="BodyText"/>
        <w:spacing w:line="213" w:lineRule="auto"/>
        <w:ind w:left="159" w:firstLine="180"/>
      </w:pPr>
      <w:r w:rsidRPr="00283806">
        <w:rPr>
          <w:rFonts w:ascii="Book Antiqua"/>
          <w:i/>
          <w:w w:val="105"/>
        </w:rPr>
        <w:t xml:space="preserve">Response: </w:t>
      </w:r>
      <w:r w:rsidRPr="00283806">
        <w:rPr>
          <w:w w:val="105"/>
        </w:rPr>
        <w:t xml:space="preserve">EPA acknowledges </w:t>
      </w:r>
      <w:proofErr w:type="gramStart"/>
      <w:r w:rsidRPr="00283806">
        <w:rPr>
          <w:w w:val="105"/>
        </w:rPr>
        <w:t>the</w:t>
      </w:r>
      <w:proofErr w:type="gramEnd"/>
      <w:r w:rsidRPr="00283806">
        <w:rPr>
          <w:w w:val="105"/>
        </w:rPr>
        <w:t xml:space="preserve"> general support for the proposal. The</w:t>
      </w:r>
    </w:p>
    <w:p w14:paraId="7524D28B" w14:textId="77777777" w:rsidR="00D67C1E" w:rsidRPr="00283806" w:rsidRDefault="001265CA">
      <w:pPr>
        <w:pStyle w:val="BodyText"/>
        <w:spacing w:line="225" w:lineRule="auto"/>
        <w:ind w:left="159" w:right="117"/>
      </w:pPr>
      <w:r w:rsidRPr="00283806">
        <w:rPr>
          <w:w w:val="105"/>
        </w:rPr>
        <w:t>Agency did consider scope and cost for data collection in the information collection request (ICR) available in the docket of this final rulemaking. As</w:t>
      </w:r>
      <w:r w:rsidRPr="00283806">
        <w:rPr>
          <w:spacing w:val="80"/>
          <w:w w:val="105"/>
        </w:rPr>
        <w:t xml:space="preserve"> </w:t>
      </w:r>
      <w:r w:rsidRPr="00283806">
        <w:rPr>
          <w:w w:val="105"/>
        </w:rPr>
        <w:t>noted above, the Agency is committed</w:t>
      </w:r>
      <w:r w:rsidRPr="00283806">
        <w:rPr>
          <w:spacing w:val="80"/>
          <w:w w:val="105"/>
        </w:rPr>
        <w:t xml:space="preserve"> </w:t>
      </w:r>
      <w:r w:rsidRPr="00283806">
        <w:rPr>
          <w:w w:val="105"/>
        </w:rPr>
        <w:t>to data transparency and intends to maintain and publish (</w:t>
      </w:r>
      <w:r w:rsidRPr="00283806">
        <w:rPr>
          <w:rFonts w:ascii="Book Antiqua" w:hAnsi="Book Antiqua"/>
          <w:i/>
          <w:w w:val="105"/>
        </w:rPr>
        <w:t xml:space="preserve">e.g., </w:t>
      </w:r>
      <w:r w:rsidRPr="00283806">
        <w:rPr>
          <w:w w:val="105"/>
        </w:rPr>
        <w:t>post on</w:t>
      </w:r>
      <w:r w:rsidRPr="00283806">
        <w:rPr>
          <w:spacing w:val="40"/>
          <w:w w:val="105"/>
        </w:rPr>
        <w:t xml:space="preserve"> </w:t>
      </w:r>
      <w:r w:rsidRPr="00283806">
        <w:rPr>
          <w:w w:val="105"/>
        </w:rPr>
        <w:t xml:space="preserve">EPA’s website) </w:t>
      </w:r>
      <w:proofErr w:type="gramStart"/>
      <w:r w:rsidRPr="00283806">
        <w:rPr>
          <w:w w:val="105"/>
        </w:rPr>
        <w:t>with</w:t>
      </w:r>
      <w:proofErr w:type="gramEnd"/>
      <w:r w:rsidRPr="00283806">
        <w:rPr>
          <w:w w:val="105"/>
        </w:rPr>
        <w:t xml:space="preserve"> an appropriate </w:t>
      </w:r>
      <w:r w:rsidRPr="00283806">
        <w:rPr>
          <w:spacing w:val="-2"/>
          <w:w w:val="105"/>
        </w:rPr>
        <w:t>frequency.</w:t>
      </w:r>
    </w:p>
    <w:p w14:paraId="20AE11E3" w14:textId="77777777" w:rsidR="00D67C1E" w:rsidRPr="00283806" w:rsidRDefault="001265CA">
      <w:pPr>
        <w:pStyle w:val="BodyText"/>
        <w:spacing w:line="223" w:lineRule="auto"/>
        <w:ind w:left="159" w:right="42" w:firstLine="180"/>
      </w:pPr>
      <w:r w:rsidRPr="00283806">
        <w:rPr>
          <w:rFonts w:ascii="Book Antiqua"/>
          <w:i/>
          <w:w w:val="105"/>
        </w:rPr>
        <w:t xml:space="preserve">Comment: </w:t>
      </w:r>
      <w:r w:rsidRPr="00283806">
        <w:rPr>
          <w:w w:val="105"/>
        </w:rPr>
        <w:t>A few commenters discussed the proposed container tracking data elements. One commenter stated that EPA peremptorily proposed</w:t>
      </w:r>
    </w:p>
    <w:p w14:paraId="50F100D0" w14:textId="77777777" w:rsidR="00D67C1E" w:rsidRPr="00283806" w:rsidRDefault="001265CA">
      <w:pPr>
        <w:pStyle w:val="BodyText"/>
        <w:spacing w:before="135" w:line="225" w:lineRule="auto"/>
        <w:ind w:right="57"/>
      </w:pPr>
      <w:r w:rsidRPr="00283806">
        <w:br w:type="column"/>
      </w:r>
      <w:r w:rsidRPr="00283806">
        <w:rPr>
          <w:w w:val="105"/>
        </w:rPr>
        <w:t>information does not qualify for confidential treatment under Exemption 4 of the FOIA. The commenter further stated that this would treat the covered information as releasable without</w:t>
      </w:r>
      <w:r w:rsidRPr="00283806">
        <w:rPr>
          <w:spacing w:val="40"/>
          <w:w w:val="105"/>
        </w:rPr>
        <w:t xml:space="preserve"> </w:t>
      </w:r>
      <w:r w:rsidRPr="00283806">
        <w:rPr>
          <w:w w:val="105"/>
        </w:rPr>
        <w:t>further notification to the submitter.</w:t>
      </w:r>
    </w:p>
    <w:p w14:paraId="48B9131D" w14:textId="77777777" w:rsidR="00D67C1E" w:rsidRPr="00283806" w:rsidRDefault="001265CA">
      <w:pPr>
        <w:pStyle w:val="BodyText"/>
        <w:spacing w:line="225" w:lineRule="auto"/>
        <w:ind w:right="75"/>
      </w:pPr>
      <w:r w:rsidRPr="00283806">
        <w:rPr>
          <w:w w:val="105"/>
        </w:rPr>
        <w:t>This commenter disagreed with these proposed determinations and with</w:t>
      </w:r>
      <w:r w:rsidRPr="00283806">
        <w:rPr>
          <w:spacing w:val="80"/>
          <w:w w:val="150"/>
        </w:rPr>
        <w:t xml:space="preserve"> </w:t>
      </w:r>
      <w:r w:rsidRPr="00283806">
        <w:rPr>
          <w:w w:val="105"/>
        </w:rPr>
        <w:t>EPA’s proposed conclusion that data elements associated with the proposed tracking system were not the type of information that is customarily closely held or kept private by companies. The commenter also disagreed with EPA’s proposed conclusion that this information meets the regulatory definition of ‘‘emissions data’’ within 40 CFR 2.301(a)(2)(i). Another commenter supported the proposed rule’s data collection requirements and encouraged EPA to expand the public availability of data on the composition and volumes of refrigerants on the U.S. market,</w:t>
      </w:r>
      <w:r w:rsidRPr="00283806">
        <w:rPr>
          <w:spacing w:val="80"/>
          <w:w w:val="150"/>
        </w:rPr>
        <w:t xml:space="preserve"> </w:t>
      </w:r>
      <w:r w:rsidRPr="00283806">
        <w:rPr>
          <w:w w:val="105"/>
        </w:rPr>
        <w:t xml:space="preserve">including expanded transparency requirements for virgin producers </w:t>
      </w:r>
      <w:proofErr w:type="gramStart"/>
      <w:r w:rsidRPr="00283806">
        <w:rPr>
          <w:w w:val="105"/>
        </w:rPr>
        <w:t>in order to</w:t>
      </w:r>
      <w:proofErr w:type="gramEnd"/>
      <w:r w:rsidRPr="00283806">
        <w:rPr>
          <w:w w:val="105"/>
        </w:rPr>
        <w:t xml:space="preserve"> facilitate EOL fractionation and </w:t>
      </w:r>
      <w:r w:rsidRPr="00283806">
        <w:rPr>
          <w:spacing w:val="-2"/>
          <w:w w:val="105"/>
        </w:rPr>
        <w:t>reclamation.</w:t>
      </w:r>
    </w:p>
    <w:p w14:paraId="7F1F1A6B" w14:textId="77777777" w:rsidR="00D67C1E" w:rsidRPr="00283806" w:rsidRDefault="001265CA">
      <w:pPr>
        <w:spacing w:line="178" w:lineRule="exact"/>
        <w:ind w:left="340"/>
        <w:rPr>
          <w:sz w:val="18"/>
        </w:rPr>
      </w:pPr>
      <w:r w:rsidRPr="00283806">
        <w:rPr>
          <w:rFonts w:ascii="Book Antiqua"/>
          <w:i/>
          <w:w w:val="105"/>
          <w:sz w:val="18"/>
        </w:rPr>
        <w:t>Response:</w:t>
      </w:r>
      <w:r w:rsidRPr="00283806">
        <w:rPr>
          <w:rFonts w:ascii="Book Antiqua"/>
          <w:i/>
          <w:spacing w:val="23"/>
          <w:w w:val="105"/>
          <w:sz w:val="18"/>
        </w:rPr>
        <w:t xml:space="preserve"> </w:t>
      </w:r>
      <w:r w:rsidRPr="00283806">
        <w:rPr>
          <w:w w:val="105"/>
          <w:sz w:val="18"/>
        </w:rPr>
        <w:t>EPA</w:t>
      </w:r>
      <w:r w:rsidRPr="00283806">
        <w:rPr>
          <w:spacing w:val="28"/>
          <w:w w:val="105"/>
          <w:sz w:val="18"/>
        </w:rPr>
        <w:t xml:space="preserve"> </w:t>
      </w:r>
      <w:r w:rsidRPr="00283806">
        <w:rPr>
          <w:w w:val="105"/>
          <w:sz w:val="18"/>
        </w:rPr>
        <w:t>interprets</w:t>
      </w:r>
      <w:r w:rsidRPr="00283806">
        <w:rPr>
          <w:spacing w:val="29"/>
          <w:w w:val="105"/>
          <w:sz w:val="18"/>
        </w:rPr>
        <w:t xml:space="preserve"> </w:t>
      </w:r>
      <w:r w:rsidRPr="00283806">
        <w:rPr>
          <w:w w:val="105"/>
          <w:sz w:val="18"/>
        </w:rPr>
        <w:t>the</w:t>
      </w:r>
      <w:r w:rsidRPr="00283806">
        <w:rPr>
          <w:spacing w:val="28"/>
          <w:w w:val="105"/>
          <w:sz w:val="18"/>
        </w:rPr>
        <w:t xml:space="preserve"> </w:t>
      </w:r>
      <w:r w:rsidRPr="00283806">
        <w:rPr>
          <w:spacing w:val="-2"/>
          <w:w w:val="105"/>
          <w:sz w:val="18"/>
        </w:rPr>
        <w:t>first</w:t>
      </w:r>
    </w:p>
    <w:p w14:paraId="674587BC" w14:textId="77777777" w:rsidR="00D67C1E" w:rsidRPr="00283806" w:rsidRDefault="001265CA">
      <w:pPr>
        <w:pStyle w:val="BodyText"/>
        <w:spacing w:line="225" w:lineRule="auto"/>
        <w:ind w:right="21"/>
      </w:pPr>
      <w:r w:rsidRPr="00283806">
        <w:rPr>
          <w:w w:val="105"/>
        </w:rPr>
        <w:t>comment to relate to the proposed confidentiality determinations for the data elements related to the container tracking requirements that were</w:t>
      </w:r>
      <w:r w:rsidRPr="00283806">
        <w:rPr>
          <w:spacing w:val="40"/>
          <w:w w:val="105"/>
        </w:rPr>
        <w:t xml:space="preserve"> </w:t>
      </w:r>
      <w:r w:rsidRPr="00283806">
        <w:rPr>
          <w:w w:val="105"/>
        </w:rPr>
        <w:t>included in section V.C of the proposal.</w:t>
      </w:r>
      <w:r w:rsidRPr="00283806">
        <w:rPr>
          <w:spacing w:val="40"/>
          <w:w w:val="105"/>
        </w:rPr>
        <w:t xml:space="preserve"> </w:t>
      </w:r>
      <w:r w:rsidRPr="00283806">
        <w:rPr>
          <w:w w:val="105"/>
        </w:rPr>
        <w:t>As</w:t>
      </w:r>
      <w:r w:rsidRPr="00283806">
        <w:rPr>
          <w:spacing w:val="38"/>
          <w:w w:val="105"/>
        </w:rPr>
        <w:t xml:space="preserve"> </w:t>
      </w:r>
      <w:r w:rsidRPr="00283806">
        <w:rPr>
          <w:w w:val="105"/>
        </w:rPr>
        <w:t>discussed</w:t>
      </w:r>
      <w:r w:rsidRPr="00283806">
        <w:rPr>
          <w:spacing w:val="38"/>
          <w:w w:val="105"/>
        </w:rPr>
        <w:t xml:space="preserve"> </w:t>
      </w:r>
      <w:r w:rsidRPr="00283806">
        <w:rPr>
          <w:w w:val="105"/>
        </w:rPr>
        <w:t>in</w:t>
      </w:r>
      <w:r w:rsidRPr="00283806">
        <w:rPr>
          <w:spacing w:val="38"/>
          <w:w w:val="105"/>
        </w:rPr>
        <w:t xml:space="preserve"> </w:t>
      </w:r>
      <w:r w:rsidRPr="00283806">
        <w:rPr>
          <w:w w:val="105"/>
        </w:rPr>
        <w:t>section</w:t>
      </w:r>
      <w:r w:rsidRPr="00283806">
        <w:rPr>
          <w:spacing w:val="38"/>
          <w:w w:val="105"/>
        </w:rPr>
        <w:t xml:space="preserve"> </w:t>
      </w:r>
      <w:r w:rsidRPr="00283806">
        <w:rPr>
          <w:w w:val="105"/>
        </w:rPr>
        <w:t>I.B,</w:t>
      </w:r>
      <w:r w:rsidRPr="00283806">
        <w:rPr>
          <w:spacing w:val="38"/>
          <w:w w:val="105"/>
        </w:rPr>
        <w:t xml:space="preserve"> </w:t>
      </w:r>
      <w:r w:rsidRPr="00283806">
        <w:rPr>
          <w:w w:val="105"/>
        </w:rPr>
        <w:t>the</w:t>
      </w:r>
      <w:r w:rsidRPr="00283806">
        <w:rPr>
          <w:spacing w:val="38"/>
          <w:w w:val="105"/>
        </w:rPr>
        <w:t xml:space="preserve"> </w:t>
      </w:r>
      <w:r w:rsidRPr="00283806">
        <w:rPr>
          <w:w w:val="105"/>
        </w:rPr>
        <w:t>Agency is not finalizing container tracking requirements at this time and thus is not making final determinations on the confidential treatment of those data elements in this rulemaking.</w:t>
      </w:r>
    </w:p>
    <w:p w14:paraId="717523B7" w14:textId="77777777" w:rsidR="00D67C1E" w:rsidRPr="00283806" w:rsidRDefault="001265CA">
      <w:pPr>
        <w:pStyle w:val="BodyText"/>
        <w:spacing w:line="225" w:lineRule="auto"/>
        <w:ind w:left="159" w:right="31"/>
      </w:pPr>
      <w:r w:rsidRPr="00283806">
        <w:rPr>
          <w:w w:val="105"/>
        </w:rPr>
        <w:t>Accordingly, the Agency need not</w:t>
      </w:r>
      <w:r w:rsidRPr="00283806">
        <w:rPr>
          <w:spacing w:val="40"/>
          <w:w w:val="105"/>
        </w:rPr>
        <w:t xml:space="preserve"> </w:t>
      </w:r>
      <w:r w:rsidRPr="00283806">
        <w:rPr>
          <w:w w:val="105"/>
        </w:rPr>
        <w:t>respond to comments regarding the proposed confidentiality determinations for the container tracking system in this rulemaking.</w:t>
      </w:r>
      <w:r w:rsidRPr="00283806">
        <w:rPr>
          <w:spacing w:val="40"/>
          <w:w w:val="105"/>
        </w:rPr>
        <w:t xml:space="preserve"> </w:t>
      </w:r>
      <w:r w:rsidRPr="00283806">
        <w:rPr>
          <w:w w:val="105"/>
        </w:rPr>
        <w:t>However,</w:t>
      </w:r>
      <w:r w:rsidRPr="00283806">
        <w:rPr>
          <w:spacing w:val="40"/>
          <w:w w:val="105"/>
        </w:rPr>
        <w:t xml:space="preserve"> </w:t>
      </w:r>
      <w:r w:rsidRPr="00283806">
        <w:rPr>
          <w:w w:val="105"/>
        </w:rPr>
        <w:t>EPA</w:t>
      </w:r>
      <w:r w:rsidRPr="00283806">
        <w:rPr>
          <w:spacing w:val="40"/>
          <w:w w:val="105"/>
        </w:rPr>
        <w:t xml:space="preserve"> </w:t>
      </w:r>
      <w:r w:rsidRPr="00283806">
        <w:rPr>
          <w:w w:val="105"/>
        </w:rPr>
        <w:t>notes</w:t>
      </w:r>
      <w:r w:rsidRPr="00283806">
        <w:rPr>
          <w:spacing w:val="40"/>
          <w:w w:val="105"/>
        </w:rPr>
        <w:t xml:space="preserve"> </w:t>
      </w:r>
      <w:r w:rsidRPr="00283806">
        <w:rPr>
          <w:w w:val="105"/>
        </w:rPr>
        <w:t>that the commenter has presented only general objections to EPA’s proposed determinations that these data elements were emissions data or did not qualify</w:t>
      </w:r>
      <w:r w:rsidRPr="00283806">
        <w:rPr>
          <w:spacing w:val="40"/>
          <w:w w:val="105"/>
        </w:rPr>
        <w:t xml:space="preserve"> </w:t>
      </w:r>
      <w:r w:rsidRPr="00283806">
        <w:rPr>
          <w:w w:val="105"/>
        </w:rPr>
        <w:t xml:space="preserve">for confidential treatment, and the comment did not identify which </w:t>
      </w:r>
      <w:proofErr w:type="gramStart"/>
      <w:r w:rsidRPr="00283806">
        <w:rPr>
          <w:w w:val="105"/>
        </w:rPr>
        <w:t>particular data</w:t>
      </w:r>
      <w:proofErr w:type="gramEnd"/>
      <w:r w:rsidRPr="00283806">
        <w:rPr>
          <w:w w:val="105"/>
        </w:rPr>
        <w:t xml:space="preserve"> elements it views as entitled to confidential treatment or not qualifying as emissions data. The commenter also did not provide any information to support their assertions that the proposed determinations would result in the ‘‘disclosure of much information that is not public’’ </w:t>
      </w:r>
      <w:r w:rsidRPr="00283806">
        <w:rPr>
          <w:w w:val="105"/>
          <w:position w:val="5"/>
          <w:sz w:val="11"/>
        </w:rPr>
        <w:t>167</w:t>
      </w:r>
      <w:r w:rsidRPr="00283806">
        <w:rPr>
          <w:spacing w:val="40"/>
          <w:w w:val="105"/>
          <w:position w:val="5"/>
          <w:sz w:val="11"/>
        </w:rPr>
        <w:t xml:space="preserve"> </w:t>
      </w:r>
      <w:r w:rsidRPr="00283806">
        <w:rPr>
          <w:w w:val="105"/>
        </w:rPr>
        <w:t>and that would result in harm; moreover, the commenter provided no substantiation</w:t>
      </w:r>
      <w:r w:rsidRPr="00283806">
        <w:rPr>
          <w:spacing w:val="40"/>
          <w:w w:val="105"/>
        </w:rPr>
        <w:t xml:space="preserve"> </w:t>
      </w:r>
      <w:r w:rsidRPr="00283806">
        <w:rPr>
          <w:w w:val="105"/>
        </w:rPr>
        <w:t>to show that this information is customarily treated as confidential. This lack of specificity would impede EPA’s effort to evaluate the commenter’s concerns with respect to any particular</w:t>
      </w:r>
    </w:p>
    <w:p w14:paraId="35E81D51" w14:textId="77777777" w:rsidR="00D67C1E" w:rsidRPr="00283806" w:rsidRDefault="001265CA">
      <w:pPr>
        <w:pStyle w:val="BodyText"/>
        <w:spacing w:before="136" w:line="225" w:lineRule="auto"/>
        <w:ind w:left="144" w:right="142"/>
      </w:pPr>
      <w:r w:rsidRPr="00283806">
        <w:br w:type="column"/>
      </w:r>
      <w:r w:rsidRPr="00283806">
        <w:rPr>
          <w:w w:val="105"/>
        </w:rPr>
        <w:t xml:space="preserve">disagree with proposed determinations that information is not entitled to confidential treatment, they should highlight the </w:t>
      </w:r>
      <w:proofErr w:type="gramStart"/>
      <w:r w:rsidRPr="00283806">
        <w:rPr>
          <w:w w:val="105"/>
        </w:rPr>
        <w:t>particular data</w:t>
      </w:r>
      <w:proofErr w:type="gramEnd"/>
      <w:r w:rsidRPr="00283806">
        <w:rPr>
          <w:w w:val="105"/>
        </w:rPr>
        <w:t xml:space="preserve"> element or elements where they disagree with the proposed determination and provide information regarding how that data element is customarily and </w:t>
      </w:r>
      <w:proofErr w:type="gramStart"/>
      <w:r w:rsidRPr="00283806">
        <w:rPr>
          <w:w w:val="105"/>
        </w:rPr>
        <w:t>actually treated</w:t>
      </w:r>
      <w:proofErr w:type="gramEnd"/>
      <w:r w:rsidRPr="00283806">
        <w:rPr>
          <w:w w:val="105"/>
        </w:rPr>
        <w:t xml:space="preserve"> by them and by their industry sector to support their assertions.</w:t>
      </w:r>
    </w:p>
    <w:p w14:paraId="24B96D64" w14:textId="77777777" w:rsidR="00D67C1E" w:rsidRPr="00283806" w:rsidRDefault="001265CA">
      <w:pPr>
        <w:pStyle w:val="BodyText"/>
        <w:spacing w:line="225" w:lineRule="auto"/>
        <w:ind w:left="144" w:right="251"/>
      </w:pPr>
      <w:r w:rsidRPr="00283806">
        <w:rPr>
          <w:w w:val="105"/>
        </w:rPr>
        <w:t>Without such information, EPA is</w:t>
      </w:r>
      <w:r w:rsidRPr="00283806">
        <w:rPr>
          <w:spacing w:val="80"/>
          <w:w w:val="105"/>
        </w:rPr>
        <w:t xml:space="preserve"> </w:t>
      </w:r>
      <w:r w:rsidRPr="00283806">
        <w:rPr>
          <w:w w:val="105"/>
        </w:rPr>
        <w:t>unable to fully assess the commenters’ concerns, particularly when the data elements include information where</w:t>
      </w:r>
      <w:r w:rsidRPr="00283806">
        <w:rPr>
          <w:spacing w:val="40"/>
          <w:w w:val="105"/>
        </w:rPr>
        <w:t xml:space="preserve"> </w:t>
      </w:r>
      <w:r w:rsidRPr="00283806">
        <w:rPr>
          <w:w w:val="105"/>
        </w:rPr>
        <w:t>EPA can discern no apparent reason for thinking that the information would typically be treated as confidential by</w:t>
      </w:r>
      <w:r w:rsidRPr="00283806">
        <w:rPr>
          <w:spacing w:val="40"/>
          <w:w w:val="105"/>
        </w:rPr>
        <w:t xml:space="preserve"> </w:t>
      </w:r>
      <w:r w:rsidRPr="00283806">
        <w:rPr>
          <w:w w:val="105"/>
        </w:rPr>
        <w:t>the submitter (</w:t>
      </w:r>
      <w:r w:rsidRPr="00283806">
        <w:rPr>
          <w:rFonts w:ascii="Book Antiqua" w:hAnsi="Book Antiqua"/>
          <w:i/>
          <w:w w:val="105"/>
        </w:rPr>
        <w:t xml:space="preserve">e.g., </w:t>
      </w:r>
      <w:r w:rsidRPr="00283806">
        <w:rPr>
          <w:w w:val="105"/>
        </w:rPr>
        <w:t>information that is already publicly available or is not generally claimed as confidential by the industry sector). Further, the fact that only one commenter objected to the proposed determinations may indicate that the information is not customarily closely held or kept private.</w:t>
      </w:r>
    </w:p>
    <w:p w14:paraId="78A65B4F" w14:textId="77777777" w:rsidR="00D67C1E" w:rsidRPr="00283806" w:rsidRDefault="001265CA">
      <w:pPr>
        <w:pStyle w:val="BodyText"/>
        <w:spacing w:line="228" w:lineRule="auto"/>
        <w:ind w:left="144" w:right="142" w:firstLine="180"/>
        <w:rPr>
          <w:sz w:val="11"/>
        </w:rPr>
      </w:pPr>
      <w:r w:rsidRPr="00283806">
        <w:rPr>
          <w:w w:val="105"/>
        </w:rPr>
        <w:t xml:space="preserve">EPA acknowledges the other commenter’s support of the data collection requirements and availability of public data to </w:t>
      </w:r>
      <w:proofErr w:type="gramStart"/>
      <w:r w:rsidRPr="00283806">
        <w:rPr>
          <w:w w:val="105"/>
        </w:rPr>
        <w:t>extent</w:t>
      </w:r>
      <w:proofErr w:type="gramEnd"/>
      <w:r w:rsidRPr="00283806">
        <w:rPr>
          <w:w w:val="105"/>
        </w:rPr>
        <w:t xml:space="preserve"> that it is covered in this final rule. Data regarding production is outside the scope of this rule but may already be available at the HFC data hub.</w:t>
      </w:r>
      <w:r w:rsidRPr="00283806">
        <w:rPr>
          <w:w w:val="105"/>
          <w:position w:val="5"/>
          <w:sz w:val="11"/>
        </w:rPr>
        <w:t>168</w:t>
      </w:r>
    </w:p>
    <w:p w14:paraId="2109D891" w14:textId="77777777" w:rsidR="00D67C1E" w:rsidRPr="00283806" w:rsidRDefault="001265CA">
      <w:pPr>
        <w:pStyle w:val="ListParagraph"/>
        <w:numPr>
          <w:ilvl w:val="0"/>
          <w:numId w:val="44"/>
        </w:numPr>
        <w:tabs>
          <w:tab w:val="left" w:pos="342"/>
        </w:tabs>
        <w:spacing w:before="87" w:line="228" w:lineRule="auto"/>
        <w:ind w:left="144" w:right="302" w:firstLine="0"/>
        <w:rPr>
          <w:sz w:val="18"/>
        </w:rPr>
      </w:pPr>
      <w:r w:rsidRPr="00283806">
        <w:rPr>
          <w:w w:val="105"/>
          <w:sz w:val="18"/>
        </w:rPr>
        <w:t>Emission Data Under Section 114 of the Clean Air Act</w:t>
      </w:r>
    </w:p>
    <w:p w14:paraId="11C5F7B0" w14:textId="77777777" w:rsidR="00D67C1E" w:rsidRPr="00283806" w:rsidRDefault="001265CA">
      <w:pPr>
        <w:pStyle w:val="BodyText"/>
        <w:spacing w:before="63" w:line="228" w:lineRule="auto"/>
        <w:ind w:left="144" w:right="142" w:firstLine="180"/>
      </w:pPr>
      <w:r w:rsidRPr="00283806">
        <w:rPr>
          <w:w w:val="105"/>
        </w:rPr>
        <w:t>The</w:t>
      </w:r>
      <w:r w:rsidRPr="00283806">
        <w:rPr>
          <w:spacing w:val="40"/>
          <w:w w:val="105"/>
        </w:rPr>
        <w:t xml:space="preserve"> </w:t>
      </w:r>
      <w:r w:rsidRPr="00283806">
        <w:rPr>
          <w:w w:val="105"/>
        </w:rPr>
        <w:t>AIM</w:t>
      </w:r>
      <w:r w:rsidRPr="00283806">
        <w:rPr>
          <w:spacing w:val="40"/>
          <w:w w:val="105"/>
        </w:rPr>
        <w:t xml:space="preserve"> </w:t>
      </w:r>
      <w:r w:rsidRPr="00283806">
        <w:rPr>
          <w:w w:val="105"/>
        </w:rPr>
        <w:t>Act</w:t>
      </w:r>
      <w:r w:rsidRPr="00283806">
        <w:rPr>
          <w:spacing w:val="40"/>
          <w:w w:val="105"/>
        </w:rPr>
        <w:t xml:space="preserve"> </w:t>
      </w:r>
      <w:r w:rsidRPr="00283806">
        <w:rPr>
          <w:w w:val="105"/>
        </w:rPr>
        <w:t>provides</w:t>
      </w:r>
      <w:r w:rsidRPr="00283806">
        <w:rPr>
          <w:spacing w:val="40"/>
          <w:w w:val="105"/>
        </w:rPr>
        <w:t xml:space="preserve"> </w:t>
      </w:r>
      <w:r w:rsidRPr="00283806">
        <w:rPr>
          <w:w w:val="105"/>
        </w:rPr>
        <w:t>that, ‘‘[s]</w:t>
      </w:r>
      <w:proofErr w:type="spellStart"/>
      <w:r w:rsidRPr="00283806">
        <w:rPr>
          <w:w w:val="105"/>
        </w:rPr>
        <w:t>ections</w:t>
      </w:r>
      <w:proofErr w:type="spellEnd"/>
      <w:r w:rsidRPr="00283806">
        <w:rPr>
          <w:spacing w:val="5"/>
          <w:w w:val="105"/>
        </w:rPr>
        <w:t xml:space="preserve"> </w:t>
      </w:r>
      <w:r w:rsidRPr="00283806">
        <w:rPr>
          <w:w w:val="105"/>
        </w:rPr>
        <w:t>113,</w:t>
      </w:r>
      <w:r w:rsidRPr="00283806">
        <w:rPr>
          <w:spacing w:val="6"/>
          <w:w w:val="105"/>
        </w:rPr>
        <w:t xml:space="preserve"> </w:t>
      </w:r>
      <w:r w:rsidRPr="00283806">
        <w:rPr>
          <w:w w:val="105"/>
        </w:rPr>
        <w:t>114,</w:t>
      </w:r>
      <w:r w:rsidRPr="00283806">
        <w:rPr>
          <w:spacing w:val="6"/>
          <w:w w:val="105"/>
        </w:rPr>
        <w:t xml:space="preserve"> </w:t>
      </w:r>
      <w:r w:rsidRPr="00283806">
        <w:rPr>
          <w:w w:val="105"/>
        </w:rPr>
        <w:t>304,</w:t>
      </w:r>
      <w:r w:rsidRPr="00283806">
        <w:rPr>
          <w:spacing w:val="5"/>
          <w:w w:val="105"/>
        </w:rPr>
        <w:t xml:space="preserve"> </w:t>
      </w:r>
      <w:r w:rsidRPr="00283806">
        <w:rPr>
          <w:w w:val="105"/>
        </w:rPr>
        <w:t>and</w:t>
      </w:r>
      <w:r w:rsidRPr="00283806">
        <w:rPr>
          <w:spacing w:val="6"/>
          <w:w w:val="105"/>
        </w:rPr>
        <w:t xml:space="preserve"> </w:t>
      </w:r>
      <w:r w:rsidRPr="00283806">
        <w:rPr>
          <w:w w:val="105"/>
        </w:rPr>
        <w:t>307</w:t>
      </w:r>
      <w:r w:rsidRPr="00283806">
        <w:rPr>
          <w:spacing w:val="6"/>
          <w:w w:val="105"/>
        </w:rPr>
        <w:t xml:space="preserve"> </w:t>
      </w:r>
      <w:r w:rsidRPr="00283806">
        <w:rPr>
          <w:w w:val="105"/>
        </w:rPr>
        <w:t>of</w:t>
      </w:r>
      <w:r w:rsidRPr="00283806">
        <w:rPr>
          <w:spacing w:val="5"/>
          <w:w w:val="105"/>
        </w:rPr>
        <w:t xml:space="preserve"> </w:t>
      </w:r>
      <w:r w:rsidRPr="00283806">
        <w:rPr>
          <w:spacing w:val="-5"/>
          <w:w w:val="105"/>
        </w:rPr>
        <w:t>the</w:t>
      </w:r>
    </w:p>
    <w:p w14:paraId="72BBD993" w14:textId="77777777" w:rsidR="00D67C1E" w:rsidRPr="00283806" w:rsidRDefault="001265CA">
      <w:pPr>
        <w:pStyle w:val="BodyText"/>
        <w:spacing w:line="196" w:lineRule="exact"/>
        <w:ind w:left="144"/>
      </w:pPr>
      <w:r w:rsidRPr="00283806">
        <w:rPr>
          <w:w w:val="105"/>
        </w:rPr>
        <w:t>CAA</w:t>
      </w:r>
      <w:r w:rsidRPr="00283806">
        <w:rPr>
          <w:spacing w:val="21"/>
          <w:w w:val="105"/>
        </w:rPr>
        <w:t xml:space="preserve"> </w:t>
      </w:r>
      <w:r w:rsidRPr="00283806">
        <w:rPr>
          <w:w w:val="105"/>
        </w:rPr>
        <w:t>(42</w:t>
      </w:r>
      <w:r w:rsidRPr="00283806">
        <w:rPr>
          <w:spacing w:val="22"/>
          <w:w w:val="105"/>
        </w:rPr>
        <w:t xml:space="preserve"> </w:t>
      </w:r>
      <w:r w:rsidRPr="00283806">
        <w:rPr>
          <w:w w:val="105"/>
        </w:rPr>
        <w:t>U.S.C.</w:t>
      </w:r>
      <w:r w:rsidRPr="00283806">
        <w:rPr>
          <w:spacing w:val="21"/>
          <w:w w:val="105"/>
        </w:rPr>
        <w:t xml:space="preserve"> </w:t>
      </w:r>
      <w:r w:rsidRPr="00283806">
        <w:rPr>
          <w:w w:val="105"/>
        </w:rPr>
        <w:t>7413,</w:t>
      </w:r>
      <w:r w:rsidRPr="00283806">
        <w:rPr>
          <w:spacing w:val="22"/>
          <w:w w:val="105"/>
        </w:rPr>
        <w:t xml:space="preserve"> </w:t>
      </w:r>
      <w:r w:rsidRPr="00283806">
        <w:rPr>
          <w:w w:val="105"/>
        </w:rPr>
        <w:t>7414,</w:t>
      </w:r>
      <w:r w:rsidRPr="00283806">
        <w:rPr>
          <w:spacing w:val="21"/>
          <w:w w:val="105"/>
        </w:rPr>
        <w:t xml:space="preserve"> </w:t>
      </w:r>
      <w:r w:rsidRPr="00283806">
        <w:rPr>
          <w:w w:val="105"/>
        </w:rPr>
        <w:t>7604,</w:t>
      </w:r>
      <w:r w:rsidRPr="00283806">
        <w:rPr>
          <w:spacing w:val="22"/>
          <w:w w:val="105"/>
        </w:rPr>
        <w:t xml:space="preserve"> </w:t>
      </w:r>
      <w:r w:rsidRPr="00283806">
        <w:rPr>
          <w:spacing w:val="-2"/>
          <w:w w:val="105"/>
        </w:rPr>
        <w:t>7607)</w:t>
      </w:r>
    </w:p>
    <w:p w14:paraId="2B96D6E9" w14:textId="77777777" w:rsidR="00D67C1E" w:rsidRPr="00283806" w:rsidRDefault="001265CA">
      <w:pPr>
        <w:pStyle w:val="BodyText"/>
        <w:spacing w:before="3" w:line="228" w:lineRule="auto"/>
        <w:ind w:left="144" w:right="162"/>
      </w:pPr>
      <w:r w:rsidRPr="00283806">
        <w:rPr>
          <w:w w:val="105"/>
        </w:rPr>
        <w:t>shall apply to this section and any rule, rulemaking, or regulation promulgated by the Administrator pursuant to this section as though this section were expressly included in title VI of that Act (42</w:t>
      </w:r>
      <w:r w:rsidRPr="00283806">
        <w:rPr>
          <w:spacing w:val="40"/>
          <w:w w:val="105"/>
        </w:rPr>
        <w:t xml:space="preserve"> </w:t>
      </w:r>
      <w:r w:rsidRPr="00283806">
        <w:rPr>
          <w:w w:val="105"/>
        </w:rPr>
        <w:t>U.S.C.</w:t>
      </w:r>
      <w:r w:rsidRPr="00283806">
        <w:rPr>
          <w:spacing w:val="40"/>
          <w:w w:val="105"/>
        </w:rPr>
        <w:t xml:space="preserve"> </w:t>
      </w:r>
      <w:r w:rsidRPr="00283806">
        <w:rPr>
          <w:w w:val="105"/>
        </w:rPr>
        <w:t>7671</w:t>
      </w:r>
      <w:r w:rsidRPr="00283806">
        <w:rPr>
          <w:spacing w:val="40"/>
          <w:w w:val="105"/>
        </w:rPr>
        <w:t xml:space="preserve"> </w:t>
      </w:r>
      <w:r w:rsidRPr="00283806">
        <w:rPr>
          <w:rFonts w:ascii="Book Antiqua" w:hAnsi="Book Antiqua"/>
          <w:i/>
          <w:w w:val="105"/>
        </w:rPr>
        <w:t>et seq.</w:t>
      </w:r>
      <w:r w:rsidRPr="00283806">
        <w:rPr>
          <w:w w:val="105"/>
        </w:rPr>
        <w:t>).’’</w:t>
      </w:r>
      <w:r w:rsidRPr="00283806">
        <w:rPr>
          <w:spacing w:val="40"/>
          <w:w w:val="105"/>
        </w:rPr>
        <w:t xml:space="preserve"> </w:t>
      </w:r>
      <w:r w:rsidRPr="00283806">
        <w:rPr>
          <w:w w:val="105"/>
        </w:rPr>
        <w:t>The</w:t>
      </w:r>
      <w:r w:rsidRPr="00283806">
        <w:rPr>
          <w:spacing w:val="40"/>
          <w:w w:val="105"/>
        </w:rPr>
        <w:t xml:space="preserve"> </w:t>
      </w:r>
      <w:r w:rsidRPr="00283806">
        <w:rPr>
          <w:w w:val="105"/>
        </w:rPr>
        <w:t>CAA</w:t>
      </w:r>
    </w:p>
    <w:p w14:paraId="54BF81E2" w14:textId="77777777" w:rsidR="00D67C1E" w:rsidRPr="00283806" w:rsidRDefault="001265CA">
      <w:pPr>
        <w:pStyle w:val="BodyText"/>
        <w:spacing w:line="184" w:lineRule="exact"/>
        <w:ind w:left="144"/>
      </w:pPr>
      <w:r w:rsidRPr="00283806">
        <w:rPr>
          <w:w w:val="105"/>
        </w:rPr>
        <w:t>states</w:t>
      </w:r>
      <w:r w:rsidRPr="00283806">
        <w:rPr>
          <w:spacing w:val="-1"/>
          <w:w w:val="105"/>
        </w:rPr>
        <w:t xml:space="preserve"> </w:t>
      </w:r>
      <w:r w:rsidRPr="00283806">
        <w:rPr>
          <w:w w:val="105"/>
        </w:rPr>
        <w:t>that ‘‘[a]</w:t>
      </w:r>
      <w:proofErr w:type="spellStart"/>
      <w:r w:rsidRPr="00283806">
        <w:rPr>
          <w:w w:val="105"/>
        </w:rPr>
        <w:t>ny</w:t>
      </w:r>
      <w:proofErr w:type="spellEnd"/>
      <w:r w:rsidRPr="00283806">
        <w:rPr>
          <w:spacing w:val="-1"/>
          <w:w w:val="105"/>
        </w:rPr>
        <w:t xml:space="preserve"> </w:t>
      </w:r>
      <w:r w:rsidRPr="00283806">
        <w:rPr>
          <w:w w:val="105"/>
        </w:rPr>
        <w:t>records, reports</w:t>
      </w:r>
      <w:r w:rsidRPr="00283806">
        <w:rPr>
          <w:spacing w:val="-1"/>
          <w:w w:val="105"/>
        </w:rPr>
        <w:t xml:space="preserve"> </w:t>
      </w:r>
      <w:r w:rsidRPr="00283806">
        <w:rPr>
          <w:spacing w:val="-5"/>
          <w:w w:val="105"/>
        </w:rPr>
        <w:t>or</w:t>
      </w:r>
    </w:p>
    <w:p w14:paraId="51E6A1C1" w14:textId="77777777" w:rsidR="00D67C1E" w:rsidRPr="00283806" w:rsidRDefault="001265CA">
      <w:pPr>
        <w:pStyle w:val="BodyText"/>
        <w:spacing w:before="3" w:line="228" w:lineRule="auto"/>
        <w:ind w:left="144" w:right="175"/>
      </w:pPr>
      <w:r w:rsidRPr="00283806">
        <w:rPr>
          <w:w w:val="105"/>
        </w:rPr>
        <w:t>information obtained under [section</w:t>
      </w:r>
      <w:r w:rsidRPr="00283806">
        <w:rPr>
          <w:spacing w:val="40"/>
          <w:w w:val="105"/>
        </w:rPr>
        <w:t xml:space="preserve"> </w:t>
      </w:r>
      <w:r w:rsidRPr="00283806">
        <w:rPr>
          <w:w w:val="105"/>
        </w:rPr>
        <w:t>114] shall be available to the public.’’</w:t>
      </w:r>
      <w:r w:rsidRPr="00283806">
        <w:rPr>
          <w:spacing w:val="-6"/>
          <w:w w:val="105"/>
        </w:rPr>
        <w:t xml:space="preserve"> </w:t>
      </w:r>
      <w:r w:rsidRPr="00283806">
        <w:rPr>
          <w:w w:val="105"/>
          <w:position w:val="5"/>
          <w:sz w:val="11"/>
        </w:rPr>
        <w:t>169</w:t>
      </w:r>
      <w:r w:rsidRPr="00283806">
        <w:rPr>
          <w:spacing w:val="40"/>
          <w:w w:val="105"/>
          <w:position w:val="5"/>
          <w:sz w:val="11"/>
        </w:rPr>
        <w:t xml:space="preserve"> </w:t>
      </w:r>
      <w:r w:rsidRPr="00283806">
        <w:rPr>
          <w:w w:val="105"/>
        </w:rPr>
        <w:t>Thus, the CAA begins with a</w:t>
      </w:r>
      <w:r w:rsidRPr="00283806">
        <w:rPr>
          <w:spacing w:val="80"/>
          <w:w w:val="105"/>
        </w:rPr>
        <w:t xml:space="preserve"> </w:t>
      </w:r>
      <w:r w:rsidRPr="00283806">
        <w:rPr>
          <w:w w:val="105"/>
        </w:rPr>
        <w:t>presumption that information submitted to EPA will be available to be disclosed</w:t>
      </w:r>
      <w:r w:rsidRPr="00283806">
        <w:rPr>
          <w:spacing w:val="80"/>
          <w:w w:val="105"/>
        </w:rPr>
        <w:t xml:space="preserve"> </w:t>
      </w:r>
      <w:r w:rsidRPr="00283806">
        <w:rPr>
          <w:w w:val="105"/>
        </w:rPr>
        <w:t>to the public. It then provides a narrow exception to that presumption for information that ‘‘would divulge</w:t>
      </w:r>
      <w:r w:rsidRPr="00283806">
        <w:rPr>
          <w:spacing w:val="80"/>
          <w:w w:val="105"/>
        </w:rPr>
        <w:t xml:space="preserve"> </w:t>
      </w:r>
      <w:r w:rsidRPr="00283806">
        <w:rPr>
          <w:w w:val="105"/>
        </w:rPr>
        <w:t xml:space="preserve">methods or processes entitled to protection as trade </w:t>
      </w:r>
      <w:proofErr w:type="gramStart"/>
      <w:r w:rsidRPr="00283806">
        <w:rPr>
          <w:w w:val="105"/>
        </w:rPr>
        <w:t>secrets.’</w:t>
      </w:r>
      <w:proofErr w:type="gramEnd"/>
      <w:r w:rsidRPr="00283806">
        <w:rPr>
          <w:w w:val="105"/>
        </w:rPr>
        <w:t xml:space="preserve">’ The CAA further narrows this exception by excluding ‘‘emission </w:t>
      </w:r>
      <w:proofErr w:type="gramStart"/>
      <w:r w:rsidRPr="00283806">
        <w:rPr>
          <w:w w:val="105"/>
        </w:rPr>
        <w:t>data’’</w:t>
      </w:r>
      <w:proofErr w:type="gramEnd"/>
      <w:r w:rsidRPr="00283806">
        <w:rPr>
          <w:w w:val="105"/>
        </w:rPr>
        <w:t xml:space="preserve"> from the category of information eligible for confidential treatment. While the CAA does</w:t>
      </w:r>
      <w:r w:rsidRPr="00283806">
        <w:rPr>
          <w:spacing w:val="40"/>
          <w:w w:val="105"/>
        </w:rPr>
        <w:t xml:space="preserve"> </w:t>
      </w:r>
      <w:r w:rsidRPr="00283806">
        <w:rPr>
          <w:w w:val="105"/>
        </w:rPr>
        <w:t>not</w:t>
      </w:r>
      <w:r w:rsidRPr="00283806">
        <w:rPr>
          <w:spacing w:val="40"/>
          <w:w w:val="105"/>
        </w:rPr>
        <w:t xml:space="preserve"> </w:t>
      </w:r>
      <w:r w:rsidRPr="00283806">
        <w:rPr>
          <w:w w:val="105"/>
        </w:rPr>
        <w:t>define</w:t>
      </w:r>
      <w:r w:rsidRPr="00283806">
        <w:rPr>
          <w:spacing w:val="40"/>
          <w:w w:val="105"/>
        </w:rPr>
        <w:t xml:space="preserve"> </w:t>
      </w:r>
      <w:r w:rsidRPr="00283806">
        <w:rPr>
          <w:w w:val="105"/>
        </w:rPr>
        <w:t>‘‘emission</w:t>
      </w:r>
      <w:r w:rsidRPr="00283806">
        <w:rPr>
          <w:spacing w:val="40"/>
          <w:w w:val="105"/>
        </w:rPr>
        <w:t xml:space="preserve"> </w:t>
      </w:r>
      <w:r w:rsidRPr="00283806">
        <w:rPr>
          <w:w w:val="105"/>
        </w:rPr>
        <w:t>data,’’</w:t>
      </w:r>
      <w:r w:rsidRPr="00283806">
        <w:rPr>
          <w:spacing w:val="40"/>
          <w:w w:val="105"/>
        </w:rPr>
        <w:t xml:space="preserve"> </w:t>
      </w:r>
      <w:r w:rsidRPr="00283806">
        <w:rPr>
          <w:w w:val="105"/>
        </w:rPr>
        <w:t xml:space="preserve">EPA has done so by regulation at 40 CFR </w:t>
      </w:r>
      <w:r w:rsidRPr="00283806">
        <w:rPr>
          <w:spacing w:val="-2"/>
          <w:w w:val="105"/>
        </w:rPr>
        <w:t>2.301(a)(2)(i).</w:t>
      </w:r>
    </w:p>
    <w:p w14:paraId="17D83D1C" w14:textId="77777777" w:rsidR="00D67C1E" w:rsidRPr="00283806" w:rsidRDefault="001265CA">
      <w:pPr>
        <w:pStyle w:val="BodyText"/>
        <w:spacing w:line="173" w:lineRule="exact"/>
        <w:ind w:left="0" w:right="97"/>
        <w:jc w:val="center"/>
      </w:pPr>
      <w:r w:rsidRPr="00283806">
        <w:rPr>
          <w:w w:val="110"/>
        </w:rPr>
        <w:t>EPA</w:t>
      </w:r>
      <w:r w:rsidRPr="00283806">
        <w:rPr>
          <w:spacing w:val="-8"/>
          <w:w w:val="110"/>
        </w:rPr>
        <w:t xml:space="preserve"> </w:t>
      </w:r>
      <w:r w:rsidRPr="00283806">
        <w:rPr>
          <w:w w:val="110"/>
        </w:rPr>
        <w:t>releases,</w:t>
      </w:r>
      <w:r w:rsidRPr="00283806">
        <w:rPr>
          <w:spacing w:val="-7"/>
          <w:w w:val="110"/>
        </w:rPr>
        <w:t xml:space="preserve"> </w:t>
      </w:r>
      <w:r w:rsidRPr="00283806">
        <w:rPr>
          <w:w w:val="110"/>
        </w:rPr>
        <w:t>on</w:t>
      </w:r>
      <w:r w:rsidRPr="00283806">
        <w:rPr>
          <w:spacing w:val="-7"/>
          <w:w w:val="110"/>
        </w:rPr>
        <w:t xml:space="preserve"> </w:t>
      </w:r>
      <w:r w:rsidRPr="00283806">
        <w:rPr>
          <w:w w:val="110"/>
        </w:rPr>
        <w:t>occasion,</w:t>
      </w:r>
      <w:r w:rsidRPr="00283806">
        <w:rPr>
          <w:spacing w:val="-7"/>
          <w:w w:val="110"/>
        </w:rPr>
        <w:t xml:space="preserve"> </w:t>
      </w:r>
      <w:r w:rsidRPr="00283806">
        <w:rPr>
          <w:w w:val="110"/>
        </w:rPr>
        <w:t>some</w:t>
      </w:r>
      <w:r w:rsidRPr="00283806">
        <w:rPr>
          <w:spacing w:val="-8"/>
          <w:w w:val="110"/>
        </w:rPr>
        <w:t xml:space="preserve"> </w:t>
      </w:r>
      <w:r w:rsidRPr="00283806">
        <w:rPr>
          <w:spacing w:val="-5"/>
          <w:w w:val="110"/>
        </w:rPr>
        <w:t>of</w:t>
      </w:r>
    </w:p>
    <w:p w14:paraId="5DAD2666" w14:textId="77777777" w:rsidR="00D67C1E" w:rsidRPr="00283806" w:rsidRDefault="001265CA">
      <w:pPr>
        <w:pStyle w:val="BodyText"/>
        <w:spacing w:line="124" w:lineRule="exact"/>
        <w:ind w:left="0" w:right="176"/>
        <w:jc w:val="center"/>
      </w:pPr>
      <w:r w:rsidRPr="00283806">
        <w:rPr>
          <w:w w:val="105"/>
        </w:rPr>
        <w:t>the</w:t>
      </w:r>
      <w:r w:rsidRPr="00283806">
        <w:rPr>
          <w:spacing w:val="9"/>
          <w:w w:val="105"/>
        </w:rPr>
        <w:t xml:space="preserve"> </w:t>
      </w:r>
      <w:r w:rsidRPr="00283806">
        <w:rPr>
          <w:w w:val="105"/>
        </w:rPr>
        <w:t>information</w:t>
      </w:r>
      <w:r w:rsidRPr="00283806">
        <w:rPr>
          <w:spacing w:val="10"/>
          <w:w w:val="105"/>
        </w:rPr>
        <w:t xml:space="preserve"> </w:t>
      </w:r>
      <w:r w:rsidRPr="00283806">
        <w:rPr>
          <w:w w:val="105"/>
        </w:rPr>
        <w:t>submitted</w:t>
      </w:r>
      <w:r w:rsidRPr="00283806">
        <w:rPr>
          <w:spacing w:val="10"/>
          <w:w w:val="105"/>
        </w:rPr>
        <w:t xml:space="preserve"> </w:t>
      </w:r>
      <w:r w:rsidRPr="00283806">
        <w:rPr>
          <w:w w:val="105"/>
        </w:rPr>
        <w:t>under</w:t>
      </w:r>
      <w:r w:rsidRPr="00283806">
        <w:rPr>
          <w:spacing w:val="10"/>
          <w:w w:val="105"/>
        </w:rPr>
        <w:t xml:space="preserve"> </w:t>
      </w:r>
      <w:r w:rsidRPr="00283806">
        <w:rPr>
          <w:spacing w:val="-5"/>
          <w:w w:val="105"/>
        </w:rPr>
        <w:t>CAA</w:t>
      </w:r>
    </w:p>
    <w:p w14:paraId="56A6FEFB" w14:textId="77777777" w:rsidR="00D67C1E" w:rsidRPr="00283806" w:rsidRDefault="00D67C1E">
      <w:pPr>
        <w:spacing w:line="124" w:lineRule="exact"/>
        <w:jc w:val="center"/>
        <w:sectPr w:rsidR="00D67C1E" w:rsidRPr="00283806">
          <w:pgSz w:w="12240" w:h="15840"/>
          <w:pgMar w:top="1040" w:right="780" w:bottom="280" w:left="740" w:header="627" w:footer="0" w:gutter="0"/>
          <w:cols w:num="3" w:space="720" w:equalWidth="0">
            <w:col w:w="3495" w:space="45"/>
            <w:col w:w="3516" w:space="40"/>
            <w:col w:w="3624"/>
          </w:cols>
        </w:sectPr>
      </w:pPr>
    </w:p>
    <w:p w14:paraId="5F90BA8C" w14:textId="77777777" w:rsidR="00D67C1E" w:rsidRPr="00283806" w:rsidRDefault="001265CA">
      <w:pPr>
        <w:pStyle w:val="BodyText"/>
        <w:spacing w:line="157" w:lineRule="exact"/>
        <w:ind w:left="159"/>
      </w:pPr>
      <w:r w:rsidRPr="00283806">
        <w:rPr>
          <w:w w:val="105"/>
        </w:rPr>
        <w:t>to</w:t>
      </w:r>
      <w:r w:rsidRPr="00283806">
        <w:rPr>
          <w:spacing w:val="8"/>
          <w:w w:val="105"/>
        </w:rPr>
        <w:t xml:space="preserve"> </w:t>
      </w:r>
      <w:r w:rsidRPr="00283806">
        <w:rPr>
          <w:w w:val="105"/>
        </w:rPr>
        <w:t>find</w:t>
      </w:r>
      <w:r w:rsidRPr="00283806">
        <w:rPr>
          <w:spacing w:val="9"/>
          <w:w w:val="105"/>
        </w:rPr>
        <w:t xml:space="preserve"> </w:t>
      </w:r>
      <w:r w:rsidRPr="00283806">
        <w:rPr>
          <w:w w:val="105"/>
        </w:rPr>
        <w:t>that</w:t>
      </w:r>
      <w:r w:rsidRPr="00283806">
        <w:rPr>
          <w:spacing w:val="9"/>
          <w:w w:val="105"/>
        </w:rPr>
        <w:t xml:space="preserve"> </w:t>
      </w:r>
      <w:r w:rsidRPr="00283806">
        <w:rPr>
          <w:w w:val="105"/>
        </w:rPr>
        <w:t>certain</w:t>
      </w:r>
      <w:r w:rsidRPr="00283806">
        <w:rPr>
          <w:spacing w:val="9"/>
          <w:w w:val="105"/>
        </w:rPr>
        <w:t xml:space="preserve"> </w:t>
      </w:r>
      <w:r w:rsidRPr="00283806">
        <w:rPr>
          <w:spacing w:val="-2"/>
          <w:w w:val="105"/>
        </w:rPr>
        <w:t>categorical</w:t>
      </w:r>
    </w:p>
    <w:p w14:paraId="4E51851E" w14:textId="77777777" w:rsidR="00D67C1E" w:rsidRPr="00283806" w:rsidRDefault="001265CA">
      <w:pPr>
        <w:pStyle w:val="BodyText"/>
        <w:tabs>
          <w:tab w:val="left" w:pos="3699"/>
          <w:tab w:val="left" w:pos="4699"/>
        </w:tabs>
        <w:spacing w:before="7" w:line="149" w:lineRule="exact"/>
        <w:ind w:left="159"/>
      </w:pPr>
      <w:r w:rsidRPr="00283806">
        <w:br w:type="column"/>
      </w:r>
      <w:r w:rsidRPr="00283806">
        <w:rPr>
          <w:w w:val="105"/>
        </w:rPr>
        <w:t>data</w:t>
      </w:r>
      <w:r w:rsidRPr="00283806">
        <w:rPr>
          <w:spacing w:val="5"/>
          <w:w w:val="105"/>
        </w:rPr>
        <w:t xml:space="preserve"> </w:t>
      </w:r>
      <w:r w:rsidRPr="00283806">
        <w:rPr>
          <w:w w:val="105"/>
        </w:rPr>
        <w:t>elements.</w:t>
      </w:r>
      <w:r w:rsidRPr="00283806">
        <w:rPr>
          <w:spacing w:val="5"/>
          <w:w w:val="105"/>
        </w:rPr>
        <w:t xml:space="preserve"> </w:t>
      </w:r>
      <w:r w:rsidRPr="00283806">
        <w:rPr>
          <w:w w:val="105"/>
        </w:rPr>
        <w:t>Insofar</w:t>
      </w:r>
      <w:r w:rsidRPr="00283806">
        <w:rPr>
          <w:spacing w:val="5"/>
          <w:w w:val="105"/>
        </w:rPr>
        <w:t xml:space="preserve"> </w:t>
      </w:r>
      <w:r w:rsidRPr="00283806">
        <w:rPr>
          <w:w w:val="105"/>
        </w:rPr>
        <w:t>as</w:t>
      </w:r>
      <w:r w:rsidRPr="00283806">
        <w:rPr>
          <w:spacing w:val="5"/>
          <w:w w:val="105"/>
        </w:rPr>
        <w:t xml:space="preserve"> </w:t>
      </w:r>
      <w:r w:rsidRPr="00283806">
        <w:rPr>
          <w:spacing w:val="-2"/>
          <w:w w:val="105"/>
        </w:rPr>
        <w:t>commenters</w:t>
      </w:r>
      <w:r w:rsidRPr="00283806">
        <w:tab/>
      </w:r>
      <w:r w:rsidRPr="00283806">
        <w:rPr>
          <w:u w:val="single"/>
        </w:rPr>
        <w:tab/>
      </w:r>
    </w:p>
    <w:p w14:paraId="286CBE32" w14:textId="77777777" w:rsidR="00D67C1E" w:rsidRPr="00283806" w:rsidRDefault="00D67C1E">
      <w:pPr>
        <w:spacing w:line="149" w:lineRule="exact"/>
        <w:sectPr w:rsidR="00D67C1E" w:rsidRPr="00283806">
          <w:type w:val="continuous"/>
          <w:pgSz w:w="12240" w:h="15840"/>
          <w:pgMar w:top="880" w:right="780" w:bottom="280" w:left="740" w:header="627" w:footer="0" w:gutter="0"/>
          <w:cols w:num="2" w:space="720" w:equalWidth="0">
            <w:col w:w="2677" w:space="863"/>
            <w:col w:w="7180"/>
          </w:cols>
        </w:sectPr>
      </w:pPr>
    </w:p>
    <w:p w14:paraId="6EC94606" w14:textId="77777777" w:rsidR="00D67C1E" w:rsidRPr="00283806" w:rsidRDefault="001265CA">
      <w:pPr>
        <w:pStyle w:val="BodyText"/>
        <w:tabs>
          <w:tab w:val="left" w:pos="3699"/>
          <w:tab w:val="left" w:pos="4699"/>
        </w:tabs>
        <w:spacing w:line="200" w:lineRule="exact"/>
        <w:ind w:left="159"/>
      </w:pPr>
      <w:r w:rsidRPr="00283806">
        <w:rPr>
          <w:w w:val="105"/>
        </w:rPr>
        <w:t>information</w:t>
      </w:r>
      <w:r w:rsidRPr="00283806">
        <w:rPr>
          <w:spacing w:val="17"/>
          <w:w w:val="105"/>
        </w:rPr>
        <w:t xml:space="preserve"> </w:t>
      </w:r>
      <w:r w:rsidRPr="00283806">
        <w:rPr>
          <w:w w:val="105"/>
        </w:rPr>
        <w:t>is</w:t>
      </w:r>
      <w:r w:rsidRPr="00283806">
        <w:rPr>
          <w:spacing w:val="17"/>
          <w:w w:val="105"/>
        </w:rPr>
        <w:t xml:space="preserve"> </w:t>
      </w:r>
      <w:r w:rsidRPr="00283806">
        <w:rPr>
          <w:w w:val="105"/>
        </w:rPr>
        <w:t>either</w:t>
      </w:r>
      <w:r w:rsidRPr="00283806">
        <w:rPr>
          <w:spacing w:val="17"/>
          <w:w w:val="105"/>
        </w:rPr>
        <w:t xml:space="preserve"> </w:t>
      </w:r>
      <w:r w:rsidRPr="00283806">
        <w:rPr>
          <w:w w:val="105"/>
        </w:rPr>
        <w:t>‘‘emission</w:t>
      </w:r>
      <w:r w:rsidRPr="00283806">
        <w:rPr>
          <w:spacing w:val="17"/>
          <w:w w:val="105"/>
        </w:rPr>
        <w:t xml:space="preserve"> </w:t>
      </w:r>
      <w:r w:rsidRPr="00283806">
        <w:rPr>
          <w:spacing w:val="-2"/>
          <w:w w:val="105"/>
        </w:rPr>
        <w:t>data’’</w:t>
      </w:r>
      <w:r w:rsidRPr="00283806">
        <w:tab/>
      </w:r>
      <w:r w:rsidRPr="00283806">
        <w:rPr>
          <w:u w:val="single"/>
        </w:rPr>
        <w:tab/>
      </w:r>
    </w:p>
    <w:p w14:paraId="3A90476C" w14:textId="30BE4866" w:rsidR="00D67C1E" w:rsidRPr="00283806" w:rsidRDefault="001265CA">
      <w:pPr>
        <w:spacing w:before="96" w:line="103" w:lineRule="exact"/>
        <w:ind w:left="160"/>
        <w:rPr>
          <w:rFonts w:ascii="Book Antiqua"/>
          <w:i/>
          <w:sz w:val="14"/>
        </w:rPr>
      </w:pPr>
      <w:r w:rsidRPr="00283806">
        <w:br w:type="column"/>
      </w:r>
      <w:r w:rsidRPr="00283806">
        <w:rPr>
          <w:w w:val="110"/>
          <w:position w:val="4"/>
          <w:sz w:val="9"/>
        </w:rPr>
        <w:t xml:space="preserve">168 </w:t>
      </w:r>
      <w:r w:rsidRPr="00283806">
        <w:rPr>
          <w:w w:val="110"/>
          <w:sz w:val="14"/>
        </w:rPr>
        <w:t>Available</w:t>
      </w:r>
      <w:r w:rsidRPr="00283806">
        <w:rPr>
          <w:spacing w:val="5"/>
          <w:w w:val="110"/>
          <w:sz w:val="14"/>
        </w:rPr>
        <w:t xml:space="preserve"> </w:t>
      </w:r>
      <w:r w:rsidRPr="00283806">
        <w:rPr>
          <w:w w:val="110"/>
          <w:sz w:val="14"/>
        </w:rPr>
        <w:t>at:</w:t>
      </w:r>
      <w:r w:rsidRPr="00283806">
        <w:rPr>
          <w:spacing w:val="5"/>
          <w:w w:val="110"/>
          <w:sz w:val="14"/>
        </w:rPr>
        <w:t xml:space="preserve"> </w:t>
      </w:r>
      <w:r w:rsidRPr="00283806">
        <w:rPr>
          <w:rFonts w:ascii="Book Antiqua"/>
          <w:i/>
          <w:spacing w:val="-2"/>
          <w:w w:val="110"/>
          <w:sz w:val="14"/>
        </w:rPr>
        <w:t>https://www.epa.gov/climate-</w:t>
      </w:r>
    </w:p>
    <w:p w14:paraId="4C10BBCC" w14:textId="77777777" w:rsidR="00D67C1E" w:rsidRPr="00283806" w:rsidRDefault="00D67C1E">
      <w:pPr>
        <w:spacing w:line="103" w:lineRule="exact"/>
        <w:rPr>
          <w:rFonts w:ascii="Book Antiqua"/>
          <w:sz w:val="14"/>
        </w:rPr>
        <w:sectPr w:rsidR="00D67C1E" w:rsidRPr="00283806">
          <w:type w:val="continuous"/>
          <w:pgSz w:w="12240" w:h="15840"/>
          <w:pgMar w:top="880" w:right="780" w:bottom="280" w:left="740" w:header="627" w:footer="0" w:gutter="0"/>
          <w:cols w:num="2" w:space="720" w:equalWidth="0">
            <w:col w:w="4740" w:space="2480"/>
            <w:col w:w="3500"/>
          </w:cols>
        </w:sectPr>
      </w:pPr>
    </w:p>
    <w:p w14:paraId="3901587A" w14:textId="77777777" w:rsidR="00D67C1E" w:rsidRPr="00283806" w:rsidRDefault="001265CA">
      <w:pPr>
        <w:pStyle w:val="BodyText"/>
        <w:spacing w:before="9" w:line="228" w:lineRule="auto"/>
        <w:ind w:left="159" w:right="38"/>
      </w:pPr>
      <w:r w:rsidRPr="00283806">
        <w:rPr>
          <w:w w:val="105"/>
        </w:rPr>
        <w:t>and should be treated as such pursuant to 40 CFR 2.301(a) or that this type of</w:t>
      </w:r>
    </w:p>
    <w:p w14:paraId="03AC1239" w14:textId="77777777" w:rsidR="00D67C1E" w:rsidRPr="00283806" w:rsidRDefault="001265CA">
      <w:pPr>
        <w:spacing w:before="81" w:line="232" w:lineRule="auto"/>
        <w:ind w:left="159" w:firstLine="140"/>
        <w:rPr>
          <w:sz w:val="14"/>
        </w:rPr>
      </w:pPr>
      <w:r w:rsidRPr="00283806">
        <w:br w:type="column"/>
      </w:r>
      <w:r w:rsidRPr="00283806">
        <w:rPr>
          <w:w w:val="110"/>
          <w:position w:val="4"/>
          <w:sz w:val="9"/>
        </w:rPr>
        <w:t>167</w:t>
      </w:r>
      <w:r w:rsidRPr="00283806">
        <w:rPr>
          <w:spacing w:val="-6"/>
          <w:w w:val="110"/>
          <w:position w:val="4"/>
          <w:sz w:val="9"/>
        </w:rPr>
        <w:t xml:space="preserve"> </w:t>
      </w:r>
      <w:r w:rsidRPr="00283806">
        <w:rPr>
          <w:w w:val="110"/>
          <w:sz w:val="14"/>
        </w:rPr>
        <w:t>See</w:t>
      </w:r>
      <w:r w:rsidRPr="00283806">
        <w:rPr>
          <w:spacing w:val="-8"/>
          <w:w w:val="110"/>
          <w:sz w:val="14"/>
        </w:rPr>
        <w:t xml:space="preserve"> </w:t>
      </w:r>
      <w:r w:rsidRPr="00283806">
        <w:rPr>
          <w:w w:val="110"/>
          <w:sz w:val="14"/>
        </w:rPr>
        <w:t>comment</w:t>
      </w:r>
      <w:r w:rsidRPr="00283806">
        <w:rPr>
          <w:spacing w:val="-9"/>
          <w:w w:val="110"/>
          <w:sz w:val="14"/>
        </w:rPr>
        <w:t xml:space="preserve"> </w:t>
      </w:r>
      <w:r w:rsidRPr="00283806">
        <w:rPr>
          <w:w w:val="110"/>
          <w:sz w:val="14"/>
        </w:rPr>
        <w:t>number</w:t>
      </w:r>
      <w:r w:rsidRPr="00283806">
        <w:rPr>
          <w:spacing w:val="-8"/>
          <w:w w:val="110"/>
          <w:sz w:val="14"/>
        </w:rPr>
        <w:t xml:space="preserve"> </w:t>
      </w:r>
      <w:r w:rsidRPr="00283806">
        <w:rPr>
          <w:w w:val="110"/>
          <w:sz w:val="14"/>
        </w:rPr>
        <w:t>EPA–HQ–OAR–2022–</w:t>
      </w:r>
      <w:r w:rsidRPr="00283806">
        <w:rPr>
          <w:spacing w:val="40"/>
          <w:w w:val="110"/>
          <w:sz w:val="14"/>
        </w:rPr>
        <w:t xml:space="preserve"> </w:t>
      </w:r>
      <w:r w:rsidRPr="00283806">
        <w:rPr>
          <w:w w:val="110"/>
          <w:sz w:val="14"/>
        </w:rPr>
        <w:t>0606–0085 at 25.</w:t>
      </w:r>
    </w:p>
    <w:p w14:paraId="7B43B646" w14:textId="15BAD624" w:rsidR="00D67C1E" w:rsidRPr="00283806" w:rsidRDefault="001265CA">
      <w:pPr>
        <w:spacing w:before="57"/>
        <w:ind w:left="159"/>
        <w:rPr>
          <w:sz w:val="14"/>
        </w:rPr>
      </w:pPr>
      <w:r w:rsidRPr="00283806">
        <w:br w:type="column"/>
      </w:r>
      <w:proofErr w:type="spellStart"/>
      <w:r w:rsidRPr="00283806">
        <w:rPr>
          <w:rFonts w:ascii="Book Antiqua"/>
          <w:i/>
          <w:w w:val="115"/>
          <w:sz w:val="14"/>
        </w:rPr>
        <w:t>hfcs</w:t>
      </w:r>
      <w:proofErr w:type="spellEnd"/>
      <w:r w:rsidRPr="00283806">
        <w:rPr>
          <w:rFonts w:ascii="Book Antiqua"/>
          <w:i/>
          <w:w w:val="115"/>
          <w:sz w:val="14"/>
        </w:rPr>
        <w:t>-reduction/</w:t>
      </w:r>
      <w:proofErr w:type="spellStart"/>
      <w:r w:rsidRPr="00283806">
        <w:rPr>
          <w:rFonts w:ascii="Book Antiqua"/>
          <w:i/>
          <w:w w:val="115"/>
          <w:sz w:val="14"/>
        </w:rPr>
        <w:t>hfc</w:t>
      </w:r>
      <w:proofErr w:type="spellEnd"/>
      <w:r w:rsidRPr="00283806">
        <w:rPr>
          <w:rFonts w:ascii="Book Antiqua"/>
          <w:i/>
          <w:w w:val="115"/>
          <w:sz w:val="14"/>
        </w:rPr>
        <w:t>-data-</w:t>
      </w:r>
      <w:r w:rsidRPr="00283806">
        <w:rPr>
          <w:rFonts w:ascii="Book Antiqua"/>
          <w:i/>
          <w:spacing w:val="-4"/>
          <w:w w:val="115"/>
          <w:sz w:val="14"/>
        </w:rPr>
        <w:t>hub</w:t>
      </w:r>
      <w:r w:rsidRPr="00283806">
        <w:rPr>
          <w:spacing w:val="-4"/>
          <w:w w:val="115"/>
          <w:sz w:val="14"/>
        </w:rPr>
        <w:t>.</w:t>
      </w:r>
    </w:p>
    <w:p w14:paraId="6FB483A7" w14:textId="77777777" w:rsidR="00D67C1E" w:rsidRPr="00283806" w:rsidRDefault="001265CA">
      <w:pPr>
        <w:spacing w:before="8"/>
        <w:ind w:left="300"/>
        <w:rPr>
          <w:sz w:val="14"/>
        </w:rPr>
      </w:pPr>
      <w:r w:rsidRPr="00283806">
        <w:rPr>
          <w:w w:val="110"/>
          <w:position w:val="4"/>
          <w:sz w:val="9"/>
        </w:rPr>
        <w:t>169</w:t>
      </w:r>
      <w:r w:rsidRPr="00283806">
        <w:rPr>
          <w:spacing w:val="1"/>
          <w:w w:val="110"/>
          <w:position w:val="4"/>
          <w:sz w:val="9"/>
        </w:rPr>
        <w:t xml:space="preserve"> </w:t>
      </w:r>
      <w:r w:rsidRPr="00283806">
        <w:rPr>
          <w:w w:val="110"/>
          <w:sz w:val="14"/>
        </w:rPr>
        <w:t>CAA</w:t>
      </w:r>
      <w:r w:rsidRPr="00283806">
        <w:rPr>
          <w:spacing w:val="6"/>
          <w:w w:val="110"/>
          <w:sz w:val="14"/>
        </w:rPr>
        <w:t xml:space="preserve"> </w:t>
      </w:r>
      <w:r w:rsidRPr="00283806">
        <w:rPr>
          <w:w w:val="110"/>
          <w:sz w:val="14"/>
        </w:rPr>
        <w:t>section</w:t>
      </w:r>
      <w:r w:rsidRPr="00283806">
        <w:rPr>
          <w:spacing w:val="6"/>
          <w:w w:val="110"/>
          <w:sz w:val="14"/>
        </w:rPr>
        <w:t xml:space="preserve"> </w:t>
      </w:r>
      <w:r w:rsidRPr="00283806">
        <w:rPr>
          <w:w w:val="110"/>
          <w:sz w:val="14"/>
        </w:rPr>
        <w:t>114(c);</w:t>
      </w:r>
      <w:r w:rsidRPr="00283806">
        <w:rPr>
          <w:spacing w:val="6"/>
          <w:w w:val="110"/>
          <w:sz w:val="14"/>
        </w:rPr>
        <w:t xml:space="preserve"> </w:t>
      </w:r>
      <w:r w:rsidRPr="00283806">
        <w:rPr>
          <w:w w:val="110"/>
          <w:sz w:val="14"/>
        </w:rPr>
        <w:t>42</w:t>
      </w:r>
      <w:r w:rsidRPr="00283806">
        <w:rPr>
          <w:spacing w:val="6"/>
          <w:w w:val="110"/>
          <w:sz w:val="14"/>
        </w:rPr>
        <w:t xml:space="preserve"> </w:t>
      </w:r>
      <w:r w:rsidRPr="00283806">
        <w:rPr>
          <w:w w:val="110"/>
          <w:sz w:val="14"/>
        </w:rPr>
        <w:t>U.S.C.</w:t>
      </w:r>
      <w:r w:rsidRPr="00283806">
        <w:rPr>
          <w:spacing w:val="6"/>
          <w:w w:val="110"/>
          <w:sz w:val="14"/>
        </w:rPr>
        <w:t xml:space="preserve"> </w:t>
      </w:r>
      <w:r w:rsidRPr="00283806">
        <w:rPr>
          <w:spacing w:val="-2"/>
          <w:w w:val="110"/>
          <w:sz w:val="14"/>
        </w:rPr>
        <w:t>7414(c).</w:t>
      </w:r>
    </w:p>
    <w:p w14:paraId="7B2B90FB" w14:textId="77777777" w:rsidR="00D67C1E" w:rsidRPr="00283806" w:rsidRDefault="00D67C1E">
      <w:pPr>
        <w:rPr>
          <w:sz w:val="14"/>
        </w:rPr>
        <w:sectPr w:rsidR="00D67C1E" w:rsidRPr="00283806">
          <w:type w:val="continuous"/>
          <w:pgSz w:w="12240" w:h="15840"/>
          <w:pgMar w:top="880" w:right="780" w:bottom="280" w:left="740" w:header="627" w:footer="0" w:gutter="0"/>
          <w:cols w:num="3" w:space="720" w:equalWidth="0">
            <w:col w:w="3435" w:space="105"/>
            <w:col w:w="3415" w:space="125"/>
            <w:col w:w="3640"/>
          </w:cols>
        </w:sectPr>
      </w:pPr>
    </w:p>
    <w:p w14:paraId="5165DC00" w14:textId="77777777" w:rsidR="00D67C1E" w:rsidRPr="00283806" w:rsidRDefault="001265CA">
      <w:pPr>
        <w:pStyle w:val="BodyText"/>
        <w:spacing w:before="133" w:line="230" w:lineRule="auto"/>
        <w:ind w:left="159" w:right="8"/>
      </w:pPr>
      <w:r w:rsidRPr="00283806">
        <w:rPr>
          <w:w w:val="105"/>
        </w:rPr>
        <w:lastRenderedPageBreak/>
        <w:t>section 114 to parties outside of the Agency of its own volition, through responses to requests submitted under the FOIA,</w:t>
      </w:r>
      <w:r w:rsidRPr="00283806">
        <w:rPr>
          <w:w w:val="105"/>
          <w:position w:val="5"/>
          <w:sz w:val="11"/>
        </w:rPr>
        <w:t>170</w:t>
      </w:r>
      <w:r w:rsidRPr="00283806">
        <w:rPr>
          <w:spacing w:val="40"/>
          <w:w w:val="105"/>
          <w:position w:val="5"/>
          <w:sz w:val="11"/>
        </w:rPr>
        <w:t xml:space="preserve"> </w:t>
      </w:r>
      <w:r w:rsidRPr="00283806">
        <w:rPr>
          <w:w w:val="105"/>
        </w:rPr>
        <w:t>or through civil litigation. Generally, when the Agency has information that it intends to disclose publicly</w:t>
      </w:r>
      <w:r w:rsidRPr="00283806">
        <w:rPr>
          <w:spacing w:val="33"/>
          <w:w w:val="105"/>
        </w:rPr>
        <w:t xml:space="preserve"> </w:t>
      </w:r>
      <w:r w:rsidRPr="00283806">
        <w:rPr>
          <w:w w:val="105"/>
        </w:rPr>
        <w:t>and</w:t>
      </w:r>
      <w:r w:rsidRPr="00283806">
        <w:rPr>
          <w:spacing w:val="33"/>
          <w:w w:val="105"/>
        </w:rPr>
        <w:t xml:space="preserve"> </w:t>
      </w:r>
      <w:r w:rsidRPr="00283806">
        <w:rPr>
          <w:w w:val="105"/>
        </w:rPr>
        <w:t>that</w:t>
      </w:r>
      <w:r w:rsidRPr="00283806">
        <w:rPr>
          <w:spacing w:val="33"/>
          <w:w w:val="105"/>
        </w:rPr>
        <w:t xml:space="preserve"> </w:t>
      </w:r>
      <w:r w:rsidRPr="00283806">
        <w:rPr>
          <w:w w:val="105"/>
        </w:rPr>
        <w:t>is</w:t>
      </w:r>
      <w:r w:rsidRPr="00283806">
        <w:rPr>
          <w:spacing w:val="33"/>
          <w:w w:val="105"/>
        </w:rPr>
        <w:t xml:space="preserve"> </w:t>
      </w:r>
      <w:r w:rsidRPr="00283806">
        <w:rPr>
          <w:w w:val="105"/>
        </w:rPr>
        <w:t>covered</w:t>
      </w:r>
      <w:r w:rsidRPr="00283806">
        <w:rPr>
          <w:spacing w:val="33"/>
          <w:w w:val="105"/>
        </w:rPr>
        <w:t xml:space="preserve"> </w:t>
      </w:r>
      <w:r w:rsidRPr="00283806">
        <w:rPr>
          <w:w w:val="105"/>
        </w:rPr>
        <w:t>by</w:t>
      </w:r>
      <w:r w:rsidRPr="00283806">
        <w:rPr>
          <w:spacing w:val="33"/>
          <w:w w:val="105"/>
        </w:rPr>
        <w:t xml:space="preserve"> </w:t>
      </w:r>
      <w:r w:rsidRPr="00283806">
        <w:rPr>
          <w:w w:val="105"/>
        </w:rPr>
        <w:t>a</w:t>
      </w:r>
      <w:r w:rsidRPr="00283806">
        <w:rPr>
          <w:spacing w:val="33"/>
          <w:w w:val="105"/>
        </w:rPr>
        <w:t xml:space="preserve"> </w:t>
      </w:r>
      <w:r w:rsidRPr="00283806">
        <w:rPr>
          <w:w w:val="105"/>
        </w:rPr>
        <w:t>claim of</w:t>
      </w:r>
      <w:r w:rsidRPr="00283806">
        <w:rPr>
          <w:spacing w:val="40"/>
          <w:w w:val="105"/>
        </w:rPr>
        <w:t xml:space="preserve"> </w:t>
      </w:r>
      <w:r w:rsidRPr="00283806">
        <w:rPr>
          <w:w w:val="105"/>
        </w:rPr>
        <w:t>confidentiality</w:t>
      </w:r>
      <w:r w:rsidRPr="00283806">
        <w:rPr>
          <w:spacing w:val="40"/>
          <w:w w:val="105"/>
        </w:rPr>
        <w:t xml:space="preserve"> </w:t>
      </w:r>
      <w:r w:rsidRPr="00283806">
        <w:rPr>
          <w:w w:val="105"/>
        </w:rPr>
        <w:t>under</w:t>
      </w:r>
      <w:r w:rsidRPr="00283806">
        <w:rPr>
          <w:spacing w:val="40"/>
          <w:w w:val="105"/>
        </w:rPr>
        <w:t xml:space="preserve"> </w:t>
      </w:r>
      <w:r w:rsidRPr="00283806">
        <w:rPr>
          <w:w w:val="105"/>
        </w:rPr>
        <w:t>FOIA</w:t>
      </w:r>
      <w:r w:rsidRPr="00283806">
        <w:rPr>
          <w:spacing w:val="40"/>
          <w:w w:val="105"/>
        </w:rPr>
        <w:t xml:space="preserve"> </w:t>
      </w:r>
      <w:r w:rsidRPr="00283806">
        <w:rPr>
          <w:w w:val="105"/>
        </w:rPr>
        <w:t>Exemption 4, EPA has a process to make case-by-case or class determinations under 40 CFR part 2. This process includes an evaluation of whether such information is or is not emission data, and whether it otherwise qualifies for confidential treatment under FOIA Exemption 4.</w:t>
      </w:r>
      <w:r w:rsidRPr="00283806">
        <w:rPr>
          <w:w w:val="105"/>
          <w:position w:val="5"/>
          <w:sz w:val="11"/>
        </w:rPr>
        <w:t>171</w:t>
      </w:r>
      <w:proofErr w:type="gramStart"/>
      <w:r w:rsidRPr="00283806">
        <w:rPr>
          <w:spacing w:val="40"/>
          <w:w w:val="105"/>
          <w:position w:val="5"/>
          <w:sz w:val="11"/>
        </w:rPr>
        <w:t xml:space="preserve"> </w:t>
      </w:r>
      <w:r w:rsidRPr="00283806">
        <w:rPr>
          <w:w w:val="105"/>
        </w:rPr>
        <w:t>The</w:t>
      </w:r>
      <w:proofErr w:type="gramEnd"/>
      <w:r w:rsidRPr="00283806">
        <w:rPr>
          <w:w w:val="105"/>
        </w:rPr>
        <w:t xml:space="preserve"> regulations at 40 CFR 2.301 define emission data.</w:t>
      </w:r>
    </w:p>
    <w:p w14:paraId="4BB5DEB7" w14:textId="77777777" w:rsidR="00D67C1E" w:rsidRPr="00283806" w:rsidRDefault="001265CA">
      <w:pPr>
        <w:pStyle w:val="BodyText"/>
        <w:spacing w:before="60" w:line="230" w:lineRule="auto"/>
        <w:ind w:left="159" w:firstLine="180"/>
      </w:pPr>
      <w:r w:rsidRPr="00283806">
        <w:rPr>
          <w:w w:val="105"/>
        </w:rPr>
        <w:t>In this action, EPA is applying the regulatory definition of ‘‘emission data’’ in 40 CFR 2.301(a)(2)(i) and finding that certain categories of source information are not entitled to confidential treatment because they qualify as emission data.</w:t>
      </w:r>
    </w:p>
    <w:p w14:paraId="1B2DEFD8" w14:textId="77777777" w:rsidR="00D67C1E" w:rsidRPr="00283806" w:rsidRDefault="001265CA">
      <w:pPr>
        <w:pStyle w:val="BodyText"/>
        <w:spacing w:line="230" w:lineRule="auto"/>
        <w:ind w:left="159" w:right="57"/>
      </w:pPr>
      <w:r w:rsidRPr="00283806">
        <w:rPr>
          <w:w w:val="105"/>
        </w:rPr>
        <w:t>By finalizing these determinations, that information is subject to disclosure to</w:t>
      </w:r>
      <w:r w:rsidRPr="00283806">
        <w:rPr>
          <w:spacing w:val="80"/>
          <w:w w:val="105"/>
        </w:rPr>
        <w:t xml:space="preserve"> </w:t>
      </w:r>
      <w:r w:rsidRPr="00283806">
        <w:rPr>
          <w:w w:val="105"/>
        </w:rPr>
        <w:t>the public without further notice. As relevant to the determinations that are being finalized in this action, a ‘‘source’’ for purposes of the definition in 40 CFR</w:t>
      </w:r>
    </w:p>
    <w:p w14:paraId="4C56F162" w14:textId="77777777" w:rsidR="00D67C1E" w:rsidRPr="00283806" w:rsidRDefault="001265CA">
      <w:pPr>
        <w:pStyle w:val="BodyText"/>
        <w:spacing w:before="136" w:line="225" w:lineRule="auto"/>
        <w:ind w:left="144" w:right="81"/>
      </w:pPr>
      <w:r w:rsidRPr="00283806">
        <w:br w:type="column"/>
      </w:r>
      <w:r w:rsidRPr="00283806">
        <w:rPr>
          <w:w w:val="105"/>
        </w:rPr>
        <w:t>2.301 is generally the equipment</w:t>
      </w:r>
      <w:r w:rsidRPr="00283806">
        <w:rPr>
          <w:spacing w:val="80"/>
          <w:w w:val="105"/>
        </w:rPr>
        <w:t xml:space="preserve"> </w:t>
      </w:r>
      <w:r w:rsidRPr="00283806">
        <w:rPr>
          <w:w w:val="105"/>
        </w:rPr>
        <w:t>covered by a regulatory requirement, such as a refrigerant-containing</w:t>
      </w:r>
      <w:r w:rsidRPr="00283806">
        <w:rPr>
          <w:spacing w:val="40"/>
          <w:w w:val="105"/>
        </w:rPr>
        <w:t xml:space="preserve"> </w:t>
      </w:r>
      <w:r w:rsidRPr="00283806">
        <w:rPr>
          <w:w w:val="105"/>
        </w:rPr>
        <w:t>appliance or fire suppression</w:t>
      </w:r>
      <w:r w:rsidRPr="00283806">
        <w:rPr>
          <w:spacing w:val="80"/>
          <w:w w:val="150"/>
        </w:rPr>
        <w:t xml:space="preserve"> </w:t>
      </w:r>
      <w:r w:rsidRPr="00283806">
        <w:rPr>
          <w:w w:val="105"/>
        </w:rPr>
        <w:t>equipment. EPA’s broad general definitions</w:t>
      </w:r>
      <w:r w:rsidRPr="00283806">
        <w:rPr>
          <w:spacing w:val="40"/>
          <w:w w:val="105"/>
        </w:rPr>
        <w:t xml:space="preserve"> </w:t>
      </w:r>
      <w:r w:rsidRPr="00283806">
        <w:rPr>
          <w:w w:val="105"/>
        </w:rPr>
        <w:t>of</w:t>
      </w:r>
      <w:r w:rsidRPr="00283806">
        <w:rPr>
          <w:spacing w:val="40"/>
          <w:w w:val="105"/>
        </w:rPr>
        <w:t xml:space="preserve"> </w:t>
      </w:r>
      <w:r w:rsidRPr="00283806">
        <w:rPr>
          <w:w w:val="105"/>
        </w:rPr>
        <w:t>emission</w:t>
      </w:r>
      <w:r w:rsidRPr="00283806">
        <w:rPr>
          <w:spacing w:val="40"/>
          <w:w w:val="105"/>
        </w:rPr>
        <w:t xml:space="preserve"> </w:t>
      </w:r>
      <w:r w:rsidRPr="00283806">
        <w:rPr>
          <w:w w:val="105"/>
        </w:rPr>
        <w:t>data</w:t>
      </w:r>
      <w:r w:rsidRPr="00283806">
        <w:rPr>
          <w:spacing w:val="40"/>
          <w:w w:val="105"/>
        </w:rPr>
        <w:t xml:space="preserve"> </w:t>
      </w:r>
      <w:r w:rsidRPr="00283806">
        <w:rPr>
          <w:w w:val="105"/>
        </w:rPr>
        <w:t>also exclude certain information related to products still in the research and development phase or products not yet on the market except for limited purposes. Thus, for example, 40 CFR 2.301(a)(2)(ii) excludes information related to ‘‘any product, method, device, or installation (or any component thereof) designed and intended to be marketed or used commercially but not yet so marketed or used.’’ This specific exclusion</w:t>
      </w:r>
      <w:r w:rsidRPr="00283806">
        <w:rPr>
          <w:spacing w:val="40"/>
          <w:w w:val="105"/>
        </w:rPr>
        <w:t xml:space="preserve"> </w:t>
      </w:r>
      <w:r w:rsidRPr="00283806">
        <w:rPr>
          <w:w w:val="105"/>
        </w:rPr>
        <w:t>from</w:t>
      </w:r>
      <w:r w:rsidRPr="00283806">
        <w:rPr>
          <w:spacing w:val="40"/>
          <w:w w:val="105"/>
        </w:rPr>
        <w:t xml:space="preserve"> </w:t>
      </w:r>
      <w:r w:rsidRPr="00283806">
        <w:rPr>
          <w:w w:val="105"/>
        </w:rPr>
        <w:t>the</w:t>
      </w:r>
      <w:r w:rsidRPr="00283806">
        <w:rPr>
          <w:spacing w:val="40"/>
          <w:w w:val="105"/>
        </w:rPr>
        <w:t xml:space="preserve"> </w:t>
      </w:r>
      <w:r w:rsidRPr="00283806">
        <w:rPr>
          <w:w w:val="105"/>
        </w:rPr>
        <w:t>definition</w:t>
      </w:r>
      <w:r w:rsidRPr="00283806">
        <w:rPr>
          <w:spacing w:val="40"/>
          <w:w w:val="105"/>
        </w:rPr>
        <w:t xml:space="preserve"> </w:t>
      </w:r>
      <w:r w:rsidRPr="00283806">
        <w:rPr>
          <w:w w:val="105"/>
        </w:rPr>
        <w:t xml:space="preserve">of emission data is limited in time. Data related to this exclusion </w:t>
      </w:r>
      <w:proofErr w:type="gramStart"/>
      <w:r w:rsidRPr="00283806">
        <w:rPr>
          <w:w w:val="105"/>
        </w:rPr>
        <w:t>are</w:t>
      </w:r>
      <w:proofErr w:type="gramEnd"/>
      <w:r w:rsidRPr="00283806">
        <w:rPr>
          <w:w w:val="105"/>
        </w:rPr>
        <w:t xml:space="preserve"> not implicated in this rulemaking because data reported under this rule </w:t>
      </w:r>
      <w:proofErr w:type="gramStart"/>
      <w:r w:rsidRPr="00283806">
        <w:rPr>
          <w:w w:val="105"/>
        </w:rPr>
        <w:t>relate</w:t>
      </w:r>
      <w:proofErr w:type="gramEnd"/>
      <w:r w:rsidRPr="00283806">
        <w:rPr>
          <w:w w:val="105"/>
        </w:rPr>
        <w:t xml:space="preserve"> to equipment currently in use.</w:t>
      </w:r>
    </w:p>
    <w:p w14:paraId="3E77141E" w14:textId="77777777" w:rsidR="00D67C1E" w:rsidRPr="00283806" w:rsidRDefault="001265CA">
      <w:pPr>
        <w:pStyle w:val="ListParagraph"/>
        <w:numPr>
          <w:ilvl w:val="1"/>
          <w:numId w:val="64"/>
        </w:numPr>
        <w:tabs>
          <w:tab w:val="left" w:pos="359"/>
        </w:tabs>
        <w:spacing w:before="106" w:line="220" w:lineRule="auto"/>
        <w:ind w:left="144" w:right="518" w:firstLine="0"/>
        <w:rPr>
          <w:rFonts w:ascii="Book Antiqua"/>
          <w:i/>
          <w:sz w:val="18"/>
        </w:rPr>
      </w:pPr>
      <w:r w:rsidRPr="00283806">
        <w:rPr>
          <w:rFonts w:ascii="Book Antiqua"/>
          <w:i/>
          <w:w w:val="110"/>
          <w:sz w:val="18"/>
        </w:rPr>
        <w:t>Data</w:t>
      </w:r>
      <w:r w:rsidRPr="00283806">
        <w:rPr>
          <w:rFonts w:ascii="Book Antiqua"/>
          <w:i/>
          <w:spacing w:val="-3"/>
          <w:w w:val="110"/>
          <w:sz w:val="18"/>
        </w:rPr>
        <w:t xml:space="preserve"> </w:t>
      </w:r>
      <w:r w:rsidRPr="00283806">
        <w:rPr>
          <w:rFonts w:ascii="Book Antiqua"/>
          <w:i/>
          <w:w w:val="110"/>
          <w:sz w:val="18"/>
        </w:rPr>
        <w:t>Elements</w:t>
      </w:r>
      <w:r w:rsidRPr="00283806">
        <w:rPr>
          <w:rFonts w:ascii="Book Antiqua"/>
          <w:i/>
          <w:spacing w:val="-3"/>
          <w:w w:val="110"/>
          <w:sz w:val="18"/>
        </w:rPr>
        <w:t xml:space="preserve"> </w:t>
      </w:r>
      <w:r w:rsidRPr="00283806">
        <w:rPr>
          <w:rFonts w:ascii="Book Antiqua"/>
          <w:i/>
          <w:w w:val="110"/>
          <w:sz w:val="18"/>
        </w:rPr>
        <w:t>Reported</w:t>
      </w:r>
      <w:r w:rsidRPr="00283806">
        <w:rPr>
          <w:rFonts w:ascii="Book Antiqua"/>
          <w:i/>
          <w:spacing w:val="-3"/>
          <w:w w:val="110"/>
          <w:sz w:val="18"/>
        </w:rPr>
        <w:t xml:space="preserve"> </w:t>
      </w:r>
      <w:r w:rsidRPr="00283806">
        <w:rPr>
          <w:rFonts w:ascii="Book Antiqua"/>
          <w:i/>
          <w:w w:val="110"/>
          <w:sz w:val="18"/>
        </w:rPr>
        <w:t>to</w:t>
      </w:r>
      <w:r w:rsidRPr="00283806">
        <w:rPr>
          <w:rFonts w:ascii="Book Antiqua"/>
          <w:i/>
          <w:spacing w:val="-3"/>
          <w:w w:val="110"/>
          <w:sz w:val="18"/>
        </w:rPr>
        <w:t xml:space="preserve"> </w:t>
      </w:r>
      <w:r w:rsidRPr="00283806">
        <w:rPr>
          <w:rFonts w:ascii="Book Antiqua"/>
          <w:i/>
          <w:w w:val="110"/>
          <w:sz w:val="18"/>
        </w:rPr>
        <w:t>EPA Under the Leak Repair Provisions</w:t>
      </w:r>
    </w:p>
    <w:p w14:paraId="794BA2BB" w14:textId="77777777" w:rsidR="00D67C1E" w:rsidRPr="00283806" w:rsidRDefault="001265CA">
      <w:pPr>
        <w:pStyle w:val="BodyText"/>
        <w:spacing w:before="56" w:line="228" w:lineRule="auto"/>
        <w:ind w:left="144" w:right="51" w:firstLine="180"/>
      </w:pPr>
      <w:r w:rsidRPr="00283806">
        <w:rPr>
          <w:w w:val="105"/>
        </w:rPr>
        <w:t>Consistent with EPA’s commitment to transparency in program implementation, EPA has reviewed the data elements in the chronically leaking</w:t>
      </w:r>
    </w:p>
    <w:p w14:paraId="65AEC5FC" w14:textId="77777777" w:rsidR="00D67C1E" w:rsidRPr="00283806" w:rsidRDefault="001265CA">
      <w:pPr>
        <w:pStyle w:val="BodyText"/>
        <w:spacing w:before="132" w:line="230" w:lineRule="auto"/>
        <w:ind w:left="153" w:right="161"/>
      </w:pPr>
      <w:r w:rsidRPr="00283806">
        <w:br w:type="column"/>
      </w:r>
      <w:r w:rsidRPr="00283806">
        <w:rPr>
          <w:w w:val="105"/>
        </w:rPr>
        <w:t>appliance report and the other ad hoc reports required under the leak repair requirements to see if information under the umbrella of those data elements</w:t>
      </w:r>
      <w:r w:rsidRPr="00283806">
        <w:rPr>
          <w:spacing w:val="40"/>
          <w:w w:val="105"/>
        </w:rPr>
        <w:t xml:space="preserve"> </w:t>
      </w:r>
      <w:r w:rsidRPr="00283806">
        <w:rPr>
          <w:w w:val="105"/>
        </w:rPr>
        <w:t xml:space="preserve">could be considered entitled to confidential treatment. EPA </w:t>
      </w:r>
      <w:proofErr w:type="gramStart"/>
      <w:r w:rsidRPr="00283806">
        <w:rPr>
          <w:w w:val="105"/>
        </w:rPr>
        <w:t>is treating</w:t>
      </w:r>
      <w:proofErr w:type="gramEnd"/>
      <w:r w:rsidRPr="00283806">
        <w:rPr>
          <w:w w:val="105"/>
        </w:rPr>
        <w:t xml:space="preserve"> certain data elements under the leak repair provisions as not entitled to confidential treatment. Tables 2 and 3 outline individual data elements that</w:t>
      </w:r>
      <w:r w:rsidRPr="00283806">
        <w:rPr>
          <w:spacing w:val="80"/>
          <w:w w:val="105"/>
        </w:rPr>
        <w:t xml:space="preserve"> </w:t>
      </w:r>
      <w:r w:rsidRPr="00283806">
        <w:rPr>
          <w:w w:val="105"/>
        </w:rPr>
        <w:t xml:space="preserve">will not be handled as confidential, emission data, or otherwise not entitled to confidential treatment. Additional information on these determinations is provided in the memorandum titled </w:t>
      </w:r>
      <w:r w:rsidRPr="00283806">
        <w:rPr>
          <w:rFonts w:ascii="Book Antiqua"/>
          <w:i/>
          <w:w w:val="105"/>
        </w:rPr>
        <w:t xml:space="preserve">Confidentiality Determinations and Emission Data Designations for Data Elements in the Final Rule, </w:t>
      </w:r>
      <w:r w:rsidRPr="00283806">
        <w:rPr>
          <w:w w:val="105"/>
        </w:rPr>
        <w:t>which is available in the docket for this action.</w:t>
      </w:r>
    </w:p>
    <w:p w14:paraId="7CEE3DAB" w14:textId="77777777" w:rsidR="00D67C1E" w:rsidRPr="00283806" w:rsidRDefault="001265CA">
      <w:pPr>
        <w:pStyle w:val="BodyText"/>
        <w:spacing w:before="16" w:line="232" w:lineRule="auto"/>
        <w:ind w:left="153" w:right="122"/>
      </w:pPr>
      <w:r w:rsidRPr="00283806">
        <w:rPr>
          <w:w w:val="110"/>
        </w:rPr>
        <w:t xml:space="preserve">There may be additional reasons not to release individual data elements determined to not be entitled to confidential treatment, for example if it is personally identifiable information (PII). The Agency </w:t>
      </w:r>
      <w:proofErr w:type="gramStart"/>
      <w:r w:rsidRPr="00283806">
        <w:rPr>
          <w:w w:val="110"/>
        </w:rPr>
        <w:t>will separately</w:t>
      </w:r>
      <w:proofErr w:type="gramEnd"/>
      <w:r w:rsidRPr="00283806">
        <w:rPr>
          <w:w w:val="110"/>
        </w:rPr>
        <w:t xml:space="preserve"> determine whether any data should be withheld</w:t>
      </w:r>
      <w:r w:rsidRPr="00283806">
        <w:rPr>
          <w:spacing w:val="-8"/>
          <w:w w:val="110"/>
        </w:rPr>
        <w:t xml:space="preserve"> </w:t>
      </w:r>
      <w:r w:rsidRPr="00283806">
        <w:rPr>
          <w:w w:val="110"/>
        </w:rPr>
        <w:t>from</w:t>
      </w:r>
      <w:r w:rsidRPr="00283806">
        <w:rPr>
          <w:spacing w:val="-8"/>
          <w:w w:val="110"/>
        </w:rPr>
        <w:t xml:space="preserve"> </w:t>
      </w:r>
      <w:r w:rsidRPr="00283806">
        <w:rPr>
          <w:w w:val="110"/>
        </w:rPr>
        <w:t>release</w:t>
      </w:r>
      <w:r w:rsidRPr="00283806">
        <w:rPr>
          <w:spacing w:val="-8"/>
          <w:w w:val="110"/>
        </w:rPr>
        <w:t xml:space="preserve"> </w:t>
      </w:r>
      <w:r w:rsidRPr="00283806">
        <w:rPr>
          <w:w w:val="110"/>
        </w:rPr>
        <w:t>for</w:t>
      </w:r>
      <w:r w:rsidRPr="00283806">
        <w:rPr>
          <w:spacing w:val="-8"/>
          <w:w w:val="110"/>
        </w:rPr>
        <w:t xml:space="preserve"> </w:t>
      </w:r>
      <w:r w:rsidRPr="00283806">
        <w:rPr>
          <w:w w:val="110"/>
        </w:rPr>
        <w:t>reasons</w:t>
      </w:r>
      <w:r w:rsidRPr="00283806">
        <w:rPr>
          <w:spacing w:val="-8"/>
          <w:w w:val="110"/>
        </w:rPr>
        <w:t xml:space="preserve"> </w:t>
      </w:r>
      <w:r w:rsidRPr="00283806">
        <w:rPr>
          <w:w w:val="110"/>
        </w:rPr>
        <w:t xml:space="preserve">other </w:t>
      </w:r>
      <w:r w:rsidRPr="00283806">
        <w:t>than business confidentiality before data</w:t>
      </w:r>
      <w:r w:rsidRPr="00283806">
        <w:rPr>
          <w:spacing w:val="40"/>
          <w:w w:val="110"/>
        </w:rPr>
        <w:t xml:space="preserve"> </w:t>
      </w:r>
      <w:proofErr w:type="gramStart"/>
      <w:r w:rsidRPr="00283806">
        <w:rPr>
          <w:w w:val="110"/>
        </w:rPr>
        <w:t>are</w:t>
      </w:r>
      <w:proofErr w:type="gramEnd"/>
      <w:r w:rsidRPr="00283806">
        <w:rPr>
          <w:w w:val="110"/>
        </w:rPr>
        <w:t xml:space="preserve"> released.</w:t>
      </w:r>
    </w:p>
    <w:p w14:paraId="5AC0C341" w14:textId="77777777" w:rsidR="00D67C1E" w:rsidRPr="00283806" w:rsidRDefault="00D67C1E">
      <w:pPr>
        <w:spacing w:line="232" w:lineRule="auto"/>
        <w:sectPr w:rsidR="00D67C1E" w:rsidRPr="00283806">
          <w:pgSz w:w="12240" w:h="15840"/>
          <w:pgMar w:top="1040" w:right="780" w:bottom="280" w:left="740" w:header="627" w:footer="0" w:gutter="0"/>
          <w:cols w:num="3" w:space="720" w:equalWidth="0">
            <w:col w:w="3516" w:space="40"/>
            <w:col w:w="3491" w:space="39"/>
            <w:col w:w="3634"/>
          </w:cols>
        </w:sectPr>
      </w:pPr>
    </w:p>
    <w:p w14:paraId="300F7173" w14:textId="77777777" w:rsidR="00D67C1E" w:rsidRPr="00283806" w:rsidRDefault="001265CA">
      <w:pPr>
        <w:pStyle w:val="Heading1"/>
        <w:spacing w:before="135" w:line="230" w:lineRule="auto"/>
        <w:ind w:left="78" w:right="38"/>
        <w:jc w:val="center"/>
      </w:pPr>
      <w:r w:rsidRPr="00283806">
        <w:rPr>
          <w:smallCaps/>
        </w:rPr>
        <w:t>Table 2—Determination of Confidentiality Status for Data Elements Related to Reports on Chronically</w:t>
      </w:r>
      <w:r w:rsidRPr="00283806">
        <w:rPr>
          <w:smallCaps/>
          <w:spacing w:val="80"/>
        </w:rPr>
        <w:t xml:space="preserve"> </w:t>
      </w:r>
      <w:r w:rsidRPr="00283806">
        <w:rPr>
          <w:smallCaps/>
        </w:rPr>
        <w:t>Leaking Appliances</w:t>
      </w:r>
    </w:p>
    <w:p w14:paraId="5B8024A3" w14:textId="77777777" w:rsidR="00D67C1E" w:rsidRPr="00283806" w:rsidRDefault="00D67C1E">
      <w:pPr>
        <w:pStyle w:val="BodyText"/>
        <w:spacing w:before="11"/>
        <w:ind w:left="0"/>
        <w:rPr>
          <w:rFonts w:ascii="Arial"/>
          <w:sz w:val="9"/>
        </w:rPr>
      </w:pPr>
    </w:p>
    <w:tbl>
      <w:tblPr>
        <w:tblW w:w="0" w:type="auto"/>
        <w:tblInd w:w="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27"/>
        <w:gridCol w:w="5214"/>
      </w:tblGrid>
      <w:tr w:rsidR="00D67C1E" w:rsidRPr="00283806" w14:paraId="03FFCE2A" w14:textId="77777777">
        <w:trPr>
          <w:trHeight w:val="317"/>
        </w:trPr>
        <w:tc>
          <w:tcPr>
            <w:tcW w:w="5227" w:type="dxa"/>
            <w:tcBorders>
              <w:left w:val="nil"/>
            </w:tcBorders>
          </w:tcPr>
          <w:p w14:paraId="5E0A7594" w14:textId="77777777" w:rsidR="00D67C1E" w:rsidRPr="00283806" w:rsidRDefault="001265CA">
            <w:pPr>
              <w:pStyle w:val="TableParagraph"/>
              <w:spacing w:before="57" w:line="240" w:lineRule="auto"/>
              <w:ind w:left="1585"/>
              <w:jc w:val="left"/>
              <w:rPr>
                <w:sz w:val="16"/>
              </w:rPr>
            </w:pPr>
            <w:r w:rsidRPr="00283806">
              <w:rPr>
                <w:sz w:val="16"/>
              </w:rPr>
              <w:t>Description</w:t>
            </w:r>
            <w:r w:rsidRPr="00283806">
              <w:rPr>
                <w:spacing w:val="4"/>
                <w:sz w:val="16"/>
              </w:rPr>
              <w:t xml:space="preserve"> </w:t>
            </w:r>
            <w:r w:rsidRPr="00283806">
              <w:rPr>
                <w:sz w:val="16"/>
              </w:rPr>
              <w:t>of</w:t>
            </w:r>
            <w:r w:rsidRPr="00283806">
              <w:rPr>
                <w:spacing w:val="4"/>
                <w:sz w:val="16"/>
              </w:rPr>
              <w:t xml:space="preserve"> </w:t>
            </w:r>
            <w:r w:rsidRPr="00283806">
              <w:rPr>
                <w:sz w:val="16"/>
              </w:rPr>
              <w:t>data</w:t>
            </w:r>
            <w:r w:rsidRPr="00283806">
              <w:rPr>
                <w:spacing w:val="4"/>
                <w:sz w:val="16"/>
              </w:rPr>
              <w:t xml:space="preserve"> </w:t>
            </w:r>
            <w:r w:rsidRPr="00283806">
              <w:rPr>
                <w:spacing w:val="-2"/>
                <w:sz w:val="16"/>
              </w:rPr>
              <w:t>element</w:t>
            </w:r>
          </w:p>
        </w:tc>
        <w:tc>
          <w:tcPr>
            <w:tcW w:w="5214" w:type="dxa"/>
            <w:tcBorders>
              <w:right w:val="nil"/>
            </w:tcBorders>
          </w:tcPr>
          <w:p w14:paraId="524D8BFA" w14:textId="77777777" w:rsidR="00D67C1E" w:rsidRPr="00283806" w:rsidRDefault="001265CA">
            <w:pPr>
              <w:pStyle w:val="TableParagraph"/>
              <w:spacing w:before="57" w:line="240" w:lineRule="auto"/>
              <w:ind w:left="1359"/>
              <w:jc w:val="left"/>
              <w:rPr>
                <w:sz w:val="10"/>
              </w:rPr>
            </w:pPr>
            <w:r w:rsidRPr="00283806">
              <w:rPr>
                <w:sz w:val="16"/>
              </w:rPr>
              <w:t>Confidentiality</w:t>
            </w:r>
            <w:r w:rsidRPr="00283806">
              <w:rPr>
                <w:spacing w:val="-1"/>
                <w:sz w:val="16"/>
              </w:rPr>
              <w:t xml:space="preserve"> </w:t>
            </w:r>
            <w:r w:rsidRPr="00283806">
              <w:rPr>
                <w:sz w:val="16"/>
              </w:rPr>
              <w:t>status</w:t>
            </w:r>
            <w:r w:rsidRPr="00283806">
              <w:rPr>
                <w:spacing w:val="3"/>
                <w:sz w:val="16"/>
              </w:rPr>
              <w:t xml:space="preserve"> </w:t>
            </w:r>
            <w:r w:rsidRPr="00283806">
              <w:rPr>
                <w:sz w:val="16"/>
              </w:rPr>
              <w:t>and</w:t>
            </w:r>
            <w:r w:rsidRPr="00283806">
              <w:rPr>
                <w:spacing w:val="3"/>
                <w:sz w:val="16"/>
              </w:rPr>
              <w:t xml:space="preserve"> </w:t>
            </w:r>
            <w:r w:rsidRPr="00283806">
              <w:rPr>
                <w:sz w:val="16"/>
              </w:rPr>
              <w:t>rationale</w:t>
            </w:r>
            <w:r w:rsidRPr="00283806">
              <w:rPr>
                <w:spacing w:val="-19"/>
                <w:sz w:val="16"/>
              </w:rPr>
              <w:t xml:space="preserve"> </w:t>
            </w:r>
            <w:r w:rsidRPr="00283806">
              <w:rPr>
                <w:spacing w:val="-10"/>
                <w:position w:val="4"/>
                <w:sz w:val="10"/>
              </w:rPr>
              <w:t>a</w:t>
            </w:r>
          </w:p>
        </w:tc>
      </w:tr>
      <w:tr w:rsidR="00D67C1E" w:rsidRPr="00283806" w14:paraId="70732DB4" w14:textId="77777777">
        <w:trPr>
          <w:trHeight w:val="2782"/>
        </w:trPr>
        <w:tc>
          <w:tcPr>
            <w:tcW w:w="5227" w:type="dxa"/>
            <w:tcBorders>
              <w:left w:val="nil"/>
            </w:tcBorders>
          </w:tcPr>
          <w:p w14:paraId="0794DAA8" w14:textId="77777777" w:rsidR="00D67C1E" w:rsidRPr="00283806" w:rsidRDefault="001265CA">
            <w:pPr>
              <w:pStyle w:val="TableParagraph"/>
              <w:spacing w:before="76" w:line="235" w:lineRule="auto"/>
              <w:ind w:left="165" w:hanging="160"/>
              <w:jc w:val="left"/>
              <w:rPr>
                <w:sz w:val="16"/>
              </w:rPr>
            </w:pPr>
            <w:r w:rsidRPr="00283806">
              <w:rPr>
                <w:sz w:val="16"/>
              </w:rPr>
              <w:t>Identification information (owner or operator, facility name, facility ad- dress where appliance is located).</w:t>
            </w:r>
          </w:p>
          <w:p w14:paraId="749517C0" w14:textId="77777777" w:rsidR="00D67C1E" w:rsidRPr="00283806" w:rsidRDefault="001265CA">
            <w:pPr>
              <w:pStyle w:val="TableParagraph"/>
              <w:spacing w:line="172" w:lineRule="exact"/>
              <w:ind w:left="5"/>
              <w:jc w:val="left"/>
              <w:rPr>
                <w:sz w:val="16"/>
              </w:rPr>
            </w:pPr>
            <w:r w:rsidRPr="00283806">
              <w:rPr>
                <w:sz w:val="16"/>
              </w:rPr>
              <w:t>Appliance</w:t>
            </w:r>
            <w:r w:rsidRPr="00283806">
              <w:rPr>
                <w:spacing w:val="3"/>
                <w:sz w:val="16"/>
              </w:rPr>
              <w:t xml:space="preserve"> </w:t>
            </w:r>
            <w:r w:rsidRPr="00283806">
              <w:rPr>
                <w:sz w:val="16"/>
              </w:rPr>
              <w:t>ID</w:t>
            </w:r>
            <w:r w:rsidRPr="00283806">
              <w:rPr>
                <w:spacing w:val="4"/>
                <w:sz w:val="16"/>
              </w:rPr>
              <w:t xml:space="preserve"> </w:t>
            </w:r>
            <w:r w:rsidRPr="00283806">
              <w:rPr>
                <w:sz w:val="16"/>
              </w:rPr>
              <w:t>or</w:t>
            </w:r>
            <w:r w:rsidRPr="00283806">
              <w:rPr>
                <w:spacing w:val="4"/>
                <w:sz w:val="16"/>
              </w:rPr>
              <w:t xml:space="preserve"> </w:t>
            </w:r>
            <w:r w:rsidRPr="00283806">
              <w:rPr>
                <w:sz w:val="16"/>
              </w:rPr>
              <w:t>description</w:t>
            </w:r>
            <w:r w:rsidRPr="00283806">
              <w:rPr>
                <w:spacing w:val="4"/>
                <w:sz w:val="16"/>
              </w:rPr>
              <w:t xml:space="preserve"> </w:t>
            </w:r>
            <w:r w:rsidRPr="00283806">
              <w:rPr>
                <w:sz w:val="16"/>
              </w:rPr>
              <w:t>(for</w:t>
            </w:r>
            <w:r w:rsidRPr="00283806">
              <w:rPr>
                <w:spacing w:val="4"/>
                <w:sz w:val="16"/>
              </w:rPr>
              <w:t xml:space="preserve"> </w:t>
            </w:r>
            <w:r w:rsidRPr="00283806">
              <w:rPr>
                <w:sz w:val="16"/>
              </w:rPr>
              <w:t>facilities</w:t>
            </w:r>
            <w:r w:rsidRPr="00283806">
              <w:rPr>
                <w:spacing w:val="4"/>
                <w:sz w:val="16"/>
              </w:rPr>
              <w:t xml:space="preserve"> </w:t>
            </w:r>
            <w:r w:rsidRPr="00283806">
              <w:rPr>
                <w:sz w:val="16"/>
              </w:rPr>
              <w:t>with</w:t>
            </w:r>
            <w:r w:rsidRPr="00283806">
              <w:rPr>
                <w:spacing w:val="4"/>
                <w:sz w:val="16"/>
              </w:rPr>
              <w:t xml:space="preserve"> </w:t>
            </w:r>
            <w:r w:rsidRPr="00283806">
              <w:rPr>
                <w:sz w:val="16"/>
              </w:rPr>
              <w:t>multiple</w:t>
            </w:r>
            <w:r w:rsidRPr="00283806">
              <w:rPr>
                <w:spacing w:val="4"/>
                <w:sz w:val="16"/>
              </w:rPr>
              <w:t xml:space="preserve"> </w:t>
            </w:r>
            <w:r w:rsidRPr="00283806">
              <w:rPr>
                <w:sz w:val="16"/>
              </w:rPr>
              <w:t>appliances)</w:t>
            </w:r>
            <w:r w:rsidRPr="00283806">
              <w:rPr>
                <w:spacing w:val="19"/>
                <w:sz w:val="16"/>
              </w:rPr>
              <w:t xml:space="preserve"> </w:t>
            </w:r>
            <w:r w:rsidRPr="00283806">
              <w:rPr>
                <w:spacing w:val="-2"/>
                <w:sz w:val="16"/>
              </w:rPr>
              <w:t>.........</w:t>
            </w:r>
          </w:p>
          <w:p w14:paraId="16BD0DD9" w14:textId="77777777" w:rsidR="00D67C1E" w:rsidRPr="00283806" w:rsidRDefault="001265CA">
            <w:pPr>
              <w:pStyle w:val="TableParagraph"/>
              <w:spacing w:line="235" w:lineRule="auto"/>
              <w:ind w:left="165" w:hanging="160"/>
              <w:jc w:val="left"/>
              <w:rPr>
                <w:sz w:val="16"/>
              </w:rPr>
            </w:pPr>
            <w:r w:rsidRPr="00283806">
              <w:rPr>
                <w:sz w:val="16"/>
              </w:rPr>
              <w:t>Refrigerant-containing appliance type (comfort cooling or other, IPR, or commercial refrigeration).</w:t>
            </w:r>
          </w:p>
          <w:p w14:paraId="6DC9034A" w14:textId="77777777" w:rsidR="00D67C1E" w:rsidRPr="00283806" w:rsidRDefault="001265CA">
            <w:pPr>
              <w:pStyle w:val="TableParagraph"/>
              <w:spacing w:line="172" w:lineRule="exact"/>
              <w:ind w:left="5"/>
              <w:jc w:val="left"/>
              <w:rPr>
                <w:sz w:val="16"/>
              </w:rPr>
            </w:pPr>
            <w:r w:rsidRPr="00283806">
              <w:rPr>
                <w:sz w:val="16"/>
              </w:rPr>
              <w:t>Refrigerant</w:t>
            </w:r>
            <w:r w:rsidRPr="00283806">
              <w:rPr>
                <w:spacing w:val="5"/>
                <w:sz w:val="16"/>
              </w:rPr>
              <w:t xml:space="preserve"> </w:t>
            </w:r>
            <w:r w:rsidRPr="00283806">
              <w:rPr>
                <w:sz w:val="16"/>
              </w:rPr>
              <w:t>type</w:t>
            </w:r>
            <w:r w:rsidRPr="00283806">
              <w:rPr>
                <w:spacing w:val="28"/>
                <w:sz w:val="16"/>
              </w:rPr>
              <w:t xml:space="preserve"> </w:t>
            </w:r>
            <w:r w:rsidRPr="00283806">
              <w:rPr>
                <w:spacing w:val="-2"/>
                <w:sz w:val="16"/>
              </w:rPr>
              <w:t>........................................................................................</w:t>
            </w:r>
          </w:p>
          <w:p w14:paraId="53901655" w14:textId="77777777" w:rsidR="00D67C1E" w:rsidRPr="00283806" w:rsidRDefault="001265CA">
            <w:pPr>
              <w:pStyle w:val="TableParagraph"/>
              <w:spacing w:line="176" w:lineRule="exact"/>
              <w:ind w:left="5"/>
              <w:jc w:val="left"/>
              <w:rPr>
                <w:sz w:val="16"/>
              </w:rPr>
            </w:pPr>
            <w:r w:rsidRPr="00283806">
              <w:rPr>
                <w:sz w:val="16"/>
              </w:rPr>
              <w:t>Full</w:t>
            </w:r>
            <w:r w:rsidRPr="00283806">
              <w:rPr>
                <w:spacing w:val="3"/>
                <w:sz w:val="16"/>
              </w:rPr>
              <w:t xml:space="preserve"> </w:t>
            </w:r>
            <w:r w:rsidRPr="00283806">
              <w:rPr>
                <w:sz w:val="16"/>
              </w:rPr>
              <w:t>charge</w:t>
            </w:r>
            <w:r w:rsidRPr="00283806">
              <w:rPr>
                <w:spacing w:val="4"/>
                <w:sz w:val="16"/>
              </w:rPr>
              <w:t xml:space="preserve"> </w:t>
            </w:r>
            <w:r w:rsidRPr="00283806">
              <w:rPr>
                <w:sz w:val="16"/>
              </w:rPr>
              <w:t>of</w:t>
            </w:r>
            <w:r w:rsidRPr="00283806">
              <w:rPr>
                <w:spacing w:val="4"/>
                <w:sz w:val="16"/>
              </w:rPr>
              <w:t xml:space="preserve"> </w:t>
            </w:r>
            <w:r w:rsidRPr="00283806">
              <w:rPr>
                <w:sz w:val="16"/>
              </w:rPr>
              <w:t>appliance</w:t>
            </w:r>
            <w:r w:rsidRPr="00283806">
              <w:rPr>
                <w:spacing w:val="4"/>
                <w:sz w:val="16"/>
              </w:rPr>
              <w:t xml:space="preserve"> </w:t>
            </w:r>
            <w:r w:rsidRPr="00283806">
              <w:rPr>
                <w:sz w:val="16"/>
              </w:rPr>
              <w:t>(pounds)</w:t>
            </w:r>
            <w:r w:rsidRPr="00283806">
              <w:rPr>
                <w:spacing w:val="10"/>
                <w:sz w:val="16"/>
              </w:rPr>
              <w:t xml:space="preserve"> </w:t>
            </w:r>
            <w:r w:rsidRPr="00283806">
              <w:rPr>
                <w:spacing w:val="-2"/>
                <w:sz w:val="16"/>
              </w:rPr>
              <w:t>............................................................</w:t>
            </w:r>
          </w:p>
          <w:p w14:paraId="59B59CCF" w14:textId="77777777" w:rsidR="00D67C1E" w:rsidRPr="00283806" w:rsidRDefault="001265CA">
            <w:pPr>
              <w:pStyle w:val="TableParagraph"/>
              <w:spacing w:line="176" w:lineRule="exact"/>
              <w:ind w:left="5"/>
              <w:jc w:val="left"/>
              <w:rPr>
                <w:sz w:val="16"/>
              </w:rPr>
            </w:pPr>
            <w:r w:rsidRPr="00283806">
              <w:rPr>
                <w:sz w:val="16"/>
              </w:rPr>
              <w:t>Annual</w:t>
            </w:r>
            <w:r w:rsidRPr="00283806">
              <w:rPr>
                <w:spacing w:val="3"/>
                <w:sz w:val="16"/>
              </w:rPr>
              <w:t xml:space="preserve"> </w:t>
            </w:r>
            <w:r w:rsidRPr="00283806">
              <w:rPr>
                <w:sz w:val="16"/>
              </w:rPr>
              <w:t>percent</w:t>
            </w:r>
            <w:r w:rsidRPr="00283806">
              <w:rPr>
                <w:spacing w:val="4"/>
                <w:sz w:val="16"/>
              </w:rPr>
              <w:t xml:space="preserve"> </w:t>
            </w:r>
            <w:r w:rsidRPr="00283806">
              <w:rPr>
                <w:sz w:val="16"/>
              </w:rPr>
              <w:t>refrigerant</w:t>
            </w:r>
            <w:r w:rsidRPr="00283806">
              <w:rPr>
                <w:spacing w:val="3"/>
                <w:sz w:val="16"/>
              </w:rPr>
              <w:t xml:space="preserve"> </w:t>
            </w:r>
            <w:r w:rsidRPr="00283806">
              <w:rPr>
                <w:sz w:val="16"/>
              </w:rPr>
              <w:t>loss</w:t>
            </w:r>
            <w:r w:rsidRPr="00283806">
              <w:rPr>
                <w:spacing w:val="34"/>
                <w:sz w:val="16"/>
              </w:rPr>
              <w:t xml:space="preserve"> </w:t>
            </w:r>
            <w:r w:rsidRPr="00283806">
              <w:rPr>
                <w:spacing w:val="-2"/>
                <w:sz w:val="16"/>
              </w:rPr>
              <w:t>................................................................</w:t>
            </w:r>
          </w:p>
          <w:p w14:paraId="274D9A8D" w14:textId="77777777" w:rsidR="00D67C1E" w:rsidRPr="00283806" w:rsidRDefault="001265CA">
            <w:pPr>
              <w:pStyle w:val="TableParagraph"/>
              <w:spacing w:line="176" w:lineRule="exact"/>
              <w:ind w:left="5"/>
              <w:jc w:val="left"/>
              <w:rPr>
                <w:sz w:val="16"/>
              </w:rPr>
            </w:pPr>
            <w:r w:rsidRPr="00283806">
              <w:rPr>
                <w:sz w:val="16"/>
              </w:rPr>
              <w:t>Dates</w:t>
            </w:r>
            <w:r w:rsidRPr="00283806">
              <w:rPr>
                <w:spacing w:val="4"/>
                <w:sz w:val="16"/>
              </w:rPr>
              <w:t xml:space="preserve"> </w:t>
            </w:r>
            <w:r w:rsidRPr="00283806">
              <w:rPr>
                <w:sz w:val="16"/>
              </w:rPr>
              <w:t>of</w:t>
            </w:r>
            <w:r w:rsidRPr="00283806">
              <w:rPr>
                <w:spacing w:val="4"/>
                <w:sz w:val="16"/>
              </w:rPr>
              <w:t xml:space="preserve"> </w:t>
            </w:r>
            <w:r w:rsidRPr="00283806">
              <w:rPr>
                <w:sz w:val="16"/>
              </w:rPr>
              <w:t>refrigerant</w:t>
            </w:r>
            <w:r w:rsidRPr="00283806">
              <w:rPr>
                <w:spacing w:val="4"/>
                <w:sz w:val="16"/>
              </w:rPr>
              <w:t xml:space="preserve"> </w:t>
            </w:r>
            <w:r w:rsidRPr="00283806">
              <w:rPr>
                <w:sz w:val="16"/>
              </w:rPr>
              <w:t>addition</w:t>
            </w:r>
            <w:r w:rsidRPr="00283806">
              <w:rPr>
                <w:spacing w:val="17"/>
                <w:sz w:val="16"/>
              </w:rPr>
              <w:t xml:space="preserve"> </w:t>
            </w:r>
            <w:r w:rsidRPr="00283806">
              <w:rPr>
                <w:spacing w:val="-2"/>
                <w:sz w:val="16"/>
              </w:rPr>
              <w:t>.....................................................................</w:t>
            </w:r>
          </w:p>
          <w:p w14:paraId="672ED588" w14:textId="77777777" w:rsidR="00D67C1E" w:rsidRPr="00283806" w:rsidRDefault="001265CA">
            <w:pPr>
              <w:pStyle w:val="TableParagraph"/>
              <w:spacing w:line="176" w:lineRule="exact"/>
              <w:ind w:left="5"/>
              <w:jc w:val="left"/>
              <w:rPr>
                <w:sz w:val="16"/>
              </w:rPr>
            </w:pPr>
            <w:r w:rsidRPr="00283806">
              <w:rPr>
                <w:sz w:val="16"/>
              </w:rPr>
              <w:t>Amounts</w:t>
            </w:r>
            <w:r w:rsidRPr="00283806">
              <w:rPr>
                <w:spacing w:val="2"/>
                <w:sz w:val="16"/>
              </w:rPr>
              <w:t xml:space="preserve"> </w:t>
            </w:r>
            <w:r w:rsidRPr="00283806">
              <w:rPr>
                <w:sz w:val="16"/>
              </w:rPr>
              <w:t>of</w:t>
            </w:r>
            <w:r w:rsidRPr="00283806">
              <w:rPr>
                <w:spacing w:val="3"/>
                <w:sz w:val="16"/>
              </w:rPr>
              <w:t xml:space="preserve"> </w:t>
            </w:r>
            <w:r w:rsidRPr="00283806">
              <w:rPr>
                <w:sz w:val="16"/>
              </w:rPr>
              <w:t>refrigerant</w:t>
            </w:r>
            <w:r w:rsidRPr="00283806">
              <w:rPr>
                <w:spacing w:val="3"/>
                <w:sz w:val="16"/>
              </w:rPr>
              <w:t xml:space="preserve"> </w:t>
            </w:r>
            <w:r w:rsidRPr="00283806">
              <w:rPr>
                <w:sz w:val="16"/>
              </w:rPr>
              <w:t>added</w:t>
            </w:r>
            <w:r w:rsidRPr="00283806">
              <w:rPr>
                <w:spacing w:val="9"/>
                <w:sz w:val="16"/>
              </w:rPr>
              <w:t xml:space="preserve"> </w:t>
            </w:r>
            <w:r w:rsidRPr="00283806">
              <w:rPr>
                <w:spacing w:val="-2"/>
                <w:sz w:val="16"/>
              </w:rPr>
              <w:t>...................................................................</w:t>
            </w:r>
          </w:p>
          <w:p w14:paraId="0AC2B919" w14:textId="77777777" w:rsidR="00D67C1E" w:rsidRPr="00283806" w:rsidRDefault="001265CA">
            <w:pPr>
              <w:pStyle w:val="TableParagraph"/>
              <w:spacing w:line="176" w:lineRule="exact"/>
              <w:ind w:left="5"/>
              <w:jc w:val="left"/>
              <w:rPr>
                <w:sz w:val="16"/>
              </w:rPr>
            </w:pPr>
            <w:r w:rsidRPr="00283806">
              <w:rPr>
                <w:sz w:val="16"/>
              </w:rPr>
              <w:t>Date</w:t>
            </w:r>
            <w:r w:rsidRPr="00283806">
              <w:rPr>
                <w:spacing w:val="5"/>
                <w:sz w:val="16"/>
              </w:rPr>
              <w:t xml:space="preserve"> </w:t>
            </w:r>
            <w:r w:rsidRPr="00283806">
              <w:rPr>
                <w:sz w:val="16"/>
              </w:rPr>
              <w:t>of</w:t>
            </w:r>
            <w:r w:rsidRPr="00283806">
              <w:rPr>
                <w:spacing w:val="6"/>
                <w:sz w:val="16"/>
              </w:rPr>
              <w:t xml:space="preserve"> </w:t>
            </w:r>
            <w:r w:rsidRPr="00283806">
              <w:rPr>
                <w:sz w:val="16"/>
              </w:rPr>
              <w:t>last</w:t>
            </w:r>
            <w:r w:rsidRPr="00283806">
              <w:rPr>
                <w:spacing w:val="6"/>
                <w:sz w:val="16"/>
              </w:rPr>
              <w:t xml:space="preserve"> </w:t>
            </w:r>
            <w:r w:rsidRPr="00283806">
              <w:rPr>
                <w:sz w:val="16"/>
              </w:rPr>
              <w:t>successful</w:t>
            </w:r>
            <w:r w:rsidRPr="00283806">
              <w:rPr>
                <w:spacing w:val="5"/>
                <w:sz w:val="16"/>
              </w:rPr>
              <w:t xml:space="preserve"> </w:t>
            </w:r>
            <w:r w:rsidRPr="00283806">
              <w:rPr>
                <w:sz w:val="16"/>
              </w:rPr>
              <w:t>follow-up</w:t>
            </w:r>
            <w:r w:rsidRPr="00283806">
              <w:rPr>
                <w:spacing w:val="6"/>
                <w:sz w:val="16"/>
              </w:rPr>
              <w:t xml:space="preserve"> </w:t>
            </w:r>
            <w:r w:rsidRPr="00283806">
              <w:rPr>
                <w:sz w:val="16"/>
              </w:rPr>
              <w:t>verification</w:t>
            </w:r>
            <w:r w:rsidRPr="00283806">
              <w:rPr>
                <w:spacing w:val="6"/>
                <w:sz w:val="16"/>
              </w:rPr>
              <w:t xml:space="preserve"> </w:t>
            </w:r>
            <w:r w:rsidRPr="00283806">
              <w:rPr>
                <w:sz w:val="16"/>
              </w:rPr>
              <w:t>test</w:t>
            </w:r>
            <w:r w:rsidRPr="00283806">
              <w:rPr>
                <w:spacing w:val="37"/>
                <w:sz w:val="16"/>
              </w:rPr>
              <w:t xml:space="preserve"> </w:t>
            </w:r>
            <w:r w:rsidRPr="00283806">
              <w:rPr>
                <w:spacing w:val="-2"/>
                <w:sz w:val="16"/>
              </w:rPr>
              <w:t>....................................</w:t>
            </w:r>
          </w:p>
          <w:p w14:paraId="6B439CC4" w14:textId="77777777" w:rsidR="00D67C1E" w:rsidRPr="00283806" w:rsidRDefault="001265CA">
            <w:pPr>
              <w:pStyle w:val="TableParagraph"/>
              <w:spacing w:line="176" w:lineRule="exact"/>
              <w:ind w:left="5"/>
              <w:jc w:val="left"/>
              <w:rPr>
                <w:sz w:val="16"/>
              </w:rPr>
            </w:pPr>
            <w:r w:rsidRPr="00283806">
              <w:rPr>
                <w:sz w:val="16"/>
              </w:rPr>
              <w:t>Explanation</w:t>
            </w:r>
            <w:r w:rsidRPr="00283806">
              <w:rPr>
                <w:spacing w:val="3"/>
                <w:sz w:val="16"/>
              </w:rPr>
              <w:t xml:space="preserve"> </w:t>
            </w:r>
            <w:r w:rsidRPr="00283806">
              <w:rPr>
                <w:sz w:val="16"/>
              </w:rPr>
              <w:t>of</w:t>
            </w:r>
            <w:r w:rsidRPr="00283806">
              <w:rPr>
                <w:spacing w:val="4"/>
                <w:sz w:val="16"/>
              </w:rPr>
              <w:t xml:space="preserve"> </w:t>
            </w:r>
            <w:r w:rsidRPr="00283806">
              <w:rPr>
                <w:sz w:val="16"/>
              </w:rPr>
              <w:t>cause</w:t>
            </w:r>
            <w:r w:rsidRPr="00283806">
              <w:rPr>
                <w:spacing w:val="3"/>
                <w:sz w:val="16"/>
              </w:rPr>
              <w:t xml:space="preserve"> </w:t>
            </w:r>
            <w:r w:rsidRPr="00283806">
              <w:rPr>
                <w:sz w:val="16"/>
              </w:rPr>
              <w:t>of</w:t>
            </w:r>
            <w:r w:rsidRPr="00283806">
              <w:rPr>
                <w:spacing w:val="4"/>
                <w:sz w:val="16"/>
              </w:rPr>
              <w:t xml:space="preserve"> </w:t>
            </w:r>
            <w:r w:rsidRPr="00283806">
              <w:rPr>
                <w:sz w:val="16"/>
              </w:rPr>
              <w:t>refrigerant</w:t>
            </w:r>
            <w:r w:rsidRPr="00283806">
              <w:rPr>
                <w:spacing w:val="3"/>
                <w:sz w:val="16"/>
              </w:rPr>
              <w:t xml:space="preserve"> </w:t>
            </w:r>
            <w:r w:rsidRPr="00283806">
              <w:rPr>
                <w:sz w:val="16"/>
              </w:rPr>
              <w:t>losses</w:t>
            </w:r>
            <w:r w:rsidRPr="00283806">
              <w:rPr>
                <w:spacing w:val="4"/>
                <w:sz w:val="16"/>
              </w:rPr>
              <w:t xml:space="preserve"> </w:t>
            </w:r>
            <w:r w:rsidRPr="00283806">
              <w:rPr>
                <w:sz w:val="16"/>
              </w:rPr>
              <w:t>(Narrative)</w:t>
            </w:r>
            <w:r w:rsidRPr="00283806">
              <w:rPr>
                <w:spacing w:val="9"/>
                <w:sz w:val="16"/>
              </w:rPr>
              <w:t xml:space="preserve"> </w:t>
            </w:r>
            <w:r w:rsidRPr="00283806">
              <w:rPr>
                <w:spacing w:val="-2"/>
                <w:sz w:val="16"/>
              </w:rPr>
              <w:t>.............................</w:t>
            </w:r>
          </w:p>
          <w:p w14:paraId="1BE1FD3F" w14:textId="77777777" w:rsidR="00D67C1E" w:rsidRPr="00283806" w:rsidRDefault="001265CA">
            <w:pPr>
              <w:pStyle w:val="TableParagraph"/>
              <w:spacing w:before="1" w:line="230" w:lineRule="auto"/>
              <w:ind w:left="5"/>
              <w:jc w:val="left"/>
              <w:rPr>
                <w:sz w:val="16"/>
              </w:rPr>
            </w:pPr>
            <w:r w:rsidRPr="00283806">
              <w:rPr>
                <w:sz w:val="16"/>
              </w:rPr>
              <w:t>Description of the repair actions taken (Narrative)</w:t>
            </w:r>
            <w:r w:rsidRPr="00283806">
              <w:rPr>
                <w:spacing w:val="35"/>
                <w:sz w:val="16"/>
              </w:rPr>
              <w:t xml:space="preserve"> </w:t>
            </w:r>
            <w:r w:rsidRPr="00283806">
              <w:rPr>
                <w:sz w:val="16"/>
              </w:rPr>
              <w:t xml:space="preserve">.................................. Whether a retrofit or retirement plan has been developed for the </w:t>
            </w:r>
            <w:proofErr w:type="spellStart"/>
            <w:r w:rsidRPr="00283806">
              <w:rPr>
                <w:sz w:val="16"/>
              </w:rPr>
              <w:t>appli</w:t>
            </w:r>
            <w:proofErr w:type="spellEnd"/>
            <w:r w:rsidRPr="00283806">
              <w:rPr>
                <w:sz w:val="16"/>
              </w:rPr>
              <w:t>-</w:t>
            </w:r>
          </w:p>
          <w:p w14:paraId="47BD1F0C" w14:textId="77777777" w:rsidR="00D67C1E" w:rsidRPr="00283806" w:rsidRDefault="001265CA">
            <w:pPr>
              <w:pStyle w:val="TableParagraph"/>
              <w:spacing w:line="181" w:lineRule="exact"/>
              <w:ind w:left="165"/>
              <w:jc w:val="left"/>
              <w:rPr>
                <w:sz w:val="16"/>
              </w:rPr>
            </w:pPr>
            <w:proofErr w:type="spellStart"/>
            <w:r w:rsidRPr="00283806">
              <w:rPr>
                <w:sz w:val="16"/>
              </w:rPr>
              <w:t>ance</w:t>
            </w:r>
            <w:proofErr w:type="spellEnd"/>
            <w:r w:rsidRPr="00283806">
              <w:rPr>
                <w:sz w:val="16"/>
              </w:rPr>
              <w:t>,</w:t>
            </w:r>
            <w:r w:rsidRPr="00283806">
              <w:rPr>
                <w:spacing w:val="6"/>
                <w:sz w:val="16"/>
              </w:rPr>
              <w:t xml:space="preserve"> </w:t>
            </w:r>
            <w:r w:rsidRPr="00283806">
              <w:rPr>
                <w:sz w:val="16"/>
              </w:rPr>
              <w:t>and,</w:t>
            </w:r>
            <w:r w:rsidRPr="00283806">
              <w:rPr>
                <w:spacing w:val="6"/>
                <w:sz w:val="16"/>
              </w:rPr>
              <w:t xml:space="preserve"> </w:t>
            </w:r>
            <w:r w:rsidRPr="00283806">
              <w:rPr>
                <w:sz w:val="16"/>
              </w:rPr>
              <w:t>if</w:t>
            </w:r>
            <w:r w:rsidRPr="00283806">
              <w:rPr>
                <w:spacing w:val="6"/>
                <w:sz w:val="16"/>
              </w:rPr>
              <w:t xml:space="preserve"> </w:t>
            </w:r>
            <w:r w:rsidRPr="00283806">
              <w:rPr>
                <w:sz w:val="16"/>
              </w:rPr>
              <w:t>so,</w:t>
            </w:r>
            <w:r w:rsidRPr="00283806">
              <w:rPr>
                <w:spacing w:val="6"/>
                <w:sz w:val="16"/>
              </w:rPr>
              <w:t xml:space="preserve"> </w:t>
            </w:r>
            <w:r w:rsidRPr="00283806">
              <w:rPr>
                <w:sz w:val="16"/>
              </w:rPr>
              <w:t>the</w:t>
            </w:r>
            <w:r w:rsidRPr="00283806">
              <w:rPr>
                <w:spacing w:val="6"/>
                <w:sz w:val="16"/>
              </w:rPr>
              <w:t xml:space="preserve"> </w:t>
            </w:r>
            <w:r w:rsidRPr="00283806">
              <w:rPr>
                <w:sz w:val="16"/>
              </w:rPr>
              <w:t>anticipated</w:t>
            </w:r>
            <w:r w:rsidRPr="00283806">
              <w:rPr>
                <w:spacing w:val="6"/>
                <w:sz w:val="16"/>
              </w:rPr>
              <w:t xml:space="preserve"> </w:t>
            </w:r>
            <w:r w:rsidRPr="00283806">
              <w:rPr>
                <w:sz w:val="16"/>
              </w:rPr>
              <w:t>date</w:t>
            </w:r>
            <w:r w:rsidRPr="00283806">
              <w:rPr>
                <w:spacing w:val="6"/>
                <w:sz w:val="16"/>
              </w:rPr>
              <w:t xml:space="preserve"> </w:t>
            </w:r>
            <w:r w:rsidRPr="00283806">
              <w:rPr>
                <w:sz w:val="16"/>
              </w:rPr>
              <w:t>of</w:t>
            </w:r>
            <w:r w:rsidRPr="00283806">
              <w:rPr>
                <w:spacing w:val="6"/>
                <w:sz w:val="16"/>
              </w:rPr>
              <w:t xml:space="preserve"> </w:t>
            </w:r>
            <w:r w:rsidRPr="00283806">
              <w:rPr>
                <w:sz w:val="16"/>
              </w:rPr>
              <w:t>retrofit</w:t>
            </w:r>
            <w:r w:rsidRPr="00283806">
              <w:rPr>
                <w:spacing w:val="6"/>
                <w:sz w:val="16"/>
              </w:rPr>
              <w:t xml:space="preserve"> </w:t>
            </w:r>
            <w:r w:rsidRPr="00283806">
              <w:rPr>
                <w:sz w:val="16"/>
              </w:rPr>
              <w:t>or</w:t>
            </w:r>
            <w:r w:rsidRPr="00283806">
              <w:rPr>
                <w:spacing w:val="6"/>
                <w:sz w:val="16"/>
              </w:rPr>
              <w:t xml:space="preserve"> </w:t>
            </w:r>
            <w:r w:rsidRPr="00283806">
              <w:rPr>
                <w:spacing w:val="-2"/>
                <w:sz w:val="16"/>
              </w:rPr>
              <w:t>retirement.</w:t>
            </w:r>
          </w:p>
        </w:tc>
        <w:tc>
          <w:tcPr>
            <w:tcW w:w="5214" w:type="dxa"/>
            <w:tcBorders>
              <w:right w:val="nil"/>
            </w:tcBorders>
          </w:tcPr>
          <w:p w14:paraId="3D5CDBF0" w14:textId="77777777" w:rsidR="00D67C1E" w:rsidRPr="00283806" w:rsidRDefault="001265CA">
            <w:pPr>
              <w:pStyle w:val="TableParagraph"/>
              <w:spacing w:before="73" w:line="240" w:lineRule="auto"/>
              <w:ind w:left="77"/>
              <w:jc w:val="both"/>
              <w:rPr>
                <w:sz w:val="16"/>
              </w:rPr>
            </w:pPr>
            <w:r w:rsidRPr="00283806">
              <w:rPr>
                <w:sz w:val="16"/>
              </w:rPr>
              <w:t>No</w:t>
            </w:r>
            <w:r w:rsidRPr="00283806">
              <w:rPr>
                <w:spacing w:val="4"/>
                <w:sz w:val="16"/>
              </w:rPr>
              <w:t xml:space="preserve"> </w:t>
            </w:r>
            <w:r w:rsidRPr="00283806">
              <w:rPr>
                <w:sz w:val="16"/>
              </w:rPr>
              <w:t>confidential</w:t>
            </w:r>
            <w:r w:rsidRPr="00283806">
              <w:rPr>
                <w:spacing w:val="5"/>
                <w:sz w:val="16"/>
              </w:rPr>
              <w:t xml:space="preserve"> </w:t>
            </w:r>
            <w:r w:rsidRPr="00283806">
              <w:rPr>
                <w:sz w:val="16"/>
              </w:rPr>
              <w:t>treatment/Emission</w:t>
            </w:r>
            <w:r w:rsidRPr="00283806">
              <w:rPr>
                <w:spacing w:val="4"/>
                <w:sz w:val="16"/>
              </w:rPr>
              <w:t xml:space="preserve"> </w:t>
            </w:r>
            <w:r w:rsidRPr="00283806">
              <w:rPr>
                <w:spacing w:val="-2"/>
                <w:sz w:val="16"/>
              </w:rPr>
              <w:t>data.</w:t>
            </w:r>
          </w:p>
          <w:p w14:paraId="2E6E5217" w14:textId="77777777" w:rsidR="00D67C1E" w:rsidRPr="00283806" w:rsidRDefault="001265CA">
            <w:pPr>
              <w:pStyle w:val="TableParagraph"/>
              <w:spacing w:before="178" w:line="230" w:lineRule="auto"/>
              <w:ind w:left="77" w:right="2230"/>
              <w:jc w:val="both"/>
              <w:rPr>
                <w:sz w:val="16"/>
              </w:rPr>
            </w:pPr>
            <w:r w:rsidRPr="00283806">
              <w:rPr>
                <w:sz w:val="16"/>
              </w:rPr>
              <w:t>No</w:t>
            </w:r>
            <w:r w:rsidRPr="00283806">
              <w:rPr>
                <w:spacing w:val="-4"/>
                <w:sz w:val="16"/>
              </w:rPr>
              <w:t xml:space="preserve"> </w:t>
            </w:r>
            <w:r w:rsidRPr="00283806">
              <w:rPr>
                <w:sz w:val="16"/>
              </w:rPr>
              <w:t>confidential</w:t>
            </w:r>
            <w:r w:rsidRPr="00283806">
              <w:rPr>
                <w:spacing w:val="-4"/>
                <w:sz w:val="16"/>
              </w:rPr>
              <w:t xml:space="preserve"> </w:t>
            </w:r>
            <w:r w:rsidRPr="00283806">
              <w:rPr>
                <w:sz w:val="16"/>
              </w:rPr>
              <w:t>treatment/Emission</w:t>
            </w:r>
            <w:r w:rsidRPr="00283806">
              <w:rPr>
                <w:spacing w:val="-4"/>
                <w:sz w:val="16"/>
              </w:rPr>
              <w:t xml:space="preserve"> </w:t>
            </w:r>
            <w:r w:rsidRPr="00283806">
              <w:rPr>
                <w:sz w:val="16"/>
              </w:rPr>
              <w:t>data. No</w:t>
            </w:r>
            <w:r w:rsidRPr="00283806">
              <w:rPr>
                <w:spacing w:val="4"/>
                <w:sz w:val="16"/>
              </w:rPr>
              <w:t xml:space="preserve"> </w:t>
            </w:r>
            <w:r w:rsidRPr="00283806">
              <w:rPr>
                <w:sz w:val="16"/>
              </w:rPr>
              <w:t>confidential</w:t>
            </w:r>
            <w:r w:rsidRPr="00283806">
              <w:rPr>
                <w:spacing w:val="5"/>
                <w:sz w:val="16"/>
              </w:rPr>
              <w:t xml:space="preserve"> </w:t>
            </w:r>
            <w:r w:rsidRPr="00283806">
              <w:rPr>
                <w:sz w:val="16"/>
              </w:rPr>
              <w:t>treatment/Emission</w:t>
            </w:r>
            <w:r w:rsidRPr="00283806">
              <w:rPr>
                <w:spacing w:val="4"/>
                <w:sz w:val="16"/>
              </w:rPr>
              <w:t xml:space="preserve"> </w:t>
            </w:r>
            <w:r w:rsidRPr="00283806">
              <w:rPr>
                <w:spacing w:val="-2"/>
                <w:sz w:val="16"/>
              </w:rPr>
              <w:t>data.</w:t>
            </w:r>
          </w:p>
          <w:p w14:paraId="59501645" w14:textId="77777777" w:rsidR="00D67C1E" w:rsidRPr="00283806" w:rsidRDefault="001265CA">
            <w:pPr>
              <w:pStyle w:val="TableParagraph"/>
              <w:spacing w:before="178" w:line="230" w:lineRule="auto"/>
              <w:ind w:left="77" w:right="2230"/>
              <w:jc w:val="both"/>
              <w:rPr>
                <w:sz w:val="16"/>
              </w:rPr>
            </w:pPr>
            <w:r w:rsidRPr="00283806">
              <w:rPr>
                <w:sz w:val="16"/>
              </w:rPr>
              <w:t>No</w:t>
            </w:r>
            <w:r w:rsidRPr="00283806">
              <w:rPr>
                <w:spacing w:val="-4"/>
                <w:sz w:val="16"/>
              </w:rPr>
              <w:t xml:space="preserve"> </w:t>
            </w:r>
            <w:r w:rsidRPr="00283806">
              <w:rPr>
                <w:sz w:val="16"/>
              </w:rPr>
              <w:t>confidential</w:t>
            </w:r>
            <w:r w:rsidRPr="00283806">
              <w:rPr>
                <w:spacing w:val="-4"/>
                <w:sz w:val="16"/>
              </w:rPr>
              <w:t xml:space="preserve"> </w:t>
            </w:r>
            <w:r w:rsidRPr="00283806">
              <w:rPr>
                <w:sz w:val="16"/>
              </w:rPr>
              <w:t>treatment/Emission</w:t>
            </w:r>
            <w:r w:rsidRPr="00283806">
              <w:rPr>
                <w:spacing w:val="-4"/>
                <w:sz w:val="16"/>
              </w:rPr>
              <w:t xml:space="preserve"> </w:t>
            </w:r>
            <w:r w:rsidRPr="00283806">
              <w:rPr>
                <w:sz w:val="16"/>
              </w:rPr>
              <w:t>data. No</w:t>
            </w:r>
            <w:r w:rsidRPr="00283806">
              <w:rPr>
                <w:spacing w:val="-4"/>
                <w:sz w:val="16"/>
              </w:rPr>
              <w:t xml:space="preserve"> </w:t>
            </w:r>
            <w:r w:rsidRPr="00283806">
              <w:rPr>
                <w:sz w:val="16"/>
              </w:rPr>
              <w:t>confidential</w:t>
            </w:r>
            <w:r w:rsidRPr="00283806">
              <w:rPr>
                <w:spacing w:val="-4"/>
                <w:sz w:val="16"/>
              </w:rPr>
              <w:t xml:space="preserve"> </w:t>
            </w:r>
            <w:r w:rsidRPr="00283806">
              <w:rPr>
                <w:sz w:val="16"/>
              </w:rPr>
              <w:t>treatment/Emission</w:t>
            </w:r>
            <w:r w:rsidRPr="00283806">
              <w:rPr>
                <w:spacing w:val="-4"/>
                <w:sz w:val="16"/>
              </w:rPr>
              <w:t xml:space="preserve"> </w:t>
            </w:r>
            <w:r w:rsidRPr="00283806">
              <w:rPr>
                <w:sz w:val="16"/>
              </w:rPr>
              <w:t>data. No</w:t>
            </w:r>
            <w:r w:rsidRPr="00283806">
              <w:rPr>
                <w:spacing w:val="-4"/>
                <w:sz w:val="16"/>
              </w:rPr>
              <w:t xml:space="preserve"> </w:t>
            </w:r>
            <w:r w:rsidRPr="00283806">
              <w:rPr>
                <w:sz w:val="16"/>
              </w:rPr>
              <w:t>confidential</w:t>
            </w:r>
            <w:r w:rsidRPr="00283806">
              <w:rPr>
                <w:spacing w:val="-4"/>
                <w:sz w:val="16"/>
              </w:rPr>
              <w:t xml:space="preserve"> </w:t>
            </w:r>
            <w:r w:rsidRPr="00283806">
              <w:rPr>
                <w:sz w:val="16"/>
              </w:rPr>
              <w:t>treatment/Emission</w:t>
            </w:r>
            <w:r w:rsidRPr="00283806">
              <w:rPr>
                <w:spacing w:val="-4"/>
                <w:sz w:val="16"/>
              </w:rPr>
              <w:t xml:space="preserve"> </w:t>
            </w:r>
            <w:r w:rsidRPr="00283806">
              <w:rPr>
                <w:sz w:val="16"/>
              </w:rPr>
              <w:t>data. No</w:t>
            </w:r>
            <w:r w:rsidRPr="00283806">
              <w:rPr>
                <w:spacing w:val="-4"/>
                <w:sz w:val="16"/>
              </w:rPr>
              <w:t xml:space="preserve"> </w:t>
            </w:r>
            <w:r w:rsidRPr="00283806">
              <w:rPr>
                <w:sz w:val="16"/>
              </w:rPr>
              <w:t>confidential</w:t>
            </w:r>
            <w:r w:rsidRPr="00283806">
              <w:rPr>
                <w:spacing w:val="-4"/>
                <w:sz w:val="16"/>
              </w:rPr>
              <w:t xml:space="preserve"> </w:t>
            </w:r>
            <w:r w:rsidRPr="00283806">
              <w:rPr>
                <w:sz w:val="16"/>
              </w:rPr>
              <w:t>treatment/Emission</w:t>
            </w:r>
            <w:r w:rsidRPr="00283806">
              <w:rPr>
                <w:spacing w:val="-4"/>
                <w:sz w:val="16"/>
              </w:rPr>
              <w:t xml:space="preserve"> </w:t>
            </w:r>
            <w:r w:rsidRPr="00283806">
              <w:rPr>
                <w:sz w:val="16"/>
              </w:rPr>
              <w:t>data. No</w:t>
            </w:r>
            <w:r w:rsidRPr="00283806">
              <w:rPr>
                <w:spacing w:val="-4"/>
                <w:sz w:val="16"/>
              </w:rPr>
              <w:t xml:space="preserve"> </w:t>
            </w:r>
            <w:r w:rsidRPr="00283806">
              <w:rPr>
                <w:sz w:val="16"/>
              </w:rPr>
              <w:t>confidential</w:t>
            </w:r>
            <w:r w:rsidRPr="00283806">
              <w:rPr>
                <w:spacing w:val="-4"/>
                <w:sz w:val="16"/>
              </w:rPr>
              <w:t xml:space="preserve"> </w:t>
            </w:r>
            <w:r w:rsidRPr="00283806">
              <w:rPr>
                <w:sz w:val="16"/>
              </w:rPr>
              <w:t>treatment/Emission</w:t>
            </w:r>
            <w:r w:rsidRPr="00283806">
              <w:rPr>
                <w:spacing w:val="-4"/>
                <w:sz w:val="16"/>
              </w:rPr>
              <w:t xml:space="preserve"> </w:t>
            </w:r>
            <w:r w:rsidRPr="00283806">
              <w:rPr>
                <w:sz w:val="16"/>
              </w:rPr>
              <w:t>data. No</w:t>
            </w:r>
            <w:r w:rsidRPr="00283806">
              <w:rPr>
                <w:spacing w:val="-4"/>
                <w:sz w:val="16"/>
              </w:rPr>
              <w:t xml:space="preserve"> </w:t>
            </w:r>
            <w:r w:rsidRPr="00283806">
              <w:rPr>
                <w:sz w:val="16"/>
              </w:rPr>
              <w:t>confidential</w:t>
            </w:r>
            <w:r w:rsidRPr="00283806">
              <w:rPr>
                <w:spacing w:val="-4"/>
                <w:sz w:val="16"/>
              </w:rPr>
              <w:t xml:space="preserve"> </w:t>
            </w:r>
            <w:r w:rsidRPr="00283806">
              <w:rPr>
                <w:sz w:val="16"/>
              </w:rPr>
              <w:t>treatment/Emission</w:t>
            </w:r>
            <w:r w:rsidRPr="00283806">
              <w:rPr>
                <w:spacing w:val="-4"/>
                <w:sz w:val="16"/>
              </w:rPr>
              <w:t xml:space="preserve"> </w:t>
            </w:r>
            <w:r w:rsidRPr="00283806">
              <w:rPr>
                <w:sz w:val="16"/>
              </w:rPr>
              <w:t>data. No</w:t>
            </w:r>
            <w:r w:rsidRPr="00283806">
              <w:rPr>
                <w:spacing w:val="-4"/>
                <w:sz w:val="16"/>
              </w:rPr>
              <w:t xml:space="preserve"> </w:t>
            </w:r>
            <w:r w:rsidRPr="00283806">
              <w:rPr>
                <w:sz w:val="16"/>
              </w:rPr>
              <w:t>confidential</w:t>
            </w:r>
            <w:r w:rsidRPr="00283806">
              <w:rPr>
                <w:spacing w:val="-4"/>
                <w:sz w:val="16"/>
              </w:rPr>
              <w:t xml:space="preserve"> </w:t>
            </w:r>
            <w:r w:rsidRPr="00283806">
              <w:rPr>
                <w:sz w:val="16"/>
              </w:rPr>
              <w:t>treatment/Emission</w:t>
            </w:r>
            <w:r w:rsidRPr="00283806">
              <w:rPr>
                <w:spacing w:val="-4"/>
                <w:sz w:val="16"/>
              </w:rPr>
              <w:t xml:space="preserve"> </w:t>
            </w:r>
            <w:r w:rsidRPr="00283806">
              <w:rPr>
                <w:sz w:val="16"/>
              </w:rPr>
              <w:t>data. No</w:t>
            </w:r>
            <w:r w:rsidRPr="00283806">
              <w:rPr>
                <w:spacing w:val="-4"/>
                <w:sz w:val="16"/>
              </w:rPr>
              <w:t xml:space="preserve"> </w:t>
            </w:r>
            <w:r w:rsidRPr="00283806">
              <w:rPr>
                <w:sz w:val="16"/>
              </w:rPr>
              <w:t>confidential</w:t>
            </w:r>
            <w:r w:rsidRPr="00283806">
              <w:rPr>
                <w:spacing w:val="-4"/>
                <w:sz w:val="16"/>
              </w:rPr>
              <w:t xml:space="preserve"> </w:t>
            </w:r>
            <w:r w:rsidRPr="00283806">
              <w:rPr>
                <w:sz w:val="16"/>
              </w:rPr>
              <w:t>treatment/Emission</w:t>
            </w:r>
            <w:r w:rsidRPr="00283806">
              <w:rPr>
                <w:spacing w:val="-4"/>
                <w:sz w:val="16"/>
              </w:rPr>
              <w:t xml:space="preserve"> </w:t>
            </w:r>
            <w:r w:rsidRPr="00283806">
              <w:rPr>
                <w:sz w:val="16"/>
              </w:rPr>
              <w:t>data. No</w:t>
            </w:r>
            <w:r w:rsidRPr="00283806">
              <w:rPr>
                <w:spacing w:val="4"/>
                <w:sz w:val="16"/>
              </w:rPr>
              <w:t xml:space="preserve"> </w:t>
            </w:r>
            <w:r w:rsidRPr="00283806">
              <w:rPr>
                <w:sz w:val="16"/>
              </w:rPr>
              <w:t>confidential</w:t>
            </w:r>
            <w:r w:rsidRPr="00283806">
              <w:rPr>
                <w:spacing w:val="5"/>
                <w:sz w:val="16"/>
              </w:rPr>
              <w:t xml:space="preserve"> </w:t>
            </w:r>
            <w:r w:rsidRPr="00283806">
              <w:rPr>
                <w:sz w:val="16"/>
              </w:rPr>
              <w:t>treatment/Emission</w:t>
            </w:r>
            <w:r w:rsidRPr="00283806">
              <w:rPr>
                <w:spacing w:val="4"/>
                <w:sz w:val="16"/>
              </w:rPr>
              <w:t xml:space="preserve"> </w:t>
            </w:r>
            <w:r w:rsidRPr="00283806">
              <w:rPr>
                <w:spacing w:val="-2"/>
                <w:sz w:val="16"/>
              </w:rPr>
              <w:t>data.</w:t>
            </w:r>
          </w:p>
        </w:tc>
      </w:tr>
    </w:tbl>
    <w:p w14:paraId="0DAD4E07" w14:textId="49793CD2" w:rsidR="00D67C1E" w:rsidRPr="00283806" w:rsidRDefault="001265CA">
      <w:pPr>
        <w:spacing w:before="68" w:line="208" w:lineRule="auto"/>
        <w:ind w:left="159" w:right="119" w:firstLine="160"/>
        <w:jc w:val="both"/>
        <w:rPr>
          <w:rFonts w:ascii="Arial" w:hAnsi="Arial"/>
          <w:i/>
          <w:sz w:val="16"/>
        </w:rPr>
      </w:pPr>
      <w:r w:rsidRPr="00283806">
        <w:rPr>
          <w:rFonts w:ascii="Arial" w:hAnsi="Arial"/>
          <w:position w:val="4"/>
          <w:sz w:val="10"/>
        </w:rPr>
        <w:t>a</w:t>
      </w:r>
      <w:r w:rsidRPr="00283806">
        <w:rPr>
          <w:rFonts w:ascii="Arial" w:hAnsi="Arial"/>
          <w:spacing w:val="-3"/>
          <w:position w:val="4"/>
          <w:sz w:val="10"/>
        </w:rPr>
        <w:t xml:space="preserve"> </w:t>
      </w:r>
      <w:r w:rsidRPr="00283806">
        <w:rPr>
          <w:rFonts w:ascii="Arial" w:hAnsi="Arial"/>
          <w:sz w:val="16"/>
        </w:rPr>
        <w:t xml:space="preserve">EPA provides rationale of the confidentiality determination in the memorandum titled </w:t>
      </w:r>
      <w:r w:rsidRPr="00283806">
        <w:rPr>
          <w:rFonts w:ascii="Arial" w:hAnsi="Arial"/>
          <w:i/>
          <w:sz w:val="16"/>
        </w:rPr>
        <w:t xml:space="preserve">Confidentiality Determinations and Emission Data Des- </w:t>
      </w:r>
      <w:proofErr w:type="spellStart"/>
      <w:r w:rsidRPr="00283806">
        <w:rPr>
          <w:rFonts w:ascii="Arial" w:hAnsi="Arial"/>
          <w:i/>
          <w:sz w:val="16"/>
        </w:rPr>
        <w:t>ignations</w:t>
      </w:r>
      <w:proofErr w:type="spellEnd"/>
      <w:r w:rsidRPr="00283806">
        <w:rPr>
          <w:rFonts w:ascii="Arial" w:hAnsi="Arial"/>
          <w:i/>
          <w:sz w:val="16"/>
        </w:rPr>
        <w:t xml:space="preserve"> for Data Elements in the Final Rule entitled </w:t>
      </w:r>
      <w:r w:rsidRPr="00283806">
        <w:rPr>
          <w:rFonts w:ascii="Arial" w:hAnsi="Arial"/>
          <w:sz w:val="16"/>
        </w:rPr>
        <w:t>‘‘</w:t>
      </w:r>
      <w:r w:rsidRPr="00283806">
        <w:rPr>
          <w:rFonts w:ascii="Arial" w:hAnsi="Arial"/>
          <w:i/>
          <w:sz w:val="16"/>
        </w:rPr>
        <w:t xml:space="preserve">Phasedown of Hydrofluorocarbons: Management of Certain Hydrofluorocarbons and Sub- </w:t>
      </w:r>
      <w:proofErr w:type="spellStart"/>
      <w:r w:rsidRPr="00283806">
        <w:rPr>
          <w:rFonts w:ascii="Arial" w:hAnsi="Arial"/>
          <w:i/>
          <w:sz w:val="16"/>
        </w:rPr>
        <w:t>stitutes</w:t>
      </w:r>
      <w:proofErr w:type="spellEnd"/>
      <w:r w:rsidRPr="00283806">
        <w:rPr>
          <w:rFonts w:ascii="Arial" w:hAnsi="Arial"/>
          <w:i/>
          <w:sz w:val="16"/>
        </w:rPr>
        <w:t xml:space="preserve"> under Subsection (h) of the American Innovation and Manufacturing Act of 2020</w:t>
      </w:r>
      <w:r w:rsidRPr="00283806">
        <w:rPr>
          <w:rFonts w:ascii="Arial" w:hAnsi="Arial"/>
          <w:sz w:val="16"/>
        </w:rPr>
        <w:t>’’</w:t>
      </w:r>
      <w:r w:rsidRPr="00283806">
        <w:rPr>
          <w:rFonts w:ascii="Arial" w:hAnsi="Arial"/>
          <w:i/>
          <w:sz w:val="16"/>
        </w:rPr>
        <w:t xml:space="preserve">, </w:t>
      </w:r>
      <w:r w:rsidRPr="00283806">
        <w:rPr>
          <w:rFonts w:ascii="Arial" w:hAnsi="Arial"/>
          <w:sz w:val="16"/>
        </w:rPr>
        <w:t xml:space="preserve">which is available in the docket (EPA–HQ–OAR– 2022–0606) of this rulemaking at </w:t>
      </w:r>
      <w:r w:rsidRPr="00283806">
        <w:rPr>
          <w:rFonts w:ascii="Arial" w:hAnsi="Arial"/>
          <w:i/>
          <w:sz w:val="16"/>
        </w:rPr>
        <w:t>https://www.regulations.gov.</w:t>
      </w:r>
    </w:p>
    <w:p w14:paraId="4C970AEE" w14:textId="77777777" w:rsidR="00D67C1E" w:rsidRPr="00283806" w:rsidRDefault="00D67C1E">
      <w:pPr>
        <w:pStyle w:val="BodyText"/>
        <w:spacing w:before="2"/>
        <w:ind w:left="0"/>
        <w:rPr>
          <w:rFonts w:ascii="Arial"/>
          <w:i/>
          <w:sz w:val="16"/>
        </w:rPr>
      </w:pPr>
    </w:p>
    <w:p w14:paraId="598B22A1" w14:textId="77777777" w:rsidR="00D67C1E" w:rsidRPr="00283806" w:rsidRDefault="001265CA">
      <w:pPr>
        <w:pStyle w:val="Heading1"/>
        <w:spacing w:before="0" w:line="230" w:lineRule="auto"/>
        <w:ind w:left="78" w:right="38"/>
        <w:jc w:val="center"/>
      </w:pPr>
      <w:r w:rsidRPr="00283806">
        <w:rPr>
          <w:smallCaps/>
        </w:rPr>
        <w:t>Table 3—Determination of Confidentiality Status for Data Elements Related to Other Leak Repair</w:t>
      </w:r>
      <w:r w:rsidRPr="00283806">
        <w:rPr>
          <w:smallCaps/>
          <w:spacing w:val="80"/>
        </w:rPr>
        <w:t xml:space="preserve"> </w:t>
      </w:r>
      <w:r w:rsidRPr="00283806">
        <w:rPr>
          <w:smallCaps/>
        </w:rPr>
        <w:t>Notifications and Extension Requests</w:t>
      </w:r>
    </w:p>
    <w:p w14:paraId="49BC4FFB" w14:textId="77777777" w:rsidR="00D67C1E" w:rsidRPr="00283806" w:rsidRDefault="00D67C1E">
      <w:pPr>
        <w:pStyle w:val="BodyText"/>
        <w:ind w:left="0"/>
        <w:rPr>
          <w:rFonts w:ascii="Arial"/>
          <w:sz w:val="10"/>
        </w:rPr>
      </w:pPr>
    </w:p>
    <w:tbl>
      <w:tblPr>
        <w:tblW w:w="0" w:type="auto"/>
        <w:tblInd w:w="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27"/>
        <w:gridCol w:w="3014"/>
      </w:tblGrid>
      <w:tr w:rsidR="00D67C1E" w:rsidRPr="00283806" w14:paraId="1AAE557C" w14:textId="77777777">
        <w:trPr>
          <w:trHeight w:val="317"/>
        </w:trPr>
        <w:tc>
          <w:tcPr>
            <w:tcW w:w="7427" w:type="dxa"/>
            <w:tcBorders>
              <w:left w:val="nil"/>
            </w:tcBorders>
          </w:tcPr>
          <w:p w14:paraId="585533B0" w14:textId="77777777" w:rsidR="00D67C1E" w:rsidRPr="00283806" w:rsidRDefault="001265CA">
            <w:pPr>
              <w:pStyle w:val="TableParagraph"/>
              <w:spacing w:before="57" w:line="240" w:lineRule="auto"/>
              <w:ind w:right="74"/>
              <w:rPr>
                <w:sz w:val="16"/>
              </w:rPr>
            </w:pPr>
            <w:r w:rsidRPr="00283806">
              <w:rPr>
                <w:sz w:val="16"/>
              </w:rPr>
              <w:t>Description</w:t>
            </w:r>
            <w:r w:rsidRPr="00283806">
              <w:rPr>
                <w:spacing w:val="4"/>
                <w:sz w:val="16"/>
              </w:rPr>
              <w:t xml:space="preserve"> </w:t>
            </w:r>
            <w:r w:rsidRPr="00283806">
              <w:rPr>
                <w:sz w:val="16"/>
              </w:rPr>
              <w:t>of</w:t>
            </w:r>
            <w:r w:rsidRPr="00283806">
              <w:rPr>
                <w:spacing w:val="4"/>
                <w:sz w:val="16"/>
              </w:rPr>
              <w:t xml:space="preserve"> </w:t>
            </w:r>
            <w:r w:rsidRPr="00283806">
              <w:rPr>
                <w:sz w:val="16"/>
              </w:rPr>
              <w:t>data</w:t>
            </w:r>
            <w:r w:rsidRPr="00283806">
              <w:rPr>
                <w:spacing w:val="4"/>
                <w:sz w:val="16"/>
              </w:rPr>
              <w:t xml:space="preserve"> </w:t>
            </w:r>
            <w:r w:rsidRPr="00283806">
              <w:rPr>
                <w:spacing w:val="-2"/>
                <w:sz w:val="16"/>
              </w:rPr>
              <w:t>element</w:t>
            </w:r>
          </w:p>
        </w:tc>
        <w:tc>
          <w:tcPr>
            <w:tcW w:w="3014" w:type="dxa"/>
            <w:tcBorders>
              <w:right w:val="nil"/>
            </w:tcBorders>
          </w:tcPr>
          <w:p w14:paraId="57ACC92B" w14:textId="77777777" w:rsidR="00D67C1E" w:rsidRPr="00283806" w:rsidRDefault="001265CA">
            <w:pPr>
              <w:pStyle w:val="TableParagraph"/>
              <w:spacing w:before="57" w:line="240" w:lineRule="auto"/>
              <w:ind w:left="76"/>
              <w:rPr>
                <w:sz w:val="10"/>
              </w:rPr>
            </w:pPr>
            <w:r w:rsidRPr="00283806">
              <w:rPr>
                <w:sz w:val="16"/>
              </w:rPr>
              <w:t>Confidentiality</w:t>
            </w:r>
            <w:r w:rsidRPr="00283806">
              <w:rPr>
                <w:spacing w:val="-1"/>
                <w:sz w:val="16"/>
              </w:rPr>
              <w:t xml:space="preserve"> </w:t>
            </w:r>
            <w:r w:rsidRPr="00283806">
              <w:rPr>
                <w:sz w:val="16"/>
              </w:rPr>
              <w:t>status</w:t>
            </w:r>
            <w:r w:rsidRPr="00283806">
              <w:rPr>
                <w:spacing w:val="3"/>
                <w:sz w:val="16"/>
              </w:rPr>
              <w:t xml:space="preserve"> </w:t>
            </w:r>
            <w:r w:rsidRPr="00283806">
              <w:rPr>
                <w:sz w:val="16"/>
              </w:rPr>
              <w:t>and</w:t>
            </w:r>
            <w:r w:rsidRPr="00283806">
              <w:rPr>
                <w:spacing w:val="3"/>
                <w:sz w:val="16"/>
              </w:rPr>
              <w:t xml:space="preserve"> </w:t>
            </w:r>
            <w:r w:rsidRPr="00283806">
              <w:rPr>
                <w:sz w:val="16"/>
              </w:rPr>
              <w:t>rationale</w:t>
            </w:r>
            <w:r w:rsidRPr="00283806">
              <w:rPr>
                <w:spacing w:val="-19"/>
                <w:sz w:val="16"/>
              </w:rPr>
              <w:t xml:space="preserve"> </w:t>
            </w:r>
            <w:r w:rsidRPr="00283806">
              <w:rPr>
                <w:spacing w:val="-10"/>
                <w:position w:val="4"/>
                <w:sz w:val="10"/>
              </w:rPr>
              <w:t>a</w:t>
            </w:r>
          </w:p>
        </w:tc>
      </w:tr>
      <w:tr w:rsidR="00D67C1E" w:rsidRPr="00283806" w14:paraId="40ABFB7E" w14:textId="77777777">
        <w:trPr>
          <w:trHeight w:val="1665"/>
        </w:trPr>
        <w:tc>
          <w:tcPr>
            <w:tcW w:w="7427" w:type="dxa"/>
            <w:tcBorders>
              <w:left w:val="nil"/>
              <w:bottom w:val="nil"/>
            </w:tcBorders>
          </w:tcPr>
          <w:p w14:paraId="2D1227E0" w14:textId="77777777" w:rsidR="00D67C1E" w:rsidRPr="00283806" w:rsidRDefault="001265CA">
            <w:pPr>
              <w:pStyle w:val="TableParagraph"/>
              <w:spacing w:before="44" w:line="180" w:lineRule="exact"/>
              <w:ind w:left="165" w:right="110" w:hanging="160"/>
              <w:jc w:val="left"/>
              <w:rPr>
                <w:sz w:val="16"/>
              </w:rPr>
            </w:pPr>
            <w:r w:rsidRPr="00283806">
              <w:rPr>
                <w:i/>
                <w:sz w:val="16"/>
              </w:rPr>
              <w:t xml:space="preserve">Extension of time to complete repairs: </w:t>
            </w:r>
            <w:r w:rsidRPr="00283806">
              <w:rPr>
                <w:sz w:val="16"/>
              </w:rPr>
              <w:t>Identification and address of the facility; the name of the owner</w:t>
            </w:r>
            <w:r w:rsidRPr="00283806">
              <w:rPr>
                <w:spacing w:val="40"/>
                <w:sz w:val="16"/>
              </w:rPr>
              <w:t xml:space="preserve"> </w:t>
            </w:r>
            <w:r w:rsidRPr="00283806">
              <w:rPr>
                <w:sz w:val="16"/>
              </w:rPr>
              <w:t>or operator of the refrigerant-containing appliance; the leak rate; the method used to determine the leak rate and full charge; the date the refrigerant-containing appliance exceeded the applicable leak rate; the location of leak(s) to the extent determined to date; any repairs that have been performed thus</w:t>
            </w:r>
            <w:r w:rsidRPr="00283806">
              <w:rPr>
                <w:spacing w:val="17"/>
                <w:sz w:val="16"/>
              </w:rPr>
              <w:t xml:space="preserve"> </w:t>
            </w:r>
            <w:r w:rsidRPr="00283806">
              <w:rPr>
                <w:sz w:val="16"/>
              </w:rPr>
              <w:t>far,</w:t>
            </w:r>
            <w:r w:rsidRPr="00283806">
              <w:rPr>
                <w:spacing w:val="17"/>
                <w:sz w:val="16"/>
              </w:rPr>
              <w:t xml:space="preserve"> </w:t>
            </w:r>
            <w:r w:rsidRPr="00283806">
              <w:rPr>
                <w:sz w:val="16"/>
              </w:rPr>
              <w:t>including</w:t>
            </w:r>
            <w:r w:rsidRPr="00283806">
              <w:rPr>
                <w:spacing w:val="17"/>
                <w:sz w:val="16"/>
              </w:rPr>
              <w:t xml:space="preserve"> </w:t>
            </w:r>
            <w:r w:rsidRPr="00283806">
              <w:rPr>
                <w:sz w:val="16"/>
              </w:rPr>
              <w:t>the</w:t>
            </w:r>
            <w:r w:rsidRPr="00283806">
              <w:rPr>
                <w:spacing w:val="17"/>
                <w:sz w:val="16"/>
              </w:rPr>
              <w:t xml:space="preserve"> </w:t>
            </w:r>
            <w:r w:rsidRPr="00283806">
              <w:rPr>
                <w:sz w:val="16"/>
              </w:rPr>
              <w:t>date</w:t>
            </w:r>
            <w:r w:rsidRPr="00283806">
              <w:rPr>
                <w:spacing w:val="17"/>
                <w:sz w:val="16"/>
              </w:rPr>
              <w:t xml:space="preserve"> </w:t>
            </w:r>
            <w:r w:rsidRPr="00283806">
              <w:rPr>
                <w:sz w:val="16"/>
              </w:rPr>
              <w:t>that</w:t>
            </w:r>
            <w:r w:rsidRPr="00283806">
              <w:rPr>
                <w:spacing w:val="17"/>
                <w:sz w:val="16"/>
              </w:rPr>
              <w:t xml:space="preserve"> </w:t>
            </w:r>
            <w:r w:rsidRPr="00283806">
              <w:rPr>
                <w:sz w:val="16"/>
              </w:rPr>
              <w:t>repairs</w:t>
            </w:r>
            <w:r w:rsidRPr="00283806">
              <w:rPr>
                <w:spacing w:val="17"/>
                <w:sz w:val="16"/>
              </w:rPr>
              <w:t xml:space="preserve"> </w:t>
            </w:r>
            <w:r w:rsidRPr="00283806">
              <w:rPr>
                <w:sz w:val="16"/>
              </w:rPr>
              <w:t>were</w:t>
            </w:r>
            <w:r w:rsidRPr="00283806">
              <w:rPr>
                <w:spacing w:val="17"/>
                <w:sz w:val="16"/>
              </w:rPr>
              <w:t xml:space="preserve"> </w:t>
            </w:r>
            <w:r w:rsidRPr="00283806">
              <w:rPr>
                <w:sz w:val="16"/>
              </w:rPr>
              <w:t>completed;</w:t>
            </w:r>
            <w:r w:rsidRPr="00283806">
              <w:rPr>
                <w:spacing w:val="17"/>
                <w:sz w:val="16"/>
              </w:rPr>
              <w:t xml:space="preserve"> </w:t>
            </w:r>
            <w:r w:rsidRPr="00283806">
              <w:rPr>
                <w:sz w:val="16"/>
              </w:rPr>
              <w:t>the</w:t>
            </w:r>
            <w:r w:rsidRPr="00283806">
              <w:rPr>
                <w:spacing w:val="17"/>
                <w:sz w:val="16"/>
              </w:rPr>
              <w:t xml:space="preserve"> </w:t>
            </w:r>
            <w:r w:rsidRPr="00283806">
              <w:rPr>
                <w:sz w:val="16"/>
              </w:rPr>
              <w:t>reasons</w:t>
            </w:r>
            <w:r w:rsidRPr="00283806">
              <w:rPr>
                <w:spacing w:val="17"/>
                <w:sz w:val="16"/>
              </w:rPr>
              <w:t xml:space="preserve"> </w:t>
            </w:r>
            <w:r w:rsidRPr="00283806">
              <w:rPr>
                <w:sz w:val="16"/>
              </w:rPr>
              <w:t>why</w:t>
            </w:r>
            <w:r w:rsidRPr="00283806">
              <w:rPr>
                <w:spacing w:val="17"/>
                <w:sz w:val="16"/>
              </w:rPr>
              <w:t xml:space="preserve"> </w:t>
            </w:r>
            <w:r w:rsidRPr="00283806">
              <w:rPr>
                <w:sz w:val="16"/>
              </w:rPr>
              <w:t>more</w:t>
            </w:r>
            <w:r w:rsidRPr="00283806">
              <w:rPr>
                <w:spacing w:val="17"/>
                <w:sz w:val="16"/>
              </w:rPr>
              <w:t xml:space="preserve"> </w:t>
            </w:r>
            <w:r w:rsidRPr="00283806">
              <w:rPr>
                <w:sz w:val="16"/>
              </w:rPr>
              <w:t>than</w:t>
            </w:r>
            <w:r w:rsidRPr="00283806">
              <w:rPr>
                <w:spacing w:val="17"/>
                <w:sz w:val="16"/>
              </w:rPr>
              <w:t xml:space="preserve"> </w:t>
            </w:r>
            <w:r w:rsidRPr="00283806">
              <w:rPr>
                <w:sz w:val="16"/>
              </w:rPr>
              <w:t>30</w:t>
            </w:r>
            <w:r w:rsidRPr="00283806">
              <w:rPr>
                <w:spacing w:val="17"/>
                <w:sz w:val="16"/>
              </w:rPr>
              <w:t xml:space="preserve"> </w:t>
            </w:r>
            <w:r w:rsidRPr="00283806">
              <w:rPr>
                <w:sz w:val="16"/>
              </w:rPr>
              <w:t>days</w:t>
            </w:r>
            <w:r w:rsidRPr="00283806">
              <w:rPr>
                <w:spacing w:val="17"/>
                <w:sz w:val="16"/>
              </w:rPr>
              <w:t xml:space="preserve"> </w:t>
            </w:r>
            <w:r w:rsidRPr="00283806">
              <w:rPr>
                <w:sz w:val="16"/>
              </w:rPr>
              <w:t>(or 120 days if an industrial process shutdown is required) are needed to complete the repairs; and an estimate</w:t>
            </w:r>
            <w:r w:rsidRPr="00283806">
              <w:rPr>
                <w:spacing w:val="10"/>
                <w:sz w:val="16"/>
              </w:rPr>
              <w:t xml:space="preserve"> </w:t>
            </w:r>
            <w:r w:rsidRPr="00283806">
              <w:rPr>
                <w:sz w:val="16"/>
              </w:rPr>
              <w:t>of</w:t>
            </w:r>
            <w:r w:rsidRPr="00283806">
              <w:rPr>
                <w:spacing w:val="10"/>
                <w:sz w:val="16"/>
              </w:rPr>
              <w:t xml:space="preserve"> </w:t>
            </w:r>
            <w:r w:rsidRPr="00283806">
              <w:rPr>
                <w:sz w:val="16"/>
              </w:rPr>
              <w:t>when</w:t>
            </w:r>
            <w:r w:rsidRPr="00283806">
              <w:rPr>
                <w:spacing w:val="10"/>
                <w:sz w:val="16"/>
              </w:rPr>
              <w:t xml:space="preserve"> </w:t>
            </w:r>
            <w:r w:rsidRPr="00283806">
              <w:rPr>
                <w:sz w:val="16"/>
              </w:rPr>
              <w:t>the</w:t>
            </w:r>
            <w:r w:rsidRPr="00283806">
              <w:rPr>
                <w:spacing w:val="10"/>
                <w:sz w:val="16"/>
              </w:rPr>
              <w:t xml:space="preserve"> </w:t>
            </w:r>
            <w:r w:rsidRPr="00283806">
              <w:rPr>
                <w:sz w:val="16"/>
              </w:rPr>
              <w:t>repairs</w:t>
            </w:r>
            <w:r w:rsidRPr="00283806">
              <w:rPr>
                <w:spacing w:val="10"/>
                <w:sz w:val="16"/>
              </w:rPr>
              <w:t xml:space="preserve"> </w:t>
            </w:r>
            <w:r w:rsidRPr="00283806">
              <w:rPr>
                <w:sz w:val="16"/>
              </w:rPr>
              <w:t>will</w:t>
            </w:r>
            <w:r w:rsidRPr="00283806">
              <w:rPr>
                <w:spacing w:val="10"/>
                <w:sz w:val="16"/>
              </w:rPr>
              <w:t xml:space="preserve"> </w:t>
            </w:r>
            <w:r w:rsidRPr="00283806">
              <w:rPr>
                <w:sz w:val="16"/>
              </w:rPr>
              <w:t>be</w:t>
            </w:r>
            <w:r w:rsidRPr="00283806">
              <w:rPr>
                <w:spacing w:val="10"/>
                <w:sz w:val="16"/>
              </w:rPr>
              <w:t xml:space="preserve"> </w:t>
            </w:r>
            <w:r w:rsidRPr="00283806">
              <w:rPr>
                <w:sz w:val="16"/>
              </w:rPr>
              <w:t>completed.</w:t>
            </w:r>
            <w:r w:rsidRPr="00283806">
              <w:rPr>
                <w:spacing w:val="10"/>
                <w:sz w:val="16"/>
              </w:rPr>
              <w:t xml:space="preserve"> </w:t>
            </w:r>
            <w:r w:rsidRPr="00283806">
              <w:rPr>
                <w:sz w:val="16"/>
              </w:rPr>
              <w:t>If</w:t>
            </w:r>
            <w:r w:rsidRPr="00283806">
              <w:rPr>
                <w:spacing w:val="10"/>
                <w:sz w:val="16"/>
              </w:rPr>
              <w:t xml:space="preserve"> </w:t>
            </w:r>
            <w:r w:rsidRPr="00283806">
              <w:rPr>
                <w:sz w:val="16"/>
              </w:rPr>
              <w:t>the</w:t>
            </w:r>
            <w:r w:rsidRPr="00283806">
              <w:rPr>
                <w:spacing w:val="10"/>
                <w:sz w:val="16"/>
              </w:rPr>
              <w:t xml:space="preserve"> </w:t>
            </w:r>
            <w:r w:rsidRPr="00283806">
              <w:rPr>
                <w:sz w:val="16"/>
              </w:rPr>
              <w:t>estimated</w:t>
            </w:r>
            <w:r w:rsidRPr="00283806">
              <w:rPr>
                <w:spacing w:val="10"/>
                <w:sz w:val="16"/>
              </w:rPr>
              <w:t xml:space="preserve"> </w:t>
            </w:r>
            <w:r w:rsidRPr="00283806">
              <w:rPr>
                <w:sz w:val="16"/>
              </w:rPr>
              <w:t>completion</w:t>
            </w:r>
            <w:r w:rsidRPr="00283806">
              <w:rPr>
                <w:spacing w:val="10"/>
                <w:sz w:val="16"/>
              </w:rPr>
              <w:t xml:space="preserve"> </w:t>
            </w:r>
            <w:r w:rsidRPr="00283806">
              <w:rPr>
                <w:sz w:val="16"/>
              </w:rPr>
              <w:t>date</w:t>
            </w:r>
            <w:r w:rsidRPr="00283806">
              <w:rPr>
                <w:spacing w:val="10"/>
                <w:sz w:val="16"/>
              </w:rPr>
              <w:t xml:space="preserve"> </w:t>
            </w:r>
            <w:r w:rsidRPr="00283806">
              <w:rPr>
                <w:sz w:val="16"/>
              </w:rPr>
              <w:t>is</w:t>
            </w:r>
            <w:r w:rsidRPr="00283806">
              <w:rPr>
                <w:spacing w:val="10"/>
                <w:sz w:val="16"/>
              </w:rPr>
              <w:t xml:space="preserve"> </w:t>
            </w:r>
            <w:r w:rsidRPr="00283806">
              <w:rPr>
                <w:sz w:val="16"/>
              </w:rPr>
              <w:t>to</w:t>
            </w:r>
            <w:r w:rsidRPr="00283806">
              <w:rPr>
                <w:spacing w:val="10"/>
                <w:sz w:val="16"/>
              </w:rPr>
              <w:t xml:space="preserve"> </w:t>
            </w:r>
            <w:r w:rsidRPr="00283806">
              <w:rPr>
                <w:sz w:val="16"/>
              </w:rPr>
              <w:t>be</w:t>
            </w:r>
            <w:r w:rsidRPr="00283806">
              <w:rPr>
                <w:spacing w:val="10"/>
                <w:sz w:val="16"/>
              </w:rPr>
              <w:t xml:space="preserve"> </w:t>
            </w:r>
            <w:r w:rsidRPr="00283806">
              <w:rPr>
                <w:sz w:val="16"/>
              </w:rPr>
              <w:t>extended, a new estimated date of completion and documentation of the reason for that change must be sub- mitted to EPA within 30 days of identifying that the completion date must be extended.</w:t>
            </w:r>
          </w:p>
        </w:tc>
        <w:tc>
          <w:tcPr>
            <w:tcW w:w="3014" w:type="dxa"/>
            <w:tcBorders>
              <w:bottom w:val="nil"/>
              <w:right w:val="nil"/>
            </w:tcBorders>
          </w:tcPr>
          <w:p w14:paraId="2C908E33" w14:textId="77777777" w:rsidR="00D67C1E" w:rsidRPr="00283806" w:rsidRDefault="001265CA">
            <w:pPr>
              <w:pStyle w:val="TableParagraph"/>
              <w:spacing w:before="75" w:line="240" w:lineRule="auto"/>
              <w:ind w:left="45"/>
              <w:rPr>
                <w:sz w:val="16"/>
              </w:rPr>
            </w:pPr>
            <w:r w:rsidRPr="00283806">
              <w:rPr>
                <w:sz w:val="16"/>
              </w:rPr>
              <w:t>No</w:t>
            </w:r>
            <w:r w:rsidRPr="00283806">
              <w:rPr>
                <w:spacing w:val="4"/>
                <w:sz w:val="16"/>
              </w:rPr>
              <w:t xml:space="preserve"> </w:t>
            </w:r>
            <w:r w:rsidRPr="00283806">
              <w:rPr>
                <w:sz w:val="16"/>
              </w:rPr>
              <w:t>confidential</w:t>
            </w:r>
            <w:r w:rsidRPr="00283806">
              <w:rPr>
                <w:spacing w:val="5"/>
                <w:sz w:val="16"/>
              </w:rPr>
              <w:t xml:space="preserve"> </w:t>
            </w:r>
            <w:r w:rsidRPr="00283806">
              <w:rPr>
                <w:sz w:val="16"/>
              </w:rPr>
              <w:t>treatment/Emission</w:t>
            </w:r>
            <w:r w:rsidRPr="00283806">
              <w:rPr>
                <w:spacing w:val="4"/>
                <w:sz w:val="16"/>
              </w:rPr>
              <w:t xml:space="preserve"> </w:t>
            </w:r>
            <w:r w:rsidRPr="00283806">
              <w:rPr>
                <w:spacing w:val="-2"/>
                <w:sz w:val="16"/>
              </w:rPr>
              <w:t>data.</w:t>
            </w:r>
          </w:p>
        </w:tc>
      </w:tr>
    </w:tbl>
    <w:p w14:paraId="20DBD6C2" w14:textId="77777777" w:rsidR="00D67C1E" w:rsidRPr="00283806" w:rsidRDefault="001265CA">
      <w:pPr>
        <w:pStyle w:val="BodyText"/>
        <w:ind w:left="0"/>
        <w:rPr>
          <w:rFonts w:ascii="Arial"/>
          <w:sz w:val="17"/>
        </w:rPr>
      </w:pPr>
      <w:r w:rsidRPr="00283806">
        <w:rPr>
          <w:noProof/>
        </w:rPr>
        <mc:AlternateContent>
          <mc:Choice Requires="wps">
            <w:drawing>
              <wp:anchor distT="0" distB="0" distL="0" distR="0" simplePos="0" relativeHeight="251680768" behindDoc="1" locked="0" layoutInCell="1" allowOverlap="1" wp14:anchorId="3CBD00D1" wp14:editId="25BBA726">
                <wp:simplePos x="0" y="0"/>
                <wp:positionH relativeFrom="page">
                  <wp:posOffset>571500</wp:posOffset>
                </wp:positionH>
                <wp:positionV relativeFrom="paragraph">
                  <wp:posOffset>139700</wp:posOffset>
                </wp:positionV>
                <wp:extent cx="635000" cy="1270"/>
                <wp:effectExtent l="0" t="0" r="0" b="0"/>
                <wp:wrapTopAndBottom/>
                <wp:docPr id="114" name="Graphic 1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E4D1F43" id="Graphic 114" o:spid="_x0000_s1026" alt="&quot;&quot;" style="position:absolute;margin-left:45pt;margin-top:11pt;width:50pt;height:.1pt;z-index:-251635712;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" path="m,l635000,e" filled="f" strokeweight=".5pt">
                <v:path arrowok="t"/>
                <w10:wrap type="topAndBottom" anchorx="page"/>
              </v:shape>
            </w:pict>
          </mc:Fallback>
        </mc:AlternateContent>
      </w:r>
      <w:r w:rsidRPr="00283806">
        <w:rPr>
          <w:noProof/>
        </w:rPr>
        <mc:AlternateContent>
          <mc:Choice Requires="wps">
            <w:drawing>
              <wp:anchor distT="0" distB="0" distL="0" distR="0" simplePos="0" relativeHeight="251681792" behindDoc="1" locked="0" layoutInCell="1" allowOverlap="1" wp14:anchorId="410E3A9C" wp14:editId="7142965B">
                <wp:simplePos x="0" y="0"/>
                <wp:positionH relativeFrom="page">
                  <wp:posOffset>2819400</wp:posOffset>
                </wp:positionH>
                <wp:positionV relativeFrom="paragraph">
                  <wp:posOffset>139700</wp:posOffset>
                </wp:positionV>
                <wp:extent cx="635000" cy="1270"/>
                <wp:effectExtent l="0" t="0" r="0" b="0"/>
                <wp:wrapTopAndBottom/>
                <wp:docPr id="115" name="Graphic 1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CECEE5F" id="Graphic 115" o:spid="_x0000_s1026" alt="&quot;&quot;" style="position:absolute;margin-left:222pt;margin-top:11pt;width:50pt;height:.1pt;z-index:-251634688;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" path="m,l635000,e" filled="f" strokeweight=".5pt">
                <v:path arrowok="t"/>
                <w10:wrap type="topAndBottom" anchorx="page"/>
              </v:shape>
            </w:pict>
          </mc:Fallback>
        </mc:AlternateContent>
      </w:r>
    </w:p>
    <w:p w14:paraId="2CCA9CFB" w14:textId="77777777" w:rsidR="00D67C1E" w:rsidRPr="00283806" w:rsidRDefault="001265CA">
      <w:pPr>
        <w:tabs>
          <w:tab w:val="left" w:pos="3839"/>
        </w:tabs>
        <w:spacing w:before="36"/>
        <w:ind w:left="300"/>
        <w:rPr>
          <w:sz w:val="14"/>
        </w:rPr>
      </w:pPr>
      <w:r w:rsidRPr="00283806">
        <w:rPr>
          <w:w w:val="110"/>
          <w:position w:val="4"/>
          <w:sz w:val="9"/>
        </w:rPr>
        <w:t>170</w:t>
      </w:r>
      <w:r w:rsidRPr="00283806">
        <w:rPr>
          <w:spacing w:val="12"/>
          <w:w w:val="110"/>
          <w:position w:val="4"/>
          <w:sz w:val="9"/>
        </w:rPr>
        <w:t xml:space="preserve"> </w:t>
      </w:r>
      <w:r w:rsidRPr="00283806">
        <w:rPr>
          <w:w w:val="110"/>
          <w:sz w:val="14"/>
        </w:rPr>
        <w:t>5</w:t>
      </w:r>
      <w:r w:rsidRPr="00283806">
        <w:rPr>
          <w:spacing w:val="25"/>
          <w:w w:val="110"/>
          <w:sz w:val="14"/>
        </w:rPr>
        <w:t xml:space="preserve"> </w:t>
      </w:r>
      <w:r w:rsidRPr="00283806">
        <w:rPr>
          <w:w w:val="110"/>
          <w:sz w:val="14"/>
        </w:rPr>
        <w:t>U.S.C.</w:t>
      </w:r>
      <w:r w:rsidRPr="00283806">
        <w:rPr>
          <w:spacing w:val="25"/>
          <w:w w:val="110"/>
          <w:sz w:val="14"/>
        </w:rPr>
        <w:t xml:space="preserve"> </w:t>
      </w:r>
      <w:r w:rsidRPr="00283806">
        <w:rPr>
          <w:spacing w:val="-4"/>
          <w:w w:val="110"/>
          <w:sz w:val="14"/>
        </w:rPr>
        <w:t>552.</w:t>
      </w:r>
      <w:r w:rsidRPr="00283806">
        <w:rPr>
          <w:sz w:val="14"/>
        </w:rPr>
        <w:tab/>
      </w:r>
      <w:r w:rsidRPr="00283806">
        <w:rPr>
          <w:w w:val="110"/>
          <w:position w:val="4"/>
          <w:sz w:val="9"/>
        </w:rPr>
        <w:t>171</w:t>
      </w:r>
      <w:r w:rsidRPr="00283806">
        <w:rPr>
          <w:spacing w:val="1"/>
          <w:w w:val="110"/>
          <w:position w:val="4"/>
          <w:sz w:val="9"/>
        </w:rPr>
        <w:t xml:space="preserve"> </w:t>
      </w:r>
      <w:r w:rsidRPr="00283806">
        <w:rPr>
          <w:w w:val="110"/>
          <w:sz w:val="14"/>
        </w:rPr>
        <w:t>40</w:t>
      </w:r>
      <w:r w:rsidRPr="00283806">
        <w:rPr>
          <w:spacing w:val="7"/>
          <w:w w:val="110"/>
          <w:sz w:val="14"/>
        </w:rPr>
        <w:t xml:space="preserve"> </w:t>
      </w:r>
      <w:r w:rsidRPr="00283806">
        <w:rPr>
          <w:w w:val="110"/>
          <w:sz w:val="14"/>
        </w:rPr>
        <w:t>CFR</w:t>
      </w:r>
      <w:r w:rsidRPr="00283806">
        <w:rPr>
          <w:spacing w:val="8"/>
          <w:w w:val="110"/>
          <w:sz w:val="14"/>
        </w:rPr>
        <w:t xml:space="preserve"> </w:t>
      </w:r>
      <w:r w:rsidRPr="00283806">
        <w:rPr>
          <w:spacing w:val="-2"/>
          <w:w w:val="110"/>
          <w:sz w:val="14"/>
        </w:rPr>
        <w:t>2.301(a)(2)(i).</w:t>
      </w:r>
    </w:p>
    <w:p w14:paraId="73F50E1D" w14:textId="77777777" w:rsidR="00D67C1E" w:rsidRPr="00283806" w:rsidRDefault="00D67C1E">
      <w:pPr>
        <w:rPr>
          <w:sz w:val="14"/>
        </w:rPr>
        <w:sectPr w:rsidR="00D67C1E" w:rsidRPr="00283806">
          <w:type w:val="continuous"/>
          <w:pgSz w:w="12240" w:h="15840"/>
          <w:pgMar w:top="880" w:right="780" w:bottom="280" w:left="740" w:header="627" w:footer="0" w:gutter="0"/>
          <w:cols w:space="720"/>
        </w:sectPr>
      </w:pPr>
    </w:p>
    <w:p w14:paraId="1B2B72F0" w14:textId="77777777" w:rsidR="00D67C1E" w:rsidRPr="00283806" w:rsidRDefault="001265CA">
      <w:pPr>
        <w:spacing w:before="137" w:line="230" w:lineRule="auto"/>
        <w:ind w:left="2992" w:hanging="2435"/>
        <w:rPr>
          <w:rFonts w:ascii="Arial" w:hAnsi="Arial"/>
          <w:sz w:val="20"/>
        </w:rPr>
      </w:pPr>
      <w:r w:rsidRPr="00283806">
        <w:rPr>
          <w:rFonts w:ascii="Arial" w:hAnsi="Arial"/>
          <w:sz w:val="20"/>
        </w:rPr>
        <w:lastRenderedPageBreak/>
        <w:t>T</w:t>
      </w:r>
      <w:r w:rsidRPr="00283806">
        <w:rPr>
          <w:rFonts w:ascii="Arial" w:hAnsi="Arial"/>
          <w:sz w:val="16"/>
        </w:rPr>
        <w:t xml:space="preserve">ABLE </w:t>
      </w:r>
      <w:r w:rsidRPr="00283806">
        <w:rPr>
          <w:rFonts w:ascii="Arial" w:hAnsi="Arial"/>
          <w:sz w:val="20"/>
        </w:rPr>
        <w:t>3—D</w:t>
      </w:r>
      <w:r w:rsidRPr="00283806">
        <w:rPr>
          <w:rFonts w:ascii="Arial" w:hAnsi="Arial"/>
          <w:sz w:val="16"/>
        </w:rPr>
        <w:t xml:space="preserve">ETERMINATION OF </w:t>
      </w:r>
      <w:r w:rsidRPr="00283806">
        <w:rPr>
          <w:rFonts w:ascii="Arial" w:hAnsi="Arial"/>
          <w:sz w:val="20"/>
        </w:rPr>
        <w:t>C</w:t>
      </w:r>
      <w:r w:rsidRPr="00283806">
        <w:rPr>
          <w:rFonts w:ascii="Arial" w:hAnsi="Arial"/>
          <w:sz w:val="16"/>
        </w:rPr>
        <w:t xml:space="preserve">ONFIDENTIALITY </w:t>
      </w:r>
      <w:r w:rsidRPr="00283806">
        <w:rPr>
          <w:rFonts w:ascii="Arial" w:hAnsi="Arial"/>
          <w:sz w:val="20"/>
        </w:rPr>
        <w:t>S</w:t>
      </w:r>
      <w:r w:rsidRPr="00283806">
        <w:rPr>
          <w:rFonts w:ascii="Arial" w:hAnsi="Arial"/>
          <w:sz w:val="16"/>
        </w:rPr>
        <w:t xml:space="preserve">TATUS FOR </w:t>
      </w:r>
      <w:r w:rsidRPr="00283806">
        <w:rPr>
          <w:rFonts w:ascii="Arial" w:hAnsi="Arial"/>
          <w:sz w:val="20"/>
        </w:rPr>
        <w:t>D</w:t>
      </w:r>
      <w:r w:rsidRPr="00283806">
        <w:rPr>
          <w:rFonts w:ascii="Arial" w:hAnsi="Arial"/>
          <w:sz w:val="16"/>
        </w:rPr>
        <w:t xml:space="preserve">ATA </w:t>
      </w:r>
      <w:r w:rsidRPr="00283806">
        <w:rPr>
          <w:rFonts w:ascii="Arial" w:hAnsi="Arial"/>
          <w:sz w:val="20"/>
        </w:rPr>
        <w:t>E</w:t>
      </w:r>
      <w:r w:rsidRPr="00283806">
        <w:rPr>
          <w:rFonts w:ascii="Arial" w:hAnsi="Arial"/>
          <w:sz w:val="16"/>
        </w:rPr>
        <w:t xml:space="preserve">LEMENTS </w:t>
      </w:r>
      <w:r w:rsidRPr="00283806">
        <w:rPr>
          <w:rFonts w:ascii="Arial" w:hAnsi="Arial"/>
          <w:sz w:val="20"/>
        </w:rPr>
        <w:t>R</w:t>
      </w:r>
      <w:r w:rsidRPr="00283806">
        <w:rPr>
          <w:rFonts w:ascii="Arial" w:hAnsi="Arial"/>
          <w:sz w:val="16"/>
        </w:rPr>
        <w:t xml:space="preserve">ELATED TO </w:t>
      </w:r>
      <w:r w:rsidRPr="00283806">
        <w:rPr>
          <w:rFonts w:ascii="Arial" w:hAnsi="Arial"/>
          <w:sz w:val="20"/>
        </w:rPr>
        <w:t>O</w:t>
      </w:r>
      <w:r w:rsidRPr="00283806">
        <w:rPr>
          <w:rFonts w:ascii="Arial" w:hAnsi="Arial"/>
          <w:sz w:val="16"/>
        </w:rPr>
        <w:t xml:space="preserve">THER </w:t>
      </w:r>
      <w:r w:rsidRPr="00283806">
        <w:rPr>
          <w:rFonts w:ascii="Arial" w:hAnsi="Arial"/>
          <w:sz w:val="20"/>
        </w:rPr>
        <w:t>L</w:t>
      </w:r>
      <w:r w:rsidRPr="00283806">
        <w:rPr>
          <w:rFonts w:ascii="Arial" w:hAnsi="Arial"/>
          <w:sz w:val="16"/>
        </w:rPr>
        <w:t xml:space="preserve">EAK </w:t>
      </w:r>
      <w:r w:rsidRPr="00283806">
        <w:rPr>
          <w:rFonts w:ascii="Arial" w:hAnsi="Arial"/>
          <w:sz w:val="20"/>
        </w:rPr>
        <w:t>R</w:t>
      </w:r>
      <w:r w:rsidRPr="00283806">
        <w:rPr>
          <w:rFonts w:ascii="Arial" w:hAnsi="Arial"/>
          <w:sz w:val="16"/>
        </w:rPr>
        <w:t>EPAIR</w:t>
      </w:r>
      <w:r w:rsidRPr="00283806">
        <w:rPr>
          <w:rFonts w:ascii="Arial" w:hAnsi="Arial"/>
          <w:spacing w:val="80"/>
          <w:sz w:val="16"/>
        </w:rPr>
        <w:t xml:space="preserve"> </w:t>
      </w:r>
      <w:r w:rsidRPr="00283806">
        <w:rPr>
          <w:rFonts w:ascii="Arial" w:hAnsi="Arial"/>
          <w:sz w:val="20"/>
        </w:rPr>
        <w:t>N</w:t>
      </w:r>
      <w:r w:rsidRPr="00283806">
        <w:rPr>
          <w:rFonts w:ascii="Arial" w:hAnsi="Arial"/>
          <w:sz w:val="16"/>
        </w:rPr>
        <w:t xml:space="preserve">OTIFICATIONS AND </w:t>
      </w:r>
      <w:r w:rsidRPr="00283806">
        <w:rPr>
          <w:rFonts w:ascii="Arial" w:hAnsi="Arial"/>
          <w:sz w:val="20"/>
        </w:rPr>
        <w:t>E</w:t>
      </w:r>
      <w:r w:rsidRPr="00283806">
        <w:rPr>
          <w:rFonts w:ascii="Arial" w:hAnsi="Arial"/>
          <w:sz w:val="16"/>
        </w:rPr>
        <w:t xml:space="preserve">XTENSION </w:t>
      </w:r>
      <w:r w:rsidRPr="00283806">
        <w:rPr>
          <w:rFonts w:ascii="Arial" w:hAnsi="Arial"/>
          <w:sz w:val="20"/>
        </w:rPr>
        <w:t>R</w:t>
      </w:r>
      <w:r w:rsidRPr="00283806">
        <w:rPr>
          <w:rFonts w:ascii="Arial" w:hAnsi="Arial"/>
          <w:sz w:val="16"/>
        </w:rPr>
        <w:t>EQUESTS</w:t>
      </w:r>
      <w:r w:rsidRPr="00283806">
        <w:rPr>
          <w:rFonts w:ascii="Arial" w:hAnsi="Arial"/>
          <w:sz w:val="20"/>
        </w:rPr>
        <w:t>—Continued</w:t>
      </w:r>
    </w:p>
    <w:p w14:paraId="6CE5132A" w14:textId="77777777" w:rsidR="00D67C1E" w:rsidRPr="00283806" w:rsidRDefault="00D67C1E">
      <w:pPr>
        <w:pStyle w:val="BodyText"/>
        <w:spacing w:before="3"/>
        <w:ind w:left="0"/>
        <w:rPr>
          <w:rFonts w:ascii="Arial"/>
          <w:sz w:val="10"/>
        </w:rPr>
      </w:pPr>
    </w:p>
    <w:tbl>
      <w:tblPr>
        <w:tblW w:w="0" w:type="auto"/>
        <w:tblInd w:w="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27"/>
        <w:gridCol w:w="3014"/>
      </w:tblGrid>
      <w:tr w:rsidR="00D67C1E" w:rsidRPr="00283806" w14:paraId="2CF8EE9C" w14:textId="77777777">
        <w:trPr>
          <w:trHeight w:val="317"/>
        </w:trPr>
        <w:tc>
          <w:tcPr>
            <w:tcW w:w="7427" w:type="dxa"/>
            <w:tcBorders>
              <w:left w:val="nil"/>
            </w:tcBorders>
          </w:tcPr>
          <w:p w14:paraId="2B1D1205" w14:textId="77777777" w:rsidR="00D67C1E" w:rsidRPr="00283806" w:rsidRDefault="001265CA">
            <w:pPr>
              <w:pStyle w:val="TableParagraph"/>
              <w:spacing w:before="57" w:line="240" w:lineRule="auto"/>
              <w:ind w:right="74"/>
              <w:rPr>
                <w:sz w:val="16"/>
              </w:rPr>
            </w:pPr>
            <w:r w:rsidRPr="00283806">
              <w:rPr>
                <w:sz w:val="16"/>
              </w:rPr>
              <w:t>Description</w:t>
            </w:r>
            <w:r w:rsidRPr="00283806">
              <w:rPr>
                <w:spacing w:val="4"/>
                <w:sz w:val="16"/>
              </w:rPr>
              <w:t xml:space="preserve"> </w:t>
            </w:r>
            <w:r w:rsidRPr="00283806">
              <w:rPr>
                <w:sz w:val="16"/>
              </w:rPr>
              <w:t>of</w:t>
            </w:r>
            <w:r w:rsidRPr="00283806">
              <w:rPr>
                <w:spacing w:val="4"/>
                <w:sz w:val="16"/>
              </w:rPr>
              <w:t xml:space="preserve"> </w:t>
            </w:r>
            <w:r w:rsidRPr="00283806">
              <w:rPr>
                <w:sz w:val="16"/>
              </w:rPr>
              <w:t>data</w:t>
            </w:r>
            <w:r w:rsidRPr="00283806">
              <w:rPr>
                <w:spacing w:val="4"/>
                <w:sz w:val="16"/>
              </w:rPr>
              <w:t xml:space="preserve"> </w:t>
            </w:r>
            <w:r w:rsidRPr="00283806">
              <w:rPr>
                <w:spacing w:val="-2"/>
                <w:sz w:val="16"/>
              </w:rPr>
              <w:t>element</w:t>
            </w:r>
          </w:p>
        </w:tc>
        <w:tc>
          <w:tcPr>
            <w:tcW w:w="3014" w:type="dxa"/>
            <w:tcBorders>
              <w:right w:val="nil"/>
            </w:tcBorders>
          </w:tcPr>
          <w:p w14:paraId="154902B1" w14:textId="77777777" w:rsidR="00D67C1E" w:rsidRPr="00283806" w:rsidRDefault="001265CA">
            <w:pPr>
              <w:pStyle w:val="TableParagraph"/>
              <w:spacing w:before="57" w:line="240" w:lineRule="auto"/>
              <w:ind w:left="259"/>
              <w:jc w:val="left"/>
              <w:rPr>
                <w:sz w:val="10"/>
              </w:rPr>
            </w:pPr>
            <w:r w:rsidRPr="00283806">
              <w:rPr>
                <w:sz w:val="16"/>
              </w:rPr>
              <w:t>Confidentiality</w:t>
            </w:r>
            <w:r w:rsidRPr="00283806">
              <w:rPr>
                <w:spacing w:val="-1"/>
                <w:sz w:val="16"/>
              </w:rPr>
              <w:t xml:space="preserve"> </w:t>
            </w:r>
            <w:r w:rsidRPr="00283806">
              <w:rPr>
                <w:sz w:val="16"/>
              </w:rPr>
              <w:t>status</w:t>
            </w:r>
            <w:r w:rsidRPr="00283806">
              <w:rPr>
                <w:spacing w:val="3"/>
                <w:sz w:val="16"/>
              </w:rPr>
              <w:t xml:space="preserve"> </w:t>
            </w:r>
            <w:r w:rsidRPr="00283806">
              <w:rPr>
                <w:sz w:val="16"/>
              </w:rPr>
              <w:t>and</w:t>
            </w:r>
            <w:r w:rsidRPr="00283806">
              <w:rPr>
                <w:spacing w:val="3"/>
                <w:sz w:val="16"/>
              </w:rPr>
              <w:t xml:space="preserve"> </w:t>
            </w:r>
            <w:r w:rsidRPr="00283806">
              <w:rPr>
                <w:sz w:val="16"/>
              </w:rPr>
              <w:t>rationale</w:t>
            </w:r>
            <w:r w:rsidRPr="00283806">
              <w:rPr>
                <w:spacing w:val="-19"/>
                <w:sz w:val="16"/>
              </w:rPr>
              <w:t xml:space="preserve"> </w:t>
            </w:r>
            <w:r w:rsidRPr="00283806">
              <w:rPr>
                <w:spacing w:val="-10"/>
                <w:position w:val="4"/>
                <w:sz w:val="10"/>
              </w:rPr>
              <w:t>a</w:t>
            </w:r>
          </w:p>
        </w:tc>
      </w:tr>
      <w:tr w:rsidR="00D67C1E" w:rsidRPr="00283806" w14:paraId="53B2EBF4" w14:textId="77777777">
        <w:trPr>
          <w:trHeight w:val="4090"/>
        </w:trPr>
        <w:tc>
          <w:tcPr>
            <w:tcW w:w="7427" w:type="dxa"/>
            <w:tcBorders>
              <w:left w:val="nil"/>
            </w:tcBorders>
          </w:tcPr>
          <w:p w14:paraId="64E693E3" w14:textId="77777777" w:rsidR="00D67C1E" w:rsidRPr="00283806" w:rsidRDefault="001265CA">
            <w:pPr>
              <w:pStyle w:val="TableParagraph"/>
              <w:spacing w:before="80" w:line="235" w:lineRule="auto"/>
              <w:ind w:left="165" w:right="113" w:hanging="160"/>
              <w:jc w:val="left"/>
              <w:rPr>
                <w:sz w:val="16"/>
              </w:rPr>
            </w:pPr>
            <w:r w:rsidRPr="00283806">
              <w:rPr>
                <w:i/>
                <w:sz w:val="16"/>
              </w:rPr>
              <w:t xml:space="preserve">Relief from the obligation to retrofit or retire a refrigerant-containing appliance: </w:t>
            </w:r>
            <w:r w:rsidRPr="00283806">
              <w:rPr>
                <w:sz w:val="16"/>
              </w:rPr>
              <w:t xml:space="preserve">The date that the re- </w:t>
            </w:r>
            <w:proofErr w:type="spellStart"/>
            <w:r w:rsidRPr="00283806">
              <w:rPr>
                <w:sz w:val="16"/>
              </w:rPr>
              <w:t>quirement</w:t>
            </w:r>
            <w:proofErr w:type="spellEnd"/>
            <w:r w:rsidRPr="00283806">
              <w:rPr>
                <w:sz w:val="16"/>
              </w:rPr>
              <w:t xml:space="preserve"> to develop a retrofit or retirement plan was triggered; the leak rate; the method used to determine the leak rate and full charge; the location of the leak(s) identified in the leak inspection; a description of repair work that has been completed; a description of the repairs that have not been completed; a description of why repairs were not conducted within the applicable time frame; and a statement signed by an authorized company official that all identified leaks will be repaired and an estimate of when those repairs will be completed (not to exceed one year from date of the plan).</w:t>
            </w:r>
          </w:p>
          <w:p w14:paraId="7CC454A9" w14:textId="77777777" w:rsidR="00D67C1E" w:rsidRPr="00283806" w:rsidRDefault="001265CA">
            <w:pPr>
              <w:pStyle w:val="TableParagraph"/>
              <w:spacing w:line="235" w:lineRule="auto"/>
              <w:ind w:left="166" w:right="113" w:hanging="160"/>
              <w:jc w:val="left"/>
              <w:rPr>
                <w:sz w:val="16"/>
              </w:rPr>
            </w:pPr>
            <w:r w:rsidRPr="00283806">
              <w:rPr>
                <w:i/>
                <w:sz w:val="16"/>
              </w:rPr>
              <w:t xml:space="preserve">Extension of time to complete the retrofit or retirement of a refrigerant-containing appliance: </w:t>
            </w:r>
            <w:proofErr w:type="spellStart"/>
            <w:r w:rsidRPr="00283806">
              <w:rPr>
                <w:sz w:val="16"/>
              </w:rPr>
              <w:t>Identifica</w:t>
            </w:r>
            <w:proofErr w:type="spellEnd"/>
            <w:r w:rsidRPr="00283806">
              <w:rPr>
                <w:sz w:val="16"/>
              </w:rPr>
              <w:t xml:space="preserve">- </w:t>
            </w:r>
            <w:proofErr w:type="spellStart"/>
            <w:r w:rsidRPr="00283806">
              <w:rPr>
                <w:sz w:val="16"/>
              </w:rPr>
              <w:t>tion</w:t>
            </w:r>
            <w:proofErr w:type="spellEnd"/>
            <w:r w:rsidRPr="00283806">
              <w:rPr>
                <w:sz w:val="16"/>
              </w:rPr>
              <w:t xml:space="preserve"> of the refrigerant-containing appliance; name of the owner or operator; the leak rate; the meth-</w:t>
            </w:r>
            <w:r w:rsidRPr="00283806">
              <w:rPr>
                <w:spacing w:val="40"/>
                <w:sz w:val="16"/>
              </w:rPr>
              <w:t xml:space="preserve"> </w:t>
            </w:r>
            <w:r w:rsidRPr="00283806">
              <w:rPr>
                <w:sz w:val="16"/>
              </w:rPr>
              <w:t xml:space="preserve">od used to determine the leak rate and full charge; the date the refrigerant-containing appliance ex- </w:t>
            </w:r>
            <w:proofErr w:type="spellStart"/>
            <w:r w:rsidRPr="00283806">
              <w:rPr>
                <w:sz w:val="16"/>
              </w:rPr>
              <w:t>ceeded</w:t>
            </w:r>
            <w:proofErr w:type="spellEnd"/>
            <w:r w:rsidRPr="00283806">
              <w:rPr>
                <w:sz w:val="16"/>
              </w:rPr>
              <w:t xml:space="preserve"> the applicable leak rate; the location of leak(s) to the extent determined to date; any repairs that have been finished thus far, including the date that repairs were finished; a plan to finish the retrofit or retirement of the refrigerant-containing appliance; the reasons why more than one year is necessary</w:t>
            </w:r>
            <w:r w:rsidRPr="00283806">
              <w:rPr>
                <w:spacing w:val="19"/>
                <w:sz w:val="16"/>
              </w:rPr>
              <w:t xml:space="preserve"> </w:t>
            </w:r>
            <w:r w:rsidRPr="00283806">
              <w:rPr>
                <w:sz w:val="16"/>
              </w:rPr>
              <w:t>to</w:t>
            </w:r>
            <w:r w:rsidRPr="00283806">
              <w:rPr>
                <w:spacing w:val="19"/>
                <w:sz w:val="16"/>
              </w:rPr>
              <w:t xml:space="preserve"> </w:t>
            </w:r>
            <w:r w:rsidRPr="00283806">
              <w:rPr>
                <w:sz w:val="16"/>
              </w:rPr>
              <w:t>retrofit</w:t>
            </w:r>
            <w:r w:rsidRPr="00283806">
              <w:rPr>
                <w:spacing w:val="19"/>
                <w:sz w:val="16"/>
              </w:rPr>
              <w:t xml:space="preserve"> </w:t>
            </w:r>
            <w:r w:rsidRPr="00283806">
              <w:rPr>
                <w:sz w:val="16"/>
              </w:rPr>
              <w:t>or</w:t>
            </w:r>
            <w:r w:rsidRPr="00283806">
              <w:rPr>
                <w:spacing w:val="19"/>
                <w:sz w:val="16"/>
              </w:rPr>
              <w:t xml:space="preserve"> </w:t>
            </w:r>
            <w:r w:rsidRPr="00283806">
              <w:rPr>
                <w:sz w:val="16"/>
              </w:rPr>
              <w:t>retire</w:t>
            </w:r>
            <w:r w:rsidRPr="00283806">
              <w:rPr>
                <w:spacing w:val="19"/>
                <w:sz w:val="16"/>
              </w:rPr>
              <w:t xml:space="preserve"> </w:t>
            </w:r>
            <w:r w:rsidRPr="00283806">
              <w:rPr>
                <w:sz w:val="16"/>
              </w:rPr>
              <w:t>the</w:t>
            </w:r>
            <w:r w:rsidRPr="00283806">
              <w:rPr>
                <w:spacing w:val="19"/>
                <w:sz w:val="16"/>
              </w:rPr>
              <w:t xml:space="preserve"> </w:t>
            </w:r>
            <w:r w:rsidRPr="00283806">
              <w:rPr>
                <w:sz w:val="16"/>
              </w:rPr>
              <w:t>refrigerant-containing</w:t>
            </w:r>
            <w:r w:rsidRPr="00283806">
              <w:rPr>
                <w:spacing w:val="19"/>
                <w:sz w:val="16"/>
              </w:rPr>
              <w:t xml:space="preserve"> </w:t>
            </w:r>
            <w:r w:rsidRPr="00283806">
              <w:rPr>
                <w:sz w:val="16"/>
              </w:rPr>
              <w:t>appliance;</w:t>
            </w:r>
            <w:r w:rsidRPr="00283806">
              <w:rPr>
                <w:spacing w:val="19"/>
                <w:sz w:val="16"/>
              </w:rPr>
              <w:t xml:space="preserve"> </w:t>
            </w:r>
            <w:r w:rsidRPr="00283806">
              <w:rPr>
                <w:sz w:val="16"/>
              </w:rPr>
              <w:t>the</w:t>
            </w:r>
            <w:r w:rsidRPr="00283806">
              <w:rPr>
                <w:spacing w:val="19"/>
                <w:sz w:val="16"/>
              </w:rPr>
              <w:t xml:space="preserve"> </w:t>
            </w:r>
            <w:r w:rsidRPr="00283806">
              <w:rPr>
                <w:sz w:val="16"/>
              </w:rPr>
              <w:t>date</w:t>
            </w:r>
            <w:r w:rsidRPr="00283806">
              <w:rPr>
                <w:spacing w:val="19"/>
                <w:sz w:val="16"/>
              </w:rPr>
              <w:t xml:space="preserve"> </w:t>
            </w:r>
            <w:r w:rsidRPr="00283806">
              <w:rPr>
                <w:sz w:val="16"/>
              </w:rPr>
              <w:t>of</w:t>
            </w:r>
            <w:r w:rsidRPr="00283806">
              <w:rPr>
                <w:spacing w:val="19"/>
                <w:sz w:val="16"/>
              </w:rPr>
              <w:t xml:space="preserve"> </w:t>
            </w:r>
            <w:r w:rsidRPr="00283806">
              <w:rPr>
                <w:sz w:val="16"/>
              </w:rPr>
              <w:t>notification</w:t>
            </w:r>
            <w:r w:rsidRPr="00283806">
              <w:rPr>
                <w:spacing w:val="19"/>
                <w:sz w:val="16"/>
              </w:rPr>
              <w:t xml:space="preserve"> </w:t>
            </w:r>
            <w:r w:rsidRPr="00283806">
              <w:rPr>
                <w:sz w:val="16"/>
              </w:rPr>
              <w:t>to</w:t>
            </w:r>
            <w:r w:rsidRPr="00283806">
              <w:rPr>
                <w:spacing w:val="19"/>
                <w:sz w:val="16"/>
              </w:rPr>
              <w:t xml:space="preserve"> </w:t>
            </w:r>
            <w:r w:rsidRPr="00283806">
              <w:rPr>
                <w:sz w:val="16"/>
              </w:rPr>
              <w:t>EPA; and an estimate of when retrofit or retirement work will be finished.</w:t>
            </w:r>
          </w:p>
          <w:p w14:paraId="12F0D880" w14:textId="77777777" w:rsidR="00D67C1E" w:rsidRPr="00283806" w:rsidRDefault="001265CA">
            <w:pPr>
              <w:pStyle w:val="TableParagraph"/>
              <w:spacing w:line="235" w:lineRule="auto"/>
              <w:ind w:left="165" w:right="137" w:hanging="160"/>
              <w:jc w:val="left"/>
              <w:rPr>
                <w:sz w:val="16"/>
              </w:rPr>
            </w:pPr>
            <w:r w:rsidRPr="00283806">
              <w:rPr>
                <w:i/>
                <w:sz w:val="16"/>
              </w:rPr>
              <w:t xml:space="preserve">Notification of exclusion of purged refrigerants that are destroyed from annual leak rate calculations: </w:t>
            </w:r>
            <w:r w:rsidRPr="00283806">
              <w:rPr>
                <w:sz w:val="16"/>
              </w:rPr>
              <w:t>The</w:t>
            </w:r>
            <w:r w:rsidRPr="00283806">
              <w:rPr>
                <w:spacing w:val="9"/>
                <w:sz w:val="16"/>
              </w:rPr>
              <w:t xml:space="preserve"> </w:t>
            </w:r>
            <w:r w:rsidRPr="00283806">
              <w:rPr>
                <w:sz w:val="16"/>
              </w:rPr>
              <w:t>identification</w:t>
            </w:r>
            <w:r w:rsidRPr="00283806">
              <w:rPr>
                <w:spacing w:val="9"/>
                <w:sz w:val="16"/>
              </w:rPr>
              <w:t xml:space="preserve"> </w:t>
            </w:r>
            <w:r w:rsidRPr="00283806">
              <w:rPr>
                <w:sz w:val="16"/>
              </w:rPr>
              <w:t>of</w:t>
            </w:r>
            <w:r w:rsidRPr="00283806">
              <w:rPr>
                <w:spacing w:val="9"/>
                <w:sz w:val="16"/>
              </w:rPr>
              <w:t xml:space="preserve"> </w:t>
            </w:r>
            <w:r w:rsidRPr="00283806">
              <w:rPr>
                <w:sz w:val="16"/>
              </w:rPr>
              <w:t>the</w:t>
            </w:r>
            <w:r w:rsidRPr="00283806">
              <w:rPr>
                <w:spacing w:val="9"/>
                <w:sz w:val="16"/>
              </w:rPr>
              <w:t xml:space="preserve"> </w:t>
            </w:r>
            <w:r w:rsidRPr="00283806">
              <w:rPr>
                <w:sz w:val="16"/>
              </w:rPr>
              <w:t>facility</w:t>
            </w:r>
            <w:r w:rsidRPr="00283806">
              <w:rPr>
                <w:spacing w:val="9"/>
                <w:sz w:val="16"/>
              </w:rPr>
              <w:t xml:space="preserve"> </w:t>
            </w:r>
            <w:r w:rsidRPr="00283806">
              <w:rPr>
                <w:sz w:val="16"/>
              </w:rPr>
              <w:t>and</w:t>
            </w:r>
            <w:r w:rsidRPr="00283806">
              <w:rPr>
                <w:spacing w:val="9"/>
                <w:sz w:val="16"/>
              </w:rPr>
              <w:t xml:space="preserve"> </w:t>
            </w:r>
            <w:r w:rsidRPr="00283806">
              <w:rPr>
                <w:sz w:val="16"/>
              </w:rPr>
              <w:t>a</w:t>
            </w:r>
            <w:r w:rsidRPr="00283806">
              <w:rPr>
                <w:spacing w:val="9"/>
                <w:sz w:val="16"/>
              </w:rPr>
              <w:t xml:space="preserve"> </w:t>
            </w:r>
            <w:r w:rsidRPr="00283806">
              <w:rPr>
                <w:sz w:val="16"/>
              </w:rPr>
              <w:t>contact</w:t>
            </w:r>
            <w:r w:rsidRPr="00283806">
              <w:rPr>
                <w:spacing w:val="9"/>
                <w:sz w:val="16"/>
              </w:rPr>
              <w:t xml:space="preserve"> </w:t>
            </w:r>
            <w:r w:rsidRPr="00283806">
              <w:rPr>
                <w:sz w:val="16"/>
              </w:rPr>
              <w:t>person,</w:t>
            </w:r>
            <w:r w:rsidRPr="00283806">
              <w:rPr>
                <w:spacing w:val="9"/>
                <w:sz w:val="16"/>
              </w:rPr>
              <w:t xml:space="preserve"> </w:t>
            </w:r>
            <w:r w:rsidRPr="00283806">
              <w:rPr>
                <w:sz w:val="16"/>
              </w:rPr>
              <w:t>including</w:t>
            </w:r>
            <w:r w:rsidRPr="00283806">
              <w:rPr>
                <w:spacing w:val="9"/>
                <w:sz w:val="16"/>
              </w:rPr>
              <w:t xml:space="preserve"> </w:t>
            </w:r>
            <w:r w:rsidRPr="00283806">
              <w:rPr>
                <w:sz w:val="16"/>
              </w:rPr>
              <w:t>the</w:t>
            </w:r>
            <w:r w:rsidRPr="00283806">
              <w:rPr>
                <w:spacing w:val="9"/>
                <w:sz w:val="16"/>
              </w:rPr>
              <w:t xml:space="preserve"> </w:t>
            </w:r>
            <w:r w:rsidRPr="00283806">
              <w:rPr>
                <w:sz w:val="16"/>
              </w:rPr>
              <w:t>address</w:t>
            </w:r>
            <w:r w:rsidRPr="00283806">
              <w:rPr>
                <w:spacing w:val="9"/>
                <w:sz w:val="16"/>
              </w:rPr>
              <w:t xml:space="preserve"> </w:t>
            </w:r>
            <w:r w:rsidRPr="00283806">
              <w:rPr>
                <w:sz w:val="16"/>
              </w:rPr>
              <w:t>and</w:t>
            </w:r>
            <w:r w:rsidRPr="00283806">
              <w:rPr>
                <w:spacing w:val="9"/>
                <w:sz w:val="16"/>
              </w:rPr>
              <w:t xml:space="preserve"> </w:t>
            </w:r>
            <w:r w:rsidRPr="00283806">
              <w:rPr>
                <w:sz w:val="16"/>
              </w:rPr>
              <w:t>telephone</w:t>
            </w:r>
            <w:r w:rsidRPr="00283806">
              <w:rPr>
                <w:spacing w:val="9"/>
                <w:sz w:val="16"/>
              </w:rPr>
              <w:t xml:space="preserve"> </w:t>
            </w:r>
            <w:r w:rsidRPr="00283806">
              <w:rPr>
                <w:sz w:val="16"/>
              </w:rPr>
              <w:t>number; a description of the refrigerant-containing appliance, focusing on aspects relevant to the purging of refrigerant and subsequent destruction; a description of the methods used to determine the quantity of refrigerant sent for destruction and type of records that are being kept by the owners or opera-</w:t>
            </w:r>
            <w:r w:rsidRPr="00283806">
              <w:rPr>
                <w:spacing w:val="80"/>
                <w:sz w:val="16"/>
              </w:rPr>
              <w:t xml:space="preserve"> </w:t>
            </w:r>
            <w:r w:rsidRPr="00283806">
              <w:rPr>
                <w:sz w:val="16"/>
              </w:rPr>
              <w:t xml:space="preserve">tors where the appliance is located; the frequency of monitoring and data-recording; and a </w:t>
            </w:r>
            <w:proofErr w:type="spellStart"/>
            <w:r w:rsidRPr="00283806">
              <w:rPr>
                <w:sz w:val="16"/>
              </w:rPr>
              <w:t>descrip</w:t>
            </w:r>
            <w:proofErr w:type="spellEnd"/>
            <w:r w:rsidRPr="00283806">
              <w:rPr>
                <w:sz w:val="16"/>
              </w:rPr>
              <w:t xml:space="preserve">- </w:t>
            </w:r>
            <w:proofErr w:type="spellStart"/>
            <w:r w:rsidRPr="00283806">
              <w:rPr>
                <w:sz w:val="16"/>
              </w:rPr>
              <w:t>tion</w:t>
            </w:r>
            <w:proofErr w:type="spellEnd"/>
            <w:r w:rsidRPr="00283806">
              <w:rPr>
                <w:sz w:val="16"/>
              </w:rPr>
              <w:t xml:space="preserve"> of the control device, and its destruction efficiency.</w:t>
            </w:r>
          </w:p>
        </w:tc>
        <w:tc>
          <w:tcPr>
            <w:tcW w:w="3014" w:type="dxa"/>
            <w:tcBorders>
              <w:right w:val="nil"/>
            </w:tcBorders>
          </w:tcPr>
          <w:p w14:paraId="3CAE58C7" w14:textId="77777777" w:rsidR="00D67C1E" w:rsidRPr="00283806" w:rsidRDefault="001265CA">
            <w:pPr>
              <w:pStyle w:val="TableParagraph"/>
              <w:spacing w:before="77" w:line="240" w:lineRule="auto"/>
              <w:ind w:left="77"/>
              <w:jc w:val="left"/>
              <w:rPr>
                <w:sz w:val="16"/>
              </w:rPr>
            </w:pPr>
            <w:r w:rsidRPr="00283806">
              <w:rPr>
                <w:sz w:val="16"/>
              </w:rPr>
              <w:t>No</w:t>
            </w:r>
            <w:r w:rsidRPr="00283806">
              <w:rPr>
                <w:spacing w:val="4"/>
                <w:sz w:val="16"/>
              </w:rPr>
              <w:t xml:space="preserve"> </w:t>
            </w:r>
            <w:r w:rsidRPr="00283806">
              <w:rPr>
                <w:sz w:val="16"/>
              </w:rPr>
              <w:t>confidential</w:t>
            </w:r>
            <w:r w:rsidRPr="00283806">
              <w:rPr>
                <w:spacing w:val="5"/>
                <w:sz w:val="16"/>
              </w:rPr>
              <w:t xml:space="preserve"> </w:t>
            </w:r>
            <w:r w:rsidRPr="00283806">
              <w:rPr>
                <w:sz w:val="16"/>
              </w:rPr>
              <w:t>treatment/Emission</w:t>
            </w:r>
            <w:r w:rsidRPr="00283806">
              <w:rPr>
                <w:spacing w:val="4"/>
                <w:sz w:val="16"/>
              </w:rPr>
              <w:t xml:space="preserve"> </w:t>
            </w:r>
            <w:r w:rsidRPr="00283806">
              <w:rPr>
                <w:spacing w:val="-2"/>
                <w:sz w:val="16"/>
              </w:rPr>
              <w:t>data.</w:t>
            </w:r>
          </w:p>
          <w:p w14:paraId="07909F91" w14:textId="77777777" w:rsidR="00D67C1E" w:rsidRPr="00283806" w:rsidRDefault="00D67C1E">
            <w:pPr>
              <w:pStyle w:val="TableParagraph"/>
              <w:spacing w:line="240" w:lineRule="auto"/>
              <w:jc w:val="left"/>
              <w:rPr>
                <w:sz w:val="16"/>
              </w:rPr>
            </w:pPr>
          </w:p>
          <w:p w14:paraId="524625E9" w14:textId="77777777" w:rsidR="00D67C1E" w:rsidRPr="00283806" w:rsidRDefault="00D67C1E">
            <w:pPr>
              <w:pStyle w:val="TableParagraph"/>
              <w:spacing w:line="240" w:lineRule="auto"/>
              <w:jc w:val="left"/>
              <w:rPr>
                <w:sz w:val="16"/>
              </w:rPr>
            </w:pPr>
          </w:p>
          <w:p w14:paraId="68294A3D" w14:textId="77777777" w:rsidR="00D67C1E" w:rsidRPr="00283806" w:rsidRDefault="00D67C1E">
            <w:pPr>
              <w:pStyle w:val="TableParagraph"/>
              <w:spacing w:line="240" w:lineRule="auto"/>
              <w:jc w:val="left"/>
              <w:rPr>
                <w:sz w:val="16"/>
              </w:rPr>
            </w:pPr>
          </w:p>
          <w:p w14:paraId="1311E3E6" w14:textId="77777777" w:rsidR="00D67C1E" w:rsidRPr="00283806" w:rsidRDefault="00D67C1E">
            <w:pPr>
              <w:pStyle w:val="TableParagraph"/>
              <w:spacing w:line="240" w:lineRule="auto"/>
              <w:jc w:val="left"/>
              <w:rPr>
                <w:sz w:val="16"/>
              </w:rPr>
            </w:pPr>
          </w:p>
          <w:p w14:paraId="3060AAF3" w14:textId="77777777" w:rsidR="00D67C1E" w:rsidRPr="00283806" w:rsidRDefault="00D67C1E">
            <w:pPr>
              <w:pStyle w:val="TableParagraph"/>
              <w:spacing w:before="156" w:line="240" w:lineRule="auto"/>
              <w:jc w:val="left"/>
              <w:rPr>
                <w:sz w:val="16"/>
              </w:rPr>
            </w:pPr>
          </w:p>
          <w:p w14:paraId="078AEF31" w14:textId="77777777" w:rsidR="00D67C1E" w:rsidRPr="00283806" w:rsidRDefault="001265CA">
            <w:pPr>
              <w:pStyle w:val="TableParagraph"/>
              <w:spacing w:line="240" w:lineRule="auto"/>
              <w:ind w:left="77"/>
              <w:jc w:val="left"/>
              <w:rPr>
                <w:sz w:val="16"/>
              </w:rPr>
            </w:pPr>
            <w:r w:rsidRPr="00283806">
              <w:rPr>
                <w:sz w:val="16"/>
              </w:rPr>
              <w:t>No</w:t>
            </w:r>
            <w:r w:rsidRPr="00283806">
              <w:rPr>
                <w:spacing w:val="4"/>
                <w:sz w:val="16"/>
              </w:rPr>
              <w:t xml:space="preserve"> </w:t>
            </w:r>
            <w:r w:rsidRPr="00283806">
              <w:rPr>
                <w:sz w:val="16"/>
              </w:rPr>
              <w:t>confidential</w:t>
            </w:r>
            <w:r w:rsidRPr="00283806">
              <w:rPr>
                <w:spacing w:val="5"/>
                <w:sz w:val="16"/>
              </w:rPr>
              <w:t xml:space="preserve"> </w:t>
            </w:r>
            <w:r w:rsidRPr="00283806">
              <w:rPr>
                <w:sz w:val="16"/>
              </w:rPr>
              <w:t>treatment/Emission</w:t>
            </w:r>
            <w:r w:rsidRPr="00283806">
              <w:rPr>
                <w:spacing w:val="4"/>
                <w:sz w:val="16"/>
              </w:rPr>
              <w:t xml:space="preserve"> </w:t>
            </w:r>
            <w:r w:rsidRPr="00283806">
              <w:rPr>
                <w:spacing w:val="-2"/>
                <w:sz w:val="16"/>
              </w:rPr>
              <w:t>data.</w:t>
            </w:r>
          </w:p>
          <w:p w14:paraId="7806E624" w14:textId="77777777" w:rsidR="00D67C1E" w:rsidRPr="00283806" w:rsidRDefault="00D67C1E">
            <w:pPr>
              <w:pStyle w:val="TableParagraph"/>
              <w:spacing w:line="240" w:lineRule="auto"/>
              <w:jc w:val="left"/>
              <w:rPr>
                <w:sz w:val="16"/>
              </w:rPr>
            </w:pPr>
          </w:p>
          <w:p w14:paraId="3BB7EDE3" w14:textId="77777777" w:rsidR="00D67C1E" w:rsidRPr="00283806" w:rsidRDefault="00D67C1E">
            <w:pPr>
              <w:pStyle w:val="TableParagraph"/>
              <w:spacing w:line="240" w:lineRule="auto"/>
              <w:jc w:val="left"/>
              <w:rPr>
                <w:sz w:val="16"/>
              </w:rPr>
            </w:pPr>
          </w:p>
          <w:p w14:paraId="1A2DEC38" w14:textId="77777777" w:rsidR="00D67C1E" w:rsidRPr="00283806" w:rsidRDefault="00D67C1E">
            <w:pPr>
              <w:pStyle w:val="TableParagraph"/>
              <w:spacing w:line="240" w:lineRule="auto"/>
              <w:jc w:val="left"/>
              <w:rPr>
                <w:sz w:val="16"/>
              </w:rPr>
            </w:pPr>
          </w:p>
          <w:p w14:paraId="6ECBD025" w14:textId="77777777" w:rsidR="00D67C1E" w:rsidRPr="00283806" w:rsidRDefault="00D67C1E">
            <w:pPr>
              <w:pStyle w:val="TableParagraph"/>
              <w:spacing w:line="240" w:lineRule="auto"/>
              <w:jc w:val="left"/>
              <w:rPr>
                <w:sz w:val="16"/>
              </w:rPr>
            </w:pPr>
          </w:p>
          <w:p w14:paraId="1BFD174D" w14:textId="77777777" w:rsidR="00D67C1E" w:rsidRPr="00283806" w:rsidRDefault="00D67C1E">
            <w:pPr>
              <w:pStyle w:val="TableParagraph"/>
              <w:spacing w:line="240" w:lineRule="auto"/>
              <w:jc w:val="left"/>
              <w:rPr>
                <w:sz w:val="16"/>
              </w:rPr>
            </w:pPr>
          </w:p>
          <w:p w14:paraId="5773A230" w14:textId="77777777" w:rsidR="00D67C1E" w:rsidRPr="00283806" w:rsidRDefault="00D67C1E">
            <w:pPr>
              <w:pStyle w:val="TableParagraph"/>
              <w:spacing w:before="152" w:line="240" w:lineRule="auto"/>
              <w:jc w:val="left"/>
              <w:rPr>
                <w:sz w:val="16"/>
              </w:rPr>
            </w:pPr>
          </w:p>
          <w:p w14:paraId="0A21F4A4" w14:textId="77777777" w:rsidR="00D67C1E" w:rsidRPr="00283806" w:rsidRDefault="001265CA">
            <w:pPr>
              <w:pStyle w:val="TableParagraph"/>
              <w:spacing w:line="240" w:lineRule="auto"/>
              <w:ind w:left="77"/>
              <w:jc w:val="left"/>
              <w:rPr>
                <w:sz w:val="16"/>
              </w:rPr>
            </w:pPr>
            <w:r w:rsidRPr="00283806">
              <w:rPr>
                <w:sz w:val="16"/>
              </w:rPr>
              <w:t>No</w:t>
            </w:r>
            <w:r w:rsidRPr="00283806">
              <w:rPr>
                <w:spacing w:val="4"/>
                <w:sz w:val="16"/>
              </w:rPr>
              <w:t xml:space="preserve"> </w:t>
            </w:r>
            <w:r w:rsidRPr="00283806">
              <w:rPr>
                <w:sz w:val="16"/>
              </w:rPr>
              <w:t>confidential</w:t>
            </w:r>
            <w:r w:rsidRPr="00283806">
              <w:rPr>
                <w:spacing w:val="5"/>
                <w:sz w:val="16"/>
              </w:rPr>
              <w:t xml:space="preserve"> </w:t>
            </w:r>
            <w:r w:rsidRPr="00283806">
              <w:rPr>
                <w:sz w:val="16"/>
              </w:rPr>
              <w:t>treatment/Emission</w:t>
            </w:r>
            <w:r w:rsidRPr="00283806">
              <w:rPr>
                <w:spacing w:val="4"/>
                <w:sz w:val="16"/>
              </w:rPr>
              <w:t xml:space="preserve"> </w:t>
            </w:r>
            <w:r w:rsidRPr="00283806">
              <w:rPr>
                <w:spacing w:val="-2"/>
                <w:sz w:val="16"/>
              </w:rPr>
              <w:t>data.</w:t>
            </w:r>
          </w:p>
        </w:tc>
      </w:tr>
    </w:tbl>
    <w:p w14:paraId="1212C836" w14:textId="0191E3A9" w:rsidR="00D67C1E" w:rsidRPr="00283806" w:rsidRDefault="001265CA">
      <w:pPr>
        <w:spacing w:before="72" w:line="208" w:lineRule="auto"/>
        <w:ind w:left="159" w:right="118" w:firstLine="160"/>
        <w:jc w:val="both"/>
        <w:rPr>
          <w:rFonts w:ascii="Arial" w:hAnsi="Arial"/>
          <w:i/>
          <w:sz w:val="16"/>
        </w:rPr>
      </w:pPr>
      <w:r w:rsidRPr="00283806">
        <w:rPr>
          <w:rFonts w:ascii="Arial" w:hAnsi="Arial"/>
          <w:position w:val="4"/>
          <w:sz w:val="10"/>
        </w:rPr>
        <w:t>a</w:t>
      </w:r>
      <w:r w:rsidRPr="00283806">
        <w:rPr>
          <w:rFonts w:ascii="Arial" w:hAnsi="Arial"/>
          <w:spacing w:val="-3"/>
          <w:position w:val="4"/>
          <w:sz w:val="10"/>
        </w:rPr>
        <w:t xml:space="preserve"> </w:t>
      </w:r>
      <w:r w:rsidRPr="00283806">
        <w:rPr>
          <w:rFonts w:ascii="Arial" w:hAnsi="Arial"/>
          <w:sz w:val="16"/>
        </w:rPr>
        <w:t xml:space="preserve">EPA provides the rationale for the confidentiality determination in the memorandum titled </w:t>
      </w:r>
      <w:r w:rsidRPr="00283806">
        <w:rPr>
          <w:rFonts w:ascii="Arial" w:hAnsi="Arial"/>
          <w:i/>
          <w:sz w:val="16"/>
        </w:rPr>
        <w:t xml:space="preserve">Confidentiality Determinations and Emission Data Designations for Data Elements in the Final Rule entitled </w:t>
      </w:r>
      <w:r w:rsidRPr="00283806">
        <w:rPr>
          <w:rFonts w:ascii="Arial" w:hAnsi="Arial"/>
          <w:sz w:val="16"/>
        </w:rPr>
        <w:t>‘‘</w:t>
      </w:r>
      <w:r w:rsidRPr="00283806">
        <w:rPr>
          <w:rFonts w:ascii="Arial" w:hAnsi="Arial"/>
          <w:i/>
          <w:sz w:val="16"/>
        </w:rPr>
        <w:t>Phasedown of Hydrofluorocarbons: Management of Certain Hydrofluorocarbons and Substitutes under Subsection (h) of the American Innovation and Manufacturing Act of 2020</w:t>
      </w:r>
      <w:r w:rsidRPr="00283806">
        <w:rPr>
          <w:rFonts w:ascii="Arial" w:hAnsi="Arial"/>
          <w:sz w:val="16"/>
        </w:rPr>
        <w:t xml:space="preserve">’’, which is available in the docket (EPA–HQ–OAR– 2022–0606) of this rulemaking at </w:t>
      </w:r>
      <w:r w:rsidRPr="00283806">
        <w:rPr>
          <w:rFonts w:ascii="Arial" w:hAnsi="Arial"/>
          <w:i/>
          <w:sz w:val="16"/>
        </w:rPr>
        <w:t>https://www.regulations.gov.</w:t>
      </w:r>
    </w:p>
    <w:p w14:paraId="7597678D" w14:textId="77777777" w:rsidR="00D67C1E" w:rsidRPr="00283806" w:rsidRDefault="00D67C1E">
      <w:pPr>
        <w:pStyle w:val="BodyText"/>
        <w:spacing w:before="16"/>
        <w:ind w:left="0"/>
        <w:rPr>
          <w:rFonts w:ascii="Arial"/>
          <w:i/>
          <w:sz w:val="20"/>
        </w:rPr>
      </w:pPr>
    </w:p>
    <w:p w14:paraId="4C6C854E" w14:textId="77777777" w:rsidR="00D67C1E" w:rsidRPr="00283806" w:rsidRDefault="00D67C1E">
      <w:pPr>
        <w:rPr>
          <w:rFonts w:ascii="Arial"/>
          <w:sz w:val="20"/>
        </w:rPr>
        <w:sectPr w:rsidR="00D67C1E" w:rsidRPr="00283806">
          <w:pgSz w:w="12240" w:h="15840"/>
          <w:pgMar w:top="1040" w:right="780" w:bottom="280" w:left="740" w:header="627" w:footer="0" w:gutter="0"/>
          <w:cols w:space="720"/>
        </w:sectPr>
      </w:pPr>
    </w:p>
    <w:p w14:paraId="7A42EF8D" w14:textId="77777777" w:rsidR="00D67C1E" w:rsidRPr="00283806" w:rsidRDefault="001265CA">
      <w:pPr>
        <w:pStyle w:val="BodyText"/>
        <w:spacing w:before="113" w:line="223" w:lineRule="auto"/>
        <w:ind w:right="87" w:firstLine="180"/>
      </w:pPr>
      <w:r w:rsidRPr="00283806">
        <w:rPr>
          <w:w w:val="105"/>
        </w:rPr>
        <w:t>Information contained within these data elements would categorically not</w:t>
      </w:r>
      <w:r w:rsidRPr="00283806">
        <w:rPr>
          <w:spacing w:val="40"/>
          <w:w w:val="105"/>
        </w:rPr>
        <w:t xml:space="preserve"> </w:t>
      </w:r>
      <w:r w:rsidRPr="00283806">
        <w:rPr>
          <w:w w:val="105"/>
        </w:rPr>
        <w:t>be eligible for confidential treatment because it is either readily apparent or easily ascertainable by an outsider (</w:t>
      </w:r>
      <w:r w:rsidRPr="00283806">
        <w:rPr>
          <w:rFonts w:ascii="Book Antiqua"/>
          <w:i/>
          <w:w w:val="105"/>
        </w:rPr>
        <w:t xml:space="preserve">e.g., </w:t>
      </w:r>
      <w:r w:rsidRPr="00283806">
        <w:rPr>
          <w:w w:val="105"/>
        </w:rPr>
        <w:t>owner name, facility name, facility address where appliance is located, appliance ID or description, and appliance type (comfort cooling, IPR, or commercial refrigeration)) or it is considered</w:t>
      </w:r>
      <w:r w:rsidRPr="00283806">
        <w:rPr>
          <w:spacing w:val="9"/>
          <w:w w:val="105"/>
        </w:rPr>
        <w:t xml:space="preserve"> </w:t>
      </w:r>
      <w:r w:rsidRPr="00283806">
        <w:rPr>
          <w:w w:val="105"/>
        </w:rPr>
        <w:t>emission</w:t>
      </w:r>
      <w:r w:rsidRPr="00283806">
        <w:rPr>
          <w:spacing w:val="9"/>
          <w:w w:val="105"/>
        </w:rPr>
        <w:t xml:space="preserve"> </w:t>
      </w:r>
      <w:r w:rsidRPr="00283806">
        <w:rPr>
          <w:w w:val="105"/>
        </w:rPr>
        <w:t>data</w:t>
      </w:r>
      <w:r w:rsidRPr="00283806">
        <w:rPr>
          <w:spacing w:val="9"/>
          <w:w w:val="105"/>
        </w:rPr>
        <w:t xml:space="preserve"> </w:t>
      </w:r>
      <w:r w:rsidRPr="00283806">
        <w:rPr>
          <w:w w:val="105"/>
        </w:rPr>
        <w:t>under</w:t>
      </w:r>
      <w:r w:rsidRPr="00283806">
        <w:rPr>
          <w:spacing w:val="9"/>
          <w:w w:val="105"/>
        </w:rPr>
        <w:t xml:space="preserve"> </w:t>
      </w:r>
      <w:r w:rsidRPr="00283806">
        <w:rPr>
          <w:w w:val="105"/>
        </w:rPr>
        <w:t>40</w:t>
      </w:r>
      <w:r w:rsidRPr="00283806">
        <w:rPr>
          <w:spacing w:val="9"/>
          <w:w w:val="105"/>
        </w:rPr>
        <w:t xml:space="preserve"> </w:t>
      </w:r>
      <w:r w:rsidRPr="00283806">
        <w:rPr>
          <w:spacing w:val="-5"/>
          <w:w w:val="105"/>
        </w:rPr>
        <w:t>CFR</w:t>
      </w:r>
    </w:p>
    <w:p w14:paraId="74ECFBD7" w14:textId="77777777" w:rsidR="00D67C1E" w:rsidRPr="00283806" w:rsidRDefault="001265CA">
      <w:pPr>
        <w:pStyle w:val="BodyText"/>
        <w:spacing w:before="8" w:line="225" w:lineRule="auto"/>
      </w:pPr>
      <w:r w:rsidRPr="00283806">
        <w:rPr>
          <w:w w:val="105"/>
        </w:rPr>
        <w:t>2.301 (</w:t>
      </w:r>
      <w:r w:rsidRPr="00283806">
        <w:rPr>
          <w:rFonts w:ascii="Book Antiqua"/>
          <w:i/>
          <w:w w:val="105"/>
        </w:rPr>
        <w:t xml:space="preserve">e.g., </w:t>
      </w:r>
      <w:r w:rsidRPr="00283806">
        <w:rPr>
          <w:w w:val="105"/>
        </w:rPr>
        <w:t>refrigerant type, full charge</w:t>
      </w:r>
      <w:r w:rsidRPr="00283806">
        <w:rPr>
          <w:spacing w:val="80"/>
          <w:w w:val="105"/>
        </w:rPr>
        <w:t xml:space="preserve"> </w:t>
      </w:r>
      <w:r w:rsidRPr="00283806">
        <w:rPr>
          <w:w w:val="105"/>
        </w:rPr>
        <w:t>of appliance, annual percent refrigerant loss, dates of refrigerant addition, amounts of refrigerant added, date of</w:t>
      </w:r>
      <w:r w:rsidRPr="00283806">
        <w:rPr>
          <w:spacing w:val="80"/>
          <w:w w:val="105"/>
        </w:rPr>
        <w:t xml:space="preserve"> </w:t>
      </w:r>
      <w:r w:rsidRPr="00283806">
        <w:rPr>
          <w:w w:val="105"/>
        </w:rPr>
        <w:t>last successful follow-up verification</w:t>
      </w:r>
      <w:r w:rsidRPr="00283806">
        <w:rPr>
          <w:spacing w:val="80"/>
          <w:w w:val="105"/>
        </w:rPr>
        <w:t xml:space="preserve"> </w:t>
      </w:r>
      <w:r w:rsidRPr="00283806">
        <w:rPr>
          <w:w w:val="105"/>
        </w:rPr>
        <w:t>test, explanation of cause of refrigerant losses, repair actions taken, and whether a retrofit or retirement plan been developed for the appliance, and, if so,</w:t>
      </w:r>
      <w:r w:rsidRPr="00283806">
        <w:rPr>
          <w:spacing w:val="40"/>
          <w:w w:val="105"/>
        </w:rPr>
        <w:t xml:space="preserve"> </w:t>
      </w:r>
      <w:r w:rsidRPr="00283806">
        <w:rPr>
          <w:w w:val="105"/>
        </w:rPr>
        <w:t>the anticipated date of retrofit or retirement); or it fits into both</w:t>
      </w:r>
      <w:r w:rsidRPr="00283806">
        <w:rPr>
          <w:spacing w:val="40"/>
          <w:w w:val="105"/>
        </w:rPr>
        <w:t xml:space="preserve"> </w:t>
      </w:r>
      <w:r w:rsidRPr="00283806">
        <w:rPr>
          <w:w w:val="105"/>
        </w:rPr>
        <w:t>categories. Similarly, the items included in a request for an extension for leak repair, request for relief from the obligation to retrofit or retire an appliance, request for an extension of time to complete the retrofit or retirement of an appliance, and notification of exclusion of purged refrigerants that are destroyed from annual leak rate calculations are</w:t>
      </w:r>
      <w:r w:rsidRPr="00283806">
        <w:rPr>
          <w:spacing w:val="80"/>
          <w:w w:val="150"/>
        </w:rPr>
        <w:t xml:space="preserve"> </w:t>
      </w:r>
      <w:r w:rsidRPr="00283806">
        <w:rPr>
          <w:w w:val="105"/>
        </w:rPr>
        <w:t>likewise not eligible for confidential treatment because this information is readily ascertainable or easily</w:t>
      </w:r>
      <w:r w:rsidRPr="00283806">
        <w:rPr>
          <w:spacing w:val="80"/>
          <w:w w:val="105"/>
        </w:rPr>
        <w:t xml:space="preserve"> </w:t>
      </w:r>
      <w:r w:rsidRPr="00283806">
        <w:rPr>
          <w:w w:val="105"/>
        </w:rPr>
        <w:t>observable by an outside entity, or is considered emission data under 40 CFR 2.301, or both. EPA notes that in these</w:t>
      </w:r>
    </w:p>
    <w:p w14:paraId="42865E9E" w14:textId="77777777" w:rsidR="00D67C1E" w:rsidRPr="00283806" w:rsidRDefault="001265CA">
      <w:pPr>
        <w:pStyle w:val="BodyText"/>
        <w:spacing w:before="109" w:line="228" w:lineRule="auto"/>
        <w:ind w:left="144" w:right="5"/>
      </w:pPr>
      <w:r w:rsidRPr="00283806">
        <w:br w:type="column"/>
      </w:r>
      <w:r w:rsidRPr="00283806">
        <w:rPr>
          <w:w w:val="105"/>
        </w:rPr>
        <w:t>provisions, the source of the emissions would be the regulated equipment, and</w:t>
      </w:r>
      <w:r w:rsidRPr="00283806">
        <w:rPr>
          <w:spacing w:val="40"/>
          <w:w w:val="105"/>
        </w:rPr>
        <w:t xml:space="preserve"> </w:t>
      </w:r>
      <w:r w:rsidRPr="00283806">
        <w:rPr>
          <w:w w:val="105"/>
        </w:rPr>
        <w:t>in the case of all of these notifications these data are necessary to determine</w:t>
      </w:r>
      <w:r w:rsidRPr="00283806">
        <w:rPr>
          <w:spacing w:val="40"/>
          <w:w w:val="105"/>
        </w:rPr>
        <w:t xml:space="preserve"> </w:t>
      </w:r>
      <w:r w:rsidRPr="00283806">
        <w:rPr>
          <w:w w:val="105"/>
        </w:rPr>
        <w:t>the identity, amount, frequency, concentration, or other characteristics (to the extent related to air quality) of any emission that has been emitted by the</w:t>
      </w:r>
      <w:r w:rsidRPr="00283806">
        <w:rPr>
          <w:spacing w:val="-5"/>
          <w:w w:val="105"/>
        </w:rPr>
        <w:t xml:space="preserve"> </w:t>
      </w:r>
      <w:r w:rsidRPr="00283806">
        <w:rPr>
          <w:w w:val="105"/>
        </w:rPr>
        <w:t>source</w:t>
      </w:r>
      <w:r w:rsidRPr="00283806">
        <w:rPr>
          <w:spacing w:val="-5"/>
          <w:w w:val="105"/>
        </w:rPr>
        <w:t xml:space="preserve"> </w:t>
      </w:r>
      <w:r w:rsidRPr="00283806">
        <w:rPr>
          <w:w w:val="105"/>
        </w:rPr>
        <w:t>and/or</w:t>
      </w:r>
      <w:r w:rsidRPr="00283806">
        <w:rPr>
          <w:spacing w:val="-5"/>
          <w:w w:val="105"/>
        </w:rPr>
        <w:t xml:space="preserve"> </w:t>
      </w:r>
      <w:r w:rsidRPr="00283806">
        <w:rPr>
          <w:w w:val="105"/>
        </w:rPr>
        <w:t>information</w:t>
      </w:r>
      <w:r w:rsidRPr="00283806">
        <w:rPr>
          <w:spacing w:val="-5"/>
          <w:w w:val="105"/>
        </w:rPr>
        <w:t xml:space="preserve"> </w:t>
      </w:r>
      <w:r w:rsidRPr="00283806">
        <w:rPr>
          <w:w w:val="105"/>
        </w:rPr>
        <w:t>necessary to determine the identity, amount, frequency, concentration, or other characteristics (to the extent related to air quality) of the emissions which,</w:t>
      </w:r>
      <w:r w:rsidRPr="00283806">
        <w:rPr>
          <w:spacing w:val="40"/>
          <w:w w:val="105"/>
        </w:rPr>
        <w:t xml:space="preserve"> </w:t>
      </w:r>
      <w:r w:rsidRPr="00283806">
        <w:rPr>
          <w:w w:val="105"/>
        </w:rPr>
        <w:t>under the leak repair provisions, the source was authorized to emit; and a general description of the location and/ or nature of the source to the extent necessary to identify the source and to distinguish it from other sources (including, to the extent necessary for such purposes, a description of the device, installation, or operation constituting the source).</w:t>
      </w:r>
    </w:p>
    <w:p w14:paraId="37E8A273" w14:textId="77777777" w:rsidR="00D67C1E" w:rsidRPr="00283806" w:rsidRDefault="001265CA">
      <w:pPr>
        <w:pStyle w:val="ListParagraph"/>
        <w:numPr>
          <w:ilvl w:val="1"/>
          <w:numId w:val="64"/>
        </w:numPr>
        <w:tabs>
          <w:tab w:val="left" w:pos="363"/>
        </w:tabs>
        <w:spacing w:before="98" w:line="220" w:lineRule="auto"/>
        <w:ind w:left="144" w:right="651" w:firstLine="0"/>
        <w:rPr>
          <w:rFonts w:ascii="Book Antiqua"/>
          <w:i/>
          <w:sz w:val="18"/>
        </w:rPr>
      </w:pPr>
      <w:r w:rsidRPr="00283806">
        <w:rPr>
          <w:rFonts w:ascii="Book Antiqua"/>
          <w:i/>
          <w:spacing w:val="-2"/>
          <w:w w:val="115"/>
          <w:sz w:val="18"/>
        </w:rPr>
        <w:t>Data</w:t>
      </w:r>
      <w:r w:rsidRPr="00283806">
        <w:rPr>
          <w:rFonts w:ascii="Book Antiqua"/>
          <w:i/>
          <w:spacing w:val="-10"/>
          <w:w w:val="115"/>
          <w:sz w:val="18"/>
        </w:rPr>
        <w:t xml:space="preserve"> </w:t>
      </w:r>
      <w:r w:rsidRPr="00283806">
        <w:rPr>
          <w:rFonts w:ascii="Book Antiqua"/>
          <w:i/>
          <w:spacing w:val="-2"/>
          <w:w w:val="115"/>
          <w:sz w:val="18"/>
        </w:rPr>
        <w:t>Elements</w:t>
      </w:r>
      <w:r w:rsidRPr="00283806">
        <w:rPr>
          <w:rFonts w:ascii="Book Antiqua"/>
          <w:i/>
          <w:spacing w:val="-10"/>
          <w:w w:val="115"/>
          <w:sz w:val="18"/>
        </w:rPr>
        <w:t xml:space="preserve"> </w:t>
      </w:r>
      <w:r w:rsidRPr="00283806">
        <w:rPr>
          <w:rFonts w:ascii="Book Antiqua"/>
          <w:i/>
          <w:spacing w:val="-2"/>
          <w:w w:val="115"/>
          <w:sz w:val="18"/>
        </w:rPr>
        <w:t>Related</w:t>
      </w:r>
      <w:r w:rsidRPr="00283806">
        <w:rPr>
          <w:rFonts w:ascii="Book Antiqua"/>
          <w:i/>
          <w:spacing w:val="-10"/>
          <w:w w:val="115"/>
          <w:sz w:val="18"/>
        </w:rPr>
        <w:t xml:space="preserve"> </w:t>
      </w:r>
      <w:r w:rsidRPr="00283806">
        <w:rPr>
          <w:rFonts w:ascii="Book Antiqua"/>
          <w:i/>
          <w:spacing w:val="-2"/>
          <w:w w:val="115"/>
          <w:sz w:val="18"/>
        </w:rPr>
        <w:t>to</w:t>
      </w:r>
      <w:r w:rsidRPr="00283806">
        <w:rPr>
          <w:rFonts w:ascii="Book Antiqua"/>
          <w:i/>
          <w:spacing w:val="-10"/>
          <w:w w:val="115"/>
          <w:sz w:val="18"/>
        </w:rPr>
        <w:t xml:space="preserve"> </w:t>
      </w:r>
      <w:r w:rsidRPr="00283806">
        <w:rPr>
          <w:rFonts w:ascii="Book Antiqua"/>
          <w:i/>
          <w:spacing w:val="-2"/>
          <w:w w:val="115"/>
          <w:sz w:val="18"/>
        </w:rPr>
        <w:t>Fire Suppression</w:t>
      </w:r>
    </w:p>
    <w:p w14:paraId="72ACE174" w14:textId="77777777" w:rsidR="00D67C1E" w:rsidRPr="00283806" w:rsidRDefault="001265CA">
      <w:pPr>
        <w:pStyle w:val="BodyText"/>
        <w:spacing w:before="68" w:line="228" w:lineRule="auto"/>
        <w:ind w:left="144" w:right="123" w:firstLine="180"/>
      </w:pPr>
      <w:r w:rsidRPr="00283806">
        <w:rPr>
          <w:w w:val="105"/>
        </w:rPr>
        <w:t>As described in section IV.F of this document, EPA is finalizing reporting requirements related to the use of regulated substances in the fire suppression sector. These reporting requirements allow for the monitoring of program implementation and of compliance with the requirements.</w:t>
      </w:r>
    </w:p>
    <w:p w14:paraId="6D520A83" w14:textId="77777777" w:rsidR="00D67C1E" w:rsidRPr="00283806" w:rsidRDefault="001265CA">
      <w:pPr>
        <w:pStyle w:val="BodyText"/>
        <w:spacing w:line="228" w:lineRule="auto"/>
        <w:ind w:left="144" w:right="101" w:firstLine="180"/>
      </w:pPr>
      <w:r w:rsidRPr="00283806">
        <w:rPr>
          <w:w w:val="105"/>
        </w:rPr>
        <w:t xml:space="preserve">EPA </w:t>
      </w:r>
      <w:proofErr w:type="gramStart"/>
      <w:r w:rsidRPr="00283806">
        <w:rPr>
          <w:w w:val="105"/>
        </w:rPr>
        <w:t>is requiring that</w:t>
      </w:r>
      <w:proofErr w:type="gramEnd"/>
      <w:r w:rsidRPr="00283806">
        <w:rPr>
          <w:w w:val="105"/>
        </w:rPr>
        <w:t xml:space="preserve"> certain entities in the fire suppression sector provide data to EPA that </w:t>
      </w:r>
      <w:proofErr w:type="gramStart"/>
      <w:r w:rsidRPr="00283806">
        <w:rPr>
          <w:w w:val="105"/>
        </w:rPr>
        <w:t>are</w:t>
      </w:r>
      <w:proofErr w:type="gramEnd"/>
      <w:r w:rsidRPr="00283806">
        <w:rPr>
          <w:w w:val="105"/>
        </w:rPr>
        <w:t xml:space="preserve"> </w:t>
      </w:r>
      <w:proofErr w:type="gramStart"/>
      <w:r w:rsidRPr="00283806">
        <w:rPr>
          <w:w w:val="105"/>
        </w:rPr>
        <w:t>similar to</w:t>
      </w:r>
      <w:proofErr w:type="gramEnd"/>
      <w:r w:rsidRPr="00283806">
        <w:rPr>
          <w:w w:val="105"/>
        </w:rPr>
        <w:t xml:space="preserve"> the data they already voluntarily collect and</w:t>
      </w:r>
    </w:p>
    <w:p w14:paraId="7F6A28AA" w14:textId="77777777" w:rsidR="00D67C1E" w:rsidRPr="00283806" w:rsidRDefault="001265CA">
      <w:pPr>
        <w:pStyle w:val="BodyText"/>
        <w:spacing w:before="100" w:line="205" w:lineRule="exact"/>
      </w:pPr>
      <w:r w:rsidRPr="00283806">
        <w:br w:type="column"/>
      </w:r>
      <w:r w:rsidRPr="00283806">
        <w:rPr>
          <w:w w:val="105"/>
        </w:rPr>
        <w:t>report</w:t>
      </w:r>
      <w:r w:rsidRPr="00283806">
        <w:rPr>
          <w:spacing w:val="7"/>
          <w:w w:val="105"/>
        </w:rPr>
        <w:t xml:space="preserve"> </w:t>
      </w:r>
      <w:r w:rsidRPr="00283806">
        <w:rPr>
          <w:w w:val="105"/>
        </w:rPr>
        <w:t>to</w:t>
      </w:r>
      <w:r w:rsidRPr="00283806">
        <w:rPr>
          <w:spacing w:val="7"/>
          <w:w w:val="105"/>
        </w:rPr>
        <w:t xml:space="preserve"> </w:t>
      </w:r>
      <w:r w:rsidRPr="00283806">
        <w:rPr>
          <w:w w:val="105"/>
        </w:rPr>
        <w:t>HEEP</w:t>
      </w:r>
      <w:r w:rsidRPr="00283806">
        <w:rPr>
          <w:spacing w:val="8"/>
          <w:w w:val="105"/>
        </w:rPr>
        <w:t xml:space="preserve"> </w:t>
      </w:r>
      <w:r w:rsidRPr="00283806">
        <w:rPr>
          <w:w w:val="105"/>
        </w:rPr>
        <w:t>as</w:t>
      </w:r>
      <w:r w:rsidRPr="00283806">
        <w:rPr>
          <w:spacing w:val="7"/>
          <w:w w:val="105"/>
        </w:rPr>
        <w:t xml:space="preserve"> </w:t>
      </w:r>
      <w:r w:rsidRPr="00283806">
        <w:rPr>
          <w:w w:val="105"/>
        </w:rPr>
        <w:t>mentioned</w:t>
      </w:r>
      <w:r w:rsidRPr="00283806">
        <w:rPr>
          <w:spacing w:val="8"/>
          <w:w w:val="105"/>
        </w:rPr>
        <w:t xml:space="preserve"> </w:t>
      </w:r>
      <w:r w:rsidRPr="00283806">
        <w:rPr>
          <w:w w:val="105"/>
        </w:rPr>
        <w:t>in</w:t>
      </w:r>
      <w:r w:rsidRPr="00283806">
        <w:rPr>
          <w:spacing w:val="7"/>
          <w:w w:val="105"/>
        </w:rPr>
        <w:t xml:space="preserve"> </w:t>
      </w:r>
      <w:r w:rsidRPr="00283806">
        <w:rPr>
          <w:spacing w:val="-2"/>
          <w:w w:val="105"/>
        </w:rPr>
        <w:t>section</w:t>
      </w:r>
    </w:p>
    <w:p w14:paraId="26A70350" w14:textId="77777777" w:rsidR="00D67C1E" w:rsidRPr="00283806" w:rsidRDefault="001265CA">
      <w:pPr>
        <w:pStyle w:val="BodyText"/>
        <w:spacing w:before="4" w:line="225" w:lineRule="auto"/>
        <w:ind w:right="178"/>
      </w:pPr>
      <w:r w:rsidRPr="00283806">
        <w:rPr>
          <w:w w:val="105"/>
        </w:rPr>
        <w:t xml:space="preserve">IV.F. Relevant reporting entities covered under this requirement include entities that perform </w:t>
      </w:r>
      <w:proofErr w:type="gramStart"/>
      <w:r w:rsidRPr="00283806">
        <w:rPr>
          <w:w w:val="105"/>
        </w:rPr>
        <w:t>first</w:t>
      </w:r>
      <w:proofErr w:type="gramEnd"/>
      <w:r w:rsidRPr="00283806">
        <w:rPr>
          <w:w w:val="105"/>
        </w:rPr>
        <w:t xml:space="preserve"> </w:t>
      </w:r>
      <w:proofErr w:type="gramStart"/>
      <w:r w:rsidRPr="00283806">
        <w:rPr>
          <w:w w:val="105"/>
        </w:rPr>
        <w:t>fill</w:t>
      </w:r>
      <w:proofErr w:type="gramEnd"/>
      <w:r w:rsidRPr="00283806">
        <w:rPr>
          <w:w w:val="105"/>
        </w:rPr>
        <w:t xml:space="preserve"> of equipment, service (</w:t>
      </w:r>
      <w:r w:rsidRPr="00283806">
        <w:rPr>
          <w:rFonts w:ascii="Book Antiqua"/>
          <w:i/>
          <w:w w:val="105"/>
        </w:rPr>
        <w:t xml:space="preserve">e.g., </w:t>
      </w:r>
      <w:r w:rsidRPr="00283806">
        <w:rPr>
          <w:w w:val="105"/>
        </w:rPr>
        <w:t>recharge) equipment, and/ or recycle regulated substances.</w:t>
      </w:r>
      <w:r w:rsidRPr="00283806">
        <w:rPr>
          <w:spacing w:val="80"/>
          <w:w w:val="105"/>
        </w:rPr>
        <w:t xml:space="preserve"> </w:t>
      </w:r>
      <w:r w:rsidRPr="00283806">
        <w:rPr>
          <w:w w:val="105"/>
        </w:rPr>
        <w:t>Relevant entities include companies,</w:t>
      </w:r>
      <w:r w:rsidRPr="00283806">
        <w:rPr>
          <w:spacing w:val="40"/>
          <w:w w:val="105"/>
        </w:rPr>
        <w:t xml:space="preserve"> </w:t>
      </w:r>
      <w:r w:rsidRPr="00283806">
        <w:rPr>
          <w:w w:val="105"/>
        </w:rPr>
        <w:t>such as equipment manufacturers, distributors, agent suppliers, or</w:t>
      </w:r>
      <w:r w:rsidRPr="00283806">
        <w:rPr>
          <w:spacing w:val="40"/>
          <w:w w:val="105"/>
        </w:rPr>
        <w:t xml:space="preserve"> </w:t>
      </w:r>
      <w:r w:rsidRPr="00283806">
        <w:rPr>
          <w:w w:val="105"/>
        </w:rPr>
        <w:t>installers. EPA is finalizing that the covered entities report annually: (1) The quantity of each regulated substance</w:t>
      </w:r>
      <w:r w:rsidRPr="00283806">
        <w:rPr>
          <w:spacing w:val="40"/>
          <w:w w:val="105"/>
        </w:rPr>
        <w:t xml:space="preserve"> </w:t>
      </w:r>
      <w:r w:rsidRPr="00283806">
        <w:rPr>
          <w:w w:val="105"/>
        </w:rPr>
        <w:t>held in inventory on-site broken out by recovered, recycled, and virgin; (2) the quantity of material (the combined mass of regulated substance and</w:t>
      </w:r>
      <w:r w:rsidRPr="00283806">
        <w:rPr>
          <w:spacing w:val="40"/>
          <w:w w:val="105"/>
        </w:rPr>
        <w:t xml:space="preserve"> </w:t>
      </w:r>
      <w:r w:rsidRPr="00283806">
        <w:rPr>
          <w:w w:val="105"/>
        </w:rPr>
        <w:t>contaminants) by regulated substance sold and/or recycled for the purpose of installation of new equipment and servicing (</w:t>
      </w:r>
      <w:r w:rsidRPr="00283806">
        <w:rPr>
          <w:rFonts w:ascii="Book Antiqua"/>
          <w:i/>
          <w:w w:val="105"/>
        </w:rPr>
        <w:t xml:space="preserve">e.g., </w:t>
      </w:r>
      <w:r w:rsidRPr="00283806">
        <w:rPr>
          <w:w w:val="105"/>
        </w:rPr>
        <w:t>recharge) of fire suppression equipment; (3) the total mass of each regulated substance sold and/or recycled; and (4) the total mass</w:t>
      </w:r>
      <w:r w:rsidRPr="00283806">
        <w:rPr>
          <w:spacing w:val="40"/>
          <w:w w:val="105"/>
        </w:rPr>
        <w:t xml:space="preserve"> </w:t>
      </w:r>
      <w:r w:rsidRPr="00283806">
        <w:rPr>
          <w:w w:val="105"/>
        </w:rPr>
        <w:t>of waste products sent for disposal,</w:t>
      </w:r>
      <w:r w:rsidRPr="00283806">
        <w:rPr>
          <w:spacing w:val="80"/>
          <w:w w:val="105"/>
        </w:rPr>
        <w:t xml:space="preserve"> </w:t>
      </w:r>
      <w:r w:rsidRPr="00283806">
        <w:rPr>
          <w:w w:val="105"/>
        </w:rPr>
        <w:t>along with information about the</w:t>
      </w:r>
      <w:r w:rsidRPr="00283806">
        <w:rPr>
          <w:spacing w:val="40"/>
          <w:w w:val="105"/>
        </w:rPr>
        <w:t xml:space="preserve"> </w:t>
      </w:r>
      <w:r w:rsidRPr="00283806">
        <w:rPr>
          <w:w w:val="105"/>
        </w:rPr>
        <w:t>disposal</w:t>
      </w:r>
      <w:r w:rsidRPr="00283806">
        <w:rPr>
          <w:spacing w:val="40"/>
          <w:w w:val="105"/>
        </w:rPr>
        <w:t xml:space="preserve"> </w:t>
      </w:r>
      <w:r w:rsidRPr="00283806">
        <w:rPr>
          <w:w w:val="105"/>
        </w:rPr>
        <w:t>facility</w:t>
      </w:r>
      <w:r w:rsidRPr="00283806">
        <w:rPr>
          <w:spacing w:val="40"/>
          <w:w w:val="105"/>
        </w:rPr>
        <w:t xml:space="preserve"> </w:t>
      </w:r>
      <w:r w:rsidRPr="00283806">
        <w:rPr>
          <w:w w:val="105"/>
        </w:rPr>
        <w:t>if</w:t>
      </w:r>
      <w:r w:rsidRPr="00283806">
        <w:rPr>
          <w:spacing w:val="40"/>
          <w:w w:val="105"/>
        </w:rPr>
        <w:t xml:space="preserve"> </w:t>
      </w:r>
      <w:r w:rsidRPr="00283806">
        <w:rPr>
          <w:w w:val="105"/>
        </w:rPr>
        <w:t>waste</w:t>
      </w:r>
      <w:r w:rsidRPr="00283806">
        <w:rPr>
          <w:spacing w:val="40"/>
          <w:w w:val="105"/>
        </w:rPr>
        <w:t xml:space="preserve"> </w:t>
      </w:r>
      <w:r w:rsidRPr="00283806">
        <w:rPr>
          <w:w w:val="105"/>
        </w:rPr>
        <w:t>is</w:t>
      </w:r>
      <w:r w:rsidRPr="00283806">
        <w:rPr>
          <w:spacing w:val="40"/>
          <w:w w:val="105"/>
        </w:rPr>
        <w:t xml:space="preserve"> </w:t>
      </w:r>
      <w:r w:rsidRPr="00283806">
        <w:rPr>
          <w:w w:val="105"/>
        </w:rPr>
        <w:t>not processed by the reporting entity. Table</w:t>
      </w:r>
      <w:r w:rsidRPr="00283806">
        <w:rPr>
          <w:spacing w:val="40"/>
          <w:w w:val="105"/>
        </w:rPr>
        <w:t xml:space="preserve"> </w:t>
      </w:r>
      <w:r w:rsidRPr="00283806">
        <w:rPr>
          <w:w w:val="105"/>
        </w:rPr>
        <w:t>4 presents a more granular description</w:t>
      </w:r>
      <w:r w:rsidRPr="00283806">
        <w:rPr>
          <w:spacing w:val="80"/>
          <w:w w:val="105"/>
        </w:rPr>
        <w:t xml:space="preserve"> </w:t>
      </w:r>
      <w:r w:rsidRPr="00283806">
        <w:rPr>
          <w:w w:val="105"/>
        </w:rPr>
        <w:t>of these data elements, together with their confidentiality status. There may</w:t>
      </w:r>
      <w:r w:rsidRPr="00283806">
        <w:rPr>
          <w:spacing w:val="80"/>
          <w:w w:val="105"/>
        </w:rPr>
        <w:t xml:space="preserve"> </w:t>
      </w:r>
      <w:r w:rsidRPr="00283806">
        <w:rPr>
          <w:w w:val="105"/>
        </w:rPr>
        <w:t xml:space="preserve">be additional reasons not to release individual data elements determined to not be entitled to confidential treatment, for example if they are PII. The Agency </w:t>
      </w:r>
      <w:proofErr w:type="gramStart"/>
      <w:r w:rsidRPr="00283806">
        <w:rPr>
          <w:w w:val="105"/>
        </w:rPr>
        <w:t>will separately</w:t>
      </w:r>
      <w:proofErr w:type="gramEnd"/>
      <w:r w:rsidRPr="00283806">
        <w:rPr>
          <w:w w:val="105"/>
        </w:rPr>
        <w:t xml:space="preserve"> determine whether any data should be withheld from release for reasons other than business confidentiality before data </w:t>
      </w:r>
      <w:proofErr w:type="gramStart"/>
      <w:r w:rsidRPr="00283806">
        <w:rPr>
          <w:w w:val="105"/>
        </w:rPr>
        <w:t>are</w:t>
      </w:r>
      <w:proofErr w:type="gramEnd"/>
      <w:r w:rsidRPr="00283806">
        <w:rPr>
          <w:w w:val="105"/>
        </w:rPr>
        <w:t xml:space="preserve"> released.</w:t>
      </w:r>
    </w:p>
    <w:p w14:paraId="7036C9C9" w14:textId="77777777" w:rsidR="00D67C1E" w:rsidRPr="00283806" w:rsidRDefault="00D67C1E">
      <w:pPr>
        <w:spacing w:line="225" w:lineRule="auto"/>
        <w:sectPr w:rsidR="00D67C1E" w:rsidRPr="00283806">
          <w:type w:val="continuous"/>
          <w:pgSz w:w="12240" w:h="15840"/>
          <w:pgMar w:top="880" w:right="780" w:bottom="280" w:left="740" w:header="627" w:footer="0" w:gutter="0"/>
          <w:cols w:num="3" w:space="720" w:equalWidth="0">
            <w:col w:w="3516" w:space="40"/>
            <w:col w:w="3472" w:space="52"/>
            <w:col w:w="3640"/>
          </w:cols>
        </w:sectPr>
      </w:pPr>
    </w:p>
    <w:p w14:paraId="00E806EE" w14:textId="77777777" w:rsidR="00D67C1E" w:rsidRPr="00283806" w:rsidRDefault="001265CA">
      <w:pPr>
        <w:pStyle w:val="BodyText"/>
        <w:spacing w:before="134" w:line="228" w:lineRule="auto"/>
        <w:ind w:right="29" w:firstLine="180"/>
      </w:pPr>
      <w:r w:rsidRPr="00283806">
        <w:rPr>
          <w:w w:val="105"/>
        </w:rPr>
        <w:lastRenderedPageBreak/>
        <w:t>EPA has determined that these data</w:t>
      </w:r>
      <w:r w:rsidRPr="00283806">
        <w:rPr>
          <w:spacing w:val="40"/>
          <w:w w:val="105"/>
        </w:rPr>
        <w:t xml:space="preserve"> </w:t>
      </w:r>
      <w:r w:rsidRPr="00283806">
        <w:rPr>
          <w:w w:val="105"/>
        </w:rPr>
        <w:t>are emission data as described at 40 CFR</w:t>
      </w:r>
    </w:p>
    <w:p w14:paraId="605E82F2" w14:textId="77777777" w:rsidR="00D67C1E" w:rsidRPr="00283806" w:rsidRDefault="001265CA">
      <w:pPr>
        <w:pStyle w:val="BodyText"/>
        <w:spacing w:line="228" w:lineRule="auto"/>
      </w:pPr>
      <w:r w:rsidRPr="00283806">
        <w:rPr>
          <w:w w:val="105"/>
        </w:rPr>
        <w:t>2.301 because they provide a general description of the location and/or nature of the source to the extent necessary to identify the source and to distinguish it</w:t>
      </w:r>
    </w:p>
    <w:p w14:paraId="24D25762" w14:textId="77777777" w:rsidR="00D67C1E" w:rsidRPr="00283806" w:rsidRDefault="001265CA">
      <w:pPr>
        <w:pStyle w:val="BodyText"/>
        <w:spacing w:before="134" w:line="228" w:lineRule="auto"/>
        <w:ind w:left="144" w:right="38"/>
      </w:pPr>
      <w:r w:rsidRPr="00283806">
        <w:br w:type="column"/>
      </w:r>
      <w:r w:rsidRPr="00283806">
        <w:rPr>
          <w:w w:val="105"/>
        </w:rPr>
        <w:t>from other sources. As a separate alternative basis, EPA has determined that these data are not entitled to confidential treatment because they are not closely held as confidential by the submitter. Additional information on</w:t>
      </w:r>
    </w:p>
    <w:p w14:paraId="346F04E6" w14:textId="77777777" w:rsidR="00D67C1E" w:rsidRPr="00283806" w:rsidRDefault="001265CA">
      <w:pPr>
        <w:spacing w:before="137" w:line="223" w:lineRule="auto"/>
        <w:ind w:left="160" w:right="199"/>
        <w:rPr>
          <w:sz w:val="18"/>
        </w:rPr>
      </w:pPr>
      <w:r w:rsidRPr="00283806">
        <w:br w:type="column"/>
      </w:r>
      <w:proofErr w:type="gramStart"/>
      <w:r w:rsidRPr="00283806">
        <w:rPr>
          <w:sz w:val="18"/>
        </w:rPr>
        <w:t>the</w:t>
      </w:r>
      <w:proofErr w:type="gramEnd"/>
      <w:r w:rsidRPr="00283806">
        <w:rPr>
          <w:sz w:val="18"/>
        </w:rPr>
        <w:t xml:space="preserve"> rationale for these determinations is</w:t>
      </w:r>
      <w:r w:rsidRPr="00283806">
        <w:rPr>
          <w:w w:val="110"/>
          <w:sz w:val="18"/>
        </w:rPr>
        <w:t xml:space="preserve"> provided in a memorandum entitled </w:t>
      </w:r>
      <w:r w:rsidRPr="00283806">
        <w:rPr>
          <w:rFonts w:ascii="Book Antiqua"/>
          <w:i/>
          <w:w w:val="110"/>
          <w:sz w:val="18"/>
        </w:rPr>
        <w:t xml:space="preserve">Confidentiality Determinations and Emission Data Designations for Data Elements in the Final Rule, </w:t>
      </w:r>
      <w:r w:rsidRPr="00283806">
        <w:rPr>
          <w:w w:val="110"/>
          <w:sz w:val="18"/>
        </w:rPr>
        <w:t>available in the docket for this action.</w:t>
      </w:r>
    </w:p>
    <w:p w14:paraId="221BAB2C" w14:textId="77777777" w:rsidR="00D67C1E" w:rsidRPr="00283806" w:rsidRDefault="00D67C1E">
      <w:pPr>
        <w:spacing w:line="223" w:lineRule="auto"/>
        <w:rPr>
          <w:sz w:val="18"/>
        </w:rPr>
        <w:sectPr w:rsidR="00D67C1E" w:rsidRPr="00283806">
          <w:pgSz w:w="12240" w:h="15840"/>
          <w:pgMar w:top="1040" w:right="780" w:bottom="280" w:left="740" w:header="627" w:footer="0" w:gutter="0"/>
          <w:cols w:num="3" w:space="720" w:equalWidth="0">
            <w:col w:w="3516" w:space="40"/>
            <w:col w:w="3431" w:space="93"/>
            <w:col w:w="3640"/>
          </w:cols>
        </w:sectPr>
      </w:pPr>
    </w:p>
    <w:p w14:paraId="1A8272A1" w14:textId="77777777" w:rsidR="00D67C1E" w:rsidRPr="00283806" w:rsidRDefault="001265CA">
      <w:pPr>
        <w:pStyle w:val="Heading1"/>
        <w:spacing w:before="140" w:line="230" w:lineRule="auto"/>
        <w:ind w:left="4788" w:hanging="4123"/>
      </w:pPr>
      <w:r w:rsidRPr="00283806">
        <w:rPr>
          <w:smallCaps/>
        </w:rPr>
        <w:t>Table 4—Determination of Confidentiality Status for Data Elements Related to Reports on Fire</w:t>
      </w:r>
      <w:r w:rsidRPr="00283806">
        <w:rPr>
          <w:smallCaps/>
          <w:spacing w:val="80"/>
        </w:rPr>
        <w:t xml:space="preserve"> </w:t>
      </w:r>
      <w:r w:rsidRPr="00283806">
        <w:rPr>
          <w:smallCaps/>
          <w:spacing w:val="-2"/>
        </w:rPr>
        <w:t>Suppression</w:t>
      </w:r>
    </w:p>
    <w:p w14:paraId="19745472" w14:textId="77777777" w:rsidR="00D67C1E" w:rsidRPr="00283806" w:rsidRDefault="00D67C1E">
      <w:pPr>
        <w:pStyle w:val="BodyText"/>
        <w:spacing w:before="3"/>
        <w:ind w:left="0"/>
        <w:rPr>
          <w:rFonts w:ascii="Arial"/>
          <w:sz w:val="10"/>
        </w:rPr>
      </w:pPr>
    </w:p>
    <w:tbl>
      <w:tblPr>
        <w:tblW w:w="0" w:type="auto"/>
        <w:tblInd w:w="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27"/>
        <w:gridCol w:w="3014"/>
      </w:tblGrid>
      <w:tr w:rsidR="00D67C1E" w:rsidRPr="00283806" w14:paraId="29DE6642" w14:textId="77777777">
        <w:trPr>
          <w:trHeight w:val="317"/>
        </w:trPr>
        <w:tc>
          <w:tcPr>
            <w:tcW w:w="7427" w:type="dxa"/>
            <w:tcBorders>
              <w:left w:val="nil"/>
            </w:tcBorders>
          </w:tcPr>
          <w:p w14:paraId="1ED8579B" w14:textId="77777777" w:rsidR="00D67C1E" w:rsidRPr="00283806" w:rsidRDefault="001265CA">
            <w:pPr>
              <w:pStyle w:val="TableParagraph"/>
              <w:spacing w:before="57" w:line="240" w:lineRule="auto"/>
              <w:ind w:right="74"/>
              <w:rPr>
                <w:sz w:val="16"/>
              </w:rPr>
            </w:pPr>
            <w:r w:rsidRPr="00283806">
              <w:rPr>
                <w:sz w:val="16"/>
              </w:rPr>
              <w:t>Description</w:t>
            </w:r>
            <w:r w:rsidRPr="00283806">
              <w:rPr>
                <w:spacing w:val="4"/>
                <w:sz w:val="16"/>
              </w:rPr>
              <w:t xml:space="preserve"> </w:t>
            </w:r>
            <w:r w:rsidRPr="00283806">
              <w:rPr>
                <w:sz w:val="16"/>
              </w:rPr>
              <w:t>of</w:t>
            </w:r>
            <w:r w:rsidRPr="00283806">
              <w:rPr>
                <w:spacing w:val="4"/>
                <w:sz w:val="16"/>
              </w:rPr>
              <w:t xml:space="preserve"> </w:t>
            </w:r>
            <w:r w:rsidRPr="00283806">
              <w:rPr>
                <w:sz w:val="16"/>
              </w:rPr>
              <w:t>data</w:t>
            </w:r>
            <w:r w:rsidRPr="00283806">
              <w:rPr>
                <w:spacing w:val="4"/>
                <w:sz w:val="16"/>
              </w:rPr>
              <w:t xml:space="preserve"> </w:t>
            </w:r>
            <w:r w:rsidRPr="00283806">
              <w:rPr>
                <w:spacing w:val="-2"/>
                <w:sz w:val="16"/>
              </w:rPr>
              <w:t>element</w:t>
            </w:r>
          </w:p>
        </w:tc>
        <w:tc>
          <w:tcPr>
            <w:tcW w:w="3014" w:type="dxa"/>
            <w:tcBorders>
              <w:right w:val="nil"/>
            </w:tcBorders>
          </w:tcPr>
          <w:p w14:paraId="6CA5A601" w14:textId="77777777" w:rsidR="00D67C1E" w:rsidRPr="00283806" w:rsidRDefault="001265CA">
            <w:pPr>
              <w:pStyle w:val="TableParagraph"/>
              <w:spacing w:before="57" w:line="240" w:lineRule="auto"/>
              <w:ind w:left="259"/>
              <w:jc w:val="left"/>
              <w:rPr>
                <w:sz w:val="10"/>
              </w:rPr>
            </w:pPr>
            <w:r w:rsidRPr="00283806">
              <w:rPr>
                <w:sz w:val="16"/>
              </w:rPr>
              <w:t>Confidentiality</w:t>
            </w:r>
            <w:r w:rsidRPr="00283806">
              <w:rPr>
                <w:spacing w:val="-1"/>
                <w:sz w:val="16"/>
              </w:rPr>
              <w:t xml:space="preserve"> </w:t>
            </w:r>
            <w:r w:rsidRPr="00283806">
              <w:rPr>
                <w:sz w:val="16"/>
              </w:rPr>
              <w:t>status</w:t>
            </w:r>
            <w:r w:rsidRPr="00283806">
              <w:rPr>
                <w:spacing w:val="3"/>
                <w:sz w:val="16"/>
              </w:rPr>
              <w:t xml:space="preserve"> </w:t>
            </w:r>
            <w:r w:rsidRPr="00283806">
              <w:rPr>
                <w:sz w:val="16"/>
              </w:rPr>
              <w:t>and</w:t>
            </w:r>
            <w:r w:rsidRPr="00283806">
              <w:rPr>
                <w:spacing w:val="3"/>
                <w:sz w:val="16"/>
              </w:rPr>
              <w:t xml:space="preserve"> </w:t>
            </w:r>
            <w:r w:rsidRPr="00283806">
              <w:rPr>
                <w:sz w:val="16"/>
              </w:rPr>
              <w:t>rationale</w:t>
            </w:r>
            <w:r w:rsidRPr="00283806">
              <w:rPr>
                <w:spacing w:val="-19"/>
                <w:sz w:val="16"/>
              </w:rPr>
              <w:t xml:space="preserve"> </w:t>
            </w:r>
            <w:r w:rsidRPr="00283806">
              <w:rPr>
                <w:spacing w:val="-10"/>
                <w:position w:val="4"/>
                <w:sz w:val="10"/>
              </w:rPr>
              <w:t>a</w:t>
            </w:r>
          </w:p>
        </w:tc>
      </w:tr>
      <w:tr w:rsidR="00D67C1E" w:rsidRPr="00283806" w14:paraId="1F16F74A" w14:textId="77777777">
        <w:trPr>
          <w:trHeight w:val="2830"/>
        </w:trPr>
        <w:tc>
          <w:tcPr>
            <w:tcW w:w="7427" w:type="dxa"/>
            <w:tcBorders>
              <w:left w:val="nil"/>
            </w:tcBorders>
          </w:tcPr>
          <w:p w14:paraId="5405A90C" w14:textId="77777777" w:rsidR="00D67C1E" w:rsidRPr="00283806" w:rsidRDefault="001265CA">
            <w:pPr>
              <w:pStyle w:val="TableParagraph"/>
              <w:spacing w:before="77" w:line="182" w:lineRule="exact"/>
              <w:ind w:left="5"/>
              <w:jc w:val="left"/>
              <w:rPr>
                <w:sz w:val="16"/>
              </w:rPr>
            </w:pPr>
            <w:r w:rsidRPr="00283806">
              <w:rPr>
                <w:sz w:val="16"/>
              </w:rPr>
              <w:t>Identification</w:t>
            </w:r>
            <w:r w:rsidRPr="00283806">
              <w:rPr>
                <w:spacing w:val="2"/>
                <w:sz w:val="16"/>
              </w:rPr>
              <w:t xml:space="preserve"> </w:t>
            </w:r>
            <w:r w:rsidRPr="00283806">
              <w:rPr>
                <w:sz w:val="16"/>
              </w:rPr>
              <w:t>information</w:t>
            </w:r>
            <w:r w:rsidRPr="00283806">
              <w:rPr>
                <w:spacing w:val="3"/>
                <w:sz w:val="16"/>
              </w:rPr>
              <w:t xml:space="preserve"> </w:t>
            </w:r>
            <w:r w:rsidRPr="00283806">
              <w:rPr>
                <w:sz w:val="16"/>
              </w:rPr>
              <w:t>(owner</w:t>
            </w:r>
            <w:r w:rsidRPr="00283806">
              <w:rPr>
                <w:spacing w:val="3"/>
                <w:sz w:val="16"/>
              </w:rPr>
              <w:t xml:space="preserve"> </w:t>
            </w:r>
            <w:r w:rsidRPr="00283806">
              <w:rPr>
                <w:sz w:val="16"/>
              </w:rPr>
              <w:t>name,</w:t>
            </w:r>
            <w:r w:rsidRPr="00283806">
              <w:rPr>
                <w:spacing w:val="3"/>
                <w:sz w:val="16"/>
              </w:rPr>
              <w:t xml:space="preserve"> </w:t>
            </w:r>
            <w:r w:rsidRPr="00283806">
              <w:rPr>
                <w:sz w:val="16"/>
              </w:rPr>
              <w:t>facility</w:t>
            </w:r>
            <w:r w:rsidRPr="00283806">
              <w:rPr>
                <w:spacing w:val="3"/>
                <w:sz w:val="16"/>
              </w:rPr>
              <w:t xml:space="preserve"> </w:t>
            </w:r>
            <w:r w:rsidRPr="00283806">
              <w:rPr>
                <w:sz w:val="16"/>
              </w:rPr>
              <w:t>name,</w:t>
            </w:r>
            <w:r w:rsidRPr="00283806">
              <w:rPr>
                <w:spacing w:val="3"/>
                <w:sz w:val="16"/>
              </w:rPr>
              <w:t xml:space="preserve"> </w:t>
            </w:r>
            <w:r w:rsidRPr="00283806">
              <w:rPr>
                <w:sz w:val="16"/>
              </w:rPr>
              <w:t>facility</w:t>
            </w:r>
            <w:r w:rsidRPr="00283806">
              <w:rPr>
                <w:spacing w:val="3"/>
                <w:sz w:val="16"/>
              </w:rPr>
              <w:t xml:space="preserve"> </w:t>
            </w:r>
            <w:r w:rsidRPr="00283806">
              <w:rPr>
                <w:sz w:val="16"/>
              </w:rPr>
              <w:t>address</w:t>
            </w:r>
            <w:r w:rsidRPr="00283806">
              <w:rPr>
                <w:spacing w:val="3"/>
                <w:sz w:val="16"/>
              </w:rPr>
              <w:t xml:space="preserve"> </w:t>
            </w:r>
            <w:r w:rsidRPr="00283806">
              <w:rPr>
                <w:sz w:val="16"/>
              </w:rPr>
              <w:t>where</w:t>
            </w:r>
            <w:r w:rsidRPr="00283806">
              <w:rPr>
                <w:spacing w:val="3"/>
                <w:sz w:val="16"/>
              </w:rPr>
              <w:t xml:space="preserve"> </w:t>
            </w:r>
            <w:r w:rsidRPr="00283806">
              <w:rPr>
                <w:sz w:val="16"/>
              </w:rPr>
              <w:t>equipment</w:t>
            </w:r>
            <w:r w:rsidRPr="00283806">
              <w:rPr>
                <w:spacing w:val="3"/>
                <w:sz w:val="16"/>
              </w:rPr>
              <w:t xml:space="preserve"> </w:t>
            </w:r>
            <w:r w:rsidRPr="00283806">
              <w:rPr>
                <w:sz w:val="16"/>
              </w:rPr>
              <w:t>is</w:t>
            </w:r>
            <w:r w:rsidRPr="00283806">
              <w:rPr>
                <w:spacing w:val="3"/>
                <w:sz w:val="16"/>
              </w:rPr>
              <w:t xml:space="preserve"> </w:t>
            </w:r>
            <w:r w:rsidRPr="00283806">
              <w:rPr>
                <w:sz w:val="16"/>
              </w:rPr>
              <w:t>located)</w:t>
            </w:r>
            <w:r w:rsidRPr="00283806">
              <w:rPr>
                <w:spacing w:val="38"/>
                <w:sz w:val="16"/>
              </w:rPr>
              <w:t xml:space="preserve"> </w:t>
            </w:r>
            <w:r w:rsidRPr="00283806">
              <w:rPr>
                <w:spacing w:val="-2"/>
                <w:sz w:val="16"/>
              </w:rPr>
              <w:t>......</w:t>
            </w:r>
          </w:p>
          <w:p w14:paraId="78331E9A" w14:textId="77777777" w:rsidR="00D67C1E" w:rsidRPr="00283806" w:rsidRDefault="001265CA">
            <w:pPr>
              <w:pStyle w:val="TableParagraph"/>
              <w:spacing w:before="1" w:line="235" w:lineRule="auto"/>
              <w:ind w:left="165" w:right="113" w:hanging="160"/>
              <w:jc w:val="left"/>
              <w:rPr>
                <w:sz w:val="16"/>
              </w:rPr>
            </w:pPr>
            <w:r w:rsidRPr="00283806">
              <w:rPr>
                <w:sz w:val="16"/>
              </w:rPr>
              <w:t>For each regulated substance, quantity of material (the combined mass of regulated substance and contaminants) sold for the purpose of installation of new fire suppression equipment and servicing and/or repair of existing fire suppression equipment.</w:t>
            </w:r>
          </w:p>
          <w:p w14:paraId="5C29F3B4" w14:textId="77777777" w:rsidR="00D67C1E" w:rsidRPr="00283806" w:rsidRDefault="001265CA">
            <w:pPr>
              <w:pStyle w:val="TableParagraph"/>
              <w:spacing w:line="235" w:lineRule="auto"/>
              <w:ind w:left="165" w:right="113" w:hanging="160"/>
              <w:jc w:val="left"/>
              <w:rPr>
                <w:sz w:val="16"/>
              </w:rPr>
            </w:pPr>
            <w:r w:rsidRPr="00283806">
              <w:rPr>
                <w:sz w:val="16"/>
              </w:rPr>
              <w:t xml:space="preserve">For each regulated substance, quantity of material (the combined mass of regulated substance and contaminants) in inventory onsite for the purpose of installation of new fire suppression equipment and servicing and/or repair of existing fire suppression equipment broken out by recovered, </w:t>
            </w:r>
            <w:proofErr w:type="spellStart"/>
            <w:r w:rsidRPr="00283806">
              <w:rPr>
                <w:sz w:val="16"/>
              </w:rPr>
              <w:t>recy</w:t>
            </w:r>
            <w:proofErr w:type="spellEnd"/>
            <w:r w:rsidRPr="00283806">
              <w:rPr>
                <w:sz w:val="16"/>
              </w:rPr>
              <w:t xml:space="preserve">- </w:t>
            </w:r>
            <w:proofErr w:type="spellStart"/>
            <w:r w:rsidRPr="00283806">
              <w:rPr>
                <w:sz w:val="16"/>
              </w:rPr>
              <w:t>cled</w:t>
            </w:r>
            <w:proofErr w:type="spellEnd"/>
            <w:r w:rsidRPr="00283806">
              <w:rPr>
                <w:sz w:val="16"/>
              </w:rPr>
              <w:t>, and virgin.</w:t>
            </w:r>
          </w:p>
          <w:p w14:paraId="507720AC" w14:textId="77777777" w:rsidR="00D67C1E" w:rsidRPr="00283806" w:rsidRDefault="001265CA">
            <w:pPr>
              <w:pStyle w:val="TableParagraph"/>
              <w:spacing w:line="235" w:lineRule="auto"/>
              <w:ind w:left="165" w:right="113" w:hanging="160"/>
              <w:jc w:val="left"/>
              <w:rPr>
                <w:sz w:val="16"/>
              </w:rPr>
            </w:pPr>
            <w:r w:rsidRPr="00283806">
              <w:rPr>
                <w:sz w:val="16"/>
              </w:rPr>
              <w:t>Total mass of each regulated substance sold for the purpose of installation of new fire suppression equipment and servicing and/or repair of existing fire suppression equipment.</w:t>
            </w:r>
          </w:p>
          <w:p w14:paraId="052D4FFD" w14:textId="77777777" w:rsidR="00D67C1E" w:rsidRPr="00283806" w:rsidRDefault="001265CA">
            <w:pPr>
              <w:pStyle w:val="TableParagraph"/>
              <w:spacing w:line="235" w:lineRule="auto"/>
              <w:ind w:left="165" w:right="197" w:hanging="160"/>
              <w:jc w:val="left"/>
              <w:rPr>
                <w:sz w:val="16"/>
              </w:rPr>
            </w:pPr>
            <w:r w:rsidRPr="00283806">
              <w:rPr>
                <w:sz w:val="16"/>
              </w:rPr>
              <w:t>Total mass of each regulated substance in inventory onsite for the purpose of installation of new fire suppression equipment and servicing and/or repair of existing fire suppression equipment broken out by recovered, recycled, and virgin.</w:t>
            </w:r>
          </w:p>
          <w:p w14:paraId="366246CC" w14:textId="77777777" w:rsidR="00D67C1E" w:rsidRPr="00283806" w:rsidRDefault="001265CA">
            <w:pPr>
              <w:pStyle w:val="TableParagraph"/>
              <w:spacing w:line="235" w:lineRule="auto"/>
              <w:ind w:left="165" w:right="113" w:hanging="160"/>
              <w:jc w:val="left"/>
              <w:rPr>
                <w:sz w:val="16"/>
              </w:rPr>
            </w:pPr>
            <w:proofErr w:type="gramStart"/>
            <w:r w:rsidRPr="00283806">
              <w:rPr>
                <w:sz w:val="16"/>
              </w:rPr>
              <w:t>Total</w:t>
            </w:r>
            <w:proofErr w:type="gramEnd"/>
            <w:r w:rsidRPr="00283806">
              <w:rPr>
                <w:sz w:val="16"/>
              </w:rPr>
              <w:t xml:space="preserve"> mass of waste products the reporting entity sent for disposal, along with information about the disposal facility if waste is not processed by the reporting entity.</w:t>
            </w:r>
          </w:p>
        </w:tc>
        <w:tc>
          <w:tcPr>
            <w:tcW w:w="3014" w:type="dxa"/>
            <w:tcBorders>
              <w:right w:val="nil"/>
            </w:tcBorders>
          </w:tcPr>
          <w:p w14:paraId="7342C830" w14:textId="77777777" w:rsidR="00D67C1E" w:rsidRPr="00283806" w:rsidRDefault="001265CA">
            <w:pPr>
              <w:pStyle w:val="TableParagraph"/>
              <w:spacing w:before="80" w:line="235" w:lineRule="auto"/>
              <w:ind w:left="77"/>
              <w:jc w:val="left"/>
              <w:rPr>
                <w:sz w:val="16"/>
              </w:rPr>
            </w:pPr>
            <w:r w:rsidRPr="00283806">
              <w:rPr>
                <w:sz w:val="16"/>
              </w:rPr>
              <w:t>No</w:t>
            </w:r>
            <w:r w:rsidRPr="00283806">
              <w:rPr>
                <w:spacing w:val="-4"/>
                <w:sz w:val="16"/>
              </w:rPr>
              <w:t xml:space="preserve"> </w:t>
            </w:r>
            <w:r w:rsidRPr="00283806">
              <w:rPr>
                <w:sz w:val="16"/>
              </w:rPr>
              <w:t>confidential</w:t>
            </w:r>
            <w:r w:rsidRPr="00283806">
              <w:rPr>
                <w:spacing w:val="-4"/>
                <w:sz w:val="16"/>
              </w:rPr>
              <w:t xml:space="preserve"> </w:t>
            </w:r>
            <w:r w:rsidRPr="00283806">
              <w:rPr>
                <w:sz w:val="16"/>
              </w:rPr>
              <w:t>treatment/Emission</w:t>
            </w:r>
            <w:r w:rsidRPr="00283806">
              <w:rPr>
                <w:spacing w:val="-4"/>
                <w:sz w:val="16"/>
              </w:rPr>
              <w:t xml:space="preserve"> </w:t>
            </w:r>
            <w:r w:rsidRPr="00283806">
              <w:rPr>
                <w:sz w:val="16"/>
              </w:rPr>
              <w:t>data. No</w:t>
            </w:r>
            <w:r w:rsidRPr="00283806">
              <w:rPr>
                <w:spacing w:val="4"/>
                <w:sz w:val="16"/>
              </w:rPr>
              <w:t xml:space="preserve"> </w:t>
            </w:r>
            <w:r w:rsidRPr="00283806">
              <w:rPr>
                <w:sz w:val="16"/>
              </w:rPr>
              <w:t>confidential</w:t>
            </w:r>
            <w:r w:rsidRPr="00283806">
              <w:rPr>
                <w:spacing w:val="5"/>
                <w:sz w:val="16"/>
              </w:rPr>
              <w:t xml:space="preserve"> </w:t>
            </w:r>
            <w:r w:rsidRPr="00283806">
              <w:rPr>
                <w:sz w:val="16"/>
              </w:rPr>
              <w:t>treatment/Emission</w:t>
            </w:r>
            <w:r w:rsidRPr="00283806">
              <w:rPr>
                <w:spacing w:val="4"/>
                <w:sz w:val="16"/>
              </w:rPr>
              <w:t xml:space="preserve"> </w:t>
            </w:r>
            <w:r w:rsidRPr="00283806">
              <w:rPr>
                <w:spacing w:val="-2"/>
                <w:sz w:val="16"/>
              </w:rPr>
              <w:t>data.</w:t>
            </w:r>
          </w:p>
          <w:p w14:paraId="6406CF99" w14:textId="77777777" w:rsidR="00D67C1E" w:rsidRPr="00283806" w:rsidRDefault="00D67C1E">
            <w:pPr>
              <w:pStyle w:val="TableParagraph"/>
              <w:spacing w:before="172" w:line="240" w:lineRule="auto"/>
              <w:jc w:val="left"/>
              <w:rPr>
                <w:sz w:val="16"/>
              </w:rPr>
            </w:pPr>
          </w:p>
          <w:p w14:paraId="74570BA7" w14:textId="77777777" w:rsidR="00D67C1E" w:rsidRPr="00283806" w:rsidRDefault="001265CA">
            <w:pPr>
              <w:pStyle w:val="TableParagraph"/>
              <w:spacing w:line="240" w:lineRule="auto"/>
              <w:ind w:left="77"/>
              <w:jc w:val="left"/>
              <w:rPr>
                <w:sz w:val="16"/>
              </w:rPr>
            </w:pPr>
            <w:r w:rsidRPr="00283806">
              <w:rPr>
                <w:sz w:val="16"/>
              </w:rPr>
              <w:t>No</w:t>
            </w:r>
            <w:r w:rsidRPr="00283806">
              <w:rPr>
                <w:spacing w:val="4"/>
                <w:sz w:val="16"/>
              </w:rPr>
              <w:t xml:space="preserve"> </w:t>
            </w:r>
            <w:r w:rsidRPr="00283806">
              <w:rPr>
                <w:sz w:val="16"/>
              </w:rPr>
              <w:t>confidential</w:t>
            </w:r>
            <w:r w:rsidRPr="00283806">
              <w:rPr>
                <w:spacing w:val="5"/>
                <w:sz w:val="16"/>
              </w:rPr>
              <w:t xml:space="preserve"> </w:t>
            </w:r>
            <w:r w:rsidRPr="00283806">
              <w:rPr>
                <w:sz w:val="16"/>
              </w:rPr>
              <w:t>treatment/Emission</w:t>
            </w:r>
            <w:r w:rsidRPr="00283806">
              <w:rPr>
                <w:spacing w:val="4"/>
                <w:sz w:val="16"/>
              </w:rPr>
              <w:t xml:space="preserve"> </w:t>
            </w:r>
            <w:r w:rsidRPr="00283806">
              <w:rPr>
                <w:spacing w:val="-2"/>
                <w:sz w:val="16"/>
              </w:rPr>
              <w:t>data.</w:t>
            </w:r>
          </w:p>
          <w:p w14:paraId="4A66F529" w14:textId="77777777" w:rsidR="00D67C1E" w:rsidRPr="00283806" w:rsidRDefault="00D67C1E">
            <w:pPr>
              <w:pStyle w:val="TableParagraph"/>
              <w:spacing w:line="240" w:lineRule="auto"/>
              <w:jc w:val="left"/>
              <w:rPr>
                <w:sz w:val="16"/>
              </w:rPr>
            </w:pPr>
          </w:p>
          <w:p w14:paraId="6AD80A85" w14:textId="77777777" w:rsidR="00D67C1E" w:rsidRPr="00283806" w:rsidRDefault="00D67C1E">
            <w:pPr>
              <w:pStyle w:val="TableParagraph"/>
              <w:spacing w:before="168" w:line="240" w:lineRule="auto"/>
              <w:jc w:val="left"/>
              <w:rPr>
                <w:sz w:val="16"/>
              </w:rPr>
            </w:pPr>
          </w:p>
          <w:p w14:paraId="7D188E58" w14:textId="77777777" w:rsidR="00D67C1E" w:rsidRPr="00283806" w:rsidRDefault="001265CA">
            <w:pPr>
              <w:pStyle w:val="TableParagraph"/>
              <w:spacing w:line="470" w:lineRule="auto"/>
              <w:ind w:left="77"/>
              <w:jc w:val="left"/>
              <w:rPr>
                <w:sz w:val="16"/>
              </w:rPr>
            </w:pPr>
            <w:r w:rsidRPr="00283806">
              <w:rPr>
                <w:sz w:val="16"/>
              </w:rPr>
              <w:t>No</w:t>
            </w:r>
            <w:r w:rsidRPr="00283806">
              <w:rPr>
                <w:spacing w:val="-4"/>
                <w:sz w:val="16"/>
              </w:rPr>
              <w:t xml:space="preserve"> </w:t>
            </w:r>
            <w:r w:rsidRPr="00283806">
              <w:rPr>
                <w:sz w:val="16"/>
              </w:rPr>
              <w:t>confidential</w:t>
            </w:r>
            <w:r w:rsidRPr="00283806">
              <w:rPr>
                <w:spacing w:val="-4"/>
                <w:sz w:val="16"/>
              </w:rPr>
              <w:t xml:space="preserve"> </w:t>
            </w:r>
            <w:r w:rsidRPr="00283806">
              <w:rPr>
                <w:sz w:val="16"/>
              </w:rPr>
              <w:t>treatment/Emission</w:t>
            </w:r>
            <w:r w:rsidRPr="00283806">
              <w:rPr>
                <w:spacing w:val="-4"/>
                <w:sz w:val="16"/>
              </w:rPr>
              <w:t xml:space="preserve"> </w:t>
            </w:r>
            <w:r w:rsidRPr="00283806">
              <w:rPr>
                <w:sz w:val="16"/>
              </w:rPr>
              <w:t>data. No</w:t>
            </w:r>
            <w:r w:rsidRPr="00283806">
              <w:rPr>
                <w:spacing w:val="4"/>
                <w:sz w:val="16"/>
              </w:rPr>
              <w:t xml:space="preserve"> </w:t>
            </w:r>
            <w:r w:rsidRPr="00283806">
              <w:rPr>
                <w:sz w:val="16"/>
              </w:rPr>
              <w:t>confidential</w:t>
            </w:r>
            <w:r w:rsidRPr="00283806">
              <w:rPr>
                <w:spacing w:val="5"/>
                <w:sz w:val="16"/>
              </w:rPr>
              <w:t xml:space="preserve"> </w:t>
            </w:r>
            <w:r w:rsidRPr="00283806">
              <w:rPr>
                <w:sz w:val="16"/>
              </w:rPr>
              <w:t>treatment/Emission</w:t>
            </w:r>
            <w:r w:rsidRPr="00283806">
              <w:rPr>
                <w:spacing w:val="4"/>
                <w:sz w:val="16"/>
              </w:rPr>
              <w:t xml:space="preserve"> </w:t>
            </w:r>
            <w:r w:rsidRPr="00283806">
              <w:rPr>
                <w:spacing w:val="-2"/>
                <w:sz w:val="16"/>
              </w:rPr>
              <w:t>data.</w:t>
            </w:r>
          </w:p>
          <w:p w14:paraId="3219B3E4" w14:textId="77777777" w:rsidR="00D67C1E" w:rsidRPr="00283806" w:rsidRDefault="001265CA">
            <w:pPr>
              <w:pStyle w:val="TableParagraph"/>
              <w:spacing w:before="179" w:line="240" w:lineRule="auto"/>
              <w:ind w:left="77"/>
              <w:jc w:val="left"/>
              <w:rPr>
                <w:sz w:val="16"/>
              </w:rPr>
            </w:pPr>
            <w:r w:rsidRPr="00283806">
              <w:rPr>
                <w:sz w:val="16"/>
              </w:rPr>
              <w:t>No</w:t>
            </w:r>
            <w:r w:rsidRPr="00283806">
              <w:rPr>
                <w:spacing w:val="4"/>
                <w:sz w:val="16"/>
              </w:rPr>
              <w:t xml:space="preserve"> </w:t>
            </w:r>
            <w:r w:rsidRPr="00283806">
              <w:rPr>
                <w:sz w:val="16"/>
              </w:rPr>
              <w:t>confidential</w:t>
            </w:r>
            <w:r w:rsidRPr="00283806">
              <w:rPr>
                <w:spacing w:val="5"/>
                <w:sz w:val="16"/>
              </w:rPr>
              <w:t xml:space="preserve"> </w:t>
            </w:r>
            <w:r w:rsidRPr="00283806">
              <w:rPr>
                <w:sz w:val="16"/>
              </w:rPr>
              <w:t>treatment/Emission</w:t>
            </w:r>
            <w:r w:rsidRPr="00283806">
              <w:rPr>
                <w:spacing w:val="4"/>
                <w:sz w:val="16"/>
              </w:rPr>
              <w:t xml:space="preserve"> </w:t>
            </w:r>
            <w:r w:rsidRPr="00283806">
              <w:rPr>
                <w:spacing w:val="-2"/>
                <w:sz w:val="16"/>
              </w:rPr>
              <w:t>data.</w:t>
            </w:r>
          </w:p>
        </w:tc>
      </w:tr>
    </w:tbl>
    <w:p w14:paraId="4F1993F8" w14:textId="679AA17D" w:rsidR="00D67C1E" w:rsidRPr="00283806" w:rsidRDefault="001265CA">
      <w:pPr>
        <w:spacing w:before="72" w:line="208" w:lineRule="auto"/>
        <w:ind w:left="159" w:right="119" w:firstLine="160"/>
        <w:jc w:val="both"/>
        <w:rPr>
          <w:rFonts w:ascii="Arial" w:hAnsi="Arial"/>
          <w:i/>
          <w:sz w:val="16"/>
        </w:rPr>
      </w:pPr>
      <w:r w:rsidRPr="00283806">
        <w:rPr>
          <w:rFonts w:ascii="Arial" w:hAnsi="Arial"/>
          <w:position w:val="4"/>
          <w:sz w:val="10"/>
        </w:rPr>
        <w:t>a</w:t>
      </w:r>
      <w:r w:rsidRPr="00283806">
        <w:rPr>
          <w:rFonts w:ascii="Arial" w:hAnsi="Arial"/>
          <w:spacing w:val="-3"/>
          <w:position w:val="4"/>
          <w:sz w:val="10"/>
        </w:rPr>
        <w:t xml:space="preserve"> </w:t>
      </w:r>
      <w:r w:rsidRPr="00283806">
        <w:rPr>
          <w:rFonts w:ascii="Arial" w:hAnsi="Arial"/>
          <w:sz w:val="16"/>
        </w:rPr>
        <w:t xml:space="preserve">EPA provides rationale of the confidentiality determination in the memorandum titled </w:t>
      </w:r>
      <w:r w:rsidRPr="00283806">
        <w:rPr>
          <w:rFonts w:ascii="Arial" w:hAnsi="Arial"/>
          <w:i/>
          <w:sz w:val="16"/>
        </w:rPr>
        <w:t xml:space="preserve">Confidentiality Determinations and Emission Data Des- </w:t>
      </w:r>
      <w:proofErr w:type="spellStart"/>
      <w:r w:rsidRPr="00283806">
        <w:rPr>
          <w:rFonts w:ascii="Arial" w:hAnsi="Arial"/>
          <w:i/>
          <w:sz w:val="16"/>
        </w:rPr>
        <w:t>ignations</w:t>
      </w:r>
      <w:proofErr w:type="spellEnd"/>
      <w:r w:rsidRPr="00283806">
        <w:rPr>
          <w:rFonts w:ascii="Arial" w:hAnsi="Arial"/>
          <w:i/>
          <w:sz w:val="16"/>
        </w:rPr>
        <w:t xml:space="preserve"> for Data Elements in the Final Rule entitled </w:t>
      </w:r>
      <w:r w:rsidRPr="00283806">
        <w:rPr>
          <w:rFonts w:ascii="Arial" w:hAnsi="Arial"/>
          <w:sz w:val="16"/>
        </w:rPr>
        <w:t>‘‘</w:t>
      </w:r>
      <w:r w:rsidRPr="00283806">
        <w:rPr>
          <w:rFonts w:ascii="Arial" w:hAnsi="Arial"/>
          <w:i/>
          <w:sz w:val="16"/>
        </w:rPr>
        <w:t xml:space="preserve">Phasedown of Hydrofluorocarbons: Management of Certain Hydrofluorocarbons and Sub- </w:t>
      </w:r>
      <w:proofErr w:type="spellStart"/>
      <w:r w:rsidRPr="00283806">
        <w:rPr>
          <w:rFonts w:ascii="Arial" w:hAnsi="Arial"/>
          <w:i/>
          <w:sz w:val="16"/>
        </w:rPr>
        <w:t>stitutes</w:t>
      </w:r>
      <w:proofErr w:type="spellEnd"/>
      <w:r w:rsidRPr="00283806">
        <w:rPr>
          <w:rFonts w:ascii="Arial" w:hAnsi="Arial"/>
          <w:i/>
          <w:sz w:val="16"/>
        </w:rPr>
        <w:t xml:space="preserve"> under Subsection (h) of the American Innovation and Manufacturing Act of 2020</w:t>
      </w:r>
      <w:r w:rsidRPr="00283806">
        <w:rPr>
          <w:rFonts w:ascii="Arial" w:hAnsi="Arial"/>
          <w:sz w:val="16"/>
        </w:rPr>
        <w:t>’’</w:t>
      </w:r>
      <w:r w:rsidRPr="00283806">
        <w:rPr>
          <w:rFonts w:ascii="Arial" w:hAnsi="Arial"/>
          <w:i/>
          <w:sz w:val="16"/>
        </w:rPr>
        <w:t xml:space="preserve">, </w:t>
      </w:r>
      <w:r w:rsidRPr="00283806">
        <w:rPr>
          <w:rFonts w:ascii="Arial" w:hAnsi="Arial"/>
          <w:sz w:val="16"/>
        </w:rPr>
        <w:t xml:space="preserve">which is available in the docket (EPA–HQ–OAR– 2022–0606) of this rulemaking at </w:t>
      </w:r>
      <w:r w:rsidRPr="00283806">
        <w:rPr>
          <w:rFonts w:ascii="Arial" w:hAnsi="Arial"/>
          <w:i/>
          <w:sz w:val="16"/>
        </w:rPr>
        <w:t>https://www.regulations.gov.</w:t>
      </w:r>
    </w:p>
    <w:p w14:paraId="234E72E1" w14:textId="77777777" w:rsidR="00D67C1E" w:rsidRPr="00283806" w:rsidRDefault="00D67C1E">
      <w:pPr>
        <w:pStyle w:val="BodyText"/>
        <w:spacing w:before="14"/>
        <w:ind w:left="0"/>
        <w:rPr>
          <w:rFonts w:ascii="Arial"/>
          <w:i/>
          <w:sz w:val="20"/>
        </w:rPr>
      </w:pPr>
    </w:p>
    <w:p w14:paraId="1399D6CA" w14:textId="77777777" w:rsidR="00D67C1E" w:rsidRPr="00283806" w:rsidRDefault="00D67C1E">
      <w:pPr>
        <w:rPr>
          <w:rFonts w:ascii="Arial"/>
          <w:sz w:val="20"/>
        </w:rPr>
        <w:sectPr w:rsidR="00D67C1E" w:rsidRPr="00283806">
          <w:type w:val="continuous"/>
          <w:pgSz w:w="12240" w:h="15840"/>
          <w:pgMar w:top="880" w:right="780" w:bottom="280" w:left="740" w:header="627" w:footer="0" w:gutter="0"/>
          <w:cols w:space="720"/>
        </w:sectPr>
      </w:pPr>
    </w:p>
    <w:p w14:paraId="0FD1CDF1" w14:textId="77777777" w:rsidR="00D67C1E" w:rsidRPr="00283806" w:rsidRDefault="001265CA">
      <w:pPr>
        <w:pStyle w:val="Heading3"/>
        <w:numPr>
          <w:ilvl w:val="0"/>
          <w:numId w:val="64"/>
        </w:numPr>
        <w:tabs>
          <w:tab w:val="left" w:pos="459"/>
        </w:tabs>
        <w:spacing w:before="119" w:line="220" w:lineRule="auto"/>
        <w:ind w:left="160" w:right="210" w:firstLine="0"/>
        <w:rPr>
          <w:rFonts w:ascii="Book Antiqua"/>
        </w:rPr>
      </w:pPr>
      <w:r w:rsidRPr="00283806">
        <w:rPr>
          <w:rFonts w:ascii="Book Antiqua"/>
        </w:rPr>
        <w:t>What are the costs and benefits of this action?</w:t>
      </w:r>
    </w:p>
    <w:p w14:paraId="7ED63FC2" w14:textId="77777777" w:rsidR="00D67C1E" w:rsidRPr="00283806" w:rsidRDefault="001265CA">
      <w:pPr>
        <w:pStyle w:val="ListParagraph"/>
        <w:numPr>
          <w:ilvl w:val="1"/>
          <w:numId w:val="64"/>
        </w:numPr>
        <w:tabs>
          <w:tab w:val="left" w:pos="395"/>
        </w:tabs>
        <w:spacing w:before="90"/>
        <w:ind w:left="395" w:hanging="235"/>
        <w:rPr>
          <w:rFonts w:ascii="Book Antiqua"/>
          <w:i/>
          <w:sz w:val="18"/>
        </w:rPr>
      </w:pPr>
      <w:r w:rsidRPr="00283806">
        <w:rPr>
          <w:rFonts w:ascii="Book Antiqua"/>
          <w:i/>
          <w:spacing w:val="-2"/>
          <w:w w:val="115"/>
          <w:sz w:val="18"/>
        </w:rPr>
        <w:t>Background</w:t>
      </w:r>
    </w:p>
    <w:p w14:paraId="7C58F1EE" w14:textId="77777777" w:rsidR="00D67C1E" w:rsidRPr="00283806" w:rsidRDefault="001265CA">
      <w:pPr>
        <w:pStyle w:val="BodyText"/>
        <w:spacing w:before="95" w:line="228" w:lineRule="auto"/>
        <w:ind w:right="43" w:firstLine="180"/>
      </w:pPr>
      <w:r w:rsidRPr="00283806">
        <w:rPr>
          <w:w w:val="105"/>
        </w:rPr>
        <w:t xml:space="preserve">EPA </w:t>
      </w:r>
      <w:proofErr w:type="gramStart"/>
      <w:r w:rsidRPr="00283806">
        <w:rPr>
          <w:w w:val="105"/>
        </w:rPr>
        <w:t>is providing</w:t>
      </w:r>
      <w:proofErr w:type="gramEnd"/>
      <w:r w:rsidRPr="00283806">
        <w:rPr>
          <w:w w:val="105"/>
        </w:rPr>
        <w:t xml:space="preserve"> information on the costs and benefits for the provisions related to managing regulated</w:t>
      </w:r>
      <w:r w:rsidRPr="00283806">
        <w:rPr>
          <w:spacing w:val="40"/>
          <w:w w:val="105"/>
        </w:rPr>
        <w:t xml:space="preserve"> </w:t>
      </w:r>
      <w:r w:rsidRPr="00283806">
        <w:rPr>
          <w:w w:val="105"/>
        </w:rPr>
        <w:t xml:space="preserve">substances and their substitutes in this rule. The </w:t>
      </w:r>
      <w:proofErr w:type="gramStart"/>
      <w:r w:rsidRPr="00283806">
        <w:rPr>
          <w:w w:val="105"/>
        </w:rPr>
        <w:t>analyses</w:t>
      </w:r>
      <w:proofErr w:type="gramEnd"/>
      <w:r w:rsidRPr="00283806">
        <w:rPr>
          <w:w w:val="105"/>
        </w:rPr>
        <w:t xml:space="preserve">, presented in the Economic Impact and Benefits TSD and the RIA addendum, are contained in the docket </w:t>
      </w:r>
      <w:proofErr w:type="gramStart"/>
      <w:r w:rsidRPr="00283806">
        <w:rPr>
          <w:w w:val="105"/>
        </w:rPr>
        <w:t>to</w:t>
      </w:r>
      <w:proofErr w:type="gramEnd"/>
      <w:r w:rsidRPr="00283806">
        <w:rPr>
          <w:w w:val="105"/>
        </w:rPr>
        <w:t xml:space="preserve"> this rule and are intended to provide the public with information on the relevant costs and benefits of this action and to comply with Executive Orders. The RIA addendum includes estimates of the SC–HFCs </w:t>
      </w:r>
      <w:proofErr w:type="gramStart"/>
      <w:r w:rsidRPr="00283806">
        <w:rPr>
          <w:w w:val="105"/>
        </w:rPr>
        <w:t>in order to</w:t>
      </w:r>
      <w:proofErr w:type="gramEnd"/>
      <w:r w:rsidRPr="00283806">
        <w:rPr>
          <w:w w:val="105"/>
        </w:rPr>
        <w:t xml:space="preserve"> quantify climate benefits, for the</w:t>
      </w:r>
      <w:r w:rsidRPr="00283806">
        <w:rPr>
          <w:spacing w:val="80"/>
          <w:w w:val="105"/>
        </w:rPr>
        <w:t xml:space="preserve"> </w:t>
      </w:r>
      <w:r w:rsidRPr="00283806">
        <w:rPr>
          <w:w w:val="105"/>
        </w:rPr>
        <w:t>purpose of providing useful information to the public and to comply with E.O.</w:t>
      </w:r>
    </w:p>
    <w:p w14:paraId="7B462C6C" w14:textId="77777777" w:rsidR="00D67C1E" w:rsidRPr="00283806" w:rsidRDefault="001265CA">
      <w:pPr>
        <w:pStyle w:val="BodyText"/>
        <w:spacing w:line="228" w:lineRule="auto"/>
        <w:ind w:right="135"/>
      </w:pPr>
      <w:r w:rsidRPr="00283806">
        <w:rPr>
          <w:w w:val="105"/>
        </w:rPr>
        <w:t>12866. Although EPA is using the SC of HFCs for purposes of that assessment, this action does not rely on those estimates as a record basis for the Agency</w:t>
      </w:r>
      <w:r w:rsidRPr="00283806">
        <w:rPr>
          <w:spacing w:val="40"/>
          <w:w w:val="105"/>
        </w:rPr>
        <w:t xml:space="preserve"> </w:t>
      </w:r>
      <w:r w:rsidRPr="00283806">
        <w:rPr>
          <w:w w:val="105"/>
        </w:rPr>
        <w:t>action,</w:t>
      </w:r>
      <w:r w:rsidRPr="00283806">
        <w:rPr>
          <w:spacing w:val="40"/>
          <w:w w:val="105"/>
        </w:rPr>
        <w:t xml:space="preserve"> </w:t>
      </w:r>
      <w:r w:rsidRPr="00283806">
        <w:rPr>
          <w:w w:val="105"/>
        </w:rPr>
        <w:t>and</w:t>
      </w:r>
      <w:r w:rsidRPr="00283806">
        <w:rPr>
          <w:spacing w:val="40"/>
          <w:w w:val="105"/>
        </w:rPr>
        <w:t xml:space="preserve"> </w:t>
      </w:r>
      <w:r w:rsidRPr="00283806">
        <w:rPr>
          <w:w w:val="105"/>
        </w:rPr>
        <w:t>EPA</w:t>
      </w:r>
      <w:r w:rsidRPr="00283806">
        <w:rPr>
          <w:spacing w:val="40"/>
          <w:w w:val="105"/>
        </w:rPr>
        <w:t xml:space="preserve"> </w:t>
      </w:r>
      <w:r w:rsidRPr="00283806">
        <w:rPr>
          <w:w w:val="105"/>
        </w:rPr>
        <w:t>would</w:t>
      </w:r>
      <w:r w:rsidRPr="00283806">
        <w:rPr>
          <w:spacing w:val="40"/>
          <w:w w:val="105"/>
        </w:rPr>
        <w:t xml:space="preserve"> </w:t>
      </w:r>
      <w:r w:rsidRPr="00283806">
        <w:rPr>
          <w:w w:val="105"/>
        </w:rPr>
        <w:t>reach the conclusions made in this final rule even in the absence of the social costs</w:t>
      </w:r>
      <w:r w:rsidRPr="00283806">
        <w:rPr>
          <w:spacing w:val="80"/>
          <w:w w:val="150"/>
        </w:rPr>
        <w:t xml:space="preserve"> </w:t>
      </w:r>
      <w:r w:rsidRPr="00283806">
        <w:rPr>
          <w:w w:val="105"/>
        </w:rPr>
        <w:t>of HFCs.</w:t>
      </w:r>
    </w:p>
    <w:p w14:paraId="4E2319E7" w14:textId="77777777" w:rsidR="00D67C1E" w:rsidRPr="00283806" w:rsidRDefault="001265CA">
      <w:pPr>
        <w:pStyle w:val="BodyText"/>
        <w:spacing w:before="16" w:line="228" w:lineRule="auto"/>
        <w:ind w:right="38" w:firstLine="180"/>
      </w:pPr>
      <w:r w:rsidRPr="00283806">
        <w:rPr>
          <w:w w:val="105"/>
        </w:rPr>
        <w:t>The climate benefits and compliance costs stemming from this final rule include those related to:</w:t>
      </w:r>
    </w:p>
    <w:p w14:paraId="33A597B3" w14:textId="77777777" w:rsidR="00D67C1E" w:rsidRPr="00283806" w:rsidRDefault="001265CA">
      <w:pPr>
        <w:pStyle w:val="ListParagraph"/>
        <w:numPr>
          <w:ilvl w:val="0"/>
          <w:numId w:val="43"/>
        </w:numPr>
        <w:tabs>
          <w:tab w:val="left" w:pos="608"/>
        </w:tabs>
        <w:spacing w:before="27" w:line="228" w:lineRule="auto"/>
        <w:ind w:right="69" w:firstLine="180"/>
        <w:rPr>
          <w:sz w:val="18"/>
        </w:rPr>
      </w:pPr>
      <w:r w:rsidRPr="00283806">
        <w:rPr>
          <w:w w:val="105"/>
          <w:sz w:val="18"/>
        </w:rPr>
        <w:t>the provisions on leak repair, leak detection, ALD systems, and recordkeeping and reporting related to these provisions;</w:t>
      </w:r>
    </w:p>
    <w:p w14:paraId="72B96D44" w14:textId="77777777" w:rsidR="00D67C1E" w:rsidRPr="00283806" w:rsidRDefault="001265CA">
      <w:pPr>
        <w:pStyle w:val="ListParagraph"/>
        <w:numPr>
          <w:ilvl w:val="0"/>
          <w:numId w:val="43"/>
        </w:numPr>
        <w:tabs>
          <w:tab w:val="left" w:pos="608"/>
        </w:tabs>
        <w:spacing w:before="26" w:line="228" w:lineRule="auto"/>
        <w:ind w:right="438" w:firstLine="180"/>
        <w:rPr>
          <w:sz w:val="18"/>
        </w:rPr>
      </w:pPr>
      <w:r w:rsidRPr="00283806">
        <w:rPr>
          <w:w w:val="105"/>
          <w:sz w:val="18"/>
        </w:rPr>
        <w:t>the amendments to the RCRA hazardous waste regulations;</w:t>
      </w:r>
    </w:p>
    <w:p w14:paraId="4EA1AF3B" w14:textId="77777777" w:rsidR="00D67C1E" w:rsidRPr="00283806" w:rsidRDefault="001265CA">
      <w:pPr>
        <w:pStyle w:val="ListParagraph"/>
        <w:numPr>
          <w:ilvl w:val="0"/>
          <w:numId w:val="43"/>
        </w:numPr>
        <w:tabs>
          <w:tab w:val="left" w:pos="608"/>
        </w:tabs>
        <w:spacing w:before="113" w:line="225" w:lineRule="auto"/>
        <w:ind w:right="55" w:firstLine="180"/>
        <w:rPr>
          <w:sz w:val="18"/>
        </w:rPr>
      </w:pPr>
      <w:r w:rsidRPr="00283806">
        <w:br w:type="column"/>
      </w:r>
      <w:r w:rsidRPr="00283806">
        <w:rPr>
          <w:w w:val="105"/>
          <w:sz w:val="18"/>
        </w:rPr>
        <w:t xml:space="preserve">requirements regarding the management of disposable cylinders for </w:t>
      </w:r>
      <w:r w:rsidRPr="00283806">
        <w:rPr>
          <w:spacing w:val="-2"/>
          <w:w w:val="105"/>
          <w:sz w:val="18"/>
        </w:rPr>
        <w:t>HFCs;</w:t>
      </w:r>
    </w:p>
    <w:p w14:paraId="2BCC4912" w14:textId="77777777" w:rsidR="00D67C1E" w:rsidRPr="00283806" w:rsidRDefault="001265CA">
      <w:pPr>
        <w:pStyle w:val="ListParagraph"/>
        <w:numPr>
          <w:ilvl w:val="0"/>
          <w:numId w:val="43"/>
        </w:numPr>
        <w:tabs>
          <w:tab w:val="left" w:pos="608"/>
        </w:tabs>
        <w:spacing w:line="179" w:lineRule="exact"/>
        <w:ind w:left="608" w:hanging="268"/>
        <w:rPr>
          <w:sz w:val="18"/>
        </w:rPr>
      </w:pPr>
      <w:r w:rsidRPr="00283806">
        <w:rPr>
          <w:w w:val="105"/>
          <w:sz w:val="18"/>
        </w:rPr>
        <w:t>requiring</w:t>
      </w:r>
      <w:r w:rsidRPr="00283806">
        <w:rPr>
          <w:spacing w:val="8"/>
          <w:w w:val="105"/>
          <w:sz w:val="18"/>
        </w:rPr>
        <w:t xml:space="preserve"> </w:t>
      </w:r>
      <w:r w:rsidRPr="00283806">
        <w:rPr>
          <w:w w:val="105"/>
          <w:sz w:val="18"/>
        </w:rPr>
        <w:t>the</w:t>
      </w:r>
      <w:r w:rsidRPr="00283806">
        <w:rPr>
          <w:spacing w:val="8"/>
          <w:w w:val="105"/>
          <w:sz w:val="18"/>
        </w:rPr>
        <w:t xml:space="preserve"> </w:t>
      </w:r>
      <w:proofErr w:type="gramStart"/>
      <w:r w:rsidRPr="00283806">
        <w:rPr>
          <w:w w:val="105"/>
          <w:sz w:val="18"/>
        </w:rPr>
        <w:t>servicing</w:t>
      </w:r>
      <w:proofErr w:type="gramEnd"/>
      <w:r w:rsidRPr="00283806">
        <w:rPr>
          <w:spacing w:val="9"/>
          <w:w w:val="105"/>
          <w:sz w:val="18"/>
        </w:rPr>
        <w:t xml:space="preserve"> </w:t>
      </w:r>
      <w:r w:rsidRPr="00283806">
        <w:rPr>
          <w:spacing w:val="-2"/>
          <w:w w:val="105"/>
          <w:sz w:val="18"/>
        </w:rPr>
        <w:t>and/or</w:t>
      </w:r>
    </w:p>
    <w:p w14:paraId="571BFAD3" w14:textId="77777777" w:rsidR="00D67C1E" w:rsidRPr="00283806" w:rsidRDefault="001265CA">
      <w:pPr>
        <w:pStyle w:val="BodyText"/>
        <w:spacing w:before="4" w:line="225" w:lineRule="auto"/>
        <w:ind w:right="74"/>
      </w:pPr>
      <w:r w:rsidRPr="00283806">
        <w:rPr>
          <w:w w:val="105"/>
        </w:rPr>
        <w:t>repair of certain refrigerant-containing equipment with reclaimed HFCs, along with recordkeeping requirements verifying that reclaimed refrigerant contains no more than 15 percent, by weight, virgin HFCs; and</w:t>
      </w:r>
    </w:p>
    <w:p w14:paraId="67724ED6" w14:textId="77777777" w:rsidR="00D67C1E" w:rsidRPr="00283806" w:rsidRDefault="001265CA">
      <w:pPr>
        <w:pStyle w:val="ListParagraph"/>
        <w:numPr>
          <w:ilvl w:val="0"/>
          <w:numId w:val="43"/>
        </w:numPr>
        <w:tabs>
          <w:tab w:val="left" w:pos="608"/>
        </w:tabs>
        <w:spacing w:line="178" w:lineRule="exact"/>
        <w:ind w:left="608" w:hanging="268"/>
        <w:rPr>
          <w:sz w:val="18"/>
        </w:rPr>
      </w:pPr>
      <w:r w:rsidRPr="00283806">
        <w:rPr>
          <w:w w:val="110"/>
          <w:sz w:val="18"/>
        </w:rPr>
        <w:t>minimizing</w:t>
      </w:r>
      <w:r w:rsidRPr="00283806">
        <w:rPr>
          <w:spacing w:val="-5"/>
          <w:w w:val="110"/>
          <w:sz w:val="18"/>
        </w:rPr>
        <w:t xml:space="preserve"> </w:t>
      </w:r>
      <w:r w:rsidRPr="00283806">
        <w:rPr>
          <w:w w:val="110"/>
          <w:sz w:val="18"/>
        </w:rPr>
        <w:t>emissions</w:t>
      </w:r>
      <w:r w:rsidRPr="00283806">
        <w:rPr>
          <w:spacing w:val="-5"/>
          <w:w w:val="110"/>
          <w:sz w:val="18"/>
        </w:rPr>
        <w:t xml:space="preserve"> </w:t>
      </w:r>
      <w:r w:rsidRPr="00283806">
        <w:rPr>
          <w:w w:val="110"/>
          <w:sz w:val="18"/>
        </w:rPr>
        <w:t>of</w:t>
      </w:r>
      <w:r w:rsidRPr="00283806">
        <w:rPr>
          <w:spacing w:val="-4"/>
          <w:w w:val="110"/>
          <w:sz w:val="18"/>
        </w:rPr>
        <w:t xml:space="preserve"> HFCs</w:t>
      </w:r>
    </w:p>
    <w:p w14:paraId="27474DF2" w14:textId="77777777" w:rsidR="00D67C1E" w:rsidRPr="00283806" w:rsidRDefault="001265CA">
      <w:pPr>
        <w:pStyle w:val="BodyText"/>
        <w:spacing w:before="4" w:line="225" w:lineRule="auto"/>
        <w:ind w:right="74"/>
      </w:pPr>
      <w:r w:rsidRPr="00283806">
        <w:rPr>
          <w:w w:val="105"/>
        </w:rPr>
        <w:t>from certain types of fire suppression equipment including the service, repair, or initial charging of such equipment with recycled HFCs.</w:t>
      </w:r>
    </w:p>
    <w:p w14:paraId="75860D76" w14:textId="77777777" w:rsidR="00D67C1E" w:rsidRPr="00283806" w:rsidRDefault="001265CA">
      <w:pPr>
        <w:pStyle w:val="BodyText"/>
        <w:spacing w:line="179" w:lineRule="exact"/>
        <w:ind w:left="340"/>
      </w:pPr>
      <w:r w:rsidRPr="00283806">
        <w:rPr>
          <w:w w:val="110"/>
        </w:rPr>
        <w:t>As</w:t>
      </w:r>
      <w:r w:rsidRPr="00283806">
        <w:rPr>
          <w:spacing w:val="2"/>
          <w:w w:val="110"/>
        </w:rPr>
        <w:t xml:space="preserve"> </w:t>
      </w:r>
      <w:r w:rsidRPr="00283806">
        <w:rPr>
          <w:w w:val="110"/>
        </w:rPr>
        <w:t>detailed</w:t>
      </w:r>
      <w:r w:rsidRPr="00283806">
        <w:rPr>
          <w:spacing w:val="3"/>
          <w:w w:val="110"/>
        </w:rPr>
        <w:t xml:space="preserve"> </w:t>
      </w:r>
      <w:r w:rsidRPr="00283806">
        <w:rPr>
          <w:w w:val="110"/>
        </w:rPr>
        <w:t>in</w:t>
      </w:r>
      <w:r w:rsidRPr="00283806">
        <w:rPr>
          <w:spacing w:val="3"/>
          <w:w w:val="110"/>
        </w:rPr>
        <w:t xml:space="preserve"> </w:t>
      </w:r>
      <w:r w:rsidRPr="00283806">
        <w:rPr>
          <w:w w:val="110"/>
        </w:rPr>
        <w:t>the</w:t>
      </w:r>
      <w:r w:rsidRPr="00283806">
        <w:rPr>
          <w:spacing w:val="3"/>
          <w:w w:val="110"/>
        </w:rPr>
        <w:t xml:space="preserve"> </w:t>
      </w:r>
      <w:r w:rsidRPr="00283806">
        <w:rPr>
          <w:w w:val="110"/>
        </w:rPr>
        <w:t>RIA</w:t>
      </w:r>
      <w:r w:rsidRPr="00283806">
        <w:rPr>
          <w:spacing w:val="3"/>
          <w:w w:val="110"/>
        </w:rPr>
        <w:t xml:space="preserve"> </w:t>
      </w:r>
      <w:r w:rsidRPr="00283806">
        <w:rPr>
          <w:spacing w:val="-2"/>
          <w:w w:val="110"/>
        </w:rPr>
        <w:t>addendum,</w:t>
      </w:r>
    </w:p>
    <w:p w14:paraId="32BF4BD3" w14:textId="77777777" w:rsidR="00D67C1E" w:rsidRPr="00283806" w:rsidRDefault="001265CA">
      <w:pPr>
        <w:pStyle w:val="BodyText"/>
        <w:spacing w:before="4" w:line="225" w:lineRule="auto"/>
        <w:ind w:right="21"/>
      </w:pPr>
      <w:r w:rsidRPr="00283806">
        <w:rPr>
          <w:w w:val="105"/>
        </w:rPr>
        <w:t xml:space="preserve">EPA finds that in some cases specific provisions of the rule would result in compliance costs for industry, while in other cases they may result in cost savings. Provisions that result in </w:t>
      </w:r>
      <w:proofErr w:type="gramStart"/>
      <w:r w:rsidRPr="00283806">
        <w:rPr>
          <w:w w:val="105"/>
        </w:rPr>
        <w:t>a net</w:t>
      </w:r>
      <w:proofErr w:type="gramEnd"/>
      <w:r w:rsidRPr="00283806">
        <w:rPr>
          <w:w w:val="105"/>
        </w:rPr>
        <w:t xml:space="preserve"> cost savings may still be considered part of the economic benefits attributable to this rule, under the assumption that</w:t>
      </w:r>
      <w:r w:rsidRPr="00283806">
        <w:rPr>
          <w:spacing w:val="40"/>
          <w:w w:val="105"/>
        </w:rPr>
        <w:t xml:space="preserve"> </w:t>
      </w:r>
      <w:r w:rsidRPr="00283806">
        <w:rPr>
          <w:w w:val="105"/>
        </w:rPr>
        <w:t>these activities would not otherwise be undertaken at the same scale or rate of adoption in the absence of regulation.</w:t>
      </w:r>
    </w:p>
    <w:p w14:paraId="6FCC9D1D" w14:textId="77777777" w:rsidR="00D67C1E" w:rsidRPr="00283806" w:rsidRDefault="001265CA">
      <w:pPr>
        <w:pStyle w:val="BodyText"/>
        <w:spacing w:line="228" w:lineRule="auto"/>
        <w:ind w:right="74"/>
      </w:pPr>
      <w:r w:rsidRPr="00283806">
        <w:rPr>
          <w:w w:val="105"/>
        </w:rPr>
        <w:t>More discussion of these assumptions and supporting literature may be found in section 3.2.2 of the Allocation Framework Rule RIA.</w:t>
      </w:r>
    </w:p>
    <w:p w14:paraId="17B45BF9" w14:textId="77777777" w:rsidR="00D67C1E" w:rsidRPr="00283806" w:rsidRDefault="001265CA">
      <w:pPr>
        <w:pStyle w:val="BodyText"/>
        <w:spacing w:line="179" w:lineRule="exact"/>
        <w:ind w:left="340"/>
      </w:pPr>
      <w:r w:rsidRPr="00283806">
        <w:rPr>
          <w:w w:val="110"/>
        </w:rPr>
        <w:t>From</w:t>
      </w:r>
      <w:r w:rsidRPr="00283806">
        <w:rPr>
          <w:spacing w:val="-10"/>
          <w:w w:val="110"/>
        </w:rPr>
        <w:t xml:space="preserve"> </w:t>
      </w:r>
      <w:r w:rsidRPr="00283806">
        <w:rPr>
          <w:w w:val="110"/>
        </w:rPr>
        <w:t>the</w:t>
      </w:r>
      <w:r w:rsidRPr="00283806">
        <w:rPr>
          <w:spacing w:val="-9"/>
          <w:w w:val="110"/>
        </w:rPr>
        <w:t xml:space="preserve"> </w:t>
      </w:r>
      <w:r w:rsidRPr="00283806">
        <w:rPr>
          <w:w w:val="110"/>
        </w:rPr>
        <w:t>Agency’s</w:t>
      </w:r>
      <w:r w:rsidRPr="00283806">
        <w:rPr>
          <w:spacing w:val="-9"/>
          <w:w w:val="110"/>
        </w:rPr>
        <w:t xml:space="preserve"> </w:t>
      </w:r>
      <w:r w:rsidRPr="00283806">
        <w:rPr>
          <w:w w:val="110"/>
        </w:rPr>
        <w:t>analyses,</w:t>
      </w:r>
      <w:r w:rsidRPr="00283806">
        <w:rPr>
          <w:spacing w:val="-9"/>
          <w:w w:val="110"/>
        </w:rPr>
        <w:t xml:space="preserve"> </w:t>
      </w:r>
      <w:r w:rsidRPr="00283806">
        <w:rPr>
          <w:spacing w:val="-5"/>
          <w:w w:val="110"/>
        </w:rPr>
        <w:t>EPA</w:t>
      </w:r>
    </w:p>
    <w:p w14:paraId="7D390B70" w14:textId="77777777" w:rsidR="00D67C1E" w:rsidRPr="00283806" w:rsidRDefault="001265CA">
      <w:pPr>
        <w:pStyle w:val="BodyText"/>
        <w:spacing w:before="1" w:line="228" w:lineRule="auto"/>
        <w:ind w:right="74"/>
      </w:pPr>
      <w:r w:rsidRPr="00283806">
        <w:rPr>
          <w:w w:val="105"/>
        </w:rPr>
        <w:t>provides the costs and benefits</w:t>
      </w:r>
      <w:r w:rsidRPr="00283806">
        <w:rPr>
          <w:spacing w:val="40"/>
          <w:w w:val="105"/>
        </w:rPr>
        <w:t xml:space="preserve"> </w:t>
      </w:r>
      <w:r w:rsidRPr="00283806">
        <w:rPr>
          <w:w w:val="105"/>
        </w:rPr>
        <w:t>associated with the management of regulated substances and their substitutes under the AIM Act as well as those associated with the RCRA alternative standard requirements for</w:t>
      </w:r>
    </w:p>
    <w:p w14:paraId="1078B96F" w14:textId="77777777" w:rsidR="00D67C1E" w:rsidRPr="00283806" w:rsidRDefault="001265CA">
      <w:pPr>
        <w:pStyle w:val="BodyText"/>
        <w:spacing w:before="104" w:line="237" w:lineRule="auto"/>
        <w:ind w:left="156" w:right="180"/>
      </w:pPr>
      <w:r w:rsidRPr="00283806">
        <w:br w:type="column"/>
      </w:r>
      <w:r w:rsidRPr="00283806">
        <w:rPr>
          <w:w w:val="105"/>
        </w:rPr>
        <w:t>hazardous waste. These analyses—as summarized below—highlight economic cost and benefits, including benefits</w:t>
      </w:r>
      <w:r w:rsidRPr="00283806">
        <w:rPr>
          <w:spacing w:val="80"/>
          <w:w w:val="105"/>
        </w:rPr>
        <w:t xml:space="preserve"> </w:t>
      </w:r>
      <w:r w:rsidRPr="00283806">
        <w:rPr>
          <w:w w:val="105"/>
        </w:rPr>
        <w:t xml:space="preserve">from leak repair and emissions </w:t>
      </w:r>
      <w:r w:rsidRPr="00283806">
        <w:rPr>
          <w:spacing w:val="-2"/>
          <w:w w:val="105"/>
        </w:rPr>
        <w:t>reductions.</w:t>
      </w:r>
    </w:p>
    <w:p w14:paraId="026E809D" w14:textId="77777777" w:rsidR="00D67C1E" w:rsidRPr="00283806" w:rsidRDefault="001265CA">
      <w:pPr>
        <w:pStyle w:val="BodyText"/>
        <w:spacing w:before="52" w:line="237" w:lineRule="auto"/>
        <w:ind w:left="156" w:right="201" w:firstLine="180"/>
      </w:pPr>
      <w:r w:rsidRPr="00283806">
        <w:rPr>
          <w:w w:val="110"/>
        </w:rPr>
        <w:t xml:space="preserve">Given that the provisions EPA is finalizing concern HFCs, which are subject to the overall phasedown of </w:t>
      </w:r>
      <w:r w:rsidRPr="00283806">
        <w:rPr>
          <w:spacing w:val="-2"/>
          <w:w w:val="110"/>
        </w:rPr>
        <w:t>production</w:t>
      </w:r>
      <w:r w:rsidRPr="00283806">
        <w:rPr>
          <w:spacing w:val="-8"/>
          <w:w w:val="110"/>
        </w:rPr>
        <w:t xml:space="preserve"> </w:t>
      </w:r>
      <w:r w:rsidRPr="00283806">
        <w:rPr>
          <w:spacing w:val="-2"/>
          <w:w w:val="110"/>
        </w:rPr>
        <w:t>and</w:t>
      </w:r>
      <w:r w:rsidRPr="00283806">
        <w:rPr>
          <w:spacing w:val="-8"/>
          <w:w w:val="110"/>
        </w:rPr>
        <w:t xml:space="preserve"> </w:t>
      </w:r>
      <w:r w:rsidRPr="00283806">
        <w:rPr>
          <w:spacing w:val="-2"/>
          <w:w w:val="110"/>
        </w:rPr>
        <w:t>consumption</w:t>
      </w:r>
      <w:r w:rsidRPr="00283806">
        <w:rPr>
          <w:spacing w:val="-8"/>
          <w:w w:val="110"/>
        </w:rPr>
        <w:t xml:space="preserve"> </w:t>
      </w:r>
      <w:r w:rsidRPr="00283806">
        <w:rPr>
          <w:spacing w:val="-2"/>
          <w:w w:val="110"/>
        </w:rPr>
        <w:t>under</w:t>
      </w:r>
      <w:r w:rsidRPr="00283806">
        <w:rPr>
          <w:spacing w:val="-8"/>
          <w:w w:val="110"/>
        </w:rPr>
        <w:t xml:space="preserve"> </w:t>
      </w:r>
      <w:r w:rsidRPr="00283806">
        <w:rPr>
          <w:spacing w:val="-2"/>
          <w:w w:val="110"/>
        </w:rPr>
        <w:t xml:space="preserve">the </w:t>
      </w:r>
      <w:r w:rsidRPr="00283806">
        <w:rPr>
          <w:w w:val="110"/>
        </w:rPr>
        <w:t>AIM Act, EPA relied on its previous estimates of the impacts of already finalized AIM Act rules as a starting point for the assessment of costs and benefits of this rule. Specifically, the Allocation Framework Rule (86 FR 55116, October 5, 2021), the 2024</w:t>
      </w:r>
    </w:p>
    <w:p w14:paraId="6448BDBB" w14:textId="77777777" w:rsidR="00D67C1E" w:rsidRPr="00283806" w:rsidRDefault="001265CA">
      <w:pPr>
        <w:pStyle w:val="BodyText"/>
        <w:spacing w:line="199" w:lineRule="exact"/>
        <w:ind w:left="156"/>
      </w:pPr>
      <w:r w:rsidRPr="00283806">
        <w:rPr>
          <w:w w:val="110"/>
        </w:rPr>
        <w:t>Allocation</w:t>
      </w:r>
      <w:r w:rsidRPr="00283806">
        <w:rPr>
          <w:spacing w:val="-7"/>
          <w:w w:val="110"/>
        </w:rPr>
        <w:t xml:space="preserve"> </w:t>
      </w:r>
      <w:r w:rsidRPr="00283806">
        <w:rPr>
          <w:w w:val="110"/>
        </w:rPr>
        <w:t>Rule</w:t>
      </w:r>
      <w:r w:rsidRPr="00283806">
        <w:rPr>
          <w:spacing w:val="-6"/>
          <w:w w:val="110"/>
        </w:rPr>
        <w:t xml:space="preserve"> </w:t>
      </w:r>
      <w:r w:rsidRPr="00283806">
        <w:rPr>
          <w:w w:val="110"/>
        </w:rPr>
        <w:t>(88</w:t>
      </w:r>
      <w:r w:rsidRPr="00283806">
        <w:rPr>
          <w:spacing w:val="-6"/>
          <w:w w:val="110"/>
        </w:rPr>
        <w:t xml:space="preserve"> </w:t>
      </w:r>
      <w:r w:rsidRPr="00283806">
        <w:rPr>
          <w:w w:val="110"/>
        </w:rPr>
        <w:t>FR</w:t>
      </w:r>
      <w:r w:rsidRPr="00283806">
        <w:rPr>
          <w:spacing w:val="-6"/>
          <w:w w:val="110"/>
        </w:rPr>
        <w:t xml:space="preserve"> </w:t>
      </w:r>
      <w:r w:rsidRPr="00283806">
        <w:rPr>
          <w:w w:val="110"/>
        </w:rPr>
        <w:t>46836,</w:t>
      </w:r>
      <w:r w:rsidRPr="00283806">
        <w:rPr>
          <w:spacing w:val="-7"/>
          <w:w w:val="110"/>
        </w:rPr>
        <w:t xml:space="preserve"> </w:t>
      </w:r>
      <w:r w:rsidRPr="00283806">
        <w:rPr>
          <w:w w:val="110"/>
        </w:rPr>
        <w:t>July</w:t>
      </w:r>
      <w:r w:rsidRPr="00283806">
        <w:rPr>
          <w:spacing w:val="-6"/>
          <w:w w:val="110"/>
        </w:rPr>
        <w:t xml:space="preserve"> </w:t>
      </w:r>
      <w:r w:rsidRPr="00283806">
        <w:rPr>
          <w:spacing w:val="-5"/>
          <w:w w:val="110"/>
        </w:rPr>
        <w:t>20,</w:t>
      </w:r>
    </w:p>
    <w:p w14:paraId="55A39FB4" w14:textId="77777777" w:rsidR="00D67C1E" w:rsidRPr="00283806" w:rsidRDefault="001265CA">
      <w:pPr>
        <w:pStyle w:val="BodyText"/>
        <w:spacing w:line="208" w:lineRule="exact"/>
        <w:ind w:left="156"/>
      </w:pPr>
      <w:r w:rsidRPr="00283806">
        <w:rPr>
          <w:w w:val="105"/>
        </w:rPr>
        <w:t>2023),</w:t>
      </w:r>
      <w:r w:rsidRPr="00283806">
        <w:rPr>
          <w:spacing w:val="-3"/>
          <w:w w:val="105"/>
        </w:rPr>
        <w:t xml:space="preserve"> </w:t>
      </w:r>
      <w:r w:rsidRPr="00283806">
        <w:rPr>
          <w:w w:val="105"/>
        </w:rPr>
        <w:t>and</w:t>
      </w:r>
      <w:r w:rsidRPr="00283806">
        <w:rPr>
          <w:spacing w:val="-2"/>
          <w:w w:val="105"/>
        </w:rPr>
        <w:t xml:space="preserve"> </w:t>
      </w:r>
      <w:r w:rsidRPr="00283806">
        <w:rPr>
          <w:w w:val="105"/>
        </w:rPr>
        <w:t>the</w:t>
      </w:r>
      <w:r w:rsidRPr="00283806">
        <w:rPr>
          <w:spacing w:val="-2"/>
          <w:w w:val="105"/>
        </w:rPr>
        <w:t xml:space="preserve"> </w:t>
      </w:r>
      <w:r w:rsidRPr="00283806">
        <w:rPr>
          <w:w w:val="105"/>
        </w:rPr>
        <w:t>2023</w:t>
      </w:r>
      <w:r w:rsidRPr="00283806">
        <w:rPr>
          <w:spacing w:val="-2"/>
          <w:w w:val="105"/>
        </w:rPr>
        <w:t xml:space="preserve"> Technology</w:t>
      </w:r>
    </w:p>
    <w:p w14:paraId="01329509" w14:textId="77777777" w:rsidR="00D67C1E" w:rsidRPr="00283806" w:rsidRDefault="001265CA">
      <w:pPr>
        <w:pStyle w:val="BodyText"/>
        <w:spacing w:line="237" w:lineRule="auto"/>
        <w:ind w:left="156" w:right="131"/>
      </w:pPr>
      <w:r w:rsidRPr="00283806">
        <w:rPr>
          <w:w w:val="105"/>
        </w:rPr>
        <w:t>Transitions Rule (88 FR 73098, October 24, 2023) are assumed as a baseline for this rule. In this way, EPA analyzed the incremental impacts of this rule, attributing benefits only insofar as they are additional to those already assessed in the Allocation Framework Rule RIA,</w:t>
      </w:r>
      <w:r w:rsidRPr="00283806">
        <w:rPr>
          <w:spacing w:val="40"/>
          <w:w w:val="105"/>
        </w:rPr>
        <w:t xml:space="preserve"> </w:t>
      </w:r>
      <w:r w:rsidRPr="00283806">
        <w:rPr>
          <w:w w:val="105"/>
        </w:rPr>
        <w:t>the</w:t>
      </w:r>
      <w:r w:rsidRPr="00283806">
        <w:rPr>
          <w:spacing w:val="40"/>
          <w:w w:val="105"/>
        </w:rPr>
        <w:t xml:space="preserve"> </w:t>
      </w:r>
      <w:r w:rsidRPr="00283806">
        <w:rPr>
          <w:w w:val="105"/>
        </w:rPr>
        <w:t>2024</w:t>
      </w:r>
      <w:r w:rsidRPr="00283806">
        <w:rPr>
          <w:spacing w:val="40"/>
          <w:w w:val="105"/>
        </w:rPr>
        <w:t xml:space="preserve"> </w:t>
      </w:r>
      <w:r w:rsidRPr="00283806">
        <w:rPr>
          <w:w w:val="105"/>
        </w:rPr>
        <w:t>Allocation</w:t>
      </w:r>
      <w:r w:rsidRPr="00283806">
        <w:rPr>
          <w:spacing w:val="40"/>
          <w:w w:val="105"/>
        </w:rPr>
        <w:t xml:space="preserve"> </w:t>
      </w:r>
      <w:r w:rsidRPr="00283806">
        <w:rPr>
          <w:w w:val="105"/>
        </w:rPr>
        <w:t>Rule</w:t>
      </w:r>
      <w:r w:rsidRPr="00283806">
        <w:rPr>
          <w:spacing w:val="40"/>
          <w:w w:val="105"/>
        </w:rPr>
        <w:t xml:space="preserve"> </w:t>
      </w:r>
      <w:r w:rsidRPr="00283806">
        <w:rPr>
          <w:w w:val="105"/>
        </w:rPr>
        <w:t>RIA Addendum, and the 2023 Technology Transitions Rule RIA Addendum (collectively referred to as ‘‘Allocation and</w:t>
      </w:r>
      <w:r w:rsidRPr="00283806">
        <w:rPr>
          <w:spacing w:val="40"/>
          <w:w w:val="105"/>
        </w:rPr>
        <w:t xml:space="preserve"> </w:t>
      </w:r>
      <w:r w:rsidRPr="00283806">
        <w:rPr>
          <w:w w:val="105"/>
        </w:rPr>
        <w:t>2023</w:t>
      </w:r>
      <w:r w:rsidRPr="00283806">
        <w:rPr>
          <w:spacing w:val="40"/>
          <w:w w:val="105"/>
        </w:rPr>
        <w:t xml:space="preserve"> </w:t>
      </w:r>
      <w:r w:rsidRPr="00283806">
        <w:rPr>
          <w:w w:val="105"/>
        </w:rPr>
        <w:t>Technology</w:t>
      </w:r>
      <w:r w:rsidRPr="00283806">
        <w:rPr>
          <w:spacing w:val="40"/>
          <w:w w:val="105"/>
        </w:rPr>
        <w:t xml:space="preserve"> </w:t>
      </w:r>
      <w:r w:rsidRPr="00283806">
        <w:rPr>
          <w:w w:val="105"/>
        </w:rPr>
        <w:t>Transitions Rules’’ in this discussion). Climate benefits presented in the RIA addendum are based on changes (increases or reductions) in HFC emissions compared to</w:t>
      </w:r>
      <w:r w:rsidRPr="00283806">
        <w:rPr>
          <w:spacing w:val="8"/>
          <w:w w:val="105"/>
        </w:rPr>
        <w:t xml:space="preserve"> </w:t>
      </w:r>
      <w:r w:rsidRPr="00283806">
        <w:rPr>
          <w:w w:val="105"/>
        </w:rPr>
        <w:t>the</w:t>
      </w:r>
      <w:r w:rsidRPr="00283806">
        <w:rPr>
          <w:spacing w:val="9"/>
          <w:w w:val="105"/>
        </w:rPr>
        <w:t xml:space="preserve"> </w:t>
      </w:r>
      <w:r w:rsidRPr="00283806">
        <w:rPr>
          <w:w w:val="105"/>
        </w:rPr>
        <w:t>2023</w:t>
      </w:r>
      <w:r w:rsidRPr="00283806">
        <w:rPr>
          <w:spacing w:val="9"/>
          <w:w w:val="105"/>
        </w:rPr>
        <w:t xml:space="preserve"> </w:t>
      </w:r>
      <w:r w:rsidRPr="00283806">
        <w:rPr>
          <w:w w:val="105"/>
        </w:rPr>
        <w:t>Technology</w:t>
      </w:r>
      <w:r w:rsidRPr="00283806">
        <w:rPr>
          <w:spacing w:val="8"/>
          <w:w w:val="105"/>
        </w:rPr>
        <w:t xml:space="preserve"> </w:t>
      </w:r>
      <w:r w:rsidRPr="00283806">
        <w:rPr>
          <w:w w:val="105"/>
        </w:rPr>
        <w:t>Transitions</w:t>
      </w:r>
      <w:r w:rsidRPr="00283806">
        <w:rPr>
          <w:spacing w:val="9"/>
          <w:w w:val="105"/>
        </w:rPr>
        <w:t xml:space="preserve"> </w:t>
      </w:r>
      <w:r w:rsidRPr="00283806">
        <w:rPr>
          <w:spacing w:val="-4"/>
          <w:w w:val="105"/>
        </w:rPr>
        <w:t>Rule</w:t>
      </w:r>
    </w:p>
    <w:p w14:paraId="0C8C292E" w14:textId="77777777" w:rsidR="00D67C1E" w:rsidRPr="00283806" w:rsidRDefault="00D67C1E">
      <w:pPr>
        <w:spacing w:line="237" w:lineRule="auto"/>
        <w:sectPr w:rsidR="00D67C1E" w:rsidRPr="00283806">
          <w:type w:val="continuous"/>
          <w:pgSz w:w="12240" w:h="15840"/>
          <w:pgMar w:top="880" w:right="780" w:bottom="280" w:left="740" w:header="627" w:footer="0" w:gutter="0"/>
          <w:cols w:num="3" w:space="720" w:equalWidth="0">
            <w:col w:w="3487" w:space="53"/>
            <w:col w:w="3504" w:space="40"/>
            <w:col w:w="3636"/>
          </w:cols>
        </w:sectPr>
      </w:pPr>
    </w:p>
    <w:p w14:paraId="781471F2" w14:textId="77777777" w:rsidR="00D67C1E" w:rsidRPr="00283806" w:rsidRDefault="001265CA">
      <w:pPr>
        <w:pStyle w:val="BodyText"/>
        <w:spacing w:before="136" w:line="225" w:lineRule="auto"/>
        <w:ind w:right="27" w:hanging="1"/>
      </w:pPr>
      <w:r w:rsidRPr="00283806">
        <w:rPr>
          <w:w w:val="105"/>
        </w:rPr>
        <w:lastRenderedPageBreak/>
        <w:t xml:space="preserve">compliance case </w:t>
      </w:r>
      <w:r w:rsidRPr="00283806">
        <w:rPr>
          <w:w w:val="105"/>
          <w:position w:val="5"/>
          <w:sz w:val="11"/>
        </w:rPr>
        <w:t>172</w:t>
      </w:r>
      <w:r w:rsidRPr="00283806">
        <w:rPr>
          <w:spacing w:val="40"/>
          <w:w w:val="105"/>
          <w:position w:val="5"/>
          <w:sz w:val="11"/>
        </w:rPr>
        <w:t xml:space="preserve"> </w:t>
      </w:r>
      <w:r w:rsidRPr="00283806">
        <w:rPr>
          <w:w w:val="105"/>
        </w:rPr>
        <w:t>(</w:t>
      </w:r>
      <w:r w:rsidRPr="00283806">
        <w:rPr>
          <w:rFonts w:ascii="Book Antiqua"/>
          <w:i/>
          <w:w w:val="105"/>
        </w:rPr>
        <w:t xml:space="preserve">i.e., </w:t>
      </w:r>
      <w:r w:rsidRPr="00283806">
        <w:rPr>
          <w:w w:val="105"/>
        </w:rPr>
        <w:t>after consideration of the Allocation Framework Rule, the 2024 Allocation Rule, and the 2023 Technology Transitions Rule).</w:t>
      </w:r>
    </w:p>
    <w:p w14:paraId="43644B03" w14:textId="77777777" w:rsidR="00D67C1E" w:rsidRPr="00283806" w:rsidRDefault="001265CA">
      <w:pPr>
        <w:pStyle w:val="BodyText"/>
        <w:spacing w:line="178" w:lineRule="exact"/>
        <w:ind w:left="340"/>
      </w:pPr>
      <w:r w:rsidRPr="00283806">
        <w:rPr>
          <w:w w:val="105"/>
        </w:rPr>
        <w:t>EPA</w:t>
      </w:r>
      <w:r w:rsidRPr="00283806">
        <w:rPr>
          <w:spacing w:val="13"/>
          <w:w w:val="105"/>
        </w:rPr>
        <w:t xml:space="preserve"> </w:t>
      </w:r>
      <w:r w:rsidRPr="00283806">
        <w:rPr>
          <w:w w:val="105"/>
        </w:rPr>
        <w:t>estimated</w:t>
      </w:r>
      <w:r w:rsidRPr="00283806">
        <w:rPr>
          <w:spacing w:val="13"/>
          <w:w w:val="105"/>
        </w:rPr>
        <w:t xml:space="preserve"> </w:t>
      </w:r>
      <w:r w:rsidRPr="00283806">
        <w:rPr>
          <w:w w:val="105"/>
        </w:rPr>
        <w:t>the</w:t>
      </w:r>
      <w:r w:rsidRPr="00283806">
        <w:rPr>
          <w:spacing w:val="14"/>
          <w:w w:val="105"/>
        </w:rPr>
        <w:t xml:space="preserve"> </w:t>
      </w:r>
      <w:r w:rsidRPr="00283806">
        <w:rPr>
          <w:w w:val="105"/>
        </w:rPr>
        <w:t>climate</w:t>
      </w:r>
      <w:r w:rsidRPr="00283806">
        <w:rPr>
          <w:spacing w:val="13"/>
          <w:w w:val="105"/>
        </w:rPr>
        <w:t xml:space="preserve"> </w:t>
      </w:r>
      <w:r w:rsidRPr="00283806">
        <w:rPr>
          <w:w w:val="105"/>
        </w:rPr>
        <w:t>benefits</w:t>
      </w:r>
      <w:r w:rsidRPr="00283806">
        <w:rPr>
          <w:spacing w:val="14"/>
          <w:w w:val="105"/>
        </w:rPr>
        <w:t xml:space="preserve"> </w:t>
      </w:r>
      <w:r w:rsidRPr="00283806">
        <w:rPr>
          <w:spacing w:val="-5"/>
          <w:w w:val="105"/>
        </w:rPr>
        <w:t>for</w:t>
      </w:r>
    </w:p>
    <w:p w14:paraId="799E7825" w14:textId="77777777" w:rsidR="00D67C1E" w:rsidRPr="00283806" w:rsidRDefault="001265CA">
      <w:pPr>
        <w:pStyle w:val="BodyText"/>
        <w:spacing w:before="3" w:line="228" w:lineRule="auto"/>
        <w:ind w:right="56"/>
      </w:pPr>
      <w:r w:rsidRPr="00283806">
        <w:rPr>
          <w:w w:val="105"/>
        </w:rPr>
        <w:t>this rule using a set of estimates of the social cost of each HFC (SC–</w:t>
      </w:r>
      <w:proofErr w:type="gramStart"/>
      <w:r w:rsidRPr="00283806">
        <w:rPr>
          <w:w w:val="105"/>
        </w:rPr>
        <w:t>HFC, or</w:t>
      </w:r>
      <w:proofErr w:type="gramEnd"/>
      <w:r w:rsidRPr="00283806">
        <w:rPr>
          <w:w w:val="105"/>
        </w:rPr>
        <w:t xml:space="preserve"> collectively referred to as SC–HFCs) that is affected by the rule. The SC–HFCs is</w:t>
      </w:r>
      <w:r w:rsidRPr="00283806">
        <w:rPr>
          <w:spacing w:val="40"/>
          <w:w w:val="105"/>
        </w:rPr>
        <w:t xml:space="preserve"> </w:t>
      </w:r>
      <w:r w:rsidRPr="00283806">
        <w:rPr>
          <w:w w:val="105"/>
        </w:rPr>
        <w:t xml:space="preserve">the monetary value of the net harm to society associated with a marginal increase in HFC emissions </w:t>
      </w:r>
      <w:proofErr w:type="gramStart"/>
      <w:r w:rsidRPr="00283806">
        <w:rPr>
          <w:w w:val="105"/>
        </w:rPr>
        <w:t>in a given</w:t>
      </w:r>
      <w:r w:rsidRPr="00283806">
        <w:rPr>
          <w:spacing w:val="40"/>
          <w:w w:val="105"/>
        </w:rPr>
        <w:t xml:space="preserve"> </w:t>
      </w:r>
      <w:r w:rsidRPr="00283806">
        <w:rPr>
          <w:w w:val="105"/>
        </w:rPr>
        <w:t>year</w:t>
      </w:r>
      <w:proofErr w:type="gramEnd"/>
      <w:r w:rsidRPr="00283806">
        <w:rPr>
          <w:w w:val="105"/>
        </w:rPr>
        <w:t>, or the net benefit of avoiding that increase. In principle, the SC–HFC includes the value of all climate change impacts (both negative and positive), including (but not limited to) changes in net agricultural productivity, human health effects, property damage from increased flood risk and natural</w:t>
      </w:r>
      <w:r w:rsidRPr="00283806">
        <w:rPr>
          <w:spacing w:val="40"/>
          <w:w w:val="105"/>
        </w:rPr>
        <w:t xml:space="preserve"> </w:t>
      </w:r>
      <w:r w:rsidRPr="00283806">
        <w:rPr>
          <w:w w:val="105"/>
        </w:rPr>
        <w:t>disasters, disruption of energy systems, risk</w:t>
      </w:r>
      <w:r w:rsidRPr="00283806">
        <w:rPr>
          <w:spacing w:val="40"/>
          <w:w w:val="105"/>
        </w:rPr>
        <w:t xml:space="preserve"> </w:t>
      </w:r>
      <w:r w:rsidRPr="00283806">
        <w:rPr>
          <w:w w:val="105"/>
        </w:rPr>
        <w:t>of</w:t>
      </w:r>
      <w:r w:rsidRPr="00283806">
        <w:rPr>
          <w:spacing w:val="40"/>
          <w:w w:val="105"/>
        </w:rPr>
        <w:t xml:space="preserve"> </w:t>
      </w:r>
      <w:r w:rsidRPr="00283806">
        <w:rPr>
          <w:w w:val="105"/>
        </w:rPr>
        <w:t>conflict,</w:t>
      </w:r>
      <w:r w:rsidRPr="00283806">
        <w:rPr>
          <w:spacing w:val="40"/>
          <w:w w:val="105"/>
        </w:rPr>
        <w:t xml:space="preserve"> </w:t>
      </w:r>
      <w:r w:rsidRPr="00283806">
        <w:rPr>
          <w:w w:val="105"/>
        </w:rPr>
        <w:t>environmental migration, and the value of ecosystem services.</w:t>
      </w:r>
      <w:r w:rsidRPr="00283806">
        <w:rPr>
          <w:spacing w:val="40"/>
          <w:w w:val="105"/>
        </w:rPr>
        <w:t xml:space="preserve"> </w:t>
      </w:r>
      <w:r w:rsidRPr="00283806">
        <w:rPr>
          <w:w w:val="105"/>
        </w:rPr>
        <w:t>The</w:t>
      </w:r>
      <w:r w:rsidRPr="00283806">
        <w:rPr>
          <w:spacing w:val="40"/>
          <w:w w:val="105"/>
        </w:rPr>
        <w:t xml:space="preserve"> </w:t>
      </w:r>
      <w:r w:rsidRPr="00283806">
        <w:rPr>
          <w:w w:val="105"/>
        </w:rPr>
        <w:t>SC–HFC,</w:t>
      </w:r>
      <w:r w:rsidRPr="00283806">
        <w:rPr>
          <w:spacing w:val="40"/>
          <w:w w:val="105"/>
        </w:rPr>
        <w:t xml:space="preserve"> </w:t>
      </w:r>
      <w:r w:rsidRPr="00283806">
        <w:rPr>
          <w:w w:val="105"/>
        </w:rPr>
        <w:t>therefore,</w:t>
      </w:r>
      <w:r w:rsidRPr="00283806">
        <w:rPr>
          <w:spacing w:val="40"/>
          <w:w w:val="105"/>
        </w:rPr>
        <w:t xml:space="preserve"> </w:t>
      </w:r>
      <w:r w:rsidRPr="00283806">
        <w:rPr>
          <w:w w:val="105"/>
        </w:rPr>
        <w:t>reflects the societal value of reducing emissions of the gas in question by one metric ton and is the appropriate value</w:t>
      </w:r>
      <w:r w:rsidRPr="00283806">
        <w:rPr>
          <w:spacing w:val="40"/>
          <w:w w:val="105"/>
        </w:rPr>
        <w:t xml:space="preserve"> </w:t>
      </w:r>
      <w:r w:rsidRPr="00283806">
        <w:rPr>
          <w:w w:val="105"/>
        </w:rPr>
        <w:t>to use in conducting benefit-cost</w:t>
      </w:r>
      <w:r w:rsidRPr="00283806">
        <w:rPr>
          <w:spacing w:val="40"/>
          <w:w w:val="105"/>
        </w:rPr>
        <w:t xml:space="preserve"> </w:t>
      </w:r>
      <w:r w:rsidRPr="00283806">
        <w:rPr>
          <w:w w:val="105"/>
        </w:rPr>
        <w:t>analyses of policies that affect HFC emissions. In practice, data and</w:t>
      </w:r>
      <w:r w:rsidRPr="00283806">
        <w:rPr>
          <w:spacing w:val="80"/>
          <w:w w:val="105"/>
        </w:rPr>
        <w:t xml:space="preserve"> </w:t>
      </w:r>
      <w:r w:rsidRPr="00283806">
        <w:rPr>
          <w:w w:val="105"/>
        </w:rPr>
        <w:t>modeling limitations restrain the ability of SC–HFC estimates to include all physical, ecological, and economic impacts of climate change, implicitly assigning a value of zero to the omitted climate damages. The estimates are, therefore, a partial accounting of climate change</w:t>
      </w:r>
      <w:r w:rsidRPr="00283806">
        <w:rPr>
          <w:spacing w:val="40"/>
          <w:w w:val="105"/>
        </w:rPr>
        <w:t xml:space="preserve"> </w:t>
      </w:r>
      <w:r w:rsidRPr="00283806">
        <w:rPr>
          <w:w w:val="105"/>
        </w:rPr>
        <w:t>impacts</w:t>
      </w:r>
      <w:r w:rsidRPr="00283806">
        <w:rPr>
          <w:spacing w:val="40"/>
          <w:w w:val="105"/>
        </w:rPr>
        <w:t xml:space="preserve"> </w:t>
      </w:r>
      <w:r w:rsidRPr="00283806">
        <w:rPr>
          <w:w w:val="105"/>
        </w:rPr>
        <w:t>and</w:t>
      </w:r>
      <w:r w:rsidRPr="00283806">
        <w:rPr>
          <w:spacing w:val="40"/>
          <w:w w:val="105"/>
        </w:rPr>
        <w:t xml:space="preserve"> </w:t>
      </w:r>
      <w:r w:rsidRPr="00283806">
        <w:rPr>
          <w:w w:val="105"/>
        </w:rPr>
        <w:t xml:space="preserve">likely underestimate the marginal benefits of </w:t>
      </w:r>
      <w:r w:rsidRPr="00283806">
        <w:rPr>
          <w:spacing w:val="-2"/>
          <w:w w:val="105"/>
        </w:rPr>
        <w:t>abatement.</w:t>
      </w:r>
    </w:p>
    <w:p w14:paraId="4F741D46" w14:textId="77777777" w:rsidR="00D67C1E" w:rsidRPr="00283806" w:rsidRDefault="001265CA">
      <w:pPr>
        <w:pStyle w:val="BodyText"/>
        <w:spacing w:line="166" w:lineRule="exact"/>
        <w:ind w:left="340"/>
      </w:pPr>
      <w:r w:rsidRPr="00283806">
        <w:rPr>
          <w:w w:val="105"/>
        </w:rPr>
        <w:t>The</w:t>
      </w:r>
      <w:r w:rsidRPr="00283806">
        <w:rPr>
          <w:spacing w:val="16"/>
          <w:w w:val="105"/>
        </w:rPr>
        <w:t xml:space="preserve"> </w:t>
      </w:r>
      <w:r w:rsidRPr="00283806">
        <w:rPr>
          <w:w w:val="105"/>
        </w:rPr>
        <w:t>monetization</w:t>
      </w:r>
      <w:r w:rsidRPr="00283806">
        <w:rPr>
          <w:spacing w:val="16"/>
          <w:w w:val="105"/>
        </w:rPr>
        <w:t xml:space="preserve"> </w:t>
      </w:r>
      <w:r w:rsidRPr="00283806">
        <w:rPr>
          <w:w w:val="105"/>
        </w:rPr>
        <w:t>of</w:t>
      </w:r>
      <w:r w:rsidRPr="00283806">
        <w:rPr>
          <w:spacing w:val="17"/>
          <w:w w:val="105"/>
        </w:rPr>
        <w:t xml:space="preserve"> </w:t>
      </w:r>
      <w:r w:rsidRPr="00283806">
        <w:rPr>
          <w:w w:val="105"/>
        </w:rPr>
        <w:t>climate</w:t>
      </w:r>
      <w:r w:rsidRPr="00283806">
        <w:rPr>
          <w:spacing w:val="16"/>
          <w:w w:val="105"/>
        </w:rPr>
        <w:t xml:space="preserve"> </w:t>
      </w:r>
      <w:r w:rsidRPr="00283806">
        <w:rPr>
          <w:spacing w:val="-2"/>
          <w:w w:val="105"/>
        </w:rPr>
        <w:t>benefits</w:t>
      </w:r>
    </w:p>
    <w:p w14:paraId="3493EDC2" w14:textId="77777777" w:rsidR="00D67C1E" w:rsidRPr="00283806" w:rsidRDefault="001265CA">
      <w:pPr>
        <w:pStyle w:val="BodyText"/>
        <w:spacing w:before="4" w:line="225" w:lineRule="auto"/>
        <w:ind w:left="159" w:right="3"/>
      </w:pPr>
      <w:r w:rsidRPr="00283806">
        <w:rPr>
          <w:w w:val="110"/>
        </w:rPr>
        <w:t>in this analysis uses the same HFC- specific SC–HFC estimates as used in</w:t>
      </w:r>
      <w:r w:rsidRPr="00283806">
        <w:rPr>
          <w:spacing w:val="40"/>
          <w:w w:val="110"/>
        </w:rPr>
        <w:t xml:space="preserve"> </w:t>
      </w:r>
      <w:r w:rsidRPr="00283806">
        <w:rPr>
          <w:w w:val="110"/>
        </w:rPr>
        <w:t>the proposal RIA and in the estimation of</w:t>
      </w:r>
      <w:r w:rsidRPr="00283806">
        <w:rPr>
          <w:spacing w:val="-9"/>
          <w:w w:val="110"/>
        </w:rPr>
        <w:t xml:space="preserve"> </w:t>
      </w:r>
      <w:r w:rsidRPr="00283806">
        <w:rPr>
          <w:w w:val="110"/>
        </w:rPr>
        <w:t>the</w:t>
      </w:r>
      <w:r w:rsidRPr="00283806">
        <w:rPr>
          <w:spacing w:val="-9"/>
          <w:w w:val="110"/>
        </w:rPr>
        <w:t xml:space="preserve"> </w:t>
      </w:r>
      <w:r w:rsidRPr="00283806">
        <w:rPr>
          <w:w w:val="110"/>
        </w:rPr>
        <w:t>benefits</w:t>
      </w:r>
      <w:r w:rsidRPr="00283806">
        <w:rPr>
          <w:spacing w:val="-9"/>
          <w:w w:val="110"/>
        </w:rPr>
        <w:t xml:space="preserve"> </w:t>
      </w:r>
      <w:r w:rsidRPr="00283806">
        <w:rPr>
          <w:w w:val="110"/>
        </w:rPr>
        <w:t>in</w:t>
      </w:r>
      <w:r w:rsidRPr="00283806">
        <w:rPr>
          <w:spacing w:val="-9"/>
          <w:w w:val="110"/>
        </w:rPr>
        <w:t xml:space="preserve"> </w:t>
      </w:r>
      <w:r w:rsidRPr="00283806">
        <w:rPr>
          <w:w w:val="110"/>
        </w:rPr>
        <w:t>prior</w:t>
      </w:r>
      <w:r w:rsidRPr="00283806">
        <w:rPr>
          <w:spacing w:val="-9"/>
          <w:w w:val="110"/>
        </w:rPr>
        <w:t xml:space="preserve"> </w:t>
      </w:r>
      <w:r w:rsidRPr="00283806">
        <w:rPr>
          <w:w w:val="110"/>
        </w:rPr>
        <w:t>AIM</w:t>
      </w:r>
      <w:r w:rsidRPr="00283806">
        <w:rPr>
          <w:spacing w:val="-9"/>
          <w:w w:val="110"/>
        </w:rPr>
        <w:t xml:space="preserve"> </w:t>
      </w:r>
      <w:r w:rsidRPr="00283806">
        <w:rPr>
          <w:w w:val="110"/>
        </w:rPr>
        <w:t>Act</w:t>
      </w:r>
      <w:r w:rsidRPr="00283806">
        <w:rPr>
          <w:spacing w:val="-9"/>
          <w:w w:val="110"/>
        </w:rPr>
        <w:t xml:space="preserve"> </w:t>
      </w:r>
      <w:r w:rsidRPr="00283806">
        <w:rPr>
          <w:w w:val="110"/>
        </w:rPr>
        <w:t>analyses including the Allocation Framework Rule RIA. That is, for the primary benefits analysis in the final RIA addendum,</w:t>
      </w:r>
      <w:r w:rsidRPr="00283806">
        <w:rPr>
          <w:spacing w:val="-3"/>
          <w:w w:val="110"/>
        </w:rPr>
        <w:t xml:space="preserve"> </w:t>
      </w:r>
      <w:r w:rsidRPr="00283806">
        <w:rPr>
          <w:w w:val="110"/>
        </w:rPr>
        <w:t>EPA</w:t>
      </w:r>
      <w:r w:rsidRPr="00283806">
        <w:rPr>
          <w:spacing w:val="-3"/>
          <w:w w:val="110"/>
        </w:rPr>
        <w:t xml:space="preserve"> </w:t>
      </w:r>
      <w:r w:rsidRPr="00283806">
        <w:rPr>
          <w:w w:val="110"/>
        </w:rPr>
        <w:t>uses</w:t>
      </w:r>
      <w:r w:rsidRPr="00283806">
        <w:rPr>
          <w:spacing w:val="-3"/>
          <w:w w:val="110"/>
        </w:rPr>
        <w:t xml:space="preserve"> </w:t>
      </w:r>
      <w:r w:rsidRPr="00283806">
        <w:rPr>
          <w:w w:val="110"/>
        </w:rPr>
        <w:t>SC–HFC</w:t>
      </w:r>
      <w:r w:rsidRPr="00283806">
        <w:rPr>
          <w:spacing w:val="-3"/>
          <w:w w:val="110"/>
        </w:rPr>
        <w:t xml:space="preserve"> </w:t>
      </w:r>
      <w:r w:rsidRPr="00283806">
        <w:rPr>
          <w:w w:val="110"/>
        </w:rPr>
        <w:t>estimates that are consistent with the methodology underlying estimates of the social cost of other GHGs (carbon dioxide (SC–CO</w:t>
      </w:r>
      <w:r w:rsidRPr="00283806">
        <w:rPr>
          <w:rFonts w:ascii="Times New Roman" w:hAnsi="Times New Roman"/>
          <w:w w:val="110"/>
          <w:vertAlign w:val="subscript"/>
        </w:rPr>
        <w:t>2</w:t>
      </w:r>
      <w:r w:rsidRPr="00283806">
        <w:rPr>
          <w:w w:val="110"/>
        </w:rPr>
        <w:t>), methane (SC–CH</w:t>
      </w:r>
      <w:r w:rsidRPr="00283806">
        <w:rPr>
          <w:rFonts w:ascii="Times New Roman" w:hAnsi="Times New Roman"/>
          <w:w w:val="110"/>
          <w:vertAlign w:val="subscript"/>
        </w:rPr>
        <w:t>4</w:t>
      </w:r>
      <w:r w:rsidRPr="00283806">
        <w:rPr>
          <w:w w:val="110"/>
        </w:rPr>
        <w:t>), and nitrous oxide (SC–N</w:t>
      </w:r>
      <w:r w:rsidRPr="00283806">
        <w:rPr>
          <w:rFonts w:ascii="Times New Roman" w:hAnsi="Times New Roman"/>
          <w:w w:val="110"/>
          <w:vertAlign w:val="subscript"/>
        </w:rPr>
        <w:t>2</w:t>
      </w:r>
      <w:r w:rsidRPr="00283806">
        <w:rPr>
          <w:w w:val="110"/>
        </w:rPr>
        <w:t xml:space="preserve">O)), collectively referred to as SC–GHG, presented in the </w:t>
      </w:r>
      <w:r w:rsidRPr="00283806">
        <w:rPr>
          <w:rFonts w:ascii="Book Antiqua" w:hAnsi="Book Antiqua"/>
          <w:i/>
          <w:w w:val="110"/>
        </w:rPr>
        <w:t>Technical Support Document: Social Cost of Carbon, Methane, and Nitrous Oxide Interim Estimates</w:t>
      </w:r>
      <w:r w:rsidRPr="00283806">
        <w:rPr>
          <w:rFonts w:ascii="Book Antiqua" w:hAnsi="Book Antiqua"/>
          <w:i/>
          <w:spacing w:val="-2"/>
          <w:w w:val="110"/>
        </w:rPr>
        <w:t xml:space="preserve"> </w:t>
      </w:r>
      <w:r w:rsidRPr="00283806">
        <w:rPr>
          <w:rFonts w:ascii="Book Antiqua" w:hAnsi="Book Antiqua"/>
          <w:i/>
          <w:w w:val="110"/>
        </w:rPr>
        <w:t>under</w:t>
      </w:r>
      <w:r w:rsidRPr="00283806">
        <w:rPr>
          <w:rFonts w:ascii="Book Antiqua" w:hAnsi="Book Antiqua"/>
          <w:i/>
          <w:spacing w:val="-2"/>
          <w:w w:val="110"/>
        </w:rPr>
        <w:t xml:space="preserve"> </w:t>
      </w:r>
      <w:r w:rsidRPr="00283806">
        <w:rPr>
          <w:w w:val="110"/>
        </w:rPr>
        <w:t>Executive Order 13990</w:t>
      </w:r>
    </w:p>
    <w:p w14:paraId="2A14F176" w14:textId="77777777" w:rsidR="00D67C1E" w:rsidRPr="00283806" w:rsidRDefault="001265CA">
      <w:pPr>
        <w:pStyle w:val="BodyText"/>
        <w:spacing w:before="9"/>
        <w:ind w:left="0"/>
        <w:rPr>
          <w:sz w:val="12"/>
        </w:rPr>
      </w:pPr>
      <w:r w:rsidRPr="00283806">
        <w:rPr>
          <w:noProof/>
        </w:rPr>
        <mc:AlternateContent>
          <mc:Choice Requires="wps">
            <w:drawing>
              <wp:anchor distT="0" distB="0" distL="0" distR="0" simplePos="0" relativeHeight="251682816" behindDoc="1" locked="0" layoutInCell="1" allowOverlap="1" wp14:anchorId="3256359A" wp14:editId="68E1CEBD">
                <wp:simplePos x="0" y="0"/>
                <wp:positionH relativeFrom="page">
                  <wp:posOffset>571500</wp:posOffset>
                </wp:positionH>
                <wp:positionV relativeFrom="paragraph">
                  <wp:posOffset>110867</wp:posOffset>
                </wp:positionV>
                <wp:extent cx="635000" cy="1270"/>
                <wp:effectExtent l="0" t="0" r="0" b="0"/>
                <wp:wrapTopAndBottom/>
                <wp:docPr id="116" name="Graphic 1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7431565" id="Graphic 116" o:spid="_x0000_s1026" alt="&quot;&quot;" style="position:absolute;margin-left:45pt;margin-top:8.75pt;width:50pt;height:.1pt;z-index:-251633664;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" path="m,l635000,e" filled="f" strokeweight=".5pt">
                <v:path arrowok="t"/>
                <w10:wrap type="topAndBottom" anchorx="page"/>
              </v:shape>
            </w:pict>
          </mc:Fallback>
        </mc:AlternateContent>
      </w:r>
    </w:p>
    <w:p w14:paraId="00800860" w14:textId="77777777" w:rsidR="00D67C1E" w:rsidRPr="00283806" w:rsidRDefault="001265CA">
      <w:pPr>
        <w:spacing w:before="40" w:line="232" w:lineRule="auto"/>
        <w:ind w:left="159" w:right="27" w:firstLine="140"/>
        <w:rPr>
          <w:sz w:val="14"/>
        </w:rPr>
      </w:pPr>
      <w:r w:rsidRPr="00283806">
        <w:rPr>
          <w:w w:val="110"/>
          <w:position w:val="4"/>
          <w:sz w:val="9"/>
        </w:rPr>
        <w:t xml:space="preserve">172 </w:t>
      </w:r>
      <w:r w:rsidRPr="00283806">
        <w:rPr>
          <w:w w:val="110"/>
          <w:sz w:val="14"/>
        </w:rPr>
        <w:t>As detailed in the 2023 Technology</w:t>
      </w:r>
      <w:r w:rsidRPr="00283806">
        <w:rPr>
          <w:spacing w:val="40"/>
          <w:w w:val="110"/>
          <w:sz w:val="14"/>
        </w:rPr>
        <w:t xml:space="preserve"> </w:t>
      </w:r>
      <w:r w:rsidRPr="00283806">
        <w:rPr>
          <w:w w:val="110"/>
          <w:sz w:val="14"/>
        </w:rPr>
        <w:t>Transitions RIA Addendum, EPA analyzed both a</w:t>
      </w:r>
      <w:r w:rsidRPr="00283806">
        <w:rPr>
          <w:spacing w:val="40"/>
          <w:w w:val="110"/>
          <w:sz w:val="14"/>
        </w:rPr>
        <w:t xml:space="preserve"> </w:t>
      </w:r>
      <w:r w:rsidRPr="00283806">
        <w:rPr>
          <w:w w:val="110"/>
          <w:sz w:val="14"/>
        </w:rPr>
        <w:t>base case and high additionality scenario towards</w:t>
      </w:r>
      <w:r w:rsidRPr="00283806">
        <w:rPr>
          <w:spacing w:val="40"/>
          <w:w w:val="110"/>
          <w:sz w:val="14"/>
        </w:rPr>
        <w:t xml:space="preserve"> </w:t>
      </w:r>
      <w:r w:rsidRPr="00283806">
        <w:rPr>
          <w:w w:val="110"/>
          <w:sz w:val="14"/>
        </w:rPr>
        <w:t>compliance with that rule. The discussion here</w:t>
      </w:r>
      <w:r w:rsidRPr="00283806">
        <w:rPr>
          <w:spacing w:val="40"/>
          <w:w w:val="110"/>
          <w:sz w:val="14"/>
        </w:rPr>
        <w:t xml:space="preserve"> </w:t>
      </w:r>
      <w:r w:rsidRPr="00283806">
        <w:rPr>
          <w:w w:val="110"/>
          <w:sz w:val="14"/>
        </w:rPr>
        <w:t>utilizes the 2023 Technology Transitions high</w:t>
      </w:r>
      <w:r w:rsidRPr="00283806">
        <w:rPr>
          <w:spacing w:val="40"/>
          <w:w w:val="110"/>
          <w:sz w:val="14"/>
        </w:rPr>
        <w:t xml:space="preserve"> </w:t>
      </w:r>
      <w:r w:rsidRPr="00283806">
        <w:rPr>
          <w:w w:val="110"/>
          <w:sz w:val="14"/>
        </w:rPr>
        <w:t>additionality case for comparison purposes to</w:t>
      </w:r>
      <w:r w:rsidRPr="00283806">
        <w:rPr>
          <w:spacing w:val="40"/>
          <w:w w:val="110"/>
          <w:sz w:val="14"/>
        </w:rPr>
        <w:t xml:space="preserve"> </w:t>
      </w:r>
      <w:r w:rsidRPr="00283806">
        <w:rPr>
          <w:w w:val="110"/>
          <w:sz w:val="14"/>
        </w:rPr>
        <w:t>provide</w:t>
      </w:r>
      <w:r w:rsidRPr="00283806">
        <w:rPr>
          <w:spacing w:val="-9"/>
          <w:w w:val="110"/>
          <w:sz w:val="14"/>
        </w:rPr>
        <w:t xml:space="preserve"> </w:t>
      </w:r>
      <w:r w:rsidRPr="00283806">
        <w:rPr>
          <w:w w:val="110"/>
          <w:sz w:val="14"/>
        </w:rPr>
        <w:t>a</w:t>
      </w:r>
      <w:r w:rsidRPr="00283806">
        <w:rPr>
          <w:spacing w:val="-8"/>
          <w:w w:val="110"/>
          <w:sz w:val="14"/>
        </w:rPr>
        <w:t xml:space="preserve"> </w:t>
      </w:r>
      <w:r w:rsidRPr="00283806">
        <w:rPr>
          <w:w w:val="110"/>
          <w:sz w:val="14"/>
        </w:rPr>
        <w:t>conservative</w:t>
      </w:r>
      <w:r w:rsidRPr="00283806">
        <w:rPr>
          <w:spacing w:val="-9"/>
          <w:w w:val="110"/>
          <w:sz w:val="14"/>
        </w:rPr>
        <w:t xml:space="preserve"> </w:t>
      </w:r>
      <w:r w:rsidRPr="00283806">
        <w:rPr>
          <w:w w:val="110"/>
          <w:sz w:val="14"/>
        </w:rPr>
        <w:t>assessment.</w:t>
      </w:r>
      <w:r w:rsidRPr="00283806">
        <w:rPr>
          <w:spacing w:val="-8"/>
          <w:w w:val="110"/>
          <w:sz w:val="14"/>
        </w:rPr>
        <w:t xml:space="preserve"> </w:t>
      </w:r>
      <w:r w:rsidRPr="00283806">
        <w:rPr>
          <w:w w:val="110"/>
          <w:sz w:val="14"/>
        </w:rPr>
        <w:t>Further</w:t>
      </w:r>
      <w:r w:rsidRPr="00283806">
        <w:rPr>
          <w:spacing w:val="-9"/>
          <w:w w:val="110"/>
          <w:sz w:val="14"/>
        </w:rPr>
        <w:t xml:space="preserve"> </w:t>
      </w:r>
      <w:r w:rsidRPr="00283806">
        <w:rPr>
          <w:w w:val="110"/>
          <w:sz w:val="14"/>
        </w:rPr>
        <w:t>details</w:t>
      </w:r>
      <w:r w:rsidRPr="00283806">
        <w:rPr>
          <w:spacing w:val="40"/>
          <w:w w:val="110"/>
          <w:sz w:val="14"/>
        </w:rPr>
        <w:t xml:space="preserve"> </w:t>
      </w:r>
      <w:r w:rsidRPr="00283806">
        <w:rPr>
          <w:w w:val="110"/>
          <w:sz w:val="14"/>
        </w:rPr>
        <w:t>are</w:t>
      </w:r>
      <w:r w:rsidRPr="00283806">
        <w:rPr>
          <w:spacing w:val="-9"/>
          <w:w w:val="110"/>
          <w:sz w:val="14"/>
        </w:rPr>
        <w:t xml:space="preserve"> </w:t>
      </w:r>
      <w:r w:rsidRPr="00283806">
        <w:rPr>
          <w:w w:val="110"/>
          <w:sz w:val="14"/>
        </w:rPr>
        <w:t>provided</w:t>
      </w:r>
      <w:r w:rsidRPr="00283806">
        <w:rPr>
          <w:spacing w:val="-8"/>
          <w:w w:val="110"/>
          <w:sz w:val="14"/>
        </w:rPr>
        <w:t xml:space="preserve"> </w:t>
      </w:r>
      <w:r w:rsidRPr="00283806">
        <w:rPr>
          <w:w w:val="110"/>
          <w:sz w:val="14"/>
        </w:rPr>
        <w:t>in</w:t>
      </w:r>
      <w:r w:rsidRPr="00283806">
        <w:rPr>
          <w:spacing w:val="-9"/>
          <w:w w:val="110"/>
          <w:sz w:val="14"/>
        </w:rPr>
        <w:t xml:space="preserve"> </w:t>
      </w:r>
      <w:r w:rsidRPr="00283806">
        <w:rPr>
          <w:w w:val="110"/>
          <w:sz w:val="14"/>
        </w:rPr>
        <w:t>the</w:t>
      </w:r>
      <w:r w:rsidRPr="00283806">
        <w:rPr>
          <w:spacing w:val="-8"/>
          <w:w w:val="110"/>
          <w:sz w:val="14"/>
        </w:rPr>
        <w:t xml:space="preserve"> </w:t>
      </w:r>
      <w:r w:rsidRPr="00283806">
        <w:rPr>
          <w:w w:val="110"/>
          <w:sz w:val="14"/>
        </w:rPr>
        <w:t>RIA</w:t>
      </w:r>
      <w:r w:rsidRPr="00283806">
        <w:rPr>
          <w:spacing w:val="-9"/>
          <w:w w:val="110"/>
          <w:sz w:val="14"/>
        </w:rPr>
        <w:t xml:space="preserve"> </w:t>
      </w:r>
      <w:r w:rsidRPr="00283806">
        <w:rPr>
          <w:w w:val="110"/>
          <w:sz w:val="14"/>
        </w:rPr>
        <w:t>addendum</w:t>
      </w:r>
      <w:r w:rsidRPr="00283806">
        <w:rPr>
          <w:spacing w:val="-8"/>
          <w:w w:val="110"/>
          <w:sz w:val="14"/>
        </w:rPr>
        <w:t xml:space="preserve"> </w:t>
      </w:r>
      <w:r w:rsidRPr="00283806">
        <w:rPr>
          <w:w w:val="110"/>
          <w:sz w:val="14"/>
        </w:rPr>
        <w:t>for</w:t>
      </w:r>
      <w:r w:rsidRPr="00283806">
        <w:rPr>
          <w:spacing w:val="-9"/>
          <w:w w:val="110"/>
          <w:sz w:val="14"/>
        </w:rPr>
        <w:t xml:space="preserve"> </w:t>
      </w:r>
      <w:r w:rsidRPr="00283806">
        <w:rPr>
          <w:w w:val="110"/>
          <w:sz w:val="14"/>
        </w:rPr>
        <w:t>this</w:t>
      </w:r>
      <w:r w:rsidRPr="00283806">
        <w:rPr>
          <w:spacing w:val="-8"/>
          <w:w w:val="110"/>
          <w:sz w:val="14"/>
        </w:rPr>
        <w:t xml:space="preserve"> </w:t>
      </w:r>
      <w:r w:rsidRPr="00283806">
        <w:rPr>
          <w:w w:val="110"/>
          <w:sz w:val="14"/>
        </w:rPr>
        <w:t>rule</w:t>
      </w:r>
      <w:r w:rsidRPr="00283806">
        <w:rPr>
          <w:spacing w:val="-8"/>
          <w:w w:val="110"/>
          <w:sz w:val="14"/>
        </w:rPr>
        <w:t xml:space="preserve"> </w:t>
      </w:r>
      <w:r w:rsidRPr="00283806">
        <w:rPr>
          <w:w w:val="110"/>
          <w:sz w:val="14"/>
        </w:rPr>
        <w:t>and</w:t>
      </w:r>
      <w:r w:rsidRPr="00283806">
        <w:rPr>
          <w:spacing w:val="40"/>
          <w:w w:val="110"/>
          <w:sz w:val="14"/>
        </w:rPr>
        <w:t xml:space="preserve"> </w:t>
      </w:r>
      <w:r w:rsidRPr="00283806">
        <w:rPr>
          <w:w w:val="110"/>
          <w:sz w:val="14"/>
        </w:rPr>
        <w:t>the Economic Impact and Benefits TSD.</w:t>
      </w:r>
    </w:p>
    <w:p w14:paraId="4ACDE972" w14:textId="77777777" w:rsidR="00D67C1E" w:rsidRPr="00283806" w:rsidRDefault="001265CA">
      <w:pPr>
        <w:pStyle w:val="BodyText"/>
        <w:spacing w:before="136" w:line="225" w:lineRule="auto"/>
        <w:ind w:left="145"/>
      </w:pPr>
      <w:r w:rsidRPr="00283806">
        <w:br w:type="column"/>
      </w:r>
      <w:r w:rsidRPr="00283806">
        <w:rPr>
          <w:w w:val="105"/>
        </w:rPr>
        <w:t>published in February 2021 by the Interagency Working Group on the</w:t>
      </w:r>
      <w:r w:rsidRPr="00283806">
        <w:rPr>
          <w:spacing w:val="80"/>
          <w:w w:val="150"/>
        </w:rPr>
        <w:t xml:space="preserve"> </w:t>
      </w:r>
      <w:r w:rsidRPr="00283806">
        <w:rPr>
          <w:w w:val="105"/>
        </w:rPr>
        <w:t>Social Cost of Greenhouse Gases</w:t>
      </w:r>
      <w:r w:rsidRPr="00283806">
        <w:rPr>
          <w:spacing w:val="80"/>
          <w:w w:val="105"/>
        </w:rPr>
        <w:t xml:space="preserve"> </w:t>
      </w:r>
      <w:r w:rsidRPr="00283806">
        <w:rPr>
          <w:w w:val="105"/>
        </w:rPr>
        <w:t>(IWG).</w:t>
      </w:r>
      <w:r w:rsidRPr="00283806">
        <w:rPr>
          <w:w w:val="105"/>
          <w:position w:val="5"/>
          <w:sz w:val="11"/>
        </w:rPr>
        <w:t>173</w:t>
      </w:r>
      <w:r w:rsidRPr="00283806">
        <w:rPr>
          <w:spacing w:val="40"/>
          <w:w w:val="105"/>
          <w:position w:val="5"/>
          <w:sz w:val="11"/>
        </w:rPr>
        <w:t xml:space="preserve"> </w:t>
      </w:r>
      <w:r w:rsidRPr="00283806">
        <w:rPr>
          <w:w w:val="105"/>
        </w:rPr>
        <w:t>These SC–GHG estimates were recommended for use until updated estimates</w:t>
      </w:r>
      <w:r w:rsidRPr="00283806">
        <w:rPr>
          <w:spacing w:val="-2"/>
          <w:w w:val="105"/>
        </w:rPr>
        <w:t xml:space="preserve"> </w:t>
      </w:r>
      <w:r w:rsidRPr="00283806">
        <w:rPr>
          <w:w w:val="105"/>
        </w:rPr>
        <w:t>are</w:t>
      </w:r>
      <w:r w:rsidRPr="00283806">
        <w:rPr>
          <w:spacing w:val="-2"/>
          <w:w w:val="105"/>
        </w:rPr>
        <w:t xml:space="preserve"> </w:t>
      </w:r>
      <w:r w:rsidRPr="00283806">
        <w:rPr>
          <w:w w:val="105"/>
        </w:rPr>
        <w:t>available</w:t>
      </w:r>
      <w:r w:rsidRPr="00283806">
        <w:rPr>
          <w:spacing w:val="-2"/>
          <w:w w:val="105"/>
        </w:rPr>
        <w:t xml:space="preserve"> </w:t>
      </w:r>
      <w:r w:rsidRPr="00283806">
        <w:rPr>
          <w:w w:val="105"/>
        </w:rPr>
        <w:t>that</w:t>
      </w:r>
      <w:r w:rsidRPr="00283806">
        <w:rPr>
          <w:spacing w:val="-2"/>
          <w:w w:val="105"/>
        </w:rPr>
        <w:t xml:space="preserve"> </w:t>
      </w:r>
      <w:r w:rsidRPr="00283806">
        <w:rPr>
          <w:w w:val="105"/>
        </w:rPr>
        <w:t>reflect</w:t>
      </w:r>
      <w:r w:rsidRPr="00283806">
        <w:rPr>
          <w:spacing w:val="-2"/>
          <w:w w:val="105"/>
        </w:rPr>
        <w:t xml:space="preserve"> </w:t>
      </w:r>
      <w:r w:rsidRPr="00283806">
        <w:rPr>
          <w:w w:val="105"/>
        </w:rPr>
        <w:t>recent advances in the scientific literature on climate</w:t>
      </w:r>
      <w:r w:rsidRPr="00283806">
        <w:rPr>
          <w:spacing w:val="40"/>
          <w:w w:val="105"/>
        </w:rPr>
        <w:t xml:space="preserve"> </w:t>
      </w:r>
      <w:r w:rsidRPr="00283806">
        <w:rPr>
          <w:w w:val="105"/>
        </w:rPr>
        <w:t>change</w:t>
      </w:r>
      <w:r w:rsidRPr="00283806">
        <w:rPr>
          <w:spacing w:val="40"/>
          <w:w w:val="105"/>
        </w:rPr>
        <w:t xml:space="preserve"> </w:t>
      </w:r>
      <w:r w:rsidRPr="00283806">
        <w:rPr>
          <w:w w:val="105"/>
        </w:rPr>
        <w:t>and</w:t>
      </w:r>
      <w:r w:rsidRPr="00283806">
        <w:rPr>
          <w:spacing w:val="40"/>
          <w:w w:val="105"/>
        </w:rPr>
        <w:t xml:space="preserve"> </w:t>
      </w:r>
      <w:r w:rsidRPr="00283806">
        <w:rPr>
          <w:w w:val="105"/>
        </w:rPr>
        <w:t>its</w:t>
      </w:r>
      <w:r w:rsidRPr="00283806">
        <w:rPr>
          <w:spacing w:val="40"/>
          <w:w w:val="105"/>
        </w:rPr>
        <w:t xml:space="preserve"> </w:t>
      </w:r>
      <w:r w:rsidRPr="00283806">
        <w:rPr>
          <w:w w:val="105"/>
        </w:rPr>
        <w:t>economic impacts and incorporate recommendations made by the National Academies of Science, Engineering, and Medicine.</w:t>
      </w:r>
      <w:r w:rsidRPr="00283806">
        <w:rPr>
          <w:w w:val="105"/>
          <w:position w:val="5"/>
          <w:sz w:val="11"/>
        </w:rPr>
        <w:t>174</w:t>
      </w:r>
      <w:r w:rsidRPr="00283806">
        <w:rPr>
          <w:spacing w:val="40"/>
          <w:w w:val="105"/>
          <w:position w:val="5"/>
          <w:sz w:val="11"/>
        </w:rPr>
        <w:t xml:space="preserve"> </w:t>
      </w:r>
      <w:r w:rsidRPr="00283806">
        <w:rPr>
          <w:w w:val="105"/>
        </w:rPr>
        <w:t>As a member of the IWG involved in the development of the February 2021 SC–GHG TSD, EPA</w:t>
      </w:r>
    </w:p>
    <w:p w14:paraId="58819873" w14:textId="77777777" w:rsidR="00D67C1E" w:rsidRPr="00283806" w:rsidRDefault="001265CA">
      <w:pPr>
        <w:pStyle w:val="BodyText"/>
        <w:spacing w:line="225" w:lineRule="auto"/>
        <w:ind w:left="145" w:right="2"/>
      </w:pPr>
      <w:r w:rsidRPr="00283806">
        <w:rPr>
          <w:w w:val="105"/>
        </w:rPr>
        <w:t>agrees with the explanation in the TSD that it is appropriate for agencies to use the same set of four values drawn from the</w:t>
      </w:r>
      <w:r w:rsidRPr="00283806">
        <w:rPr>
          <w:spacing w:val="40"/>
          <w:w w:val="105"/>
        </w:rPr>
        <w:t xml:space="preserve"> </w:t>
      </w:r>
      <w:r w:rsidRPr="00283806">
        <w:rPr>
          <w:w w:val="105"/>
        </w:rPr>
        <w:t>SC–GHG</w:t>
      </w:r>
      <w:r w:rsidRPr="00283806">
        <w:rPr>
          <w:spacing w:val="40"/>
          <w:w w:val="105"/>
        </w:rPr>
        <w:t xml:space="preserve"> </w:t>
      </w:r>
      <w:r w:rsidRPr="00283806">
        <w:rPr>
          <w:w w:val="105"/>
        </w:rPr>
        <w:t>distributions</w:t>
      </w:r>
      <w:r w:rsidRPr="00283806">
        <w:rPr>
          <w:spacing w:val="40"/>
          <w:w w:val="105"/>
        </w:rPr>
        <w:t xml:space="preserve"> </w:t>
      </w:r>
      <w:r w:rsidRPr="00283806">
        <w:rPr>
          <w:w w:val="105"/>
        </w:rPr>
        <w:t>based</w:t>
      </w:r>
      <w:r w:rsidRPr="00283806">
        <w:rPr>
          <w:spacing w:val="40"/>
          <w:w w:val="105"/>
        </w:rPr>
        <w:t xml:space="preserve"> </w:t>
      </w:r>
      <w:r w:rsidRPr="00283806">
        <w:rPr>
          <w:w w:val="105"/>
        </w:rPr>
        <w:t>on three discount rates as were used in regulatory analyses between 2010 and 2016 and subject to public comment (2.5 percent, three percent, and five percent), plus a fourth value, selected as the 95th percentile of estimates based on a three percent discount rate. EPA also agrees with the explanation provided in the February 2021 TSD that the use of the social rate of return on capital (seven percent under the 2003 Office of Management</w:t>
      </w:r>
      <w:r w:rsidRPr="00283806">
        <w:rPr>
          <w:spacing w:val="40"/>
          <w:w w:val="105"/>
        </w:rPr>
        <w:t xml:space="preserve"> </w:t>
      </w:r>
      <w:r w:rsidRPr="00283806">
        <w:rPr>
          <w:w w:val="105"/>
        </w:rPr>
        <w:t>and</w:t>
      </w:r>
      <w:r w:rsidRPr="00283806">
        <w:rPr>
          <w:spacing w:val="40"/>
          <w:w w:val="105"/>
        </w:rPr>
        <w:t xml:space="preserve"> </w:t>
      </w:r>
      <w:r w:rsidRPr="00283806">
        <w:rPr>
          <w:w w:val="105"/>
        </w:rPr>
        <w:t>Budget</w:t>
      </w:r>
      <w:r w:rsidRPr="00283806">
        <w:rPr>
          <w:spacing w:val="40"/>
          <w:w w:val="105"/>
        </w:rPr>
        <w:t xml:space="preserve"> </w:t>
      </w:r>
      <w:r w:rsidRPr="00283806">
        <w:rPr>
          <w:w w:val="105"/>
        </w:rPr>
        <w:t>(OMB)</w:t>
      </w:r>
      <w:r w:rsidRPr="00283806">
        <w:rPr>
          <w:spacing w:val="40"/>
          <w:w w:val="105"/>
        </w:rPr>
        <w:t xml:space="preserve"> </w:t>
      </w:r>
      <w:r w:rsidRPr="00283806">
        <w:rPr>
          <w:w w:val="105"/>
        </w:rPr>
        <w:t>Circular A–4 guidance) to discount the future benefits of reducing GHG</w:t>
      </w:r>
      <w:r w:rsidRPr="00283806">
        <w:rPr>
          <w:spacing w:val="40"/>
          <w:w w:val="105"/>
        </w:rPr>
        <w:t xml:space="preserve"> </w:t>
      </w:r>
      <w:r w:rsidRPr="00283806">
        <w:rPr>
          <w:w w:val="105"/>
        </w:rPr>
        <w:t>emissions inappropriately underestimates the impacts of climate change for the purposes of estimating</w:t>
      </w:r>
      <w:r w:rsidRPr="00283806">
        <w:rPr>
          <w:spacing w:val="80"/>
          <w:w w:val="105"/>
        </w:rPr>
        <w:t xml:space="preserve"> </w:t>
      </w:r>
      <w:r w:rsidRPr="00283806">
        <w:rPr>
          <w:w w:val="105"/>
        </w:rPr>
        <w:t>the social cost of GHGs. For purposes of capturing uncertainty around the SC– HFC estimates applied in this analysis,</w:t>
      </w:r>
      <w:r w:rsidRPr="00283806">
        <w:rPr>
          <w:spacing w:val="80"/>
          <w:w w:val="105"/>
        </w:rPr>
        <w:t xml:space="preserve"> </w:t>
      </w:r>
      <w:r w:rsidRPr="00283806">
        <w:rPr>
          <w:w w:val="105"/>
        </w:rPr>
        <w:t>we emphasize the importance of all four values</w:t>
      </w:r>
      <w:r w:rsidRPr="00283806">
        <w:rPr>
          <w:spacing w:val="13"/>
          <w:w w:val="105"/>
        </w:rPr>
        <w:t xml:space="preserve"> </w:t>
      </w:r>
      <w:r w:rsidRPr="00283806">
        <w:rPr>
          <w:w w:val="105"/>
        </w:rPr>
        <w:t>for</w:t>
      </w:r>
      <w:r w:rsidRPr="00283806">
        <w:rPr>
          <w:spacing w:val="14"/>
          <w:w w:val="105"/>
        </w:rPr>
        <w:t xml:space="preserve"> </w:t>
      </w:r>
      <w:r w:rsidRPr="00283806">
        <w:rPr>
          <w:w w:val="105"/>
        </w:rPr>
        <w:t>each</w:t>
      </w:r>
      <w:r w:rsidRPr="00283806">
        <w:rPr>
          <w:spacing w:val="13"/>
          <w:w w:val="105"/>
        </w:rPr>
        <w:t xml:space="preserve"> </w:t>
      </w:r>
      <w:r w:rsidRPr="00283806">
        <w:rPr>
          <w:w w:val="105"/>
        </w:rPr>
        <w:t>HFC</w:t>
      </w:r>
      <w:r w:rsidRPr="00283806">
        <w:rPr>
          <w:spacing w:val="14"/>
          <w:w w:val="105"/>
        </w:rPr>
        <w:t xml:space="preserve"> </w:t>
      </w:r>
      <w:r w:rsidRPr="00283806">
        <w:rPr>
          <w:w w:val="105"/>
        </w:rPr>
        <w:t>affected</w:t>
      </w:r>
      <w:r w:rsidRPr="00283806">
        <w:rPr>
          <w:spacing w:val="13"/>
          <w:w w:val="105"/>
        </w:rPr>
        <w:t xml:space="preserve"> </w:t>
      </w:r>
      <w:r w:rsidRPr="00283806">
        <w:rPr>
          <w:w w:val="105"/>
        </w:rPr>
        <w:t>by</w:t>
      </w:r>
      <w:r w:rsidRPr="00283806">
        <w:rPr>
          <w:spacing w:val="14"/>
          <w:w w:val="105"/>
        </w:rPr>
        <w:t xml:space="preserve"> </w:t>
      </w:r>
      <w:r w:rsidRPr="00283806">
        <w:rPr>
          <w:w w:val="105"/>
        </w:rPr>
        <w:t>the</w:t>
      </w:r>
      <w:r w:rsidRPr="00283806">
        <w:rPr>
          <w:spacing w:val="14"/>
          <w:w w:val="105"/>
        </w:rPr>
        <w:t xml:space="preserve"> </w:t>
      </w:r>
      <w:r w:rsidRPr="00283806">
        <w:rPr>
          <w:spacing w:val="-2"/>
          <w:w w:val="105"/>
        </w:rPr>
        <w:t>rule.</w:t>
      </w:r>
    </w:p>
    <w:p w14:paraId="7EC25781" w14:textId="77777777" w:rsidR="00D67C1E" w:rsidRPr="00283806" w:rsidRDefault="001265CA">
      <w:pPr>
        <w:pStyle w:val="BodyText"/>
        <w:spacing w:line="171" w:lineRule="exact"/>
        <w:ind w:left="325"/>
      </w:pPr>
      <w:r w:rsidRPr="00283806">
        <w:rPr>
          <w:w w:val="110"/>
        </w:rPr>
        <w:t>In</w:t>
      </w:r>
      <w:r w:rsidRPr="00283806">
        <w:rPr>
          <w:spacing w:val="3"/>
          <w:w w:val="110"/>
        </w:rPr>
        <w:t xml:space="preserve"> </w:t>
      </w:r>
      <w:r w:rsidRPr="00283806">
        <w:rPr>
          <w:w w:val="110"/>
        </w:rPr>
        <w:t>addition,</w:t>
      </w:r>
      <w:r w:rsidRPr="00283806">
        <w:rPr>
          <w:spacing w:val="4"/>
          <w:w w:val="110"/>
        </w:rPr>
        <w:t xml:space="preserve"> </w:t>
      </w:r>
      <w:r w:rsidRPr="00283806">
        <w:rPr>
          <w:w w:val="110"/>
        </w:rPr>
        <w:t>in</w:t>
      </w:r>
      <w:r w:rsidRPr="00283806">
        <w:rPr>
          <w:spacing w:val="3"/>
          <w:w w:val="110"/>
        </w:rPr>
        <w:t xml:space="preserve"> </w:t>
      </w:r>
      <w:r w:rsidRPr="00283806">
        <w:rPr>
          <w:w w:val="110"/>
        </w:rPr>
        <w:t>an</w:t>
      </w:r>
      <w:r w:rsidRPr="00283806">
        <w:rPr>
          <w:spacing w:val="4"/>
          <w:w w:val="110"/>
        </w:rPr>
        <w:t xml:space="preserve"> </w:t>
      </w:r>
      <w:r w:rsidRPr="00283806">
        <w:rPr>
          <w:w w:val="110"/>
        </w:rPr>
        <w:t>Appendix</w:t>
      </w:r>
      <w:r w:rsidRPr="00283806">
        <w:rPr>
          <w:spacing w:val="3"/>
          <w:w w:val="110"/>
        </w:rPr>
        <w:t xml:space="preserve"> </w:t>
      </w:r>
      <w:r w:rsidRPr="00283806">
        <w:rPr>
          <w:w w:val="110"/>
        </w:rPr>
        <w:t>to</w:t>
      </w:r>
      <w:r w:rsidRPr="00283806">
        <w:rPr>
          <w:spacing w:val="4"/>
          <w:w w:val="110"/>
        </w:rPr>
        <w:t xml:space="preserve"> </w:t>
      </w:r>
      <w:r w:rsidRPr="00283806">
        <w:rPr>
          <w:spacing w:val="-5"/>
          <w:w w:val="110"/>
        </w:rPr>
        <w:t>the</w:t>
      </w:r>
    </w:p>
    <w:p w14:paraId="00A3E701" w14:textId="77777777" w:rsidR="00D67C1E" w:rsidRPr="00283806" w:rsidRDefault="001265CA">
      <w:pPr>
        <w:pStyle w:val="BodyText"/>
        <w:spacing w:line="225" w:lineRule="auto"/>
        <w:ind w:left="145" w:right="52"/>
      </w:pPr>
      <w:r w:rsidRPr="00283806">
        <w:rPr>
          <w:w w:val="105"/>
        </w:rPr>
        <w:t>final RIA addendum, EPA presents the monetized climate benefits of the final rule using a new set of SC–HFC</w:t>
      </w:r>
      <w:r w:rsidRPr="00283806">
        <w:rPr>
          <w:spacing w:val="80"/>
          <w:w w:val="105"/>
        </w:rPr>
        <w:t xml:space="preserve"> </w:t>
      </w:r>
      <w:r w:rsidRPr="00283806">
        <w:rPr>
          <w:w w:val="105"/>
        </w:rPr>
        <w:t>estimates that reflects recent advances</w:t>
      </w:r>
      <w:r w:rsidRPr="00283806">
        <w:rPr>
          <w:spacing w:val="40"/>
          <w:w w:val="105"/>
        </w:rPr>
        <w:t xml:space="preserve"> </w:t>
      </w:r>
      <w:r w:rsidRPr="00283806">
        <w:rPr>
          <w:w w:val="105"/>
        </w:rPr>
        <w:t>in the scientific literature and addresses the National Academies’ updating recommendations. The methodology underlying these updated SC–HFC estimates is consistent with the SC–</w:t>
      </w:r>
      <w:r w:rsidRPr="00283806">
        <w:rPr>
          <w:spacing w:val="80"/>
          <w:w w:val="105"/>
        </w:rPr>
        <w:t xml:space="preserve"> </w:t>
      </w:r>
      <w:r w:rsidRPr="00283806">
        <w:rPr>
          <w:w w:val="105"/>
        </w:rPr>
        <w:t>GHG estimates used in EPA’s 2023 RIA for the Final Oil and Gas New Source Performance Standards (NSPS)/ Emissions Guidelines (EG) Rulemaking, ‘‘Standards of Performance for New, Reconstructed, and Modified Sources</w:t>
      </w:r>
      <w:r w:rsidRPr="00283806">
        <w:rPr>
          <w:spacing w:val="40"/>
          <w:w w:val="105"/>
        </w:rPr>
        <w:t xml:space="preserve"> </w:t>
      </w:r>
      <w:r w:rsidRPr="00283806">
        <w:rPr>
          <w:w w:val="105"/>
        </w:rPr>
        <w:t>and Emissions Guidelines for Existing Sources: Oil and Natural Gas Sector Climate</w:t>
      </w:r>
      <w:r w:rsidRPr="00283806">
        <w:rPr>
          <w:spacing w:val="40"/>
          <w:w w:val="105"/>
        </w:rPr>
        <w:t xml:space="preserve"> </w:t>
      </w:r>
      <w:r w:rsidRPr="00283806">
        <w:rPr>
          <w:w w:val="105"/>
        </w:rPr>
        <w:t>Review.’’</w:t>
      </w:r>
      <w:r w:rsidRPr="00283806">
        <w:rPr>
          <w:spacing w:val="41"/>
          <w:w w:val="105"/>
        </w:rPr>
        <w:t xml:space="preserve"> </w:t>
      </w:r>
      <w:r w:rsidRPr="00283806">
        <w:rPr>
          <w:w w:val="105"/>
        </w:rPr>
        <w:t>Specifically,</w:t>
      </w:r>
      <w:r w:rsidRPr="00283806">
        <w:rPr>
          <w:spacing w:val="40"/>
          <w:w w:val="105"/>
        </w:rPr>
        <w:t xml:space="preserve"> </w:t>
      </w:r>
      <w:r w:rsidRPr="00283806">
        <w:rPr>
          <w:w w:val="105"/>
        </w:rPr>
        <w:t>the</w:t>
      </w:r>
      <w:r w:rsidRPr="00283806">
        <w:rPr>
          <w:spacing w:val="41"/>
          <w:w w:val="105"/>
        </w:rPr>
        <w:t xml:space="preserve"> </w:t>
      </w:r>
      <w:r w:rsidRPr="00283806">
        <w:rPr>
          <w:spacing w:val="-2"/>
          <w:w w:val="105"/>
        </w:rPr>
        <w:t>draft</w:t>
      </w:r>
    </w:p>
    <w:p w14:paraId="2AE1BDA6" w14:textId="77777777" w:rsidR="00D67C1E" w:rsidRPr="00283806" w:rsidRDefault="001265CA">
      <w:pPr>
        <w:pStyle w:val="BodyText"/>
        <w:spacing w:before="4"/>
        <w:ind w:left="0"/>
        <w:rPr>
          <w:sz w:val="12"/>
        </w:rPr>
      </w:pPr>
      <w:r w:rsidRPr="00283806">
        <w:rPr>
          <w:noProof/>
        </w:rPr>
        <mc:AlternateContent>
          <mc:Choice Requires="wps">
            <w:drawing>
              <wp:anchor distT="0" distB="0" distL="0" distR="0" simplePos="0" relativeHeight="251683840" behindDoc="1" locked="0" layoutInCell="1" allowOverlap="1" wp14:anchorId="7DE9B838" wp14:editId="594DB405">
                <wp:simplePos x="0" y="0"/>
                <wp:positionH relativeFrom="page">
                  <wp:posOffset>2819400</wp:posOffset>
                </wp:positionH>
                <wp:positionV relativeFrom="paragraph">
                  <wp:posOffset>107407</wp:posOffset>
                </wp:positionV>
                <wp:extent cx="635000" cy="1270"/>
                <wp:effectExtent l="0" t="0" r="0" b="0"/>
                <wp:wrapTopAndBottom/>
                <wp:docPr id="117" name="Graphic 1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5E6E1E" id="Graphic 117" o:spid="_x0000_s1026" alt="&quot;&quot;" style="position:absolute;margin-left:222pt;margin-top:8.45pt;width:50pt;height:.1pt;z-index:-251632640;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" path="m,l635000,e" filled="f" strokeweight=".5pt">
                <v:path arrowok="t"/>
                <w10:wrap type="topAndBottom" anchorx="page"/>
              </v:shape>
            </w:pict>
          </mc:Fallback>
        </mc:AlternateContent>
      </w:r>
    </w:p>
    <w:p w14:paraId="31354A32" w14:textId="0166DA31" w:rsidR="00D67C1E" w:rsidRPr="00283806" w:rsidRDefault="001265CA">
      <w:pPr>
        <w:spacing w:before="46" w:line="220" w:lineRule="auto"/>
        <w:ind w:left="145" w:right="28" w:firstLine="140"/>
        <w:rPr>
          <w:sz w:val="14"/>
        </w:rPr>
      </w:pPr>
      <w:r w:rsidRPr="00283806">
        <w:rPr>
          <w:w w:val="110"/>
          <w:position w:val="4"/>
          <w:sz w:val="9"/>
        </w:rPr>
        <w:t xml:space="preserve">173 </w:t>
      </w:r>
      <w:r w:rsidRPr="00283806">
        <w:rPr>
          <w:w w:val="110"/>
          <w:sz w:val="14"/>
        </w:rPr>
        <w:t>Interagency Working Group on Social Cost of</w:t>
      </w:r>
      <w:r w:rsidRPr="00283806">
        <w:rPr>
          <w:spacing w:val="40"/>
          <w:w w:val="110"/>
          <w:sz w:val="14"/>
        </w:rPr>
        <w:t xml:space="preserve"> </w:t>
      </w:r>
      <w:r w:rsidRPr="00283806">
        <w:rPr>
          <w:spacing w:val="-2"/>
          <w:w w:val="110"/>
          <w:sz w:val="14"/>
        </w:rPr>
        <w:t>Greenhouse Gases, United States Government (IWG</w:t>
      </w:r>
      <w:r w:rsidRPr="00283806">
        <w:rPr>
          <w:spacing w:val="40"/>
          <w:w w:val="110"/>
          <w:sz w:val="14"/>
        </w:rPr>
        <w:t xml:space="preserve"> </w:t>
      </w:r>
      <w:r w:rsidRPr="00283806">
        <w:rPr>
          <w:w w:val="110"/>
          <w:sz w:val="14"/>
        </w:rPr>
        <w:t xml:space="preserve">2021), 86FR 24669, available at </w:t>
      </w:r>
      <w:r w:rsidRPr="00283806">
        <w:rPr>
          <w:rFonts w:ascii="Book Antiqua" w:hAnsi="Book Antiqua"/>
          <w:i/>
          <w:w w:val="110"/>
          <w:sz w:val="14"/>
        </w:rPr>
        <w:t>https://</w:t>
      </w:r>
      <w:r w:rsidRPr="00283806">
        <w:rPr>
          <w:rFonts w:ascii="Book Antiqua" w:hAnsi="Book Antiqua"/>
          <w:i/>
          <w:spacing w:val="40"/>
          <w:w w:val="110"/>
          <w:sz w:val="14"/>
        </w:rPr>
        <w:t xml:space="preserve"> </w:t>
      </w:r>
      <w:r w:rsidRPr="00283806">
        <w:rPr>
          <w:rFonts w:ascii="Book Antiqua" w:hAnsi="Book Antiqua"/>
          <w:i/>
          <w:spacing w:val="-2"/>
          <w:w w:val="110"/>
          <w:sz w:val="14"/>
        </w:rPr>
        <w:t>www.whitehouse.gov/wp-content/uploads/2021/02/</w:t>
      </w:r>
      <w:r w:rsidRPr="00283806">
        <w:rPr>
          <w:rFonts w:ascii="Book Antiqua" w:hAnsi="Book Antiqua"/>
          <w:i/>
          <w:spacing w:val="40"/>
          <w:w w:val="110"/>
          <w:sz w:val="14"/>
        </w:rPr>
        <w:t xml:space="preserve"> </w:t>
      </w:r>
      <w:proofErr w:type="spellStart"/>
      <w:r w:rsidRPr="00283806">
        <w:rPr>
          <w:rFonts w:ascii="Book Antiqua" w:hAnsi="Book Antiqua"/>
          <w:i/>
          <w:spacing w:val="-2"/>
          <w:w w:val="110"/>
          <w:sz w:val="14"/>
        </w:rPr>
        <w:t>TechnicalSupportDocument</w:t>
      </w:r>
      <w:r w:rsidRPr="00283806">
        <w:rPr>
          <w:rFonts w:ascii="Symbol" w:hAnsi="Symbol"/>
          <w:spacing w:val="-2"/>
          <w:w w:val="110"/>
          <w:sz w:val="14"/>
        </w:rPr>
        <w:t></w:t>
      </w:r>
      <w:r w:rsidRPr="00283806">
        <w:rPr>
          <w:rFonts w:ascii="Book Antiqua" w:hAnsi="Book Antiqua"/>
          <w:i/>
          <w:spacing w:val="-2"/>
          <w:w w:val="110"/>
          <w:sz w:val="14"/>
        </w:rPr>
        <w:t>SocialCostofCarbon</w:t>
      </w:r>
      <w:proofErr w:type="spellEnd"/>
      <w:r w:rsidRPr="00283806">
        <w:rPr>
          <w:rFonts w:ascii="Book Antiqua" w:hAnsi="Book Antiqua"/>
          <w:i/>
          <w:spacing w:val="40"/>
          <w:w w:val="110"/>
          <w:sz w:val="14"/>
        </w:rPr>
        <w:t xml:space="preserve"> </w:t>
      </w:r>
      <w:r w:rsidRPr="00283806">
        <w:rPr>
          <w:rFonts w:ascii="Book Antiqua" w:hAnsi="Book Antiqua"/>
          <w:i/>
          <w:spacing w:val="-2"/>
          <w:w w:val="110"/>
          <w:sz w:val="14"/>
        </w:rPr>
        <w:t>MethaneNitrousOxide.pdf</w:t>
      </w:r>
      <w:r w:rsidRPr="00283806">
        <w:rPr>
          <w:spacing w:val="-2"/>
          <w:w w:val="110"/>
          <w:sz w:val="14"/>
        </w:rPr>
        <w:t>.</w:t>
      </w:r>
    </w:p>
    <w:p w14:paraId="646C2AAE" w14:textId="77777777" w:rsidR="00D67C1E" w:rsidRPr="00283806" w:rsidRDefault="001265CA">
      <w:pPr>
        <w:spacing w:before="11" w:line="228" w:lineRule="auto"/>
        <w:ind w:left="145" w:right="67" w:firstLine="140"/>
        <w:jc w:val="both"/>
        <w:rPr>
          <w:sz w:val="14"/>
        </w:rPr>
      </w:pPr>
      <w:r w:rsidRPr="00283806">
        <w:rPr>
          <w:w w:val="105"/>
          <w:position w:val="4"/>
          <w:sz w:val="9"/>
        </w:rPr>
        <w:t xml:space="preserve">174 </w:t>
      </w:r>
      <w:r w:rsidRPr="00283806">
        <w:rPr>
          <w:w w:val="105"/>
          <w:sz w:val="14"/>
        </w:rPr>
        <w:t>National Academies of Sciences, Engineering,</w:t>
      </w:r>
      <w:r w:rsidRPr="00283806">
        <w:rPr>
          <w:spacing w:val="40"/>
          <w:w w:val="105"/>
          <w:sz w:val="14"/>
        </w:rPr>
        <w:t xml:space="preserve"> </w:t>
      </w:r>
      <w:r w:rsidRPr="00283806">
        <w:rPr>
          <w:w w:val="105"/>
          <w:sz w:val="14"/>
        </w:rPr>
        <w:t>and Medicine. Valuing Climate Damages: Updating</w:t>
      </w:r>
      <w:r w:rsidRPr="00283806">
        <w:rPr>
          <w:spacing w:val="40"/>
          <w:w w:val="105"/>
          <w:sz w:val="14"/>
        </w:rPr>
        <w:t xml:space="preserve"> </w:t>
      </w:r>
      <w:r w:rsidRPr="00283806">
        <w:rPr>
          <w:w w:val="105"/>
          <w:sz w:val="14"/>
        </w:rPr>
        <w:t>Estimation of the Social Cost of Carbon Dioxide.</w:t>
      </w:r>
    </w:p>
    <w:p w14:paraId="24AE347C" w14:textId="77777777" w:rsidR="00D67C1E" w:rsidRPr="00283806" w:rsidRDefault="001265CA">
      <w:pPr>
        <w:spacing w:before="1" w:line="228" w:lineRule="auto"/>
        <w:ind w:left="145" w:right="7"/>
        <w:jc w:val="both"/>
        <w:rPr>
          <w:sz w:val="14"/>
        </w:rPr>
      </w:pPr>
      <w:r w:rsidRPr="00283806">
        <w:rPr>
          <w:w w:val="105"/>
          <w:sz w:val="14"/>
        </w:rPr>
        <w:t xml:space="preserve">The National Academies Press, 2017, </w:t>
      </w:r>
      <w:proofErr w:type="spellStart"/>
      <w:r w:rsidRPr="00283806">
        <w:rPr>
          <w:w w:val="105"/>
          <w:sz w:val="14"/>
        </w:rPr>
        <w:t>doi</w:t>
      </w:r>
      <w:proofErr w:type="spellEnd"/>
      <w:r w:rsidRPr="00283806">
        <w:rPr>
          <w:w w:val="105"/>
          <w:sz w:val="14"/>
        </w:rPr>
        <w:t>: 10.17226/</w:t>
      </w:r>
      <w:r w:rsidRPr="00283806">
        <w:rPr>
          <w:spacing w:val="40"/>
          <w:w w:val="105"/>
          <w:sz w:val="14"/>
        </w:rPr>
        <w:t xml:space="preserve"> </w:t>
      </w:r>
      <w:r w:rsidRPr="00283806">
        <w:rPr>
          <w:spacing w:val="-2"/>
          <w:w w:val="105"/>
          <w:sz w:val="14"/>
        </w:rPr>
        <w:t>24651.</w:t>
      </w:r>
    </w:p>
    <w:p w14:paraId="4A203DFB" w14:textId="77777777" w:rsidR="00D67C1E" w:rsidRPr="00283806" w:rsidRDefault="001265CA">
      <w:pPr>
        <w:pStyle w:val="BodyText"/>
        <w:spacing w:before="136" w:line="225" w:lineRule="auto"/>
        <w:ind w:left="139" w:right="182"/>
      </w:pPr>
      <w:r w:rsidRPr="00283806">
        <w:br w:type="column"/>
      </w:r>
      <w:proofErr w:type="gramStart"/>
      <w:r w:rsidRPr="00283806">
        <w:rPr>
          <w:w w:val="105"/>
        </w:rPr>
        <w:t>updated methodology incorporates</w:t>
      </w:r>
      <w:proofErr w:type="gramEnd"/>
      <w:r w:rsidRPr="00283806">
        <w:rPr>
          <w:w w:val="105"/>
        </w:rPr>
        <w:t xml:space="preserve"> new literature and research consistent with the National Academies’ near-term recommendations</w:t>
      </w:r>
      <w:r w:rsidRPr="00283806">
        <w:rPr>
          <w:spacing w:val="35"/>
          <w:w w:val="105"/>
        </w:rPr>
        <w:t xml:space="preserve"> </w:t>
      </w:r>
      <w:r w:rsidRPr="00283806">
        <w:rPr>
          <w:w w:val="105"/>
        </w:rPr>
        <w:t>on</w:t>
      </w:r>
      <w:r w:rsidRPr="00283806">
        <w:rPr>
          <w:spacing w:val="35"/>
          <w:w w:val="105"/>
        </w:rPr>
        <w:t xml:space="preserve"> </w:t>
      </w:r>
      <w:r w:rsidRPr="00283806">
        <w:rPr>
          <w:w w:val="105"/>
        </w:rPr>
        <w:t>socioeconomic</w:t>
      </w:r>
      <w:r w:rsidRPr="00283806">
        <w:rPr>
          <w:spacing w:val="40"/>
          <w:w w:val="105"/>
        </w:rPr>
        <w:t xml:space="preserve"> </w:t>
      </w:r>
      <w:r w:rsidRPr="00283806">
        <w:rPr>
          <w:w w:val="105"/>
        </w:rPr>
        <w:t>and emissions inputs, climate modeling components, discounting approaches,</w:t>
      </w:r>
      <w:r w:rsidRPr="00283806">
        <w:rPr>
          <w:spacing w:val="40"/>
          <w:w w:val="105"/>
        </w:rPr>
        <w:t xml:space="preserve"> </w:t>
      </w:r>
      <w:r w:rsidRPr="00283806">
        <w:rPr>
          <w:w w:val="105"/>
        </w:rPr>
        <w:t>and treatment of uncertainty, and an enhanced representation of how</w:t>
      </w:r>
      <w:r w:rsidRPr="00283806">
        <w:rPr>
          <w:spacing w:val="80"/>
          <w:w w:val="105"/>
        </w:rPr>
        <w:t xml:space="preserve"> </w:t>
      </w:r>
      <w:r w:rsidRPr="00283806">
        <w:rPr>
          <w:w w:val="105"/>
        </w:rPr>
        <w:t>physical impacts of climate change translate to economic damages in the modeling framework based on the best and readily adaptable damage functions available in the peer reviewed literature. As EPA noted in the proposal for this</w:t>
      </w:r>
      <w:r w:rsidRPr="00283806">
        <w:rPr>
          <w:spacing w:val="40"/>
          <w:w w:val="105"/>
        </w:rPr>
        <w:t xml:space="preserve"> </w:t>
      </w:r>
      <w:r w:rsidRPr="00283806">
        <w:rPr>
          <w:w w:val="105"/>
        </w:rPr>
        <w:t>rule, EPA presented and solicited public comment on this updated methodology within a sensitivity analysis in the regulatory impact analysis of EPA’s November 2022 supplemental proposal for oil and natural gas emissions standards.</w:t>
      </w:r>
      <w:r w:rsidRPr="00283806">
        <w:rPr>
          <w:w w:val="105"/>
          <w:position w:val="5"/>
          <w:sz w:val="11"/>
        </w:rPr>
        <w:t>175</w:t>
      </w:r>
      <w:r w:rsidRPr="00283806">
        <w:rPr>
          <w:spacing w:val="40"/>
          <w:w w:val="105"/>
          <w:position w:val="5"/>
          <w:sz w:val="11"/>
        </w:rPr>
        <w:t xml:space="preserve"> </w:t>
      </w:r>
      <w:r w:rsidRPr="00283806">
        <w:rPr>
          <w:w w:val="105"/>
        </w:rPr>
        <w:t>EPA also conducted an external peer review of the</w:t>
      </w:r>
      <w:r w:rsidRPr="00283806">
        <w:rPr>
          <w:spacing w:val="40"/>
          <w:w w:val="105"/>
        </w:rPr>
        <w:t xml:space="preserve"> </w:t>
      </w:r>
      <w:r w:rsidRPr="00283806">
        <w:rPr>
          <w:w w:val="105"/>
        </w:rPr>
        <w:t>accompanying technical report that explains the methodology underlying</w:t>
      </w:r>
      <w:r w:rsidRPr="00283806">
        <w:rPr>
          <w:spacing w:val="80"/>
          <w:w w:val="150"/>
        </w:rPr>
        <w:t xml:space="preserve"> </w:t>
      </w:r>
      <w:r w:rsidRPr="00283806">
        <w:rPr>
          <w:w w:val="105"/>
        </w:rPr>
        <w:t>the new set of estimates. Complete information about the public comments and external peer review, including the peer reviewer selection process, the</w:t>
      </w:r>
      <w:r w:rsidRPr="00283806">
        <w:rPr>
          <w:spacing w:val="80"/>
          <w:w w:val="150"/>
        </w:rPr>
        <w:t xml:space="preserve"> </w:t>
      </w:r>
      <w:r w:rsidRPr="00283806">
        <w:rPr>
          <w:w w:val="105"/>
        </w:rPr>
        <w:t xml:space="preserve">final report with individual recommendations from peer reviewers, and EPA’s response to both public comments and peer reviewer recommendations </w:t>
      </w:r>
      <w:proofErr w:type="gramStart"/>
      <w:r w:rsidRPr="00283806">
        <w:rPr>
          <w:w w:val="105"/>
        </w:rPr>
        <w:t>is</w:t>
      </w:r>
      <w:proofErr w:type="gramEnd"/>
      <w:r w:rsidRPr="00283806">
        <w:rPr>
          <w:w w:val="105"/>
        </w:rPr>
        <w:t xml:space="preserve"> available on EPA’s website,</w:t>
      </w:r>
      <w:r w:rsidRPr="00283806">
        <w:rPr>
          <w:w w:val="105"/>
          <w:position w:val="5"/>
          <w:sz w:val="11"/>
        </w:rPr>
        <w:t>176</w:t>
      </w:r>
      <w:r w:rsidRPr="00283806">
        <w:rPr>
          <w:spacing w:val="40"/>
          <w:w w:val="105"/>
          <w:position w:val="5"/>
          <w:sz w:val="11"/>
        </w:rPr>
        <w:t xml:space="preserve"> </w:t>
      </w:r>
      <w:r w:rsidRPr="00283806">
        <w:rPr>
          <w:w w:val="105"/>
        </w:rPr>
        <w:t>as well as in the RIA addendum for this rule.</w:t>
      </w:r>
    </w:p>
    <w:p w14:paraId="51F6A438" w14:textId="77777777" w:rsidR="00D67C1E" w:rsidRPr="00283806" w:rsidRDefault="001265CA">
      <w:pPr>
        <w:pStyle w:val="ListParagraph"/>
        <w:numPr>
          <w:ilvl w:val="1"/>
          <w:numId w:val="64"/>
        </w:numPr>
        <w:tabs>
          <w:tab w:val="left" w:pos="354"/>
        </w:tabs>
        <w:spacing w:before="94" w:line="218" w:lineRule="auto"/>
        <w:ind w:left="139" w:right="346" w:firstLine="0"/>
        <w:rPr>
          <w:rFonts w:ascii="Book Antiqua"/>
          <w:i/>
          <w:sz w:val="18"/>
        </w:rPr>
      </w:pPr>
      <w:r w:rsidRPr="00283806">
        <w:rPr>
          <w:rFonts w:ascii="Book Antiqua"/>
          <w:i/>
          <w:w w:val="115"/>
          <w:sz w:val="18"/>
        </w:rPr>
        <w:t>Estimated</w:t>
      </w:r>
      <w:r w:rsidRPr="00283806">
        <w:rPr>
          <w:rFonts w:ascii="Book Antiqua"/>
          <w:i/>
          <w:spacing w:val="-12"/>
          <w:w w:val="115"/>
          <w:sz w:val="18"/>
        </w:rPr>
        <w:t xml:space="preserve"> </w:t>
      </w:r>
      <w:r w:rsidRPr="00283806">
        <w:rPr>
          <w:rFonts w:ascii="Book Antiqua"/>
          <w:i/>
          <w:w w:val="115"/>
          <w:sz w:val="18"/>
        </w:rPr>
        <w:t>Costs</w:t>
      </w:r>
      <w:r w:rsidRPr="00283806">
        <w:rPr>
          <w:rFonts w:ascii="Book Antiqua"/>
          <w:i/>
          <w:spacing w:val="-12"/>
          <w:w w:val="115"/>
          <w:sz w:val="18"/>
        </w:rPr>
        <w:t xml:space="preserve"> </w:t>
      </w:r>
      <w:r w:rsidRPr="00283806">
        <w:rPr>
          <w:rFonts w:ascii="Book Antiqua"/>
          <w:i/>
          <w:w w:val="115"/>
          <w:sz w:val="18"/>
        </w:rPr>
        <w:t>and</w:t>
      </w:r>
      <w:r w:rsidRPr="00283806">
        <w:rPr>
          <w:rFonts w:ascii="Book Antiqua"/>
          <w:i/>
          <w:spacing w:val="-12"/>
          <w:w w:val="115"/>
          <w:sz w:val="18"/>
        </w:rPr>
        <w:t xml:space="preserve"> </w:t>
      </w:r>
      <w:r w:rsidRPr="00283806">
        <w:rPr>
          <w:rFonts w:ascii="Book Antiqua"/>
          <w:i/>
          <w:w w:val="115"/>
          <w:sz w:val="18"/>
        </w:rPr>
        <w:t>Benefits</w:t>
      </w:r>
      <w:r w:rsidRPr="00283806">
        <w:rPr>
          <w:rFonts w:ascii="Book Antiqua"/>
          <w:i/>
          <w:spacing w:val="-12"/>
          <w:w w:val="115"/>
          <w:sz w:val="18"/>
        </w:rPr>
        <w:t xml:space="preserve"> </w:t>
      </w:r>
      <w:r w:rsidRPr="00283806">
        <w:rPr>
          <w:rFonts w:ascii="Book Antiqua"/>
          <w:i/>
          <w:w w:val="115"/>
          <w:sz w:val="18"/>
        </w:rPr>
        <w:t>of</w:t>
      </w:r>
      <w:r w:rsidRPr="00283806">
        <w:rPr>
          <w:rFonts w:ascii="Book Antiqua"/>
          <w:i/>
          <w:spacing w:val="-12"/>
          <w:w w:val="115"/>
          <w:sz w:val="18"/>
        </w:rPr>
        <w:t xml:space="preserve"> </w:t>
      </w:r>
      <w:r w:rsidRPr="00283806">
        <w:rPr>
          <w:rFonts w:ascii="Book Antiqua"/>
          <w:i/>
          <w:w w:val="115"/>
          <w:sz w:val="18"/>
        </w:rPr>
        <w:t>the Final Rule</w:t>
      </w:r>
    </w:p>
    <w:p w14:paraId="7E06D09B" w14:textId="77777777" w:rsidR="00D67C1E" w:rsidRPr="00283806" w:rsidRDefault="001265CA">
      <w:pPr>
        <w:pStyle w:val="ListParagraph"/>
        <w:numPr>
          <w:ilvl w:val="0"/>
          <w:numId w:val="42"/>
        </w:numPr>
        <w:tabs>
          <w:tab w:val="left" w:pos="337"/>
        </w:tabs>
        <w:spacing w:before="90" w:line="225" w:lineRule="auto"/>
        <w:ind w:right="242" w:firstLine="0"/>
        <w:rPr>
          <w:sz w:val="18"/>
        </w:rPr>
      </w:pPr>
      <w:r w:rsidRPr="00283806">
        <w:rPr>
          <w:w w:val="105"/>
          <w:sz w:val="18"/>
        </w:rPr>
        <w:t>Total Incremental Costs and Benefits of the Final Rule</w:t>
      </w:r>
    </w:p>
    <w:p w14:paraId="667DC976" w14:textId="77777777" w:rsidR="00D67C1E" w:rsidRPr="00283806" w:rsidRDefault="001265CA">
      <w:pPr>
        <w:pStyle w:val="BodyText"/>
        <w:spacing w:before="65" w:line="225" w:lineRule="auto"/>
        <w:ind w:left="139" w:right="130" w:firstLine="180"/>
      </w:pPr>
      <w:r w:rsidRPr="00283806">
        <w:rPr>
          <w:w w:val="105"/>
        </w:rPr>
        <w:t>As discussed above, the HFC</w:t>
      </w:r>
      <w:r w:rsidRPr="00283806">
        <w:rPr>
          <w:spacing w:val="80"/>
          <w:w w:val="105"/>
        </w:rPr>
        <w:t xml:space="preserve"> </w:t>
      </w:r>
      <w:r w:rsidRPr="00283806">
        <w:rPr>
          <w:w w:val="105"/>
        </w:rPr>
        <w:t>Allocation and 2023 Technology Transitions Rules serve as the status quo from which incremental impacts of this final rule are evaluated. As detailed in</w:t>
      </w:r>
      <w:r w:rsidRPr="00283806">
        <w:rPr>
          <w:spacing w:val="80"/>
          <w:w w:val="105"/>
        </w:rPr>
        <w:t xml:space="preserve"> </w:t>
      </w:r>
      <w:r w:rsidRPr="00283806">
        <w:rPr>
          <w:w w:val="105"/>
        </w:rPr>
        <w:t>the</w:t>
      </w:r>
      <w:r w:rsidRPr="00283806">
        <w:rPr>
          <w:spacing w:val="40"/>
          <w:w w:val="105"/>
        </w:rPr>
        <w:t xml:space="preserve"> </w:t>
      </w:r>
      <w:r w:rsidRPr="00283806">
        <w:rPr>
          <w:w w:val="105"/>
        </w:rPr>
        <w:t>RIA</w:t>
      </w:r>
      <w:r w:rsidRPr="00283806">
        <w:rPr>
          <w:spacing w:val="40"/>
          <w:w w:val="105"/>
        </w:rPr>
        <w:t xml:space="preserve"> </w:t>
      </w:r>
      <w:r w:rsidRPr="00283806">
        <w:rPr>
          <w:w w:val="105"/>
        </w:rPr>
        <w:t>and</w:t>
      </w:r>
      <w:r w:rsidRPr="00283806">
        <w:rPr>
          <w:spacing w:val="40"/>
          <w:w w:val="105"/>
        </w:rPr>
        <w:t xml:space="preserve"> </w:t>
      </w:r>
      <w:r w:rsidRPr="00283806">
        <w:rPr>
          <w:w w:val="105"/>
        </w:rPr>
        <w:t>subsequent</w:t>
      </w:r>
      <w:r w:rsidRPr="00283806">
        <w:rPr>
          <w:spacing w:val="40"/>
          <w:w w:val="105"/>
        </w:rPr>
        <w:t xml:space="preserve"> </w:t>
      </w:r>
      <w:r w:rsidRPr="00283806">
        <w:rPr>
          <w:w w:val="105"/>
        </w:rPr>
        <w:t>RIA</w:t>
      </w:r>
      <w:r w:rsidRPr="00283806">
        <w:rPr>
          <w:spacing w:val="40"/>
          <w:w w:val="105"/>
        </w:rPr>
        <w:t xml:space="preserve"> </w:t>
      </w:r>
      <w:r w:rsidRPr="00283806">
        <w:rPr>
          <w:w w:val="105"/>
        </w:rPr>
        <w:t xml:space="preserve">addenda for these previous rules, EPA modeled multiple potential compliance pathways to </w:t>
      </w:r>
      <w:proofErr w:type="gramStart"/>
      <w:r w:rsidRPr="00283806">
        <w:rPr>
          <w:w w:val="105"/>
        </w:rPr>
        <w:t>meeting</w:t>
      </w:r>
      <w:proofErr w:type="gramEnd"/>
      <w:r w:rsidRPr="00283806">
        <w:rPr>
          <w:w w:val="105"/>
        </w:rPr>
        <w:t xml:space="preserve"> the requirements of these rulemakings. In one scenario, EPA assumed that industry would comply with previous AIM Act regulations as outlined in the 2023 Technology Transitions Rule RIA Addendum </w:t>
      </w:r>
      <w:r w:rsidRPr="00283806">
        <w:rPr>
          <w:w w:val="105"/>
          <w:position w:val="5"/>
          <w:sz w:val="11"/>
        </w:rPr>
        <w:t>177</w:t>
      </w:r>
      <w:r w:rsidRPr="00283806">
        <w:rPr>
          <w:spacing w:val="40"/>
          <w:w w:val="105"/>
          <w:position w:val="5"/>
          <w:sz w:val="11"/>
        </w:rPr>
        <w:t xml:space="preserve"> </w:t>
      </w:r>
      <w:r w:rsidRPr="00283806">
        <w:rPr>
          <w:w w:val="105"/>
        </w:rPr>
        <w:t>without undertaking some</w:t>
      </w:r>
      <w:r w:rsidRPr="00283806">
        <w:rPr>
          <w:spacing w:val="40"/>
          <w:w w:val="105"/>
        </w:rPr>
        <w:t xml:space="preserve"> </w:t>
      </w:r>
      <w:r w:rsidRPr="00283806">
        <w:rPr>
          <w:w w:val="105"/>
        </w:rPr>
        <w:t>improvements to leak repair and refrigerant recovery practices in</w:t>
      </w:r>
    </w:p>
    <w:p w14:paraId="02A69727" w14:textId="77777777" w:rsidR="00D67C1E" w:rsidRPr="00283806" w:rsidRDefault="001265CA">
      <w:pPr>
        <w:pStyle w:val="BodyText"/>
        <w:spacing w:before="4"/>
        <w:ind w:left="0"/>
        <w:rPr>
          <w:sz w:val="11"/>
        </w:rPr>
      </w:pPr>
      <w:r w:rsidRPr="00283806">
        <w:rPr>
          <w:noProof/>
        </w:rPr>
        <mc:AlternateContent>
          <mc:Choice Requires="wps">
            <w:drawing>
              <wp:anchor distT="0" distB="0" distL="0" distR="0" simplePos="0" relativeHeight="251684864" behindDoc="1" locked="0" layoutInCell="1" allowOverlap="1" wp14:anchorId="50D93004" wp14:editId="3D6AB3EB">
                <wp:simplePos x="0" y="0"/>
                <wp:positionH relativeFrom="page">
                  <wp:posOffset>5067300</wp:posOffset>
                </wp:positionH>
                <wp:positionV relativeFrom="paragraph">
                  <wp:posOffset>99953</wp:posOffset>
                </wp:positionV>
                <wp:extent cx="635000" cy="1270"/>
                <wp:effectExtent l="0" t="0" r="0" b="0"/>
                <wp:wrapTopAndBottom/>
                <wp:docPr id="118" name="Graphic 1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5511BF" id="Graphic 118" o:spid="_x0000_s1026" alt="&quot;&quot;" style="position:absolute;margin-left:399pt;margin-top:7.85pt;width:50pt;height:.1pt;z-index:-251631616;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" path="m,l635000,e" filled="f" strokeweight=".5pt">
                <v:path arrowok="t"/>
                <w10:wrap type="topAndBottom" anchorx="page"/>
              </v:shape>
            </w:pict>
          </mc:Fallback>
        </mc:AlternateContent>
      </w:r>
    </w:p>
    <w:p w14:paraId="4C015A21" w14:textId="77777777" w:rsidR="00D67C1E" w:rsidRPr="00283806" w:rsidRDefault="001265CA">
      <w:pPr>
        <w:spacing w:before="42" w:line="228" w:lineRule="auto"/>
        <w:ind w:left="139" w:right="250" w:firstLine="140"/>
        <w:rPr>
          <w:sz w:val="14"/>
        </w:rPr>
      </w:pPr>
      <w:r w:rsidRPr="00283806">
        <w:rPr>
          <w:w w:val="105"/>
          <w:position w:val="4"/>
          <w:sz w:val="9"/>
        </w:rPr>
        <w:t xml:space="preserve">175 </w:t>
      </w:r>
      <w:r w:rsidRPr="00283806">
        <w:rPr>
          <w:w w:val="105"/>
          <w:sz w:val="14"/>
        </w:rPr>
        <w:t>Standards of Performance for New,</w:t>
      </w:r>
      <w:r w:rsidRPr="00283806">
        <w:rPr>
          <w:spacing w:val="40"/>
          <w:w w:val="105"/>
          <w:sz w:val="14"/>
        </w:rPr>
        <w:t xml:space="preserve"> </w:t>
      </w:r>
      <w:r w:rsidRPr="00283806">
        <w:rPr>
          <w:w w:val="105"/>
          <w:sz w:val="14"/>
        </w:rPr>
        <w:t>Reconstructed, and Modified Sources and</w:t>
      </w:r>
      <w:r w:rsidRPr="00283806">
        <w:rPr>
          <w:spacing w:val="80"/>
          <w:w w:val="105"/>
          <w:sz w:val="14"/>
        </w:rPr>
        <w:t xml:space="preserve"> </w:t>
      </w:r>
      <w:r w:rsidRPr="00283806">
        <w:rPr>
          <w:w w:val="105"/>
          <w:sz w:val="14"/>
        </w:rPr>
        <w:t>Emissions Guidelines for Existing Sources: Oil and</w:t>
      </w:r>
      <w:r w:rsidRPr="00283806">
        <w:rPr>
          <w:spacing w:val="40"/>
          <w:w w:val="105"/>
          <w:sz w:val="14"/>
        </w:rPr>
        <w:t xml:space="preserve"> </w:t>
      </w:r>
      <w:r w:rsidRPr="00283806">
        <w:rPr>
          <w:w w:val="105"/>
          <w:sz w:val="14"/>
        </w:rPr>
        <w:t>Natural Gas Sector Climate Review (87 FR 74702,</w:t>
      </w:r>
      <w:r w:rsidRPr="00283806">
        <w:rPr>
          <w:spacing w:val="40"/>
          <w:w w:val="105"/>
          <w:sz w:val="14"/>
        </w:rPr>
        <w:t xml:space="preserve"> </w:t>
      </w:r>
      <w:r w:rsidRPr="00283806">
        <w:rPr>
          <w:w w:val="105"/>
          <w:sz w:val="14"/>
        </w:rPr>
        <w:t>December 6, 2022).</w:t>
      </w:r>
    </w:p>
    <w:p w14:paraId="6AEB8F36" w14:textId="29ADC5F1" w:rsidR="00D67C1E" w:rsidRPr="00283806" w:rsidRDefault="001265CA">
      <w:pPr>
        <w:spacing w:before="26" w:line="218" w:lineRule="auto"/>
        <w:ind w:left="139" w:right="906" w:firstLine="140"/>
        <w:rPr>
          <w:sz w:val="14"/>
        </w:rPr>
      </w:pPr>
      <w:r w:rsidRPr="00283806">
        <w:rPr>
          <w:spacing w:val="-2"/>
          <w:w w:val="115"/>
          <w:position w:val="4"/>
          <w:sz w:val="9"/>
        </w:rPr>
        <w:t>176</w:t>
      </w:r>
      <w:r w:rsidRPr="00283806">
        <w:rPr>
          <w:spacing w:val="-3"/>
          <w:w w:val="115"/>
          <w:position w:val="4"/>
          <w:sz w:val="9"/>
        </w:rPr>
        <w:t xml:space="preserve"> </w:t>
      </w:r>
      <w:r w:rsidRPr="00283806">
        <w:rPr>
          <w:spacing w:val="-2"/>
          <w:w w:val="115"/>
          <w:sz w:val="14"/>
        </w:rPr>
        <w:t xml:space="preserve">Available at: </w:t>
      </w:r>
      <w:r w:rsidRPr="00283806">
        <w:rPr>
          <w:rFonts w:ascii="Book Antiqua"/>
          <w:i/>
          <w:spacing w:val="-2"/>
          <w:w w:val="115"/>
          <w:sz w:val="14"/>
        </w:rPr>
        <w:t>https://www.epa.gov/</w:t>
      </w:r>
      <w:r w:rsidRPr="00283806">
        <w:rPr>
          <w:rFonts w:ascii="Book Antiqua"/>
          <w:i/>
          <w:spacing w:val="40"/>
          <w:w w:val="115"/>
          <w:sz w:val="14"/>
        </w:rPr>
        <w:t xml:space="preserve"> </w:t>
      </w:r>
      <w:r w:rsidRPr="00283806">
        <w:rPr>
          <w:rFonts w:ascii="Book Antiqua"/>
          <w:i/>
          <w:spacing w:val="-2"/>
          <w:w w:val="115"/>
          <w:sz w:val="14"/>
        </w:rPr>
        <w:t>environmental-economics/</w:t>
      </w:r>
      <w:proofErr w:type="spellStart"/>
      <w:r w:rsidRPr="00283806">
        <w:rPr>
          <w:rFonts w:ascii="Book Antiqua"/>
          <w:i/>
          <w:spacing w:val="-2"/>
          <w:w w:val="115"/>
          <w:sz w:val="14"/>
        </w:rPr>
        <w:t>scghg</w:t>
      </w:r>
      <w:proofErr w:type="spellEnd"/>
      <w:r w:rsidRPr="00283806">
        <w:rPr>
          <w:spacing w:val="-2"/>
          <w:w w:val="115"/>
          <w:sz w:val="14"/>
        </w:rPr>
        <w:t>.</w:t>
      </w:r>
    </w:p>
    <w:p w14:paraId="69E1F8AF" w14:textId="77777777" w:rsidR="00D67C1E" w:rsidRPr="00283806" w:rsidRDefault="001265CA">
      <w:pPr>
        <w:spacing w:before="13" w:line="228" w:lineRule="auto"/>
        <w:ind w:left="139" w:right="144" w:firstLine="140"/>
        <w:rPr>
          <w:sz w:val="14"/>
        </w:rPr>
      </w:pPr>
      <w:r w:rsidRPr="00283806">
        <w:rPr>
          <w:w w:val="110"/>
          <w:position w:val="4"/>
          <w:sz w:val="9"/>
        </w:rPr>
        <w:t xml:space="preserve">177 </w:t>
      </w:r>
      <w:r w:rsidRPr="00283806">
        <w:rPr>
          <w:w w:val="110"/>
          <w:sz w:val="14"/>
        </w:rPr>
        <w:t>In the 2023 Technology Transitions RIA</w:t>
      </w:r>
      <w:r w:rsidRPr="00283806">
        <w:rPr>
          <w:spacing w:val="40"/>
          <w:w w:val="110"/>
          <w:sz w:val="14"/>
        </w:rPr>
        <w:t xml:space="preserve"> </w:t>
      </w:r>
      <w:r w:rsidRPr="00283806">
        <w:rPr>
          <w:w w:val="110"/>
          <w:sz w:val="14"/>
        </w:rPr>
        <w:t>Addendum, EPA analyzed a ‘‘base case’’ and a</w:t>
      </w:r>
      <w:r w:rsidRPr="00283806">
        <w:rPr>
          <w:spacing w:val="40"/>
          <w:w w:val="110"/>
          <w:sz w:val="14"/>
        </w:rPr>
        <w:t xml:space="preserve"> </w:t>
      </w:r>
      <w:r w:rsidRPr="00283806">
        <w:rPr>
          <w:w w:val="110"/>
          <w:sz w:val="14"/>
        </w:rPr>
        <w:t>‘‘high</w:t>
      </w:r>
      <w:r w:rsidRPr="00283806">
        <w:rPr>
          <w:spacing w:val="-9"/>
          <w:w w:val="110"/>
          <w:sz w:val="14"/>
        </w:rPr>
        <w:t xml:space="preserve"> </w:t>
      </w:r>
      <w:r w:rsidRPr="00283806">
        <w:rPr>
          <w:w w:val="110"/>
          <w:sz w:val="14"/>
        </w:rPr>
        <w:t>additionality’’</w:t>
      </w:r>
      <w:r w:rsidRPr="00283806">
        <w:rPr>
          <w:spacing w:val="-8"/>
          <w:w w:val="110"/>
          <w:sz w:val="14"/>
        </w:rPr>
        <w:t xml:space="preserve"> </w:t>
      </w:r>
      <w:r w:rsidRPr="00283806">
        <w:rPr>
          <w:w w:val="110"/>
          <w:sz w:val="14"/>
        </w:rPr>
        <w:t>scenario.</w:t>
      </w:r>
      <w:r w:rsidRPr="00283806">
        <w:rPr>
          <w:spacing w:val="-9"/>
          <w:w w:val="110"/>
          <w:sz w:val="14"/>
        </w:rPr>
        <w:t xml:space="preserve"> </w:t>
      </w:r>
      <w:r w:rsidRPr="00283806">
        <w:rPr>
          <w:w w:val="110"/>
          <w:sz w:val="14"/>
        </w:rPr>
        <w:t>The</w:t>
      </w:r>
      <w:r w:rsidRPr="00283806">
        <w:rPr>
          <w:spacing w:val="-8"/>
          <w:w w:val="110"/>
          <w:sz w:val="14"/>
        </w:rPr>
        <w:t xml:space="preserve"> </w:t>
      </w:r>
      <w:r w:rsidRPr="00283806">
        <w:rPr>
          <w:w w:val="110"/>
          <w:sz w:val="14"/>
        </w:rPr>
        <w:t>former</w:t>
      </w:r>
      <w:r w:rsidRPr="00283806">
        <w:rPr>
          <w:spacing w:val="-9"/>
          <w:w w:val="110"/>
          <w:sz w:val="14"/>
        </w:rPr>
        <w:t xml:space="preserve"> </w:t>
      </w:r>
      <w:r w:rsidRPr="00283806">
        <w:rPr>
          <w:w w:val="110"/>
          <w:sz w:val="14"/>
        </w:rPr>
        <w:t>is</w:t>
      </w:r>
      <w:r w:rsidRPr="00283806">
        <w:rPr>
          <w:spacing w:val="-8"/>
          <w:w w:val="110"/>
          <w:sz w:val="14"/>
        </w:rPr>
        <w:t xml:space="preserve"> </w:t>
      </w:r>
      <w:r w:rsidRPr="00283806">
        <w:rPr>
          <w:w w:val="110"/>
          <w:sz w:val="14"/>
        </w:rPr>
        <w:t>used</w:t>
      </w:r>
      <w:r w:rsidRPr="00283806">
        <w:rPr>
          <w:spacing w:val="-9"/>
          <w:w w:val="110"/>
          <w:sz w:val="14"/>
        </w:rPr>
        <w:t xml:space="preserve"> </w:t>
      </w:r>
      <w:r w:rsidRPr="00283806">
        <w:rPr>
          <w:w w:val="110"/>
          <w:sz w:val="14"/>
        </w:rPr>
        <w:t>to</w:t>
      </w:r>
      <w:r w:rsidRPr="00283806">
        <w:rPr>
          <w:spacing w:val="40"/>
          <w:w w:val="110"/>
          <w:sz w:val="14"/>
        </w:rPr>
        <w:t xml:space="preserve"> </w:t>
      </w:r>
      <w:r w:rsidRPr="00283806">
        <w:rPr>
          <w:w w:val="110"/>
          <w:sz w:val="14"/>
        </w:rPr>
        <w:t>analyze</w:t>
      </w:r>
      <w:r w:rsidRPr="00283806">
        <w:rPr>
          <w:spacing w:val="-5"/>
          <w:w w:val="110"/>
          <w:sz w:val="14"/>
        </w:rPr>
        <w:t xml:space="preserve"> </w:t>
      </w:r>
      <w:r w:rsidRPr="00283806">
        <w:rPr>
          <w:w w:val="110"/>
          <w:sz w:val="14"/>
        </w:rPr>
        <w:t>the</w:t>
      </w:r>
      <w:r w:rsidRPr="00283806">
        <w:rPr>
          <w:spacing w:val="-5"/>
          <w:w w:val="110"/>
          <w:sz w:val="14"/>
        </w:rPr>
        <w:t xml:space="preserve"> </w:t>
      </w:r>
      <w:r w:rsidRPr="00283806">
        <w:rPr>
          <w:w w:val="110"/>
          <w:sz w:val="14"/>
        </w:rPr>
        <w:t>base</w:t>
      </w:r>
      <w:r w:rsidRPr="00283806">
        <w:rPr>
          <w:spacing w:val="-5"/>
          <w:w w:val="110"/>
          <w:sz w:val="14"/>
        </w:rPr>
        <w:t xml:space="preserve"> </w:t>
      </w:r>
      <w:r w:rsidRPr="00283806">
        <w:rPr>
          <w:w w:val="110"/>
          <w:sz w:val="14"/>
        </w:rPr>
        <w:t>case</w:t>
      </w:r>
      <w:r w:rsidRPr="00283806">
        <w:rPr>
          <w:spacing w:val="-5"/>
          <w:w w:val="110"/>
          <w:sz w:val="14"/>
        </w:rPr>
        <w:t xml:space="preserve"> </w:t>
      </w:r>
      <w:r w:rsidRPr="00283806">
        <w:rPr>
          <w:w w:val="110"/>
          <w:sz w:val="14"/>
        </w:rPr>
        <w:t>scenario</w:t>
      </w:r>
      <w:r w:rsidRPr="00283806">
        <w:rPr>
          <w:spacing w:val="-5"/>
          <w:w w:val="110"/>
          <w:sz w:val="14"/>
        </w:rPr>
        <w:t xml:space="preserve"> </w:t>
      </w:r>
      <w:r w:rsidRPr="00283806">
        <w:rPr>
          <w:w w:val="110"/>
          <w:sz w:val="14"/>
        </w:rPr>
        <w:t>for</w:t>
      </w:r>
      <w:r w:rsidRPr="00283806">
        <w:rPr>
          <w:spacing w:val="-5"/>
          <w:w w:val="110"/>
          <w:sz w:val="14"/>
        </w:rPr>
        <w:t xml:space="preserve"> </w:t>
      </w:r>
      <w:r w:rsidRPr="00283806">
        <w:rPr>
          <w:w w:val="110"/>
          <w:sz w:val="14"/>
        </w:rPr>
        <w:t>this</w:t>
      </w:r>
      <w:r w:rsidRPr="00283806">
        <w:rPr>
          <w:spacing w:val="-5"/>
          <w:w w:val="110"/>
          <w:sz w:val="14"/>
        </w:rPr>
        <w:t xml:space="preserve"> </w:t>
      </w:r>
      <w:r w:rsidRPr="00283806">
        <w:rPr>
          <w:w w:val="110"/>
          <w:sz w:val="14"/>
        </w:rPr>
        <w:t>rule.</w:t>
      </w:r>
      <w:r w:rsidRPr="00283806">
        <w:rPr>
          <w:spacing w:val="-5"/>
          <w:w w:val="110"/>
          <w:sz w:val="14"/>
        </w:rPr>
        <w:t xml:space="preserve"> </w:t>
      </w:r>
      <w:r w:rsidRPr="00283806">
        <w:rPr>
          <w:w w:val="110"/>
          <w:sz w:val="14"/>
        </w:rPr>
        <w:t>See</w:t>
      </w:r>
      <w:r w:rsidRPr="00283806">
        <w:rPr>
          <w:spacing w:val="-5"/>
          <w:w w:val="110"/>
          <w:sz w:val="14"/>
        </w:rPr>
        <w:t xml:space="preserve"> </w:t>
      </w:r>
      <w:r w:rsidRPr="00283806">
        <w:rPr>
          <w:w w:val="110"/>
          <w:sz w:val="14"/>
        </w:rPr>
        <w:t>the</w:t>
      </w:r>
      <w:r w:rsidRPr="00283806">
        <w:rPr>
          <w:spacing w:val="40"/>
          <w:w w:val="110"/>
          <w:sz w:val="14"/>
        </w:rPr>
        <w:t xml:space="preserve"> </w:t>
      </w:r>
      <w:r w:rsidRPr="00283806">
        <w:rPr>
          <w:w w:val="110"/>
          <w:sz w:val="14"/>
        </w:rPr>
        <w:t>RIA addendum and the Economic Impact and</w:t>
      </w:r>
      <w:r w:rsidRPr="00283806">
        <w:rPr>
          <w:spacing w:val="40"/>
          <w:w w:val="110"/>
          <w:sz w:val="14"/>
        </w:rPr>
        <w:t xml:space="preserve"> </w:t>
      </w:r>
      <w:r w:rsidRPr="00283806">
        <w:rPr>
          <w:w w:val="110"/>
          <w:sz w:val="14"/>
        </w:rPr>
        <w:t>Benefits TSD for additional details.</w:t>
      </w:r>
    </w:p>
    <w:p w14:paraId="1D0E4B56" w14:textId="77777777" w:rsidR="00D67C1E" w:rsidRPr="00283806" w:rsidRDefault="00D67C1E">
      <w:pPr>
        <w:spacing w:line="228" w:lineRule="auto"/>
        <w:rPr>
          <w:sz w:val="14"/>
        </w:rPr>
        <w:sectPr w:rsidR="00D67C1E" w:rsidRPr="00283806">
          <w:pgSz w:w="12240" w:h="15840"/>
          <w:pgMar w:top="1040" w:right="780" w:bottom="280" w:left="740" w:header="627" w:footer="0" w:gutter="0"/>
          <w:cols w:num="3" w:space="720" w:equalWidth="0">
            <w:col w:w="3515" w:space="40"/>
            <w:col w:w="3506" w:space="39"/>
            <w:col w:w="3620"/>
          </w:cols>
        </w:sectPr>
      </w:pPr>
    </w:p>
    <w:p w14:paraId="486CDC16" w14:textId="77777777" w:rsidR="00D67C1E" w:rsidRPr="00283806" w:rsidRDefault="001265CA">
      <w:pPr>
        <w:pStyle w:val="BodyText"/>
        <w:spacing w:before="134" w:line="228" w:lineRule="auto"/>
        <w:ind w:right="27"/>
      </w:pPr>
      <w:r w:rsidRPr="00283806">
        <w:rPr>
          <w:w w:val="105"/>
        </w:rPr>
        <w:lastRenderedPageBreak/>
        <w:t>response to these previous rulemakings and as a means of achieving the overall HFC phasedown cap. Because these improvements are not required to meet previous AIM Act regulations, in the Agency’s base case scenario for the estimated incremental impacts of the ER&amp;R rule, EPA has also included them</w:t>
      </w:r>
      <w:r w:rsidRPr="00283806">
        <w:rPr>
          <w:spacing w:val="80"/>
          <w:w w:val="105"/>
        </w:rPr>
        <w:t xml:space="preserve"> </w:t>
      </w:r>
      <w:r w:rsidRPr="00283806">
        <w:rPr>
          <w:w w:val="105"/>
        </w:rPr>
        <w:t>in the baseline. However, since whether industry undertakes such improvements is ultimately uncertain, EPA has also provided an alternative scenario in the RIA addendum where some improved leak repair and refrigerant recovery practices are included in the baseline, thus illustrating a potential lower bound of incremental impacts.</w:t>
      </w:r>
    </w:p>
    <w:p w14:paraId="13441A87" w14:textId="77777777" w:rsidR="00D67C1E" w:rsidRPr="00283806" w:rsidRDefault="001265CA">
      <w:pPr>
        <w:pStyle w:val="BodyText"/>
        <w:spacing w:before="134" w:line="228" w:lineRule="auto"/>
        <w:ind w:left="154" w:right="52" w:firstLine="180"/>
      </w:pPr>
      <w:r w:rsidRPr="00283806">
        <w:br w:type="column"/>
      </w:r>
      <w:r w:rsidRPr="00283806">
        <w:rPr>
          <w:w w:val="105"/>
        </w:rPr>
        <w:t>The present value of the net benefits</w:t>
      </w:r>
      <w:r w:rsidRPr="00283806">
        <w:rPr>
          <w:spacing w:val="80"/>
          <w:w w:val="105"/>
        </w:rPr>
        <w:t xml:space="preserve"> </w:t>
      </w:r>
      <w:r w:rsidRPr="00283806">
        <w:rPr>
          <w:w w:val="105"/>
        </w:rPr>
        <w:t>of</w:t>
      </w:r>
      <w:r w:rsidRPr="00283806">
        <w:rPr>
          <w:spacing w:val="30"/>
          <w:w w:val="105"/>
        </w:rPr>
        <w:t xml:space="preserve"> </w:t>
      </w:r>
      <w:r w:rsidRPr="00283806">
        <w:rPr>
          <w:w w:val="105"/>
        </w:rPr>
        <w:t>the</w:t>
      </w:r>
      <w:r w:rsidRPr="00283806">
        <w:rPr>
          <w:spacing w:val="30"/>
          <w:w w:val="105"/>
        </w:rPr>
        <w:t xml:space="preserve"> </w:t>
      </w:r>
      <w:r w:rsidRPr="00283806">
        <w:rPr>
          <w:w w:val="105"/>
        </w:rPr>
        <w:t>final</w:t>
      </w:r>
      <w:r w:rsidRPr="00283806">
        <w:rPr>
          <w:spacing w:val="30"/>
          <w:w w:val="105"/>
        </w:rPr>
        <w:t xml:space="preserve"> </w:t>
      </w:r>
      <w:r w:rsidRPr="00283806">
        <w:rPr>
          <w:w w:val="105"/>
        </w:rPr>
        <w:t>ER&amp;R</w:t>
      </w:r>
      <w:r w:rsidRPr="00283806">
        <w:rPr>
          <w:spacing w:val="30"/>
          <w:w w:val="105"/>
        </w:rPr>
        <w:t xml:space="preserve"> </w:t>
      </w:r>
      <w:r w:rsidRPr="00283806">
        <w:rPr>
          <w:w w:val="105"/>
        </w:rPr>
        <w:t>rule</w:t>
      </w:r>
      <w:r w:rsidRPr="00283806">
        <w:rPr>
          <w:spacing w:val="30"/>
          <w:w w:val="105"/>
        </w:rPr>
        <w:t xml:space="preserve"> </w:t>
      </w:r>
      <w:r w:rsidRPr="00283806">
        <w:rPr>
          <w:w w:val="105"/>
        </w:rPr>
        <w:t>is</w:t>
      </w:r>
      <w:r w:rsidRPr="00283806">
        <w:rPr>
          <w:spacing w:val="30"/>
          <w:w w:val="105"/>
        </w:rPr>
        <w:t xml:space="preserve"> </w:t>
      </w:r>
      <w:r w:rsidRPr="00283806">
        <w:rPr>
          <w:w w:val="105"/>
        </w:rPr>
        <w:t>equal</w:t>
      </w:r>
      <w:r w:rsidRPr="00283806">
        <w:rPr>
          <w:spacing w:val="30"/>
          <w:w w:val="105"/>
        </w:rPr>
        <w:t xml:space="preserve"> </w:t>
      </w:r>
      <w:r w:rsidRPr="00283806">
        <w:rPr>
          <w:w w:val="105"/>
        </w:rPr>
        <w:t>to</w:t>
      </w:r>
      <w:r w:rsidRPr="00283806">
        <w:rPr>
          <w:spacing w:val="30"/>
          <w:w w:val="105"/>
        </w:rPr>
        <w:t xml:space="preserve"> </w:t>
      </w:r>
      <w:r w:rsidRPr="00283806">
        <w:rPr>
          <w:w w:val="105"/>
        </w:rPr>
        <w:t>the sum of the net costs or benefits of the various provisions in each year from 2026 through 2050, discounted to 2024 (the year in which this rule is being finalized). In the base case, EPA</w:t>
      </w:r>
      <w:r w:rsidRPr="00283806">
        <w:rPr>
          <w:spacing w:val="80"/>
          <w:w w:val="105"/>
        </w:rPr>
        <w:t xml:space="preserve"> </w:t>
      </w:r>
      <w:r w:rsidRPr="00283806">
        <w:rPr>
          <w:w w:val="105"/>
        </w:rPr>
        <w:t>estimates the provisions of this rule will result in cumulative incremental emissions reductions of approximately 120 MMTCO</w:t>
      </w:r>
      <w:r w:rsidRPr="00283806">
        <w:rPr>
          <w:rFonts w:ascii="Times New Roman"/>
          <w:w w:val="105"/>
          <w:vertAlign w:val="subscript"/>
        </w:rPr>
        <w:t>2</w:t>
      </w:r>
      <w:r w:rsidRPr="00283806">
        <w:rPr>
          <w:w w:val="105"/>
        </w:rPr>
        <w:t xml:space="preserve">e from 2026 through 2050, and the present value of economic benefits of avoiding the </w:t>
      </w:r>
      <w:proofErr w:type="gramStart"/>
      <w:r w:rsidRPr="00283806">
        <w:rPr>
          <w:w w:val="105"/>
        </w:rPr>
        <w:t>damages</w:t>
      </w:r>
      <w:proofErr w:type="gramEnd"/>
      <w:r w:rsidRPr="00283806">
        <w:rPr>
          <w:w w:val="105"/>
        </w:rPr>
        <w:t xml:space="preserve"> associated with those emissions is estimated at $8.4 billion (discounted to 2024 using a three percent discount rate).</w:t>
      </w:r>
      <w:r w:rsidRPr="00283806">
        <w:rPr>
          <w:w w:val="105"/>
          <w:position w:val="5"/>
          <w:sz w:val="11"/>
        </w:rPr>
        <w:t>178</w:t>
      </w:r>
      <w:r w:rsidRPr="00283806">
        <w:rPr>
          <w:spacing w:val="25"/>
          <w:w w:val="105"/>
          <w:position w:val="5"/>
          <w:sz w:val="11"/>
        </w:rPr>
        <w:t xml:space="preserve"> </w:t>
      </w:r>
      <w:r w:rsidRPr="00283806">
        <w:rPr>
          <w:w w:val="105"/>
        </w:rPr>
        <w:t>EPA estimates the present value</w:t>
      </w:r>
    </w:p>
    <w:p w14:paraId="36BA5B0D" w14:textId="77777777" w:rsidR="00D67C1E" w:rsidRPr="00283806" w:rsidRDefault="001265CA">
      <w:pPr>
        <w:pStyle w:val="BodyText"/>
        <w:spacing w:before="127" w:line="237" w:lineRule="auto"/>
        <w:ind w:left="150" w:right="162"/>
      </w:pPr>
      <w:r w:rsidRPr="00283806">
        <w:br w:type="column"/>
      </w:r>
      <w:r w:rsidRPr="00283806">
        <w:rPr>
          <w:w w:val="105"/>
        </w:rPr>
        <w:t>of compliance costs associated with this rulemaking to be $1.5 billion at a two percent discount rate, $1.3 billion at a three percent discount rate, or $0.9 billion at a seven percent discount rate. When including the economic benefits</w:t>
      </w:r>
      <w:r w:rsidRPr="00283806">
        <w:rPr>
          <w:spacing w:val="80"/>
          <w:w w:val="150"/>
        </w:rPr>
        <w:t xml:space="preserve"> </w:t>
      </w:r>
      <w:r w:rsidRPr="00283806">
        <w:rPr>
          <w:w w:val="105"/>
        </w:rPr>
        <w:t xml:space="preserve">of avoided climate </w:t>
      </w:r>
      <w:proofErr w:type="gramStart"/>
      <w:r w:rsidRPr="00283806">
        <w:rPr>
          <w:w w:val="105"/>
        </w:rPr>
        <w:t>damages</w:t>
      </w:r>
      <w:proofErr w:type="gramEnd"/>
      <w:r w:rsidRPr="00283806">
        <w:rPr>
          <w:w w:val="105"/>
        </w:rPr>
        <w:t>, the net benefits of the rule are therefore estimated to range from $6.9 billion</w:t>
      </w:r>
      <w:r w:rsidRPr="00283806">
        <w:rPr>
          <w:spacing w:val="80"/>
          <w:w w:val="105"/>
        </w:rPr>
        <w:t xml:space="preserve"> </w:t>
      </w:r>
      <w:r w:rsidRPr="00283806">
        <w:rPr>
          <w:w w:val="105"/>
        </w:rPr>
        <w:t>(two percent discount rate for compliance costs) to $7.5 billion (seven percent discount rate for compliance costs). These estimates are summarized in Table 5 below along with annual, undiscounted values for select years.</w:t>
      </w:r>
    </w:p>
    <w:p w14:paraId="2643C96E" w14:textId="77777777" w:rsidR="00D67C1E" w:rsidRPr="00283806" w:rsidRDefault="00D67C1E">
      <w:pPr>
        <w:spacing w:line="237" w:lineRule="auto"/>
        <w:sectPr w:rsidR="00D67C1E" w:rsidRPr="00283806">
          <w:pgSz w:w="12240" w:h="15840"/>
          <w:pgMar w:top="1040" w:right="780" w:bottom="280" w:left="740" w:header="627" w:footer="0" w:gutter="0"/>
          <w:cols w:num="3" w:space="720" w:equalWidth="0">
            <w:col w:w="3506" w:space="40"/>
            <w:col w:w="3504" w:space="39"/>
            <w:col w:w="3631"/>
          </w:cols>
        </w:sectPr>
      </w:pPr>
    </w:p>
    <w:p w14:paraId="11935449" w14:textId="77777777" w:rsidR="00D67C1E" w:rsidRPr="00283806" w:rsidRDefault="001265CA">
      <w:pPr>
        <w:spacing w:before="115" w:line="230" w:lineRule="auto"/>
        <w:ind w:left="559" w:right="42" w:hanging="322"/>
        <w:rPr>
          <w:rFonts w:ascii="Arial" w:hAnsi="Arial"/>
          <w:sz w:val="13"/>
        </w:rPr>
      </w:pPr>
      <w:r w:rsidRPr="00283806">
        <w:rPr>
          <w:rFonts w:ascii="Arial" w:hAnsi="Arial"/>
          <w:sz w:val="20"/>
        </w:rPr>
        <w:t>T</w:t>
      </w:r>
      <w:r w:rsidRPr="00283806">
        <w:rPr>
          <w:rFonts w:ascii="Arial" w:hAnsi="Arial"/>
          <w:sz w:val="16"/>
        </w:rPr>
        <w:t xml:space="preserve">ABLE </w:t>
      </w:r>
      <w:r w:rsidRPr="00283806">
        <w:rPr>
          <w:rFonts w:ascii="Arial" w:hAnsi="Arial"/>
          <w:sz w:val="20"/>
        </w:rPr>
        <w:t>5—S</w:t>
      </w:r>
      <w:r w:rsidRPr="00283806">
        <w:rPr>
          <w:rFonts w:ascii="Arial" w:hAnsi="Arial"/>
          <w:sz w:val="16"/>
        </w:rPr>
        <w:t xml:space="preserve">UMMARY OF </w:t>
      </w:r>
      <w:r w:rsidRPr="00283806">
        <w:rPr>
          <w:rFonts w:ascii="Arial" w:hAnsi="Arial"/>
          <w:sz w:val="20"/>
        </w:rPr>
        <w:t>U</w:t>
      </w:r>
      <w:r w:rsidRPr="00283806">
        <w:rPr>
          <w:rFonts w:ascii="Arial" w:hAnsi="Arial"/>
          <w:sz w:val="16"/>
        </w:rPr>
        <w:t xml:space="preserve">NDISCOUNTED </w:t>
      </w:r>
      <w:r w:rsidRPr="00283806">
        <w:rPr>
          <w:rFonts w:ascii="Arial" w:hAnsi="Arial"/>
          <w:sz w:val="20"/>
        </w:rPr>
        <w:t>A</w:t>
      </w:r>
      <w:r w:rsidRPr="00283806">
        <w:rPr>
          <w:rFonts w:ascii="Arial" w:hAnsi="Arial"/>
          <w:sz w:val="16"/>
        </w:rPr>
        <w:t xml:space="preserve">NNUAL </w:t>
      </w:r>
      <w:r w:rsidRPr="00283806">
        <w:rPr>
          <w:rFonts w:ascii="Arial" w:hAnsi="Arial"/>
          <w:sz w:val="20"/>
        </w:rPr>
        <w:t>V</w:t>
      </w:r>
      <w:r w:rsidRPr="00283806">
        <w:rPr>
          <w:rFonts w:ascii="Arial" w:hAnsi="Arial"/>
          <w:sz w:val="16"/>
        </w:rPr>
        <w:t>ALUES</w:t>
      </w:r>
      <w:r w:rsidRPr="00283806">
        <w:rPr>
          <w:rFonts w:ascii="Arial" w:hAnsi="Arial"/>
          <w:sz w:val="20"/>
        </w:rPr>
        <w:t>, P</w:t>
      </w:r>
      <w:r w:rsidRPr="00283806">
        <w:rPr>
          <w:rFonts w:ascii="Arial" w:hAnsi="Arial"/>
          <w:sz w:val="16"/>
        </w:rPr>
        <w:t xml:space="preserve">RESENT </w:t>
      </w:r>
      <w:r w:rsidRPr="00283806">
        <w:rPr>
          <w:rFonts w:ascii="Arial" w:hAnsi="Arial"/>
          <w:sz w:val="20"/>
        </w:rPr>
        <w:t>V</w:t>
      </w:r>
      <w:r w:rsidRPr="00283806">
        <w:rPr>
          <w:rFonts w:ascii="Arial" w:hAnsi="Arial"/>
          <w:sz w:val="16"/>
        </w:rPr>
        <w:t>ALUES</w:t>
      </w:r>
      <w:r w:rsidRPr="00283806">
        <w:rPr>
          <w:rFonts w:ascii="Arial" w:hAnsi="Arial"/>
          <w:sz w:val="20"/>
        </w:rPr>
        <w:t xml:space="preserve">, </w:t>
      </w:r>
      <w:r w:rsidRPr="00283806">
        <w:rPr>
          <w:rFonts w:ascii="Arial" w:hAnsi="Arial"/>
          <w:sz w:val="16"/>
        </w:rPr>
        <w:t xml:space="preserve">AND </w:t>
      </w:r>
      <w:r w:rsidRPr="00283806">
        <w:rPr>
          <w:rFonts w:ascii="Arial" w:hAnsi="Arial"/>
          <w:sz w:val="20"/>
        </w:rPr>
        <w:t>E</w:t>
      </w:r>
      <w:r w:rsidRPr="00283806">
        <w:rPr>
          <w:rFonts w:ascii="Arial" w:hAnsi="Arial"/>
          <w:sz w:val="16"/>
        </w:rPr>
        <w:t xml:space="preserve">QUIVALENT </w:t>
      </w:r>
      <w:r w:rsidRPr="00283806">
        <w:rPr>
          <w:rFonts w:ascii="Arial" w:hAnsi="Arial"/>
          <w:sz w:val="20"/>
        </w:rPr>
        <w:t>A</w:t>
      </w:r>
      <w:r w:rsidRPr="00283806">
        <w:rPr>
          <w:rFonts w:ascii="Arial" w:hAnsi="Arial"/>
          <w:sz w:val="16"/>
        </w:rPr>
        <w:t xml:space="preserve">NNUALIZED </w:t>
      </w:r>
      <w:r w:rsidRPr="00283806">
        <w:rPr>
          <w:rFonts w:ascii="Arial" w:hAnsi="Arial"/>
          <w:sz w:val="20"/>
        </w:rPr>
        <w:t>V</w:t>
      </w:r>
      <w:r w:rsidRPr="00283806">
        <w:rPr>
          <w:rFonts w:ascii="Arial" w:hAnsi="Arial"/>
          <w:sz w:val="16"/>
        </w:rPr>
        <w:t xml:space="preserve">ALUES </w:t>
      </w:r>
      <w:r w:rsidRPr="00283806">
        <w:rPr>
          <w:rFonts w:ascii="Arial" w:hAnsi="Arial"/>
          <w:sz w:val="20"/>
        </w:rPr>
        <w:t>S</w:t>
      </w:r>
      <w:r w:rsidRPr="00283806">
        <w:rPr>
          <w:rFonts w:ascii="Arial" w:hAnsi="Arial"/>
          <w:sz w:val="16"/>
        </w:rPr>
        <w:t>E</w:t>
      </w:r>
      <w:r w:rsidRPr="00283806">
        <w:rPr>
          <w:rFonts w:ascii="Arial" w:hAnsi="Arial"/>
          <w:sz w:val="20"/>
        </w:rPr>
        <w:t>-</w:t>
      </w:r>
      <w:r w:rsidRPr="00283806">
        <w:rPr>
          <w:rFonts w:ascii="Arial" w:hAnsi="Arial"/>
          <w:spacing w:val="40"/>
          <w:sz w:val="20"/>
        </w:rPr>
        <w:t xml:space="preserve"> </w:t>
      </w:r>
      <w:r w:rsidRPr="00283806">
        <w:rPr>
          <w:rFonts w:ascii="Arial" w:hAnsi="Arial"/>
          <w:sz w:val="16"/>
        </w:rPr>
        <w:t>LECT</w:t>
      </w:r>
      <w:r w:rsidRPr="00283806">
        <w:rPr>
          <w:rFonts w:ascii="Arial" w:hAnsi="Arial"/>
          <w:spacing w:val="35"/>
          <w:sz w:val="16"/>
        </w:rPr>
        <w:t xml:space="preserve"> </w:t>
      </w:r>
      <w:r w:rsidRPr="00283806">
        <w:rPr>
          <w:rFonts w:ascii="Arial" w:hAnsi="Arial"/>
          <w:sz w:val="20"/>
        </w:rPr>
        <w:t>Y</w:t>
      </w:r>
      <w:r w:rsidRPr="00283806">
        <w:rPr>
          <w:rFonts w:ascii="Arial" w:hAnsi="Arial"/>
          <w:sz w:val="16"/>
        </w:rPr>
        <w:t>EARS</w:t>
      </w:r>
      <w:r w:rsidRPr="00283806">
        <w:rPr>
          <w:rFonts w:ascii="Arial" w:hAnsi="Arial"/>
          <w:spacing w:val="35"/>
          <w:sz w:val="16"/>
        </w:rPr>
        <w:t xml:space="preserve"> </w:t>
      </w:r>
      <w:r w:rsidRPr="00283806">
        <w:rPr>
          <w:rFonts w:ascii="Arial" w:hAnsi="Arial"/>
          <w:sz w:val="16"/>
        </w:rPr>
        <w:t>FOR</w:t>
      </w:r>
      <w:r w:rsidRPr="00283806">
        <w:rPr>
          <w:rFonts w:ascii="Arial" w:hAnsi="Arial"/>
          <w:spacing w:val="35"/>
          <w:sz w:val="16"/>
        </w:rPr>
        <w:t xml:space="preserve"> </w:t>
      </w:r>
      <w:r w:rsidRPr="00283806">
        <w:rPr>
          <w:rFonts w:ascii="Arial" w:hAnsi="Arial"/>
          <w:sz w:val="16"/>
        </w:rPr>
        <w:t>THE</w:t>
      </w:r>
      <w:r w:rsidRPr="00283806">
        <w:rPr>
          <w:rFonts w:ascii="Arial" w:hAnsi="Arial"/>
          <w:spacing w:val="35"/>
          <w:sz w:val="16"/>
        </w:rPr>
        <w:t xml:space="preserve"> </w:t>
      </w:r>
      <w:r w:rsidRPr="00283806">
        <w:rPr>
          <w:rFonts w:ascii="Arial" w:hAnsi="Arial"/>
          <w:sz w:val="20"/>
        </w:rPr>
        <w:t>2026</w:t>
      </w:r>
      <w:r w:rsidRPr="00283806">
        <w:rPr>
          <w:rFonts w:ascii="Arial" w:hAnsi="Arial"/>
          <w:spacing w:val="25"/>
          <w:sz w:val="20"/>
        </w:rPr>
        <w:t xml:space="preserve"> </w:t>
      </w:r>
      <w:r w:rsidRPr="00283806">
        <w:rPr>
          <w:rFonts w:ascii="Arial" w:hAnsi="Arial"/>
          <w:sz w:val="20"/>
        </w:rPr>
        <w:t>T</w:t>
      </w:r>
      <w:r w:rsidRPr="00283806">
        <w:rPr>
          <w:rFonts w:ascii="Arial" w:hAnsi="Arial"/>
          <w:sz w:val="16"/>
        </w:rPr>
        <w:t>HROUGH</w:t>
      </w:r>
      <w:r w:rsidRPr="00283806">
        <w:rPr>
          <w:rFonts w:ascii="Arial" w:hAnsi="Arial"/>
          <w:spacing w:val="35"/>
          <w:sz w:val="16"/>
        </w:rPr>
        <w:t xml:space="preserve"> </w:t>
      </w:r>
      <w:r w:rsidRPr="00283806">
        <w:rPr>
          <w:rFonts w:ascii="Arial" w:hAnsi="Arial"/>
          <w:sz w:val="20"/>
        </w:rPr>
        <w:t>2050</w:t>
      </w:r>
      <w:r w:rsidRPr="00283806">
        <w:rPr>
          <w:rFonts w:ascii="Arial" w:hAnsi="Arial"/>
          <w:spacing w:val="25"/>
          <w:sz w:val="20"/>
        </w:rPr>
        <w:t xml:space="preserve"> </w:t>
      </w:r>
      <w:r w:rsidRPr="00283806">
        <w:rPr>
          <w:rFonts w:ascii="Arial" w:hAnsi="Arial"/>
          <w:sz w:val="20"/>
        </w:rPr>
        <w:t>T</w:t>
      </w:r>
      <w:r w:rsidRPr="00283806">
        <w:rPr>
          <w:rFonts w:ascii="Arial" w:hAnsi="Arial"/>
          <w:sz w:val="16"/>
        </w:rPr>
        <w:t>IMEFRAME</w:t>
      </w:r>
      <w:r w:rsidRPr="00283806">
        <w:rPr>
          <w:rFonts w:ascii="Arial" w:hAnsi="Arial"/>
          <w:spacing w:val="35"/>
          <w:sz w:val="16"/>
        </w:rPr>
        <w:t xml:space="preserve"> </w:t>
      </w:r>
      <w:r w:rsidRPr="00283806">
        <w:rPr>
          <w:rFonts w:ascii="Arial" w:hAnsi="Arial"/>
          <w:sz w:val="16"/>
        </w:rPr>
        <w:t>FOR</w:t>
      </w:r>
      <w:r w:rsidRPr="00283806">
        <w:rPr>
          <w:rFonts w:ascii="Arial" w:hAnsi="Arial"/>
          <w:spacing w:val="35"/>
          <w:sz w:val="16"/>
        </w:rPr>
        <w:t xml:space="preserve"> </w:t>
      </w:r>
      <w:r w:rsidRPr="00283806">
        <w:rPr>
          <w:rFonts w:ascii="Arial" w:hAnsi="Arial"/>
          <w:sz w:val="20"/>
        </w:rPr>
        <w:t>E</w:t>
      </w:r>
      <w:r w:rsidRPr="00283806">
        <w:rPr>
          <w:rFonts w:ascii="Arial" w:hAnsi="Arial"/>
          <w:sz w:val="16"/>
        </w:rPr>
        <w:t>STIMATED</w:t>
      </w:r>
      <w:r w:rsidRPr="00283806">
        <w:rPr>
          <w:rFonts w:ascii="Arial" w:hAnsi="Arial"/>
          <w:spacing w:val="35"/>
          <w:sz w:val="16"/>
        </w:rPr>
        <w:t xml:space="preserve"> </w:t>
      </w:r>
      <w:r w:rsidRPr="00283806">
        <w:rPr>
          <w:rFonts w:ascii="Arial" w:hAnsi="Arial"/>
          <w:sz w:val="20"/>
        </w:rPr>
        <w:t>C</w:t>
      </w:r>
      <w:r w:rsidRPr="00283806">
        <w:rPr>
          <w:rFonts w:ascii="Arial" w:hAnsi="Arial"/>
          <w:sz w:val="16"/>
        </w:rPr>
        <w:t>OMPLIANCE</w:t>
      </w:r>
      <w:r w:rsidRPr="00283806">
        <w:rPr>
          <w:rFonts w:ascii="Arial" w:hAnsi="Arial"/>
          <w:spacing w:val="35"/>
          <w:sz w:val="16"/>
        </w:rPr>
        <w:t xml:space="preserve"> </w:t>
      </w:r>
      <w:r w:rsidRPr="00283806">
        <w:rPr>
          <w:rFonts w:ascii="Arial" w:hAnsi="Arial"/>
          <w:sz w:val="20"/>
        </w:rPr>
        <w:t>C</w:t>
      </w:r>
      <w:r w:rsidRPr="00283806">
        <w:rPr>
          <w:rFonts w:ascii="Arial" w:hAnsi="Arial"/>
          <w:sz w:val="16"/>
        </w:rPr>
        <w:t>OSTS</w:t>
      </w:r>
      <w:r w:rsidRPr="00283806">
        <w:rPr>
          <w:rFonts w:ascii="Arial" w:hAnsi="Arial"/>
          <w:sz w:val="20"/>
        </w:rPr>
        <w:t>,</w:t>
      </w:r>
      <w:r w:rsidRPr="00283806">
        <w:rPr>
          <w:rFonts w:ascii="Arial" w:hAnsi="Arial"/>
          <w:spacing w:val="25"/>
          <w:sz w:val="20"/>
        </w:rPr>
        <w:t xml:space="preserve"> </w:t>
      </w:r>
      <w:r w:rsidRPr="00283806">
        <w:rPr>
          <w:rFonts w:ascii="Arial" w:hAnsi="Arial"/>
          <w:sz w:val="20"/>
        </w:rPr>
        <w:t>B</w:t>
      </w:r>
      <w:r w:rsidRPr="00283806">
        <w:rPr>
          <w:rFonts w:ascii="Arial" w:hAnsi="Arial"/>
          <w:sz w:val="16"/>
        </w:rPr>
        <w:t>ENEFITS</w:t>
      </w:r>
      <w:r w:rsidRPr="00283806">
        <w:rPr>
          <w:rFonts w:ascii="Arial" w:hAnsi="Arial"/>
          <w:sz w:val="20"/>
        </w:rPr>
        <w:t>,</w:t>
      </w:r>
      <w:r w:rsidRPr="00283806">
        <w:rPr>
          <w:rFonts w:ascii="Arial" w:hAnsi="Arial"/>
          <w:spacing w:val="25"/>
          <w:sz w:val="20"/>
        </w:rPr>
        <w:t xml:space="preserve"> </w:t>
      </w:r>
      <w:r w:rsidRPr="00283806">
        <w:rPr>
          <w:rFonts w:ascii="Arial" w:hAnsi="Arial"/>
          <w:sz w:val="16"/>
        </w:rPr>
        <w:t>AND</w:t>
      </w:r>
      <w:r w:rsidRPr="00283806">
        <w:rPr>
          <w:rFonts w:ascii="Arial" w:hAnsi="Arial"/>
          <w:spacing w:val="35"/>
          <w:sz w:val="16"/>
        </w:rPr>
        <w:t xml:space="preserve"> </w:t>
      </w:r>
      <w:r w:rsidRPr="00283806">
        <w:rPr>
          <w:rFonts w:ascii="Arial" w:hAnsi="Arial"/>
          <w:sz w:val="20"/>
        </w:rPr>
        <w:t>N</w:t>
      </w:r>
      <w:r w:rsidRPr="00283806">
        <w:rPr>
          <w:rFonts w:ascii="Arial" w:hAnsi="Arial"/>
          <w:sz w:val="16"/>
        </w:rPr>
        <w:t xml:space="preserve">ET </w:t>
      </w:r>
      <w:r w:rsidRPr="00283806">
        <w:rPr>
          <w:rFonts w:ascii="Arial" w:hAnsi="Arial"/>
          <w:sz w:val="20"/>
        </w:rPr>
        <w:t>B</w:t>
      </w:r>
      <w:r w:rsidRPr="00283806">
        <w:rPr>
          <w:rFonts w:ascii="Arial" w:hAnsi="Arial"/>
          <w:sz w:val="16"/>
        </w:rPr>
        <w:t>ENEFITS</w:t>
      </w:r>
      <w:r w:rsidRPr="00283806">
        <w:rPr>
          <w:rFonts w:ascii="Arial" w:hAnsi="Arial"/>
          <w:spacing w:val="40"/>
          <w:sz w:val="16"/>
        </w:rPr>
        <w:t xml:space="preserve"> </w:t>
      </w:r>
      <w:r w:rsidRPr="00283806">
        <w:rPr>
          <w:rFonts w:ascii="Arial" w:hAnsi="Arial"/>
          <w:sz w:val="16"/>
        </w:rPr>
        <w:t>FOR</w:t>
      </w:r>
      <w:r w:rsidRPr="00283806">
        <w:rPr>
          <w:rFonts w:ascii="Arial" w:hAnsi="Arial"/>
          <w:spacing w:val="40"/>
          <w:sz w:val="16"/>
        </w:rPr>
        <w:t xml:space="preserve"> </w:t>
      </w:r>
      <w:r w:rsidRPr="00283806">
        <w:rPr>
          <w:rFonts w:ascii="Arial" w:hAnsi="Arial"/>
          <w:sz w:val="16"/>
        </w:rPr>
        <w:t>THE</w:t>
      </w:r>
      <w:r w:rsidRPr="00283806">
        <w:rPr>
          <w:rFonts w:ascii="Arial" w:hAnsi="Arial"/>
          <w:spacing w:val="40"/>
          <w:sz w:val="16"/>
        </w:rPr>
        <w:t xml:space="preserve"> </w:t>
      </w:r>
      <w:r w:rsidRPr="00283806">
        <w:rPr>
          <w:rFonts w:ascii="Arial" w:hAnsi="Arial"/>
          <w:sz w:val="20"/>
        </w:rPr>
        <w:t>ER&amp;R R</w:t>
      </w:r>
      <w:r w:rsidRPr="00283806">
        <w:rPr>
          <w:rFonts w:ascii="Arial" w:hAnsi="Arial"/>
          <w:sz w:val="16"/>
        </w:rPr>
        <w:t>ULE</w:t>
      </w:r>
      <w:r w:rsidRPr="00283806">
        <w:rPr>
          <w:rFonts w:ascii="Arial" w:hAnsi="Arial"/>
          <w:spacing w:val="40"/>
          <w:sz w:val="16"/>
        </w:rPr>
        <w:t xml:space="preserve"> </w:t>
      </w:r>
      <w:r w:rsidRPr="00283806">
        <w:rPr>
          <w:rFonts w:ascii="Arial" w:hAnsi="Arial"/>
          <w:sz w:val="20"/>
        </w:rPr>
        <w:t>(M</w:t>
      </w:r>
      <w:r w:rsidRPr="00283806">
        <w:rPr>
          <w:rFonts w:ascii="Arial" w:hAnsi="Arial"/>
          <w:sz w:val="16"/>
        </w:rPr>
        <w:t>ILLIONS</w:t>
      </w:r>
      <w:r w:rsidRPr="00283806">
        <w:rPr>
          <w:rFonts w:ascii="Arial" w:hAnsi="Arial"/>
          <w:spacing w:val="40"/>
          <w:sz w:val="16"/>
        </w:rPr>
        <w:t xml:space="preserve"> </w:t>
      </w:r>
      <w:r w:rsidRPr="00283806">
        <w:rPr>
          <w:rFonts w:ascii="Arial" w:hAnsi="Arial"/>
          <w:sz w:val="16"/>
        </w:rPr>
        <w:t>OF</w:t>
      </w:r>
      <w:r w:rsidRPr="00283806">
        <w:rPr>
          <w:rFonts w:ascii="Arial" w:hAnsi="Arial"/>
          <w:spacing w:val="40"/>
          <w:sz w:val="16"/>
        </w:rPr>
        <w:t xml:space="preserve"> </w:t>
      </w:r>
      <w:r w:rsidRPr="00283806">
        <w:rPr>
          <w:rFonts w:ascii="Arial" w:hAnsi="Arial"/>
          <w:sz w:val="20"/>
        </w:rPr>
        <w:t>2022$, D</w:t>
      </w:r>
      <w:r w:rsidRPr="00283806">
        <w:rPr>
          <w:rFonts w:ascii="Arial" w:hAnsi="Arial"/>
          <w:sz w:val="16"/>
        </w:rPr>
        <w:t>ISCOUNTED</w:t>
      </w:r>
      <w:r w:rsidRPr="00283806">
        <w:rPr>
          <w:rFonts w:ascii="Arial" w:hAnsi="Arial"/>
          <w:spacing w:val="40"/>
          <w:sz w:val="16"/>
        </w:rPr>
        <w:t xml:space="preserve"> </w:t>
      </w:r>
      <w:r w:rsidRPr="00283806">
        <w:rPr>
          <w:rFonts w:ascii="Arial" w:hAnsi="Arial"/>
          <w:sz w:val="16"/>
        </w:rPr>
        <w:t>TO</w:t>
      </w:r>
      <w:r w:rsidRPr="00283806">
        <w:rPr>
          <w:rFonts w:ascii="Arial" w:hAnsi="Arial"/>
          <w:spacing w:val="40"/>
          <w:sz w:val="16"/>
        </w:rPr>
        <w:t xml:space="preserve"> </w:t>
      </w:r>
      <w:r w:rsidRPr="00283806">
        <w:rPr>
          <w:rFonts w:ascii="Arial" w:hAnsi="Arial"/>
          <w:sz w:val="20"/>
        </w:rPr>
        <w:t>2024)—B</w:t>
      </w:r>
      <w:r w:rsidRPr="00283806">
        <w:rPr>
          <w:rFonts w:ascii="Arial" w:hAnsi="Arial"/>
          <w:sz w:val="16"/>
        </w:rPr>
        <w:t>ASE</w:t>
      </w:r>
      <w:r w:rsidRPr="00283806">
        <w:rPr>
          <w:rFonts w:ascii="Arial" w:hAnsi="Arial"/>
          <w:spacing w:val="40"/>
          <w:sz w:val="16"/>
        </w:rPr>
        <w:t xml:space="preserve"> </w:t>
      </w:r>
      <w:r w:rsidRPr="00283806">
        <w:rPr>
          <w:rFonts w:ascii="Arial" w:hAnsi="Arial"/>
          <w:sz w:val="20"/>
        </w:rPr>
        <w:t>C</w:t>
      </w:r>
      <w:r w:rsidRPr="00283806">
        <w:rPr>
          <w:rFonts w:ascii="Arial" w:hAnsi="Arial"/>
          <w:sz w:val="16"/>
        </w:rPr>
        <w:t>ASE</w:t>
      </w:r>
      <w:r w:rsidRPr="00283806">
        <w:rPr>
          <w:rFonts w:ascii="Arial" w:hAnsi="Arial"/>
          <w:spacing w:val="40"/>
          <w:sz w:val="16"/>
        </w:rPr>
        <w:t xml:space="preserve"> </w:t>
      </w:r>
      <w:r w:rsidRPr="00283806">
        <w:rPr>
          <w:rFonts w:ascii="Arial" w:hAnsi="Arial"/>
          <w:sz w:val="20"/>
        </w:rPr>
        <w:t>S</w:t>
      </w:r>
      <w:r w:rsidRPr="00283806">
        <w:rPr>
          <w:rFonts w:ascii="Arial" w:hAnsi="Arial"/>
          <w:sz w:val="16"/>
        </w:rPr>
        <w:t>CENARIO</w:t>
      </w:r>
      <w:r w:rsidRPr="00283806">
        <w:rPr>
          <w:rFonts w:ascii="Arial" w:hAnsi="Arial"/>
          <w:spacing w:val="-1"/>
          <w:sz w:val="16"/>
        </w:rPr>
        <w:t xml:space="preserve"> </w:t>
      </w:r>
      <w:proofErr w:type="spellStart"/>
      <w:r w:rsidRPr="00283806">
        <w:rPr>
          <w:rFonts w:ascii="Arial" w:hAnsi="Arial"/>
          <w:spacing w:val="28"/>
          <w:position w:val="5"/>
          <w:sz w:val="13"/>
        </w:rPr>
        <w:t>abcdefg</w:t>
      </w:r>
      <w:proofErr w:type="spellEnd"/>
      <w:r w:rsidRPr="00283806">
        <w:rPr>
          <w:rFonts w:ascii="Arial" w:hAnsi="Arial"/>
          <w:spacing w:val="28"/>
          <w:position w:val="5"/>
          <w:sz w:val="13"/>
        </w:rPr>
        <w:t xml:space="preserve"> </w:t>
      </w:r>
    </w:p>
    <w:p w14:paraId="5C152765" w14:textId="77777777" w:rsidR="00D67C1E" w:rsidRPr="00283806" w:rsidRDefault="00D67C1E">
      <w:pPr>
        <w:pStyle w:val="BodyText"/>
        <w:spacing w:before="5"/>
        <w:ind w:left="0"/>
        <w:rPr>
          <w:rFonts w:ascii="Arial"/>
          <w:sz w:val="8"/>
        </w:rPr>
      </w:pPr>
    </w:p>
    <w:tbl>
      <w:tblPr>
        <w:tblW w:w="0" w:type="auto"/>
        <w:tblInd w:w="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72"/>
        <w:gridCol w:w="934"/>
        <w:gridCol w:w="934"/>
        <w:gridCol w:w="934"/>
        <w:gridCol w:w="934"/>
        <w:gridCol w:w="934"/>
        <w:gridCol w:w="934"/>
        <w:gridCol w:w="862"/>
      </w:tblGrid>
      <w:tr w:rsidR="00D67C1E" w:rsidRPr="00283806" w14:paraId="517128E7" w14:textId="77777777">
        <w:trPr>
          <w:trHeight w:val="439"/>
        </w:trPr>
        <w:tc>
          <w:tcPr>
            <w:tcW w:w="3972" w:type="dxa"/>
            <w:tcBorders>
              <w:left w:val="nil"/>
            </w:tcBorders>
          </w:tcPr>
          <w:p w14:paraId="32953458" w14:textId="77777777" w:rsidR="00D67C1E" w:rsidRPr="00283806" w:rsidRDefault="001265CA">
            <w:pPr>
              <w:pStyle w:val="TableParagraph"/>
              <w:spacing w:before="75" w:line="240" w:lineRule="auto"/>
              <w:ind w:left="1" w:right="60"/>
              <w:rPr>
                <w:sz w:val="14"/>
              </w:rPr>
            </w:pPr>
            <w:r w:rsidRPr="00283806">
              <w:rPr>
                <w:spacing w:val="-4"/>
                <w:sz w:val="14"/>
              </w:rPr>
              <w:t>Year</w:t>
            </w:r>
          </w:p>
        </w:tc>
        <w:tc>
          <w:tcPr>
            <w:tcW w:w="934" w:type="dxa"/>
          </w:tcPr>
          <w:p w14:paraId="2105E7F7" w14:textId="77777777" w:rsidR="00D67C1E" w:rsidRPr="00283806" w:rsidRDefault="001265CA">
            <w:pPr>
              <w:pStyle w:val="TableParagraph"/>
              <w:spacing w:before="92" w:line="208" w:lineRule="auto"/>
              <w:ind w:left="217" w:right="212" w:firstLine="7"/>
              <w:jc w:val="left"/>
              <w:rPr>
                <w:sz w:val="14"/>
              </w:rPr>
            </w:pPr>
            <w:r w:rsidRPr="00283806">
              <w:rPr>
                <w:spacing w:val="-2"/>
                <w:sz w:val="14"/>
              </w:rPr>
              <w:t>Climate</w:t>
            </w:r>
            <w:r w:rsidRPr="00283806">
              <w:rPr>
                <w:spacing w:val="40"/>
                <w:sz w:val="14"/>
              </w:rPr>
              <w:t xml:space="preserve"> </w:t>
            </w:r>
            <w:r w:rsidRPr="00283806">
              <w:rPr>
                <w:spacing w:val="-2"/>
                <w:sz w:val="14"/>
              </w:rPr>
              <w:t>benefits</w:t>
            </w:r>
          </w:p>
        </w:tc>
        <w:tc>
          <w:tcPr>
            <w:tcW w:w="2802" w:type="dxa"/>
            <w:gridSpan w:val="3"/>
          </w:tcPr>
          <w:p w14:paraId="7AA0B9F5" w14:textId="77777777" w:rsidR="00D67C1E" w:rsidRPr="00283806" w:rsidRDefault="001265CA">
            <w:pPr>
              <w:pStyle w:val="TableParagraph"/>
              <w:spacing w:before="75" w:line="240" w:lineRule="auto"/>
              <w:ind w:left="2"/>
              <w:rPr>
                <w:sz w:val="14"/>
              </w:rPr>
            </w:pPr>
            <w:r w:rsidRPr="00283806">
              <w:rPr>
                <w:spacing w:val="-2"/>
                <w:sz w:val="14"/>
              </w:rPr>
              <w:t>Costs</w:t>
            </w:r>
          </w:p>
        </w:tc>
        <w:tc>
          <w:tcPr>
            <w:tcW w:w="2730" w:type="dxa"/>
            <w:gridSpan w:val="3"/>
            <w:tcBorders>
              <w:right w:val="nil"/>
            </w:tcBorders>
          </w:tcPr>
          <w:p w14:paraId="030AD3EF" w14:textId="77777777" w:rsidR="00D67C1E" w:rsidRPr="00283806" w:rsidRDefault="001265CA">
            <w:pPr>
              <w:pStyle w:val="TableParagraph"/>
              <w:spacing w:before="75" w:line="240" w:lineRule="auto"/>
              <w:ind w:left="71"/>
              <w:rPr>
                <w:sz w:val="14"/>
              </w:rPr>
            </w:pPr>
            <w:r w:rsidRPr="00283806">
              <w:rPr>
                <w:sz w:val="14"/>
              </w:rPr>
              <w:t>Net</w:t>
            </w:r>
            <w:r w:rsidRPr="00283806">
              <w:rPr>
                <w:spacing w:val="4"/>
                <w:sz w:val="14"/>
              </w:rPr>
              <w:t xml:space="preserve"> </w:t>
            </w:r>
            <w:r w:rsidRPr="00283806">
              <w:rPr>
                <w:spacing w:val="-2"/>
                <w:sz w:val="14"/>
              </w:rPr>
              <w:t>benefits</w:t>
            </w:r>
          </w:p>
        </w:tc>
      </w:tr>
      <w:tr w:rsidR="00D67C1E" w:rsidRPr="00283806" w14:paraId="41FF6888" w14:textId="77777777">
        <w:trPr>
          <w:trHeight w:val="235"/>
        </w:trPr>
        <w:tc>
          <w:tcPr>
            <w:tcW w:w="3972" w:type="dxa"/>
            <w:tcBorders>
              <w:left w:val="nil"/>
              <w:bottom w:val="nil"/>
            </w:tcBorders>
          </w:tcPr>
          <w:p w14:paraId="7D3AFEC8" w14:textId="77777777" w:rsidR="00D67C1E" w:rsidRPr="00283806" w:rsidRDefault="001265CA">
            <w:pPr>
              <w:pStyle w:val="TableParagraph"/>
              <w:spacing w:before="73" w:line="142" w:lineRule="exact"/>
              <w:ind w:left="1" w:right="60"/>
              <w:rPr>
                <w:sz w:val="14"/>
              </w:rPr>
            </w:pPr>
            <w:r w:rsidRPr="00283806">
              <w:rPr>
                <w:sz w:val="14"/>
              </w:rPr>
              <w:t>2026</w:t>
            </w:r>
            <w:r w:rsidRPr="00283806">
              <w:rPr>
                <w:spacing w:val="60"/>
                <w:sz w:val="14"/>
              </w:rPr>
              <w:t xml:space="preserve"> </w:t>
            </w:r>
            <w:r w:rsidRPr="00283806">
              <w:rPr>
                <w:spacing w:val="-2"/>
                <w:sz w:val="14"/>
              </w:rPr>
              <w:t>..........................................................................................</w:t>
            </w:r>
          </w:p>
        </w:tc>
        <w:tc>
          <w:tcPr>
            <w:tcW w:w="934" w:type="dxa"/>
            <w:tcBorders>
              <w:bottom w:val="nil"/>
            </w:tcBorders>
          </w:tcPr>
          <w:p w14:paraId="5B4D3FD5" w14:textId="77777777" w:rsidR="00D67C1E" w:rsidRPr="00283806" w:rsidRDefault="001265CA">
            <w:pPr>
              <w:pStyle w:val="TableParagraph"/>
              <w:spacing w:before="73" w:line="142" w:lineRule="exact"/>
              <w:ind w:right="65"/>
              <w:jc w:val="right"/>
              <w:rPr>
                <w:sz w:val="14"/>
              </w:rPr>
            </w:pPr>
            <w:r w:rsidRPr="00283806">
              <w:rPr>
                <w:spacing w:val="-4"/>
                <w:sz w:val="14"/>
              </w:rPr>
              <w:t>$428</w:t>
            </w:r>
          </w:p>
        </w:tc>
        <w:tc>
          <w:tcPr>
            <w:tcW w:w="2802" w:type="dxa"/>
            <w:gridSpan w:val="3"/>
            <w:tcBorders>
              <w:bottom w:val="nil"/>
            </w:tcBorders>
          </w:tcPr>
          <w:p w14:paraId="3D96ADEA" w14:textId="77777777" w:rsidR="00D67C1E" w:rsidRPr="00283806" w:rsidRDefault="001265CA">
            <w:pPr>
              <w:pStyle w:val="TableParagraph"/>
              <w:spacing w:before="73" w:line="142" w:lineRule="exact"/>
              <w:ind w:left="2" w:right="1"/>
              <w:rPr>
                <w:sz w:val="14"/>
              </w:rPr>
            </w:pPr>
            <w:r w:rsidRPr="00283806">
              <w:rPr>
                <w:spacing w:val="-5"/>
                <w:sz w:val="14"/>
              </w:rPr>
              <w:t>$92</w:t>
            </w:r>
          </w:p>
        </w:tc>
        <w:tc>
          <w:tcPr>
            <w:tcW w:w="2730" w:type="dxa"/>
            <w:gridSpan w:val="3"/>
            <w:tcBorders>
              <w:bottom w:val="nil"/>
              <w:right w:val="nil"/>
            </w:tcBorders>
          </w:tcPr>
          <w:p w14:paraId="589AB430" w14:textId="77777777" w:rsidR="00D67C1E" w:rsidRPr="00283806" w:rsidRDefault="001265CA">
            <w:pPr>
              <w:pStyle w:val="TableParagraph"/>
              <w:spacing w:before="73" w:line="142" w:lineRule="exact"/>
              <w:ind w:left="71"/>
              <w:rPr>
                <w:sz w:val="14"/>
              </w:rPr>
            </w:pPr>
            <w:r w:rsidRPr="00283806">
              <w:rPr>
                <w:spacing w:val="-4"/>
                <w:sz w:val="14"/>
              </w:rPr>
              <w:t>$336</w:t>
            </w:r>
          </w:p>
        </w:tc>
      </w:tr>
      <w:tr w:rsidR="00D67C1E" w:rsidRPr="00283806" w14:paraId="3023020C" w14:textId="77777777">
        <w:trPr>
          <w:trHeight w:val="159"/>
        </w:trPr>
        <w:tc>
          <w:tcPr>
            <w:tcW w:w="3972" w:type="dxa"/>
            <w:tcBorders>
              <w:top w:val="nil"/>
              <w:left w:val="nil"/>
              <w:bottom w:val="nil"/>
            </w:tcBorders>
          </w:tcPr>
          <w:p w14:paraId="7E5A141A" w14:textId="77777777" w:rsidR="00D67C1E" w:rsidRPr="00283806" w:rsidRDefault="001265CA">
            <w:pPr>
              <w:pStyle w:val="TableParagraph"/>
              <w:spacing w:line="140" w:lineRule="exact"/>
              <w:ind w:left="1" w:right="60"/>
              <w:rPr>
                <w:sz w:val="14"/>
              </w:rPr>
            </w:pPr>
            <w:r w:rsidRPr="00283806">
              <w:rPr>
                <w:sz w:val="14"/>
              </w:rPr>
              <w:t>2030</w:t>
            </w:r>
            <w:r w:rsidRPr="00283806">
              <w:rPr>
                <w:spacing w:val="60"/>
                <w:sz w:val="14"/>
              </w:rPr>
              <w:t xml:space="preserve"> </w:t>
            </w:r>
            <w:r w:rsidRPr="00283806">
              <w:rPr>
                <w:spacing w:val="-2"/>
                <w:sz w:val="14"/>
              </w:rPr>
              <w:t>..........................................................................................</w:t>
            </w:r>
          </w:p>
        </w:tc>
        <w:tc>
          <w:tcPr>
            <w:tcW w:w="934" w:type="dxa"/>
            <w:tcBorders>
              <w:top w:val="nil"/>
              <w:bottom w:val="nil"/>
            </w:tcBorders>
          </w:tcPr>
          <w:p w14:paraId="60C21C75" w14:textId="77777777" w:rsidR="00D67C1E" w:rsidRPr="00283806" w:rsidRDefault="001265CA">
            <w:pPr>
              <w:pStyle w:val="TableParagraph"/>
              <w:spacing w:line="140" w:lineRule="exact"/>
              <w:ind w:right="65"/>
              <w:jc w:val="right"/>
              <w:rPr>
                <w:sz w:val="14"/>
              </w:rPr>
            </w:pPr>
            <w:r w:rsidRPr="00283806">
              <w:rPr>
                <w:spacing w:val="-5"/>
                <w:sz w:val="14"/>
              </w:rPr>
              <w:t>676</w:t>
            </w:r>
          </w:p>
        </w:tc>
        <w:tc>
          <w:tcPr>
            <w:tcW w:w="2802" w:type="dxa"/>
            <w:gridSpan w:val="3"/>
            <w:tcBorders>
              <w:top w:val="nil"/>
              <w:bottom w:val="nil"/>
            </w:tcBorders>
          </w:tcPr>
          <w:p w14:paraId="11CAADD1" w14:textId="77777777" w:rsidR="00D67C1E" w:rsidRPr="00283806" w:rsidRDefault="001265CA">
            <w:pPr>
              <w:pStyle w:val="TableParagraph"/>
              <w:spacing w:line="140" w:lineRule="exact"/>
              <w:ind w:left="2" w:right="1"/>
              <w:rPr>
                <w:sz w:val="14"/>
              </w:rPr>
            </w:pPr>
            <w:r w:rsidRPr="00283806">
              <w:rPr>
                <w:spacing w:val="-5"/>
                <w:sz w:val="14"/>
              </w:rPr>
              <w:t>102</w:t>
            </w:r>
          </w:p>
        </w:tc>
        <w:tc>
          <w:tcPr>
            <w:tcW w:w="2730" w:type="dxa"/>
            <w:gridSpan w:val="3"/>
            <w:tcBorders>
              <w:top w:val="nil"/>
              <w:bottom w:val="nil"/>
              <w:right w:val="nil"/>
            </w:tcBorders>
          </w:tcPr>
          <w:p w14:paraId="277AE153" w14:textId="77777777" w:rsidR="00D67C1E" w:rsidRPr="00283806" w:rsidRDefault="001265CA">
            <w:pPr>
              <w:pStyle w:val="TableParagraph"/>
              <w:spacing w:line="140" w:lineRule="exact"/>
              <w:ind w:left="71"/>
              <w:rPr>
                <w:sz w:val="14"/>
              </w:rPr>
            </w:pPr>
            <w:r w:rsidRPr="00283806">
              <w:rPr>
                <w:spacing w:val="-5"/>
                <w:sz w:val="14"/>
              </w:rPr>
              <w:t>574</w:t>
            </w:r>
          </w:p>
        </w:tc>
      </w:tr>
      <w:tr w:rsidR="00D67C1E" w:rsidRPr="00283806" w14:paraId="3B32B667" w14:textId="77777777">
        <w:trPr>
          <w:trHeight w:val="160"/>
        </w:trPr>
        <w:tc>
          <w:tcPr>
            <w:tcW w:w="3972" w:type="dxa"/>
            <w:tcBorders>
              <w:top w:val="nil"/>
              <w:left w:val="nil"/>
              <w:bottom w:val="nil"/>
            </w:tcBorders>
          </w:tcPr>
          <w:p w14:paraId="4A12587B" w14:textId="77777777" w:rsidR="00D67C1E" w:rsidRPr="00283806" w:rsidRDefault="001265CA">
            <w:pPr>
              <w:pStyle w:val="TableParagraph"/>
              <w:spacing w:line="140" w:lineRule="exact"/>
              <w:ind w:left="1" w:right="60"/>
              <w:rPr>
                <w:sz w:val="14"/>
              </w:rPr>
            </w:pPr>
            <w:r w:rsidRPr="00283806">
              <w:rPr>
                <w:sz w:val="14"/>
              </w:rPr>
              <w:t>2035</w:t>
            </w:r>
            <w:r w:rsidRPr="00283806">
              <w:rPr>
                <w:spacing w:val="60"/>
                <w:sz w:val="14"/>
              </w:rPr>
              <w:t xml:space="preserve"> </w:t>
            </w:r>
            <w:r w:rsidRPr="00283806">
              <w:rPr>
                <w:spacing w:val="-2"/>
                <w:sz w:val="14"/>
              </w:rPr>
              <w:t>..........................................................................................</w:t>
            </w:r>
          </w:p>
        </w:tc>
        <w:tc>
          <w:tcPr>
            <w:tcW w:w="934" w:type="dxa"/>
            <w:tcBorders>
              <w:top w:val="nil"/>
              <w:bottom w:val="nil"/>
            </w:tcBorders>
          </w:tcPr>
          <w:p w14:paraId="3CD94385" w14:textId="77777777" w:rsidR="00D67C1E" w:rsidRPr="00283806" w:rsidRDefault="001265CA">
            <w:pPr>
              <w:pStyle w:val="TableParagraph"/>
              <w:spacing w:line="140" w:lineRule="exact"/>
              <w:ind w:right="65"/>
              <w:jc w:val="right"/>
              <w:rPr>
                <w:sz w:val="14"/>
              </w:rPr>
            </w:pPr>
            <w:r w:rsidRPr="00283806">
              <w:rPr>
                <w:spacing w:val="-5"/>
                <w:sz w:val="14"/>
              </w:rPr>
              <w:t>613</w:t>
            </w:r>
          </w:p>
        </w:tc>
        <w:tc>
          <w:tcPr>
            <w:tcW w:w="2802" w:type="dxa"/>
            <w:gridSpan w:val="3"/>
            <w:tcBorders>
              <w:top w:val="nil"/>
              <w:bottom w:val="nil"/>
            </w:tcBorders>
          </w:tcPr>
          <w:p w14:paraId="7600212D" w14:textId="77777777" w:rsidR="00D67C1E" w:rsidRPr="00283806" w:rsidRDefault="001265CA">
            <w:pPr>
              <w:pStyle w:val="TableParagraph"/>
              <w:spacing w:line="140" w:lineRule="exact"/>
              <w:ind w:left="2"/>
              <w:rPr>
                <w:sz w:val="14"/>
              </w:rPr>
            </w:pPr>
            <w:r w:rsidRPr="00283806">
              <w:rPr>
                <w:spacing w:val="-5"/>
                <w:sz w:val="14"/>
              </w:rPr>
              <w:t>86</w:t>
            </w:r>
          </w:p>
        </w:tc>
        <w:tc>
          <w:tcPr>
            <w:tcW w:w="2730" w:type="dxa"/>
            <w:gridSpan w:val="3"/>
            <w:tcBorders>
              <w:top w:val="nil"/>
              <w:bottom w:val="nil"/>
              <w:right w:val="nil"/>
            </w:tcBorders>
          </w:tcPr>
          <w:p w14:paraId="7E05AFB5" w14:textId="77777777" w:rsidR="00D67C1E" w:rsidRPr="00283806" w:rsidRDefault="001265CA">
            <w:pPr>
              <w:pStyle w:val="TableParagraph"/>
              <w:spacing w:line="140" w:lineRule="exact"/>
              <w:ind w:left="71"/>
              <w:rPr>
                <w:sz w:val="14"/>
              </w:rPr>
            </w:pPr>
            <w:r w:rsidRPr="00283806">
              <w:rPr>
                <w:spacing w:val="-5"/>
                <w:sz w:val="14"/>
              </w:rPr>
              <w:t>526</w:t>
            </w:r>
          </w:p>
        </w:tc>
      </w:tr>
      <w:tr w:rsidR="00D67C1E" w:rsidRPr="00283806" w14:paraId="473E6AE3" w14:textId="77777777">
        <w:trPr>
          <w:trHeight w:val="160"/>
        </w:trPr>
        <w:tc>
          <w:tcPr>
            <w:tcW w:w="3972" w:type="dxa"/>
            <w:tcBorders>
              <w:top w:val="nil"/>
              <w:left w:val="nil"/>
              <w:bottom w:val="nil"/>
            </w:tcBorders>
          </w:tcPr>
          <w:p w14:paraId="238C6CCE" w14:textId="77777777" w:rsidR="00D67C1E" w:rsidRPr="00283806" w:rsidRDefault="001265CA">
            <w:pPr>
              <w:pStyle w:val="TableParagraph"/>
              <w:spacing w:line="140" w:lineRule="exact"/>
              <w:ind w:left="1" w:right="60"/>
              <w:rPr>
                <w:sz w:val="14"/>
              </w:rPr>
            </w:pPr>
            <w:r w:rsidRPr="00283806">
              <w:rPr>
                <w:sz w:val="14"/>
              </w:rPr>
              <w:t>2040</w:t>
            </w:r>
            <w:r w:rsidRPr="00283806">
              <w:rPr>
                <w:spacing w:val="60"/>
                <w:sz w:val="14"/>
              </w:rPr>
              <w:t xml:space="preserve"> </w:t>
            </w:r>
            <w:r w:rsidRPr="00283806">
              <w:rPr>
                <w:spacing w:val="-2"/>
                <w:sz w:val="14"/>
              </w:rPr>
              <w:t>..........................................................................................</w:t>
            </w:r>
          </w:p>
        </w:tc>
        <w:tc>
          <w:tcPr>
            <w:tcW w:w="934" w:type="dxa"/>
            <w:tcBorders>
              <w:top w:val="nil"/>
              <w:bottom w:val="nil"/>
            </w:tcBorders>
          </w:tcPr>
          <w:p w14:paraId="5D36D714" w14:textId="77777777" w:rsidR="00D67C1E" w:rsidRPr="00283806" w:rsidRDefault="001265CA">
            <w:pPr>
              <w:pStyle w:val="TableParagraph"/>
              <w:spacing w:line="140" w:lineRule="exact"/>
              <w:ind w:right="65"/>
              <w:jc w:val="right"/>
              <w:rPr>
                <w:sz w:val="14"/>
              </w:rPr>
            </w:pPr>
            <w:r w:rsidRPr="00283806">
              <w:rPr>
                <w:spacing w:val="-5"/>
                <w:sz w:val="14"/>
              </w:rPr>
              <w:t>466</w:t>
            </w:r>
          </w:p>
        </w:tc>
        <w:tc>
          <w:tcPr>
            <w:tcW w:w="2802" w:type="dxa"/>
            <w:gridSpan w:val="3"/>
            <w:tcBorders>
              <w:top w:val="nil"/>
              <w:bottom w:val="nil"/>
            </w:tcBorders>
          </w:tcPr>
          <w:p w14:paraId="1BE5F59B" w14:textId="77777777" w:rsidR="00D67C1E" w:rsidRPr="00283806" w:rsidRDefault="001265CA">
            <w:pPr>
              <w:pStyle w:val="TableParagraph"/>
              <w:spacing w:line="140" w:lineRule="exact"/>
              <w:ind w:left="2"/>
              <w:rPr>
                <w:sz w:val="14"/>
              </w:rPr>
            </w:pPr>
            <w:r w:rsidRPr="00283806">
              <w:rPr>
                <w:spacing w:val="-5"/>
                <w:sz w:val="14"/>
              </w:rPr>
              <w:t>67</w:t>
            </w:r>
          </w:p>
        </w:tc>
        <w:tc>
          <w:tcPr>
            <w:tcW w:w="2730" w:type="dxa"/>
            <w:gridSpan w:val="3"/>
            <w:tcBorders>
              <w:top w:val="nil"/>
              <w:bottom w:val="nil"/>
              <w:right w:val="nil"/>
            </w:tcBorders>
          </w:tcPr>
          <w:p w14:paraId="600BFEE4" w14:textId="77777777" w:rsidR="00D67C1E" w:rsidRPr="00283806" w:rsidRDefault="001265CA">
            <w:pPr>
              <w:pStyle w:val="TableParagraph"/>
              <w:spacing w:line="140" w:lineRule="exact"/>
              <w:ind w:left="71"/>
              <w:rPr>
                <w:sz w:val="14"/>
              </w:rPr>
            </w:pPr>
            <w:r w:rsidRPr="00283806">
              <w:rPr>
                <w:spacing w:val="-5"/>
                <w:sz w:val="14"/>
              </w:rPr>
              <w:t>399</w:t>
            </w:r>
          </w:p>
        </w:tc>
      </w:tr>
      <w:tr w:rsidR="00D67C1E" w:rsidRPr="00283806" w14:paraId="57DB0B28" w14:textId="77777777">
        <w:trPr>
          <w:trHeight w:val="159"/>
        </w:trPr>
        <w:tc>
          <w:tcPr>
            <w:tcW w:w="3972" w:type="dxa"/>
            <w:tcBorders>
              <w:top w:val="nil"/>
              <w:left w:val="nil"/>
              <w:bottom w:val="nil"/>
            </w:tcBorders>
          </w:tcPr>
          <w:p w14:paraId="40975C2F" w14:textId="77777777" w:rsidR="00D67C1E" w:rsidRPr="00283806" w:rsidRDefault="001265CA">
            <w:pPr>
              <w:pStyle w:val="TableParagraph"/>
              <w:spacing w:line="140" w:lineRule="exact"/>
              <w:ind w:left="1" w:right="60"/>
              <w:rPr>
                <w:sz w:val="14"/>
              </w:rPr>
            </w:pPr>
            <w:r w:rsidRPr="00283806">
              <w:rPr>
                <w:sz w:val="14"/>
              </w:rPr>
              <w:t>2045</w:t>
            </w:r>
            <w:r w:rsidRPr="00283806">
              <w:rPr>
                <w:spacing w:val="60"/>
                <w:sz w:val="14"/>
              </w:rPr>
              <w:t xml:space="preserve"> </w:t>
            </w:r>
            <w:r w:rsidRPr="00283806">
              <w:rPr>
                <w:spacing w:val="-2"/>
                <w:sz w:val="14"/>
              </w:rPr>
              <w:t>..........................................................................................</w:t>
            </w:r>
          </w:p>
        </w:tc>
        <w:tc>
          <w:tcPr>
            <w:tcW w:w="934" w:type="dxa"/>
            <w:tcBorders>
              <w:top w:val="nil"/>
              <w:bottom w:val="nil"/>
            </w:tcBorders>
          </w:tcPr>
          <w:p w14:paraId="09B84920" w14:textId="77777777" w:rsidR="00D67C1E" w:rsidRPr="00283806" w:rsidRDefault="001265CA">
            <w:pPr>
              <w:pStyle w:val="TableParagraph"/>
              <w:spacing w:line="140" w:lineRule="exact"/>
              <w:ind w:right="65"/>
              <w:jc w:val="right"/>
              <w:rPr>
                <w:sz w:val="14"/>
              </w:rPr>
            </w:pPr>
            <w:r w:rsidRPr="00283806">
              <w:rPr>
                <w:spacing w:val="-5"/>
                <w:sz w:val="14"/>
              </w:rPr>
              <w:t>315</w:t>
            </w:r>
          </w:p>
        </w:tc>
        <w:tc>
          <w:tcPr>
            <w:tcW w:w="2802" w:type="dxa"/>
            <w:gridSpan w:val="3"/>
            <w:tcBorders>
              <w:top w:val="nil"/>
              <w:bottom w:val="nil"/>
            </w:tcBorders>
          </w:tcPr>
          <w:p w14:paraId="7DDA0020" w14:textId="77777777" w:rsidR="00D67C1E" w:rsidRPr="00283806" w:rsidRDefault="001265CA">
            <w:pPr>
              <w:pStyle w:val="TableParagraph"/>
              <w:spacing w:line="140" w:lineRule="exact"/>
              <w:ind w:left="2"/>
              <w:rPr>
                <w:sz w:val="14"/>
              </w:rPr>
            </w:pPr>
            <w:r w:rsidRPr="00283806">
              <w:rPr>
                <w:spacing w:val="-5"/>
                <w:sz w:val="14"/>
              </w:rPr>
              <w:t>51</w:t>
            </w:r>
          </w:p>
        </w:tc>
        <w:tc>
          <w:tcPr>
            <w:tcW w:w="2730" w:type="dxa"/>
            <w:gridSpan w:val="3"/>
            <w:tcBorders>
              <w:top w:val="nil"/>
              <w:bottom w:val="nil"/>
              <w:right w:val="nil"/>
            </w:tcBorders>
          </w:tcPr>
          <w:p w14:paraId="2F43D1F9" w14:textId="77777777" w:rsidR="00D67C1E" w:rsidRPr="00283806" w:rsidRDefault="001265CA">
            <w:pPr>
              <w:pStyle w:val="TableParagraph"/>
              <w:spacing w:line="140" w:lineRule="exact"/>
              <w:ind w:left="71"/>
              <w:rPr>
                <w:sz w:val="14"/>
              </w:rPr>
            </w:pPr>
            <w:r w:rsidRPr="00283806">
              <w:rPr>
                <w:spacing w:val="-5"/>
                <w:sz w:val="14"/>
              </w:rPr>
              <w:t>264</w:t>
            </w:r>
          </w:p>
        </w:tc>
      </w:tr>
      <w:tr w:rsidR="00D67C1E" w:rsidRPr="00283806" w14:paraId="693DFF85" w14:textId="77777777">
        <w:trPr>
          <w:trHeight w:val="222"/>
        </w:trPr>
        <w:tc>
          <w:tcPr>
            <w:tcW w:w="3972" w:type="dxa"/>
            <w:tcBorders>
              <w:top w:val="nil"/>
              <w:left w:val="nil"/>
            </w:tcBorders>
          </w:tcPr>
          <w:p w14:paraId="0947E53C" w14:textId="77777777" w:rsidR="00D67C1E" w:rsidRPr="00283806" w:rsidRDefault="001265CA">
            <w:pPr>
              <w:pStyle w:val="TableParagraph"/>
              <w:spacing w:line="159" w:lineRule="exact"/>
              <w:ind w:left="1" w:right="60"/>
              <w:rPr>
                <w:sz w:val="14"/>
              </w:rPr>
            </w:pPr>
            <w:r w:rsidRPr="00283806">
              <w:rPr>
                <w:sz w:val="14"/>
              </w:rPr>
              <w:t>2050</w:t>
            </w:r>
            <w:r w:rsidRPr="00283806">
              <w:rPr>
                <w:spacing w:val="60"/>
                <w:sz w:val="14"/>
              </w:rPr>
              <w:t xml:space="preserve"> </w:t>
            </w:r>
            <w:r w:rsidRPr="00283806">
              <w:rPr>
                <w:spacing w:val="-2"/>
                <w:sz w:val="14"/>
              </w:rPr>
              <w:t>..........................................................................................</w:t>
            </w:r>
          </w:p>
        </w:tc>
        <w:tc>
          <w:tcPr>
            <w:tcW w:w="934" w:type="dxa"/>
            <w:tcBorders>
              <w:top w:val="nil"/>
            </w:tcBorders>
          </w:tcPr>
          <w:p w14:paraId="2631F143" w14:textId="77777777" w:rsidR="00D67C1E" w:rsidRPr="00283806" w:rsidRDefault="001265CA">
            <w:pPr>
              <w:pStyle w:val="TableParagraph"/>
              <w:spacing w:line="159" w:lineRule="exact"/>
              <w:ind w:right="65"/>
              <w:jc w:val="right"/>
              <w:rPr>
                <w:sz w:val="14"/>
              </w:rPr>
            </w:pPr>
            <w:r w:rsidRPr="00283806">
              <w:rPr>
                <w:spacing w:val="-5"/>
                <w:sz w:val="14"/>
              </w:rPr>
              <w:t>263</w:t>
            </w:r>
          </w:p>
        </w:tc>
        <w:tc>
          <w:tcPr>
            <w:tcW w:w="2802" w:type="dxa"/>
            <w:gridSpan w:val="3"/>
            <w:tcBorders>
              <w:top w:val="nil"/>
            </w:tcBorders>
          </w:tcPr>
          <w:p w14:paraId="65014F3C" w14:textId="77777777" w:rsidR="00D67C1E" w:rsidRPr="00283806" w:rsidRDefault="001265CA">
            <w:pPr>
              <w:pStyle w:val="TableParagraph"/>
              <w:spacing w:line="159" w:lineRule="exact"/>
              <w:ind w:left="2"/>
              <w:rPr>
                <w:sz w:val="14"/>
              </w:rPr>
            </w:pPr>
            <w:r w:rsidRPr="00283806">
              <w:rPr>
                <w:spacing w:val="-5"/>
                <w:sz w:val="14"/>
              </w:rPr>
              <w:t>52</w:t>
            </w:r>
          </w:p>
        </w:tc>
        <w:tc>
          <w:tcPr>
            <w:tcW w:w="2730" w:type="dxa"/>
            <w:gridSpan w:val="3"/>
            <w:tcBorders>
              <w:top w:val="nil"/>
              <w:right w:val="nil"/>
            </w:tcBorders>
          </w:tcPr>
          <w:p w14:paraId="7E499DF7" w14:textId="77777777" w:rsidR="00D67C1E" w:rsidRPr="00283806" w:rsidRDefault="001265CA">
            <w:pPr>
              <w:pStyle w:val="TableParagraph"/>
              <w:spacing w:line="159" w:lineRule="exact"/>
              <w:ind w:left="71"/>
              <w:rPr>
                <w:sz w:val="14"/>
              </w:rPr>
            </w:pPr>
            <w:r w:rsidRPr="00283806">
              <w:rPr>
                <w:spacing w:val="-5"/>
                <w:sz w:val="14"/>
              </w:rPr>
              <w:t>211</w:t>
            </w:r>
          </w:p>
        </w:tc>
      </w:tr>
      <w:tr w:rsidR="00D67C1E" w:rsidRPr="00283806" w14:paraId="1DF4AE8E" w14:textId="77777777">
        <w:trPr>
          <w:trHeight w:val="297"/>
        </w:trPr>
        <w:tc>
          <w:tcPr>
            <w:tcW w:w="3972" w:type="dxa"/>
            <w:tcBorders>
              <w:left w:val="nil"/>
            </w:tcBorders>
          </w:tcPr>
          <w:p w14:paraId="0A8075A6" w14:textId="77777777" w:rsidR="00D67C1E" w:rsidRPr="00283806" w:rsidRDefault="001265CA">
            <w:pPr>
              <w:pStyle w:val="TableParagraph"/>
              <w:spacing w:before="73" w:line="240" w:lineRule="auto"/>
              <w:ind w:left="1" w:right="60"/>
              <w:rPr>
                <w:sz w:val="14"/>
              </w:rPr>
            </w:pPr>
            <w:r w:rsidRPr="00283806">
              <w:rPr>
                <w:sz w:val="14"/>
              </w:rPr>
              <w:t>Discount</w:t>
            </w:r>
            <w:r w:rsidRPr="00283806">
              <w:rPr>
                <w:spacing w:val="1"/>
                <w:sz w:val="14"/>
              </w:rPr>
              <w:t xml:space="preserve"> </w:t>
            </w:r>
            <w:r w:rsidRPr="00283806">
              <w:rPr>
                <w:spacing w:val="-4"/>
                <w:sz w:val="14"/>
              </w:rPr>
              <w:t>rate</w:t>
            </w:r>
          </w:p>
        </w:tc>
        <w:tc>
          <w:tcPr>
            <w:tcW w:w="934" w:type="dxa"/>
          </w:tcPr>
          <w:p w14:paraId="7D2E1D18" w14:textId="77777777" w:rsidR="00D67C1E" w:rsidRPr="00283806" w:rsidRDefault="001265CA">
            <w:pPr>
              <w:pStyle w:val="TableParagraph"/>
              <w:spacing w:before="73" w:line="240" w:lineRule="auto"/>
              <w:ind w:left="4" w:right="4"/>
              <w:rPr>
                <w:sz w:val="14"/>
              </w:rPr>
            </w:pPr>
            <w:r w:rsidRPr="00283806">
              <w:rPr>
                <w:spacing w:val="-5"/>
                <w:sz w:val="14"/>
              </w:rPr>
              <w:t>3%</w:t>
            </w:r>
          </w:p>
        </w:tc>
        <w:tc>
          <w:tcPr>
            <w:tcW w:w="934" w:type="dxa"/>
          </w:tcPr>
          <w:p w14:paraId="6D1F1FF8" w14:textId="77777777" w:rsidR="00D67C1E" w:rsidRPr="00283806" w:rsidRDefault="001265CA">
            <w:pPr>
              <w:pStyle w:val="TableParagraph"/>
              <w:spacing w:before="73" w:line="240" w:lineRule="auto"/>
              <w:ind w:left="4" w:right="4"/>
              <w:rPr>
                <w:sz w:val="14"/>
              </w:rPr>
            </w:pPr>
            <w:r w:rsidRPr="00283806">
              <w:rPr>
                <w:spacing w:val="-5"/>
                <w:sz w:val="14"/>
              </w:rPr>
              <w:t>2%</w:t>
            </w:r>
          </w:p>
        </w:tc>
        <w:tc>
          <w:tcPr>
            <w:tcW w:w="934" w:type="dxa"/>
          </w:tcPr>
          <w:p w14:paraId="5E1A6FD8" w14:textId="77777777" w:rsidR="00D67C1E" w:rsidRPr="00283806" w:rsidRDefault="001265CA">
            <w:pPr>
              <w:pStyle w:val="TableParagraph"/>
              <w:spacing w:before="73" w:line="240" w:lineRule="auto"/>
              <w:ind w:left="4" w:right="3"/>
              <w:rPr>
                <w:sz w:val="14"/>
              </w:rPr>
            </w:pPr>
            <w:r w:rsidRPr="00283806">
              <w:rPr>
                <w:spacing w:val="-5"/>
                <w:sz w:val="14"/>
              </w:rPr>
              <w:t>3%</w:t>
            </w:r>
          </w:p>
        </w:tc>
        <w:tc>
          <w:tcPr>
            <w:tcW w:w="934" w:type="dxa"/>
          </w:tcPr>
          <w:p w14:paraId="374189F6" w14:textId="77777777" w:rsidR="00D67C1E" w:rsidRPr="00283806" w:rsidRDefault="001265CA">
            <w:pPr>
              <w:pStyle w:val="TableParagraph"/>
              <w:spacing w:before="73" w:line="240" w:lineRule="auto"/>
              <w:ind w:left="4" w:right="2"/>
              <w:rPr>
                <w:sz w:val="14"/>
              </w:rPr>
            </w:pPr>
            <w:r w:rsidRPr="00283806">
              <w:rPr>
                <w:spacing w:val="-5"/>
                <w:sz w:val="14"/>
              </w:rPr>
              <w:t>7%</w:t>
            </w:r>
          </w:p>
        </w:tc>
        <w:tc>
          <w:tcPr>
            <w:tcW w:w="934" w:type="dxa"/>
          </w:tcPr>
          <w:p w14:paraId="685669B2" w14:textId="77777777" w:rsidR="00D67C1E" w:rsidRPr="00283806" w:rsidRDefault="001265CA">
            <w:pPr>
              <w:pStyle w:val="TableParagraph"/>
              <w:spacing w:before="73" w:line="240" w:lineRule="auto"/>
              <w:ind w:left="4" w:right="1"/>
              <w:rPr>
                <w:sz w:val="14"/>
              </w:rPr>
            </w:pPr>
            <w:r w:rsidRPr="00283806">
              <w:rPr>
                <w:spacing w:val="-5"/>
                <w:sz w:val="14"/>
              </w:rPr>
              <w:t>2%</w:t>
            </w:r>
          </w:p>
        </w:tc>
        <w:tc>
          <w:tcPr>
            <w:tcW w:w="934" w:type="dxa"/>
          </w:tcPr>
          <w:p w14:paraId="5621CEDE" w14:textId="77777777" w:rsidR="00D67C1E" w:rsidRPr="00283806" w:rsidRDefault="001265CA">
            <w:pPr>
              <w:pStyle w:val="TableParagraph"/>
              <w:spacing w:before="73" w:line="240" w:lineRule="auto"/>
              <w:ind w:left="4"/>
              <w:rPr>
                <w:sz w:val="14"/>
              </w:rPr>
            </w:pPr>
            <w:r w:rsidRPr="00283806">
              <w:rPr>
                <w:spacing w:val="-5"/>
                <w:sz w:val="14"/>
              </w:rPr>
              <w:t>3%</w:t>
            </w:r>
          </w:p>
        </w:tc>
        <w:tc>
          <w:tcPr>
            <w:tcW w:w="862" w:type="dxa"/>
            <w:tcBorders>
              <w:right w:val="nil"/>
            </w:tcBorders>
          </w:tcPr>
          <w:p w14:paraId="6A0A087E" w14:textId="77777777" w:rsidR="00D67C1E" w:rsidRPr="00283806" w:rsidRDefault="001265CA">
            <w:pPr>
              <w:pStyle w:val="TableParagraph"/>
              <w:spacing w:before="73" w:line="240" w:lineRule="auto"/>
              <w:ind w:left="71"/>
              <w:rPr>
                <w:sz w:val="14"/>
              </w:rPr>
            </w:pPr>
            <w:r w:rsidRPr="00283806">
              <w:rPr>
                <w:spacing w:val="-5"/>
                <w:sz w:val="14"/>
              </w:rPr>
              <w:t>7%</w:t>
            </w:r>
          </w:p>
        </w:tc>
      </w:tr>
      <w:tr w:rsidR="00D67C1E" w:rsidRPr="00283806" w14:paraId="465D938F" w14:textId="77777777">
        <w:trPr>
          <w:trHeight w:val="235"/>
        </w:trPr>
        <w:tc>
          <w:tcPr>
            <w:tcW w:w="3972" w:type="dxa"/>
            <w:tcBorders>
              <w:left w:val="nil"/>
              <w:bottom w:val="nil"/>
            </w:tcBorders>
          </w:tcPr>
          <w:p w14:paraId="4ED93CD3" w14:textId="77777777" w:rsidR="00D67C1E" w:rsidRPr="00283806" w:rsidRDefault="001265CA">
            <w:pPr>
              <w:pStyle w:val="TableParagraph"/>
              <w:spacing w:before="73" w:line="142" w:lineRule="exact"/>
              <w:ind w:right="60"/>
              <w:rPr>
                <w:sz w:val="14"/>
              </w:rPr>
            </w:pPr>
            <w:r w:rsidRPr="00283806">
              <w:rPr>
                <w:sz w:val="14"/>
              </w:rPr>
              <w:t>Present</w:t>
            </w:r>
            <w:r w:rsidRPr="00283806">
              <w:rPr>
                <w:spacing w:val="5"/>
                <w:sz w:val="14"/>
              </w:rPr>
              <w:t xml:space="preserve"> </w:t>
            </w:r>
            <w:r w:rsidRPr="00283806">
              <w:rPr>
                <w:sz w:val="14"/>
              </w:rPr>
              <w:t>value</w:t>
            </w:r>
            <w:r w:rsidRPr="00283806">
              <w:rPr>
                <w:spacing w:val="-17"/>
                <w:sz w:val="14"/>
              </w:rPr>
              <w:t xml:space="preserve"> </w:t>
            </w:r>
            <w:r w:rsidRPr="00283806">
              <w:rPr>
                <w:position w:val="4"/>
                <w:sz w:val="9"/>
              </w:rPr>
              <w:t>f</w:t>
            </w:r>
            <w:r w:rsidRPr="00283806">
              <w:rPr>
                <w:spacing w:val="29"/>
                <w:position w:val="4"/>
                <w:sz w:val="9"/>
              </w:rPr>
              <w:t xml:space="preserve"> </w:t>
            </w:r>
            <w:r w:rsidRPr="00283806">
              <w:rPr>
                <w:spacing w:val="-2"/>
                <w:sz w:val="14"/>
              </w:rPr>
              <w:t>...........................................................................</w:t>
            </w:r>
          </w:p>
        </w:tc>
        <w:tc>
          <w:tcPr>
            <w:tcW w:w="934" w:type="dxa"/>
            <w:tcBorders>
              <w:bottom w:val="nil"/>
            </w:tcBorders>
          </w:tcPr>
          <w:p w14:paraId="7EFF502D" w14:textId="77777777" w:rsidR="00D67C1E" w:rsidRPr="00283806" w:rsidRDefault="001265CA">
            <w:pPr>
              <w:pStyle w:val="TableParagraph"/>
              <w:spacing w:before="73" w:line="142" w:lineRule="exact"/>
              <w:ind w:right="65"/>
              <w:jc w:val="right"/>
              <w:rPr>
                <w:sz w:val="14"/>
              </w:rPr>
            </w:pPr>
            <w:r w:rsidRPr="00283806">
              <w:rPr>
                <w:spacing w:val="-2"/>
                <w:sz w:val="14"/>
              </w:rPr>
              <w:t>$8,356</w:t>
            </w:r>
          </w:p>
        </w:tc>
        <w:tc>
          <w:tcPr>
            <w:tcW w:w="934" w:type="dxa"/>
            <w:tcBorders>
              <w:bottom w:val="nil"/>
            </w:tcBorders>
          </w:tcPr>
          <w:p w14:paraId="23B3D346" w14:textId="77777777" w:rsidR="00D67C1E" w:rsidRPr="00283806" w:rsidRDefault="001265CA">
            <w:pPr>
              <w:pStyle w:val="TableParagraph"/>
              <w:spacing w:before="73" w:line="142" w:lineRule="exact"/>
              <w:ind w:right="65"/>
              <w:jc w:val="right"/>
              <w:rPr>
                <w:sz w:val="14"/>
              </w:rPr>
            </w:pPr>
            <w:r w:rsidRPr="00283806">
              <w:rPr>
                <w:spacing w:val="-2"/>
                <w:sz w:val="14"/>
              </w:rPr>
              <w:t>$1,499</w:t>
            </w:r>
          </w:p>
        </w:tc>
        <w:tc>
          <w:tcPr>
            <w:tcW w:w="934" w:type="dxa"/>
            <w:tcBorders>
              <w:bottom w:val="nil"/>
            </w:tcBorders>
          </w:tcPr>
          <w:p w14:paraId="44BCE0E6" w14:textId="77777777" w:rsidR="00D67C1E" w:rsidRPr="00283806" w:rsidRDefault="001265CA">
            <w:pPr>
              <w:pStyle w:val="TableParagraph"/>
              <w:spacing w:before="73" w:line="142" w:lineRule="exact"/>
              <w:ind w:right="64"/>
              <w:jc w:val="right"/>
              <w:rPr>
                <w:sz w:val="14"/>
              </w:rPr>
            </w:pPr>
            <w:r w:rsidRPr="00283806">
              <w:rPr>
                <w:spacing w:val="-2"/>
                <w:sz w:val="14"/>
              </w:rPr>
              <w:t>$1,335</w:t>
            </w:r>
          </w:p>
        </w:tc>
        <w:tc>
          <w:tcPr>
            <w:tcW w:w="934" w:type="dxa"/>
            <w:tcBorders>
              <w:bottom w:val="nil"/>
            </w:tcBorders>
          </w:tcPr>
          <w:p w14:paraId="1D0CA170" w14:textId="77777777" w:rsidR="00D67C1E" w:rsidRPr="00283806" w:rsidRDefault="001265CA">
            <w:pPr>
              <w:pStyle w:val="TableParagraph"/>
              <w:spacing w:before="73" w:line="142" w:lineRule="exact"/>
              <w:ind w:right="64"/>
              <w:jc w:val="right"/>
              <w:rPr>
                <w:sz w:val="14"/>
              </w:rPr>
            </w:pPr>
            <w:r w:rsidRPr="00283806">
              <w:rPr>
                <w:spacing w:val="-4"/>
                <w:sz w:val="14"/>
              </w:rPr>
              <w:t>$884</w:t>
            </w:r>
          </w:p>
        </w:tc>
        <w:tc>
          <w:tcPr>
            <w:tcW w:w="934" w:type="dxa"/>
            <w:tcBorders>
              <w:bottom w:val="nil"/>
            </w:tcBorders>
          </w:tcPr>
          <w:p w14:paraId="0899FCEA" w14:textId="77777777" w:rsidR="00D67C1E" w:rsidRPr="00283806" w:rsidRDefault="001265CA">
            <w:pPr>
              <w:pStyle w:val="TableParagraph"/>
              <w:spacing w:before="73" w:line="142" w:lineRule="exact"/>
              <w:ind w:right="63"/>
              <w:jc w:val="right"/>
              <w:rPr>
                <w:sz w:val="14"/>
              </w:rPr>
            </w:pPr>
            <w:r w:rsidRPr="00283806">
              <w:rPr>
                <w:spacing w:val="-2"/>
                <w:sz w:val="14"/>
              </w:rPr>
              <w:t>$6,857</w:t>
            </w:r>
          </w:p>
        </w:tc>
        <w:tc>
          <w:tcPr>
            <w:tcW w:w="934" w:type="dxa"/>
            <w:tcBorders>
              <w:bottom w:val="nil"/>
            </w:tcBorders>
          </w:tcPr>
          <w:p w14:paraId="16884B77" w14:textId="77777777" w:rsidR="00D67C1E" w:rsidRPr="00283806" w:rsidRDefault="001265CA">
            <w:pPr>
              <w:pStyle w:val="TableParagraph"/>
              <w:spacing w:before="73" w:line="142" w:lineRule="exact"/>
              <w:ind w:right="63"/>
              <w:jc w:val="right"/>
              <w:rPr>
                <w:sz w:val="14"/>
              </w:rPr>
            </w:pPr>
            <w:r w:rsidRPr="00283806">
              <w:rPr>
                <w:spacing w:val="-2"/>
                <w:sz w:val="14"/>
              </w:rPr>
              <w:t>$7,021</w:t>
            </w:r>
          </w:p>
        </w:tc>
        <w:tc>
          <w:tcPr>
            <w:tcW w:w="862" w:type="dxa"/>
            <w:tcBorders>
              <w:bottom w:val="nil"/>
              <w:right w:val="nil"/>
            </w:tcBorders>
          </w:tcPr>
          <w:p w14:paraId="05C3DF63" w14:textId="77777777" w:rsidR="00D67C1E" w:rsidRPr="00283806" w:rsidRDefault="001265CA">
            <w:pPr>
              <w:pStyle w:val="TableParagraph"/>
              <w:spacing w:before="73" w:line="142" w:lineRule="exact"/>
              <w:ind w:right="-15"/>
              <w:jc w:val="right"/>
              <w:rPr>
                <w:sz w:val="14"/>
              </w:rPr>
            </w:pPr>
            <w:r w:rsidRPr="00283806">
              <w:rPr>
                <w:spacing w:val="-2"/>
                <w:sz w:val="14"/>
              </w:rPr>
              <w:t>$7,471</w:t>
            </w:r>
          </w:p>
        </w:tc>
      </w:tr>
      <w:tr w:rsidR="00D67C1E" w:rsidRPr="00283806" w14:paraId="6A5AE103" w14:textId="77777777">
        <w:trPr>
          <w:trHeight w:val="202"/>
        </w:trPr>
        <w:tc>
          <w:tcPr>
            <w:tcW w:w="3972" w:type="dxa"/>
            <w:tcBorders>
              <w:top w:val="nil"/>
              <w:left w:val="nil"/>
            </w:tcBorders>
          </w:tcPr>
          <w:p w14:paraId="0EF2B071" w14:textId="77777777" w:rsidR="00D67C1E" w:rsidRPr="00283806" w:rsidRDefault="001265CA">
            <w:pPr>
              <w:pStyle w:val="TableParagraph"/>
              <w:spacing w:line="159" w:lineRule="exact"/>
              <w:ind w:right="60"/>
              <w:rPr>
                <w:sz w:val="14"/>
              </w:rPr>
            </w:pPr>
            <w:r w:rsidRPr="00283806">
              <w:rPr>
                <w:sz w:val="14"/>
              </w:rPr>
              <w:t>Equivalent</w:t>
            </w:r>
            <w:r w:rsidRPr="00283806">
              <w:rPr>
                <w:spacing w:val="3"/>
                <w:sz w:val="14"/>
              </w:rPr>
              <w:t xml:space="preserve"> </w:t>
            </w:r>
            <w:r w:rsidRPr="00283806">
              <w:rPr>
                <w:sz w:val="14"/>
              </w:rPr>
              <w:t>annualized</w:t>
            </w:r>
            <w:r w:rsidRPr="00283806">
              <w:rPr>
                <w:spacing w:val="5"/>
                <w:sz w:val="14"/>
              </w:rPr>
              <w:t xml:space="preserve"> </w:t>
            </w:r>
            <w:r w:rsidRPr="00283806">
              <w:rPr>
                <w:sz w:val="14"/>
              </w:rPr>
              <w:t>value</w:t>
            </w:r>
            <w:r w:rsidRPr="00283806">
              <w:rPr>
                <w:spacing w:val="4"/>
                <w:sz w:val="14"/>
              </w:rPr>
              <w:t xml:space="preserve"> </w:t>
            </w:r>
            <w:r w:rsidRPr="00283806">
              <w:rPr>
                <w:sz w:val="14"/>
              </w:rPr>
              <w:t>(EAV)</w:t>
            </w:r>
            <w:r w:rsidRPr="00283806">
              <w:rPr>
                <w:spacing w:val="-17"/>
                <w:sz w:val="14"/>
              </w:rPr>
              <w:t xml:space="preserve"> </w:t>
            </w:r>
            <w:r w:rsidRPr="00283806">
              <w:rPr>
                <w:position w:val="4"/>
                <w:sz w:val="9"/>
              </w:rPr>
              <w:t>f</w:t>
            </w:r>
            <w:r w:rsidRPr="00283806">
              <w:rPr>
                <w:spacing w:val="37"/>
                <w:position w:val="4"/>
                <w:sz w:val="9"/>
              </w:rPr>
              <w:t xml:space="preserve"> </w:t>
            </w:r>
            <w:r w:rsidRPr="00283806">
              <w:rPr>
                <w:spacing w:val="-2"/>
                <w:sz w:val="14"/>
              </w:rPr>
              <w:t>.........................................</w:t>
            </w:r>
          </w:p>
        </w:tc>
        <w:tc>
          <w:tcPr>
            <w:tcW w:w="934" w:type="dxa"/>
            <w:tcBorders>
              <w:top w:val="nil"/>
            </w:tcBorders>
          </w:tcPr>
          <w:p w14:paraId="0F678A36" w14:textId="77777777" w:rsidR="00D67C1E" w:rsidRPr="00283806" w:rsidRDefault="001265CA">
            <w:pPr>
              <w:pStyle w:val="TableParagraph"/>
              <w:spacing w:line="159" w:lineRule="exact"/>
              <w:ind w:right="65"/>
              <w:jc w:val="right"/>
              <w:rPr>
                <w:sz w:val="14"/>
              </w:rPr>
            </w:pPr>
            <w:r w:rsidRPr="00283806">
              <w:rPr>
                <w:spacing w:val="-5"/>
                <w:sz w:val="14"/>
              </w:rPr>
              <w:t>480</w:t>
            </w:r>
          </w:p>
        </w:tc>
        <w:tc>
          <w:tcPr>
            <w:tcW w:w="934" w:type="dxa"/>
            <w:tcBorders>
              <w:top w:val="nil"/>
            </w:tcBorders>
          </w:tcPr>
          <w:p w14:paraId="122E0513" w14:textId="77777777" w:rsidR="00D67C1E" w:rsidRPr="00283806" w:rsidRDefault="001265CA">
            <w:pPr>
              <w:pStyle w:val="TableParagraph"/>
              <w:spacing w:line="159" w:lineRule="exact"/>
              <w:ind w:right="65"/>
              <w:jc w:val="right"/>
              <w:rPr>
                <w:sz w:val="14"/>
              </w:rPr>
            </w:pPr>
            <w:r w:rsidRPr="00283806">
              <w:rPr>
                <w:spacing w:val="-5"/>
                <w:sz w:val="14"/>
              </w:rPr>
              <w:t>77</w:t>
            </w:r>
          </w:p>
        </w:tc>
        <w:tc>
          <w:tcPr>
            <w:tcW w:w="934" w:type="dxa"/>
            <w:tcBorders>
              <w:top w:val="nil"/>
            </w:tcBorders>
          </w:tcPr>
          <w:p w14:paraId="0A855A03" w14:textId="77777777" w:rsidR="00D67C1E" w:rsidRPr="00283806" w:rsidRDefault="001265CA">
            <w:pPr>
              <w:pStyle w:val="TableParagraph"/>
              <w:spacing w:line="159" w:lineRule="exact"/>
              <w:ind w:right="64"/>
              <w:jc w:val="right"/>
              <w:rPr>
                <w:sz w:val="14"/>
              </w:rPr>
            </w:pPr>
            <w:r w:rsidRPr="00283806">
              <w:rPr>
                <w:spacing w:val="-5"/>
                <w:sz w:val="14"/>
              </w:rPr>
              <w:t>77</w:t>
            </w:r>
          </w:p>
        </w:tc>
        <w:tc>
          <w:tcPr>
            <w:tcW w:w="934" w:type="dxa"/>
            <w:tcBorders>
              <w:top w:val="nil"/>
            </w:tcBorders>
          </w:tcPr>
          <w:p w14:paraId="38DAC9BB" w14:textId="77777777" w:rsidR="00D67C1E" w:rsidRPr="00283806" w:rsidRDefault="001265CA">
            <w:pPr>
              <w:pStyle w:val="TableParagraph"/>
              <w:spacing w:line="159" w:lineRule="exact"/>
              <w:ind w:right="64"/>
              <w:jc w:val="right"/>
              <w:rPr>
                <w:sz w:val="14"/>
              </w:rPr>
            </w:pPr>
            <w:r w:rsidRPr="00283806">
              <w:rPr>
                <w:spacing w:val="-5"/>
                <w:sz w:val="14"/>
              </w:rPr>
              <w:t>76</w:t>
            </w:r>
          </w:p>
        </w:tc>
        <w:tc>
          <w:tcPr>
            <w:tcW w:w="934" w:type="dxa"/>
            <w:tcBorders>
              <w:top w:val="nil"/>
            </w:tcBorders>
          </w:tcPr>
          <w:p w14:paraId="3C79DDF4" w14:textId="77777777" w:rsidR="00D67C1E" w:rsidRPr="00283806" w:rsidRDefault="001265CA">
            <w:pPr>
              <w:pStyle w:val="TableParagraph"/>
              <w:spacing w:line="159" w:lineRule="exact"/>
              <w:ind w:right="63"/>
              <w:jc w:val="right"/>
              <w:rPr>
                <w:sz w:val="14"/>
              </w:rPr>
            </w:pPr>
            <w:r w:rsidRPr="00283806">
              <w:rPr>
                <w:spacing w:val="-5"/>
                <w:sz w:val="14"/>
              </w:rPr>
              <w:t>403</w:t>
            </w:r>
          </w:p>
        </w:tc>
        <w:tc>
          <w:tcPr>
            <w:tcW w:w="934" w:type="dxa"/>
            <w:tcBorders>
              <w:top w:val="nil"/>
            </w:tcBorders>
          </w:tcPr>
          <w:p w14:paraId="2A44BD5F" w14:textId="77777777" w:rsidR="00D67C1E" w:rsidRPr="00283806" w:rsidRDefault="001265CA">
            <w:pPr>
              <w:pStyle w:val="TableParagraph"/>
              <w:spacing w:line="159" w:lineRule="exact"/>
              <w:ind w:right="63"/>
              <w:jc w:val="right"/>
              <w:rPr>
                <w:sz w:val="14"/>
              </w:rPr>
            </w:pPr>
            <w:r w:rsidRPr="00283806">
              <w:rPr>
                <w:spacing w:val="-5"/>
                <w:sz w:val="14"/>
              </w:rPr>
              <w:t>403</w:t>
            </w:r>
          </w:p>
        </w:tc>
        <w:tc>
          <w:tcPr>
            <w:tcW w:w="862" w:type="dxa"/>
            <w:tcBorders>
              <w:top w:val="nil"/>
              <w:right w:val="nil"/>
            </w:tcBorders>
          </w:tcPr>
          <w:p w14:paraId="2A21B649" w14:textId="77777777" w:rsidR="00D67C1E" w:rsidRPr="00283806" w:rsidRDefault="001265CA">
            <w:pPr>
              <w:pStyle w:val="TableParagraph"/>
              <w:spacing w:line="159" w:lineRule="exact"/>
              <w:ind w:right="-15"/>
              <w:jc w:val="right"/>
              <w:rPr>
                <w:sz w:val="14"/>
              </w:rPr>
            </w:pPr>
            <w:r w:rsidRPr="00283806">
              <w:rPr>
                <w:spacing w:val="-5"/>
                <w:sz w:val="14"/>
              </w:rPr>
              <w:t>404</w:t>
            </w:r>
          </w:p>
        </w:tc>
      </w:tr>
    </w:tbl>
    <w:p w14:paraId="3B772FC5" w14:textId="77777777" w:rsidR="00D67C1E" w:rsidRPr="00283806" w:rsidRDefault="001265CA">
      <w:pPr>
        <w:spacing w:before="77" w:line="208" w:lineRule="auto"/>
        <w:ind w:left="159" w:right="120" w:firstLine="160"/>
        <w:jc w:val="both"/>
        <w:rPr>
          <w:rFonts w:ascii="Arial" w:hAnsi="Arial"/>
          <w:sz w:val="16"/>
        </w:rPr>
      </w:pPr>
      <w:proofErr w:type="gramStart"/>
      <w:r w:rsidRPr="00283806">
        <w:rPr>
          <w:rFonts w:ascii="Arial" w:hAnsi="Arial"/>
          <w:position w:val="4"/>
          <w:sz w:val="10"/>
        </w:rPr>
        <w:t>a</w:t>
      </w:r>
      <w:r w:rsidRPr="00283806">
        <w:rPr>
          <w:rFonts w:ascii="Arial" w:hAnsi="Arial"/>
          <w:spacing w:val="-3"/>
          <w:position w:val="4"/>
          <w:sz w:val="10"/>
        </w:rPr>
        <w:t xml:space="preserve"> </w:t>
      </w:r>
      <w:r w:rsidRPr="00283806">
        <w:rPr>
          <w:rFonts w:ascii="Arial" w:hAnsi="Arial"/>
          <w:sz w:val="16"/>
        </w:rPr>
        <w:t>Benefits</w:t>
      </w:r>
      <w:proofErr w:type="gramEnd"/>
      <w:r w:rsidRPr="00283806">
        <w:rPr>
          <w:rFonts w:ascii="Arial" w:hAnsi="Arial"/>
          <w:sz w:val="16"/>
        </w:rPr>
        <w:t xml:space="preserve"> include only those related to climate. Climate benefits are based on changes (reductions) in HFC emissions and are calculated using four different estimates of the social cost of HFCs (SC–HFCs): model average at 2.5 percent, three percent, and five percent discount rates; 95th percentile at three percent</w:t>
      </w:r>
      <w:r w:rsidRPr="00283806">
        <w:rPr>
          <w:rFonts w:ascii="Arial" w:hAnsi="Arial"/>
          <w:spacing w:val="1"/>
          <w:sz w:val="16"/>
        </w:rPr>
        <w:t xml:space="preserve"> </w:t>
      </w:r>
      <w:r w:rsidRPr="00283806">
        <w:rPr>
          <w:rFonts w:ascii="Arial" w:hAnsi="Arial"/>
          <w:sz w:val="16"/>
        </w:rPr>
        <w:t>discount rate. For</w:t>
      </w:r>
      <w:r w:rsidRPr="00283806">
        <w:rPr>
          <w:rFonts w:ascii="Arial" w:hAnsi="Arial"/>
          <w:spacing w:val="1"/>
          <w:sz w:val="16"/>
        </w:rPr>
        <w:t xml:space="preserve"> </w:t>
      </w:r>
      <w:r w:rsidRPr="00283806">
        <w:rPr>
          <w:rFonts w:ascii="Arial" w:hAnsi="Arial"/>
          <w:sz w:val="16"/>
        </w:rPr>
        <w:t>presentational purposes of this</w:t>
      </w:r>
      <w:r w:rsidRPr="00283806">
        <w:rPr>
          <w:rFonts w:ascii="Arial" w:hAnsi="Arial"/>
          <w:spacing w:val="1"/>
          <w:sz w:val="16"/>
        </w:rPr>
        <w:t xml:space="preserve"> </w:t>
      </w:r>
      <w:r w:rsidRPr="00283806">
        <w:rPr>
          <w:rFonts w:ascii="Arial" w:hAnsi="Arial"/>
          <w:sz w:val="16"/>
        </w:rPr>
        <w:t>table, the benefits</w:t>
      </w:r>
      <w:r w:rsidRPr="00283806">
        <w:rPr>
          <w:rFonts w:ascii="Arial" w:hAnsi="Arial"/>
          <w:spacing w:val="1"/>
          <w:sz w:val="16"/>
        </w:rPr>
        <w:t xml:space="preserve"> </w:t>
      </w:r>
      <w:r w:rsidRPr="00283806">
        <w:rPr>
          <w:rFonts w:ascii="Arial" w:hAnsi="Arial"/>
          <w:sz w:val="16"/>
        </w:rPr>
        <w:t>associated with the</w:t>
      </w:r>
      <w:r w:rsidRPr="00283806">
        <w:rPr>
          <w:rFonts w:ascii="Arial" w:hAnsi="Arial"/>
          <w:spacing w:val="1"/>
          <w:sz w:val="16"/>
        </w:rPr>
        <w:t xml:space="preserve"> </w:t>
      </w:r>
      <w:r w:rsidRPr="00283806">
        <w:rPr>
          <w:rFonts w:ascii="Arial" w:hAnsi="Arial"/>
          <w:sz w:val="16"/>
        </w:rPr>
        <w:t>average</w:t>
      </w:r>
      <w:r w:rsidRPr="00283806">
        <w:rPr>
          <w:rFonts w:ascii="Arial" w:hAnsi="Arial"/>
          <w:spacing w:val="-1"/>
          <w:sz w:val="16"/>
        </w:rPr>
        <w:t xml:space="preserve"> </w:t>
      </w:r>
      <w:r w:rsidRPr="00283806">
        <w:rPr>
          <w:rFonts w:ascii="Arial" w:hAnsi="Arial"/>
          <w:sz w:val="16"/>
        </w:rPr>
        <w:t>SC–HFC are</w:t>
      </w:r>
      <w:r w:rsidRPr="00283806">
        <w:rPr>
          <w:rFonts w:ascii="Arial" w:hAnsi="Arial"/>
          <w:spacing w:val="1"/>
          <w:sz w:val="16"/>
        </w:rPr>
        <w:t xml:space="preserve"> </w:t>
      </w:r>
      <w:r w:rsidRPr="00283806">
        <w:rPr>
          <w:rFonts w:ascii="Arial" w:hAnsi="Arial"/>
          <w:sz w:val="16"/>
        </w:rPr>
        <w:t xml:space="preserve">shown </w:t>
      </w:r>
      <w:r w:rsidRPr="00283806">
        <w:rPr>
          <w:rFonts w:ascii="Arial" w:hAnsi="Arial"/>
          <w:spacing w:val="-5"/>
          <w:sz w:val="16"/>
        </w:rPr>
        <w:t>at</w:t>
      </w:r>
    </w:p>
    <w:p w14:paraId="66705FD2" w14:textId="77777777" w:rsidR="00D67C1E" w:rsidRPr="00283806" w:rsidRDefault="001265CA">
      <w:pPr>
        <w:spacing w:line="152" w:lineRule="exact"/>
        <w:ind w:left="159"/>
        <w:jc w:val="both"/>
        <w:rPr>
          <w:rFonts w:ascii="Arial"/>
          <w:sz w:val="16"/>
        </w:rPr>
      </w:pPr>
      <w:r w:rsidRPr="00283806">
        <w:rPr>
          <w:rFonts w:ascii="Arial"/>
          <w:sz w:val="16"/>
        </w:rPr>
        <w:t>a</w:t>
      </w:r>
      <w:r w:rsidRPr="00283806">
        <w:rPr>
          <w:rFonts w:ascii="Arial"/>
          <w:spacing w:val="-1"/>
          <w:sz w:val="16"/>
        </w:rPr>
        <w:t xml:space="preserve"> </w:t>
      </w:r>
      <w:r w:rsidRPr="00283806">
        <w:rPr>
          <w:rFonts w:ascii="Arial"/>
          <w:sz w:val="16"/>
        </w:rPr>
        <w:t>three</w:t>
      </w:r>
      <w:r w:rsidRPr="00283806">
        <w:rPr>
          <w:rFonts w:ascii="Arial"/>
          <w:spacing w:val="-1"/>
          <w:sz w:val="16"/>
        </w:rPr>
        <w:t xml:space="preserve"> </w:t>
      </w:r>
      <w:r w:rsidRPr="00283806">
        <w:rPr>
          <w:rFonts w:ascii="Arial"/>
          <w:sz w:val="16"/>
        </w:rPr>
        <w:t>percent discount</w:t>
      </w:r>
      <w:r w:rsidRPr="00283806">
        <w:rPr>
          <w:rFonts w:ascii="Arial"/>
          <w:spacing w:val="-1"/>
          <w:sz w:val="16"/>
        </w:rPr>
        <w:t xml:space="preserve"> </w:t>
      </w:r>
      <w:r w:rsidRPr="00283806">
        <w:rPr>
          <w:rFonts w:ascii="Arial"/>
          <w:sz w:val="16"/>
        </w:rPr>
        <w:t>rate. More</w:t>
      </w:r>
      <w:r w:rsidRPr="00283806">
        <w:rPr>
          <w:rFonts w:ascii="Arial"/>
          <w:spacing w:val="-1"/>
          <w:sz w:val="16"/>
        </w:rPr>
        <w:t xml:space="preserve"> </w:t>
      </w:r>
      <w:r w:rsidRPr="00283806">
        <w:rPr>
          <w:rFonts w:ascii="Arial"/>
          <w:sz w:val="16"/>
        </w:rPr>
        <w:t>details</w:t>
      </w:r>
      <w:r w:rsidRPr="00283806">
        <w:rPr>
          <w:rFonts w:ascii="Arial"/>
          <w:spacing w:val="-1"/>
          <w:sz w:val="16"/>
        </w:rPr>
        <w:t xml:space="preserve"> </w:t>
      </w:r>
      <w:r w:rsidRPr="00283806">
        <w:rPr>
          <w:rFonts w:ascii="Arial"/>
          <w:sz w:val="16"/>
        </w:rPr>
        <w:t>can be</w:t>
      </w:r>
      <w:r w:rsidRPr="00283806">
        <w:rPr>
          <w:rFonts w:ascii="Arial"/>
          <w:spacing w:val="-1"/>
          <w:sz w:val="16"/>
        </w:rPr>
        <w:t xml:space="preserve"> </w:t>
      </w:r>
      <w:r w:rsidRPr="00283806">
        <w:rPr>
          <w:rFonts w:ascii="Arial"/>
          <w:sz w:val="16"/>
        </w:rPr>
        <w:t>found in</w:t>
      </w:r>
      <w:r w:rsidRPr="00283806">
        <w:rPr>
          <w:rFonts w:ascii="Arial"/>
          <w:spacing w:val="-1"/>
          <w:sz w:val="16"/>
        </w:rPr>
        <w:t xml:space="preserve"> </w:t>
      </w:r>
      <w:r w:rsidRPr="00283806">
        <w:rPr>
          <w:rFonts w:ascii="Arial"/>
          <w:sz w:val="16"/>
        </w:rPr>
        <w:t>the</w:t>
      </w:r>
      <w:r w:rsidRPr="00283806">
        <w:rPr>
          <w:rFonts w:ascii="Arial"/>
          <w:spacing w:val="-1"/>
          <w:sz w:val="16"/>
        </w:rPr>
        <w:t xml:space="preserve"> </w:t>
      </w:r>
      <w:r w:rsidRPr="00283806">
        <w:rPr>
          <w:rFonts w:ascii="Arial"/>
          <w:sz w:val="16"/>
        </w:rPr>
        <w:t>RIA addendum</w:t>
      </w:r>
      <w:r w:rsidRPr="00283806">
        <w:rPr>
          <w:rFonts w:ascii="Arial"/>
          <w:spacing w:val="-1"/>
          <w:sz w:val="16"/>
        </w:rPr>
        <w:t xml:space="preserve"> </w:t>
      </w:r>
      <w:r w:rsidRPr="00283806">
        <w:rPr>
          <w:rFonts w:ascii="Arial"/>
          <w:sz w:val="16"/>
        </w:rPr>
        <w:t>for the</w:t>
      </w:r>
      <w:r w:rsidRPr="00283806">
        <w:rPr>
          <w:rFonts w:ascii="Arial"/>
          <w:spacing w:val="-1"/>
          <w:sz w:val="16"/>
        </w:rPr>
        <w:t xml:space="preserve"> </w:t>
      </w:r>
      <w:r w:rsidRPr="00283806">
        <w:rPr>
          <w:rFonts w:ascii="Arial"/>
          <w:sz w:val="16"/>
        </w:rPr>
        <w:t>final</w:t>
      </w:r>
      <w:r w:rsidRPr="00283806">
        <w:rPr>
          <w:rFonts w:ascii="Arial"/>
          <w:spacing w:val="-1"/>
          <w:sz w:val="16"/>
        </w:rPr>
        <w:t xml:space="preserve"> </w:t>
      </w:r>
      <w:r w:rsidRPr="00283806">
        <w:rPr>
          <w:rFonts w:ascii="Arial"/>
          <w:spacing w:val="-2"/>
          <w:sz w:val="16"/>
        </w:rPr>
        <w:t>rule.</w:t>
      </w:r>
    </w:p>
    <w:p w14:paraId="0018F188" w14:textId="77777777" w:rsidR="00D67C1E" w:rsidRPr="00283806" w:rsidRDefault="001265CA">
      <w:pPr>
        <w:spacing w:line="160" w:lineRule="exact"/>
        <w:ind w:left="320"/>
        <w:jc w:val="both"/>
        <w:rPr>
          <w:rFonts w:ascii="Arial"/>
          <w:sz w:val="16"/>
        </w:rPr>
      </w:pPr>
      <w:r w:rsidRPr="00283806">
        <w:rPr>
          <w:rFonts w:ascii="Arial"/>
          <w:position w:val="4"/>
          <w:sz w:val="10"/>
        </w:rPr>
        <w:t>b</w:t>
      </w:r>
      <w:r w:rsidRPr="00283806">
        <w:rPr>
          <w:rFonts w:ascii="Arial"/>
          <w:spacing w:val="-3"/>
          <w:position w:val="4"/>
          <w:sz w:val="10"/>
        </w:rPr>
        <w:t xml:space="preserve"> </w:t>
      </w:r>
      <w:r w:rsidRPr="00283806">
        <w:rPr>
          <w:rFonts w:ascii="Arial"/>
          <w:sz w:val="16"/>
        </w:rPr>
        <w:t>Rows</w:t>
      </w:r>
      <w:r w:rsidRPr="00283806">
        <w:rPr>
          <w:rFonts w:ascii="Arial"/>
          <w:spacing w:val="2"/>
          <w:sz w:val="16"/>
        </w:rPr>
        <w:t xml:space="preserve"> </w:t>
      </w:r>
      <w:r w:rsidRPr="00283806">
        <w:rPr>
          <w:rFonts w:ascii="Arial"/>
          <w:sz w:val="16"/>
        </w:rPr>
        <w:t>may</w:t>
      </w:r>
      <w:r w:rsidRPr="00283806">
        <w:rPr>
          <w:rFonts w:ascii="Arial"/>
          <w:spacing w:val="2"/>
          <w:sz w:val="16"/>
        </w:rPr>
        <w:t xml:space="preserve"> </w:t>
      </w:r>
      <w:r w:rsidRPr="00283806">
        <w:rPr>
          <w:rFonts w:ascii="Arial"/>
          <w:sz w:val="16"/>
        </w:rPr>
        <w:t>not</w:t>
      </w:r>
      <w:r w:rsidRPr="00283806">
        <w:rPr>
          <w:rFonts w:ascii="Arial"/>
          <w:spacing w:val="2"/>
          <w:sz w:val="16"/>
        </w:rPr>
        <w:t xml:space="preserve"> </w:t>
      </w:r>
      <w:r w:rsidRPr="00283806">
        <w:rPr>
          <w:rFonts w:ascii="Arial"/>
          <w:sz w:val="16"/>
        </w:rPr>
        <w:t>appear</w:t>
      </w:r>
      <w:r w:rsidRPr="00283806">
        <w:rPr>
          <w:rFonts w:ascii="Arial"/>
          <w:spacing w:val="2"/>
          <w:sz w:val="16"/>
        </w:rPr>
        <w:t xml:space="preserve"> </w:t>
      </w:r>
      <w:r w:rsidRPr="00283806">
        <w:rPr>
          <w:rFonts w:ascii="Arial"/>
          <w:sz w:val="16"/>
        </w:rPr>
        <w:t>to</w:t>
      </w:r>
      <w:r w:rsidRPr="00283806">
        <w:rPr>
          <w:rFonts w:ascii="Arial"/>
          <w:spacing w:val="2"/>
          <w:sz w:val="16"/>
        </w:rPr>
        <w:t xml:space="preserve"> </w:t>
      </w:r>
      <w:r w:rsidRPr="00283806">
        <w:rPr>
          <w:rFonts w:ascii="Arial"/>
          <w:sz w:val="16"/>
        </w:rPr>
        <w:t>add</w:t>
      </w:r>
      <w:r w:rsidRPr="00283806">
        <w:rPr>
          <w:rFonts w:ascii="Arial"/>
          <w:spacing w:val="2"/>
          <w:sz w:val="16"/>
        </w:rPr>
        <w:t xml:space="preserve"> </w:t>
      </w:r>
      <w:r w:rsidRPr="00283806">
        <w:rPr>
          <w:rFonts w:ascii="Arial"/>
          <w:sz w:val="16"/>
        </w:rPr>
        <w:t>correctly</w:t>
      </w:r>
      <w:r w:rsidRPr="00283806">
        <w:rPr>
          <w:rFonts w:ascii="Arial"/>
          <w:spacing w:val="2"/>
          <w:sz w:val="16"/>
        </w:rPr>
        <w:t xml:space="preserve"> </w:t>
      </w:r>
      <w:r w:rsidRPr="00283806">
        <w:rPr>
          <w:rFonts w:ascii="Arial"/>
          <w:sz w:val="16"/>
        </w:rPr>
        <w:t>due</w:t>
      </w:r>
      <w:r w:rsidRPr="00283806">
        <w:rPr>
          <w:rFonts w:ascii="Arial"/>
          <w:spacing w:val="2"/>
          <w:sz w:val="16"/>
        </w:rPr>
        <w:t xml:space="preserve"> </w:t>
      </w:r>
      <w:r w:rsidRPr="00283806">
        <w:rPr>
          <w:rFonts w:ascii="Arial"/>
          <w:sz w:val="16"/>
        </w:rPr>
        <w:t>to</w:t>
      </w:r>
      <w:r w:rsidRPr="00283806">
        <w:rPr>
          <w:rFonts w:ascii="Arial"/>
          <w:spacing w:val="2"/>
          <w:sz w:val="16"/>
        </w:rPr>
        <w:t xml:space="preserve"> </w:t>
      </w:r>
      <w:r w:rsidRPr="00283806">
        <w:rPr>
          <w:rFonts w:ascii="Arial"/>
          <w:spacing w:val="-2"/>
          <w:sz w:val="16"/>
        </w:rPr>
        <w:t>rounding.</w:t>
      </w:r>
    </w:p>
    <w:p w14:paraId="57F693A5" w14:textId="77777777" w:rsidR="00D67C1E" w:rsidRPr="00283806" w:rsidRDefault="001265CA">
      <w:pPr>
        <w:spacing w:line="160" w:lineRule="exact"/>
        <w:ind w:left="320"/>
        <w:jc w:val="both"/>
        <w:rPr>
          <w:rFonts w:ascii="Arial"/>
          <w:sz w:val="16"/>
        </w:rPr>
      </w:pPr>
      <w:r w:rsidRPr="00283806">
        <w:rPr>
          <w:rFonts w:ascii="Arial"/>
          <w:position w:val="4"/>
          <w:sz w:val="10"/>
        </w:rPr>
        <w:t>c</w:t>
      </w:r>
      <w:r w:rsidRPr="00283806">
        <w:rPr>
          <w:rFonts w:ascii="Arial"/>
          <w:spacing w:val="-4"/>
          <w:position w:val="4"/>
          <w:sz w:val="10"/>
        </w:rPr>
        <w:t xml:space="preserve"> </w:t>
      </w:r>
      <w:proofErr w:type="gramStart"/>
      <w:r w:rsidRPr="00283806">
        <w:rPr>
          <w:rFonts w:ascii="Arial"/>
          <w:sz w:val="16"/>
        </w:rPr>
        <w:t>The</w:t>
      </w:r>
      <w:proofErr w:type="gramEnd"/>
      <w:r w:rsidRPr="00283806">
        <w:rPr>
          <w:rFonts w:ascii="Arial"/>
          <w:sz w:val="16"/>
        </w:rPr>
        <w:t xml:space="preserve"> annualized present value of costs</w:t>
      </w:r>
      <w:r w:rsidRPr="00283806">
        <w:rPr>
          <w:rFonts w:ascii="Arial"/>
          <w:spacing w:val="-1"/>
          <w:sz w:val="16"/>
        </w:rPr>
        <w:t xml:space="preserve"> </w:t>
      </w:r>
      <w:r w:rsidRPr="00283806">
        <w:rPr>
          <w:rFonts w:ascii="Arial"/>
          <w:sz w:val="16"/>
        </w:rPr>
        <w:t>and benefits are calculated as if they</w:t>
      </w:r>
      <w:r w:rsidRPr="00283806">
        <w:rPr>
          <w:rFonts w:ascii="Arial"/>
          <w:spacing w:val="-1"/>
          <w:sz w:val="16"/>
        </w:rPr>
        <w:t xml:space="preserve"> </w:t>
      </w:r>
      <w:r w:rsidRPr="00283806">
        <w:rPr>
          <w:rFonts w:ascii="Arial"/>
          <w:sz w:val="16"/>
        </w:rPr>
        <w:t xml:space="preserve">occur over a 25-year </w:t>
      </w:r>
      <w:r w:rsidRPr="00283806">
        <w:rPr>
          <w:rFonts w:ascii="Arial"/>
          <w:spacing w:val="-2"/>
          <w:sz w:val="16"/>
        </w:rPr>
        <w:t>period.</w:t>
      </w:r>
    </w:p>
    <w:p w14:paraId="298B0559" w14:textId="77777777" w:rsidR="00D67C1E" w:rsidRPr="00283806" w:rsidRDefault="001265CA">
      <w:pPr>
        <w:spacing w:before="8" w:line="208" w:lineRule="auto"/>
        <w:ind w:left="160" w:right="118" w:firstLine="159"/>
        <w:jc w:val="both"/>
        <w:rPr>
          <w:rFonts w:ascii="Arial" w:hAnsi="Arial"/>
          <w:sz w:val="16"/>
        </w:rPr>
      </w:pPr>
      <w:r w:rsidRPr="00283806">
        <w:rPr>
          <w:rFonts w:ascii="Arial" w:hAnsi="Arial"/>
          <w:position w:val="4"/>
          <w:sz w:val="10"/>
        </w:rPr>
        <w:t>d</w:t>
      </w:r>
      <w:r w:rsidRPr="00283806">
        <w:rPr>
          <w:rFonts w:ascii="Arial" w:hAnsi="Arial"/>
          <w:spacing w:val="-3"/>
          <w:position w:val="4"/>
          <w:sz w:val="10"/>
        </w:rPr>
        <w:t xml:space="preserve"> </w:t>
      </w:r>
      <w:proofErr w:type="gramStart"/>
      <w:r w:rsidRPr="00283806">
        <w:rPr>
          <w:rFonts w:ascii="Arial" w:hAnsi="Arial"/>
          <w:sz w:val="16"/>
        </w:rPr>
        <w:t>The</w:t>
      </w:r>
      <w:proofErr w:type="gramEnd"/>
      <w:r w:rsidRPr="00283806">
        <w:rPr>
          <w:rFonts w:ascii="Arial" w:hAnsi="Arial"/>
          <w:sz w:val="16"/>
        </w:rPr>
        <w:t xml:space="preserve"> present value (PV) for the net benefits column is found by taking the difference between the PV of climate benefits at three percent and the PV of costs discounted at seven percent, three percent or two percent. Because the SC–HFC estimates reflect net climate change damages in terms of reduced consumption (or monetary consumption equivalents), the use of the social rate of return on capital (seven percent under OMB Circular A–4 (2003)) to discount damages estimated in terms of reduced consumption would inappropriately underestimate the impacts of climate change for the purposes of estimating the SC–HFC.</w:t>
      </w:r>
    </w:p>
    <w:p w14:paraId="5558F7BB" w14:textId="77777777" w:rsidR="00D67C1E" w:rsidRPr="00283806" w:rsidRDefault="001265CA">
      <w:pPr>
        <w:spacing w:line="208" w:lineRule="auto"/>
        <w:ind w:left="159" w:right="119" w:firstLine="160"/>
        <w:jc w:val="both"/>
        <w:rPr>
          <w:rFonts w:ascii="Arial"/>
          <w:sz w:val="16"/>
        </w:rPr>
      </w:pPr>
      <w:r w:rsidRPr="00283806">
        <w:rPr>
          <w:rFonts w:ascii="Arial"/>
          <w:position w:val="4"/>
          <w:sz w:val="10"/>
        </w:rPr>
        <w:t>e</w:t>
      </w:r>
      <w:r w:rsidRPr="00283806">
        <w:rPr>
          <w:rFonts w:ascii="Arial"/>
          <w:spacing w:val="-3"/>
          <w:position w:val="4"/>
          <w:sz w:val="10"/>
        </w:rPr>
        <w:t xml:space="preserve"> </w:t>
      </w:r>
      <w:r w:rsidRPr="00283806">
        <w:rPr>
          <w:rFonts w:ascii="Arial"/>
          <w:sz w:val="16"/>
        </w:rPr>
        <w:t>Costs represent compliance with the regulations and include potential savings from reducing refrigerant purchases. See the RIA</w:t>
      </w:r>
      <w:r w:rsidRPr="00283806">
        <w:rPr>
          <w:rFonts w:ascii="Arial"/>
          <w:spacing w:val="-1"/>
          <w:sz w:val="16"/>
        </w:rPr>
        <w:t xml:space="preserve"> </w:t>
      </w:r>
      <w:r w:rsidRPr="00283806">
        <w:rPr>
          <w:rFonts w:ascii="Arial"/>
          <w:sz w:val="16"/>
        </w:rPr>
        <w:t>addendum and the Economic Impact and Benefits TSD for additional information.</w:t>
      </w:r>
    </w:p>
    <w:p w14:paraId="512496F3" w14:textId="77777777" w:rsidR="00D67C1E" w:rsidRPr="00283806" w:rsidRDefault="001265CA">
      <w:pPr>
        <w:spacing w:line="152" w:lineRule="exact"/>
        <w:ind w:left="320"/>
        <w:jc w:val="both"/>
        <w:rPr>
          <w:rFonts w:ascii="Arial"/>
          <w:sz w:val="16"/>
        </w:rPr>
      </w:pPr>
      <w:r w:rsidRPr="00283806">
        <w:rPr>
          <w:rFonts w:ascii="Arial"/>
          <w:position w:val="4"/>
          <w:sz w:val="10"/>
        </w:rPr>
        <w:t>f</w:t>
      </w:r>
      <w:r w:rsidRPr="00283806">
        <w:rPr>
          <w:rFonts w:ascii="Arial"/>
          <w:spacing w:val="-3"/>
          <w:position w:val="4"/>
          <w:sz w:val="10"/>
        </w:rPr>
        <w:t xml:space="preserve"> </w:t>
      </w:r>
      <w:r w:rsidRPr="00283806">
        <w:rPr>
          <w:rFonts w:ascii="Arial"/>
          <w:sz w:val="16"/>
        </w:rPr>
        <w:t>Present value</w:t>
      </w:r>
      <w:r w:rsidRPr="00283806">
        <w:rPr>
          <w:rFonts w:ascii="Arial"/>
          <w:spacing w:val="1"/>
          <w:sz w:val="16"/>
        </w:rPr>
        <w:t xml:space="preserve"> </w:t>
      </w:r>
      <w:r w:rsidRPr="00283806">
        <w:rPr>
          <w:rFonts w:ascii="Arial"/>
          <w:sz w:val="16"/>
        </w:rPr>
        <w:t>and EAV</w:t>
      </w:r>
      <w:r w:rsidRPr="00283806">
        <w:rPr>
          <w:rFonts w:ascii="Arial"/>
          <w:spacing w:val="1"/>
          <w:sz w:val="16"/>
        </w:rPr>
        <w:t xml:space="preserve"> </w:t>
      </w:r>
      <w:r w:rsidRPr="00283806">
        <w:rPr>
          <w:rFonts w:ascii="Arial"/>
          <w:sz w:val="16"/>
        </w:rPr>
        <w:t>are</w:t>
      </w:r>
      <w:r w:rsidRPr="00283806">
        <w:rPr>
          <w:rFonts w:ascii="Arial"/>
          <w:spacing w:val="1"/>
          <w:sz w:val="16"/>
        </w:rPr>
        <w:t xml:space="preserve"> </w:t>
      </w:r>
      <w:r w:rsidRPr="00283806">
        <w:rPr>
          <w:rFonts w:ascii="Arial"/>
          <w:sz w:val="16"/>
        </w:rPr>
        <w:t>for the</w:t>
      </w:r>
      <w:r w:rsidRPr="00283806">
        <w:rPr>
          <w:rFonts w:ascii="Arial"/>
          <w:spacing w:val="1"/>
          <w:sz w:val="16"/>
        </w:rPr>
        <w:t xml:space="preserve"> </w:t>
      </w:r>
      <w:r w:rsidRPr="00283806">
        <w:rPr>
          <w:rFonts w:ascii="Arial"/>
          <w:sz w:val="16"/>
        </w:rPr>
        <w:t>years 2026</w:t>
      </w:r>
      <w:r w:rsidRPr="00283806">
        <w:rPr>
          <w:rFonts w:ascii="Arial"/>
          <w:spacing w:val="1"/>
          <w:sz w:val="16"/>
        </w:rPr>
        <w:t xml:space="preserve"> </w:t>
      </w:r>
      <w:r w:rsidRPr="00283806">
        <w:rPr>
          <w:rFonts w:ascii="Arial"/>
          <w:sz w:val="16"/>
        </w:rPr>
        <w:t xml:space="preserve">through </w:t>
      </w:r>
      <w:r w:rsidRPr="00283806">
        <w:rPr>
          <w:rFonts w:ascii="Arial"/>
          <w:spacing w:val="-2"/>
          <w:sz w:val="16"/>
        </w:rPr>
        <w:t>2050.</w:t>
      </w:r>
    </w:p>
    <w:p w14:paraId="03BFD633" w14:textId="77777777" w:rsidR="00D67C1E" w:rsidRPr="00283806" w:rsidRDefault="001265CA">
      <w:pPr>
        <w:spacing w:before="7" w:line="208" w:lineRule="auto"/>
        <w:ind w:left="160" w:right="119" w:firstLine="159"/>
        <w:jc w:val="both"/>
        <w:rPr>
          <w:rFonts w:ascii="Arial"/>
          <w:sz w:val="16"/>
        </w:rPr>
      </w:pPr>
      <w:r w:rsidRPr="00283806">
        <w:rPr>
          <w:rFonts w:ascii="Arial"/>
          <w:position w:val="4"/>
          <w:sz w:val="10"/>
        </w:rPr>
        <w:t>g</w:t>
      </w:r>
      <w:r w:rsidRPr="00283806">
        <w:rPr>
          <w:rFonts w:ascii="Arial"/>
          <w:spacing w:val="-3"/>
          <w:position w:val="4"/>
          <w:sz w:val="10"/>
        </w:rPr>
        <w:t xml:space="preserve"> </w:t>
      </w:r>
      <w:r w:rsidRPr="00283806">
        <w:rPr>
          <w:rFonts w:ascii="Arial"/>
          <w:sz w:val="16"/>
        </w:rPr>
        <w:t>Benefits presented in this table do not include potential savings from amended RCRA regulations, which are separate from the regulations</w:t>
      </w:r>
      <w:r w:rsidRPr="00283806">
        <w:rPr>
          <w:rFonts w:ascii="Arial"/>
          <w:spacing w:val="40"/>
          <w:sz w:val="16"/>
        </w:rPr>
        <w:t xml:space="preserve"> </w:t>
      </w:r>
      <w:r w:rsidRPr="00283806">
        <w:rPr>
          <w:rFonts w:ascii="Arial"/>
          <w:sz w:val="16"/>
        </w:rPr>
        <w:t>under subsection (h)(1) of the AIM Act. See Table 6 below for an estimate of combined AIM Act and RCRA net benefits.</w:t>
      </w:r>
    </w:p>
    <w:p w14:paraId="718927E9" w14:textId="77777777" w:rsidR="00D67C1E" w:rsidRPr="00283806" w:rsidRDefault="00D67C1E">
      <w:pPr>
        <w:pStyle w:val="BodyText"/>
        <w:spacing w:before="43"/>
        <w:ind w:left="0"/>
        <w:rPr>
          <w:rFonts w:ascii="Arial"/>
          <w:sz w:val="20"/>
        </w:rPr>
      </w:pPr>
    </w:p>
    <w:p w14:paraId="35CCF721" w14:textId="77777777" w:rsidR="00D67C1E" w:rsidRPr="00283806" w:rsidRDefault="00D67C1E">
      <w:pPr>
        <w:rPr>
          <w:rFonts w:ascii="Arial"/>
          <w:sz w:val="20"/>
        </w:rPr>
        <w:sectPr w:rsidR="00D67C1E" w:rsidRPr="00283806">
          <w:type w:val="continuous"/>
          <w:pgSz w:w="12240" w:h="15840"/>
          <w:pgMar w:top="880" w:right="780" w:bottom="280" w:left="740" w:header="627" w:footer="0" w:gutter="0"/>
          <w:cols w:space="720"/>
        </w:sectPr>
      </w:pPr>
    </w:p>
    <w:p w14:paraId="13316C9B" w14:textId="77777777" w:rsidR="00D67C1E" w:rsidRPr="00283806" w:rsidRDefault="001265CA">
      <w:pPr>
        <w:pStyle w:val="BodyText"/>
        <w:spacing w:before="109" w:line="228" w:lineRule="auto"/>
        <w:ind w:right="38" w:firstLine="180"/>
      </w:pPr>
      <w:r w:rsidRPr="00283806">
        <w:t>The provisions that contribute to the</w:t>
      </w:r>
      <w:r w:rsidRPr="00283806">
        <w:rPr>
          <w:w w:val="110"/>
        </w:rPr>
        <w:t xml:space="preserve"> total net benefits of the final rule are those covering leak inspections, leak repair, installation of ALD systems, reduced</w:t>
      </w:r>
      <w:r w:rsidRPr="00283806">
        <w:rPr>
          <w:spacing w:val="-11"/>
          <w:w w:val="110"/>
        </w:rPr>
        <w:t xml:space="preserve"> </w:t>
      </w:r>
      <w:r w:rsidRPr="00283806">
        <w:rPr>
          <w:w w:val="110"/>
        </w:rPr>
        <w:t>emissions</w:t>
      </w:r>
      <w:r w:rsidRPr="00283806">
        <w:rPr>
          <w:spacing w:val="-11"/>
          <w:w w:val="110"/>
        </w:rPr>
        <w:t xml:space="preserve"> </w:t>
      </w:r>
      <w:r w:rsidRPr="00283806">
        <w:rPr>
          <w:w w:val="110"/>
        </w:rPr>
        <w:t>and</w:t>
      </w:r>
      <w:r w:rsidRPr="00283806">
        <w:rPr>
          <w:spacing w:val="-11"/>
          <w:w w:val="110"/>
        </w:rPr>
        <w:t xml:space="preserve"> </w:t>
      </w:r>
      <w:r w:rsidRPr="00283806">
        <w:rPr>
          <w:w w:val="110"/>
        </w:rPr>
        <w:t>use</w:t>
      </w:r>
      <w:r w:rsidRPr="00283806">
        <w:rPr>
          <w:spacing w:val="-11"/>
          <w:w w:val="110"/>
        </w:rPr>
        <w:t xml:space="preserve"> </w:t>
      </w:r>
      <w:r w:rsidRPr="00283806">
        <w:rPr>
          <w:w w:val="110"/>
        </w:rPr>
        <w:t>of</w:t>
      </w:r>
      <w:r w:rsidRPr="00283806">
        <w:rPr>
          <w:spacing w:val="-11"/>
          <w:w w:val="110"/>
        </w:rPr>
        <w:t xml:space="preserve"> </w:t>
      </w:r>
      <w:r w:rsidRPr="00283806">
        <w:rPr>
          <w:w w:val="110"/>
        </w:rPr>
        <w:t>recycled</w:t>
      </w:r>
    </w:p>
    <w:p w14:paraId="6A2031F3" w14:textId="77777777" w:rsidR="00D67C1E" w:rsidRPr="00283806" w:rsidRDefault="001265CA">
      <w:pPr>
        <w:pStyle w:val="BodyText"/>
        <w:spacing w:before="109" w:line="228" w:lineRule="auto"/>
      </w:pPr>
      <w:r w:rsidRPr="00283806">
        <w:br w:type="column"/>
      </w:r>
      <w:r w:rsidRPr="00283806">
        <w:rPr>
          <w:w w:val="105"/>
        </w:rPr>
        <w:t>HFCs in the fire suppression sector, management and ultimate evacuation of disposable cylinders, and the required servicing and/or repair of certain refrigerant-containing equipment with</w:t>
      </w:r>
    </w:p>
    <w:p w14:paraId="70292798" w14:textId="77777777" w:rsidR="00D67C1E" w:rsidRPr="00283806" w:rsidRDefault="001265CA">
      <w:pPr>
        <w:pStyle w:val="BodyText"/>
        <w:spacing w:before="109" w:line="228" w:lineRule="auto"/>
        <w:ind w:right="213"/>
      </w:pPr>
      <w:r w:rsidRPr="00283806">
        <w:br w:type="column"/>
      </w:r>
      <w:r w:rsidRPr="00283806">
        <w:rPr>
          <w:w w:val="105"/>
        </w:rPr>
        <w:t>reclaimed HFCs, and all associated recordkeeping and reporting requirements. Estimated costs, benefits, and resulting net benefits are provided by type of provision in Table 6 below.</w:t>
      </w:r>
    </w:p>
    <w:p w14:paraId="75E0D6C5" w14:textId="77777777" w:rsidR="00D67C1E" w:rsidRPr="00283806" w:rsidRDefault="00D67C1E">
      <w:pPr>
        <w:spacing w:line="228" w:lineRule="auto"/>
        <w:sectPr w:rsidR="00D67C1E" w:rsidRPr="00283806">
          <w:type w:val="continuous"/>
          <w:pgSz w:w="12240" w:h="15840"/>
          <w:pgMar w:top="880" w:right="780" w:bottom="280" w:left="740" w:header="627" w:footer="0" w:gutter="0"/>
          <w:cols w:num="3" w:space="720" w:equalWidth="0">
            <w:col w:w="3406" w:space="134"/>
            <w:col w:w="3467" w:space="73"/>
            <w:col w:w="3640"/>
          </w:cols>
        </w:sectPr>
      </w:pPr>
    </w:p>
    <w:p w14:paraId="4D9C3AC7" w14:textId="77777777" w:rsidR="00D67C1E" w:rsidRPr="00283806" w:rsidRDefault="001265CA">
      <w:pPr>
        <w:pStyle w:val="Heading1"/>
        <w:spacing w:before="120" w:line="230" w:lineRule="auto"/>
        <w:ind w:left="2863" w:right="300" w:hanging="2590"/>
      </w:pPr>
      <w:r w:rsidRPr="00283806">
        <w:rPr>
          <w:smallCaps/>
        </w:rPr>
        <w:t>Table 6—Summary of Present Value Costs, Benefits, and Net Benefits by Regulatory Provision (Millions</w:t>
      </w:r>
      <w:r w:rsidRPr="00283806">
        <w:rPr>
          <w:smallCaps/>
          <w:spacing w:val="80"/>
        </w:rPr>
        <w:t xml:space="preserve"> </w:t>
      </w:r>
      <w:r w:rsidRPr="00283806">
        <w:rPr>
          <w:smallCaps/>
        </w:rPr>
        <w:t>of 2022$, Discounted to 2024)—Base Case Scenario</w:t>
      </w:r>
    </w:p>
    <w:p w14:paraId="7D87BDD4" w14:textId="77777777" w:rsidR="00D67C1E" w:rsidRPr="00283806" w:rsidRDefault="00D67C1E">
      <w:pPr>
        <w:pStyle w:val="BodyText"/>
        <w:spacing w:before="1"/>
        <w:ind w:left="0"/>
        <w:rPr>
          <w:rFonts w:ascii="Arial"/>
          <w:sz w:val="9"/>
        </w:rPr>
      </w:pPr>
    </w:p>
    <w:tbl>
      <w:tblPr>
        <w:tblW w:w="0" w:type="auto"/>
        <w:tblInd w:w="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56"/>
        <w:gridCol w:w="701"/>
        <w:gridCol w:w="1236"/>
        <w:gridCol w:w="1236"/>
        <w:gridCol w:w="1236"/>
        <w:gridCol w:w="1236"/>
        <w:gridCol w:w="1236"/>
        <w:gridCol w:w="1204"/>
      </w:tblGrid>
      <w:tr w:rsidR="00D67C1E" w:rsidRPr="00283806" w14:paraId="217F09B8" w14:textId="77777777">
        <w:trPr>
          <w:trHeight w:val="558"/>
        </w:trPr>
        <w:tc>
          <w:tcPr>
            <w:tcW w:w="2356" w:type="dxa"/>
            <w:tcBorders>
              <w:left w:val="nil"/>
            </w:tcBorders>
          </w:tcPr>
          <w:p w14:paraId="5B8A708A" w14:textId="77777777" w:rsidR="00D67C1E" w:rsidRPr="00283806" w:rsidRDefault="00D67C1E">
            <w:pPr>
              <w:pStyle w:val="TableParagraph"/>
              <w:spacing w:before="28" w:line="240" w:lineRule="auto"/>
              <w:jc w:val="left"/>
              <w:rPr>
                <w:sz w:val="14"/>
              </w:rPr>
            </w:pPr>
          </w:p>
          <w:p w14:paraId="690C4827" w14:textId="77777777" w:rsidR="00D67C1E" w:rsidRPr="00283806" w:rsidRDefault="001265CA">
            <w:pPr>
              <w:pStyle w:val="TableParagraph"/>
              <w:spacing w:line="240" w:lineRule="auto"/>
              <w:ind w:right="66"/>
              <w:rPr>
                <w:sz w:val="14"/>
              </w:rPr>
            </w:pPr>
            <w:r w:rsidRPr="00283806">
              <w:rPr>
                <w:spacing w:val="-2"/>
                <w:sz w:val="14"/>
              </w:rPr>
              <w:t>Provision</w:t>
            </w:r>
          </w:p>
        </w:tc>
        <w:tc>
          <w:tcPr>
            <w:tcW w:w="701" w:type="dxa"/>
          </w:tcPr>
          <w:p w14:paraId="17390133" w14:textId="77777777" w:rsidR="00D67C1E" w:rsidRPr="00283806" w:rsidRDefault="001265CA">
            <w:pPr>
              <w:pStyle w:val="TableParagraph"/>
              <w:spacing w:before="66" w:line="208" w:lineRule="auto"/>
              <w:ind w:left="100" w:right="98" w:hanging="1"/>
              <w:rPr>
                <w:sz w:val="14"/>
              </w:rPr>
            </w:pPr>
            <w:r w:rsidRPr="00283806">
              <w:rPr>
                <w:spacing w:val="-2"/>
                <w:sz w:val="14"/>
              </w:rPr>
              <w:t>Climate</w:t>
            </w:r>
            <w:r w:rsidRPr="00283806">
              <w:rPr>
                <w:spacing w:val="40"/>
                <w:sz w:val="14"/>
              </w:rPr>
              <w:t xml:space="preserve"> </w:t>
            </w:r>
            <w:r w:rsidRPr="00283806">
              <w:rPr>
                <w:spacing w:val="-2"/>
                <w:sz w:val="14"/>
              </w:rPr>
              <w:t>benefits</w:t>
            </w:r>
            <w:r w:rsidRPr="00283806">
              <w:rPr>
                <w:spacing w:val="40"/>
                <w:sz w:val="14"/>
              </w:rPr>
              <w:t xml:space="preserve"> </w:t>
            </w:r>
            <w:r w:rsidRPr="00283806">
              <w:rPr>
                <w:spacing w:val="-4"/>
                <w:sz w:val="14"/>
              </w:rPr>
              <w:t>(3%)</w:t>
            </w:r>
          </w:p>
        </w:tc>
        <w:tc>
          <w:tcPr>
            <w:tcW w:w="1236" w:type="dxa"/>
          </w:tcPr>
          <w:p w14:paraId="00EFACC4" w14:textId="77777777" w:rsidR="00D67C1E" w:rsidRPr="00283806" w:rsidRDefault="001265CA">
            <w:pPr>
              <w:pStyle w:val="TableParagraph"/>
              <w:spacing w:before="66" w:line="208" w:lineRule="auto"/>
              <w:ind w:left="329" w:right="327" w:hanging="1"/>
              <w:rPr>
                <w:sz w:val="14"/>
              </w:rPr>
            </w:pPr>
            <w:r w:rsidRPr="00283806">
              <w:rPr>
                <w:spacing w:val="-2"/>
                <w:sz w:val="14"/>
              </w:rPr>
              <w:t>Costs</w:t>
            </w:r>
            <w:r w:rsidRPr="00283806">
              <w:rPr>
                <w:spacing w:val="40"/>
                <w:sz w:val="14"/>
              </w:rPr>
              <w:t xml:space="preserve"> </w:t>
            </w:r>
            <w:r w:rsidRPr="00283806">
              <w:rPr>
                <w:spacing w:val="-2"/>
                <w:sz w:val="14"/>
              </w:rPr>
              <w:t>(savings)</w:t>
            </w:r>
            <w:r w:rsidRPr="00283806">
              <w:rPr>
                <w:spacing w:val="40"/>
                <w:sz w:val="14"/>
              </w:rPr>
              <w:t xml:space="preserve"> </w:t>
            </w:r>
            <w:r w:rsidRPr="00283806">
              <w:rPr>
                <w:spacing w:val="-4"/>
                <w:sz w:val="14"/>
              </w:rPr>
              <w:t>(2%)</w:t>
            </w:r>
          </w:p>
        </w:tc>
        <w:tc>
          <w:tcPr>
            <w:tcW w:w="1236" w:type="dxa"/>
          </w:tcPr>
          <w:p w14:paraId="05C38744" w14:textId="77777777" w:rsidR="00D67C1E" w:rsidRPr="00283806" w:rsidRDefault="001265CA">
            <w:pPr>
              <w:pStyle w:val="TableParagraph"/>
              <w:spacing w:before="66" w:line="208" w:lineRule="auto"/>
              <w:ind w:left="329" w:right="327" w:hanging="1"/>
              <w:rPr>
                <w:sz w:val="14"/>
              </w:rPr>
            </w:pPr>
            <w:r w:rsidRPr="00283806">
              <w:rPr>
                <w:spacing w:val="-2"/>
                <w:sz w:val="14"/>
              </w:rPr>
              <w:t>Costs</w:t>
            </w:r>
            <w:r w:rsidRPr="00283806">
              <w:rPr>
                <w:spacing w:val="40"/>
                <w:sz w:val="14"/>
              </w:rPr>
              <w:t xml:space="preserve"> </w:t>
            </w:r>
            <w:r w:rsidRPr="00283806">
              <w:rPr>
                <w:spacing w:val="-2"/>
                <w:sz w:val="14"/>
              </w:rPr>
              <w:t>(savings)</w:t>
            </w:r>
            <w:r w:rsidRPr="00283806">
              <w:rPr>
                <w:spacing w:val="40"/>
                <w:sz w:val="14"/>
              </w:rPr>
              <w:t xml:space="preserve"> </w:t>
            </w:r>
            <w:r w:rsidRPr="00283806">
              <w:rPr>
                <w:spacing w:val="-4"/>
                <w:sz w:val="14"/>
              </w:rPr>
              <w:t>(3%)</w:t>
            </w:r>
          </w:p>
        </w:tc>
        <w:tc>
          <w:tcPr>
            <w:tcW w:w="1236" w:type="dxa"/>
          </w:tcPr>
          <w:p w14:paraId="3928E7B0" w14:textId="77777777" w:rsidR="00D67C1E" w:rsidRPr="00283806" w:rsidRDefault="001265CA">
            <w:pPr>
              <w:pStyle w:val="TableParagraph"/>
              <w:spacing w:before="66" w:line="208" w:lineRule="auto"/>
              <w:ind w:left="328" w:right="327" w:hanging="1"/>
              <w:rPr>
                <w:sz w:val="14"/>
              </w:rPr>
            </w:pPr>
            <w:r w:rsidRPr="00283806">
              <w:rPr>
                <w:spacing w:val="-2"/>
                <w:sz w:val="14"/>
              </w:rPr>
              <w:t>Costs</w:t>
            </w:r>
            <w:r w:rsidRPr="00283806">
              <w:rPr>
                <w:spacing w:val="40"/>
                <w:sz w:val="14"/>
              </w:rPr>
              <w:t xml:space="preserve"> </w:t>
            </w:r>
            <w:r w:rsidRPr="00283806">
              <w:rPr>
                <w:spacing w:val="-2"/>
                <w:sz w:val="14"/>
              </w:rPr>
              <w:t>(savings)</w:t>
            </w:r>
            <w:r w:rsidRPr="00283806">
              <w:rPr>
                <w:spacing w:val="40"/>
                <w:sz w:val="14"/>
              </w:rPr>
              <w:t xml:space="preserve"> </w:t>
            </w:r>
            <w:r w:rsidRPr="00283806">
              <w:rPr>
                <w:spacing w:val="-4"/>
                <w:sz w:val="14"/>
              </w:rPr>
              <w:t>(7%)</w:t>
            </w:r>
          </w:p>
        </w:tc>
        <w:tc>
          <w:tcPr>
            <w:tcW w:w="1236" w:type="dxa"/>
          </w:tcPr>
          <w:p w14:paraId="714D21CF" w14:textId="77777777" w:rsidR="00D67C1E" w:rsidRPr="00283806" w:rsidRDefault="001265CA">
            <w:pPr>
              <w:pStyle w:val="TableParagraph"/>
              <w:spacing w:before="66" w:line="208" w:lineRule="auto"/>
              <w:ind w:left="200" w:right="14" w:firstLine="35"/>
              <w:jc w:val="left"/>
              <w:rPr>
                <w:sz w:val="14"/>
              </w:rPr>
            </w:pPr>
            <w:r w:rsidRPr="00283806">
              <w:rPr>
                <w:sz w:val="14"/>
              </w:rPr>
              <w:t>Net benefits</w:t>
            </w:r>
            <w:r w:rsidRPr="00283806">
              <w:rPr>
                <w:spacing w:val="40"/>
                <w:sz w:val="14"/>
              </w:rPr>
              <w:t xml:space="preserve"> </w:t>
            </w:r>
            <w:r w:rsidRPr="00283806">
              <w:rPr>
                <w:sz w:val="14"/>
              </w:rPr>
              <w:t>(3%</w:t>
            </w:r>
            <w:r w:rsidRPr="00283806">
              <w:rPr>
                <w:spacing w:val="4"/>
                <w:sz w:val="14"/>
              </w:rPr>
              <w:t xml:space="preserve"> </w:t>
            </w:r>
            <w:r w:rsidRPr="00283806">
              <w:rPr>
                <w:spacing w:val="-2"/>
                <w:sz w:val="14"/>
              </w:rPr>
              <w:t>benefits,</w:t>
            </w:r>
          </w:p>
          <w:p w14:paraId="3716FF1B" w14:textId="77777777" w:rsidR="00D67C1E" w:rsidRPr="00283806" w:rsidRDefault="001265CA">
            <w:pPr>
              <w:pStyle w:val="TableParagraph"/>
              <w:spacing w:line="144" w:lineRule="exact"/>
              <w:ind w:left="301"/>
              <w:jc w:val="left"/>
              <w:rPr>
                <w:sz w:val="14"/>
              </w:rPr>
            </w:pPr>
            <w:r w:rsidRPr="00283806">
              <w:rPr>
                <w:sz w:val="14"/>
              </w:rPr>
              <w:t>2%</w:t>
            </w:r>
            <w:r w:rsidRPr="00283806">
              <w:rPr>
                <w:spacing w:val="4"/>
                <w:sz w:val="14"/>
              </w:rPr>
              <w:t xml:space="preserve"> </w:t>
            </w:r>
            <w:r w:rsidRPr="00283806">
              <w:rPr>
                <w:spacing w:val="-2"/>
                <w:sz w:val="14"/>
              </w:rPr>
              <w:t>costs)</w:t>
            </w:r>
          </w:p>
        </w:tc>
        <w:tc>
          <w:tcPr>
            <w:tcW w:w="1236" w:type="dxa"/>
          </w:tcPr>
          <w:p w14:paraId="084580DC" w14:textId="77777777" w:rsidR="00D67C1E" w:rsidRPr="00283806" w:rsidRDefault="001265CA">
            <w:pPr>
              <w:pStyle w:val="TableParagraph"/>
              <w:spacing w:before="66" w:line="208" w:lineRule="auto"/>
              <w:ind w:left="200" w:right="14" w:firstLine="35"/>
              <w:jc w:val="left"/>
              <w:rPr>
                <w:sz w:val="14"/>
              </w:rPr>
            </w:pPr>
            <w:r w:rsidRPr="00283806">
              <w:rPr>
                <w:sz w:val="14"/>
              </w:rPr>
              <w:t>Net benefits</w:t>
            </w:r>
            <w:r w:rsidRPr="00283806">
              <w:rPr>
                <w:spacing w:val="40"/>
                <w:sz w:val="14"/>
              </w:rPr>
              <w:t xml:space="preserve"> </w:t>
            </w:r>
            <w:r w:rsidRPr="00283806">
              <w:rPr>
                <w:sz w:val="14"/>
              </w:rPr>
              <w:t>(3%</w:t>
            </w:r>
            <w:r w:rsidRPr="00283806">
              <w:rPr>
                <w:spacing w:val="4"/>
                <w:sz w:val="14"/>
              </w:rPr>
              <w:t xml:space="preserve"> </w:t>
            </w:r>
            <w:r w:rsidRPr="00283806">
              <w:rPr>
                <w:spacing w:val="-2"/>
                <w:sz w:val="14"/>
              </w:rPr>
              <w:t>benefits,</w:t>
            </w:r>
          </w:p>
          <w:p w14:paraId="6D6D276D" w14:textId="77777777" w:rsidR="00D67C1E" w:rsidRPr="00283806" w:rsidRDefault="001265CA">
            <w:pPr>
              <w:pStyle w:val="TableParagraph"/>
              <w:spacing w:line="144" w:lineRule="exact"/>
              <w:ind w:left="301"/>
              <w:jc w:val="left"/>
              <w:rPr>
                <w:sz w:val="14"/>
              </w:rPr>
            </w:pPr>
            <w:r w:rsidRPr="00283806">
              <w:rPr>
                <w:sz w:val="14"/>
              </w:rPr>
              <w:t>3%</w:t>
            </w:r>
            <w:r w:rsidRPr="00283806">
              <w:rPr>
                <w:spacing w:val="4"/>
                <w:sz w:val="14"/>
              </w:rPr>
              <w:t xml:space="preserve"> </w:t>
            </w:r>
            <w:r w:rsidRPr="00283806">
              <w:rPr>
                <w:spacing w:val="-2"/>
                <w:sz w:val="14"/>
              </w:rPr>
              <w:t>costs)</w:t>
            </w:r>
          </w:p>
        </w:tc>
        <w:tc>
          <w:tcPr>
            <w:tcW w:w="1204" w:type="dxa"/>
            <w:tcBorders>
              <w:right w:val="nil"/>
            </w:tcBorders>
          </w:tcPr>
          <w:p w14:paraId="0F8E6096" w14:textId="77777777" w:rsidR="00D67C1E" w:rsidRPr="00283806" w:rsidRDefault="001265CA">
            <w:pPr>
              <w:pStyle w:val="TableParagraph"/>
              <w:spacing w:before="66" w:line="208" w:lineRule="auto"/>
              <w:ind w:left="220" w:firstLine="35"/>
              <w:jc w:val="left"/>
              <w:rPr>
                <w:sz w:val="14"/>
              </w:rPr>
            </w:pPr>
            <w:r w:rsidRPr="00283806">
              <w:rPr>
                <w:sz w:val="14"/>
              </w:rPr>
              <w:t>Net benefits</w:t>
            </w:r>
            <w:r w:rsidRPr="00283806">
              <w:rPr>
                <w:spacing w:val="40"/>
                <w:sz w:val="14"/>
              </w:rPr>
              <w:t xml:space="preserve"> </w:t>
            </w:r>
            <w:r w:rsidRPr="00283806">
              <w:rPr>
                <w:sz w:val="14"/>
              </w:rPr>
              <w:t>(3%</w:t>
            </w:r>
            <w:r w:rsidRPr="00283806">
              <w:rPr>
                <w:spacing w:val="4"/>
                <w:sz w:val="14"/>
              </w:rPr>
              <w:t xml:space="preserve"> </w:t>
            </w:r>
            <w:r w:rsidRPr="00283806">
              <w:rPr>
                <w:spacing w:val="-2"/>
                <w:sz w:val="14"/>
              </w:rPr>
              <w:t>benefits,</w:t>
            </w:r>
          </w:p>
          <w:p w14:paraId="641C01D4" w14:textId="77777777" w:rsidR="00D67C1E" w:rsidRPr="00283806" w:rsidRDefault="001265CA">
            <w:pPr>
              <w:pStyle w:val="TableParagraph"/>
              <w:spacing w:line="144" w:lineRule="exact"/>
              <w:ind w:left="321"/>
              <w:jc w:val="left"/>
              <w:rPr>
                <w:sz w:val="14"/>
              </w:rPr>
            </w:pPr>
            <w:r w:rsidRPr="00283806">
              <w:rPr>
                <w:sz w:val="14"/>
              </w:rPr>
              <w:t>7%</w:t>
            </w:r>
            <w:r w:rsidRPr="00283806">
              <w:rPr>
                <w:spacing w:val="4"/>
                <w:sz w:val="14"/>
              </w:rPr>
              <w:t xml:space="preserve"> </w:t>
            </w:r>
            <w:r w:rsidRPr="00283806">
              <w:rPr>
                <w:spacing w:val="-2"/>
                <w:sz w:val="14"/>
              </w:rPr>
              <w:t>costs)</w:t>
            </w:r>
          </w:p>
        </w:tc>
      </w:tr>
      <w:tr w:rsidR="00D67C1E" w:rsidRPr="00283806" w14:paraId="522BFA6E" w14:textId="77777777">
        <w:trPr>
          <w:trHeight w:val="240"/>
        </w:trPr>
        <w:tc>
          <w:tcPr>
            <w:tcW w:w="2356" w:type="dxa"/>
            <w:tcBorders>
              <w:left w:val="nil"/>
              <w:bottom w:val="nil"/>
            </w:tcBorders>
          </w:tcPr>
          <w:p w14:paraId="21A49A4F" w14:textId="77777777" w:rsidR="00D67C1E" w:rsidRPr="00283806" w:rsidRDefault="001265CA">
            <w:pPr>
              <w:pStyle w:val="TableParagraph"/>
              <w:spacing w:before="75" w:line="145" w:lineRule="exact"/>
              <w:ind w:left="7" w:right="66"/>
              <w:rPr>
                <w:sz w:val="14"/>
              </w:rPr>
            </w:pPr>
            <w:r w:rsidRPr="00283806">
              <w:rPr>
                <w:sz w:val="14"/>
              </w:rPr>
              <w:t>Leak</w:t>
            </w:r>
            <w:r w:rsidRPr="00283806">
              <w:rPr>
                <w:spacing w:val="4"/>
                <w:sz w:val="14"/>
              </w:rPr>
              <w:t xml:space="preserve"> </w:t>
            </w:r>
            <w:r w:rsidRPr="00283806">
              <w:rPr>
                <w:sz w:val="14"/>
              </w:rPr>
              <w:t>Repair</w:t>
            </w:r>
            <w:r w:rsidRPr="00283806">
              <w:rPr>
                <w:spacing w:val="4"/>
                <w:sz w:val="14"/>
              </w:rPr>
              <w:t xml:space="preserve"> </w:t>
            </w:r>
            <w:proofErr w:type="gramStart"/>
            <w:r w:rsidRPr="00283806">
              <w:rPr>
                <w:sz w:val="14"/>
              </w:rPr>
              <w:t>And</w:t>
            </w:r>
            <w:proofErr w:type="gramEnd"/>
            <w:r w:rsidRPr="00283806">
              <w:rPr>
                <w:spacing w:val="5"/>
                <w:sz w:val="14"/>
              </w:rPr>
              <w:t xml:space="preserve"> </w:t>
            </w:r>
            <w:r w:rsidRPr="00283806">
              <w:rPr>
                <w:sz w:val="14"/>
              </w:rPr>
              <w:t>ALD</w:t>
            </w:r>
            <w:r w:rsidRPr="00283806">
              <w:rPr>
                <w:spacing w:val="38"/>
                <w:sz w:val="14"/>
              </w:rPr>
              <w:t xml:space="preserve"> </w:t>
            </w:r>
            <w:r w:rsidRPr="00283806">
              <w:rPr>
                <w:spacing w:val="-2"/>
                <w:sz w:val="14"/>
              </w:rPr>
              <w:t>.....................</w:t>
            </w:r>
          </w:p>
        </w:tc>
        <w:tc>
          <w:tcPr>
            <w:tcW w:w="701" w:type="dxa"/>
            <w:tcBorders>
              <w:bottom w:val="nil"/>
            </w:tcBorders>
          </w:tcPr>
          <w:p w14:paraId="42C08099" w14:textId="77777777" w:rsidR="00D67C1E" w:rsidRPr="00283806" w:rsidRDefault="001265CA">
            <w:pPr>
              <w:pStyle w:val="TableParagraph"/>
              <w:spacing w:before="75" w:line="145" w:lineRule="exact"/>
              <w:ind w:right="66"/>
              <w:jc w:val="right"/>
              <w:rPr>
                <w:sz w:val="14"/>
              </w:rPr>
            </w:pPr>
            <w:r w:rsidRPr="00283806">
              <w:rPr>
                <w:spacing w:val="-2"/>
                <w:sz w:val="14"/>
              </w:rPr>
              <w:t>$6,176</w:t>
            </w:r>
          </w:p>
        </w:tc>
        <w:tc>
          <w:tcPr>
            <w:tcW w:w="1236" w:type="dxa"/>
            <w:tcBorders>
              <w:bottom w:val="nil"/>
            </w:tcBorders>
          </w:tcPr>
          <w:p w14:paraId="6E123463" w14:textId="77777777" w:rsidR="00D67C1E" w:rsidRPr="00283806" w:rsidRDefault="001265CA">
            <w:pPr>
              <w:pStyle w:val="TableParagraph"/>
              <w:spacing w:before="75" w:line="145" w:lineRule="exact"/>
              <w:ind w:left="23" w:right="23"/>
              <w:rPr>
                <w:sz w:val="14"/>
              </w:rPr>
            </w:pPr>
            <w:r w:rsidRPr="00283806">
              <w:rPr>
                <w:sz w:val="14"/>
              </w:rPr>
              <w:t>$1,285</w:t>
            </w:r>
            <w:r w:rsidRPr="00283806">
              <w:rPr>
                <w:spacing w:val="34"/>
                <w:sz w:val="14"/>
              </w:rPr>
              <w:t xml:space="preserve"> </w:t>
            </w:r>
            <w:r w:rsidRPr="00283806">
              <w:rPr>
                <w:spacing w:val="-2"/>
                <w:sz w:val="14"/>
              </w:rPr>
              <w:t>...............</w:t>
            </w:r>
          </w:p>
        </w:tc>
        <w:tc>
          <w:tcPr>
            <w:tcW w:w="1236" w:type="dxa"/>
            <w:tcBorders>
              <w:bottom w:val="nil"/>
            </w:tcBorders>
          </w:tcPr>
          <w:p w14:paraId="4B70ACC1" w14:textId="77777777" w:rsidR="00D67C1E" w:rsidRPr="00283806" w:rsidRDefault="001265CA">
            <w:pPr>
              <w:pStyle w:val="TableParagraph"/>
              <w:spacing w:before="75" w:line="145" w:lineRule="exact"/>
              <w:ind w:left="23" w:right="23"/>
              <w:rPr>
                <w:sz w:val="14"/>
              </w:rPr>
            </w:pPr>
            <w:r w:rsidRPr="00283806">
              <w:rPr>
                <w:sz w:val="14"/>
              </w:rPr>
              <w:t>$1,146</w:t>
            </w:r>
            <w:r w:rsidRPr="00283806">
              <w:rPr>
                <w:spacing w:val="34"/>
                <w:sz w:val="14"/>
              </w:rPr>
              <w:t xml:space="preserve"> </w:t>
            </w:r>
            <w:r w:rsidRPr="00283806">
              <w:rPr>
                <w:spacing w:val="-2"/>
                <w:sz w:val="14"/>
              </w:rPr>
              <w:t>...............</w:t>
            </w:r>
          </w:p>
        </w:tc>
        <w:tc>
          <w:tcPr>
            <w:tcW w:w="1236" w:type="dxa"/>
            <w:tcBorders>
              <w:bottom w:val="nil"/>
            </w:tcBorders>
          </w:tcPr>
          <w:p w14:paraId="3CA04C71" w14:textId="77777777" w:rsidR="00D67C1E" w:rsidRPr="00283806" w:rsidRDefault="001265CA">
            <w:pPr>
              <w:pStyle w:val="TableParagraph"/>
              <w:spacing w:before="75" w:line="145" w:lineRule="exact"/>
              <w:ind w:left="23" w:right="23"/>
              <w:rPr>
                <w:sz w:val="14"/>
              </w:rPr>
            </w:pPr>
            <w:r w:rsidRPr="00283806">
              <w:rPr>
                <w:sz w:val="14"/>
              </w:rPr>
              <w:t>$760</w:t>
            </w:r>
            <w:r w:rsidRPr="00283806">
              <w:rPr>
                <w:spacing w:val="33"/>
                <w:sz w:val="14"/>
              </w:rPr>
              <w:t xml:space="preserve"> </w:t>
            </w:r>
            <w:r w:rsidRPr="00283806">
              <w:rPr>
                <w:spacing w:val="-2"/>
                <w:sz w:val="14"/>
              </w:rPr>
              <w:t>..................</w:t>
            </w:r>
          </w:p>
        </w:tc>
        <w:tc>
          <w:tcPr>
            <w:tcW w:w="1236" w:type="dxa"/>
            <w:tcBorders>
              <w:bottom w:val="nil"/>
            </w:tcBorders>
          </w:tcPr>
          <w:p w14:paraId="6CA16D34" w14:textId="77777777" w:rsidR="00D67C1E" w:rsidRPr="00283806" w:rsidRDefault="001265CA">
            <w:pPr>
              <w:pStyle w:val="TableParagraph"/>
              <w:spacing w:before="75" w:line="145" w:lineRule="exact"/>
              <w:ind w:left="23" w:right="23"/>
              <w:rPr>
                <w:sz w:val="14"/>
              </w:rPr>
            </w:pPr>
            <w:r w:rsidRPr="00283806">
              <w:rPr>
                <w:sz w:val="14"/>
              </w:rPr>
              <w:t>$4,891</w:t>
            </w:r>
            <w:r w:rsidRPr="00283806">
              <w:rPr>
                <w:spacing w:val="34"/>
                <w:sz w:val="14"/>
              </w:rPr>
              <w:t xml:space="preserve"> </w:t>
            </w:r>
            <w:r w:rsidRPr="00283806">
              <w:rPr>
                <w:spacing w:val="-2"/>
                <w:sz w:val="14"/>
              </w:rPr>
              <w:t>...............</w:t>
            </w:r>
          </w:p>
        </w:tc>
        <w:tc>
          <w:tcPr>
            <w:tcW w:w="1236" w:type="dxa"/>
            <w:tcBorders>
              <w:bottom w:val="nil"/>
            </w:tcBorders>
          </w:tcPr>
          <w:p w14:paraId="07E76226" w14:textId="77777777" w:rsidR="00D67C1E" w:rsidRPr="00283806" w:rsidRDefault="001265CA">
            <w:pPr>
              <w:pStyle w:val="TableParagraph"/>
              <w:spacing w:before="75" w:line="145" w:lineRule="exact"/>
              <w:ind w:left="23" w:right="23"/>
              <w:rPr>
                <w:sz w:val="14"/>
              </w:rPr>
            </w:pPr>
            <w:r w:rsidRPr="00283806">
              <w:rPr>
                <w:sz w:val="14"/>
              </w:rPr>
              <w:t>$5,031</w:t>
            </w:r>
            <w:r w:rsidRPr="00283806">
              <w:rPr>
                <w:spacing w:val="34"/>
                <w:sz w:val="14"/>
              </w:rPr>
              <w:t xml:space="preserve"> </w:t>
            </w:r>
            <w:r w:rsidRPr="00283806">
              <w:rPr>
                <w:spacing w:val="-2"/>
                <w:sz w:val="14"/>
              </w:rPr>
              <w:t>...............</w:t>
            </w:r>
          </w:p>
        </w:tc>
        <w:tc>
          <w:tcPr>
            <w:tcW w:w="1204" w:type="dxa"/>
            <w:tcBorders>
              <w:bottom w:val="nil"/>
              <w:right w:val="nil"/>
            </w:tcBorders>
          </w:tcPr>
          <w:p w14:paraId="52AD01D4" w14:textId="77777777" w:rsidR="00D67C1E" w:rsidRPr="00283806" w:rsidRDefault="001265CA">
            <w:pPr>
              <w:pStyle w:val="TableParagraph"/>
              <w:spacing w:before="75" w:line="145" w:lineRule="exact"/>
              <w:ind w:left="67"/>
              <w:jc w:val="left"/>
              <w:rPr>
                <w:sz w:val="14"/>
              </w:rPr>
            </w:pPr>
            <w:r w:rsidRPr="00283806">
              <w:rPr>
                <w:spacing w:val="-2"/>
                <w:sz w:val="14"/>
              </w:rPr>
              <w:t>$5,417.</w:t>
            </w:r>
          </w:p>
        </w:tc>
      </w:tr>
      <w:tr w:rsidR="00D67C1E" w:rsidRPr="00283806" w14:paraId="31A4A9E3" w14:textId="77777777">
        <w:trPr>
          <w:trHeight w:val="165"/>
        </w:trPr>
        <w:tc>
          <w:tcPr>
            <w:tcW w:w="2356" w:type="dxa"/>
            <w:tcBorders>
              <w:top w:val="nil"/>
              <w:left w:val="nil"/>
              <w:bottom w:val="nil"/>
            </w:tcBorders>
          </w:tcPr>
          <w:p w14:paraId="7C3334AF" w14:textId="77777777" w:rsidR="00D67C1E" w:rsidRPr="00283806" w:rsidRDefault="001265CA">
            <w:pPr>
              <w:pStyle w:val="TableParagraph"/>
              <w:spacing w:before="1" w:line="144" w:lineRule="exact"/>
              <w:ind w:left="7" w:right="66"/>
              <w:rPr>
                <w:sz w:val="14"/>
              </w:rPr>
            </w:pPr>
            <w:r w:rsidRPr="00283806">
              <w:rPr>
                <w:sz w:val="14"/>
              </w:rPr>
              <w:t>Fire</w:t>
            </w:r>
            <w:r w:rsidRPr="00283806">
              <w:rPr>
                <w:spacing w:val="3"/>
                <w:sz w:val="14"/>
              </w:rPr>
              <w:t xml:space="preserve"> </w:t>
            </w:r>
            <w:r w:rsidRPr="00283806">
              <w:rPr>
                <w:sz w:val="14"/>
              </w:rPr>
              <w:t>Suppression</w:t>
            </w:r>
            <w:r w:rsidRPr="00283806">
              <w:rPr>
                <w:spacing w:val="36"/>
                <w:sz w:val="14"/>
              </w:rPr>
              <w:t xml:space="preserve"> </w:t>
            </w:r>
            <w:r w:rsidRPr="00283806">
              <w:rPr>
                <w:spacing w:val="-2"/>
                <w:sz w:val="14"/>
              </w:rPr>
              <w:t>.............................</w:t>
            </w:r>
          </w:p>
        </w:tc>
        <w:tc>
          <w:tcPr>
            <w:tcW w:w="701" w:type="dxa"/>
            <w:tcBorders>
              <w:top w:val="nil"/>
              <w:bottom w:val="nil"/>
            </w:tcBorders>
          </w:tcPr>
          <w:p w14:paraId="53791EE6" w14:textId="77777777" w:rsidR="00D67C1E" w:rsidRPr="00283806" w:rsidRDefault="001265CA">
            <w:pPr>
              <w:pStyle w:val="TableParagraph"/>
              <w:spacing w:before="1" w:line="144" w:lineRule="exact"/>
              <w:ind w:right="65"/>
              <w:jc w:val="right"/>
              <w:rPr>
                <w:sz w:val="14"/>
              </w:rPr>
            </w:pPr>
            <w:r w:rsidRPr="00283806">
              <w:rPr>
                <w:spacing w:val="-5"/>
                <w:sz w:val="14"/>
              </w:rPr>
              <w:t>14</w:t>
            </w:r>
          </w:p>
        </w:tc>
        <w:tc>
          <w:tcPr>
            <w:tcW w:w="1236" w:type="dxa"/>
            <w:tcBorders>
              <w:top w:val="nil"/>
              <w:bottom w:val="nil"/>
            </w:tcBorders>
          </w:tcPr>
          <w:p w14:paraId="68A34B2C" w14:textId="77777777" w:rsidR="00D67C1E" w:rsidRPr="00283806" w:rsidRDefault="001265CA">
            <w:pPr>
              <w:pStyle w:val="TableParagraph"/>
              <w:spacing w:before="1" w:line="144" w:lineRule="exact"/>
              <w:ind w:left="23" w:right="23"/>
              <w:rPr>
                <w:sz w:val="14"/>
              </w:rPr>
            </w:pPr>
            <w:r w:rsidRPr="00283806">
              <w:rPr>
                <w:sz w:val="14"/>
              </w:rPr>
              <w:t>$15</w:t>
            </w:r>
            <w:r w:rsidRPr="00283806">
              <w:rPr>
                <w:spacing w:val="36"/>
                <w:sz w:val="14"/>
              </w:rPr>
              <w:t xml:space="preserve"> </w:t>
            </w:r>
            <w:r w:rsidRPr="00283806">
              <w:rPr>
                <w:spacing w:val="-2"/>
                <w:sz w:val="14"/>
              </w:rPr>
              <w:t>....................</w:t>
            </w:r>
          </w:p>
        </w:tc>
        <w:tc>
          <w:tcPr>
            <w:tcW w:w="1236" w:type="dxa"/>
            <w:tcBorders>
              <w:top w:val="nil"/>
              <w:bottom w:val="nil"/>
            </w:tcBorders>
          </w:tcPr>
          <w:p w14:paraId="5B87CD38" w14:textId="77777777" w:rsidR="00D67C1E" w:rsidRPr="00283806" w:rsidRDefault="001265CA">
            <w:pPr>
              <w:pStyle w:val="TableParagraph"/>
              <w:spacing w:before="1" w:line="144" w:lineRule="exact"/>
              <w:ind w:left="23" w:right="23"/>
              <w:rPr>
                <w:sz w:val="14"/>
              </w:rPr>
            </w:pPr>
            <w:r w:rsidRPr="00283806">
              <w:rPr>
                <w:sz w:val="14"/>
              </w:rPr>
              <w:t>$13</w:t>
            </w:r>
            <w:r w:rsidRPr="00283806">
              <w:rPr>
                <w:spacing w:val="36"/>
                <w:sz w:val="14"/>
              </w:rPr>
              <w:t xml:space="preserve"> </w:t>
            </w:r>
            <w:r w:rsidRPr="00283806">
              <w:rPr>
                <w:spacing w:val="-2"/>
                <w:sz w:val="14"/>
              </w:rPr>
              <w:t>....................</w:t>
            </w:r>
          </w:p>
        </w:tc>
        <w:tc>
          <w:tcPr>
            <w:tcW w:w="1236" w:type="dxa"/>
            <w:tcBorders>
              <w:top w:val="nil"/>
              <w:bottom w:val="nil"/>
            </w:tcBorders>
          </w:tcPr>
          <w:p w14:paraId="03D8CF50" w14:textId="77777777" w:rsidR="00D67C1E" w:rsidRPr="00283806" w:rsidRDefault="001265CA">
            <w:pPr>
              <w:pStyle w:val="TableParagraph"/>
              <w:spacing w:before="1" w:line="144" w:lineRule="exact"/>
              <w:ind w:left="23" w:right="23"/>
              <w:rPr>
                <w:sz w:val="14"/>
              </w:rPr>
            </w:pPr>
            <w:r w:rsidRPr="00283806">
              <w:rPr>
                <w:sz w:val="14"/>
              </w:rPr>
              <w:t>$7</w:t>
            </w:r>
            <w:r w:rsidRPr="00283806">
              <w:rPr>
                <w:spacing w:val="37"/>
                <w:sz w:val="14"/>
              </w:rPr>
              <w:t xml:space="preserve"> </w:t>
            </w:r>
            <w:r w:rsidRPr="00283806">
              <w:rPr>
                <w:spacing w:val="-2"/>
                <w:sz w:val="14"/>
              </w:rPr>
              <w:t>......................</w:t>
            </w:r>
          </w:p>
        </w:tc>
        <w:tc>
          <w:tcPr>
            <w:tcW w:w="1236" w:type="dxa"/>
            <w:tcBorders>
              <w:top w:val="nil"/>
              <w:bottom w:val="nil"/>
            </w:tcBorders>
          </w:tcPr>
          <w:p w14:paraId="2F95EE1B" w14:textId="77777777" w:rsidR="00D67C1E" w:rsidRPr="00283806" w:rsidRDefault="001265CA">
            <w:pPr>
              <w:pStyle w:val="TableParagraph"/>
              <w:spacing w:before="1" w:line="144" w:lineRule="exact"/>
              <w:ind w:left="23" w:right="23"/>
              <w:rPr>
                <w:sz w:val="14"/>
              </w:rPr>
            </w:pPr>
            <w:r w:rsidRPr="00283806">
              <w:rPr>
                <w:sz w:val="14"/>
              </w:rPr>
              <w:t>($1)</w:t>
            </w:r>
            <w:r w:rsidRPr="00283806">
              <w:rPr>
                <w:spacing w:val="20"/>
                <w:sz w:val="14"/>
              </w:rPr>
              <w:t xml:space="preserve"> </w:t>
            </w:r>
            <w:r w:rsidRPr="00283806">
              <w:rPr>
                <w:spacing w:val="-2"/>
                <w:sz w:val="14"/>
              </w:rPr>
              <w:t>....................</w:t>
            </w:r>
          </w:p>
        </w:tc>
        <w:tc>
          <w:tcPr>
            <w:tcW w:w="1236" w:type="dxa"/>
            <w:tcBorders>
              <w:top w:val="nil"/>
              <w:bottom w:val="nil"/>
            </w:tcBorders>
          </w:tcPr>
          <w:p w14:paraId="25DC4492" w14:textId="77777777" w:rsidR="00D67C1E" w:rsidRPr="00283806" w:rsidRDefault="001265CA">
            <w:pPr>
              <w:pStyle w:val="TableParagraph"/>
              <w:spacing w:before="1" w:line="144" w:lineRule="exact"/>
              <w:ind w:left="23" w:right="23"/>
              <w:rPr>
                <w:sz w:val="14"/>
              </w:rPr>
            </w:pPr>
            <w:r w:rsidRPr="00283806">
              <w:rPr>
                <w:sz w:val="14"/>
              </w:rPr>
              <w:t>$1</w:t>
            </w:r>
            <w:r w:rsidRPr="00283806">
              <w:rPr>
                <w:spacing w:val="37"/>
                <w:sz w:val="14"/>
              </w:rPr>
              <w:t xml:space="preserve"> </w:t>
            </w:r>
            <w:r w:rsidRPr="00283806">
              <w:rPr>
                <w:spacing w:val="-2"/>
                <w:sz w:val="14"/>
              </w:rPr>
              <w:t>......................</w:t>
            </w:r>
          </w:p>
        </w:tc>
        <w:tc>
          <w:tcPr>
            <w:tcW w:w="1204" w:type="dxa"/>
            <w:tcBorders>
              <w:top w:val="nil"/>
              <w:bottom w:val="nil"/>
              <w:right w:val="nil"/>
            </w:tcBorders>
          </w:tcPr>
          <w:p w14:paraId="0E3F68D0" w14:textId="77777777" w:rsidR="00D67C1E" w:rsidRPr="00283806" w:rsidRDefault="001265CA">
            <w:pPr>
              <w:pStyle w:val="TableParagraph"/>
              <w:spacing w:before="1" w:line="144" w:lineRule="exact"/>
              <w:ind w:left="67"/>
              <w:jc w:val="left"/>
              <w:rPr>
                <w:sz w:val="14"/>
              </w:rPr>
            </w:pPr>
            <w:r w:rsidRPr="00283806">
              <w:rPr>
                <w:spacing w:val="-5"/>
                <w:sz w:val="14"/>
              </w:rPr>
              <w:t>$7.</w:t>
            </w:r>
          </w:p>
        </w:tc>
      </w:tr>
      <w:tr w:rsidR="00D67C1E" w:rsidRPr="00283806" w14:paraId="30402EB3" w14:textId="77777777">
        <w:trPr>
          <w:trHeight w:val="163"/>
        </w:trPr>
        <w:tc>
          <w:tcPr>
            <w:tcW w:w="2356" w:type="dxa"/>
            <w:tcBorders>
              <w:top w:val="nil"/>
              <w:left w:val="nil"/>
              <w:bottom w:val="nil"/>
            </w:tcBorders>
          </w:tcPr>
          <w:p w14:paraId="15163765" w14:textId="77777777" w:rsidR="00D67C1E" w:rsidRPr="00283806" w:rsidRDefault="001265CA">
            <w:pPr>
              <w:pStyle w:val="TableParagraph"/>
              <w:spacing w:line="144" w:lineRule="exact"/>
              <w:ind w:left="7" w:right="66"/>
              <w:rPr>
                <w:sz w:val="14"/>
              </w:rPr>
            </w:pPr>
            <w:r w:rsidRPr="00283806">
              <w:rPr>
                <w:sz w:val="14"/>
              </w:rPr>
              <w:t>Cylinder</w:t>
            </w:r>
            <w:r w:rsidRPr="00283806">
              <w:rPr>
                <w:spacing w:val="2"/>
                <w:sz w:val="14"/>
              </w:rPr>
              <w:t xml:space="preserve"> </w:t>
            </w:r>
            <w:r w:rsidRPr="00283806">
              <w:rPr>
                <w:sz w:val="14"/>
              </w:rPr>
              <w:t>Management</w:t>
            </w:r>
            <w:r w:rsidRPr="00283806">
              <w:rPr>
                <w:spacing w:val="34"/>
                <w:sz w:val="14"/>
              </w:rPr>
              <w:t xml:space="preserve"> </w:t>
            </w:r>
            <w:r w:rsidRPr="00283806">
              <w:rPr>
                <w:spacing w:val="-2"/>
                <w:sz w:val="14"/>
              </w:rPr>
              <w:t>.....................</w:t>
            </w:r>
          </w:p>
        </w:tc>
        <w:tc>
          <w:tcPr>
            <w:tcW w:w="701" w:type="dxa"/>
            <w:tcBorders>
              <w:top w:val="nil"/>
              <w:bottom w:val="nil"/>
            </w:tcBorders>
          </w:tcPr>
          <w:p w14:paraId="1057CD93" w14:textId="77777777" w:rsidR="00D67C1E" w:rsidRPr="00283806" w:rsidRDefault="001265CA">
            <w:pPr>
              <w:pStyle w:val="TableParagraph"/>
              <w:spacing w:line="144" w:lineRule="exact"/>
              <w:ind w:right="66"/>
              <w:jc w:val="right"/>
              <w:rPr>
                <w:sz w:val="14"/>
              </w:rPr>
            </w:pPr>
            <w:r w:rsidRPr="00283806">
              <w:rPr>
                <w:spacing w:val="-2"/>
                <w:sz w:val="14"/>
              </w:rPr>
              <w:t>2,165</w:t>
            </w:r>
          </w:p>
        </w:tc>
        <w:tc>
          <w:tcPr>
            <w:tcW w:w="1236" w:type="dxa"/>
            <w:tcBorders>
              <w:top w:val="nil"/>
              <w:bottom w:val="nil"/>
            </w:tcBorders>
          </w:tcPr>
          <w:p w14:paraId="13763681" w14:textId="77777777" w:rsidR="00D67C1E" w:rsidRPr="00283806" w:rsidRDefault="001265CA">
            <w:pPr>
              <w:pStyle w:val="TableParagraph"/>
              <w:spacing w:line="144" w:lineRule="exact"/>
              <w:ind w:left="23" w:right="23"/>
              <w:rPr>
                <w:sz w:val="14"/>
              </w:rPr>
            </w:pPr>
            <w:r w:rsidRPr="00283806">
              <w:rPr>
                <w:sz w:val="14"/>
              </w:rPr>
              <w:t>($195)</w:t>
            </w:r>
            <w:r w:rsidRPr="00283806">
              <w:rPr>
                <w:spacing w:val="18"/>
                <w:sz w:val="14"/>
              </w:rPr>
              <w:t xml:space="preserve"> </w:t>
            </w:r>
            <w:r w:rsidRPr="00283806">
              <w:rPr>
                <w:spacing w:val="-2"/>
                <w:sz w:val="14"/>
              </w:rPr>
              <w:t>................</w:t>
            </w:r>
          </w:p>
        </w:tc>
        <w:tc>
          <w:tcPr>
            <w:tcW w:w="1236" w:type="dxa"/>
            <w:tcBorders>
              <w:top w:val="nil"/>
              <w:bottom w:val="nil"/>
            </w:tcBorders>
          </w:tcPr>
          <w:p w14:paraId="3915ABE2" w14:textId="77777777" w:rsidR="00D67C1E" w:rsidRPr="00283806" w:rsidRDefault="001265CA">
            <w:pPr>
              <w:pStyle w:val="TableParagraph"/>
              <w:spacing w:line="144" w:lineRule="exact"/>
              <w:ind w:left="23" w:right="23"/>
              <w:rPr>
                <w:sz w:val="14"/>
              </w:rPr>
            </w:pPr>
            <w:r w:rsidRPr="00283806">
              <w:rPr>
                <w:sz w:val="14"/>
              </w:rPr>
              <w:t>($169)</w:t>
            </w:r>
            <w:r w:rsidRPr="00283806">
              <w:rPr>
                <w:spacing w:val="17"/>
                <w:sz w:val="14"/>
              </w:rPr>
              <w:t xml:space="preserve"> </w:t>
            </w:r>
            <w:r w:rsidRPr="00283806">
              <w:rPr>
                <w:spacing w:val="-2"/>
                <w:sz w:val="14"/>
              </w:rPr>
              <w:t>................</w:t>
            </w:r>
          </w:p>
        </w:tc>
        <w:tc>
          <w:tcPr>
            <w:tcW w:w="1236" w:type="dxa"/>
            <w:tcBorders>
              <w:top w:val="nil"/>
              <w:bottom w:val="nil"/>
            </w:tcBorders>
          </w:tcPr>
          <w:p w14:paraId="0F6FDFB6" w14:textId="77777777" w:rsidR="00D67C1E" w:rsidRPr="00283806" w:rsidRDefault="001265CA">
            <w:pPr>
              <w:pStyle w:val="TableParagraph"/>
              <w:spacing w:line="144" w:lineRule="exact"/>
              <w:ind w:left="23" w:right="23"/>
              <w:rPr>
                <w:sz w:val="14"/>
              </w:rPr>
            </w:pPr>
            <w:r w:rsidRPr="00283806">
              <w:rPr>
                <w:sz w:val="14"/>
              </w:rPr>
              <w:t>($101)</w:t>
            </w:r>
            <w:r w:rsidRPr="00283806">
              <w:rPr>
                <w:spacing w:val="18"/>
                <w:sz w:val="14"/>
              </w:rPr>
              <w:t xml:space="preserve"> </w:t>
            </w:r>
            <w:r w:rsidRPr="00283806">
              <w:rPr>
                <w:spacing w:val="-2"/>
                <w:sz w:val="14"/>
              </w:rPr>
              <w:t>................</w:t>
            </w:r>
          </w:p>
        </w:tc>
        <w:tc>
          <w:tcPr>
            <w:tcW w:w="1236" w:type="dxa"/>
            <w:tcBorders>
              <w:top w:val="nil"/>
              <w:bottom w:val="nil"/>
            </w:tcBorders>
          </w:tcPr>
          <w:p w14:paraId="51E5FE17" w14:textId="77777777" w:rsidR="00D67C1E" w:rsidRPr="00283806" w:rsidRDefault="001265CA">
            <w:pPr>
              <w:pStyle w:val="TableParagraph"/>
              <w:spacing w:line="144" w:lineRule="exact"/>
              <w:ind w:left="23" w:right="23"/>
              <w:rPr>
                <w:sz w:val="14"/>
              </w:rPr>
            </w:pPr>
            <w:r w:rsidRPr="00283806">
              <w:rPr>
                <w:sz w:val="14"/>
              </w:rPr>
              <w:t>$2,360</w:t>
            </w:r>
            <w:r w:rsidRPr="00283806">
              <w:rPr>
                <w:spacing w:val="34"/>
                <w:sz w:val="14"/>
              </w:rPr>
              <w:t xml:space="preserve"> </w:t>
            </w:r>
            <w:r w:rsidRPr="00283806">
              <w:rPr>
                <w:spacing w:val="-2"/>
                <w:sz w:val="14"/>
              </w:rPr>
              <w:t>...............</w:t>
            </w:r>
          </w:p>
        </w:tc>
        <w:tc>
          <w:tcPr>
            <w:tcW w:w="1236" w:type="dxa"/>
            <w:tcBorders>
              <w:top w:val="nil"/>
              <w:bottom w:val="nil"/>
            </w:tcBorders>
          </w:tcPr>
          <w:p w14:paraId="7F51A24D" w14:textId="77777777" w:rsidR="00D67C1E" w:rsidRPr="00283806" w:rsidRDefault="001265CA">
            <w:pPr>
              <w:pStyle w:val="TableParagraph"/>
              <w:spacing w:line="144" w:lineRule="exact"/>
              <w:ind w:left="23" w:right="23"/>
              <w:rPr>
                <w:sz w:val="14"/>
              </w:rPr>
            </w:pPr>
            <w:r w:rsidRPr="00283806">
              <w:rPr>
                <w:sz w:val="14"/>
              </w:rPr>
              <w:t>$2,335</w:t>
            </w:r>
            <w:r w:rsidRPr="00283806">
              <w:rPr>
                <w:spacing w:val="32"/>
                <w:sz w:val="14"/>
              </w:rPr>
              <w:t xml:space="preserve"> </w:t>
            </w:r>
            <w:r w:rsidRPr="00283806">
              <w:rPr>
                <w:spacing w:val="-2"/>
                <w:sz w:val="14"/>
              </w:rPr>
              <w:t>...............</w:t>
            </w:r>
          </w:p>
        </w:tc>
        <w:tc>
          <w:tcPr>
            <w:tcW w:w="1204" w:type="dxa"/>
            <w:tcBorders>
              <w:top w:val="nil"/>
              <w:bottom w:val="nil"/>
              <w:right w:val="nil"/>
            </w:tcBorders>
          </w:tcPr>
          <w:p w14:paraId="79CC5E07" w14:textId="77777777" w:rsidR="00D67C1E" w:rsidRPr="00283806" w:rsidRDefault="001265CA">
            <w:pPr>
              <w:pStyle w:val="TableParagraph"/>
              <w:spacing w:line="144" w:lineRule="exact"/>
              <w:ind w:left="67"/>
              <w:jc w:val="left"/>
              <w:rPr>
                <w:sz w:val="14"/>
              </w:rPr>
            </w:pPr>
            <w:r w:rsidRPr="00283806">
              <w:rPr>
                <w:spacing w:val="-2"/>
                <w:sz w:val="14"/>
              </w:rPr>
              <w:t>$2,266.</w:t>
            </w:r>
          </w:p>
        </w:tc>
      </w:tr>
      <w:tr w:rsidR="00D67C1E" w:rsidRPr="00283806" w14:paraId="53A1361E" w14:textId="77777777">
        <w:trPr>
          <w:trHeight w:val="324"/>
        </w:trPr>
        <w:tc>
          <w:tcPr>
            <w:tcW w:w="2356" w:type="dxa"/>
            <w:tcBorders>
              <w:top w:val="nil"/>
              <w:left w:val="nil"/>
              <w:bottom w:val="nil"/>
            </w:tcBorders>
          </w:tcPr>
          <w:p w14:paraId="294C621E" w14:textId="77777777" w:rsidR="00D67C1E" w:rsidRPr="00283806" w:rsidRDefault="001265CA">
            <w:pPr>
              <w:pStyle w:val="TableParagraph"/>
              <w:ind w:left="145" w:hanging="140"/>
              <w:jc w:val="left"/>
              <w:rPr>
                <w:sz w:val="14"/>
              </w:rPr>
            </w:pPr>
            <w:r w:rsidRPr="00283806">
              <w:rPr>
                <w:sz w:val="14"/>
              </w:rPr>
              <w:t>Use of Reclaimed HFCs for Serv-</w:t>
            </w:r>
            <w:r w:rsidRPr="00283806">
              <w:rPr>
                <w:spacing w:val="40"/>
                <w:sz w:val="14"/>
              </w:rPr>
              <w:t xml:space="preserve"> </w:t>
            </w:r>
            <w:r w:rsidRPr="00283806">
              <w:rPr>
                <w:sz w:val="14"/>
              </w:rPr>
              <w:t>icing</w:t>
            </w:r>
            <w:r w:rsidRPr="00283806">
              <w:rPr>
                <w:spacing w:val="-17"/>
                <w:sz w:val="14"/>
              </w:rPr>
              <w:t xml:space="preserve"> </w:t>
            </w:r>
            <w:r w:rsidRPr="00283806">
              <w:rPr>
                <w:position w:val="4"/>
                <w:sz w:val="9"/>
              </w:rPr>
              <w:t>a</w:t>
            </w:r>
            <w:r w:rsidRPr="00283806">
              <w:rPr>
                <w:sz w:val="14"/>
              </w:rPr>
              <w:t>.</w:t>
            </w:r>
          </w:p>
        </w:tc>
        <w:tc>
          <w:tcPr>
            <w:tcW w:w="701" w:type="dxa"/>
            <w:tcBorders>
              <w:top w:val="nil"/>
              <w:bottom w:val="nil"/>
            </w:tcBorders>
          </w:tcPr>
          <w:p w14:paraId="725CF19C" w14:textId="77777777" w:rsidR="00D67C1E" w:rsidRPr="00283806" w:rsidRDefault="001265CA">
            <w:pPr>
              <w:pStyle w:val="TableParagraph"/>
              <w:spacing w:line="240" w:lineRule="auto"/>
              <w:ind w:right="66"/>
              <w:jc w:val="right"/>
              <w:rPr>
                <w:sz w:val="14"/>
              </w:rPr>
            </w:pPr>
            <w:r w:rsidRPr="00283806">
              <w:rPr>
                <w:spacing w:val="-2"/>
                <w:sz w:val="14"/>
              </w:rPr>
              <w:t>..............</w:t>
            </w:r>
          </w:p>
        </w:tc>
        <w:tc>
          <w:tcPr>
            <w:tcW w:w="1236" w:type="dxa"/>
            <w:tcBorders>
              <w:top w:val="nil"/>
              <w:bottom w:val="nil"/>
            </w:tcBorders>
          </w:tcPr>
          <w:p w14:paraId="72ADF045" w14:textId="77777777" w:rsidR="00D67C1E" w:rsidRPr="00283806" w:rsidRDefault="001265CA">
            <w:pPr>
              <w:pStyle w:val="TableParagraph"/>
              <w:spacing w:line="240" w:lineRule="auto"/>
              <w:ind w:left="23" w:right="23"/>
              <w:rPr>
                <w:sz w:val="14"/>
              </w:rPr>
            </w:pPr>
            <w:r w:rsidRPr="00283806">
              <w:rPr>
                <w:sz w:val="14"/>
              </w:rPr>
              <w:t>$43</w:t>
            </w:r>
            <w:r w:rsidRPr="00283806">
              <w:rPr>
                <w:spacing w:val="36"/>
                <w:sz w:val="14"/>
              </w:rPr>
              <w:t xml:space="preserve"> </w:t>
            </w:r>
            <w:r w:rsidRPr="00283806">
              <w:rPr>
                <w:spacing w:val="-2"/>
                <w:sz w:val="14"/>
              </w:rPr>
              <w:t>....................</w:t>
            </w:r>
          </w:p>
        </w:tc>
        <w:tc>
          <w:tcPr>
            <w:tcW w:w="1236" w:type="dxa"/>
            <w:tcBorders>
              <w:top w:val="nil"/>
              <w:bottom w:val="nil"/>
            </w:tcBorders>
          </w:tcPr>
          <w:p w14:paraId="15E777FC" w14:textId="77777777" w:rsidR="00D67C1E" w:rsidRPr="00283806" w:rsidRDefault="001265CA">
            <w:pPr>
              <w:pStyle w:val="TableParagraph"/>
              <w:spacing w:line="240" w:lineRule="auto"/>
              <w:ind w:left="23" w:right="23"/>
              <w:rPr>
                <w:sz w:val="14"/>
              </w:rPr>
            </w:pPr>
            <w:r w:rsidRPr="00283806">
              <w:rPr>
                <w:sz w:val="14"/>
              </w:rPr>
              <w:t>$38</w:t>
            </w:r>
            <w:r w:rsidRPr="00283806">
              <w:rPr>
                <w:spacing w:val="36"/>
                <w:sz w:val="14"/>
              </w:rPr>
              <w:t xml:space="preserve"> </w:t>
            </w:r>
            <w:r w:rsidRPr="00283806">
              <w:rPr>
                <w:spacing w:val="-2"/>
                <w:sz w:val="14"/>
              </w:rPr>
              <w:t>....................</w:t>
            </w:r>
          </w:p>
        </w:tc>
        <w:tc>
          <w:tcPr>
            <w:tcW w:w="1236" w:type="dxa"/>
            <w:tcBorders>
              <w:top w:val="nil"/>
              <w:bottom w:val="nil"/>
            </w:tcBorders>
          </w:tcPr>
          <w:p w14:paraId="6BF2CE31" w14:textId="77777777" w:rsidR="00D67C1E" w:rsidRPr="00283806" w:rsidRDefault="001265CA">
            <w:pPr>
              <w:pStyle w:val="TableParagraph"/>
              <w:spacing w:line="240" w:lineRule="auto"/>
              <w:ind w:left="23" w:right="23"/>
              <w:rPr>
                <w:sz w:val="14"/>
              </w:rPr>
            </w:pPr>
            <w:r w:rsidRPr="00283806">
              <w:rPr>
                <w:sz w:val="14"/>
              </w:rPr>
              <w:t>$23</w:t>
            </w:r>
            <w:r w:rsidRPr="00283806">
              <w:rPr>
                <w:spacing w:val="36"/>
                <w:sz w:val="14"/>
              </w:rPr>
              <w:t xml:space="preserve"> </w:t>
            </w:r>
            <w:r w:rsidRPr="00283806">
              <w:rPr>
                <w:spacing w:val="-2"/>
                <w:sz w:val="14"/>
              </w:rPr>
              <w:t>....................</w:t>
            </w:r>
          </w:p>
        </w:tc>
        <w:tc>
          <w:tcPr>
            <w:tcW w:w="1236" w:type="dxa"/>
            <w:tcBorders>
              <w:top w:val="nil"/>
              <w:bottom w:val="nil"/>
            </w:tcBorders>
          </w:tcPr>
          <w:p w14:paraId="5CDD3139" w14:textId="77777777" w:rsidR="00D67C1E" w:rsidRPr="00283806" w:rsidRDefault="001265CA">
            <w:pPr>
              <w:pStyle w:val="TableParagraph"/>
              <w:spacing w:line="240" w:lineRule="auto"/>
              <w:ind w:left="23" w:right="23"/>
              <w:rPr>
                <w:sz w:val="14"/>
              </w:rPr>
            </w:pPr>
            <w:r w:rsidRPr="00283806">
              <w:rPr>
                <w:sz w:val="14"/>
              </w:rPr>
              <w:t>($43)</w:t>
            </w:r>
            <w:r w:rsidRPr="00283806">
              <w:rPr>
                <w:spacing w:val="18"/>
                <w:sz w:val="14"/>
              </w:rPr>
              <w:t xml:space="preserve"> </w:t>
            </w:r>
            <w:r w:rsidRPr="00283806">
              <w:rPr>
                <w:spacing w:val="-2"/>
                <w:sz w:val="14"/>
              </w:rPr>
              <w:t>..................</w:t>
            </w:r>
          </w:p>
        </w:tc>
        <w:tc>
          <w:tcPr>
            <w:tcW w:w="1236" w:type="dxa"/>
            <w:tcBorders>
              <w:top w:val="nil"/>
              <w:bottom w:val="nil"/>
            </w:tcBorders>
          </w:tcPr>
          <w:p w14:paraId="2CB648A0" w14:textId="77777777" w:rsidR="00D67C1E" w:rsidRPr="00283806" w:rsidRDefault="001265CA">
            <w:pPr>
              <w:pStyle w:val="TableParagraph"/>
              <w:spacing w:line="240" w:lineRule="auto"/>
              <w:ind w:left="23" w:right="23"/>
              <w:rPr>
                <w:sz w:val="14"/>
              </w:rPr>
            </w:pPr>
            <w:r w:rsidRPr="00283806">
              <w:rPr>
                <w:sz w:val="14"/>
              </w:rPr>
              <w:t>($38)</w:t>
            </w:r>
            <w:r w:rsidRPr="00283806">
              <w:rPr>
                <w:spacing w:val="18"/>
                <w:sz w:val="14"/>
              </w:rPr>
              <w:t xml:space="preserve"> </w:t>
            </w:r>
            <w:r w:rsidRPr="00283806">
              <w:rPr>
                <w:spacing w:val="-2"/>
                <w:sz w:val="14"/>
              </w:rPr>
              <w:t>..................</w:t>
            </w:r>
          </w:p>
        </w:tc>
        <w:tc>
          <w:tcPr>
            <w:tcW w:w="1204" w:type="dxa"/>
            <w:tcBorders>
              <w:top w:val="nil"/>
              <w:bottom w:val="nil"/>
              <w:right w:val="nil"/>
            </w:tcBorders>
          </w:tcPr>
          <w:p w14:paraId="680CF1B2" w14:textId="77777777" w:rsidR="00D67C1E" w:rsidRPr="00283806" w:rsidRDefault="001265CA">
            <w:pPr>
              <w:pStyle w:val="TableParagraph"/>
              <w:spacing w:line="240" w:lineRule="auto"/>
              <w:ind w:left="68"/>
              <w:jc w:val="left"/>
              <w:rPr>
                <w:sz w:val="14"/>
              </w:rPr>
            </w:pPr>
            <w:r w:rsidRPr="00283806">
              <w:rPr>
                <w:spacing w:val="-2"/>
                <w:sz w:val="14"/>
              </w:rPr>
              <w:t>($23).</w:t>
            </w:r>
          </w:p>
        </w:tc>
      </w:tr>
      <w:tr w:rsidR="00D67C1E" w:rsidRPr="00283806" w14:paraId="5BD769D8" w14:textId="77777777">
        <w:trPr>
          <w:trHeight w:val="163"/>
        </w:trPr>
        <w:tc>
          <w:tcPr>
            <w:tcW w:w="2356" w:type="dxa"/>
            <w:tcBorders>
              <w:top w:val="nil"/>
              <w:left w:val="nil"/>
              <w:bottom w:val="nil"/>
            </w:tcBorders>
          </w:tcPr>
          <w:p w14:paraId="6AA611C9" w14:textId="77777777" w:rsidR="00D67C1E" w:rsidRPr="00283806" w:rsidRDefault="001265CA">
            <w:pPr>
              <w:pStyle w:val="TableParagraph"/>
              <w:spacing w:line="144" w:lineRule="exact"/>
              <w:ind w:left="7" w:right="66"/>
              <w:rPr>
                <w:sz w:val="14"/>
              </w:rPr>
            </w:pPr>
            <w:r w:rsidRPr="00283806">
              <w:rPr>
                <w:sz w:val="14"/>
              </w:rPr>
              <w:t>Recordkeeping</w:t>
            </w:r>
            <w:r w:rsidRPr="00283806">
              <w:rPr>
                <w:spacing w:val="2"/>
                <w:sz w:val="14"/>
              </w:rPr>
              <w:t xml:space="preserve"> </w:t>
            </w:r>
            <w:r w:rsidRPr="00283806">
              <w:rPr>
                <w:sz w:val="14"/>
              </w:rPr>
              <w:t>&amp;</w:t>
            </w:r>
            <w:r w:rsidRPr="00283806">
              <w:rPr>
                <w:spacing w:val="3"/>
                <w:sz w:val="14"/>
              </w:rPr>
              <w:t xml:space="preserve"> </w:t>
            </w:r>
            <w:r w:rsidRPr="00283806">
              <w:rPr>
                <w:sz w:val="14"/>
              </w:rPr>
              <w:t>Reporting</w:t>
            </w:r>
            <w:r w:rsidRPr="00283806">
              <w:rPr>
                <w:spacing w:val="28"/>
                <w:sz w:val="14"/>
              </w:rPr>
              <w:t xml:space="preserve"> </w:t>
            </w:r>
            <w:r w:rsidRPr="00283806">
              <w:rPr>
                <w:spacing w:val="-2"/>
                <w:sz w:val="14"/>
              </w:rPr>
              <w:t>............</w:t>
            </w:r>
          </w:p>
        </w:tc>
        <w:tc>
          <w:tcPr>
            <w:tcW w:w="701" w:type="dxa"/>
            <w:tcBorders>
              <w:top w:val="nil"/>
              <w:bottom w:val="nil"/>
            </w:tcBorders>
          </w:tcPr>
          <w:p w14:paraId="000533A6" w14:textId="77777777" w:rsidR="00D67C1E" w:rsidRPr="00283806" w:rsidRDefault="001265CA">
            <w:pPr>
              <w:pStyle w:val="TableParagraph"/>
              <w:spacing w:line="144" w:lineRule="exact"/>
              <w:ind w:right="66"/>
              <w:jc w:val="right"/>
              <w:rPr>
                <w:sz w:val="14"/>
              </w:rPr>
            </w:pPr>
            <w:r w:rsidRPr="00283806">
              <w:rPr>
                <w:spacing w:val="-2"/>
                <w:sz w:val="14"/>
              </w:rPr>
              <w:t>..............</w:t>
            </w:r>
          </w:p>
        </w:tc>
        <w:tc>
          <w:tcPr>
            <w:tcW w:w="1236" w:type="dxa"/>
            <w:tcBorders>
              <w:top w:val="nil"/>
              <w:bottom w:val="nil"/>
            </w:tcBorders>
          </w:tcPr>
          <w:p w14:paraId="629B22CC" w14:textId="77777777" w:rsidR="00D67C1E" w:rsidRPr="00283806" w:rsidRDefault="001265CA">
            <w:pPr>
              <w:pStyle w:val="TableParagraph"/>
              <w:spacing w:line="144" w:lineRule="exact"/>
              <w:ind w:left="23" w:right="23"/>
              <w:rPr>
                <w:sz w:val="14"/>
              </w:rPr>
            </w:pPr>
            <w:r w:rsidRPr="00283806">
              <w:rPr>
                <w:sz w:val="14"/>
              </w:rPr>
              <w:t>$350</w:t>
            </w:r>
            <w:r w:rsidRPr="00283806">
              <w:rPr>
                <w:spacing w:val="35"/>
                <w:sz w:val="14"/>
              </w:rPr>
              <w:t xml:space="preserve"> </w:t>
            </w:r>
            <w:r w:rsidRPr="00283806">
              <w:rPr>
                <w:spacing w:val="-2"/>
                <w:sz w:val="14"/>
              </w:rPr>
              <w:t>..................</w:t>
            </w:r>
          </w:p>
        </w:tc>
        <w:tc>
          <w:tcPr>
            <w:tcW w:w="1236" w:type="dxa"/>
            <w:tcBorders>
              <w:top w:val="nil"/>
              <w:bottom w:val="nil"/>
            </w:tcBorders>
          </w:tcPr>
          <w:p w14:paraId="7492CE7D" w14:textId="77777777" w:rsidR="00D67C1E" w:rsidRPr="00283806" w:rsidRDefault="001265CA">
            <w:pPr>
              <w:pStyle w:val="TableParagraph"/>
              <w:spacing w:line="144" w:lineRule="exact"/>
              <w:ind w:left="23" w:right="23"/>
              <w:rPr>
                <w:sz w:val="14"/>
              </w:rPr>
            </w:pPr>
            <w:r w:rsidRPr="00283806">
              <w:rPr>
                <w:sz w:val="14"/>
              </w:rPr>
              <w:t>$308</w:t>
            </w:r>
            <w:r w:rsidRPr="00283806">
              <w:rPr>
                <w:spacing w:val="35"/>
                <w:sz w:val="14"/>
              </w:rPr>
              <w:t xml:space="preserve"> </w:t>
            </w:r>
            <w:r w:rsidRPr="00283806">
              <w:rPr>
                <w:spacing w:val="-2"/>
                <w:sz w:val="14"/>
              </w:rPr>
              <w:t>..................</w:t>
            </w:r>
          </w:p>
        </w:tc>
        <w:tc>
          <w:tcPr>
            <w:tcW w:w="1236" w:type="dxa"/>
            <w:tcBorders>
              <w:top w:val="nil"/>
              <w:bottom w:val="nil"/>
            </w:tcBorders>
          </w:tcPr>
          <w:p w14:paraId="3F088C11" w14:textId="77777777" w:rsidR="00D67C1E" w:rsidRPr="00283806" w:rsidRDefault="001265CA">
            <w:pPr>
              <w:pStyle w:val="TableParagraph"/>
              <w:spacing w:line="144" w:lineRule="exact"/>
              <w:ind w:left="23" w:right="23"/>
              <w:rPr>
                <w:sz w:val="14"/>
              </w:rPr>
            </w:pPr>
            <w:r w:rsidRPr="00283806">
              <w:rPr>
                <w:sz w:val="14"/>
              </w:rPr>
              <w:t>$195</w:t>
            </w:r>
            <w:r w:rsidRPr="00283806">
              <w:rPr>
                <w:spacing w:val="33"/>
                <w:sz w:val="14"/>
              </w:rPr>
              <w:t xml:space="preserve"> </w:t>
            </w:r>
            <w:r w:rsidRPr="00283806">
              <w:rPr>
                <w:spacing w:val="-2"/>
                <w:sz w:val="14"/>
              </w:rPr>
              <w:t>..................</w:t>
            </w:r>
          </w:p>
        </w:tc>
        <w:tc>
          <w:tcPr>
            <w:tcW w:w="1236" w:type="dxa"/>
            <w:tcBorders>
              <w:top w:val="nil"/>
              <w:bottom w:val="nil"/>
            </w:tcBorders>
          </w:tcPr>
          <w:p w14:paraId="45F24F5A" w14:textId="77777777" w:rsidR="00D67C1E" w:rsidRPr="00283806" w:rsidRDefault="001265CA">
            <w:pPr>
              <w:pStyle w:val="TableParagraph"/>
              <w:spacing w:line="144" w:lineRule="exact"/>
              <w:ind w:left="23" w:right="23"/>
              <w:rPr>
                <w:sz w:val="14"/>
              </w:rPr>
            </w:pPr>
            <w:r w:rsidRPr="00283806">
              <w:rPr>
                <w:sz w:val="14"/>
              </w:rPr>
              <w:t>($350)</w:t>
            </w:r>
            <w:r w:rsidRPr="00283806">
              <w:rPr>
                <w:spacing w:val="18"/>
                <w:sz w:val="14"/>
              </w:rPr>
              <w:t xml:space="preserve"> </w:t>
            </w:r>
            <w:r w:rsidRPr="00283806">
              <w:rPr>
                <w:spacing w:val="-2"/>
                <w:sz w:val="14"/>
              </w:rPr>
              <w:t>................</w:t>
            </w:r>
          </w:p>
        </w:tc>
        <w:tc>
          <w:tcPr>
            <w:tcW w:w="1236" w:type="dxa"/>
            <w:tcBorders>
              <w:top w:val="nil"/>
              <w:bottom w:val="nil"/>
            </w:tcBorders>
          </w:tcPr>
          <w:p w14:paraId="7BDB0E1A" w14:textId="77777777" w:rsidR="00D67C1E" w:rsidRPr="00283806" w:rsidRDefault="001265CA">
            <w:pPr>
              <w:pStyle w:val="TableParagraph"/>
              <w:spacing w:line="144" w:lineRule="exact"/>
              <w:ind w:left="23" w:right="23"/>
              <w:rPr>
                <w:sz w:val="14"/>
              </w:rPr>
            </w:pPr>
            <w:r w:rsidRPr="00283806">
              <w:rPr>
                <w:sz w:val="14"/>
              </w:rPr>
              <w:t>($308)</w:t>
            </w:r>
            <w:r w:rsidRPr="00283806">
              <w:rPr>
                <w:spacing w:val="17"/>
                <w:sz w:val="14"/>
              </w:rPr>
              <w:t xml:space="preserve"> </w:t>
            </w:r>
            <w:r w:rsidRPr="00283806">
              <w:rPr>
                <w:spacing w:val="-2"/>
                <w:sz w:val="14"/>
              </w:rPr>
              <w:t>................</w:t>
            </w:r>
          </w:p>
        </w:tc>
        <w:tc>
          <w:tcPr>
            <w:tcW w:w="1204" w:type="dxa"/>
            <w:tcBorders>
              <w:top w:val="nil"/>
              <w:bottom w:val="nil"/>
              <w:right w:val="nil"/>
            </w:tcBorders>
          </w:tcPr>
          <w:p w14:paraId="1DB8F68E" w14:textId="77777777" w:rsidR="00D67C1E" w:rsidRPr="00283806" w:rsidRDefault="001265CA">
            <w:pPr>
              <w:pStyle w:val="TableParagraph"/>
              <w:spacing w:line="144" w:lineRule="exact"/>
              <w:ind w:left="67"/>
              <w:jc w:val="left"/>
              <w:rPr>
                <w:sz w:val="14"/>
              </w:rPr>
            </w:pPr>
            <w:r w:rsidRPr="00283806">
              <w:rPr>
                <w:spacing w:val="-2"/>
                <w:sz w:val="14"/>
              </w:rPr>
              <w:t>($195).</w:t>
            </w:r>
          </w:p>
        </w:tc>
      </w:tr>
      <w:tr w:rsidR="00D67C1E" w:rsidRPr="00283806" w14:paraId="6E3DFC22" w14:textId="77777777">
        <w:trPr>
          <w:trHeight w:val="131"/>
        </w:trPr>
        <w:tc>
          <w:tcPr>
            <w:tcW w:w="2356" w:type="dxa"/>
            <w:tcBorders>
              <w:top w:val="nil"/>
              <w:left w:val="nil"/>
              <w:bottom w:val="nil"/>
            </w:tcBorders>
          </w:tcPr>
          <w:p w14:paraId="72046F83" w14:textId="77777777" w:rsidR="00D67C1E" w:rsidRPr="00283806" w:rsidRDefault="001265CA">
            <w:pPr>
              <w:pStyle w:val="TableParagraph"/>
              <w:spacing w:line="111" w:lineRule="exact"/>
              <w:ind w:left="6" w:right="66"/>
              <w:rPr>
                <w:sz w:val="14"/>
              </w:rPr>
            </w:pPr>
            <w:r w:rsidRPr="00283806">
              <w:rPr>
                <w:sz w:val="14"/>
              </w:rPr>
              <w:t>Total</w:t>
            </w:r>
            <w:r w:rsidRPr="00283806">
              <w:rPr>
                <w:spacing w:val="8"/>
                <w:sz w:val="14"/>
              </w:rPr>
              <w:t xml:space="preserve"> </w:t>
            </w:r>
            <w:r w:rsidRPr="00283806">
              <w:rPr>
                <w:sz w:val="14"/>
              </w:rPr>
              <w:t>(AIM</w:t>
            </w:r>
            <w:r w:rsidRPr="00283806">
              <w:rPr>
                <w:spacing w:val="8"/>
                <w:sz w:val="14"/>
              </w:rPr>
              <w:t xml:space="preserve"> </w:t>
            </w:r>
            <w:r w:rsidRPr="00283806">
              <w:rPr>
                <w:sz w:val="14"/>
              </w:rPr>
              <w:t>Act)</w:t>
            </w:r>
            <w:r w:rsidRPr="00283806">
              <w:rPr>
                <w:spacing w:val="-16"/>
                <w:sz w:val="14"/>
              </w:rPr>
              <w:t xml:space="preserve"> </w:t>
            </w:r>
            <w:r w:rsidRPr="00283806">
              <w:rPr>
                <w:position w:val="4"/>
                <w:sz w:val="9"/>
              </w:rPr>
              <w:t>b</w:t>
            </w:r>
            <w:r w:rsidRPr="00283806">
              <w:rPr>
                <w:spacing w:val="55"/>
                <w:position w:val="4"/>
                <w:sz w:val="9"/>
              </w:rPr>
              <w:t xml:space="preserve"> </w:t>
            </w:r>
            <w:r w:rsidRPr="00283806">
              <w:rPr>
                <w:spacing w:val="-2"/>
                <w:sz w:val="14"/>
              </w:rPr>
              <w:t>..............................</w:t>
            </w:r>
          </w:p>
        </w:tc>
        <w:tc>
          <w:tcPr>
            <w:tcW w:w="701" w:type="dxa"/>
            <w:tcBorders>
              <w:top w:val="nil"/>
              <w:bottom w:val="nil"/>
            </w:tcBorders>
          </w:tcPr>
          <w:p w14:paraId="2F36F1F2" w14:textId="77777777" w:rsidR="00D67C1E" w:rsidRPr="00283806" w:rsidRDefault="001265CA">
            <w:pPr>
              <w:pStyle w:val="TableParagraph"/>
              <w:spacing w:line="111" w:lineRule="exact"/>
              <w:ind w:right="66"/>
              <w:jc w:val="right"/>
              <w:rPr>
                <w:sz w:val="14"/>
              </w:rPr>
            </w:pPr>
            <w:r w:rsidRPr="00283806">
              <w:rPr>
                <w:spacing w:val="-2"/>
                <w:sz w:val="14"/>
              </w:rPr>
              <w:t>8,356</w:t>
            </w:r>
          </w:p>
        </w:tc>
        <w:tc>
          <w:tcPr>
            <w:tcW w:w="1236" w:type="dxa"/>
            <w:tcBorders>
              <w:top w:val="nil"/>
              <w:bottom w:val="nil"/>
            </w:tcBorders>
          </w:tcPr>
          <w:p w14:paraId="69ECA668" w14:textId="77777777" w:rsidR="00D67C1E" w:rsidRPr="00283806" w:rsidRDefault="001265CA">
            <w:pPr>
              <w:pStyle w:val="TableParagraph"/>
              <w:spacing w:line="111" w:lineRule="exact"/>
              <w:ind w:left="23" w:right="23"/>
              <w:rPr>
                <w:sz w:val="14"/>
              </w:rPr>
            </w:pPr>
            <w:r w:rsidRPr="00283806">
              <w:rPr>
                <w:sz w:val="14"/>
              </w:rPr>
              <w:t>$1,499</w:t>
            </w:r>
            <w:r w:rsidRPr="00283806">
              <w:rPr>
                <w:spacing w:val="34"/>
                <w:sz w:val="14"/>
              </w:rPr>
              <w:t xml:space="preserve"> </w:t>
            </w:r>
            <w:r w:rsidRPr="00283806">
              <w:rPr>
                <w:spacing w:val="-2"/>
                <w:sz w:val="14"/>
              </w:rPr>
              <w:t>...............</w:t>
            </w:r>
          </w:p>
        </w:tc>
        <w:tc>
          <w:tcPr>
            <w:tcW w:w="1236" w:type="dxa"/>
            <w:tcBorders>
              <w:top w:val="nil"/>
              <w:bottom w:val="nil"/>
            </w:tcBorders>
          </w:tcPr>
          <w:p w14:paraId="36B8C749" w14:textId="77777777" w:rsidR="00D67C1E" w:rsidRPr="00283806" w:rsidRDefault="001265CA">
            <w:pPr>
              <w:pStyle w:val="TableParagraph"/>
              <w:spacing w:line="111" w:lineRule="exact"/>
              <w:ind w:left="23" w:right="23"/>
              <w:rPr>
                <w:sz w:val="14"/>
              </w:rPr>
            </w:pPr>
            <w:r w:rsidRPr="00283806">
              <w:rPr>
                <w:sz w:val="14"/>
              </w:rPr>
              <w:t>$1,335</w:t>
            </w:r>
            <w:r w:rsidRPr="00283806">
              <w:rPr>
                <w:spacing w:val="32"/>
                <w:sz w:val="14"/>
              </w:rPr>
              <w:t xml:space="preserve"> </w:t>
            </w:r>
            <w:r w:rsidRPr="00283806">
              <w:rPr>
                <w:spacing w:val="-2"/>
                <w:sz w:val="14"/>
              </w:rPr>
              <w:t>...............</w:t>
            </w:r>
          </w:p>
        </w:tc>
        <w:tc>
          <w:tcPr>
            <w:tcW w:w="1236" w:type="dxa"/>
            <w:tcBorders>
              <w:top w:val="nil"/>
              <w:bottom w:val="nil"/>
            </w:tcBorders>
          </w:tcPr>
          <w:p w14:paraId="69C21DC0" w14:textId="77777777" w:rsidR="00D67C1E" w:rsidRPr="00283806" w:rsidRDefault="001265CA">
            <w:pPr>
              <w:pStyle w:val="TableParagraph"/>
              <w:spacing w:line="111" w:lineRule="exact"/>
              <w:ind w:left="23" w:right="23"/>
              <w:rPr>
                <w:sz w:val="14"/>
              </w:rPr>
            </w:pPr>
            <w:r w:rsidRPr="00283806">
              <w:rPr>
                <w:sz w:val="14"/>
              </w:rPr>
              <w:t>$884</w:t>
            </w:r>
            <w:r w:rsidRPr="00283806">
              <w:rPr>
                <w:spacing w:val="35"/>
                <w:sz w:val="14"/>
              </w:rPr>
              <w:t xml:space="preserve"> </w:t>
            </w:r>
            <w:r w:rsidRPr="00283806">
              <w:rPr>
                <w:spacing w:val="-2"/>
                <w:sz w:val="14"/>
              </w:rPr>
              <w:t>..................</w:t>
            </w:r>
          </w:p>
        </w:tc>
        <w:tc>
          <w:tcPr>
            <w:tcW w:w="1236" w:type="dxa"/>
            <w:tcBorders>
              <w:top w:val="nil"/>
              <w:bottom w:val="nil"/>
            </w:tcBorders>
          </w:tcPr>
          <w:p w14:paraId="56FC2D9C" w14:textId="77777777" w:rsidR="00D67C1E" w:rsidRPr="00283806" w:rsidRDefault="001265CA">
            <w:pPr>
              <w:pStyle w:val="TableParagraph"/>
              <w:spacing w:line="111" w:lineRule="exact"/>
              <w:ind w:left="23" w:right="23"/>
              <w:rPr>
                <w:sz w:val="14"/>
              </w:rPr>
            </w:pPr>
            <w:r w:rsidRPr="00283806">
              <w:rPr>
                <w:sz w:val="14"/>
              </w:rPr>
              <w:t>$6,857</w:t>
            </w:r>
            <w:r w:rsidRPr="00283806">
              <w:rPr>
                <w:spacing w:val="34"/>
                <w:sz w:val="14"/>
              </w:rPr>
              <w:t xml:space="preserve"> </w:t>
            </w:r>
            <w:r w:rsidRPr="00283806">
              <w:rPr>
                <w:spacing w:val="-2"/>
                <w:sz w:val="14"/>
              </w:rPr>
              <w:t>...............</w:t>
            </w:r>
          </w:p>
        </w:tc>
        <w:tc>
          <w:tcPr>
            <w:tcW w:w="1236" w:type="dxa"/>
            <w:tcBorders>
              <w:top w:val="nil"/>
              <w:bottom w:val="nil"/>
            </w:tcBorders>
          </w:tcPr>
          <w:p w14:paraId="236E91DD" w14:textId="77777777" w:rsidR="00D67C1E" w:rsidRPr="00283806" w:rsidRDefault="001265CA">
            <w:pPr>
              <w:pStyle w:val="TableParagraph"/>
              <w:spacing w:line="111" w:lineRule="exact"/>
              <w:ind w:left="23" w:right="23"/>
              <w:rPr>
                <w:sz w:val="14"/>
              </w:rPr>
            </w:pPr>
            <w:r w:rsidRPr="00283806">
              <w:rPr>
                <w:sz w:val="14"/>
              </w:rPr>
              <w:t>$7,021</w:t>
            </w:r>
            <w:r w:rsidRPr="00283806">
              <w:rPr>
                <w:spacing w:val="32"/>
                <w:sz w:val="14"/>
              </w:rPr>
              <w:t xml:space="preserve"> </w:t>
            </w:r>
            <w:r w:rsidRPr="00283806">
              <w:rPr>
                <w:spacing w:val="-2"/>
                <w:sz w:val="14"/>
              </w:rPr>
              <w:t>...............</w:t>
            </w:r>
          </w:p>
        </w:tc>
        <w:tc>
          <w:tcPr>
            <w:tcW w:w="1204" w:type="dxa"/>
            <w:tcBorders>
              <w:top w:val="nil"/>
              <w:bottom w:val="nil"/>
              <w:right w:val="nil"/>
            </w:tcBorders>
          </w:tcPr>
          <w:p w14:paraId="63DE9D1B" w14:textId="77777777" w:rsidR="00D67C1E" w:rsidRPr="00283806" w:rsidRDefault="001265CA">
            <w:pPr>
              <w:pStyle w:val="TableParagraph"/>
              <w:spacing w:line="111" w:lineRule="exact"/>
              <w:ind w:left="67"/>
              <w:jc w:val="left"/>
              <w:rPr>
                <w:sz w:val="14"/>
              </w:rPr>
            </w:pPr>
            <w:r w:rsidRPr="00283806">
              <w:rPr>
                <w:spacing w:val="-2"/>
                <w:sz w:val="14"/>
              </w:rPr>
              <w:t>$7,471.</w:t>
            </w:r>
          </w:p>
        </w:tc>
      </w:tr>
    </w:tbl>
    <w:p w14:paraId="5AFE90B2" w14:textId="77777777" w:rsidR="00D67C1E" w:rsidRPr="00283806" w:rsidRDefault="001265CA">
      <w:pPr>
        <w:pStyle w:val="BodyText"/>
        <w:spacing w:before="160"/>
        <w:ind w:left="0"/>
        <w:rPr>
          <w:rFonts w:ascii="Arial"/>
          <w:sz w:val="20"/>
        </w:rPr>
      </w:pPr>
      <w:r w:rsidRPr="00283806">
        <w:rPr>
          <w:noProof/>
        </w:rPr>
        <mc:AlternateContent>
          <mc:Choice Requires="wps">
            <w:drawing>
              <wp:anchor distT="0" distB="0" distL="0" distR="0" simplePos="0" relativeHeight="251685888" behindDoc="1" locked="0" layoutInCell="1" allowOverlap="1" wp14:anchorId="11E69BB4" wp14:editId="276C5EE8">
                <wp:simplePos x="0" y="0"/>
                <wp:positionH relativeFrom="page">
                  <wp:posOffset>571500</wp:posOffset>
                </wp:positionH>
                <wp:positionV relativeFrom="paragraph">
                  <wp:posOffset>262890</wp:posOffset>
                </wp:positionV>
                <wp:extent cx="635000" cy="1270"/>
                <wp:effectExtent l="0" t="0" r="0" b="0"/>
                <wp:wrapTopAndBottom/>
                <wp:docPr id="119" name="Graphic 1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9BFC465" id="Graphic 119" o:spid="_x0000_s1026" alt="&quot;&quot;" style="position:absolute;margin-left:45pt;margin-top:20.7pt;width:50pt;height:.1pt;z-index:-251630592;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" path="m,l635000,e" filled="f" strokeweight=".5pt">
                <v:path arrowok="t"/>
                <w10:wrap type="topAndBottom" anchorx="page"/>
              </v:shape>
            </w:pict>
          </mc:Fallback>
        </mc:AlternateContent>
      </w:r>
    </w:p>
    <w:p w14:paraId="7301EFAD" w14:textId="77777777" w:rsidR="00D67C1E" w:rsidRPr="00283806" w:rsidRDefault="001265CA">
      <w:pPr>
        <w:spacing w:before="40" w:line="232" w:lineRule="auto"/>
        <w:ind w:left="159" w:right="7188" w:firstLine="140"/>
        <w:rPr>
          <w:sz w:val="14"/>
        </w:rPr>
      </w:pPr>
      <w:r w:rsidRPr="00283806">
        <w:rPr>
          <w:w w:val="105"/>
          <w:position w:val="4"/>
          <w:sz w:val="9"/>
        </w:rPr>
        <w:t xml:space="preserve">178 </w:t>
      </w:r>
      <w:r w:rsidRPr="00283806">
        <w:rPr>
          <w:w w:val="105"/>
          <w:sz w:val="14"/>
        </w:rPr>
        <w:t>Unless stated otherwise, costs and benefits in</w:t>
      </w:r>
      <w:r w:rsidRPr="00283806">
        <w:rPr>
          <w:spacing w:val="40"/>
          <w:w w:val="105"/>
          <w:sz w:val="14"/>
        </w:rPr>
        <w:t xml:space="preserve"> </w:t>
      </w:r>
      <w:r w:rsidRPr="00283806">
        <w:rPr>
          <w:w w:val="105"/>
          <w:sz w:val="14"/>
        </w:rPr>
        <w:t>this section are presented in 2022 dollars.</w:t>
      </w:r>
    </w:p>
    <w:p w14:paraId="2C54B915" w14:textId="77777777" w:rsidR="00D67C1E" w:rsidRPr="00283806" w:rsidRDefault="00D67C1E">
      <w:pPr>
        <w:spacing w:line="232" w:lineRule="auto"/>
        <w:rPr>
          <w:sz w:val="14"/>
        </w:rPr>
        <w:sectPr w:rsidR="00D67C1E" w:rsidRPr="00283806">
          <w:type w:val="continuous"/>
          <w:pgSz w:w="12240" w:h="15840"/>
          <w:pgMar w:top="880" w:right="780" w:bottom="280" w:left="740" w:header="627" w:footer="0" w:gutter="0"/>
          <w:cols w:space="720"/>
        </w:sectPr>
      </w:pPr>
    </w:p>
    <w:p w14:paraId="494D3092" w14:textId="77777777" w:rsidR="00D67C1E" w:rsidRPr="00283806" w:rsidRDefault="001265CA">
      <w:pPr>
        <w:spacing w:before="137" w:line="230" w:lineRule="auto"/>
        <w:ind w:left="2307" w:right="300" w:hanging="2034"/>
        <w:rPr>
          <w:rFonts w:ascii="Arial" w:hAnsi="Arial"/>
          <w:sz w:val="20"/>
        </w:rPr>
      </w:pPr>
      <w:r w:rsidRPr="00283806">
        <w:rPr>
          <w:rFonts w:ascii="Arial" w:hAnsi="Arial"/>
          <w:sz w:val="20"/>
        </w:rPr>
        <w:lastRenderedPageBreak/>
        <w:t>T</w:t>
      </w:r>
      <w:r w:rsidRPr="00283806">
        <w:rPr>
          <w:rFonts w:ascii="Arial" w:hAnsi="Arial"/>
          <w:sz w:val="16"/>
        </w:rPr>
        <w:t xml:space="preserve">ABLE </w:t>
      </w:r>
      <w:r w:rsidRPr="00283806">
        <w:rPr>
          <w:rFonts w:ascii="Arial" w:hAnsi="Arial"/>
          <w:sz w:val="20"/>
        </w:rPr>
        <w:t>6—S</w:t>
      </w:r>
      <w:r w:rsidRPr="00283806">
        <w:rPr>
          <w:rFonts w:ascii="Arial" w:hAnsi="Arial"/>
          <w:sz w:val="16"/>
        </w:rPr>
        <w:t xml:space="preserve">UMMARY OF </w:t>
      </w:r>
      <w:r w:rsidRPr="00283806">
        <w:rPr>
          <w:rFonts w:ascii="Arial" w:hAnsi="Arial"/>
          <w:sz w:val="20"/>
        </w:rPr>
        <w:t>P</w:t>
      </w:r>
      <w:r w:rsidRPr="00283806">
        <w:rPr>
          <w:rFonts w:ascii="Arial" w:hAnsi="Arial"/>
          <w:sz w:val="16"/>
        </w:rPr>
        <w:t xml:space="preserve">RESENT </w:t>
      </w:r>
      <w:r w:rsidRPr="00283806">
        <w:rPr>
          <w:rFonts w:ascii="Arial" w:hAnsi="Arial"/>
          <w:sz w:val="20"/>
        </w:rPr>
        <w:t>V</w:t>
      </w:r>
      <w:r w:rsidRPr="00283806">
        <w:rPr>
          <w:rFonts w:ascii="Arial" w:hAnsi="Arial"/>
          <w:sz w:val="16"/>
        </w:rPr>
        <w:t xml:space="preserve">ALUE </w:t>
      </w:r>
      <w:r w:rsidRPr="00283806">
        <w:rPr>
          <w:rFonts w:ascii="Arial" w:hAnsi="Arial"/>
          <w:sz w:val="20"/>
        </w:rPr>
        <w:t>C</w:t>
      </w:r>
      <w:r w:rsidRPr="00283806">
        <w:rPr>
          <w:rFonts w:ascii="Arial" w:hAnsi="Arial"/>
          <w:sz w:val="16"/>
        </w:rPr>
        <w:t>OSTS</w:t>
      </w:r>
      <w:r w:rsidRPr="00283806">
        <w:rPr>
          <w:rFonts w:ascii="Arial" w:hAnsi="Arial"/>
          <w:sz w:val="20"/>
        </w:rPr>
        <w:t>, B</w:t>
      </w:r>
      <w:r w:rsidRPr="00283806">
        <w:rPr>
          <w:rFonts w:ascii="Arial" w:hAnsi="Arial"/>
          <w:sz w:val="16"/>
        </w:rPr>
        <w:t>ENEFITS</w:t>
      </w:r>
      <w:r w:rsidRPr="00283806">
        <w:rPr>
          <w:rFonts w:ascii="Arial" w:hAnsi="Arial"/>
          <w:sz w:val="20"/>
        </w:rPr>
        <w:t xml:space="preserve">, </w:t>
      </w:r>
      <w:r w:rsidRPr="00283806">
        <w:rPr>
          <w:rFonts w:ascii="Arial" w:hAnsi="Arial"/>
          <w:sz w:val="16"/>
        </w:rPr>
        <w:t xml:space="preserve">AND </w:t>
      </w:r>
      <w:r w:rsidRPr="00283806">
        <w:rPr>
          <w:rFonts w:ascii="Arial" w:hAnsi="Arial"/>
          <w:sz w:val="20"/>
        </w:rPr>
        <w:t>N</w:t>
      </w:r>
      <w:r w:rsidRPr="00283806">
        <w:rPr>
          <w:rFonts w:ascii="Arial" w:hAnsi="Arial"/>
          <w:sz w:val="16"/>
        </w:rPr>
        <w:t xml:space="preserve">ET </w:t>
      </w:r>
      <w:r w:rsidRPr="00283806">
        <w:rPr>
          <w:rFonts w:ascii="Arial" w:hAnsi="Arial"/>
          <w:sz w:val="20"/>
        </w:rPr>
        <w:t>B</w:t>
      </w:r>
      <w:r w:rsidRPr="00283806">
        <w:rPr>
          <w:rFonts w:ascii="Arial" w:hAnsi="Arial"/>
          <w:sz w:val="16"/>
        </w:rPr>
        <w:t xml:space="preserve">ENEFITS BY </w:t>
      </w:r>
      <w:r w:rsidRPr="00283806">
        <w:rPr>
          <w:rFonts w:ascii="Arial" w:hAnsi="Arial"/>
          <w:sz w:val="20"/>
        </w:rPr>
        <w:t>R</w:t>
      </w:r>
      <w:r w:rsidRPr="00283806">
        <w:rPr>
          <w:rFonts w:ascii="Arial" w:hAnsi="Arial"/>
          <w:sz w:val="16"/>
        </w:rPr>
        <w:t xml:space="preserve">EGULATORY </w:t>
      </w:r>
      <w:r w:rsidRPr="00283806">
        <w:rPr>
          <w:rFonts w:ascii="Arial" w:hAnsi="Arial"/>
          <w:sz w:val="20"/>
        </w:rPr>
        <w:t>P</w:t>
      </w:r>
      <w:r w:rsidRPr="00283806">
        <w:rPr>
          <w:rFonts w:ascii="Arial" w:hAnsi="Arial"/>
          <w:sz w:val="16"/>
        </w:rPr>
        <w:t xml:space="preserve">ROVISION </w:t>
      </w:r>
      <w:r w:rsidRPr="00283806">
        <w:rPr>
          <w:rFonts w:ascii="Arial" w:hAnsi="Arial"/>
          <w:sz w:val="20"/>
        </w:rPr>
        <w:t>(M</w:t>
      </w:r>
      <w:r w:rsidRPr="00283806">
        <w:rPr>
          <w:rFonts w:ascii="Arial" w:hAnsi="Arial"/>
          <w:sz w:val="16"/>
        </w:rPr>
        <w:t>ILLIONS</w:t>
      </w:r>
      <w:r w:rsidRPr="00283806">
        <w:rPr>
          <w:rFonts w:ascii="Arial" w:hAnsi="Arial"/>
          <w:spacing w:val="80"/>
          <w:sz w:val="16"/>
        </w:rPr>
        <w:t xml:space="preserve"> </w:t>
      </w:r>
      <w:r w:rsidRPr="00283806">
        <w:rPr>
          <w:rFonts w:ascii="Arial" w:hAnsi="Arial"/>
          <w:sz w:val="16"/>
        </w:rPr>
        <w:t xml:space="preserve">OF </w:t>
      </w:r>
      <w:r w:rsidRPr="00283806">
        <w:rPr>
          <w:rFonts w:ascii="Arial" w:hAnsi="Arial"/>
          <w:sz w:val="20"/>
        </w:rPr>
        <w:t>2022$, D</w:t>
      </w:r>
      <w:r w:rsidRPr="00283806">
        <w:rPr>
          <w:rFonts w:ascii="Arial" w:hAnsi="Arial"/>
          <w:sz w:val="16"/>
        </w:rPr>
        <w:t xml:space="preserve">ISCOUNTED TO </w:t>
      </w:r>
      <w:r w:rsidRPr="00283806">
        <w:rPr>
          <w:rFonts w:ascii="Arial" w:hAnsi="Arial"/>
          <w:sz w:val="20"/>
        </w:rPr>
        <w:t>2024)—B</w:t>
      </w:r>
      <w:r w:rsidRPr="00283806">
        <w:rPr>
          <w:rFonts w:ascii="Arial" w:hAnsi="Arial"/>
          <w:sz w:val="16"/>
        </w:rPr>
        <w:t xml:space="preserve">ASE </w:t>
      </w:r>
      <w:r w:rsidRPr="00283806">
        <w:rPr>
          <w:rFonts w:ascii="Arial" w:hAnsi="Arial"/>
          <w:sz w:val="20"/>
        </w:rPr>
        <w:t>C</w:t>
      </w:r>
      <w:r w:rsidRPr="00283806">
        <w:rPr>
          <w:rFonts w:ascii="Arial" w:hAnsi="Arial"/>
          <w:sz w:val="16"/>
        </w:rPr>
        <w:t xml:space="preserve">ASE </w:t>
      </w:r>
      <w:r w:rsidRPr="00283806">
        <w:rPr>
          <w:rFonts w:ascii="Arial" w:hAnsi="Arial"/>
          <w:sz w:val="20"/>
        </w:rPr>
        <w:t>S</w:t>
      </w:r>
      <w:r w:rsidRPr="00283806">
        <w:rPr>
          <w:rFonts w:ascii="Arial" w:hAnsi="Arial"/>
          <w:sz w:val="16"/>
        </w:rPr>
        <w:t>CENARIO</w:t>
      </w:r>
      <w:r w:rsidRPr="00283806">
        <w:rPr>
          <w:rFonts w:ascii="Arial" w:hAnsi="Arial"/>
          <w:sz w:val="20"/>
        </w:rPr>
        <w:t>—Continued</w:t>
      </w:r>
    </w:p>
    <w:p w14:paraId="314D37FE" w14:textId="77777777" w:rsidR="00D67C1E" w:rsidRPr="00283806" w:rsidRDefault="00D67C1E">
      <w:pPr>
        <w:pStyle w:val="BodyText"/>
        <w:spacing w:before="6"/>
        <w:ind w:left="0"/>
        <w:rPr>
          <w:rFonts w:ascii="Arial"/>
          <w:sz w:val="8"/>
        </w:rPr>
      </w:pPr>
    </w:p>
    <w:tbl>
      <w:tblPr>
        <w:tblW w:w="0" w:type="auto"/>
        <w:tblInd w:w="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56"/>
        <w:gridCol w:w="701"/>
        <w:gridCol w:w="1236"/>
        <w:gridCol w:w="1236"/>
        <w:gridCol w:w="1236"/>
        <w:gridCol w:w="1236"/>
        <w:gridCol w:w="1236"/>
        <w:gridCol w:w="1204"/>
      </w:tblGrid>
      <w:tr w:rsidR="00D67C1E" w:rsidRPr="00283806" w14:paraId="0E654CA7" w14:textId="77777777">
        <w:trPr>
          <w:trHeight w:val="557"/>
        </w:trPr>
        <w:tc>
          <w:tcPr>
            <w:tcW w:w="2356" w:type="dxa"/>
            <w:tcBorders>
              <w:left w:val="nil"/>
            </w:tcBorders>
          </w:tcPr>
          <w:p w14:paraId="7A69D4C6" w14:textId="77777777" w:rsidR="00D67C1E" w:rsidRPr="00283806" w:rsidRDefault="00D67C1E">
            <w:pPr>
              <w:pStyle w:val="TableParagraph"/>
              <w:spacing w:before="28" w:line="240" w:lineRule="auto"/>
              <w:jc w:val="left"/>
              <w:rPr>
                <w:sz w:val="14"/>
              </w:rPr>
            </w:pPr>
          </w:p>
          <w:p w14:paraId="4914B766" w14:textId="77777777" w:rsidR="00D67C1E" w:rsidRPr="00283806" w:rsidRDefault="001265CA">
            <w:pPr>
              <w:pStyle w:val="TableParagraph"/>
              <w:spacing w:line="240" w:lineRule="auto"/>
              <w:ind w:right="66"/>
              <w:rPr>
                <w:sz w:val="14"/>
              </w:rPr>
            </w:pPr>
            <w:r w:rsidRPr="00283806">
              <w:rPr>
                <w:spacing w:val="-2"/>
                <w:sz w:val="14"/>
              </w:rPr>
              <w:t>Provision</w:t>
            </w:r>
          </w:p>
        </w:tc>
        <w:tc>
          <w:tcPr>
            <w:tcW w:w="701" w:type="dxa"/>
          </w:tcPr>
          <w:p w14:paraId="3ACCAD7B" w14:textId="77777777" w:rsidR="00D67C1E" w:rsidRPr="00283806" w:rsidRDefault="001265CA">
            <w:pPr>
              <w:pStyle w:val="TableParagraph"/>
              <w:spacing w:before="66" w:line="208" w:lineRule="auto"/>
              <w:ind w:left="100" w:right="98" w:hanging="1"/>
              <w:rPr>
                <w:sz w:val="14"/>
              </w:rPr>
            </w:pPr>
            <w:r w:rsidRPr="00283806">
              <w:rPr>
                <w:spacing w:val="-2"/>
                <w:sz w:val="14"/>
              </w:rPr>
              <w:t>Climate</w:t>
            </w:r>
            <w:r w:rsidRPr="00283806">
              <w:rPr>
                <w:spacing w:val="40"/>
                <w:sz w:val="14"/>
              </w:rPr>
              <w:t xml:space="preserve"> </w:t>
            </w:r>
            <w:r w:rsidRPr="00283806">
              <w:rPr>
                <w:spacing w:val="-2"/>
                <w:sz w:val="14"/>
              </w:rPr>
              <w:t>benefits</w:t>
            </w:r>
            <w:r w:rsidRPr="00283806">
              <w:rPr>
                <w:spacing w:val="40"/>
                <w:sz w:val="14"/>
              </w:rPr>
              <w:t xml:space="preserve"> </w:t>
            </w:r>
            <w:r w:rsidRPr="00283806">
              <w:rPr>
                <w:spacing w:val="-4"/>
                <w:sz w:val="14"/>
              </w:rPr>
              <w:t>(3%)</w:t>
            </w:r>
          </w:p>
        </w:tc>
        <w:tc>
          <w:tcPr>
            <w:tcW w:w="1236" w:type="dxa"/>
          </w:tcPr>
          <w:p w14:paraId="592810F6" w14:textId="77777777" w:rsidR="00D67C1E" w:rsidRPr="00283806" w:rsidRDefault="001265CA">
            <w:pPr>
              <w:pStyle w:val="TableParagraph"/>
              <w:spacing w:before="66" w:line="208" w:lineRule="auto"/>
              <w:ind w:left="329" w:right="327" w:hanging="1"/>
              <w:rPr>
                <w:sz w:val="14"/>
              </w:rPr>
            </w:pPr>
            <w:r w:rsidRPr="00283806">
              <w:rPr>
                <w:spacing w:val="-2"/>
                <w:sz w:val="14"/>
              </w:rPr>
              <w:t>Costs</w:t>
            </w:r>
            <w:r w:rsidRPr="00283806">
              <w:rPr>
                <w:spacing w:val="40"/>
                <w:sz w:val="14"/>
              </w:rPr>
              <w:t xml:space="preserve"> </w:t>
            </w:r>
            <w:r w:rsidRPr="00283806">
              <w:rPr>
                <w:spacing w:val="-2"/>
                <w:sz w:val="14"/>
              </w:rPr>
              <w:t>(savings)</w:t>
            </w:r>
            <w:r w:rsidRPr="00283806">
              <w:rPr>
                <w:spacing w:val="40"/>
                <w:sz w:val="14"/>
              </w:rPr>
              <w:t xml:space="preserve"> </w:t>
            </w:r>
            <w:r w:rsidRPr="00283806">
              <w:rPr>
                <w:spacing w:val="-4"/>
                <w:sz w:val="14"/>
              </w:rPr>
              <w:t>(2%)</w:t>
            </w:r>
          </w:p>
        </w:tc>
        <w:tc>
          <w:tcPr>
            <w:tcW w:w="1236" w:type="dxa"/>
          </w:tcPr>
          <w:p w14:paraId="711F9FEE" w14:textId="77777777" w:rsidR="00D67C1E" w:rsidRPr="00283806" w:rsidRDefault="001265CA">
            <w:pPr>
              <w:pStyle w:val="TableParagraph"/>
              <w:spacing w:before="66" w:line="208" w:lineRule="auto"/>
              <w:ind w:left="329" w:right="327" w:hanging="1"/>
              <w:rPr>
                <w:sz w:val="14"/>
              </w:rPr>
            </w:pPr>
            <w:r w:rsidRPr="00283806">
              <w:rPr>
                <w:spacing w:val="-2"/>
                <w:sz w:val="14"/>
              </w:rPr>
              <w:t>Costs</w:t>
            </w:r>
            <w:r w:rsidRPr="00283806">
              <w:rPr>
                <w:spacing w:val="40"/>
                <w:sz w:val="14"/>
              </w:rPr>
              <w:t xml:space="preserve"> </w:t>
            </w:r>
            <w:r w:rsidRPr="00283806">
              <w:rPr>
                <w:spacing w:val="-2"/>
                <w:sz w:val="14"/>
              </w:rPr>
              <w:t>(savings)</w:t>
            </w:r>
            <w:r w:rsidRPr="00283806">
              <w:rPr>
                <w:spacing w:val="40"/>
                <w:sz w:val="14"/>
              </w:rPr>
              <w:t xml:space="preserve"> </w:t>
            </w:r>
            <w:r w:rsidRPr="00283806">
              <w:rPr>
                <w:spacing w:val="-4"/>
                <w:sz w:val="14"/>
              </w:rPr>
              <w:t>(3%)</w:t>
            </w:r>
          </w:p>
        </w:tc>
        <w:tc>
          <w:tcPr>
            <w:tcW w:w="1236" w:type="dxa"/>
          </w:tcPr>
          <w:p w14:paraId="6547633F" w14:textId="77777777" w:rsidR="00D67C1E" w:rsidRPr="00283806" w:rsidRDefault="001265CA">
            <w:pPr>
              <w:pStyle w:val="TableParagraph"/>
              <w:spacing w:before="66" w:line="208" w:lineRule="auto"/>
              <w:ind w:left="328" w:right="327" w:hanging="1"/>
              <w:rPr>
                <w:sz w:val="14"/>
              </w:rPr>
            </w:pPr>
            <w:r w:rsidRPr="00283806">
              <w:rPr>
                <w:spacing w:val="-2"/>
                <w:sz w:val="14"/>
              </w:rPr>
              <w:t>Costs</w:t>
            </w:r>
            <w:r w:rsidRPr="00283806">
              <w:rPr>
                <w:spacing w:val="40"/>
                <w:sz w:val="14"/>
              </w:rPr>
              <w:t xml:space="preserve"> </w:t>
            </w:r>
            <w:r w:rsidRPr="00283806">
              <w:rPr>
                <w:spacing w:val="-2"/>
                <w:sz w:val="14"/>
              </w:rPr>
              <w:t>(savings)</w:t>
            </w:r>
            <w:r w:rsidRPr="00283806">
              <w:rPr>
                <w:spacing w:val="40"/>
                <w:sz w:val="14"/>
              </w:rPr>
              <w:t xml:space="preserve"> </w:t>
            </w:r>
            <w:r w:rsidRPr="00283806">
              <w:rPr>
                <w:spacing w:val="-4"/>
                <w:sz w:val="14"/>
              </w:rPr>
              <w:t>(7%)</w:t>
            </w:r>
          </w:p>
        </w:tc>
        <w:tc>
          <w:tcPr>
            <w:tcW w:w="1236" w:type="dxa"/>
          </w:tcPr>
          <w:p w14:paraId="7EB75667" w14:textId="77777777" w:rsidR="00D67C1E" w:rsidRPr="00283806" w:rsidRDefault="001265CA">
            <w:pPr>
              <w:pStyle w:val="TableParagraph"/>
              <w:spacing w:before="66" w:line="208" w:lineRule="auto"/>
              <w:ind w:left="200" w:right="14" w:firstLine="35"/>
              <w:jc w:val="left"/>
              <w:rPr>
                <w:sz w:val="14"/>
              </w:rPr>
            </w:pPr>
            <w:r w:rsidRPr="00283806">
              <w:rPr>
                <w:sz w:val="14"/>
              </w:rPr>
              <w:t>Net benefits</w:t>
            </w:r>
            <w:r w:rsidRPr="00283806">
              <w:rPr>
                <w:spacing w:val="40"/>
                <w:sz w:val="14"/>
              </w:rPr>
              <w:t xml:space="preserve"> </w:t>
            </w:r>
            <w:r w:rsidRPr="00283806">
              <w:rPr>
                <w:sz w:val="14"/>
              </w:rPr>
              <w:t>(3%</w:t>
            </w:r>
            <w:r w:rsidRPr="00283806">
              <w:rPr>
                <w:spacing w:val="4"/>
                <w:sz w:val="14"/>
              </w:rPr>
              <w:t xml:space="preserve"> </w:t>
            </w:r>
            <w:r w:rsidRPr="00283806">
              <w:rPr>
                <w:spacing w:val="-2"/>
                <w:sz w:val="14"/>
              </w:rPr>
              <w:t>benefits,</w:t>
            </w:r>
          </w:p>
          <w:p w14:paraId="5A7AAA8C" w14:textId="77777777" w:rsidR="00D67C1E" w:rsidRPr="00283806" w:rsidRDefault="001265CA">
            <w:pPr>
              <w:pStyle w:val="TableParagraph"/>
              <w:spacing w:line="144" w:lineRule="exact"/>
              <w:ind w:left="301"/>
              <w:jc w:val="left"/>
              <w:rPr>
                <w:sz w:val="14"/>
              </w:rPr>
            </w:pPr>
            <w:r w:rsidRPr="00283806">
              <w:rPr>
                <w:sz w:val="14"/>
              </w:rPr>
              <w:t>2%</w:t>
            </w:r>
            <w:r w:rsidRPr="00283806">
              <w:rPr>
                <w:spacing w:val="4"/>
                <w:sz w:val="14"/>
              </w:rPr>
              <w:t xml:space="preserve"> </w:t>
            </w:r>
            <w:r w:rsidRPr="00283806">
              <w:rPr>
                <w:spacing w:val="-2"/>
                <w:sz w:val="14"/>
              </w:rPr>
              <w:t>costs)</w:t>
            </w:r>
          </w:p>
        </w:tc>
        <w:tc>
          <w:tcPr>
            <w:tcW w:w="1236" w:type="dxa"/>
          </w:tcPr>
          <w:p w14:paraId="2EEDA3E3" w14:textId="77777777" w:rsidR="00D67C1E" w:rsidRPr="00283806" w:rsidRDefault="001265CA">
            <w:pPr>
              <w:pStyle w:val="TableParagraph"/>
              <w:spacing w:before="66" w:line="208" w:lineRule="auto"/>
              <w:ind w:left="200" w:right="14" w:firstLine="35"/>
              <w:jc w:val="left"/>
              <w:rPr>
                <w:sz w:val="14"/>
              </w:rPr>
            </w:pPr>
            <w:r w:rsidRPr="00283806">
              <w:rPr>
                <w:sz w:val="14"/>
              </w:rPr>
              <w:t>Net benefits</w:t>
            </w:r>
            <w:r w:rsidRPr="00283806">
              <w:rPr>
                <w:spacing w:val="40"/>
                <w:sz w:val="14"/>
              </w:rPr>
              <w:t xml:space="preserve"> </w:t>
            </w:r>
            <w:r w:rsidRPr="00283806">
              <w:rPr>
                <w:sz w:val="14"/>
              </w:rPr>
              <w:t>(3%</w:t>
            </w:r>
            <w:r w:rsidRPr="00283806">
              <w:rPr>
                <w:spacing w:val="4"/>
                <w:sz w:val="14"/>
              </w:rPr>
              <w:t xml:space="preserve"> </w:t>
            </w:r>
            <w:r w:rsidRPr="00283806">
              <w:rPr>
                <w:spacing w:val="-2"/>
                <w:sz w:val="14"/>
              </w:rPr>
              <w:t>benefits,</w:t>
            </w:r>
          </w:p>
          <w:p w14:paraId="6DB50BEF" w14:textId="77777777" w:rsidR="00D67C1E" w:rsidRPr="00283806" w:rsidRDefault="001265CA">
            <w:pPr>
              <w:pStyle w:val="TableParagraph"/>
              <w:spacing w:line="144" w:lineRule="exact"/>
              <w:ind w:left="301"/>
              <w:jc w:val="left"/>
              <w:rPr>
                <w:sz w:val="14"/>
              </w:rPr>
            </w:pPr>
            <w:r w:rsidRPr="00283806">
              <w:rPr>
                <w:sz w:val="14"/>
              </w:rPr>
              <w:t>3%</w:t>
            </w:r>
            <w:r w:rsidRPr="00283806">
              <w:rPr>
                <w:spacing w:val="4"/>
                <w:sz w:val="14"/>
              </w:rPr>
              <w:t xml:space="preserve"> </w:t>
            </w:r>
            <w:r w:rsidRPr="00283806">
              <w:rPr>
                <w:spacing w:val="-2"/>
                <w:sz w:val="14"/>
              </w:rPr>
              <w:t>costs)</w:t>
            </w:r>
          </w:p>
        </w:tc>
        <w:tc>
          <w:tcPr>
            <w:tcW w:w="1204" w:type="dxa"/>
            <w:tcBorders>
              <w:right w:val="nil"/>
            </w:tcBorders>
          </w:tcPr>
          <w:p w14:paraId="5597D32C" w14:textId="77777777" w:rsidR="00D67C1E" w:rsidRPr="00283806" w:rsidRDefault="001265CA">
            <w:pPr>
              <w:pStyle w:val="TableParagraph"/>
              <w:spacing w:before="66" w:line="208" w:lineRule="auto"/>
              <w:ind w:left="220" w:firstLine="35"/>
              <w:jc w:val="left"/>
              <w:rPr>
                <w:sz w:val="14"/>
              </w:rPr>
            </w:pPr>
            <w:r w:rsidRPr="00283806">
              <w:rPr>
                <w:sz w:val="14"/>
              </w:rPr>
              <w:t>Net benefits</w:t>
            </w:r>
            <w:r w:rsidRPr="00283806">
              <w:rPr>
                <w:spacing w:val="40"/>
                <w:sz w:val="14"/>
              </w:rPr>
              <w:t xml:space="preserve"> </w:t>
            </w:r>
            <w:r w:rsidRPr="00283806">
              <w:rPr>
                <w:sz w:val="14"/>
              </w:rPr>
              <w:t>(3%</w:t>
            </w:r>
            <w:r w:rsidRPr="00283806">
              <w:rPr>
                <w:spacing w:val="4"/>
                <w:sz w:val="14"/>
              </w:rPr>
              <w:t xml:space="preserve"> </w:t>
            </w:r>
            <w:r w:rsidRPr="00283806">
              <w:rPr>
                <w:spacing w:val="-2"/>
                <w:sz w:val="14"/>
              </w:rPr>
              <w:t>benefits,</w:t>
            </w:r>
          </w:p>
          <w:p w14:paraId="3C8D28DC" w14:textId="77777777" w:rsidR="00D67C1E" w:rsidRPr="00283806" w:rsidRDefault="001265CA">
            <w:pPr>
              <w:pStyle w:val="TableParagraph"/>
              <w:spacing w:line="144" w:lineRule="exact"/>
              <w:ind w:left="321"/>
              <w:jc w:val="left"/>
              <w:rPr>
                <w:sz w:val="14"/>
              </w:rPr>
            </w:pPr>
            <w:r w:rsidRPr="00283806">
              <w:rPr>
                <w:sz w:val="14"/>
              </w:rPr>
              <w:t>7%</w:t>
            </w:r>
            <w:r w:rsidRPr="00283806">
              <w:rPr>
                <w:spacing w:val="4"/>
                <w:sz w:val="14"/>
              </w:rPr>
              <w:t xml:space="preserve"> </w:t>
            </w:r>
            <w:r w:rsidRPr="00283806">
              <w:rPr>
                <w:spacing w:val="-2"/>
                <w:sz w:val="14"/>
              </w:rPr>
              <w:t>costs)</w:t>
            </w:r>
          </w:p>
        </w:tc>
      </w:tr>
      <w:tr w:rsidR="00D67C1E" w:rsidRPr="00283806" w14:paraId="519B8AFE" w14:textId="77777777">
        <w:trPr>
          <w:trHeight w:val="453"/>
        </w:trPr>
        <w:tc>
          <w:tcPr>
            <w:tcW w:w="2356" w:type="dxa"/>
            <w:vMerge w:val="restart"/>
            <w:tcBorders>
              <w:left w:val="nil"/>
            </w:tcBorders>
          </w:tcPr>
          <w:p w14:paraId="5F3A5624" w14:textId="77777777" w:rsidR="00D67C1E" w:rsidRPr="00283806" w:rsidRDefault="001265CA">
            <w:pPr>
              <w:pStyle w:val="TableParagraph"/>
              <w:spacing w:before="69" w:line="240" w:lineRule="auto"/>
              <w:ind w:left="145" w:hanging="140"/>
              <w:jc w:val="left"/>
              <w:rPr>
                <w:sz w:val="14"/>
              </w:rPr>
            </w:pPr>
            <w:r w:rsidRPr="00283806">
              <w:rPr>
                <w:sz w:val="14"/>
              </w:rPr>
              <w:t>RCRA</w:t>
            </w:r>
            <w:r w:rsidRPr="00283806">
              <w:rPr>
                <w:spacing w:val="-5"/>
                <w:sz w:val="14"/>
              </w:rPr>
              <w:t xml:space="preserve"> </w:t>
            </w:r>
            <w:r w:rsidRPr="00283806">
              <w:rPr>
                <w:sz w:val="14"/>
              </w:rPr>
              <w:t>Alternative</w:t>
            </w:r>
            <w:r w:rsidRPr="00283806">
              <w:rPr>
                <w:spacing w:val="-5"/>
                <w:sz w:val="14"/>
              </w:rPr>
              <w:t xml:space="preserve"> </w:t>
            </w:r>
            <w:r w:rsidRPr="00283806">
              <w:rPr>
                <w:sz w:val="14"/>
              </w:rPr>
              <w:t>Standard</w:t>
            </w:r>
            <w:r w:rsidRPr="00283806">
              <w:rPr>
                <w:spacing w:val="-5"/>
                <w:sz w:val="14"/>
              </w:rPr>
              <w:t xml:space="preserve"> </w:t>
            </w:r>
            <w:r w:rsidRPr="00283806">
              <w:rPr>
                <w:sz w:val="14"/>
              </w:rPr>
              <w:t>Re-</w:t>
            </w:r>
            <w:r w:rsidRPr="00283806">
              <w:rPr>
                <w:spacing w:val="40"/>
                <w:sz w:val="14"/>
              </w:rPr>
              <w:t xml:space="preserve"> </w:t>
            </w:r>
            <w:proofErr w:type="spellStart"/>
            <w:r w:rsidRPr="00283806">
              <w:rPr>
                <w:sz w:val="14"/>
              </w:rPr>
              <w:t>quirements</w:t>
            </w:r>
            <w:proofErr w:type="spellEnd"/>
            <w:r w:rsidRPr="00283806">
              <w:rPr>
                <w:spacing w:val="-17"/>
                <w:sz w:val="14"/>
              </w:rPr>
              <w:t xml:space="preserve"> </w:t>
            </w:r>
            <w:r w:rsidRPr="00283806">
              <w:rPr>
                <w:position w:val="4"/>
                <w:sz w:val="9"/>
              </w:rPr>
              <w:t>c</w:t>
            </w:r>
            <w:r w:rsidRPr="00283806">
              <w:rPr>
                <w:sz w:val="14"/>
              </w:rPr>
              <w:t>.</w:t>
            </w:r>
          </w:p>
          <w:p w14:paraId="5C079B1D" w14:textId="77777777" w:rsidR="00D67C1E" w:rsidRPr="00283806" w:rsidRDefault="001265CA">
            <w:pPr>
              <w:pStyle w:val="TableParagraph"/>
              <w:spacing w:before="146" w:line="240" w:lineRule="auto"/>
              <w:ind w:left="285"/>
              <w:jc w:val="left"/>
              <w:rPr>
                <w:sz w:val="14"/>
              </w:rPr>
            </w:pPr>
            <w:r w:rsidRPr="00283806">
              <w:rPr>
                <w:sz w:val="14"/>
              </w:rPr>
              <w:t>Total</w:t>
            </w:r>
            <w:r w:rsidRPr="00283806">
              <w:rPr>
                <w:spacing w:val="7"/>
                <w:sz w:val="14"/>
              </w:rPr>
              <w:t xml:space="preserve"> </w:t>
            </w:r>
            <w:r w:rsidRPr="00283806">
              <w:rPr>
                <w:sz w:val="14"/>
              </w:rPr>
              <w:t>(AIM</w:t>
            </w:r>
            <w:r w:rsidRPr="00283806">
              <w:rPr>
                <w:spacing w:val="7"/>
                <w:sz w:val="14"/>
              </w:rPr>
              <w:t xml:space="preserve"> </w:t>
            </w:r>
            <w:r w:rsidRPr="00283806">
              <w:rPr>
                <w:sz w:val="14"/>
              </w:rPr>
              <w:t>Act</w:t>
            </w:r>
            <w:r w:rsidRPr="00283806">
              <w:rPr>
                <w:spacing w:val="7"/>
                <w:sz w:val="14"/>
              </w:rPr>
              <w:t xml:space="preserve"> </w:t>
            </w:r>
            <w:r w:rsidRPr="00283806">
              <w:rPr>
                <w:sz w:val="14"/>
              </w:rPr>
              <w:t>+</w:t>
            </w:r>
            <w:r w:rsidRPr="00283806">
              <w:rPr>
                <w:spacing w:val="8"/>
                <w:sz w:val="14"/>
              </w:rPr>
              <w:t xml:space="preserve"> </w:t>
            </w:r>
            <w:r w:rsidRPr="00283806">
              <w:rPr>
                <w:sz w:val="14"/>
              </w:rPr>
              <w:t>RCRA)</w:t>
            </w:r>
            <w:r w:rsidRPr="00283806">
              <w:rPr>
                <w:spacing w:val="-17"/>
                <w:sz w:val="14"/>
              </w:rPr>
              <w:t xml:space="preserve"> </w:t>
            </w:r>
            <w:r w:rsidRPr="00283806">
              <w:rPr>
                <w:position w:val="4"/>
                <w:sz w:val="9"/>
              </w:rPr>
              <w:t>b</w:t>
            </w:r>
            <w:r w:rsidRPr="00283806">
              <w:rPr>
                <w:spacing w:val="57"/>
                <w:position w:val="4"/>
                <w:sz w:val="9"/>
              </w:rPr>
              <w:t xml:space="preserve"> </w:t>
            </w:r>
            <w:r w:rsidRPr="00283806">
              <w:rPr>
                <w:spacing w:val="-2"/>
                <w:sz w:val="14"/>
              </w:rPr>
              <w:t>........</w:t>
            </w:r>
          </w:p>
        </w:tc>
        <w:tc>
          <w:tcPr>
            <w:tcW w:w="701" w:type="dxa"/>
          </w:tcPr>
          <w:p w14:paraId="2AD680ED" w14:textId="77777777" w:rsidR="00D67C1E" w:rsidRPr="00283806" w:rsidRDefault="001265CA">
            <w:pPr>
              <w:pStyle w:val="TableParagraph"/>
              <w:spacing w:before="69" w:line="240" w:lineRule="auto"/>
              <w:ind w:left="9"/>
              <w:rPr>
                <w:sz w:val="14"/>
              </w:rPr>
            </w:pPr>
            <w:r w:rsidRPr="00283806">
              <w:rPr>
                <w:spacing w:val="-2"/>
                <w:sz w:val="14"/>
              </w:rPr>
              <w:t>..............</w:t>
            </w:r>
          </w:p>
        </w:tc>
        <w:tc>
          <w:tcPr>
            <w:tcW w:w="1236" w:type="dxa"/>
          </w:tcPr>
          <w:p w14:paraId="021CD254" w14:textId="77777777" w:rsidR="00D67C1E" w:rsidRPr="00283806" w:rsidRDefault="001265CA">
            <w:pPr>
              <w:pStyle w:val="TableParagraph"/>
              <w:spacing w:before="69" w:line="240" w:lineRule="auto"/>
              <w:ind w:left="23" w:right="23"/>
              <w:rPr>
                <w:sz w:val="14"/>
              </w:rPr>
            </w:pPr>
            <w:r w:rsidRPr="00283806">
              <w:rPr>
                <w:sz w:val="14"/>
              </w:rPr>
              <w:t>$0</w:t>
            </w:r>
            <w:r w:rsidRPr="00283806">
              <w:rPr>
                <w:spacing w:val="5"/>
                <w:sz w:val="14"/>
              </w:rPr>
              <w:t xml:space="preserve"> </w:t>
            </w:r>
            <w:r w:rsidRPr="00283806">
              <w:rPr>
                <w:sz w:val="14"/>
              </w:rPr>
              <w:t>to</w:t>
            </w:r>
            <w:r w:rsidRPr="00283806">
              <w:rPr>
                <w:spacing w:val="5"/>
                <w:sz w:val="14"/>
              </w:rPr>
              <w:t xml:space="preserve"> </w:t>
            </w:r>
            <w:r w:rsidRPr="00283806">
              <w:rPr>
                <w:sz w:val="14"/>
              </w:rPr>
              <w:t>($40)</w:t>
            </w:r>
            <w:r w:rsidRPr="00283806">
              <w:rPr>
                <w:spacing w:val="6"/>
                <w:sz w:val="14"/>
              </w:rPr>
              <w:t xml:space="preserve"> </w:t>
            </w:r>
            <w:r w:rsidRPr="00283806">
              <w:rPr>
                <w:spacing w:val="-2"/>
                <w:sz w:val="14"/>
              </w:rPr>
              <w:t>.........</w:t>
            </w:r>
          </w:p>
        </w:tc>
        <w:tc>
          <w:tcPr>
            <w:tcW w:w="1236" w:type="dxa"/>
          </w:tcPr>
          <w:p w14:paraId="26BD85E8" w14:textId="77777777" w:rsidR="00D67C1E" w:rsidRPr="00283806" w:rsidRDefault="001265CA">
            <w:pPr>
              <w:pStyle w:val="TableParagraph"/>
              <w:spacing w:before="69" w:line="240" w:lineRule="auto"/>
              <w:ind w:left="23" w:right="23"/>
              <w:rPr>
                <w:sz w:val="14"/>
              </w:rPr>
            </w:pPr>
            <w:r w:rsidRPr="00283806">
              <w:rPr>
                <w:sz w:val="14"/>
              </w:rPr>
              <w:t>$0</w:t>
            </w:r>
            <w:r w:rsidRPr="00283806">
              <w:rPr>
                <w:spacing w:val="5"/>
                <w:sz w:val="14"/>
              </w:rPr>
              <w:t xml:space="preserve"> </w:t>
            </w:r>
            <w:r w:rsidRPr="00283806">
              <w:rPr>
                <w:sz w:val="14"/>
              </w:rPr>
              <w:t>to</w:t>
            </w:r>
            <w:r w:rsidRPr="00283806">
              <w:rPr>
                <w:spacing w:val="5"/>
                <w:sz w:val="14"/>
              </w:rPr>
              <w:t xml:space="preserve"> </w:t>
            </w:r>
            <w:r w:rsidRPr="00283806">
              <w:rPr>
                <w:sz w:val="14"/>
              </w:rPr>
              <w:t>($35)</w:t>
            </w:r>
            <w:r w:rsidRPr="00283806">
              <w:rPr>
                <w:spacing w:val="6"/>
                <w:sz w:val="14"/>
              </w:rPr>
              <w:t xml:space="preserve"> </w:t>
            </w:r>
            <w:r w:rsidRPr="00283806">
              <w:rPr>
                <w:spacing w:val="-2"/>
                <w:sz w:val="14"/>
              </w:rPr>
              <w:t>.........</w:t>
            </w:r>
          </w:p>
        </w:tc>
        <w:tc>
          <w:tcPr>
            <w:tcW w:w="1236" w:type="dxa"/>
          </w:tcPr>
          <w:p w14:paraId="4FC6E143" w14:textId="77777777" w:rsidR="00D67C1E" w:rsidRPr="00283806" w:rsidRDefault="001265CA">
            <w:pPr>
              <w:pStyle w:val="TableParagraph"/>
              <w:spacing w:before="69" w:line="240" w:lineRule="auto"/>
              <w:ind w:left="23" w:right="23"/>
              <w:rPr>
                <w:sz w:val="14"/>
              </w:rPr>
            </w:pPr>
            <w:r w:rsidRPr="00283806">
              <w:rPr>
                <w:sz w:val="14"/>
              </w:rPr>
              <w:t>$0</w:t>
            </w:r>
            <w:r w:rsidRPr="00283806">
              <w:rPr>
                <w:spacing w:val="5"/>
                <w:sz w:val="14"/>
              </w:rPr>
              <w:t xml:space="preserve"> </w:t>
            </w:r>
            <w:r w:rsidRPr="00283806">
              <w:rPr>
                <w:sz w:val="14"/>
              </w:rPr>
              <w:t>to</w:t>
            </w:r>
            <w:r w:rsidRPr="00283806">
              <w:rPr>
                <w:spacing w:val="5"/>
                <w:sz w:val="14"/>
              </w:rPr>
              <w:t xml:space="preserve"> </w:t>
            </w:r>
            <w:r w:rsidRPr="00283806">
              <w:rPr>
                <w:sz w:val="14"/>
              </w:rPr>
              <w:t>($22)</w:t>
            </w:r>
            <w:r w:rsidRPr="00283806">
              <w:rPr>
                <w:spacing w:val="7"/>
                <w:sz w:val="14"/>
              </w:rPr>
              <w:t xml:space="preserve"> </w:t>
            </w:r>
            <w:r w:rsidRPr="00283806">
              <w:rPr>
                <w:spacing w:val="-2"/>
                <w:sz w:val="14"/>
              </w:rPr>
              <w:t>.........</w:t>
            </w:r>
          </w:p>
        </w:tc>
        <w:tc>
          <w:tcPr>
            <w:tcW w:w="1236" w:type="dxa"/>
          </w:tcPr>
          <w:p w14:paraId="1BBC98DD" w14:textId="77777777" w:rsidR="00D67C1E" w:rsidRPr="00283806" w:rsidRDefault="001265CA">
            <w:pPr>
              <w:pStyle w:val="TableParagraph"/>
              <w:spacing w:before="69" w:line="240" w:lineRule="auto"/>
              <w:ind w:left="23" w:right="23"/>
              <w:rPr>
                <w:sz w:val="14"/>
              </w:rPr>
            </w:pPr>
            <w:r w:rsidRPr="00283806">
              <w:rPr>
                <w:sz w:val="14"/>
              </w:rPr>
              <w:t>$0</w:t>
            </w:r>
            <w:r w:rsidRPr="00283806">
              <w:rPr>
                <w:spacing w:val="5"/>
                <w:sz w:val="14"/>
              </w:rPr>
              <w:t xml:space="preserve"> </w:t>
            </w:r>
            <w:r w:rsidRPr="00283806">
              <w:rPr>
                <w:sz w:val="14"/>
              </w:rPr>
              <w:t>to</w:t>
            </w:r>
            <w:r w:rsidRPr="00283806">
              <w:rPr>
                <w:spacing w:val="6"/>
                <w:sz w:val="14"/>
              </w:rPr>
              <w:t xml:space="preserve"> </w:t>
            </w:r>
            <w:r w:rsidRPr="00283806">
              <w:rPr>
                <w:sz w:val="14"/>
              </w:rPr>
              <w:t>$40</w:t>
            </w:r>
            <w:r w:rsidRPr="00283806">
              <w:rPr>
                <w:spacing w:val="21"/>
                <w:sz w:val="14"/>
              </w:rPr>
              <w:t xml:space="preserve"> </w:t>
            </w:r>
            <w:r w:rsidRPr="00283806">
              <w:rPr>
                <w:spacing w:val="-2"/>
                <w:sz w:val="14"/>
              </w:rPr>
              <w:t>...........</w:t>
            </w:r>
          </w:p>
        </w:tc>
        <w:tc>
          <w:tcPr>
            <w:tcW w:w="1236" w:type="dxa"/>
          </w:tcPr>
          <w:p w14:paraId="2D4121BD" w14:textId="77777777" w:rsidR="00D67C1E" w:rsidRPr="00283806" w:rsidRDefault="001265CA">
            <w:pPr>
              <w:pStyle w:val="TableParagraph"/>
              <w:spacing w:before="69" w:line="240" w:lineRule="auto"/>
              <w:ind w:left="23" w:right="23"/>
              <w:rPr>
                <w:sz w:val="14"/>
              </w:rPr>
            </w:pPr>
            <w:r w:rsidRPr="00283806">
              <w:rPr>
                <w:sz w:val="14"/>
              </w:rPr>
              <w:t>$0</w:t>
            </w:r>
            <w:r w:rsidRPr="00283806">
              <w:rPr>
                <w:spacing w:val="5"/>
                <w:sz w:val="14"/>
              </w:rPr>
              <w:t xml:space="preserve"> </w:t>
            </w:r>
            <w:r w:rsidRPr="00283806">
              <w:rPr>
                <w:sz w:val="14"/>
              </w:rPr>
              <w:t>to</w:t>
            </w:r>
            <w:r w:rsidRPr="00283806">
              <w:rPr>
                <w:spacing w:val="6"/>
                <w:sz w:val="14"/>
              </w:rPr>
              <w:t xml:space="preserve"> </w:t>
            </w:r>
            <w:r w:rsidRPr="00283806">
              <w:rPr>
                <w:sz w:val="14"/>
              </w:rPr>
              <w:t>$35</w:t>
            </w:r>
            <w:r w:rsidRPr="00283806">
              <w:rPr>
                <w:spacing w:val="22"/>
                <w:sz w:val="14"/>
              </w:rPr>
              <w:t xml:space="preserve"> </w:t>
            </w:r>
            <w:r w:rsidRPr="00283806">
              <w:rPr>
                <w:spacing w:val="-2"/>
                <w:sz w:val="14"/>
              </w:rPr>
              <w:t>...........</w:t>
            </w:r>
          </w:p>
        </w:tc>
        <w:tc>
          <w:tcPr>
            <w:tcW w:w="1204" w:type="dxa"/>
            <w:tcBorders>
              <w:right w:val="nil"/>
            </w:tcBorders>
          </w:tcPr>
          <w:p w14:paraId="36B82621" w14:textId="77777777" w:rsidR="00D67C1E" w:rsidRPr="00283806" w:rsidRDefault="001265CA">
            <w:pPr>
              <w:pStyle w:val="TableParagraph"/>
              <w:spacing w:before="69" w:line="240" w:lineRule="auto"/>
              <w:ind w:left="67"/>
              <w:jc w:val="left"/>
              <w:rPr>
                <w:sz w:val="14"/>
              </w:rPr>
            </w:pPr>
            <w:r w:rsidRPr="00283806">
              <w:rPr>
                <w:sz w:val="14"/>
              </w:rPr>
              <w:t>$0</w:t>
            </w:r>
            <w:r w:rsidRPr="00283806">
              <w:rPr>
                <w:spacing w:val="6"/>
                <w:sz w:val="14"/>
              </w:rPr>
              <w:t xml:space="preserve"> </w:t>
            </w:r>
            <w:r w:rsidRPr="00283806">
              <w:rPr>
                <w:sz w:val="14"/>
              </w:rPr>
              <w:t>to</w:t>
            </w:r>
            <w:r w:rsidRPr="00283806">
              <w:rPr>
                <w:spacing w:val="6"/>
                <w:sz w:val="14"/>
              </w:rPr>
              <w:t xml:space="preserve"> </w:t>
            </w:r>
            <w:r w:rsidRPr="00283806">
              <w:rPr>
                <w:spacing w:val="-4"/>
                <w:sz w:val="14"/>
              </w:rPr>
              <w:t>$22.</w:t>
            </w:r>
          </w:p>
        </w:tc>
      </w:tr>
      <w:tr w:rsidR="00D67C1E" w:rsidRPr="00283806" w14:paraId="5D8A2B0F" w14:textId="77777777">
        <w:trPr>
          <w:trHeight w:val="278"/>
        </w:trPr>
        <w:tc>
          <w:tcPr>
            <w:tcW w:w="2356" w:type="dxa"/>
            <w:vMerge/>
            <w:tcBorders>
              <w:top w:val="nil"/>
              <w:left w:val="nil"/>
            </w:tcBorders>
          </w:tcPr>
          <w:p w14:paraId="5730054B" w14:textId="77777777" w:rsidR="00D67C1E" w:rsidRPr="00283806" w:rsidRDefault="00D67C1E">
            <w:pPr>
              <w:rPr>
                <w:sz w:val="2"/>
                <w:szCs w:val="2"/>
              </w:rPr>
            </w:pPr>
          </w:p>
        </w:tc>
        <w:tc>
          <w:tcPr>
            <w:tcW w:w="701" w:type="dxa"/>
          </w:tcPr>
          <w:p w14:paraId="6847F1F9" w14:textId="77777777" w:rsidR="00D67C1E" w:rsidRPr="00283806" w:rsidRDefault="001265CA">
            <w:pPr>
              <w:pStyle w:val="TableParagraph"/>
              <w:spacing w:before="73" w:line="240" w:lineRule="auto"/>
              <w:ind w:left="9"/>
              <w:rPr>
                <w:sz w:val="14"/>
              </w:rPr>
            </w:pPr>
            <w:r w:rsidRPr="00283806">
              <w:rPr>
                <w:spacing w:val="-2"/>
                <w:sz w:val="14"/>
              </w:rPr>
              <w:t>..............</w:t>
            </w:r>
          </w:p>
        </w:tc>
        <w:tc>
          <w:tcPr>
            <w:tcW w:w="1236" w:type="dxa"/>
          </w:tcPr>
          <w:p w14:paraId="2B1AD498" w14:textId="77777777" w:rsidR="00D67C1E" w:rsidRPr="00283806" w:rsidRDefault="001265CA">
            <w:pPr>
              <w:pStyle w:val="TableParagraph"/>
              <w:spacing w:before="73" w:line="240" w:lineRule="auto"/>
              <w:ind w:left="2" w:right="23"/>
              <w:rPr>
                <w:sz w:val="14"/>
              </w:rPr>
            </w:pPr>
            <w:r w:rsidRPr="00283806">
              <w:rPr>
                <w:sz w:val="14"/>
              </w:rPr>
              <w:t>$1,459</w:t>
            </w:r>
            <w:r w:rsidRPr="00283806">
              <w:rPr>
                <w:spacing w:val="4"/>
                <w:sz w:val="14"/>
              </w:rPr>
              <w:t xml:space="preserve"> </w:t>
            </w:r>
            <w:r w:rsidRPr="00283806">
              <w:rPr>
                <w:sz w:val="14"/>
              </w:rPr>
              <w:t>to</w:t>
            </w:r>
            <w:r w:rsidRPr="00283806">
              <w:rPr>
                <w:spacing w:val="5"/>
                <w:sz w:val="14"/>
              </w:rPr>
              <w:t xml:space="preserve"> </w:t>
            </w:r>
            <w:r w:rsidRPr="00283806">
              <w:rPr>
                <w:spacing w:val="-2"/>
                <w:sz w:val="14"/>
              </w:rPr>
              <w:t>$1,499</w:t>
            </w:r>
          </w:p>
        </w:tc>
        <w:tc>
          <w:tcPr>
            <w:tcW w:w="1236" w:type="dxa"/>
          </w:tcPr>
          <w:p w14:paraId="3F5A9DB7" w14:textId="77777777" w:rsidR="00D67C1E" w:rsidRPr="00283806" w:rsidRDefault="001265CA">
            <w:pPr>
              <w:pStyle w:val="TableParagraph"/>
              <w:spacing w:before="73" w:line="240" w:lineRule="auto"/>
              <w:ind w:left="2" w:right="25"/>
              <w:rPr>
                <w:sz w:val="14"/>
              </w:rPr>
            </w:pPr>
            <w:r w:rsidRPr="00283806">
              <w:rPr>
                <w:sz w:val="14"/>
              </w:rPr>
              <w:t>$1,300</w:t>
            </w:r>
            <w:r w:rsidRPr="00283806">
              <w:rPr>
                <w:spacing w:val="4"/>
                <w:sz w:val="14"/>
              </w:rPr>
              <w:t xml:space="preserve"> </w:t>
            </w:r>
            <w:r w:rsidRPr="00283806">
              <w:rPr>
                <w:sz w:val="14"/>
              </w:rPr>
              <w:t>to</w:t>
            </w:r>
            <w:r w:rsidRPr="00283806">
              <w:rPr>
                <w:spacing w:val="5"/>
                <w:sz w:val="14"/>
              </w:rPr>
              <w:t xml:space="preserve"> </w:t>
            </w:r>
            <w:r w:rsidRPr="00283806">
              <w:rPr>
                <w:spacing w:val="-2"/>
                <w:sz w:val="14"/>
              </w:rPr>
              <w:t>$1,335</w:t>
            </w:r>
          </w:p>
        </w:tc>
        <w:tc>
          <w:tcPr>
            <w:tcW w:w="1236" w:type="dxa"/>
          </w:tcPr>
          <w:p w14:paraId="12614ECC" w14:textId="77777777" w:rsidR="00D67C1E" w:rsidRPr="00283806" w:rsidRDefault="001265CA">
            <w:pPr>
              <w:pStyle w:val="TableParagraph"/>
              <w:spacing w:before="73" w:line="240" w:lineRule="auto"/>
              <w:ind w:left="23" w:right="23"/>
              <w:rPr>
                <w:sz w:val="14"/>
              </w:rPr>
            </w:pPr>
            <w:r w:rsidRPr="00283806">
              <w:rPr>
                <w:sz w:val="14"/>
              </w:rPr>
              <w:t>$863</w:t>
            </w:r>
            <w:r w:rsidRPr="00283806">
              <w:rPr>
                <w:spacing w:val="5"/>
                <w:sz w:val="14"/>
              </w:rPr>
              <w:t xml:space="preserve"> </w:t>
            </w:r>
            <w:r w:rsidRPr="00283806">
              <w:rPr>
                <w:sz w:val="14"/>
              </w:rPr>
              <w:t>to</w:t>
            </w:r>
            <w:r w:rsidRPr="00283806">
              <w:rPr>
                <w:spacing w:val="5"/>
                <w:sz w:val="14"/>
              </w:rPr>
              <w:t xml:space="preserve"> </w:t>
            </w:r>
            <w:r w:rsidRPr="00283806">
              <w:rPr>
                <w:sz w:val="14"/>
              </w:rPr>
              <w:t>$884</w:t>
            </w:r>
            <w:r w:rsidRPr="00283806">
              <w:rPr>
                <w:spacing w:val="20"/>
                <w:sz w:val="14"/>
              </w:rPr>
              <w:t xml:space="preserve"> </w:t>
            </w:r>
            <w:r w:rsidRPr="00283806">
              <w:rPr>
                <w:spacing w:val="-2"/>
                <w:sz w:val="14"/>
              </w:rPr>
              <w:t>.....</w:t>
            </w:r>
          </w:p>
        </w:tc>
        <w:tc>
          <w:tcPr>
            <w:tcW w:w="1236" w:type="dxa"/>
          </w:tcPr>
          <w:p w14:paraId="3A18AF5E" w14:textId="77777777" w:rsidR="00D67C1E" w:rsidRPr="00283806" w:rsidRDefault="001265CA">
            <w:pPr>
              <w:pStyle w:val="TableParagraph"/>
              <w:spacing w:before="73" w:line="240" w:lineRule="auto"/>
              <w:ind w:left="2" w:right="24"/>
              <w:rPr>
                <w:sz w:val="14"/>
              </w:rPr>
            </w:pPr>
            <w:r w:rsidRPr="00283806">
              <w:rPr>
                <w:sz w:val="14"/>
              </w:rPr>
              <w:t>$6,857</w:t>
            </w:r>
            <w:r w:rsidRPr="00283806">
              <w:rPr>
                <w:spacing w:val="4"/>
                <w:sz w:val="14"/>
              </w:rPr>
              <w:t xml:space="preserve"> </w:t>
            </w:r>
            <w:r w:rsidRPr="00283806">
              <w:rPr>
                <w:sz w:val="14"/>
              </w:rPr>
              <w:t>to</w:t>
            </w:r>
            <w:r w:rsidRPr="00283806">
              <w:rPr>
                <w:spacing w:val="5"/>
                <w:sz w:val="14"/>
              </w:rPr>
              <w:t xml:space="preserve"> </w:t>
            </w:r>
            <w:r w:rsidRPr="00283806">
              <w:rPr>
                <w:spacing w:val="-2"/>
                <w:sz w:val="14"/>
              </w:rPr>
              <w:t>$6,897</w:t>
            </w:r>
          </w:p>
        </w:tc>
        <w:tc>
          <w:tcPr>
            <w:tcW w:w="1236" w:type="dxa"/>
          </w:tcPr>
          <w:p w14:paraId="600C7905" w14:textId="77777777" w:rsidR="00D67C1E" w:rsidRPr="00283806" w:rsidRDefault="001265CA">
            <w:pPr>
              <w:pStyle w:val="TableParagraph"/>
              <w:spacing w:before="73" w:line="240" w:lineRule="auto"/>
              <w:ind w:left="2" w:right="24"/>
              <w:rPr>
                <w:sz w:val="14"/>
              </w:rPr>
            </w:pPr>
            <w:r w:rsidRPr="00283806">
              <w:rPr>
                <w:sz w:val="14"/>
              </w:rPr>
              <w:t>$7,021</w:t>
            </w:r>
            <w:r w:rsidRPr="00283806">
              <w:rPr>
                <w:spacing w:val="4"/>
                <w:sz w:val="14"/>
              </w:rPr>
              <w:t xml:space="preserve"> </w:t>
            </w:r>
            <w:r w:rsidRPr="00283806">
              <w:rPr>
                <w:sz w:val="14"/>
              </w:rPr>
              <w:t>to</w:t>
            </w:r>
            <w:r w:rsidRPr="00283806">
              <w:rPr>
                <w:spacing w:val="5"/>
                <w:sz w:val="14"/>
              </w:rPr>
              <w:t xml:space="preserve"> </w:t>
            </w:r>
            <w:r w:rsidRPr="00283806">
              <w:rPr>
                <w:spacing w:val="-2"/>
                <w:sz w:val="14"/>
              </w:rPr>
              <w:t>$7,056</w:t>
            </w:r>
          </w:p>
        </w:tc>
        <w:tc>
          <w:tcPr>
            <w:tcW w:w="1204" w:type="dxa"/>
            <w:tcBorders>
              <w:right w:val="nil"/>
            </w:tcBorders>
          </w:tcPr>
          <w:p w14:paraId="598BA6C8" w14:textId="77777777" w:rsidR="00D67C1E" w:rsidRPr="00283806" w:rsidRDefault="001265CA">
            <w:pPr>
              <w:pStyle w:val="TableParagraph"/>
              <w:spacing w:before="73" w:line="240" w:lineRule="auto"/>
              <w:ind w:left="67"/>
              <w:jc w:val="left"/>
              <w:rPr>
                <w:sz w:val="14"/>
              </w:rPr>
            </w:pPr>
            <w:r w:rsidRPr="00283806">
              <w:rPr>
                <w:sz w:val="14"/>
              </w:rPr>
              <w:t>$7,471</w:t>
            </w:r>
            <w:r w:rsidRPr="00283806">
              <w:rPr>
                <w:spacing w:val="4"/>
                <w:sz w:val="14"/>
              </w:rPr>
              <w:t xml:space="preserve"> </w:t>
            </w:r>
            <w:r w:rsidRPr="00283806">
              <w:rPr>
                <w:sz w:val="14"/>
              </w:rPr>
              <w:t>to</w:t>
            </w:r>
            <w:r w:rsidRPr="00283806">
              <w:rPr>
                <w:spacing w:val="5"/>
                <w:sz w:val="14"/>
              </w:rPr>
              <w:t xml:space="preserve"> </w:t>
            </w:r>
            <w:r w:rsidRPr="00283806">
              <w:rPr>
                <w:spacing w:val="-2"/>
                <w:sz w:val="14"/>
              </w:rPr>
              <w:t>$7,493.</w:t>
            </w:r>
          </w:p>
        </w:tc>
      </w:tr>
    </w:tbl>
    <w:p w14:paraId="18A2C794" w14:textId="77777777" w:rsidR="00D67C1E" w:rsidRPr="00283806" w:rsidRDefault="001265CA">
      <w:pPr>
        <w:spacing w:before="63" w:line="208" w:lineRule="auto"/>
        <w:ind w:left="160" w:right="118" w:firstLine="139"/>
        <w:jc w:val="both"/>
        <w:rPr>
          <w:rFonts w:ascii="Arial"/>
          <w:sz w:val="14"/>
        </w:rPr>
      </w:pPr>
      <w:r w:rsidRPr="00283806">
        <w:rPr>
          <w:rFonts w:ascii="Arial"/>
          <w:position w:val="4"/>
          <w:sz w:val="9"/>
        </w:rPr>
        <w:t>a</w:t>
      </w:r>
      <w:r w:rsidRPr="00283806">
        <w:rPr>
          <w:rFonts w:ascii="Arial"/>
          <w:spacing w:val="-4"/>
          <w:position w:val="4"/>
          <w:sz w:val="9"/>
        </w:rPr>
        <w:t xml:space="preserve"> </w:t>
      </w:r>
      <w:proofErr w:type="gramStart"/>
      <w:r w:rsidRPr="00283806">
        <w:rPr>
          <w:rFonts w:ascii="Arial"/>
          <w:sz w:val="14"/>
        </w:rPr>
        <w:t>As</w:t>
      </w:r>
      <w:proofErr w:type="gramEnd"/>
      <w:r w:rsidRPr="00283806">
        <w:rPr>
          <w:rFonts w:ascii="Arial"/>
          <w:sz w:val="14"/>
        </w:rPr>
        <w:t xml:space="preserve"> detailed in the RIA addendum, reclaim requirements may lead to additional emissions reductions by inducing increased recovery of refrigerant at servicing and</w:t>
      </w:r>
      <w:r w:rsidRPr="00283806">
        <w:rPr>
          <w:rFonts w:ascii="Arial"/>
          <w:spacing w:val="40"/>
          <w:sz w:val="14"/>
        </w:rPr>
        <w:t xml:space="preserve"> </w:t>
      </w:r>
      <w:r w:rsidRPr="00283806">
        <w:rPr>
          <w:rFonts w:ascii="Arial"/>
          <w:sz w:val="14"/>
        </w:rPr>
        <w:t>disposal that may otherwise be released or vented. In the base case scenario, EPA does not estimate an increase in these avoided emissions beyond baseline as-</w:t>
      </w:r>
      <w:r w:rsidRPr="00283806">
        <w:rPr>
          <w:rFonts w:ascii="Arial"/>
          <w:spacing w:val="40"/>
          <w:sz w:val="14"/>
        </w:rPr>
        <w:t xml:space="preserve"> </w:t>
      </w:r>
      <w:proofErr w:type="spellStart"/>
      <w:r w:rsidRPr="00283806">
        <w:rPr>
          <w:rFonts w:ascii="Arial"/>
          <w:sz w:val="14"/>
        </w:rPr>
        <w:t>sumptions</w:t>
      </w:r>
      <w:proofErr w:type="spellEnd"/>
      <w:r w:rsidRPr="00283806">
        <w:rPr>
          <w:rFonts w:ascii="Arial"/>
          <w:sz w:val="14"/>
        </w:rPr>
        <w:t>. See the RIA addendum for additional analysis related to this assumption.</w:t>
      </w:r>
    </w:p>
    <w:p w14:paraId="37CF262C" w14:textId="77777777" w:rsidR="00D67C1E" w:rsidRPr="00283806" w:rsidRDefault="001265CA">
      <w:pPr>
        <w:spacing w:line="133" w:lineRule="exact"/>
        <w:ind w:left="300"/>
        <w:jc w:val="both"/>
        <w:rPr>
          <w:rFonts w:ascii="Arial"/>
          <w:sz w:val="14"/>
        </w:rPr>
      </w:pPr>
      <w:r w:rsidRPr="00283806">
        <w:rPr>
          <w:rFonts w:ascii="Arial"/>
          <w:position w:val="4"/>
          <w:sz w:val="9"/>
        </w:rPr>
        <w:t>b</w:t>
      </w:r>
      <w:r w:rsidRPr="00283806">
        <w:rPr>
          <w:rFonts w:ascii="Arial"/>
          <w:spacing w:val="-4"/>
          <w:position w:val="4"/>
          <w:sz w:val="9"/>
        </w:rPr>
        <w:t xml:space="preserve"> </w:t>
      </w:r>
      <w:r w:rsidRPr="00283806">
        <w:rPr>
          <w:rFonts w:ascii="Arial"/>
          <w:sz w:val="14"/>
        </w:rPr>
        <w:t>Rows</w:t>
      </w:r>
      <w:r w:rsidRPr="00283806">
        <w:rPr>
          <w:rFonts w:ascii="Arial"/>
          <w:spacing w:val="7"/>
          <w:sz w:val="14"/>
        </w:rPr>
        <w:t xml:space="preserve"> </w:t>
      </w:r>
      <w:r w:rsidRPr="00283806">
        <w:rPr>
          <w:rFonts w:ascii="Arial"/>
          <w:sz w:val="14"/>
        </w:rPr>
        <w:t>may</w:t>
      </w:r>
      <w:r w:rsidRPr="00283806">
        <w:rPr>
          <w:rFonts w:ascii="Arial"/>
          <w:spacing w:val="7"/>
          <w:sz w:val="14"/>
        </w:rPr>
        <w:t xml:space="preserve"> </w:t>
      </w:r>
      <w:r w:rsidRPr="00283806">
        <w:rPr>
          <w:rFonts w:ascii="Arial"/>
          <w:sz w:val="14"/>
        </w:rPr>
        <w:t>not</w:t>
      </w:r>
      <w:r w:rsidRPr="00283806">
        <w:rPr>
          <w:rFonts w:ascii="Arial"/>
          <w:spacing w:val="7"/>
          <w:sz w:val="14"/>
        </w:rPr>
        <w:t xml:space="preserve"> </w:t>
      </w:r>
      <w:r w:rsidRPr="00283806">
        <w:rPr>
          <w:rFonts w:ascii="Arial"/>
          <w:sz w:val="14"/>
        </w:rPr>
        <w:t>appear</w:t>
      </w:r>
      <w:r w:rsidRPr="00283806">
        <w:rPr>
          <w:rFonts w:ascii="Arial"/>
          <w:spacing w:val="6"/>
          <w:sz w:val="14"/>
        </w:rPr>
        <w:t xml:space="preserve"> </w:t>
      </w:r>
      <w:r w:rsidRPr="00283806">
        <w:rPr>
          <w:rFonts w:ascii="Arial"/>
          <w:sz w:val="14"/>
        </w:rPr>
        <w:t>to</w:t>
      </w:r>
      <w:r w:rsidRPr="00283806">
        <w:rPr>
          <w:rFonts w:ascii="Arial"/>
          <w:spacing w:val="7"/>
          <w:sz w:val="14"/>
        </w:rPr>
        <w:t xml:space="preserve"> </w:t>
      </w:r>
      <w:r w:rsidRPr="00283806">
        <w:rPr>
          <w:rFonts w:ascii="Arial"/>
          <w:sz w:val="14"/>
        </w:rPr>
        <w:t>add</w:t>
      </w:r>
      <w:r w:rsidRPr="00283806">
        <w:rPr>
          <w:rFonts w:ascii="Arial"/>
          <w:spacing w:val="7"/>
          <w:sz w:val="14"/>
        </w:rPr>
        <w:t xml:space="preserve"> </w:t>
      </w:r>
      <w:r w:rsidRPr="00283806">
        <w:rPr>
          <w:rFonts w:ascii="Arial"/>
          <w:sz w:val="14"/>
        </w:rPr>
        <w:t>correctly</w:t>
      </w:r>
      <w:r w:rsidRPr="00283806">
        <w:rPr>
          <w:rFonts w:ascii="Arial"/>
          <w:spacing w:val="7"/>
          <w:sz w:val="14"/>
        </w:rPr>
        <w:t xml:space="preserve"> </w:t>
      </w:r>
      <w:r w:rsidRPr="00283806">
        <w:rPr>
          <w:rFonts w:ascii="Arial"/>
          <w:sz w:val="14"/>
        </w:rPr>
        <w:t>due</w:t>
      </w:r>
      <w:r w:rsidRPr="00283806">
        <w:rPr>
          <w:rFonts w:ascii="Arial"/>
          <w:spacing w:val="6"/>
          <w:sz w:val="14"/>
        </w:rPr>
        <w:t xml:space="preserve"> </w:t>
      </w:r>
      <w:r w:rsidRPr="00283806">
        <w:rPr>
          <w:rFonts w:ascii="Arial"/>
          <w:sz w:val="14"/>
        </w:rPr>
        <w:t>to</w:t>
      </w:r>
      <w:r w:rsidRPr="00283806">
        <w:rPr>
          <w:rFonts w:ascii="Arial"/>
          <w:spacing w:val="7"/>
          <w:sz w:val="14"/>
        </w:rPr>
        <w:t xml:space="preserve"> </w:t>
      </w:r>
      <w:r w:rsidRPr="00283806">
        <w:rPr>
          <w:rFonts w:ascii="Arial"/>
          <w:spacing w:val="-2"/>
          <w:sz w:val="14"/>
        </w:rPr>
        <w:t>rounding.</w:t>
      </w:r>
    </w:p>
    <w:p w14:paraId="20F842AC" w14:textId="77777777" w:rsidR="00D67C1E" w:rsidRPr="00283806" w:rsidRDefault="001265CA">
      <w:pPr>
        <w:spacing w:before="7" w:line="208" w:lineRule="auto"/>
        <w:ind w:left="159" w:right="125" w:firstLine="140"/>
        <w:jc w:val="both"/>
        <w:rPr>
          <w:rFonts w:ascii="Arial"/>
          <w:sz w:val="14"/>
        </w:rPr>
      </w:pPr>
      <w:proofErr w:type="gramStart"/>
      <w:r w:rsidRPr="00283806">
        <w:rPr>
          <w:rFonts w:ascii="Arial"/>
          <w:position w:val="4"/>
          <w:sz w:val="9"/>
        </w:rPr>
        <w:t>c</w:t>
      </w:r>
      <w:r w:rsidRPr="00283806">
        <w:rPr>
          <w:rFonts w:ascii="Arial"/>
          <w:spacing w:val="-4"/>
          <w:position w:val="4"/>
          <w:sz w:val="9"/>
        </w:rPr>
        <w:t xml:space="preserve"> </w:t>
      </w:r>
      <w:r w:rsidRPr="00283806">
        <w:rPr>
          <w:rFonts w:ascii="Arial"/>
          <w:sz w:val="14"/>
        </w:rPr>
        <w:t>RCRA</w:t>
      </w:r>
      <w:proofErr w:type="gramEnd"/>
      <w:r w:rsidRPr="00283806">
        <w:rPr>
          <w:rFonts w:ascii="Arial"/>
          <w:sz w:val="14"/>
        </w:rPr>
        <w:t xml:space="preserve"> alternative standard requirements are part of the RCRA regulations, which are separate from the regulations under subsection (h)(1) of the AIM Act. </w:t>
      </w:r>
      <w:proofErr w:type="spellStart"/>
      <w:r w:rsidRPr="00283806">
        <w:rPr>
          <w:rFonts w:ascii="Arial"/>
          <w:sz w:val="14"/>
        </w:rPr>
        <w:t>Poten</w:t>
      </w:r>
      <w:proofErr w:type="spellEnd"/>
      <w:r w:rsidRPr="00283806">
        <w:rPr>
          <w:rFonts w:ascii="Arial"/>
          <w:sz w:val="14"/>
        </w:rPr>
        <w:t>-</w:t>
      </w:r>
      <w:r w:rsidRPr="00283806">
        <w:rPr>
          <w:rFonts w:ascii="Arial"/>
          <w:spacing w:val="40"/>
          <w:sz w:val="14"/>
        </w:rPr>
        <w:t xml:space="preserve"> </w:t>
      </w:r>
      <w:proofErr w:type="spellStart"/>
      <w:r w:rsidRPr="00283806">
        <w:rPr>
          <w:rFonts w:ascii="Arial"/>
          <w:sz w:val="14"/>
        </w:rPr>
        <w:t>tial</w:t>
      </w:r>
      <w:proofErr w:type="spellEnd"/>
      <w:r w:rsidRPr="00283806">
        <w:rPr>
          <w:rFonts w:ascii="Arial"/>
          <w:sz w:val="14"/>
        </w:rPr>
        <w:t xml:space="preserve"> RCRA-related benefits presented in this table are included here for informational purposes.</w:t>
      </w:r>
    </w:p>
    <w:p w14:paraId="6F228E68" w14:textId="77777777" w:rsidR="00D67C1E" w:rsidRPr="00283806" w:rsidRDefault="00D67C1E">
      <w:pPr>
        <w:pStyle w:val="BodyText"/>
        <w:spacing w:before="22"/>
        <w:ind w:left="0"/>
        <w:rPr>
          <w:rFonts w:ascii="Arial"/>
          <w:sz w:val="20"/>
        </w:rPr>
      </w:pPr>
    </w:p>
    <w:p w14:paraId="1BBE2864" w14:textId="77777777" w:rsidR="00D67C1E" w:rsidRPr="00283806" w:rsidRDefault="00D67C1E">
      <w:pPr>
        <w:rPr>
          <w:rFonts w:ascii="Arial"/>
          <w:sz w:val="20"/>
        </w:rPr>
        <w:sectPr w:rsidR="00D67C1E" w:rsidRPr="00283806">
          <w:pgSz w:w="12240" w:h="15840"/>
          <w:pgMar w:top="1040" w:right="780" w:bottom="280" w:left="740" w:header="627" w:footer="0" w:gutter="0"/>
          <w:cols w:space="720"/>
        </w:sectPr>
      </w:pPr>
    </w:p>
    <w:p w14:paraId="69203A80" w14:textId="77777777" w:rsidR="00D67C1E" w:rsidRPr="00283806" w:rsidRDefault="001265CA">
      <w:pPr>
        <w:pStyle w:val="ListParagraph"/>
        <w:numPr>
          <w:ilvl w:val="0"/>
          <w:numId w:val="42"/>
        </w:numPr>
        <w:tabs>
          <w:tab w:val="left" w:pos="358"/>
        </w:tabs>
        <w:spacing w:before="110" w:line="228" w:lineRule="auto"/>
        <w:ind w:left="160" w:right="77" w:firstLine="0"/>
        <w:rPr>
          <w:sz w:val="18"/>
        </w:rPr>
      </w:pPr>
      <w:r w:rsidRPr="00283806">
        <w:rPr>
          <w:w w:val="105"/>
          <w:sz w:val="18"/>
        </w:rPr>
        <w:t>Estimating Costs and Benefits Based on Affected Equipment and Appliances</w:t>
      </w:r>
    </w:p>
    <w:p w14:paraId="147126DB" w14:textId="77777777" w:rsidR="00D67C1E" w:rsidRPr="00283806" w:rsidRDefault="001265CA">
      <w:pPr>
        <w:pStyle w:val="BodyText"/>
        <w:spacing w:before="135" w:line="228" w:lineRule="auto"/>
        <w:ind w:right="48" w:firstLine="180"/>
      </w:pPr>
      <w:r w:rsidRPr="00283806">
        <w:rPr>
          <w:w w:val="105"/>
        </w:rPr>
        <w:t>As detailed in the RIA addendum, the number, charge sizes, leak rates, and other characteristics of affected RACHP and fire suppression equipment, and the benefits realized through the requirements of this rulemaking, were estimated using EPA’s Vintaging</w:t>
      </w:r>
      <w:r w:rsidRPr="00283806">
        <w:rPr>
          <w:spacing w:val="40"/>
          <w:w w:val="105"/>
        </w:rPr>
        <w:t xml:space="preserve"> </w:t>
      </w:r>
      <w:r w:rsidRPr="00283806">
        <w:rPr>
          <w:w w:val="105"/>
        </w:rPr>
        <w:t>Model.</w:t>
      </w:r>
      <w:r w:rsidRPr="00283806">
        <w:rPr>
          <w:w w:val="105"/>
          <w:position w:val="5"/>
          <w:sz w:val="11"/>
        </w:rPr>
        <w:t>179</w:t>
      </w:r>
      <w:r w:rsidRPr="00283806">
        <w:rPr>
          <w:spacing w:val="40"/>
          <w:w w:val="105"/>
          <w:position w:val="5"/>
          <w:sz w:val="11"/>
        </w:rPr>
        <w:t xml:space="preserve"> </w:t>
      </w:r>
      <w:r w:rsidRPr="00283806">
        <w:rPr>
          <w:w w:val="105"/>
        </w:rPr>
        <w:t>For example, for RACHP equipment covered by the rule’s leak repair and ALD system provisions, the requirements are assumed to lead to leaking systems being repaired earlier than they otherwise would have been, leading to reduced emissions of HFCs. The reduction in HFC emissions results</w:t>
      </w:r>
      <w:r w:rsidRPr="00283806">
        <w:rPr>
          <w:spacing w:val="40"/>
          <w:w w:val="105"/>
        </w:rPr>
        <w:t xml:space="preserve"> </w:t>
      </w:r>
      <w:r w:rsidRPr="00283806">
        <w:rPr>
          <w:w w:val="105"/>
        </w:rPr>
        <w:t>in climate benefits due to reduced</w:t>
      </w:r>
      <w:r w:rsidRPr="00283806">
        <w:rPr>
          <w:spacing w:val="40"/>
          <w:w w:val="105"/>
        </w:rPr>
        <w:t xml:space="preserve"> </w:t>
      </w:r>
      <w:r w:rsidRPr="00283806">
        <w:rPr>
          <w:w w:val="105"/>
        </w:rPr>
        <w:t>climate forcing as calculated by multiplying avoided emissions by the social cost of each SC–HFC.</w:t>
      </w:r>
    </w:p>
    <w:p w14:paraId="53EC57AE" w14:textId="77777777" w:rsidR="00D67C1E" w:rsidRPr="00283806" w:rsidRDefault="001265CA">
      <w:pPr>
        <w:pStyle w:val="BodyText"/>
        <w:spacing w:before="44" w:line="228" w:lineRule="auto"/>
        <w:ind w:left="159" w:right="8" w:firstLine="180"/>
      </w:pPr>
      <w:r w:rsidRPr="00283806">
        <w:rPr>
          <w:w w:val="105"/>
        </w:rPr>
        <w:t xml:space="preserve">In the years 2026 through 2050, the final rule’s leak repair and ALD system provisions </w:t>
      </w:r>
      <w:proofErr w:type="gramStart"/>
      <w:r w:rsidRPr="00283806">
        <w:rPr>
          <w:w w:val="105"/>
        </w:rPr>
        <w:t>in particular would</w:t>
      </w:r>
      <w:proofErr w:type="gramEnd"/>
      <w:r w:rsidRPr="00283806">
        <w:rPr>
          <w:w w:val="105"/>
        </w:rPr>
        <w:t xml:space="preserve"> prevent</w:t>
      </w:r>
      <w:r w:rsidRPr="00283806">
        <w:rPr>
          <w:spacing w:val="40"/>
          <w:w w:val="105"/>
        </w:rPr>
        <w:t xml:space="preserve"> </w:t>
      </w:r>
      <w:r w:rsidRPr="00283806">
        <w:rPr>
          <w:w w:val="105"/>
        </w:rPr>
        <w:t>an estimated 88.5 MMTCO</w:t>
      </w:r>
      <w:r w:rsidRPr="00283806">
        <w:rPr>
          <w:rFonts w:ascii="Times New Roman" w:hAnsi="Times New Roman"/>
          <w:w w:val="105"/>
          <w:vertAlign w:val="subscript"/>
        </w:rPr>
        <w:t>2</w:t>
      </w:r>
      <w:r w:rsidRPr="00283806">
        <w:rPr>
          <w:w w:val="105"/>
        </w:rPr>
        <w:t>e in HFC emissions, and the present value of the economic benefit of avoiding the</w:t>
      </w:r>
      <w:r w:rsidRPr="00283806">
        <w:rPr>
          <w:spacing w:val="40"/>
          <w:w w:val="105"/>
        </w:rPr>
        <w:t xml:space="preserve"> </w:t>
      </w:r>
      <w:r w:rsidRPr="00283806">
        <w:rPr>
          <w:w w:val="105"/>
        </w:rPr>
        <w:t>damages associated with those</w:t>
      </w:r>
      <w:r w:rsidRPr="00283806">
        <w:rPr>
          <w:spacing w:val="80"/>
          <w:w w:val="105"/>
        </w:rPr>
        <w:t xml:space="preserve"> </w:t>
      </w:r>
      <w:r w:rsidRPr="00283806">
        <w:rPr>
          <w:w w:val="105"/>
        </w:rPr>
        <w:t>emissions is estimated at $6.2 billion (in 2022</w:t>
      </w:r>
      <w:r w:rsidRPr="00283806">
        <w:rPr>
          <w:spacing w:val="32"/>
          <w:w w:val="105"/>
        </w:rPr>
        <w:t xml:space="preserve"> </w:t>
      </w:r>
      <w:r w:rsidRPr="00283806">
        <w:rPr>
          <w:w w:val="105"/>
        </w:rPr>
        <w:t>dollars,</w:t>
      </w:r>
      <w:r w:rsidRPr="00283806">
        <w:rPr>
          <w:spacing w:val="32"/>
          <w:w w:val="105"/>
        </w:rPr>
        <w:t xml:space="preserve"> </w:t>
      </w:r>
      <w:r w:rsidRPr="00283806">
        <w:rPr>
          <w:w w:val="105"/>
        </w:rPr>
        <w:t>discounted</w:t>
      </w:r>
      <w:r w:rsidRPr="00283806">
        <w:rPr>
          <w:spacing w:val="32"/>
          <w:w w:val="105"/>
        </w:rPr>
        <w:t xml:space="preserve"> </w:t>
      </w:r>
      <w:r w:rsidRPr="00283806">
        <w:rPr>
          <w:w w:val="105"/>
        </w:rPr>
        <w:t>to</w:t>
      </w:r>
      <w:r w:rsidRPr="00283806">
        <w:rPr>
          <w:spacing w:val="32"/>
          <w:w w:val="105"/>
        </w:rPr>
        <w:t xml:space="preserve"> </w:t>
      </w:r>
      <w:r w:rsidRPr="00283806">
        <w:rPr>
          <w:w w:val="105"/>
        </w:rPr>
        <w:t>2024</w:t>
      </w:r>
      <w:r w:rsidRPr="00283806">
        <w:rPr>
          <w:spacing w:val="32"/>
          <w:w w:val="105"/>
        </w:rPr>
        <w:t xml:space="preserve"> </w:t>
      </w:r>
      <w:r w:rsidRPr="00283806">
        <w:rPr>
          <w:w w:val="105"/>
        </w:rPr>
        <w:t>using a three percent discount rate). These benefits, as well as those resulting from other provisions contained in the final ER&amp;R rule, are estimated to decrease over time due to the HFC phasedown</w:t>
      </w:r>
      <w:r w:rsidRPr="00283806">
        <w:rPr>
          <w:spacing w:val="80"/>
          <w:w w:val="105"/>
        </w:rPr>
        <w:t xml:space="preserve"> </w:t>
      </w:r>
      <w:r w:rsidRPr="00283806">
        <w:rPr>
          <w:w w:val="105"/>
        </w:rPr>
        <w:t>and the transition out of the higher-</w:t>
      </w:r>
      <w:r w:rsidRPr="00283806">
        <w:rPr>
          <w:spacing w:val="80"/>
          <w:w w:val="105"/>
        </w:rPr>
        <w:t xml:space="preserve"> </w:t>
      </w:r>
      <w:r w:rsidRPr="00283806">
        <w:rPr>
          <w:w w:val="105"/>
        </w:rPr>
        <w:t>GWP</w:t>
      </w:r>
      <w:r w:rsidRPr="00283806">
        <w:rPr>
          <w:spacing w:val="40"/>
          <w:w w:val="105"/>
        </w:rPr>
        <w:t xml:space="preserve"> </w:t>
      </w:r>
      <w:r w:rsidRPr="00283806">
        <w:rPr>
          <w:w w:val="105"/>
        </w:rPr>
        <w:t>HFCs,</w:t>
      </w:r>
      <w:r w:rsidRPr="00283806">
        <w:rPr>
          <w:spacing w:val="40"/>
          <w:w w:val="105"/>
        </w:rPr>
        <w:t xml:space="preserve"> </w:t>
      </w:r>
      <w:r w:rsidRPr="00283806">
        <w:rPr>
          <w:w w:val="105"/>
        </w:rPr>
        <w:t>lowering</w:t>
      </w:r>
      <w:r w:rsidRPr="00283806">
        <w:rPr>
          <w:spacing w:val="40"/>
          <w:w w:val="105"/>
        </w:rPr>
        <w:t xml:space="preserve"> </w:t>
      </w:r>
      <w:r w:rsidRPr="00283806">
        <w:rPr>
          <w:w w:val="105"/>
        </w:rPr>
        <w:t>the</w:t>
      </w:r>
      <w:r w:rsidRPr="00283806">
        <w:rPr>
          <w:spacing w:val="40"/>
          <w:w w:val="105"/>
        </w:rPr>
        <w:t xml:space="preserve"> </w:t>
      </w:r>
      <w:r w:rsidRPr="00283806">
        <w:rPr>
          <w:w w:val="105"/>
        </w:rPr>
        <w:t>average</w:t>
      </w:r>
      <w:r w:rsidRPr="00283806">
        <w:rPr>
          <w:spacing w:val="40"/>
          <w:w w:val="105"/>
        </w:rPr>
        <w:t xml:space="preserve"> </w:t>
      </w:r>
      <w:r w:rsidRPr="00283806">
        <w:rPr>
          <w:w w:val="105"/>
        </w:rPr>
        <w:t>GWP of avoided future emissions. For</w:t>
      </w:r>
      <w:r w:rsidRPr="00283806">
        <w:rPr>
          <w:spacing w:val="40"/>
          <w:w w:val="105"/>
        </w:rPr>
        <w:t xml:space="preserve"> </w:t>
      </w:r>
      <w:r w:rsidRPr="00283806">
        <w:rPr>
          <w:w w:val="105"/>
        </w:rPr>
        <w:t>example, it is estimated that the leak</w:t>
      </w:r>
    </w:p>
    <w:p w14:paraId="2CEC89ED" w14:textId="77777777" w:rsidR="00D67C1E" w:rsidRPr="00283806" w:rsidRDefault="001265CA">
      <w:pPr>
        <w:pStyle w:val="BodyText"/>
        <w:spacing w:line="112" w:lineRule="exact"/>
        <w:ind w:left="159"/>
      </w:pPr>
      <w:r w:rsidRPr="00283806">
        <w:rPr>
          <w:w w:val="105"/>
        </w:rPr>
        <w:t>repair</w:t>
      </w:r>
      <w:r w:rsidRPr="00283806">
        <w:rPr>
          <w:spacing w:val="12"/>
          <w:w w:val="105"/>
        </w:rPr>
        <w:t xml:space="preserve"> </w:t>
      </w:r>
      <w:r w:rsidRPr="00283806">
        <w:rPr>
          <w:w w:val="105"/>
        </w:rPr>
        <w:t>and</w:t>
      </w:r>
      <w:r w:rsidRPr="00283806">
        <w:rPr>
          <w:spacing w:val="13"/>
          <w:w w:val="105"/>
        </w:rPr>
        <w:t xml:space="preserve"> </w:t>
      </w:r>
      <w:r w:rsidRPr="00283806">
        <w:rPr>
          <w:w w:val="105"/>
        </w:rPr>
        <w:t>ALD</w:t>
      </w:r>
      <w:r w:rsidRPr="00283806">
        <w:rPr>
          <w:spacing w:val="13"/>
          <w:w w:val="105"/>
        </w:rPr>
        <w:t xml:space="preserve"> </w:t>
      </w:r>
      <w:r w:rsidRPr="00283806">
        <w:rPr>
          <w:w w:val="105"/>
        </w:rPr>
        <w:t>system</w:t>
      </w:r>
      <w:r w:rsidRPr="00283806">
        <w:rPr>
          <w:spacing w:val="13"/>
          <w:w w:val="105"/>
        </w:rPr>
        <w:t xml:space="preserve"> </w:t>
      </w:r>
      <w:r w:rsidRPr="00283806">
        <w:rPr>
          <w:spacing w:val="-2"/>
          <w:w w:val="105"/>
        </w:rPr>
        <w:t>provisions</w:t>
      </w:r>
    </w:p>
    <w:p w14:paraId="0974092A" w14:textId="77777777" w:rsidR="00D67C1E" w:rsidRPr="00283806" w:rsidRDefault="001265CA">
      <w:pPr>
        <w:pStyle w:val="BodyText"/>
        <w:spacing w:before="110" w:line="228" w:lineRule="auto"/>
        <w:ind w:left="154" w:right="38"/>
      </w:pPr>
      <w:r w:rsidRPr="00283806">
        <w:br w:type="column"/>
      </w:r>
      <w:r w:rsidRPr="00283806">
        <w:rPr>
          <w:w w:val="105"/>
        </w:rPr>
        <w:t>savings.</w:t>
      </w:r>
      <w:r w:rsidRPr="00283806">
        <w:rPr>
          <w:w w:val="105"/>
          <w:position w:val="5"/>
          <w:sz w:val="11"/>
        </w:rPr>
        <w:t>180</w:t>
      </w:r>
      <w:r w:rsidRPr="00283806">
        <w:rPr>
          <w:spacing w:val="40"/>
          <w:w w:val="105"/>
          <w:position w:val="5"/>
          <w:sz w:val="11"/>
        </w:rPr>
        <w:t xml:space="preserve"> </w:t>
      </w:r>
      <w:r w:rsidRPr="00283806">
        <w:rPr>
          <w:w w:val="105"/>
        </w:rPr>
        <w:t xml:space="preserve">For example, reducing HFC emissions due to fixing leaks earlier would also be anticipated to lead to savings for system owner/operators, as less new </w:t>
      </w:r>
      <w:proofErr w:type="gramStart"/>
      <w:r w:rsidRPr="00283806">
        <w:rPr>
          <w:w w:val="105"/>
        </w:rPr>
        <w:t>refrigerant</w:t>
      </w:r>
      <w:proofErr w:type="gramEnd"/>
      <w:r w:rsidRPr="00283806">
        <w:rPr>
          <w:w w:val="105"/>
        </w:rPr>
        <w:t xml:space="preserve"> would need to be purchased to replace leaked refrigerant. In 2026, it is estimated that the proposed leak repair and ALD system provisions would lead to savings of approximately $19.5 million (in 2022 </w:t>
      </w:r>
      <w:r w:rsidRPr="00283806">
        <w:rPr>
          <w:spacing w:val="-2"/>
          <w:w w:val="105"/>
        </w:rPr>
        <w:t>dollars).</w:t>
      </w:r>
    </w:p>
    <w:p w14:paraId="43904F59" w14:textId="77777777" w:rsidR="00D67C1E" w:rsidRPr="00283806" w:rsidRDefault="001265CA">
      <w:pPr>
        <w:pStyle w:val="BodyText"/>
        <w:spacing w:line="228" w:lineRule="auto"/>
        <w:ind w:left="154" w:right="38" w:firstLine="180"/>
      </w:pPr>
      <w:r w:rsidRPr="00283806">
        <w:rPr>
          <w:w w:val="105"/>
        </w:rPr>
        <w:t>The compliance costs of the leak</w:t>
      </w:r>
      <w:r w:rsidRPr="00283806">
        <w:rPr>
          <w:spacing w:val="40"/>
          <w:w w:val="105"/>
        </w:rPr>
        <w:t xml:space="preserve"> </w:t>
      </w:r>
      <w:r w:rsidRPr="00283806">
        <w:rPr>
          <w:w w:val="105"/>
        </w:rPr>
        <w:t xml:space="preserve">repair and inspection requirements </w:t>
      </w:r>
      <w:proofErr w:type="gramStart"/>
      <w:r w:rsidRPr="00283806">
        <w:rPr>
          <w:w w:val="105"/>
        </w:rPr>
        <w:t>in particular include</w:t>
      </w:r>
      <w:proofErr w:type="gramEnd"/>
      <w:r w:rsidRPr="00283806">
        <w:rPr>
          <w:w w:val="105"/>
        </w:rPr>
        <w:t xml:space="preserve"> the costs of purchasing and operating ALD systems, costs of required inspections, and the costs of repairing leaks earlier than would have been necessary without the provisions. When combined with the refrigerant savings, in the years 2026 through 2050, these provisions would result in net compliance costs with a present value estimated at $1.15 billion (2022 dollars, discounted to 2024 at a three percent discount rate). More details on underlying assumptions for these estimates can be found in the RIA addendum for the final rule and its accompanying appendices.</w:t>
      </w:r>
    </w:p>
    <w:p w14:paraId="1240E0ED" w14:textId="77777777" w:rsidR="00D67C1E" w:rsidRPr="00283806" w:rsidRDefault="001265CA">
      <w:pPr>
        <w:pStyle w:val="BodyText"/>
        <w:spacing w:line="225" w:lineRule="auto"/>
        <w:ind w:left="154" w:firstLine="180"/>
      </w:pPr>
      <w:r w:rsidRPr="00283806">
        <w:rPr>
          <w:rFonts w:ascii="Book Antiqua"/>
          <w:i/>
          <w:w w:val="105"/>
        </w:rPr>
        <w:t xml:space="preserve">Comment: </w:t>
      </w:r>
      <w:r w:rsidRPr="00283806">
        <w:rPr>
          <w:w w:val="105"/>
        </w:rPr>
        <w:t>One commenter stated that the regulations put in place by EPA will provide health benefits to technicians and their consumers. The commenter also stated that there will be environmental benefits since the HFC Phasedown Program encourages recycling HFCs to reduce GHG</w:t>
      </w:r>
      <w:r w:rsidRPr="00283806">
        <w:rPr>
          <w:spacing w:val="40"/>
          <w:w w:val="105"/>
        </w:rPr>
        <w:t xml:space="preserve"> </w:t>
      </w:r>
      <w:r w:rsidRPr="00283806">
        <w:rPr>
          <w:w w:val="105"/>
        </w:rPr>
        <w:t>production rates.</w:t>
      </w:r>
    </w:p>
    <w:p w14:paraId="5E01A489" w14:textId="77777777" w:rsidR="00D67C1E" w:rsidRPr="00283806" w:rsidRDefault="001265CA">
      <w:pPr>
        <w:pStyle w:val="BodyText"/>
        <w:spacing w:line="200" w:lineRule="exact"/>
        <w:ind w:left="154" w:right="47" w:firstLine="180"/>
      </w:pPr>
      <w:r w:rsidRPr="00283806">
        <w:rPr>
          <w:w w:val="105"/>
        </w:rPr>
        <w:t>The commenter also noted that for this transition, States are providing incentive programs to help companies</w:t>
      </w:r>
    </w:p>
    <w:p w14:paraId="0011FDB4" w14:textId="77777777" w:rsidR="00D67C1E" w:rsidRPr="00283806" w:rsidRDefault="001265CA">
      <w:pPr>
        <w:pStyle w:val="BodyText"/>
        <w:spacing w:before="111" w:line="225" w:lineRule="auto"/>
        <w:ind w:left="159" w:right="142"/>
      </w:pPr>
      <w:r w:rsidRPr="00283806">
        <w:br w:type="column"/>
      </w:r>
      <w:r w:rsidRPr="00283806">
        <w:rPr>
          <w:w w:val="105"/>
        </w:rPr>
        <w:t xml:space="preserve">adjust to the new standards proposed by EPA. The commenter mentioned that California and Delaware have programs to increase the use of low-GWP </w:t>
      </w:r>
      <w:proofErr w:type="gramStart"/>
      <w:r w:rsidRPr="00283806">
        <w:rPr>
          <w:w w:val="105"/>
        </w:rPr>
        <w:t>refrigerants</w:t>
      </w:r>
      <w:proofErr w:type="gramEnd"/>
      <w:r w:rsidRPr="00283806">
        <w:rPr>
          <w:w w:val="105"/>
        </w:rPr>
        <w:t>. The commenter stated that this is a great way to show support for the proposed rule because it is evident that businesses will lose a significant portion of funding with the transition to eco-friendly refrigerants.</w:t>
      </w:r>
    </w:p>
    <w:p w14:paraId="4D3EA560" w14:textId="77777777" w:rsidR="00D67C1E" w:rsidRPr="00283806" w:rsidRDefault="001265CA">
      <w:pPr>
        <w:pStyle w:val="BodyText"/>
        <w:spacing w:line="177" w:lineRule="exact"/>
        <w:ind w:left="339"/>
      </w:pPr>
      <w:r w:rsidRPr="00283806">
        <w:rPr>
          <w:w w:val="105"/>
        </w:rPr>
        <w:t>The</w:t>
      </w:r>
      <w:r w:rsidRPr="00283806">
        <w:rPr>
          <w:spacing w:val="1"/>
          <w:w w:val="105"/>
        </w:rPr>
        <w:t xml:space="preserve"> </w:t>
      </w:r>
      <w:r w:rsidRPr="00283806">
        <w:rPr>
          <w:w w:val="105"/>
        </w:rPr>
        <w:t>commenter</w:t>
      </w:r>
      <w:r w:rsidRPr="00283806">
        <w:rPr>
          <w:spacing w:val="2"/>
          <w:w w:val="105"/>
        </w:rPr>
        <w:t xml:space="preserve"> </w:t>
      </w:r>
      <w:r w:rsidRPr="00283806">
        <w:rPr>
          <w:w w:val="105"/>
        </w:rPr>
        <w:t>further</w:t>
      </w:r>
      <w:r w:rsidRPr="00283806">
        <w:rPr>
          <w:spacing w:val="2"/>
          <w:w w:val="105"/>
        </w:rPr>
        <w:t xml:space="preserve"> </w:t>
      </w:r>
      <w:r w:rsidRPr="00283806">
        <w:rPr>
          <w:w w:val="105"/>
        </w:rPr>
        <w:t>stated</w:t>
      </w:r>
      <w:r w:rsidRPr="00283806">
        <w:rPr>
          <w:spacing w:val="2"/>
          <w:w w:val="105"/>
        </w:rPr>
        <w:t xml:space="preserve"> </w:t>
      </w:r>
      <w:r w:rsidRPr="00283806">
        <w:rPr>
          <w:spacing w:val="-4"/>
          <w:w w:val="105"/>
        </w:rPr>
        <w:t>that</w:t>
      </w:r>
    </w:p>
    <w:p w14:paraId="775B3C8C" w14:textId="77777777" w:rsidR="00D67C1E" w:rsidRPr="00283806" w:rsidRDefault="001265CA">
      <w:pPr>
        <w:pStyle w:val="BodyText"/>
        <w:spacing w:before="3" w:line="225" w:lineRule="auto"/>
        <w:ind w:left="159" w:right="154"/>
      </w:pPr>
      <w:proofErr w:type="gramStart"/>
      <w:r w:rsidRPr="00283806">
        <w:rPr>
          <w:w w:val="105"/>
        </w:rPr>
        <w:t>they</w:t>
      </w:r>
      <w:proofErr w:type="gramEnd"/>
      <w:r w:rsidRPr="00283806">
        <w:rPr>
          <w:w w:val="105"/>
        </w:rPr>
        <w:t xml:space="preserve"> wished the proposed rule had more data on the environmental and health impacts of not switching to more eco</w:t>
      </w:r>
      <w:proofErr w:type="gramStart"/>
      <w:r w:rsidRPr="00283806">
        <w:rPr>
          <w:w w:val="105"/>
        </w:rPr>
        <w:t>- friendly</w:t>
      </w:r>
      <w:proofErr w:type="gramEnd"/>
      <w:r w:rsidRPr="00283806">
        <w:rPr>
          <w:w w:val="105"/>
        </w:rPr>
        <w:t xml:space="preserve"> HFCs instead of ‘‘briefly’’ discussing it.</w:t>
      </w:r>
    </w:p>
    <w:p w14:paraId="022ECB30" w14:textId="77777777" w:rsidR="00D67C1E" w:rsidRPr="00283806" w:rsidRDefault="001265CA">
      <w:pPr>
        <w:pStyle w:val="BodyText"/>
        <w:spacing w:line="213" w:lineRule="auto"/>
        <w:ind w:left="159" w:right="154" w:firstLine="180"/>
      </w:pPr>
      <w:r w:rsidRPr="00283806">
        <w:rPr>
          <w:rFonts w:ascii="Book Antiqua" w:hAnsi="Book Antiqua"/>
          <w:i/>
          <w:w w:val="105"/>
        </w:rPr>
        <w:t xml:space="preserve">Response: </w:t>
      </w:r>
      <w:r w:rsidRPr="00283806">
        <w:rPr>
          <w:w w:val="105"/>
        </w:rPr>
        <w:t>EPA acknowledges the commenter’s support for this rule. EPA’s</w:t>
      </w:r>
    </w:p>
    <w:p w14:paraId="58359B85" w14:textId="77777777" w:rsidR="00D67C1E" w:rsidRPr="00283806" w:rsidRDefault="001265CA">
      <w:pPr>
        <w:pStyle w:val="BodyText"/>
        <w:spacing w:line="225" w:lineRule="auto"/>
        <w:ind w:left="159" w:right="149"/>
      </w:pPr>
      <w:r w:rsidRPr="00283806">
        <w:rPr>
          <w:w w:val="105"/>
        </w:rPr>
        <w:t>modeling for this rule focused on how</w:t>
      </w:r>
      <w:r w:rsidRPr="00283806">
        <w:rPr>
          <w:spacing w:val="40"/>
          <w:w w:val="105"/>
        </w:rPr>
        <w:t xml:space="preserve"> </w:t>
      </w:r>
      <w:r w:rsidRPr="00283806">
        <w:rPr>
          <w:w w:val="105"/>
        </w:rPr>
        <w:t>the rule would impact GHG emissions</w:t>
      </w:r>
      <w:r w:rsidRPr="00283806">
        <w:rPr>
          <w:spacing w:val="40"/>
          <w:w w:val="105"/>
        </w:rPr>
        <w:t xml:space="preserve"> </w:t>
      </w:r>
      <w:r w:rsidRPr="00283806">
        <w:rPr>
          <w:w w:val="105"/>
        </w:rPr>
        <w:t>and the HFC marketplace. The Agency acknowledges the comments on the environmental benefits of the HFC Phasedown Program and moreover the global HFC phasedown under the Montreal Protocol’s Kigali Amendment but notes that this is outside the scope</w:t>
      </w:r>
      <w:r w:rsidRPr="00283806">
        <w:rPr>
          <w:spacing w:val="40"/>
          <w:w w:val="105"/>
        </w:rPr>
        <w:t xml:space="preserve"> </w:t>
      </w:r>
      <w:r w:rsidRPr="00283806">
        <w:rPr>
          <w:w w:val="105"/>
        </w:rPr>
        <w:t>for this rulemaking, as EPA did not propose to revise regulations to phase down HFCs in this rulemaking. In response to comments on State HFC- management programs, EPA acknowledges the presence of state-level HFC management programs and has referenced some of those programs at various points in this rulemaking, for informational purposes and additional context. For example, EPA cited CARB’s refrigerant management program when discussing charge-size thresholds for</w:t>
      </w:r>
      <w:r w:rsidRPr="00283806">
        <w:rPr>
          <w:spacing w:val="40"/>
          <w:w w:val="105"/>
        </w:rPr>
        <w:t xml:space="preserve"> </w:t>
      </w:r>
      <w:r w:rsidRPr="00283806">
        <w:rPr>
          <w:w w:val="105"/>
        </w:rPr>
        <w:t>ALD systems in section IV.D.1. EPA</w:t>
      </w:r>
    </w:p>
    <w:p w14:paraId="1B9C282B" w14:textId="77777777" w:rsidR="00D67C1E" w:rsidRPr="00283806" w:rsidRDefault="00D67C1E">
      <w:pPr>
        <w:spacing w:line="225" w:lineRule="auto"/>
        <w:sectPr w:rsidR="00D67C1E" w:rsidRPr="00283806">
          <w:type w:val="continuous"/>
          <w:pgSz w:w="12240" w:h="15840"/>
          <w:pgMar w:top="880" w:right="780" w:bottom="280" w:left="740" w:header="627" w:footer="0" w:gutter="0"/>
          <w:cols w:num="3" w:space="720" w:equalWidth="0">
            <w:col w:w="3506" w:space="40"/>
            <w:col w:w="3462" w:space="72"/>
            <w:col w:w="3640"/>
          </w:cols>
        </w:sectPr>
      </w:pPr>
    </w:p>
    <w:p w14:paraId="50BDC4D9" w14:textId="77777777" w:rsidR="00D67C1E" w:rsidRPr="00283806" w:rsidRDefault="001265CA">
      <w:pPr>
        <w:pStyle w:val="BodyText"/>
        <w:tabs>
          <w:tab w:val="left" w:pos="3699"/>
          <w:tab w:val="left" w:pos="4699"/>
        </w:tabs>
        <w:spacing w:line="101" w:lineRule="exact"/>
        <w:ind w:left="159"/>
      </w:pPr>
      <w:r w:rsidRPr="00283806">
        <w:rPr>
          <w:w w:val="105"/>
        </w:rPr>
        <w:t>would</w:t>
      </w:r>
      <w:r w:rsidRPr="00283806">
        <w:rPr>
          <w:spacing w:val="18"/>
          <w:w w:val="105"/>
        </w:rPr>
        <w:t xml:space="preserve"> </w:t>
      </w:r>
      <w:r w:rsidRPr="00283806">
        <w:rPr>
          <w:w w:val="105"/>
        </w:rPr>
        <w:t>prevent</w:t>
      </w:r>
      <w:r w:rsidRPr="00283806">
        <w:rPr>
          <w:spacing w:val="19"/>
          <w:w w:val="105"/>
        </w:rPr>
        <w:t xml:space="preserve"> </w:t>
      </w:r>
      <w:r w:rsidRPr="00283806">
        <w:rPr>
          <w:w w:val="105"/>
        </w:rPr>
        <w:t>approximately</w:t>
      </w:r>
      <w:r w:rsidRPr="00283806">
        <w:rPr>
          <w:spacing w:val="19"/>
          <w:w w:val="105"/>
        </w:rPr>
        <w:t xml:space="preserve"> </w:t>
      </w:r>
      <w:r w:rsidRPr="00283806">
        <w:rPr>
          <w:spacing w:val="-5"/>
          <w:w w:val="105"/>
        </w:rPr>
        <w:t>5.6</w:t>
      </w:r>
      <w:r w:rsidRPr="00283806">
        <w:tab/>
      </w:r>
      <w:r w:rsidRPr="00283806">
        <w:rPr>
          <w:u w:val="single"/>
        </w:rPr>
        <w:tab/>
      </w:r>
    </w:p>
    <w:p w14:paraId="1B35A0C3" w14:textId="77777777" w:rsidR="00D67C1E" w:rsidRPr="00283806" w:rsidRDefault="001265CA">
      <w:pPr>
        <w:pStyle w:val="BodyText"/>
        <w:spacing w:line="101" w:lineRule="exact"/>
        <w:ind w:left="159"/>
      </w:pPr>
      <w:r w:rsidRPr="00283806">
        <w:br w:type="column"/>
      </w:r>
      <w:r w:rsidRPr="00283806">
        <w:rPr>
          <w:w w:val="105"/>
        </w:rPr>
        <w:t>further</w:t>
      </w:r>
      <w:r w:rsidRPr="00283806">
        <w:rPr>
          <w:spacing w:val="-4"/>
          <w:w w:val="105"/>
        </w:rPr>
        <w:t xml:space="preserve"> </w:t>
      </w:r>
      <w:r w:rsidRPr="00283806">
        <w:rPr>
          <w:w w:val="105"/>
        </w:rPr>
        <w:t>notes</w:t>
      </w:r>
      <w:r w:rsidRPr="00283806">
        <w:rPr>
          <w:spacing w:val="-4"/>
          <w:w w:val="105"/>
        </w:rPr>
        <w:t xml:space="preserve"> </w:t>
      </w:r>
      <w:r w:rsidRPr="00283806">
        <w:rPr>
          <w:w w:val="105"/>
        </w:rPr>
        <w:t>that</w:t>
      </w:r>
      <w:r w:rsidRPr="00283806">
        <w:rPr>
          <w:spacing w:val="-3"/>
          <w:w w:val="105"/>
        </w:rPr>
        <w:t xml:space="preserve"> </w:t>
      </w:r>
      <w:proofErr w:type="gramStart"/>
      <w:r w:rsidRPr="00283806">
        <w:rPr>
          <w:w w:val="105"/>
        </w:rPr>
        <w:t>requirements</w:t>
      </w:r>
      <w:proofErr w:type="gramEnd"/>
      <w:r w:rsidRPr="00283806">
        <w:rPr>
          <w:spacing w:val="-4"/>
          <w:w w:val="105"/>
        </w:rPr>
        <w:t xml:space="preserve"> </w:t>
      </w:r>
      <w:r w:rsidRPr="00283806">
        <w:rPr>
          <w:spacing w:val="-5"/>
          <w:w w:val="105"/>
        </w:rPr>
        <w:t>and</w:t>
      </w:r>
    </w:p>
    <w:p w14:paraId="736509D7" w14:textId="77777777" w:rsidR="00D67C1E" w:rsidRPr="00283806" w:rsidRDefault="00D67C1E">
      <w:pPr>
        <w:spacing w:line="101" w:lineRule="exact"/>
        <w:sectPr w:rsidR="00D67C1E" w:rsidRPr="00283806">
          <w:type w:val="continuous"/>
          <w:pgSz w:w="12240" w:h="15840"/>
          <w:pgMar w:top="880" w:right="780" w:bottom="280" w:left="740" w:header="627" w:footer="0" w:gutter="0"/>
          <w:cols w:num="2" w:space="720" w:equalWidth="0">
            <w:col w:w="4740" w:space="2340"/>
            <w:col w:w="3640"/>
          </w:cols>
        </w:sectPr>
      </w:pPr>
    </w:p>
    <w:p w14:paraId="0637755F" w14:textId="77777777" w:rsidR="00D67C1E" w:rsidRPr="00283806" w:rsidRDefault="001265CA">
      <w:pPr>
        <w:pStyle w:val="BodyText"/>
        <w:spacing w:before="80" w:line="228" w:lineRule="auto"/>
        <w:ind w:right="25" w:hanging="1"/>
      </w:pPr>
      <w:r w:rsidRPr="00283806">
        <w:rPr>
          <w:w w:val="105"/>
        </w:rPr>
        <w:t>MMTCO</w:t>
      </w:r>
      <w:r w:rsidRPr="00283806">
        <w:rPr>
          <w:rFonts w:ascii="Times New Roman"/>
          <w:w w:val="105"/>
          <w:vertAlign w:val="subscript"/>
        </w:rPr>
        <w:t>2</w:t>
      </w:r>
      <w:r w:rsidRPr="00283806">
        <w:rPr>
          <w:w w:val="105"/>
        </w:rPr>
        <w:t>e of HFC emissions in 2030, which decreases to approximately 3 MMTCO</w:t>
      </w:r>
      <w:r w:rsidRPr="00283806">
        <w:rPr>
          <w:rFonts w:ascii="Times New Roman"/>
          <w:w w:val="105"/>
          <w:vertAlign w:val="subscript"/>
        </w:rPr>
        <w:t>2</w:t>
      </w:r>
      <w:r w:rsidRPr="00283806">
        <w:rPr>
          <w:w w:val="105"/>
        </w:rPr>
        <w:t>e of HFC emissions in 2040.</w:t>
      </w:r>
    </w:p>
    <w:p w14:paraId="189E5F28" w14:textId="77777777" w:rsidR="00D67C1E" w:rsidRPr="00283806" w:rsidRDefault="001265CA">
      <w:pPr>
        <w:pStyle w:val="BodyText"/>
        <w:spacing w:before="52" w:line="228" w:lineRule="auto"/>
        <w:ind w:right="25" w:firstLine="180"/>
      </w:pPr>
      <w:r w:rsidRPr="00283806">
        <w:rPr>
          <w:w w:val="105"/>
        </w:rPr>
        <w:t>Some</w:t>
      </w:r>
      <w:r w:rsidRPr="00283806">
        <w:rPr>
          <w:spacing w:val="40"/>
          <w:w w:val="105"/>
        </w:rPr>
        <w:t xml:space="preserve"> </w:t>
      </w:r>
      <w:r w:rsidRPr="00283806">
        <w:rPr>
          <w:w w:val="105"/>
        </w:rPr>
        <w:t>provisions</w:t>
      </w:r>
      <w:r w:rsidRPr="00283806">
        <w:rPr>
          <w:spacing w:val="40"/>
          <w:w w:val="105"/>
        </w:rPr>
        <w:t xml:space="preserve"> </w:t>
      </w:r>
      <w:r w:rsidRPr="00283806">
        <w:rPr>
          <w:w w:val="105"/>
        </w:rPr>
        <w:t>contained</w:t>
      </w:r>
      <w:r w:rsidRPr="00283806">
        <w:rPr>
          <w:spacing w:val="40"/>
          <w:w w:val="105"/>
        </w:rPr>
        <w:t xml:space="preserve"> </w:t>
      </w:r>
      <w:r w:rsidRPr="00283806">
        <w:rPr>
          <w:w w:val="105"/>
        </w:rPr>
        <w:t>in</w:t>
      </w:r>
      <w:r w:rsidRPr="00283806">
        <w:rPr>
          <w:spacing w:val="40"/>
          <w:w w:val="105"/>
        </w:rPr>
        <w:t xml:space="preserve"> </w:t>
      </w:r>
      <w:r w:rsidRPr="00283806">
        <w:rPr>
          <w:w w:val="105"/>
        </w:rPr>
        <w:t>the final rule are also estimated to yield cost</w:t>
      </w:r>
    </w:p>
    <w:p w14:paraId="0EB54A5D" w14:textId="77777777" w:rsidR="00D67C1E" w:rsidRPr="00283806" w:rsidRDefault="001265CA">
      <w:pPr>
        <w:pStyle w:val="BodyText"/>
        <w:spacing w:before="6"/>
        <w:ind w:left="0"/>
        <w:rPr>
          <w:sz w:val="15"/>
        </w:rPr>
      </w:pPr>
      <w:r w:rsidRPr="00283806">
        <w:rPr>
          <w:noProof/>
        </w:rPr>
        <mc:AlternateContent>
          <mc:Choice Requires="wps">
            <w:drawing>
              <wp:anchor distT="0" distB="0" distL="0" distR="0" simplePos="0" relativeHeight="251686912" behindDoc="1" locked="0" layoutInCell="1" allowOverlap="1" wp14:anchorId="52810415" wp14:editId="21EF2639">
                <wp:simplePos x="0" y="0"/>
                <wp:positionH relativeFrom="page">
                  <wp:posOffset>571500</wp:posOffset>
                </wp:positionH>
                <wp:positionV relativeFrom="paragraph">
                  <wp:posOffset>130879</wp:posOffset>
                </wp:positionV>
                <wp:extent cx="635000" cy="1270"/>
                <wp:effectExtent l="0" t="0" r="0" b="0"/>
                <wp:wrapTopAndBottom/>
                <wp:docPr id="120" name="Graphic 1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CD2306C" id="Graphic 120" o:spid="_x0000_s1026" alt="&quot;&quot;" style="position:absolute;margin-left:45pt;margin-top:10.3pt;width:50pt;height:.1pt;z-index:-251629568;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" path="m,l635000,e" filled="f" strokeweight=".5pt">
                <v:path arrowok="t"/>
                <w10:wrap type="topAndBottom" anchorx="page"/>
              </v:shape>
            </w:pict>
          </mc:Fallback>
        </mc:AlternateContent>
      </w:r>
    </w:p>
    <w:p w14:paraId="5BF29A8A" w14:textId="77777777" w:rsidR="00D67C1E" w:rsidRPr="00283806" w:rsidRDefault="001265CA">
      <w:pPr>
        <w:spacing w:before="41" w:line="230" w:lineRule="auto"/>
        <w:ind w:left="159" w:right="155" w:firstLine="140"/>
        <w:rPr>
          <w:sz w:val="14"/>
        </w:rPr>
      </w:pPr>
      <w:r w:rsidRPr="00283806">
        <w:rPr>
          <w:w w:val="105"/>
          <w:position w:val="4"/>
          <w:sz w:val="9"/>
        </w:rPr>
        <w:t xml:space="preserve">179 </w:t>
      </w:r>
      <w:r w:rsidRPr="00283806">
        <w:rPr>
          <w:w w:val="105"/>
          <w:sz w:val="14"/>
        </w:rPr>
        <w:t>EPA. 2024. EPA’s Vintaging Model</w:t>
      </w:r>
      <w:r w:rsidRPr="00283806">
        <w:rPr>
          <w:spacing w:val="40"/>
          <w:w w:val="105"/>
          <w:sz w:val="14"/>
        </w:rPr>
        <w:t xml:space="preserve"> </w:t>
      </w:r>
      <w:r w:rsidRPr="00283806">
        <w:rPr>
          <w:w w:val="105"/>
          <w:sz w:val="14"/>
        </w:rPr>
        <w:t>representing the Allocation Framework Rule as</w:t>
      </w:r>
      <w:r w:rsidRPr="00283806">
        <w:rPr>
          <w:spacing w:val="40"/>
          <w:w w:val="105"/>
          <w:sz w:val="14"/>
        </w:rPr>
        <w:t xml:space="preserve"> </w:t>
      </w:r>
      <w:r w:rsidRPr="00283806">
        <w:rPr>
          <w:w w:val="105"/>
          <w:sz w:val="14"/>
        </w:rPr>
        <w:t>modified by the 2024 Allocation Rule RIA</w:t>
      </w:r>
      <w:r w:rsidRPr="00283806">
        <w:rPr>
          <w:spacing w:val="40"/>
          <w:w w:val="105"/>
          <w:sz w:val="14"/>
        </w:rPr>
        <w:t xml:space="preserve"> </w:t>
      </w:r>
      <w:r w:rsidRPr="00283806">
        <w:rPr>
          <w:w w:val="105"/>
          <w:sz w:val="14"/>
        </w:rPr>
        <w:t>Addendum. VM IO file</w:t>
      </w:r>
      <w:r w:rsidRPr="00283806">
        <w:rPr>
          <w:rFonts w:ascii="Symbol" w:hAnsi="Symbol"/>
          <w:w w:val="105"/>
          <w:sz w:val="14"/>
        </w:rPr>
        <w:t></w:t>
      </w:r>
      <w:r w:rsidRPr="00283806">
        <w:rPr>
          <w:w w:val="105"/>
          <w:sz w:val="14"/>
        </w:rPr>
        <w:t>v4.4</w:t>
      </w:r>
      <w:r w:rsidRPr="00283806">
        <w:rPr>
          <w:rFonts w:ascii="Symbol" w:hAnsi="Symbol"/>
          <w:w w:val="105"/>
          <w:sz w:val="14"/>
        </w:rPr>
        <w:t></w:t>
      </w:r>
      <w:r w:rsidRPr="00283806">
        <w:rPr>
          <w:w w:val="105"/>
          <w:sz w:val="14"/>
        </w:rPr>
        <w:t>02.04.16</w:t>
      </w:r>
      <w:r w:rsidRPr="00283806">
        <w:rPr>
          <w:rFonts w:ascii="Symbol" w:hAnsi="Symbol"/>
          <w:w w:val="105"/>
          <w:sz w:val="14"/>
        </w:rPr>
        <w:t></w:t>
      </w:r>
      <w:r w:rsidRPr="00283806">
        <w:rPr>
          <w:w w:val="105"/>
          <w:sz w:val="14"/>
        </w:rPr>
        <w:t>Final TT</w:t>
      </w:r>
      <w:r w:rsidRPr="00283806">
        <w:rPr>
          <w:spacing w:val="40"/>
          <w:w w:val="105"/>
          <w:sz w:val="14"/>
        </w:rPr>
        <w:t xml:space="preserve"> </w:t>
      </w:r>
      <w:r w:rsidRPr="00283806">
        <w:rPr>
          <w:w w:val="105"/>
          <w:sz w:val="14"/>
        </w:rPr>
        <w:t>Rule 2023 High Addition.xls.</w:t>
      </w:r>
    </w:p>
    <w:p w14:paraId="051F8849" w14:textId="77777777" w:rsidR="00D67C1E" w:rsidRPr="00283806" w:rsidRDefault="001265CA">
      <w:pPr>
        <w:spacing w:before="105" w:line="232" w:lineRule="auto"/>
        <w:ind w:left="155" w:right="67" w:firstLine="140"/>
        <w:rPr>
          <w:sz w:val="14"/>
        </w:rPr>
      </w:pPr>
      <w:r w:rsidRPr="00283806">
        <w:br w:type="column"/>
      </w:r>
      <w:r w:rsidRPr="00283806">
        <w:rPr>
          <w:w w:val="105"/>
          <w:position w:val="4"/>
          <w:sz w:val="9"/>
        </w:rPr>
        <w:t xml:space="preserve">180 </w:t>
      </w:r>
      <w:r w:rsidRPr="00283806">
        <w:rPr>
          <w:w w:val="105"/>
          <w:sz w:val="14"/>
        </w:rPr>
        <w:t>As discussed in section I.C. of this preamble,</w:t>
      </w:r>
      <w:r w:rsidRPr="00283806">
        <w:rPr>
          <w:spacing w:val="40"/>
          <w:w w:val="105"/>
          <w:sz w:val="14"/>
        </w:rPr>
        <w:t xml:space="preserve"> </w:t>
      </w:r>
      <w:r w:rsidRPr="00283806">
        <w:rPr>
          <w:w w:val="105"/>
          <w:sz w:val="14"/>
        </w:rPr>
        <w:t>the RIA addendum for this rule assumes that in</w:t>
      </w:r>
      <w:r w:rsidRPr="00283806">
        <w:rPr>
          <w:spacing w:val="40"/>
          <w:w w:val="105"/>
          <w:sz w:val="14"/>
        </w:rPr>
        <w:t xml:space="preserve"> </w:t>
      </w:r>
      <w:r w:rsidRPr="00283806">
        <w:rPr>
          <w:w w:val="105"/>
          <w:sz w:val="14"/>
        </w:rPr>
        <w:t>some</w:t>
      </w:r>
      <w:r w:rsidRPr="00283806">
        <w:rPr>
          <w:spacing w:val="12"/>
          <w:w w:val="105"/>
          <w:sz w:val="14"/>
        </w:rPr>
        <w:t xml:space="preserve"> </w:t>
      </w:r>
      <w:r w:rsidRPr="00283806">
        <w:rPr>
          <w:w w:val="105"/>
          <w:sz w:val="14"/>
        </w:rPr>
        <w:t>cases</w:t>
      </w:r>
      <w:r w:rsidRPr="00283806">
        <w:rPr>
          <w:spacing w:val="12"/>
          <w:w w:val="105"/>
          <w:sz w:val="14"/>
        </w:rPr>
        <w:t xml:space="preserve"> </w:t>
      </w:r>
      <w:r w:rsidRPr="00283806">
        <w:rPr>
          <w:w w:val="105"/>
          <w:sz w:val="14"/>
        </w:rPr>
        <w:t>cost</w:t>
      </w:r>
      <w:r w:rsidRPr="00283806">
        <w:rPr>
          <w:spacing w:val="12"/>
          <w:w w:val="105"/>
          <w:sz w:val="14"/>
        </w:rPr>
        <w:t xml:space="preserve"> </w:t>
      </w:r>
      <w:r w:rsidRPr="00283806">
        <w:rPr>
          <w:w w:val="105"/>
          <w:sz w:val="14"/>
        </w:rPr>
        <w:t>savings</w:t>
      </w:r>
      <w:r w:rsidRPr="00283806">
        <w:rPr>
          <w:spacing w:val="12"/>
          <w:w w:val="105"/>
          <w:sz w:val="14"/>
        </w:rPr>
        <w:t xml:space="preserve"> </w:t>
      </w:r>
      <w:r w:rsidRPr="00283806">
        <w:rPr>
          <w:w w:val="105"/>
          <w:sz w:val="14"/>
        </w:rPr>
        <w:t>may</w:t>
      </w:r>
      <w:r w:rsidRPr="00283806">
        <w:rPr>
          <w:spacing w:val="12"/>
          <w:w w:val="105"/>
          <w:sz w:val="14"/>
        </w:rPr>
        <w:t xml:space="preserve"> </w:t>
      </w:r>
      <w:r w:rsidRPr="00283806">
        <w:rPr>
          <w:w w:val="105"/>
          <w:sz w:val="14"/>
        </w:rPr>
        <w:t>accrue</w:t>
      </w:r>
      <w:r w:rsidRPr="00283806">
        <w:rPr>
          <w:spacing w:val="12"/>
          <w:w w:val="105"/>
          <w:sz w:val="14"/>
        </w:rPr>
        <w:t xml:space="preserve"> </w:t>
      </w:r>
      <w:r w:rsidRPr="00283806">
        <w:rPr>
          <w:w w:val="105"/>
          <w:sz w:val="14"/>
        </w:rPr>
        <w:t>to</w:t>
      </w:r>
      <w:r w:rsidRPr="00283806">
        <w:rPr>
          <w:spacing w:val="12"/>
          <w:w w:val="105"/>
          <w:sz w:val="14"/>
        </w:rPr>
        <w:t xml:space="preserve"> </w:t>
      </w:r>
      <w:r w:rsidRPr="00283806">
        <w:rPr>
          <w:w w:val="105"/>
          <w:sz w:val="14"/>
        </w:rPr>
        <w:t>industry</w:t>
      </w:r>
      <w:r w:rsidRPr="00283806">
        <w:rPr>
          <w:spacing w:val="12"/>
          <w:w w:val="105"/>
          <w:sz w:val="14"/>
        </w:rPr>
        <w:t xml:space="preserve"> </w:t>
      </w:r>
      <w:proofErr w:type="gramStart"/>
      <w:r w:rsidRPr="00283806">
        <w:rPr>
          <w:w w:val="105"/>
          <w:sz w:val="14"/>
        </w:rPr>
        <w:t>as</w:t>
      </w:r>
      <w:r w:rsidRPr="00283806">
        <w:rPr>
          <w:spacing w:val="40"/>
          <w:w w:val="105"/>
          <w:sz w:val="14"/>
        </w:rPr>
        <w:t xml:space="preserve"> </w:t>
      </w:r>
      <w:r w:rsidRPr="00283806">
        <w:rPr>
          <w:w w:val="105"/>
          <w:sz w:val="14"/>
        </w:rPr>
        <w:t>a result of</w:t>
      </w:r>
      <w:proofErr w:type="gramEnd"/>
      <w:r w:rsidRPr="00283806">
        <w:rPr>
          <w:w w:val="105"/>
          <w:sz w:val="14"/>
        </w:rPr>
        <w:t xml:space="preserve"> regulatory measures. In some cases,</w:t>
      </w:r>
      <w:r w:rsidRPr="00283806">
        <w:rPr>
          <w:spacing w:val="40"/>
          <w:w w:val="105"/>
          <w:sz w:val="14"/>
        </w:rPr>
        <w:t xml:space="preserve"> </w:t>
      </w:r>
      <w:r w:rsidRPr="00283806">
        <w:rPr>
          <w:w w:val="105"/>
          <w:sz w:val="14"/>
        </w:rPr>
        <w:t>measures are assumed to result in a net cost to</w:t>
      </w:r>
      <w:r w:rsidRPr="00283806">
        <w:rPr>
          <w:spacing w:val="40"/>
          <w:w w:val="105"/>
          <w:sz w:val="14"/>
        </w:rPr>
        <w:t xml:space="preserve"> </w:t>
      </w:r>
      <w:r w:rsidRPr="00283806">
        <w:rPr>
          <w:w w:val="105"/>
          <w:sz w:val="14"/>
        </w:rPr>
        <w:t>regulated entities, while in other cases, measures</w:t>
      </w:r>
      <w:r w:rsidRPr="00283806">
        <w:rPr>
          <w:spacing w:val="40"/>
          <w:w w:val="105"/>
          <w:sz w:val="14"/>
        </w:rPr>
        <w:t xml:space="preserve"> </w:t>
      </w:r>
      <w:r w:rsidRPr="00283806">
        <w:rPr>
          <w:w w:val="105"/>
          <w:sz w:val="14"/>
        </w:rPr>
        <w:t xml:space="preserve">are assumed to result in </w:t>
      </w:r>
      <w:proofErr w:type="gramStart"/>
      <w:r w:rsidRPr="00283806">
        <w:rPr>
          <w:w w:val="105"/>
          <w:sz w:val="14"/>
        </w:rPr>
        <w:t>a net</w:t>
      </w:r>
      <w:proofErr w:type="gramEnd"/>
      <w:r w:rsidRPr="00283806">
        <w:rPr>
          <w:w w:val="105"/>
          <w:sz w:val="14"/>
        </w:rPr>
        <w:t xml:space="preserve"> savings. More details</w:t>
      </w:r>
      <w:r w:rsidRPr="00283806">
        <w:rPr>
          <w:spacing w:val="40"/>
          <w:w w:val="105"/>
          <w:sz w:val="14"/>
        </w:rPr>
        <w:t xml:space="preserve"> </w:t>
      </w:r>
      <w:r w:rsidRPr="00283806">
        <w:rPr>
          <w:w w:val="105"/>
          <w:sz w:val="14"/>
        </w:rPr>
        <w:t>on these assumptions are included in the RIA</w:t>
      </w:r>
      <w:r w:rsidRPr="00283806">
        <w:rPr>
          <w:spacing w:val="40"/>
          <w:w w:val="105"/>
          <w:sz w:val="14"/>
        </w:rPr>
        <w:t xml:space="preserve"> </w:t>
      </w:r>
      <w:r w:rsidRPr="00283806">
        <w:rPr>
          <w:w w:val="105"/>
          <w:sz w:val="14"/>
        </w:rPr>
        <w:t>addendum. For additional discussion on market</w:t>
      </w:r>
    </w:p>
    <w:p w14:paraId="25BC1E6E" w14:textId="77777777" w:rsidR="00D67C1E" w:rsidRPr="00283806" w:rsidRDefault="001265CA">
      <w:pPr>
        <w:spacing w:before="7" w:line="232" w:lineRule="auto"/>
        <w:ind w:left="155" w:right="32"/>
        <w:rPr>
          <w:sz w:val="14"/>
        </w:rPr>
      </w:pPr>
      <w:r w:rsidRPr="00283806">
        <w:rPr>
          <w:w w:val="105"/>
          <w:sz w:val="14"/>
        </w:rPr>
        <w:t>failures that may lead to forgone savings to industry</w:t>
      </w:r>
      <w:r w:rsidRPr="00283806">
        <w:rPr>
          <w:spacing w:val="40"/>
          <w:w w:val="105"/>
          <w:sz w:val="14"/>
        </w:rPr>
        <w:t xml:space="preserve"> </w:t>
      </w:r>
      <w:r w:rsidRPr="00283806">
        <w:rPr>
          <w:w w:val="105"/>
          <w:sz w:val="14"/>
        </w:rPr>
        <w:t>in the absence of regulatory measures, please see</w:t>
      </w:r>
      <w:r w:rsidRPr="00283806">
        <w:rPr>
          <w:spacing w:val="40"/>
          <w:w w:val="105"/>
          <w:sz w:val="14"/>
        </w:rPr>
        <w:t xml:space="preserve"> </w:t>
      </w:r>
      <w:r w:rsidRPr="00283806">
        <w:rPr>
          <w:w w:val="105"/>
          <w:sz w:val="14"/>
        </w:rPr>
        <w:t>section I.C. of this preamble as well as section 3.2.2</w:t>
      </w:r>
      <w:r w:rsidRPr="00283806">
        <w:rPr>
          <w:spacing w:val="80"/>
          <w:w w:val="105"/>
          <w:sz w:val="14"/>
        </w:rPr>
        <w:t xml:space="preserve"> </w:t>
      </w:r>
      <w:r w:rsidRPr="00283806">
        <w:rPr>
          <w:w w:val="105"/>
          <w:sz w:val="14"/>
        </w:rPr>
        <w:t>of the Allocation Rule RIA.</w:t>
      </w:r>
    </w:p>
    <w:p w14:paraId="3CE8277F" w14:textId="77777777" w:rsidR="00D67C1E" w:rsidRPr="00283806" w:rsidRDefault="001265CA">
      <w:pPr>
        <w:pStyle w:val="BodyText"/>
        <w:spacing w:before="9" w:line="228" w:lineRule="auto"/>
        <w:ind w:left="159" w:right="223"/>
      </w:pPr>
      <w:r w:rsidRPr="00283806">
        <w:br w:type="column"/>
      </w:r>
      <w:proofErr w:type="gramStart"/>
      <w:r w:rsidRPr="00283806">
        <w:rPr>
          <w:w w:val="105"/>
        </w:rPr>
        <w:t>incentives</w:t>
      </w:r>
      <w:proofErr w:type="gramEnd"/>
      <w:r w:rsidRPr="00283806">
        <w:rPr>
          <w:w w:val="105"/>
        </w:rPr>
        <w:t xml:space="preserve"> </w:t>
      </w:r>
      <w:proofErr w:type="gramStart"/>
      <w:r w:rsidRPr="00283806">
        <w:rPr>
          <w:w w:val="105"/>
        </w:rPr>
        <w:t>of</w:t>
      </w:r>
      <w:proofErr w:type="gramEnd"/>
      <w:r w:rsidRPr="00283806">
        <w:rPr>
          <w:w w:val="105"/>
        </w:rPr>
        <w:t xml:space="preserve"> such State programs are also outside the scope of this rulemaking, as those are developed and implemented by State regulators rather than EPA.</w:t>
      </w:r>
    </w:p>
    <w:p w14:paraId="313FFC31" w14:textId="77777777" w:rsidR="00D67C1E" w:rsidRPr="00283806" w:rsidRDefault="001265CA">
      <w:pPr>
        <w:pStyle w:val="BodyText"/>
        <w:spacing w:line="216" w:lineRule="auto"/>
        <w:ind w:left="159" w:right="151" w:firstLine="180"/>
      </w:pPr>
      <w:r w:rsidRPr="00283806">
        <w:rPr>
          <w:rFonts w:ascii="Book Antiqua" w:hAnsi="Book Antiqua"/>
          <w:i/>
          <w:w w:val="105"/>
        </w:rPr>
        <w:t xml:space="preserve">Comment: </w:t>
      </w:r>
      <w:r w:rsidRPr="00283806">
        <w:rPr>
          <w:w w:val="105"/>
        </w:rPr>
        <w:t>One commenter stated that the costs in EPA’s costs and benefits</w:t>
      </w:r>
    </w:p>
    <w:p w14:paraId="7EBAC175" w14:textId="77777777" w:rsidR="00D67C1E" w:rsidRPr="00283806" w:rsidRDefault="001265CA">
      <w:pPr>
        <w:pStyle w:val="BodyText"/>
        <w:spacing w:line="228" w:lineRule="auto"/>
        <w:ind w:left="159"/>
      </w:pPr>
      <w:r w:rsidRPr="00283806">
        <w:rPr>
          <w:w w:val="105"/>
        </w:rPr>
        <w:t>analysis for entering records is grossly underestimated, and a more accurate estimate would be 10 minutes. The commenter</w:t>
      </w:r>
      <w:r w:rsidRPr="00283806">
        <w:rPr>
          <w:spacing w:val="-7"/>
          <w:w w:val="105"/>
        </w:rPr>
        <w:t xml:space="preserve"> </w:t>
      </w:r>
      <w:r w:rsidRPr="00283806">
        <w:rPr>
          <w:w w:val="105"/>
        </w:rPr>
        <w:t>asserted</w:t>
      </w:r>
      <w:r w:rsidRPr="00283806">
        <w:rPr>
          <w:spacing w:val="-7"/>
          <w:w w:val="105"/>
        </w:rPr>
        <w:t xml:space="preserve"> </w:t>
      </w:r>
      <w:r w:rsidRPr="00283806">
        <w:rPr>
          <w:w w:val="105"/>
        </w:rPr>
        <w:t>that</w:t>
      </w:r>
      <w:r w:rsidRPr="00283806">
        <w:rPr>
          <w:spacing w:val="-7"/>
          <w:w w:val="105"/>
        </w:rPr>
        <w:t xml:space="preserve"> </w:t>
      </w:r>
      <w:r w:rsidRPr="00283806">
        <w:rPr>
          <w:w w:val="105"/>
        </w:rPr>
        <w:t>the</w:t>
      </w:r>
      <w:r w:rsidRPr="00283806">
        <w:rPr>
          <w:spacing w:val="-7"/>
          <w:w w:val="105"/>
        </w:rPr>
        <w:t xml:space="preserve"> </w:t>
      </w:r>
      <w:r w:rsidRPr="00283806">
        <w:rPr>
          <w:w w:val="105"/>
        </w:rPr>
        <w:t>10-minute</w:t>
      </w:r>
    </w:p>
    <w:p w14:paraId="5D9CA7A7" w14:textId="77777777" w:rsidR="00D67C1E" w:rsidRPr="00283806" w:rsidRDefault="00D67C1E">
      <w:pPr>
        <w:spacing w:line="228" w:lineRule="auto"/>
        <w:sectPr w:rsidR="00D67C1E" w:rsidRPr="00283806">
          <w:type w:val="continuous"/>
          <w:pgSz w:w="12240" w:h="15840"/>
          <w:pgMar w:top="880" w:right="780" w:bottom="280" w:left="740" w:header="627" w:footer="0" w:gutter="0"/>
          <w:cols w:num="3" w:space="720" w:equalWidth="0">
            <w:col w:w="3505" w:space="40"/>
            <w:col w:w="3490" w:space="45"/>
            <w:col w:w="3640"/>
          </w:cols>
        </w:sectPr>
      </w:pPr>
    </w:p>
    <w:p w14:paraId="5DD89F23" w14:textId="77777777" w:rsidR="00D67C1E" w:rsidRPr="00283806" w:rsidRDefault="001265CA">
      <w:pPr>
        <w:pStyle w:val="BodyText"/>
        <w:spacing w:before="136" w:line="225" w:lineRule="auto"/>
        <w:ind w:right="78"/>
      </w:pPr>
      <w:r w:rsidRPr="00283806">
        <w:rPr>
          <w:w w:val="105"/>
        </w:rPr>
        <w:lastRenderedPageBreak/>
        <w:t xml:space="preserve">estimate includes the assumption that the service contractor is recording entries correctly the first time and the record-keeping software loads immediately. The commenter additionally stated that due to the number of small appliances that will be added to the recordkeeping burden, </w:t>
      </w:r>
      <w:proofErr w:type="gramStart"/>
      <w:r w:rsidRPr="00283806">
        <w:rPr>
          <w:w w:val="105"/>
        </w:rPr>
        <w:t>recordkeeping</w:t>
      </w:r>
      <w:proofErr w:type="gramEnd"/>
      <w:r w:rsidRPr="00283806">
        <w:rPr>
          <w:w w:val="105"/>
        </w:rPr>
        <w:t xml:space="preserve"> burden will increase by 50 to 100 percent.</w:t>
      </w:r>
    </w:p>
    <w:p w14:paraId="5A5DEA04" w14:textId="77777777" w:rsidR="00D67C1E" w:rsidRPr="00283806" w:rsidRDefault="001265CA">
      <w:pPr>
        <w:pStyle w:val="BodyText"/>
        <w:spacing w:line="213" w:lineRule="auto"/>
        <w:ind w:right="128" w:firstLine="180"/>
      </w:pPr>
      <w:r w:rsidRPr="00283806">
        <w:rPr>
          <w:rFonts w:ascii="Book Antiqua"/>
          <w:i/>
          <w:w w:val="105"/>
        </w:rPr>
        <w:t xml:space="preserve">Response: </w:t>
      </w:r>
      <w:r w:rsidRPr="00283806">
        <w:rPr>
          <w:w w:val="105"/>
        </w:rPr>
        <w:t xml:space="preserve">EPA notes that the commenter is not specific </w:t>
      </w:r>
      <w:proofErr w:type="gramStart"/>
      <w:r w:rsidRPr="00283806">
        <w:rPr>
          <w:w w:val="105"/>
        </w:rPr>
        <w:t>in regard to</w:t>
      </w:r>
      <w:proofErr w:type="gramEnd"/>
    </w:p>
    <w:p w14:paraId="5FE76F4C" w14:textId="1B8C0942" w:rsidR="00D67C1E" w:rsidRPr="00283806" w:rsidRDefault="001265CA">
      <w:pPr>
        <w:pStyle w:val="BodyText"/>
        <w:spacing w:line="223" w:lineRule="auto"/>
        <w:ind w:right="47"/>
      </w:pPr>
      <w:r w:rsidRPr="00283806">
        <w:rPr>
          <w:w w:val="110"/>
        </w:rPr>
        <w:t xml:space="preserve">which </w:t>
      </w:r>
      <w:proofErr w:type="gramStart"/>
      <w:r w:rsidRPr="00283806">
        <w:rPr>
          <w:w w:val="110"/>
        </w:rPr>
        <w:t>particular record</w:t>
      </w:r>
      <w:proofErr w:type="gramEnd"/>
      <w:r w:rsidRPr="00283806">
        <w:rPr>
          <w:w w:val="110"/>
        </w:rPr>
        <w:t xml:space="preserve"> entry cost assumption they claim is an underestimate. EPA has included estimated</w:t>
      </w:r>
      <w:r w:rsidRPr="00283806">
        <w:rPr>
          <w:spacing w:val="-11"/>
          <w:w w:val="110"/>
        </w:rPr>
        <w:t xml:space="preserve"> </w:t>
      </w:r>
      <w:r w:rsidRPr="00283806">
        <w:rPr>
          <w:w w:val="110"/>
        </w:rPr>
        <w:t>recordkeeping</w:t>
      </w:r>
      <w:r w:rsidRPr="00283806">
        <w:rPr>
          <w:spacing w:val="-11"/>
          <w:w w:val="110"/>
        </w:rPr>
        <w:t xml:space="preserve"> </w:t>
      </w:r>
      <w:r w:rsidRPr="00283806">
        <w:rPr>
          <w:w w:val="110"/>
        </w:rPr>
        <w:t>and</w:t>
      </w:r>
      <w:r w:rsidRPr="00283806">
        <w:rPr>
          <w:spacing w:val="-11"/>
          <w:w w:val="110"/>
        </w:rPr>
        <w:t xml:space="preserve"> </w:t>
      </w:r>
      <w:r w:rsidRPr="00283806">
        <w:rPr>
          <w:w w:val="110"/>
        </w:rPr>
        <w:t>reporting costs as a part of total estimated compliance</w:t>
      </w:r>
      <w:r w:rsidRPr="00283806">
        <w:rPr>
          <w:spacing w:val="-9"/>
          <w:w w:val="110"/>
        </w:rPr>
        <w:t xml:space="preserve"> </w:t>
      </w:r>
      <w:r w:rsidRPr="00283806">
        <w:rPr>
          <w:w w:val="110"/>
        </w:rPr>
        <w:t>costs</w:t>
      </w:r>
      <w:r w:rsidRPr="00283806">
        <w:rPr>
          <w:spacing w:val="-9"/>
          <w:w w:val="110"/>
        </w:rPr>
        <w:t xml:space="preserve"> </w:t>
      </w:r>
      <w:r w:rsidRPr="00283806">
        <w:rPr>
          <w:w w:val="110"/>
        </w:rPr>
        <w:t>in</w:t>
      </w:r>
      <w:r w:rsidRPr="00283806">
        <w:rPr>
          <w:spacing w:val="-9"/>
          <w:w w:val="110"/>
        </w:rPr>
        <w:t xml:space="preserve"> </w:t>
      </w:r>
      <w:r w:rsidRPr="00283806">
        <w:rPr>
          <w:w w:val="110"/>
        </w:rPr>
        <w:t>the</w:t>
      </w:r>
      <w:r w:rsidRPr="00283806">
        <w:rPr>
          <w:spacing w:val="-9"/>
          <w:w w:val="110"/>
        </w:rPr>
        <w:t xml:space="preserve"> </w:t>
      </w:r>
      <w:r w:rsidRPr="00283806">
        <w:rPr>
          <w:w w:val="110"/>
        </w:rPr>
        <w:t>RIA</w:t>
      </w:r>
      <w:r w:rsidRPr="00283806">
        <w:rPr>
          <w:spacing w:val="-9"/>
          <w:w w:val="110"/>
        </w:rPr>
        <w:t xml:space="preserve"> </w:t>
      </w:r>
      <w:r w:rsidRPr="00283806">
        <w:rPr>
          <w:w w:val="110"/>
        </w:rPr>
        <w:t>addendum. These estimates include cost burden assumptions</w:t>
      </w:r>
      <w:r w:rsidRPr="00283806">
        <w:rPr>
          <w:spacing w:val="-11"/>
          <w:w w:val="110"/>
        </w:rPr>
        <w:t xml:space="preserve"> </w:t>
      </w:r>
      <w:r w:rsidRPr="00283806">
        <w:rPr>
          <w:w w:val="110"/>
        </w:rPr>
        <w:t>derived</w:t>
      </w:r>
      <w:r w:rsidRPr="00283806">
        <w:rPr>
          <w:spacing w:val="-11"/>
          <w:w w:val="110"/>
        </w:rPr>
        <w:t xml:space="preserve"> </w:t>
      </w:r>
      <w:r w:rsidRPr="00283806">
        <w:rPr>
          <w:w w:val="110"/>
        </w:rPr>
        <w:t>from</w:t>
      </w:r>
      <w:r w:rsidRPr="00283806">
        <w:rPr>
          <w:spacing w:val="-11"/>
          <w:w w:val="110"/>
        </w:rPr>
        <w:t xml:space="preserve"> </w:t>
      </w:r>
      <w:r w:rsidRPr="00283806">
        <w:rPr>
          <w:w w:val="110"/>
        </w:rPr>
        <w:t>the</w:t>
      </w:r>
      <w:r w:rsidRPr="00283806">
        <w:rPr>
          <w:spacing w:val="-11"/>
          <w:w w:val="110"/>
        </w:rPr>
        <w:t xml:space="preserve"> </w:t>
      </w:r>
      <w:r w:rsidRPr="00283806">
        <w:rPr>
          <w:w w:val="110"/>
        </w:rPr>
        <w:t>ICR</w:t>
      </w:r>
      <w:r w:rsidRPr="00283806">
        <w:rPr>
          <w:spacing w:val="-11"/>
          <w:w w:val="110"/>
        </w:rPr>
        <w:t xml:space="preserve"> </w:t>
      </w:r>
      <w:r w:rsidRPr="00283806">
        <w:rPr>
          <w:w w:val="110"/>
        </w:rPr>
        <w:t xml:space="preserve">(EPA ICR Number 2778.01, </w:t>
      </w:r>
      <w:r w:rsidRPr="00283806">
        <w:rPr>
          <w:rFonts w:ascii="Book Antiqua"/>
          <w:i/>
          <w:w w:val="110"/>
        </w:rPr>
        <w:t xml:space="preserve">https:// </w:t>
      </w:r>
      <w:r w:rsidRPr="00283806">
        <w:rPr>
          <w:rFonts w:ascii="Book Antiqua"/>
          <w:i/>
          <w:spacing w:val="-2"/>
          <w:w w:val="110"/>
        </w:rPr>
        <w:t xml:space="preserve">www.regulations.gov/document/EPA- </w:t>
      </w:r>
      <w:r w:rsidRPr="00283806">
        <w:rPr>
          <w:rFonts w:ascii="Book Antiqua"/>
          <w:i/>
          <w:w w:val="110"/>
        </w:rPr>
        <w:t>HQ-OAR-2022-0606-0025</w:t>
      </w:r>
      <w:r w:rsidRPr="00283806">
        <w:rPr>
          <w:w w:val="110"/>
        </w:rPr>
        <w:t>), which</w:t>
      </w:r>
    </w:p>
    <w:p w14:paraId="4CA59A43" w14:textId="77777777" w:rsidR="00D67C1E" w:rsidRPr="00283806" w:rsidRDefault="001265CA">
      <w:pPr>
        <w:pStyle w:val="BodyText"/>
        <w:spacing w:line="225" w:lineRule="auto"/>
        <w:ind w:right="35"/>
      </w:pPr>
      <w:r w:rsidRPr="00283806">
        <w:rPr>
          <w:w w:val="105"/>
        </w:rPr>
        <w:t>estimated labor hours ranging from minutes to up to 40 hours per requirement, depending on the specific recordkeeping</w:t>
      </w:r>
      <w:r w:rsidRPr="00283806">
        <w:rPr>
          <w:spacing w:val="-10"/>
          <w:w w:val="105"/>
        </w:rPr>
        <w:t xml:space="preserve"> </w:t>
      </w:r>
      <w:r w:rsidRPr="00283806">
        <w:rPr>
          <w:w w:val="105"/>
        </w:rPr>
        <w:t>or</w:t>
      </w:r>
      <w:r w:rsidRPr="00283806">
        <w:rPr>
          <w:spacing w:val="-10"/>
          <w:w w:val="105"/>
        </w:rPr>
        <w:t xml:space="preserve"> </w:t>
      </w:r>
      <w:r w:rsidRPr="00283806">
        <w:rPr>
          <w:w w:val="105"/>
        </w:rPr>
        <w:t>reporting</w:t>
      </w:r>
      <w:r w:rsidRPr="00283806">
        <w:rPr>
          <w:spacing w:val="-10"/>
          <w:w w:val="105"/>
        </w:rPr>
        <w:t xml:space="preserve"> </w:t>
      </w:r>
      <w:r w:rsidRPr="00283806">
        <w:rPr>
          <w:w w:val="105"/>
        </w:rPr>
        <w:t xml:space="preserve">requirement. EPA has not received specific data or information indicating that any of these assumptions need to be revised upward in any </w:t>
      </w:r>
      <w:proofErr w:type="gramStart"/>
      <w:r w:rsidRPr="00283806">
        <w:rPr>
          <w:w w:val="105"/>
        </w:rPr>
        <w:t>particular case</w:t>
      </w:r>
      <w:proofErr w:type="gramEnd"/>
      <w:r w:rsidRPr="00283806">
        <w:rPr>
          <w:w w:val="105"/>
        </w:rPr>
        <w:t>, and the comment does not provide any information or</w:t>
      </w:r>
      <w:r w:rsidRPr="00283806">
        <w:rPr>
          <w:spacing w:val="80"/>
          <w:w w:val="105"/>
        </w:rPr>
        <w:t xml:space="preserve"> </w:t>
      </w:r>
      <w:r w:rsidRPr="00283806">
        <w:rPr>
          <w:w w:val="105"/>
        </w:rPr>
        <w:t>data to support the assertion that 10 minutes would be a more accurate assumption for the estimate with which they disagree with. Nonetheless, based on the provisions EPA is finalizing in</w:t>
      </w:r>
      <w:r w:rsidRPr="00283806">
        <w:rPr>
          <w:spacing w:val="80"/>
          <w:w w:val="105"/>
        </w:rPr>
        <w:t xml:space="preserve"> </w:t>
      </w:r>
      <w:r w:rsidRPr="00283806">
        <w:rPr>
          <w:w w:val="105"/>
        </w:rPr>
        <w:t>this rule, the Agency has adjusted the</w:t>
      </w:r>
      <w:r w:rsidRPr="00283806">
        <w:rPr>
          <w:spacing w:val="40"/>
          <w:w w:val="105"/>
        </w:rPr>
        <w:t xml:space="preserve"> </w:t>
      </w:r>
      <w:r w:rsidRPr="00283806">
        <w:rPr>
          <w:w w:val="105"/>
        </w:rPr>
        <w:t>ICR for the final rule accordingly (EPA ICR Number 2778.02), available in the docket for this rulemaking. Regarding</w:t>
      </w:r>
      <w:r w:rsidRPr="00283806">
        <w:rPr>
          <w:spacing w:val="40"/>
          <w:w w:val="105"/>
        </w:rPr>
        <w:t xml:space="preserve"> </w:t>
      </w:r>
      <w:r w:rsidRPr="00283806">
        <w:rPr>
          <w:w w:val="105"/>
        </w:rPr>
        <w:t>the recordkeeping burden for small appliances, EPA acknowledges that the inclusion of refrigerant-containing appliances with charge sizes of 15 pounds or more for the leak repair provisions in this rulemaking may increase recordkeeping burden compared to the recordkeeping burden</w:t>
      </w:r>
      <w:r w:rsidRPr="00283806">
        <w:rPr>
          <w:spacing w:val="40"/>
          <w:w w:val="105"/>
        </w:rPr>
        <w:t xml:space="preserve"> </w:t>
      </w:r>
      <w:r w:rsidRPr="00283806">
        <w:rPr>
          <w:w w:val="105"/>
        </w:rPr>
        <w:t>if the ER&amp;R regulations were to only cover equipment with charge sizes of 50 pounds or more. EPA’s rationale for the 15-pound charge size is discussed in section IV.C.2 of the preamble.</w:t>
      </w:r>
    </w:p>
    <w:p w14:paraId="081BEC83" w14:textId="77777777" w:rsidR="00D67C1E" w:rsidRPr="00283806" w:rsidRDefault="001265CA">
      <w:pPr>
        <w:spacing w:line="174" w:lineRule="exact"/>
        <w:ind w:left="340"/>
        <w:rPr>
          <w:sz w:val="18"/>
        </w:rPr>
      </w:pPr>
      <w:r w:rsidRPr="00283806">
        <w:rPr>
          <w:rFonts w:ascii="Book Antiqua"/>
          <w:i/>
          <w:w w:val="105"/>
          <w:sz w:val="18"/>
        </w:rPr>
        <w:t>Comment:</w:t>
      </w:r>
      <w:r w:rsidRPr="00283806">
        <w:rPr>
          <w:rFonts w:ascii="Book Antiqua"/>
          <w:i/>
          <w:spacing w:val="34"/>
          <w:w w:val="105"/>
          <w:sz w:val="18"/>
        </w:rPr>
        <w:t xml:space="preserve"> </w:t>
      </w:r>
      <w:r w:rsidRPr="00283806">
        <w:rPr>
          <w:w w:val="105"/>
          <w:sz w:val="18"/>
        </w:rPr>
        <w:t>Another</w:t>
      </w:r>
      <w:r w:rsidRPr="00283806">
        <w:rPr>
          <w:spacing w:val="40"/>
          <w:w w:val="105"/>
          <w:sz w:val="18"/>
        </w:rPr>
        <w:t xml:space="preserve"> </w:t>
      </w:r>
      <w:r w:rsidRPr="00283806">
        <w:rPr>
          <w:spacing w:val="-2"/>
          <w:w w:val="105"/>
          <w:sz w:val="18"/>
        </w:rPr>
        <w:t>commenter</w:t>
      </w:r>
    </w:p>
    <w:p w14:paraId="324D0DD8" w14:textId="77777777" w:rsidR="00D67C1E" w:rsidRPr="00283806" w:rsidRDefault="001265CA">
      <w:pPr>
        <w:pStyle w:val="BodyText"/>
        <w:spacing w:line="225" w:lineRule="auto"/>
        <w:ind w:right="37"/>
      </w:pPr>
      <w:r w:rsidRPr="00283806">
        <w:rPr>
          <w:w w:val="105"/>
        </w:rPr>
        <w:t>expressed concern that if finalized in its current form, the proposed rule would place significant and disproportionate burdens on the grocery industry and other retailers, and that new compliance and administrative burdens created by the proposed rule would lead to increased costs of doing business, which would ultimately be passed on to consumers. The commenter stated that the proposed new requirements would have significant costs that are not accounted for in the Economic Impact</w:t>
      </w:r>
      <w:r w:rsidRPr="00283806">
        <w:rPr>
          <w:spacing w:val="40"/>
          <w:w w:val="105"/>
        </w:rPr>
        <w:t xml:space="preserve"> </w:t>
      </w:r>
      <w:r w:rsidRPr="00283806">
        <w:rPr>
          <w:w w:val="105"/>
        </w:rPr>
        <w:t>and Benefits TSD or in the RIA</w:t>
      </w:r>
    </w:p>
    <w:p w14:paraId="5118F068" w14:textId="77777777" w:rsidR="00D67C1E" w:rsidRPr="00283806" w:rsidRDefault="001265CA">
      <w:pPr>
        <w:pStyle w:val="BodyText"/>
        <w:spacing w:before="136" w:line="225" w:lineRule="auto"/>
        <w:ind w:left="144" w:right="39"/>
        <w:jc w:val="both"/>
      </w:pPr>
      <w:r w:rsidRPr="00283806">
        <w:br w:type="column"/>
      </w:r>
      <w:r w:rsidRPr="00283806">
        <w:rPr>
          <w:spacing w:val="-2"/>
          <w:w w:val="110"/>
        </w:rPr>
        <w:t>addendum</w:t>
      </w:r>
      <w:r w:rsidRPr="00283806">
        <w:rPr>
          <w:spacing w:val="-8"/>
          <w:w w:val="110"/>
        </w:rPr>
        <w:t xml:space="preserve"> </w:t>
      </w:r>
      <w:r w:rsidRPr="00283806">
        <w:rPr>
          <w:spacing w:val="-2"/>
          <w:w w:val="110"/>
        </w:rPr>
        <w:t>to</w:t>
      </w:r>
      <w:r w:rsidRPr="00283806">
        <w:rPr>
          <w:spacing w:val="-8"/>
          <w:w w:val="110"/>
        </w:rPr>
        <w:t xml:space="preserve"> </w:t>
      </w:r>
      <w:r w:rsidRPr="00283806">
        <w:rPr>
          <w:spacing w:val="-2"/>
          <w:w w:val="110"/>
        </w:rPr>
        <w:t>the</w:t>
      </w:r>
      <w:r w:rsidRPr="00283806">
        <w:rPr>
          <w:spacing w:val="-8"/>
          <w:w w:val="110"/>
        </w:rPr>
        <w:t xml:space="preserve"> </w:t>
      </w:r>
      <w:r w:rsidRPr="00283806">
        <w:rPr>
          <w:spacing w:val="-2"/>
          <w:w w:val="110"/>
        </w:rPr>
        <w:t>Allocation</w:t>
      </w:r>
      <w:r w:rsidRPr="00283806">
        <w:rPr>
          <w:spacing w:val="-8"/>
          <w:w w:val="110"/>
        </w:rPr>
        <w:t xml:space="preserve"> </w:t>
      </w:r>
      <w:r w:rsidRPr="00283806">
        <w:rPr>
          <w:spacing w:val="-2"/>
          <w:w w:val="110"/>
        </w:rPr>
        <w:t xml:space="preserve">Framework </w:t>
      </w:r>
      <w:r w:rsidRPr="00283806">
        <w:rPr>
          <w:w w:val="110"/>
        </w:rPr>
        <w:t>Rule</w:t>
      </w:r>
      <w:r w:rsidRPr="00283806">
        <w:rPr>
          <w:spacing w:val="-11"/>
          <w:w w:val="110"/>
        </w:rPr>
        <w:t xml:space="preserve"> </w:t>
      </w:r>
      <w:r w:rsidRPr="00283806">
        <w:rPr>
          <w:w w:val="110"/>
        </w:rPr>
        <w:t>RIA.</w:t>
      </w:r>
      <w:r w:rsidRPr="00283806">
        <w:rPr>
          <w:spacing w:val="-11"/>
          <w:w w:val="110"/>
        </w:rPr>
        <w:t xml:space="preserve"> </w:t>
      </w:r>
      <w:r w:rsidRPr="00283806">
        <w:rPr>
          <w:w w:val="110"/>
        </w:rPr>
        <w:t>The</w:t>
      </w:r>
      <w:r w:rsidRPr="00283806">
        <w:rPr>
          <w:spacing w:val="-11"/>
          <w:w w:val="110"/>
        </w:rPr>
        <w:t xml:space="preserve"> </w:t>
      </w:r>
      <w:r w:rsidRPr="00283806">
        <w:rPr>
          <w:w w:val="110"/>
        </w:rPr>
        <w:t>commenter</w:t>
      </w:r>
      <w:r w:rsidRPr="00283806">
        <w:rPr>
          <w:spacing w:val="-11"/>
          <w:w w:val="110"/>
        </w:rPr>
        <w:t xml:space="preserve"> </w:t>
      </w:r>
      <w:r w:rsidRPr="00283806">
        <w:rPr>
          <w:w w:val="110"/>
        </w:rPr>
        <w:t>noted</w:t>
      </w:r>
      <w:r w:rsidRPr="00283806">
        <w:rPr>
          <w:spacing w:val="-11"/>
          <w:w w:val="110"/>
        </w:rPr>
        <w:t xml:space="preserve"> </w:t>
      </w:r>
      <w:r w:rsidRPr="00283806">
        <w:rPr>
          <w:w w:val="110"/>
        </w:rPr>
        <w:t>several drivers of compliance costs:</w:t>
      </w:r>
    </w:p>
    <w:p w14:paraId="44CBB6EC" w14:textId="77777777" w:rsidR="00D67C1E" w:rsidRPr="00283806" w:rsidRDefault="001265CA">
      <w:pPr>
        <w:pStyle w:val="ListParagraph"/>
        <w:numPr>
          <w:ilvl w:val="0"/>
          <w:numId w:val="41"/>
        </w:numPr>
        <w:tabs>
          <w:tab w:val="left" w:pos="506"/>
        </w:tabs>
        <w:spacing w:line="179" w:lineRule="exact"/>
        <w:ind w:left="506" w:hanging="182"/>
        <w:rPr>
          <w:sz w:val="18"/>
        </w:rPr>
      </w:pPr>
      <w:r w:rsidRPr="00283806">
        <w:rPr>
          <w:w w:val="105"/>
          <w:sz w:val="18"/>
        </w:rPr>
        <w:t>Tight</w:t>
      </w:r>
      <w:r w:rsidRPr="00283806">
        <w:rPr>
          <w:spacing w:val="19"/>
          <w:w w:val="105"/>
          <w:sz w:val="18"/>
        </w:rPr>
        <w:t xml:space="preserve"> </w:t>
      </w:r>
      <w:r w:rsidRPr="00283806">
        <w:rPr>
          <w:w w:val="105"/>
          <w:sz w:val="18"/>
        </w:rPr>
        <w:t>compliance</w:t>
      </w:r>
      <w:r w:rsidRPr="00283806">
        <w:rPr>
          <w:spacing w:val="20"/>
          <w:w w:val="105"/>
          <w:sz w:val="18"/>
        </w:rPr>
        <w:t xml:space="preserve"> </w:t>
      </w:r>
      <w:r w:rsidRPr="00283806">
        <w:rPr>
          <w:w w:val="105"/>
          <w:sz w:val="18"/>
        </w:rPr>
        <w:t>timeframes</w:t>
      </w:r>
      <w:r w:rsidRPr="00283806">
        <w:rPr>
          <w:spacing w:val="20"/>
          <w:w w:val="105"/>
          <w:sz w:val="18"/>
        </w:rPr>
        <w:t xml:space="preserve"> </w:t>
      </w:r>
      <w:r w:rsidRPr="00283806">
        <w:rPr>
          <w:spacing w:val="-4"/>
          <w:w w:val="105"/>
          <w:sz w:val="18"/>
        </w:rPr>
        <w:t>that</w:t>
      </w:r>
    </w:p>
    <w:p w14:paraId="56356036" w14:textId="77777777" w:rsidR="00D67C1E" w:rsidRPr="00283806" w:rsidRDefault="001265CA">
      <w:pPr>
        <w:pStyle w:val="BodyText"/>
        <w:spacing w:before="3" w:line="225" w:lineRule="auto"/>
        <w:ind w:left="144" w:right="74"/>
      </w:pPr>
      <w:r w:rsidRPr="00283806">
        <w:rPr>
          <w:spacing w:val="-2"/>
          <w:w w:val="110"/>
        </w:rPr>
        <w:t>will</w:t>
      </w:r>
      <w:r w:rsidRPr="00283806">
        <w:rPr>
          <w:spacing w:val="-5"/>
          <w:w w:val="110"/>
        </w:rPr>
        <w:t xml:space="preserve"> </w:t>
      </w:r>
      <w:r w:rsidRPr="00283806">
        <w:rPr>
          <w:spacing w:val="-2"/>
          <w:w w:val="110"/>
        </w:rPr>
        <w:t>necessitate</w:t>
      </w:r>
      <w:r w:rsidRPr="00283806">
        <w:rPr>
          <w:spacing w:val="-5"/>
          <w:w w:val="110"/>
        </w:rPr>
        <w:t xml:space="preserve"> </w:t>
      </w:r>
      <w:r w:rsidRPr="00283806">
        <w:rPr>
          <w:spacing w:val="-2"/>
          <w:w w:val="110"/>
        </w:rPr>
        <w:t>allocation</w:t>
      </w:r>
      <w:r w:rsidRPr="00283806">
        <w:rPr>
          <w:spacing w:val="-5"/>
          <w:w w:val="110"/>
        </w:rPr>
        <w:t xml:space="preserve"> </w:t>
      </w:r>
      <w:r w:rsidRPr="00283806">
        <w:rPr>
          <w:spacing w:val="-2"/>
          <w:w w:val="110"/>
        </w:rPr>
        <w:t>of</w:t>
      </w:r>
      <w:r w:rsidRPr="00283806">
        <w:rPr>
          <w:spacing w:val="-5"/>
          <w:w w:val="110"/>
        </w:rPr>
        <w:t xml:space="preserve"> </w:t>
      </w:r>
      <w:r w:rsidRPr="00283806">
        <w:rPr>
          <w:spacing w:val="-2"/>
          <w:w w:val="110"/>
        </w:rPr>
        <w:t xml:space="preserve">personnel </w:t>
      </w:r>
      <w:r w:rsidRPr="00283806">
        <w:rPr>
          <w:w w:val="110"/>
        </w:rPr>
        <w:t>and financial resources.</w:t>
      </w:r>
    </w:p>
    <w:p w14:paraId="58B8E7B5" w14:textId="77777777" w:rsidR="00D67C1E" w:rsidRPr="00283806" w:rsidRDefault="001265CA">
      <w:pPr>
        <w:pStyle w:val="ListParagraph"/>
        <w:numPr>
          <w:ilvl w:val="0"/>
          <w:numId w:val="41"/>
        </w:numPr>
        <w:tabs>
          <w:tab w:val="left" w:pos="506"/>
        </w:tabs>
        <w:spacing w:line="179" w:lineRule="exact"/>
        <w:ind w:left="506" w:hanging="182"/>
        <w:rPr>
          <w:sz w:val="18"/>
        </w:rPr>
      </w:pPr>
      <w:r w:rsidRPr="00283806">
        <w:rPr>
          <w:w w:val="105"/>
          <w:sz w:val="18"/>
        </w:rPr>
        <w:t>Increased</w:t>
      </w:r>
      <w:r w:rsidRPr="00283806">
        <w:rPr>
          <w:spacing w:val="8"/>
          <w:w w:val="105"/>
          <w:sz w:val="18"/>
        </w:rPr>
        <w:t xml:space="preserve"> </w:t>
      </w:r>
      <w:r w:rsidRPr="00283806">
        <w:rPr>
          <w:w w:val="105"/>
          <w:sz w:val="18"/>
        </w:rPr>
        <w:t>demand</w:t>
      </w:r>
      <w:r w:rsidRPr="00283806">
        <w:rPr>
          <w:spacing w:val="8"/>
          <w:w w:val="105"/>
          <w:sz w:val="18"/>
        </w:rPr>
        <w:t xml:space="preserve"> </w:t>
      </w:r>
      <w:r w:rsidRPr="00283806">
        <w:rPr>
          <w:w w:val="105"/>
          <w:sz w:val="18"/>
        </w:rPr>
        <w:t>for</w:t>
      </w:r>
      <w:r w:rsidRPr="00283806">
        <w:rPr>
          <w:spacing w:val="8"/>
          <w:w w:val="105"/>
          <w:sz w:val="18"/>
        </w:rPr>
        <w:t xml:space="preserve"> </w:t>
      </w:r>
      <w:r w:rsidRPr="00283806">
        <w:rPr>
          <w:w w:val="105"/>
          <w:sz w:val="18"/>
        </w:rPr>
        <w:t>and</w:t>
      </w:r>
      <w:r w:rsidRPr="00283806">
        <w:rPr>
          <w:spacing w:val="8"/>
          <w:w w:val="105"/>
          <w:sz w:val="18"/>
        </w:rPr>
        <w:t xml:space="preserve"> </w:t>
      </w:r>
      <w:r w:rsidRPr="00283806">
        <w:rPr>
          <w:spacing w:val="-2"/>
          <w:w w:val="105"/>
          <w:sz w:val="18"/>
        </w:rPr>
        <w:t>limited</w:t>
      </w:r>
    </w:p>
    <w:p w14:paraId="489E00C4" w14:textId="77777777" w:rsidR="00D67C1E" w:rsidRPr="00283806" w:rsidRDefault="001265CA">
      <w:pPr>
        <w:pStyle w:val="BodyText"/>
        <w:spacing w:before="4" w:line="225" w:lineRule="auto"/>
        <w:ind w:left="144" w:right="74"/>
      </w:pPr>
      <w:r w:rsidRPr="00283806">
        <w:rPr>
          <w:w w:val="105"/>
        </w:rPr>
        <w:t xml:space="preserve">supply of reclaimed and/or recycled </w:t>
      </w:r>
      <w:r w:rsidRPr="00283806">
        <w:rPr>
          <w:spacing w:val="-2"/>
          <w:w w:val="105"/>
        </w:rPr>
        <w:t>HFCs.</w:t>
      </w:r>
    </w:p>
    <w:p w14:paraId="70903C43" w14:textId="77777777" w:rsidR="00D67C1E" w:rsidRPr="00283806" w:rsidRDefault="001265CA">
      <w:pPr>
        <w:pStyle w:val="ListParagraph"/>
        <w:numPr>
          <w:ilvl w:val="0"/>
          <w:numId w:val="41"/>
        </w:numPr>
        <w:tabs>
          <w:tab w:val="left" w:pos="506"/>
        </w:tabs>
        <w:spacing w:line="179" w:lineRule="exact"/>
        <w:ind w:left="506" w:hanging="182"/>
        <w:rPr>
          <w:sz w:val="18"/>
        </w:rPr>
      </w:pPr>
      <w:r w:rsidRPr="00283806">
        <w:rPr>
          <w:w w:val="105"/>
          <w:sz w:val="18"/>
        </w:rPr>
        <w:t>Increased</w:t>
      </w:r>
      <w:r w:rsidRPr="00283806">
        <w:rPr>
          <w:spacing w:val="8"/>
          <w:w w:val="105"/>
          <w:sz w:val="18"/>
        </w:rPr>
        <w:t xml:space="preserve"> </w:t>
      </w:r>
      <w:r w:rsidRPr="00283806">
        <w:rPr>
          <w:w w:val="105"/>
          <w:sz w:val="18"/>
        </w:rPr>
        <w:t>demand</w:t>
      </w:r>
      <w:r w:rsidRPr="00283806">
        <w:rPr>
          <w:spacing w:val="8"/>
          <w:w w:val="105"/>
          <w:sz w:val="18"/>
        </w:rPr>
        <w:t xml:space="preserve"> </w:t>
      </w:r>
      <w:r w:rsidRPr="00283806">
        <w:rPr>
          <w:w w:val="105"/>
          <w:sz w:val="18"/>
        </w:rPr>
        <w:t>for</w:t>
      </w:r>
      <w:r w:rsidRPr="00283806">
        <w:rPr>
          <w:spacing w:val="8"/>
          <w:w w:val="105"/>
          <w:sz w:val="18"/>
        </w:rPr>
        <w:t xml:space="preserve"> </w:t>
      </w:r>
      <w:r w:rsidRPr="00283806">
        <w:rPr>
          <w:w w:val="105"/>
          <w:sz w:val="18"/>
        </w:rPr>
        <w:t>and</w:t>
      </w:r>
      <w:r w:rsidRPr="00283806">
        <w:rPr>
          <w:spacing w:val="8"/>
          <w:w w:val="105"/>
          <w:sz w:val="18"/>
        </w:rPr>
        <w:t xml:space="preserve"> </w:t>
      </w:r>
      <w:r w:rsidRPr="00283806">
        <w:rPr>
          <w:spacing w:val="-2"/>
          <w:w w:val="105"/>
          <w:sz w:val="18"/>
        </w:rPr>
        <w:t>limited</w:t>
      </w:r>
    </w:p>
    <w:p w14:paraId="6864C71B" w14:textId="77777777" w:rsidR="00D67C1E" w:rsidRPr="00283806" w:rsidRDefault="001265CA">
      <w:pPr>
        <w:pStyle w:val="BodyText"/>
        <w:spacing w:line="186" w:lineRule="exact"/>
        <w:ind w:left="144"/>
      </w:pPr>
      <w:r w:rsidRPr="00283806">
        <w:rPr>
          <w:w w:val="110"/>
        </w:rPr>
        <w:t>supply</w:t>
      </w:r>
      <w:r w:rsidRPr="00283806">
        <w:rPr>
          <w:spacing w:val="8"/>
          <w:w w:val="110"/>
        </w:rPr>
        <w:t xml:space="preserve"> </w:t>
      </w:r>
      <w:r w:rsidRPr="00283806">
        <w:rPr>
          <w:w w:val="110"/>
        </w:rPr>
        <w:t>of</w:t>
      </w:r>
      <w:r w:rsidRPr="00283806">
        <w:rPr>
          <w:spacing w:val="9"/>
          <w:w w:val="110"/>
        </w:rPr>
        <w:t xml:space="preserve"> </w:t>
      </w:r>
      <w:r w:rsidRPr="00283806">
        <w:rPr>
          <w:w w:val="110"/>
        </w:rPr>
        <w:t>ALD</w:t>
      </w:r>
      <w:r w:rsidRPr="00283806">
        <w:rPr>
          <w:spacing w:val="8"/>
          <w:w w:val="110"/>
        </w:rPr>
        <w:t xml:space="preserve"> </w:t>
      </w:r>
      <w:r w:rsidRPr="00283806">
        <w:rPr>
          <w:spacing w:val="-2"/>
          <w:w w:val="110"/>
        </w:rPr>
        <w:t>systems.</w:t>
      </w:r>
    </w:p>
    <w:p w14:paraId="7D373EE1" w14:textId="77777777" w:rsidR="00D67C1E" w:rsidRPr="00283806" w:rsidRDefault="001265CA">
      <w:pPr>
        <w:pStyle w:val="ListParagraph"/>
        <w:numPr>
          <w:ilvl w:val="0"/>
          <w:numId w:val="41"/>
        </w:numPr>
        <w:tabs>
          <w:tab w:val="left" w:pos="506"/>
        </w:tabs>
        <w:spacing w:line="225" w:lineRule="auto"/>
        <w:ind w:right="80" w:firstLine="180"/>
        <w:rPr>
          <w:sz w:val="18"/>
        </w:rPr>
      </w:pPr>
      <w:r w:rsidRPr="00283806">
        <w:rPr>
          <w:w w:val="110"/>
          <w:sz w:val="18"/>
        </w:rPr>
        <w:t xml:space="preserve">The installation, training, and </w:t>
      </w:r>
      <w:r w:rsidRPr="00283806">
        <w:rPr>
          <w:spacing w:val="-2"/>
          <w:w w:val="110"/>
          <w:sz w:val="18"/>
        </w:rPr>
        <w:t>maintenance</w:t>
      </w:r>
      <w:r w:rsidRPr="00283806">
        <w:rPr>
          <w:spacing w:val="-5"/>
          <w:w w:val="110"/>
          <w:sz w:val="18"/>
        </w:rPr>
        <w:t xml:space="preserve"> </w:t>
      </w:r>
      <w:r w:rsidRPr="00283806">
        <w:rPr>
          <w:spacing w:val="-2"/>
          <w:w w:val="110"/>
          <w:sz w:val="18"/>
        </w:rPr>
        <w:t>costs</w:t>
      </w:r>
      <w:r w:rsidRPr="00283806">
        <w:rPr>
          <w:spacing w:val="-5"/>
          <w:w w:val="110"/>
          <w:sz w:val="18"/>
        </w:rPr>
        <w:t xml:space="preserve"> </w:t>
      </w:r>
      <w:proofErr w:type="gramStart"/>
      <w:r w:rsidRPr="00283806">
        <w:rPr>
          <w:spacing w:val="-2"/>
          <w:w w:val="110"/>
          <w:sz w:val="18"/>
        </w:rPr>
        <w:t>associated</w:t>
      </w:r>
      <w:proofErr w:type="gramEnd"/>
      <w:r w:rsidRPr="00283806">
        <w:rPr>
          <w:spacing w:val="-5"/>
          <w:w w:val="110"/>
          <w:sz w:val="18"/>
        </w:rPr>
        <w:t xml:space="preserve"> </w:t>
      </w:r>
      <w:r w:rsidRPr="00283806">
        <w:rPr>
          <w:spacing w:val="-2"/>
          <w:w w:val="110"/>
          <w:sz w:val="18"/>
        </w:rPr>
        <w:t>with</w:t>
      </w:r>
      <w:r w:rsidRPr="00283806">
        <w:rPr>
          <w:spacing w:val="-5"/>
          <w:w w:val="110"/>
          <w:sz w:val="18"/>
        </w:rPr>
        <w:t xml:space="preserve"> </w:t>
      </w:r>
      <w:r w:rsidRPr="00283806">
        <w:rPr>
          <w:spacing w:val="-2"/>
          <w:w w:val="110"/>
          <w:sz w:val="18"/>
        </w:rPr>
        <w:t>ALD installation.</w:t>
      </w:r>
    </w:p>
    <w:p w14:paraId="4B744967" w14:textId="77777777" w:rsidR="00D67C1E" w:rsidRPr="00283806" w:rsidRDefault="001265CA">
      <w:pPr>
        <w:pStyle w:val="ListParagraph"/>
        <w:numPr>
          <w:ilvl w:val="0"/>
          <w:numId w:val="41"/>
        </w:numPr>
        <w:tabs>
          <w:tab w:val="left" w:pos="506"/>
        </w:tabs>
        <w:spacing w:line="182" w:lineRule="exact"/>
        <w:ind w:left="506" w:hanging="182"/>
        <w:rPr>
          <w:sz w:val="18"/>
        </w:rPr>
      </w:pPr>
      <w:r w:rsidRPr="00283806">
        <w:rPr>
          <w:w w:val="105"/>
          <w:sz w:val="18"/>
        </w:rPr>
        <w:t>The</w:t>
      </w:r>
      <w:r w:rsidRPr="00283806">
        <w:rPr>
          <w:spacing w:val="10"/>
          <w:w w:val="105"/>
          <w:sz w:val="18"/>
        </w:rPr>
        <w:t xml:space="preserve"> </w:t>
      </w:r>
      <w:r w:rsidRPr="00283806">
        <w:rPr>
          <w:w w:val="105"/>
          <w:sz w:val="18"/>
        </w:rPr>
        <w:t>need</w:t>
      </w:r>
      <w:r w:rsidRPr="00283806">
        <w:rPr>
          <w:spacing w:val="10"/>
          <w:w w:val="105"/>
          <w:sz w:val="18"/>
        </w:rPr>
        <w:t xml:space="preserve"> </w:t>
      </w:r>
      <w:r w:rsidRPr="00283806">
        <w:rPr>
          <w:w w:val="105"/>
          <w:sz w:val="18"/>
        </w:rPr>
        <w:t>to</w:t>
      </w:r>
      <w:r w:rsidRPr="00283806">
        <w:rPr>
          <w:spacing w:val="10"/>
          <w:w w:val="105"/>
          <w:sz w:val="18"/>
        </w:rPr>
        <w:t xml:space="preserve"> </w:t>
      </w:r>
      <w:r w:rsidRPr="00283806">
        <w:rPr>
          <w:w w:val="105"/>
          <w:sz w:val="18"/>
        </w:rPr>
        <w:t>re-train</w:t>
      </w:r>
      <w:r w:rsidRPr="00283806">
        <w:rPr>
          <w:spacing w:val="11"/>
          <w:w w:val="105"/>
          <w:sz w:val="18"/>
        </w:rPr>
        <w:t xml:space="preserve"> </w:t>
      </w:r>
      <w:r w:rsidRPr="00283806">
        <w:rPr>
          <w:w w:val="105"/>
          <w:sz w:val="18"/>
        </w:rPr>
        <w:t>technicians</w:t>
      </w:r>
      <w:r w:rsidRPr="00283806">
        <w:rPr>
          <w:spacing w:val="10"/>
          <w:w w:val="105"/>
          <w:sz w:val="18"/>
        </w:rPr>
        <w:t xml:space="preserve"> </w:t>
      </w:r>
      <w:r w:rsidRPr="00283806">
        <w:rPr>
          <w:spacing w:val="-5"/>
          <w:w w:val="105"/>
          <w:sz w:val="18"/>
        </w:rPr>
        <w:t>and</w:t>
      </w:r>
    </w:p>
    <w:p w14:paraId="4730E470" w14:textId="77777777" w:rsidR="00D67C1E" w:rsidRPr="00283806" w:rsidRDefault="001265CA">
      <w:pPr>
        <w:pStyle w:val="BodyText"/>
        <w:spacing w:line="187" w:lineRule="exact"/>
        <w:ind w:left="144"/>
      </w:pPr>
      <w:r w:rsidRPr="00283806">
        <w:rPr>
          <w:w w:val="105"/>
        </w:rPr>
        <w:t>maintenance</w:t>
      </w:r>
      <w:r w:rsidRPr="00283806">
        <w:rPr>
          <w:spacing w:val="16"/>
          <w:w w:val="105"/>
        </w:rPr>
        <w:t xml:space="preserve"> </w:t>
      </w:r>
      <w:r w:rsidRPr="00283806">
        <w:rPr>
          <w:spacing w:val="-2"/>
          <w:w w:val="105"/>
        </w:rPr>
        <w:t>personnel.</w:t>
      </w:r>
    </w:p>
    <w:p w14:paraId="39B8655E" w14:textId="77777777" w:rsidR="00D67C1E" w:rsidRPr="00283806" w:rsidRDefault="001265CA">
      <w:pPr>
        <w:pStyle w:val="ListParagraph"/>
        <w:numPr>
          <w:ilvl w:val="0"/>
          <w:numId w:val="41"/>
        </w:numPr>
        <w:tabs>
          <w:tab w:val="left" w:pos="506"/>
        </w:tabs>
        <w:spacing w:line="228" w:lineRule="auto"/>
        <w:ind w:right="286" w:firstLine="180"/>
        <w:rPr>
          <w:sz w:val="18"/>
        </w:rPr>
      </w:pPr>
      <w:r w:rsidRPr="00283806">
        <w:rPr>
          <w:w w:val="105"/>
          <w:sz w:val="18"/>
        </w:rPr>
        <w:t>Required</w:t>
      </w:r>
      <w:r w:rsidRPr="00283806">
        <w:rPr>
          <w:spacing w:val="-10"/>
          <w:w w:val="105"/>
          <w:sz w:val="18"/>
        </w:rPr>
        <w:t xml:space="preserve"> </w:t>
      </w:r>
      <w:r w:rsidRPr="00283806">
        <w:rPr>
          <w:w w:val="105"/>
          <w:sz w:val="18"/>
        </w:rPr>
        <w:t>retrofit</w:t>
      </w:r>
      <w:r w:rsidRPr="00283806">
        <w:rPr>
          <w:spacing w:val="-10"/>
          <w:w w:val="105"/>
          <w:sz w:val="18"/>
        </w:rPr>
        <w:t xml:space="preserve"> </w:t>
      </w:r>
      <w:r w:rsidRPr="00283806">
        <w:rPr>
          <w:w w:val="105"/>
          <w:sz w:val="18"/>
        </w:rPr>
        <w:t>or</w:t>
      </w:r>
      <w:r w:rsidRPr="00283806">
        <w:rPr>
          <w:spacing w:val="-10"/>
          <w:w w:val="105"/>
          <w:sz w:val="18"/>
        </w:rPr>
        <w:t xml:space="preserve"> </w:t>
      </w:r>
      <w:r w:rsidRPr="00283806">
        <w:rPr>
          <w:w w:val="105"/>
          <w:sz w:val="18"/>
        </w:rPr>
        <w:t>retirement</w:t>
      </w:r>
      <w:r w:rsidRPr="00283806">
        <w:rPr>
          <w:spacing w:val="-10"/>
          <w:w w:val="105"/>
          <w:sz w:val="18"/>
        </w:rPr>
        <w:t xml:space="preserve"> </w:t>
      </w:r>
      <w:r w:rsidRPr="00283806">
        <w:rPr>
          <w:w w:val="105"/>
          <w:sz w:val="18"/>
        </w:rPr>
        <w:t>of appliances with leaks that cannot be repaired in accordance with the proposed repair standard.</w:t>
      </w:r>
    </w:p>
    <w:p w14:paraId="7215A854" w14:textId="77777777" w:rsidR="00D67C1E" w:rsidRPr="00283806" w:rsidRDefault="001265CA">
      <w:pPr>
        <w:pStyle w:val="BodyText"/>
        <w:spacing w:line="179" w:lineRule="exact"/>
        <w:ind w:left="324"/>
      </w:pPr>
      <w:r w:rsidRPr="00283806">
        <w:rPr>
          <w:w w:val="105"/>
        </w:rPr>
        <w:t>The</w:t>
      </w:r>
      <w:r w:rsidRPr="00283806">
        <w:rPr>
          <w:spacing w:val="1"/>
          <w:w w:val="105"/>
        </w:rPr>
        <w:t xml:space="preserve"> </w:t>
      </w:r>
      <w:r w:rsidRPr="00283806">
        <w:rPr>
          <w:w w:val="105"/>
        </w:rPr>
        <w:t>commenter</w:t>
      </w:r>
      <w:r w:rsidRPr="00283806">
        <w:rPr>
          <w:spacing w:val="2"/>
          <w:w w:val="105"/>
        </w:rPr>
        <w:t xml:space="preserve"> </w:t>
      </w:r>
      <w:r w:rsidRPr="00283806">
        <w:rPr>
          <w:w w:val="105"/>
        </w:rPr>
        <w:t>further</w:t>
      </w:r>
      <w:r w:rsidRPr="00283806">
        <w:rPr>
          <w:spacing w:val="2"/>
          <w:w w:val="105"/>
        </w:rPr>
        <w:t xml:space="preserve"> </w:t>
      </w:r>
      <w:r w:rsidRPr="00283806">
        <w:rPr>
          <w:w w:val="105"/>
        </w:rPr>
        <w:t>stated</w:t>
      </w:r>
      <w:r w:rsidRPr="00283806">
        <w:rPr>
          <w:spacing w:val="1"/>
          <w:w w:val="105"/>
        </w:rPr>
        <w:t xml:space="preserve"> </w:t>
      </w:r>
      <w:r w:rsidRPr="00283806">
        <w:rPr>
          <w:w w:val="105"/>
        </w:rPr>
        <w:t>that</w:t>
      </w:r>
      <w:r w:rsidRPr="00283806">
        <w:rPr>
          <w:spacing w:val="2"/>
          <w:w w:val="105"/>
        </w:rPr>
        <w:t xml:space="preserve"> </w:t>
      </w:r>
      <w:r w:rsidRPr="00283806">
        <w:rPr>
          <w:spacing w:val="-5"/>
          <w:w w:val="105"/>
        </w:rPr>
        <w:t>the</w:t>
      </w:r>
    </w:p>
    <w:p w14:paraId="43E78EE8" w14:textId="77777777" w:rsidR="00D67C1E" w:rsidRPr="00283806" w:rsidRDefault="001265CA">
      <w:pPr>
        <w:pStyle w:val="BodyText"/>
        <w:spacing w:line="228" w:lineRule="auto"/>
        <w:ind w:left="144" w:right="68"/>
      </w:pPr>
      <w:r w:rsidRPr="00283806">
        <w:rPr>
          <w:w w:val="105"/>
        </w:rPr>
        <w:t>Technology Transitions regulatory program</w:t>
      </w:r>
      <w:r w:rsidRPr="00283806">
        <w:rPr>
          <w:spacing w:val="40"/>
          <w:w w:val="105"/>
        </w:rPr>
        <w:t xml:space="preserve"> </w:t>
      </w:r>
      <w:r w:rsidRPr="00283806">
        <w:rPr>
          <w:w w:val="105"/>
        </w:rPr>
        <w:t>will</w:t>
      </w:r>
      <w:r w:rsidRPr="00283806">
        <w:rPr>
          <w:spacing w:val="40"/>
          <w:w w:val="105"/>
        </w:rPr>
        <w:t xml:space="preserve"> </w:t>
      </w:r>
      <w:r w:rsidRPr="00283806">
        <w:rPr>
          <w:w w:val="105"/>
        </w:rPr>
        <w:t>place</w:t>
      </w:r>
      <w:r w:rsidRPr="00283806">
        <w:rPr>
          <w:spacing w:val="40"/>
          <w:w w:val="105"/>
        </w:rPr>
        <w:t xml:space="preserve"> </w:t>
      </w:r>
      <w:r w:rsidRPr="00283806">
        <w:rPr>
          <w:w w:val="105"/>
        </w:rPr>
        <w:t>a</w:t>
      </w:r>
      <w:r w:rsidRPr="00283806">
        <w:rPr>
          <w:spacing w:val="40"/>
          <w:w w:val="105"/>
        </w:rPr>
        <w:t xml:space="preserve"> </w:t>
      </w:r>
      <w:r w:rsidRPr="00283806">
        <w:rPr>
          <w:w w:val="105"/>
        </w:rPr>
        <w:t>significant</w:t>
      </w:r>
      <w:r w:rsidRPr="00283806">
        <w:rPr>
          <w:spacing w:val="40"/>
          <w:w w:val="105"/>
        </w:rPr>
        <w:t xml:space="preserve"> </w:t>
      </w:r>
      <w:r w:rsidRPr="00283806">
        <w:rPr>
          <w:w w:val="105"/>
        </w:rPr>
        <w:t>strain on supply chains and technicians,</w:t>
      </w:r>
      <w:r w:rsidRPr="00283806">
        <w:rPr>
          <w:spacing w:val="80"/>
          <w:w w:val="150"/>
        </w:rPr>
        <w:t xml:space="preserve"> </w:t>
      </w:r>
      <w:r w:rsidRPr="00283806">
        <w:rPr>
          <w:w w:val="105"/>
        </w:rPr>
        <w:t>driving</w:t>
      </w:r>
      <w:r w:rsidRPr="00283806">
        <w:rPr>
          <w:spacing w:val="40"/>
          <w:w w:val="105"/>
        </w:rPr>
        <w:t xml:space="preserve"> </w:t>
      </w:r>
      <w:r w:rsidRPr="00283806">
        <w:rPr>
          <w:w w:val="105"/>
        </w:rPr>
        <w:t>up</w:t>
      </w:r>
      <w:r w:rsidRPr="00283806">
        <w:rPr>
          <w:spacing w:val="40"/>
          <w:w w:val="105"/>
        </w:rPr>
        <w:t xml:space="preserve"> </w:t>
      </w:r>
      <w:r w:rsidRPr="00283806">
        <w:rPr>
          <w:w w:val="105"/>
        </w:rPr>
        <w:t>costs,</w:t>
      </w:r>
      <w:r w:rsidRPr="00283806">
        <w:rPr>
          <w:spacing w:val="40"/>
          <w:w w:val="105"/>
        </w:rPr>
        <w:t xml:space="preserve"> </w:t>
      </w:r>
      <w:r w:rsidRPr="00283806">
        <w:rPr>
          <w:w w:val="105"/>
        </w:rPr>
        <w:t>and</w:t>
      </w:r>
      <w:r w:rsidRPr="00283806">
        <w:rPr>
          <w:spacing w:val="40"/>
          <w:w w:val="105"/>
        </w:rPr>
        <w:t xml:space="preserve"> </w:t>
      </w:r>
      <w:r w:rsidRPr="00283806">
        <w:rPr>
          <w:w w:val="105"/>
        </w:rPr>
        <w:t>that</w:t>
      </w:r>
      <w:r w:rsidRPr="00283806">
        <w:rPr>
          <w:spacing w:val="40"/>
          <w:w w:val="105"/>
        </w:rPr>
        <w:t xml:space="preserve"> </w:t>
      </w:r>
      <w:r w:rsidRPr="00283806">
        <w:rPr>
          <w:w w:val="105"/>
        </w:rPr>
        <w:t>EPA’s proposal to impose additional sweeping, mandatory system repair requirements</w:t>
      </w:r>
      <w:r w:rsidRPr="00283806">
        <w:rPr>
          <w:spacing w:val="40"/>
          <w:w w:val="105"/>
        </w:rPr>
        <w:t xml:space="preserve"> </w:t>
      </w:r>
      <w:proofErr w:type="gramStart"/>
      <w:r w:rsidRPr="00283806">
        <w:rPr>
          <w:w w:val="105"/>
        </w:rPr>
        <w:t>in the near future</w:t>
      </w:r>
      <w:proofErr w:type="gramEnd"/>
      <w:r w:rsidRPr="00283806">
        <w:rPr>
          <w:w w:val="105"/>
        </w:rPr>
        <w:t xml:space="preserve"> will further drive a surge in demand for technicians, equipment, and refrigerants. The commenter added that the proposed</w:t>
      </w:r>
      <w:r w:rsidRPr="00283806">
        <w:rPr>
          <w:spacing w:val="80"/>
          <w:w w:val="105"/>
        </w:rPr>
        <w:t xml:space="preserve"> </w:t>
      </w:r>
      <w:r w:rsidRPr="00283806">
        <w:rPr>
          <w:w w:val="105"/>
        </w:rPr>
        <w:t>new requirements, and their varying compliance timeframes, applicability thresholds, recordkeeping, and</w:t>
      </w:r>
      <w:r w:rsidRPr="00283806">
        <w:rPr>
          <w:spacing w:val="80"/>
          <w:w w:val="150"/>
        </w:rPr>
        <w:t xml:space="preserve"> </w:t>
      </w:r>
      <w:r w:rsidRPr="00283806">
        <w:rPr>
          <w:w w:val="105"/>
        </w:rPr>
        <w:t>reporting requirements, will introduce administrative complexity, and that this additional burden is particularly pronounced for the commenter’s members which are managing</w:t>
      </w:r>
      <w:r w:rsidRPr="00283806">
        <w:rPr>
          <w:spacing w:val="40"/>
          <w:w w:val="105"/>
        </w:rPr>
        <w:t xml:space="preserve"> </w:t>
      </w:r>
      <w:r w:rsidRPr="00283806">
        <w:rPr>
          <w:w w:val="105"/>
        </w:rPr>
        <w:t>compliance</w:t>
      </w:r>
      <w:r w:rsidRPr="00283806">
        <w:rPr>
          <w:spacing w:val="40"/>
          <w:w w:val="105"/>
        </w:rPr>
        <w:t xml:space="preserve"> </w:t>
      </w:r>
      <w:r w:rsidRPr="00283806">
        <w:rPr>
          <w:w w:val="105"/>
        </w:rPr>
        <w:t>for</w:t>
      </w:r>
      <w:r w:rsidRPr="00283806">
        <w:rPr>
          <w:spacing w:val="40"/>
          <w:w w:val="105"/>
        </w:rPr>
        <w:t xml:space="preserve"> </w:t>
      </w:r>
      <w:r w:rsidRPr="00283806">
        <w:rPr>
          <w:w w:val="105"/>
        </w:rPr>
        <w:t>different</w:t>
      </w:r>
      <w:r w:rsidRPr="00283806">
        <w:rPr>
          <w:spacing w:val="40"/>
          <w:w w:val="105"/>
        </w:rPr>
        <w:t xml:space="preserve"> </w:t>
      </w:r>
      <w:r w:rsidRPr="00283806">
        <w:rPr>
          <w:w w:val="105"/>
        </w:rPr>
        <w:t>sites</w:t>
      </w:r>
      <w:r w:rsidRPr="00283806">
        <w:rPr>
          <w:spacing w:val="40"/>
          <w:w w:val="105"/>
        </w:rPr>
        <w:t xml:space="preserve"> </w:t>
      </w:r>
      <w:r w:rsidRPr="00283806">
        <w:rPr>
          <w:w w:val="105"/>
        </w:rPr>
        <w:t>in multiple</w:t>
      </w:r>
      <w:r w:rsidRPr="00283806">
        <w:rPr>
          <w:spacing w:val="40"/>
          <w:w w:val="105"/>
        </w:rPr>
        <w:t xml:space="preserve"> </w:t>
      </w:r>
      <w:r w:rsidRPr="00283806">
        <w:rPr>
          <w:w w:val="105"/>
        </w:rPr>
        <w:t>States,</w:t>
      </w:r>
      <w:r w:rsidRPr="00283806">
        <w:rPr>
          <w:spacing w:val="40"/>
          <w:w w:val="105"/>
        </w:rPr>
        <w:t xml:space="preserve"> </w:t>
      </w:r>
      <w:r w:rsidRPr="00283806">
        <w:rPr>
          <w:w w:val="105"/>
        </w:rPr>
        <w:t>each</w:t>
      </w:r>
      <w:r w:rsidRPr="00283806">
        <w:rPr>
          <w:spacing w:val="40"/>
          <w:w w:val="105"/>
        </w:rPr>
        <w:t xml:space="preserve"> </w:t>
      </w:r>
      <w:r w:rsidRPr="00283806">
        <w:rPr>
          <w:w w:val="105"/>
        </w:rPr>
        <w:t>with</w:t>
      </w:r>
      <w:r w:rsidRPr="00283806">
        <w:rPr>
          <w:spacing w:val="40"/>
          <w:w w:val="105"/>
        </w:rPr>
        <w:t xml:space="preserve"> </w:t>
      </w:r>
      <w:r w:rsidRPr="00283806">
        <w:rPr>
          <w:w w:val="105"/>
        </w:rPr>
        <w:t>different types of regulated appliances.</w:t>
      </w:r>
    </w:p>
    <w:p w14:paraId="256245CE" w14:textId="77777777" w:rsidR="00D67C1E" w:rsidRPr="00283806" w:rsidRDefault="001265CA">
      <w:pPr>
        <w:pStyle w:val="BodyText"/>
        <w:spacing w:line="171" w:lineRule="exact"/>
        <w:ind w:left="324"/>
      </w:pPr>
      <w:r w:rsidRPr="00283806">
        <w:rPr>
          <w:w w:val="105"/>
        </w:rPr>
        <w:t>The</w:t>
      </w:r>
      <w:r w:rsidRPr="00283806">
        <w:rPr>
          <w:spacing w:val="-1"/>
          <w:w w:val="105"/>
        </w:rPr>
        <w:t xml:space="preserve"> </w:t>
      </w:r>
      <w:r w:rsidRPr="00283806">
        <w:rPr>
          <w:w w:val="105"/>
        </w:rPr>
        <w:t>commenter</w:t>
      </w:r>
      <w:r w:rsidRPr="00283806">
        <w:rPr>
          <w:spacing w:val="-1"/>
          <w:w w:val="105"/>
        </w:rPr>
        <w:t xml:space="preserve"> </w:t>
      </w:r>
      <w:r w:rsidRPr="00283806">
        <w:rPr>
          <w:w w:val="105"/>
        </w:rPr>
        <w:t>further asserted</w:t>
      </w:r>
      <w:r w:rsidRPr="00283806">
        <w:rPr>
          <w:spacing w:val="-1"/>
          <w:w w:val="105"/>
        </w:rPr>
        <w:t xml:space="preserve"> </w:t>
      </w:r>
      <w:r w:rsidRPr="00283806">
        <w:rPr>
          <w:spacing w:val="-4"/>
          <w:w w:val="105"/>
        </w:rPr>
        <w:t>that</w:t>
      </w:r>
    </w:p>
    <w:p w14:paraId="461CBC6A" w14:textId="77777777" w:rsidR="00D67C1E" w:rsidRPr="00283806" w:rsidRDefault="001265CA">
      <w:pPr>
        <w:pStyle w:val="BodyText"/>
        <w:spacing w:line="228" w:lineRule="auto"/>
        <w:ind w:left="144" w:right="120"/>
      </w:pPr>
      <w:proofErr w:type="gramStart"/>
      <w:r w:rsidRPr="00283806">
        <w:rPr>
          <w:w w:val="105"/>
        </w:rPr>
        <w:t>the</w:t>
      </w:r>
      <w:proofErr w:type="gramEnd"/>
      <w:r w:rsidRPr="00283806">
        <w:rPr>
          <w:w w:val="105"/>
        </w:rPr>
        <w:t xml:space="preserve"> requirements in the proposed rule were unnecessary and would add significant regulatory burdens </w:t>
      </w:r>
      <w:proofErr w:type="gramStart"/>
      <w:r w:rsidRPr="00283806">
        <w:rPr>
          <w:w w:val="105"/>
        </w:rPr>
        <w:t>for</w:t>
      </w:r>
      <w:proofErr w:type="gramEnd"/>
      <w:r w:rsidRPr="00283806">
        <w:rPr>
          <w:w w:val="105"/>
        </w:rPr>
        <w:t xml:space="preserve"> little practical gain. The commenter suggested that as the phasedown will create a limited supply of HFCs in</w:t>
      </w:r>
      <w:r w:rsidRPr="00283806">
        <w:rPr>
          <w:spacing w:val="80"/>
          <w:w w:val="105"/>
        </w:rPr>
        <w:t xml:space="preserve"> </w:t>
      </w:r>
      <w:r w:rsidRPr="00283806">
        <w:rPr>
          <w:w w:val="105"/>
        </w:rPr>
        <w:t>future years, businesses will already be well-incentivized to conduct repairs, minimize leaks, and use reclaimed</w:t>
      </w:r>
      <w:r w:rsidRPr="00283806">
        <w:rPr>
          <w:spacing w:val="40"/>
          <w:w w:val="105"/>
        </w:rPr>
        <w:t xml:space="preserve"> </w:t>
      </w:r>
      <w:r w:rsidRPr="00283806">
        <w:rPr>
          <w:w w:val="105"/>
        </w:rPr>
        <w:t>HFCs, meaning that the regulatory mandates proposed are unnecessary.</w:t>
      </w:r>
    </w:p>
    <w:p w14:paraId="5774FA69" w14:textId="77777777" w:rsidR="00D67C1E" w:rsidRPr="00283806" w:rsidRDefault="001265CA">
      <w:pPr>
        <w:pStyle w:val="BodyText"/>
        <w:spacing w:line="228" w:lineRule="auto"/>
        <w:ind w:left="144" w:right="120"/>
      </w:pPr>
      <w:r w:rsidRPr="00283806">
        <w:rPr>
          <w:w w:val="105"/>
        </w:rPr>
        <w:t>The commenter claimed that the costs and administrative burdens associated with the proposed rule are not justified for equipment that will be obsolete by the end of the HFC phasedown mandated in the AIM Act.</w:t>
      </w:r>
    </w:p>
    <w:p w14:paraId="3DB7680F" w14:textId="77777777" w:rsidR="00D67C1E" w:rsidRPr="00283806" w:rsidRDefault="001265CA">
      <w:pPr>
        <w:spacing w:line="183" w:lineRule="exact"/>
        <w:ind w:left="324"/>
        <w:rPr>
          <w:sz w:val="18"/>
        </w:rPr>
      </w:pPr>
      <w:r w:rsidRPr="00283806">
        <w:rPr>
          <w:rFonts w:ascii="Book Antiqua"/>
          <w:i/>
          <w:w w:val="110"/>
          <w:sz w:val="18"/>
        </w:rPr>
        <w:t>Response:</w:t>
      </w:r>
      <w:r w:rsidRPr="00283806">
        <w:rPr>
          <w:rFonts w:ascii="Book Antiqua"/>
          <w:i/>
          <w:spacing w:val="-7"/>
          <w:w w:val="110"/>
          <w:sz w:val="18"/>
        </w:rPr>
        <w:t xml:space="preserve"> </w:t>
      </w:r>
      <w:r w:rsidRPr="00283806">
        <w:rPr>
          <w:w w:val="110"/>
          <w:sz w:val="18"/>
        </w:rPr>
        <w:t>Congress</w:t>
      </w:r>
      <w:r w:rsidRPr="00283806">
        <w:rPr>
          <w:spacing w:val="-1"/>
          <w:w w:val="110"/>
          <w:sz w:val="18"/>
        </w:rPr>
        <w:t xml:space="preserve"> </w:t>
      </w:r>
      <w:r w:rsidRPr="00283806">
        <w:rPr>
          <w:w w:val="110"/>
          <w:sz w:val="18"/>
        </w:rPr>
        <w:t>directed</w:t>
      </w:r>
      <w:r w:rsidRPr="00283806">
        <w:rPr>
          <w:spacing w:val="-1"/>
          <w:w w:val="110"/>
          <w:sz w:val="18"/>
        </w:rPr>
        <w:t xml:space="preserve"> </w:t>
      </w:r>
      <w:r w:rsidRPr="00283806">
        <w:rPr>
          <w:spacing w:val="-5"/>
          <w:w w:val="110"/>
          <w:sz w:val="18"/>
        </w:rPr>
        <w:t>the</w:t>
      </w:r>
    </w:p>
    <w:p w14:paraId="401FE017" w14:textId="77777777" w:rsidR="00D67C1E" w:rsidRPr="00283806" w:rsidRDefault="001265CA">
      <w:pPr>
        <w:pStyle w:val="BodyText"/>
        <w:spacing w:line="228" w:lineRule="auto"/>
        <w:ind w:left="144" w:right="120"/>
      </w:pPr>
      <w:r w:rsidRPr="00283806">
        <w:rPr>
          <w:w w:val="105"/>
        </w:rPr>
        <w:t>Agency in subsection (h)(1) of the AIM Act to promulgate certain regulations, and that the authority conveyed under subsection (h) is separate from, but in addition to, authority Congress conveyed under other provisions of the Act. EPA is establishing the ER&amp;R program to implement subsection (h),</w:t>
      </w:r>
    </w:p>
    <w:p w14:paraId="21E4A7A0" w14:textId="77777777" w:rsidR="00D67C1E" w:rsidRPr="00283806" w:rsidRDefault="001265CA">
      <w:pPr>
        <w:pStyle w:val="BodyText"/>
        <w:spacing w:before="133" w:line="228" w:lineRule="auto"/>
        <w:ind w:left="141" w:right="204"/>
      </w:pPr>
      <w:r w:rsidRPr="00283806">
        <w:br w:type="column"/>
      </w:r>
      <w:r w:rsidRPr="00283806">
        <w:rPr>
          <w:w w:val="105"/>
        </w:rPr>
        <w:t>consistent with the directive given by Congress. Further, as discussed in greater</w:t>
      </w:r>
      <w:r w:rsidRPr="00283806">
        <w:rPr>
          <w:spacing w:val="-2"/>
          <w:w w:val="105"/>
        </w:rPr>
        <w:t xml:space="preserve"> </w:t>
      </w:r>
      <w:r w:rsidRPr="00283806">
        <w:rPr>
          <w:w w:val="105"/>
        </w:rPr>
        <w:t>detail</w:t>
      </w:r>
      <w:r w:rsidRPr="00283806">
        <w:rPr>
          <w:spacing w:val="-2"/>
          <w:w w:val="105"/>
        </w:rPr>
        <w:t xml:space="preserve"> </w:t>
      </w:r>
      <w:r w:rsidRPr="00283806">
        <w:rPr>
          <w:w w:val="105"/>
        </w:rPr>
        <w:t>throughout</w:t>
      </w:r>
      <w:r w:rsidRPr="00283806">
        <w:rPr>
          <w:spacing w:val="-2"/>
          <w:w w:val="105"/>
        </w:rPr>
        <w:t xml:space="preserve"> </w:t>
      </w:r>
      <w:r w:rsidRPr="00283806">
        <w:rPr>
          <w:w w:val="105"/>
        </w:rPr>
        <w:t>this</w:t>
      </w:r>
      <w:r w:rsidRPr="00283806">
        <w:rPr>
          <w:spacing w:val="-2"/>
          <w:w w:val="105"/>
        </w:rPr>
        <w:t xml:space="preserve"> </w:t>
      </w:r>
      <w:r w:rsidRPr="00283806">
        <w:rPr>
          <w:w w:val="105"/>
        </w:rPr>
        <w:t>preamble, this rulemaking is designed to serve the purposes identified in subsection (h)(1) of the AIM Act of maximizing reclamation, minimizing the release of regulated substances from equipment, and ensuring the safety of technicians and consumers. EPA did not propose</w:t>
      </w:r>
      <w:r w:rsidRPr="00283806">
        <w:rPr>
          <w:spacing w:val="40"/>
          <w:w w:val="105"/>
        </w:rPr>
        <w:t xml:space="preserve"> </w:t>
      </w:r>
      <w:r w:rsidRPr="00283806">
        <w:rPr>
          <w:w w:val="105"/>
        </w:rPr>
        <w:t>and is not making any changes to the 2023 Technology Transitions Rule; comments with respect to the costs of that rule are out of scope for this rule and require no further response.</w:t>
      </w:r>
    </w:p>
    <w:p w14:paraId="5BFF73B9" w14:textId="77777777" w:rsidR="00D67C1E" w:rsidRPr="00283806" w:rsidRDefault="001265CA">
      <w:pPr>
        <w:pStyle w:val="BodyText"/>
        <w:spacing w:line="228" w:lineRule="auto"/>
        <w:ind w:left="141" w:right="131"/>
      </w:pPr>
      <w:r w:rsidRPr="00283806">
        <w:rPr>
          <w:w w:val="105"/>
        </w:rPr>
        <w:t>However, EPA notes that the updated analysis of the costs of the ER&amp;R Rule incorporated the effects of the 2023 Technology Transitions Rule as the baseline from which incremental costs and benefits were estimated.</w:t>
      </w:r>
    </w:p>
    <w:p w14:paraId="72076ECC" w14:textId="77777777" w:rsidR="00D67C1E" w:rsidRPr="00283806" w:rsidRDefault="001265CA">
      <w:pPr>
        <w:pStyle w:val="BodyText"/>
        <w:spacing w:before="29" w:line="228" w:lineRule="auto"/>
        <w:ind w:left="141" w:right="131" w:firstLine="180"/>
      </w:pPr>
      <w:r w:rsidRPr="00283806">
        <w:rPr>
          <w:w w:val="105"/>
        </w:rPr>
        <w:t>While EPA has included estimates of the costs and benefits of this rulemaking in the RIA addendum (and reevaluated the costs and benefits of the final rule under two principal scenarios and provided sensitivity analyses around these estimates), to provide the public with information on the relevant costs and</w:t>
      </w:r>
      <w:r w:rsidRPr="00283806">
        <w:rPr>
          <w:spacing w:val="39"/>
          <w:w w:val="105"/>
        </w:rPr>
        <w:t xml:space="preserve"> </w:t>
      </w:r>
      <w:r w:rsidRPr="00283806">
        <w:rPr>
          <w:w w:val="105"/>
        </w:rPr>
        <w:t>benefits</w:t>
      </w:r>
      <w:r w:rsidRPr="00283806">
        <w:rPr>
          <w:spacing w:val="39"/>
          <w:w w:val="105"/>
        </w:rPr>
        <w:t xml:space="preserve"> </w:t>
      </w:r>
      <w:r w:rsidRPr="00283806">
        <w:rPr>
          <w:w w:val="105"/>
        </w:rPr>
        <w:t>of</w:t>
      </w:r>
      <w:r w:rsidRPr="00283806">
        <w:rPr>
          <w:spacing w:val="39"/>
          <w:w w:val="105"/>
        </w:rPr>
        <w:t xml:space="preserve"> </w:t>
      </w:r>
      <w:r w:rsidRPr="00283806">
        <w:rPr>
          <w:w w:val="105"/>
        </w:rPr>
        <w:t>this</w:t>
      </w:r>
      <w:r w:rsidRPr="00283806">
        <w:rPr>
          <w:spacing w:val="39"/>
          <w:w w:val="105"/>
        </w:rPr>
        <w:t xml:space="preserve"> </w:t>
      </w:r>
      <w:r w:rsidRPr="00283806">
        <w:rPr>
          <w:w w:val="105"/>
        </w:rPr>
        <w:t>action</w:t>
      </w:r>
      <w:r w:rsidRPr="00283806">
        <w:rPr>
          <w:spacing w:val="39"/>
          <w:w w:val="105"/>
        </w:rPr>
        <w:t xml:space="preserve"> </w:t>
      </w:r>
      <w:r w:rsidRPr="00283806">
        <w:rPr>
          <w:w w:val="105"/>
        </w:rPr>
        <w:t>and</w:t>
      </w:r>
      <w:r w:rsidRPr="00283806">
        <w:rPr>
          <w:spacing w:val="39"/>
          <w:w w:val="105"/>
        </w:rPr>
        <w:t xml:space="preserve"> </w:t>
      </w:r>
      <w:r w:rsidRPr="00283806">
        <w:rPr>
          <w:w w:val="105"/>
        </w:rPr>
        <w:t>to comply with Executive Orders, that analysis does not form a basis or rationale for any of the provisions promulgated in this rulemaking. To the extent that EPA has considered the results of analyses of the impacts of the provisions of the ER&amp;R program in this rulemaking, those results are reflected</w:t>
      </w:r>
      <w:r w:rsidRPr="00283806">
        <w:rPr>
          <w:spacing w:val="80"/>
          <w:w w:val="150"/>
        </w:rPr>
        <w:t xml:space="preserve"> </w:t>
      </w:r>
      <w:r w:rsidRPr="00283806">
        <w:rPr>
          <w:w w:val="105"/>
        </w:rPr>
        <w:t>in the Economic Impact and Benefits</w:t>
      </w:r>
      <w:r w:rsidRPr="00283806">
        <w:rPr>
          <w:spacing w:val="40"/>
          <w:w w:val="105"/>
        </w:rPr>
        <w:t xml:space="preserve"> </w:t>
      </w:r>
      <w:r w:rsidRPr="00283806">
        <w:rPr>
          <w:w w:val="105"/>
        </w:rPr>
        <w:t>TSD.</w:t>
      </w:r>
      <w:r w:rsidRPr="00283806">
        <w:rPr>
          <w:spacing w:val="40"/>
          <w:w w:val="105"/>
        </w:rPr>
        <w:t xml:space="preserve"> </w:t>
      </w:r>
      <w:r w:rsidRPr="00283806">
        <w:rPr>
          <w:w w:val="105"/>
        </w:rPr>
        <w:t>Further,</w:t>
      </w:r>
      <w:r w:rsidRPr="00283806">
        <w:rPr>
          <w:spacing w:val="40"/>
          <w:w w:val="105"/>
        </w:rPr>
        <w:t xml:space="preserve"> </w:t>
      </w:r>
      <w:r w:rsidRPr="00283806">
        <w:rPr>
          <w:w w:val="105"/>
        </w:rPr>
        <w:t>while</w:t>
      </w:r>
      <w:r w:rsidRPr="00283806">
        <w:rPr>
          <w:spacing w:val="40"/>
          <w:w w:val="105"/>
        </w:rPr>
        <w:t xml:space="preserve"> </w:t>
      </w:r>
      <w:r w:rsidRPr="00283806">
        <w:rPr>
          <w:w w:val="105"/>
        </w:rPr>
        <w:t>certain</w:t>
      </w:r>
      <w:r w:rsidRPr="00283806">
        <w:rPr>
          <w:spacing w:val="40"/>
          <w:w w:val="105"/>
        </w:rPr>
        <w:t xml:space="preserve"> </w:t>
      </w:r>
      <w:r w:rsidRPr="00283806">
        <w:rPr>
          <w:w w:val="105"/>
        </w:rPr>
        <w:t>provisions of</w:t>
      </w:r>
      <w:r w:rsidRPr="00283806">
        <w:rPr>
          <w:spacing w:val="40"/>
          <w:w w:val="105"/>
        </w:rPr>
        <w:t xml:space="preserve"> </w:t>
      </w:r>
      <w:r w:rsidRPr="00283806">
        <w:rPr>
          <w:w w:val="105"/>
        </w:rPr>
        <w:t>the</w:t>
      </w:r>
      <w:r w:rsidRPr="00283806">
        <w:rPr>
          <w:spacing w:val="40"/>
          <w:w w:val="105"/>
        </w:rPr>
        <w:t xml:space="preserve"> </w:t>
      </w:r>
      <w:r w:rsidRPr="00283806">
        <w:rPr>
          <w:w w:val="105"/>
        </w:rPr>
        <w:t>AIM</w:t>
      </w:r>
      <w:r w:rsidRPr="00283806">
        <w:rPr>
          <w:spacing w:val="40"/>
          <w:w w:val="105"/>
        </w:rPr>
        <w:t xml:space="preserve"> </w:t>
      </w:r>
      <w:r w:rsidRPr="00283806">
        <w:rPr>
          <w:w w:val="105"/>
        </w:rPr>
        <w:t>Act</w:t>
      </w:r>
      <w:r w:rsidRPr="00283806">
        <w:rPr>
          <w:spacing w:val="40"/>
          <w:w w:val="105"/>
        </w:rPr>
        <w:t xml:space="preserve"> </w:t>
      </w:r>
      <w:r w:rsidRPr="00283806">
        <w:rPr>
          <w:w w:val="105"/>
        </w:rPr>
        <w:t>do</w:t>
      </w:r>
      <w:r w:rsidRPr="00283806">
        <w:rPr>
          <w:spacing w:val="40"/>
          <w:w w:val="105"/>
        </w:rPr>
        <w:t xml:space="preserve"> </w:t>
      </w:r>
      <w:r w:rsidRPr="00283806">
        <w:rPr>
          <w:w w:val="105"/>
        </w:rPr>
        <w:t>expressly</w:t>
      </w:r>
      <w:r w:rsidRPr="00283806">
        <w:rPr>
          <w:spacing w:val="40"/>
          <w:w w:val="105"/>
        </w:rPr>
        <w:t xml:space="preserve"> </w:t>
      </w:r>
      <w:r w:rsidRPr="00283806">
        <w:rPr>
          <w:w w:val="105"/>
        </w:rPr>
        <w:t>mention the consideration of certain costs, such</w:t>
      </w:r>
      <w:r w:rsidRPr="00283806">
        <w:rPr>
          <w:spacing w:val="80"/>
          <w:w w:val="105"/>
        </w:rPr>
        <w:t xml:space="preserve"> </w:t>
      </w:r>
      <w:r w:rsidRPr="00283806">
        <w:rPr>
          <w:w w:val="105"/>
        </w:rPr>
        <w:t>as subsections (i)(4)(B) and (i)(4)(C), in this rulemaking, the Agency is neither addressing those provisions nor reopening regulations already promulgated under that separate authority. Nothing in the AIM Act requires EPA to consider costs or</w:t>
      </w:r>
      <w:r w:rsidRPr="00283806">
        <w:rPr>
          <w:spacing w:val="80"/>
          <w:w w:val="105"/>
        </w:rPr>
        <w:t xml:space="preserve"> </w:t>
      </w:r>
      <w:r w:rsidRPr="00283806">
        <w:rPr>
          <w:w w:val="105"/>
        </w:rPr>
        <w:t xml:space="preserve">identify any </w:t>
      </w:r>
      <w:proofErr w:type="gramStart"/>
      <w:r w:rsidRPr="00283806">
        <w:rPr>
          <w:w w:val="105"/>
        </w:rPr>
        <w:t>particular cost-based</w:t>
      </w:r>
      <w:proofErr w:type="gramEnd"/>
      <w:r w:rsidRPr="00283806">
        <w:rPr>
          <w:w w:val="105"/>
        </w:rPr>
        <w:t xml:space="preserve"> metric or analytical approach for use in evaluating and establishing regulations</w:t>
      </w:r>
      <w:r w:rsidRPr="00283806">
        <w:rPr>
          <w:spacing w:val="40"/>
          <w:w w:val="105"/>
        </w:rPr>
        <w:t xml:space="preserve"> </w:t>
      </w:r>
      <w:r w:rsidRPr="00283806">
        <w:rPr>
          <w:w w:val="105"/>
        </w:rPr>
        <w:t xml:space="preserve">to implement subsection (h). Subsection (h)(1) does, however, identify </w:t>
      </w:r>
      <w:proofErr w:type="gramStart"/>
      <w:r w:rsidRPr="00283806">
        <w:rPr>
          <w:w w:val="105"/>
        </w:rPr>
        <w:t>particular purposes</w:t>
      </w:r>
      <w:proofErr w:type="gramEnd"/>
      <w:r w:rsidRPr="00283806">
        <w:rPr>
          <w:w w:val="105"/>
        </w:rPr>
        <w:t xml:space="preserve"> that the regulations promulgated under that subsection are</w:t>
      </w:r>
      <w:r w:rsidRPr="00283806">
        <w:rPr>
          <w:spacing w:val="40"/>
          <w:w w:val="105"/>
        </w:rPr>
        <w:t xml:space="preserve"> </w:t>
      </w:r>
      <w:r w:rsidRPr="00283806">
        <w:rPr>
          <w:w w:val="105"/>
        </w:rPr>
        <w:t>to</w:t>
      </w:r>
      <w:r w:rsidRPr="00283806">
        <w:rPr>
          <w:spacing w:val="40"/>
          <w:w w:val="105"/>
        </w:rPr>
        <w:t xml:space="preserve"> </w:t>
      </w:r>
      <w:r w:rsidRPr="00283806">
        <w:rPr>
          <w:w w:val="105"/>
        </w:rPr>
        <w:t>serve,</w:t>
      </w:r>
      <w:r w:rsidRPr="00283806">
        <w:rPr>
          <w:spacing w:val="40"/>
          <w:w w:val="105"/>
        </w:rPr>
        <w:t xml:space="preserve"> </w:t>
      </w:r>
      <w:r w:rsidRPr="00283806">
        <w:rPr>
          <w:w w:val="105"/>
        </w:rPr>
        <w:t>and</w:t>
      </w:r>
      <w:r w:rsidRPr="00283806">
        <w:rPr>
          <w:spacing w:val="40"/>
          <w:w w:val="105"/>
        </w:rPr>
        <w:t xml:space="preserve"> </w:t>
      </w:r>
      <w:r w:rsidRPr="00283806">
        <w:rPr>
          <w:w w:val="105"/>
        </w:rPr>
        <w:t>EPA</w:t>
      </w:r>
      <w:r w:rsidRPr="00283806">
        <w:rPr>
          <w:spacing w:val="40"/>
          <w:w w:val="105"/>
        </w:rPr>
        <w:t xml:space="preserve"> </w:t>
      </w:r>
      <w:r w:rsidRPr="00283806">
        <w:rPr>
          <w:w w:val="105"/>
        </w:rPr>
        <w:t>has</w:t>
      </w:r>
      <w:r w:rsidRPr="00283806">
        <w:rPr>
          <w:spacing w:val="40"/>
          <w:w w:val="105"/>
        </w:rPr>
        <w:t xml:space="preserve"> </w:t>
      </w:r>
      <w:r w:rsidRPr="00283806">
        <w:rPr>
          <w:w w:val="105"/>
        </w:rPr>
        <w:t>focused</w:t>
      </w:r>
      <w:r w:rsidRPr="00283806">
        <w:rPr>
          <w:spacing w:val="40"/>
          <w:w w:val="105"/>
        </w:rPr>
        <w:t xml:space="preserve"> </w:t>
      </w:r>
      <w:r w:rsidRPr="00283806">
        <w:rPr>
          <w:w w:val="105"/>
        </w:rPr>
        <w:t>on serving those purposes in adopting the requirements in this rulemaking. EPA further responds that many of the potential drivers of compliance costs cited by the commenter are uncertain; however, EPA has nonetheless endeavored</w:t>
      </w:r>
      <w:r w:rsidRPr="00283806">
        <w:rPr>
          <w:spacing w:val="40"/>
          <w:w w:val="105"/>
        </w:rPr>
        <w:t xml:space="preserve"> </w:t>
      </w:r>
      <w:r w:rsidRPr="00283806">
        <w:rPr>
          <w:w w:val="105"/>
        </w:rPr>
        <w:t>to</w:t>
      </w:r>
      <w:r w:rsidRPr="00283806">
        <w:rPr>
          <w:spacing w:val="40"/>
          <w:w w:val="105"/>
        </w:rPr>
        <w:t xml:space="preserve"> </w:t>
      </w:r>
      <w:r w:rsidRPr="00283806">
        <w:rPr>
          <w:w w:val="105"/>
        </w:rPr>
        <w:t>include</w:t>
      </w:r>
      <w:r w:rsidRPr="00283806">
        <w:rPr>
          <w:spacing w:val="40"/>
          <w:w w:val="105"/>
        </w:rPr>
        <w:t xml:space="preserve"> </w:t>
      </w:r>
      <w:r w:rsidRPr="00283806">
        <w:rPr>
          <w:w w:val="105"/>
        </w:rPr>
        <w:t>such</w:t>
      </w:r>
      <w:r w:rsidRPr="00283806">
        <w:rPr>
          <w:spacing w:val="40"/>
          <w:w w:val="105"/>
        </w:rPr>
        <w:t xml:space="preserve"> </w:t>
      </w:r>
      <w:r w:rsidRPr="00283806">
        <w:rPr>
          <w:w w:val="105"/>
        </w:rPr>
        <w:t>drivers</w:t>
      </w:r>
      <w:r w:rsidRPr="00283806">
        <w:rPr>
          <w:spacing w:val="40"/>
          <w:w w:val="105"/>
        </w:rPr>
        <w:t xml:space="preserve"> </w:t>
      </w:r>
      <w:r w:rsidRPr="00283806">
        <w:rPr>
          <w:w w:val="105"/>
        </w:rPr>
        <w:t>in its</w:t>
      </w:r>
      <w:r w:rsidRPr="00283806">
        <w:rPr>
          <w:spacing w:val="40"/>
          <w:w w:val="105"/>
        </w:rPr>
        <w:t xml:space="preserve"> </w:t>
      </w:r>
      <w:r w:rsidRPr="00283806">
        <w:rPr>
          <w:w w:val="105"/>
        </w:rPr>
        <w:t>assessment</w:t>
      </w:r>
      <w:r w:rsidRPr="00283806">
        <w:rPr>
          <w:spacing w:val="40"/>
          <w:w w:val="105"/>
        </w:rPr>
        <w:t xml:space="preserve"> </w:t>
      </w:r>
      <w:r w:rsidRPr="00283806">
        <w:rPr>
          <w:w w:val="105"/>
        </w:rPr>
        <w:t>of</w:t>
      </w:r>
      <w:r w:rsidRPr="00283806">
        <w:rPr>
          <w:spacing w:val="40"/>
          <w:w w:val="105"/>
        </w:rPr>
        <w:t xml:space="preserve"> </w:t>
      </w:r>
      <w:r w:rsidRPr="00283806">
        <w:rPr>
          <w:w w:val="105"/>
        </w:rPr>
        <w:t>compliance</w:t>
      </w:r>
      <w:r w:rsidRPr="00283806">
        <w:rPr>
          <w:spacing w:val="40"/>
          <w:w w:val="105"/>
        </w:rPr>
        <w:t xml:space="preserve"> </w:t>
      </w:r>
      <w:r w:rsidRPr="00283806">
        <w:rPr>
          <w:w w:val="105"/>
        </w:rPr>
        <w:t>costs</w:t>
      </w:r>
      <w:r w:rsidRPr="00283806">
        <w:rPr>
          <w:spacing w:val="40"/>
          <w:w w:val="105"/>
        </w:rPr>
        <w:t xml:space="preserve"> </w:t>
      </w:r>
      <w:r w:rsidRPr="00283806">
        <w:rPr>
          <w:w w:val="105"/>
        </w:rPr>
        <w:t>to the extent practicable and based on best available data as detailed in the</w:t>
      </w:r>
      <w:r w:rsidRPr="00283806">
        <w:rPr>
          <w:spacing w:val="40"/>
          <w:w w:val="105"/>
        </w:rPr>
        <w:t xml:space="preserve"> </w:t>
      </w:r>
      <w:r w:rsidRPr="00283806">
        <w:rPr>
          <w:w w:val="105"/>
        </w:rPr>
        <w:t>Economic Impact and Benefits TSD. For</w:t>
      </w:r>
    </w:p>
    <w:p w14:paraId="22328C36"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6" w:space="40"/>
            <w:col w:w="3504" w:space="39"/>
            <w:col w:w="3621"/>
          </w:cols>
        </w:sectPr>
      </w:pPr>
    </w:p>
    <w:p w14:paraId="0839B017" w14:textId="77777777" w:rsidR="00D67C1E" w:rsidRPr="00283806" w:rsidRDefault="001265CA">
      <w:pPr>
        <w:pStyle w:val="BodyText"/>
        <w:spacing w:before="136" w:line="225" w:lineRule="auto"/>
        <w:ind w:right="33"/>
      </w:pPr>
      <w:r w:rsidRPr="00283806">
        <w:rPr>
          <w:w w:val="105"/>
        </w:rPr>
        <w:lastRenderedPageBreak/>
        <w:t>example,</w:t>
      </w:r>
      <w:r w:rsidRPr="00283806">
        <w:rPr>
          <w:spacing w:val="40"/>
          <w:w w:val="105"/>
        </w:rPr>
        <w:t xml:space="preserve"> </w:t>
      </w:r>
      <w:r w:rsidRPr="00283806">
        <w:rPr>
          <w:w w:val="105"/>
        </w:rPr>
        <w:t>regarding</w:t>
      </w:r>
      <w:r w:rsidRPr="00283806">
        <w:rPr>
          <w:spacing w:val="40"/>
          <w:w w:val="105"/>
        </w:rPr>
        <w:t xml:space="preserve"> </w:t>
      </w:r>
      <w:r w:rsidRPr="00283806">
        <w:rPr>
          <w:w w:val="105"/>
        </w:rPr>
        <w:t>costs</w:t>
      </w:r>
      <w:r w:rsidRPr="00283806">
        <w:rPr>
          <w:spacing w:val="40"/>
          <w:w w:val="105"/>
        </w:rPr>
        <w:t xml:space="preserve"> </w:t>
      </w:r>
      <w:r w:rsidRPr="00283806">
        <w:rPr>
          <w:w w:val="105"/>
        </w:rPr>
        <w:t>associated with ALD systems, as noted in the RIA addendum,</w:t>
      </w:r>
      <w:r w:rsidRPr="00283806">
        <w:rPr>
          <w:spacing w:val="40"/>
          <w:w w:val="105"/>
        </w:rPr>
        <w:t xml:space="preserve"> </w:t>
      </w:r>
      <w:r w:rsidRPr="00283806">
        <w:rPr>
          <w:w w:val="105"/>
        </w:rPr>
        <w:t>EPA</w:t>
      </w:r>
      <w:r w:rsidRPr="00283806">
        <w:rPr>
          <w:spacing w:val="40"/>
          <w:w w:val="105"/>
        </w:rPr>
        <w:t xml:space="preserve"> </w:t>
      </w:r>
      <w:r w:rsidRPr="00283806">
        <w:rPr>
          <w:w w:val="105"/>
        </w:rPr>
        <w:t>has</w:t>
      </w:r>
      <w:r w:rsidRPr="00283806">
        <w:rPr>
          <w:spacing w:val="40"/>
          <w:w w:val="105"/>
        </w:rPr>
        <w:t xml:space="preserve"> </w:t>
      </w:r>
      <w:r w:rsidRPr="00283806">
        <w:rPr>
          <w:w w:val="105"/>
        </w:rPr>
        <w:t>included</w:t>
      </w:r>
      <w:r w:rsidRPr="00283806">
        <w:rPr>
          <w:spacing w:val="40"/>
          <w:w w:val="105"/>
        </w:rPr>
        <w:t xml:space="preserve"> </w:t>
      </w:r>
      <w:r w:rsidRPr="00283806">
        <w:rPr>
          <w:w w:val="105"/>
        </w:rPr>
        <w:t>the</w:t>
      </w:r>
      <w:r w:rsidRPr="00283806">
        <w:rPr>
          <w:spacing w:val="40"/>
          <w:w w:val="105"/>
        </w:rPr>
        <w:t xml:space="preserve"> </w:t>
      </w:r>
      <w:r w:rsidRPr="00283806">
        <w:rPr>
          <w:w w:val="105"/>
        </w:rPr>
        <w:t>capital expenditure to purchase the hardware (</w:t>
      </w:r>
      <w:r w:rsidRPr="00283806">
        <w:rPr>
          <w:rFonts w:ascii="Book Antiqua"/>
          <w:i/>
          <w:w w:val="105"/>
        </w:rPr>
        <w:t xml:space="preserve">e.g., </w:t>
      </w:r>
      <w:r w:rsidRPr="00283806">
        <w:rPr>
          <w:w w:val="105"/>
        </w:rPr>
        <w:t>detector, sensors), plus installation costs and operations and maintenance costs associated with</w:t>
      </w:r>
      <w:r w:rsidRPr="00283806">
        <w:rPr>
          <w:spacing w:val="40"/>
          <w:w w:val="105"/>
        </w:rPr>
        <w:t xml:space="preserve"> </w:t>
      </w:r>
      <w:r w:rsidRPr="00283806">
        <w:rPr>
          <w:w w:val="105"/>
        </w:rPr>
        <w:t>annual system maintenance,</w:t>
      </w:r>
      <w:r w:rsidRPr="00283806">
        <w:rPr>
          <w:spacing w:val="80"/>
          <w:w w:val="105"/>
        </w:rPr>
        <w:t xml:space="preserve"> </w:t>
      </w:r>
      <w:r w:rsidRPr="00283806">
        <w:rPr>
          <w:w w:val="105"/>
        </w:rPr>
        <w:t>certification, and data tracking/storage. EPA has also included potential costs associated with retrofit or retirement of equipment with leaks that cannot be repaired, as detailed in the RIA</w:t>
      </w:r>
      <w:r w:rsidRPr="00283806">
        <w:rPr>
          <w:spacing w:val="40"/>
          <w:w w:val="105"/>
        </w:rPr>
        <w:t xml:space="preserve"> </w:t>
      </w:r>
      <w:r w:rsidRPr="00283806">
        <w:rPr>
          <w:w w:val="105"/>
        </w:rPr>
        <w:t>addendum and Economic Impact and Benefits</w:t>
      </w:r>
      <w:r w:rsidRPr="00283806">
        <w:rPr>
          <w:spacing w:val="40"/>
          <w:w w:val="105"/>
        </w:rPr>
        <w:t xml:space="preserve"> </w:t>
      </w:r>
      <w:r w:rsidRPr="00283806">
        <w:rPr>
          <w:w w:val="105"/>
        </w:rPr>
        <w:t>TSD.</w:t>
      </w:r>
      <w:r w:rsidRPr="00283806">
        <w:rPr>
          <w:spacing w:val="40"/>
          <w:w w:val="105"/>
        </w:rPr>
        <w:t xml:space="preserve"> </w:t>
      </w:r>
      <w:r w:rsidRPr="00283806">
        <w:rPr>
          <w:w w:val="105"/>
        </w:rPr>
        <w:t>Finally,</w:t>
      </w:r>
      <w:r w:rsidRPr="00283806">
        <w:rPr>
          <w:spacing w:val="40"/>
          <w:w w:val="105"/>
        </w:rPr>
        <w:t xml:space="preserve"> </w:t>
      </w:r>
      <w:r w:rsidRPr="00283806">
        <w:rPr>
          <w:w w:val="105"/>
        </w:rPr>
        <w:t>regarding</w:t>
      </w:r>
      <w:r w:rsidRPr="00283806">
        <w:rPr>
          <w:spacing w:val="40"/>
          <w:w w:val="105"/>
        </w:rPr>
        <w:t xml:space="preserve"> </w:t>
      </w:r>
      <w:r w:rsidRPr="00283806">
        <w:rPr>
          <w:w w:val="105"/>
        </w:rPr>
        <w:t>the need to re-train technicians and personnel, EPA has included labor costs associated</w:t>
      </w:r>
      <w:r w:rsidRPr="00283806">
        <w:rPr>
          <w:spacing w:val="40"/>
          <w:w w:val="105"/>
        </w:rPr>
        <w:t xml:space="preserve"> </w:t>
      </w:r>
      <w:r w:rsidRPr="00283806">
        <w:rPr>
          <w:w w:val="105"/>
        </w:rPr>
        <w:t>with</w:t>
      </w:r>
      <w:r w:rsidRPr="00283806">
        <w:rPr>
          <w:spacing w:val="40"/>
          <w:w w:val="105"/>
        </w:rPr>
        <w:t xml:space="preserve"> </w:t>
      </w:r>
      <w:r w:rsidRPr="00283806">
        <w:rPr>
          <w:w w:val="105"/>
        </w:rPr>
        <w:t>ALD,</w:t>
      </w:r>
      <w:r w:rsidRPr="00283806">
        <w:rPr>
          <w:spacing w:val="40"/>
          <w:w w:val="105"/>
        </w:rPr>
        <w:t xml:space="preserve"> </w:t>
      </w:r>
      <w:r w:rsidRPr="00283806">
        <w:rPr>
          <w:w w:val="105"/>
        </w:rPr>
        <w:t>leak</w:t>
      </w:r>
      <w:r w:rsidRPr="00283806">
        <w:rPr>
          <w:spacing w:val="40"/>
          <w:w w:val="105"/>
        </w:rPr>
        <w:t xml:space="preserve"> </w:t>
      </w:r>
      <w:r w:rsidRPr="00283806">
        <w:rPr>
          <w:w w:val="105"/>
        </w:rPr>
        <w:t>inspection and repair, cylinder management, and</w:t>
      </w:r>
      <w:r w:rsidRPr="00283806">
        <w:rPr>
          <w:spacing w:val="40"/>
          <w:w w:val="105"/>
        </w:rPr>
        <w:t xml:space="preserve"> </w:t>
      </w:r>
      <w:r w:rsidRPr="00283806">
        <w:rPr>
          <w:w w:val="105"/>
        </w:rPr>
        <w:t>fire suppression activities required by this rule. EPA acknowledges that regular training is an integral part of the job requirements of affected technicians and personnel. The comments did not provide, and EPA is not aware of, data indicating that training requirements contained in this rule would translate</w:t>
      </w:r>
      <w:r w:rsidRPr="00283806">
        <w:rPr>
          <w:spacing w:val="40"/>
          <w:w w:val="105"/>
        </w:rPr>
        <w:t xml:space="preserve"> </w:t>
      </w:r>
      <w:r w:rsidRPr="00283806">
        <w:rPr>
          <w:w w:val="105"/>
        </w:rPr>
        <w:t>into increased labor hours or labor rate assumptions beyond those already included</w:t>
      </w:r>
      <w:r w:rsidRPr="00283806">
        <w:rPr>
          <w:spacing w:val="40"/>
          <w:w w:val="105"/>
        </w:rPr>
        <w:t xml:space="preserve"> </w:t>
      </w:r>
      <w:r w:rsidRPr="00283806">
        <w:rPr>
          <w:w w:val="105"/>
        </w:rPr>
        <w:t>in</w:t>
      </w:r>
      <w:r w:rsidRPr="00283806">
        <w:rPr>
          <w:spacing w:val="40"/>
          <w:w w:val="105"/>
        </w:rPr>
        <w:t xml:space="preserve"> </w:t>
      </w:r>
      <w:r w:rsidRPr="00283806">
        <w:rPr>
          <w:w w:val="105"/>
        </w:rPr>
        <w:t>the</w:t>
      </w:r>
      <w:r w:rsidRPr="00283806">
        <w:rPr>
          <w:spacing w:val="40"/>
          <w:w w:val="105"/>
        </w:rPr>
        <w:t xml:space="preserve"> </w:t>
      </w:r>
      <w:r w:rsidRPr="00283806">
        <w:rPr>
          <w:w w:val="105"/>
        </w:rPr>
        <w:t>analysis</w:t>
      </w:r>
      <w:r w:rsidRPr="00283806">
        <w:rPr>
          <w:spacing w:val="40"/>
          <w:w w:val="105"/>
        </w:rPr>
        <w:t xml:space="preserve"> </w:t>
      </w:r>
      <w:r w:rsidRPr="00283806">
        <w:rPr>
          <w:w w:val="105"/>
        </w:rPr>
        <w:t>contained</w:t>
      </w:r>
      <w:r w:rsidRPr="00283806">
        <w:rPr>
          <w:spacing w:val="40"/>
          <w:w w:val="105"/>
        </w:rPr>
        <w:t xml:space="preserve"> </w:t>
      </w:r>
      <w:r w:rsidRPr="00283806">
        <w:rPr>
          <w:w w:val="105"/>
        </w:rPr>
        <w:t>in the</w:t>
      </w:r>
      <w:r w:rsidRPr="00283806">
        <w:rPr>
          <w:spacing w:val="40"/>
          <w:w w:val="105"/>
        </w:rPr>
        <w:t xml:space="preserve"> </w:t>
      </w:r>
      <w:r w:rsidRPr="00283806">
        <w:rPr>
          <w:w w:val="105"/>
        </w:rPr>
        <w:t>RIA</w:t>
      </w:r>
      <w:r w:rsidRPr="00283806">
        <w:rPr>
          <w:spacing w:val="40"/>
          <w:w w:val="105"/>
        </w:rPr>
        <w:t xml:space="preserve"> </w:t>
      </w:r>
      <w:r w:rsidRPr="00283806">
        <w:rPr>
          <w:w w:val="105"/>
        </w:rPr>
        <w:t>addendum</w:t>
      </w:r>
      <w:r w:rsidRPr="00283806">
        <w:rPr>
          <w:spacing w:val="40"/>
          <w:w w:val="105"/>
        </w:rPr>
        <w:t xml:space="preserve"> </w:t>
      </w:r>
      <w:r w:rsidRPr="00283806">
        <w:rPr>
          <w:w w:val="105"/>
        </w:rPr>
        <w:t>and</w:t>
      </w:r>
      <w:r w:rsidRPr="00283806">
        <w:rPr>
          <w:spacing w:val="40"/>
          <w:w w:val="105"/>
        </w:rPr>
        <w:t xml:space="preserve"> </w:t>
      </w:r>
      <w:r w:rsidRPr="00283806">
        <w:rPr>
          <w:w w:val="105"/>
        </w:rPr>
        <w:t>Economic Impact and Benefits TSD.</w:t>
      </w:r>
    </w:p>
    <w:p w14:paraId="282505E0" w14:textId="77777777" w:rsidR="00D67C1E" w:rsidRPr="00283806" w:rsidRDefault="001265CA">
      <w:pPr>
        <w:pStyle w:val="BodyText"/>
        <w:spacing w:line="159" w:lineRule="exact"/>
        <w:ind w:left="340"/>
      </w:pPr>
      <w:r w:rsidRPr="00283806">
        <w:rPr>
          <w:w w:val="105"/>
        </w:rPr>
        <w:t>Regarding</w:t>
      </w:r>
      <w:r w:rsidRPr="00283806">
        <w:rPr>
          <w:spacing w:val="24"/>
          <w:w w:val="105"/>
        </w:rPr>
        <w:t xml:space="preserve"> </w:t>
      </w:r>
      <w:r w:rsidRPr="00283806">
        <w:rPr>
          <w:w w:val="105"/>
        </w:rPr>
        <w:t>compliance</w:t>
      </w:r>
      <w:r w:rsidRPr="00283806">
        <w:rPr>
          <w:spacing w:val="25"/>
          <w:w w:val="105"/>
        </w:rPr>
        <w:t xml:space="preserve"> </w:t>
      </w:r>
      <w:r w:rsidRPr="00283806">
        <w:rPr>
          <w:spacing w:val="-2"/>
          <w:w w:val="105"/>
        </w:rPr>
        <w:t>timeframes,</w:t>
      </w:r>
    </w:p>
    <w:p w14:paraId="2F5F1999" w14:textId="77777777" w:rsidR="00D67C1E" w:rsidRPr="00283806" w:rsidRDefault="001265CA">
      <w:pPr>
        <w:pStyle w:val="BodyText"/>
        <w:spacing w:before="4" w:line="225" w:lineRule="auto"/>
        <w:ind w:right="78"/>
      </w:pPr>
      <w:r w:rsidRPr="00283806">
        <w:rPr>
          <w:w w:val="105"/>
        </w:rPr>
        <w:t>EPA notes that for many of the</w:t>
      </w:r>
      <w:r w:rsidRPr="00283806">
        <w:rPr>
          <w:spacing w:val="80"/>
          <w:w w:val="105"/>
        </w:rPr>
        <w:t xml:space="preserve"> </w:t>
      </w:r>
      <w:r w:rsidRPr="00283806">
        <w:rPr>
          <w:w w:val="105"/>
        </w:rPr>
        <w:t>provisions contained in the final rule</w:t>
      </w:r>
      <w:r w:rsidRPr="00283806">
        <w:rPr>
          <w:spacing w:val="40"/>
          <w:w w:val="105"/>
        </w:rPr>
        <w:t xml:space="preserve"> </w:t>
      </w:r>
      <w:r w:rsidRPr="00283806">
        <w:rPr>
          <w:w w:val="105"/>
        </w:rPr>
        <w:t>they have been extended relative to</w:t>
      </w:r>
      <w:r w:rsidRPr="00283806">
        <w:rPr>
          <w:spacing w:val="40"/>
          <w:w w:val="105"/>
        </w:rPr>
        <w:t xml:space="preserve"> </w:t>
      </w:r>
      <w:r w:rsidRPr="00283806">
        <w:rPr>
          <w:w w:val="105"/>
        </w:rPr>
        <w:t xml:space="preserve">those contained in the proposed rulemaking, which has the effect of partially mitigating potential fast cash outlays related to compliance deadlines, allowing such costs to be spread over additional time, and allowing additional time for identifying suppliers, obtaining equipment, adjusting supply chains, or acquiring technicians and other personnel training as needed, as well as other steps that are necessary for </w:t>
      </w:r>
      <w:r w:rsidRPr="00283806">
        <w:rPr>
          <w:spacing w:val="-2"/>
          <w:w w:val="105"/>
        </w:rPr>
        <w:t>compliance.</w:t>
      </w:r>
    </w:p>
    <w:p w14:paraId="6E65D766" w14:textId="77777777" w:rsidR="00D67C1E" w:rsidRPr="00283806" w:rsidRDefault="001265CA">
      <w:pPr>
        <w:pStyle w:val="BodyText"/>
        <w:spacing w:line="175" w:lineRule="exact"/>
        <w:ind w:left="340"/>
      </w:pPr>
      <w:r w:rsidRPr="00283806">
        <w:rPr>
          <w:w w:val="105"/>
        </w:rPr>
        <w:t>Regarding</w:t>
      </w:r>
      <w:r w:rsidRPr="00283806">
        <w:rPr>
          <w:spacing w:val="17"/>
          <w:w w:val="105"/>
        </w:rPr>
        <w:t xml:space="preserve"> </w:t>
      </w:r>
      <w:r w:rsidRPr="00283806">
        <w:rPr>
          <w:w w:val="105"/>
        </w:rPr>
        <w:t>supply</w:t>
      </w:r>
      <w:r w:rsidRPr="00283806">
        <w:rPr>
          <w:spacing w:val="18"/>
          <w:w w:val="105"/>
        </w:rPr>
        <w:t xml:space="preserve"> </w:t>
      </w:r>
      <w:r w:rsidRPr="00283806">
        <w:rPr>
          <w:w w:val="105"/>
        </w:rPr>
        <w:t>of</w:t>
      </w:r>
      <w:r w:rsidRPr="00283806">
        <w:rPr>
          <w:spacing w:val="18"/>
          <w:w w:val="105"/>
        </w:rPr>
        <w:t xml:space="preserve"> </w:t>
      </w:r>
      <w:r w:rsidRPr="00283806">
        <w:rPr>
          <w:w w:val="105"/>
        </w:rPr>
        <w:t>reclaimed</w:t>
      </w:r>
      <w:r w:rsidRPr="00283806">
        <w:rPr>
          <w:spacing w:val="17"/>
          <w:w w:val="105"/>
        </w:rPr>
        <w:t xml:space="preserve"> </w:t>
      </w:r>
      <w:r w:rsidRPr="00283806">
        <w:rPr>
          <w:spacing w:val="-2"/>
          <w:w w:val="105"/>
        </w:rPr>
        <w:t>HFCs,</w:t>
      </w:r>
    </w:p>
    <w:p w14:paraId="54055592" w14:textId="77777777" w:rsidR="00D67C1E" w:rsidRPr="00283806" w:rsidRDefault="001265CA">
      <w:pPr>
        <w:pStyle w:val="BodyText"/>
        <w:spacing w:before="3" w:line="225" w:lineRule="auto"/>
        <w:ind w:right="49"/>
      </w:pPr>
      <w:r w:rsidRPr="00283806">
        <w:rPr>
          <w:w w:val="110"/>
        </w:rPr>
        <w:t>EPA</w:t>
      </w:r>
      <w:r w:rsidRPr="00283806">
        <w:rPr>
          <w:spacing w:val="-11"/>
          <w:w w:val="110"/>
        </w:rPr>
        <w:t xml:space="preserve"> </w:t>
      </w:r>
      <w:r w:rsidRPr="00283806">
        <w:rPr>
          <w:w w:val="110"/>
        </w:rPr>
        <w:t>has</w:t>
      </w:r>
      <w:r w:rsidRPr="00283806">
        <w:rPr>
          <w:spacing w:val="-11"/>
          <w:w w:val="110"/>
        </w:rPr>
        <w:t xml:space="preserve"> </w:t>
      </w:r>
      <w:r w:rsidRPr="00283806">
        <w:rPr>
          <w:w w:val="110"/>
        </w:rPr>
        <w:t>provided</w:t>
      </w:r>
      <w:r w:rsidRPr="00283806">
        <w:rPr>
          <w:spacing w:val="-11"/>
          <w:w w:val="110"/>
        </w:rPr>
        <w:t xml:space="preserve"> </w:t>
      </w:r>
      <w:r w:rsidRPr="00283806">
        <w:rPr>
          <w:w w:val="110"/>
        </w:rPr>
        <w:t>data</w:t>
      </w:r>
      <w:r w:rsidRPr="00283806">
        <w:rPr>
          <w:spacing w:val="-11"/>
          <w:w w:val="110"/>
        </w:rPr>
        <w:t xml:space="preserve"> </w:t>
      </w:r>
      <w:r w:rsidRPr="00283806">
        <w:rPr>
          <w:w w:val="110"/>
        </w:rPr>
        <w:t>based</w:t>
      </w:r>
      <w:r w:rsidRPr="00283806">
        <w:rPr>
          <w:spacing w:val="-11"/>
          <w:w w:val="110"/>
        </w:rPr>
        <w:t xml:space="preserve"> </w:t>
      </w:r>
      <w:r w:rsidRPr="00283806">
        <w:rPr>
          <w:w w:val="110"/>
        </w:rPr>
        <w:t>on</w:t>
      </w:r>
      <w:r w:rsidRPr="00283806">
        <w:rPr>
          <w:spacing w:val="-11"/>
          <w:w w:val="110"/>
        </w:rPr>
        <w:t xml:space="preserve"> </w:t>
      </w:r>
      <w:r w:rsidRPr="00283806">
        <w:rPr>
          <w:w w:val="110"/>
        </w:rPr>
        <w:t>results from its Vintaging Model in both the proposed</w:t>
      </w:r>
      <w:r w:rsidRPr="00283806">
        <w:rPr>
          <w:spacing w:val="-2"/>
          <w:w w:val="110"/>
        </w:rPr>
        <w:t xml:space="preserve"> </w:t>
      </w:r>
      <w:r w:rsidRPr="00283806">
        <w:rPr>
          <w:w w:val="110"/>
        </w:rPr>
        <w:t>and</w:t>
      </w:r>
      <w:r w:rsidRPr="00283806">
        <w:rPr>
          <w:spacing w:val="-2"/>
          <w:w w:val="110"/>
        </w:rPr>
        <w:t xml:space="preserve"> </w:t>
      </w:r>
      <w:r w:rsidRPr="00283806">
        <w:rPr>
          <w:w w:val="110"/>
        </w:rPr>
        <w:t>final</w:t>
      </w:r>
      <w:r w:rsidRPr="00283806">
        <w:rPr>
          <w:spacing w:val="-2"/>
          <w:w w:val="110"/>
        </w:rPr>
        <w:t xml:space="preserve"> </w:t>
      </w:r>
      <w:r w:rsidRPr="00283806">
        <w:rPr>
          <w:w w:val="110"/>
        </w:rPr>
        <w:t>rule</w:t>
      </w:r>
      <w:r w:rsidRPr="00283806">
        <w:rPr>
          <w:spacing w:val="-2"/>
          <w:w w:val="110"/>
        </w:rPr>
        <w:t xml:space="preserve"> </w:t>
      </w:r>
      <w:r w:rsidRPr="00283806">
        <w:rPr>
          <w:w w:val="110"/>
        </w:rPr>
        <w:t>RIA</w:t>
      </w:r>
      <w:r w:rsidRPr="00283806">
        <w:rPr>
          <w:spacing w:val="-2"/>
          <w:w w:val="110"/>
        </w:rPr>
        <w:t xml:space="preserve"> </w:t>
      </w:r>
      <w:r w:rsidRPr="00283806">
        <w:rPr>
          <w:w w:val="110"/>
        </w:rPr>
        <w:t>addendum on</w:t>
      </w:r>
      <w:r w:rsidRPr="00283806">
        <w:rPr>
          <w:spacing w:val="-6"/>
          <w:w w:val="110"/>
        </w:rPr>
        <w:t xml:space="preserve"> </w:t>
      </w:r>
      <w:r w:rsidRPr="00283806">
        <w:rPr>
          <w:w w:val="110"/>
        </w:rPr>
        <w:t>the</w:t>
      </w:r>
      <w:r w:rsidRPr="00283806">
        <w:rPr>
          <w:spacing w:val="-6"/>
          <w:w w:val="110"/>
        </w:rPr>
        <w:t xml:space="preserve"> </w:t>
      </w:r>
      <w:r w:rsidRPr="00283806">
        <w:rPr>
          <w:w w:val="110"/>
        </w:rPr>
        <w:t>amount</w:t>
      </w:r>
      <w:r w:rsidRPr="00283806">
        <w:rPr>
          <w:spacing w:val="-6"/>
          <w:w w:val="110"/>
        </w:rPr>
        <w:t xml:space="preserve"> </w:t>
      </w:r>
      <w:r w:rsidRPr="00283806">
        <w:rPr>
          <w:w w:val="110"/>
        </w:rPr>
        <w:t>of</w:t>
      </w:r>
      <w:r w:rsidRPr="00283806">
        <w:rPr>
          <w:spacing w:val="-6"/>
          <w:w w:val="110"/>
        </w:rPr>
        <w:t xml:space="preserve"> </w:t>
      </w:r>
      <w:r w:rsidRPr="00283806">
        <w:rPr>
          <w:w w:val="110"/>
        </w:rPr>
        <w:t>reclaimed</w:t>
      </w:r>
      <w:r w:rsidRPr="00283806">
        <w:rPr>
          <w:spacing w:val="-6"/>
          <w:w w:val="110"/>
        </w:rPr>
        <w:t xml:space="preserve"> </w:t>
      </w:r>
      <w:r w:rsidRPr="00283806">
        <w:rPr>
          <w:w w:val="110"/>
        </w:rPr>
        <w:t xml:space="preserve">refrigerant that would be required to meet the </w:t>
      </w:r>
      <w:r w:rsidRPr="00283806">
        <w:rPr>
          <w:spacing w:val="-2"/>
          <w:w w:val="110"/>
        </w:rPr>
        <w:t>requirements</w:t>
      </w:r>
      <w:r w:rsidRPr="00283806">
        <w:rPr>
          <w:spacing w:val="-9"/>
          <w:w w:val="110"/>
        </w:rPr>
        <w:t xml:space="preserve"> </w:t>
      </w:r>
      <w:r w:rsidRPr="00283806">
        <w:rPr>
          <w:spacing w:val="-2"/>
          <w:w w:val="110"/>
        </w:rPr>
        <w:t>of</w:t>
      </w:r>
      <w:r w:rsidRPr="00283806">
        <w:rPr>
          <w:spacing w:val="-9"/>
          <w:w w:val="110"/>
        </w:rPr>
        <w:t xml:space="preserve"> </w:t>
      </w:r>
      <w:r w:rsidRPr="00283806">
        <w:rPr>
          <w:spacing w:val="-2"/>
          <w:w w:val="110"/>
        </w:rPr>
        <w:t>the</w:t>
      </w:r>
      <w:r w:rsidRPr="00283806">
        <w:rPr>
          <w:spacing w:val="-9"/>
          <w:w w:val="110"/>
        </w:rPr>
        <w:t xml:space="preserve"> </w:t>
      </w:r>
      <w:r w:rsidRPr="00283806">
        <w:rPr>
          <w:spacing w:val="-2"/>
          <w:w w:val="110"/>
        </w:rPr>
        <w:t>rule.</w:t>
      </w:r>
      <w:r w:rsidRPr="00283806">
        <w:rPr>
          <w:spacing w:val="-9"/>
          <w:w w:val="110"/>
        </w:rPr>
        <w:t xml:space="preserve"> </w:t>
      </w:r>
      <w:r w:rsidRPr="00283806">
        <w:rPr>
          <w:spacing w:val="-2"/>
          <w:w w:val="110"/>
        </w:rPr>
        <w:t>EPA</w:t>
      </w:r>
      <w:r w:rsidRPr="00283806">
        <w:rPr>
          <w:spacing w:val="-9"/>
          <w:w w:val="110"/>
        </w:rPr>
        <w:t xml:space="preserve"> </w:t>
      </w:r>
      <w:r w:rsidRPr="00283806">
        <w:rPr>
          <w:spacing w:val="-2"/>
          <w:w w:val="110"/>
        </w:rPr>
        <w:t>notes</w:t>
      </w:r>
      <w:r w:rsidRPr="00283806">
        <w:rPr>
          <w:spacing w:val="-9"/>
          <w:w w:val="110"/>
        </w:rPr>
        <w:t xml:space="preserve"> </w:t>
      </w:r>
      <w:r w:rsidRPr="00283806">
        <w:rPr>
          <w:spacing w:val="-2"/>
          <w:w w:val="110"/>
        </w:rPr>
        <w:t xml:space="preserve">that </w:t>
      </w:r>
      <w:r w:rsidRPr="00283806">
        <w:rPr>
          <w:w w:val="110"/>
        </w:rPr>
        <w:t>this</w:t>
      </w:r>
      <w:r w:rsidRPr="00283806">
        <w:rPr>
          <w:spacing w:val="-11"/>
          <w:w w:val="110"/>
        </w:rPr>
        <w:t xml:space="preserve"> </w:t>
      </w:r>
      <w:r w:rsidRPr="00283806">
        <w:rPr>
          <w:w w:val="110"/>
        </w:rPr>
        <w:t>amount</w:t>
      </w:r>
      <w:r w:rsidRPr="00283806">
        <w:rPr>
          <w:spacing w:val="-11"/>
          <w:w w:val="110"/>
        </w:rPr>
        <w:t xml:space="preserve"> </w:t>
      </w:r>
      <w:r w:rsidRPr="00283806">
        <w:rPr>
          <w:w w:val="110"/>
        </w:rPr>
        <w:t>is</w:t>
      </w:r>
      <w:r w:rsidRPr="00283806">
        <w:rPr>
          <w:spacing w:val="-11"/>
          <w:w w:val="110"/>
        </w:rPr>
        <w:t xml:space="preserve"> </w:t>
      </w:r>
      <w:r w:rsidRPr="00283806">
        <w:rPr>
          <w:w w:val="110"/>
        </w:rPr>
        <w:t>significantly</w:t>
      </w:r>
      <w:r w:rsidRPr="00283806">
        <w:rPr>
          <w:spacing w:val="-11"/>
          <w:w w:val="110"/>
        </w:rPr>
        <w:t xml:space="preserve"> </w:t>
      </w:r>
      <w:r w:rsidRPr="00283806">
        <w:rPr>
          <w:w w:val="110"/>
        </w:rPr>
        <w:t>lower</w:t>
      </w:r>
      <w:r w:rsidRPr="00283806">
        <w:rPr>
          <w:spacing w:val="-11"/>
          <w:w w:val="110"/>
        </w:rPr>
        <w:t xml:space="preserve"> </w:t>
      </w:r>
      <w:r w:rsidRPr="00283806">
        <w:rPr>
          <w:w w:val="110"/>
        </w:rPr>
        <w:t>in</w:t>
      </w:r>
      <w:r w:rsidRPr="00283806">
        <w:rPr>
          <w:spacing w:val="-11"/>
          <w:w w:val="110"/>
        </w:rPr>
        <w:t xml:space="preserve"> </w:t>
      </w:r>
      <w:r w:rsidRPr="00283806">
        <w:rPr>
          <w:w w:val="110"/>
        </w:rPr>
        <w:t xml:space="preserve">the final rule, principally because the Agency is not finalizing, </w:t>
      </w:r>
      <w:proofErr w:type="gramStart"/>
      <w:r w:rsidRPr="00283806">
        <w:rPr>
          <w:w w:val="110"/>
        </w:rPr>
        <w:t>at this time</w:t>
      </w:r>
      <w:proofErr w:type="gramEnd"/>
      <w:r w:rsidRPr="00283806">
        <w:rPr>
          <w:w w:val="110"/>
        </w:rPr>
        <w:t>, requirements for the initial charge of refrigerant-containing</w:t>
      </w:r>
      <w:r w:rsidRPr="00283806">
        <w:rPr>
          <w:spacing w:val="-5"/>
          <w:w w:val="110"/>
        </w:rPr>
        <w:t xml:space="preserve"> </w:t>
      </w:r>
      <w:r w:rsidRPr="00283806">
        <w:rPr>
          <w:w w:val="110"/>
        </w:rPr>
        <w:t>equipment</w:t>
      </w:r>
      <w:r w:rsidRPr="00283806">
        <w:rPr>
          <w:spacing w:val="-5"/>
          <w:w w:val="110"/>
        </w:rPr>
        <w:t xml:space="preserve"> </w:t>
      </w:r>
      <w:r w:rsidRPr="00283806">
        <w:rPr>
          <w:w w:val="110"/>
        </w:rPr>
        <w:t xml:space="preserve">with reclaimed HFCs </w:t>
      </w:r>
      <w:proofErr w:type="gramStart"/>
      <w:r w:rsidRPr="00283806">
        <w:rPr>
          <w:w w:val="110"/>
        </w:rPr>
        <w:t>and also</w:t>
      </w:r>
      <w:proofErr w:type="gramEnd"/>
      <w:r w:rsidRPr="00283806">
        <w:rPr>
          <w:w w:val="110"/>
        </w:rPr>
        <w:t xml:space="preserve"> because EPA is not finalizing, </w:t>
      </w:r>
      <w:proofErr w:type="gramStart"/>
      <w:r w:rsidRPr="00283806">
        <w:rPr>
          <w:w w:val="110"/>
        </w:rPr>
        <w:t>at this time</w:t>
      </w:r>
      <w:proofErr w:type="gramEnd"/>
      <w:r w:rsidRPr="00283806">
        <w:rPr>
          <w:w w:val="110"/>
        </w:rPr>
        <w:t>, the servicing and/or repair of refrigerant</w:t>
      </w:r>
      <w:proofErr w:type="gramStart"/>
      <w:r w:rsidRPr="00283806">
        <w:rPr>
          <w:w w:val="110"/>
        </w:rPr>
        <w:t>- containing</w:t>
      </w:r>
      <w:proofErr w:type="gramEnd"/>
      <w:r w:rsidRPr="00283806">
        <w:rPr>
          <w:spacing w:val="-11"/>
          <w:w w:val="110"/>
        </w:rPr>
        <w:t xml:space="preserve"> </w:t>
      </w:r>
      <w:r w:rsidRPr="00283806">
        <w:rPr>
          <w:w w:val="110"/>
        </w:rPr>
        <w:t>equipment</w:t>
      </w:r>
      <w:r w:rsidRPr="00283806">
        <w:rPr>
          <w:spacing w:val="-11"/>
          <w:w w:val="110"/>
        </w:rPr>
        <w:t xml:space="preserve"> </w:t>
      </w:r>
      <w:r w:rsidRPr="00283806">
        <w:rPr>
          <w:w w:val="110"/>
        </w:rPr>
        <w:t>in</w:t>
      </w:r>
      <w:r w:rsidRPr="00283806">
        <w:rPr>
          <w:spacing w:val="-11"/>
          <w:w w:val="110"/>
        </w:rPr>
        <w:t xml:space="preserve"> </w:t>
      </w:r>
      <w:r w:rsidRPr="00283806">
        <w:rPr>
          <w:w w:val="110"/>
        </w:rPr>
        <w:t>one</w:t>
      </w:r>
      <w:r w:rsidRPr="00283806">
        <w:rPr>
          <w:spacing w:val="-11"/>
          <w:w w:val="110"/>
        </w:rPr>
        <w:t xml:space="preserve"> </w:t>
      </w:r>
      <w:r w:rsidRPr="00283806">
        <w:rPr>
          <w:w w:val="110"/>
        </w:rPr>
        <w:t>of</w:t>
      </w:r>
      <w:r w:rsidRPr="00283806">
        <w:rPr>
          <w:spacing w:val="-11"/>
          <w:w w:val="110"/>
        </w:rPr>
        <w:t xml:space="preserve"> </w:t>
      </w:r>
      <w:r w:rsidRPr="00283806">
        <w:rPr>
          <w:w w:val="110"/>
        </w:rPr>
        <w:t>the</w:t>
      </w:r>
      <w:r w:rsidRPr="00283806">
        <w:rPr>
          <w:spacing w:val="-11"/>
          <w:w w:val="110"/>
        </w:rPr>
        <w:t xml:space="preserve"> </w:t>
      </w:r>
      <w:r w:rsidRPr="00283806">
        <w:rPr>
          <w:w w:val="110"/>
        </w:rPr>
        <w:t>four proposed RACHP subsectors. Although EPA responds to one comment providing analysis on supply of reclaimed</w:t>
      </w:r>
      <w:r w:rsidRPr="00283806">
        <w:rPr>
          <w:spacing w:val="-11"/>
          <w:w w:val="110"/>
        </w:rPr>
        <w:t xml:space="preserve"> </w:t>
      </w:r>
      <w:r w:rsidRPr="00283806">
        <w:rPr>
          <w:w w:val="110"/>
        </w:rPr>
        <w:t>refrigerants</w:t>
      </w:r>
      <w:r w:rsidRPr="00283806">
        <w:rPr>
          <w:spacing w:val="-11"/>
          <w:w w:val="110"/>
        </w:rPr>
        <w:t xml:space="preserve"> </w:t>
      </w:r>
      <w:r w:rsidRPr="00283806">
        <w:rPr>
          <w:w w:val="110"/>
        </w:rPr>
        <w:t>in</w:t>
      </w:r>
      <w:r w:rsidRPr="00283806">
        <w:rPr>
          <w:spacing w:val="-11"/>
          <w:w w:val="110"/>
        </w:rPr>
        <w:t xml:space="preserve"> </w:t>
      </w:r>
      <w:r w:rsidRPr="00283806">
        <w:rPr>
          <w:w w:val="110"/>
        </w:rPr>
        <w:t>section</w:t>
      </w:r>
      <w:r w:rsidRPr="00283806">
        <w:rPr>
          <w:spacing w:val="-11"/>
          <w:w w:val="110"/>
        </w:rPr>
        <w:t xml:space="preserve"> </w:t>
      </w:r>
      <w:r w:rsidRPr="00283806">
        <w:rPr>
          <w:w w:val="110"/>
        </w:rPr>
        <w:t>IV.E.1, this</w:t>
      </w:r>
      <w:r w:rsidRPr="00283806">
        <w:rPr>
          <w:spacing w:val="-8"/>
          <w:w w:val="110"/>
        </w:rPr>
        <w:t xml:space="preserve"> </w:t>
      </w:r>
      <w:r w:rsidRPr="00283806">
        <w:rPr>
          <w:w w:val="110"/>
        </w:rPr>
        <w:t>commenter</w:t>
      </w:r>
      <w:r w:rsidRPr="00283806">
        <w:rPr>
          <w:spacing w:val="-8"/>
          <w:w w:val="110"/>
        </w:rPr>
        <w:t xml:space="preserve"> </w:t>
      </w:r>
      <w:r w:rsidRPr="00283806">
        <w:rPr>
          <w:w w:val="110"/>
        </w:rPr>
        <w:t>did</w:t>
      </w:r>
      <w:r w:rsidRPr="00283806">
        <w:rPr>
          <w:spacing w:val="-8"/>
          <w:w w:val="110"/>
        </w:rPr>
        <w:t xml:space="preserve"> </w:t>
      </w:r>
      <w:r w:rsidRPr="00283806">
        <w:rPr>
          <w:w w:val="110"/>
        </w:rPr>
        <w:t>not</w:t>
      </w:r>
      <w:r w:rsidRPr="00283806">
        <w:rPr>
          <w:spacing w:val="-8"/>
          <w:w w:val="110"/>
        </w:rPr>
        <w:t xml:space="preserve"> </w:t>
      </w:r>
      <w:r w:rsidRPr="00283806">
        <w:rPr>
          <w:w w:val="110"/>
        </w:rPr>
        <w:t>provide</w:t>
      </w:r>
      <w:r w:rsidRPr="00283806">
        <w:rPr>
          <w:spacing w:val="-8"/>
          <w:w w:val="110"/>
        </w:rPr>
        <w:t xml:space="preserve"> </w:t>
      </w:r>
      <w:r w:rsidRPr="00283806">
        <w:rPr>
          <w:w w:val="110"/>
        </w:rPr>
        <w:t>data</w:t>
      </w:r>
      <w:r w:rsidRPr="00283806">
        <w:rPr>
          <w:spacing w:val="-8"/>
          <w:w w:val="110"/>
        </w:rPr>
        <w:t xml:space="preserve"> </w:t>
      </w:r>
      <w:r w:rsidRPr="00283806">
        <w:rPr>
          <w:w w:val="110"/>
        </w:rPr>
        <w:t>to</w:t>
      </w:r>
    </w:p>
    <w:p w14:paraId="6BB0A312" w14:textId="77777777" w:rsidR="00D67C1E" w:rsidRPr="00283806" w:rsidRDefault="001265CA">
      <w:pPr>
        <w:pStyle w:val="BodyText"/>
        <w:spacing w:before="136" w:line="225" w:lineRule="auto"/>
        <w:ind w:left="143" w:right="97"/>
      </w:pPr>
      <w:r w:rsidRPr="00283806">
        <w:br w:type="column"/>
      </w:r>
      <w:r w:rsidRPr="00283806">
        <w:rPr>
          <w:w w:val="105"/>
        </w:rPr>
        <w:t>EPA indicating that there would be a shortfall in supply of reclaimed refrigerant, nor does EPA anticipate</w:t>
      </w:r>
      <w:r w:rsidRPr="00283806">
        <w:rPr>
          <w:spacing w:val="40"/>
          <w:w w:val="105"/>
        </w:rPr>
        <w:t xml:space="preserve"> </w:t>
      </w:r>
      <w:r w:rsidRPr="00283806">
        <w:rPr>
          <w:w w:val="105"/>
        </w:rPr>
        <w:t xml:space="preserve">such a shortfall based on estimated supply and demand of refrigerant using the Vintaging Model. For more information regarding supply of reclaimed HFCs, see responses to comments in </w:t>
      </w:r>
      <w:proofErr w:type="gramStart"/>
      <w:r w:rsidRPr="00283806">
        <w:rPr>
          <w:w w:val="105"/>
        </w:rPr>
        <w:t>section</w:t>
      </w:r>
      <w:proofErr w:type="gramEnd"/>
      <w:r w:rsidRPr="00283806">
        <w:rPr>
          <w:w w:val="105"/>
        </w:rPr>
        <w:t xml:space="preserve"> IV.E.1 and IV.E.2.</w:t>
      </w:r>
    </w:p>
    <w:p w14:paraId="726CCBFE" w14:textId="77777777" w:rsidR="00D67C1E" w:rsidRPr="00283806" w:rsidRDefault="001265CA">
      <w:pPr>
        <w:pStyle w:val="BodyText"/>
        <w:spacing w:line="177" w:lineRule="exact"/>
        <w:ind w:left="323"/>
      </w:pPr>
      <w:r w:rsidRPr="00283806">
        <w:rPr>
          <w:w w:val="105"/>
        </w:rPr>
        <w:t>Regarding</w:t>
      </w:r>
      <w:r w:rsidRPr="00283806">
        <w:rPr>
          <w:spacing w:val="22"/>
          <w:w w:val="105"/>
        </w:rPr>
        <w:t xml:space="preserve"> </w:t>
      </w:r>
      <w:proofErr w:type="gramStart"/>
      <w:r w:rsidRPr="00283806">
        <w:rPr>
          <w:w w:val="105"/>
        </w:rPr>
        <w:t>supply</w:t>
      </w:r>
      <w:proofErr w:type="gramEnd"/>
      <w:r w:rsidRPr="00283806">
        <w:rPr>
          <w:spacing w:val="22"/>
          <w:w w:val="105"/>
        </w:rPr>
        <w:t xml:space="preserve"> </w:t>
      </w:r>
      <w:r w:rsidRPr="00283806">
        <w:rPr>
          <w:w w:val="105"/>
        </w:rPr>
        <w:t>of</w:t>
      </w:r>
      <w:r w:rsidRPr="00283806">
        <w:rPr>
          <w:spacing w:val="22"/>
          <w:w w:val="105"/>
        </w:rPr>
        <w:t xml:space="preserve"> </w:t>
      </w:r>
      <w:r w:rsidRPr="00283806">
        <w:rPr>
          <w:w w:val="105"/>
        </w:rPr>
        <w:t>ALD</w:t>
      </w:r>
      <w:r w:rsidRPr="00283806">
        <w:rPr>
          <w:spacing w:val="22"/>
          <w:w w:val="105"/>
        </w:rPr>
        <w:t xml:space="preserve"> </w:t>
      </w:r>
      <w:r w:rsidRPr="00283806">
        <w:rPr>
          <w:spacing w:val="-2"/>
          <w:w w:val="105"/>
        </w:rPr>
        <w:t>systems,</w:t>
      </w:r>
    </w:p>
    <w:p w14:paraId="52DAC330" w14:textId="77777777" w:rsidR="00D67C1E" w:rsidRPr="00283806" w:rsidRDefault="001265CA">
      <w:pPr>
        <w:pStyle w:val="BodyText"/>
        <w:spacing w:before="3" w:line="225" w:lineRule="auto"/>
        <w:ind w:left="143" w:right="62"/>
      </w:pPr>
      <w:r w:rsidRPr="00283806">
        <w:rPr>
          <w:w w:val="105"/>
        </w:rPr>
        <w:t>EPA has extended the compliance deadline for the installation and use of ALD systems for both new and existing IPR and commercial refrigeration appliances</w:t>
      </w:r>
      <w:r w:rsidRPr="00283806">
        <w:rPr>
          <w:spacing w:val="40"/>
          <w:w w:val="105"/>
        </w:rPr>
        <w:t xml:space="preserve"> </w:t>
      </w:r>
      <w:r w:rsidRPr="00283806">
        <w:rPr>
          <w:w w:val="105"/>
        </w:rPr>
        <w:t>above</w:t>
      </w:r>
      <w:r w:rsidRPr="00283806">
        <w:rPr>
          <w:spacing w:val="40"/>
          <w:w w:val="105"/>
        </w:rPr>
        <w:t xml:space="preserve"> </w:t>
      </w:r>
      <w:r w:rsidRPr="00283806">
        <w:rPr>
          <w:w w:val="105"/>
        </w:rPr>
        <w:t>1,500</w:t>
      </w:r>
      <w:r w:rsidRPr="00283806">
        <w:rPr>
          <w:spacing w:val="40"/>
          <w:w w:val="105"/>
        </w:rPr>
        <w:t xml:space="preserve"> </w:t>
      </w:r>
      <w:r w:rsidRPr="00283806">
        <w:rPr>
          <w:w w:val="105"/>
        </w:rPr>
        <w:t>pounds.</w:t>
      </w:r>
      <w:r w:rsidRPr="00283806">
        <w:rPr>
          <w:spacing w:val="40"/>
          <w:w w:val="105"/>
        </w:rPr>
        <w:t xml:space="preserve"> </w:t>
      </w:r>
      <w:r w:rsidRPr="00283806">
        <w:rPr>
          <w:w w:val="105"/>
        </w:rPr>
        <w:t>EPA has also narrowed the scope of affected existing IPR and commercial refrigeration refrigerant-containing appliances to such appliances that were installed after January 1, 2017. This will ensure that there is an adequate supply of ALD systems for entities affected by the ALD installation and use requirements in this final rule. Further discussion</w:t>
      </w:r>
      <w:r w:rsidRPr="00283806">
        <w:rPr>
          <w:spacing w:val="40"/>
          <w:w w:val="105"/>
        </w:rPr>
        <w:t xml:space="preserve"> </w:t>
      </w:r>
      <w:r w:rsidRPr="00283806">
        <w:rPr>
          <w:w w:val="105"/>
        </w:rPr>
        <w:t>on</w:t>
      </w:r>
      <w:r w:rsidRPr="00283806">
        <w:rPr>
          <w:spacing w:val="40"/>
          <w:w w:val="105"/>
        </w:rPr>
        <w:t xml:space="preserve"> </w:t>
      </w:r>
      <w:r w:rsidRPr="00283806">
        <w:rPr>
          <w:w w:val="105"/>
        </w:rPr>
        <w:t>the</w:t>
      </w:r>
      <w:r w:rsidRPr="00283806">
        <w:rPr>
          <w:spacing w:val="40"/>
          <w:w w:val="105"/>
        </w:rPr>
        <w:t xml:space="preserve"> </w:t>
      </w:r>
      <w:r w:rsidRPr="00283806">
        <w:rPr>
          <w:w w:val="105"/>
        </w:rPr>
        <w:t>supply</w:t>
      </w:r>
      <w:r w:rsidRPr="00283806">
        <w:rPr>
          <w:spacing w:val="40"/>
          <w:w w:val="105"/>
        </w:rPr>
        <w:t xml:space="preserve"> </w:t>
      </w:r>
      <w:r w:rsidRPr="00283806">
        <w:rPr>
          <w:w w:val="105"/>
        </w:rPr>
        <w:t>of</w:t>
      </w:r>
      <w:r w:rsidRPr="00283806">
        <w:rPr>
          <w:spacing w:val="40"/>
          <w:w w:val="105"/>
        </w:rPr>
        <w:t xml:space="preserve"> </w:t>
      </w:r>
      <w:r w:rsidRPr="00283806">
        <w:rPr>
          <w:w w:val="105"/>
        </w:rPr>
        <w:t>ALD systems can be found in section IV.D.1.</w:t>
      </w:r>
    </w:p>
    <w:p w14:paraId="2D7EE247" w14:textId="77777777" w:rsidR="00D67C1E" w:rsidRPr="00283806" w:rsidRDefault="001265CA">
      <w:pPr>
        <w:pStyle w:val="BodyText"/>
        <w:spacing w:line="174" w:lineRule="exact"/>
        <w:ind w:left="323"/>
      </w:pPr>
      <w:r w:rsidRPr="00283806">
        <w:rPr>
          <w:w w:val="105"/>
        </w:rPr>
        <w:t>Although</w:t>
      </w:r>
      <w:r w:rsidRPr="00283806">
        <w:rPr>
          <w:spacing w:val="11"/>
          <w:w w:val="105"/>
        </w:rPr>
        <w:t xml:space="preserve"> </w:t>
      </w:r>
      <w:r w:rsidRPr="00283806">
        <w:rPr>
          <w:w w:val="105"/>
        </w:rPr>
        <w:t>the</w:t>
      </w:r>
      <w:r w:rsidRPr="00283806">
        <w:rPr>
          <w:spacing w:val="11"/>
          <w:w w:val="105"/>
        </w:rPr>
        <w:t xml:space="preserve"> </w:t>
      </w:r>
      <w:r w:rsidRPr="00283806">
        <w:rPr>
          <w:w w:val="105"/>
        </w:rPr>
        <w:t>2023</w:t>
      </w:r>
      <w:r w:rsidRPr="00283806">
        <w:rPr>
          <w:spacing w:val="11"/>
          <w:w w:val="105"/>
        </w:rPr>
        <w:t xml:space="preserve"> </w:t>
      </w:r>
      <w:r w:rsidRPr="00283806">
        <w:rPr>
          <w:spacing w:val="-2"/>
          <w:w w:val="105"/>
        </w:rPr>
        <w:t>Technology</w:t>
      </w:r>
    </w:p>
    <w:p w14:paraId="77BB8F76" w14:textId="77777777" w:rsidR="00D67C1E" w:rsidRPr="00283806" w:rsidRDefault="001265CA">
      <w:pPr>
        <w:pStyle w:val="BodyText"/>
        <w:spacing w:before="4" w:line="225" w:lineRule="auto"/>
        <w:ind w:left="143" w:right="48"/>
      </w:pPr>
      <w:r w:rsidRPr="00283806">
        <w:rPr>
          <w:w w:val="105"/>
        </w:rPr>
        <w:t>Transitions Rule is not addressed or reopened in this final rule, as the commenter claimed, provisions of that rule may lead retailers in the future to use alternatives that would not be subject to the provision of this rule.</w:t>
      </w:r>
      <w:r w:rsidRPr="00283806">
        <w:rPr>
          <w:spacing w:val="80"/>
          <w:w w:val="105"/>
        </w:rPr>
        <w:t xml:space="preserve"> </w:t>
      </w:r>
      <w:r w:rsidRPr="00283806">
        <w:rPr>
          <w:w w:val="105"/>
        </w:rPr>
        <w:t>(</w:t>
      </w:r>
      <w:r w:rsidRPr="00283806">
        <w:rPr>
          <w:rFonts w:ascii="Book Antiqua" w:hAnsi="Book Antiqua"/>
          <w:i/>
          <w:w w:val="105"/>
        </w:rPr>
        <w:t xml:space="preserve">e.g., </w:t>
      </w:r>
      <w:r w:rsidRPr="00283806">
        <w:rPr>
          <w:w w:val="105"/>
        </w:rPr>
        <w:t>alternatives that do not include a regulated substance or otherwise have a GWP equal to or below 53). Based on its analysis, EPA finds that the 2023 Technology Transitions Rule has the effect of reducing estimated compliance costs associated with the final ER&amp;R Rule. As industry transitions away from higher-GWP HFCs in response to the 2023 Technology Transitions Rule it is expected to reduce the overall amount</w:t>
      </w:r>
      <w:r w:rsidRPr="00283806">
        <w:rPr>
          <w:spacing w:val="80"/>
          <w:w w:val="105"/>
        </w:rPr>
        <w:t xml:space="preserve"> </w:t>
      </w:r>
      <w:r w:rsidRPr="00283806">
        <w:rPr>
          <w:w w:val="105"/>
        </w:rPr>
        <w:t>of equipment effected by the final ER&amp;R Rule requirements (</w:t>
      </w:r>
      <w:r w:rsidRPr="00283806">
        <w:rPr>
          <w:rFonts w:ascii="Book Antiqua" w:hAnsi="Book Antiqua"/>
          <w:i/>
          <w:w w:val="105"/>
        </w:rPr>
        <w:t xml:space="preserve">i.e., </w:t>
      </w:r>
      <w:r w:rsidRPr="00283806">
        <w:rPr>
          <w:w w:val="105"/>
        </w:rPr>
        <w:t>appliances that use an HFC or substitute for an HFC</w:t>
      </w:r>
      <w:r w:rsidRPr="00283806">
        <w:rPr>
          <w:spacing w:val="80"/>
          <w:w w:val="105"/>
        </w:rPr>
        <w:t xml:space="preserve"> </w:t>
      </w:r>
      <w:r w:rsidRPr="00283806">
        <w:rPr>
          <w:w w:val="105"/>
        </w:rPr>
        <w:t>with a GWP greater than 53). However, EPA disagrees with the commenter’s assertion that the requirements are unnecessary and notes that the justification for the requirements are explained in the sections of the</w:t>
      </w:r>
      <w:r w:rsidRPr="00283806">
        <w:rPr>
          <w:spacing w:val="80"/>
          <w:w w:val="105"/>
        </w:rPr>
        <w:t xml:space="preserve"> </w:t>
      </w:r>
      <w:r w:rsidRPr="00283806">
        <w:rPr>
          <w:w w:val="105"/>
        </w:rPr>
        <w:t>preamble discussing the respective requirements, as well as in the relevant sections of the proposal. EPA also disagrees with the commenters’ assertions that the requirements will result in little practical gain. EPA’s analysis describing the benefits of these requirements can be found in the RIA addendum and the Economic Impact</w:t>
      </w:r>
      <w:r w:rsidRPr="00283806">
        <w:rPr>
          <w:spacing w:val="80"/>
          <w:w w:val="105"/>
        </w:rPr>
        <w:t xml:space="preserve"> </w:t>
      </w:r>
      <w:r w:rsidRPr="00283806">
        <w:rPr>
          <w:w w:val="105"/>
        </w:rPr>
        <w:t>and Benefits TSD for this rule.</w:t>
      </w:r>
    </w:p>
    <w:p w14:paraId="717BA19E" w14:textId="77777777" w:rsidR="00D67C1E" w:rsidRPr="00283806" w:rsidRDefault="001265CA">
      <w:pPr>
        <w:pStyle w:val="BodyText"/>
        <w:spacing w:line="156" w:lineRule="exact"/>
        <w:ind w:left="323"/>
      </w:pPr>
      <w:r w:rsidRPr="00283806">
        <w:rPr>
          <w:w w:val="105"/>
        </w:rPr>
        <w:t>EPA</w:t>
      </w:r>
      <w:r w:rsidRPr="00283806">
        <w:rPr>
          <w:spacing w:val="13"/>
          <w:w w:val="105"/>
        </w:rPr>
        <w:t xml:space="preserve"> </w:t>
      </w:r>
      <w:r w:rsidRPr="00283806">
        <w:rPr>
          <w:w w:val="105"/>
        </w:rPr>
        <w:t>also</w:t>
      </w:r>
      <w:r w:rsidRPr="00283806">
        <w:rPr>
          <w:spacing w:val="13"/>
          <w:w w:val="105"/>
        </w:rPr>
        <w:t xml:space="preserve"> </w:t>
      </w:r>
      <w:r w:rsidRPr="00283806">
        <w:rPr>
          <w:w w:val="105"/>
        </w:rPr>
        <w:t>disagrees</w:t>
      </w:r>
      <w:r w:rsidRPr="00283806">
        <w:rPr>
          <w:spacing w:val="13"/>
          <w:w w:val="105"/>
        </w:rPr>
        <w:t xml:space="preserve"> </w:t>
      </w:r>
      <w:r w:rsidRPr="00283806">
        <w:rPr>
          <w:w w:val="105"/>
        </w:rPr>
        <w:t>with</w:t>
      </w:r>
      <w:r w:rsidRPr="00283806">
        <w:rPr>
          <w:spacing w:val="13"/>
          <w:w w:val="105"/>
        </w:rPr>
        <w:t xml:space="preserve"> </w:t>
      </w:r>
      <w:r w:rsidRPr="00283806">
        <w:rPr>
          <w:spacing w:val="-5"/>
          <w:w w:val="105"/>
        </w:rPr>
        <w:t>the</w:t>
      </w:r>
    </w:p>
    <w:p w14:paraId="2EF41F10" w14:textId="77777777" w:rsidR="00D67C1E" w:rsidRPr="00283806" w:rsidRDefault="001265CA">
      <w:pPr>
        <w:pStyle w:val="BodyText"/>
        <w:spacing w:before="3" w:line="228" w:lineRule="auto"/>
        <w:ind w:left="143" w:right="62"/>
      </w:pPr>
      <w:r w:rsidRPr="00283806">
        <w:rPr>
          <w:w w:val="105"/>
        </w:rPr>
        <w:t>commenter’s assertions that equipment covered under this rule’s provisions will become obsolete due to the HFC phasedown under the AIM Act, and that the rule’s provisions are therefore</w:t>
      </w:r>
    </w:p>
    <w:p w14:paraId="66587B9B" w14:textId="77777777" w:rsidR="00D67C1E" w:rsidRPr="00283806" w:rsidRDefault="001265CA">
      <w:pPr>
        <w:pStyle w:val="BodyText"/>
        <w:spacing w:before="135" w:line="225" w:lineRule="auto"/>
        <w:ind w:left="144" w:right="160"/>
      </w:pPr>
      <w:r w:rsidRPr="00283806">
        <w:br w:type="column"/>
      </w:r>
      <w:r w:rsidRPr="00283806">
        <w:rPr>
          <w:w w:val="105"/>
        </w:rPr>
        <w:t>adding unnecessary regulatory burden without providing additional benefits. Provisions promulgated in this rulemaking have compliance dates beginning between 2026–2030 and</w:t>
      </w:r>
      <w:r w:rsidRPr="00283806">
        <w:rPr>
          <w:spacing w:val="40"/>
          <w:w w:val="105"/>
        </w:rPr>
        <w:t xml:space="preserve"> </w:t>
      </w:r>
      <w:r w:rsidRPr="00283806">
        <w:rPr>
          <w:w w:val="105"/>
        </w:rPr>
        <w:t>cover a broad range of new and existing equipment that will use regulated substances or substitutes for a regulated substance with GWPs greater than 53 after the last phasedown step is scheduled to occur in 2036. While these compliance dates overlap with the compliance timelines established for</w:t>
      </w:r>
      <w:r w:rsidRPr="00283806">
        <w:rPr>
          <w:spacing w:val="40"/>
          <w:w w:val="105"/>
        </w:rPr>
        <w:t xml:space="preserve"> </w:t>
      </w:r>
      <w:r w:rsidRPr="00283806">
        <w:rPr>
          <w:w w:val="105"/>
        </w:rPr>
        <w:t>new equipment under the 2023 Technology Transitions Rule, some new refrigerant-containing equipment purchased after the applicable compliance date for the sector or subsector in the 2023 Technology Transitions Rule will still use regulated substances or substitutes with GWPs greater than 53 and thus will be subject to the regulations established under the ER&amp;R program. Additionally, existing equipment that is not subject to requirements under the 2023 Technology</w:t>
      </w:r>
      <w:r w:rsidRPr="00283806">
        <w:rPr>
          <w:spacing w:val="40"/>
          <w:w w:val="105"/>
        </w:rPr>
        <w:t xml:space="preserve"> </w:t>
      </w:r>
      <w:r w:rsidRPr="00283806">
        <w:rPr>
          <w:w w:val="105"/>
        </w:rPr>
        <w:t>Transitions</w:t>
      </w:r>
      <w:r w:rsidRPr="00283806">
        <w:rPr>
          <w:spacing w:val="40"/>
          <w:w w:val="105"/>
        </w:rPr>
        <w:t xml:space="preserve"> </w:t>
      </w:r>
      <w:r w:rsidRPr="00283806">
        <w:rPr>
          <w:w w:val="105"/>
        </w:rPr>
        <w:t>Rule</w:t>
      </w:r>
      <w:r w:rsidRPr="00283806">
        <w:rPr>
          <w:spacing w:val="40"/>
          <w:w w:val="105"/>
        </w:rPr>
        <w:t xml:space="preserve"> </w:t>
      </w:r>
      <w:r w:rsidRPr="00283806">
        <w:rPr>
          <w:w w:val="105"/>
        </w:rPr>
        <w:t>will</w:t>
      </w:r>
      <w:r w:rsidRPr="00283806">
        <w:rPr>
          <w:spacing w:val="40"/>
          <w:w w:val="105"/>
        </w:rPr>
        <w:t xml:space="preserve"> </w:t>
      </w:r>
      <w:r w:rsidRPr="00283806">
        <w:rPr>
          <w:w w:val="105"/>
        </w:rPr>
        <w:t>still be subject to the ER&amp;R program’s provisions</w:t>
      </w:r>
      <w:r w:rsidRPr="00283806">
        <w:rPr>
          <w:spacing w:val="40"/>
          <w:w w:val="105"/>
        </w:rPr>
        <w:t xml:space="preserve"> </w:t>
      </w:r>
      <w:r w:rsidRPr="00283806">
        <w:rPr>
          <w:w w:val="105"/>
        </w:rPr>
        <w:t>until</w:t>
      </w:r>
      <w:r w:rsidRPr="00283806">
        <w:rPr>
          <w:spacing w:val="40"/>
          <w:w w:val="105"/>
        </w:rPr>
        <w:t xml:space="preserve"> </w:t>
      </w:r>
      <w:r w:rsidRPr="00283806">
        <w:rPr>
          <w:w w:val="105"/>
        </w:rPr>
        <w:t>the</w:t>
      </w:r>
      <w:r w:rsidRPr="00283806">
        <w:rPr>
          <w:spacing w:val="40"/>
          <w:w w:val="105"/>
        </w:rPr>
        <w:t xml:space="preserve"> </w:t>
      </w:r>
      <w:r w:rsidRPr="00283806">
        <w:rPr>
          <w:w w:val="105"/>
        </w:rPr>
        <w:t>end</w:t>
      </w:r>
      <w:r w:rsidRPr="00283806">
        <w:rPr>
          <w:spacing w:val="40"/>
          <w:w w:val="105"/>
        </w:rPr>
        <w:t xml:space="preserve"> </w:t>
      </w:r>
      <w:r w:rsidRPr="00283806">
        <w:rPr>
          <w:w w:val="105"/>
        </w:rPr>
        <w:t>of</w:t>
      </w:r>
      <w:r w:rsidRPr="00283806">
        <w:rPr>
          <w:spacing w:val="40"/>
          <w:w w:val="105"/>
        </w:rPr>
        <w:t xml:space="preserve"> </w:t>
      </w:r>
      <w:r w:rsidRPr="00283806">
        <w:rPr>
          <w:w w:val="105"/>
        </w:rPr>
        <w:t>its</w:t>
      </w:r>
      <w:r w:rsidRPr="00283806">
        <w:rPr>
          <w:spacing w:val="40"/>
          <w:w w:val="105"/>
        </w:rPr>
        <w:t xml:space="preserve"> </w:t>
      </w:r>
      <w:r w:rsidRPr="00283806">
        <w:rPr>
          <w:w w:val="105"/>
        </w:rPr>
        <w:t xml:space="preserve">useful life. Thus, by promulgating regulations intended to maximize reclamation and minimize release of HFCs from equipment in this rulemaking, EPA is addressing equipment, practices, and activities that are not specifically addressed under other AIM Act </w:t>
      </w:r>
      <w:r w:rsidRPr="00283806">
        <w:rPr>
          <w:spacing w:val="-2"/>
          <w:w w:val="105"/>
        </w:rPr>
        <w:t>programs.</w:t>
      </w:r>
    </w:p>
    <w:p w14:paraId="6B8ADE7E" w14:textId="77777777" w:rsidR="00D67C1E" w:rsidRPr="00283806" w:rsidRDefault="001265CA">
      <w:pPr>
        <w:spacing w:line="172" w:lineRule="exact"/>
        <w:ind w:left="324"/>
        <w:rPr>
          <w:sz w:val="18"/>
        </w:rPr>
      </w:pPr>
      <w:r w:rsidRPr="00283806">
        <w:rPr>
          <w:rFonts w:ascii="Book Antiqua"/>
          <w:i/>
          <w:w w:val="105"/>
          <w:sz w:val="18"/>
        </w:rPr>
        <w:t>Comment:</w:t>
      </w:r>
      <w:r w:rsidRPr="00283806">
        <w:rPr>
          <w:rFonts w:ascii="Book Antiqua"/>
          <w:i/>
          <w:spacing w:val="19"/>
          <w:w w:val="105"/>
          <w:sz w:val="18"/>
        </w:rPr>
        <w:t xml:space="preserve"> </w:t>
      </w:r>
      <w:r w:rsidRPr="00283806">
        <w:rPr>
          <w:w w:val="105"/>
          <w:sz w:val="18"/>
        </w:rPr>
        <w:t>Two</w:t>
      </w:r>
      <w:r w:rsidRPr="00283806">
        <w:rPr>
          <w:spacing w:val="25"/>
          <w:w w:val="105"/>
          <w:sz w:val="18"/>
        </w:rPr>
        <w:t xml:space="preserve"> </w:t>
      </w:r>
      <w:r w:rsidRPr="00283806">
        <w:rPr>
          <w:w w:val="105"/>
          <w:sz w:val="18"/>
        </w:rPr>
        <w:t>commenters</w:t>
      </w:r>
      <w:r w:rsidRPr="00283806">
        <w:rPr>
          <w:spacing w:val="25"/>
          <w:w w:val="105"/>
          <w:sz w:val="18"/>
        </w:rPr>
        <w:t xml:space="preserve"> </w:t>
      </w:r>
      <w:r w:rsidRPr="00283806">
        <w:rPr>
          <w:spacing w:val="-2"/>
          <w:w w:val="105"/>
          <w:sz w:val="18"/>
        </w:rPr>
        <w:t>opposed</w:t>
      </w:r>
    </w:p>
    <w:p w14:paraId="49868B46" w14:textId="77777777" w:rsidR="00D67C1E" w:rsidRPr="00283806" w:rsidRDefault="001265CA">
      <w:pPr>
        <w:pStyle w:val="BodyText"/>
        <w:spacing w:line="225" w:lineRule="auto"/>
        <w:ind w:left="144" w:right="251"/>
      </w:pPr>
      <w:r w:rsidRPr="00283806">
        <w:rPr>
          <w:w w:val="105"/>
        </w:rPr>
        <w:t>EPA’s use of climate benefits in the analysis. The commenters claimed that the purpose of the AIM Act is to promote American manufacturing, not to regulate GHGs, and stated that the statute itself never mentions GHGs or climate change, which the commenters stated was for good reason, since the divisiveness of climate change policy prevented Congress and the Executive from reaching consensus on any policy explicitly directed at climate change. Instead, the commenters asserted that the law (as evident in the title</w:t>
      </w:r>
    </w:p>
    <w:p w14:paraId="4999CDE0" w14:textId="77777777" w:rsidR="00D67C1E" w:rsidRPr="00283806" w:rsidRDefault="001265CA">
      <w:pPr>
        <w:pStyle w:val="BodyText"/>
        <w:spacing w:line="225" w:lineRule="auto"/>
        <w:ind w:left="144" w:right="210"/>
      </w:pPr>
      <w:r w:rsidRPr="00283806">
        <w:rPr>
          <w:w w:val="105"/>
        </w:rPr>
        <w:t>‘‘ ‘Innovation and Manufacturing’ ’’) focused on the economic benefits to certain U.S. chemical manufacturers, including fostering innovation in the chemicals industry. The commenters further pointed to EPA’s statement that the social cost of carbon is not a record basis for the Agency action, which they alleged to be an acknowledgement that EPA cannot legally take climate benefits into account. One of the commenters stated that EPA expressly disclaims any reliance on the ‘‘High Additionality’’ scenario as the legal basis of the proposed rule.</w:t>
      </w:r>
    </w:p>
    <w:p w14:paraId="2C7BF539" w14:textId="77777777" w:rsidR="00D67C1E" w:rsidRPr="00283806" w:rsidRDefault="001265CA">
      <w:pPr>
        <w:pStyle w:val="BodyText"/>
        <w:spacing w:line="178" w:lineRule="exact"/>
        <w:ind w:left="0" w:right="251"/>
        <w:jc w:val="right"/>
      </w:pPr>
      <w:r w:rsidRPr="00283806">
        <w:rPr>
          <w:w w:val="105"/>
        </w:rPr>
        <w:t>This</w:t>
      </w:r>
      <w:r w:rsidRPr="00283806">
        <w:rPr>
          <w:spacing w:val="12"/>
          <w:w w:val="105"/>
        </w:rPr>
        <w:t xml:space="preserve"> </w:t>
      </w:r>
      <w:r w:rsidRPr="00283806">
        <w:rPr>
          <w:w w:val="105"/>
        </w:rPr>
        <w:t>commenter</w:t>
      </w:r>
      <w:r w:rsidRPr="00283806">
        <w:rPr>
          <w:spacing w:val="12"/>
          <w:w w:val="105"/>
        </w:rPr>
        <w:t xml:space="preserve"> </w:t>
      </w:r>
      <w:r w:rsidRPr="00283806">
        <w:rPr>
          <w:w w:val="105"/>
        </w:rPr>
        <w:t>further</w:t>
      </w:r>
      <w:r w:rsidRPr="00283806">
        <w:rPr>
          <w:spacing w:val="12"/>
          <w:w w:val="105"/>
        </w:rPr>
        <w:t xml:space="preserve"> </w:t>
      </w:r>
      <w:r w:rsidRPr="00283806">
        <w:rPr>
          <w:w w:val="105"/>
        </w:rPr>
        <w:t>claimed</w:t>
      </w:r>
      <w:r w:rsidRPr="00283806">
        <w:rPr>
          <w:spacing w:val="13"/>
          <w:w w:val="105"/>
        </w:rPr>
        <w:t xml:space="preserve"> </w:t>
      </w:r>
      <w:r w:rsidRPr="00283806">
        <w:rPr>
          <w:spacing w:val="-4"/>
          <w:w w:val="105"/>
        </w:rPr>
        <w:t>that</w:t>
      </w:r>
    </w:p>
    <w:p w14:paraId="2A7B664C" w14:textId="77777777" w:rsidR="00D67C1E" w:rsidRPr="00283806" w:rsidRDefault="001265CA">
      <w:pPr>
        <w:pStyle w:val="BodyText"/>
        <w:spacing w:line="206" w:lineRule="exact"/>
        <w:ind w:left="0" w:right="172"/>
        <w:jc w:val="right"/>
      </w:pPr>
      <w:r w:rsidRPr="00283806">
        <w:rPr>
          <w:w w:val="105"/>
        </w:rPr>
        <w:t>there</w:t>
      </w:r>
      <w:r w:rsidRPr="00283806">
        <w:rPr>
          <w:spacing w:val="5"/>
          <w:w w:val="105"/>
        </w:rPr>
        <w:t xml:space="preserve"> </w:t>
      </w:r>
      <w:r w:rsidRPr="00283806">
        <w:rPr>
          <w:w w:val="105"/>
        </w:rPr>
        <w:t>is</w:t>
      </w:r>
      <w:r w:rsidRPr="00283806">
        <w:rPr>
          <w:spacing w:val="5"/>
          <w:w w:val="105"/>
        </w:rPr>
        <w:t xml:space="preserve"> </w:t>
      </w:r>
      <w:r w:rsidRPr="00283806">
        <w:rPr>
          <w:w w:val="105"/>
        </w:rPr>
        <w:t>zero</w:t>
      </w:r>
      <w:r w:rsidRPr="00283806">
        <w:rPr>
          <w:spacing w:val="6"/>
          <w:w w:val="105"/>
        </w:rPr>
        <w:t xml:space="preserve"> </w:t>
      </w:r>
      <w:r w:rsidRPr="00283806">
        <w:rPr>
          <w:w w:val="105"/>
        </w:rPr>
        <w:t>benefit</w:t>
      </w:r>
      <w:r w:rsidRPr="00283806">
        <w:rPr>
          <w:spacing w:val="5"/>
          <w:w w:val="105"/>
        </w:rPr>
        <w:t xml:space="preserve"> </w:t>
      </w:r>
      <w:r w:rsidRPr="00283806">
        <w:rPr>
          <w:w w:val="105"/>
        </w:rPr>
        <w:t>from</w:t>
      </w:r>
      <w:r w:rsidRPr="00283806">
        <w:rPr>
          <w:spacing w:val="6"/>
          <w:w w:val="105"/>
        </w:rPr>
        <w:t xml:space="preserve"> </w:t>
      </w:r>
      <w:r w:rsidRPr="00283806">
        <w:rPr>
          <w:w w:val="105"/>
        </w:rPr>
        <w:t>mandating</w:t>
      </w:r>
      <w:r w:rsidRPr="00283806">
        <w:rPr>
          <w:spacing w:val="5"/>
          <w:w w:val="105"/>
        </w:rPr>
        <w:t xml:space="preserve"> </w:t>
      </w:r>
      <w:r w:rsidRPr="00283806">
        <w:rPr>
          <w:spacing w:val="-5"/>
          <w:w w:val="105"/>
        </w:rPr>
        <w:t>the</w:t>
      </w:r>
    </w:p>
    <w:p w14:paraId="5B103C3D" w14:textId="77777777" w:rsidR="00D67C1E" w:rsidRPr="00283806" w:rsidRDefault="00D67C1E">
      <w:pPr>
        <w:spacing w:line="206" w:lineRule="exact"/>
        <w:jc w:val="right"/>
        <w:sectPr w:rsidR="00D67C1E" w:rsidRPr="00283806">
          <w:pgSz w:w="12240" w:h="15840"/>
          <w:pgMar w:top="1040" w:right="780" w:bottom="280" w:left="740" w:header="627" w:footer="0" w:gutter="0"/>
          <w:cols w:num="3" w:space="720" w:equalWidth="0">
            <w:col w:w="3517" w:space="40"/>
            <w:col w:w="3500" w:space="39"/>
            <w:col w:w="3624"/>
          </w:cols>
        </w:sectPr>
      </w:pPr>
    </w:p>
    <w:p w14:paraId="18E3C6B4" w14:textId="77777777" w:rsidR="00D67C1E" w:rsidRPr="00283806" w:rsidRDefault="001265CA">
      <w:pPr>
        <w:pStyle w:val="BodyText"/>
        <w:spacing w:before="136" w:line="225" w:lineRule="auto"/>
        <w:ind w:right="55"/>
      </w:pPr>
      <w:r w:rsidRPr="00283806">
        <w:rPr>
          <w:w w:val="105"/>
        </w:rPr>
        <w:lastRenderedPageBreak/>
        <w:t>use of reclaim gas in various RACHP subsectors, citing Table 8 of the</w:t>
      </w:r>
      <w:r w:rsidRPr="00283806">
        <w:rPr>
          <w:spacing w:val="40"/>
          <w:w w:val="105"/>
        </w:rPr>
        <w:t xml:space="preserve"> </w:t>
      </w:r>
      <w:r w:rsidRPr="00283806">
        <w:rPr>
          <w:w w:val="105"/>
        </w:rPr>
        <w:t>proposed</w:t>
      </w:r>
      <w:r w:rsidRPr="00283806">
        <w:rPr>
          <w:spacing w:val="40"/>
          <w:w w:val="105"/>
        </w:rPr>
        <w:t xml:space="preserve"> </w:t>
      </w:r>
      <w:r w:rsidRPr="00283806">
        <w:rPr>
          <w:w w:val="105"/>
        </w:rPr>
        <w:t>rule,</w:t>
      </w:r>
      <w:r w:rsidRPr="00283806">
        <w:rPr>
          <w:spacing w:val="40"/>
          <w:w w:val="105"/>
        </w:rPr>
        <w:t xml:space="preserve"> </w:t>
      </w:r>
      <w:r w:rsidRPr="00283806">
        <w:rPr>
          <w:w w:val="105"/>
        </w:rPr>
        <w:t>and</w:t>
      </w:r>
      <w:r w:rsidRPr="00283806">
        <w:rPr>
          <w:spacing w:val="40"/>
          <w:w w:val="105"/>
        </w:rPr>
        <w:t xml:space="preserve"> </w:t>
      </w:r>
      <w:r w:rsidRPr="00283806">
        <w:rPr>
          <w:w w:val="105"/>
        </w:rPr>
        <w:t>that</w:t>
      </w:r>
      <w:r w:rsidRPr="00283806">
        <w:rPr>
          <w:spacing w:val="40"/>
          <w:w w:val="105"/>
        </w:rPr>
        <w:t xml:space="preserve"> </w:t>
      </w:r>
      <w:r w:rsidRPr="00283806">
        <w:rPr>
          <w:w w:val="105"/>
        </w:rPr>
        <w:t>EPA</w:t>
      </w:r>
      <w:r w:rsidRPr="00283806">
        <w:rPr>
          <w:spacing w:val="40"/>
          <w:w w:val="105"/>
        </w:rPr>
        <w:t xml:space="preserve"> </w:t>
      </w:r>
      <w:r w:rsidRPr="00283806">
        <w:rPr>
          <w:w w:val="105"/>
        </w:rPr>
        <w:t xml:space="preserve">glosses over the lack of any benefit in its cost- benefit analysis for the reclaim provisions. The commenter further claimed that contrary to its duty to use reasoned decision making, EPA fails to engage in any substantive discussion of why an agency would adopt a rule (such as the reclaim mandate) that has no benefits that the government can legally promote. The commenter claimed that the AIM Act is not </w:t>
      </w:r>
      <w:proofErr w:type="gramStart"/>
      <w:r w:rsidRPr="00283806">
        <w:rPr>
          <w:w w:val="105"/>
        </w:rPr>
        <w:t>a climate</w:t>
      </w:r>
      <w:proofErr w:type="gramEnd"/>
      <w:r w:rsidRPr="00283806">
        <w:rPr>
          <w:w w:val="105"/>
        </w:rPr>
        <w:t xml:space="preserve"> law, that climate</w:t>
      </w:r>
      <w:r w:rsidRPr="00283806">
        <w:rPr>
          <w:spacing w:val="38"/>
          <w:w w:val="105"/>
        </w:rPr>
        <w:t xml:space="preserve"> </w:t>
      </w:r>
      <w:r w:rsidRPr="00283806">
        <w:rPr>
          <w:w w:val="105"/>
        </w:rPr>
        <w:t>change</w:t>
      </w:r>
      <w:r w:rsidRPr="00283806">
        <w:rPr>
          <w:spacing w:val="38"/>
          <w:w w:val="105"/>
        </w:rPr>
        <w:t xml:space="preserve"> </w:t>
      </w:r>
      <w:r w:rsidRPr="00283806">
        <w:rPr>
          <w:w w:val="105"/>
        </w:rPr>
        <w:t>is</w:t>
      </w:r>
      <w:r w:rsidRPr="00283806">
        <w:rPr>
          <w:spacing w:val="38"/>
          <w:w w:val="105"/>
        </w:rPr>
        <w:t xml:space="preserve"> </w:t>
      </w:r>
      <w:r w:rsidRPr="00283806">
        <w:rPr>
          <w:w w:val="105"/>
        </w:rPr>
        <w:t>not</w:t>
      </w:r>
      <w:r w:rsidRPr="00283806">
        <w:rPr>
          <w:spacing w:val="38"/>
          <w:w w:val="105"/>
        </w:rPr>
        <w:t xml:space="preserve"> </w:t>
      </w:r>
      <w:r w:rsidRPr="00283806">
        <w:rPr>
          <w:w w:val="105"/>
        </w:rPr>
        <w:t>part</w:t>
      </w:r>
      <w:r w:rsidRPr="00283806">
        <w:rPr>
          <w:spacing w:val="38"/>
          <w:w w:val="105"/>
        </w:rPr>
        <w:t xml:space="preserve"> </w:t>
      </w:r>
      <w:r w:rsidRPr="00283806">
        <w:rPr>
          <w:w w:val="105"/>
        </w:rPr>
        <w:t>of</w:t>
      </w:r>
      <w:r w:rsidRPr="00283806">
        <w:rPr>
          <w:spacing w:val="38"/>
          <w:w w:val="105"/>
        </w:rPr>
        <w:t xml:space="preserve"> </w:t>
      </w:r>
      <w:r w:rsidRPr="00283806">
        <w:rPr>
          <w:w w:val="105"/>
        </w:rPr>
        <w:t>the</w:t>
      </w:r>
      <w:r w:rsidRPr="00283806">
        <w:rPr>
          <w:spacing w:val="38"/>
          <w:w w:val="105"/>
        </w:rPr>
        <w:t xml:space="preserve"> </w:t>
      </w:r>
      <w:r w:rsidRPr="00283806">
        <w:rPr>
          <w:w w:val="105"/>
        </w:rPr>
        <w:t>AIM Act, and that climate change cannot be considered as a justification for implementing regulations under the statute. The commenter concluded that EPA has failed to explain why a</w:t>
      </w:r>
      <w:r w:rsidRPr="00283806">
        <w:rPr>
          <w:spacing w:val="40"/>
          <w:w w:val="105"/>
        </w:rPr>
        <w:t xml:space="preserve"> </w:t>
      </w:r>
      <w:r w:rsidRPr="00283806">
        <w:rPr>
          <w:w w:val="105"/>
        </w:rPr>
        <w:t>regulation with no economic or environmental benefit should be added</w:t>
      </w:r>
      <w:r w:rsidRPr="00283806">
        <w:rPr>
          <w:spacing w:val="40"/>
          <w:w w:val="105"/>
        </w:rPr>
        <w:t xml:space="preserve"> </w:t>
      </w:r>
      <w:r w:rsidRPr="00283806">
        <w:rPr>
          <w:w w:val="105"/>
        </w:rPr>
        <w:t>to the regulatory burden on the refrigerant sector, and that the rule is arbitrary and capricious.</w:t>
      </w:r>
    </w:p>
    <w:p w14:paraId="754AB95C" w14:textId="77777777" w:rsidR="00D67C1E" w:rsidRPr="00283806" w:rsidRDefault="001265CA">
      <w:pPr>
        <w:pStyle w:val="BodyText"/>
        <w:spacing w:line="171" w:lineRule="exact"/>
        <w:ind w:left="340"/>
      </w:pPr>
      <w:r w:rsidRPr="00283806">
        <w:rPr>
          <w:w w:val="105"/>
        </w:rPr>
        <w:t>The</w:t>
      </w:r>
      <w:r w:rsidRPr="00283806">
        <w:rPr>
          <w:spacing w:val="-1"/>
          <w:w w:val="105"/>
        </w:rPr>
        <w:t xml:space="preserve"> </w:t>
      </w:r>
      <w:r w:rsidRPr="00283806">
        <w:rPr>
          <w:w w:val="105"/>
        </w:rPr>
        <w:t>other</w:t>
      </w:r>
      <w:r w:rsidRPr="00283806">
        <w:rPr>
          <w:spacing w:val="2"/>
          <w:w w:val="105"/>
        </w:rPr>
        <w:t xml:space="preserve"> </w:t>
      </w:r>
      <w:r w:rsidRPr="00283806">
        <w:rPr>
          <w:w w:val="105"/>
        </w:rPr>
        <w:t>commenter</w:t>
      </w:r>
      <w:r w:rsidRPr="00283806">
        <w:rPr>
          <w:spacing w:val="1"/>
          <w:w w:val="105"/>
        </w:rPr>
        <w:t xml:space="preserve"> </w:t>
      </w:r>
      <w:r w:rsidRPr="00283806">
        <w:rPr>
          <w:w w:val="105"/>
        </w:rPr>
        <w:t>stated</w:t>
      </w:r>
      <w:r w:rsidRPr="00283806">
        <w:rPr>
          <w:spacing w:val="2"/>
          <w:w w:val="105"/>
        </w:rPr>
        <w:t xml:space="preserve"> </w:t>
      </w:r>
      <w:r w:rsidRPr="00283806">
        <w:rPr>
          <w:spacing w:val="-4"/>
          <w:w w:val="105"/>
        </w:rPr>
        <w:t>that</w:t>
      </w:r>
    </w:p>
    <w:p w14:paraId="4EB5F3AF" w14:textId="77777777" w:rsidR="00D67C1E" w:rsidRPr="00283806" w:rsidRDefault="001265CA">
      <w:pPr>
        <w:pStyle w:val="BodyText"/>
        <w:spacing w:before="4" w:line="225" w:lineRule="auto"/>
      </w:pPr>
      <w:r w:rsidRPr="00283806">
        <w:rPr>
          <w:w w:val="105"/>
        </w:rPr>
        <w:t>EPA’s cost-benefit analysis improperly considers assumed climate benefits and foreign benefits while failing to consider overwhelming cost-benefit imbalances</w:t>
      </w:r>
      <w:r w:rsidRPr="00283806">
        <w:rPr>
          <w:spacing w:val="80"/>
          <w:w w:val="105"/>
        </w:rPr>
        <w:t xml:space="preserve"> </w:t>
      </w:r>
      <w:r w:rsidRPr="00283806">
        <w:rPr>
          <w:w w:val="105"/>
        </w:rPr>
        <w:t>to</w:t>
      </w:r>
      <w:r w:rsidRPr="00283806">
        <w:rPr>
          <w:spacing w:val="40"/>
          <w:w w:val="105"/>
        </w:rPr>
        <w:t xml:space="preserve"> </w:t>
      </w:r>
      <w:r w:rsidRPr="00283806">
        <w:rPr>
          <w:w w:val="105"/>
        </w:rPr>
        <w:t>U.S.</w:t>
      </w:r>
      <w:r w:rsidRPr="00283806">
        <w:rPr>
          <w:spacing w:val="40"/>
          <w:w w:val="105"/>
        </w:rPr>
        <w:t xml:space="preserve"> </w:t>
      </w:r>
      <w:r w:rsidRPr="00283806">
        <w:rPr>
          <w:w w:val="105"/>
        </w:rPr>
        <w:t>manufacturers,</w:t>
      </w:r>
      <w:r w:rsidRPr="00283806">
        <w:rPr>
          <w:spacing w:val="40"/>
          <w:w w:val="105"/>
        </w:rPr>
        <w:t xml:space="preserve"> </w:t>
      </w:r>
      <w:r w:rsidRPr="00283806">
        <w:rPr>
          <w:w w:val="105"/>
        </w:rPr>
        <w:t>and</w:t>
      </w:r>
      <w:r w:rsidRPr="00283806">
        <w:rPr>
          <w:spacing w:val="40"/>
          <w:w w:val="105"/>
        </w:rPr>
        <w:t xml:space="preserve"> </w:t>
      </w:r>
      <w:r w:rsidRPr="00283806">
        <w:rPr>
          <w:w w:val="105"/>
        </w:rPr>
        <w:t>that adequate data was not gathered from impacted industries. The commenter asserted that climate benefits were not Congress’ goal, that climate change is</w:t>
      </w:r>
      <w:r w:rsidRPr="00283806">
        <w:rPr>
          <w:spacing w:val="80"/>
          <w:w w:val="150"/>
        </w:rPr>
        <w:t xml:space="preserve"> </w:t>
      </w:r>
      <w:r w:rsidRPr="00283806">
        <w:rPr>
          <w:w w:val="105"/>
        </w:rPr>
        <w:t>not part of the AIM Act and may not be considered as a justification for implementing regulations under the statute, and that given the statutes [sic] sole focus on American manufacturing, EPA’s use of cost-benefit analysis of climate change benefits to justify the refrigerant management requirements is based on improper considerations.</w:t>
      </w:r>
    </w:p>
    <w:p w14:paraId="355264C1" w14:textId="77777777" w:rsidR="00D67C1E" w:rsidRPr="00283806" w:rsidRDefault="001265CA">
      <w:pPr>
        <w:pStyle w:val="BodyText"/>
        <w:spacing w:line="225" w:lineRule="auto"/>
        <w:ind w:right="50"/>
      </w:pPr>
      <w:r w:rsidRPr="00283806">
        <w:rPr>
          <w:w w:val="105"/>
        </w:rPr>
        <w:t>Accordingly, the commenter stated EPA should remove the discussion of climate benefits from the rulemaking record and rely solely on the core cost-benefit considerations, which they asserted overwhelmingly militate against the proposed rulemaking. The commenter stated that the rulemaking proposal makes clear that the costly burden on refrigeration users would not be</w:t>
      </w:r>
      <w:r w:rsidRPr="00283806">
        <w:rPr>
          <w:spacing w:val="40"/>
          <w:w w:val="105"/>
        </w:rPr>
        <w:t xml:space="preserve"> </w:t>
      </w:r>
      <w:r w:rsidRPr="00283806">
        <w:rPr>
          <w:w w:val="105"/>
        </w:rPr>
        <w:t>justified, except if EPA uses the asserted benefits of climate change as a justification for the rule. Further, the commenter claimed that EPA may not</w:t>
      </w:r>
      <w:r w:rsidRPr="00283806">
        <w:rPr>
          <w:spacing w:val="40"/>
          <w:w w:val="105"/>
        </w:rPr>
        <w:t xml:space="preserve"> </w:t>
      </w:r>
      <w:r w:rsidRPr="00283806">
        <w:rPr>
          <w:w w:val="105"/>
        </w:rPr>
        <w:t>use supposed climate benefits for</w:t>
      </w:r>
      <w:r w:rsidRPr="00283806">
        <w:rPr>
          <w:spacing w:val="80"/>
          <w:w w:val="105"/>
        </w:rPr>
        <w:t xml:space="preserve"> </w:t>
      </w:r>
      <w:r w:rsidRPr="00283806">
        <w:rPr>
          <w:w w:val="105"/>
        </w:rPr>
        <w:t xml:space="preserve">foreign countries or residents of foreign countries as a basis for regulation of domestic industries, citing </w:t>
      </w:r>
      <w:r w:rsidRPr="00283806">
        <w:rPr>
          <w:rFonts w:ascii="Book Antiqua"/>
          <w:i/>
          <w:w w:val="105"/>
        </w:rPr>
        <w:t xml:space="preserve">E.E.O.C. </w:t>
      </w:r>
      <w:r w:rsidRPr="00283806">
        <w:rPr>
          <w:w w:val="105"/>
        </w:rPr>
        <w:t>v.</w:t>
      </w:r>
    </w:p>
    <w:p w14:paraId="34F01455" w14:textId="77777777" w:rsidR="00D67C1E" w:rsidRPr="00283806" w:rsidRDefault="001265CA">
      <w:pPr>
        <w:spacing w:line="183" w:lineRule="exact"/>
        <w:ind w:left="160"/>
        <w:rPr>
          <w:sz w:val="18"/>
        </w:rPr>
      </w:pPr>
      <w:r w:rsidRPr="00283806">
        <w:rPr>
          <w:rFonts w:ascii="Book Antiqua"/>
          <w:i/>
          <w:w w:val="110"/>
          <w:sz w:val="18"/>
        </w:rPr>
        <w:t>Arabian</w:t>
      </w:r>
      <w:r w:rsidRPr="00283806">
        <w:rPr>
          <w:rFonts w:ascii="Book Antiqua"/>
          <w:i/>
          <w:spacing w:val="-1"/>
          <w:w w:val="110"/>
          <w:sz w:val="18"/>
        </w:rPr>
        <w:t xml:space="preserve"> </w:t>
      </w:r>
      <w:r w:rsidRPr="00283806">
        <w:rPr>
          <w:rFonts w:ascii="Book Antiqua"/>
          <w:i/>
          <w:w w:val="110"/>
          <w:sz w:val="18"/>
        </w:rPr>
        <w:t>Am.</w:t>
      </w:r>
      <w:r w:rsidRPr="00283806">
        <w:rPr>
          <w:rFonts w:ascii="Book Antiqua"/>
          <w:i/>
          <w:spacing w:val="-1"/>
          <w:w w:val="110"/>
          <w:sz w:val="18"/>
        </w:rPr>
        <w:t xml:space="preserve"> </w:t>
      </w:r>
      <w:r w:rsidRPr="00283806">
        <w:rPr>
          <w:rFonts w:ascii="Book Antiqua"/>
          <w:i/>
          <w:w w:val="110"/>
          <w:sz w:val="18"/>
        </w:rPr>
        <w:t>Oil</w:t>
      </w:r>
      <w:r w:rsidRPr="00283806">
        <w:rPr>
          <w:rFonts w:ascii="Book Antiqua"/>
          <w:i/>
          <w:spacing w:val="-1"/>
          <w:w w:val="110"/>
          <w:sz w:val="18"/>
        </w:rPr>
        <w:t xml:space="preserve"> </w:t>
      </w:r>
      <w:r w:rsidRPr="00283806">
        <w:rPr>
          <w:rFonts w:ascii="Book Antiqua"/>
          <w:i/>
          <w:w w:val="110"/>
          <w:sz w:val="18"/>
        </w:rPr>
        <w:t>Co.,</w:t>
      </w:r>
      <w:r w:rsidRPr="00283806">
        <w:rPr>
          <w:rFonts w:ascii="Book Antiqua"/>
          <w:i/>
          <w:spacing w:val="-1"/>
          <w:w w:val="110"/>
          <w:sz w:val="18"/>
        </w:rPr>
        <w:t xml:space="preserve"> </w:t>
      </w:r>
      <w:r w:rsidRPr="00283806">
        <w:rPr>
          <w:w w:val="110"/>
          <w:sz w:val="18"/>
        </w:rPr>
        <w:t>499</w:t>
      </w:r>
      <w:r w:rsidRPr="00283806">
        <w:rPr>
          <w:spacing w:val="5"/>
          <w:w w:val="110"/>
          <w:sz w:val="18"/>
        </w:rPr>
        <w:t xml:space="preserve"> </w:t>
      </w:r>
      <w:r w:rsidRPr="00283806">
        <w:rPr>
          <w:w w:val="110"/>
          <w:sz w:val="18"/>
        </w:rPr>
        <w:t>U.S.</w:t>
      </w:r>
      <w:r w:rsidRPr="00283806">
        <w:rPr>
          <w:spacing w:val="5"/>
          <w:w w:val="110"/>
          <w:sz w:val="18"/>
        </w:rPr>
        <w:t xml:space="preserve"> </w:t>
      </w:r>
      <w:r w:rsidRPr="00283806">
        <w:rPr>
          <w:w w:val="110"/>
          <w:sz w:val="18"/>
        </w:rPr>
        <w:t>244,</w:t>
      </w:r>
      <w:r w:rsidRPr="00283806">
        <w:rPr>
          <w:spacing w:val="4"/>
          <w:w w:val="110"/>
          <w:sz w:val="18"/>
        </w:rPr>
        <w:t xml:space="preserve"> </w:t>
      </w:r>
      <w:r w:rsidRPr="00283806">
        <w:rPr>
          <w:spacing w:val="-5"/>
          <w:w w:val="110"/>
          <w:sz w:val="18"/>
        </w:rPr>
        <w:t>254</w:t>
      </w:r>
    </w:p>
    <w:p w14:paraId="7948E102" w14:textId="77777777" w:rsidR="00D67C1E" w:rsidRPr="00283806" w:rsidRDefault="001265CA">
      <w:pPr>
        <w:pStyle w:val="BodyText"/>
        <w:spacing w:line="186" w:lineRule="exact"/>
      </w:pPr>
      <w:r w:rsidRPr="00283806">
        <w:rPr>
          <w:spacing w:val="-2"/>
        </w:rPr>
        <w:t>(1991).</w:t>
      </w:r>
    </w:p>
    <w:p w14:paraId="7BED0BA6" w14:textId="77777777" w:rsidR="00D67C1E" w:rsidRPr="00283806" w:rsidRDefault="001265CA">
      <w:pPr>
        <w:pStyle w:val="BodyText"/>
        <w:spacing w:line="225" w:lineRule="auto"/>
        <w:ind w:right="98" w:firstLine="180"/>
      </w:pPr>
      <w:r w:rsidRPr="00283806">
        <w:rPr>
          <w:w w:val="105"/>
        </w:rPr>
        <w:t>The commenter also claimed that EPA’s cost-benefit analysis is incomplete, and that since the purpose of the AIM Act, and therefore EPA’s rulemaking, is focused solely on</w:t>
      </w:r>
    </w:p>
    <w:p w14:paraId="4FE4DE4F" w14:textId="77777777" w:rsidR="00D67C1E" w:rsidRPr="00283806" w:rsidRDefault="001265CA">
      <w:pPr>
        <w:pStyle w:val="BodyText"/>
        <w:spacing w:before="134" w:line="228" w:lineRule="auto"/>
        <w:ind w:left="154" w:right="98"/>
      </w:pPr>
      <w:r w:rsidRPr="00283806">
        <w:br w:type="column"/>
      </w:r>
      <w:r w:rsidRPr="00283806">
        <w:rPr>
          <w:w w:val="105"/>
        </w:rPr>
        <w:t>American innovation and manufacturing, EPA must assess the costs and benefits of the proposed HFC management rule in relation to the proposed rule’s potential impact on the</w:t>
      </w:r>
    </w:p>
    <w:p w14:paraId="1A31520C" w14:textId="77777777" w:rsidR="00D67C1E" w:rsidRPr="00283806" w:rsidRDefault="001265CA">
      <w:pPr>
        <w:pStyle w:val="BodyText"/>
        <w:spacing w:line="228" w:lineRule="auto"/>
        <w:ind w:left="154"/>
      </w:pPr>
      <w:r w:rsidRPr="00283806">
        <w:rPr>
          <w:w w:val="105"/>
        </w:rPr>
        <w:t>U.S. manufacturing sector. The commenter stated that this analysis should include an assessment of how certain chemical producers of HFC substitutes are benefiting from the AIM Act in general and the management rule in particular, and that EPA’s analysis should disclose how the chemical industry that produces substitute chemicals as replacements for HFCs currently used in IPR and other refrigeration equipment might benefit as a result of the government’s intervention into the refrigerant sector through product bans. A third commenter stated that the value proposition of implementing the proposed rule is significant but suggested that a further analysis of the $3.7 billion that EPA estimated in total costs is needed.</w:t>
      </w:r>
    </w:p>
    <w:p w14:paraId="71254590" w14:textId="77777777" w:rsidR="00D67C1E" w:rsidRPr="00283806" w:rsidRDefault="001265CA">
      <w:pPr>
        <w:pStyle w:val="BodyText"/>
        <w:spacing w:before="27" w:line="228" w:lineRule="auto"/>
        <w:ind w:left="154" w:right="61" w:firstLine="180"/>
      </w:pPr>
      <w:r w:rsidRPr="00283806">
        <w:rPr>
          <w:rFonts w:ascii="Book Antiqua" w:hAnsi="Book Antiqua"/>
          <w:i/>
          <w:w w:val="105"/>
        </w:rPr>
        <w:t xml:space="preserve">Response: </w:t>
      </w:r>
      <w:r w:rsidRPr="00283806">
        <w:rPr>
          <w:w w:val="105"/>
        </w:rPr>
        <w:t>With regard to reasons explained in greater detail in the prior response and elsewhere in this rulemaking, the Agency has included estimates</w:t>
      </w:r>
      <w:r w:rsidRPr="00283806">
        <w:rPr>
          <w:spacing w:val="34"/>
          <w:w w:val="105"/>
        </w:rPr>
        <w:t xml:space="preserve"> </w:t>
      </w:r>
      <w:r w:rsidRPr="00283806">
        <w:rPr>
          <w:w w:val="105"/>
        </w:rPr>
        <w:t>of</w:t>
      </w:r>
      <w:r w:rsidRPr="00283806">
        <w:rPr>
          <w:spacing w:val="34"/>
          <w:w w:val="105"/>
        </w:rPr>
        <w:t xml:space="preserve"> </w:t>
      </w:r>
      <w:r w:rsidRPr="00283806">
        <w:rPr>
          <w:w w:val="105"/>
        </w:rPr>
        <w:t>the</w:t>
      </w:r>
      <w:r w:rsidRPr="00283806">
        <w:rPr>
          <w:spacing w:val="34"/>
          <w:w w:val="105"/>
        </w:rPr>
        <w:t xml:space="preserve"> </w:t>
      </w:r>
      <w:r w:rsidRPr="00283806">
        <w:rPr>
          <w:w w:val="105"/>
        </w:rPr>
        <w:t>costs</w:t>
      </w:r>
      <w:r w:rsidRPr="00283806">
        <w:rPr>
          <w:spacing w:val="34"/>
          <w:w w:val="105"/>
        </w:rPr>
        <w:t xml:space="preserve"> </w:t>
      </w:r>
      <w:r w:rsidRPr="00283806">
        <w:rPr>
          <w:w w:val="105"/>
        </w:rPr>
        <w:t>and</w:t>
      </w:r>
      <w:r w:rsidRPr="00283806">
        <w:rPr>
          <w:spacing w:val="34"/>
          <w:w w:val="105"/>
        </w:rPr>
        <w:t xml:space="preserve"> </w:t>
      </w:r>
      <w:r w:rsidRPr="00283806">
        <w:rPr>
          <w:w w:val="105"/>
        </w:rPr>
        <w:t>benefits</w:t>
      </w:r>
      <w:r w:rsidRPr="00283806">
        <w:rPr>
          <w:spacing w:val="34"/>
          <w:w w:val="105"/>
        </w:rPr>
        <w:t xml:space="preserve"> </w:t>
      </w:r>
      <w:r w:rsidRPr="00283806">
        <w:rPr>
          <w:w w:val="105"/>
        </w:rPr>
        <w:t>of this rulemaking in the RIA addendum (and reevaluated the costs and benefits</w:t>
      </w:r>
      <w:r w:rsidRPr="00283806">
        <w:rPr>
          <w:spacing w:val="40"/>
          <w:w w:val="105"/>
        </w:rPr>
        <w:t xml:space="preserve"> </w:t>
      </w:r>
      <w:r w:rsidRPr="00283806">
        <w:rPr>
          <w:w w:val="105"/>
        </w:rPr>
        <w:t>of the final rule under two principal scenarios and provided sensitivity analyses around these estimates), to provide the public with information on the relevant costs and benefits of this action and to comply with Executive Orders, that analysis does not form a basis or rationale for any of the provisions EPA is promulgating in this rulemaking. The Agency did not rely on the ‘‘High Additionality’’ scenario performed for the proposed rule, just as</w:t>
      </w:r>
      <w:r w:rsidRPr="00283806">
        <w:rPr>
          <w:spacing w:val="40"/>
          <w:w w:val="105"/>
        </w:rPr>
        <w:t xml:space="preserve"> </w:t>
      </w:r>
      <w:r w:rsidRPr="00283806">
        <w:rPr>
          <w:w w:val="105"/>
        </w:rPr>
        <w:t xml:space="preserve">it did not rely on </w:t>
      </w:r>
      <w:r w:rsidRPr="00283806">
        <w:rPr>
          <w:rFonts w:ascii="Book Antiqua" w:hAnsi="Book Antiqua"/>
          <w:i/>
          <w:w w:val="105"/>
        </w:rPr>
        <w:t xml:space="preserve">any </w:t>
      </w:r>
      <w:r w:rsidRPr="00283806">
        <w:rPr>
          <w:w w:val="105"/>
        </w:rPr>
        <w:t>other scenario performed, as a basis or rationale for</w:t>
      </w:r>
      <w:r w:rsidRPr="00283806">
        <w:rPr>
          <w:spacing w:val="80"/>
          <w:w w:val="105"/>
        </w:rPr>
        <w:t xml:space="preserve"> </w:t>
      </w:r>
      <w:r w:rsidRPr="00283806">
        <w:rPr>
          <w:w w:val="105"/>
        </w:rPr>
        <w:t>this rulemaking. Likewise, we are not relying on any scenario performed for</w:t>
      </w:r>
      <w:r w:rsidRPr="00283806">
        <w:rPr>
          <w:spacing w:val="40"/>
          <w:w w:val="105"/>
        </w:rPr>
        <w:t xml:space="preserve"> </w:t>
      </w:r>
      <w:r w:rsidRPr="00283806">
        <w:rPr>
          <w:w w:val="105"/>
        </w:rPr>
        <w:t>the final rule to justify the regulations finalized in this rule. To the extent these comments assume that this rule is based on the monetized climate benefits reflected in the RIA addendum, those assumptions are based on a mistaken premise. As explained in the proposal</w:t>
      </w:r>
      <w:r w:rsidRPr="00283806">
        <w:rPr>
          <w:spacing w:val="40"/>
          <w:w w:val="105"/>
        </w:rPr>
        <w:t xml:space="preserve"> </w:t>
      </w:r>
      <w:r w:rsidRPr="00283806">
        <w:rPr>
          <w:w w:val="105"/>
        </w:rPr>
        <w:t>and</w:t>
      </w:r>
      <w:r w:rsidRPr="00283806">
        <w:rPr>
          <w:spacing w:val="40"/>
          <w:w w:val="105"/>
        </w:rPr>
        <w:t xml:space="preserve"> </w:t>
      </w:r>
      <w:r w:rsidRPr="00283806">
        <w:rPr>
          <w:w w:val="105"/>
        </w:rPr>
        <w:t>in</w:t>
      </w:r>
      <w:r w:rsidRPr="00283806">
        <w:rPr>
          <w:spacing w:val="40"/>
          <w:w w:val="105"/>
        </w:rPr>
        <w:t xml:space="preserve"> </w:t>
      </w:r>
      <w:r w:rsidRPr="00283806">
        <w:rPr>
          <w:w w:val="105"/>
        </w:rPr>
        <w:t>section</w:t>
      </w:r>
      <w:r w:rsidRPr="00283806">
        <w:rPr>
          <w:spacing w:val="40"/>
          <w:w w:val="105"/>
        </w:rPr>
        <w:t xml:space="preserve"> </w:t>
      </w:r>
      <w:r w:rsidRPr="00283806">
        <w:rPr>
          <w:w w:val="105"/>
        </w:rPr>
        <w:t>I.C</w:t>
      </w:r>
      <w:r w:rsidRPr="00283806">
        <w:rPr>
          <w:spacing w:val="40"/>
          <w:w w:val="105"/>
        </w:rPr>
        <w:t xml:space="preserve"> </w:t>
      </w:r>
      <w:r w:rsidRPr="00283806">
        <w:rPr>
          <w:w w:val="105"/>
        </w:rPr>
        <w:t>of</w:t>
      </w:r>
      <w:r w:rsidRPr="00283806">
        <w:rPr>
          <w:spacing w:val="40"/>
          <w:w w:val="105"/>
        </w:rPr>
        <w:t xml:space="preserve"> </w:t>
      </w:r>
      <w:r w:rsidRPr="00283806">
        <w:rPr>
          <w:w w:val="105"/>
        </w:rPr>
        <w:t>this</w:t>
      </w:r>
      <w:r w:rsidRPr="00283806">
        <w:rPr>
          <w:spacing w:val="40"/>
          <w:w w:val="105"/>
        </w:rPr>
        <w:t xml:space="preserve"> </w:t>
      </w:r>
      <w:r w:rsidRPr="00283806">
        <w:rPr>
          <w:w w:val="105"/>
        </w:rPr>
        <w:t>preamble, while EPA included estimated climate benefits in the RIA addendum that were calculated using SC–HFCs, EPA did not rely on those estimates of the monetized climate benefits of the estimated HFC emissions reductions as a record basis</w:t>
      </w:r>
      <w:r w:rsidRPr="00283806">
        <w:rPr>
          <w:spacing w:val="40"/>
          <w:w w:val="105"/>
        </w:rPr>
        <w:t xml:space="preserve"> </w:t>
      </w:r>
      <w:r w:rsidRPr="00283806">
        <w:rPr>
          <w:w w:val="105"/>
        </w:rPr>
        <w:t>for the Agency’s action and would reach the conclusions in this rule even in the absence</w:t>
      </w:r>
      <w:r w:rsidRPr="00283806">
        <w:rPr>
          <w:spacing w:val="40"/>
          <w:w w:val="105"/>
        </w:rPr>
        <w:t xml:space="preserve"> </w:t>
      </w:r>
      <w:r w:rsidRPr="00283806">
        <w:rPr>
          <w:w w:val="105"/>
        </w:rPr>
        <w:t>of</w:t>
      </w:r>
      <w:r w:rsidRPr="00283806">
        <w:rPr>
          <w:spacing w:val="40"/>
          <w:w w:val="105"/>
        </w:rPr>
        <w:t xml:space="preserve"> </w:t>
      </w:r>
      <w:r w:rsidRPr="00283806">
        <w:rPr>
          <w:w w:val="105"/>
        </w:rPr>
        <w:t>the</w:t>
      </w:r>
      <w:r w:rsidRPr="00283806">
        <w:rPr>
          <w:spacing w:val="40"/>
          <w:w w:val="105"/>
        </w:rPr>
        <w:t xml:space="preserve"> </w:t>
      </w:r>
      <w:r w:rsidRPr="00283806">
        <w:rPr>
          <w:w w:val="105"/>
        </w:rPr>
        <w:t>SC–HFCs.</w:t>
      </w:r>
      <w:r w:rsidRPr="00283806">
        <w:rPr>
          <w:spacing w:val="40"/>
          <w:w w:val="105"/>
        </w:rPr>
        <w:t xml:space="preserve"> </w:t>
      </w:r>
      <w:r w:rsidRPr="00283806">
        <w:rPr>
          <w:w w:val="105"/>
        </w:rPr>
        <w:t>In</w:t>
      </w:r>
      <w:r w:rsidRPr="00283806">
        <w:rPr>
          <w:spacing w:val="40"/>
          <w:w w:val="105"/>
        </w:rPr>
        <w:t xml:space="preserve"> </w:t>
      </w:r>
      <w:r w:rsidRPr="00283806">
        <w:rPr>
          <w:w w:val="105"/>
        </w:rPr>
        <w:t>clarifying the role of these analyses in the decision making for this rule, EPA is not taking</w:t>
      </w:r>
      <w:r w:rsidRPr="00283806">
        <w:rPr>
          <w:spacing w:val="40"/>
          <w:w w:val="105"/>
        </w:rPr>
        <w:t xml:space="preserve"> </w:t>
      </w:r>
      <w:r w:rsidRPr="00283806">
        <w:rPr>
          <w:w w:val="105"/>
        </w:rPr>
        <w:t>any position on what SC–HFC benefits</w:t>
      </w:r>
    </w:p>
    <w:p w14:paraId="3DEA8FC9" w14:textId="77777777" w:rsidR="00D67C1E" w:rsidRPr="00283806" w:rsidRDefault="001265CA">
      <w:pPr>
        <w:pStyle w:val="BodyText"/>
        <w:spacing w:before="126" w:line="237" w:lineRule="auto"/>
        <w:ind w:left="144" w:right="146"/>
      </w:pPr>
      <w:r w:rsidRPr="00283806">
        <w:br w:type="column"/>
      </w:r>
      <w:proofErr w:type="gramStart"/>
      <w:r w:rsidRPr="00283806">
        <w:rPr>
          <w:w w:val="105"/>
        </w:rPr>
        <w:t>it</w:t>
      </w:r>
      <w:proofErr w:type="gramEnd"/>
      <w:r w:rsidRPr="00283806">
        <w:rPr>
          <w:spacing w:val="38"/>
          <w:w w:val="105"/>
        </w:rPr>
        <w:t xml:space="preserve"> </w:t>
      </w:r>
      <w:r w:rsidRPr="00283806">
        <w:rPr>
          <w:w w:val="105"/>
        </w:rPr>
        <w:t>could</w:t>
      </w:r>
      <w:r w:rsidRPr="00283806">
        <w:rPr>
          <w:spacing w:val="38"/>
          <w:w w:val="105"/>
        </w:rPr>
        <w:t xml:space="preserve"> </w:t>
      </w:r>
      <w:r w:rsidRPr="00283806">
        <w:rPr>
          <w:w w:val="105"/>
        </w:rPr>
        <w:t>or</w:t>
      </w:r>
      <w:r w:rsidRPr="00283806">
        <w:rPr>
          <w:spacing w:val="38"/>
          <w:w w:val="105"/>
        </w:rPr>
        <w:t xml:space="preserve"> </w:t>
      </w:r>
      <w:r w:rsidRPr="00283806">
        <w:rPr>
          <w:w w:val="105"/>
        </w:rPr>
        <w:t>could</w:t>
      </w:r>
      <w:r w:rsidRPr="00283806">
        <w:rPr>
          <w:spacing w:val="38"/>
          <w:w w:val="105"/>
        </w:rPr>
        <w:t xml:space="preserve"> </w:t>
      </w:r>
      <w:r w:rsidRPr="00283806">
        <w:rPr>
          <w:w w:val="105"/>
        </w:rPr>
        <w:t>not</w:t>
      </w:r>
      <w:r w:rsidRPr="00283806">
        <w:rPr>
          <w:spacing w:val="38"/>
          <w:w w:val="105"/>
        </w:rPr>
        <w:t xml:space="preserve"> </w:t>
      </w:r>
      <w:proofErr w:type="gramStart"/>
      <w:r w:rsidRPr="00283806">
        <w:rPr>
          <w:w w:val="105"/>
        </w:rPr>
        <w:t>take</w:t>
      </w:r>
      <w:r w:rsidRPr="00283806">
        <w:rPr>
          <w:spacing w:val="38"/>
          <w:w w:val="105"/>
        </w:rPr>
        <w:t xml:space="preserve"> </w:t>
      </w:r>
      <w:r w:rsidRPr="00283806">
        <w:rPr>
          <w:w w:val="105"/>
        </w:rPr>
        <w:t>into</w:t>
      </w:r>
      <w:r w:rsidRPr="00283806">
        <w:rPr>
          <w:spacing w:val="38"/>
          <w:w w:val="105"/>
        </w:rPr>
        <w:t xml:space="preserve"> </w:t>
      </w:r>
      <w:r w:rsidRPr="00283806">
        <w:rPr>
          <w:w w:val="105"/>
        </w:rPr>
        <w:t>account</w:t>
      </w:r>
      <w:proofErr w:type="gramEnd"/>
      <w:r w:rsidRPr="00283806">
        <w:rPr>
          <w:w w:val="105"/>
        </w:rPr>
        <w:t xml:space="preserve"> as a legal matter, but rather is simply describing, as a factual matter, its approach in this rule. In addition, as explained</w:t>
      </w:r>
      <w:r w:rsidRPr="00283806">
        <w:rPr>
          <w:spacing w:val="40"/>
          <w:w w:val="105"/>
        </w:rPr>
        <w:t xml:space="preserve"> </w:t>
      </w:r>
      <w:r w:rsidRPr="00283806">
        <w:rPr>
          <w:w w:val="105"/>
        </w:rPr>
        <w:t>throughout</w:t>
      </w:r>
      <w:r w:rsidRPr="00283806">
        <w:rPr>
          <w:spacing w:val="40"/>
          <w:w w:val="105"/>
        </w:rPr>
        <w:t xml:space="preserve"> </w:t>
      </w:r>
      <w:r w:rsidRPr="00283806">
        <w:rPr>
          <w:w w:val="105"/>
        </w:rPr>
        <w:t>this</w:t>
      </w:r>
      <w:r w:rsidRPr="00283806">
        <w:rPr>
          <w:spacing w:val="40"/>
          <w:w w:val="105"/>
        </w:rPr>
        <w:t xml:space="preserve"> </w:t>
      </w:r>
      <w:r w:rsidRPr="00283806">
        <w:rPr>
          <w:w w:val="105"/>
        </w:rPr>
        <w:t>preamble, this rulemaking is designed to serve the purposes identified in subsection (h)(1) of the AIM Act of maximizing</w:t>
      </w:r>
      <w:r w:rsidRPr="00283806">
        <w:rPr>
          <w:spacing w:val="80"/>
          <w:w w:val="105"/>
        </w:rPr>
        <w:t xml:space="preserve"> </w:t>
      </w:r>
      <w:r w:rsidRPr="00283806">
        <w:rPr>
          <w:w w:val="105"/>
        </w:rPr>
        <w:t>reclamation and minimizing the release</w:t>
      </w:r>
      <w:r w:rsidRPr="00283806">
        <w:rPr>
          <w:spacing w:val="40"/>
          <w:w w:val="105"/>
        </w:rPr>
        <w:t xml:space="preserve"> </w:t>
      </w:r>
      <w:r w:rsidRPr="00283806">
        <w:rPr>
          <w:w w:val="105"/>
        </w:rPr>
        <w:t>of regulated substances and ensuring the safety of technicians and consumers. To the extent that these comments are intended to suggest that EPA cannot consider effects on GHG emissions in promulgating regulations under subsection (h), that position is at odds with the plain text of the Act. For example, as explained previously, HFCs are potent GHGs and subsection (h)(1) directs EPA to establish certain regulations for purposes which include minimizing releases of HFCs from equipment.</w:t>
      </w:r>
      <w:r w:rsidRPr="00283806">
        <w:rPr>
          <w:w w:val="105"/>
          <w:position w:val="5"/>
          <w:sz w:val="11"/>
        </w:rPr>
        <w:t>181</w:t>
      </w:r>
      <w:r w:rsidRPr="00283806">
        <w:rPr>
          <w:spacing w:val="40"/>
          <w:w w:val="105"/>
          <w:position w:val="5"/>
          <w:sz w:val="11"/>
        </w:rPr>
        <w:t xml:space="preserve"> </w:t>
      </w:r>
      <w:r w:rsidRPr="00283806">
        <w:rPr>
          <w:w w:val="105"/>
        </w:rPr>
        <w:t>Thus,</w:t>
      </w:r>
      <w:r w:rsidRPr="00283806">
        <w:rPr>
          <w:spacing w:val="40"/>
          <w:w w:val="105"/>
        </w:rPr>
        <w:t xml:space="preserve"> </w:t>
      </w:r>
      <w:r w:rsidRPr="00283806">
        <w:rPr>
          <w:w w:val="105"/>
        </w:rPr>
        <w:t>subsection</w:t>
      </w:r>
      <w:r w:rsidRPr="00283806">
        <w:rPr>
          <w:spacing w:val="40"/>
          <w:w w:val="105"/>
        </w:rPr>
        <w:t xml:space="preserve"> </w:t>
      </w:r>
      <w:r w:rsidRPr="00283806">
        <w:rPr>
          <w:w w:val="105"/>
        </w:rPr>
        <w:t>(h)(1)</w:t>
      </w:r>
      <w:r w:rsidRPr="00283806">
        <w:rPr>
          <w:spacing w:val="40"/>
          <w:w w:val="105"/>
        </w:rPr>
        <w:t xml:space="preserve"> </w:t>
      </w:r>
      <w:r w:rsidRPr="00283806">
        <w:rPr>
          <w:w w:val="105"/>
        </w:rPr>
        <w:t>on its face authorizes EPA to regulate certain</w:t>
      </w:r>
      <w:r w:rsidRPr="00283806">
        <w:rPr>
          <w:spacing w:val="40"/>
          <w:w w:val="105"/>
        </w:rPr>
        <w:t xml:space="preserve"> </w:t>
      </w:r>
      <w:r w:rsidRPr="00283806">
        <w:rPr>
          <w:w w:val="105"/>
        </w:rPr>
        <w:t>GHGs</w:t>
      </w:r>
      <w:r w:rsidRPr="00283806">
        <w:rPr>
          <w:spacing w:val="40"/>
          <w:w w:val="105"/>
        </w:rPr>
        <w:t xml:space="preserve"> </w:t>
      </w:r>
      <w:r w:rsidRPr="00283806">
        <w:rPr>
          <w:w w:val="105"/>
        </w:rPr>
        <w:t>and</w:t>
      </w:r>
      <w:r w:rsidRPr="00283806">
        <w:rPr>
          <w:spacing w:val="40"/>
          <w:w w:val="105"/>
        </w:rPr>
        <w:t xml:space="preserve"> </w:t>
      </w:r>
      <w:r w:rsidRPr="00283806">
        <w:rPr>
          <w:w w:val="105"/>
        </w:rPr>
        <w:t>to</w:t>
      </w:r>
      <w:r w:rsidRPr="00283806">
        <w:rPr>
          <w:spacing w:val="40"/>
          <w:w w:val="105"/>
        </w:rPr>
        <w:t xml:space="preserve"> </w:t>
      </w:r>
      <w:r w:rsidRPr="00283806">
        <w:rPr>
          <w:w w:val="105"/>
        </w:rPr>
        <w:t>focus</w:t>
      </w:r>
      <w:r w:rsidRPr="00283806">
        <w:rPr>
          <w:spacing w:val="40"/>
          <w:w w:val="105"/>
        </w:rPr>
        <w:t xml:space="preserve"> </w:t>
      </w:r>
      <w:r w:rsidRPr="00283806">
        <w:rPr>
          <w:w w:val="105"/>
        </w:rPr>
        <w:t>on minimizing certain sources of emissions of those GHGs, indicating that Congress intended for EPA to address these GHG emissions under subsection (h).</w:t>
      </w:r>
    </w:p>
    <w:p w14:paraId="6A9AF034" w14:textId="77777777" w:rsidR="00D67C1E" w:rsidRPr="00283806" w:rsidRDefault="001265CA">
      <w:pPr>
        <w:pStyle w:val="BodyText"/>
        <w:spacing w:before="31" w:line="237" w:lineRule="auto"/>
        <w:ind w:left="144" w:right="121" w:firstLine="180"/>
      </w:pPr>
      <w:r w:rsidRPr="00283806">
        <w:rPr>
          <w:w w:val="105"/>
        </w:rPr>
        <w:t>With respect to the commenter’s assertion that EPA may not rely on climate benefits for foreign countries or residents of foreign countries as a basis for regulating domestic industries, EPA responds that it is not clear what relevance this assertion has to this rulemaking. As noted previously, EPA is not relying on the quantification of climate</w:t>
      </w:r>
      <w:r w:rsidRPr="00283806">
        <w:rPr>
          <w:spacing w:val="40"/>
          <w:w w:val="105"/>
        </w:rPr>
        <w:t xml:space="preserve"> </w:t>
      </w:r>
      <w:r w:rsidRPr="00283806">
        <w:rPr>
          <w:w w:val="105"/>
        </w:rPr>
        <w:t>benefits</w:t>
      </w:r>
      <w:r w:rsidRPr="00283806">
        <w:rPr>
          <w:spacing w:val="40"/>
          <w:w w:val="105"/>
        </w:rPr>
        <w:t xml:space="preserve"> </w:t>
      </w:r>
      <w:r w:rsidRPr="00283806">
        <w:rPr>
          <w:w w:val="105"/>
        </w:rPr>
        <w:t>in</w:t>
      </w:r>
      <w:r w:rsidRPr="00283806">
        <w:rPr>
          <w:spacing w:val="40"/>
          <w:w w:val="105"/>
        </w:rPr>
        <w:t xml:space="preserve"> </w:t>
      </w:r>
      <w:r w:rsidRPr="00283806">
        <w:rPr>
          <w:w w:val="105"/>
        </w:rPr>
        <w:t>the</w:t>
      </w:r>
      <w:r w:rsidRPr="00283806">
        <w:rPr>
          <w:spacing w:val="40"/>
          <w:w w:val="105"/>
        </w:rPr>
        <w:t xml:space="preserve"> </w:t>
      </w:r>
      <w:r w:rsidRPr="00283806">
        <w:rPr>
          <w:w w:val="105"/>
        </w:rPr>
        <w:t>RIA</w:t>
      </w:r>
      <w:r w:rsidRPr="00283806">
        <w:rPr>
          <w:spacing w:val="40"/>
          <w:w w:val="105"/>
        </w:rPr>
        <w:t xml:space="preserve"> </w:t>
      </w:r>
      <w:r w:rsidRPr="00283806">
        <w:rPr>
          <w:w w:val="105"/>
        </w:rPr>
        <w:t>addendum as a record basis for this rulemaking.</w:t>
      </w:r>
    </w:p>
    <w:p w14:paraId="54FDE118" w14:textId="77777777" w:rsidR="00D67C1E" w:rsidRPr="00283806" w:rsidRDefault="001265CA">
      <w:pPr>
        <w:pStyle w:val="BodyText"/>
        <w:spacing w:line="199" w:lineRule="exact"/>
        <w:ind w:left="144"/>
      </w:pPr>
      <w:r w:rsidRPr="00283806">
        <w:rPr>
          <w:w w:val="105"/>
        </w:rPr>
        <w:t>Further,</w:t>
      </w:r>
      <w:r w:rsidRPr="00283806">
        <w:rPr>
          <w:spacing w:val="11"/>
          <w:w w:val="105"/>
        </w:rPr>
        <w:t xml:space="preserve"> </w:t>
      </w:r>
      <w:r w:rsidRPr="00283806">
        <w:rPr>
          <w:w w:val="105"/>
        </w:rPr>
        <w:t>while</w:t>
      </w:r>
      <w:r w:rsidRPr="00283806">
        <w:rPr>
          <w:spacing w:val="11"/>
          <w:w w:val="105"/>
        </w:rPr>
        <w:t xml:space="preserve"> </w:t>
      </w:r>
      <w:r w:rsidRPr="00283806">
        <w:rPr>
          <w:w w:val="105"/>
        </w:rPr>
        <w:t>the</w:t>
      </w:r>
      <w:r w:rsidRPr="00283806">
        <w:rPr>
          <w:spacing w:val="11"/>
          <w:w w:val="105"/>
        </w:rPr>
        <w:t xml:space="preserve"> </w:t>
      </w:r>
      <w:r w:rsidRPr="00283806">
        <w:rPr>
          <w:w w:val="105"/>
        </w:rPr>
        <w:t>commenter</w:t>
      </w:r>
      <w:r w:rsidRPr="00283806">
        <w:rPr>
          <w:spacing w:val="11"/>
          <w:w w:val="105"/>
        </w:rPr>
        <w:t xml:space="preserve"> </w:t>
      </w:r>
      <w:r w:rsidRPr="00283806">
        <w:rPr>
          <w:spacing w:val="-4"/>
          <w:w w:val="105"/>
        </w:rPr>
        <w:t>cites</w:t>
      </w:r>
    </w:p>
    <w:p w14:paraId="2AB12645" w14:textId="77777777" w:rsidR="00D67C1E" w:rsidRPr="00283806" w:rsidRDefault="001265CA">
      <w:pPr>
        <w:spacing w:line="213" w:lineRule="exact"/>
        <w:ind w:left="144"/>
        <w:rPr>
          <w:sz w:val="18"/>
        </w:rPr>
      </w:pPr>
      <w:r w:rsidRPr="00283806">
        <w:rPr>
          <w:rFonts w:ascii="Book Antiqua"/>
          <w:i/>
          <w:w w:val="110"/>
          <w:sz w:val="18"/>
        </w:rPr>
        <w:t>E.E.O.C.</w:t>
      </w:r>
      <w:r w:rsidRPr="00283806">
        <w:rPr>
          <w:rFonts w:ascii="Book Antiqua"/>
          <w:i/>
          <w:spacing w:val="-6"/>
          <w:w w:val="110"/>
          <w:sz w:val="18"/>
        </w:rPr>
        <w:t xml:space="preserve"> </w:t>
      </w:r>
      <w:r w:rsidRPr="00283806">
        <w:rPr>
          <w:w w:val="110"/>
          <w:sz w:val="18"/>
        </w:rPr>
        <w:t xml:space="preserve">v. </w:t>
      </w:r>
      <w:r w:rsidRPr="00283806">
        <w:rPr>
          <w:rFonts w:ascii="Book Antiqua"/>
          <w:i/>
          <w:w w:val="110"/>
          <w:sz w:val="18"/>
        </w:rPr>
        <w:t>Arabian</w:t>
      </w:r>
      <w:r w:rsidRPr="00283806">
        <w:rPr>
          <w:rFonts w:ascii="Book Antiqua"/>
          <w:i/>
          <w:spacing w:val="-6"/>
          <w:w w:val="110"/>
          <w:sz w:val="18"/>
        </w:rPr>
        <w:t xml:space="preserve"> </w:t>
      </w:r>
      <w:r w:rsidRPr="00283806">
        <w:rPr>
          <w:rFonts w:ascii="Book Antiqua"/>
          <w:i/>
          <w:w w:val="110"/>
          <w:sz w:val="18"/>
        </w:rPr>
        <w:t>Am.</w:t>
      </w:r>
      <w:r w:rsidRPr="00283806">
        <w:rPr>
          <w:rFonts w:ascii="Book Antiqua"/>
          <w:i/>
          <w:spacing w:val="-6"/>
          <w:w w:val="110"/>
          <w:sz w:val="18"/>
        </w:rPr>
        <w:t xml:space="preserve"> </w:t>
      </w:r>
      <w:r w:rsidRPr="00283806">
        <w:rPr>
          <w:rFonts w:ascii="Book Antiqua"/>
          <w:i/>
          <w:w w:val="110"/>
          <w:sz w:val="18"/>
        </w:rPr>
        <w:t>Oil</w:t>
      </w:r>
      <w:r w:rsidRPr="00283806">
        <w:rPr>
          <w:rFonts w:ascii="Book Antiqua"/>
          <w:i/>
          <w:spacing w:val="-6"/>
          <w:w w:val="110"/>
          <w:sz w:val="18"/>
        </w:rPr>
        <w:t xml:space="preserve"> </w:t>
      </w:r>
      <w:r w:rsidRPr="00283806">
        <w:rPr>
          <w:rFonts w:ascii="Book Antiqua"/>
          <w:i/>
          <w:w w:val="110"/>
          <w:sz w:val="18"/>
        </w:rPr>
        <w:t>Co.,</w:t>
      </w:r>
      <w:r w:rsidRPr="00283806">
        <w:rPr>
          <w:rFonts w:ascii="Book Antiqua"/>
          <w:i/>
          <w:spacing w:val="-5"/>
          <w:w w:val="110"/>
          <w:sz w:val="18"/>
        </w:rPr>
        <w:t xml:space="preserve"> </w:t>
      </w:r>
      <w:r w:rsidRPr="00283806">
        <w:rPr>
          <w:spacing w:val="-5"/>
          <w:w w:val="110"/>
          <w:sz w:val="18"/>
        </w:rPr>
        <w:t>499</w:t>
      </w:r>
    </w:p>
    <w:p w14:paraId="6915E2A8" w14:textId="77777777" w:rsidR="00D67C1E" w:rsidRPr="00283806" w:rsidRDefault="001265CA">
      <w:pPr>
        <w:pStyle w:val="BodyText"/>
        <w:spacing w:line="237" w:lineRule="auto"/>
        <w:ind w:left="144" w:right="254"/>
      </w:pPr>
      <w:r w:rsidRPr="00283806">
        <w:rPr>
          <w:w w:val="105"/>
        </w:rPr>
        <w:t>U.S. 244, 254 (1991), it is unclear what bearing that decision is to convey with respect to this rule, as it addresses whether Title VII of the Civil Rights Act</w:t>
      </w:r>
      <w:r w:rsidRPr="00283806">
        <w:rPr>
          <w:spacing w:val="40"/>
          <w:w w:val="105"/>
        </w:rPr>
        <w:t xml:space="preserve"> </w:t>
      </w:r>
      <w:r w:rsidRPr="00283806">
        <w:rPr>
          <w:w w:val="105"/>
        </w:rPr>
        <w:t>of 1964 applies extraterritorially to regulate the employment practices of United States employers who employ United States citizens abroad, and the commenters have offered no further explanation. To the extent the commenter was indicating that EPA</w:t>
      </w:r>
      <w:r w:rsidRPr="00283806">
        <w:rPr>
          <w:spacing w:val="80"/>
          <w:w w:val="105"/>
        </w:rPr>
        <w:t xml:space="preserve"> </w:t>
      </w:r>
      <w:r w:rsidRPr="00283806">
        <w:rPr>
          <w:w w:val="105"/>
        </w:rPr>
        <w:t>may not use the global SC–HFC</w:t>
      </w:r>
      <w:r w:rsidRPr="00283806">
        <w:rPr>
          <w:spacing w:val="40"/>
          <w:w w:val="105"/>
        </w:rPr>
        <w:t xml:space="preserve"> </w:t>
      </w:r>
      <w:r w:rsidRPr="00283806">
        <w:rPr>
          <w:w w:val="105"/>
        </w:rPr>
        <w:t>estimates in the RIA addendum, EPA addressed accounting for global</w:t>
      </w:r>
      <w:r w:rsidRPr="00283806">
        <w:rPr>
          <w:spacing w:val="40"/>
          <w:w w:val="105"/>
        </w:rPr>
        <w:t xml:space="preserve"> </w:t>
      </w:r>
      <w:r w:rsidRPr="00283806">
        <w:rPr>
          <w:w w:val="105"/>
        </w:rPr>
        <w:t>damages in EPA’s ‘‘Report on the Social Cost of Greenhouse Gases: Estimates Incorporating Recent Scientific</w:t>
      </w:r>
    </w:p>
    <w:p w14:paraId="07A52CB6" w14:textId="77777777" w:rsidR="00D67C1E" w:rsidRPr="00283806" w:rsidRDefault="001265CA">
      <w:pPr>
        <w:pStyle w:val="BodyText"/>
        <w:spacing w:before="4"/>
        <w:ind w:left="0"/>
        <w:rPr>
          <w:sz w:val="15"/>
        </w:rPr>
      </w:pPr>
      <w:r w:rsidRPr="00283806">
        <w:rPr>
          <w:noProof/>
        </w:rPr>
        <mc:AlternateContent>
          <mc:Choice Requires="wps">
            <w:drawing>
              <wp:anchor distT="0" distB="0" distL="0" distR="0" simplePos="0" relativeHeight="251687936" behindDoc="1" locked="0" layoutInCell="1" allowOverlap="1" wp14:anchorId="55391B0C" wp14:editId="2A952D6C">
                <wp:simplePos x="0" y="0"/>
                <wp:positionH relativeFrom="page">
                  <wp:posOffset>5067300</wp:posOffset>
                </wp:positionH>
                <wp:positionV relativeFrom="paragraph">
                  <wp:posOffset>129486</wp:posOffset>
                </wp:positionV>
                <wp:extent cx="635000" cy="1270"/>
                <wp:effectExtent l="0" t="0" r="0" b="0"/>
                <wp:wrapTopAndBottom/>
                <wp:docPr id="121" name="Graphic 1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BA1918" id="Graphic 121" o:spid="_x0000_s1026" alt="&quot;&quot;" style="position:absolute;margin-left:399pt;margin-top:10.2pt;width:50pt;height:.1pt;z-index:-251628544;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" path="m,l635000,e" filled="f" strokeweight=".5pt">
                <v:path arrowok="t"/>
                <w10:wrap type="topAndBottom" anchorx="page"/>
              </v:shape>
            </w:pict>
          </mc:Fallback>
        </mc:AlternateContent>
      </w:r>
    </w:p>
    <w:p w14:paraId="66B1083F" w14:textId="77777777" w:rsidR="00D67C1E" w:rsidRPr="00283806" w:rsidRDefault="001265CA">
      <w:pPr>
        <w:spacing w:before="36" w:line="256" w:lineRule="auto"/>
        <w:ind w:left="143" w:right="159" w:firstLine="140"/>
        <w:rPr>
          <w:sz w:val="14"/>
        </w:rPr>
      </w:pPr>
      <w:r w:rsidRPr="00283806">
        <w:rPr>
          <w:w w:val="110"/>
          <w:position w:val="4"/>
          <w:sz w:val="9"/>
        </w:rPr>
        <w:t xml:space="preserve">181 </w:t>
      </w:r>
      <w:r w:rsidRPr="00283806">
        <w:rPr>
          <w:w w:val="110"/>
          <w:sz w:val="14"/>
        </w:rPr>
        <w:t>The comments emphasize the appearance of</w:t>
      </w:r>
      <w:r w:rsidRPr="00283806">
        <w:rPr>
          <w:spacing w:val="40"/>
          <w:w w:val="110"/>
          <w:sz w:val="14"/>
        </w:rPr>
        <w:t xml:space="preserve"> </w:t>
      </w:r>
      <w:r w:rsidRPr="00283806">
        <w:rPr>
          <w:w w:val="110"/>
          <w:sz w:val="14"/>
        </w:rPr>
        <w:t>the</w:t>
      </w:r>
      <w:r w:rsidRPr="00283806">
        <w:rPr>
          <w:spacing w:val="-9"/>
          <w:w w:val="110"/>
          <w:sz w:val="14"/>
        </w:rPr>
        <w:t xml:space="preserve"> </w:t>
      </w:r>
      <w:r w:rsidRPr="00283806">
        <w:rPr>
          <w:w w:val="110"/>
          <w:sz w:val="14"/>
        </w:rPr>
        <w:t>terms</w:t>
      </w:r>
      <w:r w:rsidRPr="00283806">
        <w:rPr>
          <w:spacing w:val="-8"/>
          <w:w w:val="110"/>
          <w:sz w:val="14"/>
        </w:rPr>
        <w:t xml:space="preserve"> </w:t>
      </w:r>
      <w:r w:rsidRPr="00283806">
        <w:rPr>
          <w:w w:val="110"/>
          <w:sz w:val="14"/>
        </w:rPr>
        <w:t>‘‘innovation’’</w:t>
      </w:r>
      <w:r w:rsidRPr="00283806">
        <w:rPr>
          <w:spacing w:val="-9"/>
          <w:w w:val="110"/>
          <w:sz w:val="14"/>
        </w:rPr>
        <w:t xml:space="preserve"> </w:t>
      </w:r>
      <w:r w:rsidRPr="00283806">
        <w:rPr>
          <w:w w:val="110"/>
          <w:sz w:val="14"/>
        </w:rPr>
        <w:t>and</w:t>
      </w:r>
      <w:r w:rsidRPr="00283806">
        <w:rPr>
          <w:spacing w:val="-8"/>
          <w:w w:val="110"/>
          <w:sz w:val="14"/>
        </w:rPr>
        <w:t xml:space="preserve"> </w:t>
      </w:r>
      <w:r w:rsidRPr="00283806">
        <w:rPr>
          <w:w w:val="110"/>
          <w:sz w:val="14"/>
        </w:rPr>
        <w:t>‘‘manufacturing’’</w:t>
      </w:r>
      <w:r w:rsidRPr="00283806">
        <w:rPr>
          <w:spacing w:val="-9"/>
          <w:w w:val="110"/>
          <w:sz w:val="14"/>
        </w:rPr>
        <w:t xml:space="preserve"> </w:t>
      </w:r>
      <w:r w:rsidRPr="00283806">
        <w:rPr>
          <w:w w:val="110"/>
          <w:sz w:val="14"/>
        </w:rPr>
        <w:t>in</w:t>
      </w:r>
      <w:r w:rsidRPr="00283806">
        <w:rPr>
          <w:spacing w:val="-8"/>
          <w:w w:val="110"/>
          <w:sz w:val="14"/>
        </w:rPr>
        <w:t xml:space="preserve"> </w:t>
      </w:r>
      <w:r w:rsidRPr="00283806">
        <w:rPr>
          <w:w w:val="110"/>
          <w:sz w:val="14"/>
        </w:rPr>
        <w:t>the</w:t>
      </w:r>
      <w:r w:rsidRPr="00283806">
        <w:rPr>
          <w:spacing w:val="40"/>
          <w:w w:val="110"/>
          <w:sz w:val="14"/>
        </w:rPr>
        <w:t xml:space="preserve"> </w:t>
      </w:r>
      <w:r w:rsidRPr="00283806">
        <w:rPr>
          <w:w w:val="110"/>
          <w:sz w:val="14"/>
        </w:rPr>
        <w:t>title of the AIM Act, but ‘‘headings and titles are</w:t>
      </w:r>
      <w:r w:rsidRPr="00283806">
        <w:rPr>
          <w:spacing w:val="40"/>
          <w:w w:val="110"/>
          <w:sz w:val="14"/>
        </w:rPr>
        <w:t xml:space="preserve"> </w:t>
      </w:r>
      <w:r w:rsidRPr="00283806">
        <w:rPr>
          <w:w w:val="110"/>
          <w:sz w:val="14"/>
        </w:rPr>
        <w:t>not meant to take the place of the detailed</w:t>
      </w:r>
      <w:r w:rsidRPr="00283806">
        <w:rPr>
          <w:spacing w:val="40"/>
          <w:w w:val="110"/>
          <w:sz w:val="14"/>
        </w:rPr>
        <w:t xml:space="preserve"> </w:t>
      </w:r>
      <w:r w:rsidRPr="00283806">
        <w:rPr>
          <w:w w:val="110"/>
          <w:sz w:val="14"/>
        </w:rPr>
        <w:t xml:space="preserve">provisions of the text.’’ </w:t>
      </w:r>
      <w:r w:rsidRPr="00283806">
        <w:rPr>
          <w:rFonts w:ascii="Book Antiqua" w:hAnsi="Book Antiqua"/>
          <w:i/>
          <w:w w:val="110"/>
          <w:sz w:val="14"/>
        </w:rPr>
        <w:t xml:space="preserve">Bhd. of R.R. Trainmen </w:t>
      </w:r>
      <w:r w:rsidRPr="00283806">
        <w:rPr>
          <w:w w:val="110"/>
          <w:sz w:val="14"/>
        </w:rPr>
        <w:t>v.</w:t>
      </w:r>
    </w:p>
    <w:p w14:paraId="309659B1" w14:textId="77777777" w:rsidR="00D67C1E" w:rsidRPr="00283806" w:rsidRDefault="001265CA">
      <w:pPr>
        <w:spacing w:line="166" w:lineRule="exact"/>
        <w:ind w:left="143"/>
        <w:rPr>
          <w:sz w:val="14"/>
        </w:rPr>
      </w:pPr>
      <w:r w:rsidRPr="00283806">
        <w:rPr>
          <w:rFonts w:ascii="Book Antiqua"/>
          <w:i/>
          <w:w w:val="105"/>
          <w:sz w:val="14"/>
        </w:rPr>
        <w:t>Balt.</w:t>
      </w:r>
      <w:r w:rsidRPr="00283806">
        <w:rPr>
          <w:rFonts w:ascii="Book Antiqua"/>
          <w:i/>
          <w:spacing w:val="4"/>
          <w:w w:val="105"/>
          <w:sz w:val="14"/>
        </w:rPr>
        <w:t xml:space="preserve"> </w:t>
      </w:r>
      <w:r w:rsidRPr="00283806">
        <w:rPr>
          <w:rFonts w:ascii="Book Antiqua"/>
          <w:i/>
          <w:w w:val="105"/>
          <w:sz w:val="14"/>
        </w:rPr>
        <w:t>&amp;</w:t>
      </w:r>
      <w:r w:rsidRPr="00283806">
        <w:rPr>
          <w:rFonts w:ascii="Book Antiqua"/>
          <w:i/>
          <w:spacing w:val="4"/>
          <w:w w:val="105"/>
          <w:sz w:val="14"/>
        </w:rPr>
        <w:t xml:space="preserve"> </w:t>
      </w:r>
      <w:r w:rsidRPr="00283806">
        <w:rPr>
          <w:rFonts w:ascii="Book Antiqua"/>
          <w:i/>
          <w:w w:val="105"/>
          <w:sz w:val="14"/>
        </w:rPr>
        <w:t>O.R.</w:t>
      </w:r>
      <w:r w:rsidRPr="00283806">
        <w:rPr>
          <w:rFonts w:ascii="Book Antiqua"/>
          <w:i/>
          <w:spacing w:val="4"/>
          <w:w w:val="105"/>
          <w:sz w:val="14"/>
        </w:rPr>
        <w:t xml:space="preserve"> </w:t>
      </w:r>
      <w:r w:rsidRPr="00283806">
        <w:rPr>
          <w:rFonts w:ascii="Book Antiqua"/>
          <w:i/>
          <w:w w:val="105"/>
          <w:sz w:val="14"/>
        </w:rPr>
        <w:t>Co.,</w:t>
      </w:r>
      <w:r w:rsidRPr="00283806">
        <w:rPr>
          <w:rFonts w:ascii="Book Antiqua"/>
          <w:i/>
          <w:spacing w:val="4"/>
          <w:w w:val="105"/>
          <w:sz w:val="14"/>
        </w:rPr>
        <w:t xml:space="preserve"> </w:t>
      </w:r>
      <w:r w:rsidRPr="00283806">
        <w:rPr>
          <w:w w:val="105"/>
          <w:sz w:val="14"/>
        </w:rPr>
        <w:t>331</w:t>
      </w:r>
      <w:r w:rsidRPr="00283806">
        <w:rPr>
          <w:spacing w:val="8"/>
          <w:w w:val="105"/>
          <w:sz w:val="14"/>
        </w:rPr>
        <w:t xml:space="preserve"> </w:t>
      </w:r>
      <w:r w:rsidRPr="00283806">
        <w:rPr>
          <w:w w:val="105"/>
          <w:sz w:val="14"/>
        </w:rPr>
        <w:t>U.S.</w:t>
      </w:r>
      <w:r w:rsidRPr="00283806">
        <w:rPr>
          <w:spacing w:val="8"/>
          <w:w w:val="105"/>
          <w:sz w:val="14"/>
        </w:rPr>
        <w:t xml:space="preserve"> </w:t>
      </w:r>
      <w:r w:rsidRPr="00283806">
        <w:rPr>
          <w:w w:val="105"/>
          <w:sz w:val="14"/>
        </w:rPr>
        <w:t>519,</w:t>
      </w:r>
      <w:r w:rsidRPr="00283806">
        <w:rPr>
          <w:spacing w:val="9"/>
          <w:w w:val="105"/>
          <w:sz w:val="14"/>
        </w:rPr>
        <w:t xml:space="preserve"> </w:t>
      </w:r>
      <w:r w:rsidRPr="00283806">
        <w:rPr>
          <w:w w:val="105"/>
          <w:sz w:val="14"/>
        </w:rPr>
        <w:t>528</w:t>
      </w:r>
      <w:r w:rsidRPr="00283806">
        <w:rPr>
          <w:spacing w:val="8"/>
          <w:w w:val="105"/>
          <w:sz w:val="14"/>
        </w:rPr>
        <w:t xml:space="preserve"> </w:t>
      </w:r>
      <w:r w:rsidRPr="00283806">
        <w:rPr>
          <w:spacing w:val="-2"/>
          <w:w w:val="105"/>
          <w:sz w:val="14"/>
        </w:rPr>
        <w:t>(1947).</w:t>
      </w:r>
    </w:p>
    <w:p w14:paraId="12FB97FF" w14:textId="77777777" w:rsidR="00D67C1E" w:rsidRPr="00283806" w:rsidRDefault="00D67C1E">
      <w:pPr>
        <w:spacing w:line="166" w:lineRule="exact"/>
        <w:rPr>
          <w:sz w:val="14"/>
        </w:rPr>
        <w:sectPr w:rsidR="00D67C1E" w:rsidRPr="00283806">
          <w:pgSz w:w="12240" w:h="15840"/>
          <w:pgMar w:top="1040" w:right="780" w:bottom="280" w:left="740" w:header="627" w:footer="0" w:gutter="0"/>
          <w:cols w:num="3" w:space="720" w:equalWidth="0">
            <w:col w:w="3506" w:space="40"/>
            <w:col w:w="3511" w:space="39"/>
            <w:col w:w="3624"/>
          </w:cols>
        </w:sectPr>
      </w:pPr>
    </w:p>
    <w:p w14:paraId="5902CA0E" w14:textId="77777777" w:rsidR="00D67C1E" w:rsidRPr="00283806" w:rsidRDefault="001265CA">
      <w:pPr>
        <w:pStyle w:val="BodyText"/>
        <w:spacing w:before="136" w:line="225" w:lineRule="auto"/>
        <w:ind w:right="24" w:hanging="1"/>
      </w:pPr>
      <w:r w:rsidRPr="00283806">
        <w:rPr>
          <w:w w:val="105"/>
        </w:rPr>
        <w:lastRenderedPageBreak/>
        <w:t>Advances’’</w:t>
      </w:r>
      <w:r w:rsidRPr="00283806">
        <w:rPr>
          <w:spacing w:val="40"/>
          <w:w w:val="105"/>
        </w:rPr>
        <w:t xml:space="preserve"> </w:t>
      </w:r>
      <w:r w:rsidRPr="00283806">
        <w:rPr>
          <w:w w:val="105"/>
        </w:rPr>
        <w:t>(Nov.</w:t>
      </w:r>
      <w:r w:rsidRPr="00283806">
        <w:rPr>
          <w:spacing w:val="40"/>
          <w:w w:val="105"/>
        </w:rPr>
        <w:t xml:space="preserve"> </w:t>
      </w:r>
      <w:r w:rsidRPr="00283806">
        <w:rPr>
          <w:w w:val="105"/>
        </w:rPr>
        <w:t>2023).</w:t>
      </w:r>
      <w:r w:rsidRPr="00283806">
        <w:rPr>
          <w:w w:val="105"/>
          <w:position w:val="5"/>
          <w:sz w:val="11"/>
        </w:rPr>
        <w:t>182</w:t>
      </w:r>
      <w:r w:rsidRPr="00283806">
        <w:rPr>
          <w:spacing w:val="40"/>
          <w:w w:val="105"/>
          <w:position w:val="5"/>
          <w:sz w:val="11"/>
        </w:rPr>
        <w:t xml:space="preserve"> </w:t>
      </w:r>
      <w:r w:rsidRPr="00283806">
        <w:rPr>
          <w:w w:val="105"/>
        </w:rPr>
        <w:t>For</w:t>
      </w:r>
      <w:r w:rsidRPr="00283806">
        <w:rPr>
          <w:spacing w:val="40"/>
          <w:w w:val="105"/>
        </w:rPr>
        <w:t xml:space="preserve"> </w:t>
      </w:r>
      <w:r w:rsidRPr="00283806">
        <w:rPr>
          <w:w w:val="105"/>
        </w:rPr>
        <w:t>additional discussion on this issue, EPA also</w:t>
      </w:r>
      <w:r w:rsidRPr="00283806">
        <w:rPr>
          <w:spacing w:val="35"/>
          <w:w w:val="105"/>
        </w:rPr>
        <w:t xml:space="preserve"> </w:t>
      </w:r>
      <w:r w:rsidRPr="00283806">
        <w:rPr>
          <w:w w:val="105"/>
        </w:rPr>
        <w:t>refers</w:t>
      </w:r>
      <w:r w:rsidRPr="00283806">
        <w:rPr>
          <w:spacing w:val="35"/>
          <w:w w:val="105"/>
        </w:rPr>
        <w:t xml:space="preserve"> </w:t>
      </w:r>
      <w:r w:rsidRPr="00283806">
        <w:rPr>
          <w:w w:val="105"/>
        </w:rPr>
        <w:t>the</w:t>
      </w:r>
      <w:r w:rsidRPr="00283806">
        <w:rPr>
          <w:spacing w:val="35"/>
          <w:w w:val="105"/>
        </w:rPr>
        <w:t xml:space="preserve"> </w:t>
      </w:r>
      <w:r w:rsidRPr="00283806">
        <w:rPr>
          <w:w w:val="105"/>
        </w:rPr>
        <w:t>commenter</w:t>
      </w:r>
      <w:r w:rsidRPr="00283806">
        <w:rPr>
          <w:spacing w:val="35"/>
          <w:w w:val="105"/>
        </w:rPr>
        <w:t xml:space="preserve"> </w:t>
      </w:r>
      <w:r w:rsidRPr="00283806">
        <w:rPr>
          <w:w w:val="105"/>
        </w:rPr>
        <w:t>to</w:t>
      </w:r>
      <w:r w:rsidRPr="00283806">
        <w:rPr>
          <w:spacing w:val="35"/>
          <w:w w:val="105"/>
        </w:rPr>
        <w:t xml:space="preserve"> </w:t>
      </w:r>
      <w:r w:rsidRPr="00283806">
        <w:rPr>
          <w:w w:val="105"/>
        </w:rPr>
        <w:t>Appendix A of the response to public comments document available in the docket for ‘‘Standards of Performance for New, Reconstructed, and Modified Sources</w:t>
      </w:r>
      <w:r w:rsidRPr="00283806">
        <w:rPr>
          <w:spacing w:val="80"/>
          <w:w w:val="105"/>
        </w:rPr>
        <w:t xml:space="preserve"> </w:t>
      </w:r>
      <w:r w:rsidRPr="00283806">
        <w:rPr>
          <w:w w:val="105"/>
        </w:rPr>
        <w:t>and Emissions Guidelines for Existing Sources: Oil and Natural Gas Sector Climate Review.’’</w:t>
      </w:r>
      <w:r w:rsidRPr="00283806">
        <w:rPr>
          <w:spacing w:val="-1"/>
          <w:w w:val="105"/>
        </w:rPr>
        <w:t xml:space="preserve"> </w:t>
      </w:r>
      <w:r w:rsidRPr="00283806">
        <w:rPr>
          <w:w w:val="105"/>
          <w:position w:val="5"/>
          <w:sz w:val="11"/>
        </w:rPr>
        <w:t>183</w:t>
      </w:r>
      <w:r w:rsidRPr="00283806">
        <w:rPr>
          <w:spacing w:val="40"/>
          <w:w w:val="105"/>
          <w:position w:val="5"/>
          <w:sz w:val="11"/>
        </w:rPr>
        <w:t xml:space="preserve"> </w:t>
      </w:r>
      <w:r w:rsidRPr="00283806">
        <w:rPr>
          <w:w w:val="105"/>
        </w:rPr>
        <w:t>With respect to the commenter’s position that there are</w:t>
      </w:r>
      <w:r w:rsidRPr="00283806">
        <w:rPr>
          <w:spacing w:val="40"/>
          <w:w w:val="105"/>
        </w:rPr>
        <w:t xml:space="preserve"> </w:t>
      </w:r>
      <w:r w:rsidRPr="00283806">
        <w:rPr>
          <w:w w:val="105"/>
        </w:rPr>
        <w:t>‘‘zero benefits’’ from reclaim, EPA disagrees. In the RIA addendum and Economic Impact and Benefits TSD,</w:t>
      </w:r>
      <w:r w:rsidRPr="00283806">
        <w:rPr>
          <w:spacing w:val="80"/>
          <w:w w:val="105"/>
        </w:rPr>
        <w:t xml:space="preserve"> </w:t>
      </w:r>
      <w:r w:rsidRPr="00283806">
        <w:rPr>
          <w:w w:val="105"/>
        </w:rPr>
        <w:t>while we conservatively do not attribute emission reductions from such provisions, we do estimate a reduction</w:t>
      </w:r>
      <w:r w:rsidRPr="00283806">
        <w:rPr>
          <w:spacing w:val="80"/>
          <w:w w:val="150"/>
        </w:rPr>
        <w:t xml:space="preserve"> </w:t>
      </w:r>
      <w:r w:rsidRPr="00283806">
        <w:rPr>
          <w:w w:val="105"/>
        </w:rPr>
        <w:t>in consumption of HFCs. Regardless, the purpose of these provisions is not to provide a specific benefit; rather, as already</w:t>
      </w:r>
      <w:r w:rsidRPr="00283806">
        <w:rPr>
          <w:spacing w:val="40"/>
          <w:w w:val="105"/>
        </w:rPr>
        <w:t xml:space="preserve"> </w:t>
      </w:r>
      <w:r w:rsidRPr="00283806">
        <w:rPr>
          <w:w w:val="105"/>
        </w:rPr>
        <w:t>explained,</w:t>
      </w:r>
      <w:r w:rsidRPr="00283806">
        <w:rPr>
          <w:spacing w:val="40"/>
          <w:w w:val="105"/>
        </w:rPr>
        <w:t xml:space="preserve"> </w:t>
      </w:r>
      <w:r w:rsidRPr="00283806">
        <w:rPr>
          <w:w w:val="105"/>
        </w:rPr>
        <w:t>the</w:t>
      </w:r>
      <w:r w:rsidRPr="00283806">
        <w:rPr>
          <w:spacing w:val="40"/>
          <w:w w:val="105"/>
        </w:rPr>
        <w:t xml:space="preserve"> </w:t>
      </w:r>
      <w:r w:rsidRPr="00283806">
        <w:rPr>
          <w:w w:val="105"/>
        </w:rPr>
        <w:t>purpose</w:t>
      </w:r>
      <w:r w:rsidRPr="00283806">
        <w:rPr>
          <w:spacing w:val="40"/>
          <w:w w:val="105"/>
        </w:rPr>
        <w:t xml:space="preserve"> </w:t>
      </w:r>
      <w:r w:rsidRPr="00283806">
        <w:rPr>
          <w:w w:val="105"/>
        </w:rPr>
        <w:t>is</w:t>
      </w:r>
      <w:r w:rsidRPr="00283806">
        <w:rPr>
          <w:spacing w:val="40"/>
          <w:w w:val="105"/>
        </w:rPr>
        <w:t xml:space="preserve"> </w:t>
      </w:r>
      <w:r w:rsidRPr="00283806">
        <w:rPr>
          <w:w w:val="105"/>
        </w:rPr>
        <w:t xml:space="preserve">to help fulfill in a reasonable manner the purposes identified in subsection (h)(1), including the purpose of maximizing </w:t>
      </w:r>
      <w:r w:rsidRPr="00283806">
        <w:rPr>
          <w:spacing w:val="-2"/>
          <w:w w:val="105"/>
        </w:rPr>
        <w:t>reclamation.</w:t>
      </w:r>
    </w:p>
    <w:p w14:paraId="5B0E72AC" w14:textId="77777777" w:rsidR="00D67C1E" w:rsidRPr="00283806" w:rsidRDefault="001265CA">
      <w:pPr>
        <w:pStyle w:val="BodyText"/>
        <w:spacing w:line="171" w:lineRule="exact"/>
        <w:ind w:left="340"/>
      </w:pPr>
      <w:r w:rsidRPr="00283806">
        <w:rPr>
          <w:w w:val="105"/>
        </w:rPr>
        <w:t>Furthermore,</w:t>
      </w:r>
      <w:r w:rsidRPr="00283806">
        <w:rPr>
          <w:spacing w:val="7"/>
          <w:w w:val="105"/>
        </w:rPr>
        <w:t xml:space="preserve"> </w:t>
      </w:r>
      <w:r w:rsidRPr="00283806">
        <w:rPr>
          <w:w w:val="105"/>
        </w:rPr>
        <w:t>the</w:t>
      </w:r>
      <w:r w:rsidRPr="00283806">
        <w:rPr>
          <w:spacing w:val="8"/>
          <w:w w:val="105"/>
        </w:rPr>
        <w:t xml:space="preserve"> </w:t>
      </w:r>
      <w:r w:rsidRPr="00283806">
        <w:rPr>
          <w:w w:val="105"/>
        </w:rPr>
        <w:t>Agency</w:t>
      </w:r>
      <w:r w:rsidRPr="00283806">
        <w:rPr>
          <w:spacing w:val="8"/>
          <w:w w:val="105"/>
        </w:rPr>
        <w:t xml:space="preserve"> </w:t>
      </w:r>
      <w:proofErr w:type="gramStart"/>
      <w:r w:rsidRPr="00283806">
        <w:rPr>
          <w:w w:val="105"/>
        </w:rPr>
        <w:t>refers</w:t>
      </w:r>
      <w:proofErr w:type="gramEnd"/>
      <w:r w:rsidRPr="00283806">
        <w:rPr>
          <w:spacing w:val="7"/>
          <w:w w:val="105"/>
        </w:rPr>
        <w:t xml:space="preserve"> </w:t>
      </w:r>
      <w:r w:rsidRPr="00283806">
        <w:rPr>
          <w:spacing w:val="-5"/>
          <w:w w:val="105"/>
        </w:rPr>
        <w:t>the</w:t>
      </w:r>
    </w:p>
    <w:p w14:paraId="5452066D" w14:textId="77777777" w:rsidR="00D67C1E" w:rsidRPr="00283806" w:rsidRDefault="001265CA">
      <w:pPr>
        <w:pStyle w:val="BodyText"/>
        <w:spacing w:before="5" w:line="223" w:lineRule="auto"/>
        <w:ind w:left="159" w:right="21"/>
      </w:pPr>
      <w:r w:rsidRPr="00283806">
        <w:rPr>
          <w:w w:val="105"/>
        </w:rPr>
        <w:t>reader to some publicly available information which may be of interest to these commenters. Information on the production and consumption of HFCs is provided on EPA’s HFC Data Hub.</w:t>
      </w:r>
      <w:r w:rsidRPr="00283806">
        <w:rPr>
          <w:w w:val="105"/>
          <w:position w:val="5"/>
          <w:sz w:val="11"/>
        </w:rPr>
        <w:t>184</w:t>
      </w:r>
      <w:r w:rsidRPr="00283806">
        <w:rPr>
          <w:spacing w:val="40"/>
          <w:w w:val="105"/>
          <w:position w:val="5"/>
          <w:sz w:val="11"/>
        </w:rPr>
        <w:t xml:space="preserve"> </w:t>
      </w:r>
      <w:r w:rsidRPr="00283806">
        <w:rPr>
          <w:w w:val="105"/>
        </w:rPr>
        <w:t xml:space="preserve">While information on chemical producers’ ‘‘benefits’’ </w:t>
      </w:r>
      <w:proofErr w:type="gramStart"/>
      <w:r w:rsidRPr="00283806">
        <w:rPr>
          <w:w w:val="105"/>
        </w:rPr>
        <w:t>are</w:t>
      </w:r>
      <w:proofErr w:type="gramEnd"/>
      <w:r w:rsidRPr="00283806">
        <w:rPr>
          <w:w w:val="105"/>
        </w:rPr>
        <w:t xml:space="preserve"> not reportable under AIM Act regulations, EPA invites the commenter to refer to company reports including filings with the U.S. Securities and Exchange Commission.</w:t>
      </w:r>
      <w:r w:rsidRPr="00283806">
        <w:rPr>
          <w:spacing w:val="40"/>
          <w:w w:val="105"/>
        </w:rPr>
        <w:t xml:space="preserve"> </w:t>
      </w:r>
      <w:r w:rsidRPr="00283806">
        <w:rPr>
          <w:w w:val="105"/>
        </w:rPr>
        <w:t xml:space="preserve">For the manufacturing sector, EPA also directs the commenters to a 2018 industry-commissioned study titled </w:t>
      </w:r>
      <w:r w:rsidRPr="00283806">
        <w:rPr>
          <w:rFonts w:ascii="Book Antiqua" w:hAnsi="Book Antiqua"/>
          <w:i/>
          <w:w w:val="105"/>
        </w:rPr>
        <w:t>Economic Ratification of the Kigali</w:t>
      </w:r>
      <w:r w:rsidRPr="00283806">
        <w:rPr>
          <w:rFonts w:ascii="Book Antiqua" w:hAnsi="Book Antiqua"/>
          <w:i/>
          <w:spacing w:val="40"/>
          <w:w w:val="105"/>
        </w:rPr>
        <w:t xml:space="preserve"> </w:t>
      </w:r>
      <w:r w:rsidRPr="00283806">
        <w:rPr>
          <w:rFonts w:ascii="Book Antiqua" w:hAnsi="Book Antiqua"/>
          <w:i/>
          <w:w w:val="105"/>
        </w:rPr>
        <w:t>Amendment,</w:t>
      </w:r>
      <w:r w:rsidRPr="00283806">
        <w:rPr>
          <w:w w:val="105"/>
          <w:position w:val="5"/>
          <w:sz w:val="11"/>
        </w:rPr>
        <w:t>185</w:t>
      </w:r>
      <w:r w:rsidRPr="00283806">
        <w:rPr>
          <w:spacing w:val="40"/>
          <w:w w:val="105"/>
          <w:position w:val="5"/>
          <w:sz w:val="11"/>
        </w:rPr>
        <w:t xml:space="preserve"> </w:t>
      </w:r>
      <w:r w:rsidRPr="00283806">
        <w:rPr>
          <w:w w:val="105"/>
        </w:rPr>
        <w:t>which found significant economic benefits in terms of increased manufacturing output and job creation.</w:t>
      </w:r>
    </w:p>
    <w:p w14:paraId="69CD6A8C" w14:textId="77777777" w:rsidR="00D67C1E" w:rsidRPr="00283806" w:rsidRDefault="001265CA">
      <w:pPr>
        <w:pStyle w:val="BodyText"/>
        <w:spacing w:before="1" w:line="225" w:lineRule="auto"/>
        <w:ind w:right="109" w:firstLine="180"/>
      </w:pPr>
      <w:r w:rsidRPr="00283806">
        <w:rPr>
          <w:w w:val="105"/>
        </w:rPr>
        <w:t>Lastly, regarding one commenter’s request for the Agency to conduct</w:t>
      </w:r>
      <w:r w:rsidRPr="00283806">
        <w:rPr>
          <w:spacing w:val="40"/>
          <w:w w:val="105"/>
        </w:rPr>
        <w:t xml:space="preserve"> </w:t>
      </w:r>
      <w:r w:rsidRPr="00283806">
        <w:rPr>
          <w:w w:val="105"/>
        </w:rPr>
        <w:t>further analysis of the $3.7 billion in estimated costs, EPA has reevaluated</w:t>
      </w:r>
      <w:r w:rsidRPr="00283806">
        <w:rPr>
          <w:spacing w:val="80"/>
          <w:w w:val="105"/>
        </w:rPr>
        <w:t xml:space="preserve"> </w:t>
      </w:r>
      <w:r w:rsidRPr="00283806">
        <w:rPr>
          <w:w w:val="105"/>
        </w:rPr>
        <w:t>the final rule and included information on the costs and benefits in the</w:t>
      </w:r>
      <w:r w:rsidRPr="00283806">
        <w:rPr>
          <w:spacing w:val="40"/>
          <w:w w:val="105"/>
        </w:rPr>
        <w:t xml:space="preserve"> </w:t>
      </w:r>
      <w:r w:rsidRPr="00283806">
        <w:rPr>
          <w:w w:val="105"/>
        </w:rPr>
        <w:t>Economic Impact and Benefits TSD. Although the commenter was not</w:t>
      </w:r>
      <w:r w:rsidRPr="00283806">
        <w:rPr>
          <w:spacing w:val="40"/>
          <w:w w:val="105"/>
        </w:rPr>
        <w:t xml:space="preserve"> </w:t>
      </w:r>
      <w:r w:rsidRPr="00283806">
        <w:rPr>
          <w:w w:val="105"/>
        </w:rPr>
        <w:t>specific on what costs a further analysis should include, EPA has provided</w:t>
      </w:r>
      <w:r w:rsidRPr="00283806">
        <w:rPr>
          <w:spacing w:val="80"/>
          <w:w w:val="105"/>
        </w:rPr>
        <w:t xml:space="preserve"> </w:t>
      </w:r>
      <w:r w:rsidRPr="00283806">
        <w:rPr>
          <w:w w:val="105"/>
        </w:rPr>
        <w:t>further information to comply with Executive Orders and has also included the</w:t>
      </w:r>
      <w:r w:rsidRPr="00283806">
        <w:rPr>
          <w:spacing w:val="40"/>
          <w:w w:val="105"/>
        </w:rPr>
        <w:t xml:space="preserve"> </w:t>
      </w:r>
      <w:r w:rsidRPr="00283806">
        <w:rPr>
          <w:w w:val="105"/>
        </w:rPr>
        <w:t>RIA</w:t>
      </w:r>
      <w:r w:rsidRPr="00283806">
        <w:rPr>
          <w:spacing w:val="40"/>
          <w:w w:val="105"/>
        </w:rPr>
        <w:t xml:space="preserve"> </w:t>
      </w:r>
      <w:r w:rsidRPr="00283806">
        <w:rPr>
          <w:w w:val="105"/>
        </w:rPr>
        <w:t>addendum</w:t>
      </w:r>
      <w:r w:rsidRPr="00283806">
        <w:rPr>
          <w:spacing w:val="40"/>
          <w:w w:val="105"/>
        </w:rPr>
        <w:t xml:space="preserve"> </w:t>
      </w:r>
      <w:r w:rsidRPr="00283806">
        <w:rPr>
          <w:w w:val="105"/>
        </w:rPr>
        <w:t>in</w:t>
      </w:r>
      <w:r w:rsidRPr="00283806">
        <w:rPr>
          <w:spacing w:val="40"/>
          <w:w w:val="105"/>
        </w:rPr>
        <w:t xml:space="preserve"> </w:t>
      </w:r>
      <w:r w:rsidRPr="00283806">
        <w:rPr>
          <w:w w:val="105"/>
        </w:rPr>
        <w:t>the</w:t>
      </w:r>
      <w:r w:rsidRPr="00283806">
        <w:rPr>
          <w:spacing w:val="40"/>
          <w:w w:val="105"/>
        </w:rPr>
        <w:t xml:space="preserve"> </w:t>
      </w:r>
      <w:r w:rsidRPr="00283806">
        <w:rPr>
          <w:w w:val="105"/>
        </w:rPr>
        <w:t>docket, though the Agency is not relying on that</w:t>
      </w:r>
    </w:p>
    <w:p w14:paraId="087D6CBB" w14:textId="77777777" w:rsidR="00D67C1E" w:rsidRPr="00283806" w:rsidRDefault="001265CA">
      <w:pPr>
        <w:pStyle w:val="BodyText"/>
        <w:spacing w:before="6"/>
        <w:ind w:left="0"/>
        <w:rPr>
          <w:sz w:val="12"/>
        </w:rPr>
      </w:pPr>
      <w:r w:rsidRPr="00283806">
        <w:rPr>
          <w:noProof/>
        </w:rPr>
        <mc:AlternateContent>
          <mc:Choice Requires="wps">
            <w:drawing>
              <wp:anchor distT="0" distB="0" distL="0" distR="0" simplePos="0" relativeHeight="251688960" behindDoc="1" locked="0" layoutInCell="1" allowOverlap="1" wp14:anchorId="540C547C" wp14:editId="68510450">
                <wp:simplePos x="0" y="0"/>
                <wp:positionH relativeFrom="page">
                  <wp:posOffset>571500</wp:posOffset>
                </wp:positionH>
                <wp:positionV relativeFrom="paragraph">
                  <wp:posOffset>108978</wp:posOffset>
                </wp:positionV>
                <wp:extent cx="635000" cy="1270"/>
                <wp:effectExtent l="0" t="0" r="0" b="0"/>
                <wp:wrapTopAndBottom/>
                <wp:docPr id="122" name="Graphic 1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79D1DB" id="Graphic 122" o:spid="_x0000_s1026" alt="&quot;&quot;" style="position:absolute;margin-left:45pt;margin-top:8.6pt;width:50pt;height:.1pt;z-index:-251627520;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" path="m,l635000,e" filled="f" strokeweight=".5pt">
                <v:path arrowok="t"/>
                <w10:wrap type="topAndBottom" anchorx="page"/>
              </v:shape>
            </w:pict>
          </mc:Fallback>
        </mc:AlternateContent>
      </w:r>
    </w:p>
    <w:p w14:paraId="4EC0FCAD" w14:textId="5DD1A391" w:rsidR="00D67C1E" w:rsidRPr="00283806" w:rsidRDefault="001265CA">
      <w:pPr>
        <w:spacing w:before="50" w:line="213" w:lineRule="auto"/>
        <w:ind w:left="159" w:right="134" w:firstLine="140"/>
        <w:rPr>
          <w:sz w:val="14"/>
        </w:rPr>
      </w:pPr>
      <w:r w:rsidRPr="00283806">
        <w:rPr>
          <w:w w:val="115"/>
          <w:position w:val="4"/>
          <w:sz w:val="9"/>
        </w:rPr>
        <w:t xml:space="preserve">182 </w:t>
      </w:r>
      <w:r w:rsidRPr="00283806">
        <w:rPr>
          <w:w w:val="115"/>
          <w:sz w:val="14"/>
        </w:rPr>
        <w:t xml:space="preserve">Available at: </w:t>
      </w:r>
      <w:r w:rsidRPr="00283806">
        <w:rPr>
          <w:rFonts w:ascii="Book Antiqua" w:hAnsi="Book Antiqua"/>
          <w:i/>
          <w:w w:val="115"/>
          <w:sz w:val="14"/>
        </w:rPr>
        <w:t xml:space="preserve">https://www.epa.gov/system/ </w:t>
      </w:r>
      <w:r w:rsidRPr="00283806">
        <w:rPr>
          <w:rFonts w:ascii="Book Antiqua" w:hAnsi="Book Antiqua"/>
          <w:i/>
          <w:spacing w:val="-2"/>
          <w:w w:val="110"/>
          <w:sz w:val="14"/>
        </w:rPr>
        <w:t>files/documents/2023-12/epa</w:t>
      </w:r>
      <w:r w:rsidRPr="00283806">
        <w:rPr>
          <w:rFonts w:ascii="Symbol" w:hAnsi="Symbol"/>
          <w:spacing w:val="-2"/>
          <w:w w:val="110"/>
          <w:sz w:val="14"/>
        </w:rPr>
        <w:t></w:t>
      </w:r>
      <w:r w:rsidRPr="00283806">
        <w:rPr>
          <w:rFonts w:ascii="Book Antiqua" w:hAnsi="Book Antiqua"/>
          <w:i/>
          <w:spacing w:val="-2"/>
          <w:w w:val="110"/>
          <w:sz w:val="14"/>
        </w:rPr>
        <w:t>scghg</w:t>
      </w:r>
      <w:r w:rsidRPr="00283806">
        <w:rPr>
          <w:rFonts w:ascii="Symbol" w:hAnsi="Symbol"/>
          <w:spacing w:val="-2"/>
          <w:w w:val="110"/>
          <w:sz w:val="14"/>
        </w:rPr>
        <w:t></w:t>
      </w:r>
      <w:r w:rsidRPr="00283806">
        <w:rPr>
          <w:rFonts w:ascii="Book Antiqua" w:hAnsi="Book Antiqua"/>
          <w:i/>
          <w:spacing w:val="-2"/>
          <w:w w:val="110"/>
          <w:sz w:val="14"/>
        </w:rPr>
        <w:t>2023</w:t>
      </w:r>
      <w:r w:rsidRPr="00283806">
        <w:rPr>
          <w:rFonts w:ascii="Symbol" w:hAnsi="Symbol"/>
          <w:spacing w:val="-2"/>
          <w:w w:val="110"/>
          <w:sz w:val="14"/>
        </w:rPr>
        <w:t></w:t>
      </w:r>
      <w:r w:rsidRPr="00283806">
        <w:rPr>
          <w:rFonts w:ascii="Book Antiqua" w:hAnsi="Book Antiqua"/>
          <w:i/>
          <w:spacing w:val="-2"/>
          <w:w w:val="110"/>
          <w:sz w:val="14"/>
        </w:rPr>
        <w:t>report</w:t>
      </w:r>
      <w:r w:rsidRPr="00283806">
        <w:rPr>
          <w:rFonts w:ascii="Symbol" w:hAnsi="Symbol"/>
          <w:spacing w:val="-2"/>
          <w:w w:val="110"/>
          <w:sz w:val="14"/>
        </w:rPr>
        <w:t></w:t>
      </w:r>
      <w:r w:rsidRPr="00283806">
        <w:rPr>
          <w:rFonts w:ascii="Times New Roman" w:hAnsi="Times New Roman"/>
          <w:spacing w:val="40"/>
          <w:w w:val="115"/>
          <w:sz w:val="14"/>
        </w:rPr>
        <w:t xml:space="preserve"> </w:t>
      </w:r>
      <w:r w:rsidRPr="00283806">
        <w:rPr>
          <w:rFonts w:ascii="Book Antiqua" w:hAnsi="Book Antiqua"/>
          <w:i/>
          <w:spacing w:val="-2"/>
          <w:w w:val="115"/>
          <w:sz w:val="14"/>
        </w:rPr>
        <w:t>final.pdf</w:t>
      </w:r>
      <w:r w:rsidRPr="00283806">
        <w:rPr>
          <w:spacing w:val="-2"/>
          <w:w w:val="115"/>
          <w:sz w:val="14"/>
        </w:rPr>
        <w:t>.</w:t>
      </w:r>
    </w:p>
    <w:p w14:paraId="5CAA6245" w14:textId="584B2CED" w:rsidR="00D67C1E" w:rsidRPr="00283806" w:rsidRDefault="001265CA">
      <w:pPr>
        <w:spacing w:before="16" w:line="220" w:lineRule="auto"/>
        <w:ind w:left="159" w:right="302" w:firstLine="140"/>
        <w:rPr>
          <w:sz w:val="14"/>
        </w:rPr>
      </w:pPr>
      <w:r w:rsidRPr="00283806">
        <w:rPr>
          <w:w w:val="110"/>
          <w:position w:val="4"/>
          <w:sz w:val="9"/>
        </w:rPr>
        <w:t xml:space="preserve">183 </w:t>
      </w:r>
      <w:r w:rsidRPr="00283806">
        <w:rPr>
          <w:w w:val="110"/>
          <w:sz w:val="14"/>
        </w:rPr>
        <w:t xml:space="preserve">Available at: </w:t>
      </w:r>
      <w:r w:rsidRPr="00283806">
        <w:rPr>
          <w:rFonts w:ascii="Book Antiqua"/>
          <w:i/>
          <w:w w:val="110"/>
          <w:sz w:val="14"/>
        </w:rPr>
        <w:t>https://www.regulations.gov/</w:t>
      </w:r>
      <w:r w:rsidRPr="00283806">
        <w:rPr>
          <w:rFonts w:ascii="Book Antiqua"/>
          <w:i/>
          <w:spacing w:val="40"/>
          <w:w w:val="110"/>
          <w:sz w:val="14"/>
        </w:rPr>
        <w:t xml:space="preserve"> </w:t>
      </w:r>
      <w:r w:rsidRPr="00283806">
        <w:rPr>
          <w:rFonts w:ascii="Book Antiqua"/>
          <w:i/>
          <w:spacing w:val="-2"/>
          <w:w w:val="110"/>
          <w:sz w:val="14"/>
        </w:rPr>
        <w:t>document/EPA-HQ-OAR-2021-0317-4009</w:t>
      </w:r>
      <w:r w:rsidRPr="00283806">
        <w:rPr>
          <w:spacing w:val="-2"/>
          <w:w w:val="110"/>
          <w:sz w:val="14"/>
        </w:rPr>
        <w:t>.</w:t>
      </w:r>
    </w:p>
    <w:p w14:paraId="0F88E0B6" w14:textId="2E077476" w:rsidR="00D67C1E" w:rsidRPr="00283806" w:rsidRDefault="001265CA">
      <w:pPr>
        <w:spacing w:before="18" w:line="220" w:lineRule="auto"/>
        <w:ind w:left="159" w:right="263" w:firstLine="140"/>
        <w:rPr>
          <w:sz w:val="14"/>
        </w:rPr>
      </w:pPr>
      <w:r w:rsidRPr="00283806">
        <w:rPr>
          <w:spacing w:val="-2"/>
          <w:w w:val="115"/>
          <w:position w:val="4"/>
          <w:sz w:val="9"/>
        </w:rPr>
        <w:t xml:space="preserve">184 </w:t>
      </w:r>
      <w:r w:rsidRPr="00283806">
        <w:rPr>
          <w:spacing w:val="-2"/>
          <w:w w:val="115"/>
          <w:sz w:val="14"/>
        </w:rPr>
        <w:t xml:space="preserve">Available at: </w:t>
      </w:r>
      <w:r w:rsidRPr="00283806">
        <w:rPr>
          <w:rFonts w:ascii="Book Antiqua"/>
          <w:i/>
          <w:spacing w:val="-2"/>
          <w:w w:val="115"/>
          <w:sz w:val="14"/>
        </w:rPr>
        <w:t>https://www.epa.gov/climate-</w:t>
      </w:r>
      <w:r w:rsidRPr="00283806">
        <w:rPr>
          <w:rFonts w:ascii="Book Antiqua"/>
          <w:i/>
          <w:spacing w:val="40"/>
          <w:w w:val="115"/>
          <w:sz w:val="14"/>
        </w:rPr>
        <w:t xml:space="preserve"> </w:t>
      </w:r>
      <w:proofErr w:type="spellStart"/>
      <w:r w:rsidRPr="00283806">
        <w:rPr>
          <w:rFonts w:ascii="Book Antiqua"/>
          <w:i/>
          <w:spacing w:val="-2"/>
          <w:w w:val="115"/>
          <w:sz w:val="14"/>
        </w:rPr>
        <w:t>hfcs</w:t>
      </w:r>
      <w:proofErr w:type="spellEnd"/>
      <w:r w:rsidRPr="00283806">
        <w:rPr>
          <w:rFonts w:ascii="Book Antiqua"/>
          <w:i/>
          <w:spacing w:val="-2"/>
          <w:w w:val="115"/>
          <w:sz w:val="14"/>
        </w:rPr>
        <w:t>-reduction/</w:t>
      </w:r>
      <w:proofErr w:type="spellStart"/>
      <w:r w:rsidRPr="00283806">
        <w:rPr>
          <w:rFonts w:ascii="Book Antiqua"/>
          <w:i/>
          <w:spacing w:val="-2"/>
          <w:w w:val="115"/>
          <w:sz w:val="14"/>
        </w:rPr>
        <w:t>hfc</w:t>
      </w:r>
      <w:proofErr w:type="spellEnd"/>
      <w:r w:rsidRPr="00283806">
        <w:rPr>
          <w:rFonts w:ascii="Book Antiqua"/>
          <w:i/>
          <w:spacing w:val="-2"/>
          <w:w w:val="115"/>
          <w:sz w:val="14"/>
        </w:rPr>
        <w:t>-data-hub</w:t>
      </w:r>
      <w:r w:rsidRPr="00283806">
        <w:rPr>
          <w:spacing w:val="-2"/>
          <w:w w:val="115"/>
          <w:sz w:val="14"/>
        </w:rPr>
        <w:t>.</w:t>
      </w:r>
    </w:p>
    <w:p w14:paraId="11217253" w14:textId="791569EF" w:rsidR="00D67C1E" w:rsidRPr="00283806" w:rsidRDefault="001265CA">
      <w:pPr>
        <w:spacing w:before="18" w:line="223" w:lineRule="auto"/>
        <w:ind w:left="159" w:right="21" w:firstLine="140"/>
        <w:rPr>
          <w:sz w:val="14"/>
        </w:rPr>
      </w:pPr>
      <w:r w:rsidRPr="00283806">
        <w:rPr>
          <w:w w:val="110"/>
          <w:position w:val="4"/>
          <w:sz w:val="9"/>
        </w:rPr>
        <w:t xml:space="preserve">185 </w:t>
      </w:r>
      <w:proofErr w:type="spellStart"/>
      <w:r w:rsidRPr="00283806">
        <w:rPr>
          <w:w w:val="110"/>
          <w:sz w:val="14"/>
        </w:rPr>
        <w:t>Inforum</w:t>
      </w:r>
      <w:proofErr w:type="spellEnd"/>
      <w:r w:rsidRPr="00283806">
        <w:rPr>
          <w:w w:val="110"/>
          <w:sz w:val="14"/>
        </w:rPr>
        <w:t xml:space="preserve"> and JMS Consulting, 2018. Economic</w:t>
      </w:r>
      <w:r w:rsidRPr="00283806">
        <w:rPr>
          <w:spacing w:val="40"/>
          <w:w w:val="110"/>
          <w:sz w:val="14"/>
        </w:rPr>
        <w:t xml:space="preserve"> </w:t>
      </w:r>
      <w:r w:rsidRPr="00283806">
        <w:rPr>
          <w:w w:val="110"/>
          <w:sz w:val="14"/>
        </w:rPr>
        <w:t>Impacts of U.S. Ratification of the Kigali</w:t>
      </w:r>
      <w:r w:rsidRPr="00283806">
        <w:rPr>
          <w:spacing w:val="40"/>
          <w:w w:val="110"/>
          <w:sz w:val="14"/>
        </w:rPr>
        <w:t xml:space="preserve"> </w:t>
      </w:r>
      <w:r w:rsidRPr="00283806">
        <w:rPr>
          <w:w w:val="110"/>
          <w:sz w:val="14"/>
        </w:rPr>
        <w:t xml:space="preserve">Amendment. Available at: </w:t>
      </w:r>
      <w:r w:rsidRPr="00283806">
        <w:rPr>
          <w:rFonts w:ascii="Book Antiqua" w:hAnsi="Book Antiqua"/>
          <w:i/>
          <w:w w:val="110"/>
          <w:sz w:val="14"/>
        </w:rPr>
        <w:t>https://</w:t>
      </w:r>
      <w:r w:rsidRPr="00283806">
        <w:rPr>
          <w:rFonts w:ascii="Book Antiqua" w:hAnsi="Book Antiqua"/>
          <w:i/>
          <w:spacing w:val="40"/>
          <w:w w:val="110"/>
          <w:sz w:val="14"/>
        </w:rPr>
        <w:t xml:space="preserve"> </w:t>
      </w:r>
      <w:r w:rsidRPr="00283806">
        <w:rPr>
          <w:rFonts w:ascii="Book Antiqua" w:hAnsi="Book Antiqua"/>
          <w:i/>
          <w:spacing w:val="-2"/>
          <w:w w:val="110"/>
          <w:sz w:val="14"/>
        </w:rPr>
        <w:t>www.alliancepolicy.org/site/usermedia/application/</w:t>
      </w:r>
      <w:r w:rsidRPr="00283806">
        <w:rPr>
          <w:rFonts w:ascii="Book Antiqua" w:hAnsi="Book Antiqua"/>
          <w:i/>
          <w:spacing w:val="80"/>
          <w:w w:val="150"/>
          <w:sz w:val="14"/>
        </w:rPr>
        <w:t xml:space="preserve"> </w:t>
      </w:r>
      <w:r w:rsidRPr="00283806">
        <w:rPr>
          <w:rFonts w:ascii="Book Antiqua" w:hAnsi="Book Antiqua"/>
          <w:i/>
          <w:spacing w:val="-2"/>
          <w:w w:val="110"/>
          <w:sz w:val="14"/>
        </w:rPr>
        <w:t>6/Kigali</w:t>
      </w:r>
      <w:r w:rsidRPr="00283806">
        <w:rPr>
          <w:rFonts w:ascii="Symbol" w:hAnsi="Symbol"/>
          <w:spacing w:val="-2"/>
          <w:w w:val="110"/>
          <w:sz w:val="14"/>
        </w:rPr>
        <w:t></w:t>
      </w:r>
      <w:r w:rsidRPr="00283806">
        <w:rPr>
          <w:rFonts w:ascii="Book Antiqua" w:hAnsi="Book Antiqua"/>
          <w:i/>
          <w:spacing w:val="-2"/>
          <w:w w:val="110"/>
          <w:sz w:val="14"/>
        </w:rPr>
        <w:t>Economic</w:t>
      </w:r>
      <w:r w:rsidRPr="00283806">
        <w:rPr>
          <w:rFonts w:ascii="Symbol" w:hAnsi="Symbol"/>
          <w:spacing w:val="-2"/>
          <w:w w:val="110"/>
          <w:sz w:val="14"/>
        </w:rPr>
        <w:t></w:t>
      </w:r>
      <w:r w:rsidRPr="00283806">
        <w:rPr>
          <w:rFonts w:ascii="Book Antiqua" w:hAnsi="Book Antiqua"/>
          <w:i/>
          <w:spacing w:val="-2"/>
          <w:w w:val="110"/>
          <w:sz w:val="14"/>
        </w:rPr>
        <w:t>Report.pdf</w:t>
      </w:r>
      <w:r w:rsidRPr="00283806">
        <w:rPr>
          <w:spacing w:val="-2"/>
          <w:w w:val="110"/>
          <w:sz w:val="14"/>
        </w:rPr>
        <w:t>.</w:t>
      </w:r>
    </w:p>
    <w:p w14:paraId="4B2B8336" w14:textId="77777777" w:rsidR="00D67C1E" w:rsidRPr="00283806" w:rsidRDefault="001265CA">
      <w:pPr>
        <w:pStyle w:val="BodyText"/>
        <w:spacing w:before="136" w:line="225" w:lineRule="auto"/>
        <w:ind w:left="139" w:right="72"/>
      </w:pPr>
      <w:r w:rsidRPr="00283806">
        <w:br w:type="column"/>
      </w:r>
      <w:r w:rsidRPr="00283806">
        <w:rPr>
          <w:w w:val="105"/>
        </w:rPr>
        <w:t>as a fact basis for the decisions in the final rule.</w:t>
      </w:r>
    </w:p>
    <w:p w14:paraId="5F559D23" w14:textId="77777777" w:rsidR="00D67C1E" w:rsidRPr="00283806" w:rsidRDefault="001265CA">
      <w:pPr>
        <w:pStyle w:val="BodyText"/>
        <w:spacing w:line="213" w:lineRule="auto"/>
        <w:ind w:left="139" w:right="72" w:firstLine="180"/>
      </w:pPr>
      <w:r w:rsidRPr="00283806">
        <w:rPr>
          <w:rFonts w:ascii="Book Antiqua"/>
          <w:i/>
          <w:w w:val="105"/>
        </w:rPr>
        <w:t xml:space="preserve">Comment: </w:t>
      </w:r>
      <w:r w:rsidRPr="00283806">
        <w:rPr>
          <w:w w:val="105"/>
        </w:rPr>
        <w:t>One commenter stated that they did not carefully reproduce the</w:t>
      </w:r>
    </w:p>
    <w:p w14:paraId="727A1E7B" w14:textId="77777777" w:rsidR="00D67C1E" w:rsidRPr="00283806" w:rsidRDefault="001265CA">
      <w:pPr>
        <w:pStyle w:val="BodyText"/>
        <w:spacing w:line="225" w:lineRule="auto"/>
        <w:ind w:left="139" w:right="76"/>
      </w:pPr>
      <w:r w:rsidRPr="00283806">
        <w:rPr>
          <w:w w:val="105"/>
        </w:rPr>
        <w:t xml:space="preserve">estimated savings and benefits as would have been done if there had been more time for </w:t>
      </w:r>
      <w:proofErr w:type="gramStart"/>
      <w:r w:rsidRPr="00283806">
        <w:rPr>
          <w:w w:val="105"/>
        </w:rPr>
        <w:t>comments, but</w:t>
      </w:r>
      <w:proofErr w:type="gramEnd"/>
      <w:r w:rsidRPr="00283806">
        <w:rPr>
          <w:w w:val="105"/>
        </w:rPr>
        <w:t xml:space="preserve"> claimed that the estimated savings assumption ‘‘would not be expected to decrease over time,</w:t>
      </w:r>
      <w:r w:rsidRPr="00283806">
        <w:rPr>
          <w:spacing w:val="80"/>
          <w:w w:val="105"/>
        </w:rPr>
        <w:t xml:space="preserve"> </w:t>
      </w:r>
      <w:r w:rsidRPr="00283806">
        <w:rPr>
          <w:w w:val="105"/>
        </w:rPr>
        <w:t xml:space="preserve">as the cost of refrigerant would not decrease with the average </w:t>
      </w:r>
      <w:proofErr w:type="gramStart"/>
      <w:r w:rsidRPr="00283806">
        <w:rPr>
          <w:w w:val="105"/>
        </w:rPr>
        <w:t>GWP.’</w:t>
      </w:r>
      <w:proofErr w:type="gramEnd"/>
      <w:r w:rsidRPr="00283806">
        <w:rPr>
          <w:w w:val="105"/>
        </w:rPr>
        <w:t xml:space="preserve">’ The commenter suggested that it is possible that the cost of </w:t>
      </w:r>
      <w:proofErr w:type="gramStart"/>
      <w:r w:rsidRPr="00283806">
        <w:rPr>
          <w:w w:val="105"/>
        </w:rPr>
        <w:t>refrigerant will decrease</w:t>
      </w:r>
      <w:proofErr w:type="gramEnd"/>
      <w:r w:rsidRPr="00283806">
        <w:rPr>
          <w:w w:val="105"/>
        </w:rPr>
        <w:t xml:space="preserve"> over time as it has in the past and as there is more extensive use of non</w:t>
      </w:r>
      <w:proofErr w:type="gramStart"/>
      <w:r w:rsidRPr="00283806">
        <w:rPr>
          <w:w w:val="105"/>
        </w:rPr>
        <w:t>- fluorinated</w:t>
      </w:r>
      <w:proofErr w:type="gramEnd"/>
      <w:r w:rsidRPr="00283806">
        <w:rPr>
          <w:w w:val="105"/>
        </w:rPr>
        <w:t xml:space="preserve"> alternatives.</w:t>
      </w:r>
    </w:p>
    <w:p w14:paraId="51F03B8F" w14:textId="77777777" w:rsidR="00D67C1E" w:rsidRPr="00283806" w:rsidRDefault="001265CA">
      <w:pPr>
        <w:spacing w:line="181" w:lineRule="exact"/>
        <w:ind w:left="139" w:firstLine="180"/>
        <w:rPr>
          <w:sz w:val="18"/>
        </w:rPr>
      </w:pPr>
      <w:r w:rsidRPr="00283806">
        <w:rPr>
          <w:rFonts w:ascii="Book Antiqua"/>
          <w:i/>
          <w:w w:val="110"/>
          <w:sz w:val="18"/>
        </w:rPr>
        <w:t>Response:</w:t>
      </w:r>
      <w:r w:rsidRPr="00283806">
        <w:rPr>
          <w:rFonts w:ascii="Book Antiqua"/>
          <w:i/>
          <w:spacing w:val="-9"/>
          <w:w w:val="110"/>
          <w:sz w:val="18"/>
        </w:rPr>
        <w:t xml:space="preserve"> </w:t>
      </w:r>
      <w:r w:rsidRPr="00283806">
        <w:rPr>
          <w:w w:val="110"/>
          <w:sz w:val="18"/>
        </w:rPr>
        <w:t>EPA</w:t>
      </w:r>
      <w:r w:rsidRPr="00283806">
        <w:rPr>
          <w:spacing w:val="-2"/>
          <w:w w:val="110"/>
          <w:sz w:val="18"/>
        </w:rPr>
        <w:t xml:space="preserve"> </w:t>
      </w:r>
      <w:r w:rsidRPr="00283806">
        <w:rPr>
          <w:w w:val="110"/>
          <w:sz w:val="18"/>
        </w:rPr>
        <w:t>agrees</w:t>
      </w:r>
      <w:r w:rsidRPr="00283806">
        <w:rPr>
          <w:spacing w:val="-2"/>
          <w:w w:val="110"/>
          <w:sz w:val="18"/>
        </w:rPr>
        <w:t xml:space="preserve"> </w:t>
      </w:r>
      <w:r w:rsidRPr="00283806">
        <w:rPr>
          <w:w w:val="110"/>
          <w:sz w:val="18"/>
        </w:rPr>
        <w:t>that</w:t>
      </w:r>
      <w:r w:rsidRPr="00283806">
        <w:rPr>
          <w:spacing w:val="-3"/>
          <w:w w:val="110"/>
          <w:sz w:val="18"/>
        </w:rPr>
        <w:t xml:space="preserve"> </w:t>
      </w:r>
      <w:r w:rsidRPr="00283806">
        <w:rPr>
          <w:w w:val="110"/>
          <w:sz w:val="18"/>
        </w:rPr>
        <w:t>the</w:t>
      </w:r>
      <w:r w:rsidRPr="00283806">
        <w:rPr>
          <w:spacing w:val="-2"/>
          <w:w w:val="110"/>
          <w:sz w:val="18"/>
        </w:rPr>
        <w:t xml:space="preserve"> </w:t>
      </w:r>
      <w:r w:rsidRPr="00283806">
        <w:rPr>
          <w:w w:val="110"/>
          <w:sz w:val="18"/>
        </w:rPr>
        <w:t>cost</w:t>
      </w:r>
      <w:r w:rsidRPr="00283806">
        <w:rPr>
          <w:spacing w:val="-3"/>
          <w:w w:val="110"/>
          <w:sz w:val="18"/>
        </w:rPr>
        <w:t xml:space="preserve"> </w:t>
      </w:r>
      <w:r w:rsidRPr="00283806">
        <w:rPr>
          <w:spacing w:val="-5"/>
          <w:w w:val="110"/>
          <w:sz w:val="18"/>
        </w:rPr>
        <w:t>of</w:t>
      </w:r>
    </w:p>
    <w:p w14:paraId="0829C5ED" w14:textId="77777777" w:rsidR="00D67C1E" w:rsidRPr="00283806" w:rsidRDefault="001265CA">
      <w:pPr>
        <w:pStyle w:val="BodyText"/>
        <w:spacing w:line="225" w:lineRule="auto"/>
        <w:ind w:left="139" w:right="58"/>
      </w:pPr>
      <w:r w:rsidRPr="00283806">
        <w:rPr>
          <w:w w:val="105"/>
        </w:rPr>
        <w:t xml:space="preserve">refrigerants may decrease over </w:t>
      </w:r>
      <w:proofErr w:type="gramStart"/>
      <w:r w:rsidRPr="00283806">
        <w:rPr>
          <w:w w:val="105"/>
        </w:rPr>
        <w:t>time, but</w:t>
      </w:r>
      <w:proofErr w:type="gramEnd"/>
      <w:r w:rsidRPr="00283806">
        <w:rPr>
          <w:w w:val="105"/>
        </w:rPr>
        <w:t xml:space="preserve"> also notes it may increase over time as HFCs are phased down. </w:t>
      </w:r>
      <w:proofErr w:type="gramStart"/>
      <w:r w:rsidRPr="00283806">
        <w:rPr>
          <w:w w:val="105"/>
        </w:rPr>
        <w:t>In light of</w:t>
      </w:r>
      <w:proofErr w:type="gramEnd"/>
      <w:r w:rsidRPr="00283806">
        <w:rPr>
          <w:w w:val="105"/>
        </w:rPr>
        <w:t xml:space="preserve"> this uncertainty and for consistency and comparability</w:t>
      </w:r>
      <w:r w:rsidRPr="00283806">
        <w:rPr>
          <w:spacing w:val="40"/>
          <w:w w:val="105"/>
        </w:rPr>
        <w:t xml:space="preserve"> </w:t>
      </w:r>
      <w:r w:rsidRPr="00283806">
        <w:rPr>
          <w:w w:val="105"/>
        </w:rPr>
        <w:t>with</w:t>
      </w:r>
      <w:r w:rsidRPr="00283806">
        <w:rPr>
          <w:spacing w:val="40"/>
          <w:w w:val="105"/>
        </w:rPr>
        <w:t xml:space="preserve"> </w:t>
      </w:r>
      <w:r w:rsidRPr="00283806">
        <w:rPr>
          <w:w w:val="105"/>
        </w:rPr>
        <w:t>prior</w:t>
      </w:r>
      <w:r w:rsidRPr="00283806">
        <w:rPr>
          <w:spacing w:val="40"/>
          <w:w w:val="105"/>
        </w:rPr>
        <w:t xml:space="preserve"> </w:t>
      </w:r>
      <w:r w:rsidRPr="00283806">
        <w:rPr>
          <w:w w:val="105"/>
        </w:rPr>
        <w:t>analyses,</w:t>
      </w:r>
      <w:r w:rsidRPr="00283806">
        <w:rPr>
          <w:spacing w:val="40"/>
          <w:w w:val="105"/>
        </w:rPr>
        <w:t xml:space="preserve"> </w:t>
      </w:r>
      <w:r w:rsidRPr="00283806">
        <w:rPr>
          <w:w w:val="105"/>
        </w:rPr>
        <w:t>in the</w:t>
      </w:r>
      <w:r w:rsidRPr="00283806">
        <w:rPr>
          <w:spacing w:val="40"/>
          <w:w w:val="105"/>
        </w:rPr>
        <w:t xml:space="preserve"> </w:t>
      </w:r>
      <w:r w:rsidRPr="00283806">
        <w:rPr>
          <w:w w:val="105"/>
        </w:rPr>
        <w:t>RIA</w:t>
      </w:r>
      <w:r w:rsidRPr="00283806">
        <w:rPr>
          <w:spacing w:val="40"/>
          <w:w w:val="105"/>
        </w:rPr>
        <w:t xml:space="preserve"> </w:t>
      </w:r>
      <w:r w:rsidRPr="00283806">
        <w:rPr>
          <w:w w:val="105"/>
        </w:rPr>
        <w:t>addendum</w:t>
      </w:r>
      <w:r w:rsidRPr="00283806">
        <w:rPr>
          <w:spacing w:val="40"/>
          <w:w w:val="105"/>
        </w:rPr>
        <w:t xml:space="preserve"> </w:t>
      </w:r>
      <w:r w:rsidRPr="00283806">
        <w:rPr>
          <w:w w:val="105"/>
        </w:rPr>
        <w:t>and</w:t>
      </w:r>
      <w:r w:rsidRPr="00283806">
        <w:rPr>
          <w:spacing w:val="40"/>
          <w:w w:val="105"/>
        </w:rPr>
        <w:t xml:space="preserve"> </w:t>
      </w:r>
      <w:r w:rsidRPr="00283806">
        <w:rPr>
          <w:w w:val="105"/>
        </w:rPr>
        <w:t>Economic Impact and Benefits TSD EPA has</w:t>
      </w:r>
      <w:r w:rsidRPr="00283806">
        <w:rPr>
          <w:spacing w:val="80"/>
          <w:w w:val="105"/>
        </w:rPr>
        <w:t xml:space="preserve"> </w:t>
      </w:r>
      <w:r w:rsidRPr="00283806">
        <w:rPr>
          <w:w w:val="105"/>
        </w:rPr>
        <w:t>applied a constant cost for new refrigerant (of $4 per pound) equal to that used in previous analyses under the AIM</w:t>
      </w:r>
      <w:r w:rsidRPr="00283806">
        <w:rPr>
          <w:spacing w:val="40"/>
          <w:w w:val="105"/>
        </w:rPr>
        <w:t xml:space="preserve"> </w:t>
      </w:r>
      <w:r w:rsidRPr="00283806">
        <w:rPr>
          <w:w w:val="105"/>
        </w:rPr>
        <w:t>Act.</w:t>
      </w:r>
      <w:r w:rsidRPr="00283806">
        <w:rPr>
          <w:spacing w:val="40"/>
          <w:w w:val="105"/>
        </w:rPr>
        <w:t xml:space="preserve"> </w:t>
      </w:r>
      <w:r w:rsidRPr="00283806">
        <w:rPr>
          <w:w w:val="105"/>
        </w:rPr>
        <w:t>EPA</w:t>
      </w:r>
      <w:r w:rsidRPr="00283806">
        <w:rPr>
          <w:spacing w:val="40"/>
          <w:w w:val="105"/>
        </w:rPr>
        <w:t xml:space="preserve"> </w:t>
      </w:r>
      <w:r w:rsidRPr="00283806">
        <w:rPr>
          <w:w w:val="105"/>
        </w:rPr>
        <w:t>further</w:t>
      </w:r>
      <w:r w:rsidRPr="00283806">
        <w:rPr>
          <w:spacing w:val="40"/>
          <w:w w:val="105"/>
        </w:rPr>
        <w:t xml:space="preserve"> </w:t>
      </w:r>
      <w:r w:rsidRPr="00283806">
        <w:rPr>
          <w:w w:val="105"/>
        </w:rPr>
        <w:t>notes</w:t>
      </w:r>
      <w:r w:rsidRPr="00283806">
        <w:rPr>
          <w:spacing w:val="40"/>
          <w:w w:val="105"/>
        </w:rPr>
        <w:t xml:space="preserve"> </w:t>
      </w:r>
      <w:r w:rsidRPr="00283806">
        <w:rPr>
          <w:w w:val="105"/>
        </w:rPr>
        <w:t>that</w:t>
      </w:r>
      <w:r w:rsidRPr="00283806">
        <w:rPr>
          <w:spacing w:val="40"/>
          <w:w w:val="105"/>
        </w:rPr>
        <w:t xml:space="preserve"> </w:t>
      </w:r>
      <w:r w:rsidRPr="00283806">
        <w:rPr>
          <w:w w:val="105"/>
        </w:rPr>
        <w:t>a slightly higher cost (of $4.40 per pound) was applied for reclaimed refrigerant.</w:t>
      </w:r>
    </w:p>
    <w:p w14:paraId="459ADAEE" w14:textId="77777777" w:rsidR="00D67C1E" w:rsidRPr="00283806" w:rsidRDefault="001265CA">
      <w:pPr>
        <w:pStyle w:val="BodyText"/>
        <w:spacing w:line="225" w:lineRule="auto"/>
        <w:ind w:left="139" w:right="131"/>
      </w:pPr>
      <w:r w:rsidRPr="00283806">
        <w:rPr>
          <w:w w:val="105"/>
        </w:rPr>
        <w:t>More details on these assumptions and resulting estimated costs and benefits, and a sensitivity study of the cost of reclaimed refrigerant, can be found in the RIA addendum and Economic Impact and Benefits TSD, which are available in the docket for this rule.</w:t>
      </w:r>
    </w:p>
    <w:p w14:paraId="60CDC163" w14:textId="77777777" w:rsidR="00D67C1E" w:rsidRPr="00283806" w:rsidRDefault="001265CA">
      <w:pPr>
        <w:pStyle w:val="BodyText"/>
        <w:spacing w:line="213" w:lineRule="auto"/>
        <w:ind w:left="139" w:right="72" w:firstLine="180"/>
      </w:pPr>
      <w:r w:rsidRPr="00283806">
        <w:rPr>
          <w:rFonts w:ascii="Book Antiqua"/>
          <w:i/>
          <w:w w:val="105"/>
        </w:rPr>
        <w:t xml:space="preserve">Comment: </w:t>
      </w:r>
      <w:r w:rsidRPr="00283806">
        <w:rPr>
          <w:w w:val="105"/>
        </w:rPr>
        <w:t>One commenter stated that they are a champion of LRM, a climate</w:t>
      </w:r>
    </w:p>
    <w:p w14:paraId="5080E681" w14:textId="77777777" w:rsidR="00D67C1E" w:rsidRPr="00283806" w:rsidRDefault="001265CA">
      <w:pPr>
        <w:pStyle w:val="BodyText"/>
        <w:spacing w:line="225" w:lineRule="auto"/>
        <w:ind w:left="139"/>
      </w:pPr>
      <w:r w:rsidRPr="00283806">
        <w:rPr>
          <w:w w:val="105"/>
        </w:rPr>
        <w:t>change mitigation strategy aimed at detecting</w:t>
      </w:r>
      <w:r w:rsidRPr="00283806">
        <w:rPr>
          <w:spacing w:val="-3"/>
          <w:w w:val="105"/>
        </w:rPr>
        <w:t xml:space="preserve"> </w:t>
      </w:r>
      <w:r w:rsidRPr="00283806">
        <w:rPr>
          <w:w w:val="105"/>
        </w:rPr>
        <w:t>and</w:t>
      </w:r>
      <w:r w:rsidRPr="00283806">
        <w:rPr>
          <w:spacing w:val="-3"/>
          <w:w w:val="105"/>
        </w:rPr>
        <w:t xml:space="preserve"> </w:t>
      </w:r>
      <w:r w:rsidRPr="00283806">
        <w:rPr>
          <w:w w:val="105"/>
        </w:rPr>
        <w:t>repairing</w:t>
      </w:r>
      <w:r w:rsidRPr="00283806">
        <w:rPr>
          <w:spacing w:val="-3"/>
          <w:w w:val="105"/>
        </w:rPr>
        <w:t xml:space="preserve"> </w:t>
      </w:r>
      <w:r w:rsidRPr="00283806">
        <w:rPr>
          <w:w w:val="105"/>
        </w:rPr>
        <w:t>refrigerant</w:t>
      </w:r>
      <w:r w:rsidRPr="00283806">
        <w:rPr>
          <w:spacing w:val="-3"/>
          <w:w w:val="105"/>
        </w:rPr>
        <w:t xml:space="preserve"> </w:t>
      </w:r>
      <w:r w:rsidRPr="00283806">
        <w:rPr>
          <w:w w:val="105"/>
        </w:rPr>
        <w:t>leaks; recovering, reclaiming, and destroying refrigerant; and designing and installing equipment with high energy efficiency and lower-GWP refrigerants. The commenter shared that LRM can have a profound climate impact, with the potential to mitigate 91 gigatons of CO</w:t>
      </w:r>
      <w:r w:rsidRPr="00283806">
        <w:rPr>
          <w:rFonts w:ascii="Times New Roman"/>
          <w:w w:val="105"/>
          <w:vertAlign w:val="subscript"/>
        </w:rPr>
        <w:t>2</w:t>
      </w:r>
      <w:r w:rsidRPr="00283806">
        <w:rPr>
          <w:w w:val="105"/>
        </w:rPr>
        <w:t>e globally by 2100, with a tenth of those emissions reductions happening in the United States.</w:t>
      </w:r>
    </w:p>
    <w:p w14:paraId="7C17C025" w14:textId="77777777" w:rsidR="00D67C1E" w:rsidRPr="00283806" w:rsidRDefault="001265CA">
      <w:pPr>
        <w:pStyle w:val="BodyText"/>
        <w:spacing w:line="225" w:lineRule="auto"/>
        <w:ind w:left="139" w:right="18" w:firstLine="180"/>
      </w:pPr>
      <w:r w:rsidRPr="00283806">
        <w:rPr>
          <w:rFonts w:ascii="Book Antiqua" w:hAnsi="Book Antiqua"/>
          <w:i/>
          <w:w w:val="105"/>
        </w:rPr>
        <w:t xml:space="preserve">Response: </w:t>
      </w:r>
      <w:r w:rsidRPr="00283806">
        <w:rPr>
          <w:w w:val="105"/>
        </w:rPr>
        <w:t xml:space="preserve">EPA acknowledges the commenter’s perspective. The Agency notes that several of the strategies mentioned by the commenter are </w:t>
      </w:r>
      <w:proofErr w:type="gramStart"/>
      <w:r w:rsidRPr="00283806">
        <w:rPr>
          <w:w w:val="105"/>
        </w:rPr>
        <w:t>similar to</w:t>
      </w:r>
      <w:proofErr w:type="gramEnd"/>
      <w:r w:rsidRPr="00283806">
        <w:rPr>
          <w:w w:val="105"/>
        </w:rPr>
        <w:t xml:space="preserve"> requirements being finalized in this rule. While outside the scope of this rulemaking, EPA also notes that the Agency has restricted the use of higher GWP substances in multiple RACHP, foams, and aerosol subsectors in the</w:t>
      </w:r>
      <w:r w:rsidRPr="00283806">
        <w:rPr>
          <w:spacing w:val="40"/>
          <w:w w:val="105"/>
        </w:rPr>
        <w:t xml:space="preserve"> </w:t>
      </w:r>
      <w:r w:rsidRPr="00283806">
        <w:rPr>
          <w:w w:val="105"/>
        </w:rPr>
        <w:t>2023 Technology Transitions Rule (88</w:t>
      </w:r>
    </w:p>
    <w:p w14:paraId="3633511D" w14:textId="77777777" w:rsidR="00D67C1E" w:rsidRPr="00283806" w:rsidRDefault="001265CA">
      <w:pPr>
        <w:pStyle w:val="BodyText"/>
        <w:spacing w:line="195" w:lineRule="exact"/>
        <w:ind w:left="139"/>
      </w:pPr>
      <w:r w:rsidRPr="00283806">
        <w:rPr>
          <w:w w:val="105"/>
        </w:rPr>
        <w:t>FR</w:t>
      </w:r>
      <w:r w:rsidRPr="00283806">
        <w:rPr>
          <w:spacing w:val="5"/>
          <w:w w:val="105"/>
        </w:rPr>
        <w:t xml:space="preserve"> </w:t>
      </w:r>
      <w:r w:rsidRPr="00283806">
        <w:rPr>
          <w:w w:val="105"/>
        </w:rPr>
        <w:t>73098,</w:t>
      </w:r>
      <w:r w:rsidRPr="00283806">
        <w:rPr>
          <w:spacing w:val="6"/>
          <w:w w:val="105"/>
        </w:rPr>
        <w:t xml:space="preserve"> </w:t>
      </w:r>
      <w:r w:rsidRPr="00283806">
        <w:rPr>
          <w:w w:val="105"/>
        </w:rPr>
        <w:t>October</w:t>
      </w:r>
      <w:r w:rsidRPr="00283806">
        <w:rPr>
          <w:spacing w:val="5"/>
          <w:w w:val="105"/>
        </w:rPr>
        <w:t xml:space="preserve"> </w:t>
      </w:r>
      <w:r w:rsidRPr="00283806">
        <w:rPr>
          <w:w w:val="105"/>
        </w:rPr>
        <w:t>24,</w:t>
      </w:r>
      <w:r w:rsidRPr="00283806">
        <w:rPr>
          <w:spacing w:val="6"/>
          <w:w w:val="105"/>
        </w:rPr>
        <w:t xml:space="preserve"> </w:t>
      </w:r>
      <w:r w:rsidRPr="00283806">
        <w:rPr>
          <w:spacing w:val="-2"/>
          <w:w w:val="105"/>
        </w:rPr>
        <w:t>2023).</w:t>
      </w:r>
    </w:p>
    <w:p w14:paraId="69BBA12C" w14:textId="77777777" w:rsidR="00D67C1E" w:rsidRPr="00283806" w:rsidRDefault="001265CA">
      <w:pPr>
        <w:pStyle w:val="BodyText"/>
        <w:spacing w:line="225" w:lineRule="auto"/>
        <w:ind w:left="139" w:firstLine="180"/>
      </w:pPr>
      <w:r w:rsidRPr="00283806">
        <w:rPr>
          <w:rFonts w:ascii="Book Antiqua"/>
          <w:i/>
          <w:w w:val="105"/>
        </w:rPr>
        <w:t xml:space="preserve">Comment: </w:t>
      </w:r>
      <w:r w:rsidRPr="00283806">
        <w:rPr>
          <w:w w:val="105"/>
        </w:rPr>
        <w:t xml:space="preserve">One commenter requested that EPA confirm the </w:t>
      </w:r>
      <w:proofErr w:type="gramStart"/>
      <w:r w:rsidRPr="00283806">
        <w:rPr>
          <w:w w:val="105"/>
        </w:rPr>
        <w:t>impacts</w:t>
      </w:r>
      <w:proofErr w:type="gramEnd"/>
      <w:r w:rsidRPr="00283806">
        <w:rPr>
          <w:w w:val="105"/>
        </w:rPr>
        <w:t xml:space="preserve"> of the </w:t>
      </w:r>
      <w:proofErr w:type="gramStart"/>
      <w:r w:rsidRPr="00283806">
        <w:rPr>
          <w:w w:val="105"/>
        </w:rPr>
        <w:t>technology</w:t>
      </w:r>
      <w:proofErr w:type="gramEnd"/>
      <w:r w:rsidRPr="00283806">
        <w:rPr>
          <w:w w:val="105"/>
        </w:rPr>
        <w:t xml:space="preserve"> transitions mandates that were considered in the proposed rule, and if they were not considered, the commenter</w:t>
      </w:r>
      <w:r w:rsidRPr="00283806">
        <w:rPr>
          <w:spacing w:val="-1"/>
          <w:w w:val="105"/>
        </w:rPr>
        <w:t xml:space="preserve"> </w:t>
      </w:r>
      <w:r w:rsidRPr="00283806">
        <w:rPr>
          <w:w w:val="105"/>
        </w:rPr>
        <w:t>requests</w:t>
      </w:r>
      <w:r w:rsidRPr="00283806">
        <w:rPr>
          <w:spacing w:val="-1"/>
          <w:w w:val="105"/>
        </w:rPr>
        <w:t xml:space="preserve"> </w:t>
      </w:r>
      <w:r w:rsidRPr="00283806">
        <w:rPr>
          <w:w w:val="105"/>
        </w:rPr>
        <w:t>that</w:t>
      </w:r>
      <w:r w:rsidRPr="00283806">
        <w:rPr>
          <w:spacing w:val="-1"/>
          <w:w w:val="105"/>
        </w:rPr>
        <w:t xml:space="preserve"> </w:t>
      </w:r>
      <w:r w:rsidRPr="00283806">
        <w:rPr>
          <w:w w:val="105"/>
        </w:rPr>
        <w:t>EPA</w:t>
      </w:r>
      <w:r w:rsidRPr="00283806">
        <w:rPr>
          <w:spacing w:val="-1"/>
          <w:w w:val="105"/>
        </w:rPr>
        <w:t xml:space="preserve"> </w:t>
      </w:r>
      <w:r w:rsidRPr="00283806">
        <w:rPr>
          <w:w w:val="105"/>
        </w:rPr>
        <w:t>reconsider</w:t>
      </w:r>
    </w:p>
    <w:p w14:paraId="5E22F471" w14:textId="77777777" w:rsidR="00D67C1E" w:rsidRPr="00283806" w:rsidRDefault="001265CA">
      <w:pPr>
        <w:pStyle w:val="BodyText"/>
        <w:spacing w:before="135" w:line="225" w:lineRule="auto"/>
        <w:ind w:left="143" w:right="250"/>
      </w:pPr>
      <w:r w:rsidRPr="00283806">
        <w:br w:type="column"/>
      </w:r>
      <w:r w:rsidRPr="00283806">
        <w:rPr>
          <w:w w:val="105"/>
        </w:rPr>
        <w:t xml:space="preserve">the impacts of technology transitions in </w:t>
      </w:r>
      <w:proofErr w:type="gramStart"/>
      <w:r w:rsidRPr="00283806">
        <w:rPr>
          <w:w w:val="105"/>
        </w:rPr>
        <w:t>a supplemental</w:t>
      </w:r>
      <w:proofErr w:type="gramEnd"/>
      <w:r w:rsidRPr="00283806">
        <w:rPr>
          <w:w w:val="105"/>
        </w:rPr>
        <w:t xml:space="preserve"> rulemaking.</w:t>
      </w:r>
    </w:p>
    <w:p w14:paraId="7E087C9F" w14:textId="77777777" w:rsidR="00D67C1E" w:rsidRPr="00283806" w:rsidRDefault="001265CA">
      <w:pPr>
        <w:pStyle w:val="BodyText"/>
        <w:spacing w:line="213" w:lineRule="auto"/>
        <w:ind w:left="143" w:firstLine="180"/>
      </w:pPr>
      <w:r w:rsidRPr="00283806">
        <w:rPr>
          <w:rFonts w:ascii="Book Antiqua"/>
          <w:i/>
          <w:w w:val="105"/>
        </w:rPr>
        <w:t xml:space="preserve">Response: </w:t>
      </w:r>
      <w:r w:rsidRPr="00283806">
        <w:rPr>
          <w:w w:val="105"/>
        </w:rPr>
        <w:t>EPA responds that the 2023 Technology Transitions Rule was not</w:t>
      </w:r>
    </w:p>
    <w:p w14:paraId="26A1DD58" w14:textId="77777777" w:rsidR="00D67C1E" w:rsidRPr="00283806" w:rsidRDefault="001265CA">
      <w:pPr>
        <w:pStyle w:val="BodyText"/>
        <w:spacing w:line="225" w:lineRule="auto"/>
        <w:ind w:left="143" w:right="164"/>
      </w:pPr>
      <w:r w:rsidRPr="00283806">
        <w:rPr>
          <w:w w:val="105"/>
        </w:rPr>
        <w:t>final at the time of the proposed rulemaking and thus was not included</w:t>
      </w:r>
      <w:r w:rsidRPr="00283806">
        <w:rPr>
          <w:spacing w:val="80"/>
          <w:w w:val="105"/>
        </w:rPr>
        <w:t xml:space="preserve"> </w:t>
      </w:r>
      <w:r w:rsidRPr="00283806">
        <w:rPr>
          <w:w w:val="105"/>
        </w:rPr>
        <w:t>in the baseline for the costs and benefits analysis completed for the proposal.</w:t>
      </w:r>
    </w:p>
    <w:p w14:paraId="2AB53CEE" w14:textId="77777777" w:rsidR="00D67C1E" w:rsidRPr="00283806" w:rsidRDefault="001265CA">
      <w:pPr>
        <w:pStyle w:val="BodyText"/>
        <w:spacing w:line="225" w:lineRule="auto"/>
        <w:ind w:left="143" w:right="219"/>
      </w:pPr>
      <w:r w:rsidRPr="00283806">
        <w:rPr>
          <w:w w:val="105"/>
        </w:rPr>
        <w:t>However, given the 2023 Technology Transitions Rule has since been</w:t>
      </w:r>
      <w:r w:rsidRPr="00283806">
        <w:rPr>
          <w:spacing w:val="40"/>
          <w:w w:val="105"/>
        </w:rPr>
        <w:t xml:space="preserve"> </w:t>
      </w:r>
      <w:r w:rsidRPr="00283806">
        <w:rPr>
          <w:w w:val="105"/>
        </w:rPr>
        <w:t>finalized, the impacts of that rule are assumed in the baseline for the costs</w:t>
      </w:r>
      <w:r w:rsidRPr="00283806">
        <w:rPr>
          <w:spacing w:val="40"/>
          <w:w w:val="105"/>
        </w:rPr>
        <w:t xml:space="preserve"> </w:t>
      </w:r>
      <w:r w:rsidRPr="00283806">
        <w:rPr>
          <w:w w:val="105"/>
        </w:rPr>
        <w:t xml:space="preserve">and benefits analysis conducted for this final rule. These assumptions are detailed in the RIA addendum that is available in the docket for this </w:t>
      </w:r>
      <w:r w:rsidRPr="00283806">
        <w:rPr>
          <w:spacing w:val="-2"/>
          <w:w w:val="105"/>
        </w:rPr>
        <w:t>rulemaking.</w:t>
      </w:r>
    </w:p>
    <w:p w14:paraId="05EF46A3" w14:textId="77777777" w:rsidR="00D67C1E" w:rsidRPr="00283806" w:rsidRDefault="001265CA">
      <w:pPr>
        <w:spacing w:line="182" w:lineRule="exact"/>
        <w:ind w:left="143" w:firstLine="180"/>
        <w:rPr>
          <w:sz w:val="18"/>
        </w:rPr>
      </w:pPr>
      <w:r w:rsidRPr="00283806">
        <w:rPr>
          <w:rFonts w:ascii="Book Antiqua"/>
          <w:i/>
          <w:spacing w:val="2"/>
          <w:sz w:val="18"/>
        </w:rPr>
        <w:t>Comment:</w:t>
      </w:r>
      <w:r w:rsidRPr="00283806">
        <w:rPr>
          <w:rFonts w:ascii="Book Antiqua"/>
          <w:i/>
          <w:spacing w:val="46"/>
          <w:sz w:val="18"/>
        </w:rPr>
        <w:t xml:space="preserve"> </w:t>
      </w:r>
      <w:r w:rsidRPr="00283806">
        <w:rPr>
          <w:spacing w:val="2"/>
          <w:sz w:val="18"/>
        </w:rPr>
        <w:t>Several</w:t>
      </w:r>
      <w:r w:rsidRPr="00283806">
        <w:rPr>
          <w:spacing w:val="52"/>
          <w:sz w:val="18"/>
        </w:rPr>
        <w:t xml:space="preserve"> </w:t>
      </w:r>
      <w:r w:rsidRPr="00283806">
        <w:rPr>
          <w:spacing w:val="2"/>
          <w:sz w:val="18"/>
        </w:rPr>
        <w:t>commenters,</w:t>
      </w:r>
      <w:r w:rsidRPr="00283806">
        <w:rPr>
          <w:spacing w:val="52"/>
          <w:sz w:val="18"/>
        </w:rPr>
        <w:t xml:space="preserve"> </w:t>
      </w:r>
      <w:r w:rsidRPr="00283806">
        <w:rPr>
          <w:spacing w:val="-5"/>
          <w:sz w:val="18"/>
        </w:rPr>
        <w:t>in</w:t>
      </w:r>
    </w:p>
    <w:p w14:paraId="47759C54" w14:textId="77777777" w:rsidR="00D67C1E" w:rsidRPr="00283806" w:rsidRDefault="001265CA">
      <w:pPr>
        <w:pStyle w:val="BodyText"/>
        <w:spacing w:line="225" w:lineRule="auto"/>
        <w:ind w:left="143" w:right="277"/>
      </w:pPr>
      <w:r w:rsidRPr="00283806">
        <w:rPr>
          <w:w w:val="105"/>
        </w:rPr>
        <w:t xml:space="preserve">broad support of the proposal, stated that the </w:t>
      </w:r>
      <w:proofErr w:type="gramStart"/>
      <w:r w:rsidRPr="00283806">
        <w:rPr>
          <w:w w:val="105"/>
        </w:rPr>
        <w:t>rule’s</w:t>
      </w:r>
      <w:proofErr w:type="gramEnd"/>
      <w:r w:rsidRPr="00283806">
        <w:rPr>
          <w:w w:val="105"/>
        </w:rPr>
        <w:t xml:space="preserve"> requirements enhance LRM and implement activities and practices which assist in preventing leaks and encourage the recovery and reclamation of HFCs. The commenters highlighted their joint report ‘‘The 90 </w:t>
      </w:r>
      <w:proofErr w:type="gramStart"/>
      <w:r w:rsidRPr="00283806">
        <w:rPr>
          <w:w w:val="105"/>
        </w:rPr>
        <w:t>Billion</w:t>
      </w:r>
      <w:proofErr w:type="gramEnd"/>
      <w:r w:rsidRPr="00283806">
        <w:rPr>
          <w:w w:val="105"/>
        </w:rPr>
        <w:t xml:space="preserve"> Ton Opportunity: Lifecycle Refrigerant </w:t>
      </w:r>
      <w:proofErr w:type="gramStart"/>
      <w:r w:rsidRPr="00283806">
        <w:rPr>
          <w:w w:val="105"/>
        </w:rPr>
        <w:t>Management.’</w:t>
      </w:r>
      <w:proofErr w:type="gramEnd"/>
      <w:r w:rsidRPr="00283806">
        <w:rPr>
          <w:w w:val="105"/>
        </w:rPr>
        <w:t>’ One of the commenter’s stated that minimizing leaks from appliances and ensuring the recovery, reclamation, and destruction of refrigerants at EOL could avoid the emissions of 9.2 billion MTCO</w:t>
      </w:r>
      <w:r w:rsidRPr="00283806">
        <w:rPr>
          <w:rFonts w:ascii="Times New Roman" w:hAnsi="Times New Roman"/>
          <w:w w:val="105"/>
          <w:vertAlign w:val="subscript"/>
        </w:rPr>
        <w:t>2</w:t>
      </w:r>
      <w:r w:rsidRPr="00283806">
        <w:rPr>
          <w:w w:val="105"/>
        </w:rPr>
        <w:t>e by</w:t>
      </w:r>
      <w:r w:rsidRPr="00283806">
        <w:rPr>
          <w:spacing w:val="40"/>
          <w:w w:val="105"/>
        </w:rPr>
        <w:t xml:space="preserve"> </w:t>
      </w:r>
      <w:r w:rsidRPr="00283806">
        <w:rPr>
          <w:w w:val="105"/>
        </w:rPr>
        <w:t>2100 in the United States alone. The commenter stated that the widespread adoption of LRM globally could avoid emissions up to 91 billion MTCO</w:t>
      </w:r>
      <w:r w:rsidRPr="00283806">
        <w:rPr>
          <w:rFonts w:ascii="Times New Roman" w:hAnsi="Times New Roman"/>
          <w:w w:val="105"/>
          <w:vertAlign w:val="subscript"/>
        </w:rPr>
        <w:t>2</w:t>
      </w:r>
      <w:r w:rsidRPr="00283806">
        <w:rPr>
          <w:w w:val="105"/>
        </w:rPr>
        <w:t xml:space="preserve">e by </w:t>
      </w:r>
      <w:r w:rsidRPr="00283806">
        <w:rPr>
          <w:spacing w:val="-2"/>
          <w:w w:val="105"/>
        </w:rPr>
        <w:t>2100.</w:t>
      </w:r>
    </w:p>
    <w:p w14:paraId="05FB1670" w14:textId="77777777" w:rsidR="00D67C1E" w:rsidRPr="00283806" w:rsidRDefault="001265CA">
      <w:pPr>
        <w:spacing w:line="179" w:lineRule="exact"/>
        <w:ind w:left="323"/>
        <w:rPr>
          <w:sz w:val="18"/>
        </w:rPr>
      </w:pPr>
      <w:r w:rsidRPr="00283806">
        <w:rPr>
          <w:rFonts w:ascii="Book Antiqua"/>
          <w:i/>
          <w:w w:val="110"/>
          <w:sz w:val="18"/>
        </w:rPr>
        <w:t>Response:</w:t>
      </w:r>
      <w:r w:rsidRPr="00283806">
        <w:rPr>
          <w:rFonts w:ascii="Book Antiqua"/>
          <w:i/>
          <w:spacing w:val="2"/>
          <w:w w:val="110"/>
          <w:sz w:val="18"/>
        </w:rPr>
        <w:t xml:space="preserve"> </w:t>
      </w:r>
      <w:r w:rsidRPr="00283806">
        <w:rPr>
          <w:w w:val="110"/>
          <w:sz w:val="18"/>
        </w:rPr>
        <w:t>EPA</w:t>
      </w:r>
      <w:r w:rsidRPr="00283806">
        <w:rPr>
          <w:spacing w:val="8"/>
          <w:w w:val="110"/>
          <w:sz w:val="18"/>
        </w:rPr>
        <w:t xml:space="preserve"> </w:t>
      </w:r>
      <w:r w:rsidRPr="00283806">
        <w:rPr>
          <w:w w:val="110"/>
          <w:sz w:val="18"/>
        </w:rPr>
        <w:t>acknowledges</w:t>
      </w:r>
      <w:r w:rsidRPr="00283806">
        <w:rPr>
          <w:spacing w:val="8"/>
          <w:w w:val="110"/>
          <w:sz w:val="18"/>
        </w:rPr>
        <w:t xml:space="preserve"> </w:t>
      </w:r>
      <w:r w:rsidRPr="00283806">
        <w:rPr>
          <w:spacing w:val="-5"/>
          <w:w w:val="110"/>
          <w:sz w:val="18"/>
        </w:rPr>
        <w:t>the</w:t>
      </w:r>
    </w:p>
    <w:p w14:paraId="0C988AF3" w14:textId="77777777" w:rsidR="00D67C1E" w:rsidRPr="00283806" w:rsidRDefault="001265CA">
      <w:pPr>
        <w:pStyle w:val="BodyText"/>
        <w:spacing w:line="225" w:lineRule="auto"/>
        <w:ind w:left="143" w:right="121"/>
      </w:pPr>
      <w:r w:rsidRPr="00283806">
        <w:rPr>
          <w:w w:val="105"/>
        </w:rPr>
        <w:t>commenters’ broad support for the rule. As</w:t>
      </w:r>
      <w:r w:rsidRPr="00283806">
        <w:rPr>
          <w:spacing w:val="40"/>
          <w:w w:val="105"/>
        </w:rPr>
        <w:t xml:space="preserve"> </w:t>
      </w:r>
      <w:r w:rsidRPr="00283806">
        <w:rPr>
          <w:w w:val="105"/>
        </w:rPr>
        <w:t>described</w:t>
      </w:r>
      <w:r w:rsidRPr="00283806">
        <w:rPr>
          <w:spacing w:val="40"/>
          <w:w w:val="105"/>
        </w:rPr>
        <w:t xml:space="preserve"> </w:t>
      </w:r>
      <w:r w:rsidRPr="00283806">
        <w:rPr>
          <w:w w:val="105"/>
        </w:rPr>
        <w:t>elsewhere</w:t>
      </w:r>
      <w:r w:rsidRPr="00283806">
        <w:rPr>
          <w:spacing w:val="40"/>
          <w:w w:val="105"/>
        </w:rPr>
        <w:t xml:space="preserve"> </w:t>
      </w:r>
      <w:r w:rsidRPr="00283806">
        <w:rPr>
          <w:w w:val="105"/>
        </w:rPr>
        <w:t>in</w:t>
      </w:r>
      <w:r w:rsidRPr="00283806">
        <w:rPr>
          <w:spacing w:val="40"/>
          <w:w w:val="105"/>
        </w:rPr>
        <w:t xml:space="preserve"> </w:t>
      </w:r>
      <w:r w:rsidRPr="00283806">
        <w:rPr>
          <w:w w:val="105"/>
        </w:rPr>
        <w:t>this preamble, this rule is designed to serve the purposes identified in subsection (h)(1) of the AIM Act, including minimizing releases of HFC from equipment</w:t>
      </w:r>
      <w:r w:rsidRPr="00283806">
        <w:rPr>
          <w:spacing w:val="21"/>
          <w:w w:val="105"/>
        </w:rPr>
        <w:t xml:space="preserve"> </w:t>
      </w:r>
      <w:r w:rsidRPr="00283806">
        <w:rPr>
          <w:w w:val="105"/>
        </w:rPr>
        <w:t>and</w:t>
      </w:r>
      <w:r w:rsidRPr="00283806">
        <w:rPr>
          <w:spacing w:val="24"/>
          <w:w w:val="105"/>
        </w:rPr>
        <w:t xml:space="preserve"> </w:t>
      </w:r>
      <w:r w:rsidRPr="00283806">
        <w:rPr>
          <w:w w:val="105"/>
        </w:rPr>
        <w:t>maximizing</w:t>
      </w:r>
      <w:r w:rsidRPr="00283806">
        <w:rPr>
          <w:spacing w:val="24"/>
          <w:w w:val="105"/>
        </w:rPr>
        <w:t xml:space="preserve"> </w:t>
      </w:r>
      <w:r w:rsidRPr="00283806">
        <w:rPr>
          <w:spacing w:val="-2"/>
          <w:w w:val="105"/>
        </w:rPr>
        <w:t>reclamation.</w:t>
      </w:r>
    </w:p>
    <w:p w14:paraId="531751F6" w14:textId="77777777" w:rsidR="00D67C1E" w:rsidRPr="00283806" w:rsidRDefault="001265CA">
      <w:pPr>
        <w:spacing w:line="186" w:lineRule="exact"/>
        <w:ind w:left="323"/>
        <w:rPr>
          <w:sz w:val="18"/>
        </w:rPr>
      </w:pPr>
      <w:r w:rsidRPr="00283806">
        <w:rPr>
          <w:rFonts w:ascii="Book Antiqua"/>
          <w:i/>
          <w:w w:val="105"/>
          <w:sz w:val="18"/>
        </w:rPr>
        <w:t>Comment:</w:t>
      </w:r>
      <w:r w:rsidRPr="00283806">
        <w:rPr>
          <w:rFonts w:ascii="Book Antiqua"/>
          <w:i/>
          <w:spacing w:val="15"/>
          <w:w w:val="105"/>
          <w:sz w:val="18"/>
        </w:rPr>
        <w:t xml:space="preserve"> </w:t>
      </w:r>
      <w:r w:rsidRPr="00283806">
        <w:rPr>
          <w:w w:val="105"/>
          <w:sz w:val="18"/>
        </w:rPr>
        <w:t>One</w:t>
      </w:r>
      <w:r w:rsidRPr="00283806">
        <w:rPr>
          <w:spacing w:val="20"/>
          <w:w w:val="105"/>
          <w:sz w:val="18"/>
        </w:rPr>
        <w:t xml:space="preserve"> </w:t>
      </w:r>
      <w:r w:rsidRPr="00283806">
        <w:rPr>
          <w:w w:val="105"/>
          <w:sz w:val="18"/>
        </w:rPr>
        <w:t>commenter</w:t>
      </w:r>
      <w:r w:rsidRPr="00283806">
        <w:rPr>
          <w:spacing w:val="20"/>
          <w:w w:val="105"/>
          <w:sz w:val="18"/>
        </w:rPr>
        <w:t xml:space="preserve"> </w:t>
      </w:r>
      <w:r w:rsidRPr="00283806">
        <w:rPr>
          <w:w w:val="105"/>
          <w:sz w:val="18"/>
        </w:rPr>
        <w:t>stated</w:t>
      </w:r>
      <w:r w:rsidRPr="00283806">
        <w:rPr>
          <w:spacing w:val="20"/>
          <w:w w:val="105"/>
          <w:sz w:val="18"/>
        </w:rPr>
        <w:t xml:space="preserve"> </w:t>
      </w:r>
      <w:r w:rsidRPr="00283806">
        <w:rPr>
          <w:spacing w:val="-4"/>
          <w:w w:val="105"/>
          <w:sz w:val="18"/>
        </w:rPr>
        <w:t>that</w:t>
      </w:r>
    </w:p>
    <w:p w14:paraId="40B0215C" w14:textId="77777777" w:rsidR="00D67C1E" w:rsidRPr="00283806" w:rsidRDefault="001265CA">
      <w:pPr>
        <w:pStyle w:val="BodyText"/>
        <w:spacing w:line="228" w:lineRule="auto"/>
        <w:ind w:left="143" w:right="250"/>
      </w:pPr>
      <w:r w:rsidRPr="00283806">
        <w:rPr>
          <w:w w:val="105"/>
        </w:rPr>
        <w:t xml:space="preserve">owners and operators of systems of all sizes will incur economic benefits from promptly repairing leaks. The commenter stated that better maintenance of systems through leak repair will save owners and operators money by reducing the amount of HFC needed to service existing systems and ensure the viability of refrigerated </w:t>
      </w:r>
      <w:r w:rsidRPr="00283806">
        <w:rPr>
          <w:spacing w:val="-2"/>
          <w:w w:val="105"/>
        </w:rPr>
        <w:t>products.</w:t>
      </w:r>
    </w:p>
    <w:p w14:paraId="3FFC9BD7" w14:textId="77777777" w:rsidR="00D67C1E" w:rsidRPr="00283806" w:rsidRDefault="001265CA">
      <w:pPr>
        <w:spacing w:line="181" w:lineRule="exact"/>
        <w:ind w:left="323"/>
        <w:rPr>
          <w:sz w:val="18"/>
        </w:rPr>
      </w:pPr>
      <w:r w:rsidRPr="00283806">
        <w:rPr>
          <w:rFonts w:ascii="Book Antiqua"/>
          <w:i/>
          <w:w w:val="110"/>
          <w:sz w:val="18"/>
        </w:rPr>
        <w:t>Response:</w:t>
      </w:r>
      <w:r w:rsidRPr="00283806">
        <w:rPr>
          <w:rFonts w:ascii="Book Antiqua"/>
          <w:i/>
          <w:spacing w:val="1"/>
          <w:w w:val="110"/>
          <w:sz w:val="18"/>
        </w:rPr>
        <w:t xml:space="preserve"> </w:t>
      </w:r>
      <w:r w:rsidRPr="00283806">
        <w:rPr>
          <w:w w:val="110"/>
          <w:sz w:val="18"/>
        </w:rPr>
        <w:t>As</w:t>
      </w:r>
      <w:r w:rsidRPr="00283806">
        <w:rPr>
          <w:spacing w:val="7"/>
          <w:w w:val="110"/>
          <w:sz w:val="18"/>
        </w:rPr>
        <w:t xml:space="preserve"> </w:t>
      </w:r>
      <w:r w:rsidRPr="00283806">
        <w:rPr>
          <w:w w:val="110"/>
          <w:sz w:val="18"/>
        </w:rPr>
        <w:t>it</w:t>
      </w:r>
      <w:r w:rsidRPr="00283806">
        <w:rPr>
          <w:spacing w:val="7"/>
          <w:w w:val="110"/>
          <w:sz w:val="18"/>
        </w:rPr>
        <w:t xml:space="preserve"> </w:t>
      </w:r>
      <w:r w:rsidRPr="00283806">
        <w:rPr>
          <w:w w:val="110"/>
          <w:sz w:val="18"/>
        </w:rPr>
        <w:t>is</w:t>
      </w:r>
      <w:r w:rsidRPr="00283806">
        <w:rPr>
          <w:spacing w:val="7"/>
          <w:w w:val="110"/>
          <w:sz w:val="18"/>
        </w:rPr>
        <w:t xml:space="preserve"> </w:t>
      </w:r>
      <w:r w:rsidRPr="00283806">
        <w:rPr>
          <w:w w:val="110"/>
          <w:sz w:val="18"/>
        </w:rPr>
        <w:t>consistent</w:t>
      </w:r>
      <w:r w:rsidRPr="00283806">
        <w:rPr>
          <w:spacing w:val="7"/>
          <w:w w:val="110"/>
          <w:sz w:val="18"/>
        </w:rPr>
        <w:t xml:space="preserve"> </w:t>
      </w:r>
      <w:r w:rsidRPr="00283806">
        <w:rPr>
          <w:w w:val="110"/>
          <w:sz w:val="18"/>
        </w:rPr>
        <w:t>with</w:t>
      </w:r>
      <w:r w:rsidRPr="00283806">
        <w:rPr>
          <w:spacing w:val="7"/>
          <w:w w:val="110"/>
          <w:sz w:val="18"/>
        </w:rPr>
        <w:t xml:space="preserve"> </w:t>
      </w:r>
      <w:r w:rsidRPr="00283806">
        <w:rPr>
          <w:spacing w:val="-5"/>
          <w:w w:val="110"/>
          <w:sz w:val="18"/>
        </w:rPr>
        <w:t>the</w:t>
      </w:r>
    </w:p>
    <w:p w14:paraId="58F363A4" w14:textId="77777777" w:rsidR="00D67C1E" w:rsidRPr="00283806" w:rsidRDefault="001265CA">
      <w:pPr>
        <w:pStyle w:val="BodyText"/>
        <w:spacing w:line="225" w:lineRule="auto"/>
        <w:ind w:left="143" w:right="153"/>
      </w:pPr>
      <w:r w:rsidRPr="00283806">
        <w:rPr>
          <w:w w:val="110"/>
        </w:rPr>
        <w:t>analysis</w:t>
      </w:r>
      <w:r w:rsidRPr="00283806">
        <w:rPr>
          <w:spacing w:val="-6"/>
          <w:w w:val="110"/>
        </w:rPr>
        <w:t xml:space="preserve"> </w:t>
      </w:r>
      <w:r w:rsidRPr="00283806">
        <w:rPr>
          <w:w w:val="110"/>
        </w:rPr>
        <w:t>that</w:t>
      </w:r>
      <w:r w:rsidRPr="00283806">
        <w:rPr>
          <w:spacing w:val="-6"/>
          <w:w w:val="110"/>
        </w:rPr>
        <w:t xml:space="preserve"> </w:t>
      </w:r>
      <w:r w:rsidRPr="00283806">
        <w:rPr>
          <w:w w:val="110"/>
        </w:rPr>
        <w:t>EPA</w:t>
      </w:r>
      <w:r w:rsidRPr="00283806">
        <w:rPr>
          <w:spacing w:val="-6"/>
          <w:w w:val="110"/>
        </w:rPr>
        <w:t xml:space="preserve"> </w:t>
      </w:r>
      <w:r w:rsidRPr="00283806">
        <w:rPr>
          <w:w w:val="110"/>
        </w:rPr>
        <w:t>prepared</w:t>
      </w:r>
      <w:r w:rsidRPr="00283806">
        <w:rPr>
          <w:spacing w:val="-6"/>
          <w:w w:val="110"/>
        </w:rPr>
        <w:t xml:space="preserve"> </w:t>
      </w:r>
      <w:r w:rsidRPr="00283806">
        <w:rPr>
          <w:w w:val="110"/>
        </w:rPr>
        <w:t>for</w:t>
      </w:r>
      <w:r w:rsidRPr="00283806">
        <w:rPr>
          <w:spacing w:val="-6"/>
          <w:w w:val="110"/>
        </w:rPr>
        <w:t xml:space="preserve"> </w:t>
      </w:r>
      <w:r w:rsidRPr="00283806">
        <w:rPr>
          <w:w w:val="110"/>
        </w:rPr>
        <w:t>the</w:t>
      </w:r>
      <w:r w:rsidRPr="00283806">
        <w:rPr>
          <w:spacing w:val="-6"/>
          <w:w w:val="110"/>
        </w:rPr>
        <w:t xml:space="preserve"> </w:t>
      </w:r>
      <w:r w:rsidRPr="00283806">
        <w:rPr>
          <w:w w:val="110"/>
        </w:rPr>
        <w:t>final rule, EPA agrees that owners and operators of equipment subject to this final rule may incur economic benefits through prompt leak repair. EPA provided</w:t>
      </w:r>
      <w:r w:rsidRPr="00283806">
        <w:rPr>
          <w:spacing w:val="-11"/>
          <w:w w:val="110"/>
        </w:rPr>
        <w:t xml:space="preserve"> </w:t>
      </w:r>
      <w:r w:rsidRPr="00283806">
        <w:rPr>
          <w:w w:val="110"/>
        </w:rPr>
        <w:t>an</w:t>
      </w:r>
      <w:r w:rsidRPr="00283806">
        <w:rPr>
          <w:spacing w:val="-11"/>
          <w:w w:val="110"/>
        </w:rPr>
        <w:t xml:space="preserve"> </w:t>
      </w:r>
      <w:r w:rsidRPr="00283806">
        <w:rPr>
          <w:w w:val="110"/>
        </w:rPr>
        <w:t>analysis</w:t>
      </w:r>
      <w:r w:rsidRPr="00283806">
        <w:rPr>
          <w:spacing w:val="-11"/>
          <w:w w:val="110"/>
        </w:rPr>
        <w:t xml:space="preserve"> </w:t>
      </w:r>
      <w:r w:rsidRPr="00283806">
        <w:rPr>
          <w:w w:val="110"/>
        </w:rPr>
        <w:t>of</w:t>
      </w:r>
      <w:r w:rsidRPr="00283806">
        <w:rPr>
          <w:spacing w:val="-11"/>
          <w:w w:val="110"/>
        </w:rPr>
        <w:t xml:space="preserve"> </w:t>
      </w:r>
      <w:r w:rsidRPr="00283806">
        <w:rPr>
          <w:w w:val="110"/>
        </w:rPr>
        <w:t>different</w:t>
      </w:r>
      <w:r w:rsidRPr="00283806">
        <w:rPr>
          <w:spacing w:val="-11"/>
          <w:w w:val="110"/>
        </w:rPr>
        <w:t xml:space="preserve"> </w:t>
      </w:r>
      <w:r w:rsidRPr="00283806">
        <w:rPr>
          <w:w w:val="110"/>
        </w:rPr>
        <w:t xml:space="preserve">charge size thresholds for leak repair in the draft TSD, </w:t>
      </w:r>
      <w:r w:rsidRPr="00283806">
        <w:rPr>
          <w:rFonts w:ascii="Book Antiqua" w:hAnsi="Book Antiqua"/>
          <w:i/>
          <w:w w:val="110"/>
        </w:rPr>
        <w:t xml:space="preserve">Analysis of Economic Impact and Benefits of the Proposed Rule </w:t>
      </w:r>
      <w:r w:rsidRPr="00283806">
        <w:rPr>
          <w:w w:val="110"/>
        </w:rPr>
        <w:t>(see Appendix F of docket item number EPA–HQ–OAR–0606–0023 attachment</w:t>
      </w:r>
    </w:p>
    <w:p w14:paraId="0C4270EF" w14:textId="77777777" w:rsidR="00D67C1E" w:rsidRPr="00283806" w:rsidRDefault="001265CA">
      <w:pPr>
        <w:pStyle w:val="BodyText"/>
        <w:spacing w:line="199" w:lineRule="exact"/>
        <w:ind w:left="143"/>
      </w:pPr>
      <w:r w:rsidRPr="00283806">
        <w:rPr>
          <w:w w:val="105"/>
        </w:rPr>
        <w:t>2).</w:t>
      </w:r>
      <w:r w:rsidRPr="00283806">
        <w:rPr>
          <w:spacing w:val="10"/>
          <w:w w:val="105"/>
        </w:rPr>
        <w:t xml:space="preserve"> </w:t>
      </w:r>
      <w:r w:rsidRPr="00283806">
        <w:rPr>
          <w:w w:val="105"/>
        </w:rPr>
        <w:t>Further</w:t>
      </w:r>
      <w:r w:rsidRPr="00283806">
        <w:rPr>
          <w:spacing w:val="11"/>
          <w:w w:val="105"/>
        </w:rPr>
        <w:t xml:space="preserve"> </w:t>
      </w:r>
      <w:r w:rsidRPr="00283806">
        <w:rPr>
          <w:w w:val="105"/>
        </w:rPr>
        <w:t>discussion</w:t>
      </w:r>
      <w:r w:rsidRPr="00283806">
        <w:rPr>
          <w:spacing w:val="11"/>
          <w:w w:val="105"/>
        </w:rPr>
        <w:t xml:space="preserve"> </w:t>
      </w:r>
      <w:r w:rsidRPr="00283806">
        <w:rPr>
          <w:w w:val="105"/>
        </w:rPr>
        <w:t>of</w:t>
      </w:r>
      <w:r w:rsidRPr="00283806">
        <w:rPr>
          <w:spacing w:val="11"/>
          <w:w w:val="105"/>
        </w:rPr>
        <w:t xml:space="preserve"> </w:t>
      </w:r>
      <w:r w:rsidRPr="00283806">
        <w:rPr>
          <w:w w:val="105"/>
        </w:rPr>
        <w:t>the</w:t>
      </w:r>
      <w:r w:rsidRPr="00283806">
        <w:rPr>
          <w:spacing w:val="11"/>
          <w:w w:val="105"/>
        </w:rPr>
        <w:t xml:space="preserve"> </w:t>
      </w:r>
      <w:r w:rsidRPr="00283806">
        <w:rPr>
          <w:spacing w:val="-2"/>
          <w:w w:val="105"/>
        </w:rPr>
        <w:t>rationale</w:t>
      </w:r>
    </w:p>
    <w:p w14:paraId="6BF338F1" w14:textId="77777777" w:rsidR="00D67C1E" w:rsidRPr="00283806" w:rsidRDefault="00D67C1E">
      <w:pPr>
        <w:spacing w:line="199" w:lineRule="exact"/>
        <w:sectPr w:rsidR="00D67C1E" w:rsidRPr="00283806">
          <w:pgSz w:w="12240" w:h="15840"/>
          <w:pgMar w:top="1040" w:right="780" w:bottom="280" w:left="740" w:header="627" w:footer="0" w:gutter="0"/>
          <w:cols w:num="3" w:space="720" w:equalWidth="0">
            <w:col w:w="3521" w:space="40"/>
            <w:col w:w="3497" w:space="39"/>
            <w:col w:w="3623"/>
          </w:cols>
        </w:sectPr>
      </w:pPr>
    </w:p>
    <w:p w14:paraId="6CDC77A0" w14:textId="77777777" w:rsidR="00D67C1E" w:rsidRPr="00283806" w:rsidRDefault="001265CA">
      <w:pPr>
        <w:pStyle w:val="BodyText"/>
        <w:spacing w:before="136" w:line="225" w:lineRule="auto"/>
        <w:ind w:right="131"/>
      </w:pPr>
      <w:r w:rsidRPr="00283806">
        <w:rPr>
          <w:w w:val="105"/>
        </w:rPr>
        <w:lastRenderedPageBreak/>
        <w:t xml:space="preserve">for the 15-pound charge size threshold is explained in section IV.C.2. of this </w:t>
      </w:r>
      <w:r w:rsidRPr="00283806">
        <w:rPr>
          <w:spacing w:val="-2"/>
          <w:w w:val="105"/>
        </w:rPr>
        <w:t>preamble.</w:t>
      </w:r>
    </w:p>
    <w:p w14:paraId="60E61B8D" w14:textId="77777777" w:rsidR="00D67C1E" w:rsidRPr="00283806" w:rsidRDefault="001265CA">
      <w:pPr>
        <w:spacing w:line="184" w:lineRule="exact"/>
        <w:ind w:left="340"/>
        <w:rPr>
          <w:sz w:val="18"/>
        </w:rPr>
      </w:pPr>
      <w:r w:rsidRPr="00283806">
        <w:rPr>
          <w:rFonts w:ascii="Book Antiqua"/>
          <w:i/>
          <w:w w:val="105"/>
          <w:sz w:val="18"/>
        </w:rPr>
        <w:t>Comment:</w:t>
      </w:r>
      <w:r w:rsidRPr="00283806">
        <w:rPr>
          <w:rFonts w:ascii="Book Antiqua"/>
          <w:i/>
          <w:spacing w:val="34"/>
          <w:w w:val="105"/>
          <w:sz w:val="18"/>
        </w:rPr>
        <w:t xml:space="preserve"> </w:t>
      </w:r>
      <w:r w:rsidRPr="00283806">
        <w:rPr>
          <w:w w:val="105"/>
          <w:sz w:val="18"/>
        </w:rPr>
        <w:t>Another</w:t>
      </w:r>
      <w:r w:rsidRPr="00283806">
        <w:rPr>
          <w:spacing w:val="40"/>
          <w:w w:val="105"/>
          <w:sz w:val="18"/>
        </w:rPr>
        <w:t xml:space="preserve"> </w:t>
      </w:r>
      <w:r w:rsidRPr="00283806">
        <w:rPr>
          <w:spacing w:val="-2"/>
          <w:w w:val="105"/>
          <w:sz w:val="18"/>
        </w:rPr>
        <w:t>commenter</w:t>
      </w:r>
    </w:p>
    <w:p w14:paraId="76BBD5BF" w14:textId="77777777" w:rsidR="00D67C1E" w:rsidRPr="00283806" w:rsidRDefault="001265CA">
      <w:pPr>
        <w:pStyle w:val="BodyText"/>
        <w:spacing w:line="225" w:lineRule="auto"/>
        <w:ind w:right="48"/>
      </w:pPr>
      <w:r w:rsidRPr="00283806">
        <w:rPr>
          <w:w w:val="105"/>
        </w:rPr>
        <w:t>expressed support for EPA’s proposed leak detection and repair requirements. The commenter noted that these proposed requirements will have positive benefits for the atmosphere and climate and will help ease demand for servicing gas.</w:t>
      </w:r>
    </w:p>
    <w:p w14:paraId="1F040550" w14:textId="77777777" w:rsidR="00D67C1E" w:rsidRPr="00283806" w:rsidRDefault="001265CA">
      <w:pPr>
        <w:pStyle w:val="BodyText"/>
        <w:spacing w:line="213" w:lineRule="auto"/>
        <w:ind w:firstLine="180"/>
      </w:pPr>
      <w:r w:rsidRPr="00283806">
        <w:rPr>
          <w:rFonts w:ascii="Book Antiqua"/>
          <w:i/>
          <w:w w:val="105"/>
        </w:rPr>
        <w:t xml:space="preserve">Response: </w:t>
      </w:r>
      <w:r w:rsidRPr="00283806">
        <w:rPr>
          <w:w w:val="105"/>
        </w:rPr>
        <w:t>As it is consistent with the analysis</w:t>
      </w:r>
      <w:r w:rsidRPr="00283806">
        <w:rPr>
          <w:spacing w:val="8"/>
          <w:w w:val="105"/>
        </w:rPr>
        <w:t xml:space="preserve"> </w:t>
      </w:r>
      <w:r w:rsidRPr="00283806">
        <w:rPr>
          <w:w w:val="105"/>
        </w:rPr>
        <w:t>that</w:t>
      </w:r>
      <w:r w:rsidRPr="00283806">
        <w:rPr>
          <w:spacing w:val="8"/>
          <w:w w:val="105"/>
        </w:rPr>
        <w:t xml:space="preserve"> </w:t>
      </w:r>
      <w:r w:rsidRPr="00283806">
        <w:rPr>
          <w:w w:val="105"/>
        </w:rPr>
        <w:t>EPA</w:t>
      </w:r>
      <w:r w:rsidRPr="00283806">
        <w:rPr>
          <w:spacing w:val="9"/>
          <w:w w:val="105"/>
        </w:rPr>
        <w:t xml:space="preserve"> </w:t>
      </w:r>
      <w:r w:rsidRPr="00283806">
        <w:rPr>
          <w:w w:val="105"/>
        </w:rPr>
        <w:t>prepared</w:t>
      </w:r>
      <w:r w:rsidRPr="00283806">
        <w:rPr>
          <w:spacing w:val="8"/>
          <w:w w:val="105"/>
        </w:rPr>
        <w:t xml:space="preserve"> </w:t>
      </w:r>
      <w:r w:rsidRPr="00283806">
        <w:rPr>
          <w:w w:val="105"/>
        </w:rPr>
        <w:t>for</w:t>
      </w:r>
      <w:r w:rsidRPr="00283806">
        <w:rPr>
          <w:spacing w:val="8"/>
          <w:w w:val="105"/>
        </w:rPr>
        <w:t xml:space="preserve"> </w:t>
      </w:r>
      <w:r w:rsidRPr="00283806">
        <w:rPr>
          <w:w w:val="105"/>
        </w:rPr>
        <w:t>the</w:t>
      </w:r>
      <w:r w:rsidRPr="00283806">
        <w:rPr>
          <w:spacing w:val="9"/>
          <w:w w:val="105"/>
        </w:rPr>
        <w:t xml:space="preserve"> </w:t>
      </w:r>
      <w:r w:rsidRPr="00283806">
        <w:rPr>
          <w:spacing w:val="-2"/>
          <w:w w:val="105"/>
        </w:rPr>
        <w:t>final</w:t>
      </w:r>
    </w:p>
    <w:p w14:paraId="784C8A87" w14:textId="77777777" w:rsidR="00D67C1E" w:rsidRPr="00283806" w:rsidRDefault="001265CA">
      <w:pPr>
        <w:pStyle w:val="BodyText"/>
        <w:spacing w:line="190" w:lineRule="exact"/>
      </w:pPr>
      <w:r w:rsidRPr="00283806">
        <w:rPr>
          <w:w w:val="105"/>
        </w:rPr>
        <w:t>rule,</w:t>
      </w:r>
      <w:r w:rsidRPr="00283806">
        <w:rPr>
          <w:spacing w:val="12"/>
          <w:w w:val="105"/>
        </w:rPr>
        <w:t xml:space="preserve"> </w:t>
      </w:r>
      <w:r w:rsidRPr="00283806">
        <w:rPr>
          <w:w w:val="105"/>
        </w:rPr>
        <w:t>EPA</w:t>
      </w:r>
      <w:r w:rsidRPr="00283806">
        <w:rPr>
          <w:spacing w:val="12"/>
          <w:w w:val="105"/>
        </w:rPr>
        <w:t xml:space="preserve"> </w:t>
      </w:r>
      <w:r w:rsidRPr="00283806">
        <w:rPr>
          <w:w w:val="105"/>
        </w:rPr>
        <w:t>agrees</w:t>
      </w:r>
      <w:r w:rsidRPr="00283806">
        <w:rPr>
          <w:spacing w:val="12"/>
          <w:w w:val="105"/>
        </w:rPr>
        <w:t xml:space="preserve"> </w:t>
      </w:r>
      <w:r w:rsidRPr="00283806">
        <w:rPr>
          <w:w w:val="105"/>
        </w:rPr>
        <w:t>with</w:t>
      </w:r>
      <w:r w:rsidRPr="00283806">
        <w:rPr>
          <w:spacing w:val="12"/>
          <w:w w:val="105"/>
        </w:rPr>
        <w:t xml:space="preserve"> </w:t>
      </w:r>
      <w:r w:rsidRPr="00283806">
        <w:rPr>
          <w:w w:val="105"/>
        </w:rPr>
        <w:t>these</w:t>
      </w:r>
      <w:r w:rsidRPr="00283806">
        <w:rPr>
          <w:spacing w:val="12"/>
          <w:w w:val="105"/>
        </w:rPr>
        <w:t xml:space="preserve"> </w:t>
      </w:r>
      <w:r w:rsidRPr="00283806">
        <w:rPr>
          <w:spacing w:val="-2"/>
          <w:w w:val="105"/>
        </w:rPr>
        <w:t>statements.</w:t>
      </w:r>
    </w:p>
    <w:p w14:paraId="2B6B4D4A" w14:textId="77777777" w:rsidR="00D67C1E" w:rsidRPr="00283806" w:rsidRDefault="001265CA">
      <w:pPr>
        <w:pStyle w:val="BodyText"/>
        <w:spacing w:line="223" w:lineRule="auto"/>
        <w:ind w:right="48" w:firstLine="180"/>
      </w:pPr>
      <w:r w:rsidRPr="00283806">
        <w:rPr>
          <w:rFonts w:ascii="Book Antiqua"/>
          <w:i/>
          <w:w w:val="105"/>
        </w:rPr>
        <w:t xml:space="preserve">Comment: </w:t>
      </w:r>
      <w:r w:rsidRPr="00283806">
        <w:rPr>
          <w:w w:val="105"/>
        </w:rPr>
        <w:t xml:space="preserve">One commenter in support of the leak repair and ALD provisions in the proposal stated that many New York businesses would experience savings upwards of $13 million by 2025 by lowering overall refrigerant and energy </w:t>
      </w:r>
      <w:r w:rsidRPr="00283806">
        <w:rPr>
          <w:spacing w:val="-2"/>
          <w:w w:val="105"/>
        </w:rPr>
        <w:t>costs.</w:t>
      </w:r>
    </w:p>
    <w:p w14:paraId="4E80C741" w14:textId="77777777" w:rsidR="00D67C1E" w:rsidRPr="00283806" w:rsidRDefault="001265CA">
      <w:pPr>
        <w:pStyle w:val="BodyText"/>
        <w:spacing w:line="220" w:lineRule="auto"/>
        <w:ind w:firstLine="180"/>
      </w:pPr>
      <w:r w:rsidRPr="00283806">
        <w:rPr>
          <w:rFonts w:ascii="Book Antiqua" w:hAnsi="Book Antiqua"/>
          <w:i/>
          <w:w w:val="105"/>
        </w:rPr>
        <w:t xml:space="preserve">Response: </w:t>
      </w:r>
      <w:r w:rsidRPr="00283806">
        <w:rPr>
          <w:w w:val="105"/>
        </w:rPr>
        <w:t>EPA acknowledges the commenter’s</w:t>
      </w:r>
      <w:r w:rsidRPr="00283806">
        <w:rPr>
          <w:spacing w:val="-1"/>
          <w:w w:val="105"/>
        </w:rPr>
        <w:t xml:space="preserve"> </w:t>
      </w:r>
      <w:r w:rsidRPr="00283806">
        <w:rPr>
          <w:w w:val="105"/>
        </w:rPr>
        <w:t>support</w:t>
      </w:r>
      <w:r w:rsidRPr="00283806">
        <w:rPr>
          <w:spacing w:val="-1"/>
          <w:w w:val="105"/>
        </w:rPr>
        <w:t xml:space="preserve"> </w:t>
      </w:r>
      <w:r w:rsidRPr="00283806">
        <w:rPr>
          <w:w w:val="105"/>
        </w:rPr>
        <w:t>for</w:t>
      </w:r>
      <w:r w:rsidRPr="00283806">
        <w:rPr>
          <w:spacing w:val="-1"/>
          <w:w w:val="105"/>
        </w:rPr>
        <w:t xml:space="preserve"> </w:t>
      </w:r>
      <w:r w:rsidRPr="00283806">
        <w:rPr>
          <w:w w:val="105"/>
        </w:rPr>
        <w:t>the</w:t>
      </w:r>
      <w:r w:rsidRPr="00283806">
        <w:rPr>
          <w:spacing w:val="-1"/>
          <w:w w:val="105"/>
        </w:rPr>
        <w:t xml:space="preserve"> </w:t>
      </w:r>
      <w:r w:rsidRPr="00283806">
        <w:rPr>
          <w:w w:val="105"/>
        </w:rPr>
        <w:t>leak</w:t>
      </w:r>
      <w:r w:rsidRPr="00283806">
        <w:rPr>
          <w:spacing w:val="-1"/>
          <w:w w:val="105"/>
        </w:rPr>
        <w:t xml:space="preserve"> </w:t>
      </w:r>
      <w:r w:rsidRPr="00283806">
        <w:rPr>
          <w:w w:val="105"/>
        </w:rPr>
        <w:t>repair and ALD requirements and agrees that</w:t>
      </w:r>
    </w:p>
    <w:p w14:paraId="3D68EB5F" w14:textId="77777777" w:rsidR="00D67C1E" w:rsidRPr="00283806" w:rsidRDefault="001265CA">
      <w:pPr>
        <w:pStyle w:val="BodyText"/>
        <w:spacing w:line="225" w:lineRule="auto"/>
        <w:ind w:right="78"/>
      </w:pPr>
      <w:r w:rsidRPr="00283806">
        <w:rPr>
          <w:w w:val="105"/>
        </w:rPr>
        <w:t>refrigerant management will lead to savings on refrigerant and energy costs. Although</w:t>
      </w:r>
      <w:r w:rsidRPr="00283806">
        <w:rPr>
          <w:spacing w:val="40"/>
          <w:w w:val="105"/>
        </w:rPr>
        <w:t xml:space="preserve"> </w:t>
      </w:r>
      <w:r w:rsidRPr="00283806">
        <w:rPr>
          <w:w w:val="105"/>
        </w:rPr>
        <w:t>EPA</w:t>
      </w:r>
      <w:r w:rsidRPr="00283806">
        <w:rPr>
          <w:spacing w:val="40"/>
          <w:w w:val="105"/>
        </w:rPr>
        <w:t xml:space="preserve"> </w:t>
      </w:r>
      <w:r w:rsidRPr="00283806">
        <w:rPr>
          <w:w w:val="105"/>
        </w:rPr>
        <w:t>did</w:t>
      </w:r>
      <w:r w:rsidRPr="00283806">
        <w:rPr>
          <w:spacing w:val="40"/>
          <w:w w:val="105"/>
        </w:rPr>
        <w:t xml:space="preserve"> </w:t>
      </w:r>
      <w:r w:rsidRPr="00283806">
        <w:rPr>
          <w:w w:val="105"/>
        </w:rPr>
        <w:t>not</w:t>
      </w:r>
      <w:r w:rsidRPr="00283806">
        <w:rPr>
          <w:spacing w:val="40"/>
          <w:w w:val="105"/>
        </w:rPr>
        <w:t xml:space="preserve"> </w:t>
      </w:r>
      <w:r w:rsidRPr="00283806">
        <w:rPr>
          <w:w w:val="105"/>
        </w:rPr>
        <w:t>analyze</w:t>
      </w:r>
      <w:r w:rsidRPr="00283806">
        <w:rPr>
          <w:spacing w:val="40"/>
          <w:w w:val="105"/>
        </w:rPr>
        <w:t xml:space="preserve"> </w:t>
      </w:r>
      <w:r w:rsidRPr="00283806">
        <w:rPr>
          <w:w w:val="105"/>
        </w:rPr>
        <w:t xml:space="preserve">the effects on New York or any other State individually, please see the Economic Impact and Benefits TSD for an analysis of the </w:t>
      </w:r>
      <w:proofErr w:type="gramStart"/>
      <w:r w:rsidRPr="00283806">
        <w:rPr>
          <w:w w:val="105"/>
        </w:rPr>
        <w:t>country as a whole</w:t>
      </w:r>
      <w:proofErr w:type="gramEnd"/>
      <w:r w:rsidRPr="00283806">
        <w:rPr>
          <w:w w:val="105"/>
        </w:rPr>
        <w:t>.</w:t>
      </w:r>
    </w:p>
    <w:p w14:paraId="7D1A5E6B" w14:textId="77777777" w:rsidR="00D67C1E" w:rsidRPr="00283806" w:rsidRDefault="001265CA">
      <w:pPr>
        <w:pStyle w:val="BodyText"/>
        <w:spacing w:line="213" w:lineRule="auto"/>
        <w:ind w:right="78" w:firstLine="180"/>
      </w:pPr>
      <w:r w:rsidRPr="00283806">
        <w:rPr>
          <w:rFonts w:ascii="Book Antiqua"/>
          <w:i/>
          <w:w w:val="105"/>
        </w:rPr>
        <w:t xml:space="preserve">Comment: </w:t>
      </w:r>
      <w:r w:rsidRPr="00283806">
        <w:rPr>
          <w:w w:val="105"/>
        </w:rPr>
        <w:t>One commenter asserted that lowering the charge threshold to</w:t>
      </w:r>
    </w:p>
    <w:p w14:paraId="77A536F0" w14:textId="77777777" w:rsidR="00D67C1E" w:rsidRPr="00283806" w:rsidRDefault="001265CA">
      <w:pPr>
        <w:pStyle w:val="BodyText"/>
        <w:spacing w:line="228" w:lineRule="auto"/>
      </w:pPr>
      <w:r w:rsidRPr="00283806">
        <w:rPr>
          <w:w w:val="105"/>
        </w:rPr>
        <w:t>five pounds would yield significant additional avoided GHG emissions. The commenter mentioned that most of the additional reductions are estimated to come from road transport refrigeration units,</w:t>
      </w:r>
      <w:r w:rsidRPr="00283806">
        <w:rPr>
          <w:spacing w:val="40"/>
          <w:w w:val="105"/>
        </w:rPr>
        <w:t xml:space="preserve"> </w:t>
      </w:r>
      <w:r w:rsidRPr="00283806">
        <w:rPr>
          <w:w w:val="105"/>
        </w:rPr>
        <w:t>which,</w:t>
      </w:r>
      <w:r w:rsidRPr="00283806">
        <w:rPr>
          <w:spacing w:val="40"/>
          <w:w w:val="105"/>
        </w:rPr>
        <w:t xml:space="preserve"> </w:t>
      </w:r>
      <w:r w:rsidRPr="00283806">
        <w:rPr>
          <w:w w:val="105"/>
        </w:rPr>
        <w:t>under</w:t>
      </w:r>
      <w:r w:rsidRPr="00283806">
        <w:rPr>
          <w:spacing w:val="40"/>
          <w:w w:val="105"/>
        </w:rPr>
        <w:t xml:space="preserve"> </w:t>
      </w:r>
      <w:r w:rsidRPr="00283806">
        <w:rPr>
          <w:w w:val="105"/>
        </w:rPr>
        <w:t>the</w:t>
      </w:r>
      <w:r w:rsidRPr="00283806">
        <w:rPr>
          <w:spacing w:val="40"/>
          <w:w w:val="105"/>
        </w:rPr>
        <w:t xml:space="preserve"> </w:t>
      </w:r>
      <w:r w:rsidRPr="00283806">
        <w:rPr>
          <w:w w:val="105"/>
        </w:rPr>
        <w:t xml:space="preserve">2023 Technology Transitions Rule, are not yet required to transition to low-GWP refrigerant alternatives and have high estimated annual leak rates. The commenter noted that road transport refrigeration </w:t>
      </w:r>
      <w:proofErr w:type="gramStart"/>
      <w:r w:rsidRPr="00283806">
        <w:rPr>
          <w:w w:val="105"/>
        </w:rPr>
        <w:t>units</w:t>
      </w:r>
      <w:proofErr w:type="gramEnd"/>
      <w:r w:rsidRPr="00283806">
        <w:rPr>
          <w:w w:val="105"/>
        </w:rPr>
        <w:t xml:space="preserve"> merit being subject to additional leak management requirements. Another commenter similarly stated that lowering the charge size threshold would provide additional emissions benefits from the road transport sector. The commenter further stated</w:t>
      </w:r>
      <w:r w:rsidRPr="00283806">
        <w:rPr>
          <w:spacing w:val="40"/>
          <w:w w:val="105"/>
        </w:rPr>
        <w:t xml:space="preserve"> </w:t>
      </w:r>
      <w:r w:rsidRPr="00283806">
        <w:rPr>
          <w:w w:val="105"/>
        </w:rPr>
        <w:t>that</w:t>
      </w:r>
      <w:r w:rsidRPr="00283806">
        <w:rPr>
          <w:spacing w:val="40"/>
          <w:w w:val="105"/>
        </w:rPr>
        <w:t xml:space="preserve"> </w:t>
      </w:r>
      <w:r w:rsidRPr="00283806">
        <w:rPr>
          <w:w w:val="105"/>
        </w:rPr>
        <w:t>a</w:t>
      </w:r>
      <w:r w:rsidRPr="00283806">
        <w:rPr>
          <w:spacing w:val="40"/>
          <w:w w:val="105"/>
        </w:rPr>
        <w:t xml:space="preserve"> </w:t>
      </w:r>
      <w:r w:rsidRPr="00283806">
        <w:rPr>
          <w:w w:val="105"/>
        </w:rPr>
        <w:t>five-pound</w:t>
      </w:r>
      <w:r w:rsidRPr="00283806">
        <w:rPr>
          <w:spacing w:val="40"/>
          <w:w w:val="105"/>
        </w:rPr>
        <w:t xml:space="preserve"> </w:t>
      </w:r>
      <w:r w:rsidRPr="00283806">
        <w:rPr>
          <w:w w:val="105"/>
        </w:rPr>
        <w:t>threshold would avoid emissions totaling 86 MMTCO</w:t>
      </w:r>
      <w:r w:rsidRPr="00283806">
        <w:rPr>
          <w:rFonts w:ascii="Times New Roman"/>
          <w:w w:val="105"/>
          <w:vertAlign w:val="subscript"/>
        </w:rPr>
        <w:t>2</w:t>
      </w:r>
      <w:r w:rsidRPr="00283806">
        <w:rPr>
          <w:w w:val="105"/>
        </w:rPr>
        <w:t>e by 2050 with annual refrigerant savings of $1,080,000.</w:t>
      </w:r>
    </w:p>
    <w:p w14:paraId="18398FFF" w14:textId="77777777" w:rsidR="00D67C1E" w:rsidRPr="00283806" w:rsidRDefault="001265CA">
      <w:pPr>
        <w:spacing w:line="168" w:lineRule="exact"/>
        <w:ind w:left="340"/>
        <w:rPr>
          <w:sz w:val="18"/>
        </w:rPr>
      </w:pPr>
      <w:r w:rsidRPr="00283806">
        <w:rPr>
          <w:rFonts w:ascii="Book Antiqua" w:hAnsi="Book Antiqua"/>
          <w:i/>
          <w:w w:val="110"/>
          <w:sz w:val="18"/>
        </w:rPr>
        <w:t>Response:</w:t>
      </w:r>
      <w:r w:rsidRPr="00283806">
        <w:rPr>
          <w:rFonts w:ascii="Book Antiqua" w:hAnsi="Book Antiqua"/>
          <w:i/>
          <w:spacing w:val="7"/>
          <w:w w:val="110"/>
          <w:sz w:val="18"/>
        </w:rPr>
        <w:t xml:space="preserve"> </w:t>
      </w:r>
      <w:r w:rsidRPr="00283806">
        <w:rPr>
          <w:w w:val="110"/>
          <w:sz w:val="18"/>
        </w:rPr>
        <w:t>EPA</w:t>
      </w:r>
      <w:r w:rsidRPr="00283806">
        <w:rPr>
          <w:spacing w:val="13"/>
          <w:w w:val="110"/>
          <w:sz w:val="18"/>
        </w:rPr>
        <w:t xml:space="preserve"> </w:t>
      </w:r>
      <w:r w:rsidRPr="00283806">
        <w:rPr>
          <w:w w:val="110"/>
          <w:sz w:val="18"/>
        </w:rPr>
        <w:t>explains</w:t>
      </w:r>
      <w:r w:rsidRPr="00283806">
        <w:rPr>
          <w:spacing w:val="12"/>
          <w:w w:val="110"/>
          <w:sz w:val="18"/>
        </w:rPr>
        <w:t xml:space="preserve"> </w:t>
      </w:r>
      <w:r w:rsidRPr="00283806">
        <w:rPr>
          <w:w w:val="110"/>
          <w:sz w:val="18"/>
        </w:rPr>
        <w:t>the</w:t>
      </w:r>
      <w:r w:rsidRPr="00283806">
        <w:rPr>
          <w:spacing w:val="13"/>
          <w:w w:val="110"/>
          <w:sz w:val="18"/>
        </w:rPr>
        <w:t xml:space="preserve"> </w:t>
      </w:r>
      <w:r w:rsidRPr="00283806">
        <w:rPr>
          <w:spacing w:val="-2"/>
          <w:w w:val="110"/>
          <w:sz w:val="18"/>
        </w:rPr>
        <w:t>Agency’s</w:t>
      </w:r>
    </w:p>
    <w:p w14:paraId="7355F862" w14:textId="77777777" w:rsidR="00D67C1E" w:rsidRPr="00283806" w:rsidRDefault="001265CA">
      <w:pPr>
        <w:pStyle w:val="BodyText"/>
        <w:spacing w:line="228" w:lineRule="auto"/>
        <w:ind w:right="131"/>
      </w:pPr>
      <w:r w:rsidRPr="00283806">
        <w:rPr>
          <w:w w:val="105"/>
        </w:rPr>
        <w:t>decision to set a leak repair charge size threshold of 15 pounds rather than 5 pounds in section IV.C.2 in this final</w:t>
      </w:r>
      <w:r w:rsidRPr="00283806">
        <w:rPr>
          <w:spacing w:val="80"/>
          <w:w w:val="105"/>
        </w:rPr>
        <w:t xml:space="preserve"> </w:t>
      </w:r>
      <w:r w:rsidRPr="00283806">
        <w:rPr>
          <w:w w:val="105"/>
        </w:rPr>
        <w:t>rule. EPA provided estimates of the compliance costs and emissions reductions of the proposed leak repair and inspection requirements using various charge size thresholds in the</w:t>
      </w:r>
      <w:r w:rsidRPr="00283806">
        <w:rPr>
          <w:spacing w:val="40"/>
          <w:w w:val="105"/>
        </w:rPr>
        <w:t xml:space="preserve"> </w:t>
      </w:r>
      <w:r w:rsidRPr="00283806">
        <w:rPr>
          <w:w w:val="105"/>
        </w:rPr>
        <w:t>RIA addendum and Economic Impact and Benefits TSD associated with the proposed rule for informational purposes and to comply with Executive Orders. EPA notes that in these</w:t>
      </w:r>
    </w:p>
    <w:p w14:paraId="4426C422" w14:textId="77777777" w:rsidR="00D67C1E" w:rsidRPr="00283806" w:rsidRDefault="001265CA">
      <w:pPr>
        <w:pStyle w:val="BodyText"/>
        <w:spacing w:before="136" w:line="225" w:lineRule="auto"/>
        <w:ind w:left="143" w:right="27"/>
      </w:pPr>
      <w:r w:rsidRPr="00283806">
        <w:br w:type="column"/>
      </w:r>
      <w:r w:rsidRPr="00283806">
        <w:rPr>
          <w:w w:val="105"/>
        </w:rPr>
        <w:t xml:space="preserve">documents as updated for this final rule the Agency assessed the impacts of road transportation refrigeration units using reclaimed refrigerant for servicing or </w:t>
      </w:r>
      <w:proofErr w:type="gramStart"/>
      <w:r w:rsidRPr="00283806">
        <w:rPr>
          <w:w w:val="105"/>
        </w:rPr>
        <w:t>repair</w:t>
      </w:r>
      <w:proofErr w:type="gramEnd"/>
      <w:r w:rsidRPr="00283806">
        <w:rPr>
          <w:w w:val="105"/>
        </w:rPr>
        <w:t>. Additionally, as a point of clarification, EPA notes that while the 2023 Technology Transitions Rule did not set a GWP limit for all refrigerated transport, it did ban many high-GWP blends containing regulated substances, including R–404A, which was the primary blend previously used, in</w:t>
      </w:r>
      <w:r w:rsidRPr="00283806">
        <w:rPr>
          <w:spacing w:val="80"/>
          <w:w w:val="105"/>
        </w:rPr>
        <w:t xml:space="preserve"> </w:t>
      </w:r>
      <w:r w:rsidRPr="00283806">
        <w:rPr>
          <w:w w:val="105"/>
        </w:rPr>
        <w:t>certain</w:t>
      </w:r>
      <w:r w:rsidRPr="00283806">
        <w:rPr>
          <w:spacing w:val="-10"/>
          <w:w w:val="105"/>
        </w:rPr>
        <w:t xml:space="preserve"> </w:t>
      </w:r>
      <w:r w:rsidRPr="00283806">
        <w:rPr>
          <w:w w:val="105"/>
        </w:rPr>
        <w:t>refrigerated</w:t>
      </w:r>
      <w:r w:rsidRPr="00283806">
        <w:rPr>
          <w:spacing w:val="-11"/>
          <w:w w:val="105"/>
        </w:rPr>
        <w:t xml:space="preserve"> </w:t>
      </w:r>
      <w:r w:rsidRPr="00283806">
        <w:rPr>
          <w:w w:val="105"/>
        </w:rPr>
        <w:t>transport</w:t>
      </w:r>
      <w:r w:rsidRPr="00283806">
        <w:rPr>
          <w:spacing w:val="-10"/>
          <w:w w:val="105"/>
        </w:rPr>
        <w:t xml:space="preserve"> </w:t>
      </w:r>
      <w:r w:rsidRPr="00283806">
        <w:rPr>
          <w:w w:val="105"/>
        </w:rPr>
        <w:t>subsectors, beginning January 1, 2025.</w:t>
      </w:r>
    </w:p>
    <w:p w14:paraId="1E3F21FF" w14:textId="77777777" w:rsidR="00D67C1E" w:rsidRPr="00283806" w:rsidRDefault="001265CA">
      <w:pPr>
        <w:pStyle w:val="BodyText"/>
        <w:spacing w:line="213" w:lineRule="auto"/>
        <w:ind w:left="143" w:right="71" w:firstLine="180"/>
      </w:pPr>
      <w:r w:rsidRPr="00283806">
        <w:rPr>
          <w:rFonts w:ascii="Book Antiqua"/>
          <w:i/>
          <w:w w:val="105"/>
        </w:rPr>
        <w:t xml:space="preserve">Comment: </w:t>
      </w:r>
      <w:r w:rsidRPr="00283806">
        <w:rPr>
          <w:w w:val="105"/>
        </w:rPr>
        <w:t>Three commenters expressed concern that lowering the</w:t>
      </w:r>
    </w:p>
    <w:p w14:paraId="7707FEB6" w14:textId="77777777" w:rsidR="00D67C1E" w:rsidRPr="00283806" w:rsidRDefault="001265CA">
      <w:pPr>
        <w:pStyle w:val="BodyText"/>
        <w:spacing w:line="225" w:lineRule="auto"/>
        <w:ind w:left="143" w:right="96"/>
      </w:pPr>
      <w:r w:rsidRPr="00283806">
        <w:rPr>
          <w:w w:val="105"/>
        </w:rPr>
        <w:t>applicability threshold for the leak</w:t>
      </w:r>
      <w:r w:rsidRPr="00283806">
        <w:rPr>
          <w:spacing w:val="40"/>
          <w:w w:val="105"/>
        </w:rPr>
        <w:t xml:space="preserve"> </w:t>
      </w:r>
      <w:r w:rsidRPr="00283806">
        <w:rPr>
          <w:w w:val="105"/>
        </w:rPr>
        <w:t>repair requirements would significantly increase costs for sources. One of the commenters mentioned that even EPA’s analysis indicated that lowering the threshold to 15 pounds, or even 30 pounds, would not be cost-effective.</w:t>
      </w:r>
    </w:p>
    <w:p w14:paraId="08C38C79" w14:textId="77777777" w:rsidR="00D67C1E" w:rsidRPr="00283806" w:rsidRDefault="001265CA">
      <w:pPr>
        <w:pStyle w:val="BodyText"/>
        <w:spacing w:line="225" w:lineRule="auto"/>
        <w:ind w:left="143" w:right="9"/>
      </w:pPr>
      <w:r w:rsidRPr="00283806">
        <w:rPr>
          <w:w w:val="105"/>
        </w:rPr>
        <w:t>Another commenter stated that with the 15-pound threshold that EPA proposed, the number of covered appliances for</w:t>
      </w:r>
      <w:r w:rsidRPr="00283806">
        <w:rPr>
          <w:spacing w:val="40"/>
          <w:w w:val="105"/>
        </w:rPr>
        <w:t xml:space="preserve"> </w:t>
      </w:r>
      <w:r w:rsidRPr="00283806">
        <w:rPr>
          <w:w w:val="105"/>
        </w:rPr>
        <w:t xml:space="preserve">one of its’ members’ enterprises would increase more than ten-fold (from 600 to 6,100 individual units). The commenter claimed that such a dramatic increase in the number of covered appliances could result in approximately $1 billion in additional capital costs </w:t>
      </w:r>
      <w:proofErr w:type="gramStart"/>
      <w:r w:rsidRPr="00283806">
        <w:rPr>
          <w:w w:val="105"/>
        </w:rPr>
        <w:t>to</w:t>
      </w:r>
      <w:proofErr w:type="gramEnd"/>
      <w:r w:rsidRPr="00283806">
        <w:rPr>
          <w:w w:val="105"/>
        </w:rPr>
        <w:t xml:space="preserve"> the company over the next 10 years. The commenter further stated that another member estimates that conducting site surveys of </w:t>
      </w:r>
      <w:proofErr w:type="gramStart"/>
      <w:r w:rsidRPr="00283806">
        <w:rPr>
          <w:w w:val="105"/>
        </w:rPr>
        <w:t>all</w:t>
      </w:r>
      <w:r w:rsidRPr="00283806">
        <w:rPr>
          <w:spacing w:val="40"/>
          <w:w w:val="105"/>
        </w:rPr>
        <w:t xml:space="preserve"> </w:t>
      </w:r>
      <w:r w:rsidRPr="00283806">
        <w:rPr>
          <w:w w:val="105"/>
        </w:rPr>
        <w:t>of</w:t>
      </w:r>
      <w:proofErr w:type="gramEnd"/>
      <w:r w:rsidRPr="00283806">
        <w:rPr>
          <w:spacing w:val="40"/>
          <w:w w:val="105"/>
        </w:rPr>
        <w:t xml:space="preserve"> </w:t>
      </w:r>
      <w:r w:rsidRPr="00283806">
        <w:rPr>
          <w:w w:val="105"/>
        </w:rPr>
        <w:t>its</w:t>
      </w:r>
      <w:r w:rsidRPr="00283806">
        <w:rPr>
          <w:spacing w:val="40"/>
          <w:w w:val="105"/>
        </w:rPr>
        <w:t xml:space="preserve"> </w:t>
      </w:r>
      <w:r w:rsidRPr="00283806">
        <w:rPr>
          <w:w w:val="105"/>
        </w:rPr>
        <w:t>stores</w:t>
      </w:r>
      <w:r w:rsidRPr="00283806">
        <w:rPr>
          <w:spacing w:val="40"/>
          <w:w w:val="105"/>
        </w:rPr>
        <w:t xml:space="preserve"> </w:t>
      </w:r>
      <w:r w:rsidRPr="00283806">
        <w:rPr>
          <w:w w:val="105"/>
        </w:rPr>
        <w:t>to</w:t>
      </w:r>
      <w:r w:rsidRPr="00283806">
        <w:rPr>
          <w:spacing w:val="40"/>
          <w:w w:val="105"/>
        </w:rPr>
        <w:t xml:space="preserve"> </w:t>
      </w:r>
      <w:r w:rsidRPr="00283806">
        <w:rPr>
          <w:w w:val="105"/>
        </w:rPr>
        <w:t>identify</w:t>
      </w:r>
      <w:r w:rsidRPr="00283806">
        <w:rPr>
          <w:spacing w:val="40"/>
          <w:w w:val="105"/>
        </w:rPr>
        <w:t xml:space="preserve"> </w:t>
      </w:r>
      <w:r w:rsidRPr="00283806">
        <w:rPr>
          <w:w w:val="105"/>
        </w:rPr>
        <w:t>newly covered appliances under the ‘‘15-</w:t>
      </w:r>
      <w:r w:rsidRPr="00283806">
        <w:rPr>
          <w:spacing w:val="80"/>
          <w:w w:val="105"/>
        </w:rPr>
        <w:t xml:space="preserve"> </w:t>
      </w:r>
      <w:r w:rsidRPr="00283806">
        <w:rPr>
          <w:w w:val="105"/>
        </w:rPr>
        <w:t xml:space="preserve">pound </w:t>
      </w:r>
      <w:proofErr w:type="gramStart"/>
      <w:r w:rsidRPr="00283806">
        <w:rPr>
          <w:w w:val="105"/>
        </w:rPr>
        <w:t>threshold’’</w:t>
      </w:r>
      <w:proofErr w:type="gramEnd"/>
      <w:r w:rsidRPr="00283806">
        <w:rPr>
          <w:w w:val="105"/>
        </w:rPr>
        <w:t xml:space="preserve"> would cost roughly</w:t>
      </w:r>
    </w:p>
    <w:p w14:paraId="50F0B747" w14:textId="77777777" w:rsidR="00D67C1E" w:rsidRPr="00283806" w:rsidRDefault="001265CA">
      <w:pPr>
        <w:pStyle w:val="BodyText"/>
        <w:spacing w:line="225" w:lineRule="auto"/>
        <w:ind w:left="143"/>
      </w:pPr>
      <w:r w:rsidRPr="00283806">
        <w:rPr>
          <w:w w:val="105"/>
        </w:rPr>
        <w:t>$500 to $1,000 per site, depending on location and size. When multiplied</w:t>
      </w:r>
      <w:r w:rsidRPr="00283806">
        <w:rPr>
          <w:spacing w:val="80"/>
          <w:w w:val="105"/>
        </w:rPr>
        <w:t xml:space="preserve"> </w:t>
      </w:r>
      <w:r w:rsidRPr="00283806">
        <w:rPr>
          <w:w w:val="105"/>
        </w:rPr>
        <w:t>across many sites, this would lead to significant costs just to identify newly covered equipment. The commenter stated that as a practical matter, regulating small, packaged units, VRF systems, and mini-splits would greatly increase the recordkeeping burden on owners and operators under the regulations,</w:t>
      </w:r>
      <w:r w:rsidRPr="00283806">
        <w:rPr>
          <w:spacing w:val="40"/>
          <w:w w:val="105"/>
        </w:rPr>
        <w:t xml:space="preserve"> </w:t>
      </w:r>
      <w:r w:rsidRPr="00283806">
        <w:rPr>
          <w:w w:val="105"/>
        </w:rPr>
        <w:t>and</w:t>
      </w:r>
      <w:r w:rsidRPr="00283806">
        <w:rPr>
          <w:spacing w:val="40"/>
          <w:w w:val="105"/>
        </w:rPr>
        <w:t xml:space="preserve"> </w:t>
      </w:r>
      <w:r w:rsidRPr="00283806">
        <w:rPr>
          <w:w w:val="105"/>
        </w:rPr>
        <w:t>would</w:t>
      </w:r>
      <w:r w:rsidRPr="00283806">
        <w:rPr>
          <w:spacing w:val="40"/>
          <w:w w:val="105"/>
        </w:rPr>
        <w:t xml:space="preserve"> </w:t>
      </w:r>
      <w:r w:rsidRPr="00283806">
        <w:rPr>
          <w:w w:val="105"/>
        </w:rPr>
        <w:t>increase</w:t>
      </w:r>
      <w:r w:rsidRPr="00283806">
        <w:rPr>
          <w:spacing w:val="40"/>
          <w:w w:val="105"/>
        </w:rPr>
        <w:t xml:space="preserve"> </w:t>
      </w:r>
      <w:r w:rsidRPr="00283806">
        <w:rPr>
          <w:w w:val="105"/>
        </w:rPr>
        <w:t>costs for inspections and carrying out retrofit and/or</w:t>
      </w:r>
      <w:r w:rsidRPr="00283806">
        <w:rPr>
          <w:spacing w:val="-3"/>
          <w:w w:val="105"/>
        </w:rPr>
        <w:t xml:space="preserve"> </w:t>
      </w:r>
      <w:r w:rsidRPr="00283806">
        <w:rPr>
          <w:w w:val="105"/>
        </w:rPr>
        <w:t>retirement</w:t>
      </w:r>
      <w:r w:rsidRPr="00283806">
        <w:rPr>
          <w:spacing w:val="-3"/>
          <w:w w:val="105"/>
        </w:rPr>
        <w:t xml:space="preserve"> </w:t>
      </w:r>
      <w:r w:rsidRPr="00283806">
        <w:rPr>
          <w:w w:val="105"/>
        </w:rPr>
        <w:t>plans.</w:t>
      </w:r>
      <w:r w:rsidRPr="00283806">
        <w:rPr>
          <w:spacing w:val="-3"/>
          <w:w w:val="105"/>
        </w:rPr>
        <w:t xml:space="preserve"> </w:t>
      </w:r>
      <w:r w:rsidRPr="00283806">
        <w:rPr>
          <w:w w:val="105"/>
        </w:rPr>
        <w:t>The</w:t>
      </w:r>
      <w:r w:rsidRPr="00283806">
        <w:rPr>
          <w:spacing w:val="-3"/>
          <w:w w:val="105"/>
        </w:rPr>
        <w:t xml:space="preserve"> </w:t>
      </w:r>
      <w:r w:rsidRPr="00283806">
        <w:rPr>
          <w:w w:val="105"/>
        </w:rPr>
        <w:t>commenter stated that many HVAC appliances contain multiple circuits within a unit, each with its own recordkeeping obligations</w:t>
      </w:r>
      <w:r w:rsidRPr="00283806">
        <w:rPr>
          <w:spacing w:val="40"/>
          <w:w w:val="105"/>
        </w:rPr>
        <w:t xml:space="preserve"> </w:t>
      </w:r>
      <w:r w:rsidRPr="00283806">
        <w:rPr>
          <w:w w:val="105"/>
        </w:rPr>
        <w:t>and</w:t>
      </w:r>
      <w:r w:rsidRPr="00283806">
        <w:rPr>
          <w:spacing w:val="40"/>
          <w:w w:val="105"/>
        </w:rPr>
        <w:t xml:space="preserve"> </w:t>
      </w:r>
      <w:r w:rsidRPr="00283806">
        <w:rPr>
          <w:w w:val="105"/>
        </w:rPr>
        <w:t>leak</w:t>
      </w:r>
      <w:r w:rsidRPr="00283806">
        <w:rPr>
          <w:spacing w:val="40"/>
          <w:w w:val="105"/>
        </w:rPr>
        <w:t xml:space="preserve"> </w:t>
      </w:r>
      <w:r w:rsidRPr="00283806">
        <w:rPr>
          <w:w w:val="105"/>
        </w:rPr>
        <w:t>rates.</w:t>
      </w:r>
      <w:r w:rsidRPr="00283806">
        <w:rPr>
          <w:spacing w:val="40"/>
          <w:w w:val="105"/>
        </w:rPr>
        <w:t xml:space="preserve"> </w:t>
      </w:r>
      <w:r w:rsidRPr="00283806">
        <w:rPr>
          <w:w w:val="105"/>
        </w:rPr>
        <w:t>This increases compliance costs and makes it more difficult to fix, repair, and/or retrofit appliances.</w:t>
      </w:r>
    </w:p>
    <w:p w14:paraId="3DB3F6E9" w14:textId="77777777" w:rsidR="00D67C1E" w:rsidRPr="00283806" w:rsidRDefault="001265CA">
      <w:pPr>
        <w:pStyle w:val="BodyText"/>
        <w:spacing w:line="173" w:lineRule="exact"/>
        <w:ind w:left="323"/>
      </w:pPr>
      <w:r w:rsidRPr="00283806">
        <w:rPr>
          <w:w w:val="105"/>
        </w:rPr>
        <w:t>EPA</w:t>
      </w:r>
      <w:r w:rsidRPr="00283806">
        <w:rPr>
          <w:spacing w:val="12"/>
          <w:w w:val="105"/>
        </w:rPr>
        <w:t xml:space="preserve"> </w:t>
      </w:r>
      <w:r w:rsidRPr="00283806">
        <w:rPr>
          <w:w w:val="105"/>
        </w:rPr>
        <w:t>also</w:t>
      </w:r>
      <w:r w:rsidRPr="00283806">
        <w:rPr>
          <w:spacing w:val="13"/>
          <w:w w:val="105"/>
        </w:rPr>
        <w:t xml:space="preserve"> </w:t>
      </w:r>
      <w:r w:rsidRPr="00283806">
        <w:rPr>
          <w:w w:val="105"/>
        </w:rPr>
        <w:t>received</w:t>
      </w:r>
      <w:r w:rsidRPr="00283806">
        <w:rPr>
          <w:spacing w:val="13"/>
          <w:w w:val="105"/>
        </w:rPr>
        <w:t xml:space="preserve"> </w:t>
      </w:r>
      <w:r w:rsidRPr="00283806">
        <w:rPr>
          <w:w w:val="105"/>
        </w:rPr>
        <w:t>another</w:t>
      </w:r>
      <w:r w:rsidRPr="00283806">
        <w:rPr>
          <w:spacing w:val="13"/>
          <w:w w:val="105"/>
        </w:rPr>
        <w:t xml:space="preserve"> </w:t>
      </w:r>
      <w:r w:rsidRPr="00283806">
        <w:rPr>
          <w:spacing w:val="-2"/>
          <w:w w:val="105"/>
        </w:rPr>
        <w:t>comment</w:t>
      </w:r>
    </w:p>
    <w:p w14:paraId="3C141380" w14:textId="77777777" w:rsidR="00D67C1E" w:rsidRPr="00283806" w:rsidRDefault="001265CA">
      <w:pPr>
        <w:pStyle w:val="BodyText"/>
        <w:spacing w:line="225" w:lineRule="auto"/>
        <w:ind w:left="143" w:right="42"/>
      </w:pPr>
      <w:proofErr w:type="gramStart"/>
      <w:r w:rsidRPr="00283806">
        <w:rPr>
          <w:w w:val="105"/>
        </w:rPr>
        <w:t>similarly</w:t>
      </w:r>
      <w:proofErr w:type="gramEnd"/>
      <w:r w:rsidRPr="00283806">
        <w:rPr>
          <w:w w:val="105"/>
        </w:rPr>
        <w:t xml:space="preserve"> claiming that the rule would impose a financial burden </w:t>
      </w:r>
      <w:proofErr w:type="gramStart"/>
      <w:r w:rsidRPr="00283806">
        <w:rPr>
          <w:w w:val="105"/>
        </w:rPr>
        <w:t>to</w:t>
      </w:r>
      <w:proofErr w:type="gramEnd"/>
      <w:r w:rsidRPr="00283806">
        <w:rPr>
          <w:w w:val="105"/>
        </w:rPr>
        <w:t xml:space="preserve"> food retailers due to the increased number of affected appliances. Specifically, the commenter estimates that audits of stores to determine which appliances would be subject to the leak repair requirements would cost between</w:t>
      </w:r>
    </w:p>
    <w:p w14:paraId="693CDA95" w14:textId="77777777" w:rsidR="00D67C1E" w:rsidRPr="00283806" w:rsidRDefault="001265CA">
      <w:pPr>
        <w:pStyle w:val="BodyText"/>
        <w:spacing w:line="202" w:lineRule="exact"/>
        <w:ind w:left="143"/>
      </w:pPr>
      <w:r w:rsidRPr="00283806">
        <w:rPr>
          <w:w w:val="105"/>
        </w:rPr>
        <w:t>$1,000</w:t>
      </w:r>
      <w:r w:rsidRPr="00283806">
        <w:rPr>
          <w:spacing w:val="7"/>
          <w:w w:val="105"/>
        </w:rPr>
        <w:t xml:space="preserve"> </w:t>
      </w:r>
      <w:r w:rsidRPr="00283806">
        <w:rPr>
          <w:w w:val="105"/>
        </w:rPr>
        <w:t>and</w:t>
      </w:r>
      <w:r w:rsidRPr="00283806">
        <w:rPr>
          <w:spacing w:val="7"/>
          <w:w w:val="105"/>
        </w:rPr>
        <w:t xml:space="preserve"> </w:t>
      </w:r>
      <w:r w:rsidRPr="00283806">
        <w:rPr>
          <w:w w:val="105"/>
        </w:rPr>
        <w:t>$2,000</w:t>
      </w:r>
      <w:r w:rsidRPr="00283806">
        <w:rPr>
          <w:spacing w:val="7"/>
          <w:w w:val="105"/>
        </w:rPr>
        <w:t xml:space="preserve"> </w:t>
      </w:r>
      <w:r w:rsidRPr="00283806">
        <w:rPr>
          <w:w w:val="105"/>
        </w:rPr>
        <w:t>dollars</w:t>
      </w:r>
      <w:r w:rsidRPr="00283806">
        <w:rPr>
          <w:spacing w:val="7"/>
          <w:w w:val="105"/>
        </w:rPr>
        <w:t xml:space="preserve"> </w:t>
      </w:r>
      <w:r w:rsidRPr="00283806">
        <w:rPr>
          <w:spacing w:val="-5"/>
          <w:w w:val="105"/>
        </w:rPr>
        <w:t>per</w:t>
      </w:r>
    </w:p>
    <w:p w14:paraId="5E9A7219" w14:textId="77777777" w:rsidR="00D67C1E" w:rsidRPr="00283806" w:rsidRDefault="001265CA">
      <w:pPr>
        <w:pStyle w:val="BodyText"/>
        <w:spacing w:before="135" w:line="225" w:lineRule="auto"/>
        <w:ind w:left="143" w:right="161"/>
      </w:pPr>
      <w:r w:rsidRPr="00283806">
        <w:br w:type="column"/>
      </w:r>
      <w:r w:rsidRPr="00283806">
        <w:rPr>
          <w:w w:val="105"/>
        </w:rPr>
        <w:t>supermarket and upwards of $700 dollars for convenience stores, further estimating a total cost of $258,872,850</w:t>
      </w:r>
      <w:r w:rsidRPr="00283806">
        <w:rPr>
          <w:spacing w:val="40"/>
          <w:w w:val="105"/>
        </w:rPr>
        <w:t xml:space="preserve"> </w:t>
      </w:r>
      <w:r w:rsidRPr="00283806">
        <w:rPr>
          <w:w w:val="105"/>
        </w:rPr>
        <w:t xml:space="preserve">to the food retail industry. The commenter also expressed concern that many smaller appliances would need to be added to </w:t>
      </w:r>
      <w:proofErr w:type="gramStart"/>
      <w:r w:rsidRPr="00283806">
        <w:rPr>
          <w:w w:val="105"/>
        </w:rPr>
        <w:t>a company’s</w:t>
      </w:r>
      <w:proofErr w:type="gramEnd"/>
      <w:r w:rsidRPr="00283806">
        <w:rPr>
          <w:w w:val="105"/>
        </w:rPr>
        <w:t xml:space="preserve"> recordkeeping, because appliances not previously covered under CAA section 608 would not have had their full charge data captured. The commenter claimed that some companies may have voluntarily kept records of appliances under 50 pounds, however these records would not have been kept with the same rigor as recordkeeping required under CAA section 608. The commenter estimates the costs of reweighing smaller refrigerant-containing appliances to determine full charge will cost</w:t>
      </w:r>
      <w:r w:rsidRPr="00283806">
        <w:rPr>
          <w:spacing w:val="80"/>
          <w:w w:val="105"/>
        </w:rPr>
        <w:t xml:space="preserve"> </w:t>
      </w:r>
      <w:r w:rsidRPr="00283806">
        <w:rPr>
          <w:w w:val="105"/>
        </w:rPr>
        <w:t xml:space="preserve">individual stores a minimum of $1,287 which industry-wide would result in an additional $81,534,800 in compliance </w:t>
      </w:r>
      <w:r w:rsidRPr="00283806">
        <w:rPr>
          <w:spacing w:val="-2"/>
          <w:w w:val="105"/>
        </w:rPr>
        <w:t>costs.</w:t>
      </w:r>
    </w:p>
    <w:p w14:paraId="66181F77" w14:textId="77777777" w:rsidR="00D67C1E" w:rsidRPr="00283806" w:rsidRDefault="001265CA">
      <w:pPr>
        <w:spacing w:line="177" w:lineRule="exact"/>
        <w:ind w:left="323"/>
        <w:rPr>
          <w:sz w:val="18"/>
        </w:rPr>
      </w:pPr>
      <w:r w:rsidRPr="00283806">
        <w:rPr>
          <w:rFonts w:ascii="Book Antiqua"/>
          <w:i/>
          <w:w w:val="110"/>
          <w:sz w:val="18"/>
        </w:rPr>
        <w:t>Response:</w:t>
      </w:r>
      <w:r w:rsidRPr="00283806">
        <w:rPr>
          <w:rFonts w:ascii="Book Antiqua"/>
          <w:i/>
          <w:spacing w:val="6"/>
          <w:w w:val="110"/>
          <w:sz w:val="18"/>
        </w:rPr>
        <w:t xml:space="preserve"> </w:t>
      </w:r>
      <w:r w:rsidRPr="00283806">
        <w:rPr>
          <w:w w:val="110"/>
          <w:sz w:val="18"/>
        </w:rPr>
        <w:t>EPA</w:t>
      </w:r>
      <w:r w:rsidRPr="00283806">
        <w:rPr>
          <w:spacing w:val="13"/>
          <w:w w:val="110"/>
          <w:sz w:val="18"/>
        </w:rPr>
        <w:t xml:space="preserve"> </w:t>
      </w:r>
      <w:r w:rsidRPr="00283806">
        <w:rPr>
          <w:w w:val="110"/>
          <w:sz w:val="18"/>
        </w:rPr>
        <w:t>is</w:t>
      </w:r>
      <w:r w:rsidRPr="00283806">
        <w:rPr>
          <w:spacing w:val="12"/>
          <w:w w:val="110"/>
          <w:sz w:val="18"/>
        </w:rPr>
        <w:t xml:space="preserve"> </w:t>
      </w:r>
      <w:r w:rsidRPr="00283806">
        <w:rPr>
          <w:w w:val="110"/>
          <w:sz w:val="18"/>
        </w:rPr>
        <w:t>finalizing</w:t>
      </w:r>
      <w:r w:rsidRPr="00283806">
        <w:rPr>
          <w:spacing w:val="12"/>
          <w:w w:val="110"/>
          <w:sz w:val="18"/>
        </w:rPr>
        <w:t xml:space="preserve"> </w:t>
      </w:r>
      <w:r w:rsidRPr="00283806">
        <w:rPr>
          <w:w w:val="110"/>
          <w:sz w:val="18"/>
        </w:rPr>
        <w:t>the</w:t>
      </w:r>
      <w:r w:rsidRPr="00283806">
        <w:rPr>
          <w:spacing w:val="12"/>
          <w:w w:val="110"/>
          <w:sz w:val="18"/>
        </w:rPr>
        <w:t xml:space="preserve"> </w:t>
      </w:r>
      <w:r w:rsidRPr="00283806">
        <w:rPr>
          <w:spacing w:val="-5"/>
          <w:w w:val="110"/>
          <w:sz w:val="18"/>
        </w:rPr>
        <w:t>15-</w:t>
      </w:r>
    </w:p>
    <w:p w14:paraId="467C1822" w14:textId="77777777" w:rsidR="00D67C1E" w:rsidRPr="00283806" w:rsidRDefault="001265CA">
      <w:pPr>
        <w:pStyle w:val="BodyText"/>
        <w:spacing w:line="225" w:lineRule="auto"/>
        <w:ind w:left="143" w:right="175"/>
      </w:pPr>
      <w:r w:rsidRPr="00283806">
        <w:rPr>
          <w:w w:val="105"/>
        </w:rPr>
        <w:t>pound</w:t>
      </w:r>
      <w:r w:rsidRPr="00283806">
        <w:rPr>
          <w:spacing w:val="40"/>
          <w:w w:val="105"/>
        </w:rPr>
        <w:t xml:space="preserve"> </w:t>
      </w:r>
      <w:r w:rsidRPr="00283806">
        <w:rPr>
          <w:w w:val="105"/>
        </w:rPr>
        <w:t>charge</w:t>
      </w:r>
      <w:r w:rsidRPr="00283806">
        <w:rPr>
          <w:spacing w:val="40"/>
          <w:w w:val="105"/>
        </w:rPr>
        <w:t xml:space="preserve"> </w:t>
      </w:r>
      <w:r w:rsidRPr="00283806">
        <w:rPr>
          <w:w w:val="105"/>
        </w:rPr>
        <w:t>size</w:t>
      </w:r>
      <w:r w:rsidRPr="00283806">
        <w:rPr>
          <w:spacing w:val="40"/>
          <w:w w:val="105"/>
        </w:rPr>
        <w:t xml:space="preserve"> </w:t>
      </w:r>
      <w:r w:rsidRPr="00283806">
        <w:rPr>
          <w:w w:val="105"/>
        </w:rPr>
        <w:t>threshold</w:t>
      </w:r>
      <w:r w:rsidRPr="00283806">
        <w:rPr>
          <w:spacing w:val="40"/>
          <w:w w:val="105"/>
        </w:rPr>
        <w:t xml:space="preserve"> </w:t>
      </w:r>
      <w:r w:rsidRPr="00283806">
        <w:rPr>
          <w:w w:val="105"/>
        </w:rPr>
        <w:t xml:space="preserve">as proposed for the leak repair requirements in this final rule after consideration of </w:t>
      </w:r>
      <w:proofErr w:type="gramStart"/>
      <w:r w:rsidRPr="00283806">
        <w:rPr>
          <w:w w:val="105"/>
        </w:rPr>
        <w:t>a number of</w:t>
      </w:r>
      <w:proofErr w:type="gramEnd"/>
      <w:r w:rsidRPr="00283806">
        <w:rPr>
          <w:w w:val="105"/>
        </w:rPr>
        <w:t xml:space="preserve"> factors, including information regarding where HFCs or their substitutes are currently being used in refrigerant-containing appliances and where they are expected to be used in the coming years. EPA also considered, for example, changes to the market for refrigerant-containing appliances over time, design elements of different types of refrigerant-containing appliances with different charge sizes</w:t>
      </w:r>
      <w:r w:rsidRPr="00283806">
        <w:rPr>
          <w:spacing w:val="40"/>
          <w:w w:val="105"/>
        </w:rPr>
        <w:t xml:space="preserve"> </w:t>
      </w:r>
      <w:r w:rsidRPr="00283806">
        <w:rPr>
          <w:w w:val="105"/>
        </w:rPr>
        <w:t>and their respective propensity to leak (</w:t>
      </w:r>
      <w:r w:rsidRPr="00283806">
        <w:rPr>
          <w:rFonts w:ascii="Book Antiqua"/>
          <w:i/>
          <w:w w:val="105"/>
        </w:rPr>
        <w:t xml:space="preserve">e.g., </w:t>
      </w:r>
      <w:r w:rsidRPr="00283806">
        <w:rPr>
          <w:w w:val="105"/>
        </w:rPr>
        <w:t>whether equipment is hermetically sealed), and whether refrigerant- containing appliances at specific charge sizes are typically repaired or disposed</w:t>
      </w:r>
      <w:r w:rsidRPr="00283806">
        <w:rPr>
          <w:spacing w:val="40"/>
          <w:w w:val="105"/>
        </w:rPr>
        <w:t xml:space="preserve"> </w:t>
      </w:r>
      <w:r w:rsidRPr="00283806">
        <w:rPr>
          <w:w w:val="105"/>
        </w:rPr>
        <w:t>of. As previously stated, in the RIA addendum and Economic Impact and Benefits TSD for the proposed</w:t>
      </w:r>
      <w:r w:rsidRPr="00283806">
        <w:rPr>
          <w:spacing w:val="40"/>
          <w:w w:val="105"/>
        </w:rPr>
        <w:t xml:space="preserve"> </w:t>
      </w:r>
      <w:r w:rsidRPr="00283806">
        <w:rPr>
          <w:w w:val="105"/>
        </w:rPr>
        <w:t>rulemaking the Agency assessed</w:t>
      </w:r>
      <w:r w:rsidRPr="00283806">
        <w:rPr>
          <w:spacing w:val="80"/>
          <w:w w:val="105"/>
        </w:rPr>
        <w:t xml:space="preserve"> </w:t>
      </w:r>
      <w:r w:rsidRPr="00283806">
        <w:rPr>
          <w:w w:val="105"/>
        </w:rPr>
        <w:t>different thresholds. These assessments were prepared to provide additional information, increase transparency to</w:t>
      </w:r>
      <w:r w:rsidRPr="00283806">
        <w:rPr>
          <w:spacing w:val="80"/>
          <w:w w:val="105"/>
        </w:rPr>
        <w:t xml:space="preserve"> </w:t>
      </w:r>
      <w:r w:rsidRPr="00283806">
        <w:rPr>
          <w:w w:val="105"/>
        </w:rPr>
        <w:t xml:space="preserve">the public, and comply with Executive Orders. EPA did not consider the cost- effectiveness of a specific charge size threshold in its reasoning for finalizing the 15-pound charge size threshold for the leak repair provisions; however, for informational purposes the Agency provided the cost assessments at different charge thresholds in the Draft Economic Impact and Benefits TSD associated with the NPRM. Further discussion </w:t>
      </w:r>
      <w:proofErr w:type="gramStart"/>
      <w:r w:rsidRPr="00283806">
        <w:rPr>
          <w:w w:val="105"/>
        </w:rPr>
        <w:t>on</w:t>
      </w:r>
      <w:proofErr w:type="gramEnd"/>
      <w:r w:rsidRPr="00283806">
        <w:rPr>
          <w:w w:val="105"/>
        </w:rPr>
        <w:t xml:space="preserve"> the charge size threshold for</w:t>
      </w:r>
      <w:r w:rsidRPr="00283806">
        <w:rPr>
          <w:spacing w:val="38"/>
          <w:w w:val="105"/>
        </w:rPr>
        <w:t xml:space="preserve"> </w:t>
      </w:r>
      <w:r w:rsidRPr="00283806">
        <w:rPr>
          <w:w w:val="105"/>
        </w:rPr>
        <w:t>the</w:t>
      </w:r>
      <w:r w:rsidRPr="00283806">
        <w:rPr>
          <w:spacing w:val="38"/>
          <w:w w:val="105"/>
        </w:rPr>
        <w:t xml:space="preserve"> </w:t>
      </w:r>
      <w:r w:rsidRPr="00283806">
        <w:rPr>
          <w:w w:val="105"/>
        </w:rPr>
        <w:t>leak</w:t>
      </w:r>
      <w:r w:rsidRPr="00283806">
        <w:rPr>
          <w:spacing w:val="38"/>
          <w:w w:val="105"/>
        </w:rPr>
        <w:t xml:space="preserve"> </w:t>
      </w:r>
      <w:r w:rsidRPr="00283806">
        <w:rPr>
          <w:w w:val="105"/>
        </w:rPr>
        <w:t>repair</w:t>
      </w:r>
      <w:r w:rsidRPr="00283806">
        <w:rPr>
          <w:spacing w:val="38"/>
          <w:w w:val="105"/>
        </w:rPr>
        <w:t xml:space="preserve"> </w:t>
      </w:r>
      <w:r w:rsidRPr="00283806">
        <w:rPr>
          <w:w w:val="105"/>
        </w:rPr>
        <w:t>provisions</w:t>
      </w:r>
      <w:r w:rsidRPr="00283806">
        <w:rPr>
          <w:spacing w:val="38"/>
          <w:w w:val="105"/>
        </w:rPr>
        <w:t xml:space="preserve"> </w:t>
      </w:r>
      <w:r w:rsidRPr="00283806">
        <w:rPr>
          <w:w w:val="105"/>
        </w:rPr>
        <w:t>in</w:t>
      </w:r>
      <w:r w:rsidRPr="00283806">
        <w:rPr>
          <w:spacing w:val="38"/>
          <w:w w:val="105"/>
        </w:rPr>
        <w:t xml:space="preserve"> </w:t>
      </w:r>
      <w:r w:rsidRPr="00283806">
        <w:rPr>
          <w:w w:val="105"/>
        </w:rPr>
        <w:t>this final rule can be found in section IV.C.2.</w:t>
      </w:r>
    </w:p>
    <w:p w14:paraId="21B6AC84" w14:textId="77777777" w:rsidR="00D67C1E" w:rsidRPr="00283806" w:rsidRDefault="001265CA">
      <w:pPr>
        <w:pStyle w:val="BodyText"/>
        <w:spacing w:line="156" w:lineRule="exact"/>
        <w:ind w:left="323"/>
      </w:pPr>
      <w:r w:rsidRPr="00283806">
        <w:rPr>
          <w:w w:val="105"/>
        </w:rPr>
        <w:t>Regarding</w:t>
      </w:r>
      <w:r w:rsidRPr="00283806">
        <w:rPr>
          <w:spacing w:val="7"/>
          <w:w w:val="105"/>
        </w:rPr>
        <w:t xml:space="preserve"> </w:t>
      </w:r>
      <w:r w:rsidRPr="00283806">
        <w:rPr>
          <w:w w:val="105"/>
        </w:rPr>
        <w:t>one</w:t>
      </w:r>
      <w:r w:rsidRPr="00283806">
        <w:rPr>
          <w:spacing w:val="7"/>
          <w:w w:val="105"/>
        </w:rPr>
        <w:t xml:space="preserve"> </w:t>
      </w:r>
      <w:r w:rsidRPr="00283806">
        <w:rPr>
          <w:w w:val="105"/>
        </w:rPr>
        <w:t>commenter’s</w:t>
      </w:r>
      <w:r w:rsidRPr="00283806">
        <w:rPr>
          <w:spacing w:val="7"/>
          <w:w w:val="105"/>
        </w:rPr>
        <w:t xml:space="preserve"> </w:t>
      </w:r>
      <w:r w:rsidRPr="00283806">
        <w:rPr>
          <w:spacing w:val="-2"/>
          <w:w w:val="105"/>
        </w:rPr>
        <w:t>assertion</w:t>
      </w:r>
    </w:p>
    <w:p w14:paraId="78050776" w14:textId="77777777" w:rsidR="00D67C1E" w:rsidRPr="00283806" w:rsidRDefault="001265CA">
      <w:pPr>
        <w:pStyle w:val="BodyText"/>
        <w:spacing w:before="1" w:line="228" w:lineRule="auto"/>
        <w:ind w:left="143"/>
      </w:pPr>
      <w:r w:rsidRPr="00283806">
        <w:rPr>
          <w:w w:val="105"/>
        </w:rPr>
        <w:t>that the rule would institute additional recordkeeping and compliance costs for certain HVAC appliances, the Agency</w:t>
      </w:r>
    </w:p>
    <w:p w14:paraId="73FC2CF4"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7" w:space="40"/>
            <w:col w:w="3501" w:space="39"/>
            <w:col w:w="3623"/>
          </w:cols>
        </w:sectPr>
      </w:pPr>
    </w:p>
    <w:p w14:paraId="2C558CD8" w14:textId="77777777" w:rsidR="00D67C1E" w:rsidRPr="00283806" w:rsidRDefault="001265CA">
      <w:pPr>
        <w:pStyle w:val="BodyText"/>
        <w:spacing w:before="134" w:line="228" w:lineRule="auto"/>
      </w:pPr>
      <w:proofErr w:type="gramStart"/>
      <w:r w:rsidRPr="00283806">
        <w:rPr>
          <w:w w:val="105"/>
        </w:rPr>
        <w:lastRenderedPageBreak/>
        <w:t>refers</w:t>
      </w:r>
      <w:proofErr w:type="gramEnd"/>
      <w:r w:rsidRPr="00283806">
        <w:rPr>
          <w:w w:val="105"/>
        </w:rPr>
        <w:t xml:space="preserve"> the commenter </w:t>
      </w:r>
      <w:proofErr w:type="gramStart"/>
      <w:r w:rsidRPr="00283806">
        <w:rPr>
          <w:w w:val="105"/>
        </w:rPr>
        <w:t>to</w:t>
      </w:r>
      <w:proofErr w:type="gramEnd"/>
      <w:r w:rsidRPr="00283806">
        <w:rPr>
          <w:w w:val="105"/>
        </w:rPr>
        <w:t xml:space="preserve"> further discussions on the exemption of refrigerant-containing appliances used</w:t>
      </w:r>
      <w:r w:rsidRPr="00283806">
        <w:rPr>
          <w:spacing w:val="80"/>
          <w:w w:val="105"/>
        </w:rPr>
        <w:t xml:space="preserve"> </w:t>
      </w:r>
      <w:r w:rsidRPr="00283806">
        <w:rPr>
          <w:w w:val="105"/>
        </w:rPr>
        <w:t>in the residential and light commercial</w:t>
      </w:r>
      <w:r w:rsidRPr="00283806">
        <w:rPr>
          <w:spacing w:val="40"/>
          <w:w w:val="105"/>
        </w:rPr>
        <w:t xml:space="preserve"> </w:t>
      </w:r>
      <w:r w:rsidRPr="00283806">
        <w:rPr>
          <w:w w:val="105"/>
        </w:rPr>
        <w:t>air conditioning and heat pumps subsector in section IV.C.2. EPA notes</w:t>
      </w:r>
      <w:r w:rsidRPr="00283806">
        <w:rPr>
          <w:spacing w:val="40"/>
          <w:w w:val="105"/>
        </w:rPr>
        <w:t xml:space="preserve"> </w:t>
      </w:r>
      <w:r w:rsidRPr="00283806">
        <w:rPr>
          <w:w w:val="105"/>
        </w:rPr>
        <w:t>that several of the refrigerant-containing appliances the commenter describes</w:t>
      </w:r>
      <w:r w:rsidRPr="00283806">
        <w:rPr>
          <w:spacing w:val="40"/>
          <w:w w:val="105"/>
        </w:rPr>
        <w:t xml:space="preserve"> </w:t>
      </w:r>
      <w:r w:rsidRPr="00283806">
        <w:rPr>
          <w:w w:val="105"/>
        </w:rPr>
        <w:t>(</w:t>
      </w:r>
      <w:r w:rsidRPr="00283806">
        <w:rPr>
          <w:rFonts w:ascii="Book Antiqua" w:hAnsi="Book Antiqua"/>
          <w:i/>
          <w:w w:val="105"/>
        </w:rPr>
        <w:t xml:space="preserve">e.g., </w:t>
      </w:r>
      <w:r w:rsidRPr="00283806">
        <w:rPr>
          <w:w w:val="105"/>
        </w:rPr>
        <w:t>mini-splits) may be considered a part of the residential and light commercial air conditioning and heat pumps sector and thus are exempt from the leak repair requirements in this final rule. EPA disagrees with the</w:t>
      </w:r>
      <w:r w:rsidRPr="00283806">
        <w:rPr>
          <w:spacing w:val="40"/>
          <w:w w:val="105"/>
        </w:rPr>
        <w:t xml:space="preserve"> </w:t>
      </w:r>
      <w:r w:rsidRPr="00283806">
        <w:rPr>
          <w:w w:val="105"/>
        </w:rPr>
        <w:t>commenters’ assessments of capital</w:t>
      </w:r>
      <w:r w:rsidRPr="00283806">
        <w:rPr>
          <w:spacing w:val="80"/>
          <w:w w:val="105"/>
        </w:rPr>
        <w:t xml:space="preserve"> </w:t>
      </w:r>
      <w:r w:rsidRPr="00283806">
        <w:rPr>
          <w:w w:val="105"/>
        </w:rPr>
        <w:t>costs</w:t>
      </w:r>
      <w:r w:rsidRPr="00283806">
        <w:rPr>
          <w:spacing w:val="40"/>
          <w:w w:val="105"/>
        </w:rPr>
        <w:t xml:space="preserve"> </w:t>
      </w:r>
      <w:r w:rsidRPr="00283806">
        <w:rPr>
          <w:w w:val="105"/>
        </w:rPr>
        <w:t>associated</w:t>
      </w:r>
      <w:r w:rsidRPr="00283806">
        <w:rPr>
          <w:spacing w:val="40"/>
          <w:w w:val="105"/>
        </w:rPr>
        <w:t xml:space="preserve"> </w:t>
      </w:r>
      <w:r w:rsidRPr="00283806">
        <w:rPr>
          <w:w w:val="105"/>
        </w:rPr>
        <w:t>with</w:t>
      </w:r>
      <w:r w:rsidRPr="00283806">
        <w:rPr>
          <w:spacing w:val="40"/>
          <w:w w:val="105"/>
        </w:rPr>
        <w:t xml:space="preserve"> </w:t>
      </w:r>
      <w:r w:rsidRPr="00283806">
        <w:rPr>
          <w:w w:val="105"/>
        </w:rPr>
        <w:t>complying</w:t>
      </w:r>
      <w:r w:rsidRPr="00283806">
        <w:rPr>
          <w:spacing w:val="40"/>
          <w:w w:val="105"/>
        </w:rPr>
        <w:t xml:space="preserve"> </w:t>
      </w:r>
      <w:r w:rsidRPr="00283806">
        <w:rPr>
          <w:w w:val="105"/>
        </w:rPr>
        <w:t>with the leak repair provision and with the comments related to site surveys and store audits. Owners and operators will need to review an inventory of</w:t>
      </w:r>
      <w:r w:rsidRPr="00283806">
        <w:rPr>
          <w:spacing w:val="40"/>
          <w:w w:val="105"/>
        </w:rPr>
        <w:t xml:space="preserve"> </w:t>
      </w:r>
      <w:r w:rsidRPr="00283806">
        <w:rPr>
          <w:w w:val="105"/>
        </w:rPr>
        <w:t xml:space="preserve">equipment and assess which equipment is subject to </w:t>
      </w:r>
      <w:proofErr w:type="gramStart"/>
      <w:r w:rsidRPr="00283806">
        <w:rPr>
          <w:w w:val="105"/>
        </w:rPr>
        <w:t>the rule’s</w:t>
      </w:r>
      <w:proofErr w:type="gramEnd"/>
      <w:r w:rsidRPr="00283806">
        <w:rPr>
          <w:w w:val="105"/>
        </w:rPr>
        <w:t xml:space="preserve"> leak repair requirements regardless of where the threshold is set. Supermarkets and other entities should be able to ascertain</w:t>
      </w:r>
      <w:r w:rsidRPr="00283806">
        <w:rPr>
          <w:spacing w:val="80"/>
          <w:w w:val="105"/>
        </w:rPr>
        <w:t xml:space="preserve"> </w:t>
      </w:r>
      <w:r w:rsidRPr="00283806">
        <w:rPr>
          <w:w w:val="105"/>
        </w:rPr>
        <w:t>which appliances are at or above the 15- pound threshold. Furthermore, owners</w:t>
      </w:r>
      <w:r w:rsidRPr="00283806">
        <w:rPr>
          <w:spacing w:val="40"/>
          <w:w w:val="105"/>
        </w:rPr>
        <w:t xml:space="preserve"> </w:t>
      </w:r>
      <w:r w:rsidRPr="00283806">
        <w:rPr>
          <w:w w:val="105"/>
        </w:rPr>
        <w:t>or operators most likely have records of refrigerant-containing appliances that would</w:t>
      </w:r>
      <w:r w:rsidRPr="00283806">
        <w:rPr>
          <w:spacing w:val="40"/>
          <w:w w:val="105"/>
        </w:rPr>
        <w:t xml:space="preserve"> </w:t>
      </w:r>
      <w:r w:rsidRPr="00283806">
        <w:rPr>
          <w:w w:val="105"/>
        </w:rPr>
        <w:t>allow</w:t>
      </w:r>
      <w:r w:rsidRPr="00283806">
        <w:rPr>
          <w:spacing w:val="40"/>
          <w:w w:val="105"/>
        </w:rPr>
        <w:t xml:space="preserve"> </w:t>
      </w:r>
      <w:r w:rsidRPr="00283806">
        <w:rPr>
          <w:w w:val="105"/>
        </w:rPr>
        <w:t>them</w:t>
      </w:r>
      <w:r w:rsidRPr="00283806">
        <w:rPr>
          <w:spacing w:val="40"/>
          <w:w w:val="105"/>
        </w:rPr>
        <w:t xml:space="preserve"> </w:t>
      </w:r>
      <w:r w:rsidRPr="00283806">
        <w:rPr>
          <w:w w:val="105"/>
        </w:rPr>
        <w:t>to</w:t>
      </w:r>
      <w:r w:rsidRPr="00283806">
        <w:rPr>
          <w:spacing w:val="40"/>
          <w:w w:val="105"/>
        </w:rPr>
        <w:t xml:space="preserve"> </w:t>
      </w:r>
      <w:r w:rsidRPr="00283806">
        <w:rPr>
          <w:w w:val="105"/>
        </w:rPr>
        <w:t>determine</w:t>
      </w:r>
      <w:r w:rsidRPr="00283806">
        <w:rPr>
          <w:spacing w:val="40"/>
          <w:w w:val="105"/>
        </w:rPr>
        <w:t xml:space="preserve"> </w:t>
      </w:r>
      <w:r w:rsidRPr="00283806">
        <w:rPr>
          <w:w w:val="105"/>
        </w:rPr>
        <w:t>if</w:t>
      </w:r>
      <w:r w:rsidRPr="00283806">
        <w:rPr>
          <w:spacing w:val="40"/>
          <w:w w:val="105"/>
        </w:rPr>
        <w:t xml:space="preserve"> </w:t>
      </w:r>
      <w:r w:rsidRPr="00283806">
        <w:rPr>
          <w:w w:val="105"/>
        </w:rPr>
        <w:t xml:space="preserve">the full charge was at or above the 15-pound threshold. For instance, </w:t>
      </w:r>
      <w:proofErr w:type="gramStart"/>
      <w:r w:rsidRPr="00283806">
        <w:rPr>
          <w:w w:val="105"/>
        </w:rPr>
        <w:t>owner’s</w:t>
      </w:r>
      <w:proofErr w:type="gramEnd"/>
      <w:r w:rsidRPr="00283806">
        <w:rPr>
          <w:spacing w:val="80"/>
          <w:w w:val="150"/>
        </w:rPr>
        <w:t xml:space="preserve"> </w:t>
      </w:r>
      <w:r w:rsidRPr="00283806">
        <w:rPr>
          <w:w w:val="105"/>
        </w:rPr>
        <w:t>manuals might provide the OEM’s assessment of the full charge, or service records from when the equipment was installed</w:t>
      </w:r>
      <w:r w:rsidRPr="00283806">
        <w:rPr>
          <w:spacing w:val="40"/>
          <w:w w:val="105"/>
        </w:rPr>
        <w:t xml:space="preserve"> </w:t>
      </w:r>
      <w:r w:rsidRPr="00283806">
        <w:rPr>
          <w:w w:val="105"/>
        </w:rPr>
        <w:t>and</w:t>
      </w:r>
      <w:r w:rsidRPr="00283806">
        <w:rPr>
          <w:spacing w:val="40"/>
          <w:w w:val="105"/>
        </w:rPr>
        <w:t xml:space="preserve"> </w:t>
      </w:r>
      <w:r w:rsidRPr="00283806">
        <w:rPr>
          <w:w w:val="105"/>
        </w:rPr>
        <w:t>first</w:t>
      </w:r>
      <w:r w:rsidRPr="00283806">
        <w:rPr>
          <w:spacing w:val="40"/>
          <w:w w:val="105"/>
        </w:rPr>
        <w:t xml:space="preserve"> </w:t>
      </w:r>
      <w:proofErr w:type="gramStart"/>
      <w:r w:rsidRPr="00283806">
        <w:rPr>
          <w:w w:val="105"/>
        </w:rPr>
        <w:t>filled</w:t>
      </w:r>
      <w:proofErr w:type="gramEnd"/>
      <w:r w:rsidRPr="00283806">
        <w:rPr>
          <w:spacing w:val="40"/>
          <w:w w:val="105"/>
        </w:rPr>
        <w:t xml:space="preserve"> </w:t>
      </w:r>
      <w:r w:rsidRPr="00283806">
        <w:rPr>
          <w:w w:val="105"/>
        </w:rPr>
        <w:t>or</w:t>
      </w:r>
      <w:r w:rsidRPr="00283806">
        <w:rPr>
          <w:spacing w:val="40"/>
          <w:w w:val="105"/>
        </w:rPr>
        <w:t xml:space="preserve"> </w:t>
      </w:r>
      <w:r w:rsidRPr="00283806">
        <w:rPr>
          <w:w w:val="105"/>
        </w:rPr>
        <w:t>checked might provide the necessary</w:t>
      </w:r>
      <w:r w:rsidRPr="00283806">
        <w:rPr>
          <w:spacing w:val="80"/>
          <w:w w:val="105"/>
        </w:rPr>
        <w:t xml:space="preserve"> </w:t>
      </w:r>
      <w:r w:rsidRPr="00283806">
        <w:rPr>
          <w:w w:val="105"/>
        </w:rPr>
        <w:t>information. The Agency understands that most stand-alone units would be below 15 pounds but to the extent that certain stand-alone units are above the 15-pound threshold owners or operators should be able to easily determine the charge size and type of refrigerant being used</w:t>
      </w:r>
      <w:r w:rsidRPr="00283806">
        <w:rPr>
          <w:spacing w:val="38"/>
          <w:w w:val="105"/>
        </w:rPr>
        <w:t xml:space="preserve"> </w:t>
      </w:r>
      <w:r w:rsidRPr="00283806">
        <w:rPr>
          <w:w w:val="105"/>
        </w:rPr>
        <w:t>via</w:t>
      </w:r>
      <w:r w:rsidRPr="00283806">
        <w:rPr>
          <w:spacing w:val="38"/>
          <w:w w:val="105"/>
        </w:rPr>
        <w:t xml:space="preserve"> </w:t>
      </w:r>
      <w:r w:rsidRPr="00283806">
        <w:rPr>
          <w:w w:val="105"/>
        </w:rPr>
        <w:t>a</w:t>
      </w:r>
      <w:r w:rsidRPr="00283806">
        <w:rPr>
          <w:spacing w:val="38"/>
          <w:w w:val="105"/>
        </w:rPr>
        <w:t xml:space="preserve"> </w:t>
      </w:r>
      <w:r w:rsidRPr="00283806">
        <w:rPr>
          <w:w w:val="105"/>
        </w:rPr>
        <w:t>manufacturer</w:t>
      </w:r>
      <w:r w:rsidRPr="00283806">
        <w:rPr>
          <w:spacing w:val="38"/>
          <w:w w:val="105"/>
        </w:rPr>
        <w:t xml:space="preserve"> </w:t>
      </w:r>
      <w:r w:rsidRPr="00283806">
        <w:rPr>
          <w:w w:val="105"/>
        </w:rPr>
        <w:t>label.</w:t>
      </w:r>
      <w:r w:rsidRPr="00283806">
        <w:rPr>
          <w:spacing w:val="38"/>
          <w:w w:val="105"/>
        </w:rPr>
        <w:t xml:space="preserve"> </w:t>
      </w:r>
      <w:r w:rsidRPr="00283806">
        <w:rPr>
          <w:w w:val="105"/>
        </w:rPr>
        <w:t>Further, if</w:t>
      </w:r>
      <w:r w:rsidRPr="00283806">
        <w:rPr>
          <w:spacing w:val="29"/>
          <w:w w:val="105"/>
        </w:rPr>
        <w:t xml:space="preserve"> </w:t>
      </w:r>
      <w:r w:rsidRPr="00283806">
        <w:rPr>
          <w:w w:val="105"/>
        </w:rPr>
        <w:t>an</w:t>
      </w:r>
      <w:r w:rsidRPr="00283806">
        <w:rPr>
          <w:spacing w:val="29"/>
          <w:w w:val="105"/>
        </w:rPr>
        <w:t xml:space="preserve"> </w:t>
      </w:r>
      <w:r w:rsidRPr="00283806">
        <w:rPr>
          <w:w w:val="105"/>
        </w:rPr>
        <w:t>owner</w:t>
      </w:r>
      <w:r w:rsidRPr="00283806">
        <w:rPr>
          <w:spacing w:val="29"/>
          <w:w w:val="105"/>
        </w:rPr>
        <w:t xml:space="preserve"> </w:t>
      </w:r>
      <w:r w:rsidRPr="00283806">
        <w:rPr>
          <w:w w:val="105"/>
        </w:rPr>
        <w:t>or</w:t>
      </w:r>
      <w:r w:rsidRPr="00283806">
        <w:rPr>
          <w:spacing w:val="29"/>
          <w:w w:val="105"/>
        </w:rPr>
        <w:t xml:space="preserve"> </w:t>
      </w:r>
      <w:r w:rsidRPr="00283806">
        <w:rPr>
          <w:w w:val="105"/>
        </w:rPr>
        <w:t>operator</w:t>
      </w:r>
      <w:r w:rsidRPr="00283806">
        <w:rPr>
          <w:spacing w:val="29"/>
          <w:w w:val="105"/>
        </w:rPr>
        <w:t xml:space="preserve"> </w:t>
      </w:r>
      <w:r w:rsidRPr="00283806">
        <w:rPr>
          <w:w w:val="105"/>
        </w:rPr>
        <w:t>is</w:t>
      </w:r>
      <w:r w:rsidRPr="00283806">
        <w:rPr>
          <w:spacing w:val="29"/>
          <w:w w:val="105"/>
        </w:rPr>
        <w:t xml:space="preserve"> </w:t>
      </w:r>
      <w:r w:rsidRPr="00283806">
        <w:rPr>
          <w:w w:val="105"/>
        </w:rPr>
        <w:t>using</w:t>
      </w:r>
      <w:r w:rsidRPr="00283806">
        <w:rPr>
          <w:spacing w:val="29"/>
          <w:w w:val="105"/>
        </w:rPr>
        <w:t xml:space="preserve"> </w:t>
      </w:r>
      <w:r w:rsidRPr="00283806">
        <w:rPr>
          <w:w w:val="105"/>
        </w:rPr>
        <w:t>the same make and model of refrigerant- containing appliance then they would</w:t>
      </w:r>
      <w:r w:rsidRPr="00283806">
        <w:rPr>
          <w:spacing w:val="80"/>
          <w:w w:val="105"/>
        </w:rPr>
        <w:t xml:space="preserve"> </w:t>
      </w:r>
      <w:r w:rsidRPr="00283806">
        <w:rPr>
          <w:w w:val="105"/>
        </w:rPr>
        <w:t>not need to verify each individual appliance. Remote condensing units</w:t>
      </w:r>
      <w:r w:rsidRPr="00283806">
        <w:rPr>
          <w:spacing w:val="80"/>
          <w:w w:val="105"/>
        </w:rPr>
        <w:t xml:space="preserve"> </w:t>
      </w:r>
      <w:r w:rsidRPr="00283806">
        <w:rPr>
          <w:w w:val="105"/>
        </w:rPr>
        <w:t>(</w:t>
      </w:r>
      <w:r w:rsidRPr="00283806">
        <w:rPr>
          <w:rFonts w:ascii="Book Antiqua" w:hAnsi="Book Antiqua"/>
          <w:i/>
          <w:w w:val="105"/>
        </w:rPr>
        <w:t xml:space="preserve">e.g., </w:t>
      </w:r>
      <w:r w:rsidRPr="00283806">
        <w:rPr>
          <w:w w:val="105"/>
        </w:rPr>
        <w:t>supermarket cold rooms) may also have charge sizes at or above 15 pounds but as previously stated, previous records, manufacturer labels, and other information readily available should make the determination of the charge</w:t>
      </w:r>
      <w:r w:rsidRPr="00283806">
        <w:rPr>
          <w:spacing w:val="40"/>
          <w:w w:val="105"/>
        </w:rPr>
        <w:t xml:space="preserve"> </w:t>
      </w:r>
      <w:r w:rsidRPr="00283806">
        <w:rPr>
          <w:w w:val="105"/>
        </w:rPr>
        <w:t>size for any such appliances uncomplicated. The recordkeeping for owners and operators is similar in</w:t>
      </w:r>
      <w:r w:rsidRPr="00283806">
        <w:rPr>
          <w:spacing w:val="80"/>
          <w:w w:val="105"/>
        </w:rPr>
        <w:t xml:space="preserve"> </w:t>
      </w:r>
      <w:r w:rsidRPr="00283806">
        <w:rPr>
          <w:w w:val="105"/>
        </w:rPr>
        <w:t>nature to those required under the CAA section 608 regulations. Therefore, most owners and operators should already be familiar with the requirements being applied in the rule. The total estimated recordkeeping and reporting costs are provided in the Economic Impact and Benefits TSD and the assumptions for</w:t>
      </w:r>
      <w:r w:rsidRPr="00283806">
        <w:rPr>
          <w:spacing w:val="80"/>
          <w:w w:val="105"/>
        </w:rPr>
        <w:t xml:space="preserve"> </w:t>
      </w:r>
      <w:r w:rsidRPr="00283806">
        <w:rPr>
          <w:w w:val="105"/>
        </w:rPr>
        <w:t>the various leak repair and inspection</w:t>
      </w:r>
    </w:p>
    <w:p w14:paraId="69090C37" w14:textId="77777777" w:rsidR="00D67C1E" w:rsidRPr="00283806" w:rsidRDefault="001265CA">
      <w:pPr>
        <w:pStyle w:val="BodyText"/>
        <w:spacing w:before="134" w:line="225" w:lineRule="auto"/>
        <w:ind w:left="145" w:right="9"/>
      </w:pPr>
      <w:r w:rsidRPr="00283806">
        <w:br w:type="column"/>
      </w:r>
      <w:r w:rsidRPr="00283806">
        <w:rPr>
          <w:w w:val="105"/>
        </w:rPr>
        <w:t>actions anticipated are likewise</w:t>
      </w:r>
      <w:r w:rsidRPr="00283806">
        <w:rPr>
          <w:spacing w:val="80"/>
          <w:w w:val="105"/>
        </w:rPr>
        <w:t xml:space="preserve"> </w:t>
      </w:r>
      <w:r w:rsidRPr="00283806">
        <w:rPr>
          <w:w w:val="105"/>
        </w:rPr>
        <w:t>provided</w:t>
      </w:r>
      <w:r w:rsidRPr="00283806">
        <w:rPr>
          <w:spacing w:val="40"/>
          <w:w w:val="105"/>
        </w:rPr>
        <w:t xml:space="preserve"> </w:t>
      </w:r>
      <w:r w:rsidRPr="00283806">
        <w:rPr>
          <w:w w:val="105"/>
        </w:rPr>
        <w:t>in</w:t>
      </w:r>
      <w:r w:rsidRPr="00283806">
        <w:rPr>
          <w:spacing w:val="40"/>
          <w:w w:val="105"/>
        </w:rPr>
        <w:t xml:space="preserve"> </w:t>
      </w:r>
      <w:r w:rsidRPr="00283806">
        <w:rPr>
          <w:w w:val="105"/>
        </w:rPr>
        <w:t>Appendix</w:t>
      </w:r>
      <w:r w:rsidRPr="00283806">
        <w:rPr>
          <w:spacing w:val="40"/>
          <w:w w:val="105"/>
        </w:rPr>
        <w:t xml:space="preserve"> </w:t>
      </w:r>
      <w:r w:rsidRPr="00283806">
        <w:rPr>
          <w:w w:val="105"/>
        </w:rPr>
        <w:t>A</w:t>
      </w:r>
      <w:r w:rsidRPr="00283806">
        <w:rPr>
          <w:spacing w:val="40"/>
          <w:w w:val="105"/>
        </w:rPr>
        <w:t xml:space="preserve"> </w:t>
      </w:r>
      <w:r w:rsidRPr="00283806">
        <w:rPr>
          <w:w w:val="105"/>
        </w:rPr>
        <w:t>of</w:t>
      </w:r>
      <w:r w:rsidRPr="00283806">
        <w:rPr>
          <w:spacing w:val="40"/>
          <w:w w:val="105"/>
        </w:rPr>
        <w:t xml:space="preserve"> </w:t>
      </w:r>
      <w:r w:rsidRPr="00283806">
        <w:rPr>
          <w:w w:val="105"/>
        </w:rPr>
        <w:t>the</w:t>
      </w:r>
      <w:r w:rsidRPr="00283806">
        <w:rPr>
          <w:spacing w:val="40"/>
          <w:w w:val="105"/>
        </w:rPr>
        <w:t xml:space="preserve"> </w:t>
      </w:r>
      <w:r w:rsidRPr="00283806">
        <w:rPr>
          <w:w w:val="105"/>
        </w:rPr>
        <w:t>TSD. EPA does not anticipate that it would typically be necessary to conduct full store audits of appliances or reweigh appliances in the way the commenters suggest for these reasons. EPA notes that in</w:t>
      </w:r>
      <w:r w:rsidRPr="00283806">
        <w:rPr>
          <w:spacing w:val="40"/>
          <w:w w:val="105"/>
        </w:rPr>
        <w:t xml:space="preserve"> </w:t>
      </w:r>
      <w:r w:rsidRPr="00283806">
        <w:rPr>
          <w:w w:val="105"/>
        </w:rPr>
        <w:t>this</w:t>
      </w:r>
      <w:r w:rsidRPr="00283806">
        <w:rPr>
          <w:spacing w:val="40"/>
          <w:w w:val="105"/>
        </w:rPr>
        <w:t xml:space="preserve"> </w:t>
      </w:r>
      <w:r w:rsidRPr="00283806">
        <w:rPr>
          <w:w w:val="105"/>
        </w:rPr>
        <w:t>final</w:t>
      </w:r>
      <w:r w:rsidRPr="00283806">
        <w:rPr>
          <w:spacing w:val="40"/>
          <w:w w:val="105"/>
        </w:rPr>
        <w:t xml:space="preserve"> </w:t>
      </w:r>
      <w:r w:rsidRPr="00283806">
        <w:rPr>
          <w:w w:val="105"/>
        </w:rPr>
        <w:t>rule,</w:t>
      </w:r>
      <w:r w:rsidRPr="00283806">
        <w:rPr>
          <w:spacing w:val="40"/>
          <w:w w:val="105"/>
        </w:rPr>
        <w:t xml:space="preserve"> </w:t>
      </w:r>
      <w:r w:rsidRPr="00283806">
        <w:rPr>
          <w:w w:val="105"/>
        </w:rPr>
        <w:t>the</w:t>
      </w:r>
      <w:r w:rsidRPr="00283806">
        <w:rPr>
          <w:spacing w:val="40"/>
          <w:w w:val="105"/>
        </w:rPr>
        <w:t xml:space="preserve"> </w:t>
      </w:r>
      <w:r w:rsidRPr="00283806">
        <w:rPr>
          <w:w w:val="105"/>
        </w:rPr>
        <w:t>Agency</w:t>
      </w:r>
      <w:r w:rsidRPr="00283806">
        <w:rPr>
          <w:spacing w:val="40"/>
          <w:w w:val="105"/>
        </w:rPr>
        <w:t xml:space="preserve"> </w:t>
      </w:r>
      <w:r w:rsidRPr="00283806">
        <w:rPr>
          <w:w w:val="105"/>
        </w:rPr>
        <w:t>delayed the date by which an owner or operator must determine the full charge of appliances containing 15 or more</w:t>
      </w:r>
      <w:r w:rsidRPr="00283806">
        <w:rPr>
          <w:spacing w:val="80"/>
          <w:w w:val="105"/>
        </w:rPr>
        <w:t xml:space="preserve"> </w:t>
      </w:r>
      <w:r w:rsidRPr="00283806">
        <w:rPr>
          <w:w w:val="105"/>
        </w:rPr>
        <w:t>pounds of refrigerant and keep records</w:t>
      </w:r>
      <w:r w:rsidRPr="00283806">
        <w:rPr>
          <w:spacing w:val="40"/>
          <w:w w:val="105"/>
        </w:rPr>
        <w:t xml:space="preserve"> </w:t>
      </w:r>
      <w:r w:rsidRPr="00283806">
        <w:rPr>
          <w:w w:val="105"/>
        </w:rPr>
        <w:t xml:space="preserve">of such, from 60 days after publication until January 1, 2026, and that such change allows owners and operators to collect the required information in the normal course of business. Thus, EPA disagrees with the asserted cost estimates for determining which appliances are subject to leak repair under the final rule, even in the absence of voluntary recordkeeping of refrigerant-containing appliances which may be subject to the leak repair </w:t>
      </w:r>
      <w:r w:rsidRPr="00283806">
        <w:rPr>
          <w:spacing w:val="-2"/>
          <w:w w:val="105"/>
        </w:rPr>
        <w:t>requirements.</w:t>
      </w:r>
    </w:p>
    <w:p w14:paraId="1B267A57" w14:textId="77777777" w:rsidR="00D67C1E" w:rsidRPr="00283806" w:rsidRDefault="001265CA">
      <w:pPr>
        <w:spacing w:line="176" w:lineRule="exact"/>
        <w:ind w:left="325"/>
        <w:rPr>
          <w:sz w:val="18"/>
        </w:rPr>
      </w:pPr>
      <w:r w:rsidRPr="00283806">
        <w:rPr>
          <w:rFonts w:ascii="Book Antiqua"/>
          <w:i/>
          <w:w w:val="110"/>
          <w:sz w:val="18"/>
        </w:rPr>
        <w:t>Comment:</w:t>
      </w:r>
      <w:r w:rsidRPr="00283806">
        <w:rPr>
          <w:rFonts w:ascii="Book Antiqua"/>
          <w:i/>
          <w:spacing w:val="-13"/>
          <w:w w:val="110"/>
          <w:sz w:val="18"/>
        </w:rPr>
        <w:t xml:space="preserve"> </w:t>
      </w:r>
      <w:r w:rsidRPr="00283806">
        <w:rPr>
          <w:w w:val="110"/>
          <w:sz w:val="18"/>
        </w:rPr>
        <w:t>One</w:t>
      </w:r>
      <w:r w:rsidRPr="00283806">
        <w:rPr>
          <w:spacing w:val="-6"/>
          <w:w w:val="110"/>
          <w:sz w:val="18"/>
        </w:rPr>
        <w:t xml:space="preserve"> </w:t>
      </w:r>
      <w:r w:rsidRPr="00283806">
        <w:rPr>
          <w:w w:val="110"/>
          <w:sz w:val="18"/>
        </w:rPr>
        <w:t>commenter</w:t>
      </w:r>
      <w:r w:rsidRPr="00283806">
        <w:rPr>
          <w:spacing w:val="-7"/>
          <w:w w:val="110"/>
          <w:sz w:val="18"/>
        </w:rPr>
        <w:t xml:space="preserve"> </w:t>
      </w:r>
      <w:r w:rsidRPr="00283806">
        <w:rPr>
          <w:spacing w:val="-2"/>
          <w:w w:val="110"/>
          <w:sz w:val="18"/>
        </w:rPr>
        <w:t>claimed</w:t>
      </w:r>
    </w:p>
    <w:p w14:paraId="2E3025B6" w14:textId="77777777" w:rsidR="00D67C1E" w:rsidRPr="00283806" w:rsidRDefault="001265CA">
      <w:pPr>
        <w:pStyle w:val="BodyText"/>
        <w:spacing w:line="225" w:lineRule="auto"/>
        <w:ind w:left="145" w:right="24"/>
      </w:pPr>
      <w:r w:rsidRPr="00283806">
        <w:rPr>
          <w:w w:val="105"/>
        </w:rPr>
        <w:t>that technician and equipment shortages and complexity of supermarket systems will make compliance with the one-year retrofit or retirement requirements difficult. The commenter also stated that the retrofits complying with the 2023 Technology</w:t>
      </w:r>
      <w:r w:rsidRPr="00283806">
        <w:rPr>
          <w:spacing w:val="40"/>
          <w:w w:val="105"/>
        </w:rPr>
        <w:t xml:space="preserve"> </w:t>
      </w:r>
      <w:r w:rsidRPr="00283806">
        <w:rPr>
          <w:w w:val="105"/>
        </w:rPr>
        <w:t>Transitions</w:t>
      </w:r>
      <w:r w:rsidRPr="00283806">
        <w:rPr>
          <w:spacing w:val="40"/>
          <w:w w:val="105"/>
        </w:rPr>
        <w:t xml:space="preserve"> </w:t>
      </w:r>
      <w:r w:rsidRPr="00283806">
        <w:rPr>
          <w:w w:val="105"/>
        </w:rPr>
        <w:t>Rule</w:t>
      </w:r>
      <w:r w:rsidRPr="00283806">
        <w:rPr>
          <w:spacing w:val="40"/>
          <w:w w:val="105"/>
        </w:rPr>
        <w:t xml:space="preserve"> </w:t>
      </w:r>
      <w:r w:rsidRPr="00283806">
        <w:rPr>
          <w:w w:val="105"/>
        </w:rPr>
        <w:t>will</w:t>
      </w:r>
      <w:r w:rsidRPr="00283806">
        <w:rPr>
          <w:spacing w:val="40"/>
          <w:w w:val="105"/>
        </w:rPr>
        <w:t xml:space="preserve"> </w:t>
      </w:r>
      <w:r w:rsidRPr="00283806">
        <w:rPr>
          <w:w w:val="105"/>
        </w:rPr>
        <w:t>further complicate compliance with the rule’s deadline. Thus, the commenter asserts that owners or operators will incur</w:t>
      </w:r>
      <w:r w:rsidRPr="00283806">
        <w:rPr>
          <w:spacing w:val="40"/>
          <w:w w:val="105"/>
        </w:rPr>
        <w:t xml:space="preserve"> </w:t>
      </w:r>
      <w:r w:rsidRPr="00283806">
        <w:rPr>
          <w:w w:val="105"/>
        </w:rPr>
        <w:t>significant</w:t>
      </w:r>
      <w:r w:rsidRPr="00283806">
        <w:rPr>
          <w:spacing w:val="40"/>
          <w:w w:val="105"/>
        </w:rPr>
        <w:t xml:space="preserve"> </w:t>
      </w:r>
      <w:r w:rsidRPr="00283806">
        <w:rPr>
          <w:w w:val="105"/>
        </w:rPr>
        <w:t>excess</w:t>
      </w:r>
      <w:r w:rsidRPr="00283806">
        <w:rPr>
          <w:spacing w:val="40"/>
          <w:w w:val="105"/>
        </w:rPr>
        <w:t xml:space="preserve"> </w:t>
      </w:r>
      <w:r w:rsidRPr="00283806">
        <w:rPr>
          <w:w w:val="105"/>
        </w:rPr>
        <w:t>costs</w:t>
      </w:r>
      <w:r w:rsidRPr="00283806">
        <w:rPr>
          <w:spacing w:val="40"/>
          <w:w w:val="105"/>
        </w:rPr>
        <w:t xml:space="preserve"> </w:t>
      </w:r>
      <w:r w:rsidRPr="00283806">
        <w:rPr>
          <w:w w:val="105"/>
        </w:rPr>
        <w:t>to</w:t>
      </w:r>
      <w:r w:rsidRPr="00283806">
        <w:rPr>
          <w:spacing w:val="40"/>
          <w:w w:val="105"/>
        </w:rPr>
        <w:t xml:space="preserve"> </w:t>
      </w:r>
      <w:r w:rsidRPr="00283806">
        <w:rPr>
          <w:w w:val="105"/>
        </w:rPr>
        <w:t>meet the retrofit or retirement requirements</w:t>
      </w:r>
      <w:r w:rsidRPr="00283806">
        <w:rPr>
          <w:spacing w:val="40"/>
          <w:w w:val="105"/>
        </w:rPr>
        <w:t xml:space="preserve"> </w:t>
      </w:r>
      <w:r w:rsidRPr="00283806">
        <w:rPr>
          <w:w w:val="105"/>
        </w:rPr>
        <w:t>in the rule.</w:t>
      </w:r>
    </w:p>
    <w:p w14:paraId="08238340" w14:textId="77777777" w:rsidR="00D67C1E" w:rsidRPr="00283806" w:rsidRDefault="001265CA">
      <w:pPr>
        <w:spacing w:line="181" w:lineRule="exact"/>
        <w:ind w:left="325"/>
        <w:rPr>
          <w:sz w:val="18"/>
        </w:rPr>
      </w:pPr>
      <w:r w:rsidRPr="00283806">
        <w:rPr>
          <w:rFonts w:ascii="Book Antiqua"/>
          <w:i/>
          <w:w w:val="110"/>
          <w:sz w:val="18"/>
        </w:rPr>
        <w:t>Response:</w:t>
      </w:r>
      <w:r w:rsidRPr="00283806">
        <w:rPr>
          <w:rFonts w:ascii="Book Antiqua"/>
          <w:i/>
          <w:spacing w:val="-6"/>
          <w:w w:val="110"/>
          <w:sz w:val="18"/>
        </w:rPr>
        <w:t xml:space="preserve"> </w:t>
      </w:r>
      <w:r w:rsidRPr="00283806">
        <w:rPr>
          <w:w w:val="110"/>
          <w:sz w:val="18"/>
        </w:rPr>
        <w:t xml:space="preserve">EPA disagrees that </w:t>
      </w:r>
      <w:r w:rsidRPr="00283806">
        <w:rPr>
          <w:spacing w:val="-5"/>
          <w:w w:val="110"/>
          <w:sz w:val="18"/>
        </w:rPr>
        <w:t>12</w:t>
      </w:r>
    </w:p>
    <w:p w14:paraId="556ED057" w14:textId="77777777" w:rsidR="00D67C1E" w:rsidRPr="00283806" w:rsidRDefault="001265CA">
      <w:pPr>
        <w:pStyle w:val="BodyText"/>
        <w:spacing w:line="225" w:lineRule="auto"/>
        <w:ind w:left="145" w:right="8"/>
      </w:pPr>
      <w:r w:rsidRPr="00283806">
        <w:rPr>
          <w:w w:val="105"/>
        </w:rPr>
        <w:t>months is not enough time for an owner or</w:t>
      </w:r>
      <w:r w:rsidRPr="00283806">
        <w:rPr>
          <w:spacing w:val="-5"/>
          <w:w w:val="105"/>
        </w:rPr>
        <w:t xml:space="preserve"> </w:t>
      </w:r>
      <w:r w:rsidRPr="00283806">
        <w:rPr>
          <w:w w:val="105"/>
        </w:rPr>
        <w:t>operator</w:t>
      </w:r>
      <w:r w:rsidRPr="00283806">
        <w:rPr>
          <w:spacing w:val="-5"/>
          <w:w w:val="105"/>
        </w:rPr>
        <w:t xml:space="preserve"> </w:t>
      </w:r>
      <w:r w:rsidRPr="00283806">
        <w:rPr>
          <w:w w:val="105"/>
        </w:rPr>
        <w:t>to</w:t>
      </w:r>
      <w:r w:rsidRPr="00283806">
        <w:rPr>
          <w:spacing w:val="-5"/>
          <w:w w:val="105"/>
        </w:rPr>
        <w:t xml:space="preserve"> </w:t>
      </w:r>
      <w:r w:rsidRPr="00283806">
        <w:rPr>
          <w:w w:val="105"/>
        </w:rPr>
        <w:t>implement</w:t>
      </w:r>
      <w:r w:rsidRPr="00283806">
        <w:rPr>
          <w:spacing w:val="-5"/>
          <w:w w:val="105"/>
        </w:rPr>
        <w:t xml:space="preserve"> </w:t>
      </w:r>
      <w:r w:rsidRPr="00283806">
        <w:rPr>
          <w:w w:val="105"/>
        </w:rPr>
        <w:t>their</w:t>
      </w:r>
      <w:r w:rsidRPr="00283806">
        <w:rPr>
          <w:spacing w:val="-5"/>
          <w:w w:val="105"/>
        </w:rPr>
        <w:t xml:space="preserve"> </w:t>
      </w:r>
      <w:r w:rsidRPr="00283806">
        <w:rPr>
          <w:w w:val="105"/>
        </w:rPr>
        <w:t>retrofit</w:t>
      </w:r>
      <w:r w:rsidRPr="00283806">
        <w:rPr>
          <w:spacing w:val="-5"/>
          <w:w w:val="105"/>
        </w:rPr>
        <w:t xml:space="preserve"> </w:t>
      </w:r>
      <w:r w:rsidRPr="00283806">
        <w:rPr>
          <w:w w:val="105"/>
        </w:rPr>
        <w:t>or retirement plan as required under this rule, and further notes that the rule allows owners or operators to seek extensions if certain criteria are met.</w:t>
      </w:r>
    </w:p>
    <w:p w14:paraId="173B8C40" w14:textId="77777777" w:rsidR="00D67C1E" w:rsidRPr="00283806" w:rsidRDefault="001265CA">
      <w:pPr>
        <w:pStyle w:val="BodyText"/>
        <w:spacing w:line="225" w:lineRule="auto"/>
        <w:ind w:left="145" w:right="60"/>
      </w:pPr>
      <w:r w:rsidRPr="00283806">
        <w:rPr>
          <w:w w:val="105"/>
        </w:rPr>
        <w:t>Owners or operators have up to 30 days to repair commercial refrigeration appliances (or 120 days if an industrial process shutdown is required) and extensions can be requested if certain criteria are met. During the leak repair process an owner or operator would know if a refrigerant-containing appliance is unable to be repaired and would therefore require retrofit or retirement. As discussed in section IV.A.2, EPA under the definition of ‘‘retrofit’’ being finalized in this rule, retrofitted refrigerant-containing appliances will not be required to transition to lower-GWP alternatives.</w:t>
      </w:r>
    </w:p>
    <w:p w14:paraId="62802347" w14:textId="77777777" w:rsidR="00D67C1E" w:rsidRPr="00283806" w:rsidRDefault="001265CA">
      <w:pPr>
        <w:pStyle w:val="BodyText"/>
        <w:spacing w:line="225" w:lineRule="auto"/>
        <w:ind w:left="145" w:right="58"/>
      </w:pPr>
      <w:r w:rsidRPr="00283806">
        <w:rPr>
          <w:w w:val="105"/>
        </w:rPr>
        <w:t>The Agency, however, still encourages owners</w:t>
      </w:r>
      <w:r w:rsidRPr="00283806">
        <w:rPr>
          <w:spacing w:val="-3"/>
          <w:w w:val="105"/>
        </w:rPr>
        <w:t xml:space="preserve"> </w:t>
      </w:r>
      <w:r w:rsidRPr="00283806">
        <w:rPr>
          <w:w w:val="105"/>
        </w:rPr>
        <w:t>or</w:t>
      </w:r>
      <w:r w:rsidRPr="00283806">
        <w:rPr>
          <w:spacing w:val="-3"/>
          <w:w w:val="105"/>
        </w:rPr>
        <w:t xml:space="preserve"> </w:t>
      </w:r>
      <w:r w:rsidRPr="00283806">
        <w:rPr>
          <w:w w:val="105"/>
        </w:rPr>
        <w:t>operators</w:t>
      </w:r>
      <w:r w:rsidRPr="00283806">
        <w:rPr>
          <w:spacing w:val="-3"/>
          <w:w w:val="105"/>
        </w:rPr>
        <w:t xml:space="preserve"> </w:t>
      </w:r>
      <w:r w:rsidRPr="00283806">
        <w:rPr>
          <w:w w:val="105"/>
        </w:rPr>
        <w:t>that</w:t>
      </w:r>
      <w:r w:rsidRPr="00283806">
        <w:rPr>
          <w:spacing w:val="-3"/>
          <w:w w:val="105"/>
        </w:rPr>
        <w:t xml:space="preserve"> </w:t>
      </w:r>
      <w:r w:rsidRPr="00283806">
        <w:rPr>
          <w:w w:val="105"/>
        </w:rPr>
        <w:t>are</w:t>
      </w:r>
      <w:r w:rsidRPr="00283806">
        <w:rPr>
          <w:spacing w:val="-3"/>
          <w:w w:val="105"/>
        </w:rPr>
        <w:t xml:space="preserve"> </w:t>
      </w:r>
      <w:r w:rsidRPr="00283806">
        <w:rPr>
          <w:w w:val="105"/>
        </w:rPr>
        <w:t xml:space="preserve">retrofitting refrigerant-containing appliances to transition to a lower-GWP refrigerant. Further, in response to the </w:t>
      </w:r>
      <w:proofErr w:type="gramStart"/>
      <w:r w:rsidRPr="00283806">
        <w:rPr>
          <w:w w:val="105"/>
        </w:rPr>
        <w:t>commenter’s</w:t>
      </w:r>
      <w:proofErr w:type="gramEnd"/>
      <w:r w:rsidRPr="00283806">
        <w:rPr>
          <w:w w:val="105"/>
        </w:rPr>
        <w:t xml:space="preserve"> concerns with complying with the 2023 Technology Transitions Rule, we note</w:t>
      </w:r>
    </w:p>
    <w:p w14:paraId="68D64530" w14:textId="77777777" w:rsidR="00D67C1E" w:rsidRPr="00283806" w:rsidRDefault="001265CA">
      <w:pPr>
        <w:pStyle w:val="BodyText"/>
        <w:spacing w:before="134" w:line="225" w:lineRule="auto"/>
        <w:ind w:left="143" w:right="151"/>
      </w:pPr>
      <w:r w:rsidRPr="00283806">
        <w:br w:type="column"/>
      </w:r>
      <w:r w:rsidRPr="00283806">
        <w:rPr>
          <w:w w:val="105"/>
        </w:rPr>
        <w:t>that restrictions on retrofits are not included in that rule and thus disagree with the commenters’ assertion that that rule would complicate compliance with this rule’s deadlines for retrofit or retirement plans. Additionally, the Agency notes that the commenter did</w:t>
      </w:r>
      <w:r w:rsidRPr="00283806">
        <w:rPr>
          <w:spacing w:val="80"/>
          <w:w w:val="105"/>
        </w:rPr>
        <w:t xml:space="preserve"> </w:t>
      </w:r>
      <w:r w:rsidRPr="00283806">
        <w:rPr>
          <w:w w:val="105"/>
        </w:rPr>
        <w:t>not provide detailed information or data to support—or to allow EPA to more</w:t>
      </w:r>
      <w:r w:rsidRPr="00283806">
        <w:rPr>
          <w:spacing w:val="40"/>
          <w:w w:val="105"/>
        </w:rPr>
        <w:t xml:space="preserve"> </w:t>
      </w:r>
      <w:r w:rsidRPr="00283806">
        <w:rPr>
          <w:w w:val="105"/>
        </w:rPr>
        <w:t>fully assess—the commenter’s claims regarding potential technician and equipment shortages and how these factors</w:t>
      </w:r>
      <w:r w:rsidRPr="00283806">
        <w:rPr>
          <w:spacing w:val="40"/>
          <w:w w:val="105"/>
        </w:rPr>
        <w:t xml:space="preserve"> </w:t>
      </w:r>
      <w:r w:rsidRPr="00283806">
        <w:rPr>
          <w:w w:val="105"/>
        </w:rPr>
        <w:t>would</w:t>
      </w:r>
      <w:r w:rsidRPr="00283806">
        <w:rPr>
          <w:spacing w:val="40"/>
          <w:w w:val="105"/>
        </w:rPr>
        <w:t xml:space="preserve"> </w:t>
      </w:r>
      <w:r w:rsidRPr="00283806">
        <w:rPr>
          <w:w w:val="105"/>
        </w:rPr>
        <w:t>affect</w:t>
      </w:r>
      <w:r w:rsidRPr="00283806">
        <w:rPr>
          <w:spacing w:val="40"/>
          <w:w w:val="105"/>
        </w:rPr>
        <w:t xml:space="preserve"> </w:t>
      </w:r>
      <w:r w:rsidRPr="00283806">
        <w:rPr>
          <w:w w:val="105"/>
        </w:rPr>
        <w:t>compliance</w:t>
      </w:r>
      <w:r w:rsidRPr="00283806">
        <w:rPr>
          <w:spacing w:val="40"/>
          <w:w w:val="105"/>
        </w:rPr>
        <w:t xml:space="preserve"> </w:t>
      </w:r>
      <w:r w:rsidRPr="00283806">
        <w:rPr>
          <w:w w:val="105"/>
        </w:rPr>
        <w:t>with the</w:t>
      </w:r>
      <w:r w:rsidRPr="00283806">
        <w:rPr>
          <w:spacing w:val="-1"/>
          <w:w w:val="105"/>
        </w:rPr>
        <w:t xml:space="preserve"> </w:t>
      </w:r>
      <w:r w:rsidRPr="00283806">
        <w:rPr>
          <w:w w:val="105"/>
        </w:rPr>
        <w:t>retrofit</w:t>
      </w:r>
      <w:r w:rsidRPr="00283806">
        <w:rPr>
          <w:spacing w:val="-1"/>
          <w:w w:val="105"/>
        </w:rPr>
        <w:t xml:space="preserve"> </w:t>
      </w:r>
      <w:r w:rsidRPr="00283806">
        <w:rPr>
          <w:w w:val="105"/>
        </w:rPr>
        <w:t>and</w:t>
      </w:r>
      <w:r w:rsidRPr="00283806">
        <w:rPr>
          <w:spacing w:val="-1"/>
          <w:w w:val="105"/>
        </w:rPr>
        <w:t xml:space="preserve"> </w:t>
      </w:r>
      <w:r w:rsidRPr="00283806">
        <w:rPr>
          <w:w w:val="105"/>
        </w:rPr>
        <w:t>retirement</w:t>
      </w:r>
      <w:r w:rsidRPr="00283806">
        <w:rPr>
          <w:spacing w:val="-1"/>
          <w:w w:val="105"/>
        </w:rPr>
        <w:t xml:space="preserve"> </w:t>
      </w:r>
      <w:r w:rsidRPr="00283806">
        <w:rPr>
          <w:w w:val="105"/>
        </w:rPr>
        <w:t>requirements in the final rule or lead to excess costs.</w:t>
      </w:r>
    </w:p>
    <w:p w14:paraId="7F293FF0" w14:textId="77777777" w:rsidR="00D67C1E" w:rsidRPr="00283806" w:rsidRDefault="001265CA">
      <w:pPr>
        <w:spacing w:line="180" w:lineRule="exact"/>
        <w:ind w:left="323"/>
        <w:rPr>
          <w:sz w:val="18"/>
        </w:rPr>
      </w:pPr>
      <w:r w:rsidRPr="00283806">
        <w:rPr>
          <w:rFonts w:ascii="Book Antiqua"/>
          <w:i/>
          <w:w w:val="105"/>
          <w:sz w:val="18"/>
        </w:rPr>
        <w:t>Comment:</w:t>
      </w:r>
      <w:r w:rsidRPr="00283806">
        <w:rPr>
          <w:rFonts w:ascii="Book Antiqua"/>
          <w:i/>
          <w:spacing w:val="32"/>
          <w:w w:val="105"/>
          <w:sz w:val="18"/>
        </w:rPr>
        <w:t xml:space="preserve"> </w:t>
      </w:r>
      <w:r w:rsidRPr="00283806">
        <w:rPr>
          <w:w w:val="105"/>
          <w:sz w:val="18"/>
        </w:rPr>
        <w:t>The</w:t>
      </w:r>
      <w:r w:rsidRPr="00283806">
        <w:rPr>
          <w:spacing w:val="38"/>
          <w:w w:val="105"/>
          <w:sz w:val="18"/>
        </w:rPr>
        <w:t xml:space="preserve"> </w:t>
      </w:r>
      <w:r w:rsidRPr="00283806">
        <w:rPr>
          <w:spacing w:val="-2"/>
          <w:w w:val="105"/>
          <w:sz w:val="18"/>
        </w:rPr>
        <w:t>commenter</w:t>
      </w:r>
    </w:p>
    <w:p w14:paraId="6C86E3E7" w14:textId="77777777" w:rsidR="00D67C1E" w:rsidRPr="00283806" w:rsidRDefault="001265CA">
      <w:pPr>
        <w:pStyle w:val="BodyText"/>
        <w:spacing w:line="225" w:lineRule="auto"/>
        <w:ind w:left="143" w:right="228"/>
      </w:pPr>
      <w:r w:rsidRPr="00283806">
        <w:rPr>
          <w:w w:val="105"/>
        </w:rPr>
        <w:t>recommended that EPA follow CARB’s leak repair timeline of 14 days from the initial detection of the leak to ensure that any detected leak is repaired in a timely fashion because this approach reduces both emissions and additional refrigerant costs to appliance owners and operators.</w:t>
      </w:r>
    </w:p>
    <w:p w14:paraId="0DE20FBB" w14:textId="77777777" w:rsidR="00D67C1E" w:rsidRPr="00283806" w:rsidRDefault="001265CA">
      <w:pPr>
        <w:spacing w:line="182" w:lineRule="exact"/>
        <w:ind w:left="323"/>
        <w:rPr>
          <w:sz w:val="18"/>
        </w:rPr>
      </w:pPr>
      <w:r w:rsidRPr="00283806">
        <w:rPr>
          <w:rFonts w:ascii="Book Antiqua"/>
          <w:i/>
          <w:w w:val="110"/>
          <w:sz w:val="18"/>
        </w:rPr>
        <w:t>Response:</w:t>
      </w:r>
      <w:r w:rsidRPr="00283806">
        <w:rPr>
          <w:rFonts w:ascii="Book Antiqua"/>
          <w:i/>
          <w:spacing w:val="-7"/>
          <w:w w:val="110"/>
          <w:sz w:val="18"/>
        </w:rPr>
        <w:t xml:space="preserve"> </w:t>
      </w:r>
      <w:r w:rsidRPr="00283806">
        <w:rPr>
          <w:w w:val="110"/>
          <w:sz w:val="18"/>
        </w:rPr>
        <w:t>EPA</w:t>
      </w:r>
      <w:r w:rsidRPr="00283806">
        <w:rPr>
          <w:spacing w:val="-1"/>
          <w:w w:val="110"/>
          <w:sz w:val="18"/>
        </w:rPr>
        <w:t xml:space="preserve"> </w:t>
      </w:r>
      <w:r w:rsidRPr="00283806">
        <w:rPr>
          <w:w w:val="110"/>
          <w:sz w:val="18"/>
        </w:rPr>
        <w:t>agrees</w:t>
      </w:r>
      <w:r w:rsidRPr="00283806">
        <w:rPr>
          <w:spacing w:val="-1"/>
          <w:w w:val="110"/>
          <w:sz w:val="18"/>
        </w:rPr>
        <w:t xml:space="preserve"> </w:t>
      </w:r>
      <w:r w:rsidRPr="00283806">
        <w:rPr>
          <w:w w:val="110"/>
          <w:sz w:val="18"/>
        </w:rPr>
        <w:t>that the</w:t>
      </w:r>
      <w:r w:rsidRPr="00283806">
        <w:rPr>
          <w:spacing w:val="-1"/>
          <w:w w:val="110"/>
          <w:sz w:val="18"/>
        </w:rPr>
        <w:t xml:space="preserve"> </w:t>
      </w:r>
      <w:r w:rsidRPr="00283806">
        <w:rPr>
          <w:spacing w:val="-2"/>
          <w:w w:val="110"/>
          <w:sz w:val="18"/>
        </w:rPr>
        <w:t>quicker</w:t>
      </w:r>
    </w:p>
    <w:p w14:paraId="34822152" w14:textId="77777777" w:rsidR="00D67C1E" w:rsidRPr="00283806" w:rsidRDefault="001265CA">
      <w:pPr>
        <w:pStyle w:val="BodyText"/>
        <w:spacing w:line="225" w:lineRule="auto"/>
        <w:ind w:left="143" w:right="197"/>
      </w:pPr>
      <w:r w:rsidRPr="00283806">
        <w:rPr>
          <w:w w:val="105"/>
        </w:rPr>
        <w:t>a leak is repaired, the more emissions and additional refrigerant costs would</w:t>
      </w:r>
      <w:r w:rsidRPr="00283806">
        <w:rPr>
          <w:spacing w:val="40"/>
          <w:w w:val="105"/>
        </w:rPr>
        <w:t xml:space="preserve"> </w:t>
      </w:r>
      <w:r w:rsidRPr="00283806">
        <w:rPr>
          <w:w w:val="105"/>
        </w:rPr>
        <w:t>be mitigated (up to the time that the entire charge has leaked out). EPA does not agree with the commenter that it would be appropriate to establish a 14- day repair timeline for the requirements in this rule. The amount of time</w:t>
      </w:r>
      <w:r w:rsidRPr="00283806">
        <w:rPr>
          <w:spacing w:val="80"/>
          <w:w w:val="105"/>
        </w:rPr>
        <w:t xml:space="preserve"> </w:t>
      </w:r>
      <w:r w:rsidRPr="00283806">
        <w:rPr>
          <w:w w:val="105"/>
        </w:rPr>
        <w:t>provided to repair a leak and the reasoning for that decision is provided</w:t>
      </w:r>
      <w:r w:rsidRPr="00283806">
        <w:rPr>
          <w:spacing w:val="40"/>
          <w:w w:val="105"/>
        </w:rPr>
        <w:t xml:space="preserve"> </w:t>
      </w:r>
      <w:r w:rsidRPr="00283806">
        <w:rPr>
          <w:w w:val="105"/>
        </w:rPr>
        <w:t>in section IV.C.3.b of this preamble. For analysis purposes, as explained in the RIA addendum and Economic Impact</w:t>
      </w:r>
      <w:r w:rsidRPr="00283806">
        <w:rPr>
          <w:spacing w:val="40"/>
          <w:w w:val="105"/>
        </w:rPr>
        <w:t xml:space="preserve"> </w:t>
      </w:r>
      <w:r w:rsidRPr="00283806">
        <w:rPr>
          <w:w w:val="105"/>
        </w:rPr>
        <w:t>and Benefits TSD, EPA estimated that leaks would be noticed and repaired early due to the provisions of this rule.</w:t>
      </w:r>
    </w:p>
    <w:p w14:paraId="7F451CF4" w14:textId="77777777" w:rsidR="00D67C1E" w:rsidRPr="00283806" w:rsidRDefault="001265CA">
      <w:pPr>
        <w:spacing w:line="180" w:lineRule="exact"/>
        <w:ind w:left="323"/>
        <w:rPr>
          <w:sz w:val="18"/>
        </w:rPr>
      </w:pPr>
      <w:r w:rsidRPr="00283806">
        <w:rPr>
          <w:rFonts w:ascii="Book Antiqua"/>
          <w:i/>
          <w:w w:val="105"/>
          <w:sz w:val="18"/>
        </w:rPr>
        <w:t>Comment:</w:t>
      </w:r>
      <w:r w:rsidRPr="00283806">
        <w:rPr>
          <w:rFonts w:ascii="Book Antiqua"/>
          <w:i/>
          <w:spacing w:val="34"/>
          <w:w w:val="105"/>
          <w:sz w:val="18"/>
        </w:rPr>
        <w:t xml:space="preserve"> </w:t>
      </w:r>
      <w:r w:rsidRPr="00283806">
        <w:rPr>
          <w:w w:val="105"/>
          <w:sz w:val="18"/>
        </w:rPr>
        <w:t>Another</w:t>
      </w:r>
      <w:r w:rsidRPr="00283806">
        <w:rPr>
          <w:spacing w:val="40"/>
          <w:w w:val="105"/>
          <w:sz w:val="18"/>
        </w:rPr>
        <w:t xml:space="preserve"> </w:t>
      </w:r>
      <w:r w:rsidRPr="00283806">
        <w:rPr>
          <w:spacing w:val="-2"/>
          <w:w w:val="105"/>
          <w:sz w:val="18"/>
        </w:rPr>
        <w:t>commenter</w:t>
      </w:r>
    </w:p>
    <w:p w14:paraId="1974B880" w14:textId="77777777" w:rsidR="00D67C1E" w:rsidRPr="00283806" w:rsidRDefault="001265CA">
      <w:pPr>
        <w:pStyle w:val="BodyText"/>
        <w:spacing w:line="228" w:lineRule="auto"/>
        <w:ind w:left="143" w:right="173"/>
      </w:pPr>
      <w:r w:rsidRPr="00283806">
        <w:rPr>
          <w:w w:val="105"/>
        </w:rPr>
        <w:t>expressed support for EPA’s proposed leak detection and repair requirements. The commenter noted that these proposed requirements will have positive benefits for the atmosphere and climate and will help ease demand for servicing gas.</w:t>
      </w:r>
    </w:p>
    <w:p w14:paraId="2DD6C3B8" w14:textId="77777777" w:rsidR="00D67C1E" w:rsidRPr="00283806" w:rsidRDefault="001265CA">
      <w:pPr>
        <w:spacing w:line="181" w:lineRule="exact"/>
        <w:ind w:left="323"/>
        <w:rPr>
          <w:sz w:val="18"/>
        </w:rPr>
      </w:pPr>
      <w:r w:rsidRPr="00283806">
        <w:rPr>
          <w:rFonts w:ascii="Book Antiqua"/>
          <w:i/>
          <w:w w:val="110"/>
          <w:sz w:val="18"/>
        </w:rPr>
        <w:t>Response:</w:t>
      </w:r>
      <w:r w:rsidRPr="00283806">
        <w:rPr>
          <w:rFonts w:ascii="Book Antiqua"/>
          <w:i/>
          <w:spacing w:val="-5"/>
          <w:w w:val="110"/>
          <w:sz w:val="18"/>
        </w:rPr>
        <w:t xml:space="preserve"> </w:t>
      </w:r>
      <w:r w:rsidRPr="00283806">
        <w:rPr>
          <w:w w:val="110"/>
          <w:sz w:val="18"/>
        </w:rPr>
        <w:t>EPA</w:t>
      </w:r>
      <w:r w:rsidRPr="00283806">
        <w:rPr>
          <w:spacing w:val="2"/>
          <w:w w:val="110"/>
          <w:sz w:val="18"/>
        </w:rPr>
        <w:t xml:space="preserve"> </w:t>
      </w:r>
      <w:proofErr w:type="gramStart"/>
      <w:r w:rsidRPr="00283806">
        <w:rPr>
          <w:w w:val="110"/>
          <w:sz w:val="18"/>
        </w:rPr>
        <w:t>agrees</w:t>
      </w:r>
      <w:proofErr w:type="gramEnd"/>
      <w:r w:rsidRPr="00283806">
        <w:rPr>
          <w:spacing w:val="1"/>
          <w:w w:val="110"/>
          <w:sz w:val="18"/>
        </w:rPr>
        <w:t xml:space="preserve"> </w:t>
      </w:r>
      <w:r w:rsidRPr="00283806">
        <w:rPr>
          <w:w w:val="110"/>
          <w:sz w:val="18"/>
        </w:rPr>
        <w:t>that</w:t>
      </w:r>
      <w:r w:rsidRPr="00283806">
        <w:rPr>
          <w:spacing w:val="2"/>
          <w:w w:val="110"/>
          <w:sz w:val="18"/>
        </w:rPr>
        <w:t xml:space="preserve"> </w:t>
      </w:r>
      <w:r w:rsidRPr="00283806">
        <w:rPr>
          <w:spacing w:val="-4"/>
          <w:w w:val="110"/>
          <w:sz w:val="18"/>
        </w:rPr>
        <w:t>leak</w:t>
      </w:r>
    </w:p>
    <w:p w14:paraId="231F2CAF" w14:textId="77777777" w:rsidR="00D67C1E" w:rsidRPr="00283806" w:rsidRDefault="001265CA">
      <w:pPr>
        <w:pStyle w:val="BodyText"/>
        <w:spacing w:line="228" w:lineRule="auto"/>
        <w:ind w:left="143" w:right="183"/>
      </w:pPr>
      <w:r w:rsidRPr="00283806">
        <w:rPr>
          <w:w w:val="105"/>
        </w:rPr>
        <w:t>detection and repair requirements will have a beneficial impact on the environment and has provided</w:t>
      </w:r>
      <w:r w:rsidRPr="00283806">
        <w:rPr>
          <w:spacing w:val="40"/>
          <w:w w:val="105"/>
        </w:rPr>
        <w:t xml:space="preserve"> </w:t>
      </w:r>
      <w:r w:rsidRPr="00283806">
        <w:rPr>
          <w:w w:val="105"/>
        </w:rPr>
        <w:t>estimated benefits of these impacts in</w:t>
      </w:r>
      <w:r w:rsidRPr="00283806">
        <w:rPr>
          <w:spacing w:val="40"/>
          <w:w w:val="105"/>
        </w:rPr>
        <w:t xml:space="preserve"> </w:t>
      </w:r>
      <w:r w:rsidRPr="00283806">
        <w:rPr>
          <w:w w:val="105"/>
        </w:rPr>
        <w:t>the Economic Impact and Benefits TSD. EPA agrees that the detection and repair of leaks is effective in reducing the quantity of gas necessary for servicing existing equipment.</w:t>
      </w:r>
    </w:p>
    <w:p w14:paraId="7E01E9F2" w14:textId="77777777" w:rsidR="00D67C1E" w:rsidRPr="00283806" w:rsidRDefault="001265CA">
      <w:pPr>
        <w:spacing w:line="182" w:lineRule="exact"/>
        <w:ind w:left="323"/>
        <w:rPr>
          <w:sz w:val="18"/>
        </w:rPr>
      </w:pPr>
      <w:r w:rsidRPr="00283806">
        <w:rPr>
          <w:rFonts w:ascii="Book Antiqua"/>
          <w:i/>
          <w:w w:val="105"/>
          <w:sz w:val="18"/>
        </w:rPr>
        <w:t>Comment:</w:t>
      </w:r>
      <w:r w:rsidRPr="00283806">
        <w:rPr>
          <w:rFonts w:ascii="Book Antiqua"/>
          <w:i/>
          <w:spacing w:val="15"/>
          <w:w w:val="105"/>
          <w:sz w:val="18"/>
        </w:rPr>
        <w:t xml:space="preserve"> </w:t>
      </w:r>
      <w:r w:rsidRPr="00283806">
        <w:rPr>
          <w:w w:val="105"/>
          <w:sz w:val="18"/>
        </w:rPr>
        <w:t>One</w:t>
      </w:r>
      <w:r w:rsidRPr="00283806">
        <w:rPr>
          <w:spacing w:val="20"/>
          <w:w w:val="105"/>
          <w:sz w:val="18"/>
        </w:rPr>
        <w:t xml:space="preserve"> </w:t>
      </w:r>
      <w:r w:rsidRPr="00283806">
        <w:rPr>
          <w:w w:val="105"/>
          <w:sz w:val="18"/>
        </w:rPr>
        <w:t>commenter</w:t>
      </w:r>
      <w:r w:rsidRPr="00283806">
        <w:rPr>
          <w:spacing w:val="20"/>
          <w:w w:val="105"/>
          <w:sz w:val="18"/>
        </w:rPr>
        <w:t xml:space="preserve"> </w:t>
      </w:r>
      <w:r w:rsidRPr="00283806">
        <w:rPr>
          <w:w w:val="105"/>
          <w:sz w:val="18"/>
        </w:rPr>
        <w:t>stated</w:t>
      </w:r>
      <w:r w:rsidRPr="00283806">
        <w:rPr>
          <w:spacing w:val="20"/>
          <w:w w:val="105"/>
          <w:sz w:val="18"/>
        </w:rPr>
        <w:t xml:space="preserve"> </w:t>
      </w:r>
      <w:r w:rsidRPr="00283806">
        <w:rPr>
          <w:spacing w:val="-4"/>
          <w:w w:val="105"/>
          <w:sz w:val="18"/>
        </w:rPr>
        <w:t>that</w:t>
      </w:r>
    </w:p>
    <w:p w14:paraId="2A78E7D8" w14:textId="77777777" w:rsidR="00D67C1E" w:rsidRPr="00283806" w:rsidRDefault="001265CA">
      <w:pPr>
        <w:pStyle w:val="BodyText"/>
        <w:spacing w:line="228" w:lineRule="auto"/>
        <w:ind w:left="143" w:right="232"/>
      </w:pPr>
      <w:r w:rsidRPr="00283806">
        <w:rPr>
          <w:w w:val="105"/>
        </w:rPr>
        <w:t>EPA significantly underestimated the costs of installing ALD systems. The commenter stated that EPA’s cost estimates for direct ALD systems do not include all the types of costs that</w:t>
      </w:r>
      <w:r w:rsidRPr="00283806">
        <w:rPr>
          <w:spacing w:val="80"/>
          <w:w w:val="105"/>
        </w:rPr>
        <w:t xml:space="preserve"> </w:t>
      </w:r>
      <w:r w:rsidRPr="00283806">
        <w:rPr>
          <w:w w:val="105"/>
        </w:rPr>
        <w:t>owners or operators will incur. The commenter recommended that EPA develop cost estimates that also</w:t>
      </w:r>
      <w:r w:rsidRPr="00283806">
        <w:rPr>
          <w:spacing w:val="40"/>
          <w:w w:val="105"/>
        </w:rPr>
        <w:t xml:space="preserve"> </w:t>
      </w:r>
      <w:r w:rsidRPr="00283806">
        <w:rPr>
          <w:w w:val="105"/>
        </w:rPr>
        <w:t>consider the following:</w:t>
      </w:r>
    </w:p>
    <w:p w14:paraId="7B6317EA"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5" w:space="40"/>
            <w:col w:w="3502" w:space="39"/>
            <w:col w:w="3624"/>
          </w:cols>
        </w:sectPr>
      </w:pPr>
    </w:p>
    <w:p w14:paraId="23997308" w14:textId="77777777" w:rsidR="00D67C1E" w:rsidRPr="00283806" w:rsidRDefault="001265CA">
      <w:pPr>
        <w:pStyle w:val="ListParagraph"/>
        <w:numPr>
          <w:ilvl w:val="0"/>
          <w:numId w:val="40"/>
        </w:numPr>
        <w:tabs>
          <w:tab w:val="left" w:pos="522"/>
        </w:tabs>
        <w:spacing w:before="125" w:line="228" w:lineRule="auto"/>
        <w:ind w:right="753" w:firstLine="180"/>
        <w:rPr>
          <w:sz w:val="18"/>
        </w:rPr>
      </w:pPr>
      <w:r w:rsidRPr="00283806">
        <w:rPr>
          <w:w w:val="105"/>
          <w:sz w:val="18"/>
        </w:rPr>
        <w:lastRenderedPageBreak/>
        <w:t xml:space="preserve">Reviewing the ALD system </w:t>
      </w:r>
      <w:r w:rsidRPr="00283806">
        <w:rPr>
          <w:spacing w:val="-2"/>
          <w:w w:val="105"/>
          <w:sz w:val="18"/>
        </w:rPr>
        <w:t>requirements,</w:t>
      </w:r>
    </w:p>
    <w:p w14:paraId="50DEB9AB" w14:textId="77777777" w:rsidR="00D67C1E" w:rsidRPr="00283806" w:rsidRDefault="001265CA">
      <w:pPr>
        <w:pStyle w:val="ListParagraph"/>
        <w:numPr>
          <w:ilvl w:val="0"/>
          <w:numId w:val="40"/>
        </w:numPr>
        <w:tabs>
          <w:tab w:val="left" w:pos="522"/>
        </w:tabs>
        <w:spacing w:line="228" w:lineRule="auto"/>
        <w:ind w:right="86" w:firstLine="180"/>
        <w:rPr>
          <w:sz w:val="18"/>
        </w:rPr>
      </w:pPr>
      <w:r w:rsidRPr="00283806">
        <w:rPr>
          <w:w w:val="105"/>
          <w:sz w:val="18"/>
        </w:rPr>
        <w:t>preparing the process design for equipment installation, which includes safety and electrical reviews,</w:t>
      </w:r>
    </w:p>
    <w:p w14:paraId="0B85C511" w14:textId="77777777" w:rsidR="00D67C1E" w:rsidRPr="00283806" w:rsidRDefault="001265CA">
      <w:pPr>
        <w:pStyle w:val="ListParagraph"/>
        <w:numPr>
          <w:ilvl w:val="0"/>
          <w:numId w:val="40"/>
        </w:numPr>
        <w:tabs>
          <w:tab w:val="left" w:pos="522"/>
        </w:tabs>
        <w:spacing w:line="228" w:lineRule="auto"/>
        <w:ind w:right="713" w:firstLine="180"/>
        <w:rPr>
          <w:sz w:val="18"/>
        </w:rPr>
      </w:pPr>
      <w:r w:rsidRPr="00283806">
        <w:rPr>
          <w:w w:val="105"/>
          <w:sz w:val="18"/>
        </w:rPr>
        <w:t>preparing bid packages and reviewing bids,</w:t>
      </w:r>
    </w:p>
    <w:p w14:paraId="25E5DEE4" w14:textId="77777777" w:rsidR="00D67C1E" w:rsidRPr="00283806" w:rsidRDefault="001265CA">
      <w:pPr>
        <w:pStyle w:val="ListParagraph"/>
        <w:numPr>
          <w:ilvl w:val="0"/>
          <w:numId w:val="40"/>
        </w:numPr>
        <w:tabs>
          <w:tab w:val="left" w:pos="522"/>
        </w:tabs>
        <w:spacing w:line="228" w:lineRule="auto"/>
        <w:ind w:right="278" w:firstLine="180"/>
        <w:rPr>
          <w:sz w:val="18"/>
        </w:rPr>
      </w:pPr>
      <w:r w:rsidRPr="00283806">
        <w:rPr>
          <w:w w:val="105"/>
          <w:sz w:val="18"/>
        </w:rPr>
        <w:t>developing detailed mechanical designs (which would include the hardware/software needed to tie the systems to control houses and panels that may need to be modified),</w:t>
      </w:r>
    </w:p>
    <w:p w14:paraId="7EA48FC4" w14:textId="77777777" w:rsidR="00D67C1E" w:rsidRPr="00283806" w:rsidRDefault="001265CA">
      <w:pPr>
        <w:pStyle w:val="ListParagraph"/>
        <w:numPr>
          <w:ilvl w:val="0"/>
          <w:numId w:val="40"/>
        </w:numPr>
        <w:tabs>
          <w:tab w:val="left" w:pos="522"/>
        </w:tabs>
        <w:spacing w:line="195" w:lineRule="exact"/>
        <w:ind w:left="522" w:hanging="182"/>
        <w:rPr>
          <w:sz w:val="18"/>
        </w:rPr>
      </w:pPr>
      <w:r w:rsidRPr="00283806">
        <w:rPr>
          <w:w w:val="105"/>
          <w:sz w:val="18"/>
        </w:rPr>
        <w:t>project</w:t>
      </w:r>
      <w:r w:rsidRPr="00283806">
        <w:rPr>
          <w:spacing w:val="4"/>
          <w:w w:val="105"/>
          <w:sz w:val="18"/>
        </w:rPr>
        <w:t xml:space="preserve"> </w:t>
      </w:r>
      <w:r w:rsidRPr="00283806">
        <w:rPr>
          <w:w w:val="105"/>
          <w:sz w:val="18"/>
        </w:rPr>
        <w:t>cost</w:t>
      </w:r>
      <w:r w:rsidRPr="00283806">
        <w:rPr>
          <w:spacing w:val="4"/>
          <w:w w:val="105"/>
          <w:sz w:val="18"/>
        </w:rPr>
        <w:t xml:space="preserve"> </w:t>
      </w:r>
      <w:r w:rsidRPr="00283806">
        <w:rPr>
          <w:spacing w:val="-2"/>
          <w:w w:val="105"/>
          <w:sz w:val="18"/>
        </w:rPr>
        <w:t>estimating,</w:t>
      </w:r>
    </w:p>
    <w:p w14:paraId="0A2C4239" w14:textId="77777777" w:rsidR="00D67C1E" w:rsidRPr="00283806" w:rsidRDefault="001265CA">
      <w:pPr>
        <w:pStyle w:val="ListParagraph"/>
        <w:numPr>
          <w:ilvl w:val="0"/>
          <w:numId w:val="40"/>
        </w:numPr>
        <w:tabs>
          <w:tab w:val="left" w:pos="522"/>
        </w:tabs>
        <w:spacing w:line="204" w:lineRule="exact"/>
        <w:ind w:left="522" w:hanging="182"/>
        <w:rPr>
          <w:sz w:val="18"/>
        </w:rPr>
      </w:pPr>
      <w:r w:rsidRPr="00283806">
        <w:rPr>
          <w:w w:val="105"/>
          <w:sz w:val="18"/>
        </w:rPr>
        <w:t>management</w:t>
      </w:r>
      <w:r w:rsidRPr="00283806">
        <w:rPr>
          <w:spacing w:val="-3"/>
          <w:w w:val="105"/>
          <w:sz w:val="18"/>
        </w:rPr>
        <w:t xml:space="preserve"> </w:t>
      </w:r>
      <w:r w:rsidRPr="00283806">
        <w:rPr>
          <w:spacing w:val="-2"/>
          <w:w w:val="105"/>
          <w:sz w:val="18"/>
        </w:rPr>
        <w:t>reviews,</w:t>
      </w:r>
    </w:p>
    <w:p w14:paraId="5EF54D76" w14:textId="77777777" w:rsidR="00D67C1E" w:rsidRPr="00283806" w:rsidRDefault="001265CA">
      <w:pPr>
        <w:pStyle w:val="ListParagraph"/>
        <w:numPr>
          <w:ilvl w:val="0"/>
          <w:numId w:val="40"/>
        </w:numPr>
        <w:tabs>
          <w:tab w:val="left" w:pos="522"/>
        </w:tabs>
        <w:spacing w:line="204" w:lineRule="exact"/>
        <w:ind w:left="522" w:hanging="182"/>
        <w:rPr>
          <w:sz w:val="18"/>
        </w:rPr>
      </w:pPr>
      <w:r w:rsidRPr="00283806">
        <w:rPr>
          <w:w w:val="105"/>
          <w:sz w:val="18"/>
        </w:rPr>
        <w:t>construction</w:t>
      </w:r>
      <w:r w:rsidRPr="00283806">
        <w:rPr>
          <w:spacing w:val="16"/>
          <w:w w:val="105"/>
          <w:sz w:val="18"/>
        </w:rPr>
        <w:t xml:space="preserve"> </w:t>
      </w:r>
      <w:r w:rsidRPr="00283806">
        <w:rPr>
          <w:spacing w:val="-2"/>
          <w:w w:val="105"/>
          <w:sz w:val="18"/>
        </w:rPr>
        <w:t>contracting,</w:t>
      </w:r>
    </w:p>
    <w:p w14:paraId="03A99006" w14:textId="77777777" w:rsidR="00D67C1E" w:rsidRPr="00283806" w:rsidRDefault="001265CA">
      <w:pPr>
        <w:pStyle w:val="ListParagraph"/>
        <w:numPr>
          <w:ilvl w:val="0"/>
          <w:numId w:val="40"/>
        </w:numPr>
        <w:tabs>
          <w:tab w:val="left" w:pos="522"/>
        </w:tabs>
        <w:spacing w:line="204" w:lineRule="exact"/>
        <w:ind w:left="522" w:hanging="182"/>
        <w:rPr>
          <w:sz w:val="18"/>
        </w:rPr>
      </w:pPr>
      <w:r w:rsidRPr="00283806">
        <w:rPr>
          <w:w w:val="110"/>
          <w:sz w:val="18"/>
        </w:rPr>
        <w:t>field</w:t>
      </w:r>
      <w:r w:rsidRPr="00283806">
        <w:rPr>
          <w:spacing w:val="2"/>
          <w:w w:val="110"/>
          <w:sz w:val="18"/>
        </w:rPr>
        <w:t xml:space="preserve"> </w:t>
      </w:r>
      <w:r w:rsidRPr="00283806">
        <w:rPr>
          <w:w w:val="110"/>
          <w:sz w:val="18"/>
        </w:rPr>
        <w:t>installation,</w:t>
      </w:r>
      <w:r w:rsidRPr="00283806">
        <w:rPr>
          <w:spacing w:val="2"/>
          <w:w w:val="110"/>
          <w:sz w:val="18"/>
        </w:rPr>
        <w:t xml:space="preserve"> </w:t>
      </w:r>
      <w:r w:rsidRPr="00283806">
        <w:rPr>
          <w:spacing w:val="-5"/>
          <w:w w:val="110"/>
          <w:sz w:val="18"/>
        </w:rPr>
        <w:t>and</w:t>
      </w:r>
    </w:p>
    <w:p w14:paraId="1B06D5BA" w14:textId="77777777" w:rsidR="00D67C1E" w:rsidRPr="00283806" w:rsidRDefault="001265CA">
      <w:pPr>
        <w:pStyle w:val="ListParagraph"/>
        <w:numPr>
          <w:ilvl w:val="0"/>
          <w:numId w:val="40"/>
        </w:numPr>
        <w:tabs>
          <w:tab w:val="left" w:pos="522"/>
        </w:tabs>
        <w:spacing w:line="209" w:lineRule="exact"/>
        <w:ind w:left="522" w:hanging="182"/>
        <w:rPr>
          <w:sz w:val="18"/>
        </w:rPr>
      </w:pPr>
      <w:r w:rsidRPr="00283806">
        <w:rPr>
          <w:spacing w:val="-2"/>
          <w:w w:val="105"/>
          <w:sz w:val="18"/>
        </w:rPr>
        <w:t>testing.</w:t>
      </w:r>
    </w:p>
    <w:p w14:paraId="7042061A" w14:textId="77777777" w:rsidR="00D67C1E" w:rsidRPr="00283806" w:rsidRDefault="001265CA">
      <w:pPr>
        <w:pStyle w:val="BodyText"/>
        <w:spacing w:line="228" w:lineRule="auto"/>
        <w:ind w:firstLine="180"/>
      </w:pPr>
      <w:r w:rsidRPr="00283806">
        <w:rPr>
          <w:w w:val="105"/>
        </w:rPr>
        <w:t>With regards to indirect ALD systems, the</w:t>
      </w:r>
      <w:r w:rsidRPr="00283806">
        <w:rPr>
          <w:spacing w:val="40"/>
          <w:w w:val="105"/>
        </w:rPr>
        <w:t xml:space="preserve"> </w:t>
      </w:r>
      <w:r w:rsidRPr="00283806">
        <w:rPr>
          <w:w w:val="105"/>
        </w:rPr>
        <w:t>commenter</w:t>
      </w:r>
      <w:r w:rsidRPr="00283806">
        <w:rPr>
          <w:spacing w:val="40"/>
          <w:w w:val="105"/>
        </w:rPr>
        <w:t xml:space="preserve"> </w:t>
      </w:r>
      <w:r w:rsidRPr="00283806">
        <w:rPr>
          <w:w w:val="105"/>
        </w:rPr>
        <w:t>noted</w:t>
      </w:r>
      <w:r w:rsidRPr="00283806">
        <w:rPr>
          <w:spacing w:val="40"/>
          <w:w w:val="105"/>
        </w:rPr>
        <w:t xml:space="preserve"> </w:t>
      </w:r>
      <w:r w:rsidRPr="00283806">
        <w:rPr>
          <w:w w:val="105"/>
        </w:rPr>
        <w:t>that</w:t>
      </w:r>
      <w:r w:rsidRPr="00283806">
        <w:rPr>
          <w:spacing w:val="40"/>
          <w:w w:val="105"/>
        </w:rPr>
        <w:t xml:space="preserve"> </w:t>
      </w:r>
      <w:r w:rsidRPr="00283806">
        <w:rPr>
          <w:w w:val="105"/>
        </w:rPr>
        <w:t>EPA indicated that indirect systems have</w:t>
      </w:r>
      <w:r w:rsidRPr="00283806">
        <w:rPr>
          <w:spacing w:val="40"/>
          <w:w w:val="105"/>
        </w:rPr>
        <w:t xml:space="preserve"> </w:t>
      </w:r>
      <w:r w:rsidRPr="00283806">
        <w:rPr>
          <w:w w:val="105"/>
        </w:rPr>
        <w:t>been installed in some retail stores but did not provide any information on applications in industrial facilities. The commenter suggested that the cost estimate for indirect ALD systems is orders of magnitude below what the actual</w:t>
      </w:r>
      <w:r w:rsidRPr="00283806">
        <w:rPr>
          <w:spacing w:val="40"/>
          <w:w w:val="105"/>
        </w:rPr>
        <w:t xml:space="preserve"> </w:t>
      </w:r>
      <w:r w:rsidRPr="00283806">
        <w:rPr>
          <w:w w:val="105"/>
        </w:rPr>
        <w:t>costs</w:t>
      </w:r>
      <w:r w:rsidRPr="00283806">
        <w:rPr>
          <w:spacing w:val="40"/>
          <w:w w:val="105"/>
        </w:rPr>
        <w:t xml:space="preserve"> </w:t>
      </w:r>
      <w:r w:rsidRPr="00283806">
        <w:rPr>
          <w:w w:val="105"/>
        </w:rPr>
        <w:t>will</w:t>
      </w:r>
      <w:r w:rsidRPr="00283806">
        <w:rPr>
          <w:spacing w:val="40"/>
          <w:w w:val="105"/>
        </w:rPr>
        <w:t xml:space="preserve"> </w:t>
      </w:r>
      <w:r w:rsidRPr="00283806">
        <w:rPr>
          <w:w w:val="105"/>
        </w:rPr>
        <w:t>be</w:t>
      </w:r>
      <w:r w:rsidRPr="00283806">
        <w:rPr>
          <w:spacing w:val="40"/>
          <w:w w:val="105"/>
        </w:rPr>
        <w:t xml:space="preserve"> </w:t>
      </w:r>
      <w:r w:rsidRPr="00283806">
        <w:rPr>
          <w:w w:val="105"/>
        </w:rPr>
        <w:t>because</w:t>
      </w:r>
      <w:r w:rsidRPr="00283806">
        <w:rPr>
          <w:spacing w:val="40"/>
          <w:w w:val="105"/>
        </w:rPr>
        <w:t xml:space="preserve"> </w:t>
      </w:r>
      <w:r w:rsidRPr="00283806">
        <w:rPr>
          <w:w w:val="105"/>
        </w:rPr>
        <w:t>indirect ALD systems require specialized monitoring systems and require</w:t>
      </w:r>
      <w:r w:rsidRPr="00283806">
        <w:rPr>
          <w:spacing w:val="80"/>
          <w:w w:val="105"/>
        </w:rPr>
        <w:t xml:space="preserve"> </w:t>
      </w:r>
      <w:r w:rsidRPr="00283806">
        <w:rPr>
          <w:w w:val="105"/>
        </w:rPr>
        <w:t xml:space="preserve">constant monitoring from complex logic systems to detect losses. The commenter also expressed concern that the TSD for ALDs did not include any references </w:t>
      </w:r>
      <w:proofErr w:type="gramStart"/>
      <w:r w:rsidRPr="00283806">
        <w:rPr>
          <w:w w:val="105"/>
        </w:rPr>
        <w:t>to</w:t>
      </w:r>
      <w:proofErr w:type="gramEnd"/>
      <w:r w:rsidRPr="00283806">
        <w:rPr>
          <w:w w:val="105"/>
        </w:rPr>
        <w:t xml:space="preserve"> discussions with equipment suppliers about actual fully installed appliances</w:t>
      </w:r>
      <w:r w:rsidRPr="00283806">
        <w:rPr>
          <w:spacing w:val="40"/>
          <w:w w:val="105"/>
        </w:rPr>
        <w:t xml:space="preserve"> </w:t>
      </w:r>
      <w:r w:rsidRPr="00283806">
        <w:rPr>
          <w:w w:val="105"/>
        </w:rPr>
        <w:t>and recommended that EPA take steps</w:t>
      </w:r>
      <w:r w:rsidRPr="00283806">
        <w:rPr>
          <w:spacing w:val="80"/>
          <w:w w:val="105"/>
        </w:rPr>
        <w:t xml:space="preserve"> </w:t>
      </w:r>
      <w:r w:rsidRPr="00283806">
        <w:rPr>
          <w:w w:val="105"/>
        </w:rPr>
        <w:t xml:space="preserve">to develop more realistic </w:t>
      </w:r>
      <w:proofErr w:type="gramStart"/>
      <w:r w:rsidRPr="00283806">
        <w:rPr>
          <w:w w:val="105"/>
        </w:rPr>
        <w:t>costs</w:t>
      </w:r>
      <w:proofErr w:type="gramEnd"/>
      <w:r w:rsidRPr="00283806">
        <w:rPr>
          <w:w w:val="105"/>
        </w:rPr>
        <w:t xml:space="preserve"> estimates before finalizing the proposed rule. The commenter also stated that EPA’s reference for the cost estimates, ‘‘Abt Associates, Supplemental Automatic</w:t>
      </w:r>
      <w:r w:rsidRPr="00283806">
        <w:rPr>
          <w:spacing w:val="80"/>
          <w:w w:val="105"/>
        </w:rPr>
        <w:t xml:space="preserve"> </w:t>
      </w:r>
      <w:r w:rsidRPr="00283806">
        <w:rPr>
          <w:w w:val="105"/>
        </w:rPr>
        <w:t>Leak</w:t>
      </w:r>
      <w:r w:rsidRPr="00283806">
        <w:rPr>
          <w:spacing w:val="40"/>
          <w:w w:val="105"/>
        </w:rPr>
        <w:t xml:space="preserve"> </w:t>
      </w:r>
      <w:r w:rsidRPr="00283806">
        <w:rPr>
          <w:w w:val="105"/>
        </w:rPr>
        <w:t>Detect</w:t>
      </w:r>
      <w:r w:rsidRPr="00283806">
        <w:rPr>
          <w:spacing w:val="40"/>
          <w:w w:val="105"/>
        </w:rPr>
        <w:t xml:space="preserve"> </w:t>
      </w:r>
      <w:r w:rsidRPr="00283806">
        <w:rPr>
          <w:w w:val="105"/>
        </w:rPr>
        <w:t>System</w:t>
      </w:r>
      <w:r w:rsidRPr="00283806">
        <w:rPr>
          <w:spacing w:val="40"/>
          <w:w w:val="105"/>
        </w:rPr>
        <w:t xml:space="preserve"> </w:t>
      </w:r>
      <w:r w:rsidRPr="00283806">
        <w:rPr>
          <w:w w:val="105"/>
        </w:rPr>
        <w:t>Draft</w:t>
      </w:r>
      <w:r w:rsidRPr="00283806">
        <w:rPr>
          <w:spacing w:val="40"/>
          <w:w w:val="105"/>
        </w:rPr>
        <w:t xml:space="preserve"> </w:t>
      </w:r>
      <w:r w:rsidRPr="00283806">
        <w:rPr>
          <w:w w:val="105"/>
        </w:rPr>
        <w:t>Analysis, 2023, prepared for EPA Stratospheric Protection</w:t>
      </w:r>
      <w:r w:rsidRPr="00283806">
        <w:rPr>
          <w:spacing w:val="40"/>
          <w:w w:val="105"/>
        </w:rPr>
        <w:t xml:space="preserve"> </w:t>
      </w:r>
      <w:r w:rsidRPr="00283806">
        <w:rPr>
          <w:w w:val="105"/>
        </w:rPr>
        <w:t>Division,’’</w:t>
      </w:r>
      <w:r w:rsidRPr="00283806">
        <w:rPr>
          <w:spacing w:val="40"/>
          <w:w w:val="105"/>
        </w:rPr>
        <w:t xml:space="preserve"> </w:t>
      </w:r>
      <w:r w:rsidRPr="00283806">
        <w:rPr>
          <w:w w:val="105"/>
        </w:rPr>
        <w:t>was</w:t>
      </w:r>
      <w:r w:rsidRPr="00283806">
        <w:rPr>
          <w:spacing w:val="40"/>
          <w:w w:val="105"/>
        </w:rPr>
        <w:t xml:space="preserve"> </w:t>
      </w:r>
      <w:r w:rsidRPr="00283806">
        <w:rPr>
          <w:w w:val="105"/>
        </w:rPr>
        <w:t>not</w:t>
      </w:r>
      <w:r w:rsidRPr="00283806">
        <w:rPr>
          <w:spacing w:val="40"/>
          <w:w w:val="105"/>
        </w:rPr>
        <w:t xml:space="preserve"> </w:t>
      </w:r>
      <w:r w:rsidRPr="00283806">
        <w:rPr>
          <w:w w:val="105"/>
        </w:rPr>
        <w:t>included in the docket.</w:t>
      </w:r>
    </w:p>
    <w:p w14:paraId="2FF102DD" w14:textId="77777777" w:rsidR="00D67C1E" w:rsidRPr="00283806" w:rsidRDefault="001265CA">
      <w:pPr>
        <w:pStyle w:val="BodyText"/>
        <w:spacing w:line="225" w:lineRule="auto"/>
        <w:ind w:right="34" w:firstLine="180"/>
      </w:pPr>
      <w:r w:rsidRPr="00283806">
        <w:rPr>
          <w:rFonts w:ascii="Book Antiqua"/>
          <w:i/>
          <w:w w:val="105"/>
        </w:rPr>
        <w:t xml:space="preserve">Response: </w:t>
      </w:r>
      <w:r w:rsidRPr="00283806">
        <w:rPr>
          <w:w w:val="105"/>
        </w:rPr>
        <w:t>EPA responds that the commenter did not provide information on how their examples of costs apply to the costs associated with the installation and use of direct ALD systems nor did</w:t>
      </w:r>
      <w:r w:rsidRPr="00283806">
        <w:rPr>
          <w:spacing w:val="40"/>
          <w:w w:val="105"/>
        </w:rPr>
        <w:t xml:space="preserve"> </w:t>
      </w:r>
      <w:r w:rsidRPr="00283806">
        <w:rPr>
          <w:w w:val="105"/>
        </w:rPr>
        <w:t>the commenter provide estimates of</w:t>
      </w:r>
      <w:r w:rsidRPr="00283806">
        <w:rPr>
          <w:spacing w:val="80"/>
          <w:w w:val="105"/>
        </w:rPr>
        <w:t xml:space="preserve"> </w:t>
      </w:r>
      <w:r w:rsidRPr="00283806">
        <w:rPr>
          <w:w w:val="105"/>
        </w:rPr>
        <w:t xml:space="preserve">such costs. While EPA </w:t>
      </w:r>
      <w:proofErr w:type="gramStart"/>
      <w:r w:rsidRPr="00283806">
        <w:rPr>
          <w:w w:val="105"/>
        </w:rPr>
        <w:t>agrees to</w:t>
      </w:r>
      <w:proofErr w:type="gramEnd"/>
      <w:r w:rsidRPr="00283806">
        <w:rPr>
          <w:w w:val="105"/>
        </w:rPr>
        <w:t xml:space="preserve"> that project planning would need to take</w:t>
      </w:r>
      <w:r w:rsidRPr="00283806">
        <w:rPr>
          <w:spacing w:val="40"/>
          <w:w w:val="105"/>
        </w:rPr>
        <w:t xml:space="preserve"> </w:t>
      </w:r>
      <w:r w:rsidRPr="00283806">
        <w:rPr>
          <w:w w:val="105"/>
        </w:rPr>
        <w:t xml:space="preserve">place to decide if an owner or operator would prefer to use </w:t>
      </w:r>
      <w:proofErr w:type="gramStart"/>
      <w:r w:rsidRPr="00283806">
        <w:rPr>
          <w:w w:val="105"/>
        </w:rPr>
        <w:t>and</w:t>
      </w:r>
      <w:proofErr w:type="gramEnd"/>
      <w:r w:rsidRPr="00283806">
        <w:rPr>
          <w:w w:val="105"/>
        </w:rPr>
        <w:t xml:space="preserve"> indirect or</w:t>
      </w:r>
      <w:r w:rsidRPr="00283806">
        <w:rPr>
          <w:spacing w:val="80"/>
          <w:w w:val="105"/>
        </w:rPr>
        <w:t xml:space="preserve"> </w:t>
      </w:r>
      <w:r w:rsidRPr="00283806">
        <w:rPr>
          <w:w w:val="105"/>
        </w:rPr>
        <w:t>direct ALD system (including planning</w:t>
      </w:r>
      <w:r w:rsidRPr="00283806">
        <w:rPr>
          <w:spacing w:val="40"/>
          <w:w w:val="105"/>
        </w:rPr>
        <w:t xml:space="preserve"> </w:t>
      </w:r>
      <w:r w:rsidRPr="00283806">
        <w:rPr>
          <w:w w:val="105"/>
        </w:rPr>
        <w:t>for the placement of refrigerant sensors) EPA disagrees that these actions would drastically increase the cost estimates provided in the RIA addendum and Economic Impact and Benefits TSD. Furthermore, some of the costs cited by the commenter like testing, installation, and construction contracting would reasonably fall under the installation</w:t>
      </w:r>
      <w:r w:rsidRPr="00283806">
        <w:rPr>
          <w:spacing w:val="80"/>
          <w:w w:val="105"/>
        </w:rPr>
        <w:t xml:space="preserve"> </w:t>
      </w:r>
      <w:r w:rsidRPr="00283806">
        <w:rPr>
          <w:w w:val="105"/>
        </w:rPr>
        <w:t xml:space="preserve">cost estimates </w:t>
      </w:r>
      <w:r w:rsidRPr="00283806">
        <w:rPr>
          <w:rFonts w:ascii="Book Antiqua"/>
          <w:i/>
          <w:w w:val="105"/>
        </w:rPr>
        <w:t xml:space="preserve">Unit Cost Assumptions </w:t>
      </w:r>
      <w:r w:rsidRPr="00283806">
        <w:rPr>
          <w:w w:val="105"/>
        </w:rPr>
        <w:t>Table in the RIA addendum and</w:t>
      </w:r>
      <w:r w:rsidRPr="00283806">
        <w:rPr>
          <w:spacing w:val="40"/>
          <w:w w:val="105"/>
        </w:rPr>
        <w:t xml:space="preserve"> </w:t>
      </w:r>
      <w:r w:rsidRPr="00283806">
        <w:rPr>
          <w:w w:val="105"/>
        </w:rPr>
        <w:t>Economic Impact and Benefits TSD.</w:t>
      </w:r>
    </w:p>
    <w:p w14:paraId="4C07B605" w14:textId="77777777" w:rsidR="00D67C1E" w:rsidRPr="00283806" w:rsidRDefault="001265CA">
      <w:pPr>
        <w:pStyle w:val="BodyText"/>
        <w:spacing w:before="134" w:line="225" w:lineRule="auto"/>
        <w:ind w:left="154" w:right="20" w:firstLine="180"/>
      </w:pPr>
      <w:r w:rsidRPr="00283806">
        <w:br w:type="column"/>
      </w:r>
      <w:r w:rsidRPr="00283806">
        <w:rPr>
          <w:w w:val="105"/>
        </w:rPr>
        <w:t>Regarding</w:t>
      </w:r>
      <w:r w:rsidRPr="00283806">
        <w:rPr>
          <w:spacing w:val="-8"/>
          <w:w w:val="105"/>
        </w:rPr>
        <w:t xml:space="preserve"> </w:t>
      </w:r>
      <w:r w:rsidRPr="00283806">
        <w:rPr>
          <w:w w:val="105"/>
        </w:rPr>
        <w:t>the</w:t>
      </w:r>
      <w:r w:rsidRPr="00283806">
        <w:rPr>
          <w:spacing w:val="-8"/>
          <w:w w:val="105"/>
        </w:rPr>
        <w:t xml:space="preserve"> </w:t>
      </w:r>
      <w:r w:rsidRPr="00283806">
        <w:rPr>
          <w:w w:val="105"/>
        </w:rPr>
        <w:t>commenter’s</w:t>
      </w:r>
      <w:r w:rsidRPr="00283806">
        <w:rPr>
          <w:spacing w:val="-8"/>
          <w:w w:val="105"/>
        </w:rPr>
        <w:t xml:space="preserve"> </w:t>
      </w:r>
      <w:r w:rsidRPr="00283806">
        <w:rPr>
          <w:w w:val="105"/>
        </w:rPr>
        <w:t>statements on the installation and use of indirect</w:t>
      </w:r>
      <w:r w:rsidRPr="00283806">
        <w:rPr>
          <w:spacing w:val="40"/>
          <w:w w:val="105"/>
        </w:rPr>
        <w:t xml:space="preserve"> </w:t>
      </w:r>
      <w:r w:rsidRPr="00283806">
        <w:rPr>
          <w:w w:val="105"/>
        </w:rPr>
        <w:t xml:space="preserve">ALD systems in industrial applications, EPA notes that the information provided on indirect systems installed in some retail stores in the TSD titled </w:t>
      </w:r>
      <w:r w:rsidRPr="00283806">
        <w:rPr>
          <w:rFonts w:ascii="Book Antiqua" w:hAnsi="Book Antiqua"/>
          <w:i/>
          <w:w w:val="105"/>
        </w:rPr>
        <w:t>American Innovation and Manufacturing Act of 2020—Subsection (h): Automatic Leak</w:t>
      </w:r>
      <w:r w:rsidRPr="00283806">
        <w:rPr>
          <w:rFonts w:ascii="Book Antiqua" w:hAnsi="Book Antiqua"/>
          <w:i/>
          <w:spacing w:val="40"/>
          <w:w w:val="105"/>
        </w:rPr>
        <w:t xml:space="preserve"> </w:t>
      </w:r>
      <w:r w:rsidRPr="00283806">
        <w:rPr>
          <w:rFonts w:ascii="Book Antiqua" w:hAnsi="Book Antiqua"/>
          <w:i/>
          <w:w w:val="105"/>
        </w:rPr>
        <w:t xml:space="preserve">Detection Systems </w:t>
      </w:r>
      <w:r w:rsidRPr="00283806">
        <w:rPr>
          <w:w w:val="105"/>
        </w:rPr>
        <w:t>was exemplary only and was not intended to represent all such installations. EPA provides information</w:t>
      </w:r>
      <w:r w:rsidRPr="00283806">
        <w:rPr>
          <w:spacing w:val="40"/>
          <w:w w:val="105"/>
        </w:rPr>
        <w:t xml:space="preserve"> </w:t>
      </w:r>
      <w:r w:rsidRPr="00283806">
        <w:rPr>
          <w:w w:val="105"/>
        </w:rPr>
        <w:t>on</w:t>
      </w:r>
      <w:r w:rsidRPr="00283806">
        <w:rPr>
          <w:spacing w:val="40"/>
          <w:w w:val="105"/>
        </w:rPr>
        <w:t xml:space="preserve"> </w:t>
      </w:r>
      <w:r w:rsidRPr="00283806">
        <w:rPr>
          <w:w w:val="105"/>
        </w:rPr>
        <w:t>the</w:t>
      </w:r>
      <w:r w:rsidRPr="00283806">
        <w:rPr>
          <w:spacing w:val="40"/>
          <w:w w:val="105"/>
        </w:rPr>
        <w:t xml:space="preserve"> </w:t>
      </w:r>
      <w:r w:rsidRPr="00283806">
        <w:rPr>
          <w:w w:val="105"/>
        </w:rPr>
        <w:t>industries potentially affected by this rule both in the preamble to the proposed rule and the preamble to the final rule. A list by NAICS codes is also available in</w:t>
      </w:r>
      <w:r w:rsidRPr="00283806">
        <w:rPr>
          <w:spacing w:val="80"/>
          <w:w w:val="105"/>
        </w:rPr>
        <w:t xml:space="preserve"> </w:t>
      </w:r>
      <w:r w:rsidRPr="00283806">
        <w:rPr>
          <w:w w:val="105"/>
        </w:rPr>
        <w:t>Appendix</w:t>
      </w:r>
      <w:r w:rsidRPr="00283806">
        <w:rPr>
          <w:spacing w:val="40"/>
          <w:w w:val="105"/>
        </w:rPr>
        <w:t xml:space="preserve"> </w:t>
      </w:r>
      <w:r w:rsidRPr="00283806">
        <w:rPr>
          <w:w w:val="105"/>
        </w:rPr>
        <w:t>H</w:t>
      </w:r>
      <w:r w:rsidRPr="00283806">
        <w:rPr>
          <w:spacing w:val="40"/>
          <w:w w:val="105"/>
        </w:rPr>
        <w:t xml:space="preserve"> </w:t>
      </w:r>
      <w:r w:rsidRPr="00283806">
        <w:rPr>
          <w:w w:val="105"/>
        </w:rPr>
        <w:t>of</w:t>
      </w:r>
      <w:r w:rsidRPr="00283806">
        <w:rPr>
          <w:spacing w:val="40"/>
          <w:w w:val="105"/>
        </w:rPr>
        <w:t xml:space="preserve"> </w:t>
      </w:r>
      <w:r w:rsidRPr="00283806">
        <w:rPr>
          <w:w w:val="105"/>
        </w:rPr>
        <w:t>the</w:t>
      </w:r>
      <w:r w:rsidRPr="00283806">
        <w:rPr>
          <w:spacing w:val="40"/>
          <w:w w:val="105"/>
        </w:rPr>
        <w:t xml:space="preserve"> </w:t>
      </w:r>
      <w:r w:rsidRPr="00283806">
        <w:rPr>
          <w:w w:val="105"/>
        </w:rPr>
        <w:t>Economic</w:t>
      </w:r>
      <w:r w:rsidRPr="00283806">
        <w:rPr>
          <w:spacing w:val="40"/>
          <w:w w:val="105"/>
        </w:rPr>
        <w:t xml:space="preserve"> </w:t>
      </w:r>
      <w:r w:rsidRPr="00283806">
        <w:rPr>
          <w:w w:val="105"/>
        </w:rPr>
        <w:t>Impact and Benefits TSD. A full list of</w:t>
      </w:r>
      <w:r w:rsidRPr="00283806">
        <w:rPr>
          <w:spacing w:val="40"/>
          <w:w w:val="105"/>
        </w:rPr>
        <w:t xml:space="preserve"> </w:t>
      </w:r>
      <w:r w:rsidRPr="00283806">
        <w:rPr>
          <w:w w:val="105"/>
        </w:rPr>
        <w:t>applications in any subsector of the industry is not plausible and not</w:t>
      </w:r>
      <w:r w:rsidRPr="00283806">
        <w:rPr>
          <w:spacing w:val="80"/>
          <w:w w:val="105"/>
        </w:rPr>
        <w:t xml:space="preserve"> </w:t>
      </w:r>
      <w:r w:rsidRPr="00283806">
        <w:rPr>
          <w:w w:val="105"/>
        </w:rPr>
        <w:t>required for this rule; owners and operators whose equipment falls under the scope of the requirements (</w:t>
      </w:r>
      <w:r w:rsidRPr="00283806">
        <w:rPr>
          <w:rFonts w:ascii="Book Antiqua" w:hAnsi="Book Antiqua"/>
          <w:i/>
          <w:w w:val="105"/>
        </w:rPr>
        <w:t xml:space="preserve">e.g., </w:t>
      </w:r>
      <w:r w:rsidRPr="00283806">
        <w:rPr>
          <w:w w:val="105"/>
        </w:rPr>
        <w:t>full charge size of 1,500 pounds or more, installed on or after January 1, 2017) are required to install and use an ALD</w:t>
      </w:r>
      <w:r w:rsidRPr="00283806">
        <w:rPr>
          <w:spacing w:val="80"/>
          <w:w w:val="105"/>
        </w:rPr>
        <w:t xml:space="preserve"> </w:t>
      </w:r>
      <w:r w:rsidRPr="00283806">
        <w:rPr>
          <w:w w:val="105"/>
        </w:rPr>
        <w:t>system in the time frame set out by the final rule. The Agency reiterates that estimates in the RIA addendum and Economic</w:t>
      </w:r>
      <w:r w:rsidRPr="00283806">
        <w:rPr>
          <w:spacing w:val="40"/>
          <w:w w:val="105"/>
        </w:rPr>
        <w:t xml:space="preserve"> </w:t>
      </w:r>
      <w:r w:rsidRPr="00283806">
        <w:rPr>
          <w:w w:val="105"/>
        </w:rPr>
        <w:t>Impact</w:t>
      </w:r>
      <w:r w:rsidRPr="00283806">
        <w:rPr>
          <w:spacing w:val="40"/>
          <w:w w:val="105"/>
        </w:rPr>
        <w:t xml:space="preserve"> </w:t>
      </w:r>
      <w:r w:rsidRPr="00283806">
        <w:rPr>
          <w:w w:val="105"/>
        </w:rPr>
        <w:t>and</w:t>
      </w:r>
      <w:r w:rsidRPr="00283806">
        <w:rPr>
          <w:spacing w:val="40"/>
          <w:w w:val="105"/>
        </w:rPr>
        <w:t xml:space="preserve"> </w:t>
      </w:r>
      <w:r w:rsidRPr="00283806">
        <w:rPr>
          <w:w w:val="105"/>
        </w:rPr>
        <w:t>Benefits</w:t>
      </w:r>
      <w:r w:rsidRPr="00283806">
        <w:rPr>
          <w:spacing w:val="40"/>
          <w:w w:val="105"/>
        </w:rPr>
        <w:t xml:space="preserve"> </w:t>
      </w:r>
      <w:r w:rsidRPr="00283806">
        <w:rPr>
          <w:w w:val="105"/>
        </w:rPr>
        <w:t>TSD were provided for informational purposes and to comply with Executive Orders; the decision to require ALD systems for certain refrigerant- containing appliances and allow owners or operators to choose whether to use a direct</w:t>
      </w:r>
      <w:r w:rsidRPr="00283806">
        <w:rPr>
          <w:spacing w:val="40"/>
          <w:w w:val="105"/>
        </w:rPr>
        <w:t xml:space="preserve"> </w:t>
      </w:r>
      <w:r w:rsidRPr="00283806">
        <w:rPr>
          <w:w w:val="105"/>
        </w:rPr>
        <w:t>or</w:t>
      </w:r>
      <w:r w:rsidRPr="00283806">
        <w:rPr>
          <w:spacing w:val="40"/>
          <w:w w:val="105"/>
        </w:rPr>
        <w:t xml:space="preserve"> </w:t>
      </w:r>
      <w:r w:rsidRPr="00283806">
        <w:rPr>
          <w:w w:val="105"/>
        </w:rPr>
        <w:t>indirect</w:t>
      </w:r>
      <w:r w:rsidRPr="00283806">
        <w:rPr>
          <w:spacing w:val="40"/>
          <w:w w:val="105"/>
        </w:rPr>
        <w:t xml:space="preserve"> </w:t>
      </w:r>
      <w:r w:rsidRPr="00283806">
        <w:rPr>
          <w:w w:val="105"/>
        </w:rPr>
        <w:t>system,</w:t>
      </w:r>
      <w:r w:rsidRPr="00283806">
        <w:rPr>
          <w:spacing w:val="40"/>
          <w:w w:val="105"/>
        </w:rPr>
        <w:t xml:space="preserve"> </w:t>
      </w:r>
      <w:r w:rsidRPr="00283806">
        <w:rPr>
          <w:w w:val="105"/>
        </w:rPr>
        <w:t>as</w:t>
      </w:r>
      <w:r w:rsidRPr="00283806">
        <w:rPr>
          <w:spacing w:val="40"/>
          <w:w w:val="105"/>
        </w:rPr>
        <w:t xml:space="preserve"> </w:t>
      </w:r>
      <w:r w:rsidRPr="00283806">
        <w:rPr>
          <w:w w:val="105"/>
        </w:rPr>
        <w:t>explained in</w:t>
      </w:r>
      <w:r w:rsidRPr="00283806">
        <w:rPr>
          <w:spacing w:val="40"/>
          <w:w w:val="105"/>
        </w:rPr>
        <w:t xml:space="preserve"> </w:t>
      </w:r>
      <w:r w:rsidRPr="00283806">
        <w:rPr>
          <w:w w:val="105"/>
        </w:rPr>
        <w:t>section</w:t>
      </w:r>
      <w:r w:rsidRPr="00283806">
        <w:rPr>
          <w:spacing w:val="40"/>
          <w:w w:val="105"/>
        </w:rPr>
        <w:t xml:space="preserve"> </w:t>
      </w:r>
      <w:r w:rsidRPr="00283806">
        <w:rPr>
          <w:w w:val="105"/>
        </w:rPr>
        <w:t>IV.D.1</w:t>
      </w:r>
      <w:r w:rsidRPr="00283806">
        <w:rPr>
          <w:spacing w:val="40"/>
          <w:w w:val="105"/>
        </w:rPr>
        <w:t xml:space="preserve"> </w:t>
      </w:r>
      <w:r w:rsidRPr="00283806">
        <w:rPr>
          <w:w w:val="105"/>
        </w:rPr>
        <w:t>of</w:t>
      </w:r>
      <w:r w:rsidRPr="00283806">
        <w:rPr>
          <w:spacing w:val="40"/>
          <w:w w:val="105"/>
        </w:rPr>
        <w:t xml:space="preserve"> </w:t>
      </w:r>
      <w:r w:rsidRPr="00283806">
        <w:rPr>
          <w:w w:val="105"/>
        </w:rPr>
        <w:t>this</w:t>
      </w:r>
      <w:r w:rsidRPr="00283806">
        <w:rPr>
          <w:spacing w:val="40"/>
          <w:w w:val="105"/>
        </w:rPr>
        <w:t xml:space="preserve"> </w:t>
      </w:r>
      <w:r w:rsidRPr="00283806">
        <w:rPr>
          <w:w w:val="105"/>
        </w:rPr>
        <w:t>preamble, serves the purposes described in subsection (h)(1), including the purpose of minimizing the release of regulated substances from equipment.</w:t>
      </w:r>
    </w:p>
    <w:p w14:paraId="5EDEC092" w14:textId="77777777" w:rsidR="00D67C1E" w:rsidRPr="00283806" w:rsidRDefault="001265CA">
      <w:pPr>
        <w:pStyle w:val="BodyText"/>
        <w:spacing w:before="65" w:line="228" w:lineRule="auto"/>
        <w:ind w:left="154" w:firstLine="180"/>
      </w:pPr>
      <w:r w:rsidRPr="00283806">
        <w:rPr>
          <w:w w:val="105"/>
        </w:rPr>
        <w:t>In addition, EPA notes that the commenter did not provide specific information on ‘‘realistic’’ costs that the commenter would have EPA incorporate into the final RIA addendum. EPA disagrees with the commenter’s</w:t>
      </w:r>
      <w:r w:rsidRPr="00283806">
        <w:rPr>
          <w:spacing w:val="40"/>
          <w:w w:val="105"/>
        </w:rPr>
        <w:t xml:space="preserve"> </w:t>
      </w:r>
      <w:r w:rsidRPr="00283806">
        <w:rPr>
          <w:w w:val="105"/>
        </w:rPr>
        <w:t>assertion that the cost estimates for the installation of an indirect ALD system is below the actual costs of installation of</w:t>
      </w:r>
      <w:r w:rsidRPr="00283806">
        <w:rPr>
          <w:spacing w:val="40"/>
          <w:w w:val="105"/>
        </w:rPr>
        <w:t xml:space="preserve"> </w:t>
      </w:r>
      <w:r w:rsidRPr="00283806">
        <w:rPr>
          <w:w w:val="105"/>
        </w:rPr>
        <w:t>an indirect ALD system because existing refrigerant-containing appliances’</w:t>
      </w:r>
      <w:r w:rsidRPr="00283806">
        <w:rPr>
          <w:spacing w:val="40"/>
          <w:w w:val="105"/>
        </w:rPr>
        <w:t xml:space="preserve"> </w:t>
      </w:r>
      <w:r w:rsidRPr="00283806">
        <w:rPr>
          <w:w w:val="105"/>
        </w:rPr>
        <w:t>control modules do not have the capability to do the logic calculations necessary to detect leaks. Indirect ALD systems are software-based detection tools that communicate with existing hardware on the refrigerant-containing appliance to detect leaks. Since the Agency has changed the scope of applicability for existing refrigerant- containing appliances for the ALD installation and use requirement from</w:t>
      </w:r>
      <w:r w:rsidRPr="00283806">
        <w:rPr>
          <w:spacing w:val="40"/>
          <w:w w:val="105"/>
        </w:rPr>
        <w:t xml:space="preserve"> </w:t>
      </w:r>
      <w:r w:rsidRPr="00283806">
        <w:rPr>
          <w:w w:val="105"/>
        </w:rPr>
        <w:t>the proposal (specifically only refrigerant-containing appliances installed on or after January 1, 2017, are required to install an ALD) the control</w:t>
      </w:r>
    </w:p>
    <w:p w14:paraId="228E8A51" w14:textId="77777777" w:rsidR="00D67C1E" w:rsidRPr="00283806" w:rsidRDefault="001265CA">
      <w:pPr>
        <w:pStyle w:val="BodyText"/>
        <w:spacing w:before="133" w:line="225" w:lineRule="auto"/>
        <w:ind w:left="142" w:right="132"/>
      </w:pPr>
      <w:r w:rsidRPr="00283806">
        <w:br w:type="column"/>
      </w:r>
      <w:r w:rsidRPr="00283806">
        <w:rPr>
          <w:w w:val="105"/>
        </w:rPr>
        <w:t xml:space="preserve">modules on these appliances should be advanced enough to functionally use an indirect ALD system. Additionally, if an owner or operator were to find that a particular ALD technology (direct or indirect) would not suit </w:t>
      </w:r>
      <w:proofErr w:type="gramStart"/>
      <w:r w:rsidRPr="00283806">
        <w:rPr>
          <w:w w:val="105"/>
        </w:rPr>
        <w:t>their</w:t>
      </w:r>
      <w:proofErr w:type="gramEnd"/>
    </w:p>
    <w:p w14:paraId="515D00C5" w14:textId="77777777" w:rsidR="00D67C1E" w:rsidRPr="00283806" w:rsidRDefault="001265CA">
      <w:pPr>
        <w:pStyle w:val="BodyText"/>
        <w:spacing w:line="223" w:lineRule="auto"/>
        <w:ind w:left="142" w:right="174"/>
      </w:pPr>
      <w:r w:rsidRPr="00283806">
        <w:rPr>
          <w:w w:val="105"/>
        </w:rPr>
        <w:t xml:space="preserve">refrigerant-containing </w:t>
      </w:r>
      <w:proofErr w:type="gramStart"/>
      <w:r w:rsidRPr="00283806">
        <w:rPr>
          <w:w w:val="105"/>
        </w:rPr>
        <w:t>appliance</w:t>
      </w:r>
      <w:proofErr w:type="gramEnd"/>
      <w:r w:rsidRPr="00283806">
        <w:rPr>
          <w:w w:val="105"/>
        </w:rPr>
        <w:t>, they have</w:t>
      </w:r>
      <w:r w:rsidRPr="00283806">
        <w:rPr>
          <w:spacing w:val="40"/>
          <w:w w:val="105"/>
        </w:rPr>
        <w:t xml:space="preserve"> </w:t>
      </w:r>
      <w:r w:rsidRPr="00283806">
        <w:rPr>
          <w:w w:val="105"/>
        </w:rPr>
        <w:t>the</w:t>
      </w:r>
      <w:r w:rsidRPr="00283806">
        <w:rPr>
          <w:spacing w:val="40"/>
          <w:w w:val="105"/>
        </w:rPr>
        <w:t xml:space="preserve"> </w:t>
      </w:r>
      <w:r w:rsidRPr="00283806">
        <w:rPr>
          <w:w w:val="105"/>
        </w:rPr>
        <w:t>option</w:t>
      </w:r>
      <w:r w:rsidRPr="00283806">
        <w:rPr>
          <w:spacing w:val="40"/>
          <w:w w:val="105"/>
        </w:rPr>
        <w:t xml:space="preserve"> </w:t>
      </w:r>
      <w:r w:rsidRPr="00283806">
        <w:rPr>
          <w:w w:val="105"/>
        </w:rPr>
        <w:t>of</w:t>
      </w:r>
      <w:r w:rsidRPr="00283806">
        <w:rPr>
          <w:spacing w:val="40"/>
          <w:w w:val="105"/>
        </w:rPr>
        <w:t xml:space="preserve"> </w:t>
      </w:r>
      <w:r w:rsidRPr="00283806">
        <w:rPr>
          <w:w w:val="105"/>
        </w:rPr>
        <w:t>choosing</w:t>
      </w:r>
      <w:r w:rsidRPr="00283806">
        <w:rPr>
          <w:spacing w:val="40"/>
          <w:w w:val="105"/>
        </w:rPr>
        <w:t xml:space="preserve"> </w:t>
      </w:r>
      <w:r w:rsidRPr="00283806">
        <w:rPr>
          <w:w w:val="105"/>
        </w:rPr>
        <w:t xml:space="preserve">another ALD technology to meet the </w:t>
      </w:r>
      <w:proofErr w:type="gramStart"/>
      <w:r w:rsidRPr="00283806">
        <w:rPr>
          <w:w w:val="105"/>
        </w:rPr>
        <w:t>rule’s</w:t>
      </w:r>
      <w:proofErr w:type="gramEnd"/>
      <w:r w:rsidRPr="00283806">
        <w:rPr>
          <w:w w:val="105"/>
        </w:rPr>
        <w:t xml:space="preserve"> requirements. Furthermore, the reasons for the requirements for ALD system, as explained in section IV.D.1 of this document, are not based on keeping below any specific cost; rather, it is</w:t>
      </w:r>
      <w:r w:rsidRPr="00283806">
        <w:rPr>
          <w:spacing w:val="80"/>
          <w:w w:val="105"/>
        </w:rPr>
        <w:t xml:space="preserve"> </w:t>
      </w:r>
      <w:r w:rsidRPr="00283806">
        <w:rPr>
          <w:w w:val="105"/>
        </w:rPr>
        <w:t xml:space="preserve">based on serving the purposes described in subsection (h), as previously stated. Further discussion on the Agency’s rationale for requiring the use of ALD systems for certain refrigerant- containing appliances can be found in section IV.D.1. In reference to the comment regarding EPA’s numbers used in </w:t>
      </w:r>
      <w:r w:rsidRPr="00283806">
        <w:rPr>
          <w:rFonts w:ascii="Book Antiqua" w:hAnsi="Book Antiqua"/>
          <w:i/>
          <w:w w:val="105"/>
        </w:rPr>
        <w:t xml:space="preserve">Table A–4—Unit Cost Assumptions </w:t>
      </w:r>
      <w:r w:rsidRPr="00283806">
        <w:rPr>
          <w:w w:val="105"/>
        </w:rPr>
        <w:t>table found in the RIA addendum, EPA acknowledges the cited source was not included in the docket at proposal and notes that it has docketed the relevant information from the document and corrected the citation (titled</w:t>
      </w:r>
      <w:r w:rsidRPr="00283806">
        <w:rPr>
          <w:spacing w:val="40"/>
          <w:w w:val="105"/>
        </w:rPr>
        <w:t xml:space="preserve"> </w:t>
      </w:r>
      <w:r w:rsidRPr="00283806">
        <w:rPr>
          <w:rFonts w:ascii="Book Antiqua" w:hAnsi="Book Antiqua"/>
          <w:i/>
          <w:w w:val="105"/>
        </w:rPr>
        <w:t>Supplemental</w:t>
      </w:r>
      <w:r w:rsidRPr="00283806">
        <w:rPr>
          <w:rFonts w:ascii="Book Antiqua" w:hAnsi="Book Antiqua"/>
          <w:i/>
          <w:spacing w:val="26"/>
          <w:w w:val="105"/>
        </w:rPr>
        <w:t xml:space="preserve">  </w:t>
      </w:r>
      <w:r w:rsidRPr="00283806">
        <w:rPr>
          <w:rFonts w:ascii="Book Antiqua" w:hAnsi="Book Antiqua"/>
          <w:i/>
          <w:w w:val="105"/>
        </w:rPr>
        <w:t>Information</w:t>
      </w:r>
      <w:r w:rsidRPr="00283806">
        <w:rPr>
          <w:rFonts w:ascii="Book Antiqua" w:hAnsi="Book Antiqua"/>
          <w:i/>
          <w:spacing w:val="27"/>
          <w:w w:val="105"/>
        </w:rPr>
        <w:t xml:space="preserve">  </w:t>
      </w:r>
      <w:r w:rsidRPr="00283806">
        <w:rPr>
          <w:rFonts w:ascii="Book Antiqua" w:hAnsi="Book Antiqua"/>
          <w:i/>
          <w:w w:val="105"/>
        </w:rPr>
        <w:t>on</w:t>
      </w:r>
      <w:r w:rsidRPr="00283806">
        <w:rPr>
          <w:rFonts w:ascii="Book Antiqua" w:hAnsi="Book Antiqua"/>
          <w:i/>
          <w:spacing w:val="80"/>
          <w:w w:val="150"/>
        </w:rPr>
        <w:t xml:space="preserve"> </w:t>
      </w:r>
      <w:r w:rsidRPr="00283806">
        <w:rPr>
          <w:rFonts w:ascii="Book Antiqua" w:hAnsi="Book Antiqua"/>
          <w:i/>
          <w:w w:val="105"/>
        </w:rPr>
        <w:t xml:space="preserve">Automatic Leak Detection Systems </w:t>
      </w:r>
      <w:r w:rsidRPr="00283806">
        <w:rPr>
          <w:w w:val="105"/>
        </w:rPr>
        <w:t>available in the docket (EPA–HQ–OAR– 2022–0606)). The information used was accurately described and summarized in the draft RIA addendum for the</w:t>
      </w:r>
      <w:r w:rsidRPr="00283806">
        <w:rPr>
          <w:spacing w:val="80"/>
          <w:w w:val="105"/>
        </w:rPr>
        <w:t xml:space="preserve"> </w:t>
      </w:r>
      <w:r w:rsidRPr="00283806">
        <w:rPr>
          <w:w w:val="105"/>
        </w:rPr>
        <w:t>proposed rule and likewise in the</w:t>
      </w:r>
      <w:r w:rsidRPr="00283806">
        <w:rPr>
          <w:spacing w:val="40"/>
          <w:w w:val="105"/>
        </w:rPr>
        <w:t xml:space="preserve"> </w:t>
      </w:r>
      <w:r w:rsidRPr="00283806">
        <w:rPr>
          <w:w w:val="105"/>
        </w:rPr>
        <w:t>analysis for the final rule.</w:t>
      </w:r>
    </w:p>
    <w:p w14:paraId="77F35A02" w14:textId="77777777" w:rsidR="00D67C1E" w:rsidRPr="00283806" w:rsidRDefault="001265CA">
      <w:pPr>
        <w:pStyle w:val="BodyText"/>
        <w:spacing w:before="18" w:line="223" w:lineRule="auto"/>
        <w:ind w:left="142" w:right="141" w:firstLine="180"/>
      </w:pPr>
      <w:r w:rsidRPr="00283806">
        <w:rPr>
          <w:rFonts w:ascii="Book Antiqua" w:hAnsi="Book Antiqua"/>
          <w:i/>
          <w:w w:val="105"/>
        </w:rPr>
        <w:t xml:space="preserve">Comment: </w:t>
      </w:r>
      <w:r w:rsidRPr="00283806">
        <w:rPr>
          <w:w w:val="105"/>
        </w:rPr>
        <w:t>A commenter requested a 2,000-pound threshold if EPA maintains the ALD installation requirement for some appliances. The commenter asserted that EPA’s RIA suggested that thresholds below 2,000 pounds are not cost-effective. The commenter also asserted EPA should further evaluate</w:t>
      </w:r>
      <w:r w:rsidRPr="00283806">
        <w:rPr>
          <w:spacing w:val="80"/>
          <w:w w:val="150"/>
        </w:rPr>
        <w:t xml:space="preserve"> </w:t>
      </w:r>
      <w:r w:rsidRPr="00283806">
        <w:rPr>
          <w:w w:val="105"/>
        </w:rPr>
        <w:t>the cost-effectiveness of a threshold higher than 2,000 pounds and, at a minimum, should not finalize any threshold below 2,000 pounds.</w:t>
      </w:r>
    </w:p>
    <w:p w14:paraId="4DD0F3C4" w14:textId="77777777" w:rsidR="00D67C1E" w:rsidRPr="00283806" w:rsidRDefault="001265CA">
      <w:pPr>
        <w:pStyle w:val="BodyText"/>
        <w:spacing w:line="225" w:lineRule="auto"/>
        <w:ind w:left="142" w:right="181" w:firstLine="180"/>
      </w:pPr>
      <w:r w:rsidRPr="00283806">
        <w:rPr>
          <w:rFonts w:ascii="Book Antiqua"/>
          <w:i/>
          <w:w w:val="105"/>
        </w:rPr>
        <w:t xml:space="preserve">Response: </w:t>
      </w:r>
      <w:r w:rsidRPr="00283806">
        <w:rPr>
          <w:w w:val="105"/>
        </w:rPr>
        <w:t>As discussed further in section IV.D.1 of this preamble, the Agency is finalizing the 1,500-pound threshold for IPR and commercial refrigeration appliances containing an HFC</w:t>
      </w:r>
      <w:r w:rsidRPr="00283806">
        <w:rPr>
          <w:spacing w:val="38"/>
          <w:w w:val="105"/>
        </w:rPr>
        <w:t xml:space="preserve"> </w:t>
      </w:r>
      <w:r w:rsidRPr="00283806">
        <w:rPr>
          <w:w w:val="105"/>
        </w:rPr>
        <w:t>or</w:t>
      </w:r>
      <w:r w:rsidRPr="00283806">
        <w:rPr>
          <w:spacing w:val="38"/>
          <w:w w:val="105"/>
        </w:rPr>
        <w:t xml:space="preserve"> </w:t>
      </w:r>
      <w:r w:rsidRPr="00283806">
        <w:rPr>
          <w:w w:val="105"/>
        </w:rPr>
        <w:t>substitute</w:t>
      </w:r>
      <w:r w:rsidRPr="00283806">
        <w:rPr>
          <w:spacing w:val="38"/>
          <w:w w:val="105"/>
        </w:rPr>
        <w:t xml:space="preserve"> </w:t>
      </w:r>
      <w:r w:rsidRPr="00283806">
        <w:rPr>
          <w:w w:val="105"/>
        </w:rPr>
        <w:t>for</w:t>
      </w:r>
      <w:r w:rsidRPr="00283806">
        <w:rPr>
          <w:spacing w:val="38"/>
          <w:w w:val="105"/>
        </w:rPr>
        <w:t xml:space="preserve"> </w:t>
      </w:r>
      <w:r w:rsidRPr="00283806">
        <w:rPr>
          <w:w w:val="105"/>
        </w:rPr>
        <w:t>an</w:t>
      </w:r>
      <w:r w:rsidRPr="00283806">
        <w:rPr>
          <w:spacing w:val="38"/>
          <w:w w:val="105"/>
        </w:rPr>
        <w:t xml:space="preserve"> </w:t>
      </w:r>
      <w:r w:rsidRPr="00283806">
        <w:rPr>
          <w:w w:val="105"/>
        </w:rPr>
        <w:t>HFC</w:t>
      </w:r>
      <w:r w:rsidRPr="00283806">
        <w:rPr>
          <w:spacing w:val="38"/>
          <w:w w:val="105"/>
        </w:rPr>
        <w:t xml:space="preserve"> </w:t>
      </w:r>
      <w:r w:rsidRPr="00283806">
        <w:rPr>
          <w:w w:val="105"/>
        </w:rPr>
        <w:t>with</w:t>
      </w:r>
      <w:r w:rsidRPr="00283806">
        <w:rPr>
          <w:spacing w:val="38"/>
          <w:w w:val="105"/>
        </w:rPr>
        <w:t xml:space="preserve"> </w:t>
      </w:r>
      <w:r w:rsidRPr="00283806">
        <w:rPr>
          <w:w w:val="105"/>
        </w:rPr>
        <w:t>a GWP greater than 53 as proposed. In the RIA addendum and Economic Impact</w:t>
      </w:r>
      <w:r w:rsidRPr="00283806">
        <w:rPr>
          <w:spacing w:val="80"/>
          <w:w w:val="105"/>
        </w:rPr>
        <w:t xml:space="preserve"> </w:t>
      </w:r>
      <w:r w:rsidRPr="00283806">
        <w:rPr>
          <w:w w:val="105"/>
        </w:rPr>
        <w:t xml:space="preserve">and Benefits TSD for the proposed rulemaking, the Agency provided information on the costs and benefits of choosing a different threshold; however, EPA notes that the figures presented in the RIA are for informational purposes and </w:t>
      </w:r>
      <w:proofErr w:type="gramStart"/>
      <w:r w:rsidRPr="00283806">
        <w:rPr>
          <w:w w:val="105"/>
        </w:rPr>
        <w:t>to comply</w:t>
      </w:r>
      <w:proofErr w:type="gramEnd"/>
      <w:r w:rsidRPr="00283806">
        <w:rPr>
          <w:w w:val="105"/>
        </w:rPr>
        <w:t xml:space="preserve"> with Executive Orders</w:t>
      </w:r>
      <w:r w:rsidRPr="00283806">
        <w:rPr>
          <w:spacing w:val="80"/>
          <w:w w:val="105"/>
        </w:rPr>
        <w:t xml:space="preserve"> </w:t>
      </w:r>
      <w:r w:rsidRPr="00283806">
        <w:rPr>
          <w:w w:val="105"/>
        </w:rPr>
        <w:t>and were not used as a record basis for deciding the threshold for ALD installation requirements. When</w:t>
      </w:r>
      <w:r w:rsidRPr="00283806">
        <w:rPr>
          <w:spacing w:val="40"/>
          <w:w w:val="105"/>
        </w:rPr>
        <w:t xml:space="preserve"> </w:t>
      </w:r>
      <w:r w:rsidRPr="00283806">
        <w:rPr>
          <w:w w:val="105"/>
        </w:rPr>
        <w:t>deciding the charge size threshold for</w:t>
      </w:r>
      <w:r w:rsidRPr="00283806">
        <w:rPr>
          <w:spacing w:val="40"/>
          <w:w w:val="105"/>
        </w:rPr>
        <w:t xml:space="preserve"> </w:t>
      </w:r>
      <w:r w:rsidRPr="00283806">
        <w:rPr>
          <w:w w:val="105"/>
        </w:rPr>
        <w:t>IPR and commercial refrigeration</w:t>
      </w:r>
    </w:p>
    <w:p w14:paraId="6424758D"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06" w:space="40"/>
            <w:col w:w="3512" w:space="39"/>
            <w:col w:w="3623"/>
          </w:cols>
        </w:sectPr>
      </w:pPr>
    </w:p>
    <w:p w14:paraId="65BE89C6" w14:textId="77777777" w:rsidR="00D67C1E" w:rsidRPr="00283806" w:rsidRDefault="001265CA">
      <w:pPr>
        <w:pStyle w:val="BodyText"/>
        <w:spacing w:before="134" w:line="228" w:lineRule="auto"/>
        <w:ind w:right="17"/>
      </w:pPr>
      <w:r w:rsidRPr="00283806">
        <w:rPr>
          <w:w w:val="105"/>
        </w:rPr>
        <w:lastRenderedPageBreak/>
        <w:t>appliances subject to this provision EPA considered the relative risks of leaks from larger refrigerant-containing appliances and the supply of ALD</w:t>
      </w:r>
      <w:r w:rsidRPr="00283806">
        <w:rPr>
          <w:spacing w:val="40"/>
          <w:w w:val="105"/>
        </w:rPr>
        <w:t xml:space="preserve"> </w:t>
      </w:r>
      <w:r w:rsidRPr="00283806">
        <w:rPr>
          <w:w w:val="105"/>
        </w:rPr>
        <w:t>systems</w:t>
      </w:r>
      <w:r w:rsidRPr="00283806">
        <w:rPr>
          <w:spacing w:val="40"/>
          <w:w w:val="105"/>
        </w:rPr>
        <w:t xml:space="preserve"> </w:t>
      </w:r>
      <w:r w:rsidRPr="00283806">
        <w:rPr>
          <w:w w:val="105"/>
        </w:rPr>
        <w:t>to</w:t>
      </w:r>
      <w:r w:rsidRPr="00283806">
        <w:rPr>
          <w:spacing w:val="40"/>
          <w:w w:val="105"/>
        </w:rPr>
        <w:t xml:space="preserve"> </w:t>
      </w:r>
      <w:r w:rsidRPr="00283806">
        <w:rPr>
          <w:w w:val="105"/>
        </w:rPr>
        <w:t>facilitate</w:t>
      </w:r>
      <w:r w:rsidRPr="00283806">
        <w:rPr>
          <w:spacing w:val="40"/>
          <w:w w:val="105"/>
        </w:rPr>
        <w:t xml:space="preserve"> </w:t>
      </w:r>
      <w:r w:rsidRPr="00283806">
        <w:rPr>
          <w:w w:val="105"/>
        </w:rPr>
        <w:t>compliance</w:t>
      </w:r>
      <w:r w:rsidRPr="00283806">
        <w:rPr>
          <w:spacing w:val="40"/>
          <w:w w:val="105"/>
        </w:rPr>
        <w:t xml:space="preserve"> </w:t>
      </w:r>
      <w:r w:rsidRPr="00283806">
        <w:rPr>
          <w:w w:val="105"/>
        </w:rPr>
        <w:t>with the provision. With those</w:t>
      </w:r>
      <w:r w:rsidRPr="00283806">
        <w:rPr>
          <w:spacing w:val="80"/>
          <w:w w:val="105"/>
        </w:rPr>
        <w:t xml:space="preserve"> </w:t>
      </w:r>
      <w:r w:rsidRPr="00283806">
        <w:rPr>
          <w:w w:val="105"/>
        </w:rPr>
        <w:t>considerations, EPA finds the 1,500- pound threshold appropriate for serving the purposes described in subsection (h)(1), including the purpose of minimizing the release of regulated substances from equipment.</w:t>
      </w:r>
    </w:p>
    <w:p w14:paraId="59B84BD1" w14:textId="77777777" w:rsidR="00D67C1E" w:rsidRPr="00283806" w:rsidRDefault="001265CA">
      <w:pPr>
        <w:pStyle w:val="BodyText"/>
        <w:spacing w:before="4" w:line="225" w:lineRule="auto"/>
        <w:ind w:right="7" w:firstLine="180"/>
      </w:pPr>
      <w:r w:rsidRPr="00283806">
        <w:rPr>
          <w:rFonts w:ascii="Book Antiqua"/>
          <w:i/>
          <w:w w:val="105"/>
        </w:rPr>
        <w:t xml:space="preserve">Comment: </w:t>
      </w:r>
      <w:r w:rsidRPr="00283806">
        <w:rPr>
          <w:w w:val="105"/>
        </w:rPr>
        <w:t>A commenter stated that</w:t>
      </w:r>
      <w:r w:rsidRPr="00283806">
        <w:rPr>
          <w:spacing w:val="80"/>
          <w:w w:val="105"/>
        </w:rPr>
        <w:t xml:space="preserve"> </w:t>
      </w:r>
      <w:r w:rsidRPr="00283806">
        <w:rPr>
          <w:w w:val="105"/>
        </w:rPr>
        <w:t>the proposed rule would require carriers in the commercial airline industry that maintain large chiller systems at</w:t>
      </w:r>
      <w:r w:rsidRPr="00283806">
        <w:rPr>
          <w:spacing w:val="80"/>
          <w:w w:val="105"/>
        </w:rPr>
        <w:t xml:space="preserve"> </w:t>
      </w:r>
      <w:r w:rsidRPr="00283806">
        <w:rPr>
          <w:w w:val="105"/>
        </w:rPr>
        <w:t xml:space="preserve">airports to install ALD systems at high </w:t>
      </w:r>
      <w:r w:rsidRPr="00283806">
        <w:rPr>
          <w:spacing w:val="-2"/>
          <w:w w:val="105"/>
        </w:rPr>
        <w:t>costs.</w:t>
      </w:r>
    </w:p>
    <w:p w14:paraId="0E41776E" w14:textId="77777777" w:rsidR="00D67C1E" w:rsidRPr="00283806" w:rsidRDefault="001265CA">
      <w:pPr>
        <w:pStyle w:val="BodyText"/>
        <w:spacing w:before="8" w:line="225" w:lineRule="auto"/>
        <w:ind w:right="108" w:firstLine="180"/>
      </w:pPr>
      <w:r w:rsidRPr="00283806">
        <w:rPr>
          <w:rFonts w:ascii="Book Antiqua"/>
          <w:i/>
          <w:w w:val="105"/>
        </w:rPr>
        <w:t xml:space="preserve">Response: </w:t>
      </w:r>
      <w:r w:rsidRPr="00283806">
        <w:rPr>
          <w:w w:val="105"/>
        </w:rPr>
        <w:t>EPA responds that the commenter did not provide any information or data to support their assertions regarding the effects of the costs associated with the installation</w:t>
      </w:r>
      <w:r w:rsidRPr="00283806">
        <w:rPr>
          <w:spacing w:val="80"/>
          <w:w w:val="105"/>
        </w:rPr>
        <w:t xml:space="preserve"> </w:t>
      </w:r>
      <w:r w:rsidRPr="00283806">
        <w:rPr>
          <w:w w:val="105"/>
        </w:rPr>
        <w:t>and use of ALD systems for chillers at airports on the commercial airline industry, nor did they provide any information indicating how or why EPA should change the proposed rule to account for these costs.</w:t>
      </w:r>
    </w:p>
    <w:p w14:paraId="008F7D06" w14:textId="77777777" w:rsidR="00D67C1E" w:rsidRPr="00283806" w:rsidRDefault="001265CA">
      <w:pPr>
        <w:pStyle w:val="BodyText"/>
        <w:spacing w:before="19" w:line="220" w:lineRule="auto"/>
        <w:ind w:right="128" w:firstLine="180"/>
      </w:pPr>
      <w:r w:rsidRPr="00283806">
        <w:rPr>
          <w:rFonts w:ascii="Book Antiqua"/>
          <w:i/>
          <w:w w:val="105"/>
        </w:rPr>
        <w:t xml:space="preserve">Comment: </w:t>
      </w:r>
      <w:r w:rsidRPr="00283806">
        <w:rPr>
          <w:w w:val="105"/>
        </w:rPr>
        <w:t>A commenter claimed that mandating leak searches and adding</w:t>
      </w:r>
      <w:r w:rsidRPr="00283806">
        <w:rPr>
          <w:spacing w:val="40"/>
          <w:w w:val="105"/>
        </w:rPr>
        <w:t xml:space="preserve"> </w:t>
      </w:r>
      <w:r w:rsidRPr="00283806">
        <w:rPr>
          <w:w w:val="105"/>
        </w:rPr>
        <w:t>ALD further adds to consumer costs.</w:t>
      </w:r>
    </w:p>
    <w:p w14:paraId="1BBBFC4A" w14:textId="77777777" w:rsidR="00D67C1E" w:rsidRPr="00283806" w:rsidRDefault="001265CA">
      <w:pPr>
        <w:pStyle w:val="BodyText"/>
        <w:spacing w:before="12" w:line="225" w:lineRule="auto"/>
        <w:ind w:firstLine="180"/>
      </w:pPr>
      <w:r w:rsidRPr="00283806">
        <w:rPr>
          <w:rFonts w:ascii="Book Antiqua"/>
          <w:i/>
          <w:w w:val="105"/>
        </w:rPr>
        <w:t xml:space="preserve">Response: </w:t>
      </w:r>
      <w:r w:rsidRPr="00283806">
        <w:rPr>
          <w:w w:val="105"/>
        </w:rPr>
        <w:t xml:space="preserve">EPA responds that the commenter did not provide sufficient information to describe why or how the costs </w:t>
      </w:r>
      <w:proofErr w:type="gramStart"/>
      <w:r w:rsidRPr="00283806">
        <w:rPr>
          <w:w w:val="105"/>
        </w:rPr>
        <w:t>related</w:t>
      </w:r>
      <w:proofErr w:type="gramEnd"/>
      <w:r w:rsidRPr="00283806">
        <w:rPr>
          <w:w w:val="105"/>
        </w:rPr>
        <w:t xml:space="preserve"> the leak repair and ALD requirements would lead to more costs and thus be passed onto consumers.</w:t>
      </w:r>
    </w:p>
    <w:p w14:paraId="15CA63B3" w14:textId="77777777" w:rsidR="00D67C1E" w:rsidRPr="00283806" w:rsidRDefault="001265CA">
      <w:pPr>
        <w:pStyle w:val="BodyText"/>
        <w:spacing w:line="228" w:lineRule="auto"/>
        <w:ind w:right="97"/>
      </w:pPr>
      <w:r w:rsidRPr="00283806">
        <w:rPr>
          <w:w w:val="105"/>
        </w:rPr>
        <w:t>EPA understands that refrigerant and the maintenance of refrigerant systems are a small percentage of the overall costs of owning such refrigerant- containing appliances. The effective repair of leaks and the earlier detection of leaks via ALD systems is anticipated to lead to more cost savings for owners and operators, as properly functioning refrigerant-containing appliances are more</w:t>
      </w:r>
      <w:r w:rsidRPr="00283806">
        <w:rPr>
          <w:spacing w:val="-1"/>
          <w:w w:val="105"/>
        </w:rPr>
        <w:t xml:space="preserve"> </w:t>
      </w:r>
      <w:r w:rsidRPr="00283806">
        <w:rPr>
          <w:w w:val="105"/>
        </w:rPr>
        <w:t>energy</w:t>
      </w:r>
      <w:r w:rsidRPr="00283806">
        <w:rPr>
          <w:spacing w:val="-1"/>
          <w:w w:val="105"/>
        </w:rPr>
        <w:t xml:space="preserve"> </w:t>
      </w:r>
      <w:r w:rsidRPr="00283806">
        <w:rPr>
          <w:w w:val="105"/>
        </w:rPr>
        <w:t>efficient</w:t>
      </w:r>
      <w:r w:rsidRPr="00283806">
        <w:rPr>
          <w:spacing w:val="-1"/>
          <w:w w:val="105"/>
        </w:rPr>
        <w:t xml:space="preserve"> </w:t>
      </w:r>
      <w:r w:rsidRPr="00283806">
        <w:rPr>
          <w:w w:val="105"/>
        </w:rPr>
        <w:t>and</w:t>
      </w:r>
      <w:r w:rsidRPr="00283806">
        <w:rPr>
          <w:spacing w:val="-1"/>
          <w:w w:val="105"/>
        </w:rPr>
        <w:t xml:space="preserve"> </w:t>
      </w:r>
      <w:r w:rsidRPr="00283806">
        <w:rPr>
          <w:w w:val="105"/>
        </w:rPr>
        <w:t>require</w:t>
      </w:r>
      <w:r w:rsidRPr="00283806">
        <w:rPr>
          <w:spacing w:val="-1"/>
          <w:w w:val="105"/>
        </w:rPr>
        <w:t xml:space="preserve"> </w:t>
      </w:r>
      <w:r w:rsidRPr="00283806">
        <w:rPr>
          <w:w w:val="105"/>
        </w:rPr>
        <w:t>fewer refrigerant additions.</w:t>
      </w:r>
    </w:p>
    <w:p w14:paraId="105F8D94" w14:textId="77777777" w:rsidR="00D67C1E" w:rsidRPr="00283806" w:rsidRDefault="001265CA">
      <w:pPr>
        <w:pStyle w:val="BodyText"/>
        <w:spacing w:before="2" w:line="225" w:lineRule="auto"/>
        <w:ind w:right="57" w:firstLine="180"/>
      </w:pPr>
      <w:r w:rsidRPr="00283806">
        <w:rPr>
          <w:rFonts w:ascii="Book Antiqua" w:hAnsi="Book Antiqua"/>
          <w:i/>
          <w:w w:val="105"/>
        </w:rPr>
        <w:t xml:space="preserve">Comment: </w:t>
      </w:r>
      <w:r w:rsidRPr="00283806">
        <w:rPr>
          <w:w w:val="105"/>
        </w:rPr>
        <w:t>One commenter suggested that EPA provided no proof that the objectives noted in the proposed rule for reclamation to bolster the current</w:t>
      </w:r>
      <w:r w:rsidRPr="00283806">
        <w:rPr>
          <w:spacing w:val="80"/>
          <w:w w:val="105"/>
        </w:rPr>
        <w:t xml:space="preserve"> </w:t>
      </w:r>
      <w:r w:rsidRPr="00283806">
        <w:rPr>
          <w:w w:val="105"/>
        </w:rPr>
        <w:t>supply of HFCs with recovered and reclaimed refrigerants from existing systems, support a smooth transition to substitutes for HFCs, minimize</w:t>
      </w:r>
      <w:r w:rsidRPr="00283806">
        <w:rPr>
          <w:spacing w:val="80"/>
          <w:w w:val="105"/>
        </w:rPr>
        <w:t xml:space="preserve"> </w:t>
      </w:r>
      <w:r w:rsidRPr="00283806">
        <w:rPr>
          <w:w w:val="105"/>
        </w:rPr>
        <w:t>disruption of the current capital stock of equipment</w:t>
      </w:r>
      <w:r w:rsidRPr="00283806">
        <w:rPr>
          <w:spacing w:val="40"/>
          <w:w w:val="105"/>
        </w:rPr>
        <w:t xml:space="preserve"> </w:t>
      </w:r>
      <w:r w:rsidRPr="00283806">
        <w:rPr>
          <w:w w:val="105"/>
        </w:rPr>
        <w:t>by</w:t>
      </w:r>
      <w:r w:rsidRPr="00283806">
        <w:rPr>
          <w:spacing w:val="40"/>
          <w:w w:val="105"/>
        </w:rPr>
        <w:t xml:space="preserve"> </w:t>
      </w:r>
      <w:r w:rsidRPr="00283806">
        <w:rPr>
          <w:w w:val="105"/>
        </w:rPr>
        <w:t>allowing</w:t>
      </w:r>
      <w:r w:rsidRPr="00283806">
        <w:rPr>
          <w:spacing w:val="40"/>
          <w:w w:val="105"/>
        </w:rPr>
        <w:t xml:space="preserve"> </w:t>
      </w:r>
      <w:r w:rsidRPr="00283806">
        <w:rPr>
          <w:w w:val="105"/>
        </w:rPr>
        <w:t>its</w:t>
      </w:r>
      <w:r w:rsidRPr="00283806">
        <w:rPr>
          <w:spacing w:val="40"/>
          <w:w w:val="105"/>
        </w:rPr>
        <w:t xml:space="preserve"> </w:t>
      </w:r>
      <w:r w:rsidRPr="00283806">
        <w:rPr>
          <w:w w:val="105"/>
        </w:rPr>
        <w:t>continued use with existing refrigerant supplies, avoid supply shortages of virgin refrigerants, and insulate the industry against price spikes that could affect the servicing of existing systems using HFCs can be achieved. The commenter also claimed that EPA’s claims of cost-</w:t>
      </w:r>
      <w:r w:rsidRPr="00283806">
        <w:rPr>
          <w:spacing w:val="80"/>
          <w:w w:val="105"/>
        </w:rPr>
        <w:t xml:space="preserve"> </w:t>
      </w:r>
      <w:r w:rsidRPr="00283806">
        <w:rPr>
          <w:w w:val="105"/>
        </w:rPr>
        <w:t>savings are contradicted by the RIA,</w:t>
      </w:r>
    </w:p>
    <w:p w14:paraId="3CC723CC" w14:textId="77777777" w:rsidR="00D67C1E" w:rsidRPr="00283806" w:rsidRDefault="001265CA">
      <w:pPr>
        <w:pStyle w:val="BodyText"/>
        <w:spacing w:before="135" w:line="225" w:lineRule="auto"/>
        <w:ind w:left="144"/>
      </w:pPr>
      <w:r w:rsidRPr="00283806">
        <w:br w:type="column"/>
      </w:r>
      <w:r w:rsidRPr="00283806">
        <w:rPr>
          <w:w w:val="105"/>
        </w:rPr>
        <w:t>which did not monetize any of the supposed benefits.</w:t>
      </w:r>
    </w:p>
    <w:p w14:paraId="3EB50DB5" w14:textId="77777777" w:rsidR="00D67C1E" w:rsidRPr="00283806" w:rsidRDefault="001265CA">
      <w:pPr>
        <w:pStyle w:val="BodyText"/>
        <w:spacing w:line="213" w:lineRule="auto"/>
        <w:ind w:left="144" w:firstLine="180"/>
      </w:pPr>
      <w:r w:rsidRPr="00283806">
        <w:rPr>
          <w:rFonts w:ascii="Book Antiqua"/>
          <w:i/>
          <w:w w:val="105"/>
        </w:rPr>
        <w:t xml:space="preserve">Response: </w:t>
      </w:r>
      <w:r w:rsidRPr="00283806">
        <w:rPr>
          <w:w w:val="105"/>
        </w:rPr>
        <w:t>EPA disagrees with the commenter</w:t>
      </w:r>
      <w:r w:rsidRPr="00283806">
        <w:rPr>
          <w:spacing w:val="1"/>
          <w:w w:val="105"/>
        </w:rPr>
        <w:t xml:space="preserve"> </w:t>
      </w:r>
      <w:r w:rsidRPr="00283806">
        <w:rPr>
          <w:w w:val="105"/>
        </w:rPr>
        <w:t>and</w:t>
      </w:r>
      <w:r w:rsidRPr="00283806">
        <w:rPr>
          <w:spacing w:val="2"/>
          <w:w w:val="105"/>
        </w:rPr>
        <w:t xml:space="preserve"> </w:t>
      </w:r>
      <w:r w:rsidRPr="00283806">
        <w:rPr>
          <w:w w:val="105"/>
        </w:rPr>
        <w:t>directs</w:t>
      </w:r>
      <w:r w:rsidRPr="00283806">
        <w:rPr>
          <w:spacing w:val="2"/>
          <w:w w:val="105"/>
        </w:rPr>
        <w:t xml:space="preserve"> </w:t>
      </w:r>
      <w:r w:rsidRPr="00283806">
        <w:rPr>
          <w:w w:val="105"/>
        </w:rPr>
        <w:t>the</w:t>
      </w:r>
      <w:r w:rsidRPr="00283806">
        <w:rPr>
          <w:spacing w:val="2"/>
          <w:w w:val="105"/>
        </w:rPr>
        <w:t xml:space="preserve"> </w:t>
      </w:r>
      <w:r w:rsidRPr="00283806">
        <w:rPr>
          <w:w w:val="105"/>
        </w:rPr>
        <w:t>reader</w:t>
      </w:r>
      <w:r w:rsidRPr="00283806">
        <w:rPr>
          <w:spacing w:val="2"/>
          <w:w w:val="105"/>
        </w:rPr>
        <w:t xml:space="preserve"> </w:t>
      </w:r>
      <w:r w:rsidRPr="00283806">
        <w:rPr>
          <w:spacing w:val="-5"/>
          <w:w w:val="105"/>
        </w:rPr>
        <w:t>to</w:t>
      </w:r>
    </w:p>
    <w:p w14:paraId="42DBAA93" w14:textId="77777777" w:rsidR="00D67C1E" w:rsidRPr="00283806" w:rsidRDefault="001265CA">
      <w:pPr>
        <w:pStyle w:val="BodyText"/>
        <w:spacing w:line="225" w:lineRule="auto"/>
        <w:ind w:left="144" w:right="63"/>
      </w:pPr>
      <w:r w:rsidRPr="00283806">
        <w:rPr>
          <w:w w:val="105"/>
        </w:rPr>
        <w:t>section IV.E of this preamble for additional information on the reclamation requirements. EPA notes that there was a 40 percent increase in the mass of HFCs reclaimed from 2021</w:t>
      </w:r>
      <w:r w:rsidRPr="00283806">
        <w:rPr>
          <w:spacing w:val="80"/>
          <w:w w:val="105"/>
        </w:rPr>
        <w:t xml:space="preserve"> </w:t>
      </w:r>
      <w:r w:rsidRPr="00283806">
        <w:rPr>
          <w:w w:val="105"/>
        </w:rPr>
        <w:t>to 2022, and approximately a 20 percent increase from 2022 to 2023, which may be an indication that there will be additional shifts in the reclamation market.</w:t>
      </w:r>
      <w:r w:rsidRPr="00283806">
        <w:rPr>
          <w:w w:val="105"/>
          <w:position w:val="5"/>
          <w:sz w:val="11"/>
        </w:rPr>
        <w:t>186</w:t>
      </w:r>
      <w:r w:rsidRPr="00283806">
        <w:rPr>
          <w:spacing w:val="40"/>
          <w:w w:val="105"/>
          <w:position w:val="5"/>
          <w:sz w:val="11"/>
        </w:rPr>
        <w:t xml:space="preserve"> </w:t>
      </w:r>
      <w:r w:rsidRPr="00283806">
        <w:rPr>
          <w:w w:val="105"/>
        </w:rPr>
        <w:t>In EPA’s experience with the CFC and HCFC phaseouts, the Agency</w:t>
      </w:r>
      <w:r w:rsidRPr="00283806">
        <w:rPr>
          <w:spacing w:val="80"/>
          <w:w w:val="105"/>
        </w:rPr>
        <w:t xml:space="preserve"> </w:t>
      </w:r>
      <w:r w:rsidRPr="00283806">
        <w:rPr>
          <w:w w:val="105"/>
        </w:rPr>
        <w:t>has seen continued use of reclaim, indicating that equipment was and, in many cases, still is operating utilizing refrigerants that have been phased out. Throughout those phaseouts, EPA has</w:t>
      </w:r>
      <w:r w:rsidRPr="00283806">
        <w:rPr>
          <w:spacing w:val="40"/>
          <w:w w:val="105"/>
        </w:rPr>
        <w:t xml:space="preserve"> </w:t>
      </w:r>
      <w:r w:rsidRPr="00283806">
        <w:rPr>
          <w:w w:val="105"/>
        </w:rPr>
        <w:t>not seen any significant disruption or premature retirement of equipment due to refrigerant shortages, nor did the commenter provide any evidence</w:t>
      </w:r>
      <w:r w:rsidRPr="00283806">
        <w:rPr>
          <w:spacing w:val="80"/>
          <w:w w:val="105"/>
        </w:rPr>
        <w:t xml:space="preserve"> </w:t>
      </w:r>
      <w:r w:rsidRPr="00283806">
        <w:rPr>
          <w:w w:val="105"/>
        </w:rPr>
        <w:t>thereof</w:t>
      </w:r>
      <w:r w:rsidRPr="00283806">
        <w:rPr>
          <w:spacing w:val="40"/>
          <w:w w:val="105"/>
        </w:rPr>
        <w:t xml:space="preserve"> </w:t>
      </w:r>
      <w:r w:rsidRPr="00283806">
        <w:rPr>
          <w:w w:val="105"/>
        </w:rPr>
        <w:t>for</w:t>
      </w:r>
      <w:r w:rsidRPr="00283806">
        <w:rPr>
          <w:spacing w:val="40"/>
          <w:w w:val="105"/>
        </w:rPr>
        <w:t xml:space="preserve"> </w:t>
      </w:r>
      <w:r w:rsidRPr="00283806">
        <w:rPr>
          <w:w w:val="105"/>
        </w:rPr>
        <w:t>the</w:t>
      </w:r>
      <w:r w:rsidRPr="00283806">
        <w:rPr>
          <w:spacing w:val="40"/>
          <w:w w:val="105"/>
        </w:rPr>
        <w:t xml:space="preserve"> </w:t>
      </w:r>
      <w:r w:rsidRPr="00283806">
        <w:rPr>
          <w:w w:val="105"/>
        </w:rPr>
        <w:t>CFC</w:t>
      </w:r>
      <w:r w:rsidRPr="00283806">
        <w:rPr>
          <w:spacing w:val="40"/>
          <w:w w:val="105"/>
        </w:rPr>
        <w:t xml:space="preserve"> </w:t>
      </w:r>
      <w:r w:rsidRPr="00283806">
        <w:rPr>
          <w:w w:val="105"/>
        </w:rPr>
        <w:t>and</w:t>
      </w:r>
      <w:r w:rsidRPr="00283806">
        <w:rPr>
          <w:spacing w:val="40"/>
          <w:w w:val="105"/>
        </w:rPr>
        <w:t xml:space="preserve"> </w:t>
      </w:r>
      <w:r w:rsidRPr="00283806">
        <w:rPr>
          <w:w w:val="105"/>
        </w:rPr>
        <w:t xml:space="preserve">HCFC phaseouts, nor any reason to think such effects would occur for the HFC </w:t>
      </w:r>
      <w:r w:rsidRPr="00283806">
        <w:rPr>
          <w:spacing w:val="-2"/>
          <w:w w:val="105"/>
        </w:rPr>
        <w:t>phasedown.</w:t>
      </w:r>
    </w:p>
    <w:p w14:paraId="002BB0BC" w14:textId="77777777" w:rsidR="00D67C1E" w:rsidRPr="00283806" w:rsidRDefault="001265CA">
      <w:pPr>
        <w:pStyle w:val="BodyText"/>
        <w:spacing w:line="172" w:lineRule="exact"/>
        <w:ind w:left="324"/>
      </w:pPr>
      <w:r w:rsidRPr="00283806">
        <w:rPr>
          <w:w w:val="105"/>
        </w:rPr>
        <w:t>In</w:t>
      </w:r>
      <w:r w:rsidRPr="00283806">
        <w:rPr>
          <w:spacing w:val="15"/>
          <w:w w:val="105"/>
        </w:rPr>
        <w:t xml:space="preserve"> </w:t>
      </w:r>
      <w:r w:rsidRPr="00283806">
        <w:rPr>
          <w:w w:val="105"/>
        </w:rPr>
        <w:t>the</w:t>
      </w:r>
      <w:r w:rsidRPr="00283806">
        <w:rPr>
          <w:spacing w:val="16"/>
          <w:w w:val="105"/>
        </w:rPr>
        <w:t xml:space="preserve"> </w:t>
      </w:r>
      <w:r w:rsidRPr="00283806">
        <w:rPr>
          <w:w w:val="105"/>
        </w:rPr>
        <w:t>RIA</w:t>
      </w:r>
      <w:r w:rsidRPr="00283806">
        <w:rPr>
          <w:spacing w:val="16"/>
          <w:w w:val="105"/>
        </w:rPr>
        <w:t xml:space="preserve"> </w:t>
      </w:r>
      <w:r w:rsidRPr="00283806">
        <w:rPr>
          <w:w w:val="105"/>
        </w:rPr>
        <w:t>addendum</w:t>
      </w:r>
      <w:r w:rsidRPr="00283806">
        <w:rPr>
          <w:spacing w:val="16"/>
          <w:w w:val="105"/>
        </w:rPr>
        <w:t xml:space="preserve"> </w:t>
      </w:r>
      <w:r w:rsidRPr="00283806">
        <w:rPr>
          <w:w w:val="105"/>
        </w:rPr>
        <w:t>and</w:t>
      </w:r>
      <w:r w:rsidRPr="00283806">
        <w:rPr>
          <w:spacing w:val="16"/>
          <w:w w:val="105"/>
        </w:rPr>
        <w:t xml:space="preserve"> </w:t>
      </w:r>
      <w:r w:rsidRPr="00283806">
        <w:rPr>
          <w:spacing w:val="-2"/>
          <w:w w:val="105"/>
        </w:rPr>
        <w:t>Economic</w:t>
      </w:r>
    </w:p>
    <w:p w14:paraId="2727BBEB" w14:textId="77777777" w:rsidR="00D67C1E" w:rsidRPr="00283806" w:rsidRDefault="001265CA">
      <w:pPr>
        <w:pStyle w:val="BodyText"/>
        <w:spacing w:line="225" w:lineRule="auto"/>
        <w:ind w:left="144" w:right="47"/>
      </w:pPr>
      <w:r w:rsidRPr="00283806">
        <w:rPr>
          <w:w w:val="105"/>
        </w:rPr>
        <w:t>Impact and Benefits TSD, EPA has estimated the costs and benefits of the regulations. While the commenter seems to indicate that cost savings were not included in the analysis, EPA notes that cost savings associated with avoided refrigerant losses were included in the analysis conducted for both the</w:t>
      </w:r>
      <w:r w:rsidRPr="00283806">
        <w:rPr>
          <w:spacing w:val="80"/>
          <w:w w:val="105"/>
        </w:rPr>
        <w:t xml:space="preserve"> </w:t>
      </w:r>
      <w:r w:rsidRPr="00283806">
        <w:rPr>
          <w:w w:val="105"/>
        </w:rPr>
        <w:t>proposed and final rule. More</w:t>
      </w:r>
      <w:r w:rsidRPr="00283806">
        <w:rPr>
          <w:spacing w:val="40"/>
          <w:w w:val="105"/>
        </w:rPr>
        <w:t xml:space="preserve"> </w:t>
      </w:r>
      <w:r w:rsidRPr="00283806">
        <w:rPr>
          <w:w w:val="105"/>
        </w:rPr>
        <w:t>information on these assumptions can</w:t>
      </w:r>
      <w:r w:rsidRPr="00283806">
        <w:rPr>
          <w:spacing w:val="80"/>
          <w:w w:val="150"/>
        </w:rPr>
        <w:t xml:space="preserve"> </w:t>
      </w:r>
      <w:r w:rsidRPr="00283806">
        <w:rPr>
          <w:w w:val="105"/>
        </w:rPr>
        <w:t>be found in section VI.B.2 of this preamble as well as the RIA addendum and</w:t>
      </w:r>
      <w:r w:rsidRPr="00283806">
        <w:rPr>
          <w:spacing w:val="16"/>
          <w:w w:val="105"/>
        </w:rPr>
        <w:t xml:space="preserve"> </w:t>
      </w:r>
      <w:r w:rsidRPr="00283806">
        <w:rPr>
          <w:w w:val="105"/>
        </w:rPr>
        <w:t>Economic</w:t>
      </w:r>
      <w:r w:rsidRPr="00283806">
        <w:rPr>
          <w:spacing w:val="16"/>
          <w:w w:val="105"/>
        </w:rPr>
        <w:t xml:space="preserve"> </w:t>
      </w:r>
      <w:r w:rsidRPr="00283806">
        <w:rPr>
          <w:w w:val="105"/>
        </w:rPr>
        <w:t>Impact</w:t>
      </w:r>
      <w:r w:rsidRPr="00283806">
        <w:rPr>
          <w:spacing w:val="16"/>
          <w:w w:val="105"/>
        </w:rPr>
        <w:t xml:space="preserve"> </w:t>
      </w:r>
      <w:r w:rsidRPr="00283806">
        <w:rPr>
          <w:w w:val="105"/>
        </w:rPr>
        <w:t>and</w:t>
      </w:r>
      <w:r w:rsidRPr="00283806">
        <w:rPr>
          <w:spacing w:val="16"/>
          <w:w w:val="105"/>
        </w:rPr>
        <w:t xml:space="preserve"> </w:t>
      </w:r>
      <w:r w:rsidRPr="00283806">
        <w:rPr>
          <w:w w:val="105"/>
        </w:rPr>
        <w:t>Benefits</w:t>
      </w:r>
      <w:r w:rsidRPr="00283806">
        <w:rPr>
          <w:spacing w:val="16"/>
          <w:w w:val="105"/>
        </w:rPr>
        <w:t xml:space="preserve"> </w:t>
      </w:r>
      <w:r w:rsidRPr="00283806">
        <w:rPr>
          <w:spacing w:val="-4"/>
          <w:w w:val="105"/>
        </w:rPr>
        <w:t>TSD.</w:t>
      </w:r>
    </w:p>
    <w:p w14:paraId="3A60F2E0" w14:textId="77777777" w:rsidR="00D67C1E" w:rsidRPr="00283806" w:rsidRDefault="001265CA">
      <w:pPr>
        <w:pStyle w:val="BodyText"/>
        <w:spacing w:line="228" w:lineRule="auto"/>
        <w:ind w:left="144" w:right="58" w:firstLine="180"/>
      </w:pPr>
      <w:r w:rsidRPr="00283806">
        <w:rPr>
          <w:rFonts w:ascii="Book Antiqua" w:hAnsi="Book Antiqua"/>
          <w:i/>
          <w:w w:val="105"/>
        </w:rPr>
        <w:t xml:space="preserve">Comment: </w:t>
      </w:r>
      <w:r w:rsidRPr="00283806">
        <w:rPr>
          <w:w w:val="105"/>
        </w:rPr>
        <w:t>One commenter stated that the modeling conducted in support of</w:t>
      </w:r>
      <w:r w:rsidRPr="00283806">
        <w:rPr>
          <w:spacing w:val="80"/>
          <w:w w:val="105"/>
        </w:rPr>
        <w:t xml:space="preserve"> </w:t>
      </w:r>
      <w:r w:rsidRPr="00283806">
        <w:rPr>
          <w:w w:val="105"/>
        </w:rPr>
        <w:t xml:space="preserve">the AIM Act regulations appears to rely on refrigerant recovery in disposal and servicing of appliances that may exceed what current regulations will achieve. The commenter cited the RIA for the allocation regulation and the RIA for the 2023 Technology Transitions Rule, </w:t>
      </w:r>
      <w:proofErr w:type="gramStart"/>
      <w:r w:rsidRPr="00283806">
        <w:rPr>
          <w:w w:val="105"/>
        </w:rPr>
        <w:t>on</w:t>
      </w:r>
      <w:r w:rsidRPr="00283806">
        <w:rPr>
          <w:spacing w:val="40"/>
          <w:w w:val="105"/>
        </w:rPr>
        <w:t xml:space="preserve"> </w:t>
      </w:r>
      <w:r w:rsidRPr="00283806">
        <w:rPr>
          <w:w w:val="105"/>
        </w:rPr>
        <w:t>the basis of</w:t>
      </w:r>
      <w:proofErr w:type="gramEnd"/>
      <w:r w:rsidRPr="00283806">
        <w:rPr>
          <w:w w:val="105"/>
        </w:rPr>
        <w:t xml:space="preserve"> which the commenter stated their understanding is that EPA may expect a 100 percent recovery rate. The commenter noted that despite the proposed rule’s multiple measures, the proposal has few provisions regarding the disposal side of refrigerant recovery or the recovery of refrigerants at EOL. The commenter stated that residential EOL disposal and recovery is not discussed in EPA reclaim market report provided in the docket, but residential appliances are an important source of HFC consumption and emissions. The commenter shared a concern that there</w:t>
      </w:r>
    </w:p>
    <w:p w14:paraId="34524EB2" w14:textId="77777777" w:rsidR="00D67C1E" w:rsidRPr="00283806" w:rsidRDefault="001265CA">
      <w:pPr>
        <w:pStyle w:val="BodyText"/>
        <w:spacing w:before="9"/>
        <w:ind w:left="0"/>
        <w:rPr>
          <w:sz w:val="10"/>
        </w:rPr>
      </w:pPr>
      <w:r w:rsidRPr="00283806">
        <w:rPr>
          <w:noProof/>
        </w:rPr>
        <mc:AlternateContent>
          <mc:Choice Requires="wps">
            <w:drawing>
              <wp:anchor distT="0" distB="0" distL="0" distR="0" simplePos="0" relativeHeight="251689984" behindDoc="1" locked="0" layoutInCell="1" allowOverlap="1" wp14:anchorId="6215F1DA" wp14:editId="5AFB9E60">
                <wp:simplePos x="0" y="0"/>
                <wp:positionH relativeFrom="page">
                  <wp:posOffset>2819400</wp:posOffset>
                </wp:positionH>
                <wp:positionV relativeFrom="paragraph">
                  <wp:posOffset>95633</wp:posOffset>
                </wp:positionV>
                <wp:extent cx="635000" cy="1270"/>
                <wp:effectExtent l="0" t="0" r="0" b="0"/>
                <wp:wrapTopAndBottom/>
                <wp:docPr id="123" name="Graphic 1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16A1FAF" id="Graphic 123" o:spid="_x0000_s1026" alt="&quot;&quot;" style="position:absolute;margin-left:222pt;margin-top:7.55pt;width:50pt;height:.1pt;z-index:-251626496;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" path="m,l635000,e" filled="f" strokeweight=".5pt">
                <v:path arrowok="t"/>
                <w10:wrap type="topAndBottom" anchorx="page"/>
              </v:shape>
            </w:pict>
          </mc:Fallback>
        </mc:AlternateContent>
      </w:r>
    </w:p>
    <w:p w14:paraId="54A1DBE7" w14:textId="25CACCC6" w:rsidR="00D67C1E" w:rsidRPr="00283806" w:rsidRDefault="001265CA">
      <w:pPr>
        <w:spacing w:before="42" w:line="228" w:lineRule="auto"/>
        <w:ind w:left="144" w:right="39" w:firstLine="140"/>
        <w:rPr>
          <w:rFonts w:ascii="Book Antiqua"/>
          <w:i/>
          <w:sz w:val="14"/>
        </w:rPr>
      </w:pPr>
      <w:r w:rsidRPr="00283806">
        <w:rPr>
          <w:spacing w:val="-2"/>
          <w:w w:val="115"/>
          <w:position w:val="4"/>
          <w:sz w:val="9"/>
        </w:rPr>
        <w:t xml:space="preserve">186 </w:t>
      </w:r>
      <w:r w:rsidRPr="00283806">
        <w:rPr>
          <w:spacing w:val="-2"/>
          <w:w w:val="115"/>
          <w:sz w:val="14"/>
        </w:rPr>
        <w:t xml:space="preserve">Available at: </w:t>
      </w:r>
      <w:r w:rsidRPr="00283806">
        <w:rPr>
          <w:rFonts w:ascii="Book Antiqua"/>
          <w:i/>
          <w:spacing w:val="-2"/>
          <w:w w:val="115"/>
          <w:sz w:val="14"/>
        </w:rPr>
        <w:t>https://www.epa.gov/section608/</w:t>
      </w:r>
      <w:r w:rsidRPr="00283806">
        <w:rPr>
          <w:rFonts w:ascii="Book Antiqua"/>
          <w:i/>
          <w:spacing w:val="40"/>
          <w:w w:val="115"/>
          <w:sz w:val="14"/>
        </w:rPr>
        <w:t xml:space="preserve"> </w:t>
      </w:r>
      <w:r w:rsidRPr="00283806">
        <w:rPr>
          <w:rFonts w:ascii="Book Antiqua"/>
          <w:i/>
          <w:spacing w:val="-2"/>
          <w:w w:val="115"/>
          <w:sz w:val="14"/>
        </w:rPr>
        <w:t>summary-refrigerant-reclamation-trends.</w:t>
      </w:r>
    </w:p>
    <w:p w14:paraId="607E1391" w14:textId="77777777" w:rsidR="00D67C1E" w:rsidRPr="00283806" w:rsidRDefault="001265CA">
      <w:pPr>
        <w:pStyle w:val="BodyText"/>
        <w:spacing w:before="134" w:line="228" w:lineRule="auto"/>
        <w:ind w:left="143" w:right="149"/>
      </w:pPr>
      <w:r w:rsidRPr="00283806">
        <w:br w:type="column"/>
      </w:r>
      <w:r w:rsidRPr="00283806">
        <w:rPr>
          <w:w w:val="105"/>
        </w:rPr>
        <w:t>is</w:t>
      </w:r>
      <w:r w:rsidRPr="00283806">
        <w:rPr>
          <w:spacing w:val="40"/>
          <w:w w:val="105"/>
        </w:rPr>
        <w:t xml:space="preserve"> </w:t>
      </w:r>
      <w:r w:rsidRPr="00283806">
        <w:rPr>
          <w:w w:val="105"/>
        </w:rPr>
        <w:t>little</w:t>
      </w:r>
      <w:r w:rsidRPr="00283806">
        <w:rPr>
          <w:spacing w:val="40"/>
          <w:w w:val="105"/>
        </w:rPr>
        <w:t xml:space="preserve"> </w:t>
      </w:r>
      <w:r w:rsidRPr="00283806">
        <w:rPr>
          <w:w w:val="105"/>
        </w:rPr>
        <w:t>incentive</w:t>
      </w:r>
      <w:r w:rsidRPr="00283806">
        <w:rPr>
          <w:spacing w:val="40"/>
          <w:w w:val="105"/>
        </w:rPr>
        <w:t xml:space="preserve"> </w:t>
      </w:r>
      <w:r w:rsidRPr="00283806">
        <w:rPr>
          <w:w w:val="105"/>
        </w:rPr>
        <w:t>for</w:t>
      </w:r>
      <w:r w:rsidRPr="00283806">
        <w:rPr>
          <w:spacing w:val="40"/>
          <w:w w:val="105"/>
        </w:rPr>
        <w:t xml:space="preserve"> </w:t>
      </w:r>
      <w:r w:rsidRPr="00283806">
        <w:rPr>
          <w:w w:val="105"/>
        </w:rPr>
        <w:t>individuals</w:t>
      </w:r>
      <w:r w:rsidRPr="00283806">
        <w:rPr>
          <w:spacing w:val="40"/>
          <w:w w:val="105"/>
        </w:rPr>
        <w:t xml:space="preserve"> </w:t>
      </w:r>
      <w:r w:rsidRPr="00283806">
        <w:rPr>
          <w:w w:val="105"/>
        </w:rPr>
        <w:t>that may collect residential appliances, such</w:t>
      </w:r>
      <w:r w:rsidRPr="00283806">
        <w:rPr>
          <w:spacing w:val="40"/>
          <w:w w:val="105"/>
        </w:rPr>
        <w:t xml:space="preserve"> </w:t>
      </w:r>
      <w:r w:rsidRPr="00283806">
        <w:rPr>
          <w:w w:val="105"/>
        </w:rPr>
        <w:t>as from a curbside, to properly recover refrigerants before transferring the equipment to a recycling or other disposal facility, and stated that entities that accept EOL equipment, like metal recovery facilities, may request that refrigerant be vented prior to disposal so that they are not subject to regulation, creating a gap in enforcement of existing regulations and undermining reclaim supply.</w:t>
      </w:r>
      <w:r w:rsidRPr="00283806">
        <w:rPr>
          <w:spacing w:val="40"/>
          <w:w w:val="105"/>
        </w:rPr>
        <w:t xml:space="preserve"> </w:t>
      </w:r>
      <w:r w:rsidRPr="00283806">
        <w:rPr>
          <w:w w:val="105"/>
        </w:rPr>
        <w:t>The</w:t>
      </w:r>
      <w:r w:rsidRPr="00283806">
        <w:rPr>
          <w:spacing w:val="40"/>
          <w:w w:val="105"/>
        </w:rPr>
        <w:t xml:space="preserve"> </w:t>
      </w:r>
      <w:r w:rsidRPr="00283806">
        <w:rPr>
          <w:w w:val="105"/>
        </w:rPr>
        <w:t>commenter</w:t>
      </w:r>
      <w:r w:rsidRPr="00283806">
        <w:rPr>
          <w:spacing w:val="40"/>
          <w:w w:val="105"/>
        </w:rPr>
        <w:t xml:space="preserve"> </w:t>
      </w:r>
      <w:r w:rsidRPr="00283806">
        <w:rPr>
          <w:w w:val="105"/>
        </w:rPr>
        <w:t>stated</w:t>
      </w:r>
      <w:r w:rsidRPr="00283806">
        <w:rPr>
          <w:spacing w:val="40"/>
          <w:w w:val="105"/>
        </w:rPr>
        <w:t xml:space="preserve"> </w:t>
      </w:r>
      <w:r w:rsidRPr="00283806">
        <w:rPr>
          <w:w w:val="105"/>
        </w:rPr>
        <w:t>that</w:t>
      </w:r>
      <w:r w:rsidRPr="00283806">
        <w:rPr>
          <w:spacing w:val="40"/>
          <w:w w:val="105"/>
        </w:rPr>
        <w:t xml:space="preserve"> </w:t>
      </w:r>
      <w:r w:rsidRPr="00283806">
        <w:rPr>
          <w:w w:val="105"/>
        </w:rPr>
        <w:t>of the jurisdictions with refrigerant collection policies, Japan may have the most recovery and Japan’s government reports a 40 percent recovery rate. The commenter stated that based on information provided by EPA, the recovery rate in the United States is</w:t>
      </w:r>
      <w:r w:rsidRPr="00283806">
        <w:rPr>
          <w:spacing w:val="40"/>
          <w:w w:val="105"/>
        </w:rPr>
        <w:t xml:space="preserve"> </w:t>
      </w:r>
      <w:r w:rsidRPr="00283806">
        <w:rPr>
          <w:w w:val="105"/>
        </w:rPr>
        <w:t>much lower than this and much lower than</w:t>
      </w:r>
      <w:r w:rsidRPr="00283806">
        <w:rPr>
          <w:spacing w:val="40"/>
          <w:w w:val="105"/>
        </w:rPr>
        <w:t xml:space="preserve"> </w:t>
      </w:r>
      <w:r w:rsidRPr="00283806">
        <w:rPr>
          <w:w w:val="105"/>
        </w:rPr>
        <w:t>what</w:t>
      </w:r>
      <w:r w:rsidRPr="00283806">
        <w:rPr>
          <w:spacing w:val="40"/>
          <w:w w:val="105"/>
        </w:rPr>
        <w:t xml:space="preserve"> </w:t>
      </w:r>
      <w:r w:rsidRPr="00283806">
        <w:rPr>
          <w:w w:val="105"/>
        </w:rPr>
        <w:t>may</w:t>
      </w:r>
      <w:r w:rsidRPr="00283806">
        <w:rPr>
          <w:spacing w:val="40"/>
          <w:w w:val="105"/>
        </w:rPr>
        <w:t xml:space="preserve"> </w:t>
      </w:r>
      <w:r w:rsidRPr="00283806">
        <w:rPr>
          <w:w w:val="105"/>
        </w:rPr>
        <w:t>have</w:t>
      </w:r>
      <w:r w:rsidRPr="00283806">
        <w:rPr>
          <w:spacing w:val="40"/>
          <w:w w:val="105"/>
        </w:rPr>
        <w:t xml:space="preserve"> </w:t>
      </w:r>
      <w:r w:rsidRPr="00283806">
        <w:rPr>
          <w:w w:val="105"/>
        </w:rPr>
        <w:t>been</w:t>
      </w:r>
      <w:r w:rsidRPr="00283806">
        <w:rPr>
          <w:spacing w:val="40"/>
          <w:w w:val="105"/>
        </w:rPr>
        <w:t xml:space="preserve"> </w:t>
      </w:r>
      <w:r w:rsidRPr="00283806">
        <w:rPr>
          <w:w w:val="105"/>
        </w:rPr>
        <w:t>modeled</w:t>
      </w:r>
      <w:r w:rsidRPr="00283806">
        <w:rPr>
          <w:spacing w:val="40"/>
          <w:w w:val="105"/>
        </w:rPr>
        <w:t xml:space="preserve"> </w:t>
      </w:r>
      <w:r w:rsidRPr="00283806">
        <w:rPr>
          <w:w w:val="105"/>
        </w:rPr>
        <w:t>in the AIM Act rulemakings. The</w:t>
      </w:r>
      <w:r w:rsidRPr="00283806">
        <w:rPr>
          <w:spacing w:val="80"/>
          <w:w w:val="105"/>
        </w:rPr>
        <w:t xml:space="preserve"> </w:t>
      </w:r>
      <w:r w:rsidRPr="00283806">
        <w:rPr>
          <w:w w:val="105"/>
        </w:rPr>
        <w:t>commenter added that even the volume of HFCs contained within products exceeded the recovery rate in 2020 by seven times. The commenter further noted that one benefit of the proposed regulation is that by increasing the demand for reclaim, it also provides additional incentive for refrigerant recovery. However, the commenter</w:t>
      </w:r>
      <w:r w:rsidRPr="00283806">
        <w:rPr>
          <w:spacing w:val="40"/>
          <w:w w:val="105"/>
        </w:rPr>
        <w:t xml:space="preserve"> </w:t>
      </w:r>
      <w:r w:rsidRPr="00283806">
        <w:rPr>
          <w:w w:val="105"/>
        </w:rPr>
        <w:t>stated that based on the industry report provided by EPA in the docket, the examples from other jurisdictions</w:t>
      </w:r>
      <w:r w:rsidRPr="00283806">
        <w:rPr>
          <w:spacing w:val="40"/>
          <w:w w:val="105"/>
        </w:rPr>
        <w:t xml:space="preserve"> </w:t>
      </w:r>
      <w:r w:rsidRPr="00283806">
        <w:rPr>
          <w:w w:val="105"/>
        </w:rPr>
        <w:t xml:space="preserve">suggest that incentives are not enough to ensure a high rate of recovery. The commenter stated that EPA’s modeling assumptions may only be achievable through robust enforcement and </w:t>
      </w:r>
      <w:r w:rsidRPr="00283806">
        <w:rPr>
          <w:spacing w:val="-2"/>
          <w:w w:val="105"/>
        </w:rPr>
        <w:t>incentives.</w:t>
      </w:r>
    </w:p>
    <w:p w14:paraId="5FC19C08" w14:textId="77777777" w:rsidR="00D67C1E" w:rsidRPr="00283806" w:rsidRDefault="001265CA">
      <w:pPr>
        <w:pStyle w:val="BodyText"/>
        <w:spacing w:before="21" w:line="225" w:lineRule="auto"/>
        <w:ind w:left="143" w:right="161" w:firstLine="180"/>
      </w:pPr>
      <w:r w:rsidRPr="00283806">
        <w:rPr>
          <w:rFonts w:ascii="Book Antiqua"/>
          <w:i/>
          <w:w w:val="105"/>
        </w:rPr>
        <w:t xml:space="preserve">Response: </w:t>
      </w:r>
      <w:r w:rsidRPr="00283806">
        <w:rPr>
          <w:w w:val="105"/>
        </w:rPr>
        <w:t>EPA confirms that the modeling</w:t>
      </w:r>
      <w:r w:rsidRPr="00283806">
        <w:rPr>
          <w:spacing w:val="40"/>
          <w:w w:val="105"/>
        </w:rPr>
        <w:t xml:space="preserve"> </w:t>
      </w:r>
      <w:r w:rsidRPr="00283806">
        <w:rPr>
          <w:w w:val="105"/>
        </w:rPr>
        <w:t>conducted</w:t>
      </w:r>
      <w:r w:rsidRPr="00283806">
        <w:rPr>
          <w:spacing w:val="40"/>
          <w:w w:val="105"/>
        </w:rPr>
        <w:t xml:space="preserve"> </w:t>
      </w:r>
      <w:r w:rsidRPr="00283806">
        <w:rPr>
          <w:w w:val="105"/>
        </w:rPr>
        <w:t>for</w:t>
      </w:r>
      <w:r w:rsidRPr="00283806">
        <w:rPr>
          <w:spacing w:val="40"/>
          <w:w w:val="105"/>
        </w:rPr>
        <w:t xml:space="preserve"> </w:t>
      </w:r>
      <w:r w:rsidRPr="00283806">
        <w:rPr>
          <w:w w:val="105"/>
        </w:rPr>
        <w:t>the</w:t>
      </w:r>
      <w:r w:rsidRPr="00283806">
        <w:rPr>
          <w:spacing w:val="40"/>
          <w:w w:val="105"/>
        </w:rPr>
        <w:t xml:space="preserve"> </w:t>
      </w:r>
      <w:r w:rsidRPr="00283806">
        <w:rPr>
          <w:w w:val="105"/>
        </w:rPr>
        <w:t>RIA</w:t>
      </w:r>
      <w:r w:rsidRPr="00283806">
        <w:rPr>
          <w:spacing w:val="40"/>
          <w:w w:val="105"/>
        </w:rPr>
        <w:t xml:space="preserve"> </w:t>
      </w:r>
      <w:r w:rsidRPr="00283806">
        <w:rPr>
          <w:w w:val="105"/>
        </w:rPr>
        <w:t>and RIA</w:t>
      </w:r>
      <w:r w:rsidRPr="00283806">
        <w:rPr>
          <w:spacing w:val="40"/>
          <w:w w:val="105"/>
        </w:rPr>
        <w:t xml:space="preserve"> </w:t>
      </w:r>
      <w:r w:rsidRPr="00283806">
        <w:rPr>
          <w:w w:val="105"/>
        </w:rPr>
        <w:t>addenda</w:t>
      </w:r>
      <w:r w:rsidRPr="00283806">
        <w:rPr>
          <w:spacing w:val="40"/>
          <w:w w:val="105"/>
        </w:rPr>
        <w:t xml:space="preserve"> </w:t>
      </w:r>
      <w:r w:rsidRPr="00283806">
        <w:rPr>
          <w:w w:val="105"/>
        </w:rPr>
        <w:t>for</w:t>
      </w:r>
      <w:r w:rsidRPr="00283806">
        <w:rPr>
          <w:spacing w:val="40"/>
          <w:w w:val="105"/>
        </w:rPr>
        <w:t xml:space="preserve"> </w:t>
      </w:r>
      <w:r w:rsidRPr="00283806">
        <w:rPr>
          <w:w w:val="105"/>
        </w:rPr>
        <w:t>the</w:t>
      </w:r>
      <w:r w:rsidRPr="00283806">
        <w:rPr>
          <w:spacing w:val="40"/>
          <w:w w:val="105"/>
        </w:rPr>
        <w:t xml:space="preserve"> </w:t>
      </w:r>
      <w:r w:rsidRPr="00283806">
        <w:rPr>
          <w:w w:val="105"/>
        </w:rPr>
        <w:t>HFC</w:t>
      </w:r>
      <w:r w:rsidRPr="00283806">
        <w:rPr>
          <w:spacing w:val="40"/>
          <w:w w:val="105"/>
        </w:rPr>
        <w:t xml:space="preserve"> </w:t>
      </w:r>
      <w:r w:rsidRPr="00283806">
        <w:rPr>
          <w:w w:val="105"/>
        </w:rPr>
        <w:t>Allocation</w:t>
      </w:r>
      <w:r w:rsidRPr="00283806">
        <w:rPr>
          <w:spacing w:val="40"/>
          <w:w w:val="105"/>
        </w:rPr>
        <w:t xml:space="preserve"> </w:t>
      </w:r>
      <w:r w:rsidRPr="00283806">
        <w:rPr>
          <w:w w:val="105"/>
        </w:rPr>
        <w:t>and 2023 Technology Transitions rules do assume improvements to refrigerant recovery rates, during service and at disposal, in some of the potential compliance pathways. However, the rate of recovery assumed in this modeling</w:t>
      </w:r>
      <w:r w:rsidRPr="00283806">
        <w:rPr>
          <w:spacing w:val="40"/>
          <w:w w:val="105"/>
        </w:rPr>
        <w:t xml:space="preserve"> </w:t>
      </w:r>
      <w:r w:rsidRPr="00283806">
        <w:rPr>
          <w:w w:val="105"/>
        </w:rPr>
        <w:t>was not 100 percent. To represent improvements to refrigerant recovery rates possible under the provisions of</w:t>
      </w:r>
      <w:r w:rsidRPr="00283806">
        <w:rPr>
          <w:spacing w:val="40"/>
          <w:w w:val="105"/>
        </w:rPr>
        <w:t xml:space="preserve"> </w:t>
      </w:r>
      <w:r w:rsidRPr="00283806">
        <w:rPr>
          <w:w w:val="105"/>
        </w:rPr>
        <w:t>this final rule, in an alternate scenario EPA modeled an improvement in the emissions rates of all RACHP equipment (including residential) at disposal.</w:t>
      </w:r>
    </w:p>
    <w:p w14:paraId="218BD080" w14:textId="77777777" w:rsidR="00D67C1E" w:rsidRPr="00283806" w:rsidRDefault="001265CA">
      <w:pPr>
        <w:pStyle w:val="BodyText"/>
        <w:spacing w:before="14" w:line="228" w:lineRule="auto"/>
        <w:ind w:left="143" w:right="183"/>
      </w:pPr>
      <w:r w:rsidRPr="00283806">
        <w:rPr>
          <w:w w:val="105"/>
        </w:rPr>
        <w:t>Specifically, it was assumed that an emissions rate of three to four percent would be achieved for large and small RACHP equipment (in other words, three-four percent of equipment charge would still be emitted at EOL even with the improved recovery assumption).</w:t>
      </w:r>
    </w:p>
    <w:p w14:paraId="0BCA8011" w14:textId="77777777" w:rsidR="00D67C1E" w:rsidRPr="00283806" w:rsidRDefault="001265CA">
      <w:pPr>
        <w:pStyle w:val="BodyText"/>
        <w:spacing w:line="228" w:lineRule="auto"/>
        <w:ind w:left="143" w:right="210"/>
      </w:pPr>
      <w:r w:rsidRPr="00283806">
        <w:rPr>
          <w:w w:val="105"/>
        </w:rPr>
        <w:t>EPA notes that while this assumption</w:t>
      </w:r>
      <w:r w:rsidRPr="00283806">
        <w:rPr>
          <w:spacing w:val="40"/>
          <w:w w:val="105"/>
        </w:rPr>
        <w:t xml:space="preserve"> </w:t>
      </w:r>
      <w:r w:rsidRPr="00283806">
        <w:rPr>
          <w:w w:val="105"/>
        </w:rPr>
        <w:t>was included in the compliance path for the</w:t>
      </w:r>
      <w:r w:rsidRPr="00283806">
        <w:rPr>
          <w:spacing w:val="40"/>
          <w:w w:val="105"/>
        </w:rPr>
        <w:t xml:space="preserve"> </w:t>
      </w:r>
      <w:r w:rsidRPr="00283806">
        <w:rPr>
          <w:w w:val="105"/>
        </w:rPr>
        <w:t>Allocation</w:t>
      </w:r>
      <w:r w:rsidRPr="00283806">
        <w:rPr>
          <w:spacing w:val="40"/>
          <w:w w:val="105"/>
        </w:rPr>
        <w:t xml:space="preserve"> </w:t>
      </w:r>
      <w:r w:rsidRPr="00283806">
        <w:rPr>
          <w:w w:val="105"/>
        </w:rPr>
        <w:t>Rule</w:t>
      </w:r>
      <w:r w:rsidRPr="00283806">
        <w:rPr>
          <w:spacing w:val="40"/>
          <w:w w:val="105"/>
        </w:rPr>
        <w:t xml:space="preserve"> </w:t>
      </w:r>
      <w:r w:rsidRPr="00283806">
        <w:rPr>
          <w:w w:val="105"/>
        </w:rPr>
        <w:t>RIA,</w:t>
      </w:r>
      <w:r w:rsidRPr="00283806">
        <w:rPr>
          <w:spacing w:val="40"/>
          <w:w w:val="105"/>
        </w:rPr>
        <w:t xml:space="preserve"> </w:t>
      </w:r>
      <w:r w:rsidRPr="00283806">
        <w:rPr>
          <w:w w:val="105"/>
        </w:rPr>
        <w:t>it</w:t>
      </w:r>
      <w:r w:rsidRPr="00283806">
        <w:rPr>
          <w:spacing w:val="40"/>
          <w:w w:val="105"/>
        </w:rPr>
        <w:t xml:space="preserve"> </w:t>
      </w:r>
      <w:r w:rsidRPr="00283806">
        <w:rPr>
          <w:w w:val="105"/>
        </w:rPr>
        <w:t>was effectively treated as an uncertainty in</w:t>
      </w:r>
    </w:p>
    <w:p w14:paraId="729FBD2D"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6" w:space="40"/>
            <w:col w:w="3501" w:space="39"/>
            <w:col w:w="3624"/>
          </w:cols>
        </w:sectPr>
      </w:pPr>
    </w:p>
    <w:p w14:paraId="75295F9B" w14:textId="77777777" w:rsidR="00D67C1E" w:rsidRPr="00283806" w:rsidRDefault="001265CA">
      <w:pPr>
        <w:pStyle w:val="BodyText"/>
        <w:spacing w:before="136" w:line="225" w:lineRule="auto"/>
        <w:ind w:right="60"/>
      </w:pPr>
      <w:r w:rsidRPr="00283806">
        <w:rPr>
          <w:w w:val="105"/>
        </w:rPr>
        <w:lastRenderedPageBreak/>
        <w:t>the subsequent 2023 Technology Transitions RIA Addendum, given that updated modeling results demonstrated that</w:t>
      </w:r>
      <w:r w:rsidRPr="00283806">
        <w:rPr>
          <w:spacing w:val="40"/>
          <w:w w:val="105"/>
        </w:rPr>
        <w:t xml:space="preserve"> </w:t>
      </w:r>
      <w:r w:rsidRPr="00283806">
        <w:rPr>
          <w:w w:val="105"/>
        </w:rPr>
        <w:t>compliance</w:t>
      </w:r>
      <w:r w:rsidRPr="00283806">
        <w:rPr>
          <w:spacing w:val="40"/>
          <w:w w:val="105"/>
        </w:rPr>
        <w:t xml:space="preserve"> </w:t>
      </w:r>
      <w:r w:rsidRPr="00283806">
        <w:rPr>
          <w:w w:val="105"/>
        </w:rPr>
        <w:t>with</w:t>
      </w:r>
      <w:r w:rsidRPr="00283806">
        <w:rPr>
          <w:spacing w:val="40"/>
          <w:w w:val="105"/>
        </w:rPr>
        <w:t xml:space="preserve"> </w:t>
      </w:r>
      <w:r w:rsidRPr="00283806">
        <w:rPr>
          <w:w w:val="105"/>
        </w:rPr>
        <w:t>both</w:t>
      </w:r>
      <w:r w:rsidRPr="00283806">
        <w:rPr>
          <w:spacing w:val="40"/>
          <w:w w:val="105"/>
        </w:rPr>
        <w:t xml:space="preserve"> </w:t>
      </w:r>
      <w:r w:rsidRPr="00283806">
        <w:rPr>
          <w:w w:val="105"/>
        </w:rPr>
        <w:t>rules</w:t>
      </w:r>
      <w:r w:rsidRPr="00283806">
        <w:rPr>
          <w:spacing w:val="40"/>
          <w:w w:val="105"/>
        </w:rPr>
        <w:t xml:space="preserve"> </w:t>
      </w:r>
      <w:r w:rsidRPr="00283806">
        <w:rPr>
          <w:w w:val="105"/>
        </w:rPr>
        <w:t xml:space="preserve">could be achieved without improved recovery. As detailed in the associated RIA addendum, modeling conducted for this rule assumes that the prior improved recovery assumption would not occur in the ‘‘baseline’’ </w:t>
      </w:r>
      <w:proofErr w:type="gramStart"/>
      <w:r w:rsidRPr="00283806">
        <w:rPr>
          <w:w w:val="105"/>
        </w:rPr>
        <w:t>in order to</w:t>
      </w:r>
      <w:proofErr w:type="gramEnd"/>
      <w:r w:rsidRPr="00283806">
        <w:rPr>
          <w:w w:val="105"/>
        </w:rPr>
        <w:t xml:space="preserve"> conform with the base case analyzed for the 2023 Technology Transitions Rule. However, an alternative scenario has also been provided in the RIA addendum and the Economic Impact and Benefits TSD in which improved recovery is assumed to otherwise occur in the absence of this regulation, thus illustrating a lower bound of potential incremental benefits. EPA welcomes additional data and technical information on this topic and will continue to monitor industry recovery and reclamation rates </w:t>
      </w:r>
      <w:proofErr w:type="gramStart"/>
      <w:r w:rsidRPr="00283806">
        <w:rPr>
          <w:w w:val="105"/>
        </w:rPr>
        <w:t>in order to</w:t>
      </w:r>
      <w:proofErr w:type="gramEnd"/>
      <w:r w:rsidRPr="00283806">
        <w:rPr>
          <w:w w:val="105"/>
        </w:rPr>
        <w:t xml:space="preserve"> potentially update its modeling assumptions in the future. Finally, EPA acknowledges that further</w:t>
      </w:r>
      <w:r w:rsidRPr="00283806">
        <w:rPr>
          <w:spacing w:val="40"/>
          <w:w w:val="105"/>
        </w:rPr>
        <w:t xml:space="preserve"> </w:t>
      </w:r>
      <w:r w:rsidRPr="00283806">
        <w:rPr>
          <w:w w:val="105"/>
        </w:rPr>
        <w:t>improvements in recovery rates may be achievable through enforcement and incentives such as those mentioned by the commenter.</w:t>
      </w:r>
    </w:p>
    <w:p w14:paraId="4F45ABAD" w14:textId="77777777" w:rsidR="00D67C1E" w:rsidRPr="00283806" w:rsidRDefault="001265CA">
      <w:pPr>
        <w:spacing w:line="174" w:lineRule="exact"/>
        <w:ind w:left="340"/>
        <w:rPr>
          <w:sz w:val="18"/>
        </w:rPr>
      </w:pPr>
      <w:r w:rsidRPr="00283806">
        <w:rPr>
          <w:rFonts w:ascii="Book Antiqua"/>
          <w:i/>
          <w:w w:val="105"/>
          <w:sz w:val="18"/>
        </w:rPr>
        <w:t>Comment:</w:t>
      </w:r>
      <w:r w:rsidRPr="00283806">
        <w:rPr>
          <w:rFonts w:ascii="Book Antiqua"/>
          <w:i/>
          <w:spacing w:val="15"/>
          <w:w w:val="105"/>
          <w:sz w:val="18"/>
        </w:rPr>
        <w:t xml:space="preserve"> </w:t>
      </w:r>
      <w:r w:rsidRPr="00283806">
        <w:rPr>
          <w:w w:val="105"/>
          <w:sz w:val="18"/>
        </w:rPr>
        <w:t>One</w:t>
      </w:r>
      <w:r w:rsidRPr="00283806">
        <w:rPr>
          <w:spacing w:val="20"/>
          <w:w w:val="105"/>
          <w:sz w:val="18"/>
        </w:rPr>
        <w:t xml:space="preserve"> </w:t>
      </w:r>
      <w:r w:rsidRPr="00283806">
        <w:rPr>
          <w:w w:val="105"/>
          <w:sz w:val="18"/>
        </w:rPr>
        <w:t>commenter</w:t>
      </w:r>
      <w:r w:rsidRPr="00283806">
        <w:rPr>
          <w:spacing w:val="20"/>
          <w:w w:val="105"/>
          <w:sz w:val="18"/>
        </w:rPr>
        <w:t xml:space="preserve"> </w:t>
      </w:r>
      <w:r w:rsidRPr="00283806">
        <w:rPr>
          <w:w w:val="105"/>
          <w:sz w:val="18"/>
        </w:rPr>
        <w:t>stated</w:t>
      </w:r>
      <w:r w:rsidRPr="00283806">
        <w:rPr>
          <w:spacing w:val="20"/>
          <w:w w:val="105"/>
          <w:sz w:val="18"/>
        </w:rPr>
        <w:t xml:space="preserve"> </w:t>
      </w:r>
      <w:r w:rsidRPr="00283806">
        <w:rPr>
          <w:spacing w:val="-4"/>
          <w:w w:val="105"/>
          <w:sz w:val="18"/>
        </w:rPr>
        <w:t>that</w:t>
      </w:r>
    </w:p>
    <w:p w14:paraId="3ED7FB1E" w14:textId="77777777" w:rsidR="00D67C1E" w:rsidRPr="00283806" w:rsidRDefault="001265CA">
      <w:pPr>
        <w:pStyle w:val="BodyText"/>
        <w:spacing w:line="225" w:lineRule="auto"/>
        <w:ind w:right="37"/>
      </w:pPr>
      <w:r w:rsidRPr="00283806">
        <w:rPr>
          <w:w w:val="105"/>
        </w:rPr>
        <w:t>EPA is uncertain whether mandating the use of reclaimed HFCs would provide benefits in the form of additional HFC reductions. The commenter stated that EPA</w:t>
      </w:r>
      <w:r w:rsidRPr="00283806">
        <w:rPr>
          <w:spacing w:val="40"/>
          <w:w w:val="105"/>
        </w:rPr>
        <w:t xml:space="preserve"> </w:t>
      </w:r>
      <w:r w:rsidRPr="00283806">
        <w:rPr>
          <w:w w:val="105"/>
        </w:rPr>
        <w:t>indicates</w:t>
      </w:r>
      <w:r w:rsidRPr="00283806">
        <w:rPr>
          <w:spacing w:val="40"/>
          <w:w w:val="105"/>
        </w:rPr>
        <w:t xml:space="preserve"> </w:t>
      </w:r>
      <w:r w:rsidRPr="00283806">
        <w:rPr>
          <w:w w:val="105"/>
        </w:rPr>
        <w:t>that</w:t>
      </w:r>
      <w:r w:rsidRPr="00283806">
        <w:rPr>
          <w:spacing w:val="40"/>
          <w:w w:val="105"/>
        </w:rPr>
        <w:t xml:space="preserve"> </w:t>
      </w:r>
      <w:r w:rsidRPr="00283806">
        <w:rPr>
          <w:w w:val="105"/>
        </w:rPr>
        <w:t>use</w:t>
      </w:r>
      <w:r w:rsidRPr="00283806">
        <w:rPr>
          <w:spacing w:val="40"/>
          <w:w w:val="105"/>
        </w:rPr>
        <w:t xml:space="preserve"> </w:t>
      </w:r>
      <w:r w:rsidRPr="00283806">
        <w:rPr>
          <w:w w:val="105"/>
        </w:rPr>
        <w:t>of</w:t>
      </w:r>
      <w:r w:rsidRPr="00283806">
        <w:rPr>
          <w:spacing w:val="40"/>
          <w:w w:val="105"/>
        </w:rPr>
        <w:t xml:space="preserve"> </w:t>
      </w:r>
      <w:r w:rsidRPr="00283806">
        <w:rPr>
          <w:w w:val="105"/>
        </w:rPr>
        <w:t>reclaimed HFCs in the RACHP subsector and fire suppression equipment ‘‘may not yield significant additional HFC consumption reductions, relative to what was previously modeled in the Allocation Framework Rule Reference Case,’’ while noting that EPA states that the ‘‘specific provision of this proposed rule would likely increase the use of recycled/ reclaimed HFCs beyond what was</w:t>
      </w:r>
      <w:r w:rsidRPr="00283806">
        <w:rPr>
          <w:spacing w:val="40"/>
          <w:w w:val="105"/>
        </w:rPr>
        <w:t xml:space="preserve"> </w:t>
      </w:r>
      <w:r w:rsidRPr="00283806">
        <w:rPr>
          <w:w w:val="105"/>
        </w:rPr>
        <w:t>already accounted for in [the RIA].’’ The commenter claimed that EPA offers no quantification of this increase, and that such imprecise and qualified impacts do not provide a sufficient policy basis for the imposition of requirements that will impact the HFC market as envisioned by the AIM Act.</w:t>
      </w:r>
    </w:p>
    <w:p w14:paraId="7EC97D9E" w14:textId="77777777" w:rsidR="00D67C1E" w:rsidRPr="00283806" w:rsidRDefault="001265CA">
      <w:pPr>
        <w:pStyle w:val="BodyText"/>
        <w:spacing w:line="172" w:lineRule="exact"/>
        <w:ind w:left="340"/>
      </w:pPr>
      <w:r w:rsidRPr="00283806">
        <w:rPr>
          <w:w w:val="105"/>
        </w:rPr>
        <w:t>The</w:t>
      </w:r>
      <w:r w:rsidRPr="00283806">
        <w:rPr>
          <w:spacing w:val="2"/>
          <w:w w:val="105"/>
        </w:rPr>
        <w:t xml:space="preserve"> </w:t>
      </w:r>
      <w:r w:rsidRPr="00283806">
        <w:rPr>
          <w:w w:val="105"/>
        </w:rPr>
        <w:t>commenter</w:t>
      </w:r>
      <w:r w:rsidRPr="00283806">
        <w:rPr>
          <w:spacing w:val="2"/>
          <w:w w:val="105"/>
        </w:rPr>
        <w:t xml:space="preserve"> </w:t>
      </w:r>
      <w:r w:rsidRPr="00283806">
        <w:rPr>
          <w:w w:val="105"/>
        </w:rPr>
        <w:t>also</w:t>
      </w:r>
      <w:r w:rsidRPr="00283806">
        <w:rPr>
          <w:spacing w:val="3"/>
          <w:w w:val="105"/>
        </w:rPr>
        <w:t xml:space="preserve"> </w:t>
      </w:r>
      <w:r w:rsidRPr="00283806">
        <w:rPr>
          <w:w w:val="105"/>
        </w:rPr>
        <w:t>asserted</w:t>
      </w:r>
      <w:r w:rsidRPr="00283806">
        <w:rPr>
          <w:spacing w:val="2"/>
          <w:w w:val="105"/>
        </w:rPr>
        <w:t xml:space="preserve"> </w:t>
      </w:r>
      <w:r w:rsidRPr="00283806">
        <w:rPr>
          <w:w w:val="105"/>
        </w:rPr>
        <w:t>that</w:t>
      </w:r>
      <w:r w:rsidRPr="00283806">
        <w:rPr>
          <w:spacing w:val="3"/>
          <w:w w:val="105"/>
        </w:rPr>
        <w:t xml:space="preserve"> </w:t>
      </w:r>
      <w:r w:rsidRPr="00283806">
        <w:rPr>
          <w:spacing w:val="-5"/>
          <w:w w:val="105"/>
        </w:rPr>
        <w:t>the</w:t>
      </w:r>
    </w:p>
    <w:p w14:paraId="12E520CB" w14:textId="77777777" w:rsidR="00D67C1E" w:rsidRPr="00283806" w:rsidRDefault="001265CA">
      <w:pPr>
        <w:pStyle w:val="BodyText"/>
        <w:spacing w:before="2" w:line="225" w:lineRule="auto"/>
        <w:ind w:right="18"/>
      </w:pPr>
      <w:r w:rsidRPr="00283806">
        <w:rPr>
          <w:w w:val="110"/>
        </w:rPr>
        <w:t xml:space="preserve">proposed rule would create a captive market as opposed to one based on competition, thereby losing any economic incentives that could lower the cost of products to consumers. The commenter stated that EPA effectively requires OEMs to buy reclaimed HFCs </w:t>
      </w:r>
      <w:proofErr w:type="gramStart"/>
      <w:r w:rsidRPr="00283806">
        <w:rPr>
          <w:w w:val="110"/>
        </w:rPr>
        <w:t>in order to</w:t>
      </w:r>
      <w:proofErr w:type="gramEnd"/>
      <w:r w:rsidRPr="00283806">
        <w:rPr>
          <w:w w:val="110"/>
        </w:rPr>
        <w:t xml:space="preserve"> sell pre-charged HVACR equipment and technicians and others to</w:t>
      </w:r>
      <w:r w:rsidRPr="00283806">
        <w:rPr>
          <w:spacing w:val="-4"/>
          <w:w w:val="110"/>
        </w:rPr>
        <w:t xml:space="preserve"> </w:t>
      </w:r>
      <w:r w:rsidRPr="00283806">
        <w:rPr>
          <w:w w:val="110"/>
        </w:rPr>
        <w:t>buy</w:t>
      </w:r>
      <w:r w:rsidRPr="00283806">
        <w:rPr>
          <w:spacing w:val="-4"/>
          <w:w w:val="110"/>
        </w:rPr>
        <w:t xml:space="preserve"> </w:t>
      </w:r>
      <w:r w:rsidRPr="00283806">
        <w:rPr>
          <w:w w:val="110"/>
        </w:rPr>
        <w:t>reclaimed</w:t>
      </w:r>
      <w:r w:rsidRPr="00283806">
        <w:rPr>
          <w:spacing w:val="-4"/>
          <w:w w:val="110"/>
        </w:rPr>
        <w:t xml:space="preserve"> </w:t>
      </w:r>
      <w:r w:rsidRPr="00283806">
        <w:rPr>
          <w:w w:val="110"/>
        </w:rPr>
        <w:t>HFCs</w:t>
      </w:r>
      <w:r w:rsidRPr="00283806">
        <w:rPr>
          <w:spacing w:val="-4"/>
          <w:w w:val="110"/>
        </w:rPr>
        <w:t xml:space="preserve"> </w:t>
      </w:r>
      <w:proofErr w:type="gramStart"/>
      <w:r w:rsidRPr="00283806">
        <w:rPr>
          <w:w w:val="110"/>
        </w:rPr>
        <w:t>in</w:t>
      </w:r>
      <w:r w:rsidRPr="00283806">
        <w:rPr>
          <w:spacing w:val="-4"/>
          <w:w w:val="110"/>
        </w:rPr>
        <w:t xml:space="preserve"> </w:t>
      </w:r>
      <w:r w:rsidRPr="00283806">
        <w:rPr>
          <w:w w:val="110"/>
        </w:rPr>
        <w:t>order</w:t>
      </w:r>
      <w:r w:rsidRPr="00283806">
        <w:rPr>
          <w:spacing w:val="-4"/>
          <w:w w:val="110"/>
        </w:rPr>
        <w:t xml:space="preserve"> </w:t>
      </w:r>
      <w:r w:rsidRPr="00283806">
        <w:rPr>
          <w:w w:val="110"/>
        </w:rPr>
        <w:t>to</w:t>
      </w:r>
      <w:proofErr w:type="gramEnd"/>
      <w:r w:rsidRPr="00283806">
        <w:rPr>
          <w:spacing w:val="-4"/>
          <w:w w:val="110"/>
        </w:rPr>
        <w:t xml:space="preserve"> </w:t>
      </w:r>
      <w:r w:rsidRPr="00283806">
        <w:rPr>
          <w:w w:val="110"/>
        </w:rPr>
        <w:t xml:space="preserve">‘‘first </w:t>
      </w:r>
      <w:proofErr w:type="gramStart"/>
      <w:r w:rsidRPr="00283806">
        <w:rPr>
          <w:w w:val="110"/>
        </w:rPr>
        <w:t>fill’’</w:t>
      </w:r>
      <w:proofErr w:type="gramEnd"/>
      <w:r w:rsidRPr="00283806">
        <w:rPr>
          <w:w w:val="110"/>
        </w:rPr>
        <w:t xml:space="preserve"> new equipment on-site. The commenter claimed that this creates a </w:t>
      </w:r>
      <w:r w:rsidRPr="00283806">
        <w:rPr>
          <w:spacing w:val="-2"/>
          <w:w w:val="110"/>
        </w:rPr>
        <w:t>closed</w:t>
      </w:r>
      <w:r w:rsidRPr="00283806">
        <w:rPr>
          <w:spacing w:val="-7"/>
          <w:w w:val="110"/>
        </w:rPr>
        <w:t xml:space="preserve"> </w:t>
      </w:r>
      <w:r w:rsidRPr="00283806">
        <w:rPr>
          <w:spacing w:val="-2"/>
          <w:w w:val="110"/>
        </w:rPr>
        <w:t>market</w:t>
      </w:r>
      <w:r w:rsidRPr="00283806">
        <w:rPr>
          <w:spacing w:val="-7"/>
          <w:w w:val="110"/>
        </w:rPr>
        <w:t xml:space="preserve"> </w:t>
      </w:r>
      <w:r w:rsidRPr="00283806">
        <w:rPr>
          <w:spacing w:val="-2"/>
          <w:w w:val="110"/>
        </w:rPr>
        <w:t>given</w:t>
      </w:r>
      <w:r w:rsidRPr="00283806">
        <w:rPr>
          <w:spacing w:val="-7"/>
          <w:w w:val="110"/>
        </w:rPr>
        <w:t xml:space="preserve"> </w:t>
      </w:r>
      <w:r w:rsidRPr="00283806">
        <w:rPr>
          <w:spacing w:val="-2"/>
          <w:w w:val="110"/>
        </w:rPr>
        <w:t>the</w:t>
      </w:r>
      <w:r w:rsidRPr="00283806">
        <w:rPr>
          <w:spacing w:val="-7"/>
          <w:w w:val="110"/>
        </w:rPr>
        <w:t xml:space="preserve"> </w:t>
      </w:r>
      <w:r w:rsidRPr="00283806">
        <w:rPr>
          <w:spacing w:val="-2"/>
          <w:w w:val="110"/>
        </w:rPr>
        <w:t>finite</w:t>
      </w:r>
      <w:r w:rsidRPr="00283806">
        <w:rPr>
          <w:spacing w:val="-7"/>
          <w:w w:val="110"/>
        </w:rPr>
        <w:t xml:space="preserve"> </w:t>
      </w:r>
      <w:r w:rsidRPr="00283806">
        <w:rPr>
          <w:spacing w:val="-2"/>
          <w:w w:val="110"/>
        </w:rPr>
        <w:t>amount</w:t>
      </w:r>
      <w:r w:rsidRPr="00283806">
        <w:rPr>
          <w:spacing w:val="-7"/>
          <w:w w:val="110"/>
        </w:rPr>
        <w:t xml:space="preserve"> </w:t>
      </w:r>
      <w:r w:rsidRPr="00283806">
        <w:rPr>
          <w:spacing w:val="-2"/>
          <w:w w:val="110"/>
        </w:rPr>
        <w:t xml:space="preserve">of </w:t>
      </w:r>
      <w:r w:rsidRPr="00283806">
        <w:rPr>
          <w:w w:val="110"/>
        </w:rPr>
        <w:t>reclaimed HFCs available, citing EPA’s</w:t>
      </w:r>
    </w:p>
    <w:p w14:paraId="7B27D21A" w14:textId="77777777" w:rsidR="00D67C1E" w:rsidRPr="00283806" w:rsidRDefault="001265CA">
      <w:pPr>
        <w:pStyle w:val="BodyText"/>
        <w:spacing w:before="136" w:line="225" w:lineRule="auto"/>
        <w:ind w:left="144" w:right="89"/>
      </w:pPr>
      <w:r w:rsidRPr="00283806">
        <w:br w:type="column"/>
      </w:r>
      <w:r w:rsidRPr="00283806">
        <w:rPr>
          <w:w w:val="105"/>
        </w:rPr>
        <w:t>2023 reclaim report documenting that 1,600 MT of R–410A was available in 2022 as reclaim, which the commenter claimed, relative to estimated 2022 demand for charging new R–410A AC equipment, represents less than four percent of new equipment demand. The commenter further claimed that in its analysis for the proposed rule, EPA has not considered that the finite amount available in 2022 was likely already</w:t>
      </w:r>
      <w:r w:rsidRPr="00283806">
        <w:rPr>
          <w:spacing w:val="80"/>
          <w:w w:val="150"/>
        </w:rPr>
        <w:t xml:space="preserve"> </w:t>
      </w:r>
      <w:r w:rsidRPr="00283806">
        <w:rPr>
          <w:w w:val="105"/>
        </w:rPr>
        <w:t>sold, leaving other newly obligated parties to purchase required reclaimed HFCs from a market that already has a minimum value established for R–410A. The commenter claimed that this necessarily results in an unbalanced, artificial market of EPA’s creation. The commenter also stated that EPA has not analyzed the cost impact of such market conditions to the end consumer nor any potential adverse outcomes, including concentration of a finite amount of reclaimed</w:t>
      </w:r>
      <w:r w:rsidRPr="00283806">
        <w:rPr>
          <w:spacing w:val="40"/>
          <w:w w:val="105"/>
        </w:rPr>
        <w:t xml:space="preserve"> </w:t>
      </w:r>
      <w:r w:rsidRPr="00283806">
        <w:rPr>
          <w:w w:val="105"/>
        </w:rPr>
        <w:t>HFCs</w:t>
      </w:r>
      <w:r w:rsidRPr="00283806">
        <w:rPr>
          <w:spacing w:val="40"/>
          <w:w w:val="105"/>
        </w:rPr>
        <w:t xml:space="preserve"> </w:t>
      </w:r>
      <w:r w:rsidRPr="00283806">
        <w:rPr>
          <w:w w:val="105"/>
        </w:rPr>
        <w:t>within</w:t>
      </w:r>
      <w:r w:rsidRPr="00283806">
        <w:rPr>
          <w:spacing w:val="40"/>
          <w:w w:val="105"/>
        </w:rPr>
        <w:t xml:space="preserve"> </w:t>
      </w:r>
      <w:r w:rsidRPr="00283806">
        <w:rPr>
          <w:w w:val="105"/>
        </w:rPr>
        <w:t>a</w:t>
      </w:r>
      <w:r w:rsidRPr="00283806">
        <w:rPr>
          <w:spacing w:val="40"/>
          <w:w w:val="105"/>
        </w:rPr>
        <w:t xml:space="preserve"> </w:t>
      </w:r>
      <w:r w:rsidRPr="00283806">
        <w:rPr>
          <w:w w:val="105"/>
        </w:rPr>
        <w:t>relatively small number of suppliers.</w:t>
      </w:r>
    </w:p>
    <w:p w14:paraId="41B41ECA" w14:textId="77777777" w:rsidR="00D67C1E" w:rsidRPr="00283806" w:rsidRDefault="001265CA">
      <w:pPr>
        <w:pStyle w:val="BodyText"/>
        <w:spacing w:line="171" w:lineRule="exact"/>
        <w:ind w:left="324"/>
      </w:pPr>
      <w:r w:rsidRPr="00283806">
        <w:rPr>
          <w:w w:val="105"/>
        </w:rPr>
        <w:t>The</w:t>
      </w:r>
      <w:r w:rsidRPr="00283806">
        <w:rPr>
          <w:spacing w:val="11"/>
          <w:w w:val="105"/>
        </w:rPr>
        <w:t xml:space="preserve"> </w:t>
      </w:r>
      <w:r w:rsidRPr="00283806">
        <w:rPr>
          <w:w w:val="105"/>
        </w:rPr>
        <w:t>commenter</w:t>
      </w:r>
      <w:r w:rsidRPr="00283806">
        <w:rPr>
          <w:spacing w:val="11"/>
          <w:w w:val="105"/>
        </w:rPr>
        <w:t xml:space="preserve"> </w:t>
      </w:r>
      <w:r w:rsidRPr="00283806">
        <w:rPr>
          <w:w w:val="105"/>
        </w:rPr>
        <w:t>also</w:t>
      </w:r>
      <w:r w:rsidRPr="00283806">
        <w:rPr>
          <w:spacing w:val="11"/>
          <w:w w:val="105"/>
        </w:rPr>
        <w:t xml:space="preserve"> </w:t>
      </w:r>
      <w:r w:rsidRPr="00283806">
        <w:rPr>
          <w:w w:val="105"/>
        </w:rPr>
        <w:t>claimed</w:t>
      </w:r>
      <w:r w:rsidRPr="00283806">
        <w:rPr>
          <w:spacing w:val="11"/>
          <w:w w:val="105"/>
        </w:rPr>
        <w:t xml:space="preserve"> </w:t>
      </w:r>
      <w:r w:rsidRPr="00283806">
        <w:rPr>
          <w:w w:val="105"/>
        </w:rPr>
        <w:t>that</w:t>
      </w:r>
      <w:r w:rsidRPr="00283806">
        <w:rPr>
          <w:spacing w:val="12"/>
          <w:w w:val="105"/>
        </w:rPr>
        <w:t xml:space="preserve"> </w:t>
      </w:r>
      <w:r w:rsidRPr="00283806">
        <w:rPr>
          <w:spacing w:val="-5"/>
          <w:w w:val="105"/>
        </w:rPr>
        <w:t>EPA</w:t>
      </w:r>
    </w:p>
    <w:p w14:paraId="360E023A" w14:textId="77777777" w:rsidR="00D67C1E" w:rsidRPr="00283806" w:rsidRDefault="001265CA">
      <w:pPr>
        <w:pStyle w:val="BodyText"/>
        <w:spacing w:before="3" w:line="225" w:lineRule="auto"/>
        <w:ind w:left="144" w:right="84"/>
      </w:pPr>
      <w:r w:rsidRPr="00283806">
        <w:rPr>
          <w:w w:val="105"/>
        </w:rPr>
        <w:t>utilizes ‘‘regulatorily manufactured demand’’ to estimate actual demand for initial charge of reclaimed HFCs in 2028 at 23,300 metric tons, and that by doing so EPA did not establish a ‘‘no action’’ base analysis. Instead, EPA forecasted existing demand by creating reclaim requirements meant to create this ‘‘artificial demand.’’ The commenter</w:t>
      </w:r>
      <w:r w:rsidRPr="00283806">
        <w:rPr>
          <w:spacing w:val="80"/>
          <w:w w:val="105"/>
        </w:rPr>
        <w:t xml:space="preserve"> </w:t>
      </w:r>
      <w:r w:rsidRPr="00283806">
        <w:rPr>
          <w:w w:val="105"/>
        </w:rPr>
        <w:t>then stated that EPA made a faulty assumption in assuming that market forces would not be sufficient to</w:t>
      </w:r>
      <w:r w:rsidRPr="00283806">
        <w:rPr>
          <w:spacing w:val="80"/>
          <w:w w:val="105"/>
        </w:rPr>
        <w:t xml:space="preserve"> </w:t>
      </w:r>
      <w:r w:rsidRPr="00283806">
        <w:rPr>
          <w:w w:val="105"/>
        </w:rPr>
        <w:t>increase reclamation before the next phasedown of HFC production and consumption. The commenter claimed that EPA erroneously concluded that voluntary reclamation programs that ‘‘worked in Europe’’ would not be sufficient to increase reclamation in the United</w:t>
      </w:r>
      <w:r w:rsidRPr="00283806">
        <w:rPr>
          <w:spacing w:val="40"/>
          <w:w w:val="105"/>
        </w:rPr>
        <w:t xml:space="preserve"> </w:t>
      </w:r>
      <w:r w:rsidRPr="00283806">
        <w:rPr>
          <w:w w:val="105"/>
        </w:rPr>
        <w:t>States,</w:t>
      </w:r>
      <w:r w:rsidRPr="00283806">
        <w:rPr>
          <w:spacing w:val="40"/>
          <w:w w:val="105"/>
        </w:rPr>
        <w:t xml:space="preserve"> </w:t>
      </w:r>
      <w:r w:rsidRPr="00283806">
        <w:rPr>
          <w:w w:val="105"/>
        </w:rPr>
        <w:t>and</w:t>
      </w:r>
      <w:r w:rsidRPr="00283806">
        <w:rPr>
          <w:spacing w:val="40"/>
          <w:w w:val="105"/>
        </w:rPr>
        <w:t xml:space="preserve"> </w:t>
      </w:r>
      <w:r w:rsidRPr="00283806">
        <w:rPr>
          <w:w w:val="105"/>
        </w:rPr>
        <w:t>that</w:t>
      </w:r>
      <w:r w:rsidRPr="00283806">
        <w:rPr>
          <w:spacing w:val="40"/>
          <w:w w:val="105"/>
        </w:rPr>
        <w:t xml:space="preserve"> </w:t>
      </w:r>
      <w:r w:rsidRPr="00283806">
        <w:rPr>
          <w:w w:val="105"/>
        </w:rPr>
        <w:t>EPA’s</w:t>
      </w:r>
      <w:r w:rsidRPr="00283806">
        <w:rPr>
          <w:spacing w:val="40"/>
          <w:w w:val="105"/>
        </w:rPr>
        <w:t xml:space="preserve"> </w:t>
      </w:r>
      <w:r w:rsidRPr="00283806">
        <w:rPr>
          <w:w w:val="105"/>
        </w:rPr>
        <w:t>decision to institute regulations to increase reclamation</w:t>
      </w:r>
      <w:r w:rsidRPr="00283806">
        <w:rPr>
          <w:spacing w:val="40"/>
          <w:w w:val="105"/>
        </w:rPr>
        <w:t xml:space="preserve"> </w:t>
      </w:r>
      <w:r w:rsidRPr="00283806">
        <w:rPr>
          <w:w w:val="105"/>
        </w:rPr>
        <w:t>is</w:t>
      </w:r>
      <w:r w:rsidRPr="00283806">
        <w:rPr>
          <w:spacing w:val="40"/>
          <w:w w:val="105"/>
        </w:rPr>
        <w:t xml:space="preserve"> </w:t>
      </w:r>
      <w:r w:rsidRPr="00283806">
        <w:rPr>
          <w:w w:val="105"/>
        </w:rPr>
        <w:t>‘‘at</w:t>
      </w:r>
      <w:r w:rsidRPr="00283806">
        <w:rPr>
          <w:spacing w:val="40"/>
          <w:w w:val="105"/>
        </w:rPr>
        <w:t xml:space="preserve"> </w:t>
      </w:r>
      <w:r w:rsidRPr="00283806">
        <w:rPr>
          <w:w w:val="105"/>
        </w:rPr>
        <w:t>variance</w:t>
      </w:r>
      <w:r w:rsidRPr="00283806">
        <w:rPr>
          <w:spacing w:val="40"/>
          <w:w w:val="105"/>
        </w:rPr>
        <w:t xml:space="preserve"> </w:t>
      </w:r>
      <w:r w:rsidRPr="00283806">
        <w:rPr>
          <w:w w:val="105"/>
        </w:rPr>
        <w:t>with</w:t>
      </w:r>
      <w:r w:rsidRPr="00283806">
        <w:rPr>
          <w:spacing w:val="40"/>
          <w:w w:val="105"/>
        </w:rPr>
        <w:t xml:space="preserve"> </w:t>
      </w:r>
      <w:r w:rsidRPr="00283806">
        <w:rPr>
          <w:w w:val="105"/>
        </w:rPr>
        <w:t>the AIM Act .</w:t>
      </w:r>
      <w:r w:rsidRPr="00283806">
        <w:rPr>
          <w:spacing w:val="40"/>
          <w:w w:val="105"/>
        </w:rPr>
        <w:t xml:space="preserve"> </w:t>
      </w:r>
      <w:r w:rsidRPr="00283806">
        <w:rPr>
          <w:w w:val="105"/>
        </w:rPr>
        <w:t>.</w:t>
      </w:r>
      <w:r w:rsidRPr="00283806">
        <w:rPr>
          <w:spacing w:val="40"/>
          <w:w w:val="105"/>
        </w:rPr>
        <w:t xml:space="preserve"> </w:t>
      </w:r>
      <w:r w:rsidRPr="00283806">
        <w:rPr>
          <w:w w:val="105"/>
        </w:rPr>
        <w:t xml:space="preserve">. [and] arbitrary and </w:t>
      </w:r>
      <w:r w:rsidRPr="00283806">
        <w:rPr>
          <w:spacing w:val="-2"/>
          <w:w w:val="105"/>
        </w:rPr>
        <w:t>capricious.’’</w:t>
      </w:r>
    </w:p>
    <w:p w14:paraId="5278328D" w14:textId="77777777" w:rsidR="00D67C1E" w:rsidRPr="00283806" w:rsidRDefault="001265CA">
      <w:pPr>
        <w:pStyle w:val="BodyText"/>
        <w:spacing w:line="171" w:lineRule="exact"/>
        <w:ind w:left="324"/>
      </w:pPr>
      <w:r w:rsidRPr="00283806">
        <w:rPr>
          <w:w w:val="105"/>
        </w:rPr>
        <w:t>The</w:t>
      </w:r>
      <w:r w:rsidRPr="00283806">
        <w:rPr>
          <w:spacing w:val="1"/>
          <w:w w:val="105"/>
        </w:rPr>
        <w:t xml:space="preserve"> </w:t>
      </w:r>
      <w:r w:rsidRPr="00283806">
        <w:rPr>
          <w:w w:val="105"/>
        </w:rPr>
        <w:t>commenter</w:t>
      </w:r>
      <w:r w:rsidRPr="00283806">
        <w:rPr>
          <w:spacing w:val="2"/>
          <w:w w:val="105"/>
        </w:rPr>
        <w:t xml:space="preserve"> </w:t>
      </w:r>
      <w:r w:rsidRPr="00283806">
        <w:rPr>
          <w:w w:val="105"/>
        </w:rPr>
        <w:t>further</w:t>
      </w:r>
      <w:r w:rsidRPr="00283806">
        <w:rPr>
          <w:spacing w:val="2"/>
          <w:w w:val="105"/>
        </w:rPr>
        <w:t xml:space="preserve"> </w:t>
      </w:r>
      <w:r w:rsidRPr="00283806">
        <w:rPr>
          <w:w w:val="105"/>
        </w:rPr>
        <w:t>stated</w:t>
      </w:r>
      <w:r w:rsidRPr="00283806">
        <w:rPr>
          <w:spacing w:val="2"/>
          <w:w w:val="105"/>
        </w:rPr>
        <w:t xml:space="preserve"> </w:t>
      </w:r>
      <w:r w:rsidRPr="00283806">
        <w:rPr>
          <w:spacing w:val="-4"/>
          <w:w w:val="105"/>
        </w:rPr>
        <w:t>that</w:t>
      </w:r>
    </w:p>
    <w:p w14:paraId="68383000" w14:textId="77777777" w:rsidR="00D67C1E" w:rsidRPr="00283806" w:rsidRDefault="001265CA">
      <w:pPr>
        <w:pStyle w:val="BodyText"/>
        <w:spacing w:before="4" w:line="225" w:lineRule="auto"/>
        <w:ind w:left="144" w:right="62"/>
      </w:pPr>
      <w:r w:rsidRPr="00283806">
        <w:rPr>
          <w:w w:val="105"/>
        </w:rPr>
        <w:t>reclaim requirements for HFCs are also unnecessary based on the United States’ experience with the phaseout of ODS, as</w:t>
      </w:r>
      <w:r w:rsidRPr="00283806">
        <w:rPr>
          <w:spacing w:val="80"/>
          <w:w w:val="105"/>
        </w:rPr>
        <w:t xml:space="preserve"> </w:t>
      </w:r>
      <w:r w:rsidRPr="00283806">
        <w:rPr>
          <w:w w:val="105"/>
        </w:rPr>
        <w:t>a reclamation market has allowed the continued use of ODS even in the</w:t>
      </w:r>
      <w:r w:rsidRPr="00283806">
        <w:rPr>
          <w:spacing w:val="80"/>
          <w:w w:val="105"/>
        </w:rPr>
        <w:t xml:space="preserve"> </w:t>
      </w:r>
      <w:r w:rsidRPr="00283806">
        <w:rPr>
          <w:w w:val="105"/>
        </w:rPr>
        <w:t>absence of voluntary reclamation requirements. Furthermore, the commenter stated that the climate</w:t>
      </w:r>
      <w:r w:rsidRPr="00283806">
        <w:rPr>
          <w:spacing w:val="40"/>
          <w:w w:val="105"/>
        </w:rPr>
        <w:t xml:space="preserve"> </w:t>
      </w:r>
      <w:r w:rsidRPr="00283806">
        <w:rPr>
          <w:w w:val="105"/>
        </w:rPr>
        <w:t xml:space="preserve">impact of refrigerant leaks is the same regardless of whether refrigerant is reclaimed or virgin, and that EPA has no basis for claiming that there will be </w:t>
      </w:r>
      <w:proofErr w:type="gramStart"/>
      <w:r w:rsidRPr="00283806">
        <w:rPr>
          <w:w w:val="105"/>
        </w:rPr>
        <w:t>a climate</w:t>
      </w:r>
      <w:proofErr w:type="gramEnd"/>
      <w:r w:rsidRPr="00283806">
        <w:rPr>
          <w:w w:val="105"/>
        </w:rPr>
        <w:t xml:space="preserve"> benefit from reclamation requirements or that reclamation will offset emissions from newly produced HFCs, either domestic or imported. The commenter stated that EPA’s own analysis has not proven that increased</w:t>
      </w:r>
    </w:p>
    <w:p w14:paraId="4E96559A" w14:textId="77777777" w:rsidR="00D67C1E" w:rsidRPr="00283806" w:rsidRDefault="001265CA">
      <w:pPr>
        <w:pStyle w:val="BodyText"/>
        <w:spacing w:before="136" w:line="225" w:lineRule="auto"/>
        <w:ind w:left="145" w:right="254"/>
      </w:pPr>
      <w:r w:rsidRPr="00283806">
        <w:br w:type="column"/>
      </w:r>
      <w:r w:rsidRPr="00283806">
        <w:rPr>
          <w:w w:val="105"/>
        </w:rPr>
        <w:t>reclamation will provide additional benefits, citing quotations from the RIA addendum. The commenter instead concluded that ‘‘market distortion’’ is the most likely outcome, with some parts of the HFC marketplace impacted more heavily than others.</w:t>
      </w:r>
    </w:p>
    <w:p w14:paraId="785EDA78" w14:textId="77777777" w:rsidR="00D67C1E" w:rsidRPr="00283806" w:rsidRDefault="001265CA">
      <w:pPr>
        <w:pStyle w:val="BodyText"/>
        <w:spacing w:line="178" w:lineRule="exact"/>
        <w:ind w:left="325"/>
      </w:pPr>
      <w:r w:rsidRPr="00283806">
        <w:rPr>
          <w:w w:val="105"/>
        </w:rPr>
        <w:t>The</w:t>
      </w:r>
      <w:r w:rsidRPr="00283806">
        <w:rPr>
          <w:spacing w:val="19"/>
          <w:w w:val="105"/>
        </w:rPr>
        <w:t xml:space="preserve"> </w:t>
      </w:r>
      <w:r w:rsidRPr="00283806">
        <w:rPr>
          <w:w w:val="105"/>
        </w:rPr>
        <w:t>commenter</w:t>
      </w:r>
      <w:r w:rsidRPr="00283806">
        <w:rPr>
          <w:spacing w:val="19"/>
          <w:w w:val="105"/>
        </w:rPr>
        <w:t xml:space="preserve"> </w:t>
      </w:r>
      <w:r w:rsidRPr="00283806">
        <w:rPr>
          <w:w w:val="105"/>
        </w:rPr>
        <w:t>additionally</w:t>
      </w:r>
      <w:r w:rsidRPr="00283806">
        <w:rPr>
          <w:spacing w:val="19"/>
          <w:w w:val="105"/>
        </w:rPr>
        <w:t xml:space="preserve"> </w:t>
      </w:r>
      <w:r w:rsidRPr="00283806">
        <w:rPr>
          <w:spacing w:val="-2"/>
          <w:w w:val="105"/>
        </w:rPr>
        <w:t>asserted</w:t>
      </w:r>
    </w:p>
    <w:p w14:paraId="69F03284" w14:textId="77777777" w:rsidR="00D67C1E" w:rsidRPr="00283806" w:rsidRDefault="001265CA">
      <w:pPr>
        <w:pStyle w:val="BodyText"/>
        <w:spacing w:before="3" w:line="225" w:lineRule="auto"/>
        <w:ind w:left="145" w:right="142"/>
      </w:pPr>
      <w:r w:rsidRPr="00283806">
        <w:rPr>
          <w:w w:val="105"/>
        </w:rPr>
        <w:t>that the RIA is inadequate to support EPA’s proposed direct intervention in</w:t>
      </w:r>
      <w:r w:rsidRPr="00283806">
        <w:rPr>
          <w:spacing w:val="80"/>
          <w:w w:val="105"/>
        </w:rPr>
        <w:t xml:space="preserve"> </w:t>
      </w:r>
      <w:r w:rsidRPr="00283806">
        <w:rPr>
          <w:w w:val="105"/>
        </w:rPr>
        <w:t>the market. The commenter noted that EPA states in the RIA addendum that because ‘‘cost and emission estimates aren’t</w:t>
      </w:r>
      <w:r w:rsidRPr="00283806">
        <w:rPr>
          <w:spacing w:val="40"/>
          <w:w w:val="105"/>
        </w:rPr>
        <w:t xml:space="preserve"> </w:t>
      </w:r>
      <w:r w:rsidRPr="00283806">
        <w:rPr>
          <w:w w:val="105"/>
        </w:rPr>
        <w:t>available</w:t>
      </w:r>
      <w:r w:rsidRPr="00283806">
        <w:rPr>
          <w:spacing w:val="40"/>
          <w:w w:val="105"/>
        </w:rPr>
        <w:t xml:space="preserve"> </w:t>
      </w:r>
      <w:r w:rsidRPr="00283806">
        <w:rPr>
          <w:w w:val="105"/>
        </w:rPr>
        <w:t>specifically</w:t>
      </w:r>
      <w:r w:rsidRPr="00283806">
        <w:rPr>
          <w:spacing w:val="40"/>
          <w:w w:val="105"/>
        </w:rPr>
        <w:t xml:space="preserve"> </w:t>
      </w:r>
      <w:r w:rsidRPr="00283806">
        <w:rPr>
          <w:w w:val="105"/>
        </w:rPr>
        <w:t>in</w:t>
      </w:r>
      <w:r w:rsidRPr="00283806">
        <w:rPr>
          <w:spacing w:val="40"/>
          <w:w w:val="105"/>
        </w:rPr>
        <w:t xml:space="preserve"> </w:t>
      </w:r>
      <w:r w:rsidRPr="00283806">
        <w:rPr>
          <w:w w:val="105"/>
        </w:rPr>
        <w:t>the United States context, cost savings and benefits are not directly incorporated into the overall compliance costs and benefit estimates associated with the rulemaking [provisions on</w:t>
      </w:r>
      <w:r w:rsidRPr="00283806">
        <w:rPr>
          <w:spacing w:val="80"/>
          <w:w w:val="105"/>
        </w:rPr>
        <w:t xml:space="preserve"> </w:t>
      </w:r>
      <w:r w:rsidRPr="00283806">
        <w:rPr>
          <w:w w:val="105"/>
        </w:rPr>
        <w:t>reclamation],’’ and states that to account for</w:t>
      </w:r>
      <w:r w:rsidRPr="00283806">
        <w:rPr>
          <w:spacing w:val="40"/>
          <w:w w:val="105"/>
        </w:rPr>
        <w:t xml:space="preserve"> </w:t>
      </w:r>
      <w:r w:rsidRPr="00283806">
        <w:rPr>
          <w:w w:val="105"/>
        </w:rPr>
        <w:t>the</w:t>
      </w:r>
      <w:r w:rsidRPr="00283806">
        <w:rPr>
          <w:spacing w:val="40"/>
          <w:w w:val="105"/>
        </w:rPr>
        <w:t xml:space="preserve"> </w:t>
      </w:r>
      <w:r w:rsidRPr="00283806">
        <w:rPr>
          <w:w w:val="105"/>
        </w:rPr>
        <w:t>uncertainty</w:t>
      </w:r>
      <w:r w:rsidRPr="00283806">
        <w:rPr>
          <w:spacing w:val="40"/>
          <w:w w:val="105"/>
        </w:rPr>
        <w:t xml:space="preserve"> </w:t>
      </w:r>
      <w:r w:rsidRPr="00283806">
        <w:rPr>
          <w:w w:val="105"/>
        </w:rPr>
        <w:t>in</w:t>
      </w:r>
      <w:r w:rsidRPr="00283806">
        <w:rPr>
          <w:spacing w:val="40"/>
          <w:w w:val="105"/>
        </w:rPr>
        <w:t xml:space="preserve"> </w:t>
      </w:r>
      <w:r w:rsidRPr="00283806">
        <w:rPr>
          <w:w w:val="105"/>
        </w:rPr>
        <w:t>EPA’s intervention in the market, EPA created two scenarios: (1) Where requirements to</w:t>
      </w:r>
      <w:r w:rsidRPr="00283806">
        <w:rPr>
          <w:spacing w:val="37"/>
          <w:w w:val="105"/>
        </w:rPr>
        <w:t xml:space="preserve"> </w:t>
      </w:r>
      <w:r w:rsidRPr="00283806">
        <w:rPr>
          <w:w w:val="105"/>
        </w:rPr>
        <w:t>use</w:t>
      </w:r>
      <w:r w:rsidRPr="00283806">
        <w:rPr>
          <w:spacing w:val="37"/>
          <w:w w:val="105"/>
        </w:rPr>
        <w:t xml:space="preserve"> </w:t>
      </w:r>
      <w:r w:rsidRPr="00283806">
        <w:rPr>
          <w:w w:val="105"/>
        </w:rPr>
        <w:t>reclaimed</w:t>
      </w:r>
      <w:r w:rsidRPr="00283806">
        <w:rPr>
          <w:spacing w:val="37"/>
          <w:w w:val="105"/>
        </w:rPr>
        <w:t xml:space="preserve"> </w:t>
      </w:r>
      <w:r w:rsidRPr="00283806">
        <w:rPr>
          <w:w w:val="105"/>
        </w:rPr>
        <w:t>HFCs</w:t>
      </w:r>
      <w:r w:rsidRPr="00283806">
        <w:rPr>
          <w:spacing w:val="37"/>
          <w:w w:val="105"/>
        </w:rPr>
        <w:t xml:space="preserve"> </w:t>
      </w:r>
      <w:r w:rsidRPr="00283806">
        <w:rPr>
          <w:w w:val="105"/>
        </w:rPr>
        <w:t>result</w:t>
      </w:r>
      <w:r w:rsidRPr="00283806">
        <w:rPr>
          <w:spacing w:val="37"/>
          <w:w w:val="105"/>
        </w:rPr>
        <w:t xml:space="preserve"> </w:t>
      </w:r>
      <w:r w:rsidRPr="00283806">
        <w:rPr>
          <w:w w:val="105"/>
        </w:rPr>
        <w:t>in</w:t>
      </w:r>
      <w:r w:rsidRPr="00283806">
        <w:rPr>
          <w:spacing w:val="37"/>
          <w:w w:val="105"/>
        </w:rPr>
        <w:t xml:space="preserve"> </w:t>
      </w:r>
      <w:r w:rsidRPr="00283806">
        <w:rPr>
          <w:w w:val="105"/>
        </w:rPr>
        <w:t>a</w:t>
      </w:r>
      <w:r w:rsidRPr="00283806">
        <w:rPr>
          <w:spacing w:val="37"/>
          <w:w w:val="105"/>
        </w:rPr>
        <w:t xml:space="preserve"> </w:t>
      </w:r>
      <w:r w:rsidRPr="00283806">
        <w:rPr>
          <w:w w:val="105"/>
        </w:rPr>
        <w:t>shift of the use of available consumption and production allowances; and (2) a ‘high additionality’ case where some abatement of HFCs is assumed. The commenter stated that EPA then measured the costs and benefits of reclamation using a highly flawed methodology, and that EPA calculated</w:t>
      </w:r>
      <w:r w:rsidRPr="00283806">
        <w:rPr>
          <w:spacing w:val="40"/>
          <w:w w:val="105"/>
        </w:rPr>
        <w:t xml:space="preserve"> </w:t>
      </w:r>
      <w:r w:rsidRPr="00283806">
        <w:rPr>
          <w:w w:val="105"/>
        </w:rPr>
        <w:t>the incremental cost differences of</w:t>
      </w:r>
      <w:r w:rsidRPr="00283806">
        <w:rPr>
          <w:spacing w:val="80"/>
          <w:w w:val="105"/>
        </w:rPr>
        <w:t xml:space="preserve"> </w:t>
      </w:r>
      <w:r w:rsidRPr="00283806">
        <w:rPr>
          <w:w w:val="105"/>
        </w:rPr>
        <w:t>virgin production, destruction, and reclamation at $0.58 per kilogram. The commenter asserted that this methodology merely compared the cost of</w:t>
      </w:r>
      <w:r w:rsidRPr="00283806">
        <w:rPr>
          <w:spacing w:val="40"/>
          <w:w w:val="105"/>
        </w:rPr>
        <w:t xml:space="preserve"> </w:t>
      </w:r>
      <w:r w:rsidRPr="00283806">
        <w:rPr>
          <w:w w:val="105"/>
        </w:rPr>
        <w:t>virgin</w:t>
      </w:r>
      <w:r w:rsidRPr="00283806">
        <w:rPr>
          <w:spacing w:val="40"/>
          <w:w w:val="105"/>
        </w:rPr>
        <w:t xml:space="preserve"> </w:t>
      </w:r>
      <w:r w:rsidRPr="00283806">
        <w:rPr>
          <w:w w:val="105"/>
        </w:rPr>
        <w:t>production</w:t>
      </w:r>
      <w:r w:rsidRPr="00283806">
        <w:rPr>
          <w:spacing w:val="40"/>
          <w:w w:val="105"/>
        </w:rPr>
        <w:t xml:space="preserve"> </w:t>
      </w:r>
      <w:r w:rsidRPr="00283806">
        <w:rPr>
          <w:w w:val="105"/>
        </w:rPr>
        <w:t>and</w:t>
      </w:r>
      <w:r w:rsidRPr="00283806">
        <w:rPr>
          <w:spacing w:val="40"/>
          <w:w w:val="105"/>
        </w:rPr>
        <w:t xml:space="preserve"> </w:t>
      </w:r>
      <w:r w:rsidRPr="00283806">
        <w:rPr>
          <w:w w:val="105"/>
        </w:rPr>
        <w:t xml:space="preserve">destruction and then subtracted the cost of reclamation, and that this calculation is effectively meaningless in the context of what EPA </w:t>
      </w:r>
      <w:proofErr w:type="gramStart"/>
      <w:r w:rsidRPr="00283806">
        <w:rPr>
          <w:w w:val="105"/>
        </w:rPr>
        <w:t>actually proposed</w:t>
      </w:r>
      <w:proofErr w:type="gramEnd"/>
      <w:r w:rsidRPr="00283806">
        <w:rPr>
          <w:w w:val="105"/>
        </w:rPr>
        <w:t>.</w:t>
      </w:r>
    </w:p>
    <w:p w14:paraId="3ECED4C9" w14:textId="77777777" w:rsidR="00D67C1E" w:rsidRPr="00283806" w:rsidRDefault="001265CA">
      <w:pPr>
        <w:pStyle w:val="BodyText"/>
        <w:spacing w:line="168" w:lineRule="exact"/>
        <w:ind w:left="325"/>
      </w:pPr>
      <w:r w:rsidRPr="00283806">
        <w:rPr>
          <w:w w:val="105"/>
        </w:rPr>
        <w:t>The</w:t>
      </w:r>
      <w:r w:rsidRPr="00283806">
        <w:rPr>
          <w:spacing w:val="11"/>
          <w:w w:val="105"/>
        </w:rPr>
        <w:t xml:space="preserve"> </w:t>
      </w:r>
      <w:r w:rsidRPr="00283806">
        <w:rPr>
          <w:w w:val="105"/>
        </w:rPr>
        <w:t>commenter</w:t>
      </w:r>
      <w:r w:rsidRPr="00283806">
        <w:rPr>
          <w:spacing w:val="11"/>
          <w:w w:val="105"/>
        </w:rPr>
        <w:t xml:space="preserve"> </w:t>
      </w:r>
      <w:r w:rsidRPr="00283806">
        <w:rPr>
          <w:w w:val="105"/>
        </w:rPr>
        <w:t>also</w:t>
      </w:r>
      <w:r w:rsidRPr="00283806">
        <w:rPr>
          <w:spacing w:val="11"/>
          <w:w w:val="105"/>
        </w:rPr>
        <w:t xml:space="preserve"> </w:t>
      </w:r>
      <w:r w:rsidRPr="00283806">
        <w:rPr>
          <w:w w:val="105"/>
        </w:rPr>
        <w:t>claimed</w:t>
      </w:r>
      <w:r w:rsidRPr="00283806">
        <w:rPr>
          <w:spacing w:val="11"/>
          <w:w w:val="105"/>
        </w:rPr>
        <w:t xml:space="preserve"> </w:t>
      </w:r>
      <w:r w:rsidRPr="00283806">
        <w:rPr>
          <w:w w:val="105"/>
        </w:rPr>
        <w:t>that</w:t>
      </w:r>
      <w:r w:rsidRPr="00283806">
        <w:rPr>
          <w:spacing w:val="12"/>
          <w:w w:val="105"/>
        </w:rPr>
        <w:t xml:space="preserve"> </w:t>
      </w:r>
      <w:r w:rsidRPr="00283806">
        <w:rPr>
          <w:spacing w:val="-4"/>
          <w:w w:val="105"/>
        </w:rPr>
        <w:t>this</w:t>
      </w:r>
    </w:p>
    <w:p w14:paraId="1FC5ECE7" w14:textId="77777777" w:rsidR="00D67C1E" w:rsidRPr="00283806" w:rsidRDefault="001265CA">
      <w:pPr>
        <w:pStyle w:val="BodyText"/>
        <w:spacing w:before="4" w:line="225" w:lineRule="auto"/>
        <w:ind w:left="145" w:right="158"/>
      </w:pPr>
      <w:r w:rsidRPr="00283806">
        <w:rPr>
          <w:w w:val="105"/>
        </w:rPr>
        <w:t>analysis showed that there is already a strong economic incentive to reclaim HFCs instead of destroying them,</w:t>
      </w:r>
      <w:r w:rsidRPr="00283806">
        <w:rPr>
          <w:spacing w:val="80"/>
          <w:w w:val="105"/>
        </w:rPr>
        <w:t xml:space="preserve"> </w:t>
      </w:r>
      <w:r w:rsidRPr="00283806">
        <w:rPr>
          <w:w w:val="105"/>
        </w:rPr>
        <w:t>because</w:t>
      </w:r>
      <w:r w:rsidRPr="00283806">
        <w:rPr>
          <w:spacing w:val="40"/>
          <w:w w:val="105"/>
        </w:rPr>
        <w:t xml:space="preserve"> </w:t>
      </w:r>
      <w:r w:rsidRPr="00283806">
        <w:rPr>
          <w:w w:val="105"/>
        </w:rPr>
        <w:t>the</w:t>
      </w:r>
      <w:r w:rsidRPr="00283806">
        <w:rPr>
          <w:spacing w:val="40"/>
          <w:w w:val="105"/>
        </w:rPr>
        <w:t xml:space="preserve"> </w:t>
      </w:r>
      <w:r w:rsidRPr="00283806">
        <w:rPr>
          <w:w w:val="105"/>
        </w:rPr>
        <w:t>estimated</w:t>
      </w:r>
      <w:r w:rsidRPr="00283806">
        <w:rPr>
          <w:spacing w:val="40"/>
          <w:w w:val="105"/>
        </w:rPr>
        <w:t xml:space="preserve"> </w:t>
      </w:r>
      <w:r w:rsidRPr="00283806">
        <w:rPr>
          <w:w w:val="105"/>
        </w:rPr>
        <w:t>cost</w:t>
      </w:r>
      <w:r w:rsidRPr="00283806">
        <w:rPr>
          <w:spacing w:val="40"/>
          <w:w w:val="105"/>
        </w:rPr>
        <w:t xml:space="preserve"> </w:t>
      </w:r>
      <w:r w:rsidRPr="00283806">
        <w:rPr>
          <w:w w:val="105"/>
        </w:rPr>
        <w:t xml:space="preserve">of production is $0.24 versus $0.04 for reclamation. The commenter further stated that the cost calculated does not actually reflect EPA’s proposal to substitute the use of reclaimed versus newly produced </w:t>
      </w:r>
      <w:proofErr w:type="gramStart"/>
      <w:r w:rsidRPr="00283806">
        <w:rPr>
          <w:w w:val="105"/>
        </w:rPr>
        <w:t>HFCs, and</w:t>
      </w:r>
      <w:proofErr w:type="gramEnd"/>
      <w:r w:rsidRPr="00283806">
        <w:rPr>
          <w:w w:val="105"/>
        </w:rPr>
        <w:t xml:space="preserve"> instead assumes that all newly produced HFCs would be destroyed without EPA’s proposed mandatory use of reclaimed HFCs,</w:t>
      </w:r>
      <w:r w:rsidRPr="00283806">
        <w:rPr>
          <w:spacing w:val="40"/>
          <w:w w:val="105"/>
        </w:rPr>
        <w:t xml:space="preserve"> </w:t>
      </w:r>
      <w:r w:rsidRPr="00283806">
        <w:rPr>
          <w:w w:val="105"/>
        </w:rPr>
        <w:t>which</w:t>
      </w:r>
      <w:r w:rsidRPr="00283806">
        <w:rPr>
          <w:spacing w:val="40"/>
          <w:w w:val="105"/>
        </w:rPr>
        <w:t xml:space="preserve"> </w:t>
      </w:r>
      <w:r w:rsidRPr="00283806">
        <w:rPr>
          <w:w w:val="105"/>
        </w:rPr>
        <w:t>the</w:t>
      </w:r>
      <w:r w:rsidRPr="00283806">
        <w:rPr>
          <w:spacing w:val="40"/>
          <w:w w:val="105"/>
        </w:rPr>
        <w:t xml:space="preserve"> </w:t>
      </w:r>
      <w:r w:rsidRPr="00283806">
        <w:rPr>
          <w:w w:val="105"/>
        </w:rPr>
        <w:t>commenter</w:t>
      </w:r>
      <w:r w:rsidRPr="00283806">
        <w:rPr>
          <w:spacing w:val="40"/>
          <w:w w:val="105"/>
        </w:rPr>
        <w:t xml:space="preserve"> </w:t>
      </w:r>
      <w:r w:rsidRPr="00283806">
        <w:rPr>
          <w:w w:val="105"/>
        </w:rPr>
        <w:t>describes as nonsensical. The commenter claimed that</w:t>
      </w:r>
      <w:r w:rsidRPr="00283806">
        <w:rPr>
          <w:spacing w:val="40"/>
          <w:w w:val="105"/>
        </w:rPr>
        <w:t xml:space="preserve"> </w:t>
      </w:r>
      <w:r w:rsidRPr="00283806">
        <w:rPr>
          <w:w w:val="105"/>
        </w:rPr>
        <w:t>for</w:t>
      </w:r>
      <w:r w:rsidRPr="00283806">
        <w:rPr>
          <w:spacing w:val="40"/>
          <w:w w:val="105"/>
        </w:rPr>
        <w:t xml:space="preserve"> </w:t>
      </w:r>
      <w:r w:rsidRPr="00283806">
        <w:rPr>
          <w:w w:val="105"/>
        </w:rPr>
        <w:t>EPA’s</w:t>
      </w:r>
      <w:r w:rsidRPr="00283806">
        <w:rPr>
          <w:spacing w:val="40"/>
          <w:w w:val="105"/>
        </w:rPr>
        <w:t xml:space="preserve"> </w:t>
      </w:r>
      <w:r w:rsidRPr="00283806">
        <w:rPr>
          <w:w w:val="105"/>
        </w:rPr>
        <w:t>proposed</w:t>
      </w:r>
      <w:r w:rsidRPr="00283806">
        <w:rPr>
          <w:spacing w:val="40"/>
          <w:w w:val="105"/>
        </w:rPr>
        <w:t xml:space="preserve"> </w:t>
      </w:r>
      <w:r w:rsidRPr="00283806">
        <w:rPr>
          <w:w w:val="105"/>
        </w:rPr>
        <w:t>use</w:t>
      </w:r>
      <w:r w:rsidRPr="00283806">
        <w:rPr>
          <w:spacing w:val="40"/>
          <w:w w:val="105"/>
        </w:rPr>
        <w:t xml:space="preserve"> </w:t>
      </w:r>
      <w:r w:rsidRPr="00283806">
        <w:rPr>
          <w:w w:val="105"/>
        </w:rPr>
        <w:t>of reclaimed HFCs to have a market effect (</w:t>
      </w:r>
      <w:r w:rsidRPr="00283806">
        <w:rPr>
          <w:rFonts w:ascii="Book Antiqua" w:hAnsi="Book Antiqua"/>
          <w:i/>
          <w:w w:val="105"/>
        </w:rPr>
        <w:t xml:space="preserve">e.g., </w:t>
      </w:r>
      <w:r w:rsidRPr="00283806">
        <w:rPr>
          <w:w w:val="105"/>
        </w:rPr>
        <w:t>if</w:t>
      </w:r>
      <w:r w:rsidRPr="00283806">
        <w:rPr>
          <w:spacing w:val="40"/>
          <w:w w:val="105"/>
        </w:rPr>
        <w:t xml:space="preserve"> </w:t>
      </w:r>
      <w:r w:rsidRPr="00283806">
        <w:rPr>
          <w:w w:val="105"/>
        </w:rPr>
        <w:t>it</w:t>
      </w:r>
      <w:r w:rsidRPr="00283806">
        <w:rPr>
          <w:spacing w:val="40"/>
          <w:w w:val="105"/>
        </w:rPr>
        <w:t xml:space="preserve"> </w:t>
      </w:r>
      <w:r w:rsidRPr="00283806">
        <w:rPr>
          <w:w w:val="105"/>
        </w:rPr>
        <w:t>is</w:t>
      </w:r>
      <w:r w:rsidRPr="00283806">
        <w:rPr>
          <w:spacing w:val="40"/>
          <w:w w:val="105"/>
        </w:rPr>
        <w:t xml:space="preserve"> </w:t>
      </w:r>
      <w:r w:rsidRPr="00283806">
        <w:rPr>
          <w:w w:val="105"/>
        </w:rPr>
        <w:t>assumed</w:t>
      </w:r>
      <w:r w:rsidRPr="00283806">
        <w:rPr>
          <w:spacing w:val="40"/>
          <w:w w:val="105"/>
        </w:rPr>
        <w:t xml:space="preserve"> </w:t>
      </w:r>
      <w:r w:rsidRPr="00283806">
        <w:rPr>
          <w:w w:val="105"/>
        </w:rPr>
        <w:t>that</w:t>
      </w:r>
      <w:r w:rsidRPr="00283806">
        <w:rPr>
          <w:spacing w:val="40"/>
          <w:w w:val="105"/>
        </w:rPr>
        <w:t xml:space="preserve"> </w:t>
      </w:r>
      <w:r w:rsidRPr="00283806">
        <w:rPr>
          <w:w w:val="105"/>
        </w:rPr>
        <w:t>reclaimed HFCs will offset the production of virgin HFCs) then new production should be offset by 1:1 (or some other, lesser ratio) but any newly produced HFCs would logically not be concurrently destroyed. Rather, the commenter asserted, both</w:t>
      </w:r>
      <w:r w:rsidRPr="00283806">
        <w:rPr>
          <w:spacing w:val="80"/>
          <w:w w:val="105"/>
        </w:rPr>
        <w:t xml:space="preserve"> </w:t>
      </w:r>
      <w:r w:rsidRPr="00283806">
        <w:rPr>
          <w:w w:val="105"/>
        </w:rPr>
        <w:t>the virgin HFC and the reclaimed HFC would eventually be destroyed,</w:t>
      </w:r>
    </w:p>
    <w:p w14:paraId="071E1125"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6" w:space="40"/>
            <w:col w:w="3500" w:space="39"/>
            <w:col w:w="3625"/>
          </w:cols>
        </w:sectPr>
      </w:pPr>
    </w:p>
    <w:p w14:paraId="278466E6" w14:textId="77777777" w:rsidR="00D67C1E" w:rsidRPr="00283806" w:rsidRDefault="001265CA">
      <w:pPr>
        <w:pStyle w:val="BodyText"/>
        <w:spacing w:before="136" w:line="225" w:lineRule="auto"/>
        <w:ind w:right="78"/>
      </w:pPr>
      <w:r w:rsidRPr="00283806">
        <w:rPr>
          <w:w w:val="105"/>
        </w:rPr>
        <w:lastRenderedPageBreak/>
        <w:t>presumably at comparable rates, meaning</w:t>
      </w:r>
      <w:r w:rsidRPr="00283806">
        <w:rPr>
          <w:spacing w:val="11"/>
          <w:w w:val="105"/>
        </w:rPr>
        <w:t xml:space="preserve"> </w:t>
      </w:r>
      <w:r w:rsidRPr="00283806">
        <w:rPr>
          <w:w w:val="105"/>
        </w:rPr>
        <w:t>that</w:t>
      </w:r>
      <w:r w:rsidRPr="00283806">
        <w:rPr>
          <w:spacing w:val="11"/>
          <w:w w:val="105"/>
        </w:rPr>
        <w:t xml:space="preserve"> </w:t>
      </w:r>
      <w:r w:rsidRPr="00283806">
        <w:rPr>
          <w:w w:val="105"/>
        </w:rPr>
        <w:t>the</w:t>
      </w:r>
      <w:r w:rsidRPr="00283806">
        <w:rPr>
          <w:spacing w:val="11"/>
          <w:w w:val="105"/>
        </w:rPr>
        <w:t xml:space="preserve"> </w:t>
      </w:r>
      <w:r w:rsidRPr="00283806">
        <w:rPr>
          <w:w w:val="105"/>
        </w:rPr>
        <w:t>calculated</w:t>
      </w:r>
      <w:r w:rsidRPr="00283806">
        <w:rPr>
          <w:spacing w:val="12"/>
          <w:w w:val="105"/>
        </w:rPr>
        <w:t xml:space="preserve"> </w:t>
      </w:r>
      <w:r w:rsidRPr="00283806">
        <w:rPr>
          <w:w w:val="105"/>
        </w:rPr>
        <w:t>benefit</w:t>
      </w:r>
      <w:r w:rsidRPr="00283806">
        <w:rPr>
          <w:spacing w:val="11"/>
          <w:w w:val="105"/>
        </w:rPr>
        <w:t xml:space="preserve"> </w:t>
      </w:r>
      <w:r w:rsidRPr="00283806">
        <w:rPr>
          <w:spacing w:val="-5"/>
          <w:w w:val="105"/>
        </w:rPr>
        <w:t>of</w:t>
      </w:r>
    </w:p>
    <w:p w14:paraId="1D6C50B6" w14:textId="77777777" w:rsidR="00D67C1E" w:rsidRPr="00283806" w:rsidRDefault="001265CA">
      <w:pPr>
        <w:pStyle w:val="BodyText"/>
        <w:spacing w:line="225" w:lineRule="auto"/>
      </w:pPr>
      <w:r w:rsidRPr="00283806">
        <w:rPr>
          <w:w w:val="105"/>
        </w:rPr>
        <w:t>$0.58 would not exist along with any derived climate benefit.</w:t>
      </w:r>
    </w:p>
    <w:p w14:paraId="5F6110B6" w14:textId="77777777" w:rsidR="00D67C1E" w:rsidRPr="00283806" w:rsidRDefault="001265CA">
      <w:pPr>
        <w:pStyle w:val="BodyText"/>
        <w:spacing w:line="179" w:lineRule="exact"/>
        <w:ind w:left="340"/>
      </w:pPr>
      <w:r w:rsidRPr="00283806">
        <w:rPr>
          <w:w w:val="105"/>
        </w:rPr>
        <w:t>The</w:t>
      </w:r>
      <w:r w:rsidRPr="00283806">
        <w:rPr>
          <w:spacing w:val="1"/>
          <w:w w:val="105"/>
        </w:rPr>
        <w:t xml:space="preserve"> </w:t>
      </w:r>
      <w:r w:rsidRPr="00283806">
        <w:rPr>
          <w:w w:val="105"/>
        </w:rPr>
        <w:t>commenter</w:t>
      </w:r>
      <w:r w:rsidRPr="00283806">
        <w:rPr>
          <w:spacing w:val="2"/>
          <w:w w:val="105"/>
        </w:rPr>
        <w:t xml:space="preserve"> </w:t>
      </w:r>
      <w:r w:rsidRPr="00283806">
        <w:rPr>
          <w:w w:val="105"/>
        </w:rPr>
        <w:t>further</w:t>
      </w:r>
      <w:r w:rsidRPr="00283806">
        <w:rPr>
          <w:spacing w:val="2"/>
          <w:w w:val="105"/>
        </w:rPr>
        <w:t xml:space="preserve"> </w:t>
      </w:r>
      <w:r w:rsidRPr="00283806">
        <w:rPr>
          <w:w w:val="105"/>
        </w:rPr>
        <w:t>stated</w:t>
      </w:r>
      <w:r w:rsidRPr="00283806">
        <w:rPr>
          <w:spacing w:val="1"/>
          <w:w w:val="105"/>
        </w:rPr>
        <w:t xml:space="preserve"> </w:t>
      </w:r>
      <w:r w:rsidRPr="00283806">
        <w:rPr>
          <w:w w:val="105"/>
        </w:rPr>
        <w:t>that</w:t>
      </w:r>
      <w:r w:rsidRPr="00283806">
        <w:rPr>
          <w:spacing w:val="2"/>
          <w:w w:val="105"/>
        </w:rPr>
        <w:t xml:space="preserve"> </w:t>
      </w:r>
      <w:r w:rsidRPr="00283806">
        <w:rPr>
          <w:spacing w:val="-5"/>
          <w:w w:val="105"/>
        </w:rPr>
        <w:t>to</w:t>
      </w:r>
    </w:p>
    <w:p w14:paraId="29CAF19B" w14:textId="77777777" w:rsidR="00D67C1E" w:rsidRPr="00283806" w:rsidRDefault="001265CA">
      <w:pPr>
        <w:pStyle w:val="BodyText"/>
        <w:spacing w:before="3" w:line="225" w:lineRule="auto"/>
        <w:ind w:right="31"/>
      </w:pPr>
      <w:proofErr w:type="gramStart"/>
      <w:r w:rsidRPr="00283806">
        <w:rPr>
          <w:w w:val="105"/>
        </w:rPr>
        <w:t>the</w:t>
      </w:r>
      <w:proofErr w:type="gramEnd"/>
      <w:r w:rsidRPr="00283806">
        <w:rPr>
          <w:w w:val="105"/>
        </w:rPr>
        <w:t xml:space="preserve"> extent that EPA calculated the quantity of emissions </w:t>
      </w:r>
      <w:proofErr w:type="gramStart"/>
      <w:r w:rsidRPr="00283806">
        <w:rPr>
          <w:w w:val="105"/>
        </w:rPr>
        <w:t>prevented it</w:t>
      </w:r>
      <w:proofErr w:type="gramEnd"/>
      <w:r w:rsidRPr="00283806">
        <w:rPr>
          <w:w w:val="105"/>
        </w:rPr>
        <w:t xml:space="preserve"> appears</w:t>
      </w:r>
      <w:r w:rsidRPr="00283806">
        <w:rPr>
          <w:spacing w:val="-1"/>
          <w:w w:val="105"/>
        </w:rPr>
        <w:t xml:space="preserve"> </w:t>
      </w:r>
      <w:r w:rsidRPr="00283806">
        <w:rPr>
          <w:w w:val="105"/>
        </w:rPr>
        <w:t>to</w:t>
      </w:r>
      <w:r w:rsidRPr="00283806">
        <w:rPr>
          <w:spacing w:val="-1"/>
          <w:w w:val="105"/>
        </w:rPr>
        <w:t xml:space="preserve"> </w:t>
      </w:r>
      <w:r w:rsidRPr="00283806">
        <w:rPr>
          <w:w w:val="105"/>
        </w:rPr>
        <w:t>have</w:t>
      </w:r>
      <w:r w:rsidRPr="00283806">
        <w:rPr>
          <w:spacing w:val="-1"/>
          <w:w w:val="105"/>
        </w:rPr>
        <w:t xml:space="preserve"> </w:t>
      </w:r>
      <w:r w:rsidRPr="00283806">
        <w:rPr>
          <w:w w:val="105"/>
        </w:rPr>
        <w:t>assumed</w:t>
      </w:r>
      <w:r w:rsidRPr="00283806">
        <w:rPr>
          <w:spacing w:val="-1"/>
          <w:w w:val="105"/>
        </w:rPr>
        <w:t xml:space="preserve"> </w:t>
      </w:r>
      <w:r w:rsidRPr="00283806">
        <w:rPr>
          <w:w w:val="105"/>
        </w:rPr>
        <w:t>that</w:t>
      </w:r>
      <w:r w:rsidRPr="00283806">
        <w:rPr>
          <w:spacing w:val="-1"/>
          <w:w w:val="105"/>
        </w:rPr>
        <w:t xml:space="preserve"> </w:t>
      </w:r>
      <w:r w:rsidRPr="00283806">
        <w:rPr>
          <w:w w:val="105"/>
        </w:rPr>
        <w:t>15</w:t>
      </w:r>
      <w:r w:rsidRPr="00283806">
        <w:rPr>
          <w:spacing w:val="-1"/>
          <w:w w:val="105"/>
        </w:rPr>
        <w:t xml:space="preserve"> </w:t>
      </w:r>
      <w:r w:rsidRPr="00283806">
        <w:rPr>
          <w:w w:val="105"/>
        </w:rPr>
        <w:t>percent of HFCs would still be produced for blending into reclaimed HFCs and another 67 percent of HFCs would be</w:t>
      </w:r>
      <w:r w:rsidRPr="00283806">
        <w:rPr>
          <w:spacing w:val="80"/>
          <w:w w:val="105"/>
        </w:rPr>
        <w:t xml:space="preserve"> </w:t>
      </w:r>
      <w:r w:rsidRPr="00283806">
        <w:rPr>
          <w:w w:val="105"/>
        </w:rPr>
        <w:t>lost in the reclamation process and eventual emissions of reclaimed HFCs. The commenter claimed that this would mean that EPA estimates that 18 percent of</w:t>
      </w:r>
      <w:r w:rsidRPr="00283806">
        <w:rPr>
          <w:spacing w:val="40"/>
          <w:w w:val="105"/>
        </w:rPr>
        <w:t xml:space="preserve"> </w:t>
      </w:r>
      <w:r w:rsidRPr="00283806">
        <w:rPr>
          <w:w w:val="105"/>
        </w:rPr>
        <w:t>HFC</w:t>
      </w:r>
      <w:r w:rsidRPr="00283806">
        <w:rPr>
          <w:spacing w:val="40"/>
          <w:w w:val="105"/>
        </w:rPr>
        <w:t xml:space="preserve"> </w:t>
      </w:r>
      <w:r w:rsidRPr="00283806">
        <w:rPr>
          <w:w w:val="105"/>
        </w:rPr>
        <w:t>production</w:t>
      </w:r>
      <w:r w:rsidRPr="00283806">
        <w:rPr>
          <w:spacing w:val="40"/>
          <w:w w:val="105"/>
        </w:rPr>
        <w:t xml:space="preserve"> </w:t>
      </w:r>
      <w:r w:rsidRPr="00283806">
        <w:rPr>
          <w:w w:val="105"/>
        </w:rPr>
        <w:t>would</w:t>
      </w:r>
      <w:r w:rsidRPr="00283806">
        <w:rPr>
          <w:spacing w:val="40"/>
          <w:w w:val="105"/>
        </w:rPr>
        <w:t xml:space="preserve"> </w:t>
      </w:r>
      <w:r w:rsidRPr="00283806">
        <w:rPr>
          <w:w w:val="105"/>
        </w:rPr>
        <w:t>be</w:t>
      </w:r>
      <w:r w:rsidRPr="00283806">
        <w:rPr>
          <w:spacing w:val="40"/>
          <w:w w:val="105"/>
        </w:rPr>
        <w:t xml:space="preserve"> </w:t>
      </w:r>
      <w:r w:rsidRPr="00283806">
        <w:rPr>
          <w:w w:val="105"/>
        </w:rPr>
        <w:t>avoided due to the newly proposed requirements but claimed that EPA provided no basis for this assumption in the RIA. The commenter asserted that any claimed benefits to the climate must therefore be discounted due to a lack of explanation</w:t>
      </w:r>
      <w:r w:rsidRPr="00283806">
        <w:rPr>
          <w:spacing w:val="40"/>
          <w:w w:val="105"/>
        </w:rPr>
        <w:t xml:space="preserve"> </w:t>
      </w:r>
      <w:r w:rsidRPr="00283806">
        <w:rPr>
          <w:w w:val="105"/>
        </w:rPr>
        <w:t>as to how such would occur. The commenter</w:t>
      </w:r>
      <w:r w:rsidRPr="00283806">
        <w:rPr>
          <w:spacing w:val="40"/>
          <w:w w:val="105"/>
        </w:rPr>
        <w:t xml:space="preserve"> </w:t>
      </w:r>
      <w:r w:rsidRPr="00283806">
        <w:rPr>
          <w:w w:val="105"/>
        </w:rPr>
        <w:t>further</w:t>
      </w:r>
      <w:r w:rsidRPr="00283806">
        <w:rPr>
          <w:spacing w:val="40"/>
          <w:w w:val="105"/>
        </w:rPr>
        <w:t xml:space="preserve"> </w:t>
      </w:r>
      <w:r w:rsidRPr="00283806">
        <w:rPr>
          <w:w w:val="105"/>
        </w:rPr>
        <w:t>claimed</w:t>
      </w:r>
      <w:r w:rsidRPr="00283806">
        <w:rPr>
          <w:spacing w:val="40"/>
          <w:w w:val="105"/>
        </w:rPr>
        <w:t xml:space="preserve"> </w:t>
      </w:r>
      <w:r w:rsidRPr="00283806">
        <w:rPr>
          <w:w w:val="105"/>
        </w:rPr>
        <w:t>that</w:t>
      </w:r>
      <w:r w:rsidRPr="00283806">
        <w:rPr>
          <w:spacing w:val="40"/>
          <w:w w:val="105"/>
        </w:rPr>
        <w:t xml:space="preserve"> </w:t>
      </w:r>
      <w:r w:rsidRPr="00283806">
        <w:rPr>
          <w:w w:val="105"/>
        </w:rPr>
        <w:t xml:space="preserve">EPA has not conducted sufficient </w:t>
      </w:r>
      <w:proofErr w:type="gramStart"/>
      <w:r w:rsidRPr="00283806">
        <w:rPr>
          <w:w w:val="105"/>
        </w:rPr>
        <w:t>analysis,</w:t>
      </w:r>
      <w:r w:rsidRPr="00283806">
        <w:rPr>
          <w:spacing w:val="80"/>
          <w:w w:val="105"/>
        </w:rPr>
        <w:t xml:space="preserve"> </w:t>
      </w:r>
      <w:r w:rsidRPr="00283806">
        <w:rPr>
          <w:w w:val="105"/>
        </w:rPr>
        <w:t>and</w:t>
      </w:r>
      <w:proofErr w:type="gramEnd"/>
      <w:r w:rsidRPr="00283806">
        <w:rPr>
          <w:w w:val="105"/>
        </w:rPr>
        <w:t xml:space="preserve"> therefore cannot simply conclude that such benefits would occur, as the commenter states EPA appears to do.</w:t>
      </w:r>
    </w:p>
    <w:p w14:paraId="69A398D4" w14:textId="77777777" w:rsidR="00D67C1E" w:rsidRPr="00283806" w:rsidRDefault="001265CA">
      <w:pPr>
        <w:pStyle w:val="BodyText"/>
        <w:spacing w:line="225" w:lineRule="auto"/>
        <w:ind w:right="60"/>
      </w:pPr>
      <w:r w:rsidRPr="00283806">
        <w:rPr>
          <w:w w:val="105"/>
        </w:rPr>
        <w:t>The commenter stated that EPA</w:t>
      </w:r>
      <w:r w:rsidRPr="00283806">
        <w:rPr>
          <w:spacing w:val="80"/>
          <w:w w:val="105"/>
        </w:rPr>
        <w:t xml:space="preserve"> </w:t>
      </w:r>
      <w:r w:rsidRPr="00283806">
        <w:rPr>
          <w:w w:val="105"/>
        </w:rPr>
        <w:t>provided no TSD to support its reclamation proposal, unlike TSDs for ALD, fire suppression, and the cold</w:t>
      </w:r>
      <w:r w:rsidRPr="00283806">
        <w:rPr>
          <w:spacing w:val="80"/>
          <w:w w:val="105"/>
        </w:rPr>
        <w:t xml:space="preserve"> </w:t>
      </w:r>
      <w:r w:rsidRPr="00283806">
        <w:rPr>
          <w:w w:val="105"/>
        </w:rPr>
        <w:t>chain, that the study cited (</w:t>
      </w:r>
      <w:proofErr w:type="spellStart"/>
      <w:r w:rsidRPr="00283806">
        <w:rPr>
          <w:w w:val="105"/>
        </w:rPr>
        <w:t>Yasaka</w:t>
      </w:r>
      <w:proofErr w:type="spellEnd"/>
      <w:r w:rsidRPr="00283806">
        <w:rPr>
          <w:w w:val="105"/>
        </w:rPr>
        <w:t xml:space="preserve"> et al. (2023)) was not provided in the docket, and that an additional report cited by</w:t>
      </w:r>
      <w:r w:rsidRPr="00283806">
        <w:rPr>
          <w:spacing w:val="40"/>
          <w:w w:val="105"/>
        </w:rPr>
        <w:t xml:space="preserve"> </w:t>
      </w:r>
      <w:r w:rsidRPr="00283806">
        <w:rPr>
          <w:w w:val="105"/>
        </w:rPr>
        <w:t xml:space="preserve">EPA does not contain relevant calculations. The commenter stated that, for example, EPA cited but does not provide in the docket a report entitled ‘‘The 90 </w:t>
      </w:r>
      <w:proofErr w:type="gramStart"/>
      <w:r w:rsidRPr="00283806">
        <w:rPr>
          <w:w w:val="105"/>
        </w:rPr>
        <w:t>Billion</w:t>
      </w:r>
      <w:proofErr w:type="gramEnd"/>
      <w:r w:rsidRPr="00283806">
        <w:rPr>
          <w:w w:val="105"/>
        </w:rPr>
        <w:t xml:space="preserve"> Ton </w:t>
      </w:r>
      <w:proofErr w:type="gramStart"/>
      <w:r w:rsidRPr="00283806">
        <w:rPr>
          <w:w w:val="105"/>
        </w:rPr>
        <w:t>Opportunity,’</w:t>
      </w:r>
      <w:proofErr w:type="gramEnd"/>
      <w:r w:rsidRPr="00283806">
        <w:rPr>
          <w:w w:val="105"/>
        </w:rPr>
        <w:t>’ and that the available copy of this report on the web contains no calculations as to</w:t>
      </w:r>
      <w:r w:rsidRPr="00283806">
        <w:rPr>
          <w:spacing w:val="80"/>
          <w:w w:val="105"/>
        </w:rPr>
        <w:t xml:space="preserve"> </w:t>
      </w:r>
      <w:r w:rsidRPr="00283806">
        <w:rPr>
          <w:w w:val="105"/>
        </w:rPr>
        <w:t>the amount of HFC releases avoided through mandatory reuse of HFCs.</w:t>
      </w:r>
    </w:p>
    <w:p w14:paraId="442AEED5" w14:textId="77777777" w:rsidR="00D67C1E" w:rsidRPr="00283806" w:rsidRDefault="001265CA">
      <w:pPr>
        <w:spacing w:line="180" w:lineRule="exact"/>
        <w:ind w:left="340"/>
        <w:rPr>
          <w:sz w:val="18"/>
        </w:rPr>
      </w:pPr>
      <w:r w:rsidRPr="00283806">
        <w:rPr>
          <w:rFonts w:ascii="Book Antiqua"/>
          <w:i/>
          <w:w w:val="110"/>
          <w:sz w:val="18"/>
        </w:rPr>
        <w:t xml:space="preserve">Response: </w:t>
      </w:r>
      <w:r w:rsidRPr="00283806">
        <w:rPr>
          <w:w w:val="110"/>
          <w:sz w:val="18"/>
        </w:rPr>
        <w:t>EPA</w:t>
      </w:r>
      <w:r w:rsidRPr="00283806">
        <w:rPr>
          <w:spacing w:val="6"/>
          <w:w w:val="110"/>
          <w:sz w:val="18"/>
        </w:rPr>
        <w:t xml:space="preserve"> </w:t>
      </w:r>
      <w:r w:rsidRPr="00283806">
        <w:rPr>
          <w:w w:val="110"/>
          <w:sz w:val="18"/>
        </w:rPr>
        <w:t>responds</w:t>
      </w:r>
      <w:r w:rsidRPr="00283806">
        <w:rPr>
          <w:spacing w:val="5"/>
          <w:w w:val="110"/>
          <w:sz w:val="18"/>
        </w:rPr>
        <w:t xml:space="preserve"> </w:t>
      </w:r>
      <w:r w:rsidRPr="00283806">
        <w:rPr>
          <w:w w:val="110"/>
          <w:sz w:val="18"/>
        </w:rPr>
        <w:t>that,</w:t>
      </w:r>
      <w:r w:rsidRPr="00283806">
        <w:rPr>
          <w:spacing w:val="6"/>
          <w:w w:val="110"/>
          <w:sz w:val="18"/>
        </w:rPr>
        <w:t xml:space="preserve"> </w:t>
      </w:r>
      <w:r w:rsidRPr="00283806">
        <w:rPr>
          <w:spacing w:val="-4"/>
          <w:w w:val="110"/>
          <w:sz w:val="18"/>
        </w:rPr>
        <w:t>upon</w:t>
      </w:r>
    </w:p>
    <w:p w14:paraId="3E1937D9" w14:textId="77777777" w:rsidR="00D67C1E" w:rsidRPr="00283806" w:rsidRDefault="001265CA">
      <w:pPr>
        <w:pStyle w:val="BodyText"/>
        <w:spacing w:line="225" w:lineRule="auto"/>
        <w:ind w:right="91"/>
      </w:pPr>
      <w:r w:rsidRPr="00283806">
        <w:rPr>
          <w:w w:val="105"/>
        </w:rPr>
        <w:t xml:space="preserve">consideration of comments, </w:t>
      </w:r>
      <w:proofErr w:type="gramStart"/>
      <w:r w:rsidRPr="00283806">
        <w:rPr>
          <w:w w:val="105"/>
        </w:rPr>
        <w:t>in light of</w:t>
      </w:r>
      <w:proofErr w:type="gramEnd"/>
      <w:r w:rsidRPr="00283806">
        <w:rPr>
          <w:spacing w:val="40"/>
          <w:w w:val="105"/>
        </w:rPr>
        <w:t xml:space="preserve"> </w:t>
      </w:r>
      <w:r w:rsidRPr="00283806">
        <w:rPr>
          <w:w w:val="105"/>
        </w:rPr>
        <w:t>the provisions being finalized, and because of further analysis, many of the analytic assumptions mentioned by the commenter have been updated in the final rule RIA addendum and Economic Impact</w:t>
      </w:r>
      <w:r w:rsidRPr="00283806">
        <w:rPr>
          <w:spacing w:val="40"/>
          <w:w w:val="105"/>
        </w:rPr>
        <w:t xml:space="preserve"> </w:t>
      </w:r>
      <w:r w:rsidRPr="00283806">
        <w:rPr>
          <w:w w:val="105"/>
        </w:rPr>
        <w:t>and</w:t>
      </w:r>
      <w:r w:rsidRPr="00283806">
        <w:rPr>
          <w:spacing w:val="40"/>
          <w:w w:val="105"/>
        </w:rPr>
        <w:t xml:space="preserve"> </w:t>
      </w:r>
      <w:r w:rsidRPr="00283806">
        <w:rPr>
          <w:w w:val="105"/>
        </w:rPr>
        <w:t>Benefits</w:t>
      </w:r>
      <w:r w:rsidRPr="00283806">
        <w:rPr>
          <w:spacing w:val="40"/>
          <w:w w:val="105"/>
        </w:rPr>
        <w:t xml:space="preserve"> </w:t>
      </w:r>
      <w:r w:rsidRPr="00283806">
        <w:rPr>
          <w:w w:val="105"/>
        </w:rPr>
        <w:t>TSD.</w:t>
      </w:r>
      <w:r w:rsidRPr="00283806">
        <w:rPr>
          <w:spacing w:val="40"/>
          <w:w w:val="105"/>
        </w:rPr>
        <w:t xml:space="preserve"> </w:t>
      </w:r>
      <w:r w:rsidRPr="00283806">
        <w:rPr>
          <w:w w:val="105"/>
        </w:rPr>
        <w:t>In</w:t>
      </w:r>
      <w:r w:rsidRPr="00283806">
        <w:rPr>
          <w:spacing w:val="40"/>
          <w:w w:val="105"/>
        </w:rPr>
        <w:t xml:space="preserve"> </w:t>
      </w:r>
      <w:r w:rsidRPr="00283806">
        <w:rPr>
          <w:w w:val="105"/>
        </w:rPr>
        <w:t>the</w:t>
      </w:r>
      <w:r w:rsidRPr="00283806">
        <w:rPr>
          <w:spacing w:val="40"/>
          <w:w w:val="105"/>
        </w:rPr>
        <w:t xml:space="preserve"> </w:t>
      </w:r>
      <w:r w:rsidRPr="00283806">
        <w:rPr>
          <w:w w:val="105"/>
        </w:rPr>
        <w:t>final RIA addendum and Economic Impact</w:t>
      </w:r>
      <w:r w:rsidRPr="00283806">
        <w:rPr>
          <w:spacing w:val="40"/>
          <w:w w:val="105"/>
        </w:rPr>
        <w:t xml:space="preserve"> </w:t>
      </w:r>
      <w:r w:rsidRPr="00283806">
        <w:rPr>
          <w:w w:val="105"/>
        </w:rPr>
        <w:t>and Benefits TSD, EPA only mentions</w:t>
      </w:r>
      <w:r w:rsidRPr="00283806">
        <w:rPr>
          <w:spacing w:val="80"/>
          <w:w w:val="105"/>
        </w:rPr>
        <w:t xml:space="preserve"> </w:t>
      </w:r>
      <w:r w:rsidRPr="00283806">
        <w:rPr>
          <w:w w:val="105"/>
        </w:rPr>
        <w:t xml:space="preserve">the </w:t>
      </w:r>
      <w:proofErr w:type="spellStart"/>
      <w:r w:rsidRPr="00283806">
        <w:rPr>
          <w:w w:val="105"/>
        </w:rPr>
        <w:t>Yasaka</w:t>
      </w:r>
      <w:proofErr w:type="spellEnd"/>
      <w:r w:rsidRPr="00283806">
        <w:rPr>
          <w:w w:val="105"/>
        </w:rPr>
        <w:t xml:space="preserve"> et al. paper in passing and does not rely upon it or the calculations of costs of production, reclamation, and destruction in our calculations. Further, EPA no longer assumes the 67 percent loss with which the commenter took issue. EPA acknowledges that there is uncertainty regarding the degree to which some of the provisions contained in</w:t>
      </w:r>
      <w:r w:rsidRPr="00283806">
        <w:rPr>
          <w:spacing w:val="40"/>
          <w:w w:val="105"/>
        </w:rPr>
        <w:t xml:space="preserve"> </w:t>
      </w:r>
      <w:r w:rsidRPr="00283806">
        <w:rPr>
          <w:w w:val="105"/>
        </w:rPr>
        <w:t>this</w:t>
      </w:r>
      <w:r w:rsidRPr="00283806">
        <w:rPr>
          <w:spacing w:val="40"/>
          <w:w w:val="105"/>
        </w:rPr>
        <w:t xml:space="preserve"> </w:t>
      </w:r>
      <w:r w:rsidRPr="00283806">
        <w:rPr>
          <w:w w:val="105"/>
        </w:rPr>
        <w:t>final</w:t>
      </w:r>
      <w:r w:rsidRPr="00283806">
        <w:rPr>
          <w:spacing w:val="40"/>
          <w:w w:val="105"/>
        </w:rPr>
        <w:t xml:space="preserve"> </w:t>
      </w:r>
      <w:r w:rsidRPr="00283806">
        <w:rPr>
          <w:w w:val="105"/>
        </w:rPr>
        <w:t>rule</w:t>
      </w:r>
      <w:r w:rsidRPr="00283806">
        <w:rPr>
          <w:spacing w:val="40"/>
          <w:w w:val="105"/>
        </w:rPr>
        <w:t xml:space="preserve"> </w:t>
      </w:r>
      <w:r w:rsidRPr="00283806">
        <w:rPr>
          <w:w w:val="105"/>
        </w:rPr>
        <w:t>will</w:t>
      </w:r>
      <w:r w:rsidRPr="00283806">
        <w:rPr>
          <w:spacing w:val="40"/>
          <w:w w:val="105"/>
        </w:rPr>
        <w:t xml:space="preserve"> </w:t>
      </w:r>
      <w:r w:rsidRPr="00283806">
        <w:rPr>
          <w:w w:val="105"/>
        </w:rPr>
        <w:t>lead</w:t>
      </w:r>
      <w:r w:rsidRPr="00283806">
        <w:rPr>
          <w:spacing w:val="40"/>
          <w:w w:val="105"/>
        </w:rPr>
        <w:t xml:space="preserve"> </w:t>
      </w:r>
      <w:r w:rsidRPr="00283806">
        <w:rPr>
          <w:w w:val="105"/>
        </w:rPr>
        <w:t>to incremental reductions in HFC consumption and emissions when considering already in-place regulations and market forces. For these reasons, EPA has included multiple scenarios in</w:t>
      </w:r>
    </w:p>
    <w:p w14:paraId="68804AD5" w14:textId="77777777" w:rsidR="00D67C1E" w:rsidRPr="00283806" w:rsidRDefault="001265CA">
      <w:pPr>
        <w:pStyle w:val="BodyText"/>
        <w:spacing w:before="136" w:line="225" w:lineRule="auto"/>
        <w:ind w:left="143" w:right="125"/>
      </w:pPr>
      <w:r w:rsidRPr="00283806">
        <w:br w:type="column"/>
      </w:r>
      <w:r w:rsidRPr="00283806">
        <w:rPr>
          <w:w w:val="105"/>
        </w:rPr>
        <w:t>the RIA addendum for the final rule. However, as detailed in the RIA addendum, even in EPA’s most conservative assessment of the incremental benefits of the final rule, significant incremental consumption and emissions reductions occur.</w:t>
      </w:r>
    </w:p>
    <w:p w14:paraId="1CC3C6C4" w14:textId="77777777" w:rsidR="00D67C1E" w:rsidRPr="00283806" w:rsidRDefault="001265CA">
      <w:pPr>
        <w:pStyle w:val="BodyText"/>
        <w:spacing w:line="225" w:lineRule="auto"/>
        <w:ind w:left="143" w:right="57"/>
      </w:pPr>
      <w:r w:rsidRPr="00283806">
        <w:rPr>
          <w:w w:val="105"/>
        </w:rPr>
        <w:t>Although EPA conservatively assumes the reclamation provisions do not provide additional emission reductions, the analysis finds those provisions reduce HFC consumption by over 150 MMTCO</w:t>
      </w:r>
      <w:r w:rsidRPr="00283806">
        <w:rPr>
          <w:rFonts w:ascii="Times New Roman"/>
          <w:w w:val="105"/>
          <w:vertAlign w:val="subscript"/>
        </w:rPr>
        <w:t>2</w:t>
      </w:r>
      <w:r w:rsidRPr="00283806">
        <w:rPr>
          <w:w w:val="105"/>
        </w:rPr>
        <w:t>e through 2050.</w:t>
      </w:r>
    </w:p>
    <w:p w14:paraId="1DAD0A92" w14:textId="77777777" w:rsidR="00D67C1E" w:rsidRPr="00283806" w:rsidRDefault="001265CA">
      <w:pPr>
        <w:pStyle w:val="BodyText"/>
        <w:spacing w:line="178" w:lineRule="exact"/>
        <w:ind w:left="323"/>
      </w:pPr>
      <w:r w:rsidRPr="00283806">
        <w:rPr>
          <w:w w:val="105"/>
        </w:rPr>
        <w:t>EPA</w:t>
      </w:r>
      <w:r w:rsidRPr="00283806">
        <w:rPr>
          <w:spacing w:val="11"/>
          <w:w w:val="105"/>
        </w:rPr>
        <w:t xml:space="preserve"> </w:t>
      </w:r>
      <w:r w:rsidRPr="00283806">
        <w:rPr>
          <w:w w:val="105"/>
        </w:rPr>
        <w:t>disagrees</w:t>
      </w:r>
      <w:r w:rsidRPr="00283806">
        <w:rPr>
          <w:spacing w:val="11"/>
          <w:w w:val="105"/>
        </w:rPr>
        <w:t xml:space="preserve"> </w:t>
      </w:r>
      <w:r w:rsidRPr="00283806">
        <w:rPr>
          <w:w w:val="105"/>
        </w:rPr>
        <w:t>that</w:t>
      </w:r>
      <w:r w:rsidRPr="00283806">
        <w:rPr>
          <w:spacing w:val="11"/>
          <w:w w:val="105"/>
        </w:rPr>
        <w:t xml:space="preserve"> </w:t>
      </w:r>
      <w:r w:rsidRPr="00283806">
        <w:rPr>
          <w:w w:val="105"/>
        </w:rPr>
        <w:t>existing</w:t>
      </w:r>
      <w:r w:rsidRPr="00283806">
        <w:rPr>
          <w:spacing w:val="11"/>
          <w:w w:val="105"/>
        </w:rPr>
        <w:t xml:space="preserve"> </w:t>
      </w:r>
      <w:r w:rsidRPr="00283806">
        <w:rPr>
          <w:spacing w:val="-2"/>
          <w:w w:val="105"/>
        </w:rPr>
        <w:t>economic</w:t>
      </w:r>
    </w:p>
    <w:p w14:paraId="127B53D1" w14:textId="77777777" w:rsidR="00D67C1E" w:rsidRPr="00283806" w:rsidRDefault="001265CA">
      <w:pPr>
        <w:pStyle w:val="BodyText"/>
        <w:spacing w:before="1" w:line="225" w:lineRule="auto"/>
        <w:ind w:left="143" w:right="85"/>
      </w:pPr>
      <w:r w:rsidRPr="00283806">
        <w:rPr>
          <w:w w:val="105"/>
        </w:rPr>
        <w:t>incentives for reclamation in the</w:t>
      </w:r>
      <w:r w:rsidRPr="00283806">
        <w:rPr>
          <w:spacing w:val="80"/>
          <w:w w:val="105"/>
        </w:rPr>
        <w:t xml:space="preserve"> </w:t>
      </w:r>
      <w:r w:rsidRPr="00283806">
        <w:rPr>
          <w:w w:val="105"/>
        </w:rPr>
        <w:t>absence of this rulemaking would represent a flaw in the analysis. As</w:t>
      </w:r>
      <w:r w:rsidRPr="00283806">
        <w:rPr>
          <w:spacing w:val="80"/>
          <w:w w:val="105"/>
        </w:rPr>
        <w:t xml:space="preserve"> </w:t>
      </w:r>
      <w:r w:rsidRPr="00283806">
        <w:rPr>
          <w:w w:val="105"/>
        </w:rPr>
        <w:t>noted elsewhere in the rule preamble, some market failure may exist that acts as a barrier to businesses’ adoption of</w:t>
      </w:r>
      <w:r w:rsidRPr="00283806">
        <w:rPr>
          <w:spacing w:val="40"/>
          <w:w w:val="105"/>
        </w:rPr>
        <w:t xml:space="preserve"> </w:t>
      </w:r>
      <w:r w:rsidRPr="00283806">
        <w:rPr>
          <w:w w:val="105"/>
        </w:rPr>
        <w:t>the most profitable course. For example, market failures may exist where there are imperfect information or split incentives, such as decision-makers not knowing the percentage of energy use associated with different options.</w:t>
      </w:r>
    </w:p>
    <w:p w14:paraId="204B2510" w14:textId="77777777" w:rsidR="00D67C1E" w:rsidRPr="00283806" w:rsidRDefault="001265CA">
      <w:pPr>
        <w:pStyle w:val="BodyText"/>
        <w:spacing w:line="176" w:lineRule="exact"/>
        <w:ind w:left="323"/>
      </w:pPr>
      <w:r w:rsidRPr="00283806">
        <w:rPr>
          <w:w w:val="105"/>
        </w:rPr>
        <w:t>EPA</w:t>
      </w:r>
      <w:r w:rsidRPr="00283806">
        <w:rPr>
          <w:spacing w:val="8"/>
          <w:w w:val="105"/>
        </w:rPr>
        <w:t xml:space="preserve"> </w:t>
      </w:r>
      <w:r w:rsidRPr="00283806">
        <w:rPr>
          <w:w w:val="105"/>
        </w:rPr>
        <w:t>also</w:t>
      </w:r>
      <w:r w:rsidRPr="00283806">
        <w:rPr>
          <w:spacing w:val="8"/>
          <w:w w:val="105"/>
        </w:rPr>
        <w:t xml:space="preserve"> </w:t>
      </w:r>
      <w:r w:rsidRPr="00283806">
        <w:rPr>
          <w:w w:val="105"/>
        </w:rPr>
        <w:t>disagrees</w:t>
      </w:r>
      <w:r w:rsidRPr="00283806">
        <w:rPr>
          <w:spacing w:val="8"/>
          <w:w w:val="105"/>
        </w:rPr>
        <w:t xml:space="preserve"> </w:t>
      </w:r>
      <w:r w:rsidRPr="00283806">
        <w:rPr>
          <w:w w:val="105"/>
        </w:rPr>
        <w:t>that</w:t>
      </w:r>
      <w:r w:rsidRPr="00283806">
        <w:rPr>
          <w:spacing w:val="8"/>
          <w:w w:val="105"/>
        </w:rPr>
        <w:t xml:space="preserve"> </w:t>
      </w:r>
      <w:r w:rsidRPr="00283806">
        <w:rPr>
          <w:w w:val="105"/>
        </w:rPr>
        <w:t>the</w:t>
      </w:r>
      <w:r w:rsidRPr="00283806">
        <w:rPr>
          <w:spacing w:val="8"/>
          <w:w w:val="105"/>
        </w:rPr>
        <w:t xml:space="preserve"> </w:t>
      </w:r>
      <w:r w:rsidRPr="00283806">
        <w:rPr>
          <w:spacing w:val="-2"/>
          <w:w w:val="105"/>
        </w:rPr>
        <w:t>experience</w:t>
      </w:r>
    </w:p>
    <w:p w14:paraId="7DD989C3" w14:textId="77777777" w:rsidR="00D67C1E" w:rsidRPr="00283806" w:rsidRDefault="001265CA">
      <w:pPr>
        <w:pStyle w:val="BodyText"/>
        <w:spacing w:before="4" w:line="225" w:lineRule="auto"/>
        <w:ind w:left="143" w:right="64"/>
      </w:pPr>
      <w:r w:rsidRPr="00283806">
        <w:rPr>
          <w:w w:val="105"/>
        </w:rPr>
        <w:t xml:space="preserve">of the ODS phaseout provides </w:t>
      </w:r>
      <w:proofErr w:type="gramStart"/>
      <w:r w:rsidRPr="00283806">
        <w:rPr>
          <w:w w:val="105"/>
        </w:rPr>
        <w:t>any proof</w:t>
      </w:r>
      <w:proofErr w:type="gramEnd"/>
      <w:r w:rsidRPr="00283806">
        <w:rPr>
          <w:w w:val="105"/>
        </w:rPr>
        <w:t xml:space="preserve"> that</w:t>
      </w:r>
      <w:r w:rsidRPr="00283806">
        <w:rPr>
          <w:spacing w:val="39"/>
          <w:w w:val="105"/>
        </w:rPr>
        <w:t xml:space="preserve"> </w:t>
      </w:r>
      <w:r w:rsidRPr="00283806">
        <w:rPr>
          <w:w w:val="105"/>
        </w:rPr>
        <w:t>a</w:t>
      </w:r>
      <w:r w:rsidRPr="00283806">
        <w:rPr>
          <w:spacing w:val="39"/>
          <w:w w:val="105"/>
        </w:rPr>
        <w:t xml:space="preserve"> </w:t>
      </w:r>
      <w:r w:rsidRPr="00283806">
        <w:rPr>
          <w:w w:val="105"/>
        </w:rPr>
        <w:t>voluntary</w:t>
      </w:r>
      <w:r w:rsidRPr="00283806">
        <w:rPr>
          <w:spacing w:val="39"/>
          <w:w w:val="105"/>
        </w:rPr>
        <w:t xml:space="preserve"> </w:t>
      </w:r>
      <w:r w:rsidRPr="00283806">
        <w:rPr>
          <w:w w:val="105"/>
        </w:rPr>
        <w:t>reclaim</w:t>
      </w:r>
      <w:r w:rsidRPr="00283806">
        <w:rPr>
          <w:spacing w:val="39"/>
          <w:w w:val="105"/>
        </w:rPr>
        <w:t xml:space="preserve"> </w:t>
      </w:r>
      <w:r w:rsidRPr="00283806">
        <w:rPr>
          <w:w w:val="105"/>
        </w:rPr>
        <w:t>market</w:t>
      </w:r>
      <w:r w:rsidRPr="00283806">
        <w:rPr>
          <w:spacing w:val="39"/>
          <w:w w:val="105"/>
        </w:rPr>
        <w:t xml:space="preserve"> </w:t>
      </w:r>
      <w:r w:rsidRPr="00283806">
        <w:rPr>
          <w:w w:val="105"/>
        </w:rPr>
        <w:t>for HFCs would materialize that would</w:t>
      </w:r>
      <w:r w:rsidRPr="00283806">
        <w:rPr>
          <w:spacing w:val="80"/>
          <w:w w:val="150"/>
        </w:rPr>
        <w:t xml:space="preserve"> </w:t>
      </w:r>
      <w:r w:rsidRPr="00283806">
        <w:rPr>
          <w:w w:val="105"/>
        </w:rPr>
        <w:t>serve</w:t>
      </w:r>
      <w:r w:rsidRPr="00283806">
        <w:rPr>
          <w:spacing w:val="30"/>
          <w:w w:val="105"/>
        </w:rPr>
        <w:t xml:space="preserve"> </w:t>
      </w:r>
      <w:r w:rsidRPr="00283806">
        <w:rPr>
          <w:w w:val="105"/>
        </w:rPr>
        <w:t>the</w:t>
      </w:r>
      <w:r w:rsidRPr="00283806">
        <w:rPr>
          <w:spacing w:val="30"/>
          <w:w w:val="105"/>
        </w:rPr>
        <w:t xml:space="preserve"> </w:t>
      </w:r>
      <w:r w:rsidRPr="00283806">
        <w:rPr>
          <w:w w:val="105"/>
        </w:rPr>
        <w:t>same</w:t>
      </w:r>
      <w:r w:rsidRPr="00283806">
        <w:rPr>
          <w:spacing w:val="30"/>
          <w:w w:val="105"/>
        </w:rPr>
        <w:t xml:space="preserve"> </w:t>
      </w:r>
      <w:r w:rsidRPr="00283806">
        <w:rPr>
          <w:w w:val="105"/>
        </w:rPr>
        <w:t>goals</w:t>
      </w:r>
      <w:r w:rsidRPr="00283806">
        <w:rPr>
          <w:spacing w:val="30"/>
          <w:w w:val="105"/>
        </w:rPr>
        <w:t xml:space="preserve"> </w:t>
      </w:r>
      <w:r w:rsidRPr="00283806">
        <w:rPr>
          <w:w w:val="105"/>
        </w:rPr>
        <w:t>as</w:t>
      </w:r>
      <w:r w:rsidRPr="00283806">
        <w:rPr>
          <w:spacing w:val="30"/>
          <w:w w:val="105"/>
        </w:rPr>
        <w:t xml:space="preserve"> </w:t>
      </w:r>
      <w:r w:rsidRPr="00283806">
        <w:rPr>
          <w:w w:val="105"/>
        </w:rPr>
        <w:t>this</w:t>
      </w:r>
      <w:r w:rsidRPr="00283806">
        <w:rPr>
          <w:spacing w:val="30"/>
          <w:w w:val="105"/>
        </w:rPr>
        <w:t xml:space="preserve"> </w:t>
      </w:r>
      <w:r w:rsidRPr="00283806">
        <w:rPr>
          <w:w w:val="105"/>
        </w:rPr>
        <w:t>rule</w:t>
      </w:r>
      <w:r w:rsidRPr="00283806">
        <w:rPr>
          <w:spacing w:val="30"/>
          <w:w w:val="105"/>
        </w:rPr>
        <w:t xml:space="preserve"> </w:t>
      </w:r>
      <w:r w:rsidRPr="00283806">
        <w:rPr>
          <w:w w:val="105"/>
        </w:rPr>
        <w:t>and that the requirements of the final rule</w:t>
      </w:r>
      <w:r w:rsidRPr="00283806">
        <w:rPr>
          <w:spacing w:val="80"/>
          <w:w w:val="105"/>
        </w:rPr>
        <w:t xml:space="preserve"> </w:t>
      </w:r>
      <w:r w:rsidRPr="00283806">
        <w:rPr>
          <w:w w:val="105"/>
        </w:rPr>
        <w:t xml:space="preserve">are thus unnecessary. The consumption of halons and CFCs </w:t>
      </w:r>
      <w:proofErr w:type="gramStart"/>
      <w:r w:rsidRPr="00283806">
        <w:rPr>
          <w:w w:val="105"/>
        </w:rPr>
        <w:t>were</w:t>
      </w:r>
      <w:proofErr w:type="gramEnd"/>
      <w:r w:rsidRPr="00283806">
        <w:rPr>
          <w:w w:val="105"/>
        </w:rPr>
        <w:t xml:space="preserve"> completely phased </w:t>
      </w:r>
      <w:r w:rsidRPr="00283806">
        <w:rPr>
          <w:rFonts w:ascii="Book Antiqua" w:hAnsi="Book Antiqua"/>
          <w:i/>
          <w:w w:val="105"/>
        </w:rPr>
        <w:t xml:space="preserve">out </w:t>
      </w:r>
      <w:r w:rsidRPr="00283806">
        <w:rPr>
          <w:w w:val="105"/>
        </w:rPr>
        <w:t>in 1994 and 1996, respectively, and likewise later for</w:t>
      </w:r>
      <w:r w:rsidRPr="00283806">
        <w:rPr>
          <w:spacing w:val="80"/>
          <w:w w:val="105"/>
        </w:rPr>
        <w:t xml:space="preserve"> </w:t>
      </w:r>
      <w:r w:rsidRPr="00283806">
        <w:rPr>
          <w:w w:val="105"/>
        </w:rPr>
        <w:t>HCFCs on a species-specific schedule. Although the ODS phaseouts effectuated</w:t>
      </w:r>
      <w:r w:rsidRPr="00283806">
        <w:rPr>
          <w:spacing w:val="40"/>
          <w:w w:val="105"/>
        </w:rPr>
        <w:t xml:space="preserve"> </w:t>
      </w:r>
      <w:r w:rsidRPr="00283806">
        <w:rPr>
          <w:w w:val="105"/>
        </w:rPr>
        <w:t>a type of reclamation market, as users would need to access used or stockpiled material to service their equipment, that market was not intended to meet</w:t>
      </w:r>
      <w:r w:rsidRPr="00283806">
        <w:rPr>
          <w:spacing w:val="80"/>
          <w:w w:val="105"/>
        </w:rPr>
        <w:t xml:space="preserve"> </w:t>
      </w:r>
      <w:r w:rsidRPr="00283806">
        <w:rPr>
          <w:w w:val="105"/>
        </w:rPr>
        <w:t>specific statutory provisions with</w:t>
      </w:r>
      <w:r w:rsidRPr="00283806">
        <w:rPr>
          <w:spacing w:val="80"/>
          <w:w w:val="105"/>
        </w:rPr>
        <w:t xml:space="preserve"> </w:t>
      </w:r>
      <w:r w:rsidRPr="00283806">
        <w:rPr>
          <w:w w:val="105"/>
        </w:rPr>
        <w:t>respect to reclamation. As the</w:t>
      </w:r>
      <w:r w:rsidRPr="00283806">
        <w:rPr>
          <w:spacing w:val="40"/>
          <w:w w:val="105"/>
        </w:rPr>
        <w:t xml:space="preserve"> </w:t>
      </w:r>
      <w:r w:rsidRPr="00283806">
        <w:rPr>
          <w:w w:val="105"/>
        </w:rPr>
        <w:t>commenter notes with statistics regarding R–410A, such a reclamation market does not exist for all HFCs currently. Further, given that HFC production and consumption are phased down, not phased out, under the AIM</w:t>
      </w:r>
      <w:r w:rsidRPr="00283806">
        <w:rPr>
          <w:spacing w:val="80"/>
          <w:w w:val="105"/>
        </w:rPr>
        <w:t xml:space="preserve"> </w:t>
      </w:r>
      <w:r w:rsidRPr="00283806">
        <w:rPr>
          <w:w w:val="105"/>
        </w:rPr>
        <w:t>Act, and given the express language in</w:t>
      </w:r>
      <w:r w:rsidRPr="00283806">
        <w:rPr>
          <w:spacing w:val="40"/>
          <w:w w:val="105"/>
        </w:rPr>
        <w:t xml:space="preserve"> </w:t>
      </w:r>
      <w:r w:rsidRPr="00283806">
        <w:rPr>
          <w:w w:val="105"/>
        </w:rPr>
        <w:t>the AIM Act addressing reclamation, the comparison to the ODS history in this respect is not analogous with the goals</w:t>
      </w:r>
      <w:r w:rsidRPr="00283806">
        <w:rPr>
          <w:spacing w:val="80"/>
          <w:w w:val="150"/>
        </w:rPr>
        <w:t xml:space="preserve"> </w:t>
      </w:r>
      <w:r w:rsidRPr="00283806">
        <w:rPr>
          <w:w w:val="105"/>
        </w:rPr>
        <w:t>of this final rule.</w:t>
      </w:r>
    </w:p>
    <w:p w14:paraId="1D86EB76" w14:textId="77777777" w:rsidR="00D67C1E" w:rsidRPr="00283806" w:rsidRDefault="001265CA">
      <w:pPr>
        <w:pStyle w:val="BodyText"/>
        <w:spacing w:line="160" w:lineRule="exact"/>
        <w:ind w:left="323"/>
      </w:pPr>
      <w:r w:rsidRPr="00283806">
        <w:rPr>
          <w:w w:val="105"/>
        </w:rPr>
        <w:t>EPA</w:t>
      </w:r>
      <w:r w:rsidRPr="00283806">
        <w:rPr>
          <w:spacing w:val="10"/>
          <w:w w:val="105"/>
        </w:rPr>
        <w:t xml:space="preserve"> </w:t>
      </w:r>
      <w:r w:rsidRPr="00283806">
        <w:rPr>
          <w:w w:val="105"/>
        </w:rPr>
        <w:t>notes</w:t>
      </w:r>
      <w:r w:rsidRPr="00283806">
        <w:rPr>
          <w:spacing w:val="10"/>
          <w:w w:val="105"/>
        </w:rPr>
        <w:t xml:space="preserve"> </w:t>
      </w:r>
      <w:r w:rsidRPr="00283806">
        <w:rPr>
          <w:w w:val="105"/>
        </w:rPr>
        <w:t>that</w:t>
      </w:r>
      <w:r w:rsidRPr="00283806">
        <w:rPr>
          <w:spacing w:val="10"/>
          <w:w w:val="105"/>
        </w:rPr>
        <w:t xml:space="preserve"> </w:t>
      </w:r>
      <w:r w:rsidRPr="00283806">
        <w:rPr>
          <w:w w:val="105"/>
        </w:rPr>
        <w:t>the</w:t>
      </w:r>
      <w:r w:rsidRPr="00283806">
        <w:rPr>
          <w:spacing w:val="10"/>
          <w:w w:val="105"/>
        </w:rPr>
        <w:t xml:space="preserve"> </w:t>
      </w:r>
      <w:r w:rsidRPr="00283806">
        <w:rPr>
          <w:spacing w:val="-2"/>
          <w:w w:val="105"/>
        </w:rPr>
        <w:t>commenter’s</w:t>
      </w:r>
    </w:p>
    <w:p w14:paraId="5C03DDD0" w14:textId="77777777" w:rsidR="00D67C1E" w:rsidRPr="00283806" w:rsidRDefault="001265CA">
      <w:pPr>
        <w:pStyle w:val="BodyText"/>
        <w:spacing w:before="2" w:line="228" w:lineRule="auto"/>
        <w:ind w:left="143" w:right="91"/>
      </w:pPr>
      <w:proofErr w:type="gramStart"/>
      <w:r w:rsidRPr="00283806">
        <w:rPr>
          <w:w w:val="105"/>
        </w:rPr>
        <w:t>assertions</w:t>
      </w:r>
      <w:proofErr w:type="gramEnd"/>
      <w:r w:rsidRPr="00283806">
        <w:rPr>
          <w:w w:val="105"/>
        </w:rPr>
        <w:t xml:space="preserve"> regarding the creation of potentially anticompetitive markets for reclaimed HFCs appear to be</w:t>
      </w:r>
      <w:r w:rsidRPr="00283806">
        <w:rPr>
          <w:spacing w:val="40"/>
          <w:w w:val="105"/>
        </w:rPr>
        <w:t xml:space="preserve"> </w:t>
      </w:r>
      <w:r w:rsidRPr="00283806">
        <w:rPr>
          <w:w w:val="105"/>
        </w:rPr>
        <w:t>speculative. The commenter did not provide sufficient information to</w:t>
      </w:r>
      <w:r w:rsidRPr="00283806">
        <w:rPr>
          <w:spacing w:val="40"/>
          <w:w w:val="105"/>
        </w:rPr>
        <w:t xml:space="preserve"> </w:t>
      </w:r>
      <w:r w:rsidRPr="00283806">
        <w:rPr>
          <w:w w:val="105"/>
        </w:rPr>
        <w:t>support their claims or analyze the specific details of their assertions, including information addressing how the rule would lead to such adverse outcomes given the numerous EPA- certified reclaimers that exist, and the opportunity for other entities to enter the reclaim market. Nor is EPA aware of</w:t>
      </w:r>
    </w:p>
    <w:p w14:paraId="1B616D80" w14:textId="77777777" w:rsidR="00D67C1E" w:rsidRPr="00283806" w:rsidRDefault="001265CA">
      <w:pPr>
        <w:pStyle w:val="BodyText"/>
        <w:spacing w:before="136" w:line="225" w:lineRule="auto"/>
        <w:ind w:left="143" w:right="121"/>
      </w:pPr>
      <w:r w:rsidRPr="00283806">
        <w:br w:type="column"/>
      </w:r>
      <w:r w:rsidRPr="00283806">
        <w:rPr>
          <w:w w:val="105"/>
        </w:rPr>
        <w:t>such information or analyses in the record for this rule. In addition, the Agency is not finalizing, at this time, the proposed requirements for the initial fill of refrigerant-containing equipment to</w:t>
      </w:r>
      <w:r w:rsidRPr="00283806">
        <w:rPr>
          <w:spacing w:val="40"/>
          <w:w w:val="105"/>
        </w:rPr>
        <w:t xml:space="preserve"> </w:t>
      </w:r>
      <w:r w:rsidRPr="00283806">
        <w:rPr>
          <w:w w:val="105"/>
        </w:rPr>
        <w:t xml:space="preserve">be done with reclaimed HFCs, thus potentially alleviating some of the commenter’s concerns. EPA has also responded to many of the </w:t>
      </w:r>
      <w:proofErr w:type="gramStart"/>
      <w:r w:rsidRPr="00283806">
        <w:rPr>
          <w:w w:val="105"/>
        </w:rPr>
        <w:t>commenter’s</w:t>
      </w:r>
      <w:proofErr w:type="gramEnd"/>
      <w:r w:rsidRPr="00283806">
        <w:rPr>
          <w:w w:val="105"/>
        </w:rPr>
        <w:t xml:space="preserve"> concerns regarding the market for reclaimed HFCs and has described the rationale for the requirements for reclaimed HFCs that are being finalized</w:t>
      </w:r>
      <w:r w:rsidRPr="00283806">
        <w:rPr>
          <w:spacing w:val="80"/>
          <w:w w:val="105"/>
        </w:rPr>
        <w:t xml:space="preserve"> </w:t>
      </w:r>
      <w:r w:rsidRPr="00283806">
        <w:rPr>
          <w:w w:val="105"/>
        </w:rPr>
        <w:t>in this rule, in section IV.E.2 of this preamble. Regarding a ‘‘no action’’ analysis, EPA notes that the Agency provided a ‘‘Business as Usual’’ scenario in the 2021 Allocation Framework Rule RIA addendum. EPA further notes that</w:t>
      </w:r>
      <w:r w:rsidRPr="00283806">
        <w:rPr>
          <w:spacing w:val="40"/>
          <w:w w:val="105"/>
        </w:rPr>
        <w:t xml:space="preserve"> </w:t>
      </w:r>
      <w:r w:rsidRPr="00283806">
        <w:rPr>
          <w:w w:val="105"/>
        </w:rPr>
        <w:t>the commenter seems to misunderstand the reason for preparing the RIA addendum. As noted elsewhere in this preamble, while EPA has included estimates</w:t>
      </w:r>
      <w:r w:rsidRPr="00283806">
        <w:rPr>
          <w:spacing w:val="34"/>
          <w:w w:val="105"/>
        </w:rPr>
        <w:t xml:space="preserve"> </w:t>
      </w:r>
      <w:r w:rsidRPr="00283806">
        <w:rPr>
          <w:w w:val="105"/>
        </w:rPr>
        <w:t>of</w:t>
      </w:r>
      <w:r w:rsidRPr="00283806">
        <w:rPr>
          <w:spacing w:val="34"/>
          <w:w w:val="105"/>
        </w:rPr>
        <w:t xml:space="preserve"> </w:t>
      </w:r>
      <w:r w:rsidRPr="00283806">
        <w:rPr>
          <w:w w:val="105"/>
        </w:rPr>
        <w:t>the</w:t>
      </w:r>
      <w:r w:rsidRPr="00283806">
        <w:rPr>
          <w:spacing w:val="34"/>
          <w:w w:val="105"/>
        </w:rPr>
        <w:t xml:space="preserve"> </w:t>
      </w:r>
      <w:r w:rsidRPr="00283806">
        <w:rPr>
          <w:w w:val="105"/>
        </w:rPr>
        <w:t>costs</w:t>
      </w:r>
      <w:r w:rsidRPr="00283806">
        <w:rPr>
          <w:spacing w:val="34"/>
          <w:w w:val="105"/>
        </w:rPr>
        <w:t xml:space="preserve"> </w:t>
      </w:r>
      <w:r w:rsidRPr="00283806">
        <w:rPr>
          <w:w w:val="105"/>
        </w:rPr>
        <w:t>and</w:t>
      </w:r>
      <w:r w:rsidRPr="00283806">
        <w:rPr>
          <w:spacing w:val="34"/>
          <w:w w:val="105"/>
        </w:rPr>
        <w:t xml:space="preserve"> </w:t>
      </w:r>
      <w:r w:rsidRPr="00283806">
        <w:rPr>
          <w:w w:val="105"/>
        </w:rPr>
        <w:t>benefits</w:t>
      </w:r>
      <w:r w:rsidRPr="00283806">
        <w:rPr>
          <w:spacing w:val="34"/>
          <w:w w:val="105"/>
        </w:rPr>
        <w:t xml:space="preserve"> </w:t>
      </w:r>
      <w:r w:rsidRPr="00283806">
        <w:rPr>
          <w:w w:val="105"/>
        </w:rPr>
        <w:t>of this</w:t>
      </w:r>
      <w:r w:rsidRPr="00283806">
        <w:rPr>
          <w:spacing w:val="40"/>
          <w:w w:val="105"/>
        </w:rPr>
        <w:t xml:space="preserve"> </w:t>
      </w:r>
      <w:r w:rsidRPr="00283806">
        <w:rPr>
          <w:w w:val="105"/>
        </w:rPr>
        <w:t>rulemaking</w:t>
      </w:r>
      <w:r w:rsidRPr="00283806">
        <w:rPr>
          <w:spacing w:val="40"/>
          <w:w w:val="105"/>
        </w:rPr>
        <w:t xml:space="preserve"> </w:t>
      </w:r>
      <w:r w:rsidRPr="00283806">
        <w:rPr>
          <w:w w:val="105"/>
        </w:rPr>
        <w:t>in</w:t>
      </w:r>
      <w:r w:rsidRPr="00283806">
        <w:rPr>
          <w:spacing w:val="40"/>
          <w:w w:val="105"/>
        </w:rPr>
        <w:t xml:space="preserve"> </w:t>
      </w:r>
      <w:r w:rsidRPr="00283806">
        <w:rPr>
          <w:w w:val="105"/>
        </w:rPr>
        <w:t>the</w:t>
      </w:r>
      <w:r w:rsidRPr="00283806">
        <w:rPr>
          <w:spacing w:val="40"/>
          <w:w w:val="105"/>
        </w:rPr>
        <w:t xml:space="preserve"> </w:t>
      </w:r>
      <w:r w:rsidRPr="00283806">
        <w:rPr>
          <w:w w:val="105"/>
        </w:rPr>
        <w:t>RIA</w:t>
      </w:r>
      <w:r w:rsidRPr="00283806">
        <w:rPr>
          <w:spacing w:val="40"/>
          <w:w w:val="105"/>
        </w:rPr>
        <w:t xml:space="preserve"> </w:t>
      </w:r>
      <w:r w:rsidRPr="00283806">
        <w:rPr>
          <w:w w:val="105"/>
        </w:rPr>
        <w:t>addendum, to provide the public with information</w:t>
      </w:r>
      <w:r w:rsidRPr="00283806">
        <w:rPr>
          <w:spacing w:val="80"/>
          <w:w w:val="105"/>
        </w:rPr>
        <w:t xml:space="preserve"> </w:t>
      </w:r>
      <w:r w:rsidRPr="00283806">
        <w:rPr>
          <w:w w:val="105"/>
        </w:rPr>
        <w:t>on the relevant costs and benefits of this action and to comply with Executive Orders, the analysis in the RIA</w:t>
      </w:r>
      <w:r w:rsidRPr="00283806">
        <w:rPr>
          <w:spacing w:val="80"/>
          <w:w w:val="105"/>
        </w:rPr>
        <w:t xml:space="preserve"> </w:t>
      </w:r>
      <w:r w:rsidRPr="00283806">
        <w:rPr>
          <w:w w:val="105"/>
        </w:rPr>
        <w:t>addendum does not form a basis or rationale</w:t>
      </w:r>
      <w:r w:rsidRPr="00283806">
        <w:rPr>
          <w:spacing w:val="34"/>
          <w:w w:val="105"/>
        </w:rPr>
        <w:t xml:space="preserve"> </w:t>
      </w:r>
      <w:r w:rsidRPr="00283806">
        <w:rPr>
          <w:w w:val="105"/>
        </w:rPr>
        <w:t>for</w:t>
      </w:r>
      <w:r w:rsidRPr="00283806">
        <w:rPr>
          <w:spacing w:val="34"/>
          <w:w w:val="105"/>
        </w:rPr>
        <w:t xml:space="preserve"> </w:t>
      </w:r>
      <w:r w:rsidRPr="00283806">
        <w:rPr>
          <w:w w:val="105"/>
        </w:rPr>
        <w:t>any</w:t>
      </w:r>
      <w:r w:rsidRPr="00283806">
        <w:rPr>
          <w:spacing w:val="34"/>
          <w:w w:val="105"/>
        </w:rPr>
        <w:t xml:space="preserve"> </w:t>
      </w:r>
      <w:r w:rsidRPr="00283806">
        <w:rPr>
          <w:w w:val="105"/>
        </w:rPr>
        <w:t>of</w:t>
      </w:r>
      <w:r w:rsidRPr="00283806">
        <w:rPr>
          <w:spacing w:val="34"/>
          <w:w w:val="105"/>
        </w:rPr>
        <w:t xml:space="preserve"> </w:t>
      </w:r>
      <w:r w:rsidRPr="00283806">
        <w:rPr>
          <w:w w:val="105"/>
        </w:rPr>
        <w:t>the</w:t>
      </w:r>
      <w:r w:rsidRPr="00283806">
        <w:rPr>
          <w:spacing w:val="34"/>
          <w:w w:val="105"/>
        </w:rPr>
        <w:t xml:space="preserve"> </w:t>
      </w:r>
      <w:r w:rsidRPr="00283806">
        <w:rPr>
          <w:w w:val="105"/>
        </w:rPr>
        <w:t>provisions</w:t>
      </w:r>
      <w:r w:rsidRPr="00283806">
        <w:rPr>
          <w:spacing w:val="34"/>
          <w:w w:val="105"/>
        </w:rPr>
        <w:t xml:space="preserve"> </w:t>
      </w:r>
      <w:r w:rsidRPr="00283806">
        <w:rPr>
          <w:w w:val="105"/>
        </w:rPr>
        <w:t>EPA is promulgating in this rulemaking.</w:t>
      </w:r>
    </w:p>
    <w:p w14:paraId="03B2816C" w14:textId="77777777" w:rsidR="00D67C1E" w:rsidRPr="00283806" w:rsidRDefault="001265CA">
      <w:pPr>
        <w:pStyle w:val="BodyText"/>
        <w:spacing w:line="169" w:lineRule="exact"/>
        <w:ind w:left="323"/>
      </w:pPr>
      <w:r w:rsidRPr="00283806">
        <w:rPr>
          <w:w w:val="105"/>
        </w:rPr>
        <w:t>Finally,</w:t>
      </w:r>
      <w:r w:rsidRPr="00283806">
        <w:rPr>
          <w:spacing w:val="17"/>
          <w:w w:val="105"/>
        </w:rPr>
        <w:t xml:space="preserve"> </w:t>
      </w:r>
      <w:r w:rsidRPr="00283806">
        <w:rPr>
          <w:w w:val="105"/>
        </w:rPr>
        <w:t>in</w:t>
      </w:r>
      <w:r w:rsidRPr="00283806">
        <w:rPr>
          <w:spacing w:val="17"/>
          <w:w w:val="105"/>
        </w:rPr>
        <w:t xml:space="preserve"> </w:t>
      </w:r>
      <w:r w:rsidRPr="00283806">
        <w:rPr>
          <w:w w:val="105"/>
        </w:rPr>
        <w:t>its</w:t>
      </w:r>
      <w:r w:rsidRPr="00283806">
        <w:rPr>
          <w:spacing w:val="17"/>
          <w:w w:val="105"/>
        </w:rPr>
        <w:t xml:space="preserve"> </w:t>
      </w:r>
      <w:r w:rsidRPr="00283806">
        <w:rPr>
          <w:w w:val="105"/>
        </w:rPr>
        <w:t>analysis</w:t>
      </w:r>
      <w:r w:rsidRPr="00283806">
        <w:rPr>
          <w:spacing w:val="17"/>
          <w:w w:val="105"/>
        </w:rPr>
        <w:t xml:space="preserve"> </w:t>
      </w:r>
      <w:r w:rsidRPr="00283806">
        <w:rPr>
          <w:w w:val="105"/>
        </w:rPr>
        <w:t>of</w:t>
      </w:r>
      <w:r w:rsidRPr="00283806">
        <w:rPr>
          <w:spacing w:val="17"/>
          <w:w w:val="105"/>
        </w:rPr>
        <w:t xml:space="preserve"> </w:t>
      </w:r>
      <w:r w:rsidRPr="00283806">
        <w:rPr>
          <w:w w:val="105"/>
        </w:rPr>
        <w:t>the</w:t>
      </w:r>
      <w:r w:rsidRPr="00283806">
        <w:rPr>
          <w:spacing w:val="17"/>
          <w:w w:val="105"/>
        </w:rPr>
        <w:t xml:space="preserve"> </w:t>
      </w:r>
      <w:r w:rsidRPr="00283806">
        <w:rPr>
          <w:w w:val="105"/>
        </w:rPr>
        <w:t>costs</w:t>
      </w:r>
      <w:r w:rsidRPr="00283806">
        <w:rPr>
          <w:spacing w:val="17"/>
          <w:w w:val="105"/>
        </w:rPr>
        <w:t xml:space="preserve"> </w:t>
      </w:r>
      <w:r w:rsidRPr="00283806">
        <w:rPr>
          <w:spacing w:val="-5"/>
          <w:w w:val="105"/>
        </w:rPr>
        <w:t>and</w:t>
      </w:r>
    </w:p>
    <w:p w14:paraId="721BCF5E" w14:textId="77777777" w:rsidR="00D67C1E" w:rsidRPr="00283806" w:rsidRDefault="001265CA">
      <w:pPr>
        <w:pStyle w:val="BodyText"/>
        <w:spacing w:before="3" w:line="225" w:lineRule="auto"/>
        <w:ind w:left="143" w:right="161"/>
      </w:pPr>
      <w:r w:rsidRPr="00283806">
        <w:rPr>
          <w:w w:val="105"/>
        </w:rPr>
        <w:t>benefits of this rule, EPA has not</w:t>
      </w:r>
      <w:r w:rsidRPr="00283806">
        <w:rPr>
          <w:spacing w:val="40"/>
          <w:w w:val="105"/>
        </w:rPr>
        <w:t xml:space="preserve"> </w:t>
      </w:r>
      <w:r w:rsidRPr="00283806">
        <w:rPr>
          <w:w w:val="105"/>
        </w:rPr>
        <w:t>assumed that reclaimed HFCs are more cost-effective vis- a</w:t>
      </w:r>
      <w:r w:rsidRPr="00283806">
        <w:rPr>
          <w:w w:val="105"/>
          <w:position w:val="1"/>
        </w:rPr>
        <w:t>`</w:t>
      </w:r>
      <w:r w:rsidRPr="00283806">
        <w:rPr>
          <w:w w:val="105"/>
        </w:rPr>
        <w:t xml:space="preserve">-vis virgin HFCs due to avoided destruction costs. Such an assumption may be defensible, and EPA is aware of the study, referenced by the commenter, indicating that reclaimed HFCs may </w:t>
      </w:r>
      <w:proofErr w:type="gramStart"/>
      <w:r w:rsidRPr="00283806">
        <w:rPr>
          <w:w w:val="105"/>
        </w:rPr>
        <w:t>actually be</w:t>
      </w:r>
      <w:proofErr w:type="gramEnd"/>
      <w:r w:rsidRPr="00283806">
        <w:rPr>
          <w:w w:val="105"/>
        </w:rPr>
        <w:t xml:space="preserve"> more cost-</w:t>
      </w:r>
      <w:r w:rsidRPr="00283806">
        <w:rPr>
          <w:spacing w:val="40"/>
          <w:w w:val="105"/>
        </w:rPr>
        <w:t xml:space="preserve"> </w:t>
      </w:r>
      <w:r w:rsidRPr="00283806">
        <w:rPr>
          <w:w w:val="105"/>
        </w:rPr>
        <w:t>effective than virgin manufacture, when considering the full refrigerant lifecycle including destruction. While EPA referenced this study in the RIA addendum included with the proposed rule, for the final RIA addendum EPA</w:t>
      </w:r>
      <w:r w:rsidRPr="00283806">
        <w:rPr>
          <w:spacing w:val="80"/>
          <w:w w:val="105"/>
        </w:rPr>
        <w:t xml:space="preserve"> </w:t>
      </w:r>
      <w:r w:rsidRPr="00283806">
        <w:rPr>
          <w:w w:val="105"/>
        </w:rPr>
        <w:t>has conservatively not included the potential savings cited by that study.</w:t>
      </w:r>
    </w:p>
    <w:p w14:paraId="2FEF3FC3" w14:textId="77777777" w:rsidR="00D67C1E" w:rsidRPr="00283806" w:rsidRDefault="001265CA">
      <w:pPr>
        <w:pStyle w:val="BodyText"/>
        <w:spacing w:line="178" w:lineRule="exact"/>
        <w:ind w:left="143"/>
      </w:pPr>
      <w:r w:rsidRPr="00283806">
        <w:rPr>
          <w:w w:val="105"/>
        </w:rPr>
        <w:t>Indeed,</w:t>
      </w:r>
      <w:r w:rsidRPr="00283806">
        <w:rPr>
          <w:spacing w:val="10"/>
          <w:w w:val="105"/>
        </w:rPr>
        <w:t xml:space="preserve"> </w:t>
      </w:r>
      <w:r w:rsidRPr="00283806">
        <w:rPr>
          <w:w w:val="105"/>
        </w:rPr>
        <w:t>in</w:t>
      </w:r>
      <w:r w:rsidRPr="00283806">
        <w:rPr>
          <w:spacing w:val="10"/>
          <w:w w:val="105"/>
        </w:rPr>
        <w:t xml:space="preserve"> </w:t>
      </w:r>
      <w:r w:rsidRPr="00283806">
        <w:rPr>
          <w:w w:val="105"/>
        </w:rPr>
        <w:t>its</w:t>
      </w:r>
      <w:r w:rsidRPr="00283806">
        <w:rPr>
          <w:spacing w:val="10"/>
          <w:w w:val="105"/>
        </w:rPr>
        <w:t xml:space="preserve"> </w:t>
      </w:r>
      <w:r w:rsidRPr="00283806">
        <w:rPr>
          <w:w w:val="105"/>
        </w:rPr>
        <w:t>central</w:t>
      </w:r>
      <w:r w:rsidRPr="00283806">
        <w:rPr>
          <w:spacing w:val="10"/>
          <w:w w:val="105"/>
        </w:rPr>
        <w:t xml:space="preserve"> </w:t>
      </w:r>
      <w:r w:rsidRPr="00283806">
        <w:rPr>
          <w:w w:val="105"/>
        </w:rPr>
        <w:t>base</w:t>
      </w:r>
      <w:r w:rsidRPr="00283806">
        <w:rPr>
          <w:spacing w:val="10"/>
          <w:w w:val="105"/>
        </w:rPr>
        <w:t xml:space="preserve"> </w:t>
      </w:r>
      <w:r w:rsidRPr="00283806">
        <w:rPr>
          <w:w w:val="105"/>
        </w:rPr>
        <w:t>case</w:t>
      </w:r>
      <w:r w:rsidRPr="00283806">
        <w:rPr>
          <w:spacing w:val="11"/>
          <w:w w:val="105"/>
        </w:rPr>
        <w:t xml:space="preserve"> </w:t>
      </w:r>
      <w:r w:rsidRPr="00283806">
        <w:rPr>
          <w:spacing w:val="-2"/>
          <w:w w:val="105"/>
        </w:rPr>
        <w:t>analysis</w:t>
      </w:r>
    </w:p>
    <w:p w14:paraId="086DE400" w14:textId="77777777" w:rsidR="00D67C1E" w:rsidRPr="00283806" w:rsidRDefault="001265CA">
      <w:pPr>
        <w:pStyle w:val="BodyText"/>
        <w:spacing w:before="6" w:line="223" w:lineRule="auto"/>
        <w:ind w:left="143" w:right="250"/>
      </w:pPr>
      <w:r w:rsidRPr="00283806">
        <w:rPr>
          <w:w w:val="105"/>
        </w:rPr>
        <w:t>EPA has conservatively assumed a cost premium for reclaimed HFCs vis- a</w:t>
      </w:r>
      <w:r w:rsidRPr="00283806">
        <w:rPr>
          <w:w w:val="105"/>
          <w:position w:val="1"/>
        </w:rPr>
        <w:t>`</w:t>
      </w:r>
      <w:r w:rsidRPr="00283806">
        <w:rPr>
          <w:w w:val="105"/>
        </w:rPr>
        <w:t>- vis virgin HFCs of 10 percent. For informational purposes, we also provided a sensitivity analysis around this assumption.</w:t>
      </w:r>
    </w:p>
    <w:p w14:paraId="7AD08467" w14:textId="77777777" w:rsidR="00D67C1E" w:rsidRPr="00283806" w:rsidRDefault="001265CA">
      <w:pPr>
        <w:pStyle w:val="BodyText"/>
        <w:spacing w:line="179" w:lineRule="exact"/>
        <w:ind w:left="323"/>
      </w:pPr>
      <w:r w:rsidRPr="00283806">
        <w:rPr>
          <w:w w:val="105"/>
        </w:rPr>
        <w:t>In</w:t>
      </w:r>
      <w:r w:rsidRPr="00283806">
        <w:rPr>
          <w:spacing w:val="4"/>
          <w:w w:val="105"/>
        </w:rPr>
        <w:t xml:space="preserve"> </w:t>
      </w:r>
      <w:r w:rsidRPr="00283806">
        <w:rPr>
          <w:w w:val="105"/>
        </w:rPr>
        <w:t>response</w:t>
      </w:r>
      <w:r w:rsidRPr="00283806">
        <w:rPr>
          <w:spacing w:val="5"/>
          <w:w w:val="105"/>
        </w:rPr>
        <w:t xml:space="preserve"> </w:t>
      </w:r>
      <w:r w:rsidRPr="00283806">
        <w:rPr>
          <w:w w:val="105"/>
        </w:rPr>
        <w:t>to</w:t>
      </w:r>
      <w:r w:rsidRPr="00283806">
        <w:rPr>
          <w:spacing w:val="4"/>
          <w:w w:val="105"/>
        </w:rPr>
        <w:t xml:space="preserve"> </w:t>
      </w:r>
      <w:r w:rsidRPr="00283806">
        <w:rPr>
          <w:w w:val="105"/>
        </w:rPr>
        <w:t>the</w:t>
      </w:r>
      <w:r w:rsidRPr="00283806">
        <w:rPr>
          <w:spacing w:val="5"/>
          <w:w w:val="105"/>
        </w:rPr>
        <w:t xml:space="preserve"> </w:t>
      </w:r>
      <w:r w:rsidRPr="00283806">
        <w:rPr>
          <w:w w:val="105"/>
        </w:rPr>
        <w:t>commenter’s</w:t>
      </w:r>
      <w:r w:rsidRPr="00283806">
        <w:rPr>
          <w:spacing w:val="4"/>
          <w:w w:val="105"/>
        </w:rPr>
        <w:t xml:space="preserve"> </w:t>
      </w:r>
      <w:r w:rsidRPr="00283806">
        <w:rPr>
          <w:spacing w:val="-2"/>
          <w:w w:val="105"/>
        </w:rPr>
        <w:t>claim</w:t>
      </w:r>
    </w:p>
    <w:p w14:paraId="2C744A4C" w14:textId="77777777" w:rsidR="00D67C1E" w:rsidRPr="00283806" w:rsidRDefault="001265CA">
      <w:pPr>
        <w:pStyle w:val="BodyText"/>
        <w:spacing w:before="4" w:line="225" w:lineRule="auto"/>
        <w:ind w:left="143" w:right="173"/>
      </w:pPr>
      <w:proofErr w:type="gramStart"/>
      <w:r w:rsidRPr="00283806">
        <w:rPr>
          <w:w w:val="105"/>
        </w:rPr>
        <w:t>that EPA</w:t>
      </w:r>
      <w:proofErr w:type="gramEnd"/>
      <w:r w:rsidRPr="00283806">
        <w:rPr>
          <w:w w:val="105"/>
        </w:rPr>
        <w:t xml:space="preserve"> should implement a voluntary refrigerant</w:t>
      </w:r>
      <w:r w:rsidRPr="00283806">
        <w:rPr>
          <w:spacing w:val="-3"/>
          <w:w w:val="105"/>
        </w:rPr>
        <w:t xml:space="preserve"> </w:t>
      </w:r>
      <w:r w:rsidRPr="00283806">
        <w:rPr>
          <w:w w:val="105"/>
        </w:rPr>
        <w:t>reclamation</w:t>
      </w:r>
      <w:r w:rsidRPr="00283806">
        <w:rPr>
          <w:spacing w:val="-3"/>
          <w:w w:val="105"/>
        </w:rPr>
        <w:t xml:space="preserve"> </w:t>
      </w:r>
      <w:r w:rsidRPr="00283806">
        <w:rPr>
          <w:w w:val="105"/>
        </w:rPr>
        <w:t>program</w:t>
      </w:r>
      <w:r w:rsidRPr="00283806">
        <w:rPr>
          <w:spacing w:val="-3"/>
          <w:w w:val="105"/>
        </w:rPr>
        <w:t xml:space="preserve"> </w:t>
      </w:r>
      <w:r w:rsidRPr="00283806">
        <w:rPr>
          <w:w w:val="105"/>
        </w:rPr>
        <w:t xml:space="preserve">instead of promulgating refrigerant regulations, EPA responds that the Agency is finalizing reclamation requirements to implement subsection (h)(1) and subsection (h)(2)(B) of the AIM Act, as stated in IV.E.1. Namely, EPA instituted reclamation provisions </w:t>
      </w:r>
      <w:proofErr w:type="gramStart"/>
      <w:r w:rsidRPr="00283806">
        <w:rPr>
          <w:w w:val="105"/>
        </w:rPr>
        <w:t>in order to</w:t>
      </w:r>
      <w:proofErr w:type="gramEnd"/>
      <w:r w:rsidRPr="00283806">
        <w:rPr>
          <w:w w:val="105"/>
        </w:rPr>
        <w:t xml:space="preserve"> maximize reclamation and minimize releases of HFCs consistent with (h)(1), </w:t>
      </w:r>
      <w:proofErr w:type="gramStart"/>
      <w:r w:rsidRPr="00283806">
        <w:rPr>
          <w:w w:val="105"/>
        </w:rPr>
        <w:t>and also</w:t>
      </w:r>
      <w:proofErr w:type="gramEnd"/>
      <w:r w:rsidRPr="00283806">
        <w:rPr>
          <w:w w:val="105"/>
        </w:rPr>
        <w:t xml:space="preserve"> to implement subsection</w:t>
      </w:r>
    </w:p>
    <w:p w14:paraId="04530839"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7" w:space="40"/>
            <w:col w:w="3501" w:space="39"/>
            <w:col w:w="3623"/>
          </w:cols>
        </w:sectPr>
      </w:pPr>
    </w:p>
    <w:p w14:paraId="006F388B" w14:textId="77777777" w:rsidR="00D67C1E" w:rsidRPr="00283806" w:rsidRDefault="001265CA">
      <w:pPr>
        <w:pStyle w:val="BodyText"/>
        <w:spacing w:before="134" w:line="228" w:lineRule="auto"/>
        <w:ind w:right="52"/>
      </w:pPr>
      <w:r w:rsidRPr="00283806">
        <w:rPr>
          <w:w w:val="105"/>
        </w:rPr>
        <w:lastRenderedPageBreak/>
        <w:t>(h)(2)(B) of the AIM Act, which provides that a regulated substance used as a refrigerant shall be reclaimed before being sold or transferred to a new</w:t>
      </w:r>
      <w:r w:rsidRPr="00283806">
        <w:rPr>
          <w:spacing w:val="80"/>
          <w:w w:val="105"/>
        </w:rPr>
        <w:t xml:space="preserve"> </w:t>
      </w:r>
      <w:r w:rsidRPr="00283806">
        <w:rPr>
          <w:w w:val="105"/>
        </w:rPr>
        <w:t>owner, except where such sale or</w:t>
      </w:r>
      <w:r w:rsidRPr="00283806">
        <w:rPr>
          <w:spacing w:val="40"/>
          <w:w w:val="105"/>
        </w:rPr>
        <w:t xml:space="preserve"> </w:t>
      </w:r>
      <w:r w:rsidRPr="00283806">
        <w:rPr>
          <w:w w:val="105"/>
        </w:rPr>
        <w:t>transfer is solely for purposes of reclamation or destruction of the regulated substance. The commenter</w:t>
      </w:r>
      <w:r w:rsidRPr="00283806">
        <w:rPr>
          <w:spacing w:val="40"/>
          <w:w w:val="105"/>
        </w:rPr>
        <w:t xml:space="preserve"> </w:t>
      </w:r>
      <w:r w:rsidRPr="00283806">
        <w:rPr>
          <w:w w:val="105"/>
        </w:rPr>
        <w:t>fails to provide any information or analysis to support a conclusion that a voluntary reclamation program would</w:t>
      </w:r>
      <w:r w:rsidRPr="00283806">
        <w:rPr>
          <w:spacing w:val="80"/>
          <w:w w:val="105"/>
        </w:rPr>
        <w:t xml:space="preserve"> </w:t>
      </w:r>
      <w:r w:rsidRPr="00283806">
        <w:rPr>
          <w:w w:val="105"/>
        </w:rPr>
        <w:t>be as well suited to meeting the objectives of this rule as the program</w:t>
      </w:r>
      <w:r w:rsidRPr="00283806">
        <w:rPr>
          <w:spacing w:val="80"/>
          <w:w w:val="105"/>
        </w:rPr>
        <w:t xml:space="preserve"> </w:t>
      </w:r>
      <w:r w:rsidRPr="00283806">
        <w:rPr>
          <w:w w:val="105"/>
        </w:rPr>
        <w:t>that EPA is establishing in this rule.</w:t>
      </w:r>
    </w:p>
    <w:p w14:paraId="45D8EB10" w14:textId="77777777" w:rsidR="00D67C1E" w:rsidRPr="00283806" w:rsidRDefault="001265CA">
      <w:pPr>
        <w:pStyle w:val="BodyText"/>
        <w:spacing w:line="176" w:lineRule="exact"/>
        <w:ind w:left="340"/>
      </w:pPr>
      <w:r w:rsidRPr="00283806">
        <w:rPr>
          <w:w w:val="105"/>
        </w:rPr>
        <w:t>In</w:t>
      </w:r>
      <w:r w:rsidRPr="00283806">
        <w:rPr>
          <w:spacing w:val="3"/>
          <w:w w:val="105"/>
        </w:rPr>
        <w:t xml:space="preserve"> </w:t>
      </w:r>
      <w:r w:rsidRPr="00283806">
        <w:rPr>
          <w:w w:val="105"/>
        </w:rPr>
        <w:t>response</w:t>
      </w:r>
      <w:r w:rsidRPr="00283806">
        <w:rPr>
          <w:spacing w:val="4"/>
          <w:w w:val="105"/>
        </w:rPr>
        <w:t xml:space="preserve"> </w:t>
      </w:r>
      <w:r w:rsidRPr="00283806">
        <w:rPr>
          <w:w w:val="105"/>
        </w:rPr>
        <w:t>to</w:t>
      </w:r>
      <w:r w:rsidRPr="00283806">
        <w:rPr>
          <w:spacing w:val="4"/>
          <w:w w:val="105"/>
        </w:rPr>
        <w:t xml:space="preserve"> </w:t>
      </w:r>
      <w:r w:rsidRPr="00283806">
        <w:rPr>
          <w:w w:val="105"/>
        </w:rPr>
        <w:t>the</w:t>
      </w:r>
      <w:r w:rsidRPr="00283806">
        <w:rPr>
          <w:spacing w:val="4"/>
          <w:w w:val="105"/>
        </w:rPr>
        <w:t xml:space="preserve"> </w:t>
      </w:r>
      <w:proofErr w:type="gramStart"/>
      <w:r w:rsidRPr="00283806">
        <w:rPr>
          <w:spacing w:val="-2"/>
          <w:w w:val="105"/>
        </w:rPr>
        <w:t>commenter’s</w:t>
      </w:r>
      <w:proofErr w:type="gramEnd"/>
    </w:p>
    <w:p w14:paraId="2DBE91FE" w14:textId="77777777" w:rsidR="00D67C1E" w:rsidRPr="00283806" w:rsidRDefault="001265CA">
      <w:pPr>
        <w:pStyle w:val="BodyText"/>
        <w:spacing w:before="3" w:line="228" w:lineRule="auto"/>
        <w:ind w:right="27"/>
        <w:rPr>
          <w:sz w:val="11"/>
        </w:rPr>
      </w:pPr>
      <w:proofErr w:type="gramStart"/>
      <w:r w:rsidRPr="00283806">
        <w:rPr>
          <w:w w:val="110"/>
        </w:rPr>
        <w:t>assertions</w:t>
      </w:r>
      <w:proofErr w:type="gramEnd"/>
      <w:r w:rsidRPr="00283806">
        <w:rPr>
          <w:w w:val="110"/>
        </w:rPr>
        <w:t xml:space="preserve"> regarding docketing, EPA included both sources that the commenter mentioned in the docket. Yasaka et al. (2023) is included in the docket as an attachment to the docket entry for the RIA addendum,</w:t>
      </w:r>
      <w:r w:rsidRPr="00283806">
        <w:rPr>
          <w:w w:val="110"/>
          <w:position w:val="5"/>
          <w:sz w:val="11"/>
        </w:rPr>
        <w:t>187</w:t>
      </w:r>
      <w:r w:rsidRPr="00283806">
        <w:rPr>
          <w:spacing w:val="40"/>
          <w:w w:val="110"/>
          <w:position w:val="5"/>
          <w:sz w:val="11"/>
        </w:rPr>
        <w:t xml:space="preserve"> </w:t>
      </w:r>
      <w:r w:rsidRPr="00283806">
        <w:rPr>
          <w:w w:val="110"/>
        </w:rPr>
        <w:t xml:space="preserve">while the study the commenter cites ‘‘The 90 </w:t>
      </w:r>
      <w:proofErr w:type="gramStart"/>
      <w:r w:rsidRPr="00283806">
        <w:rPr>
          <w:w w:val="110"/>
        </w:rPr>
        <w:t>Billion</w:t>
      </w:r>
      <w:proofErr w:type="gramEnd"/>
      <w:r w:rsidRPr="00283806">
        <w:rPr>
          <w:w w:val="110"/>
        </w:rPr>
        <w:t xml:space="preserve"> Ton </w:t>
      </w:r>
      <w:proofErr w:type="gramStart"/>
      <w:r w:rsidRPr="00283806">
        <w:rPr>
          <w:w w:val="110"/>
        </w:rPr>
        <w:t>Opportunity’’</w:t>
      </w:r>
      <w:proofErr w:type="gramEnd"/>
      <w:r w:rsidRPr="00283806">
        <w:rPr>
          <w:w w:val="110"/>
        </w:rPr>
        <w:t xml:space="preserve"> is included in a docketed list of references from the </w:t>
      </w:r>
      <w:r w:rsidRPr="00283806">
        <w:rPr>
          <w:spacing w:val="-2"/>
          <w:w w:val="110"/>
        </w:rPr>
        <w:t>NPRM.</w:t>
      </w:r>
      <w:r w:rsidRPr="00283806">
        <w:rPr>
          <w:spacing w:val="-2"/>
          <w:w w:val="110"/>
          <w:position w:val="5"/>
          <w:sz w:val="11"/>
        </w:rPr>
        <w:t>188</w:t>
      </w:r>
    </w:p>
    <w:p w14:paraId="02F37FAA" w14:textId="77777777" w:rsidR="00D67C1E" w:rsidRPr="00283806" w:rsidRDefault="001265CA">
      <w:pPr>
        <w:pStyle w:val="BodyText"/>
        <w:spacing w:line="216" w:lineRule="auto"/>
        <w:ind w:left="159" w:right="27" w:firstLine="180"/>
      </w:pPr>
      <w:r w:rsidRPr="00283806">
        <w:rPr>
          <w:rFonts w:ascii="Book Antiqua"/>
          <w:i/>
          <w:w w:val="105"/>
        </w:rPr>
        <w:t xml:space="preserve">Comment: </w:t>
      </w:r>
      <w:r w:rsidRPr="00283806">
        <w:rPr>
          <w:w w:val="105"/>
        </w:rPr>
        <w:t>Another commenter stated that EPA did not clearly and</w:t>
      </w:r>
    </w:p>
    <w:p w14:paraId="52754DAF" w14:textId="77777777" w:rsidR="00D67C1E" w:rsidRPr="00283806" w:rsidRDefault="001265CA">
      <w:pPr>
        <w:pStyle w:val="BodyText"/>
        <w:spacing w:line="228" w:lineRule="auto"/>
        <w:ind w:left="159" w:right="139"/>
      </w:pPr>
      <w:r w:rsidRPr="00283806">
        <w:rPr>
          <w:w w:val="105"/>
        </w:rPr>
        <w:t>consistently identify the heel estimates used when assessing potential benefits of the proposed cylinder management requirements. The commenter stated that EPA’s environmental benefit analysis is contradictory, insufficiently supported, and does not rely on facts.</w:t>
      </w:r>
    </w:p>
    <w:p w14:paraId="793223DD" w14:textId="77777777" w:rsidR="00D67C1E" w:rsidRPr="00283806" w:rsidRDefault="001265CA">
      <w:pPr>
        <w:pStyle w:val="BodyText"/>
        <w:spacing w:line="220" w:lineRule="auto"/>
        <w:ind w:left="159" w:right="63" w:firstLine="180"/>
      </w:pPr>
      <w:r w:rsidRPr="00283806">
        <w:rPr>
          <w:rFonts w:ascii="Book Antiqua"/>
          <w:i/>
          <w:w w:val="105"/>
        </w:rPr>
        <w:t xml:space="preserve">Response: </w:t>
      </w:r>
      <w:r w:rsidRPr="00283806">
        <w:rPr>
          <w:w w:val="105"/>
        </w:rPr>
        <w:t>EPA has included information in the RIA addendum and Economic</w:t>
      </w:r>
      <w:r w:rsidRPr="00283806">
        <w:rPr>
          <w:spacing w:val="20"/>
          <w:w w:val="105"/>
        </w:rPr>
        <w:t xml:space="preserve"> </w:t>
      </w:r>
      <w:r w:rsidRPr="00283806">
        <w:rPr>
          <w:w w:val="105"/>
        </w:rPr>
        <w:t>Impact</w:t>
      </w:r>
      <w:r w:rsidRPr="00283806">
        <w:rPr>
          <w:spacing w:val="21"/>
          <w:w w:val="105"/>
        </w:rPr>
        <w:t xml:space="preserve"> </w:t>
      </w:r>
      <w:r w:rsidRPr="00283806">
        <w:rPr>
          <w:w w:val="105"/>
        </w:rPr>
        <w:t>and</w:t>
      </w:r>
      <w:r w:rsidRPr="00283806">
        <w:rPr>
          <w:spacing w:val="21"/>
          <w:w w:val="105"/>
        </w:rPr>
        <w:t xml:space="preserve"> </w:t>
      </w:r>
      <w:r w:rsidRPr="00283806">
        <w:rPr>
          <w:w w:val="105"/>
        </w:rPr>
        <w:t>Benefits</w:t>
      </w:r>
      <w:r w:rsidRPr="00283806">
        <w:rPr>
          <w:spacing w:val="20"/>
          <w:w w:val="105"/>
        </w:rPr>
        <w:t xml:space="preserve"> </w:t>
      </w:r>
      <w:r w:rsidRPr="00283806">
        <w:rPr>
          <w:w w:val="105"/>
        </w:rPr>
        <w:t>TSD</w:t>
      </w:r>
      <w:r w:rsidRPr="00283806">
        <w:rPr>
          <w:spacing w:val="21"/>
          <w:w w:val="105"/>
        </w:rPr>
        <w:t xml:space="preserve"> </w:t>
      </w:r>
      <w:r w:rsidRPr="00283806">
        <w:rPr>
          <w:spacing w:val="-5"/>
          <w:w w:val="105"/>
        </w:rPr>
        <w:t>for</w:t>
      </w:r>
    </w:p>
    <w:p w14:paraId="1396DEB5" w14:textId="77777777" w:rsidR="00D67C1E" w:rsidRPr="00283806" w:rsidRDefault="001265CA">
      <w:pPr>
        <w:pStyle w:val="BodyText"/>
        <w:spacing w:line="228" w:lineRule="auto"/>
        <w:ind w:left="159"/>
      </w:pPr>
      <w:r w:rsidRPr="00283806">
        <w:rPr>
          <w:w w:val="105"/>
        </w:rPr>
        <w:t>the final rule regarding the assumptions, including</w:t>
      </w:r>
      <w:r w:rsidRPr="00283806">
        <w:rPr>
          <w:spacing w:val="40"/>
          <w:w w:val="105"/>
        </w:rPr>
        <w:t xml:space="preserve"> </w:t>
      </w:r>
      <w:r w:rsidRPr="00283806">
        <w:rPr>
          <w:w w:val="105"/>
        </w:rPr>
        <w:t>the</w:t>
      </w:r>
      <w:r w:rsidRPr="00283806">
        <w:rPr>
          <w:spacing w:val="40"/>
          <w:w w:val="105"/>
        </w:rPr>
        <w:t xml:space="preserve"> </w:t>
      </w:r>
      <w:r w:rsidRPr="00283806">
        <w:rPr>
          <w:w w:val="105"/>
        </w:rPr>
        <w:t>estimated</w:t>
      </w:r>
      <w:r w:rsidRPr="00283806">
        <w:rPr>
          <w:spacing w:val="40"/>
          <w:w w:val="105"/>
        </w:rPr>
        <w:t xml:space="preserve"> </w:t>
      </w:r>
      <w:r w:rsidRPr="00283806">
        <w:rPr>
          <w:w w:val="105"/>
        </w:rPr>
        <w:t>heel,</w:t>
      </w:r>
      <w:r w:rsidRPr="00283806">
        <w:rPr>
          <w:spacing w:val="40"/>
          <w:w w:val="105"/>
        </w:rPr>
        <w:t xml:space="preserve"> </w:t>
      </w:r>
      <w:r w:rsidRPr="00283806">
        <w:rPr>
          <w:w w:val="105"/>
        </w:rPr>
        <w:t>used</w:t>
      </w:r>
      <w:r w:rsidRPr="00283806">
        <w:rPr>
          <w:spacing w:val="40"/>
          <w:w w:val="105"/>
        </w:rPr>
        <w:t xml:space="preserve"> </w:t>
      </w:r>
      <w:r w:rsidRPr="00283806">
        <w:rPr>
          <w:w w:val="105"/>
        </w:rPr>
        <w:t>in The Agency’s analysis of the costs and benefits of the requirements for the management of disposable cylinders.</w:t>
      </w:r>
    </w:p>
    <w:p w14:paraId="1DEA7E54" w14:textId="77777777" w:rsidR="00D67C1E" w:rsidRPr="00283806" w:rsidRDefault="001265CA">
      <w:pPr>
        <w:pStyle w:val="BodyText"/>
        <w:spacing w:line="228" w:lineRule="auto"/>
        <w:ind w:left="159" w:right="106"/>
      </w:pPr>
      <w:r w:rsidRPr="00283806">
        <w:rPr>
          <w:w w:val="105"/>
        </w:rPr>
        <w:t xml:space="preserve">Further, based on information from the commenter, EPA has provided sensitivity analyses of the related costs and benefits in Appendix K of the RIA </w:t>
      </w:r>
      <w:r w:rsidRPr="00283806">
        <w:rPr>
          <w:spacing w:val="-2"/>
          <w:w w:val="105"/>
        </w:rPr>
        <w:t>addendum.</w:t>
      </w:r>
    </w:p>
    <w:p w14:paraId="47FD1550" w14:textId="77777777" w:rsidR="00D67C1E" w:rsidRPr="00283806" w:rsidRDefault="001265CA">
      <w:pPr>
        <w:pStyle w:val="BodyText"/>
        <w:spacing w:line="220" w:lineRule="auto"/>
        <w:ind w:left="159" w:right="46" w:firstLine="180"/>
        <w:jc w:val="both"/>
      </w:pPr>
      <w:r w:rsidRPr="00283806">
        <w:rPr>
          <w:rFonts w:ascii="Book Antiqua"/>
          <w:i/>
          <w:w w:val="105"/>
        </w:rPr>
        <w:t xml:space="preserve">Comment: </w:t>
      </w:r>
      <w:r w:rsidRPr="00283806">
        <w:rPr>
          <w:w w:val="105"/>
        </w:rPr>
        <w:t>One commenter stated that there would be no benefit for reclaimers to recover refrigerant heels because</w:t>
      </w:r>
    </w:p>
    <w:p w14:paraId="53276BC3" w14:textId="77777777" w:rsidR="00D67C1E" w:rsidRPr="00283806" w:rsidRDefault="001265CA">
      <w:pPr>
        <w:pStyle w:val="BodyText"/>
        <w:spacing w:line="228" w:lineRule="auto"/>
        <w:ind w:left="159" w:right="63"/>
      </w:pPr>
      <w:proofErr w:type="gramStart"/>
      <w:r w:rsidRPr="00283806">
        <w:rPr>
          <w:w w:val="105"/>
        </w:rPr>
        <w:t>there</w:t>
      </w:r>
      <w:proofErr w:type="gramEnd"/>
      <w:r w:rsidRPr="00283806">
        <w:rPr>
          <w:w w:val="105"/>
        </w:rPr>
        <w:t xml:space="preserve"> would be little refrigerant left in the cylinders, resulting in an expensive refrigerant from a cost per ounce perspective. Another commenter stated that EPA’s RIA addendum did not provide any estimates of the costs and benefits of the proposed container tracking system. The commenter stated that EPA cost estimates appear to be entirely based on the separate</w:t>
      </w:r>
    </w:p>
    <w:p w14:paraId="2A5DFF8B" w14:textId="77777777" w:rsidR="00D67C1E" w:rsidRPr="00283806" w:rsidRDefault="001265CA">
      <w:pPr>
        <w:pStyle w:val="BodyText"/>
        <w:spacing w:before="8"/>
        <w:ind w:left="0"/>
        <w:rPr>
          <w:sz w:val="10"/>
        </w:rPr>
      </w:pPr>
      <w:r w:rsidRPr="00283806">
        <w:rPr>
          <w:noProof/>
        </w:rPr>
        <mc:AlternateContent>
          <mc:Choice Requires="wps">
            <w:drawing>
              <wp:anchor distT="0" distB="0" distL="0" distR="0" simplePos="0" relativeHeight="251691008" behindDoc="1" locked="0" layoutInCell="1" allowOverlap="1" wp14:anchorId="458D4620" wp14:editId="16BF3A69">
                <wp:simplePos x="0" y="0"/>
                <wp:positionH relativeFrom="page">
                  <wp:posOffset>571500</wp:posOffset>
                </wp:positionH>
                <wp:positionV relativeFrom="paragraph">
                  <wp:posOffset>94971</wp:posOffset>
                </wp:positionV>
                <wp:extent cx="635000" cy="1270"/>
                <wp:effectExtent l="0" t="0" r="0" b="0"/>
                <wp:wrapTopAndBottom/>
                <wp:docPr id="124" name="Graphic 1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70B5162" id="Graphic 124" o:spid="_x0000_s1026" alt="&quot;&quot;" style="position:absolute;margin-left:45pt;margin-top:7.5pt;width:50pt;height:.1pt;z-index:-251625472;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" path="m,l635000,e" filled="f" strokeweight=".5pt">
                <v:path arrowok="t"/>
                <w10:wrap type="topAndBottom" anchorx="page"/>
              </v:shape>
            </w:pict>
          </mc:Fallback>
        </mc:AlternateContent>
      </w:r>
    </w:p>
    <w:p w14:paraId="732139F4" w14:textId="253391A5" w:rsidR="00D67C1E" w:rsidRPr="00283806" w:rsidRDefault="001265CA">
      <w:pPr>
        <w:spacing w:before="18" w:line="230" w:lineRule="auto"/>
        <w:ind w:left="159" w:right="226" w:firstLine="140"/>
        <w:rPr>
          <w:rFonts w:ascii="Book Antiqua"/>
          <w:i/>
          <w:sz w:val="14"/>
        </w:rPr>
      </w:pPr>
      <w:r w:rsidRPr="00283806">
        <w:rPr>
          <w:w w:val="110"/>
          <w:position w:val="4"/>
          <w:sz w:val="9"/>
        </w:rPr>
        <w:t>187</w:t>
      </w:r>
      <w:r w:rsidRPr="00283806">
        <w:rPr>
          <w:spacing w:val="-6"/>
          <w:w w:val="110"/>
          <w:position w:val="4"/>
          <w:sz w:val="9"/>
        </w:rPr>
        <w:t xml:space="preserve"> </w:t>
      </w:r>
      <w:r w:rsidRPr="00283806">
        <w:rPr>
          <w:w w:val="110"/>
          <w:sz w:val="14"/>
        </w:rPr>
        <w:t>The</w:t>
      </w:r>
      <w:r w:rsidRPr="00283806">
        <w:rPr>
          <w:spacing w:val="-8"/>
          <w:w w:val="110"/>
          <w:sz w:val="14"/>
        </w:rPr>
        <w:t xml:space="preserve"> </w:t>
      </w:r>
      <w:r w:rsidRPr="00283806">
        <w:rPr>
          <w:w w:val="110"/>
          <w:sz w:val="14"/>
        </w:rPr>
        <w:t>docket</w:t>
      </w:r>
      <w:r w:rsidRPr="00283806">
        <w:rPr>
          <w:spacing w:val="-9"/>
          <w:w w:val="110"/>
          <w:sz w:val="14"/>
        </w:rPr>
        <w:t xml:space="preserve"> </w:t>
      </w:r>
      <w:r w:rsidRPr="00283806">
        <w:rPr>
          <w:w w:val="110"/>
          <w:sz w:val="14"/>
        </w:rPr>
        <w:t>entry</w:t>
      </w:r>
      <w:r w:rsidRPr="00283806">
        <w:rPr>
          <w:spacing w:val="-8"/>
          <w:w w:val="110"/>
          <w:sz w:val="14"/>
        </w:rPr>
        <w:t xml:space="preserve"> </w:t>
      </w:r>
      <w:r w:rsidRPr="00283806">
        <w:rPr>
          <w:w w:val="110"/>
          <w:sz w:val="14"/>
        </w:rPr>
        <w:t>for</w:t>
      </w:r>
      <w:r w:rsidRPr="00283806">
        <w:rPr>
          <w:spacing w:val="-9"/>
          <w:w w:val="110"/>
          <w:sz w:val="14"/>
        </w:rPr>
        <w:t xml:space="preserve"> </w:t>
      </w:r>
      <w:r w:rsidRPr="00283806">
        <w:rPr>
          <w:w w:val="110"/>
          <w:sz w:val="14"/>
        </w:rPr>
        <w:t>the</w:t>
      </w:r>
      <w:r w:rsidRPr="00283806">
        <w:rPr>
          <w:spacing w:val="-8"/>
          <w:w w:val="110"/>
          <w:sz w:val="14"/>
        </w:rPr>
        <w:t xml:space="preserve"> </w:t>
      </w:r>
      <w:r w:rsidRPr="00283806">
        <w:rPr>
          <w:w w:val="110"/>
          <w:sz w:val="14"/>
        </w:rPr>
        <w:t>RIA</w:t>
      </w:r>
      <w:r w:rsidRPr="00283806">
        <w:rPr>
          <w:spacing w:val="-9"/>
          <w:w w:val="110"/>
          <w:sz w:val="14"/>
        </w:rPr>
        <w:t xml:space="preserve"> </w:t>
      </w:r>
      <w:r w:rsidRPr="00283806">
        <w:rPr>
          <w:w w:val="110"/>
          <w:sz w:val="14"/>
        </w:rPr>
        <w:t>addendum</w:t>
      </w:r>
      <w:r w:rsidRPr="00283806">
        <w:rPr>
          <w:spacing w:val="-8"/>
          <w:w w:val="110"/>
          <w:sz w:val="14"/>
        </w:rPr>
        <w:t xml:space="preserve"> </w:t>
      </w:r>
      <w:r w:rsidRPr="00283806">
        <w:rPr>
          <w:w w:val="110"/>
          <w:sz w:val="14"/>
        </w:rPr>
        <w:t>for</w:t>
      </w:r>
      <w:r w:rsidRPr="00283806">
        <w:rPr>
          <w:spacing w:val="40"/>
          <w:w w:val="110"/>
          <w:sz w:val="14"/>
        </w:rPr>
        <w:t xml:space="preserve"> </w:t>
      </w:r>
      <w:r w:rsidRPr="00283806">
        <w:rPr>
          <w:w w:val="110"/>
          <w:sz w:val="14"/>
        </w:rPr>
        <w:t xml:space="preserve">the proposed rule is available at: </w:t>
      </w:r>
      <w:r w:rsidRPr="00283806">
        <w:rPr>
          <w:rFonts w:ascii="Book Antiqua"/>
          <w:i/>
          <w:w w:val="110"/>
          <w:sz w:val="14"/>
        </w:rPr>
        <w:t>https://</w:t>
      </w:r>
      <w:r w:rsidRPr="00283806">
        <w:rPr>
          <w:rFonts w:ascii="Book Antiqua"/>
          <w:i/>
          <w:spacing w:val="40"/>
          <w:w w:val="110"/>
          <w:sz w:val="14"/>
        </w:rPr>
        <w:t xml:space="preserve"> </w:t>
      </w:r>
      <w:r w:rsidRPr="00283806">
        <w:rPr>
          <w:rFonts w:ascii="Book Antiqua"/>
          <w:i/>
          <w:spacing w:val="-2"/>
          <w:w w:val="110"/>
          <w:sz w:val="14"/>
        </w:rPr>
        <w:t>www.regulations.gov/document/EPA-HQ-OAR-</w:t>
      </w:r>
    </w:p>
    <w:p w14:paraId="5CB94A43" w14:textId="77777777" w:rsidR="00D67C1E" w:rsidRPr="00283806" w:rsidRDefault="001265CA">
      <w:pPr>
        <w:pStyle w:val="BodyText"/>
        <w:spacing w:before="135" w:line="225" w:lineRule="auto"/>
        <w:ind w:left="145"/>
      </w:pPr>
      <w:r w:rsidRPr="00283806">
        <w:br w:type="column"/>
      </w:r>
      <w:r w:rsidRPr="00283806">
        <w:rPr>
          <w:w w:val="105"/>
        </w:rPr>
        <w:t>requirement</w:t>
      </w:r>
      <w:r w:rsidRPr="00283806">
        <w:rPr>
          <w:spacing w:val="-8"/>
          <w:w w:val="105"/>
        </w:rPr>
        <w:t xml:space="preserve"> </w:t>
      </w:r>
      <w:r w:rsidRPr="00283806">
        <w:rPr>
          <w:w w:val="105"/>
        </w:rPr>
        <w:t>regarding</w:t>
      </w:r>
      <w:r w:rsidRPr="00283806">
        <w:rPr>
          <w:spacing w:val="-8"/>
          <w:w w:val="105"/>
        </w:rPr>
        <w:t xml:space="preserve"> </w:t>
      </w:r>
      <w:r w:rsidRPr="00283806">
        <w:rPr>
          <w:w w:val="105"/>
        </w:rPr>
        <w:t>the</w:t>
      </w:r>
      <w:r w:rsidRPr="00283806">
        <w:rPr>
          <w:spacing w:val="-8"/>
          <w:w w:val="105"/>
        </w:rPr>
        <w:t xml:space="preserve"> </w:t>
      </w:r>
      <w:r w:rsidRPr="00283806">
        <w:rPr>
          <w:w w:val="105"/>
        </w:rPr>
        <w:t>recovery</w:t>
      </w:r>
      <w:r w:rsidRPr="00283806">
        <w:rPr>
          <w:spacing w:val="-8"/>
          <w:w w:val="105"/>
        </w:rPr>
        <w:t xml:space="preserve"> </w:t>
      </w:r>
      <w:r w:rsidRPr="00283806">
        <w:rPr>
          <w:w w:val="105"/>
        </w:rPr>
        <w:t>of cylinder heels.</w:t>
      </w:r>
    </w:p>
    <w:p w14:paraId="4B62D9A9" w14:textId="77777777" w:rsidR="00D67C1E" w:rsidRPr="00283806" w:rsidRDefault="001265CA">
      <w:pPr>
        <w:pStyle w:val="BodyText"/>
        <w:spacing w:line="179" w:lineRule="exact"/>
        <w:ind w:left="325"/>
      </w:pPr>
      <w:r w:rsidRPr="00283806">
        <w:rPr>
          <w:w w:val="105"/>
        </w:rPr>
        <w:t>An</w:t>
      </w:r>
      <w:r w:rsidRPr="00283806">
        <w:rPr>
          <w:spacing w:val="14"/>
          <w:w w:val="105"/>
        </w:rPr>
        <w:t xml:space="preserve"> </w:t>
      </w:r>
      <w:r w:rsidRPr="00283806">
        <w:rPr>
          <w:w w:val="105"/>
        </w:rPr>
        <w:t>additional</w:t>
      </w:r>
      <w:r w:rsidRPr="00283806">
        <w:rPr>
          <w:spacing w:val="15"/>
          <w:w w:val="105"/>
        </w:rPr>
        <w:t xml:space="preserve"> </w:t>
      </w:r>
      <w:r w:rsidRPr="00283806">
        <w:rPr>
          <w:w w:val="105"/>
        </w:rPr>
        <w:t>commenter</w:t>
      </w:r>
      <w:r w:rsidRPr="00283806">
        <w:rPr>
          <w:spacing w:val="15"/>
          <w:w w:val="105"/>
        </w:rPr>
        <w:t xml:space="preserve"> </w:t>
      </w:r>
      <w:r w:rsidRPr="00283806">
        <w:rPr>
          <w:w w:val="105"/>
        </w:rPr>
        <w:t>stated</w:t>
      </w:r>
      <w:r w:rsidRPr="00283806">
        <w:rPr>
          <w:spacing w:val="14"/>
          <w:w w:val="105"/>
        </w:rPr>
        <w:t xml:space="preserve"> </w:t>
      </w:r>
      <w:r w:rsidRPr="00283806">
        <w:rPr>
          <w:spacing w:val="-4"/>
          <w:w w:val="105"/>
        </w:rPr>
        <w:t>that</w:t>
      </w:r>
    </w:p>
    <w:p w14:paraId="2A4502C2" w14:textId="77777777" w:rsidR="00D67C1E" w:rsidRPr="00283806" w:rsidRDefault="001265CA">
      <w:pPr>
        <w:pStyle w:val="BodyText"/>
        <w:spacing w:before="4" w:line="225" w:lineRule="auto"/>
        <w:ind w:left="145"/>
      </w:pPr>
      <w:proofErr w:type="gramStart"/>
      <w:r w:rsidRPr="00283806">
        <w:rPr>
          <w:w w:val="105"/>
        </w:rPr>
        <w:t>there</w:t>
      </w:r>
      <w:proofErr w:type="gramEnd"/>
      <w:r w:rsidRPr="00283806">
        <w:rPr>
          <w:w w:val="105"/>
        </w:rPr>
        <w:t xml:space="preserve"> is no benefit to forcing empty disposable cylinders to outside facilities and that tracking cylinders will increase </w:t>
      </w:r>
      <w:r w:rsidRPr="00283806">
        <w:rPr>
          <w:spacing w:val="-2"/>
          <w:w w:val="105"/>
        </w:rPr>
        <w:t>costs.</w:t>
      </w:r>
    </w:p>
    <w:p w14:paraId="3487A891" w14:textId="77777777" w:rsidR="00D67C1E" w:rsidRPr="00283806" w:rsidRDefault="001265CA">
      <w:pPr>
        <w:pStyle w:val="BodyText"/>
        <w:spacing w:line="213" w:lineRule="auto"/>
        <w:ind w:left="145" w:right="238" w:firstLine="180"/>
      </w:pPr>
      <w:r w:rsidRPr="00283806">
        <w:rPr>
          <w:rFonts w:ascii="Book Antiqua"/>
          <w:i/>
          <w:w w:val="105"/>
        </w:rPr>
        <w:t xml:space="preserve">Response: </w:t>
      </w:r>
      <w:r w:rsidRPr="00283806">
        <w:rPr>
          <w:w w:val="105"/>
        </w:rPr>
        <w:t>EPA has estimated the costs</w:t>
      </w:r>
      <w:r w:rsidRPr="00283806">
        <w:rPr>
          <w:spacing w:val="-1"/>
          <w:w w:val="105"/>
        </w:rPr>
        <w:t xml:space="preserve"> </w:t>
      </w:r>
      <w:r w:rsidRPr="00283806">
        <w:rPr>
          <w:w w:val="105"/>
        </w:rPr>
        <w:t>and</w:t>
      </w:r>
      <w:r w:rsidRPr="00283806">
        <w:rPr>
          <w:spacing w:val="-1"/>
          <w:w w:val="105"/>
        </w:rPr>
        <w:t xml:space="preserve"> </w:t>
      </w:r>
      <w:r w:rsidRPr="00283806">
        <w:rPr>
          <w:w w:val="105"/>
        </w:rPr>
        <w:t>benefits</w:t>
      </w:r>
      <w:r w:rsidRPr="00283806">
        <w:rPr>
          <w:spacing w:val="-1"/>
          <w:w w:val="105"/>
        </w:rPr>
        <w:t xml:space="preserve"> </w:t>
      </w:r>
      <w:r w:rsidRPr="00283806">
        <w:rPr>
          <w:w w:val="105"/>
        </w:rPr>
        <w:t>of</w:t>
      </w:r>
      <w:r w:rsidRPr="00283806">
        <w:rPr>
          <w:spacing w:val="-1"/>
          <w:w w:val="105"/>
        </w:rPr>
        <w:t xml:space="preserve"> </w:t>
      </w:r>
      <w:r w:rsidRPr="00283806">
        <w:rPr>
          <w:w w:val="105"/>
        </w:rPr>
        <w:t>requirements</w:t>
      </w:r>
      <w:r w:rsidRPr="00283806">
        <w:rPr>
          <w:spacing w:val="-1"/>
          <w:w w:val="105"/>
        </w:rPr>
        <w:t xml:space="preserve"> </w:t>
      </w:r>
      <w:r w:rsidRPr="00283806">
        <w:rPr>
          <w:w w:val="105"/>
        </w:rPr>
        <w:t>to</w:t>
      </w:r>
    </w:p>
    <w:p w14:paraId="535A7F38" w14:textId="77777777" w:rsidR="00D67C1E" w:rsidRPr="00283806" w:rsidRDefault="001265CA">
      <w:pPr>
        <w:pStyle w:val="BodyText"/>
        <w:spacing w:line="225" w:lineRule="auto"/>
        <w:ind w:left="145" w:right="1"/>
      </w:pPr>
      <w:r w:rsidRPr="00283806">
        <w:rPr>
          <w:w w:val="105"/>
        </w:rPr>
        <w:t>manage disposable cylinders and heels</w:t>
      </w:r>
      <w:r w:rsidRPr="00283806">
        <w:rPr>
          <w:spacing w:val="80"/>
          <w:w w:val="105"/>
        </w:rPr>
        <w:t xml:space="preserve"> </w:t>
      </w:r>
      <w:r w:rsidRPr="00283806">
        <w:rPr>
          <w:w w:val="105"/>
        </w:rPr>
        <w:t>in the RIA addendum and Economic Impact and Benefits TSD for the final</w:t>
      </w:r>
      <w:r w:rsidRPr="00283806">
        <w:rPr>
          <w:spacing w:val="40"/>
          <w:w w:val="105"/>
        </w:rPr>
        <w:t xml:space="preserve"> </w:t>
      </w:r>
      <w:r w:rsidRPr="00283806">
        <w:rPr>
          <w:w w:val="105"/>
        </w:rPr>
        <w:t xml:space="preserve">rule. EPA is not finalizing the cylinder tracking requirements at this time, and thus costs related to those provisions are not included in the costs from the </w:t>
      </w:r>
      <w:proofErr w:type="gramStart"/>
      <w:r w:rsidRPr="00283806">
        <w:rPr>
          <w:w w:val="105"/>
        </w:rPr>
        <w:t>aforementioned</w:t>
      </w:r>
      <w:r w:rsidRPr="00283806">
        <w:rPr>
          <w:spacing w:val="40"/>
          <w:w w:val="105"/>
        </w:rPr>
        <w:t xml:space="preserve"> </w:t>
      </w:r>
      <w:r w:rsidRPr="00283806">
        <w:rPr>
          <w:w w:val="105"/>
        </w:rPr>
        <w:t>RIA</w:t>
      </w:r>
      <w:proofErr w:type="gramEnd"/>
      <w:r w:rsidRPr="00283806">
        <w:rPr>
          <w:spacing w:val="40"/>
          <w:w w:val="105"/>
        </w:rPr>
        <w:t xml:space="preserve"> </w:t>
      </w:r>
      <w:r w:rsidRPr="00283806">
        <w:rPr>
          <w:w w:val="105"/>
        </w:rPr>
        <w:t>addendum</w:t>
      </w:r>
      <w:r w:rsidRPr="00283806">
        <w:rPr>
          <w:spacing w:val="40"/>
          <w:w w:val="105"/>
        </w:rPr>
        <w:t xml:space="preserve"> </w:t>
      </w:r>
      <w:r w:rsidRPr="00283806">
        <w:rPr>
          <w:w w:val="105"/>
        </w:rPr>
        <w:t>and TSD.</w:t>
      </w:r>
      <w:r w:rsidRPr="00283806">
        <w:rPr>
          <w:spacing w:val="40"/>
          <w:w w:val="105"/>
        </w:rPr>
        <w:t xml:space="preserve"> </w:t>
      </w:r>
      <w:r w:rsidRPr="00283806">
        <w:rPr>
          <w:w w:val="105"/>
        </w:rPr>
        <w:t>EPA</w:t>
      </w:r>
      <w:r w:rsidRPr="00283806">
        <w:rPr>
          <w:spacing w:val="40"/>
          <w:w w:val="105"/>
        </w:rPr>
        <w:t xml:space="preserve"> </w:t>
      </w:r>
      <w:r w:rsidRPr="00283806">
        <w:rPr>
          <w:w w:val="105"/>
        </w:rPr>
        <w:t>notes</w:t>
      </w:r>
      <w:r w:rsidRPr="00283806">
        <w:rPr>
          <w:spacing w:val="40"/>
          <w:w w:val="105"/>
        </w:rPr>
        <w:t xml:space="preserve"> </w:t>
      </w:r>
      <w:r w:rsidRPr="00283806">
        <w:rPr>
          <w:w w:val="105"/>
        </w:rPr>
        <w:t>that</w:t>
      </w:r>
      <w:r w:rsidRPr="00283806">
        <w:rPr>
          <w:spacing w:val="40"/>
          <w:w w:val="105"/>
        </w:rPr>
        <w:t xml:space="preserve"> </w:t>
      </w:r>
      <w:r w:rsidRPr="00283806">
        <w:rPr>
          <w:w w:val="105"/>
        </w:rPr>
        <w:t>for</w:t>
      </w:r>
      <w:r w:rsidRPr="00283806">
        <w:rPr>
          <w:spacing w:val="40"/>
          <w:w w:val="105"/>
        </w:rPr>
        <w:t xml:space="preserve"> </w:t>
      </w:r>
      <w:r w:rsidRPr="00283806">
        <w:rPr>
          <w:w w:val="105"/>
        </w:rPr>
        <w:t>consistency with</w:t>
      </w:r>
      <w:r w:rsidRPr="00283806">
        <w:rPr>
          <w:spacing w:val="40"/>
          <w:w w:val="105"/>
        </w:rPr>
        <w:t xml:space="preserve"> </w:t>
      </w:r>
      <w:r w:rsidRPr="00283806">
        <w:rPr>
          <w:w w:val="105"/>
        </w:rPr>
        <w:t>previous</w:t>
      </w:r>
      <w:r w:rsidRPr="00283806">
        <w:rPr>
          <w:spacing w:val="40"/>
          <w:w w:val="105"/>
        </w:rPr>
        <w:t xml:space="preserve"> </w:t>
      </w:r>
      <w:r w:rsidRPr="00283806">
        <w:rPr>
          <w:w w:val="105"/>
        </w:rPr>
        <w:t>regulations</w:t>
      </w:r>
      <w:r w:rsidRPr="00283806">
        <w:rPr>
          <w:spacing w:val="40"/>
          <w:w w:val="105"/>
        </w:rPr>
        <w:t xml:space="preserve"> </w:t>
      </w:r>
      <w:r w:rsidRPr="00283806">
        <w:rPr>
          <w:w w:val="105"/>
        </w:rPr>
        <w:t>under</w:t>
      </w:r>
      <w:r w:rsidRPr="00283806">
        <w:rPr>
          <w:spacing w:val="40"/>
          <w:w w:val="105"/>
        </w:rPr>
        <w:t xml:space="preserve"> </w:t>
      </w:r>
      <w:r w:rsidRPr="00283806">
        <w:rPr>
          <w:w w:val="105"/>
        </w:rPr>
        <w:t>the AIM Act, the Agency assumed the value</w:t>
      </w:r>
      <w:r w:rsidRPr="00283806">
        <w:rPr>
          <w:spacing w:val="80"/>
          <w:w w:val="105"/>
        </w:rPr>
        <w:t xml:space="preserve"> </w:t>
      </w:r>
      <w:r w:rsidRPr="00283806">
        <w:rPr>
          <w:w w:val="105"/>
        </w:rPr>
        <w:t>of the recovered heel is $4 per pound.</w:t>
      </w:r>
    </w:p>
    <w:p w14:paraId="51CF5831" w14:textId="77777777" w:rsidR="00D67C1E" w:rsidRPr="00283806" w:rsidRDefault="001265CA">
      <w:pPr>
        <w:pStyle w:val="BodyText"/>
        <w:spacing w:line="225" w:lineRule="auto"/>
        <w:ind w:left="145" w:right="66"/>
      </w:pPr>
      <w:r w:rsidRPr="00283806">
        <w:rPr>
          <w:w w:val="105"/>
        </w:rPr>
        <w:t>That said, EPA expects that given the</w:t>
      </w:r>
      <w:r w:rsidRPr="00283806">
        <w:rPr>
          <w:spacing w:val="80"/>
          <w:w w:val="105"/>
        </w:rPr>
        <w:t xml:space="preserve"> </w:t>
      </w:r>
      <w:r w:rsidRPr="00283806">
        <w:rPr>
          <w:w w:val="105"/>
        </w:rPr>
        <w:t>HFC phasedown that is underway, those costs</w:t>
      </w:r>
      <w:r w:rsidRPr="00283806">
        <w:rPr>
          <w:spacing w:val="40"/>
          <w:w w:val="105"/>
        </w:rPr>
        <w:t xml:space="preserve"> </w:t>
      </w:r>
      <w:r w:rsidRPr="00283806">
        <w:rPr>
          <w:w w:val="105"/>
        </w:rPr>
        <w:t>could</w:t>
      </w:r>
      <w:r w:rsidRPr="00283806">
        <w:rPr>
          <w:spacing w:val="40"/>
          <w:w w:val="105"/>
        </w:rPr>
        <w:t xml:space="preserve"> </w:t>
      </w:r>
      <w:r w:rsidRPr="00283806">
        <w:rPr>
          <w:w w:val="105"/>
        </w:rPr>
        <w:t>increase</w:t>
      </w:r>
      <w:r w:rsidRPr="00283806">
        <w:rPr>
          <w:spacing w:val="40"/>
          <w:w w:val="105"/>
        </w:rPr>
        <w:t xml:space="preserve"> </w:t>
      </w:r>
      <w:r w:rsidRPr="00283806">
        <w:rPr>
          <w:w w:val="105"/>
        </w:rPr>
        <w:t>over</w:t>
      </w:r>
      <w:r w:rsidRPr="00283806">
        <w:rPr>
          <w:spacing w:val="40"/>
          <w:w w:val="105"/>
        </w:rPr>
        <w:t xml:space="preserve"> </w:t>
      </w:r>
      <w:r w:rsidRPr="00283806">
        <w:rPr>
          <w:w w:val="105"/>
        </w:rPr>
        <w:t>time, providing more value to those</w:t>
      </w:r>
      <w:r w:rsidRPr="00283806">
        <w:rPr>
          <w:spacing w:val="80"/>
          <w:w w:val="105"/>
        </w:rPr>
        <w:t xml:space="preserve"> </w:t>
      </w:r>
      <w:r w:rsidRPr="00283806">
        <w:rPr>
          <w:w w:val="105"/>
        </w:rPr>
        <w:t xml:space="preserve">recovering the heels. The reasons for establishing these requirements related to disposable cylinders and heels are explained in section IV.G of this </w:t>
      </w:r>
      <w:r w:rsidRPr="00283806">
        <w:rPr>
          <w:spacing w:val="-2"/>
          <w:w w:val="105"/>
        </w:rPr>
        <w:t>document.</w:t>
      </w:r>
    </w:p>
    <w:p w14:paraId="1A772945" w14:textId="77777777" w:rsidR="00D67C1E" w:rsidRPr="00283806" w:rsidRDefault="001265CA">
      <w:pPr>
        <w:spacing w:line="182" w:lineRule="exact"/>
        <w:ind w:left="325"/>
        <w:rPr>
          <w:sz w:val="18"/>
        </w:rPr>
      </w:pPr>
      <w:r w:rsidRPr="00283806">
        <w:rPr>
          <w:rFonts w:ascii="Book Antiqua"/>
          <w:i/>
          <w:w w:val="105"/>
          <w:sz w:val="18"/>
        </w:rPr>
        <w:t>Comment:</w:t>
      </w:r>
      <w:r w:rsidRPr="00283806">
        <w:rPr>
          <w:rFonts w:ascii="Book Antiqua"/>
          <w:i/>
          <w:spacing w:val="18"/>
          <w:w w:val="105"/>
          <w:sz w:val="18"/>
        </w:rPr>
        <w:t xml:space="preserve"> </w:t>
      </w:r>
      <w:r w:rsidRPr="00283806">
        <w:rPr>
          <w:w w:val="105"/>
          <w:sz w:val="18"/>
        </w:rPr>
        <w:t>One</w:t>
      </w:r>
      <w:r w:rsidRPr="00283806">
        <w:rPr>
          <w:spacing w:val="23"/>
          <w:w w:val="105"/>
          <w:sz w:val="18"/>
        </w:rPr>
        <w:t xml:space="preserve"> </w:t>
      </w:r>
      <w:r w:rsidRPr="00283806">
        <w:rPr>
          <w:w w:val="105"/>
          <w:sz w:val="18"/>
        </w:rPr>
        <w:t>commenter</w:t>
      </w:r>
      <w:r w:rsidRPr="00283806">
        <w:rPr>
          <w:spacing w:val="23"/>
          <w:w w:val="105"/>
          <w:sz w:val="18"/>
        </w:rPr>
        <w:t xml:space="preserve"> </w:t>
      </w:r>
      <w:r w:rsidRPr="00283806">
        <w:rPr>
          <w:w w:val="105"/>
          <w:sz w:val="18"/>
        </w:rPr>
        <w:t>also</w:t>
      </w:r>
      <w:r w:rsidRPr="00283806">
        <w:rPr>
          <w:spacing w:val="24"/>
          <w:w w:val="105"/>
          <w:sz w:val="18"/>
        </w:rPr>
        <w:t xml:space="preserve"> </w:t>
      </w:r>
      <w:r w:rsidRPr="00283806">
        <w:rPr>
          <w:spacing w:val="-2"/>
          <w:w w:val="105"/>
          <w:sz w:val="18"/>
        </w:rPr>
        <w:t>stated</w:t>
      </w:r>
    </w:p>
    <w:p w14:paraId="6876EAE5" w14:textId="77777777" w:rsidR="00D67C1E" w:rsidRPr="00283806" w:rsidRDefault="001265CA">
      <w:pPr>
        <w:pStyle w:val="BodyText"/>
        <w:spacing w:line="225" w:lineRule="auto"/>
        <w:ind w:left="145" w:right="60"/>
      </w:pPr>
      <w:r w:rsidRPr="00283806">
        <w:rPr>
          <w:w w:val="105"/>
        </w:rPr>
        <w:t>that there will be a cost impact throughout the supply chain to handle the logistics and tracking required to recover a likely small amount of HFCs. The commenter expressed concern with the net environmental impact of reclaiming the heel refrigerant from disposable</w:t>
      </w:r>
      <w:r w:rsidRPr="00283806">
        <w:rPr>
          <w:spacing w:val="40"/>
          <w:w w:val="105"/>
        </w:rPr>
        <w:t xml:space="preserve"> </w:t>
      </w:r>
      <w:r w:rsidRPr="00283806">
        <w:rPr>
          <w:w w:val="105"/>
        </w:rPr>
        <w:t>cylinders</w:t>
      </w:r>
      <w:r w:rsidRPr="00283806">
        <w:rPr>
          <w:spacing w:val="40"/>
          <w:w w:val="105"/>
        </w:rPr>
        <w:t xml:space="preserve"> </w:t>
      </w:r>
      <w:r w:rsidRPr="00283806">
        <w:rPr>
          <w:w w:val="105"/>
        </w:rPr>
        <w:t>in</w:t>
      </w:r>
      <w:r w:rsidRPr="00283806">
        <w:rPr>
          <w:spacing w:val="40"/>
          <w:w w:val="105"/>
        </w:rPr>
        <w:t xml:space="preserve"> </w:t>
      </w:r>
      <w:r w:rsidRPr="00283806">
        <w:rPr>
          <w:w w:val="105"/>
        </w:rPr>
        <w:t>the</w:t>
      </w:r>
      <w:r w:rsidRPr="00283806">
        <w:rPr>
          <w:spacing w:val="40"/>
          <w:w w:val="105"/>
        </w:rPr>
        <w:t xml:space="preserve"> </w:t>
      </w:r>
      <w:r w:rsidRPr="00283806">
        <w:rPr>
          <w:w w:val="105"/>
        </w:rPr>
        <w:t xml:space="preserve">MVAC sector after considering the transport, handling, and reclamation energy required to extract the remaining refrigerant, and the commenter urged EPA to consider all factors involved in the net environmental benefit of heel reclamation before implementing the </w:t>
      </w:r>
      <w:r w:rsidRPr="00283806">
        <w:rPr>
          <w:spacing w:val="-2"/>
          <w:w w:val="105"/>
        </w:rPr>
        <w:t>rule.</w:t>
      </w:r>
    </w:p>
    <w:p w14:paraId="351E4130" w14:textId="77777777" w:rsidR="00D67C1E" w:rsidRPr="00283806" w:rsidRDefault="001265CA">
      <w:pPr>
        <w:spacing w:line="180" w:lineRule="exact"/>
        <w:ind w:left="325"/>
        <w:rPr>
          <w:sz w:val="18"/>
        </w:rPr>
      </w:pPr>
      <w:r w:rsidRPr="00283806">
        <w:rPr>
          <w:rFonts w:ascii="Book Antiqua"/>
          <w:i/>
          <w:w w:val="110"/>
          <w:sz w:val="18"/>
        </w:rPr>
        <w:t>Response:</w:t>
      </w:r>
      <w:r w:rsidRPr="00283806">
        <w:rPr>
          <w:rFonts w:ascii="Book Antiqua"/>
          <w:i/>
          <w:spacing w:val="-3"/>
          <w:w w:val="110"/>
          <w:sz w:val="18"/>
        </w:rPr>
        <w:t xml:space="preserve"> </w:t>
      </w:r>
      <w:r w:rsidRPr="00283806">
        <w:rPr>
          <w:w w:val="110"/>
          <w:sz w:val="18"/>
        </w:rPr>
        <w:t>EPA</w:t>
      </w:r>
      <w:r w:rsidRPr="00283806">
        <w:rPr>
          <w:spacing w:val="4"/>
          <w:w w:val="110"/>
          <w:sz w:val="18"/>
        </w:rPr>
        <w:t xml:space="preserve"> </w:t>
      </w:r>
      <w:r w:rsidRPr="00283806">
        <w:rPr>
          <w:w w:val="110"/>
          <w:sz w:val="18"/>
        </w:rPr>
        <w:t>has</w:t>
      </w:r>
      <w:r w:rsidRPr="00283806">
        <w:rPr>
          <w:spacing w:val="3"/>
          <w:w w:val="110"/>
          <w:sz w:val="18"/>
        </w:rPr>
        <w:t xml:space="preserve"> </w:t>
      </w:r>
      <w:r w:rsidRPr="00283806">
        <w:rPr>
          <w:w w:val="110"/>
          <w:sz w:val="18"/>
        </w:rPr>
        <w:t>estimated</w:t>
      </w:r>
      <w:r w:rsidRPr="00283806">
        <w:rPr>
          <w:spacing w:val="4"/>
          <w:w w:val="110"/>
          <w:sz w:val="18"/>
        </w:rPr>
        <w:t xml:space="preserve"> </w:t>
      </w:r>
      <w:r w:rsidRPr="00283806">
        <w:rPr>
          <w:spacing w:val="-5"/>
          <w:w w:val="110"/>
          <w:sz w:val="18"/>
        </w:rPr>
        <w:t>the</w:t>
      </w:r>
    </w:p>
    <w:p w14:paraId="64B79ACA" w14:textId="77777777" w:rsidR="00D67C1E" w:rsidRPr="00283806" w:rsidRDefault="001265CA">
      <w:pPr>
        <w:pStyle w:val="BodyText"/>
        <w:spacing w:line="225" w:lineRule="auto"/>
        <w:ind w:left="144"/>
      </w:pPr>
      <w:r w:rsidRPr="00283806">
        <w:rPr>
          <w:w w:val="105"/>
        </w:rPr>
        <w:t xml:space="preserve">costs and benefits of the requirements to manage disposable cylinders and send heels for reclamation in the RIA addendum and Economic Impact and Benefits TSD for the final rule. EPA’s assessment included additional costs related to transport and the labor costs, plus overhead, for handling and transporting such cylinders. While EPA </w:t>
      </w:r>
      <w:proofErr w:type="gramStart"/>
      <w:r w:rsidRPr="00283806">
        <w:rPr>
          <w:w w:val="105"/>
        </w:rPr>
        <w:t>acknowledge</w:t>
      </w:r>
      <w:proofErr w:type="gramEnd"/>
      <w:r w:rsidRPr="00283806">
        <w:rPr>
          <w:w w:val="105"/>
        </w:rPr>
        <w:t xml:space="preserve"> there are energy use implications in reclaiming materials, the Agency</w:t>
      </w:r>
      <w:r w:rsidRPr="00283806">
        <w:rPr>
          <w:spacing w:val="40"/>
          <w:w w:val="105"/>
        </w:rPr>
        <w:t xml:space="preserve"> </w:t>
      </w:r>
      <w:r w:rsidRPr="00283806">
        <w:rPr>
          <w:w w:val="105"/>
        </w:rPr>
        <w:t>noted</w:t>
      </w:r>
      <w:r w:rsidRPr="00283806">
        <w:rPr>
          <w:spacing w:val="40"/>
          <w:w w:val="105"/>
        </w:rPr>
        <w:t xml:space="preserve"> </w:t>
      </w:r>
      <w:r w:rsidRPr="00283806">
        <w:rPr>
          <w:w w:val="105"/>
        </w:rPr>
        <w:t>in</w:t>
      </w:r>
      <w:r w:rsidRPr="00283806">
        <w:rPr>
          <w:spacing w:val="40"/>
          <w:w w:val="105"/>
        </w:rPr>
        <w:t xml:space="preserve"> </w:t>
      </w:r>
      <w:r w:rsidRPr="00283806">
        <w:rPr>
          <w:w w:val="105"/>
        </w:rPr>
        <w:t>the</w:t>
      </w:r>
      <w:r w:rsidRPr="00283806">
        <w:rPr>
          <w:spacing w:val="40"/>
          <w:w w:val="105"/>
        </w:rPr>
        <w:t xml:space="preserve"> </w:t>
      </w:r>
      <w:r w:rsidRPr="00283806">
        <w:rPr>
          <w:w w:val="105"/>
        </w:rPr>
        <w:t>draft</w:t>
      </w:r>
      <w:r w:rsidRPr="00283806">
        <w:rPr>
          <w:spacing w:val="40"/>
          <w:w w:val="105"/>
        </w:rPr>
        <w:t xml:space="preserve"> </w:t>
      </w:r>
      <w:r w:rsidRPr="00283806">
        <w:rPr>
          <w:w w:val="105"/>
        </w:rPr>
        <w:t>RIA addendum to the proposed rule a study (</w:t>
      </w:r>
      <w:proofErr w:type="spellStart"/>
      <w:r w:rsidRPr="00283806">
        <w:rPr>
          <w:w w:val="105"/>
        </w:rPr>
        <w:t>Yasaka</w:t>
      </w:r>
      <w:proofErr w:type="spellEnd"/>
      <w:r w:rsidRPr="00283806">
        <w:rPr>
          <w:w w:val="105"/>
        </w:rPr>
        <w:t xml:space="preserve"> et al., 2023) </w:t>
      </w:r>
      <w:r w:rsidRPr="00283806">
        <w:rPr>
          <w:w w:val="105"/>
          <w:position w:val="5"/>
          <w:sz w:val="11"/>
        </w:rPr>
        <w:t>189</w:t>
      </w:r>
      <w:r w:rsidRPr="00283806">
        <w:rPr>
          <w:spacing w:val="40"/>
          <w:w w:val="105"/>
          <w:position w:val="5"/>
          <w:sz w:val="11"/>
        </w:rPr>
        <w:t xml:space="preserve"> </w:t>
      </w:r>
      <w:r w:rsidRPr="00283806">
        <w:rPr>
          <w:w w:val="105"/>
        </w:rPr>
        <w:t>that shows, overall, the use of reclaimed refrigerant leads to net reductions in energy</w:t>
      </w:r>
    </w:p>
    <w:p w14:paraId="72BA14BE" w14:textId="77777777" w:rsidR="00D67C1E" w:rsidRPr="00283806" w:rsidRDefault="001265CA">
      <w:pPr>
        <w:pStyle w:val="BodyText"/>
        <w:spacing w:before="136" w:line="225" w:lineRule="auto"/>
        <w:ind w:left="143" w:right="123"/>
      </w:pPr>
      <w:r w:rsidRPr="00283806">
        <w:br w:type="column"/>
      </w:r>
      <w:r w:rsidRPr="00283806">
        <w:rPr>
          <w:w w:val="105"/>
        </w:rPr>
        <w:t>compared to the production of virgin material. To be conservative and</w:t>
      </w:r>
      <w:r w:rsidRPr="00283806">
        <w:rPr>
          <w:spacing w:val="80"/>
          <w:w w:val="105"/>
        </w:rPr>
        <w:t xml:space="preserve"> </w:t>
      </w:r>
      <w:r w:rsidRPr="00283806">
        <w:rPr>
          <w:w w:val="105"/>
        </w:rPr>
        <w:t>because</w:t>
      </w:r>
      <w:r w:rsidRPr="00283806">
        <w:rPr>
          <w:spacing w:val="-2"/>
          <w:w w:val="105"/>
        </w:rPr>
        <w:t xml:space="preserve"> </w:t>
      </w:r>
      <w:r w:rsidRPr="00283806">
        <w:rPr>
          <w:w w:val="105"/>
        </w:rPr>
        <w:t>these</w:t>
      </w:r>
      <w:r w:rsidRPr="00283806">
        <w:rPr>
          <w:spacing w:val="-2"/>
          <w:w w:val="105"/>
        </w:rPr>
        <w:t xml:space="preserve"> </w:t>
      </w:r>
      <w:r w:rsidRPr="00283806">
        <w:rPr>
          <w:w w:val="105"/>
        </w:rPr>
        <w:t>results</w:t>
      </w:r>
      <w:r w:rsidRPr="00283806">
        <w:rPr>
          <w:spacing w:val="-2"/>
          <w:w w:val="105"/>
        </w:rPr>
        <w:t xml:space="preserve"> </w:t>
      </w:r>
      <w:r w:rsidRPr="00283806">
        <w:rPr>
          <w:w w:val="105"/>
        </w:rPr>
        <w:t>were</w:t>
      </w:r>
      <w:r w:rsidRPr="00283806">
        <w:rPr>
          <w:spacing w:val="-2"/>
          <w:w w:val="105"/>
        </w:rPr>
        <w:t xml:space="preserve"> </w:t>
      </w:r>
      <w:r w:rsidRPr="00283806">
        <w:rPr>
          <w:w w:val="105"/>
        </w:rPr>
        <w:t>based</w:t>
      </w:r>
      <w:r w:rsidRPr="00283806">
        <w:rPr>
          <w:spacing w:val="-2"/>
          <w:w w:val="105"/>
        </w:rPr>
        <w:t xml:space="preserve"> </w:t>
      </w:r>
      <w:r w:rsidRPr="00283806">
        <w:rPr>
          <w:w w:val="105"/>
        </w:rPr>
        <w:t>on</w:t>
      </w:r>
      <w:r w:rsidRPr="00283806">
        <w:rPr>
          <w:spacing w:val="-2"/>
          <w:w w:val="105"/>
        </w:rPr>
        <w:t xml:space="preserve"> </w:t>
      </w:r>
      <w:r w:rsidRPr="00283806">
        <w:rPr>
          <w:w w:val="105"/>
        </w:rPr>
        <w:t>data from Japan and Europe, EPA does not, however, use those findings to increase the benefits assessed from the avoided emissions estimated based on the requirements of the final rule.</w:t>
      </w:r>
    </w:p>
    <w:p w14:paraId="67BAA34C" w14:textId="77777777" w:rsidR="00D67C1E" w:rsidRPr="00283806" w:rsidRDefault="001265CA">
      <w:pPr>
        <w:spacing w:line="182" w:lineRule="exact"/>
        <w:ind w:left="143" w:firstLine="180"/>
        <w:rPr>
          <w:sz w:val="18"/>
        </w:rPr>
      </w:pPr>
      <w:r w:rsidRPr="00283806">
        <w:rPr>
          <w:rFonts w:ascii="Book Antiqua"/>
          <w:i/>
          <w:w w:val="105"/>
          <w:sz w:val="18"/>
        </w:rPr>
        <w:t>Comment:</w:t>
      </w:r>
      <w:r w:rsidRPr="00283806">
        <w:rPr>
          <w:rFonts w:ascii="Book Antiqua"/>
          <w:i/>
          <w:spacing w:val="22"/>
          <w:w w:val="105"/>
          <w:sz w:val="18"/>
        </w:rPr>
        <w:t xml:space="preserve"> </w:t>
      </w:r>
      <w:r w:rsidRPr="00283806">
        <w:rPr>
          <w:w w:val="105"/>
          <w:sz w:val="18"/>
        </w:rPr>
        <w:t>One</w:t>
      </w:r>
      <w:r w:rsidRPr="00283806">
        <w:rPr>
          <w:spacing w:val="28"/>
          <w:w w:val="105"/>
          <w:sz w:val="18"/>
        </w:rPr>
        <w:t xml:space="preserve"> </w:t>
      </w:r>
      <w:r w:rsidRPr="00283806">
        <w:rPr>
          <w:w w:val="105"/>
          <w:sz w:val="18"/>
        </w:rPr>
        <w:t>commenter</w:t>
      </w:r>
      <w:r w:rsidRPr="00283806">
        <w:rPr>
          <w:spacing w:val="28"/>
          <w:w w:val="105"/>
          <w:sz w:val="18"/>
        </w:rPr>
        <w:t xml:space="preserve"> </w:t>
      </w:r>
      <w:r w:rsidRPr="00283806">
        <w:rPr>
          <w:spacing w:val="-2"/>
          <w:w w:val="105"/>
          <w:sz w:val="18"/>
        </w:rPr>
        <w:t>suggested</w:t>
      </w:r>
    </w:p>
    <w:p w14:paraId="7E17988F" w14:textId="77777777" w:rsidR="00D67C1E" w:rsidRPr="00283806" w:rsidRDefault="001265CA">
      <w:pPr>
        <w:pStyle w:val="BodyText"/>
        <w:spacing w:line="225" w:lineRule="auto"/>
        <w:ind w:left="143" w:right="145"/>
      </w:pPr>
      <w:r w:rsidRPr="00283806">
        <w:rPr>
          <w:w w:val="105"/>
        </w:rPr>
        <w:t>that the proposed cylinder management and</w:t>
      </w:r>
      <w:r w:rsidRPr="00283806">
        <w:rPr>
          <w:spacing w:val="-1"/>
          <w:w w:val="105"/>
        </w:rPr>
        <w:t xml:space="preserve"> </w:t>
      </w:r>
      <w:r w:rsidRPr="00283806">
        <w:rPr>
          <w:w w:val="105"/>
        </w:rPr>
        <w:t>tracking</w:t>
      </w:r>
      <w:r w:rsidRPr="00283806">
        <w:rPr>
          <w:spacing w:val="-1"/>
          <w:w w:val="105"/>
        </w:rPr>
        <w:t xml:space="preserve"> </w:t>
      </w:r>
      <w:r w:rsidRPr="00283806">
        <w:rPr>
          <w:w w:val="105"/>
        </w:rPr>
        <w:t>requirements</w:t>
      </w:r>
      <w:r w:rsidRPr="00283806">
        <w:rPr>
          <w:spacing w:val="-1"/>
          <w:w w:val="105"/>
        </w:rPr>
        <w:t xml:space="preserve"> </w:t>
      </w:r>
      <w:r w:rsidRPr="00283806">
        <w:rPr>
          <w:w w:val="105"/>
        </w:rPr>
        <w:t>do</w:t>
      </w:r>
      <w:r w:rsidRPr="00283806">
        <w:rPr>
          <w:spacing w:val="-1"/>
          <w:w w:val="105"/>
        </w:rPr>
        <w:t xml:space="preserve"> </w:t>
      </w:r>
      <w:r w:rsidRPr="00283806">
        <w:rPr>
          <w:w w:val="105"/>
        </w:rPr>
        <w:t>not</w:t>
      </w:r>
      <w:r w:rsidRPr="00283806">
        <w:rPr>
          <w:spacing w:val="-1"/>
          <w:w w:val="105"/>
        </w:rPr>
        <w:t xml:space="preserve"> </w:t>
      </w:r>
      <w:r w:rsidRPr="00283806">
        <w:rPr>
          <w:w w:val="105"/>
        </w:rPr>
        <w:t xml:space="preserve">appear to be based on a complete and legally sufficient analysis of the best available data. As such, the commenter </w:t>
      </w:r>
      <w:proofErr w:type="gramStart"/>
      <w:r w:rsidRPr="00283806">
        <w:rPr>
          <w:w w:val="105"/>
        </w:rPr>
        <w:t>stated that</w:t>
      </w:r>
      <w:proofErr w:type="gramEnd"/>
      <w:r w:rsidRPr="00283806">
        <w:rPr>
          <w:w w:val="105"/>
        </w:rPr>
        <w:t xml:space="preserve"> that EPA may have significantly overstated the environmental benefits. Another commenter expressed concern that the proposed rule </w:t>
      </w:r>
      <w:proofErr w:type="gramStart"/>
      <w:r w:rsidRPr="00283806">
        <w:rPr>
          <w:w w:val="105"/>
        </w:rPr>
        <w:t>requiring</w:t>
      </w:r>
      <w:proofErr w:type="gramEnd"/>
      <w:r w:rsidRPr="00283806">
        <w:rPr>
          <w:spacing w:val="80"/>
          <w:w w:val="105"/>
        </w:rPr>
        <w:t xml:space="preserve"> </w:t>
      </w:r>
      <w:r w:rsidRPr="00283806">
        <w:rPr>
          <w:w w:val="105"/>
        </w:rPr>
        <w:t>machine readable tracking identifiers on all</w:t>
      </w:r>
      <w:r w:rsidRPr="00283806">
        <w:rPr>
          <w:spacing w:val="40"/>
          <w:w w:val="105"/>
        </w:rPr>
        <w:t xml:space="preserve"> </w:t>
      </w:r>
      <w:r w:rsidRPr="00283806">
        <w:rPr>
          <w:w w:val="105"/>
        </w:rPr>
        <w:t>containers</w:t>
      </w:r>
      <w:r w:rsidRPr="00283806">
        <w:rPr>
          <w:spacing w:val="40"/>
          <w:w w:val="105"/>
        </w:rPr>
        <w:t xml:space="preserve"> </w:t>
      </w:r>
      <w:r w:rsidRPr="00283806">
        <w:rPr>
          <w:w w:val="105"/>
        </w:rPr>
        <w:t>of</w:t>
      </w:r>
      <w:r w:rsidRPr="00283806">
        <w:rPr>
          <w:spacing w:val="40"/>
          <w:w w:val="105"/>
        </w:rPr>
        <w:t xml:space="preserve"> </w:t>
      </w:r>
      <w:r w:rsidRPr="00283806">
        <w:rPr>
          <w:w w:val="105"/>
        </w:rPr>
        <w:t>HFCs</w:t>
      </w:r>
      <w:r w:rsidRPr="00283806">
        <w:rPr>
          <w:spacing w:val="40"/>
          <w:w w:val="105"/>
        </w:rPr>
        <w:t xml:space="preserve"> </w:t>
      </w:r>
      <w:r w:rsidRPr="00283806">
        <w:rPr>
          <w:w w:val="105"/>
        </w:rPr>
        <w:t>that</w:t>
      </w:r>
      <w:r w:rsidRPr="00283806">
        <w:rPr>
          <w:spacing w:val="40"/>
          <w:w w:val="105"/>
        </w:rPr>
        <w:t xml:space="preserve"> </w:t>
      </w:r>
      <w:r w:rsidRPr="00283806">
        <w:rPr>
          <w:w w:val="105"/>
        </w:rPr>
        <w:t>could</w:t>
      </w:r>
      <w:r w:rsidRPr="00283806">
        <w:rPr>
          <w:spacing w:val="40"/>
          <w:w w:val="105"/>
        </w:rPr>
        <w:t xml:space="preserve"> </w:t>
      </w:r>
      <w:r w:rsidRPr="00283806">
        <w:rPr>
          <w:w w:val="105"/>
        </w:rPr>
        <w:t>be used for the servicing, repair, or installation of refrigerant-containing equipment, including both refillable and disposable cylinders, and the</w:t>
      </w:r>
      <w:r w:rsidRPr="00283806">
        <w:rPr>
          <w:spacing w:val="40"/>
          <w:w w:val="105"/>
        </w:rPr>
        <w:t xml:space="preserve"> </w:t>
      </w:r>
      <w:r w:rsidRPr="00283806">
        <w:rPr>
          <w:w w:val="105"/>
        </w:rPr>
        <w:t>requirement to record specific data during the movement of these cylinders will impose significant costs and investment by all industry stakeholders.</w:t>
      </w:r>
    </w:p>
    <w:p w14:paraId="6A44B31D" w14:textId="77777777" w:rsidR="00D67C1E" w:rsidRPr="00283806" w:rsidRDefault="001265CA">
      <w:pPr>
        <w:spacing w:line="178" w:lineRule="exact"/>
        <w:ind w:left="323"/>
        <w:rPr>
          <w:sz w:val="18"/>
        </w:rPr>
      </w:pPr>
      <w:r w:rsidRPr="00283806">
        <w:rPr>
          <w:rFonts w:ascii="Book Antiqua"/>
          <w:i/>
          <w:w w:val="105"/>
          <w:sz w:val="18"/>
        </w:rPr>
        <w:t>Response:</w:t>
      </w:r>
      <w:r w:rsidRPr="00283806">
        <w:rPr>
          <w:rFonts w:ascii="Book Antiqua"/>
          <w:i/>
          <w:spacing w:val="19"/>
          <w:w w:val="105"/>
          <w:sz w:val="18"/>
        </w:rPr>
        <w:t xml:space="preserve"> </w:t>
      </w:r>
      <w:r w:rsidRPr="00283806">
        <w:rPr>
          <w:w w:val="105"/>
          <w:sz w:val="18"/>
        </w:rPr>
        <w:t>EPA</w:t>
      </w:r>
      <w:r w:rsidRPr="00283806">
        <w:rPr>
          <w:spacing w:val="25"/>
          <w:w w:val="105"/>
          <w:sz w:val="18"/>
        </w:rPr>
        <w:t xml:space="preserve"> </w:t>
      </w:r>
      <w:r w:rsidRPr="00283806">
        <w:rPr>
          <w:w w:val="105"/>
          <w:sz w:val="18"/>
        </w:rPr>
        <w:t>responds</w:t>
      </w:r>
      <w:r w:rsidRPr="00283806">
        <w:rPr>
          <w:spacing w:val="25"/>
          <w:w w:val="105"/>
          <w:sz w:val="18"/>
        </w:rPr>
        <w:t xml:space="preserve"> </w:t>
      </w:r>
      <w:r w:rsidRPr="00283806">
        <w:rPr>
          <w:w w:val="105"/>
          <w:sz w:val="18"/>
        </w:rPr>
        <w:t>that</w:t>
      </w:r>
      <w:r w:rsidRPr="00283806">
        <w:rPr>
          <w:spacing w:val="24"/>
          <w:w w:val="105"/>
          <w:sz w:val="18"/>
        </w:rPr>
        <w:t xml:space="preserve"> </w:t>
      </w:r>
      <w:r w:rsidRPr="00283806">
        <w:rPr>
          <w:w w:val="105"/>
          <w:sz w:val="18"/>
        </w:rPr>
        <w:t>it</w:t>
      </w:r>
      <w:r w:rsidRPr="00283806">
        <w:rPr>
          <w:spacing w:val="25"/>
          <w:w w:val="105"/>
          <w:sz w:val="18"/>
        </w:rPr>
        <w:t xml:space="preserve"> </w:t>
      </w:r>
      <w:r w:rsidRPr="00283806">
        <w:rPr>
          <w:w w:val="105"/>
          <w:sz w:val="18"/>
        </w:rPr>
        <w:t>is</w:t>
      </w:r>
      <w:r w:rsidRPr="00283806">
        <w:rPr>
          <w:spacing w:val="25"/>
          <w:w w:val="105"/>
          <w:sz w:val="18"/>
        </w:rPr>
        <w:t xml:space="preserve"> </w:t>
      </w:r>
      <w:r w:rsidRPr="00283806">
        <w:rPr>
          <w:spacing w:val="-5"/>
          <w:w w:val="105"/>
          <w:sz w:val="18"/>
        </w:rPr>
        <w:t>not</w:t>
      </w:r>
    </w:p>
    <w:p w14:paraId="68984177" w14:textId="77777777" w:rsidR="00D67C1E" w:rsidRPr="00283806" w:rsidRDefault="001265CA">
      <w:pPr>
        <w:pStyle w:val="BodyText"/>
        <w:spacing w:line="225" w:lineRule="auto"/>
        <w:ind w:left="143" w:right="121"/>
      </w:pPr>
      <w:r w:rsidRPr="00283806">
        <w:rPr>
          <w:w w:val="105"/>
        </w:rPr>
        <w:t>finalizing the cylinder tracking requirements at this time, and thus costs and benefits related to those provisions are not included in the RIA addendum and the Economic Impact and Benefits TSD</w:t>
      </w:r>
      <w:r w:rsidRPr="00283806">
        <w:rPr>
          <w:spacing w:val="40"/>
          <w:w w:val="105"/>
        </w:rPr>
        <w:t xml:space="preserve"> </w:t>
      </w:r>
      <w:r w:rsidRPr="00283806">
        <w:rPr>
          <w:w w:val="105"/>
        </w:rPr>
        <w:t>for</w:t>
      </w:r>
      <w:r w:rsidRPr="00283806">
        <w:rPr>
          <w:spacing w:val="40"/>
          <w:w w:val="105"/>
        </w:rPr>
        <w:t xml:space="preserve"> </w:t>
      </w:r>
      <w:r w:rsidRPr="00283806">
        <w:rPr>
          <w:w w:val="105"/>
        </w:rPr>
        <w:t>the</w:t>
      </w:r>
      <w:r w:rsidRPr="00283806">
        <w:rPr>
          <w:spacing w:val="40"/>
          <w:w w:val="105"/>
        </w:rPr>
        <w:t xml:space="preserve"> </w:t>
      </w:r>
      <w:r w:rsidRPr="00283806">
        <w:rPr>
          <w:w w:val="105"/>
        </w:rPr>
        <w:t>final</w:t>
      </w:r>
      <w:r w:rsidRPr="00283806">
        <w:rPr>
          <w:spacing w:val="40"/>
          <w:w w:val="105"/>
        </w:rPr>
        <w:t xml:space="preserve"> </w:t>
      </w:r>
      <w:r w:rsidRPr="00283806">
        <w:rPr>
          <w:w w:val="105"/>
        </w:rPr>
        <w:t>rule.</w:t>
      </w:r>
      <w:r w:rsidRPr="00283806">
        <w:rPr>
          <w:spacing w:val="40"/>
          <w:w w:val="105"/>
        </w:rPr>
        <w:t xml:space="preserve"> </w:t>
      </w:r>
      <w:r w:rsidRPr="00283806">
        <w:rPr>
          <w:w w:val="105"/>
        </w:rPr>
        <w:t>EPA</w:t>
      </w:r>
      <w:r w:rsidRPr="00283806">
        <w:rPr>
          <w:spacing w:val="40"/>
          <w:w w:val="105"/>
        </w:rPr>
        <w:t xml:space="preserve"> </w:t>
      </w:r>
      <w:r w:rsidRPr="00283806">
        <w:rPr>
          <w:w w:val="105"/>
        </w:rPr>
        <w:t>has explained the data used to assess the costs and benefits of the requirement to manage disposable cylinders and send heels</w:t>
      </w:r>
      <w:r w:rsidRPr="00283806">
        <w:rPr>
          <w:spacing w:val="40"/>
          <w:w w:val="105"/>
        </w:rPr>
        <w:t xml:space="preserve"> </w:t>
      </w:r>
      <w:r w:rsidRPr="00283806">
        <w:rPr>
          <w:w w:val="105"/>
        </w:rPr>
        <w:t>to</w:t>
      </w:r>
      <w:r w:rsidRPr="00283806">
        <w:rPr>
          <w:spacing w:val="40"/>
          <w:w w:val="105"/>
        </w:rPr>
        <w:t xml:space="preserve"> </w:t>
      </w:r>
      <w:r w:rsidRPr="00283806">
        <w:rPr>
          <w:w w:val="105"/>
        </w:rPr>
        <w:t>reclaimers</w:t>
      </w:r>
      <w:r w:rsidRPr="00283806">
        <w:rPr>
          <w:spacing w:val="40"/>
          <w:w w:val="105"/>
        </w:rPr>
        <w:t xml:space="preserve"> </w:t>
      </w:r>
      <w:r w:rsidRPr="00283806">
        <w:rPr>
          <w:w w:val="105"/>
        </w:rPr>
        <w:t>in</w:t>
      </w:r>
      <w:r w:rsidRPr="00283806">
        <w:rPr>
          <w:spacing w:val="40"/>
          <w:w w:val="105"/>
        </w:rPr>
        <w:t xml:space="preserve"> </w:t>
      </w:r>
      <w:r w:rsidRPr="00283806">
        <w:rPr>
          <w:w w:val="105"/>
        </w:rPr>
        <w:t>the</w:t>
      </w:r>
      <w:r w:rsidRPr="00283806">
        <w:rPr>
          <w:spacing w:val="40"/>
          <w:w w:val="105"/>
        </w:rPr>
        <w:t xml:space="preserve"> </w:t>
      </w:r>
      <w:r w:rsidRPr="00283806">
        <w:rPr>
          <w:w w:val="105"/>
        </w:rPr>
        <w:t>RIA addendum</w:t>
      </w:r>
      <w:r w:rsidRPr="00283806">
        <w:rPr>
          <w:spacing w:val="40"/>
          <w:w w:val="105"/>
        </w:rPr>
        <w:t xml:space="preserve"> </w:t>
      </w:r>
      <w:r w:rsidRPr="00283806">
        <w:rPr>
          <w:w w:val="105"/>
        </w:rPr>
        <w:t>and</w:t>
      </w:r>
      <w:r w:rsidRPr="00283806">
        <w:rPr>
          <w:spacing w:val="40"/>
          <w:w w:val="105"/>
        </w:rPr>
        <w:t xml:space="preserve"> </w:t>
      </w:r>
      <w:r w:rsidRPr="00283806">
        <w:rPr>
          <w:w w:val="105"/>
        </w:rPr>
        <w:t>the</w:t>
      </w:r>
      <w:r w:rsidRPr="00283806">
        <w:rPr>
          <w:spacing w:val="40"/>
          <w:w w:val="105"/>
        </w:rPr>
        <w:t xml:space="preserve"> </w:t>
      </w:r>
      <w:r w:rsidRPr="00283806">
        <w:rPr>
          <w:w w:val="105"/>
        </w:rPr>
        <w:t>Economic</w:t>
      </w:r>
      <w:r w:rsidRPr="00283806">
        <w:rPr>
          <w:spacing w:val="40"/>
          <w:w w:val="105"/>
        </w:rPr>
        <w:t xml:space="preserve"> </w:t>
      </w:r>
      <w:r w:rsidRPr="00283806">
        <w:rPr>
          <w:w w:val="105"/>
        </w:rPr>
        <w:t>Impact and</w:t>
      </w:r>
      <w:r w:rsidRPr="00283806">
        <w:rPr>
          <w:spacing w:val="40"/>
          <w:w w:val="105"/>
        </w:rPr>
        <w:t xml:space="preserve"> </w:t>
      </w:r>
      <w:r w:rsidRPr="00283806">
        <w:rPr>
          <w:w w:val="105"/>
        </w:rPr>
        <w:t>Benefits</w:t>
      </w:r>
      <w:r w:rsidRPr="00283806">
        <w:rPr>
          <w:spacing w:val="40"/>
          <w:w w:val="105"/>
        </w:rPr>
        <w:t xml:space="preserve"> </w:t>
      </w:r>
      <w:r w:rsidRPr="00283806">
        <w:rPr>
          <w:w w:val="105"/>
        </w:rPr>
        <w:t>TSD.</w:t>
      </w:r>
      <w:r w:rsidRPr="00283806">
        <w:rPr>
          <w:spacing w:val="40"/>
          <w:w w:val="105"/>
        </w:rPr>
        <w:t xml:space="preserve"> </w:t>
      </w:r>
      <w:r w:rsidRPr="00283806">
        <w:rPr>
          <w:w w:val="105"/>
        </w:rPr>
        <w:t>Further,</w:t>
      </w:r>
      <w:r w:rsidRPr="00283806">
        <w:rPr>
          <w:spacing w:val="40"/>
          <w:w w:val="105"/>
        </w:rPr>
        <w:t xml:space="preserve"> </w:t>
      </w:r>
      <w:r w:rsidRPr="00283806">
        <w:rPr>
          <w:w w:val="105"/>
        </w:rPr>
        <w:t>EPA</w:t>
      </w:r>
      <w:r w:rsidRPr="00283806">
        <w:rPr>
          <w:spacing w:val="40"/>
          <w:w w:val="105"/>
        </w:rPr>
        <w:t xml:space="preserve"> </w:t>
      </w:r>
      <w:r w:rsidRPr="00283806">
        <w:rPr>
          <w:w w:val="105"/>
        </w:rPr>
        <w:t>has used information provided by the commenters to perform sensitivity analyses of the Agency’s estimate, and notes that in all cases examined, there</w:t>
      </w:r>
      <w:r w:rsidRPr="00283806">
        <w:rPr>
          <w:spacing w:val="40"/>
          <w:w w:val="105"/>
        </w:rPr>
        <w:t xml:space="preserve"> </w:t>
      </w:r>
      <w:r w:rsidRPr="00283806">
        <w:rPr>
          <w:w w:val="105"/>
        </w:rPr>
        <w:t>are environmental benefits, and the savings outweigh the costs even without considering the monetized climate benefits (</w:t>
      </w:r>
      <w:r w:rsidRPr="00283806">
        <w:rPr>
          <w:rFonts w:ascii="Book Antiqua" w:hAnsi="Book Antiqua"/>
          <w:i/>
          <w:w w:val="105"/>
        </w:rPr>
        <w:t xml:space="preserve">i.e., </w:t>
      </w:r>
      <w:r w:rsidRPr="00283806">
        <w:rPr>
          <w:w w:val="105"/>
        </w:rPr>
        <w:t>even without applying SC– HFC values to the emission reductions). However, as noted previously in this preamble, while EPA included estimates of the costs and benefits of this rulemaking in the RIA addendum to provide the public with information on the relevant costs and benefits of this action and to comply with Executive Orders, the analysis in the RIA</w:t>
      </w:r>
      <w:r w:rsidRPr="00283806">
        <w:rPr>
          <w:spacing w:val="80"/>
          <w:w w:val="105"/>
        </w:rPr>
        <w:t xml:space="preserve"> </w:t>
      </w:r>
      <w:r w:rsidRPr="00283806">
        <w:rPr>
          <w:w w:val="105"/>
        </w:rPr>
        <w:t>addendum does not form a basis or rationale</w:t>
      </w:r>
      <w:r w:rsidRPr="00283806">
        <w:rPr>
          <w:spacing w:val="34"/>
          <w:w w:val="105"/>
        </w:rPr>
        <w:t xml:space="preserve"> </w:t>
      </w:r>
      <w:r w:rsidRPr="00283806">
        <w:rPr>
          <w:w w:val="105"/>
        </w:rPr>
        <w:t>for</w:t>
      </w:r>
      <w:r w:rsidRPr="00283806">
        <w:rPr>
          <w:spacing w:val="34"/>
          <w:w w:val="105"/>
        </w:rPr>
        <w:t xml:space="preserve"> </w:t>
      </w:r>
      <w:r w:rsidRPr="00283806">
        <w:rPr>
          <w:w w:val="105"/>
        </w:rPr>
        <w:t>any</w:t>
      </w:r>
      <w:r w:rsidRPr="00283806">
        <w:rPr>
          <w:spacing w:val="34"/>
          <w:w w:val="105"/>
        </w:rPr>
        <w:t xml:space="preserve"> </w:t>
      </w:r>
      <w:r w:rsidRPr="00283806">
        <w:rPr>
          <w:w w:val="105"/>
        </w:rPr>
        <w:t>of</w:t>
      </w:r>
      <w:r w:rsidRPr="00283806">
        <w:rPr>
          <w:spacing w:val="34"/>
          <w:w w:val="105"/>
        </w:rPr>
        <w:t xml:space="preserve"> </w:t>
      </w:r>
      <w:r w:rsidRPr="00283806">
        <w:rPr>
          <w:w w:val="105"/>
        </w:rPr>
        <w:t>the</w:t>
      </w:r>
      <w:r w:rsidRPr="00283806">
        <w:rPr>
          <w:spacing w:val="34"/>
          <w:w w:val="105"/>
        </w:rPr>
        <w:t xml:space="preserve"> </w:t>
      </w:r>
      <w:r w:rsidRPr="00283806">
        <w:rPr>
          <w:w w:val="105"/>
        </w:rPr>
        <w:t>provisions</w:t>
      </w:r>
      <w:r w:rsidRPr="00283806">
        <w:rPr>
          <w:spacing w:val="34"/>
          <w:w w:val="105"/>
        </w:rPr>
        <w:t xml:space="preserve"> </w:t>
      </w:r>
      <w:r w:rsidRPr="00283806">
        <w:rPr>
          <w:w w:val="105"/>
        </w:rPr>
        <w:t>EPA is promulgating in this rulemaking.</w:t>
      </w:r>
    </w:p>
    <w:p w14:paraId="34145B95" w14:textId="77777777" w:rsidR="00D67C1E" w:rsidRPr="00283806" w:rsidRDefault="001265CA">
      <w:pPr>
        <w:pStyle w:val="BodyText"/>
        <w:spacing w:line="173" w:lineRule="exact"/>
        <w:ind w:left="143"/>
      </w:pPr>
      <w:r w:rsidRPr="00283806">
        <w:rPr>
          <w:w w:val="110"/>
        </w:rPr>
        <w:t>Further,</w:t>
      </w:r>
      <w:r w:rsidRPr="00283806">
        <w:rPr>
          <w:spacing w:val="-6"/>
          <w:w w:val="110"/>
        </w:rPr>
        <w:t xml:space="preserve"> </w:t>
      </w:r>
      <w:r w:rsidRPr="00283806">
        <w:rPr>
          <w:w w:val="110"/>
        </w:rPr>
        <w:t>although</w:t>
      </w:r>
      <w:r w:rsidRPr="00283806">
        <w:rPr>
          <w:spacing w:val="-5"/>
          <w:w w:val="110"/>
        </w:rPr>
        <w:t xml:space="preserve"> </w:t>
      </w:r>
      <w:r w:rsidRPr="00283806">
        <w:rPr>
          <w:w w:val="110"/>
        </w:rPr>
        <w:t>EPA</w:t>
      </w:r>
      <w:r w:rsidRPr="00283806">
        <w:rPr>
          <w:spacing w:val="-5"/>
          <w:w w:val="110"/>
        </w:rPr>
        <w:t xml:space="preserve"> </w:t>
      </w:r>
      <w:r w:rsidRPr="00283806">
        <w:rPr>
          <w:w w:val="110"/>
        </w:rPr>
        <w:t>is</w:t>
      </w:r>
      <w:r w:rsidRPr="00283806">
        <w:rPr>
          <w:spacing w:val="-5"/>
          <w:w w:val="110"/>
        </w:rPr>
        <w:t xml:space="preserve"> </w:t>
      </w:r>
      <w:r w:rsidRPr="00283806">
        <w:rPr>
          <w:w w:val="110"/>
        </w:rPr>
        <w:t>using</w:t>
      </w:r>
      <w:r w:rsidRPr="00283806">
        <w:rPr>
          <w:spacing w:val="-5"/>
          <w:w w:val="110"/>
        </w:rPr>
        <w:t xml:space="preserve"> </w:t>
      </w:r>
      <w:r w:rsidRPr="00283806">
        <w:rPr>
          <w:w w:val="110"/>
        </w:rPr>
        <w:t>the</w:t>
      </w:r>
      <w:r w:rsidRPr="00283806">
        <w:rPr>
          <w:spacing w:val="-5"/>
          <w:w w:val="110"/>
        </w:rPr>
        <w:t xml:space="preserve"> SC–</w:t>
      </w:r>
    </w:p>
    <w:p w14:paraId="0C0A2572" w14:textId="77777777" w:rsidR="00D67C1E" w:rsidRPr="00283806" w:rsidRDefault="001265CA">
      <w:pPr>
        <w:pStyle w:val="BodyText"/>
        <w:spacing w:line="225" w:lineRule="auto"/>
        <w:ind w:left="143" w:right="210"/>
      </w:pPr>
      <w:r w:rsidRPr="00283806">
        <w:rPr>
          <w:w w:val="110"/>
        </w:rPr>
        <w:t>HFCs for purposes of some of the analysis</w:t>
      </w:r>
      <w:r w:rsidRPr="00283806">
        <w:rPr>
          <w:spacing w:val="-7"/>
          <w:w w:val="110"/>
        </w:rPr>
        <w:t xml:space="preserve"> </w:t>
      </w:r>
      <w:r w:rsidRPr="00283806">
        <w:rPr>
          <w:w w:val="110"/>
        </w:rPr>
        <w:t>in</w:t>
      </w:r>
      <w:r w:rsidRPr="00283806">
        <w:rPr>
          <w:spacing w:val="-7"/>
          <w:w w:val="110"/>
        </w:rPr>
        <w:t xml:space="preserve"> </w:t>
      </w:r>
      <w:r w:rsidRPr="00283806">
        <w:rPr>
          <w:w w:val="110"/>
        </w:rPr>
        <w:t>the</w:t>
      </w:r>
      <w:r w:rsidRPr="00283806">
        <w:rPr>
          <w:spacing w:val="-7"/>
          <w:w w:val="110"/>
        </w:rPr>
        <w:t xml:space="preserve"> </w:t>
      </w:r>
      <w:r w:rsidRPr="00283806">
        <w:rPr>
          <w:w w:val="110"/>
        </w:rPr>
        <w:t>RIA</w:t>
      </w:r>
      <w:r w:rsidRPr="00283806">
        <w:rPr>
          <w:spacing w:val="-7"/>
          <w:w w:val="110"/>
        </w:rPr>
        <w:t xml:space="preserve"> </w:t>
      </w:r>
      <w:r w:rsidRPr="00283806">
        <w:rPr>
          <w:w w:val="110"/>
        </w:rPr>
        <w:t>addendum,</w:t>
      </w:r>
      <w:r w:rsidRPr="00283806">
        <w:rPr>
          <w:spacing w:val="-7"/>
          <w:w w:val="110"/>
        </w:rPr>
        <w:t xml:space="preserve"> </w:t>
      </w:r>
      <w:r w:rsidRPr="00283806">
        <w:rPr>
          <w:w w:val="110"/>
        </w:rPr>
        <w:t>this</w:t>
      </w:r>
    </w:p>
    <w:p w14:paraId="7C4B305F"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5" w:space="40"/>
            <w:col w:w="3502" w:space="39"/>
            <w:col w:w="3624"/>
          </w:cols>
        </w:sectPr>
      </w:pPr>
    </w:p>
    <w:p w14:paraId="6B8BA1EC" w14:textId="161DBED9" w:rsidR="00D67C1E" w:rsidRPr="00283806" w:rsidRDefault="001265CA">
      <w:pPr>
        <w:tabs>
          <w:tab w:val="left" w:pos="3699"/>
          <w:tab w:val="left" w:pos="4699"/>
        </w:tabs>
        <w:spacing w:before="2" w:line="160" w:lineRule="exact"/>
        <w:ind w:left="159"/>
        <w:rPr>
          <w:sz w:val="14"/>
        </w:rPr>
      </w:pPr>
      <w:r w:rsidRPr="00283806">
        <w:rPr>
          <w:rFonts w:ascii="Book Antiqua"/>
          <w:i/>
          <w:w w:val="110"/>
          <w:sz w:val="14"/>
        </w:rPr>
        <w:t>2022-0606-0023,</w:t>
      </w:r>
      <w:r w:rsidRPr="00283806">
        <w:rPr>
          <w:rFonts w:ascii="Book Antiqua"/>
          <w:i/>
          <w:spacing w:val="-9"/>
          <w:w w:val="110"/>
          <w:sz w:val="14"/>
        </w:rPr>
        <w:t xml:space="preserve"> </w:t>
      </w:r>
      <w:r w:rsidRPr="00283806">
        <w:rPr>
          <w:w w:val="110"/>
          <w:sz w:val="14"/>
        </w:rPr>
        <w:t>and</w:t>
      </w:r>
      <w:r w:rsidRPr="00283806">
        <w:rPr>
          <w:spacing w:val="-4"/>
          <w:w w:val="110"/>
          <w:sz w:val="14"/>
        </w:rPr>
        <w:t xml:space="preserve"> </w:t>
      </w:r>
      <w:r w:rsidRPr="00283806">
        <w:rPr>
          <w:w w:val="110"/>
          <w:sz w:val="14"/>
        </w:rPr>
        <w:t>the</w:t>
      </w:r>
      <w:r w:rsidRPr="00283806">
        <w:rPr>
          <w:spacing w:val="-5"/>
          <w:w w:val="110"/>
          <w:sz w:val="14"/>
        </w:rPr>
        <w:t xml:space="preserve"> </w:t>
      </w:r>
      <w:proofErr w:type="spellStart"/>
      <w:r w:rsidRPr="00283806">
        <w:rPr>
          <w:w w:val="110"/>
          <w:sz w:val="14"/>
        </w:rPr>
        <w:t>Yasaka</w:t>
      </w:r>
      <w:proofErr w:type="spellEnd"/>
      <w:r w:rsidRPr="00283806">
        <w:rPr>
          <w:spacing w:val="-4"/>
          <w:w w:val="110"/>
          <w:sz w:val="14"/>
        </w:rPr>
        <w:t xml:space="preserve"> </w:t>
      </w:r>
      <w:r w:rsidRPr="00283806">
        <w:rPr>
          <w:w w:val="110"/>
          <w:sz w:val="14"/>
        </w:rPr>
        <w:t>study</w:t>
      </w:r>
      <w:r w:rsidRPr="00283806">
        <w:rPr>
          <w:spacing w:val="-4"/>
          <w:w w:val="110"/>
          <w:sz w:val="14"/>
        </w:rPr>
        <w:t xml:space="preserve"> </w:t>
      </w:r>
      <w:r w:rsidRPr="00283806">
        <w:rPr>
          <w:spacing w:val="-5"/>
          <w:w w:val="110"/>
          <w:sz w:val="14"/>
        </w:rPr>
        <w:t>is</w:t>
      </w:r>
      <w:r w:rsidRPr="00283806">
        <w:rPr>
          <w:sz w:val="14"/>
        </w:rPr>
        <w:tab/>
      </w:r>
      <w:r w:rsidRPr="00283806">
        <w:rPr>
          <w:sz w:val="14"/>
          <w:u w:val="single"/>
        </w:rPr>
        <w:tab/>
      </w:r>
    </w:p>
    <w:p w14:paraId="66CFCCD9" w14:textId="77777777" w:rsidR="00D67C1E" w:rsidRPr="00283806" w:rsidRDefault="001265CA">
      <w:pPr>
        <w:pStyle w:val="BodyText"/>
        <w:spacing w:line="162" w:lineRule="exact"/>
        <w:ind w:left="159"/>
      </w:pPr>
      <w:r w:rsidRPr="00283806">
        <w:br w:type="column"/>
      </w:r>
      <w:r w:rsidRPr="00283806">
        <w:rPr>
          <w:w w:val="105"/>
        </w:rPr>
        <w:t>action</w:t>
      </w:r>
      <w:r w:rsidRPr="00283806">
        <w:rPr>
          <w:spacing w:val="9"/>
          <w:w w:val="105"/>
        </w:rPr>
        <w:t xml:space="preserve"> </w:t>
      </w:r>
      <w:r w:rsidRPr="00283806">
        <w:rPr>
          <w:w w:val="105"/>
        </w:rPr>
        <w:t>does</w:t>
      </w:r>
      <w:r w:rsidRPr="00283806">
        <w:rPr>
          <w:spacing w:val="9"/>
          <w:w w:val="105"/>
        </w:rPr>
        <w:t xml:space="preserve"> </w:t>
      </w:r>
      <w:r w:rsidRPr="00283806">
        <w:rPr>
          <w:w w:val="105"/>
        </w:rPr>
        <w:t>not</w:t>
      </w:r>
      <w:r w:rsidRPr="00283806">
        <w:rPr>
          <w:spacing w:val="9"/>
          <w:w w:val="105"/>
        </w:rPr>
        <w:t xml:space="preserve"> </w:t>
      </w:r>
      <w:r w:rsidRPr="00283806">
        <w:rPr>
          <w:w w:val="105"/>
        </w:rPr>
        <w:t>rely</w:t>
      </w:r>
      <w:r w:rsidRPr="00283806">
        <w:rPr>
          <w:spacing w:val="9"/>
          <w:w w:val="105"/>
        </w:rPr>
        <w:t xml:space="preserve"> </w:t>
      </w:r>
      <w:r w:rsidRPr="00283806">
        <w:rPr>
          <w:w w:val="105"/>
        </w:rPr>
        <w:t>on</w:t>
      </w:r>
      <w:r w:rsidRPr="00283806">
        <w:rPr>
          <w:spacing w:val="9"/>
          <w:w w:val="105"/>
        </w:rPr>
        <w:t xml:space="preserve"> </w:t>
      </w:r>
      <w:r w:rsidRPr="00283806">
        <w:rPr>
          <w:w w:val="105"/>
        </w:rPr>
        <w:t>those</w:t>
      </w:r>
      <w:r w:rsidRPr="00283806">
        <w:rPr>
          <w:spacing w:val="9"/>
          <w:w w:val="105"/>
        </w:rPr>
        <w:t xml:space="preserve"> </w:t>
      </w:r>
      <w:r w:rsidRPr="00283806">
        <w:rPr>
          <w:spacing w:val="-2"/>
          <w:w w:val="105"/>
        </w:rPr>
        <w:t>estimates</w:t>
      </w:r>
    </w:p>
    <w:p w14:paraId="4CF2933F" w14:textId="77777777" w:rsidR="00D67C1E" w:rsidRPr="00283806" w:rsidRDefault="00D67C1E">
      <w:pPr>
        <w:spacing w:line="162" w:lineRule="exact"/>
        <w:sectPr w:rsidR="00D67C1E" w:rsidRPr="00283806">
          <w:type w:val="continuous"/>
          <w:pgSz w:w="12240" w:h="15840"/>
          <w:pgMar w:top="880" w:right="780" w:bottom="280" w:left="740" w:header="627" w:footer="0" w:gutter="0"/>
          <w:cols w:num="2" w:space="720" w:equalWidth="0">
            <w:col w:w="4740" w:space="2340"/>
            <w:col w:w="3640"/>
          </w:cols>
        </w:sectPr>
      </w:pPr>
    </w:p>
    <w:p w14:paraId="1107BFBE" w14:textId="77777777" w:rsidR="00D67C1E" w:rsidRPr="00283806" w:rsidRDefault="001265CA">
      <w:pPr>
        <w:ind w:left="159"/>
        <w:rPr>
          <w:sz w:val="14"/>
        </w:rPr>
      </w:pPr>
      <w:r w:rsidRPr="00283806">
        <w:rPr>
          <w:w w:val="105"/>
          <w:sz w:val="14"/>
        </w:rPr>
        <w:t>attachment</w:t>
      </w:r>
      <w:r w:rsidRPr="00283806">
        <w:rPr>
          <w:spacing w:val="5"/>
          <w:w w:val="105"/>
          <w:sz w:val="14"/>
        </w:rPr>
        <w:t xml:space="preserve"> </w:t>
      </w:r>
      <w:r w:rsidRPr="00283806">
        <w:rPr>
          <w:spacing w:val="-5"/>
          <w:w w:val="105"/>
          <w:sz w:val="14"/>
        </w:rPr>
        <w:t>17.</w:t>
      </w:r>
    </w:p>
    <w:p w14:paraId="7153860E" w14:textId="7997BF9F" w:rsidR="00D67C1E" w:rsidRPr="00283806" w:rsidRDefault="001265CA">
      <w:pPr>
        <w:spacing w:before="21" w:line="230" w:lineRule="auto"/>
        <w:ind w:left="159" w:right="38" w:firstLine="140"/>
        <w:rPr>
          <w:rFonts w:ascii="Book Antiqua"/>
          <w:i/>
          <w:sz w:val="14"/>
        </w:rPr>
      </w:pPr>
      <w:r w:rsidRPr="00283806">
        <w:rPr>
          <w:spacing w:val="-2"/>
          <w:w w:val="110"/>
          <w:position w:val="4"/>
          <w:sz w:val="9"/>
        </w:rPr>
        <w:t>188</w:t>
      </w:r>
      <w:r w:rsidRPr="00283806">
        <w:rPr>
          <w:spacing w:val="-4"/>
          <w:w w:val="110"/>
          <w:position w:val="4"/>
          <w:sz w:val="9"/>
        </w:rPr>
        <w:t xml:space="preserve"> </w:t>
      </w:r>
      <w:r w:rsidRPr="00283806">
        <w:rPr>
          <w:spacing w:val="-2"/>
          <w:w w:val="110"/>
          <w:sz w:val="14"/>
        </w:rPr>
        <w:t>The docket</w:t>
      </w:r>
      <w:r w:rsidRPr="00283806">
        <w:rPr>
          <w:spacing w:val="-3"/>
          <w:w w:val="110"/>
          <w:sz w:val="14"/>
        </w:rPr>
        <w:t xml:space="preserve"> </w:t>
      </w:r>
      <w:r w:rsidRPr="00283806">
        <w:rPr>
          <w:spacing w:val="-2"/>
          <w:w w:val="110"/>
          <w:sz w:val="14"/>
        </w:rPr>
        <w:t>for</w:t>
      </w:r>
      <w:r w:rsidRPr="00283806">
        <w:rPr>
          <w:spacing w:val="-3"/>
          <w:w w:val="110"/>
          <w:sz w:val="14"/>
        </w:rPr>
        <w:t xml:space="preserve"> </w:t>
      </w:r>
      <w:r w:rsidRPr="00283806">
        <w:rPr>
          <w:spacing w:val="-2"/>
          <w:w w:val="110"/>
          <w:sz w:val="14"/>
        </w:rPr>
        <w:t>materials</w:t>
      </w:r>
      <w:r w:rsidRPr="00283806">
        <w:rPr>
          <w:spacing w:val="-3"/>
          <w:w w:val="110"/>
          <w:sz w:val="14"/>
        </w:rPr>
        <w:t xml:space="preserve"> </w:t>
      </w:r>
      <w:r w:rsidRPr="00283806">
        <w:rPr>
          <w:spacing w:val="-2"/>
          <w:w w:val="110"/>
          <w:sz w:val="14"/>
        </w:rPr>
        <w:t>referenced</w:t>
      </w:r>
      <w:r w:rsidRPr="00283806">
        <w:rPr>
          <w:spacing w:val="-3"/>
          <w:w w:val="110"/>
          <w:sz w:val="14"/>
        </w:rPr>
        <w:t xml:space="preserve"> </w:t>
      </w:r>
      <w:r w:rsidRPr="00283806">
        <w:rPr>
          <w:spacing w:val="-2"/>
          <w:w w:val="110"/>
          <w:sz w:val="14"/>
        </w:rPr>
        <w:t>in</w:t>
      </w:r>
      <w:r w:rsidRPr="00283806">
        <w:rPr>
          <w:spacing w:val="-3"/>
          <w:w w:val="110"/>
          <w:sz w:val="14"/>
        </w:rPr>
        <w:t xml:space="preserve"> </w:t>
      </w:r>
      <w:r w:rsidRPr="00283806">
        <w:rPr>
          <w:spacing w:val="-2"/>
          <w:w w:val="110"/>
          <w:sz w:val="14"/>
        </w:rPr>
        <w:t>the</w:t>
      </w:r>
      <w:r w:rsidRPr="00283806">
        <w:rPr>
          <w:spacing w:val="40"/>
          <w:w w:val="110"/>
          <w:sz w:val="14"/>
        </w:rPr>
        <w:t xml:space="preserve"> </w:t>
      </w:r>
      <w:r w:rsidRPr="00283806">
        <w:rPr>
          <w:w w:val="110"/>
          <w:sz w:val="14"/>
        </w:rPr>
        <w:t xml:space="preserve">proposed rule is available at: </w:t>
      </w:r>
      <w:r w:rsidRPr="00283806">
        <w:rPr>
          <w:rFonts w:ascii="Book Antiqua"/>
          <w:i/>
          <w:w w:val="110"/>
          <w:sz w:val="14"/>
        </w:rPr>
        <w:t>https://</w:t>
      </w:r>
      <w:r w:rsidRPr="00283806">
        <w:rPr>
          <w:rFonts w:ascii="Book Antiqua"/>
          <w:i/>
          <w:spacing w:val="40"/>
          <w:w w:val="110"/>
          <w:sz w:val="14"/>
        </w:rPr>
        <w:t xml:space="preserve"> </w:t>
      </w:r>
      <w:r w:rsidRPr="00283806">
        <w:rPr>
          <w:rFonts w:ascii="Book Antiqua"/>
          <w:i/>
          <w:spacing w:val="-2"/>
          <w:sz w:val="14"/>
        </w:rPr>
        <w:t>www.regulations.gov/document/EPA-HQ-OAR-</w:t>
      </w:r>
      <w:r w:rsidRPr="00283806">
        <w:rPr>
          <w:rFonts w:ascii="Book Antiqua"/>
          <w:i/>
          <w:spacing w:val="40"/>
          <w:w w:val="110"/>
          <w:sz w:val="14"/>
        </w:rPr>
        <w:t xml:space="preserve">  </w:t>
      </w:r>
      <w:r w:rsidRPr="00283806">
        <w:rPr>
          <w:rFonts w:ascii="Book Antiqua"/>
          <w:i/>
          <w:spacing w:val="-2"/>
          <w:w w:val="110"/>
          <w:sz w:val="14"/>
        </w:rPr>
        <w:t>2022-0606-0015.</w:t>
      </w:r>
    </w:p>
    <w:p w14:paraId="2C4AC378" w14:textId="77777777" w:rsidR="00D67C1E" w:rsidRPr="00283806" w:rsidRDefault="001265CA">
      <w:pPr>
        <w:spacing w:before="33" w:line="230" w:lineRule="auto"/>
        <w:ind w:left="159" w:firstLine="140"/>
        <w:rPr>
          <w:sz w:val="14"/>
        </w:rPr>
      </w:pPr>
      <w:r w:rsidRPr="00283806">
        <w:br w:type="column"/>
      </w:r>
      <w:r w:rsidRPr="00283806">
        <w:rPr>
          <w:w w:val="105"/>
          <w:position w:val="4"/>
          <w:sz w:val="9"/>
        </w:rPr>
        <w:t xml:space="preserve">189 </w:t>
      </w:r>
      <w:proofErr w:type="spellStart"/>
      <w:r w:rsidRPr="00283806">
        <w:rPr>
          <w:w w:val="105"/>
          <w:sz w:val="14"/>
        </w:rPr>
        <w:t>Yasaka</w:t>
      </w:r>
      <w:proofErr w:type="spellEnd"/>
      <w:r w:rsidRPr="00283806">
        <w:rPr>
          <w:w w:val="105"/>
          <w:sz w:val="14"/>
        </w:rPr>
        <w:t>, Yoshihito, et al. ‘‘Life-Cycle</w:t>
      </w:r>
      <w:r w:rsidRPr="00283806">
        <w:rPr>
          <w:spacing w:val="40"/>
          <w:w w:val="105"/>
          <w:sz w:val="14"/>
        </w:rPr>
        <w:t xml:space="preserve"> </w:t>
      </w:r>
      <w:r w:rsidRPr="00283806">
        <w:rPr>
          <w:w w:val="105"/>
          <w:sz w:val="14"/>
        </w:rPr>
        <w:t>Assessment of Refrigerants for Air Conditioners</w:t>
      </w:r>
      <w:r w:rsidRPr="00283806">
        <w:rPr>
          <w:spacing w:val="40"/>
          <w:w w:val="105"/>
          <w:sz w:val="14"/>
        </w:rPr>
        <w:t xml:space="preserve"> </w:t>
      </w:r>
      <w:r w:rsidRPr="00283806">
        <w:rPr>
          <w:w w:val="105"/>
          <w:sz w:val="14"/>
        </w:rPr>
        <w:t>Considering Reclamation and Destruction.’’</w:t>
      </w:r>
      <w:r w:rsidRPr="00283806">
        <w:rPr>
          <w:spacing w:val="40"/>
          <w:w w:val="105"/>
          <w:sz w:val="14"/>
        </w:rPr>
        <w:t xml:space="preserve"> </w:t>
      </w:r>
      <w:r w:rsidRPr="00283806">
        <w:rPr>
          <w:w w:val="105"/>
          <w:sz w:val="14"/>
        </w:rPr>
        <w:t>Sustainability, vol. 15, no.1, 2023, p. 473,</w:t>
      </w:r>
      <w:r w:rsidRPr="00283806">
        <w:rPr>
          <w:spacing w:val="40"/>
          <w:w w:val="105"/>
          <w:sz w:val="14"/>
        </w:rPr>
        <w:t xml:space="preserve"> </w:t>
      </w:r>
      <w:r w:rsidRPr="00283806">
        <w:rPr>
          <w:spacing w:val="-2"/>
          <w:w w:val="105"/>
          <w:sz w:val="14"/>
        </w:rPr>
        <w:t>doi:10.3390/su15010473.</w:t>
      </w:r>
    </w:p>
    <w:p w14:paraId="4B399A26" w14:textId="77777777" w:rsidR="00D67C1E" w:rsidRPr="00283806" w:rsidRDefault="001265CA">
      <w:pPr>
        <w:pStyle w:val="BodyText"/>
        <w:spacing w:before="36" w:line="225" w:lineRule="auto"/>
        <w:ind w:left="159"/>
      </w:pPr>
      <w:r w:rsidRPr="00283806">
        <w:br w:type="column"/>
      </w:r>
      <w:r w:rsidRPr="00283806">
        <w:rPr>
          <w:w w:val="110"/>
        </w:rPr>
        <w:t>of these costs as a record basis for the Agency’s action. EPA would reach the conclusions in this rule even in the absence</w:t>
      </w:r>
      <w:r w:rsidRPr="00283806">
        <w:rPr>
          <w:spacing w:val="-9"/>
          <w:w w:val="110"/>
        </w:rPr>
        <w:t xml:space="preserve"> </w:t>
      </w:r>
      <w:r w:rsidRPr="00283806">
        <w:rPr>
          <w:w w:val="110"/>
        </w:rPr>
        <w:t>of</w:t>
      </w:r>
      <w:r w:rsidRPr="00283806">
        <w:rPr>
          <w:spacing w:val="-9"/>
          <w:w w:val="110"/>
        </w:rPr>
        <w:t xml:space="preserve"> </w:t>
      </w:r>
      <w:r w:rsidRPr="00283806">
        <w:rPr>
          <w:w w:val="110"/>
        </w:rPr>
        <w:t>the</w:t>
      </w:r>
      <w:r w:rsidRPr="00283806">
        <w:rPr>
          <w:spacing w:val="-9"/>
          <w:w w:val="110"/>
        </w:rPr>
        <w:t xml:space="preserve"> </w:t>
      </w:r>
      <w:r w:rsidRPr="00283806">
        <w:rPr>
          <w:w w:val="110"/>
        </w:rPr>
        <w:t>SC–HFCs.</w:t>
      </w:r>
      <w:r w:rsidRPr="00283806">
        <w:rPr>
          <w:spacing w:val="-9"/>
          <w:w w:val="110"/>
        </w:rPr>
        <w:t xml:space="preserve"> </w:t>
      </w:r>
      <w:r w:rsidRPr="00283806">
        <w:rPr>
          <w:w w:val="110"/>
        </w:rPr>
        <w:t>EPA’s</w:t>
      </w:r>
      <w:r w:rsidRPr="00283806">
        <w:rPr>
          <w:spacing w:val="-9"/>
          <w:w w:val="110"/>
        </w:rPr>
        <w:t xml:space="preserve"> </w:t>
      </w:r>
      <w:r w:rsidRPr="00283806">
        <w:rPr>
          <w:w w:val="110"/>
        </w:rPr>
        <w:t>reasons</w:t>
      </w:r>
    </w:p>
    <w:p w14:paraId="7BDB8F8C" w14:textId="77777777" w:rsidR="00D67C1E" w:rsidRPr="00283806" w:rsidRDefault="00D67C1E">
      <w:pPr>
        <w:spacing w:line="225" w:lineRule="auto"/>
        <w:sectPr w:rsidR="00D67C1E" w:rsidRPr="00283806">
          <w:type w:val="continuous"/>
          <w:pgSz w:w="12240" w:h="15840"/>
          <w:pgMar w:top="880" w:right="780" w:bottom="280" w:left="740" w:header="627" w:footer="0" w:gutter="0"/>
          <w:cols w:num="3" w:space="720" w:equalWidth="0">
            <w:col w:w="3234" w:space="306"/>
            <w:col w:w="3263" w:space="277"/>
            <w:col w:w="3640"/>
          </w:cols>
        </w:sectPr>
      </w:pPr>
    </w:p>
    <w:p w14:paraId="311EF5B5" w14:textId="77777777" w:rsidR="00D67C1E" w:rsidRPr="00283806" w:rsidRDefault="001265CA">
      <w:pPr>
        <w:pStyle w:val="BodyText"/>
        <w:spacing w:before="136" w:line="225" w:lineRule="auto"/>
        <w:ind w:right="17"/>
        <w:jc w:val="both"/>
      </w:pPr>
      <w:r w:rsidRPr="00283806">
        <w:rPr>
          <w:w w:val="105"/>
        </w:rPr>
        <w:lastRenderedPageBreak/>
        <w:t>for</w:t>
      </w:r>
      <w:r w:rsidRPr="00283806">
        <w:rPr>
          <w:spacing w:val="-4"/>
          <w:w w:val="105"/>
        </w:rPr>
        <w:t xml:space="preserve"> </w:t>
      </w:r>
      <w:r w:rsidRPr="00283806">
        <w:rPr>
          <w:w w:val="105"/>
        </w:rPr>
        <w:t>establishing</w:t>
      </w:r>
      <w:r w:rsidRPr="00283806">
        <w:rPr>
          <w:spacing w:val="-4"/>
          <w:w w:val="105"/>
        </w:rPr>
        <w:t xml:space="preserve"> </w:t>
      </w:r>
      <w:r w:rsidRPr="00283806">
        <w:rPr>
          <w:w w:val="105"/>
        </w:rPr>
        <w:t>the</w:t>
      </w:r>
      <w:r w:rsidRPr="00283806">
        <w:rPr>
          <w:spacing w:val="-4"/>
          <w:w w:val="105"/>
        </w:rPr>
        <w:t xml:space="preserve"> </w:t>
      </w:r>
      <w:r w:rsidRPr="00283806">
        <w:rPr>
          <w:w w:val="105"/>
        </w:rPr>
        <w:t>requirements</w:t>
      </w:r>
      <w:r w:rsidRPr="00283806">
        <w:rPr>
          <w:spacing w:val="-4"/>
          <w:w w:val="105"/>
        </w:rPr>
        <w:t xml:space="preserve"> </w:t>
      </w:r>
      <w:r w:rsidRPr="00283806">
        <w:rPr>
          <w:w w:val="105"/>
        </w:rPr>
        <w:t>related to disposable cylinders are explained in section IV.G of this preamble.</w:t>
      </w:r>
    </w:p>
    <w:p w14:paraId="0BC4E05F" w14:textId="77777777" w:rsidR="00D67C1E" w:rsidRPr="00283806" w:rsidRDefault="001265CA">
      <w:pPr>
        <w:spacing w:line="184" w:lineRule="exact"/>
        <w:ind w:left="340"/>
        <w:rPr>
          <w:sz w:val="18"/>
        </w:rPr>
      </w:pPr>
      <w:r w:rsidRPr="00283806">
        <w:rPr>
          <w:rFonts w:ascii="Book Antiqua"/>
          <w:i/>
          <w:w w:val="105"/>
          <w:sz w:val="18"/>
        </w:rPr>
        <w:t>Comment:</w:t>
      </w:r>
      <w:r w:rsidRPr="00283806">
        <w:rPr>
          <w:rFonts w:ascii="Book Antiqua"/>
          <w:i/>
          <w:spacing w:val="20"/>
          <w:w w:val="105"/>
          <w:sz w:val="18"/>
        </w:rPr>
        <w:t xml:space="preserve"> </w:t>
      </w:r>
      <w:r w:rsidRPr="00283806">
        <w:rPr>
          <w:w w:val="105"/>
          <w:sz w:val="18"/>
        </w:rPr>
        <w:t>Another</w:t>
      </w:r>
      <w:r w:rsidRPr="00283806">
        <w:rPr>
          <w:spacing w:val="26"/>
          <w:w w:val="105"/>
          <w:sz w:val="18"/>
        </w:rPr>
        <w:t xml:space="preserve"> </w:t>
      </w:r>
      <w:r w:rsidRPr="00283806">
        <w:rPr>
          <w:w w:val="105"/>
          <w:sz w:val="18"/>
        </w:rPr>
        <w:t>commenter</w:t>
      </w:r>
      <w:r w:rsidRPr="00283806">
        <w:rPr>
          <w:spacing w:val="26"/>
          <w:w w:val="105"/>
          <w:sz w:val="18"/>
        </w:rPr>
        <w:t xml:space="preserve"> </w:t>
      </w:r>
      <w:r w:rsidRPr="00283806">
        <w:rPr>
          <w:spacing w:val="-2"/>
          <w:w w:val="105"/>
          <w:sz w:val="18"/>
        </w:rPr>
        <w:t>stated</w:t>
      </w:r>
    </w:p>
    <w:p w14:paraId="1AE05828" w14:textId="77777777" w:rsidR="00D67C1E" w:rsidRPr="00283806" w:rsidRDefault="001265CA">
      <w:pPr>
        <w:pStyle w:val="BodyText"/>
        <w:spacing w:line="225" w:lineRule="auto"/>
        <w:ind w:right="60"/>
      </w:pPr>
      <w:r w:rsidRPr="00283806">
        <w:rPr>
          <w:w w:val="105"/>
        </w:rPr>
        <w:t>that the container requirements would likely have the greatest impact on the smallest firms in the industry with the fewest resources to spare. The commenter stated that any increased costs associated with the container provisions will ultimately be passed on</w:t>
      </w:r>
      <w:r w:rsidRPr="00283806">
        <w:rPr>
          <w:spacing w:val="40"/>
          <w:w w:val="105"/>
        </w:rPr>
        <w:t xml:space="preserve"> </w:t>
      </w:r>
      <w:r w:rsidRPr="00283806">
        <w:rPr>
          <w:w w:val="105"/>
        </w:rPr>
        <w:t>to consumers, regardless of whether the initial impact is absorbed by contractors or distributors.</w:t>
      </w:r>
    </w:p>
    <w:p w14:paraId="2BA2C07D" w14:textId="77777777" w:rsidR="00D67C1E" w:rsidRPr="00283806" w:rsidRDefault="001265CA">
      <w:pPr>
        <w:spacing w:line="182" w:lineRule="exact"/>
        <w:ind w:left="340"/>
        <w:rPr>
          <w:sz w:val="18"/>
        </w:rPr>
      </w:pPr>
      <w:r w:rsidRPr="00283806">
        <w:rPr>
          <w:rFonts w:ascii="Book Antiqua"/>
          <w:i/>
          <w:w w:val="110"/>
          <w:sz w:val="18"/>
        </w:rPr>
        <w:t>Response:</w:t>
      </w:r>
      <w:r w:rsidRPr="00283806">
        <w:rPr>
          <w:rFonts w:ascii="Book Antiqua"/>
          <w:i/>
          <w:spacing w:val="6"/>
          <w:w w:val="110"/>
          <w:sz w:val="18"/>
        </w:rPr>
        <w:t xml:space="preserve"> </w:t>
      </w:r>
      <w:r w:rsidRPr="00283806">
        <w:rPr>
          <w:w w:val="110"/>
          <w:sz w:val="18"/>
        </w:rPr>
        <w:t>In</w:t>
      </w:r>
      <w:r w:rsidRPr="00283806">
        <w:rPr>
          <w:spacing w:val="11"/>
          <w:w w:val="110"/>
          <w:sz w:val="18"/>
        </w:rPr>
        <w:t xml:space="preserve"> </w:t>
      </w:r>
      <w:r w:rsidRPr="00283806">
        <w:rPr>
          <w:w w:val="110"/>
          <w:sz w:val="18"/>
        </w:rPr>
        <w:t>Appendix</w:t>
      </w:r>
      <w:r w:rsidRPr="00283806">
        <w:rPr>
          <w:spacing w:val="12"/>
          <w:w w:val="110"/>
          <w:sz w:val="18"/>
        </w:rPr>
        <w:t xml:space="preserve"> </w:t>
      </w:r>
      <w:r w:rsidRPr="00283806">
        <w:rPr>
          <w:w w:val="110"/>
          <w:sz w:val="18"/>
        </w:rPr>
        <w:t>G</w:t>
      </w:r>
      <w:r w:rsidRPr="00283806">
        <w:rPr>
          <w:spacing w:val="11"/>
          <w:w w:val="110"/>
          <w:sz w:val="18"/>
        </w:rPr>
        <w:t xml:space="preserve"> </w:t>
      </w:r>
      <w:r w:rsidRPr="00283806">
        <w:rPr>
          <w:w w:val="110"/>
          <w:sz w:val="18"/>
        </w:rPr>
        <w:t>of</w:t>
      </w:r>
      <w:r w:rsidRPr="00283806">
        <w:rPr>
          <w:spacing w:val="12"/>
          <w:w w:val="110"/>
          <w:sz w:val="18"/>
        </w:rPr>
        <w:t xml:space="preserve"> </w:t>
      </w:r>
      <w:r w:rsidRPr="00283806">
        <w:rPr>
          <w:w w:val="110"/>
          <w:sz w:val="18"/>
        </w:rPr>
        <w:t>the</w:t>
      </w:r>
      <w:r w:rsidRPr="00283806">
        <w:rPr>
          <w:spacing w:val="11"/>
          <w:w w:val="110"/>
          <w:sz w:val="18"/>
        </w:rPr>
        <w:t xml:space="preserve"> </w:t>
      </w:r>
      <w:r w:rsidRPr="00283806">
        <w:rPr>
          <w:spacing w:val="-5"/>
          <w:w w:val="110"/>
          <w:sz w:val="18"/>
        </w:rPr>
        <w:t>RIA</w:t>
      </w:r>
    </w:p>
    <w:p w14:paraId="1DBF399A" w14:textId="77777777" w:rsidR="00D67C1E" w:rsidRPr="00283806" w:rsidRDefault="001265CA">
      <w:pPr>
        <w:pStyle w:val="BodyText"/>
        <w:spacing w:line="225" w:lineRule="auto"/>
        <w:ind w:right="50"/>
      </w:pPr>
      <w:r w:rsidRPr="00283806">
        <w:rPr>
          <w:w w:val="105"/>
        </w:rPr>
        <w:t>addendum, EPA performed an assessment under the guidelines of the Small Business Regulatory Enforcement Fairness Act of 1996 and found that the rulemaking can be presumed not to have a significant economic impact on a substantial number of small entities (SISNOSE). Further, to the extent that</w:t>
      </w:r>
      <w:r w:rsidRPr="00283806">
        <w:rPr>
          <w:spacing w:val="80"/>
          <w:w w:val="105"/>
        </w:rPr>
        <w:t xml:space="preserve"> </w:t>
      </w:r>
      <w:r w:rsidRPr="00283806">
        <w:rPr>
          <w:w w:val="105"/>
        </w:rPr>
        <w:t>the comment pertains to the proposed cylinder tracking requirements, EPA notes</w:t>
      </w:r>
      <w:r w:rsidRPr="00283806">
        <w:rPr>
          <w:spacing w:val="40"/>
          <w:w w:val="105"/>
        </w:rPr>
        <w:t xml:space="preserve"> </w:t>
      </w:r>
      <w:r w:rsidRPr="00283806">
        <w:rPr>
          <w:w w:val="105"/>
        </w:rPr>
        <w:t>that</w:t>
      </w:r>
      <w:r w:rsidRPr="00283806">
        <w:rPr>
          <w:spacing w:val="40"/>
          <w:w w:val="105"/>
        </w:rPr>
        <w:t xml:space="preserve"> </w:t>
      </w:r>
      <w:r w:rsidRPr="00283806">
        <w:rPr>
          <w:w w:val="105"/>
        </w:rPr>
        <w:t>it</w:t>
      </w:r>
      <w:r w:rsidRPr="00283806">
        <w:rPr>
          <w:spacing w:val="40"/>
          <w:w w:val="105"/>
        </w:rPr>
        <w:t xml:space="preserve"> </w:t>
      </w:r>
      <w:r w:rsidRPr="00283806">
        <w:rPr>
          <w:w w:val="105"/>
        </w:rPr>
        <w:t>is</w:t>
      </w:r>
      <w:r w:rsidRPr="00283806">
        <w:rPr>
          <w:spacing w:val="40"/>
          <w:w w:val="105"/>
        </w:rPr>
        <w:t xml:space="preserve"> </w:t>
      </w:r>
      <w:r w:rsidRPr="00283806">
        <w:rPr>
          <w:w w:val="105"/>
        </w:rPr>
        <w:t>not</w:t>
      </w:r>
      <w:r w:rsidRPr="00283806">
        <w:rPr>
          <w:spacing w:val="40"/>
          <w:w w:val="105"/>
        </w:rPr>
        <w:t xml:space="preserve"> </w:t>
      </w:r>
      <w:r w:rsidRPr="00283806">
        <w:rPr>
          <w:w w:val="105"/>
        </w:rPr>
        <w:t>finalizing</w:t>
      </w:r>
      <w:r w:rsidRPr="00283806">
        <w:rPr>
          <w:spacing w:val="40"/>
          <w:w w:val="105"/>
        </w:rPr>
        <w:t xml:space="preserve"> </w:t>
      </w:r>
      <w:r w:rsidRPr="00283806">
        <w:rPr>
          <w:w w:val="105"/>
        </w:rPr>
        <w:t xml:space="preserve">the cylinder tracking requirements </w:t>
      </w:r>
      <w:proofErr w:type="gramStart"/>
      <w:r w:rsidRPr="00283806">
        <w:rPr>
          <w:w w:val="105"/>
        </w:rPr>
        <w:t xml:space="preserve">at this </w:t>
      </w:r>
      <w:r w:rsidRPr="00283806">
        <w:rPr>
          <w:spacing w:val="-2"/>
          <w:w w:val="105"/>
        </w:rPr>
        <w:t>time</w:t>
      </w:r>
      <w:proofErr w:type="gramEnd"/>
      <w:r w:rsidRPr="00283806">
        <w:rPr>
          <w:spacing w:val="-2"/>
          <w:w w:val="105"/>
        </w:rPr>
        <w:t>.</w:t>
      </w:r>
    </w:p>
    <w:p w14:paraId="4C1199A5" w14:textId="77777777" w:rsidR="00D67C1E" w:rsidRPr="00283806" w:rsidRDefault="001265CA">
      <w:pPr>
        <w:pStyle w:val="BodyText"/>
        <w:spacing w:line="213" w:lineRule="auto"/>
        <w:ind w:firstLine="180"/>
      </w:pPr>
      <w:r w:rsidRPr="00283806">
        <w:rPr>
          <w:rFonts w:ascii="Book Antiqua"/>
          <w:i/>
          <w:w w:val="105"/>
        </w:rPr>
        <w:t xml:space="preserve">Comment: </w:t>
      </w:r>
      <w:r w:rsidRPr="00283806">
        <w:rPr>
          <w:w w:val="105"/>
        </w:rPr>
        <w:t>One commenter suggested that</w:t>
      </w:r>
      <w:r w:rsidRPr="00283806">
        <w:rPr>
          <w:spacing w:val="10"/>
          <w:w w:val="105"/>
        </w:rPr>
        <w:t xml:space="preserve"> </w:t>
      </w:r>
      <w:r w:rsidRPr="00283806">
        <w:rPr>
          <w:w w:val="105"/>
        </w:rPr>
        <w:t>the</w:t>
      </w:r>
      <w:r w:rsidRPr="00283806">
        <w:rPr>
          <w:spacing w:val="10"/>
          <w:w w:val="105"/>
        </w:rPr>
        <w:t xml:space="preserve"> </w:t>
      </w:r>
      <w:r w:rsidRPr="00283806">
        <w:rPr>
          <w:w w:val="105"/>
        </w:rPr>
        <w:t>implementation</w:t>
      </w:r>
      <w:r w:rsidRPr="00283806">
        <w:rPr>
          <w:spacing w:val="10"/>
          <w:w w:val="105"/>
        </w:rPr>
        <w:t xml:space="preserve"> </w:t>
      </w:r>
      <w:r w:rsidRPr="00283806">
        <w:rPr>
          <w:w w:val="105"/>
        </w:rPr>
        <w:t>of</w:t>
      </w:r>
      <w:r w:rsidRPr="00283806">
        <w:rPr>
          <w:spacing w:val="10"/>
          <w:w w:val="105"/>
        </w:rPr>
        <w:t xml:space="preserve"> </w:t>
      </w:r>
      <w:r w:rsidRPr="00283806">
        <w:rPr>
          <w:w w:val="105"/>
        </w:rPr>
        <w:t>the</w:t>
      </w:r>
      <w:r w:rsidRPr="00283806">
        <w:rPr>
          <w:spacing w:val="10"/>
          <w:w w:val="105"/>
        </w:rPr>
        <w:t xml:space="preserve"> </w:t>
      </w:r>
      <w:r w:rsidRPr="00283806">
        <w:rPr>
          <w:spacing w:val="-2"/>
          <w:w w:val="105"/>
        </w:rPr>
        <w:t>proposed</w:t>
      </w:r>
    </w:p>
    <w:p w14:paraId="5A401A78" w14:textId="77777777" w:rsidR="00D67C1E" w:rsidRPr="00283806" w:rsidRDefault="001265CA">
      <w:pPr>
        <w:pStyle w:val="BodyText"/>
        <w:spacing w:line="225" w:lineRule="auto"/>
        <w:ind w:right="56"/>
      </w:pPr>
      <w:r w:rsidRPr="00283806">
        <w:rPr>
          <w:w w:val="105"/>
        </w:rPr>
        <w:t>rule’s requirements would unduly</w:t>
      </w:r>
      <w:r w:rsidRPr="00283806">
        <w:rPr>
          <w:spacing w:val="40"/>
          <w:w w:val="105"/>
        </w:rPr>
        <w:t xml:space="preserve"> </w:t>
      </w:r>
      <w:r w:rsidRPr="00283806">
        <w:rPr>
          <w:w w:val="105"/>
        </w:rPr>
        <w:t>burden</w:t>
      </w:r>
      <w:r w:rsidRPr="00283806">
        <w:rPr>
          <w:spacing w:val="35"/>
          <w:w w:val="105"/>
        </w:rPr>
        <w:t xml:space="preserve"> </w:t>
      </w:r>
      <w:r w:rsidRPr="00283806">
        <w:rPr>
          <w:w w:val="105"/>
        </w:rPr>
        <w:t>disadvantaged</w:t>
      </w:r>
      <w:r w:rsidRPr="00283806">
        <w:rPr>
          <w:spacing w:val="35"/>
          <w:w w:val="105"/>
        </w:rPr>
        <w:t xml:space="preserve"> </w:t>
      </w:r>
      <w:r w:rsidRPr="00283806">
        <w:rPr>
          <w:w w:val="105"/>
        </w:rPr>
        <w:t>communities.</w:t>
      </w:r>
      <w:r w:rsidRPr="00283806">
        <w:rPr>
          <w:spacing w:val="40"/>
          <w:w w:val="105"/>
        </w:rPr>
        <w:t xml:space="preserve"> </w:t>
      </w:r>
      <w:r w:rsidRPr="00283806">
        <w:rPr>
          <w:w w:val="105"/>
        </w:rPr>
        <w:t>The commenter stated that it may not be economically viable to retrofit, retire, or replace an existing system to comply</w:t>
      </w:r>
      <w:r w:rsidRPr="00283806">
        <w:rPr>
          <w:spacing w:val="40"/>
          <w:w w:val="105"/>
        </w:rPr>
        <w:t xml:space="preserve"> </w:t>
      </w:r>
      <w:r w:rsidRPr="00283806">
        <w:rPr>
          <w:w w:val="105"/>
        </w:rPr>
        <w:t>with the mandates in the proposed rule due to the complex and integrated</w:t>
      </w:r>
      <w:r w:rsidRPr="00283806">
        <w:rPr>
          <w:spacing w:val="80"/>
          <w:w w:val="105"/>
        </w:rPr>
        <w:t xml:space="preserve"> </w:t>
      </w:r>
      <w:r w:rsidRPr="00283806">
        <w:rPr>
          <w:w w:val="105"/>
        </w:rPr>
        <w:t>nature of grocery store refrigeration systems. The commenter also</w:t>
      </w:r>
      <w:r w:rsidRPr="00283806">
        <w:rPr>
          <w:spacing w:val="80"/>
          <w:w w:val="150"/>
        </w:rPr>
        <w:t xml:space="preserve"> </w:t>
      </w:r>
      <w:r w:rsidRPr="00283806">
        <w:rPr>
          <w:w w:val="105"/>
        </w:rPr>
        <w:t>mentioned that rural and poor communities are more likely to have older stores with older systems that leak at a higher rate than average and with tighter profit margins that make it hard for store owners to pay for extensive repairs, retrofits, or replacements of</w:t>
      </w:r>
      <w:r w:rsidRPr="00283806">
        <w:rPr>
          <w:spacing w:val="40"/>
          <w:w w:val="105"/>
        </w:rPr>
        <w:t xml:space="preserve"> </w:t>
      </w:r>
      <w:r w:rsidRPr="00283806">
        <w:rPr>
          <w:w w:val="105"/>
        </w:rPr>
        <w:t>their refrigeration systems.</w:t>
      </w:r>
    </w:p>
    <w:p w14:paraId="68444B07" w14:textId="77777777" w:rsidR="00D67C1E" w:rsidRPr="00283806" w:rsidRDefault="001265CA">
      <w:pPr>
        <w:pStyle w:val="BodyText"/>
        <w:spacing w:line="225" w:lineRule="auto"/>
        <w:ind w:right="85"/>
      </w:pPr>
      <w:r w:rsidRPr="00283806">
        <w:rPr>
          <w:w w:val="105"/>
        </w:rPr>
        <w:t>Additionally, the commenter stated that expenses associated with system maintenance under the proposed requirements would also increase the chances that store owners would be unable to keep less profitable stores open and those stores that remain open would be forced to raise food prices in disadvantaged areas and, in some situations, exacerbate the ‘‘food desert’’ problem</w:t>
      </w:r>
      <w:r w:rsidRPr="00283806">
        <w:rPr>
          <w:spacing w:val="5"/>
          <w:w w:val="105"/>
        </w:rPr>
        <w:t xml:space="preserve"> </w:t>
      </w:r>
      <w:r w:rsidRPr="00283806">
        <w:rPr>
          <w:w w:val="105"/>
        </w:rPr>
        <w:t>in</w:t>
      </w:r>
      <w:r w:rsidRPr="00283806">
        <w:rPr>
          <w:spacing w:val="6"/>
          <w:w w:val="105"/>
        </w:rPr>
        <w:t xml:space="preserve"> </w:t>
      </w:r>
      <w:r w:rsidRPr="00283806">
        <w:rPr>
          <w:w w:val="105"/>
        </w:rPr>
        <w:t>certain</w:t>
      </w:r>
      <w:r w:rsidRPr="00283806">
        <w:rPr>
          <w:spacing w:val="6"/>
          <w:w w:val="105"/>
        </w:rPr>
        <w:t xml:space="preserve"> </w:t>
      </w:r>
      <w:r w:rsidRPr="00283806">
        <w:rPr>
          <w:w w:val="105"/>
        </w:rPr>
        <w:t>areas</w:t>
      </w:r>
      <w:r w:rsidRPr="00283806">
        <w:rPr>
          <w:spacing w:val="6"/>
          <w:w w:val="105"/>
        </w:rPr>
        <w:t xml:space="preserve"> </w:t>
      </w:r>
      <w:r w:rsidRPr="00283806">
        <w:rPr>
          <w:w w:val="105"/>
        </w:rPr>
        <w:t>of</w:t>
      </w:r>
      <w:r w:rsidRPr="00283806">
        <w:rPr>
          <w:spacing w:val="6"/>
          <w:w w:val="105"/>
        </w:rPr>
        <w:t xml:space="preserve"> </w:t>
      </w:r>
      <w:r w:rsidRPr="00283806">
        <w:rPr>
          <w:w w:val="105"/>
        </w:rPr>
        <w:t>the</w:t>
      </w:r>
      <w:r w:rsidRPr="00283806">
        <w:rPr>
          <w:spacing w:val="6"/>
          <w:w w:val="105"/>
        </w:rPr>
        <w:t xml:space="preserve"> </w:t>
      </w:r>
      <w:r w:rsidRPr="00283806">
        <w:rPr>
          <w:spacing w:val="-2"/>
          <w:w w:val="105"/>
        </w:rPr>
        <w:t>country.</w:t>
      </w:r>
    </w:p>
    <w:p w14:paraId="1EFF38CA" w14:textId="77777777" w:rsidR="00D67C1E" w:rsidRPr="00283806" w:rsidRDefault="001265CA">
      <w:pPr>
        <w:pStyle w:val="BodyText"/>
        <w:spacing w:line="228" w:lineRule="auto"/>
        <w:ind w:right="37" w:firstLine="180"/>
      </w:pPr>
      <w:r w:rsidRPr="00283806">
        <w:rPr>
          <w:w w:val="105"/>
        </w:rPr>
        <w:t>The commenter also stated that the proposed requirements to use only reclaimed refrigerants would push additional costs onto the retail food sector which is already struggling due to low profit margins and inflation. The commenter</w:t>
      </w:r>
      <w:r w:rsidRPr="00283806">
        <w:rPr>
          <w:spacing w:val="40"/>
          <w:w w:val="105"/>
        </w:rPr>
        <w:t xml:space="preserve"> </w:t>
      </w:r>
      <w:r w:rsidRPr="00283806">
        <w:rPr>
          <w:w w:val="105"/>
        </w:rPr>
        <w:t>claimed</w:t>
      </w:r>
      <w:r w:rsidRPr="00283806">
        <w:rPr>
          <w:spacing w:val="40"/>
          <w:w w:val="105"/>
        </w:rPr>
        <w:t xml:space="preserve"> </w:t>
      </w:r>
      <w:r w:rsidRPr="00283806">
        <w:rPr>
          <w:w w:val="105"/>
        </w:rPr>
        <w:t>that</w:t>
      </w:r>
      <w:r w:rsidRPr="00283806">
        <w:rPr>
          <w:spacing w:val="40"/>
          <w:w w:val="105"/>
        </w:rPr>
        <w:t xml:space="preserve"> </w:t>
      </w:r>
      <w:r w:rsidRPr="00283806">
        <w:rPr>
          <w:w w:val="105"/>
        </w:rPr>
        <w:t>these</w:t>
      </w:r>
      <w:r w:rsidRPr="00283806">
        <w:rPr>
          <w:spacing w:val="40"/>
          <w:w w:val="105"/>
        </w:rPr>
        <w:t xml:space="preserve"> </w:t>
      </w:r>
      <w:r w:rsidRPr="00283806">
        <w:rPr>
          <w:w w:val="105"/>
        </w:rPr>
        <w:t>high costs may also cause more frequent and longer repairs, which lead to store shutdowns, greater food safety risk, and potential removals of refrigerated</w:t>
      </w:r>
    </w:p>
    <w:p w14:paraId="403270C7" w14:textId="77777777" w:rsidR="00D67C1E" w:rsidRPr="00283806" w:rsidRDefault="001265CA">
      <w:pPr>
        <w:pStyle w:val="BodyText"/>
        <w:spacing w:before="135" w:line="225" w:lineRule="auto"/>
        <w:ind w:left="144" w:right="143"/>
      </w:pPr>
      <w:r w:rsidRPr="00283806">
        <w:br w:type="column"/>
      </w:r>
      <w:r w:rsidRPr="00283806">
        <w:rPr>
          <w:w w:val="110"/>
        </w:rPr>
        <w:t xml:space="preserve">sections altogether. The commenter </w:t>
      </w:r>
      <w:r w:rsidRPr="00283806">
        <w:rPr>
          <w:spacing w:val="-2"/>
          <w:w w:val="110"/>
        </w:rPr>
        <w:t>stated</w:t>
      </w:r>
      <w:r w:rsidRPr="00283806">
        <w:rPr>
          <w:spacing w:val="-6"/>
          <w:w w:val="110"/>
        </w:rPr>
        <w:t xml:space="preserve"> </w:t>
      </w:r>
      <w:r w:rsidRPr="00283806">
        <w:rPr>
          <w:spacing w:val="-2"/>
          <w:w w:val="110"/>
        </w:rPr>
        <w:t>that</w:t>
      </w:r>
      <w:r w:rsidRPr="00283806">
        <w:rPr>
          <w:spacing w:val="-6"/>
          <w:w w:val="110"/>
        </w:rPr>
        <w:t xml:space="preserve"> </w:t>
      </w:r>
      <w:r w:rsidRPr="00283806">
        <w:rPr>
          <w:spacing w:val="-2"/>
          <w:w w:val="110"/>
        </w:rPr>
        <w:t>such</w:t>
      </w:r>
      <w:r w:rsidRPr="00283806">
        <w:rPr>
          <w:spacing w:val="-6"/>
          <w:w w:val="110"/>
        </w:rPr>
        <w:t xml:space="preserve"> </w:t>
      </w:r>
      <w:r w:rsidRPr="00283806">
        <w:rPr>
          <w:spacing w:val="-2"/>
          <w:w w:val="110"/>
        </w:rPr>
        <w:t>an</w:t>
      </w:r>
      <w:r w:rsidRPr="00283806">
        <w:rPr>
          <w:spacing w:val="-6"/>
          <w:w w:val="110"/>
        </w:rPr>
        <w:t xml:space="preserve"> </w:t>
      </w:r>
      <w:r w:rsidRPr="00283806">
        <w:rPr>
          <w:spacing w:val="-2"/>
          <w:w w:val="110"/>
        </w:rPr>
        <w:t>increased</w:t>
      </w:r>
      <w:r w:rsidRPr="00283806">
        <w:rPr>
          <w:spacing w:val="-6"/>
          <w:w w:val="110"/>
        </w:rPr>
        <w:t xml:space="preserve"> </w:t>
      </w:r>
      <w:r w:rsidRPr="00283806">
        <w:rPr>
          <w:spacing w:val="-2"/>
          <w:w w:val="110"/>
        </w:rPr>
        <w:t xml:space="preserve">financial </w:t>
      </w:r>
      <w:r w:rsidRPr="00283806">
        <w:rPr>
          <w:w w:val="110"/>
        </w:rPr>
        <w:t>burden</w:t>
      </w:r>
      <w:r w:rsidRPr="00283806">
        <w:rPr>
          <w:spacing w:val="-11"/>
          <w:w w:val="110"/>
        </w:rPr>
        <w:t xml:space="preserve"> </w:t>
      </w:r>
      <w:r w:rsidRPr="00283806">
        <w:rPr>
          <w:w w:val="110"/>
        </w:rPr>
        <w:t>will</w:t>
      </w:r>
      <w:r w:rsidRPr="00283806">
        <w:rPr>
          <w:spacing w:val="-11"/>
          <w:w w:val="110"/>
        </w:rPr>
        <w:t xml:space="preserve"> </w:t>
      </w:r>
      <w:r w:rsidRPr="00283806">
        <w:rPr>
          <w:w w:val="110"/>
        </w:rPr>
        <w:t>likely</w:t>
      </w:r>
      <w:r w:rsidRPr="00283806">
        <w:rPr>
          <w:spacing w:val="-11"/>
          <w:w w:val="110"/>
        </w:rPr>
        <w:t xml:space="preserve"> </w:t>
      </w:r>
      <w:r w:rsidRPr="00283806">
        <w:rPr>
          <w:w w:val="110"/>
        </w:rPr>
        <w:t>impact</w:t>
      </w:r>
      <w:r w:rsidRPr="00283806">
        <w:rPr>
          <w:spacing w:val="-11"/>
          <w:w w:val="110"/>
        </w:rPr>
        <w:t xml:space="preserve"> </w:t>
      </w:r>
      <w:r w:rsidRPr="00283806">
        <w:rPr>
          <w:w w:val="110"/>
        </w:rPr>
        <w:t>older</w:t>
      </w:r>
      <w:r w:rsidRPr="00283806">
        <w:rPr>
          <w:spacing w:val="-11"/>
          <w:w w:val="110"/>
        </w:rPr>
        <w:t xml:space="preserve"> </w:t>
      </w:r>
      <w:r w:rsidRPr="00283806">
        <w:rPr>
          <w:w w:val="110"/>
        </w:rPr>
        <w:t>stores, and</w:t>
      </w:r>
      <w:r w:rsidRPr="00283806">
        <w:rPr>
          <w:spacing w:val="-11"/>
          <w:w w:val="110"/>
        </w:rPr>
        <w:t xml:space="preserve"> </w:t>
      </w:r>
      <w:r w:rsidRPr="00283806">
        <w:rPr>
          <w:w w:val="110"/>
        </w:rPr>
        <w:t>those</w:t>
      </w:r>
      <w:r w:rsidRPr="00283806">
        <w:rPr>
          <w:spacing w:val="-11"/>
          <w:w w:val="110"/>
        </w:rPr>
        <w:t xml:space="preserve"> </w:t>
      </w:r>
      <w:r w:rsidRPr="00283806">
        <w:rPr>
          <w:w w:val="110"/>
        </w:rPr>
        <w:t>either</w:t>
      </w:r>
      <w:r w:rsidRPr="00283806">
        <w:rPr>
          <w:spacing w:val="-11"/>
          <w:w w:val="110"/>
        </w:rPr>
        <w:t xml:space="preserve"> </w:t>
      </w:r>
      <w:r w:rsidRPr="00283806">
        <w:rPr>
          <w:w w:val="110"/>
        </w:rPr>
        <w:t>owned</w:t>
      </w:r>
      <w:r w:rsidRPr="00283806">
        <w:rPr>
          <w:spacing w:val="-11"/>
          <w:w w:val="110"/>
        </w:rPr>
        <w:t xml:space="preserve"> </w:t>
      </w:r>
      <w:r w:rsidRPr="00283806">
        <w:rPr>
          <w:w w:val="110"/>
        </w:rPr>
        <w:t>by</w:t>
      </w:r>
      <w:r w:rsidRPr="00283806">
        <w:rPr>
          <w:spacing w:val="-11"/>
          <w:w w:val="110"/>
        </w:rPr>
        <w:t xml:space="preserve"> </w:t>
      </w:r>
      <w:r w:rsidRPr="00283806">
        <w:rPr>
          <w:w w:val="110"/>
        </w:rPr>
        <w:t>or</w:t>
      </w:r>
      <w:r w:rsidRPr="00283806">
        <w:rPr>
          <w:spacing w:val="-11"/>
          <w:w w:val="110"/>
        </w:rPr>
        <w:t xml:space="preserve"> </w:t>
      </w:r>
      <w:r w:rsidRPr="00283806">
        <w:rPr>
          <w:w w:val="110"/>
        </w:rPr>
        <w:t>residing in</w:t>
      </w:r>
      <w:r w:rsidRPr="00283806">
        <w:rPr>
          <w:spacing w:val="-5"/>
          <w:w w:val="110"/>
        </w:rPr>
        <w:t xml:space="preserve"> </w:t>
      </w:r>
      <w:r w:rsidRPr="00283806">
        <w:rPr>
          <w:w w:val="110"/>
        </w:rPr>
        <w:t>minority</w:t>
      </w:r>
      <w:r w:rsidRPr="00283806">
        <w:rPr>
          <w:spacing w:val="-5"/>
          <w:w w:val="110"/>
        </w:rPr>
        <w:t xml:space="preserve"> </w:t>
      </w:r>
      <w:r w:rsidRPr="00283806">
        <w:rPr>
          <w:w w:val="110"/>
        </w:rPr>
        <w:t>and</w:t>
      </w:r>
      <w:r w:rsidRPr="00283806">
        <w:rPr>
          <w:spacing w:val="-5"/>
          <w:w w:val="110"/>
        </w:rPr>
        <w:t xml:space="preserve"> </w:t>
      </w:r>
      <w:r w:rsidRPr="00283806">
        <w:rPr>
          <w:w w:val="110"/>
        </w:rPr>
        <w:t>already</w:t>
      </w:r>
      <w:r w:rsidRPr="00283806">
        <w:rPr>
          <w:spacing w:val="-5"/>
          <w:w w:val="110"/>
        </w:rPr>
        <w:t xml:space="preserve"> </w:t>
      </w:r>
      <w:r w:rsidRPr="00283806">
        <w:rPr>
          <w:w w:val="110"/>
        </w:rPr>
        <w:t>economically stressed communities.</w:t>
      </w:r>
    </w:p>
    <w:p w14:paraId="6A1D6280" w14:textId="77777777" w:rsidR="00D67C1E" w:rsidRPr="00283806" w:rsidRDefault="001265CA">
      <w:pPr>
        <w:pStyle w:val="BodyText"/>
        <w:spacing w:line="178" w:lineRule="exact"/>
        <w:ind w:left="324"/>
      </w:pPr>
      <w:r w:rsidRPr="00283806">
        <w:rPr>
          <w:w w:val="105"/>
        </w:rPr>
        <w:t>Another</w:t>
      </w:r>
      <w:r w:rsidRPr="00283806">
        <w:rPr>
          <w:spacing w:val="4"/>
          <w:w w:val="105"/>
        </w:rPr>
        <w:t xml:space="preserve"> </w:t>
      </w:r>
      <w:r w:rsidRPr="00283806">
        <w:rPr>
          <w:w w:val="105"/>
        </w:rPr>
        <w:t>commenter</w:t>
      </w:r>
      <w:r w:rsidRPr="00283806">
        <w:rPr>
          <w:spacing w:val="4"/>
          <w:w w:val="105"/>
        </w:rPr>
        <w:t xml:space="preserve"> </w:t>
      </w:r>
      <w:r w:rsidRPr="00283806">
        <w:rPr>
          <w:w w:val="105"/>
        </w:rPr>
        <w:t>stated</w:t>
      </w:r>
      <w:r w:rsidRPr="00283806">
        <w:rPr>
          <w:spacing w:val="4"/>
          <w:w w:val="105"/>
        </w:rPr>
        <w:t xml:space="preserve"> </w:t>
      </w:r>
      <w:r w:rsidRPr="00283806">
        <w:rPr>
          <w:w w:val="105"/>
        </w:rPr>
        <w:t>that</w:t>
      </w:r>
      <w:r w:rsidRPr="00283806">
        <w:rPr>
          <w:spacing w:val="4"/>
          <w:w w:val="105"/>
        </w:rPr>
        <w:t xml:space="preserve"> </w:t>
      </w:r>
      <w:r w:rsidRPr="00283806">
        <w:rPr>
          <w:spacing w:val="-5"/>
          <w:w w:val="105"/>
        </w:rPr>
        <w:t>the</w:t>
      </w:r>
    </w:p>
    <w:p w14:paraId="0458AB09" w14:textId="77777777" w:rsidR="00D67C1E" w:rsidRPr="00283806" w:rsidRDefault="001265CA">
      <w:pPr>
        <w:pStyle w:val="BodyText"/>
        <w:spacing w:before="4" w:line="225" w:lineRule="auto"/>
        <w:ind w:left="144" w:right="62"/>
      </w:pPr>
      <w:r w:rsidRPr="00283806">
        <w:rPr>
          <w:w w:val="105"/>
        </w:rPr>
        <w:t>premature retirement of certain equipment would lead to a disproportionate burden on poorer communities that are unable to replace their equipment. The commenter stated that EPA did not evaluate the implications of this part of its proposed rule on poor communities and users.</w:t>
      </w:r>
    </w:p>
    <w:p w14:paraId="58A62646" w14:textId="77777777" w:rsidR="00D67C1E" w:rsidRPr="00283806" w:rsidRDefault="001265CA">
      <w:pPr>
        <w:pStyle w:val="BodyText"/>
        <w:spacing w:line="225" w:lineRule="auto"/>
        <w:ind w:left="144" w:right="7"/>
      </w:pPr>
      <w:r w:rsidRPr="00283806">
        <w:rPr>
          <w:w w:val="105"/>
        </w:rPr>
        <w:t>The</w:t>
      </w:r>
      <w:r w:rsidRPr="00283806">
        <w:rPr>
          <w:spacing w:val="-3"/>
          <w:w w:val="105"/>
        </w:rPr>
        <w:t xml:space="preserve"> </w:t>
      </w:r>
      <w:r w:rsidRPr="00283806">
        <w:rPr>
          <w:w w:val="105"/>
        </w:rPr>
        <w:t>commenter</w:t>
      </w:r>
      <w:r w:rsidRPr="00283806">
        <w:rPr>
          <w:spacing w:val="-3"/>
          <w:w w:val="105"/>
        </w:rPr>
        <w:t xml:space="preserve"> </w:t>
      </w:r>
      <w:r w:rsidRPr="00283806">
        <w:rPr>
          <w:w w:val="105"/>
        </w:rPr>
        <w:t>further</w:t>
      </w:r>
      <w:r w:rsidRPr="00283806">
        <w:rPr>
          <w:spacing w:val="-3"/>
          <w:w w:val="105"/>
        </w:rPr>
        <w:t xml:space="preserve"> </w:t>
      </w:r>
      <w:r w:rsidRPr="00283806">
        <w:rPr>
          <w:w w:val="105"/>
        </w:rPr>
        <w:t>stated</w:t>
      </w:r>
      <w:r w:rsidRPr="00283806">
        <w:rPr>
          <w:spacing w:val="-3"/>
          <w:w w:val="105"/>
        </w:rPr>
        <w:t xml:space="preserve"> </w:t>
      </w:r>
      <w:r w:rsidRPr="00283806">
        <w:rPr>
          <w:w w:val="105"/>
        </w:rPr>
        <w:t>that</w:t>
      </w:r>
      <w:r w:rsidRPr="00283806">
        <w:rPr>
          <w:spacing w:val="-3"/>
          <w:w w:val="105"/>
        </w:rPr>
        <w:t xml:space="preserve"> </w:t>
      </w:r>
      <w:r w:rsidRPr="00283806">
        <w:rPr>
          <w:w w:val="105"/>
        </w:rPr>
        <w:t xml:space="preserve">these issues and the environmental burdens caused by disposal of prematurely obsolete equipment should also be </w:t>
      </w:r>
      <w:r w:rsidRPr="00283806">
        <w:rPr>
          <w:spacing w:val="-2"/>
          <w:w w:val="105"/>
        </w:rPr>
        <w:t>considered.</w:t>
      </w:r>
    </w:p>
    <w:p w14:paraId="7917397F" w14:textId="77777777" w:rsidR="00D67C1E" w:rsidRPr="00283806" w:rsidRDefault="001265CA">
      <w:pPr>
        <w:pStyle w:val="BodyText"/>
        <w:spacing w:line="178" w:lineRule="exact"/>
        <w:ind w:left="324"/>
      </w:pPr>
      <w:r w:rsidRPr="00283806">
        <w:rPr>
          <w:w w:val="105"/>
        </w:rPr>
        <w:t>Lastly,</w:t>
      </w:r>
      <w:r w:rsidRPr="00283806">
        <w:rPr>
          <w:spacing w:val="5"/>
          <w:w w:val="105"/>
        </w:rPr>
        <w:t xml:space="preserve"> </w:t>
      </w:r>
      <w:r w:rsidRPr="00283806">
        <w:rPr>
          <w:w w:val="105"/>
        </w:rPr>
        <w:t>a</w:t>
      </w:r>
      <w:r w:rsidRPr="00283806">
        <w:rPr>
          <w:spacing w:val="5"/>
          <w:w w:val="105"/>
        </w:rPr>
        <w:t xml:space="preserve"> </w:t>
      </w:r>
      <w:r w:rsidRPr="00283806">
        <w:rPr>
          <w:w w:val="105"/>
        </w:rPr>
        <w:t>separate</w:t>
      </w:r>
      <w:r w:rsidRPr="00283806">
        <w:rPr>
          <w:spacing w:val="6"/>
          <w:w w:val="105"/>
        </w:rPr>
        <w:t xml:space="preserve"> </w:t>
      </w:r>
      <w:r w:rsidRPr="00283806">
        <w:rPr>
          <w:w w:val="105"/>
        </w:rPr>
        <w:t>commenter</w:t>
      </w:r>
      <w:r w:rsidRPr="00283806">
        <w:rPr>
          <w:spacing w:val="5"/>
          <w:w w:val="105"/>
        </w:rPr>
        <w:t xml:space="preserve"> </w:t>
      </w:r>
      <w:r w:rsidRPr="00283806">
        <w:rPr>
          <w:spacing w:val="-2"/>
          <w:w w:val="105"/>
        </w:rPr>
        <w:t>stated</w:t>
      </w:r>
    </w:p>
    <w:p w14:paraId="0B05B6D3" w14:textId="77777777" w:rsidR="00D67C1E" w:rsidRPr="00283806" w:rsidRDefault="001265CA">
      <w:pPr>
        <w:pStyle w:val="BodyText"/>
        <w:spacing w:before="1" w:line="225" w:lineRule="auto"/>
        <w:ind w:left="144" w:right="6"/>
      </w:pPr>
      <w:proofErr w:type="gramStart"/>
      <w:r w:rsidRPr="00283806">
        <w:rPr>
          <w:w w:val="105"/>
        </w:rPr>
        <w:t>that EPA</w:t>
      </w:r>
      <w:proofErr w:type="gramEnd"/>
      <w:r w:rsidRPr="00283806">
        <w:rPr>
          <w:w w:val="105"/>
        </w:rPr>
        <w:t xml:space="preserve"> must analyze how increased costs on the baking sector and other</w:t>
      </w:r>
      <w:r w:rsidRPr="00283806">
        <w:rPr>
          <w:spacing w:val="80"/>
          <w:w w:val="105"/>
        </w:rPr>
        <w:t xml:space="preserve"> </w:t>
      </w:r>
      <w:r w:rsidRPr="00283806">
        <w:rPr>
          <w:w w:val="105"/>
        </w:rPr>
        <w:t>food production sectors that use refrigeration will contribute to increased food price inflation and basket of goods impacts generally. The commenter</w:t>
      </w:r>
      <w:r w:rsidRPr="00283806">
        <w:rPr>
          <w:spacing w:val="80"/>
          <w:w w:val="105"/>
        </w:rPr>
        <w:t xml:space="preserve"> </w:t>
      </w:r>
      <w:r w:rsidRPr="00283806">
        <w:rPr>
          <w:w w:val="105"/>
        </w:rPr>
        <w:t>stated that EPA must also analyze how these increased cost pressures might impact food prices cumulatively when considered together with what they characterized as other inflationary pressures, such as EPA’s biodiesel and renewable diesel mandates under the Renewable Fuel Standard Program</w:t>
      </w:r>
      <w:r w:rsidRPr="00283806">
        <w:rPr>
          <w:spacing w:val="80"/>
          <w:w w:val="105"/>
        </w:rPr>
        <w:t xml:space="preserve"> </w:t>
      </w:r>
      <w:r w:rsidRPr="00283806">
        <w:rPr>
          <w:spacing w:val="-2"/>
          <w:w w:val="105"/>
        </w:rPr>
        <w:t>(RFS).</w:t>
      </w:r>
    </w:p>
    <w:p w14:paraId="75436F87" w14:textId="77777777" w:rsidR="00D67C1E" w:rsidRPr="00283806" w:rsidRDefault="001265CA">
      <w:pPr>
        <w:spacing w:line="180" w:lineRule="exact"/>
        <w:ind w:left="324"/>
        <w:rPr>
          <w:sz w:val="18"/>
        </w:rPr>
      </w:pPr>
      <w:r w:rsidRPr="00283806">
        <w:rPr>
          <w:rFonts w:ascii="Book Antiqua"/>
          <w:i/>
          <w:w w:val="105"/>
          <w:sz w:val="18"/>
        </w:rPr>
        <w:t>Response:</w:t>
      </w:r>
      <w:r w:rsidRPr="00283806">
        <w:rPr>
          <w:rFonts w:ascii="Book Antiqua"/>
          <w:i/>
          <w:spacing w:val="36"/>
          <w:w w:val="105"/>
          <w:sz w:val="18"/>
        </w:rPr>
        <w:t xml:space="preserve"> </w:t>
      </w:r>
      <w:r w:rsidRPr="00283806">
        <w:rPr>
          <w:w w:val="105"/>
          <w:sz w:val="18"/>
        </w:rPr>
        <w:t>EPA</w:t>
      </w:r>
      <w:r w:rsidRPr="00283806">
        <w:rPr>
          <w:spacing w:val="42"/>
          <w:w w:val="105"/>
          <w:sz w:val="18"/>
        </w:rPr>
        <w:t xml:space="preserve"> </w:t>
      </w:r>
      <w:r w:rsidRPr="00283806">
        <w:rPr>
          <w:w w:val="105"/>
          <w:sz w:val="18"/>
        </w:rPr>
        <w:t>recognizes</w:t>
      </w:r>
      <w:r w:rsidRPr="00283806">
        <w:rPr>
          <w:spacing w:val="41"/>
          <w:w w:val="105"/>
          <w:sz w:val="18"/>
        </w:rPr>
        <w:t xml:space="preserve"> </w:t>
      </w:r>
      <w:r w:rsidRPr="00283806">
        <w:rPr>
          <w:spacing w:val="-5"/>
          <w:w w:val="105"/>
          <w:sz w:val="18"/>
        </w:rPr>
        <w:t>the</w:t>
      </w:r>
    </w:p>
    <w:p w14:paraId="371A74B2" w14:textId="77777777" w:rsidR="00D67C1E" w:rsidRPr="00283806" w:rsidRDefault="001265CA">
      <w:pPr>
        <w:pStyle w:val="BodyText"/>
        <w:spacing w:line="225" w:lineRule="auto"/>
        <w:ind w:left="144"/>
      </w:pPr>
      <w:r w:rsidRPr="00283806">
        <w:rPr>
          <w:w w:val="105"/>
        </w:rPr>
        <w:t>importance of the food cold chain and food retailers servicing various communities, including avoiding food deserts.</w:t>
      </w:r>
      <w:r w:rsidRPr="00283806">
        <w:rPr>
          <w:spacing w:val="40"/>
          <w:w w:val="105"/>
        </w:rPr>
        <w:t xml:space="preserve"> </w:t>
      </w:r>
      <w:r w:rsidRPr="00283806">
        <w:rPr>
          <w:w w:val="105"/>
        </w:rPr>
        <w:t>However,</w:t>
      </w:r>
      <w:r w:rsidRPr="00283806">
        <w:rPr>
          <w:spacing w:val="40"/>
          <w:w w:val="105"/>
        </w:rPr>
        <w:t xml:space="preserve"> </w:t>
      </w:r>
      <w:r w:rsidRPr="00283806">
        <w:rPr>
          <w:w w:val="105"/>
        </w:rPr>
        <w:t>EPA</w:t>
      </w:r>
      <w:r w:rsidRPr="00283806">
        <w:rPr>
          <w:spacing w:val="40"/>
          <w:w w:val="105"/>
        </w:rPr>
        <w:t xml:space="preserve"> </w:t>
      </w:r>
      <w:r w:rsidRPr="00283806">
        <w:rPr>
          <w:w w:val="105"/>
        </w:rPr>
        <w:t>disagrees</w:t>
      </w:r>
      <w:r w:rsidRPr="00283806">
        <w:rPr>
          <w:spacing w:val="40"/>
          <w:w w:val="105"/>
        </w:rPr>
        <w:t xml:space="preserve"> </w:t>
      </w:r>
      <w:r w:rsidRPr="00283806">
        <w:rPr>
          <w:w w:val="105"/>
        </w:rPr>
        <w:t>that the requirements finalized in this rule</w:t>
      </w:r>
      <w:r w:rsidRPr="00283806">
        <w:rPr>
          <w:spacing w:val="40"/>
          <w:w w:val="105"/>
        </w:rPr>
        <w:t xml:space="preserve"> </w:t>
      </w:r>
      <w:r w:rsidRPr="00283806">
        <w:rPr>
          <w:w w:val="105"/>
        </w:rPr>
        <w:t xml:space="preserve">will result in </w:t>
      </w:r>
      <w:proofErr w:type="gramStart"/>
      <w:r w:rsidRPr="00283806">
        <w:rPr>
          <w:w w:val="105"/>
        </w:rPr>
        <w:t>undue</w:t>
      </w:r>
      <w:proofErr w:type="gramEnd"/>
      <w:r w:rsidRPr="00283806">
        <w:rPr>
          <w:w w:val="105"/>
        </w:rPr>
        <w:t xml:space="preserve"> burden and store closures or the loss of access to food. Store owners may replace broken or inefficient HFC components and save money by repairing leaks in their</w:t>
      </w:r>
      <w:r w:rsidRPr="00283806">
        <w:rPr>
          <w:spacing w:val="80"/>
          <w:w w:val="105"/>
        </w:rPr>
        <w:t xml:space="preserve"> </w:t>
      </w:r>
      <w:r w:rsidRPr="00283806">
        <w:rPr>
          <w:w w:val="105"/>
        </w:rPr>
        <w:t xml:space="preserve">existing systems. </w:t>
      </w:r>
      <w:proofErr w:type="gramStart"/>
      <w:r w:rsidRPr="00283806">
        <w:rPr>
          <w:w w:val="105"/>
        </w:rPr>
        <w:t>With regard to</w:t>
      </w:r>
      <w:proofErr w:type="gramEnd"/>
      <w:r w:rsidRPr="00283806">
        <w:rPr>
          <w:w w:val="105"/>
        </w:rPr>
        <w:t xml:space="preserve"> the comments concerning passing on costs</w:t>
      </w:r>
      <w:r w:rsidRPr="00283806">
        <w:rPr>
          <w:spacing w:val="40"/>
          <w:w w:val="105"/>
        </w:rPr>
        <w:t xml:space="preserve"> </w:t>
      </w:r>
      <w:r w:rsidRPr="00283806">
        <w:rPr>
          <w:w w:val="105"/>
        </w:rPr>
        <w:t xml:space="preserve">by raising the prices of retail food, EPA reiterates that the overall HFC phasedown will </w:t>
      </w:r>
      <w:proofErr w:type="gramStart"/>
      <w:r w:rsidRPr="00283806">
        <w:rPr>
          <w:w w:val="105"/>
        </w:rPr>
        <w:t>impact</w:t>
      </w:r>
      <w:proofErr w:type="gramEnd"/>
      <w:r w:rsidRPr="00283806">
        <w:rPr>
          <w:w w:val="105"/>
        </w:rPr>
        <w:t xml:space="preserve"> the costs of HFC refrigerants in the future. The</w:t>
      </w:r>
      <w:r w:rsidRPr="00283806">
        <w:rPr>
          <w:spacing w:val="40"/>
          <w:w w:val="105"/>
        </w:rPr>
        <w:t xml:space="preserve"> </w:t>
      </w:r>
      <w:r w:rsidRPr="00283806">
        <w:rPr>
          <w:w w:val="105"/>
        </w:rPr>
        <w:t>commenter did not provide detailed information on how specific elements of this</w:t>
      </w:r>
      <w:r w:rsidRPr="00283806">
        <w:rPr>
          <w:spacing w:val="40"/>
          <w:w w:val="105"/>
        </w:rPr>
        <w:t xml:space="preserve"> </w:t>
      </w:r>
      <w:r w:rsidRPr="00283806">
        <w:rPr>
          <w:w w:val="105"/>
        </w:rPr>
        <w:t>rule</w:t>
      </w:r>
      <w:r w:rsidRPr="00283806">
        <w:rPr>
          <w:spacing w:val="40"/>
          <w:w w:val="105"/>
        </w:rPr>
        <w:t xml:space="preserve"> </w:t>
      </w:r>
      <w:r w:rsidRPr="00283806">
        <w:rPr>
          <w:w w:val="105"/>
        </w:rPr>
        <w:t>would</w:t>
      </w:r>
      <w:r w:rsidRPr="00283806">
        <w:rPr>
          <w:spacing w:val="40"/>
          <w:w w:val="105"/>
        </w:rPr>
        <w:t xml:space="preserve"> </w:t>
      </w:r>
      <w:r w:rsidRPr="00283806">
        <w:rPr>
          <w:w w:val="105"/>
        </w:rPr>
        <w:t>result</w:t>
      </w:r>
      <w:r w:rsidRPr="00283806">
        <w:rPr>
          <w:spacing w:val="40"/>
          <w:w w:val="105"/>
        </w:rPr>
        <w:t xml:space="preserve"> </w:t>
      </w:r>
      <w:r w:rsidRPr="00283806">
        <w:rPr>
          <w:w w:val="105"/>
        </w:rPr>
        <w:t>in</w:t>
      </w:r>
      <w:r w:rsidRPr="00283806">
        <w:rPr>
          <w:spacing w:val="40"/>
          <w:w w:val="105"/>
        </w:rPr>
        <w:t xml:space="preserve"> </w:t>
      </w:r>
      <w:r w:rsidRPr="00283806">
        <w:rPr>
          <w:w w:val="105"/>
        </w:rPr>
        <w:t>costs</w:t>
      </w:r>
      <w:r w:rsidRPr="00283806">
        <w:rPr>
          <w:spacing w:val="40"/>
          <w:w w:val="105"/>
        </w:rPr>
        <w:t xml:space="preserve"> </w:t>
      </w:r>
      <w:r w:rsidRPr="00283806">
        <w:rPr>
          <w:w w:val="105"/>
        </w:rPr>
        <w:t>that would</w:t>
      </w:r>
      <w:r w:rsidRPr="00283806">
        <w:rPr>
          <w:spacing w:val="38"/>
          <w:w w:val="105"/>
        </w:rPr>
        <w:t xml:space="preserve"> </w:t>
      </w:r>
      <w:r w:rsidRPr="00283806">
        <w:rPr>
          <w:w w:val="105"/>
        </w:rPr>
        <w:t>be</w:t>
      </w:r>
      <w:r w:rsidRPr="00283806">
        <w:rPr>
          <w:spacing w:val="38"/>
          <w:w w:val="105"/>
        </w:rPr>
        <w:t xml:space="preserve"> </w:t>
      </w:r>
      <w:r w:rsidRPr="00283806">
        <w:rPr>
          <w:w w:val="105"/>
        </w:rPr>
        <w:t>passed</w:t>
      </w:r>
      <w:r w:rsidRPr="00283806">
        <w:rPr>
          <w:spacing w:val="38"/>
          <w:w w:val="105"/>
        </w:rPr>
        <w:t xml:space="preserve"> </w:t>
      </w:r>
      <w:r w:rsidRPr="00283806">
        <w:rPr>
          <w:w w:val="105"/>
        </w:rPr>
        <w:t>on</w:t>
      </w:r>
      <w:r w:rsidRPr="00283806">
        <w:rPr>
          <w:spacing w:val="38"/>
          <w:w w:val="105"/>
        </w:rPr>
        <w:t xml:space="preserve"> </w:t>
      </w:r>
      <w:r w:rsidRPr="00283806">
        <w:rPr>
          <w:w w:val="105"/>
        </w:rPr>
        <w:t>to</w:t>
      </w:r>
      <w:r w:rsidRPr="00283806">
        <w:rPr>
          <w:spacing w:val="38"/>
          <w:w w:val="105"/>
        </w:rPr>
        <w:t xml:space="preserve"> </w:t>
      </w:r>
      <w:r w:rsidRPr="00283806">
        <w:rPr>
          <w:w w:val="105"/>
        </w:rPr>
        <w:t>the</w:t>
      </w:r>
      <w:r w:rsidRPr="00283806">
        <w:rPr>
          <w:spacing w:val="38"/>
          <w:w w:val="105"/>
        </w:rPr>
        <w:t xml:space="preserve"> </w:t>
      </w:r>
      <w:r w:rsidRPr="00283806">
        <w:rPr>
          <w:w w:val="105"/>
        </w:rPr>
        <w:t>consumer and in particular how that would differ from the longstanding ODS</w:t>
      </w:r>
      <w:r w:rsidRPr="00283806">
        <w:rPr>
          <w:spacing w:val="80"/>
          <w:w w:val="150"/>
        </w:rPr>
        <w:t xml:space="preserve"> </w:t>
      </w:r>
      <w:r w:rsidRPr="00283806">
        <w:rPr>
          <w:w w:val="105"/>
        </w:rPr>
        <w:t>requirements or existing HFC requirements. Additionally, some of the requirements in this final rule have been modified</w:t>
      </w:r>
      <w:r w:rsidRPr="00283806">
        <w:rPr>
          <w:spacing w:val="40"/>
          <w:w w:val="105"/>
        </w:rPr>
        <w:t xml:space="preserve"> </w:t>
      </w:r>
      <w:r w:rsidRPr="00283806">
        <w:rPr>
          <w:w w:val="105"/>
        </w:rPr>
        <w:t>from</w:t>
      </w:r>
      <w:r w:rsidRPr="00283806">
        <w:rPr>
          <w:spacing w:val="40"/>
          <w:w w:val="105"/>
        </w:rPr>
        <w:t xml:space="preserve"> </w:t>
      </w:r>
      <w:r w:rsidRPr="00283806">
        <w:rPr>
          <w:w w:val="105"/>
        </w:rPr>
        <w:t>the</w:t>
      </w:r>
      <w:r w:rsidRPr="00283806">
        <w:rPr>
          <w:spacing w:val="40"/>
          <w:w w:val="105"/>
        </w:rPr>
        <w:t xml:space="preserve"> </w:t>
      </w:r>
      <w:r w:rsidRPr="00283806">
        <w:rPr>
          <w:w w:val="105"/>
        </w:rPr>
        <w:t>proposal,</w:t>
      </w:r>
      <w:r w:rsidRPr="00283806">
        <w:rPr>
          <w:spacing w:val="40"/>
          <w:w w:val="105"/>
        </w:rPr>
        <w:t xml:space="preserve"> </w:t>
      </w:r>
      <w:r w:rsidRPr="00283806">
        <w:rPr>
          <w:w w:val="105"/>
        </w:rPr>
        <w:t>and</w:t>
      </w:r>
      <w:r w:rsidRPr="00283806">
        <w:rPr>
          <w:spacing w:val="40"/>
          <w:w w:val="105"/>
        </w:rPr>
        <w:t xml:space="preserve"> </w:t>
      </w:r>
      <w:r w:rsidRPr="00283806">
        <w:rPr>
          <w:w w:val="105"/>
        </w:rPr>
        <w:t>some of those modifications have the effect of easing burden. For example, the requirements for ALD systems include those existing commercial refrigeration equipment with charge sizes of 1,500 pounds or more that were installed on</w:t>
      </w:r>
    </w:p>
    <w:p w14:paraId="0CFBA4D0" w14:textId="77777777" w:rsidR="00D67C1E" w:rsidRPr="00283806" w:rsidRDefault="001265CA">
      <w:pPr>
        <w:pStyle w:val="BodyText"/>
        <w:spacing w:before="135" w:line="225" w:lineRule="auto"/>
        <w:ind w:left="145" w:right="123"/>
      </w:pPr>
      <w:r w:rsidRPr="00283806">
        <w:br w:type="column"/>
      </w:r>
      <w:r w:rsidRPr="00283806">
        <w:rPr>
          <w:w w:val="105"/>
        </w:rPr>
        <w:t>or after January 1, 2017, whereas the proposal included all existing systems with charge sizes of 1,500 pounds or more. Overall, the refrigerant management provisions help to</w:t>
      </w:r>
      <w:r w:rsidRPr="00283806">
        <w:rPr>
          <w:spacing w:val="80"/>
          <w:w w:val="150"/>
        </w:rPr>
        <w:t xml:space="preserve"> </w:t>
      </w:r>
      <w:r w:rsidRPr="00283806">
        <w:rPr>
          <w:w w:val="105"/>
        </w:rPr>
        <w:t>maintain the health of appliances. This can be crucial for refrigerant-containing appliances</w:t>
      </w:r>
      <w:r w:rsidRPr="00283806">
        <w:rPr>
          <w:spacing w:val="40"/>
          <w:w w:val="105"/>
        </w:rPr>
        <w:t xml:space="preserve"> </w:t>
      </w:r>
      <w:r w:rsidRPr="00283806">
        <w:rPr>
          <w:w w:val="105"/>
        </w:rPr>
        <w:t>in</w:t>
      </w:r>
      <w:r w:rsidRPr="00283806">
        <w:rPr>
          <w:spacing w:val="40"/>
          <w:w w:val="105"/>
        </w:rPr>
        <w:t xml:space="preserve"> </w:t>
      </w:r>
      <w:r w:rsidRPr="00283806">
        <w:rPr>
          <w:w w:val="105"/>
        </w:rPr>
        <w:t>the</w:t>
      </w:r>
      <w:r w:rsidRPr="00283806">
        <w:rPr>
          <w:spacing w:val="40"/>
          <w:w w:val="105"/>
        </w:rPr>
        <w:t xml:space="preserve"> </w:t>
      </w:r>
      <w:r w:rsidRPr="00283806">
        <w:rPr>
          <w:w w:val="105"/>
        </w:rPr>
        <w:t>RACHP</w:t>
      </w:r>
      <w:r w:rsidRPr="00283806">
        <w:rPr>
          <w:spacing w:val="40"/>
          <w:w w:val="105"/>
        </w:rPr>
        <w:t xml:space="preserve"> </w:t>
      </w:r>
      <w:r w:rsidRPr="00283806">
        <w:rPr>
          <w:w w:val="105"/>
        </w:rPr>
        <w:t>subsectors that are relevant to handling food products, such as supermarket systems, where the intended function is to ensure food products are maintained at appropriate temperatures to avoid spoilage and food waste. Successful</w:t>
      </w:r>
      <w:r w:rsidRPr="00283806">
        <w:rPr>
          <w:spacing w:val="40"/>
          <w:w w:val="105"/>
        </w:rPr>
        <w:t xml:space="preserve"> </w:t>
      </w:r>
      <w:r w:rsidRPr="00283806">
        <w:rPr>
          <w:w w:val="105"/>
        </w:rPr>
        <w:t xml:space="preserve">repair of leaks and avoiding leaks are a few ways to help ensure that these appliances </w:t>
      </w:r>
      <w:proofErr w:type="gramStart"/>
      <w:r w:rsidRPr="00283806">
        <w:rPr>
          <w:w w:val="105"/>
        </w:rPr>
        <w:t>are operating</w:t>
      </w:r>
      <w:proofErr w:type="gramEnd"/>
      <w:r w:rsidRPr="00283806">
        <w:rPr>
          <w:w w:val="105"/>
        </w:rPr>
        <w:t xml:space="preserve"> efficiently, as intended, and can help to avoid unnecessary food waste.</w:t>
      </w:r>
    </w:p>
    <w:p w14:paraId="2CEE725E" w14:textId="77777777" w:rsidR="00D67C1E" w:rsidRPr="00283806" w:rsidRDefault="001265CA">
      <w:pPr>
        <w:pStyle w:val="BodyText"/>
        <w:spacing w:line="173" w:lineRule="exact"/>
        <w:ind w:left="325"/>
      </w:pPr>
      <w:r w:rsidRPr="00283806">
        <w:rPr>
          <w:w w:val="105"/>
        </w:rPr>
        <w:t>EPA</w:t>
      </w:r>
      <w:r w:rsidRPr="00283806">
        <w:rPr>
          <w:spacing w:val="13"/>
          <w:w w:val="105"/>
        </w:rPr>
        <w:t xml:space="preserve"> </w:t>
      </w:r>
      <w:r w:rsidRPr="00283806">
        <w:rPr>
          <w:w w:val="105"/>
        </w:rPr>
        <w:t>appreciates</w:t>
      </w:r>
      <w:r w:rsidRPr="00283806">
        <w:rPr>
          <w:spacing w:val="13"/>
          <w:w w:val="105"/>
        </w:rPr>
        <w:t xml:space="preserve"> </w:t>
      </w:r>
      <w:r w:rsidRPr="00283806">
        <w:rPr>
          <w:w w:val="105"/>
        </w:rPr>
        <w:t>concern</w:t>
      </w:r>
      <w:r w:rsidRPr="00283806">
        <w:rPr>
          <w:spacing w:val="13"/>
          <w:w w:val="105"/>
        </w:rPr>
        <w:t xml:space="preserve"> </w:t>
      </w:r>
      <w:r w:rsidRPr="00283806">
        <w:rPr>
          <w:w w:val="105"/>
        </w:rPr>
        <w:t>over</w:t>
      </w:r>
      <w:r w:rsidRPr="00283806">
        <w:rPr>
          <w:spacing w:val="13"/>
          <w:w w:val="105"/>
        </w:rPr>
        <w:t xml:space="preserve"> </w:t>
      </w:r>
      <w:r w:rsidRPr="00283806">
        <w:rPr>
          <w:spacing w:val="-4"/>
          <w:w w:val="105"/>
        </w:rPr>
        <w:t>food</w:t>
      </w:r>
    </w:p>
    <w:p w14:paraId="52A63978" w14:textId="77777777" w:rsidR="00D67C1E" w:rsidRPr="00283806" w:rsidRDefault="001265CA">
      <w:pPr>
        <w:pStyle w:val="BodyText"/>
        <w:spacing w:before="4" w:line="225" w:lineRule="auto"/>
        <w:ind w:left="145" w:right="176"/>
      </w:pPr>
      <w:r w:rsidRPr="00283806">
        <w:rPr>
          <w:w w:val="105"/>
        </w:rPr>
        <w:t>costs; however, with the delayed compliance dates for the reclaim requirements, the Agency anticipates</w:t>
      </w:r>
      <w:r w:rsidRPr="00283806">
        <w:rPr>
          <w:spacing w:val="40"/>
          <w:w w:val="105"/>
        </w:rPr>
        <w:t xml:space="preserve"> </w:t>
      </w:r>
      <w:r w:rsidRPr="00283806">
        <w:rPr>
          <w:w w:val="105"/>
        </w:rPr>
        <w:t>that this will give the market time to adjust to the changes. In the RIA addendum,</w:t>
      </w:r>
      <w:r w:rsidRPr="00283806">
        <w:rPr>
          <w:spacing w:val="35"/>
          <w:w w:val="105"/>
        </w:rPr>
        <w:t xml:space="preserve"> </w:t>
      </w:r>
      <w:r w:rsidRPr="00283806">
        <w:rPr>
          <w:w w:val="105"/>
        </w:rPr>
        <w:t>EPA</w:t>
      </w:r>
      <w:r w:rsidRPr="00283806">
        <w:rPr>
          <w:spacing w:val="35"/>
          <w:w w:val="105"/>
        </w:rPr>
        <w:t xml:space="preserve"> </w:t>
      </w:r>
      <w:r w:rsidRPr="00283806">
        <w:rPr>
          <w:w w:val="105"/>
        </w:rPr>
        <w:t>conservatively</w:t>
      </w:r>
      <w:r w:rsidRPr="00283806">
        <w:rPr>
          <w:spacing w:val="80"/>
          <w:w w:val="105"/>
        </w:rPr>
        <w:t xml:space="preserve"> </w:t>
      </w:r>
      <w:r w:rsidRPr="00283806">
        <w:rPr>
          <w:w w:val="105"/>
        </w:rPr>
        <w:t xml:space="preserve">assumed that reclaimed refrigerant would cost 10 percent more than virgin refrigerant. Based on consideration of a public comment from a reclaimer stating that virgin and reclaimed </w:t>
      </w:r>
      <w:proofErr w:type="gramStart"/>
      <w:r w:rsidRPr="00283806">
        <w:rPr>
          <w:w w:val="105"/>
        </w:rPr>
        <w:t>refrigerant</w:t>
      </w:r>
      <w:proofErr w:type="gramEnd"/>
      <w:r w:rsidRPr="00283806">
        <w:rPr>
          <w:w w:val="105"/>
        </w:rPr>
        <w:t xml:space="preserve"> are the same price, the Agency has also included</w:t>
      </w:r>
      <w:r w:rsidRPr="00283806">
        <w:rPr>
          <w:spacing w:val="40"/>
          <w:w w:val="105"/>
        </w:rPr>
        <w:t xml:space="preserve"> </w:t>
      </w:r>
      <w:r w:rsidRPr="00283806">
        <w:rPr>
          <w:w w:val="105"/>
        </w:rPr>
        <w:t>a</w:t>
      </w:r>
      <w:r w:rsidRPr="00283806">
        <w:rPr>
          <w:spacing w:val="40"/>
          <w:w w:val="105"/>
        </w:rPr>
        <w:t xml:space="preserve"> </w:t>
      </w:r>
      <w:r w:rsidRPr="00283806">
        <w:rPr>
          <w:w w:val="105"/>
        </w:rPr>
        <w:t>sensitivity</w:t>
      </w:r>
      <w:r w:rsidRPr="00283806">
        <w:rPr>
          <w:spacing w:val="40"/>
          <w:w w:val="105"/>
        </w:rPr>
        <w:t xml:space="preserve"> </w:t>
      </w:r>
      <w:r w:rsidRPr="00283806">
        <w:rPr>
          <w:w w:val="105"/>
        </w:rPr>
        <w:t>analysis</w:t>
      </w:r>
      <w:r w:rsidRPr="00283806">
        <w:rPr>
          <w:spacing w:val="40"/>
          <w:w w:val="105"/>
        </w:rPr>
        <w:t xml:space="preserve"> </w:t>
      </w:r>
      <w:r w:rsidRPr="00283806">
        <w:rPr>
          <w:w w:val="105"/>
        </w:rPr>
        <w:t>under that assumption.</w:t>
      </w:r>
    </w:p>
    <w:p w14:paraId="4DF788B5" w14:textId="77777777" w:rsidR="00D67C1E" w:rsidRPr="00283806" w:rsidRDefault="001265CA">
      <w:pPr>
        <w:pStyle w:val="BodyText"/>
        <w:spacing w:line="175" w:lineRule="exact"/>
        <w:ind w:left="325"/>
      </w:pPr>
      <w:r w:rsidRPr="00283806">
        <w:rPr>
          <w:w w:val="105"/>
        </w:rPr>
        <w:t>In</w:t>
      </w:r>
      <w:r w:rsidRPr="00283806">
        <w:rPr>
          <w:spacing w:val="6"/>
          <w:w w:val="105"/>
        </w:rPr>
        <w:t xml:space="preserve"> </w:t>
      </w:r>
      <w:r w:rsidRPr="00283806">
        <w:rPr>
          <w:w w:val="105"/>
        </w:rPr>
        <w:t>response</w:t>
      </w:r>
      <w:r w:rsidRPr="00283806">
        <w:rPr>
          <w:spacing w:val="7"/>
          <w:w w:val="105"/>
        </w:rPr>
        <w:t xml:space="preserve"> </w:t>
      </w:r>
      <w:r w:rsidRPr="00283806">
        <w:rPr>
          <w:w w:val="105"/>
        </w:rPr>
        <w:t>to</w:t>
      </w:r>
      <w:r w:rsidRPr="00283806">
        <w:rPr>
          <w:spacing w:val="7"/>
          <w:w w:val="105"/>
        </w:rPr>
        <w:t xml:space="preserve"> </w:t>
      </w:r>
      <w:r w:rsidRPr="00283806">
        <w:rPr>
          <w:w w:val="105"/>
        </w:rPr>
        <w:t>the</w:t>
      </w:r>
      <w:r w:rsidRPr="00283806">
        <w:rPr>
          <w:spacing w:val="7"/>
          <w:w w:val="105"/>
        </w:rPr>
        <w:t xml:space="preserve"> </w:t>
      </w:r>
      <w:r w:rsidRPr="00283806">
        <w:rPr>
          <w:w w:val="105"/>
        </w:rPr>
        <w:t>comment</w:t>
      </w:r>
      <w:r w:rsidRPr="00283806">
        <w:rPr>
          <w:spacing w:val="6"/>
          <w:w w:val="105"/>
        </w:rPr>
        <w:t xml:space="preserve"> </w:t>
      </w:r>
      <w:r w:rsidRPr="00283806">
        <w:rPr>
          <w:w w:val="105"/>
        </w:rPr>
        <w:t>on</w:t>
      </w:r>
      <w:r w:rsidRPr="00283806">
        <w:rPr>
          <w:spacing w:val="7"/>
          <w:w w:val="105"/>
        </w:rPr>
        <w:t xml:space="preserve"> </w:t>
      </w:r>
      <w:r w:rsidRPr="00283806">
        <w:rPr>
          <w:spacing w:val="-5"/>
          <w:w w:val="105"/>
        </w:rPr>
        <w:t>the</w:t>
      </w:r>
    </w:p>
    <w:p w14:paraId="2C4478F9" w14:textId="77777777" w:rsidR="00D67C1E" w:rsidRPr="00283806" w:rsidRDefault="001265CA">
      <w:pPr>
        <w:pStyle w:val="BodyText"/>
        <w:spacing w:before="4" w:line="225" w:lineRule="auto"/>
        <w:ind w:left="145" w:right="123"/>
      </w:pPr>
      <w:r w:rsidRPr="00283806">
        <w:rPr>
          <w:w w:val="105"/>
        </w:rPr>
        <w:t>baking sector, the commenter did not provide sufficient information to</w:t>
      </w:r>
      <w:r w:rsidRPr="00283806">
        <w:rPr>
          <w:spacing w:val="80"/>
          <w:w w:val="150"/>
        </w:rPr>
        <w:t xml:space="preserve"> </w:t>
      </w:r>
      <w:r w:rsidRPr="00283806">
        <w:rPr>
          <w:w w:val="105"/>
        </w:rPr>
        <w:t>support their claims or analyze the specific details of their assertion that the ‘‘rule will contribute to increased food prices and basket of goods impacts, generally.’’ Nor is EPA aware of such information or analyses in the record for this</w:t>
      </w:r>
      <w:r w:rsidRPr="00283806">
        <w:rPr>
          <w:spacing w:val="40"/>
          <w:w w:val="105"/>
        </w:rPr>
        <w:t xml:space="preserve"> </w:t>
      </w:r>
      <w:r w:rsidRPr="00283806">
        <w:rPr>
          <w:w w:val="105"/>
        </w:rPr>
        <w:t>rule.</w:t>
      </w:r>
      <w:r w:rsidRPr="00283806">
        <w:rPr>
          <w:spacing w:val="40"/>
          <w:w w:val="105"/>
        </w:rPr>
        <w:t xml:space="preserve"> </w:t>
      </w:r>
      <w:r w:rsidRPr="00283806">
        <w:rPr>
          <w:w w:val="105"/>
        </w:rPr>
        <w:t>EPA</w:t>
      </w:r>
      <w:r w:rsidRPr="00283806">
        <w:rPr>
          <w:spacing w:val="40"/>
          <w:w w:val="105"/>
        </w:rPr>
        <w:t xml:space="preserve"> </w:t>
      </w:r>
      <w:r w:rsidRPr="00283806">
        <w:rPr>
          <w:w w:val="105"/>
        </w:rPr>
        <w:t>estimated</w:t>
      </w:r>
      <w:r w:rsidRPr="00283806">
        <w:rPr>
          <w:spacing w:val="40"/>
          <w:w w:val="105"/>
        </w:rPr>
        <w:t xml:space="preserve"> </w:t>
      </w:r>
      <w:r w:rsidRPr="00283806">
        <w:rPr>
          <w:w w:val="105"/>
        </w:rPr>
        <w:t>the</w:t>
      </w:r>
      <w:r w:rsidRPr="00283806">
        <w:rPr>
          <w:spacing w:val="40"/>
          <w:w w:val="105"/>
        </w:rPr>
        <w:t xml:space="preserve"> </w:t>
      </w:r>
      <w:r w:rsidRPr="00283806">
        <w:rPr>
          <w:w w:val="105"/>
        </w:rPr>
        <w:t>overall costs and benefits of the rule in the RIA addendum</w:t>
      </w:r>
      <w:r w:rsidRPr="00283806">
        <w:rPr>
          <w:spacing w:val="40"/>
          <w:w w:val="105"/>
        </w:rPr>
        <w:t xml:space="preserve"> </w:t>
      </w:r>
      <w:r w:rsidRPr="00283806">
        <w:rPr>
          <w:w w:val="105"/>
        </w:rPr>
        <w:t>and</w:t>
      </w:r>
      <w:r w:rsidRPr="00283806">
        <w:rPr>
          <w:spacing w:val="40"/>
          <w:w w:val="105"/>
        </w:rPr>
        <w:t xml:space="preserve"> </w:t>
      </w:r>
      <w:r w:rsidRPr="00283806">
        <w:rPr>
          <w:w w:val="105"/>
        </w:rPr>
        <w:t>the</w:t>
      </w:r>
      <w:r w:rsidRPr="00283806">
        <w:rPr>
          <w:spacing w:val="40"/>
          <w:w w:val="105"/>
        </w:rPr>
        <w:t xml:space="preserve"> </w:t>
      </w:r>
      <w:r w:rsidRPr="00283806">
        <w:rPr>
          <w:w w:val="105"/>
        </w:rPr>
        <w:t>Economic</w:t>
      </w:r>
      <w:r w:rsidRPr="00283806">
        <w:rPr>
          <w:spacing w:val="40"/>
          <w:w w:val="105"/>
        </w:rPr>
        <w:t xml:space="preserve"> </w:t>
      </w:r>
      <w:r w:rsidRPr="00283806">
        <w:rPr>
          <w:w w:val="105"/>
        </w:rPr>
        <w:t>Impact and Benefits TSD, and to the extent the baking sector is affected by the rule,</w:t>
      </w:r>
      <w:r w:rsidRPr="00283806">
        <w:rPr>
          <w:spacing w:val="40"/>
          <w:w w:val="105"/>
        </w:rPr>
        <w:t xml:space="preserve"> </w:t>
      </w:r>
      <w:r w:rsidRPr="00283806">
        <w:rPr>
          <w:w w:val="105"/>
        </w:rPr>
        <w:t>those estimates include those costs and benefits that will be directed towards</w:t>
      </w:r>
      <w:r w:rsidRPr="00283806">
        <w:rPr>
          <w:spacing w:val="40"/>
          <w:w w:val="105"/>
        </w:rPr>
        <w:t xml:space="preserve"> </w:t>
      </w:r>
      <w:r w:rsidRPr="00283806">
        <w:rPr>
          <w:w w:val="105"/>
        </w:rPr>
        <w:t>that sector. Evaluation of ‘‘other inflationary pressures,’’ including the commenters’ assertions of such impacts from the Renewable Fuel Standard, is outside of the scope of this rulemaking and so is not included in the RIA addendum or the Economic Impact and Benefits TSD. Moreover, the commenter has not provided any information to indicate that such inflationary pressures would</w:t>
      </w:r>
      <w:r w:rsidRPr="00283806">
        <w:rPr>
          <w:spacing w:val="40"/>
          <w:w w:val="105"/>
        </w:rPr>
        <w:t xml:space="preserve"> </w:t>
      </w:r>
      <w:r w:rsidRPr="00283806">
        <w:rPr>
          <w:w w:val="105"/>
        </w:rPr>
        <w:t>affect</w:t>
      </w:r>
      <w:r w:rsidRPr="00283806">
        <w:rPr>
          <w:spacing w:val="40"/>
          <w:w w:val="105"/>
        </w:rPr>
        <w:t xml:space="preserve"> </w:t>
      </w:r>
      <w:r w:rsidRPr="00283806">
        <w:rPr>
          <w:w w:val="105"/>
        </w:rPr>
        <w:t>this</w:t>
      </w:r>
      <w:r w:rsidRPr="00283806">
        <w:rPr>
          <w:spacing w:val="40"/>
          <w:w w:val="105"/>
        </w:rPr>
        <w:t xml:space="preserve"> </w:t>
      </w:r>
      <w:r w:rsidRPr="00283806">
        <w:rPr>
          <w:w w:val="105"/>
        </w:rPr>
        <w:t>rule</w:t>
      </w:r>
      <w:r w:rsidRPr="00283806">
        <w:rPr>
          <w:spacing w:val="40"/>
          <w:w w:val="105"/>
        </w:rPr>
        <w:t xml:space="preserve"> </w:t>
      </w:r>
      <w:r w:rsidRPr="00283806">
        <w:rPr>
          <w:w w:val="105"/>
        </w:rPr>
        <w:t>differently</w:t>
      </w:r>
      <w:r w:rsidRPr="00283806">
        <w:rPr>
          <w:spacing w:val="40"/>
          <w:w w:val="105"/>
        </w:rPr>
        <w:t xml:space="preserve"> </w:t>
      </w:r>
      <w:r w:rsidRPr="00283806">
        <w:rPr>
          <w:w w:val="105"/>
        </w:rPr>
        <w:t>than the baseline scenarios.</w:t>
      </w:r>
    </w:p>
    <w:p w14:paraId="59E1AD8A" w14:textId="77777777" w:rsidR="00D67C1E" w:rsidRPr="00283806" w:rsidRDefault="001265CA">
      <w:pPr>
        <w:pStyle w:val="Heading3"/>
        <w:numPr>
          <w:ilvl w:val="0"/>
          <w:numId w:val="64"/>
        </w:numPr>
        <w:tabs>
          <w:tab w:val="left" w:pos="514"/>
        </w:tabs>
        <w:spacing w:before="122" w:line="220" w:lineRule="auto"/>
        <w:ind w:left="145" w:right="1091" w:firstLine="0"/>
        <w:rPr>
          <w:rFonts w:ascii="Book Antiqua"/>
        </w:rPr>
      </w:pPr>
      <w:r w:rsidRPr="00283806">
        <w:rPr>
          <w:rFonts w:ascii="Book Antiqua"/>
        </w:rPr>
        <w:t>How</w:t>
      </w:r>
      <w:r w:rsidRPr="00283806">
        <w:rPr>
          <w:rFonts w:ascii="Book Antiqua"/>
          <w:spacing w:val="-9"/>
        </w:rPr>
        <w:t xml:space="preserve"> </w:t>
      </w:r>
      <w:r w:rsidRPr="00283806">
        <w:rPr>
          <w:rFonts w:ascii="Book Antiqua"/>
        </w:rPr>
        <w:t>is</w:t>
      </w:r>
      <w:r w:rsidRPr="00283806">
        <w:rPr>
          <w:rFonts w:ascii="Book Antiqua"/>
          <w:spacing w:val="-9"/>
        </w:rPr>
        <w:t xml:space="preserve"> </w:t>
      </w:r>
      <w:r w:rsidRPr="00283806">
        <w:rPr>
          <w:rFonts w:ascii="Book Antiqua"/>
        </w:rPr>
        <w:t>EPA</w:t>
      </w:r>
      <w:r w:rsidRPr="00283806">
        <w:rPr>
          <w:rFonts w:ascii="Book Antiqua"/>
          <w:spacing w:val="-9"/>
        </w:rPr>
        <w:t xml:space="preserve"> </w:t>
      </w:r>
      <w:r w:rsidRPr="00283806">
        <w:rPr>
          <w:rFonts w:ascii="Book Antiqua"/>
        </w:rPr>
        <w:t>considering environmental justice?</w:t>
      </w:r>
    </w:p>
    <w:p w14:paraId="41CB731B" w14:textId="77777777" w:rsidR="00D67C1E" w:rsidRPr="00283806" w:rsidRDefault="001265CA">
      <w:pPr>
        <w:pStyle w:val="BodyText"/>
        <w:spacing w:before="58" w:line="228" w:lineRule="auto"/>
        <w:ind w:left="145" w:right="171" w:firstLine="180"/>
      </w:pPr>
      <w:r w:rsidRPr="00283806">
        <w:rPr>
          <w:w w:val="105"/>
        </w:rPr>
        <w:t>As part of the RIA addendum for the final rulemaking, EPA updated the environmental justice analysis that was previously</w:t>
      </w:r>
      <w:r w:rsidRPr="00283806">
        <w:rPr>
          <w:spacing w:val="14"/>
          <w:w w:val="105"/>
        </w:rPr>
        <w:t xml:space="preserve"> </w:t>
      </w:r>
      <w:r w:rsidRPr="00283806">
        <w:rPr>
          <w:w w:val="105"/>
        </w:rPr>
        <w:t>conducted</w:t>
      </w:r>
      <w:r w:rsidRPr="00283806">
        <w:rPr>
          <w:spacing w:val="15"/>
          <w:w w:val="105"/>
        </w:rPr>
        <w:t xml:space="preserve"> </w:t>
      </w:r>
      <w:r w:rsidRPr="00283806">
        <w:rPr>
          <w:w w:val="105"/>
        </w:rPr>
        <w:t>for</w:t>
      </w:r>
      <w:r w:rsidRPr="00283806">
        <w:rPr>
          <w:spacing w:val="15"/>
          <w:w w:val="105"/>
        </w:rPr>
        <w:t xml:space="preserve"> </w:t>
      </w:r>
      <w:r w:rsidRPr="00283806">
        <w:rPr>
          <w:w w:val="105"/>
        </w:rPr>
        <w:t>the</w:t>
      </w:r>
      <w:r w:rsidRPr="00283806">
        <w:rPr>
          <w:spacing w:val="15"/>
          <w:w w:val="105"/>
        </w:rPr>
        <w:t xml:space="preserve"> </w:t>
      </w:r>
      <w:r w:rsidRPr="00283806">
        <w:rPr>
          <w:spacing w:val="-2"/>
          <w:w w:val="105"/>
        </w:rPr>
        <w:t>proposed</w:t>
      </w:r>
    </w:p>
    <w:p w14:paraId="350BA2D5"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6" w:space="40"/>
            <w:col w:w="3500" w:space="39"/>
            <w:col w:w="3625"/>
          </w:cols>
        </w:sectPr>
      </w:pPr>
    </w:p>
    <w:p w14:paraId="1A729EEC" w14:textId="77777777" w:rsidR="00D67C1E" w:rsidRPr="00283806" w:rsidRDefault="001265CA">
      <w:pPr>
        <w:pStyle w:val="BodyText"/>
        <w:spacing w:before="136" w:line="225" w:lineRule="auto"/>
        <w:ind w:right="71"/>
      </w:pPr>
      <w:r w:rsidRPr="00283806">
        <w:rPr>
          <w:w w:val="105"/>
        </w:rPr>
        <w:lastRenderedPageBreak/>
        <w:t>rule. The updated environmental justice analysis utilized the same analytical approach used previously, along with</w:t>
      </w:r>
      <w:r w:rsidRPr="00283806">
        <w:rPr>
          <w:spacing w:val="80"/>
          <w:w w:val="105"/>
        </w:rPr>
        <w:t xml:space="preserve"> </w:t>
      </w:r>
      <w:r w:rsidRPr="00283806">
        <w:rPr>
          <w:w w:val="105"/>
        </w:rPr>
        <w:t>the addition of more reclamation facilities identified since publication of the proposed rule.</w:t>
      </w:r>
    </w:p>
    <w:p w14:paraId="3A477989" w14:textId="77777777" w:rsidR="00D67C1E" w:rsidRPr="00283806" w:rsidRDefault="001265CA">
      <w:pPr>
        <w:pStyle w:val="BodyText"/>
        <w:spacing w:line="178" w:lineRule="exact"/>
        <w:ind w:left="340"/>
      </w:pPr>
      <w:r w:rsidRPr="00283806">
        <w:t>Executive</w:t>
      </w:r>
      <w:r w:rsidRPr="00283806">
        <w:rPr>
          <w:spacing w:val="41"/>
        </w:rPr>
        <w:t xml:space="preserve"> </w:t>
      </w:r>
      <w:r w:rsidRPr="00283806">
        <w:t>Order</w:t>
      </w:r>
      <w:r w:rsidRPr="00283806">
        <w:rPr>
          <w:spacing w:val="41"/>
        </w:rPr>
        <w:t xml:space="preserve"> </w:t>
      </w:r>
      <w:r w:rsidRPr="00283806">
        <w:t>14096,</w:t>
      </w:r>
      <w:r w:rsidRPr="00283806">
        <w:rPr>
          <w:spacing w:val="41"/>
        </w:rPr>
        <w:t xml:space="preserve"> </w:t>
      </w:r>
      <w:r w:rsidRPr="00283806">
        <w:t>signed</w:t>
      </w:r>
      <w:r w:rsidRPr="00283806">
        <w:rPr>
          <w:spacing w:val="41"/>
        </w:rPr>
        <w:t xml:space="preserve"> </w:t>
      </w:r>
      <w:r w:rsidRPr="00283806">
        <w:rPr>
          <w:spacing w:val="-2"/>
        </w:rPr>
        <w:t>April</w:t>
      </w:r>
    </w:p>
    <w:p w14:paraId="630E4047" w14:textId="77777777" w:rsidR="00D67C1E" w:rsidRPr="00283806" w:rsidRDefault="001265CA">
      <w:pPr>
        <w:pStyle w:val="BodyText"/>
        <w:spacing w:before="4" w:line="225" w:lineRule="auto"/>
      </w:pPr>
      <w:r w:rsidRPr="00283806">
        <w:rPr>
          <w:w w:val="105"/>
        </w:rPr>
        <w:t>21, 2023, builds on the prior executive orders</w:t>
      </w:r>
      <w:r w:rsidRPr="00283806">
        <w:rPr>
          <w:spacing w:val="-1"/>
          <w:w w:val="105"/>
        </w:rPr>
        <w:t xml:space="preserve"> </w:t>
      </w:r>
      <w:r w:rsidRPr="00283806">
        <w:rPr>
          <w:w w:val="105"/>
        </w:rPr>
        <w:t>to</w:t>
      </w:r>
      <w:r w:rsidRPr="00283806">
        <w:rPr>
          <w:spacing w:val="-1"/>
          <w:w w:val="105"/>
        </w:rPr>
        <w:t xml:space="preserve"> </w:t>
      </w:r>
      <w:r w:rsidRPr="00283806">
        <w:rPr>
          <w:w w:val="105"/>
        </w:rPr>
        <w:t>further</w:t>
      </w:r>
      <w:r w:rsidRPr="00283806">
        <w:rPr>
          <w:spacing w:val="-1"/>
          <w:w w:val="105"/>
        </w:rPr>
        <w:t xml:space="preserve"> </w:t>
      </w:r>
      <w:r w:rsidRPr="00283806">
        <w:rPr>
          <w:w w:val="105"/>
        </w:rPr>
        <w:t>advance</w:t>
      </w:r>
      <w:r w:rsidRPr="00283806">
        <w:rPr>
          <w:spacing w:val="-1"/>
          <w:w w:val="105"/>
        </w:rPr>
        <w:t xml:space="preserve"> </w:t>
      </w:r>
      <w:r w:rsidRPr="00283806">
        <w:rPr>
          <w:w w:val="105"/>
        </w:rPr>
        <w:t>environmental justice (88 FR 25251), including</w:t>
      </w:r>
    </w:p>
    <w:p w14:paraId="34C4D6E2" w14:textId="77777777" w:rsidR="00D67C1E" w:rsidRPr="00283806" w:rsidRDefault="001265CA">
      <w:pPr>
        <w:pStyle w:val="BodyText"/>
        <w:spacing w:line="193" w:lineRule="exact"/>
      </w:pPr>
      <w:r w:rsidRPr="00283806">
        <w:rPr>
          <w:w w:val="105"/>
        </w:rPr>
        <w:t>Executive</w:t>
      </w:r>
      <w:r w:rsidRPr="00283806">
        <w:rPr>
          <w:spacing w:val="4"/>
          <w:w w:val="105"/>
        </w:rPr>
        <w:t xml:space="preserve"> </w:t>
      </w:r>
      <w:r w:rsidRPr="00283806">
        <w:rPr>
          <w:w w:val="105"/>
        </w:rPr>
        <w:t>Order</w:t>
      </w:r>
      <w:r w:rsidRPr="00283806">
        <w:rPr>
          <w:spacing w:val="4"/>
          <w:w w:val="105"/>
        </w:rPr>
        <w:t xml:space="preserve"> </w:t>
      </w:r>
      <w:r w:rsidRPr="00283806">
        <w:rPr>
          <w:w w:val="105"/>
        </w:rPr>
        <w:t>12898</w:t>
      </w:r>
      <w:r w:rsidRPr="00283806">
        <w:rPr>
          <w:spacing w:val="4"/>
          <w:w w:val="105"/>
        </w:rPr>
        <w:t xml:space="preserve"> </w:t>
      </w:r>
      <w:r w:rsidRPr="00283806">
        <w:rPr>
          <w:w w:val="105"/>
        </w:rPr>
        <w:t>(59</w:t>
      </w:r>
      <w:r w:rsidRPr="00283806">
        <w:rPr>
          <w:spacing w:val="5"/>
          <w:w w:val="105"/>
        </w:rPr>
        <w:t xml:space="preserve"> </w:t>
      </w:r>
      <w:r w:rsidRPr="00283806">
        <w:rPr>
          <w:w w:val="105"/>
        </w:rPr>
        <w:t>FR</w:t>
      </w:r>
      <w:r w:rsidRPr="00283806">
        <w:rPr>
          <w:spacing w:val="4"/>
          <w:w w:val="105"/>
        </w:rPr>
        <w:t xml:space="preserve"> </w:t>
      </w:r>
      <w:r w:rsidRPr="00283806">
        <w:rPr>
          <w:spacing w:val="-2"/>
          <w:w w:val="105"/>
        </w:rPr>
        <w:t>7629,</w:t>
      </w:r>
    </w:p>
    <w:p w14:paraId="7E7475F0" w14:textId="77777777" w:rsidR="00D67C1E" w:rsidRPr="00283806" w:rsidRDefault="001265CA">
      <w:pPr>
        <w:pStyle w:val="BodyText"/>
        <w:spacing w:line="198" w:lineRule="exact"/>
      </w:pPr>
      <w:r w:rsidRPr="00283806">
        <w:rPr>
          <w:w w:val="105"/>
        </w:rPr>
        <w:t>February</w:t>
      </w:r>
      <w:r w:rsidRPr="00283806">
        <w:rPr>
          <w:spacing w:val="4"/>
          <w:w w:val="105"/>
        </w:rPr>
        <w:t xml:space="preserve"> </w:t>
      </w:r>
      <w:r w:rsidRPr="00283806">
        <w:rPr>
          <w:w w:val="105"/>
        </w:rPr>
        <w:t>16,</w:t>
      </w:r>
      <w:r w:rsidRPr="00283806">
        <w:rPr>
          <w:spacing w:val="5"/>
          <w:w w:val="105"/>
        </w:rPr>
        <w:t xml:space="preserve"> </w:t>
      </w:r>
      <w:r w:rsidRPr="00283806">
        <w:rPr>
          <w:w w:val="105"/>
        </w:rPr>
        <w:t>1994)</w:t>
      </w:r>
      <w:r w:rsidRPr="00283806">
        <w:rPr>
          <w:spacing w:val="5"/>
          <w:w w:val="105"/>
        </w:rPr>
        <w:t xml:space="preserve"> </w:t>
      </w:r>
      <w:r w:rsidRPr="00283806">
        <w:rPr>
          <w:w w:val="105"/>
        </w:rPr>
        <w:t>and</w:t>
      </w:r>
      <w:r w:rsidRPr="00283806">
        <w:rPr>
          <w:spacing w:val="4"/>
          <w:w w:val="105"/>
        </w:rPr>
        <w:t xml:space="preserve"> </w:t>
      </w:r>
      <w:r w:rsidRPr="00283806">
        <w:rPr>
          <w:w w:val="105"/>
        </w:rPr>
        <w:t>Executive</w:t>
      </w:r>
      <w:r w:rsidRPr="00283806">
        <w:rPr>
          <w:spacing w:val="5"/>
          <w:w w:val="105"/>
        </w:rPr>
        <w:t xml:space="preserve"> </w:t>
      </w:r>
      <w:r w:rsidRPr="00283806">
        <w:rPr>
          <w:spacing w:val="-2"/>
          <w:w w:val="105"/>
        </w:rPr>
        <w:t>Order</w:t>
      </w:r>
    </w:p>
    <w:p w14:paraId="54DD7039" w14:textId="77777777" w:rsidR="00D67C1E" w:rsidRPr="00283806" w:rsidRDefault="001265CA">
      <w:pPr>
        <w:pStyle w:val="BodyText"/>
        <w:spacing w:line="198" w:lineRule="exact"/>
      </w:pPr>
      <w:r w:rsidRPr="00283806">
        <w:rPr>
          <w:w w:val="105"/>
        </w:rPr>
        <w:t>14008</w:t>
      </w:r>
      <w:r w:rsidRPr="00283806">
        <w:rPr>
          <w:spacing w:val="-1"/>
          <w:w w:val="105"/>
        </w:rPr>
        <w:t xml:space="preserve"> </w:t>
      </w:r>
      <w:r w:rsidRPr="00283806">
        <w:rPr>
          <w:w w:val="105"/>
        </w:rPr>
        <w:t>(86 FR</w:t>
      </w:r>
      <w:r w:rsidRPr="00283806">
        <w:rPr>
          <w:spacing w:val="-1"/>
          <w:w w:val="105"/>
        </w:rPr>
        <w:t xml:space="preserve"> </w:t>
      </w:r>
      <w:r w:rsidRPr="00283806">
        <w:rPr>
          <w:w w:val="105"/>
        </w:rPr>
        <w:t>7619, January</w:t>
      </w:r>
      <w:r w:rsidRPr="00283806">
        <w:rPr>
          <w:spacing w:val="-1"/>
          <w:w w:val="105"/>
        </w:rPr>
        <w:t xml:space="preserve"> </w:t>
      </w:r>
      <w:r w:rsidRPr="00283806">
        <w:rPr>
          <w:w w:val="105"/>
        </w:rPr>
        <w:t xml:space="preserve">27, </w:t>
      </w:r>
      <w:r w:rsidRPr="00283806">
        <w:rPr>
          <w:spacing w:val="-2"/>
          <w:w w:val="105"/>
        </w:rPr>
        <w:t>2021)</w:t>
      </w:r>
    </w:p>
    <w:p w14:paraId="4E27143F" w14:textId="77777777" w:rsidR="00D67C1E" w:rsidRPr="00283806" w:rsidRDefault="001265CA">
      <w:pPr>
        <w:pStyle w:val="BodyText"/>
        <w:spacing w:before="3" w:line="225" w:lineRule="auto"/>
        <w:ind w:right="98"/>
      </w:pPr>
      <w:r w:rsidRPr="00283806">
        <w:rPr>
          <w:spacing w:val="-2"/>
          <w:w w:val="110"/>
        </w:rPr>
        <w:t>which</w:t>
      </w:r>
      <w:r w:rsidRPr="00283806">
        <w:rPr>
          <w:spacing w:val="-6"/>
          <w:w w:val="110"/>
        </w:rPr>
        <w:t xml:space="preserve"> </w:t>
      </w:r>
      <w:proofErr w:type="gramStart"/>
      <w:r w:rsidRPr="00283806">
        <w:rPr>
          <w:spacing w:val="-2"/>
          <w:w w:val="110"/>
        </w:rPr>
        <w:t>establish</w:t>
      </w:r>
      <w:proofErr w:type="gramEnd"/>
      <w:r w:rsidRPr="00283806">
        <w:rPr>
          <w:spacing w:val="-6"/>
          <w:w w:val="110"/>
        </w:rPr>
        <w:t xml:space="preserve"> </w:t>
      </w:r>
      <w:proofErr w:type="gramStart"/>
      <w:r w:rsidRPr="00283806">
        <w:rPr>
          <w:spacing w:val="-2"/>
          <w:w w:val="110"/>
        </w:rPr>
        <w:t>Federal</w:t>
      </w:r>
      <w:proofErr w:type="gramEnd"/>
      <w:r w:rsidRPr="00283806">
        <w:rPr>
          <w:spacing w:val="-6"/>
          <w:w w:val="110"/>
        </w:rPr>
        <w:t xml:space="preserve"> </w:t>
      </w:r>
      <w:r w:rsidRPr="00283806">
        <w:rPr>
          <w:spacing w:val="-2"/>
          <w:w w:val="110"/>
        </w:rPr>
        <w:t xml:space="preserve">executive </w:t>
      </w:r>
      <w:r w:rsidRPr="00283806">
        <w:rPr>
          <w:w w:val="110"/>
        </w:rPr>
        <w:t>policy on environmental justice.</w:t>
      </w:r>
    </w:p>
    <w:p w14:paraId="4C40910C" w14:textId="77777777" w:rsidR="00D67C1E" w:rsidRPr="00283806" w:rsidRDefault="001265CA">
      <w:pPr>
        <w:pStyle w:val="BodyText"/>
        <w:spacing w:line="180" w:lineRule="exact"/>
        <w:ind w:left="340"/>
      </w:pPr>
      <w:r w:rsidRPr="00283806">
        <w:rPr>
          <w:w w:val="110"/>
        </w:rPr>
        <w:t>EPA</w:t>
      </w:r>
      <w:r w:rsidRPr="00283806">
        <w:rPr>
          <w:spacing w:val="-5"/>
          <w:w w:val="110"/>
        </w:rPr>
        <w:t xml:space="preserve"> </w:t>
      </w:r>
      <w:r w:rsidRPr="00283806">
        <w:rPr>
          <w:w w:val="110"/>
        </w:rPr>
        <w:t>defines</w:t>
      </w:r>
      <w:r w:rsidRPr="00283806">
        <w:rPr>
          <w:spacing w:val="-14"/>
          <w:w w:val="110"/>
        </w:rPr>
        <w:t xml:space="preserve"> </w:t>
      </w:r>
      <w:r w:rsidRPr="00283806">
        <w:rPr>
          <w:w w:val="110"/>
          <w:position w:val="5"/>
          <w:sz w:val="11"/>
        </w:rPr>
        <w:t>190</w:t>
      </w:r>
      <w:r w:rsidRPr="00283806">
        <w:rPr>
          <w:spacing w:val="16"/>
          <w:w w:val="110"/>
          <w:position w:val="5"/>
          <w:sz w:val="11"/>
        </w:rPr>
        <w:t xml:space="preserve"> </w:t>
      </w:r>
      <w:r w:rsidRPr="00283806">
        <w:rPr>
          <w:w w:val="110"/>
        </w:rPr>
        <w:t>environmental</w:t>
      </w:r>
      <w:r w:rsidRPr="00283806">
        <w:rPr>
          <w:spacing w:val="-1"/>
          <w:w w:val="110"/>
        </w:rPr>
        <w:t xml:space="preserve"> </w:t>
      </w:r>
      <w:proofErr w:type="gramStart"/>
      <w:r w:rsidRPr="00283806">
        <w:rPr>
          <w:spacing w:val="-2"/>
          <w:w w:val="110"/>
        </w:rPr>
        <w:t>justice</w:t>
      </w:r>
      <w:proofErr w:type="gramEnd"/>
    </w:p>
    <w:p w14:paraId="6409633B" w14:textId="77777777" w:rsidR="00D67C1E" w:rsidRPr="00283806" w:rsidRDefault="001265CA">
      <w:pPr>
        <w:pStyle w:val="BodyText"/>
        <w:spacing w:line="225" w:lineRule="auto"/>
        <w:ind w:left="159"/>
      </w:pPr>
      <w:r w:rsidRPr="00283806">
        <w:rPr>
          <w:w w:val="105"/>
        </w:rPr>
        <w:t>as the ‘‘just treatment and meaningful involvement of all people, regardless of income, race, color, national origin,</w:t>
      </w:r>
      <w:r w:rsidRPr="00283806">
        <w:rPr>
          <w:spacing w:val="40"/>
          <w:w w:val="105"/>
        </w:rPr>
        <w:t xml:space="preserve"> </w:t>
      </w:r>
      <w:r w:rsidRPr="00283806">
        <w:rPr>
          <w:w w:val="105"/>
        </w:rPr>
        <w:t>Tribal affiliation, or disability, in agency decision-making and other Federal activities that affect human health and</w:t>
      </w:r>
      <w:r w:rsidRPr="00283806">
        <w:rPr>
          <w:spacing w:val="40"/>
          <w:w w:val="105"/>
        </w:rPr>
        <w:t xml:space="preserve"> </w:t>
      </w:r>
      <w:r w:rsidRPr="00283806">
        <w:rPr>
          <w:w w:val="105"/>
        </w:rPr>
        <w:t>the environment so that people: (i) Are fully protected from disproportionate</w:t>
      </w:r>
      <w:r w:rsidRPr="00283806">
        <w:rPr>
          <w:spacing w:val="40"/>
          <w:w w:val="105"/>
        </w:rPr>
        <w:t xml:space="preserve"> </w:t>
      </w:r>
      <w:r w:rsidRPr="00283806">
        <w:rPr>
          <w:w w:val="105"/>
        </w:rPr>
        <w:t>and adverse human health and environmental effects (including risks) and hazards, including those related to climate change, the cumulative impacts</w:t>
      </w:r>
      <w:r w:rsidRPr="00283806">
        <w:rPr>
          <w:spacing w:val="40"/>
          <w:w w:val="105"/>
        </w:rPr>
        <w:t xml:space="preserve"> </w:t>
      </w:r>
      <w:r w:rsidRPr="00283806">
        <w:rPr>
          <w:w w:val="105"/>
        </w:rPr>
        <w:t>of environmental and other burdens,</w:t>
      </w:r>
      <w:r w:rsidRPr="00283806">
        <w:rPr>
          <w:spacing w:val="80"/>
          <w:w w:val="105"/>
        </w:rPr>
        <w:t xml:space="preserve"> </w:t>
      </w:r>
      <w:r w:rsidRPr="00283806">
        <w:rPr>
          <w:w w:val="105"/>
        </w:rPr>
        <w:t>and the legacy of racism or other structural or systemic barriers; and (ii) have equitable access to a healthy, sustainable, and resilient environment</w:t>
      </w:r>
      <w:r w:rsidRPr="00283806">
        <w:rPr>
          <w:spacing w:val="80"/>
          <w:w w:val="150"/>
        </w:rPr>
        <w:t xml:space="preserve"> </w:t>
      </w:r>
      <w:r w:rsidRPr="00283806">
        <w:rPr>
          <w:w w:val="105"/>
        </w:rPr>
        <w:t>in</w:t>
      </w:r>
      <w:r w:rsidRPr="00283806">
        <w:rPr>
          <w:spacing w:val="40"/>
          <w:w w:val="105"/>
        </w:rPr>
        <w:t xml:space="preserve"> </w:t>
      </w:r>
      <w:r w:rsidRPr="00283806">
        <w:rPr>
          <w:w w:val="105"/>
        </w:rPr>
        <w:t>which</w:t>
      </w:r>
      <w:r w:rsidRPr="00283806">
        <w:rPr>
          <w:spacing w:val="40"/>
          <w:w w:val="105"/>
        </w:rPr>
        <w:t xml:space="preserve"> </w:t>
      </w:r>
      <w:r w:rsidRPr="00283806">
        <w:rPr>
          <w:w w:val="105"/>
        </w:rPr>
        <w:t>to</w:t>
      </w:r>
      <w:r w:rsidRPr="00283806">
        <w:rPr>
          <w:spacing w:val="40"/>
          <w:w w:val="105"/>
        </w:rPr>
        <w:t xml:space="preserve"> </w:t>
      </w:r>
      <w:r w:rsidRPr="00283806">
        <w:rPr>
          <w:w w:val="105"/>
        </w:rPr>
        <w:t>live,</w:t>
      </w:r>
      <w:r w:rsidRPr="00283806">
        <w:rPr>
          <w:spacing w:val="40"/>
          <w:w w:val="105"/>
        </w:rPr>
        <w:t xml:space="preserve"> </w:t>
      </w:r>
      <w:r w:rsidRPr="00283806">
        <w:rPr>
          <w:w w:val="105"/>
        </w:rPr>
        <w:t>play,</w:t>
      </w:r>
      <w:r w:rsidRPr="00283806">
        <w:rPr>
          <w:spacing w:val="40"/>
          <w:w w:val="105"/>
        </w:rPr>
        <w:t xml:space="preserve"> </w:t>
      </w:r>
      <w:r w:rsidRPr="00283806">
        <w:rPr>
          <w:w w:val="105"/>
        </w:rPr>
        <w:t>work,</w:t>
      </w:r>
      <w:r w:rsidRPr="00283806">
        <w:rPr>
          <w:spacing w:val="40"/>
          <w:w w:val="105"/>
        </w:rPr>
        <w:t xml:space="preserve"> </w:t>
      </w:r>
      <w:r w:rsidRPr="00283806">
        <w:rPr>
          <w:w w:val="105"/>
        </w:rPr>
        <w:t>learn, grow, worship, and engage in cultural</w:t>
      </w:r>
      <w:r w:rsidRPr="00283806">
        <w:rPr>
          <w:spacing w:val="40"/>
          <w:w w:val="105"/>
        </w:rPr>
        <w:t xml:space="preserve"> </w:t>
      </w:r>
      <w:r w:rsidRPr="00283806">
        <w:rPr>
          <w:w w:val="105"/>
        </w:rPr>
        <w:t xml:space="preserve">and subsistence practices.’’ </w:t>
      </w:r>
      <w:r w:rsidRPr="00283806">
        <w:rPr>
          <w:w w:val="105"/>
          <w:position w:val="5"/>
          <w:sz w:val="11"/>
        </w:rPr>
        <w:t>191</w:t>
      </w:r>
      <w:r w:rsidRPr="00283806">
        <w:rPr>
          <w:spacing w:val="40"/>
          <w:w w:val="105"/>
          <w:position w:val="5"/>
          <w:sz w:val="11"/>
        </w:rPr>
        <w:t xml:space="preserve"> </w:t>
      </w:r>
      <w:r w:rsidRPr="00283806">
        <w:rPr>
          <w:w w:val="105"/>
        </w:rPr>
        <w:t>Meaningful involvement means that: (1) Potentially affected populations have an appropriate opportunity to participate</w:t>
      </w:r>
      <w:r w:rsidRPr="00283806">
        <w:rPr>
          <w:spacing w:val="80"/>
          <w:w w:val="105"/>
        </w:rPr>
        <w:t xml:space="preserve"> </w:t>
      </w:r>
      <w:r w:rsidRPr="00283806">
        <w:rPr>
          <w:w w:val="105"/>
        </w:rPr>
        <w:t>in decisions about a proposed activity that will affect their environment and/</w:t>
      </w:r>
      <w:r w:rsidRPr="00283806">
        <w:rPr>
          <w:spacing w:val="80"/>
          <w:w w:val="105"/>
        </w:rPr>
        <w:t xml:space="preserve"> </w:t>
      </w:r>
      <w:r w:rsidRPr="00283806">
        <w:rPr>
          <w:w w:val="105"/>
        </w:rPr>
        <w:t>or health; (2) the public’s contribution can influence the regulatory Agency’s decision; (3) the concerns of all</w:t>
      </w:r>
    </w:p>
    <w:p w14:paraId="5730C186" w14:textId="77777777" w:rsidR="00D67C1E" w:rsidRPr="00283806" w:rsidRDefault="001265CA">
      <w:pPr>
        <w:pStyle w:val="BodyText"/>
        <w:spacing w:before="136" w:line="225" w:lineRule="auto"/>
        <w:ind w:left="154" w:right="18"/>
        <w:rPr>
          <w:sz w:val="11"/>
        </w:rPr>
      </w:pPr>
      <w:r w:rsidRPr="00283806">
        <w:br w:type="column"/>
      </w:r>
      <w:r w:rsidRPr="00283806">
        <w:rPr>
          <w:w w:val="105"/>
        </w:rPr>
        <w:t>determination of whether there is a disproportionate impact that may merit Agency action is ultimately a policy judgment which, while informed by analysis, is the responsibility of the decision-maker. The terms ‘‘difference’’ or ‘‘differential’’ indicate an analytically discernible distinction in impacts or</w:t>
      </w:r>
      <w:r w:rsidRPr="00283806">
        <w:rPr>
          <w:spacing w:val="40"/>
          <w:w w:val="105"/>
        </w:rPr>
        <w:t xml:space="preserve"> </w:t>
      </w:r>
      <w:r w:rsidRPr="00283806">
        <w:rPr>
          <w:w w:val="105"/>
        </w:rPr>
        <w:t>risks across population groups. It is the role of the analyst to assess and present differences in anticipated impacts</w:t>
      </w:r>
      <w:r w:rsidRPr="00283806">
        <w:rPr>
          <w:spacing w:val="80"/>
          <w:w w:val="150"/>
        </w:rPr>
        <w:t xml:space="preserve"> </w:t>
      </w:r>
      <w:r w:rsidRPr="00283806">
        <w:rPr>
          <w:w w:val="105"/>
        </w:rPr>
        <w:t>across population groups for both the baseline and regulatory options, using the best available information (both quantitative and qualitative) to inform the decision-maker and the public.</w:t>
      </w:r>
      <w:r w:rsidRPr="00283806">
        <w:rPr>
          <w:w w:val="105"/>
          <w:position w:val="5"/>
          <w:sz w:val="11"/>
        </w:rPr>
        <w:t>193</w:t>
      </w:r>
    </w:p>
    <w:p w14:paraId="047D0B86" w14:textId="77777777" w:rsidR="00D67C1E" w:rsidRPr="00283806" w:rsidRDefault="001265CA">
      <w:pPr>
        <w:pStyle w:val="BodyText"/>
        <w:spacing w:line="175" w:lineRule="exact"/>
        <w:ind w:left="334"/>
      </w:pPr>
      <w:r w:rsidRPr="00283806">
        <w:rPr>
          <w:w w:val="105"/>
        </w:rPr>
        <w:t>In</w:t>
      </w:r>
      <w:r w:rsidRPr="00283806">
        <w:rPr>
          <w:spacing w:val="18"/>
          <w:w w:val="105"/>
        </w:rPr>
        <w:t xml:space="preserve"> </w:t>
      </w:r>
      <w:r w:rsidRPr="00283806">
        <w:rPr>
          <w:w w:val="105"/>
        </w:rPr>
        <w:t>addition,</w:t>
      </w:r>
      <w:r w:rsidRPr="00283806">
        <w:rPr>
          <w:spacing w:val="18"/>
          <w:w w:val="105"/>
        </w:rPr>
        <w:t xml:space="preserve"> </w:t>
      </w:r>
      <w:r w:rsidRPr="00283806">
        <w:rPr>
          <w:w w:val="105"/>
        </w:rPr>
        <w:t>the</w:t>
      </w:r>
      <w:r w:rsidRPr="00283806">
        <w:rPr>
          <w:spacing w:val="18"/>
          <w:w w:val="105"/>
        </w:rPr>
        <w:t xml:space="preserve"> </w:t>
      </w:r>
      <w:r w:rsidRPr="00283806">
        <w:rPr>
          <w:spacing w:val="-2"/>
          <w:w w:val="105"/>
        </w:rPr>
        <w:t>Presidential</w:t>
      </w:r>
    </w:p>
    <w:p w14:paraId="4C2FBEFD" w14:textId="77777777" w:rsidR="00D67C1E" w:rsidRPr="00283806" w:rsidRDefault="001265CA">
      <w:pPr>
        <w:pStyle w:val="BodyText"/>
        <w:spacing w:before="4" w:line="225" w:lineRule="auto"/>
        <w:ind w:left="154" w:right="60"/>
        <w:rPr>
          <w:sz w:val="11"/>
        </w:rPr>
      </w:pPr>
      <w:r w:rsidRPr="00283806">
        <w:rPr>
          <w:w w:val="105"/>
        </w:rPr>
        <w:t>Memorandum on Modernizing Regulatory Review calls for procedures</w:t>
      </w:r>
      <w:r w:rsidRPr="00283806">
        <w:rPr>
          <w:spacing w:val="40"/>
          <w:w w:val="105"/>
        </w:rPr>
        <w:t xml:space="preserve"> </w:t>
      </w:r>
      <w:r w:rsidRPr="00283806">
        <w:rPr>
          <w:w w:val="105"/>
        </w:rPr>
        <w:t>to ‘‘take into account the distributional consequences of regulations, including</w:t>
      </w:r>
      <w:r w:rsidRPr="00283806">
        <w:rPr>
          <w:spacing w:val="80"/>
          <w:w w:val="105"/>
        </w:rPr>
        <w:t xml:space="preserve"> </w:t>
      </w:r>
      <w:r w:rsidRPr="00283806">
        <w:rPr>
          <w:w w:val="105"/>
        </w:rPr>
        <w:t xml:space="preserve">as part of any quantitative or qualitative analysis of the costs and benefits of regulations, to ensure that regulatory initiatives appropriately benefit, and do not inappropriately burden disadvantaged, vulnerable, or marginalized communities.’’ </w:t>
      </w:r>
      <w:r w:rsidRPr="00283806">
        <w:rPr>
          <w:w w:val="105"/>
          <w:position w:val="5"/>
          <w:sz w:val="11"/>
        </w:rPr>
        <w:t>194</w:t>
      </w:r>
      <w:r w:rsidRPr="00283806">
        <w:rPr>
          <w:spacing w:val="40"/>
          <w:w w:val="105"/>
          <w:position w:val="5"/>
          <w:sz w:val="11"/>
        </w:rPr>
        <w:t xml:space="preserve"> </w:t>
      </w:r>
      <w:r w:rsidRPr="00283806">
        <w:rPr>
          <w:w w:val="105"/>
        </w:rPr>
        <w:t>OMB Circular A–4 provides details regarding identifying relevant groups and approaches to analyzing distributional effects.</w:t>
      </w:r>
      <w:r w:rsidRPr="00283806">
        <w:rPr>
          <w:w w:val="105"/>
          <w:position w:val="5"/>
          <w:sz w:val="11"/>
        </w:rPr>
        <w:t>195</w:t>
      </w:r>
      <w:r w:rsidRPr="00283806">
        <w:rPr>
          <w:spacing w:val="40"/>
          <w:w w:val="105"/>
          <w:position w:val="5"/>
          <w:sz w:val="11"/>
        </w:rPr>
        <w:t xml:space="preserve"> </w:t>
      </w:r>
      <w:r w:rsidRPr="00283806">
        <w:rPr>
          <w:w w:val="105"/>
        </w:rPr>
        <w:t>EPA also released its June</w:t>
      </w:r>
      <w:r w:rsidRPr="00283806">
        <w:rPr>
          <w:spacing w:val="40"/>
          <w:w w:val="105"/>
        </w:rPr>
        <w:t xml:space="preserve"> </w:t>
      </w:r>
      <w:r w:rsidRPr="00283806">
        <w:rPr>
          <w:w w:val="105"/>
        </w:rPr>
        <w:t>2016 ‘‘Technical Guidance for Assessing Environmental Justice in Regulatory Analysis’’ (2016 Technical Guidance) to provide recommendations that</w:t>
      </w:r>
      <w:r w:rsidRPr="00283806">
        <w:rPr>
          <w:spacing w:val="40"/>
          <w:w w:val="105"/>
        </w:rPr>
        <w:t xml:space="preserve"> </w:t>
      </w:r>
      <w:r w:rsidRPr="00283806">
        <w:rPr>
          <w:w w:val="105"/>
        </w:rPr>
        <w:t>encourage analysts to conduct the</w:t>
      </w:r>
      <w:r w:rsidRPr="00283806">
        <w:rPr>
          <w:spacing w:val="40"/>
          <w:w w:val="105"/>
        </w:rPr>
        <w:t xml:space="preserve"> </w:t>
      </w:r>
      <w:r w:rsidRPr="00283806">
        <w:rPr>
          <w:w w:val="105"/>
        </w:rPr>
        <w:t xml:space="preserve">highest quality analysis feasible, recognizing that data limitations, time and resource constraints, and analytic challenges will vary by media and </w:t>
      </w:r>
      <w:r w:rsidRPr="00283806">
        <w:rPr>
          <w:spacing w:val="-2"/>
          <w:w w:val="105"/>
        </w:rPr>
        <w:t>circumstance.</w:t>
      </w:r>
      <w:r w:rsidRPr="00283806">
        <w:rPr>
          <w:spacing w:val="-2"/>
          <w:w w:val="105"/>
          <w:position w:val="5"/>
          <w:sz w:val="11"/>
        </w:rPr>
        <w:t>196</w:t>
      </w:r>
    </w:p>
    <w:p w14:paraId="5EBEC94C" w14:textId="77777777" w:rsidR="00D67C1E" w:rsidRPr="00283806" w:rsidRDefault="001265CA">
      <w:pPr>
        <w:pStyle w:val="BodyText"/>
        <w:spacing w:line="184" w:lineRule="exact"/>
        <w:ind w:left="55" w:right="59"/>
        <w:jc w:val="center"/>
      </w:pPr>
      <w:r w:rsidRPr="00283806">
        <w:rPr>
          <w:w w:val="110"/>
        </w:rPr>
        <w:t>For</w:t>
      </w:r>
      <w:r w:rsidRPr="00283806">
        <w:rPr>
          <w:spacing w:val="-2"/>
          <w:w w:val="110"/>
        </w:rPr>
        <w:t xml:space="preserve"> </w:t>
      </w:r>
      <w:r w:rsidRPr="00283806">
        <w:rPr>
          <w:w w:val="110"/>
        </w:rPr>
        <w:t>this</w:t>
      </w:r>
      <w:r w:rsidRPr="00283806">
        <w:rPr>
          <w:spacing w:val="-2"/>
          <w:w w:val="110"/>
        </w:rPr>
        <w:t xml:space="preserve"> </w:t>
      </w:r>
      <w:r w:rsidRPr="00283806">
        <w:rPr>
          <w:w w:val="110"/>
        </w:rPr>
        <w:t>action,</w:t>
      </w:r>
      <w:r w:rsidRPr="00283806">
        <w:rPr>
          <w:spacing w:val="-2"/>
          <w:w w:val="110"/>
        </w:rPr>
        <w:t xml:space="preserve"> </w:t>
      </w:r>
      <w:r w:rsidRPr="00283806">
        <w:rPr>
          <w:w w:val="110"/>
        </w:rPr>
        <w:t>EPA</w:t>
      </w:r>
      <w:r w:rsidRPr="00283806">
        <w:rPr>
          <w:spacing w:val="-1"/>
          <w:w w:val="110"/>
        </w:rPr>
        <w:t xml:space="preserve"> </w:t>
      </w:r>
      <w:r w:rsidRPr="00283806">
        <w:rPr>
          <w:w w:val="110"/>
        </w:rPr>
        <w:t>conducted</w:t>
      </w:r>
      <w:r w:rsidRPr="00283806">
        <w:rPr>
          <w:spacing w:val="-2"/>
          <w:w w:val="110"/>
        </w:rPr>
        <w:t xml:space="preserve"> </w:t>
      </w:r>
      <w:r w:rsidRPr="00283806">
        <w:rPr>
          <w:spacing w:val="-5"/>
          <w:w w:val="110"/>
        </w:rPr>
        <w:t>an</w:t>
      </w:r>
    </w:p>
    <w:p w14:paraId="583D5D32" w14:textId="77777777" w:rsidR="00D67C1E" w:rsidRPr="00283806" w:rsidRDefault="001265CA">
      <w:pPr>
        <w:pStyle w:val="BodyText"/>
        <w:spacing w:line="184" w:lineRule="exact"/>
        <w:ind w:left="0" w:right="59"/>
        <w:jc w:val="center"/>
      </w:pPr>
      <w:r w:rsidRPr="00283806">
        <w:rPr>
          <w:w w:val="105"/>
        </w:rPr>
        <w:t>environmental</w:t>
      </w:r>
      <w:r w:rsidRPr="00283806">
        <w:rPr>
          <w:spacing w:val="36"/>
          <w:w w:val="105"/>
        </w:rPr>
        <w:t xml:space="preserve"> </w:t>
      </w:r>
      <w:r w:rsidRPr="00283806">
        <w:rPr>
          <w:w w:val="105"/>
        </w:rPr>
        <w:t>justice</w:t>
      </w:r>
      <w:r w:rsidRPr="00283806">
        <w:rPr>
          <w:spacing w:val="36"/>
          <w:w w:val="105"/>
        </w:rPr>
        <w:t xml:space="preserve"> </w:t>
      </w:r>
      <w:r w:rsidRPr="00283806">
        <w:rPr>
          <w:w w:val="105"/>
        </w:rPr>
        <w:t>analysis.</w:t>
      </w:r>
      <w:r w:rsidRPr="00283806">
        <w:rPr>
          <w:w w:val="105"/>
          <w:position w:val="5"/>
          <w:sz w:val="11"/>
        </w:rPr>
        <w:t>197</w:t>
      </w:r>
      <w:r w:rsidRPr="00283806">
        <w:rPr>
          <w:spacing w:val="52"/>
          <w:w w:val="105"/>
          <w:position w:val="5"/>
          <w:sz w:val="11"/>
        </w:rPr>
        <w:t xml:space="preserve"> </w:t>
      </w:r>
      <w:r w:rsidRPr="00283806">
        <w:rPr>
          <w:spacing w:val="-5"/>
          <w:w w:val="105"/>
        </w:rPr>
        <w:t>For</w:t>
      </w:r>
    </w:p>
    <w:p w14:paraId="452D3948" w14:textId="77777777" w:rsidR="00D67C1E" w:rsidRPr="00283806" w:rsidRDefault="001265CA">
      <w:pPr>
        <w:pStyle w:val="BodyText"/>
        <w:spacing w:before="134" w:line="228" w:lineRule="auto"/>
        <w:ind w:left="153" w:right="267"/>
      </w:pPr>
      <w:r w:rsidRPr="00283806">
        <w:br w:type="column"/>
      </w:r>
      <w:r w:rsidRPr="00283806">
        <w:rPr>
          <w:w w:val="105"/>
        </w:rPr>
        <w:t>this analysis, EPA used a methodology similar to that used as part of the Allocation Framework Rule (86 FR 55116, October 5, 2021), the 2023 Technology Transitions Rule (88 FR 73174, October 24, 2023), and the proposal of this rule, for consistency</w:t>
      </w:r>
      <w:r w:rsidRPr="00283806">
        <w:rPr>
          <w:spacing w:val="80"/>
          <w:w w:val="105"/>
        </w:rPr>
        <w:t xml:space="preserve"> </w:t>
      </w:r>
      <w:r w:rsidRPr="00283806">
        <w:rPr>
          <w:w w:val="105"/>
        </w:rPr>
        <w:t>and because these rules have in</w:t>
      </w:r>
      <w:r w:rsidRPr="00283806">
        <w:rPr>
          <w:spacing w:val="80"/>
          <w:w w:val="105"/>
        </w:rPr>
        <w:t xml:space="preserve"> </w:t>
      </w:r>
      <w:r w:rsidRPr="00283806">
        <w:rPr>
          <w:w w:val="105"/>
        </w:rPr>
        <w:t>common that they affect the industries involved in using HFCs, although there are some differences in the nature of those effects and the entities affected. The information provided in this</w:t>
      </w:r>
      <w:r w:rsidRPr="00283806">
        <w:rPr>
          <w:spacing w:val="80"/>
          <w:w w:val="105"/>
        </w:rPr>
        <w:t xml:space="preserve"> </w:t>
      </w:r>
      <w:r w:rsidRPr="00283806">
        <w:rPr>
          <w:w w:val="105"/>
        </w:rPr>
        <w:t xml:space="preserve">section is for informational purposes only; EPA </w:t>
      </w:r>
      <w:proofErr w:type="gramStart"/>
      <w:r w:rsidRPr="00283806">
        <w:rPr>
          <w:w w:val="105"/>
        </w:rPr>
        <w:t>is not relying</w:t>
      </w:r>
      <w:proofErr w:type="gramEnd"/>
      <w:r w:rsidRPr="00283806">
        <w:rPr>
          <w:w w:val="105"/>
        </w:rPr>
        <w:t xml:space="preserve"> on the information in this section as a record basis for this action. EPA evaluated communities surrounding the 38 identified HFC reclamation facilities </w:t>
      </w:r>
      <w:r w:rsidRPr="00283806">
        <w:rPr>
          <w:w w:val="105"/>
          <w:position w:val="5"/>
          <w:sz w:val="11"/>
        </w:rPr>
        <w:t>198</w:t>
      </w:r>
      <w:r w:rsidRPr="00283806">
        <w:rPr>
          <w:spacing w:val="40"/>
          <w:w w:val="105"/>
          <w:position w:val="5"/>
          <w:sz w:val="11"/>
        </w:rPr>
        <w:t xml:space="preserve"> </w:t>
      </w:r>
      <w:r w:rsidRPr="00283806">
        <w:rPr>
          <w:w w:val="105"/>
        </w:rPr>
        <w:t xml:space="preserve">and followed the analytical approach used in the Allocation Framework Rule RIA. This update uses information from the </w:t>
      </w:r>
      <w:proofErr w:type="spellStart"/>
      <w:r w:rsidRPr="00283806">
        <w:rPr>
          <w:w w:val="105"/>
        </w:rPr>
        <w:t>AirToxScreen</w:t>
      </w:r>
      <w:proofErr w:type="spellEnd"/>
      <w:r w:rsidRPr="00283806">
        <w:rPr>
          <w:w w:val="105"/>
        </w:rPr>
        <w:t xml:space="preserve"> 2019 dataset.</w:t>
      </w:r>
    </w:p>
    <w:p w14:paraId="72FB4B21" w14:textId="77777777" w:rsidR="00D67C1E" w:rsidRPr="00283806" w:rsidRDefault="001265CA">
      <w:pPr>
        <w:pStyle w:val="BodyText"/>
        <w:spacing w:line="168" w:lineRule="exact"/>
        <w:ind w:left="333"/>
      </w:pPr>
      <w:r w:rsidRPr="00283806">
        <w:rPr>
          <w:w w:val="105"/>
        </w:rPr>
        <w:t>The</w:t>
      </w:r>
      <w:r w:rsidRPr="00283806">
        <w:rPr>
          <w:spacing w:val="12"/>
          <w:w w:val="105"/>
        </w:rPr>
        <w:t xml:space="preserve"> </w:t>
      </w:r>
      <w:r w:rsidRPr="00283806">
        <w:rPr>
          <w:w w:val="105"/>
        </w:rPr>
        <w:t>analysis</w:t>
      </w:r>
      <w:r w:rsidRPr="00283806">
        <w:rPr>
          <w:spacing w:val="12"/>
          <w:w w:val="105"/>
        </w:rPr>
        <w:t xml:space="preserve"> </w:t>
      </w:r>
      <w:r w:rsidRPr="00283806">
        <w:rPr>
          <w:w w:val="105"/>
        </w:rPr>
        <w:t>shows</w:t>
      </w:r>
      <w:r w:rsidRPr="00283806">
        <w:rPr>
          <w:spacing w:val="12"/>
          <w:w w:val="105"/>
        </w:rPr>
        <w:t xml:space="preserve"> </w:t>
      </w:r>
      <w:r w:rsidRPr="00283806">
        <w:rPr>
          <w:w w:val="105"/>
        </w:rPr>
        <w:t>that</w:t>
      </w:r>
      <w:r w:rsidRPr="00283806">
        <w:rPr>
          <w:spacing w:val="12"/>
          <w:w w:val="105"/>
        </w:rPr>
        <w:t xml:space="preserve"> </w:t>
      </w:r>
      <w:r w:rsidRPr="00283806">
        <w:rPr>
          <w:spacing w:val="-2"/>
          <w:w w:val="105"/>
        </w:rPr>
        <w:t>communities</w:t>
      </w:r>
    </w:p>
    <w:p w14:paraId="2D7E383C" w14:textId="77777777" w:rsidR="00D67C1E" w:rsidRPr="00283806" w:rsidRDefault="001265CA">
      <w:pPr>
        <w:pStyle w:val="BodyText"/>
        <w:spacing w:before="3" w:line="228" w:lineRule="auto"/>
        <w:ind w:left="153" w:right="169"/>
      </w:pPr>
      <w:r w:rsidRPr="00283806">
        <w:rPr>
          <w:w w:val="105"/>
        </w:rPr>
        <w:t>near the 38 identified HFC reclamation facilities are generally more diverse than the national average with respect to race and ethnicity. While the median income</w:t>
      </w:r>
      <w:r w:rsidRPr="00283806">
        <w:rPr>
          <w:spacing w:val="40"/>
          <w:w w:val="105"/>
        </w:rPr>
        <w:t xml:space="preserve"> </w:t>
      </w:r>
      <w:r w:rsidRPr="00283806">
        <w:rPr>
          <w:w w:val="105"/>
        </w:rPr>
        <w:t>of these communities is slightly higher than the national average, there are</w:t>
      </w:r>
      <w:r w:rsidRPr="00283806">
        <w:rPr>
          <w:spacing w:val="80"/>
          <w:w w:val="105"/>
        </w:rPr>
        <w:t xml:space="preserve"> </w:t>
      </w:r>
      <w:r w:rsidRPr="00283806">
        <w:rPr>
          <w:w w:val="105"/>
        </w:rPr>
        <w:t>more low-income households. Across</w:t>
      </w:r>
      <w:r w:rsidRPr="00283806">
        <w:rPr>
          <w:spacing w:val="80"/>
          <w:w w:val="150"/>
        </w:rPr>
        <w:t xml:space="preserve"> </w:t>
      </w:r>
      <w:r w:rsidRPr="00283806">
        <w:rPr>
          <w:w w:val="105"/>
        </w:rPr>
        <w:t>the 38 facilities, total respiratory risk</w:t>
      </w:r>
      <w:r w:rsidRPr="00283806">
        <w:rPr>
          <w:spacing w:val="80"/>
          <w:w w:val="105"/>
        </w:rPr>
        <w:t xml:space="preserve"> </w:t>
      </w:r>
      <w:r w:rsidRPr="00283806">
        <w:rPr>
          <w:w w:val="105"/>
        </w:rPr>
        <w:t>and total cancer risk are higher than the national average (total cancer risk is between 28 and 29 for the communities near the facilities, compared to 26 for</w:t>
      </w:r>
      <w:r w:rsidRPr="00283806">
        <w:rPr>
          <w:spacing w:val="80"/>
          <w:w w:val="105"/>
        </w:rPr>
        <w:t xml:space="preserve"> </w:t>
      </w:r>
      <w:r w:rsidRPr="00283806">
        <w:rPr>
          <w:w w:val="105"/>
        </w:rPr>
        <w:t>the national average, and total</w:t>
      </w:r>
      <w:r w:rsidRPr="00283806">
        <w:rPr>
          <w:spacing w:val="40"/>
          <w:w w:val="105"/>
        </w:rPr>
        <w:t xml:space="preserve"> </w:t>
      </w:r>
      <w:r w:rsidRPr="00283806">
        <w:rPr>
          <w:w w:val="105"/>
        </w:rPr>
        <w:t>respiratory risk is 0.34 compared to the national average of 0.31). The risk for those closer to the facilities appears slightly lower than for those at greater distances (5- and 10-mile radii).</w:t>
      </w:r>
    </w:p>
    <w:p w14:paraId="5E402A64" w14:textId="77777777" w:rsidR="00D67C1E" w:rsidRPr="00283806" w:rsidRDefault="001265CA">
      <w:pPr>
        <w:pStyle w:val="BodyText"/>
        <w:spacing w:line="172" w:lineRule="exact"/>
        <w:ind w:left="40" w:right="329"/>
        <w:jc w:val="center"/>
      </w:pPr>
      <w:r w:rsidRPr="00283806">
        <w:rPr>
          <w:w w:val="105"/>
        </w:rPr>
        <w:t>This</w:t>
      </w:r>
      <w:r w:rsidRPr="00283806">
        <w:rPr>
          <w:spacing w:val="11"/>
          <w:w w:val="105"/>
        </w:rPr>
        <w:t xml:space="preserve"> </w:t>
      </w:r>
      <w:r w:rsidRPr="00283806">
        <w:rPr>
          <w:w w:val="105"/>
        </w:rPr>
        <w:t>rule</w:t>
      </w:r>
      <w:r w:rsidRPr="00283806">
        <w:rPr>
          <w:spacing w:val="12"/>
          <w:w w:val="105"/>
        </w:rPr>
        <w:t xml:space="preserve"> </w:t>
      </w:r>
      <w:r w:rsidRPr="00283806">
        <w:rPr>
          <w:w w:val="105"/>
        </w:rPr>
        <w:t>is</w:t>
      </w:r>
      <w:r w:rsidRPr="00283806">
        <w:rPr>
          <w:spacing w:val="12"/>
          <w:w w:val="105"/>
        </w:rPr>
        <w:t xml:space="preserve"> </w:t>
      </w:r>
      <w:r w:rsidRPr="00283806">
        <w:rPr>
          <w:w w:val="105"/>
        </w:rPr>
        <w:t>expected</w:t>
      </w:r>
      <w:r w:rsidRPr="00283806">
        <w:rPr>
          <w:spacing w:val="12"/>
          <w:w w:val="105"/>
        </w:rPr>
        <w:t xml:space="preserve"> </w:t>
      </w:r>
      <w:r w:rsidRPr="00283806">
        <w:rPr>
          <w:w w:val="105"/>
        </w:rPr>
        <w:t>to</w:t>
      </w:r>
      <w:r w:rsidRPr="00283806">
        <w:rPr>
          <w:spacing w:val="12"/>
          <w:w w:val="105"/>
        </w:rPr>
        <w:t xml:space="preserve"> </w:t>
      </w:r>
      <w:r w:rsidRPr="00283806">
        <w:rPr>
          <w:w w:val="105"/>
        </w:rPr>
        <w:t>result</w:t>
      </w:r>
      <w:r w:rsidRPr="00283806">
        <w:rPr>
          <w:spacing w:val="12"/>
          <w:w w:val="105"/>
        </w:rPr>
        <w:t xml:space="preserve"> </w:t>
      </w:r>
      <w:r w:rsidRPr="00283806">
        <w:rPr>
          <w:spacing w:val="-5"/>
          <w:w w:val="105"/>
        </w:rPr>
        <w:t>in</w:t>
      </w:r>
    </w:p>
    <w:p w14:paraId="5EA71AF0" w14:textId="77777777" w:rsidR="00D67C1E" w:rsidRPr="00283806" w:rsidRDefault="001265CA">
      <w:pPr>
        <w:pStyle w:val="BodyText"/>
        <w:spacing w:line="119" w:lineRule="exact"/>
        <w:ind w:left="0" w:right="329"/>
        <w:jc w:val="center"/>
      </w:pPr>
      <w:r w:rsidRPr="00283806">
        <w:rPr>
          <w:w w:val="105"/>
        </w:rPr>
        <w:t>benefits</w:t>
      </w:r>
      <w:r w:rsidRPr="00283806">
        <w:rPr>
          <w:spacing w:val="9"/>
          <w:w w:val="105"/>
        </w:rPr>
        <w:t xml:space="preserve"> </w:t>
      </w:r>
      <w:r w:rsidRPr="00283806">
        <w:rPr>
          <w:w w:val="105"/>
        </w:rPr>
        <w:t>in</w:t>
      </w:r>
      <w:r w:rsidRPr="00283806">
        <w:rPr>
          <w:spacing w:val="9"/>
          <w:w w:val="105"/>
        </w:rPr>
        <w:t xml:space="preserve"> </w:t>
      </w:r>
      <w:r w:rsidRPr="00283806">
        <w:rPr>
          <w:w w:val="105"/>
        </w:rPr>
        <w:t>the</w:t>
      </w:r>
      <w:r w:rsidRPr="00283806">
        <w:rPr>
          <w:spacing w:val="9"/>
          <w:w w:val="105"/>
        </w:rPr>
        <w:t xml:space="preserve"> </w:t>
      </w:r>
      <w:r w:rsidRPr="00283806">
        <w:rPr>
          <w:w w:val="105"/>
        </w:rPr>
        <w:t>form</w:t>
      </w:r>
      <w:r w:rsidRPr="00283806">
        <w:rPr>
          <w:spacing w:val="9"/>
          <w:w w:val="105"/>
        </w:rPr>
        <w:t xml:space="preserve"> </w:t>
      </w:r>
      <w:r w:rsidRPr="00283806">
        <w:rPr>
          <w:w w:val="105"/>
        </w:rPr>
        <w:t>of</w:t>
      </w:r>
      <w:r w:rsidRPr="00283806">
        <w:rPr>
          <w:spacing w:val="9"/>
          <w:w w:val="105"/>
        </w:rPr>
        <w:t xml:space="preserve"> </w:t>
      </w:r>
      <w:r w:rsidRPr="00283806">
        <w:rPr>
          <w:w w:val="105"/>
        </w:rPr>
        <w:t>reduced</w:t>
      </w:r>
      <w:r w:rsidRPr="00283806">
        <w:rPr>
          <w:spacing w:val="9"/>
          <w:w w:val="105"/>
        </w:rPr>
        <w:t xml:space="preserve"> </w:t>
      </w:r>
      <w:r w:rsidRPr="00283806">
        <w:rPr>
          <w:spacing w:val="-5"/>
          <w:w w:val="105"/>
        </w:rPr>
        <w:t>GHG</w:t>
      </w:r>
    </w:p>
    <w:p w14:paraId="4BC15682" w14:textId="77777777" w:rsidR="00D67C1E" w:rsidRPr="00283806" w:rsidRDefault="00D67C1E">
      <w:pPr>
        <w:spacing w:line="119" w:lineRule="exact"/>
        <w:jc w:val="center"/>
        <w:sectPr w:rsidR="00D67C1E" w:rsidRPr="00283806">
          <w:pgSz w:w="12240" w:h="15840"/>
          <w:pgMar w:top="1040" w:right="780" w:bottom="280" w:left="740" w:header="627" w:footer="0" w:gutter="0"/>
          <w:cols w:num="3" w:space="720" w:equalWidth="0">
            <w:col w:w="3506" w:space="40"/>
            <w:col w:w="3501" w:space="39"/>
            <w:col w:w="3634"/>
          </w:cols>
        </w:sectPr>
      </w:pPr>
    </w:p>
    <w:p w14:paraId="53209397" w14:textId="77777777" w:rsidR="00D67C1E" w:rsidRPr="00283806" w:rsidRDefault="001265CA">
      <w:pPr>
        <w:pStyle w:val="BodyText"/>
        <w:tabs>
          <w:tab w:val="left" w:pos="4699"/>
        </w:tabs>
        <w:spacing w:line="190" w:lineRule="exact"/>
        <w:ind w:left="159"/>
      </w:pPr>
      <w:r w:rsidRPr="00283806">
        <w:rPr>
          <w:w w:val="105"/>
        </w:rPr>
        <w:t>participants</w:t>
      </w:r>
      <w:r w:rsidRPr="00283806">
        <w:rPr>
          <w:spacing w:val="33"/>
          <w:w w:val="105"/>
        </w:rPr>
        <w:t xml:space="preserve"> </w:t>
      </w:r>
      <w:r w:rsidRPr="00283806">
        <w:rPr>
          <w:w w:val="105"/>
        </w:rPr>
        <w:t>involved</w:t>
      </w:r>
      <w:r w:rsidRPr="00283806">
        <w:rPr>
          <w:spacing w:val="33"/>
          <w:w w:val="105"/>
        </w:rPr>
        <w:t xml:space="preserve"> </w:t>
      </w:r>
      <w:r w:rsidRPr="00283806">
        <w:rPr>
          <w:w w:val="105"/>
        </w:rPr>
        <w:t>will</w:t>
      </w:r>
      <w:r w:rsidRPr="00283806">
        <w:rPr>
          <w:spacing w:val="33"/>
          <w:w w:val="105"/>
        </w:rPr>
        <w:t xml:space="preserve"> </w:t>
      </w:r>
      <w:r w:rsidRPr="00283806">
        <w:rPr>
          <w:w w:val="105"/>
        </w:rPr>
        <w:t>be</w:t>
      </w:r>
      <w:r w:rsidRPr="00283806">
        <w:rPr>
          <w:spacing w:val="33"/>
          <w:w w:val="105"/>
        </w:rPr>
        <w:t xml:space="preserve"> </w:t>
      </w:r>
      <w:r w:rsidRPr="00283806">
        <w:rPr>
          <w:w w:val="105"/>
        </w:rPr>
        <w:t>considered</w:t>
      </w:r>
      <w:r w:rsidRPr="00283806">
        <w:rPr>
          <w:spacing w:val="153"/>
          <w:w w:val="105"/>
        </w:rPr>
        <w:t xml:space="preserve"> </w:t>
      </w:r>
      <w:r w:rsidRPr="00283806">
        <w:rPr>
          <w:u w:val="single"/>
        </w:rPr>
        <w:tab/>
      </w:r>
    </w:p>
    <w:p w14:paraId="23CAE3F2" w14:textId="77777777" w:rsidR="00D67C1E" w:rsidRPr="00283806" w:rsidRDefault="001265CA">
      <w:pPr>
        <w:pStyle w:val="BodyText"/>
        <w:spacing w:before="65" w:line="124" w:lineRule="exact"/>
        <w:ind w:left="159"/>
      </w:pPr>
      <w:r w:rsidRPr="00283806">
        <w:br w:type="column"/>
      </w:r>
      <w:r w:rsidRPr="00283806">
        <w:rPr>
          <w:w w:val="105"/>
        </w:rPr>
        <w:t>emissions.</w:t>
      </w:r>
      <w:r w:rsidRPr="00283806">
        <w:rPr>
          <w:spacing w:val="24"/>
          <w:w w:val="105"/>
        </w:rPr>
        <w:t xml:space="preserve"> </w:t>
      </w:r>
      <w:r w:rsidRPr="00283806">
        <w:rPr>
          <w:w w:val="105"/>
        </w:rPr>
        <w:t>The</w:t>
      </w:r>
      <w:r w:rsidRPr="00283806">
        <w:rPr>
          <w:spacing w:val="24"/>
          <w:w w:val="105"/>
        </w:rPr>
        <w:t xml:space="preserve"> </w:t>
      </w:r>
      <w:r w:rsidRPr="00283806">
        <w:rPr>
          <w:w w:val="105"/>
        </w:rPr>
        <w:t>analysis</w:t>
      </w:r>
      <w:r w:rsidRPr="00283806">
        <w:rPr>
          <w:spacing w:val="25"/>
          <w:w w:val="105"/>
        </w:rPr>
        <w:t xml:space="preserve"> </w:t>
      </w:r>
      <w:r w:rsidRPr="00283806">
        <w:rPr>
          <w:w w:val="105"/>
        </w:rPr>
        <w:t>conducted</w:t>
      </w:r>
      <w:r w:rsidRPr="00283806">
        <w:rPr>
          <w:spacing w:val="24"/>
          <w:w w:val="105"/>
        </w:rPr>
        <w:t xml:space="preserve"> </w:t>
      </w:r>
      <w:r w:rsidRPr="00283806">
        <w:rPr>
          <w:spacing w:val="-5"/>
          <w:w w:val="105"/>
        </w:rPr>
        <w:t>for</w:t>
      </w:r>
    </w:p>
    <w:p w14:paraId="39977775" w14:textId="77777777" w:rsidR="00D67C1E" w:rsidRPr="00283806" w:rsidRDefault="00D67C1E">
      <w:pPr>
        <w:spacing w:line="124" w:lineRule="exact"/>
        <w:sectPr w:rsidR="00D67C1E" w:rsidRPr="00283806">
          <w:type w:val="continuous"/>
          <w:pgSz w:w="12240" w:h="15840"/>
          <w:pgMar w:top="880" w:right="780" w:bottom="280" w:left="740" w:header="627" w:footer="0" w:gutter="0"/>
          <w:cols w:num="2" w:space="720" w:equalWidth="0">
            <w:col w:w="4740" w:space="2340"/>
            <w:col w:w="3640"/>
          </w:cols>
        </w:sectPr>
      </w:pPr>
    </w:p>
    <w:p w14:paraId="02CE945B" w14:textId="77777777" w:rsidR="00D67C1E" w:rsidRPr="00283806" w:rsidRDefault="001265CA">
      <w:pPr>
        <w:pStyle w:val="BodyText"/>
        <w:spacing w:before="9" w:line="228" w:lineRule="auto"/>
        <w:ind w:left="159" w:right="113"/>
      </w:pPr>
      <w:r w:rsidRPr="00283806">
        <w:rPr>
          <w:w w:val="105"/>
        </w:rPr>
        <w:t>in the decision-making process; and (4) the rule-writers and decision-makers seek out and facilitate the involvement of those potentially affected.</w:t>
      </w:r>
      <w:r w:rsidRPr="00283806">
        <w:rPr>
          <w:w w:val="105"/>
          <w:position w:val="5"/>
          <w:sz w:val="11"/>
        </w:rPr>
        <w:t>192</w:t>
      </w:r>
      <w:r w:rsidRPr="00283806">
        <w:rPr>
          <w:spacing w:val="40"/>
          <w:w w:val="105"/>
          <w:position w:val="5"/>
          <w:sz w:val="11"/>
        </w:rPr>
        <w:t xml:space="preserve"> </w:t>
      </w:r>
      <w:r w:rsidRPr="00283806">
        <w:rPr>
          <w:w w:val="105"/>
        </w:rPr>
        <w:t>The</w:t>
      </w:r>
      <w:r w:rsidRPr="00283806">
        <w:rPr>
          <w:spacing w:val="40"/>
          <w:w w:val="105"/>
        </w:rPr>
        <w:t xml:space="preserve"> </w:t>
      </w:r>
      <w:r w:rsidRPr="00283806">
        <w:rPr>
          <w:w w:val="105"/>
        </w:rPr>
        <w:t>term ‘‘disproportionate impacts’’ refers to differences in impacts or risks that are extensive enough that they may merit Agency action. In general, the</w:t>
      </w:r>
    </w:p>
    <w:p w14:paraId="4A1E1A29" w14:textId="77777777" w:rsidR="00D67C1E" w:rsidRPr="00283806" w:rsidRDefault="001265CA">
      <w:pPr>
        <w:pStyle w:val="BodyText"/>
        <w:spacing w:before="7"/>
        <w:ind w:left="0"/>
        <w:rPr>
          <w:sz w:val="12"/>
        </w:rPr>
      </w:pPr>
      <w:r w:rsidRPr="00283806">
        <w:rPr>
          <w:noProof/>
        </w:rPr>
        <mc:AlternateContent>
          <mc:Choice Requires="wps">
            <w:drawing>
              <wp:anchor distT="0" distB="0" distL="0" distR="0" simplePos="0" relativeHeight="251692032" behindDoc="1" locked="0" layoutInCell="1" allowOverlap="1" wp14:anchorId="3235072E" wp14:editId="7E8786CF">
                <wp:simplePos x="0" y="0"/>
                <wp:positionH relativeFrom="page">
                  <wp:posOffset>571500</wp:posOffset>
                </wp:positionH>
                <wp:positionV relativeFrom="paragraph">
                  <wp:posOffset>109632</wp:posOffset>
                </wp:positionV>
                <wp:extent cx="635000" cy="1270"/>
                <wp:effectExtent l="0" t="0" r="0" b="0"/>
                <wp:wrapTopAndBottom/>
                <wp:docPr id="125" name="Graphic 1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758C77" id="Graphic 125" o:spid="_x0000_s1026" alt="&quot;&quot;" style="position:absolute;margin-left:45pt;margin-top:8.65pt;width:50pt;height:.1pt;z-index:-251624448;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" path="m,l635000,e" filled="f" strokeweight=".5pt">
                <v:path arrowok="t"/>
                <w10:wrap type="topAndBottom" anchorx="page"/>
              </v:shape>
            </w:pict>
          </mc:Fallback>
        </mc:AlternateContent>
      </w:r>
    </w:p>
    <w:p w14:paraId="7FDE6C16" w14:textId="7D814020" w:rsidR="00D67C1E" w:rsidRPr="00283806" w:rsidRDefault="001265CA">
      <w:pPr>
        <w:spacing w:before="41" w:line="230" w:lineRule="auto"/>
        <w:ind w:left="159" w:firstLine="140"/>
        <w:rPr>
          <w:sz w:val="14"/>
        </w:rPr>
      </w:pPr>
      <w:r w:rsidRPr="00283806">
        <w:rPr>
          <w:w w:val="110"/>
          <w:position w:val="4"/>
          <w:sz w:val="9"/>
        </w:rPr>
        <w:t xml:space="preserve">190 </w:t>
      </w:r>
      <w:r w:rsidRPr="00283806">
        <w:rPr>
          <w:w w:val="110"/>
          <w:sz w:val="14"/>
        </w:rPr>
        <w:t>EPA recognizes that Executive Order 14096</w:t>
      </w:r>
      <w:r w:rsidRPr="00283806">
        <w:rPr>
          <w:spacing w:val="40"/>
          <w:w w:val="110"/>
          <w:sz w:val="14"/>
        </w:rPr>
        <w:t xml:space="preserve"> </w:t>
      </w:r>
      <w:r w:rsidRPr="00283806">
        <w:rPr>
          <w:w w:val="110"/>
          <w:sz w:val="14"/>
        </w:rPr>
        <w:t>(88 FR 25251, April 21, 2023) provides a new</w:t>
      </w:r>
      <w:r w:rsidRPr="00283806">
        <w:rPr>
          <w:spacing w:val="40"/>
          <w:w w:val="110"/>
          <w:sz w:val="14"/>
        </w:rPr>
        <w:t xml:space="preserve"> </w:t>
      </w:r>
      <w:r w:rsidRPr="00283806">
        <w:rPr>
          <w:spacing w:val="-2"/>
          <w:w w:val="110"/>
          <w:sz w:val="14"/>
        </w:rPr>
        <w:t>terminology</w:t>
      </w:r>
      <w:r w:rsidRPr="00283806">
        <w:rPr>
          <w:spacing w:val="-3"/>
          <w:w w:val="110"/>
          <w:sz w:val="14"/>
        </w:rPr>
        <w:t xml:space="preserve"> </w:t>
      </w:r>
      <w:r w:rsidRPr="00283806">
        <w:rPr>
          <w:spacing w:val="-2"/>
          <w:w w:val="110"/>
          <w:sz w:val="14"/>
        </w:rPr>
        <w:t>and</w:t>
      </w:r>
      <w:r w:rsidRPr="00283806">
        <w:rPr>
          <w:spacing w:val="-3"/>
          <w:w w:val="110"/>
          <w:sz w:val="14"/>
        </w:rPr>
        <w:t xml:space="preserve"> </w:t>
      </w:r>
      <w:r w:rsidRPr="00283806">
        <w:rPr>
          <w:spacing w:val="-2"/>
          <w:w w:val="110"/>
          <w:sz w:val="14"/>
        </w:rPr>
        <w:t>a</w:t>
      </w:r>
      <w:r w:rsidRPr="00283806">
        <w:rPr>
          <w:spacing w:val="-3"/>
          <w:w w:val="110"/>
          <w:sz w:val="14"/>
        </w:rPr>
        <w:t xml:space="preserve"> </w:t>
      </w:r>
      <w:r w:rsidRPr="00283806">
        <w:rPr>
          <w:spacing w:val="-2"/>
          <w:w w:val="110"/>
          <w:sz w:val="14"/>
        </w:rPr>
        <w:t>new</w:t>
      </w:r>
      <w:r w:rsidRPr="00283806">
        <w:rPr>
          <w:spacing w:val="-3"/>
          <w:w w:val="110"/>
          <w:sz w:val="14"/>
        </w:rPr>
        <w:t xml:space="preserve"> </w:t>
      </w:r>
      <w:r w:rsidRPr="00283806">
        <w:rPr>
          <w:spacing w:val="-2"/>
          <w:w w:val="110"/>
          <w:sz w:val="14"/>
        </w:rPr>
        <w:t>definition</w:t>
      </w:r>
      <w:r w:rsidRPr="00283806">
        <w:rPr>
          <w:spacing w:val="-3"/>
          <w:w w:val="110"/>
          <w:sz w:val="14"/>
        </w:rPr>
        <w:t xml:space="preserve"> </w:t>
      </w:r>
      <w:r w:rsidRPr="00283806">
        <w:rPr>
          <w:spacing w:val="-2"/>
          <w:w w:val="110"/>
          <w:sz w:val="14"/>
        </w:rPr>
        <w:t>for</w:t>
      </w:r>
      <w:r w:rsidRPr="00283806">
        <w:rPr>
          <w:spacing w:val="-3"/>
          <w:w w:val="110"/>
          <w:sz w:val="14"/>
        </w:rPr>
        <w:t xml:space="preserve"> </w:t>
      </w:r>
      <w:r w:rsidRPr="00283806">
        <w:rPr>
          <w:spacing w:val="-2"/>
          <w:w w:val="110"/>
          <w:sz w:val="14"/>
        </w:rPr>
        <w:t>environmental</w:t>
      </w:r>
      <w:r w:rsidRPr="00283806">
        <w:rPr>
          <w:spacing w:val="40"/>
          <w:w w:val="110"/>
          <w:sz w:val="14"/>
        </w:rPr>
        <w:t xml:space="preserve"> </w:t>
      </w:r>
      <w:r w:rsidRPr="00283806">
        <w:rPr>
          <w:w w:val="110"/>
          <w:sz w:val="14"/>
        </w:rPr>
        <w:t xml:space="preserve">justice. For additional information, see </w:t>
      </w:r>
      <w:r w:rsidRPr="00283806">
        <w:rPr>
          <w:rFonts w:ascii="Book Antiqua"/>
          <w:i/>
          <w:w w:val="110"/>
          <w:sz w:val="14"/>
        </w:rPr>
        <w:t>https://</w:t>
      </w:r>
      <w:r w:rsidRPr="00283806">
        <w:rPr>
          <w:rFonts w:ascii="Book Antiqua"/>
          <w:i/>
          <w:spacing w:val="40"/>
          <w:w w:val="110"/>
          <w:sz w:val="14"/>
        </w:rPr>
        <w:t xml:space="preserve"> </w:t>
      </w:r>
      <w:r w:rsidRPr="00283806">
        <w:rPr>
          <w:rFonts w:ascii="Book Antiqua"/>
          <w:i/>
          <w:spacing w:val="-2"/>
          <w:w w:val="110"/>
          <w:sz w:val="14"/>
        </w:rPr>
        <w:t>www.federalregister.gov/documents/2023/04/26/</w:t>
      </w:r>
      <w:r w:rsidRPr="00283806">
        <w:rPr>
          <w:rFonts w:ascii="Book Antiqua"/>
          <w:i/>
          <w:spacing w:val="80"/>
          <w:w w:val="110"/>
          <w:sz w:val="14"/>
        </w:rPr>
        <w:t xml:space="preserve"> </w:t>
      </w:r>
      <w:r w:rsidRPr="00283806">
        <w:rPr>
          <w:rFonts w:ascii="Book Antiqua"/>
          <w:i/>
          <w:spacing w:val="-2"/>
          <w:w w:val="110"/>
          <w:sz w:val="14"/>
        </w:rPr>
        <w:t>2023-08955/revitalizing-our-nations-commitment-</w:t>
      </w:r>
      <w:r w:rsidRPr="00283806">
        <w:rPr>
          <w:rFonts w:ascii="Book Antiqua"/>
          <w:i/>
          <w:spacing w:val="40"/>
          <w:w w:val="110"/>
          <w:sz w:val="14"/>
        </w:rPr>
        <w:t xml:space="preserve">  </w:t>
      </w:r>
      <w:r w:rsidRPr="00283806">
        <w:rPr>
          <w:rFonts w:ascii="Book Antiqua"/>
          <w:i/>
          <w:spacing w:val="-2"/>
          <w:w w:val="110"/>
          <w:sz w:val="14"/>
        </w:rPr>
        <w:t>to-environmental-justice-for-all</w:t>
      </w:r>
      <w:r w:rsidRPr="00283806">
        <w:rPr>
          <w:spacing w:val="-2"/>
          <w:w w:val="110"/>
          <w:sz w:val="14"/>
        </w:rPr>
        <w:t>.</w:t>
      </w:r>
    </w:p>
    <w:p w14:paraId="12E58CFE" w14:textId="77777777" w:rsidR="00D67C1E" w:rsidRPr="00283806" w:rsidRDefault="001265CA">
      <w:pPr>
        <w:spacing w:before="7" w:line="160" w:lineRule="exact"/>
        <w:ind w:left="300"/>
        <w:rPr>
          <w:sz w:val="14"/>
        </w:rPr>
      </w:pPr>
      <w:r w:rsidRPr="00283806">
        <w:rPr>
          <w:w w:val="110"/>
          <w:position w:val="4"/>
          <w:sz w:val="9"/>
        </w:rPr>
        <w:t>191</w:t>
      </w:r>
      <w:r w:rsidRPr="00283806">
        <w:rPr>
          <w:spacing w:val="-6"/>
          <w:w w:val="110"/>
          <w:position w:val="4"/>
          <w:sz w:val="9"/>
        </w:rPr>
        <w:t xml:space="preserve"> </w:t>
      </w:r>
      <w:r w:rsidRPr="00283806">
        <w:rPr>
          <w:w w:val="110"/>
          <w:sz w:val="14"/>
        </w:rPr>
        <w:t>See,</w:t>
      </w:r>
      <w:r w:rsidRPr="00283806">
        <w:rPr>
          <w:spacing w:val="-6"/>
          <w:w w:val="110"/>
          <w:sz w:val="14"/>
        </w:rPr>
        <w:t xml:space="preserve"> </w:t>
      </w:r>
      <w:r w:rsidRPr="00283806">
        <w:rPr>
          <w:rFonts w:ascii="Book Antiqua"/>
          <w:i/>
          <w:w w:val="110"/>
          <w:sz w:val="14"/>
        </w:rPr>
        <w:t>e.g.,</w:t>
      </w:r>
      <w:r w:rsidRPr="00283806">
        <w:rPr>
          <w:rFonts w:ascii="Book Antiqua"/>
          <w:i/>
          <w:spacing w:val="-10"/>
          <w:w w:val="110"/>
          <w:sz w:val="14"/>
        </w:rPr>
        <w:t xml:space="preserve"> </w:t>
      </w:r>
      <w:r w:rsidRPr="00283806">
        <w:rPr>
          <w:w w:val="110"/>
          <w:sz w:val="14"/>
        </w:rPr>
        <w:t>Environmental</w:t>
      </w:r>
      <w:r w:rsidRPr="00283806">
        <w:rPr>
          <w:spacing w:val="-5"/>
          <w:w w:val="110"/>
          <w:sz w:val="14"/>
        </w:rPr>
        <w:t xml:space="preserve"> </w:t>
      </w:r>
      <w:r w:rsidRPr="00283806">
        <w:rPr>
          <w:w w:val="110"/>
          <w:sz w:val="14"/>
        </w:rPr>
        <w:t>Protection</w:t>
      </w:r>
      <w:r w:rsidRPr="00283806">
        <w:rPr>
          <w:spacing w:val="-6"/>
          <w:w w:val="110"/>
          <w:sz w:val="14"/>
        </w:rPr>
        <w:t xml:space="preserve"> </w:t>
      </w:r>
      <w:r w:rsidRPr="00283806">
        <w:rPr>
          <w:spacing w:val="-2"/>
          <w:w w:val="110"/>
          <w:sz w:val="14"/>
        </w:rPr>
        <w:t>Agency.</w:t>
      </w:r>
    </w:p>
    <w:p w14:paraId="0B5EAFA3" w14:textId="60B425AF" w:rsidR="00D67C1E" w:rsidRPr="00283806" w:rsidRDefault="001265CA">
      <w:pPr>
        <w:spacing w:before="31" w:line="230" w:lineRule="auto"/>
        <w:ind w:left="150" w:firstLine="140"/>
        <w:rPr>
          <w:sz w:val="14"/>
        </w:rPr>
      </w:pPr>
      <w:r w:rsidRPr="00283806">
        <w:br w:type="column"/>
      </w:r>
      <w:r w:rsidRPr="00283806">
        <w:rPr>
          <w:w w:val="115"/>
          <w:position w:val="4"/>
          <w:sz w:val="9"/>
        </w:rPr>
        <w:t>193</w:t>
      </w:r>
      <w:r w:rsidRPr="00283806">
        <w:rPr>
          <w:spacing w:val="-1"/>
          <w:w w:val="115"/>
          <w:position w:val="4"/>
          <w:sz w:val="9"/>
        </w:rPr>
        <w:t xml:space="preserve"> </w:t>
      </w:r>
      <w:r w:rsidRPr="00283806">
        <w:rPr>
          <w:w w:val="115"/>
          <w:sz w:val="14"/>
        </w:rPr>
        <w:t>The definitions and criteria for</w:t>
      </w:r>
      <w:r w:rsidRPr="00283806">
        <w:rPr>
          <w:spacing w:val="40"/>
          <w:w w:val="115"/>
          <w:sz w:val="14"/>
        </w:rPr>
        <w:t xml:space="preserve"> </w:t>
      </w:r>
      <w:r w:rsidRPr="00283806">
        <w:rPr>
          <w:w w:val="115"/>
          <w:sz w:val="14"/>
        </w:rPr>
        <w:t>‘‘disproportionate</w:t>
      </w:r>
      <w:r w:rsidRPr="00283806">
        <w:rPr>
          <w:spacing w:val="-9"/>
          <w:w w:val="115"/>
          <w:sz w:val="14"/>
        </w:rPr>
        <w:t xml:space="preserve"> </w:t>
      </w:r>
      <w:r w:rsidRPr="00283806">
        <w:rPr>
          <w:w w:val="115"/>
          <w:sz w:val="14"/>
        </w:rPr>
        <w:t>impacts,’’</w:t>
      </w:r>
      <w:r w:rsidRPr="00283806">
        <w:rPr>
          <w:spacing w:val="-9"/>
          <w:w w:val="115"/>
          <w:sz w:val="14"/>
        </w:rPr>
        <w:t xml:space="preserve"> </w:t>
      </w:r>
      <w:r w:rsidRPr="00283806">
        <w:rPr>
          <w:w w:val="115"/>
          <w:sz w:val="14"/>
        </w:rPr>
        <w:t>‘‘difference,’’</w:t>
      </w:r>
      <w:r w:rsidRPr="00283806">
        <w:rPr>
          <w:spacing w:val="-9"/>
          <w:w w:val="115"/>
          <w:sz w:val="14"/>
        </w:rPr>
        <w:t xml:space="preserve"> </w:t>
      </w:r>
      <w:r w:rsidRPr="00283806">
        <w:rPr>
          <w:w w:val="115"/>
          <w:sz w:val="14"/>
        </w:rPr>
        <w:t>and</w:t>
      </w:r>
      <w:r w:rsidRPr="00283806">
        <w:rPr>
          <w:spacing w:val="40"/>
          <w:w w:val="115"/>
          <w:sz w:val="14"/>
        </w:rPr>
        <w:t xml:space="preserve"> </w:t>
      </w:r>
      <w:r w:rsidRPr="00283806">
        <w:rPr>
          <w:w w:val="115"/>
          <w:sz w:val="14"/>
        </w:rPr>
        <w:t>‘‘differential’’</w:t>
      </w:r>
      <w:r w:rsidRPr="00283806">
        <w:rPr>
          <w:spacing w:val="-8"/>
          <w:w w:val="115"/>
          <w:sz w:val="14"/>
        </w:rPr>
        <w:t xml:space="preserve"> </w:t>
      </w:r>
      <w:r w:rsidRPr="00283806">
        <w:rPr>
          <w:w w:val="115"/>
          <w:sz w:val="14"/>
        </w:rPr>
        <w:t>are</w:t>
      </w:r>
      <w:r w:rsidRPr="00283806">
        <w:rPr>
          <w:spacing w:val="-8"/>
          <w:w w:val="115"/>
          <w:sz w:val="14"/>
        </w:rPr>
        <w:t xml:space="preserve"> </w:t>
      </w:r>
      <w:r w:rsidRPr="00283806">
        <w:rPr>
          <w:w w:val="115"/>
          <w:sz w:val="14"/>
        </w:rPr>
        <w:t>contained</w:t>
      </w:r>
      <w:r w:rsidRPr="00283806">
        <w:rPr>
          <w:spacing w:val="-8"/>
          <w:w w:val="115"/>
          <w:sz w:val="14"/>
        </w:rPr>
        <w:t xml:space="preserve"> </w:t>
      </w:r>
      <w:r w:rsidRPr="00283806">
        <w:rPr>
          <w:w w:val="115"/>
          <w:sz w:val="14"/>
        </w:rPr>
        <w:t>in</w:t>
      </w:r>
      <w:r w:rsidRPr="00283806">
        <w:rPr>
          <w:spacing w:val="-8"/>
          <w:w w:val="115"/>
          <w:sz w:val="14"/>
        </w:rPr>
        <w:t xml:space="preserve"> </w:t>
      </w:r>
      <w:r w:rsidRPr="00283806">
        <w:rPr>
          <w:w w:val="115"/>
          <w:sz w:val="14"/>
        </w:rPr>
        <w:t>EPA’s</w:t>
      </w:r>
      <w:r w:rsidRPr="00283806">
        <w:rPr>
          <w:spacing w:val="-8"/>
          <w:w w:val="115"/>
          <w:sz w:val="14"/>
        </w:rPr>
        <w:t xml:space="preserve"> </w:t>
      </w:r>
      <w:r w:rsidRPr="00283806">
        <w:rPr>
          <w:w w:val="115"/>
          <w:sz w:val="14"/>
        </w:rPr>
        <w:t>June</w:t>
      </w:r>
      <w:r w:rsidRPr="00283806">
        <w:rPr>
          <w:spacing w:val="-8"/>
          <w:w w:val="115"/>
          <w:sz w:val="14"/>
        </w:rPr>
        <w:t xml:space="preserve"> </w:t>
      </w:r>
      <w:r w:rsidRPr="00283806">
        <w:rPr>
          <w:w w:val="115"/>
          <w:sz w:val="14"/>
        </w:rPr>
        <w:t>2016</w:t>
      </w:r>
      <w:r w:rsidRPr="00283806">
        <w:rPr>
          <w:spacing w:val="40"/>
          <w:w w:val="115"/>
          <w:sz w:val="14"/>
        </w:rPr>
        <w:t xml:space="preserve"> </w:t>
      </w:r>
      <w:r w:rsidRPr="00283806">
        <w:rPr>
          <w:w w:val="115"/>
          <w:sz w:val="14"/>
        </w:rPr>
        <w:t>document</w:t>
      </w:r>
      <w:r w:rsidRPr="00283806">
        <w:rPr>
          <w:spacing w:val="-5"/>
          <w:w w:val="115"/>
          <w:sz w:val="14"/>
        </w:rPr>
        <w:t xml:space="preserve"> </w:t>
      </w:r>
      <w:r w:rsidRPr="00283806">
        <w:rPr>
          <w:w w:val="115"/>
          <w:sz w:val="14"/>
        </w:rPr>
        <w:t>‘‘Technical</w:t>
      </w:r>
      <w:r w:rsidRPr="00283806">
        <w:rPr>
          <w:spacing w:val="-5"/>
          <w:w w:val="115"/>
          <w:sz w:val="14"/>
        </w:rPr>
        <w:t xml:space="preserve"> </w:t>
      </w:r>
      <w:r w:rsidRPr="00283806">
        <w:rPr>
          <w:w w:val="115"/>
          <w:sz w:val="14"/>
        </w:rPr>
        <w:t>Guidance</w:t>
      </w:r>
      <w:r w:rsidRPr="00283806">
        <w:rPr>
          <w:spacing w:val="-5"/>
          <w:w w:val="115"/>
          <w:sz w:val="14"/>
        </w:rPr>
        <w:t xml:space="preserve"> </w:t>
      </w:r>
      <w:r w:rsidRPr="00283806">
        <w:rPr>
          <w:w w:val="115"/>
          <w:sz w:val="14"/>
        </w:rPr>
        <w:t>for</w:t>
      </w:r>
      <w:r w:rsidRPr="00283806">
        <w:rPr>
          <w:spacing w:val="-5"/>
          <w:w w:val="115"/>
          <w:sz w:val="14"/>
        </w:rPr>
        <w:t xml:space="preserve"> </w:t>
      </w:r>
      <w:r w:rsidRPr="00283806">
        <w:rPr>
          <w:w w:val="115"/>
          <w:sz w:val="14"/>
        </w:rPr>
        <w:t>Assessing</w:t>
      </w:r>
      <w:r w:rsidRPr="00283806">
        <w:rPr>
          <w:spacing w:val="40"/>
          <w:w w:val="115"/>
          <w:sz w:val="14"/>
        </w:rPr>
        <w:t xml:space="preserve"> </w:t>
      </w:r>
      <w:r w:rsidRPr="00283806">
        <w:rPr>
          <w:w w:val="115"/>
          <w:sz w:val="14"/>
        </w:rPr>
        <w:t>Environmental</w:t>
      </w:r>
      <w:r w:rsidRPr="00283806">
        <w:rPr>
          <w:spacing w:val="-9"/>
          <w:w w:val="115"/>
          <w:sz w:val="14"/>
        </w:rPr>
        <w:t xml:space="preserve"> </w:t>
      </w:r>
      <w:r w:rsidRPr="00283806">
        <w:rPr>
          <w:w w:val="115"/>
          <w:sz w:val="14"/>
        </w:rPr>
        <w:t>Justice</w:t>
      </w:r>
      <w:r w:rsidRPr="00283806">
        <w:rPr>
          <w:spacing w:val="-9"/>
          <w:w w:val="115"/>
          <w:sz w:val="14"/>
        </w:rPr>
        <w:t xml:space="preserve"> </w:t>
      </w:r>
      <w:r w:rsidRPr="00283806">
        <w:rPr>
          <w:w w:val="115"/>
          <w:sz w:val="14"/>
        </w:rPr>
        <w:t>in</w:t>
      </w:r>
      <w:r w:rsidRPr="00283806">
        <w:rPr>
          <w:spacing w:val="-9"/>
          <w:w w:val="115"/>
          <w:sz w:val="14"/>
        </w:rPr>
        <w:t xml:space="preserve"> </w:t>
      </w:r>
      <w:r w:rsidRPr="00283806">
        <w:rPr>
          <w:w w:val="115"/>
          <w:sz w:val="14"/>
        </w:rPr>
        <w:t>Regulatory</w:t>
      </w:r>
      <w:r w:rsidRPr="00283806">
        <w:rPr>
          <w:spacing w:val="-9"/>
          <w:w w:val="115"/>
          <w:sz w:val="14"/>
        </w:rPr>
        <w:t xml:space="preserve"> </w:t>
      </w:r>
      <w:r w:rsidRPr="00283806">
        <w:rPr>
          <w:w w:val="115"/>
          <w:sz w:val="14"/>
        </w:rPr>
        <w:t>Analysis.’’</w:t>
      </w:r>
      <w:r w:rsidRPr="00283806">
        <w:rPr>
          <w:spacing w:val="40"/>
          <w:w w:val="115"/>
          <w:sz w:val="14"/>
        </w:rPr>
        <w:t xml:space="preserve"> </w:t>
      </w:r>
      <w:r w:rsidRPr="00283806">
        <w:rPr>
          <w:w w:val="115"/>
          <w:sz w:val="14"/>
        </w:rPr>
        <w:t xml:space="preserve">Available at: </w:t>
      </w:r>
      <w:r w:rsidRPr="00283806">
        <w:rPr>
          <w:rFonts w:ascii="Book Antiqua" w:hAnsi="Book Antiqua"/>
          <w:i/>
          <w:w w:val="115"/>
          <w:sz w:val="14"/>
        </w:rPr>
        <w:t xml:space="preserve">https://www.epa.gov/ </w:t>
      </w:r>
      <w:proofErr w:type="spellStart"/>
      <w:r w:rsidRPr="00283806">
        <w:rPr>
          <w:rFonts w:ascii="Book Antiqua" w:hAnsi="Book Antiqua"/>
          <w:i/>
          <w:spacing w:val="-2"/>
          <w:w w:val="115"/>
          <w:sz w:val="14"/>
        </w:rPr>
        <w:t>environmentaljustice</w:t>
      </w:r>
      <w:proofErr w:type="spellEnd"/>
      <w:r w:rsidRPr="00283806">
        <w:rPr>
          <w:rFonts w:ascii="Book Antiqua" w:hAnsi="Book Antiqua"/>
          <w:i/>
          <w:spacing w:val="-2"/>
          <w:w w:val="115"/>
          <w:sz w:val="14"/>
        </w:rPr>
        <w:t>/technical-guidance-assessing-</w:t>
      </w:r>
      <w:r w:rsidRPr="00283806">
        <w:rPr>
          <w:rFonts w:ascii="Book Antiqua" w:hAnsi="Book Antiqua"/>
          <w:i/>
          <w:spacing w:val="40"/>
          <w:w w:val="115"/>
          <w:sz w:val="14"/>
        </w:rPr>
        <w:t xml:space="preserve"> </w:t>
      </w:r>
      <w:r w:rsidRPr="00283806">
        <w:rPr>
          <w:rFonts w:ascii="Book Antiqua" w:hAnsi="Book Antiqua"/>
          <w:i/>
          <w:spacing w:val="-2"/>
          <w:w w:val="115"/>
          <w:sz w:val="14"/>
        </w:rPr>
        <w:t>environmental-justice-regulatory-analysis</w:t>
      </w:r>
      <w:r w:rsidRPr="00283806">
        <w:rPr>
          <w:spacing w:val="-2"/>
          <w:w w:val="115"/>
          <w:sz w:val="14"/>
        </w:rPr>
        <w:t>.</w:t>
      </w:r>
    </w:p>
    <w:p w14:paraId="4A84BF01" w14:textId="57F6A462" w:rsidR="00D67C1E" w:rsidRPr="00283806" w:rsidRDefault="001265CA">
      <w:pPr>
        <w:spacing w:before="20" w:line="230" w:lineRule="auto"/>
        <w:ind w:left="150" w:right="85" w:firstLine="140"/>
        <w:rPr>
          <w:sz w:val="14"/>
        </w:rPr>
      </w:pPr>
      <w:r w:rsidRPr="00283806">
        <w:rPr>
          <w:w w:val="110"/>
          <w:position w:val="4"/>
          <w:sz w:val="9"/>
        </w:rPr>
        <w:t xml:space="preserve">194 </w:t>
      </w:r>
      <w:r w:rsidRPr="00283806">
        <w:rPr>
          <w:w w:val="110"/>
          <w:sz w:val="14"/>
        </w:rPr>
        <w:t>Presidential Memorandum on Modernizing</w:t>
      </w:r>
      <w:r w:rsidRPr="00283806">
        <w:rPr>
          <w:spacing w:val="40"/>
          <w:w w:val="110"/>
          <w:sz w:val="14"/>
        </w:rPr>
        <w:t xml:space="preserve"> </w:t>
      </w:r>
      <w:r w:rsidRPr="00283806">
        <w:rPr>
          <w:spacing w:val="-2"/>
          <w:w w:val="110"/>
          <w:sz w:val="14"/>
        </w:rPr>
        <w:t>Regulatory</w:t>
      </w:r>
      <w:r w:rsidRPr="00283806">
        <w:rPr>
          <w:spacing w:val="-3"/>
          <w:w w:val="110"/>
          <w:sz w:val="14"/>
        </w:rPr>
        <w:t xml:space="preserve"> </w:t>
      </w:r>
      <w:r w:rsidRPr="00283806">
        <w:rPr>
          <w:spacing w:val="-2"/>
          <w:w w:val="110"/>
          <w:sz w:val="14"/>
        </w:rPr>
        <w:t>Review,</w:t>
      </w:r>
      <w:r w:rsidRPr="00283806">
        <w:rPr>
          <w:spacing w:val="-3"/>
          <w:w w:val="110"/>
          <w:sz w:val="14"/>
        </w:rPr>
        <w:t xml:space="preserve"> </w:t>
      </w:r>
      <w:r w:rsidRPr="00283806">
        <w:rPr>
          <w:spacing w:val="-2"/>
          <w:w w:val="110"/>
          <w:sz w:val="14"/>
        </w:rPr>
        <w:t>January</w:t>
      </w:r>
      <w:r w:rsidRPr="00283806">
        <w:rPr>
          <w:spacing w:val="-3"/>
          <w:w w:val="110"/>
          <w:sz w:val="14"/>
        </w:rPr>
        <w:t xml:space="preserve"> </w:t>
      </w:r>
      <w:r w:rsidRPr="00283806">
        <w:rPr>
          <w:spacing w:val="-2"/>
          <w:w w:val="110"/>
          <w:sz w:val="14"/>
        </w:rPr>
        <w:t>20,</w:t>
      </w:r>
      <w:r w:rsidRPr="00283806">
        <w:rPr>
          <w:spacing w:val="-3"/>
          <w:w w:val="110"/>
          <w:sz w:val="14"/>
        </w:rPr>
        <w:t xml:space="preserve"> </w:t>
      </w:r>
      <w:r w:rsidRPr="00283806">
        <w:rPr>
          <w:spacing w:val="-2"/>
          <w:w w:val="110"/>
          <w:sz w:val="14"/>
        </w:rPr>
        <w:t>2021.</w:t>
      </w:r>
      <w:r w:rsidRPr="00283806">
        <w:rPr>
          <w:spacing w:val="-3"/>
          <w:w w:val="110"/>
          <w:sz w:val="14"/>
        </w:rPr>
        <w:t xml:space="preserve"> </w:t>
      </w:r>
      <w:r w:rsidRPr="00283806">
        <w:rPr>
          <w:spacing w:val="-2"/>
          <w:w w:val="110"/>
          <w:sz w:val="14"/>
        </w:rPr>
        <w:t>Available</w:t>
      </w:r>
      <w:r w:rsidRPr="00283806">
        <w:rPr>
          <w:spacing w:val="-3"/>
          <w:w w:val="110"/>
          <w:sz w:val="14"/>
        </w:rPr>
        <w:t xml:space="preserve"> </w:t>
      </w:r>
      <w:r w:rsidRPr="00283806">
        <w:rPr>
          <w:spacing w:val="-2"/>
          <w:w w:val="110"/>
          <w:sz w:val="14"/>
        </w:rPr>
        <w:t>at:</w:t>
      </w:r>
      <w:r w:rsidRPr="00283806">
        <w:rPr>
          <w:spacing w:val="40"/>
          <w:w w:val="110"/>
          <w:sz w:val="14"/>
        </w:rPr>
        <w:t xml:space="preserve"> </w:t>
      </w:r>
      <w:r w:rsidRPr="00283806">
        <w:rPr>
          <w:rFonts w:ascii="Book Antiqua"/>
          <w:i/>
          <w:spacing w:val="-2"/>
          <w:w w:val="110"/>
          <w:sz w:val="14"/>
        </w:rPr>
        <w:t>https://www.whitehouse.gov/briefing-room/</w:t>
      </w:r>
      <w:r w:rsidRPr="00283806">
        <w:rPr>
          <w:rFonts w:ascii="Book Antiqua"/>
          <w:i/>
          <w:spacing w:val="40"/>
          <w:w w:val="110"/>
          <w:sz w:val="14"/>
        </w:rPr>
        <w:t xml:space="preserve"> </w:t>
      </w:r>
      <w:r w:rsidRPr="00283806">
        <w:rPr>
          <w:rFonts w:ascii="Book Antiqua"/>
          <w:i/>
          <w:spacing w:val="-2"/>
          <w:w w:val="110"/>
          <w:sz w:val="14"/>
        </w:rPr>
        <w:t>presidential-actions/2021/01/20/modernizing-</w:t>
      </w:r>
      <w:r w:rsidRPr="00283806">
        <w:rPr>
          <w:rFonts w:ascii="Book Antiqua"/>
          <w:i/>
          <w:spacing w:val="40"/>
          <w:w w:val="110"/>
          <w:sz w:val="14"/>
        </w:rPr>
        <w:t xml:space="preserve"> </w:t>
      </w:r>
      <w:r w:rsidRPr="00283806">
        <w:rPr>
          <w:rFonts w:ascii="Book Antiqua"/>
          <w:i/>
          <w:spacing w:val="-2"/>
          <w:w w:val="110"/>
          <w:sz w:val="14"/>
        </w:rPr>
        <w:t>regulatory-review/</w:t>
      </w:r>
      <w:r w:rsidRPr="00283806">
        <w:rPr>
          <w:spacing w:val="-2"/>
          <w:w w:val="110"/>
          <w:sz w:val="14"/>
        </w:rPr>
        <w:t>.</w:t>
      </w:r>
    </w:p>
    <w:p w14:paraId="61A06B71" w14:textId="2D9A8688" w:rsidR="00D67C1E" w:rsidRPr="00283806" w:rsidRDefault="001265CA">
      <w:pPr>
        <w:spacing w:before="15" w:line="230" w:lineRule="auto"/>
        <w:ind w:left="150" w:firstLine="140"/>
        <w:rPr>
          <w:sz w:val="14"/>
        </w:rPr>
      </w:pPr>
      <w:r w:rsidRPr="00283806">
        <w:rPr>
          <w:w w:val="110"/>
          <w:position w:val="4"/>
          <w:sz w:val="9"/>
        </w:rPr>
        <w:t xml:space="preserve">195 </w:t>
      </w:r>
      <w:r w:rsidRPr="00283806">
        <w:rPr>
          <w:w w:val="110"/>
          <w:sz w:val="14"/>
        </w:rPr>
        <w:t>Office of Management &amp; Budget, Circular No.</w:t>
      </w:r>
      <w:r w:rsidRPr="00283806">
        <w:rPr>
          <w:spacing w:val="40"/>
          <w:w w:val="110"/>
          <w:sz w:val="14"/>
        </w:rPr>
        <w:t xml:space="preserve"> </w:t>
      </w:r>
      <w:r w:rsidRPr="00283806">
        <w:rPr>
          <w:w w:val="110"/>
          <w:sz w:val="14"/>
        </w:rPr>
        <w:t>A–94, Guidelines and Discount Rates for Benefit-</w:t>
      </w:r>
      <w:r w:rsidRPr="00283806">
        <w:rPr>
          <w:spacing w:val="40"/>
          <w:w w:val="110"/>
          <w:sz w:val="14"/>
        </w:rPr>
        <w:t xml:space="preserve"> </w:t>
      </w:r>
      <w:r w:rsidRPr="00283806">
        <w:rPr>
          <w:w w:val="110"/>
          <w:sz w:val="14"/>
        </w:rPr>
        <w:t>Cost Analysis of Federal Programs 17–18,</w:t>
      </w:r>
      <w:r w:rsidRPr="00283806">
        <w:rPr>
          <w:spacing w:val="40"/>
          <w:w w:val="110"/>
          <w:sz w:val="14"/>
        </w:rPr>
        <w:t xml:space="preserve"> </w:t>
      </w:r>
      <w:r w:rsidRPr="00283806">
        <w:rPr>
          <w:w w:val="110"/>
          <w:sz w:val="14"/>
        </w:rPr>
        <w:t xml:space="preserve">November 9, 2023. Available at: </w:t>
      </w:r>
      <w:r w:rsidRPr="00283806">
        <w:rPr>
          <w:rFonts w:ascii="Book Antiqua" w:hAnsi="Book Antiqua"/>
          <w:i/>
          <w:w w:val="110"/>
          <w:sz w:val="14"/>
        </w:rPr>
        <w:t>https://</w:t>
      </w:r>
      <w:r w:rsidRPr="00283806">
        <w:rPr>
          <w:rFonts w:ascii="Book Antiqua" w:hAnsi="Book Antiqua"/>
          <w:i/>
          <w:spacing w:val="40"/>
          <w:w w:val="110"/>
          <w:sz w:val="14"/>
        </w:rPr>
        <w:t xml:space="preserve"> </w:t>
      </w:r>
      <w:r w:rsidRPr="00283806">
        <w:rPr>
          <w:rFonts w:ascii="Book Antiqua" w:hAnsi="Book Antiqua"/>
          <w:i/>
          <w:spacing w:val="-2"/>
          <w:w w:val="110"/>
          <w:sz w:val="14"/>
        </w:rPr>
        <w:t>www.whitehouse.gov/wp-content/uploads/2023/11/</w:t>
      </w:r>
      <w:r w:rsidRPr="00283806">
        <w:rPr>
          <w:rFonts w:ascii="Book Antiqua" w:hAnsi="Book Antiqua"/>
          <w:i/>
          <w:spacing w:val="40"/>
          <w:w w:val="110"/>
          <w:sz w:val="14"/>
        </w:rPr>
        <w:t xml:space="preserve"> </w:t>
      </w:r>
      <w:r w:rsidRPr="00283806">
        <w:rPr>
          <w:rFonts w:ascii="Book Antiqua" w:hAnsi="Book Antiqua"/>
          <w:i/>
          <w:spacing w:val="-2"/>
          <w:w w:val="110"/>
          <w:sz w:val="14"/>
        </w:rPr>
        <w:t>CircularA-94.pdf</w:t>
      </w:r>
      <w:r w:rsidRPr="00283806">
        <w:rPr>
          <w:spacing w:val="-2"/>
          <w:w w:val="110"/>
          <w:sz w:val="14"/>
        </w:rPr>
        <w:t>.</w:t>
      </w:r>
    </w:p>
    <w:p w14:paraId="6246C556" w14:textId="77777777" w:rsidR="00D67C1E" w:rsidRPr="00283806" w:rsidRDefault="001265CA">
      <w:pPr>
        <w:pStyle w:val="BodyText"/>
        <w:spacing w:before="84" w:line="228" w:lineRule="auto"/>
        <w:ind w:left="159" w:right="223"/>
      </w:pPr>
      <w:r w:rsidRPr="00283806">
        <w:br w:type="column"/>
      </w:r>
      <w:proofErr w:type="gramStart"/>
      <w:r w:rsidRPr="00283806">
        <w:rPr>
          <w:w w:val="105"/>
        </w:rPr>
        <w:t>this</w:t>
      </w:r>
      <w:proofErr w:type="gramEnd"/>
      <w:r w:rsidRPr="00283806">
        <w:rPr>
          <w:w w:val="105"/>
        </w:rPr>
        <w:t xml:space="preserve"> rule also estimates that a portion of these benefits would be incremental to emissions reductions that were anticipated under the Allocation Framework Rule and the 2023 Technology Transitions Rule, thus further reducing the risks of climate change associated with the emissions avoided through this rule.</w:t>
      </w:r>
    </w:p>
    <w:p w14:paraId="500D54AD" w14:textId="77777777" w:rsidR="00D67C1E" w:rsidRPr="00283806" w:rsidRDefault="001265CA">
      <w:pPr>
        <w:pStyle w:val="BodyText"/>
        <w:spacing w:line="176" w:lineRule="exact"/>
        <w:ind w:left="339"/>
      </w:pPr>
      <w:r w:rsidRPr="00283806">
        <w:rPr>
          <w:w w:val="110"/>
        </w:rPr>
        <w:t>While</w:t>
      </w:r>
      <w:r w:rsidRPr="00283806">
        <w:rPr>
          <w:spacing w:val="-8"/>
          <w:w w:val="110"/>
        </w:rPr>
        <w:t xml:space="preserve"> </w:t>
      </w:r>
      <w:r w:rsidRPr="00283806">
        <w:rPr>
          <w:w w:val="110"/>
        </w:rPr>
        <w:t>providing</w:t>
      </w:r>
      <w:r w:rsidRPr="00283806">
        <w:rPr>
          <w:spacing w:val="-8"/>
          <w:w w:val="110"/>
        </w:rPr>
        <w:t xml:space="preserve"> </w:t>
      </w:r>
      <w:r w:rsidRPr="00283806">
        <w:rPr>
          <w:w w:val="110"/>
        </w:rPr>
        <w:t>additional</w:t>
      </w:r>
      <w:r w:rsidRPr="00283806">
        <w:rPr>
          <w:spacing w:val="-8"/>
          <w:w w:val="110"/>
        </w:rPr>
        <w:t xml:space="preserve"> </w:t>
      </w:r>
      <w:r w:rsidRPr="00283806">
        <w:rPr>
          <w:spacing w:val="-2"/>
          <w:w w:val="110"/>
        </w:rPr>
        <w:t>overall</w:t>
      </w:r>
    </w:p>
    <w:p w14:paraId="2A7641EC" w14:textId="77777777" w:rsidR="00D67C1E" w:rsidRPr="00283806" w:rsidRDefault="001265CA">
      <w:pPr>
        <w:pStyle w:val="BodyText"/>
        <w:spacing w:before="3" w:line="228" w:lineRule="auto"/>
        <w:ind w:left="159" w:right="244"/>
      </w:pPr>
      <w:r w:rsidRPr="00283806">
        <w:rPr>
          <w:w w:val="105"/>
        </w:rPr>
        <w:t>climate benefits, this rule may also</w:t>
      </w:r>
      <w:r w:rsidRPr="00283806">
        <w:rPr>
          <w:spacing w:val="40"/>
          <w:w w:val="105"/>
        </w:rPr>
        <w:t xml:space="preserve"> </w:t>
      </w:r>
      <w:r w:rsidRPr="00283806">
        <w:rPr>
          <w:w w:val="105"/>
        </w:rPr>
        <w:t>result in changes in emissions of air pollutants or other chemicals which are potential byproducts of HFC</w:t>
      </w:r>
      <w:r w:rsidRPr="00283806">
        <w:rPr>
          <w:spacing w:val="80"/>
          <w:w w:val="105"/>
        </w:rPr>
        <w:t xml:space="preserve"> </w:t>
      </w:r>
      <w:r w:rsidRPr="00283806">
        <w:rPr>
          <w:w w:val="105"/>
        </w:rPr>
        <w:t>reclamation processes at affected</w:t>
      </w:r>
    </w:p>
    <w:p w14:paraId="15CBC2BE" w14:textId="77777777" w:rsidR="00D67C1E" w:rsidRPr="00283806" w:rsidRDefault="00D67C1E">
      <w:pPr>
        <w:spacing w:line="228" w:lineRule="auto"/>
        <w:sectPr w:rsidR="00D67C1E" w:rsidRPr="00283806">
          <w:type w:val="continuous"/>
          <w:pgSz w:w="12240" w:h="15840"/>
          <w:pgMar w:top="880" w:right="780" w:bottom="280" w:left="740" w:header="627" w:footer="0" w:gutter="0"/>
          <w:cols w:num="3" w:space="720" w:equalWidth="0">
            <w:col w:w="3510" w:space="40"/>
            <w:col w:w="3480" w:space="50"/>
            <w:col w:w="3640"/>
          </w:cols>
        </w:sectPr>
      </w:pPr>
    </w:p>
    <w:p w14:paraId="44FABBDB" w14:textId="259D9C7D" w:rsidR="00D67C1E" w:rsidRPr="00283806" w:rsidRDefault="001265CA">
      <w:pPr>
        <w:tabs>
          <w:tab w:val="left" w:pos="3839"/>
          <w:tab w:val="left" w:pos="7239"/>
          <w:tab w:val="left" w:pos="8239"/>
        </w:tabs>
        <w:spacing w:line="160" w:lineRule="exact"/>
        <w:ind w:left="159"/>
        <w:rPr>
          <w:sz w:val="14"/>
        </w:rPr>
      </w:pPr>
      <w:r w:rsidRPr="00283806">
        <w:rPr>
          <w:w w:val="110"/>
          <w:sz w:val="14"/>
        </w:rPr>
        <w:t>‘‘</w:t>
      </w:r>
      <w:r w:rsidRPr="00283806">
        <w:rPr>
          <w:rFonts w:ascii="Book Antiqua" w:hAnsi="Book Antiqua"/>
          <w:i/>
          <w:w w:val="110"/>
          <w:sz w:val="14"/>
        </w:rPr>
        <w:t>Environmental</w:t>
      </w:r>
      <w:r w:rsidRPr="00283806">
        <w:rPr>
          <w:rFonts w:ascii="Book Antiqua" w:hAnsi="Book Antiqua"/>
          <w:i/>
          <w:spacing w:val="7"/>
          <w:w w:val="110"/>
          <w:sz w:val="14"/>
        </w:rPr>
        <w:t xml:space="preserve"> </w:t>
      </w:r>
      <w:r w:rsidRPr="00283806">
        <w:rPr>
          <w:rFonts w:ascii="Book Antiqua" w:hAnsi="Book Antiqua"/>
          <w:i/>
          <w:w w:val="110"/>
          <w:sz w:val="14"/>
        </w:rPr>
        <w:t>Justice</w:t>
      </w:r>
      <w:r w:rsidRPr="00283806">
        <w:rPr>
          <w:w w:val="110"/>
          <w:sz w:val="14"/>
        </w:rPr>
        <w:t>.’’</w:t>
      </w:r>
      <w:r w:rsidRPr="00283806">
        <w:rPr>
          <w:spacing w:val="12"/>
          <w:w w:val="110"/>
          <w:sz w:val="14"/>
        </w:rPr>
        <w:t xml:space="preserve"> </w:t>
      </w:r>
      <w:r w:rsidRPr="00283806">
        <w:rPr>
          <w:w w:val="110"/>
          <w:sz w:val="14"/>
        </w:rPr>
        <w:t>Available</w:t>
      </w:r>
      <w:r w:rsidRPr="00283806">
        <w:rPr>
          <w:spacing w:val="12"/>
          <w:w w:val="110"/>
          <w:sz w:val="14"/>
        </w:rPr>
        <w:t xml:space="preserve"> </w:t>
      </w:r>
      <w:r w:rsidRPr="00283806">
        <w:rPr>
          <w:w w:val="110"/>
          <w:sz w:val="14"/>
        </w:rPr>
        <w:t>at:</w:t>
      </w:r>
      <w:r w:rsidRPr="00283806">
        <w:rPr>
          <w:spacing w:val="11"/>
          <w:w w:val="110"/>
          <w:sz w:val="14"/>
        </w:rPr>
        <w:t xml:space="preserve"> </w:t>
      </w:r>
      <w:r w:rsidRPr="00283806">
        <w:rPr>
          <w:rFonts w:ascii="Book Antiqua" w:hAnsi="Book Antiqua"/>
          <w:i/>
          <w:spacing w:val="-2"/>
          <w:w w:val="110"/>
          <w:sz w:val="14"/>
        </w:rPr>
        <w:t>https://</w:t>
      </w:r>
      <w:r w:rsidRPr="00283806">
        <w:rPr>
          <w:rFonts w:ascii="Book Antiqua" w:hAnsi="Book Antiqua"/>
          <w:i/>
          <w:sz w:val="14"/>
        </w:rPr>
        <w:tab/>
      </w:r>
      <w:r w:rsidRPr="00283806">
        <w:rPr>
          <w:w w:val="110"/>
          <w:position w:val="4"/>
          <w:sz w:val="9"/>
        </w:rPr>
        <w:t xml:space="preserve">196 </w:t>
      </w:r>
      <w:r w:rsidRPr="00283806">
        <w:rPr>
          <w:w w:val="110"/>
          <w:sz w:val="14"/>
        </w:rPr>
        <w:t>Technical</w:t>
      </w:r>
      <w:r w:rsidRPr="00283806">
        <w:rPr>
          <w:spacing w:val="5"/>
          <w:w w:val="110"/>
          <w:sz w:val="14"/>
        </w:rPr>
        <w:t xml:space="preserve"> </w:t>
      </w:r>
      <w:r w:rsidRPr="00283806">
        <w:rPr>
          <w:w w:val="110"/>
          <w:sz w:val="14"/>
        </w:rPr>
        <w:t>Guidance</w:t>
      </w:r>
      <w:r w:rsidRPr="00283806">
        <w:rPr>
          <w:spacing w:val="4"/>
          <w:w w:val="110"/>
          <w:sz w:val="14"/>
        </w:rPr>
        <w:t xml:space="preserve"> </w:t>
      </w:r>
      <w:r w:rsidRPr="00283806">
        <w:rPr>
          <w:w w:val="110"/>
          <w:sz w:val="14"/>
        </w:rPr>
        <w:t>for</w:t>
      </w:r>
      <w:r w:rsidRPr="00283806">
        <w:rPr>
          <w:spacing w:val="5"/>
          <w:w w:val="110"/>
          <w:sz w:val="14"/>
        </w:rPr>
        <w:t xml:space="preserve"> </w:t>
      </w:r>
      <w:r w:rsidRPr="00283806">
        <w:rPr>
          <w:spacing w:val="-2"/>
          <w:w w:val="110"/>
          <w:sz w:val="14"/>
        </w:rPr>
        <w:t>Assessing</w:t>
      </w:r>
      <w:r w:rsidRPr="00283806">
        <w:rPr>
          <w:sz w:val="14"/>
        </w:rPr>
        <w:tab/>
      </w:r>
      <w:r w:rsidRPr="00283806">
        <w:rPr>
          <w:sz w:val="14"/>
          <w:u w:val="single"/>
        </w:rPr>
        <w:tab/>
      </w:r>
    </w:p>
    <w:p w14:paraId="62058950" w14:textId="77777777" w:rsidR="00D67C1E" w:rsidRPr="00283806" w:rsidRDefault="00D67C1E">
      <w:pPr>
        <w:spacing w:line="160" w:lineRule="exact"/>
        <w:rPr>
          <w:sz w:val="14"/>
        </w:rPr>
        <w:sectPr w:rsidR="00D67C1E" w:rsidRPr="00283806">
          <w:type w:val="continuous"/>
          <w:pgSz w:w="12240" w:h="15840"/>
          <w:pgMar w:top="880" w:right="780" w:bottom="280" w:left="740" w:header="627" w:footer="0" w:gutter="0"/>
          <w:cols w:space="720"/>
        </w:sectPr>
      </w:pPr>
    </w:p>
    <w:p w14:paraId="0971AA37" w14:textId="6C853DD8" w:rsidR="00D67C1E" w:rsidRPr="00283806" w:rsidRDefault="001265CA">
      <w:pPr>
        <w:spacing w:before="1"/>
        <w:ind w:left="159"/>
        <w:rPr>
          <w:sz w:val="14"/>
        </w:rPr>
      </w:pPr>
      <w:r w:rsidRPr="00283806">
        <w:rPr>
          <w:rFonts w:ascii="Book Antiqua"/>
          <w:i/>
          <w:spacing w:val="-2"/>
          <w:w w:val="115"/>
          <w:sz w:val="14"/>
        </w:rPr>
        <w:t>www.epa.gov/environmentaljustice</w:t>
      </w:r>
      <w:r w:rsidRPr="00283806">
        <w:rPr>
          <w:spacing w:val="-2"/>
          <w:w w:val="115"/>
          <w:sz w:val="14"/>
        </w:rPr>
        <w:t>.</w:t>
      </w:r>
    </w:p>
    <w:p w14:paraId="689BC5E3" w14:textId="540150E1" w:rsidR="00D67C1E" w:rsidRPr="00283806" w:rsidRDefault="001265CA">
      <w:pPr>
        <w:spacing w:before="14" w:line="228" w:lineRule="auto"/>
        <w:ind w:left="159" w:firstLine="140"/>
        <w:rPr>
          <w:sz w:val="14"/>
        </w:rPr>
      </w:pPr>
      <w:r w:rsidRPr="00283806">
        <w:rPr>
          <w:w w:val="115"/>
          <w:position w:val="4"/>
          <w:sz w:val="9"/>
        </w:rPr>
        <w:t>192</w:t>
      </w:r>
      <w:r w:rsidRPr="00283806">
        <w:rPr>
          <w:spacing w:val="-6"/>
          <w:w w:val="115"/>
          <w:position w:val="4"/>
          <w:sz w:val="9"/>
        </w:rPr>
        <w:t xml:space="preserve"> </w:t>
      </w:r>
      <w:r w:rsidRPr="00283806">
        <w:rPr>
          <w:w w:val="115"/>
          <w:sz w:val="14"/>
        </w:rPr>
        <w:t>The</w:t>
      </w:r>
      <w:r w:rsidRPr="00283806">
        <w:rPr>
          <w:spacing w:val="-9"/>
          <w:w w:val="115"/>
          <w:sz w:val="14"/>
        </w:rPr>
        <w:t xml:space="preserve"> </w:t>
      </w:r>
      <w:r w:rsidRPr="00283806">
        <w:rPr>
          <w:w w:val="115"/>
          <w:sz w:val="14"/>
        </w:rPr>
        <w:t>criteria</w:t>
      </w:r>
      <w:r w:rsidRPr="00283806">
        <w:rPr>
          <w:spacing w:val="-9"/>
          <w:w w:val="115"/>
          <w:sz w:val="14"/>
        </w:rPr>
        <w:t xml:space="preserve"> </w:t>
      </w:r>
      <w:r w:rsidRPr="00283806">
        <w:rPr>
          <w:w w:val="115"/>
          <w:sz w:val="14"/>
        </w:rPr>
        <w:t>for</w:t>
      </w:r>
      <w:r w:rsidRPr="00283806">
        <w:rPr>
          <w:spacing w:val="-9"/>
          <w:w w:val="115"/>
          <w:sz w:val="14"/>
        </w:rPr>
        <w:t xml:space="preserve"> </w:t>
      </w:r>
      <w:r w:rsidRPr="00283806">
        <w:rPr>
          <w:w w:val="115"/>
          <w:sz w:val="14"/>
        </w:rPr>
        <w:t>meaningful</w:t>
      </w:r>
      <w:r w:rsidRPr="00283806">
        <w:rPr>
          <w:spacing w:val="-9"/>
          <w:w w:val="115"/>
          <w:sz w:val="14"/>
        </w:rPr>
        <w:t xml:space="preserve"> </w:t>
      </w:r>
      <w:r w:rsidRPr="00283806">
        <w:rPr>
          <w:w w:val="115"/>
          <w:sz w:val="14"/>
        </w:rPr>
        <w:t>involvement</w:t>
      </w:r>
      <w:r w:rsidRPr="00283806">
        <w:rPr>
          <w:spacing w:val="-9"/>
          <w:w w:val="115"/>
          <w:sz w:val="14"/>
        </w:rPr>
        <w:t xml:space="preserve"> </w:t>
      </w:r>
      <w:r w:rsidRPr="00283806">
        <w:rPr>
          <w:w w:val="115"/>
          <w:sz w:val="14"/>
        </w:rPr>
        <w:t>are</w:t>
      </w:r>
      <w:r w:rsidRPr="00283806">
        <w:rPr>
          <w:spacing w:val="40"/>
          <w:w w:val="115"/>
          <w:sz w:val="14"/>
        </w:rPr>
        <w:t xml:space="preserve"> </w:t>
      </w:r>
      <w:r w:rsidRPr="00283806">
        <w:rPr>
          <w:w w:val="110"/>
          <w:sz w:val="14"/>
        </w:rPr>
        <w:t>contained in EPA’s May 2015 document ‘‘</w:t>
      </w:r>
      <w:r w:rsidRPr="00283806">
        <w:rPr>
          <w:rFonts w:ascii="Book Antiqua" w:hAnsi="Book Antiqua"/>
          <w:i/>
          <w:w w:val="110"/>
          <w:sz w:val="14"/>
        </w:rPr>
        <w:t>Guidance</w:t>
      </w:r>
      <w:r w:rsidRPr="00283806">
        <w:rPr>
          <w:rFonts w:ascii="Book Antiqua" w:hAnsi="Book Antiqua"/>
          <w:i/>
          <w:w w:val="115"/>
          <w:sz w:val="14"/>
        </w:rPr>
        <w:t xml:space="preserve"> on Considering Environmental Justice During the Development of an Action</w:t>
      </w:r>
      <w:r w:rsidRPr="00283806">
        <w:rPr>
          <w:w w:val="115"/>
          <w:sz w:val="14"/>
        </w:rPr>
        <w:t>.’’ Environmental</w:t>
      </w:r>
      <w:r w:rsidRPr="00283806">
        <w:rPr>
          <w:spacing w:val="40"/>
          <w:w w:val="115"/>
          <w:sz w:val="14"/>
        </w:rPr>
        <w:t xml:space="preserve"> </w:t>
      </w:r>
      <w:r w:rsidRPr="00283806">
        <w:rPr>
          <w:w w:val="115"/>
          <w:sz w:val="14"/>
        </w:rPr>
        <w:t>Protection</w:t>
      </w:r>
      <w:r w:rsidRPr="00283806">
        <w:rPr>
          <w:spacing w:val="-9"/>
          <w:w w:val="115"/>
          <w:sz w:val="14"/>
        </w:rPr>
        <w:t xml:space="preserve"> </w:t>
      </w:r>
      <w:r w:rsidRPr="00283806">
        <w:rPr>
          <w:w w:val="115"/>
          <w:sz w:val="14"/>
        </w:rPr>
        <w:t>Agency,</w:t>
      </w:r>
      <w:r w:rsidRPr="00283806">
        <w:rPr>
          <w:spacing w:val="-9"/>
          <w:w w:val="115"/>
          <w:sz w:val="14"/>
        </w:rPr>
        <w:t xml:space="preserve"> </w:t>
      </w:r>
      <w:r w:rsidRPr="00283806">
        <w:rPr>
          <w:w w:val="115"/>
          <w:sz w:val="14"/>
        </w:rPr>
        <w:t>17</w:t>
      </w:r>
      <w:r w:rsidRPr="00283806">
        <w:rPr>
          <w:spacing w:val="-9"/>
          <w:w w:val="115"/>
          <w:sz w:val="14"/>
        </w:rPr>
        <w:t xml:space="preserve"> </w:t>
      </w:r>
      <w:r w:rsidRPr="00283806">
        <w:rPr>
          <w:w w:val="115"/>
          <w:sz w:val="14"/>
        </w:rPr>
        <w:t>Feb.</w:t>
      </w:r>
      <w:r w:rsidRPr="00283806">
        <w:rPr>
          <w:spacing w:val="-9"/>
          <w:w w:val="115"/>
          <w:sz w:val="14"/>
        </w:rPr>
        <w:t xml:space="preserve"> </w:t>
      </w:r>
      <w:r w:rsidRPr="00283806">
        <w:rPr>
          <w:w w:val="115"/>
          <w:sz w:val="14"/>
        </w:rPr>
        <w:t>2017.</w:t>
      </w:r>
      <w:r w:rsidRPr="00283806">
        <w:rPr>
          <w:spacing w:val="-9"/>
          <w:w w:val="115"/>
          <w:sz w:val="14"/>
        </w:rPr>
        <w:t xml:space="preserve"> </w:t>
      </w:r>
      <w:r w:rsidRPr="00283806">
        <w:rPr>
          <w:w w:val="115"/>
          <w:sz w:val="14"/>
        </w:rPr>
        <w:t>Available</w:t>
      </w:r>
      <w:r w:rsidRPr="00283806">
        <w:rPr>
          <w:spacing w:val="-9"/>
          <w:w w:val="115"/>
          <w:sz w:val="14"/>
        </w:rPr>
        <w:t xml:space="preserve"> </w:t>
      </w:r>
      <w:r w:rsidRPr="00283806">
        <w:rPr>
          <w:w w:val="115"/>
          <w:sz w:val="14"/>
        </w:rPr>
        <w:t>at:</w:t>
      </w:r>
      <w:r w:rsidRPr="00283806">
        <w:rPr>
          <w:spacing w:val="40"/>
          <w:w w:val="115"/>
          <w:sz w:val="14"/>
        </w:rPr>
        <w:t xml:space="preserve"> </w:t>
      </w:r>
      <w:r w:rsidRPr="00283806">
        <w:rPr>
          <w:rFonts w:ascii="Book Antiqua" w:hAnsi="Book Antiqua"/>
          <w:i/>
          <w:spacing w:val="-2"/>
          <w:w w:val="115"/>
          <w:sz w:val="14"/>
        </w:rPr>
        <w:t>https://www.epa.gov/environmentaljustice/</w:t>
      </w:r>
      <w:r w:rsidRPr="00283806">
        <w:rPr>
          <w:rFonts w:ascii="Book Antiqua" w:hAnsi="Book Antiqua"/>
          <w:i/>
          <w:spacing w:val="40"/>
          <w:w w:val="115"/>
          <w:sz w:val="14"/>
        </w:rPr>
        <w:t xml:space="preserve"> </w:t>
      </w:r>
      <w:r w:rsidRPr="00283806">
        <w:rPr>
          <w:rFonts w:ascii="Book Antiqua" w:hAnsi="Book Antiqua"/>
          <w:i/>
          <w:spacing w:val="-2"/>
          <w:w w:val="110"/>
          <w:sz w:val="14"/>
        </w:rPr>
        <w:t>guidance-considering-environmental-justice-during-</w:t>
      </w:r>
      <w:r w:rsidRPr="00283806">
        <w:rPr>
          <w:rFonts w:ascii="Book Antiqua" w:hAnsi="Book Antiqua"/>
          <w:i/>
          <w:spacing w:val="40"/>
          <w:w w:val="115"/>
          <w:sz w:val="14"/>
        </w:rPr>
        <w:t xml:space="preserve"> </w:t>
      </w:r>
      <w:r w:rsidRPr="00283806">
        <w:rPr>
          <w:rFonts w:ascii="Book Antiqua" w:hAnsi="Book Antiqua"/>
          <w:i/>
          <w:spacing w:val="-2"/>
          <w:w w:val="115"/>
          <w:sz w:val="14"/>
        </w:rPr>
        <w:t>development-action</w:t>
      </w:r>
      <w:r w:rsidRPr="00283806">
        <w:rPr>
          <w:spacing w:val="-2"/>
          <w:w w:val="115"/>
          <w:sz w:val="14"/>
        </w:rPr>
        <w:t>.</w:t>
      </w:r>
    </w:p>
    <w:p w14:paraId="3B03815D" w14:textId="51EBC303" w:rsidR="00D67C1E" w:rsidRPr="00283806" w:rsidRDefault="001265CA">
      <w:pPr>
        <w:spacing w:before="10" w:line="223" w:lineRule="auto"/>
        <w:ind w:left="147" w:right="37"/>
        <w:rPr>
          <w:sz w:val="14"/>
        </w:rPr>
      </w:pPr>
      <w:r w:rsidRPr="00283806">
        <w:br w:type="column"/>
      </w:r>
      <w:r w:rsidRPr="00283806">
        <w:rPr>
          <w:w w:val="110"/>
          <w:sz w:val="14"/>
        </w:rPr>
        <w:t>Environmental</w:t>
      </w:r>
      <w:r w:rsidRPr="00283806">
        <w:rPr>
          <w:spacing w:val="-9"/>
          <w:w w:val="110"/>
          <w:sz w:val="14"/>
        </w:rPr>
        <w:t xml:space="preserve"> </w:t>
      </w:r>
      <w:r w:rsidRPr="00283806">
        <w:rPr>
          <w:w w:val="110"/>
          <w:sz w:val="14"/>
        </w:rPr>
        <w:t>Justice</w:t>
      </w:r>
      <w:r w:rsidRPr="00283806">
        <w:rPr>
          <w:spacing w:val="-8"/>
          <w:w w:val="110"/>
          <w:sz w:val="14"/>
        </w:rPr>
        <w:t xml:space="preserve"> </w:t>
      </w:r>
      <w:r w:rsidRPr="00283806">
        <w:rPr>
          <w:w w:val="110"/>
          <w:sz w:val="14"/>
        </w:rPr>
        <w:t>in</w:t>
      </w:r>
      <w:r w:rsidRPr="00283806">
        <w:rPr>
          <w:spacing w:val="-9"/>
          <w:w w:val="110"/>
          <w:sz w:val="14"/>
        </w:rPr>
        <w:t xml:space="preserve"> </w:t>
      </w:r>
      <w:r w:rsidRPr="00283806">
        <w:rPr>
          <w:w w:val="110"/>
          <w:sz w:val="14"/>
        </w:rPr>
        <w:t>Regulatory</w:t>
      </w:r>
      <w:r w:rsidRPr="00283806">
        <w:rPr>
          <w:spacing w:val="-8"/>
          <w:w w:val="110"/>
          <w:sz w:val="14"/>
        </w:rPr>
        <w:t xml:space="preserve"> </w:t>
      </w:r>
      <w:r w:rsidRPr="00283806">
        <w:rPr>
          <w:w w:val="110"/>
          <w:sz w:val="14"/>
        </w:rPr>
        <w:t>Analysis,</w:t>
      </w:r>
      <w:r w:rsidRPr="00283806">
        <w:rPr>
          <w:spacing w:val="-9"/>
          <w:w w:val="110"/>
          <w:sz w:val="14"/>
        </w:rPr>
        <w:t xml:space="preserve"> </w:t>
      </w:r>
      <w:r w:rsidRPr="00283806">
        <w:rPr>
          <w:w w:val="110"/>
          <w:sz w:val="14"/>
        </w:rPr>
        <w:t>June</w:t>
      </w:r>
      <w:r w:rsidRPr="00283806">
        <w:rPr>
          <w:spacing w:val="40"/>
          <w:w w:val="110"/>
          <w:sz w:val="14"/>
        </w:rPr>
        <w:t xml:space="preserve"> </w:t>
      </w:r>
      <w:r w:rsidRPr="00283806">
        <w:rPr>
          <w:w w:val="110"/>
          <w:sz w:val="14"/>
        </w:rPr>
        <w:t xml:space="preserve">2016. Available at: </w:t>
      </w:r>
      <w:r w:rsidRPr="00283806">
        <w:rPr>
          <w:rFonts w:ascii="Book Antiqua" w:hAnsi="Book Antiqua"/>
          <w:i/>
          <w:w w:val="110"/>
          <w:sz w:val="14"/>
        </w:rPr>
        <w:t>https://www.epa.gov/sites/</w:t>
      </w:r>
      <w:r w:rsidRPr="00283806">
        <w:rPr>
          <w:rFonts w:ascii="Book Antiqua" w:hAnsi="Book Antiqua"/>
          <w:i/>
          <w:spacing w:val="40"/>
          <w:w w:val="110"/>
          <w:sz w:val="14"/>
        </w:rPr>
        <w:t xml:space="preserve"> </w:t>
      </w:r>
      <w:r w:rsidRPr="00283806">
        <w:rPr>
          <w:rFonts w:ascii="Book Antiqua" w:hAnsi="Book Antiqua"/>
          <w:i/>
          <w:spacing w:val="-2"/>
          <w:w w:val="110"/>
          <w:sz w:val="14"/>
        </w:rPr>
        <w:t>default/files/2016-06/documents/ejtg</w:t>
      </w:r>
      <w:r w:rsidRPr="00283806">
        <w:rPr>
          <w:rFonts w:ascii="Symbol" w:hAnsi="Symbol"/>
          <w:spacing w:val="-2"/>
          <w:w w:val="110"/>
          <w:sz w:val="14"/>
        </w:rPr>
        <w:t></w:t>
      </w:r>
      <w:r w:rsidRPr="00283806">
        <w:rPr>
          <w:rFonts w:ascii="Book Antiqua" w:hAnsi="Book Antiqua"/>
          <w:i/>
          <w:spacing w:val="-2"/>
          <w:w w:val="110"/>
          <w:sz w:val="14"/>
        </w:rPr>
        <w:t>5</w:t>
      </w:r>
      <w:r w:rsidRPr="00283806">
        <w:rPr>
          <w:rFonts w:ascii="Symbol" w:hAnsi="Symbol"/>
          <w:spacing w:val="-2"/>
          <w:w w:val="110"/>
          <w:sz w:val="14"/>
        </w:rPr>
        <w:t></w:t>
      </w:r>
      <w:r w:rsidRPr="00283806">
        <w:rPr>
          <w:rFonts w:ascii="Book Antiqua" w:hAnsi="Book Antiqua"/>
          <w:i/>
          <w:spacing w:val="-2"/>
          <w:w w:val="110"/>
          <w:sz w:val="14"/>
        </w:rPr>
        <w:t>6</w:t>
      </w:r>
      <w:r w:rsidRPr="00283806">
        <w:rPr>
          <w:rFonts w:ascii="Symbol" w:hAnsi="Symbol"/>
          <w:spacing w:val="-2"/>
          <w:w w:val="110"/>
          <w:sz w:val="14"/>
        </w:rPr>
        <w:t></w:t>
      </w:r>
      <w:r w:rsidRPr="00283806">
        <w:rPr>
          <w:rFonts w:ascii="Book Antiqua" w:hAnsi="Book Antiqua"/>
          <w:i/>
          <w:spacing w:val="-2"/>
          <w:w w:val="110"/>
          <w:sz w:val="14"/>
        </w:rPr>
        <w:t>16</w:t>
      </w:r>
      <w:r w:rsidRPr="00283806">
        <w:rPr>
          <w:rFonts w:ascii="Symbol" w:hAnsi="Symbol"/>
          <w:spacing w:val="-2"/>
          <w:w w:val="110"/>
          <w:sz w:val="14"/>
        </w:rPr>
        <w:t></w:t>
      </w:r>
      <w:r w:rsidRPr="00283806">
        <w:rPr>
          <w:rFonts w:ascii="Times New Roman" w:hAnsi="Times New Roman"/>
          <w:spacing w:val="40"/>
          <w:w w:val="110"/>
          <w:sz w:val="14"/>
        </w:rPr>
        <w:t xml:space="preserve"> </w:t>
      </w:r>
      <w:r w:rsidRPr="00283806">
        <w:rPr>
          <w:rFonts w:ascii="Book Antiqua" w:hAnsi="Book Antiqua"/>
          <w:i/>
          <w:spacing w:val="-2"/>
          <w:w w:val="110"/>
          <w:sz w:val="14"/>
        </w:rPr>
        <w:t>v5.1.pdf</w:t>
      </w:r>
      <w:r w:rsidRPr="00283806">
        <w:rPr>
          <w:spacing w:val="-2"/>
          <w:w w:val="110"/>
          <w:sz w:val="14"/>
        </w:rPr>
        <w:t>.</w:t>
      </w:r>
    </w:p>
    <w:p w14:paraId="108695D8" w14:textId="77777777" w:rsidR="00D67C1E" w:rsidRPr="00283806" w:rsidRDefault="001265CA">
      <w:pPr>
        <w:spacing w:before="13" w:line="232" w:lineRule="auto"/>
        <w:ind w:left="147" w:right="9" w:firstLine="140"/>
        <w:rPr>
          <w:sz w:val="14"/>
        </w:rPr>
      </w:pPr>
      <w:r w:rsidRPr="00283806">
        <w:rPr>
          <w:w w:val="105"/>
          <w:position w:val="4"/>
          <w:sz w:val="9"/>
        </w:rPr>
        <w:t xml:space="preserve">197 </w:t>
      </w:r>
      <w:r w:rsidRPr="00283806">
        <w:rPr>
          <w:w w:val="105"/>
          <w:sz w:val="14"/>
        </w:rPr>
        <w:t>EPA recognizes that new terminology and a</w:t>
      </w:r>
      <w:r w:rsidRPr="00283806">
        <w:rPr>
          <w:spacing w:val="40"/>
          <w:w w:val="105"/>
          <w:sz w:val="14"/>
        </w:rPr>
        <w:t xml:space="preserve"> </w:t>
      </w:r>
      <w:r w:rsidRPr="00283806">
        <w:rPr>
          <w:w w:val="105"/>
          <w:sz w:val="14"/>
        </w:rPr>
        <w:t>new definition for environmental justice were</w:t>
      </w:r>
      <w:r w:rsidRPr="00283806">
        <w:rPr>
          <w:spacing w:val="40"/>
          <w:w w:val="105"/>
          <w:sz w:val="14"/>
        </w:rPr>
        <w:t xml:space="preserve"> </w:t>
      </w:r>
      <w:r w:rsidRPr="00283806">
        <w:rPr>
          <w:w w:val="105"/>
          <w:sz w:val="14"/>
        </w:rPr>
        <w:t>established in Executive Order 14096 (88 FR 25251,</w:t>
      </w:r>
      <w:r w:rsidRPr="00283806">
        <w:rPr>
          <w:spacing w:val="40"/>
          <w:w w:val="105"/>
          <w:sz w:val="14"/>
        </w:rPr>
        <w:t xml:space="preserve"> </w:t>
      </w:r>
      <w:r w:rsidRPr="00283806">
        <w:rPr>
          <w:w w:val="105"/>
          <w:sz w:val="14"/>
        </w:rPr>
        <w:t>April 21, 2023). When the analysis of the proposed</w:t>
      </w:r>
      <w:r w:rsidRPr="00283806">
        <w:rPr>
          <w:spacing w:val="40"/>
          <w:w w:val="105"/>
          <w:sz w:val="14"/>
        </w:rPr>
        <w:t xml:space="preserve"> </w:t>
      </w:r>
      <w:r w:rsidRPr="00283806">
        <w:rPr>
          <w:w w:val="105"/>
          <w:sz w:val="14"/>
        </w:rPr>
        <w:t>rule was performed, EPA was operating under prior</w:t>
      </w:r>
    </w:p>
    <w:p w14:paraId="162F36C5" w14:textId="11D25608" w:rsidR="00D67C1E" w:rsidRPr="00283806" w:rsidRDefault="001265CA">
      <w:pPr>
        <w:spacing w:before="8" w:line="225" w:lineRule="auto"/>
        <w:ind w:left="159" w:right="165"/>
        <w:jc w:val="both"/>
        <w:rPr>
          <w:sz w:val="14"/>
        </w:rPr>
      </w:pPr>
      <w:r w:rsidRPr="00283806">
        <w:br w:type="column"/>
      </w:r>
      <w:r w:rsidRPr="00283806">
        <w:rPr>
          <w:w w:val="110"/>
          <w:sz w:val="14"/>
        </w:rPr>
        <w:t xml:space="preserve">guidance available here: </w:t>
      </w:r>
      <w:r w:rsidRPr="00283806">
        <w:rPr>
          <w:rFonts w:ascii="Book Antiqua"/>
          <w:i/>
          <w:w w:val="110"/>
          <w:sz w:val="14"/>
        </w:rPr>
        <w:t>https://www.epa.gov/sites/</w:t>
      </w:r>
      <w:r w:rsidRPr="00283806">
        <w:rPr>
          <w:rFonts w:ascii="Book Antiqua"/>
          <w:i/>
          <w:w w:val="115"/>
          <w:sz w:val="14"/>
        </w:rPr>
        <w:t xml:space="preserve"> </w:t>
      </w:r>
      <w:r w:rsidRPr="00283806">
        <w:rPr>
          <w:rFonts w:ascii="Book Antiqua"/>
          <w:i/>
          <w:spacing w:val="-2"/>
          <w:w w:val="115"/>
          <w:sz w:val="14"/>
        </w:rPr>
        <w:t>default/files/2015-06/documents/considering-</w:t>
      </w:r>
      <w:proofErr w:type="spellStart"/>
      <w:r w:rsidRPr="00283806">
        <w:rPr>
          <w:rFonts w:ascii="Book Antiqua"/>
          <w:i/>
          <w:spacing w:val="-2"/>
          <w:w w:val="115"/>
          <w:sz w:val="14"/>
        </w:rPr>
        <w:t>ej</w:t>
      </w:r>
      <w:proofErr w:type="spellEnd"/>
      <w:r w:rsidRPr="00283806">
        <w:rPr>
          <w:rFonts w:ascii="Book Antiqua"/>
          <w:i/>
          <w:spacing w:val="-2"/>
          <w:w w:val="115"/>
          <w:sz w:val="14"/>
        </w:rPr>
        <w:t>-in-</w:t>
      </w:r>
      <w:r w:rsidRPr="00283806">
        <w:rPr>
          <w:rFonts w:ascii="Book Antiqua"/>
          <w:i/>
          <w:spacing w:val="40"/>
          <w:w w:val="115"/>
          <w:sz w:val="14"/>
        </w:rPr>
        <w:t xml:space="preserve"> </w:t>
      </w:r>
      <w:r w:rsidRPr="00283806">
        <w:rPr>
          <w:rFonts w:ascii="Book Antiqua"/>
          <w:i/>
          <w:spacing w:val="-2"/>
          <w:w w:val="115"/>
          <w:sz w:val="14"/>
        </w:rPr>
        <w:t>rulemaking-guide-final.pdf</w:t>
      </w:r>
      <w:r w:rsidRPr="00283806">
        <w:rPr>
          <w:spacing w:val="-2"/>
          <w:w w:val="115"/>
          <w:sz w:val="14"/>
        </w:rPr>
        <w:t>.</w:t>
      </w:r>
    </w:p>
    <w:p w14:paraId="2C54D8FE" w14:textId="77777777" w:rsidR="00D67C1E" w:rsidRPr="00283806" w:rsidRDefault="001265CA">
      <w:pPr>
        <w:spacing w:before="14" w:line="232" w:lineRule="auto"/>
        <w:ind w:left="159" w:right="151" w:firstLine="140"/>
        <w:rPr>
          <w:sz w:val="14"/>
        </w:rPr>
      </w:pPr>
      <w:r w:rsidRPr="00283806">
        <w:rPr>
          <w:w w:val="105"/>
          <w:position w:val="4"/>
          <w:sz w:val="9"/>
        </w:rPr>
        <w:t xml:space="preserve">198 </w:t>
      </w:r>
      <w:r w:rsidRPr="00283806">
        <w:rPr>
          <w:w w:val="105"/>
          <w:sz w:val="14"/>
        </w:rPr>
        <w:t>As discussed in the RIA addendum, EPA used</w:t>
      </w:r>
      <w:r w:rsidRPr="00283806">
        <w:rPr>
          <w:spacing w:val="40"/>
          <w:w w:val="105"/>
          <w:sz w:val="14"/>
        </w:rPr>
        <w:t xml:space="preserve"> </w:t>
      </w:r>
      <w:r w:rsidRPr="00283806">
        <w:rPr>
          <w:w w:val="105"/>
          <w:sz w:val="14"/>
        </w:rPr>
        <w:t>data from reports required under Section 608 of the</w:t>
      </w:r>
      <w:r w:rsidRPr="00283806">
        <w:rPr>
          <w:spacing w:val="40"/>
          <w:w w:val="105"/>
          <w:sz w:val="14"/>
        </w:rPr>
        <w:t xml:space="preserve"> </w:t>
      </w:r>
      <w:r w:rsidRPr="00283806">
        <w:rPr>
          <w:w w:val="105"/>
          <w:sz w:val="14"/>
        </w:rPr>
        <w:t>Clean Air Act, EPA’s Enforcement and Compliance</w:t>
      </w:r>
      <w:r w:rsidRPr="00283806">
        <w:rPr>
          <w:spacing w:val="40"/>
          <w:w w:val="105"/>
          <w:sz w:val="14"/>
        </w:rPr>
        <w:t xml:space="preserve"> </w:t>
      </w:r>
      <w:r w:rsidRPr="00283806">
        <w:rPr>
          <w:w w:val="105"/>
          <w:sz w:val="14"/>
        </w:rPr>
        <w:t>History Online (ECHO) database, and information</w:t>
      </w:r>
      <w:r w:rsidRPr="00283806">
        <w:rPr>
          <w:spacing w:val="40"/>
          <w:w w:val="105"/>
          <w:sz w:val="14"/>
        </w:rPr>
        <w:t xml:space="preserve"> </w:t>
      </w:r>
      <w:r w:rsidRPr="00283806">
        <w:rPr>
          <w:w w:val="105"/>
          <w:sz w:val="14"/>
        </w:rPr>
        <w:t xml:space="preserve">provided by company websites to </w:t>
      </w:r>
      <w:proofErr w:type="gramStart"/>
      <w:r w:rsidRPr="00283806">
        <w:rPr>
          <w:w w:val="105"/>
          <w:sz w:val="14"/>
        </w:rPr>
        <w:t>identify facilities</w:t>
      </w:r>
      <w:r w:rsidRPr="00283806">
        <w:rPr>
          <w:spacing w:val="40"/>
          <w:w w:val="105"/>
          <w:sz w:val="14"/>
        </w:rPr>
        <w:t xml:space="preserve"> </w:t>
      </w:r>
      <w:r w:rsidRPr="00283806">
        <w:rPr>
          <w:w w:val="105"/>
          <w:sz w:val="14"/>
        </w:rPr>
        <w:t>that are</w:t>
      </w:r>
      <w:proofErr w:type="gramEnd"/>
      <w:r w:rsidRPr="00283806">
        <w:rPr>
          <w:w w:val="105"/>
          <w:sz w:val="14"/>
        </w:rPr>
        <w:t xml:space="preserve"> active HFC reclaimers.</w:t>
      </w:r>
    </w:p>
    <w:p w14:paraId="4E154F4E" w14:textId="77777777" w:rsidR="00D67C1E" w:rsidRPr="00283806" w:rsidRDefault="00D67C1E">
      <w:pPr>
        <w:spacing w:line="232" w:lineRule="auto"/>
        <w:rPr>
          <w:sz w:val="14"/>
        </w:rPr>
        <w:sectPr w:rsidR="00D67C1E" w:rsidRPr="00283806">
          <w:type w:val="continuous"/>
          <w:pgSz w:w="12240" w:h="15840"/>
          <w:pgMar w:top="880" w:right="780" w:bottom="280" w:left="740" w:header="627" w:footer="0" w:gutter="0"/>
          <w:cols w:num="3" w:space="720" w:equalWidth="0">
            <w:col w:w="3513" w:space="40"/>
            <w:col w:w="3475" w:space="52"/>
            <w:col w:w="3640"/>
          </w:cols>
        </w:sectPr>
      </w:pPr>
    </w:p>
    <w:p w14:paraId="229044AB" w14:textId="77777777" w:rsidR="00D67C1E" w:rsidRPr="00283806" w:rsidRDefault="001265CA">
      <w:pPr>
        <w:pStyle w:val="BodyText"/>
        <w:spacing w:before="136" w:line="225" w:lineRule="auto"/>
        <w:ind w:left="159" w:right="41"/>
      </w:pPr>
      <w:r w:rsidRPr="00283806">
        <w:rPr>
          <w:w w:val="105"/>
        </w:rPr>
        <w:lastRenderedPageBreak/>
        <w:t>facilities.</w:t>
      </w:r>
      <w:r w:rsidRPr="00283806">
        <w:rPr>
          <w:spacing w:val="40"/>
          <w:w w:val="105"/>
        </w:rPr>
        <w:t xml:space="preserve"> </w:t>
      </w:r>
      <w:r w:rsidRPr="00283806">
        <w:rPr>
          <w:w w:val="105"/>
        </w:rPr>
        <w:t>The</w:t>
      </w:r>
      <w:r w:rsidRPr="00283806">
        <w:rPr>
          <w:spacing w:val="40"/>
          <w:w w:val="105"/>
        </w:rPr>
        <w:t xml:space="preserve"> </w:t>
      </w:r>
      <w:r w:rsidRPr="00283806">
        <w:rPr>
          <w:w w:val="105"/>
        </w:rPr>
        <w:t>market</w:t>
      </w:r>
      <w:r w:rsidRPr="00283806">
        <w:rPr>
          <w:spacing w:val="40"/>
          <w:w w:val="105"/>
        </w:rPr>
        <w:t xml:space="preserve"> </w:t>
      </w:r>
      <w:r w:rsidRPr="00283806">
        <w:rPr>
          <w:w w:val="105"/>
        </w:rPr>
        <w:t>for</w:t>
      </w:r>
      <w:r w:rsidRPr="00283806">
        <w:rPr>
          <w:spacing w:val="40"/>
          <w:w w:val="105"/>
        </w:rPr>
        <w:t xml:space="preserve"> </w:t>
      </w:r>
      <w:r w:rsidRPr="00283806">
        <w:rPr>
          <w:w w:val="105"/>
        </w:rPr>
        <w:t>reclaimed HFCs could drive changes in potential risk for communities living near these facilities, but the changes in emissions that could have local effects are uncertain. Further, the nature and location of the emission changes are uncertain.</w:t>
      </w:r>
      <w:r w:rsidRPr="00283806">
        <w:rPr>
          <w:spacing w:val="40"/>
          <w:w w:val="105"/>
        </w:rPr>
        <w:t xml:space="preserve"> </w:t>
      </w:r>
      <w:r w:rsidRPr="00283806">
        <w:rPr>
          <w:w w:val="105"/>
        </w:rPr>
        <w:t>Moreover,</w:t>
      </w:r>
      <w:r w:rsidRPr="00283806">
        <w:rPr>
          <w:spacing w:val="40"/>
          <w:w w:val="105"/>
        </w:rPr>
        <w:t xml:space="preserve"> </w:t>
      </w:r>
      <w:r w:rsidRPr="00283806">
        <w:rPr>
          <w:w w:val="105"/>
        </w:rPr>
        <w:t>there</w:t>
      </w:r>
      <w:r w:rsidRPr="00283806">
        <w:rPr>
          <w:spacing w:val="40"/>
          <w:w w:val="105"/>
        </w:rPr>
        <w:t xml:space="preserve"> </w:t>
      </w:r>
      <w:r w:rsidRPr="00283806">
        <w:rPr>
          <w:w w:val="105"/>
        </w:rPr>
        <w:t>is insufficient information at this time</w:t>
      </w:r>
      <w:r w:rsidRPr="00283806">
        <w:rPr>
          <w:spacing w:val="40"/>
          <w:w w:val="105"/>
        </w:rPr>
        <w:t xml:space="preserve"> </w:t>
      </w:r>
      <w:r w:rsidRPr="00283806">
        <w:rPr>
          <w:w w:val="105"/>
        </w:rPr>
        <w:t>about which facilities will change reclamation processes. Given limited information at this time, it is unclear to what</w:t>
      </w:r>
      <w:r w:rsidRPr="00283806">
        <w:rPr>
          <w:spacing w:val="40"/>
          <w:w w:val="105"/>
        </w:rPr>
        <w:t xml:space="preserve"> </w:t>
      </w:r>
      <w:r w:rsidRPr="00283806">
        <w:rPr>
          <w:w w:val="105"/>
        </w:rPr>
        <w:t>extent</w:t>
      </w:r>
      <w:r w:rsidRPr="00283806">
        <w:rPr>
          <w:spacing w:val="40"/>
          <w:w w:val="105"/>
        </w:rPr>
        <w:t xml:space="preserve"> </w:t>
      </w:r>
      <w:r w:rsidRPr="00283806">
        <w:rPr>
          <w:w w:val="105"/>
        </w:rPr>
        <w:t>this</w:t>
      </w:r>
      <w:r w:rsidRPr="00283806">
        <w:rPr>
          <w:spacing w:val="40"/>
          <w:w w:val="105"/>
        </w:rPr>
        <w:t xml:space="preserve"> </w:t>
      </w:r>
      <w:r w:rsidRPr="00283806">
        <w:rPr>
          <w:w w:val="105"/>
        </w:rPr>
        <w:t>rule</w:t>
      </w:r>
      <w:r w:rsidRPr="00283806">
        <w:rPr>
          <w:spacing w:val="40"/>
          <w:w w:val="105"/>
        </w:rPr>
        <w:t xml:space="preserve"> </w:t>
      </w:r>
      <w:r w:rsidRPr="00283806">
        <w:rPr>
          <w:w w:val="105"/>
        </w:rPr>
        <w:t>will</w:t>
      </w:r>
      <w:r w:rsidRPr="00283806">
        <w:rPr>
          <w:spacing w:val="40"/>
          <w:w w:val="105"/>
        </w:rPr>
        <w:t xml:space="preserve"> </w:t>
      </w:r>
      <w:r w:rsidRPr="00283806">
        <w:rPr>
          <w:w w:val="105"/>
        </w:rPr>
        <w:t>impact existing disproportionate adverse effects on communities living near HFC reclamation</w:t>
      </w:r>
      <w:r w:rsidRPr="00283806">
        <w:rPr>
          <w:spacing w:val="40"/>
          <w:w w:val="105"/>
        </w:rPr>
        <w:t xml:space="preserve"> </w:t>
      </w:r>
      <w:r w:rsidRPr="00283806">
        <w:rPr>
          <w:w w:val="105"/>
        </w:rPr>
        <w:t>facilities.</w:t>
      </w:r>
      <w:r w:rsidRPr="00283806">
        <w:rPr>
          <w:w w:val="105"/>
          <w:position w:val="5"/>
          <w:sz w:val="11"/>
        </w:rPr>
        <w:t>199</w:t>
      </w:r>
      <w:r w:rsidRPr="00283806">
        <w:rPr>
          <w:spacing w:val="40"/>
          <w:w w:val="105"/>
          <w:position w:val="5"/>
          <w:sz w:val="11"/>
        </w:rPr>
        <w:t xml:space="preserve"> </w:t>
      </w:r>
      <w:r w:rsidRPr="00283806">
        <w:rPr>
          <w:w w:val="105"/>
        </w:rPr>
        <w:t>The</w:t>
      </w:r>
      <w:r w:rsidRPr="00283806">
        <w:rPr>
          <w:spacing w:val="40"/>
          <w:w w:val="105"/>
        </w:rPr>
        <w:t xml:space="preserve"> </w:t>
      </w:r>
      <w:r w:rsidRPr="00283806">
        <w:rPr>
          <w:w w:val="105"/>
        </w:rPr>
        <w:t>Agency</w:t>
      </w:r>
      <w:r w:rsidRPr="00283806">
        <w:rPr>
          <w:spacing w:val="40"/>
          <w:w w:val="105"/>
        </w:rPr>
        <w:t xml:space="preserve"> </w:t>
      </w:r>
      <w:r w:rsidRPr="00283806">
        <w:rPr>
          <w:w w:val="105"/>
        </w:rPr>
        <w:t>will continue to evaluate the impacts of this rulemaking on affected</w:t>
      </w:r>
      <w:r w:rsidRPr="00283806">
        <w:rPr>
          <w:spacing w:val="80"/>
          <w:w w:val="105"/>
        </w:rPr>
        <w:t xml:space="preserve"> </w:t>
      </w:r>
      <w:r w:rsidRPr="00283806">
        <w:rPr>
          <w:w w:val="105"/>
        </w:rPr>
        <w:t>communities, including communities with environmental justice concerns,</w:t>
      </w:r>
      <w:r w:rsidRPr="00283806">
        <w:rPr>
          <w:spacing w:val="80"/>
          <w:w w:val="105"/>
        </w:rPr>
        <w:t xml:space="preserve"> </w:t>
      </w:r>
      <w:r w:rsidRPr="00283806">
        <w:rPr>
          <w:w w:val="105"/>
        </w:rPr>
        <w:t>and consider further action, as appropriate, to protect health in communities affected by HFC</w:t>
      </w:r>
      <w:r w:rsidRPr="00283806">
        <w:rPr>
          <w:spacing w:val="40"/>
          <w:w w:val="105"/>
        </w:rPr>
        <w:t xml:space="preserve"> </w:t>
      </w:r>
      <w:r w:rsidRPr="00283806">
        <w:rPr>
          <w:spacing w:val="-2"/>
          <w:w w:val="105"/>
        </w:rPr>
        <w:t>reclamation.</w:t>
      </w:r>
    </w:p>
    <w:p w14:paraId="13A72C17" w14:textId="77777777" w:rsidR="00D67C1E" w:rsidRPr="00283806" w:rsidRDefault="001265CA">
      <w:pPr>
        <w:spacing w:line="177" w:lineRule="exact"/>
        <w:ind w:left="339"/>
        <w:rPr>
          <w:sz w:val="18"/>
        </w:rPr>
      </w:pPr>
      <w:r w:rsidRPr="00283806">
        <w:rPr>
          <w:rFonts w:ascii="Book Antiqua"/>
          <w:i/>
          <w:w w:val="105"/>
          <w:sz w:val="18"/>
        </w:rPr>
        <w:t>Comment:</w:t>
      </w:r>
      <w:r w:rsidRPr="00283806">
        <w:rPr>
          <w:rFonts w:ascii="Book Antiqua"/>
          <w:i/>
          <w:spacing w:val="22"/>
          <w:w w:val="105"/>
          <w:sz w:val="18"/>
        </w:rPr>
        <w:t xml:space="preserve"> </w:t>
      </w:r>
      <w:r w:rsidRPr="00283806">
        <w:rPr>
          <w:w w:val="105"/>
          <w:sz w:val="18"/>
        </w:rPr>
        <w:t>One</w:t>
      </w:r>
      <w:r w:rsidRPr="00283806">
        <w:rPr>
          <w:spacing w:val="28"/>
          <w:w w:val="105"/>
          <w:sz w:val="18"/>
        </w:rPr>
        <w:t xml:space="preserve"> </w:t>
      </w:r>
      <w:r w:rsidRPr="00283806">
        <w:rPr>
          <w:w w:val="105"/>
          <w:sz w:val="18"/>
        </w:rPr>
        <w:t>commenter</w:t>
      </w:r>
      <w:r w:rsidRPr="00283806">
        <w:rPr>
          <w:spacing w:val="28"/>
          <w:w w:val="105"/>
          <w:sz w:val="18"/>
        </w:rPr>
        <w:t xml:space="preserve"> </w:t>
      </w:r>
      <w:r w:rsidRPr="00283806">
        <w:rPr>
          <w:spacing w:val="-2"/>
          <w:w w:val="105"/>
          <w:sz w:val="18"/>
        </w:rPr>
        <w:t>expressed</w:t>
      </w:r>
    </w:p>
    <w:p w14:paraId="0F532B47" w14:textId="77777777" w:rsidR="00D67C1E" w:rsidRPr="00283806" w:rsidRDefault="001265CA">
      <w:pPr>
        <w:pStyle w:val="BodyText"/>
        <w:spacing w:line="225" w:lineRule="auto"/>
        <w:ind w:left="159" w:right="19"/>
      </w:pPr>
      <w:r w:rsidRPr="00283806">
        <w:rPr>
          <w:w w:val="105"/>
        </w:rPr>
        <w:t>support for EPA’s approach on environmental justice and noted that ensuring safety for technicians and consumers</w:t>
      </w:r>
      <w:r w:rsidRPr="00283806">
        <w:rPr>
          <w:spacing w:val="40"/>
          <w:w w:val="105"/>
        </w:rPr>
        <w:t xml:space="preserve"> </w:t>
      </w:r>
      <w:r w:rsidRPr="00283806">
        <w:rPr>
          <w:w w:val="105"/>
        </w:rPr>
        <w:t>will</w:t>
      </w:r>
      <w:r w:rsidRPr="00283806">
        <w:rPr>
          <w:spacing w:val="40"/>
          <w:w w:val="105"/>
        </w:rPr>
        <w:t xml:space="preserve"> </w:t>
      </w:r>
      <w:r w:rsidRPr="00283806">
        <w:rPr>
          <w:w w:val="105"/>
        </w:rPr>
        <w:t>benefit</w:t>
      </w:r>
      <w:r w:rsidRPr="00283806">
        <w:rPr>
          <w:spacing w:val="40"/>
          <w:w w:val="105"/>
        </w:rPr>
        <w:t xml:space="preserve"> </w:t>
      </w:r>
      <w:r w:rsidRPr="00283806">
        <w:rPr>
          <w:w w:val="105"/>
        </w:rPr>
        <w:t>all</w:t>
      </w:r>
      <w:r w:rsidRPr="00283806">
        <w:rPr>
          <w:spacing w:val="40"/>
          <w:w w:val="105"/>
        </w:rPr>
        <w:t xml:space="preserve"> </w:t>
      </w:r>
      <w:r w:rsidRPr="00283806">
        <w:rPr>
          <w:w w:val="105"/>
        </w:rPr>
        <w:t>end</w:t>
      </w:r>
      <w:r w:rsidRPr="00283806">
        <w:rPr>
          <w:spacing w:val="40"/>
          <w:w w:val="105"/>
        </w:rPr>
        <w:t xml:space="preserve"> </w:t>
      </w:r>
      <w:r w:rsidRPr="00283806">
        <w:rPr>
          <w:w w:val="105"/>
        </w:rPr>
        <w:t xml:space="preserve">users. The commenter noted areas for EPA’s consideration regarding impacts on low- and medium-income families in its comments, including allowing some flexibility with retrofit and retirement requirements and considering using </w:t>
      </w:r>
      <w:proofErr w:type="gramStart"/>
      <w:r w:rsidRPr="00283806">
        <w:rPr>
          <w:w w:val="105"/>
        </w:rPr>
        <w:t>some of EPA’s</w:t>
      </w:r>
      <w:proofErr w:type="gramEnd"/>
      <w:r w:rsidRPr="00283806">
        <w:rPr>
          <w:w w:val="105"/>
        </w:rPr>
        <w:t xml:space="preserve"> budget to fund the purchase of recovery equipment for</w:t>
      </w:r>
      <w:r w:rsidRPr="00283806">
        <w:rPr>
          <w:spacing w:val="40"/>
          <w:w w:val="105"/>
        </w:rPr>
        <w:t xml:space="preserve"> </w:t>
      </w:r>
      <w:r w:rsidRPr="00283806">
        <w:rPr>
          <w:w w:val="105"/>
        </w:rPr>
        <w:t>small contractors serving low- and medium-income communities.</w:t>
      </w:r>
    </w:p>
    <w:p w14:paraId="04AFE9C2" w14:textId="77777777" w:rsidR="00D67C1E" w:rsidRPr="00283806" w:rsidRDefault="001265CA">
      <w:pPr>
        <w:pStyle w:val="BodyText"/>
        <w:spacing w:line="213" w:lineRule="auto"/>
        <w:ind w:left="159" w:firstLine="180"/>
      </w:pPr>
      <w:r w:rsidRPr="00283806">
        <w:rPr>
          <w:rFonts w:ascii="Book Antiqua" w:hAnsi="Book Antiqua"/>
          <w:i/>
          <w:w w:val="105"/>
        </w:rPr>
        <w:t xml:space="preserve">Response: </w:t>
      </w:r>
      <w:r w:rsidRPr="00283806">
        <w:rPr>
          <w:w w:val="105"/>
        </w:rPr>
        <w:t>EPA acknowledges the commenter’s</w:t>
      </w:r>
      <w:r w:rsidRPr="00283806">
        <w:rPr>
          <w:spacing w:val="3"/>
          <w:w w:val="105"/>
        </w:rPr>
        <w:t xml:space="preserve"> </w:t>
      </w:r>
      <w:r w:rsidRPr="00283806">
        <w:rPr>
          <w:w w:val="105"/>
        </w:rPr>
        <w:t>general</w:t>
      </w:r>
      <w:r w:rsidRPr="00283806">
        <w:rPr>
          <w:spacing w:val="4"/>
          <w:w w:val="105"/>
        </w:rPr>
        <w:t xml:space="preserve"> </w:t>
      </w:r>
      <w:r w:rsidRPr="00283806">
        <w:rPr>
          <w:w w:val="105"/>
        </w:rPr>
        <w:t>support</w:t>
      </w:r>
      <w:r w:rsidRPr="00283806">
        <w:rPr>
          <w:spacing w:val="4"/>
          <w:w w:val="105"/>
        </w:rPr>
        <w:t xml:space="preserve"> </w:t>
      </w:r>
      <w:r w:rsidRPr="00283806">
        <w:rPr>
          <w:w w:val="105"/>
        </w:rPr>
        <w:t>for</w:t>
      </w:r>
      <w:r w:rsidRPr="00283806">
        <w:rPr>
          <w:spacing w:val="4"/>
          <w:w w:val="105"/>
        </w:rPr>
        <w:t xml:space="preserve"> </w:t>
      </w:r>
      <w:r w:rsidRPr="00283806">
        <w:rPr>
          <w:spacing w:val="-5"/>
          <w:w w:val="105"/>
        </w:rPr>
        <w:t>the</w:t>
      </w:r>
    </w:p>
    <w:p w14:paraId="6BA77C55" w14:textId="77777777" w:rsidR="00D67C1E" w:rsidRPr="00283806" w:rsidRDefault="001265CA">
      <w:pPr>
        <w:pStyle w:val="BodyText"/>
        <w:spacing w:line="228" w:lineRule="auto"/>
        <w:ind w:left="159" w:right="76"/>
      </w:pPr>
      <w:r w:rsidRPr="00283806">
        <w:rPr>
          <w:w w:val="105"/>
        </w:rPr>
        <w:t>approach the Agency has taken for its environmental justice analysis. EPA acknowledges the commenter’s suggestion that portions of the Agency budget be redirected to support the</w:t>
      </w:r>
    </w:p>
    <w:p w14:paraId="1359C650" w14:textId="77777777" w:rsidR="00D67C1E" w:rsidRPr="00283806" w:rsidRDefault="001265CA">
      <w:pPr>
        <w:pStyle w:val="BodyText"/>
        <w:spacing w:before="9"/>
        <w:ind w:left="0"/>
        <w:rPr>
          <w:sz w:val="11"/>
        </w:rPr>
      </w:pPr>
      <w:r w:rsidRPr="00283806">
        <w:rPr>
          <w:noProof/>
        </w:rPr>
        <mc:AlternateContent>
          <mc:Choice Requires="wps">
            <w:drawing>
              <wp:anchor distT="0" distB="0" distL="0" distR="0" simplePos="0" relativeHeight="251693056" behindDoc="1" locked="0" layoutInCell="1" allowOverlap="1" wp14:anchorId="26DFDF78" wp14:editId="64CF1556">
                <wp:simplePos x="0" y="0"/>
                <wp:positionH relativeFrom="page">
                  <wp:posOffset>571500</wp:posOffset>
                </wp:positionH>
                <wp:positionV relativeFrom="paragraph">
                  <wp:posOffset>103378</wp:posOffset>
                </wp:positionV>
                <wp:extent cx="635000" cy="1270"/>
                <wp:effectExtent l="0" t="0" r="0" b="0"/>
                <wp:wrapTopAndBottom/>
                <wp:docPr id="126" name="Graphic 1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24DF7C3" id="Graphic 126" o:spid="_x0000_s1026" alt="&quot;&quot;" style="position:absolute;margin-left:45pt;margin-top:8.15pt;width:50pt;height:.1pt;z-index:-251623424;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" path="m,l635000,e" filled="f" strokeweight=".5pt">
                <v:path arrowok="t"/>
                <w10:wrap type="topAndBottom" anchorx="page"/>
              </v:shape>
            </w:pict>
          </mc:Fallback>
        </mc:AlternateContent>
      </w:r>
    </w:p>
    <w:p w14:paraId="7619A13C" w14:textId="77777777" w:rsidR="00D67C1E" w:rsidRPr="00283806" w:rsidRDefault="001265CA">
      <w:pPr>
        <w:spacing w:before="40" w:line="232" w:lineRule="auto"/>
        <w:ind w:left="159" w:right="76" w:firstLine="140"/>
        <w:rPr>
          <w:sz w:val="14"/>
        </w:rPr>
      </w:pPr>
      <w:r w:rsidRPr="00283806">
        <w:rPr>
          <w:w w:val="105"/>
          <w:position w:val="4"/>
          <w:sz w:val="9"/>
        </w:rPr>
        <w:t xml:space="preserve">199 </w:t>
      </w:r>
      <w:r w:rsidRPr="00283806">
        <w:rPr>
          <w:w w:val="105"/>
          <w:sz w:val="14"/>
        </w:rPr>
        <w:t>Statements made in this section on the</w:t>
      </w:r>
      <w:r w:rsidRPr="00283806">
        <w:rPr>
          <w:spacing w:val="40"/>
          <w:w w:val="105"/>
          <w:sz w:val="14"/>
        </w:rPr>
        <w:t xml:space="preserve"> </w:t>
      </w:r>
      <w:r w:rsidRPr="00283806">
        <w:rPr>
          <w:w w:val="105"/>
          <w:sz w:val="14"/>
        </w:rPr>
        <w:t>environmental justice analysis draw support from</w:t>
      </w:r>
      <w:r w:rsidRPr="00283806">
        <w:rPr>
          <w:spacing w:val="40"/>
          <w:w w:val="105"/>
          <w:sz w:val="14"/>
        </w:rPr>
        <w:t xml:space="preserve"> </w:t>
      </w:r>
      <w:r w:rsidRPr="00283806">
        <w:rPr>
          <w:w w:val="105"/>
          <w:sz w:val="14"/>
        </w:rPr>
        <w:t>the following citations: Banzhaf, Spencer, Lala Ma,</w:t>
      </w:r>
      <w:r w:rsidRPr="00283806">
        <w:rPr>
          <w:spacing w:val="40"/>
          <w:w w:val="105"/>
          <w:sz w:val="14"/>
        </w:rPr>
        <w:t xml:space="preserve"> </w:t>
      </w:r>
      <w:r w:rsidRPr="00283806">
        <w:rPr>
          <w:w w:val="105"/>
          <w:sz w:val="14"/>
        </w:rPr>
        <w:t>and Christopher Timmins. 2019. Environmental</w:t>
      </w:r>
      <w:r w:rsidRPr="00283806">
        <w:rPr>
          <w:spacing w:val="40"/>
          <w:w w:val="105"/>
          <w:sz w:val="14"/>
        </w:rPr>
        <w:t xml:space="preserve"> </w:t>
      </w:r>
      <w:r w:rsidRPr="00283806">
        <w:rPr>
          <w:w w:val="105"/>
          <w:sz w:val="14"/>
        </w:rPr>
        <w:t>justice: The economics of race, place, and pollution.</w:t>
      </w:r>
      <w:r w:rsidRPr="00283806">
        <w:rPr>
          <w:spacing w:val="40"/>
          <w:w w:val="105"/>
          <w:sz w:val="14"/>
        </w:rPr>
        <w:t xml:space="preserve"> </w:t>
      </w:r>
      <w:r w:rsidRPr="00283806">
        <w:rPr>
          <w:w w:val="105"/>
          <w:sz w:val="14"/>
        </w:rPr>
        <w:t>Journal of Economic Perspectives; Hernandez-</w:t>
      </w:r>
      <w:r w:rsidRPr="00283806">
        <w:rPr>
          <w:spacing w:val="40"/>
          <w:w w:val="105"/>
          <w:sz w:val="14"/>
        </w:rPr>
        <w:t xml:space="preserve"> </w:t>
      </w:r>
      <w:r w:rsidRPr="00283806">
        <w:rPr>
          <w:w w:val="105"/>
          <w:sz w:val="14"/>
        </w:rPr>
        <w:t>Cortes, D. and Meng, K.C., 2020. Do environmental</w:t>
      </w:r>
      <w:r w:rsidRPr="00283806">
        <w:rPr>
          <w:spacing w:val="40"/>
          <w:w w:val="105"/>
          <w:sz w:val="14"/>
        </w:rPr>
        <w:t xml:space="preserve"> </w:t>
      </w:r>
      <w:r w:rsidRPr="00283806">
        <w:rPr>
          <w:w w:val="105"/>
          <w:sz w:val="14"/>
        </w:rPr>
        <w:t>markets cause environmental injustice? Evidence</w:t>
      </w:r>
      <w:r w:rsidRPr="00283806">
        <w:rPr>
          <w:spacing w:val="40"/>
          <w:w w:val="105"/>
          <w:sz w:val="14"/>
        </w:rPr>
        <w:t xml:space="preserve"> </w:t>
      </w:r>
      <w:r w:rsidRPr="00283806">
        <w:rPr>
          <w:w w:val="105"/>
          <w:sz w:val="14"/>
        </w:rPr>
        <w:t>from California’s carbon market (No. w27205).</w:t>
      </w:r>
    </w:p>
    <w:p w14:paraId="504B6126" w14:textId="77777777" w:rsidR="00D67C1E" w:rsidRPr="00283806" w:rsidRDefault="001265CA">
      <w:pPr>
        <w:spacing w:before="7" w:line="232" w:lineRule="auto"/>
        <w:ind w:left="159"/>
        <w:rPr>
          <w:sz w:val="14"/>
        </w:rPr>
      </w:pPr>
      <w:r w:rsidRPr="00283806">
        <w:rPr>
          <w:w w:val="115"/>
          <w:sz w:val="14"/>
        </w:rPr>
        <w:t>NBER;</w:t>
      </w:r>
      <w:r w:rsidRPr="00283806">
        <w:rPr>
          <w:spacing w:val="-9"/>
          <w:w w:val="115"/>
          <w:sz w:val="14"/>
        </w:rPr>
        <w:t xml:space="preserve"> </w:t>
      </w:r>
      <w:r w:rsidRPr="00283806">
        <w:rPr>
          <w:w w:val="115"/>
          <w:sz w:val="14"/>
        </w:rPr>
        <w:t>Hu,</w:t>
      </w:r>
      <w:r w:rsidRPr="00283806">
        <w:rPr>
          <w:spacing w:val="-9"/>
          <w:w w:val="115"/>
          <w:sz w:val="14"/>
        </w:rPr>
        <w:t xml:space="preserve"> </w:t>
      </w:r>
      <w:r w:rsidRPr="00283806">
        <w:rPr>
          <w:w w:val="115"/>
          <w:sz w:val="14"/>
        </w:rPr>
        <w:t>L.,</w:t>
      </w:r>
      <w:r w:rsidRPr="00283806">
        <w:rPr>
          <w:spacing w:val="-8"/>
          <w:w w:val="115"/>
          <w:sz w:val="14"/>
        </w:rPr>
        <w:t xml:space="preserve"> </w:t>
      </w:r>
      <w:proofErr w:type="spellStart"/>
      <w:r w:rsidRPr="00283806">
        <w:rPr>
          <w:w w:val="115"/>
          <w:sz w:val="14"/>
        </w:rPr>
        <w:t>Montzka</w:t>
      </w:r>
      <w:proofErr w:type="spellEnd"/>
      <w:r w:rsidRPr="00283806">
        <w:rPr>
          <w:w w:val="115"/>
          <w:sz w:val="14"/>
        </w:rPr>
        <w:t>,</w:t>
      </w:r>
      <w:r w:rsidRPr="00283806">
        <w:rPr>
          <w:spacing w:val="-9"/>
          <w:w w:val="115"/>
          <w:sz w:val="14"/>
        </w:rPr>
        <w:t xml:space="preserve"> </w:t>
      </w:r>
      <w:r w:rsidRPr="00283806">
        <w:rPr>
          <w:w w:val="115"/>
          <w:sz w:val="14"/>
        </w:rPr>
        <w:t>S.A.,</w:t>
      </w:r>
      <w:r w:rsidRPr="00283806">
        <w:rPr>
          <w:spacing w:val="-9"/>
          <w:w w:val="115"/>
          <w:sz w:val="14"/>
        </w:rPr>
        <w:t xml:space="preserve"> </w:t>
      </w:r>
      <w:r w:rsidRPr="00283806">
        <w:rPr>
          <w:w w:val="115"/>
          <w:sz w:val="14"/>
        </w:rPr>
        <w:t>Miller,</w:t>
      </w:r>
      <w:r w:rsidRPr="00283806">
        <w:rPr>
          <w:spacing w:val="-8"/>
          <w:w w:val="115"/>
          <w:sz w:val="14"/>
        </w:rPr>
        <w:t xml:space="preserve"> </w:t>
      </w:r>
      <w:r w:rsidRPr="00283806">
        <w:rPr>
          <w:w w:val="115"/>
          <w:sz w:val="14"/>
        </w:rPr>
        <w:t>B.R.,</w:t>
      </w:r>
      <w:r w:rsidRPr="00283806">
        <w:rPr>
          <w:spacing w:val="-9"/>
          <w:w w:val="115"/>
          <w:sz w:val="14"/>
        </w:rPr>
        <w:t xml:space="preserve"> </w:t>
      </w:r>
      <w:r w:rsidRPr="00283806">
        <w:rPr>
          <w:w w:val="115"/>
          <w:sz w:val="14"/>
        </w:rPr>
        <w:t>Andrews,</w:t>
      </w:r>
      <w:r w:rsidRPr="00283806">
        <w:rPr>
          <w:spacing w:val="40"/>
          <w:w w:val="115"/>
          <w:sz w:val="14"/>
        </w:rPr>
        <w:t xml:space="preserve"> </w:t>
      </w:r>
      <w:r w:rsidRPr="00283806">
        <w:rPr>
          <w:w w:val="115"/>
          <w:sz w:val="14"/>
        </w:rPr>
        <w:t>A.E., Miller, J.B., Lehman, S.J., Sweeney, C., Miller,</w:t>
      </w:r>
    </w:p>
    <w:p w14:paraId="76DACD70" w14:textId="77777777" w:rsidR="00D67C1E" w:rsidRPr="00283806" w:rsidRDefault="001265CA">
      <w:pPr>
        <w:spacing w:before="2" w:line="232" w:lineRule="auto"/>
        <w:ind w:left="159" w:right="76"/>
        <w:rPr>
          <w:sz w:val="14"/>
        </w:rPr>
      </w:pPr>
      <w:r w:rsidRPr="00283806">
        <w:rPr>
          <w:w w:val="105"/>
          <w:sz w:val="14"/>
        </w:rPr>
        <w:t>S.M.,</w:t>
      </w:r>
      <w:r w:rsidRPr="00283806">
        <w:rPr>
          <w:spacing w:val="38"/>
          <w:w w:val="105"/>
          <w:sz w:val="14"/>
        </w:rPr>
        <w:t xml:space="preserve"> </w:t>
      </w:r>
      <w:r w:rsidRPr="00283806">
        <w:rPr>
          <w:w w:val="105"/>
          <w:sz w:val="14"/>
        </w:rPr>
        <w:t>Thoning,</w:t>
      </w:r>
      <w:r w:rsidRPr="00283806">
        <w:rPr>
          <w:spacing w:val="38"/>
          <w:w w:val="105"/>
          <w:sz w:val="14"/>
        </w:rPr>
        <w:t xml:space="preserve"> </w:t>
      </w:r>
      <w:r w:rsidRPr="00283806">
        <w:rPr>
          <w:w w:val="105"/>
          <w:sz w:val="14"/>
        </w:rPr>
        <w:t>K.,</w:t>
      </w:r>
      <w:r w:rsidRPr="00283806">
        <w:rPr>
          <w:spacing w:val="38"/>
          <w:w w:val="105"/>
          <w:sz w:val="14"/>
        </w:rPr>
        <w:t xml:space="preserve"> </w:t>
      </w:r>
      <w:r w:rsidRPr="00283806">
        <w:rPr>
          <w:w w:val="105"/>
          <w:sz w:val="14"/>
        </w:rPr>
        <w:t>Siso,</w:t>
      </w:r>
      <w:r w:rsidRPr="00283806">
        <w:rPr>
          <w:spacing w:val="38"/>
          <w:w w:val="105"/>
          <w:sz w:val="14"/>
        </w:rPr>
        <w:t xml:space="preserve"> </w:t>
      </w:r>
      <w:r w:rsidRPr="00283806">
        <w:rPr>
          <w:w w:val="105"/>
          <w:sz w:val="14"/>
        </w:rPr>
        <w:t>C.</w:t>
      </w:r>
      <w:r w:rsidRPr="00283806">
        <w:rPr>
          <w:spacing w:val="38"/>
          <w:w w:val="105"/>
          <w:sz w:val="14"/>
        </w:rPr>
        <w:t xml:space="preserve"> </w:t>
      </w:r>
      <w:r w:rsidRPr="00283806">
        <w:rPr>
          <w:w w:val="105"/>
          <w:sz w:val="14"/>
        </w:rPr>
        <w:t>and</w:t>
      </w:r>
      <w:r w:rsidRPr="00283806">
        <w:rPr>
          <w:spacing w:val="38"/>
          <w:w w:val="105"/>
          <w:sz w:val="14"/>
        </w:rPr>
        <w:t xml:space="preserve"> </w:t>
      </w:r>
      <w:r w:rsidRPr="00283806">
        <w:rPr>
          <w:w w:val="105"/>
          <w:sz w:val="14"/>
        </w:rPr>
        <w:t>Atlas,</w:t>
      </w:r>
      <w:r w:rsidRPr="00283806">
        <w:rPr>
          <w:spacing w:val="38"/>
          <w:w w:val="105"/>
          <w:sz w:val="14"/>
        </w:rPr>
        <w:t xml:space="preserve"> </w:t>
      </w:r>
      <w:r w:rsidRPr="00283806">
        <w:rPr>
          <w:w w:val="105"/>
          <w:sz w:val="14"/>
        </w:rPr>
        <w:t>E.L.,</w:t>
      </w:r>
      <w:r w:rsidRPr="00283806">
        <w:rPr>
          <w:spacing w:val="38"/>
          <w:w w:val="105"/>
          <w:sz w:val="14"/>
        </w:rPr>
        <w:t xml:space="preserve"> </w:t>
      </w:r>
      <w:r w:rsidRPr="00283806">
        <w:rPr>
          <w:w w:val="105"/>
          <w:sz w:val="14"/>
        </w:rPr>
        <w:t>2016.</w:t>
      </w:r>
      <w:r w:rsidRPr="00283806">
        <w:rPr>
          <w:spacing w:val="40"/>
          <w:w w:val="105"/>
          <w:sz w:val="14"/>
        </w:rPr>
        <w:t xml:space="preserve"> </w:t>
      </w:r>
      <w:r w:rsidRPr="00283806">
        <w:rPr>
          <w:w w:val="105"/>
          <w:sz w:val="14"/>
        </w:rPr>
        <w:t>Continued emissions of carbon tetrachloride from</w:t>
      </w:r>
      <w:r w:rsidRPr="00283806">
        <w:rPr>
          <w:spacing w:val="40"/>
          <w:w w:val="105"/>
          <w:sz w:val="14"/>
        </w:rPr>
        <w:t xml:space="preserve"> </w:t>
      </w:r>
      <w:r w:rsidRPr="00283806">
        <w:rPr>
          <w:w w:val="105"/>
          <w:sz w:val="14"/>
        </w:rPr>
        <w:t>the United States nearly two decades after its</w:t>
      </w:r>
      <w:r w:rsidRPr="00283806">
        <w:rPr>
          <w:spacing w:val="40"/>
          <w:w w:val="105"/>
          <w:sz w:val="14"/>
        </w:rPr>
        <w:t xml:space="preserve"> </w:t>
      </w:r>
      <w:r w:rsidRPr="00283806">
        <w:rPr>
          <w:w w:val="105"/>
          <w:sz w:val="14"/>
        </w:rPr>
        <w:t>phaseout for dispersive uses. Proceedings of the</w:t>
      </w:r>
      <w:r w:rsidRPr="00283806">
        <w:rPr>
          <w:spacing w:val="40"/>
          <w:w w:val="105"/>
          <w:sz w:val="14"/>
        </w:rPr>
        <w:t xml:space="preserve"> </w:t>
      </w:r>
      <w:r w:rsidRPr="00283806">
        <w:rPr>
          <w:w w:val="105"/>
          <w:sz w:val="14"/>
        </w:rPr>
        <w:t>National Academy of Sciences; Mansur, E. and</w:t>
      </w:r>
      <w:r w:rsidRPr="00283806">
        <w:rPr>
          <w:spacing w:val="40"/>
          <w:w w:val="105"/>
          <w:sz w:val="14"/>
        </w:rPr>
        <w:t xml:space="preserve"> </w:t>
      </w:r>
      <w:r w:rsidRPr="00283806">
        <w:rPr>
          <w:w w:val="105"/>
          <w:sz w:val="14"/>
        </w:rPr>
        <w:t>Sheriff, G., 2021. On the measurement of</w:t>
      </w:r>
      <w:r w:rsidRPr="00283806">
        <w:rPr>
          <w:spacing w:val="40"/>
          <w:w w:val="105"/>
          <w:sz w:val="14"/>
        </w:rPr>
        <w:t xml:space="preserve"> </w:t>
      </w:r>
      <w:r w:rsidRPr="00283806">
        <w:rPr>
          <w:w w:val="105"/>
          <w:sz w:val="14"/>
        </w:rPr>
        <w:t>environmental inequality: Ranking emissions</w:t>
      </w:r>
      <w:r w:rsidRPr="00283806">
        <w:rPr>
          <w:spacing w:val="40"/>
          <w:w w:val="105"/>
          <w:sz w:val="14"/>
        </w:rPr>
        <w:t xml:space="preserve"> </w:t>
      </w:r>
      <w:r w:rsidRPr="00283806">
        <w:rPr>
          <w:w w:val="105"/>
          <w:sz w:val="14"/>
        </w:rPr>
        <w:t>distributions generated by different policy</w:t>
      </w:r>
      <w:r w:rsidRPr="00283806">
        <w:rPr>
          <w:spacing w:val="40"/>
          <w:w w:val="105"/>
          <w:sz w:val="14"/>
        </w:rPr>
        <w:t xml:space="preserve"> </w:t>
      </w:r>
      <w:r w:rsidRPr="00283806">
        <w:rPr>
          <w:w w:val="105"/>
          <w:sz w:val="14"/>
        </w:rPr>
        <w:t>instruments.; U.S. EPA. 2011. Plan EJ 2014.</w:t>
      </w:r>
    </w:p>
    <w:p w14:paraId="43082B56" w14:textId="77777777" w:rsidR="00D67C1E" w:rsidRPr="00283806" w:rsidRDefault="001265CA">
      <w:pPr>
        <w:spacing w:before="7" w:line="232" w:lineRule="auto"/>
        <w:ind w:left="159" w:right="76"/>
        <w:rPr>
          <w:sz w:val="14"/>
        </w:rPr>
      </w:pPr>
      <w:r w:rsidRPr="00283806">
        <w:rPr>
          <w:w w:val="105"/>
          <w:sz w:val="14"/>
        </w:rPr>
        <w:t>Washington, DC: U.S. EPA, Office of Environmental</w:t>
      </w:r>
      <w:r w:rsidRPr="00283806">
        <w:rPr>
          <w:spacing w:val="40"/>
          <w:w w:val="105"/>
          <w:sz w:val="14"/>
        </w:rPr>
        <w:t xml:space="preserve"> </w:t>
      </w:r>
      <w:r w:rsidRPr="00283806">
        <w:rPr>
          <w:w w:val="105"/>
          <w:sz w:val="14"/>
        </w:rPr>
        <w:t>Justice.; U.S. EPA. 2015. Guidance on Considering</w:t>
      </w:r>
      <w:r w:rsidRPr="00283806">
        <w:rPr>
          <w:spacing w:val="40"/>
          <w:w w:val="105"/>
          <w:sz w:val="14"/>
        </w:rPr>
        <w:t xml:space="preserve"> </w:t>
      </w:r>
      <w:r w:rsidRPr="00283806">
        <w:rPr>
          <w:w w:val="105"/>
          <w:sz w:val="14"/>
        </w:rPr>
        <w:t>Environmental Justice During the Development of</w:t>
      </w:r>
      <w:r w:rsidRPr="00283806">
        <w:rPr>
          <w:spacing w:val="40"/>
          <w:w w:val="105"/>
          <w:sz w:val="14"/>
        </w:rPr>
        <w:t xml:space="preserve"> </w:t>
      </w:r>
      <w:r w:rsidRPr="00283806">
        <w:rPr>
          <w:w w:val="105"/>
          <w:sz w:val="14"/>
        </w:rPr>
        <w:t>Regulatory Actions. May 2015.; USGCRP. 2016. The</w:t>
      </w:r>
      <w:r w:rsidRPr="00283806">
        <w:rPr>
          <w:spacing w:val="40"/>
          <w:w w:val="105"/>
          <w:sz w:val="14"/>
        </w:rPr>
        <w:t xml:space="preserve"> </w:t>
      </w:r>
      <w:r w:rsidRPr="00283806">
        <w:rPr>
          <w:w w:val="105"/>
          <w:sz w:val="14"/>
        </w:rPr>
        <w:t>Impacts of Climate Change on Human Health in the</w:t>
      </w:r>
      <w:r w:rsidRPr="00283806">
        <w:rPr>
          <w:spacing w:val="40"/>
          <w:w w:val="105"/>
          <w:sz w:val="14"/>
        </w:rPr>
        <w:t xml:space="preserve"> </w:t>
      </w:r>
      <w:r w:rsidRPr="00283806">
        <w:rPr>
          <w:w w:val="105"/>
          <w:sz w:val="14"/>
        </w:rPr>
        <w:t>United States: A Scientific Assessment. U.S. Global</w:t>
      </w:r>
      <w:r w:rsidRPr="00283806">
        <w:rPr>
          <w:spacing w:val="80"/>
          <w:w w:val="105"/>
          <w:sz w:val="14"/>
        </w:rPr>
        <w:t xml:space="preserve"> </w:t>
      </w:r>
      <w:r w:rsidRPr="00283806">
        <w:rPr>
          <w:w w:val="105"/>
          <w:sz w:val="14"/>
        </w:rPr>
        <w:t>Change Research Program, Washington, DC.</w:t>
      </w:r>
    </w:p>
    <w:p w14:paraId="2B736094" w14:textId="77777777" w:rsidR="00D67C1E" w:rsidRPr="00283806" w:rsidRDefault="001265CA">
      <w:pPr>
        <w:pStyle w:val="BodyText"/>
        <w:spacing w:before="136" w:line="225" w:lineRule="auto"/>
        <w:ind w:left="142" w:right="67"/>
      </w:pPr>
      <w:r w:rsidRPr="00283806">
        <w:br w:type="column"/>
      </w:r>
      <w:r w:rsidRPr="00283806">
        <w:rPr>
          <w:w w:val="105"/>
        </w:rPr>
        <w:t>purchase of recovery equipment. The Agency notes that to date, funds have</w:t>
      </w:r>
      <w:r w:rsidRPr="00283806">
        <w:rPr>
          <w:spacing w:val="80"/>
          <w:w w:val="105"/>
        </w:rPr>
        <w:t xml:space="preserve"> </w:t>
      </w:r>
      <w:r w:rsidRPr="00283806">
        <w:rPr>
          <w:w w:val="105"/>
        </w:rPr>
        <w:t>not been appropriated for such a purpose. EPA clarifies that leak repair requirements do not apply to residential RACHP equipment, and that EPA is not requiring refrigerant-containing appliances to be retrofitted to a lower- GWP refrigerant.</w:t>
      </w:r>
    </w:p>
    <w:p w14:paraId="044CDB8C" w14:textId="77777777" w:rsidR="00D67C1E" w:rsidRPr="00283806" w:rsidRDefault="001265CA">
      <w:pPr>
        <w:pStyle w:val="BodyText"/>
        <w:spacing w:line="213" w:lineRule="auto"/>
        <w:ind w:left="142" w:right="28" w:firstLine="180"/>
      </w:pPr>
      <w:r w:rsidRPr="00283806">
        <w:rPr>
          <w:rFonts w:ascii="Book Antiqua"/>
          <w:i/>
          <w:w w:val="105"/>
        </w:rPr>
        <w:t xml:space="preserve">Comment: </w:t>
      </w:r>
      <w:r w:rsidRPr="00283806">
        <w:rPr>
          <w:w w:val="105"/>
        </w:rPr>
        <w:t>One commenter stated that there needs to be greater awareness of</w:t>
      </w:r>
    </w:p>
    <w:p w14:paraId="138F2BCE" w14:textId="77777777" w:rsidR="00D67C1E" w:rsidRPr="00283806" w:rsidRDefault="001265CA">
      <w:pPr>
        <w:pStyle w:val="BodyText"/>
        <w:spacing w:line="225" w:lineRule="auto"/>
        <w:ind w:left="142" w:right="131"/>
      </w:pPr>
      <w:r w:rsidRPr="00283806">
        <w:rPr>
          <w:w w:val="105"/>
        </w:rPr>
        <w:t xml:space="preserve">the environmental impacts for those who work with HFC refrigerants and to those who advocate for environmental </w:t>
      </w:r>
      <w:r w:rsidRPr="00283806">
        <w:rPr>
          <w:spacing w:val="-2"/>
          <w:w w:val="105"/>
        </w:rPr>
        <w:t>justice.</w:t>
      </w:r>
    </w:p>
    <w:p w14:paraId="76903C2C" w14:textId="77777777" w:rsidR="00D67C1E" w:rsidRPr="00283806" w:rsidRDefault="001265CA">
      <w:pPr>
        <w:pStyle w:val="BodyText"/>
        <w:spacing w:line="213" w:lineRule="auto"/>
        <w:ind w:left="142" w:right="28" w:firstLine="180"/>
      </w:pPr>
      <w:r w:rsidRPr="00283806">
        <w:rPr>
          <w:rFonts w:ascii="Book Antiqua" w:hAnsi="Book Antiqua"/>
          <w:i/>
          <w:w w:val="105"/>
        </w:rPr>
        <w:t xml:space="preserve">Response: </w:t>
      </w:r>
      <w:r w:rsidRPr="00283806">
        <w:rPr>
          <w:w w:val="105"/>
        </w:rPr>
        <w:t>EPA acknowledges the commenter’s support for greater</w:t>
      </w:r>
    </w:p>
    <w:p w14:paraId="166168FC" w14:textId="77777777" w:rsidR="00D67C1E" w:rsidRPr="00283806" w:rsidRDefault="001265CA">
      <w:pPr>
        <w:pStyle w:val="BodyText"/>
        <w:spacing w:line="225" w:lineRule="auto"/>
        <w:ind w:left="142" w:right="72"/>
      </w:pPr>
      <w:r w:rsidRPr="00283806">
        <w:rPr>
          <w:w w:val="105"/>
        </w:rPr>
        <w:t xml:space="preserve">awareness of environmental impacts in this area. EPA notes that the discussion of environmental justice in this action may help increase awareness of these </w:t>
      </w:r>
      <w:r w:rsidRPr="00283806">
        <w:rPr>
          <w:spacing w:val="-2"/>
          <w:w w:val="105"/>
        </w:rPr>
        <w:t>issues.</w:t>
      </w:r>
    </w:p>
    <w:p w14:paraId="32054EE9" w14:textId="77777777" w:rsidR="00D67C1E" w:rsidRPr="00283806" w:rsidRDefault="001265CA">
      <w:pPr>
        <w:pStyle w:val="Heading3"/>
        <w:numPr>
          <w:ilvl w:val="0"/>
          <w:numId w:val="64"/>
        </w:numPr>
        <w:tabs>
          <w:tab w:val="left" w:pos="581"/>
        </w:tabs>
        <w:spacing w:before="91" w:line="218" w:lineRule="auto"/>
        <w:ind w:left="142" w:right="237" w:firstLine="0"/>
        <w:rPr>
          <w:rFonts w:ascii="Book Antiqua"/>
        </w:rPr>
      </w:pPr>
      <w:r w:rsidRPr="00283806">
        <w:rPr>
          <w:rFonts w:ascii="Book Antiqua"/>
        </w:rPr>
        <w:t>How</w:t>
      </w:r>
      <w:r w:rsidRPr="00283806">
        <w:rPr>
          <w:rFonts w:ascii="Book Antiqua"/>
          <w:spacing w:val="-4"/>
        </w:rPr>
        <w:t xml:space="preserve"> </w:t>
      </w:r>
      <w:r w:rsidRPr="00283806">
        <w:rPr>
          <w:rFonts w:ascii="Book Antiqua"/>
        </w:rPr>
        <w:t>is</w:t>
      </w:r>
      <w:r w:rsidRPr="00283806">
        <w:rPr>
          <w:rFonts w:ascii="Book Antiqua"/>
          <w:spacing w:val="-4"/>
        </w:rPr>
        <w:t xml:space="preserve"> </w:t>
      </w:r>
      <w:r w:rsidRPr="00283806">
        <w:rPr>
          <w:rFonts w:ascii="Book Antiqua"/>
        </w:rPr>
        <w:t>EPA</w:t>
      </w:r>
      <w:r w:rsidRPr="00283806">
        <w:rPr>
          <w:rFonts w:ascii="Book Antiqua"/>
          <w:spacing w:val="-4"/>
        </w:rPr>
        <w:t xml:space="preserve"> </w:t>
      </w:r>
      <w:r w:rsidRPr="00283806">
        <w:rPr>
          <w:rFonts w:ascii="Book Antiqua"/>
        </w:rPr>
        <w:t>responding</w:t>
      </w:r>
      <w:r w:rsidRPr="00283806">
        <w:rPr>
          <w:rFonts w:ascii="Book Antiqua"/>
          <w:spacing w:val="-4"/>
        </w:rPr>
        <w:t xml:space="preserve"> </w:t>
      </w:r>
      <w:r w:rsidRPr="00283806">
        <w:rPr>
          <w:rFonts w:ascii="Book Antiqua"/>
        </w:rPr>
        <w:t>to</w:t>
      </w:r>
      <w:r w:rsidRPr="00283806">
        <w:rPr>
          <w:rFonts w:ascii="Book Antiqua"/>
          <w:spacing w:val="-4"/>
        </w:rPr>
        <w:t xml:space="preserve"> </w:t>
      </w:r>
      <w:r w:rsidRPr="00283806">
        <w:rPr>
          <w:rFonts w:ascii="Book Antiqua"/>
        </w:rPr>
        <w:t>other comments on the proposed rule?</w:t>
      </w:r>
    </w:p>
    <w:p w14:paraId="10B0FF70" w14:textId="77777777" w:rsidR="00D67C1E" w:rsidRPr="00283806" w:rsidRDefault="001265CA">
      <w:pPr>
        <w:pStyle w:val="BodyText"/>
        <w:spacing w:before="60" w:line="225" w:lineRule="auto"/>
        <w:ind w:left="142" w:right="58" w:firstLine="180"/>
      </w:pPr>
      <w:r w:rsidRPr="00283806">
        <w:rPr>
          <w:rFonts w:ascii="Book Antiqua" w:hAnsi="Book Antiqua"/>
          <w:i/>
          <w:w w:val="105"/>
        </w:rPr>
        <w:t xml:space="preserve">Comment: </w:t>
      </w:r>
      <w:r w:rsidRPr="00283806">
        <w:rPr>
          <w:w w:val="105"/>
        </w:rPr>
        <w:t>One commenter stated</w:t>
      </w:r>
      <w:r w:rsidRPr="00283806">
        <w:rPr>
          <w:spacing w:val="80"/>
          <w:w w:val="105"/>
        </w:rPr>
        <w:t xml:space="preserve"> </w:t>
      </w:r>
      <w:r w:rsidRPr="00283806">
        <w:rPr>
          <w:w w:val="105"/>
        </w:rPr>
        <w:t>there is no authority in the AIM Act (or</w:t>
      </w:r>
      <w:r w:rsidRPr="00283806">
        <w:rPr>
          <w:spacing w:val="80"/>
          <w:w w:val="105"/>
        </w:rPr>
        <w:t xml:space="preserve"> </w:t>
      </w:r>
      <w:r w:rsidRPr="00283806">
        <w:rPr>
          <w:w w:val="105"/>
        </w:rPr>
        <w:t>in the CAA) for mandating facilities</w:t>
      </w:r>
      <w:r w:rsidRPr="00283806">
        <w:rPr>
          <w:spacing w:val="40"/>
          <w:w w:val="105"/>
        </w:rPr>
        <w:t xml:space="preserve"> </w:t>
      </w:r>
      <w:proofErr w:type="gramStart"/>
      <w:r w:rsidRPr="00283806">
        <w:rPr>
          <w:w w:val="105"/>
        </w:rPr>
        <w:t>install</w:t>
      </w:r>
      <w:proofErr w:type="gramEnd"/>
      <w:r w:rsidRPr="00283806">
        <w:rPr>
          <w:w w:val="105"/>
        </w:rPr>
        <w:t xml:space="preserve"> leak detection systems to be used in the normal operation of equipment between servicing. The commenter</w:t>
      </w:r>
      <w:r w:rsidRPr="00283806">
        <w:rPr>
          <w:spacing w:val="40"/>
          <w:w w:val="105"/>
        </w:rPr>
        <w:t xml:space="preserve"> </w:t>
      </w:r>
      <w:r w:rsidRPr="00283806">
        <w:rPr>
          <w:w w:val="105"/>
        </w:rPr>
        <w:t>stated that the Agency’s assertion that leak detection is ‘‘an activity regarding the servicing or repair of equipment’’ stretches the actual languages used by Congress beyond their intent and cannot be legally supported. The commenter</w:t>
      </w:r>
      <w:r w:rsidRPr="00283806">
        <w:rPr>
          <w:spacing w:val="40"/>
          <w:w w:val="105"/>
        </w:rPr>
        <w:t xml:space="preserve"> </w:t>
      </w:r>
      <w:r w:rsidRPr="00283806">
        <w:rPr>
          <w:w w:val="105"/>
        </w:rPr>
        <w:t xml:space="preserve">also mentioned that EPA does not have the authority to penalize facility owners (or equipment owners) for mismanagement of </w:t>
      </w:r>
      <w:proofErr w:type="gramStart"/>
      <w:r w:rsidRPr="00283806">
        <w:rPr>
          <w:w w:val="105"/>
        </w:rPr>
        <w:t>refrigerant</w:t>
      </w:r>
      <w:proofErr w:type="gramEnd"/>
      <w:r w:rsidRPr="00283806">
        <w:rPr>
          <w:w w:val="105"/>
        </w:rPr>
        <w:t xml:space="preserve"> resulting from errors made by certified service providers, nor does EPA have the power to regulate loss of </w:t>
      </w:r>
      <w:proofErr w:type="gramStart"/>
      <w:r w:rsidRPr="00283806">
        <w:rPr>
          <w:w w:val="105"/>
        </w:rPr>
        <w:t>refrigerant</w:t>
      </w:r>
      <w:proofErr w:type="gramEnd"/>
      <w:r w:rsidRPr="00283806">
        <w:rPr>
          <w:w w:val="105"/>
        </w:rPr>
        <w:t xml:space="preserve"> during normal operations. While the</w:t>
      </w:r>
      <w:r w:rsidRPr="00283806">
        <w:rPr>
          <w:spacing w:val="80"/>
          <w:w w:val="105"/>
        </w:rPr>
        <w:t xml:space="preserve"> </w:t>
      </w:r>
      <w:r w:rsidRPr="00283806">
        <w:rPr>
          <w:w w:val="105"/>
        </w:rPr>
        <w:t>commenter generally agreed with EPA’s regulation and best practices for technicians, they claimed the proposed rule</w:t>
      </w:r>
      <w:r w:rsidRPr="00283806">
        <w:rPr>
          <w:spacing w:val="40"/>
          <w:w w:val="105"/>
        </w:rPr>
        <w:t xml:space="preserve"> </w:t>
      </w:r>
      <w:r w:rsidRPr="00283806">
        <w:rPr>
          <w:w w:val="105"/>
        </w:rPr>
        <w:t>does</w:t>
      </w:r>
      <w:r w:rsidRPr="00283806">
        <w:rPr>
          <w:spacing w:val="40"/>
          <w:w w:val="105"/>
        </w:rPr>
        <w:t xml:space="preserve"> </w:t>
      </w:r>
      <w:r w:rsidRPr="00283806">
        <w:rPr>
          <w:w w:val="105"/>
        </w:rPr>
        <w:t>not</w:t>
      </w:r>
      <w:r w:rsidRPr="00283806">
        <w:rPr>
          <w:spacing w:val="40"/>
          <w:w w:val="105"/>
        </w:rPr>
        <w:t xml:space="preserve"> </w:t>
      </w:r>
      <w:r w:rsidRPr="00283806">
        <w:rPr>
          <w:w w:val="105"/>
        </w:rPr>
        <w:t>indicate</w:t>
      </w:r>
      <w:r w:rsidRPr="00283806">
        <w:rPr>
          <w:spacing w:val="40"/>
          <w:w w:val="105"/>
        </w:rPr>
        <w:t xml:space="preserve"> </w:t>
      </w:r>
      <w:r w:rsidRPr="00283806">
        <w:rPr>
          <w:w w:val="105"/>
        </w:rPr>
        <w:t>how</w:t>
      </w:r>
      <w:r w:rsidRPr="00283806">
        <w:rPr>
          <w:spacing w:val="40"/>
          <w:w w:val="105"/>
        </w:rPr>
        <w:t xml:space="preserve"> </w:t>
      </w:r>
      <w:r w:rsidRPr="00283806">
        <w:rPr>
          <w:w w:val="105"/>
        </w:rPr>
        <w:t>that authority extends to the regulation of facility owners. Accordingly, the commenter stated the Agency legally</w:t>
      </w:r>
      <w:r w:rsidRPr="00283806">
        <w:rPr>
          <w:spacing w:val="40"/>
          <w:w w:val="105"/>
        </w:rPr>
        <w:t xml:space="preserve"> </w:t>
      </w:r>
      <w:r w:rsidRPr="00283806">
        <w:rPr>
          <w:w w:val="105"/>
        </w:rPr>
        <w:t>may only require leak detection and prevention during the time that service providers are maintaining refrigeration systems. Further, the commenter stated that EPA has previously recognized that refrigeration equipment will inherently lose refrigerant charge over time and</w:t>
      </w:r>
      <w:r w:rsidRPr="00283806">
        <w:rPr>
          <w:spacing w:val="40"/>
          <w:w w:val="105"/>
        </w:rPr>
        <w:t xml:space="preserve"> </w:t>
      </w:r>
      <w:r w:rsidRPr="00283806">
        <w:rPr>
          <w:w w:val="105"/>
        </w:rPr>
        <w:t xml:space="preserve">that refrigeration and air conditioning equipment does often leak. If taken to its logical conclusion, the overly broad interpretation of </w:t>
      </w:r>
      <w:proofErr w:type="gramStart"/>
      <w:r w:rsidRPr="00283806">
        <w:rPr>
          <w:w w:val="105"/>
        </w:rPr>
        <w:t>the section</w:t>
      </w:r>
      <w:proofErr w:type="gramEnd"/>
      <w:r w:rsidRPr="00283806">
        <w:rPr>
          <w:w w:val="105"/>
        </w:rPr>
        <w:t xml:space="preserve"> 608 rules and the proposed rule to encompass normal operation, in theory, would also extend liability to equipment manufacturers whose appliances would violate the venting prohibition by</w:t>
      </w:r>
      <w:r w:rsidRPr="00283806">
        <w:rPr>
          <w:spacing w:val="80"/>
          <w:w w:val="150"/>
        </w:rPr>
        <w:t xml:space="preserve"> </w:t>
      </w:r>
      <w:r w:rsidRPr="00283806">
        <w:rPr>
          <w:w w:val="105"/>
        </w:rPr>
        <w:t>merely selling equipment into</w:t>
      </w:r>
    </w:p>
    <w:p w14:paraId="71442767" w14:textId="77777777" w:rsidR="00D67C1E" w:rsidRPr="00283806" w:rsidRDefault="001265CA">
      <w:pPr>
        <w:pStyle w:val="BodyText"/>
        <w:spacing w:before="135" w:line="225" w:lineRule="auto"/>
        <w:ind w:left="145" w:right="151"/>
      </w:pPr>
      <w:r w:rsidRPr="00283806">
        <w:br w:type="column"/>
      </w:r>
      <w:r w:rsidRPr="00283806">
        <w:rPr>
          <w:w w:val="105"/>
        </w:rPr>
        <w:t>commerce because the equipment might leak and require replacement of refrigerant. Thus, EPA lacks authority to impose liability for normal operation of refrigeration equipment, it cannot impose liability for replacement of refrigerant that is lost routinely during normal operation.</w:t>
      </w:r>
    </w:p>
    <w:p w14:paraId="5EA891B4" w14:textId="77777777" w:rsidR="00D67C1E" w:rsidRPr="00283806" w:rsidRDefault="001265CA">
      <w:pPr>
        <w:pStyle w:val="BodyText"/>
        <w:spacing w:line="177" w:lineRule="exact"/>
        <w:ind w:left="325"/>
      </w:pPr>
      <w:r w:rsidRPr="00283806">
        <w:rPr>
          <w:w w:val="105"/>
        </w:rPr>
        <w:t>Another</w:t>
      </w:r>
      <w:r w:rsidRPr="00283806">
        <w:rPr>
          <w:spacing w:val="4"/>
          <w:w w:val="105"/>
        </w:rPr>
        <w:t xml:space="preserve"> </w:t>
      </w:r>
      <w:r w:rsidRPr="00283806">
        <w:rPr>
          <w:w w:val="105"/>
        </w:rPr>
        <w:t>commenter</w:t>
      </w:r>
      <w:r w:rsidRPr="00283806">
        <w:rPr>
          <w:spacing w:val="4"/>
          <w:w w:val="105"/>
        </w:rPr>
        <w:t xml:space="preserve"> </w:t>
      </w:r>
      <w:r w:rsidRPr="00283806">
        <w:rPr>
          <w:w w:val="105"/>
        </w:rPr>
        <w:t>stated</w:t>
      </w:r>
      <w:r w:rsidRPr="00283806">
        <w:rPr>
          <w:spacing w:val="4"/>
          <w:w w:val="105"/>
        </w:rPr>
        <w:t xml:space="preserve"> </w:t>
      </w:r>
      <w:r w:rsidRPr="00283806">
        <w:rPr>
          <w:w w:val="105"/>
        </w:rPr>
        <w:t>that</w:t>
      </w:r>
      <w:r w:rsidRPr="00283806">
        <w:rPr>
          <w:spacing w:val="4"/>
          <w:w w:val="105"/>
        </w:rPr>
        <w:t xml:space="preserve"> </w:t>
      </w:r>
      <w:r w:rsidRPr="00283806">
        <w:rPr>
          <w:spacing w:val="-5"/>
          <w:w w:val="105"/>
        </w:rPr>
        <w:t>EPA</w:t>
      </w:r>
    </w:p>
    <w:p w14:paraId="03EA86D4" w14:textId="77777777" w:rsidR="00D67C1E" w:rsidRPr="00283806" w:rsidRDefault="001265CA">
      <w:pPr>
        <w:pStyle w:val="BodyText"/>
        <w:spacing w:before="4" w:line="225" w:lineRule="auto"/>
        <w:ind w:left="145" w:right="121"/>
      </w:pPr>
      <w:r w:rsidRPr="00283806">
        <w:rPr>
          <w:w w:val="105"/>
        </w:rPr>
        <w:t>should</w:t>
      </w:r>
      <w:r w:rsidRPr="00283806">
        <w:rPr>
          <w:spacing w:val="40"/>
          <w:w w:val="105"/>
        </w:rPr>
        <w:t xml:space="preserve"> </w:t>
      </w:r>
      <w:r w:rsidRPr="00283806">
        <w:rPr>
          <w:w w:val="105"/>
        </w:rPr>
        <w:t>acknowledge</w:t>
      </w:r>
      <w:r w:rsidRPr="00283806">
        <w:rPr>
          <w:spacing w:val="40"/>
          <w:w w:val="105"/>
        </w:rPr>
        <w:t xml:space="preserve"> </w:t>
      </w:r>
      <w:r w:rsidRPr="00283806">
        <w:rPr>
          <w:w w:val="105"/>
        </w:rPr>
        <w:t>that</w:t>
      </w:r>
      <w:r w:rsidRPr="00283806">
        <w:rPr>
          <w:spacing w:val="40"/>
          <w:w w:val="105"/>
        </w:rPr>
        <w:t xml:space="preserve"> </w:t>
      </w:r>
      <w:r w:rsidRPr="00283806">
        <w:rPr>
          <w:w w:val="105"/>
        </w:rPr>
        <w:t>the</w:t>
      </w:r>
      <w:r w:rsidRPr="00283806">
        <w:rPr>
          <w:spacing w:val="40"/>
          <w:w w:val="105"/>
        </w:rPr>
        <w:t xml:space="preserve"> </w:t>
      </w:r>
      <w:r w:rsidRPr="00283806">
        <w:rPr>
          <w:w w:val="105"/>
        </w:rPr>
        <w:t xml:space="preserve">Agency has no authority under the AIM Act or CAA section 608 to penalize facility or equipment owners for management of </w:t>
      </w:r>
      <w:proofErr w:type="gramStart"/>
      <w:r w:rsidRPr="00283806">
        <w:rPr>
          <w:w w:val="105"/>
        </w:rPr>
        <w:t>refrigerant</w:t>
      </w:r>
      <w:proofErr w:type="gramEnd"/>
      <w:r w:rsidRPr="00283806">
        <w:rPr>
          <w:spacing w:val="-9"/>
          <w:w w:val="105"/>
        </w:rPr>
        <w:t xml:space="preserve"> </w:t>
      </w:r>
      <w:r w:rsidRPr="00283806">
        <w:rPr>
          <w:w w:val="105"/>
        </w:rPr>
        <w:t>resulting</w:t>
      </w:r>
      <w:r w:rsidRPr="00283806">
        <w:rPr>
          <w:spacing w:val="-9"/>
          <w:w w:val="105"/>
        </w:rPr>
        <w:t xml:space="preserve"> </w:t>
      </w:r>
      <w:r w:rsidRPr="00283806">
        <w:rPr>
          <w:w w:val="105"/>
        </w:rPr>
        <w:t>from</w:t>
      </w:r>
      <w:r w:rsidRPr="00283806">
        <w:rPr>
          <w:spacing w:val="-9"/>
          <w:w w:val="105"/>
        </w:rPr>
        <w:t xml:space="preserve"> </w:t>
      </w:r>
      <w:r w:rsidRPr="00283806">
        <w:rPr>
          <w:w w:val="105"/>
        </w:rPr>
        <w:t>errors</w:t>
      </w:r>
      <w:r w:rsidRPr="00283806">
        <w:rPr>
          <w:spacing w:val="-9"/>
          <w:w w:val="105"/>
        </w:rPr>
        <w:t xml:space="preserve"> </w:t>
      </w:r>
      <w:r w:rsidRPr="00283806">
        <w:rPr>
          <w:w w:val="105"/>
        </w:rPr>
        <w:t>made</w:t>
      </w:r>
      <w:r w:rsidRPr="00283806">
        <w:rPr>
          <w:spacing w:val="-9"/>
          <w:w w:val="105"/>
        </w:rPr>
        <w:t xml:space="preserve"> </w:t>
      </w:r>
      <w:r w:rsidRPr="00283806">
        <w:rPr>
          <w:w w:val="105"/>
        </w:rPr>
        <w:t xml:space="preserve">by service providers or </w:t>
      </w:r>
      <w:proofErr w:type="gramStart"/>
      <w:r w:rsidRPr="00283806">
        <w:rPr>
          <w:w w:val="105"/>
        </w:rPr>
        <w:t>regulate</w:t>
      </w:r>
      <w:proofErr w:type="gramEnd"/>
      <w:r w:rsidRPr="00283806">
        <w:rPr>
          <w:w w:val="105"/>
        </w:rPr>
        <w:t xml:space="preserve"> the loss of </w:t>
      </w:r>
      <w:proofErr w:type="gramStart"/>
      <w:r w:rsidRPr="00283806">
        <w:rPr>
          <w:w w:val="105"/>
        </w:rPr>
        <w:t>refrigerant</w:t>
      </w:r>
      <w:proofErr w:type="gramEnd"/>
      <w:r w:rsidRPr="00283806">
        <w:rPr>
          <w:w w:val="105"/>
        </w:rPr>
        <w:t xml:space="preserve"> during normal operations.</w:t>
      </w:r>
    </w:p>
    <w:p w14:paraId="57431DB9" w14:textId="77777777" w:rsidR="00D67C1E" w:rsidRPr="00283806" w:rsidRDefault="001265CA">
      <w:pPr>
        <w:pStyle w:val="BodyText"/>
        <w:spacing w:line="225" w:lineRule="auto"/>
        <w:ind w:left="145" w:right="112"/>
      </w:pPr>
      <w:r w:rsidRPr="00283806">
        <w:rPr>
          <w:w w:val="110"/>
        </w:rPr>
        <w:t>The</w:t>
      </w:r>
      <w:r w:rsidRPr="00283806">
        <w:rPr>
          <w:spacing w:val="-11"/>
          <w:w w:val="110"/>
        </w:rPr>
        <w:t xml:space="preserve"> </w:t>
      </w:r>
      <w:r w:rsidRPr="00283806">
        <w:rPr>
          <w:w w:val="110"/>
        </w:rPr>
        <w:t>commenter</w:t>
      </w:r>
      <w:r w:rsidRPr="00283806">
        <w:rPr>
          <w:spacing w:val="-11"/>
          <w:w w:val="110"/>
        </w:rPr>
        <w:t xml:space="preserve"> </w:t>
      </w:r>
      <w:r w:rsidRPr="00283806">
        <w:rPr>
          <w:w w:val="110"/>
        </w:rPr>
        <w:t>cites</w:t>
      </w:r>
      <w:r w:rsidRPr="00283806">
        <w:rPr>
          <w:spacing w:val="-11"/>
          <w:w w:val="110"/>
        </w:rPr>
        <w:t xml:space="preserve"> </w:t>
      </w:r>
      <w:r w:rsidRPr="00283806">
        <w:rPr>
          <w:w w:val="110"/>
        </w:rPr>
        <w:t>the</w:t>
      </w:r>
      <w:r w:rsidRPr="00283806">
        <w:rPr>
          <w:spacing w:val="-11"/>
          <w:w w:val="110"/>
        </w:rPr>
        <w:t xml:space="preserve"> </w:t>
      </w:r>
      <w:r w:rsidRPr="00283806">
        <w:rPr>
          <w:w w:val="110"/>
        </w:rPr>
        <w:t>use</w:t>
      </w:r>
      <w:r w:rsidRPr="00283806">
        <w:rPr>
          <w:spacing w:val="-11"/>
          <w:w w:val="110"/>
        </w:rPr>
        <w:t xml:space="preserve"> </w:t>
      </w:r>
      <w:r w:rsidRPr="00283806">
        <w:rPr>
          <w:w w:val="110"/>
        </w:rPr>
        <w:t>of</w:t>
      </w:r>
      <w:r w:rsidRPr="00283806">
        <w:rPr>
          <w:spacing w:val="-11"/>
          <w:w w:val="110"/>
        </w:rPr>
        <w:t xml:space="preserve"> </w:t>
      </w:r>
      <w:r w:rsidRPr="00283806">
        <w:rPr>
          <w:w w:val="110"/>
        </w:rPr>
        <w:t>the</w:t>
      </w:r>
      <w:r w:rsidRPr="00283806">
        <w:rPr>
          <w:spacing w:val="-11"/>
          <w:w w:val="110"/>
        </w:rPr>
        <w:t xml:space="preserve"> </w:t>
      </w:r>
      <w:r w:rsidRPr="00283806">
        <w:rPr>
          <w:w w:val="110"/>
        </w:rPr>
        <w:t>term ‘‘maintenance’’ in section 608(c), but not in 608(a), as justification that Congress intended EPA to regulate servicing of equipment by technicians, rather than equipment by facility owners. The commenter further stated that if section 608 is interpreted to encompass normal operation of equipment,</w:t>
      </w:r>
      <w:r w:rsidRPr="00283806">
        <w:rPr>
          <w:spacing w:val="-11"/>
          <w:w w:val="110"/>
        </w:rPr>
        <w:t xml:space="preserve"> </w:t>
      </w:r>
      <w:r w:rsidRPr="00283806">
        <w:rPr>
          <w:w w:val="110"/>
        </w:rPr>
        <w:t>an</w:t>
      </w:r>
      <w:r w:rsidRPr="00283806">
        <w:rPr>
          <w:spacing w:val="-11"/>
          <w:w w:val="110"/>
        </w:rPr>
        <w:t xml:space="preserve"> </w:t>
      </w:r>
      <w:r w:rsidRPr="00283806">
        <w:rPr>
          <w:w w:val="110"/>
        </w:rPr>
        <w:t>equipment</w:t>
      </w:r>
      <w:r w:rsidRPr="00283806">
        <w:rPr>
          <w:spacing w:val="-11"/>
          <w:w w:val="110"/>
        </w:rPr>
        <w:t xml:space="preserve"> </w:t>
      </w:r>
      <w:r w:rsidRPr="00283806">
        <w:rPr>
          <w:w w:val="110"/>
        </w:rPr>
        <w:t>manufacturer would</w:t>
      </w:r>
      <w:r w:rsidRPr="00283806">
        <w:rPr>
          <w:spacing w:val="-11"/>
          <w:w w:val="110"/>
        </w:rPr>
        <w:t xml:space="preserve"> </w:t>
      </w:r>
      <w:r w:rsidRPr="00283806">
        <w:rPr>
          <w:w w:val="110"/>
        </w:rPr>
        <w:t>violate</w:t>
      </w:r>
      <w:r w:rsidRPr="00283806">
        <w:rPr>
          <w:spacing w:val="-11"/>
          <w:w w:val="110"/>
        </w:rPr>
        <w:t xml:space="preserve"> </w:t>
      </w:r>
      <w:r w:rsidRPr="00283806">
        <w:rPr>
          <w:w w:val="110"/>
        </w:rPr>
        <w:t>the</w:t>
      </w:r>
      <w:r w:rsidRPr="00283806">
        <w:rPr>
          <w:spacing w:val="-11"/>
          <w:w w:val="110"/>
        </w:rPr>
        <w:t xml:space="preserve"> </w:t>
      </w:r>
      <w:r w:rsidRPr="00283806">
        <w:rPr>
          <w:w w:val="110"/>
        </w:rPr>
        <w:t>venting</w:t>
      </w:r>
      <w:r w:rsidRPr="00283806">
        <w:rPr>
          <w:spacing w:val="-11"/>
          <w:w w:val="110"/>
        </w:rPr>
        <w:t xml:space="preserve"> </w:t>
      </w:r>
      <w:r w:rsidRPr="00283806">
        <w:rPr>
          <w:w w:val="110"/>
        </w:rPr>
        <w:t>prohibition</w:t>
      </w:r>
      <w:r w:rsidRPr="00283806">
        <w:rPr>
          <w:spacing w:val="-11"/>
          <w:w w:val="110"/>
        </w:rPr>
        <w:t xml:space="preserve"> </w:t>
      </w:r>
      <w:r w:rsidRPr="00283806">
        <w:rPr>
          <w:w w:val="110"/>
        </w:rPr>
        <w:t>by selling equipment into commerce, because their equipment might leak.</w:t>
      </w:r>
    </w:p>
    <w:p w14:paraId="44D83094" w14:textId="77777777" w:rsidR="00D67C1E" w:rsidRPr="00283806" w:rsidRDefault="001265CA">
      <w:pPr>
        <w:pStyle w:val="BodyText"/>
        <w:spacing w:line="225" w:lineRule="auto"/>
        <w:ind w:left="145" w:right="131"/>
      </w:pPr>
      <w:r w:rsidRPr="00283806">
        <w:rPr>
          <w:w w:val="110"/>
        </w:rPr>
        <w:t>Further, the commenter stated that if EPA</w:t>
      </w:r>
      <w:r w:rsidRPr="00283806">
        <w:rPr>
          <w:spacing w:val="-8"/>
          <w:w w:val="110"/>
        </w:rPr>
        <w:t xml:space="preserve"> </w:t>
      </w:r>
      <w:r w:rsidRPr="00283806">
        <w:rPr>
          <w:w w:val="110"/>
        </w:rPr>
        <w:t>lacks</w:t>
      </w:r>
      <w:r w:rsidRPr="00283806">
        <w:rPr>
          <w:spacing w:val="-8"/>
          <w:w w:val="110"/>
        </w:rPr>
        <w:t xml:space="preserve"> </w:t>
      </w:r>
      <w:r w:rsidRPr="00283806">
        <w:rPr>
          <w:w w:val="110"/>
        </w:rPr>
        <w:t>authority</w:t>
      </w:r>
      <w:r w:rsidRPr="00283806">
        <w:rPr>
          <w:spacing w:val="-8"/>
          <w:w w:val="110"/>
        </w:rPr>
        <w:t xml:space="preserve"> </w:t>
      </w:r>
      <w:r w:rsidRPr="00283806">
        <w:rPr>
          <w:w w:val="110"/>
        </w:rPr>
        <w:t>to</w:t>
      </w:r>
      <w:r w:rsidRPr="00283806">
        <w:rPr>
          <w:spacing w:val="-8"/>
          <w:w w:val="110"/>
        </w:rPr>
        <w:t xml:space="preserve"> </w:t>
      </w:r>
      <w:r w:rsidRPr="00283806">
        <w:rPr>
          <w:w w:val="110"/>
        </w:rPr>
        <w:t>‘‘impose</w:t>
      </w:r>
      <w:r w:rsidRPr="00283806">
        <w:rPr>
          <w:spacing w:val="-8"/>
          <w:w w:val="110"/>
        </w:rPr>
        <w:t xml:space="preserve"> </w:t>
      </w:r>
      <w:r w:rsidRPr="00283806">
        <w:rPr>
          <w:w w:val="110"/>
        </w:rPr>
        <w:t xml:space="preserve">liability for normal operation of refrigeration equipment’’ the Agency cannot hold others liable for replacement of refrigerant that is lost in routine operation. The commenter concluded that EPA’s authority is limited under </w:t>
      </w:r>
      <w:r w:rsidRPr="00283806">
        <w:t>section 608 to regulating ‘‘intentional or</w:t>
      </w:r>
      <w:r w:rsidRPr="00283806">
        <w:rPr>
          <w:spacing w:val="40"/>
          <w:w w:val="110"/>
        </w:rPr>
        <w:t xml:space="preserve"> </w:t>
      </w:r>
      <w:r w:rsidRPr="00283806">
        <w:rPr>
          <w:w w:val="110"/>
        </w:rPr>
        <w:t>negligent</w:t>
      </w:r>
      <w:r w:rsidRPr="00283806">
        <w:rPr>
          <w:spacing w:val="-11"/>
          <w:w w:val="110"/>
        </w:rPr>
        <w:t xml:space="preserve"> </w:t>
      </w:r>
      <w:r w:rsidRPr="00283806">
        <w:rPr>
          <w:w w:val="110"/>
        </w:rPr>
        <w:t>venting’’</w:t>
      </w:r>
      <w:r w:rsidRPr="00283806">
        <w:rPr>
          <w:spacing w:val="-11"/>
          <w:w w:val="110"/>
        </w:rPr>
        <w:t xml:space="preserve"> </w:t>
      </w:r>
      <w:r w:rsidRPr="00283806">
        <w:rPr>
          <w:w w:val="110"/>
        </w:rPr>
        <w:t>by</w:t>
      </w:r>
      <w:r w:rsidRPr="00283806">
        <w:rPr>
          <w:spacing w:val="-11"/>
          <w:w w:val="110"/>
        </w:rPr>
        <w:t xml:space="preserve"> </w:t>
      </w:r>
      <w:r w:rsidRPr="00283806">
        <w:rPr>
          <w:w w:val="110"/>
        </w:rPr>
        <w:t>service</w:t>
      </w:r>
      <w:r w:rsidRPr="00283806">
        <w:rPr>
          <w:spacing w:val="-11"/>
          <w:w w:val="110"/>
        </w:rPr>
        <w:t xml:space="preserve"> </w:t>
      </w:r>
      <w:r w:rsidRPr="00283806">
        <w:rPr>
          <w:w w:val="110"/>
        </w:rPr>
        <w:t>providers during servicing, and that the same applies to EPA’s authority under the AIM Act.</w:t>
      </w:r>
    </w:p>
    <w:p w14:paraId="34CC6699" w14:textId="77777777" w:rsidR="00D67C1E" w:rsidRPr="00283806" w:rsidRDefault="001265CA">
      <w:pPr>
        <w:pStyle w:val="BodyText"/>
        <w:spacing w:line="175" w:lineRule="exact"/>
        <w:ind w:left="325"/>
      </w:pPr>
      <w:r w:rsidRPr="00283806">
        <w:rPr>
          <w:w w:val="105"/>
        </w:rPr>
        <w:t>The</w:t>
      </w:r>
      <w:r w:rsidRPr="00283806">
        <w:rPr>
          <w:spacing w:val="11"/>
          <w:w w:val="105"/>
        </w:rPr>
        <w:t xml:space="preserve"> </w:t>
      </w:r>
      <w:r w:rsidRPr="00283806">
        <w:rPr>
          <w:w w:val="105"/>
        </w:rPr>
        <w:t>commenter</w:t>
      </w:r>
      <w:r w:rsidRPr="00283806">
        <w:rPr>
          <w:spacing w:val="11"/>
          <w:w w:val="105"/>
        </w:rPr>
        <w:t xml:space="preserve"> </w:t>
      </w:r>
      <w:r w:rsidRPr="00283806">
        <w:rPr>
          <w:w w:val="105"/>
        </w:rPr>
        <w:t>claimed</w:t>
      </w:r>
      <w:r w:rsidRPr="00283806">
        <w:rPr>
          <w:spacing w:val="12"/>
          <w:w w:val="105"/>
        </w:rPr>
        <w:t xml:space="preserve"> </w:t>
      </w:r>
      <w:r w:rsidRPr="00283806">
        <w:rPr>
          <w:w w:val="105"/>
        </w:rPr>
        <w:t>that</w:t>
      </w:r>
      <w:r w:rsidRPr="00283806">
        <w:rPr>
          <w:spacing w:val="11"/>
          <w:w w:val="105"/>
        </w:rPr>
        <w:t xml:space="preserve"> </w:t>
      </w:r>
      <w:r w:rsidRPr="00283806">
        <w:rPr>
          <w:w w:val="105"/>
        </w:rPr>
        <w:t>even</w:t>
      </w:r>
      <w:r w:rsidRPr="00283806">
        <w:rPr>
          <w:spacing w:val="11"/>
          <w:w w:val="105"/>
        </w:rPr>
        <w:t xml:space="preserve"> </w:t>
      </w:r>
      <w:r w:rsidRPr="00283806">
        <w:rPr>
          <w:spacing w:val="-5"/>
          <w:w w:val="105"/>
        </w:rPr>
        <w:t>if</w:t>
      </w:r>
    </w:p>
    <w:p w14:paraId="2088C457" w14:textId="77777777" w:rsidR="00D67C1E" w:rsidRPr="00283806" w:rsidRDefault="001265CA">
      <w:pPr>
        <w:pStyle w:val="BodyText"/>
        <w:spacing w:line="225" w:lineRule="auto"/>
        <w:ind w:left="145" w:right="150"/>
      </w:pPr>
      <w:r w:rsidRPr="00283806">
        <w:rPr>
          <w:w w:val="105"/>
        </w:rPr>
        <w:t>EPA could impose penalties for refrigerant release during normal operation, section 608 and subsection</w:t>
      </w:r>
    </w:p>
    <w:p w14:paraId="39E0FF65" w14:textId="77777777" w:rsidR="00D67C1E" w:rsidRPr="00283806" w:rsidRDefault="001265CA">
      <w:pPr>
        <w:pStyle w:val="BodyText"/>
        <w:spacing w:line="225" w:lineRule="auto"/>
        <w:ind w:left="145" w:right="153"/>
      </w:pPr>
      <w:r w:rsidRPr="00283806">
        <w:rPr>
          <w:w w:val="105"/>
        </w:rPr>
        <w:t xml:space="preserve">(h) do not enable EPA to impose monetary penalties on facilities owners, unless the owner </w:t>
      </w:r>
      <w:proofErr w:type="gramStart"/>
      <w:r w:rsidRPr="00283806">
        <w:rPr>
          <w:w w:val="105"/>
        </w:rPr>
        <w:t>was using</w:t>
      </w:r>
      <w:proofErr w:type="gramEnd"/>
      <w:r w:rsidRPr="00283806">
        <w:rPr>
          <w:w w:val="105"/>
        </w:rPr>
        <w:t xml:space="preserve"> its own personnel to service equipment. The commenter cited EPA’s prior refrigerant management rule under section 608 as overstepping the Agency’s authority to impose the venting prohibition on</w:t>
      </w:r>
      <w:r w:rsidRPr="00283806">
        <w:rPr>
          <w:spacing w:val="40"/>
          <w:w w:val="105"/>
        </w:rPr>
        <w:t xml:space="preserve"> </w:t>
      </w:r>
      <w:r w:rsidRPr="00283806">
        <w:rPr>
          <w:w w:val="105"/>
        </w:rPr>
        <w:t>actions taken over the course of maintaining, servicing, repairing, or disposing of equipment. The commenter further stated that the AIM Act does not give the Agency the authority to regulate facility owners or compel them to install leak detection systems to be used in normal operation of equipment.</w:t>
      </w:r>
    </w:p>
    <w:p w14:paraId="07B28B9A" w14:textId="77777777" w:rsidR="00D67C1E" w:rsidRPr="00283806" w:rsidRDefault="001265CA">
      <w:pPr>
        <w:pStyle w:val="BodyText"/>
        <w:spacing w:line="220" w:lineRule="auto"/>
        <w:ind w:left="145" w:right="271" w:firstLine="180"/>
      </w:pPr>
      <w:r w:rsidRPr="00283806">
        <w:rPr>
          <w:rFonts w:ascii="Book Antiqua" w:hAnsi="Book Antiqua"/>
          <w:i/>
          <w:w w:val="105"/>
        </w:rPr>
        <w:t xml:space="preserve">Response: </w:t>
      </w:r>
      <w:r w:rsidRPr="00283806">
        <w:rPr>
          <w:w w:val="105"/>
        </w:rPr>
        <w:t>With regards to one commenter’s assertions that the AIM Act</w:t>
      </w:r>
      <w:r w:rsidRPr="00283806">
        <w:rPr>
          <w:spacing w:val="16"/>
          <w:w w:val="105"/>
        </w:rPr>
        <w:t xml:space="preserve"> </w:t>
      </w:r>
      <w:r w:rsidRPr="00283806">
        <w:rPr>
          <w:w w:val="105"/>
        </w:rPr>
        <w:t>did</w:t>
      </w:r>
      <w:r w:rsidRPr="00283806">
        <w:rPr>
          <w:spacing w:val="17"/>
          <w:w w:val="105"/>
        </w:rPr>
        <w:t xml:space="preserve"> </w:t>
      </w:r>
      <w:r w:rsidRPr="00283806">
        <w:rPr>
          <w:w w:val="105"/>
        </w:rPr>
        <w:t>not</w:t>
      </w:r>
      <w:r w:rsidRPr="00283806">
        <w:rPr>
          <w:spacing w:val="17"/>
          <w:w w:val="105"/>
        </w:rPr>
        <w:t xml:space="preserve"> </w:t>
      </w:r>
      <w:r w:rsidRPr="00283806">
        <w:rPr>
          <w:w w:val="105"/>
        </w:rPr>
        <w:t>give</w:t>
      </w:r>
      <w:r w:rsidRPr="00283806">
        <w:rPr>
          <w:spacing w:val="17"/>
          <w:w w:val="105"/>
        </w:rPr>
        <w:t xml:space="preserve"> </w:t>
      </w:r>
      <w:r w:rsidRPr="00283806">
        <w:rPr>
          <w:w w:val="105"/>
        </w:rPr>
        <w:t>EPA</w:t>
      </w:r>
      <w:r w:rsidRPr="00283806">
        <w:rPr>
          <w:spacing w:val="17"/>
          <w:w w:val="105"/>
        </w:rPr>
        <w:t xml:space="preserve"> </w:t>
      </w:r>
      <w:r w:rsidRPr="00283806">
        <w:rPr>
          <w:w w:val="105"/>
        </w:rPr>
        <w:t>the</w:t>
      </w:r>
      <w:r w:rsidRPr="00283806">
        <w:rPr>
          <w:spacing w:val="17"/>
          <w:w w:val="105"/>
        </w:rPr>
        <w:t xml:space="preserve"> </w:t>
      </w:r>
      <w:r w:rsidRPr="00283806">
        <w:rPr>
          <w:w w:val="105"/>
        </w:rPr>
        <w:t>authority</w:t>
      </w:r>
      <w:r w:rsidRPr="00283806">
        <w:rPr>
          <w:spacing w:val="17"/>
          <w:w w:val="105"/>
        </w:rPr>
        <w:t xml:space="preserve"> </w:t>
      </w:r>
      <w:r w:rsidRPr="00283806">
        <w:rPr>
          <w:spacing w:val="-5"/>
          <w:w w:val="105"/>
        </w:rPr>
        <w:t>to</w:t>
      </w:r>
    </w:p>
    <w:p w14:paraId="67A2587A" w14:textId="77777777" w:rsidR="00D67C1E" w:rsidRPr="00283806" w:rsidRDefault="001265CA">
      <w:pPr>
        <w:pStyle w:val="BodyText"/>
        <w:spacing w:line="228" w:lineRule="auto"/>
        <w:ind w:left="145" w:right="150"/>
      </w:pPr>
      <w:r w:rsidRPr="00283806">
        <w:rPr>
          <w:w w:val="105"/>
        </w:rPr>
        <w:t>require facilities to install leak detection systems that would be used in normal operations or authority to regulate owners or operators, the Agency</w:t>
      </w:r>
    </w:p>
    <w:p w14:paraId="5A292FBD"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8" w:space="40"/>
            <w:col w:w="3497" w:space="39"/>
            <w:col w:w="3626"/>
          </w:cols>
        </w:sectPr>
      </w:pPr>
    </w:p>
    <w:p w14:paraId="79194351" w14:textId="77777777" w:rsidR="00D67C1E" w:rsidRPr="00283806" w:rsidRDefault="001265CA">
      <w:pPr>
        <w:pStyle w:val="BodyText"/>
        <w:spacing w:before="134" w:line="228" w:lineRule="auto"/>
        <w:ind w:right="92"/>
      </w:pPr>
      <w:r w:rsidRPr="00283806">
        <w:rPr>
          <w:w w:val="105"/>
        </w:rPr>
        <w:lastRenderedPageBreak/>
        <w:t>disagrees with the commenter’s claims. As discussed throughout this notice, subsection (h)(1) directs EPA to promulgate regulations to control,</w:t>
      </w:r>
      <w:r w:rsidRPr="00283806">
        <w:rPr>
          <w:spacing w:val="80"/>
          <w:w w:val="105"/>
        </w:rPr>
        <w:t xml:space="preserve"> </w:t>
      </w:r>
      <w:r w:rsidRPr="00283806">
        <w:rPr>
          <w:w w:val="105"/>
        </w:rPr>
        <w:t>where appropriate, any practice,</w:t>
      </w:r>
      <w:r w:rsidRPr="00283806">
        <w:rPr>
          <w:spacing w:val="40"/>
          <w:w w:val="105"/>
        </w:rPr>
        <w:t xml:space="preserve"> </w:t>
      </w:r>
      <w:r w:rsidRPr="00283806">
        <w:rPr>
          <w:w w:val="105"/>
        </w:rPr>
        <w:t>process, or activity regarding the servicing, repair, disposal, or</w:t>
      </w:r>
      <w:r w:rsidRPr="00283806">
        <w:rPr>
          <w:spacing w:val="80"/>
          <w:w w:val="150"/>
        </w:rPr>
        <w:t xml:space="preserve"> </w:t>
      </w:r>
      <w:r w:rsidRPr="00283806">
        <w:rPr>
          <w:w w:val="105"/>
        </w:rPr>
        <w:t>installation of equipment, for purposes including maximizing reclamation and minimizing the release of HFCs from equipment. As explained elsewhere in this notice, EPA interprets this language to encompass practices, processes, and activities that occur before, during, and after servicing, repair, disposal, or installation of equipment. EPA understands this provision to authorize both the leak repair provisions</w:t>
      </w:r>
      <w:r w:rsidRPr="00283806">
        <w:rPr>
          <w:spacing w:val="80"/>
          <w:w w:val="105"/>
        </w:rPr>
        <w:t xml:space="preserve"> </w:t>
      </w:r>
      <w:r w:rsidRPr="00283806">
        <w:rPr>
          <w:w w:val="105"/>
        </w:rPr>
        <w:t>described in section IV.C and the required use of ALD as described in</w:t>
      </w:r>
    </w:p>
    <w:p w14:paraId="59387C93" w14:textId="77777777" w:rsidR="00D67C1E" w:rsidRPr="00283806" w:rsidRDefault="001265CA">
      <w:pPr>
        <w:pStyle w:val="BodyText"/>
        <w:spacing w:line="228" w:lineRule="auto"/>
        <w:ind w:right="86"/>
      </w:pPr>
      <w:r w:rsidRPr="00283806">
        <w:rPr>
          <w:w w:val="105"/>
        </w:rPr>
        <w:t>IV.D because the requirements govern practices, processes, or activities regarding the servicing, repair, disposal, or installation of equipment.</w:t>
      </w:r>
      <w:r w:rsidRPr="00283806">
        <w:rPr>
          <w:spacing w:val="40"/>
          <w:w w:val="105"/>
        </w:rPr>
        <w:t xml:space="preserve"> </w:t>
      </w:r>
      <w:r w:rsidRPr="00283806">
        <w:rPr>
          <w:w w:val="105"/>
        </w:rPr>
        <w:t>Determining that equipment is leaking</w:t>
      </w:r>
      <w:r w:rsidRPr="00283806">
        <w:rPr>
          <w:spacing w:val="80"/>
          <w:w w:val="105"/>
        </w:rPr>
        <w:t xml:space="preserve"> </w:t>
      </w:r>
      <w:r w:rsidRPr="00283806">
        <w:rPr>
          <w:w w:val="105"/>
        </w:rPr>
        <w:t xml:space="preserve">is a critical first step in understanding that it needs servicing or repair, or perhaps to be disposed of and replaced, depending on </w:t>
      </w:r>
      <w:proofErr w:type="gramStart"/>
      <w:r w:rsidRPr="00283806">
        <w:rPr>
          <w:w w:val="105"/>
        </w:rPr>
        <w:t>whether or not</w:t>
      </w:r>
      <w:proofErr w:type="gramEnd"/>
      <w:r w:rsidRPr="00283806">
        <w:rPr>
          <w:w w:val="105"/>
        </w:rPr>
        <w:t xml:space="preserve"> the leak</w:t>
      </w:r>
      <w:r w:rsidRPr="00283806">
        <w:rPr>
          <w:spacing w:val="40"/>
          <w:w w:val="105"/>
        </w:rPr>
        <w:t xml:space="preserve"> </w:t>
      </w:r>
      <w:r w:rsidRPr="00283806">
        <w:rPr>
          <w:w w:val="105"/>
        </w:rPr>
        <w:t>can be repaired. The ALD equipment</w:t>
      </w:r>
      <w:r w:rsidRPr="00283806">
        <w:rPr>
          <w:spacing w:val="80"/>
          <w:w w:val="105"/>
        </w:rPr>
        <w:t xml:space="preserve"> </w:t>
      </w:r>
      <w:r w:rsidRPr="00283806">
        <w:rPr>
          <w:w w:val="105"/>
        </w:rPr>
        <w:t>that must be installed and operated under this requirement will inform equipment owners and operators when the equipment is leaking, and EPA expects that this knowledge will lead to earlier repairs, which in turn will</w:t>
      </w:r>
      <w:r w:rsidRPr="00283806">
        <w:rPr>
          <w:spacing w:val="40"/>
          <w:w w:val="105"/>
        </w:rPr>
        <w:t xml:space="preserve"> </w:t>
      </w:r>
      <w:r w:rsidRPr="00283806">
        <w:rPr>
          <w:w w:val="105"/>
        </w:rPr>
        <w:t>prevent releases of HFCs (and</w:t>
      </w:r>
      <w:r w:rsidRPr="00283806">
        <w:rPr>
          <w:spacing w:val="40"/>
          <w:w w:val="105"/>
        </w:rPr>
        <w:t xml:space="preserve"> </w:t>
      </w:r>
      <w:r w:rsidRPr="00283806">
        <w:rPr>
          <w:w w:val="105"/>
        </w:rPr>
        <w:t xml:space="preserve">potentially costly refrigerant losses). Thus, installing and operating an ALD system is a ‘‘process, practice or activity regarding servicing, repair, disposal, or installation of </w:t>
      </w:r>
      <w:proofErr w:type="gramStart"/>
      <w:r w:rsidRPr="00283806">
        <w:rPr>
          <w:w w:val="105"/>
        </w:rPr>
        <w:t>equipment’’</w:t>
      </w:r>
      <w:proofErr w:type="gramEnd"/>
      <w:r w:rsidRPr="00283806">
        <w:rPr>
          <w:w w:val="105"/>
        </w:rPr>
        <w:t xml:space="preserve"> because</w:t>
      </w:r>
      <w:r w:rsidRPr="00283806">
        <w:rPr>
          <w:spacing w:val="40"/>
          <w:w w:val="105"/>
        </w:rPr>
        <w:t xml:space="preserve"> </w:t>
      </w:r>
      <w:r w:rsidRPr="00283806">
        <w:rPr>
          <w:w w:val="105"/>
        </w:rPr>
        <w:t xml:space="preserve">taking these steps will alert the equipment owner or operator when servicing or </w:t>
      </w:r>
      <w:proofErr w:type="gramStart"/>
      <w:r w:rsidRPr="00283806">
        <w:rPr>
          <w:w w:val="105"/>
        </w:rPr>
        <w:t>repair</w:t>
      </w:r>
      <w:proofErr w:type="gramEnd"/>
      <w:r w:rsidRPr="00283806">
        <w:rPr>
          <w:w w:val="105"/>
        </w:rPr>
        <w:t xml:space="preserve"> of equipment may be required. Accordingly, there is a direct connection between installing and operating the ALD system and servicing or repair (or in some cases, disposal) of </w:t>
      </w:r>
      <w:r w:rsidRPr="00283806">
        <w:rPr>
          <w:spacing w:val="-2"/>
          <w:w w:val="105"/>
        </w:rPr>
        <w:t>equipment.</w:t>
      </w:r>
    </w:p>
    <w:p w14:paraId="671000DF" w14:textId="77777777" w:rsidR="00D67C1E" w:rsidRPr="00283806" w:rsidRDefault="001265CA">
      <w:pPr>
        <w:pStyle w:val="BodyText"/>
        <w:spacing w:before="15" w:line="228" w:lineRule="auto"/>
        <w:ind w:right="52" w:firstLine="180"/>
      </w:pPr>
      <w:r w:rsidRPr="00283806">
        <w:rPr>
          <w:w w:val="105"/>
        </w:rPr>
        <w:t>EPA agrees with the comment that subsection (h) conveys authority to regulate technicians’ activities during servicing and repair, but contrary to the commenter’s view, nothing in the text of subsection (h) suggests that EPA is precluded from also regulating activities during normal operations that are</w:t>
      </w:r>
      <w:r w:rsidRPr="00283806">
        <w:rPr>
          <w:spacing w:val="80"/>
          <w:w w:val="105"/>
        </w:rPr>
        <w:t xml:space="preserve"> </w:t>
      </w:r>
      <w:r w:rsidRPr="00283806">
        <w:rPr>
          <w:w w:val="105"/>
        </w:rPr>
        <w:t>within the scope of subsection (h) or</w:t>
      </w:r>
      <w:r w:rsidRPr="00283806">
        <w:rPr>
          <w:spacing w:val="40"/>
          <w:w w:val="105"/>
        </w:rPr>
        <w:t xml:space="preserve"> </w:t>
      </w:r>
      <w:r w:rsidRPr="00283806">
        <w:rPr>
          <w:w w:val="105"/>
        </w:rPr>
        <w:t>from regulating equipment owner or operators. Moreover, imposing such restrictions could limit EPA’s ability to ensure that the regulations under subsection (h) achieve the stated purposes in the statute because</w:t>
      </w:r>
      <w:r w:rsidRPr="00283806">
        <w:rPr>
          <w:spacing w:val="80"/>
          <w:w w:val="105"/>
        </w:rPr>
        <w:t xml:space="preserve"> </w:t>
      </w:r>
      <w:r w:rsidRPr="00283806">
        <w:rPr>
          <w:w w:val="105"/>
        </w:rPr>
        <w:t>activities that occur during normal operations, or that are taken by equipment owners or operators, will</w:t>
      </w:r>
    </w:p>
    <w:p w14:paraId="6BFE534F" w14:textId="77777777" w:rsidR="00D67C1E" w:rsidRPr="00283806" w:rsidRDefault="001265CA">
      <w:pPr>
        <w:pStyle w:val="BodyText"/>
        <w:spacing w:before="136" w:line="223" w:lineRule="auto"/>
        <w:ind w:left="154" w:right="1"/>
      </w:pPr>
      <w:r w:rsidRPr="00283806">
        <w:br w:type="column"/>
      </w:r>
      <w:r w:rsidRPr="00283806">
        <w:rPr>
          <w:w w:val="110"/>
        </w:rPr>
        <w:t xml:space="preserve">affect efforts to maximize reclamation, minimize releases </w:t>
      </w:r>
      <w:r w:rsidRPr="00283806">
        <w:rPr>
          <w:w w:val="110"/>
          <w:position w:val="5"/>
          <w:sz w:val="11"/>
        </w:rPr>
        <w:t>200</w:t>
      </w:r>
      <w:r w:rsidRPr="00283806">
        <w:rPr>
          <w:spacing w:val="40"/>
          <w:w w:val="110"/>
          <w:position w:val="5"/>
          <w:sz w:val="11"/>
        </w:rPr>
        <w:t xml:space="preserve"> </w:t>
      </w:r>
      <w:r w:rsidRPr="00283806">
        <w:rPr>
          <w:w w:val="110"/>
        </w:rPr>
        <w:t>from equipment, and</w:t>
      </w:r>
      <w:r w:rsidRPr="00283806">
        <w:rPr>
          <w:spacing w:val="-11"/>
          <w:w w:val="110"/>
        </w:rPr>
        <w:t xml:space="preserve"> </w:t>
      </w:r>
      <w:r w:rsidRPr="00283806">
        <w:rPr>
          <w:w w:val="110"/>
        </w:rPr>
        <w:t>ensure</w:t>
      </w:r>
      <w:r w:rsidRPr="00283806">
        <w:rPr>
          <w:spacing w:val="-11"/>
          <w:w w:val="110"/>
        </w:rPr>
        <w:t xml:space="preserve"> </w:t>
      </w:r>
      <w:r w:rsidRPr="00283806">
        <w:rPr>
          <w:w w:val="110"/>
        </w:rPr>
        <w:t>the</w:t>
      </w:r>
      <w:r w:rsidRPr="00283806">
        <w:rPr>
          <w:spacing w:val="-10"/>
          <w:w w:val="110"/>
        </w:rPr>
        <w:t xml:space="preserve"> </w:t>
      </w:r>
      <w:r w:rsidRPr="00283806">
        <w:rPr>
          <w:w w:val="110"/>
        </w:rPr>
        <w:t>safety</w:t>
      </w:r>
      <w:r w:rsidRPr="00283806">
        <w:rPr>
          <w:spacing w:val="-11"/>
          <w:w w:val="110"/>
        </w:rPr>
        <w:t xml:space="preserve"> </w:t>
      </w:r>
      <w:r w:rsidRPr="00283806">
        <w:rPr>
          <w:w w:val="110"/>
        </w:rPr>
        <w:t>of</w:t>
      </w:r>
      <w:r w:rsidRPr="00283806">
        <w:rPr>
          <w:spacing w:val="-11"/>
          <w:w w:val="110"/>
        </w:rPr>
        <w:t xml:space="preserve"> </w:t>
      </w:r>
      <w:r w:rsidRPr="00283806">
        <w:rPr>
          <w:w w:val="110"/>
        </w:rPr>
        <w:t>technicians</w:t>
      </w:r>
      <w:r w:rsidRPr="00283806">
        <w:rPr>
          <w:spacing w:val="-10"/>
          <w:w w:val="110"/>
        </w:rPr>
        <w:t xml:space="preserve"> </w:t>
      </w:r>
      <w:r w:rsidRPr="00283806">
        <w:rPr>
          <w:w w:val="110"/>
        </w:rPr>
        <w:t xml:space="preserve">and </w:t>
      </w:r>
      <w:r w:rsidRPr="00283806">
        <w:t>consumers. Further, the statutory phrase</w:t>
      </w:r>
      <w:r w:rsidRPr="00283806">
        <w:rPr>
          <w:w w:val="110"/>
        </w:rPr>
        <w:t xml:space="preserve"> for what EPA regulations under (h)(1) may control—‘‘any process, practice or activity </w:t>
      </w:r>
      <w:r w:rsidRPr="00283806">
        <w:rPr>
          <w:rFonts w:ascii="Book Antiqua" w:hAnsi="Book Antiqua"/>
          <w:i/>
          <w:w w:val="110"/>
        </w:rPr>
        <w:t xml:space="preserve">regarding </w:t>
      </w:r>
      <w:r w:rsidRPr="00283806">
        <w:rPr>
          <w:w w:val="110"/>
        </w:rPr>
        <w:t xml:space="preserve">servicing, repair, disposal, or installation of equipment’’ (emphasis added)—indicates that Congress did not limit EPA to only </w:t>
      </w:r>
      <w:r w:rsidRPr="00283806">
        <w:t>regulate processes, practices or activities</w:t>
      </w:r>
      <w:r w:rsidRPr="00283806">
        <w:rPr>
          <w:w w:val="110"/>
        </w:rPr>
        <w:t xml:space="preserve"> </w:t>
      </w:r>
      <w:r w:rsidRPr="00283806">
        <w:rPr>
          <w:rFonts w:ascii="Book Antiqua" w:hAnsi="Book Antiqua"/>
          <w:i/>
          <w:w w:val="110"/>
        </w:rPr>
        <w:t xml:space="preserve">during </w:t>
      </w:r>
      <w:r w:rsidRPr="00283806">
        <w:rPr>
          <w:w w:val="110"/>
        </w:rPr>
        <w:t xml:space="preserve">servicing, repair, disposal, or installation of equipment. Indeed, the authority to </w:t>
      </w:r>
      <w:proofErr w:type="gramStart"/>
      <w:r w:rsidRPr="00283806">
        <w:rPr>
          <w:w w:val="110"/>
        </w:rPr>
        <w:t>regulate to ‘‘</w:t>
      </w:r>
      <w:proofErr w:type="gramEnd"/>
      <w:r w:rsidRPr="00283806">
        <w:rPr>
          <w:w w:val="110"/>
        </w:rPr>
        <w:t>control .</w:t>
      </w:r>
      <w:r w:rsidRPr="00283806">
        <w:rPr>
          <w:spacing w:val="40"/>
          <w:w w:val="110"/>
        </w:rPr>
        <w:t xml:space="preserve"> </w:t>
      </w:r>
      <w:r w:rsidRPr="00283806">
        <w:rPr>
          <w:w w:val="110"/>
        </w:rPr>
        <w:t>.</w:t>
      </w:r>
      <w:r w:rsidRPr="00283806">
        <w:rPr>
          <w:spacing w:val="40"/>
          <w:w w:val="110"/>
        </w:rPr>
        <w:t xml:space="preserve"> </w:t>
      </w:r>
      <w:r w:rsidRPr="00283806">
        <w:rPr>
          <w:w w:val="110"/>
        </w:rPr>
        <w:t xml:space="preserve">. activities regarding </w:t>
      </w:r>
      <w:proofErr w:type="gramStart"/>
      <w:r w:rsidRPr="00283806">
        <w:rPr>
          <w:w w:val="110"/>
        </w:rPr>
        <w:t>servicing’’</w:t>
      </w:r>
      <w:proofErr w:type="gramEnd"/>
      <w:r w:rsidRPr="00283806">
        <w:rPr>
          <w:w w:val="110"/>
        </w:rPr>
        <w:t xml:space="preserve"> includes authority to require that servicing be done, including to address refrigerant losses that occur during normal operation of equipment. Further EPA notes that it considers servicing to include a range of activities involved in preserving equipment in </w:t>
      </w:r>
      <w:proofErr w:type="gramStart"/>
      <w:r w:rsidRPr="00283806">
        <w:rPr>
          <w:w w:val="110"/>
        </w:rPr>
        <w:t>the normal</w:t>
      </w:r>
      <w:proofErr w:type="gramEnd"/>
      <w:r w:rsidRPr="00283806">
        <w:rPr>
          <w:w w:val="110"/>
        </w:rPr>
        <w:t xml:space="preserve"> working</w:t>
      </w:r>
      <w:r w:rsidRPr="00283806">
        <w:rPr>
          <w:spacing w:val="-10"/>
          <w:w w:val="110"/>
        </w:rPr>
        <w:t xml:space="preserve"> </w:t>
      </w:r>
      <w:r w:rsidRPr="00283806">
        <w:rPr>
          <w:w w:val="110"/>
        </w:rPr>
        <w:t>order,</w:t>
      </w:r>
      <w:r w:rsidRPr="00283806">
        <w:rPr>
          <w:spacing w:val="-10"/>
          <w:w w:val="110"/>
        </w:rPr>
        <w:t xml:space="preserve"> </w:t>
      </w:r>
      <w:r w:rsidRPr="00283806">
        <w:rPr>
          <w:w w:val="110"/>
        </w:rPr>
        <w:t>as</w:t>
      </w:r>
      <w:r w:rsidRPr="00283806">
        <w:rPr>
          <w:spacing w:val="-10"/>
          <w:w w:val="110"/>
        </w:rPr>
        <w:t xml:space="preserve"> </w:t>
      </w:r>
      <w:r w:rsidRPr="00283806">
        <w:rPr>
          <w:w w:val="110"/>
        </w:rPr>
        <w:t>some</w:t>
      </w:r>
      <w:r w:rsidRPr="00283806">
        <w:rPr>
          <w:spacing w:val="-10"/>
          <w:w w:val="110"/>
        </w:rPr>
        <w:t xml:space="preserve"> </w:t>
      </w:r>
      <w:r w:rsidRPr="00283806">
        <w:rPr>
          <w:w w:val="110"/>
        </w:rPr>
        <w:t>form</w:t>
      </w:r>
      <w:r w:rsidRPr="00283806">
        <w:rPr>
          <w:spacing w:val="-10"/>
          <w:w w:val="110"/>
        </w:rPr>
        <w:t xml:space="preserve"> </w:t>
      </w:r>
      <w:r w:rsidRPr="00283806">
        <w:rPr>
          <w:w w:val="110"/>
        </w:rPr>
        <w:t>of</w:t>
      </w:r>
      <w:r w:rsidRPr="00283806">
        <w:rPr>
          <w:spacing w:val="-10"/>
          <w:w w:val="110"/>
        </w:rPr>
        <w:t xml:space="preserve"> </w:t>
      </w:r>
      <w:r w:rsidRPr="00283806">
        <w:rPr>
          <w:w w:val="110"/>
        </w:rPr>
        <w:t xml:space="preserve">ongoing and routine servicing is necessary for </w:t>
      </w:r>
      <w:proofErr w:type="gramStart"/>
      <w:r w:rsidRPr="00283806">
        <w:rPr>
          <w:w w:val="110"/>
        </w:rPr>
        <w:t>proper</w:t>
      </w:r>
      <w:proofErr w:type="gramEnd"/>
      <w:r w:rsidRPr="00283806">
        <w:rPr>
          <w:w w:val="110"/>
        </w:rPr>
        <w:t xml:space="preserve"> functioning of equipment.</w:t>
      </w:r>
    </w:p>
    <w:p w14:paraId="16CEF7E9" w14:textId="77777777" w:rsidR="00D67C1E" w:rsidRPr="00283806" w:rsidRDefault="001265CA">
      <w:pPr>
        <w:pStyle w:val="BodyText"/>
        <w:spacing w:before="10" w:line="225" w:lineRule="auto"/>
        <w:ind w:left="154" w:right="9" w:firstLine="180"/>
      </w:pPr>
      <w:r w:rsidRPr="00283806">
        <w:rPr>
          <w:w w:val="105"/>
        </w:rPr>
        <w:t>To the extent these comments relate</w:t>
      </w:r>
      <w:r w:rsidRPr="00283806">
        <w:rPr>
          <w:spacing w:val="80"/>
          <w:w w:val="105"/>
        </w:rPr>
        <w:t xml:space="preserve"> </w:t>
      </w:r>
      <w:r w:rsidRPr="00283806">
        <w:rPr>
          <w:w w:val="105"/>
        </w:rPr>
        <w:t>to EPA’s regulations under CAA section 608, they are outside the scope of this rulemaking as the Agency did not</w:t>
      </w:r>
      <w:r w:rsidRPr="00283806">
        <w:rPr>
          <w:spacing w:val="80"/>
          <w:w w:val="150"/>
        </w:rPr>
        <w:t xml:space="preserve"> </w:t>
      </w:r>
      <w:r w:rsidRPr="00283806">
        <w:rPr>
          <w:w w:val="105"/>
        </w:rPr>
        <w:t>reopen the section 608 rules as part of this rulemaking and thus require no further response.</w:t>
      </w:r>
      <w:r w:rsidRPr="00283806">
        <w:rPr>
          <w:w w:val="105"/>
          <w:position w:val="5"/>
          <w:sz w:val="11"/>
        </w:rPr>
        <w:t>201</w:t>
      </w:r>
      <w:r w:rsidRPr="00283806">
        <w:rPr>
          <w:spacing w:val="32"/>
          <w:w w:val="105"/>
          <w:position w:val="5"/>
          <w:sz w:val="11"/>
        </w:rPr>
        <w:t xml:space="preserve"> </w:t>
      </w:r>
      <w:r w:rsidRPr="00283806">
        <w:rPr>
          <w:w w:val="105"/>
        </w:rPr>
        <w:t>However, aspects of this rule are analogous to similar EPA rules under CAA section 608, which</w:t>
      </w:r>
      <w:r w:rsidRPr="00283806">
        <w:rPr>
          <w:spacing w:val="40"/>
          <w:w w:val="105"/>
        </w:rPr>
        <w:t xml:space="preserve"> </w:t>
      </w:r>
      <w:r w:rsidRPr="00283806">
        <w:rPr>
          <w:w w:val="105"/>
        </w:rPr>
        <w:t>apply to owners and operators. For example, in the preamble to the 1993</w:t>
      </w:r>
      <w:r w:rsidRPr="00283806">
        <w:rPr>
          <w:spacing w:val="40"/>
          <w:w w:val="105"/>
        </w:rPr>
        <w:t xml:space="preserve"> </w:t>
      </w:r>
      <w:r w:rsidRPr="00283806">
        <w:rPr>
          <w:w w:val="105"/>
        </w:rPr>
        <w:t>CAA</w:t>
      </w:r>
      <w:r w:rsidRPr="00283806">
        <w:rPr>
          <w:spacing w:val="39"/>
          <w:w w:val="105"/>
        </w:rPr>
        <w:t xml:space="preserve"> </w:t>
      </w:r>
      <w:r w:rsidRPr="00283806">
        <w:rPr>
          <w:w w:val="105"/>
        </w:rPr>
        <w:t>608</w:t>
      </w:r>
      <w:r w:rsidRPr="00283806">
        <w:rPr>
          <w:spacing w:val="39"/>
          <w:w w:val="105"/>
        </w:rPr>
        <w:t xml:space="preserve"> </w:t>
      </w:r>
      <w:r w:rsidRPr="00283806">
        <w:rPr>
          <w:w w:val="105"/>
        </w:rPr>
        <w:t>final</w:t>
      </w:r>
      <w:r w:rsidRPr="00283806">
        <w:rPr>
          <w:spacing w:val="39"/>
          <w:w w:val="105"/>
        </w:rPr>
        <w:t xml:space="preserve"> </w:t>
      </w:r>
      <w:r w:rsidRPr="00283806">
        <w:rPr>
          <w:w w:val="105"/>
        </w:rPr>
        <w:t>rule,</w:t>
      </w:r>
      <w:r w:rsidRPr="00283806">
        <w:rPr>
          <w:spacing w:val="39"/>
          <w:w w:val="105"/>
        </w:rPr>
        <w:t xml:space="preserve"> </w:t>
      </w:r>
      <w:r w:rsidRPr="00283806">
        <w:rPr>
          <w:w w:val="105"/>
        </w:rPr>
        <w:t>EPA</w:t>
      </w:r>
      <w:r w:rsidRPr="00283806">
        <w:rPr>
          <w:spacing w:val="39"/>
          <w:w w:val="105"/>
        </w:rPr>
        <w:t xml:space="preserve"> </w:t>
      </w:r>
      <w:r w:rsidRPr="00283806">
        <w:rPr>
          <w:w w:val="105"/>
        </w:rPr>
        <w:t>explained</w:t>
      </w:r>
      <w:r w:rsidRPr="00283806">
        <w:rPr>
          <w:spacing w:val="39"/>
          <w:w w:val="105"/>
        </w:rPr>
        <w:t xml:space="preserve"> </w:t>
      </w:r>
      <w:r w:rsidRPr="00283806">
        <w:rPr>
          <w:w w:val="105"/>
        </w:rPr>
        <w:t>that it had made ‘‘additions to the scope section to clarify that the rule covers refrigerant</w:t>
      </w:r>
      <w:r w:rsidRPr="00283806">
        <w:rPr>
          <w:spacing w:val="41"/>
          <w:w w:val="105"/>
        </w:rPr>
        <w:t xml:space="preserve"> </w:t>
      </w:r>
      <w:r w:rsidRPr="00283806">
        <w:rPr>
          <w:w w:val="105"/>
        </w:rPr>
        <w:t>reclaimers,</w:t>
      </w:r>
      <w:r w:rsidRPr="00283806">
        <w:rPr>
          <w:spacing w:val="42"/>
          <w:w w:val="105"/>
        </w:rPr>
        <w:t xml:space="preserve"> </w:t>
      </w:r>
      <w:r w:rsidRPr="00283806">
        <w:rPr>
          <w:rFonts w:ascii="Book Antiqua" w:hAnsi="Book Antiqua"/>
          <w:i/>
          <w:w w:val="105"/>
        </w:rPr>
        <w:t>appliance</w:t>
      </w:r>
      <w:r w:rsidRPr="00283806">
        <w:rPr>
          <w:rFonts w:ascii="Book Antiqua" w:hAnsi="Book Antiqua"/>
          <w:i/>
          <w:spacing w:val="80"/>
          <w:w w:val="150"/>
        </w:rPr>
        <w:t xml:space="preserve"> </w:t>
      </w:r>
      <w:r w:rsidRPr="00283806">
        <w:rPr>
          <w:rFonts w:ascii="Book Antiqua" w:hAnsi="Book Antiqua"/>
          <w:i/>
          <w:w w:val="105"/>
        </w:rPr>
        <w:t>owners,</w:t>
      </w:r>
      <w:r w:rsidRPr="00283806">
        <w:rPr>
          <w:rFonts w:ascii="Book Antiqua" w:hAnsi="Book Antiqua"/>
          <w:i/>
          <w:spacing w:val="37"/>
          <w:w w:val="105"/>
        </w:rPr>
        <w:t xml:space="preserve"> </w:t>
      </w:r>
      <w:r w:rsidRPr="00283806">
        <w:rPr>
          <w:w w:val="105"/>
        </w:rPr>
        <w:t>and</w:t>
      </w:r>
      <w:r w:rsidRPr="00283806">
        <w:rPr>
          <w:spacing w:val="40"/>
          <w:w w:val="105"/>
        </w:rPr>
        <w:t xml:space="preserve"> </w:t>
      </w:r>
      <w:r w:rsidRPr="00283806">
        <w:rPr>
          <w:w w:val="105"/>
        </w:rPr>
        <w:t>manufacturers</w:t>
      </w:r>
      <w:r w:rsidRPr="00283806">
        <w:rPr>
          <w:spacing w:val="40"/>
          <w:w w:val="105"/>
        </w:rPr>
        <w:t xml:space="preserve"> </w:t>
      </w:r>
      <w:r w:rsidRPr="00283806">
        <w:rPr>
          <w:w w:val="105"/>
        </w:rPr>
        <w:t xml:space="preserve">of appliances and recycling and recovery equipment in addition to persons servicing, repairing, maintaining, and disposing of appliances.’’ 58 FR 28707 (emphasis added); </w:t>
      </w:r>
      <w:r w:rsidRPr="00283806">
        <w:rPr>
          <w:rFonts w:ascii="Book Antiqua" w:hAnsi="Book Antiqua"/>
          <w:i/>
          <w:w w:val="105"/>
        </w:rPr>
        <w:t xml:space="preserve">see also </w:t>
      </w:r>
      <w:r w:rsidRPr="00283806">
        <w:rPr>
          <w:w w:val="105"/>
        </w:rPr>
        <w:t xml:space="preserve">58 FR 28681. EPA explained that the rule required the owner of the equipment to </w:t>
      </w:r>
      <w:proofErr w:type="gramStart"/>
      <w:r w:rsidRPr="00283806">
        <w:rPr>
          <w:w w:val="105"/>
        </w:rPr>
        <w:t>either authorize the repair of substantial leaks</w:t>
      </w:r>
      <w:proofErr w:type="gramEnd"/>
    </w:p>
    <w:p w14:paraId="1D096303" w14:textId="77777777" w:rsidR="00D67C1E" w:rsidRPr="00283806" w:rsidRDefault="001265CA">
      <w:pPr>
        <w:pStyle w:val="BodyText"/>
        <w:spacing w:before="5"/>
        <w:ind w:left="0"/>
        <w:rPr>
          <w:sz w:val="11"/>
        </w:rPr>
      </w:pPr>
      <w:r w:rsidRPr="00283806">
        <w:rPr>
          <w:noProof/>
        </w:rPr>
        <mc:AlternateContent>
          <mc:Choice Requires="wps">
            <w:drawing>
              <wp:anchor distT="0" distB="0" distL="0" distR="0" simplePos="0" relativeHeight="251694080" behindDoc="1" locked="0" layoutInCell="1" allowOverlap="1" wp14:anchorId="3688F54F" wp14:editId="7BEEA202">
                <wp:simplePos x="0" y="0"/>
                <wp:positionH relativeFrom="page">
                  <wp:posOffset>2819400</wp:posOffset>
                </wp:positionH>
                <wp:positionV relativeFrom="paragraph">
                  <wp:posOffset>100319</wp:posOffset>
                </wp:positionV>
                <wp:extent cx="635000" cy="1270"/>
                <wp:effectExtent l="0" t="0" r="0" b="0"/>
                <wp:wrapTopAndBottom/>
                <wp:docPr id="127" name="Graphic 1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787CE6" id="Graphic 127" o:spid="_x0000_s1026" alt="&quot;&quot;" style="position:absolute;margin-left:222pt;margin-top:7.9pt;width:50pt;height:.1pt;z-index:-251622400;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" path="m,l635000,e" filled="f" strokeweight=".5pt">
                <v:path arrowok="t"/>
                <w10:wrap type="topAndBottom" anchorx="page"/>
              </v:shape>
            </w:pict>
          </mc:Fallback>
        </mc:AlternateContent>
      </w:r>
    </w:p>
    <w:p w14:paraId="0C283ADE" w14:textId="77777777" w:rsidR="00D67C1E" w:rsidRPr="00283806" w:rsidRDefault="001265CA">
      <w:pPr>
        <w:spacing w:before="40" w:line="232" w:lineRule="auto"/>
        <w:ind w:left="154" w:right="92" w:firstLine="140"/>
        <w:rPr>
          <w:sz w:val="14"/>
        </w:rPr>
      </w:pPr>
      <w:r w:rsidRPr="00283806">
        <w:rPr>
          <w:w w:val="105"/>
          <w:position w:val="4"/>
          <w:sz w:val="9"/>
        </w:rPr>
        <w:t xml:space="preserve">200 </w:t>
      </w:r>
      <w:r w:rsidRPr="00283806">
        <w:rPr>
          <w:w w:val="105"/>
          <w:sz w:val="14"/>
        </w:rPr>
        <w:t>The Agency recognizes that refrigerant-</w:t>
      </w:r>
      <w:r w:rsidRPr="00283806">
        <w:rPr>
          <w:spacing w:val="40"/>
          <w:w w:val="105"/>
          <w:sz w:val="14"/>
        </w:rPr>
        <w:t xml:space="preserve"> </w:t>
      </w:r>
      <w:r w:rsidRPr="00283806">
        <w:rPr>
          <w:w w:val="105"/>
          <w:sz w:val="14"/>
        </w:rPr>
        <w:t>containing appliances may lose refrigerant charge</w:t>
      </w:r>
      <w:r w:rsidRPr="00283806">
        <w:rPr>
          <w:spacing w:val="40"/>
          <w:w w:val="105"/>
          <w:sz w:val="14"/>
        </w:rPr>
        <w:t xml:space="preserve"> </w:t>
      </w:r>
      <w:r w:rsidRPr="00283806">
        <w:rPr>
          <w:w w:val="105"/>
          <w:sz w:val="14"/>
        </w:rPr>
        <w:t>over time. However, manufacturers of refrigerant-</w:t>
      </w:r>
      <w:r w:rsidRPr="00283806">
        <w:rPr>
          <w:spacing w:val="40"/>
          <w:w w:val="105"/>
          <w:sz w:val="14"/>
        </w:rPr>
        <w:t xml:space="preserve"> </w:t>
      </w:r>
      <w:r w:rsidRPr="00283806">
        <w:rPr>
          <w:w w:val="105"/>
          <w:sz w:val="14"/>
        </w:rPr>
        <w:t>containing equipment have made great strides in</w:t>
      </w:r>
      <w:r w:rsidRPr="00283806">
        <w:rPr>
          <w:spacing w:val="40"/>
          <w:w w:val="105"/>
          <w:sz w:val="14"/>
        </w:rPr>
        <w:t xml:space="preserve"> </w:t>
      </w:r>
      <w:r w:rsidRPr="00283806">
        <w:rPr>
          <w:w w:val="105"/>
          <w:sz w:val="14"/>
        </w:rPr>
        <w:t>manufacturing equipment less prone to leaks.</w:t>
      </w:r>
    </w:p>
    <w:p w14:paraId="7E6702C7" w14:textId="77777777" w:rsidR="00D67C1E" w:rsidRPr="00283806" w:rsidRDefault="001265CA">
      <w:pPr>
        <w:spacing w:before="4" w:line="232" w:lineRule="auto"/>
        <w:ind w:left="154" w:right="18"/>
        <w:rPr>
          <w:sz w:val="14"/>
        </w:rPr>
      </w:pPr>
      <w:r w:rsidRPr="00283806">
        <w:rPr>
          <w:w w:val="105"/>
          <w:sz w:val="14"/>
        </w:rPr>
        <w:t>Nevertheless, refrigerant-containing equipment,</w:t>
      </w:r>
      <w:r w:rsidRPr="00283806">
        <w:rPr>
          <w:spacing w:val="40"/>
          <w:w w:val="105"/>
          <w:sz w:val="14"/>
        </w:rPr>
        <w:t xml:space="preserve"> </w:t>
      </w:r>
      <w:r w:rsidRPr="00283806">
        <w:rPr>
          <w:w w:val="105"/>
          <w:sz w:val="14"/>
        </w:rPr>
        <w:t>especially with larger charge sizes, could leak</w:t>
      </w:r>
      <w:r w:rsidRPr="00283806">
        <w:rPr>
          <w:spacing w:val="40"/>
          <w:w w:val="105"/>
          <w:sz w:val="14"/>
        </w:rPr>
        <w:t xml:space="preserve"> </w:t>
      </w:r>
      <w:r w:rsidRPr="00283806">
        <w:rPr>
          <w:w w:val="105"/>
          <w:sz w:val="14"/>
        </w:rPr>
        <w:t>significant amounts of refrigerant before a leak is</w:t>
      </w:r>
      <w:r w:rsidRPr="00283806">
        <w:rPr>
          <w:spacing w:val="40"/>
          <w:w w:val="105"/>
          <w:sz w:val="14"/>
        </w:rPr>
        <w:t xml:space="preserve"> </w:t>
      </w:r>
      <w:r w:rsidRPr="00283806">
        <w:rPr>
          <w:spacing w:val="-2"/>
          <w:w w:val="105"/>
          <w:sz w:val="14"/>
        </w:rPr>
        <w:t>detected.</w:t>
      </w:r>
    </w:p>
    <w:p w14:paraId="50E28BF8" w14:textId="77777777" w:rsidR="00D67C1E" w:rsidRPr="00283806" w:rsidRDefault="001265CA">
      <w:pPr>
        <w:spacing w:before="23" w:line="232" w:lineRule="auto"/>
        <w:ind w:left="154" w:right="92" w:firstLine="140"/>
        <w:rPr>
          <w:sz w:val="14"/>
        </w:rPr>
      </w:pPr>
      <w:r w:rsidRPr="00283806">
        <w:rPr>
          <w:w w:val="105"/>
          <w:position w:val="4"/>
          <w:sz w:val="9"/>
        </w:rPr>
        <w:t xml:space="preserve">201 </w:t>
      </w:r>
      <w:r w:rsidRPr="00283806">
        <w:rPr>
          <w:w w:val="105"/>
          <w:sz w:val="14"/>
        </w:rPr>
        <w:t>EPA further notes that this comment states</w:t>
      </w:r>
      <w:r w:rsidRPr="00283806">
        <w:rPr>
          <w:spacing w:val="80"/>
          <w:w w:val="105"/>
          <w:sz w:val="14"/>
        </w:rPr>
        <w:t xml:space="preserve"> </w:t>
      </w:r>
      <w:r w:rsidRPr="00283806">
        <w:rPr>
          <w:w w:val="105"/>
          <w:sz w:val="14"/>
        </w:rPr>
        <w:t>that it incorporates by reference prior comments</w:t>
      </w:r>
      <w:r w:rsidRPr="00283806">
        <w:rPr>
          <w:spacing w:val="40"/>
          <w:w w:val="105"/>
          <w:sz w:val="14"/>
        </w:rPr>
        <w:t xml:space="preserve"> </w:t>
      </w:r>
      <w:r w:rsidRPr="00283806">
        <w:rPr>
          <w:w w:val="105"/>
          <w:sz w:val="14"/>
        </w:rPr>
        <w:t>submitted on prior proposed rules under CAA</w:t>
      </w:r>
      <w:r w:rsidRPr="00283806">
        <w:rPr>
          <w:spacing w:val="40"/>
          <w:w w:val="105"/>
          <w:sz w:val="14"/>
        </w:rPr>
        <w:t xml:space="preserve"> </w:t>
      </w:r>
      <w:r w:rsidRPr="00283806">
        <w:rPr>
          <w:w w:val="105"/>
          <w:sz w:val="14"/>
        </w:rPr>
        <w:t xml:space="preserve">section 608. EPA notes that </w:t>
      </w:r>
      <w:proofErr w:type="gramStart"/>
      <w:r w:rsidRPr="00283806">
        <w:rPr>
          <w:w w:val="105"/>
          <w:sz w:val="14"/>
        </w:rPr>
        <w:t>in order to</w:t>
      </w:r>
      <w:proofErr w:type="gramEnd"/>
      <w:r w:rsidRPr="00283806">
        <w:rPr>
          <w:w w:val="105"/>
          <w:sz w:val="14"/>
        </w:rPr>
        <w:t xml:space="preserve"> merit a</w:t>
      </w:r>
      <w:r w:rsidRPr="00283806">
        <w:rPr>
          <w:spacing w:val="40"/>
          <w:w w:val="105"/>
          <w:sz w:val="14"/>
        </w:rPr>
        <w:t xml:space="preserve"> </w:t>
      </w:r>
      <w:r w:rsidRPr="00283806">
        <w:rPr>
          <w:w w:val="105"/>
          <w:sz w:val="14"/>
        </w:rPr>
        <w:t>response, comments on a proposed rule must be</w:t>
      </w:r>
      <w:r w:rsidRPr="00283806">
        <w:rPr>
          <w:spacing w:val="40"/>
          <w:w w:val="105"/>
          <w:sz w:val="14"/>
        </w:rPr>
        <w:t xml:space="preserve"> </w:t>
      </w:r>
      <w:r w:rsidRPr="00283806">
        <w:rPr>
          <w:w w:val="105"/>
          <w:sz w:val="14"/>
        </w:rPr>
        <w:t>stated with specificity, so that the Agency can</w:t>
      </w:r>
      <w:r w:rsidRPr="00283806">
        <w:rPr>
          <w:spacing w:val="40"/>
          <w:w w:val="105"/>
          <w:sz w:val="14"/>
        </w:rPr>
        <w:t xml:space="preserve"> </w:t>
      </w:r>
      <w:r w:rsidRPr="00283806">
        <w:rPr>
          <w:w w:val="105"/>
          <w:sz w:val="14"/>
        </w:rPr>
        <w:t>identify the commenter’s concern or requested</w:t>
      </w:r>
      <w:r w:rsidRPr="00283806">
        <w:rPr>
          <w:spacing w:val="40"/>
          <w:w w:val="105"/>
          <w:sz w:val="14"/>
        </w:rPr>
        <w:t xml:space="preserve"> </w:t>
      </w:r>
      <w:r w:rsidRPr="00283806">
        <w:rPr>
          <w:w w:val="105"/>
          <w:sz w:val="14"/>
        </w:rPr>
        <w:t>alteration to the rule at issue. A commenter’s</w:t>
      </w:r>
      <w:r w:rsidRPr="00283806">
        <w:rPr>
          <w:spacing w:val="40"/>
          <w:w w:val="105"/>
          <w:sz w:val="14"/>
        </w:rPr>
        <w:t xml:space="preserve"> </w:t>
      </w:r>
      <w:r w:rsidRPr="00283806">
        <w:rPr>
          <w:w w:val="105"/>
          <w:sz w:val="14"/>
        </w:rPr>
        <w:t>statement, such as the statement in this comment,</w:t>
      </w:r>
      <w:r w:rsidRPr="00283806">
        <w:rPr>
          <w:spacing w:val="40"/>
          <w:w w:val="105"/>
          <w:sz w:val="14"/>
        </w:rPr>
        <w:t xml:space="preserve"> </w:t>
      </w:r>
      <w:r w:rsidRPr="00283806">
        <w:rPr>
          <w:w w:val="105"/>
          <w:sz w:val="14"/>
        </w:rPr>
        <w:t>that they are incorporating prior comments or</w:t>
      </w:r>
      <w:r w:rsidRPr="00283806">
        <w:rPr>
          <w:spacing w:val="40"/>
          <w:w w:val="105"/>
          <w:sz w:val="14"/>
        </w:rPr>
        <w:t xml:space="preserve"> </w:t>
      </w:r>
      <w:r w:rsidRPr="00283806">
        <w:rPr>
          <w:w w:val="105"/>
          <w:sz w:val="14"/>
        </w:rPr>
        <w:t>arguments, without any further explanation of how</w:t>
      </w:r>
      <w:r w:rsidRPr="00283806">
        <w:rPr>
          <w:spacing w:val="40"/>
          <w:w w:val="105"/>
          <w:sz w:val="14"/>
        </w:rPr>
        <w:t xml:space="preserve"> </w:t>
      </w:r>
      <w:r w:rsidRPr="00283806">
        <w:rPr>
          <w:w w:val="105"/>
          <w:sz w:val="14"/>
        </w:rPr>
        <w:t>those prior comments or arguments relate to the</w:t>
      </w:r>
      <w:r w:rsidRPr="00283806">
        <w:rPr>
          <w:spacing w:val="40"/>
          <w:w w:val="105"/>
          <w:sz w:val="14"/>
        </w:rPr>
        <w:t xml:space="preserve"> </w:t>
      </w:r>
      <w:r w:rsidRPr="00283806">
        <w:rPr>
          <w:w w:val="105"/>
          <w:sz w:val="14"/>
        </w:rPr>
        <w:t>proposed rule or how the Agency should change its</w:t>
      </w:r>
      <w:r w:rsidRPr="00283806">
        <w:rPr>
          <w:spacing w:val="40"/>
          <w:w w:val="105"/>
          <w:sz w:val="14"/>
        </w:rPr>
        <w:t xml:space="preserve"> </w:t>
      </w:r>
      <w:r w:rsidRPr="00283806">
        <w:rPr>
          <w:w w:val="105"/>
          <w:sz w:val="14"/>
        </w:rPr>
        <w:t>proposal, do not require a response.</w:t>
      </w:r>
    </w:p>
    <w:p w14:paraId="1E2096B7" w14:textId="77777777" w:rsidR="00D67C1E" w:rsidRPr="00283806" w:rsidRDefault="001265CA">
      <w:pPr>
        <w:pStyle w:val="BodyText"/>
        <w:spacing w:before="134" w:line="228" w:lineRule="auto"/>
        <w:ind w:left="143" w:right="121"/>
      </w:pPr>
      <w:r w:rsidRPr="00283806">
        <w:br w:type="column"/>
      </w:r>
      <w:r w:rsidRPr="00283806">
        <w:rPr>
          <w:w w:val="105"/>
        </w:rPr>
        <w:t>or develop the equipment retirement/ retrofit plan within 30 days of</w:t>
      </w:r>
      <w:r w:rsidRPr="00283806">
        <w:rPr>
          <w:spacing w:val="40"/>
          <w:w w:val="105"/>
        </w:rPr>
        <w:t xml:space="preserve"> </w:t>
      </w:r>
      <w:r w:rsidRPr="00283806">
        <w:rPr>
          <w:w w:val="105"/>
        </w:rPr>
        <w:t>discovering a leak above the standard</w:t>
      </w:r>
      <w:r w:rsidRPr="00283806">
        <w:rPr>
          <w:spacing w:val="40"/>
          <w:w w:val="105"/>
        </w:rPr>
        <w:t xml:space="preserve"> </w:t>
      </w:r>
      <w:r w:rsidRPr="00283806">
        <w:rPr>
          <w:w w:val="105"/>
        </w:rPr>
        <w:t>and that the owner has the legal obligation to ensure that repairs are</w:t>
      </w:r>
      <w:r w:rsidRPr="00283806">
        <w:rPr>
          <w:spacing w:val="40"/>
          <w:w w:val="105"/>
        </w:rPr>
        <w:t xml:space="preserve"> </w:t>
      </w:r>
      <w:r w:rsidRPr="00283806">
        <w:rPr>
          <w:w w:val="105"/>
        </w:rPr>
        <w:t xml:space="preserve">made to equipment where the leak rate exceeds the standard. </w:t>
      </w:r>
      <w:r w:rsidRPr="00283806">
        <w:rPr>
          <w:rFonts w:ascii="Book Antiqua" w:hAnsi="Book Antiqua"/>
          <w:i/>
          <w:w w:val="105"/>
        </w:rPr>
        <w:t xml:space="preserve">See </w:t>
      </w:r>
      <w:r w:rsidRPr="00283806">
        <w:rPr>
          <w:w w:val="105"/>
        </w:rPr>
        <w:t>81 FR 82272. For similar reasons as under section</w:t>
      </w:r>
      <w:r w:rsidRPr="00283806">
        <w:rPr>
          <w:spacing w:val="80"/>
          <w:w w:val="150"/>
        </w:rPr>
        <w:t xml:space="preserve"> </w:t>
      </w:r>
      <w:r w:rsidRPr="00283806">
        <w:rPr>
          <w:w w:val="105"/>
        </w:rPr>
        <w:t>608, including the role of the equipment owner and operator in determining whether to authorize repair of a leak or whether to retire or retrofit the equipment, this final rule finds it reasonable to include the owners and operators among the regulated entities, consistent with the Agency’s practice under the CAA Title VI. EPA has found</w:t>
      </w:r>
      <w:r w:rsidRPr="00283806">
        <w:rPr>
          <w:spacing w:val="40"/>
          <w:w w:val="105"/>
        </w:rPr>
        <w:t xml:space="preserve"> </w:t>
      </w:r>
      <w:r w:rsidRPr="00283806">
        <w:rPr>
          <w:w w:val="105"/>
        </w:rPr>
        <w:t>this approach to be workable, and using the same approach in this final rule should be familiar to entities that have experience implementing the CAA 608 rules, reduce confusion, and facilitate compliance. For this reason, and also given the role of equipment owners and operators in making decisions about the servicing, repair, disposal, and installation</w:t>
      </w:r>
      <w:r w:rsidRPr="00283806">
        <w:rPr>
          <w:spacing w:val="40"/>
          <w:w w:val="105"/>
        </w:rPr>
        <w:t xml:space="preserve"> </w:t>
      </w:r>
      <w:r w:rsidRPr="00283806">
        <w:rPr>
          <w:w w:val="105"/>
        </w:rPr>
        <w:t>of</w:t>
      </w:r>
      <w:r w:rsidRPr="00283806">
        <w:rPr>
          <w:spacing w:val="40"/>
          <w:w w:val="105"/>
        </w:rPr>
        <w:t xml:space="preserve"> </w:t>
      </w:r>
      <w:r w:rsidRPr="00283806">
        <w:rPr>
          <w:w w:val="105"/>
        </w:rPr>
        <w:t>equipment,</w:t>
      </w:r>
      <w:r w:rsidRPr="00283806">
        <w:rPr>
          <w:spacing w:val="40"/>
          <w:w w:val="105"/>
        </w:rPr>
        <w:t xml:space="preserve"> </w:t>
      </w:r>
      <w:r w:rsidRPr="00283806">
        <w:rPr>
          <w:w w:val="105"/>
        </w:rPr>
        <w:t>EPA concludes that it is appropriate to structure the regulations so that equipment</w:t>
      </w:r>
      <w:r w:rsidRPr="00283806">
        <w:rPr>
          <w:spacing w:val="-1"/>
          <w:w w:val="105"/>
        </w:rPr>
        <w:t xml:space="preserve"> </w:t>
      </w:r>
      <w:r w:rsidRPr="00283806">
        <w:rPr>
          <w:w w:val="105"/>
        </w:rPr>
        <w:t>owners</w:t>
      </w:r>
      <w:r w:rsidRPr="00283806">
        <w:rPr>
          <w:spacing w:val="-1"/>
          <w:w w:val="105"/>
        </w:rPr>
        <w:t xml:space="preserve"> </w:t>
      </w:r>
      <w:r w:rsidRPr="00283806">
        <w:rPr>
          <w:w w:val="105"/>
        </w:rPr>
        <w:t>and</w:t>
      </w:r>
      <w:r w:rsidRPr="00283806">
        <w:rPr>
          <w:spacing w:val="-1"/>
          <w:w w:val="105"/>
        </w:rPr>
        <w:t xml:space="preserve"> </w:t>
      </w:r>
      <w:r w:rsidRPr="00283806">
        <w:rPr>
          <w:w w:val="105"/>
        </w:rPr>
        <w:t>operators</w:t>
      </w:r>
      <w:r w:rsidRPr="00283806">
        <w:rPr>
          <w:spacing w:val="-1"/>
          <w:w w:val="105"/>
        </w:rPr>
        <w:t xml:space="preserve"> </w:t>
      </w:r>
      <w:r w:rsidRPr="00283806">
        <w:rPr>
          <w:w w:val="105"/>
        </w:rPr>
        <w:t>may</w:t>
      </w:r>
      <w:r w:rsidRPr="00283806">
        <w:rPr>
          <w:spacing w:val="-1"/>
          <w:w w:val="105"/>
        </w:rPr>
        <w:t xml:space="preserve"> </w:t>
      </w:r>
      <w:r w:rsidRPr="00283806">
        <w:rPr>
          <w:w w:val="105"/>
        </w:rPr>
        <w:t>be held responsible for certain violations, even if the actions of a technician may play a role in the violation, rather than adopt the commenter’s view, which</w:t>
      </w:r>
      <w:r w:rsidRPr="00283806">
        <w:rPr>
          <w:spacing w:val="80"/>
          <w:w w:val="105"/>
        </w:rPr>
        <w:t xml:space="preserve"> </w:t>
      </w:r>
      <w:r w:rsidRPr="00283806">
        <w:rPr>
          <w:w w:val="105"/>
        </w:rPr>
        <w:t>could improperly shield owners and operators</w:t>
      </w:r>
      <w:r w:rsidRPr="00283806">
        <w:rPr>
          <w:spacing w:val="40"/>
          <w:w w:val="105"/>
        </w:rPr>
        <w:t xml:space="preserve"> </w:t>
      </w:r>
      <w:r w:rsidRPr="00283806">
        <w:rPr>
          <w:w w:val="105"/>
        </w:rPr>
        <w:t>from</w:t>
      </w:r>
      <w:r w:rsidRPr="00283806">
        <w:rPr>
          <w:spacing w:val="40"/>
          <w:w w:val="105"/>
        </w:rPr>
        <w:t xml:space="preserve"> </w:t>
      </w:r>
      <w:r w:rsidRPr="00283806">
        <w:rPr>
          <w:w w:val="105"/>
        </w:rPr>
        <w:t>liability</w:t>
      </w:r>
      <w:r w:rsidRPr="00283806">
        <w:rPr>
          <w:spacing w:val="40"/>
          <w:w w:val="105"/>
        </w:rPr>
        <w:t xml:space="preserve"> </w:t>
      </w:r>
      <w:r w:rsidRPr="00283806">
        <w:rPr>
          <w:w w:val="105"/>
        </w:rPr>
        <w:t>even</w:t>
      </w:r>
      <w:r w:rsidRPr="00283806">
        <w:rPr>
          <w:spacing w:val="40"/>
          <w:w w:val="105"/>
        </w:rPr>
        <w:t xml:space="preserve"> </w:t>
      </w:r>
      <w:r w:rsidRPr="00283806">
        <w:rPr>
          <w:w w:val="105"/>
        </w:rPr>
        <w:t>if</w:t>
      </w:r>
      <w:r w:rsidRPr="00283806">
        <w:rPr>
          <w:spacing w:val="40"/>
          <w:w w:val="105"/>
        </w:rPr>
        <w:t xml:space="preserve"> </w:t>
      </w:r>
      <w:r w:rsidRPr="00283806">
        <w:rPr>
          <w:w w:val="105"/>
        </w:rPr>
        <w:t>a decision or action they took resulted in</w:t>
      </w:r>
      <w:r w:rsidRPr="00283806">
        <w:rPr>
          <w:spacing w:val="40"/>
          <w:w w:val="105"/>
        </w:rPr>
        <w:t xml:space="preserve"> </w:t>
      </w:r>
      <w:r w:rsidRPr="00283806">
        <w:rPr>
          <w:w w:val="105"/>
        </w:rPr>
        <w:t>or contributed to the violation. Further, EPA notes that while certain aspects of</w:t>
      </w:r>
      <w:r w:rsidRPr="00283806">
        <w:rPr>
          <w:spacing w:val="40"/>
          <w:w w:val="105"/>
        </w:rPr>
        <w:t xml:space="preserve"> </w:t>
      </w:r>
      <w:r w:rsidRPr="00283806">
        <w:rPr>
          <w:w w:val="105"/>
        </w:rPr>
        <w:t>its experience in implementing certain requirements under CAA section 608 inform this rulemaking and while there are certain analogies between this rule and requirements established under</w:t>
      </w:r>
      <w:r w:rsidRPr="00283806">
        <w:rPr>
          <w:spacing w:val="80"/>
          <w:w w:val="150"/>
        </w:rPr>
        <w:t xml:space="preserve"> </w:t>
      </w:r>
      <w:r w:rsidRPr="00283806">
        <w:rPr>
          <w:w w:val="105"/>
        </w:rPr>
        <w:t>CAA section 608, it has also been clear that</w:t>
      </w:r>
      <w:r w:rsidRPr="00283806">
        <w:rPr>
          <w:spacing w:val="40"/>
          <w:w w:val="105"/>
        </w:rPr>
        <w:t xml:space="preserve"> </w:t>
      </w:r>
      <w:r w:rsidRPr="00283806">
        <w:rPr>
          <w:w w:val="105"/>
        </w:rPr>
        <w:t>AIM</w:t>
      </w:r>
      <w:r w:rsidRPr="00283806">
        <w:rPr>
          <w:spacing w:val="40"/>
          <w:w w:val="105"/>
        </w:rPr>
        <w:t xml:space="preserve"> </w:t>
      </w:r>
      <w:r w:rsidRPr="00283806">
        <w:rPr>
          <w:w w:val="105"/>
        </w:rPr>
        <w:t>subsection</w:t>
      </w:r>
      <w:r w:rsidRPr="00283806">
        <w:rPr>
          <w:spacing w:val="40"/>
          <w:w w:val="105"/>
        </w:rPr>
        <w:t xml:space="preserve"> </w:t>
      </w:r>
      <w:r w:rsidRPr="00283806">
        <w:rPr>
          <w:w w:val="105"/>
        </w:rPr>
        <w:t>(h)</w:t>
      </w:r>
      <w:r w:rsidRPr="00283806">
        <w:rPr>
          <w:spacing w:val="40"/>
          <w:w w:val="105"/>
        </w:rPr>
        <w:t xml:space="preserve"> </w:t>
      </w:r>
      <w:r w:rsidRPr="00283806">
        <w:rPr>
          <w:w w:val="105"/>
        </w:rPr>
        <w:t>and</w:t>
      </w:r>
      <w:r w:rsidRPr="00283806">
        <w:rPr>
          <w:spacing w:val="40"/>
          <w:w w:val="105"/>
        </w:rPr>
        <w:t xml:space="preserve"> </w:t>
      </w:r>
      <w:r w:rsidRPr="00283806">
        <w:rPr>
          <w:w w:val="105"/>
        </w:rPr>
        <w:t>CAA section 608 are separate and distinct statutory</w:t>
      </w:r>
      <w:r w:rsidRPr="00283806">
        <w:rPr>
          <w:spacing w:val="37"/>
          <w:w w:val="105"/>
        </w:rPr>
        <w:t xml:space="preserve"> </w:t>
      </w:r>
      <w:r w:rsidRPr="00283806">
        <w:rPr>
          <w:w w:val="105"/>
        </w:rPr>
        <w:t>authorities,</w:t>
      </w:r>
      <w:r w:rsidRPr="00283806">
        <w:rPr>
          <w:spacing w:val="37"/>
          <w:w w:val="105"/>
        </w:rPr>
        <w:t xml:space="preserve"> </w:t>
      </w:r>
      <w:r w:rsidRPr="00283806">
        <w:rPr>
          <w:w w:val="105"/>
        </w:rPr>
        <w:t>and</w:t>
      </w:r>
      <w:r w:rsidRPr="00283806">
        <w:rPr>
          <w:spacing w:val="37"/>
          <w:w w:val="105"/>
        </w:rPr>
        <w:t xml:space="preserve"> </w:t>
      </w:r>
      <w:r w:rsidRPr="00283806">
        <w:rPr>
          <w:w w:val="105"/>
        </w:rPr>
        <w:t>that</w:t>
      </w:r>
      <w:r w:rsidRPr="00283806">
        <w:rPr>
          <w:spacing w:val="37"/>
          <w:w w:val="105"/>
        </w:rPr>
        <w:t xml:space="preserve"> </w:t>
      </w:r>
      <w:r w:rsidRPr="00283806">
        <w:rPr>
          <w:w w:val="105"/>
        </w:rPr>
        <w:t>this</w:t>
      </w:r>
      <w:r w:rsidRPr="00283806">
        <w:rPr>
          <w:spacing w:val="37"/>
          <w:w w:val="105"/>
        </w:rPr>
        <w:t xml:space="preserve"> </w:t>
      </w:r>
      <w:r w:rsidRPr="00283806">
        <w:rPr>
          <w:w w:val="105"/>
        </w:rPr>
        <w:t>rule is established under AIM subsection (h), such that the text and purposes of that provision</w:t>
      </w:r>
      <w:r w:rsidRPr="00283806">
        <w:rPr>
          <w:spacing w:val="40"/>
          <w:w w:val="105"/>
        </w:rPr>
        <w:t xml:space="preserve"> </w:t>
      </w:r>
      <w:r w:rsidRPr="00283806">
        <w:rPr>
          <w:w w:val="105"/>
        </w:rPr>
        <w:t>govern</w:t>
      </w:r>
      <w:r w:rsidRPr="00283806">
        <w:rPr>
          <w:spacing w:val="40"/>
          <w:w w:val="105"/>
        </w:rPr>
        <w:t xml:space="preserve"> </w:t>
      </w:r>
      <w:r w:rsidRPr="00283806">
        <w:rPr>
          <w:w w:val="105"/>
        </w:rPr>
        <w:t>this</w:t>
      </w:r>
      <w:r w:rsidRPr="00283806">
        <w:rPr>
          <w:spacing w:val="40"/>
          <w:w w:val="105"/>
        </w:rPr>
        <w:t xml:space="preserve"> </w:t>
      </w:r>
      <w:r w:rsidRPr="00283806">
        <w:rPr>
          <w:w w:val="105"/>
        </w:rPr>
        <w:t>action.</w:t>
      </w:r>
      <w:r w:rsidRPr="00283806">
        <w:rPr>
          <w:spacing w:val="40"/>
          <w:w w:val="105"/>
        </w:rPr>
        <w:t xml:space="preserve"> </w:t>
      </w:r>
      <w:r w:rsidRPr="00283806">
        <w:rPr>
          <w:w w:val="105"/>
        </w:rPr>
        <w:t>While there are some similarities in statutory text between AIM subsection (h) and</w:t>
      </w:r>
      <w:r w:rsidRPr="00283806">
        <w:rPr>
          <w:spacing w:val="80"/>
          <w:w w:val="105"/>
        </w:rPr>
        <w:t xml:space="preserve"> </w:t>
      </w:r>
      <w:r w:rsidRPr="00283806">
        <w:rPr>
          <w:w w:val="105"/>
        </w:rPr>
        <w:t>CAA section 608, there are also meaningful differences to consider.</w:t>
      </w:r>
    </w:p>
    <w:p w14:paraId="6342BA5A" w14:textId="77777777" w:rsidR="00D67C1E" w:rsidRPr="00283806" w:rsidRDefault="001265CA">
      <w:pPr>
        <w:pStyle w:val="BodyText"/>
        <w:spacing w:line="160" w:lineRule="exact"/>
        <w:ind w:left="143"/>
      </w:pPr>
      <w:r w:rsidRPr="00283806">
        <w:rPr>
          <w:w w:val="105"/>
        </w:rPr>
        <w:t>Thus,</w:t>
      </w:r>
      <w:r w:rsidRPr="00283806">
        <w:rPr>
          <w:spacing w:val="9"/>
          <w:w w:val="105"/>
        </w:rPr>
        <w:t xml:space="preserve"> </w:t>
      </w:r>
      <w:r w:rsidRPr="00283806">
        <w:rPr>
          <w:w w:val="105"/>
        </w:rPr>
        <w:t>to</w:t>
      </w:r>
      <w:r w:rsidRPr="00283806">
        <w:rPr>
          <w:spacing w:val="9"/>
          <w:w w:val="105"/>
        </w:rPr>
        <w:t xml:space="preserve"> </w:t>
      </w:r>
      <w:r w:rsidRPr="00283806">
        <w:rPr>
          <w:w w:val="105"/>
        </w:rPr>
        <w:t>the</w:t>
      </w:r>
      <w:r w:rsidRPr="00283806">
        <w:rPr>
          <w:spacing w:val="10"/>
          <w:w w:val="105"/>
        </w:rPr>
        <w:t xml:space="preserve"> </w:t>
      </w:r>
      <w:r w:rsidRPr="00283806">
        <w:rPr>
          <w:w w:val="105"/>
        </w:rPr>
        <w:t>extent</w:t>
      </w:r>
      <w:r w:rsidRPr="00283806">
        <w:rPr>
          <w:spacing w:val="9"/>
          <w:w w:val="105"/>
        </w:rPr>
        <w:t xml:space="preserve"> </w:t>
      </w:r>
      <w:r w:rsidRPr="00283806">
        <w:rPr>
          <w:w w:val="105"/>
        </w:rPr>
        <w:t>that</w:t>
      </w:r>
      <w:r w:rsidRPr="00283806">
        <w:rPr>
          <w:spacing w:val="9"/>
          <w:w w:val="105"/>
        </w:rPr>
        <w:t xml:space="preserve"> </w:t>
      </w:r>
      <w:r w:rsidRPr="00283806">
        <w:rPr>
          <w:spacing w:val="-2"/>
          <w:w w:val="105"/>
        </w:rPr>
        <w:t>commenters</w:t>
      </w:r>
    </w:p>
    <w:p w14:paraId="11F400AA" w14:textId="77777777" w:rsidR="00D67C1E" w:rsidRPr="00283806" w:rsidRDefault="001265CA">
      <w:pPr>
        <w:pStyle w:val="BodyText"/>
        <w:spacing w:before="3" w:line="228" w:lineRule="auto"/>
        <w:ind w:left="143" w:right="161"/>
      </w:pPr>
      <w:r w:rsidRPr="00283806">
        <w:rPr>
          <w:w w:val="105"/>
        </w:rPr>
        <w:t>suggest that a limitation they perceive in CAA section 608 would also somehow simply apply to EPA’s authority under</w:t>
      </w:r>
      <w:r w:rsidRPr="00283806">
        <w:rPr>
          <w:spacing w:val="40"/>
          <w:w w:val="105"/>
        </w:rPr>
        <w:t xml:space="preserve"> </w:t>
      </w:r>
      <w:r w:rsidRPr="00283806">
        <w:rPr>
          <w:w w:val="105"/>
        </w:rPr>
        <w:t>the AIM Act, without further evaluation</w:t>
      </w:r>
      <w:r w:rsidRPr="00283806">
        <w:rPr>
          <w:spacing w:val="40"/>
          <w:w w:val="105"/>
        </w:rPr>
        <w:t xml:space="preserve"> </w:t>
      </w:r>
      <w:r w:rsidRPr="00283806">
        <w:rPr>
          <w:w w:val="105"/>
        </w:rPr>
        <w:t>of</w:t>
      </w:r>
      <w:r w:rsidRPr="00283806">
        <w:rPr>
          <w:spacing w:val="40"/>
          <w:w w:val="105"/>
        </w:rPr>
        <w:t xml:space="preserve"> </w:t>
      </w:r>
      <w:r w:rsidRPr="00283806">
        <w:rPr>
          <w:w w:val="105"/>
        </w:rPr>
        <w:t>the</w:t>
      </w:r>
      <w:r w:rsidRPr="00283806">
        <w:rPr>
          <w:spacing w:val="40"/>
          <w:w w:val="105"/>
        </w:rPr>
        <w:t xml:space="preserve"> </w:t>
      </w:r>
      <w:r w:rsidRPr="00283806">
        <w:rPr>
          <w:w w:val="105"/>
        </w:rPr>
        <w:t>relevant</w:t>
      </w:r>
      <w:r w:rsidRPr="00283806">
        <w:rPr>
          <w:spacing w:val="40"/>
          <w:w w:val="105"/>
        </w:rPr>
        <w:t xml:space="preserve"> </w:t>
      </w:r>
      <w:r w:rsidRPr="00283806">
        <w:rPr>
          <w:w w:val="105"/>
        </w:rPr>
        <w:t>provisions</w:t>
      </w:r>
      <w:r w:rsidRPr="00283806">
        <w:rPr>
          <w:spacing w:val="40"/>
          <w:w w:val="105"/>
        </w:rPr>
        <w:t xml:space="preserve"> </w:t>
      </w:r>
      <w:r w:rsidRPr="00283806">
        <w:rPr>
          <w:w w:val="105"/>
        </w:rPr>
        <w:t>of</w:t>
      </w:r>
      <w:r w:rsidRPr="00283806">
        <w:rPr>
          <w:spacing w:val="40"/>
          <w:w w:val="105"/>
        </w:rPr>
        <w:t xml:space="preserve"> </w:t>
      </w:r>
      <w:r w:rsidRPr="00283806">
        <w:rPr>
          <w:w w:val="105"/>
        </w:rPr>
        <w:t>the</w:t>
      </w:r>
      <w:r w:rsidRPr="00283806">
        <w:rPr>
          <w:spacing w:val="40"/>
          <w:w w:val="105"/>
        </w:rPr>
        <w:t xml:space="preserve"> </w:t>
      </w:r>
      <w:r w:rsidRPr="00283806">
        <w:rPr>
          <w:w w:val="105"/>
        </w:rPr>
        <w:t>AIM Act, EPA disagrees.</w:t>
      </w:r>
    </w:p>
    <w:p w14:paraId="58CA37CC" w14:textId="77777777" w:rsidR="00D67C1E" w:rsidRPr="00283806" w:rsidRDefault="001265CA">
      <w:pPr>
        <w:pStyle w:val="BodyText"/>
        <w:spacing w:before="37" w:line="228" w:lineRule="auto"/>
        <w:ind w:left="143" w:firstLine="180"/>
      </w:pPr>
      <w:r w:rsidRPr="00283806">
        <w:rPr>
          <w:w w:val="105"/>
        </w:rPr>
        <w:t>EPA disagrees with commenters’ assertions that it does not have authority under subsection (h) of the AIM Act to regulate the loss of refrigerant during normal operations or to regulate or penalize facility owners or equipment</w:t>
      </w:r>
    </w:p>
    <w:p w14:paraId="60CB763B"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06" w:space="40"/>
            <w:col w:w="3512" w:space="39"/>
            <w:col w:w="3623"/>
          </w:cols>
        </w:sectPr>
      </w:pPr>
    </w:p>
    <w:p w14:paraId="7883AF90" w14:textId="77777777" w:rsidR="00D67C1E" w:rsidRPr="00283806" w:rsidRDefault="001265CA">
      <w:pPr>
        <w:pStyle w:val="BodyText"/>
        <w:spacing w:before="134" w:line="228" w:lineRule="auto"/>
      </w:pPr>
      <w:r w:rsidRPr="00283806">
        <w:rPr>
          <w:w w:val="105"/>
        </w:rPr>
        <w:lastRenderedPageBreak/>
        <w:t>operators, including imposing penalties on them for violations of requirements under</w:t>
      </w:r>
      <w:r w:rsidRPr="00283806">
        <w:rPr>
          <w:spacing w:val="40"/>
          <w:w w:val="105"/>
        </w:rPr>
        <w:t xml:space="preserve"> </w:t>
      </w:r>
      <w:r w:rsidRPr="00283806">
        <w:rPr>
          <w:w w:val="105"/>
        </w:rPr>
        <w:t>the</w:t>
      </w:r>
      <w:r w:rsidRPr="00283806">
        <w:rPr>
          <w:spacing w:val="40"/>
          <w:w w:val="105"/>
        </w:rPr>
        <w:t xml:space="preserve"> </w:t>
      </w:r>
      <w:r w:rsidRPr="00283806">
        <w:rPr>
          <w:w w:val="105"/>
        </w:rPr>
        <w:t>AIM</w:t>
      </w:r>
      <w:r w:rsidRPr="00283806">
        <w:rPr>
          <w:spacing w:val="40"/>
          <w:w w:val="105"/>
        </w:rPr>
        <w:t xml:space="preserve"> </w:t>
      </w:r>
      <w:r w:rsidRPr="00283806">
        <w:rPr>
          <w:w w:val="105"/>
        </w:rPr>
        <w:t>Act.</w:t>
      </w:r>
      <w:r w:rsidRPr="00283806">
        <w:rPr>
          <w:spacing w:val="40"/>
          <w:w w:val="105"/>
        </w:rPr>
        <w:t xml:space="preserve"> </w:t>
      </w:r>
      <w:r w:rsidRPr="00283806">
        <w:rPr>
          <w:w w:val="105"/>
        </w:rPr>
        <w:t>Under</w:t>
      </w:r>
      <w:r w:rsidRPr="00283806">
        <w:rPr>
          <w:spacing w:val="40"/>
          <w:w w:val="105"/>
        </w:rPr>
        <w:t xml:space="preserve"> </w:t>
      </w:r>
      <w:r w:rsidRPr="00283806">
        <w:rPr>
          <w:w w:val="105"/>
        </w:rPr>
        <w:t>subsection (h), for purposes including maximizing reclaiming</w:t>
      </w:r>
      <w:r w:rsidRPr="00283806">
        <w:rPr>
          <w:spacing w:val="40"/>
          <w:w w:val="105"/>
        </w:rPr>
        <w:t xml:space="preserve"> </w:t>
      </w:r>
      <w:r w:rsidRPr="00283806">
        <w:rPr>
          <w:w w:val="105"/>
        </w:rPr>
        <w:t>and</w:t>
      </w:r>
      <w:r w:rsidRPr="00283806">
        <w:rPr>
          <w:spacing w:val="40"/>
          <w:w w:val="105"/>
        </w:rPr>
        <w:t xml:space="preserve"> </w:t>
      </w:r>
      <w:r w:rsidRPr="00283806">
        <w:rPr>
          <w:w w:val="105"/>
        </w:rPr>
        <w:t>minimizing</w:t>
      </w:r>
      <w:r w:rsidRPr="00283806">
        <w:rPr>
          <w:spacing w:val="40"/>
          <w:w w:val="105"/>
        </w:rPr>
        <w:t xml:space="preserve"> </w:t>
      </w:r>
      <w:r w:rsidRPr="00283806">
        <w:rPr>
          <w:w w:val="105"/>
        </w:rPr>
        <w:t>the</w:t>
      </w:r>
      <w:r w:rsidRPr="00283806">
        <w:rPr>
          <w:spacing w:val="40"/>
          <w:w w:val="105"/>
        </w:rPr>
        <w:t xml:space="preserve"> </w:t>
      </w:r>
      <w:r w:rsidRPr="00283806">
        <w:rPr>
          <w:w w:val="105"/>
        </w:rPr>
        <w:t>release of a regulated substance from</w:t>
      </w:r>
      <w:r w:rsidRPr="00283806">
        <w:rPr>
          <w:spacing w:val="80"/>
          <w:w w:val="105"/>
        </w:rPr>
        <w:t xml:space="preserve"> </w:t>
      </w:r>
      <w:r w:rsidRPr="00283806">
        <w:rPr>
          <w:w w:val="105"/>
        </w:rPr>
        <w:t>equipment, Congress directed the Administrator to promulgate regulations to control practices, processes, or activities regarding the servicing, repair, disposal, or installation of equipment</w:t>
      </w:r>
      <w:r w:rsidRPr="00283806">
        <w:rPr>
          <w:spacing w:val="40"/>
          <w:w w:val="105"/>
        </w:rPr>
        <w:t xml:space="preserve"> </w:t>
      </w:r>
      <w:r w:rsidRPr="00283806">
        <w:rPr>
          <w:w w:val="105"/>
        </w:rPr>
        <w:t xml:space="preserve">that involves a regulated </w:t>
      </w:r>
      <w:proofErr w:type="gramStart"/>
      <w:r w:rsidRPr="00283806">
        <w:rPr>
          <w:w w:val="105"/>
        </w:rPr>
        <w:t>substance</w:t>
      </w:r>
      <w:proofErr w:type="gramEnd"/>
      <w:r w:rsidRPr="00283806">
        <w:rPr>
          <w:w w:val="105"/>
        </w:rPr>
        <w:t xml:space="preserve"> and the reclaiming of a regulated substance used as a refrigerant. As explained in prior sections of this document, </w:t>
      </w:r>
      <w:proofErr w:type="gramStart"/>
      <w:r w:rsidRPr="00283806">
        <w:rPr>
          <w:w w:val="105"/>
        </w:rPr>
        <w:t>establishes</w:t>
      </w:r>
      <w:proofErr w:type="gramEnd"/>
      <w:r w:rsidRPr="00283806">
        <w:rPr>
          <w:w w:val="105"/>
        </w:rPr>
        <w:t xml:space="preserve"> regulations that apply to</w:t>
      </w:r>
      <w:r w:rsidRPr="00283806">
        <w:rPr>
          <w:spacing w:val="40"/>
          <w:w w:val="105"/>
        </w:rPr>
        <w:t xml:space="preserve"> </w:t>
      </w:r>
      <w:r w:rsidRPr="00283806">
        <w:rPr>
          <w:w w:val="105"/>
        </w:rPr>
        <w:t>HFCs</w:t>
      </w:r>
      <w:r w:rsidRPr="00283806">
        <w:rPr>
          <w:spacing w:val="37"/>
          <w:w w:val="105"/>
        </w:rPr>
        <w:t xml:space="preserve"> </w:t>
      </w:r>
      <w:r w:rsidRPr="00283806">
        <w:rPr>
          <w:w w:val="105"/>
        </w:rPr>
        <w:t>and</w:t>
      </w:r>
      <w:r w:rsidRPr="00283806">
        <w:rPr>
          <w:spacing w:val="37"/>
          <w:w w:val="105"/>
        </w:rPr>
        <w:t xml:space="preserve"> </w:t>
      </w:r>
      <w:r w:rsidRPr="00283806">
        <w:rPr>
          <w:w w:val="105"/>
        </w:rPr>
        <w:t>or</w:t>
      </w:r>
      <w:r w:rsidRPr="00283806">
        <w:rPr>
          <w:spacing w:val="37"/>
          <w:w w:val="105"/>
        </w:rPr>
        <w:t xml:space="preserve"> </w:t>
      </w:r>
      <w:r w:rsidRPr="00283806">
        <w:rPr>
          <w:w w:val="105"/>
        </w:rPr>
        <w:t>a</w:t>
      </w:r>
      <w:r w:rsidRPr="00283806">
        <w:rPr>
          <w:spacing w:val="37"/>
          <w:w w:val="105"/>
        </w:rPr>
        <w:t xml:space="preserve"> </w:t>
      </w:r>
      <w:r w:rsidRPr="00283806">
        <w:rPr>
          <w:w w:val="105"/>
        </w:rPr>
        <w:t>substitute</w:t>
      </w:r>
      <w:r w:rsidRPr="00283806">
        <w:rPr>
          <w:spacing w:val="37"/>
          <w:w w:val="105"/>
        </w:rPr>
        <w:t xml:space="preserve"> </w:t>
      </w:r>
      <w:r w:rsidRPr="00283806">
        <w:rPr>
          <w:w w:val="105"/>
        </w:rPr>
        <w:t>for</w:t>
      </w:r>
      <w:r w:rsidRPr="00283806">
        <w:rPr>
          <w:spacing w:val="37"/>
          <w:w w:val="105"/>
        </w:rPr>
        <w:t xml:space="preserve"> </w:t>
      </w:r>
      <w:r w:rsidRPr="00283806">
        <w:rPr>
          <w:w w:val="105"/>
        </w:rPr>
        <w:t>an</w:t>
      </w:r>
      <w:r w:rsidRPr="00283806">
        <w:rPr>
          <w:spacing w:val="37"/>
          <w:w w:val="105"/>
        </w:rPr>
        <w:t xml:space="preserve"> </w:t>
      </w:r>
      <w:r w:rsidRPr="00283806">
        <w:rPr>
          <w:w w:val="105"/>
        </w:rPr>
        <w:t>HFC with a GWP greater than 53 to control practices, processes, or activities regarding servicing, repair, disposal, or installation of equipment. Accordingly, the requirements established under this rule are within the scope of EPA’s authority under subsection (h). For example,</w:t>
      </w:r>
      <w:r w:rsidRPr="00283806">
        <w:rPr>
          <w:spacing w:val="40"/>
          <w:w w:val="105"/>
        </w:rPr>
        <w:t xml:space="preserve"> </w:t>
      </w:r>
      <w:r w:rsidRPr="00283806">
        <w:rPr>
          <w:w w:val="105"/>
        </w:rPr>
        <w:t>as</w:t>
      </w:r>
      <w:r w:rsidRPr="00283806">
        <w:rPr>
          <w:spacing w:val="40"/>
          <w:w w:val="105"/>
        </w:rPr>
        <w:t xml:space="preserve"> </w:t>
      </w:r>
      <w:r w:rsidRPr="00283806">
        <w:rPr>
          <w:w w:val="105"/>
        </w:rPr>
        <w:t>explained</w:t>
      </w:r>
      <w:r w:rsidRPr="00283806">
        <w:rPr>
          <w:spacing w:val="40"/>
          <w:w w:val="105"/>
        </w:rPr>
        <w:t xml:space="preserve"> </w:t>
      </w:r>
      <w:r w:rsidRPr="00283806">
        <w:rPr>
          <w:w w:val="105"/>
        </w:rPr>
        <w:t>in</w:t>
      </w:r>
      <w:r w:rsidRPr="00283806">
        <w:rPr>
          <w:spacing w:val="40"/>
          <w:w w:val="105"/>
        </w:rPr>
        <w:t xml:space="preserve"> </w:t>
      </w:r>
      <w:r w:rsidRPr="00283806">
        <w:rPr>
          <w:w w:val="105"/>
        </w:rPr>
        <w:t>section</w:t>
      </w:r>
      <w:r w:rsidRPr="00283806">
        <w:rPr>
          <w:spacing w:val="40"/>
          <w:w w:val="105"/>
        </w:rPr>
        <w:t xml:space="preserve"> </w:t>
      </w:r>
      <w:r w:rsidRPr="00283806">
        <w:rPr>
          <w:w w:val="105"/>
        </w:rPr>
        <w:t xml:space="preserve">IV.C.3 in this notice, EPA is establishing </w:t>
      </w:r>
      <w:proofErr w:type="gramStart"/>
      <w:r w:rsidRPr="00283806">
        <w:rPr>
          <w:w w:val="105"/>
        </w:rPr>
        <w:t>leak</w:t>
      </w:r>
      <w:proofErr w:type="gramEnd"/>
      <w:r w:rsidRPr="00283806">
        <w:rPr>
          <w:w w:val="105"/>
        </w:rPr>
        <w:t xml:space="preserve"> repair requirements that control practices, processes, or activities regarding servicing or repair of appliances and that provide </w:t>
      </w:r>
      <w:proofErr w:type="gramStart"/>
      <w:r w:rsidRPr="00283806">
        <w:rPr>
          <w:w w:val="105"/>
        </w:rPr>
        <w:t>persons</w:t>
      </w:r>
      <w:proofErr w:type="gramEnd"/>
      <w:r w:rsidRPr="00283806">
        <w:rPr>
          <w:w w:val="105"/>
        </w:rPr>
        <w:t xml:space="preserve"> engaged in such activities with</w:t>
      </w:r>
      <w:r w:rsidRPr="00283806">
        <w:rPr>
          <w:spacing w:val="80"/>
          <w:w w:val="105"/>
        </w:rPr>
        <w:t xml:space="preserve"> </w:t>
      </w:r>
      <w:r w:rsidRPr="00283806">
        <w:rPr>
          <w:w w:val="105"/>
        </w:rPr>
        <w:t>additional clarity and certainty on how</w:t>
      </w:r>
      <w:r w:rsidRPr="00283806">
        <w:rPr>
          <w:spacing w:val="80"/>
          <w:w w:val="105"/>
        </w:rPr>
        <w:t xml:space="preserve"> </w:t>
      </w:r>
      <w:r w:rsidRPr="00283806">
        <w:rPr>
          <w:w w:val="105"/>
        </w:rPr>
        <w:t xml:space="preserve">to ensure that their actions </w:t>
      </w:r>
      <w:proofErr w:type="gramStart"/>
      <w:r w:rsidRPr="00283806">
        <w:rPr>
          <w:w w:val="105"/>
        </w:rPr>
        <w:t>comport</w:t>
      </w:r>
      <w:proofErr w:type="gramEnd"/>
      <w:r w:rsidRPr="00283806">
        <w:rPr>
          <w:spacing w:val="80"/>
          <w:w w:val="105"/>
        </w:rPr>
        <w:t xml:space="preserve"> </w:t>
      </w:r>
      <w:r w:rsidRPr="00283806">
        <w:rPr>
          <w:w w:val="105"/>
        </w:rPr>
        <w:t>with the requirements established in</w:t>
      </w:r>
      <w:r w:rsidRPr="00283806">
        <w:rPr>
          <w:spacing w:val="80"/>
          <w:w w:val="150"/>
        </w:rPr>
        <w:t xml:space="preserve"> </w:t>
      </w:r>
      <w:r w:rsidRPr="00283806">
        <w:rPr>
          <w:w w:val="105"/>
        </w:rPr>
        <w:t>this action. While many of these requirements regulate the activities of</w:t>
      </w:r>
      <w:r w:rsidRPr="00283806">
        <w:rPr>
          <w:spacing w:val="40"/>
          <w:w w:val="105"/>
        </w:rPr>
        <w:t xml:space="preserve"> </w:t>
      </w:r>
      <w:r w:rsidRPr="00283806">
        <w:rPr>
          <w:w w:val="105"/>
        </w:rPr>
        <w:t xml:space="preserve">the person working on equipment, </w:t>
      </w:r>
      <w:r w:rsidRPr="00283806">
        <w:rPr>
          <w:rFonts w:ascii="Book Antiqua" w:hAnsi="Book Antiqua"/>
          <w:i/>
          <w:w w:val="105"/>
        </w:rPr>
        <w:t xml:space="preserve">e.g., </w:t>
      </w:r>
      <w:r w:rsidRPr="00283806">
        <w:rPr>
          <w:w w:val="105"/>
        </w:rPr>
        <w:t>those performing the leak repair, Congress did not limit EPA’s authority under (h)(1) to only regulating activities that are performed directly on</w:t>
      </w:r>
      <w:r w:rsidRPr="00283806">
        <w:rPr>
          <w:spacing w:val="40"/>
          <w:w w:val="105"/>
        </w:rPr>
        <w:t xml:space="preserve"> </w:t>
      </w:r>
      <w:r w:rsidRPr="00283806">
        <w:rPr>
          <w:w w:val="105"/>
        </w:rPr>
        <w:t xml:space="preserve">equipment or only those persons or entities who are directly working on equipment, but rather, as noted previously, authorized EPA to regulate a broader scope of processes, practices or activities </w:t>
      </w:r>
      <w:r w:rsidRPr="00283806">
        <w:rPr>
          <w:rFonts w:ascii="Book Antiqua" w:hAnsi="Book Antiqua"/>
          <w:i/>
          <w:w w:val="105"/>
        </w:rPr>
        <w:t xml:space="preserve">regarding </w:t>
      </w:r>
      <w:r w:rsidRPr="00283806">
        <w:rPr>
          <w:w w:val="105"/>
        </w:rPr>
        <w:t>servicing, repair, disposal, or installation of equipment. EPA interprets the direction under subsection (h)(1) to include authority to regulate equipment owners and operators, as they make decisions and have control over processes, practices or activities regarding servicing, repair, disposal, or installation of equipment,</w:t>
      </w:r>
      <w:r w:rsidRPr="00283806">
        <w:rPr>
          <w:spacing w:val="40"/>
          <w:w w:val="105"/>
        </w:rPr>
        <w:t xml:space="preserve"> </w:t>
      </w:r>
      <w:r w:rsidRPr="00283806">
        <w:rPr>
          <w:w w:val="105"/>
        </w:rPr>
        <w:t>and their decisions and actions will</w:t>
      </w:r>
      <w:r w:rsidRPr="00283806">
        <w:rPr>
          <w:spacing w:val="80"/>
          <w:w w:val="105"/>
        </w:rPr>
        <w:t xml:space="preserve"> </w:t>
      </w:r>
      <w:r w:rsidRPr="00283806">
        <w:rPr>
          <w:w w:val="105"/>
        </w:rPr>
        <w:t>affect efforts to maximize reclamation, minimize releases from equipment and ensure the safety of technicians and consumers. Even if an owner or operator is not using their own personnel to service equipment, their decisions and actions could affect compliance with the requirements under this rule, such as</w:t>
      </w:r>
      <w:r w:rsidRPr="00283806">
        <w:rPr>
          <w:spacing w:val="80"/>
          <w:w w:val="150"/>
        </w:rPr>
        <w:t xml:space="preserve"> </w:t>
      </w:r>
      <w:r w:rsidRPr="00283806">
        <w:rPr>
          <w:w w:val="105"/>
        </w:rPr>
        <w:t>the timing of leak repair activities and</w:t>
      </w:r>
      <w:r w:rsidRPr="00283806">
        <w:rPr>
          <w:spacing w:val="40"/>
          <w:w w:val="105"/>
        </w:rPr>
        <w:t xml:space="preserve"> </w:t>
      </w:r>
      <w:r w:rsidRPr="00283806">
        <w:rPr>
          <w:w w:val="105"/>
        </w:rPr>
        <w:t>the extent to which leaks are repaired.</w:t>
      </w:r>
    </w:p>
    <w:p w14:paraId="6EF32A5C" w14:textId="77777777" w:rsidR="00D67C1E" w:rsidRPr="00283806" w:rsidRDefault="001265CA">
      <w:pPr>
        <w:pStyle w:val="BodyText"/>
        <w:spacing w:line="184" w:lineRule="exact"/>
        <w:ind w:left="340"/>
      </w:pPr>
      <w:r w:rsidRPr="00283806">
        <w:rPr>
          <w:w w:val="105"/>
        </w:rPr>
        <w:t>Further,</w:t>
      </w:r>
      <w:r w:rsidRPr="00283806">
        <w:rPr>
          <w:spacing w:val="7"/>
          <w:w w:val="105"/>
        </w:rPr>
        <w:t xml:space="preserve"> </w:t>
      </w:r>
      <w:r w:rsidRPr="00283806">
        <w:rPr>
          <w:w w:val="105"/>
        </w:rPr>
        <w:t>with</w:t>
      </w:r>
      <w:r w:rsidRPr="00283806">
        <w:rPr>
          <w:spacing w:val="7"/>
          <w:w w:val="105"/>
        </w:rPr>
        <w:t xml:space="preserve"> </w:t>
      </w:r>
      <w:r w:rsidRPr="00283806">
        <w:rPr>
          <w:w w:val="105"/>
        </w:rPr>
        <w:t>respect</w:t>
      </w:r>
      <w:r w:rsidRPr="00283806">
        <w:rPr>
          <w:spacing w:val="7"/>
          <w:w w:val="105"/>
        </w:rPr>
        <w:t xml:space="preserve"> </w:t>
      </w:r>
      <w:r w:rsidRPr="00283806">
        <w:rPr>
          <w:w w:val="105"/>
        </w:rPr>
        <w:t>to</w:t>
      </w:r>
      <w:r w:rsidRPr="00283806">
        <w:rPr>
          <w:spacing w:val="7"/>
          <w:w w:val="105"/>
        </w:rPr>
        <w:t xml:space="preserve"> </w:t>
      </w:r>
      <w:r w:rsidRPr="00283806">
        <w:rPr>
          <w:spacing w:val="-2"/>
          <w:w w:val="105"/>
        </w:rPr>
        <w:t>EPA’s</w:t>
      </w:r>
    </w:p>
    <w:p w14:paraId="01ACFFCA" w14:textId="77777777" w:rsidR="00D67C1E" w:rsidRPr="00283806" w:rsidRDefault="001265CA">
      <w:pPr>
        <w:pStyle w:val="BodyText"/>
        <w:spacing w:line="206" w:lineRule="exact"/>
      </w:pPr>
      <w:r w:rsidRPr="00283806">
        <w:rPr>
          <w:w w:val="105"/>
        </w:rPr>
        <w:t>authority</w:t>
      </w:r>
      <w:r w:rsidRPr="00283806">
        <w:rPr>
          <w:spacing w:val="10"/>
          <w:w w:val="105"/>
        </w:rPr>
        <w:t xml:space="preserve"> </w:t>
      </w:r>
      <w:r w:rsidRPr="00283806">
        <w:rPr>
          <w:w w:val="105"/>
        </w:rPr>
        <w:t>to</w:t>
      </w:r>
      <w:r w:rsidRPr="00283806">
        <w:rPr>
          <w:spacing w:val="11"/>
          <w:w w:val="105"/>
        </w:rPr>
        <w:t xml:space="preserve"> </w:t>
      </w:r>
      <w:r w:rsidRPr="00283806">
        <w:rPr>
          <w:w w:val="105"/>
        </w:rPr>
        <w:t>impose</w:t>
      </w:r>
      <w:r w:rsidRPr="00283806">
        <w:rPr>
          <w:spacing w:val="10"/>
          <w:w w:val="105"/>
        </w:rPr>
        <w:t xml:space="preserve"> </w:t>
      </w:r>
      <w:r w:rsidRPr="00283806">
        <w:rPr>
          <w:w w:val="105"/>
        </w:rPr>
        <w:t>penalties</w:t>
      </w:r>
      <w:r w:rsidRPr="00283806">
        <w:rPr>
          <w:spacing w:val="11"/>
          <w:w w:val="105"/>
        </w:rPr>
        <w:t xml:space="preserve"> </w:t>
      </w:r>
      <w:r w:rsidRPr="00283806">
        <w:rPr>
          <w:w w:val="105"/>
        </w:rPr>
        <w:t>on</w:t>
      </w:r>
      <w:r w:rsidRPr="00283806">
        <w:rPr>
          <w:spacing w:val="10"/>
          <w:w w:val="105"/>
        </w:rPr>
        <w:t xml:space="preserve"> </w:t>
      </w:r>
      <w:r w:rsidRPr="00283806">
        <w:rPr>
          <w:spacing w:val="-2"/>
          <w:w w:val="105"/>
        </w:rPr>
        <w:t>owners</w:t>
      </w:r>
    </w:p>
    <w:p w14:paraId="64DD9F4E" w14:textId="77777777" w:rsidR="00D67C1E" w:rsidRPr="00283806" w:rsidRDefault="001265CA">
      <w:pPr>
        <w:pStyle w:val="BodyText"/>
        <w:spacing w:before="133" w:line="228" w:lineRule="auto"/>
        <w:ind w:left="144" w:right="30"/>
      </w:pPr>
      <w:r w:rsidRPr="00283806">
        <w:br w:type="column"/>
      </w:r>
      <w:r w:rsidRPr="00283806">
        <w:rPr>
          <w:w w:val="110"/>
        </w:rPr>
        <w:t>and operators, EPA responds that subsection (k)(1)(C) of the AIM Act provides that certain sections of the CAA, including section 113, apply to</w:t>
      </w:r>
      <w:r w:rsidRPr="00283806">
        <w:rPr>
          <w:spacing w:val="40"/>
          <w:w w:val="110"/>
        </w:rPr>
        <w:t xml:space="preserve"> </w:t>
      </w:r>
      <w:r w:rsidRPr="00283806">
        <w:rPr>
          <w:w w:val="110"/>
        </w:rPr>
        <w:t xml:space="preserve">the AIM Act and any regulations EPA </w:t>
      </w:r>
      <w:proofErr w:type="gramStart"/>
      <w:r w:rsidRPr="00283806">
        <w:rPr>
          <w:w w:val="110"/>
        </w:rPr>
        <w:t>promulgates</w:t>
      </w:r>
      <w:proofErr w:type="gramEnd"/>
      <w:r w:rsidRPr="00283806">
        <w:rPr>
          <w:w w:val="110"/>
        </w:rPr>
        <w:t xml:space="preserve"> under the AIM Act as though the AIM Act were part of Title</w:t>
      </w:r>
      <w:r w:rsidRPr="00283806">
        <w:rPr>
          <w:spacing w:val="40"/>
          <w:w w:val="110"/>
        </w:rPr>
        <w:t xml:space="preserve"> </w:t>
      </w:r>
      <w:r w:rsidRPr="00283806">
        <w:rPr>
          <w:w w:val="110"/>
        </w:rPr>
        <w:t>VI of the CAA. Among other things, section 113(a)(3) of the CAA, entitled ‘‘EPA enforcement of other requirements’’ authorizes the EPA Administrator</w:t>
      </w:r>
      <w:r w:rsidRPr="00283806">
        <w:rPr>
          <w:spacing w:val="-7"/>
          <w:w w:val="110"/>
        </w:rPr>
        <w:t xml:space="preserve"> </w:t>
      </w:r>
      <w:r w:rsidRPr="00283806">
        <w:rPr>
          <w:w w:val="110"/>
        </w:rPr>
        <w:t>to</w:t>
      </w:r>
      <w:r w:rsidRPr="00283806">
        <w:rPr>
          <w:spacing w:val="-7"/>
          <w:w w:val="110"/>
        </w:rPr>
        <w:t xml:space="preserve"> </w:t>
      </w:r>
      <w:r w:rsidRPr="00283806">
        <w:rPr>
          <w:w w:val="110"/>
        </w:rPr>
        <w:t>take</w:t>
      </w:r>
      <w:r w:rsidRPr="00283806">
        <w:rPr>
          <w:spacing w:val="-7"/>
          <w:w w:val="110"/>
        </w:rPr>
        <w:t xml:space="preserve"> </w:t>
      </w:r>
      <w:r w:rsidRPr="00283806">
        <w:rPr>
          <w:w w:val="110"/>
        </w:rPr>
        <w:t>certain</w:t>
      </w:r>
      <w:r w:rsidRPr="00283806">
        <w:rPr>
          <w:spacing w:val="-7"/>
          <w:w w:val="110"/>
        </w:rPr>
        <w:t xml:space="preserve"> </w:t>
      </w:r>
      <w:r w:rsidRPr="00283806">
        <w:rPr>
          <w:w w:val="110"/>
        </w:rPr>
        <w:t>measures if the Administrator ‘‘finds that any person</w:t>
      </w:r>
      <w:r w:rsidRPr="00283806">
        <w:rPr>
          <w:spacing w:val="-9"/>
          <w:w w:val="110"/>
        </w:rPr>
        <w:t xml:space="preserve"> </w:t>
      </w:r>
      <w:r w:rsidRPr="00283806">
        <w:rPr>
          <w:w w:val="110"/>
        </w:rPr>
        <w:t>has</w:t>
      </w:r>
      <w:r w:rsidRPr="00283806">
        <w:rPr>
          <w:spacing w:val="-9"/>
          <w:w w:val="110"/>
        </w:rPr>
        <w:t xml:space="preserve"> </w:t>
      </w:r>
      <w:r w:rsidRPr="00283806">
        <w:rPr>
          <w:w w:val="110"/>
        </w:rPr>
        <w:t>violated,</w:t>
      </w:r>
      <w:r w:rsidRPr="00283806">
        <w:rPr>
          <w:spacing w:val="-9"/>
          <w:w w:val="110"/>
        </w:rPr>
        <w:t xml:space="preserve"> </w:t>
      </w:r>
      <w:r w:rsidRPr="00283806">
        <w:rPr>
          <w:w w:val="110"/>
        </w:rPr>
        <w:t>or</w:t>
      </w:r>
      <w:r w:rsidRPr="00283806">
        <w:rPr>
          <w:spacing w:val="-9"/>
          <w:w w:val="110"/>
        </w:rPr>
        <w:t xml:space="preserve"> </w:t>
      </w:r>
      <w:r w:rsidRPr="00283806">
        <w:rPr>
          <w:w w:val="110"/>
        </w:rPr>
        <w:t>is</w:t>
      </w:r>
      <w:r w:rsidRPr="00283806">
        <w:rPr>
          <w:spacing w:val="-9"/>
          <w:w w:val="110"/>
        </w:rPr>
        <w:t xml:space="preserve"> </w:t>
      </w:r>
      <w:r w:rsidRPr="00283806">
        <w:rPr>
          <w:w w:val="110"/>
        </w:rPr>
        <w:t>in</w:t>
      </w:r>
      <w:r w:rsidRPr="00283806">
        <w:rPr>
          <w:spacing w:val="-9"/>
          <w:w w:val="110"/>
        </w:rPr>
        <w:t xml:space="preserve"> </w:t>
      </w:r>
      <w:r w:rsidRPr="00283806">
        <w:rPr>
          <w:w w:val="110"/>
        </w:rPr>
        <w:t>violation</w:t>
      </w:r>
      <w:r w:rsidRPr="00283806">
        <w:rPr>
          <w:spacing w:val="-9"/>
          <w:w w:val="110"/>
        </w:rPr>
        <w:t xml:space="preserve"> </w:t>
      </w:r>
      <w:r w:rsidRPr="00283806">
        <w:rPr>
          <w:w w:val="110"/>
        </w:rPr>
        <w:t>of, any .</w:t>
      </w:r>
      <w:r w:rsidRPr="00283806">
        <w:rPr>
          <w:spacing w:val="40"/>
          <w:w w:val="110"/>
        </w:rPr>
        <w:t xml:space="preserve"> </w:t>
      </w:r>
      <w:r w:rsidRPr="00283806">
        <w:rPr>
          <w:w w:val="110"/>
        </w:rPr>
        <w:t>.</w:t>
      </w:r>
      <w:r w:rsidRPr="00283806">
        <w:rPr>
          <w:spacing w:val="40"/>
          <w:w w:val="110"/>
        </w:rPr>
        <w:t xml:space="preserve"> </w:t>
      </w:r>
      <w:r w:rsidRPr="00283806">
        <w:rPr>
          <w:w w:val="110"/>
        </w:rPr>
        <w:t>. requirement or prohibition of</w:t>
      </w:r>
    </w:p>
    <w:p w14:paraId="253552A6" w14:textId="77777777" w:rsidR="00D67C1E" w:rsidRPr="00283806" w:rsidRDefault="001265CA">
      <w:pPr>
        <w:pStyle w:val="BodyText"/>
        <w:spacing w:line="228" w:lineRule="auto"/>
        <w:ind w:left="144"/>
      </w:pPr>
      <w:r w:rsidRPr="00283806">
        <w:rPr>
          <w:w w:val="110"/>
        </w:rPr>
        <w:t>.</w:t>
      </w:r>
      <w:r w:rsidRPr="00283806">
        <w:rPr>
          <w:spacing w:val="40"/>
          <w:w w:val="110"/>
        </w:rPr>
        <w:t xml:space="preserve"> </w:t>
      </w:r>
      <w:r w:rsidRPr="00283806">
        <w:rPr>
          <w:w w:val="110"/>
        </w:rPr>
        <w:t>.</w:t>
      </w:r>
      <w:r w:rsidRPr="00283806">
        <w:rPr>
          <w:spacing w:val="40"/>
          <w:w w:val="110"/>
        </w:rPr>
        <w:t xml:space="preserve"> </w:t>
      </w:r>
      <w:r w:rsidRPr="00283806">
        <w:rPr>
          <w:w w:val="110"/>
        </w:rPr>
        <w:t xml:space="preserve">. subchapter VI of this chapter, including, but not limited to, a </w:t>
      </w:r>
      <w:r w:rsidRPr="00283806">
        <w:t>requirement or prohibition of any rule</w:t>
      </w:r>
    </w:p>
    <w:p w14:paraId="09B07696" w14:textId="77777777" w:rsidR="00D67C1E" w:rsidRPr="00283806" w:rsidRDefault="001265CA">
      <w:pPr>
        <w:pStyle w:val="BodyText"/>
        <w:spacing w:line="228" w:lineRule="auto"/>
        <w:ind w:left="144" w:right="8"/>
      </w:pPr>
      <w:r w:rsidRPr="00283806">
        <w:rPr>
          <w:w w:val="110"/>
        </w:rPr>
        <w:t>.</w:t>
      </w:r>
      <w:r w:rsidRPr="00283806">
        <w:rPr>
          <w:spacing w:val="40"/>
          <w:w w:val="110"/>
        </w:rPr>
        <w:t xml:space="preserve"> </w:t>
      </w:r>
      <w:r w:rsidRPr="00283806">
        <w:rPr>
          <w:w w:val="110"/>
        </w:rPr>
        <w:t>.</w:t>
      </w:r>
      <w:r w:rsidRPr="00283806">
        <w:rPr>
          <w:spacing w:val="40"/>
          <w:w w:val="110"/>
        </w:rPr>
        <w:t xml:space="preserve"> </w:t>
      </w:r>
      <w:r w:rsidRPr="00283806">
        <w:rPr>
          <w:w w:val="110"/>
        </w:rPr>
        <w:t xml:space="preserve">. promulgated under [that] subchapter[ ].’’ Similarly, the </w:t>
      </w:r>
      <w:r w:rsidRPr="00283806">
        <w:t>Administrator’s enforcement authorities</w:t>
      </w:r>
      <w:r w:rsidRPr="00283806">
        <w:rPr>
          <w:spacing w:val="40"/>
          <w:w w:val="110"/>
        </w:rPr>
        <w:t xml:space="preserve"> </w:t>
      </w:r>
      <w:r w:rsidRPr="00283806">
        <w:rPr>
          <w:w w:val="110"/>
        </w:rPr>
        <w:t>under section 113 of the CAA also include the assessment of monetary civil penalties ‘‘against any person’’ if the Administrator finds that ‘‘such person’’ has violated or is violating any requirement</w:t>
      </w:r>
      <w:r w:rsidRPr="00283806">
        <w:rPr>
          <w:spacing w:val="-11"/>
          <w:w w:val="110"/>
        </w:rPr>
        <w:t xml:space="preserve"> </w:t>
      </w:r>
      <w:r w:rsidRPr="00283806">
        <w:rPr>
          <w:w w:val="110"/>
        </w:rPr>
        <w:t>or</w:t>
      </w:r>
      <w:r w:rsidRPr="00283806">
        <w:rPr>
          <w:spacing w:val="-11"/>
          <w:w w:val="110"/>
        </w:rPr>
        <w:t xml:space="preserve"> </w:t>
      </w:r>
      <w:r w:rsidRPr="00283806">
        <w:rPr>
          <w:w w:val="110"/>
        </w:rPr>
        <w:t>prohibition</w:t>
      </w:r>
      <w:r w:rsidRPr="00283806">
        <w:rPr>
          <w:spacing w:val="-11"/>
          <w:w w:val="110"/>
        </w:rPr>
        <w:t xml:space="preserve"> </w:t>
      </w:r>
      <w:r w:rsidRPr="00283806">
        <w:rPr>
          <w:w w:val="110"/>
        </w:rPr>
        <w:t>of</w:t>
      </w:r>
      <w:r w:rsidRPr="00283806">
        <w:rPr>
          <w:spacing w:val="-11"/>
          <w:w w:val="110"/>
        </w:rPr>
        <w:t xml:space="preserve"> </w:t>
      </w:r>
      <w:r w:rsidRPr="00283806">
        <w:rPr>
          <w:w w:val="110"/>
        </w:rPr>
        <w:t>Title</w:t>
      </w:r>
      <w:r w:rsidRPr="00283806">
        <w:rPr>
          <w:spacing w:val="-11"/>
          <w:w w:val="110"/>
        </w:rPr>
        <w:t xml:space="preserve"> </w:t>
      </w:r>
      <w:r w:rsidRPr="00283806">
        <w:rPr>
          <w:w w:val="110"/>
        </w:rPr>
        <w:t>VI</w:t>
      </w:r>
      <w:r w:rsidRPr="00283806">
        <w:rPr>
          <w:spacing w:val="-11"/>
          <w:w w:val="110"/>
        </w:rPr>
        <w:t xml:space="preserve"> </w:t>
      </w:r>
      <w:r w:rsidRPr="00283806">
        <w:rPr>
          <w:w w:val="110"/>
        </w:rPr>
        <w:t>of the CAA, ‘‘including, but not limited to,</w:t>
      </w:r>
      <w:r w:rsidRPr="00283806">
        <w:rPr>
          <w:spacing w:val="40"/>
          <w:w w:val="110"/>
        </w:rPr>
        <w:t xml:space="preserve"> </w:t>
      </w:r>
      <w:r w:rsidRPr="00283806">
        <w:rPr>
          <w:w w:val="110"/>
        </w:rPr>
        <w:t>a requirement or prohibition of any rule’’</w:t>
      </w:r>
      <w:r w:rsidRPr="00283806">
        <w:rPr>
          <w:spacing w:val="-11"/>
          <w:w w:val="110"/>
        </w:rPr>
        <w:t xml:space="preserve"> </w:t>
      </w:r>
      <w:r w:rsidRPr="00283806">
        <w:rPr>
          <w:w w:val="110"/>
        </w:rPr>
        <w:t>promulgated</w:t>
      </w:r>
      <w:r w:rsidRPr="00283806">
        <w:rPr>
          <w:spacing w:val="-11"/>
          <w:w w:val="110"/>
        </w:rPr>
        <w:t xml:space="preserve"> </w:t>
      </w:r>
      <w:r w:rsidRPr="00283806">
        <w:rPr>
          <w:w w:val="110"/>
        </w:rPr>
        <w:t>under</w:t>
      </w:r>
      <w:r w:rsidRPr="00283806">
        <w:rPr>
          <w:spacing w:val="-11"/>
          <w:w w:val="110"/>
        </w:rPr>
        <w:t xml:space="preserve"> </w:t>
      </w:r>
      <w:r w:rsidRPr="00283806">
        <w:rPr>
          <w:w w:val="110"/>
        </w:rPr>
        <w:t>Title</w:t>
      </w:r>
      <w:r w:rsidRPr="00283806">
        <w:rPr>
          <w:spacing w:val="-11"/>
          <w:w w:val="110"/>
        </w:rPr>
        <w:t xml:space="preserve"> </w:t>
      </w:r>
      <w:r w:rsidRPr="00283806">
        <w:rPr>
          <w:w w:val="110"/>
        </w:rPr>
        <w:t>VI.</w:t>
      </w:r>
      <w:r w:rsidRPr="00283806">
        <w:rPr>
          <w:spacing w:val="-11"/>
          <w:w w:val="110"/>
        </w:rPr>
        <w:t xml:space="preserve"> </w:t>
      </w:r>
      <w:r w:rsidRPr="00283806">
        <w:rPr>
          <w:w w:val="110"/>
        </w:rPr>
        <w:t>These provisions apply to the AIM Act and</w:t>
      </w:r>
      <w:r w:rsidRPr="00283806">
        <w:rPr>
          <w:spacing w:val="40"/>
          <w:w w:val="110"/>
        </w:rPr>
        <w:t xml:space="preserve"> </w:t>
      </w:r>
      <w:r w:rsidRPr="00283806">
        <w:rPr>
          <w:w w:val="110"/>
        </w:rPr>
        <w:t xml:space="preserve">this rule by operation of subsection </w:t>
      </w:r>
      <w:r w:rsidRPr="00283806">
        <w:rPr>
          <w:spacing w:val="-2"/>
          <w:w w:val="110"/>
        </w:rPr>
        <w:t>(k)(1)(C)</w:t>
      </w:r>
      <w:r w:rsidRPr="00283806">
        <w:rPr>
          <w:spacing w:val="-5"/>
          <w:w w:val="110"/>
        </w:rPr>
        <w:t xml:space="preserve"> </w:t>
      </w:r>
      <w:r w:rsidRPr="00283806">
        <w:rPr>
          <w:spacing w:val="-2"/>
          <w:w w:val="110"/>
        </w:rPr>
        <w:t>of</w:t>
      </w:r>
      <w:r w:rsidRPr="00283806">
        <w:rPr>
          <w:spacing w:val="-5"/>
          <w:w w:val="110"/>
        </w:rPr>
        <w:t xml:space="preserve"> </w:t>
      </w:r>
      <w:r w:rsidRPr="00283806">
        <w:rPr>
          <w:spacing w:val="-2"/>
          <w:w w:val="110"/>
        </w:rPr>
        <w:t>the</w:t>
      </w:r>
      <w:r w:rsidRPr="00283806">
        <w:rPr>
          <w:spacing w:val="-5"/>
          <w:w w:val="110"/>
        </w:rPr>
        <w:t xml:space="preserve"> </w:t>
      </w:r>
      <w:r w:rsidRPr="00283806">
        <w:rPr>
          <w:spacing w:val="-2"/>
          <w:w w:val="110"/>
        </w:rPr>
        <w:t>AIM</w:t>
      </w:r>
      <w:r w:rsidRPr="00283806">
        <w:rPr>
          <w:spacing w:val="-5"/>
          <w:w w:val="110"/>
        </w:rPr>
        <w:t xml:space="preserve"> </w:t>
      </w:r>
      <w:r w:rsidRPr="00283806">
        <w:rPr>
          <w:spacing w:val="-2"/>
          <w:w w:val="110"/>
        </w:rPr>
        <w:t>Act.</w:t>
      </w:r>
      <w:r w:rsidRPr="00283806">
        <w:rPr>
          <w:spacing w:val="-5"/>
          <w:w w:val="110"/>
        </w:rPr>
        <w:t xml:space="preserve"> </w:t>
      </w:r>
      <w:r w:rsidRPr="00283806">
        <w:rPr>
          <w:spacing w:val="-2"/>
          <w:w w:val="110"/>
        </w:rPr>
        <w:t>Facility</w:t>
      </w:r>
      <w:r w:rsidRPr="00283806">
        <w:rPr>
          <w:spacing w:val="-5"/>
          <w:w w:val="110"/>
        </w:rPr>
        <w:t xml:space="preserve"> </w:t>
      </w:r>
      <w:r w:rsidRPr="00283806">
        <w:rPr>
          <w:spacing w:val="-2"/>
          <w:w w:val="110"/>
        </w:rPr>
        <w:t xml:space="preserve">owners </w:t>
      </w:r>
      <w:r w:rsidRPr="00283806">
        <w:rPr>
          <w:w w:val="110"/>
        </w:rPr>
        <w:t>or operators are within the broad definition</w:t>
      </w:r>
      <w:r w:rsidRPr="00283806">
        <w:rPr>
          <w:spacing w:val="-5"/>
          <w:w w:val="110"/>
        </w:rPr>
        <w:t xml:space="preserve"> </w:t>
      </w:r>
      <w:r w:rsidRPr="00283806">
        <w:rPr>
          <w:w w:val="110"/>
        </w:rPr>
        <w:t>of</w:t>
      </w:r>
      <w:r w:rsidRPr="00283806">
        <w:rPr>
          <w:spacing w:val="-5"/>
          <w:w w:val="110"/>
        </w:rPr>
        <w:t xml:space="preserve"> </w:t>
      </w:r>
      <w:r w:rsidRPr="00283806">
        <w:rPr>
          <w:w w:val="110"/>
        </w:rPr>
        <w:t>‘‘person’’</w:t>
      </w:r>
      <w:r w:rsidRPr="00283806">
        <w:rPr>
          <w:spacing w:val="-5"/>
          <w:w w:val="110"/>
        </w:rPr>
        <w:t xml:space="preserve"> </w:t>
      </w:r>
      <w:r w:rsidRPr="00283806">
        <w:rPr>
          <w:w w:val="110"/>
        </w:rPr>
        <w:t>in</w:t>
      </w:r>
      <w:r w:rsidRPr="00283806">
        <w:rPr>
          <w:spacing w:val="-5"/>
          <w:w w:val="110"/>
        </w:rPr>
        <w:t xml:space="preserve"> </w:t>
      </w:r>
      <w:r w:rsidRPr="00283806">
        <w:rPr>
          <w:w w:val="110"/>
        </w:rPr>
        <w:t>section</w:t>
      </w:r>
      <w:r w:rsidRPr="00283806">
        <w:rPr>
          <w:spacing w:val="-5"/>
          <w:w w:val="110"/>
        </w:rPr>
        <w:t xml:space="preserve"> </w:t>
      </w:r>
      <w:r w:rsidRPr="00283806">
        <w:rPr>
          <w:w w:val="110"/>
        </w:rPr>
        <w:t xml:space="preserve">302(e) of the CAA. Accordingly, EPA has </w:t>
      </w:r>
      <w:proofErr w:type="gramStart"/>
      <w:r w:rsidRPr="00283806">
        <w:rPr>
          <w:w w:val="110"/>
        </w:rPr>
        <w:t>authority</w:t>
      </w:r>
      <w:proofErr w:type="gramEnd"/>
      <w:r w:rsidRPr="00283806">
        <w:rPr>
          <w:w w:val="110"/>
        </w:rPr>
        <w:t xml:space="preserve"> to enforce the requirements and prohibitions of this rule against facility</w:t>
      </w:r>
      <w:r w:rsidRPr="00283806">
        <w:rPr>
          <w:spacing w:val="-2"/>
          <w:w w:val="110"/>
        </w:rPr>
        <w:t xml:space="preserve"> </w:t>
      </w:r>
      <w:r w:rsidRPr="00283806">
        <w:rPr>
          <w:w w:val="110"/>
        </w:rPr>
        <w:t>owners</w:t>
      </w:r>
      <w:r w:rsidRPr="00283806">
        <w:rPr>
          <w:spacing w:val="-2"/>
          <w:w w:val="110"/>
        </w:rPr>
        <w:t xml:space="preserve"> </w:t>
      </w:r>
      <w:r w:rsidRPr="00283806">
        <w:rPr>
          <w:w w:val="110"/>
        </w:rPr>
        <w:t>or</w:t>
      </w:r>
      <w:r w:rsidRPr="00283806">
        <w:rPr>
          <w:spacing w:val="-2"/>
          <w:w w:val="110"/>
        </w:rPr>
        <w:t xml:space="preserve"> </w:t>
      </w:r>
      <w:r w:rsidRPr="00283806">
        <w:rPr>
          <w:w w:val="110"/>
        </w:rPr>
        <w:t>operators,</w:t>
      </w:r>
      <w:r w:rsidRPr="00283806">
        <w:rPr>
          <w:spacing w:val="-2"/>
          <w:w w:val="110"/>
        </w:rPr>
        <w:t xml:space="preserve"> </w:t>
      </w:r>
      <w:r w:rsidRPr="00283806">
        <w:rPr>
          <w:w w:val="110"/>
        </w:rPr>
        <w:t>consistent with section 113 of the CAA. While, as noted</w:t>
      </w:r>
      <w:r w:rsidRPr="00283806">
        <w:rPr>
          <w:spacing w:val="-11"/>
          <w:w w:val="110"/>
        </w:rPr>
        <w:t xml:space="preserve"> </w:t>
      </w:r>
      <w:r w:rsidRPr="00283806">
        <w:rPr>
          <w:w w:val="110"/>
        </w:rPr>
        <w:t>previously,</w:t>
      </w:r>
      <w:r w:rsidRPr="00283806">
        <w:rPr>
          <w:spacing w:val="-11"/>
          <w:w w:val="110"/>
        </w:rPr>
        <w:t xml:space="preserve"> </w:t>
      </w:r>
      <w:r w:rsidRPr="00283806">
        <w:rPr>
          <w:w w:val="110"/>
        </w:rPr>
        <w:t>this</w:t>
      </w:r>
      <w:r w:rsidRPr="00283806">
        <w:rPr>
          <w:spacing w:val="-11"/>
          <w:w w:val="110"/>
        </w:rPr>
        <w:t xml:space="preserve"> </w:t>
      </w:r>
      <w:r w:rsidRPr="00283806">
        <w:rPr>
          <w:w w:val="110"/>
        </w:rPr>
        <w:t>action</w:t>
      </w:r>
      <w:r w:rsidRPr="00283806">
        <w:rPr>
          <w:spacing w:val="-11"/>
          <w:w w:val="110"/>
        </w:rPr>
        <w:t xml:space="preserve"> </w:t>
      </w:r>
      <w:r w:rsidRPr="00283806">
        <w:rPr>
          <w:w w:val="110"/>
        </w:rPr>
        <w:t>is</w:t>
      </w:r>
      <w:r w:rsidRPr="00283806">
        <w:rPr>
          <w:spacing w:val="-11"/>
          <w:w w:val="110"/>
        </w:rPr>
        <w:t xml:space="preserve"> </w:t>
      </w:r>
      <w:r w:rsidRPr="00283806">
        <w:rPr>
          <w:w w:val="110"/>
        </w:rPr>
        <w:t>separate and distinct from EPA’s rules under CAA section 608, EPA further observes that,</w:t>
      </w:r>
      <w:r w:rsidRPr="00283806">
        <w:rPr>
          <w:spacing w:val="-11"/>
          <w:w w:val="110"/>
        </w:rPr>
        <w:t xml:space="preserve"> </w:t>
      </w:r>
      <w:r w:rsidRPr="00283806">
        <w:rPr>
          <w:w w:val="110"/>
        </w:rPr>
        <w:t>as</w:t>
      </w:r>
      <w:r w:rsidRPr="00283806">
        <w:rPr>
          <w:spacing w:val="-11"/>
          <w:w w:val="110"/>
        </w:rPr>
        <w:t xml:space="preserve"> </w:t>
      </w:r>
      <w:r w:rsidRPr="00283806">
        <w:rPr>
          <w:w w:val="110"/>
        </w:rPr>
        <w:t>described</w:t>
      </w:r>
      <w:r w:rsidRPr="00283806">
        <w:rPr>
          <w:spacing w:val="-11"/>
          <w:w w:val="110"/>
        </w:rPr>
        <w:t xml:space="preserve"> </w:t>
      </w:r>
      <w:r w:rsidRPr="00283806">
        <w:rPr>
          <w:w w:val="110"/>
        </w:rPr>
        <w:t>further</w:t>
      </w:r>
      <w:r w:rsidRPr="00283806">
        <w:rPr>
          <w:spacing w:val="-11"/>
          <w:w w:val="110"/>
        </w:rPr>
        <w:t xml:space="preserve"> </w:t>
      </w:r>
      <w:r w:rsidRPr="00283806">
        <w:rPr>
          <w:w w:val="110"/>
        </w:rPr>
        <w:t>in</w:t>
      </w:r>
      <w:r w:rsidRPr="00283806">
        <w:rPr>
          <w:spacing w:val="-11"/>
          <w:w w:val="110"/>
        </w:rPr>
        <w:t xml:space="preserve"> </w:t>
      </w:r>
      <w:r w:rsidRPr="00283806">
        <w:rPr>
          <w:w w:val="110"/>
        </w:rPr>
        <w:t>section</w:t>
      </w:r>
      <w:r w:rsidRPr="00283806">
        <w:rPr>
          <w:spacing w:val="-11"/>
          <w:w w:val="110"/>
        </w:rPr>
        <w:t xml:space="preserve"> </w:t>
      </w:r>
      <w:r w:rsidRPr="00283806">
        <w:rPr>
          <w:w w:val="110"/>
        </w:rPr>
        <w:t>IV.D above, this approach to applying regulatory</w:t>
      </w:r>
      <w:r w:rsidRPr="00283806">
        <w:rPr>
          <w:spacing w:val="-10"/>
          <w:w w:val="110"/>
        </w:rPr>
        <w:t xml:space="preserve"> </w:t>
      </w:r>
      <w:r w:rsidRPr="00283806">
        <w:rPr>
          <w:w w:val="110"/>
        </w:rPr>
        <w:t>requirements</w:t>
      </w:r>
      <w:r w:rsidRPr="00283806">
        <w:rPr>
          <w:spacing w:val="-10"/>
          <w:w w:val="110"/>
        </w:rPr>
        <w:t xml:space="preserve"> </w:t>
      </w:r>
      <w:r w:rsidRPr="00283806">
        <w:rPr>
          <w:w w:val="110"/>
        </w:rPr>
        <w:t>to</w:t>
      </w:r>
      <w:r w:rsidRPr="00283806">
        <w:rPr>
          <w:spacing w:val="-10"/>
          <w:w w:val="110"/>
        </w:rPr>
        <w:t xml:space="preserve"> </w:t>
      </w:r>
      <w:r w:rsidRPr="00283806">
        <w:rPr>
          <w:w w:val="110"/>
        </w:rPr>
        <w:t>owners</w:t>
      </w:r>
      <w:r w:rsidRPr="00283806">
        <w:rPr>
          <w:spacing w:val="-10"/>
          <w:w w:val="110"/>
        </w:rPr>
        <w:t xml:space="preserve"> </w:t>
      </w:r>
      <w:r w:rsidRPr="00283806">
        <w:rPr>
          <w:w w:val="110"/>
        </w:rPr>
        <w:t>and operators is similar to and consistent with</w:t>
      </w:r>
      <w:r w:rsidRPr="00283806">
        <w:rPr>
          <w:spacing w:val="-11"/>
          <w:w w:val="110"/>
        </w:rPr>
        <w:t xml:space="preserve"> </w:t>
      </w:r>
      <w:r w:rsidRPr="00283806">
        <w:rPr>
          <w:w w:val="110"/>
        </w:rPr>
        <w:t>EPA’s</w:t>
      </w:r>
      <w:r w:rsidRPr="00283806">
        <w:rPr>
          <w:spacing w:val="-11"/>
          <w:w w:val="110"/>
        </w:rPr>
        <w:t xml:space="preserve"> </w:t>
      </w:r>
      <w:r w:rsidRPr="00283806">
        <w:rPr>
          <w:w w:val="110"/>
        </w:rPr>
        <w:t>approach</w:t>
      </w:r>
      <w:r w:rsidRPr="00283806">
        <w:rPr>
          <w:spacing w:val="-11"/>
          <w:w w:val="110"/>
        </w:rPr>
        <w:t xml:space="preserve"> </w:t>
      </w:r>
      <w:r w:rsidRPr="00283806">
        <w:rPr>
          <w:w w:val="110"/>
        </w:rPr>
        <w:t>to</w:t>
      </w:r>
      <w:r w:rsidRPr="00283806">
        <w:rPr>
          <w:spacing w:val="-11"/>
          <w:w w:val="110"/>
        </w:rPr>
        <w:t xml:space="preserve"> </w:t>
      </w:r>
      <w:r w:rsidRPr="00283806">
        <w:rPr>
          <w:w w:val="110"/>
        </w:rPr>
        <w:t>requirements</w:t>
      </w:r>
      <w:r w:rsidRPr="00283806">
        <w:rPr>
          <w:spacing w:val="-11"/>
          <w:w w:val="110"/>
        </w:rPr>
        <w:t xml:space="preserve"> </w:t>
      </w:r>
      <w:r w:rsidRPr="00283806">
        <w:rPr>
          <w:w w:val="110"/>
        </w:rPr>
        <w:t>in analogous</w:t>
      </w:r>
      <w:r w:rsidRPr="00283806">
        <w:rPr>
          <w:spacing w:val="-10"/>
          <w:w w:val="110"/>
        </w:rPr>
        <w:t xml:space="preserve"> </w:t>
      </w:r>
      <w:r w:rsidRPr="00283806">
        <w:rPr>
          <w:w w:val="110"/>
        </w:rPr>
        <w:t>rules</w:t>
      </w:r>
      <w:r w:rsidRPr="00283806">
        <w:rPr>
          <w:spacing w:val="-10"/>
          <w:w w:val="110"/>
        </w:rPr>
        <w:t xml:space="preserve"> </w:t>
      </w:r>
      <w:r w:rsidRPr="00283806">
        <w:rPr>
          <w:w w:val="110"/>
        </w:rPr>
        <w:t>under</w:t>
      </w:r>
      <w:r w:rsidRPr="00283806">
        <w:rPr>
          <w:spacing w:val="-10"/>
          <w:w w:val="110"/>
        </w:rPr>
        <w:t xml:space="preserve"> </w:t>
      </w:r>
      <w:r w:rsidRPr="00283806">
        <w:rPr>
          <w:w w:val="110"/>
        </w:rPr>
        <w:t>CAA</w:t>
      </w:r>
      <w:r w:rsidRPr="00283806">
        <w:rPr>
          <w:spacing w:val="-10"/>
          <w:w w:val="110"/>
        </w:rPr>
        <w:t xml:space="preserve"> </w:t>
      </w:r>
      <w:r w:rsidRPr="00283806">
        <w:rPr>
          <w:w w:val="110"/>
        </w:rPr>
        <w:t>section</w:t>
      </w:r>
      <w:r w:rsidRPr="00283806">
        <w:rPr>
          <w:spacing w:val="-10"/>
          <w:w w:val="110"/>
        </w:rPr>
        <w:t xml:space="preserve"> </w:t>
      </w:r>
      <w:r w:rsidRPr="00283806">
        <w:rPr>
          <w:w w:val="110"/>
        </w:rPr>
        <w:t>608, which also include requirements that apply to owners and operators.</w:t>
      </w:r>
    </w:p>
    <w:p w14:paraId="51C20885" w14:textId="77777777" w:rsidR="00D67C1E" w:rsidRPr="00283806" w:rsidRDefault="001265CA">
      <w:pPr>
        <w:pStyle w:val="BodyText"/>
        <w:spacing w:before="15" w:line="228" w:lineRule="auto"/>
        <w:ind w:left="144" w:firstLine="180"/>
      </w:pPr>
      <w:r w:rsidRPr="00283806">
        <w:rPr>
          <w:w w:val="105"/>
        </w:rPr>
        <w:t>EPA also disagrees with commenters’ assertion that EPA does not have authority under subsection (h) of the</w:t>
      </w:r>
      <w:r w:rsidRPr="00283806">
        <w:rPr>
          <w:spacing w:val="40"/>
          <w:w w:val="105"/>
        </w:rPr>
        <w:t xml:space="preserve"> </w:t>
      </w:r>
      <w:r w:rsidRPr="00283806">
        <w:rPr>
          <w:w w:val="105"/>
        </w:rPr>
        <w:t>AIM Act to regulate activities during normal operations. Such restrictions could limit EPA’s ability to ensure that</w:t>
      </w:r>
      <w:r w:rsidRPr="00283806">
        <w:rPr>
          <w:spacing w:val="40"/>
          <w:w w:val="105"/>
        </w:rPr>
        <w:t xml:space="preserve"> </w:t>
      </w:r>
      <w:r w:rsidRPr="00283806">
        <w:rPr>
          <w:w w:val="105"/>
        </w:rPr>
        <w:t>the regulations under subsection (h) achieve the stated purposes in the</w:t>
      </w:r>
      <w:r w:rsidRPr="00283806">
        <w:rPr>
          <w:spacing w:val="40"/>
          <w:w w:val="105"/>
        </w:rPr>
        <w:t xml:space="preserve"> </w:t>
      </w:r>
      <w:r w:rsidRPr="00283806">
        <w:rPr>
          <w:w w:val="105"/>
        </w:rPr>
        <w:t xml:space="preserve">statute because activities that occur during normal operations will affect efforts to maximize reclamation, minimize releases from equipment and ensure the safety of technicians and consumers. Further, the statutory phrase for what EPA regulations under (h)(1) may control—‘‘any process, practice or activity </w:t>
      </w:r>
      <w:r w:rsidRPr="00283806">
        <w:rPr>
          <w:rFonts w:ascii="Book Antiqua" w:hAnsi="Book Antiqua"/>
          <w:i/>
          <w:w w:val="105"/>
        </w:rPr>
        <w:t xml:space="preserve">regarding </w:t>
      </w:r>
      <w:r w:rsidRPr="00283806">
        <w:rPr>
          <w:w w:val="105"/>
        </w:rPr>
        <w:t>servicing, repair,</w:t>
      </w:r>
    </w:p>
    <w:p w14:paraId="1BCDC0B8" w14:textId="77777777" w:rsidR="00D67C1E" w:rsidRPr="00283806" w:rsidRDefault="001265CA">
      <w:pPr>
        <w:pStyle w:val="BodyText"/>
        <w:spacing w:before="131" w:line="228" w:lineRule="auto"/>
        <w:ind w:left="153" w:right="180"/>
      </w:pPr>
      <w:r w:rsidRPr="00283806">
        <w:br w:type="column"/>
      </w:r>
      <w:r w:rsidRPr="00283806">
        <w:rPr>
          <w:w w:val="110"/>
        </w:rPr>
        <w:t xml:space="preserve">disposal, or installation of equipment’’ (emphasis added)—indicates that Congress did not limit EPA to only regulate processes, practices, or activities </w:t>
      </w:r>
      <w:r w:rsidRPr="00283806">
        <w:rPr>
          <w:rFonts w:ascii="Book Antiqua" w:hAnsi="Book Antiqua"/>
          <w:i/>
          <w:w w:val="110"/>
        </w:rPr>
        <w:t xml:space="preserve">during </w:t>
      </w:r>
      <w:r w:rsidRPr="00283806">
        <w:rPr>
          <w:w w:val="110"/>
        </w:rPr>
        <w:t>servicing, repair, disposal, or installation of equipment. Indeed, the authority to regulate to ‘‘control .</w:t>
      </w:r>
      <w:r w:rsidRPr="00283806">
        <w:rPr>
          <w:spacing w:val="40"/>
          <w:w w:val="110"/>
        </w:rPr>
        <w:t xml:space="preserve"> </w:t>
      </w:r>
      <w:r w:rsidRPr="00283806">
        <w:rPr>
          <w:w w:val="110"/>
        </w:rPr>
        <w:t>.</w:t>
      </w:r>
      <w:r w:rsidRPr="00283806">
        <w:rPr>
          <w:spacing w:val="40"/>
          <w:w w:val="110"/>
        </w:rPr>
        <w:t xml:space="preserve"> </w:t>
      </w:r>
      <w:r w:rsidRPr="00283806">
        <w:rPr>
          <w:w w:val="110"/>
        </w:rPr>
        <w:t xml:space="preserve">. activities regarding </w:t>
      </w:r>
      <w:r w:rsidRPr="00283806">
        <w:t>servicing [or] repair’’ includes authority</w:t>
      </w:r>
      <w:r w:rsidRPr="00283806">
        <w:rPr>
          <w:spacing w:val="80"/>
          <w:w w:val="110"/>
        </w:rPr>
        <w:t xml:space="preserve"> </w:t>
      </w:r>
      <w:r w:rsidRPr="00283806">
        <w:rPr>
          <w:w w:val="110"/>
        </w:rPr>
        <w:t>to require that servicing or repair be done, including to address refrigerant losses that occur during normal operation of equipment. Further EPA notes that it considers servicing to include</w:t>
      </w:r>
      <w:r w:rsidRPr="00283806">
        <w:rPr>
          <w:spacing w:val="-5"/>
          <w:w w:val="110"/>
        </w:rPr>
        <w:t xml:space="preserve"> </w:t>
      </w:r>
      <w:r w:rsidRPr="00283806">
        <w:rPr>
          <w:w w:val="110"/>
        </w:rPr>
        <w:t>a</w:t>
      </w:r>
      <w:r w:rsidRPr="00283806">
        <w:rPr>
          <w:spacing w:val="-5"/>
          <w:w w:val="110"/>
        </w:rPr>
        <w:t xml:space="preserve"> </w:t>
      </w:r>
      <w:r w:rsidRPr="00283806">
        <w:rPr>
          <w:w w:val="110"/>
        </w:rPr>
        <w:t>range</w:t>
      </w:r>
      <w:r w:rsidRPr="00283806">
        <w:rPr>
          <w:spacing w:val="-5"/>
          <w:w w:val="110"/>
        </w:rPr>
        <w:t xml:space="preserve"> </w:t>
      </w:r>
      <w:r w:rsidRPr="00283806">
        <w:rPr>
          <w:w w:val="110"/>
        </w:rPr>
        <w:t>of</w:t>
      </w:r>
      <w:r w:rsidRPr="00283806">
        <w:rPr>
          <w:spacing w:val="-5"/>
          <w:w w:val="110"/>
        </w:rPr>
        <w:t xml:space="preserve"> </w:t>
      </w:r>
      <w:r w:rsidRPr="00283806">
        <w:rPr>
          <w:w w:val="110"/>
        </w:rPr>
        <w:t>activities</w:t>
      </w:r>
      <w:r w:rsidRPr="00283806">
        <w:rPr>
          <w:spacing w:val="-5"/>
          <w:w w:val="110"/>
        </w:rPr>
        <w:t xml:space="preserve"> </w:t>
      </w:r>
      <w:r w:rsidRPr="00283806">
        <w:rPr>
          <w:w w:val="110"/>
        </w:rPr>
        <w:t>involved</w:t>
      </w:r>
      <w:r w:rsidRPr="00283806">
        <w:rPr>
          <w:spacing w:val="-5"/>
          <w:w w:val="110"/>
        </w:rPr>
        <w:t xml:space="preserve"> </w:t>
      </w:r>
      <w:r w:rsidRPr="00283806">
        <w:rPr>
          <w:w w:val="110"/>
        </w:rPr>
        <w:t xml:space="preserve">in keeping equipment in the normal </w:t>
      </w:r>
      <w:r w:rsidRPr="00283806">
        <w:t>working order, as some form of ongoing</w:t>
      </w:r>
      <w:r w:rsidRPr="00283806">
        <w:rPr>
          <w:w w:val="110"/>
        </w:rPr>
        <w:t xml:space="preserve"> and routine servicing is necessary for </w:t>
      </w:r>
      <w:proofErr w:type="gramStart"/>
      <w:r w:rsidRPr="00283806">
        <w:rPr>
          <w:w w:val="110"/>
        </w:rPr>
        <w:t>proper</w:t>
      </w:r>
      <w:proofErr w:type="gramEnd"/>
      <w:r w:rsidRPr="00283806">
        <w:rPr>
          <w:w w:val="110"/>
        </w:rPr>
        <w:t xml:space="preserve"> functioning of equipment.</w:t>
      </w:r>
    </w:p>
    <w:p w14:paraId="3F67039F" w14:textId="77777777" w:rsidR="00D67C1E" w:rsidRPr="00283806" w:rsidRDefault="001265CA">
      <w:pPr>
        <w:pStyle w:val="BodyText"/>
        <w:spacing w:before="79" w:line="230" w:lineRule="auto"/>
        <w:ind w:left="153" w:right="501" w:firstLine="180"/>
        <w:jc w:val="both"/>
      </w:pPr>
      <w:r w:rsidRPr="00283806">
        <w:rPr>
          <w:w w:val="105"/>
        </w:rPr>
        <w:t>EPA responds to other comments regarding leak repair in section IV.C above and regarding the use of ALD systems in section IV.D.1 above.</w:t>
      </w:r>
    </w:p>
    <w:p w14:paraId="6E02CE1D" w14:textId="77777777" w:rsidR="00D67C1E" w:rsidRPr="00283806" w:rsidRDefault="001265CA">
      <w:pPr>
        <w:pStyle w:val="BodyText"/>
        <w:spacing w:before="61" w:line="228" w:lineRule="auto"/>
        <w:ind w:left="153" w:right="127" w:firstLine="180"/>
      </w:pPr>
      <w:r w:rsidRPr="00283806">
        <w:rPr>
          <w:rFonts w:ascii="Book Antiqua" w:hAnsi="Book Antiqua"/>
          <w:i/>
          <w:spacing w:val="-2"/>
          <w:w w:val="110"/>
        </w:rPr>
        <w:t>Comment:</w:t>
      </w:r>
      <w:r w:rsidRPr="00283806">
        <w:rPr>
          <w:rFonts w:ascii="Book Antiqua" w:hAnsi="Book Antiqua"/>
          <w:i/>
          <w:spacing w:val="-11"/>
          <w:w w:val="110"/>
        </w:rPr>
        <w:t xml:space="preserve"> </w:t>
      </w:r>
      <w:r w:rsidRPr="00283806">
        <w:rPr>
          <w:spacing w:val="-2"/>
          <w:w w:val="110"/>
        </w:rPr>
        <w:t>One</w:t>
      </w:r>
      <w:r w:rsidRPr="00283806">
        <w:rPr>
          <w:spacing w:val="-5"/>
          <w:w w:val="110"/>
        </w:rPr>
        <w:t xml:space="preserve"> </w:t>
      </w:r>
      <w:r w:rsidRPr="00283806">
        <w:rPr>
          <w:spacing w:val="-2"/>
          <w:w w:val="110"/>
        </w:rPr>
        <w:t>commenter</w:t>
      </w:r>
      <w:r w:rsidRPr="00283806">
        <w:rPr>
          <w:spacing w:val="-6"/>
          <w:w w:val="110"/>
        </w:rPr>
        <w:t xml:space="preserve"> </w:t>
      </w:r>
      <w:r w:rsidRPr="00283806">
        <w:rPr>
          <w:spacing w:val="-2"/>
          <w:w w:val="110"/>
        </w:rPr>
        <w:t xml:space="preserve">questioned </w:t>
      </w:r>
      <w:r w:rsidRPr="00283806">
        <w:rPr>
          <w:w w:val="110"/>
        </w:rPr>
        <w:t>EPA’s authority to regulate sources on the</w:t>
      </w:r>
      <w:r w:rsidRPr="00283806">
        <w:rPr>
          <w:spacing w:val="-5"/>
          <w:w w:val="110"/>
        </w:rPr>
        <w:t xml:space="preserve"> </w:t>
      </w:r>
      <w:r w:rsidRPr="00283806">
        <w:rPr>
          <w:w w:val="110"/>
        </w:rPr>
        <w:t>Outer</w:t>
      </w:r>
      <w:r w:rsidRPr="00283806">
        <w:rPr>
          <w:spacing w:val="-5"/>
          <w:w w:val="110"/>
        </w:rPr>
        <w:t xml:space="preserve"> </w:t>
      </w:r>
      <w:r w:rsidRPr="00283806">
        <w:rPr>
          <w:w w:val="110"/>
        </w:rPr>
        <w:t>Continental</w:t>
      </w:r>
      <w:r w:rsidRPr="00283806">
        <w:rPr>
          <w:spacing w:val="-5"/>
          <w:w w:val="110"/>
        </w:rPr>
        <w:t xml:space="preserve"> </w:t>
      </w:r>
      <w:r w:rsidRPr="00283806">
        <w:rPr>
          <w:w w:val="110"/>
        </w:rPr>
        <w:t>Shelf</w:t>
      </w:r>
      <w:r w:rsidRPr="00283806">
        <w:rPr>
          <w:spacing w:val="-5"/>
          <w:w w:val="110"/>
        </w:rPr>
        <w:t xml:space="preserve"> </w:t>
      </w:r>
      <w:r w:rsidRPr="00283806">
        <w:rPr>
          <w:w w:val="110"/>
        </w:rPr>
        <w:t>(OCS)</w:t>
      </w:r>
      <w:r w:rsidRPr="00283806">
        <w:rPr>
          <w:spacing w:val="-5"/>
          <w:w w:val="110"/>
        </w:rPr>
        <w:t xml:space="preserve"> </w:t>
      </w:r>
      <w:r w:rsidRPr="00283806">
        <w:rPr>
          <w:w w:val="110"/>
        </w:rPr>
        <w:t>in</w:t>
      </w:r>
      <w:r w:rsidRPr="00283806">
        <w:rPr>
          <w:spacing w:val="-5"/>
          <w:w w:val="110"/>
        </w:rPr>
        <w:t xml:space="preserve"> </w:t>
      </w:r>
      <w:r w:rsidRPr="00283806">
        <w:rPr>
          <w:w w:val="110"/>
        </w:rPr>
        <w:t xml:space="preserve">the western and central Gulf of Mexico pursuant to 40 CFR part 84, and asked EPA to confirm that OCS sources in those two areas are excluded from the </w:t>
      </w:r>
      <w:r w:rsidRPr="00283806">
        <w:rPr>
          <w:spacing w:val="-2"/>
          <w:w w:val="110"/>
        </w:rPr>
        <w:t>applicability</w:t>
      </w:r>
      <w:r w:rsidRPr="00283806">
        <w:rPr>
          <w:spacing w:val="-8"/>
          <w:w w:val="110"/>
        </w:rPr>
        <w:t xml:space="preserve"> </w:t>
      </w:r>
      <w:r w:rsidRPr="00283806">
        <w:rPr>
          <w:spacing w:val="-2"/>
          <w:w w:val="110"/>
        </w:rPr>
        <w:t>of</w:t>
      </w:r>
      <w:r w:rsidRPr="00283806">
        <w:rPr>
          <w:spacing w:val="-8"/>
          <w:w w:val="110"/>
        </w:rPr>
        <w:t xml:space="preserve"> </w:t>
      </w:r>
      <w:r w:rsidRPr="00283806">
        <w:rPr>
          <w:spacing w:val="-2"/>
          <w:w w:val="110"/>
        </w:rPr>
        <w:t>the</w:t>
      </w:r>
      <w:r w:rsidRPr="00283806">
        <w:rPr>
          <w:spacing w:val="-8"/>
          <w:w w:val="110"/>
        </w:rPr>
        <w:t xml:space="preserve"> </w:t>
      </w:r>
      <w:r w:rsidRPr="00283806">
        <w:rPr>
          <w:spacing w:val="-2"/>
          <w:w w:val="110"/>
        </w:rPr>
        <w:t>proposed</w:t>
      </w:r>
      <w:r w:rsidRPr="00283806">
        <w:rPr>
          <w:spacing w:val="-8"/>
          <w:w w:val="110"/>
        </w:rPr>
        <w:t xml:space="preserve"> </w:t>
      </w:r>
      <w:r w:rsidRPr="00283806">
        <w:rPr>
          <w:spacing w:val="-2"/>
          <w:w w:val="110"/>
        </w:rPr>
        <w:t xml:space="preserve">regulations </w:t>
      </w:r>
      <w:r w:rsidRPr="00283806">
        <w:rPr>
          <w:w w:val="110"/>
        </w:rPr>
        <w:t xml:space="preserve">in 40 CFR part 84. The commenter </w:t>
      </w:r>
      <w:r w:rsidRPr="00283806">
        <w:t>stated that 40 CFR part 55 delineates the</w:t>
      </w:r>
      <w:r w:rsidRPr="00283806">
        <w:rPr>
          <w:w w:val="110"/>
        </w:rPr>
        <w:t xml:space="preserve"> EPA’s air programs applicable to the OCS and that under 40 CFR 55.3(a) the scope of this part extends to all OCS sources except </w:t>
      </w:r>
      <w:proofErr w:type="gramStart"/>
      <w:r w:rsidRPr="00283806">
        <w:rPr>
          <w:w w:val="110"/>
        </w:rPr>
        <w:t>those west of 87.5 degrees</w:t>
      </w:r>
      <w:r w:rsidRPr="00283806">
        <w:rPr>
          <w:spacing w:val="-1"/>
          <w:w w:val="110"/>
        </w:rPr>
        <w:t xml:space="preserve"> </w:t>
      </w:r>
      <w:r w:rsidRPr="00283806">
        <w:rPr>
          <w:w w:val="110"/>
        </w:rPr>
        <w:t>longitude</w:t>
      </w:r>
      <w:proofErr w:type="gramEnd"/>
      <w:r w:rsidRPr="00283806">
        <w:rPr>
          <w:w w:val="110"/>
        </w:rPr>
        <w:t>.</w:t>
      </w:r>
      <w:r w:rsidRPr="00283806">
        <w:rPr>
          <w:spacing w:val="-1"/>
          <w:w w:val="110"/>
        </w:rPr>
        <w:t xml:space="preserve"> </w:t>
      </w:r>
      <w:r w:rsidRPr="00283806">
        <w:rPr>
          <w:w w:val="110"/>
        </w:rPr>
        <w:t>The</w:t>
      </w:r>
      <w:r w:rsidRPr="00283806">
        <w:rPr>
          <w:spacing w:val="-1"/>
          <w:w w:val="110"/>
        </w:rPr>
        <w:t xml:space="preserve"> </w:t>
      </w:r>
      <w:r w:rsidRPr="00283806">
        <w:rPr>
          <w:w w:val="110"/>
        </w:rPr>
        <w:t>commenter</w:t>
      </w:r>
      <w:r w:rsidRPr="00283806">
        <w:rPr>
          <w:spacing w:val="-1"/>
          <w:w w:val="110"/>
        </w:rPr>
        <w:t xml:space="preserve"> </w:t>
      </w:r>
      <w:r w:rsidRPr="00283806">
        <w:rPr>
          <w:w w:val="110"/>
        </w:rPr>
        <w:t>also claimed that under the Outer Continental Shelf Lands Act (OCSLA)</w:t>
      </w:r>
      <w:r w:rsidRPr="00283806">
        <w:rPr>
          <w:spacing w:val="40"/>
          <w:w w:val="110"/>
        </w:rPr>
        <w:t xml:space="preserve"> </w:t>
      </w:r>
      <w:r w:rsidRPr="00283806">
        <w:rPr>
          <w:spacing w:val="-2"/>
          <w:w w:val="110"/>
        </w:rPr>
        <w:t>the</w:t>
      </w:r>
      <w:r w:rsidRPr="00283806">
        <w:rPr>
          <w:spacing w:val="-6"/>
          <w:w w:val="110"/>
        </w:rPr>
        <w:t xml:space="preserve"> </w:t>
      </w:r>
      <w:r w:rsidRPr="00283806">
        <w:rPr>
          <w:spacing w:val="-2"/>
          <w:w w:val="110"/>
        </w:rPr>
        <w:t>Department</w:t>
      </w:r>
      <w:r w:rsidRPr="00283806">
        <w:rPr>
          <w:spacing w:val="-6"/>
          <w:w w:val="110"/>
        </w:rPr>
        <w:t xml:space="preserve"> </w:t>
      </w:r>
      <w:r w:rsidRPr="00283806">
        <w:rPr>
          <w:spacing w:val="-2"/>
          <w:w w:val="110"/>
        </w:rPr>
        <w:t>of</w:t>
      </w:r>
      <w:r w:rsidRPr="00283806">
        <w:rPr>
          <w:spacing w:val="-6"/>
          <w:w w:val="110"/>
        </w:rPr>
        <w:t xml:space="preserve"> </w:t>
      </w:r>
      <w:r w:rsidRPr="00283806">
        <w:rPr>
          <w:spacing w:val="-2"/>
          <w:w w:val="110"/>
        </w:rPr>
        <w:t>the</w:t>
      </w:r>
      <w:r w:rsidRPr="00283806">
        <w:rPr>
          <w:spacing w:val="-6"/>
          <w:w w:val="110"/>
        </w:rPr>
        <w:t xml:space="preserve"> </w:t>
      </w:r>
      <w:r w:rsidRPr="00283806">
        <w:rPr>
          <w:spacing w:val="-2"/>
          <w:w w:val="110"/>
        </w:rPr>
        <w:t>Interior</w:t>
      </w:r>
      <w:r w:rsidRPr="00283806">
        <w:rPr>
          <w:spacing w:val="-6"/>
          <w:w w:val="110"/>
        </w:rPr>
        <w:t xml:space="preserve"> </w:t>
      </w:r>
      <w:r w:rsidRPr="00283806">
        <w:rPr>
          <w:spacing w:val="-2"/>
          <w:w w:val="110"/>
        </w:rPr>
        <w:t>(DOI)</w:t>
      </w:r>
      <w:r w:rsidRPr="00283806">
        <w:rPr>
          <w:spacing w:val="-6"/>
          <w:w w:val="110"/>
        </w:rPr>
        <w:t xml:space="preserve"> </w:t>
      </w:r>
      <w:r w:rsidRPr="00283806">
        <w:rPr>
          <w:spacing w:val="-2"/>
          <w:w w:val="110"/>
        </w:rPr>
        <w:t xml:space="preserve">has </w:t>
      </w:r>
      <w:r w:rsidRPr="00283806">
        <w:rPr>
          <w:w w:val="110"/>
        </w:rPr>
        <w:t>the authority to administer programs and rules relating to the OCS, including those</w:t>
      </w:r>
      <w:r w:rsidRPr="00283806">
        <w:rPr>
          <w:spacing w:val="-11"/>
          <w:w w:val="110"/>
        </w:rPr>
        <w:t xml:space="preserve"> </w:t>
      </w:r>
      <w:r w:rsidRPr="00283806">
        <w:rPr>
          <w:w w:val="110"/>
        </w:rPr>
        <w:t>related</w:t>
      </w:r>
      <w:r w:rsidRPr="00283806">
        <w:rPr>
          <w:spacing w:val="-11"/>
          <w:w w:val="110"/>
        </w:rPr>
        <w:t xml:space="preserve"> </w:t>
      </w:r>
      <w:r w:rsidRPr="00283806">
        <w:rPr>
          <w:w w:val="110"/>
        </w:rPr>
        <w:t>to</w:t>
      </w:r>
      <w:r w:rsidRPr="00283806">
        <w:rPr>
          <w:spacing w:val="-11"/>
          <w:w w:val="110"/>
        </w:rPr>
        <w:t xml:space="preserve"> </w:t>
      </w:r>
      <w:r w:rsidRPr="00283806">
        <w:rPr>
          <w:w w:val="110"/>
        </w:rPr>
        <w:t>air</w:t>
      </w:r>
      <w:r w:rsidRPr="00283806">
        <w:rPr>
          <w:spacing w:val="-11"/>
          <w:w w:val="110"/>
        </w:rPr>
        <w:t xml:space="preserve"> </w:t>
      </w:r>
      <w:r w:rsidRPr="00283806">
        <w:rPr>
          <w:w w:val="110"/>
        </w:rPr>
        <w:t>quality,</w:t>
      </w:r>
      <w:r w:rsidRPr="00283806">
        <w:rPr>
          <w:spacing w:val="-11"/>
          <w:w w:val="110"/>
        </w:rPr>
        <w:t xml:space="preserve"> </w:t>
      </w:r>
      <w:r w:rsidRPr="00283806">
        <w:rPr>
          <w:w w:val="110"/>
        </w:rPr>
        <w:t>and</w:t>
      </w:r>
      <w:r w:rsidRPr="00283806">
        <w:rPr>
          <w:spacing w:val="-11"/>
          <w:w w:val="110"/>
        </w:rPr>
        <w:t xml:space="preserve"> </w:t>
      </w:r>
      <w:r w:rsidRPr="00283806">
        <w:rPr>
          <w:w w:val="110"/>
        </w:rPr>
        <w:t xml:space="preserve">asserted that that authority is not shared with EPA, citing </w:t>
      </w:r>
      <w:r w:rsidRPr="00283806">
        <w:rPr>
          <w:rFonts w:ascii="Book Antiqua" w:hAnsi="Book Antiqua"/>
          <w:i/>
          <w:w w:val="110"/>
        </w:rPr>
        <w:t xml:space="preserve">California </w:t>
      </w:r>
      <w:r w:rsidRPr="00283806">
        <w:rPr>
          <w:w w:val="110"/>
        </w:rPr>
        <w:t xml:space="preserve">v. </w:t>
      </w:r>
      <w:r w:rsidRPr="00283806">
        <w:rPr>
          <w:rFonts w:ascii="Book Antiqua" w:hAnsi="Book Antiqua"/>
          <w:i/>
          <w:w w:val="110"/>
        </w:rPr>
        <w:t xml:space="preserve">Kleppe, </w:t>
      </w:r>
      <w:r w:rsidRPr="00283806">
        <w:rPr>
          <w:w w:val="110"/>
        </w:rPr>
        <w:t>604</w:t>
      </w:r>
      <w:r w:rsidRPr="00283806">
        <w:rPr>
          <w:spacing w:val="40"/>
          <w:w w:val="110"/>
        </w:rPr>
        <w:t xml:space="preserve"> </w:t>
      </w:r>
      <w:r w:rsidRPr="00283806">
        <w:rPr>
          <w:w w:val="110"/>
        </w:rPr>
        <w:t>F.2d 1187, 1193 (9th Cir. 1979). The</w:t>
      </w:r>
    </w:p>
    <w:p w14:paraId="7CAA2930" w14:textId="77777777" w:rsidR="00D67C1E" w:rsidRPr="00283806" w:rsidRDefault="001265CA">
      <w:pPr>
        <w:pStyle w:val="BodyText"/>
        <w:spacing w:line="228" w:lineRule="auto"/>
        <w:ind w:left="153" w:right="128"/>
      </w:pPr>
      <w:r w:rsidRPr="00283806">
        <w:rPr>
          <w:w w:val="110"/>
        </w:rPr>
        <w:t xml:space="preserve">commenter further stated that section 328 of the CAA sets EPA’s regulatory authority in the OCS, limiting that </w:t>
      </w:r>
      <w:r w:rsidRPr="00283806">
        <w:rPr>
          <w:spacing w:val="-2"/>
          <w:w w:val="110"/>
        </w:rPr>
        <w:t>authority</w:t>
      </w:r>
      <w:r w:rsidRPr="00283806">
        <w:rPr>
          <w:spacing w:val="-6"/>
          <w:w w:val="110"/>
        </w:rPr>
        <w:t xml:space="preserve"> </w:t>
      </w:r>
      <w:r w:rsidRPr="00283806">
        <w:rPr>
          <w:spacing w:val="-2"/>
          <w:w w:val="110"/>
        </w:rPr>
        <w:t>to</w:t>
      </w:r>
      <w:r w:rsidRPr="00283806">
        <w:rPr>
          <w:spacing w:val="-6"/>
          <w:w w:val="110"/>
        </w:rPr>
        <w:t xml:space="preserve"> </w:t>
      </w:r>
      <w:r w:rsidRPr="00283806">
        <w:rPr>
          <w:spacing w:val="-2"/>
          <w:w w:val="110"/>
        </w:rPr>
        <w:t>sources</w:t>
      </w:r>
      <w:r w:rsidRPr="00283806">
        <w:rPr>
          <w:spacing w:val="-6"/>
          <w:w w:val="110"/>
        </w:rPr>
        <w:t xml:space="preserve"> </w:t>
      </w:r>
      <w:r w:rsidRPr="00283806">
        <w:rPr>
          <w:spacing w:val="-2"/>
          <w:w w:val="110"/>
        </w:rPr>
        <w:t>east</w:t>
      </w:r>
      <w:r w:rsidRPr="00283806">
        <w:rPr>
          <w:spacing w:val="-6"/>
          <w:w w:val="110"/>
        </w:rPr>
        <w:t xml:space="preserve"> </w:t>
      </w:r>
      <w:r w:rsidRPr="00283806">
        <w:rPr>
          <w:spacing w:val="-2"/>
          <w:w w:val="110"/>
        </w:rPr>
        <w:t>of</w:t>
      </w:r>
      <w:r w:rsidRPr="00283806">
        <w:rPr>
          <w:spacing w:val="-6"/>
          <w:w w:val="110"/>
        </w:rPr>
        <w:t xml:space="preserve"> </w:t>
      </w:r>
      <w:r w:rsidRPr="00283806">
        <w:rPr>
          <w:spacing w:val="-2"/>
          <w:w w:val="110"/>
        </w:rPr>
        <w:t>longitude</w:t>
      </w:r>
      <w:r w:rsidRPr="00283806">
        <w:rPr>
          <w:spacing w:val="-6"/>
          <w:w w:val="110"/>
        </w:rPr>
        <w:t xml:space="preserve"> </w:t>
      </w:r>
      <w:r w:rsidRPr="00283806">
        <w:rPr>
          <w:spacing w:val="-2"/>
          <w:w w:val="110"/>
        </w:rPr>
        <w:t xml:space="preserve">87 </w:t>
      </w:r>
      <w:r w:rsidRPr="00283806">
        <w:rPr>
          <w:w w:val="110"/>
        </w:rPr>
        <w:t>degrees 30 minutes. The commenter stated</w:t>
      </w:r>
      <w:r w:rsidRPr="00283806">
        <w:rPr>
          <w:spacing w:val="-9"/>
          <w:w w:val="110"/>
        </w:rPr>
        <w:t xml:space="preserve"> </w:t>
      </w:r>
      <w:r w:rsidRPr="00283806">
        <w:rPr>
          <w:w w:val="110"/>
        </w:rPr>
        <w:t>that</w:t>
      </w:r>
      <w:r w:rsidRPr="00283806">
        <w:rPr>
          <w:spacing w:val="-9"/>
          <w:w w:val="110"/>
        </w:rPr>
        <w:t xml:space="preserve"> </w:t>
      </w:r>
      <w:r w:rsidRPr="00283806">
        <w:rPr>
          <w:w w:val="110"/>
        </w:rPr>
        <w:t>the</w:t>
      </w:r>
      <w:r w:rsidRPr="00283806">
        <w:rPr>
          <w:spacing w:val="-9"/>
          <w:w w:val="110"/>
        </w:rPr>
        <w:t xml:space="preserve"> </w:t>
      </w:r>
      <w:r w:rsidRPr="00283806">
        <w:rPr>
          <w:w w:val="110"/>
        </w:rPr>
        <w:t>intent</w:t>
      </w:r>
      <w:r w:rsidRPr="00283806">
        <w:rPr>
          <w:spacing w:val="-9"/>
          <w:w w:val="110"/>
        </w:rPr>
        <w:t xml:space="preserve"> </w:t>
      </w:r>
      <w:r w:rsidRPr="00283806">
        <w:rPr>
          <w:w w:val="110"/>
        </w:rPr>
        <w:t>of</w:t>
      </w:r>
      <w:r w:rsidRPr="00283806">
        <w:rPr>
          <w:spacing w:val="-9"/>
          <w:w w:val="110"/>
        </w:rPr>
        <w:t xml:space="preserve"> </w:t>
      </w:r>
      <w:r w:rsidRPr="00283806">
        <w:rPr>
          <w:w w:val="110"/>
        </w:rPr>
        <w:t>the</w:t>
      </w:r>
      <w:r w:rsidRPr="00283806">
        <w:rPr>
          <w:spacing w:val="-9"/>
          <w:w w:val="110"/>
        </w:rPr>
        <w:t xml:space="preserve"> </w:t>
      </w:r>
      <w:r w:rsidRPr="00283806">
        <w:rPr>
          <w:w w:val="110"/>
        </w:rPr>
        <w:t>AIM</w:t>
      </w:r>
      <w:r w:rsidRPr="00283806">
        <w:rPr>
          <w:spacing w:val="-9"/>
          <w:w w:val="110"/>
        </w:rPr>
        <w:t xml:space="preserve"> </w:t>
      </w:r>
      <w:r w:rsidRPr="00283806">
        <w:rPr>
          <w:w w:val="110"/>
        </w:rPr>
        <w:t>Act</w:t>
      </w:r>
      <w:r w:rsidRPr="00283806">
        <w:rPr>
          <w:spacing w:val="-9"/>
          <w:w w:val="110"/>
        </w:rPr>
        <w:t xml:space="preserve"> </w:t>
      </w:r>
      <w:r w:rsidRPr="00283806">
        <w:rPr>
          <w:w w:val="110"/>
        </w:rPr>
        <w:t xml:space="preserve">and the proposed rule were to regulate air quality and emissions related to HFCs and concluded that there is </w:t>
      </w:r>
      <w:proofErr w:type="gramStart"/>
      <w:r w:rsidRPr="00283806">
        <w:rPr>
          <w:w w:val="110"/>
        </w:rPr>
        <w:t>overlap</w:t>
      </w:r>
      <w:proofErr w:type="gramEnd"/>
      <w:r w:rsidRPr="00283806">
        <w:rPr>
          <w:w w:val="110"/>
        </w:rPr>
        <w:t xml:space="preserve"> between</w:t>
      </w:r>
      <w:r w:rsidRPr="00283806">
        <w:rPr>
          <w:spacing w:val="-9"/>
          <w:w w:val="110"/>
        </w:rPr>
        <w:t xml:space="preserve"> </w:t>
      </w:r>
      <w:r w:rsidRPr="00283806">
        <w:rPr>
          <w:w w:val="110"/>
        </w:rPr>
        <w:t>EPA’s</w:t>
      </w:r>
      <w:r w:rsidRPr="00283806">
        <w:rPr>
          <w:spacing w:val="-9"/>
          <w:w w:val="110"/>
        </w:rPr>
        <w:t xml:space="preserve"> </w:t>
      </w:r>
      <w:r w:rsidRPr="00283806">
        <w:rPr>
          <w:w w:val="110"/>
        </w:rPr>
        <w:t>authority</w:t>
      </w:r>
      <w:r w:rsidRPr="00283806">
        <w:rPr>
          <w:spacing w:val="-9"/>
          <w:w w:val="110"/>
        </w:rPr>
        <w:t xml:space="preserve"> </w:t>
      </w:r>
      <w:r w:rsidRPr="00283806">
        <w:rPr>
          <w:w w:val="110"/>
        </w:rPr>
        <w:t>under</w:t>
      </w:r>
      <w:r w:rsidRPr="00283806">
        <w:rPr>
          <w:spacing w:val="-9"/>
          <w:w w:val="110"/>
        </w:rPr>
        <w:t xml:space="preserve"> </w:t>
      </w:r>
      <w:r w:rsidRPr="00283806">
        <w:rPr>
          <w:w w:val="110"/>
        </w:rPr>
        <w:t>the</w:t>
      </w:r>
      <w:r w:rsidRPr="00283806">
        <w:rPr>
          <w:spacing w:val="-9"/>
          <w:w w:val="110"/>
        </w:rPr>
        <w:t xml:space="preserve"> </w:t>
      </w:r>
      <w:r w:rsidRPr="00283806">
        <w:rPr>
          <w:w w:val="110"/>
        </w:rPr>
        <w:t xml:space="preserve">AIM Act and the DOI’s authority. The commenter stated that EPA’s proposed </w:t>
      </w:r>
      <w:r w:rsidRPr="00283806">
        <w:t>regulations to track, record, and provide</w:t>
      </w:r>
      <w:r w:rsidRPr="00283806">
        <w:rPr>
          <w:spacing w:val="40"/>
          <w:w w:val="110"/>
        </w:rPr>
        <w:t xml:space="preserve"> </w:t>
      </w:r>
      <w:r w:rsidRPr="00283806">
        <w:rPr>
          <w:w w:val="110"/>
        </w:rPr>
        <w:t>information regarding the sale and distribution of HFCs are ‘‘</w:t>
      </w:r>
      <w:proofErr w:type="gramStart"/>
      <w:r w:rsidRPr="00283806">
        <w:rPr>
          <w:w w:val="110"/>
        </w:rPr>
        <w:t>similar to</w:t>
      </w:r>
      <w:proofErr w:type="gramEnd"/>
      <w:r w:rsidRPr="00283806">
        <w:rPr>
          <w:w w:val="110"/>
        </w:rPr>
        <w:t xml:space="preserve"> requirements in 43 U.S.C. [section] 1348(b)(3)</w:t>
      </w:r>
      <w:r w:rsidRPr="00283806">
        <w:rPr>
          <w:spacing w:val="-11"/>
          <w:w w:val="110"/>
        </w:rPr>
        <w:t xml:space="preserve"> </w:t>
      </w:r>
      <w:r w:rsidRPr="00283806">
        <w:rPr>
          <w:w w:val="110"/>
        </w:rPr>
        <w:t>for</w:t>
      </w:r>
      <w:r w:rsidRPr="00283806">
        <w:rPr>
          <w:spacing w:val="-11"/>
          <w:w w:val="110"/>
        </w:rPr>
        <w:t xml:space="preserve"> </w:t>
      </w:r>
      <w:r w:rsidRPr="00283806">
        <w:rPr>
          <w:w w:val="110"/>
        </w:rPr>
        <w:t>lease</w:t>
      </w:r>
      <w:r w:rsidRPr="00283806">
        <w:rPr>
          <w:spacing w:val="-11"/>
          <w:w w:val="110"/>
        </w:rPr>
        <w:t xml:space="preserve"> </w:t>
      </w:r>
      <w:r w:rsidRPr="00283806">
        <w:rPr>
          <w:w w:val="110"/>
        </w:rPr>
        <w:t>and</w:t>
      </w:r>
      <w:r w:rsidRPr="00283806">
        <w:rPr>
          <w:spacing w:val="-11"/>
          <w:w w:val="110"/>
        </w:rPr>
        <w:t xml:space="preserve"> </w:t>
      </w:r>
      <w:r w:rsidRPr="00283806">
        <w:rPr>
          <w:w w:val="110"/>
        </w:rPr>
        <w:t>permit</w:t>
      </w:r>
      <w:r w:rsidRPr="00283806">
        <w:rPr>
          <w:spacing w:val="-11"/>
          <w:w w:val="110"/>
        </w:rPr>
        <w:t xml:space="preserve"> </w:t>
      </w:r>
      <w:r w:rsidRPr="00283806">
        <w:rPr>
          <w:w w:val="110"/>
        </w:rPr>
        <w:t>holders to provide ‘documents and records which are pertinent to .</w:t>
      </w:r>
      <w:r w:rsidRPr="00283806">
        <w:rPr>
          <w:spacing w:val="40"/>
          <w:w w:val="110"/>
        </w:rPr>
        <w:t xml:space="preserve"> </w:t>
      </w:r>
      <w:r w:rsidRPr="00283806">
        <w:rPr>
          <w:w w:val="110"/>
        </w:rPr>
        <w:t>.</w:t>
      </w:r>
      <w:r w:rsidRPr="00283806">
        <w:rPr>
          <w:spacing w:val="40"/>
          <w:w w:val="110"/>
        </w:rPr>
        <w:t xml:space="preserve"> </w:t>
      </w:r>
      <w:r w:rsidRPr="00283806">
        <w:rPr>
          <w:w w:val="110"/>
        </w:rPr>
        <w:t>. environmental protection, as may be</w:t>
      </w:r>
    </w:p>
    <w:p w14:paraId="26FB23FB"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6" w:space="40"/>
            <w:col w:w="3492" w:space="39"/>
            <w:col w:w="3633"/>
          </w:cols>
        </w:sectPr>
      </w:pPr>
    </w:p>
    <w:p w14:paraId="0BA00C4F" w14:textId="77777777" w:rsidR="00D67C1E" w:rsidRPr="00283806" w:rsidRDefault="001265CA">
      <w:pPr>
        <w:pStyle w:val="BodyText"/>
        <w:spacing w:before="136" w:line="225" w:lineRule="auto"/>
        <w:ind w:left="159" w:right="9"/>
      </w:pPr>
      <w:r w:rsidRPr="00283806">
        <w:rPr>
          <w:w w:val="110"/>
        </w:rPr>
        <w:lastRenderedPageBreak/>
        <w:t xml:space="preserve">requested’ under OCSLA.’’ </w:t>
      </w:r>
      <w:r w:rsidRPr="00283806">
        <w:rPr>
          <w:w w:val="110"/>
          <w:position w:val="5"/>
          <w:sz w:val="11"/>
        </w:rPr>
        <w:t>202</w:t>
      </w:r>
      <w:r w:rsidRPr="00283806">
        <w:rPr>
          <w:spacing w:val="40"/>
          <w:w w:val="110"/>
          <w:position w:val="5"/>
          <w:sz w:val="11"/>
        </w:rPr>
        <w:t xml:space="preserve"> </w:t>
      </w:r>
      <w:r w:rsidRPr="00283806">
        <w:rPr>
          <w:w w:val="110"/>
        </w:rPr>
        <w:t>The commenter further stated that AIM Act subsection (h) provides EPA broad authority</w:t>
      </w:r>
      <w:r w:rsidRPr="00283806">
        <w:rPr>
          <w:spacing w:val="-11"/>
          <w:w w:val="110"/>
        </w:rPr>
        <w:t xml:space="preserve"> </w:t>
      </w:r>
      <w:r w:rsidRPr="00283806">
        <w:rPr>
          <w:w w:val="110"/>
        </w:rPr>
        <w:t>to</w:t>
      </w:r>
      <w:r w:rsidRPr="00283806">
        <w:rPr>
          <w:spacing w:val="-11"/>
          <w:w w:val="110"/>
        </w:rPr>
        <w:t xml:space="preserve"> </w:t>
      </w:r>
      <w:r w:rsidRPr="00283806">
        <w:rPr>
          <w:w w:val="110"/>
        </w:rPr>
        <w:t>promulgate</w:t>
      </w:r>
      <w:r w:rsidRPr="00283806">
        <w:rPr>
          <w:spacing w:val="-11"/>
          <w:w w:val="110"/>
        </w:rPr>
        <w:t xml:space="preserve"> </w:t>
      </w:r>
      <w:r w:rsidRPr="00283806">
        <w:rPr>
          <w:w w:val="110"/>
        </w:rPr>
        <w:t>regulations</w:t>
      </w:r>
      <w:r w:rsidRPr="00283806">
        <w:rPr>
          <w:spacing w:val="-11"/>
          <w:w w:val="110"/>
        </w:rPr>
        <w:t xml:space="preserve"> </w:t>
      </w:r>
      <w:r w:rsidRPr="00283806">
        <w:rPr>
          <w:w w:val="110"/>
        </w:rPr>
        <w:t xml:space="preserve">but that ‘‘the AIM Act is silent on the </w:t>
      </w:r>
      <w:r w:rsidRPr="00283806">
        <w:rPr>
          <w:spacing w:val="-2"/>
          <w:w w:val="110"/>
        </w:rPr>
        <w:t>question</w:t>
      </w:r>
      <w:r w:rsidRPr="00283806">
        <w:rPr>
          <w:spacing w:val="-7"/>
          <w:w w:val="110"/>
        </w:rPr>
        <w:t xml:space="preserve"> </w:t>
      </w:r>
      <w:r w:rsidRPr="00283806">
        <w:rPr>
          <w:spacing w:val="-2"/>
          <w:w w:val="110"/>
        </w:rPr>
        <w:t>of</w:t>
      </w:r>
      <w:r w:rsidRPr="00283806">
        <w:rPr>
          <w:spacing w:val="-7"/>
          <w:w w:val="110"/>
        </w:rPr>
        <w:t xml:space="preserve"> </w:t>
      </w:r>
      <w:r w:rsidRPr="00283806">
        <w:rPr>
          <w:spacing w:val="-2"/>
          <w:w w:val="110"/>
        </w:rPr>
        <w:t>OCS</w:t>
      </w:r>
      <w:r w:rsidRPr="00283806">
        <w:rPr>
          <w:spacing w:val="-7"/>
          <w:w w:val="110"/>
        </w:rPr>
        <w:t xml:space="preserve"> </w:t>
      </w:r>
      <w:r w:rsidRPr="00283806">
        <w:rPr>
          <w:spacing w:val="-2"/>
          <w:w w:val="110"/>
        </w:rPr>
        <w:t>sources</w:t>
      </w:r>
      <w:r w:rsidRPr="00283806">
        <w:rPr>
          <w:spacing w:val="-7"/>
          <w:w w:val="110"/>
        </w:rPr>
        <w:t xml:space="preserve"> </w:t>
      </w:r>
      <w:r w:rsidRPr="00283806">
        <w:rPr>
          <w:spacing w:val="-2"/>
          <w:w w:val="110"/>
        </w:rPr>
        <w:t>and</w:t>
      </w:r>
      <w:r w:rsidRPr="00283806">
        <w:rPr>
          <w:spacing w:val="-7"/>
          <w:w w:val="110"/>
        </w:rPr>
        <w:t xml:space="preserve"> </w:t>
      </w:r>
      <w:r w:rsidRPr="00283806">
        <w:rPr>
          <w:spacing w:val="-2"/>
          <w:w w:val="110"/>
        </w:rPr>
        <w:t>in</w:t>
      </w:r>
      <w:r w:rsidRPr="00283806">
        <w:rPr>
          <w:spacing w:val="-7"/>
          <w:w w:val="110"/>
        </w:rPr>
        <w:t xml:space="preserve"> </w:t>
      </w:r>
      <w:r w:rsidRPr="00283806">
        <w:rPr>
          <w:spacing w:val="-2"/>
          <w:w w:val="110"/>
        </w:rPr>
        <w:t xml:space="preserve">(k)(1)(C) </w:t>
      </w:r>
      <w:r w:rsidRPr="00283806">
        <w:rPr>
          <w:w w:val="110"/>
        </w:rPr>
        <w:t>expressly applies sections of title VI of the CAA to EPA’s authority’’ in the proposed regulations. The commenter further stated that the AIM Act ‘‘does not alter the existing division of jurisdiction between the EPA and DOI with regard to air quality regulations applicable to OCS sources’’ and that, ‘‘[a]</w:t>
      </w:r>
      <w:proofErr w:type="spellStart"/>
      <w:r w:rsidRPr="00283806">
        <w:rPr>
          <w:w w:val="110"/>
        </w:rPr>
        <w:t>ccordingly</w:t>
      </w:r>
      <w:proofErr w:type="spellEnd"/>
      <w:r w:rsidRPr="00283806">
        <w:rPr>
          <w:w w:val="110"/>
        </w:rPr>
        <w:t>, .</w:t>
      </w:r>
      <w:r w:rsidRPr="00283806">
        <w:rPr>
          <w:spacing w:val="40"/>
          <w:w w:val="110"/>
        </w:rPr>
        <w:t xml:space="preserve"> </w:t>
      </w:r>
      <w:r w:rsidRPr="00283806">
        <w:rPr>
          <w:w w:val="110"/>
        </w:rPr>
        <w:t>.</w:t>
      </w:r>
      <w:r w:rsidRPr="00283806">
        <w:rPr>
          <w:spacing w:val="40"/>
          <w:w w:val="110"/>
        </w:rPr>
        <w:t xml:space="preserve"> </w:t>
      </w:r>
      <w:r w:rsidRPr="00283806">
        <w:rPr>
          <w:w w:val="110"/>
        </w:rPr>
        <w:t xml:space="preserve">. 40 CFR part 84 is not applicable to the western and central [Gulf of Mexico],’’ </w:t>
      </w:r>
      <w:r w:rsidRPr="00283806">
        <w:rPr>
          <w:w w:val="110"/>
          <w:position w:val="5"/>
          <w:sz w:val="11"/>
        </w:rPr>
        <w:t>203</w:t>
      </w:r>
      <w:r w:rsidRPr="00283806">
        <w:rPr>
          <w:spacing w:val="40"/>
          <w:w w:val="110"/>
          <w:position w:val="5"/>
          <w:sz w:val="11"/>
        </w:rPr>
        <w:t xml:space="preserve"> </w:t>
      </w:r>
      <w:r w:rsidRPr="00283806">
        <w:rPr>
          <w:w w:val="110"/>
        </w:rPr>
        <w:t>and the regulation of sale and distribution of HFCs does not extend to those areas without a grant of similar authority to the</w:t>
      </w:r>
      <w:r w:rsidRPr="00283806">
        <w:rPr>
          <w:spacing w:val="-11"/>
          <w:w w:val="110"/>
        </w:rPr>
        <w:t xml:space="preserve"> </w:t>
      </w:r>
      <w:r w:rsidRPr="00283806">
        <w:rPr>
          <w:w w:val="110"/>
        </w:rPr>
        <w:t>DOI</w:t>
      </w:r>
      <w:r w:rsidRPr="00283806">
        <w:rPr>
          <w:spacing w:val="-11"/>
          <w:w w:val="110"/>
        </w:rPr>
        <w:t xml:space="preserve"> </w:t>
      </w:r>
      <w:r w:rsidRPr="00283806">
        <w:rPr>
          <w:w w:val="110"/>
        </w:rPr>
        <w:t>and</w:t>
      </w:r>
      <w:r w:rsidRPr="00283806">
        <w:rPr>
          <w:spacing w:val="-11"/>
          <w:w w:val="110"/>
        </w:rPr>
        <w:t xml:space="preserve"> </w:t>
      </w:r>
      <w:r w:rsidRPr="00283806">
        <w:rPr>
          <w:w w:val="110"/>
        </w:rPr>
        <w:t>the</w:t>
      </w:r>
      <w:r w:rsidRPr="00283806">
        <w:rPr>
          <w:spacing w:val="-11"/>
          <w:w w:val="110"/>
        </w:rPr>
        <w:t xml:space="preserve"> </w:t>
      </w:r>
      <w:r w:rsidRPr="00283806">
        <w:rPr>
          <w:w w:val="110"/>
        </w:rPr>
        <w:t>Bureau</w:t>
      </w:r>
      <w:r w:rsidRPr="00283806">
        <w:rPr>
          <w:spacing w:val="-11"/>
          <w:w w:val="110"/>
        </w:rPr>
        <w:t xml:space="preserve"> </w:t>
      </w:r>
      <w:r w:rsidRPr="00283806">
        <w:rPr>
          <w:w w:val="110"/>
        </w:rPr>
        <w:t>of</w:t>
      </w:r>
      <w:r w:rsidRPr="00283806">
        <w:rPr>
          <w:spacing w:val="-11"/>
          <w:w w:val="110"/>
        </w:rPr>
        <w:t xml:space="preserve"> </w:t>
      </w:r>
      <w:r w:rsidRPr="00283806">
        <w:rPr>
          <w:w w:val="110"/>
        </w:rPr>
        <w:t>Ocean</w:t>
      </w:r>
      <w:r w:rsidRPr="00283806">
        <w:rPr>
          <w:spacing w:val="-11"/>
          <w:w w:val="110"/>
        </w:rPr>
        <w:t xml:space="preserve"> </w:t>
      </w:r>
      <w:r w:rsidRPr="00283806">
        <w:rPr>
          <w:w w:val="110"/>
        </w:rPr>
        <w:t>Energy Management (BOEM) under the AIM Act.</w:t>
      </w:r>
      <w:r w:rsidRPr="00283806">
        <w:rPr>
          <w:spacing w:val="-11"/>
          <w:w w:val="110"/>
        </w:rPr>
        <w:t xml:space="preserve"> </w:t>
      </w:r>
      <w:r w:rsidRPr="00283806">
        <w:rPr>
          <w:w w:val="110"/>
        </w:rPr>
        <w:t>The</w:t>
      </w:r>
      <w:r w:rsidRPr="00283806">
        <w:rPr>
          <w:spacing w:val="-11"/>
          <w:w w:val="110"/>
        </w:rPr>
        <w:t xml:space="preserve"> </w:t>
      </w:r>
      <w:r w:rsidRPr="00283806">
        <w:rPr>
          <w:w w:val="110"/>
        </w:rPr>
        <w:t>commenter</w:t>
      </w:r>
      <w:r w:rsidRPr="00283806">
        <w:rPr>
          <w:spacing w:val="-11"/>
          <w:w w:val="110"/>
        </w:rPr>
        <w:t xml:space="preserve"> </w:t>
      </w:r>
      <w:r w:rsidRPr="00283806">
        <w:rPr>
          <w:w w:val="110"/>
        </w:rPr>
        <w:t>acknowledged</w:t>
      </w:r>
      <w:r w:rsidRPr="00283806">
        <w:rPr>
          <w:spacing w:val="-11"/>
          <w:w w:val="110"/>
        </w:rPr>
        <w:t xml:space="preserve"> </w:t>
      </w:r>
      <w:r w:rsidRPr="00283806">
        <w:rPr>
          <w:w w:val="110"/>
        </w:rPr>
        <w:t>that 40 CFR part 84 would apply to the eastern Gulf of Mexico, given that</w:t>
      </w:r>
      <w:r w:rsidRPr="00283806">
        <w:rPr>
          <w:spacing w:val="40"/>
          <w:w w:val="110"/>
        </w:rPr>
        <w:t xml:space="preserve"> </w:t>
      </w:r>
      <w:r w:rsidRPr="00283806">
        <w:rPr>
          <w:w w:val="110"/>
        </w:rPr>
        <w:t>BOEM</w:t>
      </w:r>
      <w:r w:rsidRPr="00283806">
        <w:rPr>
          <w:spacing w:val="-8"/>
          <w:w w:val="110"/>
        </w:rPr>
        <w:t xml:space="preserve"> </w:t>
      </w:r>
      <w:r w:rsidRPr="00283806">
        <w:rPr>
          <w:w w:val="110"/>
        </w:rPr>
        <w:t>has</w:t>
      </w:r>
      <w:r w:rsidRPr="00283806">
        <w:rPr>
          <w:spacing w:val="-8"/>
          <w:w w:val="110"/>
        </w:rPr>
        <w:t xml:space="preserve"> </w:t>
      </w:r>
      <w:r w:rsidRPr="00283806">
        <w:rPr>
          <w:w w:val="110"/>
        </w:rPr>
        <w:t>not</w:t>
      </w:r>
      <w:r w:rsidRPr="00283806">
        <w:rPr>
          <w:spacing w:val="-8"/>
          <w:w w:val="110"/>
        </w:rPr>
        <w:t xml:space="preserve"> </w:t>
      </w:r>
      <w:r w:rsidRPr="00283806">
        <w:rPr>
          <w:w w:val="110"/>
        </w:rPr>
        <w:t>been</w:t>
      </w:r>
      <w:r w:rsidRPr="00283806">
        <w:rPr>
          <w:spacing w:val="-8"/>
          <w:w w:val="110"/>
        </w:rPr>
        <w:t xml:space="preserve"> </w:t>
      </w:r>
      <w:r w:rsidRPr="00283806">
        <w:rPr>
          <w:w w:val="110"/>
        </w:rPr>
        <w:t>delegated</w:t>
      </w:r>
      <w:r w:rsidRPr="00283806">
        <w:rPr>
          <w:spacing w:val="-8"/>
          <w:w w:val="110"/>
        </w:rPr>
        <w:t xml:space="preserve"> </w:t>
      </w:r>
      <w:r w:rsidRPr="00283806">
        <w:rPr>
          <w:w w:val="110"/>
        </w:rPr>
        <w:t>authority over air quality in this specific area.</w:t>
      </w:r>
    </w:p>
    <w:p w14:paraId="1604E80D" w14:textId="77777777" w:rsidR="00D67C1E" w:rsidRPr="00283806" w:rsidRDefault="001265CA">
      <w:pPr>
        <w:pStyle w:val="BodyText"/>
        <w:spacing w:line="225" w:lineRule="auto"/>
        <w:ind w:left="159" w:right="50" w:firstLine="180"/>
      </w:pPr>
      <w:r w:rsidRPr="00283806">
        <w:rPr>
          <w:rFonts w:ascii="Book Antiqua" w:hAnsi="Book Antiqua"/>
          <w:i/>
          <w:w w:val="105"/>
        </w:rPr>
        <w:t xml:space="preserve">Response: </w:t>
      </w:r>
      <w:r w:rsidRPr="00283806">
        <w:rPr>
          <w:w w:val="105"/>
        </w:rPr>
        <w:t>EPA disagrees with the commenter’s broad assertions that EPA does not have authority under the AIM Act to issue regulations pertaining to HFCs and their substitutes related to offshore operations in the western and central Gulf of Mexico. EPA also</w:t>
      </w:r>
      <w:r w:rsidRPr="00283806">
        <w:rPr>
          <w:spacing w:val="80"/>
          <w:w w:val="105"/>
        </w:rPr>
        <w:t xml:space="preserve"> </w:t>
      </w:r>
      <w:r w:rsidRPr="00283806">
        <w:rPr>
          <w:w w:val="105"/>
        </w:rPr>
        <w:t>disagrees with the commenter’s assertions that the regulations finalized</w:t>
      </w:r>
      <w:r w:rsidRPr="00283806">
        <w:rPr>
          <w:spacing w:val="40"/>
          <w:w w:val="105"/>
        </w:rPr>
        <w:t xml:space="preserve"> </w:t>
      </w:r>
      <w:r w:rsidRPr="00283806">
        <w:rPr>
          <w:w w:val="105"/>
        </w:rPr>
        <w:t>in this action under subsection (h) of the AIM Act are not applicable in the</w:t>
      </w:r>
      <w:r w:rsidRPr="00283806">
        <w:rPr>
          <w:spacing w:val="80"/>
          <w:w w:val="105"/>
        </w:rPr>
        <w:t xml:space="preserve"> </w:t>
      </w:r>
      <w:r w:rsidRPr="00283806">
        <w:rPr>
          <w:w w:val="105"/>
        </w:rPr>
        <w:t>western and central Gulf of Mexico and that OCS sources situated in the western and central Gulf of Mexico are excluded from these regulations. The commenter cites</w:t>
      </w:r>
      <w:r w:rsidRPr="00283806">
        <w:rPr>
          <w:spacing w:val="40"/>
          <w:w w:val="105"/>
        </w:rPr>
        <w:t xml:space="preserve"> </w:t>
      </w:r>
      <w:r w:rsidRPr="00283806">
        <w:rPr>
          <w:rFonts w:ascii="Book Antiqua" w:hAnsi="Book Antiqua"/>
          <w:i/>
          <w:w w:val="105"/>
        </w:rPr>
        <w:t>California</w:t>
      </w:r>
      <w:r w:rsidRPr="00283806">
        <w:rPr>
          <w:rFonts w:ascii="Book Antiqua" w:hAnsi="Book Antiqua"/>
          <w:i/>
          <w:spacing w:val="40"/>
          <w:w w:val="105"/>
        </w:rPr>
        <w:t xml:space="preserve"> </w:t>
      </w:r>
      <w:r w:rsidRPr="00283806">
        <w:rPr>
          <w:w w:val="105"/>
        </w:rPr>
        <w:t>v.</w:t>
      </w:r>
      <w:r w:rsidRPr="00283806">
        <w:rPr>
          <w:spacing w:val="40"/>
          <w:w w:val="105"/>
        </w:rPr>
        <w:t xml:space="preserve"> </w:t>
      </w:r>
      <w:r w:rsidRPr="00283806">
        <w:rPr>
          <w:rFonts w:ascii="Book Antiqua" w:hAnsi="Book Antiqua"/>
          <w:i/>
          <w:w w:val="105"/>
        </w:rPr>
        <w:t>Kleppe,</w:t>
      </w:r>
      <w:r w:rsidRPr="00283806">
        <w:rPr>
          <w:rFonts w:ascii="Book Antiqua" w:hAnsi="Book Antiqua"/>
          <w:i/>
          <w:spacing w:val="40"/>
          <w:w w:val="105"/>
        </w:rPr>
        <w:t xml:space="preserve"> </w:t>
      </w:r>
      <w:r w:rsidRPr="00283806">
        <w:rPr>
          <w:w w:val="105"/>
        </w:rPr>
        <w:t>604</w:t>
      </w:r>
      <w:r w:rsidRPr="00283806">
        <w:rPr>
          <w:spacing w:val="40"/>
          <w:w w:val="105"/>
        </w:rPr>
        <w:t xml:space="preserve"> </w:t>
      </w:r>
      <w:r w:rsidRPr="00283806">
        <w:rPr>
          <w:w w:val="105"/>
        </w:rPr>
        <w:t>F.2d 1187, 1193–94 (9th Cir. 1979)</w:t>
      </w:r>
    </w:p>
    <w:p w14:paraId="5546FAC9" w14:textId="77777777" w:rsidR="00D67C1E" w:rsidRPr="00283806" w:rsidRDefault="001265CA">
      <w:pPr>
        <w:pStyle w:val="BodyText"/>
        <w:spacing w:before="1" w:line="225" w:lineRule="auto"/>
        <w:ind w:right="9"/>
      </w:pPr>
      <w:r w:rsidRPr="00283806">
        <w:rPr>
          <w:w w:val="105"/>
        </w:rPr>
        <w:t>(‘‘</w:t>
      </w:r>
      <w:r w:rsidRPr="00283806">
        <w:rPr>
          <w:rFonts w:ascii="Book Antiqua" w:hAnsi="Book Antiqua"/>
          <w:i/>
          <w:w w:val="105"/>
        </w:rPr>
        <w:t>Kleppe</w:t>
      </w:r>
      <w:r w:rsidRPr="00283806">
        <w:rPr>
          <w:w w:val="105"/>
        </w:rPr>
        <w:t>’’) for the proposition that DOI has ‘‘sole’’ authority to promulgate air quality regulations for OCS sources,</w:t>
      </w:r>
      <w:r w:rsidRPr="00283806">
        <w:rPr>
          <w:spacing w:val="40"/>
          <w:w w:val="105"/>
        </w:rPr>
        <w:t xml:space="preserve"> </w:t>
      </w:r>
      <w:r w:rsidRPr="00283806">
        <w:rPr>
          <w:w w:val="105"/>
        </w:rPr>
        <w:t>which</w:t>
      </w:r>
      <w:r w:rsidRPr="00283806">
        <w:rPr>
          <w:spacing w:val="40"/>
          <w:w w:val="105"/>
        </w:rPr>
        <w:t xml:space="preserve"> </w:t>
      </w:r>
      <w:proofErr w:type="gramStart"/>
      <w:r w:rsidRPr="00283806">
        <w:rPr>
          <w:w w:val="105"/>
        </w:rPr>
        <w:t>is</w:t>
      </w:r>
      <w:proofErr w:type="gramEnd"/>
      <w:r w:rsidRPr="00283806">
        <w:rPr>
          <w:spacing w:val="40"/>
          <w:w w:val="105"/>
        </w:rPr>
        <w:t xml:space="preserve"> </w:t>
      </w:r>
      <w:r w:rsidRPr="00283806">
        <w:rPr>
          <w:w w:val="105"/>
        </w:rPr>
        <w:t>not</w:t>
      </w:r>
      <w:r w:rsidRPr="00283806">
        <w:rPr>
          <w:spacing w:val="40"/>
          <w:w w:val="105"/>
        </w:rPr>
        <w:t xml:space="preserve"> </w:t>
      </w:r>
      <w:r w:rsidRPr="00283806">
        <w:rPr>
          <w:w w:val="105"/>
        </w:rPr>
        <w:t>shared</w:t>
      </w:r>
      <w:r w:rsidRPr="00283806">
        <w:rPr>
          <w:spacing w:val="40"/>
          <w:w w:val="105"/>
        </w:rPr>
        <w:t xml:space="preserve"> </w:t>
      </w:r>
      <w:r w:rsidRPr="00283806">
        <w:rPr>
          <w:w w:val="105"/>
        </w:rPr>
        <w:t>with</w:t>
      </w:r>
      <w:r w:rsidRPr="00283806">
        <w:rPr>
          <w:spacing w:val="40"/>
          <w:w w:val="105"/>
        </w:rPr>
        <w:t xml:space="preserve"> </w:t>
      </w:r>
      <w:r w:rsidRPr="00283806">
        <w:rPr>
          <w:w w:val="105"/>
        </w:rPr>
        <w:t>EPA.</w:t>
      </w:r>
      <w:r w:rsidRPr="00283806">
        <w:rPr>
          <w:spacing w:val="40"/>
          <w:w w:val="105"/>
        </w:rPr>
        <w:t xml:space="preserve"> </w:t>
      </w:r>
      <w:r w:rsidRPr="00283806">
        <w:rPr>
          <w:w w:val="105"/>
        </w:rPr>
        <w:t xml:space="preserve">But </w:t>
      </w:r>
      <w:r w:rsidRPr="00283806">
        <w:rPr>
          <w:rFonts w:ascii="Book Antiqua" w:hAnsi="Book Antiqua"/>
          <w:i/>
          <w:w w:val="105"/>
        </w:rPr>
        <w:t xml:space="preserve">Kleppe </w:t>
      </w:r>
      <w:r w:rsidRPr="00283806">
        <w:rPr>
          <w:w w:val="105"/>
        </w:rPr>
        <w:t>addresses DOI’s authorities over offshore activities as those authorities existed in 1979, long before both the 1990 Amendments to the CAA, which authorized EPA to regulate air emissions from OCS sources (42 U.S.C. 7627, Pub.</w:t>
      </w:r>
    </w:p>
    <w:p w14:paraId="1F0FD67A" w14:textId="77777777" w:rsidR="00D67C1E" w:rsidRPr="00283806" w:rsidRDefault="001265CA">
      <w:pPr>
        <w:pStyle w:val="BodyText"/>
        <w:spacing w:line="192" w:lineRule="exact"/>
      </w:pPr>
      <w:r w:rsidRPr="00283806">
        <w:rPr>
          <w:w w:val="110"/>
        </w:rPr>
        <w:t>L.</w:t>
      </w:r>
      <w:r w:rsidRPr="00283806">
        <w:rPr>
          <w:spacing w:val="-3"/>
          <w:w w:val="110"/>
        </w:rPr>
        <w:t xml:space="preserve"> </w:t>
      </w:r>
      <w:r w:rsidRPr="00283806">
        <w:rPr>
          <w:w w:val="110"/>
        </w:rPr>
        <w:t>101–549,</w:t>
      </w:r>
      <w:r w:rsidRPr="00283806">
        <w:rPr>
          <w:spacing w:val="-3"/>
          <w:w w:val="110"/>
        </w:rPr>
        <w:t xml:space="preserve"> </w:t>
      </w:r>
      <w:r w:rsidRPr="00283806">
        <w:rPr>
          <w:w w:val="110"/>
        </w:rPr>
        <w:t>Title</w:t>
      </w:r>
      <w:r w:rsidRPr="00283806">
        <w:rPr>
          <w:spacing w:val="-3"/>
          <w:w w:val="110"/>
        </w:rPr>
        <w:t xml:space="preserve"> </w:t>
      </w:r>
      <w:r w:rsidRPr="00283806">
        <w:rPr>
          <w:w w:val="110"/>
        </w:rPr>
        <w:t>VIII,</w:t>
      </w:r>
      <w:r w:rsidRPr="00283806">
        <w:rPr>
          <w:spacing w:val="-3"/>
          <w:w w:val="110"/>
        </w:rPr>
        <w:t xml:space="preserve"> </w:t>
      </w:r>
      <w:r w:rsidRPr="00283806">
        <w:rPr>
          <w:w w:val="110"/>
        </w:rPr>
        <w:t>Sec.</w:t>
      </w:r>
      <w:r w:rsidRPr="00283806">
        <w:rPr>
          <w:spacing w:val="-3"/>
          <w:w w:val="110"/>
        </w:rPr>
        <w:t xml:space="preserve"> </w:t>
      </w:r>
      <w:r w:rsidRPr="00283806">
        <w:rPr>
          <w:w w:val="110"/>
        </w:rPr>
        <w:t>801</w:t>
      </w:r>
      <w:r w:rsidRPr="00283806">
        <w:rPr>
          <w:spacing w:val="-3"/>
          <w:w w:val="110"/>
        </w:rPr>
        <w:t xml:space="preserve"> </w:t>
      </w:r>
      <w:r w:rsidRPr="00283806">
        <w:rPr>
          <w:spacing w:val="-2"/>
          <w:w w:val="110"/>
        </w:rPr>
        <w:t>(‘‘OCS</w:t>
      </w:r>
    </w:p>
    <w:p w14:paraId="3DA3B78C" w14:textId="77777777" w:rsidR="00D67C1E" w:rsidRPr="00283806" w:rsidRDefault="001265CA">
      <w:pPr>
        <w:pStyle w:val="BodyText"/>
        <w:spacing w:before="3" w:line="228" w:lineRule="auto"/>
      </w:pPr>
      <w:r w:rsidRPr="00283806">
        <w:rPr>
          <w:w w:val="110"/>
        </w:rPr>
        <w:t xml:space="preserve">air pollution’’), November 15, 1990), and Congress’s 2020 enactment of the AIM Act, which authorized EPA to </w:t>
      </w:r>
      <w:r w:rsidRPr="00283806">
        <w:t>promulgate regulations to address HFCs</w:t>
      </w:r>
      <w:r w:rsidRPr="00283806">
        <w:rPr>
          <w:w w:val="110"/>
        </w:rPr>
        <w:t xml:space="preserve"> (42 U.S.C. 7675, Pub. L. 116–260,</w:t>
      </w:r>
    </w:p>
    <w:p w14:paraId="4CC55CA9" w14:textId="77777777" w:rsidR="00D67C1E" w:rsidRPr="00283806" w:rsidRDefault="001265CA">
      <w:pPr>
        <w:pStyle w:val="BodyText"/>
        <w:spacing w:before="1" w:line="223" w:lineRule="auto"/>
        <w:ind w:right="97"/>
      </w:pPr>
      <w:r w:rsidRPr="00283806">
        <w:rPr>
          <w:w w:val="110"/>
        </w:rPr>
        <w:t xml:space="preserve">Division S, Sec. 103 (‘‘American Innovation and Manufacturing’’), </w:t>
      </w:r>
      <w:r w:rsidRPr="00283806">
        <w:t xml:space="preserve">December 27, 2020). </w:t>
      </w:r>
      <w:r w:rsidRPr="00283806">
        <w:rPr>
          <w:rFonts w:ascii="Book Antiqua" w:hAnsi="Book Antiqua"/>
          <w:i/>
        </w:rPr>
        <w:t xml:space="preserve">Kleppe </w:t>
      </w:r>
      <w:r w:rsidRPr="00283806">
        <w:t>therefore</w:t>
      </w:r>
      <w:r w:rsidRPr="00283806">
        <w:rPr>
          <w:w w:val="110"/>
        </w:rPr>
        <w:t xml:space="preserve"> does not speak to EPA’s current</w:t>
      </w:r>
    </w:p>
    <w:p w14:paraId="4A80A153" w14:textId="77777777" w:rsidR="00D67C1E" w:rsidRPr="00283806" w:rsidRDefault="001265CA">
      <w:pPr>
        <w:pStyle w:val="BodyText"/>
        <w:spacing w:before="2"/>
        <w:ind w:left="0"/>
        <w:rPr>
          <w:sz w:val="13"/>
        </w:rPr>
      </w:pPr>
      <w:r w:rsidRPr="00283806">
        <w:rPr>
          <w:noProof/>
        </w:rPr>
        <mc:AlternateContent>
          <mc:Choice Requires="wps">
            <w:drawing>
              <wp:anchor distT="0" distB="0" distL="0" distR="0" simplePos="0" relativeHeight="251695104" behindDoc="1" locked="0" layoutInCell="1" allowOverlap="1" wp14:anchorId="55105EE9" wp14:editId="442174BD">
                <wp:simplePos x="0" y="0"/>
                <wp:positionH relativeFrom="page">
                  <wp:posOffset>571500</wp:posOffset>
                </wp:positionH>
                <wp:positionV relativeFrom="paragraph">
                  <wp:posOffset>113869</wp:posOffset>
                </wp:positionV>
                <wp:extent cx="635000" cy="1270"/>
                <wp:effectExtent l="0" t="0" r="0" b="0"/>
                <wp:wrapTopAndBottom/>
                <wp:docPr id="128" name="Graphic 1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8CC4F2" id="Graphic 128" o:spid="_x0000_s1026" alt="&quot;&quot;" style="position:absolute;margin-left:45pt;margin-top:8.95pt;width:50pt;height:.1pt;z-index:-251621376;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" path="m,l635000,e" filled="f" strokeweight=".5pt">
                <v:path arrowok="t"/>
                <w10:wrap type="topAndBottom" anchorx="page"/>
              </v:shape>
            </w:pict>
          </mc:Fallback>
        </mc:AlternateContent>
      </w:r>
    </w:p>
    <w:p w14:paraId="43B9D680" w14:textId="77777777" w:rsidR="00D67C1E" w:rsidRPr="00283806" w:rsidRDefault="001265CA">
      <w:pPr>
        <w:spacing w:before="40" w:line="232" w:lineRule="auto"/>
        <w:ind w:left="159" w:right="39" w:firstLine="140"/>
        <w:rPr>
          <w:sz w:val="14"/>
        </w:rPr>
      </w:pPr>
      <w:r w:rsidRPr="00283806">
        <w:rPr>
          <w:w w:val="110"/>
          <w:position w:val="4"/>
          <w:sz w:val="9"/>
        </w:rPr>
        <w:t>202</w:t>
      </w:r>
      <w:r w:rsidRPr="00283806">
        <w:rPr>
          <w:spacing w:val="-6"/>
          <w:w w:val="110"/>
          <w:position w:val="4"/>
          <w:sz w:val="9"/>
        </w:rPr>
        <w:t xml:space="preserve"> </w:t>
      </w:r>
      <w:r w:rsidRPr="00283806">
        <w:rPr>
          <w:w w:val="110"/>
          <w:sz w:val="14"/>
        </w:rPr>
        <w:t>See</w:t>
      </w:r>
      <w:r w:rsidRPr="00283806">
        <w:rPr>
          <w:spacing w:val="-8"/>
          <w:w w:val="110"/>
          <w:sz w:val="14"/>
        </w:rPr>
        <w:t xml:space="preserve"> </w:t>
      </w:r>
      <w:r w:rsidRPr="00283806">
        <w:rPr>
          <w:w w:val="110"/>
          <w:sz w:val="14"/>
        </w:rPr>
        <w:t>comment</w:t>
      </w:r>
      <w:r w:rsidRPr="00283806">
        <w:rPr>
          <w:spacing w:val="-9"/>
          <w:w w:val="110"/>
          <w:sz w:val="14"/>
        </w:rPr>
        <w:t xml:space="preserve"> </w:t>
      </w:r>
      <w:r w:rsidRPr="00283806">
        <w:rPr>
          <w:w w:val="110"/>
          <w:sz w:val="14"/>
        </w:rPr>
        <w:t>number</w:t>
      </w:r>
      <w:r w:rsidRPr="00283806">
        <w:rPr>
          <w:spacing w:val="-8"/>
          <w:w w:val="110"/>
          <w:sz w:val="14"/>
        </w:rPr>
        <w:t xml:space="preserve"> </w:t>
      </w:r>
      <w:r w:rsidRPr="00283806">
        <w:rPr>
          <w:w w:val="110"/>
          <w:sz w:val="14"/>
        </w:rPr>
        <w:t>EPA–HQ–OAR–2022–</w:t>
      </w:r>
      <w:r w:rsidRPr="00283806">
        <w:rPr>
          <w:spacing w:val="40"/>
          <w:w w:val="110"/>
          <w:sz w:val="14"/>
        </w:rPr>
        <w:t xml:space="preserve"> </w:t>
      </w:r>
      <w:r w:rsidRPr="00283806">
        <w:rPr>
          <w:w w:val="110"/>
          <w:sz w:val="14"/>
        </w:rPr>
        <w:t>0606–0098 at 2.</w:t>
      </w:r>
    </w:p>
    <w:p w14:paraId="4B66D52D" w14:textId="77777777" w:rsidR="00D67C1E" w:rsidRPr="00283806" w:rsidRDefault="001265CA">
      <w:pPr>
        <w:spacing w:before="21" w:line="232" w:lineRule="auto"/>
        <w:ind w:left="159" w:right="39" w:firstLine="140"/>
        <w:rPr>
          <w:sz w:val="14"/>
        </w:rPr>
      </w:pPr>
      <w:r w:rsidRPr="00283806">
        <w:rPr>
          <w:w w:val="110"/>
          <w:position w:val="4"/>
          <w:sz w:val="9"/>
        </w:rPr>
        <w:t>203</w:t>
      </w:r>
      <w:r w:rsidRPr="00283806">
        <w:rPr>
          <w:spacing w:val="-6"/>
          <w:w w:val="110"/>
          <w:position w:val="4"/>
          <w:sz w:val="9"/>
        </w:rPr>
        <w:t xml:space="preserve"> </w:t>
      </w:r>
      <w:r w:rsidRPr="00283806">
        <w:rPr>
          <w:w w:val="110"/>
          <w:sz w:val="14"/>
        </w:rPr>
        <w:t>See</w:t>
      </w:r>
      <w:r w:rsidRPr="00283806">
        <w:rPr>
          <w:spacing w:val="-8"/>
          <w:w w:val="110"/>
          <w:sz w:val="14"/>
        </w:rPr>
        <w:t xml:space="preserve"> </w:t>
      </w:r>
      <w:r w:rsidRPr="00283806">
        <w:rPr>
          <w:w w:val="110"/>
          <w:sz w:val="14"/>
        </w:rPr>
        <w:t>comment</w:t>
      </w:r>
      <w:r w:rsidRPr="00283806">
        <w:rPr>
          <w:spacing w:val="-9"/>
          <w:w w:val="110"/>
          <w:sz w:val="14"/>
        </w:rPr>
        <w:t xml:space="preserve"> </w:t>
      </w:r>
      <w:r w:rsidRPr="00283806">
        <w:rPr>
          <w:w w:val="110"/>
          <w:sz w:val="14"/>
        </w:rPr>
        <w:t>number</w:t>
      </w:r>
      <w:r w:rsidRPr="00283806">
        <w:rPr>
          <w:spacing w:val="-8"/>
          <w:w w:val="110"/>
          <w:sz w:val="14"/>
        </w:rPr>
        <w:t xml:space="preserve"> </w:t>
      </w:r>
      <w:r w:rsidRPr="00283806">
        <w:rPr>
          <w:w w:val="110"/>
          <w:sz w:val="14"/>
        </w:rPr>
        <w:t>EPA–HQ–OAR–2022–</w:t>
      </w:r>
      <w:r w:rsidRPr="00283806">
        <w:rPr>
          <w:spacing w:val="40"/>
          <w:w w:val="110"/>
          <w:sz w:val="14"/>
        </w:rPr>
        <w:t xml:space="preserve"> </w:t>
      </w:r>
      <w:r w:rsidRPr="00283806">
        <w:rPr>
          <w:w w:val="110"/>
          <w:sz w:val="14"/>
        </w:rPr>
        <w:t>0606–0098 at 2–3.</w:t>
      </w:r>
    </w:p>
    <w:p w14:paraId="430CEFAC" w14:textId="77777777" w:rsidR="00D67C1E" w:rsidRPr="00283806" w:rsidRDefault="001265CA">
      <w:pPr>
        <w:pStyle w:val="BodyText"/>
        <w:spacing w:before="135" w:line="225" w:lineRule="auto"/>
        <w:ind w:left="144" w:right="62"/>
      </w:pPr>
      <w:r w:rsidRPr="00283806">
        <w:br w:type="column"/>
      </w:r>
      <w:r w:rsidRPr="00283806">
        <w:rPr>
          <w:w w:val="105"/>
        </w:rPr>
        <w:t>authorities under either the CAA or the AIM Act. Additionally, while the</w:t>
      </w:r>
      <w:r w:rsidRPr="00283806">
        <w:rPr>
          <w:spacing w:val="40"/>
          <w:w w:val="105"/>
        </w:rPr>
        <w:t xml:space="preserve"> </w:t>
      </w:r>
      <w:r w:rsidRPr="00283806">
        <w:rPr>
          <w:w w:val="105"/>
        </w:rPr>
        <w:t>commenter states that aspects of this</w:t>
      </w:r>
      <w:r w:rsidRPr="00283806">
        <w:rPr>
          <w:spacing w:val="40"/>
          <w:w w:val="105"/>
        </w:rPr>
        <w:t xml:space="preserve"> </w:t>
      </w:r>
      <w:r w:rsidRPr="00283806">
        <w:rPr>
          <w:w w:val="105"/>
        </w:rPr>
        <w:t>rule are ‘‘</w:t>
      </w:r>
      <w:proofErr w:type="gramStart"/>
      <w:r w:rsidRPr="00283806">
        <w:rPr>
          <w:w w:val="105"/>
        </w:rPr>
        <w:t>similar to</w:t>
      </w:r>
      <w:proofErr w:type="gramEnd"/>
      <w:r w:rsidRPr="00283806">
        <w:rPr>
          <w:w w:val="105"/>
        </w:rPr>
        <w:t>’’ DOI’s authorities to seek records and documents under OCSLA, it fails to identify any conflict</w:t>
      </w:r>
      <w:r w:rsidRPr="00283806">
        <w:rPr>
          <w:spacing w:val="40"/>
          <w:w w:val="105"/>
        </w:rPr>
        <w:t xml:space="preserve"> </w:t>
      </w:r>
      <w:r w:rsidRPr="00283806">
        <w:rPr>
          <w:w w:val="105"/>
        </w:rPr>
        <w:t>between these requirements or to provide any other support for a conclusion that the relevant provisions cannot all be given effect.</w:t>
      </w:r>
    </w:p>
    <w:p w14:paraId="62536888" w14:textId="77777777" w:rsidR="00D67C1E" w:rsidRPr="00283806" w:rsidRDefault="001265CA">
      <w:pPr>
        <w:pStyle w:val="BodyText"/>
        <w:spacing w:line="177" w:lineRule="exact"/>
        <w:ind w:left="324"/>
      </w:pPr>
      <w:r w:rsidRPr="00283806">
        <w:rPr>
          <w:w w:val="105"/>
        </w:rPr>
        <w:t>This</w:t>
      </w:r>
      <w:r w:rsidRPr="00283806">
        <w:rPr>
          <w:spacing w:val="19"/>
          <w:w w:val="105"/>
        </w:rPr>
        <w:t xml:space="preserve"> </w:t>
      </w:r>
      <w:r w:rsidRPr="00283806">
        <w:rPr>
          <w:w w:val="105"/>
        </w:rPr>
        <w:t>rule</w:t>
      </w:r>
      <w:r w:rsidRPr="00283806">
        <w:rPr>
          <w:spacing w:val="20"/>
          <w:w w:val="105"/>
        </w:rPr>
        <w:t xml:space="preserve"> </w:t>
      </w:r>
      <w:r w:rsidRPr="00283806">
        <w:rPr>
          <w:w w:val="105"/>
        </w:rPr>
        <w:t>implements</w:t>
      </w:r>
      <w:r w:rsidRPr="00283806">
        <w:rPr>
          <w:spacing w:val="20"/>
          <w:w w:val="105"/>
        </w:rPr>
        <w:t xml:space="preserve"> </w:t>
      </w:r>
      <w:r w:rsidRPr="00283806">
        <w:rPr>
          <w:spacing w:val="-2"/>
          <w:w w:val="105"/>
        </w:rPr>
        <w:t>Congress’s</w:t>
      </w:r>
    </w:p>
    <w:p w14:paraId="34DE1B73" w14:textId="77777777" w:rsidR="00D67C1E" w:rsidRPr="00283806" w:rsidRDefault="001265CA">
      <w:pPr>
        <w:pStyle w:val="BodyText"/>
        <w:spacing w:before="4" w:line="225" w:lineRule="auto"/>
        <w:ind w:left="144" w:right="63"/>
      </w:pPr>
      <w:r w:rsidRPr="00283806">
        <w:rPr>
          <w:w w:val="105"/>
        </w:rPr>
        <w:t>direction in subsection (h)(1) of the AIM Act for EPA to establish regulations ‘‘to control,</w:t>
      </w:r>
      <w:r w:rsidRPr="00283806">
        <w:rPr>
          <w:spacing w:val="40"/>
          <w:w w:val="105"/>
        </w:rPr>
        <w:t xml:space="preserve"> </w:t>
      </w:r>
      <w:r w:rsidRPr="00283806">
        <w:rPr>
          <w:w w:val="105"/>
        </w:rPr>
        <w:t>where</w:t>
      </w:r>
      <w:r w:rsidRPr="00283806">
        <w:rPr>
          <w:spacing w:val="40"/>
          <w:w w:val="105"/>
        </w:rPr>
        <w:t xml:space="preserve"> </w:t>
      </w:r>
      <w:r w:rsidRPr="00283806">
        <w:rPr>
          <w:w w:val="105"/>
        </w:rPr>
        <w:t>appropriate,</w:t>
      </w:r>
      <w:r w:rsidRPr="00283806">
        <w:rPr>
          <w:spacing w:val="40"/>
          <w:w w:val="105"/>
        </w:rPr>
        <w:t xml:space="preserve"> </w:t>
      </w:r>
      <w:r w:rsidRPr="00283806">
        <w:rPr>
          <w:w w:val="105"/>
        </w:rPr>
        <w:t>any practice, process or activity regarding</w:t>
      </w:r>
      <w:r w:rsidRPr="00283806">
        <w:rPr>
          <w:spacing w:val="80"/>
          <w:w w:val="105"/>
        </w:rPr>
        <w:t xml:space="preserve"> </w:t>
      </w:r>
      <w:r w:rsidRPr="00283806">
        <w:rPr>
          <w:w w:val="105"/>
        </w:rPr>
        <w:t>the servicing, repair, disposal, or installation of equipment’’ that involves an</w:t>
      </w:r>
      <w:r w:rsidRPr="00283806">
        <w:rPr>
          <w:spacing w:val="33"/>
          <w:w w:val="105"/>
        </w:rPr>
        <w:t xml:space="preserve"> </w:t>
      </w:r>
      <w:r w:rsidRPr="00283806">
        <w:rPr>
          <w:w w:val="105"/>
        </w:rPr>
        <w:t>HFC</w:t>
      </w:r>
      <w:r w:rsidRPr="00283806">
        <w:rPr>
          <w:spacing w:val="33"/>
          <w:w w:val="105"/>
        </w:rPr>
        <w:t xml:space="preserve"> </w:t>
      </w:r>
      <w:r w:rsidRPr="00283806">
        <w:rPr>
          <w:w w:val="105"/>
        </w:rPr>
        <w:t>or</w:t>
      </w:r>
      <w:r w:rsidRPr="00283806">
        <w:rPr>
          <w:spacing w:val="33"/>
          <w:w w:val="105"/>
        </w:rPr>
        <w:t xml:space="preserve"> </w:t>
      </w:r>
      <w:r w:rsidRPr="00283806">
        <w:rPr>
          <w:w w:val="105"/>
        </w:rPr>
        <w:t>a</w:t>
      </w:r>
      <w:r w:rsidRPr="00283806">
        <w:rPr>
          <w:spacing w:val="33"/>
          <w:w w:val="105"/>
        </w:rPr>
        <w:t xml:space="preserve"> </w:t>
      </w:r>
      <w:r w:rsidRPr="00283806">
        <w:rPr>
          <w:w w:val="105"/>
        </w:rPr>
        <w:t>substitute</w:t>
      </w:r>
      <w:r w:rsidRPr="00283806">
        <w:rPr>
          <w:spacing w:val="33"/>
          <w:w w:val="105"/>
        </w:rPr>
        <w:t xml:space="preserve"> </w:t>
      </w:r>
      <w:r w:rsidRPr="00283806">
        <w:rPr>
          <w:w w:val="105"/>
        </w:rPr>
        <w:t>for</w:t>
      </w:r>
      <w:r w:rsidRPr="00283806">
        <w:rPr>
          <w:spacing w:val="33"/>
          <w:w w:val="105"/>
        </w:rPr>
        <w:t xml:space="preserve"> </w:t>
      </w:r>
      <w:r w:rsidRPr="00283806">
        <w:rPr>
          <w:w w:val="105"/>
        </w:rPr>
        <w:t>an</w:t>
      </w:r>
      <w:r w:rsidRPr="00283806">
        <w:rPr>
          <w:spacing w:val="33"/>
          <w:w w:val="105"/>
        </w:rPr>
        <w:t xml:space="preserve"> </w:t>
      </w:r>
      <w:r w:rsidRPr="00283806">
        <w:rPr>
          <w:w w:val="105"/>
        </w:rPr>
        <w:t>HFC,</w:t>
      </w:r>
      <w:r w:rsidRPr="00283806">
        <w:rPr>
          <w:spacing w:val="33"/>
          <w:w w:val="105"/>
        </w:rPr>
        <w:t xml:space="preserve"> </w:t>
      </w:r>
      <w:r w:rsidRPr="00283806">
        <w:rPr>
          <w:w w:val="105"/>
        </w:rPr>
        <w:t>or the reclaiming of an HFC or a substitute for an HFC used as a refrigerant, for purposes of maximizing reclamation, minimizing releases of HFCs from equipment, and ensuring the safety of technicians</w:t>
      </w:r>
      <w:r w:rsidRPr="00283806">
        <w:rPr>
          <w:spacing w:val="40"/>
          <w:w w:val="105"/>
        </w:rPr>
        <w:t xml:space="preserve"> </w:t>
      </w:r>
      <w:r w:rsidRPr="00283806">
        <w:rPr>
          <w:w w:val="105"/>
        </w:rPr>
        <w:t>and</w:t>
      </w:r>
      <w:r w:rsidRPr="00283806">
        <w:rPr>
          <w:spacing w:val="40"/>
          <w:w w:val="105"/>
        </w:rPr>
        <w:t xml:space="preserve"> </w:t>
      </w:r>
      <w:r w:rsidRPr="00283806">
        <w:rPr>
          <w:w w:val="105"/>
        </w:rPr>
        <w:t>consumers.</w:t>
      </w:r>
      <w:r w:rsidRPr="00283806">
        <w:rPr>
          <w:spacing w:val="40"/>
          <w:w w:val="105"/>
        </w:rPr>
        <w:t xml:space="preserve"> </w:t>
      </w:r>
      <w:r w:rsidRPr="00283806">
        <w:rPr>
          <w:w w:val="105"/>
        </w:rPr>
        <w:t>The</w:t>
      </w:r>
      <w:r w:rsidRPr="00283806">
        <w:rPr>
          <w:spacing w:val="40"/>
          <w:w w:val="105"/>
        </w:rPr>
        <w:t xml:space="preserve"> </w:t>
      </w:r>
      <w:r w:rsidRPr="00283806">
        <w:rPr>
          <w:w w:val="105"/>
        </w:rPr>
        <w:t>AIM Act, which was enacted separately from the CAA, does not exclude any</w:t>
      </w:r>
      <w:r w:rsidRPr="00283806">
        <w:rPr>
          <w:spacing w:val="80"/>
          <w:w w:val="105"/>
        </w:rPr>
        <w:t xml:space="preserve"> </w:t>
      </w:r>
      <w:r w:rsidRPr="00283806">
        <w:rPr>
          <w:w w:val="105"/>
        </w:rPr>
        <w:t>geographic area within the United States from the scope of EPA’s authorities</w:t>
      </w:r>
      <w:r w:rsidRPr="00283806">
        <w:rPr>
          <w:spacing w:val="80"/>
          <w:w w:val="105"/>
        </w:rPr>
        <w:t xml:space="preserve"> </w:t>
      </w:r>
      <w:r w:rsidRPr="00283806">
        <w:rPr>
          <w:w w:val="105"/>
        </w:rPr>
        <w:t>under in the Act. In fact, certain provisions</w:t>
      </w:r>
      <w:r w:rsidRPr="00283806">
        <w:rPr>
          <w:spacing w:val="40"/>
          <w:w w:val="105"/>
        </w:rPr>
        <w:t xml:space="preserve"> </w:t>
      </w:r>
      <w:r w:rsidRPr="00283806">
        <w:rPr>
          <w:w w:val="105"/>
        </w:rPr>
        <w:t>of</w:t>
      </w:r>
      <w:r w:rsidRPr="00283806">
        <w:rPr>
          <w:spacing w:val="40"/>
          <w:w w:val="105"/>
        </w:rPr>
        <w:t xml:space="preserve"> </w:t>
      </w:r>
      <w:r w:rsidRPr="00283806">
        <w:rPr>
          <w:w w:val="105"/>
        </w:rPr>
        <w:t>the</w:t>
      </w:r>
      <w:r w:rsidRPr="00283806">
        <w:rPr>
          <w:spacing w:val="40"/>
          <w:w w:val="105"/>
        </w:rPr>
        <w:t xml:space="preserve"> </w:t>
      </w:r>
      <w:r w:rsidRPr="00283806">
        <w:rPr>
          <w:w w:val="105"/>
        </w:rPr>
        <w:t>Act</w:t>
      </w:r>
      <w:r w:rsidRPr="00283806">
        <w:rPr>
          <w:spacing w:val="40"/>
          <w:w w:val="105"/>
        </w:rPr>
        <w:t xml:space="preserve"> </w:t>
      </w:r>
      <w:r w:rsidRPr="00283806">
        <w:rPr>
          <w:w w:val="105"/>
        </w:rPr>
        <w:t>clearly</w:t>
      </w:r>
      <w:r w:rsidRPr="00283806">
        <w:rPr>
          <w:spacing w:val="40"/>
          <w:w w:val="105"/>
        </w:rPr>
        <w:t xml:space="preserve"> </w:t>
      </w:r>
      <w:r w:rsidRPr="00283806">
        <w:rPr>
          <w:w w:val="105"/>
        </w:rPr>
        <w:t>indicate that the Act applies throughout the United States. For example, subsection (b)(6) of the AIM Act defines the term ‘‘import’’</w:t>
      </w:r>
      <w:r w:rsidRPr="00283806">
        <w:rPr>
          <w:spacing w:val="40"/>
          <w:w w:val="105"/>
        </w:rPr>
        <w:t xml:space="preserve"> </w:t>
      </w:r>
      <w:r w:rsidRPr="00283806">
        <w:rPr>
          <w:w w:val="105"/>
        </w:rPr>
        <w:t>to</w:t>
      </w:r>
      <w:r w:rsidRPr="00283806">
        <w:rPr>
          <w:spacing w:val="40"/>
          <w:w w:val="105"/>
        </w:rPr>
        <w:t xml:space="preserve"> </w:t>
      </w:r>
      <w:r w:rsidRPr="00283806">
        <w:rPr>
          <w:w w:val="105"/>
        </w:rPr>
        <w:t>mean</w:t>
      </w:r>
      <w:r w:rsidRPr="00283806">
        <w:rPr>
          <w:spacing w:val="40"/>
          <w:w w:val="105"/>
        </w:rPr>
        <w:t xml:space="preserve"> </w:t>
      </w:r>
      <w:r w:rsidRPr="00283806">
        <w:rPr>
          <w:w w:val="105"/>
        </w:rPr>
        <w:t>‘‘to</w:t>
      </w:r>
      <w:r w:rsidRPr="00283806">
        <w:rPr>
          <w:spacing w:val="40"/>
          <w:w w:val="105"/>
        </w:rPr>
        <w:t xml:space="preserve"> </w:t>
      </w:r>
      <w:r w:rsidRPr="00283806">
        <w:rPr>
          <w:w w:val="105"/>
        </w:rPr>
        <w:t>land</w:t>
      </w:r>
      <w:r w:rsidRPr="00283806">
        <w:rPr>
          <w:spacing w:val="40"/>
          <w:w w:val="105"/>
        </w:rPr>
        <w:t xml:space="preserve"> </w:t>
      </w:r>
      <w:r w:rsidRPr="00283806">
        <w:rPr>
          <w:w w:val="105"/>
        </w:rPr>
        <w:t>on,</w:t>
      </w:r>
      <w:r w:rsidRPr="00283806">
        <w:rPr>
          <w:spacing w:val="40"/>
          <w:w w:val="105"/>
        </w:rPr>
        <w:t xml:space="preserve"> </w:t>
      </w:r>
      <w:r w:rsidRPr="00283806">
        <w:rPr>
          <w:w w:val="105"/>
        </w:rPr>
        <w:t>bring into, or introduce into, or attempt to</w:t>
      </w:r>
      <w:r w:rsidRPr="00283806">
        <w:rPr>
          <w:spacing w:val="80"/>
          <w:w w:val="150"/>
        </w:rPr>
        <w:t xml:space="preserve"> </w:t>
      </w:r>
      <w:r w:rsidRPr="00283806">
        <w:rPr>
          <w:w w:val="105"/>
        </w:rPr>
        <w:t>land</w:t>
      </w:r>
      <w:r w:rsidRPr="00283806">
        <w:rPr>
          <w:spacing w:val="40"/>
          <w:w w:val="105"/>
        </w:rPr>
        <w:t xml:space="preserve"> </w:t>
      </w:r>
      <w:r w:rsidRPr="00283806">
        <w:rPr>
          <w:w w:val="105"/>
        </w:rPr>
        <w:t>on,</w:t>
      </w:r>
      <w:r w:rsidRPr="00283806">
        <w:rPr>
          <w:spacing w:val="40"/>
          <w:w w:val="105"/>
        </w:rPr>
        <w:t xml:space="preserve"> </w:t>
      </w:r>
      <w:r w:rsidRPr="00283806">
        <w:rPr>
          <w:w w:val="105"/>
        </w:rPr>
        <w:t>bring</w:t>
      </w:r>
      <w:r w:rsidRPr="00283806">
        <w:rPr>
          <w:spacing w:val="40"/>
          <w:w w:val="105"/>
        </w:rPr>
        <w:t xml:space="preserve"> </w:t>
      </w:r>
      <w:r w:rsidRPr="00283806">
        <w:rPr>
          <w:w w:val="105"/>
        </w:rPr>
        <w:t>into,</w:t>
      </w:r>
      <w:r w:rsidRPr="00283806">
        <w:rPr>
          <w:spacing w:val="40"/>
          <w:w w:val="105"/>
        </w:rPr>
        <w:t xml:space="preserve"> </w:t>
      </w:r>
      <w:r w:rsidRPr="00283806">
        <w:rPr>
          <w:w w:val="105"/>
        </w:rPr>
        <w:t>or</w:t>
      </w:r>
      <w:r w:rsidRPr="00283806">
        <w:rPr>
          <w:spacing w:val="40"/>
          <w:w w:val="105"/>
        </w:rPr>
        <w:t xml:space="preserve"> </w:t>
      </w:r>
      <w:r w:rsidRPr="00283806">
        <w:rPr>
          <w:w w:val="105"/>
        </w:rPr>
        <w:t>introduce</w:t>
      </w:r>
      <w:r w:rsidRPr="00283806">
        <w:rPr>
          <w:spacing w:val="40"/>
          <w:w w:val="105"/>
        </w:rPr>
        <w:t xml:space="preserve"> </w:t>
      </w:r>
      <w:r w:rsidRPr="00283806">
        <w:rPr>
          <w:w w:val="105"/>
        </w:rPr>
        <w:t>into, any place subject to the jurisdiction of</w:t>
      </w:r>
      <w:r w:rsidRPr="00283806">
        <w:rPr>
          <w:spacing w:val="40"/>
          <w:w w:val="105"/>
        </w:rPr>
        <w:t xml:space="preserve"> </w:t>
      </w:r>
      <w:r w:rsidRPr="00283806">
        <w:rPr>
          <w:w w:val="105"/>
        </w:rPr>
        <w:t>the United States.’’</w:t>
      </w:r>
    </w:p>
    <w:p w14:paraId="47CFCFC9" w14:textId="77777777" w:rsidR="00D67C1E" w:rsidRPr="00283806" w:rsidRDefault="001265CA">
      <w:pPr>
        <w:pStyle w:val="BodyText"/>
        <w:spacing w:line="170" w:lineRule="exact"/>
        <w:ind w:left="324"/>
      </w:pPr>
      <w:r w:rsidRPr="00283806">
        <w:rPr>
          <w:w w:val="105"/>
        </w:rPr>
        <w:t>The</w:t>
      </w:r>
      <w:r w:rsidRPr="00283806">
        <w:rPr>
          <w:spacing w:val="8"/>
          <w:w w:val="105"/>
        </w:rPr>
        <w:t xml:space="preserve"> </w:t>
      </w:r>
      <w:r w:rsidRPr="00283806">
        <w:rPr>
          <w:w w:val="105"/>
        </w:rPr>
        <w:t>commenters</w:t>
      </w:r>
      <w:r w:rsidRPr="00283806">
        <w:rPr>
          <w:spacing w:val="9"/>
          <w:w w:val="105"/>
        </w:rPr>
        <w:t xml:space="preserve"> </w:t>
      </w:r>
      <w:r w:rsidRPr="00283806">
        <w:rPr>
          <w:w w:val="105"/>
        </w:rPr>
        <w:t>cite</w:t>
      </w:r>
      <w:r w:rsidRPr="00283806">
        <w:rPr>
          <w:spacing w:val="8"/>
          <w:w w:val="105"/>
        </w:rPr>
        <w:t xml:space="preserve"> </w:t>
      </w:r>
      <w:r w:rsidRPr="00283806">
        <w:rPr>
          <w:spacing w:val="-2"/>
          <w:w w:val="105"/>
        </w:rPr>
        <w:t>certain</w:t>
      </w:r>
    </w:p>
    <w:p w14:paraId="0A633707" w14:textId="77777777" w:rsidR="00D67C1E" w:rsidRPr="00283806" w:rsidRDefault="001265CA">
      <w:pPr>
        <w:pStyle w:val="BodyText"/>
        <w:spacing w:before="4" w:line="225" w:lineRule="auto"/>
        <w:ind w:left="144" w:right="38"/>
      </w:pPr>
      <w:r w:rsidRPr="00283806">
        <w:rPr>
          <w:w w:val="105"/>
        </w:rPr>
        <w:t>geographic restrictions on EPA’s authority to regulate air pollution from OCS</w:t>
      </w:r>
      <w:r w:rsidRPr="00283806">
        <w:rPr>
          <w:spacing w:val="40"/>
          <w:w w:val="105"/>
        </w:rPr>
        <w:t xml:space="preserve"> </w:t>
      </w:r>
      <w:r w:rsidRPr="00283806">
        <w:rPr>
          <w:w w:val="105"/>
        </w:rPr>
        <w:t>sources</w:t>
      </w:r>
      <w:r w:rsidRPr="00283806">
        <w:rPr>
          <w:spacing w:val="40"/>
          <w:w w:val="105"/>
        </w:rPr>
        <w:t xml:space="preserve"> </w:t>
      </w:r>
      <w:r w:rsidRPr="00283806">
        <w:rPr>
          <w:w w:val="105"/>
        </w:rPr>
        <w:t>under</w:t>
      </w:r>
      <w:r w:rsidRPr="00283806">
        <w:rPr>
          <w:spacing w:val="40"/>
          <w:w w:val="105"/>
        </w:rPr>
        <w:t xml:space="preserve"> </w:t>
      </w:r>
      <w:r w:rsidRPr="00283806">
        <w:rPr>
          <w:w w:val="105"/>
        </w:rPr>
        <w:t>CAA</w:t>
      </w:r>
      <w:r w:rsidRPr="00283806">
        <w:rPr>
          <w:spacing w:val="40"/>
          <w:w w:val="105"/>
        </w:rPr>
        <w:t xml:space="preserve"> </w:t>
      </w:r>
      <w:r w:rsidRPr="00283806">
        <w:rPr>
          <w:w w:val="105"/>
        </w:rPr>
        <w:t>section</w:t>
      </w:r>
      <w:r w:rsidRPr="00283806">
        <w:rPr>
          <w:spacing w:val="40"/>
          <w:w w:val="105"/>
        </w:rPr>
        <w:t xml:space="preserve"> </w:t>
      </w:r>
      <w:r w:rsidRPr="00283806">
        <w:rPr>
          <w:w w:val="105"/>
        </w:rPr>
        <w:t>328 and EPA’s implementing regulations in 40 CFR part 55, suggesting that EPA’s regulatory authority over emissions sources in the Gulf of Mexico is limited</w:t>
      </w:r>
      <w:r w:rsidRPr="00283806">
        <w:rPr>
          <w:spacing w:val="80"/>
          <w:w w:val="105"/>
        </w:rPr>
        <w:t xml:space="preserve"> </w:t>
      </w:r>
      <w:r w:rsidRPr="00283806">
        <w:rPr>
          <w:w w:val="105"/>
        </w:rPr>
        <w:t>to ‘‘sources east of longitude 87 degrees 30 minutes’’ (or 87.5 degrees longitude) under these statutory and regulatory provisions. Section 328 of the CAA, however, pertains only to EPA’s authorities under the CAA with respect</w:t>
      </w:r>
      <w:r w:rsidRPr="00283806">
        <w:rPr>
          <w:spacing w:val="40"/>
          <w:w w:val="105"/>
        </w:rPr>
        <w:t xml:space="preserve"> </w:t>
      </w:r>
      <w:r w:rsidRPr="00283806">
        <w:rPr>
          <w:w w:val="105"/>
        </w:rPr>
        <w:t>to ‘‘OCS sources’’ and has no bearing on EPA’s independent authorities under</w:t>
      </w:r>
      <w:r w:rsidRPr="00283806">
        <w:rPr>
          <w:spacing w:val="80"/>
          <w:w w:val="105"/>
        </w:rPr>
        <w:t xml:space="preserve"> </w:t>
      </w:r>
      <w:r w:rsidRPr="00283806">
        <w:rPr>
          <w:w w:val="105"/>
        </w:rPr>
        <w:t>the AIM Act and other Federal statutes.</w:t>
      </w:r>
      <w:r w:rsidRPr="00283806">
        <w:rPr>
          <w:spacing w:val="40"/>
          <w:w w:val="105"/>
        </w:rPr>
        <w:t xml:space="preserve"> </w:t>
      </w:r>
      <w:r w:rsidRPr="00283806">
        <w:rPr>
          <w:w w:val="105"/>
        </w:rPr>
        <w:t>In</w:t>
      </w:r>
      <w:r w:rsidRPr="00283806">
        <w:rPr>
          <w:spacing w:val="40"/>
          <w:w w:val="105"/>
        </w:rPr>
        <w:t xml:space="preserve"> </w:t>
      </w:r>
      <w:r w:rsidRPr="00283806">
        <w:rPr>
          <w:w w:val="105"/>
        </w:rPr>
        <w:t>addition</w:t>
      </w:r>
      <w:r w:rsidRPr="00283806">
        <w:rPr>
          <w:spacing w:val="40"/>
          <w:w w:val="105"/>
        </w:rPr>
        <w:t xml:space="preserve"> </w:t>
      </w:r>
      <w:r w:rsidRPr="00283806">
        <w:rPr>
          <w:w w:val="105"/>
        </w:rPr>
        <w:t>to</w:t>
      </w:r>
      <w:r w:rsidRPr="00283806">
        <w:rPr>
          <w:spacing w:val="40"/>
          <w:w w:val="105"/>
        </w:rPr>
        <w:t xml:space="preserve"> </w:t>
      </w:r>
      <w:r w:rsidRPr="00283806">
        <w:rPr>
          <w:w w:val="105"/>
        </w:rPr>
        <w:t>the</w:t>
      </w:r>
      <w:r w:rsidRPr="00283806">
        <w:rPr>
          <w:spacing w:val="40"/>
          <w:w w:val="105"/>
        </w:rPr>
        <w:t xml:space="preserve"> </w:t>
      </w:r>
      <w:r w:rsidRPr="00283806">
        <w:rPr>
          <w:w w:val="105"/>
        </w:rPr>
        <w:t>AIM</w:t>
      </w:r>
      <w:r w:rsidRPr="00283806">
        <w:rPr>
          <w:spacing w:val="40"/>
          <w:w w:val="105"/>
        </w:rPr>
        <w:t xml:space="preserve"> </w:t>
      </w:r>
      <w:r w:rsidRPr="00283806">
        <w:rPr>
          <w:w w:val="105"/>
        </w:rPr>
        <w:t>Act,</w:t>
      </w:r>
      <w:r w:rsidRPr="00283806">
        <w:rPr>
          <w:spacing w:val="40"/>
          <w:w w:val="105"/>
        </w:rPr>
        <w:t xml:space="preserve"> </w:t>
      </w:r>
      <w:r w:rsidRPr="00283806">
        <w:rPr>
          <w:w w:val="105"/>
        </w:rPr>
        <w:t>which,</w:t>
      </w:r>
      <w:r w:rsidRPr="00283806">
        <w:rPr>
          <w:spacing w:val="40"/>
          <w:w w:val="105"/>
        </w:rPr>
        <w:t xml:space="preserve"> </w:t>
      </w:r>
      <w:r w:rsidRPr="00283806">
        <w:rPr>
          <w:w w:val="105"/>
        </w:rPr>
        <w:t>by its terms, applies to activities such as production and consumption of HFCs, restrictions on use of HFCs in the</w:t>
      </w:r>
      <w:r w:rsidRPr="00283806">
        <w:rPr>
          <w:spacing w:val="80"/>
          <w:w w:val="105"/>
        </w:rPr>
        <w:t xml:space="preserve"> </w:t>
      </w:r>
      <w:r w:rsidRPr="00283806">
        <w:rPr>
          <w:w w:val="105"/>
        </w:rPr>
        <w:t>sectors or subsectors in which they are used, and practices, processes, or activities regarding servicing, repair, disposal, or installation of equipment that involves an HFC or a substitute for an</w:t>
      </w:r>
      <w:r w:rsidRPr="00283806">
        <w:rPr>
          <w:spacing w:val="25"/>
          <w:w w:val="105"/>
        </w:rPr>
        <w:t xml:space="preserve"> </w:t>
      </w:r>
      <w:r w:rsidRPr="00283806">
        <w:rPr>
          <w:w w:val="105"/>
        </w:rPr>
        <w:t>HFC,</w:t>
      </w:r>
      <w:r w:rsidRPr="00283806">
        <w:rPr>
          <w:spacing w:val="25"/>
          <w:w w:val="105"/>
        </w:rPr>
        <w:t xml:space="preserve"> </w:t>
      </w:r>
      <w:r w:rsidRPr="00283806">
        <w:rPr>
          <w:w w:val="105"/>
        </w:rPr>
        <w:t>or</w:t>
      </w:r>
      <w:r w:rsidRPr="00283806">
        <w:rPr>
          <w:spacing w:val="25"/>
          <w:w w:val="105"/>
        </w:rPr>
        <w:t xml:space="preserve"> </w:t>
      </w:r>
      <w:r w:rsidRPr="00283806">
        <w:rPr>
          <w:w w:val="105"/>
        </w:rPr>
        <w:t>the</w:t>
      </w:r>
      <w:r w:rsidRPr="00283806">
        <w:rPr>
          <w:spacing w:val="25"/>
          <w:w w:val="105"/>
        </w:rPr>
        <w:t xml:space="preserve"> </w:t>
      </w:r>
      <w:r w:rsidRPr="00283806">
        <w:rPr>
          <w:w w:val="105"/>
        </w:rPr>
        <w:t>reclaiming</w:t>
      </w:r>
      <w:r w:rsidRPr="00283806">
        <w:rPr>
          <w:spacing w:val="25"/>
          <w:w w:val="105"/>
        </w:rPr>
        <w:t xml:space="preserve"> </w:t>
      </w:r>
      <w:r w:rsidRPr="00283806">
        <w:rPr>
          <w:w w:val="105"/>
        </w:rPr>
        <w:t>of</w:t>
      </w:r>
      <w:r w:rsidRPr="00283806">
        <w:rPr>
          <w:spacing w:val="25"/>
          <w:w w:val="105"/>
        </w:rPr>
        <w:t xml:space="preserve"> </w:t>
      </w:r>
      <w:r w:rsidRPr="00283806">
        <w:rPr>
          <w:w w:val="105"/>
        </w:rPr>
        <w:t>an</w:t>
      </w:r>
      <w:r w:rsidRPr="00283806">
        <w:rPr>
          <w:spacing w:val="25"/>
          <w:w w:val="105"/>
        </w:rPr>
        <w:t xml:space="preserve"> </w:t>
      </w:r>
      <w:r w:rsidRPr="00283806">
        <w:rPr>
          <w:w w:val="105"/>
        </w:rPr>
        <w:t>HFC</w:t>
      </w:r>
      <w:r w:rsidRPr="00283806">
        <w:rPr>
          <w:spacing w:val="25"/>
          <w:w w:val="105"/>
        </w:rPr>
        <w:t xml:space="preserve"> </w:t>
      </w:r>
      <w:r w:rsidRPr="00283806">
        <w:rPr>
          <w:w w:val="105"/>
        </w:rPr>
        <w:t>or a substitute for an HFC used as a refrigerant, the Deepwater Port Act directs that Federal laws apply to deepwater ports ‘‘and to activities</w:t>
      </w:r>
    </w:p>
    <w:p w14:paraId="1B42B554" w14:textId="77777777" w:rsidR="00D67C1E" w:rsidRPr="00283806" w:rsidRDefault="001265CA">
      <w:pPr>
        <w:pStyle w:val="BodyText"/>
        <w:spacing w:before="135" w:line="225" w:lineRule="auto"/>
        <w:ind w:left="144" w:right="121"/>
      </w:pPr>
      <w:r w:rsidRPr="00283806">
        <w:br w:type="column"/>
      </w:r>
      <w:r w:rsidRPr="00283806">
        <w:rPr>
          <w:w w:val="110"/>
        </w:rPr>
        <w:t>connected, associated, or potentially interfering</w:t>
      </w:r>
      <w:r w:rsidRPr="00283806">
        <w:rPr>
          <w:spacing w:val="-11"/>
          <w:w w:val="110"/>
        </w:rPr>
        <w:t xml:space="preserve"> </w:t>
      </w:r>
      <w:r w:rsidRPr="00283806">
        <w:rPr>
          <w:w w:val="110"/>
        </w:rPr>
        <w:t>with</w:t>
      </w:r>
      <w:r w:rsidRPr="00283806">
        <w:rPr>
          <w:spacing w:val="-11"/>
          <w:w w:val="110"/>
        </w:rPr>
        <w:t xml:space="preserve"> </w:t>
      </w:r>
      <w:r w:rsidRPr="00283806">
        <w:rPr>
          <w:w w:val="110"/>
        </w:rPr>
        <w:t>the</w:t>
      </w:r>
      <w:r w:rsidRPr="00283806">
        <w:rPr>
          <w:spacing w:val="-11"/>
          <w:w w:val="110"/>
        </w:rPr>
        <w:t xml:space="preserve"> </w:t>
      </w:r>
      <w:r w:rsidRPr="00283806">
        <w:rPr>
          <w:w w:val="110"/>
        </w:rPr>
        <w:t>use</w:t>
      </w:r>
      <w:r w:rsidRPr="00283806">
        <w:rPr>
          <w:spacing w:val="-11"/>
          <w:w w:val="110"/>
        </w:rPr>
        <w:t xml:space="preserve"> </w:t>
      </w:r>
      <w:r w:rsidRPr="00283806">
        <w:rPr>
          <w:w w:val="110"/>
        </w:rPr>
        <w:t>or</w:t>
      </w:r>
      <w:r w:rsidRPr="00283806">
        <w:rPr>
          <w:spacing w:val="-10"/>
          <w:w w:val="110"/>
        </w:rPr>
        <w:t xml:space="preserve"> </w:t>
      </w:r>
      <w:r w:rsidRPr="00283806">
        <w:rPr>
          <w:w w:val="110"/>
        </w:rPr>
        <w:t>operation</w:t>
      </w:r>
      <w:r w:rsidRPr="00283806">
        <w:rPr>
          <w:spacing w:val="-11"/>
          <w:w w:val="110"/>
        </w:rPr>
        <w:t xml:space="preserve"> </w:t>
      </w:r>
      <w:r w:rsidRPr="00283806">
        <w:rPr>
          <w:w w:val="110"/>
        </w:rPr>
        <w:t>of any</w:t>
      </w:r>
      <w:r w:rsidRPr="00283806">
        <w:rPr>
          <w:spacing w:val="-7"/>
          <w:w w:val="110"/>
        </w:rPr>
        <w:t xml:space="preserve"> </w:t>
      </w:r>
      <w:r w:rsidRPr="00283806">
        <w:rPr>
          <w:w w:val="110"/>
        </w:rPr>
        <w:t>such</w:t>
      </w:r>
      <w:r w:rsidRPr="00283806">
        <w:rPr>
          <w:spacing w:val="-7"/>
          <w:w w:val="110"/>
        </w:rPr>
        <w:t xml:space="preserve"> </w:t>
      </w:r>
      <w:r w:rsidRPr="00283806">
        <w:rPr>
          <w:w w:val="110"/>
        </w:rPr>
        <w:t>port,</w:t>
      </w:r>
      <w:r w:rsidRPr="00283806">
        <w:rPr>
          <w:spacing w:val="-7"/>
          <w:w w:val="110"/>
        </w:rPr>
        <w:t xml:space="preserve"> </w:t>
      </w:r>
      <w:r w:rsidRPr="00283806">
        <w:rPr>
          <w:w w:val="110"/>
        </w:rPr>
        <w:t>in</w:t>
      </w:r>
      <w:r w:rsidRPr="00283806">
        <w:rPr>
          <w:spacing w:val="-7"/>
          <w:w w:val="110"/>
        </w:rPr>
        <w:t xml:space="preserve"> </w:t>
      </w:r>
      <w:r w:rsidRPr="00283806">
        <w:rPr>
          <w:w w:val="110"/>
        </w:rPr>
        <w:t>the</w:t>
      </w:r>
      <w:r w:rsidRPr="00283806">
        <w:rPr>
          <w:spacing w:val="-7"/>
          <w:w w:val="110"/>
        </w:rPr>
        <w:t xml:space="preserve"> </w:t>
      </w:r>
      <w:r w:rsidRPr="00283806">
        <w:rPr>
          <w:w w:val="110"/>
        </w:rPr>
        <w:t>same</w:t>
      </w:r>
      <w:r w:rsidRPr="00283806">
        <w:rPr>
          <w:spacing w:val="-7"/>
          <w:w w:val="110"/>
        </w:rPr>
        <w:t xml:space="preserve"> </w:t>
      </w:r>
      <w:r w:rsidRPr="00283806">
        <w:rPr>
          <w:w w:val="110"/>
        </w:rPr>
        <w:t>manner</w:t>
      </w:r>
      <w:r w:rsidRPr="00283806">
        <w:rPr>
          <w:spacing w:val="-7"/>
          <w:w w:val="110"/>
        </w:rPr>
        <w:t xml:space="preserve"> </w:t>
      </w:r>
      <w:r w:rsidRPr="00283806">
        <w:rPr>
          <w:w w:val="110"/>
        </w:rPr>
        <w:t>as</w:t>
      </w:r>
      <w:r w:rsidRPr="00283806">
        <w:rPr>
          <w:spacing w:val="-7"/>
          <w:w w:val="110"/>
        </w:rPr>
        <w:t xml:space="preserve"> </w:t>
      </w:r>
      <w:r w:rsidRPr="00283806">
        <w:rPr>
          <w:w w:val="110"/>
        </w:rPr>
        <w:t>if such port were an area of exclusive Federal jurisdiction located within a State.</w:t>
      </w:r>
      <w:r w:rsidRPr="00283806">
        <w:rPr>
          <w:spacing w:val="40"/>
          <w:w w:val="110"/>
        </w:rPr>
        <w:t xml:space="preserve"> </w:t>
      </w:r>
      <w:r w:rsidRPr="00283806">
        <w:rPr>
          <w:w w:val="110"/>
        </w:rPr>
        <w:t>.</w:t>
      </w:r>
      <w:r w:rsidRPr="00283806">
        <w:rPr>
          <w:spacing w:val="40"/>
          <w:w w:val="110"/>
        </w:rPr>
        <w:t xml:space="preserve"> </w:t>
      </w:r>
      <w:r w:rsidRPr="00283806">
        <w:rPr>
          <w:w w:val="110"/>
        </w:rPr>
        <w:t>.</w:t>
      </w:r>
      <w:r w:rsidRPr="00283806">
        <w:rPr>
          <w:spacing w:val="40"/>
          <w:w w:val="110"/>
        </w:rPr>
        <w:t xml:space="preserve"> </w:t>
      </w:r>
      <w:r w:rsidRPr="00283806">
        <w:rPr>
          <w:w w:val="110"/>
        </w:rPr>
        <w:t>.’’</w:t>
      </w:r>
      <w:r w:rsidRPr="00283806">
        <w:rPr>
          <w:spacing w:val="-1"/>
          <w:w w:val="110"/>
        </w:rPr>
        <w:t xml:space="preserve"> </w:t>
      </w:r>
      <w:r w:rsidRPr="00283806">
        <w:rPr>
          <w:w w:val="110"/>
        </w:rPr>
        <w:t>33</w:t>
      </w:r>
      <w:r w:rsidRPr="00283806">
        <w:rPr>
          <w:spacing w:val="-1"/>
          <w:w w:val="110"/>
        </w:rPr>
        <w:t xml:space="preserve"> </w:t>
      </w:r>
      <w:r w:rsidRPr="00283806">
        <w:rPr>
          <w:w w:val="110"/>
        </w:rPr>
        <w:t>U.S.C.</w:t>
      </w:r>
      <w:r w:rsidRPr="00283806">
        <w:rPr>
          <w:spacing w:val="-1"/>
          <w:w w:val="110"/>
        </w:rPr>
        <w:t xml:space="preserve"> </w:t>
      </w:r>
      <w:r w:rsidRPr="00283806">
        <w:rPr>
          <w:w w:val="110"/>
        </w:rPr>
        <w:t>1518(a)(1).</w:t>
      </w:r>
      <w:r w:rsidRPr="00283806">
        <w:rPr>
          <w:spacing w:val="-1"/>
          <w:w w:val="110"/>
        </w:rPr>
        <w:t xml:space="preserve"> </w:t>
      </w:r>
      <w:r w:rsidRPr="00283806">
        <w:rPr>
          <w:w w:val="110"/>
        </w:rPr>
        <w:t>Thus,</w:t>
      </w:r>
    </w:p>
    <w:p w14:paraId="69330A51" w14:textId="77777777" w:rsidR="00D67C1E" w:rsidRPr="00283806" w:rsidRDefault="001265CA">
      <w:pPr>
        <w:pStyle w:val="BodyText"/>
        <w:spacing w:line="225" w:lineRule="auto"/>
        <w:ind w:left="144" w:right="210"/>
      </w:pPr>
      <w:r w:rsidRPr="00283806">
        <w:rPr>
          <w:w w:val="105"/>
        </w:rPr>
        <w:t>any deepwater port or associated</w:t>
      </w:r>
      <w:r w:rsidRPr="00283806">
        <w:rPr>
          <w:spacing w:val="80"/>
          <w:w w:val="105"/>
        </w:rPr>
        <w:t xml:space="preserve"> </w:t>
      </w:r>
      <w:r w:rsidRPr="00283806">
        <w:rPr>
          <w:w w:val="105"/>
        </w:rPr>
        <w:t>activity</w:t>
      </w:r>
      <w:r w:rsidRPr="00283806">
        <w:rPr>
          <w:spacing w:val="38"/>
          <w:w w:val="105"/>
        </w:rPr>
        <w:t xml:space="preserve"> </w:t>
      </w:r>
      <w:r w:rsidRPr="00283806">
        <w:rPr>
          <w:w w:val="105"/>
        </w:rPr>
        <w:t>that</w:t>
      </w:r>
      <w:r w:rsidRPr="00283806">
        <w:rPr>
          <w:spacing w:val="38"/>
          <w:w w:val="105"/>
        </w:rPr>
        <w:t xml:space="preserve"> </w:t>
      </w:r>
      <w:r w:rsidRPr="00283806">
        <w:rPr>
          <w:w w:val="105"/>
        </w:rPr>
        <w:t>would</w:t>
      </w:r>
      <w:r w:rsidRPr="00283806">
        <w:rPr>
          <w:spacing w:val="38"/>
          <w:w w:val="105"/>
        </w:rPr>
        <w:t xml:space="preserve"> </w:t>
      </w:r>
      <w:r w:rsidRPr="00283806">
        <w:rPr>
          <w:w w:val="105"/>
        </w:rPr>
        <w:t>be</w:t>
      </w:r>
      <w:r w:rsidRPr="00283806">
        <w:rPr>
          <w:spacing w:val="38"/>
          <w:w w:val="105"/>
        </w:rPr>
        <w:t xml:space="preserve"> </w:t>
      </w:r>
      <w:r w:rsidRPr="00283806">
        <w:rPr>
          <w:w w:val="105"/>
        </w:rPr>
        <w:t>subject</w:t>
      </w:r>
      <w:r w:rsidRPr="00283806">
        <w:rPr>
          <w:spacing w:val="38"/>
          <w:w w:val="105"/>
        </w:rPr>
        <w:t xml:space="preserve"> </w:t>
      </w:r>
      <w:r w:rsidRPr="00283806">
        <w:rPr>
          <w:w w:val="105"/>
        </w:rPr>
        <w:t>to</w:t>
      </w:r>
      <w:r w:rsidRPr="00283806">
        <w:rPr>
          <w:spacing w:val="38"/>
          <w:w w:val="105"/>
        </w:rPr>
        <w:t xml:space="preserve"> </w:t>
      </w:r>
      <w:r w:rsidRPr="00283806">
        <w:rPr>
          <w:w w:val="105"/>
        </w:rPr>
        <w:t>the AIM Act if located onshore remains subject to these requirements offshore, both in the Gulf of Mexico and in other waters over the OCS. The requirements</w:t>
      </w:r>
      <w:r w:rsidRPr="00283806">
        <w:rPr>
          <w:spacing w:val="40"/>
          <w:w w:val="105"/>
        </w:rPr>
        <w:t xml:space="preserve"> </w:t>
      </w:r>
      <w:r w:rsidRPr="00283806">
        <w:rPr>
          <w:w w:val="105"/>
        </w:rPr>
        <w:t>of the AIM Act, the Deepwater Port Act, and other Federal laws apply by their terms to sources located offshore, independent of the authorities and limitations specified in CAA section 328 with respect to OCS sources.</w:t>
      </w:r>
    </w:p>
    <w:p w14:paraId="661FA51B" w14:textId="77777777" w:rsidR="00D67C1E" w:rsidRPr="00283806" w:rsidRDefault="001265CA">
      <w:pPr>
        <w:pStyle w:val="BodyText"/>
        <w:spacing w:line="176" w:lineRule="exact"/>
        <w:ind w:left="324"/>
      </w:pPr>
      <w:r w:rsidRPr="00283806">
        <w:rPr>
          <w:w w:val="105"/>
        </w:rPr>
        <w:t>The</w:t>
      </w:r>
      <w:r w:rsidRPr="00283806">
        <w:rPr>
          <w:spacing w:val="4"/>
          <w:w w:val="105"/>
        </w:rPr>
        <w:t xml:space="preserve"> </w:t>
      </w:r>
      <w:r w:rsidRPr="00283806">
        <w:rPr>
          <w:w w:val="105"/>
        </w:rPr>
        <w:t>commenter’s</w:t>
      </w:r>
      <w:r w:rsidRPr="00283806">
        <w:rPr>
          <w:spacing w:val="4"/>
          <w:w w:val="105"/>
        </w:rPr>
        <w:t xml:space="preserve"> </w:t>
      </w:r>
      <w:r w:rsidRPr="00283806">
        <w:rPr>
          <w:w w:val="105"/>
        </w:rPr>
        <w:t>reference</w:t>
      </w:r>
      <w:r w:rsidRPr="00283806">
        <w:rPr>
          <w:spacing w:val="5"/>
          <w:w w:val="105"/>
        </w:rPr>
        <w:t xml:space="preserve"> </w:t>
      </w:r>
      <w:r w:rsidRPr="00283806">
        <w:rPr>
          <w:w w:val="105"/>
        </w:rPr>
        <w:t>to</w:t>
      </w:r>
      <w:r w:rsidRPr="00283806">
        <w:rPr>
          <w:spacing w:val="4"/>
          <w:w w:val="105"/>
        </w:rPr>
        <w:t xml:space="preserve"> </w:t>
      </w:r>
      <w:r w:rsidRPr="00283806">
        <w:rPr>
          <w:spacing w:val="-2"/>
          <w:w w:val="105"/>
        </w:rPr>
        <w:t>section</w:t>
      </w:r>
    </w:p>
    <w:p w14:paraId="670DFB49" w14:textId="77777777" w:rsidR="00D67C1E" w:rsidRPr="00283806" w:rsidRDefault="001265CA">
      <w:pPr>
        <w:pStyle w:val="BodyText"/>
        <w:spacing w:before="1" w:line="225" w:lineRule="auto"/>
        <w:ind w:left="144" w:right="228"/>
      </w:pPr>
      <w:proofErr w:type="gramStart"/>
      <w:r w:rsidRPr="00283806">
        <w:rPr>
          <w:w w:val="105"/>
        </w:rPr>
        <w:t>(k)(1)(C) of the</w:t>
      </w:r>
      <w:proofErr w:type="gramEnd"/>
      <w:r w:rsidRPr="00283806">
        <w:rPr>
          <w:w w:val="105"/>
        </w:rPr>
        <w:t xml:space="preserve"> AIM Act provides no support for a claim that EPA’s authorities under the AIM Act are limited by CAA section 328. Section (k)(1)(C) of the AIM Act states that ‘‘sections 113, 114, 304, and 307 of the</w:t>
      </w:r>
    </w:p>
    <w:p w14:paraId="1E6E10BD" w14:textId="77777777" w:rsidR="00D67C1E" w:rsidRPr="00283806" w:rsidRDefault="001265CA">
      <w:pPr>
        <w:pStyle w:val="BodyText"/>
        <w:spacing w:line="192" w:lineRule="exact"/>
        <w:ind w:left="144"/>
      </w:pPr>
      <w:r w:rsidRPr="00283806">
        <w:rPr>
          <w:w w:val="110"/>
        </w:rPr>
        <w:t>Clean</w:t>
      </w:r>
      <w:r w:rsidRPr="00283806">
        <w:rPr>
          <w:spacing w:val="7"/>
          <w:w w:val="110"/>
        </w:rPr>
        <w:t xml:space="preserve"> </w:t>
      </w:r>
      <w:r w:rsidRPr="00283806">
        <w:rPr>
          <w:w w:val="110"/>
        </w:rPr>
        <w:t>Air</w:t>
      </w:r>
      <w:r w:rsidRPr="00283806">
        <w:rPr>
          <w:spacing w:val="7"/>
          <w:w w:val="110"/>
        </w:rPr>
        <w:t xml:space="preserve"> </w:t>
      </w:r>
      <w:r w:rsidRPr="00283806">
        <w:rPr>
          <w:w w:val="110"/>
        </w:rPr>
        <w:t>Act</w:t>
      </w:r>
      <w:r w:rsidRPr="00283806">
        <w:rPr>
          <w:spacing w:val="7"/>
          <w:w w:val="110"/>
        </w:rPr>
        <w:t xml:space="preserve"> </w:t>
      </w:r>
      <w:r w:rsidRPr="00283806">
        <w:rPr>
          <w:w w:val="110"/>
        </w:rPr>
        <w:t>(42</w:t>
      </w:r>
      <w:r w:rsidRPr="00283806">
        <w:rPr>
          <w:spacing w:val="7"/>
          <w:w w:val="110"/>
        </w:rPr>
        <w:t xml:space="preserve"> </w:t>
      </w:r>
      <w:r w:rsidRPr="00283806">
        <w:rPr>
          <w:w w:val="110"/>
        </w:rPr>
        <w:t>U.S.C.</w:t>
      </w:r>
      <w:r w:rsidRPr="00283806">
        <w:rPr>
          <w:spacing w:val="7"/>
          <w:w w:val="110"/>
        </w:rPr>
        <w:t xml:space="preserve"> </w:t>
      </w:r>
      <w:r w:rsidRPr="00283806">
        <w:rPr>
          <w:w w:val="110"/>
        </w:rPr>
        <w:t>7413,</w:t>
      </w:r>
      <w:r w:rsidRPr="00283806">
        <w:rPr>
          <w:spacing w:val="7"/>
          <w:w w:val="110"/>
        </w:rPr>
        <w:t xml:space="preserve"> </w:t>
      </w:r>
      <w:r w:rsidRPr="00283806">
        <w:rPr>
          <w:spacing w:val="-2"/>
          <w:w w:val="110"/>
        </w:rPr>
        <w:t>7414,</w:t>
      </w:r>
    </w:p>
    <w:p w14:paraId="7F84E7BE" w14:textId="77777777" w:rsidR="00D67C1E" w:rsidRPr="00283806" w:rsidRDefault="001265CA">
      <w:pPr>
        <w:pStyle w:val="BodyText"/>
        <w:spacing w:before="4" w:line="225" w:lineRule="auto"/>
        <w:ind w:left="144" w:right="132"/>
      </w:pPr>
      <w:r w:rsidRPr="00283806">
        <w:rPr>
          <w:w w:val="105"/>
        </w:rPr>
        <w:t>7604, 7607) shall apply’’ to the AIM Act and any regulations EPA promulgates under</w:t>
      </w:r>
      <w:r w:rsidRPr="00283806">
        <w:rPr>
          <w:spacing w:val="40"/>
          <w:w w:val="105"/>
        </w:rPr>
        <w:t xml:space="preserve"> </w:t>
      </w:r>
      <w:r w:rsidRPr="00283806">
        <w:rPr>
          <w:w w:val="105"/>
        </w:rPr>
        <w:t>the</w:t>
      </w:r>
      <w:r w:rsidRPr="00283806">
        <w:rPr>
          <w:spacing w:val="40"/>
          <w:w w:val="105"/>
        </w:rPr>
        <w:t xml:space="preserve"> </w:t>
      </w:r>
      <w:r w:rsidRPr="00283806">
        <w:rPr>
          <w:w w:val="105"/>
        </w:rPr>
        <w:t>AIM</w:t>
      </w:r>
      <w:r w:rsidRPr="00283806">
        <w:rPr>
          <w:spacing w:val="40"/>
          <w:w w:val="105"/>
        </w:rPr>
        <w:t xml:space="preserve"> </w:t>
      </w:r>
      <w:r w:rsidRPr="00283806">
        <w:rPr>
          <w:w w:val="105"/>
        </w:rPr>
        <w:t>Act</w:t>
      </w:r>
      <w:r w:rsidRPr="00283806">
        <w:rPr>
          <w:spacing w:val="40"/>
          <w:w w:val="105"/>
        </w:rPr>
        <w:t xml:space="preserve"> </w:t>
      </w:r>
      <w:r w:rsidRPr="00283806">
        <w:rPr>
          <w:w w:val="105"/>
        </w:rPr>
        <w:t>as</w:t>
      </w:r>
      <w:r w:rsidRPr="00283806">
        <w:rPr>
          <w:spacing w:val="40"/>
          <w:w w:val="105"/>
        </w:rPr>
        <w:t xml:space="preserve"> </w:t>
      </w:r>
      <w:r w:rsidRPr="00283806">
        <w:rPr>
          <w:w w:val="105"/>
        </w:rPr>
        <w:t>though</w:t>
      </w:r>
      <w:r w:rsidRPr="00283806">
        <w:rPr>
          <w:spacing w:val="40"/>
          <w:w w:val="105"/>
        </w:rPr>
        <w:t xml:space="preserve"> </w:t>
      </w:r>
      <w:r w:rsidRPr="00283806">
        <w:rPr>
          <w:w w:val="105"/>
        </w:rPr>
        <w:t>the</w:t>
      </w:r>
      <w:r w:rsidRPr="00283806">
        <w:rPr>
          <w:spacing w:val="40"/>
          <w:w w:val="105"/>
        </w:rPr>
        <w:t xml:space="preserve"> </w:t>
      </w:r>
      <w:r w:rsidRPr="00283806">
        <w:rPr>
          <w:w w:val="105"/>
        </w:rPr>
        <w:t>AIM Act were part of Title VI of the CAA.</w:t>
      </w:r>
      <w:r w:rsidRPr="00283806">
        <w:rPr>
          <w:spacing w:val="40"/>
          <w:w w:val="105"/>
        </w:rPr>
        <w:t xml:space="preserve"> </w:t>
      </w:r>
      <w:r w:rsidRPr="00283806">
        <w:rPr>
          <w:w w:val="105"/>
        </w:rPr>
        <w:t>These provisions of the CAA pertain to Federal and citizen enforcement, EPA’s information-gathering authorities, and judicial review of EPA’s actions under</w:t>
      </w:r>
      <w:r w:rsidRPr="00283806">
        <w:rPr>
          <w:spacing w:val="80"/>
          <w:w w:val="105"/>
        </w:rPr>
        <w:t xml:space="preserve"> </w:t>
      </w:r>
      <w:r w:rsidRPr="00283806">
        <w:rPr>
          <w:w w:val="105"/>
        </w:rPr>
        <w:t>the CAA. By directing that these provisions</w:t>
      </w:r>
      <w:r w:rsidRPr="00283806">
        <w:rPr>
          <w:spacing w:val="40"/>
          <w:w w:val="105"/>
        </w:rPr>
        <w:t xml:space="preserve"> </w:t>
      </w:r>
      <w:r w:rsidRPr="00283806">
        <w:rPr>
          <w:w w:val="105"/>
        </w:rPr>
        <w:t>apply</w:t>
      </w:r>
      <w:r w:rsidRPr="00283806">
        <w:rPr>
          <w:spacing w:val="40"/>
          <w:w w:val="105"/>
        </w:rPr>
        <w:t xml:space="preserve"> </w:t>
      </w:r>
      <w:r w:rsidRPr="00283806">
        <w:rPr>
          <w:w w:val="105"/>
        </w:rPr>
        <w:t>to</w:t>
      </w:r>
      <w:r w:rsidRPr="00283806">
        <w:rPr>
          <w:spacing w:val="40"/>
          <w:w w:val="105"/>
        </w:rPr>
        <w:t xml:space="preserve"> </w:t>
      </w:r>
      <w:r w:rsidRPr="00283806">
        <w:rPr>
          <w:w w:val="105"/>
        </w:rPr>
        <w:t>the</w:t>
      </w:r>
      <w:r w:rsidRPr="00283806">
        <w:rPr>
          <w:spacing w:val="40"/>
          <w:w w:val="105"/>
        </w:rPr>
        <w:t xml:space="preserve"> </w:t>
      </w:r>
      <w:r w:rsidRPr="00283806">
        <w:rPr>
          <w:w w:val="105"/>
        </w:rPr>
        <w:t>AIM</w:t>
      </w:r>
      <w:r w:rsidRPr="00283806">
        <w:rPr>
          <w:spacing w:val="40"/>
          <w:w w:val="105"/>
        </w:rPr>
        <w:t xml:space="preserve"> </w:t>
      </w:r>
      <w:r w:rsidRPr="00283806">
        <w:rPr>
          <w:w w:val="105"/>
        </w:rPr>
        <w:t>Act</w:t>
      </w:r>
      <w:r w:rsidRPr="00283806">
        <w:rPr>
          <w:spacing w:val="40"/>
          <w:w w:val="105"/>
        </w:rPr>
        <w:t xml:space="preserve"> </w:t>
      </w:r>
      <w:r w:rsidRPr="00283806">
        <w:rPr>
          <w:w w:val="105"/>
        </w:rPr>
        <w:t>and any implementing regulations promulgated by EPA to implement the AIM Act, Congress provided EPA and citizens with the same enforcement and information-gathering authorities that the CAA provides and vested the United States Courts of Appeals with</w:t>
      </w:r>
      <w:r w:rsidRPr="00283806">
        <w:rPr>
          <w:spacing w:val="80"/>
          <w:w w:val="105"/>
        </w:rPr>
        <w:t xml:space="preserve"> </w:t>
      </w:r>
      <w:r w:rsidRPr="00283806">
        <w:rPr>
          <w:w w:val="105"/>
        </w:rPr>
        <w:t>jurisdiction to review challenges to</w:t>
      </w:r>
      <w:r w:rsidRPr="00283806">
        <w:rPr>
          <w:spacing w:val="80"/>
          <w:w w:val="105"/>
        </w:rPr>
        <w:t xml:space="preserve"> </w:t>
      </w:r>
      <w:r w:rsidRPr="00283806">
        <w:rPr>
          <w:w w:val="105"/>
        </w:rPr>
        <w:t>EPA’s</w:t>
      </w:r>
      <w:r w:rsidRPr="00283806">
        <w:rPr>
          <w:spacing w:val="40"/>
          <w:w w:val="105"/>
        </w:rPr>
        <w:t xml:space="preserve"> </w:t>
      </w:r>
      <w:r w:rsidRPr="00283806">
        <w:rPr>
          <w:w w:val="105"/>
        </w:rPr>
        <w:t>final</w:t>
      </w:r>
      <w:r w:rsidRPr="00283806">
        <w:rPr>
          <w:spacing w:val="40"/>
          <w:w w:val="105"/>
        </w:rPr>
        <w:t xml:space="preserve"> </w:t>
      </w:r>
      <w:r w:rsidRPr="00283806">
        <w:rPr>
          <w:w w:val="105"/>
        </w:rPr>
        <w:t>actions</w:t>
      </w:r>
      <w:r w:rsidRPr="00283806">
        <w:rPr>
          <w:spacing w:val="40"/>
          <w:w w:val="105"/>
        </w:rPr>
        <w:t xml:space="preserve"> </w:t>
      </w:r>
      <w:r w:rsidRPr="00283806">
        <w:rPr>
          <w:w w:val="105"/>
        </w:rPr>
        <w:t>under</w:t>
      </w:r>
      <w:r w:rsidRPr="00283806">
        <w:rPr>
          <w:spacing w:val="40"/>
          <w:w w:val="105"/>
        </w:rPr>
        <w:t xml:space="preserve"> </w:t>
      </w:r>
      <w:r w:rsidRPr="00283806">
        <w:rPr>
          <w:w w:val="105"/>
        </w:rPr>
        <w:t>the</w:t>
      </w:r>
      <w:r w:rsidRPr="00283806">
        <w:rPr>
          <w:spacing w:val="40"/>
          <w:w w:val="105"/>
        </w:rPr>
        <w:t xml:space="preserve"> </w:t>
      </w:r>
      <w:r w:rsidRPr="00283806">
        <w:rPr>
          <w:w w:val="105"/>
        </w:rPr>
        <w:t>AIM</w:t>
      </w:r>
      <w:r w:rsidRPr="00283806">
        <w:rPr>
          <w:spacing w:val="40"/>
          <w:w w:val="105"/>
        </w:rPr>
        <w:t xml:space="preserve"> </w:t>
      </w:r>
      <w:r w:rsidRPr="00283806">
        <w:rPr>
          <w:w w:val="105"/>
        </w:rPr>
        <w:t>Act, in the same manner as under the CAA. CAA section 328 (42 U.S.C. 7627), by contrast, authorizes EPA to ‘‘establish requirements to control air pollution from</w:t>
      </w:r>
      <w:r w:rsidRPr="00283806">
        <w:rPr>
          <w:spacing w:val="40"/>
          <w:w w:val="105"/>
        </w:rPr>
        <w:t xml:space="preserve"> </w:t>
      </w:r>
      <w:r w:rsidRPr="00283806">
        <w:rPr>
          <w:w w:val="105"/>
        </w:rPr>
        <w:t>Outer</w:t>
      </w:r>
      <w:r w:rsidRPr="00283806">
        <w:rPr>
          <w:spacing w:val="40"/>
          <w:w w:val="105"/>
        </w:rPr>
        <w:t xml:space="preserve"> </w:t>
      </w:r>
      <w:r w:rsidRPr="00283806">
        <w:rPr>
          <w:w w:val="105"/>
        </w:rPr>
        <w:t>Continental</w:t>
      </w:r>
      <w:r w:rsidRPr="00283806">
        <w:rPr>
          <w:spacing w:val="40"/>
          <w:w w:val="105"/>
        </w:rPr>
        <w:t xml:space="preserve"> </w:t>
      </w:r>
      <w:r w:rsidRPr="00283806">
        <w:rPr>
          <w:w w:val="105"/>
        </w:rPr>
        <w:t>Shelf</w:t>
      </w:r>
      <w:r w:rsidRPr="00283806">
        <w:rPr>
          <w:spacing w:val="40"/>
          <w:w w:val="105"/>
        </w:rPr>
        <w:t xml:space="preserve"> </w:t>
      </w:r>
      <w:r w:rsidRPr="00283806">
        <w:rPr>
          <w:w w:val="105"/>
        </w:rPr>
        <w:t>sources’’ in specific offshore areas. Section 328 is not included among the CAA provisions expressly identified in section (k)(1)(C) of</w:t>
      </w:r>
      <w:r w:rsidRPr="00283806">
        <w:rPr>
          <w:spacing w:val="40"/>
          <w:w w:val="105"/>
        </w:rPr>
        <w:t xml:space="preserve"> </w:t>
      </w:r>
      <w:r w:rsidRPr="00283806">
        <w:rPr>
          <w:w w:val="105"/>
        </w:rPr>
        <w:t>the</w:t>
      </w:r>
      <w:r w:rsidRPr="00283806">
        <w:rPr>
          <w:spacing w:val="40"/>
          <w:w w:val="105"/>
        </w:rPr>
        <w:t xml:space="preserve"> </w:t>
      </w:r>
      <w:r w:rsidRPr="00283806">
        <w:rPr>
          <w:w w:val="105"/>
        </w:rPr>
        <w:t>AIM</w:t>
      </w:r>
      <w:r w:rsidRPr="00283806">
        <w:rPr>
          <w:spacing w:val="40"/>
          <w:w w:val="105"/>
        </w:rPr>
        <w:t xml:space="preserve"> </w:t>
      </w:r>
      <w:r w:rsidRPr="00283806">
        <w:rPr>
          <w:w w:val="105"/>
        </w:rPr>
        <w:t>Act,</w:t>
      </w:r>
      <w:r w:rsidRPr="00283806">
        <w:rPr>
          <w:spacing w:val="40"/>
          <w:w w:val="105"/>
        </w:rPr>
        <w:t xml:space="preserve"> </w:t>
      </w:r>
      <w:r w:rsidRPr="00283806">
        <w:rPr>
          <w:w w:val="105"/>
        </w:rPr>
        <w:t>and</w:t>
      </w:r>
      <w:r w:rsidRPr="00283806">
        <w:rPr>
          <w:spacing w:val="40"/>
          <w:w w:val="105"/>
        </w:rPr>
        <w:t xml:space="preserve"> </w:t>
      </w:r>
      <w:r w:rsidRPr="00283806">
        <w:rPr>
          <w:w w:val="105"/>
        </w:rPr>
        <w:t>there</w:t>
      </w:r>
      <w:r w:rsidRPr="00283806">
        <w:rPr>
          <w:spacing w:val="40"/>
          <w:w w:val="105"/>
        </w:rPr>
        <w:t xml:space="preserve"> </w:t>
      </w:r>
      <w:r w:rsidRPr="00283806">
        <w:rPr>
          <w:w w:val="105"/>
        </w:rPr>
        <w:t>is</w:t>
      </w:r>
      <w:r w:rsidRPr="00283806">
        <w:rPr>
          <w:spacing w:val="40"/>
          <w:w w:val="105"/>
        </w:rPr>
        <w:t xml:space="preserve"> </w:t>
      </w:r>
      <w:r w:rsidRPr="00283806">
        <w:rPr>
          <w:w w:val="105"/>
        </w:rPr>
        <w:t>no indication in either the CAA or the AIM Act that Congress intended for EPA’s regulatory authorities with respect to OCS sources under CAA section 328 to apply to or limit its authorities with respect to HFCs or HFC substitutes</w:t>
      </w:r>
      <w:r w:rsidRPr="00283806">
        <w:rPr>
          <w:spacing w:val="80"/>
          <w:w w:val="105"/>
        </w:rPr>
        <w:t xml:space="preserve"> </w:t>
      </w:r>
      <w:r w:rsidRPr="00283806">
        <w:rPr>
          <w:w w:val="105"/>
        </w:rPr>
        <w:t>under the AIM Act.</w:t>
      </w:r>
    </w:p>
    <w:p w14:paraId="28BB4FFF" w14:textId="77777777" w:rsidR="00D67C1E" w:rsidRPr="00283806" w:rsidRDefault="001265CA">
      <w:pPr>
        <w:pStyle w:val="BodyText"/>
        <w:spacing w:line="167" w:lineRule="exact"/>
        <w:ind w:left="324"/>
      </w:pPr>
      <w:r w:rsidRPr="00283806">
        <w:rPr>
          <w:w w:val="105"/>
        </w:rPr>
        <w:t>The</w:t>
      </w:r>
      <w:r w:rsidRPr="00283806">
        <w:rPr>
          <w:spacing w:val="18"/>
          <w:w w:val="105"/>
        </w:rPr>
        <w:t xml:space="preserve"> </w:t>
      </w:r>
      <w:r w:rsidRPr="00283806">
        <w:rPr>
          <w:w w:val="105"/>
        </w:rPr>
        <w:t>AIM</w:t>
      </w:r>
      <w:r w:rsidRPr="00283806">
        <w:rPr>
          <w:spacing w:val="18"/>
          <w:w w:val="105"/>
        </w:rPr>
        <w:t xml:space="preserve"> </w:t>
      </w:r>
      <w:r w:rsidRPr="00283806">
        <w:rPr>
          <w:w w:val="105"/>
        </w:rPr>
        <w:t>Act</w:t>
      </w:r>
      <w:r w:rsidRPr="00283806">
        <w:rPr>
          <w:spacing w:val="19"/>
          <w:w w:val="105"/>
        </w:rPr>
        <w:t xml:space="preserve"> </w:t>
      </w:r>
      <w:r w:rsidRPr="00283806">
        <w:rPr>
          <w:w w:val="105"/>
        </w:rPr>
        <w:t>itself</w:t>
      </w:r>
      <w:r w:rsidRPr="00283806">
        <w:rPr>
          <w:spacing w:val="18"/>
          <w:w w:val="105"/>
        </w:rPr>
        <w:t xml:space="preserve"> </w:t>
      </w:r>
      <w:r w:rsidRPr="00283806">
        <w:rPr>
          <w:w w:val="105"/>
        </w:rPr>
        <w:t>creates</w:t>
      </w:r>
      <w:r w:rsidRPr="00283806">
        <w:rPr>
          <w:spacing w:val="19"/>
          <w:w w:val="105"/>
        </w:rPr>
        <w:t xml:space="preserve"> </w:t>
      </w:r>
      <w:r w:rsidRPr="00283806">
        <w:rPr>
          <w:spacing w:val="-5"/>
          <w:w w:val="105"/>
        </w:rPr>
        <w:t>no</w:t>
      </w:r>
    </w:p>
    <w:p w14:paraId="34F8B9BC" w14:textId="77777777" w:rsidR="00D67C1E" w:rsidRPr="00283806" w:rsidRDefault="001265CA">
      <w:pPr>
        <w:pStyle w:val="BodyText"/>
        <w:spacing w:before="4" w:line="225" w:lineRule="auto"/>
        <w:ind w:left="144" w:right="121"/>
      </w:pPr>
      <w:r w:rsidRPr="00283806">
        <w:rPr>
          <w:w w:val="105"/>
        </w:rPr>
        <w:t>exemption for emissions sources in the western and central Gulf of Mexico from its requirements. Establishing an exemption from the requirements of this rule for sources in the western and central Gulf of Mexico could create an unequal framework rather than fairly</w:t>
      </w:r>
    </w:p>
    <w:p w14:paraId="44FA41CE"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7" w:space="40"/>
            <w:col w:w="3500" w:space="39"/>
            <w:col w:w="3624"/>
          </w:cols>
        </w:sectPr>
      </w:pPr>
    </w:p>
    <w:p w14:paraId="4FBB53E0" w14:textId="77777777" w:rsidR="00D67C1E" w:rsidRPr="00283806" w:rsidRDefault="001265CA">
      <w:pPr>
        <w:pStyle w:val="BodyText"/>
        <w:spacing w:before="136" w:line="225" w:lineRule="auto"/>
        <w:ind w:right="106"/>
      </w:pPr>
      <w:r w:rsidRPr="00283806">
        <w:rPr>
          <w:w w:val="105"/>
        </w:rPr>
        <w:lastRenderedPageBreak/>
        <w:t>applying regulations under the AIM Act subsection (h) to similarly situated sources, including those in the eastern Gulf of Mexico, which the commenter concedes would be subject to these</w:t>
      </w:r>
      <w:r w:rsidRPr="00283806">
        <w:rPr>
          <w:spacing w:val="80"/>
          <w:w w:val="105"/>
        </w:rPr>
        <w:t xml:space="preserve"> </w:t>
      </w:r>
      <w:r w:rsidRPr="00283806">
        <w:rPr>
          <w:spacing w:val="-2"/>
          <w:w w:val="105"/>
        </w:rPr>
        <w:t>rules.</w:t>
      </w:r>
    </w:p>
    <w:p w14:paraId="608DA29F" w14:textId="77777777" w:rsidR="00D67C1E" w:rsidRPr="00283806" w:rsidRDefault="001265CA">
      <w:pPr>
        <w:pStyle w:val="BodyText"/>
        <w:spacing w:line="178" w:lineRule="exact"/>
        <w:ind w:left="340"/>
      </w:pPr>
      <w:r w:rsidRPr="00283806">
        <w:rPr>
          <w:w w:val="105"/>
        </w:rPr>
        <w:t>EPA</w:t>
      </w:r>
      <w:r w:rsidRPr="00283806">
        <w:rPr>
          <w:spacing w:val="7"/>
          <w:w w:val="105"/>
        </w:rPr>
        <w:t xml:space="preserve"> </w:t>
      </w:r>
      <w:r w:rsidRPr="00283806">
        <w:rPr>
          <w:w w:val="105"/>
        </w:rPr>
        <w:t>further</w:t>
      </w:r>
      <w:r w:rsidRPr="00283806">
        <w:rPr>
          <w:spacing w:val="8"/>
          <w:w w:val="105"/>
        </w:rPr>
        <w:t xml:space="preserve"> </w:t>
      </w:r>
      <w:r w:rsidRPr="00283806">
        <w:rPr>
          <w:w w:val="105"/>
        </w:rPr>
        <w:t>notes</w:t>
      </w:r>
      <w:r w:rsidRPr="00283806">
        <w:rPr>
          <w:spacing w:val="8"/>
          <w:w w:val="105"/>
        </w:rPr>
        <w:t xml:space="preserve"> </w:t>
      </w:r>
      <w:r w:rsidRPr="00283806">
        <w:rPr>
          <w:w w:val="105"/>
        </w:rPr>
        <w:t>that</w:t>
      </w:r>
      <w:r w:rsidRPr="00283806">
        <w:rPr>
          <w:spacing w:val="8"/>
          <w:w w:val="105"/>
        </w:rPr>
        <w:t xml:space="preserve"> </w:t>
      </w:r>
      <w:r w:rsidRPr="00283806">
        <w:rPr>
          <w:w w:val="105"/>
        </w:rPr>
        <w:t>this</w:t>
      </w:r>
      <w:r w:rsidRPr="00283806">
        <w:rPr>
          <w:spacing w:val="8"/>
          <w:w w:val="105"/>
        </w:rPr>
        <w:t xml:space="preserve"> </w:t>
      </w:r>
      <w:r w:rsidRPr="00283806">
        <w:rPr>
          <w:w w:val="105"/>
        </w:rPr>
        <w:t>ER&amp;R</w:t>
      </w:r>
      <w:r w:rsidRPr="00283806">
        <w:rPr>
          <w:spacing w:val="8"/>
          <w:w w:val="105"/>
        </w:rPr>
        <w:t xml:space="preserve"> </w:t>
      </w:r>
      <w:r w:rsidRPr="00283806">
        <w:rPr>
          <w:spacing w:val="-4"/>
          <w:w w:val="105"/>
        </w:rPr>
        <w:t>rule</w:t>
      </w:r>
    </w:p>
    <w:p w14:paraId="34A49D55" w14:textId="77777777" w:rsidR="00D67C1E" w:rsidRPr="00283806" w:rsidRDefault="001265CA">
      <w:pPr>
        <w:pStyle w:val="BodyText"/>
        <w:spacing w:before="4" w:line="225" w:lineRule="auto"/>
        <w:ind w:right="38"/>
      </w:pPr>
      <w:r w:rsidRPr="00283806">
        <w:rPr>
          <w:w w:val="105"/>
        </w:rPr>
        <w:t>implements</w:t>
      </w:r>
      <w:r w:rsidRPr="00283806">
        <w:rPr>
          <w:spacing w:val="35"/>
          <w:w w:val="105"/>
        </w:rPr>
        <w:t xml:space="preserve"> </w:t>
      </w:r>
      <w:r w:rsidRPr="00283806">
        <w:rPr>
          <w:w w:val="105"/>
        </w:rPr>
        <w:t>provisions</w:t>
      </w:r>
      <w:r w:rsidRPr="00283806">
        <w:rPr>
          <w:spacing w:val="35"/>
          <w:w w:val="105"/>
        </w:rPr>
        <w:t xml:space="preserve"> </w:t>
      </w:r>
      <w:r w:rsidRPr="00283806">
        <w:rPr>
          <w:w w:val="105"/>
        </w:rPr>
        <w:t>under</w:t>
      </w:r>
      <w:r w:rsidRPr="00283806">
        <w:rPr>
          <w:spacing w:val="40"/>
          <w:w w:val="105"/>
        </w:rPr>
        <w:t xml:space="preserve"> </w:t>
      </w:r>
      <w:r w:rsidRPr="00283806">
        <w:rPr>
          <w:w w:val="105"/>
        </w:rPr>
        <w:t>subsection (h) of the AIM Act. To the extent this comment relates to the application of EPA’s rules under CAA</w:t>
      </w:r>
      <w:r w:rsidRPr="00283806">
        <w:rPr>
          <w:spacing w:val="40"/>
          <w:w w:val="105"/>
        </w:rPr>
        <w:t xml:space="preserve"> </w:t>
      </w:r>
      <w:r w:rsidRPr="00283806">
        <w:rPr>
          <w:w w:val="105"/>
        </w:rPr>
        <w:t xml:space="preserve">Title VI or other </w:t>
      </w:r>
      <w:proofErr w:type="gramStart"/>
      <w:r w:rsidRPr="00283806">
        <w:rPr>
          <w:w w:val="105"/>
        </w:rPr>
        <w:t>particular aspects</w:t>
      </w:r>
      <w:proofErr w:type="gramEnd"/>
      <w:r w:rsidRPr="00283806">
        <w:rPr>
          <w:w w:val="105"/>
        </w:rPr>
        <w:t xml:space="preserve"> of the AIM Act or regulations under Part 84, those topics are beyond the scope of this rulemaking and thus require no further </w:t>
      </w:r>
      <w:r w:rsidRPr="00283806">
        <w:rPr>
          <w:spacing w:val="-2"/>
          <w:w w:val="105"/>
        </w:rPr>
        <w:t>response.</w:t>
      </w:r>
    </w:p>
    <w:p w14:paraId="2A348B1D" w14:textId="77777777" w:rsidR="00D67C1E" w:rsidRPr="00283806" w:rsidRDefault="001265CA">
      <w:pPr>
        <w:pStyle w:val="BodyText"/>
        <w:spacing w:line="177" w:lineRule="exact"/>
        <w:ind w:left="340"/>
      </w:pPr>
      <w:r w:rsidRPr="00283806">
        <w:rPr>
          <w:w w:val="105"/>
        </w:rPr>
        <w:t>Regarding</w:t>
      </w:r>
      <w:r w:rsidRPr="00283806">
        <w:rPr>
          <w:spacing w:val="6"/>
          <w:w w:val="105"/>
        </w:rPr>
        <w:t xml:space="preserve"> </w:t>
      </w:r>
      <w:r w:rsidRPr="00283806">
        <w:rPr>
          <w:w w:val="105"/>
        </w:rPr>
        <w:t>the</w:t>
      </w:r>
      <w:r w:rsidRPr="00283806">
        <w:rPr>
          <w:spacing w:val="6"/>
          <w:w w:val="105"/>
        </w:rPr>
        <w:t xml:space="preserve"> </w:t>
      </w:r>
      <w:r w:rsidRPr="00283806">
        <w:rPr>
          <w:w w:val="105"/>
        </w:rPr>
        <w:t>commenter’s</w:t>
      </w:r>
      <w:r w:rsidRPr="00283806">
        <w:rPr>
          <w:spacing w:val="6"/>
          <w:w w:val="105"/>
        </w:rPr>
        <w:t xml:space="preserve"> </w:t>
      </w:r>
      <w:r w:rsidRPr="00283806">
        <w:rPr>
          <w:spacing w:val="-2"/>
          <w:w w:val="105"/>
        </w:rPr>
        <w:t>statement</w:t>
      </w:r>
    </w:p>
    <w:p w14:paraId="3CC9AB15" w14:textId="77777777" w:rsidR="00D67C1E" w:rsidRPr="00283806" w:rsidRDefault="001265CA">
      <w:pPr>
        <w:pStyle w:val="BodyText"/>
        <w:spacing w:before="3" w:line="225" w:lineRule="auto"/>
        <w:ind w:right="27"/>
      </w:pPr>
      <w:r w:rsidRPr="00283806">
        <w:rPr>
          <w:w w:val="105"/>
        </w:rPr>
        <w:t>about the tracking, recordkeeping, and reporting of information regarding sale and distribution of HFCs, as noted previously in this preamble, EPA is not finalizing the proposed provisions for container tracking of HFCs that could be used in the servicing, repair, and/or installation of refrigerant-containing or fire suppression equipment. Thus, any concerns pertaining to that aspect of the proposal are not relevant to this action. However, EPA is establishing a discrete reporting requirement to better understand</w:t>
      </w:r>
      <w:r w:rsidRPr="00283806">
        <w:rPr>
          <w:spacing w:val="40"/>
          <w:w w:val="105"/>
        </w:rPr>
        <w:t xml:space="preserve"> </w:t>
      </w:r>
      <w:r w:rsidRPr="00283806">
        <w:rPr>
          <w:w w:val="105"/>
        </w:rPr>
        <w:t>the</w:t>
      </w:r>
      <w:r w:rsidRPr="00283806">
        <w:rPr>
          <w:spacing w:val="40"/>
          <w:w w:val="105"/>
        </w:rPr>
        <w:t xml:space="preserve"> </w:t>
      </w:r>
      <w:r w:rsidRPr="00283806">
        <w:rPr>
          <w:w w:val="105"/>
        </w:rPr>
        <w:t>use</w:t>
      </w:r>
      <w:r w:rsidRPr="00283806">
        <w:rPr>
          <w:spacing w:val="40"/>
          <w:w w:val="105"/>
        </w:rPr>
        <w:t xml:space="preserve"> </w:t>
      </w:r>
      <w:r w:rsidRPr="00283806">
        <w:rPr>
          <w:w w:val="105"/>
        </w:rPr>
        <w:t>of</w:t>
      </w:r>
      <w:r w:rsidRPr="00283806">
        <w:rPr>
          <w:spacing w:val="40"/>
          <w:w w:val="105"/>
        </w:rPr>
        <w:t xml:space="preserve"> </w:t>
      </w:r>
      <w:r w:rsidRPr="00283806">
        <w:rPr>
          <w:w w:val="105"/>
        </w:rPr>
        <w:t>reclaimed</w:t>
      </w:r>
      <w:r w:rsidRPr="00283806">
        <w:rPr>
          <w:spacing w:val="40"/>
          <w:w w:val="105"/>
        </w:rPr>
        <w:t xml:space="preserve"> </w:t>
      </w:r>
      <w:r w:rsidRPr="00283806">
        <w:rPr>
          <w:w w:val="105"/>
        </w:rPr>
        <w:t>HFCs in the subsectors covered in this rulemaking, as described in section</w:t>
      </w:r>
    </w:p>
    <w:p w14:paraId="1FB50C6A" w14:textId="77777777" w:rsidR="00D67C1E" w:rsidRPr="00283806" w:rsidRDefault="001265CA">
      <w:pPr>
        <w:pStyle w:val="BodyText"/>
        <w:spacing w:line="225" w:lineRule="auto"/>
        <w:ind w:right="111"/>
      </w:pPr>
      <w:r w:rsidRPr="00283806">
        <w:rPr>
          <w:w w:val="105"/>
        </w:rPr>
        <w:t>IV.E.2 above. EPA additionally notes</w:t>
      </w:r>
      <w:r w:rsidRPr="00283806">
        <w:rPr>
          <w:spacing w:val="80"/>
          <w:w w:val="105"/>
        </w:rPr>
        <w:t xml:space="preserve"> </w:t>
      </w:r>
      <w:r w:rsidRPr="00283806">
        <w:rPr>
          <w:w w:val="105"/>
        </w:rPr>
        <w:t xml:space="preserve">that the other recordkeeping and reporting provisions established under this rule provide no exemption for offshore sources, and remain applicable by their terms, consistent with the discussion earlier in this response to </w:t>
      </w:r>
      <w:r w:rsidRPr="00283806">
        <w:rPr>
          <w:spacing w:val="-2"/>
          <w:w w:val="105"/>
        </w:rPr>
        <w:t>comment.’’</w:t>
      </w:r>
    </w:p>
    <w:p w14:paraId="7FA9F26E" w14:textId="77777777" w:rsidR="00D67C1E" w:rsidRPr="00283806" w:rsidRDefault="001265CA">
      <w:pPr>
        <w:pStyle w:val="BodyText"/>
        <w:spacing w:line="213" w:lineRule="auto"/>
        <w:ind w:right="27" w:firstLine="180"/>
      </w:pPr>
      <w:r w:rsidRPr="00283806">
        <w:rPr>
          <w:rFonts w:ascii="Book Antiqua" w:hAnsi="Book Antiqua"/>
          <w:i/>
          <w:w w:val="105"/>
        </w:rPr>
        <w:t xml:space="preserve">Comment: </w:t>
      </w:r>
      <w:r w:rsidRPr="00283806">
        <w:rPr>
          <w:w w:val="105"/>
        </w:rPr>
        <w:t>One commenter stated that EPA’s statutory authority and specific</w:t>
      </w:r>
    </w:p>
    <w:p w14:paraId="35C66172" w14:textId="77777777" w:rsidR="00D67C1E" w:rsidRPr="00283806" w:rsidRDefault="001265CA">
      <w:pPr>
        <w:pStyle w:val="BodyText"/>
        <w:spacing w:line="225" w:lineRule="auto"/>
        <w:ind w:right="35"/>
      </w:pPr>
      <w:r w:rsidRPr="00283806">
        <w:rPr>
          <w:w w:val="105"/>
        </w:rPr>
        <w:t>legislative guidance indicated the importance of interpreting similar authorities to avoid unreasonable outcomes and thus understood subsection (h)(2) to mean that in developing regulations for equipment servicing, repair, disposal, or</w:t>
      </w:r>
      <w:r w:rsidRPr="00283806">
        <w:rPr>
          <w:spacing w:val="80"/>
          <w:w w:val="150"/>
        </w:rPr>
        <w:t xml:space="preserve"> </w:t>
      </w:r>
      <w:r w:rsidRPr="00283806">
        <w:rPr>
          <w:w w:val="105"/>
        </w:rPr>
        <w:t>installation ‘‘EPA should prioritize, and may only have the authority to</w:t>
      </w:r>
      <w:r w:rsidRPr="00283806">
        <w:rPr>
          <w:spacing w:val="80"/>
          <w:w w:val="105"/>
        </w:rPr>
        <w:t xml:space="preserve"> </w:t>
      </w:r>
      <w:r w:rsidRPr="00283806">
        <w:rPr>
          <w:w w:val="105"/>
        </w:rPr>
        <w:t>prioritize, the exploration of opportunities for refrigerant reclamation.’’ The commenter stated</w:t>
      </w:r>
      <w:r w:rsidRPr="00283806">
        <w:rPr>
          <w:spacing w:val="80"/>
          <w:w w:val="105"/>
        </w:rPr>
        <w:t xml:space="preserve"> </w:t>
      </w:r>
      <w:r w:rsidRPr="00283806">
        <w:rPr>
          <w:w w:val="105"/>
        </w:rPr>
        <w:t>that this interpretation aligns with the Agency’s mission and ensures a responsible and sustainable approach to refrigerant management, while ensuring that there is adequate access to refrigerant supply to meet demand.</w:t>
      </w:r>
    </w:p>
    <w:p w14:paraId="16951314" w14:textId="77777777" w:rsidR="00D67C1E" w:rsidRPr="00283806" w:rsidRDefault="001265CA">
      <w:pPr>
        <w:pStyle w:val="BodyText"/>
        <w:spacing w:line="225" w:lineRule="auto"/>
        <w:ind w:right="106" w:firstLine="180"/>
      </w:pPr>
      <w:r w:rsidRPr="00283806">
        <w:rPr>
          <w:rFonts w:ascii="Book Antiqua" w:hAnsi="Book Antiqua"/>
          <w:i/>
          <w:w w:val="105"/>
        </w:rPr>
        <w:t xml:space="preserve">Response: </w:t>
      </w:r>
      <w:r w:rsidRPr="00283806">
        <w:rPr>
          <w:w w:val="105"/>
        </w:rPr>
        <w:t>EPA disagrees with the commenter’s interpretation of subsection (h)(2). Subsection (h)(1) of the AIM Act provides EPA authority to promulgate regulations to control, where appropriate, any practice, process, or activity regarding the servicing, repair, disposal, or</w:t>
      </w:r>
    </w:p>
    <w:p w14:paraId="7009B6BC" w14:textId="77777777" w:rsidR="00D67C1E" w:rsidRPr="00283806" w:rsidRDefault="001265CA">
      <w:pPr>
        <w:pStyle w:val="BodyText"/>
        <w:spacing w:before="134" w:line="228" w:lineRule="auto"/>
        <w:ind w:left="145"/>
      </w:pPr>
      <w:r w:rsidRPr="00283806">
        <w:br w:type="column"/>
      </w:r>
      <w:r w:rsidRPr="00283806">
        <w:rPr>
          <w:w w:val="105"/>
        </w:rPr>
        <w:t>installation of equipment that involves HFCs or their substitutes, or the reclaiming of HFCs or their substitutes used as refrigerants. Subsection</w:t>
      </w:r>
      <w:r w:rsidRPr="00283806">
        <w:rPr>
          <w:spacing w:val="40"/>
          <w:w w:val="105"/>
        </w:rPr>
        <w:t xml:space="preserve"> </w:t>
      </w:r>
      <w:r w:rsidRPr="00283806">
        <w:rPr>
          <w:w w:val="105"/>
        </w:rPr>
        <w:t>(h)(2)(A) of the Act provides that the Administrator ‘‘shall consider the use of authority available .</w:t>
      </w:r>
      <w:r w:rsidRPr="00283806">
        <w:rPr>
          <w:spacing w:val="40"/>
          <w:w w:val="105"/>
        </w:rPr>
        <w:t xml:space="preserve"> </w:t>
      </w:r>
      <w:r w:rsidRPr="00283806">
        <w:rPr>
          <w:w w:val="105"/>
        </w:rPr>
        <w:t>.</w:t>
      </w:r>
      <w:r w:rsidRPr="00283806">
        <w:rPr>
          <w:spacing w:val="40"/>
          <w:w w:val="105"/>
        </w:rPr>
        <w:t xml:space="preserve"> </w:t>
      </w:r>
      <w:r w:rsidRPr="00283806">
        <w:rPr>
          <w:w w:val="105"/>
        </w:rPr>
        <w:t>. under this</w:t>
      </w:r>
      <w:r w:rsidRPr="00283806">
        <w:rPr>
          <w:spacing w:val="80"/>
          <w:w w:val="105"/>
        </w:rPr>
        <w:t xml:space="preserve"> </w:t>
      </w:r>
      <w:r w:rsidRPr="00283806">
        <w:rPr>
          <w:w w:val="105"/>
        </w:rPr>
        <w:t xml:space="preserve">section to increase opportunities for the reclaiming of regulated substances used as </w:t>
      </w:r>
      <w:proofErr w:type="gramStart"/>
      <w:r w:rsidRPr="00283806">
        <w:rPr>
          <w:w w:val="105"/>
        </w:rPr>
        <w:t>refrigerants.’</w:t>
      </w:r>
      <w:proofErr w:type="gramEnd"/>
      <w:r w:rsidRPr="00283806">
        <w:rPr>
          <w:w w:val="105"/>
        </w:rPr>
        <w:t>’ Subsection (h)(2)(B) of the Act provides that a ‘‘regulated substance used as a refrigerant that is recovered shall be reclaimed before the regulated substance is sold or</w:t>
      </w:r>
      <w:r w:rsidRPr="00283806">
        <w:rPr>
          <w:spacing w:val="40"/>
          <w:w w:val="105"/>
        </w:rPr>
        <w:t xml:space="preserve"> </w:t>
      </w:r>
      <w:r w:rsidRPr="00283806">
        <w:rPr>
          <w:w w:val="105"/>
        </w:rPr>
        <w:t>transferred to a new owner, except</w:t>
      </w:r>
      <w:r w:rsidRPr="00283806">
        <w:rPr>
          <w:spacing w:val="40"/>
          <w:w w:val="105"/>
        </w:rPr>
        <w:t xml:space="preserve"> </w:t>
      </w:r>
      <w:r w:rsidRPr="00283806">
        <w:rPr>
          <w:w w:val="105"/>
        </w:rPr>
        <w:t>where</w:t>
      </w:r>
      <w:r w:rsidRPr="00283806">
        <w:rPr>
          <w:spacing w:val="-5"/>
          <w:w w:val="105"/>
        </w:rPr>
        <w:t xml:space="preserve"> </w:t>
      </w:r>
      <w:r w:rsidRPr="00283806">
        <w:rPr>
          <w:w w:val="105"/>
        </w:rPr>
        <w:t>the</w:t>
      </w:r>
      <w:r w:rsidRPr="00283806">
        <w:rPr>
          <w:spacing w:val="-5"/>
          <w:w w:val="105"/>
        </w:rPr>
        <w:t xml:space="preserve"> </w:t>
      </w:r>
      <w:r w:rsidRPr="00283806">
        <w:rPr>
          <w:w w:val="105"/>
        </w:rPr>
        <w:t>recovered</w:t>
      </w:r>
      <w:r w:rsidRPr="00283806">
        <w:rPr>
          <w:spacing w:val="-5"/>
          <w:w w:val="105"/>
        </w:rPr>
        <w:t xml:space="preserve"> </w:t>
      </w:r>
      <w:r w:rsidRPr="00283806">
        <w:rPr>
          <w:w w:val="105"/>
        </w:rPr>
        <w:t>regulated</w:t>
      </w:r>
      <w:r w:rsidRPr="00283806">
        <w:rPr>
          <w:spacing w:val="-5"/>
          <w:w w:val="105"/>
        </w:rPr>
        <w:t xml:space="preserve"> </w:t>
      </w:r>
      <w:r w:rsidRPr="00283806">
        <w:rPr>
          <w:w w:val="105"/>
        </w:rPr>
        <w:t>substance is sold or transferred to a new owner solely for the purposes of being</w:t>
      </w:r>
      <w:r w:rsidRPr="00283806">
        <w:rPr>
          <w:spacing w:val="40"/>
          <w:w w:val="105"/>
        </w:rPr>
        <w:t xml:space="preserve"> </w:t>
      </w:r>
      <w:r w:rsidRPr="00283806">
        <w:rPr>
          <w:w w:val="105"/>
        </w:rPr>
        <w:t xml:space="preserve">reclaimed or </w:t>
      </w:r>
      <w:proofErr w:type="gramStart"/>
      <w:r w:rsidRPr="00283806">
        <w:rPr>
          <w:w w:val="105"/>
        </w:rPr>
        <w:t>destroyed.’</w:t>
      </w:r>
      <w:proofErr w:type="gramEnd"/>
      <w:r w:rsidRPr="00283806">
        <w:rPr>
          <w:w w:val="105"/>
        </w:rPr>
        <w:t>’ While subsection (h)(2)(A) requires that the Agency consider the potential to</w:t>
      </w:r>
      <w:r w:rsidRPr="00283806">
        <w:rPr>
          <w:spacing w:val="80"/>
          <w:w w:val="105"/>
        </w:rPr>
        <w:t xml:space="preserve"> </w:t>
      </w:r>
      <w:r w:rsidRPr="00283806">
        <w:rPr>
          <w:w w:val="105"/>
        </w:rPr>
        <w:t>increase opportunities for reclamation</w:t>
      </w:r>
      <w:r w:rsidRPr="00283806">
        <w:rPr>
          <w:spacing w:val="80"/>
          <w:w w:val="150"/>
        </w:rPr>
        <w:t xml:space="preserve"> </w:t>
      </w:r>
      <w:r w:rsidRPr="00283806">
        <w:rPr>
          <w:w w:val="105"/>
        </w:rPr>
        <w:t>of regulated substances used as refrigerants, nothing in this statutory language limits the use of EPA’s authorities for other purposes or</w:t>
      </w:r>
      <w:r w:rsidRPr="00283806">
        <w:rPr>
          <w:spacing w:val="40"/>
          <w:w w:val="105"/>
        </w:rPr>
        <w:t xml:space="preserve"> </w:t>
      </w:r>
      <w:r w:rsidRPr="00283806">
        <w:rPr>
          <w:w w:val="105"/>
        </w:rPr>
        <w:t xml:space="preserve">requires that the Agency </w:t>
      </w:r>
      <w:proofErr w:type="gramStart"/>
      <w:r w:rsidRPr="00283806">
        <w:rPr>
          <w:w w:val="105"/>
        </w:rPr>
        <w:t>reach</w:t>
      </w:r>
      <w:proofErr w:type="gramEnd"/>
      <w:r w:rsidRPr="00283806">
        <w:rPr>
          <w:w w:val="105"/>
        </w:rPr>
        <w:t xml:space="preserve"> a certain result based on such consideration.</w:t>
      </w:r>
    </w:p>
    <w:p w14:paraId="3FB44DA6" w14:textId="77777777" w:rsidR="00D67C1E" w:rsidRPr="00283806" w:rsidRDefault="001265CA">
      <w:pPr>
        <w:pStyle w:val="BodyText"/>
        <w:spacing w:line="183" w:lineRule="exact"/>
        <w:ind w:left="145"/>
      </w:pPr>
      <w:r w:rsidRPr="00283806">
        <w:rPr>
          <w:w w:val="105"/>
        </w:rPr>
        <w:t>Nothing</w:t>
      </w:r>
      <w:r w:rsidRPr="00283806">
        <w:rPr>
          <w:spacing w:val="10"/>
          <w:w w:val="105"/>
        </w:rPr>
        <w:t xml:space="preserve"> </w:t>
      </w:r>
      <w:r w:rsidRPr="00283806">
        <w:rPr>
          <w:w w:val="105"/>
        </w:rPr>
        <w:t>in</w:t>
      </w:r>
      <w:r w:rsidRPr="00283806">
        <w:rPr>
          <w:spacing w:val="10"/>
          <w:w w:val="105"/>
        </w:rPr>
        <w:t xml:space="preserve"> </w:t>
      </w:r>
      <w:r w:rsidRPr="00283806">
        <w:rPr>
          <w:w w:val="105"/>
        </w:rPr>
        <w:t>the</w:t>
      </w:r>
      <w:r w:rsidRPr="00283806">
        <w:rPr>
          <w:spacing w:val="11"/>
          <w:w w:val="105"/>
        </w:rPr>
        <w:t xml:space="preserve"> </w:t>
      </w:r>
      <w:r w:rsidRPr="00283806">
        <w:rPr>
          <w:w w:val="105"/>
        </w:rPr>
        <w:t>text</w:t>
      </w:r>
      <w:r w:rsidRPr="00283806">
        <w:rPr>
          <w:spacing w:val="10"/>
          <w:w w:val="105"/>
        </w:rPr>
        <w:t xml:space="preserve"> </w:t>
      </w:r>
      <w:r w:rsidRPr="00283806">
        <w:rPr>
          <w:w w:val="105"/>
        </w:rPr>
        <w:t>of</w:t>
      </w:r>
      <w:r w:rsidRPr="00283806">
        <w:rPr>
          <w:spacing w:val="11"/>
          <w:w w:val="105"/>
        </w:rPr>
        <w:t xml:space="preserve"> </w:t>
      </w:r>
      <w:r w:rsidRPr="00283806">
        <w:rPr>
          <w:w w:val="105"/>
        </w:rPr>
        <w:t>either</w:t>
      </w:r>
      <w:r w:rsidRPr="00283806">
        <w:rPr>
          <w:spacing w:val="10"/>
          <w:w w:val="105"/>
        </w:rPr>
        <w:t xml:space="preserve"> </w:t>
      </w:r>
      <w:r w:rsidRPr="00283806">
        <w:rPr>
          <w:spacing w:val="-2"/>
          <w:w w:val="105"/>
        </w:rPr>
        <w:t>subsection</w:t>
      </w:r>
    </w:p>
    <w:p w14:paraId="03139CD2" w14:textId="77777777" w:rsidR="00D67C1E" w:rsidRPr="00283806" w:rsidRDefault="001265CA">
      <w:pPr>
        <w:pStyle w:val="BodyText"/>
        <w:spacing w:before="3" w:line="228" w:lineRule="auto"/>
        <w:ind w:left="145" w:right="22"/>
      </w:pPr>
      <w:r w:rsidRPr="00283806">
        <w:rPr>
          <w:w w:val="105"/>
        </w:rPr>
        <w:t>(h)(2)(A) or (B) suggests that it is intended to modify the grant of regulatory authority in subsection (h)(1) or dictate the Agency’s priorities in implementing</w:t>
      </w:r>
      <w:r w:rsidRPr="00283806">
        <w:rPr>
          <w:spacing w:val="-1"/>
          <w:w w:val="105"/>
        </w:rPr>
        <w:t xml:space="preserve"> </w:t>
      </w:r>
      <w:r w:rsidRPr="00283806">
        <w:rPr>
          <w:w w:val="105"/>
        </w:rPr>
        <w:t>subsection</w:t>
      </w:r>
      <w:r w:rsidRPr="00283806">
        <w:rPr>
          <w:spacing w:val="-1"/>
          <w:w w:val="105"/>
        </w:rPr>
        <w:t xml:space="preserve"> </w:t>
      </w:r>
      <w:r w:rsidRPr="00283806">
        <w:rPr>
          <w:w w:val="105"/>
        </w:rPr>
        <w:t>(h)(1).</w:t>
      </w:r>
      <w:r w:rsidRPr="00283806">
        <w:rPr>
          <w:spacing w:val="-1"/>
          <w:w w:val="105"/>
        </w:rPr>
        <w:t xml:space="preserve"> </w:t>
      </w:r>
      <w:r w:rsidRPr="00283806">
        <w:rPr>
          <w:w w:val="105"/>
        </w:rPr>
        <w:t>Further, such an interpretation of subsection (h)(2)</w:t>
      </w:r>
      <w:r w:rsidRPr="00283806">
        <w:rPr>
          <w:spacing w:val="40"/>
          <w:w w:val="105"/>
        </w:rPr>
        <w:t xml:space="preserve"> </w:t>
      </w:r>
      <w:r w:rsidRPr="00283806">
        <w:rPr>
          <w:w w:val="105"/>
        </w:rPr>
        <w:t>could</w:t>
      </w:r>
      <w:r w:rsidRPr="00283806">
        <w:rPr>
          <w:spacing w:val="40"/>
          <w:w w:val="105"/>
        </w:rPr>
        <w:t xml:space="preserve"> </w:t>
      </w:r>
      <w:r w:rsidRPr="00283806">
        <w:rPr>
          <w:w w:val="105"/>
        </w:rPr>
        <w:t>unduly</w:t>
      </w:r>
      <w:r w:rsidRPr="00283806">
        <w:rPr>
          <w:spacing w:val="40"/>
          <w:w w:val="105"/>
        </w:rPr>
        <w:t xml:space="preserve"> </w:t>
      </w:r>
      <w:r w:rsidRPr="00283806">
        <w:rPr>
          <w:w w:val="105"/>
        </w:rPr>
        <w:t>restrict</w:t>
      </w:r>
      <w:r w:rsidRPr="00283806">
        <w:rPr>
          <w:spacing w:val="40"/>
          <w:w w:val="105"/>
        </w:rPr>
        <w:t xml:space="preserve"> </w:t>
      </w:r>
      <w:r w:rsidRPr="00283806">
        <w:rPr>
          <w:w w:val="105"/>
        </w:rPr>
        <w:t>EPA’s ability to fully implement the regulatory authority granted in subsection (h)(1),</w:t>
      </w:r>
      <w:r w:rsidRPr="00283806">
        <w:rPr>
          <w:spacing w:val="40"/>
          <w:w w:val="105"/>
        </w:rPr>
        <w:t xml:space="preserve"> </w:t>
      </w:r>
      <w:r w:rsidRPr="00283806">
        <w:rPr>
          <w:w w:val="105"/>
        </w:rPr>
        <w:t>for example in promulgating regulations consistent with that provision that are focused on the purposes identified in subsection (h)(1) of minimizing releases of HFCs from equipment and ensuring</w:t>
      </w:r>
      <w:r w:rsidRPr="00283806">
        <w:rPr>
          <w:spacing w:val="40"/>
          <w:w w:val="105"/>
        </w:rPr>
        <w:t xml:space="preserve"> </w:t>
      </w:r>
      <w:r w:rsidRPr="00283806">
        <w:rPr>
          <w:w w:val="105"/>
        </w:rPr>
        <w:t>the safety of technicians and consumers. Notwithstanding EPA’s disagreement with the commenters’ interpretation of (h)(2), the Agency notes it has</w:t>
      </w:r>
      <w:r w:rsidRPr="00283806">
        <w:rPr>
          <w:spacing w:val="40"/>
          <w:w w:val="105"/>
        </w:rPr>
        <w:t xml:space="preserve"> </w:t>
      </w:r>
      <w:r w:rsidRPr="00283806">
        <w:rPr>
          <w:w w:val="105"/>
        </w:rPr>
        <w:t>considered various uses of its authority</w:t>
      </w:r>
      <w:r w:rsidRPr="00283806">
        <w:rPr>
          <w:spacing w:val="40"/>
          <w:w w:val="105"/>
        </w:rPr>
        <w:t xml:space="preserve"> </w:t>
      </w:r>
      <w:r w:rsidRPr="00283806">
        <w:rPr>
          <w:w w:val="105"/>
        </w:rPr>
        <w:t>in this rulemaking that could increase opportunities for reclamation of HFCs used as refrigerants and that several aspects of this final rule that are focused on maximizing reclamation of HFCs</w:t>
      </w:r>
      <w:r w:rsidRPr="00283806">
        <w:rPr>
          <w:spacing w:val="80"/>
          <w:w w:val="105"/>
        </w:rPr>
        <w:t xml:space="preserve"> </w:t>
      </w:r>
      <w:r w:rsidRPr="00283806">
        <w:rPr>
          <w:w w:val="105"/>
        </w:rPr>
        <w:t xml:space="preserve">could also increase opportunities for </w:t>
      </w:r>
      <w:r w:rsidRPr="00283806">
        <w:rPr>
          <w:spacing w:val="-2"/>
          <w:w w:val="105"/>
        </w:rPr>
        <w:t>reclamation.</w:t>
      </w:r>
    </w:p>
    <w:p w14:paraId="2273CAA8" w14:textId="77777777" w:rsidR="00D67C1E" w:rsidRPr="00283806" w:rsidRDefault="001265CA">
      <w:pPr>
        <w:pStyle w:val="BodyText"/>
        <w:spacing w:before="28" w:line="225" w:lineRule="auto"/>
        <w:ind w:left="145" w:right="74" w:firstLine="180"/>
      </w:pPr>
      <w:r w:rsidRPr="00283806">
        <w:rPr>
          <w:rFonts w:ascii="Book Antiqua"/>
          <w:i/>
          <w:w w:val="105"/>
        </w:rPr>
        <w:t xml:space="preserve">Comment: </w:t>
      </w:r>
      <w:r w:rsidRPr="00283806">
        <w:rPr>
          <w:w w:val="105"/>
        </w:rPr>
        <w:t>Many commenters expressed support for the development of new requirements for technician training and certification. Some commenters also expressed support for continuing education requirements, recertification requirements, and developing new requirements for already certified technicians. Other commenters</w:t>
      </w:r>
      <w:r w:rsidRPr="00283806">
        <w:rPr>
          <w:spacing w:val="-1"/>
          <w:w w:val="105"/>
        </w:rPr>
        <w:t xml:space="preserve"> </w:t>
      </w:r>
      <w:r w:rsidRPr="00283806">
        <w:rPr>
          <w:w w:val="105"/>
        </w:rPr>
        <w:t>expressed</w:t>
      </w:r>
      <w:r w:rsidRPr="00283806">
        <w:rPr>
          <w:spacing w:val="-1"/>
          <w:w w:val="105"/>
        </w:rPr>
        <w:t xml:space="preserve"> </w:t>
      </w:r>
      <w:r w:rsidRPr="00283806">
        <w:rPr>
          <w:w w:val="105"/>
        </w:rPr>
        <w:t>support</w:t>
      </w:r>
      <w:r w:rsidRPr="00283806">
        <w:rPr>
          <w:spacing w:val="-1"/>
          <w:w w:val="105"/>
        </w:rPr>
        <w:t xml:space="preserve"> </w:t>
      </w:r>
      <w:r w:rsidRPr="00283806">
        <w:rPr>
          <w:w w:val="105"/>
        </w:rPr>
        <w:t>for</w:t>
      </w:r>
      <w:r w:rsidRPr="00283806">
        <w:rPr>
          <w:spacing w:val="-1"/>
          <w:w w:val="105"/>
        </w:rPr>
        <w:t xml:space="preserve"> </w:t>
      </w:r>
      <w:r w:rsidRPr="00283806">
        <w:rPr>
          <w:w w:val="105"/>
        </w:rPr>
        <w:t>new requirements for technicians obtaining certifications for the first time but opposed requirements for already</w:t>
      </w:r>
    </w:p>
    <w:p w14:paraId="4F324282" w14:textId="77777777" w:rsidR="00D67C1E" w:rsidRPr="00283806" w:rsidRDefault="001265CA">
      <w:pPr>
        <w:pStyle w:val="BodyText"/>
        <w:spacing w:before="134" w:line="225" w:lineRule="auto"/>
        <w:ind w:left="142" w:right="131"/>
      </w:pPr>
      <w:r w:rsidRPr="00283806">
        <w:br w:type="column"/>
      </w:r>
      <w:r w:rsidRPr="00283806">
        <w:rPr>
          <w:w w:val="105"/>
        </w:rPr>
        <w:t>certified technicians. Some commenters stated that requirements for technician training and certification would ensure that technicians are up to date relative</w:t>
      </w:r>
      <w:r w:rsidRPr="00283806">
        <w:rPr>
          <w:spacing w:val="80"/>
          <w:w w:val="150"/>
        </w:rPr>
        <w:t xml:space="preserve"> </w:t>
      </w:r>
      <w:r w:rsidRPr="00283806">
        <w:rPr>
          <w:w w:val="105"/>
        </w:rPr>
        <w:t>to changes in the industry, are properly trained for the installation and servicing of equipment, can handle flammability and safety concerns such as those associated with new refrigerants, and</w:t>
      </w:r>
      <w:r w:rsidRPr="00283806">
        <w:rPr>
          <w:spacing w:val="80"/>
          <w:w w:val="105"/>
        </w:rPr>
        <w:t xml:space="preserve"> </w:t>
      </w:r>
      <w:r w:rsidRPr="00283806">
        <w:rPr>
          <w:w w:val="105"/>
        </w:rPr>
        <w:t>are aware of regulatory requirements related to HFCs such as the prohibition</w:t>
      </w:r>
      <w:r w:rsidRPr="00283806">
        <w:rPr>
          <w:spacing w:val="40"/>
          <w:w w:val="105"/>
        </w:rPr>
        <w:t xml:space="preserve"> </w:t>
      </w:r>
      <w:r w:rsidRPr="00283806">
        <w:rPr>
          <w:w w:val="105"/>
        </w:rPr>
        <w:t>on venting. Some commenters also</w:t>
      </w:r>
      <w:r w:rsidRPr="00283806">
        <w:rPr>
          <w:spacing w:val="80"/>
          <w:w w:val="105"/>
        </w:rPr>
        <w:t xml:space="preserve"> </w:t>
      </w:r>
      <w:r w:rsidRPr="00283806">
        <w:rPr>
          <w:w w:val="105"/>
        </w:rPr>
        <w:t>stated that technician and certification requirements would encourage recovery and reclamation, protect facility owners and operators, reduce emissions, ensure</w:t>
      </w:r>
      <w:r w:rsidRPr="00283806">
        <w:rPr>
          <w:spacing w:val="40"/>
          <w:w w:val="105"/>
        </w:rPr>
        <w:t xml:space="preserve"> </w:t>
      </w:r>
      <w:r w:rsidRPr="00283806">
        <w:rPr>
          <w:w w:val="105"/>
        </w:rPr>
        <w:t>a smooth transition, promote adoption</w:t>
      </w:r>
      <w:r w:rsidRPr="00283806">
        <w:rPr>
          <w:spacing w:val="80"/>
          <w:w w:val="105"/>
        </w:rPr>
        <w:t xml:space="preserve"> </w:t>
      </w:r>
      <w:r w:rsidRPr="00283806">
        <w:rPr>
          <w:w w:val="105"/>
        </w:rPr>
        <w:t>of new refrigerants, change the culture</w:t>
      </w:r>
      <w:r w:rsidRPr="00283806">
        <w:rPr>
          <w:spacing w:val="80"/>
          <w:w w:val="105"/>
        </w:rPr>
        <w:t xml:space="preserve"> </w:t>
      </w:r>
      <w:r w:rsidRPr="00283806">
        <w:rPr>
          <w:w w:val="105"/>
        </w:rPr>
        <w:t>in the industry to reinforce the use of proper methods, and enhance compliance. Some commenters mentioned</w:t>
      </w:r>
      <w:r w:rsidRPr="00283806">
        <w:rPr>
          <w:spacing w:val="-7"/>
          <w:w w:val="105"/>
        </w:rPr>
        <w:t xml:space="preserve"> </w:t>
      </w:r>
      <w:r w:rsidRPr="00283806">
        <w:rPr>
          <w:w w:val="105"/>
        </w:rPr>
        <w:t>that</w:t>
      </w:r>
      <w:r w:rsidRPr="00283806">
        <w:rPr>
          <w:spacing w:val="-7"/>
          <w:w w:val="105"/>
        </w:rPr>
        <w:t xml:space="preserve"> </w:t>
      </w:r>
      <w:r w:rsidRPr="00283806">
        <w:rPr>
          <w:w w:val="105"/>
        </w:rPr>
        <w:t>current</w:t>
      </w:r>
      <w:r w:rsidRPr="00283806">
        <w:rPr>
          <w:spacing w:val="-7"/>
          <w:w w:val="105"/>
        </w:rPr>
        <w:t xml:space="preserve"> </w:t>
      </w:r>
      <w:r w:rsidRPr="00283806">
        <w:rPr>
          <w:w w:val="105"/>
        </w:rPr>
        <w:t>requirements</w:t>
      </w:r>
      <w:r w:rsidRPr="00283806">
        <w:rPr>
          <w:spacing w:val="-7"/>
          <w:w w:val="105"/>
        </w:rPr>
        <w:t xml:space="preserve"> </w:t>
      </w:r>
      <w:r w:rsidRPr="00283806">
        <w:rPr>
          <w:w w:val="105"/>
        </w:rPr>
        <w:t>are inadequate to ensure that HFCs are managed correctly.</w:t>
      </w:r>
    </w:p>
    <w:p w14:paraId="562E5DE6" w14:textId="77777777" w:rsidR="00D67C1E" w:rsidRPr="00283806" w:rsidRDefault="001265CA">
      <w:pPr>
        <w:pStyle w:val="BodyText"/>
        <w:spacing w:line="171" w:lineRule="exact"/>
        <w:ind w:left="322"/>
      </w:pPr>
      <w:r w:rsidRPr="00283806">
        <w:rPr>
          <w:w w:val="105"/>
        </w:rPr>
        <w:t>Other</w:t>
      </w:r>
      <w:r w:rsidRPr="00283806">
        <w:rPr>
          <w:spacing w:val="4"/>
          <w:w w:val="105"/>
        </w:rPr>
        <w:t xml:space="preserve"> </w:t>
      </w:r>
      <w:r w:rsidRPr="00283806">
        <w:rPr>
          <w:w w:val="105"/>
        </w:rPr>
        <w:t>commenters</w:t>
      </w:r>
      <w:r w:rsidRPr="00283806">
        <w:rPr>
          <w:spacing w:val="4"/>
          <w:w w:val="105"/>
        </w:rPr>
        <w:t xml:space="preserve"> </w:t>
      </w:r>
      <w:r w:rsidRPr="00283806">
        <w:rPr>
          <w:spacing w:val="-2"/>
          <w:w w:val="105"/>
        </w:rPr>
        <w:t>expressed</w:t>
      </w:r>
    </w:p>
    <w:p w14:paraId="4BD5373E" w14:textId="77777777" w:rsidR="00D67C1E" w:rsidRPr="00283806" w:rsidRDefault="001265CA">
      <w:pPr>
        <w:pStyle w:val="BodyText"/>
        <w:spacing w:before="4" w:line="225" w:lineRule="auto"/>
        <w:ind w:left="142" w:right="169"/>
      </w:pPr>
      <w:r w:rsidRPr="00283806">
        <w:rPr>
          <w:w w:val="105"/>
        </w:rPr>
        <w:t>opposition to the development of new requirements for technician training and certification. Some commenters stated that such requirements would add compliance burdens without environmental and safety benefits, that such requirements would exceed EPA’s authority, that technicians do not want</w:t>
      </w:r>
      <w:r w:rsidRPr="00283806">
        <w:rPr>
          <w:spacing w:val="80"/>
          <w:w w:val="105"/>
        </w:rPr>
        <w:t xml:space="preserve"> </w:t>
      </w:r>
      <w:r w:rsidRPr="00283806">
        <w:rPr>
          <w:w w:val="105"/>
        </w:rPr>
        <w:t>to be forced to take a test, that certain entities would profit off of the certification requirements, that requirements would impose added costs on technicians, that requirements would dissuade potential HVAC professionals from entering the industry, that existing government and industry requirements are sufficient, and that already certified technicians</w:t>
      </w:r>
      <w:r w:rsidRPr="00283806">
        <w:rPr>
          <w:spacing w:val="40"/>
          <w:w w:val="105"/>
        </w:rPr>
        <w:t xml:space="preserve"> </w:t>
      </w:r>
      <w:r w:rsidRPr="00283806">
        <w:rPr>
          <w:w w:val="105"/>
        </w:rPr>
        <w:t>should</w:t>
      </w:r>
      <w:r w:rsidRPr="00283806">
        <w:rPr>
          <w:spacing w:val="40"/>
          <w:w w:val="105"/>
        </w:rPr>
        <w:t xml:space="preserve"> </w:t>
      </w:r>
      <w:r w:rsidRPr="00283806">
        <w:rPr>
          <w:w w:val="105"/>
        </w:rPr>
        <w:t>not</w:t>
      </w:r>
      <w:r w:rsidRPr="00283806">
        <w:rPr>
          <w:spacing w:val="40"/>
          <w:w w:val="105"/>
        </w:rPr>
        <w:t xml:space="preserve"> </w:t>
      </w:r>
      <w:r w:rsidRPr="00283806">
        <w:rPr>
          <w:w w:val="105"/>
        </w:rPr>
        <w:t>be</w:t>
      </w:r>
      <w:r w:rsidRPr="00283806">
        <w:rPr>
          <w:spacing w:val="40"/>
          <w:w w:val="105"/>
        </w:rPr>
        <w:t xml:space="preserve"> </w:t>
      </w:r>
      <w:r w:rsidRPr="00283806">
        <w:rPr>
          <w:w w:val="105"/>
        </w:rPr>
        <w:t>subject</w:t>
      </w:r>
      <w:r w:rsidRPr="00283806">
        <w:rPr>
          <w:spacing w:val="40"/>
          <w:w w:val="105"/>
        </w:rPr>
        <w:t xml:space="preserve"> </w:t>
      </w:r>
      <w:r w:rsidRPr="00283806">
        <w:rPr>
          <w:w w:val="105"/>
        </w:rPr>
        <w:t>to new requirements. One commenter suggested that EPA encourage but not mandate training and certification, and another commenter expressed openness to more training but opposed any more EPA requirements.</w:t>
      </w:r>
    </w:p>
    <w:p w14:paraId="4DB51493" w14:textId="77777777" w:rsidR="00D67C1E" w:rsidRPr="00283806" w:rsidRDefault="001265CA">
      <w:pPr>
        <w:spacing w:line="177" w:lineRule="exact"/>
        <w:ind w:left="322"/>
        <w:rPr>
          <w:sz w:val="18"/>
        </w:rPr>
      </w:pPr>
      <w:r w:rsidRPr="00283806">
        <w:rPr>
          <w:rFonts w:ascii="Book Antiqua"/>
          <w:i/>
          <w:w w:val="110"/>
          <w:sz w:val="18"/>
        </w:rPr>
        <w:t>Response:</w:t>
      </w:r>
      <w:r w:rsidRPr="00283806">
        <w:rPr>
          <w:rFonts w:ascii="Book Antiqua"/>
          <w:i/>
          <w:spacing w:val="2"/>
          <w:w w:val="110"/>
          <w:sz w:val="18"/>
        </w:rPr>
        <w:t xml:space="preserve"> </w:t>
      </w:r>
      <w:r w:rsidRPr="00283806">
        <w:rPr>
          <w:w w:val="110"/>
          <w:sz w:val="18"/>
        </w:rPr>
        <w:t>EPA</w:t>
      </w:r>
      <w:r w:rsidRPr="00283806">
        <w:rPr>
          <w:spacing w:val="8"/>
          <w:w w:val="110"/>
          <w:sz w:val="18"/>
        </w:rPr>
        <w:t xml:space="preserve"> </w:t>
      </w:r>
      <w:r w:rsidRPr="00283806">
        <w:rPr>
          <w:w w:val="110"/>
          <w:sz w:val="18"/>
        </w:rPr>
        <w:t>acknowledges</w:t>
      </w:r>
      <w:r w:rsidRPr="00283806">
        <w:rPr>
          <w:spacing w:val="8"/>
          <w:w w:val="110"/>
          <w:sz w:val="18"/>
        </w:rPr>
        <w:t xml:space="preserve"> </w:t>
      </w:r>
      <w:r w:rsidRPr="00283806">
        <w:rPr>
          <w:spacing w:val="-2"/>
          <w:w w:val="110"/>
          <w:sz w:val="18"/>
        </w:rPr>
        <w:t>these</w:t>
      </w:r>
    </w:p>
    <w:p w14:paraId="36E31715" w14:textId="77777777" w:rsidR="00D67C1E" w:rsidRPr="00283806" w:rsidRDefault="001265CA">
      <w:pPr>
        <w:pStyle w:val="BodyText"/>
        <w:spacing w:line="225" w:lineRule="auto"/>
        <w:ind w:left="142" w:right="133"/>
      </w:pPr>
      <w:r w:rsidRPr="00283806">
        <w:rPr>
          <w:w w:val="110"/>
        </w:rPr>
        <w:t xml:space="preserve">comments. As discussed in section I.B above in this action, EPA also issued in conjunction with the proposed rule an ANPRM seeking information on approaches for establishing requirements for technician training and/or certification. EPA explained in </w:t>
      </w:r>
      <w:r w:rsidRPr="00283806">
        <w:rPr>
          <w:spacing w:val="-2"/>
          <w:w w:val="110"/>
        </w:rPr>
        <w:t>that</w:t>
      </w:r>
      <w:r w:rsidRPr="00283806">
        <w:rPr>
          <w:spacing w:val="-8"/>
          <w:w w:val="110"/>
        </w:rPr>
        <w:t xml:space="preserve"> </w:t>
      </w:r>
      <w:r w:rsidRPr="00283806">
        <w:rPr>
          <w:spacing w:val="-2"/>
          <w:w w:val="110"/>
        </w:rPr>
        <w:t>notice</w:t>
      </w:r>
      <w:r w:rsidRPr="00283806">
        <w:rPr>
          <w:spacing w:val="-8"/>
          <w:w w:val="110"/>
        </w:rPr>
        <w:t xml:space="preserve"> </w:t>
      </w:r>
      <w:r w:rsidRPr="00283806">
        <w:rPr>
          <w:spacing w:val="-2"/>
          <w:w w:val="110"/>
        </w:rPr>
        <w:t>that</w:t>
      </w:r>
      <w:r w:rsidRPr="00283806">
        <w:rPr>
          <w:spacing w:val="-8"/>
          <w:w w:val="110"/>
        </w:rPr>
        <w:t xml:space="preserve"> </w:t>
      </w:r>
      <w:r w:rsidRPr="00283806">
        <w:rPr>
          <w:spacing w:val="-2"/>
          <w:w w:val="110"/>
        </w:rPr>
        <w:t>it</w:t>
      </w:r>
      <w:r w:rsidRPr="00283806">
        <w:rPr>
          <w:spacing w:val="-8"/>
          <w:w w:val="110"/>
        </w:rPr>
        <w:t xml:space="preserve"> </w:t>
      </w:r>
      <w:r w:rsidRPr="00283806">
        <w:rPr>
          <w:spacing w:val="-2"/>
          <w:w w:val="110"/>
        </w:rPr>
        <w:t>was</w:t>
      </w:r>
      <w:r w:rsidRPr="00283806">
        <w:rPr>
          <w:spacing w:val="-8"/>
          <w:w w:val="110"/>
        </w:rPr>
        <w:t xml:space="preserve"> </w:t>
      </w:r>
      <w:r w:rsidRPr="00283806">
        <w:rPr>
          <w:spacing w:val="-2"/>
          <w:w w:val="110"/>
        </w:rPr>
        <w:t>not</w:t>
      </w:r>
      <w:r w:rsidRPr="00283806">
        <w:rPr>
          <w:spacing w:val="-8"/>
          <w:w w:val="110"/>
        </w:rPr>
        <w:t xml:space="preserve"> </w:t>
      </w:r>
      <w:r w:rsidRPr="00283806">
        <w:rPr>
          <w:spacing w:val="-2"/>
          <w:w w:val="110"/>
        </w:rPr>
        <w:t>proposing</w:t>
      </w:r>
      <w:r w:rsidRPr="00283806">
        <w:rPr>
          <w:spacing w:val="-8"/>
          <w:w w:val="110"/>
        </w:rPr>
        <w:t xml:space="preserve"> </w:t>
      </w:r>
      <w:r w:rsidRPr="00283806">
        <w:rPr>
          <w:spacing w:val="-2"/>
          <w:w w:val="110"/>
        </w:rPr>
        <w:t xml:space="preserve">and </w:t>
      </w:r>
      <w:r w:rsidRPr="00283806">
        <w:rPr>
          <w:w w:val="110"/>
        </w:rPr>
        <w:t>will not be finalizing a technician training and certifying program on which it sought advance comment.</w:t>
      </w:r>
    </w:p>
    <w:p w14:paraId="40F945A3" w14:textId="77777777" w:rsidR="00D67C1E" w:rsidRPr="00283806" w:rsidRDefault="001265CA">
      <w:pPr>
        <w:pStyle w:val="BodyText"/>
        <w:spacing w:line="225" w:lineRule="auto"/>
        <w:ind w:left="142" w:right="132"/>
      </w:pPr>
      <w:r w:rsidRPr="00283806">
        <w:rPr>
          <w:w w:val="105"/>
        </w:rPr>
        <w:t>Accordingly, EPA explained that the Agency did not intend to respond to any advance information received. However, EPA</w:t>
      </w:r>
      <w:r w:rsidRPr="00283806">
        <w:rPr>
          <w:spacing w:val="40"/>
          <w:w w:val="105"/>
        </w:rPr>
        <w:t xml:space="preserve"> </w:t>
      </w:r>
      <w:r w:rsidRPr="00283806">
        <w:rPr>
          <w:w w:val="105"/>
        </w:rPr>
        <w:t>intends</w:t>
      </w:r>
      <w:r w:rsidRPr="00283806">
        <w:rPr>
          <w:spacing w:val="40"/>
          <w:w w:val="105"/>
        </w:rPr>
        <w:t xml:space="preserve"> </w:t>
      </w:r>
      <w:r w:rsidRPr="00283806">
        <w:rPr>
          <w:w w:val="105"/>
        </w:rPr>
        <w:t>to</w:t>
      </w:r>
      <w:r w:rsidRPr="00283806">
        <w:rPr>
          <w:spacing w:val="40"/>
          <w:w w:val="105"/>
        </w:rPr>
        <w:t xml:space="preserve"> </w:t>
      </w:r>
      <w:r w:rsidRPr="00283806">
        <w:rPr>
          <w:w w:val="105"/>
        </w:rPr>
        <w:t>consider</w:t>
      </w:r>
      <w:r w:rsidRPr="00283806">
        <w:rPr>
          <w:spacing w:val="40"/>
          <w:w w:val="105"/>
        </w:rPr>
        <w:t xml:space="preserve"> </w:t>
      </w:r>
      <w:r w:rsidRPr="00283806">
        <w:rPr>
          <w:w w:val="105"/>
        </w:rPr>
        <w:t>those comments as part of a potential future notice and comment rulemaking to establish a training and/or certification program. Therefore, EPA is not</w:t>
      </w:r>
    </w:p>
    <w:p w14:paraId="35F16338"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15" w:space="40"/>
            <w:col w:w="3504" w:space="39"/>
            <w:col w:w="3622"/>
          </w:cols>
        </w:sectPr>
      </w:pPr>
    </w:p>
    <w:p w14:paraId="08782F7E" w14:textId="77777777" w:rsidR="00D67C1E" w:rsidRPr="00283806" w:rsidRDefault="001265CA">
      <w:pPr>
        <w:pStyle w:val="BodyText"/>
        <w:spacing w:before="136" w:line="225" w:lineRule="auto"/>
        <w:ind w:right="38"/>
      </w:pPr>
      <w:r w:rsidRPr="00283806">
        <w:rPr>
          <w:w w:val="105"/>
        </w:rPr>
        <w:lastRenderedPageBreak/>
        <w:t>addressing technician training in this final rulemaking and accordingly is not responding to comments on the ANPRM in this action. However, EPA is establishing requirements for fire suppression technician training, as described in section IV.F.2.d.</w:t>
      </w:r>
    </w:p>
    <w:p w14:paraId="05C2A794" w14:textId="77777777" w:rsidR="00D67C1E" w:rsidRPr="00283806" w:rsidRDefault="001265CA">
      <w:pPr>
        <w:pStyle w:val="BodyText"/>
        <w:spacing w:line="213" w:lineRule="auto"/>
        <w:ind w:right="38" w:firstLine="180"/>
      </w:pPr>
      <w:r w:rsidRPr="00283806">
        <w:rPr>
          <w:rFonts w:ascii="Book Antiqua"/>
          <w:i/>
          <w:w w:val="110"/>
        </w:rPr>
        <w:t xml:space="preserve">Comment: </w:t>
      </w:r>
      <w:r w:rsidRPr="00283806">
        <w:rPr>
          <w:w w:val="110"/>
        </w:rPr>
        <w:t>One commenter asserted that</w:t>
      </w:r>
      <w:r w:rsidRPr="00283806">
        <w:rPr>
          <w:spacing w:val="-11"/>
          <w:w w:val="110"/>
        </w:rPr>
        <w:t xml:space="preserve"> </w:t>
      </w:r>
      <w:r w:rsidRPr="00283806">
        <w:rPr>
          <w:w w:val="110"/>
        </w:rPr>
        <w:t>EPA</w:t>
      </w:r>
      <w:r w:rsidRPr="00283806">
        <w:rPr>
          <w:spacing w:val="-11"/>
          <w:w w:val="110"/>
        </w:rPr>
        <w:t xml:space="preserve"> </w:t>
      </w:r>
      <w:r w:rsidRPr="00283806">
        <w:rPr>
          <w:w w:val="110"/>
        </w:rPr>
        <w:t>must</w:t>
      </w:r>
      <w:r w:rsidRPr="00283806">
        <w:rPr>
          <w:spacing w:val="-11"/>
          <w:w w:val="110"/>
        </w:rPr>
        <w:t xml:space="preserve"> </w:t>
      </w:r>
      <w:r w:rsidRPr="00283806">
        <w:rPr>
          <w:w w:val="110"/>
        </w:rPr>
        <w:t>take</w:t>
      </w:r>
      <w:r w:rsidRPr="00283806">
        <w:rPr>
          <w:spacing w:val="-11"/>
          <w:w w:val="110"/>
        </w:rPr>
        <w:t xml:space="preserve"> </w:t>
      </w:r>
      <w:r w:rsidRPr="00283806">
        <w:rPr>
          <w:w w:val="110"/>
        </w:rPr>
        <w:t>additional</w:t>
      </w:r>
      <w:r w:rsidRPr="00283806">
        <w:rPr>
          <w:spacing w:val="-11"/>
          <w:w w:val="110"/>
        </w:rPr>
        <w:t xml:space="preserve"> </w:t>
      </w:r>
      <w:r w:rsidRPr="00283806">
        <w:rPr>
          <w:w w:val="110"/>
        </w:rPr>
        <w:t>steps,</w:t>
      </w:r>
      <w:r w:rsidRPr="00283806">
        <w:rPr>
          <w:spacing w:val="-11"/>
          <w:w w:val="110"/>
        </w:rPr>
        <w:t xml:space="preserve"> </w:t>
      </w:r>
      <w:r w:rsidRPr="00283806">
        <w:rPr>
          <w:w w:val="110"/>
        </w:rPr>
        <w:t>on</w:t>
      </w:r>
    </w:p>
    <w:p w14:paraId="17A39217" w14:textId="77777777" w:rsidR="00D67C1E" w:rsidRPr="00283806" w:rsidRDefault="001265CA">
      <w:pPr>
        <w:pStyle w:val="BodyText"/>
        <w:spacing w:line="225" w:lineRule="auto"/>
        <w:ind w:right="27"/>
      </w:pPr>
      <w:r w:rsidRPr="00283806">
        <w:rPr>
          <w:w w:val="105"/>
        </w:rPr>
        <w:t>its own and in conjunction with other Federal agencies, to level the playing</w:t>
      </w:r>
      <w:r w:rsidRPr="00283806">
        <w:rPr>
          <w:spacing w:val="40"/>
          <w:w w:val="105"/>
        </w:rPr>
        <w:t xml:space="preserve"> </w:t>
      </w:r>
      <w:r w:rsidRPr="00283806">
        <w:rPr>
          <w:w w:val="105"/>
        </w:rPr>
        <w:t>field for reclaimers. For example, the commenter stated that EPA should</w:t>
      </w:r>
      <w:r w:rsidRPr="00283806">
        <w:rPr>
          <w:spacing w:val="40"/>
          <w:w w:val="105"/>
        </w:rPr>
        <w:t xml:space="preserve"> </w:t>
      </w:r>
      <w:r w:rsidRPr="00283806">
        <w:rPr>
          <w:w w:val="105"/>
        </w:rPr>
        <w:t>revise its implementation of the SNAP program to curtail patent or contractual limitations</w:t>
      </w:r>
      <w:r w:rsidRPr="00283806">
        <w:rPr>
          <w:spacing w:val="40"/>
          <w:w w:val="105"/>
        </w:rPr>
        <w:t xml:space="preserve"> </w:t>
      </w:r>
      <w:r w:rsidRPr="00283806">
        <w:rPr>
          <w:w w:val="105"/>
        </w:rPr>
        <w:t>on</w:t>
      </w:r>
      <w:r w:rsidRPr="00283806">
        <w:rPr>
          <w:spacing w:val="40"/>
          <w:w w:val="105"/>
        </w:rPr>
        <w:t xml:space="preserve"> </w:t>
      </w:r>
      <w:r w:rsidRPr="00283806">
        <w:rPr>
          <w:w w:val="105"/>
        </w:rPr>
        <w:t>reclamation.</w:t>
      </w:r>
      <w:r w:rsidRPr="00283806">
        <w:rPr>
          <w:spacing w:val="40"/>
          <w:w w:val="105"/>
        </w:rPr>
        <w:t xml:space="preserve"> </w:t>
      </w:r>
      <w:r w:rsidRPr="00283806">
        <w:rPr>
          <w:w w:val="105"/>
        </w:rPr>
        <w:t>Among other comments related to the</w:t>
      </w:r>
      <w:r w:rsidRPr="00283806">
        <w:rPr>
          <w:spacing w:val="80"/>
          <w:w w:val="105"/>
        </w:rPr>
        <w:t xml:space="preserve"> </w:t>
      </w:r>
      <w:r w:rsidRPr="00283806">
        <w:rPr>
          <w:w w:val="105"/>
        </w:rPr>
        <w:t>Allocation Program, the commenter stated that EPA should use administrative consequences in additional scenarios including to</w:t>
      </w:r>
      <w:r w:rsidRPr="00283806">
        <w:rPr>
          <w:spacing w:val="80"/>
          <w:w w:val="150"/>
        </w:rPr>
        <w:t xml:space="preserve"> </w:t>
      </w:r>
      <w:r w:rsidRPr="00283806">
        <w:rPr>
          <w:w w:val="105"/>
        </w:rPr>
        <w:t>entities engaged in market</w:t>
      </w:r>
      <w:r w:rsidRPr="00283806">
        <w:rPr>
          <w:spacing w:val="80"/>
          <w:w w:val="105"/>
        </w:rPr>
        <w:t xml:space="preserve"> </w:t>
      </w:r>
      <w:r w:rsidRPr="00283806">
        <w:rPr>
          <w:w w:val="105"/>
        </w:rPr>
        <w:t>manipulation, patent misconduct, and ‘‘unfair trade practices’’ and that all allowances revoked pursuant to administrative consequences should be reallocated to EPA-certified reclaimers. Additionally, the commenter stated that EPA should change the provision in the Framework Allocation Rule allowing HFCs contained in equipment to be imported without expending</w:t>
      </w:r>
      <w:r w:rsidRPr="00283806">
        <w:rPr>
          <w:spacing w:val="80"/>
          <w:w w:val="105"/>
        </w:rPr>
        <w:t xml:space="preserve"> </w:t>
      </w:r>
      <w:r w:rsidRPr="00283806">
        <w:rPr>
          <w:w w:val="105"/>
        </w:rPr>
        <w:t>allowances. The commenter further stated that EPA should assign a GWP value of zero to all refrigerants</w:t>
      </w:r>
      <w:r w:rsidRPr="00283806">
        <w:rPr>
          <w:spacing w:val="40"/>
          <w:w w:val="105"/>
        </w:rPr>
        <w:t xml:space="preserve"> </w:t>
      </w:r>
      <w:r w:rsidRPr="00283806">
        <w:rPr>
          <w:w w:val="105"/>
        </w:rPr>
        <w:t>reclaimed in the U.S. by EPA-certified reclaimers, establish a ‘‘life-cycle adjusted GWP’’ value for all refrigerants to reflect their actual reclaim rate, and use that adjusted GWP value for purposes of all AIM Act regulatory programs, as well as establish a recycle or release rate for every SNAP-approved product. The commenter also recommended that EPA develop a rule providing that refrigerants that do not meet a 15% reclaim rate could be designated as unacceptable substitutes under SNAP.</w:t>
      </w:r>
    </w:p>
    <w:p w14:paraId="79282E1B" w14:textId="77777777" w:rsidR="00D67C1E" w:rsidRPr="00283806" w:rsidRDefault="001265CA">
      <w:pPr>
        <w:pStyle w:val="BodyText"/>
        <w:spacing w:line="166" w:lineRule="exact"/>
        <w:ind w:left="340"/>
      </w:pPr>
      <w:r w:rsidRPr="00283806">
        <w:rPr>
          <w:w w:val="105"/>
        </w:rPr>
        <w:t>The</w:t>
      </w:r>
      <w:r w:rsidRPr="00283806">
        <w:rPr>
          <w:spacing w:val="2"/>
          <w:w w:val="105"/>
        </w:rPr>
        <w:t xml:space="preserve"> </w:t>
      </w:r>
      <w:r w:rsidRPr="00283806">
        <w:rPr>
          <w:w w:val="105"/>
        </w:rPr>
        <w:t>commenter</w:t>
      </w:r>
      <w:r w:rsidRPr="00283806">
        <w:rPr>
          <w:spacing w:val="2"/>
          <w:w w:val="105"/>
        </w:rPr>
        <w:t xml:space="preserve"> </w:t>
      </w:r>
      <w:r w:rsidRPr="00283806">
        <w:rPr>
          <w:w w:val="105"/>
        </w:rPr>
        <w:t>further</w:t>
      </w:r>
      <w:r w:rsidRPr="00283806">
        <w:rPr>
          <w:spacing w:val="3"/>
          <w:w w:val="105"/>
        </w:rPr>
        <w:t xml:space="preserve"> </w:t>
      </w:r>
      <w:r w:rsidRPr="00283806">
        <w:rPr>
          <w:w w:val="105"/>
        </w:rPr>
        <w:t>suggested</w:t>
      </w:r>
      <w:r w:rsidRPr="00283806">
        <w:rPr>
          <w:spacing w:val="2"/>
          <w:w w:val="105"/>
        </w:rPr>
        <w:t xml:space="preserve"> </w:t>
      </w:r>
      <w:r w:rsidRPr="00283806">
        <w:rPr>
          <w:spacing w:val="-4"/>
          <w:w w:val="105"/>
        </w:rPr>
        <w:t>that</w:t>
      </w:r>
    </w:p>
    <w:p w14:paraId="157DB307" w14:textId="77777777" w:rsidR="00D67C1E" w:rsidRPr="00283806" w:rsidRDefault="001265CA">
      <w:pPr>
        <w:pStyle w:val="BodyText"/>
        <w:spacing w:line="225" w:lineRule="auto"/>
      </w:pPr>
      <w:r w:rsidRPr="00283806">
        <w:rPr>
          <w:w w:val="105"/>
        </w:rPr>
        <w:t>EPA should require all recovered refrigerant to be exclusively returned to EPA-certified reclaimers and should update the certification requirements for reclaimers. The commenter also stated that EPA should establish a mechanism for reclaimers or third parties to seek EPA intervention to prevent or call attention to anticompetitive practices that harm the reclaim market. The commenter further recommended that EPA should create a unified reporting portal for EPA-certified reclaimers. The commenter asserted that EPA should enhance its engagement with DOC and</w:t>
      </w:r>
    </w:p>
    <w:p w14:paraId="1249D8B4" w14:textId="77777777" w:rsidR="00D67C1E" w:rsidRPr="00283806" w:rsidRDefault="001265CA">
      <w:pPr>
        <w:pStyle w:val="BodyText"/>
        <w:spacing w:line="225" w:lineRule="auto"/>
        <w:ind w:right="86"/>
      </w:pPr>
      <w:r w:rsidRPr="00283806">
        <w:rPr>
          <w:w w:val="105"/>
        </w:rPr>
        <w:t>U.S. Customs and Border Protection to address anticompetitive behavior by virgin</w:t>
      </w:r>
      <w:r w:rsidRPr="00283806">
        <w:rPr>
          <w:spacing w:val="-3"/>
          <w:w w:val="105"/>
        </w:rPr>
        <w:t xml:space="preserve"> </w:t>
      </w:r>
      <w:r w:rsidRPr="00283806">
        <w:rPr>
          <w:w w:val="105"/>
        </w:rPr>
        <w:t>refrigerant</w:t>
      </w:r>
      <w:r w:rsidRPr="00283806">
        <w:rPr>
          <w:spacing w:val="-3"/>
          <w:w w:val="105"/>
        </w:rPr>
        <w:t xml:space="preserve"> </w:t>
      </w:r>
      <w:r w:rsidRPr="00283806">
        <w:rPr>
          <w:w w:val="105"/>
        </w:rPr>
        <w:t>producers</w:t>
      </w:r>
      <w:r w:rsidRPr="00283806">
        <w:rPr>
          <w:spacing w:val="-3"/>
          <w:w w:val="105"/>
        </w:rPr>
        <w:t xml:space="preserve"> </w:t>
      </w:r>
      <w:r w:rsidRPr="00283806">
        <w:rPr>
          <w:w w:val="105"/>
        </w:rPr>
        <w:t>and</w:t>
      </w:r>
      <w:r w:rsidRPr="00283806">
        <w:rPr>
          <w:spacing w:val="-3"/>
          <w:w w:val="105"/>
        </w:rPr>
        <w:t xml:space="preserve"> </w:t>
      </w:r>
      <w:r w:rsidRPr="00283806">
        <w:rPr>
          <w:w w:val="105"/>
        </w:rPr>
        <w:t>ensure a level playing field, especially</w:t>
      </w:r>
    </w:p>
    <w:p w14:paraId="360B3DF8" w14:textId="77777777" w:rsidR="00D67C1E" w:rsidRPr="00283806" w:rsidRDefault="001265CA">
      <w:pPr>
        <w:pStyle w:val="BodyText"/>
        <w:spacing w:before="134" w:line="228" w:lineRule="auto"/>
        <w:ind w:left="153"/>
      </w:pPr>
      <w:r w:rsidRPr="00283806">
        <w:br w:type="column"/>
      </w:r>
      <w:r w:rsidRPr="00283806">
        <w:rPr>
          <w:w w:val="105"/>
        </w:rPr>
        <w:t>regarding antidumping and countervailing duties and the 2016 Blends Order. Finally, the commenter suggested that State and local government agencies and regulatory bodies consider imposing fees on all newly manufactured HFC/HFO refrigerant products and stated that EPA should support this effort.</w:t>
      </w:r>
    </w:p>
    <w:p w14:paraId="68551EFE" w14:textId="77777777" w:rsidR="00D67C1E" w:rsidRPr="00283806" w:rsidRDefault="001265CA">
      <w:pPr>
        <w:pStyle w:val="BodyText"/>
        <w:spacing w:before="35" w:line="228" w:lineRule="auto"/>
        <w:ind w:left="153" w:firstLine="180"/>
      </w:pPr>
      <w:r w:rsidRPr="00283806">
        <w:rPr>
          <w:rFonts w:ascii="Book Antiqua" w:hAnsi="Book Antiqua"/>
          <w:i/>
          <w:w w:val="105"/>
        </w:rPr>
        <w:t xml:space="preserve">Response: </w:t>
      </w:r>
      <w:r w:rsidRPr="00283806">
        <w:rPr>
          <w:w w:val="105"/>
        </w:rPr>
        <w:t>Regarding the commenter’s points on patent or contractual limitations on reclamation, providing mechanisms for reclaimers related to anticompetitive practices, implementation of the SNAP program, and requested listings as unacceptable under EPA’s SNAP program, these comments are outside the scope of this final rule promulgated under the AIM</w:t>
      </w:r>
      <w:r w:rsidRPr="00283806">
        <w:rPr>
          <w:spacing w:val="80"/>
          <w:w w:val="105"/>
        </w:rPr>
        <w:t xml:space="preserve"> </w:t>
      </w:r>
      <w:r w:rsidRPr="00283806">
        <w:rPr>
          <w:w w:val="105"/>
        </w:rPr>
        <w:t>Act and thus require no further</w:t>
      </w:r>
      <w:r w:rsidRPr="00283806">
        <w:rPr>
          <w:spacing w:val="80"/>
          <w:w w:val="105"/>
        </w:rPr>
        <w:t xml:space="preserve"> </w:t>
      </w:r>
      <w:r w:rsidRPr="00283806">
        <w:rPr>
          <w:w w:val="105"/>
        </w:rPr>
        <w:t xml:space="preserve">response. The </w:t>
      </w:r>
      <w:proofErr w:type="gramStart"/>
      <w:r w:rsidRPr="00283806">
        <w:rPr>
          <w:w w:val="105"/>
        </w:rPr>
        <w:t>commenter’s</w:t>
      </w:r>
      <w:proofErr w:type="gramEnd"/>
      <w:r w:rsidRPr="00283806">
        <w:rPr>
          <w:w w:val="105"/>
        </w:rPr>
        <w:t xml:space="preserve"> suggestions for changes to the administrative consequences under the Allocation Program as well as the requested</w:t>
      </w:r>
      <w:r w:rsidRPr="00283806">
        <w:rPr>
          <w:spacing w:val="40"/>
          <w:w w:val="105"/>
        </w:rPr>
        <w:t xml:space="preserve"> </w:t>
      </w:r>
      <w:r w:rsidRPr="00283806">
        <w:rPr>
          <w:w w:val="105"/>
        </w:rPr>
        <w:t>changes to the regulations established</w:t>
      </w:r>
      <w:r w:rsidRPr="00283806">
        <w:rPr>
          <w:spacing w:val="80"/>
          <w:w w:val="105"/>
        </w:rPr>
        <w:t xml:space="preserve"> </w:t>
      </w:r>
      <w:r w:rsidRPr="00283806">
        <w:rPr>
          <w:w w:val="105"/>
        </w:rPr>
        <w:t>by the Framework Allocation Rule and codified</w:t>
      </w:r>
      <w:r w:rsidRPr="00283806">
        <w:rPr>
          <w:spacing w:val="36"/>
          <w:w w:val="105"/>
        </w:rPr>
        <w:t xml:space="preserve"> </w:t>
      </w:r>
      <w:r w:rsidRPr="00283806">
        <w:rPr>
          <w:w w:val="105"/>
        </w:rPr>
        <w:t>at</w:t>
      </w:r>
      <w:r w:rsidRPr="00283806">
        <w:rPr>
          <w:spacing w:val="36"/>
          <w:w w:val="105"/>
        </w:rPr>
        <w:t xml:space="preserve"> </w:t>
      </w:r>
      <w:r w:rsidRPr="00283806">
        <w:rPr>
          <w:w w:val="105"/>
        </w:rPr>
        <w:t>40</w:t>
      </w:r>
      <w:r w:rsidRPr="00283806">
        <w:rPr>
          <w:spacing w:val="36"/>
          <w:w w:val="105"/>
        </w:rPr>
        <w:t xml:space="preserve"> </w:t>
      </w:r>
      <w:r w:rsidRPr="00283806">
        <w:rPr>
          <w:w w:val="105"/>
        </w:rPr>
        <w:t>CFR</w:t>
      </w:r>
      <w:r w:rsidRPr="00283806">
        <w:rPr>
          <w:spacing w:val="36"/>
          <w:w w:val="105"/>
        </w:rPr>
        <w:t xml:space="preserve"> </w:t>
      </w:r>
      <w:r w:rsidRPr="00283806">
        <w:rPr>
          <w:w w:val="105"/>
        </w:rPr>
        <w:t>part</w:t>
      </w:r>
      <w:r w:rsidRPr="00283806">
        <w:rPr>
          <w:spacing w:val="36"/>
          <w:w w:val="105"/>
        </w:rPr>
        <w:t xml:space="preserve"> </w:t>
      </w:r>
      <w:r w:rsidRPr="00283806">
        <w:rPr>
          <w:w w:val="105"/>
        </w:rPr>
        <w:t>84,</w:t>
      </w:r>
      <w:r w:rsidRPr="00283806">
        <w:rPr>
          <w:spacing w:val="36"/>
          <w:w w:val="105"/>
        </w:rPr>
        <w:t xml:space="preserve"> </w:t>
      </w:r>
      <w:r w:rsidRPr="00283806">
        <w:rPr>
          <w:w w:val="105"/>
        </w:rPr>
        <w:t>subpart</w:t>
      </w:r>
      <w:r w:rsidRPr="00283806">
        <w:rPr>
          <w:spacing w:val="36"/>
          <w:w w:val="105"/>
        </w:rPr>
        <w:t xml:space="preserve"> </w:t>
      </w:r>
      <w:r w:rsidRPr="00283806">
        <w:rPr>
          <w:w w:val="105"/>
        </w:rPr>
        <w:t>A are also outside the scope of this final</w:t>
      </w:r>
      <w:r w:rsidRPr="00283806">
        <w:rPr>
          <w:spacing w:val="40"/>
          <w:w w:val="105"/>
        </w:rPr>
        <w:t xml:space="preserve"> </w:t>
      </w:r>
      <w:r w:rsidRPr="00283806">
        <w:rPr>
          <w:w w:val="105"/>
        </w:rPr>
        <w:t>rule and thus require no further response. Regarding commenter’s points regarding assigned GWP values, EPA responds that subsection (c) of the AIM Act uses exchange values which are numerically equivalent to the 100-year GWP of the chemical as given in the Errata to Table 2.14 of the IPCC’s 2007 Fourth Assessment Report. These exchange values are codified in EPA’s regulations</w:t>
      </w:r>
      <w:r w:rsidRPr="00283806">
        <w:rPr>
          <w:spacing w:val="40"/>
          <w:w w:val="105"/>
        </w:rPr>
        <w:t xml:space="preserve"> </w:t>
      </w:r>
      <w:r w:rsidRPr="00283806">
        <w:rPr>
          <w:w w:val="105"/>
        </w:rPr>
        <w:t>as</w:t>
      </w:r>
      <w:r w:rsidRPr="00283806">
        <w:rPr>
          <w:spacing w:val="40"/>
          <w:w w:val="105"/>
        </w:rPr>
        <w:t xml:space="preserve"> </w:t>
      </w:r>
      <w:r w:rsidRPr="00283806">
        <w:rPr>
          <w:w w:val="105"/>
        </w:rPr>
        <w:t>appendix</w:t>
      </w:r>
      <w:r w:rsidRPr="00283806">
        <w:rPr>
          <w:spacing w:val="40"/>
          <w:w w:val="105"/>
        </w:rPr>
        <w:t xml:space="preserve"> </w:t>
      </w:r>
      <w:r w:rsidRPr="00283806">
        <w:rPr>
          <w:w w:val="105"/>
        </w:rPr>
        <w:t>A</w:t>
      </w:r>
      <w:r w:rsidRPr="00283806">
        <w:rPr>
          <w:spacing w:val="40"/>
          <w:w w:val="105"/>
        </w:rPr>
        <w:t xml:space="preserve"> </w:t>
      </w:r>
      <w:r w:rsidRPr="00283806">
        <w:rPr>
          <w:w w:val="105"/>
        </w:rPr>
        <w:t>to</w:t>
      </w:r>
      <w:r w:rsidRPr="00283806">
        <w:rPr>
          <w:spacing w:val="40"/>
          <w:w w:val="105"/>
        </w:rPr>
        <w:t xml:space="preserve"> </w:t>
      </w:r>
      <w:r w:rsidRPr="00283806">
        <w:rPr>
          <w:w w:val="105"/>
        </w:rPr>
        <w:t>40</w:t>
      </w:r>
      <w:r w:rsidRPr="00283806">
        <w:rPr>
          <w:spacing w:val="40"/>
          <w:w w:val="105"/>
        </w:rPr>
        <w:t xml:space="preserve"> </w:t>
      </w:r>
      <w:r w:rsidRPr="00283806">
        <w:rPr>
          <w:w w:val="105"/>
        </w:rPr>
        <w:t>CFR part 84, and this rulemaking did not propose, and is not finalizing, new or revised exchange values for any</w:t>
      </w:r>
      <w:r w:rsidRPr="00283806">
        <w:rPr>
          <w:spacing w:val="40"/>
          <w:w w:val="105"/>
        </w:rPr>
        <w:t xml:space="preserve"> </w:t>
      </w:r>
      <w:r w:rsidRPr="00283806">
        <w:rPr>
          <w:w w:val="105"/>
        </w:rPr>
        <w:t>regulated substances. By their terms, the exchange values listed in subsection (c)</w:t>
      </w:r>
      <w:r w:rsidRPr="00283806">
        <w:rPr>
          <w:spacing w:val="40"/>
          <w:w w:val="105"/>
        </w:rPr>
        <w:t xml:space="preserve"> </w:t>
      </w:r>
      <w:r w:rsidRPr="00283806">
        <w:rPr>
          <w:w w:val="105"/>
        </w:rPr>
        <w:t>of the AIM Act and codified at appendix</w:t>
      </w:r>
      <w:r w:rsidRPr="00283806">
        <w:rPr>
          <w:spacing w:val="80"/>
          <w:w w:val="105"/>
        </w:rPr>
        <w:t xml:space="preserve"> </w:t>
      </w:r>
      <w:r w:rsidRPr="00283806">
        <w:rPr>
          <w:w w:val="105"/>
        </w:rPr>
        <w:t>A to 40 CFR part 84 apply to regulated substances regardless of whether the substance is newly manufactured or reclaimed, and they are based on</w:t>
      </w:r>
      <w:r w:rsidRPr="00283806">
        <w:rPr>
          <w:spacing w:val="40"/>
          <w:w w:val="105"/>
        </w:rPr>
        <w:t xml:space="preserve"> </w:t>
      </w:r>
      <w:r w:rsidRPr="00283806">
        <w:rPr>
          <w:w w:val="105"/>
        </w:rPr>
        <w:t>physical properties of the compound itself that are the same for a substance, regardless of whether it is virgin or reclaimed. Further, to the extent that commenters on this rule are using terminology that is used under the Allowance Allocation Program in ways that diverge from how the Agency uses those terms or seeking modifications to requirements under that program, EPA</w:t>
      </w:r>
      <w:r w:rsidRPr="00283806">
        <w:rPr>
          <w:spacing w:val="80"/>
          <w:w w:val="105"/>
        </w:rPr>
        <w:t xml:space="preserve"> </w:t>
      </w:r>
      <w:r w:rsidRPr="00283806">
        <w:rPr>
          <w:w w:val="105"/>
        </w:rPr>
        <w:t>is not making any changes to the Allowance Allocation Program in this rule. Under the regulations at 40 CFR 84.5(b)(1) the quantity of consumption allowances</w:t>
      </w:r>
      <w:r w:rsidRPr="00283806">
        <w:rPr>
          <w:spacing w:val="40"/>
          <w:w w:val="105"/>
        </w:rPr>
        <w:t xml:space="preserve"> </w:t>
      </w:r>
      <w:r w:rsidRPr="00283806">
        <w:rPr>
          <w:w w:val="105"/>
        </w:rPr>
        <w:t>that</w:t>
      </w:r>
      <w:r w:rsidRPr="00283806">
        <w:rPr>
          <w:spacing w:val="40"/>
          <w:w w:val="105"/>
        </w:rPr>
        <w:t xml:space="preserve"> </w:t>
      </w:r>
      <w:r w:rsidRPr="00283806">
        <w:rPr>
          <w:w w:val="105"/>
        </w:rPr>
        <w:t>must</w:t>
      </w:r>
      <w:r w:rsidRPr="00283806">
        <w:rPr>
          <w:spacing w:val="40"/>
          <w:w w:val="105"/>
        </w:rPr>
        <w:t xml:space="preserve"> </w:t>
      </w:r>
      <w:r w:rsidRPr="00283806">
        <w:rPr>
          <w:w w:val="105"/>
        </w:rPr>
        <w:t>be</w:t>
      </w:r>
      <w:r w:rsidRPr="00283806">
        <w:rPr>
          <w:spacing w:val="40"/>
          <w:w w:val="105"/>
        </w:rPr>
        <w:t xml:space="preserve"> </w:t>
      </w:r>
      <w:r w:rsidRPr="00283806">
        <w:rPr>
          <w:w w:val="105"/>
        </w:rPr>
        <w:t>expended</w:t>
      </w:r>
      <w:r w:rsidRPr="00283806">
        <w:rPr>
          <w:spacing w:val="40"/>
          <w:w w:val="105"/>
        </w:rPr>
        <w:t xml:space="preserve"> </w:t>
      </w:r>
      <w:r w:rsidRPr="00283806">
        <w:rPr>
          <w:w w:val="105"/>
        </w:rPr>
        <w:t>for an import of a regulated substance must be equal to the exchange-value weighted equivalent of the regulated substances imported. EPA is not changing that</w:t>
      </w:r>
    </w:p>
    <w:p w14:paraId="2492F68D" w14:textId="77777777" w:rsidR="00D67C1E" w:rsidRPr="00283806" w:rsidRDefault="001265CA">
      <w:pPr>
        <w:pStyle w:val="BodyText"/>
        <w:spacing w:before="134" w:line="225" w:lineRule="auto"/>
        <w:ind w:left="154" w:right="122"/>
      </w:pPr>
      <w:r w:rsidRPr="00283806">
        <w:br w:type="column"/>
      </w:r>
      <w:r w:rsidRPr="00283806">
        <w:rPr>
          <w:w w:val="105"/>
        </w:rPr>
        <w:t>requirement</w:t>
      </w:r>
      <w:r w:rsidRPr="00283806">
        <w:rPr>
          <w:spacing w:val="-5"/>
          <w:w w:val="105"/>
        </w:rPr>
        <w:t xml:space="preserve"> </w:t>
      </w:r>
      <w:r w:rsidRPr="00283806">
        <w:rPr>
          <w:w w:val="105"/>
        </w:rPr>
        <w:t>for</w:t>
      </w:r>
      <w:r w:rsidRPr="00283806">
        <w:rPr>
          <w:spacing w:val="-5"/>
          <w:w w:val="105"/>
        </w:rPr>
        <w:t xml:space="preserve"> </w:t>
      </w:r>
      <w:r w:rsidRPr="00283806">
        <w:rPr>
          <w:w w:val="105"/>
        </w:rPr>
        <w:t>any</w:t>
      </w:r>
      <w:r w:rsidRPr="00283806">
        <w:rPr>
          <w:spacing w:val="-5"/>
          <w:w w:val="105"/>
        </w:rPr>
        <w:t xml:space="preserve"> </w:t>
      </w:r>
      <w:r w:rsidRPr="00283806">
        <w:rPr>
          <w:w w:val="105"/>
        </w:rPr>
        <w:t>regulated</w:t>
      </w:r>
      <w:r w:rsidRPr="00283806">
        <w:rPr>
          <w:spacing w:val="-5"/>
          <w:w w:val="105"/>
        </w:rPr>
        <w:t xml:space="preserve"> </w:t>
      </w:r>
      <w:r w:rsidRPr="00283806">
        <w:rPr>
          <w:w w:val="105"/>
        </w:rPr>
        <w:t>substance in this rulemaking.</w:t>
      </w:r>
    </w:p>
    <w:p w14:paraId="350957DD" w14:textId="77777777" w:rsidR="00D67C1E" w:rsidRPr="00283806" w:rsidRDefault="001265CA">
      <w:pPr>
        <w:pStyle w:val="BodyText"/>
        <w:spacing w:line="179" w:lineRule="exact"/>
        <w:ind w:left="334"/>
      </w:pPr>
      <w:r w:rsidRPr="00283806">
        <w:rPr>
          <w:w w:val="105"/>
        </w:rPr>
        <w:t>Regarding</w:t>
      </w:r>
      <w:r w:rsidRPr="00283806">
        <w:rPr>
          <w:spacing w:val="11"/>
          <w:w w:val="105"/>
        </w:rPr>
        <w:t xml:space="preserve"> </w:t>
      </w:r>
      <w:r w:rsidRPr="00283806">
        <w:rPr>
          <w:w w:val="105"/>
        </w:rPr>
        <w:t>comments</w:t>
      </w:r>
      <w:r w:rsidRPr="00283806">
        <w:rPr>
          <w:spacing w:val="11"/>
          <w:w w:val="105"/>
        </w:rPr>
        <w:t xml:space="preserve"> </w:t>
      </w:r>
      <w:proofErr w:type="gramStart"/>
      <w:r w:rsidRPr="00283806">
        <w:rPr>
          <w:spacing w:val="-2"/>
          <w:w w:val="105"/>
        </w:rPr>
        <w:t>recommending</w:t>
      </w:r>
      <w:proofErr w:type="gramEnd"/>
    </w:p>
    <w:p w14:paraId="427C8E8E" w14:textId="77777777" w:rsidR="00D67C1E" w:rsidRPr="00283806" w:rsidRDefault="001265CA">
      <w:pPr>
        <w:pStyle w:val="BodyText"/>
        <w:spacing w:before="4" w:line="225" w:lineRule="auto"/>
        <w:ind w:left="154" w:right="152"/>
      </w:pPr>
      <w:r w:rsidRPr="00283806">
        <w:rPr>
          <w:w w:val="105"/>
        </w:rPr>
        <w:t xml:space="preserve">that EPA should require that all recovered </w:t>
      </w:r>
      <w:proofErr w:type="gramStart"/>
      <w:r w:rsidRPr="00283806">
        <w:rPr>
          <w:w w:val="105"/>
        </w:rPr>
        <w:t>refrigerant</w:t>
      </w:r>
      <w:proofErr w:type="gramEnd"/>
      <w:r w:rsidRPr="00283806">
        <w:rPr>
          <w:w w:val="105"/>
        </w:rPr>
        <w:t xml:space="preserve"> be exclusively returned to EPA-certified reclaimers, there may be instances where this may not be appropriate or practical (</w:t>
      </w:r>
      <w:r w:rsidRPr="00283806">
        <w:rPr>
          <w:rFonts w:ascii="Book Antiqua"/>
          <w:i/>
          <w:w w:val="105"/>
        </w:rPr>
        <w:t xml:space="preserve">e.g., </w:t>
      </w:r>
      <w:r w:rsidRPr="00283806">
        <w:rPr>
          <w:w w:val="105"/>
        </w:rPr>
        <w:t xml:space="preserve">the same owner recovers refrigerant and transfers to another location). EPA is, however, </w:t>
      </w:r>
      <w:proofErr w:type="gramStart"/>
      <w:r w:rsidRPr="00283806">
        <w:rPr>
          <w:w w:val="105"/>
        </w:rPr>
        <w:t>requiring that</w:t>
      </w:r>
      <w:proofErr w:type="gramEnd"/>
      <w:r w:rsidRPr="00283806">
        <w:rPr>
          <w:w w:val="105"/>
        </w:rPr>
        <w:t xml:space="preserve"> disposable cylinders that were used in the</w:t>
      </w:r>
      <w:r w:rsidRPr="00283806">
        <w:rPr>
          <w:spacing w:val="80"/>
          <w:w w:val="105"/>
        </w:rPr>
        <w:t xml:space="preserve"> </w:t>
      </w:r>
      <w:r w:rsidRPr="00283806">
        <w:rPr>
          <w:w w:val="105"/>
        </w:rPr>
        <w:t>servicing, repair, or installation of refrigerant-containing equipment or fire suppression equipment be sent to a reclaimer, fire suppression recycler,</w:t>
      </w:r>
      <w:r w:rsidRPr="00283806">
        <w:rPr>
          <w:spacing w:val="80"/>
          <w:w w:val="105"/>
        </w:rPr>
        <w:t xml:space="preserve"> </w:t>
      </w:r>
      <w:r w:rsidRPr="00283806">
        <w:rPr>
          <w:w w:val="105"/>
        </w:rPr>
        <w:t>final processor for removal of the heel</w:t>
      </w:r>
      <w:r w:rsidRPr="00283806">
        <w:rPr>
          <w:spacing w:val="80"/>
          <w:w w:val="150"/>
        </w:rPr>
        <w:t xml:space="preserve"> </w:t>
      </w:r>
      <w:r w:rsidRPr="00283806">
        <w:rPr>
          <w:w w:val="105"/>
        </w:rPr>
        <w:t>as discussed in section IV.G.1. Further,</w:t>
      </w:r>
      <w:r w:rsidRPr="00283806">
        <w:rPr>
          <w:spacing w:val="80"/>
          <w:w w:val="105"/>
        </w:rPr>
        <w:t xml:space="preserve"> </w:t>
      </w:r>
      <w:r w:rsidRPr="00283806">
        <w:rPr>
          <w:w w:val="105"/>
        </w:rPr>
        <w:t>as</w:t>
      </w:r>
      <w:r w:rsidRPr="00283806">
        <w:rPr>
          <w:spacing w:val="40"/>
          <w:w w:val="105"/>
        </w:rPr>
        <w:t xml:space="preserve"> </w:t>
      </w:r>
      <w:r w:rsidRPr="00283806">
        <w:rPr>
          <w:w w:val="105"/>
        </w:rPr>
        <w:t>discussed</w:t>
      </w:r>
      <w:r w:rsidRPr="00283806">
        <w:rPr>
          <w:spacing w:val="40"/>
          <w:w w:val="105"/>
        </w:rPr>
        <w:t xml:space="preserve"> </w:t>
      </w:r>
      <w:r w:rsidRPr="00283806">
        <w:rPr>
          <w:w w:val="105"/>
        </w:rPr>
        <w:t>in</w:t>
      </w:r>
      <w:r w:rsidRPr="00283806">
        <w:rPr>
          <w:spacing w:val="40"/>
          <w:w w:val="105"/>
        </w:rPr>
        <w:t xml:space="preserve"> </w:t>
      </w:r>
      <w:r w:rsidRPr="00283806">
        <w:rPr>
          <w:w w:val="105"/>
        </w:rPr>
        <w:t>section</w:t>
      </w:r>
      <w:r w:rsidRPr="00283806">
        <w:rPr>
          <w:spacing w:val="40"/>
          <w:w w:val="105"/>
        </w:rPr>
        <w:t xml:space="preserve"> </w:t>
      </w:r>
      <w:r w:rsidRPr="00283806">
        <w:rPr>
          <w:w w:val="105"/>
        </w:rPr>
        <w:t>IV.E.1</w:t>
      </w:r>
      <w:r w:rsidRPr="00283806">
        <w:rPr>
          <w:spacing w:val="40"/>
          <w:w w:val="105"/>
        </w:rPr>
        <w:t xml:space="preserve"> </w:t>
      </w:r>
      <w:r w:rsidRPr="00283806">
        <w:rPr>
          <w:w w:val="105"/>
        </w:rPr>
        <w:t>above, EPA is also establishing labeling and recordkeeping requirements, as proposed, and prohibiting the sale, identification, or reporting of refrigerant as being reclaimed if the HFC</w:t>
      </w:r>
      <w:r w:rsidRPr="00283806">
        <w:rPr>
          <w:spacing w:val="80"/>
          <w:w w:val="105"/>
        </w:rPr>
        <w:t xml:space="preserve"> </w:t>
      </w:r>
      <w:r w:rsidRPr="00283806">
        <w:rPr>
          <w:w w:val="105"/>
        </w:rPr>
        <w:t>component of the resulting refrigerant contains more than 15 percent, by weight,</w:t>
      </w:r>
      <w:r w:rsidRPr="00283806">
        <w:rPr>
          <w:spacing w:val="40"/>
          <w:w w:val="105"/>
        </w:rPr>
        <w:t xml:space="preserve"> </w:t>
      </w:r>
      <w:r w:rsidRPr="00283806">
        <w:rPr>
          <w:w w:val="105"/>
        </w:rPr>
        <w:t>of</w:t>
      </w:r>
      <w:r w:rsidRPr="00283806">
        <w:rPr>
          <w:spacing w:val="40"/>
          <w:w w:val="105"/>
        </w:rPr>
        <w:t xml:space="preserve"> </w:t>
      </w:r>
      <w:r w:rsidRPr="00283806">
        <w:rPr>
          <w:w w:val="105"/>
        </w:rPr>
        <w:t>virgin</w:t>
      </w:r>
      <w:r w:rsidRPr="00283806">
        <w:rPr>
          <w:spacing w:val="40"/>
          <w:w w:val="105"/>
        </w:rPr>
        <w:t xml:space="preserve"> </w:t>
      </w:r>
      <w:r w:rsidRPr="00283806">
        <w:rPr>
          <w:w w:val="105"/>
        </w:rPr>
        <w:t>HFC.</w:t>
      </w:r>
      <w:r w:rsidRPr="00283806">
        <w:rPr>
          <w:spacing w:val="40"/>
          <w:w w:val="105"/>
        </w:rPr>
        <w:t xml:space="preserve"> </w:t>
      </w:r>
      <w:r w:rsidRPr="00283806">
        <w:rPr>
          <w:w w:val="105"/>
        </w:rPr>
        <w:t>EPA</w:t>
      </w:r>
      <w:r w:rsidRPr="00283806">
        <w:rPr>
          <w:spacing w:val="40"/>
          <w:w w:val="105"/>
        </w:rPr>
        <w:t xml:space="preserve"> </w:t>
      </w:r>
      <w:r w:rsidRPr="00283806">
        <w:rPr>
          <w:w w:val="105"/>
        </w:rPr>
        <w:t xml:space="preserve">proposed and is </w:t>
      </w:r>
      <w:proofErr w:type="gramStart"/>
      <w:r w:rsidRPr="00283806">
        <w:rPr>
          <w:w w:val="105"/>
        </w:rPr>
        <w:t>requiring</w:t>
      </w:r>
      <w:proofErr w:type="gramEnd"/>
      <w:r w:rsidRPr="00283806">
        <w:rPr>
          <w:w w:val="105"/>
        </w:rPr>
        <w:t xml:space="preserve"> that certified reclaimers affix this label to reclaimed HFCs being sold or distributed or offered for sale or distribution beginning January 1, 2026. EPA also proposed and is finalizing that beginning January 1, 2026, certified reclaimers generate a record to certify that the reclaimed refrigerant does not exceed 15 percent, by weight, of virgin HFCs. Such records must be maintained for three years.</w:t>
      </w:r>
    </w:p>
    <w:p w14:paraId="3F75AC30" w14:textId="77777777" w:rsidR="00D67C1E" w:rsidRPr="00283806" w:rsidRDefault="001265CA">
      <w:pPr>
        <w:pStyle w:val="Heading3"/>
        <w:numPr>
          <w:ilvl w:val="0"/>
          <w:numId w:val="64"/>
        </w:numPr>
        <w:tabs>
          <w:tab w:val="left" w:pos="453"/>
        </w:tabs>
        <w:spacing w:before="67"/>
        <w:ind w:left="453" w:hanging="299"/>
        <w:rPr>
          <w:rFonts w:ascii="Book Antiqua"/>
        </w:rPr>
      </w:pPr>
      <w:r w:rsidRPr="00283806">
        <w:rPr>
          <w:rFonts w:ascii="Book Antiqua"/>
        </w:rPr>
        <w:t>Judicial</w:t>
      </w:r>
      <w:r w:rsidRPr="00283806">
        <w:rPr>
          <w:rFonts w:ascii="Book Antiqua"/>
          <w:spacing w:val="23"/>
        </w:rPr>
        <w:t xml:space="preserve"> </w:t>
      </w:r>
      <w:r w:rsidRPr="00283806">
        <w:rPr>
          <w:rFonts w:ascii="Book Antiqua"/>
          <w:spacing w:val="-2"/>
        </w:rPr>
        <w:t>Review</w:t>
      </w:r>
    </w:p>
    <w:p w14:paraId="205B75AC" w14:textId="77777777" w:rsidR="00D67C1E" w:rsidRPr="00283806" w:rsidRDefault="001265CA">
      <w:pPr>
        <w:pStyle w:val="BodyText"/>
        <w:spacing w:before="55" w:line="225" w:lineRule="auto"/>
        <w:ind w:left="154" w:right="151" w:firstLine="180"/>
      </w:pPr>
      <w:r w:rsidRPr="00283806">
        <w:rPr>
          <w:w w:val="105"/>
        </w:rPr>
        <w:t>The AIM Act regulations promulgated herein may be challenged in the United States Court of Appeals for the District</w:t>
      </w:r>
      <w:r w:rsidRPr="00283806">
        <w:rPr>
          <w:spacing w:val="80"/>
          <w:w w:val="150"/>
        </w:rPr>
        <w:t xml:space="preserve"> </w:t>
      </w:r>
      <w:r w:rsidRPr="00283806">
        <w:rPr>
          <w:w w:val="105"/>
        </w:rPr>
        <w:t>of Columbia Circuit. Pursuant to section 307(b)(1) of the CAA, petitions for judicial review of the AIM Act</w:t>
      </w:r>
      <w:r w:rsidRPr="00283806">
        <w:rPr>
          <w:spacing w:val="80"/>
          <w:w w:val="105"/>
        </w:rPr>
        <w:t xml:space="preserve"> </w:t>
      </w:r>
      <w:r w:rsidRPr="00283806">
        <w:rPr>
          <w:w w:val="105"/>
        </w:rPr>
        <w:t xml:space="preserve">regulations must be filed in that court within 60 days after the date notice of this final action is published in the </w:t>
      </w:r>
      <w:r w:rsidRPr="00283806">
        <w:rPr>
          <w:rFonts w:ascii="Book Antiqua"/>
          <w:b/>
          <w:w w:val="105"/>
        </w:rPr>
        <w:t>Federal</w:t>
      </w:r>
      <w:r w:rsidRPr="00283806">
        <w:rPr>
          <w:rFonts w:ascii="Book Antiqua"/>
          <w:b/>
          <w:spacing w:val="-1"/>
          <w:w w:val="105"/>
        </w:rPr>
        <w:t xml:space="preserve"> </w:t>
      </w:r>
      <w:r w:rsidRPr="00283806">
        <w:rPr>
          <w:rFonts w:ascii="Book Antiqua"/>
          <w:b/>
          <w:w w:val="105"/>
        </w:rPr>
        <w:t>Register</w:t>
      </w:r>
      <w:r w:rsidRPr="00283806">
        <w:rPr>
          <w:w w:val="105"/>
        </w:rPr>
        <w:t xml:space="preserve">. Any person seeking to challenge both the AIM Act regulations and the RCRA regulations must file the challenge </w:t>
      </w:r>
      <w:proofErr w:type="gramStart"/>
      <w:r w:rsidRPr="00283806">
        <w:rPr>
          <w:w w:val="105"/>
        </w:rPr>
        <w:t>to</w:t>
      </w:r>
      <w:proofErr w:type="gramEnd"/>
      <w:r w:rsidRPr="00283806">
        <w:rPr>
          <w:w w:val="105"/>
        </w:rPr>
        <w:t xml:space="preserve"> the AIM Act regulations within 60 days after the date notice of this final action is published in the </w:t>
      </w:r>
      <w:r w:rsidRPr="00283806">
        <w:rPr>
          <w:rFonts w:ascii="Book Antiqua"/>
          <w:b/>
          <w:w w:val="105"/>
        </w:rPr>
        <w:t>Federal Register</w:t>
      </w:r>
      <w:r w:rsidRPr="00283806">
        <w:rPr>
          <w:w w:val="105"/>
        </w:rPr>
        <w:t>.</w:t>
      </w:r>
    </w:p>
    <w:p w14:paraId="6FBDFEDB" w14:textId="77777777" w:rsidR="00D67C1E" w:rsidRPr="00283806" w:rsidRDefault="001265CA">
      <w:pPr>
        <w:pStyle w:val="BodyText"/>
        <w:spacing w:line="174" w:lineRule="exact"/>
        <w:ind w:left="334"/>
      </w:pPr>
      <w:r w:rsidRPr="00283806">
        <w:rPr>
          <w:w w:val="105"/>
        </w:rPr>
        <w:t>The</w:t>
      </w:r>
      <w:r w:rsidRPr="00283806">
        <w:rPr>
          <w:spacing w:val="20"/>
          <w:w w:val="105"/>
        </w:rPr>
        <w:t xml:space="preserve"> </w:t>
      </w:r>
      <w:r w:rsidRPr="00283806">
        <w:rPr>
          <w:w w:val="105"/>
        </w:rPr>
        <w:t>AIM</w:t>
      </w:r>
      <w:r w:rsidRPr="00283806">
        <w:rPr>
          <w:spacing w:val="20"/>
          <w:w w:val="105"/>
        </w:rPr>
        <w:t xml:space="preserve"> </w:t>
      </w:r>
      <w:r w:rsidRPr="00283806">
        <w:rPr>
          <w:w w:val="105"/>
        </w:rPr>
        <w:t>Act</w:t>
      </w:r>
      <w:r w:rsidRPr="00283806">
        <w:rPr>
          <w:spacing w:val="21"/>
          <w:w w:val="105"/>
        </w:rPr>
        <w:t xml:space="preserve"> </w:t>
      </w:r>
      <w:r w:rsidRPr="00283806">
        <w:rPr>
          <w:w w:val="105"/>
        </w:rPr>
        <w:t>provides</w:t>
      </w:r>
      <w:r w:rsidRPr="00283806">
        <w:rPr>
          <w:spacing w:val="20"/>
          <w:w w:val="105"/>
        </w:rPr>
        <w:t xml:space="preserve"> </w:t>
      </w:r>
      <w:r w:rsidRPr="00283806">
        <w:rPr>
          <w:w w:val="105"/>
        </w:rPr>
        <w:t>that</w:t>
      </w:r>
      <w:r w:rsidRPr="00283806">
        <w:rPr>
          <w:spacing w:val="21"/>
          <w:w w:val="105"/>
        </w:rPr>
        <w:t xml:space="preserve"> </w:t>
      </w:r>
      <w:r w:rsidRPr="00283806">
        <w:rPr>
          <w:spacing w:val="-2"/>
          <w:w w:val="105"/>
        </w:rPr>
        <w:t>certain</w:t>
      </w:r>
    </w:p>
    <w:p w14:paraId="66E6FA50" w14:textId="77777777" w:rsidR="00D67C1E" w:rsidRPr="00283806" w:rsidRDefault="001265CA">
      <w:pPr>
        <w:pStyle w:val="BodyText"/>
        <w:spacing w:before="3" w:line="228" w:lineRule="auto"/>
        <w:ind w:left="154" w:right="172"/>
      </w:pPr>
      <w:r w:rsidRPr="00283806">
        <w:rPr>
          <w:w w:val="105"/>
        </w:rPr>
        <w:t>sections of the CAA ‘‘shall apply to’’ the AIM</w:t>
      </w:r>
      <w:r w:rsidRPr="00283806">
        <w:rPr>
          <w:spacing w:val="40"/>
          <w:w w:val="105"/>
        </w:rPr>
        <w:t xml:space="preserve"> </w:t>
      </w:r>
      <w:r w:rsidRPr="00283806">
        <w:rPr>
          <w:w w:val="105"/>
        </w:rPr>
        <w:t>Act</w:t>
      </w:r>
      <w:r w:rsidRPr="00283806">
        <w:rPr>
          <w:spacing w:val="40"/>
          <w:w w:val="105"/>
        </w:rPr>
        <w:t xml:space="preserve"> </w:t>
      </w:r>
      <w:r w:rsidRPr="00283806">
        <w:rPr>
          <w:w w:val="105"/>
        </w:rPr>
        <w:t>and</w:t>
      </w:r>
      <w:r w:rsidRPr="00283806">
        <w:rPr>
          <w:spacing w:val="40"/>
          <w:w w:val="105"/>
        </w:rPr>
        <w:t xml:space="preserve"> </w:t>
      </w:r>
      <w:r w:rsidRPr="00283806">
        <w:rPr>
          <w:w w:val="105"/>
        </w:rPr>
        <w:t>to</w:t>
      </w:r>
      <w:r w:rsidRPr="00283806">
        <w:rPr>
          <w:spacing w:val="40"/>
          <w:w w:val="105"/>
        </w:rPr>
        <w:t xml:space="preserve"> </w:t>
      </w:r>
      <w:r w:rsidRPr="00283806">
        <w:rPr>
          <w:w w:val="105"/>
        </w:rPr>
        <w:t>‘‘any</w:t>
      </w:r>
      <w:r w:rsidRPr="00283806">
        <w:rPr>
          <w:spacing w:val="40"/>
          <w:w w:val="105"/>
        </w:rPr>
        <w:t xml:space="preserve"> </w:t>
      </w:r>
      <w:r w:rsidRPr="00283806">
        <w:rPr>
          <w:w w:val="105"/>
        </w:rPr>
        <w:t>rule,</w:t>
      </w:r>
      <w:r w:rsidRPr="00283806">
        <w:rPr>
          <w:spacing w:val="40"/>
          <w:w w:val="105"/>
        </w:rPr>
        <w:t xml:space="preserve"> </w:t>
      </w:r>
      <w:r w:rsidRPr="00283806">
        <w:rPr>
          <w:w w:val="105"/>
        </w:rPr>
        <w:t>rulemaking, or regulation promulgated by the Administrator of [EPA] pursuant to [the AIM Act] as though [the AIM Act] were expressly included in title VI of [the CAA]’’ (42 U.S.C. 7675(k)(1)(C)). Among</w:t>
      </w:r>
    </w:p>
    <w:p w14:paraId="461DB87D" w14:textId="77777777" w:rsidR="00D67C1E" w:rsidRPr="00283806" w:rsidRDefault="001265CA">
      <w:pPr>
        <w:pStyle w:val="BodyText"/>
        <w:spacing w:line="228" w:lineRule="auto"/>
        <w:ind w:left="154" w:right="233"/>
      </w:pPr>
      <w:proofErr w:type="gramStart"/>
      <w:r w:rsidRPr="00283806">
        <w:rPr>
          <w:w w:val="105"/>
        </w:rPr>
        <w:t>the</w:t>
      </w:r>
      <w:proofErr w:type="gramEnd"/>
      <w:r w:rsidRPr="00283806">
        <w:rPr>
          <w:w w:val="105"/>
        </w:rPr>
        <w:t xml:space="preserve"> applicable </w:t>
      </w:r>
      <w:proofErr w:type="gramStart"/>
      <w:r w:rsidRPr="00283806">
        <w:rPr>
          <w:w w:val="105"/>
        </w:rPr>
        <w:t>sections</w:t>
      </w:r>
      <w:proofErr w:type="gramEnd"/>
      <w:r w:rsidRPr="00283806">
        <w:rPr>
          <w:w w:val="105"/>
        </w:rPr>
        <w:t xml:space="preserve"> of the CAA is section 307, which includes provisions on judicial review. Section 307(b)(1) provides, in part, that petitions for review must be filed in the United</w:t>
      </w:r>
    </w:p>
    <w:p w14:paraId="7D3B5CB0"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07" w:space="40"/>
            <w:col w:w="3500" w:space="39"/>
            <w:col w:w="3634"/>
          </w:cols>
        </w:sectPr>
      </w:pPr>
    </w:p>
    <w:p w14:paraId="695FBE80" w14:textId="77777777" w:rsidR="00D67C1E" w:rsidRPr="00283806" w:rsidRDefault="001265CA">
      <w:pPr>
        <w:pStyle w:val="BodyText"/>
        <w:spacing w:before="136" w:line="225" w:lineRule="auto"/>
        <w:ind w:right="1"/>
      </w:pPr>
      <w:r w:rsidRPr="00283806">
        <w:rPr>
          <w:w w:val="110"/>
        </w:rPr>
        <w:lastRenderedPageBreak/>
        <w:t>States Court of Appeals for the District of Columbia Circuit: (i) When the Agency action consists of ‘‘nationally applicable regulations promulgated, or final action taken, by the Administrator,’’</w:t>
      </w:r>
      <w:r w:rsidRPr="00283806">
        <w:rPr>
          <w:spacing w:val="-11"/>
          <w:w w:val="110"/>
        </w:rPr>
        <w:t xml:space="preserve"> </w:t>
      </w:r>
      <w:r w:rsidRPr="00283806">
        <w:rPr>
          <w:w w:val="110"/>
        </w:rPr>
        <w:t>or</w:t>
      </w:r>
      <w:r w:rsidRPr="00283806">
        <w:rPr>
          <w:spacing w:val="-11"/>
          <w:w w:val="110"/>
        </w:rPr>
        <w:t xml:space="preserve"> </w:t>
      </w:r>
      <w:r w:rsidRPr="00283806">
        <w:rPr>
          <w:w w:val="110"/>
        </w:rPr>
        <w:t>(ii)</w:t>
      </w:r>
      <w:r w:rsidRPr="00283806">
        <w:rPr>
          <w:spacing w:val="-11"/>
          <w:w w:val="110"/>
        </w:rPr>
        <w:t xml:space="preserve"> </w:t>
      </w:r>
      <w:r w:rsidRPr="00283806">
        <w:rPr>
          <w:w w:val="110"/>
        </w:rPr>
        <w:t>when</w:t>
      </w:r>
      <w:r w:rsidRPr="00283806">
        <w:rPr>
          <w:spacing w:val="-11"/>
          <w:w w:val="110"/>
        </w:rPr>
        <w:t xml:space="preserve"> </w:t>
      </w:r>
      <w:r w:rsidRPr="00283806">
        <w:rPr>
          <w:w w:val="110"/>
        </w:rPr>
        <w:t>such</w:t>
      </w:r>
      <w:r w:rsidRPr="00283806">
        <w:rPr>
          <w:spacing w:val="-11"/>
          <w:w w:val="110"/>
        </w:rPr>
        <w:t xml:space="preserve"> </w:t>
      </w:r>
      <w:r w:rsidRPr="00283806">
        <w:rPr>
          <w:w w:val="110"/>
        </w:rPr>
        <w:t xml:space="preserve">action is locally or regionally applicable, but such action is ‘‘based on a determination of nationwide scope or </w:t>
      </w:r>
      <w:r w:rsidRPr="00283806">
        <w:rPr>
          <w:spacing w:val="-2"/>
          <w:w w:val="110"/>
        </w:rPr>
        <w:t>effect.’’</w:t>
      </w:r>
    </w:p>
    <w:p w14:paraId="191C2A5D" w14:textId="77777777" w:rsidR="00D67C1E" w:rsidRPr="00283806" w:rsidRDefault="001265CA">
      <w:pPr>
        <w:pStyle w:val="BodyText"/>
        <w:spacing w:line="177" w:lineRule="exact"/>
        <w:ind w:left="340"/>
      </w:pPr>
      <w:r w:rsidRPr="00283806">
        <w:rPr>
          <w:w w:val="105"/>
        </w:rPr>
        <w:t>The</w:t>
      </w:r>
      <w:r w:rsidRPr="00283806">
        <w:rPr>
          <w:spacing w:val="23"/>
          <w:w w:val="105"/>
        </w:rPr>
        <w:t xml:space="preserve"> </w:t>
      </w:r>
      <w:r w:rsidRPr="00283806">
        <w:rPr>
          <w:w w:val="105"/>
        </w:rPr>
        <w:t>AIM</w:t>
      </w:r>
      <w:r w:rsidRPr="00283806">
        <w:rPr>
          <w:spacing w:val="24"/>
          <w:w w:val="105"/>
        </w:rPr>
        <w:t xml:space="preserve"> </w:t>
      </w:r>
      <w:r w:rsidRPr="00283806">
        <w:rPr>
          <w:w w:val="105"/>
        </w:rPr>
        <w:t>Act</w:t>
      </w:r>
      <w:r w:rsidRPr="00283806">
        <w:rPr>
          <w:spacing w:val="23"/>
          <w:w w:val="105"/>
        </w:rPr>
        <w:t xml:space="preserve"> </w:t>
      </w:r>
      <w:r w:rsidRPr="00283806">
        <w:rPr>
          <w:w w:val="105"/>
        </w:rPr>
        <w:t>regulations</w:t>
      </w:r>
      <w:r w:rsidRPr="00283806">
        <w:rPr>
          <w:spacing w:val="24"/>
          <w:w w:val="105"/>
        </w:rPr>
        <w:t xml:space="preserve"> </w:t>
      </w:r>
      <w:r w:rsidRPr="00283806">
        <w:rPr>
          <w:spacing w:val="-2"/>
          <w:w w:val="105"/>
        </w:rPr>
        <w:t>promulgated</w:t>
      </w:r>
    </w:p>
    <w:p w14:paraId="689200E8" w14:textId="77777777" w:rsidR="00D67C1E" w:rsidRPr="00283806" w:rsidRDefault="001265CA">
      <w:pPr>
        <w:pStyle w:val="BodyText"/>
        <w:spacing w:before="4" w:line="225" w:lineRule="auto"/>
        <w:ind w:right="98"/>
      </w:pPr>
      <w:r w:rsidRPr="00283806">
        <w:rPr>
          <w:w w:val="105"/>
        </w:rPr>
        <w:t>herein are ‘‘nationally applicable regulations’’ within the meaning of CAA section 307(b)(1). These regulations define and interpret terms under the</w:t>
      </w:r>
      <w:r w:rsidRPr="00283806">
        <w:rPr>
          <w:spacing w:val="80"/>
          <w:w w:val="105"/>
        </w:rPr>
        <w:t xml:space="preserve"> </w:t>
      </w:r>
      <w:r w:rsidRPr="00283806">
        <w:rPr>
          <w:w w:val="105"/>
        </w:rPr>
        <w:t>AIM Act and establish regulatory requirements applicable across the</w:t>
      </w:r>
      <w:r w:rsidRPr="00283806">
        <w:rPr>
          <w:spacing w:val="40"/>
          <w:w w:val="105"/>
        </w:rPr>
        <w:t xml:space="preserve"> </w:t>
      </w:r>
      <w:r w:rsidRPr="00283806">
        <w:rPr>
          <w:w w:val="105"/>
        </w:rPr>
        <w:t>entire United States to implement subsection (h) of the AIM Act, including requirements to control practices, processes, or activities regarding the servicing,</w:t>
      </w:r>
      <w:r w:rsidRPr="00283806">
        <w:rPr>
          <w:spacing w:val="40"/>
          <w:w w:val="105"/>
        </w:rPr>
        <w:t xml:space="preserve"> </w:t>
      </w:r>
      <w:r w:rsidRPr="00283806">
        <w:rPr>
          <w:w w:val="105"/>
        </w:rPr>
        <w:t>repair,</w:t>
      </w:r>
      <w:r w:rsidRPr="00283806">
        <w:rPr>
          <w:spacing w:val="40"/>
          <w:w w:val="105"/>
        </w:rPr>
        <w:t xml:space="preserve"> </w:t>
      </w:r>
      <w:r w:rsidRPr="00283806">
        <w:rPr>
          <w:w w:val="105"/>
        </w:rPr>
        <w:t>disposal,</w:t>
      </w:r>
      <w:r w:rsidRPr="00283806">
        <w:rPr>
          <w:spacing w:val="40"/>
          <w:w w:val="105"/>
        </w:rPr>
        <w:t xml:space="preserve"> </w:t>
      </w:r>
      <w:r w:rsidRPr="00283806">
        <w:rPr>
          <w:w w:val="105"/>
        </w:rPr>
        <w:t>or installation of equipment that involves</w:t>
      </w:r>
    </w:p>
    <w:p w14:paraId="4439BD4A" w14:textId="77777777" w:rsidR="00D67C1E" w:rsidRPr="00283806" w:rsidRDefault="001265CA">
      <w:pPr>
        <w:pStyle w:val="BodyText"/>
        <w:spacing w:line="225" w:lineRule="auto"/>
        <w:ind w:right="9"/>
      </w:pPr>
      <w:r w:rsidRPr="00283806">
        <w:rPr>
          <w:w w:val="105"/>
        </w:rPr>
        <w:t>a regulated substance, a substitute for a regulated substance, the reclaiming of a regulated substance used as a</w:t>
      </w:r>
      <w:r w:rsidRPr="00283806">
        <w:rPr>
          <w:spacing w:val="40"/>
          <w:w w:val="105"/>
        </w:rPr>
        <w:t xml:space="preserve"> </w:t>
      </w:r>
      <w:r w:rsidRPr="00283806">
        <w:rPr>
          <w:w w:val="105"/>
        </w:rPr>
        <w:t>refrigerant, or the reclaiming of a substitute</w:t>
      </w:r>
      <w:r w:rsidRPr="00283806">
        <w:rPr>
          <w:spacing w:val="-1"/>
          <w:w w:val="105"/>
        </w:rPr>
        <w:t xml:space="preserve"> </w:t>
      </w:r>
      <w:r w:rsidRPr="00283806">
        <w:rPr>
          <w:w w:val="105"/>
        </w:rPr>
        <w:t>for</w:t>
      </w:r>
      <w:r w:rsidRPr="00283806">
        <w:rPr>
          <w:spacing w:val="-1"/>
          <w:w w:val="105"/>
        </w:rPr>
        <w:t xml:space="preserve"> </w:t>
      </w:r>
      <w:r w:rsidRPr="00283806">
        <w:rPr>
          <w:w w:val="105"/>
        </w:rPr>
        <w:t>a</w:t>
      </w:r>
      <w:r w:rsidRPr="00283806">
        <w:rPr>
          <w:spacing w:val="-1"/>
          <w:w w:val="105"/>
        </w:rPr>
        <w:t xml:space="preserve"> </w:t>
      </w:r>
      <w:r w:rsidRPr="00283806">
        <w:rPr>
          <w:w w:val="105"/>
        </w:rPr>
        <w:t>regulated</w:t>
      </w:r>
      <w:r w:rsidRPr="00283806">
        <w:rPr>
          <w:spacing w:val="-1"/>
          <w:w w:val="105"/>
        </w:rPr>
        <w:t xml:space="preserve"> </w:t>
      </w:r>
      <w:r w:rsidRPr="00283806">
        <w:rPr>
          <w:w w:val="105"/>
        </w:rPr>
        <w:t>substance</w:t>
      </w:r>
      <w:r w:rsidRPr="00283806">
        <w:rPr>
          <w:spacing w:val="-1"/>
          <w:w w:val="105"/>
        </w:rPr>
        <w:t xml:space="preserve"> </w:t>
      </w:r>
      <w:r w:rsidRPr="00283806">
        <w:rPr>
          <w:w w:val="105"/>
        </w:rPr>
        <w:t>used as a refrigerant, as well as regulatory requirements for labeling,</w:t>
      </w:r>
      <w:r w:rsidRPr="00283806">
        <w:rPr>
          <w:spacing w:val="40"/>
          <w:w w:val="105"/>
        </w:rPr>
        <w:t xml:space="preserve"> </w:t>
      </w:r>
      <w:r w:rsidRPr="00283806">
        <w:rPr>
          <w:w w:val="105"/>
        </w:rPr>
        <w:t>recordkeeping, and reporting, for purposes including maximizing reclamation and minimizing releases of regulated substances from equipment.</w:t>
      </w:r>
    </w:p>
    <w:p w14:paraId="761FA722" w14:textId="77777777" w:rsidR="00D67C1E" w:rsidRPr="00283806" w:rsidRDefault="001265CA">
      <w:pPr>
        <w:pStyle w:val="BodyText"/>
        <w:spacing w:line="225" w:lineRule="auto"/>
        <w:ind w:right="98"/>
      </w:pPr>
      <w:r w:rsidRPr="00283806">
        <w:rPr>
          <w:w w:val="105"/>
        </w:rPr>
        <w:t>Accordingly, under section 307(b)(1) of the CAA, petitions for judicial review of these AIM Act regulations must be filed</w:t>
      </w:r>
      <w:r w:rsidRPr="00283806">
        <w:rPr>
          <w:spacing w:val="40"/>
          <w:w w:val="105"/>
        </w:rPr>
        <w:t xml:space="preserve"> </w:t>
      </w:r>
      <w:r w:rsidRPr="00283806">
        <w:rPr>
          <w:w w:val="105"/>
        </w:rPr>
        <w:t>in</w:t>
      </w:r>
      <w:r w:rsidRPr="00283806">
        <w:rPr>
          <w:spacing w:val="40"/>
          <w:w w:val="105"/>
        </w:rPr>
        <w:t xml:space="preserve"> </w:t>
      </w:r>
      <w:r w:rsidRPr="00283806">
        <w:rPr>
          <w:w w:val="105"/>
        </w:rPr>
        <w:t>the</w:t>
      </w:r>
      <w:r w:rsidRPr="00283806">
        <w:rPr>
          <w:spacing w:val="40"/>
          <w:w w:val="105"/>
        </w:rPr>
        <w:t xml:space="preserve"> </w:t>
      </w:r>
      <w:r w:rsidRPr="00283806">
        <w:rPr>
          <w:w w:val="105"/>
        </w:rPr>
        <w:t>United</w:t>
      </w:r>
      <w:r w:rsidRPr="00283806">
        <w:rPr>
          <w:spacing w:val="40"/>
          <w:w w:val="105"/>
        </w:rPr>
        <w:t xml:space="preserve"> </w:t>
      </w:r>
      <w:r w:rsidRPr="00283806">
        <w:rPr>
          <w:w w:val="105"/>
        </w:rPr>
        <w:t>States</w:t>
      </w:r>
      <w:r w:rsidRPr="00283806">
        <w:rPr>
          <w:spacing w:val="40"/>
          <w:w w:val="105"/>
        </w:rPr>
        <w:t xml:space="preserve"> </w:t>
      </w:r>
      <w:r w:rsidRPr="00283806">
        <w:rPr>
          <w:w w:val="105"/>
        </w:rPr>
        <w:t>Court</w:t>
      </w:r>
      <w:r w:rsidRPr="00283806">
        <w:rPr>
          <w:spacing w:val="40"/>
          <w:w w:val="105"/>
        </w:rPr>
        <w:t xml:space="preserve"> </w:t>
      </w:r>
      <w:r w:rsidRPr="00283806">
        <w:rPr>
          <w:w w:val="105"/>
        </w:rPr>
        <w:t>of</w:t>
      </w:r>
      <w:r w:rsidRPr="00283806">
        <w:rPr>
          <w:spacing w:val="40"/>
          <w:w w:val="105"/>
        </w:rPr>
        <w:t xml:space="preserve"> </w:t>
      </w:r>
      <w:r w:rsidRPr="00283806">
        <w:rPr>
          <w:w w:val="105"/>
        </w:rPr>
        <w:t>Appeals for the District of Columbia by</w:t>
      </w:r>
      <w:r w:rsidRPr="00283806">
        <w:rPr>
          <w:spacing w:val="80"/>
          <w:w w:val="105"/>
        </w:rPr>
        <w:t xml:space="preserve"> </w:t>
      </w:r>
      <w:r w:rsidRPr="00283806">
        <w:rPr>
          <w:w w:val="105"/>
        </w:rPr>
        <w:t>December 10, 2024.</w:t>
      </w:r>
    </w:p>
    <w:p w14:paraId="375BA8BB" w14:textId="77777777" w:rsidR="00D67C1E" w:rsidRPr="00283806" w:rsidRDefault="001265CA">
      <w:pPr>
        <w:pStyle w:val="BodyText"/>
        <w:spacing w:line="178" w:lineRule="exact"/>
        <w:ind w:left="340"/>
      </w:pPr>
      <w:r w:rsidRPr="00283806">
        <w:rPr>
          <w:w w:val="110"/>
        </w:rPr>
        <w:t>EPA’s</w:t>
      </w:r>
      <w:r w:rsidRPr="00283806">
        <w:rPr>
          <w:spacing w:val="-1"/>
          <w:w w:val="110"/>
        </w:rPr>
        <w:t xml:space="preserve"> </w:t>
      </w:r>
      <w:r w:rsidRPr="00283806">
        <w:rPr>
          <w:w w:val="110"/>
        </w:rPr>
        <w:t>RCRA</w:t>
      </w:r>
      <w:r w:rsidRPr="00283806">
        <w:rPr>
          <w:spacing w:val="-1"/>
          <w:w w:val="110"/>
        </w:rPr>
        <w:t xml:space="preserve"> </w:t>
      </w:r>
      <w:r w:rsidRPr="00283806">
        <w:rPr>
          <w:w w:val="110"/>
        </w:rPr>
        <w:t>regulations</w:t>
      </w:r>
      <w:r w:rsidRPr="00283806">
        <w:rPr>
          <w:spacing w:val="-1"/>
          <w:w w:val="110"/>
        </w:rPr>
        <w:t xml:space="preserve"> </w:t>
      </w:r>
      <w:r w:rsidRPr="00283806">
        <w:rPr>
          <w:spacing w:val="-2"/>
          <w:w w:val="110"/>
        </w:rPr>
        <w:t>promulgated</w:t>
      </w:r>
    </w:p>
    <w:p w14:paraId="5264DEA1" w14:textId="77777777" w:rsidR="00D67C1E" w:rsidRPr="00283806" w:rsidRDefault="001265CA">
      <w:pPr>
        <w:pStyle w:val="BodyText"/>
        <w:tabs>
          <w:tab w:val="left" w:leader="dot" w:pos="2477"/>
        </w:tabs>
        <w:spacing w:line="225" w:lineRule="auto"/>
        <w:ind w:right="58"/>
      </w:pPr>
      <w:r w:rsidRPr="00283806">
        <w:rPr>
          <w:w w:val="105"/>
        </w:rPr>
        <w:t>herein may be challenged in the United States Court of Appeals for the District</w:t>
      </w:r>
      <w:r w:rsidRPr="00283806">
        <w:rPr>
          <w:spacing w:val="40"/>
          <w:w w:val="105"/>
        </w:rPr>
        <w:t xml:space="preserve"> </w:t>
      </w:r>
      <w:r w:rsidRPr="00283806">
        <w:rPr>
          <w:w w:val="105"/>
        </w:rPr>
        <w:t>of Columbia Circuit. Section 7006(a)(1) of RCRA provides that ‘‘a petition for review of action of the Administrator in promulgating any regulation, or requirement under this chapter .</w:t>
      </w:r>
      <w:r w:rsidRPr="00283806">
        <w:rPr>
          <w:spacing w:val="40"/>
          <w:w w:val="105"/>
        </w:rPr>
        <w:t xml:space="preserve"> </w:t>
      </w:r>
      <w:r w:rsidRPr="00283806">
        <w:rPr>
          <w:w w:val="105"/>
        </w:rPr>
        <w:t>.</w:t>
      </w:r>
      <w:r w:rsidRPr="00283806">
        <w:rPr>
          <w:spacing w:val="40"/>
          <w:w w:val="105"/>
        </w:rPr>
        <w:t xml:space="preserve"> </w:t>
      </w:r>
      <w:r w:rsidRPr="00283806">
        <w:rPr>
          <w:w w:val="105"/>
        </w:rPr>
        <w:t>.</w:t>
      </w:r>
      <w:r w:rsidRPr="00283806">
        <w:rPr>
          <w:spacing w:val="80"/>
          <w:w w:val="105"/>
        </w:rPr>
        <w:t xml:space="preserve"> </w:t>
      </w:r>
      <w:r w:rsidRPr="00283806">
        <w:rPr>
          <w:w w:val="105"/>
        </w:rPr>
        <w:t>may be filed only in the United States Court of Appeals for the District of Columbia, and such petition shall be</w:t>
      </w:r>
      <w:r w:rsidRPr="00283806">
        <w:rPr>
          <w:spacing w:val="40"/>
          <w:w w:val="105"/>
        </w:rPr>
        <w:t xml:space="preserve"> </w:t>
      </w:r>
      <w:r w:rsidRPr="00283806">
        <w:rPr>
          <w:w w:val="105"/>
        </w:rPr>
        <w:t>filed</w:t>
      </w:r>
      <w:r w:rsidRPr="00283806">
        <w:rPr>
          <w:spacing w:val="36"/>
          <w:w w:val="105"/>
        </w:rPr>
        <w:t xml:space="preserve"> </w:t>
      </w:r>
      <w:r w:rsidRPr="00283806">
        <w:rPr>
          <w:w w:val="105"/>
        </w:rPr>
        <w:t>within</w:t>
      </w:r>
      <w:r w:rsidRPr="00283806">
        <w:rPr>
          <w:spacing w:val="36"/>
          <w:w w:val="105"/>
        </w:rPr>
        <w:t xml:space="preserve"> </w:t>
      </w:r>
      <w:r w:rsidRPr="00283806">
        <w:rPr>
          <w:w w:val="105"/>
        </w:rPr>
        <w:t>ninety</w:t>
      </w:r>
      <w:r w:rsidRPr="00283806">
        <w:rPr>
          <w:spacing w:val="36"/>
          <w:w w:val="105"/>
        </w:rPr>
        <w:t xml:space="preserve"> </w:t>
      </w:r>
      <w:r w:rsidRPr="00283806">
        <w:rPr>
          <w:w w:val="105"/>
        </w:rPr>
        <w:t>days</w:t>
      </w:r>
      <w:r w:rsidRPr="00283806">
        <w:rPr>
          <w:spacing w:val="36"/>
          <w:w w:val="105"/>
        </w:rPr>
        <w:t xml:space="preserve"> </w:t>
      </w:r>
      <w:r w:rsidRPr="00283806">
        <w:rPr>
          <w:w w:val="105"/>
        </w:rPr>
        <w:t>from</w:t>
      </w:r>
      <w:r w:rsidRPr="00283806">
        <w:rPr>
          <w:spacing w:val="36"/>
          <w:w w:val="105"/>
        </w:rPr>
        <w:t xml:space="preserve"> </w:t>
      </w:r>
      <w:r w:rsidRPr="00283806">
        <w:rPr>
          <w:w w:val="105"/>
        </w:rPr>
        <w:t>the</w:t>
      </w:r>
      <w:r w:rsidRPr="00283806">
        <w:rPr>
          <w:spacing w:val="36"/>
          <w:w w:val="105"/>
        </w:rPr>
        <w:t xml:space="preserve"> </w:t>
      </w:r>
      <w:r w:rsidRPr="00283806">
        <w:rPr>
          <w:w w:val="105"/>
        </w:rPr>
        <w:t>date of such promulgation</w:t>
      </w:r>
      <w:r w:rsidRPr="00283806">
        <w:tab/>
      </w:r>
      <w:r w:rsidRPr="00283806">
        <w:rPr>
          <w:spacing w:val="-6"/>
          <w:w w:val="105"/>
        </w:rPr>
        <w:t>’’</w:t>
      </w:r>
    </w:p>
    <w:p w14:paraId="02BDB862" w14:textId="77777777" w:rsidR="00D67C1E" w:rsidRPr="00283806" w:rsidRDefault="001265CA">
      <w:pPr>
        <w:pStyle w:val="BodyText"/>
        <w:spacing w:before="3" w:line="228" w:lineRule="auto"/>
        <w:ind w:right="105"/>
      </w:pPr>
      <w:r w:rsidRPr="00283806">
        <w:rPr>
          <w:w w:val="105"/>
        </w:rPr>
        <w:t>Accordingly, petitions for judicial</w:t>
      </w:r>
      <w:r w:rsidRPr="00283806">
        <w:rPr>
          <w:spacing w:val="80"/>
          <w:w w:val="105"/>
        </w:rPr>
        <w:t xml:space="preserve"> </w:t>
      </w:r>
      <w:r w:rsidRPr="00283806">
        <w:rPr>
          <w:w w:val="105"/>
        </w:rPr>
        <w:t>review of the RCRA regulations promulgated herein must be filed in the United States Court of Appeals for the District of Columbia by January 9, 2025. Any person seeking to challenge both</w:t>
      </w:r>
      <w:r w:rsidRPr="00283806">
        <w:rPr>
          <w:spacing w:val="40"/>
          <w:w w:val="105"/>
        </w:rPr>
        <w:t xml:space="preserve"> </w:t>
      </w:r>
      <w:r w:rsidRPr="00283806">
        <w:rPr>
          <w:w w:val="105"/>
        </w:rPr>
        <w:t xml:space="preserve">the </w:t>
      </w:r>
      <w:proofErr w:type="gramStart"/>
      <w:r w:rsidRPr="00283806">
        <w:rPr>
          <w:w w:val="105"/>
        </w:rPr>
        <w:t>AIM Act</w:t>
      </w:r>
      <w:proofErr w:type="gramEnd"/>
      <w:r w:rsidRPr="00283806">
        <w:rPr>
          <w:w w:val="105"/>
        </w:rPr>
        <w:t xml:space="preserve"> regulations and the RCRA regulations must file the challenge to</w:t>
      </w:r>
      <w:r w:rsidRPr="00283806">
        <w:rPr>
          <w:spacing w:val="80"/>
          <w:w w:val="105"/>
        </w:rPr>
        <w:t xml:space="preserve"> </w:t>
      </w:r>
      <w:r w:rsidRPr="00283806">
        <w:rPr>
          <w:w w:val="105"/>
        </w:rPr>
        <w:t>the RCRA regulations within 90 days after the date notice of this final action</w:t>
      </w:r>
      <w:r w:rsidRPr="00283806">
        <w:rPr>
          <w:spacing w:val="80"/>
          <w:w w:val="105"/>
        </w:rPr>
        <w:t xml:space="preserve"> </w:t>
      </w:r>
      <w:r w:rsidRPr="00283806">
        <w:rPr>
          <w:w w:val="105"/>
        </w:rPr>
        <w:t xml:space="preserve">is published in the </w:t>
      </w:r>
      <w:r w:rsidRPr="00283806">
        <w:rPr>
          <w:rFonts w:ascii="Book Antiqua"/>
          <w:b/>
          <w:w w:val="105"/>
        </w:rPr>
        <w:t>Federal Register</w:t>
      </w:r>
      <w:r w:rsidRPr="00283806">
        <w:rPr>
          <w:w w:val="105"/>
        </w:rPr>
        <w:t>.</w:t>
      </w:r>
    </w:p>
    <w:p w14:paraId="43573EAD" w14:textId="77777777" w:rsidR="00D67C1E" w:rsidRPr="00283806" w:rsidRDefault="001265CA">
      <w:pPr>
        <w:pStyle w:val="Heading3"/>
        <w:numPr>
          <w:ilvl w:val="0"/>
          <w:numId w:val="64"/>
        </w:numPr>
        <w:tabs>
          <w:tab w:val="left" w:pos="389"/>
        </w:tabs>
        <w:spacing w:before="76"/>
        <w:ind w:left="389" w:hanging="229"/>
        <w:rPr>
          <w:rFonts w:ascii="Book Antiqua"/>
        </w:rPr>
      </w:pPr>
      <w:r w:rsidRPr="00283806">
        <w:rPr>
          <w:rFonts w:ascii="Book Antiqua"/>
          <w:spacing w:val="-2"/>
        </w:rPr>
        <w:t>Severability</w:t>
      </w:r>
    </w:p>
    <w:p w14:paraId="050C39BC" w14:textId="77777777" w:rsidR="00D67C1E" w:rsidRPr="00283806" w:rsidRDefault="001265CA">
      <w:pPr>
        <w:pStyle w:val="BodyText"/>
        <w:spacing w:before="61" w:line="218" w:lineRule="auto"/>
        <w:ind w:left="159" w:firstLine="180"/>
      </w:pPr>
      <w:r w:rsidRPr="00283806">
        <w:rPr>
          <w:w w:val="105"/>
        </w:rPr>
        <w:t xml:space="preserve">As noted previously, in this </w:t>
      </w:r>
      <w:r w:rsidRPr="00283806">
        <w:rPr>
          <w:rFonts w:ascii="Book Antiqua"/>
          <w:b/>
          <w:w w:val="105"/>
        </w:rPr>
        <w:t xml:space="preserve">Federal Register </w:t>
      </w:r>
      <w:r w:rsidRPr="00283806">
        <w:rPr>
          <w:w w:val="105"/>
        </w:rPr>
        <w:t>notice we are providing notice of</w:t>
      </w:r>
      <w:r w:rsidRPr="00283806">
        <w:rPr>
          <w:spacing w:val="6"/>
          <w:w w:val="105"/>
        </w:rPr>
        <w:t xml:space="preserve"> </w:t>
      </w:r>
      <w:r w:rsidRPr="00283806">
        <w:rPr>
          <w:w w:val="105"/>
        </w:rPr>
        <w:t>two</w:t>
      </w:r>
      <w:r w:rsidRPr="00283806">
        <w:rPr>
          <w:spacing w:val="6"/>
          <w:w w:val="105"/>
        </w:rPr>
        <w:t xml:space="preserve"> </w:t>
      </w:r>
      <w:r w:rsidRPr="00283806">
        <w:rPr>
          <w:w w:val="105"/>
        </w:rPr>
        <w:t>sets</w:t>
      </w:r>
      <w:r w:rsidRPr="00283806">
        <w:rPr>
          <w:spacing w:val="7"/>
          <w:w w:val="105"/>
        </w:rPr>
        <w:t xml:space="preserve"> </w:t>
      </w:r>
      <w:r w:rsidRPr="00283806">
        <w:rPr>
          <w:w w:val="105"/>
        </w:rPr>
        <w:t>of</w:t>
      </w:r>
      <w:r w:rsidRPr="00283806">
        <w:rPr>
          <w:spacing w:val="6"/>
          <w:w w:val="105"/>
        </w:rPr>
        <w:t xml:space="preserve"> </w:t>
      </w:r>
      <w:r w:rsidRPr="00283806">
        <w:rPr>
          <w:w w:val="105"/>
        </w:rPr>
        <w:t>regulations:</w:t>
      </w:r>
      <w:r w:rsidRPr="00283806">
        <w:rPr>
          <w:spacing w:val="6"/>
          <w:w w:val="105"/>
        </w:rPr>
        <w:t xml:space="preserve"> </w:t>
      </w:r>
      <w:r w:rsidRPr="00283806">
        <w:rPr>
          <w:w w:val="105"/>
        </w:rPr>
        <w:t>one</w:t>
      </w:r>
      <w:r w:rsidRPr="00283806">
        <w:rPr>
          <w:spacing w:val="7"/>
          <w:w w:val="105"/>
        </w:rPr>
        <w:t xml:space="preserve"> </w:t>
      </w:r>
      <w:r w:rsidRPr="00283806">
        <w:rPr>
          <w:w w:val="105"/>
        </w:rPr>
        <w:t>under</w:t>
      </w:r>
      <w:r w:rsidRPr="00283806">
        <w:rPr>
          <w:spacing w:val="6"/>
          <w:w w:val="105"/>
        </w:rPr>
        <w:t xml:space="preserve"> </w:t>
      </w:r>
      <w:r w:rsidRPr="00283806">
        <w:rPr>
          <w:spacing w:val="-5"/>
          <w:w w:val="105"/>
        </w:rPr>
        <w:t>the</w:t>
      </w:r>
    </w:p>
    <w:p w14:paraId="410FA555" w14:textId="77777777" w:rsidR="00D67C1E" w:rsidRPr="00283806" w:rsidRDefault="001265CA">
      <w:pPr>
        <w:pStyle w:val="BodyText"/>
        <w:spacing w:before="134" w:line="228" w:lineRule="auto"/>
        <w:ind w:left="154"/>
      </w:pPr>
      <w:r w:rsidRPr="00283806">
        <w:br w:type="column"/>
      </w:r>
      <w:r w:rsidRPr="00283806">
        <w:rPr>
          <w:w w:val="105"/>
        </w:rPr>
        <w:t>AIM Act and another under RCRA. Accordingly, as explained in the</w:t>
      </w:r>
      <w:r w:rsidRPr="00283806">
        <w:rPr>
          <w:spacing w:val="80"/>
          <w:w w:val="150"/>
        </w:rPr>
        <w:t xml:space="preserve"> </w:t>
      </w:r>
      <w:r w:rsidRPr="00283806">
        <w:rPr>
          <w:w w:val="105"/>
        </w:rPr>
        <w:t>proposal and in other sections of this notice, as well as in the following paragraphs</w:t>
      </w:r>
      <w:r w:rsidRPr="00283806">
        <w:rPr>
          <w:spacing w:val="40"/>
          <w:w w:val="105"/>
        </w:rPr>
        <w:t xml:space="preserve"> </w:t>
      </w:r>
      <w:r w:rsidRPr="00283806">
        <w:rPr>
          <w:w w:val="105"/>
        </w:rPr>
        <w:t>for</w:t>
      </w:r>
      <w:r w:rsidRPr="00283806">
        <w:rPr>
          <w:spacing w:val="40"/>
          <w:w w:val="105"/>
        </w:rPr>
        <w:t xml:space="preserve"> </w:t>
      </w:r>
      <w:r w:rsidRPr="00283806">
        <w:rPr>
          <w:w w:val="105"/>
        </w:rPr>
        <w:t>clarity,</w:t>
      </w:r>
      <w:r w:rsidRPr="00283806">
        <w:rPr>
          <w:spacing w:val="40"/>
          <w:w w:val="105"/>
        </w:rPr>
        <w:t xml:space="preserve"> </w:t>
      </w:r>
      <w:r w:rsidRPr="00283806">
        <w:rPr>
          <w:w w:val="105"/>
        </w:rPr>
        <w:t>this</w:t>
      </w:r>
      <w:r w:rsidRPr="00283806">
        <w:rPr>
          <w:spacing w:val="40"/>
          <w:w w:val="105"/>
        </w:rPr>
        <w:t xml:space="preserve"> </w:t>
      </w:r>
      <w:r w:rsidRPr="00283806">
        <w:rPr>
          <w:w w:val="105"/>
        </w:rPr>
        <w:t>notice</w:t>
      </w:r>
      <w:r w:rsidRPr="00283806">
        <w:rPr>
          <w:spacing w:val="40"/>
          <w:w w:val="105"/>
        </w:rPr>
        <w:t xml:space="preserve"> </w:t>
      </w:r>
      <w:r w:rsidRPr="00283806">
        <w:rPr>
          <w:w w:val="105"/>
        </w:rPr>
        <w:t>of final rulemaking is multifaceted and addresses many separate issues for independent reasons. For example, the AIM Act regulations include definitions and interpretations of terms under the AIM Act; new requirements, including provisions that address maximizing the reclamation and minimizing the release of HFCs from equipment under subsection (h) of that Act; and labeling, recordkeeping, and reporting requirements to support the</w:t>
      </w:r>
      <w:r w:rsidRPr="00283806">
        <w:rPr>
          <w:spacing w:val="40"/>
          <w:w w:val="105"/>
        </w:rPr>
        <w:t xml:space="preserve"> </w:t>
      </w:r>
      <w:r w:rsidRPr="00283806">
        <w:rPr>
          <w:w w:val="105"/>
        </w:rPr>
        <w:t>enforcement of the new provisions. EPA has separately considered and adopted the elements of the AIM Act regulations, including leak repair of refrigerant- containing appliances; reclaimed HFCs for the servicing and/or repair of certain refrigerant-containing equipment; recycled HFCs in fire suppression equipment; emissions reductions in the fire suppression sector; and removal of HFCs from disposable cylinders before discarding them. Each of these requirements is supported by a separate analysis and rationale, based on independent consideration of issues</w:t>
      </w:r>
      <w:r w:rsidRPr="00283806">
        <w:rPr>
          <w:spacing w:val="80"/>
          <w:w w:val="105"/>
        </w:rPr>
        <w:t xml:space="preserve"> </w:t>
      </w:r>
      <w:r w:rsidRPr="00283806">
        <w:rPr>
          <w:w w:val="105"/>
        </w:rPr>
        <w:t xml:space="preserve">such as the </w:t>
      </w:r>
      <w:proofErr w:type="gramStart"/>
      <w:r w:rsidRPr="00283806">
        <w:rPr>
          <w:w w:val="105"/>
        </w:rPr>
        <w:t>particular processes</w:t>
      </w:r>
      <w:proofErr w:type="gramEnd"/>
      <w:r w:rsidRPr="00283806">
        <w:rPr>
          <w:w w:val="105"/>
        </w:rPr>
        <w:t>, practices, or activities that are relevant</w:t>
      </w:r>
      <w:r w:rsidRPr="00283806">
        <w:rPr>
          <w:spacing w:val="40"/>
          <w:w w:val="105"/>
        </w:rPr>
        <w:t xml:space="preserve"> </w:t>
      </w:r>
      <w:r w:rsidRPr="00283806">
        <w:rPr>
          <w:w w:val="105"/>
        </w:rPr>
        <w:t>to and controlled by the requirement</w:t>
      </w:r>
      <w:r w:rsidRPr="00283806">
        <w:rPr>
          <w:spacing w:val="80"/>
          <w:w w:val="105"/>
        </w:rPr>
        <w:t xml:space="preserve"> </w:t>
      </w:r>
      <w:r w:rsidRPr="00283806">
        <w:rPr>
          <w:w w:val="105"/>
        </w:rPr>
        <w:t>and how the requirements relate to the purposes identified in subsection (h)(1). These requirements also address different sectors and subsectors (RACHP and fire suppression). EPA intends for requirements for each of these topics to be able to stand independently from one another and has designed them accordingly.</w:t>
      </w:r>
      <w:r w:rsidRPr="00283806">
        <w:rPr>
          <w:spacing w:val="40"/>
          <w:w w:val="105"/>
        </w:rPr>
        <w:t xml:space="preserve"> </w:t>
      </w:r>
      <w:r w:rsidRPr="00283806">
        <w:rPr>
          <w:w w:val="105"/>
        </w:rPr>
        <w:t>For</w:t>
      </w:r>
      <w:r w:rsidRPr="00283806">
        <w:rPr>
          <w:spacing w:val="40"/>
          <w:w w:val="105"/>
        </w:rPr>
        <w:t xml:space="preserve"> </w:t>
      </w:r>
      <w:r w:rsidRPr="00283806">
        <w:rPr>
          <w:w w:val="105"/>
        </w:rPr>
        <w:t>example,</w:t>
      </w:r>
      <w:r w:rsidRPr="00283806">
        <w:rPr>
          <w:spacing w:val="40"/>
          <w:w w:val="105"/>
        </w:rPr>
        <w:t xml:space="preserve"> </w:t>
      </w:r>
      <w:r w:rsidRPr="00283806">
        <w:rPr>
          <w:w w:val="105"/>
        </w:rPr>
        <w:t>the</w:t>
      </w:r>
      <w:r w:rsidRPr="00283806">
        <w:rPr>
          <w:spacing w:val="40"/>
          <w:w w:val="105"/>
        </w:rPr>
        <w:t xml:space="preserve"> </w:t>
      </w:r>
      <w:r w:rsidRPr="00283806">
        <w:rPr>
          <w:w w:val="105"/>
        </w:rPr>
        <w:t>leak repair requirements for refrigerant- containing appliances are designed to operate independently from the requirements for servicing, repair, disposal, or installation of fire suppression equipment, as they address different types of equipment and are</w:t>
      </w:r>
      <w:r w:rsidRPr="00283806">
        <w:rPr>
          <w:spacing w:val="40"/>
          <w:w w:val="105"/>
        </w:rPr>
        <w:t xml:space="preserve"> </w:t>
      </w:r>
      <w:r w:rsidRPr="00283806">
        <w:rPr>
          <w:w w:val="105"/>
        </w:rPr>
        <w:t xml:space="preserve">each independently intended </w:t>
      </w:r>
      <w:proofErr w:type="gramStart"/>
      <w:r w:rsidRPr="00283806">
        <w:rPr>
          <w:w w:val="105"/>
        </w:rPr>
        <w:t>to further</w:t>
      </w:r>
      <w:proofErr w:type="gramEnd"/>
      <w:r w:rsidRPr="00283806">
        <w:rPr>
          <w:w w:val="105"/>
        </w:rPr>
        <w:t xml:space="preserve"> serve the purposes of maximizing the reclamation and minimizing the release of HFCs from equipment. Similarly,</w:t>
      </w:r>
      <w:r w:rsidRPr="00283806">
        <w:rPr>
          <w:spacing w:val="80"/>
          <w:w w:val="150"/>
        </w:rPr>
        <w:t xml:space="preserve"> </w:t>
      </w:r>
      <w:r w:rsidRPr="00283806">
        <w:rPr>
          <w:w w:val="105"/>
        </w:rPr>
        <w:t>while the requirements for the servicing and/or repair of certain refrigerant- containing equipment with reclaimed HFCs and the requirements for recycled HFCs in the fire suppression sector also serve those same purposes, they do so</w:t>
      </w:r>
      <w:r w:rsidRPr="00283806">
        <w:rPr>
          <w:spacing w:val="80"/>
          <w:w w:val="105"/>
        </w:rPr>
        <w:t xml:space="preserve"> </w:t>
      </w:r>
      <w:r w:rsidRPr="00283806">
        <w:rPr>
          <w:w w:val="105"/>
        </w:rPr>
        <w:t>by addressing processes, practices, or activities regarding the servicing, repair, installation, or disposal of equipment</w:t>
      </w:r>
      <w:r w:rsidRPr="00283806">
        <w:rPr>
          <w:spacing w:val="40"/>
          <w:w w:val="105"/>
        </w:rPr>
        <w:t xml:space="preserve"> </w:t>
      </w:r>
      <w:r w:rsidRPr="00283806">
        <w:rPr>
          <w:w w:val="105"/>
        </w:rPr>
        <w:t>that differ both from those addressed by the leak repair requirements for refrigerant-containing appliances and those addressed by the emissions</w:t>
      </w:r>
    </w:p>
    <w:p w14:paraId="10468506" w14:textId="77777777" w:rsidR="00D67C1E" w:rsidRPr="00283806" w:rsidRDefault="001265CA">
      <w:pPr>
        <w:pStyle w:val="BodyText"/>
        <w:spacing w:before="134" w:line="225" w:lineRule="auto"/>
        <w:ind w:left="155" w:right="121"/>
      </w:pPr>
      <w:r w:rsidRPr="00283806">
        <w:br w:type="column"/>
      </w:r>
      <w:r w:rsidRPr="00283806">
        <w:rPr>
          <w:w w:val="105"/>
        </w:rPr>
        <w:t>reductions requirements for fire suppression equipment, as well as from one another. Likewise, while the requirements for removal of HFCs from disposable cylinders also help serve the purpose of maximizing reclamation, this portion</w:t>
      </w:r>
      <w:r w:rsidRPr="00283806">
        <w:rPr>
          <w:spacing w:val="40"/>
          <w:w w:val="105"/>
        </w:rPr>
        <w:t xml:space="preserve"> </w:t>
      </w:r>
      <w:r w:rsidRPr="00283806">
        <w:rPr>
          <w:w w:val="105"/>
        </w:rPr>
        <w:t>of</w:t>
      </w:r>
      <w:r w:rsidRPr="00283806">
        <w:rPr>
          <w:spacing w:val="40"/>
          <w:w w:val="105"/>
        </w:rPr>
        <w:t xml:space="preserve"> </w:t>
      </w:r>
      <w:r w:rsidRPr="00283806">
        <w:rPr>
          <w:w w:val="105"/>
        </w:rPr>
        <w:t>the</w:t>
      </w:r>
      <w:r w:rsidRPr="00283806">
        <w:rPr>
          <w:spacing w:val="40"/>
          <w:w w:val="105"/>
        </w:rPr>
        <w:t xml:space="preserve"> </w:t>
      </w:r>
      <w:r w:rsidRPr="00283806">
        <w:rPr>
          <w:w w:val="105"/>
        </w:rPr>
        <w:t>AIM</w:t>
      </w:r>
      <w:r w:rsidRPr="00283806">
        <w:rPr>
          <w:spacing w:val="40"/>
          <w:w w:val="105"/>
        </w:rPr>
        <w:t xml:space="preserve"> </w:t>
      </w:r>
      <w:r w:rsidRPr="00283806">
        <w:rPr>
          <w:w w:val="105"/>
        </w:rPr>
        <w:t>Act</w:t>
      </w:r>
      <w:r w:rsidRPr="00283806">
        <w:rPr>
          <w:spacing w:val="40"/>
          <w:w w:val="105"/>
        </w:rPr>
        <w:t xml:space="preserve"> </w:t>
      </w:r>
      <w:r w:rsidRPr="00283806">
        <w:rPr>
          <w:w w:val="105"/>
        </w:rPr>
        <w:t>regulations</w:t>
      </w:r>
      <w:r w:rsidRPr="00283806">
        <w:rPr>
          <w:spacing w:val="40"/>
          <w:w w:val="105"/>
        </w:rPr>
        <w:t xml:space="preserve"> </w:t>
      </w:r>
      <w:r w:rsidRPr="00283806">
        <w:rPr>
          <w:w w:val="105"/>
        </w:rPr>
        <w:t>is not integral to the adoption of the standards for what constitutes reclaimed HFC refrigerant, requirements for the servicing and/or repair of certain refrigerant-containing equipment with reclaimed HFCs, or other requirements.</w:t>
      </w:r>
    </w:p>
    <w:p w14:paraId="7C69F42B" w14:textId="77777777" w:rsidR="00D67C1E" w:rsidRPr="00283806" w:rsidRDefault="001265CA">
      <w:pPr>
        <w:pStyle w:val="BodyText"/>
        <w:spacing w:line="175" w:lineRule="exact"/>
        <w:ind w:left="335"/>
      </w:pPr>
      <w:r w:rsidRPr="00283806">
        <w:rPr>
          <w:w w:val="110"/>
        </w:rPr>
        <w:t>In</w:t>
      </w:r>
      <w:r w:rsidRPr="00283806">
        <w:rPr>
          <w:spacing w:val="-5"/>
          <w:w w:val="110"/>
        </w:rPr>
        <w:t xml:space="preserve"> </w:t>
      </w:r>
      <w:r w:rsidRPr="00283806">
        <w:rPr>
          <w:w w:val="110"/>
        </w:rPr>
        <w:t>this</w:t>
      </w:r>
      <w:r w:rsidRPr="00283806">
        <w:rPr>
          <w:spacing w:val="-5"/>
          <w:w w:val="110"/>
        </w:rPr>
        <w:t xml:space="preserve"> </w:t>
      </w:r>
      <w:r w:rsidRPr="00283806">
        <w:rPr>
          <w:w w:val="110"/>
        </w:rPr>
        <w:t>notice</w:t>
      </w:r>
      <w:r w:rsidRPr="00283806">
        <w:rPr>
          <w:spacing w:val="-5"/>
          <w:w w:val="110"/>
        </w:rPr>
        <w:t xml:space="preserve"> </w:t>
      </w:r>
      <w:r w:rsidRPr="00283806">
        <w:rPr>
          <w:w w:val="110"/>
        </w:rPr>
        <w:t>of</w:t>
      </w:r>
      <w:r w:rsidRPr="00283806">
        <w:rPr>
          <w:spacing w:val="-5"/>
          <w:w w:val="110"/>
        </w:rPr>
        <w:t xml:space="preserve"> </w:t>
      </w:r>
      <w:r w:rsidRPr="00283806">
        <w:rPr>
          <w:w w:val="110"/>
        </w:rPr>
        <w:t>final</w:t>
      </w:r>
      <w:r w:rsidRPr="00283806">
        <w:rPr>
          <w:spacing w:val="-5"/>
          <w:w w:val="110"/>
        </w:rPr>
        <w:t xml:space="preserve"> </w:t>
      </w:r>
      <w:r w:rsidRPr="00283806">
        <w:rPr>
          <w:w w:val="110"/>
        </w:rPr>
        <w:t>rulemaking,</w:t>
      </w:r>
      <w:r w:rsidRPr="00283806">
        <w:rPr>
          <w:spacing w:val="-5"/>
          <w:w w:val="110"/>
        </w:rPr>
        <w:t xml:space="preserve"> EPA</w:t>
      </w:r>
    </w:p>
    <w:p w14:paraId="07C91048" w14:textId="77777777" w:rsidR="00D67C1E" w:rsidRPr="00283806" w:rsidRDefault="001265CA">
      <w:pPr>
        <w:pStyle w:val="BodyText"/>
        <w:spacing w:before="3" w:line="225" w:lineRule="auto"/>
        <w:ind w:left="155" w:right="137"/>
      </w:pPr>
      <w:r w:rsidRPr="00283806">
        <w:rPr>
          <w:w w:val="105"/>
        </w:rPr>
        <w:t>is also amending regulations under</w:t>
      </w:r>
      <w:r w:rsidRPr="00283806">
        <w:rPr>
          <w:spacing w:val="40"/>
          <w:w w:val="105"/>
        </w:rPr>
        <w:t xml:space="preserve"> </w:t>
      </w:r>
      <w:r w:rsidRPr="00283806">
        <w:rPr>
          <w:w w:val="105"/>
        </w:rPr>
        <w:t>RCRA, which are separate from the regulations under subsection (h)(1) of</w:t>
      </w:r>
      <w:r w:rsidRPr="00283806">
        <w:rPr>
          <w:spacing w:val="40"/>
          <w:w w:val="105"/>
        </w:rPr>
        <w:t xml:space="preserve"> </w:t>
      </w:r>
      <w:r w:rsidRPr="00283806">
        <w:rPr>
          <w:w w:val="105"/>
        </w:rPr>
        <w:t>the AIM Act, to establish alternative standards</w:t>
      </w:r>
      <w:r w:rsidRPr="00283806">
        <w:rPr>
          <w:spacing w:val="-2"/>
          <w:w w:val="105"/>
        </w:rPr>
        <w:t xml:space="preserve"> </w:t>
      </w:r>
      <w:r w:rsidRPr="00283806">
        <w:rPr>
          <w:w w:val="105"/>
        </w:rPr>
        <w:t>for</w:t>
      </w:r>
      <w:r w:rsidRPr="00283806">
        <w:rPr>
          <w:spacing w:val="-2"/>
          <w:w w:val="105"/>
        </w:rPr>
        <w:t xml:space="preserve"> </w:t>
      </w:r>
      <w:r w:rsidRPr="00283806">
        <w:rPr>
          <w:w w:val="105"/>
        </w:rPr>
        <w:t>ignitable</w:t>
      </w:r>
      <w:r w:rsidRPr="00283806">
        <w:rPr>
          <w:spacing w:val="-2"/>
          <w:w w:val="105"/>
        </w:rPr>
        <w:t xml:space="preserve"> </w:t>
      </w:r>
      <w:r w:rsidRPr="00283806">
        <w:rPr>
          <w:w w:val="105"/>
        </w:rPr>
        <w:t>spent</w:t>
      </w:r>
      <w:r w:rsidRPr="00283806">
        <w:rPr>
          <w:spacing w:val="-2"/>
          <w:w w:val="105"/>
        </w:rPr>
        <w:t xml:space="preserve"> </w:t>
      </w:r>
      <w:r w:rsidRPr="00283806">
        <w:rPr>
          <w:w w:val="105"/>
        </w:rPr>
        <w:t>refrigerants when recycled for reuse, as the term ‘‘recycle’’ is to be used under RCRA.</w:t>
      </w:r>
      <w:r w:rsidRPr="00283806">
        <w:rPr>
          <w:spacing w:val="40"/>
          <w:w w:val="105"/>
        </w:rPr>
        <w:t xml:space="preserve"> </w:t>
      </w:r>
      <w:r w:rsidRPr="00283806">
        <w:rPr>
          <w:w w:val="105"/>
        </w:rPr>
        <w:t>These standards are established under a different set of statutory authorities than the AIM Act regulations, and they are</w:t>
      </w:r>
      <w:r w:rsidRPr="00283806">
        <w:rPr>
          <w:spacing w:val="40"/>
          <w:w w:val="105"/>
        </w:rPr>
        <w:t xml:space="preserve"> </w:t>
      </w:r>
      <w:r w:rsidRPr="00283806">
        <w:rPr>
          <w:w w:val="105"/>
        </w:rPr>
        <w:t>part of an independent and distinct regulatory regime. While we intend for the</w:t>
      </w:r>
      <w:r w:rsidRPr="00283806">
        <w:rPr>
          <w:spacing w:val="40"/>
          <w:w w:val="105"/>
        </w:rPr>
        <w:t xml:space="preserve"> </w:t>
      </w:r>
      <w:r w:rsidRPr="00283806">
        <w:rPr>
          <w:w w:val="105"/>
        </w:rPr>
        <w:t>AIM</w:t>
      </w:r>
      <w:r w:rsidRPr="00283806">
        <w:rPr>
          <w:spacing w:val="40"/>
          <w:w w:val="105"/>
        </w:rPr>
        <w:t xml:space="preserve"> </w:t>
      </w:r>
      <w:r w:rsidRPr="00283806">
        <w:rPr>
          <w:w w:val="105"/>
        </w:rPr>
        <w:t>Act</w:t>
      </w:r>
      <w:r w:rsidRPr="00283806">
        <w:rPr>
          <w:spacing w:val="40"/>
          <w:w w:val="105"/>
        </w:rPr>
        <w:t xml:space="preserve"> </w:t>
      </w:r>
      <w:r w:rsidRPr="00283806">
        <w:rPr>
          <w:w w:val="105"/>
        </w:rPr>
        <w:t>regulations</w:t>
      </w:r>
      <w:r w:rsidRPr="00283806">
        <w:rPr>
          <w:spacing w:val="40"/>
          <w:w w:val="105"/>
        </w:rPr>
        <w:t xml:space="preserve"> </w:t>
      </w:r>
      <w:r w:rsidRPr="00283806">
        <w:rPr>
          <w:w w:val="105"/>
        </w:rPr>
        <w:t>and</w:t>
      </w:r>
      <w:r w:rsidRPr="00283806">
        <w:rPr>
          <w:spacing w:val="40"/>
          <w:w w:val="105"/>
        </w:rPr>
        <w:t xml:space="preserve"> </w:t>
      </w:r>
      <w:r w:rsidRPr="00283806">
        <w:rPr>
          <w:w w:val="105"/>
        </w:rPr>
        <w:t>the separate RCRA regulations described in this</w:t>
      </w:r>
      <w:r w:rsidRPr="00283806">
        <w:rPr>
          <w:spacing w:val="40"/>
          <w:w w:val="105"/>
        </w:rPr>
        <w:t xml:space="preserve"> </w:t>
      </w:r>
      <w:r w:rsidRPr="00283806">
        <w:rPr>
          <w:w w:val="105"/>
        </w:rPr>
        <w:t>notice</w:t>
      </w:r>
      <w:r w:rsidRPr="00283806">
        <w:rPr>
          <w:spacing w:val="40"/>
          <w:w w:val="105"/>
        </w:rPr>
        <w:t xml:space="preserve"> </w:t>
      </w:r>
      <w:r w:rsidRPr="00283806">
        <w:rPr>
          <w:w w:val="105"/>
        </w:rPr>
        <w:t>of</w:t>
      </w:r>
      <w:r w:rsidRPr="00283806">
        <w:rPr>
          <w:spacing w:val="40"/>
          <w:w w:val="105"/>
        </w:rPr>
        <w:t xml:space="preserve"> </w:t>
      </w:r>
      <w:r w:rsidRPr="00283806">
        <w:rPr>
          <w:w w:val="105"/>
        </w:rPr>
        <w:t>final</w:t>
      </w:r>
      <w:r w:rsidRPr="00283806">
        <w:rPr>
          <w:spacing w:val="40"/>
          <w:w w:val="105"/>
        </w:rPr>
        <w:t xml:space="preserve"> </w:t>
      </w:r>
      <w:r w:rsidRPr="00283806">
        <w:rPr>
          <w:w w:val="105"/>
        </w:rPr>
        <w:t>rulemaking</w:t>
      </w:r>
      <w:r w:rsidRPr="00283806">
        <w:rPr>
          <w:spacing w:val="40"/>
          <w:w w:val="105"/>
        </w:rPr>
        <w:t xml:space="preserve"> </w:t>
      </w:r>
      <w:r w:rsidRPr="00283806">
        <w:rPr>
          <w:w w:val="105"/>
        </w:rPr>
        <w:t>to operate independently of one another</w:t>
      </w:r>
      <w:r w:rsidRPr="00283806">
        <w:rPr>
          <w:spacing w:val="40"/>
          <w:w w:val="105"/>
        </w:rPr>
        <w:t xml:space="preserve"> </w:t>
      </w:r>
      <w:r w:rsidRPr="00283806">
        <w:rPr>
          <w:w w:val="105"/>
        </w:rPr>
        <w:t>and to be severable from each other, we are providing notice of both sets of regulations simultaneously because both the RCRA regulations concerning the recovery and recycling of certain</w:t>
      </w:r>
      <w:r w:rsidRPr="00283806">
        <w:rPr>
          <w:spacing w:val="40"/>
          <w:w w:val="105"/>
        </w:rPr>
        <w:t xml:space="preserve"> </w:t>
      </w:r>
      <w:r w:rsidRPr="00283806">
        <w:rPr>
          <w:w w:val="105"/>
        </w:rPr>
        <w:t>ignitable spent refrigerants and the AIM Act regulations concerning recovery and reclamation of refrigerants may be of interest to some of the same</w:t>
      </w:r>
      <w:r w:rsidRPr="00283806">
        <w:rPr>
          <w:spacing w:val="40"/>
          <w:w w:val="105"/>
        </w:rPr>
        <w:t xml:space="preserve"> </w:t>
      </w:r>
      <w:r w:rsidRPr="00283806">
        <w:rPr>
          <w:spacing w:val="-2"/>
          <w:w w:val="105"/>
        </w:rPr>
        <w:t>stakeholders.</w:t>
      </w:r>
    </w:p>
    <w:p w14:paraId="47825AF8" w14:textId="77777777" w:rsidR="00D67C1E" w:rsidRPr="00283806" w:rsidRDefault="001265CA">
      <w:pPr>
        <w:pStyle w:val="BodyText"/>
        <w:spacing w:line="171" w:lineRule="exact"/>
        <w:ind w:left="335"/>
      </w:pPr>
      <w:r w:rsidRPr="00283806">
        <w:rPr>
          <w:w w:val="110"/>
        </w:rPr>
        <w:t>Thus,</w:t>
      </w:r>
      <w:r w:rsidRPr="00283806">
        <w:rPr>
          <w:spacing w:val="5"/>
          <w:w w:val="110"/>
        </w:rPr>
        <w:t xml:space="preserve"> </w:t>
      </w:r>
      <w:r w:rsidRPr="00283806">
        <w:rPr>
          <w:w w:val="110"/>
        </w:rPr>
        <w:t>EPA</w:t>
      </w:r>
      <w:r w:rsidRPr="00283806">
        <w:rPr>
          <w:spacing w:val="5"/>
          <w:w w:val="110"/>
        </w:rPr>
        <w:t xml:space="preserve"> </w:t>
      </w:r>
      <w:r w:rsidRPr="00283806">
        <w:rPr>
          <w:w w:val="110"/>
        </w:rPr>
        <w:t>has</w:t>
      </w:r>
      <w:r w:rsidRPr="00283806">
        <w:rPr>
          <w:spacing w:val="5"/>
          <w:w w:val="110"/>
        </w:rPr>
        <w:t xml:space="preserve"> </w:t>
      </w:r>
      <w:r w:rsidRPr="00283806">
        <w:rPr>
          <w:spacing w:val="-2"/>
          <w:w w:val="110"/>
        </w:rPr>
        <w:t>independently</w:t>
      </w:r>
    </w:p>
    <w:p w14:paraId="6EE8BA80" w14:textId="77777777" w:rsidR="00D67C1E" w:rsidRPr="00283806" w:rsidRDefault="001265CA">
      <w:pPr>
        <w:pStyle w:val="BodyText"/>
        <w:spacing w:before="4" w:line="225" w:lineRule="auto"/>
        <w:ind w:left="155" w:right="152"/>
      </w:pPr>
      <w:r w:rsidRPr="00283806">
        <w:rPr>
          <w:w w:val="105"/>
        </w:rPr>
        <w:t>considered and adopted the RCRA regulations (including the element for</w:t>
      </w:r>
      <w:r w:rsidRPr="00283806">
        <w:rPr>
          <w:spacing w:val="40"/>
          <w:w w:val="105"/>
        </w:rPr>
        <w:t xml:space="preserve"> </w:t>
      </w:r>
      <w:r w:rsidRPr="00283806">
        <w:rPr>
          <w:w w:val="105"/>
        </w:rPr>
        <w:t>the RCRA alternative standards for ignitable spent refrigerants when recycled for reuse) and the AIM Act regulations (including but not limited to the elements of the ER&amp;R program related to leak repair of refrigerant- containing appliances; reclaimed HFCs for the servicing and/or repair of certain refrigerant-containing equipment; recycled HFCs in fire suppression equipment; emissions reductions in the fire suppression sector; and removal of HFCs from disposable cylinders before discarding them), and these elements of these regulations are severable from the others. If a court were to invalidate any one of these elements, EPA intends the remainder of the provisions to remain effective,</w:t>
      </w:r>
      <w:r w:rsidRPr="00283806">
        <w:rPr>
          <w:spacing w:val="40"/>
          <w:w w:val="105"/>
        </w:rPr>
        <w:t xml:space="preserve"> </w:t>
      </w:r>
      <w:r w:rsidRPr="00283806">
        <w:rPr>
          <w:w w:val="105"/>
        </w:rPr>
        <w:t>as</w:t>
      </w:r>
      <w:r w:rsidRPr="00283806">
        <w:rPr>
          <w:spacing w:val="40"/>
          <w:w w:val="105"/>
        </w:rPr>
        <w:t xml:space="preserve"> </w:t>
      </w:r>
      <w:r w:rsidRPr="00283806">
        <w:rPr>
          <w:w w:val="105"/>
        </w:rPr>
        <w:t>the</w:t>
      </w:r>
      <w:r w:rsidRPr="00283806">
        <w:rPr>
          <w:spacing w:val="40"/>
          <w:w w:val="105"/>
        </w:rPr>
        <w:t xml:space="preserve"> </w:t>
      </w:r>
      <w:r w:rsidRPr="00283806">
        <w:rPr>
          <w:w w:val="105"/>
        </w:rPr>
        <w:t>Agency</w:t>
      </w:r>
      <w:r w:rsidRPr="00283806">
        <w:rPr>
          <w:spacing w:val="40"/>
          <w:w w:val="105"/>
        </w:rPr>
        <w:t xml:space="preserve"> </w:t>
      </w:r>
      <w:r w:rsidRPr="00283806">
        <w:rPr>
          <w:w w:val="105"/>
        </w:rPr>
        <w:t>has</w:t>
      </w:r>
      <w:r w:rsidRPr="00283806">
        <w:rPr>
          <w:spacing w:val="40"/>
          <w:w w:val="105"/>
        </w:rPr>
        <w:t xml:space="preserve"> </w:t>
      </w:r>
      <w:r w:rsidRPr="00283806">
        <w:rPr>
          <w:w w:val="105"/>
        </w:rPr>
        <w:t xml:space="preserve">designed the elements of both the AIM Act regulations and the RCRA regulations to function sensibly and separately, and finds each portion appropriate, even if one or more other provisions </w:t>
      </w:r>
      <w:proofErr w:type="gramStart"/>
      <w:r w:rsidRPr="00283806">
        <w:rPr>
          <w:w w:val="105"/>
        </w:rPr>
        <w:t>has</w:t>
      </w:r>
      <w:proofErr w:type="gramEnd"/>
      <w:r w:rsidRPr="00283806">
        <w:rPr>
          <w:w w:val="105"/>
        </w:rPr>
        <w:t xml:space="preserve"> been set aside. Moreover, this discussion is</w:t>
      </w:r>
      <w:r w:rsidRPr="00283806">
        <w:rPr>
          <w:spacing w:val="40"/>
          <w:w w:val="105"/>
        </w:rPr>
        <w:t xml:space="preserve"> </w:t>
      </w:r>
      <w:r w:rsidRPr="00283806">
        <w:rPr>
          <w:w w:val="105"/>
        </w:rPr>
        <w:t>not intended to be exhaustive, and</w:t>
      </w:r>
    </w:p>
    <w:p w14:paraId="7147BB9B" w14:textId="77777777" w:rsidR="00D67C1E" w:rsidRPr="00283806" w:rsidRDefault="00D67C1E">
      <w:pPr>
        <w:spacing w:line="225" w:lineRule="auto"/>
        <w:sectPr w:rsidR="00D67C1E" w:rsidRPr="00283806">
          <w:pgSz w:w="12240" w:h="15840"/>
          <w:pgMar w:top="1040" w:right="780" w:bottom="280" w:left="740" w:header="627" w:footer="0" w:gutter="0"/>
          <w:cols w:num="3" w:space="720" w:equalWidth="0">
            <w:col w:w="3506" w:space="40"/>
            <w:col w:w="3500" w:space="39"/>
            <w:col w:w="3635"/>
          </w:cols>
        </w:sectPr>
      </w:pPr>
    </w:p>
    <w:p w14:paraId="67F513EE" w14:textId="77777777" w:rsidR="00D67C1E" w:rsidRPr="00283806" w:rsidRDefault="001265CA">
      <w:pPr>
        <w:pStyle w:val="BodyText"/>
        <w:spacing w:before="127" w:line="237" w:lineRule="auto"/>
        <w:ind w:right="38"/>
      </w:pPr>
      <w:r w:rsidRPr="00283806">
        <w:rPr>
          <w:w w:val="105"/>
        </w:rPr>
        <w:lastRenderedPageBreak/>
        <w:t>should not be viewed as an intention by EPA to consider other requirements not explicitly listed here as not severable from other requirements.</w:t>
      </w:r>
    </w:p>
    <w:p w14:paraId="400A7D95" w14:textId="77777777" w:rsidR="00D67C1E" w:rsidRPr="00283806" w:rsidRDefault="001265CA">
      <w:pPr>
        <w:pStyle w:val="Heading3"/>
        <w:numPr>
          <w:ilvl w:val="0"/>
          <w:numId w:val="64"/>
        </w:numPr>
        <w:tabs>
          <w:tab w:val="left" w:pos="459"/>
        </w:tabs>
        <w:spacing w:before="112" w:line="230" w:lineRule="auto"/>
        <w:ind w:left="160" w:right="445" w:firstLine="0"/>
        <w:rPr>
          <w:rFonts w:ascii="Book Antiqua"/>
        </w:rPr>
      </w:pPr>
      <w:r w:rsidRPr="00283806">
        <w:rPr>
          <w:rFonts w:ascii="Book Antiqua"/>
        </w:rPr>
        <w:t xml:space="preserve">Statutory and Executive Order </w:t>
      </w:r>
      <w:r w:rsidRPr="00283806">
        <w:rPr>
          <w:rFonts w:ascii="Book Antiqua"/>
          <w:spacing w:val="-2"/>
        </w:rPr>
        <w:t>Reviews</w:t>
      </w:r>
    </w:p>
    <w:p w14:paraId="6D809B16" w14:textId="5C8CB9E5" w:rsidR="00D67C1E" w:rsidRPr="00283806" w:rsidRDefault="001265CA">
      <w:pPr>
        <w:spacing w:before="130" w:line="235" w:lineRule="auto"/>
        <w:ind w:left="160" w:right="85" w:firstLine="180"/>
        <w:rPr>
          <w:rFonts w:ascii="Book Antiqua"/>
          <w:i/>
          <w:sz w:val="18"/>
        </w:rPr>
      </w:pPr>
      <w:r w:rsidRPr="00283806">
        <w:rPr>
          <w:w w:val="110"/>
          <w:sz w:val="18"/>
        </w:rPr>
        <w:t xml:space="preserve">Additional information about these statutes and Executive Orders can be found at </w:t>
      </w:r>
      <w:r w:rsidRPr="00283806">
        <w:rPr>
          <w:rFonts w:ascii="Book Antiqua"/>
          <w:i/>
          <w:w w:val="110"/>
          <w:sz w:val="18"/>
        </w:rPr>
        <w:t xml:space="preserve">https://www.epa.gov/laws- </w:t>
      </w:r>
      <w:r w:rsidRPr="00283806">
        <w:rPr>
          <w:rFonts w:ascii="Book Antiqua"/>
          <w:i/>
          <w:spacing w:val="-2"/>
          <w:w w:val="110"/>
          <w:sz w:val="18"/>
        </w:rPr>
        <w:t>regulations/laws-and-executive-orders.</w:t>
      </w:r>
    </w:p>
    <w:p w14:paraId="79CA92A6" w14:textId="77777777" w:rsidR="00D67C1E" w:rsidRPr="00283806" w:rsidRDefault="001265CA">
      <w:pPr>
        <w:pStyle w:val="ListParagraph"/>
        <w:numPr>
          <w:ilvl w:val="1"/>
          <w:numId w:val="64"/>
        </w:numPr>
        <w:tabs>
          <w:tab w:val="left" w:pos="395"/>
        </w:tabs>
        <w:spacing w:before="145" w:line="218" w:lineRule="auto"/>
        <w:ind w:right="231" w:firstLine="0"/>
        <w:rPr>
          <w:rFonts w:ascii="Book Antiqua"/>
          <w:i/>
          <w:sz w:val="18"/>
        </w:rPr>
      </w:pPr>
      <w:r w:rsidRPr="00283806">
        <w:br w:type="column"/>
      </w:r>
      <w:r w:rsidRPr="00283806">
        <w:rPr>
          <w:rFonts w:ascii="Book Antiqua"/>
          <w:i/>
          <w:w w:val="110"/>
          <w:sz w:val="18"/>
        </w:rPr>
        <w:t>Executive</w:t>
      </w:r>
      <w:r w:rsidRPr="00283806">
        <w:rPr>
          <w:rFonts w:ascii="Book Antiqua"/>
          <w:i/>
          <w:spacing w:val="-5"/>
          <w:w w:val="110"/>
          <w:sz w:val="18"/>
        </w:rPr>
        <w:t xml:space="preserve"> </w:t>
      </w:r>
      <w:r w:rsidRPr="00283806">
        <w:rPr>
          <w:rFonts w:ascii="Book Antiqua"/>
          <w:i/>
          <w:w w:val="110"/>
          <w:sz w:val="18"/>
        </w:rPr>
        <w:t>Order</w:t>
      </w:r>
      <w:r w:rsidRPr="00283806">
        <w:rPr>
          <w:rFonts w:ascii="Book Antiqua"/>
          <w:i/>
          <w:spacing w:val="-5"/>
          <w:w w:val="110"/>
          <w:sz w:val="18"/>
        </w:rPr>
        <w:t xml:space="preserve"> </w:t>
      </w:r>
      <w:r w:rsidRPr="00283806">
        <w:rPr>
          <w:rFonts w:ascii="Book Antiqua"/>
          <w:i/>
          <w:w w:val="110"/>
          <w:sz w:val="18"/>
        </w:rPr>
        <w:t>12866:</w:t>
      </w:r>
      <w:r w:rsidRPr="00283806">
        <w:rPr>
          <w:rFonts w:ascii="Book Antiqua"/>
          <w:i/>
          <w:spacing w:val="-5"/>
          <w:w w:val="110"/>
          <w:sz w:val="18"/>
        </w:rPr>
        <w:t xml:space="preserve"> </w:t>
      </w:r>
      <w:r w:rsidRPr="00283806">
        <w:rPr>
          <w:rFonts w:ascii="Book Antiqua"/>
          <w:i/>
          <w:w w:val="110"/>
          <w:sz w:val="18"/>
        </w:rPr>
        <w:t>Regulatory Planning and Review and Executive Order</w:t>
      </w:r>
      <w:r w:rsidRPr="00283806">
        <w:rPr>
          <w:rFonts w:ascii="Book Antiqua"/>
          <w:i/>
          <w:spacing w:val="-13"/>
          <w:w w:val="110"/>
          <w:sz w:val="18"/>
        </w:rPr>
        <w:t xml:space="preserve"> </w:t>
      </w:r>
      <w:r w:rsidRPr="00283806">
        <w:rPr>
          <w:rFonts w:ascii="Book Antiqua"/>
          <w:i/>
          <w:w w:val="110"/>
          <w:sz w:val="18"/>
        </w:rPr>
        <w:t>14094:</w:t>
      </w:r>
      <w:r w:rsidRPr="00283806">
        <w:rPr>
          <w:rFonts w:ascii="Book Antiqua"/>
          <w:i/>
          <w:spacing w:val="-12"/>
          <w:w w:val="110"/>
          <w:sz w:val="18"/>
        </w:rPr>
        <w:t xml:space="preserve"> </w:t>
      </w:r>
      <w:r w:rsidRPr="00283806">
        <w:rPr>
          <w:rFonts w:ascii="Book Antiqua"/>
          <w:i/>
          <w:w w:val="110"/>
          <w:sz w:val="18"/>
        </w:rPr>
        <w:t>Modernizing</w:t>
      </w:r>
      <w:r w:rsidRPr="00283806">
        <w:rPr>
          <w:rFonts w:ascii="Book Antiqua"/>
          <w:i/>
          <w:spacing w:val="-13"/>
          <w:w w:val="110"/>
          <w:sz w:val="18"/>
        </w:rPr>
        <w:t xml:space="preserve"> </w:t>
      </w:r>
      <w:r w:rsidRPr="00283806">
        <w:rPr>
          <w:rFonts w:ascii="Book Antiqua"/>
          <w:i/>
          <w:w w:val="110"/>
          <w:sz w:val="18"/>
        </w:rPr>
        <w:t xml:space="preserve">Regulatory </w:t>
      </w:r>
      <w:r w:rsidRPr="00283806">
        <w:rPr>
          <w:rFonts w:ascii="Book Antiqua"/>
          <w:i/>
          <w:spacing w:val="-2"/>
          <w:w w:val="110"/>
          <w:sz w:val="18"/>
        </w:rPr>
        <w:t>Review</w:t>
      </w:r>
    </w:p>
    <w:p w14:paraId="6B68EDA7" w14:textId="77777777" w:rsidR="00D67C1E" w:rsidRPr="00283806" w:rsidRDefault="001265CA">
      <w:pPr>
        <w:pStyle w:val="BodyText"/>
        <w:spacing w:before="59" w:line="225" w:lineRule="auto"/>
        <w:ind w:right="-4" w:firstLine="180"/>
      </w:pPr>
      <w:r w:rsidRPr="00283806">
        <w:rPr>
          <w:w w:val="110"/>
        </w:rPr>
        <w:t>This</w:t>
      </w:r>
      <w:r w:rsidRPr="00283806">
        <w:rPr>
          <w:spacing w:val="-11"/>
          <w:w w:val="110"/>
        </w:rPr>
        <w:t xml:space="preserve"> </w:t>
      </w:r>
      <w:r w:rsidRPr="00283806">
        <w:rPr>
          <w:w w:val="110"/>
        </w:rPr>
        <w:t>action</w:t>
      </w:r>
      <w:r w:rsidRPr="00283806">
        <w:rPr>
          <w:spacing w:val="-11"/>
          <w:w w:val="110"/>
        </w:rPr>
        <w:t xml:space="preserve"> </w:t>
      </w:r>
      <w:r w:rsidRPr="00283806">
        <w:rPr>
          <w:w w:val="110"/>
        </w:rPr>
        <w:t>is</w:t>
      </w:r>
      <w:r w:rsidRPr="00283806">
        <w:rPr>
          <w:spacing w:val="-11"/>
          <w:w w:val="110"/>
        </w:rPr>
        <w:t xml:space="preserve"> </w:t>
      </w:r>
      <w:r w:rsidRPr="00283806">
        <w:rPr>
          <w:w w:val="110"/>
        </w:rPr>
        <w:t>a</w:t>
      </w:r>
      <w:r w:rsidRPr="00283806">
        <w:rPr>
          <w:spacing w:val="-11"/>
          <w:w w:val="110"/>
        </w:rPr>
        <w:t xml:space="preserve"> </w:t>
      </w:r>
      <w:r w:rsidRPr="00283806">
        <w:rPr>
          <w:w w:val="110"/>
        </w:rPr>
        <w:t>‘‘significant</w:t>
      </w:r>
      <w:r w:rsidRPr="00283806">
        <w:rPr>
          <w:spacing w:val="-11"/>
          <w:w w:val="110"/>
        </w:rPr>
        <w:t xml:space="preserve"> </w:t>
      </w:r>
      <w:r w:rsidRPr="00283806">
        <w:rPr>
          <w:w w:val="110"/>
        </w:rPr>
        <w:t>regulatory action’’,</w:t>
      </w:r>
      <w:r w:rsidRPr="00283806">
        <w:rPr>
          <w:spacing w:val="-11"/>
          <w:w w:val="110"/>
        </w:rPr>
        <w:t xml:space="preserve"> </w:t>
      </w:r>
      <w:r w:rsidRPr="00283806">
        <w:rPr>
          <w:w w:val="110"/>
        </w:rPr>
        <w:t>as</w:t>
      </w:r>
      <w:r w:rsidRPr="00283806">
        <w:rPr>
          <w:spacing w:val="-11"/>
          <w:w w:val="110"/>
        </w:rPr>
        <w:t xml:space="preserve"> </w:t>
      </w:r>
      <w:r w:rsidRPr="00283806">
        <w:rPr>
          <w:w w:val="110"/>
        </w:rPr>
        <w:t>defined</w:t>
      </w:r>
      <w:r w:rsidRPr="00283806">
        <w:rPr>
          <w:spacing w:val="-11"/>
          <w:w w:val="110"/>
        </w:rPr>
        <w:t xml:space="preserve"> </w:t>
      </w:r>
      <w:r w:rsidRPr="00283806">
        <w:rPr>
          <w:w w:val="110"/>
        </w:rPr>
        <w:t>under</w:t>
      </w:r>
      <w:r w:rsidRPr="00283806">
        <w:rPr>
          <w:spacing w:val="-11"/>
          <w:w w:val="110"/>
        </w:rPr>
        <w:t xml:space="preserve"> </w:t>
      </w:r>
      <w:r w:rsidRPr="00283806">
        <w:rPr>
          <w:w w:val="110"/>
        </w:rPr>
        <w:t>section</w:t>
      </w:r>
      <w:r w:rsidRPr="00283806">
        <w:rPr>
          <w:spacing w:val="-11"/>
          <w:w w:val="110"/>
        </w:rPr>
        <w:t xml:space="preserve"> </w:t>
      </w:r>
      <w:r w:rsidRPr="00283806">
        <w:rPr>
          <w:w w:val="110"/>
        </w:rPr>
        <w:t>3(f)(1) of Executive Order 12866, as amended by</w:t>
      </w:r>
      <w:r w:rsidRPr="00283806">
        <w:rPr>
          <w:spacing w:val="-10"/>
          <w:w w:val="110"/>
        </w:rPr>
        <w:t xml:space="preserve"> </w:t>
      </w:r>
      <w:r w:rsidRPr="00283806">
        <w:rPr>
          <w:w w:val="110"/>
        </w:rPr>
        <w:t>Executive</w:t>
      </w:r>
      <w:r w:rsidRPr="00283806">
        <w:rPr>
          <w:spacing w:val="-10"/>
          <w:w w:val="110"/>
        </w:rPr>
        <w:t xml:space="preserve"> </w:t>
      </w:r>
      <w:r w:rsidRPr="00283806">
        <w:rPr>
          <w:w w:val="110"/>
        </w:rPr>
        <w:t>Order</w:t>
      </w:r>
      <w:r w:rsidRPr="00283806">
        <w:rPr>
          <w:spacing w:val="-10"/>
          <w:w w:val="110"/>
        </w:rPr>
        <w:t xml:space="preserve"> </w:t>
      </w:r>
      <w:r w:rsidRPr="00283806">
        <w:rPr>
          <w:w w:val="110"/>
        </w:rPr>
        <w:t>14094.</w:t>
      </w:r>
      <w:r w:rsidRPr="00283806">
        <w:rPr>
          <w:spacing w:val="-10"/>
          <w:w w:val="110"/>
        </w:rPr>
        <w:t xml:space="preserve"> </w:t>
      </w:r>
      <w:r w:rsidRPr="00283806">
        <w:rPr>
          <w:w w:val="110"/>
        </w:rPr>
        <w:t>Accordingly, EPA submitted this action to the OMB for Executive Order 12866 review.</w:t>
      </w:r>
    </w:p>
    <w:p w14:paraId="3372098B" w14:textId="77777777" w:rsidR="00D67C1E" w:rsidRPr="00283806" w:rsidRDefault="001265CA">
      <w:pPr>
        <w:pStyle w:val="BodyText"/>
        <w:spacing w:line="228" w:lineRule="auto"/>
        <w:ind w:right="18"/>
      </w:pPr>
      <w:r w:rsidRPr="00283806">
        <w:rPr>
          <w:w w:val="105"/>
        </w:rPr>
        <w:t>Documentation of any changes made in response to the Executive Order 12866 review is available in the docket. EPA prepared an analysis of the potential</w:t>
      </w:r>
    </w:p>
    <w:p w14:paraId="38E4E64C" w14:textId="77777777" w:rsidR="00D67C1E" w:rsidRPr="00283806" w:rsidRDefault="001265CA">
      <w:pPr>
        <w:spacing w:before="136" w:line="225" w:lineRule="auto"/>
        <w:ind w:left="154" w:right="122"/>
        <w:rPr>
          <w:sz w:val="18"/>
        </w:rPr>
      </w:pPr>
      <w:r w:rsidRPr="00283806">
        <w:br w:type="column"/>
      </w:r>
      <w:r w:rsidRPr="00283806">
        <w:rPr>
          <w:w w:val="110"/>
          <w:sz w:val="18"/>
        </w:rPr>
        <w:t xml:space="preserve">costs and benefits associated with this action. This analysis, </w:t>
      </w:r>
      <w:r w:rsidRPr="00283806">
        <w:rPr>
          <w:rFonts w:ascii="Book Antiqua" w:hAnsi="Book Antiqua"/>
          <w:i/>
          <w:w w:val="110"/>
          <w:sz w:val="18"/>
        </w:rPr>
        <w:t>Final Regulatory Impact Analysis Addendum: Analysis of the Economic Impact and Benefits of the Proposed</w:t>
      </w:r>
      <w:r w:rsidRPr="00283806">
        <w:rPr>
          <w:rFonts w:ascii="Book Antiqua" w:hAnsi="Book Antiqua"/>
          <w:i/>
          <w:spacing w:val="35"/>
          <w:w w:val="110"/>
          <w:sz w:val="18"/>
        </w:rPr>
        <w:t xml:space="preserve"> </w:t>
      </w:r>
      <w:r w:rsidRPr="00283806">
        <w:rPr>
          <w:rFonts w:ascii="Book Antiqua" w:hAnsi="Book Antiqua"/>
          <w:i/>
          <w:w w:val="110"/>
          <w:sz w:val="18"/>
        </w:rPr>
        <w:t>Rule:</w:t>
      </w:r>
      <w:r w:rsidRPr="00283806">
        <w:rPr>
          <w:rFonts w:ascii="Book Antiqua" w:hAnsi="Book Antiqua"/>
          <w:i/>
          <w:spacing w:val="35"/>
          <w:w w:val="110"/>
          <w:sz w:val="18"/>
        </w:rPr>
        <w:t xml:space="preserve"> </w:t>
      </w:r>
      <w:r w:rsidRPr="00283806">
        <w:rPr>
          <w:rFonts w:ascii="Book Antiqua" w:hAnsi="Book Antiqua"/>
          <w:i/>
          <w:w w:val="110"/>
          <w:sz w:val="18"/>
        </w:rPr>
        <w:t>American</w:t>
      </w:r>
      <w:r w:rsidRPr="00283806">
        <w:rPr>
          <w:rFonts w:ascii="Book Antiqua" w:hAnsi="Book Antiqua"/>
          <w:i/>
          <w:spacing w:val="35"/>
          <w:w w:val="110"/>
          <w:sz w:val="18"/>
        </w:rPr>
        <w:t xml:space="preserve"> </w:t>
      </w:r>
      <w:r w:rsidRPr="00283806">
        <w:rPr>
          <w:rFonts w:ascii="Book Antiqua" w:hAnsi="Book Antiqua"/>
          <w:i/>
          <w:w w:val="110"/>
          <w:sz w:val="18"/>
        </w:rPr>
        <w:t xml:space="preserve">Innovation and Manufacturing (AIM) Act Subsection H Management of Regulated Substances </w:t>
      </w:r>
      <w:r w:rsidRPr="00283806">
        <w:rPr>
          <w:w w:val="110"/>
          <w:sz w:val="18"/>
        </w:rPr>
        <w:t>(Docket Number EPA–HQ– OAR–2022–0606), is also available in the</w:t>
      </w:r>
      <w:r w:rsidRPr="00283806">
        <w:rPr>
          <w:spacing w:val="-11"/>
          <w:w w:val="110"/>
          <w:sz w:val="18"/>
        </w:rPr>
        <w:t xml:space="preserve"> </w:t>
      </w:r>
      <w:r w:rsidRPr="00283806">
        <w:rPr>
          <w:w w:val="110"/>
          <w:sz w:val="18"/>
        </w:rPr>
        <w:t>docket</w:t>
      </w:r>
      <w:r w:rsidRPr="00283806">
        <w:rPr>
          <w:spacing w:val="-11"/>
          <w:w w:val="110"/>
          <w:sz w:val="18"/>
        </w:rPr>
        <w:t xml:space="preserve"> </w:t>
      </w:r>
      <w:r w:rsidRPr="00283806">
        <w:rPr>
          <w:w w:val="110"/>
          <w:sz w:val="18"/>
        </w:rPr>
        <w:t>and</w:t>
      </w:r>
      <w:r w:rsidRPr="00283806">
        <w:rPr>
          <w:spacing w:val="-11"/>
          <w:w w:val="110"/>
          <w:sz w:val="18"/>
        </w:rPr>
        <w:t xml:space="preserve"> </w:t>
      </w:r>
      <w:r w:rsidRPr="00283806">
        <w:rPr>
          <w:w w:val="110"/>
          <w:sz w:val="18"/>
        </w:rPr>
        <w:t>is</w:t>
      </w:r>
      <w:r w:rsidRPr="00283806">
        <w:rPr>
          <w:spacing w:val="-11"/>
          <w:w w:val="110"/>
          <w:sz w:val="18"/>
        </w:rPr>
        <w:t xml:space="preserve"> </w:t>
      </w:r>
      <w:r w:rsidRPr="00283806">
        <w:rPr>
          <w:w w:val="110"/>
          <w:sz w:val="18"/>
        </w:rPr>
        <w:t>summarized</w:t>
      </w:r>
      <w:r w:rsidRPr="00283806">
        <w:rPr>
          <w:spacing w:val="-11"/>
          <w:w w:val="110"/>
          <w:sz w:val="18"/>
        </w:rPr>
        <w:t xml:space="preserve"> </w:t>
      </w:r>
      <w:r w:rsidRPr="00283806">
        <w:rPr>
          <w:w w:val="110"/>
          <w:sz w:val="18"/>
        </w:rPr>
        <w:t>in</w:t>
      </w:r>
      <w:r w:rsidRPr="00283806">
        <w:rPr>
          <w:spacing w:val="-11"/>
          <w:w w:val="110"/>
          <w:sz w:val="18"/>
        </w:rPr>
        <w:t xml:space="preserve"> </w:t>
      </w:r>
      <w:r w:rsidRPr="00283806">
        <w:rPr>
          <w:w w:val="110"/>
          <w:sz w:val="18"/>
        </w:rPr>
        <w:t>section</w:t>
      </w:r>
    </w:p>
    <w:p w14:paraId="4063D26B" w14:textId="77777777" w:rsidR="00D67C1E" w:rsidRPr="00283806" w:rsidRDefault="001265CA">
      <w:pPr>
        <w:pStyle w:val="BodyText"/>
        <w:spacing w:before="4" w:line="230" w:lineRule="auto"/>
        <w:ind w:left="154" w:right="122"/>
      </w:pPr>
      <w:r w:rsidRPr="00283806">
        <w:rPr>
          <w:w w:val="105"/>
        </w:rPr>
        <w:t>I.C and section VI of this preamble. Estimated costs, benefits, and resulting net benefits are provided by type of provision in table 10 below.</w:t>
      </w:r>
    </w:p>
    <w:p w14:paraId="508C206C" w14:textId="77777777" w:rsidR="00D67C1E" w:rsidRPr="00283806" w:rsidRDefault="00D67C1E">
      <w:pPr>
        <w:spacing w:line="230" w:lineRule="auto"/>
        <w:sectPr w:rsidR="00D67C1E" w:rsidRPr="00283806">
          <w:pgSz w:w="12240" w:h="15840"/>
          <w:pgMar w:top="1040" w:right="780" w:bottom="280" w:left="740" w:header="627" w:footer="0" w:gutter="0"/>
          <w:cols w:num="3" w:space="720" w:equalWidth="0">
            <w:col w:w="3465" w:space="75"/>
            <w:col w:w="3506" w:space="40"/>
            <w:col w:w="3634"/>
          </w:cols>
        </w:sectPr>
      </w:pPr>
    </w:p>
    <w:p w14:paraId="2AC4A900" w14:textId="77777777" w:rsidR="00D67C1E" w:rsidRPr="00283806" w:rsidRDefault="001265CA">
      <w:pPr>
        <w:pStyle w:val="Heading1"/>
        <w:spacing w:before="117" w:line="230" w:lineRule="auto"/>
        <w:ind w:left="2863" w:right="300" w:hanging="2645"/>
      </w:pPr>
      <w:r w:rsidRPr="00283806">
        <w:rPr>
          <w:smallCaps/>
        </w:rPr>
        <w:t>Table 10—Summary of Present Value Costs, Benefits, and Net Benefits by Regulatory Provision (Millions</w:t>
      </w:r>
      <w:r w:rsidRPr="00283806">
        <w:rPr>
          <w:smallCaps/>
          <w:spacing w:val="80"/>
        </w:rPr>
        <w:t xml:space="preserve"> </w:t>
      </w:r>
      <w:r w:rsidRPr="00283806">
        <w:rPr>
          <w:smallCaps/>
        </w:rPr>
        <w:t>of 2022$, Discounted to 2024)—Base Case Scenario</w:t>
      </w:r>
    </w:p>
    <w:p w14:paraId="55942FB4" w14:textId="77777777" w:rsidR="00D67C1E" w:rsidRPr="00283806" w:rsidRDefault="00D67C1E">
      <w:pPr>
        <w:pStyle w:val="BodyText"/>
        <w:spacing w:before="6"/>
        <w:ind w:left="0"/>
        <w:rPr>
          <w:rFonts w:ascii="Arial"/>
          <w:sz w:val="8"/>
        </w:rPr>
      </w:pPr>
    </w:p>
    <w:tbl>
      <w:tblPr>
        <w:tblW w:w="0" w:type="auto"/>
        <w:tblInd w:w="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00"/>
        <w:gridCol w:w="856"/>
        <w:gridCol w:w="1236"/>
        <w:gridCol w:w="1236"/>
        <w:gridCol w:w="1236"/>
        <w:gridCol w:w="1236"/>
        <w:gridCol w:w="1236"/>
        <w:gridCol w:w="1204"/>
      </w:tblGrid>
      <w:tr w:rsidR="00D67C1E" w:rsidRPr="00283806" w14:paraId="3A4F1901" w14:textId="77777777">
        <w:trPr>
          <w:trHeight w:val="697"/>
        </w:trPr>
        <w:tc>
          <w:tcPr>
            <w:tcW w:w="2200" w:type="dxa"/>
            <w:tcBorders>
              <w:left w:val="nil"/>
            </w:tcBorders>
          </w:tcPr>
          <w:p w14:paraId="30F6E9E7" w14:textId="77777777" w:rsidR="00D67C1E" w:rsidRPr="00283806" w:rsidRDefault="00D67C1E">
            <w:pPr>
              <w:pStyle w:val="TableParagraph"/>
              <w:spacing w:before="98" w:line="240" w:lineRule="auto"/>
              <w:jc w:val="left"/>
              <w:rPr>
                <w:sz w:val="14"/>
              </w:rPr>
            </w:pPr>
          </w:p>
          <w:p w14:paraId="0B7810C6" w14:textId="77777777" w:rsidR="00D67C1E" w:rsidRPr="00283806" w:rsidRDefault="001265CA">
            <w:pPr>
              <w:pStyle w:val="TableParagraph"/>
              <w:spacing w:line="240" w:lineRule="auto"/>
              <w:ind w:right="65"/>
              <w:rPr>
                <w:sz w:val="14"/>
              </w:rPr>
            </w:pPr>
            <w:r w:rsidRPr="00283806">
              <w:rPr>
                <w:spacing w:val="-2"/>
                <w:sz w:val="14"/>
              </w:rPr>
              <w:t>Provision</w:t>
            </w:r>
          </w:p>
        </w:tc>
        <w:tc>
          <w:tcPr>
            <w:tcW w:w="856" w:type="dxa"/>
          </w:tcPr>
          <w:p w14:paraId="182824D8" w14:textId="77777777" w:rsidR="00D67C1E" w:rsidRPr="00283806" w:rsidRDefault="001265CA">
            <w:pPr>
              <w:pStyle w:val="TableParagraph"/>
              <w:spacing w:before="136" w:line="208" w:lineRule="auto"/>
              <w:ind w:left="67" w:right="64"/>
              <w:rPr>
                <w:sz w:val="14"/>
              </w:rPr>
            </w:pPr>
            <w:r w:rsidRPr="00283806">
              <w:rPr>
                <w:spacing w:val="-2"/>
                <w:sz w:val="14"/>
              </w:rPr>
              <w:t>Climate</w:t>
            </w:r>
            <w:r w:rsidRPr="00283806">
              <w:rPr>
                <w:spacing w:val="40"/>
                <w:sz w:val="14"/>
              </w:rPr>
              <w:t xml:space="preserve"> </w:t>
            </w:r>
            <w:r w:rsidRPr="00283806">
              <w:rPr>
                <w:spacing w:val="-2"/>
                <w:sz w:val="14"/>
              </w:rPr>
              <w:t>benefits</w:t>
            </w:r>
            <w:r w:rsidRPr="00283806">
              <w:rPr>
                <w:spacing w:val="40"/>
                <w:sz w:val="14"/>
              </w:rPr>
              <w:t xml:space="preserve"> </w:t>
            </w:r>
            <w:r w:rsidRPr="00283806">
              <w:rPr>
                <w:spacing w:val="-4"/>
                <w:sz w:val="14"/>
              </w:rPr>
              <w:t>(3%)</w:t>
            </w:r>
          </w:p>
        </w:tc>
        <w:tc>
          <w:tcPr>
            <w:tcW w:w="1236" w:type="dxa"/>
          </w:tcPr>
          <w:p w14:paraId="571A2CB0" w14:textId="77777777" w:rsidR="00D67C1E" w:rsidRPr="00283806" w:rsidRDefault="001265CA">
            <w:pPr>
              <w:pStyle w:val="TableParagraph"/>
              <w:spacing w:before="136" w:line="208" w:lineRule="auto"/>
              <w:ind w:left="330" w:right="325" w:hanging="1"/>
              <w:rPr>
                <w:sz w:val="14"/>
              </w:rPr>
            </w:pPr>
            <w:r w:rsidRPr="00283806">
              <w:rPr>
                <w:spacing w:val="-2"/>
                <w:sz w:val="14"/>
              </w:rPr>
              <w:t>Costs</w:t>
            </w:r>
            <w:r w:rsidRPr="00283806">
              <w:rPr>
                <w:spacing w:val="40"/>
                <w:sz w:val="14"/>
              </w:rPr>
              <w:t xml:space="preserve"> </w:t>
            </w:r>
            <w:r w:rsidRPr="00283806">
              <w:rPr>
                <w:spacing w:val="-2"/>
                <w:sz w:val="14"/>
              </w:rPr>
              <w:t>(savings)</w:t>
            </w:r>
            <w:r w:rsidRPr="00283806">
              <w:rPr>
                <w:spacing w:val="40"/>
                <w:sz w:val="14"/>
              </w:rPr>
              <w:t xml:space="preserve"> </w:t>
            </w:r>
            <w:r w:rsidRPr="00283806">
              <w:rPr>
                <w:spacing w:val="-4"/>
                <w:sz w:val="14"/>
              </w:rPr>
              <w:t>(2%)</w:t>
            </w:r>
          </w:p>
        </w:tc>
        <w:tc>
          <w:tcPr>
            <w:tcW w:w="1236" w:type="dxa"/>
          </w:tcPr>
          <w:p w14:paraId="22313AF3" w14:textId="77777777" w:rsidR="00D67C1E" w:rsidRPr="00283806" w:rsidRDefault="001265CA">
            <w:pPr>
              <w:pStyle w:val="TableParagraph"/>
              <w:spacing w:before="136" w:line="208" w:lineRule="auto"/>
              <w:ind w:left="330" w:right="326" w:hanging="1"/>
              <w:rPr>
                <w:sz w:val="14"/>
              </w:rPr>
            </w:pPr>
            <w:r w:rsidRPr="00283806">
              <w:rPr>
                <w:spacing w:val="-2"/>
                <w:sz w:val="14"/>
              </w:rPr>
              <w:t>Costs</w:t>
            </w:r>
            <w:r w:rsidRPr="00283806">
              <w:rPr>
                <w:spacing w:val="40"/>
                <w:sz w:val="14"/>
              </w:rPr>
              <w:t xml:space="preserve"> </w:t>
            </w:r>
            <w:r w:rsidRPr="00283806">
              <w:rPr>
                <w:spacing w:val="-2"/>
                <w:sz w:val="14"/>
              </w:rPr>
              <w:t>(savings)</w:t>
            </w:r>
            <w:r w:rsidRPr="00283806">
              <w:rPr>
                <w:spacing w:val="40"/>
                <w:sz w:val="14"/>
              </w:rPr>
              <w:t xml:space="preserve"> </w:t>
            </w:r>
            <w:r w:rsidRPr="00283806">
              <w:rPr>
                <w:spacing w:val="-4"/>
                <w:sz w:val="14"/>
              </w:rPr>
              <w:t>(3%)</w:t>
            </w:r>
          </w:p>
        </w:tc>
        <w:tc>
          <w:tcPr>
            <w:tcW w:w="1236" w:type="dxa"/>
          </w:tcPr>
          <w:p w14:paraId="55AF3C0A" w14:textId="77777777" w:rsidR="00D67C1E" w:rsidRPr="00283806" w:rsidRDefault="001265CA">
            <w:pPr>
              <w:pStyle w:val="TableParagraph"/>
              <w:spacing w:before="136" w:line="208" w:lineRule="auto"/>
              <w:ind w:left="330" w:right="326" w:hanging="1"/>
              <w:rPr>
                <w:sz w:val="14"/>
              </w:rPr>
            </w:pPr>
            <w:r w:rsidRPr="00283806">
              <w:rPr>
                <w:spacing w:val="-2"/>
                <w:sz w:val="14"/>
              </w:rPr>
              <w:t>Costs</w:t>
            </w:r>
            <w:r w:rsidRPr="00283806">
              <w:rPr>
                <w:spacing w:val="40"/>
                <w:sz w:val="14"/>
              </w:rPr>
              <w:t xml:space="preserve"> </w:t>
            </w:r>
            <w:r w:rsidRPr="00283806">
              <w:rPr>
                <w:spacing w:val="-2"/>
                <w:sz w:val="14"/>
              </w:rPr>
              <w:t>(savings)</w:t>
            </w:r>
            <w:r w:rsidRPr="00283806">
              <w:rPr>
                <w:spacing w:val="40"/>
                <w:sz w:val="14"/>
              </w:rPr>
              <w:t xml:space="preserve"> </w:t>
            </w:r>
            <w:r w:rsidRPr="00283806">
              <w:rPr>
                <w:spacing w:val="-4"/>
                <w:sz w:val="14"/>
              </w:rPr>
              <w:t>(7%)</w:t>
            </w:r>
          </w:p>
        </w:tc>
        <w:tc>
          <w:tcPr>
            <w:tcW w:w="1236" w:type="dxa"/>
          </w:tcPr>
          <w:p w14:paraId="3E9F3B93" w14:textId="77777777" w:rsidR="00D67C1E" w:rsidRPr="00283806" w:rsidRDefault="001265CA">
            <w:pPr>
              <w:pStyle w:val="TableParagraph"/>
              <w:spacing w:before="66" w:line="208" w:lineRule="auto"/>
              <w:ind w:left="368" w:right="364" w:hanging="1"/>
              <w:rPr>
                <w:sz w:val="14"/>
              </w:rPr>
            </w:pPr>
            <w:r w:rsidRPr="00283806">
              <w:rPr>
                <w:spacing w:val="-4"/>
                <w:sz w:val="14"/>
              </w:rPr>
              <w:t>Net</w:t>
            </w:r>
            <w:r w:rsidRPr="00283806">
              <w:rPr>
                <w:spacing w:val="40"/>
                <w:sz w:val="14"/>
              </w:rPr>
              <w:t xml:space="preserve"> </w:t>
            </w:r>
            <w:r w:rsidRPr="00283806">
              <w:rPr>
                <w:spacing w:val="-2"/>
                <w:sz w:val="14"/>
              </w:rPr>
              <w:t>benefits</w:t>
            </w:r>
          </w:p>
          <w:p w14:paraId="7DBD5E79" w14:textId="77777777" w:rsidR="00D67C1E" w:rsidRPr="00283806" w:rsidRDefault="001265CA">
            <w:pPr>
              <w:pStyle w:val="TableParagraph"/>
              <w:spacing w:line="133" w:lineRule="exact"/>
              <w:ind w:left="25" w:right="23"/>
              <w:rPr>
                <w:sz w:val="14"/>
              </w:rPr>
            </w:pPr>
            <w:r w:rsidRPr="00283806">
              <w:rPr>
                <w:sz w:val="14"/>
              </w:rPr>
              <w:t>(3%</w:t>
            </w:r>
            <w:r w:rsidRPr="00283806">
              <w:rPr>
                <w:spacing w:val="4"/>
                <w:sz w:val="14"/>
              </w:rPr>
              <w:t xml:space="preserve"> </w:t>
            </w:r>
            <w:r w:rsidRPr="00283806">
              <w:rPr>
                <w:spacing w:val="-2"/>
                <w:sz w:val="14"/>
              </w:rPr>
              <w:t>benefits,</w:t>
            </w:r>
          </w:p>
          <w:p w14:paraId="64DE539F" w14:textId="77777777" w:rsidR="00D67C1E" w:rsidRPr="00283806" w:rsidRDefault="001265CA">
            <w:pPr>
              <w:pStyle w:val="TableParagraph"/>
              <w:spacing w:line="150" w:lineRule="exact"/>
              <w:ind w:left="25" w:right="23"/>
              <w:rPr>
                <w:sz w:val="14"/>
              </w:rPr>
            </w:pPr>
            <w:r w:rsidRPr="00283806">
              <w:rPr>
                <w:sz w:val="14"/>
              </w:rPr>
              <w:t>2%</w:t>
            </w:r>
            <w:r w:rsidRPr="00283806">
              <w:rPr>
                <w:spacing w:val="4"/>
                <w:sz w:val="14"/>
              </w:rPr>
              <w:t xml:space="preserve"> </w:t>
            </w:r>
            <w:r w:rsidRPr="00283806">
              <w:rPr>
                <w:spacing w:val="-2"/>
                <w:sz w:val="14"/>
              </w:rPr>
              <w:t>costs)</w:t>
            </w:r>
          </w:p>
        </w:tc>
        <w:tc>
          <w:tcPr>
            <w:tcW w:w="1236" w:type="dxa"/>
          </w:tcPr>
          <w:p w14:paraId="403AEAC8" w14:textId="77777777" w:rsidR="00D67C1E" w:rsidRPr="00283806" w:rsidRDefault="001265CA">
            <w:pPr>
              <w:pStyle w:val="TableParagraph"/>
              <w:spacing w:before="66" w:line="208" w:lineRule="auto"/>
              <w:ind w:left="368" w:right="364" w:hanging="1"/>
              <w:rPr>
                <w:sz w:val="14"/>
              </w:rPr>
            </w:pPr>
            <w:r w:rsidRPr="00283806">
              <w:rPr>
                <w:spacing w:val="-4"/>
                <w:sz w:val="14"/>
              </w:rPr>
              <w:t>Net</w:t>
            </w:r>
            <w:r w:rsidRPr="00283806">
              <w:rPr>
                <w:spacing w:val="40"/>
                <w:sz w:val="14"/>
              </w:rPr>
              <w:t xml:space="preserve"> </w:t>
            </w:r>
            <w:r w:rsidRPr="00283806">
              <w:rPr>
                <w:spacing w:val="-2"/>
                <w:sz w:val="14"/>
              </w:rPr>
              <w:t>benefits</w:t>
            </w:r>
          </w:p>
          <w:p w14:paraId="2F4DC357" w14:textId="77777777" w:rsidR="00D67C1E" w:rsidRPr="00283806" w:rsidRDefault="001265CA">
            <w:pPr>
              <w:pStyle w:val="TableParagraph"/>
              <w:spacing w:line="133" w:lineRule="exact"/>
              <w:ind w:left="25" w:right="23"/>
              <w:rPr>
                <w:sz w:val="14"/>
              </w:rPr>
            </w:pPr>
            <w:r w:rsidRPr="00283806">
              <w:rPr>
                <w:sz w:val="14"/>
              </w:rPr>
              <w:t>(3%</w:t>
            </w:r>
            <w:r w:rsidRPr="00283806">
              <w:rPr>
                <w:spacing w:val="4"/>
                <w:sz w:val="14"/>
              </w:rPr>
              <w:t xml:space="preserve"> </w:t>
            </w:r>
            <w:r w:rsidRPr="00283806">
              <w:rPr>
                <w:spacing w:val="-2"/>
                <w:sz w:val="14"/>
              </w:rPr>
              <w:t>benefits,</w:t>
            </w:r>
          </w:p>
          <w:p w14:paraId="554B9B6C" w14:textId="77777777" w:rsidR="00D67C1E" w:rsidRPr="00283806" w:rsidRDefault="001265CA">
            <w:pPr>
              <w:pStyle w:val="TableParagraph"/>
              <w:spacing w:line="150" w:lineRule="exact"/>
              <w:ind w:left="25" w:right="23"/>
              <w:rPr>
                <w:sz w:val="14"/>
              </w:rPr>
            </w:pPr>
            <w:r w:rsidRPr="00283806">
              <w:rPr>
                <w:sz w:val="14"/>
              </w:rPr>
              <w:t>3%</w:t>
            </w:r>
            <w:r w:rsidRPr="00283806">
              <w:rPr>
                <w:spacing w:val="4"/>
                <w:sz w:val="14"/>
              </w:rPr>
              <w:t xml:space="preserve"> </w:t>
            </w:r>
            <w:r w:rsidRPr="00283806">
              <w:rPr>
                <w:spacing w:val="-2"/>
                <w:sz w:val="14"/>
              </w:rPr>
              <w:t>costs)</w:t>
            </w:r>
          </w:p>
        </w:tc>
        <w:tc>
          <w:tcPr>
            <w:tcW w:w="1204" w:type="dxa"/>
            <w:tcBorders>
              <w:right w:val="nil"/>
            </w:tcBorders>
          </w:tcPr>
          <w:p w14:paraId="50966EA0" w14:textId="77777777" w:rsidR="00D67C1E" w:rsidRPr="00283806" w:rsidRDefault="001265CA">
            <w:pPr>
              <w:pStyle w:val="TableParagraph"/>
              <w:spacing w:before="66" w:line="208" w:lineRule="auto"/>
              <w:ind w:left="389" w:right="317" w:hanging="1"/>
              <w:rPr>
                <w:sz w:val="14"/>
              </w:rPr>
            </w:pPr>
            <w:r w:rsidRPr="00283806">
              <w:rPr>
                <w:spacing w:val="-4"/>
                <w:sz w:val="14"/>
              </w:rPr>
              <w:t>Net</w:t>
            </w:r>
            <w:r w:rsidRPr="00283806">
              <w:rPr>
                <w:spacing w:val="40"/>
                <w:sz w:val="14"/>
              </w:rPr>
              <w:t xml:space="preserve"> </w:t>
            </w:r>
            <w:r w:rsidRPr="00283806">
              <w:rPr>
                <w:spacing w:val="-2"/>
                <w:sz w:val="14"/>
              </w:rPr>
              <w:t>benefits</w:t>
            </w:r>
          </w:p>
          <w:p w14:paraId="361EDBA6" w14:textId="77777777" w:rsidR="00D67C1E" w:rsidRPr="00283806" w:rsidRDefault="001265CA">
            <w:pPr>
              <w:pStyle w:val="TableParagraph"/>
              <w:spacing w:line="133" w:lineRule="exact"/>
              <w:ind w:left="69"/>
              <w:rPr>
                <w:sz w:val="14"/>
              </w:rPr>
            </w:pPr>
            <w:r w:rsidRPr="00283806">
              <w:rPr>
                <w:sz w:val="14"/>
              </w:rPr>
              <w:t>(3%</w:t>
            </w:r>
            <w:r w:rsidRPr="00283806">
              <w:rPr>
                <w:spacing w:val="4"/>
                <w:sz w:val="14"/>
              </w:rPr>
              <w:t xml:space="preserve"> </w:t>
            </w:r>
            <w:r w:rsidRPr="00283806">
              <w:rPr>
                <w:spacing w:val="-2"/>
                <w:sz w:val="14"/>
              </w:rPr>
              <w:t>benefits,</w:t>
            </w:r>
          </w:p>
          <w:p w14:paraId="58DD3BE1" w14:textId="77777777" w:rsidR="00D67C1E" w:rsidRPr="00283806" w:rsidRDefault="001265CA">
            <w:pPr>
              <w:pStyle w:val="TableParagraph"/>
              <w:spacing w:line="150" w:lineRule="exact"/>
              <w:ind w:left="69"/>
              <w:rPr>
                <w:sz w:val="14"/>
              </w:rPr>
            </w:pPr>
            <w:r w:rsidRPr="00283806">
              <w:rPr>
                <w:sz w:val="14"/>
              </w:rPr>
              <w:t>7%</w:t>
            </w:r>
            <w:r w:rsidRPr="00283806">
              <w:rPr>
                <w:spacing w:val="4"/>
                <w:sz w:val="14"/>
              </w:rPr>
              <w:t xml:space="preserve"> </w:t>
            </w:r>
            <w:r w:rsidRPr="00283806">
              <w:rPr>
                <w:spacing w:val="-2"/>
                <w:sz w:val="14"/>
              </w:rPr>
              <w:t>costs)</w:t>
            </w:r>
          </w:p>
        </w:tc>
      </w:tr>
      <w:tr w:rsidR="00D67C1E" w:rsidRPr="00283806" w14:paraId="224BDFED" w14:textId="77777777">
        <w:trPr>
          <w:trHeight w:val="231"/>
        </w:trPr>
        <w:tc>
          <w:tcPr>
            <w:tcW w:w="2200" w:type="dxa"/>
            <w:tcBorders>
              <w:left w:val="nil"/>
              <w:bottom w:val="nil"/>
            </w:tcBorders>
          </w:tcPr>
          <w:p w14:paraId="077F1548" w14:textId="77777777" w:rsidR="00D67C1E" w:rsidRPr="00283806" w:rsidRDefault="001265CA">
            <w:pPr>
              <w:pStyle w:val="TableParagraph"/>
              <w:spacing w:before="69" w:line="142" w:lineRule="exact"/>
              <w:ind w:left="5"/>
              <w:jc w:val="left"/>
              <w:rPr>
                <w:sz w:val="14"/>
              </w:rPr>
            </w:pPr>
            <w:r w:rsidRPr="00283806">
              <w:rPr>
                <w:sz w:val="14"/>
              </w:rPr>
              <w:t>Leak</w:t>
            </w:r>
            <w:r w:rsidRPr="00283806">
              <w:rPr>
                <w:spacing w:val="4"/>
                <w:sz w:val="14"/>
              </w:rPr>
              <w:t xml:space="preserve"> </w:t>
            </w:r>
            <w:r w:rsidRPr="00283806">
              <w:rPr>
                <w:sz w:val="14"/>
              </w:rPr>
              <w:t>Repair</w:t>
            </w:r>
            <w:r w:rsidRPr="00283806">
              <w:rPr>
                <w:spacing w:val="4"/>
                <w:sz w:val="14"/>
              </w:rPr>
              <w:t xml:space="preserve"> </w:t>
            </w:r>
            <w:proofErr w:type="gramStart"/>
            <w:r w:rsidRPr="00283806">
              <w:rPr>
                <w:sz w:val="14"/>
              </w:rPr>
              <w:t>And</w:t>
            </w:r>
            <w:proofErr w:type="gramEnd"/>
            <w:r w:rsidRPr="00283806">
              <w:rPr>
                <w:spacing w:val="5"/>
                <w:sz w:val="14"/>
              </w:rPr>
              <w:t xml:space="preserve"> </w:t>
            </w:r>
            <w:r w:rsidRPr="00283806">
              <w:rPr>
                <w:sz w:val="14"/>
              </w:rPr>
              <w:t>ALD</w:t>
            </w:r>
            <w:r w:rsidRPr="00283806">
              <w:rPr>
                <w:spacing w:val="38"/>
                <w:sz w:val="14"/>
              </w:rPr>
              <w:t xml:space="preserve"> </w:t>
            </w:r>
            <w:r w:rsidRPr="00283806">
              <w:rPr>
                <w:spacing w:val="-2"/>
                <w:sz w:val="14"/>
              </w:rPr>
              <w:t>.................</w:t>
            </w:r>
          </w:p>
        </w:tc>
        <w:tc>
          <w:tcPr>
            <w:tcW w:w="856" w:type="dxa"/>
            <w:tcBorders>
              <w:bottom w:val="nil"/>
            </w:tcBorders>
          </w:tcPr>
          <w:p w14:paraId="31601D6F" w14:textId="77777777" w:rsidR="00D67C1E" w:rsidRPr="00283806" w:rsidRDefault="001265CA">
            <w:pPr>
              <w:pStyle w:val="TableParagraph"/>
              <w:spacing w:before="69" w:line="142" w:lineRule="exact"/>
              <w:ind w:right="65"/>
              <w:jc w:val="right"/>
              <w:rPr>
                <w:sz w:val="14"/>
              </w:rPr>
            </w:pPr>
            <w:r w:rsidRPr="00283806">
              <w:rPr>
                <w:spacing w:val="-2"/>
                <w:sz w:val="14"/>
              </w:rPr>
              <w:t>$6,176</w:t>
            </w:r>
          </w:p>
        </w:tc>
        <w:tc>
          <w:tcPr>
            <w:tcW w:w="1236" w:type="dxa"/>
            <w:tcBorders>
              <w:bottom w:val="nil"/>
            </w:tcBorders>
          </w:tcPr>
          <w:p w14:paraId="4F560098" w14:textId="77777777" w:rsidR="00D67C1E" w:rsidRPr="00283806" w:rsidRDefault="001265CA">
            <w:pPr>
              <w:pStyle w:val="TableParagraph"/>
              <w:spacing w:before="69" w:line="142" w:lineRule="exact"/>
              <w:ind w:left="24" w:right="23"/>
              <w:rPr>
                <w:sz w:val="14"/>
              </w:rPr>
            </w:pPr>
            <w:r w:rsidRPr="00283806">
              <w:rPr>
                <w:sz w:val="14"/>
              </w:rPr>
              <w:t>$1,285</w:t>
            </w:r>
            <w:r w:rsidRPr="00283806">
              <w:rPr>
                <w:spacing w:val="34"/>
                <w:sz w:val="14"/>
              </w:rPr>
              <w:t xml:space="preserve"> </w:t>
            </w:r>
            <w:r w:rsidRPr="00283806">
              <w:rPr>
                <w:spacing w:val="-2"/>
                <w:sz w:val="14"/>
              </w:rPr>
              <w:t>...............</w:t>
            </w:r>
          </w:p>
        </w:tc>
        <w:tc>
          <w:tcPr>
            <w:tcW w:w="1236" w:type="dxa"/>
            <w:tcBorders>
              <w:bottom w:val="nil"/>
            </w:tcBorders>
          </w:tcPr>
          <w:p w14:paraId="316195D2" w14:textId="77777777" w:rsidR="00D67C1E" w:rsidRPr="00283806" w:rsidRDefault="001265CA">
            <w:pPr>
              <w:pStyle w:val="TableParagraph"/>
              <w:spacing w:before="69" w:line="142" w:lineRule="exact"/>
              <w:ind w:left="24" w:right="23"/>
              <w:rPr>
                <w:sz w:val="14"/>
              </w:rPr>
            </w:pPr>
            <w:r w:rsidRPr="00283806">
              <w:rPr>
                <w:sz w:val="14"/>
              </w:rPr>
              <w:t>$1,146</w:t>
            </w:r>
            <w:r w:rsidRPr="00283806">
              <w:rPr>
                <w:spacing w:val="34"/>
                <w:sz w:val="14"/>
              </w:rPr>
              <w:t xml:space="preserve"> </w:t>
            </w:r>
            <w:r w:rsidRPr="00283806">
              <w:rPr>
                <w:spacing w:val="-2"/>
                <w:sz w:val="14"/>
              </w:rPr>
              <w:t>...............</w:t>
            </w:r>
          </w:p>
        </w:tc>
        <w:tc>
          <w:tcPr>
            <w:tcW w:w="1236" w:type="dxa"/>
            <w:tcBorders>
              <w:bottom w:val="nil"/>
            </w:tcBorders>
          </w:tcPr>
          <w:p w14:paraId="07BD6186" w14:textId="77777777" w:rsidR="00D67C1E" w:rsidRPr="00283806" w:rsidRDefault="001265CA">
            <w:pPr>
              <w:pStyle w:val="TableParagraph"/>
              <w:spacing w:before="69" w:line="142" w:lineRule="exact"/>
              <w:ind w:left="24" w:right="23"/>
              <w:rPr>
                <w:sz w:val="14"/>
              </w:rPr>
            </w:pPr>
            <w:r w:rsidRPr="00283806">
              <w:rPr>
                <w:sz w:val="14"/>
              </w:rPr>
              <w:t>$760</w:t>
            </w:r>
            <w:r w:rsidRPr="00283806">
              <w:rPr>
                <w:spacing w:val="33"/>
                <w:sz w:val="14"/>
              </w:rPr>
              <w:t xml:space="preserve"> </w:t>
            </w:r>
            <w:r w:rsidRPr="00283806">
              <w:rPr>
                <w:spacing w:val="-2"/>
                <w:sz w:val="14"/>
              </w:rPr>
              <w:t>..................</w:t>
            </w:r>
          </w:p>
        </w:tc>
        <w:tc>
          <w:tcPr>
            <w:tcW w:w="1236" w:type="dxa"/>
            <w:tcBorders>
              <w:bottom w:val="nil"/>
            </w:tcBorders>
          </w:tcPr>
          <w:p w14:paraId="0753090E" w14:textId="77777777" w:rsidR="00D67C1E" w:rsidRPr="00283806" w:rsidRDefault="001265CA">
            <w:pPr>
              <w:pStyle w:val="TableParagraph"/>
              <w:spacing w:before="69" w:line="142" w:lineRule="exact"/>
              <w:ind w:left="24" w:right="23"/>
              <w:rPr>
                <w:sz w:val="14"/>
              </w:rPr>
            </w:pPr>
            <w:r w:rsidRPr="00283806">
              <w:rPr>
                <w:sz w:val="14"/>
              </w:rPr>
              <w:t>$4,891</w:t>
            </w:r>
            <w:r w:rsidRPr="00283806">
              <w:rPr>
                <w:spacing w:val="34"/>
                <w:sz w:val="14"/>
              </w:rPr>
              <w:t xml:space="preserve"> </w:t>
            </w:r>
            <w:r w:rsidRPr="00283806">
              <w:rPr>
                <w:spacing w:val="-2"/>
                <w:sz w:val="14"/>
              </w:rPr>
              <w:t>...............</w:t>
            </w:r>
          </w:p>
        </w:tc>
        <w:tc>
          <w:tcPr>
            <w:tcW w:w="1236" w:type="dxa"/>
            <w:tcBorders>
              <w:bottom w:val="nil"/>
            </w:tcBorders>
          </w:tcPr>
          <w:p w14:paraId="178F1A7B" w14:textId="77777777" w:rsidR="00D67C1E" w:rsidRPr="00283806" w:rsidRDefault="001265CA">
            <w:pPr>
              <w:pStyle w:val="TableParagraph"/>
              <w:spacing w:before="69" w:line="142" w:lineRule="exact"/>
              <w:ind w:left="24" w:right="23"/>
              <w:rPr>
                <w:sz w:val="14"/>
              </w:rPr>
            </w:pPr>
            <w:r w:rsidRPr="00283806">
              <w:rPr>
                <w:sz w:val="14"/>
              </w:rPr>
              <w:t>$5,031</w:t>
            </w:r>
            <w:r w:rsidRPr="00283806">
              <w:rPr>
                <w:spacing w:val="34"/>
                <w:sz w:val="14"/>
              </w:rPr>
              <w:t xml:space="preserve"> </w:t>
            </w:r>
            <w:r w:rsidRPr="00283806">
              <w:rPr>
                <w:spacing w:val="-2"/>
                <w:sz w:val="14"/>
              </w:rPr>
              <w:t>...............</w:t>
            </w:r>
          </w:p>
        </w:tc>
        <w:tc>
          <w:tcPr>
            <w:tcW w:w="1204" w:type="dxa"/>
            <w:tcBorders>
              <w:bottom w:val="nil"/>
              <w:right w:val="nil"/>
            </w:tcBorders>
          </w:tcPr>
          <w:p w14:paraId="67F7A398" w14:textId="77777777" w:rsidR="00D67C1E" w:rsidRPr="00283806" w:rsidRDefault="001265CA">
            <w:pPr>
              <w:pStyle w:val="TableParagraph"/>
              <w:spacing w:before="69" w:line="142" w:lineRule="exact"/>
              <w:ind w:left="68"/>
              <w:jc w:val="left"/>
              <w:rPr>
                <w:sz w:val="14"/>
              </w:rPr>
            </w:pPr>
            <w:r w:rsidRPr="00283806">
              <w:rPr>
                <w:spacing w:val="-2"/>
                <w:sz w:val="14"/>
              </w:rPr>
              <w:t>$5,417.</w:t>
            </w:r>
          </w:p>
        </w:tc>
      </w:tr>
      <w:tr w:rsidR="00D67C1E" w:rsidRPr="00283806" w14:paraId="1DE1DCD4" w14:textId="77777777">
        <w:trPr>
          <w:trHeight w:val="160"/>
        </w:trPr>
        <w:tc>
          <w:tcPr>
            <w:tcW w:w="2200" w:type="dxa"/>
            <w:tcBorders>
              <w:top w:val="nil"/>
              <w:left w:val="nil"/>
              <w:bottom w:val="nil"/>
            </w:tcBorders>
          </w:tcPr>
          <w:p w14:paraId="53DA5B8A" w14:textId="77777777" w:rsidR="00D67C1E" w:rsidRPr="00283806" w:rsidRDefault="001265CA">
            <w:pPr>
              <w:pStyle w:val="TableParagraph"/>
              <w:spacing w:line="140" w:lineRule="exact"/>
              <w:ind w:left="5"/>
              <w:jc w:val="left"/>
              <w:rPr>
                <w:sz w:val="14"/>
              </w:rPr>
            </w:pPr>
            <w:r w:rsidRPr="00283806">
              <w:rPr>
                <w:sz w:val="14"/>
              </w:rPr>
              <w:t>Fire</w:t>
            </w:r>
            <w:r w:rsidRPr="00283806">
              <w:rPr>
                <w:spacing w:val="3"/>
                <w:sz w:val="14"/>
              </w:rPr>
              <w:t xml:space="preserve"> </w:t>
            </w:r>
            <w:r w:rsidRPr="00283806">
              <w:rPr>
                <w:sz w:val="14"/>
              </w:rPr>
              <w:t>Suppression</w:t>
            </w:r>
            <w:r w:rsidRPr="00283806">
              <w:rPr>
                <w:spacing w:val="36"/>
                <w:sz w:val="14"/>
              </w:rPr>
              <w:t xml:space="preserve"> </w:t>
            </w:r>
            <w:r w:rsidRPr="00283806">
              <w:rPr>
                <w:spacing w:val="-2"/>
                <w:sz w:val="14"/>
              </w:rPr>
              <w:t>.........................</w:t>
            </w:r>
          </w:p>
        </w:tc>
        <w:tc>
          <w:tcPr>
            <w:tcW w:w="856" w:type="dxa"/>
            <w:tcBorders>
              <w:top w:val="nil"/>
              <w:bottom w:val="nil"/>
            </w:tcBorders>
          </w:tcPr>
          <w:p w14:paraId="7AF6B22B" w14:textId="77777777" w:rsidR="00D67C1E" w:rsidRPr="00283806" w:rsidRDefault="001265CA">
            <w:pPr>
              <w:pStyle w:val="TableParagraph"/>
              <w:spacing w:line="140" w:lineRule="exact"/>
              <w:ind w:right="64"/>
              <w:jc w:val="right"/>
              <w:rPr>
                <w:sz w:val="14"/>
              </w:rPr>
            </w:pPr>
            <w:r w:rsidRPr="00283806">
              <w:rPr>
                <w:spacing w:val="-5"/>
                <w:sz w:val="14"/>
              </w:rPr>
              <w:t>14</w:t>
            </w:r>
          </w:p>
        </w:tc>
        <w:tc>
          <w:tcPr>
            <w:tcW w:w="1236" w:type="dxa"/>
            <w:tcBorders>
              <w:top w:val="nil"/>
              <w:bottom w:val="nil"/>
            </w:tcBorders>
          </w:tcPr>
          <w:p w14:paraId="651E112F" w14:textId="77777777" w:rsidR="00D67C1E" w:rsidRPr="00283806" w:rsidRDefault="001265CA">
            <w:pPr>
              <w:pStyle w:val="TableParagraph"/>
              <w:spacing w:line="140" w:lineRule="exact"/>
              <w:ind w:left="24" w:right="23"/>
              <w:rPr>
                <w:sz w:val="14"/>
              </w:rPr>
            </w:pPr>
            <w:r w:rsidRPr="00283806">
              <w:rPr>
                <w:sz w:val="14"/>
              </w:rPr>
              <w:t>$15</w:t>
            </w:r>
            <w:r w:rsidRPr="00283806">
              <w:rPr>
                <w:spacing w:val="36"/>
                <w:sz w:val="14"/>
              </w:rPr>
              <w:t xml:space="preserve"> </w:t>
            </w:r>
            <w:r w:rsidRPr="00283806">
              <w:rPr>
                <w:spacing w:val="-2"/>
                <w:sz w:val="14"/>
              </w:rPr>
              <w:t>....................</w:t>
            </w:r>
          </w:p>
        </w:tc>
        <w:tc>
          <w:tcPr>
            <w:tcW w:w="1236" w:type="dxa"/>
            <w:tcBorders>
              <w:top w:val="nil"/>
              <w:bottom w:val="nil"/>
            </w:tcBorders>
          </w:tcPr>
          <w:p w14:paraId="4D8611C3" w14:textId="77777777" w:rsidR="00D67C1E" w:rsidRPr="00283806" w:rsidRDefault="001265CA">
            <w:pPr>
              <w:pStyle w:val="TableParagraph"/>
              <w:spacing w:line="140" w:lineRule="exact"/>
              <w:ind w:left="24" w:right="23"/>
              <w:rPr>
                <w:sz w:val="14"/>
              </w:rPr>
            </w:pPr>
            <w:r w:rsidRPr="00283806">
              <w:rPr>
                <w:sz w:val="14"/>
              </w:rPr>
              <w:t>$13</w:t>
            </w:r>
            <w:r w:rsidRPr="00283806">
              <w:rPr>
                <w:spacing w:val="36"/>
                <w:sz w:val="14"/>
              </w:rPr>
              <w:t xml:space="preserve"> </w:t>
            </w:r>
            <w:r w:rsidRPr="00283806">
              <w:rPr>
                <w:spacing w:val="-2"/>
                <w:sz w:val="14"/>
              </w:rPr>
              <w:t>....................</w:t>
            </w:r>
          </w:p>
        </w:tc>
        <w:tc>
          <w:tcPr>
            <w:tcW w:w="1236" w:type="dxa"/>
            <w:tcBorders>
              <w:top w:val="nil"/>
              <w:bottom w:val="nil"/>
            </w:tcBorders>
          </w:tcPr>
          <w:p w14:paraId="2B644FF1" w14:textId="77777777" w:rsidR="00D67C1E" w:rsidRPr="00283806" w:rsidRDefault="001265CA">
            <w:pPr>
              <w:pStyle w:val="TableParagraph"/>
              <w:spacing w:line="140" w:lineRule="exact"/>
              <w:ind w:left="24" w:right="23"/>
              <w:rPr>
                <w:sz w:val="14"/>
              </w:rPr>
            </w:pPr>
            <w:r w:rsidRPr="00283806">
              <w:rPr>
                <w:sz w:val="14"/>
              </w:rPr>
              <w:t>$7</w:t>
            </w:r>
            <w:r w:rsidRPr="00283806">
              <w:rPr>
                <w:spacing w:val="37"/>
                <w:sz w:val="14"/>
              </w:rPr>
              <w:t xml:space="preserve"> </w:t>
            </w:r>
            <w:r w:rsidRPr="00283806">
              <w:rPr>
                <w:spacing w:val="-2"/>
                <w:sz w:val="14"/>
              </w:rPr>
              <w:t>......................</w:t>
            </w:r>
          </w:p>
        </w:tc>
        <w:tc>
          <w:tcPr>
            <w:tcW w:w="1236" w:type="dxa"/>
            <w:tcBorders>
              <w:top w:val="nil"/>
              <w:bottom w:val="nil"/>
            </w:tcBorders>
          </w:tcPr>
          <w:p w14:paraId="425B8BD2" w14:textId="77777777" w:rsidR="00D67C1E" w:rsidRPr="00283806" w:rsidRDefault="001265CA">
            <w:pPr>
              <w:pStyle w:val="TableParagraph"/>
              <w:spacing w:line="140" w:lineRule="exact"/>
              <w:ind w:left="25" w:right="23"/>
              <w:rPr>
                <w:sz w:val="14"/>
              </w:rPr>
            </w:pPr>
            <w:r w:rsidRPr="00283806">
              <w:rPr>
                <w:sz w:val="14"/>
              </w:rPr>
              <w:t>($1)</w:t>
            </w:r>
            <w:r w:rsidRPr="00283806">
              <w:rPr>
                <w:spacing w:val="20"/>
                <w:sz w:val="14"/>
              </w:rPr>
              <w:t xml:space="preserve"> </w:t>
            </w:r>
            <w:r w:rsidRPr="00283806">
              <w:rPr>
                <w:spacing w:val="-2"/>
                <w:sz w:val="14"/>
              </w:rPr>
              <w:t>....................</w:t>
            </w:r>
          </w:p>
        </w:tc>
        <w:tc>
          <w:tcPr>
            <w:tcW w:w="1236" w:type="dxa"/>
            <w:tcBorders>
              <w:top w:val="nil"/>
              <w:bottom w:val="nil"/>
            </w:tcBorders>
          </w:tcPr>
          <w:p w14:paraId="4D0FC4C4" w14:textId="77777777" w:rsidR="00D67C1E" w:rsidRPr="00283806" w:rsidRDefault="001265CA">
            <w:pPr>
              <w:pStyle w:val="TableParagraph"/>
              <w:spacing w:line="140" w:lineRule="exact"/>
              <w:ind w:left="24" w:right="23"/>
              <w:rPr>
                <w:sz w:val="14"/>
              </w:rPr>
            </w:pPr>
            <w:r w:rsidRPr="00283806">
              <w:rPr>
                <w:sz w:val="14"/>
              </w:rPr>
              <w:t>$1</w:t>
            </w:r>
            <w:r w:rsidRPr="00283806">
              <w:rPr>
                <w:spacing w:val="37"/>
                <w:sz w:val="14"/>
              </w:rPr>
              <w:t xml:space="preserve"> </w:t>
            </w:r>
            <w:r w:rsidRPr="00283806">
              <w:rPr>
                <w:spacing w:val="-2"/>
                <w:sz w:val="14"/>
              </w:rPr>
              <w:t>......................</w:t>
            </w:r>
          </w:p>
        </w:tc>
        <w:tc>
          <w:tcPr>
            <w:tcW w:w="1204" w:type="dxa"/>
            <w:tcBorders>
              <w:top w:val="nil"/>
              <w:bottom w:val="nil"/>
              <w:right w:val="nil"/>
            </w:tcBorders>
          </w:tcPr>
          <w:p w14:paraId="70FC65FF" w14:textId="77777777" w:rsidR="00D67C1E" w:rsidRPr="00283806" w:rsidRDefault="001265CA">
            <w:pPr>
              <w:pStyle w:val="TableParagraph"/>
              <w:spacing w:line="140" w:lineRule="exact"/>
              <w:ind w:left="68"/>
              <w:jc w:val="left"/>
              <w:rPr>
                <w:sz w:val="14"/>
              </w:rPr>
            </w:pPr>
            <w:r w:rsidRPr="00283806">
              <w:rPr>
                <w:spacing w:val="-5"/>
                <w:sz w:val="14"/>
              </w:rPr>
              <w:t>$7.</w:t>
            </w:r>
          </w:p>
        </w:tc>
      </w:tr>
      <w:tr w:rsidR="00D67C1E" w:rsidRPr="00283806" w14:paraId="44EA89FC" w14:textId="77777777">
        <w:trPr>
          <w:trHeight w:val="159"/>
        </w:trPr>
        <w:tc>
          <w:tcPr>
            <w:tcW w:w="2200" w:type="dxa"/>
            <w:tcBorders>
              <w:top w:val="nil"/>
              <w:left w:val="nil"/>
              <w:bottom w:val="nil"/>
            </w:tcBorders>
          </w:tcPr>
          <w:p w14:paraId="7CE167C9" w14:textId="77777777" w:rsidR="00D67C1E" w:rsidRPr="00283806" w:rsidRDefault="001265CA">
            <w:pPr>
              <w:pStyle w:val="TableParagraph"/>
              <w:spacing w:line="140" w:lineRule="exact"/>
              <w:ind w:left="5"/>
              <w:jc w:val="left"/>
              <w:rPr>
                <w:sz w:val="14"/>
              </w:rPr>
            </w:pPr>
            <w:r w:rsidRPr="00283806">
              <w:rPr>
                <w:sz w:val="14"/>
              </w:rPr>
              <w:t>Cylinder</w:t>
            </w:r>
            <w:r w:rsidRPr="00283806">
              <w:rPr>
                <w:spacing w:val="2"/>
                <w:sz w:val="14"/>
              </w:rPr>
              <w:t xml:space="preserve"> </w:t>
            </w:r>
            <w:r w:rsidRPr="00283806">
              <w:rPr>
                <w:sz w:val="14"/>
              </w:rPr>
              <w:t>Management</w:t>
            </w:r>
            <w:r w:rsidRPr="00283806">
              <w:rPr>
                <w:spacing w:val="34"/>
                <w:sz w:val="14"/>
              </w:rPr>
              <w:t xml:space="preserve"> </w:t>
            </w:r>
            <w:r w:rsidRPr="00283806">
              <w:rPr>
                <w:spacing w:val="-2"/>
                <w:sz w:val="14"/>
              </w:rPr>
              <w:t>.................</w:t>
            </w:r>
          </w:p>
        </w:tc>
        <w:tc>
          <w:tcPr>
            <w:tcW w:w="856" w:type="dxa"/>
            <w:tcBorders>
              <w:top w:val="nil"/>
              <w:bottom w:val="nil"/>
            </w:tcBorders>
          </w:tcPr>
          <w:p w14:paraId="6E5781C1" w14:textId="77777777" w:rsidR="00D67C1E" w:rsidRPr="00283806" w:rsidRDefault="001265CA">
            <w:pPr>
              <w:pStyle w:val="TableParagraph"/>
              <w:spacing w:line="140" w:lineRule="exact"/>
              <w:ind w:right="65"/>
              <w:jc w:val="right"/>
              <w:rPr>
                <w:sz w:val="14"/>
              </w:rPr>
            </w:pPr>
            <w:r w:rsidRPr="00283806">
              <w:rPr>
                <w:spacing w:val="-2"/>
                <w:sz w:val="14"/>
              </w:rPr>
              <w:t>2,165</w:t>
            </w:r>
          </w:p>
        </w:tc>
        <w:tc>
          <w:tcPr>
            <w:tcW w:w="1236" w:type="dxa"/>
            <w:tcBorders>
              <w:top w:val="nil"/>
              <w:bottom w:val="nil"/>
            </w:tcBorders>
          </w:tcPr>
          <w:p w14:paraId="2E19AD25" w14:textId="77777777" w:rsidR="00D67C1E" w:rsidRPr="00283806" w:rsidRDefault="001265CA">
            <w:pPr>
              <w:pStyle w:val="TableParagraph"/>
              <w:spacing w:line="140" w:lineRule="exact"/>
              <w:ind w:left="25" w:right="23"/>
              <w:rPr>
                <w:sz w:val="14"/>
              </w:rPr>
            </w:pPr>
            <w:r w:rsidRPr="00283806">
              <w:rPr>
                <w:sz w:val="14"/>
              </w:rPr>
              <w:t>($195)</w:t>
            </w:r>
            <w:r w:rsidRPr="00283806">
              <w:rPr>
                <w:spacing w:val="18"/>
                <w:sz w:val="14"/>
              </w:rPr>
              <w:t xml:space="preserve"> </w:t>
            </w:r>
            <w:r w:rsidRPr="00283806">
              <w:rPr>
                <w:spacing w:val="-2"/>
                <w:sz w:val="14"/>
              </w:rPr>
              <w:t>................</w:t>
            </w:r>
          </w:p>
        </w:tc>
        <w:tc>
          <w:tcPr>
            <w:tcW w:w="1236" w:type="dxa"/>
            <w:tcBorders>
              <w:top w:val="nil"/>
              <w:bottom w:val="nil"/>
            </w:tcBorders>
          </w:tcPr>
          <w:p w14:paraId="2A142ACD" w14:textId="77777777" w:rsidR="00D67C1E" w:rsidRPr="00283806" w:rsidRDefault="001265CA">
            <w:pPr>
              <w:pStyle w:val="TableParagraph"/>
              <w:spacing w:line="140" w:lineRule="exact"/>
              <w:ind w:left="24" w:right="23"/>
              <w:rPr>
                <w:sz w:val="14"/>
              </w:rPr>
            </w:pPr>
            <w:r w:rsidRPr="00283806">
              <w:rPr>
                <w:sz w:val="14"/>
              </w:rPr>
              <w:t>($169)</w:t>
            </w:r>
            <w:r w:rsidRPr="00283806">
              <w:rPr>
                <w:spacing w:val="17"/>
                <w:sz w:val="14"/>
              </w:rPr>
              <w:t xml:space="preserve"> </w:t>
            </w:r>
            <w:r w:rsidRPr="00283806">
              <w:rPr>
                <w:spacing w:val="-2"/>
                <w:sz w:val="14"/>
              </w:rPr>
              <w:t>................</w:t>
            </w:r>
          </w:p>
        </w:tc>
        <w:tc>
          <w:tcPr>
            <w:tcW w:w="1236" w:type="dxa"/>
            <w:tcBorders>
              <w:top w:val="nil"/>
              <w:bottom w:val="nil"/>
            </w:tcBorders>
          </w:tcPr>
          <w:p w14:paraId="62BAC373" w14:textId="77777777" w:rsidR="00D67C1E" w:rsidRPr="00283806" w:rsidRDefault="001265CA">
            <w:pPr>
              <w:pStyle w:val="TableParagraph"/>
              <w:spacing w:line="140" w:lineRule="exact"/>
              <w:ind w:left="24" w:right="23"/>
              <w:rPr>
                <w:sz w:val="14"/>
              </w:rPr>
            </w:pPr>
            <w:r w:rsidRPr="00283806">
              <w:rPr>
                <w:sz w:val="14"/>
              </w:rPr>
              <w:t>($101)</w:t>
            </w:r>
            <w:r w:rsidRPr="00283806">
              <w:rPr>
                <w:spacing w:val="18"/>
                <w:sz w:val="14"/>
              </w:rPr>
              <w:t xml:space="preserve"> </w:t>
            </w:r>
            <w:r w:rsidRPr="00283806">
              <w:rPr>
                <w:spacing w:val="-2"/>
                <w:sz w:val="14"/>
              </w:rPr>
              <w:t>................</w:t>
            </w:r>
          </w:p>
        </w:tc>
        <w:tc>
          <w:tcPr>
            <w:tcW w:w="1236" w:type="dxa"/>
            <w:tcBorders>
              <w:top w:val="nil"/>
              <w:bottom w:val="nil"/>
            </w:tcBorders>
          </w:tcPr>
          <w:p w14:paraId="31E90FD5" w14:textId="77777777" w:rsidR="00D67C1E" w:rsidRPr="00283806" w:rsidRDefault="001265CA">
            <w:pPr>
              <w:pStyle w:val="TableParagraph"/>
              <w:spacing w:line="140" w:lineRule="exact"/>
              <w:ind w:left="24" w:right="23"/>
              <w:rPr>
                <w:sz w:val="14"/>
              </w:rPr>
            </w:pPr>
            <w:r w:rsidRPr="00283806">
              <w:rPr>
                <w:sz w:val="14"/>
              </w:rPr>
              <w:t>$2,360</w:t>
            </w:r>
            <w:r w:rsidRPr="00283806">
              <w:rPr>
                <w:spacing w:val="34"/>
                <w:sz w:val="14"/>
              </w:rPr>
              <w:t xml:space="preserve"> </w:t>
            </w:r>
            <w:r w:rsidRPr="00283806">
              <w:rPr>
                <w:spacing w:val="-2"/>
                <w:sz w:val="14"/>
              </w:rPr>
              <w:t>...............</w:t>
            </w:r>
          </w:p>
        </w:tc>
        <w:tc>
          <w:tcPr>
            <w:tcW w:w="1236" w:type="dxa"/>
            <w:tcBorders>
              <w:top w:val="nil"/>
              <w:bottom w:val="nil"/>
            </w:tcBorders>
          </w:tcPr>
          <w:p w14:paraId="55113E49" w14:textId="77777777" w:rsidR="00D67C1E" w:rsidRPr="00283806" w:rsidRDefault="001265CA">
            <w:pPr>
              <w:pStyle w:val="TableParagraph"/>
              <w:spacing w:line="140" w:lineRule="exact"/>
              <w:ind w:left="24" w:right="23"/>
              <w:rPr>
                <w:sz w:val="14"/>
              </w:rPr>
            </w:pPr>
            <w:r w:rsidRPr="00283806">
              <w:rPr>
                <w:sz w:val="14"/>
              </w:rPr>
              <w:t>$2,335</w:t>
            </w:r>
            <w:r w:rsidRPr="00283806">
              <w:rPr>
                <w:spacing w:val="32"/>
                <w:sz w:val="14"/>
              </w:rPr>
              <w:t xml:space="preserve"> </w:t>
            </w:r>
            <w:r w:rsidRPr="00283806">
              <w:rPr>
                <w:spacing w:val="-2"/>
                <w:sz w:val="14"/>
              </w:rPr>
              <w:t>...............</w:t>
            </w:r>
          </w:p>
        </w:tc>
        <w:tc>
          <w:tcPr>
            <w:tcW w:w="1204" w:type="dxa"/>
            <w:tcBorders>
              <w:top w:val="nil"/>
              <w:bottom w:val="nil"/>
              <w:right w:val="nil"/>
            </w:tcBorders>
          </w:tcPr>
          <w:p w14:paraId="118F638B" w14:textId="77777777" w:rsidR="00D67C1E" w:rsidRPr="00283806" w:rsidRDefault="001265CA">
            <w:pPr>
              <w:pStyle w:val="TableParagraph"/>
              <w:spacing w:line="140" w:lineRule="exact"/>
              <w:ind w:left="68"/>
              <w:jc w:val="left"/>
              <w:rPr>
                <w:sz w:val="14"/>
              </w:rPr>
            </w:pPr>
            <w:r w:rsidRPr="00283806">
              <w:rPr>
                <w:spacing w:val="-2"/>
                <w:sz w:val="14"/>
              </w:rPr>
              <w:t>$2,266.</w:t>
            </w:r>
          </w:p>
        </w:tc>
      </w:tr>
      <w:tr w:rsidR="00D67C1E" w:rsidRPr="00283806" w14:paraId="7E5B22CF" w14:textId="77777777">
        <w:trPr>
          <w:trHeight w:val="160"/>
        </w:trPr>
        <w:tc>
          <w:tcPr>
            <w:tcW w:w="2200" w:type="dxa"/>
            <w:tcBorders>
              <w:top w:val="nil"/>
              <w:left w:val="nil"/>
              <w:bottom w:val="nil"/>
            </w:tcBorders>
          </w:tcPr>
          <w:p w14:paraId="74BC751D" w14:textId="77777777" w:rsidR="00D67C1E" w:rsidRPr="00283806" w:rsidRDefault="001265CA">
            <w:pPr>
              <w:pStyle w:val="TableParagraph"/>
              <w:spacing w:line="140" w:lineRule="exact"/>
              <w:ind w:left="5"/>
              <w:jc w:val="left"/>
              <w:rPr>
                <w:sz w:val="14"/>
              </w:rPr>
            </w:pPr>
            <w:r w:rsidRPr="00283806">
              <w:rPr>
                <w:sz w:val="14"/>
              </w:rPr>
              <w:t>Use</w:t>
            </w:r>
            <w:r w:rsidRPr="00283806">
              <w:rPr>
                <w:spacing w:val="6"/>
                <w:sz w:val="14"/>
              </w:rPr>
              <w:t xml:space="preserve"> </w:t>
            </w:r>
            <w:r w:rsidRPr="00283806">
              <w:rPr>
                <w:sz w:val="14"/>
              </w:rPr>
              <w:t>of</w:t>
            </w:r>
            <w:r w:rsidRPr="00283806">
              <w:rPr>
                <w:spacing w:val="6"/>
                <w:sz w:val="14"/>
              </w:rPr>
              <w:t xml:space="preserve"> </w:t>
            </w:r>
            <w:r w:rsidRPr="00283806">
              <w:rPr>
                <w:sz w:val="14"/>
              </w:rPr>
              <w:t>Reclaimed</w:t>
            </w:r>
            <w:r w:rsidRPr="00283806">
              <w:rPr>
                <w:spacing w:val="6"/>
                <w:sz w:val="14"/>
              </w:rPr>
              <w:t xml:space="preserve"> </w:t>
            </w:r>
            <w:r w:rsidRPr="00283806">
              <w:rPr>
                <w:sz w:val="14"/>
              </w:rPr>
              <w:t>HFCs</w:t>
            </w:r>
            <w:r w:rsidRPr="00283806">
              <w:rPr>
                <w:spacing w:val="6"/>
                <w:sz w:val="14"/>
              </w:rPr>
              <w:t xml:space="preserve"> </w:t>
            </w:r>
            <w:r w:rsidRPr="00283806">
              <w:rPr>
                <w:sz w:val="14"/>
              </w:rPr>
              <w:t>for</w:t>
            </w:r>
            <w:r w:rsidRPr="00283806">
              <w:rPr>
                <w:spacing w:val="6"/>
                <w:sz w:val="14"/>
              </w:rPr>
              <w:t xml:space="preserve"> </w:t>
            </w:r>
            <w:r w:rsidRPr="00283806">
              <w:rPr>
                <w:spacing w:val="-2"/>
                <w:sz w:val="14"/>
              </w:rPr>
              <w:t>Serv-</w:t>
            </w:r>
          </w:p>
        </w:tc>
        <w:tc>
          <w:tcPr>
            <w:tcW w:w="856" w:type="dxa"/>
            <w:tcBorders>
              <w:top w:val="nil"/>
              <w:bottom w:val="nil"/>
            </w:tcBorders>
          </w:tcPr>
          <w:p w14:paraId="7CE5E14D" w14:textId="77777777" w:rsidR="00D67C1E" w:rsidRPr="00283806" w:rsidRDefault="001265CA">
            <w:pPr>
              <w:pStyle w:val="TableParagraph"/>
              <w:spacing w:line="140" w:lineRule="exact"/>
              <w:ind w:right="65"/>
              <w:jc w:val="right"/>
              <w:rPr>
                <w:sz w:val="14"/>
              </w:rPr>
            </w:pPr>
            <w:r w:rsidRPr="00283806">
              <w:rPr>
                <w:spacing w:val="-2"/>
                <w:sz w:val="14"/>
              </w:rPr>
              <w:t>..................</w:t>
            </w:r>
          </w:p>
        </w:tc>
        <w:tc>
          <w:tcPr>
            <w:tcW w:w="1236" w:type="dxa"/>
            <w:tcBorders>
              <w:top w:val="nil"/>
              <w:bottom w:val="nil"/>
            </w:tcBorders>
          </w:tcPr>
          <w:p w14:paraId="1A014C46" w14:textId="77777777" w:rsidR="00D67C1E" w:rsidRPr="00283806" w:rsidRDefault="001265CA">
            <w:pPr>
              <w:pStyle w:val="TableParagraph"/>
              <w:spacing w:line="140" w:lineRule="exact"/>
              <w:ind w:left="25" w:right="23"/>
              <w:rPr>
                <w:sz w:val="14"/>
              </w:rPr>
            </w:pPr>
            <w:r w:rsidRPr="00283806">
              <w:rPr>
                <w:sz w:val="14"/>
              </w:rPr>
              <w:t>$43</w:t>
            </w:r>
            <w:r w:rsidRPr="00283806">
              <w:rPr>
                <w:spacing w:val="36"/>
                <w:sz w:val="14"/>
              </w:rPr>
              <w:t xml:space="preserve"> </w:t>
            </w:r>
            <w:r w:rsidRPr="00283806">
              <w:rPr>
                <w:spacing w:val="-2"/>
                <w:sz w:val="14"/>
              </w:rPr>
              <w:t>....................</w:t>
            </w:r>
          </w:p>
        </w:tc>
        <w:tc>
          <w:tcPr>
            <w:tcW w:w="1236" w:type="dxa"/>
            <w:tcBorders>
              <w:top w:val="nil"/>
              <w:bottom w:val="nil"/>
            </w:tcBorders>
          </w:tcPr>
          <w:p w14:paraId="3ED7D24D" w14:textId="77777777" w:rsidR="00D67C1E" w:rsidRPr="00283806" w:rsidRDefault="001265CA">
            <w:pPr>
              <w:pStyle w:val="TableParagraph"/>
              <w:spacing w:line="140" w:lineRule="exact"/>
              <w:ind w:left="24" w:right="23"/>
              <w:rPr>
                <w:sz w:val="14"/>
              </w:rPr>
            </w:pPr>
            <w:r w:rsidRPr="00283806">
              <w:rPr>
                <w:sz w:val="14"/>
              </w:rPr>
              <w:t>$38</w:t>
            </w:r>
            <w:r w:rsidRPr="00283806">
              <w:rPr>
                <w:spacing w:val="36"/>
                <w:sz w:val="14"/>
              </w:rPr>
              <w:t xml:space="preserve"> </w:t>
            </w:r>
            <w:r w:rsidRPr="00283806">
              <w:rPr>
                <w:spacing w:val="-2"/>
                <w:sz w:val="14"/>
              </w:rPr>
              <w:t>....................</w:t>
            </w:r>
          </w:p>
        </w:tc>
        <w:tc>
          <w:tcPr>
            <w:tcW w:w="1236" w:type="dxa"/>
            <w:tcBorders>
              <w:top w:val="nil"/>
              <w:bottom w:val="nil"/>
            </w:tcBorders>
          </w:tcPr>
          <w:p w14:paraId="78ABA8A3" w14:textId="77777777" w:rsidR="00D67C1E" w:rsidRPr="00283806" w:rsidRDefault="001265CA">
            <w:pPr>
              <w:pStyle w:val="TableParagraph"/>
              <w:spacing w:line="140" w:lineRule="exact"/>
              <w:ind w:left="24" w:right="23"/>
              <w:rPr>
                <w:sz w:val="14"/>
              </w:rPr>
            </w:pPr>
            <w:r w:rsidRPr="00283806">
              <w:rPr>
                <w:sz w:val="14"/>
              </w:rPr>
              <w:t>$23</w:t>
            </w:r>
            <w:r w:rsidRPr="00283806">
              <w:rPr>
                <w:spacing w:val="36"/>
                <w:sz w:val="14"/>
              </w:rPr>
              <w:t xml:space="preserve"> </w:t>
            </w:r>
            <w:r w:rsidRPr="00283806">
              <w:rPr>
                <w:spacing w:val="-2"/>
                <w:sz w:val="14"/>
              </w:rPr>
              <w:t>....................</w:t>
            </w:r>
          </w:p>
        </w:tc>
        <w:tc>
          <w:tcPr>
            <w:tcW w:w="1236" w:type="dxa"/>
            <w:tcBorders>
              <w:top w:val="nil"/>
              <w:bottom w:val="nil"/>
            </w:tcBorders>
          </w:tcPr>
          <w:p w14:paraId="6C717F28" w14:textId="77777777" w:rsidR="00D67C1E" w:rsidRPr="00283806" w:rsidRDefault="001265CA">
            <w:pPr>
              <w:pStyle w:val="TableParagraph"/>
              <w:spacing w:line="140" w:lineRule="exact"/>
              <w:ind w:left="24" w:right="23"/>
              <w:rPr>
                <w:sz w:val="14"/>
              </w:rPr>
            </w:pPr>
            <w:r w:rsidRPr="00283806">
              <w:rPr>
                <w:sz w:val="14"/>
              </w:rPr>
              <w:t>($43)</w:t>
            </w:r>
            <w:r w:rsidRPr="00283806">
              <w:rPr>
                <w:spacing w:val="18"/>
                <w:sz w:val="14"/>
              </w:rPr>
              <w:t xml:space="preserve"> </w:t>
            </w:r>
            <w:r w:rsidRPr="00283806">
              <w:rPr>
                <w:spacing w:val="-2"/>
                <w:sz w:val="14"/>
              </w:rPr>
              <w:t>..................</w:t>
            </w:r>
          </w:p>
        </w:tc>
        <w:tc>
          <w:tcPr>
            <w:tcW w:w="1236" w:type="dxa"/>
            <w:tcBorders>
              <w:top w:val="nil"/>
              <w:bottom w:val="nil"/>
            </w:tcBorders>
          </w:tcPr>
          <w:p w14:paraId="59280ACE" w14:textId="77777777" w:rsidR="00D67C1E" w:rsidRPr="00283806" w:rsidRDefault="001265CA">
            <w:pPr>
              <w:pStyle w:val="TableParagraph"/>
              <w:spacing w:line="140" w:lineRule="exact"/>
              <w:ind w:left="24" w:right="23"/>
              <w:rPr>
                <w:sz w:val="14"/>
              </w:rPr>
            </w:pPr>
            <w:r w:rsidRPr="00283806">
              <w:rPr>
                <w:sz w:val="14"/>
              </w:rPr>
              <w:t>($38)</w:t>
            </w:r>
            <w:r w:rsidRPr="00283806">
              <w:rPr>
                <w:spacing w:val="18"/>
                <w:sz w:val="14"/>
              </w:rPr>
              <w:t xml:space="preserve"> </w:t>
            </w:r>
            <w:r w:rsidRPr="00283806">
              <w:rPr>
                <w:spacing w:val="-2"/>
                <w:sz w:val="14"/>
              </w:rPr>
              <w:t>..................</w:t>
            </w:r>
          </w:p>
        </w:tc>
        <w:tc>
          <w:tcPr>
            <w:tcW w:w="1204" w:type="dxa"/>
            <w:tcBorders>
              <w:top w:val="nil"/>
              <w:bottom w:val="nil"/>
              <w:right w:val="nil"/>
            </w:tcBorders>
          </w:tcPr>
          <w:p w14:paraId="7033629D" w14:textId="77777777" w:rsidR="00D67C1E" w:rsidRPr="00283806" w:rsidRDefault="001265CA">
            <w:pPr>
              <w:pStyle w:val="TableParagraph"/>
              <w:spacing w:line="140" w:lineRule="exact"/>
              <w:ind w:left="68"/>
              <w:jc w:val="left"/>
              <w:rPr>
                <w:sz w:val="14"/>
              </w:rPr>
            </w:pPr>
            <w:r w:rsidRPr="00283806">
              <w:rPr>
                <w:spacing w:val="-2"/>
                <w:sz w:val="14"/>
              </w:rPr>
              <w:t>($23).</w:t>
            </w:r>
          </w:p>
        </w:tc>
      </w:tr>
      <w:tr w:rsidR="00D67C1E" w:rsidRPr="00283806" w14:paraId="28D03A5F" w14:textId="77777777">
        <w:trPr>
          <w:trHeight w:val="159"/>
        </w:trPr>
        <w:tc>
          <w:tcPr>
            <w:tcW w:w="2200" w:type="dxa"/>
            <w:tcBorders>
              <w:top w:val="nil"/>
              <w:left w:val="nil"/>
              <w:bottom w:val="nil"/>
            </w:tcBorders>
          </w:tcPr>
          <w:p w14:paraId="0953501F" w14:textId="77777777" w:rsidR="00D67C1E" w:rsidRPr="00283806" w:rsidRDefault="001265CA">
            <w:pPr>
              <w:pStyle w:val="TableParagraph"/>
              <w:spacing w:line="140" w:lineRule="exact"/>
              <w:ind w:left="145"/>
              <w:jc w:val="left"/>
              <w:rPr>
                <w:sz w:val="14"/>
              </w:rPr>
            </w:pPr>
            <w:r w:rsidRPr="00283806">
              <w:rPr>
                <w:spacing w:val="-2"/>
                <w:sz w:val="14"/>
              </w:rPr>
              <w:t>icing</w:t>
            </w:r>
            <w:r w:rsidRPr="00283806">
              <w:rPr>
                <w:spacing w:val="-10"/>
                <w:sz w:val="14"/>
              </w:rPr>
              <w:t xml:space="preserve"> </w:t>
            </w:r>
            <w:r w:rsidRPr="00283806">
              <w:rPr>
                <w:spacing w:val="-5"/>
                <w:position w:val="4"/>
                <w:sz w:val="9"/>
              </w:rPr>
              <w:t>a</w:t>
            </w:r>
            <w:r w:rsidRPr="00283806">
              <w:rPr>
                <w:spacing w:val="-5"/>
                <w:sz w:val="14"/>
              </w:rPr>
              <w:t>.</w:t>
            </w:r>
          </w:p>
        </w:tc>
        <w:tc>
          <w:tcPr>
            <w:tcW w:w="856" w:type="dxa"/>
            <w:tcBorders>
              <w:top w:val="nil"/>
              <w:bottom w:val="nil"/>
            </w:tcBorders>
          </w:tcPr>
          <w:p w14:paraId="5C355E8C" w14:textId="77777777" w:rsidR="00D67C1E" w:rsidRPr="00283806" w:rsidRDefault="00D67C1E">
            <w:pPr>
              <w:pStyle w:val="TableParagraph"/>
              <w:spacing w:line="240" w:lineRule="auto"/>
              <w:jc w:val="left"/>
              <w:rPr>
                <w:rFonts w:ascii="Times New Roman"/>
                <w:sz w:val="10"/>
              </w:rPr>
            </w:pPr>
          </w:p>
        </w:tc>
        <w:tc>
          <w:tcPr>
            <w:tcW w:w="1236" w:type="dxa"/>
            <w:tcBorders>
              <w:top w:val="nil"/>
              <w:bottom w:val="nil"/>
            </w:tcBorders>
          </w:tcPr>
          <w:p w14:paraId="0678FDED" w14:textId="77777777" w:rsidR="00D67C1E" w:rsidRPr="00283806" w:rsidRDefault="00D67C1E">
            <w:pPr>
              <w:pStyle w:val="TableParagraph"/>
              <w:spacing w:line="240" w:lineRule="auto"/>
              <w:jc w:val="left"/>
              <w:rPr>
                <w:rFonts w:ascii="Times New Roman"/>
                <w:sz w:val="10"/>
              </w:rPr>
            </w:pPr>
          </w:p>
        </w:tc>
        <w:tc>
          <w:tcPr>
            <w:tcW w:w="1236" w:type="dxa"/>
            <w:tcBorders>
              <w:top w:val="nil"/>
              <w:bottom w:val="nil"/>
            </w:tcBorders>
          </w:tcPr>
          <w:p w14:paraId="6AB21123" w14:textId="77777777" w:rsidR="00D67C1E" w:rsidRPr="00283806" w:rsidRDefault="00D67C1E">
            <w:pPr>
              <w:pStyle w:val="TableParagraph"/>
              <w:spacing w:line="240" w:lineRule="auto"/>
              <w:jc w:val="left"/>
              <w:rPr>
                <w:rFonts w:ascii="Times New Roman"/>
                <w:sz w:val="10"/>
              </w:rPr>
            </w:pPr>
          </w:p>
        </w:tc>
        <w:tc>
          <w:tcPr>
            <w:tcW w:w="1236" w:type="dxa"/>
            <w:tcBorders>
              <w:top w:val="nil"/>
              <w:bottom w:val="nil"/>
            </w:tcBorders>
          </w:tcPr>
          <w:p w14:paraId="4C4853B7" w14:textId="77777777" w:rsidR="00D67C1E" w:rsidRPr="00283806" w:rsidRDefault="00D67C1E">
            <w:pPr>
              <w:pStyle w:val="TableParagraph"/>
              <w:spacing w:line="240" w:lineRule="auto"/>
              <w:jc w:val="left"/>
              <w:rPr>
                <w:rFonts w:ascii="Times New Roman"/>
                <w:sz w:val="10"/>
              </w:rPr>
            </w:pPr>
          </w:p>
        </w:tc>
        <w:tc>
          <w:tcPr>
            <w:tcW w:w="1236" w:type="dxa"/>
            <w:tcBorders>
              <w:top w:val="nil"/>
              <w:bottom w:val="nil"/>
            </w:tcBorders>
          </w:tcPr>
          <w:p w14:paraId="0DC071D2" w14:textId="77777777" w:rsidR="00D67C1E" w:rsidRPr="00283806" w:rsidRDefault="00D67C1E">
            <w:pPr>
              <w:pStyle w:val="TableParagraph"/>
              <w:spacing w:line="240" w:lineRule="auto"/>
              <w:jc w:val="left"/>
              <w:rPr>
                <w:rFonts w:ascii="Times New Roman"/>
                <w:sz w:val="10"/>
              </w:rPr>
            </w:pPr>
          </w:p>
        </w:tc>
        <w:tc>
          <w:tcPr>
            <w:tcW w:w="1236" w:type="dxa"/>
            <w:tcBorders>
              <w:top w:val="nil"/>
              <w:bottom w:val="nil"/>
            </w:tcBorders>
          </w:tcPr>
          <w:p w14:paraId="2ADB2CB4" w14:textId="77777777" w:rsidR="00D67C1E" w:rsidRPr="00283806" w:rsidRDefault="00D67C1E">
            <w:pPr>
              <w:pStyle w:val="TableParagraph"/>
              <w:spacing w:line="240" w:lineRule="auto"/>
              <w:jc w:val="left"/>
              <w:rPr>
                <w:rFonts w:ascii="Times New Roman"/>
                <w:sz w:val="10"/>
              </w:rPr>
            </w:pPr>
          </w:p>
        </w:tc>
        <w:tc>
          <w:tcPr>
            <w:tcW w:w="1204" w:type="dxa"/>
            <w:tcBorders>
              <w:top w:val="nil"/>
              <w:bottom w:val="nil"/>
              <w:right w:val="nil"/>
            </w:tcBorders>
          </w:tcPr>
          <w:p w14:paraId="354EBDB3" w14:textId="77777777" w:rsidR="00D67C1E" w:rsidRPr="00283806" w:rsidRDefault="00D67C1E">
            <w:pPr>
              <w:pStyle w:val="TableParagraph"/>
              <w:spacing w:line="240" w:lineRule="auto"/>
              <w:jc w:val="left"/>
              <w:rPr>
                <w:rFonts w:ascii="Times New Roman"/>
                <w:sz w:val="10"/>
              </w:rPr>
            </w:pPr>
          </w:p>
        </w:tc>
      </w:tr>
      <w:tr w:rsidR="00D67C1E" w:rsidRPr="00283806" w14:paraId="61E4B284" w14:textId="77777777">
        <w:trPr>
          <w:trHeight w:val="159"/>
        </w:trPr>
        <w:tc>
          <w:tcPr>
            <w:tcW w:w="2200" w:type="dxa"/>
            <w:tcBorders>
              <w:top w:val="nil"/>
              <w:left w:val="nil"/>
              <w:bottom w:val="nil"/>
            </w:tcBorders>
          </w:tcPr>
          <w:p w14:paraId="575C06C8" w14:textId="77777777" w:rsidR="00D67C1E" w:rsidRPr="00283806" w:rsidRDefault="001265CA">
            <w:pPr>
              <w:pStyle w:val="TableParagraph"/>
              <w:spacing w:line="140" w:lineRule="exact"/>
              <w:ind w:left="5"/>
              <w:jc w:val="left"/>
              <w:rPr>
                <w:sz w:val="14"/>
              </w:rPr>
            </w:pPr>
            <w:r w:rsidRPr="00283806">
              <w:rPr>
                <w:sz w:val="14"/>
              </w:rPr>
              <w:t>Recordkeeping</w:t>
            </w:r>
            <w:r w:rsidRPr="00283806">
              <w:rPr>
                <w:spacing w:val="2"/>
                <w:sz w:val="14"/>
              </w:rPr>
              <w:t xml:space="preserve"> </w:t>
            </w:r>
            <w:r w:rsidRPr="00283806">
              <w:rPr>
                <w:sz w:val="14"/>
              </w:rPr>
              <w:t>&amp;</w:t>
            </w:r>
            <w:r w:rsidRPr="00283806">
              <w:rPr>
                <w:spacing w:val="3"/>
                <w:sz w:val="14"/>
              </w:rPr>
              <w:t xml:space="preserve"> </w:t>
            </w:r>
            <w:r w:rsidRPr="00283806">
              <w:rPr>
                <w:sz w:val="14"/>
              </w:rPr>
              <w:t>Reporting</w:t>
            </w:r>
            <w:r w:rsidRPr="00283806">
              <w:rPr>
                <w:spacing w:val="28"/>
                <w:sz w:val="14"/>
              </w:rPr>
              <w:t xml:space="preserve"> </w:t>
            </w:r>
            <w:r w:rsidRPr="00283806">
              <w:rPr>
                <w:spacing w:val="-2"/>
                <w:sz w:val="14"/>
              </w:rPr>
              <w:t>........</w:t>
            </w:r>
          </w:p>
        </w:tc>
        <w:tc>
          <w:tcPr>
            <w:tcW w:w="856" w:type="dxa"/>
            <w:tcBorders>
              <w:top w:val="nil"/>
              <w:bottom w:val="nil"/>
            </w:tcBorders>
          </w:tcPr>
          <w:p w14:paraId="007D104F" w14:textId="77777777" w:rsidR="00D67C1E" w:rsidRPr="00283806" w:rsidRDefault="001265CA">
            <w:pPr>
              <w:pStyle w:val="TableParagraph"/>
              <w:spacing w:line="140" w:lineRule="exact"/>
              <w:ind w:right="65"/>
              <w:jc w:val="right"/>
              <w:rPr>
                <w:sz w:val="14"/>
              </w:rPr>
            </w:pPr>
            <w:r w:rsidRPr="00283806">
              <w:rPr>
                <w:spacing w:val="-2"/>
                <w:sz w:val="14"/>
              </w:rPr>
              <w:t>..................</w:t>
            </w:r>
          </w:p>
        </w:tc>
        <w:tc>
          <w:tcPr>
            <w:tcW w:w="1236" w:type="dxa"/>
            <w:tcBorders>
              <w:top w:val="nil"/>
              <w:bottom w:val="nil"/>
            </w:tcBorders>
          </w:tcPr>
          <w:p w14:paraId="58E75E85" w14:textId="77777777" w:rsidR="00D67C1E" w:rsidRPr="00283806" w:rsidRDefault="001265CA">
            <w:pPr>
              <w:pStyle w:val="TableParagraph"/>
              <w:spacing w:line="140" w:lineRule="exact"/>
              <w:ind w:left="24" w:right="23"/>
              <w:rPr>
                <w:sz w:val="14"/>
              </w:rPr>
            </w:pPr>
            <w:r w:rsidRPr="00283806">
              <w:rPr>
                <w:sz w:val="14"/>
              </w:rPr>
              <w:t>$350</w:t>
            </w:r>
            <w:r w:rsidRPr="00283806">
              <w:rPr>
                <w:spacing w:val="35"/>
                <w:sz w:val="14"/>
              </w:rPr>
              <w:t xml:space="preserve"> </w:t>
            </w:r>
            <w:r w:rsidRPr="00283806">
              <w:rPr>
                <w:spacing w:val="-2"/>
                <w:sz w:val="14"/>
              </w:rPr>
              <w:t>..................</w:t>
            </w:r>
          </w:p>
        </w:tc>
        <w:tc>
          <w:tcPr>
            <w:tcW w:w="1236" w:type="dxa"/>
            <w:tcBorders>
              <w:top w:val="nil"/>
              <w:bottom w:val="nil"/>
            </w:tcBorders>
          </w:tcPr>
          <w:p w14:paraId="3F21FA85" w14:textId="77777777" w:rsidR="00D67C1E" w:rsidRPr="00283806" w:rsidRDefault="001265CA">
            <w:pPr>
              <w:pStyle w:val="TableParagraph"/>
              <w:spacing w:line="140" w:lineRule="exact"/>
              <w:ind w:left="24" w:right="23"/>
              <w:rPr>
                <w:sz w:val="14"/>
              </w:rPr>
            </w:pPr>
            <w:r w:rsidRPr="00283806">
              <w:rPr>
                <w:sz w:val="14"/>
              </w:rPr>
              <w:t>$308</w:t>
            </w:r>
            <w:r w:rsidRPr="00283806">
              <w:rPr>
                <w:spacing w:val="35"/>
                <w:sz w:val="14"/>
              </w:rPr>
              <w:t xml:space="preserve"> </w:t>
            </w:r>
            <w:r w:rsidRPr="00283806">
              <w:rPr>
                <w:spacing w:val="-2"/>
                <w:sz w:val="14"/>
              </w:rPr>
              <w:t>..................</w:t>
            </w:r>
          </w:p>
        </w:tc>
        <w:tc>
          <w:tcPr>
            <w:tcW w:w="1236" w:type="dxa"/>
            <w:tcBorders>
              <w:top w:val="nil"/>
              <w:bottom w:val="nil"/>
            </w:tcBorders>
          </w:tcPr>
          <w:p w14:paraId="15949C55" w14:textId="77777777" w:rsidR="00D67C1E" w:rsidRPr="00283806" w:rsidRDefault="001265CA">
            <w:pPr>
              <w:pStyle w:val="TableParagraph"/>
              <w:spacing w:line="140" w:lineRule="exact"/>
              <w:ind w:left="24" w:right="23"/>
              <w:rPr>
                <w:sz w:val="14"/>
              </w:rPr>
            </w:pPr>
            <w:r w:rsidRPr="00283806">
              <w:rPr>
                <w:sz w:val="14"/>
              </w:rPr>
              <w:t>$195</w:t>
            </w:r>
            <w:r w:rsidRPr="00283806">
              <w:rPr>
                <w:spacing w:val="33"/>
                <w:sz w:val="14"/>
              </w:rPr>
              <w:t xml:space="preserve"> </w:t>
            </w:r>
            <w:r w:rsidRPr="00283806">
              <w:rPr>
                <w:spacing w:val="-2"/>
                <w:sz w:val="14"/>
              </w:rPr>
              <w:t>..................</w:t>
            </w:r>
          </w:p>
        </w:tc>
        <w:tc>
          <w:tcPr>
            <w:tcW w:w="1236" w:type="dxa"/>
            <w:tcBorders>
              <w:top w:val="nil"/>
              <w:bottom w:val="nil"/>
            </w:tcBorders>
          </w:tcPr>
          <w:p w14:paraId="013E1E75" w14:textId="77777777" w:rsidR="00D67C1E" w:rsidRPr="00283806" w:rsidRDefault="001265CA">
            <w:pPr>
              <w:pStyle w:val="TableParagraph"/>
              <w:spacing w:line="140" w:lineRule="exact"/>
              <w:ind w:left="25" w:right="23"/>
              <w:rPr>
                <w:sz w:val="14"/>
              </w:rPr>
            </w:pPr>
            <w:r w:rsidRPr="00283806">
              <w:rPr>
                <w:sz w:val="14"/>
              </w:rPr>
              <w:t>($350)</w:t>
            </w:r>
            <w:r w:rsidRPr="00283806">
              <w:rPr>
                <w:spacing w:val="18"/>
                <w:sz w:val="14"/>
              </w:rPr>
              <w:t xml:space="preserve"> </w:t>
            </w:r>
            <w:r w:rsidRPr="00283806">
              <w:rPr>
                <w:spacing w:val="-2"/>
                <w:sz w:val="14"/>
              </w:rPr>
              <w:t>................</w:t>
            </w:r>
          </w:p>
        </w:tc>
        <w:tc>
          <w:tcPr>
            <w:tcW w:w="1236" w:type="dxa"/>
            <w:tcBorders>
              <w:top w:val="nil"/>
              <w:bottom w:val="nil"/>
            </w:tcBorders>
          </w:tcPr>
          <w:p w14:paraId="47231D1C" w14:textId="77777777" w:rsidR="00D67C1E" w:rsidRPr="00283806" w:rsidRDefault="001265CA">
            <w:pPr>
              <w:pStyle w:val="TableParagraph"/>
              <w:spacing w:line="140" w:lineRule="exact"/>
              <w:ind w:left="24" w:right="23"/>
              <w:rPr>
                <w:sz w:val="14"/>
              </w:rPr>
            </w:pPr>
            <w:r w:rsidRPr="00283806">
              <w:rPr>
                <w:sz w:val="14"/>
              </w:rPr>
              <w:t>($308)</w:t>
            </w:r>
            <w:r w:rsidRPr="00283806">
              <w:rPr>
                <w:spacing w:val="17"/>
                <w:sz w:val="14"/>
              </w:rPr>
              <w:t xml:space="preserve"> </w:t>
            </w:r>
            <w:r w:rsidRPr="00283806">
              <w:rPr>
                <w:spacing w:val="-2"/>
                <w:sz w:val="14"/>
              </w:rPr>
              <w:t>................</w:t>
            </w:r>
          </w:p>
        </w:tc>
        <w:tc>
          <w:tcPr>
            <w:tcW w:w="1204" w:type="dxa"/>
            <w:tcBorders>
              <w:top w:val="nil"/>
              <w:bottom w:val="nil"/>
              <w:right w:val="nil"/>
            </w:tcBorders>
          </w:tcPr>
          <w:p w14:paraId="29209444" w14:textId="77777777" w:rsidR="00D67C1E" w:rsidRPr="00283806" w:rsidRDefault="001265CA">
            <w:pPr>
              <w:pStyle w:val="TableParagraph"/>
              <w:spacing w:line="140" w:lineRule="exact"/>
              <w:ind w:left="68"/>
              <w:jc w:val="left"/>
              <w:rPr>
                <w:sz w:val="14"/>
              </w:rPr>
            </w:pPr>
            <w:r w:rsidRPr="00283806">
              <w:rPr>
                <w:spacing w:val="-2"/>
                <w:sz w:val="14"/>
              </w:rPr>
              <w:t>($195).</w:t>
            </w:r>
          </w:p>
        </w:tc>
      </w:tr>
      <w:tr w:rsidR="00D67C1E" w:rsidRPr="00283806" w14:paraId="3436D41D" w14:textId="77777777">
        <w:trPr>
          <w:trHeight w:val="159"/>
        </w:trPr>
        <w:tc>
          <w:tcPr>
            <w:tcW w:w="2200" w:type="dxa"/>
            <w:tcBorders>
              <w:top w:val="nil"/>
              <w:left w:val="nil"/>
              <w:bottom w:val="nil"/>
            </w:tcBorders>
          </w:tcPr>
          <w:p w14:paraId="1DA16C8A" w14:textId="77777777" w:rsidR="00D67C1E" w:rsidRPr="00283806" w:rsidRDefault="001265CA">
            <w:pPr>
              <w:pStyle w:val="TableParagraph"/>
              <w:spacing w:line="140" w:lineRule="exact"/>
              <w:ind w:left="5"/>
              <w:jc w:val="left"/>
              <w:rPr>
                <w:sz w:val="14"/>
              </w:rPr>
            </w:pPr>
            <w:r w:rsidRPr="00283806">
              <w:rPr>
                <w:sz w:val="14"/>
              </w:rPr>
              <w:t>Total</w:t>
            </w:r>
            <w:r w:rsidRPr="00283806">
              <w:rPr>
                <w:spacing w:val="8"/>
                <w:sz w:val="14"/>
              </w:rPr>
              <w:t xml:space="preserve"> </w:t>
            </w:r>
            <w:r w:rsidRPr="00283806">
              <w:rPr>
                <w:sz w:val="14"/>
              </w:rPr>
              <w:t>(AIM</w:t>
            </w:r>
            <w:r w:rsidRPr="00283806">
              <w:rPr>
                <w:spacing w:val="8"/>
                <w:sz w:val="14"/>
              </w:rPr>
              <w:t xml:space="preserve"> </w:t>
            </w:r>
            <w:r w:rsidRPr="00283806">
              <w:rPr>
                <w:sz w:val="14"/>
              </w:rPr>
              <w:t>Act)</w:t>
            </w:r>
            <w:r w:rsidRPr="00283806">
              <w:rPr>
                <w:spacing w:val="-16"/>
                <w:sz w:val="14"/>
              </w:rPr>
              <w:t xml:space="preserve"> </w:t>
            </w:r>
            <w:r w:rsidRPr="00283806">
              <w:rPr>
                <w:position w:val="4"/>
                <w:sz w:val="9"/>
              </w:rPr>
              <w:t>b</w:t>
            </w:r>
            <w:r w:rsidRPr="00283806">
              <w:rPr>
                <w:spacing w:val="55"/>
                <w:position w:val="4"/>
                <w:sz w:val="9"/>
              </w:rPr>
              <w:t xml:space="preserve"> </w:t>
            </w:r>
            <w:r w:rsidRPr="00283806">
              <w:rPr>
                <w:spacing w:val="-2"/>
                <w:sz w:val="14"/>
              </w:rPr>
              <w:t>..........................</w:t>
            </w:r>
          </w:p>
        </w:tc>
        <w:tc>
          <w:tcPr>
            <w:tcW w:w="856" w:type="dxa"/>
            <w:tcBorders>
              <w:top w:val="nil"/>
              <w:bottom w:val="nil"/>
            </w:tcBorders>
          </w:tcPr>
          <w:p w14:paraId="54CDA3E7" w14:textId="77777777" w:rsidR="00D67C1E" w:rsidRPr="00283806" w:rsidRDefault="001265CA">
            <w:pPr>
              <w:pStyle w:val="TableParagraph"/>
              <w:spacing w:line="140" w:lineRule="exact"/>
              <w:ind w:right="65"/>
              <w:jc w:val="right"/>
              <w:rPr>
                <w:sz w:val="14"/>
              </w:rPr>
            </w:pPr>
            <w:r w:rsidRPr="00283806">
              <w:rPr>
                <w:spacing w:val="-2"/>
                <w:sz w:val="14"/>
              </w:rPr>
              <w:t>8,356</w:t>
            </w:r>
          </w:p>
        </w:tc>
        <w:tc>
          <w:tcPr>
            <w:tcW w:w="1236" w:type="dxa"/>
            <w:tcBorders>
              <w:top w:val="nil"/>
              <w:bottom w:val="nil"/>
            </w:tcBorders>
          </w:tcPr>
          <w:p w14:paraId="7015B07A" w14:textId="77777777" w:rsidR="00D67C1E" w:rsidRPr="00283806" w:rsidRDefault="001265CA">
            <w:pPr>
              <w:pStyle w:val="TableParagraph"/>
              <w:spacing w:line="140" w:lineRule="exact"/>
              <w:ind w:left="24" w:right="23"/>
              <w:rPr>
                <w:sz w:val="14"/>
              </w:rPr>
            </w:pPr>
            <w:r w:rsidRPr="00283806">
              <w:rPr>
                <w:sz w:val="14"/>
              </w:rPr>
              <w:t>$1,499</w:t>
            </w:r>
            <w:r w:rsidRPr="00283806">
              <w:rPr>
                <w:spacing w:val="34"/>
                <w:sz w:val="14"/>
              </w:rPr>
              <w:t xml:space="preserve"> </w:t>
            </w:r>
            <w:r w:rsidRPr="00283806">
              <w:rPr>
                <w:spacing w:val="-2"/>
                <w:sz w:val="14"/>
              </w:rPr>
              <w:t>...............</w:t>
            </w:r>
          </w:p>
        </w:tc>
        <w:tc>
          <w:tcPr>
            <w:tcW w:w="1236" w:type="dxa"/>
            <w:tcBorders>
              <w:top w:val="nil"/>
              <w:bottom w:val="nil"/>
            </w:tcBorders>
          </w:tcPr>
          <w:p w14:paraId="0B20372D" w14:textId="77777777" w:rsidR="00D67C1E" w:rsidRPr="00283806" w:rsidRDefault="001265CA">
            <w:pPr>
              <w:pStyle w:val="TableParagraph"/>
              <w:spacing w:line="140" w:lineRule="exact"/>
              <w:ind w:left="24" w:right="23"/>
              <w:rPr>
                <w:sz w:val="14"/>
              </w:rPr>
            </w:pPr>
            <w:r w:rsidRPr="00283806">
              <w:rPr>
                <w:sz w:val="14"/>
              </w:rPr>
              <w:t>$1,335</w:t>
            </w:r>
            <w:r w:rsidRPr="00283806">
              <w:rPr>
                <w:spacing w:val="32"/>
                <w:sz w:val="14"/>
              </w:rPr>
              <w:t xml:space="preserve"> </w:t>
            </w:r>
            <w:r w:rsidRPr="00283806">
              <w:rPr>
                <w:spacing w:val="-2"/>
                <w:sz w:val="14"/>
              </w:rPr>
              <w:t>...............</w:t>
            </w:r>
          </w:p>
        </w:tc>
        <w:tc>
          <w:tcPr>
            <w:tcW w:w="1236" w:type="dxa"/>
            <w:tcBorders>
              <w:top w:val="nil"/>
              <w:bottom w:val="nil"/>
            </w:tcBorders>
          </w:tcPr>
          <w:p w14:paraId="6DF180C0" w14:textId="77777777" w:rsidR="00D67C1E" w:rsidRPr="00283806" w:rsidRDefault="001265CA">
            <w:pPr>
              <w:pStyle w:val="TableParagraph"/>
              <w:spacing w:line="140" w:lineRule="exact"/>
              <w:ind w:left="24" w:right="23"/>
              <w:rPr>
                <w:sz w:val="14"/>
              </w:rPr>
            </w:pPr>
            <w:r w:rsidRPr="00283806">
              <w:rPr>
                <w:sz w:val="14"/>
              </w:rPr>
              <w:t>$884</w:t>
            </w:r>
            <w:r w:rsidRPr="00283806">
              <w:rPr>
                <w:spacing w:val="35"/>
                <w:sz w:val="14"/>
              </w:rPr>
              <w:t xml:space="preserve"> </w:t>
            </w:r>
            <w:r w:rsidRPr="00283806">
              <w:rPr>
                <w:spacing w:val="-2"/>
                <w:sz w:val="14"/>
              </w:rPr>
              <w:t>..................</w:t>
            </w:r>
          </w:p>
        </w:tc>
        <w:tc>
          <w:tcPr>
            <w:tcW w:w="1236" w:type="dxa"/>
            <w:tcBorders>
              <w:top w:val="nil"/>
              <w:bottom w:val="nil"/>
            </w:tcBorders>
          </w:tcPr>
          <w:p w14:paraId="64E549EC" w14:textId="77777777" w:rsidR="00D67C1E" w:rsidRPr="00283806" w:rsidRDefault="001265CA">
            <w:pPr>
              <w:pStyle w:val="TableParagraph"/>
              <w:spacing w:line="140" w:lineRule="exact"/>
              <w:ind w:left="24" w:right="23"/>
              <w:rPr>
                <w:sz w:val="14"/>
              </w:rPr>
            </w:pPr>
            <w:r w:rsidRPr="00283806">
              <w:rPr>
                <w:sz w:val="14"/>
              </w:rPr>
              <w:t>$6,857</w:t>
            </w:r>
            <w:r w:rsidRPr="00283806">
              <w:rPr>
                <w:spacing w:val="34"/>
                <w:sz w:val="14"/>
              </w:rPr>
              <w:t xml:space="preserve"> </w:t>
            </w:r>
            <w:r w:rsidRPr="00283806">
              <w:rPr>
                <w:spacing w:val="-2"/>
                <w:sz w:val="14"/>
              </w:rPr>
              <w:t>...............</w:t>
            </w:r>
          </w:p>
        </w:tc>
        <w:tc>
          <w:tcPr>
            <w:tcW w:w="1236" w:type="dxa"/>
            <w:tcBorders>
              <w:top w:val="nil"/>
              <w:bottom w:val="nil"/>
            </w:tcBorders>
          </w:tcPr>
          <w:p w14:paraId="4B51CC75" w14:textId="77777777" w:rsidR="00D67C1E" w:rsidRPr="00283806" w:rsidRDefault="001265CA">
            <w:pPr>
              <w:pStyle w:val="TableParagraph"/>
              <w:spacing w:line="140" w:lineRule="exact"/>
              <w:ind w:left="24" w:right="23"/>
              <w:rPr>
                <w:sz w:val="14"/>
              </w:rPr>
            </w:pPr>
            <w:r w:rsidRPr="00283806">
              <w:rPr>
                <w:sz w:val="14"/>
              </w:rPr>
              <w:t>$7,021</w:t>
            </w:r>
            <w:r w:rsidRPr="00283806">
              <w:rPr>
                <w:spacing w:val="32"/>
                <w:sz w:val="14"/>
              </w:rPr>
              <w:t xml:space="preserve"> </w:t>
            </w:r>
            <w:r w:rsidRPr="00283806">
              <w:rPr>
                <w:spacing w:val="-2"/>
                <w:sz w:val="14"/>
              </w:rPr>
              <w:t>...............</w:t>
            </w:r>
          </w:p>
        </w:tc>
        <w:tc>
          <w:tcPr>
            <w:tcW w:w="1204" w:type="dxa"/>
            <w:tcBorders>
              <w:top w:val="nil"/>
              <w:bottom w:val="nil"/>
              <w:right w:val="nil"/>
            </w:tcBorders>
          </w:tcPr>
          <w:p w14:paraId="1C1D89A9" w14:textId="77777777" w:rsidR="00D67C1E" w:rsidRPr="00283806" w:rsidRDefault="001265CA">
            <w:pPr>
              <w:pStyle w:val="TableParagraph"/>
              <w:spacing w:line="140" w:lineRule="exact"/>
              <w:ind w:left="68"/>
              <w:jc w:val="left"/>
              <w:rPr>
                <w:sz w:val="14"/>
              </w:rPr>
            </w:pPr>
            <w:r w:rsidRPr="00283806">
              <w:rPr>
                <w:spacing w:val="-2"/>
                <w:sz w:val="14"/>
              </w:rPr>
              <w:t>$7,471.</w:t>
            </w:r>
          </w:p>
        </w:tc>
      </w:tr>
      <w:tr w:rsidR="00D67C1E" w:rsidRPr="00283806" w14:paraId="6F3324EE" w14:textId="77777777">
        <w:trPr>
          <w:trHeight w:val="160"/>
        </w:trPr>
        <w:tc>
          <w:tcPr>
            <w:tcW w:w="2200" w:type="dxa"/>
            <w:tcBorders>
              <w:top w:val="nil"/>
              <w:left w:val="nil"/>
              <w:bottom w:val="nil"/>
            </w:tcBorders>
          </w:tcPr>
          <w:p w14:paraId="36742D75" w14:textId="77777777" w:rsidR="00D67C1E" w:rsidRPr="00283806" w:rsidRDefault="001265CA">
            <w:pPr>
              <w:pStyle w:val="TableParagraph"/>
              <w:spacing w:line="140" w:lineRule="exact"/>
              <w:ind w:left="5"/>
              <w:jc w:val="left"/>
              <w:rPr>
                <w:sz w:val="14"/>
              </w:rPr>
            </w:pPr>
            <w:r w:rsidRPr="00283806">
              <w:rPr>
                <w:sz w:val="14"/>
              </w:rPr>
              <w:t>RCRA</w:t>
            </w:r>
            <w:r w:rsidRPr="00283806">
              <w:rPr>
                <w:spacing w:val="43"/>
                <w:sz w:val="14"/>
              </w:rPr>
              <w:t xml:space="preserve"> </w:t>
            </w:r>
            <w:r w:rsidRPr="00283806">
              <w:rPr>
                <w:sz w:val="14"/>
              </w:rPr>
              <w:t>Alternative</w:t>
            </w:r>
            <w:r w:rsidRPr="00283806">
              <w:rPr>
                <w:spacing w:val="44"/>
                <w:sz w:val="14"/>
              </w:rPr>
              <w:t xml:space="preserve"> </w:t>
            </w:r>
            <w:r w:rsidRPr="00283806">
              <w:rPr>
                <w:sz w:val="14"/>
              </w:rPr>
              <w:t>Standard</w:t>
            </w:r>
            <w:r w:rsidRPr="00283806">
              <w:rPr>
                <w:spacing w:val="43"/>
                <w:sz w:val="14"/>
              </w:rPr>
              <w:t xml:space="preserve"> </w:t>
            </w:r>
            <w:r w:rsidRPr="00283806">
              <w:rPr>
                <w:spacing w:val="-5"/>
                <w:sz w:val="14"/>
              </w:rPr>
              <w:t>Re-</w:t>
            </w:r>
          </w:p>
        </w:tc>
        <w:tc>
          <w:tcPr>
            <w:tcW w:w="856" w:type="dxa"/>
            <w:tcBorders>
              <w:top w:val="nil"/>
              <w:bottom w:val="nil"/>
            </w:tcBorders>
          </w:tcPr>
          <w:p w14:paraId="2200C1F0" w14:textId="77777777" w:rsidR="00D67C1E" w:rsidRPr="00283806" w:rsidRDefault="001265CA">
            <w:pPr>
              <w:pStyle w:val="TableParagraph"/>
              <w:spacing w:line="140" w:lineRule="exact"/>
              <w:ind w:right="65"/>
              <w:jc w:val="right"/>
              <w:rPr>
                <w:sz w:val="14"/>
              </w:rPr>
            </w:pPr>
            <w:r w:rsidRPr="00283806">
              <w:rPr>
                <w:spacing w:val="-2"/>
                <w:sz w:val="14"/>
              </w:rPr>
              <w:t>..................</w:t>
            </w:r>
          </w:p>
        </w:tc>
        <w:tc>
          <w:tcPr>
            <w:tcW w:w="1236" w:type="dxa"/>
            <w:tcBorders>
              <w:top w:val="nil"/>
              <w:bottom w:val="nil"/>
            </w:tcBorders>
          </w:tcPr>
          <w:p w14:paraId="121CE543" w14:textId="77777777" w:rsidR="00D67C1E" w:rsidRPr="00283806" w:rsidRDefault="001265CA">
            <w:pPr>
              <w:pStyle w:val="TableParagraph"/>
              <w:spacing w:line="140" w:lineRule="exact"/>
              <w:ind w:left="24" w:right="23"/>
              <w:rPr>
                <w:sz w:val="14"/>
              </w:rPr>
            </w:pPr>
            <w:r w:rsidRPr="00283806">
              <w:rPr>
                <w:sz w:val="14"/>
              </w:rPr>
              <w:t>$0</w:t>
            </w:r>
            <w:r w:rsidRPr="00283806">
              <w:rPr>
                <w:spacing w:val="5"/>
                <w:sz w:val="14"/>
              </w:rPr>
              <w:t xml:space="preserve"> </w:t>
            </w:r>
            <w:r w:rsidRPr="00283806">
              <w:rPr>
                <w:sz w:val="14"/>
              </w:rPr>
              <w:t>to</w:t>
            </w:r>
            <w:r w:rsidRPr="00283806">
              <w:rPr>
                <w:spacing w:val="5"/>
                <w:sz w:val="14"/>
              </w:rPr>
              <w:t xml:space="preserve"> </w:t>
            </w:r>
            <w:r w:rsidRPr="00283806">
              <w:rPr>
                <w:sz w:val="14"/>
              </w:rPr>
              <w:t>($40)</w:t>
            </w:r>
            <w:r w:rsidRPr="00283806">
              <w:rPr>
                <w:spacing w:val="6"/>
                <w:sz w:val="14"/>
              </w:rPr>
              <w:t xml:space="preserve"> </w:t>
            </w:r>
            <w:r w:rsidRPr="00283806">
              <w:rPr>
                <w:spacing w:val="-2"/>
                <w:sz w:val="14"/>
              </w:rPr>
              <w:t>.........</w:t>
            </w:r>
          </w:p>
        </w:tc>
        <w:tc>
          <w:tcPr>
            <w:tcW w:w="1236" w:type="dxa"/>
            <w:tcBorders>
              <w:top w:val="nil"/>
              <w:bottom w:val="nil"/>
            </w:tcBorders>
          </w:tcPr>
          <w:p w14:paraId="79940358" w14:textId="77777777" w:rsidR="00D67C1E" w:rsidRPr="00283806" w:rsidRDefault="001265CA">
            <w:pPr>
              <w:pStyle w:val="TableParagraph"/>
              <w:spacing w:line="140" w:lineRule="exact"/>
              <w:ind w:left="24" w:right="23"/>
              <w:rPr>
                <w:sz w:val="14"/>
              </w:rPr>
            </w:pPr>
            <w:r w:rsidRPr="00283806">
              <w:rPr>
                <w:sz w:val="14"/>
              </w:rPr>
              <w:t>$0</w:t>
            </w:r>
            <w:r w:rsidRPr="00283806">
              <w:rPr>
                <w:spacing w:val="5"/>
                <w:sz w:val="14"/>
              </w:rPr>
              <w:t xml:space="preserve"> </w:t>
            </w:r>
            <w:r w:rsidRPr="00283806">
              <w:rPr>
                <w:sz w:val="14"/>
              </w:rPr>
              <w:t>to</w:t>
            </w:r>
            <w:r w:rsidRPr="00283806">
              <w:rPr>
                <w:spacing w:val="5"/>
                <w:sz w:val="14"/>
              </w:rPr>
              <w:t xml:space="preserve"> </w:t>
            </w:r>
            <w:r w:rsidRPr="00283806">
              <w:rPr>
                <w:sz w:val="14"/>
              </w:rPr>
              <w:t>($35)</w:t>
            </w:r>
            <w:r w:rsidRPr="00283806">
              <w:rPr>
                <w:spacing w:val="6"/>
                <w:sz w:val="14"/>
              </w:rPr>
              <w:t xml:space="preserve"> </w:t>
            </w:r>
            <w:r w:rsidRPr="00283806">
              <w:rPr>
                <w:spacing w:val="-2"/>
                <w:sz w:val="14"/>
              </w:rPr>
              <w:t>.........</w:t>
            </w:r>
          </w:p>
        </w:tc>
        <w:tc>
          <w:tcPr>
            <w:tcW w:w="1236" w:type="dxa"/>
            <w:tcBorders>
              <w:top w:val="nil"/>
              <w:bottom w:val="nil"/>
            </w:tcBorders>
          </w:tcPr>
          <w:p w14:paraId="3E51362A" w14:textId="77777777" w:rsidR="00D67C1E" w:rsidRPr="00283806" w:rsidRDefault="001265CA">
            <w:pPr>
              <w:pStyle w:val="TableParagraph"/>
              <w:spacing w:line="140" w:lineRule="exact"/>
              <w:ind w:left="24" w:right="23"/>
              <w:rPr>
                <w:sz w:val="14"/>
              </w:rPr>
            </w:pPr>
            <w:r w:rsidRPr="00283806">
              <w:rPr>
                <w:sz w:val="14"/>
              </w:rPr>
              <w:t>$0</w:t>
            </w:r>
            <w:r w:rsidRPr="00283806">
              <w:rPr>
                <w:spacing w:val="5"/>
                <w:sz w:val="14"/>
              </w:rPr>
              <w:t xml:space="preserve"> </w:t>
            </w:r>
            <w:r w:rsidRPr="00283806">
              <w:rPr>
                <w:sz w:val="14"/>
              </w:rPr>
              <w:t>to</w:t>
            </w:r>
            <w:r w:rsidRPr="00283806">
              <w:rPr>
                <w:spacing w:val="5"/>
                <w:sz w:val="14"/>
              </w:rPr>
              <w:t xml:space="preserve"> </w:t>
            </w:r>
            <w:r w:rsidRPr="00283806">
              <w:rPr>
                <w:sz w:val="14"/>
              </w:rPr>
              <w:t>($22)</w:t>
            </w:r>
            <w:r w:rsidRPr="00283806">
              <w:rPr>
                <w:spacing w:val="7"/>
                <w:sz w:val="14"/>
              </w:rPr>
              <w:t xml:space="preserve"> </w:t>
            </w:r>
            <w:r w:rsidRPr="00283806">
              <w:rPr>
                <w:spacing w:val="-2"/>
                <w:sz w:val="14"/>
              </w:rPr>
              <w:t>.........</w:t>
            </w:r>
          </w:p>
        </w:tc>
        <w:tc>
          <w:tcPr>
            <w:tcW w:w="1236" w:type="dxa"/>
            <w:tcBorders>
              <w:top w:val="nil"/>
              <w:bottom w:val="nil"/>
            </w:tcBorders>
          </w:tcPr>
          <w:p w14:paraId="4C97B203" w14:textId="77777777" w:rsidR="00D67C1E" w:rsidRPr="00283806" w:rsidRDefault="001265CA">
            <w:pPr>
              <w:pStyle w:val="TableParagraph"/>
              <w:spacing w:line="140" w:lineRule="exact"/>
              <w:ind w:left="24" w:right="23"/>
              <w:rPr>
                <w:sz w:val="14"/>
              </w:rPr>
            </w:pPr>
            <w:r w:rsidRPr="00283806">
              <w:rPr>
                <w:sz w:val="14"/>
              </w:rPr>
              <w:t>$0</w:t>
            </w:r>
            <w:r w:rsidRPr="00283806">
              <w:rPr>
                <w:spacing w:val="5"/>
                <w:sz w:val="14"/>
              </w:rPr>
              <w:t xml:space="preserve"> </w:t>
            </w:r>
            <w:r w:rsidRPr="00283806">
              <w:rPr>
                <w:sz w:val="14"/>
              </w:rPr>
              <w:t>to</w:t>
            </w:r>
            <w:r w:rsidRPr="00283806">
              <w:rPr>
                <w:spacing w:val="5"/>
                <w:sz w:val="14"/>
              </w:rPr>
              <w:t xml:space="preserve"> </w:t>
            </w:r>
            <w:r w:rsidRPr="00283806">
              <w:rPr>
                <w:sz w:val="14"/>
              </w:rPr>
              <w:t>($40)</w:t>
            </w:r>
            <w:r w:rsidRPr="00283806">
              <w:rPr>
                <w:spacing w:val="6"/>
                <w:sz w:val="14"/>
              </w:rPr>
              <w:t xml:space="preserve"> </w:t>
            </w:r>
            <w:r w:rsidRPr="00283806">
              <w:rPr>
                <w:spacing w:val="-2"/>
                <w:sz w:val="14"/>
              </w:rPr>
              <w:t>.........</w:t>
            </w:r>
          </w:p>
        </w:tc>
        <w:tc>
          <w:tcPr>
            <w:tcW w:w="1236" w:type="dxa"/>
            <w:tcBorders>
              <w:top w:val="nil"/>
              <w:bottom w:val="nil"/>
            </w:tcBorders>
          </w:tcPr>
          <w:p w14:paraId="7295053D" w14:textId="77777777" w:rsidR="00D67C1E" w:rsidRPr="00283806" w:rsidRDefault="001265CA">
            <w:pPr>
              <w:pStyle w:val="TableParagraph"/>
              <w:spacing w:line="140" w:lineRule="exact"/>
              <w:ind w:left="24" w:right="23"/>
              <w:rPr>
                <w:sz w:val="14"/>
              </w:rPr>
            </w:pPr>
            <w:r w:rsidRPr="00283806">
              <w:rPr>
                <w:sz w:val="14"/>
              </w:rPr>
              <w:t>$0</w:t>
            </w:r>
            <w:r w:rsidRPr="00283806">
              <w:rPr>
                <w:spacing w:val="5"/>
                <w:sz w:val="14"/>
              </w:rPr>
              <w:t xml:space="preserve"> </w:t>
            </w:r>
            <w:r w:rsidRPr="00283806">
              <w:rPr>
                <w:sz w:val="14"/>
              </w:rPr>
              <w:t>to</w:t>
            </w:r>
            <w:r w:rsidRPr="00283806">
              <w:rPr>
                <w:spacing w:val="5"/>
                <w:sz w:val="14"/>
              </w:rPr>
              <w:t xml:space="preserve"> </w:t>
            </w:r>
            <w:r w:rsidRPr="00283806">
              <w:rPr>
                <w:sz w:val="14"/>
              </w:rPr>
              <w:t>($35)</w:t>
            </w:r>
            <w:r w:rsidRPr="00283806">
              <w:rPr>
                <w:spacing w:val="7"/>
                <w:sz w:val="14"/>
              </w:rPr>
              <w:t xml:space="preserve"> </w:t>
            </w:r>
            <w:r w:rsidRPr="00283806">
              <w:rPr>
                <w:spacing w:val="-2"/>
                <w:sz w:val="14"/>
              </w:rPr>
              <w:t>.........</w:t>
            </w:r>
          </w:p>
        </w:tc>
        <w:tc>
          <w:tcPr>
            <w:tcW w:w="1204" w:type="dxa"/>
            <w:tcBorders>
              <w:top w:val="nil"/>
              <w:bottom w:val="nil"/>
              <w:right w:val="nil"/>
            </w:tcBorders>
          </w:tcPr>
          <w:p w14:paraId="59F6E16E" w14:textId="77777777" w:rsidR="00D67C1E" w:rsidRPr="00283806" w:rsidRDefault="001265CA">
            <w:pPr>
              <w:pStyle w:val="TableParagraph"/>
              <w:spacing w:line="140" w:lineRule="exact"/>
              <w:ind w:left="68"/>
              <w:jc w:val="left"/>
              <w:rPr>
                <w:sz w:val="14"/>
              </w:rPr>
            </w:pPr>
            <w:r w:rsidRPr="00283806">
              <w:rPr>
                <w:sz w:val="14"/>
              </w:rPr>
              <w:t>$0</w:t>
            </w:r>
            <w:r w:rsidRPr="00283806">
              <w:rPr>
                <w:spacing w:val="6"/>
                <w:sz w:val="14"/>
              </w:rPr>
              <w:t xml:space="preserve"> </w:t>
            </w:r>
            <w:r w:rsidRPr="00283806">
              <w:rPr>
                <w:sz w:val="14"/>
              </w:rPr>
              <w:t>to</w:t>
            </w:r>
            <w:r w:rsidRPr="00283806">
              <w:rPr>
                <w:spacing w:val="6"/>
                <w:sz w:val="14"/>
              </w:rPr>
              <w:t xml:space="preserve"> </w:t>
            </w:r>
            <w:r w:rsidRPr="00283806">
              <w:rPr>
                <w:spacing w:val="-2"/>
                <w:sz w:val="14"/>
              </w:rPr>
              <w:t>($22).</w:t>
            </w:r>
          </w:p>
        </w:tc>
      </w:tr>
      <w:tr w:rsidR="00D67C1E" w:rsidRPr="00283806" w14:paraId="408E9170" w14:textId="77777777">
        <w:trPr>
          <w:trHeight w:val="159"/>
        </w:trPr>
        <w:tc>
          <w:tcPr>
            <w:tcW w:w="2200" w:type="dxa"/>
            <w:tcBorders>
              <w:top w:val="nil"/>
              <w:left w:val="nil"/>
              <w:bottom w:val="nil"/>
            </w:tcBorders>
          </w:tcPr>
          <w:p w14:paraId="181CB4DA" w14:textId="77777777" w:rsidR="00D67C1E" w:rsidRPr="00283806" w:rsidRDefault="001265CA">
            <w:pPr>
              <w:pStyle w:val="TableParagraph"/>
              <w:spacing w:line="140" w:lineRule="exact"/>
              <w:ind w:left="145"/>
              <w:jc w:val="left"/>
              <w:rPr>
                <w:sz w:val="14"/>
              </w:rPr>
            </w:pPr>
            <w:proofErr w:type="spellStart"/>
            <w:r w:rsidRPr="00283806">
              <w:rPr>
                <w:spacing w:val="-2"/>
                <w:sz w:val="14"/>
              </w:rPr>
              <w:t>quirements</w:t>
            </w:r>
            <w:proofErr w:type="spellEnd"/>
            <w:r w:rsidRPr="00283806">
              <w:rPr>
                <w:spacing w:val="-4"/>
                <w:sz w:val="14"/>
              </w:rPr>
              <w:t xml:space="preserve"> </w:t>
            </w:r>
            <w:r w:rsidRPr="00283806">
              <w:rPr>
                <w:spacing w:val="-5"/>
                <w:position w:val="4"/>
                <w:sz w:val="9"/>
              </w:rPr>
              <w:t>c</w:t>
            </w:r>
            <w:r w:rsidRPr="00283806">
              <w:rPr>
                <w:spacing w:val="-5"/>
                <w:sz w:val="14"/>
              </w:rPr>
              <w:t>.</w:t>
            </w:r>
          </w:p>
        </w:tc>
        <w:tc>
          <w:tcPr>
            <w:tcW w:w="856" w:type="dxa"/>
            <w:tcBorders>
              <w:top w:val="nil"/>
              <w:bottom w:val="nil"/>
            </w:tcBorders>
          </w:tcPr>
          <w:p w14:paraId="2052C260" w14:textId="77777777" w:rsidR="00D67C1E" w:rsidRPr="00283806" w:rsidRDefault="00D67C1E">
            <w:pPr>
              <w:pStyle w:val="TableParagraph"/>
              <w:spacing w:line="240" w:lineRule="auto"/>
              <w:jc w:val="left"/>
              <w:rPr>
                <w:rFonts w:ascii="Times New Roman"/>
                <w:sz w:val="10"/>
              </w:rPr>
            </w:pPr>
          </w:p>
        </w:tc>
        <w:tc>
          <w:tcPr>
            <w:tcW w:w="1236" w:type="dxa"/>
            <w:tcBorders>
              <w:top w:val="nil"/>
              <w:bottom w:val="nil"/>
            </w:tcBorders>
          </w:tcPr>
          <w:p w14:paraId="21F792AD" w14:textId="77777777" w:rsidR="00D67C1E" w:rsidRPr="00283806" w:rsidRDefault="00D67C1E">
            <w:pPr>
              <w:pStyle w:val="TableParagraph"/>
              <w:spacing w:line="240" w:lineRule="auto"/>
              <w:jc w:val="left"/>
              <w:rPr>
                <w:rFonts w:ascii="Times New Roman"/>
                <w:sz w:val="10"/>
              </w:rPr>
            </w:pPr>
          </w:p>
        </w:tc>
        <w:tc>
          <w:tcPr>
            <w:tcW w:w="1236" w:type="dxa"/>
            <w:tcBorders>
              <w:top w:val="nil"/>
              <w:bottom w:val="nil"/>
            </w:tcBorders>
          </w:tcPr>
          <w:p w14:paraId="31C2BA5C" w14:textId="77777777" w:rsidR="00D67C1E" w:rsidRPr="00283806" w:rsidRDefault="00D67C1E">
            <w:pPr>
              <w:pStyle w:val="TableParagraph"/>
              <w:spacing w:line="240" w:lineRule="auto"/>
              <w:jc w:val="left"/>
              <w:rPr>
                <w:rFonts w:ascii="Times New Roman"/>
                <w:sz w:val="10"/>
              </w:rPr>
            </w:pPr>
          </w:p>
        </w:tc>
        <w:tc>
          <w:tcPr>
            <w:tcW w:w="1236" w:type="dxa"/>
            <w:tcBorders>
              <w:top w:val="nil"/>
              <w:bottom w:val="nil"/>
            </w:tcBorders>
          </w:tcPr>
          <w:p w14:paraId="16742827" w14:textId="77777777" w:rsidR="00D67C1E" w:rsidRPr="00283806" w:rsidRDefault="00D67C1E">
            <w:pPr>
              <w:pStyle w:val="TableParagraph"/>
              <w:spacing w:line="240" w:lineRule="auto"/>
              <w:jc w:val="left"/>
              <w:rPr>
                <w:rFonts w:ascii="Times New Roman"/>
                <w:sz w:val="10"/>
              </w:rPr>
            </w:pPr>
          </w:p>
        </w:tc>
        <w:tc>
          <w:tcPr>
            <w:tcW w:w="1236" w:type="dxa"/>
            <w:tcBorders>
              <w:top w:val="nil"/>
              <w:bottom w:val="nil"/>
            </w:tcBorders>
          </w:tcPr>
          <w:p w14:paraId="013513A6" w14:textId="77777777" w:rsidR="00D67C1E" w:rsidRPr="00283806" w:rsidRDefault="00D67C1E">
            <w:pPr>
              <w:pStyle w:val="TableParagraph"/>
              <w:spacing w:line="240" w:lineRule="auto"/>
              <w:jc w:val="left"/>
              <w:rPr>
                <w:rFonts w:ascii="Times New Roman"/>
                <w:sz w:val="10"/>
              </w:rPr>
            </w:pPr>
          </w:p>
        </w:tc>
        <w:tc>
          <w:tcPr>
            <w:tcW w:w="1236" w:type="dxa"/>
            <w:tcBorders>
              <w:top w:val="nil"/>
              <w:bottom w:val="nil"/>
            </w:tcBorders>
          </w:tcPr>
          <w:p w14:paraId="6C3F729C" w14:textId="77777777" w:rsidR="00D67C1E" w:rsidRPr="00283806" w:rsidRDefault="00D67C1E">
            <w:pPr>
              <w:pStyle w:val="TableParagraph"/>
              <w:spacing w:line="240" w:lineRule="auto"/>
              <w:jc w:val="left"/>
              <w:rPr>
                <w:rFonts w:ascii="Times New Roman"/>
                <w:sz w:val="10"/>
              </w:rPr>
            </w:pPr>
          </w:p>
        </w:tc>
        <w:tc>
          <w:tcPr>
            <w:tcW w:w="1204" w:type="dxa"/>
            <w:tcBorders>
              <w:top w:val="nil"/>
              <w:bottom w:val="nil"/>
              <w:right w:val="nil"/>
            </w:tcBorders>
          </w:tcPr>
          <w:p w14:paraId="591CCA6D" w14:textId="77777777" w:rsidR="00D67C1E" w:rsidRPr="00283806" w:rsidRDefault="00D67C1E">
            <w:pPr>
              <w:pStyle w:val="TableParagraph"/>
              <w:spacing w:line="240" w:lineRule="auto"/>
              <w:jc w:val="left"/>
              <w:rPr>
                <w:rFonts w:ascii="Times New Roman"/>
                <w:sz w:val="10"/>
              </w:rPr>
            </w:pPr>
          </w:p>
        </w:tc>
      </w:tr>
      <w:tr w:rsidR="00D67C1E" w:rsidRPr="00283806" w14:paraId="1DE5D85E" w14:textId="77777777">
        <w:trPr>
          <w:trHeight w:val="202"/>
        </w:trPr>
        <w:tc>
          <w:tcPr>
            <w:tcW w:w="2200" w:type="dxa"/>
            <w:tcBorders>
              <w:top w:val="nil"/>
              <w:left w:val="nil"/>
            </w:tcBorders>
          </w:tcPr>
          <w:p w14:paraId="386E475C" w14:textId="77777777" w:rsidR="00D67C1E" w:rsidRPr="00283806" w:rsidRDefault="001265CA">
            <w:pPr>
              <w:pStyle w:val="TableParagraph"/>
              <w:spacing w:line="159" w:lineRule="exact"/>
              <w:ind w:left="5"/>
              <w:jc w:val="left"/>
              <w:rPr>
                <w:sz w:val="14"/>
              </w:rPr>
            </w:pPr>
            <w:r w:rsidRPr="00283806">
              <w:rPr>
                <w:sz w:val="14"/>
              </w:rPr>
              <w:t>Total</w:t>
            </w:r>
            <w:r w:rsidRPr="00283806">
              <w:rPr>
                <w:spacing w:val="7"/>
                <w:sz w:val="14"/>
              </w:rPr>
              <w:t xml:space="preserve"> </w:t>
            </w:r>
            <w:r w:rsidRPr="00283806">
              <w:rPr>
                <w:sz w:val="14"/>
              </w:rPr>
              <w:t>(AIM</w:t>
            </w:r>
            <w:r w:rsidRPr="00283806">
              <w:rPr>
                <w:spacing w:val="7"/>
                <w:sz w:val="14"/>
              </w:rPr>
              <w:t xml:space="preserve"> </w:t>
            </w:r>
            <w:r w:rsidRPr="00283806">
              <w:rPr>
                <w:sz w:val="14"/>
              </w:rPr>
              <w:t>Act</w:t>
            </w:r>
            <w:r w:rsidRPr="00283806">
              <w:rPr>
                <w:spacing w:val="7"/>
                <w:sz w:val="14"/>
              </w:rPr>
              <w:t xml:space="preserve"> </w:t>
            </w:r>
            <w:r w:rsidRPr="00283806">
              <w:rPr>
                <w:sz w:val="14"/>
              </w:rPr>
              <w:t>+</w:t>
            </w:r>
            <w:r w:rsidRPr="00283806">
              <w:rPr>
                <w:spacing w:val="8"/>
                <w:sz w:val="14"/>
              </w:rPr>
              <w:t xml:space="preserve"> </w:t>
            </w:r>
            <w:r w:rsidRPr="00283806">
              <w:rPr>
                <w:sz w:val="14"/>
              </w:rPr>
              <w:t>RCRA)</w:t>
            </w:r>
            <w:r w:rsidRPr="00283806">
              <w:rPr>
                <w:spacing w:val="-17"/>
                <w:sz w:val="14"/>
              </w:rPr>
              <w:t xml:space="preserve"> </w:t>
            </w:r>
            <w:r w:rsidRPr="00283806">
              <w:rPr>
                <w:position w:val="4"/>
                <w:sz w:val="9"/>
              </w:rPr>
              <w:t>b</w:t>
            </w:r>
            <w:r w:rsidRPr="00283806">
              <w:rPr>
                <w:spacing w:val="26"/>
                <w:position w:val="4"/>
                <w:sz w:val="9"/>
              </w:rPr>
              <w:t xml:space="preserve"> </w:t>
            </w:r>
            <w:r w:rsidRPr="00283806">
              <w:rPr>
                <w:spacing w:val="-2"/>
                <w:sz w:val="14"/>
              </w:rPr>
              <w:t>............</w:t>
            </w:r>
          </w:p>
        </w:tc>
        <w:tc>
          <w:tcPr>
            <w:tcW w:w="856" w:type="dxa"/>
            <w:tcBorders>
              <w:top w:val="nil"/>
            </w:tcBorders>
          </w:tcPr>
          <w:p w14:paraId="79B46DCF" w14:textId="77777777" w:rsidR="00D67C1E" w:rsidRPr="00283806" w:rsidRDefault="001265CA">
            <w:pPr>
              <w:pStyle w:val="TableParagraph"/>
              <w:spacing w:line="159" w:lineRule="exact"/>
              <w:ind w:right="65"/>
              <w:jc w:val="right"/>
              <w:rPr>
                <w:sz w:val="14"/>
              </w:rPr>
            </w:pPr>
            <w:r w:rsidRPr="00283806">
              <w:rPr>
                <w:spacing w:val="-2"/>
                <w:sz w:val="14"/>
              </w:rPr>
              <w:t>..................</w:t>
            </w:r>
          </w:p>
        </w:tc>
        <w:tc>
          <w:tcPr>
            <w:tcW w:w="1236" w:type="dxa"/>
            <w:tcBorders>
              <w:top w:val="nil"/>
            </w:tcBorders>
          </w:tcPr>
          <w:p w14:paraId="19E592CA" w14:textId="77777777" w:rsidR="00D67C1E" w:rsidRPr="00283806" w:rsidRDefault="001265CA">
            <w:pPr>
              <w:pStyle w:val="TableParagraph"/>
              <w:spacing w:line="159" w:lineRule="exact"/>
              <w:ind w:left="2" w:right="23"/>
              <w:rPr>
                <w:sz w:val="14"/>
              </w:rPr>
            </w:pPr>
            <w:r w:rsidRPr="00283806">
              <w:rPr>
                <w:sz w:val="14"/>
              </w:rPr>
              <w:t>$1,459</w:t>
            </w:r>
            <w:r w:rsidRPr="00283806">
              <w:rPr>
                <w:spacing w:val="4"/>
                <w:sz w:val="14"/>
              </w:rPr>
              <w:t xml:space="preserve"> </w:t>
            </w:r>
            <w:r w:rsidRPr="00283806">
              <w:rPr>
                <w:sz w:val="14"/>
              </w:rPr>
              <w:t>to</w:t>
            </w:r>
            <w:r w:rsidRPr="00283806">
              <w:rPr>
                <w:spacing w:val="5"/>
                <w:sz w:val="14"/>
              </w:rPr>
              <w:t xml:space="preserve"> </w:t>
            </w:r>
            <w:r w:rsidRPr="00283806">
              <w:rPr>
                <w:spacing w:val="-2"/>
                <w:sz w:val="14"/>
              </w:rPr>
              <w:t>$1,499</w:t>
            </w:r>
          </w:p>
        </w:tc>
        <w:tc>
          <w:tcPr>
            <w:tcW w:w="1236" w:type="dxa"/>
            <w:tcBorders>
              <w:top w:val="nil"/>
            </w:tcBorders>
          </w:tcPr>
          <w:p w14:paraId="173D1B23" w14:textId="77777777" w:rsidR="00D67C1E" w:rsidRPr="00283806" w:rsidRDefault="001265CA">
            <w:pPr>
              <w:pStyle w:val="TableParagraph"/>
              <w:spacing w:line="159" w:lineRule="exact"/>
              <w:ind w:left="3" w:right="23"/>
              <w:rPr>
                <w:sz w:val="14"/>
              </w:rPr>
            </w:pPr>
            <w:r w:rsidRPr="00283806">
              <w:rPr>
                <w:sz w:val="14"/>
              </w:rPr>
              <w:t>$1,300</w:t>
            </w:r>
            <w:r w:rsidRPr="00283806">
              <w:rPr>
                <w:spacing w:val="4"/>
                <w:sz w:val="14"/>
              </w:rPr>
              <w:t xml:space="preserve"> </w:t>
            </w:r>
            <w:r w:rsidRPr="00283806">
              <w:rPr>
                <w:sz w:val="14"/>
              </w:rPr>
              <w:t>to</w:t>
            </w:r>
            <w:r w:rsidRPr="00283806">
              <w:rPr>
                <w:spacing w:val="5"/>
                <w:sz w:val="14"/>
              </w:rPr>
              <w:t xml:space="preserve"> </w:t>
            </w:r>
            <w:r w:rsidRPr="00283806">
              <w:rPr>
                <w:spacing w:val="-2"/>
                <w:sz w:val="14"/>
              </w:rPr>
              <w:t>$1,335</w:t>
            </w:r>
          </w:p>
        </w:tc>
        <w:tc>
          <w:tcPr>
            <w:tcW w:w="1236" w:type="dxa"/>
            <w:tcBorders>
              <w:top w:val="nil"/>
            </w:tcBorders>
          </w:tcPr>
          <w:p w14:paraId="1E46D9B2" w14:textId="77777777" w:rsidR="00D67C1E" w:rsidRPr="00283806" w:rsidRDefault="001265CA">
            <w:pPr>
              <w:pStyle w:val="TableParagraph"/>
              <w:spacing w:line="159" w:lineRule="exact"/>
              <w:ind w:left="24" w:right="23"/>
              <w:rPr>
                <w:sz w:val="14"/>
              </w:rPr>
            </w:pPr>
            <w:r w:rsidRPr="00283806">
              <w:rPr>
                <w:sz w:val="14"/>
              </w:rPr>
              <w:t>$863</w:t>
            </w:r>
            <w:r w:rsidRPr="00283806">
              <w:rPr>
                <w:spacing w:val="5"/>
                <w:sz w:val="14"/>
              </w:rPr>
              <w:t xml:space="preserve"> </w:t>
            </w:r>
            <w:r w:rsidRPr="00283806">
              <w:rPr>
                <w:sz w:val="14"/>
              </w:rPr>
              <w:t>to</w:t>
            </w:r>
            <w:r w:rsidRPr="00283806">
              <w:rPr>
                <w:spacing w:val="5"/>
                <w:sz w:val="14"/>
              </w:rPr>
              <w:t xml:space="preserve"> </w:t>
            </w:r>
            <w:r w:rsidRPr="00283806">
              <w:rPr>
                <w:sz w:val="14"/>
              </w:rPr>
              <w:t>$884</w:t>
            </w:r>
            <w:r w:rsidRPr="00283806">
              <w:rPr>
                <w:spacing w:val="20"/>
                <w:sz w:val="14"/>
              </w:rPr>
              <w:t xml:space="preserve"> </w:t>
            </w:r>
            <w:r w:rsidRPr="00283806">
              <w:rPr>
                <w:spacing w:val="-2"/>
                <w:sz w:val="14"/>
              </w:rPr>
              <w:t>.....</w:t>
            </w:r>
          </w:p>
        </w:tc>
        <w:tc>
          <w:tcPr>
            <w:tcW w:w="1236" w:type="dxa"/>
            <w:tcBorders>
              <w:top w:val="nil"/>
            </w:tcBorders>
          </w:tcPr>
          <w:p w14:paraId="1F1A3C2F" w14:textId="77777777" w:rsidR="00D67C1E" w:rsidRPr="00283806" w:rsidRDefault="001265CA">
            <w:pPr>
              <w:pStyle w:val="TableParagraph"/>
              <w:spacing w:line="159" w:lineRule="exact"/>
              <w:ind w:left="3" w:right="23"/>
              <w:rPr>
                <w:sz w:val="14"/>
              </w:rPr>
            </w:pPr>
            <w:r w:rsidRPr="00283806">
              <w:rPr>
                <w:sz w:val="14"/>
              </w:rPr>
              <w:t>$6,857</w:t>
            </w:r>
            <w:r w:rsidRPr="00283806">
              <w:rPr>
                <w:spacing w:val="4"/>
                <w:sz w:val="14"/>
              </w:rPr>
              <w:t xml:space="preserve"> </w:t>
            </w:r>
            <w:r w:rsidRPr="00283806">
              <w:rPr>
                <w:sz w:val="14"/>
              </w:rPr>
              <w:t>to</w:t>
            </w:r>
            <w:r w:rsidRPr="00283806">
              <w:rPr>
                <w:spacing w:val="5"/>
                <w:sz w:val="14"/>
              </w:rPr>
              <w:t xml:space="preserve"> </w:t>
            </w:r>
            <w:r w:rsidRPr="00283806">
              <w:rPr>
                <w:spacing w:val="-2"/>
                <w:sz w:val="14"/>
              </w:rPr>
              <w:t>$6,897</w:t>
            </w:r>
          </w:p>
        </w:tc>
        <w:tc>
          <w:tcPr>
            <w:tcW w:w="1236" w:type="dxa"/>
            <w:tcBorders>
              <w:top w:val="nil"/>
            </w:tcBorders>
          </w:tcPr>
          <w:p w14:paraId="4C83AB98" w14:textId="77777777" w:rsidR="00D67C1E" w:rsidRPr="00283806" w:rsidRDefault="001265CA">
            <w:pPr>
              <w:pStyle w:val="TableParagraph"/>
              <w:spacing w:line="159" w:lineRule="exact"/>
              <w:ind w:left="3" w:right="23"/>
              <w:rPr>
                <w:sz w:val="14"/>
              </w:rPr>
            </w:pPr>
            <w:r w:rsidRPr="00283806">
              <w:rPr>
                <w:sz w:val="14"/>
              </w:rPr>
              <w:t>$7,021</w:t>
            </w:r>
            <w:r w:rsidRPr="00283806">
              <w:rPr>
                <w:spacing w:val="4"/>
                <w:sz w:val="14"/>
              </w:rPr>
              <w:t xml:space="preserve"> </w:t>
            </w:r>
            <w:r w:rsidRPr="00283806">
              <w:rPr>
                <w:sz w:val="14"/>
              </w:rPr>
              <w:t>to</w:t>
            </w:r>
            <w:r w:rsidRPr="00283806">
              <w:rPr>
                <w:spacing w:val="5"/>
                <w:sz w:val="14"/>
              </w:rPr>
              <w:t xml:space="preserve"> </w:t>
            </w:r>
            <w:r w:rsidRPr="00283806">
              <w:rPr>
                <w:spacing w:val="-2"/>
                <w:sz w:val="14"/>
              </w:rPr>
              <w:t>$7,056</w:t>
            </w:r>
          </w:p>
        </w:tc>
        <w:tc>
          <w:tcPr>
            <w:tcW w:w="1204" w:type="dxa"/>
            <w:tcBorders>
              <w:top w:val="nil"/>
              <w:right w:val="nil"/>
            </w:tcBorders>
          </w:tcPr>
          <w:p w14:paraId="725ABBDC" w14:textId="77777777" w:rsidR="00D67C1E" w:rsidRPr="00283806" w:rsidRDefault="001265CA">
            <w:pPr>
              <w:pStyle w:val="TableParagraph"/>
              <w:spacing w:line="159" w:lineRule="exact"/>
              <w:ind w:left="68"/>
              <w:jc w:val="left"/>
              <w:rPr>
                <w:sz w:val="14"/>
              </w:rPr>
            </w:pPr>
            <w:r w:rsidRPr="00283806">
              <w:rPr>
                <w:sz w:val="14"/>
              </w:rPr>
              <w:t>$7,471</w:t>
            </w:r>
            <w:r w:rsidRPr="00283806">
              <w:rPr>
                <w:spacing w:val="4"/>
                <w:sz w:val="14"/>
              </w:rPr>
              <w:t xml:space="preserve"> </w:t>
            </w:r>
            <w:r w:rsidRPr="00283806">
              <w:rPr>
                <w:sz w:val="14"/>
              </w:rPr>
              <w:t>to</w:t>
            </w:r>
            <w:r w:rsidRPr="00283806">
              <w:rPr>
                <w:spacing w:val="5"/>
                <w:sz w:val="14"/>
              </w:rPr>
              <w:t xml:space="preserve"> </w:t>
            </w:r>
            <w:r w:rsidRPr="00283806">
              <w:rPr>
                <w:spacing w:val="-2"/>
                <w:sz w:val="14"/>
              </w:rPr>
              <w:t>$7,493.</w:t>
            </w:r>
          </w:p>
        </w:tc>
      </w:tr>
    </w:tbl>
    <w:p w14:paraId="15AA41ED" w14:textId="77777777" w:rsidR="00D67C1E" w:rsidRPr="00283806" w:rsidRDefault="001265CA">
      <w:pPr>
        <w:spacing w:before="68" w:line="208" w:lineRule="auto"/>
        <w:ind w:left="160" w:right="118" w:firstLine="139"/>
        <w:jc w:val="both"/>
        <w:rPr>
          <w:rFonts w:ascii="Arial"/>
          <w:sz w:val="14"/>
        </w:rPr>
      </w:pPr>
      <w:r w:rsidRPr="00283806">
        <w:rPr>
          <w:rFonts w:ascii="Arial"/>
          <w:position w:val="4"/>
          <w:sz w:val="9"/>
        </w:rPr>
        <w:t>a</w:t>
      </w:r>
      <w:r w:rsidRPr="00283806">
        <w:rPr>
          <w:rFonts w:ascii="Arial"/>
          <w:spacing w:val="-4"/>
          <w:position w:val="4"/>
          <w:sz w:val="9"/>
        </w:rPr>
        <w:t xml:space="preserve"> </w:t>
      </w:r>
      <w:proofErr w:type="gramStart"/>
      <w:r w:rsidRPr="00283806">
        <w:rPr>
          <w:rFonts w:ascii="Arial"/>
          <w:sz w:val="14"/>
        </w:rPr>
        <w:t>As</w:t>
      </w:r>
      <w:proofErr w:type="gramEnd"/>
      <w:r w:rsidRPr="00283806">
        <w:rPr>
          <w:rFonts w:ascii="Arial"/>
          <w:sz w:val="14"/>
        </w:rPr>
        <w:t xml:space="preserve"> detailed in the RIA addendum, reclaim requirements may lead to additional emissions reductions by inducing increased recovery of refrigerant at servicing and</w:t>
      </w:r>
      <w:r w:rsidRPr="00283806">
        <w:rPr>
          <w:rFonts w:ascii="Arial"/>
          <w:spacing w:val="40"/>
          <w:sz w:val="14"/>
        </w:rPr>
        <w:t xml:space="preserve"> </w:t>
      </w:r>
      <w:r w:rsidRPr="00283806">
        <w:rPr>
          <w:rFonts w:ascii="Arial"/>
          <w:sz w:val="14"/>
        </w:rPr>
        <w:t>disposal that may otherwise be released or vented. In the base case scenario, EPA does not estimate an increase in these avoided emissions beyond baseline as-</w:t>
      </w:r>
      <w:r w:rsidRPr="00283806">
        <w:rPr>
          <w:rFonts w:ascii="Arial"/>
          <w:spacing w:val="40"/>
          <w:sz w:val="14"/>
        </w:rPr>
        <w:t xml:space="preserve"> </w:t>
      </w:r>
      <w:proofErr w:type="spellStart"/>
      <w:r w:rsidRPr="00283806">
        <w:rPr>
          <w:rFonts w:ascii="Arial"/>
          <w:sz w:val="14"/>
        </w:rPr>
        <w:t>sumptions</w:t>
      </w:r>
      <w:proofErr w:type="spellEnd"/>
      <w:r w:rsidRPr="00283806">
        <w:rPr>
          <w:rFonts w:ascii="Arial"/>
          <w:sz w:val="14"/>
        </w:rPr>
        <w:t>. See the RIA addendum for additional analysis related to this assumption.</w:t>
      </w:r>
    </w:p>
    <w:p w14:paraId="3FAFE848" w14:textId="77777777" w:rsidR="00D67C1E" w:rsidRPr="00283806" w:rsidRDefault="001265CA">
      <w:pPr>
        <w:spacing w:line="133" w:lineRule="exact"/>
        <w:ind w:left="300"/>
        <w:jc w:val="both"/>
        <w:rPr>
          <w:rFonts w:ascii="Arial"/>
          <w:sz w:val="14"/>
        </w:rPr>
      </w:pPr>
      <w:r w:rsidRPr="00283806">
        <w:rPr>
          <w:rFonts w:ascii="Arial"/>
          <w:position w:val="4"/>
          <w:sz w:val="9"/>
        </w:rPr>
        <w:t>b</w:t>
      </w:r>
      <w:r w:rsidRPr="00283806">
        <w:rPr>
          <w:rFonts w:ascii="Arial"/>
          <w:spacing w:val="-4"/>
          <w:position w:val="4"/>
          <w:sz w:val="9"/>
        </w:rPr>
        <w:t xml:space="preserve"> </w:t>
      </w:r>
      <w:r w:rsidRPr="00283806">
        <w:rPr>
          <w:rFonts w:ascii="Arial"/>
          <w:sz w:val="14"/>
        </w:rPr>
        <w:t>Rows</w:t>
      </w:r>
      <w:r w:rsidRPr="00283806">
        <w:rPr>
          <w:rFonts w:ascii="Arial"/>
          <w:spacing w:val="7"/>
          <w:sz w:val="14"/>
        </w:rPr>
        <w:t xml:space="preserve"> </w:t>
      </w:r>
      <w:r w:rsidRPr="00283806">
        <w:rPr>
          <w:rFonts w:ascii="Arial"/>
          <w:sz w:val="14"/>
        </w:rPr>
        <w:t>may</w:t>
      </w:r>
      <w:r w:rsidRPr="00283806">
        <w:rPr>
          <w:rFonts w:ascii="Arial"/>
          <w:spacing w:val="7"/>
          <w:sz w:val="14"/>
        </w:rPr>
        <w:t xml:space="preserve"> </w:t>
      </w:r>
      <w:r w:rsidRPr="00283806">
        <w:rPr>
          <w:rFonts w:ascii="Arial"/>
          <w:sz w:val="14"/>
        </w:rPr>
        <w:t>not</w:t>
      </w:r>
      <w:r w:rsidRPr="00283806">
        <w:rPr>
          <w:rFonts w:ascii="Arial"/>
          <w:spacing w:val="7"/>
          <w:sz w:val="14"/>
        </w:rPr>
        <w:t xml:space="preserve"> </w:t>
      </w:r>
      <w:r w:rsidRPr="00283806">
        <w:rPr>
          <w:rFonts w:ascii="Arial"/>
          <w:sz w:val="14"/>
        </w:rPr>
        <w:t>appear</w:t>
      </w:r>
      <w:r w:rsidRPr="00283806">
        <w:rPr>
          <w:rFonts w:ascii="Arial"/>
          <w:spacing w:val="6"/>
          <w:sz w:val="14"/>
        </w:rPr>
        <w:t xml:space="preserve"> </w:t>
      </w:r>
      <w:r w:rsidRPr="00283806">
        <w:rPr>
          <w:rFonts w:ascii="Arial"/>
          <w:sz w:val="14"/>
        </w:rPr>
        <w:t>to</w:t>
      </w:r>
      <w:r w:rsidRPr="00283806">
        <w:rPr>
          <w:rFonts w:ascii="Arial"/>
          <w:spacing w:val="7"/>
          <w:sz w:val="14"/>
        </w:rPr>
        <w:t xml:space="preserve"> </w:t>
      </w:r>
      <w:r w:rsidRPr="00283806">
        <w:rPr>
          <w:rFonts w:ascii="Arial"/>
          <w:sz w:val="14"/>
        </w:rPr>
        <w:t>add</w:t>
      </w:r>
      <w:r w:rsidRPr="00283806">
        <w:rPr>
          <w:rFonts w:ascii="Arial"/>
          <w:spacing w:val="7"/>
          <w:sz w:val="14"/>
        </w:rPr>
        <w:t xml:space="preserve"> </w:t>
      </w:r>
      <w:r w:rsidRPr="00283806">
        <w:rPr>
          <w:rFonts w:ascii="Arial"/>
          <w:sz w:val="14"/>
        </w:rPr>
        <w:t>correctly</w:t>
      </w:r>
      <w:r w:rsidRPr="00283806">
        <w:rPr>
          <w:rFonts w:ascii="Arial"/>
          <w:spacing w:val="7"/>
          <w:sz w:val="14"/>
        </w:rPr>
        <w:t xml:space="preserve"> </w:t>
      </w:r>
      <w:r w:rsidRPr="00283806">
        <w:rPr>
          <w:rFonts w:ascii="Arial"/>
          <w:sz w:val="14"/>
        </w:rPr>
        <w:t>due</w:t>
      </w:r>
      <w:r w:rsidRPr="00283806">
        <w:rPr>
          <w:rFonts w:ascii="Arial"/>
          <w:spacing w:val="6"/>
          <w:sz w:val="14"/>
        </w:rPr>
        <w:t xml:space="preserve"> </w:t>
      </w:r>
      <w:r w:rsidRPr="00283806">
        <w:rPr>
          <w:rFonts w:ascii="Arial"/>
          <w:sz w:val="14"/>
        </w:rPr>
        <w:t>to</w:t>
      </w:r>
      <w:r w:rsidRPr="00283806">
        <w:rPr>
          <w:rFonts w:ascii="Arial"/>
          <w:spacing w:val="7"/>
          <w:sz w:val="14"/>
        </w:rPr>
        <w:t xml:space="preserve"> </w:t>
      </w:r>
      <w:r w:rsidRPr="00283806">
        <w:rPr>
          <w:rFonts w:ascii="Arial"/>
          <w:spacing w:val="-2"/>
          <w:sz w:val="14"/>
        </w:rPr>
        <w:t>rounding.</w:t>
      </w:r>
    </w:p>
    <w:p w14:paraId="5A6EDB0F" w14:textId="77777777" w:rsidR="00D67C1E" w:rsidRPr="00283806" w:rsidRDefault="001265CA">
      <w:pPr>
        <w:spacing w:before="7" w:line="208" w:lineRule="auto"/>
        <w:ind w:left="159" w:right="125" w:firstLine="140"/>
        <w:jc w:val="both"/>
        <w:rPr>
          <w:rFonts w:ascii="Arial"/>
          <w:sz w:val="14"/>
        </w:rPr>
      </w:pPr>
      <w:proofErr w:type="gramStart"/>
      <w:r w:rsidRPr="00283806">
        <w:rPr>
          <w:rFonts w:ascii="Arial"/>
          <w:position w:val="4"/>
          <w:sz w:val="9"/>
        </w:rPr>
        <w:t>c</w:t>
      </w:r>
      <w:r w:rsidRPr="00283806">
        <w:rPr>
          <w:rFonts w:ascii="Arial"/>
          <w:spacing w:val="-4"/>
          <w:position w:val="4"/>
          <w:sz w:val="9"/>
        </w:rPr>
        <w:t xml:space="preserve"> </w:t>
      </w:r>
      <w:r w:rsidRPr="00283806">
        <w:rPr>
          <w:rFonts w:ascii="Arial"/>
          <w:sz w:val="14"/>
        </w:rPr>
        <w:t>RCRA</w:t>
      </w:r>
      <w:proofErr w:type="gramEnd"/>
      <w:r w:rsidRPr="00283806">
        <w:rPr>
          <w:rFonts w:ascii="Arial"/>
          <w:sz w:val="14"/>
        </w:rPr>
        <w:t xml:space="preserve"> alternative standard requirements are part of the RCRA regulations, which are separate from the regulations under subsection (h)(1) of the AIM Act. </w:t>
      </w:r>
      <w:proofErr w:type="spellStart"/>
      <w:r w:rsidRPr="00283806">
        <w:rPr>
          <w:rFonts w:ascii="Arial"/>
          <w:sz w:val="14"/>
        </w:rPr>
        <w:t>Poten</w:t>
      </w:r>
      <w:proofErr w:type="spellEnd"/>
      <w:r w:rsidRPr="00283806">
        <w:rPr>
          <w:rFonts w:ascii="Arial"/>
          <w:sz w:val="14"/>
        </w:rPr>
        <w:t>-</w:t>
      </w:r>
      <w:r w:rsidRPr="00283806">
        <w:rPr>
          <w:rFonts w:ascii="Arial"/>
          <w:spacing w:val="40"/>
          <w:sz w:val="14"/>
        </w:rPr>
        <w:t xml:space="preserve"> </w:t>
      </w:r>
      <w:proofErr w:type="spellStart"/>
      <w:r w:rsidRPr="00283806">
        <w:rPr>
          <w:rFonts w:ascii="Arial"/>
          <w:sz w:val="14"/>
        </w:rPr>
        <w:t>tial</w:t>
      </w:r>
      <w:proofErr w:type="spellEnd"/>
      <w:r w:rsidRPr="00283806">
        <w:rPr>
          <w:rFonts w:ascii="Arial"/>
          <w:sz w:val="14"/>
        </w:rPr>
        <w:t xml:space="preserve"> RCRA-related benefits presented in this table are included here for informational purposes.</w:t>
      </w:r>
    </w:p>
    <w:p w14:paraId="69D6C489" w14:textId="77777777" w:rsidR="00D67C1E" w:rsidRPr="00283806" w:rsidRDefault="00D67C1E">
      <w:pPr>
        <w:pStyle w:val="BodyText"/>
        <w:spacing w:before="19"/>
        <w:ind w:left="0"/>
        <w:rPr>
          <w:rFonts w:ascii="Arial"/>
          <w:sz w:val="20"/>
        </w:rPr>
      </w:pPr>
    </w:p>
    <w:p w14:paraId="6F3E9FCC" w14:textId="77777777" w:rsidR="00D67C1E" w:rsidRPr="00283806" w:rsidRDefault="00D67C1E">
      <w:pPr>
        <w:rPr>
          <w:rFonts w:ascii="Arial"/>
          <w:sz w:val="20"/>
        </w:rPr>
        <w:sectPr w:rsidR="00D67C1E" w:rsidRPr="00283806">
          <w:type w:val="continuous"/>
          <w:pgSz w:w="12240" w:h="15840"/>
          <w:pgMar w:top="880" w:right="780" w:bottom="280" w:left="740" w:header="627" w:footer="0" w:gutter="0"/>
          <w:cols w:space="720"/>
        </w:sectPr>
      </w:pPr>
    </w:p>
    <w:p w14:paraId="508541C1" w14:textId="77777777" w:rsidR="00D67C1E" w:rsidRPr="00283806" w:rsidRDefault="001265CA">
      <w:pPr>
        <w:pStyle w:val="ListParagraph"/>
        <w:numPr>
          <w:ilvl w:val="1"/>
          <w:numId w:val="64"/>
        </w:numPr>
        <w:tabs>
          <w:tab w:val="left" w:pos="375"/>
        </w:tabs>
        <w:spacing w:before="107"/>
        <w:ind w:left="375" w:hanging="215"/>
        <w:rPr>
          <w:rFonts w:ascii="Book Antiqua"/>
          <w:i/>
          <w:sz w:val="18"/>
        </w:rPr>
      </w:pPr>
      <w:r w:rsidRPr="00283806">
        <w:rPr>
          <w:rFonts w:ascii="Book Antiqua"/>
          <w:i/>
          <w:w w:val="110"/>
          <w:sz w:val="18"/>
        </w:rPr>
        <w:t>Paperwork</w:t>
      </w:r>
      <w:r w:rsidRPr="00283806">
        <w:rPr>
          <w:rFonts w:ascii="Book Antiqua"/>
          <w:i/>
          <w:spacing w:val="12"/>
          <w:w w:val="110"/>
          <w:sz w:val="18"/>
        </w:rPr>
        <w:t xml:space="preserve"> </w:t>
      </w:r>
      <w:r w:rsidRPr="00283806">
        <w:rPr>
          <w:rFonts w:ascii="Book Antiqua"/>
          <w:i/>
          <w:w w:val="110"/>
          <w:sz w:val="18"/>
        </w:rPr>
        <w:t>Reduction</w:t>
      </w:r>
      <w:r w:rsidRPr="00283806">
        <w:rPr>
          <w:rFonts w:ascii="Book Antiqua"/>
          <w:i/>
          <w:spacing w:val="13"/>
          <w:w w:val="110"/>
          <w:sz w:val="18"/>
        </w:rPr>
        <w:t xml:space="preserve"> </w:t>
      </w:r>
      <w:r w:rsidRPr="00283806">
        <w:rPr>
          <w:rFonts w:ascii="Book Antiqua"/>
          <w:i/>
          <w:w w:val="110"/>
          <w:sz w:val="18"/>
        </w:rPr>
        <w:t>Act</w:t>
      </w:r>
      <w:r w:rsidRPr="00283806">
        <w:rPr>
          <w:rFonts w:ascii="Book Antiqua"/>
          <w:i/>
          <w:spacing w:val="13"/>
          <w:w w:val="110"/>
          <w:sz w:val="18"/>
        </w:rPr>
        <w:t xml:space="preserve"> </w:t>
      </w:r>
      <w:r w:rsidRPr="00283806">
        <w:rPr>
          <w:rFonts w:ascii="Book Antiqua"/>
          <w:i/>
          <w:spacing w:val="-4"/>
          <w:w w:val="110"/>
          <w:sz w:val="18"/>
        </w:rPr>
        <w:t>(PRA)</w:t>
      </w:r>
    </w:p>
    <w:p w14:paraId="233871A4" w14:textId="77777777" w:rsidR="00D67C1E" w:rsidRPr="00283806" w:rsidRDefault="001265CA">
      <w:pPr>
        <w:pStyle w:val="BodyText"/>
        <w:spacing w:before="51" w:line="228" w:lineRule="auto"/>
        <w:ind w:right="67" w:firstLine="180"/>
      </w:pPr>
      <w:r w:rsidRPr="00283806">
        <w:rPr>
          <w:w w:val="105"/>
        </w:rPr>
        <w:t>The information collection activities</w:t>
      </w:r>
      <w:r w:rsidRPr="00283806">
        <w:rPr>
          <w:spacing w:val="40"/>
          <w:w w:val="105"/>
        </w:rPr>
        <w:t xml:space="preserve"> </w:t>
      </w:r>
      <w:r w:rsidRPr="00283806">
        <w:rPr>
          <w:w w:val="105"/>
        </w:rPr>
        <w:t>in this rule have been submitted for approval to the OMB under the PRA.</w:t>
      </w:r>
      <w:r w:rsidRPr="00283806">
        <w:rPr>
          <w:spacing w:val="80"/>
          <w:w w:val="105"/>
        </w:rPr>
        <w:t xml:space="preserve"> </w:t>
      </w:r>
      <w:r w:rsidRPr="00283806">
        <w:rPr>
          <w:w w:val="105"/>
        </w:rPr>
        <w:t>The ICR document that EPA prepared has been assigned EPA ICR number 2778.02. You can find a copy of the ICR in the docket for this rule, and it is</w:t>
      </w:r>
      <w:r w:rsidRPr="00283806">
        <w:rPr>
          <w:spacing w:val="40"/>
          <w:w w:val="105"/>
        </w:rPr>
        <w:t xml:space="preserve"> </w:t>
      </w:r>
      <w:r w:rsidRPr="00283806">
        <w:rPr>
          <w:w w:val="105"/>
        </w:rPr>
        <w:t xml:space="preserve">briefly summarized here. The information collection requirements are not enforceable until OMB approves </w:t>
      </w:r>
      <w:r w:rsidRPr="00283806">
        <w:rPr>
          <w:spacing w:val="-2"/>
          <w:w w:val="105"/>
        </w:rPr>
        <w:t>them.</w:t>
      </w:r>
    </w:p>
    <w:p w14:paraId="476C62F7" w14:textId="77777777" w:rsidR="00D67C1E" w:rsidRPr="00283806" w:rsidRDefault="001265CA">
      <w:pPr>
        <w:pStyle w:val="BodyText"/>
        <w:spacing w:line="172" w:lineRule="exact"/>
        <w:ind w:left="340"/>
      </w:pPr>
      <w:r w:rsidRPr="00283806">
        <w:t>Subsection</w:t>
      </w:r>
      <w:r w:rsidRPr="00283806">
        <w:rPr>
          <w:spacing w:val="30"/>
        </w:rPr>
        <w:t xml:space="preserve"> </w:t>
      </w:r>
      <w:r w:rsidRPr="00283806">
        <w:t>(k)(1)(C)</w:t>
      </w:r>
      <w:r w:rsidRPr="00283806">
        <w:rPr>
          <w:spacing w:val="31"/>
        </w:rPr>
        <w:t xml:space="preserve"> </w:t>
      </w:r>
      <w:r w:rsidRPr="00283806">
        <w:t>of</w:t>
      </w:r>
      <w:r w:rsidRPr="00283806">
        <w:rPr>
          <w:spacing w:val="31"/>
        </w:rPr>
        <w:t xml:space="preserve"> </w:t>
      </w:r>
      <w:r w:rsidRPr="00283806">
        <w:t>the</w:t>
      </w:r>
      <w:r w:rsidRPr="00283806">
        <w:rPr>
          <w:spacing w:val="30"/>
        </w:rPr>
        <w:t xml:space="preserve"> </w:t>
      </w:r>
      <w:r w:rsidRPr="00283806">
        <w:t>AIM</w:t>
      </w:r>
      <w:r w:rsidRPr="00283806">
        <w:rPr>
          <w:spacing w:val="31"/>
        </w:rPr>
        <w:t xml:space="preserve"> </w:t>
      </w:r>
      <w:r w:rsidRPr="00283806">
        <w:rPr>
          <w:spacing w:val="-5"/>
        </w:rPr>
        <w:t>Act</w:t>
      </w:r>
    </w:p>
    <w:p w14:paraId="241D7506" w14:textId="77777777" w:rsidR="00D67C1E" w:rsidRPr="00283806" w:rsidRDefault="001265CA">
      <w:pPr>
        <w:pStyle w:val="BodyText"/>
        <w:spacing w:before="3" w:line="228" w:lineRule="auto"/>
        <w:ind w:right="78"/>
      </w:pPr>
      <w:r w:rsidRPr="00283806">
        <w:rPr>
          <w:w w:val="105"/>
        </w:rPr>
        <w:t>states that section 114 of the CAA</w:t>
      </w:r>
      <w:r w:rsidRPr="00283806">
        <w:rPr>
          <w:spacing w:val="80"/>
          <w:w w:val="105"/>
        </w:rPr>
        <w:t xml:space="preserve"> </w:t>
      </w:r>
      <w:r w:rsidRPr="00283806">
        <w:rPr>
          <w:w w:val="105"/>
        </w:rPr>
        <w:t>applies to the AIM Act and rules promulgated under it as if the AIM Act were included in title VI of the CAA.</w:t>
      </w:r>
      <w:r w:rsidRPr="00283806">
        <w:rPr>
          <w:spacing w:val="40"/>
          <w:w w:val="105"/>
        </w:rPr>
        <w:t xml:space="preserve"> </w:t>
      </w:r>
      <w:r w:rsidRPr="00283806">
        <w:rPr>
          <w:w w:val="105"/>
        </w:rPr>
        <w:t>Thus, section 114 of the CAA, which provides authority to the EPA Administrator to require recordkeeping and reporting in carrying out provisions of the CAA, also applies to and supports this rulemaking.</w:t>
      </w:r>
    </w:p>
    <w:p w14:paraId="191F321C" w14:textId="77777777" w:rsidR="00D67C1E" w:rsidRPr="00283806" w:rsidRDefault="001265CA">
      <w:pPr>
        <w:pStyle w:val="BodyText"/>
        <w:spacing w:line="176" w:lineRule="exact"/>
        <w:ind w:left="340"/>
      </w:pPr>
      <w:r w:rsidRPr="00283806">
        <w:rPr>
          <w:w w:val="105"/>
        </w:rPr>
        <w:t>EPA</w:t>
      </w:r>
      <w:r w:rsidRPr="00283806">
        <w:rPr>
          <w:spacing w:val="16"/>
          <w:w w:val="105"/>
        </w:rPr>
        <w:t xml:space="preserve"> </w:t>
      </w:r>
      <w:r w:rsidRPr="00283806">
        <w:rPr>
          <w:w w:val="105"/>
        </w:rPr>
        <w:t>is</w:t>
      </w:r>
      <w:r w:rsidRPr="00283806">
        <w:rPr>
          <w:spacing w:val="17"/>
          <w:w w:val="105"/>
        </w:rPr>
        <w:t xml:space="preserve"> </w:t>
      </w:r>
      <w:r w:rsidRPr="00283806">
        <w:rPr>
          <w:w w:val="105"/>
        </w:rPr>
        <w:t>establishing</w:t>
      </w:r>
      <w:r w:rsidRPr="00283806">
        <w:rPr>
          <w:spacing w:val="17"/>
          <w:w w:val="105"/>
        </w:rPr>
        <w:t xml:space="preserve"> </w:t>
      </w:r>
      <w:r w:rsidRPr="00283806">
        <w:rPr>
          <w:w w:val="105"/>
        </w:rPr>
        <w:t>certain</w:t>
      </w:r>
      <w:r w:rsidRPr="00283806">
        <w:rPr>
          <w:spacing w:val="17"/>
          <w:w w:val="105"/>
        </w:rPr>
        <w:t xml:space="preserve"> </w:t>
      </w:r>
      <w:r w:rsidRPr="00283806">
        <w:rPr>
          <w:spacing w:val="-2"/>
          <w:w w:val="105"/>
        </w:rPr>
        <w:t>labeling</w:t>
      </w:r>
    </w:p>
    <w:p w14:paraId="5CD22839" w14:textId="77777777" w:rsidR="00D67C1E" w:rsidRPr="00283806" w:rsidRDefault="001265CA">
      <w:pPr>
        <w:pStyle w:val="BodyText"/>
        <w:spacing w:before="3" w:line="228" w:lineRule="auto"/>
      </w:pPr>
      <w:r w:rsidRPr="00283806">
        <w:rPr>
          <w:w w:val="105"/>
        </w:rPr>
        <w:t>requirements</w:t>
      </w:r>
      <w:r w:rsidRPr="00283806">
        <w:rPr>
          <w:spacing w:val="-1"/>
          <w:w w:val="105"/>
        </w:rPr>
        <w:t xml:space="preserve"> </w:t>
      </w:r>
      <w:r w:rsidRPr="00283806">
        <w:rPr>
          <w:w w:val="105"/>
        </w:rPr>
        <w:t>for</w:t>
      </w:r>
      <w:r w:rsidRPr="00283806">
        <w:rPr>
          <w:spacing w:val="-1"/>
          <w:w w:val="105"/>
        </w:rPr>
        <w:t xml:space="preserve"> </w:t>
      </w:r>
      <w:r w:rsidRPr="00283806">
        <w:rPr>
          <w:w w:val="105"/>
        </w:rPr>
        <w:t>containers</w:t>
      </w:r>
      <w:r w:rsidRPr="00283806">
        <w:rPr>
          <w:spacing w:val="-1"/>
          <w:w w:val="105"/>
        </w:rPr>
        <w:t xml:space="preserve"> </w:t>
      </w:r>
      <w:r w:rsidRPr="00283806">
        <w:rPr>
          <w:w w:val="105"/>
        </w:rPr>
        <w:t>of</w:t>
      </w:r>
      <w:r w:rsidRPr="00283806">
        <w:rPr>
          <w:spacing w:val="-1"/>
          <w:w w:val="105"/>
        </w:rPr>
        <w:t xml:space="preserve"> </w:t>
      </w:r>
      <w:r w:rsidRPr="00283806">
        <w:rPr>
          <w:w w:val="105"/>
        </w:rPr>
        <w:t>reclaimed HFCs. EPA is also establishing recordkeeping and reporting requirements for owners or operators of applicable refrigerant-containing appliances that contain HFCs or certain substitutes for HFCs to support compliance with the leak repair</w:t>
      </w:r>
    </w:p>
    <w:p w14:paraId="055DFA90" w14:textId="77777777" w:rsidR="00D67C1E" w:rsidRPr="00283806" w:rsidRDefault="001265CA">
      <w:pPr>
        <w:pStyle w:val="BodyText"/>
        <w:spacing w:before="110" w:line="228" w:lineRule="auto"/>
        <w:ind w:left="143"/>
      </w:pPr>
      <w:r w:rsidRPr="00283806">
        <w:br w:type="column"/>
      </w:r>
      <w:r w:rsidRPr="00283806">
        <w:rPr>
          <w:w w:val="105"/>
        </w:rPr>
        <w:t>provisions, as well as recordkeeping and reporting requirements for the fire suppression provisions for HFCs.</w:t>
      </w:r>
    </w:p>
    <w:p w14:paraId="0162105A" w14:textId="77777777" w:rsidR="00D67C1E" w:rsidRPr="00283806" w:rsidRDefault="001265CA">
      <w:pPr>
        <w:pStyle w:val="BodyText"/>
        <w:spacing w:line="228" w:lineRule="auto"/>
        <w:ind w:left="143" w:right="8"/>
      </w:pPr>
      <w:r w:rsidRPr="00283806">
        <w:rPr>
          <w:w w:val="105"/>
        </w:rPr>
        <w:t>Additionally, where ALD systems are required, EPA is establishing that</w:t>
      </w:r>
      <w:r w:rsidRPr="00283806">
        <w:rPr>
          <w:spacing w:val="80"/>
          <w:w w:val="105"/>
        </w:rPr>
        <w:t xml:space="preserve"> </w:t>
      </w:r>
      <w:r w:rsidRPr="00283806">
        <w:rPr>
          <w:w w:val="105"/>
        </w:rPr>
        <w:t>owners or operators maintain records regarding the annual calibration or audit of the system.</w:t>
      </w:r>
    </w:p>
    <w:p w14:paraId="2A19FC5A" w14:textId="77777777" w:rsidR="00D67C1E" w:rsidRPr="00283806" w:rsidRDefault="001265CA">
      <w:pPr>
        <w:pStyle w:val="BodyText"/>
        <w:spacing w:before="8" w:line="225" w:lineRule="auto"/>
        <w:ind w:left="143" w:right="74" w:firstLine="180"/>
      </w:pPr>
      <w:r w:rsidRPr="00283806">
        <w:rPr>
          <w:rFonts w:ascii="Book Antiqua"/>
          <w:i/>
          <w:w w:val="105"/>
        </w:rPr>
        <w:t>Respondents/affected entities:</w:t>
      </w:r>
      <w:r w:rsidRPr="00283806">
        <w:rPr>
          <w:rFonts w:ascii="Book Antiqua"/>
          <w:i/>
          <w:spacing w:val="80"/>
          <w:w w:val="105"/>
        </w:rPr>
        <w:t xml:space="preserve"> </w:t>
      </w:r>
      <w:r w:rsidRPr="00283806">
        <w:rPr>
          <w:w w:val="105"/>
        </w:rPr>
        <w:t>Respondents and affected entities will</w:t>
      </w:r>
      <w:r w:rsidRPr="00283806">
        <w:rPr>
          <w:spacing w:val="80"/>
          <w:w w:val="150"/>
        </w:rPr>
        <w:t xml:space="preserve"> </w:t>
      </w:r>
      <w:r w:rsidRPr="00283806">
        <w:rPr>
          <w:w w:val="105"/>
        </w:rPr>
        <w:t>be individuals or companies that own, operate, service, repair, recycle, dispose, or install equipment containing HFCs or their substitutes addressed by this final rule,</w:t>
      </w:r>
      <w:r w:rsidRPr="00283806">
        <w:rPr>
          <w:spacing w:val="40"/>
          <w:w w:val="105"/>
        </w:rPr>
        <w:t xml:space="preserve"> </w:t>
      </w:r>
      <w:r w:rsidRPr="00283806">
        <w:rPr>
          <w:w w:val="105"/>
        </w:rPr>
        <w:t>as</w:t>
      </w:r>
      <w:r w:rsidRPr="00283806">
        <w:rPr>
          <w:spacing w:val="40"/>
          <w:w w:val="105"/>
        </w:rPr>
        <w:t xml:space="preserve"> </w:t>
      </w:r>
      <w:r w:rsidRPr="00283806">
        <w:rPr>
          <w:w w:val="105"/>
        </w:rPr>
        <w:t>well</w:t>
      </w:r>
      <w:r w:rsidRPr="00283806">
        <w:rPr>
          <w:spacing w:val="40"/>
          <w:w w:val="105"/>
        </w:rPr>
        <w:t xml:space="preserve"> </w:t>
      </w:r>
      <w:r w:rsidRPr="00283806">
        <w:rPr>
          <w:w w:val="105"/>
        </w:rPr>
        <w:t>as</w:t>
      </w:r>
      <w:r w:rsidRPr="00283806">
        <w:rPr>
          <w:spacing w:val="40"/>
          <w:w w:val="105"/>
        </w:rPr>
        <w:t xml:space="preserve"> </w:t>
      </w:r>
      <w:r w:rsidRPr="00283806">
        <w:rPr>
          <w:w w:val="105"/>
        </w:rPr>
        <w:t>individuals</w:t>
      </w:r>
      <w:r w:rsidRPr="00283806">
        <w:rPr>
          <w:spacing w:val="40"/>
          <w:w w:val="105"/>
        </w:rPr>
        <w:t xml:space="preserve"> </w:t>
      </w:r>
      <w:r w:rsidRPr="00283806">
        <w:rPr>
          <w:w w:val="105"/>
        </w:rPr>
        <w:t>or companies that recover, recycle, or reclaim HFCs or such substitutes.</w:t>
      </w:r>
    </w:p>
    <w:p w14:paraId="41F2D041" w14:textId="77777777" w:rsidR="00D67C1E" w:rsidRPr="00283806" w:rsidRDefault="001265CA">
      <w:pPr>
        <w:spacing w:before="18" w:line="220" w:lineRule="auto"/>
        <w:ind w:left="143" w:right="62" w:firstLine="180"/>
        <w:rPr>
          <w:sz w:val="18"/>
        </w:rPr>
      </w:pPr>
      <w:r w:rsidRPr="00283806">
        <w:rPr>
          <w:rFonts w:ascii="Book Antiqua" w:hAnsi="Book Antiqua"/>
          <w:i/>
          <w:w w:val="115"/>
          <w:sz w:val="18"/>
        </w:rPr>
        <w:t xml:space="preserve">Respondent’s obligation to respond: </w:t>
      </w:r>
      <w:r w:rsidRPr="00283806">
        <w:rPr>
          <w:w w:val="110"/>
          <w:sz w:val="18"/>
        </w:rPr>
        <w:t>Mandatory</w:t>
      </w:r>
      <w:r w:rsidRPr="00283806">
        <w:rPr>
          <w:spacing w:val="-11"/>
          <w:w w:val="110"/>
          <w:sz w:val="18"/>
        </w:rPr>
        <w:t xml:space="preserve"> </w:t>
      </w:r>
      <w:r w:rsidRPr="00283806">
        <w:rPr>
          <w:w w:val="110"/>
          <w:sz w:val="18"/>
        </w:rPr>
        <w:t>(AIM</w:t>
      </w:r>
      <w:r w:rsidRPr="00283806">
        <w:rPr>
          <w:spacing w:val="-11"/>
          <w:w w:val="110"/>
          <w:sz w:val="18"/>
        </w:rPr>
        <w:t xml:space="preserve"> </w:t>
      </w:r>
      <w:r w:rsidRPr="00283806">
        <w:rPr>
          <w:w w:val="110"/>
          <w:sz w:val="18"/>
        </w:rPr>
        <w:t>Act</w:t>
      </w:r>
      <w:r w:rsidRPr="00283806">
        <w:rPr>
          <w:spacing w:val="-11"/>
          <w:w w:val="110"/>
          <w:sz w:val="18"/>
        </w:rPr>
        <w:t xml:space="preserve"> </w:t>
      </w:r>
      <w:r w:rsidRPr="00283806">
        <w:rPr>
          <w:w w:val="110"/>
          <w:sz w:val="18"/>
        </w:rPr>
        <w:t>and</w:t>
      </w:r>
      <w:r w:rsidRPr="00283806">
        <w:rPr>
          <w:spacing w:val="-11"/>
          <w:w w:val="110"/>
          <w:sz w:val="18"/>
        </w:rPr>
        <w:t xml:space="preserve"> </w:t>
      </w:r>
      <w:r w:rsidRPr="00283806">
        <w:rPr>
          <w:w w:val="110"/>
          <w:sz w:val="18"/>
        </w:rPr>
        <w:t>section</w:t>
      </w:r>
      <w:r w:rsidRPr="00283806">
        <w:rPr>
          <w:spacing w:val="-11"/>
          <w:w w:val="110"/>
          <w:sz w:val="18"/>
        </w:rPr>
        <w:t xml:space="preserve"> </w:t>
      </w:r>
      <w:r w:rsidRPr="00283806">
        <w:rPr>
          <w:w w:val="110"/>
          <w:sz w:val="18"/>
        </w:rPr>
        <w:t>114</w:t>
      </w:r>
      <w:r w:rsidRPr="00283806">
        <w:rPr>
          <w:spacing w:val="-11"/>
          <w:w w:val="110"/>
          <w:sz w:val="18"/>
        </w:rPr>
        <w:t xml:space="preserve"> </w:t>
      </w:r>
      <w:r w:rsidRPr="00283806">
        <w:rPr>
          <w:w w:val="110"/>
          <w:sz w:val="18"/>
        </w:rPr>
        <w:t xml:space="preserve">of </w:t>
      </w:r>
      <w:r w:rsidRPr="00283806">
        <w:rPr>
          <w:w w:val="115"/>
          <w:sz w:val="18"/>
        </w:rPr>
        <w:t>the CAA).</w:t>
      </w:r>
    </w:p>
    <w:p w14:paraId="1B2C1E80" w14:textId="77777777" w:rsidR="00D67C1E" w:rsidRPr="00283806" w:rsidRDefault="001265CA">
      <w:pPr>
        <w:spacing w:before="3" w:line="206" w:lineRule="exact"/>
        <w:ind w:left="323"/>
        <w:rPr>
          <w:rFonts w:ascii="Book Antiqua"/>
          <w:i/>
          <w:sz w:val="18"/>
        </w:rPr>
      </w:pPr>
      <w:r w:rsidRPr="00283806">
        <w:rPr>
          <w:rFonts w:ascii="Book Antiqua"/>
          <w:i/>
          <w:w w:val="115"/>
          <w:sz w:val="18"/>
        </w:rPr>
        <w:t>Estimated</w:t>
      </w:r>
      <w:r w:rsidRPr="00283806">
        <w:rPr>
          <w:rFonts w:ascii="Book Antiqua"/>
          <w:i/>
          <w:spacing w:val="-8"/>
          <w:w w:val="115"/>
          <w:sz w:val="18"/>
        </w:rPr>
        <w:t xml:space="preserve"> </w:t>
      </w:r>
      <w:r w:rsidRPr="00283806">
        <w:rPr>
          <w:rFonts w:ascii="Book Antiqua"/>
          <w:i/>
          <w:w w:val="115"/>
          <w:sz w:val="18"/>
        </w:rPr>
        <w:t>number</w:t>
      </w:r>
      <w:r w:rsidRPr="00283806">
        <w:rPr>
          <w:rFonts w:ascii="Book Antiqua"/>
          <w:i/>
          <w:spacing w:val="-8"/>
          <w:w w:val="115"/>
          <w:sz w:val="18"/>
        </w:rPr>
        <w:t xml:space="preserve"> </w:t>
      </w:r>
      <w:r w:rsidRPr="00283806">
        <w:rPr>
          <w:rFonts w:ascii="Book Antiqua"/>
          <w:i/>
          <w:w w:val="115"/>
          <w:sz w:val="18"/>
        </w:rPr>
        <w:t>of</w:t>
      </w:r>
      <w:r w:rsidRPr="00283806">
        <w:rPr>
          <w:rFonts w:ascii="Book Antiqua"/>
          <w:i/>
          <w:spacing w:val="-8"/>
          <w:w w:val="115"/>
          <w:sz w:val="18"/>
        </w:rPr>
        <w:t xml:space="preserve"> </w:t>
      </w:r>
      <w:r w:rsidRPr="00283806">
        <w:rPr>
          <w:rFonts w:ascii="Book Antiqua"/>
          <w:i/>
          <w:spacing w:val="-2"/>
          <w:w w:val="115"/>
          <w:sz w:val="18"/>
        </w:rPr>
        <w:t>respondents:</w:t>
      </w:r>
    </w:p>
    <w:p w14:paraId="069ADE3C" w14:textId="77777777" w:rsidR="00D67C1E" w:rsidRPr="00283806" w:rsidRDefault="001265CA">
      <w:pPr>
        <w:pStyle w:val="BodyText"/>
        <w:spacing w:line="197" w:lineRule="exact"/>
        <w:ind w:left="143"/>
      </w:pPr>
      <w:r w:rsidRPr="00283806">
        <w:rPr>
          <w:spacing w:val="-2"/>
          <w:w w:val="105"/>
        </w:rPr>
        <w:t>781,563.</w:t>
      </w:r>
    </w:p>
    <w:p w14:paraId="7E4C4D14" w14:textId="77777777" w:rsidR="00D67C1E" w:rsidRPr="00283806" w:rsidRDefault="001265CA">
      <w:pPr>
        <w:spacing w:before="10" w:line="220" w:lineRule="auto"/>
        <w:ind w:left="143" w:right="62" w:firstLine="180"/>
        <w:rPr>
          <w:sz w:val="18"/>
        </w:rPr>
      </w:pPr>
      <w:r w:rsidRPr="00283806">
        <w:rPr>
          <w:rFonts w:ascii="Book Antiqua"/>
          <w:i/>
          <w:w w:val="105"/>
          <w:sz w:val="18"/>
        </w:rPr>
        <w:t xml:space="preserve">Frequency of response: </w:t>
      </w:r>
      <w:r w:rsidRPr="00283806">
        <w:rPr>
          <w:w w:val="105"/>
          <w:sz w:val="18"/>
        </w:rPr>
        <w:t>Quarterly, annually, and as needed depending on the nature of the report.</w:t>
      </w:r>
    </w:p>
    <w:p w14:paraId="5035FBB0" w14:textId="77777777" w:rsidR="00D67C1E" w:rsidRPr="00283806" w:rsidRDefault="001265CA">
      <w:pPr>
        <w:spacing w:before="11" w:line="220" w:lineRule="auto"/>
        <w:ind w:left="143" w:right="119" w:firstLine="180"/>
        <w:rPr>
          <w:sz w:val="18"/>
        </w:rPr>
      </w:pPr>
      <w:r w:rsidRPr="00283806">
        <w:rPr>
          <w:rFonts w:ascii="Book Antiqua"/>
          <w:i/>
          <w:w w:val="105"/>
          <w:sz w:val="18"/>
        </w:rPr>
        <w:t xml:space="preserve">Total estimated burden: </w:t>
      </w:r>
      <w:r w:rsidRPr="00283806">
        <w:rPr>
          <w:w w:val="105"/>
          <w:sz w:val="18"/>
        </w:rPr>
        <w:t>222,268</w:t>
      </w:r>
      <w:r w:rsidRPr="00283806">
        <w:rPr>
          <w:spacing w:val="80"/>
          <w:w w:val="105"/>
          <w:sz w:val="18"/>
        </w:rPr>
        <w:t xml:space="preserve"> </w:t>
      </w:r>
      <w:r w:rsidRPr="00283806">
        <w:rPr>
          <w:w w:val="105"/>
          <w:sz w:val="18"/>
        </w:rPr>
        <w:t>hours (per year). Burden is defined at 5 CFR 1320.3(b).</w:t>
      </w:r>
    </w:p>
    <w:p w14:paraId="42057FDB" w14:textId="77777777" w:rsidR="00D67C1E" w:rsidRPr="00283806" w:rsidRDefault="001265CA">
      <w:pPr>
        <w:pStyle w:val="BodyText"/>
        <w:spacing w:before="10" w:line="223" w:lineRule="auto"/>
        <w:ind w:left="143" w:right="62" w:firstLine="180"/>
      </w:pPr>
      <w:r w:rsidRPr="00283806">
        <w:rPr>
          <w:rFonts w:ascii="Book Antiqua"/>
          <w:i/>
          <w:w w:val="105"/>
        </w:rPr>
        <w:t xml:space="preserve">Total estimated cost: </w:t>
      </w:r>
      <w:r w:rsidRPr="00283806">
        <w:rPr>
          <w:w w:val="105"/>
        </w:rPr>
        <w:t>$17,069,893 (per year), includes $0 annualized capital or operation &amp; maintenance costs. This includes $2,131,844 avoided per year</w:t>
      </w:r>
    </w:p>
    <w:p w14:paraId="6806C421" w14:textId="77777777" w:rsidR="00D67C1E" w:rsidRPr="00283806" w:rsidRDefault="001265CA">
      <w:pPr>
        <w:pStyle w:val="BodyText"/>
        <w:spacing w:before="109" w:line="228" w:lineRule="auto"/>
        <w:ind w:left="144" w:right="210"/>
      </w:pPr>
      <w:r w:rsidRPr="00283806">
        <w:br w:type="column"/>
      </w:r>
      <w:r w:rsidRPr="00283806">
        <w:rPr>
          <w:w w:val="105"/>
        </w:rPr>
        <w:t>for reclamation reporting and recordkeeping related to the RCRA alternative standards.</w:t>
      </w:r>
    </w:p>
    <w:p w14:paraId="669F2271" w14:textId="77777777" w:rsidR="00D67C1E" w:rsidRPr="00283806" w:rsidRDefault="001265CA">
      <w:pPr>
        <w:pStyle w:val="BodyText"/>
        <w:spacing w:before="23" w:line="228" w:lineRule="auto"/>
        <w:ind w:left="144" w:right="169" w:firstLine="180"/>
      </w:pPr>
      <w:r w:rsidRPr="00283806">
        <w:rPr>
          <w:w w:val="105"/>
        </w:rPr>
        <w:t>An agency may not conduct or</w:t>
      </w:r>
      <w:r w:rsidRPr="00283806">
        <w:rPr>
          <w:spacing w:val="80"/>
          <w:w w:val="105"/>
        </w:rPr>
        <w:t xml:space="preserve"> </w:t>
      </w:r>
      <w:r w:rsidRPr="00283806">
        <w:rPr>
          <w:w w:val="105"/>
        </w:rPr>
        <w:t xml:space="preserve">sponsor, and a person is not required to respond </w:t>
      </w:r>
      <w:proofErr w:type="gramStart"/>
      <w:r w:rsidRPr="00283806">
        <w:rPr>
          <w:w w:val="105"/>
        </w:rPr>
        <w:t>to,</w:t>
      </w:r>
      <w:proofErr w:type="gramEnd"/>
      <w:r w:rsidRPr="00283806">
        <w:rPr>
          <w:w w:val="105"/>
        </w:rPr>
        <w:t xml:space="preserve"> a collection of information unless it displays a currently valid OMB control number. The OMB control numbers for EPA’s regulations in title 40 of the CFR are listed in 40 CFR part 9.</w:t>
      </w:r>
    </w:p>
    <w:p w14:paraId="01F93DF1" w14:textId="77777777" w:rsidR="00D67C1E" w:rsidRPr="00283806" w:rsidRDefault="001265CA">
      <w:pPr>
        <w:pStyle w:val="BodyText"/>
        <w:spacing w:line="225" w:lineRule="auto"/>
        <w:ind w:left="144" w:right="251"/>
      </w:pPr>
      <w:r w:rsidRPr="00283806">
        <w:rPr>
          <w:w w:val="105"/>
        </w:rPr>
        <w:t xml:space="preserve">When OMB approves this ICR, the Agency will announce that approval in the </w:t>
      </w:r>
      <w:r w:rsidRPr="00283806">
        <w:rPr>
          <w:rFonts w:ascii="Book Antiqua"/>
          <w:b/>
          <w:w w:val="105"/>
        </w:rPr>
        <w:t xml:space="preserve">Federal Register </w:t>
      </w:r>
      <w:r w:rsidRPr="00283806">
        <w:rPr>
          <w:w w:val="105"/>
        </w:rPr>
        <w:t>and publish a technical amendment to 40 CFR part 9 to display the OMB control number for the approved information collection activities contained in this final rule.</w:t>
      </w:r>
    </w:p>
    <w:p w14:paraId="51CA07D0" w14:textId="77777777" w:rsidR="00D67C1E" w:rsidRPr="00283806" w:rsidRDefault="001265CA">
      <w:pPr>
        <w:pStyle w:val="ListParagraph"/>
        <w:numPr>
          <w:ilvl w:val="1"/>
          <w:numId w:val="64"/>
        </w:numPr>
        <w:tabs>
          <w:tab w:val="left" w:pos="363"/>
        </w:tabs>
        <w:spacing w:before="96"/>
        <w:ind w:left="363" w:hanging="219"/>
        <w:rPr>
          <w:rFonts w:ascii="Book Antiqua"/>
          <w:i/>
          <w:sz w:val="18"/>
        </w:rPr>
      </w:pPr>
      <w:r w:rsidRPr="00283806">
        <w:rPr>
          <w:rFonts w:ascii="Book Antiqua"/>
          <w:i/>
          <w:w w:val="110"/>
          <w:sz w:val="18"/>
        </w:rPr>
        <w:t xml:space="preserve">Regulatory Flexibility Act </w:t>
      </w:r>
      <w:r w:rsidRPr="00283806">
        <w:rPr>
          <w:rFonts w:ascii="Book Antiqua"/>
          <w:i/>
          <w:spacing w:val="-2"/>
          <w:w w:val="110"/>
          <w:sz w:val="18"/>
        </w:rPr>
        <w:t>(RFA)</w:t>
      </w:r>
    </w:p>
    <w:p w14:paraId="4E9A986C" w14:textId="77777777" w:rsidR="00D67C1E" w:rsidRPr="00283806" w:rsidRDefault="001265CA">
      <w:pPr>
        <w:pStyle w:val="BodyText"/>
        <w:spacing w:before="93" w:line="225" w:lineRule="auto"/>
        <w:ind w:left="144" w:right="221" w:firstLine="180"/>
      </w:pPr>
      <w:r w:rsidRPr="00283806">
        <w:rPr>
          <w:w w:val="105"/>
        </w:rPr>
        <w:t>I certify that this action will not have</w:t>
      </w:r>
      <w:r w:rsidRPr="00283806">
        <w:rPr>
          <w:spacing w:val="40"/>
          <w:w w:val="105"/>
        </w:rPr>
        <w:t xml:space="preserve"> </w:t>
      </w:r>
      <w:r w:rsidRPr="00283806">
        <w:rPr>
          <w:w w:val="105"/>
        </w:rPr>
        <w:t>a significant economic impact on a substantial number of small entities (SISNOSE) under the RFA. The small entities subject to the requirements of this action include those that may use</w:t>
      </w:r>
      <w:r w:rsidRPr="00283806">
        <w:rPr>
          <w:spacing w:val="80"/>
          <w:w w:val="105"/>
        </w:rPr>
        <w:t xml:space="preserve"> </w:t>
      </w:r>
      <w:r w:rsidRPr="00283806">
        <w:rPr>
          <w:w w:val="105"/>
        </w:rPr>
        <w:t>as refrigerant, use as a fire suppression agent, reclaim, or recycle HFCs. EPA estimates that approximately 493 of the 767,568 potentially affected small entities (</w:t>
      </w:r>
      <w:r w:rsidRPr="00283806">
        <w:rPr>
          <w:rFonts w:ascii="Symbol" w:hAnsi="Symbol"/>
          <w:w w:val="105"/>
        </w:rPr>
        <w:t></w:t>
      </w:r>
      <w:r w:rsidRPr="00283806">
        <w:rPr>
          <w:w w:val="105"/>
        </w:rPr>
        <w:t xml:space="preserve">0.06%) could incur costs </w:t>
      </w:r>
      <w:proofErr w:type="gramStart"/>
      <w:r w:rsidRPr="00283806">
        <w:rPr>
          <w:w w:val="105"/>
        </w:rPr>
        <w:t>in excess of</w:t>
      </w:r>
      <w:proofErr w:type="gramEnd"/>
      <w:r w:rsidRPr="00283806">
        <w:rPr>
          <w:w w:val="105"/>
        </w:rPr>
        <w:t xml:space="preserve"> one percent of annual sales/ revenue and that approximately 12</w:t>
      </w:r>
    </w:p>
    <w:p w14:paraId="1BD63A42" w14:textId="77777777" w:rsidR="00D67C1E" w:rsidRPr="00283806" w:rsidRDefault="00D67C1E">
      <w:pPr>
        <w:spacing w:line="225" w:lineRule="auto"/>
        <w:sectPr w:rsidR="00D67C1E" w:rsidRPr="00283806">
          <w:type w:val="continuous"/>
          <w:pgSz w:w="12240" w:h="15840"/>
          <w:pgMar w:top="880" w:right="780" w:bottom="280" w:left="740" w:header="627" w:footer="0" w:gutter="0"/>
          <w:cols w:num="3" w:space="720" w:equalWidth="0">
            <w:col w:w="3517" w:space="40"/>
            <w:col w:w="3500" w:space="39"/>
            <w:col w:w="3624"/>
          </w:cols>
        </w:sectPr>
      </w:pPr>
    </w:p>
    <w:p w14:paraId="0485B359" w14:textId="77777777" w:rsidR="00D67C1E" w:rsidRPr="00283806" w:rsidRDefault="001265CA">
      <w:pPr>
        <w:pStyle w:val="BodyText"/>
        <w:spacing w:before="134" w:line="228" w:lineRule="auto"/>
        <w:ind w:right="131"/>
      </w:pPr>
      <w:r w:rsidRPr="00283806">
        <w:rPr>
          <w:w w:val="105"/>
        </w:rPr>
        <w:lastRenderedPageBreak/>
        <w:t>small entities (&lt;0.01%) could incur</w:t>
      </w:r>
      <w:r w:rsidRPr="00283806">
        <w:rPr>
          <w:spacing w:val="40"/>
          <w:w w:val="105"/>
        </w:rPr>
        <w:t xml:space="preserve"> </w:t>
      </w:r>
      <w:r w:rsidRPr="00283806">
        <w:rPr>
          <w:w w:val="105"/>
        </w:rPr>
        <w:t xml:space="preserve">costs </w:t>
      </w:r>
      <w:proofErr w:type="gramStart"/>
      <w:r w:rsidRPr="00283806">
        <w:rPr>
          <w:w w:val="105"/>
        </w:rPr>
        <w:t>in excess of</w:t>
      </w:r>
      <w:proofErr w:type="gramEnd"/>
      <w:r w:rsidRPr="00283806">
        <w:rPr>
          <w:w w:val="105"/>
        </w:rPr>
        <w:t xml:space="preserve"> three percent of</w:t>
      </w:r>
      <w:r w:rsidRPr="00283806">
        <w:rPr>
          <w:spacing w:val="40"/>
          <w:w w:val="105"/>
        </w:rPr>
        <w:t xml:space="preserve"> </w:t>
      </w:r>
      <w:r w:rsidRPr="00283806">
        <w:rPr>
          <w:w w:val="105"/>
        </w:rPr>
        <w:t>annual sales/revenue. Because there is not a substantial number of small entities that may experience a</w:t>
      </w:r>
      <w:r w:rsidRPr="00283806">
        <w:rPr>
          <w:spacing w:val="40"/>
          <w:w w:val="105"/>
        </w:rPr>
        <w:t xml:space="preserve"> </w:t>
      </w:r>
      <w:r w:rsidRPr="00283806">
        <w:rPr>
          <w:w w:val="105"/>
        </w:rPr>
        <w:t>significant impact, it can be presumed that this action will have no SISNOSE. Details of this analysis are presented in the Economic Impact and Benefits TSD. (Docket</w:t>
      </w:r>
      <w:r w:rsidRPr="00283806">
        <w:rPr>
          <w:spacing w:val="2"/>
          <w:w w:val="105"/>
        </w:rPr>
        <w:t xml:space="preserve"> </w:t>
      </w:r>
      <w:r w:rsidRPr="00283806">
        <w:rPr>
          <w:w w:val="105"/>
        </w:rPr>
        <w:t>ID</w:t>
      </w:r>
      <w:r w:rsidRPr="00283806">
        <w:rPr>
          <w:spacing w:val="3"/>
          <w:w w:val="105"/>
        </w:rPr>
        <w:t xml:space="preserve"> </w:t>
      </w:r>
      <w:r w:rsidRPr="00283806">
        <w:rPr>
          <w:spacing w:val="-2"/>
          <w:w w:val="105"/>
        </w:rPr>
        <w:t>EPA–HQ–OAR–2022–0606).</w:t>
      </w:r>
    </w:p>
    <w:p w14:paraId="183E07BF" w14:textId="77777777" w:rsidR="00D67C1E" w:rsidRPr="00283806" w:rsidRDefault="001265CA">
      <w:pPr>
        <w:pStyle w:val="ListParagraph"/>
        <w:numPr>
          <w:ilvl w:val="1"/>
          <w:numId w:val="64"/>
        </w:numPr>
        <w:tabs>
          <w:tab w:val="left" w:pos="389"/>
        </w:tabs>
        <w:spacing w:before="100" w:line="220" w:lineRule="auto"/>
        <w:ind w:right="441" w:firstLine="0"/>
        <w:rPr>
          <w:rFonts w:ascii="Book Antiqua"/>
          <w:i/>
          <w:sz w:val="18"/>
        </w:rPr>
      </w:pPr>
      <w:r w:rsidRPr="00283806">
        <w:rPr>
          <w:rFonts w:ascii="Book Antiqua"/>
          <w:i/>
          <w:w w:val="110"/>
          <w:sz w:val="18"/>
        </w:rPr>
        <w:t xml:space="preserve">Unfunded Mandates Reform Act </w:t>
      </w:r>
      <w:r w:rsidRPr="00283806">
        <w:rPr>
          <w:rFonts w:ascii="Book Antiqua"/>
          <w:i/>
          <w:spacing w:val="-2"/>
          <w:w w:val="110"/>
          <w:sz w:val="18"/>
        </w:rPr>
        <w:t>(UMRA)</w:t>
      </w:r>
    </w:p>
    <w:p w14:paraId="1EBBD686" w14:textId="77777777" w:rsidR="00D67C1E" w:rsidRPr="00283806" w:rsidRDefault="001265CA">
      <w:pPr>
        <w:pStyle w:val="BodyText"/>
        <w:spacing w:before="56" w:line="228" w:lineRule="auto"/>
        <w:ind w:firstLine="180"/>
      </w:pPr>
      <w:r w:rsidRPr="00283806">
        <w:rPr>
          <w:w w:val="105"/>
        </w:rPr>
        <w:t>This action does not contain an unfunded mandate of $100 million or more as described in UMRA, 2 U.S.C. 1531–1538, and does not significantly or uniquely affect small governments.</w:t>
      </w:r>
    </w:p>
    <w:p w14:paraId="272185A2" w14:textId="77777777" w:rsidR="00D67C1E" w:rsidRPr="00283806" w:rsidRDefault="001265CA">
      <w:pPr>
        <w:pStyle w:val="ListParagraph"/>
        <w:numPr>
          <w:ilvl w:val="1"/>
          <w:numId w:val="64"/>
        </w:numPr>
        <w:tabs>
          <w:tab w:val="left" w:pos="369"/>
        </w:tabs>
        <w:spacing w:before="89"/>
        <w:ind w:left="369" w:hanging="209"/>
        <w:rPr>
          <w:rFonts w:ascii="Book Antiqua"/>
          <w:i/>
          <w:sz w:val="18"/>
        </w:rPr>
      </w:pPr>
      <w:r w:rsidRPr="00283806">
        <w:rPr>
          <w:rFonts w:ascii="Book Antiqua"/>
          <w:i/>
          <w:w w:val="110"/>
          <w:sz w:val="18"/>
        </w:rPr>
        <w:t>Executive</w:t>
      </w:r>
      <w:r w:rsidRPr="00283806">
        <w:rPr>
          <w:rFonts w:ascii="Book Antiqua"/>
          <w:i/>
          <w:spacing w:val="4"/>
          <w:w w:val="110"/>
          <w:sz w:val="18"/>
        </w:rPr>
        <w:t xml:space="preserve"> </w:t>
      </w:r>
      <w:r w:rsidRPr="00283806">
        <w:rPr>
          <w:rFonts w:ascii="Book Antiqua"/>
          <w:i/>
          <w:w w:val="110"/>
          <w:sz w:val="18"/>
        </w:rPr>
        <w:t>Order</w:t>
      </w:r>
      <w:r w:rsidRPr="00283806">
        <w:rPr>
          <w:rFonts w:ascii="Book Antiqua"/>
          <w:i/>
          <w:spacing w:val="4"/>
          <w:w w:val="110"/>
          <w:sz w:val="18"/>
        </w:rPr>
        <w:t xml:space="preserve"> </w:t>
      </w:r>
      <w:r w:rsidRPr="00283806">
        <w:rPr>
          <w:rFonts w:ascii="Book Antiqua"/>
          <w:i/>
          <w:w w:val="110"/>
          <w:sz w:val="18"/>
        </w:rPr>
        <w:t>13132:</w:t>
      </w:r>
      <w:r w:rsidRPr="00283806">
        <w:rPr>
          <w:rFonts w:ascii="Book Antiqua"/>
          <w:i/>
          <w:spacing w:val="5"/>
          <w:w w:val="110"/>
          <w:sz w:val="18"/>
        </w:rPr>
        <w:t xml:space="preserve"> </w:t>
      </w:r>
      <w:r w:rsidRPr="00283806">
        <w:rPr>
          <w:rFonts w:ascii="Book Antiqua"/>
          <w:i/>
          <w:spacing w:val="-2"/>
          <w:w w:val="110"/>
          <w:sz w:val="18"/>
        </w:rPr>
        <w:t>Federalism</w:t>
      </w:r>
    </w:p>
    <w:p w14:paraId="4C105F1C" w14:textId="77777777" w:rsidR="00D67C1E" w:rsidRPr="00283806" w:rsidRDefault="001265CA">
      <w:pPr>
        <w:pStyle w:val="BodyText"/>
        <w:spacing w:before="51" w:line="228" w:lineRule="auto"/>
        <w:ind w:right="78" w:firstLine="180"/>
      </w:pPr>
      <w:r w:rsidRPr="00283806">
        <w:rPr>
          <w:w w:val="105"/>
        </w:rPr>
        <w:t>This action does not have federalism implications. It will not have substantial direct effects on the States, on the relationship between the national government and the States, or on the distribution of power and</w:t>
      </w:r>
      <w:r w:rsidRPr="00283806">
        <w:rPr>
          <w:spacing w:val="40"/>
          <w:w w:val="105"/>
        </w:rPr>
        <w:t xml:space="preserve"> </w:t>
      </w:r>
      <w:r w:rsidRPr="00283806">
        <w:rPr>
          <w:w w:val="105"/>
        </w:rPr>
        <w:t>responsibilities</w:t>
      </w:r>
      <w:r w:rsidRPr="00283806">
        <w:rPr>
          <w:spacing w:val="40"/>
          <w:w w:val="105"/>
        </w:rPr>
        <w:t xml:space="preserve"> </w:t>
      </w:r>
      <w:r w:rsidRPr="00283806">
        <w:rPr>
          <w:w w:val="105"/>
        </w:rPr>
        <w:t>among</w:t>
      </w:r>
      <w:r w:rsidRPr="00283806">
        <w:rPr>
          <w:spacing w:val="40"/>
          <w:w w:val="105"/>
        </w:rPr>
        <w:t xml:space="preserve"> </w:t>
      </w:r>
      <w:r w:rsidRPr="00283806">
        <w:rPr>
          <w:w w:val="105"/>
        </w:rPr>
        <w:t>the</w:t>
      </w:r>
      <w:r w:rsidRPr="00283806">
        <w:rPr>
          <w:spacing w:val="40"/>
          <w:w w:val="105"/>
        </w:rPr>
        <w:t xml:space="preserve"> </w:t>
      </w:r>
      <w:r w:rsidRPr="00283806">
        <w:rPr>
          <w:w w:val="105"/>
        </w:rPr>
        <w:t>various levels of government.</w:t>
      </w:r>
    </w:p>
    <w:p w14:paraId="2B1D850C" w14:textId="77777777" w:rsidR="00D67C1E" w:rsidRPr="00283806" w:rsidRDefault="001265CA">
      <w:pPr>
        <w:pStyle w:val="ListParagraph"/>
        <w:numPr>
          <w:ilvl w:val="1"/>
          <w:numId w:val="64"/>
        </w:numPr>
        <w:tabs>
          <w:tab w:val="left" w:pos="365"/>
        </w:tabs>
        <w:spacing w:before="102" w:line="220" w:lineRule="auto"/>
        <w:ind w:right="106" w:firstLine="0"/>
        <w:rPr>
          <w:rFonts w:ascii="Book Antiqua"/>
          <w:i/>
          <w:sz w:val="18"/>
        </w:rPr>
      </w:pPr>
      <w:r w:rsidRPr="00283806">
        <w:rPr>
          <w:rFonts w:ascii="Book Antiqua"/>
          <w:i/>
          <w:w w:val="110"/>
          <w:sz w:val="18"/>
        </w:rPr>
        <w:t>Executive</w:t>
      </w:r>
      <w:r w:rsidRPr="00283806">
        <w:rPr>
          <w:rFonts w:ascii="Book Antiqua"/>
          <w:i/>
          <w:spacing w:val="-1"/>
          <w:w w:val="110"/>
          <w:sz w:val="18"/>
        </w:rPr>
        <w:t xml:space="preserve"> </w:t>
      </w:r>
      <w:r w:rsidRPr="00283806">
        <w:rPr>
          <w:rFonts w:ascii="Book Antiqua"/>
          <w:i/>
          <w:w w:val="110"/>
          <w:sz w:val="18"/>
        </w:rPr>
        <w:t>Order</w:t>
      </w:r>
      <w:r w:rsidRPr="00283806">
        <w:rPr>
          <w:rFonts w:ascii="Book Antiqua"/>
          <w:i/>
          <w:spacing w:val="-1"/>
          <w:w w:val="110"/>
          <w:sz w:val="18"/>
        </w:rPr>
        <w:t xml:space="preserve"> </w:t>
      </w:r>
      <w:r w:rsidRPr="00283806">
        <w:rPr>
          <w:rFonts w:ascii="Book Antiqua"/>
          <w:i/>
          <w:w w:val="110"/>
          <w:sz w:val="18"/>
        </w:rPr>
        <w:t>13175:</w:t>
      </w:r>
      <w:r w:rsidRPr="00283806">
        <w:rPr>
          <w:rFonts w:ascii="Book Antiqua"/>
          <w:i/>
          <w:spacing w:val="-1"/>
          <w:w w:val="110"/>
          <w:sz w:val="18"/>
        </w:rPr>
        <w:t xml:space="preserve"> </w:t>
      </w:r>
      <w:r w:rsidRPr="00283806">
        <w:rPr>
          <w:rFonts w:ascii="Book Antiqua"/>
          <w:i/>
          <w:w w:val="110"/>
          <w:sz w:val="18"/>
        </w:rPr>
        <w:t xml:space="preserve">Consultation and Coordination </w:t>
      </w:r>
      <w:proofErr w:type="gramStart"/>
      <w:r w:rsidRPr="00283806">
        <w:rPr>
          <w:rFonts w:ascii="Book Antiqua"/>
          <w:i/>
          <w:w w:val="110"/>
          <w:sz w:val="18"/>
        </w:rPr>
        <w:t>With</w:t>
      </w:r>
      <w:proofErr w:type="gramEnd"/>
      <w:r w:rsidRPr="00283806">
        <w:rPr>
          <w:rFonts w:ascii="Book Antiqua"/>
          <w:i/>
          <w:w w:val="110"/>
          <w:sz w:val="18"/>
        </w:rPr>
        <w:t xml:space="preserve"> Indian Tribal </w:t>
      </w:r>
      <w:r w:rsidRPr="00283806">
        <w:rPr>
          <w:rFonts w:ascii="Book Antiqua"/>
          <w:i/>
          <w:spacing w:val="-2"/>
          <w:w w:val="110"/>
          <w:sz w:val="18"/>
        </w:rPr>
        <w:t>Governments</w:t>
      </w:r>
    </w:p>
    <w:p w14:paraId="2685E8F7" w14:textId="77777777" w:rsidR="00D67C1E" w:rsidRPr="00283806" w:rsidRDefault="001265CA">
      <w:pPr>
        <w:pStyle w:val="BodyText"/>
        <w:spacing w:before="56" w:line="228" w:lineRule="auto"/>
        <w:ind w:right="48" w:firstLine="180"/>
      </w:pPr>
      <w:r w:rsidRPr="00283806">
        <w:rPr>
          <w:w w:val="105"/>
        </w:rPr>
        <w:t>This action does not have Tribal implications as specified in Executive Order 13175. It will not have substantial direct effects on Tribal governments, on the relationship between the Federal government and Indian Tribes, or on the distribution of power and</w:t>
      </w:r>
      <w:r w:rsidRPr="00283806">
        <w:rPr>
          <w:spacing w:val="40"/>
          <w:w w:val="105"/>
        </w:rPr>
        <w:t xml:space="preserve"> </w:t>
      </w:r>
      <w:r w:rsidRPr="00283806">
        <w:rPr>
          <w:w w:val="105"/>
        </w:rPr>
        <w:t>responsibilities between the Federal government and Indian Tribes, as specified in Executive Order 13175.</w:t>
      </w:r>
    </w:p>
    <w:p w14:paraId="7A4709C5" w14:textId="77777777" w:rsidR="00D67C1E" w:rsidRPr="00283806" w:rsidRDefault="001265CA">
      <w:pPr>
        <w:pStyle w:val="BodyText"/>
        <w:spacing w:line="228" w:lineRule="auto"/>
        <w:ind w:right="131"/>
      </w:pPr>
      <w:r w:rsidRPr="00283806">
        <w:rPr>
          <w:w w:val="105"/>
        </w:rPr>
        <w:t>Thus, Executive Order 13175 does not apply to this action. EPA periodically updates Tribal officials on air regulations through the monthly meetings of the National Tribal Air Association and will share information on this rulemaking through this and other fora.</w:t>
      </w:r>
    </w:p>
    <w:p w14:paraId="124EB3B2" w14:textId="77777777" w:rsidR="00D67C1E" w:rsidRPr="00283806" w:rsidRDefault="001265CA">
      <w:pPr>
        <w:pStyle w:val="ListParagraph"/>
        <w:numPr>
          <w:ilvl w:val="1"/>
          <w:numId w:val="64"/>
        </w:numPr>
        <w:tabs>
          <w:tab w:val="left" w:pos="389"/>
        </w:tabs>
        <w:spacing w:before="96" w:line="220" w:lineRule="auto"/>
        <w:ind w:right="91" w:firstLine="0"/>
        <w:rPr>
          <w:rFonts w:ascii="Book Antiqua"/>
          <w:i/>
          <w:sz w:val="18"/>
        </w:rPr>
      </w:pPr>
      <w:r w:rsidRPr="00283806">
        <w:rPr>
          <w:rFonts w:ascii="Book Antiqua"/>
          <w:i/>
          <w:w w:val="110"/>
          <w:sz w:val="18"/>
        </w:rPr>
        <w:t xml:space="preserve">Executive Order 13045: Protection of Children </w:t>
      </w:r>
      <w:proofErr w:type="gramStart"/>
      <w:r w:rsidRPr="00283806">
        <w:rPr>
          <w:rFonts w:ascii="Book Antiqua"/>
          <w:i/>
          <w:w w:val="110"/>
          <w:sz w:val="18"/>
        </w:rPr>
        <w:t>From</w:t>
      </w:r>
      <w:proofErr w:type="gramEnd"/>
      <w:r w:rsidRPr="00283806">
        <w:rPr>
          <w:rFonts w:ascii="Book Antiqua"/>
          <w:i/>
          <w:w w:val="110"/>
          <w:sz w:val="18"/>
        </w:rPr>
        <w:t xml:space="preserve"> Environmental Health and Safety Risks</w:t>
      </w:r>
    </w:p>
    <w:p w14:paraId="70506125" w14:textId="77777777" w:rsidR="00D67C1E" w:rsidRPr="00283806" w:rsidRDefault="001265CA">
      <w:pPr>
        <w:pStyle w:val="BodyText"/>
        <w:spacing w:before="56" w:line="228" w:lineRule="auto"/>
        <w:ind w:right="62" w:firstLine="180"/>
      </w:pPr>
      <w:r w:rsidRPr="00283806">
        <w:rPr>
          <w:w w:val="105"/>
        </w:rPr>
        <w:t xml:space="preserve">Executive Order 13045 directs federal agencies to include an evaluation of the health and safety effects of the planned regulation on children in federal health and safety standards and </w:t>
      </w:r>
      <w:proofErr w:type="gramStart"/>
      <w:r w:rsidRPr="00283806">
        <w:rPr>
          <w:w w:val="105"/>
        </w:rPr>
        <w:t>explain</w:t>
      </w:r>
      <w:proofErr w:type="gramEnd"/>
      <w:r w:rsidRPr="00283806">
        <w:rPr>
          <w:w w:val="105"/>
        </w:rPr>
        <w:t xml:space="preserve"> why</w:t>
      </w:r>
      <w:r w:rsidRPr="00283806">
        <w:rPr>
          <w:spacing w:val="40"/>
          <w:w w:val="105"/>
        </w:rPr>
        <w:t xml:space="preserve"> </w:t>
      </w:r>
      <w:r w:rsidRPr="00283806">
        <w:rPr>
          <w:w w:val="105"/>
        </w:rPr>
        <w:t>the regulation is preferable to</w:t>
      </w:r>
      <w:r w:rsidRPr="00283806">
        <w:rPr>
          <w:spacing w:val="80"/>
          <w:w w:val="105"/>
        </w:rPr>
        <w:t xml:space="preserve"> </w:t>
      </w:r>
      <w:r w:rsidRPr="00283806">
        <w:rPr>
          <w:w w:val="105"/>
        </w:rPr>
        <w:t>potentially effective and reasonably feasible alternatives. This action is subject to Executive Order 13045 because it is a significant regulatory action under section 3(f)(1) of Executive Order 12866, and EPA contends that the environmental health or safety risk addressed by this action has a disproportionate effect on children.</w:t>
      </w:r>
    </w:p>
    <w:p w14:paraId="56ABAC18" w14:textId="77777777" w:rsidR="00D67C1E" w:rsidRPr="00283806" w:rsidRDefault="001265CA">
      <w:pPr>
        <w:pStyle w:val="BodyText"/>
        <w:spacing w:before="130" w:line="232" w:lineRule="auto"/>
        <w:ind w:left="143" w:right="37"/>
      </w:pPr>
      <w:r w:rsidRPr="00283806">
        <w:br w:type="column"/>
      </w:r>
      <w:r w:rsidRPr="00283806">
        <w:rPr>
          <w:w w:val="105"/>
        </w:rPr>
        <w:t>Accordingly, the Agency has evaluated the environmental health or safety effects of climate change on children.</w:t>
      </w:r>
    </w:p>
    <w:p w14:paraId="12F6050A" w14:textId="77777777" w:rsidR="00D67C1E" w:rsidRPr="00283806" w:rsidRDefault="001265CA">
      <w:pPr>
        <w:pStyle w:val="BodyText"/>
        <w:spacing w:before="59" w:line="230" w:lineRule="auto"/>
        <w:ind w:left="143" w:right="37" w:firstLine="180"/>
      </w:pPr>
      <w:r w:rsidRPr="00283806">
        <w:rPr>
          <w:w w:val="105"/>
        </w:rPr>
        <w:t xml:space="preserve">Greenhouse gases, including HFCs, contribute to climate change. Certain populations and life stages, including children, the elderly, and the poor, are most vulnerable to climate-related health effects. The results of this evaluation are contained in the assessment literature cited in EPA’s 2009 and 2016 Endangerment Findings. The assessment literature since 2016 strengthens these conclusions by providing more detailed findings regarding these groups’ vulnerabilities and the projected impacts they may </w:t>
      </w:r>
      <w:r w:rsidRPr="00283806">
        <w:rPr>
          <w:spacing w:val="-2"/>
          <w:w w:val="105"/>
        </w:rPr>
        <w:t>experience.</w:t>
      </w:r>
    </w:p>
    <w:p w14:paraId="032C0ED4" w14:textId="77777777" w:rsidR="00D67C1E" w:rsidRPr="00283806" w:rsidRDefault="001265CA">
      <w:pPr>
        <w:pStyle w:val="BodyText"/>
        <w:spacing w:before="65" w:line="230" w:lineRule="auto"/>
        <w:ind w:left="143" w:right="35" w:firstLine="180"/>
      </w:pPr>
      <w:r w:rsidRPr="00283806">
        <w:rPr>
          <w:w w:val="105"/>
        </w:rPr>
        <w:t>This action is preferred over other regulatory options analyzed because the GHG emissions reductions resulting</w:t>
      </w:r>
      <w:r w:rsidRPr="00283806">
        <w:rPr>
          <w:spacing w:val="80"/>
          <w:w w:val="105"/>
        </w:rPr>
        <w:t xml:space="preserve"> </w:t>
      </w:r>
      <w:r w:rsidRPr="00283806">
        <w:rPr>
          <w:w w:val="105"/>
        </w:rPr>
        <w:t>from implementation of this rule will further reduce risks to children’s health associated with the avoided emissions. These assessments describe how children’s unique physiological and developmental factors contribute to making them particularly vulnerable to climate change. Impacts to children are expected from heat waves, air pollution, infectious and waterborne illnesses, and mental health effects resulting from extreme weather events. In addition, children are among those especially susceptible to most allergic diseases, as well as health effects associated with</w:t>
      </w:r>
      <w:r w:rsidRPr="00283806">
        <w:rPr>
          <w:spacing w:val="40"/>
          <w:w w:val="105"/>
        </w:rPr>
        <w:t xml:space="preserve"> </w:t>
      </w:r>
      <w:r w:rsidRPr="00283806">
        <w:rPr>
          <w:w w:val="105"/>
        </w:rPr>
        <w:t>heat waves, storms, and floods.</w:t>
      </w:r>
    </w:p>
    <w:p w14:paraId="4C41855A" w14:textId="77777777" w:rsidR="00D67C1E" w:rsidRPr="00283806" w:rsidRDefault="001265CA">
      <w:pPr>
        <w:pStyle w:val="BodyText"/>
        <w:spacing w:line="188" w:lineRule="exact"/>
        <w:ind w:left="143"/>
      </w:pPr>
      <w:r w:rsidRPr="00283806">
        <w:rPr>
          <w:w w:val="110"/>
        </w:rPr>
        <w:t>Additional</w:t>
      </w:r>
      <w:r w:rsidRPr="00283806">
        <w:rPr>
          <w:spacing w:val="-10"/>
          <w:w w:val="110"/>
        </w:rPr>
        <w:t xml:space="preserve"> </w:t>
      </w:r>
      <w:r w:rsidRPr="00283806">
        <w:rPr>
          <w:w w:val="110"/>
        </w:rPr>
        <w:t>health</w:t>
      </w:r>
      <w:r w:rsidRPr="00283806">
        <w:rPr>
          <w:spacing w:val="-10"/>
          <w:w w:val="110"/>
        </w:rPr>
        <w:t xml:space="preserve"> </w:t>
      </w:r>
      <w:r w:rsidRPr="00283806">
        <w:rPr>
          <w:w w:val="110"/>
        </w:rPr>
        <w:t>concerns</w:t>
      </w:r>
      <w:r w:rsidRPr="00283806">
        <w:rPr>
          <w:spacing w:val="-10"/>
          <w:w w:val="110"/>
        </w:rPr>
        <w:t xml:space="preserve"> </w:t>
      </w:r>
      <w:r w:rsidRPr="00283806">
        <w:rPr>
          <w:w w:val="110"/>
        </w:rPr>
        <w:t>may</w:t>
      </w:r>
      <w:r w:rsidRPr="00283806">
        <w:rPr>
          <w:spacing w:val="-9"/>
          <w:w w:val="110"/>
        </w:rPr>
        <w:t xml:space="preserve"> </w:t>
      </w:r>
      <w:r w:rsidRPr="00283806">
        <w:rPr>
          <w:w w:val="110"/>
        </w:rPr>
        <w:t>arise</w:t>
      </w:r>
      <w:r w:rsidRPr="00283806">
        <w:rPr>
          <w:spacing w:val="-10"/>
          <w:w w:val="110"/>
        </w:rPr>
        <w:t xml:space="preserve"> </w:t>
      </w:r>
      <w:r w:rsidRPr="00283806">
        <w:rPr>
          <w:spacing w:val="-5"/>
          <w:w w:val="110"/>
        </w:rPr>
        <w:t>in</w:t>
      </w:r>
    </w:p>
    <w:p w14:paraId="08A5993B" w14:textId="77777777" w:rsidR="00D67C1E" w:rsidRPr="00283806" w:rsidRDefault="001265CA">
      <w:pPr>
        <w:pStyle w:val="BodyText"/>
        <w:spacing w:before="2" w:line="230" w:lineRule="auto"/>
        <w:ind w:left="143"/>
      </w:pPr>
      <w:r w:rsidRPr="00283806">
        <w:rPr>
          <w:w w:val="110"/>
        </w:rPr>
        <w:t>low-income households, especially those with children, if climate change reduces food availability and increases prices,</w:t>
      </w:r>
      <w:r w:rsidRPr="00283806">
        <w:rPr>
          <w:spacing w:val="-11"/>
          <w:w w:val="110"/>
        </w:rPr>
        <w:t xml:space="preserve"> </w:t>
      </w:r>
      <w:r w:rsidRPr="00283806">
        <w:rPr>
          <w:w w:val="110"/>
        </w:rPr>
        <w:t>leading</w:t>
      </w:r>
      <w:r w:rsidRPr="00283806">
        <w:rPr>
          <w:spacing w:val="-11"/>
          <w:w w:val="110"/>
        </w:rPr>
        <w:t xml:space="preserve"> </w:t>
      </w:r>
      <w:r w:rsidRPr="00283806">
        <w:rPr>
          <w:w w:val="110"/>
        </w:rPr>
        <w:t>to</w:t>
      </w:r>
      <w:r w:rsidRPr="00283806">
        <w:rPr>
          <w:spacing w:val="-11"/>
          <w:w w:val="110"/>
        </w:rPr>
        <w:t xml:space="preserve"> </w:t>
      </w:r>
      <w:r w:rsidRPr="00283806">
        <w:rPr>
          <w:w w:val="110"/>
        </w:rPr>
        <w:t>food</w:t>
      </w:r>
      <w:r w:rsidRPr="00283806">
        <w:rPr>
          <w:spacing w:val="-11"/>
          <w:w w:val="110"/>
        </w:rPr>
        <w:t xml:space="preserve"> </w:t>
      </w:r>
      <w:r w:rsidRPr="00283806">
        <w:rPr>
          <w:w w:val="110"/>
        </w:rPr>
        <w:t>insecurity</w:t>
      </w:r>
      <w:r w:rsidRPr="00283806">
        <w:rPr>
          <w:spacing w:val="-11"/>
          <w:w w:val="110"/>
        </w:rPr>
        <w:t xml:space="preserve"> </w:t>
      </w:r>
      <w:r w:rsidRPr="00283806">
        <w:rPr>
          <w:w w:val="110"/>
        </w:rPr>
        <w:t xml:space="preserve">within </w:t>
      </w:r>
      <w:r w:rsidRPr="00283806">
        <w:rPr>
          <w:spacing w:val="-2"/>
          <w:w w:val="110"/>
        </w:rPr>
        <w:t>households.</w:t>
      </w:r>
    </w:p>
    <w:p w14:paraId="53F41425" w14:textId="77777777" w:rsidR="00D67C1E" w:rsidRPr="00283806" w:rsidRDefault="001265CA">
      <w:pPr>
        <w:pStyle w:val="BodyText"/>
        <w:spacing w:before="59" w:line="230" w:lineRule="auto"/>
        <w:ind w:left="143" w:right="114" w:firstLine="180"/>
      </w:pPr>
      <w:r w:rsidRPr="00283806">
        <w:rPr>
          <w:w w:val="105"/>
        </w:rPr>
        <w:t>More detailed information on the impacts of climate change to human health and welfare is provided in section III.B of this preamble.</w:t>
      </w:r>
    </w:p>
    <w:p w14:paraId="55B5B39F" w14:textId="77777777" w:rsidR="00D67C1E" w:rsidRPr="00283806" w:rsidRDefault="001265CA">
      <w:pPr>
        <w:pStyle w:val="ListParagraph"/>
        <w:numPr>
          <w:ilvl w:val="1"/>
          <w:numId w:val="64"/>
        </w:numPr>
        <w:tabs>
          <w:tab w:val="left" w:pos="382"/>
        </w:tabs>
        <w:spacing w:before="121" w:line="223" w:lineRule="auto"/>
        <w:ind w:left="143" w:right="34" w:firstLine="0"/>
        <w:rPr>
          <w:rFonts w:ascii="Book Antiqua"/>
          <w:i/>
          <w:sz w:val="18"/>
        </w:rPr>
      </w:pPr>
      <w:r w:rsidRPr="00283806">
        <w:rPr>
          <w:rFonts w:ascii="Book Antiqua"/>
          <w:i/>
          <w:w w:val="110"/>
          <w:sz w:val="18"/>
        </w:rPr>
        <w:t>Executive Order 13211: Actions That Significantly Affect Energy Supply, Distribution, or Use</w:t>
      </w:r>
    </w:p>
    <w:p w14:paraId="36B8AEFB" w14:textId="77777777" w:rsidR="00D67C1E" w:rsidRPr="00283806" w:rsidRDefault="001265CA">
      <w:pPr>
        <w:pStyle w:val="BodyText"/>
        <w:spacing w:before="133" w:line="230" w:lineRule="auto"/>
        <w:ind w:left="143" w:firstLine="180"/>
      </w:pPr>
      <w:r w:rsidRPr="00283806">
        <w:rPr>
          <w:w w:val="105"/>
        </w:rPr>
        <w:t>This</w:t>
      </w:r>
      <w:r w:rsidRPr="00283806">
        <w:rPr>
          <w:spacing w:val="40"/>
          <w:w w:val="105"/>
        </w:rPr>
        <w:t xml:space="preserve"> </w:t>
      </w:r>
      <w:r w:rsidRPr="00283806">
        <w:rPr>
          <w:w w:val="105"/>
        </w:rPr>
        <w:t>action</w:t>
      </w:r>
      <w:r w:rsidRPr="00283806">
        <w:rPr>
          <w:spacing w:val="40"/>
          <w:w w:val="105"/>
        </w:rPr>
        <w:t xml:space="preserve"> </w:t>
      </w:r>
      <w:r w:rsidRPr="00283806">
        <w:rPr>
          <w:w w:val="105"/>
        </w:rPr>
        <w:t>is</w:t>
      </w:r>
      <w:r w:rsidRPr="00283806">
        <w:rPr>
          <w:spacing w:val="40"/>
          <w:w w:val="105"/>
        </w:rPr>
        <w:t xml:space="preserve"> </w:t>
      </w:r>
      <w:r w:rsidRPr="00283806">
        <w:rPr>
          <w:w w:val="105"/>
        </w:rPr>
        <w:t>not</w:t>
      </w:r>
      <w:r w:rsidRPr="00283806">
        <w:rPr>
          <w:spacing w:val="40"/>
          <w:w w:val="105"/>
        </w:rPr>
        <w:t xml:space="preserve"> </w:t>
      </w:r>
      <w:r w:rsidRPr="00283806">
        <w:rPr>
          <w:w w:val="105"/>
        </w:rPr>
        <w:t>a</w:t>
      </w:r>
      <w:r w:rsidRPr="00283806">
        <w:rPr>
          <w:spacing w:val="40"/>
          <w:w w:val="105"/>
        </w:rPr>
        <w:t xml:space="preserve"> </w:t>
      </w:r>
      <w:r w:rsidRPr="00283806">
        <w:rPr>
          <w:w w:val="105"/>
        </w:rPr>
        <w:t>‘‘significant energy action’’ because it is not likely to have a significant adverse effect on the supply, distribution or use of energy.</w:t>
      </w:r>
    </w:p>
    <w:p w14:paraId="661DB351" w14:textId="77777777" w:rsidR="00D67C1E" w:rsidRPr="00283806" w:rsidRDefault="001265CA">
      <w:pPr>
        <w:pStyle w:val="BodyText"/>
        <w:spacing w:line="230" w:lineRule="auto"/>
        <w:ind w:left="143"/>
      </w:pPr>
      <w:r w:rsidRPr="00283806">
        <w:rPr>
          <w:w w:val="105"/>
        </w:rPr>
        <w:t>This action applies to certain regulated substances and certain equipment containing regulated substances or certain substitutes for regulated substances, none of which are used to supply or distribute energy.</w:t>
      </w:r>
    </w:p>
    <w:p w14:paraId="1C7505FE" w14:textId="77777777" w:rsidR="00D67C1E" w:rsidRPr="00283806" w:rsidRDefault="001265CA">
      <w:pPr>
        <w:pStyle w:val="ListParagraph"/>
        <w:numPr>
          <w:ilvl w:val="1"/>
          <w:numId w:val="64"/>
        </w:numPr>
        <w:tabs>
          <w:tab w:val="left" w:pos="301"/>
        </w:tabs>
        <w:spacing w:before="117" w:line="223" w:lineRule="auto"/>
        <w:ind w:left="143" w:right="313" w:firstLine="0"/>
        <w:rPr>
          <w:rFonts w:ascii="Book Antiqua"/>
          <w:i/>
          <w:sz w:val="18"/>
        </w:rPr>
      </w:pPr>
      <w:r w:rsidRPr="00283806">
        <w:rPr>
          <w:rFonts w:ascii="Book Antiqua"/>
          <w:i/>
          <w:w w:val="115"/>
          <w:sz w:val="18"/>
        </w:rPr>
        <w:t>National</w:t>
      </w:r>
      <w:r w:rsidRPr="00283806">
        <w:rPr>
          <w:rFonts w:ascii="Book Antiqua"/>
          <w:i/>
          <w:spacing w:val="-13"/>
          <w:w w:val="115"/>
          <w:sz w:val="18"/>
        </w:rPr>
        <w:t xml:space="preserve"> </w:t>
      </w:r>
      <w:r w:rsidRPr="00283806">
        <w:rPr>
          <w:rFonts w:ascii="Book Antiqua"/>
          <w:i/>
          <w:w w:val="115"/>
          <w:sz w:val="18"/>
        </w:rPr>
        <w:t>Technology</w:t>
      </w:r>
      <w:r w:rsidRPr="00283806">
        <w:rPr>
          <w:rFonts w:ascii="Book Antiqua"/>
          <w:i/>
          <w:spacing w:val="-13"/>
          <w:w w:val="115"/>
          <w:sz w:val="18"/>
        </w:rPr>
        <w:t xml:space="preserve"> </w:t>
      </w:r>
      <w:r w:rsidRPr="00283806">
        <w:rPr>
          <w:rFonts w:ascii="Book Antiqua"/>
          <w:i/>
          <w:w w:val="115"/>
          <w:sz w:val="18"/>
        </w:rPr>
        <w:t>Transfer</w:t>
      </w:r>
      <w:r w:rsidRPr="00283806">
        <w:rPr>
          <w:rFonts w:ascii="Book Antiqua"/>
          <w:i/>
          <w:spacing w:val="-13"/>
          <w:w w:val="115"/>
          <w:sz w:val="18"/>
        </w:rPr>
        <w:t xml:space="preserve"> </w:t>
      </w:r>
      <w:r w:rsidRPr="00283806">
        <w:rPr>
          <w:rFonts w:ascii="Book Antiqua"/>
          <w:i/>
          <w:w w:val="115"/>
          <w:sz w:val="18"/>
        </w:rPr>
        <w:t>and Advancement Act (NTTAA)</w:t>
      </w:r>
    </w:p>
    <w:p w14:paraId="50739366" w14:textId="77777777" w:rsidR="00D67C1E" w:rsidRPr="00283806" w:rsidRDefault="001265CA">
      <w:pPr>
        <w:pStyle w:val="BodyText"/>
        <w:spacing w:before="133" w:line="230" w:lineRule="auto"/>
        <w:ind w:left="143" w:firstLine="180"/>
      </w:pPr>
      <w:r w:rsidRPr="00283806">
        <w:rPr>
          <w:w w:val="105"/>
        </w:rPr>
        <w:t>This rulemaking does not involve technical standards.</w:t>
      </w:r>
    </w:p>
    <w:p w14:paraId="7CEA9DBF" w14:textId="77777777" w:rsidR="00D67C1E" w:rsidRPr="00283806" w:rsidRDefault="001265CA">
      <w:pPr>
        <w:pStyle w:val="ListParagraph"/>
        <w:numPr>
          <w:ilvl w:val="1"/>
          <w:numId w:val="64"/>
        </w:numPr>
        <w:tabs>
          <w:tab w:val="left" w:pos="318"/>
        </w:tabs>
        <w:spacing w:before="140" w:line="220" w:lineRule="auto"/>
        <w:ind w:right="209" w:firstLine="0"/>
        <w:rPr>
          <w:rFonts w:ascii="Book Antiqua" w:hAnsi="Book Antiqua"/>
          <w:i/>
          <w:sz w:val="18"/>
        </w:rPr>
      </w:pPr>
      <w:r w:rsidRPr="00283806">
        <w:br w:type="column"/>
      </w:r>
      <w:r w:rsidRPr="00283806">
        <w:rPr>
          <w:rFonts w:ascii="Book Antiqua" w:hAnsi="Book Antiqua"/>
          <w:i/>
          <w:w w:val="110"/>
          <w:sz w:val="18"/>
        </w:rPr>
        <w:t xml:space="preserve">Executive Order 12898: Federal Actions </w:t>
      </w:r>
      <w:proofErr w:type="gramStart"/>
      <w:r w:rsidRPr="00283806">
        <w:rPr>
          <w:rFonts w:ascii="Book Antiqua" w:hAnsi="Book Antiqua"/>
          <w:i/>
          <w:w w:val="110"/>
          <w:sz w:val="18"/>
        </w:rPr>
        <w:t>To</w:t>
      </w:r>
      <w:proofErr w:type="gramEnd"/>
      <w:r w:rsidRPr="00283806">
        <w:rPr>
          <w:rFonts w:ascii="Book Antiqua" w:hAnsi="Book Antiqua"/>
          <w:i/>
          <w:w w:val="110"/>
          <w:sz w:val="18"/>
        </w:rPr>
        <w:t xml:space="preserve"> Address Environmental Justice in Minority Populations and Low-Income Populations and Executive Order</w:t>
      </w:r>
      <w:r w:rsidRPr="00283806">
        <w:rPr>
          <w:rFonts w:ascii="Book Antiqua" w:hAnsi="Book Antiqua"/>
          <w:i/>
          <w:spacing w:val="-3"/>
          <w:w w:val="110"/>
          <w:sz w:val="18"/>
        </w:rPr>
        <w:t xml:space="preserve"> </w:t>
      </w:r>
      <w:r w:rsidRPr="00283806">
        <w:rPr>
          <w:rFonts w:ascii="Book Antiqua" w:hAnsi="Book Antiqua"/>
          <w:i/>
          <w:w w:val="110"/>
          <w:sz w:val="18"/>
        </w:rPr>
        <w:t>14096:</w:t>
      </w:r>
      <w:r w:rsidRPr="00283806">
        <w:rPr>
          <w:rFonts w:ascii="Book Antiqua" w:hAnsi="Book Antiqua"/>
          <w:i/>
          <w:spacing w:val="-3"/>
          <w:w w:val="110"/>
          <w:sz w:val="18"/>
        </w:rPr>
        <w:t xml:space="preserve"> </w:t>
      </w:r>
      <w:r w:rsidRPr="00283806">
        <w:rPr>
          <w:rFonts w:ascii="Book Antiqua" w:hAnsi="Book Antiqua"/>
          <w:i/>
          <w:w w:val="110"/>
          <w:sz w:val="18"/>
        </w:rPr>
        <w:t>Revitalizing</w:t>
      </w:r>
      <w:r w:rsidRPr="00283806">
        <w:rPr>
          <w:rFonts w:ascii="Book Antiqua" w:hAnsi="Book Antiqua"/>
          <w:i/>
          <w:spacing w:val="-3"/>
          <w:w w:val="110"/>
          <w:sz w:val="18"/>
        </w:rPr>
        <w:t xml:space="preserve"> </w:t>
      </w:r>
      <w:r w:rsidRPr="00283806">
        <w:rPr>
          <w:rFonts w:ascii="Book Antiqua" w:hAnsi="Book Antiqua"/>
          <w:i/>
          <w:w w:val="110"/>
          <w:sz w:val="18"/>
        </w:rPr>
        <w:t>Our</w:t>
      </w:r>
      <w:r w:rsidRPr="00283806">
        <w:rPr>
          <w:rFonts w:ascii="Book Antiqua" w:hAnsi="Book Antiqua"/>
          <w:i/>
          <w:spacing w:val="-3"/>
          <w:w w:val="110"/>
          <w:sz w:val="18"/>
        </w:rPr>
        <w:t xml:space="preserve"> </w:t>
      </w:r>
      <w:r w:rsidRPr="00283806">
        <w:rPr>
          <w:rFonts w:ascii="Book Antiqua" w:hAnsi="Book Antiqua"/>
          <w:i/>
          <w:w w:val="110"/>
          <w:sz w:val="18"/>
        </w:rPr>
        <w:t>Nation’s Commitment to Environmental Justice for All</w:t>
      </w:r>
    </w:p>
    <w:p w14:paraId="4FB2A597" w14:textId="77777777" w:rsidR="00D67C1E" w:rsidRPr="00283806" w:rsidRDefault="001265CA">
      <w:pPr>
        <w:pStyle w:val="BodyText"/>
        <w:spacing w:before="63" w:line="228" w:lineRule="auto"/>
        <w:ind w:right="143" w:firstLine="180"/>
      </w:pPr>
      <w:r w:rsidRPr="00283806">
        <w:rPr>
          <w:w w:val="105"/>
        </w:rPr>
        <w:t>The human health or environmental conditions that exist prior to this action result</w:t>
      </w:r>
      <w:r w:rsidRPr="00283806">
        <w:rPr>
          <w:spacing w:val="30"/>
          <w:w w:val="105"/>
        </w:rPr>
        <w:t xml:space="preserve"> </w:t>
      </w:r>
      <w:r w:rsidRPr="00283806">
        <w:rPr>
          <w:w w:val="105"/>
        </w:rPr>
        <w:t>in</w:t>
      </w:r>
      <w:r w:rsidRPr="00283806">
        <w:rPr>
          <w:spacing w:val="30"/>
          <w:w w:val="105"/>
        </w:rPr>
        <w:t xml:space="preserve"> </w:t>
      </w:r>
      <w:r w:rsidRPr="00283806">
        <w:rPr>
          <w:w w:val="105"/>
        </w:rPr>
        <w:t>or</w:t>
      </w:r>
      <w:r w:rsidRPr="00283806">
        <w:rPr>
          <w:spacing w:val="30"/>
          <w:w w:val="105"/>
        </w:rPr>
        <w:t xml:space="preserve"> </w:t>
      </w:r>
      <w:r w:rsidRPr="00283806">
        <w:rPr>
          <w:w w:val="105"/>
        </w:rPr>
        <w:t>have</w:t>
      </w:r>
      <w:r w:rsidRPr="00283806">
        <w:rPr>
          <w:spacing w:val="30"/>
          <w:w w:val="105"/>
        </w:rPr>
        <w:t xml:space="preserve"> </w:t>
      </w:r>
      <w:r w:rsidRPr="00283806">
        <w:rPr>
          <w:w w:val="105"/>
        </w:rPr>
        <w:t>the</w:t>
      </w:r>
      <w:r w:rsidRPr="00283806">
        <w:rPr>
          <w:spacing w:val="30"/>
          <w:w w:val="105"/>
        </w:rPr>
        <w:t xml:space="preserve"> </w:t>
      </w:r>
      <w:r w:rsidRPr="00283806">
        <w:rPr>
          <w:w w:val="105"/>
        </w:rPr>
        <w:t>potential</w:t>
      </w:r>
      <w:r w:rsidRPr="00283806">
        <w:rPr>
          <w:spacing w:val="30"/>
          <w:w w:val="105"/>
        </w:rPr>
        <w:t xml:space="preserve"> </w:t>
      </w:r>
      <w:r w:rsidRPr="00283806">
        <w:rPr>
          <w:w w:val="105"/>
        </w:rPr>
        <w:t>to</w:t>
      </w:r>
      <w:r w:rsidRPr="00283806">
        <w:rPr>
          <w:spacing w:val="30"/>
          <w:w w:val="105"/>
        </w:rPr>
        <w:t xml:space="preserve"> </w:t>
      </w:r>
      <w:r w:rsidRPr="00283806">
        <w:rPr>
          <w:w w:val="105"/>
        </w:rPr>
        <w:t>result in disproportionate and adverse human health or environmental effects on communities with environmental justice concerns. EPA carefully evaluated available information on HFC</w:t>
      </w:r>
      <w:r w:rsidRPr="00283806">
        <w:rPr>
          <w:spacing w:val="40"/>
          <w:w w:val="105"/>
        </w:rPr>
        <w:t xml:space="preserve"> </w:t>
      </w:r>
      <w:r w:rsidRPr="00283806">
        <w:rPr>
          <w:w w:val="105"/>
        </w:rPr>
        <w:t>reclamation facilities and the characteristics of nearby communities to evaluate these impacts in the context of this final rulemaking. Based on this analysis, EPA finds evidence of environmental justice concerns near</w:t>
      </w:r>
      <w:r w:rsidRPr="00283806">
        <w:rPr>
          <w:spacing w:val="80"/>
          <w:w w:val="105"/>
        </w:rPr>
        <w:t xml:space="preserve"> </w:t>
      </w:r>
      <w:r w:rsidRPr="00283806">
        <w:rPr>
          <w:w w:val="105"/>
        </w:rPr>
        <w:t xml:space="preserve">HFC reclamation facilities from cumulative exposure to existing environmental hazards in these </w:t>
      </w:r>
      <w:r w:rsidRPr="00283806">
        <w:rPr>
          <w:spacing w:val="-2"/>
          <w:w w:val="105"/>
        </w:rPr>
        <w:t>communities.</w:t>
      </w:r>
    </w:p>
    <w:p w14:paraId="13877FC7" w14:textId="77777777" w:rsidR="00D67C1E" w:rsidRPr="00283806" w:rsidRDefault="001265CA">
      <w:pPr>
        <w:pStyle w:val="BodyText"/>
        <w:spacing w:line="178" w:lineRule="exact"/>
        <w:ind w:left="340"/>
      </w:pPr>
      <w:r w:rsidRPr="00283806">
        <w:rPr>
          <w:w w:val="105"/>
        </w:rPr>
        <w:t>The</w:t>
      </w:r>
      <w:r w:rsidRPr="00283806">
        <w:rPr>
          <w:spacing w:val="12"/>
          <w:w w:val="105"/>
        </w:rPr>
        <w:t xml:space="preserve"> </w:t>
      </w:r>
      <w:r w:rsidRPr="00283806">
        <w:rPr>
          <w:w w:val="105"/>
        </w:rPr>
        <w:t>analysis</w:t>
      </w:r>
      <w:r w:rsidRPr="00283806">
        <w:rPr>
          <w:spacing w:val="12"/>
          <w:w w:val="105"/>
        </w:rPr>
        <w:t xml:space="preserve"> </w:t>
      </w:r>
      <w:r w:rsidRPr="00283806">
        <w:rPr>
          <w:w w:val="105"/>
        </w:rPr>
        <w:t>shows</w:t>
      </w:r>
      <w:r w:rsidRPr="00283806">
        <w:rPr>
          <w:spacing w:val="12"/>
          <w:w w:val="105"/>
        </w:rPr>
        <w:t xml:space="preserve"> </w:t>
      </w:r>
      <w:r w:rsidRPr="00283806">
        <w:rPr>
          <w:w w:val="105"/>
        </w:rPr>
        <w:t>that</w:t>
      </w:r>
      <w:r w:rsidRPr="00283806">
        <w:rPr>
          <w:spacing w:val="12"/>
          <w:w w:val="105"/>
        </w:rPr>
        <w:t xml:space="preserve"> </w:t>
      </w:r>
      <w:r w:rsidRPr="00283806">
        <w:rPr>
          <w:spacing w:val="-2"/>
          <w:w w:val="105"/>
        </w:rPr>
        <w:t>communities</w:t>
      </w:r>
    </w:p>
    <w:p w14:paraId="503DBAAD" w14:textId="77777777" w:rsidR="00D67C1E" w:rsidRPr="00283806" w:rsidRDefault="001265CA">
      <w:pPr>
        <w:pStyle w:val="BodyText"/>
        <w:spacing w:before="3" w:line="228" w:lineRule="auto"/>
        <w:ind w:right="168"/>
      </w:pPr>
      <w:r w:rsidRPr="00283806">
        <w:rPr>
          <w:w w:val="105"/>
        </w:rPr>
        <w:t>near the 38 identified HFC reclamation facilities are generally more diverse than the national average with respect to race and ethnicity. While the median income</w:t>
      </w:r>
      <w:r w:rsidRPr="00283806">
        <w:rPr>
          <w:spacing w:val="40"/>
          <w:w w:val="105"/>
        </w:rPr>
        <w:t xml:space="preserve"> </w:t>
      </w:r>
      <w:r w:rsidRPr="00283806">
        <w:rPr>
          <w:w w:val="105"/>
        </w:rPr>
        <w:t>of these communities is slightly higher than the national average, there are</w:t>
      </w:r>
      <w:r w:rsidRPr="00283806">
        <w:rPr>
          <w:spacing w:val="80"/>
          <w:w w:val="105"/>
        </w:rPr>
        <w:t xml:space="preserve"> </w:t>
      </w:r>
      <w:r w:rsidRPr="00283806">
        <w:rPr>
          <w:w w:val="105"/>
        </w:rPr>
        <w:t>more low-income households. Across</w:t>
      </w:r>
      <w:r w:rsidRPr="00283806">
        <w:rPr>
          <w:spacing w:val="80"/>
          <w:w w:val="150"/>
        </w:rPr>
        <w:t xml:space="preserve"> </w:t>
      </w:r>
      <w:r w:rsidRPr="00283806">
        <w:rPr>
          <w:w w:val="105"/>
        </w:rPr>
        <w:t>the 38 facilities, total respiratory risk</w:t>
      </w:r>
      <w:r w:rsidRPr="00283806">
        <w:rPr>
          <w:spacing w:val="80"/>
          <w:w w:val="105"/>
        </w:rPr>
        <w:t xml:space="preserve"> </w:t>
      </w:r>
      <w:r w:rsidRPr="00283806">
        <w:rPr>
          <w:w w:val="105"/>
        </w:rPr>
        <w:t>and total cancer risk are slightly</w:t>
      </w:r>
      <w:r w:rsidRPr="00283806">
        <w:rPr>
          <w:spacing w:val="80"/>
          <w:w w:val="150"/>
        </w:rPr>
        <w:t xml:space="preserve"> </w:t>
      </w:r>
      <w:r w:rsidRPr="00283806">
        <w:rPr>
          <w:w w:val="105"/>
        </w:rPr>
        <w:t xml:space="preserve">elevated compared to the national </w:t>
      </w:r>
      <w:r w:rsidRPr="00283806">
        <w:rPr>
          <w:spacing w:val="-2"/>
          <w:w w:val="105"/>
        </w:rPr>
        <w:t>average.</w:t>
      </w:r>
    </w:p>
    <w:p w14:paraId="6B2F6054" w14:textId="77777777" w:rsidR="00D67C1E" w:rsidRPr="00283806" w:rsidRDefault="001265CA">
      <w:pPr>
        <w:pStyle w:val="BodyText"/>
        <w:spacing w:line="182" w:lineRule="exact"/>
        <w:ind w:left="340"/>
      </w:pPr>
      <w:r w:rsidRPr="00283806">
        <w:rPr>
          <w:w w:val="105"/>
        </w:rPr>
        <w:t>This</w:t>
      </w:r>
      <w:r w:rsidRPr="00283806">
        <w:rPr>
          <w:spacing w:val="11"/>
          <w:w w:val="105"/>
        </w:rPr>
        <w:t xml:space="preserve"> </w:t>
      </w:r>
      <w:r w:rsidRPr="00283806">
        <w:rPr>
          <w:w w:val="105"/>
        </w:rPr>
        <w:t>rule</w:t>
      </w:r>
      <w:r w:rsidRPr="00283806">
        <w:rPr>
          <w:spacing w:val="12"/>
          <w:w w:val="105"/>
        </w:rPr>
        <w:t xml:space="preserve"> </w:t>
      </w:r>
      <w:r w:rsidRPr="00283806">
        <w:rPr>
          <w:w w:val="105"/>
        </w:rPr>
        <w:t>is</w:t>
      </w:r>
      <w:r w:rsidRPr="00283806">
        <w:rPr>
          <w:spacing w:val="12"/>
          <w:w w:val="105"/>
        </w:rPr>
        <w:t xml:space="preserve"> </w:t>
      </w:r>
      <w:r w:rsidRPr="00283806">
        <w:rPr>
          <w:w w:val="105"/>
        </w:rPr>
        <w:t>expected</w:t>
      </w:r>
      <w:r w:rsidRPr="00283806">
        <w:rPr>
          <w:spacing w:val="12"/>
          <w:w w:val="105"/>
        </w:rPr>
        <w:t xml:space="preserve"> </w:t>
      </w:r>
      <w:r w:rsidRPr="00283806">
        <w:rPr>
          <w:w w:val="105"/>
        </w:rPr>
        <w:t>to</w:t>
      </w:r>
      <w:r w:rsidRPr="00283806">
        <w:rPr>
          <w:spacing w:val="12"/>
          <w:w w:val="105"/>
        </w:rPr>
        <w:t xml:space="preserve"> </w:t>
      </w:r>
      <w:r w:rsidRPr="00283806">
        <w:rPr>
          <w:w w:val="105"/>
        </w:rPr>
        <w:t>result</w:t>
      </w:r>
      <w:r w:rsidRPr="00283806">
        <w:rPr>
          <w:spacing w:val="12"/>
          <w:w w:val="105"/>
        </w:rPr>
        <w:t xml:space="preserve"> </w:t>
      </w:r>
      <w:r w:rsidRPr="00283806">
        <w:rPr>
          <w:spacing w:val="-5"/>
          <w:w w:val="105"/>
        </w:rPr>
        <w:t>in</w:t>
      </w:r>
    </w:p>
    <w:p w14:paraId="138F5C6C" w14:textId="77777777" w:rsidR="00D67C1E" w:rsidRPr="00283806" w:rsidRDefault="001265CA">
      <w:pPr>
        <w:pStyle w:val="BodyText"/>
        <w:spacing w:before="3" w:line="228" w:lineRule="auto"/>
        <w:ind w:right="151"/>
      </w:pPr>
      <w:r w:rsidRPr="00283806">
        <w:rPr>
          <w:w w:val="105"/>
        </w:rPr>
        <w:t>benefits in the form of reduced GHG emissions. The analysis conducted for this rule also estimates that a portion of these benefits would be incremental to emissions reductions that were anticipated under the Allocation Framework Rule alone, thus further reducing the risks of climate change associated with those emissions.</w:t>
      </w:r>
    </w:p>
    <w:p w14:paraId="7DD94FE8" w14:textId="77777777" w:rsidR="00D67C1E" w:rsidRPr="00283806" w:rsidRDefault="001265CA">
      <w:pPr>
        <w:pStyle w:val="BodyText"/>
        <w:spacing w:line="183" w:lineRule="exact"/>
        <w:ind w:left="340"/>
      </w:pPr>
      <w:r w:rsidRPr="00283806">
        <w:rPr>
          <w:w w:val="105"/>
        </w:rPr>
        <w:t>It</w:t>
      </w:r>
      <w:r w:rsidRPr="00283806">
        <w:rPr>
          <w:spacing w:val="5"/>
          <w:w w:val="105"/>
        </w:rPr>
        <w:t xml:space="preserve"> </w:t>
      </w:r>
      <w:r w:rsidRPr="00283806">
        <w:rPr>
          <w:w w:val="105"/>
        </w:rPr>
        <w:t>is</w:t>
      </w:r>
      <w:r w:rsidRPr="00283806">
        <w:rPr>
          <w:spacing w:val="6"/>
          <w:w w:val="105"/>
        </w:rPr>
        <w:t xml:space="preserve"> </w:t>
      </w:r>
      <w:r w:rsidRPr="00283806">
        <w:rPr>
          <w:w w:val="105"/>
        </w:rPr>
        <w:t>not</w:t>
      </w:r>
      <w:r w:rsidRPr="00283806">
        <w:rPr>
          <w:spacing w:val="6"/>
          <w:w w:val="105"/>
        </w:rPr>
        <w:t xml:space="preserve"> </w:t>
      </w:r>
      <w:r w:rsidRPr="00283806">
        <w:rPr>
          <w:w w:val="105"/>
        </w:rPr>
        <w:t>practicable</w:t>
      </w:r>
      <w:r w:rsidRPr="00283806">
        <w:rPr>
          <w:spacing w:val="6"/>
          <w:w w:val="105"/>
        </w:rPr>
        <w:t xml:space="preserve"> </w:t>
      </w:r>
      <w:r w:rsidRPr="00283806">
        <w:rPr>
          <w:w w:val="105"/>
        </w:rPr>
        <w:t>to</w:t>
      </w:r>
      <w:r w:rsidRPr="00283806">
        <w:rPr>
          <w:spacing w:val="6"/>
          <w:w w:val="105"/>
        </w:rPr>
        <w:t xml:space="preserve"> </w:t>
      </w:r>
      <w:r w:rsidRPr="00283806">
        <w:rPr>
          <w:w w:val="105"/>
        </w:rPr>
        <w:t>assess</w:t>
      </w:r>
      <w:r w:rsidRPr="00283806">
        <w:rPr>
          <w:spacing w:val="6"/>
          <w:w w:val="105"/>
        </w:rPr>
        <w:t xml:space="preserve"> </w:t>
      </w:r>
      <w:r w:rsidRPr="00283806">
        <w:rPr>
          <w:spacing w:val="-2"/>
          <w:w w:val="105"/>
        </w:rPr>
        <w:t>whether</w:t>
      </w:r>
    </w:p>
    <w:p w14:paraId="14DB6BB9" w14:textId="77777777" w:rsidR="00D67C1E" w:rsidRPr="00283806" w:rsidRDefault="001265CA">
      <w:pPr>
        <w:pStyle w:val="BodyText"/>
        <w:spacing w:before="3" w:line="228" w:lineRule="auto"/>
        <w:ind w:right="161"/>
      </w:pPr>
      <w:proofErr w:type="gramStart"/>
      <w:r w:rsidRPr="00283806">
        <w:rPr>
          <w:w w:val="105"/>
        </w:rPr>
        <w:t>this</w:t>
      </w:r>
      <w:proofErr w:type="gramEnd"/>
      <w:r w:rsidRPr="00283806">
        <w:rPr>
          <w:w w:val="105"/>
        </w:rPr>
        <w:t xml:space="preserve"> action is likely to result in new disproportionate and adverse effects on communities with environmental justice concerns. While providing additional overall climate benefits, this rule may</w:t>
      </w:r>
      <w:r w:rsidRPr="00283806">
        <w:rPr>
          <w:spacing w:val="40"/>
          <w:w w:val="105"/>
        </w:rPr>
        <w:t xml:space="preserve"> </w:t>
      </w:r>
      <w:r w:rsidRPr="00283806">
        <w:rPr>
          <w:w w:val="105"/>
        </w:rPr>
        <w:t>also result in changes in emissions of air pollutants or other chemicals that are potential</w:t>
      </w:r>
      <w:r w:rsidRPr="00283806">
        <w:rPr>
          <w:spacing w:val="40"/>
          <w:w w:val="105"/>
        </w:rPr>
        <w:t xml:space="preserve"> </w:t>
      </w:r>
      <w:r w:rsidRPr="00283806">
        <w:rPr>
          <w:w w:val="105"/>
        </w:rPr>
        <w:t>byproducts</w:t>
      </w:r>
      <w:r w:rsidRPr="00283806">
        <w:rPr>
          <w:spacing w:val="40"/>
          <w:w w:val="105"/>
        </w:rPr>
        <w:t xml:space="preserve"> </w:t>
      </w:r>
      <w:r w:rsidRPr="00283806">
        <w:rPr>
          <w:w w:val="105"/>
        </w:rPr>
        <w:t>of</w:t>
      </w:r>
      <w:r w:rsidRPr="00283806">
        <w:rPr>
          <w:spacing w:val="40"/>
          <w:w w:val="105"/>
        </w:rPr>
        <w:t xml:space="preserve"> </w:t>
      </w:r>
      <w:r w:rsidRPr="00283806">
        <w:rPr>
          <w:w w:val="105"/>
        </w:rPr>
        <w:t>HFC</w:t>
      </w:r>
      <w:r w:rsidRPr="00283806">
        <w:rPr>
          <w:spacing w:val="40"/>
          <w:w w:val="105"/>
        </w:rPr>
        <w:t xml:space="preserve"> </w:t>
      </w:r>
      <w:r w:rsidRPr="00283806">
        <w:rPr>
          <w:w w:val="105"/>
        </w:rPr>
        <w:t>reclamation processes at affected facilities.</w:t>
      </w:r>
      <w:r w:rsidRPr="00283806">
        <w:rPr>
          <w:spacing w:val="40"/>
          <w:w w:val="105"/>
        </w:rPr>
        <w:t xml:space="preserve"> </w:t>
      </w:r>
      <w:r w:rsidRPr="00283806">
        <w:rPr>
          <w:w w:val="105"/>
        </w:rPr>
        <w:t>The</w:t>
      </w:r>
      <w:r w:rsidRPr="00283806">
        <w:rPr>
          <w:spacing w:val="40"/>
          <w:w w:val="105"/>
        </w:rPr>
        <w:t xml:space="preserve"> </w:t>
      </w:r>
      <w:r w:rsidRPr="00283806">
        <w:rPr>
          <w:w w:val="105"/>
        </w:rPr>
        <w:t>market</w:t>
      </w:r>
      <w:r w:rsidRPr="00283806">
        <w:rPr>
          <w:spacing w:val="40"/>
          <w:w w:val="105"/>
        </w:rPr>
        <w:t xml:space="preserve"> </w:t>
      </w:r>
      <w:r w:rsidRPr="00283806">
        <w:rPr>
          <w:w w:val="105"/>
        </w:rPr>
        <w:t>for</w:t>
      </w:r>
      <w:r w:rsidRPr="00283806">
        <w:rPr>
          <w:spacing w:val="40"/>
          <w:w w:val="105"/>
        </w:rPr>
        <w:t xml:space="preserve"> </w:t>
      </w:r>
      <w:r w:rsidRPr="00283806">
        <w:rPr>
          <w:w w:val="105"/>
        </w:rPr>
        <w:t>reclaimed HFCs could drive changes in potential</w:t>
      </w:r>
      <w:r w:rsidRPr="00283806">
        <w:rPr>
          <w:spacing w:val="40"/>
          <w:w w:val="105"/>
        </w:rPr>
        <w:t xml:space="preserve"> </w:t>
      </w:r>
      <w:r w:rsidRPr="00283806">
        <w:rPr>
          <w:w w:val="105"/>
        </w:rPr>
        <w:t>risk for communities living near these facilities</w:t>
      </w:r>
      <w:r w:rsidRPr="00283806">
        <w:rPr>
          <w:spacing w:val="40"/>
          <w:w w:val="105"/>
        </w:rPr>
        <w:t xml:space="preserve"> </w:t>
      </w:r>
      <w:r w:rsidRPr="00283806">
        <w:rPr>
          <w:w w:val="105"/>
        </w:rPr>
        <w:t>due</w:t>
      </w:r>
      <w:r w:rsidRPr="00283806">
        <w:rPr>
          <w:spacing w:val="40"/>
          <w:w w:val="105"/>
        </w:rPr>
        <w:t xml:space="preserve"> </w:t>
      </w:r>
      <w:r w:rsidRPr="00283806">
        <w:rPr>
          <w:w w:val="105"/>
        </w:rPr>
        <w:t>to</w:t>
      </w:r>
      <w:r w:rsidRPr="00283806">
        <w:rPr>
          <w:spacing w:val="40"/>
          <w:w w:val="105"/>
        </w:rPr>
        <w:t xml:space="preserve"> </w:t>
      </w:r>
      <w:r w:rsidRPr="00283806">
        <w:rPr>
          <w:w w:val="105"/>
        </w:rPr>
        <w:t>the</w:t>
      </w:r>
      <w:r w:rsidRPr="00283806">
        <w:rPr>
          <w:spacing w:val="40"/>
          <w:w w:val="105"/>
        </w:rPr>
        <w:t xml:space="preserve"> </w:t>
      </w:r>
      <w:r w:rsidRPr="00283806">
        <w:rPr>
          <w:w w:val="105"/>
        </w:rPr>
        <w:t>changes</w:t>
      </w:r>
      <w:r w:rsidRPr="00283806">
        <w:rPr>
          <w:spacing w:val="40"/>
          <w:w w:val="105"/>
        </w:rPr>
        <w:t xml:space="preserve"> </w:t>
      </w:r>
      <w:r w:rsidRPr="00283806">
        <w:rPr>
          <w:w w:val="105"/>
        </w:rPr>
        <w:t>in emissions</w:t>
      </w:r>
      <w:r w:rsidRPr="00283806">
        <w:rPr>
          <w:spacing w:val="40"/>
          <w:w w:val="105"/>
        </w:rPr>
        <w:t xml:space="preserve"> </w:t>
      </w:r>
      <w:r w:rsidRPr="00283806">
        <w:rPr>
          <w:w w:val="105"/>
        </w:rPr>
        <w:t>that</w:t>
      </w:r>
      <w:r w:rsidRPr="00283806">
        <w:rPr>
          <w:spacing w:val="40"/>
          <w:w w:val="105"/>
        </w:rPr>
        <w:t xml:space="preserve"> </w:t>
      </w:r>
      <w:r w:rsidRPr="00283806">
        <w:rPr>
          <w:w w:val="105"/>
        </w:rPr>
        <w:t>could</w:t>
      </w:r>
      <w:r w:rsidRPr="00283806">
        <w:rPr>
          <w:spacing w:val="40"/>
          <w:w w:val="105"/>
        </w:rPr>
        <w:t xml:space="preserve"> </w:t>
      </w:r>
      <w:r w:rsidRPr="00283806">
        <w:rPr>
          <w:w w:val="105"/>
        </w:rPr>
        <w:t>have</w:t>
      </w:r>
      <w:r w:rsidRPr="00283806">
        <w:rPr>
          <w:spacing w:val="40"/>
          <w:w w:val="105"/>
        </w:rPr>
        <w:t xml:space="preserve"> </w:t>
      </w:r>
      <w:r w:rsidRPr="00283806">
        <w:rPr>
          <w:w w:val="105"/>
        </w:rPr>
        <w:t>local</w:t>
      </w:r>
      <w:r w:rsidRPr="00283806">
        <w:rPr>
          <w:spacing w:val="40"/>
          <w:w w:val="105"/>
        </w:rPr>
        <w:t xml:space="preserve"> </w:t>
      </w:r>
      <w:r w:rsidRPr="00283806">
        <w:rPr>
          <w:w w:val="105"/>
        </w:rPr>
        <w:t>effects is uncertain. However, the nature and location of the emission changes are uncertain.</w:t>
      </w:r>
      <w:r w:rsidRPr="00283806">
        <w:rPr>
          <w:spacing w:val="40"/>
          <w:w w:val="105"/>
        </w:rPr>
        <w:t xml:space="preserve"> </w:t>
      </w:r>
      <w:r w:rsidRPr="00283806">
        <w:rPr>
          <w:w w:val="105"/>
        </w:rPr>
        <w:t>Moreover,</w:t>
      </w:r>
      <w:r w:rsidRPr="00283806">
        <w:rPr>
          <w:spacing w:val="40"/>
          <w:w w:val="105"/>
        </w:rPr>
        <w:t xml:space="preserve"> </w:t>
      </w:r>
      <w:r w:rsidRPr="00283806">
        <w:rPr>
          <w:w w:val="105"/>
        </w:rPr>
        <w:t>there</w:t>
      </w:r>
      <w:r w:rsidRPr="00283806">
        <w:rPr>
          <w:spacing w:val="40"/>
          <w:w w:val="105"/>
        </w:rPr>
        <w:t xml:space="preserve"> </w:t>
      </w:r>
      <w:r w:rsidRPr="00283806">
        <w:rPr>
          <w:w w:val="105"/>
        </w:rPr>
        <w:t>is insufficient information at this time</w:t>
      </w:r>
      <w:r w:rsidRPr="00283806">
        <w:rPr>
          <w:spacing w:val="40"/>
          <w:w w:val="105"/>
        </w:rPr>
        <w:t xml:space="preserve"> </w:t>
      </w:r>
      <w:r w:rsidRPr="00283806">
        <w:rPr>
          <w:w w:val="105"/>
        </w:rPr>
        <w:t>about which facilities will change reclamation processes. Given limited</w:t>
      </w:r>
    </w:p>
    <w:p w14:paraId="40C0562C"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7" w:space="40"/>
            <w:col w:w="3470" w:space="53"/>
            <w:col w:w="3640"/>
          </w:cols>
        </w:sectPr>
      </w:pPr>
    </w:p>
    <w:p w14:paraId="2DB6B824" w14:textId="77777777" w:rsidR="00D67C1E" w:rsidRPr="00283806" w:rsidRDefault="001265CA">
      <w:pPr>
        <w:pStyle w:val="BodyText"/>
        <w:spacing w:before="134" w:line="228" w:lineRule="auto"/>
        <w:ind w:right="20"/>
      </w:pPr>
      <w:r w:rsidRPr="00283806">
        <w:rPr>
          <w:w w:val="105"/>
        </w:rPr>
        <w:lastRenderedPageBreak/>
        <w:t>information at this time, it is unclear to what</w:t>
      </w:r>
      <w:r w:rsidRPr="00283806">
        <w:rPr>
          <w:spacing w:val="40"/>
          <w:w w:val="105"/>
        </w:rPr>
        <w:t xml:space="preserve"> </w:t>
      </w:r>
      <w:r w:rsidRPr="00283806">
        <w:rPr>
          <w:w w:val="105"/>
        </w:rPr>
        <w:t>extent</w:t>
      </w:r>
      <w:r w:rsidRPr="00283806">
        <w:rPr>
          <w:spacing w:val="40"/>
          <w:w w:val="105"/>
        </w:rPr>
        <w:t xml:space="preserve"> </w:t>
      </w:r>
      <w:r w:rsidRPr="00283806">
        <w:rPr>
          <w:w w:val="105"/>
        </w:rPr>
        <w:t>this</w:t>
      </w:r>
      <w:r w:rsidRPr="00283806">
        <w:rPr>
          <w:spacing w:val="40"/>
          <w:w w:val="105"/>
        </w:rPr>
        <w:t xml:space="preserve"> </w:t>
      </w:r>
      <w:r w:rsidRPr="00283806">
        <w:rPr>
          <w:w w:val="105"/>
        </w:rPr>
        <w:t>rule</w:t>
      </w:r>
      <w:r w:rsidRPr="00283806">
        <w:rPr>
          <w:spacing w:val="40"/>
          <w:w w:val="105"/>
        </w:rPr>
        <w:t xml:space="preserve"> </w:t>
      </w:r>
      <w:r w:rsidRPr="00283806">
        <w:rPr>
          <w:w w:val="105"/>
        </w:rPr>
        <w:t>will</w:t>
      </w:r>
      <w:r w:rsidRPr="00283806">
        <w:rPr>
          <w:spacing w:val="40"/>
          <w:w w:val="105"/>
        </w:rPr>
        <w:t xml:space="preserve"> </w:t>
      </w:r>
      <w:r w:rsidRPr="00283806">
        <w:rPr>
          <w:w w:val="105"/>
        </w:rPr>
        <w:t>impact existing disproportionate adverse effects on communities living near HFC reclamation facilities. The Agency will continue to evaluate the impacts of this rulemaking on affected communities, including communities with environmental justice concerns, and consider further action, as appropriate,</w:t>
      </w:r>
      <w:r w:rsidRPr="00283806">
        <w:rPr>
          <w:spacing w:val="40"/>
          <w:w w:val="105"/>
        </w:rPr>
        <w:t xml:space="preserve"> </w:t>
      </w:r>
      <w:r w:rsidRPr="00283806">
        <w:rPr>
          <w:w w:val="105"/>
        </w:rPr>
        <w:t>to protect health in communities</w:t>
      </w:r>
      <w:r w:rsidRPr="00283806">
        <w:rPr>
          <w:spacing w:val="80"/>
          <w:w w:val="105"/>
        </w:rPr>
        <w:t xml:space="preserve"> </w:t>
      </w:r>
      <w:r w:rsidRPr="00283806">
        <w:rPr>
          <w:w w:val="105"/>
        </w:rPr>
        <w:t>affected by HFC reclamation. The information supporting this Executive Order review is contained in section VII of this preamble.</w:t>
      </w:r>
    </w:p>
    <w:p w14:paraId="55C314F8" w14:textId="77777777" w:rsidR="00D67C1E" w:rsidRPr="00283806" w:rsidRDefault="001265CA">
      <w:pPr>
        <w:pStyle w:val="ListParagraph"/>
        <w:numPr>
          <w:ilvl w:val="1"/>
          <w:numId w:val="64"/>
        </w:numPr>
        <w:tabs>
          <w:tab w:val="left" w:pos="379"/>
        </w:tabs>
        <w:spacing w:before="89"/>
        <w:ind w:left="379" w:hanging="219"/>
        <w:rPr>
          <w:rFonts w:ascii="Book Antiqua"/>
          <w:i/>
          <w:sz w:val="18"/>
        </w:rPr>
      </w:pPr>
      <w:r w:rsidRPr="00283806">
        <w:rPr>
          <w:rFonts w:ascii="Book Antiqua"/>
          <w:i/>
          <w:w w:val="110"/>
          <w:sz w:val="18"/>
        </w:rPr>
        <w:t>Congressional</w:t>
      </w:r>
      <w:r w:rsidRPr="00283806">
        <w:rPr>
          <w:rFonts w:ascii="Book Antiqua"/>
          <w:i/>
          <w:spacing w:val="4"/>
          <w:w w:val="110"/>
          <w:sz w:val="18"/>
        </w:rPr>
        <w:t xml:space="preserve"> </w:t>
      </w:r>
      <w:r w:rsidRPr="00283806">
        <w:rPr>
          <w:rFonts w:ascii="Book Antiqua"/>
          <w:i/>
          <w:w w:val="110"/>
          <w:sz w:val="18"/>
        </w:rPr>
        <w:t>Review</w:t>
      </w:r>
      <w:r w:rsidRPr="00283806">
        <w:rPr>
          <w:rFonts w:ascii="Book Antiqua"/>
          <w:i/>
          <w:spacing w:val="5"/>
          <w:w w:val="110"/>
          <w:sz w:val="18"/>
        </w:rPr>
        <w:t xml:space="preserve"> </w:t>
      </w:r>
      <w:r w:rsidRPr="00283806">
        <w:rPr>
          <w:rFonts w:ascii="Book Antiqua"/>
          <w:i/>
          <w:w w:val="110"/>
          <w:sz w:val="18"/>
        </w:rPr>
        <w:t>Act</w:t>
      </w:r>
      <w:r w:rsidRPr="00283806">
        <w:rPr>
          <w:rFonts w:ascii="Book Antiqua"/>
          <w:i/>
          <w:spacing w:val="4"/>
          <w:w w:val="110"/>
          <w:sz w:val="18"/>
        </w:rPr>
        <w:t xml:space="preserve"> </w:t>
      </w:r>
      <w:r w:rsidRPr="00283806">
        <w:rPr>
          <w:rFonts w:ascii="Book Antiqua"/>
          <w:i/>
          <w:spacing w:val="-2"/>
          <w:w w:val="110"/>
          <w:sz w:val="18"/>
        </w:rPr>
        <w:t>(CRA)</w:t>
      </w:r>
    </w:p>
    <w:p w14:paraId="38084A68" w14:textId="77777777" w:rsidR="00D67C1E" w:rsidRPr="00283806" w:rsidRDefault="001265CA">
      <w:pPr>
        <w:pStyle w:val="BodyText"/>
        <w:spacing w:before="107" w:line="228" w:lineRule="auto"/>
        <w:ind w:right="74" w:firstLine="180"/>
      </w:pPr>
      <w:r w:rsidRPr="00283806">
        <w:rPr>
          <w:w w:val="105"/>
        </w:rPr>
        <w:t>This action is subject to the CRA, and EPA will submit a rule report to each House of the Congress and to the Comptroller General of the United</w:t>
      </w:r>
      <w:r w:rsidRPr="00283806">
        <w:rPr>
          <w:spacing w:val="40"/>
          <w:w w:val="105"/>
        </w:rPr>
        <w:t xml:space="preserve"> </w:t>
      </w:r>
      <w:r w:rsidRPr="00283806">
        <w:rPr>
          <w:w w:val="105"/>
        </w:rPr>
        <w:t>States. This action meets the criteria set forth in 5 U.S.C. 804(2).</w:t>
      </w:r>
    </w:p>
    <w:p w14:paraId="311B493B" w14:textId="77777777" w:rsidR="00D67C1E" w:rsidRPr="00283806" w:rsidRDefault="001265CA">
      <w:pPr>
        <w:pStyle w:val="Heading3"/>
        <w:spacing w:before="90"/>
        <w:rPr>
          <w:rFonts w:ascii="Book Antiqua"/>
        </w:rPr>
      </w:pPr>
      <w:r w:rsidRPr="00283806">
        <w:rPr>
          <w:rFonts w:ascii="Book Antiqua"/>
        </w:rPr>
        <w:t>List</w:t>
      </w:r>
      <w:r w:rsidRPr="00283806">
        <w:rPr>
          <w:rFonts w:ascii="Book Antiqua"/>
          <w:spacing w:val="-2"/>
        </w:rPr>
        <w:t xml:space="preserve"> </w:t>
      </w:r>
      <w:r w:rsidRPr="00283806">
        <w:rPr>
          <w:rFonts w:ascii="Book Antiqua"/>
        </w:rPr>
        <w:t>of</w:t>
      </w:r>
      <w:r w:rsidRPr="00283806">
        <w:rPr>
          <w:rFonts w:ascii="Book Antiqua"/>
          <w:spacing w:val="-1"/>
        </w:rPr>
        <w:t xml:space="preserve"> </w:t>
      </w:r>
      <w:r w:rsidRPr="00283806">
        <w:rPr>
          <w:rFonts w:ascii="Book Antiqua"/>
          <w:spacing w:val="-2"/>
        </w:rPr>
        <w:t>Subjects</w:t>
      </w:r>
    </w:p>
    <w:p w14:paraId="7ED520EA" w14:textId="77777777" w:rsidR="00D67C1E" w:rsidRPr="00283806" w:rsidRDefault="001265CA">
      <w:pPr>
        <w:spacing w:before="86"/>
        <w:ind w:left="160"/>
        <w:rPr>
          <w:rFonts w:ascii="Book Antiqua"/>
          <w:i/>
          <w:sz w:val="18"/>
        </w:rPr>
      </w:pPr>
      <w:r w:rsidRPr="00283806">
        <w:rPr>
          <w:rFonts w:ascii="Book Antiqua"/>
          <w:i/>
          <w:w w:val="105"/>
          <w:sz w:val="18"/>
        </w:rPr>
        <w:t>40</w:t>
      </w:r>
      <w:r w:rsidRPr="00283806">
        <w:rPr>
          <w:rFonts w:ascii="Book Antiqua"/>
          <w:i/>
          <w:spacing w:val="1"/>
          <w:w w:val="105"/>
          <w:sz w:val="18"/>
        </w:rPr>
        <w:t xml:space="preserve"> </w:t>
      </w:r>
      <w:r w:rsidRPr="00283806">
        <w:rPr>
          <w:rFonts w:ascii="Book Antiqua"/>
          <w:i/>
          <w:w w:val="105"/>
          <w:sz w:val="18"/>
        </w:rPr>
        <w:t>CFR</w:t>
      </w:r>
      <w:r w:rsidRPr="00283806">
        <w:rPr>
          <w:rFonts w:ascii="Book Antiqua"/>
          <w:i/>
          <w:spacing w:val="2"/>
          <w:w w:val="105"/>
          <w:sz w:val="18"/>
        </w:rPr>
        <w:t xml:space="preserve"> </w:t>
      </w:r>
      <w:r w:rsidRPr="00283806">
        <w:rPr>
          <w:rFonts w:ascii="Book Antiqua"/>
          <w:i/>
          <w:w w:val="105"/>
          <w:sz w:val="18"/>
        </w:rPr>
        <w:t>Part</w:t>
      </w:r>
      <w:r w:rsidRPr="00283806">
        <w:rPr>
          <w:rFonts w:ascii="Book Antiqua"/>
          <w:i/>
          <w:spacing w:val="2"/>
          <w:w w:val="105"/>
          <w:sz w:val="18"/>
        </w:rPr>
        <w:t xml:space="preserve"> </w:t>
      </w:r>
      <w:r w:rsidRPr="00283806">
        <w:rPr>
          <w:rFonts w:ascii="Book Antiqua"/>
          <w:i/>
          <w:spacing w:val="-7"/>
          <w:w w:val="105"/>
          <w:sz w:val="18"/>
        </w:rPr>
        <w:t>84</w:t>
      </w:r>
    </w:p>
    <w:p w14:paraId="515CB1F5" w14:textId="77777777" w:rsidR="00D67C1E" w:rsidRPr="00283806" w:rsidRDefault="001265CA">
      <w:pPr>
        <w:pStyle w:val="BodyText"/>
        <w:spacing w:before="107" w:line="228" w:lineRule="auto"/>
        <w:ind w:right="26" w:firstLine="180"/>
      </w:pPr>
      <w:r w:rsidRPr="00283806">
        <w:rPr>
          <w:w w:val="110"/>
        </w:rPr>
        <w:t xml:space="preserve">Environmental protection, </w:t>
      </w:r>
      <w:proofErr w:type="gramStart"/>
      <w:r w:rsidRPr="00283806">
        <w:rPr>
          <w:w w:val="110"/>
        </w:rPr>
        <w:t>Administrative</w:t>
      </w:r>
      <w:proofErr w:type="gramEnd"/>
      <w:r w:rsidRPr="00283806">
        <w:rPr>
          <w:spacing w:val="-11"/>
          <w:w w:val="110"/>
        </w:rPr>
        <w:t xml:space="preserve"> </w:t>
      </w:r>
      <w:r w:rsidRPr="00283806">
        <w:rPr>
          <w:w w:val="110"/>
        </w:rPr>
        <w:t>practice</w:t>
      </w:r>
      <w:r w:rsidRPr="00283806">
        <w:rPr>
          <w:spacing w:val="-11"/>
          <w:w w:val="110"/>
        </w:rPr>
        <w:t xml:space="preserve"> </w:t>
      </w:r>
      <w:r w:rsidRPr="00283806">
        <w:rPr>
          <w:w w:val="110"/>
        </w:rPr>
        <w:t>and</w:t>
      </w:r>
      <w:r w:rsidRPr="00283806">
        <w:rPr>
          <w:spacing w:val="-11"/>
          <w:w w:val="110"/>
        </w:rPr>
        <w:t xml:space="preserve"> </w:t>
      </w:r>
      <w:r w:rsidRPr="00283806">
        <w:rPr>
          <w:w w:val="110"/>
        </w:rPr>
        <w:t>procedure, Air pollution control, Chemicals, Climate</w:t>
      </w:r>
      <w:r w:rsidRPr="00283806">
        <w:rPr>
          <w:spacing w:val="-9"/>
          <w:w w:val="110"/>
        </w:rPr>
        <w:t xml:space="preserve"> </w:t>
      </w:r>
      <w:r w:rsidRPr="00283806">
        <w:rPr>
          <w:w w:val="110"/>
        </w:rPr>
        <w:t>change,</w:t>
      </w:r>
      <w:r w:rsidRPr="00283806">
        <w:rPr>
          <w:spacing w:val="-9"/>
          <w:w w:val="110"/>
        </w:rPr>
        <w:t xml:space="preserve"> </w:t>
      </w:r>
      <w:r w:rsidRPr="00283806">
        <w:rPr>
          <w:w w:val="110"/>
        </w:rPr>
        <w:t>Emissions,</w:t>
      </w:r>
      <w:r w:rsidRPr="00283806">
        <w:rPr>
          <w:spacing w:val="-9"/>
          <w:w w:val="110"/>
        </w:rPr>
        <w:t xml:space="preserve"> </w:t>
      </w:r>
      <w:r w:rsidRPr="00283806">
        <w:rPr>
          <w:w w:val="110"/>
        </w:rPr>
        <w:t xml:space="preserve">Reclaiming, </w:t>
      </w:r>
      <w:r w:rsidRPr="00283806">
        <w:t>Recycling, Reporting and recordkeeping</w:t>
      </w:r>
      <w:r w:rsidRPr="00283806">
        <w:rPr>
          <w:spacing w:val="40"/>
          <w:w w:val="110"/>
        </w:rPr>
        <w:t xml:space="preserve"> </w:t>
      </w:r>
      <w:r w:rsidRPr="00283806">
        <w:rPr>
          <w:spacing w:val="-2"/>
          <w:w w:val="110"/>
        </w:rPr>
        <w:t>requirements.</w:t>
      </w:r>
    </w:p>
    <w:p w14:paraId="6C23F511" w14:textId="77777777" w:rsidR="00D67C1E" w:rsidRPr="00283806" w:rsidRDefault="001265CA">
      <w:pPr>
        <w:spacing w:before="93"/>
        <w:ind w:left="160"/>
        <w:rPr>
          <w:rFonts w:ascii="Book Antiqua"/>
          <w:i/>
          <w:sz w:val="18"/>
        </w:rPr>
      </w:pPr>
      <w:r w:rsidRPr="00283806">
        <w:rPr>
          <w:rFonts w:ascii="Book Antiqua"/>
          <w:i/>
          <w:w w:val="105"/>
          <w:sz w:val="18"/>
        </w:rPr>
        <w:t>40</w:t>
      </w:r>
      <w:r w:rsidRPr="00283806">
        <w:rPr>
          <w:rFonts w:ascii="Book Antiqua"/>
          <w:i/>
          <w:spacing w:val="1"/>
          <w:w w:val="105"/>
          <w:sz w:val="18"/>
        </w:rPr>
        <w:t xml:space="preserve"> </w:t>
      </w:r>
      <w:r w:rsidRPr="00283806">
        <w:rPr>
          <w:rFonts w:ascii="Book Antiqua"/>
          <w:i/>
          <w:w w:val="105"/>
          <w:sz w:val="18"/>
        </w:rPr>
        <w:t>CFR</w:t>
      </w:r>
      <w:r w:rsidRPr="00283806">
        <w:rPr>
          <w:rFonts w:ascii="Book Antiqua"/>
          <w:i/>
          <w:spacing w:val="2"/>
          <w:w w:val="105"/>
          <w:sz w:val="18"/>
        </w:rPr>
        <w:t xml:space="preserve"> </w:t>
      </w:r>
      <w:r w:rsidRPr="00283806">
        <w:rPr>
          <w:rFonts w:ascii="Book Antiqua"/>
          <w:i/>
          <w:w w:val="105"/>
          <w:sz w:val="18"/>
        </w:rPr>
        <w:t>Part</w:t>
      </w:r>
      <w:r w:rsidRPr="00283806">
        <w:rPr>
          <w:rFonts w:ascii="Book Antiqua"/>
          <w:i/>
          <w:spacing w:val="2"/>
          <w:w w:val="105"/>
          <w:sz w:val="18"/>
        </w:rPr>
        <w:t xml:space="preserve"> </w:t>
      </w:r>
      <w:r w:rsidRPr="00283806">
        <w:rPr>
          <w:rFonts w:ascii="Book Antiqua"/>
          <w:i/>
          <w:spacing w:val="-5"/>
          <w:w w:val="105"/>
          <w:sz w:val="18"/>
        </w:rPr>
        <w:t>261</w:t>
      </w:r>
    </w:p>
    <w:p w14:paraId="3A7D910D" w14:textId="77777777" w:rsidR="00D67C1E" w:rsidRPr="00283806" w:rsidRDefault="001265CA">
      <w:pPr>
        <w:pStyle w:val="BodyText"/>
        <w:spacing w:before="107" w:line="228" w:lineRule="auto"/>
        <w:ind w:firstLine="180"/>
      </w:pPr>
      <w:r w:rsidRPr="00283806">
        <w:rPr>
          <w:w w:val="105"/>
        </w:rPr>
        <w:t>Environmental protection, Hazardous waste, Recycling, Reporting and recordkeeping requirements.</w:t>
      </w:r>
    </w:p>
    <w:p w14:paraId="7E326D92" w14:textId="77777777" w:rsidR="00D67C1E" w:rsidRPr="00283806" w:rsidRDefault="001265CA">
      <w:pPr>
        <w:spacing w:before="95"/>
        <w:ind w:left="160"/>
        <w:rPr>
          <w:rFonts w:ascii="Book Antiqua"/>
          <w:i/>
          <w:sz w:val="18"/>
        </w:rPr>
      </w:pPr>
      <w:r w:rsidRPr="00283806">
        <w:rPr>
          <w:rFonts w:ascii="Book Antiqua"/>
          <w:i/>
          <w:w w:val="105"/>
          <w:sz w:val="18"/>
        </w:rPr>
        <w:t>40</w:t>
      </w:r>
      <w:r w:rsidRPr="00283806">
        <w:rPr>
          <w:rFonts w:ascii="Book Antiqua"/>
          <w:i/>
          <w:spacing w:val="1"/>
          <w:w w:val="105"/>
          <w:sz w:val="18"/>
        </w:rPr>
        <w:t xml:space="preserve"> </w:t>
      </w:r>
      <w:r w:rsidRPr="00283806">
        <w:rPr>
          <w:rFonts w:ascii="Book Antiqua"/>
          <w:i/>
          <w:w w:val="105"/>
          <w:sz w:val="18"/>
        </w:rPr>
        <w:t>CFR</w:t>
      </w:r>
      <w:r w:rsidRPr="00283806">
        <w:rPr>
          <w:rFonts w:ascii="Book Antiqua"/>
          <w:i/>
          <w:spacing w:val="2"/>
          <w:w w:val="105"/>
          <w:sz w:val="18"/>
        </w:rPr>
        <w:t xml:space="preserve"> </w:t>
      </w:r>
      <w:r w:rsidRPr="00283806">
        <w:rPr>
          <w:rFonts w:ascii="Book Antiqua"/>
          <w:i/>
          <w:w w:val="105"/>
          <w:sz w:val="18"/>
        </w:rPr>
        <w:t>Part</w:t>
      </w:r>
      <w:r w:rsidRPr="00283806">
        <w:rPr>
          <w:rFonts w:ascii="Book Antiqua"/>
          <w:i/>
          <w:spacing w:val="2"/>
          <w:w w:val="105"/>
          <w:sz w:val="18"/>
        </w:rPr>
        <w:t xml:space="preserve"> </w:t>
      </w:r>
      <w:r w:rsidRPr="00283806">
        <w:rPr>
          <w:rFonts w:ascii="Book Antiqua"/>
          <w:i/>
          <w:spacing w:val="-5"/>
          <w:w w:val="105"/>
          <w:sz w:val="18"/>
        </w:rPr>
        <w:t>262</w:t>
      </w:r>
    </w:p>
    <w:p w14:paraId="6FA26FAD" w14:textId="77777777" w:rsidR="00D67C1E" w:rsidRPr="00283806" w:rsidRDefault="001265CA">
      <w:pPr>
        <w:pStyle w:val="BodyText"/>
        <w:spacing w:before="107" w:line="228" w:lineRule="auto"/>
        <w:ind w:right="109" w:firstLine="180"/>
      </w:pPr>
      <w:r w:rsidRPr="00283806">
        <w:rPr>
          <w:w w:val="105"/>
        </w:rPr>
        <w:t>Environmental protection, Exports, Hazardous materials transportation, Hazardous waste, Imports, Labeling, Packaging and containers, Reporting and recordkeeping requirements.</w:t>
      </w:r>
    </w:p>
    <w:p w14:paraId="45A32094" w14:textId="77777777" w:rsidR="00D67C1E" w:rsidRPr="00283806" w:rsidRDefault="001265CA">
      <w:pPr>
        <w:spacing w:before="93"/>
        <w:ind w:left="160"/>
        <w:rPr>
          <w:rFonts w:ascii="Book Antiqua"/>
          <w:i/>
          <w:sz w:val="18"/>
        </w:rPr>
      </w:pPr>
      <w:r w:rsidRPr="00283806">
        <w:rPr>
          <w:rFonts w:ascii="Book Antiqua"/>
          <w:i/>
          <w:w w:val="105"/>
          <w:sz w:val="18"/>
        </w:rPr>
        <w:t>40</w:t>
      </w:r>
      <w:r w:rsidRPr="00283806">
        <w:rPr>
          <w:rFonts w:ascii="Book Antiqua"/>
          <w:i/>
          <w:spacing w:val="1"/>
          <w:w w:val="105"/>
          <w:sz w:val="18"/>
        </w:rPr>
        <w:t xml:space="preserve"> </w:t>
      </w:r>
      <w:r w:rsidRPr="00283806">
        <w:rPr>
          <w:rFonts w:ascii="Book Antiqua"/>
          <w:i/>
          <w:w w:val="105"/>
          <w:sz w:val="18"/>
        </w:rPr>
        <w:t>CFR</w:t>
      </w:r>
      <w:r w:rsidRPr="00283806">
        <w:rPr>
          <w:rFonts w:ascii="Book Antiqua"/>
          <w:i/>
          <w:spacing w:val="2"/>
          <w:w w:val="105"/>
          <w:sz w:val="18"/>
        </w:rPr>
        <w:t xml:space="preserve"> </w:t>
      </w:r>
      <w:r w:rsidRPr="00283806">
        <w:rPr>
          <w:rFonts w:ascii="Book Antiqua"/>
          <w:i/>
          <w:w w:val="105"/>
          <w:sz w:val="18"/>
        </w:rPr>
        <w:t>Part</w:t>
      </w:r>
      <w:r w:rsidRPr="00283806">
        <w:rPr>
          <w:rFonts w:ascii="Book Antiqua"/>
          <w:i/>
          <w:spacing w:val="2"/>
          <w:w w:val="105"/>
          <w:sz w:val="18"/>
        </w:rPr>
        <w:t xml:space="preserve"> </w:t>
      </w:r>
      <w:r w:rsidRPr="00283806">
        <w:rPr>
          <w:rFonts w:ascii="Book Antiqua"/>
          <w:i/>
          <w:spacing w:val="-5"/>
          <w:w w:val="105"/>
          <w:sz w:val="18"/>
        </w:rPr>
        <w:t>266</w:t>
      </w:r>
    </w:p>
    <w:p w14:paraId="1E25BACA" w14:textId="77777777" w:rsidR="00D67C1E" w:rsidRPr="00283806" w:rsidRDefault="001265CA">
      <w:pPr>
        <w:pStyle w:val="BodyText"/>
        <w:spacing w:before="108" w:line="228" w:lineRule="auto"/>
        <w:ind w:firstLine="180"/>
      </w:pPr>
      <w:r w:rsidRPr="00283806">
        <w:rPr>
          <w:w w:val="105"/>
        </w:rPr>
        <w:t>Environmental protection, Energy, Hazardous waste, Recycling, Reporting and recordkeeping requirements.</w:t>
      </w:r>
    </w:p>
    <w:p w14:paraId="287B95E0" w14:textId="77777777" w:rsidR="00D67C1E" w:rsidRPr="00283806" w:rsidRDefault="001265CA">
      <w:pPr>
        <w:spacing w:before="94"/>
        <w:ind w:left="160"/>
        <w:rPr>
          <w:rFonts w:ascii="Book Antiqua"/>
          <w:i/>
          <w:sz w:val="18"/>
        </w:rPr>
      </w:pPr>
      <w:r w:rsidRPr="00283806">
        <w:rPr>
          <w:rFonts w:ascii="Book Antiqua"/>
          <w:i/>
          <w:w w:val="105"/>
          <w:sz w:val="18"/>
        </w:rPr>
        <w:t>40</w:t>
      </w:r>
      <w:r w:rsidRPr="00283806">
        <w:rPr>
          <w:rFonts w:ascii="Book Antiqua"/>
          <w:i/>
          <w:spacing w:val="1"/>
          <w:w w:val="105"/>
          <w:sz w:val="18"/>
        </w:rPr>
        <w:t xml:space="preserve"> </w:t>
      </w:r>
      <w:r w:rsidRPr="00283806">
        <w:rPr>
          <w:rFonts w:ascii="Book Antiqua"/>
          <w:i/>
          <w:w w:val="105"/>
          <w:sz w:val="18"/>
        </w:rPr>
        <w:t>CFR</w:t>
      </w:r>
      <w:r w:rsidRPr="00283806">
        <w:rPr>
          <w:rFonts w:ascii="Book Antiqua"/>
          <w:i/>
          <w:spacing w:val="2"/>
          <w:w w:val="105"/>
          <w:sz w:val="18"/>
        </w:rPr>
        <w:t xml:space="preserve"> </w:t>
      </w:r>
      <w:r w:rsidRPr="00283806">
        <w:rPr>
          <w:rFonts w:ascii="Book Antiqua"/>
          <w:i/>
          <w:w w:val="105"/>
          <w:sz w:val="18"/>
        </w:rPr>
        <w:t>Part</w:t>
      </w:r>
      <w:r w:rsidRPr="00283806">
        <w:rPr>
          <w:rFonts w:ascii="Book Antiqua"/>
          <w:i/>
          <w:spacing w:val="2"/>
          <w:w w:val="105"/>
          <w:sz w:val="18"/>
        </w:rPr>
        <w:t xml:space="preserve"> </w:t>
      </w:r>
      <w:r w:rsidRPr="00283806">
        <w:rPr>
          <w:rFonts w:ascii="Book Antiqua"/>
          <w:i/>
          <w:spacing w:val="-5"/>
          <w:w w:val="105"/>
          <w:sz w:val="18"/>
        </w:rPr>
        <w:t>270</w:t>
      </w:r>
    </w:p>
    <w:p w14:paraId="28317896" w14:textId="77777777" w:rsidR="00D67C1E" w:rsidRPr="00283806" w:rsidRDefault="001265CA">
      <w:pPr>
        <w:pStyle w:val="BodyText"/>
        <w:spacing w:before="107" w:line="228" w:lineRule="auto"/>
        <w:ind w:firstLine="180"/>
      </w:pPr>
      <w:r w:rsidRPr="00283806">
        <w:rPr>
          <w:w w:val="105"/>
        </w:rPr>
        <w:t xml:space="preserve">Environmental protection, </w:t>
      </w:r>
      <w:proofErr w:type="gramStart"/>
      <w:r w:rsidRPr="00283806">
        <w:rPr>
          <w:w w:val="105"/>
        </w:rPr>
        <w:t>Administrative</w:t>
      </w:r>
      <w:proofErr w:type="gramEnd"/>
      <w:r w:rsidRPr="00283806">
        <w:rPr>
          <w:w w:val="105"/>
        </w:rPr>
        <w:t xml:space="preserve"> practice and procedure, Confidential business information, Hazardous materials transportation, Hazardous waste, Reporting and recordkeeping requirements, Water pollution control, Water supply.</w:t>
      </w:r>
    </w:p>
    <w:p w14:paraId="0CEBCD8A" w14:textId="77777777" w:rsidR="00D67C1E" w:rsidRPr="00283806" w:rsidRDefault="001265CA">
      <w:pPr>
        <w:spacing w:before="93"/>
        <w:ind w:left="160"/>
        <w:rPr>
          <w:rFonts w:ascii="Book Antiqua"/>
          <w:i/>
          <w:sz w:val="18"/>
        </w:rPr>
      </w:pPr>
      <w:r w:rsidRPr="00283806">
        <w:rPr>
          <w:rFonts w:ascii="Book Antiqua"/>
          <w:i/>
          <w:w w:val="105"/>
          <w:sz w:val="18"/>
        </w:rPr>
        <w:t>40</w:t>
      </w:r>
      <w:r w:rsidRPr="00283806">
        <w:rPr>
          <w:rFonts w:ascii="Book Antiqua"/>
          <w:i/>
          <w:spacing w:val="1"/>
          <w:w w:val="105"/>
          <w:sz w:val="18"/>
        </w:rPr>
        <w:t xml:space="preserve"> </w:t>
      </w:r>
      <w:r w:rsidRPr="00283806">
        <w:rPr>
          <w:rFonts w:ascii="Book Antiqua"/>
          <w:i/>
          <w:w w:val="105"/>
          <w:sz w:val="18"/>
        </w:rPr>
        <w:t>CFR</w:t>
      </w:r>
      <w:r w:rsidRPr="00283806">
        <w:rPr>
          <w:rFonts w:ascii="Book Antiqua"/>
          <w:i/>
          <w:spacing w:val="2"/>
          <w:w w:val="105"/>
          <w:sz w:val="18"/>
        </w:rPr>
        <w:t xml:space="preserve"> </w:t>
      </w:r>
      <w:r w:rsidRPr="00283806">
        <w:rPr>
          <w:rFonts w:ascii="Book Antiqua"/>
          <w:i/>
          <w:w w:val="105"/>
          <w:sz w:val="18"/>
        </w:rPr>
        <w:t>Part</w:t>
      </w:r>
      <w:r w:rsidRPr="00283806">
        <w:rPr>
          <w:rFonts w:ascii="Book Antiqua"/>
          <w:i/>
          <w:spacing w:val="2"/>
          <w:w w:val="105"/>
          <w:sz w:val="18"/>
        </w:rPr>
        <w:t xml:space="preserve"> </w:t>
      </w:r>
      <w:r w:rsidRPr="00283806">
        <w:rPr>
          <w:rFonts w:ascii="Book Antiqua"/>
          <w:i/>
          <w:spacing w:val="-5"/>
          <w:w w:val="105"/>
          <w:sz w:val="18"/>
        </w:rPr>
        <w:t>271</w:t>
      </w:r>
    </w:p>
    <w:p w14:paraId="4D38DFB4" w14:textId="77777777" w:rsidR="00D67C1E" w:rsidRPr="00283806" w:rsidRDefault="001265CA">
      <w:pPr>
        <w:pStyle w:val="BodyText"/>
        <w:spacing w:before="107" w:line="228" w:lineRule="auto"/>
        <w:ind w:firstLine="180"/>
      </w:pPr>
      <w:r w:rsidRPr="00283806">
        <w:rPr>
          <w:w w:val="105"/>
        </w:rPr>
        <w:t xml:space="preserve">Environmental protection, </w:t>
      </w:r>
      <w:proofErr w:type="gramStart"/>
      <w:r w:rsidRPr="00283806">
        <w:rPr>
          <w:w w:val="105"/>
        </w:rPr>
        <w:t>Administrative</w:t>
      </w:r>
      <w:proofErr w:type="gramEnd"/>
      <w:r w:rsidRPr="00283806">
        <w:rPr>
          <w:w w:val="105"/>
        </w:rPr>
        <w:t xml:space="preserve"> practice and procedure, Confidential business information, Hazardous materials transportation, Hazardous waste, Indians—lands, Intergovernmental relations, Penalties, Reporting and recordkeeping</w:t>
      </w:r>
    </w:p>
    <w:p w14:paraId="19EADB8D" w14:textId="77777777" w:rsidR="00D67C1E" w:rsidRPr="00283806" w:rsidRDefault="001265CA">
      <w:pPr>
        <w:pStyle w:val="BodyText"/>
        <w:spacing w:before="134" w:line="228" w:lineRule="auto"/>
        <w:ind w:right="21"/>
      </w:pPr>
      <w:r w:rsidRPr="00283806">
        <w:br w:type="column"/>
      </w:r>
      <w:r w:rsidRPr="00283806">
        <w:rPr>
          <w:w w:val="105"/>
        </w:rPr>
        <w:t>requirements, Water pollution control, Water supply.</w:t>
      </w:r>
    </w:p>
    <w:p w14:paraId="61F57DEC" w14:textId="77777777" w:rsidR="00D67C1E" w:rsidRPr="00283806" w:rsidRDefault="001265CA">
      <w:pPr>
        <w:spacing w:before="111"/>
        <w:ind w:left="160"/>
        <w:rPr>
          <w:rFonts w:ascii="Book Antiqua"/>
          <w:b/>
          <w:sz w:val="16"/>
        </w:rPr>
      </w:pPr>
      <w:r w:rsidRPr="00283806">
        <w:rPr>
          <w:rFonts w:ascii="Book Antiqua"/>
          <w:b/>
          <w:sz w:val="16"/>
        </w:rPr>
        <w:t>Michael</w:t>
      </w:r>
      <w:r w:rsidRPr="00283806">
        <w:rPr>
          <w:rFonts w:ascii="Book Antiqua"/>
          <w:b/>
          <w:spacing w:val="9"/>
          <w:sz w:val="16"/>
        </w:rPr>
        <w:t xml:space="preserve"> </w:t>
      </w:r>
      <w:r w:rsidRPr="00283806">
        <w:rPr>
          <w:rFonts w:ascii="Book Antiqua"/>
          <w:b/>
          <w:sz w:val="16"/>
        </w:rPr>
        <w:t>S.</w:t>
      </w:r>
      <w:r w:rsidRPr="00283806">
        <w:rPr>
          <w:rFonts w:ascii="Book Antiqua"/>
          <w:b/>
          <w:spacing w:val="9"/>
          <w:sz w:val="16"/>
        </w:rPr>
        <w:t xml:space="preserve"> </w:t>
      </w:r>
      <w:r w:rsidRPr="00283806">
        <w:rPr>
          <w:rFonts w:ascii="Book Antiqua"/>
          <w:b/>
          <w:spacing w:val="-2"/>
          <w:sz w:val="16"/>
        </w:rPr>
        <w:t>Regan,</w:t>
      </w:r>
    </w:p>
    <w:p w14:paraId="21ECAE70" w14:textId="77777777" w:rsidR="00D67C1E" w:rsidRPr="00283806" w:rsidRDefault="001265CA">
      <w:pPr>
        <w:spacing w:before="30"/>
        <w:ind w:left="160"/>
        <w:rPr>
          <w:rFonts w:ascii="Book Antiqua"/>
          <w:i/>
          <w:sz w:val="16"/>
        </w:rPr>
      </w:pPr>
      <w:r w:rsidRPr="00283806">
        <w:rPr>
          <w:rFonts w:ascii="Book Antiqua"/>
          <w:i/>
          <w:spacing w:val="-2"/>
          <w:w w:val="110"/>
          <w:sz w:val="16"/>
        </w:rPr>
        <w:t>Administrator.</w:t>
      </w:r>
    </w:p>
    <w:p w14:paraId="0FECC127" w14:textId="77777777" w:rsidR="00D67C1E" w:rsidRPr="00283806" w:rsidRDefault="001265CA">
      <w:pPr>
        <w:pStyle w:val="BodyText"/>
        <w:spacing w:before="84" w:line="228" w:lineRule="auto"/>
        <w:ind w:right="74" w:firstLine="180"/>
      </w:pPr>
      <w:r w:rsidRPr="00283806">
        <w:rPr>
          <w:w w:val="105"/>
        </w:rPr>
        <w:t>For the reasons stated in the</w:t>
      </w:r>
      <w:r w:rsidRPr="00283806">
        <w:rPr>
          <w:spacing w:val="80"/>
          <w:w w:val="105"/>
        </w:rPr>
        <w:t xml:space="preserve"> </w:t>
      </w:r>
      <w:r w:rsidRPr="00283806">
        <w:rPr>
          <w:w w:val="105"/>
        </w:rPr>
        <w:t>preamble, EPA amends 40 CFR parts 84, 261, 262, 266, 270, and 271 as follows:</w:t>
      </w:r>
    </w:p>
    <w:p w14:paraId="08BAAD11" w14:textId="77777777" w:rsidR="00D67C1E" w:rsidRPr="00283806" w:rsidRDefault="001265CA">
      <w:pPr>
        <w:pStyle w:val="Heading2"/>
        <w:spacing w:before="158" w:line="232" w:lineRule="auto"/>
        <w:ind w:right="21"/>
      </w:pPr>
      <w:r w:rsidRPr="00283806">
        <w:t>PART</w:t>
      </w:r>
      <w:r w:rsidRPr="00283806">
        <w:rPr>
          <w:spacing w:val="-15"/>
        </w:rPr>
        <w:t xml:space="preserve"> </w:t>
      </w:r>
      <w:r w:rsidRPr="00283806">
        <w:t>84—PHASEDOWN</w:t>
      </w:r>
      <w:r w:rsidRPr="00283806">
        <w:rPr>
          <w:spacing w:val="-12"/>
        </w:rPr>
        <w:t xml:space="preserve"> </w:t>
      </w:r>
      <w:r w:rsidRPr="00283806">
        <w:t xml:space="preserve">OF </w:t>
      </w:r>
      <w:r w:rsidRPr="00283806">
        <w:rPr>
          <w:spacing w:val="-2"/>
        </w:rPr>
        <w:t>HYDROFLUOROCARBONS</w:t>
      </w:r>
    </w:p>
    <w:p w14:paraId="7C8E2BFB" w14:textId="77777777" w:rsidR="00D67C1E" w:rsidRPr="00283806" w:rsidRDefault="001265CA">
      <w:pPr>
        <w:pStyle w:val="ListParagraph"/>
        <w:numPr>
          <w:ilvl w:val="0"/>
          <w:numId w:val="39"/>
        </w:numPr>
        <w:tabs>
          <w:tab w:val="left" w:pos="160"/>
          <w:tab w:val="left" w:pos="325"/>
        </w:tabs>
        <w:spacing w:before="172" w:line="228" w:lineRule="auto"/>
        <w:ind w:right="341" w:hanging="1"/>
        <w:rPr>
          <w:sz w:val="18"/>
        </w:rPr>
      </w:pPr>
      <w:r w:rsidRPr="00283806">
        <w:rPr>
          <w:w w:val="105"/>
          <w:sz w:val="18"/>
        </w:rPr>
        <w:t>1.</w:t>
      </w:r>
      <w:r w:rsidRPr="00283806">
        <w:rPr>
          <w:spacing w:val="-7"/>
          <w:w w:val="105"/>
          <w:sz w:val="18"/>
        </w:rPr>
        <w:t xml:space="preserve"> </w:t>
      </w:r>
      <w:r w:rsidRPr="00283806">
        <w:rPr>
          <w:w w:val="105"/>
          <w:sz w:val="18"/>
        </w:rPr>
        <w:t>The</w:t>
      </w:r>
      <w:r w:rsidRPr="00283806">
        <w:rPr>
          <w:spacing w:val="-7"/>
          <w:w w:val="105"/>
          <w:sz w:val="18"/>
        </w:rPr>
        <w:t xml:space="preserve"> </w:t>
      </w:r>
      <w:r w:rsidRPr="00283806">
        <w:rPr>
          <w:w w:val="105"/>
          <w:sz w:val="18"/>
        </w:rPr>
        <w:t>authority</w:t>
      </w:r>
      <w:r w:rsidRPr="00283806">
        <w:rPr>
          <w:spacing w:val="-7"/>
          <w:w w:val="105"/>
          <w:sz w:val="18"/>
        </w:rPr>
        <w:t xml:space="preserve"> </w:t>
      </w:r>
      <w:r w:rsidRPr="00283806">
        <w:rPr>
          <w:w w:val="105"/>
          <w:sz w:val="18"/>
        </w:rPr>
        <w:t>citation</w:t>
      </w:r>
      <w:r w:rsidRPr="00283806">
        <w:rPr>
          <w:spacing w:val="-7"/>
          <w:w w:val="105"/>
          <w:sz w:val="18"/>
        </w:rPr>
        <w:t xml:space="preserve"> </w:t>
      </w:r>
      <w:r w:rsidRPr="00283806">
        <w:rPr>
          <w:w w:val="105"/>
          <w:sz w:val="18"/>
        </w:rPr>
        <w:t>for</w:t>
      </w:r>
      <w:r w:rsidRPr="00283806">
        <w:rPr>
          <w:spacing w:val="-7"/>
          <w:w w:val="105"/>
          <w:sz w:val="18"/>
        </w:rPr>
        <w:t xml:space="preserve"> </w:t>
      </w:r>
      <w:r w:rsidRPr="00283806">
        <w:rPr>
          <w:w w:val="105"/>
          <w:sz w:val="18"/>
        </w:rPr>
        <w:t>part</w:t>
      </w:r>
      <w:r w:rsidRPr="00283806">
        <w:rPr>
          <w:spacing w:val="-7"/>
          <w:w w:val="105"/>
          <w:sz w:val="18"/>
        </w:rPr>
        <w:t xml:space="preserve"> </w:t>
      </w:r>
      <w:r w:rsidRPr="00283806">
        <w:rPr>
          <w:w w:val="105"/>
          <w:sz w:val="18"/>
        </w:rPr>
        <w:t xml:space="preserve">84 continues to </w:t>
      </w:r>
      <w:proofErr w:type="gramStart"/>
      <w:r w:rsidRPr="00283806">
        <w:rPr>
          <w:w w:val="105"/>
          <w:sz w:val="18"/>
        </w:rPr>
        <w:t>read</w:t>
      </w:r>
      <w:proofErr w:type="gramEnd"/>
      <w:r w:rsidRPr="00283806">
        <w:rPr>
          <w:w w:val="105"/>
          <w:sz w:val="18"/>
        </w:rPr>
        <w:t xml:space="preserve"> as follows:</w:t>
      </w:r>
    </w:p>
    <w:p w14:paraId="753A2EF9" w14:textId="77777777" w:rsidR="00D67C1E" w:rsidRPr="00283806" w:rsidRDefault="001265CA">
      <w:pPr>
        <w:spacing w:before="80" w:line="223" w:lineRule="auto"/>
        <w:ind w:left="160" w:right="134" w:firstLine="160"/>
        <w:rPr>
          <w:sz w:val="16"/>
        </w:rPr>
      </w:pPr>
      <w:r w:rsidRPr="00283806">
        <w:rPr>
          <w:rFonts w:ascii="Book Antiqua" w:hAnsi="Book Antiqua"/>
          <w:b/>
          <w:spacing w:val="-2"/>
          <w:w w:val="110"/>
          <w:sz w:val="16"/>
        </w:rPr>
        <w:t>Authority:</w:t>
      </w:r>
      <w:r w:rsidRPr="00283806">
        <w:rPr>
          <w:rFonts w:ascii="Book Antiqua" w:hAnsi="Book Antiqua"/>
          <w:b/>
          <w:spacing w:val="-8"/>
          <w:w w:val="110"/>
          <w:sz w:val="16"/>
        </w:rPr>
        <w:t xml:space="preserve"> </w:t>
      </w:r>
      <w:r w:rsidRPr="00283806">
        <w:rPr>
          <w:spacing w:val="-2"/>
          <w:w w:val="110"/>
          <w:sz w:val="16"/>
        </w:rPr>
        <w:t>Pub.</w:t>
      </w:r>
      <w:r w:rsidRPr="00283806">
        <w:rPr>
          <w:spacing w:val="-4"/>
          <w:w w:val="110"/>
          <w:sz w:val="16"/>
        </w:rPr>
        <w:t xml:space="preserve"> </w:t>
      </w:r>
      <w:r w:rsidRPr="00283806">
        <w:rPr>
          <w:spacing w:val="-2"/>
          <w:w w:val="110"/>
          <w:sz w:val="16"/>
        </w:rPr>
        <w:t>L.</w:t>
      </w:r>
      <w:r w:rsidRPr="00283806">
        <w:rPr>
          <w:spacing w:val="-4"/>
          <w:w w:val="110"/>
          <w:sz w:val="16"/>
        </w:rPr>
        <w:t xml:space="preserve"> </w:t>
      </w:r>
      <w:r w:rsidRPr="00283806">
        <w:rPr>
          <w:spacing w:val="-2"/>
          <w:w w:val="110"/>
          <w:sz w:val="16"/>
        </w:rPr>
        <w:t>116–260,</w:t>
      </w:r>
      <w:r w:rsidRPr="00283806">
        <w:rPr>
          <w:spacing w:val="-4"/>
          <w:w w:val="110"/>
          <w:sz w:val="16"/>
        </w:rPr>
        <w:t xml:space="preserve"> </w:t>
      </w:r>
      <w:r w:rsidRPr="00283806">
        <w:rPr>
          <w:spacing w:val="-2"/>
          <w:w w:val="110"/>
          <w:sz w:val="16"/>
        </w:rPr>
        <w:t>Division</w:t>
      </w:r>
      <w:r w:rsidRPr="00283806">
        <w:rPr>
          <w:spacing w:val="-4"/>
          <w:w w:val="110"/>
          <w:sz w:val="16"/>
        </w:rPr>
        <w:t xml:space="preserve"> </w:t>
      </w:r>
      <w:r w:rsidRPr="00283806">
        <w:rPr>
          <w:spacing w:val="-2"/>
          <w:w w:val="110"/>
          <w:sz w:val="16"/>
        </w:rPr>
        <w:t>S,</w:t>
      </w:r>
      <w:r w:rsidRPr="00283806">
        <w:rPr>
          <w:spacing w:val="40"/>
          <w:w w:val="110"/>
          <w:sz w:val="16"/>
        </w:rPr>
        <w:t xml:space="preserve"> </w:t>
      </w:r>
      <w:r w:rsidRPr="00283806">
        <w:rPr>
          <w:w w:val="110"/>
          <w:sz w:val="16"/>
        </w:rPr>
        <w:t>Sec. 103.</w:t>
      </w:r>
    </w:p>
    <w:p w14:paraId="5428EAC9" w14:textId="77777777" w:rsidR="00D67C1E" w:rsidRPr="00283806" w:rsidRDefault="001265CA">
      <w:pPr>
        <w:pStyle w:val="ListParagraph"/>
        <w:numPr>
          <w:ilvl w:val="0"/>
          <w:numId w:val="39"/>
        </w:numPr>
        <w:tabs>
          <w:tab w:val="left" w:pos="326"/>
        </w:tabs>
        <w:spacing w:before="87" w:line="206" w:lineRule="exact"/>
        <w:ind w:left="326" w:hanging="166"/>
        <w:rPr>
          <w:sz w:val="18"/>
        </w:rPr>
      </w:pPr>
      <w:r w:rsidRPr="00283806">
        <w:rPr>
          <w:sz w:val="18"/>
        </w:rPr>
        <w:t>2.</w:t>
      </w:r>
      <w:r w:rsidRPr="00283806">
        <w:rPr>
          <w:spacing w:val="30"/>
          <w:sz w:val="18"/>
        </w:rPr>
        <w:t xml:space="preserve"> </w:t>
      </w:r>
      <w:r w:rsidRPr="00283806">
        <w:rPr>
          <w:sz w:val="18"/>
        </w:rPr>
        <w:t>Add</w:t>
      </w:r>
      <w:r w:rsidRPr="00283806">
        <w:rPr>
          <w:spacing w:val="31"/>
          <w:sz w:val="18"/>
        </w:rPr>
        <w:t xml:space="preserve"> </w:t>
      </w:r>
      <w:r w:rsidRPr="00283806">
        <w:rPr>
          <w:sz w:val="18"/>
        </w:rPr>
        <w:t>subpart</w:t>
      </w:r>
      <w:r w:rsidRPr="00283806">
        <w:rPr>
          <w:spacing w:val="31"/>
          <w:sz w:val="18"/>
        </w:rPr>
        <w:t xml:space="preserve"> </w:t>
      </w:r>
      <w:r w:rsidRPr="00283806">
        <w:rPr>
          <w:sz w:val="18"/>
        </w:rPr>
        <w:t>C,</w:t>
      </w:r>
      <w:r w:rsidRPr="00283806">
        <w:rPr>
          <w:spacing w:val="30"/>
          <w:sz w:val="18"/>
        </w:rPr>
        <w:t xml:space="preserve"> </w:t>
      </w:r>
      <w:r w:rsidRPr="00283806">
        <w:rPr>
          <w:sz w:val="18"/>
        </w:rPr>
        <w:t>consisting</w:t>
      </w:r>
      <w:r w:rsidRPr="00283806">
        <w:rPr>
          <w:spacing w:val="31"/>
          <w:sz w:val="18"/>
        </w:rPr>
        <w:t xml:space="preserve"> </w:t>
      </w:r>
      <w:r w:rsidRPr="00283806">
        <w:rPr>
          <w:spacing w:val="-5"/>
          <w:sz w:val="18"/>
        </w:rPr>
        <w:t>of</w:t>
      </w:r>
    </w:p>
    <w:p w14:paraId="40C40340" w14:textId="77777777" w:rsidR="00D67C1E" w:rsidRPr="00283806" w:rsidRDefault="001265CA">
      <w:pPr>
        <w:pStyle w:val="BodyText"/>
        <w:spacing w:before="3" w:line="228" w:lineRule="auto"/>
        <w:ind w:right="21"/>
      </w:pPr>
      <w:r w:rsidRPr="00283806">
        <w:rPr>
          <w:w w:val="105"/>
        </w:rPr>
        <w:t>§§</w:t>
      </w:r>
      <w:r w:rsidRPr="00283806">
        <w:rPr>
          <w:spacing w:val="-12"/>
          <w:w w:val="105"/>
        </w:rPr>
        <w:t xml:space="preserve"> </w:t>
      </w:r>
      <w:r w:rsidRPr="00283806">
        <w:rPr>
          <w:w w:val="105"/>
        </w:rPr>
        <w:t>84.100</w:t>
      </w:r>
      <w:r w:rsidRPr="00283806">
        <w:rPr>
          <w:spacing w:val="-7"/>
          <w:w w:val="105"/>
        </w:rPr>
        <w:t xml:space="preserve"> </w:t>
      </w:r>
      <w:r w:rsidRPr="00283806">
        <w:rPr>
          <w:w w:val="105"/>
        </w:rPr>
        <w:t>through</w:t>
      </w:r>
      <w:r w:rsidRPr="00283806">
        <w:rPr>
          <w:spacing w:val="-2"/>
          <w:w w:val="105"/>
        </w:rPr>
        <w:t xml:space="preserve"> </w:t>
      </w:r>
      <w:r w:rsidRPr="00283806">
        <w:rPr>
          <w:w w:val="105"/>
        </w:rPr>
        <w:t>84.120,</w:t>
      </w:r>
      <w:r w:rsidRPr="00283806">
        <w:rPr>
          <w:spacing w:val="-2"/>
          <w:w w:val="105"/>
        </w:rPr>
        <w:t xml:space="preserve"> </w:t>
      </w:r>
      <w:r w:rsidRPr="00283806">
        <w:rPr>
          <w:w w:val="105"/>
        </w:rPr>
        <w:t>to</w:t>
      </w:r>
      <w:r w:rsidRPr="00283806">
        <w:rPr>
          <w:spacing w:val="-2"/>
          <w:w w:val="105"/>
        </w:rPr>
        <w:t xml:space="preserve"> </w:t>
      </w:r>
      <w:r w:rsidRPr="00283806">
        <w:rPr>
          <w:w w:val="105"/>
        </w:rPr>
        <w:t>read</w:t>
      </w:r>
      <w:r w:rsidRPr="00283806">
        <w:rPr>
          <w:spacing w:val="-2"/>
          <w:w w:val="105"/>
        </w:rPr>
        <w:t xml:space="preserve"> </w:t>
      </w:r>
      <w:r w:rsidRPr="00283806">
        <w:rPr>
          <w:w w:val="105"/>
        </w:rPr>
        <w:t xml:space="preserve">as </w:t>
      </w:r>
      <w:r w:rsidRPr="00283806">
        <w:rPr>
          <w:spacing w:val="-2"/>
          <w:w w:val="105"/>
        </w:rPr>
        <w:t>follows:</w:t>
      </w:r>
    </w:p>
    <w:p w14:paraId="3ABD8D1C" w14:textId="77777777" w:rsidR="00D67C1E" w:rsidRPr="00283806" w:rsidRDefault="001265CA">
      <w:pPr>
        <w:pStyle w:val="Heading3"/>
        <w:spacing w:before="157" w:line="232" w:lineRule="auto"/>
        <w:ind w:right="21"/>
      </w:pPr>
      <w:r w:rsidRPr="00283806">
        <w:t>Subpart</w:t>
      </w:r>
      <w:r w:rsidRPr="00283806">
        <w:rPr>
          <w:spacing w:val="-13"/>
        </w:rPr>
        <w:t xml:space="preserve"> </w:t>
      </w:r>
      <w:r w:rsidRPr="00283806">
        <w:t>C—Management</w:t>
      </w:r>
      <w:r w:rsidRPr="00283806">
        <w:rPr>
          <w:spacing w:val="-12"/>
        </w:rPr>
        <w:t xml:space="preserve"> </w:t>
      </w:r>
      <w:r w:rsidRPr="00283806">
        <w:t>of</w:t>
      </w:r>
      <w:r w:rsidRPr="00283806">
        <w:rPr>
          <w:spacing w:val="-13"/>
        </w:rPr>
        <w:t xml:space="preserve"> </w:t>
      </w:r>
      <w:r w:rsidRPr="00283806">
        <w:t xml:space="preserve">Regulated </w:t>
      </w:r>
      <w:r w:rsidRPr="00283806">
        <w:rPr>
          <w:spacing w:val="-2"/>
        </w:rPr>
        <w:t>Substances</w:t>
      </w:r>
    </w:p>
    <w:p w14:paraId="14DB435E" w14:textId="77777777" w:rsidR="00D67C1E" w:rsidRPr="00283806" w:rsidRDefault="001265CA">
      <w:pPr>
        <w:spacing w:before="131" w:line="184" w:lineRule="exact"/>
        <w:ind w:left="160"/>
        <w:rPr>
          <w:sz w:val="16"/>
        </w:rPr>
      </w:pPr>
      <w:r w:rsidRPr="00283806">
        <w:rPr>
          <w:spacing w:val="-4"/>
          <w:w w:val="115"/>
          <w:sz w:val="16"/>
        </w:rPr>
        <w:t>Sec.</w:t>
      </w:r>
    </w:p>
    <w:p w14:paraId="3AB4189C" w14:textId="77777777" w:rsidR="00D67C1E" w:rsidRPr="00283806" w:rsidRDefault="001265CA">
      <w:pPr>
        <w:spacing w:line="180" w:lineRule="exact"/>
        <w:ind w:left="160"/>
        <w:rPr>
          <w:sz w:val="16"/>
        </w:rPr>
      </w:pPr>
      <w:r w:rsidRPr="00283806">
        <w:rPr>
          <w:w w:val="105"/>
          <w:sz w:val="16"/>
        </w:rPr>
        <w:t>84.100</w:t>
      </w:r>
      <w:r w:rsidRPr="00283806">
        <w:rPr>
          <w:spacing w:val="34"/>
          <w:w w:val="105"/>
          <w:sz w:val="16"/>
        </w:rPr>
        <w:t xml:space="preserve">  </w:t>
      </w:r>
      <w:r w:rsidRPr="00283806">
        <w:rPr>
          <w:spacing w:val="-2"/>
          <w:w w:val="105"/>
          <w:sz w:val="16"/>
        </w:rPr>
        <w:t>Purpose.</w:t>
      </w:r>
    </w:p>
    <w:p w14:paraId="2A20D9A3" w14:textId="77777777" w:rsidR="00D67C1E" w:rsidRPr="00283806" w:rsidRDefault="001265CA">
      <w:pPr>
        <w:spacing w:line="180" w:lineRule="exact"/>
        <w:ind w:left="160"/>
        <w:rPr>
          <w:sz w:val="16"/>
        </w:rPr>
      </w:pPr>
      <w:r w:rsidRPr="00283806">
        <w:rPr>
          <w:w w:val="105"/>
          <w:sz w:val="16"/>
        </w:rPr>
        <w:t>84.102</w:t>
      </w:r>
      <w:r w:rsidRPr="00283806">
        <w:rPr>
          <w:spacing w:val="34"/>
          <w:w w:val="105"/>
          <w:sz w:val="16"/>
        </w:rPr>
        <w:t xml:space="preserve">  </w:t>
      </w:r>
      <w:r w:rsidRPr="00283806">
        <w:rPr>
          <w:spacing w:val="-2"/>
          <w:w w:val="105"/>
          <w:sz w:val="16"/>
        </w:rPr>
        <w:t>Definitions.</w:t>
      </w:r>
    </w:p>
    <w:p w14:paraId="494A0833" w14:textId="77777777" w:rsidR="00D67C1E" w:rsidRPr="00283806" w:rsidRDefault="001265CA">
      <w:pPr>
        <w:spacing w:line="180" w:lineRule="exact"/>
        <w:ind w:left="160"/>
        <w:rPr>
          <w:sz w:val="16"/>
        </w:rPr>
      </w:pPr>
      <w:r w:rsidRPr="00283806">
        <w:rPr>
          <w:w w:val="105"/>
          <w:sz w:val="16"/>
        </w:rPr>
        <w:t>84.104</w:t>
      </w:r>
      <w:r w:rsidRPr="00283806">
        <w:rPr>
          <w:spacing w:val="34"/>
          <w:w w:val="105"/>
          <w:sz w:val="16"/>
        </w:rPr>
        <w:t xml:space="preserve">  </w:t>
      </w:r>
      <w:r w:rsidRPr="00283806">
        <w:rPr>
          <w:spacing w:val="-2"/>
          <w:w w:val="105"/>
          <w:sz w:val="16"/>
        </w:rPr>
        <w:t>Prohibitions.</w:t>
      </w:r>
    </w:p>
    <w:p w14:paraId="38295908" w14:textId="77777777" w:rsidR="00D67C1E" w:rsidRPr="00283806" w:rsidRDefault="001265CA">
      <w:pPr>
        <w:spacing w:line="180" w:lineRule="exact"/>
        <w:ind w:left="160"/>
        <w:rPr>
          <w:sz w:val="16"/>
        </w:rPr>
      </w:pPr>
      <w:r w:rsidRPr="00283806">
        <w:rPr>
          <w:w w:val="105"/>
          <w:sz w:val="16"/>
        </w:rPr>
        <w:t>84.106</w:t>
      </w:r>
      <w:r w:rsidRPr="00283806">
        <w:rPr>
          <w:spacing w:val="37"/>
          <w:w w:val="105"/>
          <w:sz w:val="16"/>
        </w:rPr>
        <w:t xml:space="preserve">  </w:t>
      </w:r>
      <w:r w:rsidRPr="00283806">
        <w:rPr>
          <w:w w:val="105"/>
          <w:sz w:val="16"/>
        </w:rPr>
        <w:t>Leak</w:t>
      </w:r>
      <w:r w:rsidRPr="00283806">
        <w:rPr>
          <w:spacing w:val="5"/>
          <w:w w:val="105"/>
          <w:sz w:val="16"/>
        </w:rPr>
        <w:t xml:space="preserve"> </w:t>
      </w:r>
      <w:r w:rsidRPr="00283806">
        <w:rPr>
          <w:spacing w:val="-2"/>
          <w:w w:val="105"/>
          <w:sz w:val="16"/>
        </w:rPr>
        <w:t>repair.</w:t>
      </w:r>
    </w:p>
    <w:p w14:paraId="25494CD8" w14:textId="77777777" w:rsidR="00D67C1E" w:rsidRPr="00283806" w:rsidRDefault="001265CA">
      <w:pPr>
        <w:spacing w:line="180" w:lineRule="exact"/>
        <w:ind w:left="160"/>
        <w:rPr>
          <w:sz w:val="16"/>
        </w:rPr>
      </w:pPr>
      <w:r w:rsidRPr="00283806">
        <w:rPr>
          <w:w w:val="105"/>
          <w:sz w:val="16"/>
        </w:rPr>
        <w:t>84.108</w:t>
      </w:r>
      <w:r w:rsidRPr="00283806">
        <w:rPr>
          <w:spacing w:val="48"/>
          <w:w w:val="105"/>
          <w:sz w:val="16"/>
        </w:rPr>
        <w:t xml:space="preserve">  </w:t>
      </w:r>
      <w:r w:rsidRPr="00283806">
        <w:rPr>
          <w:w w:val="105"/>
          <w:sz w:val="16"/>
        </w:rPr>
        <w:t>Automatic</w:t>
      </w:r>
      <w:r w:rsidRPr="00283806">
        <w:rPr>
          <w:spacing w:val="10"/>
          <w:w w:val="105"/>
          <w:sz w:val="16"/>
        </w:rPr>
        <w:t xml:space="preserve"> </w:t>
      </w:r>
      <w:r w:rsidRPr="00283806">
        <w:rPr>
          <w:w w:val="105"/>
          <w:sz w:val="16"/>
        </w:rPr>
        <w:t>leak</w:t>
      </w:r>
      <w:r w:rsidRPr="00283806">
        <w:rPr>
          <w:spacing w:val="10"/>
          <w:w w:val="105"/>
          <w:sz w:val="16"/>
        </w:rPr>
        <w:t xml:space="preserve"> </w:t>
      </w:r>
      <w:r w:rsidRPr="00283806">
        <w:rPr>
          <w:w w:val="105"/>
          <w:sz w:val="16"/>
        </w:rPr>
        <w:t>detection</w:t>
      </w:r>
      <w:r w:rsidRPr="00283806">
        <w:rPr>
          <w:spacing w:val="10"/>
          <w:w w:val="105"/>
          <w:sz w:val="16"/>
        </w:rPr>
        <w:t xml:space="preserve"> </w:t>
      </w:r>
      <w:r w:rsidRPr="00283806">
        <w:rPr>
          <w:spacing w:val="-2"/>
          <w:w w:val="105"/>
          <w:sz w:val="16"/>
        </w:rPr>
        <w:t>systems.</w:t>
      </w:r>
    </w:p>
    <w:p w14:paraId="0815B225" w14:textId="77777777" w:rsidR="00D67C1E" w:rsidRPr="00283806" w:rsidRDefault="001265CA">
      <w:pPr>
        <w:spacing w:before="2" w:line="230" w:lineRule="auto"/>
        <w:ind w:left="480" w:right="21" w:hanging="320"/>
        <w:rPr>
          <w:sz w:val="16"/>
        </w:rPr>
      </w:pPr>
      <w:r w:rsidRPr="00283806">
        <w:rPr>
          <w:w w:val="105"/>
          <w:sz w:val="16"/>
        </w:rPr>
        <w:t>84.110</w:t>
      </w:r>
      <w:r w:rsidRPr="00283806">
        <w:rPr>
          <w:spacing w:val="80"/>
          <w:w w:val="105"/>
          <w:sz w:val="16"/>
        </w:rPr>
        <w:t xml:space="preserve"> </w:t>
      </w:r>
      <w:r w:rsidRPr="00283806">
        <w:rPr>
          <w:w w:val="105"/>
          <w:sz w:val="16"/>
        </w:rPr>
        <w:t>Emissions from fire suppression</w:t>
      </w:r>
      <w:r w:rsidRPr="00283806">
        <w:rPr>
          <w:spacing w:val="40"/>
          <w:w w:val="105"/>
          <w:sz w:val="16"/>
        </w:rPr>
        <w:t xml:space="preserve"> </w:t>
      </w:r>
      <w:r w:rsidRPr="00283806">
        <w:rPr>
          <w:spacing w:val="-2"/>
          <w:w w:val="105"/>
          <w:sz w:val="16"/>
        </w:rPr>
        <w:t>equipment.</w:t>
      </w:r>
    </w:p>
    <w:p w14:paraId="435FE758" w14:textId="77777777" w:rsidR="00D67C1E" w:rsidRPr="00283806" w:rsidRDefault="001265CA">
      <w:pPr>
        <w:spacing w:line="178" w:lineRule="exact"/>
        <w:ind w:left="160"/>
        <w:rPr>
          <w:sz w:val="16"/>
        </w:rPr>
      </w:pPr>
      <w:r w:rsidRPr="00283806">
        <w:rPr>
          <w:w w:val="105"/>
          <w:sz w:val="16"/>
        </w:rPr>
        <w:t>84.112</w:t>
      </w:r>
      <w:r w:rsidRPr="00283806">
        <w:rPr>
          <w:spacing w:val="34"/>
          <w:w w:val="105"/>
          <w:sz w:val="16"/>
        </w:rPr>
        <w:t xml:space="preserve">  </w:t>
      </w:r>
      <w:r w:rsidRPr="00283806">
        <w:rPr>
          <w:spacing w:val="-2"/>
          <w:w w:val="105"/>
          <w:sz w:val="16"/>
        </w:rPr>
        <w:t>Reclamation.</w:t>
      </w:r>
    </w:p>
    <w:p w14:paraId="513AF3C2" w14:textId="77777777" w:rsidR="00D67C1E" w:rsidRPr="00283806" w:rsidRDefault="001265CA">
      <w:pPr>
        <w:spacing w:line="180" w:lineRule="exact"/>
        <w:ind w:left="160"/>
        <w:rPr>
          <w:sz w:val="16"/>
        </w:rPr>
      </w:pPr>
      <w:r w:rsidRPr="00283806">
        <w:rPr>
          <w:w w:val="105"/>
          <w:sz w:val="16"/>
        </w:rPr>
        <w:t>84.114</w:t>
      </w:r>
      <w:r w:rsidRPr="00283806">
        <w:rPr>
          <w:spacing w:val="34"/>
          <w:w w:val="105"/>
          <w:sz w:val="16"/>
        </w:rPr>
        <w:t xml:space="preserve">  </w:t>
      </w:r>
      <w:r w:rsidRPr="00283806">
        <w:rPr>
          <w:spacing w:val="-2"/>
          <w:w w:val="105"/>
          <w:sz w:val="16"/>
        </w:rPr>
        <w:t>Exemptions.</w:t>
      </w:r>
    </w:p>
    <w:p w14:paraId="5DA63CAE" w14:textId="77777777" w:rsidR="00D67C1E" w:rsidRPr="00283806" w:rsidRDefault="001265CA">
      <w:pPr>
        <w:spacing w:before="2" w:line="230" w:lineRule="auto"/>
        <w:ind w:left="480" w:right="134" w:hanging="320"/>
        <w:rPr>
          <w:sz w:val="16"/>
        </w:rPr>
      </w:pPr>
      <w:r w:rsidRPr="00283806">
        <w:rPr>
          <w:w w:val="105"/>
          <w:sz w:val="16"/>
        </w:rPr>
        <w:t>84.116</w:t>
      </w:r>
      <w:r w:rsidRPr="00283806">
        <w:rPr>
          <w:spacing w:val="80"/>
          <w:w w:val="105"/>
          <w:sz w:val="16"/>
        </w:rPr>
        <w:t xml:space="preserve"> </w:t>
      </w:r>
      <w:r w:rsidRPr="00283806">
        <w:rPr>
          <w:w w:val="105"/>
          <w:sz w:val="16"/>
        </w:rPr>
        <w:t>Requirements</w:t>
      </w:r>
      <w:r w:rsidRPr="00283806">
        <w:rPr>
          <w:spacing w:val="-1"/>
          <w:w w:val="105"/>
          <w:sz w:val="16"/>
        </w:rPr>
        <w:t xml:space="preserve"> </w:t>
      </w:r>
      <w:r w:rsidRPr="00283806">
        <w:rPr>
          <w:w w:val="105"/>
          <w:sz w:val="16"/>
        </w:rPr>
        <w:t>for</w:t>
      </w:r>
      <w:r w:rsidRPr="00283806">
        <w:rPr>
          <w:spacing w:val="-1"/>
          <w:w w:val="105"/>
          <w:sz w:val="16"/>
        </w:rPr>
        <w:t xml:space="preserve"> </w:t>
      </w:r>
      <w:r w:rsidRPr="00283806">
        <w:rPr>
          <w:w w:val="105"/>
          <w:sz w:val="16"/>
        </w:rPr>
        <w:t>disposable</w:t>
      </w:r>
      <w:r w:rsidRPr="00283806">
        <w:rPr>
          <w:spacing w:val="40"/>
          <w:w w:val="105"/>
          <w:sz w:val="16"/>
        </w:rPr>
        <w:t xml:space="preserve"> </w:t>
      </w:r>
      <w:r w:rsidRPr="00283806">
        <w:rPr>
          <w:spacing w:val="-2"/>
          <w:w w:val="105"/>
          <w:sz w:val="16"/>
        </w:rPr>
        <w:t>cylinders.</w:t>
      </w:r>
    </w:p>
    <w:p w14:paraId="4D72CBEE" w14:textId="77777777" w:rsidR="00D67C1E" w:rsidRPr="00283806" w:rsidRDefault="001265CA">
      <w:pPr>
        <w:spacing w:line="230" w:lineRule="auto"/>
        <w:ind w:left="480" w:right="134" w:hanging="320"/>
        <w:rPr>
          <w:sz w:val="16"/>
        </w:rPr>
      </w:pPr>
      <w:r w:rsidRPr="00283806">
        <w:rPr>
          <w:w w:val="105"/>
          <w:sz w:val="16"/>
        </w:rPr>
        <w:t>84.118</w:t>
      </w:r>
      <w:r w:rsidRPr="00283806">
        <w:rPr>
          <w:spacing w:val="80"/>
          <w:w w:val="105"/>
          <w:sz w:val="16"/>
        </w:rPr>
        <w:t xml:space="preserve"> </w:t>
      </w:r>
      <w:r w:rsidRPr="00283806">
        <w:rPr>
          <w:w w:val="105"/>
          <w:sz w:val="16"/>
        </w:rPr>
        <w:t>Treatment of data submitted under</w:t>
      </w:r>
      <w:r w:rsidRPr="00283806">
        <w:rPr>
          <w:spacing w:val="40"/>
          <w:w w:val="105"/>
          <w:sz w:val="16"/>
        </w:rPr>
        <w:t xml:space="preserve"> </w:t>
      </w:r>
      <w:r w:rsidRPr="00283806">
        <w:rPr>
          <w:w w:val="105"/>
          <w:sz w:val="16"/>
        </w:rPr>
        <w:t>40 CFR part 84, subpart C.</w:t>
      </w:r>
    </w:p>
    <w:p w14:paraId="480658CE" w14:textId="77777777" w:rsidR="00D67C1E" w:rsidRPr="00283806" w:rsidRDefault="001265CA">
      <w:pPr>
        <w:spacing w:line="181" w:lineRule="exact"/>
        <w:ind w:left="160"/>
        <w:rPr>
          <w:sz w:val="16"/>
        </w:rPr>
      </w:pPr>
      <w:r w:rsidRPr="00283806">
        <w:rPr>
          <w:w w:val="105"/>
          <w:sz w:val="16"/>
        </w:rPr>
        <w:t>84.120</w:t>
      </w:r>
      <w:r w:rsidRPr="00283806">
        <w:rPr>
          <w:spacing w:val="41"/>
          <w:w w:val="105"/>
          <w:sz w:val="16"/>
        </w:rPr>
        <w:t xml:space="preserve">  </w:t>
      </w:r>
      <w:r w:rsidRPr="00283806">
        <w:rPr>
          <w:w w:val="105"/>
          <w:sz w:val="16"/>
        </w:rPr>
        <w:t>Relationship</w:t>
      </w:r>
      <w:r w:rsidRPr="00283806">
        <w:rPr>
          <w:spacing w:val="5"/>
          <w:w w:val="105"/>
          <w:sz w:val="16"/>
        </w:rPr>
        <w:t xml:space="preserve"> </w:t>
      </w:r>
      <w:r w:rsidRPr="00283806">
        <w:rPr>
          <w:w w:val="105"/>
          <w:sz w:val="16"/>
        </w:rPr>
        <w:t>to</w:t>
      </w:r>
      <w:r w:rsidRPr="00283806">
        <w:rPr>
          <w:spacing w:val="6"/>
          <w:w w:val="105"/>
          <w:sz w:val="16"/>
        </w:rPr>
        <w:t xml:space="preserve"> </w:t>
      </w:r>
      <w:r w:rsidRPr="00283806">
        <w:rPr>
          <w:w w:val="105"/>
          <w:sz w:val="16"/>
        </w:rPr>
        <w:t>other</w:t>
      </w:r>
      <w:r w:rsidRPr="00283806">
        <w:rPr>
          <w:spacing w:val="6"/>
          <w:w w:val="105"/>
          <w:sz w:val="16"/>
        </w:rPr>
        <w:t xml:space="preserve"> </w:t>
      </w:r>
      <w:r w:rsidRPr="00283806">
        <w:rPr>
          <w:spacing w:val="-2"/>
          <w:w w:val="105"/>
          <w:sz w:val="16"/>
        </w:rPr>
        <w:t>laws.</w:t>
      </w:r>
    </w:p>
    <w:p w14:paraId="3689AD87" w14:textId="77777777" w:rsidR="00D67C1E" w:rsidRPr="00283806" w:rsidRDefault="001265CA">
      <w:pPr>
        <w:spacing w:before="134"/>
        <w:ind w:left="160"/>
        <w:rPr>
          <w:rFonts w:ascii="Arial" w:hAnsi="Arial"/>
          <w:b/>
          <w:sz w:val="16"/>
        </w:rPr>
      </w:pPr>
      <w:r w:rsidRPr="00283806">
        <w:rPr>
          <w:rFonts w:ascii="Arial" w:hAnsi="Arial"/>
          <w:b/>
          <w:sz w:val="16"/>
        </w:rPr>
        <w:t>§</w:t>
      </w:r>
      <w:r w:rsidRPr="00283806">
        <w:rPr>
          <w:rFonts w:ascii="Arial" w:hAnsi="Arial"/>
          <w:b/>
          <w:spacing w:val="-19"/>
          <w:sz w:val="16"/>
        </w:rPr>
        <w:t xml:space="preserve"> </w:t>
      </w:r>
      <w:r w:rsidRPr="00283806">
        <w:rPr>
          <w:rFonts w:ascii="Arial" w:hAnsi="Arial"/>
          <w:b/>
          <w:sz w:val="16"/>
        </w:rPr>
        <w:t>84.100</w:t>
      </w:r>
      <w:r w:rsidRPr="00283806">
        <w:rPr>
          <w:rFonts w:ascii="Arial" w:hAnsi="Arial"/>
          <w:b/>
          <w:spacing w:val="32"/>
          <w:sz w:val="16"/>
        </w:rPr>
        <w:t xml:space="preserve">  </w:t>
      </w:r>
      <w:r w:rsidRPr="00283806">
        <w:rPr>
          <w:rFonts w:ascii="Arial" w:hAnsi="Arial"/>
          <w:b/>
          <w:spacing w:val="-2"/>
          <w:sz w:val="16"/>
        </w:rPr>
        <w:t>Purpose.</w:t>
      </w:r>
    </w:p>
    <w:p w14:paraId="5AD2F3F3" w14:textId="77777777" w:rsidR="00D67C1E" w:rsidRPr="00283806" w:rsidRDefault="001265CA">
      <w:pPr>
        <w:pStyle w:val="BodyText"/>
        <w:spacing w:before="56" w:line="228" w:lineRule="auto"/>
        <w:ind w:right="58" w:firstLine="180"/>
      </w:pPr>
      <w:r w:rsidRPr="00283806">
        <w:rPr>
          <w:w w:val="105"/>
        </w:rPr>
        <w:t>The purpose of the regulations in this subpart is to implement subsection (h)</w:t>
      </w:r>
      <w:r w:rsidRPr="00283806">
        <w:rPr>
          <w:spacing w:val="80"/>
          <w:w w:val="105"/>
        </w:rPr>
        <w:t xml:space="preserve"> </w:t>
      </w:r>
      <w:r w:rsidRPr="00283806">
        <w:rPr>
          <w:w w:val="105"/>
        </w:rPr>
        <w:t>of</w:t>
      </w:r>
      <w:r w:rsidRPr="00283806">
        <w:rPr>
          <w:spacing w:val="40"/>
          <w:w w:val="105"/>
        </w:rPr>
        <w:t xml:space="preserve"> </w:t>
      </w:r>
      <w:r w:rsidRPr="00283806">
        <w:rPr>
          <w:w w:val="105"/>
        </w:rPr>
        <w:t>42</w:t>
      </w:r>
      <w:r w:rsidRPr="00283806">
        <w:rPr>
          <w:spacing w:val="40"/>
          <w:w w:val="105"/>
        </w:rPr>
        <w:t xml:space="preserve"> </w:t>
      </w:r>
      <w:r w:rsidRPr="00283806">
        <w:rPr>
          <w:w w:val="105"/>
        </w:rPr>
        <w:t>U.S.C.</w:t>
      </w:r>
      <w:r w:rsidRPr="00283806">
        <w:rPr>
          <w:spacing w:val="40"/>
          <w:w w:val="105"/>
        </w:rPr>
        <w:t xml:space="preserve"> </w:t>
      </w:r>
      <w:r w:rsidRPr="00283806">
        <w:rPr>
          <w:w w:val="105"/>
        </w:rPr>
        <w:t>7675,</w:t>
      </w:r>
      <w:r w:rsidRPr="00283806">
        <w:rPr>
          <w:spacing w:val="40"/>
          <w:w w:val="105"/>
        </w:rPr>
        <w:t xml:space="preserve"> </w:t>
      </w:r>
      <w:r w:rsidRPr="00283806">
        <w:rPr>
          <w:w w:val="105"/>
        </w:rPr>
        <w:t>including</w:t>
      </w:r>
      <w:r w:rsidRPr="00283806">
        <w:rPr>
          <w:spacing w:val="40"/>
          <w:w w:val="105"/>
        </w:rPr>
        <w:t xml:space="preserve"> </w:t>
      </w:r>
      <w:r w:rsidRPr="00283806">
        <w:rPr>
          <w:w w:val="105"/>
        </w:rPr>
        <w:t>with respect to establishing requirements to control practices, processes, or activities regarding the servicing, repair, disposal, or installation of equipment, for</w:t>
      </w:r>
      <w:r w:rsidRPr="00283806">
        <w:rPr>
          <w:spacing w:val="40"/>
          <w:w w:val="105"/>
        </w:rPr>
        <w:t xml:space="preserve"> </w:t>
      </w:r>
      <w:r w:rsidRPr="00283806">
        <w:rPr>
          <w:w w:val="105"/>
        </w:rPr>
        <w:t>purposes of maximizing reclaiming, minimizing the release of regulated substances from equipment, and</w:t>
      </w:r>
      <w:r w:rsidRPr="00283806">
        <w:rPr>
          <w:spacing w:val="40"/>
          <w:w w:val="105"/>
        </w:rPr>
        <w:t xml:space="preserve"> </w:t>
      </w:r>
      <w:r w:rsidRPr="00283806">
        <w:rPr>
          <w:w w:val="105"/>
        </w:rPr>
        <w:t xml:space="preserve">ensuring the safety of technicians and </w:t>
      </w:r>
      <w:r w:rsidRPr="00283806">
        <w:rPr>
          <w:spacing w:val="-2"/>
          <w:w w:val="105"/>
        </w:rPr>
        <w:t>consumers.</w:t>
      </w:r>
    </w:p>
    <w:p w14:paraId="69E59E4C" w14:textId="77777777" w:rsidR="00D67C1E" w:rsidRPr="00283806" w:rsidRDefault="001265CA">
      <w:pPr>
        <w:spacing w:before="127"/>
        <w:ind w:left="160"/>
        <w:rPr>
          <w:rFonts w:ascii="Arial" w:hAnsi="Arial"/>
          <w:b/>
          <w:sz w:val="16"/>
        </w:rPr>
      </w:pPr>
      <w:r w:rsidRPr="00283806">
        <w:rPr>
          <w:rFonts w:ascii="Arial" w:hAnsi="Arial"/>
          <w:b/>
          <w:sz w:val="16"/>
        </w:rPr>
        <w:t>§</w:t>
      </w:r>
      <w:r w:rsidRPr="00283806">
        <w:rPr>
          <w:rFonts w:ascii="Arial" w:hAnsi="Arial"/>
          <w:b/>
          <w:spacing w:val="-19"/>
          <w:sz w:val="16"/>
        </w:rPr>
        <w:t xml:space="preserve"> </w:t>
      </w:r>
      <w:r w:rsidRPr="00283806">
        <w:rPr>
          <w:rFonts w:ascii="Arial" w:hAnsi="Arial"/>
          <w:b/>
          <w:sz w:val="16"/>
        </w:rPr>
        <w:t>84.102</w:t>
      </w:r>
      <w:r w:rsidRPr="00283806">
        <w:rPr>
          <w:rFonts w:ascii="Arial" w:hAnsi="Arial"/>
          <w:b/>
          <w:spacing w:val="32"/>
          <w:sz w:val="16"/>
        </w:rPr>
        <w:t xml:space="preserve">  </w:t>
      </w:r>
      <w:r w:rsidRPr="00283806">
        <w:rPr>
          <w:rFonts w:ascii="Arial" w:hAnsi="Arial"/>
          <w:b/>
          <w:spacing w:val="-2"/>
          <w:sz w:val="16"/>
        </w:rPr>
        <w:t>Definitions.</w:t>
      </w:r>
    </w:p>
    <w:p w14:paraId="28F6AE77" w14:textId="77777777" w:rsidR="00D67C1E" w:rsidRPr="00283806" w:rsidRDefault="001265CA">
      <w:pPr>
        <w:pStyle w:val="BodyText"/>
        <w:spacing w:before="55" w:line="228" w:lineRule="auto"/>
        <w:ind w:right="134" w:firstLine="180"/>
      </w:pPr>
      <w:r w:rsidRPr="00283806">
        <w:rPr>
          <w:w w:val="105"/>
        </w:rPr>
        <w:t>For the terms not defined in this subpart but that are defined in § 84.3,</w:t>
      </w:r>
      <w:r w:rsidRPr="00283806">
        <w:rPr>
          <w:spacing w:val="40"/>
          <w:w w:val="105"/>
        </w:rPr>
        <w:t xml:space="preserve"> </w:t>
      </w:r>
      <w:r w:rsidRPr="00283806">
        <w:rPr>
          <w:w w:val="105"/>
        </w:rPr>
        <w:t>the definitions in §</w:t>
      </w:r>
      <w:r w:rsidRPr="00283806">
        <w:rPr>
          <w:spacing w:val="-7"/>
          <w:w w:val="105"/>
        </w:rPr>
        <w:t xml:space="preserve"> </w:t>
      </w:r>
      <w:r w:rsidRPr="00283806">
        <w:rPr>
          <w:w w:val="105"/>
        </w:rPr>
        <w:t>84.3 shall apply. For the purposes of this subpart C:</w:t>
      </w:r>
    </w:p>
    <w:p w14:paraId="1A8FD171" w14:textId="77777777" w:rsidR="00D67C1E" w:rsidRPr="00283806" w:rsidRDefault="001265CA">
      <w:pPr>
        <w:spacing w:before="13" w:line="220" w:lineRule="auto"/>
        <w:ind w:left="160" w:right="302" w:firstLine="180"/>
        <w:rPr>
          <w:sz w:val="18"/>
        </w:rPr>
      </w:pPr>
      <w:r w:rsidRPr="00283806">
        <w:rPr>
          <w:rFonts w:ascii="Book Antiqua"/>
          <w:i/>
          <w:w w:val="105"/>
          <w:sz w:val="18"/>
        </w:rPr>
        <w:t xml:space="preserve">Certified technician </w:t>
      </w:r>
      <w:r w:rsidRPr="00283806">
        <w:rPr>
          <w:w w:val="105"/>
          <w:sz w:val="18"/>
        </w:rPr>
        <w:t>means a technician that has been certified per the provisions at 40 CFR 82.161.</w:t>
      </w:r>
    </w:p>
    <w:p w14:paraId="1A629719" w14:textId="77777777" w:rsidR="00D67C1E" w:rsidRPr="00283806" w:rsidRDefault="001265CA">
      <w:pPr>
        <w:pStyle w:val="BodyText"/>
        <w:spacing w:before="15" w:line="225" w:lineRule="auto"/>
        <w:ind w:right="21" w:firstLine="180"/>
      </w:pPr>
      <w:r w:rsidRPr="00283806">
        <w:rPr>
          <w:rFonts w:ascii="Book Antiqua"/>
          <w:i/>
          <w:w w:val="105"/>
        </w:rPr>
        <w:t xml:space="preserve">Comfort cooling </w:t>
      </w:r>
      <w:r w:rsidRPr="00283806">
        <w:rPr>
          <w:w w:val="105"/>
        </w:rPr>
        <w:t xml:space="preserve">means the refrigerant- containing appliances used for air conditioning to provide cooling </w:t>
      </w:r>
      <w:proofErr w:type="gramStart"/>
      <w:r w:rsidRPr="00283806">
        <w:rPr>
          <w:w w:val="105"/>
        </w:rPr>
        <w:t>in order to</w:t>
      </w:r>
      <w:proofErr w:type="gramEnd"/>
      <w:r w:rsidRPr="00283806">
        <w:rPr>
          <w:w w:val="105"/>
        </w:rPr>
        <w:t xml:space="preserve"> control heat and/or humidity in occupied facilities including but not limited to residential, office, and commercial buildings. Comfort cooling appliances</w:t>
      </w:r>
      <w:r w:rsidRPr="00283806">
        <w:rPr>
          <w:spacing w:val="40"/>
          <w:w w:val="105"/>
        </w:rPr>
        <w:t xml:space="preserve"> </w:t>
      </w:r>
      <w:r w:rsidRPr="00283806">
        <w:rPr>
          <w:w w:val="105"/>
        </w:rPr>
        <w:t>include</w:t>
      </w:r>
      <w:r w:rsidRPr="00283806">
        <w:rPr>
          <w:spacing w:val="40"/>
          <w:w w:val="105"/>
        </w:rPr>
        <w:t xml:space="preserve"> </w:t>
      </w:r>
      <w:r w:rsidRPr="00283806">
        <w:rPr>
          <w:w w:val="105"/>
        </w:rPr>
        <w:t>but</w:t>
      </w:r>
      <w:r w:rsidRPr="00283806">
        <w:rPr>
          <w:spacing w:val="40"/>
          <w:w w:val="105"/>
        </w:rPr>
        <w:t xml:space="preserve"> </w:t>
      </w:r>
      <w:r w:rsidRPr="00283806">
        <w:rPr>
          <w:w w:val="105"/>
        </w:rPr>
        <w:t>are</w:t>
      </w:r>
      <w:r w:rsidRPr="00283806">
        <w:rPr>
          <w:spacing w:val="40"/>
          <w:w w:val="105"/>
        </w:rPr>
        <w:t xml:space="preserve"> </w:t>
      </w:r>
      <w:r w:rsidRPr="00283806">
        <w:rPr>
          <w:w w:val="105"/>
        </w:rPr>
        <w:t>not</w:t>
      </w:r>
      <w:r w:rsidRPr="00283806">
        <w:rPr>
          <w:spacing w:val="40"/>
          <w:w w:val="105"/>
        </w:rPr>
        <w:t xml:space="preserve"> </w:t>
      </w:r>
      <w:r w:rsidRPr="00283806">
        <w:rPr>
          <w:w w:val="105"/>
        </w:rPr>
        <w:t>limited to chillers, commercial split systems,</w:t>
      </w:r>
    </w:p>
    <w:p w14:paraId="534B52A7" w14:textId="77777777" w:rsidR="00D67C1E" w:rsidRPr="00283806" w:rsidRDefault="001265CA">
      <w:pPr>
        <w:pStyle w:val="BodyText"/>
        <w:spacing w:before="134" w:line="228" w:lineRule="auto"/>
        <w:ind w:left="139" w:right="300"/>
      </w:pPr>
      <w:r w:rsidRPr="00283806">
        <w:br w:type="column"/>
      </w:r>
      <w:r w:rsidRPr="00283806">
        <w:rPr>
          <w:w w:val="105"/>
        </w:rPr>
        <w:t>dual-function heat pumps, and packaged roof-top units.</w:t>
      </w:r>
    </w:p>
    <w:p w14:paraId="0BAEAFD5" w14:textId="77777777" w:rsidR="00D67C1E" w:rsidRPr="00283806" w:rsidRDefault="001265CA">
      <w:pPr>
        <w:pStyle w:val="BodyText"/>
        <w:spacing w:line="223" w:lineRule="auto"/>
        <w:ind w:left="139" w:right="300" w:firstLine="180"/>
      </w:pPr>
      <w:r w:rsidRPr="00283806">
        <w:rPr>
          <w:rFonts w:ascii="Book Antiqua"/>
          <w:i/>
          <w:w w:val="105"/>
        </w:rPr>
        <w:t xml:space="preserve">Commercial refrigeration </w:t>
      </w:r>
      <w:r w:rsidRPr="00283806">
        <w:rPr>
          <w:w w:val="105"/>
        </w:rPr>
        <w:t xml:space="preserve">means the refrigerant-containing appliances used in </w:t>
      </w:r>
      <w:proofErr w:type="gramStart"/>
      <w:r w:rsidRPr="00283806">
        <w:rPr>
          <w:w w:val="105"/>
        </w:rPr>
        <w:t>the retail</w:t>
      </w:r>
      <w:proofErr w:type="gramEnd"/>
      <w:r w:rsidRPr="00283806">
        <w:rPr>
          <w:w w:val="105"/>
        </w:rPr>
        <w:t xml:space="preserve"> food and cold storage warehouse subsectors. Retail food</w:t>
      </w:r>
    </w:p>
    <w:p w14:paraId="479C25B7" w14:textId="77777777" w:rsidR="00D67C1E" w:rsidRPr="00283806" w:rsidRDefault="001265CA">
      <w:pPr>
        <w:pStyle w:val="BodyText"/>
        <w:spacing w:line="228" w:lineRule="auto"/>
        <w:ind w:left="139" w:right="300"/>
      </w:pPr>
      <w:r w:rsidRPr="00283806">
        <w:rPr>
          <w:w w:val="105"/>
        </w:rPr>
        <w:t>appliances include the refrigerant- containing appliances found in supermarkets, convenience stores, restaurants, and other food service establishments. Cold storage includes the refrigerant-containing appliances used to store meat, produce, dairy products, and other perishable goods.</w:t>
      </w:r>
    </w:p>
    <w:p w14:paraId="4C5FC52E" w14:textId="77777777" w:rsidR="00D67C1E" w:rsidRPr="00283806" w:rsidRDefault="001265CA">
      <w:pPr>
        <w:pStyle w:val="BodyText"/>
        <w:spacing w:line="216" w:lineRule="auto"/>
        <w:ind w:left="139" w:right="190" w:firstLine="180"/>
      </w:pPr>
      <w:r w:rsidRPr="00283806">
        <w:rPr>
          <w:rFonts w:ascii="Book Antiqua"/>
          <w:i/>
          <w:w w:val="105"/>
        </w:rPr>
        <w:t xml:space="preserve">Component, </w:t>
      </w:r>
      <w:r w:rsidRPr="00283806">
        <w:rPr>
          <w:w w:val="105"/>
        </w:rPr>
        <w:t>as it relates to a refrigerant-containing</w:t>
      </w:r>
      <w:r w:rsidRPr="00283806">
        <w:rPr>
          <w:spacing w:val="17"/>
          <w:w w:val="105"/>
        </w:rPr>
        <w:t xml:space="preserve"> </w:t>
      </w:r>
      <w:r w:rsidRPr="00283806">
        <w:rPr>
          <w:w w:val="105"/>
        </w:rPr>
        <w:t>appliance,</w:t>
      </w:r>
      <w:r w:rsidRPr="00283806">
        <w:rPr>
          <w:spacing w:val="18"/>
          <w:w w:val="105"/>
        </w:rPr>
        <w:t xml:space="preserve"> </w:t>
      </w:r>
      <w:r w:rsidRPr="00283806">
        <w:rPr>
          <w:spacing w:val="-2"/>
          <w:w w:val="105"/>
        </w:rPr>
        <w:t>means</w:t>
      </w:r>
    </w:p>
    <w:p w14:paraId="111C5E8A" w14:textId="77777777" w:rsidR="00D67C1E" w:rsidRPr="00283806" w:rsidRDefault="001265CA">
      <w:pPr>
        <w:pStyle w:val="BodyText"/>
        <w:spacing w:line="228" w:lineRule="auto"/>
        <w:ind w:left="139" w:right="130"/>
      </w:pPr>
      <w:r w:rsidRPr="00283806">
        <w:rPr>
          <w:w w:val="105"/>
        </w:rPr>
        <w:t xml:space="preserve">a part of the refrigerant circuit within an appliance including but not limited to compressors, condensers, evaporators, receivers, and </w:t>
      </w:r>
      <w:proofErr w:type="gramStart"/>
      <w:r w:rsidRPr="00283806">
        <w:rPr>
          <w:w w:val="105"/>
        </w:rPr>
        <w:t>all of</w:t>
      </w:r>
      <w:proofErr w:type="gramEnd"/>
      <w:r w:rsidRPr="00283806">
        <w:rPr>
          <w:w w:val="105"/>
        </w:rPr>
        <w:t xml:space="preserve"> its connections and </w:t>
      </w:r>
      <w:r w:rsidRPr="00283806">
        <w:rPr>
          <w:spacing w:val="-2"/>
          <w:w w:val="105"/>
        </w:rPr>
        <w:t>subassemblies.</w:t>
      </w:r>
    </w:p>
    <w:p w14:paraId="08638C08" w14:textId="77777777" w:rsidR="00D67C1E" w:rsidRPr="00283806" w:rsidRDefault="001265CA">
      <w:pPr>
        <w:spacing w:line="216" w:lineRule="auto"/>
        <w:ind w:left="139" w:right="300" w:firstLine="180"/>
        <w:rPr>
          <w:sz w:val="18"/>
        </w:rPr>
      </w:pPr>
      <w:r w:rsidRPr="00283806">
        <w:rPr>
          <w:rFonts w:ascii="Book Antiqua"/>
          <w:i/>
          <w:w w:val="105"/>
          <w:sz w:val="18"/>
        </w:rPr>
        <w:t xml:space="preserve">Custom-built </w:t>
      </w:r>
      <w:r w:rsidRPr="00283806">
        <w:rPr>
          <w:w w:val="105"/>
          <w:sz w:val="18"/>
        </w:rPr>
        <w:t>means that the industrial</w:t>
      </w:r>
      <w:r w:rsidRPr="00283806">
        <w:rPr>
          <w:spacing w:val="15"/>
          <w:w w:val="105"/>
          <w:sz w:val="18"/>
        </w:rPr>
        <w:t xml:space="preserve"> </w:t>
      </w:r>
      <w:r w:rsidRPr="00283806">
        <w:rPr>
          <w:w w:val="105"/>
          <w:sz w:val="18"/>
        </w:rPr>
        <w:t>process</w:t>
      </w:r>
      <w:r w:rsidRPr="00283806">
        <w:rPr>
          <w:spacing w:val="15"/>
          <w:w w:val="105"/>
          <w:sz w:val="18"/>
        </w:rPr>
        <w:t xml:space="preserve"> </w:t>
      </w:r>
      <w:r w:rsidRPr="00283806">
        <w:rPr>
          <w:spacing w:val="-2"/>
          <w:w w:val="105"/>
          <w:sz w:val="18"/>
        </w:rPr>
        <w:t>refrigeration</w:t>
      </w:r>
    </w:p>
    <w:p w14:paraId="6DFFD5B6" w14:textId="77777777" w:rsidR="00D67C1E" w:rsidRPr="00283806" w:rsidRDefault="001265CA">
      <w:pPr>
        <w:pStyle w:val="BodyText"/>
        <w:spacing w:line="228" w:lineRule="auto"/>
        <w:ind w:left="139" w:right="56"/>
      </w:pPr>
      <w:r w:rsidRPr="00283806">
        <w:rPr>
          <w:w w:val="105"/>
        </w:rPr>
        <w:t>equipment or any of its components cannot be purchased and/or installed without being uniquely designed, fabricated</w:t>
      </w:r>
      <w:r w:rsidRPr="00283806">
        <w:rPr>
          <w:spacing w:val="-5"/>
          <w:w w:val="105"/>
        </w:rPr>
        <w:t xml:space="preserve"> </w:t>
      </w:r>
      <w:r w:rsidRPr="00283806">
        <w:rPr>
          <w:w w:val="105"/>
        </w:rPr>
        <w:t>and/or</w:t>
      </w:r>
      <w:r w:rsidRPr="00283806">
        <w:rPr>
          <w:spacing w:val="-5"/>
          <w:w w:val="105"/>
        </w:rPr>
        <w:t xml:space="preserve"> </w:t>
      </w:r>
      <w:r w:rsidRPr="00283806">
        <w:rPr>
          <w:w w:val="105"/>
        </w:rPr>
        <w:t>assembled</w:t>
      </w:r>
      <w:r w:rsidRPr="00283806">
        <w:rPr>
          <w:spacing w:val="-5"/>
          <w:w w:val="105"/>
        </w:rPr>
        <w:t xml:space="preserve"> </w:t>
      </w:r>
      <w:r w:rsidRPr="00283806">
        <w:rPr>
          <w:w w:val="105"/>
        </w:rPr>
        <w:t>to</w:t>
      </w:r>
      <w:r w:rsidRPr="00283806">
        <w:rPr>
          <w:spacing w:val="-5"/>
          <w:w w:val="105"/>
        </w:rPr>
        <w:t xml:space="preserve"> </w:t>
      </w:r>
      <w:r w:rsidRPr="00283806">
        <w:rPr>
          <w:w w:val="105"/>
        </w:rPr>
        <w:t>satisfy</w:t>
      </w:r>
      <w:r w:rsidRPr="00283806">
        <w:rPr>
          <w:spacing w:val="-5"/>
          <w:w w:val="105"/>
        </w:rPr>
        <w:t xml:space="preserve"> </w:t>
      </w:r>
      <w:r w:rsidRPr="00283806">
        <w:rPr>
          <w:w w:val="105"/>
        </w:rPr>
        <w:t xml:space="preserve">a specific set of industrial process </w:t>
      </w:r>
      <w:r w:rsidRPr="00283806">
        <w:rPr>
          <w:spacing w:val="-2"/>
          <w:w w:val="105"/>
        </w:rPr>
        <w:t>conditions.</w:t>
      </w:r>
    </w:p>
    <w:p w14:paraId="0AB699E9" w14:textId="77777777" w:rsidR="00D67C1E" w:rsidRPr="00283806" w:rsidRDefault="001265CA">
      <w:pPr>
        <w:pStyle w:val="BodyText"/>
        <w:spacing w:line="220" w:lineRule="auto"/>
        <w:ind w:left="139" w:right="130" w:firstLine="180"/>
      </w:pPr>
      <w:r w:rsidRPr="00283806">
        <w:rPr>
          <w:rFonts w:ascii="Book Antiqua"/>
          <w:i/>
        </w:rPr>
        <w:t xml:space="preserve">Disposal, </w:t>
      </w:r>
      <w:r w:rsidRPr="00283806">
        <w:t>as it relates to refrigerant-</w:t>
      </w:r>
      <w:r w:rsidRPr="00283806">
        <w:rPr>
          <w:w w:val="110"/>
        </w:rPr>
        <w:t xml:space="preserve"> containing equipment, means the process leading to and including:</w:t>
      </w:r>
    </w:p>
    <w:p w14:paraId="1A3B3D9D" w14:textId="77777777" w:rsidR="00D67C1E" w:rsidRPr="00283806" w:rsidRDefault="001265CA">
      <w:pPr>
        <w:pStyle w:val="ListParagraph"/>
        <w:numPr>
          <w:ilvl w:val="0"/>
          <w:numId w:val="38"/>
        </w:numPr>
        <w:tabs>
          <w:tab w:val="left" w:pos="587"/>
        </w:tabs>
        <w:spacing w:line="228" w:lineRule="auto"/>
        <w:ind w:right="261" w:firstLine="180"/>
        <w:rPr>
          <w:sz w:val="18"/>
        </w:rPr>
      </w:pPr>
      <w:r w:rsidRPr="00283806">
        <w:rPr>
          <w:w w:val="105"/>
          <w:sz w:val="18"/>
        </w:rPr>
        <w:t>The discharge, deposit, dumping, or placing of any discarded refrigerant- containing equipment into or on any land or water;</w:t>
      </w:r>
    </w:p>
    <w:p w14:paraId="6DB76BD3" w14:textId="77777777" w:rsidR="00D67C1E" w:rsidRPr="00283806" w:rsidRDefault="001265CA">
      <w:pPr>
        <w:pStyle w:val="ListParagraph"/>
        <w:numPr>
          <w:ilvl w:val="0"/>
          <w:numId w:val="38"/>
        </w:numPr>
        <w:tabs>
          <w:tab w:val="left" w:pos="587"/>
        </w:tabs>
        <w:spacing w:line="183" w:lineRule="exact"/>
        <w:ind w:left="587" w:hanging="268"/>
        <w:rPr>
          <w:sz w:val="18"/>
        </w:rPr>
      </w:pPr>
      <w:r w:rsidRPr="00283806">
        <w:rPr>
          <w:w w:val="105"/>
          <w:sz w:val="18"/>
        </w:rPr>
        <w:t>The</w:t>
      </w:r>
      <w:r w:rsidRPr="00283806">
        <w:rPr>
          <w:spacing w:val="13"/>
          <w:w w:val="105"/>
          <w:sz w:val="18"/>
        </w:rPr>
        <w:t xml:space="preserve"> </w:t>
      </w:r>
      <w:r w:rsidRPr="00283806">
        <w:rPr>
          <w:w w:val="105"/>
          <w:sz w:val="18"/>
        </w:rPr>
        <w:t>disassembly</w:t>
      </w:r>
      <w:r w:rsidRPr="00283806">
        <w:rPr>
          <w:spacing w:val="13"/>
          <w:w w:val="105"/>
          <w:sz w:val="18"/>
        </w:rPr>
        <w:t xml:space="preserve"> </w:t>
      </w:r>
      <w:r w:rsidRPr="00283806">
        <w:rPr>
          <w:w w:val="105"/>
          <w:sz w:val="18"/>
        </w:rPr>
        <w:t>of</w:t>
      </w:r>
      <w:r w:rsidRPr="00283806">
        <w:rPr>
          <w:spacing w:val="14"/>
          <w:w w:val="105"/>
          <w:sz w:val="18"/>
        </w:rPr>
        <w:t xml:space="preserve"> </w:t>
      </w:r>
      <w:r w:rsidRPr="00283806">
        <w:rPr>
          <w:w w:val="105"/>
          <w:sz w:val="18"/>
        </w:rPr>
        <w:t>any</w:t>
      </w:r>
      <w:r w:rsidRPr="00283806">
        <w:rPr>
          <w:spacing w:val="13"/>
          <w:w w:val="105"/>
          <w:sz w:val="18"/>
        </w:rPr>
        <w:t xml:space="preserve"> </w:t>
      </w:r>
      <w:r w:rsidRPr="00283806">
        <w:rPr>
          <w:spacing w:val="-2"/>
          <w:w w:val="105"/>
          <w:sz w:val="18"/>
        </w:rPr>
        <w:t>refrigerant-</w:t>
      </w:r>
    </w:p>
    <w:p w14:paraId="30B07BE8" w14:textId="77777777" w:rsidR="00D67C1E" w:rsidRPr="00283806" w:rsidRDefault="001265CA">
      <w:pPr>
        <w:pStyle w:val="BodyText"/>
        <w:spacing w:line="228" w:lineRule="auto"/>
        <w:ind w:left="139" w:right="300"/>
      </w:pPr>
      <w:r w:rsidRPr="00283806">
        <w:rPr>
          <w:w w:val="105"/>
        </w:rPr>
        <w:t>containing equipment for discharge, deposit, dumping, or placing of its discarded component parts into or on any land or water;</w:t>
      </w:r>
    </w:p>
    <w:p w14:paraId="7D8E4FAA" w14:textId="77777777" w:rsidR="00D67C1E" w:rsidRPr="00283806" w:rsidRDefault="001265CA">
      <w:pPr>
        <w:pStyle w:val="ListParagraph"/>
        <w:numPr>
          <w:ilvl w:val="0"/>
          <w:numId w:val="38"/>
        </w:numPr>
        <w:tabs>
          <w:tab w:val="left" w:pos="587"/>
        </w:tabs>
        <w:spacing w:line="183" w:lineRule="exact"/>
        <w:ind w:left="587" w:hanging="268"/>
        <w:rPr>
          <w:sz w:val="18"/>
        </w:rPr>
      </w:pPr>
      <w:r w:rsidRPr="00283806">
        <w:rPr>
          <w:w w:val="105"/>
          <w:sz w:val="18"/>
        </w:rPr>
        <w:t>The</w:t>
      </w:r>
      <w:r w:rsidRPr="00283806">
        <w:rPr>
          <w:spacing w:val="16"/>
          <w:w w:val="105"/>
          <w:sz w:val="18"/>
        </w:rPr>
        <w:t xml:space="preserve"> </w:t>
      </w:r>
      <w:r w:rsidRPr="00283806">
        <w:rPr>
          <w:w w:val="105"/>
          <w:sz w:val="18"/>
        </w:rPr>
        <w:t>vandalism</w:t>
      </w:r>
      <w:r w:rsidRPr="00283806">
        <w:rPr>
          <w:spacing w:val="17"/>
          <w:w w:val="105"/>
          <w:sz w:val="18"/>
        </w:rPr>
        <w:t xml:space="preserve"> </w:t>
      </w:r>
      <w:r w:rsidRPr="00283806">
        <w:rPr>
          <w:w w:val="105"/>
          <w:sz w:val="18"/>
        </w:rPr>
        <w:t>of</w:t>
      </w:r>
      <w:r w:rsidRPr="00283806">
        <w:rPr>
          <w:spacing w:val="17"/>
          <w:w w:val="105"/>
          <w:sz w:val="18"/>
        </w:rPr>
        <w:t xml:space="preserve"> </w:t>
      </w:r>
      <w:r w:rsidRPr="00283806">
        <w:rPr>
          <w:w w:val="105"/>
          <w:sz w:val="18"/>
        </w:rPr>
        <w:t>any</w:t>
      </w:r>
      <w:r w:rsidRPr="00283806">
        <w:rPr>
          <w:spacing w:val="17"/>
          <w:w w:val="105"/>
          <w:sz w:val="18"/>
        </w:rPr>
        <w:t xml:space="preserve"> </w:t>
      </w:r>
      <w:r w:rsidRPr="00283806">
        <w:rPr>
          <w:spacing w:val="-2"/>
          <w:w w:val="105"/>
          <w:sz w:val="18"/>
        </w:rPr>
        <w:t>refrigerant-</w:t>
      </w:r>
    </w:p>
    <w:p w14:paraId="57932B89" w14:textId="77777777" w:rsidR="00D67C1E" w:rsidRPr="00283806" w:rsidRDefault="001265CA">
      <w:pPr>
        <w:pStyle w:val="BodyText"/>
        <w:spacing w:line="228" w:lineRule="auto"/>
        <w:ind w:left="139" w:right="190"/>
      </w:pPr>
      <w:r w:rsidRPr="00283806">
        <w:rPr>
          <w:w w:val="105"/>
        </w:rPr>
        <w:t xml:space="preserve">containing equipment such that the refrigerant is released into the environment or would be released into the environment if it had not been recovered prior to the destructive </w:t>
      </w:r>
      <w:r w:rsidRPr="00283806">
        <w:rPr>
          <w:spacing w:val="-2"/>
          <w:w w:val="105"/>
        </w:rPr>
        <w:t>activity;</w:t>
      </w:r>
    </w:p>
    <w:p w14:paraId="43FA0D7F" w14:textId="77777777" w:rsidR="00D67C1E" w:rsidRPr="00283806" w:rsidRDefault="001265CA">
      <w:pPr>
        <w:pStyle w:val="ListParagraph"/>
        <w:numPr>
          <w:ilvl w:val="0"/>
          <w:numId w:val="38"/>
        </w:numPr>
        <w:tabs>
          <w:tab w:val="left" w:pos="587"/>
        </w:tabs>
        <w:spacing w:line="182" w:lineRule="exact"/>
        <w:ind w:left="587" w:hanging="268"/>
        <w:rPr>
          <w:sz w:val="18"/>
        </w:rPr>
      </w:pPr>
      <w:r w:rsidRPr="00283806">
        <w:rPr>
          <w:w w:val="105"/>
          <w:sz w:val="18"/>
        </w:rPr>
        <w:t>The</w:t>
      </w:r>
      <w:r w:rsidRPr="00283806">
        <w:rPr>
          <w:spacing w:val="13"/>
          <w:w w:val="105"/>
          <w:sz w:val="18"/>
        </w:rPr>
        <w:t xml:space="preserve"> </w:t>
      </w:r>
      <w:r w:rsidRPr="00283806">
        <w:rPr>
          <w:w w:val="105"/>
          <w:sz w:val="18"/>
        </w:rPr>
        <w:t>disassembly</w:t>
      </w:r>
      <w:r w:rsidRPr="00283806">
        <w:rPr>
          <w:spacing w:val="13"/>
          <w:w w:val="105"/>
          <w:sz w:val="18"/>
        </w:rPr>
        <w:t xml:space="preserve"> </w:t>
      </w:r>
      <w:r w:rsidRPr="00283806">
        <w:rPr>
          <w:w w:val="105"/>
          <w:sz w:val="18"/>
        </w:rPr>
        <w:t>of</w:t>
      </w:r>
      <w:r w:rsidRPr="00283806">
        <w:rPr>
          <w:spacing w:val="14"/>
          <w:w w:val="105"/>
          <w:sz w:val="18"/>
        </w:rPr>
        <w:t xml:space="preserve"> </w:t>
      </w:r>
      <w:r w:rsidRPr="00283806">
        <w:rPr>
          <w:w w:val="105"/>
          <w:sz w:val="18"/>
        </w:rPr>
        <w:t>any</w:t>
      </w:r>
      <w:r w:rsidRPr="00283806">
        <w:rPr>
          <w:spacing w:val="13"/>
          <w:w w:val="105"/>
          <w:sz w:val="18"/>
        </w:rPr>
        <w:t xml:space="preserve"> </w:t>
      </w:r>
      <w:r w:rsidRPr="00283806">
        <w:rPr>
          <w:spacing w:val="-2"/>
          <w:w w:val="105"/>
          <w:sz w:val="18"/>
        </w:rPr>
        <w:t>refrigerant-</w:t>
      </w:r>
    </w:p>
    <w:p w14:paraId="6AE49C19" w14:textId="77777777" w:rsidR="00D67C1E" w:rsidRPr="00283806" w:rsidRDefault="001265CA">
      <w:pPr>
        <w:pStyle w:val="BodyText"/>
        <w:spacing w:line="228" w:lineRule="auto"/>
        <w:ind w:left="139" w:right="56"/>
      </w:pPr>
      <w:r w:rsidRPr="00283806">
        <w:rPr>
          <w:w w:val="105"/>
        </w:rPr>
        <w:t>containing equipment for reuse of its component parts; or</w:t>
      </w:r>
    </w:p>
    <w:p w14:paraId="5F45588D" w14:textId="77777777" w:rsidR="00D67C1E" w:rsidRPr="00283806" w:rsidRDefault="001265CA">
      <w:pPr>
        <w:pStyle w:val="ListParagraph"/>
        <w:numPr>
          <w:ilvl w:val="0"/>
          <w:numId w:val="38"/>
        </w:numPr>
        <w:tabs>
          <w:tab w:val="left" w:pos="587"/>
        </w:tabs>
        <w:spacing w:line="184" w:lineRule="exact"/>
        <w:ind w:left="587" w:hanging="268"/>
        <w:rPr>
          <w:sz w:val="18"/>
        </w:rPr>
      </w:pPr>
      <w:r w:rsidRPr="00283806">
        <w:rPr>
          <w:w w:val="105"/>
          <w:sz w:val="18"/>
        </w:rPr>
        <w:t>The</w:t>
      </w:r>
      <w:r w:rsidRPr="00283806">
        <w:rPr>
          <w:spacing w:val="16"/>
          <w:w w:val="105"/>
          <w:sz w:val="18"/>
        </w:rPr>
        <w:t xml:space="preserve"> </w:t>
      </w:r>
      <w:r w:rsidRPr="00283806">
        <w:rPr>
          <w:w w:val="105"/>
          <w:sz w:val="18"/>
        </w:rPr>
        <w:t>recycling</w:t>
      </w:r>
      <w:r w:rsidRPr="00283806">
        <w:rPr>
          <w:spacing w:val="16"/>
          <w:w w:val="105"/>
          <w:sz w:val="18"/>
        </w:rPr>
        <w:t xml:space="preserve"> </w:t>
      </w:r>
      <w:r w:rsidRPr="00283806">
        <w:rPr>
          <w:w w:val="105"/>
          <w:sz w:val="18"/>
        </w:rPr>
        <w:t>of</w:t>
      </w:r>
      <w:r w:rsidRPr="00283806">
        <w:rPr>
          <w:spacing w:val="16"/>
          <w:w w:val="105"/>
          <w:sz w:val="18"/>
        </w:rPr>
        <w:t xml:space="preserve"> </w:t>
      </w:r>
      <w:r w:rsidRPr="00283806">
        <w:rPr>
          <w:w w:val="105"/>
          <w:sz w:val="18"/>
        </w:rPr>
        <w:t>any</w:t>
      </w:r>
      <w:r w:rsidRPr="00283806">
        <w:rPr>
          <w:spacing w:val="16"/>
          <w:w w:val="105"/>
          <w:sz w:val="18"/>
        </w:rPr>
        <w:t xml:space="preserve"> </w:t>
      </w:r>
      <w:r w:rsidRPr="00283806">
        <w:rPr>
          <w:spacing w:val="-2"/>
          <w:w w:val="105"/>
          <w:sz w:val="18"/>
        </w:rPr>
        <w:t>refrigerant-</w:t>
      </w:r>
    </w:p>
    <w:p w14:paraId="0263019A" w14:textId="77777777" w:rsidR="00D67C1E" w:rsidRPr="00283806" w:rsidRDefault="001265CA">
      <w:pPr>
        <w:pStyle w:val="BodyText"/>
        <w:spacing w:line="194" w:lineRule="exact"/>
        <w:ind w:left="319" w:hanging="180"/>
      </w:pPr>
      <w:r w:rsidRPr="00283806">
        <w:rPr>
          <w:w w:val="105"/>
        </w:rPr>
        <w:t>containing</w:t>
      </w:r>
      <w:r w:rsidRPr="00283806">
        <w:rPr>
          <w:spacing w:val="15"/>
          <w:w w:val="105"/>
        </w:rPr>
        <w:t xml:space="preserve"> </w:t>
      </w:r>
      <w:r w:rsidRPr="00283806">
        <w:rPr>
          <w:w w:val="105"/>
        </w:rPr>
        <w:t>equipment</w:t>
      </w:r>
      <w:r w:rsidRPr="00283806">
        <w:rPr>
          <w:spacing w:val="16"/>
          <w:w w:val="105"/>
        </w:rPr>
        <w:t xml:space="preserve"> </w:t>
      </w:r>
      <w:r w:rsidRPr="00283806">
        <w:rPr>
          <w:w w:val="105"/>
        </w:rPr>
        <w:t>for</w:t>
      </w:r>
      <w:r w:rsidRPr="00283806">
        <w:rPr>
          <w:spacing w:val="16"/>
          <w:w w:val="105"/>
        </w:rPr>
        <w:t xml:space="preserve"> </w:t>
      </w:r>
      <w:r w:rsidRPr="00283806">
        <w:rPr>
          <w:spacing w:val="-2"/>
          <w:w w:val="105"/>
        </w:rPr>
        <w:t>scrap.</w:t>
      </w:r>
    </w:p>
    <w:p w14:paraId="2B412566" w14:textId="77777777" w:rsidR="00D67C1E" w:rsidRPr="00283806" w:rsidRDefault="001265CA">
      <w:pPr>
        <w:pStyle w:val="BodyText"/>
        <w:spacing w:line="220" w:lineRule="auto"/>
        <w:ind w:left="139" w:right="130" w:firstLine="180"/>
      </w:pPr>
      <w:r w:rsidRPr="00283806">
        <w:rPr>
          <w:rFonts w:ascii="Book Antiqua"/>
          <w:i/>
          <w:w w:val="105"/>
        </w:rPr>
        <w:t xml:space="preserve">Disposal, </w:t>
      </w:r>
      <w:r w:rsidRPr="00283806">
        <w:rPr>
          <w:w w:val="105"/>
        </w:rPr>
        <w:t>as it relates to fire suppression equipment, means the process leading to and including:</w:t>
      </w:r>
    </w:p>
    <w:p w14:paraId="7D447339" w14:textId="77777777" w:rsidR="00D67C1E" w:rsidRPr="00283806" w:rsidRDefault="001265CA">
      <w:pPr>
        <w:pStyle w:val="ListParagraph"/>
        <w:numPr>
          <w:ilvl w:val="0"/>
          <w:numId w:val="37"/>
        </w:numPr>
        <w:tabs>
          <w:tab w:val="left" w:pos="587"/>
        </w:tabs>
        <w:spacing w:line="228" w:lineRule="auto"/>
        <w:ind w:right="183" w:firstLine="180"/>
        <w:rPr>
          <w:sz w:val="18"/>
        </w:rPr>
      </w:pPr>
      <w:r w:rsidRPr="00283806">
        <w:rPr>
          <w:w w:val="105"/>
          <w:sz w:val="18"/>
        </w:rPr>
        <w:t>The discharge, deposit, dumping,</w:t>
      </w:r>
      <w:r w:rsidRPr="00283806">
        <w:rPr>
          <w:spacing w:val="40"/>
          <w:w w:val="105"/>
          <w:sz w:val="18"/>
        </w:rPr>
        <w:t xml:space="preserve"> </w:t>
      </w:r>
      <w:r w:rsidRPr="00283806">
        <w:rPr>
          <w:w w:val="105"/>
          <w:sz w:val="18"/>
        </w:rPr>
        <w:t>or placing of any fire suppression equipment into or on any land or water;</w:t>
      </w:r>
    </w:p>
    <w:p w14:paraId="46055941" w14:textId="77777777" w:rsidR="00D67C1E" w:rsidRPr="00283806" w:rsidRDefault="001265CA">
      <w:pPr>
        <w:pStyle w:val="ListParagraph"/>
        <w:numPr>
          <w:ilvl w:val="0"/>
          <w:numId w:val="37"/>
        </w:numPr>
        <w:tabs>
          <w:tab w:val="left" w:pos="587"/>
        </w:tabs>
        <w:spacing w:line="186" w:lineRule="exact"/>
        <w:ind w:left="587" w:hanging="268"/>
        <w:rPr>
          <w:sz w:val="18"/>
        </w:rPr>
      </w:pPr>
      <w:r w:rsidRPr="00283806">
        <w:rPr>
          <w:w w:val="105"/>
          <w:sz w:val="18"/>
        </w:rPr>
        <w:t>The</w:t>
      </w:r>
      <w:r w:rsidRPr="00283806">
        <w:rPr>
          <w:spacing w:val="13"/>
          <w:w w:val="105"/>
          <w:sz w:val="18"/>
        </w:rPr>
        <w:t xml:space="preserve"> </w:t>
      </w:r>
      <w:r w:rsidRPr="00283806">
        <w:rPr>
          <w:w w:val="105"/>
          <w:sz w:val="18"/>
        </w:rPr>
        <w:t>disassembly</w:t>
      </w:r>
      <w:r w:rsidRPr="00283806">
        <w:rPr>
          <w:spacing w:val="13"/>
          <w:w w:val="105"/>
          <w:sz w:val="18"/>
        </w:rPr>
        <w:t xml:space="preserve"> </w:t>
      </w:r>
      <w:r w:rsidRPr="00283806">
        <w:rPr>
          <w:w w:val="105"/>
          <w:sz w:val="18"/>
        </w:rPr>
        <w:t>of</w:t>
      </w:r>
      <w:r w:rsidRPr="00283806">
        <w:rPr>
          <w:spacing w:val="14"/>
          <w:w w:val="105"/>
          <w:sz w:val="18"/>
        </w:rPr>
        <w:t xml:space="preserve"> </w:t>
      </w:r>
      <w:r w:rsidRPr="00283806">
        <w:rPr>
          <w:w w:val="105"/>
          <w:sz w:val="18"/>
        </w:rPr>
        <w:t>any</w:t>
      </w:r>
      <w:r w:rsidRPr="00283806">
        <w:rPr>
          <w:spacing w:val="13"/>
          <w:w w:val="105"/>
          <w:sz w:val="18"/>
        </w:rPr>
        <w:t xml:space="preserve"> </w:t>
      </w:r>
      <w:r w:rsidRPr="00283806">
        <w:rPr>
          <w:spacing w:val="-4"/>
          <w:w w:val="105"/>
          <w:sz w:val="18"/>
        </w:rPr>
        <w:t>fire</w:t>
      </w:r>
    </w:p>
    <w:p w14:paraId="563DDCB7" w14:textId="77777777" w:rsidR="00D67C1E" w:rsidRPr="00283806" w:rsidRDefault="001265CA">
      <w:pPr>
        <w:pStyle w:val="BodyText"/>
        <w:spacing w:line="228" w:lineRule="auto"/>
        <w:ind w:left="139" w:right="300"/>
      </w:pPr>
      <w:r w:rsidRPr="00283806">
        <w:rPr>
          <w:w w:val="105"/>
        </w:rPr>
        <w:t>suppression equipment for discharge, deposit, dumping, or placing of its discarded component parts into or on any land or water; or</w:t>
      </w:r>
    </w:p>
    <w:p w14:paraId="1E494AF9" w14:textId="77777777" w:rsidR="00D67C1E" w:rsidRPr="00283806" w:rsidRDefault="001265CA">
      <w:pPr>
        <w:pStyle w:val="ListParagraph"/>
        <w:numPr>
          <w:ilvl w:val="0"/>
          <w:numId w:val="37"/>
        </w:numPr>
        <w:tabs>
          <w:tab w:val="left" w:pos="587"/>
        </w:tabs>
        <w:spacing w:line="185" w:lineRule="exact"/>
        <w:ind w:left="587" w:hanging="268"/>
        <w:rPr>
          <w:sz w:val="18"/>
        </w:rPr>
      </w:pPr>
      <w:r w:rsidRPr="00283806">
        <w:rPr>
          <w:w w:val="105"/>
          <w:sz w:val="18"/>
        </w:rPr>
        <w:t>The</w:t>
      </w:r>
      <w:r w:rsidRPr="00283806">
        <w:rPr>
          <w:spacing w:val="13"/>
          <w:w w:val="105"/>
          <w:sz w:val="18"/>
        </w:rPr>
        <w:t xml:space="preserve"> </w:t>
      </w:r>
      <w:r w:rsidRPr="00283806">
        <w:rPr>
          <w:w w:val="105"/>
          <w:sz w:val="18"/>
        </w:rPr>
        <w:t>disassembly</w:t>
      </w:r>
      <w:r w:rsidRPr="00283806">
        <w:rPr>
          <w:spacing w:val="13"/>
          <w:w w:val="105"/>
          <w:sz w:val="18"/>
        </w:rPr>
        <w:t xml:space="preserve"> </w:t>
      </w:r>
      <w:r w:rsidRPr="00283806">
        <w:rPr>
          <w:w w:val="105"/>
          <w:sz w:val="18"/>
        </w:rPr>
        <w:t>of</w:t>
      </w:r>
      <w:r w:rsidRPr="00283806">
        <w:rPr>
          <w:spacing w:val="14"/>
          <w:w w:val="105"/>
          <w:sz w:val="18"/>
        </w:rPr>
        <w:t xml:space="preserve"> </w:t>
      </w:r>
      <w:r w:rsidRPr="00283806">
        <w:rPr>
          <w:w w:val="105"/>
          <w:sz w:val="18"/>
        </w:rPr>
        <w:t>any</w:t>
      </w:r>
      <w:r w:rsidRPr="00283806">
        <w:rPr>
          <w:spacing w:val="13"/>
          <w:w w:val="105"/>
          <w:sz w:val="18"/>
        </w:rPr>
        <w:t xml:space="preserve"> </w:t>
      </w:r>
      <w:r w:rsidRPr="00283806">
        <w:rPr>
          <w:spacing w:val="-4"/>
          <w:w w:val="105"/>
          <w:sz w:val="18"/>
        </w:rPr>
        <w:t>fire</w:t>
      </w:r>
    </w:p>
    <w:p w14:paraId="7CCDFAE9" w14:textId="77777777" w:rsidR="00D67C1E" w:rsidRPr="00283806" w:rsidRDefault="001265CA">
      <w:pPr>
        <w:pStyle w:val="BodyText"/>
        <w:spacing w:line="228" w:lineRule="auto"/>
        <w:ind w:left="139" w:right="56"/>
      </w:pPr>
      <w:r w:rsidRPr="00283806">
        <w:rPr>
          <w:w w:val="105"/>
        </w:rPr>
        <w:t>suppression equipment for reuse of its component parts.</w:t>
      </w:r>
    </w:p>
    <w:p w14:paraId="051FAF4A" w14:textId="77777777" w:rsidR="00D67C1E" w:rsidRPr="00283806" w:rsidRDefault="001265CA">
      <w:pPr>
        <w:pStyle w:val="BodyText"/>
        <w:spacing w:line="216" w:lineRule="auto"/>
        <w:ind w:left="139" w:right="56" w:firstLine="180"/>
      </w:pPr>
      <w:r w:rsidRPr="00283806">
        <w:rPr>
          <w:rFonts w:ascii="Book Antiqua"/>
          <w:i/>
          <w:w w:val="105"/>
        </w:rPr>
        <w:t xml:space="preserve">Equipment </w:t>
      </w:r>
      <w:r w:rsidRPr="00283806">
        <w:rPr>
          <w:w w:val="105"/>
        </w:rPr>
        <w:t>means any device that contains, uses, detects, or is otherwise</w:t>
      </w:r>
    </w:p>
    <w:p w14:paraId="2B945A10" w14:textId="77777777" w:rsidR="00D67C1E" w:rsidRPr="00283806" w:rsidRDefault="00D67C1E">
      <w:pPr>
        <w:spacing w:line="216" w:lineRule="auto"/>
        <w:sectPr w:rsidR="00D67C1E" w:rsidRPr="00283806">
          <w:pgSz w:w="12240" w:h="15840"/>
          <w:pgMar w:top="1040" w:right="780" w:bottom="280" w:left="740" w:header="627" w:footer="0" w:gutter="0"/>
          <w:cols w:num="3" w:space="720" w:equalWidth="0">
            <w:col w:w="3498" w:space="42"/>
            <w:col w:w="3521" w:space="40"/>
            <w:col w:w="3619"/>
          </w:cols>
        </w:sectPr>
      </w:pPr>
    </w:p>
    <w:p w14:paraId="754FE9C8" w14:textId="77777777" w:rsidR="00D67C1E" w:rsidRPr="00283806" w:rsidRDefault="001265CA">
      <w:pPr>
        <w:pStyle w:val="BodyText"/>
        <w:spacing w:before="136" w:line="225" w:lineRule="auto"/>
      </w:pPr>
      <w:r w:rsidRPr="00283806">
        <w:rPr>
          <w:w w:val="105"/>
        </w:rPr>
        <w:lastRenderedPageBreak/>
        <w:t>connected to or associated with a regulated</w:t>
      </w:r>
      <w:r w:rsidRPr="00283806">
        <w:rPr>
          <w:spacing w:val="-4"/>
          <w:w w:val="105"/>
        </w:rPr>
        <w:t xml:space="preserve"> </w:t>
      </w:r>
      <w:r w:rsidRPr="00283806">
        <w:rPr>
          <w:w w:val="105"/>
        </w:rPr>
        <w:t>substance</w:t>
      </w:r>
      <w:r w:rsidRPr="00283806">
        <w:rPr>
          <w:spacing w:val="-4"/>
          <w:w w:val="105"/>
        </w:rPr>
        <w:t xml:space="preserve"> </w:t>
      </w:r>
      <w:r w:rsidRPr="00283806">
        <w:rPr>
          <w:w w:val="105"/>
        </w:rPr>
        <w:t>or</w:t>
      </w:r>
      <w:r w:rsidRPr="00283806">
        <w:rPr>
          <w:spacing w:val="-4"/>
          <w:w w:val="105"/>
        </w:rPr>
        <w:t xml:space="preserve"> </w:t>
      </w:r>
      <w:r w:rsidRPr="00283806">
        <w:rPr>
          <w:w w:val="105"/>
        </w:rPr>
        <w:t>substitute</w:t>
      </w:r>
      <w:r w:rsidRPr="00283806">
        <w:rPr>
          <w:spacing w:val="-4"/>
          <w:w w:val="105"/>
        </w:rPr>
        <w:t xml:space="preserve"> </w:t>
      </w:r>
      <w:r w:rsidRPr="00283806">
        <w:rPr>
          <w:w w:val="105"/>
        </w:rPr>
        <w:t>for</w:t>
      </w:r>
      <w:r w:rsidRPr="00283806">
        <w:rPr>
          <w:spacing w:val="-4"/>
          <w:w w:val="105"/>
        </w:rPr>
        <w:t xml:space="preserve"> </w:t>
      </w:r>
      <w:r w:rsidRPr="00283806">
        <w:rPr>
          <w:w w:val="105"/>
        </w:rPr>
        <w:t>a regulated substance, including any component, system, refrigerant- containing appliance, and fire suppression equipment.</w:t>
      </w:r>
    </w:p>
    <w:p w14:paraId="15C892EC" w14:textId="77777777" w:rsidR="00D67C1E" w:rsidRPr="00283806" w:rsidRDefault="001265CA">
      <w:pPr>
        <w:spacing w:line="183" w:lineRule="exact"/>
        <w:ind w:left="340"/>
        <w:rPr>
          <w:sz w:val="18"/>
        </w:rPr>
      </w:pPr>
      <w:r w:rsidRPr="00283806">
        <w:rPr>
          <w:rFonts w:ascii="Book Antiqua"/>
          <w:i/>
          <w:w w:val="115"/>
          <w:sz w:val="18"/>
        </w:rPr>
        <w:t>Fire</w:t>
      </w:r>
      <w:r w:rsidRPr="00283806">
        <w:rPr>
          <w:rFonts w:ascii="Book Antiqua"/>
          <w:i/>
          <w:spacing w:val="-5"/>
          <w:w w:val="115"/>
          <w:sz w:val="18"/>
        </w:rPr>
        <w:t xml:space="preserve"> </w:t>
      </w:r>
      <w:r w:rsidRPr="00283806">
        <w:rPr>
          <w:rFonts w:ascii="Book Antiqua"/>
          <w:i/>
          <w:w w:val="115"/>
          <w:sz w:val="18"/>
        </w:rPr>
        <w:t>suppression</w:t>
      </w:r>
      <w:r w:rsidRPr="00283806">
        <w:rPr>
          <w:rFonts w:ascii="Book Antiqua"/>
          <w:i/>
          <w:spacing w:val="-4"/>
          <w:w w:val="115"/>
          <w:sz w:val="18"/>
        </w:rPr>
        <w:t xml:space="preserve"> </w:t>
      </w:r>
      <w:r w:rsidRPr="00283806">
        <w:rPr>
          <w:rFonts w:ascii="Book Antiqua"/>
          <w:i/>
          <w:w w:val="115"/>
          <w:sz w:val="18"/>
        </w:rPr>
        <w:t>equipment</w:t>
      </w:r>
      <w:r w:rsidRPr="00283806">
        <w:rPr>
          <w:rFonts w:ascii="Book Antiqua"/>
          <w:i/>
          <w:spacing w:val="-4"/>
          <w:w w:val="115"/>
          <w:sz w:val="18"/>
        </w:rPr>
        <w:t xml:space="preserve"> </w:t>
      </w:r>
      <w:r w:rsidRPr="00283806">
        <w:rPr>
          <w:spacing w:val="-2"/>
          <w:w w:val="115"/>
          <w:sz w:val="18"/>
        </w:rPr>
        <w:t>means</w:t>
      </w:r>
    </w:p>
    <w:p w14:paraId="4AB9258D" w14:textId="77777777" w:rsidR="00D67C1E" w:rsidRPr="00283806" w:rsidRDefault="001265CA">
      <w:pPr>
        <w:pStyle w:val="BodyText"/>
        <w:spacing w:line="225" w:lineRule="auto"/>
        <w:ind w:right="45"/>
      </w:pPr>
      <w:r w:rsidRPr="00283806">
        <w:rPr>
          <w:w w:val="105"/>
        </w:rPr>
        <w:t>any device that is connected to or associated with a regulated substance or substitute for a regulated substance, including blends and mixtures,</w:t>
      </w:r>
      <w:r w:rsidRPr="00283806">
        <w:rPr>
          <w:spacing w:val="40"/>
          <w:w w:val="105"/>
        </w:rPr>
        <w:t xml:space="preserve"> </w:t>
      </w:r>
      <w:proofErr w:type="gramStart"/>
      <w:r w:rsidRPr="00283806">
        <w:rPr>
          <w:w w:val="105"/>
        </w:rPr>
        <w:t>consisting in part</w:t>
      </w:r>
      <w:proofErr w:type="gramEnd"/>
      <w:r w:rsidRPr="00283806">
        <w:rPr>
          <w:w w:val="105"/>
        </w:rPr>
        <w:t xml:space="preserve"> or whole of a</w:t>
      </w:r>
      <w:r w:rsidRPr="00283806">
        <w:rPr>
          <w:spacing w:val="80"/>
          <w:w w:val="105"/>
        </w:rPr>
        <w:t xml:space="preserve"> </w:t>
      </w:r>
      <w:r w:rsidRPr="00283806">
        <w:rPr>
          <w:w w:val="105"/>
        </w:rPr>
        <w:t>regulated substance or a substitute for a regulated substance, and that is used for fire suppression purposes. This term includes any such equipment, component, or system. This term does not include military equipment used in deployable and expeditionary</w:t>
      </w:r>
      <w:r w:rsidRPr="00283806">
        <w:rPr>
          <w:spacing w:val="80"/>
          <w:w w:val="105"/>
        </w:rPr>
        <w:t xml:space="preserve"> </w:t>
      </w:r>
      <w:r w:rsidRPr="00283806">
        <w:rPr>
          <w:w w:val="105"/>
        </w:rPr>
        <w:t>situations. This term also does not include space vehicles as defined in 40 CFR 84.3.</w:t>
      </w:r>
    </w:p>
    <w:p w14:paraId="3BE26671" w14:textId="77777777" w:rsidR="00D67C1E" w:rsidRPr="00283806" w:rsidRDefault="001265CA">
      <w:pPr>
        <w:spacing w:line="180" w:lineRule="exact"/>
        <w:ind w:left="340"/>
        <w:rPr>
          <w:sz w:val="18"/>
        </w:rPr>
      </w:pPr>
      <w:r w:rsidRPr="00283806">
        <w:rPr>
          <w:rFonts w:ascii="Book Antiqua"/>
          <w:i/>
          <w:w w:val="115"/>
          <w:sz w:val="18"/>
        </w:rPr>
        <w:t>Fire</w:t>
      </w:r>
      <w:r w:rsidRPr="00283806">
        <w:rPr>
          <w:rFonts w:ascii="Book Antiqua"/>
          <w:i/>
          <w:spacing w:val="-5"/>
          <w:w w:val="115"/>
          <w:sz w:val="18"/>
        </w:rPr>
        <w:t xml:space="preserve"> </w:t>
      </w:r>
      <w:r w:rsidRPr="00283806">
        <w:rPr>
          <w:rFonts w:ascii="Book Antiqua"/>
          <w:i/>
          <w:w w:val="115"/>
          <w:sz w:val="18"/>
        </w:rPr>
        <w:t>suppression</w:t>
      </w:r>
      <w:r w:rsidRPr="00283806">
        <w:rPr>
          <w:rFonts w:ascii="Book Antiqua"/>
          <w:i/>
          <w:spacing w:val="-4"/>
          <w:w w:val="115"/>
          <w:sz w:val="18"/>
        </w:rPr>
        <w:t xml:space="preserve"> </w:t>
      </w:r>
      <w:r w:rsidRPr="00283806">
        <w:rPr>
          <w:rFonts w:ascii="Book Antiqua"/>
          <w:i/>
          <w:w w:val="115"/>
          <w:sz w:val="18"/>
        </w:rPr>
        <w:t>technician</w:t>
      </w:r>
      <w:r w:rsidRPr="00283806">
        <w:rPr>
          <w:rFonts w:ascii="Book Antiqua"/>
          <w:i/>
          <w:spacing w:val="-4"/>
          <w:w w:val="115"/>
          <w:sz w:val="18"/>
        </w:rPr>
        <w:t xml:space="preserve"> </w:t>
      </w:r>
      <w:r w:rsidRPr="00283806">
        <w:rPr>
          <w:spacing w:val="-2"/>
          <w:w w:val="115"/>
          <w:sz w:val="18"/>
        </w:rPr>
        <w:t>means</w:t>
      </w:r>
    </w:p>
    <w:p w14:paraId="7780DD2E" w14:textId="77777777" w:rsidR="00D67C1E" w:rsidRPr="00283806" w:rsidRDefault="001265CA">
      <w:pPr>
        <w:pStyle w:val="BodyText"/>
        <w:spacing w:line="225" w:lineRule="auto"/>
        <w:ind w:right="122"/>
      </w:pPr>
      <w:proofErr w:type="gramStart"/>
      <w:r w:rsidRPr="00283806">
        <w:rPr>
          <w:w w:val="105"/>
        </w:rPr>
        <w:t>any</w:t>
      </w:r>
      <w:proofErr w:type="gramEnd"/>
      <w:r w:rsidRPr="00283806">
        <w:rPr>
          <w:w w:val="105"/>
        </w:rPr>
        <w:t xml:space="preserve"> person who </w:t>
      </w:r>
      <w:proofErr w:type="gramStart"/>
      <w:r w:rsidRPr="00283806">
        <w:rPr>
          <w:w w:val="105"/>
        </w:rPr>
        <w:t>in the course of</w:t>
      </w:r>
      <w:proofErr w:type="gramEnd"/>
      <w:r w:rsidRPr="00283806">
        <w:rPr>
          <w:w w:val="105"/>
        </w:rPr>
        <w:t xml:space="preserve"> servicing, repair, disposal, or installation of fire suppression equipment could </w:t>
      </w:r>
      <w:proofErr w:type="gramStart"/>
      <w:r w:rsidRPr="00283806">
        <w:rPr>
          <w:w w:val="105"/>
        </w:rPr>
        <w:t>be reasonably</w:t>
      </w:r>
      <w:proofErr w:type="gramEnd"/>
      <w:r w:rsidRPr="00283806">
        <w:rPr>
          <w:w w:val="105"/>
        </w:rPr>
        <w:t xml:space="preserve"> expected to violate the integrity of the fire suppression equipment and therefore</w:t>
      </w:r>
      <w:r w:rsidRPr="00283806">
        <w:rPr>
          <w:spacing w:val="-8"/>
          <w:w w:val="105"/>
        </w:rPr>
        <w:t xml:space="preserve"> </w:t>
      </w:r>
      <w:r w:rsidRPr="00283806">
        <w:rPr>
          <w:w w:val="105"/>
        </w:rPr>
        <w:t>release</w:t>
      </w:r>
      <w:r w:rsidRPr="00283806">
        <w:rPr>
          <w:spacing w:val="-8"/>
          <w:w w:val="105"/>
        </w:rPr>
        <w:t xml:space="preserve"> </w:t>
      </w:r>
      <w:r w:rsidRPr="00283806">
        <w:rPr>
          <w:w w:val="105"/>
        </w:rPr>
        <w:t>fire</w:t>
      </w:r>
      <w:r w:rsidRPr="00283806">
        <w:rPr>
          <w:spacing w:val="-8"/>
          <w:w w:val="105"/>
        </w:rPr>
        <w:t xml:space="preserve"> </w:t>
      </w:r>
      <w:r w:rsidRPr="00283806">
        <w:rPr>
          <w:w w:val="105"/>
        </w:rPr>
        <w:t>suppressants</w:t>
      </w:r>
      <w:r w:rsidRPr="00283806">
        <w:rPr>
          <w:spacing w:val="-8"/>
          <w:w w:val="105"/>
        </w:rPr>
        <w:t xml:space="preserve"> </w:t>
      </w:r>
      <w:r w:rsidRPr="00283806">
        <w:rPr>
          <w:w w:val="105"/>
        </w:rPr>
        <w:t>into the environment.</w:t>
      </w:r>
    </w:p>
    <w:p w14:paraId="25B22FA3" w14:textId="77777777" w:rsidR="00D67C1E" w:rsidRPr="00283806" w:rsidRDefault="001265CA">
      <w:pPr>
        <w:spacing w:line="213" w:lineRule="auto"/>
        <w:ind w:left="160" w:right="189" w:firstLine="180"/>
        <w:rPr>
          <w:sz w:val="18"/>
        </w:rPr>
      </w:pPr>
      <w:r w:rsidRPr="00283806">
        <w:rPr>
          <w:rFonts w:ascii="Book Antiqua"/>
          <w:i/>
          <w:w w:val="105"/>
          <w:sz w:val="18"/>
        </w:rPr>
        <w:t xml:space="preserve">Follow-up verification test, </w:t>
      </w:r>
      <w:r w:rsidRPr="00283806">
        <w:rPr>
          <w:w w:val="105"/>
          <w:sz w:val="18"/>
        </w:rPr>
        <w:t>as it relates</w:t>
      </w:r>
      <w:r w:rsidRPr="00283806">
        <w:rPr>
          <w:spacing w:val="-4"/>
          <w:w w:val="105"/>
          <w:sz w:val="18"/>
        </w:rPr>
        <w:t xml:space="preserve"> </w:t>
      </w:r>
      <w:r w:rsidRPr="00283806">
        <w:rPr>
          <w:w w:val="105"/>
          <w:sz w:val="18"/>
        </w:rPr>
        <w:t>to</w:t>
      </w:r>
      <w:r w:rsidRPr="00283806">
        <w:rPr>
          <w:spacing w:val="-4"/>
          <w:w w:val="105"/>
          <w:sz w:val="18"/>
        </w:rPr>
        <w:t xml:space="preserve"> </w:t>
      </w:r>
      <w:r w:rsidRPr="00283806">
        <w:rPr>
          <w:w w:val="105"/>
          <w:sz w:val="18"/>
        </w:rPr>
        <w:t>a</w:t>
      </w:r>
      <w:r w:rsidRPr="00283806">
        <w:rPr>
          <w:spacing w:val="-4"/>
          <w:w w:val="105"/>
          <w:sz w:val="18"/>
        </w:rPr>
        <w:t xml:space="preserve"> </w:t>
      </w:r>
      <w:r w:rsidRPr="00283806">
        <w:rPr>
          <w:w w:val="105"/>
          <w:sz w:val="18"/>
        </w:rPr>
        <w:t>refrigerant-</w:t>
      </w:r>
      <w:r w:rsidRPr="00283806">
        <w:rPr>
          <w:spacing w:val="-2"/>
          <w:w w:val="105"/>
          <w:sz w:val="18"/>
        </w:rPr>
        <w:t>containing</w:t>
      </w:r>
    </w:p>
    <w:p w14:paraId="3FDA58DB" w14:textId="77777777" w:rsidR="00D67C1E" w:rsidRPr="00283806" w:rsidRDefault="001265CA">
      <w:pPr>
        <w:pStyle w:val="BodyText"/>
        <w:spacing w:line="225" w:lineRule="auto"/>
        <w:ind w:right="98"/>
      </w:pPr>
      <w:r w:rsidRPr="00283806">
        <w:rPr>
          <w:w w:val="105"/>
        </w:rPr>
        <w:t>appliance, means those tests that involve checking the repairs to an appliance after a successful initial verification test and after the appliance has returned to normal operating characteristics and conditions to verify that the repairs were successful.</w:t>
      </w:r>
    </w:p>
    <w:p w14:paraId="368F9ED4" w14:textId="77777777" w:rsidR="00D67C1E" w:rsidRPr="00283806" w:rsidRDefault="001265CA">
      <w:pPr>
        <w:pStyle w:val="BodyText"/>
        <w:spacing w:line="225" w:lineRule="auto"/>
      </w:pPr>
      <w:r w:rsidRPr="00283806">
        <w:rPr>
          <w:w w:val="105"/>
        </w:rPr>
        <w:t>Potential methods for follow-up verification tests include but are not limited to the use of soap bubbles as appropriate, electronic or ultrasonic</w:t>
      </w:r>
      <w:r w:rsidRPr="00283806">
        <w:rPr>
          <w:spacing w:val="80"/>
          <w:w w:val="105"/>
        </w:rPr>
        <w:t xml:space="preserve"> </w:t>
      </w:r>
      <w:r w:rsidRPr="00283806">
        <w:rPr>
          <w:w w:val="105"/>
        </w:rPr>
        <w:t>leak detectors, pressure or vacuum tests, fluorescent dye and black light, infrared or near infrared tests, and handheld gas detection devices.</w:t>
      </w:r>
    </w:p>
    <w:p w14:paraId="3ECCF99E" w14:textId="77777777" w:rsidR="00D67C1E" w:rsidRPr="00283806" w:rsidRDefault="001265CA">
      <w:pPr>
        <w:pStyle w:val="BodyText"/>
        <w:spacing w:line="220" w:lineRule="auto"/>
        <w:ind w:right="46" w:firstLine="180"/>
      </w:pPr>
      <w:r w:rsidRPr="00283806">
        <w:rPr>
          <w:rFonts w:ascii="Book Antiqua"/>
          <w:i/>
          <w:w w:val="105"/>
        </w:rPr>
        <w:t xml:space="preserve">Full charge, </w:t>
      </w:r>
      <w:r w:rsidRPr="00283806">
        <w:rPr>
          <w:w w:val="105"/>
        </w:rPr>
        <w:t>as it relates to a refrigerant-containing appliance, means the amount of refrigerant required for</w:t>
      </w:r>
    </w:p>
    <w:p w14:paraId="5890EAA1" w14:textId="77777777" w:rsidR="00D67C1E" w:rsidRPr="00283806" w:rsidRDefault="001265CA">
      <w:pPr>
        <w:pStyle w:val="BodyText"/>
        <w:spacing w:line="228" w:lineRule="auto"/>
        <w:ind w:right="98"/>
      </w:pPr>
      <w:r w:rsidRPr="00283806">
        <w:rPr>
          <w:w w:val="105"/>
        </w:rPr>
        <w:t xml:space="preserve">normal operating characteristics and conditions of the appliance as determined by using one or a combination of the following four </w:t>
      </w:r>
      <w:r w:rsidRPr="00283806">
        <w:rPr>
          <w:spacing w:val="-2"/>
          <w:w w:val="105"/>
        </w:rPr>
        <w:t>methods:</w:t>
      </w:r>
    </w:p>
    <w:p w14:paraId="4A860039" w14:textId="77777777" w:rsidR="00D67C1E" w:rsidRPr="00283806" w:rsidRDefault="001265CA">
      <w:pPr>
        <w:pStyle w:val="ListParagraph"/>
        <w:numPr>
          <w:ilvl w:val="0"/>
          <w:numId w:val="36"/>
        </w:numPr>
        <w:tabs>
          <w:tab w:val="left" w:pos="608"/>
        </w:tabs>
        <w:spacing w:before="136" w:line="225" w:lineRule="auto"/>
        <w:ind w:right="18" w:firstLine="180"/>
        <w:rPr>
          <w:sz w:val="18"/>
        </w:rPr>
      </w:pPr>
      <w:r w:rsidRPr="00283806">
        <w:br w:type="column"/>
      </w:r>
      <w:r w:rsidRPr="00283806">
        <w:rPr>
          <w:w w:val="105"/>
          <w:sz w:val="18"/>
        </w:rPr>
        <w:t xml:space="preserve">Use of the equipment manufacturer’s determination of the full </w:t>
      </w:r>
      <w:r w:rsidRPr="00283806">
        <w:rPr>
          <w:spacing w:val="-2"/>
          <w:w w:val="105"/>
          <w:sz w:val="18"/>
        </w:rPr>
        <w:t>charge;</w:t>
      </w:r>
    </w:p>
    <w:p w14:paraId="11C36D77" w14:textId="77777777" w:rsidR="00D67C1E" w:rsidRPr="00283806" w:rsidRDefault="001265CA">
      <w:pPr>
        <w:pStyle w:val="ListParagraph"/>
        <w:numPr>
          <w:ilvl w:val="0"/>
          <w:numId w:val="36"/>
        </w:numPr>
        <w:tabs>
          <w:tab w:val="left" w:pos="608"/>
        </w:tabs>
        <w:spacing w:line="179" w:lineRule="exact"/>
        <w:ind w:left="608" w:hanging="268"/>
        <w:rPr>
          <w:sz w:val="18"/>
        </w:rPr>
      </w:pPr>
      <w:r w:rsidRPr="00283806">
        <w:rPr>
          <w:w w:val="105"/>
          <w:sz w:val="18"/>
        </w:rPr>
        <w:t>Use</w:t>
      </w:r>
      <w:r w:rsidRPr="00283806">
        <w:rPr>
          <w:spacing w:val="9"/>
          <w:w w:val="105"/>
          <w:sz w:val="18"/>
        </w:rPr>
        <w:t xml:space="preserve"> </w:t>
      </w:r>
      <w:r w:rsidRPr="00283806">
        <w:rPr>
          <w:w w:val="105"/>
          <w:sz w:val="18"/>
        </w:rPr>
        <w:t>of</w:t>
      </w:r>
      <w:r w:rsidRPr="00283806">
        <w:rPr>
          <w:spacing w:val="9"/>
          <w:w w:val="105"/>
          <w:sz w:val="18"/>
        </w:rPr>
        <w:t xml:space="preserve"> </w:t>
      </w:r>
      <w:r w:rsidRPr="00283806">
        <w:rPr>
          <w:w w:val="105"/>
          <w:sz w:val="18"/>
        </w:rPr>
        <w:t>appropriate</w:t>
      </w:r>
      <w:r w:rsidRPr="00283806">
        <w:rPr>
          <w:spacing w:val="9"/>
          <w:w w:val="105"/>
          <w:sz w:val="18"/>
        </w:rPr>
        <w:t xml:space="preserve"> </w:t>
      </w:r>
      <w:r w:rsidRPr="00283806">
        <w:rPr>
          <w:spacing w:val="-2"/>
          <w:w w:val="105"/>
          <w:sz w:val="18"/>
        </w:rPr>
        <w:t>calculations</w:t>
      </w:r>
    </w:p>
    <w:p w14:paraId="114B3125" w14:textId="77777777" w:rsidR="00D67C1E" w:rsidRPr="00283806" w:rsidRDefault="001265CA">
      <w:pPr>
        <w:pStyle w:val="BodyText"/>
        <w:spacing w:before="3" w:line="225" w:lineRule="auto"/>
        <w:ind w:right="28"/>
      </w:pPr>
      <w:r w:rsidRPr="00283806">
        <w:rPr>
          <w:w w:val="105"/>
        </w:rPr>
        <w:t>based on component sizes, density of refrigerant, volume of piping, and other relevant considerations;</w:t>
      </w:r>
    </w:p>
    <w:p w14:paraId="0CA913CA" w14:textId="77777777" w:rsidR="00D67C1E" w:rsidRPr="00283806" w:rsidRDefault="001265CA">
      <w:pPr>
        <w:pStyle w:val="ListParagraph"/>
        <w:numPr>
          <w:ilvl w:val="0"/>
          <w:numId w:val="36"/>
        </w:numPr>
        <w:tabs>
          <w:tab w:val="left" w:pos="608"/>
        </w:tabs>
        <w:spacing w:line="179" w:lineRule="exact"/>
        <w:ind w:left="608" w:hanging="268"/>
        <w:rPr>
          <w:sz w:val="18"/>
        </w:rPr>
      </w:pPr>
      <w:r w:rsidRPr="00283806">
        <w:rPr>
          <w:w w:val="105"/>
          <w:sz w:val="18"/>
        </w:rPr>
        <w:t>Use</w:t>
      </w:r>
      <w:r w:rsidRPr="00283806">
        <w:rPr>
          <w:spacing w:val="10"/>
          <w:w w:val="105"/>
          <w:sz w:val="18"/>
        </w:rPr>
        <w:t xml:space="preserve"> </w:t>
      </w:r>
      <w:r w:rsidRPr="00283806">
        <w:rPr>
          <w:w w:val="105"/>
          <w:sz w:val="18"/>
        </w:rPr>
        <w:t>of</w:t>
      </w:r>
      <w:r w:rsidRPr="00283806">
        <w:rPr>
          <w:spacing w:val="10"/>
          <w:w w:val="105"/>
          <w:sz w:val="18"/>
        </w:rPr>
        <w:t xml:space="preserve"> </w:t>
      </w:r>
      <w:r w:rsidRPr="00283806">
        <w:rPr>
          <w:w w:val="105"/>
          <w:sz w:val="18"/>
        </w:rPr>
        <w:t>actual</w:t>
      </w:r>
      <w:r w:rsidRPr="00283806">
        <w:rPr>
          <w:spacing w:val="10"/>
          <w:w w:val="105"/>
          <w:sz w:val="18"/>
        </w:rPr>
        <w:t xml:space="preserve"> </w:t>
      </w:r>
      <w:r w:rsidRPr="00283806">
        <w:rPr>
          <w:w w:val="105"/>
          <w:sz w:val="18"/>
        </w:rPr>
        <w:t>measurements</w:t>
      </w:r>
      <w:r w:rsidRPr="00283806">
        <w:rPr>
          <w:spacing w:val="10"/>
          <w:w w:val="105"/>
          <w:sz w:val="18"/>
        </w:rPr>
        <w:t xml:space="preserve"> </w:t>
      </w:r>
      <w:r w:rsidRPr="00283806">
        <w:rPr>
          <w:w w:val="105"/>
          <w:sz w:val="18"/>
        </w:rPr>
        <w:t>of</w:t>
      </w:r>
      <w:r w:rsidRPr="00283806">
        <w:rPr>
          <w:spacing w:val="10"/>
          <w:w w:val="105"/>
          <w:sz w:val="18"/>
        </w:rPr>
        <w:t xml:space="preserve"> </w:t>
      </w:r>
      <w:r w:rsidRPr="00283806">
        <w:rPr>
          <w:spacing w:val="-5"/>
          <w:w w:val="105"/>
          <w:sz w:val="18"/>
        </w:rPr>
        <w:t>the</w:t>
      </w:r>
    </w:p>
    <w:p w14:paraId="4D68DA77" w14:textId="77777777" w:rsidR="00D67C1E" w:rsidRPr="00283806" w:rsidRDefault="001265CA">
      <w:pPr>
        <w:pStyle w:val="BodyText"/>
        <w:spacing w:before="4" w:line="225" w:lineRule="auto"/>
        <w:ind w:right="28"/>
      </w:pPr>
      <w:r w:rsidRPr="00283806">
        <w:rPr>
          <w:w w:val="105"/>
        </w:rPr>
        <w:t>amount of refrigerant added to or evacuated from the appliance, including for seasonal variances; and/or</w:t>
      </w:r>
    </w:p>
    <w:p w14:paraId="4A91D5E8" w14:textId="77777777" w:rsidR="00D67C1E" w:rsidRPr="00283806" w:rsidRDefault="001265CA">
      <w:pPr>
        <w:pStyle w:val="ListParagraph"/>
        <w:numPr>
          <w:ilvl w:val="0"/>
          <w:numId w:val="36"/>
        </w:numPr>
        <w:tabs>
          <w:tab w:val="left" w:pos="608"/>
        </w:tabs>
        <w:spacing w:line="179" w:lineRule="exact"/>
        <w:ind w:left="608" w:hanging="268"/>
        <w:rPr>
          <w:sz w:val="18"/>
        </w:rPr>
      </w:pPr>
      <w:r w:rsidRPr="00283806">
        <w:rPr>
          <w:w w:val="105"/>
          <w:sz w:val="18"/>
        </w:rPr>
        <w:t>Use</w:t>
      </w:r>
      <w:r w:rsidRPr="00283806">
        <w:rPr>
          <w:spacing w:val="9"/>
          <w:w w:val="105"/>
          <w:sz w:val="18"/>
        </w:rPr>
        <w:t xml:space="preserve"> </w:t>
      </w:r>
      <w:r w:rsidRPr="00283806">
        <w:rPr>
          <w:w w:val="105"/>
          <w:sz w:val="18"/>
        </w:rPr>
        <w:t>of</w:t>
      </w:r>
      <w:r w:rsidRPr="00283806">
        <w:rPr>
          <w:spacing w:val="10"/>
          <w:w w:val="105"/>
          <w:sz w:val="18"/>
        </w:rPr>
        <w:t xml:space="preserve"> </w:t>
      </w:r>
      <w:r w:rsidRPr="00283806">
        <w:rPr>
          <w:w w:val="105"/>
          <w:sz w:val="18"/>
        </w:rPr>
        <w:t>an</w:t>
      </w:r>
      <w:r w:rsidRPr="00283806">
        <w:rPr>
          <w:spacing w:val="9"/>
          <w:w w:val="105"/>
          <w:sz w:val="18"/>
        </w:rPr>
        <w:t xml:space="preserve"> </w:t>
      </w:r>
      <w:r w:rsidRPr="00283806">
        <w:rPr>
          <w:w w:val="105"/>
          <w:sz w:val="18"/>
        </w:rPr>
        <w:t>established</w:t>
      </w:r>
      <w:r w:rsidRPr="00283806">
        <w:rPr>
          <w:spacing w:val="10"/>
          <w:w w:val="105"/>
          <w:sz w:val="18"/>
        </w:rPr>
        <w:t xml:space="preserve"> </w:t>
      </w:r>
      <w:r w:rsidRPr="00283806">
        <w:rPr>
          <w:w w:val="105"/>
          <w:sz w:val="18"/>
        </w:rPr>
        <w:t>range</w:t>
      </w:r>
      <w:r w:rsidRPr="00283806">
        <w:rPr>
          <w:spacing w:val="10"/>
          <w:w w:val="105"/>
          <w:sz w:val="18"/>
        </w:rPr>
        <w:t xml:space="preserve"> </w:t>
      </w:r>
      <w:r w:rsidRPr="00283806">
        <w:rPr>
          <w:spacing w:val="-2"/>
          <w:w w:val="105"/>
          <w:sz w:val="18"/>
        </w:rPr>
        <w:t>based</w:t>
      </w:r>
    </w:p>
    <w:p w14:paraId="57C7F47B" w14:textId="77777777" w:rsidR="00D67C1E" w:rsidRPr="00283806" w:rsidRDefault="001265CA">
      <w:pPr>
        <w:pStyle w:val="BodyText"/>
        <w:spacing w:before="4" w:line="225" w:lineRule="auto"/>
        <w:ind w:right="28"/>
      </w:pPr>
      <w:r w:rsidRPr="00283806">
        <w:rPr>
          <w:w w:val="105"/>
        </w:rPr>
        <w:t>on the best available data regarding the normal operating characteristics and conditions for the appliance, where the midpoint of the range will serve as the full charge.</w:t>
      </w:r>
    </w:p>
    <w:p w14:paraId="2CFAEC4D" w14:textId="77777777" w:rsidR="00D67C1E" w:rsidRPr="00283806" w:rsidRDefault="001265CA">
      <w:pPr>
        <w:spacing w:line="184" w:lineRule="exact"/>
        <w:ind w:left="340"/>
        <w:rPr>
          <w:sz w:val="18"/>
        </w:rPr>
      </w:pPr>
      <w:r w:rsidRPr="00283806">
        <w:rPr>
          <w:rFonts w:ascii="Book Antiqua"/>
          <w:i/>
          <w:w w:val="110"/>
          <w:sz w:val="18"/>
        </w:rPr>
        <w:t>Industrial</w:t>
      </w:r>
      <w:r w:rsidRPr="00283806">
        <w:rPr>
          <w:rFonts w:ascii="Book Antiqua"/>
          <w:i/>
          <w:spacing w:val="21"/>
          <w:w w:val="110"/>
          <w:sz w:val="18"/>
        </w:rPr>
        <w:t xml:space="preserve"> </w:t>
      </w:r>
      <w:r w:rsidRPr="00283806">
        <w:rPr>
          <w:rFonts w:ascii="Book Antiqua"/>
          <w:i/>
          <w:w w:val="110"/>
          <w:sz w:val="18"/>
        </w:rPr>
        <w:t>process</w:t>
      </w:r>
      <w:r w:rsidRPr="00283806">
        <w:rPr>
          <w:rFonts w:ascii="Book Antiqua"/>
          <w:i/>
          <w:spacing w:val="22"/>
          <w:w w:val="110"/>
          <w:sz w:val="18"/>
        </w:rPr>
        <w:t xml:space="preserve"> </w:t>
      </w:r>
      <w:r w:rsidRPr="00283806">
        <w:rPr>
          <w:rFonts w:ascii="Book Antiqua"/>
          <w:i/>
          <w:w w:val="110"/>
          <w:sz w:val="18"/>
        </w:rPr>
        <w:t>refrigeration</w:t>
      </w:r>
      <w:r w:rsidRPr="00283806">
        <w:rPr>
          <w:rFonts w:ascii="Book Antiqua"/>
          <w:i/>
          <w:spacing w:val="22"/>
          <w:w w:val="110"/>
          <w:sz w:val="18"/>
        </w:rPr>
        <w:t xml:space="preserve"> </w:t>
      </w:r>
      <w:r w:rsidRPr="00283806">
        <w:rPr>
          <w:spacing w:val="-4"/>
          <w:w w:val="110"/>
          <w:sz w:val="18"/>
        </w:rPr>
        <w:t>means</w:t>
      </w:r>
    </w:p>
    <w:p w14:paraId="314802BE" w14:textId="77777777" w:rsidR="00D67C1E" w:rsidRPr="00283806" w:rsidRDefault="001265CA">
      <w:pPr>
        <w:pStyle w:val="BodyText"/>
        <w:spacing w:line="228" w:lineRule="auto"/>
        <w:ind w:right="98"/>
      </w:pPr>
      <w:r w:rsidRPr="00283806">
        <w:rPr>
          <w:w w:val="105"/>
        </w:rPr>
        <w:t>complex customized refrigerant- containing appliances that are directly linked to the processes used in, for example, the chemical, pharmaceutical, petrochemical, and manufacturing industries. This sector also includes industrial</w:t>
      </w:r>
      <w:r w:rsidRPr="00283806">
        <w:rPr>
          <w:spacing w:val="40"/>
          <w:w w:val="105"/>
        </w:rPr>
        <w:t xml:space="preserve"> </w:t>
      </w:r>
      <w:r w:rsidRPr="00283806">
        <w:rPr>
          <w:w w:val="105"/>
        </w:rPr>
        <w:t>ice</w:t>
      </w:r>
      <w:r w:rsidRPr="00283806">
        <w:rPr>
          <w:spacing w:val="40"/>
          <w:w w:val="105"/>
        </w:rPr>
        <w:t xml:space="preserve"> </w:t>
      </w:r>
      <w:r w:rsidRPr="00283806">
        <w:rPr>
          <w:w w:val="105"/>
        </w:rPr>
        <w:t>machines,</w:t>
      </w:r>
      <w:r w:rsidRPr="00283806">
        <w:rPr>
          <w:spacing w:val="40"/>
          <w:w w:val="105"/>
        </w:rPr>
        <w:t xml:space="preserve"> </w:t>
      </w:r>
      <w:r w:rsidRPr="00283806">
        <w:rPr>
          <w:w w:val="105"/>
        </w:rPr>
        <w:t>appliances used directly in the generation of electricity, and ice rinks. Where one appliance is used for both industrial process refrigeration and other applications, it will be considered industrial process refrigeration equipment if 50 percent or more of its operating capacity is used for industrial process refrigeration.</w:t>
      </w:r>
    </w:p>
    <w:p w14:paraId="329DF26A" w14:textId="77777777" w:rsidR="00D67C1E" w:rsidRPr="00283806" w:rsidRDefault="001265CA">
      <w:pPr>
        <w:spacing w:line="170" w:lineRule="exact"/>
        <w:ind w:left="340"/>
        <w:rPr>
          <w:sz w:val="18"/>
        </w:rPr>
      </w:pPr>
      <w:r w:rsidRPr="00283806">
        <w:rPr>
          <w:rFonts w:ascii="Book Antiqua"/>
          <w:i/>
          <w:w w:val="110"/>
          <w:sz w:val="18"/>
        </w:rPr>
        <w:t>Initial</w:t>
      </w:r>
      <w:r w:rsidRPr="00283806">
        <w:rPr>
          <w:rFonts w:ascii="Book Antiqua"/>
          <w:i/>
          <w:spacing w:val="-4"/>
          <w:w w:val="110"/>
          <w:sz w:val="18"/>
        </w:rPr>
        <w:t xml:space="preserve"> </w:t>
      </w:r>
      <w:r w:rsidRPr="00283806">
        <w:rPr>
          <w:rFonts w:ascii="Book Antiqua"/>
          <w:i/>
          <w:w w:val="110"/>
          <w:sz w:val="18"/>
        </w:rPr>
        <w:t>verification</w:t>
      </w:r>
      <w:r w:rsidRPr="00283806">
        <w:rPr>
          <w:rFonts w:ascii="Book Antiqua"/>
          <w:i/>
          <w:spacing w:val="-3"/>
          <w:w w:val="110"/>
          <w:sz w:val="18"/>
        </w:rPr>
        <w:t xml:space="preserve"> </w:t>
      </w:r>
      <w:r w:rsidRPr="00283806">
        <w:rPr>
          <w:rFonts w:ascii="Book Antiqua"/>
          <w:i/>
          <w:w w:val="110"/>
          <w:sz w:val="18"/>
        </w:rPr>
        <w:t>test,</w:t>
      </w:r>
      <w:r w:rsidRPr="00283806">
        <w:rPr>
          <w:rFonts w:ascii="Book Antiqua"/>
          <w:i/>
          <w:spacing w:val="-4"/>
          <w:w w:val="110"/>
          <w:sz w:val="18"/>
        </w:rPr>
        <w:t xml:space="preserve"> </w:t>
      </w:r>
      <w:r w:rsidRPr="00283806">
        <w:rPr>
          <w:w w:val="110"/>
          <w:sz w:val="18"/>
        </w:rPr>
        <w:t>as</w:t>
      </w:r>
      <w:r w:rsidRPr="00283806">
        <w:rPr>
          <w:spacing w:val="3"/>
          <w:w w:val="110"/>
          <w:sz w:val="18"/>
        </w:rPr>
        <w:t xml:space="preserve"> </w:t>
      </w:r>
      <w:r w:rsidRPr="00283806">
        <w:rPr>
          <w:w w:val="110"/>
          <w:sz w:val="18"/>
        </w:rPr>
        <w:t>it</w:t>
      </w:r>
      <w:r w:rsidRPr="00283806">
        <w:rPr>
          <w:spacing w:val="2"/>
          <w:w w:val="110"/>
          <w:sz w:val="18"/>
        </w:rPr>
        <w:t xml:space="preserve"> </w:t>
      </w:r>
      <w:r w:rsidRPr="00283806">
        <w:rPr>
          <w:w w:val="110"/>
          <w:sz w:val="18"/>
        </w:rPr>
        <w:t>relates</w:t>
      </w:r>
      <w:r w:rsidRPr="00283806">
        <w:rPr>
          <w:spacing w:val="2"/>
          <w:w w:val="110"/>
          <w:sz w:val="18"/>
        </w:rPr>
        <w:t xml:space="preserve"> </w:t>
      </w:r>
      <w:r w:rsidRPr="00283806">
        <w:rPr>
          <w:spacing w:val="-5"/>
          <w:w w:val="110"/>
          <w:sz w:val="18"/>
        </w:rPr>
        <w:t>to</w:t>
      </w:r>
    </w:p>
    <w:p w14:paraId="7069999B" w14:textId="77777777" w:rsidR="00D67C1E" w:rsidRPr="00283806" w:rsidRDefault="001265CA">
      <w:pPr>
        <w:pStyle w:val="BodyText"/>
        <w:spacing w:line="228" w:lineRule="auto"/>
      </w:pPr>
      <w:r w:rsidRPr="00283806">
        <w:rPr>
          <w:w w:val="105"/>
        </w:rPr>
        <w:t xml:space="preserve">a refrigerant-containing </w:t>
      </w:r>
      <w:proofErr w:type="gramStart"/>
      <w:r w:rsidRPr="00283806">
        <w:rPr>
          <w:w w:val="105"/>
        </w:rPr>
        <w:t>appliance,</w:t>
      </w:r>
      <w:proofErr w:type="gramEnd"/>
      <w:r w:rsidRPr="00283806">
        <w:rPr>
          <w:spacing w:val="40"/>
          <w:w w:val="105"/>
        </w:rPr>
        <w:t xml:space="preserve"> </w:t>
      </w:r>
      <w:r w:rsidRPr="00283806">
        <w:rPr>
          <w:w w:val="105"/>
        </w:rPr>
        <w:t>means those leak tests that are</w:t>
      </w:r>
      <w:r w:rsidRPr="00283806">
        <w:rPr>
          <w:spacing w:val="40"/>
          <w:w w:val="105"/>
        </w:rPr>
        <w:t xml:space="preserve"> </w:t>
      </w:r>
      <w:r w:rsidRPr="00283806">
        <w:rPr>
          <w:w w:val="105"/>
        </w:rPr>
        <w:t>conducted after the repair is finished to verify that a leak or leaks have been repaired</w:t>
      </w:r>
      <w:r w:rsidRPr="00283806">
        <w:rPr>
          <w:spacing w:val="-5"/>
          <w:w w:val="105"/>
        </w:rPr>
        <w:t xml:space="preserve"> </w:t>
      </w:r>
      <w:r w:rsidRPr="00283806">
        <w:rPr>
          <w:w w:val="105"/>
        </w:rPr>
        <w:t>before</w:t>
      </w:r>
      <w:r w:rsidRPr="00283806">
        <w:rPr>
          <w:spacing w:val="-5"/>
          <w:w w:val="105"/>
        </w:rPr>
        <w:t xml:space="preserve"> </w:t>
      </w:r>
      <w:r w:rsidRPr="00283806">
        <w:rPr>
          <w:w w:val="105"/>
        </w:rPr>
        <w:t>refrigerant</w:t>
      </w:r>
      <w:r w:rsidRPr="00283806">
        <w:rPr>
          <w:spacing w:val="-5"/>
          <w:w w:val="105"/>
        </w:rPr>
        <w:t xml:space="preserve"> </w:t>
      </w:r>
      <w:r w:rsidRPr="00283806">
        <w:rPr>
          <w:w w:val="105"/>
        </w:rPr>
        <w:t>is</w:t>
      </w:r>
      <w:r w:rsidRPr="00283806">
        <w:rPr>
          <w:spacing w:val="-5"/>
          <w:w w:val="105"/>
        </w:rPr>
        <w:t xml:space="preserve"> </w:t>
      </w:r>
      <w:r w:rsidRPr="00283806">
        <w:rPr>
          <w:w w:val="105"/>
        </w:rPr>
        <w:t>added</w:t>
      </w:r>
      <w:r w:rsidRPr="00283806">
        <w:rPr>
          <w:spacing w:val="-5"/>
          <w:w w:val="105"/>
        </w:rPr>
        <w:t xml:space="preserve"> </w:t>
      </w:r>
      <w:r w:rsidRPr="00283806">
        <w:rPr>
          <w:w w:val="105"/>
        </w:rPr>
        <w:t>back to the appliance.</w:t>
      </w:r>
    </w:p>
    <w:p w14:paraId="1E36CBFE" w14:textId="77777777" w:rsidR="00D67C1E" w:rsidRPr="00283806" w:rsidRDefault="001265CA">
      <w:pPr>
        <w:pStyle w:val="BodyText"/>
        <w:spacing w:line="216" w:lineRule="auto"/>
        <w:ind w:right="28" w:firstLine="180"/>
      </w:pPr>
      <w:r w:rsidRPr="00283806">
        <w:rPr>
          <w:rFonts w:ascii="Book Antiqua"/>
          <w:i/>
          <w:w w:val="105"/>
        </w:rPr>
        <w:t xml:space="preserve">Installation </w:t>
      </w:r>
      <w:r w:rsidRPr="00283806">
        <w:rPr>
          <w:w w:val="105"/>
        </w:rPr>
        <w:t>means the process of setting</w:t>
      </w:r>
      <w:r w:rsidRPr="00283806">
        <w:rPr>
          <w:spacing w:val="10"/>
          <w:w w:val="105"/>
        </w:rPr>
        <w:t xml:space="preserve"> </w:t>
      </w:r>
      <w:r w:rsidRPr="00283806">
        <w:rPr>
          <w:w w:val="105"/>
        </w:rPr>
        <w:t>up</w:t>
      </w:r>
      <w:r w:rsidRPr="00283806">
        <w:rPr>
          <w:spacing w:val="11"/>
          <w:w w:val="105"/>
        </w:rPr>
        <w:t xml:space="preserve"> </w:t>
      </w:r>
      <w:r w:rsidRPr="00283806">
        <w:rPr>
          <w:w w:val="105"/>
        </w:rPr>
        <w:t>equipment</w:t>
      </w:r>
      <w:r w:rsidRPr="00283806">
        <w:rPr>
          <w:spacing w:val="11"/>
          <w:w w:val="105"/>
        </w:rPr>
        <w:t xml:space="preserve"> </w:t>
      </w:r>
      <w:r w:rsidRPr="00283806">
        <w:rPr>
          <w:w w:val="105"/>
        </w:rPr>
        <w:t>for</w:t>
      </w:r>
      <w:r w:rsidRPr="00283806">
        <w:rPr>
          <w:spacing w:val="10"/>
          <w:w w:val="105"/>
        </w:rPr>
        <w:t xml:space="preserve"> </w:t>
      </w:r>
      <w:r w:rsidRPr="00283806">
        <w:rPr>
          <w:w w:val="105"/>
        </w:rPr>
        <w:t>use,</w:t>
      </w:r>
      <w:r w:rsidRPr="00283806">
        <w:rPr>
          <w:spacing w:val="11"/>
          <w:w w:val="105"/>
        </w:rPr>
        <w:t xml:space="preserve"> </w:t>
      </w:r>
      <w:r w:rsidRPr="00283806">
        <w:rPr>
          <w:spacing w:val="-4"/>
          <w:w w:val="105"/>
        </w:rPr>
        <w:t>which</w:t>
      </w:r>
    </w:p>
    <w:p w14:paraId="373C8C57" w14:textId="77777777" w:rsidR="00D67C1E" w:rsidRPr="00283806" w:rsidRDefault="001265CA">
      <w:pPr>
        <w:pStyle w:val="BodyText"/>
        <w:spacing w:line="228" w:lineRule="auto"/>
        <w:ind w:right="74"/>
      </w:pPr>
      <w:r w:rsidRPr="00283806">
        <w:rPr>
          <w:w w:val="105"/>
        </w:rPr>
        <w:t>may include steps such as completing the refrigerant circuit, including charging equipment with a regulated substance or substitute for a regulated substance, or connecting cylinders containing a regulated substance or a substitute</w:t>
      </w:r>
      <w:r w:rsidRPr="00283806">
        <w:rPr>
          <w:spacing w:val="-2"/>
          <w:w w:val="105"/>
        </w:rPr>
        <w:t xml:space="preserve"> </w:t>
      </w:r>
      <w:r w:rsidRPr="00283806">
        <w:rPr>
          <w:w w:val="105"/>
        </w:rPr>
        <w:t>for</w:t>
      </w:r>
      <w:r w:rsidRPr="00283806">
        <w:rPr>
          <w:spacing w:val="-2"/>
          <w:w w:val="105"/>
        </w:rPr>
        <w:t xml:space="preserve"> </w:t>
      </w:r>
      <w:r w:rsidRPr="00283806">
        <w:rPr>
          <w:w w:val="105"/>
        </w:rPr>
        <w:t>a</w:t>
      </w:r>
      <w:r w:rsidRPr="00283806">
        <w:rPr>
          <w:spacing w:val="-2"/>
          <w:w w:val="105"/>
        </w:rPr>
        <w:t xml:space="preserve"> </w:t>
      </w:r>
      <w:r w:rsidRPr="00283806">
        <w:rPr>
          <w:w w:val="105"/>
        </w:rPr>
        <w:t>regulated</w:t>
      </w:r>
      <w:r w:rsidRPr="00283806">
        <w:rPr>
          <w:spacing w:val="-2"/>
          <w:w w:val="105"/>
        </w:rPr>
        <w:t xml:space="preserve"> </w:t>
      </w:r>
      <w:r w:rsidRPr="00283806">
        <w:rPr>
          <w:w w:val="105"/>
        </w:rPr>
        <w:t>substance</w:t>
      </w:r>
      <w:r w:rsidRPr="00283806">
        <w:rPr>
          <w:spacing w:val="-2"/>
          <w:w w:val="105"/>
        </w:rPr>
        <w:t xml:space="preserve"> </w:t>
      </w:r>
      <w:r w:rsidRPr="00283806">
        <w:rPr>
          <w:w w:val="105"/>
        </w:rPr>
        <w:t>to</w:t>
      </w:r>
      <w:r w:rsidRPr="00283806">
        <w:rPr>
          <w:spacing w:val="-2"/>
          <w:w w:val="105"/>
        </w:rPr>
        <w:t xml:space="preserve"> </w:t>
      </w:r>
      <w:r w:rsidRPr="00283806">
        <w:rPr>
          <w:w w:val="105"/>
        </w:rPr>
        <w:t xml:space="preserve">a total flooding fire suppression system, such that the equipment can function and is ready for use for its intended </w:t>
      </w:r>
      <w:r w:rsidRPr="00283806">
        <w:rPr>
          <w:spacing w:val="-2"/>
          <w:w w:val="105"/>
        </w:rPr>
        <w:t>purpose.</w:t>
      </w:r>
    </w:p>
    <w:p w14:paraId="28E0C0DF" w14:textId="77777777" w:rsidR="00D67C1E" w:rsidRPr="00283806" w:rsidRDefault="001265CA">
      <w:pPr>
        <w:spacing w:line="181" w:lineRule="exact"/>
        <w:ind w:left="340"/>
        <w:rPr>
          <w:sz w:val="18"/>
        </w:rPr>
      </w:pPr>
      <w:r w:rsidRPr="00283806">
        <w:rPr>
          <w:rFonts w:ascii="Book Antiqua"/>
          <w:i/>
          <w:w w:val="110"/>
          <w:sz w:val="18"/>
        </w:rPr>
        <w:t>Leak</w:t>
      </w:r>
      <w:r w:rsidRPr="00283806">
        <w:rPr>
          <w:rFonts w:ascii="Book Antiqua"/>
          <w:i/>
          <w:spacing w:val="-2"/>
          <w:w w:val="110"/>
          <w:sz w:val="18"/>
        </w:rPr>
        <w:t xml:space="preserve"> </w:t>
      </w:r>
      <w:r w:rsidRPr="00283806">
        <w:rPr>
          <w:rFonts w:ascii="Book Antiqua"/>
          <w:i/>
          <w:w w:val="110"/>
          <w:sz w:val="18"/>
        </w:rPr>
        <w:t>inspection,</w:t>
      </w:r>
      <w:r w:rsidRPr="00283806">
        <w:rPr>
          <w:rFonts w:ascii="Book Antiqua"/>
          <w:i/>
          <w:spacing w:val="-1"/>
          <w:w w:val="110"/>
          <w:sz w:val="18"/>
        </w:rPr>
        <w:t xml:space="preserve"> </w:t>
      </w:r>
      <w:r w:rsidRPr="00283806">
        <w:rPr>
          <w:w w:val="110"/>
          <w:sz w:val="18"/>
        </w:rPr>
        <w:t>as</w:t>
      </w:r>
      <w:r w:rsidRPr="00283806">
        <w:rPr>
          <w:spacing w:val="4"/>
          <w:w w:val="110"/>
          <w:sz w:val="18"/>
        </w:rPr>
        <w:t xml:space="preserve"> </w:t>
      </w:r>
      <w:r w:rsidRPr="00283806">
        <w:rPr>
          <w:w w:val="110"/>
          <w:sz w:val="18"/>
        </w:rPr>
        <w:t>it</w:t>
      </w:r>
      <w:r w:rsidRPr="00283806">
        <w:rPr>
          <w:spacing w:val="5"/>
          <w:w w:val="110"/>
          <w:sz w:val="18"/>
        </w:rPr>
        <w:t xml:space="preserve"> </w:t>
      </w:r>
      <w:r w:rsidRPr="00283806">
        <w:rPr>
          <w:w w:val="110"/>
          <w:sz w:val="18"/>
        </w:rPr>
        <w:t>relates</w:t>
      </w:r>
      <w:r w:rsidRPr="00283806">
        <w:rPr>
          <w:spacing w:val="4"/>
          <w:w w:val="110"/>
          <w:sz w:val="18"/>
        </w:rPr>
        <w:t xml:space="preserve"> </w:t>
      </w:r>
      <w:r w:rsidRPr="00283806">
        <w:rPr>
          <w:w w:val="110"/>
          <w:sz w:val="18"/>
        </w:rPr>
        <w:t>to</w:t>
      </w:r>
      <w:r w:rsidRPr="00283806">
        <w:rPr>
          <w:spacing w:val="5"/>
          <w:w w:val="110"/>
          <w:sz w:val="18"/>
        </w:rPr>
        <w:t xml:space="preserve"> </w:t>
      </w:r>
      <w:r w:rsidRPr="00283806">
        <w:rPr>
          <w:spacing w:val="-10"/>
          <w:w w:val="110"/>
          <w:sz w:val="18"/>
        </w:rPr>
        <w:t>a</w:t>
      </w:r>
    </w:p>
    <w:p w14:paraId="5153E7A1" w14:textId="77777777" w:rsidR="00D67C1E" w:rsidRPr="00283806" w:rsidRDefault="001265CA">
      <w:pPr>
        <w:pStyle w:val="BodyText"/>
        <w:spacing w:line="200" w:lineRule="exact"/>
      </w:pPr>
      <w:r w:rsidRPr="00283806">
        <w:rPr>
          <w:w w:val="105"/>
        </w:rPr>
        <w:t>refrigerant-containing</w:t>
      </w:r>
      <w:r w:rsidRPr="00283806">
        <w:rPr>
          <w:spacing w:val="17"/>
          <w:w w:val="105"/>
        </w:rPr>
        <w:t xml:space="preserve"> </w:t>
      </w:r>
      <w:r w:rsidRPr="00283806">
        <w:rPr>
          <w:w w:val="105"/>
        </w:rPr>
        <w:t>appliance,</w:t>
      </w:r>
      <w:r w:rsidRPr="00283806">
        <w:rPr>
          <w:spacing w:val="18"/>
          <w:w w:val="105"/>
        </w:rPr>
        <w:t xml:space="preserve"> </w:t>
      </w:r>
      <w:r w:rsidRPr="00283806">
        <w:rPr>
          <w:spacing w:val="-2"/>
          <w:w w:val="105"/>
        </w:rPr>
        <w:t>means</w:t>
      </w:r>
    </w:p>
    <w:p w14:paraId="1AE9E34F" w14:textId="77777777" w:rsidR="00D67C1E" w:rsidRPr="00283806" w:rsidRDefault="001265CA">
      <w:pPr>
        <w:pStyle w:val="BodyText"/>
        <w:spacing w:before="131" w:line="230" w:lineRule="auto"/>
        <w:ind w:right="190"/>
      </w:pPr>
      <w:r w:rsidRPr="00283806">
        <w:br w:type="column"/>
      </w:r>
      <w:r w:rsidRPr="00283806">
        <w:rPr>
          <w:w w:val="105"/>
        </w:rPr>
        <w:t>the examination of an appliance to</w:t>
      </w:r>
      <w:r w:rsidRPr="00283806">
        <w:rPr>
          <w:spacing w:val="80"/>
          <w:w w:val="105"/>
        </w:rPr>
        <w:t xml:space="preserve"> </w:t>
      </w:r>
      <w:r w:rsidRPr="00283806">
        <w:rPr>
          <w:w w:val="105"/>
        </w:rPr>
        <w:t>detect and determine the location of refrigerant leaks. Potential methods include but are not limited to ultrasonic tests, gas-imaging cameras, bubble tests as appropriate, or the use of a leak detection device operated and maintained according to manufacturer guidelines. Methods that determine whether the appliance is leaking refrigerant but not the location of a leak, such as standing pressure/vacuum</w:t>
      </w:r>
      <w:r w:rsidRPr="00283806">
        <w:rPr>
          <w:spacing w:val="40"/>
          <w:w w:val="105"/>
        </w:rPr>
        <w:t xml:space="preserve"> </w:t>
      </w:r>
      <w:r w:rsidRPr="00283806">
        <w:rPr>
          <w:w w:val="105"/>
        </w:rPr>
        <w:t>decay tests, sight glass checks, viewing receiver levels, pressure checks, and charging charts, must be used in conjunction with methods that can determine the location of a leak.</w:t>
      </w:r>
    </w:p>
    <w:p w14:paraId="19C1FCAF" w14:textId="77777777" w:rsidR="00D67C1E" w:rsidRPr="00283806" w:rsidRDefault="001265CA">
      <w:pPr>
        <w:pStyle w:val="BodyText"/>
        <w:spacing w:before="51" w:line="225" w:lineRule="auto"/>
        <w:ind w:right="218" w:firstLine="180"/>
      </w:pPr>
      <w:r w:rsidRPr="00283806">
        <w:rPr>
          <w:rFonts w:ascii="Book Antiqua" w:hAnsi="Book Antiqua"/>
          <w:i/>
          <w:w w:val="105"/>
        </w:rPr>
        <w:t xml:space="preserve">Leak rate, </w:t>
      </w:r>
      <w:r w:rsidRPr="00283806">
        <w:rPr>
          <w:w w:val="105"/>
        </w:rPr>
        <w:t>as it relates to a refrigerant- containing appliance, means the rate at which an appliance is losing refrigerant, measured between refrigerant charges. The leak rate is expressed in terms of</w:t>
      </w:r>
      <w:r w:rsidRPr="00283806">
        <w:rPr>
          <w:spacing w:val="80"/>
          <w:w w:val="105"/>
        </w:rPr>
        <w:t xml:space="preserve"> </w:t>
      </w:r>
      <w:r w:rsidRPr="00283806">
        <w:rPr>
          <w:w w:val="105"/>
        </w:rPr>
        <w:t>the percentage of the appliance’s full charge that would be lost over a 12- month period if the current rate of loss were to continue over that period. The rate must be calculated using one of the following methods. The same method must be used for all appliances subject</w:t>
      </w:r>
      <w:r w:rsidRPr="00283806">
        <w:rPr>
          <w:spacing w:val="80"/>
          <w:w w:val="105"/>
        </w:rPr>
        <w:t xml:space="preserve"> </w:t>
      </w:r>
      <w:r w:rsidRPr="00283806">
        <w:rPr>
          <w:w w:val="105"/>
        </w:rPr>
        <w:t>to the leak repair requirements located</w:t>
      </w:r>
      <w:r w:rsidRPr="00283806">
        <w:rPr>
          <w:spacing w:val="40"/>
          <w:w w:val="105"/>
        </w:rPr>
        <w:t xml:space="preserve"> </w:t>
      </w:r>
      <w:r w:rsidRPr="00283806">
        <w:rPr>
          <w:w w:val="105"/>
        </w:rPr>
        <w:t>at an operating facility.</w:t>
      </w:r>
    </w:p>
    <w:p w14:paraId="420774C7" w14:textId="77777777" w:rsidR="00D67C1E" w:rsidRPr="00283806" w:rsidRDefault="001265CA">
      <w:pPr>
        <w:pStyle w:val="ListParagraph"/>
        <w:numPr>
          <w:ilvl w:val="0"/>
          <w:numId w:val="1"/>
        </w:numPr>
        <w:tabs>
          <w:tab w:val="left" w:pos="608"/>
        </w:tabs>
        <w:spacing w:before="77" w:line="225" w:lineRule="auto"/>
        <w:ind w:right="132" w:firstLine="180"/>
        <w:rPr>
          <w:sz w:val="18"/>
        </w:rPr>
      </w:pPr>
      <w:r w:rsidRPr="00283806">
        <w:rPr>
          <w:rFonts w:ascii="Book Antiqua" w:hAnsi="Book Antiqua"/>
          <w:i/>
          <w:w w:val="110"/>
          <w:sz w:val="18"/>
        </w:rPr>
        <w:t>Annualizing Method</w:t>
      </w:r>
      <w:r w:rsidRPr="00283806">
        <w:rPr>
          <w:w w:val="110"/>
          <w:sz w:val="18"/>
        </w:rPr>
        <w:t xml:space="preserve">—(i) </w:t>
      </w:r>
      <w:r w:rsidRPr="00283806">
        <w:rPr>
          <w:rFonts w:ascii="Book Antiqua" w:hAnsi="Book Antiqua"/>
          <w:i/>
          <w:w w:val="110"/>
          <w:sz w:val="18"/>
        </w:rPr>
        <w:t xml:space="preserve">Step 1. </w:t>
      </w:r>
      <w:r w:rsidRPr="00283806">
        <w:rPr>
          <w:w w:val="110"/>
          <w:sz w:val="18"/>
        </w:rPr>
        <w:t>Take the number of pounds of refrigerant added to the appliance to return</w:t>
      </w:r>
      <w:r w:rsidRPr="00283806">
        <w:rPr>
          <w:spacing w:val="-8"/>
          <w:w w:val="110"/>
          <w:sz w:val="18"/>
        </w:rPr>
        <w:t xml:space="preserve"> </w:t>
      </w:r>
      <w:r w:rsidRPr="00283806">
        <w:rPr>
          <w:w w:val="110"/>
          <w:sz w:val="18"/>
        </w:rPr>
        <w:t>it</w:t>
      </w:r>
      <w:r w:rsidRPr="00283806">
        <w:rPr>
          <w:spacing w:val="-8"/>
          <w:w w:val="110"/>
          <w:sz w:val="18"/>
        </w:rPr>
        <w:t xml:space="preserve"> </w:t>
      </w:r>
      <w:r w:rsidRPr="00283806">
        <w:rPr>
          <w:w w:val="110"/>
          <w:sz w:val="18"/>
        </w:rPr>
        <w:t>to</w:t>
      </w:r>
      <w:r w:rsidRPr="00283806">
        <w:rPr>
          <w:spacing w:val="-8"/>
          <w:w w:val="110"/>
          <w:sz w:val="18"/>
        </w:rPr>
        <w:t xml:space="preserve"> </w:t>
      </w:r>
      <w:r w:rsidRPr="00283806">
        <w:rPr>
          <w:w w:val="110"/>
          <w:sz w:val="18"/>
        </w:rPr>
        <w:t>a</w:t>
      </w:r>
      <w:r w:rsidRPr="00283806">
        <w:rPr>
          <w:spacing w:val="-8"/>
          <w:w w:val="110"/>
          <w:sz w:val="18"/>
        </w:rPr>
        <w:t xml:space="preserve"> </w:t>
      </w:r>
      <w:r w:rsidRPr="00283806">
        <w:rPr>
          <w:w w:val="110"/>
          <w:sz w:val="18"/>
        </w:rPr>
        <w:t>full</w:t>
      </w:r>
      <w:r w:rsidRPr="00283806">
        <w:rPr>
          <w:spacing w:val="-8"/>
          <w:w w:val="110"/>
          <w:sz w:val="18"/>
        </w:rPr>
        <w:t xml:space="preserve"> </w:t>
      </w:r>
      <w:r w:rsidRPr="00283806">
        <w:rPr>
          <w:w w:val="110"/>
          <w:sz w:val="18"/>
        </w:rPr>
        <w:t>charge,</w:t>
      </w:r>
      <w:r w:rsidRPr="00283806">
        <w:rPr>
          <w:spacing w:val="-8"/>
          <w:w w:val="110"/>
          <w:sz w:val="18"/>
        </w:rPr>
        <w:t xml:space="preserve"> </w:t>
      </w:r>
      <w:r w:rsidRPr="00283806">
        <w:rPr>
          <w:w w:val="110"/>
          <w:sz w:val="18"/>
        </w:rPr>
        <w:t>whether</w:t>
      </w:r>
      <w:r w:rsidRPr="00283806">
        <w:rPr>
          <w:spacing w:val="-8"/>
          <w:w w:val="110"/>
          <w:sz w:val="18"/>
        </w:rPr>
        <w:t xml:space="preserve"> </w:t>
      </w:r>
      <w:r w:rsidRPr="00283806">
        <w:rPr>
          <w:w w:val="110"/>
          <w:sz w:val="18"/>
        </w:rPr>
        <w:t>in</w:t>
      </w:r>
      <w:r w:rsidRPr="00283806">
        <w:rPr>
          <w:spacing w:val="-8"/>
          <w:w w:val="110"/>
          <w:sz w:val="18"/>
        </w:rPr>
        <w:t xml:space="preserve"> </w:t>
      </w:r>
      <w:r w:rsidRPr="00283806">
        <w:rPr>
          <w:w w:val="110"/>
          <w:sz w:val="18"/>
        </w:rPr>
        <w:t>one addition</w:t>
      </w:r>
      <w:r w:rsidRPr="00283806">
        <w:rPr>
          <w:spacing w:val="-11"/>
          <w:w w:val="110"/>
          <w:sz w:val="18"/>
        </w:rPr>
        <w:t xml:space="preserve"> </w:t>
      </w:r>
      <w:r w:rsidRPr="00283806">
        <w:rPr>
          <w:w w:val="110"/>
          <w:sz w:val="18"/>
        </w:rPr>
        <w:t>or</w:t>
      </w:r>
      <w:r w:rsidRPr="00283806">
        <w:rPr>
          <w:spacing w:val="-11"/>
          <w:w w:val="110"/>
          <w:sz w:val="18"/>
        </w:rPr>
        <w:t xml:space="preserve"> </w:t>
      </w:r>
      <w:r w:rsidRPr="00283806">
        <w:rPr>
          <w:w w:val="110"/>
          <w:sz w:val="18"/>
        </w:rPr>
        <w:t>in</w:t>
      </w:r>
      <w:r w:rsidRPr="00283806">
        <w:rPr>
          <w:spacing w:val="-11"/>
          <w:w w:val="110"/>
          <w:sz w:val="18"/>
        </w:rPr>
        <w:t xml:space="preserve"> </w:t>
      </w:r>
      <w:r w:rsidRPr="00283806">
        <w:rPr>
          <w:w w:val="110"/>
          <w:sz w:val="18"/>
        </w:rPr>
        <w:t>multiple</w:t>
      </w:r>
      <w:r w:rsidRPr="00283806">
        <w:rPr>
          <w:spacing w:val="-11"/>
          <w:w w:val="110"/>
          <w:sz w:val="18"/>
        </w:rPr>
        <w:t xml:space="preserve"> </w:t>
      </w:r>
      <w:r w:rsidRPr="00283806">
        <w:rPr>
          <w:w w:val="110"/>
          <w:sz w:val="18"/>
        </w:rPr>
        <w:t>additions</w:t>
      </w:r>
      <w:r w:rsidRPr="00283806">
        <w:rPr>
          <w:spacing w:val="-11"/>
          <w:w w:val="110"/>
          <w:sz w:val="18"/>
        </w:rPr>
        <w:t xml:space="preserve"> </w:t>
      </w:r>
      <w:r w:rsidRPr="00283806">
        <w:rPr>
          <w:w w:val="110"/>
          <w:sz w:val="18"/>
        </w:rPr>
        <w:t xml:space="preserve">related to same leak, and divide it by the number of pounds of refrigerant the appliance normally contains at full </w:t>
      </w:r>
      <w:r w:rsidRPr="00283806">
        <w:rPr>
          <w:spacing w:val="-2"/>
          <w:w w:val="110"/>
          <w:sz w:val="18"/>
        </w:rPr>
        <w:t>charge;</w:t>
      </w:r>
    </w:p>
    <w:p w14:paraId="3317E0C4" w14:textId="77777777" w:rsidR="00D67C1E" w:rsidRPr="00283806" w:rsidRDefault="001265CA">
      <w:pPr>
        <w:pStyle w:val="ListParagraph"/>
        <w:numPr>
          <w:ilvl w:val="0"/>
          <w:numId w:val="35"/>
        </w:numPr>
        <w:tabs>
          <w:tab w:val="left" w:pos="628"/>
        </w:tabs>
        <w:spacing w:before="68" w:line="225" w:lineRule="auto"/>
        <w:ind w:right="123" w:firstLine="180"/>
        <w:rPr>
          <w:sz w:val="18"/>
        </w:rPr>
      </w:pPr>
      <w:r w:rsidRPr="00283806">
        <w:rPr>
          <w:rFonts w:ascii="Book Antiqua"/>
          <w:i/>
          <w:w w:val="105"/>
          <w:sz w:val="18"/>
        </w:rPr>
        <w:t xml:space="preserve">Step 2. </w:t>
      </w:r>
      <w:r w:rsidRPr="00283806">
        <w:rPr>
          <w:w w:val="105"/>
          <w:sz w:val="18"/>
        </w:rPr>
        <w:t>Take the shorter of the number of days that have passed since the</w:t>
      </w:r>
      <w:r w:rsidRPr="00283806">
        <w:rPr>
          <w:spacing w:val="-2"/>
          <w:w w:val="105"/>
          <w:sz w:val="18"/>
        </w:rPr>
        <w:t xml:space="preserve"> </w:t>
      </w:r>
      <w:r w:rsidRPr="00283806">
        <w:rPr>
          <w:w w:val="105"/>
          <w:sz w:val="18"/>
        </w:rPr>
        <w:t>last</w:t>
      </w:r>
      <w:r w:rsidRPr="00283806">
        <w:rPr>
          <w:spacing w:val="-2"/>
          <w:w w:val="105"/>
          <w:sz w:val="18"/>
        </w:rPr>
        <w:t xml:space="preserve"> </w:t>
      </w:r>
      <w:r w:rsidRPr="00283806">
        <w:rPr>
          <w:w w:val="105"/>
          <w:sz w:val="18"/>
        </w:rPr>
        <w:t>day</w:t>
      </w:r>
      <w:r w:rsidRPr="00283806">
        <w:rPr>
          <w:spacing w:val="-2"/>
          <w:w w:val="105"/>
          <w:sz w:val="18"/>
        </w:rPr>
        <w:t xml:space="preserve"> </w:t>
      </w:r>
      <w:r w:rsidRPr="00283806">
        <w:rPr>
          <w:w w:val="105"/>
          <w:sz w:val="18"/>
        </w:rPr>
        <w:t>refrigerant</w:t>
      </w:r>
      <w:r w:rsidRPr="00283806">
        <w:rPr>
          <w:spacing w:val="-2"/>
          <w:w w:val="105"/>
          <w:sz w:val="18"/>
        </w:rPr>
        <w:t xml:space="preserve"> </w:t>
      </w:r>
      <w:r w:rsidRPr="00283806">
        <w:rPr>
          <w:w w:val="105"/>
          <w:sz w:val="18"/>
        </w:rPr>
        <w:t>was</w:t>
      </w:r>
      <w:r w:rsidRPr="00283806">
        <w:rPr>
          <w:spacing w:val="-2"/>
          <w:w w:val="105"/>
          <w:sz w:val="18"/>
        </w:rPr>
        <w:t xml:space="preserve"> </w:t>
      </w:r>
      <w:r w:rsidRPr="00283806">
        <w:rPr>
          <w:w w:val="105"/>
          <w:sz w:val="18"/>
        </w:rPr>
        <w:t>added</w:t>
      </w:r>
      <w:r w:rsidRPr="00283806">
        <w:rPr>
          <w:spacing w:val="-2"/>
          <w:w w:val="105"/>
          <w:sz w:val="18"/>
        </w:rPr>
        <w:t xml:space="preserve"> </w:t>
      </w:r>
      <w:r w:rsidRPr="00283806">
        <w:rPr>
          <w:w w:val="105"/>
          <w:sz w:val="18"/>
        </w:rPr>
        <w:t>or</w:t>
      </w:r>
      <w:r w:rsidRPr="00283806">
        <w:rPr>
          <w:spacing w:val="-2"/>
          <w:w w:val="105"/>
          <w:sz w:val="18"/>
        </w:rPr>
        <w:t xml:space="preserve"> </w:t>
      </w:r>
      <w:r w:rsidRPr="00283806">
        <w:rPr>
          <w:w w:val="105"/>
          <w:sz w:val="18"/>
        </w:rPr>
        <w:t>365 days and divide that number by 365</w:t>
      </w:r>
      <w:r w:rsidRPr="00283806">
        <w:rPr>
          <w:spacing w:val="40"/>
          <w:w w:val="105"/>
          <w:sz w:val="18"/>
        </w:rPr>
        <w:t xml:space="preserve"> </w:t>
      </w:r>
      <w:r w:rsidRPr="00283806">
        <w:rPr>
          <w:spacing w:val="-2"/>
          <w:w w:val="105"/>
          <w:sz w:val="18"/>
        </w:rPr>
        <w:t>days;</w:t>
      </w:r>
    </w:p>
    <w:p w14:paraId="36169D50" w14:textId="77777777" w:rsidR="00D67C1E" w:rsidRPr="00283806" w:rsidRDefault="001265CA">
      <w:pPr>
        <w:pStyle w:val="ListParagraph"/>
        <w:numPr>
          <w:ilvl w:val="0"/>
          <w:numId w:val="35"/>
        </w:numPr>
        <w:tabs>
          <w:tab w:val="left" w:pos="688"/>
        </w:tabs>
        <w:spacing w:before="66" w:line="220" w:lineRule="auto"/>
        <w:ind w:right="174" w:firstLine="180"/>
        <w:rPr>
          <w:sz w:val="18"/>
        </w:rPr>
      </w:pPr>
      <w:r w:rsidRPr="00283806">
        <w:rPr>
          <w:rFonts w:ascii="Book Antiqua"/>
          <w:i/>
          <w:w w:val="110"/>
          <w:sz w:val="18"/>
        </w:rPr>
        <w:t xml:space="preserve">Step 3. </w:t>
      </w:r>
      <w:r w:rsidRPr="00283806">
        <w:rPr>
          <w:w w:val="110"/>
          <w:sz w:val="18"/>
        </w:rPr>
        <w:t>Take the number calculated</w:t>
      </w:r>
      <w:r w:rsidRPr="00283806">
        <w:rPr>
          <w:spacing w:val="-5"/>
          <w:w w:val="110"/>
          <w:sz w:val="18"/>
        </w:rPr>
        <w:t xml:space="preserve"> </w:t>
      </w:r>
      <w:r w:rsidRPr="00283806">
        <w:rPr>
          <w:w w:val="110"/>
          <w:sz w:val="18"/>
        </w:rPr>
        <w:t>in</w:t>
      </w:r>
      <w:r w:rsidRPr="00283806">
        <w:rPr>
          <w:spacing w:val="-5"/>
          <w:w w:val="110"/>
          <w:sz w:val="18"/>
        </w:rPr>
        <w:t xml:space="preserve"> </w:t>
      </w:r>
      <w:r w:rsidRPr="00283806">
        <w:rPr>
          <w:w w:val="110"/>
          <w:sz w:val="18"/>
        </w:rPr>
        <w:t>Step</w:t>
      </w:r>
      <w:r w:rsidRPr="00283806">
        <w:rPr>
          <w:spacing w:val="-5"/>
          <w:w w:val="110"/>
          <w:sz w:val="18"/>
        </w:rPr>
        <w:t xml:space="preserve"> </w:t>
      </w:r>
      <w:r w:rsidRPr="00283806">
        <w:rPr>
          <w:w w:val="110"/>
          <w:sz w:val="18"/>
        </w:rPr>
        <w:t>1</w:t>
      </w:r>
      <w:r w:rsidRPr="00283806">
        <w:rPr>
          <w:spacing w:val="-5"/>
          <w:w w:val="110"/>
          <w:sz w:val="18"/>
        </w:rPr>
        <w:t xml:space="preserve"> </w:t>
      </w:r>
      <w:r w:rsidRPr="00283806">
        <w:rPr>
          <w:w w:val="110"/>
          <w:sz w:val="18"/>
        </w:rPr>
        <w:t>and</w:t>
      </w:r>
      <w:r w:rsidRPr="00283806">
        <w:rPr>
          <w:spacing w:val="-5"/>
          <w:w w:val="110"/>
          <w:sz w:val="18"/>
        </w:rPr>
        <w:t xml:space="preserve"> </w:t>
      </w:r>
      <w:r w:rsidRPr="00283806">
        <w:rPr>
          <w:w w:val="110"/>
          <w:sz w:val="18"/>
        </w:rPr>
        <w:t>divide</w:t>
      </w:r>
      <w:r w:rsidRPr="00283806">
        <w:rPr>
          <w:spacing w:val="-5"/>
          <w:w w:val="110"/>
          <w:sz w:val="18"/>
        </w:rPr>
        <w:t xml:space="preserve"> </w:t>
      </w:r>
      <w:r w:rsidRPr="00283806">
        <w:rPr>
          <w:w w:val="110"/>
          <w:sz w:val="18"/>
        </w:rPr>
        <w:t>it</w:t>
      </w:r>
      <w:r w:rsidRPr="00283806">
        <w:rPr>
          <w:spacing w:val="-5"/>
          <w:w w:val="110"/>
          <w:sz w:val="18"/>
        </w:rPr>
        <w:t xml:space="preserve"> </w:t>
      </w:r>
      <w:r w:rsidRPr="00283806">
        <w:rPr>
          <w:w w:val="110"/>
          <w:sz w:val="18"/>
        </w:rPr>
        <w:t>by</w:t>
      </w:r>
      <w:r w:rsidRPr="00283806">
        <w:rPr>
          <w:spacing w:val="-5"/>
          <w:w w:val="110"/>
          <w:sz w:val="18"/>
        </w:rPr>
        <w:t xml:space="preserve"> </w:t>
      </w:r>
      <w:r w:rsidRPr="00283806">
        <w:rPr>
          <w:w w:val="110"/>
          <w:sz w:val="18"/>
        </w:rPr>
        <w:t>the number calculated in Step 2; and</w:t>
      </w:r>
    </w:p>
    <w:p w14:paraId="1C9DE54D" w14:textId="77777777" w:rsidR="00D67C1E" w:rsidRPr="00283806" w:rsidRDefault="001265CA">
      <w:pPr>
        <w:pStyle w:val="ListParagraph"/>
        <w:numPr>
          <w:ilvl w:val="0"/>
          <w:numId w:val="35"/>
        </w:numPr>
        <w:tabs>
          <w:tab w:val="left" w:pos="668"/>
        </w:tabs>
        <w:spacing w:before="70" w:line="223" w:lineRule="auto"/>
        <w:ind w:right="243" w:firstLine="180"/>
        <w:rPr>
          <w:sz w:val="18"/>
        </w:rPr>
      </w:pPr>
      <w:r w:rsidRPr="00283806">
        <w:rPr>
          <w:rFonts w:ascii="Book Antiqua"/>
          <w:i/>
          <w:w w:val="105"/>
          <w:sz w:val="18"/>
        </w:rPr>
        <w:t xml:space="preserve">Step 4. </w:t>
      </w:r>
      <w:r w:rsidRPr="00283806">
        <w:rPr>
          <w:w w:val="105"/>
          <w:sz w:val="18"/>
        </w:rPr>
        <w:t>Multiply the number calculated in Step 3 by 100 to calculate</w:t>
      </w:r>
      <w:r w:rsidRPr="00283806">
        <w:rPr>
          <w:spacing w:val="40"/>
          <w:w w:val="105"/>
          <w:sz w:val="18"/>
        </w:rPr>
        <w:t xml:space="preserve"> </w:t>
      </w:r>
      <w:r w:rsidRPr="00283806">
        <w:rPr>
          <w:w w:val="105"/>
          <w:sz w:val="18"/>
        </w:rPr>
        <w:t>a percentage. This method is summarized in the following formula:</w:t>
      </w:r>
    </w:p>
    <w:p w14:paraId="70726947" w14:textId="77777777" w:rsidR="00D67C1E" w:rsidRPr="00283806" w:rsidRDefault="001265CA">
      <w:pPr>
        <w:pStyle w:val="BodyText"/>
        <w:spacing w:before="97"/>
      </w:pPr>
      <w:r w:rsidRPr="00283806">
        <w:t>Formula</w:t>
      </w:r>
      <w:r w:rsidRPr="00283806">
        <w:rPr>
          <w:spacing w:val="27"/>
        </w:rPr>
        <w:t xml:space="preserve"> </w:t>
      </w:r>
      <w:r w:rsidRPr="00283806">
        <w:t>1</w:t>
      </w:r>
      <w:r w:rsidRPr="00283806">
        <w:rPr>
          <w:spacing w:val="27"/>
        </w:rPr>
        <w:t xml:space="preserve"> </w:t>
      </w:r>
      <w:r w:rsidRPr="00283806">
        <w:t>to</w:t>
      </w:r>
      <w:r w:rsidRPr="00283806">
        <w:rPr>
          <w:spacing w:val="27"/>
        </w:rPr>
        <w:t xml:space="preserve"> </w:t>
      </w:r>
      <w:r w:rsidRPr="00283806">
        <w:t>paragraph</w:t>
      </w:r>
      <w:r w:rsidRPr="00283806">
        <w:rPr>
          <w:spacing w:val="27"/>
        </w:rPr>
        <w:t xml:space="preserve"> </w:t>
      </w:r>
      <w:r w:rsidRPr="00283806">
        <w:rPr>
          <w:spacing w:val="-2"/>
        </w:rPr>
        <w:t>(1)(iv)</w:t>
      </w:r>
    </w:p>
    <w:p w14:paraId="703DAC5F" w14:textId="77777777" w:rsidR="00D67C1E" w:rsidRPr="00283806" w:rsidRDefault="00D67C1E">
      <w:pPr>
        <w:sectPr w:rsidR="00D67C1E" w:rsidRPr="00283806">
          <w:pgSz w:w="12240" w:h="15840"/>
          <w:pgMar w:top="1040" w:right="780" w:bottom="280" w:left="740" w:header="627" w:footer="0" w:gutter="0"/>
          <w:cols w:num="3" w:space="720" w:equalWidth="0">
            <w:col w:w="3496" w:space="44"/>
            <w:col w:w="3497" w:space="43"/>
            <w:col w:w="3640"/>
          </w:cols>
        </w:sectPr>
      </w:pPr>
    </w:p>
    <w:p w14:paraId="090AA1CA" w14:textId="77777777" w:rsidR="00D67C1E" w:rsidRPr="00283806" w:rsidRDefault="00D67C1E">
      <w:pPr>
        <w:pStyle w:val="BodyText"/>
        <w:spacing w:before="92" w:after="1"/>
        <w:ind w:left="0"/>
        <w:rPr>
          <w:sz w:val="20"/>
        </w:rPr>
      </w:pPr>
    </w:p>
    <w:p w14:paraId="77ED7DCC" w14:textId="77777777" w:rsidR="00D67C1E" w:rsidRPr="00283806" w:rsidRDefault="001265CA">
      <w:pPr>
        <w:pStyle w:val="BodyText"/>
        <w:ind w:left="700"/>
        <w:rPr>
          <w:sz w:val="20"/>
        </w:rPr>
      </w:pPr>
      <w:r w:rsidRPr="00283806">
        <w:rPr>
          <w:noProof/>
          <w:sz w:val="20"/>
        </w:rPr>
        <w:drawing>
          <wp:inline distT="0" distB="0" distL="0" distR="0" wp14:anchorId="13F9A6E9" wp14:editId="2445F867">
            <wp:extent cx="5943600" cy="618744"/>
            <wp:effectExtent l="0" t="0" r="0" b="0"/>
            <wp:docPr id="129" name="Image 129" descr="Formula 1 to paragraph (1)(iv)"/>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descr="Formula 1 to paragraph (1)(iv)"/>
                    <pic:cNvPicPr/>
                  </pic:nvPicPr>
                  <pic:blipFill>
                    <a:blip r:embed="rId21" cstate="print"/>
                    <a:stretch>
                      <a:fillRect/>
                    </a:stretch>
                  </pic:blipFill>
                  <pic:spPr>
                    <a:xfrm>
                      <a:off x="0" y="0"/>
                      <a:ext cx="5943600" cy="618744"/>
                    </a:xfrm>
                    <a:prstGeom prst="rect">
                      <a:avLst/>
                    </a:prstGeom>
                  </pic:spPr>
                </pic:pic>
              </a:graphicData>
            </a:graphic>
          </wp:inline>
        </w:drawing>
      </w:r>
    </w:p>
    <w:p w14:paraId="6CFFFCE2" w14:textId="77777777" w:rsidR="00D67C1E" w:rsidRPr="00283806" w:rsidRDefault="00D67C1E">
      <w:pPr>
        <w:pStyle w:val="BodyText"/>
        <w:spacing w:before="33"/>
        <w:ind w:left="0"/>
        <w:rPr>
          <w:sz w:val="20"/>
        </w:rPr>
      </w:pPr>
    </w:p>
    <w:p w14:paraId="33955B05" w14:textId="77777777" w:rsidR="00D67C1E" w:rsidRPr="00283806" w:rsidRDefault="00D67C1E">
      <w:pPr>
        <w:rPr>
          <w:sz w:val="20"/>
        </w:rPr>
        <w:sectPr w:rsidR="00D67C1E" w:rsidRPr="00283806">
          <w:type w:val="continuous"/>
          <w:pgSz w:w="12240" w:h="15840"/>
          <w:pgMar w:top="880" w:right="780" w:bottom="280" w:left="740" w:header="627" w:footer="0" w:gutter="0"/>
          <w:cols w:space="720"/>
        </w:sectPr>
      </w:pPr>
    </w:p>
    <w:p w14:paraId="03D19E78" w14:textId="77777777" w:rsidR="00D67C1E" w:rsidRPr="00283806" w:rsidRDefault="001265CA">
      <w:pPr>
        <w:pStyle w:val="ListParagraph"/>
        <w:numPr>
          <w:ilvl w:val="0"/>
          <w:numId w:val="1"/>
        </w:numPr>
        <w:tabs>
          <w:tab w:val="left" w:pos="608"/>
        </w:tabs>
        <w:spacing w:before="101" w:line="215" w:lineRule="exact"/>
        <w:ind w:left="608" w:hanging="268"/>
        <w:rPr>
          <w:rFonts w:ascii="Book Antiqua" w:hAnsi="Book Antiqua"/>
          <w:i/>
          <w:sz w:val="18"/>
        </w:rPr>
      </w:pPr>
      <w:r w:rsidRPr="00283806">
        <w:rPr>
          <w:rFonts w:ascii="Book Antiqua" w:hAnsi="Book Antiqua"/>
          <w:i/>
          <w:w w:val="110"/>
          <w:sz w:val="18"/>
        </w:rPr>
        <w:t>Rolling</w:t>
      </w:r>
      <w:r w:rsidRPr="00283806">
        <w:rPr>
          <w:rFonts w:ascii="Book Antiqua" w:hAnsi="Book Antiqua"/>
          <w:i/>
          <w:spacing w:val="-13"/>
          <w:w w:val="110"/>
          <w:sz w:val="18"/>
        </w:rPr>
        <w:t xml:space="preserve"> </w:t>
      </w:r>
      <w:r w:rsidRPr="00283806">
        <w:rPr>
          <w:rFonts w:ascii="Book Antiqua" w:hAnsi="Book Antiqua"/>
          <w:i/>
          <w:w w:val="110"/>
          <w:sz w:val="18"/>
        </w:rPr>
        <w:t>Average</w:t>
      </w:r>
      <w:r w:rsidRPr="00283806">
        <w:rPr>
          <w:rFonts w:ascii="Book Antiqua" w:hAnsi="Book Antiqua"/>
          <w:i/>
          <w:spacing w:val="-12"/>
          <w:w w:val="110"/>
          <w:sz w:val="18"/>
        </w:rPr>
        <w:t xml:space="preserve"> </w:t>
      </w:r>
      <w:r w:rsidRPr="00283806">
        <w:rPr>
          <w:rFonts w:ascii="Book Antiqua" w:hAnsi="Book Antiqua"/>
          <w:i/>
          <w:w w:val="110"/>
          <w:sz w:val="18"/>
        </w:rPr>
        <w:t>Method</w:t>
      </w:r>
      <w:r w:rsidRPr="00283806">
        <w:rPr>
          <w:w w:val="110"/>
          <w:sz w:val="18"/>
        </w:rPr>
        <w:t>—(i)</w:t>
      </w:r>
      <w:r w:rsidRPr="00283806">
        <w:rPr>
          <w:spacing w:val="-7"/>
          <w:w w:val="110"/>
          <w:sz w:val="18"/>
        </w:rPr>
        <w:t xml:space="preserve"> </w:t>
      </w:r>
      <w:r w:rsidRPr="00283806">
        <w:rPr>
          <w:rFonts w:ascii="Book Antiqua" w:hAnsi="Book Antiqua"/>
          <w:i/>
          <w:spacing w:val="-4"/>
          <w:w w:val="110"/>
          <w:sz w:val="18"/>
        </w:rPr>
        <w:t>Step</w:t>
      </w:r>
    </w:p>
    <w:p w14:paraId="1BB9184B" w14:textId="77777777" w:rsidR="00D67C1E" w:rsidRPr="00283806" w:rsidRDefault="001265CA">
      <w:pPr>
        <w:pStyle w:val="BodyText"/>
        <w:spacing w:line="230" w:lineRule="auto"/>
      </w:pPr>
      <w:r w:rsidRPr="00283806">
        <w:rPr>
          <w:rFonts w:ascii="Book Antiqua"/>
          <w:i/>
          <w:w w:val="105"/>
        </w:rPr>
        <w:t xml:space="preserve">1. </w:t>
      </w:r>
      <w:r w:rsidRPr="00283806">
        <w:rPr>
          <w:w w:val="105"/>
        </w:rPr>
        <w:t>Take the sum of the pounds of refrigerant added to the appliance over the</w:t>
      </w:r>
      <w:r w:rsidRPr="00283806">
        <w:rPr>
          <w:spacing w:val="-3"/>
          <w:w w:val="105"/>
        </w:rPr>
        <w:t xml:space="preserve"> </w:t>
      </w:r>
      <w:r w:rsidRPr="00283806">
        <w:rPr>
          <w:w w:val="105"/>
        </w:rPr>
        <w:t>previous</w:t>
      </w:r>
      <w:r w:rsidRPr="00283806">
        <w:rPr>
          <w:spacing w:val="-3"/>
          <w:w w:val="105"/>
        </w:rPr>
        <w:t xml:space="preserve"> </w:t>
      </w:r>
      <w:r w:rsidRPr="00283806">
        <w:rPr>
          <w:w w:val="105"/>
        </w:rPr>
        <w:t>365-day</w:t>
      </w:r>
      <w:r w:rsidRPr="00283806">
        <w:rPr>
          <w:spacing w:val="-3"/>
          <w:w w:val="105"/>
        </w:rPr>
        <w:t xml:space="preserve"> </w:t>
      </w:r>
      <w:r w:rsidRPr="00283806">
        <w:rPr>
          <w:w w:val="105"/>
        </w:rPr>
        <w:t>period</w:t>
      </w:r>
      <w:r w:rsidRPr="00283806">
        <w:rPr>
          <w:spacing w:val="-3"/>
          <w:w w:val="105"/>
        </w:rPr>
        <w:t xml:space="preserve"> </w:t>
      </w:r>
      <w:r w:rsidRPr="00283806">
        <w:rPr>
          <w:w w:val="105"/>
        </w:rPr>
        <w:t>(or</w:t>
      </w:r>
      <w:r w:rsidRPr="00283806">
        <w:rPr>
          <w:spacing w:val="-3"/>
          <w:w w:val="105"/>
        </w:rPr>
        <w:t xml:space="preserve"> </w:t>
      </w:r>
      <w:r w:rsidRPr="00283806">
        <w:rPr>
          <w:w w:val="105"/>
        </w:rPr>
        <w:t>over</w:t>
      </w:r>
      <w:r w:rsidRPr="00283806">
        <w:rPr>
          <w:spacing w:val="-3"/>
          <w:w w:val="105"/>
        </w:rPr>
        <w:t xml:space="preserve"> </w:t>
      </w:r>
      <w:r w:rsidRPr="00283806">
        <w:rPr>
          <w:w w:val="105"/>
        </w:rPr>
        <w:t>the</w:t>
      </w:r>
    </w:p>
    <w:p w14:paraId="26E5BFA7" w14:textId="77777777" w:rsidR="00D67C1E" w:rsidRPr="00283806" w:rsidRDefault="001265CA">
      <w:pPr>
        <w:pStyle w:val="BodyText"/>
        <w:spacing w:before="102" w:line="237" w:lineRule="auto"/>
        <w:ind w:right="38"/>
      </w:pPr>
      <w:r w:rsidRPr="00283806">
        <w:br w:type="column"/>
      </w:r>
      <w:r w:rsidRPr="00283806">
        <w:rPr>
          <w:w w:val="105"/>
        </w:rPr>
        <w:t>period that has passed since the last successful follow-up verification test showing all identified leaks in the</w:t>
      </w:r>
    </w:p>
    <w:p w14:paraId="56F62B4E" w14:textId="77777777" w:rsidR="00D67C1E" w:rsidRPr="00283806" w:rsidRDefault="001265CA">
      <w:pPr>
        <w:pStyle w:val="BodyText"/>
        <w:spacing w:before="103" w:line="237" w:lineRule="auto"/>
        <w:ind w:right="281"/>
      </w:pPr>
      <w:r w:rsidRPr="00283806">
        <w:br w:type="column"/>
      </w:r>
      <w:r w:rsidRPr="00283806">
        <w:rPr>
          <w:w w:val="105"/>
        </w:rPr>
        <w:t xml:space="preserve">appliance </w:t>
      </w:r>
      <w:proofErr w:type="gramStart"/>
      <w:r w:rsidRPr="00283806">
        <w:rPr>
          <w:w w:val="105"/>
        </w:rPr>
        <w:t>were</w:t>
      </w:r>
      <w:proofErr w:type="gramEnd"/>
      <w:r w:rsidRPr="00283806">
        <w:rPr>
          <w:w w:val="105"/>
        </w:rPr>
        <w:t xml:space="preserve"> repaired, if that period is less than one year</w:t>
      </w:r>
      <w:proofErr w:type="gramStart"/>
      <w:r w:rsidRPr="00283806">
        <w:rPr>
          <w:w w:val="105"/>
        </w:rPr>
        <w:t>);</w:t>
      </w:r>
      <w:proofErr w:type="gramEnd"/>
    </w:p>
    <w:p w14:paraId="3CE82DAC" w14:textId="77777777" w:rsidR="00D67C1E" w:rsidRPr="00283806" w:rsidRDefault="001265CA">
      <w:pPr>
        <w:pStyle w:val="ListParagraph"/>
        <w:numPr>
          <w:ilvl w:val="0"/>
          <w:numId w:val="34"/>
        </w:numPr>
        <w:tabs>
          <w:tab w:val="left" w:pos="628"/>
        </w:tabs>
        <w:spacing w:before="62" w:line="225" w:lineRule="auto"/>
        <w:ind w:right="383" w:firstLine="180"/>
        <w:rPr>
          <w:sz w:val="18"/>
        </w:rPr>
      </w:pPr>
      <w:r w:rsidRPr="00283806">
        <w:rPr>
          <w:rFonts w:ascii="Book Antiqua"/>
          <w:i/>
          <w:w w:val="105"/>
          <w:sz w:val="18"/>
        </w:rPr>
        <w:t xml:space="preserve">Step 2. </w:t>
      </w:r>
      <w:r w:rsidRPr="00283806">
        <w:rPr>
          <w:w w:val="105"/>
          <w:sz w:val="18"/>
        </w:rPr>
        <w:t>Divide the result of Step</w:t>
      </w:r>
      <w:r w:rsidRPr="00283806">
        <w:rPr>
          <w:spacing w:val="40"/>
          <w:w w:val="105"/>
          <w:sz w:val="18"/>
        </w:rPr>
        <w:t xml:space="preserve"> </w:t>
      </w:r>
      <w:r w:rsidRPr="00283806">
        <w:rPr>
          <w:w w:val="105"/>
          <w:sz w:val="18"/>
        </w:rPr>
        <w:t>1 by the pounds of refrigerant the</w:t>
      </w:r>
    </w:p>
    <w:p w14:paraId="322CED43" w14:textId="77777777" w:rsidR="00D67C1E" w:rsidRPr="00283806" w:rsidRDefault="00D67C1E">
      <w:pPr>
        <w:spacing w:line="225" w:lineRule="auto"/>
        <w:rPr>
          <w:sz w:val="18"/>
        </w:rPr>
        <w:sectPr w:rsidR="00D67C1E" w:rsidRPr="00283806">
          <w:type w:val="continuous"/>
          <w:pgSz w:w="12240" w:h="15840"/>
          <w:pgMar w:top="880" w:right="780" w:bottom="280" w:left="740" w:header="627" w:footer="0" w:gutter="0"/>
          <w:cols w:num="3" w:space="720" w:equalWidth="0">
            <w:col w:w="3486" w:space="54"/>
            <w:col w:w="3248" w:space="293"/>
            <w:col w:w="3639"/>
          </w:cols>
        </w:sectPr>
      </w:pPr>
    </w:p>
    <w:p w14:paraId="0096EBA6" w14:textId="77777777" w:rsidR="00D67C1E" w:rsidRPr="00283806" w:rsidRDefault="001265CA">
      <w:pPr>
        <w:pStyle w:val="BodyText"/>
        <w:spacing w:before="127" w:line="237" w:lineRule="auto"/>
        <w:ind w:right="38"/>
      </w:pPr>
      <w:proofErr w:type="gramStart"/>
      <w:r w:rsidRPr="00283806">
        <w:rPr>
          <w:w w:val="105"/>
        </w:rPr>
        <w:lastRenderedPageBreak/>
        <w:t>appliance</w:t>
      </w:r>
      <w:proofErr w:type="gramEnd"/>
      <w:r w:rsidRPr="00283806">
        <w:rPr>
          <w:w w:val="105"/>
        </w:rPr>
        <w:t xml:space="preserve"> normally contains at full charge; and</w:t>
      </w:r>
    </w:p>
    <w:p w14:paraId="38DAFDA5" w14:textId="77777777" w:rsidR="00D67C1E" w:rsidRPr="00283806" w:rsidRDefault="001265CA">
      <w:pPr>
        <w:pStyle w:val="ListParagraph"/>
        <w:numPr>
          <w:ilvl w:val="0"/>
          <w:numId w:val="34"/>
        </w:numPr>
        <w:tabs>
          <w:tab w:val="left" w:pos="688"/>
        </w:tabs>
        <w:spacing w:before="136" w:line="225" w:lineRule="auto"/>
        <w:ind w:firstLine="180"/>
        <w:rPr>
          <w:sz w:val="18"/>
        </w:rPr>
      </w:pPr>
      <w:r w:rsidRPr="00283806">
        <w:br w:type="column"/>
      </w:r>
      <w:r w:rsidRPr="00283806">
        <w:rPr>
          <w:rFonts w:ascii="Book Antiqua"/>
          <w:i/>
          <w:w w:val="105"/>
          <w:sz w:val="18"/>
        </w:rPr>
        <w:t xml:space="preserve">Step 3. </w:t>
      </w:r>
      <w:r w:rsidRPr="00283806">
        <w:rPr>
          <w:w w:val="105"/>
          <w:sz w:val="18"/>
        </w:rPr>
        <w:t>Multiply the result of Step</w:t>
      </w:r>
      <w:r w:rsidRPr="00283806">
        <w:rPr>
          <w:spacing w:val="40"/>
          <w:w w:val="105"/>
          <w:sz w:val="18"/>
        </w:rPr>
        <w:t xml:space="preserve"> </w:t>
      </w:r>
      <w:r w:rsidRPr="00283806">
        <w:rPr>
          <w:w w:val="105"/>
          <w:sz w:val="18"/>
        </w:rPr>
        <w:t>2 by 100 to obtain a percentage. This</w:t>
      </w:r>
    </w:p>
    <w:p w14:paraId="44418194" w14:textId="77777777" w:rsidR="00D67C1E" w:rsidRPr="00283806" w:rsidRDefault="001265CA">
      <w:pPr>
        <w:pStyle w:val="BodyText"/>
        <w:spacing w:before="134" w:line="228" w:lineRule="auto"/>
        <w:ind w:right="199"/>
      </w:pPr>
      <w:r w:rsidRPr="00283806">
        <w:br w:type="column"/>
      </w:r>
      <w:r w:rsidRPr="00283806">
        <w:rPr>
          <w:w w:val="105"/>
        </w:rPr>
        <w:t xml:space="preserve">method is summarized in the following </w:t>
      </w:r>
      <w:r w:rsidRPr="00283806">
        <w:rPr>
          <w:spacing w:val="-2"/>
          <w:w w:val="105"/>
        </w:rPr>
        <w:t>formula:</w:t>
      </w:r>
    </w:p>
    <w:p w14:paraId="2014D984" w14:textId="77777777" w:rsidR="00D67C1E" w:rsidRPr="00283806" w:rsidRDefault="001265CA">
      <w:pPr>
        <w:pStyle w:val="BodyText"/>
        <w:spacing w:before="31"/>
      </w:pPr>
      <w:r w:rsidRPr="00283806">
        <w:t>Formula</w:t>
      </w:r>
      <w:r w:rsidRPr="00283806">
        <w:rPr>
          <w:spacing w:val="27"/>
        </w:rPr>
        <w:t xml:space="preserve"> </w:t>
      </w:r>
      <w:r w:rsidRPr="00283806">
        <w:t>2</w:t>
      </w:r>
      <w:r w:rsidRPr="00283806">
        <w:rPr>
          <w:spacing w:val="27"/>
        </w:rPr>
        <w:t xml:space="preserve"> </w:t>
      </w:r>
      <w:r w:rsidRPr="00283806">
        <w:t>to</w:t>
      </w:r>
      <w:r w:rsidRPr="00283806">
        <w:rPr>
          <w:spacing w:val="27"/>
        </w:rPr>
        <w:t xml:space="preserve"> </w:t>
      </w:r>
      <w:r w:rsidRPr="00283806">
        <w:t>paragraph</w:t>
      </w:r>
      <w:r w:rsidRPr="00283806">
        <w:rPr>
          <w:spacing w:val="27"/>
        </w:rPr>
        <w:t xml:space="preserve"> </w:t>
      </w:r>
      <w:r w:rsidRPr="00283806">
        <w:rPr>
          <w:spacing w:val="-2"/>
        </w:rPr>
        <w:t>(2)(iii)</w:t>
      </w:r>
    </w:p>
    <w:p w14:paraId="5AE9731F" w14:textId="77777777" w:rsidR="00D67C1E" w:rsidRPr="00283806" w:rsidRDefault="00D67C1E">
      <w:pPr>
        <w:sectPr w:rsidR="00D67C1E" w:rsidRPr="00283806">
          <w:pgSz w:w="12240" w:h="15840"/>
          <w:pgMar w:top="1040" w:right="780" w:bottom="280" w:left="740" w:header="627" w:footer="0" w:gutter="0"/>
          <w:cols w:num="3" w:space="720" w:equalWidth="0">
            <w:col w:w="3097" w:space="443"/>
            <w:col w:w="3494" w:space="46"/>
            <w:col w:w="3640"/>
          </w:cols>
        </w:sectPr>
      </w:pPr>
    </w:p>
    <w:p w14:paraId="48F241C1" w14:textId="77777777" w:rsidR="00D67C1E" w:rsidRPr="00283806" w:rsidRDefault="00D67C1E">
      <w:pPr>
        <w:pStyle w:val="BodyText"/>
        <w:spacing w:before="99" w:after="1"/>
        <w:ind w:left="0"/>
        <w:rPr>
          <w:sz w:val="20"/>
        </w:rPr>
      </w:pPr>
    </w:p>
    <w:p w14:paraId="10D16C9F" w14:textId="77777777" w:rsidR="00D67C1E" w:rsidRPr="00283806" w:rsidRDefault="001265CA">
      <w:pPr>
        <w:pStyle w:val="BodyText"/>
        <w:ind w:left="700"/>
        <w:rPr>
          <w:sz w:val="20"/>
        </w:rPr>
      </w:pPr>
      <w:r w:rsidRPr="00283806">
        <w:rPr>
          <w:noProof/>
          <w:sz w:val="20"/>
        </w:rPr>
        <w:drawing>
          <wp:inline distT="0" distB="0" distL="0" distR="0" wp14:anchorId="682C12DC" wp14:editId="2F19F950">
            <wp:extent cx="5943600" cy="865631"/>
            <wp:effectExtent l="0" t="0" r="0" b="0"/>
            <wp:docPr id="130" name="Image 130" descr="Formula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descr="Formula 2"/>
                    <pic:cNvPicPr/>
                  </pic:nvPicPr>
                  <pic:blipFill>
                    <a:blip r:embed="rId22" cstate="print"/>
                    <a:stretch>
                      <a:fillRect/>
                    </a:stretch>
                  </pic:blipFill>
                  <pic:spPr>
                    <a:xfrm>
                      <a:off x="0" y="0"/>
                      <a:ext cx="5943600" cy="865631"/>
                    </a:xfrm>
                    <a:prstGeom prst="rect">
                      <a:avLst/>
                    </a:prstGeom>
                  </pic:spPr>
                </pic:pic>
              </a:graphicData>
            </a:graphic>
          </wp:inline>
        </w:drawing>
      </w:r>
    </w:p>
    <w:p w14:paraId="4D40CBA1" w14:textId="77777777" w:rsidR="00D67C1E" w:rsidRPr="00283806" w:rsidRDefault="00D67C1E">
      <w:pPr>
        <w:pStyle w:val="BodyText"/>
        <w:spacing w:before="33"/>
        <w:ind w:left="0"/>
        <w:rPr>
          <w:sz w:val="20"/>
        </w:rPr>
      </w:pPr>
    </w:p>
    <w:p w14:paraId="49D0BE59" w14:textId="77777777" w:rsidR="00D67C1E" w:rsidRPr="00283806" w:rsidRDefault="00D67C1E">
      <w:pPr>
        <w:rPr>
          <w:sz w:val="20"/>
        </w:rPr>
        <w:sectPr w:rsidR="00D67C1E" w:rsidRPr="00283806">
          <w:type w:val="continuous"/>
          <w:pgSz w:w="12240" w:h="15840"/>
          <w:pgMar w:top="880" w:right="780" w:bottom="280" w:left="740" w:header="627" w:footer="0" w:gutter="0"/>
          <w:cols w:space="720"/>
        </w:sectPr>
      </w:pPr>
    </w:p>
    <w:p w14:paraId="68233485" w14:textId="77777777" w:rsidR="00D67C1E" w:rsidRPr="00283806" w:rsidRDefault="001265CA">
      <w:pPr>
        <w:pStyle w:val="BodyText"/>
        <w:spacing w:before="113" w:line="225" w:lineRule="auto"/>
        <w:ind w:left="159" w:right="59" w:firstLine="180"/>
      </w:pPr>
      <w:r w:rsidRPr="00283806">
        <w:rPr>
          <w:rFonts w:ascii="Book Antiqua"/>
          <w:i/>
          <w:w w:val="105"/>
        </w:rPr>
        <w:t xml:space="preserve">Mothball, </w:t>
      </w:r>
      <w:r w:rsidRPr="00283806">
        <w:rPr>
          <w:w w:val="105"/>
        </w:rPr>
        <w:t>as it relates to a refrigerant- containing appliance, means to evacuate refrigerant from an appliance, or the affected isolated section or component</w:t>
      </w:r>
      <w:r w:rsidRPr="00283806">
        <w:rPr>
          <w:spacing w:val="80"/>
          <w:w w:val="105"/>
        </w:rPr>
        <w:t xml:space="preserve"> </w:t>
      </w:r>
      <w:r w:rsidRPr="00283806">
        <w:rPr>
          <w:w w:val="105"/>
        </w:rPr>
        <w:t>of an appliance, to at least atmospheric pressure, and to temporarily shut down that appliance.</w:t>
      </w:r>
    </w:p>
    <w:p w14:paraId="29A2CA81" w14:textId="77777777" w:rsidR="00D67C1E" w:rsidRPr="00283806" w:rsidRDefault="001265CA">
      <w:pPr>
        <w:pStyle w:val="BodyText"/>
        <w:spacing w:before="25" w:line="225" w:lineRule="auto"/>
        <w:ind w:left="159" w:right="64" w:firstLine="180"/>
      </w:pPr>
      <w:r w:rsidRPr="00283806">
        <w:rPr>
          <w:rFonts w:ascii="Book Antiqua"/>
          <w:i/>
          <w:w w:val="105"/>
        </w:rPr>
        <w:t xml:space="preserve">Motor </w:t>
      </w:r>
      <w:proofErr w:type="gramStart"/>
      <w:r w:rsidRPr="00283806">
        <w:rPr>
          <w:rFonts w:ascii="Book Antiqua"/>
          <w:i/>
          <w:w w:val="105"/>
        </w:rPr>
        <w:t>vehicle</w:t>
      </w:r>
      <w:proofErr w:type="gramEnd"/>
      <w:r w:rsidRPr="00283806">
        <w:rPr>
          <w:rFonts w:ascii="Book Antiqua"/>
          <w:i/>
          <w:w w:val="105"/>
        </w:rPr>
        <w:t xml:space="preserve"> </w:t>
      </w:r>
      <w:r w:rsidRPr="00283806">
        <w:rPr>
          <w:w w:val="105"/>
        </w:rPr>
        <w:t>means</w:t>
      </w:r>
      <w:r w:rsidRPr="00283806">
        <w:rPr>
          <w:spacing w:val="40"/>
          <w:w w:val="105"/>
        </w:rPr>
        <w:t xml:space="preserve"> </w:t>
      </w:r>
      <w:r w:rsidRPr="00283806">
        <w:rPr>
          <w:w w:val="105"/>
        </w:rPr>
        <w:t>any</w:t>
      </w:r>
      <w:r w:rsidRPr="00283806">
        <w:rPr>
          <w:spacing w:val="40"/>
          <w:w w:val="105"/>
        </w:rPr>
        <w:t xml:space="preserve"> </w:t>
      </w:r>
      <w:r w:rsidRPr="00283806">
        <w:rPr>
          <w:w w:val="105"/>
        </w:rPr>
        <w:t>vehicle</w:t>
      </w:r>
      <w:r w:rsidRPr="00283806">
        <w:rPr>
          <w:spacing w:val="40"/>
          <w:w w:val="105"/>
        </w:rPr>
        <w:t xml:space="preserve"> </w:t>
      </w:r>
      <w:r w:rsidRPr="00283806">
        <w:rPr>
          <w:w w:val="105"/>
        </w:rPr>
        <w:t xml:space="preserve">which is self-propelled and designed for transporting persons or property on a street or highway, including but not limited to passenger cars, light-duty vehicles, and heavy-duty vehicles. This definition does not include a vehicle where </w:t>
      </w:r>
      <w:proofErr w:type="gramStart"/>
      <w:r w:rsidRPr="00283806">
        <w:rPr>
          <w:w w:val="105"/>
        </w:rPr>
        <w:t>final</w:t>
      </w:r>
      <w:proofErr w:type="gramEnd"/>
      <w:r w:rsidRPr="00283806">
        <w:rPr>
          <w:w w:val="105"/>
        </w:rPr>
        <w:t xml:space="preserve"> assembly of the vehicle has not been completed by the original equipment manufacturer.</w:t>
      </w:r>
    </w:p>
    <w:p w14:paraId="653F77D3" w14:textId="77777777" w:rsidR="00D67C1E" w:rsidRPr="00283806" w:rsidRDefault="001265CA">
      <w:pPr>
        <w:pStyle w:val="BodyText"/>
        <w:spacing w:before="36" w:line="223" w:lineRule="auto"/>
        <w:ind w:left="159" w:right="159" w:firstLine="180"/>
      </w:pPr>
      <w:r w:rsidRPr="00283806">
        <w:rPr>
          <w:rFonts w:ascii="Book Antiqua" w:hAnsi="Book Antiqua"/>
          <w:i/>
          <w:w w:val="105"/>
        </w:rPr>
        <w:t>Motor vehicle air conditioners</w:t>
      </w:r>
      <w:r w:rsidRPr="00283806">
        <w:rPr>
          <w:rFonts w:ascii="Book Antiqua" w:hAnsi="Book Antiqua"/>
          <w:i/>
          <w:spacing w:val="40"/>
          <w:w w:val="105"/>
        </w:rPr>
        <w:t xml:space="preserve"> </w:t>
      </w:r>
      <w:r w:rsidRPr="00283806">
        <w:rPr>
          <w:rFonts w:ascii="Book Antiqua" w:hAnsi="Book Antiqua"/>
          <w:i/>
          <w:w w:val="105"/>
        </w:rPr>
        <w:t xml:space="preserve">(MVAC) </w:t>
      </w:r>
      <w:proofErr w:type="gramStart"/>
      <w:r w:rsidRPr="00283806">
        <w:rPr>
          <w:w w:val="105"/>
        </w:rPr>
        <w:t>means</w:t>
      </w:r>
      <w:proofErr w:type="gramEnd"/>
      <w:r w:rsidRPr="00283806">
        <w:rPr>
          <w:w w:val="105"/>
        </w:rPr>
        <w:t xml:space="preserve"> mechanical vapor compression refrigerant-containing appliances used to cool the driver’s or passenger’s</w:t>
      </w:r>
      <w:r w:rsidRPr="00283806">
        <w:rPr>
          <w:spacing w:val="-3"/>
          <w:w w:val="105"/>
        </w:rPr>
        <w:t xml:space="preserve"> </w:t>
      </w:r>
      <w:r w:rsidRPr="00283806">
        <w:rPr>
          <w:w w:val="105"/>
        </w:rPr>
        <w:t>compartment</w:t>
      </w:r>
      <w:r w:rsidRPr="00283806">
        <w:rPr>
          <w:spacing w:val="-3"/>
          <w:w w:val="105"/>
        </w:rPr>
        <w:t xml:space="preserve"> </w:t>
      </w:r>
      <w:r w:rsidRPr="00283806">
        <w:rPr>
          <w:w w:val="105"/>
        </w:rPr>
        <w:t>of</w:t>
      </w:r>
      <w:r w:rsidRPr="00283806">
        <w:rPr>
          <w:spacing w:val="-3"/>
          <w:w w:val="105"/>
        </w:rPr>
        <w:t xml:space="preserve"> </w:t>
      </w:r>
      <w:r w:rsidRPr="00283806">
        <w:rPr>
          <w:w w:val="105"/>
        </w:rPr>
        <w:t>any</w:t>
      </w:r>
      <w:r w:rsidRPr="00283806">
        <w:rPr>
          <w:spacing w:val="-3"/>
          <w:w w:val="105"/>
        </w:rPr>
        <w:t xml:space="preserve"> </w:t>
      </w:r>
      <w:r w:rsidRPr="00283806">
        <w:rPr>
          <w:w w:val="105"/>
        </w:rPr>
        <w:t xml:space="preserve">motor vehicle. This definition is intended to have the same meaning as in 40 CFR </w:t>
      </w:r>
      <w:r w:rsidRPr="00283806">
        <w:rPr>
          <w:spacing w:val="-2"/>
          <w:w w:val="105"/>
        </w:rPr>
        <w:t>82.32.</w:t>
      </w:r>
    </w:p>
    <w:p w14:paraId="4EE4C600" w14:textId="77777777" w:rsidR="00D67C1E" w:rsidRPr="00283806" w:rsidRDefault="001265CA">
      <w:pPr>
        <w:pStyle w:val="BodyText"/>
        <w:spacing w:before="32" w:line="225" w:lineRule="auto"/>
        <w:ind w:left="159" w:right="69" w:firstLine="180"/>
      </w:pPr>
      <w:r w:rsidRPr="00283806">
        <w:rPr>
          <w:rFonts w:ascii="Book Antiqua" w:hAnsi="Book Antiqua"/>
          <w:i/>
          <w:w w:val="105"/>
        </w:rPr>
        <w:t xml:space="preserve">MVAC-like appliance </w:t>
      </w:r>
      <w:r w:rsidRPr="00283806">
        <w:rPr>
          <w:w w:val="105"/>
        </w:rPr>
        <w:t>means a mechanical vapor compression, open- drive</w:t>
      </w:r>
      <w:r w:rsidRPr="00283806">
        <w:rPr>
          <w:spacing w:val="-10"/>
          <w:w w:val="105"/>
        </w:rPr>
        <w:t xml:space="preserve"> </w:t>
      </w:r>
      <w:r w:rsidRPr="00283806">
        <w:rPr>
          <w:w w:val="105"/>
        </w:rPr>
        <w:t>compressor</w:t>
      </w:r>
      <w:r w:rsidRPr="00283806">
        <w:rPr>
          <w:spacing w:val="-11"/>
          <w:w w:val="105"/>
        </w:rPr>
        <w:t xml:space="preserve"> </w:t>
      </w:r>
      <w:r w:rsidRPr="00283806">
        <w:rPr>
          <w:w w:val="105"/>
        </w:rPr>
        <w:t>refrigerant-containing appliance with a full charge of 20</w:t>
      </w:r>
      <w:r w:rsidRPr="00283806">
        <w:rPr>
          <w:spacing w:val="40"/>
          <w:w w:val="105"/>
        </w:rPr>
        <w:t xml:space="preserve"> </w:t>
      </w:r>
      <w:r w:rsidRPr="00283806">
        <w:rPr>
          <w:w w:val="105"/>
        </w:rPr>
        <w:t>pounds or less of refrigerant used to</w:t>
      </w:r>
      <w:r w:rsidRPr="00283806">
        <w:rPr>
          <w:spacing w:val="40"/>
          <w:w w:val="105"/>
        </w:rPr>
        <w:t xml:space="preserve"> </w:t>
      </w:r>
      <w:r w:rsidRPr="00283806">
        <w:rPr>
          <w:w w:val="105"/>
        </w:rPr>
        <w:t>cool the driver’s or passenger’s compartment of off-road vehicles. This includes, but is not limited to, the air- conditioning appliances found on agricultural or construction vehicles.</w:t>
      </w:r>
    </w:p>
    <w:p w14:paraId="398CBA81" w14:textId="77777777" w:rsidR="00D67C1E" w:rsidRPr="00283806" w:rsidRDefault="001265CA">
      <w:pPr>
        <w:pStyle w:val="BodyText"/>
        <w:spacing w:before="5" w:line="228" w:lineRule="auto"/>
        <w:ind w:left="159"/>
      </w:pPr>
      <w:r w:rsidRPr="00283806">
        <w:rPr>
          <w:w w:val="110"/>
        </w:rPr>
        <w:t>This</w:t>
      </w:r>
      <w:r w:rsidRPr="00283806">
        <w:rPr>
          <w:spacing w:val="-10"/>
          <w:w w:val="110"/>
        </w:rPr>
        <w:t xml:space="preserve"> </w:t>
      </w:r>
      <w:r w:rsidRPr="00283806">
        <w:rPr>
          <w:w w:val="110"/>
        </w:rPr>
        <w:t>definition</w:t>
      </w:r>
      <w:r w:rsidRPr="00283806">
        <w:rPr>
          <w:spacing w:val="-10"/>
          <w:w w:val="110"/>
        </w:rPr>
        <w:t xml:space="preserve"> </w:t>
      </w:r>
      <w:r w:rsidRPr="00283806">
        <w:rPr>
          <w:w w:val="110"/>
        </w:rPr>
        <w:t>is</w:t>
      </w:r>
      <w:r w:rsidRPr="00283806">
        <w:rPr>
          <w:spacing w:val="-10"/>
          <w:w w:val="110"/>
        </w:rPr>
        <w:t xml:space="preserve"> </w:t>
      </w:r>
      <w:r w:rsidRPr="00283806">
        <w:rPr>
          <w:w w:val="110"/>
        </w:rPr>
        <w:t>intended</w:t>
      </w:r>
      <w:r w:rsidRPr="00283806">
        <w:rPr>
          <w:spacing w:val="-10"/>
          <w:w w:val="110"/>
        </w:rPr>
        <w:t xml:space="preserve"> </w:t>
      </w:r>
      <w:r w:rsidRPr="00283806">
        <w:rPr>
          <w:w w:val="110"/>
        </w:rPr>
        <w:t>to</w:t>
      </w:r>
      <w:r w:rsidRPr="00283806">
        <w:rPr>
          <w:spacing w:val="-10"/>
          <w:w w:val="110"/>
        </w:rPr>
        <w:t xml:space="preserve"> </w:t>
      </w:r>
      <w:r w:rsidRPr="00283806">
        <w:rPr>
          <w:w w:val="110"/>
        </w:rPr>
        <w:t>have</w:t>
      </w:r>
      <w:r w:rsidRPr="00283806">
        <w:rPr>
          <w:spacing w:val="-10"/>
          <w:w w:val="110"/>
        </w:rPr>
        <w:t xml:space="preserve"> </w:t>
      </w:r>
      <w:r w:rsidRPr="00283806">
        <w:rPr>
          <w:w w:val="110"/>
        </w:rPr>
        <w:t>the same meaning as in 40 CFR 82.152.</w:t>
      </w:r>
    </w:p>
    <w:p w14:paraId="66DBABCC" w14:textId="77777777" w:rsidR="00D67C1E" w:rsidRPr="00283806" w:rsidRDefault="001265CA">
      <w:pPr>
        <w:pStyle w:val="BodyText"/>
        <w:spacing w:before="29" w:line="225" w:lineRule="auto"/>
        <w:ind w:left="159" w:right="38" w:firstLine="180"/>
      </w:pPr>
      <w:r w:rsidRPr="00283806">
        <w:rPr>
          <w:rFonts w:ascii="Book Antiqua"/>
          <w:i/>
          <w:w w:val="105"/>
        </w:rPr>
        <w:t>Normal operating characteristics and</w:t>
      </w:r>
      <w:r w:rsidRPr="00283806">
        <w:rPr>
          <w:rFonts w:ascii="Book Antiqua"/>
          <w:i/>
          <w:spacing w:val="80"/>
          <w:w w:val="105"/>
        </w:rPr>
        <w:t xml:space="preserve"> </w:t>
      </w:r>
      <w:r w:rsidRPr="00283806">
        <w:rPr>
          <w:rFonts w:ascii="Book Antiqua"/>
          <w:i/>
          <w:w w:val="105"/>
        </w:rPr>
        <w:t xml:space="preserve">conditions, </w:t>
      </w:r>
      <w:r w:rsidRPr="00283806">
        <w:rPr>
          <w:w w:val="105"/>
        </w:rPr>
        <w:t xml:space="preserve">as it relates to a refrigerant- containing appliance, means appliance operating temperatures, pressures, fluid flows, speeds, and other characteristics, including full charge of the appliance, that would be expected for a given process load and ambient condition during normal operation. Normal operating characteristics and conditions are marked by the absence of atypical conditions affecting the operation of the </w:t>
      </w:r>
      <w:r w:rsidRPr="00283806">
        <w:rPr>
          <w:spacing w:val="-2"/>
          <w:w w:val="105"/>
        </w:rPr>
        <w:t>appliance.</w:t>
      </w:r>
    </w:p>
    <w:p w14:paraId="145A8F26" w14:textId="77777777" w:rsidR="00D67C1E" w:rsidRPr="00283806" w:rsidRDefault="001265CA">
      <w:pPr>
        <w:pStyle w:val="BodyText"/>
        <w:spacing w:before="26" w:line="223" w:lineRule="auto"/>
        <w:ind w:right="38" w:firstLine="180"/>
      </w:pPr>
      <w:r w:rsidRPr="00283806">
        <w:rPr>
          <w:rFonts w:ascii="Book Antiqua"/>
          <w:i/>
          <w:w w:val="105"/>
        </w:rPr>
        <w:t xml:space="preserve">Owner or operator </w:t>
      </w:r>
      <w:r w:rsidRPr="00283806">
        <w:rPr>
          <w:w w:val="105"/>
        </w:rPr>
        <w:t>means any person who owns, leases, operates, or controls any equipment, or who controls or supervises any practice, process, or</w:t>
      </w:r>
    </w:p>
    <w:p w14:paraId="713256B4" w14:textId="77777777" w:rsidR="00D67C1E" w:rsidRPr="00283806" w:rsidRDefault="001265CA">
      <w:pPr>
        <w:pStyle w:val="BodyText"/>
        <w:spacing w:before="110" w:line="228" w:lineRule="auto"/>
        <w:ind w:left="153" w:right="56"/>
      </w:pPr>
      <w:r w:rsidRPr="00283806">
        <w:br w:type="column"/>
      </w:r>
      <w:r w:rsidRPr="00283806">
        <w:rPr>
          <w:w w:val="105"/>
        </w:rPr>
        <w:t>activity that is subject to any requirement</w:t>
      </w:r>
      <w:r w:rsidRPr="00283806">
        <w:rPr>
          <w:spacing w:val="-2"/>
          <w:w w:val="105"/>
        </w:rPr>
        <w:t xml:space="preserve"> </w:t>
      </w:r>
      <w:r w:rsidRPr="00283806">
        <w:rPr>
          <w:w w:val="105"/>
        </w:rPr>
        <w:t>pursuant</w:t>
      </w:r>
      <w:r w:rsidRPr="00283806">
        <w:rPr>
          <w:spacing w:val="-2"/>
          <w:w w:val="105"/>
        </w:rPr>
        <w:t xml:space="preserve"> </w:t>
      </w:r>
      <w:r w:rsidRPr="00283806">
        <w:rPr>
          <w:w w:val="105"/>
        </w:rPr>
        <w:t>to</w:t>
      </w:r>
      <w:r w:rsidRPr="00283806">
        <w:rPr>
          <w:spacing w:val="-2"/>
          <w:w w:val="105"/>
        </w:rPr>
        <w:t xml:space="preserve"> </w:t>
      </w:r>
      <w:r w:rsidRPr="00283806">
        <w:rPr>
          <w:w w:val="105"/>
        </w:rPr>
        <w:t>this</w:t>
      </w:r>
      <w:r w:rsidRPr="00283806">
        <w:rPr>
          <w:spacing w:val="-2"/>
          <w:w w:val="105"/>
        </w:rPr>
        <w:t xml:space="preserve"> </w:t>
      </w:r>
      <w:r w:rsidRPr="00283806">
        <w:rPr>
          <w:w w:val="105"/>
        </w:rPr>
        <w:t>subpart.</w:t>
      </w:r>
    </w:p>
    <w:p w14:paraId="3335368C" w14:textId="77777777" w:rsidR="00D67C1E" w:rsidRPr="00283806" w:rsidRDefault="001265CA">
      <w:pPr>
        <w:pStyle w:val="BodyText"/>
        <w:spacing w:before="20" w:line="225" w:lineRule="auto"/>
        <w:ind w:left="153" w:right="165" w:firstLine="180"/>
      </w:pPr>
      <w:r w:rsidRPr="00283806">
        <w:rPr>
          <w:rFonts w:ascii="Book Antiqua"/>
          <w:i/>
          <w:w w:val="105"/>
        </w:rPr>
        <w:t xml:space="preserve">Recover </w:t>
      </w:r>
      <w:r w:rsidRPr="00283806">
        <w:rPr>
          <w:w w:val="105"/>
        </w:rPr>
        <w:t>means the process by which</w:t>
      </w:r>
      <w:r w:rsidRPr="00283806">
        <w:rPr>
          <w:spacing w:val="40"/>
          <w:w w:val="105"/>
        </w:rPr>
        <w:t xml:space="preserve"> </w:t>
      </w:r>
      <w:r w:rsidRPr="00283806">
        <w:rPr>
          <w:w w:val="105"/>
        </w:rPr>
        <w:t>a regulated substance, or where applicable, a substitute for a regulated substance, is (1) removed, in any condition, from equipment and (2) stored in an external container, with or without testing or processing the regulated substance or substitute for a regulated substance.</w:t>
      </w:r>
    </w:p>
    <w:p w14:paraId="1B7A55C7" w14:textId="77777777" w:rsidR="00D67C1E" w:rsidRPr="00283806" w:rsidRDefault="001265CA">
      <w:pPr>
        <w:pStyle w:val="BodyText"/>
        <w:spacing w:before="25" w:line="225" w:lineRule="auto"/>
        <w:ind w:left="153" w:right="56" w:firstLine="180"/>
      </w:pPr>
      <w:r w:rsidRPr="00283806">
        <w:rPr>
          <w:rFonts w:ascii="Book Antiqua"/>
          <w:i/>
          <w:w w:val="105"/>
        </w:rPr>
        <w:t xml:space="preserve">Recycling, </w:t>
      </w:r>
      <w:r w:rsidRPr="00283806">
        <w:rPr>
          <w:w w:val="105"/>
        </w:rPr>
        <w:t xml:space="preserve">when referring to fire suppression or fire suppressants, means the testing and/or reprocessing of regulated substances used in the fire suppression sector to certain purity </w:t>
      </w:r>
      <w:r w:rsidRPr="00283806">
        <w:rPr>
          <w:spacing w:val="-2"/>
          <w:w w:val="105"/>
        </w:rPr>
        <w:t>standards.</w:t>
      </w:r>
    </w:p>
    <w:p w14:paraId="3F39809F" w14:textId="77777777" w:rsidR="00D67C1E" w:rsidRPr="00283806" w:rsidRDefault="001265CA">
      <w:pPr>
        <w:pStyle w:val="BodyText"/>
        <w:spacing w:before="20" w:line="225" w:lineRule="auto"/>
        <w:ind w:left="153" w:right="38" w:firstLine="180"/>
      </w:pPr>
      <w:r w:rsidRPr="00283806">
        <w:rPr>
          <w:rFonts w:ascii="Book Antiqua"/>
          <w:i/>
          <w:w w:val="105"/>
        </w:rPr>
        <w:t xml:space="preserve">Refrigerant </w:t>
      </w:r>
      <w:r w:rsidRPr="00283806">
        <w:rPr>
          <w:w w:val="105"/>
        </w:rPr>
        <w:t>means any substance, including blends and mixtures,</w:t>
      </w:r>
      <w:r w:rsidRPr="00283806">
        <w:rPr>
          <w:spacing w:val="80"/>
          <w:w w:val="105"/>
        </w:rPr>
        <w:t xml:space="preserve"> </w:t>
      </w:r>
      <w:proofErr w:type="gramStart"/>
      <w:r w:rsidRPr="00283806">
        <w:rPr>
          <w:w w:val="105"/>
        </w:rPr>
        <w:t>consisting</w:t>
      </w:r>
      <w:r w:rsidRPr="00283806">
        <w:rPr>
          <w:spacing w:val="38"/>
          <w:w w:val="105"/>
        </w:rPr>
        <w:t xml:space="preserve"> </w:t>
      </w:r>
      <w:r w:rsidRPr="00283806">
        <w:rPr>
          <w:w w:val="105"/>
        </w:rPr>
        <w:t>in</w:t>
      </w:r>
      <w:r w:rsidRPr="00283806">
        <w:rPr>
          <w:spacing w:val="38"/>
          <w:w w:val="105"/>
        </w:rPr>
        <w:t xml:space="preserve"> </w:t>
      </w:r>
      <w:r w:rsidRPr="00283806">
        <w:rPr>
          <w:w w:val="105"/>
        </w:rPr>
        <w:t>part</w:t>
      </w:r>
      <w:proofErr w:type="gramEnd"/>
      <w:r w:rsidRPr="00283806">
        <w:rPr>
          <w:spacing w:val="38"/>
          <w:w w:val="105"/>
        </w:rPr>
        <w:t xml:space="preserve"> </w:t>
      </w:r>
      <w:r w:rsidRPr="00283806">
        <w:rPr>
          <w:w w:val="105"/>
        </w:rPr>
        <w:t>or</w:t>
      </w:r>
      <w:r w:rsidRPr="00283806">
        <w:rPr>
          <w:spacing w:val="38"/>
          <w:w w:val="105"/>
        </w:rPr>
        <w:t xml:space="preserve"> </w:t>
      </w:r>
      <w:r w:rsidRPr="00283806">
        <w:rPr>
          <w:w w:val="105"/>
        </w:rPr>
        <w:t>whole</w:t>
      </w:r>
      <w:r w:rsidRPr="00283806">
        <w:rPr>
          <w:spacing w:val="38"/>
          <w:w w:val="105"/>
        </w:rPr>
        <w:t xml:space="preserve"> </w:t>
      </w:r>
      <w:r w:rsidRPr="00283806">
        <w:rPr>
          <w:w w:val="105"/>
        </w:rPr>
        <w:t>of</w:t>
      </w:r>
      <w:r w:rsidRPr="00283806">
        <w:rPr>
          <w:spacing w:val="38"/>
          <w:w w:val="105"/>
        </w:rPr>
        <w:t xml:space="preserve"> </w:t>
      </w:r>
      <w:r w:rsidRPr="00283806">
        <w:rPr>
          <w:w w:val="105"/>
        </w:rPr>
        <w:t xml:space="preserve">a regulated substance or a substitute for a regulated substance that is used for heat transfer purposes and provides a cooling </w:t>
      </w:r>
      <w:r w:rsidRPr="00283806">
        <w:rPr>
          <w:spacing w:val="-2"/>
          <w:w w:val="105"/>
        </w:rPr>
        <w:t>effect.</w:t>
      </w:r>
    </w:p>
    <w:p w14:paraId="1C0818A0" w14:textId="77777777" w:rsidR="00D67C1E" w:rsidRPr="00283806" w:rsidRDefault="001265CA">
      <w:pPr>
        <w:pStyle w:val="BodyText"/>
        <w:spacing w:before="21" w:line="225" w:lineRule="auto"/>
        <w:ind w:left="153" w:right="8" w:firstLine="180"/>
      </w:pPr>
      <w:r w:rsidRPr="00283806">
        <w:rPr>
          <w:rFonts w:ascii="Book Antiqua"/>
          <w:i/>
          <w:w w:val="105"/>
        </w:rPr>
        <w:t xml:space="preserve">Refrigerant circuit, </w:t>
      </w:r>
      <w:r w:rsidRPr="00283806">
        <w:rPr>
          <w:w w:val="105"/>
        </w:rPr>
        <w:t>as it relates to a refrigerant-containing appliance, means the parts of an appliance that are normally connected to each other (or are separated only by internal valves) and are designed to contain refrigerant.</w:t>
      </w:r>
    </w:p>
    <w:p w14:paraId="7DA562D3" w14:textId="77777777" w:rsidR="00D67C1E" w:rsidRPr="00283806" w:rsidRDefault="001265CA">
      <w:pPr>
        <w:pStyle w:val="BodyText"/>
        <w:spacing w:before="24" w:line="225" w:lineRule="auto"/>
        <w:ind w:left="153" w:right="70" w:firstLine="180"/>
      </w:pPr>
      <w:r w:rsidRPr="00283806">
        <w:rPr>
          <w:rFonts w:ascii="Book Antiqua"/>
          <w:i/>
          <w:w w:val="105"/>
        </w:rPr>
        <w:t>Refrigerant-containing</w:t>
      </w:r>
      <w:r w:rsidRPr="00283806">
        <w:rPr>
          <w:rFonts w:ascii="Book Antiqua"/>
          <w:i/>
          <w:spacing w:val="36"/>
          <w:w w:val="105"/>
        </w:rPr>
        <w:t xml:space="preserve"> </w:t>
      </w:r>
      <w:r w:rsidRPr="00283806">
        <w:rPr>
          <w:rFonts w:ascii="Book Antiqua"/>
          <w:i/>
          <w:w w:val="105"/>
        </w:rPr>
        <w:t>appliance</w:t>
      </w:r>
      <w:r w:rsidRPr="00283806">
        <w:rPr>
          <w:rFonts w:ascii="Book Antiqua"/>
          <w:i/>
          <w:spacing w:val="80"/>
          <w:w w:val="150"/>
        </w:rPr>
        <w:t xml:space="preserve"> </w:t>
      </w:r>
      <w:r w:rsidRPr="00283806">
        <w:rPr>
          <w:w w:val="105"/>
        </w:rPr>
        <w:t>means any device that contains and uses</w:t>
      </w:r>
      <w:r w:rsidRPr="00283806">
        <w:rPr>
          <w:spacing w:val="40"/>
          <w:w w:val="105"/>
        </w:rPr>
        <w:t xml:space="preserve"> </w:t>
      </w:r>
      <w:r w:rsidRPr="00283806">
        <w:rPr>
          <w:w w:val="105"/>
        </w:rPr>
        <w:t>a regulated substance or substitute for a regulated substance as a refrigerant including but not limited to any air conditioner,</w:t>
      </w:r>
      <w:r w:rsidRPr="00283806">
        <w:rPr>
          <w:spacing w:val="35"/>
          <w:w w:val="105"/>
        </w:rPr>
        <w:t xml:space="preserve"> </w:t>
      </w:r>
      <w:r w:rsidRPr="00283806">
        <w:rPr>
          <w:w w:val="105"/>
        </w:rPr>
        <w:t>MVAC,</w:t>
      </w:r>
      <w:r w:rsidRPr="00283806">
        <w:rPr>
          <w:spacing w:val="35"/>
          <w:w w:val="105"/>
        </w:rPr>
        <w:t xml:space="preserve"> </w:t>
      </w:r>
      <w:r w:rsidRPr="00283806">
        <w:rPr>
          <w:w w:val="105"/>
        </w:rPr>
        <w:t>MVAC-like</w:t>
      </w:r>
      <w:r w:rsidRPr="00283806">
        <w:rPr>
          <w:spacing w:val="40"/>
          <w:w w:val="105"/>
        </w:rPr>
        <w:t xml:space="preserve"> </w:t>
      </w:r>
      <w:r w:rsidRPr="00283806">
        <w:rPr>
          <w:w w:val="105"/>
        </w:rPr>
        <w:t>appliance, refrigerator, chiller, or</w:t>
      </w:r>
      <w:r w:rsidRPr="00283806">
        <w:rPr>
          <w:spacing w:val="80"/>
          <w:w w:val="105"/>
        </w:rPr>
        <w:t xml:space="preserve"> </w:t>
      </w:r>
      <w:r w:rsidRPr="00283806">
        <w:rPr>
          <w:w w:val="105"/>
        </w:rPr>
        <w:t>freezer. For such devices with multiple circuits, each independent circuit is considered a separate appliance.</w:t>
      </w:r>
    </w:p>
    <w:p w14:paraId="4CCD3B67" w14:textId="77777777" w:rsidR="00D67C1E" w:rsidRPr="00283806" w:rsidRDefault="001265CA">
      <w:pPr>
        <w:pStyle w:val="BodyText"/>
        <w:spacing w:before="30" w:line="225" w:lineRule="auto"/>
        <w:ind w:left="153" w:right="67" w:firstLine="180"/>
      </w:pPr>
      <w:r w:rsidRPr="00283806">
        <w:rPr>
          <w:rFonts w:ascii="Book Antiqua"/>
          <w:i/>
          <w:w w:val="105"/>
        </w:rPr>
        <w:t xml:space="preserve">Refrigerant-containing equipment </w:t>
      </w:r>
      <w:r w:rsidRPr="00283806">
        <w:rPr>
          <w:w w:val="105"/>
        </w:rPr>
        <w:t>means equipment as defined in this subpart that contains, uses, or is otherwise connected to or associated with a regulated substance or substitute for a regulated substance that is used as a refrigerant. This definition includes refrigerant-containing components and refrigerant-containing appliances. This term does not include military equipment used in deployable and expeditionary situations. This term also does not include space vehicles as defined in 40 CFR 84.3.</w:t>
      </w:r>
    </w:p>
    <w:p w14:paraId="786CB6E8" w14:textId="77777777" w:rsidR="00D67C1E" w:rsidRPr="00283806" w:rsidRDefault="001265CA">
      <w:pPr>
        <w:pStyle w:val="BodyText"/>
        <w:spacing w:before="110" w:line="225" w:lineRule="auto"/>
        <w:ind w:left="144" w:right="228" w:firstLine="180"/>
      </w:pPr>
      <w:r w:rsidRPr="00283806">
        <w:br w:type="column"/>
      </w:r>
      <w:proofErr w:type="spellStart"/>
      <w:r w:rsidRPr="00283806">
        <w:rPr>
          <w:rFonts w:ascii="Book Antiqua"/>
          <w:i/>
          <w:w w:val="105"/>
        </w:rPr>
        <w:t>Repackager</w:t>
      </w:r>
      <w:proofErr w:type="spellEnd"/>
      <w:r w:rsidRPr="00283806">
        <w:rPr>
          <w:rFonts w:ascii="Book Antiqua"/>
          <w:i/>
          <w:w w:val="105"/>
        </w:rPr>
        <w:t xml:space="preserve"> </w:t>
      </w:r>
      <w:r w:rsidRPr="00283806">
        <w:rPr>
          <w:w w:val="105"/>
        </w:rPr>
        <w:t xml:space="preserve">means an entity that transfers regulated substances, either alone or in a blend, from one container to another container prior to sale or distribution or offer for sale or distribution. An entity that services system cylinders for use in fire suppression equipment and returns the same regulated substances to the same system cylinder it was recovered from after the system cylinder is serviced is not a </w:t>
      </w:r>
      <w:proofErr w:type="spellStart"/>
      <w:r w:rsidRPr="00283806">
        <w:rPr>
          <w:w w:val="105"/>
        </w:rPr>
        <w:t>repackager</w:t>
      </w:r>
      <w:proofErr w:type="spellEnd"/>
      <w:r w:rsidRPr="00283806">
        <w:rPr>
          <w:w w:val="105"/>
        </w:rPr>
        <w:t>.</w:t>
      </w:r>
    </w:p>
    <w:p w14:paraId="7DB1CFF9" w14:textId="77777777" w:rsidR="00D67C1E" w:rsidRPr="00283806" w:rsidRDefault="001265CA">
      <w:pPr>
        <w:pStyle w:val="BodyText"/>
        <w:spacing w:before="33" w:line="225" w:lineRule="auto"/>
        <w:ind w:left="144" w:right="171" w:firstLine="180"/>
      </w:pPr>
      <w:r w:rsidRPr="00283806">
        <w:rPr>
          <w:rFonts w:ascii="Book Antiqua"/>
          <w:i/>
          <w:w w:val="105"/>
        </w:rPr>
        <w:t xml:space="preserve">Repair, </w:t>
      </w:r>
      <w:r w:rsidRPr="00283806">
        <w:rPr>
          <w:w w:val="105"/>
        </w:rPr>
        <w:t xml:space="preserve">as it relates to a particular leak in a refrigerant-containing appliance, means </w:t>
      </w:r>
      <w:proofErr w:type="gramStart"/>
      <w:r w:rsidRPr="00283806">
        <w:rPr>
          <w:w w:val="105"/>
        </w:rPr>
        <w:t>making adjustments</w:t>
      </w:r>
      <w:proofErr w:type="gramEnd"/>
      <w:r w:rsidRPr="00283806">
        <w:rPr>
          <w:w w:val="105"/>
        </w:rPr>
        <w:t xml:space="preserve"> or other alterations to that refrigerant-containing appliance that </w:t>
      </w:r>
      <w:proofErr w:type="gramStart"/>
      <w:r w:rsidRPr="00283806">
        <w:rPr>
          <w:w w:val="105"/>
        </w:rPr>
        <w:t>have</w:t>
      </w:r>
      <w:proofErr w:type="gramEnd"/>
      <w:r w:rsidRPr="00283806">
        <w:rPr>
          <w:w w:val="105"/>
        </w:rPr>
        <w:t xml:space="preserve"> the effect of</w:t>
      </w:r>
      <w:r w:rsidRPr="00283806">
        <w:rPr>
          <w:spacing w:val="80"/>
          <w:w w:val="150"/>
        </w:rPr>
        <w:t xml:space="preserve"> </w:t>
      </w:r>
      <w:r w:rsidRPr="00283806">
        <w:rPr>
          <w:w w:val="105"/>
        </w:rPr>
        <w:t xml:space="preserve">stopping leakage of refrigerant from that </w:t>
      </w:r>
      <w:proofErr w:type="gramStart"/>
      <w:r w:rsidRPr="00283806">
        <w:rPr>
          <w:w w:val="105"/>
        </w:rPr>
        <w:t>particular leak</w:t>
      </w:r>
      <w:proofErr w:type="gramEnd"/>
      <w:r w:rsidRPr="00283806">
        <w:rPr>
          <w:w w:val="105"/>
        </w:rPr>
        <w:t>.</w:t>
      </w:r>
    </w:p>
    <w:p w14:paraId="298480AA" w14:textId="77777777" w:rsidR="00D67C1E" w:rsidRPr="00283806" w:rsidRDefault="001265CA">
      <w:pPr>
        <w:pStyle w:val="BodyText"/>
        <w:spacing w:before="26" w:line="225" w:lineRule="auto"/>
        <w:ind w:left="144" w:right="212" w:firstLine="180"/>
      </w:pPr>
      <w:r w:rsidRPr="00283806">
        <w:rPr>
          <w:rFonts w:ascii="Book Antiqua"/>
          <w:i/>
          <w:w w:val="105"/>
        </w:rPr>
        <w:t xml:space="preserve">Reprocess </w:t>
      </w:r>
      <w:r w:rsidRPr="00283806">
        <w:rPr>
          <w:w w:val="105"/>
        </w:rPr>
        <w:t>means using procedures such as filtering, drying, distillation,</w:t>
      </w:r>
      <w:r w:rsidRPr="00283806">
        <w:rPr>
          <w:spacing w:val="80"/>
          <w:w w:val="150"/>
        </w:rPr>
        <w:t xml:space="preserve"> </w:t>
      </w:r>
      <w:r w:rsidRPr="00283806">
        <w:rPr>
          <w:w w:val="105"/>
        </w:rPr>
        <w:t>and other chemical procedures to remove impurities from a regulated substance</w:t>
      </w:r>
      <w:r w:rsidRPr="00283806">
        <w:rPr>
          <w:spacing w:val="-2"/>
          <w:w w:val="105"/>
        </w:rPr>
        <w:t xml:space="preserve"> </w:t>
      </w:r>
      <w:r w:rsidRPr="00283806">
        <w:rPr>
          <w:w w:val="105"/>
        </w:rPr>
        <w:t>or</w:t>
      </w:r>
      <w:r w:rsidRPr="00283806">
        <w:rPr>
          <w:spacing w:val="-3"/>
          <w:w w:val="105"/>
        </w:rPr>
        <w:t xml:space="preserve"> </w:t>
      </w:r>
      <w:r w:rsidRPr="00283806">
        <w:rPr>
          <w:w w:val="105"/>
        </w:rPr>
        <w:t>a</w:t>
      </w:r>
      <w:r w:rsidRPr="00283806">
        <w:rPr>
          <w:spacing w:val="-2"/>
          <w:w w:val="105"/>
        </w:rPr>
        <w:t xml:space="preserve"> </w:t>
      </w:r>
      <w:r w:rsidRPr="00283806">
        <w:rPr>
          <w:w w:val="105"/>
        </w:rPr>
        <w:t>substitute</w:t>
      </w:r>
      <w:r w:rsidRPr="00283806">
        <w:rPr>
          <w:spacing w:val="-3"/>
          <w:w w:val="105"/>
        </w:rPr>
        <w:t xml:space="preserve"> </w:t>
      </w:r>
      <w:r w:rsidRPr="00283806">
        <w:rPr>
          <w:w w:val="105"/>
        </w:rPr>
        <w:t>for</w:t>
      </w:r>
      <w:r w:rsidRPr="00283806">
        <w:rPr>
          <w:spacing w:val="-2"/>
          <w:w w:val="105"/>
        </w:rPr>
        <w:t xml:space="preserve"> </w:t>
      </w:r>
      <w:r w:rsidRPr="00283806">
        <w:rPr>
          <w:w w:val="105"/>
        </w:rPr>
        <w:t>a</w:t>
      </w:r>
      <w:r w:rsidRPr="00283806">
        <w:rPr>
          <w:spacing w:val="-3"/>
          <w:w w:val="105"/>
        </w:rPr>
        <w:t xml:space="preserve"> </w:t>
      </w:r>
      <w:r w:rsidRPr="00283806">
        <w:rPr>
          <w:w w:val="105"/>
        </w:rPr>
        <w:t xml:space="preserve">regulated </w:t>
      </w:r>
      <w:r w:rsidRPr="00283806">
        <w:rPr>
          <w:spacing w:val="-2"/>
          <w:w w:val="105"/>
        </w:rPr>
        <w:t>substance.</w:t>
      </w:r>
    </w:p>
    <w:p w14:paraId="5B48C150" w14:textId="77777777" w:rsidR="00D67C1E" w:rsidRPr="00283806" w:rsidRDefault="001265CA">
      <w:pPr>
        <w:pStyle w:val="BodyText"/>
        <w:spacing w:before="23" w:line="225" w:lineRule="auto"/>
        <w:ind w:left="144" w:right="251" w:firstLine="180"/>
      </w:pPr>
      <w:r w:rsidRPr="00283806">
        <w:rPr>
          <w:rFonts w:ascii="Book Antiqua"/>
          <w:i/>
          <w:w w:val="105"/>
        </w:rPr>
        <w:t xml:space="preserve">Retire, </w:t>
      </w:r>
      <w:r w:rsidRPr="00283806">
        <w:rPr>
          <w:w w:val="105"/>
        </w:rPr>
        <w:t xml:space="preserve">as it relates to a refrigerant- containing appliance, means the removal of the refrigerant and the disassembly or impairment of the refrigerant circuit such that the appliance </w:t>
      </w:r>
      <w:proofErr w:type="gramStart"/>
      <w:r w:rsidRPr="00283806">
        <w:rPr>
          <w:w w:val="105"/>
        </w:rPr>
        <w:t>as a whole is</w:t>
      </w:r>
      <w:proofErr w:type="gramEnd"/>
      <w:r w:rsidRPr="00283806">
        <w:rPr>
          <w:w w:val="105"/>
        </w:rPr>
        <w:t xml:space="preserve"> rendered unusable</w:t>
      </w:r>
      <w:r w:rsidRPr="00283806">
        <w:rPr>
          <w:spacing w:val="10"/>
          <w:w w:val="105"/>
        </w:rPr>
        <w:t xml:space="preserve"> </w:t>
      </w:r>
      <w:r w:rsidRPr="00283806">
        <w:rPr>
          <w:w w:val="105"/>
        </w:rPr>
        <w:t>by</w:t>
      </w:r>
      <w:r w:rsidRPr="00283806">
        <w:rPr>
          <w:spacing w:val="11"/>
          <w:w w:val="105"/>
        </w:rPr>
        <w:t xml:space="preserve"> </w:t>
      </w:r>
      <w:r w:rsidRPr="00283806">
        <w:rPr>
          <w:w w:val="105"/>
        </w:rPr>
        <w:t>any</w:t>
      </w:r>
      <w:r w:rsidRPr="00283806">
        <w:rPr>
          <w:spacing w:val="11"/>
          <w:w w:val="105"/>
        </w:rPr>
        <w:t xml:space="preserve"> </w:t>
      </w:r>
      <w:r w:rsidRPr="00283806">
        <w:rPr>
          <w:w w:val="105"/>
        </w:rPr>
        <w:t>person</w:t>
      </w:r>
      <w:r w:rsidRPr="00283806">
        <w:rPr>
          <w:spacing w:val="10"/>
          <w:w w:val="105"/>
        </w:rPr>
        <w:t xml:space="preserve"> </w:t>
      </w:r>
      <w:r w:rsidRPr="00283806">
        <w:rPr>
          <w:w w:val="105"/>
        </w:rPr>
        <w:t>in</w:t>
      </w:r>
      <w:r w:rsidRPr="00283806">
        <w:rPr>
          <w:spacing w:val="11"/>
          <w:w w:val="105"/>
        </w:rPr>
        <w:t xml:space="preserve"> </w:t>
      </w:r>
      <w:r w:rsidRPr="00283806">
        <w:rPr>
          <w:w w:val="105"/>
        </w:rPr>
        <w:t>the</w:t>
      </w:r>
      <w:r w:rsidRPr="00283806">
        <w:rPr>
          <w:spacing w:val="11"/>
          <w:w w:val="105"/>
        </w:rPr>
        <w:t xml:space="preserve"> </w:t>
      </w:r>
      <w:r w:rsidRPr="00283806">
        <w:rPr>
          <w:spacing w:val="-2"/>
          <w:w w:val="105"/>
        </w:rPr>
        <w:t>future.</w:t>
      </w:r>
    </w:p>
    <w:p w14:paraId="112D05D0" w14:textId="77777777" w:rsidR="00D67C1E" w:rsidRPr="00283806" w:rsidRDefault="001265CA">
      <w:pPr>
        <w:pStyle w:val="BodyText"/>
        <w:spacing w:before="26" w:line="225" w:lineRule="auto"/>
        <w:ind w:left="144" w:right="142" w:firstLine="180"/>
      </w:pPr>
      <w:r w:rsidRPr="00283806">
        <w:rPr>
          <w:rFonts w:ascii="Book Antiqua"/>
          <w:i/>
          <w:w w:val="105"/>
        </w:rPr>
        <w:t xml:space="preserve">Retrofit, </w:t>
      </w:r>
      <w:r w:rsidRPr="00283806">
        <w:rPr>
          <w:w w:val="105"/>
        </w:rPr>
        <w:t>as it relates to a refrigerant- containing appliance, means to convert an appliance from one refrigerant to another</w:t>
      </w:r>
      <w:r w:rsidRPr="00283806">
        <w:rPr>
          <w:spacing w:val="-1"/>
          <w:w w:val="105"/>
        </w:rPr>
        <w:t xml:space="preserve"> </w:t>
      </w:r>
      <w:r w:rsidRPr="00283806">
        <w:rPr>
          <w:w w:val="105"/>
        </w:rPr>
        <w:t>refrigerant.</w:t>
      </w:r>
      <w:r w:rsidRPr="00283806">
        <w:rPr>
          <w:spacing w:val="-1"/>
          <w:w w:val="105"/>
        </w:rPr>
        <w:t xml:space="preserve"> </w:t>
      </w:r>
      <w:r w:rsidRPr="00283806">
        <w:rPr>
          <w:w w:val="105"/>
        </w:rPr>
        <w:t>Retrofitting</w:t>
      </w:r>
      <w:r w:rsidRPr="00283806">
        <w:rPr>
          <w:spacing w:val="-1"/>
          <w:w w:val="105"/>
        </w:rPr>
        <w:t xml:space="preserve"> </w:t>
      </w:r>
      <w:r w:rsidRPr="00283806">
        <w:rPr>
          <w:w w:val="105"/>
        </w:rPr>
        <w:t>includes the conversion of the appliance to</w:t>
      </w:r>
      <w:r w:rsidRPr="00283806">
        <w:rPr>
          <w:spacing w:val="40"/>
          <w:w w:val="105"/>
        </w:rPr>
        <w:t xml:space="preserve"> </w:t>
      </w:r>
      <w:r w:rsidRPr="00283806">
        <w:rPr>
          <w:w w:val="105"/>
        </w:rPr>
        <w:t xml:space="preserve">achieve system compatibility with the new refrigerant and may include, but is not limited to, changes in lubricants, gaskets, filters, driers, valves, </w:t>
      </w:r>
      <w:proofErr w:type="spellStart"/>
      <w:r w:rsidRPr="00283806">
        <w:rPr>
          <w:w w:val="105"/>
        </w:rPr>
        <w:t>o-rings</w:t>
      </w:r>
      <w:proofErr w:type="spellEnd"/>
      <w:r w:rsidRPr="00283806">
        <w:rPr>
          <w:w w:val="105"/>
        </w:rPr>
        <w:t>, or appliance components.</w:t>
      </w:r>
    </w:p>
    <w:p w14:paraId="0744B7AF" w14:textId="77777777" w:rsidR="00D67C1E" w:rsidRPr="00283806" w:rsidRDefault="001265CA">
      <w:pPr>
        <w:pStyle w:val="BodyText"/>
        <w:spacing w:before="30" w:line="225" w:lineRule="auto"/>
        <w:ind w:left="144" w:right="189" w:firstLine="180"/>
      </w:pPr>
      <w:r w:rsidRPr="00283806">
        <w:rPr>
          <w:rFonts w:ascii="Book Antiqua"/>
          <w:i/>
          <w:w w:val="105"/>
        </w:rPr>
        <w:t xml:space="preserve">Seasonal variance, </w:t>
      </w:r>
      <w:r w:rsidRPr="00283806">
        <w:rPr>
          <w:w w:val="105"/>
        </w:rPr>
        <w:t>as it relates to a refrigerant-containing appliance, means the removal of refrigerant from an appliance due to a change in ambient conditions caused by a change in</w:t>
      </w:r>
      <w:r w:rsidRPr="00283806">
        <w:rPr>
          <w:spacing w:val="80"/>
          <w:w w:val="105"/>
        </w:rPr>
        <w:t xml:space="preserve"> </w:t>
      </w:r>
      <w:r w:rsidRPr="00283806">
        <w:rPr>
          <w:w w:val="105"/>
        </w:rPr>
        <w:t>season, followed by the subsequent addition of an amount that is less than</w:t>
      </w:r>
      <w:r w:rsidRPr="00283806">
        <w:rPr>
          <w:spacing w:val="40"/>
          <w:w w:val="105"/>
        </w:rPr>
        <w:t xml:space="preserve"> </w:t>
      </w:r>
      <w:r w:rsidRPr="00283806">
        <w:rPr>
          <w:w w:val="105"/>
        </w:rPr>
        <w:t>or equal to the amount of refrigerant removed in the prior change in season, where both the removal and addition of refrigerant occurs within one consecutive 12-month period.</w:t>
      </w:r>
    </w:p>
    <w:p w14:paraId="7247741C" w14:textId="77777777" w:rsidR="00D67C1E" w:rsidRPr="00283806" w:rsidRDefault="00D67C1E">
      <w:pPr>
        <w:spacing w:line="225" w:lineRule="auto"/>
        <w:sectPr w:rsidR="00D67C1E" w:rsidRPr="00283806">
          <w:type w:val="continuous"/>
          <w:pgSz w:w="12240" w:h="15840"/>
          <w:pgMar w:top="880" w:right="780" w:bottom="280" w:left="740" w:header="627" w:footer="0" w:gutter="0"/>
          <w:cols w:num="3" w:space="720" w:equalWidth="0">
            <w:col w:w="3507" w:space="40"/>
            <w:col w:w="3510" w:space="39"/>
            <w:col w:w="3624"/>
          </w:cols>
        </w:sectPr>
      </w:pPr>
    </w:p>
    <w:p w14:paraId="3A3E5793" w14:textId="77777777" w:rsidR="00D67C1E" w:rsidRPr="00283806" w:rsidRDefault="001265CA">
      <w:pPr>
        <w:spacing w:before="143" w:line="220" w:lineRule="auto"/>
        <w:ind w:left="160" w:right="37" w:firstLine="180"/>
        <w:rPr>
          <w:sz w:val="18"/>
        </w:rPr>
      </w:pPr>
      <w:r w:rsidRPr="00283806">
        <w:rPr>
          <w:rFonts w:ascii="Book Antiqua"/>
          <w:i/>
          <w:w w:val="105"/>
          <w:sz w:val="18"/>
        </w:rPr>
        <w:lastRenderedPageBreak/>
        <w:t xml:space="preserve">Stationary refrigerant-containing equipment </w:t>
      </w:r>
      <w:r w:rsidRPr="00283806">
        <w:rPr>
          <w:w w:val="105"/>
          <w:sz w:val="18"/>
        </w:rPr>
        <w:t>means refrigerant-containing equipment, as defined in this subpart, that is not an MVAC or an MVAC-like appliance, as defined in this subpart.</w:t>
      </w:r>
    </w:p>
    <w:p w14:paraId="04B2708E" w14:textId="77777777" w:rsidR="00D67C1E" w:rsidRPr="00283806" w:rsidRDefault="001265CA">
      <w:pPr>
        <w:spacing w:line="220" w:lineRule="auto"/>
        <w:ind w:left="160" w:firstLine="180"/>
        <w:rPr>
          <w:sz w:val="18"/>
        </w:rPr>
      </w:pPr>
      <w:r w:rsidRPr="00283806">
        <w:rPr>
          <w:rFonts w:ascii="Book Antiqua"/>
          <w:i/>
          <w:w w:val="110"/>
          <w:sz w:val="18"/>
        </w:rPr>
        <w:t xml:space="preserve">Substitute for a regulated substance </w:t>
      </w:r>
      <w:r w:rsidRPr="00283806">
        <w:rPr>
          <w:w w:val="110"/>
          <w:sz w:val="18"/>
        </w:rPr>
        <w:t xml:space="preserve">means a substance that can be used in equipment in the same or similar </w:t>
      </w:r>
      <w:r w:rsidRPr="00283806">
        <w:rPr>
          <w:sz w:val="18"/>
        </w:rPr>
        <w:t>applications</w:t>
      </w:r>
      <w:r w:rsidRPr="00283806">
        <w:rPr>
          <w:spacing w:val="38"/>
          <w:sz w:val="18"/>
        </w:rPr>
        <w:t xml:space="preserve"> </w:t>
      </w:r>
      <w:r w:rsidRPr="00283806">
        <w:rPr>
          <w:sz w:val="18"/>
        </w:rPr>
        <w:t>as</w:t>
      </w:r>
      <w:r w:rsidRPr="00283806">
        <w:rPr>
          <w:spacing w:val="38"/>
          <w:sz w:val="18"/>
        </w:rPr>
        <w:t xml:space="preserve"> </w:t>
      </w:r>
      <w:r w:rsidRPr="00283806">
        <w:rPr>
          <w:sz w:val="18"/>
        </w:rPr>
        <w:t>a</w:t>
      </w:r>
      <w:r w:rsidRPr="00283806">
        <w:rPr>
          <w:spacing w:val="38"/>
          <w:sz w:val="18"/>
        </w:rPr>
        <w:t xml:space="preserve"> </w:t>
      </w:r>
      <w:r w:rsidRPr="00283806">
        <w:rPr>
          <w:sz w:val="18"/>
        </w:rPr>
        <w:t>regulated</w:t>
      </w:r>
      <w:r w:rsidRPr="00283806">
        <w:rPr>
          <w:spacing w:val="38"/>
          <w:sz w:val="18"/>
        </w:rPr>
        <w:t xml:space="preserve"> </w:t>
      </w:r>
      <w:r w:rsidRPr="00283806">
        <w:rPr>
          <w:sz w:val="18"/>
        </w:rPr>
        <w:t>substance,</w:t>
      </w:r>
      <w:r w:rsidRPr="00283806">
        <w:rPr>
          <w:spacing w:val="38"/>
          <w:sz w:val="18"/>
        </w:rPr>
        <w:t xml:space="preserve"> </w:t>
      </w:r>
      <w:r w:rsidRPr="00283806">
        <w:rPr>
          <w:sz w:val="18"/>
        </w:rPr>
        <w:t>to</w:t>
      </w:r>
    </w:p>
    <w:p w14:paraId="4C94BC5F" w14:textId="77777777" w:rsidR="00D67C1E" w:rsidRPr="00283806" w:rsidRDefault="001265CA">
      <w:pPr>
        <w:pStyle w:val="BodyText"/>
        <w:spacing w:line="225" w:lineRule="auto"/>
        <w:ind w:right="17"/>
      </w:pPr>
      <w:r w:rsidRPr="00283806">
        <w:rPr>
          <w:w w:val="105"/>
        </w:rPr>
        <w:t>serve the same or a similar purpose, including but not limited to a substance used as a refrigerant in a refrigerant- containing appliance or as a fire suppressant in fire suppression equipment, provided that the substance</w:t>
      </w:r>
      <w:r w:rsidRPr="00283806">
        <w:rPr>
          <w:spacing w:val="40"/>
          <w:w w:val="105"/>
        </w:rPr>
        <w:t xml:space="preserve"> </w:t>
      </w:r>
      <w:r w:rsidRPr="00283806">
        <w:rPr>
          <w:w w:val="105"/>
        </w:rPr>
        <w:t>is not a regulated substance or an ozone- depleting substance.</w:t>
      </w:r>
    </w:p>
    <w:p w14:paraId="010B589D" w14:textId="77777777" w:rsidR="00D67C1E" w:rsidRPr="00283806" w:rsidRDefault="001265CA">
      <w:pPr>
        <w:spacing w:line="182" w:lineRule="exact"/>
        <w:ind w:left="340"/>
        <w:rPr>
          <w:sz w:val="18"/>
        </w:rPr>
      </w:pPr>
      <w:r w:rsidRPr="00283806">
        <w:rPr>
          <w:rFonts w:ascii="Book Antiqua"/>
          <w:i/>
          <w:w w:val="110"/>
          <w:sz w:val="18"/>
        </w:rPr>
        <w:t>Technician,</w:t>
      </w:r>
      <w:r w:rsidRPr="00283806">
        <w:rPr>
          <w:rFonts w:ascii="Book Antiqua"/>
          <w:i/>
          <w:spacing w:val="-6"/>
          <w:w w:val="110"/>
          <w:sz w:val="18"/>
        </w:rPr>
        <w:t xml:space="preserve"> </w:t>
      </w:r>
      <w:r w:rsidRPr="00283806">
        <w:rPr>
          <w:w w:val="110"/>
          <w:sz w:val="18"/>
        </w:rPr>
        <w:t>as</w:t>
      </w:r>
      <w:r w:rsidRPr="00283806">
        <w:rPr>
          <w:spacing w:val="1"/>
          <w:w w:val="110"/>
          <w:sz w:val="18"/>
        </w:rPr>
        <w:t xml:space="preserve"> </w:t>
      </w:r>
      <w:r w:rsidRPr="00283806">
        <w:rPr>
          <w:w w:val="110"/>
          <w:sz w:val="18"/>
        </w:rPr>
        <w:t>it relates</w:t>
      </w:r>
      <w:r w:rsidRPr="00283806">
        <w:rPr>
          <w:spacing w:val="1"/>
          <w:w w:val="110"/>
          <w:sz w:val="18"/>
        </w:rPr>
        <w:t xml:space="preserve"> </w:t>
      </w:r>
      <w:r w:rsidRPr="00283806">
        <w:rPr>
          <w:w w:val="110"/>
          <w:sz w:val="18"/>
        </w:rPr>
        <w:t xml:space="preserve">to any </w:t>
      </w:r>
      <w:r w:rsidRPr="00283806">
        <w:rPr>
          <w:spacing w:val="-2"/>
          <w:w w:val="110"/>
          <w:sz w:val="18"/>
        </w:rPr>
        <w:t>person</w:t>
      </w:r>
    </w:p>
    <w:p w14:paraId="2B53392E" w14:textId="77777777" w:rsidR="00D67C1E" w:rsidRPr="00283806" w:rsidRDefault="001265CA">
      <w:pPr>
        <w:pStyle w:val="BodyText"/>
        <w:spacing w:line="225" w:lineRule="auto"/>
        <w:ind w:right="107"/>
      </w:pPr>
      <w:r w:rsidRPr="00283806">
        <w:rPr>
          <w:w w:val="105"/>
        </w:rPr>
        <w:t xml:space="preserve">who works with refrigerant-containing appliances, means any person who </w:t>
      </w:r>
      <w:proofErr w:type="gramStart"/>
      <w:r w:rsidRPr="00283806">
        <w:rPr>
          <w:w w:val="105"/>
        </w:rPr>
        <w:t>in the course of</w:t>
      </w:r>
      <w:proofErr w:type="gramEnd"/>
      <w:r w:rsidRPr="00283806">
        <w:rPr>
          <w:w w:val="105"/>
        </w:rPr>
        <w:t xml:space="preserve"> servicing, repair, or installation of a refrigerant-containing appliance (except MVACs) could be reasonably expected to violate the integrity of the refrigerant circuit and therefore release refrigerants into the environment. Technician also means</w:t>
      </w:r>
      <w:r w:rsidRPr="00283806">
        <w:rPr>
          <w:spacing w:val="40"/>
          <w:w w:val="105"/>
        </w:rPr>
        <w:t xml:space="preserve"> </w:t>
      </w:r>
      <w:r w:rsidRPr="00283806">
        <w:rPr>
          <w:w w:val="105"/>
        </w:rPr>
        <w:t xml:space="preserve">any person who </w:t>
      </w:r>
      <w:proofErr w:type="gramStart"/>
      <w:r w:rsidRPr="00283806">
        <w:rPr>
          <w:w w:val="105"/>
        </w:rPr>
        <w:t>in the course of</w:t>
      </w:r>
      <w:proofErr w:type="gramEnd"/>
      <w:r w:rsidRPr="00283806">
        <w:rPr>
          <w:spacing w:val="40"/>
          <w:w w:val="105"/>
        </w:rPr>
        <w:t xml:space="preserve"> </w:t>
      </w:r>
      <w:r w:rsidRPr="00283806">
        <w:rPr>
          <w:w w:val="105"/>
        </w:rPr>
        <w:t>disposal of a refrigerant-containing appliance (except small appliances as defined in 40 CFR 82.152, MVACs, and MVAC-like appliances) could be reasonably expected to violate the integrity of the refrigerant circuit and therefore release refrigerants from the appliances into the environment.</w:t>
      </w:r>
    </w:p>
    <w:p w14:paraId="32C571C1" w14:textId="77777777" w:rsidR="00D67C1E" w:rsidRPr="00283806" w:rsidRDefault="001265CA">
      <w:pPr>
        <w:pStyle w:val="BodyText"/>
        <w:spacing w:line="228" w:lineRule="auto"/>
        <w:ind w:right="6"/>
      </w:pPr>
      <w:r w:rsidRPr="00283806">
        <w:rPr>
          <w:w w:val="105"/>
        </w:rPr>
        <w:t xml:space="preserve">Activities </w:t>
      </w:r>
      <w:proofErr w:type="gramStart"/>
      <w:r w:rsidRPr="00283806">
        <w:rPr>
          <w:w w:val="105"/>
        </w:rPr>
        <w:t>reasonably</w:t>
      </w:r>
      <w:proofErr w:type="gramEnd"/>
      <w:r w:rsidRPr="00283806">
        <w:rPr>
          <w:w w:val="105"/>
        </w:rPr>
        <w:t xml:space="preserve"> expected to violate the integrity of the refrigerant circuit include but are not limited to: Attaching or detaching hoses and gauges to and from the appliance; adding or removing refrigerant; adding or removing components; and cutting the refrigerant line. Activities such as painting the appliance,</w:t>
      </w:r>
      <w:r w:rsidRPr="00283806">
        <w:rPr>
          <w:spacing w:val="40"/>
          <w:w w:val="105"/>
        </w:rPr>
        <w:t xml:space="preserve"> </w:t>
      </w:r>
      <w:r w:rsidRPr="00283806">
        <w:rPr>
          <w:w w:val="105"/>
        </w:rPr>
        <w:t>rewiring</w:t>
      </w:r>
      <w:r w:rsidRPr="00283806">
        <w:rPr>
          <w:spacing w:val="40"/>
          <w:w w:val="105"/>
        </w:rPr>
        <w:t xml:space="preserve"> </w:t>
      </w:r>
      <w:r w:rsidRPr="00283806">
        <w:rPr>
          <w:w w:val="105"/>
        </w:rPr>
        <w:t>an</w:t>
      </w:r>
      <w:r w:rsidRPr="00283806">
        <w:rPr>
          <w:spacing w:val="40"/>
          <w:w w:val="105"/>
        </w:rPr>
        <w:t xml:space="preserve"> </w:t>
      </w:r>
      <w:r w:rsidRPr="00283806">
        <w:rPr>
          <w:w w:val="105"/>
        </w:rPr>
        <w:t>external electrical</w:t>
      </w:r>
      <w:r w:rsidRPr="00283806">
        <w:rPr>
          <w:spacing w:val="40"/>
          <w:w w:val="105"/>
        </w:rPr>
        <w:t xml:space="preserve"> </w:t>
      </w:r>
      <w:r w:rsidRPr="00283806">
        <w:rPr>
          <w:w w:val="105"/>
        </w:rPr>
        <w:t>circuit,</w:t>
      </w:r>
      <w:r w:rsidRPr="00283806">
        <w:rPr>
          <w:spacing w:val="40"/>
          <w:w w:val="105"/>
        </w:rPr>
        <w:t xml:space="preserve"> </w:t>
      </w:r>
      <w:r w:rsidRPr="00283806">
        <w:rPr>
          <w:w w:val="105"/>
        </w:rPr>
        <w:t>replacing</w:t>
      </w:r>
      <w:r w:rsidRPr="00283806">
        <w:rPr>
          <w:spacing w:val="40"/>
          <w:w w:val="105"/>
        </w:rPr>
        <w:t xml:space="preserve"> </w:t>
      </w:r>
      <w:r w:rsidRPr="00283806">
        <w:rPr>
          <w:w w:val="105"/>
        </w:rPr>
        <w:t>insulation</w:t>
      </w:r>
      <w:r w:rsidRPr="00283806">
        <w:rPr>
          <w:spacing w:val="40"/>
          <w:w w:val="105"/>
        </w:rPr>
        <w:t xml:space="preserve"> </w:t>
      </w:r>
      <w:r w:rsidRPr="00283806">
        <w:rPr>
          <w:w w:val="105"/>
        </w:rPr>
        <w:t xml:space="preserve">on a </w:t>
      </w:r>
      <w:proofErr w:type="gramStart"/>
      <w:r w:rsidRPr="00283806">
        <w:rPr>
          <w:w w:val="105"/>
        </w:rPr>
        <w:t>length of pipe</w:t>
      </w:r>
      <w:proofErr w:type="gramEnd"/>
      <w:r w:rsidRPr="00283806">
        <w:rPr>
          <w:w w:val="105"/>
        </w:rPr>
        <w:t>, or tightening nuts</w:t>
      </w:r>
      <w:r w:rsidRPr="00283806">
        <w:rPr>
          <w:spacing w:val="40"/>
          <w:w w:val="105"/>
        </w:rPr>
        <w:t xml:space="preserve"> </w:t>
      </w:r>
      <w:r w:rsidRPr="00283806">
        <w:rPr>
          <w:w w:val="105"/>
        </w:rPr>
        <w:t>and bolts are not reasonably expected to violate the integrity of the refrigerant circuit. Activities conducted on refrigerant-containing appliances that have been properly evacuated pursuant to 40 CFR 82.156 are not reasonably expected to release refrigerants unless the activity includes adding refrigerant</w:t>
      </w:r>
      <w:r w:rsidRPr="00283806">
        <w:rPr>
          <w:spacing w:val="80"/>
          <w:w w:val="105"/>
        </w:rPr>
        <w:t xml:space="preserve"> </w:t>
      </w:r>
      <w:r w:rsidRPr="00283806">
        <w:rPr>
          <w:w w:val="105"/>
        </w:rPr>
        <w:t>to the appliance. Technicians could include but are not limited to installers, contractor employees, in-house service personnel, and owners and/or operators of refrigerant-containing appliances.</w:t>
      </w:r>
    </w:p>
    <w:p w14:paraId="5BA9C880" w14:textId="77777777" w:rsidR="00D67C1E" w:rsidRPr="00283806" w:rsidRDefault="001265CA">
      <w:pPr>
        <w:spacing w:line="174" w:lineRule="exact"/>
        <w:ind w:left="340"/>
        <w:rPr>
          <w:sz w:val="18"/>
        </w:rPr>
      </w:pPr>
      <w:r w:rsidRPr="00283806">
        <w:rPr>
          <w:rFonts w:ascii="Book Antiqua"/>
          <w:i/>
          <w:w w:val="110"/>
          <w:sz w:val="18"/>
        </w:rPr>
        <w:t>Virgin</w:t>
      </w:r>
      <w:r w:rsidRPr="00283806">
        <w:rPr>
          <w:rFonts w:ascii="Book Antiqua"/>
          <w:i/>
          <w:spacing w:val="1"/>
          <w:w w:val="110"/>
          <w:sz w:val="18"/>
        </w:rPr>
        <w:t xml:space="preserve"> </w:t>
      </w:r>
      <w:r w:rsidRPr="00283806">
        <w:rPr>
          <w:rFonts w:ascii="Book Antiqua"/>
          <w:i/>
          <w:w w:val="110"/>
          <w:sz w:val="18"/>
        </w:rPr>
        <w:t>regulated</w:t>
      </w:r>
      <w:r w:rsidRPr="00283806">
        <w:rPr>
          <w:rFonts w:ascii="Book Antiqua"/>
          <w:i/>
          <w:spacing w:val="2"/>
          <w:w w:val="110"/>
          <w:sz w:val="18"/>
        </w:rPr>
        <w:t xml:space="preserve"> </w:t>
      </w:r>
      <w:r w:rsidRPr="00283806">
        <w:rPr>
          <w:rFonts w:ascii="Book Antiqua"/>
          <w:i/>
          <w:w w:val="110"/>
          <w:sz w:val="18"/>
        </w:rPr>
        <w:t>substance</w:t>
      </w:r>
      <w:r w:rsidRPr="00283806">
        <w:rPr>
          <w:rFonts w:ascii="Book Antiqua"/>
          <w:i/>
          <w:spacing w:val="1"/>
          <w:w w:val="110"/>
          <w:sz w:val="18"/>
        </w:rPr>
        <w:t xml:space="preserve"> </w:t>
      </w:r>
      <w:r w:rsidRPr="00283806">
        <w:rPr>
          <w:w w:val="110"/>
          <w:sz w:val="18"/>
        </w:rPr>
        <w:t>means</w:t>
      </w:r>
      <w:r w:rsidRPr="00283806">
        <w:rPr>
          <w:spacing w:val="7"/>
          <w:w w:val="110"/>
          <w:sz w:val="18"/>
        </w:rPr>
        <w:t xml:space="preserve"> </w:t>
      </w:r>
      <w:r w:rsidRPr="00283806">
        <w:rPr>
          <w:spacing w:val="-5"/>
          <w:w w:val="110"/>
          <w:sz w:val="18"/>
        </w:rPr>
        <w:t>any</w:t>
      </w:r>
    </w:p>
    <w:p w14:paraId="1B7DAE5B" w14:textId="77777777" w:rsidR="00D67C1E" w:rsidRPr="00283806" w:rsidRDefault="001265CA">
      <w:pPr>
        <w:pStyle w:val="BodyText"/>
        <w:spacing w:line="228" w:lineRule="auto"/>
      </w:pPr>
      <w:r w:rsidRPr="00283806">
        <w:rPr>
          <w:w w:val="105"/>
        </w:rPr>
        <w:t>regulated substance that has not had any bona fide use in equipment.</w:t>
      </w:r>
    </w:p>
    <w:p w14:paraId="3F969EBE" w14:textId="77777777" w:rsidR="00D67C1E" w:rsidRPr="00283806" w:rsidRDefault="001265CA">
      <w:pPr>
        <w:spacing w:before="125"/>
        <w:ind w:left="160"/>
        <w:rPr>
          <w:rFonts w:ascii="Arial" w:hAnsi="Arial"/>
          <w:b/>
          <w:sz w:val="16"/>
        </w:rPr>
      </w:pPr>
      <w:r w:rsidRPr="00283806">
        <w:rPr>
          <w:rFonts w:ascii="Arial" w:hAnsi="Arial"/>
          <w:b/>
          <w:sz w:val="16"/>
        </w:rPr>
        <w:t>§</w:t>
      </w:r>
      <w:r w:rsidRPr="00283806">
        <w:rPr>
          <w:rFonts w:ascii="Arial" w:hAnsi="Arial"/>
          <w:b/>
          <w:spacing w:val="-19"/>
          <w:sz w:val="16"/>
        </w:rPr>
        <w:t xml:space="preserve"> </w:t>
      </w:r>
      <w:r w:rsidRPr="00283806">
        <w:rPr>
          <w:rFonts w:ascii="Arial" w:hAnsi="Arial"/>
          <w:b/>
          <w:sz w:val="16"/>
        </w:rPr>
        <w:t>84.104</w:t>
      </w:r>
      <w:r w:rsidRPr="00283806">
        <w:rPr>
          <w:rFonts w:ascii="Arial" w:hAnsi="Arial"/>
          <w:b/>
          <w:spacing w:val="32"/>
          <w:sz w:val="16"/>
        </w:rPr>
        <w:t xml:space="preserve">  </w:t>
      </w:r>
      <w:r w:rsidRPr="00283806">
        <w:rPr>
          <w:rFonts w:ascii="Arial" w:hAnsi="Arial"/>
          <w:b/>
          <w:spacing w:val="-2"/>
          <w:sz w:val="16"/>
        </w:rPr>
        <w:t>Prohibitions.</w:t>
      </w:r>
    </w:p>
    <w:p w14:paraId="1054B605" w14:textId="77777777" w:rsidR="00D67C1E" w:rsidRPr="00283806" w:rsidRDefault="001265CA">
      <w:pPr>
        <w:pStyle w:val="ListParagraph"/>
        <w:numPr>
          <w:ilvl w:val="1"/>
          <w:numId w:val="34"/>
        </w:numPr>
        <w:tabs>
          <w:tab w:val="left" w:pos="597"/>
        </w:tabs>
        <w:spacing w:before="31" w:line="223" w:lineRule="auto"/>
        <w:ind w:firstLine="179"/>
        <w:rPr>
          <w:sz w:val="18"/>
        </w:rPr>
      </w:pPr>
      <w:r w:rsidRPr="00283806">
        <w:rPr>
          <w:rFonts w:ascii="Book Antiqua"/>
          <w:i/>
          <w:w w:val="105"/>
          <w:sz w:val="18"/>
        </w:rPr>
        <w:t xml:space="preserve">Sale of recovered refrigerant. </w:t>
      </w:r>
      <w:r w:rsidRPr="00283806">
        <w:rPr>
          <w:w w:val="105"/>
          <w:sz w:val="18"/>
        </w:rPr>
        <w:t>No</w:t>
      </w:r>
      <w:r w:rsidRPr="00283806">
        <w:rPr>
          <w:spacing w:val="40"/>
          <w:w w:val="105"/>
          <w:sz w:val="18"/>
        </w:rPr>
        <w:t xml:space="preserve"> </w:t>
      </w:r>
      <w:r w:rsidRPr="00283806">
        <w:rPr>
          <w:w w:val="105"/>
          <w:sz w:val="18"/>
        </w:rPr>
        <w:t>person may sell, distribute, or transfer to a new owner, or offer for sale, distribution, or transfer to a new owner,</w:t>
      </w:r>
    </w:p>
    <w:p w14:paraId="1CD78CE0" w14:textId="77777777" w:rsidR="00D67C1E" w:rsidRPr="00283806" w:rsidRDefault="001265CA">
      <w:pPr>
        <w:pStyle w:val="BodyText"/>
        <w:spacing w:before="134" w:line="228" w:lineRule="auto"/>
        <w:ind w:left="144" w:right="19"/>
      </w:pPr>
      <w:r w:rsidRPr="00283806">
        <w:br w:type="column"/>
      </w:r>
      <w:r w:rsidRPr="00283806">
        <w:rPr>
          <w:w w:val="105"/>
        </w:rPr>
        <w:t>any regulated substance used as a refrigerant in stationary refrigerant- containing equipment consisting in whole or in part of recovered regulated substances, unless the recovered regulated substance:</w:t>
      </w:r>
    </w:p>
    <w:p w14:paraId="1444238D" w14:textId="77777777" w:rsidR="00D67C1E" w:rsidRPr="00283806" w:rsidRDefault="001265CA">
      <w:pPr>
        <w:pStyle w:val="ListParagraph"/>
        <w:numPr>
          <w:ilvl w:val="0"/>
          <w:numId w:val="33"/>
        </w:numPr>
        <w:tabs>
          <w:tab w:val="left" w:pos="592"/>
        </w:tabs>
        <w:spacing w:line="184" w:lineRule="exact"/>
        <w:ind w:left="592" w:hanging="268"/>
        <w:rPr>
          <w:sz w:val="18"/>
        </w:rPr>
      </w:pPr>
      <w:r w:rsidRPr="00283806">
        <w:rPr>
          <w:w w:val="105"/>
          <w:sz w:val="18"/>
        </w:rPr>
        <w:t>Has</w:t>
      </w:r>
      <w:r w:rsidRPr="00283806">
        <w:rPr>
          <w:spacing w:val="9"/>
          <w:w w:val="105"/>
          <w:sz w:val="18"/>
        </w:rPr>
        <w:t xml:space="preserve"> </w:t>
      </w:r>
      <w:r w:rsidRPr="00283806">
        <w:rPr>
          <w:w w:val="105"/>
          <w:sz w:val="18"/>
        </w:rPr>
        <w:t>been</w:t>
      </w:r>
      <w:r w:rsidRPr="00283806">
        <w:rPr>
          <w:spacing w:val="10"/>
          <w:w w:val="105"/>
          <w:sz w:val="18"/>
        </w:rPr>
        <w:t xml:space="preserve"> </w:t>
      </w:r>
      <w:r w:rsidRPr="00283806">
        <w:rPr>
          <w:w w:val="105"/>
          <w:sz w:val="18"/>
        </w:rPr>
        <w:t>reclaimed</w:t>
      </w:r>
      <w:r w:rsidRPr="00283806">
        <w:rPr>
          <w:spacing w:val="10"/>
          <w:w w:val="105"/>
          <w:sz w:val="18"/>
        </w:rPr>
        <w:t xml:space="preserve"> </w:t>
      </w:r>
      <w:r w:rsidRPr="00283806">
        <w:rPr>
          <w:w w:val="105"/>
          <w:sz w:val="18"/>
        </w:rPr>
        <w:t>by</w:t>
      </w:r>
      <w:r w:rsidRPr="00283806">
        <w:rPr>
          <w:spacing w:val="10"/>
          <w:w w:val="105"/>
          <w:sz w:val="18"/>
        </w:rPr>
        <w:t xml:space="preserve"> </w:t>
      </w:r>
      <w:r w:rsidRPr="00283806">
        <w:rPr>
          <w:w w:val="105"/>
          <w:sz w:val="18"/>
        </w:rPr>
        <w:t>a</w:t>
      </w:r>
      <w:r w:rsidRPr="00283806">
        <w:rPr>
          <w:spacing w:val="10"/>
          <w:w w:val="105"/>
          <w:sz w:val="18"/>
        </w:rPr>
        <w:t xml:space="preserve"> </w:t>
      </w:r>
      <w:r w:rsidRPr="00283806">
        <w:rPr>
          <w:spacing w:val="-2"/>
          <w:w w:val="105"/>
          <w:sz w:val="18"/>
        </w:rPr>
        <w:t>person</w:t>
      </w:r>
    </w:p>
    <w:p w14:paraId="15149837" w14:textId="77777777" w:rsidR="00D67C1E" w:rsidRPr="00283806" w:rsidRDefault="001265CA">
      <w:pPr>
        <w:pStyle w:val="BodyText"/>
        <w:spacing w:before="3" w:line="228" w:lineRule="auto"/>
        <w:ind w:left="144"/>
      </w:pPr>
      <w:r w:rsidRPr="00283806">
        <w:rPr>
          <w:w w:val="110"/>
        </w:rPr>
        <w:t>who has been certified as a reclaimer under 40 CFR 82.164 and has been reclaimed</w:t>
      </w:r>
      <w:r w:rsidRPr="00283806">
        <w:rPr>
          <w:spacing w:val="-11"/>
          <w:w w:val="110"/>
        </w:rPr>
        <w:t xml:space="preserve"> </w:t>
      </w:r>
      <w:r w:rsidRPr="00283806">
        <w:rPr>
          <w:w w:val="110"/>
        </w:rPr>
        <w:t>by</w:t>
      </w:r>
      <w:r w:rsidRPr="00283806">
        <w:rPr>
          <w:spacing w:val="-11"/>
          <w:w w:val="110"/>
        </w:rPr>
        <w:t xml:space="preserve"> </w:t>
      </w:r>
      <w:r w:rsidRPr="00283806">
        <w:rPr>
          <w:w w:val="110"/>
        </w:rPr>
        <w:t>being</w:t>
      </w:r>
      <w:r w:rsidRPr="00283806">
        <w:rPr>
          <w:spacing w:val="-11"/>
          <w:w w:val="110"/>
        </w:rPr>
        <w:t xml:space="preserve"> </w:t>
      </w:r>
      <w:r w:rsidRPr="00283806">
        <w:rPr>
          <w:w w:val="110"/>
        </w:rPr>
        <w:t>reprocessed</w:t>
      </w:r>
      <w:r w:rsidRPr="00283806">
        <w:rPr>
          <w:spacing w:val="-11"/>
          <w:w w:val="110"/>
        </w:rPr>
        <w:t xml:space="preserve"> </w:t>
      </w:r>
      <w:r w:rsidRPr="00283806">
        <w:rPr>
          <w:w w:val="110"/>
        </w:rPr>
        <w:t>to</w:t>
      </w:r>
      <w:r w:rsidRPr="00283806">
        <w:rPr>
          <w:spacing w:val="-11"/>
          <w:w w:val="110"/>
        </w:rPr>
        <w:t xml:space="preserve"> </w:t>
      </w:r>
      <w:r w:rsidRPr="00283806">
        <w:rPr>
          <w:w w:val="110"/>
        </w:rPr>
        <w:t>all</w:t>
      </w:r>
      <w:r w:rsidRPr="00283806">
        <w:rPr>
          <w:spacing w:val="-11"/>
          <w:w w:val="110"/>
        </w:rPr>
        <w:t xml:space="preserve"> </w:t>
      </w:r>
      <w:r w:rsidRPr="00283806">
        <w:rPr>
          <w:w w:val="110"/>
        </w:rPr>
        <w:t xml:space="preserve">of the specifications in appendix A to 40 CFR part 82, subpart F that are applicable to that regulated substance </w:t>
      </w:r>
      <w:r w:rsidRPr="00283806">
        <w:rPr>
          <w:spacing w:val="-2"/>
          <w:w w:val="110"/>
        </w:rPr>
        <w:t>and</w:t>
      </w:r>
      <w:r w:rsidRPr="00283806">
        <w:rPr>
          <w:spacing w:val="-8"/>
          <w:w w:val="110"/>
        </w:rPr>
        <w:t xml:space="preserve"> </w:t>
      </w:r>
      <w:r w:rsidRPr="00283806">
        <w:rPr>
          <w:spacing w:val="-2"/>
          <w:w w:val="110"/>
        </w:rPr>
        <w:t>verified</w:t>
      </w:r>
      <w:r w:rsidRPr="00283806">
        <w:rPr>
          <w:spacing w:val="-8"/>
          <w:w w:val="110"/>
        </w:rPr>
        <w:t xml:space="preserve"> </w:t>
      </w:r>
      <w:r w:rsidRPr="00283806">
        <w:rPr>
          <w:spacing w:val="-2"/>
          <w:w w:val="110"/>
        </w:rPr>
        <w:t>to</w:t>
      </w:r>
      <w:r w:rsidRPr="00283806">
        <w:rPr>
          <w:spacing w:val="-8"/>
          <w:w w:val="110"/>
        </w:rPr>
        <w:t xml:space="preserve"> </w:t>
      </w:r>
      <w:r w:rsidRPr="00283806">
        <w:rPr>
          <w:spacing w:val="-2"/>
          <w:w w:val="110"/>
        </w:rPr>
        <w:t>meet</w:t>
      </w:r>
      <w:r w:rsidRPr="00283806">
        <w:rPr>
          <w:spacing w:val="-8"/>
          <w:w w:val="110"/>
        </w:rPr>
        <w:t xml:space="preserve"> </w:t>
      </w:r>
      <w:r w:rsidRPr="00283806">
        <w:rPr>
          <w:spacing w:val="-2"/>
          <w:w w:val="110"/>
        </w:rPr>
        <w:t>these</w:t>
      </w:r>
      <w:r w:rsidRPr="00283806">
        <w:rPr>
          <w:spacing w:val="-8"/>
          <w:w w:val="110"/>
        </w:rPr>
        <w:t xml:space="preserve"> </w:t>
      </w:r>
      <w:r w:rsidRPr="00283806">
        <w:rPr>
          <w:spacing w:val="-2"/>
          <w:w w:val="110"/>
        </w:rPr>
        <w:t xml:space="preserve">specifications </w:t>
      </w:r>
      <w:r w:rsidRPr="00283806">
        <w:rPr>
          <w:w w:val="110"/>
        </w:rPr>
        <w:t>using the analytical methodology prescribed</w:t>
      </w:r>
      <w:r w:rsidRPr="00283806">
        <w:rPr>
          <w:spacing w:val="-9"/>
          <w:w w:val="110"/>
        </w:rPr>
        <w:t xml:space="preserve"> </w:t>
      </w:r>
      <w:r w:rsidRPr="00283806">
        <w:rPr>
          <w:w w:val="110"/>
        </w:rPr>
        <w:t>in</w:t>
      </w:r>
      <w:r w:rsidRPr="00283806">
        <w:rPr>
          <w:spacing w:val="-9"/>
          <w:w w:val="110"/>
        </w:rPr>
        <w:t xml:space="preserve"> </w:t>
      </w:r>
      <w:r w:rsidRPr="00283806">
        <w:rPr>
          <w:w w:val="110"/>
        </w:rPr>
        <w:t>section</w:t>
      </w:r>
      <w:r w:rsidRPr="00283806">
        <w:rPr>
          <w:spacing w:val="-9"/>
          <w:w w:val="110"/>
        </w:rPr>
        <w:t xml:space="preserve"> </w:t>
      </w:r>
      <w:r w:rsidRPr="00283806">
        <w:rPr>
          <w:w w:val="110"/>
        </w:rPr>
        <w:t>5</w:t>
      </w:r>
      <w:r w:rsidRPr="00283806">
        <w:rPr>
          <w:spacing w:val="-9"/>
          <w:w w:val="110"/>
        </w:rPr>
        <w:t xml:space="preserve"> </w:t>
      </w:r>
      <w:r w:rsidRPr="00283806">
        <w:rPr>
          <w:w w:val="110"/>
        </w:rPr>
        <w:t>of</w:t>
      </w:r>
      <w:r w:rsidRPr="00283806">
        <w:rPr>
          <w:spacing w:val="-9"/>
          <w:w w:val="110"/>
        </w:rPr>
        <w:t xml:space="preserve"> </w:t>
      </w:r>
      <w:r w:rsidRPr="00283806">
        <w:rPr>
          <w:w w:val="110"/>
        </w:rPr>
        <w:t>appendix</w:t>
      </w:r>
      <w:r w:rsidRPr="00283806">
        <w:rPr>
          <w:spacing w:val="-9"/>
          <w:w w:val="110"/>
        </w:rPr>
        <w:t xml:space="preserve"> </w:t>
      </w:r>
      <w:r w:rsidRPr="00283806">
        <w:rPr>
          <w:w w:val="110"/>
        </w:rPr>
        <w:t>A</w:t>
      </w:r>
      <w:r w:rsidRPr="00283806">
        <w:rPr>
          <w:spacing w:val="-9"/>
          <w:w w:val="110"/>
        </w:rPr>
        <w:t xml:space="preserve"> </w:t>
      </w:r>
      <w:r w:rsidRPr="00283806">
        <w:rPr>
          <w:w w:val="110"/>
        </w:rPr>
        <w:t>to 40 CFR part 82, subpart F; or</w:t>
      </w:r>
    </w:p>
    <w:p w14:paraId="52202E1A" w14:textId="77777777" w:rsidR="00D67C1E" w:rsidRPr="00283806" w:rsidRDefault="001265CA">
      <w:pPr>
        <w:pStyle w:val="ListParagraph"/>
        <w:numPr>
          <w:ilvl w:val="0"/>
          <w:numId w:val="33"/>
        </w:numPr>
        <w:tabs>
          <w:tab w:val="left" w:pos="592"/>
        </w:tabs>
        <w:spacing w:line="182" w:lineRule="exact"/>
        <w:ind w:left="592" w:hanging="268"/>
        <w:rPr>
          <w:sz w:val="18"/>
        </w:rPr>
      </w:pPr>
      <w:r w:rsidRPr="00283806">
        <w:rPr>
          <w:w w:val="105"/>
          <w:sz w:val="18"/>
        </w:rPr>
        <w:t>Is</w:t>
      </w:r>
      <w:r w:rsidRPr="00283806">
        <w:rPr>
          <w:spacing w:val="14"/>
          <w:w w:val="105"/>
          <w:sz w:val="18"/>
        </w:rPr>
        <w:t xml:space="preserve"> </w:t>
      </w:r>
      <w:r w:rsidRPr="00283806">
        <w:rPr>
          <w:w w:val="105"/>
          <w:sz w:val="18"/>
        </w:rPr>
        <w:t>sold,</w:t>
      </w:r>
      <w:r w:rsidRPr="00283806">
        <w:rPr>
          <w:spacing w:val="14"/>
          <w:w w:val="105"/>
          <w:sz w:val="18"/>
        </w:rPr>
        <w:t xml:space="preserve"> </w:t>
      </w:r>
      <w:r w:rsidRPr="00283806">
        <w:rPr>
          <w:w w:val="105"/>
          <w:sz w:val="18"/>
        </w:rPr>
        <w:t>distributed,</w:t>
      </w:r>
      <w:r w:rsidRPr="00283806">
        <w:rPr>
          <w:spacing w:val="14"/>
          <w:w w:val="105"/>
          <w:sz w:val="18"/>
        </w:rPr>
        <w:t xml:space="preserve"> </w:t>
      </w:r>
      <w:r w:rsidRPr="00283806">
        <w:rPr>
          <w:w w:val="105"/>
          <w:sz w:val="18"/>
        </w:rPr>
        <w:t>or</w:t>
      </w:r>
      <w:r w:rsidRPr="00283806">
        <w:rPr>
          <w:spacing w:val="14"/>
          <w:w w:val="105"/>
          <w:sz w:val="18"/>
        </w:rPr>
        <w:t xml:space="preserve"> </w:t>
      </w:r>
      <w:r w:rsidRPr="00283806">
        <w:rPr>
          <w:spacing w:val="-2"/>
          <w:w w:val="105"/>
          <w:sz w:val="18"/>
        </w:rPr>
        <w:t>transferred</w:t>
      </w:r>
    </w:p>
    <w:p w14:paraId="37957729" w14:textId="77777777" w:rsidR="00D67C1E" w:rsidRPr="00283806" w:rsidRDefault="001265CA">
      <w:pPr>
        <w:pStyle w:val="BodyText"/>
        <w:spacing w:before="3" w:line="228" w:lineRule="auto"/>
        <w:ind w:left="144" w:right="19"/>
      </w:pPr>
      <w:r w:rsidRPr="00283806">
        <w:rPr>
          <w:w w:val="105"/>
        </w:rPr>
        <w:t>to a new owner, or offered for sale, distribution, or transfer to a new owner solely for the purposes of being reclaimed or destroyed.</w:t>
      </w:r>
    </w:p>
    <w:p w14:paraId="7C091FF4" w14:textId="77777777" w:rsidR="00D67C1E" w:rsidRPr="00283806" w:rsidRDefault="001265CA">
      <w:pPr>
        <w:pStyle w:val="ListParagraph"/>
        <w:numPr>
          <w:ilvl w:val="1"/>
          <w:numId w:val="34"/>
        </w:numPr>
        <w:tabs>
          <w:tab w:val="left" w:pos="592"/>
        </w:tabs>
        <w:spacing w:line="191" w:lineRule="exact"/>
        <w:ind w:left="592" w:hanging="268"/>
        <w:rPr>
          <w:sz w:val="18"/>
        </w:rPr>
      </w:pPr>
      <w:r w:rsidRPr="00283806">
        <w:rPr>
          <w:spacing w:val="-2"/>
          <w:w w:val="105"/>
          <w:sz w:val="18"/>
        </w:rPr>
        <w:t>[Reserved]</w:t>
      </w:r>
    </w:p>
    <w:p w14:paraId="051BDF76" w14:textId="77777777" w:rsidR="00D67C1E" w:rsidRPr="00283806" w:rsidRDefault="001265CA">
      <w:pPr>
        <w:spacing w:before="130"/>
        <w:ind w:left="144"/>
        <w:rPr>
          <w:rFonts w:ascii="Arial" w:hAnsi="Arial"/>
          <w:b/>
          <w:sz w:val="16"/>
        </w:rPr>
      </w:pPr>
      <w:r w:rsidRPr="00283806">
        <w:rPr>
          <w:rFonts w:ascii="Arial" w:hAnsi="Arial"/>
          <w:b/>
          <w:sz w:val="16"/>
        </w:rPr>
        <w:t>§</w:t>
      </w:r>
      <w:r w:rsidRPr="00283806">
        <w:rPr>
          <w:rFonts w:ascii="Arial" w:hAnsi="Arial"/>
          <w:b/>
          <w:spacing w:val="-19"/>
          <w:sz w:val="16"/>
        </w:rPr>
        <w:t xml:space="preserve"> </w:t>
      </w:r>
      <w:r w:rsidRPr="00283806">
        <w:rPr>
          <w:rFonts w:ascii="Arial" w:hAnsi="Arial"/>
          <w:b/>
          <w:sz w:val="16"/>
        </w:rPr>
        <w:t>84.106</w:t>
      </w:r>
      <w:r w:rsidRPr="00283806">
        <w:rPr>
          <w:rFonts w:ascii="Arial" w:hAnsi="Arial"/>
          <w:b/>
          <w:spacing w:val="31"/>
          <w:sz w:val="16"/>
        </w:rPr>
        <w:t xml:space="preserve">  </w:t>
      </w:r>
      <w:r w:rsidRPr="00283806">
        <w:rPr>
          <w:rFonts w:ascii="Arial" w:hAnsi="Arial"/>
          <w:b/>
          <w:sz w:val="16"/>
        </w:rPr>
        <w:t>Leak</w:t>
      </w:r>
      <w:r w:rsidRPr="00283806">
        <w:rPr>
          <w:rFonts w:ascii="Arial" w:hAnsi="Arial"/>
          <w:b/>
          <w:spacing w:val="-2"/>
          <w:sz w:val="16"/>
        </w:rPr>
        <w:t xml:space="preserve"> repair.</w:t>
      </w:r>
    </w:p>
    <w:p w14:paraId="1958633F" w14:textId="77777777" w:rsidR="00D67C1E" w:rsidRPr="00283806" w:rsidRDefault="001265CA">
      <w:pPr>
        <w:pStyle w:val="ListParagraph"/>
        <w:numPr>
          <w:ilvl w:val="0"/>
          <w:numId w:val="32"/>
        </w:numPr>
        <w:tabs>
          <w:tab w:val="left" w:pos="581"/>
        </w:tabs>
        <w:spacing w:before="35" w:line="225" w:lineRule="auto"/>
        <w:ind w:right="43" w:firstLine="179"/>
        <w:rPr>
          <w:sz w:val="18"/>
        </w:rPr>
      </w:pPr>
      <w:r w:rsidRPr="00283806">
        <w:rPr>
          <w:rFonts w:ascii="Book Antiqua"/>
          <w:i/>
          <w:w w:val="105"/>
          <w:sz w:val="18"/>
        </w:rPr>
        <w:t xml:space="preserve">Applicability. </w:t>
      </w:r>
      <w:r w:rsidRPr="00283806">
        <w:rPr>
          <w:w w:val="105"/>
          <w:sz w:val="18"/>
        </w:rPr>
        <w:t>This section applies</w:t>
      </w:r>
      <w:r w:rsidRPr="00283806">
        <w:rPr>
          <w:spacing w:val="40"/>
          <w:w w:val="105"/>
          <w:sz w:val="18"/>
        </w:rPr>
        <w:t xml:space="preserve"> </w:t>
      </w:r>
      <w:r w:rsidRPr="00283806">
        <w:rPr>
          <w:w w:val="105"/>
          <w:sz w:val="18"/>
        </w:rPr>
        <w:t>to refrigerant-containing appliances</w:t>
      </w:r>
      <w:r w:rsidRPr="00283806">
        <w:rPr>
          <w:spacing w:val="40"/>
          <w:w w:val="105"/>
          <w:sz w:val="18"/>
        </w:rPr>
        <w:t xml:space="preserve"> </w:t>
      </w:r>
      <w:r w:rsidRPr="00283806">
        <w:rPr>
          <w:w w:val="105"/>
          <w:sz w:val="18"/>
        </w:rPr>
        <w:t xml:space="preserve">with a full charge of 15 or more pounds of refrigerant where the refrigerant </w:t>
      </w:r>
      <w:r w:rsidRPr="00283806">
        <w:rPr>
          <w:spacing w:val="-2"/>
          <w:w w:val="105"/>
          <w:sz w:val="18"/>
        </w:rPr>
        <w:t>contains:</w:t>
      </w:r>
    </w:p>
    <w:p w14:paraId="6EE43642" w14:textId="77777777" w:rsidR="00D67C1E" w:rsidRPr="00283806" w:rsidRDefault="001265CA">
      <w:pPr>
        <w:pStyle w:val="ListParagraph"/>
        <w:numPr>
          <w:ilvl w:val="1"/>
          <w:numId w:val="32"/>
        </w:numPr>
        <w:tabs>
          <w:tab w:val="left" w:pos="592"/>
        </w:tabs>
        <w:spacing w:line="179" w:lineRule="exact"/>
        <w:ind w:left="592" w:hanging="268"/>
        <w:rPr>
          <w:sz w:val="18"/>
        </w:rPr>
      </w:pPr>
      <w:r w:rsidRPr="00283806">
        <w:rPr>
          <w:w w:val="110"/>
          <w:sz w:val="18"/>
        </w:rPr>
        <w:t>A</w:t>
      </w:r>
      <w:r w:rsidRPr="00283806">
        <w:rPr>
          <w:spacing w:val="-10"/>
          <w:w w:val="110"/>
          <w:sz w:val="18"/>
        </w:rPr>
        <w:t xml:space="preserve"> </w:t>
      </w:r>
      <w:r w:rsidRPr="00283806">
        <w:rPr>
          <w:w w:val="110"/>
          <w:sz w:val="18"/>
        </w:rPr>
        <w:t>regulated</w:t>
      </w:r>
      <w:r w:rsidRPr="00283806">
        <w:rPr>
          <w:spacing w:val="-9"/>
          <w:w w:val="110"/>
          <w:sz w:val="18"/>
        </w:rPr>
        <w:t xml:space="preserve"> </w:t>
      </w:r>
      <w:r w:rsidRPr="00283806">
        <w:rPr>
          <w:spacing w:val="-2"/>
          <w:w w:val="110"/>
          <w:sz w:val="18"/>
        </w:rPr>
        <w:t>substance,</w:t>
      </w:r>
    </w:p>
    <w:p w14:paraId="44028207" w14:textId="77777777" w:rsidR="00D67C1E" w:rsidRPr="00283806" w:rsidRDefault="001265CA">
      <w:pPr>
        <w:pStyle w:val="ListParagraph"/>
        <w:numPr>
          <w:ilvl w:val="1"/>
          <w:numId w:val="32"/>
        </w:numPr>
        <w:tabs>
          <w:tab w:val="left" w:pos="592"/>
        </w:tabs>
        <w:spacing w:line="228" w:lineRule="auto"/>
        <w:ind w:left="144" w:firstLine="180"/>
        <w:rPr>
          <w:sz w:val="18"/>
        </w:rPr>
      </w:pPr>
      <w:r w:rsidRPr="00283806">
        <w:rPr>
          <w:w w:val="105"/>
          <w:sz w:val="18"/>
        </w:rPr>
        <w:t xml:space="preserve">A substitute for a regulated substance that has a global warming potential greater than 53, based on the global warming </w:t>
      </w:r>
      <w:proofErr w:type="gramStart"/>
      <w:r w:rsidRPr="00283806">
        <w:rPr>
          <w:w w:val="105"/>
          <w:sz w:val="18"/>
        </w:rPr>
        <w:t>potentials</w:t>
      </w:r>
      <w:proofErr w:type="gramEnd"/>
      <w:r w:rsidRPr="00283806">
        <w:rPr>
          <w:w w:val="105"/>
          <w:sz w:val="18"/>
        </w:rPr>
        <w:t xml:space="preserve"> listed in table 1 of § 84.64(b).</w:t>
      </w:r>
    </w:p>
    <w:p w14:paraId="2F4330B8" w14:textId="77777777" w:rsidR="00D67C1E" w:rsidRPr="00283806" w:rsidRDefault="001265CA">
      <w:pPr>
        <w:pStyle w:val="ListParagraph"/>
        <w:numPr>
          <w:ilvl w:val="1"/>
          <w:numId w:val="32"/>
        </w:numPr>
        <w:tabs>
          <w:tab w:val="left" w:pos="592"/>
        </w:tabs>
        <w:spacing w:line="185" w:lineRule="exact"/>
        <w:ind w:left="592" w:hanging="268"/>
        <w:rPr>
          <w:sz w:val="18"/>
        </w:rPr>
      </w:pPr>
      <w:r w:rsidRPr="00283806">
        <w:rPr>
          <w:w w:val="105"/>
          <w:sz w:val="18"/>
        </w:rPr>
        <w:t>Notwithstanding</w:t>
      </w:r>
      <w:r w:rsidRPr="00283806">
        <w:rPr>
          <w:spacing w:val="12"/>
          <w:w w:val="105"/>
          <w:sz w:val="18"/>
        </w:rPr>
        <w:t xml:space="preserve"> </w:t>
      </w:r>
      <w:r w:rsidRPr="00283806">
        <w:rPr>
          <w:w w:val="105"/>
          <w:sz w:val="18"/>
        </w:rPr>
        <w:t>the</w:t>
      </w:r>
      <w:r w:rsidRPr="00283806">
        <w:rPr>
          <w:spacing w:val="13"/>
          <w:w w:val="105"/>
          <w:sz w:val="18"/>
        </w:rPr>
        <w:t xml:space="preserve"> </w:t>
      </w:r>
      <w:r w:rsidRPr="00283806">
        <w:rPr>
          <w:w w:val="105"/>
          <w:sz w:val="18"/>
        </w:rPr>
        <w:t>criteria</w:t>
      </w:r>
      <w:r w:rsidRPr="00283806">
        <w:rPr>
          <w:spacing w:val="13"/>
          <w:w w:val="105"/>
          <w:sz w:val="18"/>
        </w:rPr>
        <w:t xml:space="preserve"> </w:t>
      </w:r>
      <w:r w:rsidRPr="00283806">
        <w:rPr>
          <w:spacing w:val="-5"/>
          <w:w w:val="105"/>
          <w:sz w:val="18"/>
        </w:rPr>
        <w:t>in</w:t>
      </w:r>
    </w:p>
    <w:p w14:paraId="3FB0C515" w14:textId="77777777" w:rsidR="00D67C1E" w:rsidRPr="00283806" w:rsidRDefault="001265CA">
      <w:pPr>
        <w:pStyle w:val="BodyText"/>
        <w:spacing w:before="2" w:line="228" w:lineRule="auto"/>
        <w:ind w:left="144" w:right="19"/>
      </w:pPr>
      <w:r w:rsidRPr="00283806">
        <w:rPr>
          <w:w w:val="105"/>
        </w:rPr>
        <w:t>paragraphs</w:t>
      </w:r>
      <w:r w:rsidRPr="00283806">
        <w:rPr>
          <w:spacing w:val="-8"/>
          <w:w w:val="105"/>
        </w:rPr>
        <w:t xml:space="preserve"> </w:t>
      </w:r>
      <w:r w:rsidRPr="00283806">
        <w:rPr>
          <w:w w:val="105"/>
        </w:rPr>
        <w:t>(a)(1)</w:t>
      </w:r>
      <w:r w:rsidRPr="00283806">
        <w:rPr>
          <w:spacing w:val="-8"/>
          <w:w w:val="105"/>
        </w:rPr>
        <w:t xml:space="preserve"> </w:t>
      </w:r>
      <w:r w:rsidRPr="00283806">
        <w:rPr>
          <w:w w:val="105"/>
        </w:rPr>
        <w:t>and</w:t>
      </w:r>
      <w:r w:rsidRPr="00283806">
        <w:rPr>
          <w:spacing w:val="-8"/>
          <w:w w:val="105"/>
        </w:rPr>
        <w:t xml:space="preserve"> </w:t>
      </w:r>
      <w:r w:rsidRPr="00283806">
        <w:rPr>
          <w:w w:val="105"/>
        </w:rPr>
        <w:t>(2)</w:t>
      </w:r>
      <w:r w:rsidRPr="00283806">
        <w:rPr>
          <w:spacing w:val="-8"/>
          <w:w w:val="105"/>
        </w:rPr>
        <w:t xml:space="preserve"> </w:t>
      </w:r>
      <w:r w:rsidRPr="00283806">
        <w:rPr>
          <w:w w:val="105"/>
        </w:rPr>
        <w:t>of</w:t>
      </w:r>
      <w:r w:rsidRPr="00283806">
        <w:rPr>
          <w:spacing w:val="-8"/>
          <w:w w:val="105"/>
        </w:rPr>
        <w:t xml:space="preserve"> </w:t>
      </w:r>
      <w:r w:rsidRPr="00283806">
        <w:rPr>
          <w:w w:val="105"/>
        </w:rPr>
        <w:t>this</w:t>
      </w:r>
      <w:r w:rsidRPr="00283806">
        <w:rPr>
          <w:spacing w:val="-8"/>
          <w:w w:val="105"/>
        </w:rPr>
        <w:t xml:space="preserve"> </w:t>
      </w:r>
      <w:r w:rsidRPr="00283806">
        <w:rPr>
          <w:w w:val="105"/>
        </w:rPr>
        <w:t>section, the requirements of this section do not apply to:</w:t>
      </w:r>
    </w:p>
    <w:p w14:paraId="7B857FFB" w14:textId="77777777" w:rsidR="00D67C1E" w:rsidRPr="00283806" w:rsidRDefault="001265CA">
      <w:pPr>
        <w:pStyle w:val="ListParagraph"/>
        <w:numPr>
          <w:ilvl w:val="2"/>
          <w:numId w:val="32"/>
        </w:numPr>
        <w:tabs>
          <w:tab w:val="left" w:pos="552"/>
        </w:tabs>
        <w:spacing w:line="186" w:lineRule="exact"/>
        <w:ind w:left="552" w:hanging="228"/>
        <w:rPr>
          <w:sz w:val="18"/>
        </w:rPr>
      </w:pPr>
      <w:r w:rsidRPr="00283806">
        <w:rPr>
          <w:w w:val="110"/>
          <w:sz w:val="18"/>
        </w:rPr>
        <w:t>Appliances</w:t>
      </w:r>
      <w:r w:rsidRPr="00283806">
        <w:rPr>
          <w:spacing w:val="-5"/>
          <w:w w:val="110"/>
          <w:sz w:val="18"/>
        </w:rPr>
        <w:t xml:space="preserve"> </w:t>
      </w:r>
      <w:r w:rsidRPr="00283806">
        <w:rPr>
          <w:w w:val="110"/>
          <w:sz w:val="18"/>
        </w:rPr>
        <w:t>(as</w:t>
      </w:r>
      <w:r w:rsidRPr="00283806">
        <w:rPr>
          <w:spacing w:val="-5"/>
          <w:w w:val="110"/>
          <w:sz w:val="18"/>
        </w:rPr>
        <w:t xml:space="preserve"> </w:t>
      </w:r>
      <w:r w:rsidRPr="00283806">
        <w:rPr>
          <w:w w:val="110"/>
          <w:sz w:val="18"/>
        </w:rPr>
        <w:t>defined</w:t>
      </w:r>
      <w:r w:rsidRPr="00283806">
        <w:rPr>
          <w:spacing w:val="-4"/>
          <w:w w:val="110"/>
          <w:sz w:val="18"/>
        </w:rPr>
        <w:t xml:space="preserve"> </w:t>
      </w:r>
      <w:r w:rsidRPr="00283806">
        <w:rPr>
          <w:w w:val="110"/>
          <w:sz w:val="18"/>
        </w:rPr>
        <w:t>in</w:t>
      </w:r>
      <w:r w:rsidRPr="00283806">
        <w:rPr>
          <w:spacing w:val="-5"/>
          <w:w w:val="110"/>
          <w:sz w:val="18"/>
        </w:rPr>
        <w:t xml:space="preserve"> </w:t>
      </w:r>
      <w:r w:rsidRPr="00283806">
        <w:rPr>
          <w:w w:val="110"/>
          <w:sz w:val="18"/>
        </w:rPr>
        <w:t>40</w:t>
      </w:r>
      <w:r w:rsidRPr="00283806">
        <w:rPr>
          <w:spacing w:val="-4"/>
          <w:w w:val="110"/>
          <w:sz w:val="18"/>
        </w:rPr>
        <w:t xml:space="preserve"> </w:t>
      </w:r>
      <w:r w:rsidRPr="00283806">
        <w:rPr>
          <w:spacing w:val="-5"/>
          <w:w w:val="110"/>
          <w:sz w:val="18"/>
        </w:rPr>
        <w:t>CFR</w:t>
      </w:r>
    </w:p>
    <w:p w14:paraId="4B8BB9B8" w14:textId="77777777" w:rsidR="00D67C1E" w:rsidRPr="00283806" w:rsidRDefault="001265CA">
      <w:pPr>
        <w:pStyle w:val="BodyText"/>
        <w:spacing w:before="3" w:line="228" w:lineRule="auto"/>
        <w:ind w:left="144" w:right="19"/>
      </w:pPr>
      <w:r w:rsidRPr="00283806">
        <w:rPr>
          <w:w w:val="105"/>
        </w:rPr>
        <w:t>82.152) containing solely an ozone- depleting substance as listed in 40 CFR part 82, subpart A as a refrigerant;</w:t>
      </w:r>
    </w:p>
    <w:p w14:paraId="4A60934C" w14:textId="77777777" w:rsidR="00D67C1E" w:rsidRPr="00283806" w:rsidRDefault="001265CA">
      <w:pPr>
        <w:pStyle w:val="ListParagraph"/>
        <w:numPr>
          <w:ilvl w:val="2"/>
          <w:numId w:val="32"/>
        </w:numPr>
        <w:tabs>
          <w:tab w:val="left" w:pos="612"/>
        </w:tabs>
        <w:spacing w:line="186" w:lineRule="exact"/>
        <w:ind w:left="612" w:hanging="288"/>
        <w:rPr>
          <w:sz w:val="18"/>
        </w:rPr>
      </w:pPr>
      <w:r w:rsidRPr="00283806">
        <w:rPr>
          <w:w w:val="105"/>
          <w:sz w:val="18"/>
        </w:rPr>
        <w:t>Refrigerant-containing</w:t>
      </w:r>
      <w:r w:rsidRPr="00283806">
        <w:rPr>
          <w:spacing w:val="7"/>
          <w:w w:val="105"/>
          <w:sz w:val="18"/>
        </w:rPr>
        <w:t xml:space="preserve"> </w:t>
      </w:r>
      <w:r w:rsidRPr="00283806">
        <w:rPr>
          <w:spacing w:val="-2"/>
          <w:w w:val="105"/>
          <w:sz w:val="18"/>
        </w:rPr>
        <w:t>appliances</w:t>
      </w:r>
    </w:p>
    <w:p w14:paraId="75FFA113" w14:textId="77777777" w:rsidR="00D67C1E" w:rsidRPr="00283806" w:rsidRDefault="001265CA">
      <w:pPr>
        <w:pStyle w:val="BodyText"/>
        <w:spacing w:before="3" w:line="228" w:lineRule="auto"/>
        <w:ind w:left="144" w:right="19"/>
      </w:pPr>
      <w:r w:rsidRPr="00283806">
        <w:rPr>
          <w:w w:val="105"/>
        </w:rPr>
        <w:t xml:space="preserve">used for </w:t>
      </w:r>
      <w:proofErr w:type="gramStart"/>
      <w:r w:rsidRPr="00283806">
        <w:rPr>
          <w:w w:val="105"/>
        </w:rPr>
        <w:t>the residential</w:t>
      </w:r>
      <w:proofErr w:type="gramEnd"/>
      <w:r w:rsidRPr="00283806">
        <w:rPr>
          <w:w w:val="105"/>
        </w:rPr>
        <w:t xml:space="preserve"> and light commercial air conditioning and heat pump subsector.</w:t>
      </w:r>
    </w:p>
    <w:p w14:paraId="6AD34744" w14:textId="77777777" w:rsidR="00D67C1E" w:rsidRPr="00283806" w:rsidRDefault="001265CA">
      <w:pPr>
        <w:pStyle w:val="ListParagraph"/>
        <w:numPr>
          <w:ilvl w:val="1"/>
          <w:numId w:val="32"/>
        </w:numPr>
        <w:tabs>
          <w:tab w:val="left" w:pos="592"/>
        </w:tabs>
        <w:spacing w:line="186" w:lineRule="exact"/>
        <w:ind w:left="592" w:hanging="268"/>
        <w:rPr>
          <w:sz w:val="18"/>
        </w:rPr>
      </w:pPr>
      <w:r w:rsidRPr="00283806">
        <w:rPr>
          <w:w w:val="105"/>
          <w:sz w:val="18"/>
        </w:rPr>
        <w:t>The</w:t>
      </w:r>
      <w:r w:rsidRPr="00283806">
        <w:rPr>
          <w:spacing w:val="5"/>
          <w:w w:val="105"/>
          <w:sz w:val="18"/>
        </w:rPr>
        <w:t xml:space="preserve"> </w:t>
      </w:r>
      <w:r w:rsidRPr="00283806">
        <w:rPr>
          <w:w w:val="105"/>
          <w:sz w:val="18"/>
        </w:rPr>
        <w:t>requirements</w:t>
      </w:r>
      <w:r w:rsidRPr="00283806">
        <w:rPr>
          <w:spacing w:val="6"/>
          <w:w w:val="105"/>
          <w:sz w:val="18"/>
        </w:rPr>
        <w:t xml:space="preserve"> </w:t>
      </w:r>
      <w:r w:rsidRPr="00283806">
        <w:rPr>
          <w:w w:val="105"/>
          <w:sz w:val="18"/>
        </w:rPr>
        <w:t>of</w:t>
      </w:r>
      <w:r w:rsidRPr="00283806">
        <w:rPr>
          <w:spacing w:val="6"/>
          <w:w w:val="105"/>
          <w:sz w:val="18"/>
        </w:rPr>
        <w:t xml:space="preserve"> </w:t>
      </w:r>
      <w:r w:rsidRPr="00283806">
        <w:rPr>
          <w:w w:val="105"/>
          <w:sz w:val="18"/>
        </w:rPr>
        <w:t>this</w:t>
      </w:r>
      <w:r w:rsidRPr="00283806">
        <w:rPr>
          <w:spacing w:val="6"/>
          <w:w w:val="105"/>
          <w:sz w:val="18"/>
        </w:rPr>
        <w:t xml:space="preserve"> </w:t>
      </w:r>
      <w:r w:rsidRPr="00283806">
        <w:rPr>
          <w:spacing w:val="-2"/>
          <w:w w:val="105"/>
          <w:sz w:val="18"/>
        </w:rPr>
        <w:t>section</w:t>
      </w:r>
    </w:p>
    <w:p w14:paraId="4661F529" w14:textId="77777777" w:rsidR="00D67C1E" w:rsidRPr="00283806" w:rsidRDefault="001265CA">
      <w:pPr>
        <w:pStyle w:val="BodyText"/>
        <w:spacing w:line="195" w:lineRule="exact"/>
        <w:ind w:left="144"/>
      </w:pPr>
      <w:r w:rsidRPr="00283806">
        <w:rPr>
          <w:w w:val="105"/>
        </w:rPr>
        <w:t>apply</w:t>
      </w:r>
      <w:r w:rsidRPr="00283806">
        <w:rPr>
          <w:spacing w:val="10"/>
          <w:w w:val="105"/>
        </w:rPr>
        <w:t xml:space="preserve"> </w:t>
      </w:r>
      <w:r w:rsidRPr="00283806">
        <w:rPr>
          <w:w w:val="105"/>
        </w:rPr>
        <w:t>as</w:t>
      </w:r>
      <w:r w:rsidRPr="00283806">
        <w:rPr>
          <w:spacing w:val="11"/>
          <w:w w:val="105"/>
        </w:rPr>
        <w:t xml:space="preserve"> </w:t>
      </w:r>
      <w:r w:rsidRPr="00283806">
        <w:rPr>
          <w:w w:val="105"/>
        </w:rPr>
        <w:t>of</w:t>
      </w:r>
      <w:r w:rsidRPr="00283806">
        <w:rPr>
          <w:spacing w:val="11"/>
          <w:w w:val="105"/>
        </w:rPr>
        <w:t xml:space="preserve"> </w:t>
      </w:r>
      <w:r w:rsidRPr="00283806">
        <w:rPr>
          <w:w w:val="105"/>
        </w:rPr>
        <w:t>January</w:t>
      </w:r>
      <w:r w:rsidRPr="00283806">
        <w:rPr>
          <w:spacing w:val="11"/>
          <w:w w:val="105"/>
        </w:rPr>
        <w:t xml:space="preserve"> </w:t>
      </w:r>
      <w:r w:rsidRPr="00283806">
        <w:rPr>
          <w:w w:val="105"/>
        </w:rPr>
        <w:t>1,</w:t>
      </w:r>
      <w:r w:rsidRPr="00283806">
        <w:rPr>
          <w:spacing w:val="11"/>
          <w:w w:val="105"/>
        </w:rPr>
        <w:t xml:space="preserve"> </w:t>
      </w:r>
      <w:r w:rsidRPr="00283806">
        <w:rPr>
          <w:spacing w:val="-2"/>
          <w:w w:val="105"/>
        </w:rPr>
        <w:t>2026.</w:t>
      </w:r>
    </w:p>
    <w:p w14:paraId="370710AB" w14:textId="77777777" w:rsidR="00D67C1E" w:rsidRPr="00283806" w:rsidRDefault="001265CA">
      <w:pPr>
        <w:pStyle w:val="ListParagraph"/>
        <w:numPr>
          <w:ilvl w:val="0"/>
          <w:numId w:val="32"/>
        </w:numPr>
        <w:tabs>
          <w:tab w:val="left" w:pos="592"/>
        </w:tabs>
        <w:spacing w:line="225" w:lineRule="auto"/>
        <w:ind w:left="145" w:right="48" w:firstLine="179"/>
        <w:rPr>
          <w:sz w:val="18"/>
        </w:rPr>
      </w:pPr>
      <w:r w:rsidRPr="00283806">
        <w:rPr>
          <w:rFonts w:ascii="Book Antiqua"/>
          <w:i/>
          <w:w w:val="105"/>
          <w:sz w:val="18"/>
        </w:rPr>
        <w:t xml:space="preserve">Leak rate calculation. </w:t>
      </w:r>
      <w:proofErr w:type="gramStart"/>
      <w:r w:rsidRPr="00283806">
        <w:rPr>
          <w:w w:val="105"/>
          <w:sz w:val="18"/>
        </w:rPr>
        <w:t>Persons</w:t>
      </w:r>
      <w:proofErr w:type="gramEnd"/>
      <w:r w:rsidRPr="00283806">
        <w:rPr>
          <w:w w:val="105"/>
          <w:sz w:val="18"/>
        </w:rPr>
        <w:t xml:space="preserve"> adding or removing refrigerant from a refrigerant-containing appliance must, upon conclusion of that installation, service, repair, or disposal, provide the owner or operator with documentation that meets the applicable requirements of paragraph (l)(2) of this section. The owner or operator must calculate the leak</w:t>
      </w:r>
      <w:r w:rsidRPr="00283806">
        <w:rPr>
          <w:spacing w:val="-2"/>
          <w:w w:val="105"/>
          <w:sz w:val="18"/>
        </w:rPr>
        <w:t xml:space="preserve"> </w:t>
      </w:r>
      <w:r w:rsidRPr="00283806">
        <w:rPr>
          <w:w w:val="105"/>
          <w:sz w:val="18"/>
        </w:rPr>
        <w:t>rate</w:t>
      </w:r>
      <w:r w:rsidRPr="00283806">
        <w:rPr>
          <w:spacing w:val="-2"/>
          <w:w w:val="105"/>
          <w:sz w:val="18"/>
        </w:rPr>
        <w:t xml:space="preserve"> </w:t>
      </w:r>
      <w:r w:rsidRPr="00283806">
        <w:rPr>
          <w:w w:val="105"/>
          <w:sz w:val="18"/>
        </w:rPr>
        <w:t>every</w:t>
      </w:r>
      <w:r w:rsidRPr="00283806">
        <w:rPr>
          <w:spacing w:val="-2"/>
          <w:w w:val="105"/>
          <w:sz w:val="18"/>
        </w:rPr>
        <w:t xml:space="preserve"> </w:t>
      </w:r>
      <w:r w:rsidRPr="00283806">
        <w:rPr>
          <w:w w:val="105"/>
          <w:sz w:val="18"/>
        </w:rPr>
        <w:t>time</w:t>
      </w:r>
      <w:r w:rsidRPr="00283806">
        <w:rPr>
          <w:spacing w:val="-2"/>
          <w:w w:val="105"/>
          <w:sz w:val="18"/>
        </w:rPr>
        <w:t xml:space="preserve"> </w:t>
      </w:r>
      <w:r w:rsidRPr="00283806">
        <w:rPr>
          <w:w w:val="105"/>
          <w:sz w:val="18"/>
        </w:rPr>
        <w:t>refrigerant</w:t>
      </w:r>
      <w:r w:rsidRPr="00283806">
        <w:rPr>
          <w:spacing w:val="-2"/>
          <w:w w:val="105"/>
          <w:sz w:val="18"/>
        </w:rPr>
        <w:t xml:space="preserve"> </w:t>
      </w:r>
      <w:r w:rsidRPr="00283806">
        <w:rPr>
          <w:w w:val="105"/>
          <w:sz w:val="18"/>
        </w:rPr>
        <w:t>is</w:t>
      </w:r>
      <w:r w:rsidRPr="00283806">
        <w:rPr>
          <w:spacing w:val="-2"/>
          <w:w w:val="105"/>
          <w:sz w:val="18"/>
        </w:rPr>
        <w:t xml:space="preserve"> </w:t>
      </w:r>
      <w:r w:rsidRPr="00283806">
        <w:rPr>
          <w:w w:val="105"/>
          <w:sz w:val="18"/>
        </w:rPr>
        <w:t>added to an appliance unless the addition is made immediately following a retrofit, installation of a new refrigerant- containing appliance, or qualifies as a seasonal variance.</w:t>
      </w:r>
    </w:p>
    <w:p w14:paraId="251743BE" w14:textId="77777777" w:rsidR="00D67C1E" w:rsidRPr="00283806" w:rsidRDefault="001265CA">
      <w:pPr>
        <w:pStyle w:val="ListParagraph"/>
        <w:numPr>
          <w:ilvl w:val="1"/>
          <w:numId w:val="32"/>
        </w:numPr>
        <w:tabs>
          <w:tab w:val="left" w:pos="593"/>
        </w:tabs>
        <w:spacing w:before="2" w:line="228" w:lineRule="auto"/>
        <w:ind w:left="145" w:right="197" w:firstLine="180"/>
        <w:rPr>
          <w:sz w:val="18"/>
        </w:rPr>
      </w:pPr>
      <w:r w:rsidRPr="00283806">
        <w:rPr>
          <w:w w:val="105"/>
          <w:sz w:val="18"/>
        </w:rPr>
        <w:t>Where an owner or operator is using the annualizing method to calculate a leak rate for a refrigerant- containing appliance for the first time</w:t>
      </w:r>
    </w:p>
    <w:p w14:paraId="088E9EC7" w14:textId="77777777" w:rsidR="00D67C1E" w:rsidRPr="00283806" w:rsidRDefault="001265CA">
      <w:pPr>
        <w:pStyle w:val="BodyText"/>
        <w:spacing w:before="134" w:line="228" w:lineRule="auto"/>
        <w:ind w:right="286"/>
      </w:pPr>
      <w:r w:rsidRPr="00283806">
        <w:br w:type="column"/>
      </w:r>
      <w:r w:rsidRPr="00283806">
        <w:rPr>
          <w:w w:val="105"/>
        </w:rPr>
        <w:t xml:space="preserve">after January 1, 2026, the calculation should substitute 365 days as the number of days since </w:t>
      </w:r>
      <w:proofErr w:type="gramStart"/>
      <w:r w:rsidRPr="00283806">
        <w:rPr>
          <w:w w:val="105"/>
        </w:rPr>
        <w:t>last</w:t>
      </w:r>
      <w:proofErr w:type="gramEnd"/>
      <w:r w:rsidRPr="00283806">
        <w:rPr>
          <w:w w:val="105"/>
        </w:rPr>
        <w:t xml:space="preserve"> refrigerant </w:t>
      </w:r>
      <w:r w:rsidRPr="00283806">
        <w:rPr>
          <w:spacing w:val="-2"/>
          <w:w w:val="105"/>
        </w:rPr>
        <w:t>addition.</w:t>
      </w:r>
    </w:p>
    <w:p w14:paraId="626DE818" w14:textId="77777777" w:rsidR="00D67C1E" w:rsidRPr="00283806" w:rsidRDefault="001265CA">
      <w:pPr>
        <w:pStyle w:val="ListParagraph"/>
        <w:numPr>
          <w:ilvl w:val="1"/>
          <w:numId w:val="32"/>
        </w:numPr>
        <w:tabs>
          <w:tab w:val="left" w:pos="608"/>
        </w:tabs>
        <w:spacing w:before="2" w:line="228" w:lineRule="auto"/>
        <w:ind w:left="160" w:right="261" w:firstLine="180"/>
        <w:rPr>
          <w:sz w:val="18"/>
        </w:rPr>
      </w:pPr>
      <w:r w:rsidRPr="00283806">
        <w:rPr>
          <w:w w:val="105"/>
          <w:sz w:val="18"/>
        </w:rPr>
        <w:t>Where an owner or operator is using the rolling average method to calculate a leak rate for a refrigerant- containing appliance for the first time after January 1, 2026, the calculation should substitute pounds of refrigerant added since January 1, 2026.</w:t>
      </w:r>
    </w:p>
    <w:p w14:paraId="2D6DDC94" w14:textId="77777777" w:rsidR="00D67C1E" w:rsidRPr="00283806" w:rsidRDefault="001265CA">
      <w:pPr>
        <w:pStyle w:val="ListParagraph"/>
        <w:numPr>
          <w:ilvl w:val="1"/>
          <w:numId w:val="32"/>
        </w:numPr>
        <w:tabs>
          <w:tab w:val="left" w:pos="608"/>
        </w:tabs>
        <w:spacing w:before="1" w:line="228" w:lineRule="auto"/>
        <w:ind w:left="160" w:right="252" w:firstLine="180"/>
        <w:rPr>
          <w:sz w:val="18"/>
        </w:rPr>
      </w:pPr>
      <w:r w:rsidRPr="00283806">
        <w:rPr>
          <w:w w:val="105"/>
          <w:sz w:val="18"/>
        </w:rPr>
        <w:t>An owner or operator may switch to a different leak rate calculation methodology only if the following requirements are met:</w:t>
      </w:r>
    </w:p>
    <w:p w14:paraId="6AB3D6E8" w14:textId="77777777" w:rsidR="00D67C1E" w:rsidRPr="00283806" w:rsidRDefault="001265CA">
      <w:pPr>
        <w:pStyle w:val="ListParagraph"/>
        <w:numPr>
          <w:ilvl w:val="2"/>
          <w:numId w:val="32"/>
        </w:numPr>
        <w:tabs>
          <w:tab w:val="left" w:pos="568"/>
        </w:tabs>
        <w:spacing w:before="2" w:line="228" w:lineRule="auto"/>
        <w:ind w:left="160" w:right="260" w:firstLine="180"/>
        <w:rPr>
          <w:sz w:val="18"/>
        </w:rPr>
      </w:pPr>
      <w:r w:rsidRPr="00283806">
        <w:rPr>
          <w:w w:val="105"/>
          <w:sz w:val="18"/>
        </w:rPr>
        <w:t>The owner or operator has purchased or otherwise acquired an operating facility with one or more refrigerant-containing appliance(s) which was previously using a different leak rate calculation methodology than the methodology being used at other facilities owned or operated by the owner or operator;</w:t>
      </w:r>
    </w:p>
    <w:p w14:paraId="10486484" w14:textId="77777777" w:rsidR="00D67C1E" w:rsidRPr="00283806" w:rsidRDefault="001265CA">
      <w:pPr>
        <w:pStyle w:val="ListParagraph"/>
        <w:numPr>
          <w:ilvl w:val="2"/>
          <w:numId w:val="32"/>
        </w:numPr>
        <w:tabs>
          <w:tab w:val="left" w:pos="628"/>
        </w:tabs>
        <w:spacing w:line="228" w:lineRule="auto"/>
        <w:ind w:left="160" w:right="181" w:firstLine="180"/>
        <w:rPr>
          <w:sz w:val="18"/>
        </w:rPr>
      </w:pPr>
      <w:r w:rsidRPr="00283806">
        <w:rPr>
          <w:w w:val="105"/>
          <w:sz w:val="18"/>
        </w:rPr>
        <w:t>The owner or operator has determined the refrigerant-containing appliance(s) at any operating facility for which the leak rate calculation methodology would change are not exceeding the applicable leak rate in paragraph (c)(2) of this section under either of the leak rate calculation methodologies ; and</w:t>
      </w:r>
    </w:p>
    <w:p w14:paraId="4444D473" w14:textId="77777777" w:rsidR="00D67C1E" w:rsidRPr="00283806" w:rsidRDefault="001265CA">
      <w:pPr>
        <w:pStyle w:val="ListParagraph"/>
        <w:numPr>
          <w:ilvl w:val="2"/>
          <w:numId w:val="32"/>
        </w:numPr>
        <w:tabs>
          <w:tab w:val="left" w:pos="688"/>
        </w:tabs>
        <w:spacing w:line="228" w:lineRule="auto"/>
        <w:ind w:left="160" w:right="561" w:firstLine="180"/>
        <w:rPr>
          <w:sz w:val="18"/>
        </w:rPr>
      </w:pPr>
      <w:r w:rsidRPr="00283806">
        <w:rPr>
          <w:w w:val="105"/>
          <w:sz w:val="18"/>
        </w:rPr>
        <w:t>The owner or operator must retain a record of this change as described</w:t>
      </w:r>
      <w:r w:rsidRPr="00283806">
        <w:rPr>
          <w:spacing w:val="-6"/>
          <w:w w:val="105"/>
          <w:sz w:val="18"/>
        </w:rPr>
        <w:t xml:space="preserve"> </w:t>
      </w:r>
      <w:r w:rsidRPr="00283806">
        <w:rPr>
          <w:w w:val="105"/>
          <w:sz w:val="18"/>
        </w:rPr>
        <w:t>in</w:t>
      </w:r>
      <w:r w:rsidRPr="00283806">
        <w:rPr>
          <w:spacing w:val="-6"/>
          <w:w w:val="105"/>
          <w:sz w:val="18"/>
        </w:rPr>
        <w:t xml:space="preserve"> </w:t>
      </w:r>
      <w:r w:rsidRPr="00283806">
        <w:rPr>
          <w:w w:val="105"/>
          <w:sz w:val="18"/>
        </w:rPr>
        <w:t>paragraph</w:t>
      </w:r>
      <w:r w:rsidRPr="00283806">
        <w:rPr>
          <w:spacing w:val="-6"/>
          <w:w w:val="105"/>
          <w:sz w:val="18"/>
        </w:rPr>
        <w:t xml:space="preserve"> </w:t>
      </w:r>
      <w:r w:rsidRPr="00283806">
        <w:rPr>
          <w:w w:val="105"/>
          <w:sz w:val="18"/>
        </w:rPr>
        <w:t>(l)(3)</w:t>
      </w:r>
      <w:r w:rsidRPr="00283806">
        <w:rPr>
          <w:spacing w:val="-6"/>
          <w:w w:val="105"/>
          <w:sz w:val="18"/>
        </w:rPr>
        <w:t xml:space="preserve"> </w:t>
      </w:r>
      <w:r w:rsidRPr="00283806">
        <w:rPr>
          <w:w w:val="105"/>
          <w:sz w:val="18"/>
        </w:rPr>
        <w:t>of</w:t>
      </w:r>
      <w:r w:rsidRPr="00283806">
        <w:rPr>
          <w:spacing w:val="-6"/>
          <w:w w:val="105"/>
          <w:sz w:val="18"/>
        </w:rPr>
        <w:t xml:space="preserve"> </w:t>
      </w:r>
      <w:r w:rsidRPr="00283806">
        <w:rPr>
          <w:w w:val="105"/>
          <w:sz w:val="18"/>
        </w:rPr>
        <w:t xml:space="preserve">this </w:t>
      </w:r>
      <w:r w:rsidRPr="00283806">
        <w:rPr>
          <w:spacing w:val="-2"/>
          <w:w w:val="105"/>
          <w:sz w:val="18"/>
        </w:rPr>
        <w:t>section.</w:t>
      </w:r>
    </w:p>
    <w:p w14:paraId="1F9717F8" w14:textId="77777777" w:rsidR="00D67C1E" w:rsidRPr="00283806" w:rsidRDefault="001265CA">
      <w:pPr>
        <w:pStyle w:val="ListParagraph"/>
        <w:numPr>
          <w:ilvl w:val="0"/>
          <w:numId w:val="32"/>
        </w:numPr>
        <w:tabs>
          <w:tab w:val="left" w:pos="598"/>
        </w:tabs>
        <w:spacing w:before="2" w:line="225" w:lineRule="auto"/>
        <w:ind w:left="160" w:right="192" w:firstLine="180"/>
        <w:rPr>
          <w:sz w:val="18"/>
        </w:rPr>
      </w:pPr>
      <w:r w:rsidRPr="00283806">
        <w:rPr>
          <w:rFonts w:ascii="Book Antiqua"/>
          <w:i/>
          <w:w w:val="105"/>
          <w:sz w:val="18"/>
        </w:rPr>
        <w:t>Requirement to address leaks</w:t>
      </w:r>
      <w:r w:rsidRPr="00283806">
        <w:rPr>
          <w:rFonts w:ascii="Book Antiqua"/>
          <w:i/>
          <w:spacing w:val="40"/>
          <w:w w:val="105"/>
          <w:sz w:val="18"/>
        </w:rPr>
        <w:t xml:space="preserve"> </w:t>
      </w:r>
      <w:r w:rsidRPr="00283806">
        <w:rPr>
          <w:rFonts w:ascii="Book Antiqua"/>
          <w:i/>
          <w:w w:val="105"/>
          <w:sz w:val="18"/>
        </w:rPr>
        <w:t>through</w:t>
      </w:r>
      <w:r w:rsidRPr="00283806">
        <w:rPr>
          <w:rFonts w:ascii="Book Antiqua"/>
          <w:i/>
          <w:spacing w:val="30"/>
          <w:w w:val="105"/>
          <w:sz w:val="18"/>
        </w:rPr>
        <w:t xml:space="preserve"> </w:t>
      </w:r>
      <w:proofErr w:type="gramStart"/>
      <w:r w:rsidRPr="00283806">
        <w:rPr>
          <w:rFonts w:ascii="Book Antiqua"/>
          <w:i/>
          <w:w w:val="105"/>
          <w:sz w:val="18"/>
        </w:rPr>
        <w:t>repair,</w:t>
      </w:r>
      <w:r w:rsidRPr="00283806">
        <w:rPr>
          <w:rFonts w:ascii="Book Antiqua"/>
          <w:i/>
          <w:spacing w:val="30"/>
          <w:w w:val="105"/>
          <w:sz w:val="18"/>
        </w:rPr>
        <w:t xml:space="preserve"> </w:t>
      </w:r>
      <w:r w:rsidRPr="00283806">
        <w:rPr>
          <w:rFonts w:ascii="Book Antiqua"/>
          <w:i/>
          <w:w w:val="105"/>
          <w:sz w:val="18"/>
        </w:rPr>
        <w:t>or</w:t>
      </w:r>
      <w:proofErr w:type="gramEnd"/>
      <w:r w:rsidRPr="00283806">
        <w:rPr>
          <w:rFonts w:ascii="Book Antiqua"/>
          <w:i/>
          <w:spacing w:val="30"/>
          <w:w w:val="105"/>
          <w:sz w:val="18"/>
        </w:rPr>
        <w:t xml:space="preserve"> </w:t>
      </w:r>
      <w:r w:rsidRPr="00283806">
        <w:rPr>
          <w:rFonts w:ascii="Book Antiqua"/>
          <w:i/>
          <w:w w:val="105"/>
          <w:sz w:val="18"/>
        </w:rPr>
        <w:t>retrofitting</w:t>
      </w:r>
      <w:r w:rsidRPr="00283806">
        <w:rPr>
          <w:rFonts w:ascii="Book Antiqua"/>
          <w:i/>
          <w:spacing w:val="30"/>
          <w:w w:val="105"/>
          <w:sz w:val="18"/>
        </w:rPr>
        <w:t xml:space="preserve"> </w:t>
      </w:r>
      <w:r w:rsidRPr="00283806">
        <w:rPr>
          <w:rFonts w:ascii="Book Antiqua"/>
          <w:i/>
          <w:w w:val="105"/>
          <w:sz w:val="18"/>
        </w:rPr>
        <w:t>or</w:t>
      </w:r>
      <w:r w:rsidRPr="00283806">
        <w:rPr>
          <w:rFonts w:ascii="Book Antiqua"/>
          <w:i/>
          <w:spacing w:val="30"/>
          <w:w w:val="105"/>
          <w:sz w:val="18"/>
        </w:rPr>
        <w:t xml:space="preserve"> </w:t>
      </w:r>
      <w:r w:rsidRPr="00283806">
        <w:rPr>
          <w:rFonts w:ascii="Book Antiqua"/>
          <w:i/>
          <w:w w:val="105"/>
          <w:sz w:val="18"/>
        </w:rPr>
        <w:t xml:space="preserve">retiring a refrigerant-containing appliance. </w:t>
      </w:r>
      <w:r w:rsidRPr="00283806">
        <w:rPr>
          <w:w w:val="105"/>
          <w:sz w:val="18"/>
        </w:rPr>
        <w:t>(1)</w:t>
      </w:r>
      <w:r w:rsidRPr="00283806">
        <w:rPr>
          <w:spacing w:val="40"/>
          <w:w w:val="105"/>
          <w:sz w:val="18"/>
        </w:rPr>
        <w:t xml:space="preserve"> </w:t>
      </w:r>
      <w:r w:rsidRPr="00283806">
        <w:rPr>
          <w:w w:val="105"/>
          <w:sz w:val="18"/>
        </w:rPr>
        <w:t>Owners or operators must repair leaks</w:t>
      </w:r>
      <w:r w:rsidRPr="00283806">
        <w:rPr>
          <w:spacing w:val="40"/>
          <w:w w:val="105"/>
          <w:sz w:val="18"/>
        </w:rPr>
        <w:t xml:space="preserve"> </w:t>
      </w:r>
      <w:r w:rsidRPr="00283806">
        <w:rPr>
          <w:w w:val="105"/>
          <w:sz w:val="18"/>
        </w:rPr>
        <w:t>in refrigerant-containing appliances</w:t>
      </w:r>
      <w:r w:rsidRPr="00283806">
        <w:rPr>
          <w:spacing w:val="40"/>
          <w:w w:val="105"/>
          <w:sz w:val="18"/>
        </w:rPr>
        <w:t xml:space="preserve"> </w:t>
      </w:r>
      <w:r w:rsidRPr="00283806">
        <w:rPr>
          <w:w w:val="105"/>
          <w:sz w:val="18"/>
        </w:rPr>
        <w:t>with a leak rate over the applicable leak rate in this paragraph in accordance</w:t>
      </w:r>
      <w:r w:rsidRPr="00283806">
        <w:rPr>
          <w:spacing w:val="40"/>
          <w:w w:val="105"/>
          <w:sz w:val="18"/>
        </w:rPr>
        <w:t xml:space="preserve"> </w:t>
      </w:r>
      <w:r w:rsidRPr="00283806">
        <w:rPr>
          <w:w w:val="105"/>
          <w:sz w:val="18"/>
        </w:rPr>
        <w:t>with paragraphs (d) through (f) of this section unless the owner or operator elects</w:t>
      </w:r>
      <w:r w:rsidRPr="00283806">
        <w:rPr>
          <w:spacing w:val="-10"/>
          <w:w w:val="105"/>
          <w:sz w:val="18"/>
        </w:rPr>
        <w:t xml:space="preserve"> </w:t>
      </w:r>
      <w:r w:rsidRPr="00283806">
        <w:rPr>
          <w:w w:val="105"/>
          <w:sz w:val="18"/>
        </w:rPr>
        <w:t>to</w:t>
      </w:r>
      <w:r w:rsidRPr="00283806">
        <w:rPr>
          <w:spacing w:val="-10"/>
          <w:w w:val="105"/>
          <w:sz w:val="18"/>
        </w:rPr>
        <w:t xml:space="preserve"> </w:t>
      </w:r>
      <w:r w:rsidRPr="00283806">
        <w:rPr>
          <w:w w:val="105"/>
          <w:sz w:val="18"/>
        </w:rPr>
        <w:t>retrofit</w:t>
      </w:r>
      <w:r w:rsidRPr="00283806">
        <w:rPr>
          <w:spacing w:val="-10"/>
          <w:w w:val="105"/>
          <w:sz w:val="18"/>
        </w:rPr>
        <w:t xml:space="preserve"> </w:t>
      </w:r>
      <w:r w:rsidRPr="00283806">
        <w:rPr>
          <w:w w:val="105"/>
          <w:sz w:val="18"/>
        </w:rPr>
        <w:t>or</w:t>
      </w:r>
      <w:r w:rsidRPr="00283806">
        <w:rPr>
          <w:spacing w:val="-10"/>
          <w:w w:val="105"/>
          <w:sz w:val="18"/>
        </w:rPr>
        <w:t xml:space="preserve"> </w:t>
      </w:r>
      <w:r w:rsidRPr="00283806">
        <w:rPr>
          <w:w w:val="105"/>
          <w:sz w:val="18"/>
        </w:rPr>
        <w:t>retire</w:t>
      </w:r>
      <w:r w:rsidRPr="00283806">
        <w:rPr>
          <w:spacing w:val="-10"/>
          <w:w w:val="105"/>
          <w:sz w:val="18"/>
        </w:rPr>
        <w:t xml:space="preserve"> </w:t>
      </w:r>
      <w:r w:rsidRPr="00283806">
        <w:rPr>
          <w:w w:val="105"/>
          <w:sz w:val="18"/>
        </w:rPr>
        <w:t>the</w:t>
      </w:r>
      <w:r w:rsidRPr="00283806">
        <w:rPr>
          <w:spacing w:val="-10"/>
          <w:w w:val="105"/>
          <w:sz w:val="18"/>
        </w:rPr>
        <w:t xml:space="preserve"> </w:t>
      </w:r>
      <w:r w:rsidRPr="00283806">
        <w:rPr>
          <w:w w:val="105"/>
          <w:sz w:val="18"/>
        </w:rPr>
        <w:t>refrigerant- containing appliance in compliance</w:t>
      </w:r>
      <w:r w:rsidRPr="00283806">
        <w:rPr>
          <w:spacing w:val="80"/>
          <w:w w:val="105"/>
          <w:sz w:val="18"/>
        </w:rPr>
        <w:t xml:space="preserve"> </w:t>
      </w:r>
      <w:r w:rsidRPr="00283806">
        <w:rPr>
          <w:w w:val="105"/>
          <w:sz w:val="18"/>
        </w:rPr>
        <w:t>with paragraphs (h) and (i) of this section. If the owner or operator elects</w:t>
      </w:r>
      <w:r w:rsidRPr="00283806">
        <w:rPr>
          <w:spacing w:val="40"/>
          <w:w w:val="105"/>
          <w:sz w:val="18"/>
        </w:rPr>
        <w:t xml:space="preserve"> </w:t>
      </w:r>
      <w:r w:rsidRPr="00283806">
        <w:rPr>
          <w:w w:val="105"/>
          <w:sz w:val="18"/>
        </w:rPr>
        <w:t>to repair leaks but fails to bring the leak rate below the applicable leak rate, the owner or operator must create and implement a retrofit or retirement plan in accordance with paragraphs (h) and</w:t>
      </w:r>
    </w:p>
    <w:p w14:paraId="027F56EB" w14:textId="77777777" w:rsidR="00D67C1E" w:rsidRPr="00283806" w:rsidRDefault="001265CA">
      <w:pPr>
        <w:pStyle w:val="BodyText"/>
        <w:spacing w:before="2" w:line="228" w:lineRule="auto"/>
        <w:ind w:right="286"/>
      </w:pPr>
      <w:r w:rsidRPr="00283806">
        <w:rPr>
          <w:w w:val="110"/>
        </w:rPr>
        <w:t>(i) of this section. Repairs must be conducted</w:t>
      </w:r>
      <w:r w:rsidRPr="00283806">
        <w:rPr>
          <w:spacing w:val="-11"/>
          <w:w w:val="110"/>
        </w:rPr>
        <w:t xml:space="preserve"> </w:t>
      </w:r>
      <w:r w:rsidRPr="00283806">
        <w:rPr>
          <w:w w:val="110"/>
        </w:rPr>
        <w:t>by</w:t>
      </w:r>
      <w:r w:rsidRPr="00283806">
        <w:rPr>
          <w:spacing w:val="-11"/>
          <w:w w:val="110"/>
        </w:rPr>
        <w:t xml:space="preserve"> </w:t>
      </w:r>
      <w:r w:rsidRPr="00283806">
        <w:rPr>
          <w:w w:val="110"/>
        </w:rPr>
        <w:t>a</w:t>
      </w:r>
      <w:r w:rsidRPr="00283806">
        <w:rPr>
          <w:spacing w:val="-11"/>
          <w:w w:val="110"/>
        </w:rPr>
        <w:t xml:space="preserve"> </w:t>
      </w:r>
      <w:r w:rsidRPr="00283806">
        <w:rPr>
          <w:w w:val="110"/>
        </w:rPr>
        <w:t>certified</w:t>
      </w:r>
      <w:r w:rsidRPr="00283806">
        <w:rPr>
          <w:spacing w:val="-11"/>
          <w:w w:val="110"/>
        </w:rPr>
        <w:t xml:space="preserve"> </w:t>
      </w:r>
      <w:r w:rsidRPr="00283806">
        <w:rPr>
          <w:w w:val="110"/>
        </w:rPr>
        <w:t>technician,</w:t>
      </w:r>
      <w:r w:rsidRPr="00283806">
        <w:rPr>
          <w:spacing w:val="-11"/>
          <w:w w:val="110"/>
        </w:rPr>
        <w:t xml:space="preserve"> </w:t>
      </w:r>
      <w:r w:rsidRPr="00283806">
        <w:rPr>
          <w:w w:val="110"/>
        </w:rPr>
        <w:t>as defined in this subpart.</w:t>
      </w:r>
    </w:p>
    <w:p w14:paraId="6A363655" w14:textId="77777777" w:rsidR="00D67C1E" w:rsidRPr="00283806" w:rsidRDefault="001265CA">
      <w:pPr>
        <w:pStyle w:val="BodyText"/>
        <w:spacing w:line="201" w:lineRule="exact"/>
        <w:ind w:left="340"/>
      </w:pPr>
      <w:r w:rsidRPr="00283806">
        <w:t>(2)</w:t>
      </w:r>
      <w:r w:rsidRPr="00283806">
        <w:rPr>
          <w:spacing w:val="10"/>
        </w:rPr>
        <w:t xml:space="preserve"> </w:t>
      </w:r>
      <w:r w:rsidRPr="00283806">
        <w:t>Leak</w:t>
      </w:r>
      <w:r w:rsidRPr="00283806">
        <w:rPr>
          <w:spacing w:val="11"/>
        </w:rPr>
        <w:t xml:space="preserve"> </w:t>
      </w:r>
      <w:r w:rsidRPr="00283806">
        <w:rPr>
          <w:spacing w:val="-2"/>
        </w:rPr>
        <w:t>rates:</w:t>
      </w:r>
    </w:p>
    <w:p w14:paraId="3CCF473A" w14:textId="77777777" w:rsidR="00D67C1E" w:rsidRPr="00283806" w:rsidRDefault="001265CA">
      <w:pPr>
        <w:pStyle w:val="ListParagraph"/>
        <w:numPr>
          <w:ilvl w:val="0"/>
          <w:numId w:val="31"/>
        </w:numPr>
        <w:tabs>
          <w:tab w:val="left" w:pos="568"/>
        </w:tabs>
        <w:spacing w:before="5" w:line="228" w:lineRule="auto"/>
        <w:ind w:right="152" w:firstLine="180"/>
        <w:rPr>
          <w:sz w:val="18"/>
        </w:rPr>
      </w:pPr>
      <w:r w:rsidRPr="00283806">
        <w:rPr>
          <w:w w:val="105"/>
          <w:sz w:val="18"/>
        </w:rPr>
        <w:t>20</w:t>
      </w:r>
      <w:r w:rsidRPr="00283806">
        <w:rPr>
          <w:spacing w:val="-1"/>
          <w:w w:val="105"/>
          <w:sz w:val="18"/>
        </w:rPr>
        <w:t xml:space="preserve"> </w:t>
      </w:r>
      <w:r w:rsidRPr="00283806">
        <w:rPr>
          <w:w w:val="105"/>
          <w:sz w:val="18"/>
        </w:rPr>
        <w:t>percent</w:t>
      </w:r>
      <w:r w:rsidRPr="00283806">
        <w:rPr>
          <w:spacing w:val="-1"/>
          <w:w w:val="105"/>
          <w:sz w:val="18"/>
        </w:rPr>
        <w:t xml:space="preserve"> </w:t>
      </w:r>
      <w:r w:rsidRPr="00283806">
        <w:rPr>
          <w:w w:val="105"/>
          <w:sz w:val="18"/>
        </w:rPr>
        <w:t>leak</w:t>
      </w:r>
      <w:r w:rsidRPr="00283806">
        <w:rPr>
          <w:spacing w:val="-1"/>
          <w:w w:val="105"/>
          <w:sz w:val="18"/>
        </w:rPr>
        <w:t xml:space="preserve"> </w:t>
      </w:r>
      <w:r w:rsidRPr="00283806">
        <w:rPr>
          <w:w w:val="105"/>
          <w:sz w:val="18"/>
        </w:rPr>
        <w:t>rate</w:t>
      </w:r>
      <w:r w:rsidRPr="00283806">
        <w:rPr>
          <w:spacing w:val="-1"/>
          <w:w w:val="105"/>
          <w:sz w:val="18"/>
        </w:rPr>
        <w:t xml:space="preserve"> </w:t>
      </w:r>
      <w:r w:rsidRPr="00283806">
        <w:rPr>
          <w:w w:val="105"/>
          <w:sz w:val="18"/>
        </w:rPr>
        <w:t>for</w:t>
      </w:r>
      <w:r w:rsidRPr="00283806">
        <w:rPr>
          <w:spacing w:val="-1"/>
          <w:w w:val="105"/>
          <w:sz w:val="18"/>
        </w:rPr>
        <w:t xml:space="preserve"> </w:t>
      </w:r>
      <w:r w:rsidRPr="00283806">
        <w:rPr>
          <w:w w:val="105"/>
          <w:sz w:val="18"/>
        </w:rPr>
        <w:t>commercial refrigeration appliances;</w:t>
      </w:r>
    </w:p>
    <w:p w14:paraId="76EC5F92" w14:textId="77777777" w:rsidR="00D67C1E" w:rsidRPr="00283806" w:rsidRDefault="001265CA">
      <w:pPr>
        <w:pStyle w:val="ListParagraph"/>
        <w:numPr>
          <w:ilvl w:val="0"/>
          <w:numId w:val="31"/>
        </w:numPr>
        <w:tabs>
          <w:tab w:val="left" w:pos="628"/>
        </w:tabs>
        <w:spacing w:before="3" w:line="228" w:lineRule="auto"/>
        <w:ind w:right="252" w:firstLine="180"/>
        <w:rPr>
          <w:sz w:val="18"/>
        </w:rPr>
      </w:pPr>
      <w:r w:rsidRPr="00283806">
        <w:rPr>
          <w:w w:val="105"/>
          <w:sz w:val="18"/>
        </w:rPr>
        <w:t>30</w:t>
      </w:r>
      <w:r w:rsidRPr="00283806">
        <w:rPr>
          <w:spacing w:val="-1"/>
          <w:w w:val="105"/>
          <w:sz w:val="18"/>
        </w:rPr>
        <w:t xml:space="preserve"> </w:t>
      </w:r>
      <w:r w:rsidRPr="00283806">
        <w:rPr>
          <w:w w:val="105"/>
          <w:sz w:val="18"/>
        </w:rPr>
        <w:t>percent</w:t>
      </w:r>
      <w:r w:rsidRPr="00283806">
        <w:rPr>
          <w:spacing w:val="-1"/>
          <w:w w:val="105"/>
          <w:sz w:val="18"/>
        </w:rPr>
        <w:t xml:space="preserve"> </w:t>
      </w:r>
      <w:r w:rsidRPr="00283806">
        <w:rPr>
          <w:w w:val="105"/>
          <w:sz w:val="18"/>
        </w:rPr>
        <w:t>leak</w:t>
      </w:r>
      <w:r w:rsidRPr="00283806">
        <w:rPr>
          <w:spacing w:val="-1"/>
          <w:w w:val="105"/>
          <w:sz w:val="18"/>
        </w:rPr>
        <w:t xml:space="preserve"> </w:t>
      </w:r>
      <w:r w:rsidRPr="00283806">
        <w:rPr>
          <w:w w:val="105"/>
          <w:sz w:val="18"/>
        </w:rPr>
        <w:t>rate</w:t>
      </w:r>
      <w:r w:rsidRPr="00283806">
        <w:rPr>
          <w:spacing w:val="-1"/>
          <w:w w:val="105"/>
          <w:sz w:val="18"/>
        </w:rPr>
        <w:t xml:space="preserve"> </w:t>
      </w:r>
      <w:r w:rsidRPr="00283806">
        <w:rPr>
          <w:w w:val="105"/>
          <w:sz w:val="18"/>
        </w:rPr>
        <w:t>for</w:t>
      </w:r>
      <w:r w:rsidRPr="00283806">
        <w:rPr>
          <w:spacing w:val="-1"/>
          <w:w w:val="105"/>
          <w:sz w:val="18"/>
        </w:rPr>
        <w:t xml:space="preserve"> </w:t>
      </w:r>
      <w:r w:rsidRPr="00283806">
        <w:rPr>
          <w:w w:val="105"/>
          <w:sz w:val="18"/>
        </w:rPr>
        <w:t>industrial process refrigeration appliances; and</w:t>
      </w:r>
    </w:p>
    <w:p w14:paraId="651B6CA2" w14:textId="77777777" w:rsidR="00D67C1E" w:rsidRPr="00283806" w:rsidRDefault="001265CA">
      <w:pPr>
        <w:pStyle w:val="ListParagraph"/>
        <w:numPr>
          <w:ilvl w:val="0"/>
          <w:numId w:val="31"/>
        </w:numPr>
        <w:tabs>
          <w:tab w:val="left" w:pos="688"/>
        </w:tabs>
        <w:spacing w:before="3" w:line="228" w:lineRule="auto"/>
        <w:ind w:right="170" w:firstLine="180"/>
        <w:rPr>
          <w:sz w:val="18"/>
        </w:rPr>
      </w:pPr>
      <w:r w:rsidRPr="00283806">
        <w:rPr>
          <w:w w:val="105"/>
          <w:sz w:val="18"/>
        </w:rPr>
        <w:t>10 percent leak rate for comfort cooling appliances, refrigerated transport appliances, or other refrigerant-containing appliances with a full charge of 15 or more pounds of</w:t>
      </w:r>
    </w:p>
    <w:p w14:paraId="682361C9" w14:textId="77777777" w:rsidR="00D67C1E" w:rsidRPr="00283806" w:rsidRDefault="00D67C1E">
      <w:pPr>
        <w:spacing w:line="228" w:lineRule="auto"/>
        <w:rPr>
          <w:sz w:val="18"/>
        </w:rPr>
        <w:sectPr w:rsidR="00D67C1E" w:rsidRPr="00283806">
          <w:pgSz w:w="12240" w:h="15840"/>
          <w:pgMar w:top="1040" w:right="780" w:bottom="280" w:left="740" w:header="627" w:footer="0" w:gutter="0"/>
          <w:cols w:num="3" w:space="720" w:equalWidth="0">
            <w:col w:w="3516" w:space="40"/>
            <w:col w:w="3471" w:space="53"/>
            <w:col w:w="3640"/>
          </w:cols>
        </w:sectPr>
      </w:pPr>
    </w:p>
    <w:p w14:paraId="306B3B2E" w14:textId="77777777" w:rsidR="00D67C1E" w:rsidRPr="00283806" w:rsidRDefault="001265CA">
      <w:pPr>
        <w:pStyle w:val="BodyText"/>
        <w:spacing w:before="136" w:line="225" w:lineRule="auto"/>
      </w:pPr>
      <w:r w:rsidRPr="00283806">
        <w:rPr>
          <w:w w:val="105"/>
        </w:rPr>
        <w:lastRenderedPageBreak/>
        <w:t>refrigerant</w:t>
      </w:r>
      <w:r w:rsidRPr="00283806">
        <w:rPr>
          <w:spacing w:val="-10"/>
          <w:w w:val="105"/>
        </w:rPr>
        <w:t xml:space="preserve"> </w:t>
      </w:r>
      <w:r w:rsidRPr="00283806">
        <w:rPr>
          <w:w w:val="105"/>
        </w:rPr>
        <w:t>not</w:t>
      </w:r>
      <w:r w:rsidRPr="00283806">
        <w:rPr>
          <w:spacing w:val="-10"/>
          <w:w w:val="105"/>
        </w:rPr>
        <w:t xml:space="preserve"> </w:t>
      </w:r>
      <w:r w:rsidRPr="00283806">
        <w:rPr>
          <w:w w:val="105"/>
        </w:rPr>
        <w:t>covered</w:t>
      </w:r>
      <w:r w:rsidRPr="00283806">
        <w:rPr>
          <w:spacing w:val="-10"/>
          <w:w w:val="105"/>
        </w:rPr>
        <w:t xml:space="preserve"> </w:t>
      </w:r>
      <w:r w:rsidRPr="00283806">
        <w:rPr>
          <w:w w:val="105"/>
        </w:rPr>
        <w:t>by</w:t>
      </w:r>
      <w:r w:rsidRPr="00283806">
        <w:rPr>
          <w:spacing w:val="-10"/>
          <w:w w:val="105"/>
        </w:rPr>
        <w:t xml:space="preserve"> </w:t>
      </w:r>
      <w:r w:rsidRPr="00283806">
        <w:rPr>
          <w:w w:val="105"/>
        </w:rPr>
        <w:t>paragraph (c)(2)(i) or (ii) of this section.</w:t>
      </w:r>
    </w:p>
    <w:p w14:paraId="1CCA216A" w14:textId="77777777" w:rsidR="00D67C1E" w:rsidRPr="00283806" w:rsidRDefault="001265CA">
      <w:pPr>
        <w:pStyle w:val="ListParagraph"/>
        <w:numPr>
          <w:ilvl w:val="0"/>
          <w:numId w:val="32"/>
        </w:numPr>
        <w:tabs>
          <w:tab w:val="left" w:pos="618"/>
        </w:tabs>
        <w:spacing w:line="213" w:lineRule="auto"/>
        <w:ind w:left="160" w:right="58" w:firstLine="180"/>
        <w:rPr>
          <w:sz w:val="18"/>
        </w:rPr>
      </w:pPr>
      <w:r w:rsidRPr="00283806">
        <w:rPr>
          <w:rFonts w:ascii="Book Antiqua"/>
          <w:i/>
          <w:w w:val="105"/>
          <w:sz w:val="18"/>
        </w:rPr>
        <w:t xml:space="preserve">Appliance repair. </w:t>
      </w:r>
      <w:r w:rsidRPr="00283806">
        <w:rPr>
          <w:w w:val="105"/>
          <w:sz w:val="18"/>
        </w:rPr>
        <w:t>Owners or operators must identify and repair leaks</w:t>
      </w:r>
    </w:p>
    <w:p w14:paraId="1170A0D9" w14:textId="77777777" w:rsidR="00D67C1E" w:rsidRPr="00283806" w:rsidRDefault="001265CA">
      <w:pPr>
        <w:pStyle w:val="BodyText"/>
        <w:spacing w:line="225" w:lineRule="auto"/>
      </w:pPr>
      <w:r w:rsidRPr="00283806">
        <w:rPr>
          <w:w w:val="105"/>
        </w:rPr>
        <w:t>in accordance with this paragraph</w:t>
      </w:r>
      <w:r w:rsidRPr="00283806">
        <w:rPr>
          <w:spacing w:val="80"/>
          <w:w w:val="150"/>
        </w:rPr>
        <w:t xml:space="preserve"> </w:t>
      </w:r>
      <w:r w:rsidRPr="00283806">
        <w:rPr>
          <w:w w:val="105"/>
        </w:rPr>
        <w:t>within 30 days (or 120 days if an industrial process shutdown is required) of when refrigerant is added to a refrigerant-containing appliance exceeding the applicable leak rate in paragraph (c) of this section.</w:t>
      </w:r>
    </w:p>
    <w:p w14:paraId="28D7674C" w14:textId="77777777" w:rsidR="00D67C1E" w:rsidRPr="00283806" w:rsidRDefault="001265CA">
      <w:pPr>
        <w:pStyle w:val="ListParagraph"/>
        <w:numPr>
          <w:ilvl w:val="0"/>
          <w:numId w:val="30"/>
        </w:numPr>
        <w:tabs>
          <w:tab w:val="left" w:pos="608"/>
        </w:tabs>
        <w:spacing w:line="178" w:lineRule="exact"/>
        <w:ind w:left="608" w:hanging="268"/>
        <w:rPr>
          <w:sz w:val="18"/>
        </w:rPr>
      </w:pPr>
      <w:r w:rsidRPr="00283806">
        <w:rPr>
          <w:w w:val="110"/>
          <w:sz w:val="18"/>
        </w:rPr>
        <w:t>A</w:t>
      </w:r>
      <w:r w:rsidRPr="00283806">
        <w:rPr>
          <w:spacing w:val="-1"/>
          <w:w w:val="110"/>
          <w:sz w:val="18"/>
        </w:rPr>
        <w:t xml:space="preserve"> </w:t>
      </w:r>
      <w:r w:rsidRPr="00283806">
        <w:rPr>
          <w:w w:val="110"/>
          <w:sz w:val="18"/>
        </w:rPr>
        <w:t>certified</w:t>
      </w:r>
      <w:r w:rsidRPr="00283806">
        <w:rPr>
          <w:spacing w:val="-1"/>
          <w:w w:val="110"/>
          <w:sz w:val="18"/>
        </w:rPr>
        <w:t xml:space="preserve"> </w:t>
      </w:r>
      <w:r w:rsidRPr="00283806">
        <w:rPr>
          <w:w w:val="110"/>
          <w:sz w:val="18"/>
        </w:rPr>
        <w:t>technician</w:t>
      </w:r>
      <w:r w:rsidRPr="00283806">
        <w:rPr>
          <w:spacing w:val="-1"/>
          <w:w w:val="110"/>
          <w:sz w:val="18"/>
        </w:rPr>
        <w:t xml:space="preserve"> </w:t>
      </w:r>
      <w:r w:rsidRPr="00283806">
        <w:rPr>
          <w:spacing w:val="-4"/>
          <w:w w:val="110"/>
          <w:sz w:val="18"/>
        </w:rPr>
        <w:t>must</w:t>
      </w:r>
    </w:p>
    <w:p w14:paraId="6AA28681" w14:textId="77777777" w:rsidR="00D67C1E" w:rsidRPr="00283806" w:rsidRDefault="001265CA">
      <w:pPr>
        <w:pStyle w:val="BodyText"/>
        <w:spacing w:line="225" w:lineRule="auto"/>
        <w:ind w:right="115"/>
      </w:pPr>
      <w:r w:rsidRPr="00283806">
        <w:rPr>
          <w:w w:val="110"/>
        </w:rPr>
        <w:t>conduct</w:t>
      </w:r>
      <w:r w:rsidRPr="00283806">
        <w:rPr>
          <w:spacing w:val="-11"/>
          <w:w w:val="110"/>
        </w:rPr>
        <w:t xml:space="preserve"> </w:t>
      </w:r>
      <w:r w:rsidRPr="00283806">
        <w:rPr>
          <w:w w:val="110"/>
        </w:rPr>
        <w:t>a</w:t>
      </w:r>
      <w:r w:rsidRPr="00283806">
        <w:rPr>
          <w:spacing w:val="-11"/>
          <w:w w:val="110"/>
        </w:rPr>
        <w:t xml:space="preserve"> </w:t>
      </w:r>
      <w:r w:rsidRPr="00283806">
        <w:rPr>
          <w:w w:val="110"/>
        </w:rPr>
        <w:t>leak</w:t>
      </w:r>
      <w:r w:rsidRPr="00283806">
        <w:rPr>
          <w:spacing w:val="-11"/>
          <w:w w:val="110"/>
        </w:rPr>
        <w:t xml:space="preserve"> </w:t>
      </w:r>
      <w:r w:rsidRPr="00283806">
        <w:rPr>
          <w:w w:val="110"/>
        </w:rPr>
        <w:t>inspection,</w:t>
      </w:r>
      <w:r w:rsidRPr="00283806">
        <w:rPr>
          <w:spacing w:val="-11"/>
          <w:w w:val="110"/>
        </w:rPr>
        <w:t xml:space="preserve"> </w:t>
      </w:r>
      <w:r w:rsidRPr="00283806">
        <w:rPr>
          <w:w w:val="110"/>
        </w:rPr>
        <w:t>as</w:t>
      </w:r>
      <w:r w:rsidRPr="00283806">
        <w:rPr>
          <w:spacing w:val="-11"/>
          <w:w w:val="110"/>
        </w:rPr>
        <w:t xml:space="preserve"> </w:t>
      </w:r>
      <w:r w:rsidRPr="00283806">
        <w:rPr>
          <w:w w:val="110"/>
        </w:rPr>
        <w:t>described in paragraph (g) of this section, to identify the location of leaks.</w:t>
      </w:r>
    </w:p>
    <w:p w14:paraId="780EF008" w14:textId="77777777" w:rsidR="00D67C1E" w:rsidRPr="00283806" w:rsidRDefault="001265CA">
      <w:pPr>
        <w:pStyle w:val="ListParagraph"/>
        <w:numPr>
          <w:ilvl w:val="0"/>
          <w:numId w:val="30"/>
        </w:numPr>
        <w:tabs>
          <w:tab w:val="left" w:pos="608"/>
        </w:tabs>
        <w:spacing w:line="179" w:lineRule="exact"/>
        <w:ind w:left="608" w:hanging="268"/>
        <w:rPr>
          <w:sz w:val="18"/>
        </w:rPr>
      </w:pPr>
      <w:r w:rsidRPr="00283806">
        <w:rPr>
          <w:w w:val="105"/>
          <w:sz w:val="18"/>
        </w:rPr>
        <w:t>Leaks</w:t>
      </w:r>
      <w:r w:rsidRPr="00283806">
        <w:rPr>
          <w:spacing w:val="7"/>
          <w:w w:val="105"/>
          <w:sz w:val="18"/>
        </w:rPr>
        <w:t xml:space="preserve"> </w:t>
      </w:r>
      <w:r w:rsidRPr="00283806">
        <w:rPr>
          <w:w w:val="105"/>
          <w:sz w:val="18"/>
        </w:rPr>
        <w:t>must</w:t>
      </w:r>
      <w:r w:rsidRPr="00283806">
        <w:rPr>
          <w:spacing w:val="7"/>
          <w:w w:val="105"/>
          <w:sz w:val="18"/>
        </w:rPr>
        <w:t xml:space="preserve"> </w:t>
      </w:r>
      <w:r w:rsidRPr="00283806">
        <w:rPr>
          <w:w w:val="105"/>
          <w:sz w:val="18"/>
        </w:rPr>
        <w:t>be</w:t>
      </w:r>
      <w:r w:rsidRPr="00283806">
        <w:rPr>
          <w:spacing w:val="8"/>
          <w:w w:val="105"/>
          <w:sz w:val="18"/>
        </w:rPr>
        <w:t xml:space="preserve"> </w:t>
      </w:r>
      <w:r w:rsidRPr="00283806">
        <w:rPr>
          <w:w w:val="105"/>
          <w:sz w:val="18"/>
        </w:rPr>
        <w:t>repaired</w:t>
      </w:r>
      <w:r w:rsidRPr="00283806">
        <w:rPr>
          <w:spacing w:val="7"/>
          <w:w w:val="105"/>
          <w:sz w:val="18"/>
        </w:rPr>
        <w:t xml:space="preserve"> </w:t>
      </w:r>
      <w:r w:rsidRPr="00283806">
        <w:rPr>
          <w:w w:val="105"/>
          <w:sz w:val="18"/>
        </w:rPr>
        <w:t>such</w:t>
      </w:r>
      <w:r w:rsidRPr="00283806">
        <w:rPr>
          <w:spacing w:val="8"/>
          <w:w w:val="105"/>
          <w:sz w:val="18"/>
        </w:rPr>
        <w:t xml:space="preserve"> </w:t>
      </w:r>
      <w:r w:rsidRPr="00283806">
        <w:rPr>
          <w:spacing w:val="-4"/>
          <w:w w:val="105"/>
          <w:sz w:val="18"/>
        </w:rPr>
        <w:t>that</w:t>
      </w:r>
    </w:p>
    <w:p w14:paraId="701B55B2" w14:textId="77777777" w:rsidR="00D67C1E" w:rsidRPr="00283806" w:rsidRDefault="001265CA">
      <w:pPr>
        <w:pStyle w:val="BodyText"/>
        <w:spacing w:before="3" w:line="225" w:lineRule="auto"/>
        <w:ind w:right="39"/>
      </w:pPr>
      <w:proofErr w:type="gramStart"/>
      <w:r w:rsidRPr="00283806">
        <w:rPr>
          <w:w w:val="105"/>
        </w:rPr>
        <w:t>the</w:t>
      </w:r>
      <w:proofErr w:type="gramEnd"/>
      <w:r w:rsidRPr="00283806">
        <w:rPr>
          <w:w w:val="105"/>
        </w:rPr>
        <w:t xml:space="preserve"> leak rate of the refrigerant- containing appliance is brought below the applicable leak rate. This must be confirmed by the leak rate calculation performed upon the next refrigerant addition. Leak repairs will be presumed to be successful if, over the 12-month period after the date of a successful follow-up verification test, there is no further refrigerant addition or if the leak inspections required under paragraph</w:t>
      </w:r>
    </w:p>
    <w:p w14:paraId="63B371FE" w14:textId="77777777" w:rsidR="00D67C1E" w:rsidRPr="00283806" w:rsidRDefault="001265CA">
      <w:pPr>
        <w:pStyle w:val="BodyText"/>
        <w:spacing w:before="10" w:line="228" w:lineRule="auto"/>
      </w:pPr>
      <w:r w:rsidRPr="00283806">
        <w:rPr>
          <w:w w:val="105"/>
        </w:rPr>
        <w:t>(g) and/or automatic leak detection systems required by §</w:t>
      </w:r>
      <w:r w:rsidRPr="00283806">
        <w:rPr>
          <w:spacing w:val="-12"/>
          <w:w w:val="105"/>
        </w:rPr>
        <w:t xml:space="preserve"> </w:t>
      </w:r>
      <w:r w:rsidRPr="00283806">
        <w:rPr>
          <w:w w:val="105"/>
        </w:rPr>
        <w:t>84.108 do not find any leaks in the appliance. Repairs of leaks must be documented by both an initial</w:t>
      </w:r>
      <w:r w:rsidRPr="00283806">
        <w:rPr>
          <w:spacing w:val="40"/>
          <w:w w:val="105"/>
        </w:rPr>
        <w:t xml:space="preserve"> </w:t>
      </w:r>
      <w:r w:rsidRPr="00283806">
        <w:rPr>
          <w:w w:val="105"/>
        </w:rPr>
        <w:t>and</w:t>
      </w:r>
      <w:r w:rsidRPr="00283806">
        <w:rPr>
          <w:spacing w:val="40"/>
          <w:w w:val="105"/>
        </w:rPr>
        <w:t xml:space="preserve"> </w:t>
      </w:r>
      <w:r w:rsidRPr="00283806">
        <w:rPr>
          <w:w w:val="105"/>
        </w:rPr>
        <w:t>a</w:t>
      </w:r>
      <w:r w:rsidRPr="00283806">
        <w:rPr>
          <w:spacing w:val="40"/>
          <w:w w:val="105"/>
        </w:rPr>
        <w:t xml:space="preserve"> </w:t>
      </w:r>
      <w:r w:rsidRPr="00283806">
        <w:rPr>
          <w:w w:val="105"/>
        </w:rPr>
        <w:t>follow-up</w:t>
      </w:r>
      <w:r w:rsidRPr="00283806">
        <w:rPr>
          <w:spacing w:val="40"/>
          <w:w w:val="105"/>
        </w:rPr>
        <w:t xml:space="preserve"> </w:t>
      </w:r>
      <w:r w:rsidRPr="00283806">
        <w:rPr>
          <w:w w:val="105"/>
        </w:rPr>
        <w:t>verification</w:t>
      </w:r>
      <w:r w:rsidRPr="00283806">
        <w:rPr>
          <w:spacing w:val="40"/>
          <w:w w:val="105"/>
        </w:rPr>
        <w:t xml:space="preserve"> </w:t>
      </w:r>
      <w:r w:rsidRPr="00283806">
        <w:rPr>
          <w:w w:val="105"/>
        </w:rPr>
        <w:t>test or tests.</w:t>
      </w:r>
    </w:p>
    <w:p w14:paraId="7628FF80" w14:textId="77777777" w:rsidR="00D67C1E" w:rsidRPr="00283806" w:rsidRDefault="001265CA">
      <w:pPr>
        <w:pStyle w:val="ListParagraph"/>
        <w:numPr>
          <w:ilvl w:val="0"/>
          <w:numId w:val="30"/>
        </w:numPr>
        <w:tabs>
          <w:tab w:val="left" w:pos="608"/>
        </w:tabs>
        <w:spacing w:line="178" w:lineRule="exact"/>
        <w:ind w:left="608" w:hanging="268"/>
        <w:rPr>
          <w:sz w:val="18"/>
        </w:rPr>
      </w:pPr>
      <w:r w:rsidRPr="00283806">
        <w:rPr>
          <w:w w:val="105"/>
          <w:sz w:val="18"/>
        </w:rPr>
        <w:t>The</w:t>
      </w:r>
      <w:r w:rsidRPr="00283806">
        <w:rPr>
          <w:spacing w:val="5"/>
          <w:w w:val="105"/>
          <w:sz w:val="18"/>
        </w:rPr>
        <w:t xml:space="preserve"> </w:t>
      </w:r>
      <w:r w:rsidRPr="00283806">
        <w:rPr>
          <w:w w:val="105"/>
          <w:sz w:val="18"/>
        </w:rPr>
        <w:t>time</w:t>
      </w:r>
      <w:r w:rsidRPr="00283806">
        <w:rPr>
          <w:spacing w:val="6"/>
          <w:w w:val="105"/>
          <w:sz w:val="18"/>
        </w:rPr>
        <w:t xml:space="preserve"> </w:t>
      </w:r>
      <w:r w:rsidRPr="00283806">
        <w:rPr>
          <w:w w:val="105"/>
          <w:sz w:val="18"/>
        </w:rPr>
        <w:t>frames</w:t>
      </w:r>
      <w:r w:rsidRPr="00283806">
        <w:rPr>
          <w:spacing w:val="6"/>
          <w:w w:val="105"/>
          <w:sz w:val="18"/>
        </w:rPr>
        <w:t xml:space="preserve"> </w:t>
      </w:r>
      <w:r w:rsidRPr="00283806">
        <w:rPr>
          <w:w w:val="105"/>
          <w:sz w:val="18"/>
        </w:rPr>
        <w:t>in</w:t>
      </w:r>
      <w:r w:rsidRPr="00283806">
        <w:rPr>
          <w:spacing w:val="6"/>
          <w:w w:val="105"/>
          <w:sz w:val="18"/>
        </w:rPr>
        <w:t xml:space="preserve"> </w:t>
      </w:r>
      <w:r w:rsidRPr="00283806">
        <w:rPr>
          <w:w w:val="105"/>
          <w:sz w:val="18"/>
        </w:rPr>
        <w:t>paragraphs</w:t>
      </w:r>
      <w:r w:rsidRPr="00283806">
        <w:rPr>
          <w:spacing w:val="6"/>
          <w:w w:val="105"/>
          <w:sz w:val="18"/>
        </w:rPr>
        <w:t xml:space="preserve"> </w:t>
      </w:r>
      <w:r w:rsidRPr="00283806">
        <w:rPr>
          <w:spacing w:val="-5"/>
          <w:w w:val="105"/>
          <w:sz w:val="18"/>
        </w:rPr>
        <w:t>(d)</w:t>
      </w:r>
    </w:p>
    <w:p w14:paraId="1DDED6BA" w14:textId="77777777" w:rsidR="00D67C1E" w:rsidRPr="00283806" w:rsidRDefault="001265CA">
      <w:pPr>
        <w:pStyle w:val="BodyText"/>
        <w:spacing w:before="3" w:line="228" w:lineRule="auto"/>
        <w:ind w:right="28"/>
      </w:pPr>
      <w:r w:rsidRPr="00283806">
        <w:rPr>
          <w:w w:val="105"/>
        </w:rPr>
        <w:t>through (f) of this section are</w:t>
      </w:r>
      <w:r w:rsidRPr="00283806">
        <w:rPr>
          <w:spacing w:val="40"/>
          <w:w w:val="105"/>
        </w:rPr>
        <w:t xml:space="preserve"> </w:t>
      </w:r>
      <w:proofErr w:type="gramStart"/>
      <w:r w:rsidRPr="00283806">
        <w:rPr>
          <w:w w:val="105"/>
        </w:rPr>
        <w:t>temporarily suspended</w:t>
      </w:r>
      <w:proofErr w:type="gramEnd"/>
      <w:r w:rsidRPr="00283806">
        <w:rPr>
          <w:w w:val="105"/>
        </w:rPr>
        <w:t xml:space="preserve"> when an appliance is mothballed. The time will resume on the day additional refrigerant is added to the refrigerant-containing appliance (or component of a</w:t>
      </w:r>
      <w:r w:rsidRPr="00283806">
        <w:rPr>
          <w:spacing w:val="40"/>
          <w:w w:val="105"/>
        </w:rPr>
        <w:t xml:space="preserve"> </w:t>
      </w:r>
      <w:r w:rsidRPr="00283806">
        <w:rPr>
          <w:w w:val="105"/>
        </w:rPr>
        <w:t>refrigerant-containing appliance if the leaking component was isolated).</w:t>
      </w:r>
    </w:p>
    <w:p w14:paraId="08E04F8D" w14:textId="77777777" w:rsidR="00D67C1E" w:rsidRPr="00283806" w:rsidRDefault="001265CA">
      <w:pPr>
        <w:pStyle w:val="ListParagraph"/>
        <w:numPr>
          <w:ilvl w:val="0"/>
          <w:numId w:val="32"/>
        </w:numPr>
        <w:tabs>
          <w:tab w:val="left" w:pos="598"/>
        </w:tabs>
        <w:spacing w:line="182" w:lineRule="exact"/>
        <w:ind w:left="598" w:hanging="258"/>
        <w:rPr>
          <w:sz w:val="18"/>
        </w:rPr>
      </w:pPr>
      <w:r w:rsidRPr="00283806">
        <w:rPr>
          <w:rFonts w:ascii="Book Antiqua"/>
          <w:i/>
          <w:w w:val="110"/>
          <w:sz w:val="18"/>
        </w:rPr>
        <w:t>Verification</w:t>
      </w:r>
      <w:r w:rsidRPr="00283806">
        <w:rPr>
          <w:rFonts w:ascii="Book Antiqua"/>
          <w:i/>
          <w:spacing w:val="-3"/>
          <w:w w:val="110"/>
          <w:sz w:val="18"/>
        </w:rPr>
        <w:t xml:space="preserve"> </w:t>
      </w:r>
      <w:r w:rsidRPr="00283806">
        <w:rPr>
          <w:rFonts w:ascii="Book Antiqua"/>
          <w:i/>
          <w:w w:val="110"/>
          <w:sz w:val="18"/>
        </w:rPr>
        <w:t>tests.</w:t>
      </w:r>
      <w:r w:rsidRPr="00283806">
        <w:rPr>
          <w:rFonts w:ascii="Book Antiqua"/>
          <w:i/>
          <w:spacing w:val="-2"/>
          <w:w w:val="110"/>
          <w:sz w:val="18"/>
        </w:rPr>
        <w:t xml:space="preserve"> </w:t>
      </w:r>
      <w:r w:rsidRPr="00283806">
        <w:rPr>
          <w:w w:val="110"/>
          <w:sz w:val="18"/>
        </w:rPr>
        <w:t>The</w:t>
      </w:r>
      <w:r w:rsidRPr="00283806">
        <w:rPr>
          <w:spacing w:val="4"/>
          <w:w w:val="110"/>
          <w:sz w:val="18"/>
        </w:rPr>
        <w:t xml:space="preserve"> </w:t>
      </w:r>
      <w:r w:rsidRPr="00283806">
        <w:rPr>
          <w:w w:val="110"/>
          <w:sz w:val="18"/>
        </w:rPr>
        <w:t>owner</w:t>
      </w:r>
      <w:r w:rsidRPr="00283806">
        <w:rPr>
          <w:spacing w:val="3"/>
          <w:w w:val="110"/>
          <w:sz w:val="18"/>
        </w:rPr>
        <w:t xml:space="preserve"> </w:t>
      </w:r>
      <w:r w:rsidRPr="00283806">
        <w:rPr>
          <w:spacing w:val="-7"/>
          <w:w w:val="110"/>
          <w:sz w:val="18"/>
        </w:rPr>
        <w:t>or</w:t>
      </w:r>
    </w:p>
    <w:p w14:paraId="20588D9F" w14:textId="77777777" w:rsidR="00D67C1E" w:rsidRPr="00283806" w:rsidRDefault="001265CA">
      <w:pPr>
        <w:pStyle w:val="BodyText"/>
        <w:spacing w:line="228" w:lineRule="auto"/>
        <w:ind w:left="159" w:right="19"/>
      </w:pPr>
      <w:r w:rsidRPr="00283806">
        <w:rPr>
          <w:w w:val="105"/>
        </w:rPr>
        <w:t>operator must conduct both initial and follow-up verification tests on each leak that</w:t>
      </w:r>
      <w:r w:rsidRPr="00283806">
        <w:rPr>
          <w:spacing w:val="-4"/>
          <w:w w:val="105"/>
        </w:rPr>
        <w:t xml:space="preserve"> </w:t>
      </w:r>
      <w:r w:rsidRPr="00283806">
        <w:rPr>
          <w:w w:val="105"/>
        </w:rPr>
        <w:t>was</w:t>
      </w:r>
      <w:r w:rsidRPr="00283806">
        <w:rPr>
          <w:spacing w:val="-4"/>
          <w:w w:val="105"/>
        </w:rPr>
        <w:t xml:space="preserve"> </w:t>
      </w:r>
      <w:r w:rsidRPr="00283806">
        <w:rPr>
          <w:w w:val="105"/>
        </w:rPr>
        <w:t>repaired</w:t>
      </w:r>
      <w:r w:rsidRPr="00283806">
        <w:rPr>
          <w:spacing w:val="-4"/>
          <w:w w:val="105"/>
        </w:rPr>
        <w:t xml:space="preserve"> </w:t>
      </w:r>
      <w:r w:rsidRPr="00283806">
        <w:rPr>
          <w:w w:val="105"/>
        </w:rPr>
        <w:t>under</w:t>
      </w:r>
      <w:r w:rsidRPr="00283806">
        <w:rPr>
          <w:spacing w:val="-4"/>
          <w:w w:val="105"/>
        </w:rPr>
        <w:t xml:space="preserve"> </w:t>
      </w:r>
      <w:r w:rsidRPr="00283806">
        <w:rPr>
          <w:w w:val="105"/>
        </w:rPr>
        <w:t>paragraph</w:t>
      </w:r>
      <w:r w:rsidRPr="00283806">
        <w:rPr>
          <w:spacing w:val="-4"/>
          <w:w w:val="105"/>
        </w:rPr>
        <w:t xml:space="preserve"> </w:t>
      </w:r>
      <w:r w:rsidRPr="00283806">
        <w:rPr>
          <w:w w:val="105"/>
        </w:rPr>
        <w:t>(d)</w:t>
      </w:r>
      <w:r w:rsidRPr="00283806">
        <w:rPr>
          <w:spacing w:val="-4"/>
          <w:w w:val="105"/>
        </w:rPr>
        <w:t xml:space="preserve"> </w:t>
      </w:r>
      <w:r w:rsidRPr="00283806">
        <w:rPr>
          <w:w w:val="105"/>
        </w:rPr>
        <w:t>of this section.</w:t>
      </w:r>
    </w:p>
    <w:p w14:paraId="003DC57D" w14:textId="77777777" w:rsidR="00D67C1E" w:rsidRPr="00283806" w:rsidRDefault="001265CA">
      <w:pPr>
        <w:pStyle w:val="ListParagraph"/>
        <w:numPr>
          <w:ilvl w:val="0"/>
          <w:numId w:val="29"/>
        </w:numPr>
        <w:tabs>
          <w:tab w:val="left" w:pos="607"/>
        </w:tabs>
        <w:spacing w:line="216" w:lineRule="auto"/>
        <w:ind w:right="414" w:firstLine="179"/>
        <w:rPr>
          <w:sz w:val="18"/>
        </w:rPr>
      </w:pPr>
      <w:r w:rsidRPr="00283806">
        <w:rPr>
          <w:rFonts w:ascii="Book Antiqua"/>
          <w:i/>
          <w:w w:val="110"/>
          <w:sz w:val="18"/>
        </w:rPr>
        <w:t xml:space="preserve">Initial verification test. </w:t>
      </w:r>
      <w:proofErr w:type="gramStart"/>
      <w:r w:rsidRPr="00283806">
        <w:rPr>
          <w:w w:val="110"/>
          <w:sz w:val="18"/>
        </w:rPr>
        <w:t>Unless</w:t>
      </w:r>
      <w:proofErr w:type="gramEnd"/>
      <w:r w:rsidRPr="00283806">
        <w:rPr>
          <w:w w:val="110"/>
          <w:sz w:val="18"/>
        </w:rPr>
        <w:t xml:space="preserve"> granted additional time, an initial</w:t>
      </w:r>
    </w:p>
    <w:p w14:paraId="5CCDECC7" w14:textId="77777777" w:rsidR="00D67C1E" w:rsidRPr="00283806" w:rsidRDefault="001265CA">
      <w:pPr>
        <w:pStyle w:val="BodyText"/>
        <w:spacing w:line="228" w:lineRule="auto"/>
        <w:ind w:right="28"/>
      </w:pPr>
      <w:r w:rsidRPr="00283806">
        <w:rPr>
          <w:w w:val="105"/>
        </w:rPr>
        <w:t>verification test must be performed within 30 days (or 120 days if an industrial process shutdown is required) of a refrigerant-containing appliance exceeding the applicable leak rate in paragraph (c) of this section. An initial verification test must demonstrate that for leaks where repair attempts were made, the adjustments or alterations to the refrigerant-containing appliance</w:t>
      </w:r>
      <w:r w:rsidRPr="00283806">
        <w:rPr>
          <w:spacing w:val="80"/>
          <w:w w:val="105"/>
        </w:rPr>
        <w:t xml:space="preserve"> </w:t>
      </w:r>
      <w:r w:rsidRPr="00283806">
        <w:rPr>
          <w:w w:val="105"/>
        </w:rPr>
        <w:t xml:space="preserve">have </w:t>
      </w:r>
      <w:proofErr w:type="gramStart"/>
      <w:r w:rsidRPr="00283806">
        <w:rPr>
          <w:w w:val="105"/>
        </w:rPr>
        <w:t>held</w:t>
      </w:r>
      <w:proofErr w:type="gramEnd"/>
      <w:r w:rsidRPr="00283806">
        <w:rPr>
          <w:w w:val="105"/>
        </w:rPr>
        <w:t>.</w:t>
      </w:r>
    </w:p>
    <w:p w14:paraId="63017A1D" w14:textId="77777777" w:rsidR="00D67C1E" w:rsidRPr="00283806" w:rsidRDefault="001265CA">
      <w:pPr>
        <w:pStyle w:val="ListParagraph"/>
        <w:numPr>
          <w:ilvl w:val="1"/>
          <w:numId w:val="29"/>
        </w:numPr>
        <w:tabs>
          <w:tab w:val="left" w:pos="568"/>
        </w:tabs>
        <w:spacing w:line="175" w:lineRule="exact"/>
        <w:ind w:left="568" w:hanging="228"/>
        <w:rPr>
          <w:sz w:val="18"/>
        </w:rPr>
      </w:pPr>
      <w:r w:rsidRPr="00283806">
        <w:rPr>
          <w:w w:val="105"/>
          <w:sz w:val="18"/>
        </w:rPr>
        <w:t>For</w:t>
      </w:r>
      <w:r w:rsidRPr="00283806">
        <w:rPr>
          <w:spacing w:val="4"/>
          <w:w w:val="105"/>
          <w:sz w:val="18"/>
        </w:rPr>
        <w:t xml:space="preserve"> </w:t>
      </w:r>
      <w:r w:rsidRPr="00283806">
        <w:rPr>
          <w:w w:val="105"/>
          <w:sz w:val="18"/>
        </w:rPr>
        <w:t>repairs</w:t>
      </w:r>
      <w:r w:rsidRPr="00283806">
        <w:rPr>
          <w:spacing w:val="4"/>
          <w:w w:val="105"/>
          <w:sz w:val="18"/>
        </w:rPr>
        <w:t xml:space="preserve"> </w:t>
      </w:r>
      <w:r w:rsidRPr="00283806">
        <w:rPr>
          <w:w w:val="105"/>
          <w:sz w:val="18"/>
        </w:rPr>
        <w:t>that</w:t>
      </w:r>
      <w:r w:rsidRPr="00283806">
        <w:rPr>
          <w:spacing w:val="4"/>
          <w:w w:val="105"/>
          <w:sz w:val="18"/>
        </w:rPr>
        <w:t xml:space="preserve"> </w:t>
      </w:r>
      <w:r w:rsidRPr="00283806">
        <w:rPr>
          <w:w w:val="105"/>
          <w:sz w:val="18"/>
        </w:rPr>
        <w:t>can</w:t>
      </w:r>
      <w:r w:rsidRPr="00283806">
        <w:rPr>
          <w:spacing w:val="4"/>
          <w:w w:val="105"/>
          <w:sz w:val="18"/>
        </w:rPr>
        <w:t xml:space="preserve"> </w:t>
      </w:r>
      <w:r w:rsidRPr="00283806">
        <w:rPr>
          <w:w w:val="105"/>
          <w:sz w:val="18"/>
        </w:rPr>
        <w:t>be</w:t>
      </w:r>
      <w:r w:rsidRPr="00283806">
        <w:rPr>
          <w:spacing w:val="4"/>
          <w:w w:val="105"/>
          <w:sz w:val="18"/>
        </w:rPr>
        <w:t xml:space="preserve"> </w:t>
      </w:r>
      <w:r w:rsidRPr="00283806">
        <w:rPr>
          <w:spacing w:val="-2"/>
          <w:w w:val="105"/>
          <w:sz w:val="18"/>
        </w:rPr>
        <w:t>completed</w:t>
      </w:r>
    </w:p>
    <w:p w14:paraId="4AB6A15F" w14:textId="77777777" w:rsidR="00D67C1E" w:rsidRPr="00283806" w:rsidRDefault="001265CA">
      <w:pPr>
        <w:pStyle w:val="BodyText"/>
        <w:spacing w:line="228" w:lineRule="auto"/>
        <w:ind w:right="27"/>
      </w:pPr>
      <w:proofErr w:type="gramStart"/>
      <w:r w:rsidRPr="00283806">
        <w:rPr>
          <w:w w:val="105"/>
        </w:rPr>
        <w:t>without</w:t>
      </w:r>
      <w:proofErr w:type="gramEnd"/>
      <w:r w:rsidRPr="00283806">
        <w:rPr>
          <w:w w:val="105"/>
        </w:rPr>
        <w:t xml:space="preserve"> the need to open or evacuate</w:t>
      </w:r>
      <w:r w:rsidRPr="00283806">
        <w:rPr>
          <w:spacing w:val="80"/>
          <w:w w:val="105"/>
        </w:rPr>
        <w:t xml:space="preserve"> </w:t>
      </w:r>
      <w:r w:rsidRPr="00283806">
        <w:rPr>
          <w:w w:val="105"/>
        </w:rPr>
        <w:t>the refrigerant-containing appliance, the test must be performed after the conclusion of the repairs and before any additional refrigerant is added to the refrigerant-containing appliance.</w:t>
      </w:r>
    </w:p>
    <w:p w14:paraId="5B59967F" w14:textId="77777777" w:rsidR="00D67C1E" w:rsidRPr="00283806" w:rsidRDefault="001265CA">
      <w:pPr>
        <w:pStyle w:val="ListParagraph"/>
        <w:numPr>
          <w:ilvl w:val="1"/>
          <w:numId w:val="29"/>
        </w:numPr>
        <w:tabs>
          <w:tab w:val="left" w:pos="628"/>
        </w:tabs>
        <w:spacing w:line="178" w:lineRule="exact"/>
        <w:ind w:left="628" w:hanging="288"/>
        <w:rPr>
          <w:sz w:val="18"/>
        </w:rPr>
      </w:pPr>
      <w:r w:rsidRPr="00283806">
        <w:rPr>
          <w:w w:val="105"/>
          <w:sz w:val="18"/>
        </w:rPr>
        <w:t>For</w:t>
      </w:r>
      <w:r w:rsidRPr="00283806">
        <w:rPr>
          <w:spacing w:val="-1"/>
          <w:w w:val="105"/>
          <w:sz w:val="18"/>
        </w:rPr>
        <w:t xml:space="preserve"> </w:t>
      </w:r>
      <w:r w:rsidRPr="00283806">
        <w:rPr>
          <w:w w:val="105"/>
          <w:sz w:val="18"/>
        </w:rPr>
        <w:t xml:space="preserve">repairs that require </w:t>
      </w:r>
      <w:r w:rsidRPr="00283806">
        <w:rPr>
          <w:spacing w:val="-5"/>
          <w:w w:val="105"/>
          <w:sz w:val="18"/>
        </w:rPr>
        <w:t>the</w:t>
      </w:r>
    </w:p>
    <w:p w14:paraId="16EF6FF0" w14:textId="77777777" w:rsidR="00D67C1E" w:rsidRPr="00283806" w:rsidRDefault="001265CA">
      <w:pPr>
        <w:pStyle w:val="BodyText"/>
        <w:spacing w:line="206" w:lineRule="exact"/>
      </w:pPr>
      <w:r w:rsidRPr="00283806">
        <w:rPr>
          <w:w w:val="105"/>
        </w:rPr>
        <w:t>evacuation</w:t>
      </w:r>
      <w:r w:rsidRPr="00283806">
        <w:rPr>
          <w:spacing w:val="9"/>
          <w:w w:val="105"/>
        </w:rPr>
        <w:t xml:space="preserve"> </w:t>
      </w:r>
      <w:r w:rsidRPr="00283806">
        <w:rPr>
          <w:w w:val="105"/>
        </w:rPr>
        <w:t>of</w:t>
      </w:r>
      <w:r w:rsidRPr="00283806">
        <w:rPr>
          <w:spacing w:val="9"/>
          <w:w w:val="105"/>
        </w:rPr>
        <w:t xml:space="preserve"> </w:t>
      </w:r>
      <w:r w:rsidRPr="00283806">
        <w:rPr>
          <w:w w:val="105"/>
        </w:rPr>
        <w:t>the</w:t>
      </w:r>
      <w:r w:rsidRPr="00283806">
        <w:rPr>
          <w:spacing w:val="9"/>
          <w:w w:val="105"/>
        </w:rPr>
        <w:t xml:space="preserve"> </w:t>
      </w:r>
      <w:r w:rsidRPr="00283806">
        <w:rPr>
          <w:w w:val="105"/>
        </w:rPr>
        <w:t>refrigerant-</w:t>
      </w:r>
      <w:r w:rsidRPr="00283806">
        <w:rPr>
          <w:spacing w:val="-2"/>
          <w:w w:val="105"/>
        </w:rPr>
        <w:t>containing</w:t>
      </w:r>
    </w:p>
    <w:p w14:paraId="7AA60FF1" w14:textId="77777777" w:rsidR="00D67C1E" w:rsidRPr="00283806" w:rsidRDefault="001265CA">
      <w:pPr>
        <w:pStyle w:val="BodyText"/>
        <w:spacing w:before="135" w:line="225" w:lineRule="auto"/>
        <w:ind w:left="143"/>
      </w:pPr>
      <w:r w:rsidRPr="00283806">
        <w:br w:type="column"/>
      </w:r>
      <w:r w:rsidRPr="00283806">
        <w:rPr>
          <w:w w:val="105"/>
        </w:rPr>
        <w:t>appliance or portion of the refrigerant- containing appliance, the test must be performed</w:t>
      </w:r>
      <w:r w:rsidRPr="00283806">
        <w:rPr>
          <w:spacing w:val="-7"/>
          <w:w w:val="105"/>
        </w:rPr>
        <w:t xml:space="preserve"> </w:t>
      </w:r>
      <w:r w:rsidRPr="00283806">
        <w:rPr>
          <w:w w:val="105"/>
        </w:rPr>
        <w:t>before</w:t>
      </w:r>
      <w:r w:rsidRPr="00283806">
        <w:rPr>
          <w:spacing w:val="-7"/>
          <w:w w:val="105"/>
        </w:rPr>
        <w:t xml:space="preserve"> </w:t>
      </w:r>
      <w:r w:rsidRPr="00283806">
        <w:rPr>
          <w:w w:val="105"/>
        </w:rPr>
        <w:t>adding</w:t>
      </w:r>
      <w:r w:rsidRPr="00283806">
        <w:rPr>
          <w:spacing w:val="-7"/>
          <w:w w:val="105"/>
        </w:rPr>
        <w:t xml:space="preserve"> </w:t>
      </w:r>
      <w:r w:rsidRPr="00283806">
        <w:rPr>
          <w:w w:val="105"/>
        </w:rPr>
        <w:t>any</w:t>
      </w:r>
      <w:r w:rsidRPr="00283806">
        <w:rPr>
          <w:spacing w:val="-7"/>
          <w:w w:val="105"/>
        </w:rPr>
        <w:t xml:space="preserve"> </w:t>
      </w:r>
      <w:r w:rsidRPr="00283806">
        <w:rPr>
          <w:w w:val="105"/>
        </w:rPr>
        <w:t>refrigerant to the refrigerant-containing appliance.</w:t>
      </w:r>
    </w:p>
    <w:p w14:paraId="4FBE94E0" w14:textId="77777777" w:rsidR="00D67C1E" w:rsidRPr="00283806" w:rsidRDefault="001265CA">
      <w:pPr>
        <w:pStyle w:val="ListParagraph"/>
        <w:numPr>
          <w:ilvl w:val="1"/>
          <w:numId w:val="29"/>
        </w:numPr>
        <w:tabs>
          <w:tab w:val="left" w:pos="671"/>
        </w:tabs>
        <w:spacing w:line="179" w:lineRule="exact"/>
        <w:ind w:left="671" w:hanging="348"/>
        <w:rPr>
          <w:sz w:val="18"/>
        </w:rPr>
      </w:pPr>
      <w:r w:rsidRPr="00283806">
        <w:rPr>
          <w:w w:val="105"/>
          <w:sz w:val="18"/>
        </w:rPr>
        <w:t>If</w:t>
      </w:r>
      <w:r w:rsidRPr="00283806">
        <w:rPr>
          <w:spacing w:val="17"/>
          <w:w w:val="105"/>
          <w:sz w:val="18"/>
        </w:rPr>
        <w:t xml:space="preserve"> </w:t>
      </w:r>
      <w:r w:rsidRPr="00283806">
        <w:rPr>
          <w:w w:val="105"/>
          <w:sz w:val="18"/>
        </w:rPr>
        <w:t>the</w:t>
      </w:r>
      <w:r w:rsidRPr="00283806">
        <w:rPr>
          <w:spacing w:val="18"/>
          <w:w w:val="105"/>
          <w:sz w:val="18"/>
        </w:rPr>
        <w:t xml:space="preserve"> </w:t>
      </w:r>
      <w:r w:rsidRPr="00283806">
        <w:rPr>
          <w:w w:val="105"/>
          <w:sz w:val="18"/>
        </w:rPr>
        <w:t>initial</w:t>
      </w:r>
      <w:r w:rsidRPr="00283806">
        <w:rPr>
          <w:spacing w:val="18"/>
          <w:w w:val="105"/>
          <w:sz w:val="18"/>
        </w:rPr>
        <w:t xml:space="preserve"> </w:t>
      </w:r>
      <w:r w:rsidRPr="00283806">
        <w:rPr>
          <w:w w:val="105"/>
          <w:sz w:val="18"/>
        </w:rPr>
        <w:t>verification</w:t>
      </w:r>
      <w:r w:rsidRPr="00283806">
        <w:rPr>
          <w:spacing w:val="18"/>
          <w:w w:val="105"/>
          <w:sz w:val="18"/>
        </w:rPr>
        <w:t xml:space="preserve"> </w:t>
      </w:r>
      <w:r w:rsidRPr="00283806">
        <w:rPr>
          <w:spacing w:val="-4"/>
          <w:w w:val="105"/>
          <w:sz w:val="18"/>
        </w:rPr>
        <w:t>test</w:t>
      </w:r>
    </w:p>
    <w:p w14:paraId="5D6226D2" w14:textId="77777777" w:rsidR="00D67C1E" w:rsidRPr="00283806" w:rsidRDefault="001265CA">
      <w:pPr>
        <w:pStyle w:val="BodyText"/>
        <w:spacing w:before="3" w:line="225" w:lineRule="auto"/>
        <w:ind w:left="143" w:right="123"/>
      </w:pPr>
      <w:r w:rsidRPr="00283806">
        <w:rPr>
          <w:w w:val="105"/>
        </w:rPr>
        <w:t>indicates that the repairs have not been successful, the owner or operator may conduct as many additional repairs and initial verification tests as needed</w:t>
      </w:r>
      <w:r w:rsidRPr="00283806">
        <w:rPr>
          <w:spacing w:val="80"/>
          <w:w w:val="105"/>
        </w:rPr>
        <w:t xml:space="preserve"> </w:t>
      </w:r>
      <w:r w:rsidRPr="00283806">
        <w:rPr>
          <w:w w:val="105"/>
        </w:rPr>
        <w:t xml:space="preserve">within the applicable </w:t>
      </w:r>
      <w:proofErr w:type="gramStart"/>
      <w:r w:rsidRPr="00283806">
        <w:rPr>
          <w:w w:val="105"/>
        </w:rPr>
        <w:t>time period</w:t>
      </w:r>
      <w:proofErr w:type="gramEnd"/>
      <w:r w:rsidRPr="00283806">
        <w:rPr>
          <w:w w:val="105"/>
        </w:rPr>
        <w:t>.</w:t>
      </w:r>
    </w:p>
    <w:p w14:paraId="19783124" w14:textId="77777777" w:rsidR="00D67C1E" w:rsidRPr="00283806" w:rsidRDefault="001265CA">
      <w:pPr>
        <w:pStyle w:val="ListParagraph"/>
        <w:numPr>
          <w:ilvl w:val="0"/>
          <w:numId w:val="29"/>
        </w:numPr>
        <w:tabs>
          <w:tab w:val="left" w:pos="591"/>
        </w:tabs>
        <w:spacing w:line="213" w:lineRule="auto"/>
        <w:ind w:left="143" w:right="497" w:firstLine="180"/>
        <w:rPr>
          <w:sz w:val="18"/>
        </w:rPr>
      </w:pPr>
      <w:r w:rsidRPr="00283806">
        <w:rPr>
          <w:rFonts w:ascii="Book Antiqua"/>
          <w:i/>
          <w:w w:val="110"/>
          <w:sz w:val="18"/>
        </w:rPr>
        <w:t xml:space="preserve">Follow-up verification test. </w:t>
      </w:r>
      <w:r w:rsidRPr="00283806">
        <w:rPr>
          <w:w w:val="110"/>
          <w:sz w:val="18"/>
        </w:rPr>
        <w:t xml:space="preserve">A </w:t>
      </w:r>
      <w:r w:rsidRPr="00283806">
        <w:rPr>
          <w:sz w:val="18"/>
        </w:rPr>
        <w:t>follow-up</w:t>
      </w:r>
      <w:r w:rsidRPr="00283806">
        <w:rPr>
          <w:spacing w:val="40"/>
          <w:sz w:val="18"/>
        </w:rPr>
        <w:t xml:space="preserve"> </w:t>
      </w:r>
      <w:r w:rsidRPr="00283806">
        <w:rPr>
          <w:sz w:val="18"/>
        </w:rPr>
        <w:t>verification</w:t>
      </w:r>
      <w:r w:rsidRPr="00283806">
        <w:rPr>
          <w:spacing w:val="40"/>
          <w:sz w:val="18"/>
        </w:rPr>
        <w:t xml:space="preserve"> </w:t>
      </w:r>
      <w:r w:rsidRPr="00283806">
        <w:rPr>
          <w:sz w:val="18"/>
        </w:rPr>
        <w:t>test</w:t>
      </w:r>
      <w:r w:rsidRPr="00283806">
        <w:rPr>
          <w:spacing w:val="40"/>
          <w:sz w:val="18"/>
        </w:rPr>
        <w:t xml:space="preserve"> </w:t>
      </w:r>
      <w:r w:rsidRPr="00283806">
        <w:rPr>
          <w:sz w:val="18"/>
        </w:rPr>
        <w:t>must</w:t>
      </w:r>
      <w:r w:rsidRPr="00283806">
        <w:rPr>
          <w:spacing w:val="40"/>
          <w:sz w:val="18"/>
        </w:rPr>
        <w:t xml:space="preserve"> </w:t>
      </w:r>
      <w:r w:rsidRPr="00283806">
        <w:rPr>
          <w:sz w:val="18"/>
        </w:rPr>
        <w:t>be</w:t>
      </w:r>
    </w:p>
    <w:p w14:paraId="3301E64E" w14:textId="77777777" w:rsidR="00D67C1E" w:rsidRPr="00283806" w:rsidRDefault="001265CA">
      <w:pPr>
        <w:pStyle w:val="BodyText"/>
        <w:spacing w:line="225" w:lineRule="auto"/>
        <w:ind w:left="143"/>
      </w:pPr>
      <w:r w:rsidRPr="00283806">
        <w:rPr>
          <w:w w:val="105"/>
        </w:rPr>
        <w:t>performed within 10 days of the successful initial verification test or 10 days of the refrigerant-containing appliance reaching normal operating characteristics and conditions (if the refrigerant-containing appliance or isolated component was evacuated for</w:t>
      </w:r>
      <w:r w:rsidRPr="00283806">
        <w:rPr>
          <w:spacing w:val="40"/>
          <w:w w:val="105"/>
        </w:rPr>
        <w:t xml:space="preserve"> </w:t>
      </w:r>
      <w:r w:rsidRPr="00283806">
        <w:rPr>
          <w:w w:val="105"/>
        </w:rPr>
        <w:t>the repair(s)). Where it is unsafe to be present or otherwise impossible to conduct a follow-up verification test when the system is operating at normal operating characteristics and conditions, the verification test must, where practicable, be conducted prior to the system returning to normal operating characteristics and conditions.</w:t>
      </w:r>
    </w:p>
    <w:p w14:paraId="6AED08F6" w14:textId="77777777" w:rsidR="00D67C1E" w:rsidRPr="00283806" w:rsidRDefault="001265CA">
      <w:pPr>
        <w:pStyle w:val="ListParagraph"/>
        <w:numPr>
          <w:ilvl w:val="1"/>
          <w:numId w:val="29"/>
        </w:numPr>
        <w:tabs>
          <w:tab w:val="left" w:pos="551"/>
        </w:tabs>
        <w:spacing w:line="228" w:lineRule="auto"/>
        <w:ind w:left="143" w:right="9" w:firstLine="180"/>
        <w:rPr>
          <w:sz w:val="18"/>
        </w:rPr>
      </w:pPr>
      <w:r w:rsidRPr="00283806">
        <w:rPr>
          <w:w w:val="105"/>
          <w:sz w:val="18"/>
        </w:rPr>
        <w:t xml:space="preserve">A follow-up verification test must demonstrate that leaks where repair attempts were made are repaired. If the follow-up verification test indicates that the repairs have not been successful, the owner or operator may conduct as many additional repairs and verification tests as needed to bring the refrigerant- containing appliance below the leak rate within the applicable </w:t>
      </w:r>
      <w:proofErr w:type="gramStart"/>
      <w:r w:rsidRPr="00283806">
        <w:rPr>
          <w:w w:val="105"/>
          <w:sz w:val="18"/>
        </w:rPr>
        <w:t>time period</w:t>
      </w:r>
      <w:proofErr w:type="gramEnd"/>
      <w:r w:rsidRPr="00283806">
        <w:rPr>
          <w:w w:val="105"/>
          <w:sz w:val="18"/>
        </w:rPr>
        <w:t xml:space="preserve"> and to verify the repairs.</w:t>
      </w:r>
    </w:p>
    <w:p w14:paraId="227DC246" w14:textId="77777777" w:rsidR="00D67C1E" w:rsidRPr="00283806" w:rsidRDefault="001265CA">
      <w:pPr>
        <w:pStyle w:val="ListParagraph"/>
        <w:numPr>
          <w:ilvl w:val="1"/>
          <w:numId w:val="29"/>
        </w:numPr>
        <w:tabs>
          <w:tab w:val="left" w:pos="611"/>
        </w:tabs>
        <w:spacing w:line="167" w:lineRule="exact"/>
        <w:ind w:left="611" w:hanging="288"/>
        <w:rPr>
          <w:sz w:val="18"/>
        </w:rPr>
      </w:pPr>
      <w:r w:rsidRPr="00283806">
        <w:rPr>
          <w:spacing w:val="-2"/>
          <w:w w:val="105"/>
          <w:sz w:val="18"/>
        </w:rPr>
        <w:t>[Reserved]</w:t>
      </w:r>
    </w:p>
    <w:p w14:paraId="4D92C97A" w14:textId="77777777" w:rsidR="00D67C1E" w:rsidRPr="00283806" w:rsidRDefault="001265CA">
      <w:pPr>
        <w:pStyle w:val="ListParagraph"/>
        <w:numPr>
          <w:ilvl w:val="0"/>
          <w:numId w:val="32"/>
        </w:numPr>
        <w:tabs>
          <w:tab w:val="left" w:pos="551"/>
        </w:tabs>
        <w:spacing w:line="220" w:lineRule="auto"/>
        <w:ind w:left="143" w:right="112" w:firstLine="180"/>
        <w:rPr>
          <w:sz w:val="18"/>
        </w:rPr>
      </w:pPr>
      <w:r w:rsidRPr="00283806">
        <w:rPr>
          <w:rFonts w:ascii="Book Antiqua"/>
          <w:i/>
          <w:w w:val="105"/>
          <w:sz w:val="18"/>
        </w:rPr>
        <w:t>Extensions to the appliance repair</w:t>
      </w:r>
      <w:r w:rsidRPr="00283806">
        <w:rPr>
          <w:rFonts w:ascii="Book Antiqua"/>
          <w:i/>
          <w:spacing w:val="40"/>
          <w:w w:val="105"/>
          <w:sz w:val="18"/>
        </w:rPr>
        <w:t xml:space="preserve"> </w:t>
      </w:r>
      <w:r w:rsidRPr="00283806">
        <w:rPr>
          <w:rFonts w:ascii="Book Antiqua"/>
          <w:i/>
          <w:w w:val="105"/>
          <w:sz w:val="18"/>
        </w:rPr>
        <w:t xml:space="preserve">deadlines. </w:t>
      </w:r>
      <w:r w:rsidRPr="00283806">
        <w:rPr>
          <w:w w:val="105"/>
          <w:sz w:val="18"/>
        </w:rPr>
        <w:t>Owners or operators are permitted more than 30 days (or 120 days if an industrial process shutdown</w:t>
      </w:r>
      <w:r w:rsidRPr="00283806">
        <w:rPr>
          <w:spacing w:val="40"/>
          <w:w w:val="105"/>
          <w:sz w:val="18"/>
        </w:rPr>
        <w:t xml:space="preserve"> </w:t>
      </w:r>
      <w:r w:rsidRPr="00283806">
        <w:rPr>
          <w:w w:val="105"/>
          <w:sz w:val="18"/>
        </w:rPr>
        <w:t>is</w:t>
      </w:r>
      <w:r w:rsidRPr="00283806">
        <w:rPr>
          <w:spacing w:val="9"/>
          <w:w w:val="105"/>
          <w:sz w:val="18"/>
        </w:rPr>
        <w:t xml:space="preserve"> </w:t>
      </w:r>
      <w:r w:rsidRPr="00283806">
        <w:rPr>
          <w:w w:val="105"/>
          <w:sz w:val="18"/>
        </w:rPr>
        <w:t>required)</w:t>
      </w:r>
      <w:r w:rsidRPr="00283806">
        <w:rPr>
          <w:spacing w:val="9"/>
          <w:w w:val="105"/>
          <w:sz w:val="18"/>
        </w:rPr>
        <w:t xml:space="preserve"> </w:t>
      </w:r>
      <w:r w:rsidRPr="00283806">
        <w:rPr>
          <w:w w:val="105"/>
          <w:sz w:val="18"/>
        </w:rPr>
        <w:t>to</w:t>
      </w:r>
      <w:r w:rsidRPr="00283806">
        <w:rPr>
          <w:spacing w:val="9"/>
          <w:w w:val="105"/>
          <w:sz w:val="18"/>
        </w:rPr>
        <w:t xml:space="preserve"> </w:t>
      </w:r>
      <w:r w:rsidRPr="00283806">
        <w:rPr>
          <w:w w:val="105"/>
          <w:sz w:val="18"/>
        </w:rPr>
        <w:t>comply</w:t>
      </w:r>
      <w:r w:rsidRPr="00283806">
        <w:rPr>
          <w:spacing w:val="10"/>
          <w:w w:val="105"/>
          <w:sz w:val="18"/>
        </w:rPr>
        <w:t xml:space="preserve"> </w:t>
      </w:r>
      <w:r w:rsidRPr="00283806">
        <w:rPr>
          <w:w w:val="105"/>
          <w:sz w:val="18"/>
        </w:rPr>
        <w:t>with</w:t>
      </w:r>
      <w:r w:rsidRPr="00283806">
        <w:rPr>
          <w:spacing w:val="9"/>
          <w:w w:val="105"/>
          <w:sz w:val="18"/>
        </w:rPr>
        <w:t xml:space="preserve"> </w:t>
      </w:r>
      <w:r w:rsidRPr="00283806">
        <w:rPr>
          <w:spacing w:val="-2"/>
          <w:w w:val="105"/>
          <w:sz w:val="18"/>
        </w:rPr>
        <w:t>paragraphs</w:t>
      </w:r>
    </w:p>
    <w:p w14:paraId="13482331" w14:textId="77777777" w:rsidR="00D67C1E" w:rsidRPr="00283806" w:rsidRDefault="001265CA">
      <w:pPr>
        <w:pStyle w:val="ListParagraph"/>
        <w:numPr>
          <w:ilvl w:val="0"/>
          <w:numId w:val="28"/>
        </w:numPr>
        <w:tabs>
          <w:tab w:val="left" w:pos="421"/>
        </w:tabs>
        <w:spacing w:line="228" w:lineRule="auto"/>
        <w:ind w:right="68" w:firstLine="0"/>
        <w:rPr>
          <w:sz w:val="18"/>
        </w:rPr>
      </w:pPr>
      <w:r w:rsidRPr="00283806">
        <w:rPr>
          <w:w w:val="105"/>
          <w:sz w:val="18"/>
        </w:rPr>
        <w:t>and (e) of this section if they meet</w:t>
      </w:r>
      <w:r w:rsidRPr="00283806">
        <w:rPr>
          <w:spacing w:val="40"/>
          <w:w w:val="105"/>
          <w:sz w:val="18"/>
        </w:rPr>
        <w:t xml:space="preserve"> </w:t>
      </w:r>
      <w:r w:rsidRPr="00283806">
        <w:rPr>
          <w:w w:val="105"/>
          <w:sz w:val="18"/>
        </w:rPr>
        <w:t>the requirements of paragraphs (f)(1) through (4) of this section or the refrigerant-containing appliance is mothballed. Extension requests must be signed by an authorized company official. The request will be considered approved unless EPA notifies the</w:t>
      </w:r>
      <w:r w:rsidRPr="00283806">
        <w:rPr>
          <w:spacing w:val="40"/>
          <w:w w:val="105"/>
          <w:sz w:val="18"/>
        </w:rPr>
        <w:t xml:space="preserve"> </w:t>
      </w:r>
      <w:r w:rsidRPr="00283806">
        <w:rPr>
          <w:w w:val="105"/>
          <w:sz w:val="18"/>
        </w:rPr>
        <w:t>owners or operators otherwise.</w:t>
      </w:r>
    </w:p>
    <w:p w14:paraId="517AC86B" w14:textId="77777777" w:rsidR="00D67C1E" w:rsidRPr="00283806" w:rsidRDefault="001265CA">
      <w:pPr>
        <w:pStyle w:val="ListParagraph"/>
        <w:numPr>
          <w:ilvl w:val="1"/>
          <w:numId w:val="28"/>
        </w:numPr>
        <w:tabs>
          <w:tab w:val="left" w:pos="591"/>
        </w:tabs>
        <w:spacing w:line="176" w:lineRule="exact"/>
        <w:ind w:left="591" w:hanging="268"/>
        <w:rPr>
          <w:sz w:val="18"/>
        </w:rPr>
      </w:pPr>
      <w:r w:rsidRPr="00283806">
        <w:rPr>
          <w:w w:val="105"/>
          <w:sz w:val="18"/>
        </w:rPr>
        <w:t>One</w:t>
      </w:r>
      <w:r w:rsidRPr="00283806">
        <w:rPr>
          <w:spacing w:val="7"/>
          <w:w w:val="105"/>
          <w:sz w:val="18"/>
        </w:rPr>
        <w:t xml:space="preserve"> </w:t>
      </w:r>
      <w:r w:rsidRPr="00283806">
        <w:rPr>
          <w:w w:val="105"/>
          <w:sz w:val="18"/>
        </w:rPr>
        <w:t>or</w:t>
      </w:r>
      <w:r w:rsidRPr="00283806">
        <w:rPr>
          <w:spacing w:val="7"/>
          <w:w w:val="105"/>
          <w:sz w:val="18"/>
        </w:rPr>
        <w:t xml:space="preserve"> </w:t>
      </w:r>
      <w:r w:rsidRPr="00283806">
        <w:rPr>
          <w:w w:val="105"/>
          <w:sz w:val="18"/>
        </w:rPr>
        <w:t>more</w:t>
      </w:r>
      <w:r w:rsidRPr="00283806">
        <w:rPr>
          <w:spacing w:val="7"/>
          <w:w w:val="105"/>
          <w:sz w:val="18"/>
        </w:rPr>
        <w:t xml:space="preserve"> </w:t>
      </w:r>
      <w:r w:rsidRPr="00283806">
        <w:rPr>
          <w:w w:val="105"/>
          <w:sz w:val="18"/>
        </w:rPr>
        <w:t>of</w:t>
      </w:r>
      <w:r w:rsidRPr="00283806">
        <w:rPr>
          <w:spacing w:val="7"/>
          <w:w w:val="105"/>
          <w:sz w:val="18"/>
        </w:rPr>
        <w:t xml:space="preserve"> </w:t>
      </w:r>
      <w:r w:rsidRPr="00283806">
        <w:rPr>
          <w:w w:val="105"/>
          <w:sz w:val="18"/>
        </w:rPr>
        <w:t>the</w:t>
      </w:r>
      <w:r w:rsidRPr="00283806">
        <w:rPr>
          <w:spacing w:val="7"/>
          <w:w w:val="105"/>
          <w:sz w:val="18"/>
        </w:rPr>
        <w:t xml:space="preserve"> </w:t>
      </w:r>
      <w:r w:rsidRPr="00283806">
        <w:rPr>
          <w:spacing w:val="-2"/>
          <w:w w:val="105"/>
          <w:sz w:val="18"/>
        </w:rPr>
        <w:t>following</w:t>
      </w:r>
    </w:p>
    <w:p w14:paraId="6E67A4DC" w14:textId="77777777" w:rsidR="00D67C1E" w:rsidRPr="00283806" w:rsidRDefault="001265CA">
      <w:pPr>
        <w:pStyle w:val="BodyText"/>
        <w:spacing w:line="192" w:lineRule="exact"/>
        <w:ind w:left="143"/>
      </w:pPr>
      <w:r w:rsidRPr="00283806">
        <w:rPr>
          <w:w w:val="105"/>
        </w:rPr>
        <w:t>conditions</w:t>
      </w:r>
      <w:r w:rsidRPr="00283806">
        <w:rPr>
          <w:spacing w:val="19"/>
          <w:w w:val="105"/>
        </w:rPr>
        <w:t xml:space="preserve"> </w:t>
      </w:r>
      <w:r w:rsidRPr="00283806">
        <w:rPr>
          <w:w w:val="105"/>
        </w:rPr>
        <w:t>must</w:t>
      </w:r>
      <w:r w:rsidRPr="00283806">
        <w:rPr>
          <w:spacing w:val="19"/>
          <w:w w:val="105"/>
        </w:rPr>
        <w:t xml:space="preserve"> </w:t>
      </w:r>
      <w:r w:rsidRPr="00283806">
        <w:rPr>
          <w:spacing w:val="-2"/>
          <w:w w:val="105"/>
        </w:rPr>
        <w:t>apply:</w:t>
      </w:r>
    </w:p>
    <w:p w14:paraId="192C6CA8" w14:textId="77777777" w:rsidR="00D67C1E" w:rsidRPr="00283806" w:rsidRDefault="001265CA">
      <w:pPr>
        <w:pStyle w:val="ListParagraph"/>
        <w:numPr>
          <w:ilvl w:val="2"/>
          <w:numId w:val="28"/>
        </w:numPr>
        <w:tabs>
          <w:tab w:val="left" w:pos="551"/>
        </w:tabs>
        <w:spacing w:line="228" w:lineRule="auto"/>
        <w:ind w:right="220" w:firstLine="180"/>
        <w:rPr>
          <w:sz w:val="18"/>
        </w:rPr>
      </w:pPr>
      <w:r w:rsidRPr="00283806">
        <w:rPr>
          <w:w w:val="105"/>
          <w:sz w:val="18"/>
        </w:rPr>
        <w:t xml:space="preserve">The refrigerant-containing appliance </w:t>
      </w:r>
      <w:proofErr w:type="gramStart"/>
      <w:r w:rsidRPr="00283806">
        <w:rPr>
          <w:w w:val="105"/>
          <w:sz w:val="18"/>
        </w:rPr>
        <w:t>is located in</w:t>
      </w:r>
      <w:proofErr w:type="gramEnd"/>
      <w:r w:rsidRPr="00283806">
        <w:rPr>
          <w:w w:val="105"/>
          <w:sz w:val="18"/>
        </w:rPr>
        <w:t xml:space="preserve"> an area subject to radiological contamination or</w:t>
      </w:r>
    </w:p>
    <w:p w14:paraId="58512FB0" w14:textId="77777777" w:rsidR="00D67C1E" w:rsidRPr="00283806" w:rsidRDefault="001265CA">
      <w:pPr>
        <w:pStyle w:val="BodyText"/>
        <w:spacing w:line="228" w:lineRule="auto"/>
        <w:ind w:left="143" w:right="12"/>
      </w:pPr>
      <w:r w:rsidRPr="00283806">
        <w:rPr>
          <w:w w:val="105"/>
        </w:rPr>
        <w:t>shutting down the refrigerant-containing appliance will directly lead to</w:t>
      </w:r>
      <w:r w:rsidRPr="00283806">
        <w:rPr>
          <w:spacing w:val="40"/>
          <w:w w:val="105"/>
        </w:rPr>
        <w:t xml:space="preserve"> </w:t>
      </w:r>
      <w:r w:rsidRPr="00283806">
        <w:rPr>
          <w:w w:val="105"/>
        </w:rPr>
        <w:t>radiological contamination. Additional time is permitted to the extent needed</w:t>
      </w:r>
    </w:p>
    <w:p w14:paraId="3D9F57CB" w14:textId="77777777" w:rsidR="00D67C1E" w:rsidRPr="00283806" w:rsidRDefault="001265CA">
      <w:pPr>
        <w:pStyle w:val="BodyText"/>
        <w:spacing w:line="228" w:lineRule="auto"/>
        <w:ind w:left="143"/>
      </w:pPr>
      <w:r w:rsidRPr="00283806">
        <w:rPr>
          <w:w w:val="105"/>
        </w:rPr>
        <w:t>to conduct and finish repairs in a safe working environment.</w:t>
      </w:r>
    </w:p>
    <w:p w14:paraId="24F7CCF5" w14:textId="77777777" w:rsidR="00D67C1E" w:rsidRPr="00283806" w:rsidRDefault="001265CA">
      <w:pPr>
        <w:pStyle w:val="ListParagraph"/>
        <w:numPr>
          <w:ilvl w:val="2"/>
          <w:numId w:val="28"/>
        </w:numPr>
        <w:tabs>
          <w:tab w:val="left" w:pos="611"/>
        </w:tabs>
        <w:spacing w:line="180" w:lineRule="exact"/>
        <w:ind w:left="611" w:hanging="288"/>
        <w:rPr>
          <w:sz w:val="18"/>
        </w:rPr>
      </w:pPr>
      <w:r w:rsidRPr="00283806">
        <w:rPr>
          <w:w w:val="105"/>
          <w:sz w:val="18"/>
        </w:rPr>
        <w:t>Requirements</w:t>
      </w:r>
      <w:r w:rsidRPr="00283806">
        <w:rPr>
          <w:spacing w:val="-1"/>
          <w:w w:val="105"/>
          <w:sz w:val="18"/>
        </w:rPr>
        <w:t xml:space="preserve"> </w:t>
      </w:r>
      <w:r w:rsidRPr="00283806">
        <w:rPr>
          <w:w w:val="105"/>
          <w:sz w:val="18"/>
        </w:rPr>
        <w:t xml:space="preserve">of other </w:t>
      </w:r>
      <w:r w:rsidRPr="00283806">
        <w:rPr>
          <w:spacing w:val="-2"/>
          <w:w w:val="105"/>
          <w:sz w:val="18"/>
        </w:rPr>
        <w:t>applicable</w:t>
      </w:r>
    </w:p>
    <w:p w14:paraId="517E8E0C" w14:textId="77777777" w:rsidR="00D67C1E" w:rsidRPr="00283806" w:rsidRDefault="001265CA">
      <w:pPr>
        <w:pStyle w:val="BodyText"/>
        <w:spacing w:line="228" w:lineRule="auto"/>
        <w:ind w:left="143" w:right="75"/>
      </w:pPr>
      <w:r w:rsidRPr="00283806">
        <w:rPr>
          <w:w w:val="105"/>
        </w:rPr>
        <w:t>Federal, State, local, or Tribal</w:t>
      </w:r>
      <w:r w:rsidRPr="00283806">
        <w:rPr>
          <w:spacing w:val="80"/>
          <w:w w:val="105"/>
        </w:rPr>
        <w:t xml:space="preserve"> </w:t>
      </w:r>
      <w:r w:rsidRPr="00283806">
        <w:rPr>
          <w:w w:val="105"/>
        </w:rPr>
        <w:t>regulations make repairs within 30 days (or 120 days if an industrial process</w:t>
      </w:r>
    </w:p>
    <w:p w14:paraId="7F1C414A" w14:textId="77777777" w:rsidR="00D67C1E" w:rsidRPr="00283806" w:rsidRDefault="001265CA">
      <w:pPr>
        <w:pStyle w:val="BodyText"/>
        <w:spacing w:before="132" w:line="228" w:lineRule="auto"/>
        <w:ind w:left="142" w:right="243"/>
      </w:pPr>
      <w:r w:rsidRPr="00283806">
        <w:br w:type="column"/>
      </w:r>
      <w:r w:rsidRPr="00283806">
        <w:rPr>
          <w:w w:val="105"/>
        </w:rPr>
        <w:t>shutdown is required) impossible. Additional time is permitted to the extent needed to comply with the pertinent regulations.</w:t>
      </w:r>
    </w:p>
    <w:p w14:paraId="7A01B967" w14:textId="77777777" w:rsidR="00D67C1E" w:rsidRPr="00283806" w:rsidRDefault="001265CA">
      <w:pPr>
        <w:pStyle w:val="ListParagraph"/>
        <w:numPr>
          <w:ilvl w:val="2"/>
          <w:numId w:val="28"/>
        </w:numPr>
        <w:tabs>
          <w:tab w:val="left" w:pos="670"/>
        </w:tabs>
        <w:spacing w:before="8" w:line="228" w:lineRule="auto"/>
        <w:ind w:left="142" w:right="231" w:firstLine="180"/>
        <w:rPr>
          <w:sz w:val="18"/>
        </w:rPr>
      </w:pPr>
      <w:r w:rsidRPr="00283806">
        <w:rPr>
          <w:w w:val="105"/>
          <w:sz w:val="18"/>
        </w:rPr>
        <w:t xml:space="preserve">Components that must be replaced are not available within 30 days (or 120 days if an industrial process shutdown is required). Additional time is permitted up to 30 days after receiving delivery of the necessary components, not to exceed 180 days (or 270 days if an industrial process shutdown is required) from the date the refrigerant-containing appliance exceeded the applicable leak </w:t>
      </w:r>
      <w:r w:rsidRPr="00283806">
        <w:rPr>
          <w:spacing w:val="-2"/>
          <w:w w:val="105"/>
          <w:sz w:val="18"/>
        </w:rPr>
        <w:t>rate.</w:t>
      </w:r>
    </w:p>
    <w:p w14:paraId="2F3298A2" w14:textId="77777777" w:rsidR="00D67C1E" w:rsidRPr="00283806" w:rsidRDefault="001265CA">
      <w:pPr>
        <w:pStyle w:val="ListParagraph"/>
        <w:numPr>
          <w:ilvl w:val="1"/>
          <w:numId w:val="28"/>
        </w:numPr>
        <w:tabs>
          <w:tab w:val="left" w:pos="590"/>
        </w:tabs>
        <w:spacing w:before="4" w:line="228" w:lineRule="auto"/>
        <w:ind w:left="142" w:right="132" w:firstLine="180"/>
        <w:rPr>
          <w:sz w:val="18"/>
        </w:rPr>
      </w:pPr>
      <w:r w:rsidRPr="00283806">
        <w:rPr>
          <w:w w:val="105"/>
          <w:sz w:val="18"/>
        </w:rPr>
        <w:t>Repairs to leaks that the technician has identified as significantly contributing to the exceedance of the</w:t>
      </w:r>
      <w:r w:rsidRPr="00283806">
        <w:rPr>
          <w:spacing w:val="40"/>
          <w:w w:val="105"/>
          <w:sz w:val="18"/>
        </w:rPr>
        <w:t xml:space="preserve"> </w:t>
      </w:r>
      <w:r w:rsidRPr="00283806">
        <w:rPr>
          <w:w w:val="105"/>
          <w:sz w:val="18"/>
        </w:rPr>
        <w:t xml:space="preserve">leak rate and that </w:t>
      </w:r>
      <w:proofErr w:type="gramStart"/>
      <w:r w:rsidRPr="00283806">
        <w:rPr>
          <w:w w:val="105"/>
          <w:sz w:val="18"/>
        </w:rPr>
        <w:t>do</w:t>
      </w:r>
      <w:proofErr w:type="gramEnd"/>
      <w:r w:rsidRPr="00283806">
        <w:rPr>
          <w:w w:val="105"/>
          <w:sz w:val="18"/>
        </w:rPr>
        <w:t xml:space="preserve"> not require additional time </w:t>
      </w:r>
      <w:proofErr w:type="gramStart"/>
      <w:r w:rsidRPr="00283806">
        <w:rPr>
          <w:w w:val="105"/>
          <w:sz w:val="18"/>
        </w:rPr>
        <w:t>must be</w:t>
      </w:r>
      <w:proofErr w:type="gramEnd"/>
      <w:r w:rsidRPr="00283806">
        <w:rPr>
          <w:w w:val="105"/>
          <w:sz w:val="18"/>
        </w:rPr>
        <w:t xml:space="preserve"> completed and verified within the initial 30-day repair period (or 120-day repair period if an industrial process shutdown is</w:t>
      </w:r>
      <w:r w:rsidRPr="00283806">
        <w:rPr>
          <w:spacing w:val="80"/>
          <w:w w:val="105"/>
          <w:sz w:val="18"/>
        </w:rPr>
        <w:t xml:space="preserve"> </w:t>
      </w:r>
      <w:r w:rsidRPr="00283806">
        <w:rPr>
          <w:spacing w:val="-2"/>
          <w:w w:val="105"/>
          <w:sz w:val="18"/>
        </w:rPr>
        <w:t>required</w:t>
      </w:r>
      <w:proofErr w:type="gramStart"/>
      <w:r w:rsidRPr="00283806">
        <w:rPr>
          <w:spacing w:val="-2"/>
          <w:w w:val="105"/>
          <w:sz w:val="18"/>
        </w:rPr>
        <w:t>);</w:t>
      </w:r>
      <w:proofErr w:type="gramEnd"/>
    </w:p>
    <w:p w14:paraId="43164E33" w14:textId="77777777" w:rsidR="00D67C1E" w:rsidRPr="00283806" w:rsidRDefault="001265CA">
      <w:pPr>
        <w:pStyle w:val="ListParagraph"/>
        <w:numPr>
          <w:ilvl w:val="1"/>
          <w:numId w:val="28"/>
        </w:numPr>
        <w:tabs>
          <w:tab w:val="left" w:pos="590"/>
        </w:tabs>
        <w:spacing w:before="6" w:line="228" w:lineRule="auto"/>
        <w:ind w:left="142" w:right="292" w:firstLine="180"/>
        <w:rPr>
          <w:sz w:val="18"/>
        </w:rPr>
      </w:pPr>
      <w:r w:rsidRPr="00283806">
        <w:rPr>
          <w:w w:val="105"/>
          <w:sz w:val="18"/>
        </w:rPr>
        <w:t>The owner or operator must document all repair efforts and the reason for the inability to make all necessary repairs within the initial 30- day repair period (or 120-day repair period if an industrial process shutdown is required); and</w:t>
      </w:r>
    </w:p>
    <w:p w14:paraId="49C2E214" w14:textId="77777777" w:rsidR="00D67C1E" w:rsidRPr="00283806" w:rsidRDefault="001265CA">
      <w:pPr>
        <w:pStyle w:val="ListParagraph"/>
        <w:numPr>
          <w:ilvl w:val="1"/>
          <w:numId w:val="28"/>
        </w:numPr>
        <w:tabs>
          <w:tab w:val="left" w:pos="590"/>
        </w:tabs>
        <w:spacing w:before="6" w:line="228" w:lineRule="auto"/>
        <w:ind w:left="142" w:right="121" w:firstLine="180"/>
        <w:rPr>
          <w:sz w:val="18"/>
        </w:rPr>
      </w:pPr>
      <w:r w:rsidRPr="00283806">
        <w:rPr>
          <w:w w:val="105"/>
          <w:sz w:val="18"/>
        </w:rPr>
        <w:t>The owner or operator must</w:t>
      </w:r>
      <w:r w:rsidRPr="00283806">
        <w:rPr>
          <w:spacing w:val="40"/>
          <w:w w:val="105"/>
          <w:sz w:val="18"/>
        </w:rPr>
        <w:t xml:space="preserve"> </w:t>
      </w:r>
      <w:r w:rsidRPr="00283806">
        <w:rPr>
          <w:w w:val="105"/>
          <w:sz w:val="18"/>
        </w:rPr>
        <w:t>request an extension from EPA electronically, using the Agency’s applicable reporting platform, within 30 days (or 120 days if an industrial</w:t>
      </w:r>
      <w:r w:rsidRPr="00283806">
        <w:rPr>
          <w:spacing w:val="80"/>
          <w:w w:val="150"/>
          <w:sz w:val="18"/>
        </w:rPr>
        <w:t xml:space="preserve"> </w:t>
      </w:r>
      <w:r w:rsidRPr="00283806">
        <w:rPr>
          <w:w w:val="105"/>
          <w:sz w:val="18"/>
        </w:rPr>
        <w:t>process shutdown is required) of the refrigerant-containing appliance exceeding the applicable leak rate in paragraph (c) of this section. Extension requests</w:t>
      </w:r>
      <w:r w:rsidRPr="00283806">
        <w:rPr>
          <w:spacing w:val="40"/>
          <w:w w:val="105"/>
          <w:sz w:val="18"/>
        </w:rPr>
        <w:t xml:space="preserve"> </w:t>
      </w:r>
      <w:r w:rsidRPr="00283806">
        <w:rPr>
          <w:w w:val="105"/>
          <w:sz w:val="18"/>
        </w:rPr>
        <w:t>must</w:t>
      </w:r>
      <w:r w:rsidRPr="00283806">
        <w:rPr>
          <w:spacing w:val="40"/>
          <w:w w:val="105"/>
          <w:sz w:val="18"/>
        </w:rPr>
        <w:t xml:space="preserve"> </w:t>
      </w:r>
      <w:r w:rsidRPr="00283806">
        <w:rPr>
          <w:w w:val="105"/>
          <w:sz w:val="18"/>
        </w:rPr>
        <w:t>include:</w:t>
      </w:r>
      <w:r w:rsidRPr="00283806">
        <w:rPr>
          <w:spacing w:val="40"/>
          <w:w w:val="105"/>
          <w:sz w:val="18"/>
        </w:rPr>
        <w:t xml:space="preserve"> </w:t>
      </w:r>
      <w:r w:rsidRPr="00283806">
        <w:rPr>
          <w:w w:val="105"/>
          <w:sz w:val="18"/>
        </w:rPr>
        <w:t>Identification and address of the facility; the name of the owner or operator of the refrigerant- containing appliance; the leak rate; the method used to determine the leak rate and full charge; the date the refrigerant- containing appliance exceeded the applicable leak rate; the location of leak(s) to the extent determined to date; any repairs that have been performed thus far, including the date that repairs were completed; the reasons why more than 30 days (or 120 days if an</w:t>
      </w:r>
      <w:r w:rsidRPr="00283806">
        <w:rPr>
          <w:spacing w:val="80"/>
          <w:w w:val="150"/>
          <w:sz w:val="18"/>
        </w:rPr>
        <w:t xml:space="preserve"> </w:t>
      </w:r>
      <w:r w:rsidRPr="00283806">
        <w:rPr>
          <w:w w:val="105"/>
          <w:sz w:val="18"/>
        </w:rPr>
        <w:t>industrial process shutdown is required) are needed to complete the repairs; an estimate of when the repairs will be completed; and a signature from an authorized company official. If the estimated completion date is to be extended, a new estimated date of completion and documentation of the reason for that change must be</w:t>
      </w:r>
      <w:r w:rsidRPr="00283806">
        <w:rPr>
          <w:spacing w:val="80"/>
          <w:w w:val="105"/>
          <w:sz w:val="18"/>
        </w:rPr>
        <w:t xml:space="preserve"> </w:t>
      </w:r>
      <w:r w:rsidRPr="00283806">
        <w:rPr>
          <w:w w:val="105"/>
          <w:sz w:val="18"/>
        </w:rPr>
        <w:t>submitted to EPA within 30 days of identifying that the completion date</w:t>
      </w:r>
      <w:r w:rsidRPr="00283806">
        <w:rPr>
          <w:spacing w:val="80"/>
          <w:w w:val="105"/>
          <w:sz w:val="18"/>
        </w:rPr>
        <w:t xml:space="preserve"> </w:t>
      </w:r>
      <w:r w:rsidRPr="00283806">
        <w:rPr>
          <w:w w:val="105"/>
          <w:sz w:val="18"/>
        </w:rPr>
        <w:t>must be extended. The owner or</w:t>
      </w:r>
      <w:r w:rsidRPr="00283806">
        <w:rPr>
          <w:spacing w:val="80"/>
          <w:w w:val="105"/>
          <w:sz w:val="18"/>
        </w:rPr>
        <w:t xml:space="preserve"> </w:t>
      </w:r>
      <w:r w:rsidRPr="00283806">
        <w:rPr>
          <w:w w:val="105"/>
          <w:sz w:val="18"/>
        </w:rPr>
        <w:t>operator must keep a dated copy of</w:t>
      </w:r>
      <w:r w:rsidRPr="00283806">
        <w:rPr>
          <w:spacing w:val="80"/>
          <w:w w:val="105"/>
          <w:sz w:val="18"/>
        </w:rPr>
        <w:t xml:space="preserve"> </w:t>
      </w:r>
      <w:r w:rsidRPr="00283806">
        <w:rPr>
          <w:w w:val="105"/>
          <w:sz w:val="18"/>
        </w:rPr>
        <w:t>these submissions.</w:t>
      </w:r>
    </w:p>
    <w:p w14:paraId="5467F427" w14:textId="77777777" w:rsidR="00D67C1E" w:rsidRPr="00283806" w:rsidRDefault="00D67C1E">
      <w:pPr>
        <w:spacing w:line="228" w:lineRule="auto"/>
        <w:rPr>
          <w:sz w:val="18"/>
        </w:rPr>
        <w:sectPr w:rsidR="00D67C1E" w:rsidRPr="00283806">
          <w:pgSz w:w="12240" w:h="15840"/>
          <w:pgMar w:top="1040" w:right="780" w:bottom="280" w:left="740" w:header="627" w:footer="0" w:gutter="0"/>
          <w:cols w:num="3" w:space="720" w:equalWidth="0">
            <w:col w:w="3517" w:space="40"/>
            <w:col w:w="3502" w:space="39"/>
            <w:col w:w="3622"/>
          </w:cols>
        </w:sectPr>
      </w:pPr>
    </w:p>
    <w:p w14:paraId="330E62AC" w14:textId="77777777" w:rsidR="00D67C1E" w:rsidRPr="00283806" w:rsidRDefault="001265CA">
      <w:pPr>
        <w:pStyle w:val="ListParagraph"/>
        <w:numPr>
          <w:ilvl w:val="0"/>
          <w:numId w:val="32"/>
        </w:numPr>
        <w:tabs>
          <w:tab w:val="left" w:pos="597"/>
        </w:tabs>
        <w:spacing w:before="137" w:line="223" w:lineRule="auto"/>
        <w:ind w:left="159" w:right="27" w:firstLine="180"/>
        <w:rPr>
          <w:sz w:val="18"/>
        </w:rPr>
      </w:pPr>
      <w:r w:rsidRPr="00283806">
        <w:rPr>
          <w:rFonts w:ascii="Book Antiqua"/>
          <w:i/>
          <w:w w:val="105"/>
          <w:sz w:val="18"/>
        </w:rPr>
        <w:lastRenderedPageBreak/>
        <w:t xml:space="preserve">Leak inspections. </w:t>
      </w:r>
      <w:r w:rsidRPr="00283806">
        <w:rPr>
          <w:w w:val="105"/>
          <w:sz w:val="18"/>
        </w:rPr>
        <w:t>(1) The owner or operator must conduct a leak inspection in accordance with the following schedule on any refrigerant-containing appliance exceeding the applicable leak rate in paragraph (c)(2) of this section.</w:t>
      </w:r>
    </w:p>
    <w:p w14:paraId="49EC268B" w14:textId="77777777" w:rsidR="00D67C1E" w:rsidRPr="00283806" w:rsidRDefault="001265CA">
      <w:pPr>
        <w:pStyle w:val="ListParagraph"/>
        <w:numPr>
          <w:ilvl w:val="0"/>
          <w:numId w:val="27"/>
        </w:numPr>
        <w:tabs>
          <w:tab w:val="left" w:pos="567"/>
        </w:tabs>
        <w:spacing w:line="179" w:lineRule="exact"/>
        <w:ind w:left="567" w:hanging="228"/>
        <w:rPr>
          <w:sz w:val="18"/>
        </w:rPr>
      </w:pPr>
      <w:r w:rsidRPr="00283806">
        <w:rPr>
          <w:w w:val="105"/>
          <w:sz w:val="18"/>
        </w:rPr>
        <w:t>For</w:t>
      </w:r>
      <w:r w:rsidRPr="00283806">
        <w:rPr>
          <w:spacing w:val="6"/>
          <w:w w:val="105"/>
          <w:sz w:val="18"/>
        </w:rPr>
        <w:t xml:space="preserve"> </w:t>
      </w:r>
      <w:r w:rsidRPr="00283806">
        <w:rPr>
          <w:w w:val="105"/>
          <w:sz w:val="18"/>
        </w:rPr>
        <w:t>commercial</w:t>
      </w:r>
      <w:r w:rsidRPr="00283806">
        <w:rPr>
          <w:spacing w:val="6"/>
          <w:w w:val="105"/>
          <w:sz w:val="18"/>
        </w:rPr>
        <w:t xml:space="preserve"> </w:t>
      </w:r>
      <w:r w:rsidRPr="00283806">
        <w:rPr>
          <w:w w:val="105"/>
          <w:sz w:val="18"/>
        </w:rPr>
        <w:t>refrigeration</w:t>
      </w:r>
      <w:r w:rsidRPr="00283806">
        <w:rPr>
          <w:spacing w:val="7"/>
          <w:w w:val="105"/>
          <w:sz w:val="18"/>
        </w:rPr>
        <w:t xml:space="preserve"> </w:t>
      </w:r>
      <w:r w:rsidRPr="00283806">
        <w:rPr>
          <w:spacing w:val="-5"/>
          <w:w w:val="105"/>
          <w:sz w:val="18"/>
        </w:rPr>
        <w:t>and</w:t>
      </w:r>
    </w:p>
    <w:p w14:paraId="038F75F8" w14:textId="77777777" w:rsidR="00D67C1E" w:rsidRPr="00283806" w:rsidRDefault="001265CA">
      <w:pPr>
        <w:pStyle w:val="BodyText"/>
        <w:spacing w:before="2" w:line="228" w:lineRule="auto"/>
        <w:ind w:left="159" w:right="56"/>
      </w:pPr>
      <w:r w:rsidRPr="00283806">
        <w:rPr>
          <w:w w:val="105"/>
        </w:rPr>
        <w:t>industrial process refrigeration appliances with a full charge of 500 or more pounds, leak inspections must be conducted once every three months</w:t>
      </w:r>
      <w:r w:rsidRPr="00283806">
        <w:rPr>
          <w:spacing w:val="40"/>
          <w:w w:val="105"/>
        </w:rPr>
        <w:t xml:space="preserve"> </w:t>
      </w:r>
      <w:r w:rsidRPr="00283806">
        <w:rPr>
          <w:w w:val="105"/>
        </w:rPr>
        <w:t>after the date of a successful follow-up verification test, until the owner or operator can demonstrate through the leak rate calculations required under paragraph (b) of this section that the appliance</w:t>
      </w:r>
      <w:r w:rsidRPr="00283806">
        <w:rPr>
          <w:spacing w:val="40"/>
          <w:w w:val="105"/>
        </w:rPr>
        <w:t xml:space="preserve"> </w:t>
      </w:r>
      <w:r w:rsidRPr="00283806">
        <w:rPr>
          <w:w w:val="105"/>
        </w:rPr>
        <w:t>has</w:t>
      </w:r>
      <w:r w:rsidRPr="00283806">
        <w:rPr>
          <w:spacing w:val="40"/>
          <w:w w:val="105"/>
        </w:rPr>
        <w:t xml:space="preserve"> </w:t>
      </w:r>
      <w:r w:rsidRPr="00283806">
        <w:rPr>
          <w:w w:val="105"/>
        </w:rPr>
        <w:t>not</w:t>
      </w:r>
      <w:r w:rsidRPr="00283806">
        <w:rPr>
          <w:spacing w:val="40"/>
          <w:w w:val="105"/>
        </w:rPr>
        <w:t xml:space="preserve"> </w:t>
      </w:r>
      <w:r w:rsidRPr="00283806">
        <w:rPr>
          <w:w w:val="105"/>
        </w:rPr>
        <w:t>leaked</w:t>
      </w:r>
      <w:r w:rsidRPr="00283806">
        <w:rPr>
          <w:spacing w:val="40"/>
          <w:w w:val="105"/>
        </w:rPr>
        <w:t xml:space="preserve"> </w:t>
      </w:r>
      <w:r w:rsidRPr="00283806">
        <w:rPr>
          <w:w w:val="105"/>
        </w:rPr>
        <w:t>in</w:t>
      </w:r>
      <w:r w:rsidRPr="00283806">
        <w:rPr>
          <w:spacing w:val="40"/>
          <w:w w:val="105"/>
        </w:rPr>
        <w:t xml:space="preserve"> </w:t>
      </w:r>
      <w:r w:rsidRPr="00283806">
        <w:rPr>
          <w:w w:val="105"/>
        </w:rPr>
        <w:t>excess</w:t>
      </w:r>
      <w:r w:rsidRPr="00283806">
        <w:rPr>
          <w:spacing w:val="40"/>
          <w:w w:val="105"/>
        </w:rPr>
        <w:t xml:space="preserve"> </w:t>
      </w:r>
      <w:r w:rsidRPr="00283806">
        <w:rPr>
          <w:w w:val="105"/>
        </w:rPr>
        <w:t>of the</w:t>
      </w:r>
      <w:r w:rsidRPr="00283806">
        <w:rPr>
          <w:spacing w:val="-1"/>
          <w:w w:val="105"/>
        </w:rPr>
        <w:t xml:space="preserve"> </w:t>
      </w:r>
      <w:r w:rsidRPr="00283806">
        <w:rPr>
          <w:w w:val="105"/>
        </w:rPr>
        <w:t>applicable</w:t>
      </w:r>
      <w:r w:rsidRPr="00283806">
        <w:rPr>
          <w:spacing w:val="-1"/>
          <w:w w:val="105"/>
        </w:rPr>
        <w:t xml:space="preserve"> </w:t>
      </w:r>
      <w:r w:rsidRPr="00283806">
        <w:rPr>
          <w:w w:val="105"/>
        </w:rPr>
        <w:t>leak</w:t>
      </w:r>
      <w:r w:rsidRPr="00283806">
        <w:rPr>
          <w:spacing w:val="-1"/>
          <w:w w:val="105"/>
        </w:rPr>
        <w:t xml:space="preserve"> </w:t>
      </w:r>
      <w:r w:rsidRPr="00283806">
        <w:rPr>
          <w:w w:val="105"/>
        </w:rPr>
        <w:t>rate</w:t>
      </w:r>
      <w:r w:rsidRPr="00283806">
        <w:rPr>
          <w:spacing w:val="-1"/>
          <w:w w:val="105"/>
        </w:rPr>
        <w:t xml:space="preserve"> </w:t>
      </w:r>
      <w:r w:rsidRPr="00283806">
        <w:rPr>
          <w:w w:val="105"/>
        </w:rPr>
        <w:t>for</w:t>
      </w:r>
      <w:r w:rsidRPr="00283806">
        <w:rPr>
          <w:spacing w:val="-1"/>
          <w:w w:val="105"/>
        </w:rPr>
        <w:t xml:space="preserve"> </w:t>
      </w:r>
      <w:r w:rsidRPr="00283806">
        <w:rPr>
          <w:w w:val="105"/>
        </w:rPr>
        <w:t>four</w:t>
      </w:r>
      <w:r w:rsidRPr="00283806">
        <w:rPr>
          <w:spacing w:val="-1"/>
          <w:w w:val="105"/>
        </w:rPr>
        <w:t xml:space="preserve"> </w:t>
      </w:r>
      <w:r w:rsidRPr="00283806">
        <w:rPr>
          <w:w w:val="105"/>
        </w:rPr>
        <w:t>quarters in a row.</w:t>
      </w:r>
    </w:p>
    <w:p w14:paraId="31AD6BE8" w14:textId="77777777" w:rsidR="00D67C1E" w:rsidRPr="00283806" w:rsidRDefault="001265CA">
      <w:pPr>
        <w:pStyle w:val="ListParagraph"/>
        <w:numPr>
          <w:ilvl w:val="0"/>
          <w:numId w:val="27"/>
        </w:numPr>
        <w:tabs>
          <w:tab w:val="left" w:pos="627"/>
        </w:tabs>
        <w:spacing w:line="171" w:lineRule="exact"/>
        <w:ind w:left="627" w:hanging="288"/>
        <w:rPr>
          <w:sz w:val="18"/>
        </w:rPr>
      </w:pPr>
      <w:r w:rsidRPr="00283806">
        <w:rPr>
          <w:w w:val="105"/>
          <w:sz w:val="18"/>
        </w:rPr>
        <w:t>For</w:t>
      </w:r>
      <w:r w:rsidRPr="00283806">
        <w:rPr>
          <w:spacing w:val="6"/>
          <w:w w:val="105"/>
          <w:sz w:val="18"/>
        </w:rPr>
        <w:t xml:space="preserve"> </w:t>
      </w:r>
      <w:r w:rsidRPr="00283806">
        <w:rPr>
          <w:w w:val="105"/>
          <w:sz w:val="18"/>
        </w:rPr>
        <w:t>commercial</w:t>
      </w:r>
      <w:r w:rsidRPr="00283806">
        <w:rPr>
          <w:spacing w:val="6"/>
          <w:w w:val="105"/>
          <w:sz w:val="18"/>
        </w:rPr>
        <w:t xml:space="preserve"> </w:t>
      </w:r>
      <w:r w:rsidRPr="00283806">
        <w:rPr>
          <w:w w:val="105"/>
          <w:sz w:val="18"/>
        </w:rPr>
        <w:t>refrigeration</w:t>
      </w:r>
      <w:r w:rsidRPr="00283806">
        <w:rPr>
          <w:spacing w:val="7"/>
          <w:w w:val="105"/>
          <w:sz w:val="18"/>
        </w:rPr>
        <w:t xml:space="preserve"> </w:t>
      </w:r>
      <w:r w:rsidRPr="00283806">
        <w:rPr>
          <w:spacing w:val="-5"/>
          <w:w w:val="105"/>
          <w:sz w:val="18"/>
        </w:rPr>
        <w:t>and</w:t>
      </w:r>
    </w:p>
    <w:p w14:paraId="651181B0" w14:textId="77777777" w:rsidR="00D67C1E" w:rsidRPr="00283806" w:rsidRDefault="001265CA">
      <w:pPr>
        <w:pStyle w:val="BodyText"/>
        <w:spacing w:before="3" w:line="228" w:lineRule="auto"/>
        <w:ind w:left="159" w:right="117"/>
      </w:pPr>
      <w:r w:rsidRPr="00283806">
        <w:rPr>
          <w:w w:val="105"/>
        </w:rPr>
        <w:t>industrial process refrigeration appliances with a full charge of 15 or more pounds but less than 500 pounds, leak inspections must be conducted</w:t>
      </w:r>
      <w:r w:rsidRPr="00283806">
        <w:rPr>
          <w:spacing w:val="40"/>
          <w:w w:val="105"/>
        </w:rPr>
        <w:t xml:space="preserve"> </w:t>
      </w:r>
      <w:r w:rsidRPr="00283806">
        <w:rPr>
          <w:w w:val="105"/>
        </w:rPr>
        <w:t>once per year after the date of a successful follow-up verification test, until the owner or operator can demonstrate through the leak rate calculations required under paragraph</w:t>
      </w:r>
    </w:p>
    <w:p w14:paraId="6BA9380B" w14:textId="77777777" w:rsidR="00D67C1E" w:rsidRPr="00283806" w:rsidRDefault="001265CA">
      <w:pPr>
        <w:pStyle w:val="BodyText"/>
        <w:spacing w:line="228" w:lineRule="auto"/>
        <w:ind w:left="159" w:right="55"/>
      </w:pPr>
      <w:r w:rsidRPr="00283806">
        <w:rPr>
          <w:w w:val="105"/>
        </w:rPr>
        <w:t xml:space="preserve">(b) </w:t>
      </w:r>
      <w:proofErr w:type="gramStart"/>
      <w:r w:rsidRPr="00283806">
        <w:rPr>
          <w:w w:val="105"/>
        </w:rPr>
        <w:t>of</w:t>
      </w:r>
      <w:proofErr w:type="gramEnd"/>
      <w:r w:rsidRPr="00283806">
        <w:rPr>
          <w:w w:val="105"/>
        </w:rPr>
        <w:t xml:space="preserve"> this section that the appliance has not leaked </w:t>
      </w:r>
      <w:proofErr w:type="gramStart"/>
      <w:r w:rsidRPr="00283806">
        <w:rPr>
          <w:w w:val="105"/>
        </w:rPr>
        <w:t>in excess of</w:t>
      </w:r>
      <w:proofErr w:type="gramEnd"/>
      <w:r w:rsidRPr="00283806">
        <w:rPr>
          <w:w w:val="105"/>
        </w:rPr>
        <w:t xml:space="preserve"> the applicable leak rate for one year.</w:t>
      </w:r>
    </w:p>
    <w:p w14:paraId="55D7E88B" w14:textId="77777777" w:rsidR="00D67C1E" w:rsidRPr="00283806" w:rsidRDefault="001265CA">
      <w:pPr>
        <w:pStyle w:val="ListParagraph"/>
        <w:numPr>
          <w:ilvl w:val="0"/>
          <w:numId w:val="27"/>
        </w:numPr>
        <w:tabs>
          <w:tab w:val="left" w:pos="687"/>
        </w:tabs>
        <w:spacing w:line="179" w:lineRule="exact"/>
        <w:ind w:left="687" w:hanging="348"/>
        <w:rPr>
          <w:sz w:val="18"/>
        </w:rPr>
      </w:pPr>
      <w:r w:rsidRPr="00283806">
        <w:rPr>
          <w:w w:val="105"/>
          <w:sz w:val="18"/>
        </w:rPr>
        <w:t>For</w:t>
      </w:r>
      <w:r w:rsidRPr="00283806">
        <w:rPr>
          <w:spacing w:val="12"/>
          <w:w w:val="105"/>
          <w:sz w:val="18"/>
        </w:rPr>
        <w:t xml:space="preserve"> </w:t>
      </w:r>
      <w:r w:rsidRPr="00283806">
        <w:rPr>
          <w:w w:val="105"/>
          <w:sz w:val="18"/>
        </w:rPr>
        <w:t>comfort</w:t>
      </w:r>
      <w:r w:rsidRPr="00283806">
        <w:rPr>
          <w:spacing w:val="12"/>
          <w:w w:val="105"/>
          <w:sz w:val="18"/>
        </w:rPr>
        <w:t xml:space="preserve"> </w:t>
      </w:r>
      <w:r w:rsidRPr="00283806">
        <w:rPr>
          <w:w w:val="105"/>
          <w:sz w:val="18"/>
        </w:rPr>
        <w:t>cooling</w:t>
      </w:r>
      <w:r w:rsidRPr="00283806">
        <w:rPr>
          <w:spacing w:val="13"/>
          <w:w w:val="105"/>
          <w:sz w:val="18"/>
        </w:rPr>
        <w:t xml:space="preserve"> </w:t>
      </w:r>
      <w:r w:rsidRPr="00283806">
        <w:rPr>
          <w:spacing w:val="-2"/>
          <w:w w:val="105"/>
          <w:sz w:val="18"/>
        </w:rPr>
        <w:t>appliances</w:t>
      </w:r>
    </w:p>
    <w:p w14:paraId="570101B9" w14:textId="77777777" w:rsidR="00D67C1E" w:rsidRPr="00283806" w:rsidRDefault="001265CA">
      <w:pPr>
        <w:pStyle w:val="BodyText"/>
        <w:spacing w:line="228" w:lineRule="auto"/>
        <w:ind w:left="159" w:right="142"/>
      </w:pPr>
      <w:r w:rsidRPr="00283806">
        <w:rPr>
          <w:w w:val="105"/>
        </w:rPr>
        <w:t>and other appliances not covered by paragraphs (g)(1)(i) and (ii) of this section, leak inspections must be conducted once per year after the date of a successful follow-up verification test, until the owner or operator can demonstrate through the leak rate calculations required under paragraph</w:t>
      </w:r>
    </w:p>
    <w:p w14:paraId="5CABFF41" w14:textId="77777777" w:rsidR="00D67C1E" w:rsidRPr="00283806" w:rsidRDefault="001265CA">
      <w:pPr>
        <w:pStyle w:val="BodyText"/>
        <w:spacing w:line="228" w:lineRule="auto"/>
        <w:ind w:left="159" w:right="55"/>
      </w:pPr>
      <w:r w:rsidRPr="00283806">
        <w:rPr>
          <w:w w:val="105"/>
        </w:rPr>
        <w:t xml:space="preserve">(b) </w:t>
      </w:r>
      <w:proofErr w:type="gramStart"/>
      <w:r w:rsidRPr="00283806">
        <w:rPr>
          <w:w w:val="105"/>
        </w:rPr>
        <w:t>of</w:t>
      </w:r>
      <w:proofErr w:type="gramEnd"/>
      <w:r w:rsidRPr="00283806">
        <w:rPr>
          <w:w w:val="105"/>
        </w:rPr>
        <w:t xml:space="preserve"> this section that the appliance has not leaked </w:t>
      </w:r>
      <w:proofErr w:type="gramStart"/>
      <w:r w:rsidRPr="00283806">
        <w:rPr>
          <w:w w:val="105"/>
        </w:rPr>
        <w:t>in excess of</w:t>
      </w:r>
      <w:proofErr w:type="gramEnd"/>
      <w:r w:rsidRPr="00283806">
        <w:rPr>
          <w:w w:val="105"/>
        </w:rPr>
        <w:t xml:space="preserve"> the applicable leak rate for one year.</w:t>
      </w:r>
    </w:p>
    <w:p w14:paraId="4D6C53C7" w14:textId="77777777" w:rsidR="00D67C1E" w:rsidRPr="00283806" w:rsidRDefault="001265CA">
      <w:pPr>
        <w:pStyle w:val="ListParagraph"/>
        <w:numPr>
          <w:ilvl w:val="0"/>
          <w:numId w:val="26"/>
        </w:numPr>
        <w:tabs>
          <w:tab w:val="left" w:pos="607"/>
        </w:tabs>
        <w:spacing w:line="179" w:lineRule="exact"/>
        <w:ind w:left="607" w:hanging="268"/>
        <w:rPr>
          <w:sz w:val="18"/>
        </w:rPr>
      </w:pPr>
      <w:r w:rsidRPr="00283806">
        <w:rPr>
          <w:w w:val="105"/>
          <w:sz w:val="18"/>
        </w:rPr>
        <w:t>Leak</w:t>
      </w:r>
      <w:r w:rsidRPr="00283806">
        <w:rPr>
          <w:spacing w:val="14"/>
          <w:w w:val="105"/>
          <w:sz w:val="18"/>
        </w:rPr>
        <w:t xml:space="preserve"> </w:t>
      </w:r>
      <w:r w:rsidRPr="00283806">
        <w:rPr>
          <w:w w:val="105"/>
          <w:sz w:val="18"/>
        </w:rPr>
        <w:t>inspections</w:t>
      </w:r>
      <w:r w:rsidRPr="00283806">
        <w:rPr>
          <w:spacing w:val="14"/>
          <w:w w:val="105"/>
          <w:sz w:val="18"/>
        </w:rPr>
        <w:t xml:space="preserve"> </w:t>
      </w:r>
      <w:r w:rsidRPr="00283806">
        <w:rPr>
          <w:w w:val="105"/>
          <w:sz w:val="18"/>
        </w:rPr>
        <w:t>must</w:t>
      </w:r>
      <w:r w:rsidRPr="00283806">
        <w:rPr>
          <w:spacing w:val="14"/>
          <w:w w:val="105"/>
          <w:sz w:val="18"/>
        </w:rPr>
        <w:t xml:space="preserve"> </w:t>
      </w:r>
      <w:r w:rsidRPr="00283806">
        <w:rPr>
          <w:spacing w:val="-5"/>
          <w:w w:val="105"/>
          <w:sz w:val="18"/>
        </w:rPr>
        <w:t>be</w:t>
      </w:r>
    </w:p>
    <w:p w14:paraId="4FD6DA1A" w14:textId="77777777" w:rsidR="00D67C1E" w:rsidRPr="00283806" w:rsidRDefault="001265CA">
      <w:pPr>
        <w:pStyle w:val="BodyText"/>
        <w:spacing w:line="228" w:lineRule="auto"/>
        <w:ind w:left="159"/>
      </w:pPr>
      <w:r w:rsidRPr="00283806">
        <w:rPr>
          <w:w w:val="105"/>
        </w:rPr>
        <w:t>conducted</w:t>
      </w:r>
      <w:r w:rsidRPr="00283806">
        <w:rPr>
          <w:spacing w:val="40"/>
          <w:w w:val="105"/>
        </w:rPr>
        <w:t xml:space="preserve"> </w:t>
      </w:r>
      <w:r w:rsidRPr="00283806">
        <w:rPr>
          <w:w w:val="105"/>
        </w:rPr>
        <w:t>by</w:t>
      </w:r>
      <w:r w:rsidRPr="00283806">
        <w:rPr>
          <w:spacing w:val="40"/>
          <w:w w:val="105"/>
        </w:rPr>
        <w:t xml:space="preserve"> </w:t>
      </w:r>
      <w:r w:rsidRPr="00283806">
        <w:rPr>
          <w:w w:val="105"/>
        </w:rPr>
        <w:t>a</w:t>
      </w:r>
      <w:r w:rsidRPr="00283806">
        <w:rPr>
          <w:spacing w:val="40"/>
          <w:w w:val="105"/>
        </w:rPr>
        <w:t xml:space="preserve"> </w:t>
      </w:r>
      <w:r w:rsidRPr="00283806">
        <w:rPr>
          <w:w w:val="105"/>
        </w:rPr>
        <w:t>certified</w:t>
      </w:r>
      <w:r w:rsidRPr="00283806">
        <w:rPr>
          <w:spacing w:val="40"/>
          <w:w w:val="105"/>
        </w:rPr>
        <w:t xml:space="preserve"> </w:t>
      </w:r>
      <w:r w:rsidRPr="00283806">
        <w:rPr>
          <w:w w:val="105"/>
        </w:rPr>
        <w:t>technician using method(s) determined by the certified technician to be appropriate for that refrigerant-containing appliance.</w:t>
      </w:r>
    </w:p>
    <w:p w14:paraId="0079E500" w14:textId="77777777" w:rsidR="00D67C1E" w:rsidRPr="00283806" w:rsidRDefault="001265CA">
      <w:pPr>
        <w:pStyle w:val="ListParagraph"/>
        <w:numPr>
          <w:ilvl w:val="0"/>
          <w:numId w:val="26"/>
        </w:numPr>
        <w:tabs>
          <w:tab w:val="left" w:pos="607"/>
        </w:tabs>
        <w:spacing w:line="179" w:lineRule="exact"/>
        <w:ind w:left="607" w:hanging="268"/>
        <w:rPr>
          <w:sz w:val="18"/>
        </w:rPr>
      </w:pPr>
      <w:r w:rsidRPr="00283806">
        <w:rPr>
          <w:w w:val="110"/>
          <w:sz w:val="18"/>
        </w:rPr>
        <w:t>All</w:t>
      </w:r>
      <w:r w:rsidRPr="00283806">
        <w:rPr>
          <w:spacing w:val="9"/>
          <w:w w:val="110"/>
          <w:sz w:val="18"/>
        </w:rPr>
        <w:t xml:space="preserve"> </w:t>
      </w:r>
      <w:r w:rsidRPr="00283806">
        <w:rPr>
          <w:w w:val="110"/>
          <w:sz w:val="18"/>
        </w:rPr>
        <w:t>visible</w:t>
      </w:r>
      <w:r w:rsidRPr="00283806">
        <w:rPr>
          <w:spacing w:val="10"/>
          <w:w w:val="110"/>
          <w:sz w:val="18"/>
        </w:rPr>
        <w:t xml:space="preserve"> </w:t>
      </w:r>
      <w:r w:rsidRPr="00283806">
        <w:rPr>
          <w:w w:val="110"/>
          <w:sz w:val="18"/>
        </w:rPr>
        <w:t>and</w:t>
      </w:r>
      <w:r w:rsidRPr="00283806">
        <w:rPr>
          <w:spacing w:val="9"/>
          <w:w w:val="110"/>
          <w:sz w:val="18"/>
        </w:rPr>
        <w:t xml:space="preserve"> </w:t>
      </w:r>
      <w:r w:rsidRPr="00283806">
        <w:rPr>
          <w:spacing w:val="-2"/>
          <w:w w:val="110"/>
          <w:sz w:val="18"/>
        </w:rPr>
        <w:t>accessible</w:t>
      </w:r>
    </w:p>
    <w:p w14:paraId="5F52E466" w14:textId="77777777" w:rsidR="00D67C1E" w:rsidRPr="00283806" w:rsidRDefault="001265CA">
      <w:pPr>
        <w:pStyle w:val="BodyText"/>
        <w:spacing w:before="1" w:line="228" w:lineRule="auto"/>
        <w:ind w:left="159"/>
      </w:pPr>
      <w:r w:rsidRPr="00283806">
        <w:rPr>
          <w:w w:val="105"/>
        </w:rPr>
        <w:t>components of a refrigerant-containing appliance must be inspected, with the following exceptions:</w:t>
      </w:r>
    </w:p>
    <w:p w14:paraId="0A110E20" w14:textId="77777777" w:rsidR="00D67C1E" w:rsidRPr="00283806" w:rsidRDefault="001265CA">
      <w:pPr>
        <w:pStyle w:val="ListParagraph"/>
        <w:numPr>
          <w:ilvl w:val="1"/>
          <w:numId w:val="26"/>
        </w:numPr>
        <w:tabs>
          <w:tab w:val="left" w:pos="567"/>
        </w:tabs>
        <w:spacing w:line="179" w:lineRule="exact"/>
        <w:ind w:left="567" w:hanging="228"/>
        <w:rPr>
          <w:sz w:val="18"/>
        </w:rPr>
      </w:pPr>
      <w:r w:rsidRPr="00283806">
        <w:rPr>
          <w:w w:val="105"/>
          <w:sz w:val="18"/>
        </w:rPr>
        <w:t>Where</w:t>
      </w:r>
      <w:r w:rsidRPr="00283806">
        <w:rPr>
          <w:spacing w:val="3"/>
          <w:w w:val="105"/>
          <w:sz w:val="18"/>
        </w:rPr>
        <w:t xml:space="preserve"> </w:t>
      </w:r>
      <w:r w:rsidRPr="00283806">
        <w:rPr>
          <w:w w:val="105"/>
          <w:sz w:val="18"/>
        </w:rPr>
        <w:t>components</w:t>
      </w:r>
      <w:r w:rsidRPr="00283806">
        <w:rPr>
          <w:spacing w:val="3"/>
          <w:w w:val="105"/>
          <w:sz w:val="18"/>
        </w:rPr>
        <w:t xml:space="preserve"> </w:t>
      </w:r>
      <w:r w:rsidRPr="00283806">
        <w:rPr>
          <w:w w:val="105"/>
          <w:sz w:val="18"/>
        </w:rPr>
        <w:t>are</w:t>
      </w:r>
      <w:r w:rsidRPr="00283806">
        <w:rPr>
          <w:spacing w:val="4"/>
          <w:w w:val="105"/>
          <w:sz w:val="18"/>
        </w:rPr>
        <w:t xml:space="preserve"> </w:t>
      </w:r>
      <w:r w:rsidRPr="00283806">
        <w:rPr>
          <w:spacing w:val="-2"/>
          <w:w w:val="105"/>
          <w:sz w:val="18"/>
        </w:rPr>
        <w:t>insulated,</w:t>
      </w:r>
    </w:p>
    <w:p w14:paraId="4B57A43C" w14:textId="77777777" w:rsidR="00D67C1E" w:rsidRPr="00283806" w:rsidRDefault="001265CA">
      <w:pPr>
        <w:pStyle w:val="BodyText"/>
        <w:spacing w:before="3" w:line="228" w:lineRule="auto"/>
        <w:ind w:left="159" w:right="98"/>
      </w:pPr>
      <w:r w:rsidRPr="00283806">
        <w:rPr>
          <w:w w:val="105"/>
        </w:rPr>
        <w:t>under ice that forms on the outside of equipment, underground, behind walls, or are otherwise inaccessible;</w:t>
      </w:r>
    </w:p>
    <w:p w14:paraId="7C447DFD" w14:textId="77777777" w:rsidR="00D67C1E" w:rsidRPr="00283806" w:rsidRDefault="001265CA">
      <w:pPr>
        <w:pStyle w:val="ListParagraph"/>
        <w:numPr>
          <w:ilvl w:val="1"/>
          <w:numId w:val="26"/>
        </w:numPr>
        <w:tabs>
          <w:tab w:val="left" w:pos="627"/>
        </w:tabs>
        <w:spacing w:line="179" w:lineRule="exact"/>
        <w:ind w:left="627" w:hanging="288"/>
        <w:rPr>
          <w:sz w:val="18"/>
        </w:rPr>
      </w:pPr>
      <w:r w:rsidRPr="00283806">
        <w:rPr>
          <w:w w:val="105"/>
          <w:sz w:val="18"/>
        </w:rPr>
        <w:t>Where</w:t>
      </w:r>
      <w:r w:rsidRPr="00283806">
        <w:rPr>
          <w:spacing w:val="6"/>
          <w:w w:val="105"/>
          <w:sz w:val="18"/>
        </w:rPr>
        <w:t xml:space="preserve"> </w:t>
      </w:r>
      <w:r w:rsidRPr="00283806">
        <w:rPr>
          <w:w w:val="105"/>
          <w:sz w:val="18"/>
        </w:rPr>
        <w:t>personnel</w:t>
      </w:r>
      <w:r w:rsidRPr="00283806">
        <w:rPr>
          <w:spacing w:val="6"/>
          <w:w w:val="105"/>
          <w:sz w:val="18"/>
        </w:rPr>
        <w:t xml:space="preserve"> </w:t>
      </w:r>
      <w:r w:rsidRPr="00283806">
        <w:rPr>
          <w:w w:val="105"/>
          <w:sz w:val="18"/>
        </w:rPr>
        <w:t>must</w:t>
      </w:r>
      <w:r w:rsidRPr="00283806">
        <w:rPr>
          <w:spacing w:val="6"/>
          <w:w w:val="105"/>
          <w:sz w:val="18"/>
        </w:rPr>
        <w:t xml:space="preserve"> </w:t>
      </w:r>
      <w:r w:rsidRPr="00283806">
        <w:rPr>
          <w:w w:val="105"/>
          <w:sz w:val="18"/>
        </w:rPr>
        <w:t>be</w:t>
      </w:r>
      <w:r w:rsidRPr="00283806">
        <w:rPr>
          <w:spacing w:val="7"/>
          <w:w w:val="105"/>
          <w:sz w:val="18"/>
        </w:rPr>
        <w:t xml:space="preserve"> </w:t>
      </w:r>
      <w:r w:rsidRPr="00283806">
        <w:rPr>
          <w:spacing w:val="-2"/>
          <w:w w:val="105"/>
          <w:sz w:val="18"/>
        </w:rPr>
        <w:t>elevated</w:t>
      </w:r>
    </w:p>
    <w:p w14:paraId="6AA25E33" w14:textId="77777777" w:rsidR="00D67C1E" w:rsidRPr="00283806" w:rsidRDefault="001265CA">
      <w:pPr>
        <w:pStyle w:val="BodyText"/>
        <w:spacing w:before="3" w:line="228" w:lineRule="auto"/>
        <w:ind w:left="159" w:right="18"/>
      </w:pPr>
      <w:r w:rsidRPr="00283806">
        <w:rPr>
          <w:w w:val="105"/>
        </w:rPr>
        <w:t>more</w:t>
      </w:r>
      <w:r w:rsidRPr="00283806">
        <w:rPr>
          <w:spacing w:val="-3"/>
          <w:w w:val="105"/>
        </w:rPr>
        <w:t xml:space="preserve"> </w:t>
      </w:r>
      <w:r w:rsidRPr="00283806">
        <w:rPr>
          <w:w w:val="105"/>
        </w:rPr>
        <w:t>than</w:t>
      </w:r>
      <w:r w:rsidRPr="00283806">
        <w:rPr>
          <w:spacing w:val="-3"/>
          <w:w w:val="105"/>
        </w:rPr>
        <w:t xml:space="preserve"> </w:t>
      </w:r>
      <w:r w:rsidRPr="00283806">
        <w:rPr>
          <w:w w:val="105"/>
        </w:rPr>
        <w:t>two</w:t>
      </w:r>
      <w:r w:rsidRPr="00283806">
        <w:rPr>
          <w:spacing w:val="-3"/>
          <w:w w:val="105"/>
        </w:rPr>
        <w:t xml:space="preserve"> </w:t>
      </w:r>
      <w:r w:rsidRPr="00283806">
        <w:rPr>
          <w:w w:val="105"/>
        </w:rPr>
        <w:t>meters</w:t>
      </w:r>
      <w:r w:rsidRPr="00283806">
        <w:rPr>
          <w:spacing w:val="-3"/>
          <w:w w:val="105"/>
        </w:rPr>
        <w:t xml:space="preserve"> </w:t>
      </w:r>
      <w:r w:rsidRPr="00283806">
        <w:rPr>
          <w:w w:val="105"/>
        </w:rPr>
        <w:t>above</w:t>
      </w:r>
      <w:r w:rsidRPr="00283806">
        <w:rPr>
          <w:spacing w:val="-3"/>
          <w:w w:val="105"/>
        </w:rPr>
        <w:t xml:space="preserve"> </w:t>
      </w:r>
      <w:r w:rsidRPr="00283806">
        <w:rPr>
          <w:w w:val="105"/>
        </w:rPr>
        <w:t>a</w:t>
      </w:r>
      <w:r w:rsidRPr="00283806">
        <w:rPr>
          <w:spacing w:val="-3"/>
          <w:w w:val="105"/>
        </w:rPr>
        <w:t xml:space="preserve"> </w:t>
      </w:r>
      <w:r w:rsidRPr="00283806">
        <w:rPr>
          <w:w w:val="105"/>
        </w:rPr>
        <w:t>support surface; or</w:t>
      </w:r>
    </w:p>
    <w:p w14:paraId="7204BE24" w14:textId="77777777" w:rsidR="00D67C1E" w:rsidRPr="00283806" w:rsidRDefault="001265CA">
      <w:pPr>
        <w:pStyle w:val="ListParagraph"/>
        <w:numPr>
          <w:ilvl w:val="1"/>
          <w:numId w:val="26"/>
        </w:numPr>
        <w:tabs>
          <w:tab w:val="left" w:pos="687"/>
        </w:tabs>
        <w:spacing w:line="180" w:lineRule="exact"/>
        <w:ind w:left="687" w:hanging="348"/>
        <w:rPr>
          <w:sz w:val="18"/>
        </w:rPr>
      </w:pPr>
      <w:r w:rsidRPr="00283806">
        <w:rPr>
          <w:w w:val="105"/>
          <w:sz w:val="18"/>
        </w:rPr>
        <w:t>Where</w:t>
      </w:r>
      <w:r w:rsidRPr="00283806">
        <w:rPr>
          <w:spacing w:val="5"/>
          <w:w w:val="105"/>
          <w:sz w:val="18"/>
        </w:rPr>
        <w:t xml:space="preserve"> </w:t>
      </w:r>
      <w:r w:rsidRPr="00283806">
        <w:rPr>
          <w:w w:val="105"/>
          <w:sz w:val="18"/>
        </w:rPr>
        <w:t>components</w:t>
      </w:r>
      <w:r w:rsidRPr="00283806">
        <w:rPr>
          <w:spacing w:val="6"/>
          <w:w w:val="105"/>
          <w:sz w:val="18"/>
        </w:rPr>
        <w:t xml:space="preserve"> </w:t>
      </w:r>
      <w:r w:rsidRPr="00283806">
        <w:rPr>
          <w:w w:val="105"/>
          <w:sz w:val="18"/>
        </w:rPr>
        <w:t>are</w:t>
      </w:r>
      <w:r w:rsidRPr="00283806">
        <w:rPr>
          <w:spacing w:val="5"/>
          <w:w w:val="105"/>
          <w:sz w:val="18"/>
        </w:rPr>
        <w:t xml:space="preserve"> </w:t>
      </w:r>
      <w:r w:rsidRPr="00283806">
        <w:rPr>
          <w:w w:val="105"/>
          <w:sz w:val="18"/>
        </w:rPr>
        <w:t>unsafe</w:t>
      </w:r>
      <w:r w:rsidRPr="00283806">
        <w:rPr>
          <w:spacing w:val="6"/>
          <w:w w:val="105"/>
          <w:sz w:val="18"/>
        </w:rPr>
        <w:t xml:space="preserve"> </w:t>
      </w:r>
      <w:r w:rsidRPr="00283806">
        <w:rPr>
          <w:spacing w:val="-7"/>
          <w:w w:val="105"/>
          <w:sz w:val="18"/>
        </w:rPr>
        <w:t>to</w:t>
      </w:r>
    </w:p>
    <w:p w14:paraId="3AFF4F55" w14:textId="77777777" w:rsidR="00D67C1E" w:rsidRPr="00283806" w:rsidRDefault="001265CA">
      <w:pPr>
        <w:pStyle w:val="BodyText"/>
        <w:spacing w:before="3" w:line="228" w:lineRule="auto"/>
        <w:ind w:left="159" w:right="142"/>
      </w:pPr>
      <w:r w:rsidRPr="00283806">
        <w:rPr>
          <w:w w:val="105"/>
        </w:rPr>
        <w:t xml:space="preserve">inspect, as determined by site </w:t>
      </w:r>
      <w:r w:rsidRPr="00283806">
        <w:rPr>
          <w:spacing w:val="-2"/>
          <w:w w:val="105"/>
        </w:rPr>
        <w:t>personnel.</w:t>
      </w:r>
    </w:p>
    <w:p w14:paraId="6F934B37" w14:textId="77777777" w:rsidR="00D67C1E" w:rsidRPr="00283806" w:rsidRDefault="001265CA">
      <w:pPr>
        <w:pStyle w:val="ListParagraph"/>
        <w:numPr>
          <w:ilvl w:val="0"/>
          <w:numId w:val="26"/>
        </w:numPr>
        <w:tabs>
          <w:tab w:val="left" w:pos="607"/>
        </w:tabs>
        <w:spacing w:line="180" w:lineRule="exact"/>
        <w:ind w:left="607" w:hanging="268"/>
        <w:rPr>
          <w:sz w:val="18"/>
        </w:rPr>
      </w:pPr>
      <w:r w:rsidRPr="00283806">
        <w:rPr>
          <w:w w:val="105"/>
          <w:sz w:val="18"/>
        </w:rPr>
        <w:t>Quarterly</w:t>
      </w:r>
      <w:r w:rsidRPr="00283806">
        <w:rPr>
          <w:spacing w:val="11"/>
          <w:w w:val="105"/>
          <w:sz w:val="18"/>
        </w:rPr>
        <w:t xml:space="preserve"> </w:t>
      </w:r>
      <w:r w:rsidRPr="00283806">
        <w:rPr>
          <w:w w:val="105"/>
          <w:sz w:val="18"/>
        </w:rPr>
        <w:t>or</w:t>
      </w:r>
      <w:r w:rsidRPr="00283806">
        <w:rPr>
          <w:spacing w:val="12"/>
          <w:w w:val="105"/>
          <w:sz w:val="18"/>
        </w:rPr>
        <w:t xml:space="preserve"> </w:t>
      </w:r>
      <w:r w:rsidRPr="00283806">
        <w:rPr>
          <w:w w:val="105"/>
          <w:sz w:val="18"/>
        </w:rPr>
        <w:t>annual</w:t>
      </w:r>
      <w:r w:rsidRPr="00283806">
        <w:rPr>
          <w:spacing w:val="12"/>
          <w:w w:val="105"/>
          <w:sz w:val="18"/>
        </w:rPr>
        <w:t xml:space="preserve"> </w:t>
      </w:r>
      <w:r w:rsidRPr="00283806">
        <w:rPr>
          <w:spacing w:val="-4"/>
          <w:w w:val="105"/>
          <w:sz w:val="18"/>
        </w:rPr>
        <w:t>leak</w:t>
      </w:r>
    </w:p>
    <w:p w14:paraId="00B966EF" w14:textId="77777777" w:rsidR="00D67C1E" w:rsidRPr="00283806" w:rsidRDefault="001265CA">
      <w:pPr>
        <w:pStyle w:val="BodyText"/>
        <w:spacing w:before="3" w:line="228" w:lineRule="auto"/>
        <w:ind w:left="159" w:right="78"/>
      </w:pPr>
      <w:r w:rsidRPr="00283806">
        <w:rPr>
          <w:w w:val="105"/>
        </w:rPr>
        <w:t>inspections are not required on refrigerant-containing appliances, or portions of refrigerant-containing appliances, continuously monitored by an</w:t>
      </w:r>
      <w:r w:rsidRPr="00283806">
        <w:rPr>
          <w:spacing w:val="9"/>
          <w:w w:val="105"/>
        </w:rPr>
        <w:t xml:space="preserve"> </w:t>
      </w:r>
      <w:r w:rsidRPr="00283806">
        <w:rPr>
          <w:w w:val="105"/>
        </w:rPr>
        <w:t>automatic</w:t>
      </w:r>
      <w:r w:rsidRPr="00283806">
        <w:rPr>
          <w:spacing w:val="10"/>
          <w:w w:val="105"/>
        </w:rPr>
        <w:t xml:space="preserve"> </w:t>
      </w:r>
      <w:r w:rsidRPr="00283806">
        <w:rPr>
          <w:w w:val="105"/>
        </w:rPr>
        <w:t>leak</w:t>
      </w:r>
      <w:r w:rsidRPr="00283806">
        <w:rPr>
          <w:spacing w:val="10"/>
          <w:w w:val="105"/>
        </w:rPr>
        <w:t xml:space="preserve"> </w:t>
      </w:r>
      <w:r w:rsidRPr="00283806">
        <w:rPr>
          <w:w w:val="105"/>
        </w:rPr>
        <w:t>detection</w:t>
      </w:r>
      <w:r w:rsidRPr="00283806">
        <w:rPr>
          <w:spacing w:val="10"/>
          <w:w w:val="105"/>
        </w:rPr>
        <w:t xml:space="preserve"> </w:t>
      </w:r>
      <w:r w:rsidRPr="00283806">
        <w:rPr>
          <w:w w:val="105"/>
        </w:rPr>
        <w:t>system</w:t>
      </w:r>
      <w:r w:rsidRPr="00283806">
        <w:rPr>
          <w:spacing w:val="10"/>
          <w:w w:val="105"/>
        </w:rPr>
        <w:t xml:space="preserve"> </w:t>
      </w:r>
      <w:r w:rsidRPr="00283806">
        <w:rPr>
          <w:spacing w:val="-4"/>
          <w:w w:val="105"/>
        </w:rPr>
        <w:t>that</w:t>
      </w:r>
    </w:p>
    <w:p w14:paraId="63AE8C4E" w14:textId="77777777" w:rsidR="00D67C1E" w:rsidRPr="00283806" w:rsidRDefault="001265CA">
      <w:pPr>
        <w:pStyle w:val="BodyText"/>
        <w:spacing w:before="133" w:line="228" w:lineRule="auto"/>
        <w:ind w:left="154" w:right="24"/>
      </w:pPr>
      <w:r w:rsidRPr="00283806">
        <w:br w:type="column"/>
      </w:r>
      <w:r w:rsidRPr="00283806">
        <w:rPr>
          <w:w w:val="105"/>
        </w:rPr>
        <w:t xml:space="preserve">is audited or calibrated annually. An automatic leak detection system may directly detect refrigerant in air, monitor its </w:t>
      </w:r>
      <w:proofErr w:type="gramStart"/>
      <w:r w:rsidRPr="00283806">
        <w:rPr>
          <w:w w:val="105"/>
        </w:rPr>
        <w:t>surrounding</w:t>
      </w:r>
      <w:proofErr w:type="gramEnd"/>
      <w:r w:rsidRPr="00283806">
        <w:rPr>
          <w:w w:val="105"/>
        </w:rPr>
        <w:t xml:space="preserve"> in a manner other than detecting refrigerant concentrations in air, or monitor conditions of the appliance. An automatic leak detection system being used for this purpose must meet the requirements for automatic</w:t>
      </w:r>
      <w:r w:rsidRPr="00283806">
        <w:rPr>
          <w:spacing w:val="40"/>
          <w:w w:val="105"/>
        </w:rPr>
        <w:t xml:space="preserve"> </w:t>
      </w:r>
      <w:r w:rsidRPr="00283806">
        <w:rPr>
          <w:w w:val="105"/>
        </w:rPr>
        <w:t>leak detection systems in § 84.108(c) through (g) and § 84.108(i).</w:t>
      </w:r>
    </w:p>
    <w:p w14:paraId="3A496FFE" w14:textId="77777777" w:rsidR="00D67C1E" w:rsidRPr="00283806" w:rsidRDefault="001265CA">
      <w:pPr>
        <w:pStyle w:val="ListParagraph"/>
        <w:numPr>
          <w:ilvl w:val="1"/>
          <w:numId w:val="26"/>
        </w:numPr>
        <w:tabs>
          <w:tab w:val="left" w:pos="562"/>
        </w:tabs>
        <w:spacing w:line="179" w:lineRule="exact"/>
        <w:ind w:left="562" w:hanging="228"/>
        <w:rPr>
          <w:sz w:val="18"/>
        </w:rPr>
      </w:pPr>
      <w:r w:rsidRPr="00283806">
        <w:rPr>
          <w:w w:val="105"/>
          <w:sz w:val="18"/>
        </w:rPr>
        <w:t>When</w:t>
      </w:r>
      <w:r w:rsidRPr="00283806">
        <w:rPr>
          <w:spacing w:val="13"/>
          <w:w w:val="105"/>
          <w:sz w:val="18"/>
        </w:rPr>
        <w:t xml:space="preserve"> </w:t>
      </w:r>
      <w:r w:rsidRPr="00283806">
        <w:rPr>
          <w:w w:val="105"/>
          <w:sz w:val="18"/>
        </w:rPr>
        <w:t>an</w:t>
      </w:r>
      <w:r w:rsidRPr="00283806">
        <w:rPr>
          <w:spacing w:val="14"/>
          <w:w w:val="105"/>
          <w:sz w:val="18"/>
        </w:rPr>
        <w:t xml:space="preserve"> </w:t>
      </w:r>
      <w:r w:rsidRPr="00283806">
        <w:rPr>
          <w:w w:val="105"/>
          <w:sz w:val="18"/>
        </w:rPr>
        <w:t>automatic</w:t>
      </w:r>
      <w:r w:rsidRPr="00283806">
        <w:rPr>
          <w:spacing w:val="13"/>
          <w:w w:val="105"/>
          <w:sz w:val="18"/>
        </w:rPr>
        <w:t xml:space="preserve"> </w:t>
      </w:r>
      <w:r w:rsidRPr="00283806">
        <w:rPr>
          <w:w w:val="105"/>
          <w:sz w:val="18"/>
        </w:rPr>
        <w:t>leak</w:t>
      </w:r>
      <w:r w:rsidRPr="00283806">
        <w:rPr>
          <w:spacing w:val="14"/>
          <w:w w:val="105"/>
          <w:sz w:val="18"/>
        </w:rPr>
        <w:t xml:space="preserve"> </w:t>
      </w:r>
      <w:r w:rsidRPr="00283806">
        <w:rPr>
          <w:spacing w:val="-2"/>
          <w:w w:val="105"/>
          <w:sz w:val="18"/>
        </w:rPr>
        <w:t>detection</w:t>
      </w:r>
    </w:p>
    <w:p w14:paraId="2E5A388B" w14:textId="77777777" w:rsidR="00D67C1E" w:rsidRPr="00283806" w:rsidRDefault="001265CA">
      <w:pPr>
        <w:pStyle w:val="BodyText"/>
        <w:spacing w:before="3" w:line="228" w:lineRule="auto"/>
        <w:ind w:left="154"/>
      </w:pPr>
      <w:r w:rsidRPr="00283806">
        <w:rPr>
          <w:w w:val="105"/>
        </w:rPr>
        <w:t>system is only being used to monitor portions of a refrigerant-containing appliance, the remainder of the refrigerant-containing appliance continues to be subject to any applicable leak inspection requirements.</w:t>
      </w:r>
    </w:p>
    <w:p w14:paraId="5637FB18" w14:textId="77777777" w:rsidR="00D67C1E" w:rsidRPr="00283806" w:rsidRDefault="001265CA">
      <w:pPr>
        <w:pStyle w:val="ListParagraph"/>
        <w:numPr>
          <w:ilvl w:val="1"/>
          <w:numId w:val="26"/>
        </w:numPr>
        <w:tabs>
          <w:tab w:val="left" w:pos="622"/>
        </w:tabs>
        <w:spacing w:line="176" w:lineRule="exact"/>
        <w:ind w:left="622" w:hanging="288"/>
        <w:rPr>
          <w:sz w:val="18"/>
        </w:rPr>
      </w:pPr>
      <w:r w:rsidRPr="00283806">
        <w:rPr>
          <w:spacing w:val="-2"/>
          <w:w w:val="105"/>
          <w:sz w:val="18"/>
        </w:rPr>
        <w:t>[Reserved]</w:t>
      </w:r>
    </w:p>
    <w:p w14:paraId="3CA8B650" w14:textId="77777777" w:rsidR="00D67C1E" w:rsidRPr="00283806" w:rsidRDefault="001265CA">
      <w:pPr>
        <w:pStyle w:val="ListParagraph"/>
        <w:numPr>
          <w:ilvl w:val="0"/>
          <w:numId w:val="32"/>
        </w:numPr>
        <w:tabs>
          <w:tab w:val="left" w:pos="612"/>
        </w:tabs>
        <w:spacing w:line="223" w:lineRule="auto"/>
        <w:ind w:left="154" w:right="327" w:firstLine="180"/>
        <w:rPr>
          <w:sz w:val="18"/>
        </w:rPr>
      </w:pPr>
      <w:r w:rsidRPr="00283806">
        <w:rPr>
          <w:rFonts w:ascii="Book Antiqua"/>
          <w:i/>
          <w:w w:val="105"/>
          <w:sz w:val="18"/>
        </w:rPr>
        <w:t xml:space="preserve">Retrofit or retirement plans. </w:t>
      </w:r>
      <w:r w:rsidRPr="00283806">
        <w:rPr>
          <w:w w:val="105"/>
          <w:sz w:val="18"/>
        </w:rPr>
        <w:t>(1) The owner or operator must create a retrofit or retirement plan within 30 days of:</w:t>
      </w:r>
    </w:p>
    <w:p w14:paraId="2F66F8CD" w14:textId="77777777" w:rsidR="00D67C1E" w:rsidRPr="00283806" w:rsidRDefault="001265CA">
      <w:pPr>
        <w:pStyle w:val="ListParagraph"/>
        <w:numPr>
          <w:ilvl w:val="0"/>
          <w:numId w:val="32"/>
        </w:numPr>
        <w:tabs>
          <w:tab w:val="left" w:pos="562"/>
        </w:tabs>
        <w:spacing w:line="228" w:lineRule="auto"/>
        <w:ind w:left="154" w:right="9" w:firstLine="180"/>
        <w:rPr>
          <w:sz w:val="18"/>
        </w:rPr>
      </w:pPr>
      <w:r w:rsidRPr="00283806">
        <w:rPr>
          <w:w w:val="105"/>
          <w:sz w:val="18"/>
        </w:rPr>
        <w:t>A refrigerant-containing appliance leaking above the applicable leak rate in paragraph (c) of this section if the owner or operator intends to retrofit or retire rather than repair leaks;</w:t>
      </w:r>
    </w:p>
    <w:p w14:paraId="1C638CDE" w14:textId="77777777" w:rsidR="00D67C1E" w:rsidRPr="00283806" w:rsidRDefault="001265CA">
      <w:pPr>
        <w:pStyle w:val="ListParagraph"/>
        <w:numPr>
          <w:ilvl w:val="0"/>
          <w:numId w:val="25"/>
        </w:numPr>
        <w:tabs>
          <w:tab w:val="left" w:pos="622"/>
        </w:tabs>
        <w:spacing w:line="182" w:lineRule="exact"/>
        <w:ind w:left="622" w:hanging="288"/>
        <w:rPr>
          <w:sz w:val="18"/>
        </w:rPr>
      </w:pPr>
      <w:r w:rsidRPr="00283806">
        <w:rPr>
          <w:sz w:val="18"/>
        </w:rPr>
        <w:t>A</w:t>
      </w:r>
      <w:r w:rsidRPr="00283806">
        <w:rPr>
          <w:spacing w:val="56"/>
          <w:sz w:val="18"/>
        </w:rPr>
        <w:t xml:space="preserve"> </w:t>
      </w:r>
      <w:r w:rsidRPr="00283806">
        <w:rPr>
          <w:sz w:val="18"/>
        </w:rPr>
        <w:t>refrigerant-containing</w:t>
      </w:r>
      <w:r w:rsidRPr="00283806">
        <w:rPr>
          <w:spacing w:val="57"/>
          <w:sz w:val="18"/>
        </w:rPr>
        <w:t xml:space="preserve"> </w:t>
      </w:r>
      <w:r w:rsidRPr="00283806">
        <w:rPr>
          <w:spacing w:val="-2"/>
          <w:sz w:val="18"/>
        </w:rPr>
        <w:t>appliance</w:t>
      </w:r>
    </w:p>
    <w:p w14:paraId="321FE390" w14:textId="77777777" w:rsidR="00D67C1E" w:rsidRPr="00283806" w:rsidRDefault="001265CA">
      <w:pPr>
        <w:pStyle w:val="BodyText"/>
        <w:spacing w:line="228" w:lineRule="auto"/>
        <w:ind w:left="154"/>
      </w:pPr>
      <w:r w:rsidRPr="00283806">
        <w:rPr>
          <w:w w:val="105"/>
        </w:rPr>
        <w:t>leaking above the applicable leak rate in paragraph (c) of this section if the owner or operator fails to take any action to identify or repair leaks; or</w:t>
      </w:r>
    </w:p>
    <w:p w14:paraId="0C69C6A9" w14:textId="77777777" w:rsidR="00D67C1E" w:rsidRPr="00283806" w:rsidRDefault="001265CA">
      <w:pPr>
        <w:pStyle w:val="ListParagraph"/>
        <w:numPr>
          <w:ilvl w:val="0"/>
          <w:numId w:val="25"/>
        </w:numPr>
        <w:tabs>
          <w:tab w:val="left" w:pos="682"/>
        </w:tabs>
        <w:spacing w:line="185" w:lineRule="exact"/>
        <w:ind w:left="682" w:hanging="348"/>
        <w:rPr>
          <w:sz w:val="18"/>
        </w:rPr>
      </w:pPr>
      <w:r w:rsidRPr="00283806">
        <w:rPr>
          <w:sz w:val="18"/>
        </w:rPr>
        <w:t>A</w:t>
      </w:r>
      <w:r w:rsidRPr="00283806">
        <w:rPr>
          <w:spacing w:val="71"/>
          <w:sz w:val="18"/>
        </w:rPr>
        <w:t xml:space="preserve"> </w:t>
      </w:r>
      <w:r w:rsidRPr="00283806">
        <w:rPr>
          <w:sz w:val="18"/>
        </w:rPr>
        <w:t>refrigerant-</w:t>
      </w:r>
      <w:r w:rsidRPr="00283806">
        <w:rPr>
          <w:spacing w:val="-2"/>
          <w:sz w:val="18"/>
        </w:rPr>
        <w:t>containing</w:t>
      </w:r>
    </w:p>
    <w:p w14:paraId="50F6EF7A" w14:textId="77777777" w:rsidR="00D67C1E" w:rsidRPr="00283806" w:rsidRDefault="001265CA">
      <w:pPr>
        <w:pStyle w:val="BodyText"/>
        <w:spacing w:line="228" w:lineRule="auto"/>
        <w:ind w:left="154" w:right="27"/>
      </w:pPr>
      <w:r w:rsidRPr="00283806">
        <w:rPr>
          <w:w w:val="105"/>
        </w:rPr>
        <w:t>appliance continues to leak above the applicable leak rate after having conducted the required repairs and verification</w:t>
      </w:r>
      <w:r w:rsidRPr="00283806">
        <w:rPr>
          <w:spacing w:val="-6"/>
          <w:w w:val="105"/>
        </w:rPr>
        <w:t xml:space="preserve"> </w:t>
      </w:r>
      <w:r w:rsidRPr="00283806">
        <w:rPr>
          <w:w w:val="105"/>
        </w:rPr>
        <w:t>tests</w:t>
      </w:r>
      <w:r w:rsidRPr="00283806">
        <w:rPr>
          <w:spacing w:val="-6"/>
          <w:w w:val="105"/>
        </w:rPr>
        <w:t xml:space="preserve"> </w:t>
      </w:r>
      <w:r w:rsidRPr="00283806">
        <w:rPr>
          <w:w w:val="105"/>
        </w:rPr>
        <w:t>under</w:t>
      </w:r>
      <w:r w:rsidRPr="00283806">
        <w:rPr>
          <w:spacing w:val="-6"/>
          <w:w w:val="105"/>
        </w:rPr>
        <w:t xml:space="preserve"> </w:t>
      </w:r>
      <w:r w:rsidRPr="00283806">
        <w:rPr>
          <w:w w:val="105"/>
        </w:rPr>
        <w:t>paragraphs</w:t>
      </w:r>
      <w:r w:rsidRPr="00283806">
        <w:rPr>
          <w:spacing w:val="-6"/>
          <w:w w:val="105"/>
        </w:rPr>
        <w:t xml:space="preserve"> </w:t>
      </w:r>
      <w:r w:rsidRPr="00283806">
        <w:rPr>
          <w:w w:val="105"/>
        </w:rPr>
        <w:t>(d) and (e) of this section.</w:t>
      </w:r>
    </w:p>
    <w:p w14:paraId="2C4DE9FF" w14:textId="77777777" w:rsidR="00D67C1E" w:rsidRPr="00283806" w:rsidRDefault="001265CA">
      <w:pPr>
        <w:pStyle w:val="ListParagraph"/>
        <w:numPr>
          <w:ilvl w:val="0"/>
          <w:numId w:val="24"/>
        </w:numPr>
        <w:tabs>
          <w:tab w:val="left" w:pos="602"/>
        </w:tabs>
        <w:spacing w:line="185" w:lineRule="exact"/>
        <w:ind w:left="602" w:hanging="268"/>
        <w:rPr>
          <w:sz w:val="18"/>
        </w:rPr>
      </w:pPr>
      <w:r w:rsidRPr="00283806">
        <w:rPr>
          <w:sz w:val="18"/>
        </w:rPr>
        <w:t>A</w:t>
      </w:r>
      <w:r w:rsidRPr="00283806">
        <w:rPr>
          <w:spacing w:val="27"/>
          <w:sz w:val="18"/>
        </w:rPr>
        <w:t xml:space="preserve"> </w:t>
      </w:r>
      <w:r w:rsidRPr="00283806">
        <w:rPr>
          <w:sz w:val="18"/>
        </w:rPr>
        <w:t>retrofit</w:t>
      </w:r>
      <w:r w:rsidRPr="00283806">
        <w:rPr>
          <w:spacing w:val="28"/>
          <w:sz w:val="18"/>
        </w:rPr>
        <w:t xml:space="preserve"> </w:t>
      </w:r>
      <w:r w:rsidRPr="00283806">
        <w:rPr>
          <w:sz w:val="18"/>
        </w:rPr>
        <w:t>or</w:t>
      </w:r>
      <w:r w:rsidRPr="00283806">
        <w:rPr>
          <w:spacing w:val="28"/>
          <w:sz w:val="18"/>
        </w:rPr>
        <w:t xml:space="preserve"> </w:t>
      </w:r>
      <w:r w:rsidRPr="00283806">
        <w:rPr>
          <w:sz w:val="18"/>
        </w:rPr>
        <w:t>retirement</w:t>
      </w:r>
      <w:r w:rsidRPr="00283806">
        <w:rPr>
          <w:spacing w:val="27"/>
          <w:sz w:val="18"/>
        </w:rPr>
        <w:t xml:space="preserve"> </w:t>
      </w:r>
      <w:r w:rsidRPr="00283806">
        <w:rPr>
          <w:sz w:val="18"/>
        </w:rPr>
        <w:t>plan</w:t>
      </w:r>
      <w:r w:rsidRPr="00283806">
        <w:rPr>
          <w:spacing w:val="28"/>
          <w:sz w:val="18"/>
        </w:rPr>
        <w:t xml:space="preserve"> </w:t>
      </w:r>
      <w:r w:rsidRPr="00283806">
        <w:rPr>
          <w:spacing w:val="-2"/>
          <w:sz w:val="18"/>
        </w:rPr>
        <w:t>must,</w:t>
      </w:r>
    </w:p>
    <w:p w14:paraId="4416AAD6" w14:textId="77777777" w:rsidR="00D67C1E" w:rsidRPr="00283806" w:rsidRDefault="001265CA">
      <w:pPr>
        <w:pStyle w:val="BodyText"/>
        <w:spacing w:line="228" w:lineRule="auto"/>
        <w:ind w:left="154" w:right="27"/>
      </w:pPr>
      <w:proofErr w:type="gramStart"/>
      <w:r w:rsidRPr="00283806">
        <w:rPr>
          <w:w w:val="105"/>
        </w:rPr>
        <w:t>at</w:t>
      </w:r>
      <w:proofErr w:type="gramEnd"/>
      <w:r w:rsidRPr="00283806">
        <w:rPr>
          <w:w w:val="105"/>
        </w:rPr>
        <w:t xml:space="preserve"> a minimum, contain the following </w:t>
      </w:r>
      <w:r w:rsidRPr="00283806">
        <w:rPr>
          <w:spacing w:val="-2"/>
          <w:w w:val="105"/>
        </w:rPr>
        <w:t>information:</w:t>
      </w:r>
    </w:p>
    <w:p w14:paraId="34A4AD5C" w14:textId="77777777" w:rsidR="00D67C1E" w:rsidRPr="00283806" w:rsidRDefault="001265CA">
      <w:pPr>
        <w:pStyle w:val="ListParagraph"/>
        <w:numPr>
          <w:ilvl w:val="1"/>
          <w:numId w:val="24"/>
        </w:numPr>
        <w:tabs>
          <w:tab w:val="left" w:pos="562"/>
        </w:tabs>
        <w:spacing w:line="228" w:lineRule="auto"/>
        <w:ind w:right="227" w:firstLine="180"/>
        <w:rPr>
          <w:sz w:val="18"/>
        </w:rPr>
      </w:pPr>
      <w:r w:rsidRPr="00283806">
        <w:rPr>
          <w:w w:val="105"/>
          <w:sz w:val="18"/>
        </w:rPr>
        <w:t>Identification and location of the refrigerant-containing appliance;</w:t>
      </w:r>
    </w:p>
    <w:p w14:paraId="2C9B5F31" w14:textId="77777777" w:rsidR="00D67C1E" w:rsidRPr="00283806" w:rsidRDefault="001265CA">
      <w:pPr>
        <w:pStyle w:val="ListParagraph"/>
        <w:numPr>
          <w:ilvl w:val="1"/>
          <w:numId w:val="24"/>
        </w:numPr>
        <w:tabs>
          <w:tab w:val="left" w:pos="622"/>
        </w:tabs>
        <w:spacing w:line="228" w:lineRule="auto"/>
        <w:ind w:right="556" w:firstLine="180"/>
        <w:rPr>
          <w:sz w:val="18"/>
        </w:rPr>
      </w:pPr>
      <w:r w:rsidRPr="00283806">
        <w:rPr>
          <w:w w:val="105"/>
          <w:sz w:val="18"/>
        </w:rPr>
        <w:t>Type and full charge of the refrigerant</w:t>
      </w:r>
      <w:r w:rsidRPr="00283806">
        <w:rPr>
          <w:spacing w:val="-10"/>
          <w:w w:val="105"/>
          <w:sz w:val="18"/>
        </w:rPr>
        <w:t xml:space="preserve"> </w:t>
      </w:r>
      <w:r w:rsidRPr="00283806">
        <w:rPr>
          <w:w w:val="105"/>
          <w:sz w:val="18"/>
        </w:rPr>
        <w:t>used</w:t>
      </w:r>
      <w:r w:rsidRPr="00283806">
        <w:rPr>
          <w:spacing w:val="-10"/>
          <w:w w:val="105"/>
          <w:sz w:val="18"/>
        </w:rPr>
        <w:t xml:space="preserve"> </w:t>
      </w:r>
      <w:r w:rsidRPr="00283806">
        <w:rPr>
          <w:w w:val="105"/>
          <w:sz w:val="18"/>
        </w:rPr>
        <w:t>in</w:t>
      </w:r>
      <w:r w:rsidRPr="00283806">
        <w:rPr>
          <w:spacing w:val="-10"/>
          <w:w w:val="105"/>
          <w:sz w:val="18"/>
        </w:rPr>
        <w:t xml:space="preserve"> </w:t>
      </w:r>
      <w:r w:rsidRPr="00283806">
        <w:rPr>
          <w:w w:val="105"/>
          <w:sz w:val="18"/>
        </w:rPr>
        <w:t>the</w:t>
      </w:r>
      <w:r w:rsidRPr="00283806">
        <w:rPr>
          <w:spacing w:val="-10"/>
          <w:w w:val="105"/>
          <w:sz w:val="18"/>
        </w:rPr>
        <w:t xml:space="preserve"> </w:t>
      </w:r>
      <w:r w:rsidRPr="00283806">
        <w:rPr>
          <w:w w:val="105"/>
          <w:sz w:val="18"/>
        </w:rPr>
        <w:t>refrigerant- containing appliance;</w:t>
      </w:r>
    </w:p>
    <w:p w14:paraId="5F9F9A30" w14:textId="77777777" w:rsidR="00D67C1E" w:rsidRPr="00283806" w:rsidRDefault="001265CA">
      <w:pPr>
        <w:pStyle w:val="ListParagraph"/>
        <w:numPr>
          <w:ilvl w:val="1"/>
          <w:numId w:val="24"/>
        </w:numPr>
        <w:tabs>
          <w:tab w:val="left" w:pos="682"/>
        </w:tabs>
        <w:spacing w:line="186" w:lineRule="exact"/>
        <w:ind w:left="682" w:hanging="348"/>
        <w:rPr>
          <w:sz w:val="18"/>
        </w:rPr>
      </w:pPr>
      <w:r w:rsidRPr="00283806">
        <w:rPr>
          <w:w w:val="105"/>
          <w:sz w:val="18"/>
        </w:rPr>
        <w:t>Type</w:t>
      </w:r>
      <w:r w:rsidRPr="00283806">
        <w:rPr>
          <w:spacing w:val="15"/>
          <w:w w:val="105"/>
          <w:sz w:val="18"/>
        </w:rPr>
        <w:t xml:space="preserve"> </w:t>
      </w:r>
      <w:r w:rsidRPr="00283806">
        <w:rPr>
          <w:w w:val="105"/>
          <w:sz w:val="18"/>
        </w:rPr>
        <w:t>and</w:t>
      </w:r>
      <w:r w:rsidRPr="00283806">
        <w:rPr>
          <w:spacing w:val="16"/>
          <w:w w:val="105"/>
          <w:sz w:val="18"/>
        </w:rPr>
        <w:t xml:space="preserve"> </w:t>
      </w:r>
      <w:r w:rsidRPr="00283806">
        <w:rPr>
          <w:w w:val="105"/>
          <w:sz w:val="18"/>
        </w:rPr>
        <w:t>full</w:t>
      </w:r>
      <w:r w:rsidRPr="00283806">
        <w:rPr>
          <w:spacing w:val="15"/>
          <w:w w:val="105"/>
          <w:sz w:val="18"/>
        </w:rPr>
        <w:t xml:space="preserve"> </w:t>
      </w:r>
      <w:r w:rsidRPr="00283806">
        <w:rPr>
          <w:w w:val="105"/>
          <w:sz w:val="18"/>
        </w:rPr>
        <w:t>charge</w:t>
      </w:r>
      <w:r w:rsidRPr="00283806">
        <w:rPr>
          <w:spacing w:val="16"/>
          <w:w w:val="105"/>
          <w:sz w:val="18"/>
        </w:rPr>
        <w:t xml:space="preserve"> </w:t>
      </w:r>
      <w:r w:rsidRPr="00283806">
        <w:rPr>
          <w:w w:val="105"/>
          <w:sz w:val="18"/>
        </w:rPr>
        <w:t>of</w:t>
      </w:r>
      <w:r w:rsidRPr="00283806">
        <w:rPr>
          <w:spacing w:val="15"/>
          <w:w w:val="105"/>
          <w:sz w:val="18"/>
        </w:rPr>
        <w:t xml:space="preserve"> </w:t>
      </w:r>
      <w:r w:rsidRPr="00283806">
        <w:rPr>
          <w:spacing w:val="-5"/>
          <w:w w:val="105"/>
          <w:sz w:val="18"/>
        </w:rPr>
        <w:t>the</w:t>
      </w:r>
    </w:p>
    <w:p w14:paraId="08EB16E8" w14:textId="77777777" w:rsidR="00D67C1E" w:rsidRPr="00283806" w:rsidRDefault="001265CA">
      <w:pPr>
        <w:pStyle w:val="BodyText"/>
        <w:spacing w:line="228" w:lineRule="auto"/>
        <w:ind w:left="154" w:right="95"/>
      </w:pPr>
      <w:r w:rsidRPr="00283806">
        <w:rPr>
          <w:w w:val="105"/>
        </w:rPr>
        <w:t>refrigerant to which the refrigerant- containing appliance will be converted,</w:t>
      </w:r>
      <w:r w:rsidRPr="00283806">
        <w:rPr>
          <w:spacing w:val="40"/>
          <w:w w:val="105"/>
        </w:rPr>
        <w:t xml:space="preserve"> </w:t>
      </w:r>
      <w:r w:rsidRPr="00283806">
        <w:rPr>
          <w:w w:val="105"/>
        </w:rPr>
        <w:t>if retrofitted;</w:t>
      </w:r>
    </w:p>
    <w:p w14:paraId="3DDA723C" w14:textId="77777777" w:rsidR="00D67C1E" w:rsidRPr="00283806" w:rsidRDefault="001265CA">
      <w:pPr>
        <w:pStyle w:val="ListParagraph"/>
        <w:numPr>
          <w:ilvl w:val="1"/>
          <w:numId w:val="24"/>
        </w:numPr>
        <w:tabs>
          <w:tab w:val="left" w:pos="662"/>
        </w:tabs>
        <w:spacing w:line="186" w:lineRule="exact"/>
        <w:ind w:left="662" w:hanging="328"/>
        <w:rPr>
          <w:sz w:val="18"/>
        </w:rPr>
      </w:pPr>
      <w:r w:rsidRPr="00283806">
        <w:rPr>
          <w:w w:val="105"/>
          <w:sz w:val="18"/>
        </w:rPr>
        <w:t>Itemized</w:t>
      </w:r>
      <w:r w:rsidRPr="00283806">
        <w:rPr>
          <w:spacing w:val="7"/>
          <w:w w:val="105"/>
          <w:sz w:val="18"/>
        </w:rPr>
        <w:t xml:space="preserve"> </w:t>
      </w:r>
      <w:r w:rsidRPr="00283806">
        <w:rPr>
          <w:w w:val="105"/>
          <w:sz w:val="18"/>
        </w:rPr>
        <w:t>procedure</w:t>
      </w:r>
      <w:r w:rsidRPr="00283806">
        <w:rPr>
          <w:spacing w:val="7"/>
          <w:w w:val="105"/>
          <w:sz w:val="18"/>
        </w:rPr>
        <w:t xml:space="preserve"> </w:t>
      </w:r>
      <w:r w:rsidRPr="00283806">
        <w:rPr>
          <w:w w:val="105"/>
          <w:sz w:val="18"/>
        </w:rPr>
        <w:t>for</w:t>
      </w:r>
      <w:r w:rsidRPr="00283806">
        <w:rPr>
          <w:spacing w:val="7"/>
          <w:w w:val="105"/>
          <w:sz w:val="18"/>
        </w:rPr>
        <w:t xml:space="preserve"> </w:t>
      </w:r>
      <w:r w:rsidRPr="00283806">
        <w:rPr>
          <w:spacing w:val="-2"/>
          <w:w w:val="105"/>
          <w:sz w:val="18"/>
        </w:rPr>
        <w:t>converting</w:t>
      </w:r>
    </w:p>
    <w:p w14:paraId="005D4B3B" w14:textId="77777777" w:rsidR="00D67C1E" w:rsidRPr="00283806" w:rsidRDefault="001265CA">
      <w:pPr>
        <w:pStyle w:val="BodyText"/>
        <w:spacing w:line="228" w:lineRule="auto"/>
        <w:ind w:left="154"/>
      </w:pPr>
      <w:r w:rsidRPr="00283806">
        <w:rPr>
          <w:w w:val="105"/>
        </w:rPr>
        <w:t>the refrigerant-containing appliance to a different refrigerant, including changes required for compatibility with the new refrigerant, if retrofitted;</w:t>
      </w:r>
    </w:p>
    <w:p w14:paraId="161BCB56" w14:textId="77777777" w:rsidR="00D67C1E" w:rsidRPr="00283806" w:rsidRDefault="001265CA">
      <w:pPr>
        <w:pStyle w:val="ListParagraph"/>
        <w:numPr>
          <w:ilvl w:val="1"/>
          <w:numId w:val="24"/>
        </w:numPr>
        <w:tabs>
          <w:tab w:val="left" w:pos="602"/>
        </w:tabs>
        <w:spacing w:line="185" w:lineRule="exact"/>
        <w:ind w:left="602" w:hanging="268"/>
        <w:rPr>
          <w:sz w:val="18"/>
        </w:rPr>
      </w:pPr>
      <w:r w:rsidRPr="00283806">
        <w:rPr>
          <w:w w:val="105"/>
          <w:sz w:val="18"/>
        </w:rPr>
        <w:t>Plan</w:t>
      </w:r>
      <w:r w:rsidRPr="00283806">
        <w:rPr>
          <w:spacing w:val="13"/>
          <w:w w:val="105"/>
          <w:sz w:val="18"/>
        </w:rPr>
        <w:t xml:space="preserve"> </w:t>
      </w:r>
      <w:r w:rsidRPr="00283806">
        <w:rPr>
          <w:w w:val="105"/>
          <w:sz w:val="18"/>
        </w:rPr>
        <w:t>for</w:t>
      </w:r>
      <w:r w:rsidRPr="00283806">
        <w:rPr>
          <w:spacing w:val="14"/>
          <w:w w:val="105"/>
          <w:sz w:val="18"/>
        </w:rPr>
        <w:t xml:space="preserve"> </w:t>
      </w:r>
      <w:r w:rsidRPr="00283806">
        <w:rPr>
          <w:w w:val="105"/>
          <w:sz w:val="18"/>
        </w:rPr>
        <w:t>the</w:t>
      </w:r>
      <w:r w:rsidRPr="00283806">
        <w:rPr>
          <w:spacing w:val="14"/>
          <w:w w:val="105"/>
          <w:sz w:val="18"/>
        </w:rPr>
        <w:t xml:space="preserve"> </w:t>
      </w:r>
      <w:r w:rsidRPr="00283806">
        <w:rPr>
          <w:w w:val="105"/>
          <w:sz w:val="18"/>
        </w:rPr>
        <w:t>disposition</w:t>
      </w:r>
      <w:r w:rsidRPr="00283806">
        <w:rPr>
          <w:spacing w:val="13"/>
          <w:w w:val="105"/>
          <w:sz w:val="18"/>
        </w:rPr>
        <w:t xml:space="preserve"> </w:t>
      </w:r>
      <w:r w:rsidRPr="00283806">
        <w:rPr>
          <w:spacing w:val="-5"/>
          <w:w w:val="105"/>
          <w:sz w:val="18"/>
        </w:rPr>
        <w:t>of</w:t>
      </w:r>
    </w:p>
    <w:p w14:paraId="43545EDC" w14:textId="77777777" w:rsidR="00D67C1E" w:rsidRPr="00283806" w:rsidRDefault="001265CA">
      <w:pPr>
        <w:pStyle w:val="BodyText"/>
        <w:spacing w:line="195" w:lineRule="exact"/>
        <w:ind w:left="154"/>
      </w:pPr>
      <w:r w:rsidRPr="00283806">
        <w:rPr>
          <w:w w:val="105"/>
        </w:rPr>
        <w:t>recovered</w:t>
      </w:r>
      <w:r w:rsidRPr="00283806">
        <w:rPr>
          <w:spacing w:val="-1"/>
          <w:w w:val="105"/>
        </w:rPr>
        <w:t xml:space="preserve"> </w:t>
      </w:r>
      <w:r w:rsidRPr="00283806">
        <w:rPr>
          <w:spacing w:val="-2"/>
          <w:w w:val="105"/>
        </w:rPr>
        <w:t>refrigerant;</w:t>
      </w:r>
    </w:p>
    <w:p w14:paraId="16C8041C" w14:textId="77777777" w:rsidR="00D67C1E" w:rsidRPr="00283806" w:rsidRDefault="001265CA">
      <w:pPr>
        <w:pStyle w:val="ListParagraph"/>
        <w:numPr>
          <w:ilvl w:val="1"/>
          <w:numId w:val="24"/>
        </w:numPr>
        <w:tabs>
          <w:tab w:val="left" w:pos="662"/>
        </w:tabs>
        <w:spacing w:line="228" w:lineRule="auto"/>
        <w:ind w:right="388" w:firstLine="180"/>
        <w:rPr>
          <w:sz w:val="18"/>
        </w:rPr>
      </w:pPr>
      <w:r w:rsidRPr="00283806">
        <w:rPr>
          <w:w w:val="105"/>
          <w:sz w:val="18"/>
        </w:rPr>
        <w:t>Plan for the disposition of the refrigerant-containing appliance, if retired; and</w:t>
      </w:r>
    </w:p>
    <w:p w14:paraId="1252583A" w14:textId="77777777" w:rsidR="00D67C1E" w:rsidRPr="00283806" w:rsidRDefault="001265CA">
      <w:pPr>
        <w:pStyle w:val="ListParagraph"/>
        <w:numPr>
          <w:ilvl w:val="1"/>
          <w:numId w:val="24"/>
        </w:numPr>
        <w:tabs>
          <w:tab w:val="left" w:pos="722"/>
        </w:tabs>
        <w:spacing w:line="186" w:lineRule="exact"/>
        <w:ind w:left="722" w:hanging="388"/>
        <w:rPr>
          <w:sz w:val="18"/>
        </w:rPr>
      </w:pPr>
      <w:r w:rsidRPr="00283806">
        <w:rPr>
          <w:w w:val="110"/>
          <w:sz w:val="18"/>
        </w:rPr>
        <w:t>A</w:t>
      </w:r>
      <w:r w:rsidRPr="00283806">
        <w:rPr>
          <w:spacing w:val="-1"/>
          <w:w w:val="110"/>
          <w:sz w:val="18"/>
        </w:rPr>
        <w:t xml:space="preserve"> </w:t>
      </w:r>
      <w:r w:rsidRPr="00283806">
        <w:rPr>
          <w:w w:val="110"/>
          <w:sz w:val="18"/>
        </w:rPr>
        <w:t xml:space="preserve">schedule, not to exceed </w:t>
      </w:r>
      <w:r w:rsidRPr="00283806">
        <w:rPr>
          <w:spacing w:val="-5"/>
          <w:w w:val="110"/>
          <w:sz w:val="18"/>
        </w:rPr>
        <w:t>one</w:t>
      </w:r>
    </w:p>
    <w:p w14:paraId="7C0F696E" w14:textId="77777777" w:rsidR="00D67C1E" w:rsidRPr="00283806" w:rsidRDefault="001265CA">
      <w:pPr>
        <w:pStyle w:val="BodyText"/>
        <w:spacing w:line="228" w:lineRule="auto"/>
        <w:ind w:left="154" w:right="27"/>
      </w:pPr>
      <w:r w:rsidRPr="00283806">
        <w:rPr>
          <w:w w:val="105"/>
        </w:rPr>
        <w:t>year, for completion of the appliance retrofit or retirement.</w:t>
      </w:r>
    </w:p>
    <w:p w14:paraId="764CA249" w14:textId="77777777" w:rsidR="00D67C1E" w:rsidRPr="00283806" w:rsidRDefault="001265CA">
      <w:pPr>
        <w:pStyle w:val="ListParagraph"/>
        <w:numPr>
          <w:ilvl w:val="0"/>
          <w:numId w:val="24"/>
        </w:numPr>
        <w:tabs>
          <w:tab w:val="left" w:pos="602"/>
        </w:tabs>
        <w:spacing w:line="228" w:lineRule="auto"/>
        <w:ind w:left="154" w:right="267" w:firstLine="180"/>
        <w:rPr>
          <w:sz w:val="18"/>
        </w:rPr>
      </w:pPr>
      <w:r w:rsidRPr="00283806">
        <w:rPr>
          <w:w w:val="105"/>
          <w:sz w:val="18"/>
        </w:rPr>
        <w:t>The retrofit or retirement plan must be signed by an authorized company official, dated, accessible at the site of the refrigerant-containing appliance in paper copy or electronic</w:t>
      </w:r>
    </w:p>
    <w:p w14:paraId="74FAB823" w14:textId="77777777" w:rsidR="00D67C1E" w:rsidRPr="00283806" w:rsidRDefault="001265CA">
      <w:pPr>
        <w:pStyle w:val="BodyText"/>
        <w:spacing w:before="134" w:line="225" w:lineRule="auto"/>
        <w:ind w:left="144" w:right="171"/>
      </w:pPr>
      <w:r w:rsidRPr="00283806">
        <w:br w:type="column"/>
      </w:r>
      <w:r w:rsidRPr="00283806">
        <w:rPr>
          <w:w w:val="105"/>
        </w:rPr>
        <w:t>format, and available for EPA inspection upon request.</w:t>
      </w:r>
    </w:p>
    <w:p w14:paraId="51770D07" w14:textId="77777777" w:rsidR="00D67C1E" w:rsidRPr="00283806" w:rsidRDefault="001265CA">
      <w:pPr>
        <w:pStyle w:val="ListParagraph"/>
        <w:numPr>
          <w:ilvl w:val="0"/>
          <w:numId w:val="24"/>
        </w:numPr>
        <w:tabs>
          <w:tab w:val="left" w:pos="592"/>
        </w:tabs>
        <w:spacing w:line="179" w:lineRule="exact"/>
        <w:ind w:left="592" w:hanging="268"/>
        <w:rPr>
          <w:sz w:val="18"/>
        </w:rPr>
      </w:pPr>
      <w:r w:rsidRPr="00283806">
        <w:rPr>
          <w:w w:val="110"/>
          <w:sz w:val="18"/>
        </w:rPr>
        <w:t xml:space="preserve">All identified leaks must </w:t>
      </w:r>
      <w:r w:rsidRPr="00283806">
        <w:rPr>
          <w:spacing w:val="-5"/>
          <w:w w:val="110"/>
          <w:sz w:val="18"/>
        </w:rPr>
        <w:t>be</w:t>
      </w:r>
    </w:p>
    <w:p w14:paraId="5F3B9830" w14:textId="77777777" w:rsidR="00D67C1E" w:rsidRPr="00283806" w:rsidRDefault="001265CA">
      <w:pPr>
        <w:pStyle w:val="BodyText"/>
        <w:spacing w:before="4" w:line="225" w:lineRule="auto"/>
        <w:ind w:left="144" w:right="162"/>
      </w:pPr>
      <w:r w:rsidRPr="00283806">
        <w:rPr>
          <w:w w:val="105"/>
        </w:rPr>
        <w:t>repaired</w:t>
      </w:r>
      <w:r w:rsidRPr="00283806">
        <w:rPr>
          <w:spacing w:val="-2"/>
          <w:w w:val="105"/>
        </w:rPr>
        <w:t xml:space="preserve"> </w:t>
      </w:r>
      <w:r w:rsidRPr="00283806">
        <w:rPr>
          <w:w w:val="105"/>
        </w:rPr>
        <w:t>as</w:t>
      </w:r>
      <w:r w:rsidRPr="00283806">
        <w:rPr>
          <w:spacing w:val="-2"/>
          <w:w w:val="105"/>
        </w:rPr>
        <w:t xml:space="preserve"> </w:t>
      </w:r>
      <w:r w:rsidRPr="00283806">
        <w:rPr>
          <w:w w:val="105"/>
        </w:rPr>
        <w:t>part</w:t>
      </w:r>
      <w:r w:rsidRPr="00283806">
        <w:rPr>
          <w:spacing w:val="-2"/>
          <w:w w:val="105"/>
        </w:rPr>
        <w:t xml:space="preserve"> </w:t>
      </w:r>
      <w:r w:rsidRPr="00283806">
        <w:rPr>
          <w:w w:val="105"/>
        </w:rPr>
        <w:t>of</w:t>
      </w:r>
      <w:r w:rsidRPr="00283806">
        <w:rPr>
          <w:spacing w:val="-2"/>
          <w:w w:val="105"/>
        </w:rPr>
        <w:t xml:space="preserve"> </w:t>
      </w:r>
      <w:r w:rsidRPr="00283806">
        <w:rPr>
          <w:w w:val="105"/>
        </w:rPr>
        <w:t>any</w:t>
      </w:r>
      <w:r w:rsidRPr="00283806">
        <w:rPr>
          <w:spacing w:val="-2"/>
          <w:w w:val="105"/>
        </w:rPr>
        <w:t xml:space="preserve"> </w:t>
      </w:r>
      <w:r w:rsidRPr="00283806">
        <w:rPr>
          <w:w w:val="105"/>
        </w:rPr>
        <w:t>retrofit</w:t>
      </w:r>
      <w:r w:rsidRPr="00283806">
        <w:rPr>
          <w:spacing w:val="-2"/>
          <w:w w:val="105"/>
        </w:rPr>
        <w:t xml:space="preserve"> </w:t>
      </w:r>
      <w:r w:rsidRPr="00283806">
        <w:rPr>
          <w:w w:val="105"/>
        </w:rPr>
        <w:t>under such a plan.</w:t>
      </w:r>
    </w:p>
    <w:p w14:paraId="0C4A50B1" w14:textId="77777777" w:rsidR="00D67C1E" w:rsidRPr="00283806" w:rsidRDefault="001265CA">
      <w:pPr>
        <w:pStyle w:val="ListParagraph"/>
        <w:numPr>
          <w:ilvl w:val="0"/>
          <w:numId w:val="24"/>
        </w:numPr>
        <w:tabs>
          <w:tab w:val="left" w:pos="592"/>
        </w:tabs>
        <w:spacing w:line="179" w:lineRule="exact"/>
        <w:ind w:left="592" w:hanging="268"/>
        <w:rPr>
          <w:sz w:val="18"/>
        </w:rPr>
      </w:pPr>
      <w:r w:rsidRPr="00283806">
        <w:rPr>
          <w:w w:val="105"/>
          <w:sz w:val="18"/>
        </w:rPr>
        <w:t>A</w:t>
      </w:r>
      <w:r w:rsidRPr="00283806">
        <w:rPr>
          <w:spacing w:val="5"/>
          <w:w w:val="105"/>
          <w:sz w:val="18"/>
        </w:rPr>
        <w:t xml:space="preserve"> </w:t>
      </w:r>
      <w:r w:rsidRPr="00283806">
        <w:rPr>
          <w:w w:val="105"/>
          <w:sz w:val="18"/>
        </w:rPr>
        <w:t>retrofit</w:t>
      </w:r>
      <w:r w:rsidRPr="00283806">
        <w:rPr>
          <w:spacing w:val="6"/>
          <w:w w:val="105"/>
          <w:sz w:val="18"/>
        </w:rPr>
        <w:t xml:space="preserve"> </w:t>
      </w:r>
      <w:r w:rsidRPr="00283806">
        <w:rPr>
          <w:w w:val="105"/>
          <w:sz w:val="18"/>
        </w:rPr>
        <w:t>or</w:t>
      </w:r>
      <w:r w:rsidRPr="00283806">
        <w:rPr>
          <w:spacing w:val="5"/>
          <w:w w:val="105"/>
          <w:sz w:val="18"/>
        </w:rPr>
        <w:t xml:space="preserve"> </w:t>
      </w:r>
      <w:r w:rsidRPr="00283806">
        <w:rPr>
          <w:w w:val="105"/>
          <w:sz w:val="18"/>
        </w:rPr>
        <w:t>retirement</w:t>
      </w:r>
      <w:r w:rsidRPr="00283806">
        <w:rPr>
          <w:spacing w:val="6"/>
          <w:w w:val="105"/>
          <w:sz w:val="18"/>
        </w:rPr>
        <w:t xml:space="preserve"> </w:t>
      </w:r>
      <w:r w:rsidRPr="00283806">
        <w:rPr>
          <w:w w:val="105"/>
          <w:sz w:val="18"/>
        </w:rPr>
        <w:t>plan</w:t>
      </w:r>
      <w:r w:rsidRPr="00283806">
        <w:rPr>
          <w:spacing w:val="5"/>
          <w:w w:val="105"/>
          <w:sz w:val="18"/>
        </w:rPr>
        <w:t xml:space="preserve"> </w:t>
      </w:r>
      <w:r w:rsidRPr="00283806">
        <w:rPr>
          <w:spacing w:val="-4"/>
          <w:w w:val="105"/>
          <w:sz w:val="18"/>
        </w:rPr>
        <w:t>must</w:t>
      </w:r>
    </w:p>
    <w:p w14:paraId="1A065551" w14:textId="77777777" w:rsidR="00D67C1E" w:rsidRPr="00283806" w:rsidRDefault="001265CA">
      <w:pPr>
        <w:pStyle w:val="BodyText"/>
        <w:spacing w:line="191" w:lineRule="exact"/>
        <w:ind w:left="144"/>
      </w:pPr>
      <w:r w:rsidRPr="00283806">
        <w:rPr>
          <w:w w:val="105"/>
        </w:rPr>
        <w:t>be</w:t>
      </w:r>
      <w:r w:rsidRPr="00283806">
        <w:rPr>
          <w:spacing w:val="10"/>
          <w:w w:val="105"/>
        </w:rPr>
        <w:t xml:space="preserve"> </w:t>
      </w:r>
      <w:r w:rsidRPr="00283806">
        <w:rPr>
          <w:w w:val="105"/>
        </w:rPr>
        <w:t>implemented</w:t>
      </w:r>
      <w:r w:rsidRPr="00283806">
        <w:rPr>
          <w:spacing w:val="10"/>
          <w:w w:val="105"/>
        </w:rPr>
        <w:t xml:space="preserve"> </w:t>
      </w:r>
      <w:r w:rsidRPr="00283806">
        <w:rPr>
          <w:w w:val="105"/>
        </w:rPr>
        <w:t>as</w:t>
      </w:r>
      <w:r w:rsidRPr="00283806">
        <w:rPr>
          <w:spacing w:val="10"/>
          <w:w w:val="105"/>
        </w:rPr>
        <w:t xml:space="preserve"> </w:t>
      </w:r>
      <w:r w:rsidRPr="00283806">
        <w:rPr>
          <w:spacing w:val="-2"/>
          <w:w w:val="105"/>
        </w:rPr>
        <w:t>follows:</w:t>
      </w:r>
    </w:p>
    <w:p w14:paraId="0003D50E" w14:textId="77777777" w:rsidR="00D67C1E" w:rsidRPr="00283806" w:rsidRDefault="001265CA">
      <w:pPr>
        <w:pStyle w:val="ListParagraph"/>
        <w:numPr>
          <w:ilvl w:val="1"/>
          <w:numId w:val="24"/>
        </w:numPr>
        <w:tabs>
          <w:tab w:val="left" w:pos="552"/>
        </w:tabs>
        <w:spacing w:line="225" w:lineRule="auto"/>
        <w:ind w:left="144" w:right="182" w:firstLine="180"/>
        <w:rPr>
          <w:sz w:val="18"/>
        </w:rPr>
      </w:pPr>
      <w:r w:rsidRPr="00283806">
        <w:rPr>
          <w:w w:val="105"/>
          <w:sz w:val="18"/>
        </w:rPr>
        <w:t>Unless granted additional time, all work performed in accordance with the plan</w:t>
      </w:r>
      <w:r w:rsidRPr="00283806">
        <w:rPr>
          <w:spacing w:val="36"/>
          <w:w w:val="105"/>
          <w:sz w:val="18"/>
        </w:rPr>
        <w:t xml:space="preserve"> </w:t>
      </w:r>
      <w:r w:rsidRPr="00283806">
        <w:rPr>
          <w:w w:val="105"/>
          <w:sz w:val="18"/>
        </w:rPr>
        <w:t>must</w:t>
      </w:r>
      <w:r w:rsidRPr="00283806">
        <w:rPr>
          <w:spacing w:val="36"/>
          <w:w w:val="105"/>
          <w:sz w:val="18"/>
        </w:rPr>
        <w:t xml:space="preserve"> </w:t>
      </w:r>
      <w:r w:rsidRPr="00283806">
        <w:rPr>
          <w:w w:val="105"/>
          <w:sz w:val="18"/>
        </w:rPr>
        <w:t>be</w:t>
      </w:r>
      <w:r w:rsidRPr="00283806">
        <w:rPr>
          <w:spacing w:val="36"/>
          <w:w w:val="105"/>
          <w:sz w:val="18"/>
        </w:rPr>
        <w:t xml:space="preserve"> </w:t>
      </w:r>
      <w:r w:rsidRPr="00283806">
        <w:rPr>
          <w:w w:val="105"/>
          <w:sz w:val="18"/>
        </w:rPr>
        <w:t>finished</w:t>
      </w:r>
      <w:r w:rsidRPr="00283806">
        <w:rPr>
          <w:spacing w:val="36"/>
          <w:w w:val="105"/>
          <w:sz w:val="18"/>
        </w:rPr>
        <w:t xml:space="preserve"> </w:t>
      </w:r>
      <w:r w:rsidRPr="00283806">
        <w:rPr>
          <w:w w:val="105"/>
          <w:sz w:val="18"/>
        </w:rPr>
        <w:t>within</w:t>
      </w:r>
      <w:r w:rsidRPr="00283806">
        <w:rPr>
          <w:spacing w:val="36"/>
          <w:w w:val="105"/>
          <w:sz w:val="18"/>
        </w:rPr>
        <w:t xml:space="preserve"> </w:t>
      </w:r>
      <w:r w:rsidRPr="00283806">
        <w:rPr>
          <w:w w:val="105"/>
          <w:sz w:val="18"/>
        </w:rPr>
        <w:t>one</w:t>
      </w:r>
      <w:r w:rsidRPr="00283806">
        <w:rPr>
          <w:spacing w:val="36"/>
          <w:w w:val="105"/>
          <w:sz w:val="18"/>
        </w:rPr>
        <w:t xml:space="preserve"> </w:t>
      </w:r>
      <w:r w:rsidRPr="00283806">
        <w:rPr>
          <w:w w:val="105"/>
          <w:sz w:val="18"/>
        </w:rPr>
        <w:t>year of the plan’s date (not to exceed 12 months from when the plan was</w:t>
      </w:r>
      <w:r w:rsidRPr="00283806">
        <w:rPr>
          <w:spacing w:val="40"/>
          <w:w w:val="105"/>
          <w:sz w:val="18"/>
        </w:rPr>
        <w:t xml:space="preserve"> </w:t>
      </w:r>
      <w:r w:rsidRPr="00283806">
        <w:rPr>
          <w:w w:val="105"/>
          <w:sz w:val="18"/>
        </w:rPr>
        <w:t>finalized</w:t>
      </w:r>
      <w:r w:rsidRPr="00283806">
        <w:rPr>
          <w:spacing w:val="-4"/>
          <w:w w:val="105"/>
          <w:sz w:val="18"/>
        </w:rPr>
        <w:t xml:space="preserve"> </w:t>
      </w:r>
      <w:r w:rsidRPr="00283806">
        <w:rPr>
          <w:w w:val="105"/>
          <w:sz w:val="18"/>
        </w:rPr>
        <w:t>as</w:t>
      </w:r>
      <w:r w:rsidRPr="00283806">
        <w:rPr>
          <w:spacing w:val="-4"/>
          <w:w w:val="105"/>
          <w:sz w:val="18"/>
        </w:rPr>
        <w:t xml:space="preserve"> </w:t>
      </w:r>
      <w:r w:rsidRPr="00283806">
        <w:rPr>
          <w:w w:val="105"/>
          <w:sz w:val="18"/>
        </w:rPr>
        <w:t>required</w:t>
      </w:r>
      <w:r w:rsidRPr="00283806">
        <w:rPr>
          <w:spacing w:val="-4"/>
          <w:w w:val="105"/>
          <w:sz w:val="18"/>
        </w:rPr>
        <w:t xml:space="preserve"> </w:t>
      </w:r>
      <w:r w:rsidRPr="00283806">
        <w:rPr>
          <w:w w:val="105"/>
          <w:sz w:val="18"/>
        </w:rPr>
        <w:t>in</w:t>
      </w:r>
      <w:r w:rsidRPr="00283806">
        <w:rPr>
          <w:spacing w:val="-4"/>
          <w:w w:val="105"/>
          <w:sz w:val="18"/>
        </w:rPr>
        <w:t xml:space="preserve"> </w:t>
      </w:r>
      <w:r w:rsidRPr="00283806">
        <w:rPr>
          <w:w w:val="105"/>
          <w:sz w:val="18"/>
        </w:rPr>
        <w:t>paragraph</w:t>
      </w:r>
      <w:r w:rsidRPr="00283806">
        <w:rPr>
          <w:spacing w:val="-4"/>
          <w:w w:val="105"/>
          <w:sz w:val="18"/>
        </w:rPr>
        <w:t xml:space="preserve"> </w:t>
      </w:r>
      <w:r w:rsidRPr="00283806">
        <w:rPr>
          <w:w w:val="105"/>
          <w:sz w:val="18"/>
        </w:rPr>
        <w:t>(h)(1) of this section).</w:t>
      </w:r>
    </w:p>
    <w:p w14:paraId="2E111849" w14:textId="77777777" w:rsidR="00D67C1E" w:rsidRPr="00283806" w:rsidRDefault="001265CA">
      <w:pPr>
        <w:pStyle w:val="ListParagraph"/>
        <w:numPr>
          <w:ilvl w:val="1"/>
          <w:numId w:val="24"/>
        </w:numPr>
        <w:tabs>
          <w:tab w:val="left" w:pos="612"/>
        </w:tabs>
        <w:spacing w:line="178" w:lineRule="exact"/>
        <w:ind w:left="612" w:hanging="288"/>
        <w:rPr>
          <w:sz w:val="18"/>
        </w:rPr>
      </w:pPr>
      <w:r w:rsidRPr="00283806">
        <w:rPr>
          <w:w w:val="105"/>
          <w:sz w:val="18"/>
        </w:rPr>
        <w:t>The</w:t>
      </w:r>
      <w:r w:rsidRPr="00283806">
        <w:rPr>
          <w:spacing w:val="-1"/>
          <w:w w:val="105"/>
          <w:sz w:val="18"/>
        </w:rPr>
        <w:t xml:space="preserve"> </w:t>
      </w:r>
      <w:r w:rsidRPr="00283806">
        <w:rPr>
          <w:w w:val="105"/>
          <w:sz w:val="18"/>
        </w:rPr>
        <w:t>owner</w:t>
      </w:r>
      <w:r w:rsidRPr="00283806">
        <w:rPr>
          <w:spacing w:val="-1"/>
          <w:w w:val="105"/>
          <w:sz w:val="18"/>
        </w:rPr>
        <w:t xml:space="preserve"> </w:t>
      </w:r>
      <w:r w:rsidRPr="00283806">
        <w:rPr>
          <w:w w:val="105"/>
          <w:sz w:val="18"/>
        </w:rPr>
        <w:t>or</w:t>
      </w:r>
      <w:r w:rsidRPr="00283806">
        <w:rPr>
          <w:spacing w:val="-1"/>
          <w:w w:val="105"/>
          <w:sz w:val="18"/>
        </w:rPr>
        <w:t xml:space="preserve"> </w:t>
      </w:r>
      <w:r w:rsidRPr="00283806">
        <w:rPr>
          <w:w w:val="105"/>
          <w:sz w:val="18"/>
        </w:rPr>
        <w:t>operator</w:t>
      </w:r>
      <w:r w:rsidRPr="00283806">
        <w:rPr>
          <w:spacing w:val="-1"/>
          <w:w w:val="105"/>
          <w:sz w:val="18"/>
        </w:rPr>
        <w:t xml:space="preserve"> </w:t>
      </w:r>
      <w:r w:rsidRPr="00283806">
        <w:rPr>
          <w:spacing w:val="-5"/>
          <w:w w:val="105"/>
          <w:sz w:val="18"/>
        </w:rPr>
        <w:t>may</w:t>
      </w:r>
    </w:p>
    <w:p w14:paraId="60DD63B6" w14:textId="77777777" w:rsidR="00D67C1E" w:rsidRPr="00283806" w:rsidRDefault="001265CA">
      <w:pPr>
        <w:pStyle w:val="BodyText"/>
        <w:spacing w:line="225" w:lineRule="auto"/>
        <w:ind w:left="144" w:right="162"/>
      </w:pPr>
      <w:r w:rsidRPr="00283806">
        <w:rPr>
          <w:w w:val="105"/>
        </w:rPr>
        <w:t>request that EPA relieve it of the obligation to retrofit or retire a refrigerant-containing appliance if the owner or operator can establish within 180 days of the plan’s date that the refrigerant-containing appliance no longer exceeds the applicable leak rate and if the owner or operator agrees in writing to repair all identified leaks within one year of the plan’s date consistent with paragraphs (h)(4) and (h)(5)(i) of this section. The owner or operator must submit to EPA the retrofit or retirement plan as well as the following information: The date that the requirement to develop a retrofit or retirement plan was triggered; the leak rate; the method used to determine the leak rate and full charge; the location of the leak(s) identified in the leak inspection; a description of the repairs that have been completed; a description of repairs that have not been completed; a description of why repairs were not conducted within the time frames required under paragraphs (d) and (f) of this section; and a statement signed by</w:t>
      </w:r>
      <w:r w:rsidRPr="00283806">
        <w:rPr>
          <w:spacing w:val="40"/>
          <w:w w:val="105"/>
        </w:rPr>
        <w:t xml:space="preserve"> </w:t>
      </w:r>
      <w:r w:rsidRPr="00283806">
        <w:rPr>
          <w:w w:val="105"/>
        </w:rPr>
        <w:t>an authorized company official that all identified leaks will be repaired and an estimate of when those repairs will be completed (not to exceed one year from date of the plan). The request will be considered approved unless EPA</w:t>
      </w:r>
      <w:r w:rsidRPr="00283806">
        <w:rPr>
          <w:spacing w:val="80"/>
          <w:w w:val="105"/>
        </w:rPr>
        <w:t xml:space="preserve"> </w:t>
      </w:r>
      <w:r w:rsidRPr="00283806">
        <w:rPr>
          <w:w w:val="105"/>
        </w:rPr>
        <w:t>notifies the owner or operator within 60 days of receipt of the request that it is</w:t>
      </w:r>
      <w:r w:rsidRPr="00283806">
        <w:rPr>
          <w:spacing w:val="40"/>
          <w:w w:val="105"/>
        </w:rPr>
        <w:t xml:space="preserve"> </w:t>
      </w:r>
      <w:r w:rsidRPr="00283806">
        <w:rPr>
          <w:w w:val="105"/>
        </w:rPr>
        <w:t>not approved.</w:t>
      </w:r>
    </w:p>
    <w:p w14:paraId="284737D0" w14:textId="77777777" w:rsidR="00D67C1E" w:rsidRPr="00283806" w:rsidRDefault="001265CA">
      <w:pPr>
        <w:pStyle w:val="ListParagraph"/>
        <w:numPr>
          <w:ilvl w:val="0"/>
          <w:numId w:val="23"/>
        </w:numPr>
        <w:tabs>
          <w:tab w:val="left" w:pos="552"/>
        </w:tabs>
        <w:spacing w:line="216" w:lineRule="auto"/>
        <w:ind w:right="275" w:firstLine="180"/>
        <w:rPr>
          <w:sz w:val="18"/>
        </w:rPr>
      </w:pPr>
      <w:r w:rsidRPr="00283806">
        <w:rPr>
          <w:rFonts w:ascii="Book Antiqua"/>
          <w:i/>
          <w:w w:val="110"/>
          <w:sz w:val="18"/>
        </w:rPr>
        <w:t xml:space="preserve">Extensions to the one-year retrofit or retirement schedule. </w:t>
      </w:r>
      <w:r w:rsidRPr="00283806">
        <w:rPr>
          <w:w w:val="110"/>
          <w:sz w:val="18"/>
        </w:rPr>
        <w:t>Owners or operators</w:t>
      </w:r>
      <w:r w:rsidRPr="00283806">
        <w:rPr>
          <w:spacing w:val="-7"/>
          <w:w w:val="110"/>
          <w:sz w:val="18"/>
        </w:rPr>
        <w:t xml:space="preserve"> </w:t>
      </w:r>
      <w:r w:rsidRPr="00283806">
        <w:rPr>
          <w:w w:val="110"/>
          <w:sz w:val="18"/>
        </w:rPr>
        <w:t>may</w:t>
      </w:r>
      <w:r w:rsidRPr="00283806">
        <w:rPr>
          <w:spacing w:val="-7"/>
          <w:w w:val="110"/>
          <w:sz w:val="18"/>
        </w:rPr>
        <w:t xml:space="preserve"> </w:t>
      </w:r>
      <w:r w:rsidRPr="00283806">
        <w:rPr>
          <w:w w:val="110"/>
          <w:sz w:val="18"/>
        </w:rPr>
        <w:t>request</w:t>
      </w:r>
      <w:r w:rsidRPr="00283806">
        <w:rPr>
          <w:spacing w:val="-7"/>
          <w:w w:val="110"/>
          <w:sz w:val="18"/>
        </w:rPr>
        <w:t xml:space="preserve"> </w:t>
      </w:r>
      <w:r w:rsidRPr="00283806">
        <w:rPr>
          <w:w w:val="110"/>
          <w:sz w:val="18"/>
        </w:rPr>
        <w:t>more</w:t>
      </w:r>
      <w:r w:rsidRPr="00283806">
        <w:rPr>
          <w:spacing w:val="-7"/>
          <w:w w:val="110"/>
          <w:sz w:val="18"/>
        </w:rPr>
        <w:t xml:space="preserve"> </w:t>
      </w:r>
      <w:r w:rsidRPr="00283806">
        <w:rPr>
          <w:w w:val="110"/>
          <w:sz w:val="18"/>
        </w:rPr>
        <w:t>than</w:t>
      </w:r>
      <w:r w:rsidRPr="00283806">
        <w:rPr>
          <w:spacing w:val="-7"/>
          <w:w w:val="110"/>
          <w:sz w:val="18"/>
        </w:rPr>
        <w:t xml:space="preserve"> </w:t>
      </w:r>
      <w:r w:rsidRPr="00283806">
        <w:rPr>
          <w:w w:val="110"/>
          <w:sz w:val="18"/>
        </w:rPr>
        <w:t>one</w:t>
      </w:r>
    </w:p>
    <w:p w14:paraId="4F34FDEE" w14:textId="77777777" w:rsidR="00D67C1E" w:rsidRPr="00283806" w:rsidRDefault="001265CA">
      <w:pPr>
        <w:pStyle w:val="BodyText"/>
        <w:spacing w:line="228" w:lineRule="auto"/>
        <w:ind w:left="144" w:right="250"/>
      </w:pPr>
      <w:r w:rsidRPr="00283806">
        <w:rPr>
          <w:w w:val="110"/>
        </w:rPr>
        <w:t>year to comply with paragraph (h) of this section if they meet the requirements of this paragraph. The request will be considered approved unless EPA notifies the owners or operators within 60 days of receipt of the</w:t>
      </w:r>
      <w:r w:rsidRPr="00283806">
        <w:rPr>
          <w:spacing w:val="-11"/>
          <w:w w:val="110"/>
        </w:rPr>
        <w:t xml:space="preserve"> </w:t>
      </w:r>
      <w:r w:rsidRPr="00283806">
        <w:rPr>
          <w:w w:val="110"/>
        </w:rPr>
        <w:t>request</w:t>
      </w:r>
      <w:r w:rsidRPr="00283806">
        <w:rPr>
          <w:spacing w:val="-11"/>
          <w:w w:val="110"/>
        </w:rPr>
        <w:t xml:space="preserve"> </w:t>
      </w:r>
      <w:r w:rsidRPr="00283806">
        <w:rPr>
          <w:w w:val="110"/>
        </w:rPr>
        <w:t>that</w:t>
      </w:r>
      <w:r w:rsidRPr="00283806">
        <w:rPr>
          <w:spacing w:val="-11"/>
          <w:w w:val="110"/>
        </w:rPr>
        <w:t xml:space="preserve"> </w:t>
      </w:r>
      <w:r w:rsidRPr="00283806">
        <w:rPr>
          <w:w w:val="110"/>
        </w:rPr>
        <w:t>it</w:t>
      </w:r>
      <w:r w:rsidRPr="00283806">
        <w:rPr>
          <w:spacing w:val="-11"/>
          <w:w w:val="110"/>
        </w:rPr>
        <w:t xml:space="preserve"> </w:t>
      </w:r>
      <w:r w:rsidRPr="00283806">
        <w:rPr>
          <w:w w:val="110"/>
        </w:rPr>
        <w:t>is</w:t>
      </w:r>
      <w:r w:rsidRPr="00283806">
        <w:rPr>
          <w:spacing w:val="-11"/>
          <w:w w:val="110"/>
        </w:rPr>
        <w:t xml:space="preserve"> </w:t>
      </w:r>
      <w:r w:rsidRPr="00283806">
        <w:rPr>
          <w:w w:val="110"/>
        </w:rPr>
        <w:t>not</w:t>
      </w:r>
      <w:r w:rsidRPr="00283806">
        <w:rPr>
          <w:spacing w:val="-11"/>
          <w:w w:val="110"/>
        </w:rPr>
        <w:t xml:space="preserve"> </w:t>
      </w:r>
      <w:r w:rsidRPr="00283806">
        <w:rPr>
          <w:w w:val="110"/>
        </w:rPr>
        <w:t>approved.</w:t>
      </w:r>
      <w:r w:rsidRPr="00283806">
        <w:rPr>
          <w:spacing w:val="-11"/>
          <w:w w:val="110"/>
        </w:rPr>
        <w:t xml:space="preserve"> </w:t>
      </w:r>
      <w:r w:rsidRPr="00283806">
        <w:rPr>
          <w:w w:val="110"/>
        </w:rPr>
        <w:t>The request must be submitted to EPA electronically, using the Agency’s applicable reporting platform, within seven months of discovering the refrigerant-containing appliance exceeded</w:t>
      </w:r>
      <w:r w:rsidRPr="00283806">
        <w:rPr>
          <w:spacing w:val="-3"/>
          <w:w w:val="110"/>
        </w:rPr>
        <w:t xml:space="preserve"> </w:t>
      </w:r>
      <w:r w:rsidRPr="00283806">
        <w:rPr>
          <w:w w:val="110"/>
        </w:rPr>
        <w:t>the</w:t>
      </w:r>
      <w:r w:rsidRPr="00283806">
        <w:rPr>
          <w:spacing w:val="-3"/>
          <w:w w:val="110"/>
        </w:rPr>
        <w:t xml:space="preserve"> </w:t>
      </w:r>
      <w:r w:rsidRPr="00283806">
        <w:rPr>
          <w:w w:val="110"/>
        </w:rPr>
        <w:t>applicable</w:t>
      </w:r>
      <w:r w:rsidRPr="00283806">
        <w:rPr>
          <w:spacing w:val="-3"/>
          <w:w w:val="110"/>
        </w:rPr>
        <w:t xml:space="preserve"> </w:t>
      </w:r>
      <w:r w:rsidRPr="00283806">
        <w:rPr>
          <w:w w:val="110"/>
        </w:rPr>
        <w:t>leak</w:t>
      </w:r>
      <w:r w:rsidRPr="00283806">
        <w:rPr>
          <w:spacing w:val="-3"/>
          <w:w w:val="110"/>
        </w:rPr>
        <w:t xml:space="preserve"> </w:t>
      </w:r>
      <w:r w:rsidRPr="00283806">
        <w:rPr>
          <w:w w:val="110"/>
        </w:rPr>
        <w:t>rate.</w:t>
      </w:r>
      <w:r w:rsidRPr="00283806">
        <w:rPr>
          <w:spacing w:val="-3"/>
          <w:w w:val="110"/>
        </w:rPr>
        <w:t xml:space="preserve"> </w:t>
      </w:r>
      <w:r w:rsidRPr="00283806">
        <w:rPr>
          <w:w w:val="110"/>
        </w:rPr>
        <w:t xml:space="preserve">The </w:t>
      </w:r>
      <w:r w:rsidRPr="00283806">
        <w:rPr>
          <w:spacing w:val="-2"/>
          <w:w w:val="110"/>
        </w:rPr>
        <w:t>request</w:t>
      </w:r>
      <w:r w:rsidRPr="00283806">
        <w:rPr>
          <w:spacing w:val="-3"/>
          <w:w w:val="110"/>
        </w:rPr>
        <w:t xml:space="preserve"> </w:t>
      </w:r>
      <w:r w:rsidRPr="00283806">
        <w:rPr>
          <w:spacing w:val="-2"/>
          <w:w w:val="110"/>
        </w:rPr>
        <w:t>must</w:t>
      </w:r>
      <w:r w:rsidRPr="00283806">
        <w:rPr>
          <w:spacing w:val="-3"/>
          <w:w w:val="110"/>
        </w:rPr>
        <w:t xml:space="preserve"> </w:t>
      </w:r>
      <w:r w:rsidRPr="00283806">
        <w:rPr>
          <w:spacing w:val="-2"/>
          <w:w w:val="110"/>
        </w:rPr>
        <w:t>include</w:t>
      </w:r>
      <w:r w:rsidRPr="00283806">
        <w:rPr>
          <w:spacing w:val="-3"/>
          <w:w w:val="110"/>
        </w:rPr>
        <w:t xml:space="preserve"> </w:t>
      </w:r>
      <w:r w:rsidRPr="00283806">
        <w:rPr>
          <w:spacing w:val="-2"/>
          <w:w w:val="110"/>
        </w:rPr>
        <w:t>the</w:t>
      </w:r>
      <w:r w:rsidRPr="00283806">
        <w:rPr>
          <w:spacing w:val="-3"/>
          <w:w w:val="110"/>
        </w:rPr>
        <w:t xml:space="preserve"> </w:t>
      </w:r>
      <w:r w:rsidRPr="00283806">
        <w:rPr>
          <w:spacing w:val="-2"/>
          <w:w w:val="110"/>
        </w:rPr>
        <w:t xml:space="preserve">identification </w:t>
      </w:r>
      <w:r w:rsidRPr="00283806">
        <w:t>of</w:t>
      </w:r>
      <w:r w:rsidRPr="00283806">
        <w:rPr>
          <w:spacing w:val="38"/>
        </w:rPr>
        <w:t xml:space="preserve"> </w:t>
      </w:r>
      <w:r w:rsidRPr="00283806">
        <w:t>the</w:t>
      </w:r>
      <w:r w:rsidRPr="00283806">
        <w:rPr>
          <w:spacing w:val="38"/>
        </w:rPr>
        <w:t xml:space="preserve"> </w:t>
      </w:r>
      <w:r w:rsidRPr="00283806">
        <w:t>refrigerant-containing</w:t>
      </w:r>
      <w:r w:rsidRPr="00283806">
        <w:rPr>
          <w:spacing w:val="38"/>
        </w:rPr>
        <w:t xml:space="preserve"> </w:t>
      </w:r>
      <w:r w:rsidRPr="00283806">
        <w:rPr>
          <w:spacing w:val="-2"/>
        </w:rPr>
        <w:t>appliance;</w:t>
      </w:r>
    </w:p>
    <w:p w14:paraId="3EFE655C"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06" w:space="40"/>
            <w:col w:w="3510" w:space="39"/>
            <w:col w:w="3625"/>
          </w:cols>
        </w:sectPr>
      </w:pPr>
    </w:p>
    <w:p w14:paraId="4083425A" w14:textId="77777777" w:rsidR="00D67C1E" w:rsidRPr="00283806" w:rsidRDefault="001265CA">
      <w:pPr>
        <w:pStyle w:val="BodyText"/>
        <w:spacing w:before="136" w:line="225" w:lineRule="auto"/>
        <w:ind w:right="39"/>
      </w:pPr>
      <w:r w:rsidRPr="00283806">
        <w:rPr>
          <w:w w:val="105"/>
        </w:rPr>
        <w:lastRenderedPageBreak/>
        <w:t>name of the owner or operator; the leak rate; the method used to determine the leak rate and full charge; the date the refrigerant-containing appliance exceeded the applicable leak rate; the location of leaks(s) to the extent determined to date; any repairs that have been finished thus far, including</w:t>
      </w:r>
      <w:r w:rsidRPr="00283806">
        <w:rPr>
          <w:spacing w:val="40"/>
          <w:w w:val="105"/>
        </w:rPr>
        <w:t xml:space="preserve"> </w:t>
      </w:r>
      <w:r w:rsidRPr="00283806">
        <w:rPr>
          <w:w w:val="105"/>
        </w:rPr>
        <w:t>the date that repairs were finished; a plan to finish the retrofit or retirement</w:t>
      </w:r>
      <w:r w:rsidRPr="00283806">
        <w:rPr>
          <w:spacing w:val="40"/>
          <w:w w:val="105"/>
        </w:rPr>
        <w:t xml:space="preserve"> </w:t>
      </w:r>
      <w:r w:rsidRPr="00283806">
        <w:rPr>
          <w:w w:val="105"/>
        </w:rPr>
        <w:t>of the refrigerant-containing appliance; the reasons why more than one year is necessary to retrofit or retire the refrigerant-containing appliance; the date of notification to EPA; a signature from an authorized company official;</w:t>
      </w:r>
      <w:r w:rsidRPr="00283806">
        <w:rPr>
          <w:spacing w:val="40"/>
          <w:w w:val="105"/>
        </w:rPr>
        <w:t xml:space="preserve"> </w:t>
      </w:r>
      <w:r w:rsidRPr="00283806">
        <w:rPr>
          <w:w w:val="105"/>
        </w:rPr>
        <w:t>and an estimate of when the retrofit or retirement will be finished. A dated</w:t>
      </w:r>
      <w:r w:rsidRPr="00283806">
        <w:rPr>
          <w:spacing w:val="80"/>
          <w:w w:val="105"/>
        </w:rPr>
        <w:t xml:space="preserve"> </w:t>
      </w:r>
      <w:r w:rsidRPr="00283806">
        <w:rPr>
          <w:w w:val="105"/>
        </w:rPr>
        <w:t>copy of the request must be available</w:t>
      </w:r>
      <w:r w:rsidRPr="00283806">
        <w:rPr>
          <w:spacing w:val="40"/>
          <w:w w:val="105"/>
        </w:rPr>
        <w:t xml:space="preserve"> </w:t>
      </w:r>
      <w:r w:rsidRPr="00283806">
        <w:rPr>
          <w:w w:val="105"/>
        </w:rPr>
        <w:t>on-site in either electronic or paper</w:t>
      </w:r>
      <w:r w:rsidRPr="00283806">
        <w:rPr>
          <w:spacing w:val="40"/>
          <w:w w:val="105"/>
        </w:rPr>
        <w:t xml:space="preserve"> </w:t>
      </w:r>
      <w:r w:rsidRPr="00283806">
        <w:rPr>
          <w:w w:val="105"/>
        </w:rPr>
        <w:t>copy. If the estimated completion date</w:t>
      </w:r>
      <w:r w:rsidRPr="00283806">
        <w:rPr>
          <w:spacing w:val="80"/>
          <w:w w:val="105"/>
        </w:rPr>
        <w:t xml:space="preserve"> </w:t>
      </w:r>
      <w:r w:rsidRPr="00283806">
        <w:rPr>
          <w:w w:val="105"/>
        </w:rPr>
        <w:t xml:space="preserve">is to be revised, a new estimated date of completion and documentation of the reason for that change must be submitted to EPA electronically, using the Agency’s applicable reporting platform, within 30 days. Additionally, the time frames in paragraph (h) of this section and this paragraph (i) are </w:t>
      </w:r>
      <w:proofErr w:type="gramStart"/>
      <w:r w:rsidRPr="00283806">
        <w:rPr>
          <w:w w:val="105"/>
        </w:rPr>
        <w:t>temporarily suspended</w:t>
      </w:r>
      <w:proofErr w:type="gramEnd"/>
      <w:r w:rsidRPr="00283806">
        <w:rPr>
          <w:w w:val="105"/>
        </w:rPr>
        <w:t xml:space="preserve"> when a refrigerant-containing appliance is mothballed. The time will resume running on the day additional</w:t>
      </w:r>
      <w:r w:rsidRPr="00283806">
        <w:rPr>
          <w:spacing w:val="40"/>
          <w:w w:val="105"/>
        </w:rPr>
        <w:t xml:space="preserve"> </w:t>
      </w:r>
      <w:r w:rsidRPr="00283806">
        <w:rPr>
          <w:w w:val="105"/>
        </w:rPr>
        <w:t>refrigerant is added to the refrigerant- containing appliance (or component of</w:t>
      </w:r>
      <w:r w:rsidRPr="00283806">
        <w:rPr>
          <w:spacing w:val="80"/>
          <w:w w:val="105"/>
        </w:rPr>
        <w:t xml:space="preserve"> </w:t>
      </w:r>
      <w:r w:rsidRPr="00283806">
        <w:rPr>
          <w:w w:val="105"/>
        </w:rPr>
        <w:t>a refrigerant-containing appliance if the leaking component was isolated).</w:t>
      </w:r>
    </w:p>
    <w:p w14:paraId="06955EED" w14:textId="77777777" w:rsidR="00D67C1E" w:rsidRPr="00283806" w:rsidRDefault="001265CA">
      <w:pPr>
        <w:pStyle w:val="ListParagraph"/>
        <w:numPr>
          <w:ilvl w:val="1"/>
          <w:numId w:val="23"/>
        </w:numPr>
        <w:tabs>
          <w:tab w:val="left" w:pos="608"/>
        </w:tabs>
        <w:spacing w:line="172" w:lineRule="exact"/>
        <w:ind w:left="608" w:hanging="268"/>
        <w:rPr>
          <w:rFonts w:ascii="Book Antiqua"/>
          <w:i/>
          <w:sz w:val="18"/>
        </w:rPr>
      </w:pPr>
      <w:r w:rsidRPr="00283806">
        <w:rPr>
          <w:rFonts w:ascii="Book Antiqua"/>
          <w:i/>
          <w:w w:val="115"/>
          <w:sz w:val="18"/>
        </w:rPr>
        <w:t>Extensions</w:t>
      </w:r>
      <w:r w:rsidRPr="00283806">
        <w:rPr>
          <w:rFonts w:ascii="Book Antiqua"/>
          <w:i/>
          <w:spacing w:val="-3"/>
          <w:w w:val="115"/>
          <w:sz w:val="18"/>
        </w:rPr>
        <w:t xml:space="preserve"> </w:t>
      </w:r>
      <w:r w:rsidRPr="00283806">
        <w:rPr>
          <w:rFonts w:ascii="Book Antiqua"/>
          <w:i/>
          <w:w w:val="115"/>
          <w:sz w:val="18"/>
        </w:rPr>
        <w:t>available</w:t>
      </w:r>
      <w:r w:rsidRPr="00283806">
        <w:rPr>
          <w:rFonts w:ascii="Book Antiqua"/>
          <w:i/>
          <w:spacing w:val="-3"/>
          <w:w w:val="115"/>
          <w:sz w:val="18"/>
        </w:rPr>
        <w:t xml:space="preserve"> </w:t>
      </w:r>
      <w:r w:rsidRPr="00283806">
        <w:rPr>
          <w:rFonts w:ascii="Book Antiqua"/>
          <w:i/>
          <w:w w:val="115"/>
          <w:sz w:val="18"/>
        </w:rPr>
        <w:t>to</w:t>
      </w:r>
      <w:r w:rsidRPr="00283806">
        <w:rPr>
          <w:rFonts w:ascii="Book Antiqua"/>
          <w:i/>
          <w:spacing w:val="-3"/>
          <w:w w:val="115"/>
          <w:sz w:val="18"/>
        </w:rPr>
        <w:t xml:space="preserve"> </w:t>
      </w:r>
      <w:r w:rsidRPr="00283806">
        <w:rPr>
          <w:rFonts w:ascii="Book Antiqua"/>
          <w:i/>
          <w:spacing w:val="-2"/>
          <w:w w:val="115"/>
          <w:sz w:val="18"/>
        </w:rPr>
        <w:t>industrial</w:t>
      </w:r>
    </w:p>
    <w:p w14:paraId="2B67509D" w14:textId="77777777" w:rsidR="00D67C1E" w:rsidRPr="00283806" w:rsidRDefault="001265CA">
      <w:pPr>
        <w:pStyle w:val="BodyText"/>
        <w:spacing w:line="225" w:lineRule="auto"/>
        <w:ind w:right="38"/>
      </w:pPr>
      <w:r w:rsidRPr="00283806">
        <w:rPr>
          <w:rFonts w:ascii="Book Antiqua"/>
          <w:i/>
          <w:w w:val="105"/>
        </w:rPr>
        <w:t xml:space="preserve">process refrigeration. </w:t>
      </w:r>
      <w:r w:rsidRPr="00283806">
        <w:rPr>
          <w:w w:val="105"/>
        </w:rPr>
        <w:t>Owners or</w:t>
      </w:r>
      <w:r w:rsidRPr="00283806">
        <w:rPr>
          <w:spacing w:val="40"/>
          <w:w w:val="105"/>
        </w:rPr>
        <w:t xml:space="preserve"> </w:t>
      </w:r>
      <w:r w:rsidRPr="00283806">
        <w:rPr>
          <w:w w:val="105"/>
        </w:rPr>
        <w:t>operators of industrial process refrigeration appliances may request additional time beyond the one-year period in paragraph (h) of this section</w:t>
      </w:r>
      <w:r w:rsidRPr="00283806">
        <w:rPr>
          <w:spacing w:val="80"/>
          <w:w w:val="105"/>
        </w:rPr>
        <w:t xml:space="preserve"> </w:t>
      </w:r>
      <w:r w:rsidRPr="00283806">
        <w:rPr>
          <w:w w:val="105"/>
        </w:rPr>
        <w:t>to</w:t>
      </w:r>
      <w:r w:rsidRPr="00283806">
        <w:rPr>
          <w:spacing w:val="-1"/>
          <w:w w:val="105"/>
        </w:rPr>
        <w:t xml:space="preserve"> </w:t>
      </w:r>
      <w:r w:rsidRPr="00283806">
        <w:rPr>
          <w:w w:val="105"/>
        </w:rPr>
        <w:t>finish</w:t>
      </w:r>
      <w:r w:rsidRPr="00283806">
        <w:rPr>
          <w:spacing w:val="-1"/>
          <w:w w:val="105"/>
        </w:rPr>
        <w:t xml:space="preserve"> </w:t>
      </w:r>
      <w:r w:rsidRPr="00283806">
        <w:rPr>
          <w:w w:val="105"/>
        </w:rPr>
        <w:t>the</w:t>
      </w:r>
      <w:r w:rsidRPr="00283806">
        <w:rPr>
          <w:spacing w:val="-1"/>
          <w:w w:val="105"/>
        </w:rPr>
        <w:t xml:space="preserve"> </w:t>
      </w:r>
      <w:r w:rsidRPr="00283806">
        <w:rPr>
          <w:w w:val="105"/>
        </w:rPr>
        <w:t>retrofit</w:t>
      </w:r>
      <w:r w:rsidRPr="00283806">
        <w:rPr>
          <w:spacing w:val="-1"/>
          <w:w w:val="105"/>
        </w:rPr>
        <w:t xml:space="preserve"> </w:t>
      </w:r>
      <w:r w:rsidRPr="00283806">
        <w:rPr>
          <w:w w:val="105"/>
        </w:rPr>
        <w:t>or</w:t>
      </w:r>
      <w:r w:rsidRPr="00283806">
        <w:rPr>
          <w:spacing w:val="-1"/>
          <w:w w:val="105"/>
        </w:rPr>
        <w:t xml:space="preserve"> </w:t>
      </w:r>
      <w:r w:rsidRPr="00283806">
        <w:rPr>
          <w:w w:val="105"/>
        </w:rPr>
        <w:t>retirement</w:t>
      </w:r>
      <w:r w:rsidRPr="00283806">
        <w:rPr>
          <w:spacing w:val="-1"/>
          <w:w w:val="105"/>
        </w:rPr>
        <w:t xml:space="preserve"> </w:t>
      </w:r>
      <w:r w:rsidRPr="00283806">
        <w:rPr>
          <w:w w:val="105"/>
        </w:rPr>
        <w:t>under the following circumstances:</w:t>
      </w:r>
    </w:p>
    <w:p w14:paraId="358C5873" w14:textId="77777777" w:rsidR="00D67C1E" w:rsidRPr="00283806" w:rsidRDefault="001265CA">
      <w:pPr>
        <w:pStyle w:val="ListParagraph"/>
        <w:numPr>
          <w:ilvl w:val="2"/>
          <w:numId w:val="23"/>
        </w:numPr>
        <w:tabs>
          <w:tab w:val="left" w:pos="568"/>
        </w:tabs>
        <w:spacing w:line="175" w:lineRule="exact"/>
        <w:ind w:left="568" w:hanging="228"/>
        <w:rPr>
          <w:sz w:val="18"/>
        </w:rPr>
      </w:pPr>
      <w:r w:rsidRPr="00283806">
        <w:rPr>
          <w:w w:val="105"/>
          <w:sz w:val="18"/>
        </w:rPr>
        <w:t>Requirements</w:t>
      </w:r>
      <w:r w:rsidRPr="00283806">
        <w:rPr>
          <w:spacing w:val="-1"/>
          <w:w w:val="105"/>
          <w:sz w:val="18"/>
        </w:rPr>
        <w:t xml:space="preserve"> </w:t>
      </w:r>
      <w:r w:rsidRPr="00283806">
        <w:rPr>
          <w:w w:val="105"/>
          <w:sz w:val="18"/>
        </w:rPr>
        <w:t xml:space="preserve">of other </w:t>
      </w:r>
      <w:r w:rsidRPr="00283806">
        <w:rPr>
          <w:spacing w:val="-2"/>
          <w:w w:val="105"/>
          <w:sz w:val="18"/>
        </w:rPr>
        <w:t>applicable</w:t>
      </w:r>
    </w:p>
    <w:p w14:paraId="6429FD35" w14:textId="77777777" w:rsidR="00D67C1E" w:rsidRPr="00283806" w:rsidRDefault="001265CA">
      <w:pPr>
        <w:pStyle w:val="BodyText"/>
        <w:spacing w:before="1" w:line="228" w:lineRule="auto"/>
        <w:ind w:right="48"/>
      </w:pPr>
      <w:r w:rsidRPr="00283806">
        <w:rPr>
          <w:w w:val="105"/>
        </w:rPr>
        <w:t>Federal, State, local, or Tribal</w:t>
      </w:r>
      <w:r w:rsidRPr="00283806">
        <w:rPr>
          <w:spacing w:val="40"/>
          <w:w w:val="105"/>
        </w:rPr>
        <w:t xml:space="preserve"> </w:t>
      </w:r>
      <w:r w:rsidRPr="00283806">
        <w:rPr>
          <w:w w:val="105"/>
        </w:rPr>
        <w:t>regulations</w:t>
      </w:r>
      <w:r w:rsidRPr="00283806">
        <w:rPr>
          <w:spacing w:val="-8"/>
          <w:w w:val="105"/>
        </w:rPr>
        <w:t xml:space="preserve"> </w:t>
      </w:r>
      <w:r w:rsidRPr="00283806">
        <w:rPr>
          <w:w w:val="105"/>
        </w:rPr>
        <w:t>make</w:t>
      </w:r>
      <w:r w:rsidRPr="00283806">
        <w:rPr>
          <w:spacing w:val="-8"/>
          <w:w w:val="105"/>
        </w:rPr>
        <w:t xml:space="preserve"> </w:t>
      </w:r>
      <w:r w:rsidRPr="00283806">
        <w:rPr>
          <w:w w:val="105"/>
        </w:rPr>
        <w:t>a</w:t>
      </w:r>
      <w:r w:rsidRPr="00283806">
        <w:rPr>
          <w:spacing w:val="-8"/>
          <w:w w:val="105"/>
        </w:rPr>
        <w:t xml:space="preserve"> </w:t>
      </w:r>
      <w:r w:rsidRPr="00283806">
        <w:rPr>
          <w:w w:val="105"/>
        </w:rPr>
        <w:t>retrofit</w:t>
      </w:r>
      <w:r w:rsidRPr="00283806">
        <w:rPr>
          <w:spacing w:val="-8"/>
          <w:w w:val="105"/>
        </w:rPr>
        <w:t xml:space="preserve"> </w:t>
      </w:r>
      <w:r w:rsidRPr="00283806">
        <w:rPr>
          <w:w w:val="105"/>
        </w:rPr>
        <w:t>or</w:t>
      </w:r>
      <w:r w:rsidRPr="00283806">
        <w:rPr>
          <w:spacing w:val="-8"/>
          <w:w w:val="105"/>
        </w:rPr>
        <w:t xml:space="preserve"> </w:t>
      </w:r>
      <w:r w:rsidRPr="00283806">
        <w:rPr>
          <w:w w:val="105"/>
        </w:rPr>
        <w:t xml:space="preserve">retirement </w:t>
      </w:r>
      <w:proofErr w:type="gramStart"/>
      <w:r w:rsidRPr="00283806">
        <w:rPr>
          <w:w w:val="105"/>
        </w:rPr>
        <w:t>within one year impossible</w:t>
      </w:r>
      <w:proofErr w:type="gramEnd"/>
      <w:r w:rsidRPr="00283806">
        <w:rPr>
          <w:w w:val="105"/>
        </w:rPr>
        <w:t>. Additional time is permitted to the extent needed</w:t>
      </w:r>
      <w:r w:rsidRPr="00283806">
        <w:rPr>
          <w:spacing w:val="80"/>
          <w:w w:val="105"/>
        </w:rPr>
        <w:t xml:space="preserve"> </w:t>
      </w:r>
      <w:r w:rsidRPr="00283806">
        <w:rPr>
          <w:w w:val="105"/>
        </w:rPr>
        <w:t>to comply with the pertinent</w:t>
      </w:r>
      <w:r w:rsidRPr="00283806">
        <w:rPr>
          <w:spacing w:val="80"/>
          <w:w w:val="105"/>
        </w:rPr>
        <w:t xml:space="preserve"> </w:t>
      </w:r>
      <w:r w:rsidRPr="00283806">
        <w:rPr>
          <w:spacing w:val="-2"/>
          <w:w w:val="105"/>
        </w:rPr>
        <w:t>regulations;</w:t>
      </w:r>
    </w:p>
    <w:p w14:paraId="39E3B465" w14:textId="77777777" w:rsidR="00D67C1E" w:rsidRPr="00283806" w:rsidRDefault="001265CA">
      <w:pPr>
        <w:pStyle w:val="ListParagraph"/>
        <w:numPr>
          <w:ilvl w:val="2"/>
          <w:numId w:val="23"/>
        </w:numPr>
        <w:tabs>
          <w:tab w:val="left" w:pos="628"/>
        </w:tabs>
        <w:spacing w:line="178" w:lineRule="exact"/>
        <w:ind w:left="628" w:hanging="288"/>
        <w:rPr>
          <w:sz w:val="18"/>
        </w:rPr>
      </w:pPr>
      <w:r w:rsidRPr="00283806">
        <w:rPr>
          <w:w w:val="105"/>
          <w:sz w:val="18"/>
        </w:rPr>
        <w:t>The</w:t>
      </w:r>
      <w:r w:rsidRPr="00283806">
        <w:rPr>
          <w:spacing w:val="7"/>
          <w:w w:val="105"/>
          <w:sz w:val="18"/>
        </w:rPr>
        <w:t xml:space="preserve"> </w:t>
      </w:r>
      <w:r w:rsidRPr="00283806">
        <w:rPr>
          <w:w w:val="105"/>
          <w:sz w:val="18"/>
        </w:rPr>
        <w:t>new</w:t>
      </w:r>
      <w:r w:rsidRPr="00283806">
        <w:rPr>
          <w:spacing w:val="7"/>
          <w:w w:val="105"/>
          <w:sz w:val="18"/>
        </w:rPr>
        <w:t xml:space="preserve"> </w:t>
      </w:r>
      <w:r w:rsidRPr="00283806">
        <w:rPr>
          <w:w w:val="105"/>
          <w:sz w:val="18"/>
        </w:rPr>
        <w:t>or</w:t>
      </w:r>
      <w:r w:rsidRPr="00283806">
        <w:rPr>
          <w:spacing w:val="7"/>
          <w:w w:val="105"/>
          <w:sz w:val="18"/>
        </w:rPr>
        <w:t xml:space="preserve"> </w:t>
      </w:r>
      <w:r w:rsidRPr="00283806">
        <w:rPr>
          <w:w w:val="105"/>
          <w:sz w:val="18"/>
        </w:rPr>
        <w:t>the</w:t>
      </w:r>
      <w:r w:rsidRPr="00283806">
        <w:rPr>
          <w:spacing w:val="8"/>
          <w:w w:val="105"/>
          <w:sz w:val="18"/>
        </w:rPr>
        <w:t xml:space="preserve"> </w:t>
      </w:r>
      <w:r w:rsidRPr="00283806">
        <w:rPr>
          <w:spacing w:val="-2"/>
          <w:w w:val="105"/>
          <w:sz w:val="18"/>
        </w:rPr>
        <w:t>retrofitted</w:t>
      </w:r>
    </w:p>
    <w:p w14:paraId="6F8C4DDF" w14:textId="77777777" w:rsidR="00D67C1E" w:rsidRPr="00283806" w:rsidRDefault="001265CA">
      <w:pPr>
        <w:pStyle w:val="BodyText"/>
        <w:spacing w:before="3" w:line="228" w:lineRule="auto"/>
        <w:ind w:right="38"/>
      </w:pPr>
      <w:r w:rsidRPr="00283806">
        <w:rPr>
          <w:w w:val="105"/>
        </w:rPr>
        <w:t>equipment is custom-built as defined in this subpart and the supplier of the appliance or one of its components has quoted a delivery time of more than 30 weeks from when the order is placed.</w:t>
      </w:r>
    </w:p>
    <w:p w14:paraId="74945347" w14:textId="77777777" w:rsidR="00D67C1E" w:rsidRPr="00283806" w:rsidRDefault="001265CA">
      <w:pPr>
        <w:pStyle w:val="BodyText"/>
        <w:spacing w:line="228" w:lineRule="auto"/>
        <w:ind w:right="74"/>
      </w:pPr>
      <w:r w:rsidRPr="00283806">
        <w:rPr>
          <w:w w:val="105"/>
        </w:rPr>
        <w:t>The appliance or appliance components must be installed within 120 days after receiving delivery of the necessary</w:t>
      </w:r>
      <w:r w:rsidRPr="00283806">
        <w:rPr>
          <w:spacing w:val="80"/>
          <w:w w:val="105"/>
        </w:rPr>
        <w:t xml:space="preserve"> </w:t>
      </w:r>
      <w:r w:rsidRPr="00283806">
        <w:rPr>
          <w:spacing w:val="-2"/>
          <w:w w:val="105"/>
        </w:rPr>
        <w:t>parts;</w:t>
      </w:r>
    </w:p>
    <w:p w14:paraId="794BC0F4" w14:textId="77777777" w:rsidR="00D67C1E" w:rsidRPr="00283806" w:rsidRDefault="001265CA">
      <w:pPr>
        <w:pStyle w:val="ListParagraph"/>
        <w:numPr>
          <w:ilvl w:val="2"/>
          <w:numId w:val="23"/>
        </w:numPr>
        <w:tabs>
          <w:tab w:val="left" w:pos="688"/>
        </w:tabs>
        <w:spacing w:line="179" w:lineRule="exact"/>
        <w:ind w:left="688" w:hanging="348"/>
        <w:rPr>
          <w:sz w:val="18"/>
        </w:rPr>
      </w:pPr>
      <w:r w:rsidRPr="00283806">
        <w:rPr>
          <w:w w:val="105"/>
          <w:sz w:val="18"/>
        </w:rPr>
        <w:t>The</w:t>
      </w:r>
      <w:r w:rsidRPr="00283806">
        <w:rPr>
          <w:spacing w:val="11"/>
          <w:w w:val="105"/>
          <w:sz w:val="18"/>
        </w:rPr>
        <w:t xml:space="preserve"> </w:t>
      </w:r>
      <w:r w:rsidRPr="00283806">
        <w:rPr>
          <w:w w:val="105"/>
          <w:sz w:val="18"/>
        </w:rPr>
        <w:t>equipment</w:t>
      </w:r>
      <w:r w:rsidRPr="00283806">
        <w:rPr>
          <w:spacing w:val="11"/>
          <w:w w:val="105"/>
          <w:sz w:val="18"/>
        </w:rPr>
        <w:t xml:space="preserve"> </w:t>
      </w:r>
      <w:r w:rsidRPr="00283806">
        <w:rPr>
          <w:w w:val="105"/>
          <w:sz w:val="18"/>
        </w:rPr>
        <w:t>or</w:t>
      </w:r>
      <w:r w:rsidRPr="00283806">
        <w:rPr>
          <w:spacing w:val="12"/>
          <w:w w:val="105"/>
          <w:sz w:val="18"/>
        </w:rPr>
        <w:t xml:space="preserve"> </w:t>
      </w:r>
      <w:r w:rsidRPr="00283806">
        <w:rPr>
          <w:w w:val="105"/>
          <w:sz w:val="18"/>
        </w:rPr>
        <w:t>component</w:t>
      </w:r>
      <w:r w:rsidRPr="00283806">
        <w:rPr>
          <w:spacing w:val="11"/>
          <w:w w:val="105"/>
          <w:sz w:val="18"/>
        </w:rPr>
        <w:t xml:space="preserve"> </w:t>
      </w:r>
      <w:r w:rsidRPr="00283806">
        <w:rPr>
          <w:spacing w:val="-5"/>
          <w:w w:val="105"/>
          <w:sz w:val="18"/>
        </w:rPr>
        <w:t>is</w:t>
      </w:r>
    </w:p>
    <w:p w14:paraId="6A363BB6" w14:textId="77777777" w:rsidR="00D67C1E" w:rsidRPr="00283806" w:rsidRDefault="001265CA">
      <w:pPr>
        <w:pStyle w:val="BodyText"/>
        <w:spacing w:before="1" w:line="228" w:lineRule="auto"/>
        <w:ind w:right="38"/>
      </w:pPr>
      <w:r w:rsidRPr="00283806">
        <w:rPr>
          <w:w w:val="105"/>
        </w:rPr>
        <w:t>located in an area subject to radiological contamination and creating a safe working environment will require more than 30 weeks; or</w:t>
      </w:r>
    </w:p>
    <w:p w14:paraId="3D9DA4B0" w14:textId="77777777" w:rsidR="00D67C1E" w:rsidRPr="00283806" w:rsidRDefault="001265CA">
      <w:pPr>
        <w:pStyle w:val="ListParagraph"/>
        <w:numPr>
          <w:ilvl w:val="2"/>
          <w:numId w:val="23"/>
        </w:numPr>
        <w:tabs>
          <w:tab w:val="left" w:pos="668"/>
        </w:tabs>
        <w:spacing w:line="179" w:lineRule="exact"/>
        <w:ind w:left="668" w:hanging="328"/>
        <w:rPr>
          <w:sz w:val="18"/>
        </w:rPr>
      </w:pPr>
      <w:r w:rsidRPr="00283806">
        <w:rPr>
          <w:w w:val="105"/>
          <w:sz w:val="18"/>
        </w:rPr>
        <w:t>After</w:t>
      </w:r>
      <w:r w:rsidRPr="00283806">
        <w:rPr>
          <w:spacing w:val="14"/>
          <w:w w:val="105"/>
          <w:sz w:val="18"/>
        </w:rPr>
        <w:t xml:space="preserve"> </w:t>
      </w:r>
      <w:r w:rsidRPr="00283806">
        <w:rPr>
          <w:w w:val="105"/>
          <w:sz w:val="18"/>
        </w:rPr>
        <w:t>receiving</w:t>
      </w:r>
      <w:r w:rsidRPr="00283806">
        <w:rPr>
          <w:spacing w:val="15"/>
          <w:w w:val="105"/>
          <w:sz w:val="18"/>
        </w:rPr>
        <w:t xml:space="preserve"> </w:t>
      </w:r>
      <w:r w:rsidRPr="00283806">
        <w:rPr>
          <w:w w:val="105"/>
          <w:sz w:val="18"/>
        </w:rPr>
        <w:t>an</w:t>
      </w:r>
      <w:r w:rsidRPr="00283806">
        <w:rPr>
          <w:spacing w:val="15"/>
          <w:w w:val="105"/>
          <w:sz w:val="18"/>
        </w:rPr>
        <w:t xml:space="preserve"> </w:t>
      </w:r>
      <w:r w:rsidRPr="00283806">
        <w:rPr>
          <w:spacing w:val="-2"/>
          <w:w w:val="105"/>
          <w:sz w:val="18"/>
        </w:rPr>
        <w:t>extension</w:t>
      </w:r>
    </w:p>
    <w:p w14:paraId="63C3B92B" w14:textId="77777777" w:rsidR="00D67C1E" w:rsidRPr="00283806" w:rsidRDefault="001265CA">
      <w:pPr>
        <w:pStyle w:val="BodyText"/>
        <w:spacing w:line="206" w:lineRule="exact"/>
      </w:pPr>
      <w:r w:rsidRPr="00283806">
        <w:rPr>
          <w:w w:val="105"/>
        </w:rPr>
        <w:t>under</w:t>
      </w:r>
      <w:r w:rsidRPr="00283806">
        <w:rPr>
          <w:spacing w:val="-6"/>
          <w:w w:val="105"/>
        </w:rPr>
        <w:t xml:space="preserve"> </w:t>
      </w:r>
      <w:r w:rsidRPr="00283806">
        <w:rPr>
          <w:w w:val="105"/>
        </w:rPr>
        <w:t>paragraph</w:t>
      </w:r>
      <w:r w:rsidRPr="00283806">
        <w:rPr>
          <w:spacing w:val="-6"/>
          <w:w w:val="105"/>
        </w:rPr>
        <w:t xml:space="preserve"> </w:t>
      </w:r>
      <w:r w:rsidRPr="00283806">
        <w:rPr>
          <w:w w:val="105"/>
        </w:rPr>
        <w:t>(i)(1)(ii)</w:t>
      </w:r>
      <w:r w:rsidRPr="00283806">
        <w:rPr>
          <w:spacing w:val="-6"/>
          <w:w w:val="105"/>
        </w:rPr>
        <w:t xml:space="preserve"> </w:t>
      </w:r>
      <w:r w:rsidRPr="00283806">
        <w:rPr>
          <w:w w:val="105"/>
        </w:rPr>
        <w:t>of</w:t>
      </w:r>
      <w:r w:rsidRPr="00283806">
        <w:rPr>
          <w:spacing w:val="-5"/>
          <w:w w:val="105"/>
        </w:rPr>
        <w:t xml:space="preserve"> </w:t>
      </w:r>
      <w:r w:rsidRPr="00283806">
        <w:rPr>
          <w:w w:val="105"/>
        </w:rPr>
        <w:t>this</w:t>
      </w:r>
      <w:r w:rsidRPr="00283806">
        <w:rPr>
          <w:spacing w:val="-6"/>
          <w:w w:val="105"/>
        </w:rPr>
        <w:t xml:space="preserve"> </w:t>
      </w:r>
      <w:r w:rsidRPr="00283806">
        <w:rPr>
          <w:spacing w:val="-2"/>
          <w:w w:val="105"/>
        </w:rPr>
        <w:t>section,</w:t>
      </w:r>
    </w:p>
    <w:p w14:paraId="66A3A087" w14:textId="77777777" w:rsidR="00D67C1E" w:rsidRPr="00283806" w:rsidRDefault="001265CA">
      <w:pPr>
        <w:pStyle w:val="BodyText"/>
        <w:spacing w:before="133" w:line="228" w:lineRule="auto"/>
        <w:ind w:right="85"/>
      </w:pPr>
      <w:r w:rsidRPr="00283806">
        <w:br w:type="column"/>
      </w:r>
      <w:r w:rsidRPr="00283806">
        <w:rPr>
          <w:w w:val="105"/>
        </w:rPr>
        <w:t>owners or operators may request additional time if necessary to finish the retrofit or retirement of the refrigerant- containing appliance. The request must be submitted to EPA before the end of</w:t>
      </w:r>
      <w:r w:rsidRPr="00283806">
        <w:rPr>
          <w:spacing w:val="40"/>
          <w:w w:val="105"/>
        </w:rPr>
        <w:t xml:space="preserve"> </w:t>
      </w:r>
      <w:r w:rsidRPr="00283806">
        <w:rPr>
          <w:w w:val="105"/>
        </w:rPr>
        <w:t>the ninth month of the initial extension and must include the same information submitted for that extension, with any necessary revisions. A dated copy of the request must be available on-site in either electronic or paper copy. The request will be considered approved unless EPA notifies the owners or operators within 60 days of receipt of</w:t>
      </w:r>
      <w:r w:rsidRPr="00283806">
        <w:rPr>
          <w:spacing w:val="80"/>
          <w:w w:val="105"/>
        </w:rPr>
        <w:t xml:space="preserve"> </w:t>
      </w:r>
      <w:r w:rsidRPr="00283806">
        <w:rPr>
          <w:w w:val="105"/>
        </w:rPr>
        <w:t>the request that it is not approved.</w:t>
      </w:r>
    </w:p>
    <w:p w14:paraId="2E524930" w14:textId="77777777" w:rsidR="00D67C1E" w:rsidRPr="00283806" w:rsidRDefault="001265CA">
      <w:pPr>
        <w:pStyle w:val="ListParagraph"/>
        <w:numPr>
          <w:ilvl w:val="1"/>
          <w:numId w:val="23"/>
        </w:numPr>
        <w:tabs>
          <w:tab w:val="left" w:pos="608"/>
        </w:tabs>
        <w:spacing w:line="195" w:lineRule="exact"/>
        <w:ind w:left="608" w:hanging="268"/>
        <w:rPr>
          <w:sz w:val="18"/>
        </w:rPr>
      </w:pPr>
      <w:r w:rsidRPr="00283806">
        <w:rPr>
          <w:spacing w:val="-2"/>
          <w:w w:val="105"/>
          <w:sz w:val="18"/>
        </w:rPr>
        <w:t>[Reserved]</w:t>
      </w:r>
    </w:p>
    <w:p w14:paraId="25CE90BA" w14:textId="77777777" w:rsidR="00D67C1E" w:rsidRPr="00283806" w:rsidRDefault="001265CA">
      <w:pPr>
        <w:pStyle w:val="ListParagraph"/>
        <w:numPr>
          <w:ilvl w:val="0"/>
          <w:numId w:val="32"/>
        </w:numPr>
        <w:tabs>
          <w:tab w:val="left" w:pos="558"/>
        </w:tabs>
        <w:spacing w:before="7" w:line="225" w:lineRule="auto"/>
        <w:ind w:left="160" w:right="38" w:firstLine="180"/>
        <w:rPr>
          <w:sz w:val="18"/>
        </w:rPr>
      </w:pPr>
      <w:r w:rsidRPr="00283806">
        <w:rPr>
          <w:rFonts w:ascii="Book Antiqua"/>
          <w:i/>
          <w:w w:val="105"/>
          <w:sz w:val="18"/>
        </w:rPr>
        <w:t>Chronically leaking appliances.</w:t>
      </w:r>
      <w:r w:rsidRPr="00283806">
        <w:rPr>
          <w:rFonts w:ascii="Book Antiqua"/>
          <w:i/>
          <w:spacing w:val="40"/>
          <w:w w:val="105"/>
          <w:sz w:val="18"/>
        </w:rPr>
        <w:t xml:space="preserve"> </w:t>
      </w:r>
      <w:r w:rsidRPr="00283806">
        <w:rPr>
          <w:w w:val="105"/>
          <w:sz w:val="18"/>
        </w:rPr>
        <w:t>Owners or operators of refrigerant- containing appliances containing 15 or more</w:t>
      </w:r>
      <w:r w:rsidRPr="00283806">
        <w:rPr>
          <w:spacing w:val="-3"/>
          <w:w w:val="105"/>
          <w:sz w:val="18"/>
        </w:rPr>
        <w:t xml:space="preserve"> </w:t>
      </w:r>
      <w:r w:rsidRPr="00283806">
        <w:rPr>
          <w:w w:val="105"/>
          <w:sz w:val="18"/>
        </w:rPr>
        <w:t>pounds</w:t>
      </w:r>
      <w:r w:rsidRPr="00283806">
        <w:rPr>
          <w:spacing w:val="-3"/>
          <w:w w:val="105"/>
          <w:sz w:val="18"/>
        </w:rPr>
        <w:t xml:space="preserve"> </w:t>
      </w:r>
      <w:r w:rsidRPr="00283806">
        <w:rPr>
          <w:w w:val="105"/>
          <w:sz w:val="18"/>
        </w:rPr>
        <w:t>of</w:t>
      </w:r>
      <w:r w:rsidRPr="00283806">
        <w:rPr>
          <w:spacing w:val="-3"/>
          <w:w w:val="105"/>
          <w:sz w:val="18"/>
        </w:rPr>
        <w:t xml:space="preserve"> </w:t>
      </w:r>
      <w:r w:rsidRPr="00283806">
        <w:rPr>
          <w:w w:val="105"/>
          <w:sz w:val="18"/>
        </w:rPr>
        <w:t>refrigerant</w:t>
      </w:r>
      <w:r w:rsidRPr="00283806">
        <w:rPr>
          <w:spacing w:val="-3"/>
          <w:w w:val="105"/>
          <w:sz w:val="18"/>
        </w:rPr>
        <w:t xml:space="preserve"> </w:t>
      </w:r>
      <w:r w:rsidRPr="00283806">
        <w:rPr>
          <w:w w:val="105"/>
          <w:sz w:val="18"/>
        </w:rPr>
        <w:t>that</w:t>
      </w:r>
      <w:r w:rsidRPr="00283806">
        <w:rPr>
          <w:spacing w:val="-3"/>
          <w:w w:val="105"/>
          <w:sz w:val="18"/>
        </w:rPr>
        <w:t xml:space="preserve"> </w:t>
      </w:r>
      <w:r w:rsidRPr="00283806">
        <w:rPr>
          <w:w w:val="105"/>
          <w:sz w:val="18"/>
        </w:rPr>
        <w:t>leak</w:t>
      </w:r>
      <w:r w:rsidRPr="00283806">
        <w:rPr>
          <w:spacing w:val="-3"/>
          <w:w w:val="105"/>
          <w:sz w:val="18"/>
        </w:rPr>
        <w:t xml:space="preserve"> </w:t>
      </w:r>
      <w:r w:rsidRPr="00283806">
        <w:rPr>
          <w:w w:val="105"/>
          <w:sz w:val="18"/>
        </w:rPr>
        <w:t>125 percent or more of the full charge in a calendar year must submit a report containing the information required in paragraph (m)(4) of this section to EPA by March 1 of the subsequent year.</w:t>
      </w:r>
    </w:p>
    <w:p w14:paraId="009304B1" w14:textId="77777777" w:rsidR="00D67C1E" w:rsidRPr="00283806" w:rsidRDefault="001265CA">
      <w:pPr>
        <w:pStyle w:val="ListParagraph"/>
        <w:numPr>
          <w:ilvl w:val="0"/>
          <w:numId w:val="32"/>
        </w:numPr>
        <w:tabs>
          <w:tab w:val="left" w:pos="608"/>
        </w:tabs>
        <w:spacing w:before="8" w:line="225" w:lineRule="auto"/>
        <w:ind w:left="160" w:firstLine="180"/>
        <w:rPr>
          <w:sz w:val="18"/>
        </w:rPr>
      </w:pPr>
      <w:r w:rsidRPr="00283806">
        <w:rPr>
          <w:rFonts w:ascii="Book Antiqua"/>
          <w:i/>
          <w:w w:val="105"/>
          <w:sz w:val="18"/>
        </w:rPr>
        <w:t xml:space="preserve">Purged refrigerant. </w:t>
      </w:r>
      <w:r w:rsidRPr="00283806">
        <w:rPr>
          <w:w w:val="105"/>
          <w:sz w:val="18"/>
        </w:rPr>
        <w:t>In calculating annual</w:t>
      </w:r>
      <w:r w:rsidRPr="00283806">
        <w:rPr>
          <w:spacing w:val="-3"/>
          <w:w w:val="105"/>
          <w:sz w:val="18"/>
        </w:rPr>
        <w:t xml:space="preserve"> </w:t>
      </w:r>
      <w:r w:rsidRPr="00283806">
        <w:rPr>
          <w:w w:val="105"/>
          <w:sz w:val="18"/>
        </w:rPr>
        <w:t>leak</w:t>
      </w:r>
      <w:r w:rsidRPr="00283806">
        <w:rPr>
          <w:spacing w:val="-3"/>
          <w:w w:val="105"/>
          <w:sz w:val="18"/>
        </w:rPr>
        <w:t xml:space="preserve"> </w:t>
      </w:r>
      <w:r w:rsidRPr="00283806">
        <w:rPr>
          <w:w w:val="105"/>
          <w:sz w:val="18"/>
        </w:rPr>
        <w:t>rates,</w:t>
      </w:r>
      <w:r w:rsidRPr="00283806">
        <w:rPr>
          <w:spacing w:val="-3"/>
          <w:w w:val="105"/>
          <w:sz w:val="18"/>
        </w:rPr>
        <w:t xml:space="preserve"> </w:t>
      </w:r>
      <w:r w:rsidRPr="00283806">
        <w:rPr>
          <w:w w:val="105"/>
          <w:sz w:val="18"/>
        </w:rPr>
        <w:t>purged</w:t>
      </w:r>
      <w:r w:rsidRPr="00283806">
        <w:rPr>
          <w:spacing w:val="-3"/>
          <w:w w:val="105"/>
          <w:sz w:val="18"/>
        </w:rPr>
        <w:t xml:space="preserve"> </w:t>
      </w:r>
      <w:r w:rsidRPr="00283806">
        <w:rPr>
          <w:w w:val="105"/>
          <w:sz w:val="18"/>
        </w:rPr>
        <w:t>refrigerant</w:t>
      </w:r>
      <w:r w:rsidRPr="00283806">
        <w:rPr>
          <w:spacing w:val="-3"/>
          <w:w w:val="105"/>
          <w:sz w:val="18"/>
        </w:rPr>
        <w:t xml:space="preserve"> </w:t>
      </w:r>
      <w:r w:rsidRPr="00283806">
        <w:rPr>
          <w:w w:val="105"/>
          <w:sz w:val="18"/>
        </w:rPr>
        <w:t>that is destroyed at a verifiable destruction efficiency of 98 percent or greater will</w:t>
      </w:r>
      <w:r w:rsidRPr="00283806">
        <w:rPr>
          <w:spacing w:val="40"/>
          <w:w w:val="105"/>
          <w:sz w:val="18"/>
        </w:rPr>
        <w:t xml:space="preserve"> </w:t>
      </w:r>
      <w:r w:rsidRPr="00283806">
        <w:rPr>
          <w:w w:val="105"/>
          <w:sz w:val="18"/>
        </w:rPr>
        <w:t>not be counted toward the leak rate.</w:t>
      </w:r>
    </w:p>
    <w:p w14:paraId="2327BAF7" w14:textId="77777777" w:rsidR="00D67C1E" w:rsidRPr="00283806" w:rsidRDefault="001265CA">
      <w:pPr>
        <w:pStyle w:val="ListParagraph"/>
        <w:numPr>
          <w:ilvl w:val="0"/>
          <w:numId w:val="32"/>
        </w:numPr>
        <w:tabs>
          <w:tab w:val="left" w:pos="567"/>
        </w:tabs>
        <w:spacing w:before="2" w:line="225" w:lineRule="auto"/>
        <w:ind w:left="160" w:right="49" w:firstLine="179"/>
        <w:rPr>
          <w:sz w:val="18"/>
        </w:rPr>
      </w:pPr>
      <w:r w:rsidRPr="00283806">
        <w:rPr>
          <w:rFonts w:ascii="Book Antiqua"/>
          <w:i/>
          <w:w w:val="105"/>
          <w:sz w:val="18"/>
        </w:rPr>
        <w:t xml:space="preserve">Recordkeeping. </w:t>
      </w:r>
      <w:r w:rsidRPr="00283806">
        <w:rPr>
          <w:w w:val="105"/>
          <w:sz w:val="18"/>
        </w:rPr>
        <w:t>All records</w:t>
      </w:r>
      <w:r w:rsidRPr="00283806">
        <w:rPr>
          <w:spacing w:val="40"/>
          <w:w w:val="105"/>
          <w:sz w:val="18"/>
        </w:rPr>
        <w:t xml:space="preserve"> </w:t>
      </w:r>
      <w:r w:rsidRPr="00283806">
        <w:rPr>
          <w:w w:val="105"/>
          <w:sz w:val="18"/>
        </w:rPr>
        <w:t>identified in this paragraph must be</w:t>
      </w:r>
      <w:r w:rsidRPr="00283806">
        <w:rPr>
          <w:spacing w:val="80"/>
          <w:w w:val="105"/>
          <w:sz w:val="18"/>
        </w:rPr>
        <w:t xml:space="preserve"> </w:t>
      </w:r>
      <w:r w:rsidRPr="00283806">
        <w:rPr>
          <w:w w:val="105"/>
          <w:sz w:val="18"/>
        </w:rPr>
        <w:t xml:space="preserve">kept for at least three years in electronic or paper format, unless otherwise </w:t>
      </w:r>
      <w:r w:rsidRPr="00283806">
        <w:rPr>
          <w:spacing w:val="-2"/>
          <w:w w:val="105"/>
          <w:sz w:val="18"/>
        </w:rPr>
        <w:t>specified.</w:t>
      </w:r>
    </w:p>
    <w:p w14:paraId="463C6634" w14:textId="77777777" w:rsidR="00D67C1E" w:rsidRPr="00283806" w:rsidRDefault="001265CA">
      <w:pPr>
        <w:pStyle w:val="ListParagraph"/>
        <w:numPr>
          <w:ilvl w:val="1"/>
          <w:numId w:val="32"/>
        </w:numPr>
        <w:tabs>
          <w:tab w:val="left" w:pos="608"/>
        </w:tabs>
        <w:spacing w:before="1" w:line="228" w:lineRule="auto"/>
        <w:ind w:left="160" w:right="117" w:firstLine="180"/>
        <w:rPr>
          <w:sz w:val="18"/>
        </w:rPr>
      </w:pPr>
      <w:r w:rsidRPr="00283806">
        <w:rPr>
          <w:w w:val="105"/>
          <w:sz w:val="18"/>
        </w:rPr>
        <w:t>By January 1, 2026, or upon installation for refrigerant-containing appliances installed on or after January 1, 2026, owners or operators must determine the full charge of all refrigerant-containing appliances with 15 or more pounds of refrigerant and maintain the following information for each appliance until three years after the appliance is retired:</w:t>
      </w:r>
    </w:p>
    <w:p w14:paraId="1629C162" w14:textId="77777777" w:rsidR="00D67C1E" w:rsidRPr="00283806" w:rsidRDefault="001265CA">
      <w:pPr>
        <w:pStyle w:val="ListParagraph"/>
        <w:numPr>
          <w:ilvl w:val="2"/>
          <w:numId w:val="32"/>
        </w:numPr>
        <w:tabs>
          <w:tab w:val="left" w:pos="568"/>
        </w:tabs>
        <w:spacing w:line="228" w:lineRule="auto"/>
        <w:ind w:left="160" w:right="148" w:firstLine="180"/>
        <w:rPr>
          <w:sz w:val="18"/>
        </w:rPr>
      </w:pPr>
      <w:r w:rsidRPr="00283806">
        <w:rPr>
          <w:w w:val="105"/>
          <w:sz w:val="18"/>
        </w:rPr>
        <w:t xml:space="preserve">The identification of the owner or operator of the refrigerant-containing </w:t>
      </w:r>
      <w:r w:rsidRPr="00283806">
        <w:rPr>
          <w:spacing w:val="-2"/>
          <w:w w:val="105"/>
          <w:sz w:val="18"/>
        </w:rPr>
        <w:t>appliance;</w:t>
      </w:r>
    </w:p>
    <w:p w14:paraId="5AEC785C" w14:textId="77777777" w:rsidR="00D67C1E" w:rsidRPr="00283806" w:rsidRDefault="001265CA">
      <w:pPr>
        <w:pStyle w:val="ListParagraph"/>
        <w:numPr>
          <w:ilvl w:val="2"/>
          <w:numId w:val="32"/>
        </w:numPr>
        <w:tabs>
          <w:tab w:val="left" w:pos="628"/>
        </w:tabs>
        <w:spacing w:before="2" w:line="228" w:lineRule="auto"/>
        <w:ind w:left="160" w:right="158" w:firstLine="180"/>
        <w:rPr>
          <w:sz w:val="18"/>
        </w:rPr>
      </w:pPr>
      <w:r w:rsidRPr="00283806">
        <w:rPr>
          <w:w w:val="105"/>
          <w:sz w:val="18"/>
        </w:rPr>
        <w:t>The address where the appliance is located;</w:t>
      </w:r>
    </w:p>
    <w:p w14:paraId="3CD23E42" w14:textId="77777777" w:rsidR="00D67C1E" w:rsidRPr="00283806" w:rsidRDefault="001265CA">
      <w:pPr>
        <w:pStyle w:val="ListParagraph"/>
        <w:numPr>
          <w:ilvl w:val="2"/>
          <w:numId w:val="32"/>
        </w:numPr>
        <w:tabs>
          <w:tab w:val="left" w:pos="688"/>
        </w:tabs>
        <w:spacing w:before="3" w:line="228" w:lineRule="auto"/>
        <w:ind w:left="160" w:right="58" w:firstLine="180"/>
        <w:rPr>
          <w:sz w:val="18"/>
        </w:rPr>
      </w:pPr>
      <w:r w:rsidRPr="00283806">
        <w:rPr>
          <w:w w:val="105"/>
          <w:sz w:val="18"/>
        </w:rPr>
        <w:t>The full charge of the refrigerant- containing appliance and the method</w:t>
      </w:r>
      <w:r w:rsidRPr="00283806">
        <w:rPr>
          <w:spacing w:val="80"/>
          <w:w w:val="105"/>
          <w:sz w:val="18"/>
        </w:rPr>
        <w:t xml:space="preserve"> </w:t>
      </w:r>
      <w:r w:rsidRPr="00283806">
        <w:rPr>
          <w:w w:val="105"/>
          <w:sz w:val="18"/>
        </w:rPr>
        <w:t>for how the full charge was determined;</w:t>
      </w:r>
    </w:p>
    <w:p w14:paraId="68AB45D6" w14:textId="77777777" w:rsidR="00D67C1E" w:rsidRPr="00283806" w:rsidRDefault="001265CA">
      <w:pPr>
        <w:pStyle w:val="ListParagraph"/>
        <w:numPr>
          <w:ilvl w:val="2"/>
          <w:numId w:val="32"/>
        </w:numPr>
        <w:tabs>
          <w:tab w:val="left" w:pos="668"/>
        </w:tabs>
        <w:spacing w:line="228" w:lineRule="auto"/>
        <w:ind w:left="160" w:right="87" w:firstLine="180"/>
        <w:rPr>
          <w:sz w:val="18"/>
        </w:rPr>
      </w:pPr>
      <w:r w:rsidRPr="00283806">
        <w:rPr>
          <w:w w:val="105"/>
          <w:sz w:val="18"/>
        </w:rPr>
        <w:t>If using method 4 (using an established range) for determining full charge, records must include the range for the full charge of the refrigerant- containing appliance, its midpoint, and how the range was determined;</w:t>
      </w:r>
    </w:p>
    <w:p w14:paraId="0DA3171C" w14:textId="77777777" w:rsidR="00D67C1E" w:rsidRPr="00283806" w:rsidRDefault="001265CA">
      <w:pPr>
        <w:pStyle w:val="ListParagraph"/>
        <w:numPr>
          <w:ilvl w:val="2"/>
          <w:numId w:val="32"/>
        </w:numPr>
        <w:tabs>
          <w:tab w:val="left" w:pos="608"/>
        </w:tabs>
        <w:spacing w:line="228" w:lineRule="auto"/>
        <w:ind w:left="160" w:right="258" w:firstLine="180"/>
        <w:rPr>
          <w:sz w:val="18"/>
        </w:rPr>
      </w:pPr>
      <w:r w:rsidRPr="00283806">
        <w:rPr>
          <w:w w:val="105"/>
          <w:sz w:val="18"/>
        </w:rPr>
        <w:t>Any revisions of the full charge, how they were determined, and the dates such revisions occurred; and</w:t>
      </w:r>
    </w:p>
    <w:p w14:paraId="44BA4405" w14:textId="77777777" w:rsidR="00D67C1E" w:rsidRPr="00283806" w:rsidRDefault="001265CA">
      <w:pPr>
        <w:pStyle w:val="ListParagraph"/>
        <w:numPr>
          <w:ilvl w:val="2"/>
          <w:numId w:val="32"/>
        </w:numPr>
        <w:tabs>
          <w:tab w:val="left" w:pos="668"/>
        </w:tabs>
        <w:spacing w:line="198" w:lineRule="exact"/>
        <w:ind w:left="668" w:hanging="328"/>
        <w:rPr>
          <w:sz w:val="18"/>
        </w:rPr>
      </w:pPr>
      <w:r w:rsidRPr="00283806">
        <w:rPr>
          <w:w w:val="105"/>
          <w:sz w:val="18"/>
        </w:rPr>
        <w:t>The</w:t>
      </w:r>
      <w:r w:rsidRPr="00283806">
        <w:rPr>
          <w:spacing w:val="9"/>
          <w:w w:val="105"/>
          <w:sz w:val="18"/>
        </w:rPr>
        <w:t xml:space="preserve"> </w:t>
      </w:r>
      <w:r w:rsidRPr="00283806">
        <w:rPr>
          <w:w w:val="105"/>
          <w:sz w:val="18"/>
        </w:rPr>
        <w:t>date</w:t>
      </w:r>
      <w:r w:rsidRPr="00283806">
        <w:rPr>
          <w:spacing w:val="9"/>
          <w:w w:val="105"/>
          <w:sz w:val="18"/>
        </w:rPr>
        <w:t xml:space="preserve"> </w:t>
      </w:r>
      <w:r w:rsidRPr="00283806">
        <w:rPr>
          <w:w w:val="105"/>
          <w:sz w:val="18"/>
        </w:rPr>
        <w:t>of</w:t>
      </w:r>
      <w:r w:rsidRPr="00283806">
        <w:rPr>
          <w:spacing w:val="10"/>
          <w:w w:val="105"/>
          <w:sz w:val="18"/>
        </w:rPr>
        <w:t xml:space="preserve"> </w:t>
      </w:r>
      <w:r w:rsidRPr="00283806">
        <w:rPr>
          <w:spacing w:val="-2"/>
          <w:w w:val="105"/>
          <w:sz w:val="18"/>
        </w:rPr>
        <w:t>installation.</w:t>
      </w:r>
    </w:p>
    <w:p w14:paraId="38D04C28" w14:textId="77777777" w:rsidR="00D67C1E" w:rsidRPr="00283806" w:rsidRDefault="001265CA">
      <w:pPr>
        <w:pStyle w:val="ListParagraph"/>
        <w:numPr>
          <w:ilvl w:val="1"/>
          <w:numId w:val="32"/>
        </w:numPr>
        <w:tabs>
          <w:tab w:val="left" w:pos="608"/>
        </w:tabs>
        <w:spacing w:before="3" w:line="228" w:lineRule="auto"/>
        <w:ind w:left="160" w:right="126" w:firstLine="180"/>
        <w:rPr>
          <w:sz w:val="18"/>
        </w:rPr>
      </w:pPr>
      <w:r w:rsidRPr="00283806">
        <w:rPr>
          <w:w w:val="105"/>
          <w:sz w:val="18"/>
        </w:rPr>
        <w:t>Owners or operators must maintain a record including the following information for each time a refrigerant-containing appliance with a full charge of 15 or more pounds is</w:t>
      </w:r>
    </w:p>
    <w:p w14:paraId="2A067A4B" w14:textId="77777777" w:rsidR="00D67C1E" w:rsidRPr="00283806" w:rsidRDefault="001265CA">
      <w:pPr>
        <w:pStyle w:val="BodyText"/>
        <w:spacing w:before="132" w:line="228" w:lineRule="auto"/>
        <w:ind w:left="144" w:right="121"/>
      </w:pPr>
      <w:r w:rsidRPr="00283806">
        <w:br w:type="column"/>
      </w:r>
      <w:r w:rsidRPr="00283806">
        <w:rPr>
          <w:spacing w:val="-2"/>
          <w:w w:val="110"/>
        </w:rPr>
        <w:t>installed,</w:t>
      </w:r>
      <w:r w:rsidRPr="00283806">
        <w:rPr>
          <w:spacing w:val="-4"/>
          <w:w w:val="110"/>
        </w:rPr>
        <w:t xml:space="preserve"> </w:t>
      </w:r>
      <w:r w:rsidRPr="00283806">
        <w:rPr>
          <w:spacing w:val="-2"/>
          <w:w w:val="110"/>
        </w:rPr>
        <w:t>serviced,</w:t>
      </w:r>
      <w:r w:rsidRPr="00283806">
        <w:rPr>
          <w:spacing w:val="-4"/>
          <w:w w:val="110"/>
        </w:rPr>
        <w:t xml:space="preserve"> </w:t>
      </w:r>
      <w:r w:rsidRPr="00283806">
        <w:rPr>
          <w:spacing w:val="-2"/>
          <w:w w:val="110"/>
        </w:rPr>
        <w:t>repaired,</w:t>
      </w:r>
      <w:r w:rsidRPr="00283806">
        <w:rPr>
          <w:spacing w:val="-4"/>
          <w:w w:val="110"/>
        </w:rPr>
        <w:t xml:space="preserve"> </w:t>
      </w:r>
      <w:r w:rsidRPr="00283806">
        <w:rPr>
          <w:spacing w:val="-2"/>
          <w:w w:val="110"/>
        </w:rPr>
        <w:t>or</w:t>
      </w:r>
      <w:r w:rsidRPr="00283806">
        <w:rPr>
          <w:spacing w:val="-4"/>
          <w:w w:val="110"/>
        </w:rPr>
        <w:t xml:space="preserve"> </w:t>
      </w:r>
      <w:r w:rsidRPr="00283806">
        <w:rPr>
          <w:spacing w:val="-2"/>
          <w:w w:val="110"/>
        </w:rPr>
        <w:t xml:space="preserve">disposed </w:t>
      </w:r>
      <w:r w:rsidRPr="00283806">
        <w:rPr>
          <w:w w:val="110"/>
        </w:rPr>
        <w:t>of, when applicable.</w:t>
      </w:r>
    </w:p>
    <w:p w14:paraId="558E47F7" w14:textId="77777777" w:rsidR="00D67C1E" w:rsidRPr="00283806" w:rsidRDefault="001265CA">
      <w:pPr>
        <w:pStyle w:val="ListParagraph"/>
        <w:numPr>
          <w:ilvl w:val="2"/>
          <w:numId w:val="32"/>
        </w:numPr>
        <w:tabs>
          <w:tab w:val="left" w:pos="552"/>
        </w:tabs>
        <w:spacing w:line="228" w:lineRule="auto"/>
        <w:ind w:left="144" w:right="452" w:firstLine="180"/>
        <w:rPr>
          <w:sz w:val="18"/>
        </w:rPr>
      </w:pPr>
      <w:r w:rsidRPr="00283806">
        <w:rPr>
          <w:w w:val="105"/>
          <w:sz w:val="18"/>
        </w:rPr>
        <w:t>The identity and location of the refrigerant-containing appliance;</w:t>
      </w:r>
    </w:p>
    <w:p w14:paraId="4E6BBBD3" w14:textId="77777777" w:rsidR="00D67C1E" w:rsidRPr="00283806" w:rsidRDefault="001265CA">
      <w:pPr>
        <w:pStyle w:val="ListParagraph"/>
        <w:numPr>
          <w:ilvl w:val="2"/>
          <w:numId w:val="32"/>
        </w:numPr>
        <w:tabs>
          <w:tab w:val="left" w:pos="612"/>
        </w:tabs>
        <w:spacing w:line="228" w:lineRule="auto"/>
        <w:ind w:left="144" w:right="340" w:firstLine="180"/>
        <w:rPr>
          <w:sz w:val="18"/>
        </w:rPr>
      </w:pPr>
      <w:r w:rsidRPr="00283806">
        <w:rPr>
          <w:w w:val="105"/>
          <w:sz w:val="18"/>
        </w:rPr>
        <w:t>The date of the installation, service,</w:t>
      </w:r>
      <w:r w:rsidRPr="00283806">
        <w:rPr>
          <w:spacing w:val="12"/>
          <w:w w:val="105"/>
          <w:sz w:val="18"/>
        </w:rPr>
        <w:t xml:space="preserve"> </w:t>
      </w:r>
      <w:r w:rsidRPr="00283806">
        <w:rPr>
          <w:w w:val="105"/>
          <w:sz w:val="18"/>
        </w:rPr>
        <w:t>repair,</w:t>
      </w:r>
      <w:r w:rsidRPr="00283806">
        <w:rPr>
          <w:spacing w:val="13"/>
          <w:w w:val="105"/>
          <w:sz w:val="18"/>
        </w:rPr>
        <w:t xml:space="preserve"> </w:t>
      </w:r>
      <w:r w:rsidRPr="00283806">
        <w:rPr>
          <w:w w:val="105"/>
          <w:sz w:val="18"/>
        </w:rPr>
        <w:t>or</w:t>
      </w:r>
      <w:r w:rsidRPr="00283806">
        <w:rPr>
          <w:spacing w:val="12"/>
          <w:w w:val="105"/>
          <w:sz w:val="18"/>
        </w:rPr>
        <w:t xml:space="preserve"> </w:t>
      </w:r>
      <w:r w:rsidRPr="00283806">
        <w:rPr>
          <w:w w:val="105"/>
          <w:sz w:val="18"/>
        </w:rPr>
        <w:t>disposal</w:t>
      </w:r>
      <w:r w:rsidRPr="00283806">
        <w:rPr>
          <w:spacing w:val="13"/>
          <w:w w:val="105"/>
          <w:sz w:val="18"/>
        </w:rPr>
        <w:t xml:space="preserve"> </w:t>
      </w:r>
      <w:r w:rsidRPr="00283806">
        <w:rPr>
          <w:spacing w:val="-2"/>
          <w:w w:val="105"/>
          <w:sz w:val="18"/>
        </w:rPr>
        <w:t>performed;</w:t>
      </w:r>
    </w:p>
    <w:p w14:paraId="1611797A" w14:textId="77777777" w:rsidR="00D67C1E" w:rsidRPr="00283806" w:rsidRDefault="001265CA">
      <w:pPr>
        <w:pStyle w:val="ListParagraph"/>
        <w:numPr>
          <w:ilvl w:val="2"/>
          <w:numId w:val="32"/>
        </w:numPr>
        <w:tabs>
          <w:tab w:val="left" w:pos="672"/>
        </w:tabs>
        <w:spacing w:line="228" w:lineRule="auto"/>
        <w:ind w:left="144" w:right="420" w:firstLine="180"/>
        <w:rPr>
          <w:sz w:val="18"/>
        </w:rPr>
      </w:pPr>
      <w:r w:rsidRPr="00283806">
        <w:rPr>
          <w:w w:val="105"/>
          <w:sz w:val="18"/>
        </w:rPr>
        <w:t>The part(s) of the refrigerant- containing appliance being installed, serviced, repaired, or disposed;</w:t>
      </w:r>
    </w:p>
    <w:p w14:paraId="376DFF68" w14:textId="77777777" w:rsidR="00D67C1E" w:rsidRPr="00283806" w:rsidRDefault="001265CA">
      <w:pPr>
        <w:pStyle w:val="ListParagraph"/>
        <w:numPr>
          <w:ilvl w:val="2"/>
          <w:numId w:val="32"/>
        </w:numPr>
        <w:tabs>
          <w:tab w:val="left" w:pos="652"/>
        </w:tabs>
        <w:spacing w:line="186" w:lineRule="exact"/>
        <w:ind w:left="652" w:hanging="328"/>
        <w:rPr>
          <w:sz w:val="18"/>
        </w:rPr>
      </w:pPr>
      <w:r w:rsidRPr="00283806">
        <w:rPr>
          <w:w w:val="105"/>
          <w:sz w:val="18"/>
        </w:rPr>
        <w:t>The</w:t>
      </w:r>
      <w:r w:rsidRPr="00283806">
        <w:rPr>
          <w:spacing w:val="19"/>
          <w:w w:val="105"/>
          <w:sz w:val="18"/>
        </w:rPr>
        <w:t xml:space="preserve"> </w:t>
      </w:r>
      <w:r w:rsidRPr="00283806">
        <w:rPr>
          <w:w w:val="105"/>
          <w:sz w:val="18"/>
        </w:rPr>
        <w:t>type</w:t>
      </w:r>
      <w:r w:rsidRPr="00283806">
        <w:rPr>
          <w:spacing w:val="20"/>
          <w:w w:val="105"/>
          <w:sz w:val="18"/>
        </w:rPr>
        <w:t xml:space="preserve"> </w:t>
      </w:r>
      <w:r w:rsidRPr="00283806">
        <w:rPr>
          <w:w w:val="105"/>
          <w:sz w:val="18"/>
        </w:rPr>
        <w:t>of</w:t>
      </w:r>
      <w:r w:rsidRPr="00283806">
        <w:rPr>
          <w:spacing w:val="19"/>
          <w:w w:val="105"/>
          <w:sz w:val="18"/>
        </w:rPr>
        <w:t xml:space="preserve"> </w:t>
      </w:r>
      <w:r w:rsidRPr="00283806">
        <w:rPr>
          <w:w w:val="105"/>
          <w:sz w:val="18"/>
        </w:rPr>
        <w:t>installation,</w:t>
      </w:r>
      <w:r w:rsidRPr="00283806">
        <w:rPr>
          <w:spacing w:val="20"/>
          <w:w w:val="105"/>
          <w:sz w:val="18"/>
        </w:rPr>
        <w:t xml:space="preserve"> </w:t>
      </w:r>
      <w:r w:rsidRPr="00283806">
        <w:rPr>
          <w:spacing w:val="-2"/>
          <w:w w:val="105"/>
          <w:sz w:val="18"/>
        </w:rPr>
        <w:t>service,</w:t>
      </w:r>
    </w:p>
    <w:p w14:paraId="11EC1A91" w14:textId="77777777" w:rsidR="00D67C1E" w:rsidRPr="00283806" w:rsidRDefault="001265CA">
      <w:pPr>
        <w:pStyle w:val="BodyText"/>
        <w:spacing w:line="228" w:lineRule="auto"/>
        <w:ind w:left="144" w:right="210"/>
      </w:pPr>
      <w:r w:rsidRPr="00283806">
        <w:rPr>
          <w:w w:val="105"/>
        </w:rPr>
        <w:t xml:space="preserve">repair, or disposal performed for each </w:t>
      </w:r>
      <w:r w:rsidRPr="00283806">
        <w:rPr>
          <w:spacing w:val="-2"/>
          <w:w w:val="105"/>
        </w:rPr>
        <w:t>part;</w:t>
      </w:r>
    </w:p>
    <w:p w14:paraId="29C3E1BA" w14:textId="77777777" w:rsidR="00D67C1E" w:rsidRPr="00283806" w:rsidRDefault="001265CA">
      <w:pPr>
        <w:pStyle w:val="ListParagraph"/>
        <w:numPr>
          <w:ilvl w:val="2"/>
          <w:numId w:val="32"/>
        </w:numPr>
        <w:tabs>
          <w:tab w:val="left" w:pos="592"/>
        </w:tabs>
        <w:spacing w:line="228" w:lineRule="auto"/>
        <w:ind w:left="144" w:right="530" w:firstLine="180"/>
        <w:rPr>
          <w:sz w:val="18"/>
        </w:rPr>
      </w:pPr>
      <w:r w:rsidRPr="00283806">
        <w:rPr>
          <w:w w:val="105"/>
          <w:sz w:val="18"/>
        </w:rPr>
        <w:t>The name of the person performing the installation, service, repair, or disposal;</w:t>
      </w:r>
    </w:p>
    <w:p w14:paraId="5AB7671F" w14:textId="77777777" w:rsidR="00D67C1E" w:rsidRPr="00283806" w:rsidRDefault="001265CA">
      <w:pPr>
        <w:pStyle w:val="ListParagraph"/>
        <w:numPr>
          <w:ilvl w:val="2"/>
          <w:numId w:val="32"/>
        </w:numPr>
        <w:tabs>
          <w:tab w:val="left" w:pos="652"/>
        </w:tabs>
        <w:spacing w:line="186" w:lineRule="exact"/>
        <w:ind w:left="652" w:hanging="328"/>
        <w:rPr>
          <w:sz w:val="18"/>
        </w:rPr>
      </w:pPr>
      <w:r w:rsidRPr="00283806">
        <w:rPr>
          <w:w w:val="105"/>
          <w:sz w:val="18"/>
        </w:rPr>
        <w:t>The</w:t>
      </w:r>
      <w:r w:rsidRPr="00283806">
        <w:rPr>
          <w:spacing w:val="13"/>
          <w:w w:val="105"/>
          <w:sz w:val="18"/>
        </w:rPr>
        <w:t xml:space="preserve"> </w:t>
      </w:r>
      <w:r w:rsidRPr="00283806">
        <w:rPr>
          <w:w w:val="105"/>
          <w:sz w:val="18"/>
        </w:rPr>
        <w:t>amount</w:t>
      </w:r>
      <w:r w:rsidRPr="00283806">
        <w:rPr>
          <w:spacing w:val="13"/>
          <w:w w:val="105"/>
          <w:sz w:val="18"/>
        </w:rPr>
        <w:t xml:space="preserve"> </w:t>
      </w:r>
      <w:r w:rsidRPr="00283806">
        <w:rPr>
          <w:w w:val="105"/>
          <w:sz w:val="18"/>
        </w:rPr>
        <w:t>and</w:t>
      </w:r>
      <w:r w:rsidRPr="00283806">
        <w:rPr>
          <w:spacing w:val="12"/>
          <w:w w:val="105"/>
          <w:sz w:val="18"/>
        </w:rPr>
        <w:t xml:space="preserve"> </w:t>
      </w:r>
      <w:r w:rsidRPr="00283806">
        <w:rPr>
          <w:w w:val="105"/>
          <w:sz w:val="18"/>
        </w:rPr>
        <w:t>type</w:t>
      </w:r>
      <w:r w:rsidRPr="00283806">
        <w:rPr>
          <w:spacing w:val="13"/>
          <w:w w:val="105"/>
          <w:sz w:val="18"/>
        </w:rPr>
        <w:t xml:space="preserve"> </w:t>
      </w:r>
      <w:r w:rsidRPr="00283806">
        <w:rPr>
          <w:spacing w:val="-5"/>
          <w:w w:val="105"/>
          <w:sz w:val="18"/>
        </w:rPr>
        <w:t>of</w:t>
      </w:r>
    </w:p>
    <w:p w14:paraId="48FC0633" w14:textId="77777777" w:rsidR="00D67C1E" w:rsidRPr="00283806" w:rsidRDefault="001265CA">
      <w:pPr>
        <w:pStyle w:val="BodyText"/>
        <w:spacing w:line="228" w:lineRule="auto"/>
        <w:ind w:left="144" w:right="210"/>
      </w:pPr>
      <w:r w:rsidRPr="00283806">
        <w:rPr>
          <w:w w:val="105"/>
        </w:rPr>
        <w:t>refrigerant added to, or in the case of disposal removed from, the appliance;</w:t>
      </w:r>
    </w:p>
    <w:p w14:paraId="0786A8A0" w14:textId="77777777" w:rsidR="00D67C1E" w:rsidRPr="00283806" w:rsidRDefault="001265CA">
      <w:pPr>
        <w:pStyle w:val="ListParagraph"/>
        <w:numPr>
          <w:ilvl w:val="2"/>
          <w:numId w:val="32"/>
        </w:numPr>
        <w:tabs>
          <w:tab w:val="left" w:pos="712"/>
        </w:tabs>
        <w:spacing w:line="228" w:lineRule="auto"/>
        <w:ind w:left="144" w:right="172" w:firstLine="180"/>
        <w:rPr>
          <w:sz w:val="18"/>
        </w:rPr>
      </w:pPr>
      <w:r w:rsidRPr="00283806">
        <w:rPr>
          <w:w w:val="105"/>
          <w:sz w:val="18"/>
        </w:rPr>
        <w:t>The full charge of the refrigerant- containing appliance; and</w:t>
      </w:r>
    </w:p>
    <w:p w14:paraId="53FFAA49" w14:textId="77777777" w:rsidR="00D67C1E" w:rsidRPr="00283806" w:rsidRDefault="001265CA">
      <w:pPr>
        <w:pStyle w:val="ListParagraph"/>
        <w:numPr>
          <w:ilvl w:val="2"/>
          <w:numId w:val="32"/>
        </w:numPr>
        <w:tabs>
          <w:tab w:val="left" w:pos="772"/>
        </w:tabs>
        <w:spacing w:line="228" w:lineRule="auto"/>
        <w:ind w:left="144" w:right="380" w:firstLine="180"/>
        <w:rPr>
          <w:sz w:val="18"/>
        </w:rPr>
      </w:pPr>
      <w:r w:rsidRPr="00283806">
        <w:rPr>
          <w:w w:val="105"/>
          <w:sz w:val="18"/>
        </w:rPr>
        <w:t>The leak rate and the method used to determine the leak rate (not applicable when disposing of the refrigerant-containing appliance, following a retrofit, installing a new refrigerant-containing appliance, or if the refrigerant addition qualifies as a seasonal variance).</w:t>
      </w:r>
    </w:p>
    <w:p w14:paraId="12349A26" w14:textId="77777777" w:rsidR="00D67C1E" w:rsidRPr="00283806" w:rsidRDefault="001265CA">
      <w:pPr>
        <w:pStyle w:val="ListParagraph"/>
        <w:numPr>
          <w:ilvl w:val="1"/>
          <w:numId w:val="32"/>
        </w:numPr>
        <w:tabs>
          <w:tab w:val="left" w:pos="592"/>
        </w:tabs>
        <w:spacing w:line="183" w:lineRule="exact"/>
        <w:ind w:left="592" w:hanging="268"/>
        <w:rPr>
          <w:sz w:val="18"/>
        </w:rPr>
      </w:pPr>
      <w:r w:rsidRPr="00283806">
        <w:rPr>
          <w:w w:val="105"/>
          <w:sz w:val="18"/>
        </w:rPr>
        <w:t>Owners or</w:t>
      </w:r>
      <w:r w:rsidRPr="00283806">
        <w:rPr>
          <w:spacing w:val="1"/>
          <w:w w:val="105"/>
          <w:sz w:val="18"/>
        </w:rPr>
        <w:t xml:space="preserve"> </w:t>
      </w:r>
      <w:r w:rsidRPr="00283806">
        <w:rPr>
          <w:w w:val="105"/>
          <w:sz w:val="18"/>
        </w:rPr>
        <w:t xml:space="preserve">operators </w:t>
      </w:r>
      <w:r w:rsidRPr="00283806">
        <w:rPr>
          <w:spacing w:val="-4"/>
          <w:w w:val="105"/>
          <w:sz w:val="18"/>
        </w:rPr>
        <w:t>must</w:t>
      </w:r>
    </w:p>
    <w:p w14:paraId="070A5F4D" w14:textId="77777777" w:rsidR="00D67C1E" w:rsidRPr="00283806" w:rsidRDefault="001265CA">
      <w:pPr>
        <w:pStyle w:val="BodyText"/>
        <w:spacing w:line="228" w:lineRule="auto"/>
        <w:ind w:left="144" w:right="175"/>
      </w:pPr>
      <w:r w:rsidRPr="00283806">
        <w:rPr>
          <w:w w:val="110"/>
        </w:rPr>
        <w:t>maintain the following records of changes to the leak rate calculation method</w:t>
      </w:r>
      <w:r w:rsidRPr="00283806">
        <w:rPr>
          <w:spacing w:val="-1"/>
          <w:w w:val="110"/>
        </w:rPr>
        <w:t xml:space="preserve"> </w:t>
      </w:r>
      <w:r w:rsidRPr="00283806">
        <w:rPr>
          <w:w w:val="110"/>
        </w:rPr>
        <w:t>after</w:t>
      </w:r>
      <w:r w:rsidRPr="00283806">
        <w:rPr>
          <w:spacing w:val="-1"/>
          <w:w w:val="110"/>
        </w:rPr>
        <w:t xml:space="preserve"> </w:t>
      </w:r>
      <w:r w:rsidRPr="00283806">
        <w:rPr>
          <w:w w:val="110"/>
        </w:rPr>
        <w:t>a</w:t>
      </w:r>
      <w:r w:rsidRPr="00283806">
        <w:rPr>
          <w:spacing w:val="-1"/>
          <w:w w:val="110"/>
        </w:rPr>
        <w:t xml:space="preserve"> </w:t>
      </w:r>
      <w:r w:rsidRPr="00283806">
        <w:rPr>
          <w:w w:val="110"/>
        </w:rPr>
        <w:t>change</w:t>
      </w:r>
      <w:r w:rsidRPr="00283806">
        <w:rPr>
          <w:spacing w:val="-1"/>
          <w:w w:val="110"/>
        </w:rPr>
        <w:t xml:space="preserve"> </w:t>
      </w:r>
      <w:r w:rsidRPr="00283806">
        <w:rPr>
          <w:w w:val="110"/>
        </w:rPr>
        <w:t>in</w:t>
      </w:r>
      <w:r w:rsidRPr="00283806">
        <w:rPr>
          <w:spacing w:val="-1"/>
          <w:w w:val="110"/>
        </w:rPr>
        <w:t xml:space="preserve"> </w:t>
      </w:r>
      <w:r w:rsidRPr="00283806">
        <w:rPr>
          <w:w w:val="110"/>
        </w:rPr>
        <w:t>ownership</w:t>
      </w:r>
      <w:r w:rsidRPr="00283806">
        <w:rPr>
          <w:spacing w:val="-1"/>
          <w:w w:val="110"/>
        </w:rPr>
        <w:t xml:space="preserve"> </w:t>
      </w:r>
      <w:r w:rsidRPr="00283806">
        <w:rPr>
          <w:w w:val="110"/>
        </w:rPr>
        <w:t xml:space="preserve">or </w:t>
      </w:r>
      <w:r w:rsidRPr="00283806">
        <w:t>acquisition specified in paragraph (b)(3)</w:t>
      </w:r>
      <w:r w:rsidRPr="00283806">
        <w:rPr>
          <w:spacing w:val="40"/>
          <w:w w:val="110"/>
        </w:rPr>
        <w:t xml:space="preserve"> </w:t>
      </w:r>
      <w:r w:rsidRPr="00283806">
        <w:rPr>
          <w:w w:val="110"/>
        </w:rPr>
        <w:t>of this section:</w:t>
      </w:r>
    </w:p>
    <w:p w14:paraId="33F6C8FE" w14:textId="77777777" w:rsidR="00D67C1E" w:rsidRPr="00283806" w:rsidRDefault="001265CA">
      <w:pPr>
        <w:pStyle w:val="ListParagraph"/>
        <w:numPr>
          <w:ilvl w:val="2"/>
          <w:numId w:val="32"/>
        </w:numPr>
        <w:tabs>
          <w:tab w:val="left" w:pos="552"/>
        </w:tabs>
        <w:spacing w:line="185" w:lineRule="exact"/>
        <w:ind w:left="552" w:hanging="228"/>
        <w:rPr>
          <w:sz w:val="18"/>
        </w:rPr>
      </w:pPr>
      <w:r w:rsidRPr="00283806">
        <w:rPr>
          <w:w w:val="105"/>
          <w:sz w:val="18"/>
        </w:rPr>
        <w:t>Basic</w:t>
      </w:r>
      <w:r w:rsidRPr="00283806">
        <w:rPr>
          <w:spacing w:val="28"/>
          <w:w w:val="105"/>
          <w:sz w:val="18"/>
        </w:rPr>
        <w:t xml:space="preserve"> </w:t>
      </w:r>
      <w:r w:rsidRPr="00283806">
        <w:rPr>
          <w:w w:val="105"/>
          <w:sz w:val="18"/>
        </w:rPr>
        <w:t>identification</w:t>
      </w:r>
      <w:r w:rsidRPr="00283806">
        <w:rPr>
          <w:spacing w:val="29"/>
          <w:w w:val="105"/>
          <w:sz w:val="18"/>
        </w:rPr>
        <w:t xml:space="preserve"> </w:t>
      </w:r>
      <w:r w:rsidRPr="00283806">
        <w:rPr>
          <w:spacing w:val="-2"/>
          <w:w w:val="105"/>
          <w:sz w:val="18"/>
        </w:rPr>
        <w:t>information</w:t>
      </w:r>
    </w:p>
    <w:p w14:paraId="1D897EB5" w14:textId="77777777" w:rsidR="00D67C1E" w:rsidRPr="00283806" w:rsidRDefault="001265CA">
      <w:pPr>
        <w:pStyle w:val="BodyText"/>
        <w:spacing w:line="223" w:lineRule="auto"/>
        <w:ind w:left="144" w:right="290"/>
      </w:pPr>
      <w:r w:rsidRPr="00283806">
        <w:rPr>
          <w:w w:val="105"/>
        </w:rPr>
        <w:t>(</w:t>
      </w:r>
      <w:r w:rsidRPr="00283806">
        <w:rPr>
          <w:rFonts w:ascii="Book Antiqua"/>
          <w:i/>
          <w:w w:val="105"/>
        </w:rPr>
        <w:t xml:space="preserve">i.e., </w:t>
      </w:r>
      <w:r w:rsidRPr="00283806">
        <w:rPr>
          <w:w w:val="105"/>
        </w:rPr>
        <w:t xml:space="preserve">owner or operator, facility name, facility address where appliance is located, and appliance ID or </w:t>
      </w:r>
      <w:r w:rsidRPr="00283806">
        <w:rPr>
          <w:spacing w:val="-2"/>
          <w:w w:val="105"/>
        </w:rPr>
        <w:t>description);</w:t>
      </w:r>
    </w:p>
    <w:p w14:paraId="3ECEB5B4" w14:textId="77777777" w:rsidR="00D67C1E" w:rsidRPr="00283806" w:rsidRDefault="001265CA">
      <w:pPr>
        <w:pStyle w:val="ListParagraph"/>
        <w:numPr>
          <w:ilvl w:val="2"/>
          <w:numId w:val="32"/>
        </w:numPr>
        <w:tabs>
          <w:tab w:val="left" w:pos="612"/>
        </w:tabs>
        <w:spacing w:line="228" w:lineRule="auto"/>
        <w:ind w:left="144" w:right="471" w:firstLine="180"/>
        <w:jc w:val="both"/>
        <w:rPr>
          <w:sz w:val="18"/>
        </w:rPr>
      </w:pPr>
      <w:r w:rsidRPr="00283806">
        <w:rPr>
          <w:w w:val="105"/>
          <w:sz w:val="18"/>
        </w:rPr>
        <w:t xml:space="preserve">The date the operating facility </w:t>
      </w:r>
      <w:r w:rsidRPr="00283806">
        <w:rPr>
          <w:spacing w:val="-2"/>
          <w:w w:val="105"/>
          <w:sz w:val="18"/>
        </w:rPr>
        <w:t>referenced</w:t>
      </w:r>
      <w:r w:rsidRPr="00283806">
        <w:rPr>
          <w:spacing w:val="-6"/>
          <w:w w:val="105"/>
          <w:sz w:val="18"/>
        </w:rPr>
        <w:t xml:space="preserve"> </w:t>
      </w:r>
      <w:r w:rsidRPr="00283806">
        <w:rPr>
          <w:spacing w:val="-2"/>
          <w:w w:val="105"/>
          <w:sz w:val="18"/>
        </w:rPr>
        <w:t>in</w:t>
      </w:r>
      <w:r w:rsidRPr="00283806">
        <w:rPr>
          <w:spacing w:val="-6"/>
          <w:w w:val="105"/>
          <w:sz w:val="18"/>
        </w:rPr>
        <w:t xml:space="preserve"> </w:t>
      </w:r>
      <w:r w:rsidRPr="00283806">
        <w:rPr>
          <w:spacing w:val="-2"/>
          <w:w w:val="105"/>
          <w:sz w:val="18"/>
        </w:rPr>
        <w:t>paragraph</w:t>
      </w:r>
      <w:r w:rsidRPr="00283806">
        <w:rPr>
          <w:spacing w:val="-6"/>
          <w:w w:val="105"/>
          <w:sz w:val="18"/>
        </w:rPr>
        <w:t xml:space="preserve"> </w:t>
      </w:r>
      <w:r w:rsidRPr="00283806">
        <w:rPr>
          <w:spacing w:val="-2"/>
          <w:w w:val="105"/>
          <w:sz w:val="18"/>
        </w:rPr>
        <w:t>(b)(3)(i)</w:t>
      </w:r>
      <w:r w:rsidRPr="00283806">
        <w:rPr>
          <w:spacing w:val="-6"/>
          <w:w w:val="105"/>
          <w:sz w:val="18"/>
        </w:rPr>
        <w:t xml:space="preserve"> </w:t>
      </w:r>
      <w:r w:rsidRPr="00283806">
        <w:rPr>
          <w:spacing w:val="-2"/>
          <w:w w:val="105"/>
          <w:sz w:val="18"/>
        </w:rPr>
        <w:t>was</w:t>
      </w:r>
      <w:r w:rsidRPr="00283806">
        <w:rPr>
          <w:w w:val="105"/>
          <w:sz w:val="18"/>
        </w:rPr>
        <w:t xml:space="preserve"> purchased or otherwise acquired;</w:t>
      </w:r>
    </w:p>
    <w:p w14:paraId="1B1D8CF7" w14:textId="77777777" w:rsidR="00D67C1E" w:rsidRPr="00283806" w:rsidRDefault="001265CA">
      <w:pPr>
        <w:pStyle w:val="ListParagraph"/>
        <w:numPr>
          <w:ilvl w:val="2"/>
          <w:numId w:val="32"/>
        </w:numPr>
        <w:tabs>
          <w:tab w:val="left" w:pos="672"/>
        </w:tabs>
        <w:spacing w:line="186" w:lineRule="exact"/>
        <w:ind w:left="672" w:hanging="348"/>
        <w:jc w:val="both"/>
        <w:rPr>
          <w:sz w:val="18"/>
        </w:rPr>
      </w:pPr>
      <w:r w:rsidRPr="00283806">
        <w:rPr>
          <w:w w:val="105"/>
          <w:sz w:val="18"/>
        </w:rPr>
        <w:t>The</w:t>
      </w:r>
      <w:r w:rsidRPr="00283806">
        <w:rPr>
          <w:spacing w:val="7"/>
          <w:w w:val="105"/>
          <w:sz w:val="18"/>
        </w:rPr>
        <w:t xml:space="preserve"> </w:t>
      </w:r>
      <w:r w:rsidRPr="00283806">
        <w:rPr>
          <w:w w:val="105"/>
          <w:sz w:val="18"/>
        </w:rPr>
        <w:t>leak</w:t>
      </w:r>
      <w:r w:rsidRPr="00283806">
        <w:rPr>
          <w:spacing w:val="7"/>
          <w:w w:val="105"/>
          <w:sz w:val="18"/>
        </w:rPr>
        <w:t xml:space="preserve"> </w:t>
      </w:r>
      <w:r w:rsidRPr="00283806">
        <w:rPr>
          <w:w w:val="105"/>
          <w:sz w:val="18"/>
        </w:rPr>
        <w:t>rates</w:t>
      </w:r>
      <w:r w:rsidRPr="00283806">
        <w:rPr>
          <w:spacing w:val="7"/>
          <w:w w:val="105"/>
          <w:sz w:val="18"/>
        </w:rPr>
        <w:t xml:space="preserve"> </w:t>
      </w:r>
      <w:r w:rsidRPr="00283806">
        <w:rPr>
          <w:w w:val="105"/>
          <w:sz w:val="18"/>
        </w:rPr>
        <w:t>for</w:t>
      </w:r>
      <w:r w:rsidRPr="00283806">
        <w:rPr>
          <w:spacing w:val="7"/>
          <w:w w:val="105"/>
          <w:sz w:val="18"/>
        </w:rPr>
        <w:t xml:space="preserve"> </w:t>
      </w:r>
      <w:r w:rsidRPr="00283806">
        <w:rPr>
          <w:w w:val="105"/>
          <w:sz w:val="18"/>
        </w:rPr>
        <w:t>all</w:t>
      </w:r>
      <w:r w:rsidRPr="00283806">
        <w:rPr>
          <w:spacing w:val="7"/>
          <w:w w:val="105"/>
          <w:sz w:val="18"/>
        </w:rPr>
        <w:t xml:space="preserve"> </w:t>
      </w:r>
      <w:proofErr w:type="gramStart"/>
      <w:r w:rsidRPr="00283806">
        <w:rPr>
          <w:spacing w:val="-2"/>
          <w:w w:val="105"/>
          <w:sz w:val="18"/>
        </w:rPr>
        <w:t>refrigerant</w:t>
      </w:r>
      <w:proofErr w:type="gramEnd"/>
      <w:r w:rsidRPr="00283806">
        <w:rPr>
          <w:spacing w:val="-2"/>
          <w:w w:val="105"/>
          <w:sz w:val="18"/>
        </w:rPr>
        <w:t>-</w:t>
      </w:r>
    </w:p>
    <w:p w14:paraId="57B599A6" w14:textId="77777777" w:rsidR="00D67C1E" w:rsidRPr="00283806" w:rsidRDefault="001265CA">
      <w:pPr>
        <w:pStyle w:val="BodyText"/>
        <w:spacing w:line="228" w:lineRule="auto"/>
        <w:ind w:left="144" w:right="182"/>
      </w:pPr>
      <w:r w:rsidRPr="00283806">
        <w:rPr>
          <w:w w:val="105"/>
        </w:rPr>
        <w:t>containing appliances at any operating facility for which the leak rate</w:t>
      </w:r>
      <w:r w:rsidRPr="00283806">
        <w:rPr>
          <w:spacing w:val="40"/>
          <w:w w:val="105"/>
        </w:rPr>
        <w:t xml:space="preserve"> </w:t>
      </w:r>
      <w:r w:rsidRPr="00283806">
        <w:rPr>
          <w:w w:val="105"/>
        </w:rPr>
        <w:t xml:space="preserve">calculation methodology would change, listing the results for each leak rate calculation methods (the annualizing method and the rolling average method) </w:t>
      </w:r>
      <w:r w:rsidRPr="00283806">
        <w:rPr>
          <w:spacing w:val="-2"/>
          <w:w w:val="105"/>
        </w:rPr>
        <w:t>separately;</w:t>
      </w:r>
    </w:p>
    <w:p w14:paraId="6CD45ECD" w14:textId="77777777" w:rsidR="00D67C1E" w:rsidRPr="00283806" w:rsidRDefault="001265CA">
      <w:pPr>
        <w:pStyle w:val="ListParagraph"/>
        <w:numPr>
          <w:ilvl w:val="2"/>
          <w:numId w:val="32"/>
        </w:numPr>
        <w:tabs>
          <w:tab w:val="left" w:pos="652"/>
        </w:tabs>
        <w:spacing w:line="184" w:lineRule="exact"/>
        <w:ind w:left="652" w:hanging="328"/>
        <w:rPr>
          <w:sz w:val="18"/>
        </w:rPr>
      </w:pPr>
      <w:r w:rsidRPr="00283806">
        <w:rPr>
          <w:w w:val="105"/>
          <w:sz w:val="18"/>
        </w:rPr>
        <w:t>The</w:t>
      </w:r>
      <w:r w:rsidRPr="00283806">
        <w:rPr>
          <w:spacing w:val="8"/>
          <w:w w:val="105"/>
          <w:sz w:val="18"/>
        </w:rPr>
        <w:t xml:space="preserve"> </w:t>
      </w:r>
      <w:proofErr w:type="gramStart"/>
      <w:r w:rsidRPr="00283806">
        <w:rPr>
          <w:w w:val="105"/>
          <w:sz w:val="18"/>
        </w:rPr>
        <w:t>date</w:t>
      </w:r>
      <w:proofErr w:type="gramEnd"/>
      <w:r w:rsidRPr="00283806">
        <w:rPr>
          <w:spacing w:val="9"/>
          <w:w w:val="105"/>
          <w:sz w:val="18"/>
        </w:rPr>
        <w:t xml:space="preserve"> </w:t>
      </w:r>
      <w:r w:rsidRPr="00283806">
        <w:rPr>
          <w:w w:val="105"/>
          <w:sz w:val="18"/>
        </w:rPr>
        <w:t>the</w:t>
      </w:r>
      <w:r w:rsidRPr="00283806">
        <w:rPr>
          <w:spacing w:val="9"/>
          <w:w w:val="105"/>
          <w:sz w:val="18"/>
        </w:rPr>
        <w:t xml:space="preserve"> </w:t>
      </w:r>
      <w:r w:rsidRPr="00283806">
        <w:rPr>
          <w:w w:val="105"/>
          <w:sz w:val="18"/>
        </w:rPr>
        <w:t>new</w:t>
      </w:r>
      <w:r w:rsidRPr="00283806">
        <w:rPr>
          <w:spacing w:val="9"/>
          <w:w w:val="105"/>
          <w:sz w:val="18"/>
        </w:rPr>
        <w:t xml:space="preserve"> </w:t>
      </w:r>
      <w:r w:rsidRPr="00283806">
        <w:rPr>
          <w:w w:val="105"/>
          <w:sz w:val="18"/>
        </w:rPr>
        <w:t>leak</w:t>
      </w:r>
      <w:r w:rsidRPr="00283806">
        <w:rPr>
          <w:spacing w:val="9"/>
          <w:w w:val="105"/>
          <w:sz w:val="18"/>
        </w:rPr>
        <w:t xml:space="preserve"> </w:t>
      </w:r>
      <w:r w:rsidRPr="00283806">
        <w:rPr>
          <w:spacing w:val="-4"/>
          <w:w w:val="105"/>
          <w:sz w:val="18"/>
        </w:rPr>
        <w:t>rate</w:t>
      </w:r>
    </w:p>
    <w:p w14:paraId="2A45D516" w14:textId="77777777" w:rsidR="00D67C1E" w:rsidRPr="00283806" w:rsidRDefault="001265CA">
      <w:pPr>
        <w:pStyle w:val="BodyText"/>
        <w:spacing w:line="195" w:lineRule="exact"/>
        <w:ind w:left="144"/>
      </w:pPr>
      <w:r w:rsidRPr="00283806">
        <w:rPr>
          <w:w w:val="105"/>
        </w:rPr>
        <w:t>calculation</w:t>
      </w:r>
      <w:r w:rsidRPr="00283806">
        <w:rPr>
          <w:spacing w:val="18"/>
          <w:w w:val="105"/>
        </w:rPr>
        <w:t xml:space="preserve"> </w:t>
      </w:r>
      <w:r w:rsidRPr="00283806">
        <w:rPr>
          <w:w w:val="105"/>
        </w:rPr>
        <w:t>method</w:t>
      </w:r>
      <w:r w:rsidRPr="00283806">
        <w:rPr>
          <w:spacing w:val="18"/>
          <w:w w:val="105"/>
        </w:rPr>
        <w:t xml:space="preserve"> </w:t>
      </w:r>
      <w:r w:rsidRPr="00283806">
        <w:rPr>
          <w:w w:val="105"/>
        </w:rPr>
        <w:t>is</w:t>
      </w:r>
      <w:r w:rsidRPr="00283806">
        <w:rPr>
          <w:spacing w:val="18"/>
          <w:w w:val="105"/>
        </w:rPr>
        <w:t xml:space="preserve"> </w:t>
      </w:r>
      <w:r w:rsidRPr="00283806">
        <w:rPr>
          <w:w w:val="105"/>
        </w:rPr>
        <w:t>adopted;</w:t>
      </w:r>
      <w:r w:rsidRPr="00283806">
        <w:rPr>
          <w:spacing w:val="18"/>
          <w:w w:val="105"/>
        </w:rPr>
        <w:t xml:space="preserve"> </w:t>
      </w:r>
      <w:r w:rsidRPr="00283806">
        <w:rPr>
          <w:spacing w:val="-5"/>
          <w:w w:val="105"/>
        </w:rPr>
        <w:t>and</w:t>
      </w:r>
    </w:p>
    <w:p w14:paraId="540C7526" w14:textId="77777777" w:rsidR="00D67C1E" w:rsidRPr="00283806" w:rsidRDefault="001265CA">
      <w:pPr>
        <w:pStyle w:val="ListParagraph"/>
        <w:numPr>
          <w:ilvl w:val="2"/>
          <w:numId w:val="32"/>
        </w:numPr>
        <w:tabs>
          <w:tab w:val="left" w:pos="592"/>
        </w:tabs>
        <w:spacing w:line="228" w:lineRule="auto"/>
        <w:ind w:left="144" w:right="273" w:firstLine="180"/>
        <w:jc w:val="both"/>
        <w:rPr>
          <w:sz w:val="18"/>
        </w:rPr>
      </w:pPr>
      <w:r w:rsidRPr="00283806">
        <w:rPr>
          <w:w w:val="105"/>
          <w:sz w:val="18"/>
        </w:rPr>
        <w:t>The leak rate calculation method the</w:t>
      </w:r>
      <w:r w:rsidRPr="00283806">
        <w:rPr>
          <w:spacing w:val="-2"/>
          <w:w w:val="105"/>
          <w:sz w:val="18"/>
        </w:rPr>
        <w:t xml:space="preserve"> </w:t>
      </w:r>
      <w:r w:rsidRPr="00283806">
        <w:rPr>
          <w:w w:val="105"/>
          <w:sz w:val="18"/>
        </w:rPr>
        <w:t>owner</w:t>
      </w:r>
      <w:r w:rsidRPr="00283806">
        <w:rPr>
          <w:spacing w:val="-2"/>
          <w:w w:val="105"/>
          <w:sz w:val="18"/>
        </w:rPr>
        <w:t xml:space="preserve"> </w:t>
      </w:r>
      <w:r w:rsidRPr="00283806">
        <w:rPr>
          <w:w w:val="105"/>
          <w:sz w:val="18"/>
        </w:rPr>
        <w:t>or</w:t>
      </w:r>
      <w:r w:rsidRPr="00283806">
        <w:rPr>
          <w:spacing w:val="-2"/>
          <w:w w:val="105"/>
          <w:sz w:val="18"/>
        </w:rPr>
        <w:t xml:space="preserve"> </w:t>
      </w:r>
      <w:r w:rsidRPr="00283806">
        <w:rPr>
          <w:w w:val="105"/>
          <w:sz w:val="18"/>
        </w:rPr>
        <w:t>operator</w:t>
      </w:r>
      <w:r w:rsidRPr="00283806">
        <w:rPr>
          <w:spacing w:val="-2"/>
          <w:w w:val="105"/>
          <w:sz w:val="18"/>
        </w:rPr>
        <w:t xml:space="preserve"> </w:t>
      </w:r>
      <w:r w:rsidRPr="00283806">
        <w:rPr>
          <w:w w:val="105"/>
          <w:sz w:val="18"/>
        </w:rPr>
        <w:t>is</w:t>
      </w:r>
      <w:r w:rsidRPr="00283806">
        <w:rPr>
          <w:spacing w:val="-2"/>
          <w:w w:val="105"/>
          <w:sz w:val="18"/>
        </w:rPr>
        <w:t xml:space="preserve"> </w:t>
      </w:r>
      <w:r w:rsidRPr="00283806">
        <w:rPr>
          <w:w w:val="105"/>
          <w:sz w:val="18"/>
        </w:rPr>
        <w:t>using</w:t>
      </w:r>
      <w:r w:rsidRPr="00283806">
        <w:rPr>
          <w:spacing w:val="-2"/>
          <w:w w:val="105"/>
          <w:sz w:val="18"/>
        </w:rPr>
        <w:t xml:space="preserve"> </w:t>
      </w:r>
      <w:r w:rsidRPr="00283806">
        <w:rPr>
          <w:w w:val="105"/>
          <w:sz w:val="18"/>
        </w:rPr>
        <w:t>after</w:t>
      </w:r>
      <w:r w:rsidRPr="00283806">
        <w:rPr>
          <w:spacing w:val="-2"/>
          <w:w w:val="105"/>
          <w:sz w:val="18"/>
        </w:rPr>
        <w:t xml:space="preserve"> </w:t>
      </w:r>
      <w:r w:rsidRPr="00283806">
        <w:rPr>
          <w:w w:val="105"/>
          <w:sz w:val="18"/>
        </w:rPr>
        <w:t xml:space="preserve">the </w:t>
      </w:r>
      <w:r w:rsidRPr="00283806">
        <w:rPr>
          <w:spacing w:val="-2"/>
          <w:w w:val="105"/>
          <w:sz w:val="18"/>
        </w:rPr>
        <w:t>change.</w:t>
      </w:r>
    </w:p>
    <w:p w14:paraId="7CF70991" w14:textId="77777777" w:rsidR="00D67C1E" w:rsidRPr="00283806" w:rsidRDefault="001265CA">
      <w:pPr>
        <w:pStyle w:val="ListParagraph"/>
        <w:numPr>
          <w:ilvl w:val="1"/>
          <w:numId w:val="32"/>
        </w:numPr>
        <w:tabs>
          <w:tab w:val="left" w:pos="592"/>
        </w:tabs>
        <w:spacing w:line="186" w:lineRule="exact"/>
        <w:ind w:left="592" w:hanging="268"/>
        <w:jc w:val="both"/>
        <w:rPr>
          <w:sz w:val="18"/>
        </w:rPr>
      </w:pPr>
      <w:r w:rsidRPr="00283806">
        <w:rPr>
          <w:w w:val="105"/>
          <w:sz w:val="18"/>
        </w:rPr>
        <w:t>If</w:t>
      </w:r>
      <w:r w:rsidRPr="00283806">
        <w:rPr>
          <w:spacing w:val="18"/>
          <w:w w:val="105"/>
          <w:sz w:val="18"/>
        </w:rPr>
        <w:t xml:space="preserve"> </w:t>
      </w:r>
      <w:r w:rsidRPr="00283806">
        <w:rPr>
          <w:w w:val="105"/>
          <w:sz w:val="18"/>
        </w:rPr>
        <w:t>the</w:t>
      </w:r>
      <w:r w:rsidRPr="00283806">
        <w:rPr>
          <w:spacing w:val="19"/>
          <w:w w:val="105"/>
          <w:sz w:val="18"/>
        </w:rPr>
        <w:t xml:space="preserve"> </w:t>
      </w:r>
      <w:r w:rsidRPr="00283806">
        <w:rPr>
          <w:w w:val="105"/>
          <w:sz w:val="18"/>
        </w:rPr>
        <w:t>installation,</w:t>
      </w:r>
      <w:r w:rsidRPr="00283806">
        <w:rPr>
          <w:spacing w:val="18"/>
          <w:w w:val="105"/>
          <w:sz w:val="18"/>
        </w:rPr>
        <w:t xml:space="preserve"> </w:t>
      </w:r>
      <w:r w:rsidRPr="00283806">
        <w:rPr>
          <w:w w:val="105"/>
          <w:sz w:val="18"/>
        </w:rPr>
        <w:t>service,</w:t>
      </w:r>
      <w:r w:rsidRPr="00283806">
        <w:rPr>
          <w:spacing w:val="19"/>
          <w:w w:val="105"/>
          <w:sz w:val="18"/>
        </w:rPr>
        <w:t xml:space="preserve"> </w:t>
      </w:r>
      <w:r w:rsidRPr="00283806">
        <w:rPr>
          <w:spacing w:val="-2"/>
          <w:w w:val="105"/>
          <w:sz w:val="18"/>
        </w:rPr>
        <w:t>repair,</w:t>
      </w:r>
    </w:p>
    <w:p w14:paraId="2C370CEB" w14:textId="77777777" w:rsidR="00D67C1E" w:rsidRPr="00283806" w:rsidRDefault="001265CA">
      <w:pPr>
        <w:pStyle w:val="BodyText"/>
        <w:spacing w:line="228" w:lineRule="auto"/>
        <w:ind w:left="144" w:right="142"/>
      </w:pPr>
      <w:r w:rsidRPr="00283806">
        <w:rPr>
          <w:w w:val="105"/>
        </w:rPr>
        <w:t xml:space="preserve">or disposal is done by someone other than the owner or operator, that person must provide a record containing the information specified in paragraph </w:t>
      </w:r>
      <w:r w:rsidRPr="00283806">
        <w:rPr>
          <w:spacing w:val="-2"/>
          <w:w w:val="105"/>
        </w:rPr>
        <w:t>(l)(2)(i) through (l)(2)(vi) of this section,</w:t>
      </w:r>
      <w:r w:rsidRPr="00283806">
        <w:rPr>
          <w:w w:val="105"/>
        </w:rPr>
        <w:t xml:space="preserve"> when applicable, to the owner or </w:t>
      </w:r>
      <w:r w:rsidRPr="00283806">
        <w:rPr>
          <w:spacing w:val="-2"/>
          <w:w w:val="105"/>
        </w:rPr>
        <w:t>operator.</w:t>
      </w:r>
    </w:p>
    <w:p w14:paraId="56F755FB" w14:textId="77777777" w:rsidR="00D67C1E" w:rsidRPr="00283806" w:rsidRDefault="001265CA">
      <w:pPr>
        <w:pStyle w:val="ListParagraph"/>
        <w:numPr>
          <w:ilvl w:val="1"/>
          <w:numId w:val="32"/>
        </w:numPr>
        <w:tabs>
          <w:tab w:val="left" w:pos="592"/>
        </w:tabs>
        <w:spacing w:line="184" w:lineRule="exact"/>
        <w:ind w:left="592" w:hanging="268"/>
        <w:rPr>
          <w:sz w:val="18"/>
        </w:rPr>
      </w:pPr>
      <w:r w:rsidRPr="00283806">
        <w:rPr>
          <w:w w:val="105"/>
          <w:sz w:val="18"/>
        </w:rPr>
        <w:t>Owners</w:t>
      </w:r>
      <w:r w:rsidRPr="00283806">
        <w:rPr>
          <w:spacing w:val="2"/>
          <w:w w:val="105"/>
          <w:sz w:val="18"/>
        </w:rPr>
        <w:t xml:space="preserve"> </w:t>
      </w:r>
      <w:r w:rsidRPr="00283806">
        <w:rPr>
          <w:w w:val="105"/>
          <w:sz w:val="18"/>
        </w:rPr>
        <w:t>or</w:t>
      </w:r>
      <w:r w:rsidRPr="00283806">
        <w:rPr>
          <w:spacing w:val="2"/>
          <w:w w:val="105"/>
          <w:sz w:val="18"/>
        </w:rPr>
        <w:t xml:space="preserve"> </w:t>
      </w:r>
      <w:r w:rsidRPr="00283806">
        <w:rPr>
          <w:w w:val="105"/>
          <w:sz w:val="18"/>
        </w:rPr>
        <w:t>operators</w:t>
      </w:r>
      <w:r w:rsidRPr="00283806">
        <w:rPr>
          <w:spacing w:val="2"/>
          <w:w w:val="105"/>
          <w:sz w:val="18"/>
        </w:rPr>
        <w:t xml:space="preserve"> </w:t>
      </w:r>
      <w:r w:rsidRPr="00283806">
        <w:rPr>
          <w:w w:val="105"/>
          <w:sz w:val="18"/>
        </w:rPr>
        <w:t>must</w:t>
      </w:r>
      <w:r w:rsidRPr="00283806">
        <w:rPr>
          <w:spacing w:val="2"/>
          <w:w w:val="105"/>
          <w:sz w:val="18"/>
        </w:rPr>
        <w:t xml:space="preserve"> </w:t>
      </w:r>
      <w:r w:rsidRPr="00283806">
        <w:rPr>
          <w:spacing w:val="-4"/>
          <w:w w:val="105"/>
          <w:sz w:val="18"/>
        </w:rPr>
        <w:t>keep</w:t>
      </w:r>
    </w:p>
    <w:p w14:paraId="69AA6A61" w14:textId="77777777" w:rsidR="00D67C1E" w:rsidRPr="00283806" w:rsidRDefault="001265CA">
      <w:pPr>
        <w:pStyle w:val="BodyText"/>
        <w:spacing w:line="228" w:lineRule="auto"/>
        <w:ind w:left="144" w:right="254"/>
      </w:pPr>
      <w:r w:rsidRPr="00283806">
        <w:rPr>
          <w:w w:val="105"/>
        </w:rPr>
        <w:t>records of leak inspections that include the date of inspection, the method(s) used to conduct the leak inspection, a</w:t>
      </w:r>
      <w:r w:rsidRPr="00283806">
        <w:rPr>
          <w:spacing w:val="40"/>
          <w:w w:val="105"/>
        </w:rPr>
        <w:t xml:space="preserve"> </w:t>
      </w:r>
      <w:r w:rsidRPr="00283806">
        <w:rPr>
          <w:w w:val="105"/>
        </w:rPr>
        <w:t>list of the location of each leak that was identified, and a certification that all</w:t>
      </w:r>
    </w:p>
    <w:p w14:paraId="49BFF02B"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486" w:space="54"/>
            <w:col w:w="3516" w:space="40"/>
            <w:col w:w="3624"/>
          </w:cols>
        </w:sectPr>
      </w:pPr>
    </w:p>
    <w:p w14:paraId="636D6ECC" w14:textId="77777777" w:rsidR="00D67C1E" w:rsidRPr="00283806" w:rsidRDefault="001265CA">
      <w:pPr>
        <w:pStyle w:val="BodyText"/>
        <w:spacing w:before="134" w:line="228" w:lineRule="auto"/>
        <w:ind w:right="16"/>
      </w:pPr>
      <w:r w:rsidRPr="00283806">
        <w:rPr>
          <w:w w:val="105"/>
        </w:rPr>
        <w:lastRenderedPageBreak/>
        <w:t xml:space="preserve">visible and accessible parts of the refrigerant-containing appliance were inspected. The certified technicians conducting the leak inspections must, upon </w:t>
      </w:r>
      <w:proofErr w:type="gramStart"/>
      <w:r w:rsidRPr="00283806">
        <w:rPr>
          <w:w w:val="105"/>
        </w:rPr>
        <w:t>conclusion</w:t>
      </w:r>
      <w:proofErr w:type="gramEnd"/>
      <w:r w:rsidRPr="00283806">
        <w:rPr>
          <w:w w:val="105"/>
        </w:rPr>
        <w:t xml:space="preserve"> of that service, provide the owner or operator of the refrigerant- containing appliance with</w:t>
      </w:r>
      <w:r w:rsidRPr="00283806">
        <w:rPr>
          <w:spacing w:val="40"/>
          <w:w w:val="105"/>
        </w:rPr>
        <w:t xml:space="preserve"> </w:t>
      </w:r>
      <w:r w:rsidRPr="00283806">
        <w:rPr>
          <w:w w:val="105"/>
        </w:rPr>
        <w:t xml:space="preserve">documentation that meets these </w:t>
      </w:r>
      <w:r w:rsidRPr="00283806">
        <w:rPr>
          <w:spacing w:val="-2"/>
          <w:w w:val="105"/>
        </w:rPr>
        <w:t>requirements.</w:t>
      </w:r>
    </w:p>
    <w:p w14:paraId="78406564" w14:textId="77777777" w:rsidR="00D67C1E" w:rsidRPr="00283806" w:rsidRDefault="001265CA">
      <w:pPr>
        <w:pStyle w:val="ListParagraph"/>
        <w:numPr>
          <w:ilvl w:val="1"/>
          <w:numId w:val="32"/>
        </w:numPr>
        <w:tabs>
          <w:tab w:val="left" w:pos="608"/>
        </w:tabs>
        <w:spacing w:before="4" w:line="228" w:lineRule="auto"/>
        <w:ind w:left="160" w:right="58" w:firstLine="180"/>
        <w:rPr>
          <w:sz w:val="18"/>
        </w:rPr>
      </w:pPr>
      <w:r w:rsidRPr="00283806">
        <w:rPr>
          <w:w w:val="105"/>
          <w:sz w:val="18"/>
        </w:rPr>
        <w:t>If using an automatic leak</w:t>
      </w:r>
      <w:r w:rsidRPr="00283806">
        <w:rPr>
          <w:spacing w:val="40"/>
          <w:w w:val="105"/>
          <w:sz w:val="18"/>
        </w:rPr>
        <w:t xml:space="preserve"> </w:t>
      </w:r>
      <w:r w:rsidRPr="00283806">
        <w:rPr>
          <w:w w:val="105"/>
          <w:sz w:val="18"/>
        </w:rPr>
        <w:t xml:space="preserve">detection system, the owner or operator must maintain records regarding the installation and the annual audit and calibration of the system, a record of each date the monitoring system identified a leak, and the location of the </w:t>
      </w:r>
      <w:r w:rsidRPr="00283806">
        <w:rPr>
          <w:spacing w:val="-2"/>
          <w:w w:val="105"/>
          <w:sz w:val="18"/>
        </w:rPr>
        <w:t>leak.</w:t>
      </w:r>
    </w:p>
    <w:p w14:paraId="597EB300" w14:textId="77777777" w:rsidR="00D67C1E" w:rsidRPr="00283806" w:rsidRDefault="001265CA">
      <w:pPr>
        <w:pStyle w:val="ListParagraph"/>
        <w:numPr>
          <w:ilvl w:val="1"/>
          <w:numId w:val="32"/>
        </w:numPr>
        <w:tabs>
          <w:tab w:val="left" w:pos="608"/>
        </w:tabs>
        <w:spacing w:before="4" w:line="228" w:lineRule="auto"/>
        <w:ind w:left="160" w:firstLine="180"/>
        <w:rPr>
          <w:sz w:val="18"/>
        </w:rPr>
      </w:pPr>
      <w:r w:rsidRPr="00283806">
        <w:rPr>
          <w:w w:val="105"/>
          <w:sz w:val="18"/>
        </w:rPr>
        <w:t>Owners or operators must</w:t>
      </w:r>
      <w:r w:rsidRPr="00283806">
        <w:rPr>
          <w:spacing w:val="80"/>
          <w:w w:val="105"/>
          <w:sz w:val="18"/>
        </w:rPr>
        <w:t xml:space="preserve"> </w:t>
      </w:r>
      <w:r w:rsidRPr="00283806">
        <w:rPr>
          <w:w w:val="105"/>
          <w:sz w:val="18"/>
        </w:rPr>
        <w:t>maintain records of the dates and results of all initial and follow-up verification tests. Records must include the location of the refrigerant-containing appliance, the date(s) of the verification tests, the location(s) of all repaired leaks that</w:t>
      </w:r>
      <w:r w:rsidRPr="00283806">
        <w:rPr>
          <w:spacing w:val="80"/>
          <w:w w:val="105"/>
          <w:sz w:val="18"/>
        </w:rPr>
        <w:t xml:space="preserve"> </w:t>
      </w:r>
      <w:r w:rsidRPr="00283806">
        <w:rPr>
          <w:w w:val="105"/>
          <w:sz w:val="18"/>
        </w:rPr>
        <w:t>were tested, the type(s) of verification test(s) used, and the results of those</w:t>
      </w:r>
      <w:r w:rsidRPr="00283806">
        <w:rPr>
          <w:spacing w:val="40"/>
          <w:w w:val="105"/>
          <w:sz w:val="18"/>
        </w:rPr>
        <w:t xml:space="preserve"> </w:t>
      </w:r>
      <w:r w:rsidRPr="00283806">
        <w:rPr>
          <w:w w:val="105"/>
          <w:sz w:val="18"/>
        </w:rPr>
        <w:t>tests. The certified technicians</w:t>
      </w:r>
      <w:r w:rsidRPr="00283806">
        <w:rPr>
          <w:spacing w:val="40"/>
          <w:w w:val="105"/>
          <w:sz w:val="18"/>
        </w:rPr>
        <w:t xml:space="preserve"> </w:t>
      </w:r>
      <w:r w:rsidRPr="00283806">
        <w:rPr>
          <w:w w:val="105"/>
          <w:sz w:val="18"/>
        </w:rPr>
        <w:t xml:space="preserve">conducting the initial or follow-up verification tests must, upon conclusion of that service, provide the owner or operator of the appliance with documentation that meets these </w:t>
      </w:r>
      <w:r w:rsidRPr="00283806">
        <w:rPr>
          <w:spacing w:val="-2"/>
          <w:w w:val="105"/>
          <w:sz w:val="18"/>
        </w:rPr>
        <w:t>requirements.</w:t>
      </w:r>
    </w:p>
    <w:p w14:paraId="6CA5E2A3" w14:textId="77777777" w:rsidR="00D67C1E" w:rsidRPr="00283806" w:rsidRDefault="001265CA">
      <w:pPr>
        <w:pStyle w:val="ListParagraph"/>
        <w:numPr>
          <w:ilvl w:val="1"/>
          <w:numId w:val="32"/>
        </w:numPr>
        <w:tabs>
          <w:tab w:val="left" w:pos="608"/>
        </w:tabs>
        <w:spacing w:line="228" w:lineRule="auto"/>
        <w:ind w:left="160" w:right="366" w:firstLine="180"/>
        <w:rPr>
          <w:sz w:val="18"/>
        </w:rPr>
      </w:pPr>
      <w:r w:rsidRPr="00283806">
        <w:rPr>
          <w:w w:val="105"/>
          <w:sz w:val="18"/>
        </w:rPr>
        <w:t>Owners or operators must maintain</w:t>
      </w:r>
      <w:r w:rsidRPr="00283806">
        <w:rPr>
          <w:spacing w:val="-4"/>
          <w:w w:val="105"/>
          <w:sz w:val="18"/>
        </w:rPr>
        <w:t xml:space="preserve"> </w:t>
      </w:r>
      <w:proofErr w:type="gramStart"/>
      <w:r w:rsidRPr="00283806">
        <w:rPr>
          <w:w w:val="105"/>
          <w:sz w:val="18"/>
        </w:rPr>
        <w:t>retrofit</w:t>
      </w:r>
      <w:proofErr w:type="gramEnd"/>
      <w:r w:rsidRPr="00283806">
        <w:rPr>
          <w:spacing w:val="-4"/>
          <w:w w:val="105"/>
          <w:sz w:val="18"/>
        </w:rPr>
        <w:t xml:space="preserve"> </w:t>
      </w:r>
      <w:r w:rsidRPr="00283806">
        <w:rPr>
          <w:w w:val="105"/>
          <w:sz w:val="18"/>
        </w:rPr>
        <w:t>or</w:t>
      </w:r>
      <w:r w:rsidRPr="00283806">
        <w:rPr>
          <w:spacing w:val="-4"/>
          <w:w w:val="105"/>
          <w:sz w:val="18"/>
        </w:rPr>
        <w:t xml:space="preserve"> </w:t>
      </w:r>
      <w:r w:rsidRPr="00283806">
        <w:rPr>
          <w:w w:val="105"/>
          <w:sz w:val="18"/>
        </w:rPr>
        <w:t>retirement</w:t>
      </w:r>
      <w:r w:rsidRPr="00283806">
        <w:rPr>
          <w:spacing w:val="-4"/>
          <w:w w:val="105"/>
          <w:sz w:val="18"/>
        </w:rPr>
        <w:t xml:space="preserve"> </w:t>
      </w:r>
      <w:r w:rsidRPr="00283806">
        <w:rPr>
          <w:w w:val="105"/>
          <w:sz w:val="18"/>
        </w:rPr>
        <w:t>plans developed in accordance with paragraph (h) of this section.</w:t>
      </w:r>
    </w:p>
    <w:p w14:paraId="32F466AD" w14:textId="77777777" w:rsidR="00D67C1E" w:rsidRPr="00283806" w:rsidRDefault="001265CA">
      <w:pPr>
        <w:pStyle w:val="ListParagraph"/>
        <w:numPr>
          <w:ilvl w:val="1"/>
          <w:numId w:val="32"/>
        </w:numPr>
        <w:tabs>
          <w:tab w:val="left" w:pos="608"/>
        </w:tabs>
        <w:spacing w:before="2" w:line="228" w:lineRule="auto"/>
        <w:ind w:left="160" w:right="107" w:firstLine="180"/>
        <w:rPr>
          <w:sz w:val="18"/>
        </w:rPr>
      </w:pPr>
      <w:r w:rsidRPr="00283806">
        <w:rPr>
          <w:w w:val="105"/>
          <w:sz w:val="18"/>
        </w:rPr>
        <w:t xml:space="preserve">Owners or operators must maintain retrofit and/or retirement extension requests submitted to EPA in accordance with paragraph (i) of this </w:t>
      </w:r>
      <w:r w:rsidRPr="00283806">
        <w:rPr>
          <w:spacing w:val="-2"/>
          <w:w w:val="105"/>
          <w:sz w:val="18"/>
        </w:rPr>
        <w:t>section.</w:t>
      </w:r>
    </w:p>
    <w:p w14:paraId="6513BE35" w14:textId="77777777" w:rsidR="00D67C1E" w:rsidRPr="00283806" w:rsidRDefault="001265CA">
      <w:pPr>
        <w:pStyle w:val="ListParagraph"/>
        <w:numPr>
          <w:ilvl w:val="1"/>
          <w:numId w:val="32"/>
        </w:numPr>
        <w:tabs>
          <w:tab w:val="left" w:pos="708"/>
        </w:tabs>
        <w:spacing w:before="3" w:line="228" w:lineRule="auto"/>
        <w:ind w:left="160" w:right="16" w:firstLine="180"/>
        <w:rPr>
          <w:sz w:val="18"/>
        </w:rPr>
      </w:pPr>
      <w:r w:rsidRPr="00283806">
        <w:rPr>
          <w:w w:val="105"/>
          <w:sz w:val="18"/>
        </w:rPr>
        <w:t>Owners</w:t>
      </w:r>
      <w:r w:rsidRPr="00283806">
        <w:rPr>
          <w:spacing w:val="-3"/>
          <w:w w:val="105"/>
          <w:sz w:val="18"/>
        </w:rPr>
        <w:t xml:space="preserve"> </w:t>
      </w:r>
      <w:r w:rsidRPr="00283806">
        <w:rPr>
          <w:w w:val="105"/>
          <w:sz w:val="18"/>
        </w:rPr>
        <w:t>or</w:t>
      </w:r>
      <w:r w:rsidRPr="00283806">
        <w:rPr>
          <w:spacing w:val="-3"/>
          <w:w w:val="105"/>
          <w:sz w:val="18"/>
        </w:rPr>
        <w:t xml:space="preserve"> </w:t>
      </w:r>
      <w:r w:rsidRPr="00283806">
        <w:rPr>
          <w:w w:val="105"/>
          <w:sz w:val="18"/>
        </w:rPr>
        <w:t>operators</w:t>
      </w:r>
      <w:r w:rsidRPr="00283806">
        <w:rPr>
          <w:spacing w:val="-3"/>
          <w:w w:val="105"/>
          <w:sz w:val="18"/>
        </w:rPr>
        <w:t xml:space="preserve"> </w:t>
      </w:r>
      <w:r w:rsidRPr="00283806">
        <w:rPr>
          <w:w w:val="105"/>
          <w:sz w:val="18"/>
        </w:rPr>
        <w:t>that</w:t>
      </w:r>
      <w:r w:rsidRPr="00283806">
        <w:rPr>
          <w:spacing w:val="-3"/>
          <w:w w:val="105"/>
          <w:sz w:val="18"/>
        </w:rPr>
        <w:t xml:space="preserve"> </w:t>
      </w:r>
      <w:r w:rsidRPr="00283806">
        <w:rPr>
          <w:w w:val="105"/>
          <w:sz w:val="18"/>
        </w:rPr>
        <w:t>suspend the deadlines in this section by mothballing a refrigerant-containing appliance must keep records documenting when the appliance was mothballed and when additional refrigerant was added to the appliance (or isolated component).</w:t>
      </w:r>
    </w:p>
    <w:p w14:paraId="4174DC68" w14:textId="77777777" w:rsidR="00D67C1E" w:rsidRPr="00283806" w:rsidRDefault="001265CA">
      <w:pPr>
        <w:pStyle w:val="ListParagraph"/>
        <w:numPr>
          <w:ilvl w:val="1"/>
          <w:numId w:val="32"/>
        </w:numPr>
        <w:tabs>
          <w:tab w:val="left" w:pos="708"/>
        </w:tabs>
        <w:spacing w:before="2" w:line="228" w:lineRule="auto"/>
        <w:ind w:left="160" w:right="16" w:firstLine="180"/>
        <w:rPr>
          <w:sz w:val="18"/>
        </w:rPr>
      </w:pPr>
      <w:r w:rsidRPr="00283806">
        <w:rPr>
          <w:w w:val="105"/>
          <w:sz w:val="18"/>
        </w:rPr>
        <w:t>Owners or operators who exclude purged refrigerants that are destroyed from annual leak rate calculations must maintain records to support the amount of refrigerant claimed as sent for destruction. Records must be based on</w:t>
      </w:r>
    </w:p>
    <w:p w14:paraId="3B3863DD" w14:textId="77777777" w:rsidR="00D67C1E" w:rsidRPr="00283806" w:rsidRDefault="001265CA">
      <w:pPr>
        <w:pStyle w:val="BodyText"/>
        <w:spacing w:line="228" w:lineRule="auto"/>
        <w:ind w:right="128"/>
      </w:pPr>
      <w:r w:rsidRPr="00283806">
        <w:rPr>
          <w:w w:val="105"/>
        </w:rPr>
        <w:t xml:space="preserve">a monitoring strategy that provides reliable data to demonstrate that the amount of refrigerant claimed to have been destroyed is not greater than the amount of refrigerant </w:t>
      </w:r>
      <w:proofErr w:type="gramStart"/>
      <w:r w:rsidRPr="00283806">
        <w:rPr>
          <w:w w:val="105"/>
        </w:rPr>
        <w:t>actually purged</w:t>
      </w:r>
      <w:proofErr w:type="gramEnd"/>
      <w:r w:rsidRPr="00283806">
        <w:rPr>
          <w:w w:val="105"/>
        </w:rPr>
        <w:t xml:space="preserve"> and destroyed and that the 98 percent or greater destruction efficiency is met. Records must include flow rate,</w:t>
      </w:r>
      <w:r w:rsidRPr="00283806">
        <w:rPr>
          <w:spacing w:val="40"/>
          <w:w w:val="105"/>
        </w:rPr>
        <w:t xml:space="preserve"> </w:t>
      </w:r>
      <w:r w:rsidRPr="00283806">
        <w:rPr>
          <w:w w:val="105"/>
        </w:rPr>
        <w:t xml:space="preserve">quantity or concentration of the refrigerant in the vent stream, and periods of purge flow. Records must </w:t>
      </w:r>
      <w:r w:rsidRPr="00283806">
        <w:rPr>
          <w:spacing w:val="-2"/>
          <w:w w:val="105"/>
        </w:rPr>
        <w:t>include:</w:t>
      </w:r>
    </w:p>
    <w:p w14:paraId="7D5BE634" w14:textId="77777777" w:rsidR="00D67C1E" w:rsidRPr="00283806" w:rsidRDefault="001265CA">
      <w:pPr>
        <w:pStyle w:val="ListParagraph"/>
        <w:numPr>
          <w:ilvl w:val="2"/>
          <w:numId w:val="32"/>
        </w:numPr>
        <w:tabs>
          <w:tab w:val="left" w:pos="553"/>
        </w:tabs>
        <w:spacing w:before="133" w:line="228" w:lineRule="auto"/>
        <w:ind w:left="145" w:right="307" w:firstLine="180"/>
        <w:rPr>
          <w:sz w:val="18"/>
        </w:rPr>
      </w:pPr>
      <w:r w:rsidRPr="00283806">
        <w:br w:type="column"/>
      </w:r>
      <w:r w:rsidRPr="00283806">
        <w:rPr>
          <w:w w:val="105"/>
          <w:sz w:val="18"/>
        </w:rPr>
        <w:t xml:space="preserve">The identification of the facility and </w:t>
      </w:r>
      <w:proofErr w:type="gramStart"/>
      <w:r w:rsidRPr="00283806">
        <w:rPr>
          <w:w w:val="105"/>
          <w:sz w:val="18"/>
        </w:rPr>
        <w:t>a contact</w:t>
      </w:r>
      <w:proofErr w:type="gramEnd"/>
      <w:r w:rsidRPr="00283806">
        <w:rPr>
          <w:w w:val="105"/>
          <w:sz w:val="18"/>
        </w:rPr>
        <w:t xml:space="preserve"> person, including the address and telephone </w:t>
      </w:r>
      <w:proofErr w:type="gramStart"/>
      <w:r w:rsidRPr="00283806">
        <w:rPr>
          <w:w w:val="105"/>
          <w:sz w:val="18"/>
        </w:rPr>
        <w:t>number;</w:t>
      </w:r>
      <w:proofErr w:type="gramEnd"/>
    </w:p>
    <w:p w14:paraId="499B5FB0" w14:textId="77777777" w:rsidR="00D67C1E" w:rsidRPr="00283806" w:rsidRDefault="001265CA">
      <w:pPr>
        <w:pStyle w:val="ListParagraph"/>
        <w:numPr>
          <w:ilvl w:val="2"/>
          <w:numId w:val="32"/>
        </w:numPr>
        <w:tabs>
          <w:tab w:val="left" w:pos="613"/>
        </w:tabs>
        <w:spacing w:before="2" w:line="228" w:lineRule="auto"/>
        <w:ind w:left="145" w:right="115" w:firstLine="180"/>
        <w:rPr>
          <w:sz w:val="18"/>
        </w:rPr>
      </w:pPr>
      <w:r w:rsidRPr="00283806">
        <w:rPr>
          <w:w w:val="105"/>
          <w:sz w:val="18"/>
        </w:rPr>
        <w:t>A description of the refrigerant- containing appliance, focusing on aspects relevant to the purging of refrigerant</w:t>
      </w:r>
      <w:r w:rsidRPr="00283806">
        <w:rPr>
          <w:spacing w:val="-3"/>
          <w:w w:val="105"/>
          <w:sz w:val="18"/>
        </w:rPr>
        <w:t xml:space="preserve"> </w:t>
      </w:r>
      <w:r w:rsidRPr="00283806">
        <w:rPr>
          <w:w w:val="105"/>
          <w:sz w:val="18"/>
        </w:rPr>
        <w:t>and</w:t>
      </w:r>
      <w:r w:rsidRPr="00283806">
        <w:rPr>
          <w:spacing w:val="-2"/>
          <w:w w:val="105"/>
          <w:sz w:val="18"/>
        </w:rPr>
        <w:t xml:space="preserve"> </w:t>
      </w:r>
      <w:r w:rsidRPr="00283806">
        <w:rPr>
          <w:w w:val="105"/>
          <w:sz w:val="18"/>
        </w:rPr>
        <w:t>subsequent</w:t>
      </w:r>
      <w:r w:rsidRPr="00283806">
        <w:rPr>
          <w:spacing w:val="-3"/>
          <w:w w:val="105"/>
          <w:sz w:val="18"/>
        </w:rPr>
        <w:t xml:space="preserve"> </w:t>
      </w:r>
      <w:r w:rsidRPr="00283806">
        <w:rPr>
          <w:spacing w:val="-2"/>
          <w:w w:val="105"/>
          <w:sz w:val="18"/>
        </w:rPr>
        <w:t>destruction;</w:t>
      </w:r>
    </w:p>
    <w:p w14:paraId="68B2B415" w14:textId="77777777" w:rsidR="00D67C1E" w:rsidRPr="00283806" w:rsidRDefault="001265CA">
      <w:pPr>
        <w:pStyle w:val="ListParagraph"/>
        <w:numPr>
          <w:ilvl w:val="2"/>
          <w:numId w:val="32"/>
        </w:numPr>
        <w:tabs>
          <w:tab w:val="left" w:pos="673"/>
        </w:tabs>
        <w:spacing w:before="2" w:line="228" w:lineRule="auto"/>
        <w:ind w:left="145" w:right="67" w:firstLine="180"/>
        <w:rPr>
          <w:sz w:val="18"/>
        </w:rPr>
      </w:pPr>
      <w:r w:rsidRPr="00283806">
        <w:rPr>
          <w:w w:val="105"/>
          <w:sz w:val="18"/>
        </w:rPr>
        <w:t>A description of the methods</w:t>
      </w:r>
      <w:r w:rsidRPr="00283806">
        <w:rPr>
          <w:spacing w:val="80"/>
          <w:w w:val="105"/>
          <w:sz w:val="18"/>
        </w:rPr>
        <w:t xml:space="preserve"> </w:t>
      </w:r>
      <w:r w:rsidRPr="00283806">
        <w:rPr>
          <w:w w:val="105"/>
          <w:sz w:val="18"/>
        </w:rPr>
        <w:t>used to determine the quantity of refrigerant</w:t>
      </w:r>
      <w:r w:rsidRPr="00283806">
        <w:rPr>
          <w:spacing w:val="-3"/>
          <w:w w:val="105"/>
          <w:sz w:val="18"/>
        </w:rPr>
        <w:t xml:space="preserve"> </w:t>
      </w:r>
      <w:r w:rsidRPr="00283806">
        <w:rPr>
          <w:w w:val="105"/>
          <w:sz w:val="18"/>
        </w:rPr>
        <w:t>sent</w:t>
      </w:r>
      <w:r w:rsidRPr="00283806">
        <w:rPr>
          <w:spacing w:val="-3"/>
          <w:w w:val="105"/>
          <w:sz w:val="18"/>
        </w:rPr>
        <w:t xml:space="preserve"> </w:t>
      </w:r>
      <w:r w:rsidRPr="00283806">
        <w:rPr>
          <w:w w:val="105"/>
          <w:sz w:val="18"/>
        </w:rPr>
        <w:t>for</w:t>
      </w:r>
      <w:r w:rsidRPr="00283806">
        <w:rPr>
          <w:spacing w:val="-3"/>
          <w:w w:val="105"/>
          <w:sz w:val="18"/>
        </w:rPr>
        <w:t xml:space="preserve"> </w:t>
      </w:r>
      <w:r w:rsidRPr="00283806">
        <w:rPr>
          <w:w w:val="105"/>
          <w:sz w:val="18"/>
        </w:rPr>
        <w:t>destruction</w:t>
      </w:r>
      <w:r w:rsidRPr="00283806">
        <w:rPr>
          <w:spacing w:val="-3"/>
          <w:w w:val="105"/>
          <w:sz w:val="18"/>
        </w:rPr>
        <w:t xml:space="preserve"> </w:t>
      </w:r>
      <w:r w:rsidRPr="00283806">
        <w:rPr>
          <w:w w:val="105"/>
          <w:sz w:val="18"/>
        </w:rPr>
        <w:t>and</w:t>
      </w:r>
      <w:r w:rsidRPr="00283806">
        <w:rPr>
          <w:spacing w:val="-3"/>
          <w:w w:val="105"/>
          <w:sz w:val="18"/>
        </w:rPr>
        <w:t xml:space="preserve"> </w:t>
      </w:r>
      <w:r w:rsidRPr="00283806">
        <w:rPr>
          <w:w w:val="105"/>
          <w:sz w:val="18"/>
        </w:rPr>
        <w:t>type of records that are being kept by the owners or operators where the appliance is located;</w:t>
      </w:r>
    </w:p>
    <w:p w14:paraId="2AB37EF8" w14:textId="77777777" w:rsidR="00D67C1E" w:rsidRPr="00283806" w:rsidRDefault="001265CA">
      <w:pPr>
        <w:pStyle w:val="ListParagraph"/>
        <w:numPr>
          <w:ilvl w:val="2"/>
          <w:numId w:val="32"/>
        </w:numPr>
        <w:tabs>
          <w:tab w:val="left" w:pos="653"/>
        </w:tabs>
        <w:spacing w:before="1" w:line="228" w:lineRule="auto"/>
        <w:ind w:left="145" w:right="116" w:firstLine="180"/>
        <w:rPr>
          <w:sz w:val="18"/>
        </w:rPr>
      </w:pPr>
      <w:r w:rsidRPr="00283806">
        <w:rPr>
          <w:w w:val="105"/>
          <w:sz w:val="18"/>
        </w:rPr>
        <w:t>The frequency of monitoring and data-recording; and</w:t>
      </w:r>
    </w:p>
    <w:p w14:paraId="431AB4CE" w14:textId="77777777" w:rsidR="00D67C1E" w:rsidRPr="00283806" w:rsidRDefault="001265CA">
      <w:pPr>
        <w:pStyle w:val="ListParagraph"/>
        <w:numPr>
          <w:ilvl w:val="2"/>
          <w:numId w:val="32"/>
        </w:numPr>
        <w:tabs>
          <w:tab w:val="left" w:pos="593"/>
        </w:tabs>
        <w:spacing w:before="3" w:line="228" w:lineRule="auto"/>
        <w:ind w:left="145" w:right="256" w:firstLine="180"/>
        <w:rPr>
          <w:sz w:val="18"/>
        </w:rPr>
      </w:pPr>
      <w:r w:rsidRPr="00283806">
        <w:rPr>
          <w:w w:val="105"/>
          <w:sz w:val="18"/>
        </w:rPr>
        <w:t>A description of the control device, and its destruction efficiency.</w:t>
      </w:r>
    </w:p>
    <w:p w14:paraId="72970BF7" w14:textId="77777777" w:rsidR="00D67C1E" w:rsidRPr="00283806" w:rsidRDefault="001265CA">
      <w:pPr>
        <w:pStyle w:val="ListParagraph"/>
        <w:numPr>
          <w:ilvl w:val="1"/>
          <w:numId w:val="32"/>
        </w:numPr>
        <w:tabs>
          <w:tab w:val="left" w:pos="693"/>
        </w:tabs>
        <w:spacing w:before="3" w:line="228" w:lineRule="auto"/>
        <w:ind w:left="145" w:right="56" w:firstLine="180"/>
        <w:rPr>
          <w:sz w:val="18"/>
        </w:rPr>
      </w:pPr>
      <w:r w:rsidRPr="00283806">
        <w:rPr>
          <w:w w:val="105"/>
          <w:sz w:val="18"/>
        </w:rPr>
        <w:t>Owners or operators that exclude additions of refrigerant due to seasonal variance from their leak rate calculation must maintain records stating that they are using the seasonal variance</w:t>
      </w:r>
      <w:r w:rsidRPr="00283806">
        <w:rPr>
          <w:spacing w:val="40"/>
          <w:w w:val="105"/>
          <w:sz w:val="18"/>
        </w:rPr>
        <w:t xml:space="preserve"> </w:t>
      </w:r>
      <w:r w:rsidRPr="00283806">
        <w:rPr>
          <w:w w:val="105"/>
          <w:sz w:val="18"/>
        </w:rPr>
        <w:t>flexibility and documenting the amount added and removed under paragraph (l)(2) of this section.</w:t>
      </w:r>
    </w:p>
    <w:p w14:paraId="27B2E75C" w14:textId="77777777" w:rsidR="00D67C1E" w:rsidRPr="00283806" w:rsidRDefault="001265CA">
      <w:pPr>
        <w:pStyle w:val="ListParagraph"/>
        <w:numPr>
          <w:ilvl w:val="1"/>
          <w:numId w:val="32"/>
        </w:numPr>
        <w:tabs>
          <w:tab w:val="left" w:pos="693"/>
        </w:tabs>
        <w:spacing w:line="228" w:lineRule="auto"/>
        <w:ind w:left="145" w:right="7" w:firstLine="180"/>
        <w:rPr>
          <w:sz w:val="18"/>
        </w:rPr>
      </w:pPr>
      <w:r w:rsidRPr="00283806">
        <w:rPr>
          <w:w w:val="105"/>
          <w:sz w:val="18"/>
        </w:rPr>
        <w:t>Owners or operators that submit reports to EPA in accordance with paragraph (m) of this section must maintain copies of the submitted reports and any responses from EPA.</w:t>
      </w:r>
    </w:p>
    <w:p w14:paraId="15628C2A" w14:textId="77777777" w:rsidR="00D67C1E" w:rsidRPr="00283806" w:rsidRDefault="001265CA">
      <w:pPr>
        <w:pStyle w:val="ListParagraph"/>
        <w:numPr>
          <w:ilvl w:val="0"/>
          <w:numId w:val="32"/>
        </w:numPr>
        <w:tabs>
          <w:tab w:val="left" w:pos="652"/>
        </w:tabs>
        <w:spacing w:before="6" w:line="220" w:lineRule="auto"/>
        <w:ind w:left="145" w:right="75" w:firstLine="179"/>
        <w:rPr>
          <w:sz w:val="18"/>
        </w:rPr>
      </w:pPr>
      <w:r w:rsidRPr="00283806">
        <w:rPr>
          <w:rFonts w:ascii="Book Antiqua" w:hAnsi="Book Antiqua"/>
          <w:i/>
          <w:w w:val="110"/>
          <w:sz w:val="18"/>
        </w:rPr>
        <w:t xml:space="preserve">Reporting. </w:t>
      </w:r>
      <w:r w:rsidRPr="00283806">
        <w:rPr>
          <w:w w:val="110"/>
          <w:sz w:val="18"/>
        </w:rPr>
        <w:t xml:space="preserve">All notifications must be submitted electronically using the </w:t>
      </w:r>
      <w:r w:rsidRPr="00283806">
        <w:rPr>
          <w:spacing w:val="-2"/>
          <w:w w:val="110"/>
          <w:sz w:val="18"/>
        </w:rPr>
        <w:t>Agency’s</w:t>
      </w:r>
      <w:r w:rsidRPr="00283806">
        <w:rPr>
          <w:spacing w:val="-6"/>
          <w:w w:val="110"/>
          <w:sz w:val="18"/>
        </w:rPr>
        <w:t xml:space="preserve"> </w:t>
      </w:r>
      <w:r w:rsidRPr="00283806">
        <w:rPr>
          <w:spacing w:val="-2"/>
          <w:w w:val="110"/>
          <w:sz w:val="18"/>
        </w:rPr>
        <w:t>applicable</w:t>
      </w:r>
      <w:r w:rsidRPr="00283806">
        <w:rPr>
          <w:spacing w:val="-6"/>
          <w:w w:val="110"/>
          <w:sz w:val="18"/>
        </w:rPr>
        <w:t xml:space="preserve"> </w:t>
      </w:r>
      <w:r w:rsidRPr="00283806">
        <w:rPr>
          <w:spacing w:val="-2"/>
          <w:w w:val="110"/>
          <w:sz w:val="18"/>
        </w:rPr>
        <w:t>reporting</w:t>
      </w:r>
      <w:r w:rsidRPr="00283806">
        <w:rPr>
          <w:spacing w:val="-6"/>
          <w:w w:val="110"/>
          <w:sz w:val="18"/>
        </w:rPr>
        <w:t xml:space="preserve"> </w:t>
      </w:r>
      <w:r w:rsidRPr="00283806">
        <w:rPr>
          <w:spacing w:val="-2"/>
          <w:w w:val="110"/>
          <w:sz w:val="18"/>
        </w:rPr>
        <w:t>platform.</w:t>
      </w:r>
    </w:p>
    <w:p w14:paraId="00A7F5A3" w14:textId="77777777" w:rsidR="00D67C1E" w:rsidRPr="00283806" w:rsidRDefault="001265CA">
      <w:pPr>
        <w:pStyle w:val="ListParagraph"/>
        <w:numPr>
          <w:ilvl w:val="1"/>
          <w:numId w:val="32"/>
        </w:numPr>
        <w:tabs>
          <w:tab w:val="left" w:pos="593"/>
        </w:tabs>
        <w:spacing w:before="7" w:line="228" w:lineRule="auto"/>
        <w:ind w:left="145" w:right="156" w:firstLine="180"/>
        <w:rPr>
          <w:sz w:val="18"/>
        </w:rPr>
      </w:pPr>
      <w:r w:rsidRPr="00283806">
        <w:rPr>
          <w:w w:val="110"/>
          <w:sz w:val="18"/>
        </w:rPr>
        <w:t>Owners</w:t>
      </w:r>
      <w:r w:rsidRPr="00283806">
        <w:rPr>
          <w:spacing w:val="-11"/>
          <w:w w:val="110"/>
          <w:sz w:val="18"/>
        </w:rPr>
        <w:t xml:space="preserve"> </w:t>
      </w:r>
      <w:r w:rsidRPr="00283806">
        <w:rPr>
          <w:w w:val="110"/>
          <w:sz w:val="18"/>
        </w:rPr>
        <w:t>or</w:t>
      </w:r>
      <w:r w:rsidRPr="00283806">
        <w:rPr>
          <w:spacing w:val="-11"/>
          <w:w w:val="110"/>
          <w:sz w:val="18"/>
        </w:rPr>
        <w:t xml:space="preserve"> </w:t>
      </w:r>
      <w:r w:rsidRPr="00283806">
        <w:rPr>
          <w:w w:val="110"/>
          <w:sz w:val="18"/>
        </w:rPr>
        <w:t>operators</w:t>
      </w:r>
      <w:r w:rsidRPr="00283806">
        <w:rPr>
          <w:spacing w:val="-11"/>
          <w:w w:val="110"/>
          <w:sz w:val="18"/>
        </w:rPr>
        <w:t xml:space="preserve"> </w:t>
      </w:r>
      <w:r w:rsidRPr="00283806">
        <w:rPr>
          <w:w w:val="110"/>
          <w:sz w:val="18"/>
        </w:rPr>
        <w:t>must</w:t>
      </w:r>
      <w:r w:rsidRPr="00283806">
        <w:rPr>
          <w:spacing w:val="-11"/>
          <w:w w:val="110"/>
          <w:sz w:val="18"/>
        </w:rPr>
        <w:t xml:space="preserve"> </w:t>
      </w:r>
      <w:r w:rsidRPr="00283806">
        <w:rPr>
          <w:w w:val="110"/>
          <w:sz w:val="18"/>
        </w:rPr>
        <w:t>notify EPA</w:t>
      </w:r>
      <w:r w:rsidRPr="00283806">
        <w:rPr>
          <w:spacing w:val="-7"/>
          <w:w w:val="110"/>
          <w:sz w:val="18"/>
        </w:rPr>
        <w:t xml:space="preserve"> </w:t>
      </w:r>
      <w:r w:rsidRPr="00283806">
        <w:rPr>
          <w:w w:val="110"/>
          <w:sz w:val="18"/>
        </w:rPr>
        <w:t>electronically,</w:t>
      </w:r>
      <w:r w:rsidRPr="00283806">
        <w:rPr>
          <w:spacing w:val="-7"/>
          <w:w w:val="110"/>
          <w:sz w:val="18"/>
        </w:rPr>
        <w:t xml:space="preserve"> </w:t>
      </w:r>
      <w:r w:rsidRPr="00283806">
        <w:rPr>
          <w:w w:val="110"/>
          <w:sz w:val="18"/>
        </w:rPr>
        <w:t>using</w:t>
      </w:r>
      <w:r w:rsidRPr="00283806">
        <w:rPr>
          <w:spacing w:val="-7"/>
          <w:w w:val="110"/>
          <w:sz w:val="18"/>
        </w:rPr>
        <w:t xml:space="preserve"> </w:t>
      </w:r>
      <w:r w:rsidRPr="00283806">
        <w:rPr>
          <w:w w:val="110"/>
          <w:sz w:val="18"/>
        </w:rPr>
        <w:t>the</w:t>
      </w:r>
      <w:r w:rsidRPr="00283806">
        <w:rPr>
          <w:spacing w:val="-7"/>
          <w:w w:val="110"/>
          <w:sz w:val="18"/>
        </w:rPr>
        <w:t xml:space="preserve"> </w:t>
      </w:r>
      <w:r w:rsidRPr="00283806">
        <w:rPr>
          <w:w w:val="110"/>
          <w:sz w:val="18"/>
        </w:rPr>
        <w:t>Agency’s applicable reporting platform, in accordance with paragraph (f) of this section when seeking an extension of time to complete repairs.</w:t>
      </w:r>
    </w:p>
    <w:p w14:paraId="4687218A" w14:textId="77777777" w:rsidR="00D67C1E" w:rsidRPr="00283806" w:rsidRDefault="001265CA">
      <w:pPr>
        <w:pStyle w:val="ListParagraph"/>
        <w:numPr>
          <w:ilvl w:val="1"/>
          <w:numId w:val="32"/>
        </w:numPr>
        <w:tabs>
          <w:tab w:val="left" w:pos="593"/>
        </w:tabs>
        <w:spacing w:line="228" w:lineRule="auto"/>
        <w:ind w:left="145" w:firstLine="180"/>
        <w:rPr>
          <w:sz w:val="18"/>
        </w:rPr>
      </w:pPr>
      <w:r w:rsidRPr="00283806">
        <w:rPr>
          <w:w w:val="110"/>
          <w:sz w:val="18"/>
        </w:rPr>
        <w:t>Owners or operators must notify EPA electronically, using the Agency’s applicable reporting platform, in accordance</w:t>
      </w:r>
      <w:r w:rsidRPr="00283806">
        <w:rPr>
          <w:spacing w:val="-8"/>
          <w:w w:val="110"/>
          <w:sz w:val="18"/>
        </w:rPr>
        <w:t xml:space="preserve"> </w:t>
      </w:r>
      <w:r w:rsidRPr="00283806">
        <w:rPr>
          <w:w w:val="110"/>
          <w:sz w:val="18"/>
        </w:rPr>
        <w:t>with</w:t>
      </w:r>
      <w:r w:rsidRPr="00283806">
        <w:rPr>
          <w:spacing w:val="-8"/>
          <w:w w:val="110"/>
          <w:sz w:val="18"/>
        </w:rPr>
        <w:t xml:space="preserve"> </w:t>
      </w:r>
      <w:r w:rsidRPr="00283806">
        <w:rPr>
          <w:w w:val="110"/>
          <w:sz w:val="18"/>
        </w:rPr>
        <w:t>paragraph</w:t>
      </w:r>
      <w:r w:rsidRPr="00283806">
        <w:rPr>
          <w:spacing w:val="-8"/>
          <w:w w:val="110"/>
          <w:sz w:val="18"/>
        </w:rPr>
        <w:t xml:space="preserve"> </w:t>
      </w:r>
      <w:r w:rsidRPr="00283806">
        <w:rPr>
          <w:w w:val="110"/>
          <w:sz w:val="18"/>
        </w:rPr>
        <w:t>(h)(5)(ii)</w:t>
      </w:r>
      <w:r w:rsidRPr="00283806">
        <w:rPr>
          <w:spacing w:val="-8"/>
          <w:w w:val="110"/>
          <w:sz w:val="18"/>
        </w:rPr>
        <w:t xml:space="preserve"> </w:t>
      </w:r>
      <w:r w:rsidRPr="00283806">
        <w:rPr>
          <w:w w:val="110"/>
          <w:sz w:val="18"/>
        </w:rPr>
        <w:t xml:space="preserve">of </w:t>
      </w:r>
      <w:r w:rsidRPr="00283806">
        <w:rPr>
          <w:spacing w:val="-2"/>
          <w:w w:val="110"/>
          <w:sz w:val="18"/>
        </w:rPr>
        <w:t>this</w:t>
      </w:r>
      <w:r w:rsidRPr="00283806">
        <w:rPr>
          <w:spacing w:val="-8"/>
          <w:w w:val="110"/>
          <w:sz w:val="18"/>
        </w:rPr>
        <w:t xml:space="preserve"> </w:t>
      </w:r>
      <w:r w:rsidRPr="00283806">
        <w:rPr>
          <w:spacing w:val="-2"/>
          <w:w w:val="110"/>
          <w:sz w:val="18"/>
        </w:rPr>
        <w:t>section</w:t>
      </w:r>
      <w:r w:rsidRPr="00283806">
        <w:rPr>
          <w:spacing w:val="-8"/>
          <w:w w:val="110"/>
          <w:sz w:val="18"/>
        </w:rPr>
        <w:t xml:space="preserve"> </w:t>
      </w:r>
      <w:r w:rsidRPr="00283806">
        <w:rPr>
          <w:spacing w:val="-2"/>
          <w:w w:val="110"/>
          <w:sz w:val="18"/>
        </w:rPr>
        <w:t>when</w:t>
      </w:r>
      <w:r w:rsidRPr="00283806">
        <w:rPr>
          <w:spacing w:val="-8"/>
          <w:w w:val="110"/>
          <w:sz w:val="18"/>
        </w:rPr>
        <w:t xml:space="preserve"> </w:t>
      </w:r>
      <w:r w:rsidRPr="00283806">
        <w:rPr>
          <w:spacing w:val="-2"/>
          <w:w w:val="110"/>
          <w:sz w:val="18"/>
        </w:rPr>
        <w:t>seeking</w:t>
      </w:r>
      <w:r w:rsidRPr="00283806">
        <w:rPr>
          <w:spacing w:val="-8"/>
          <w:w w:val="110"/>
          <w:sz w:val="18"/>
        </w:rPr>
        <w:t xml:space="preserve"> </w:t>
      </w:r>
      <w:r w:rsidRPr="00283806">
        <w:rPr>
          <w:spacing w:val="-2"/>
          <w:w w:val="110"/>
          <w:sz w:val="18"/>
        </w:rPr>
        <w:t>relief</w:t>
      </w:r>
      <w:r w:rsidRPr="00283806">
        <w:rPr>
          <w:spacing w:val="-8"/>
          <w:w w:val="110"/>
          <w:sz w:val="18"/>
        </w:rPr>
        <w:t xml:space="preserve"> </w:t>
      </w:r>
      <w:r w:rsidRPr="00283806">
        <w:rPr>
          <w:spacing w:val="-2"/>
          <w:w w:val="110"/>
          <w:sz w:val="18"/>
        </w:rPr>
        <w:t>from</w:t>
      </w:r>
      <w:r w:rsidRPr="00283806">
        <w:rPr>
          <w:spacing w:val="-8"/>
          <w:w w:val="110"/>
          <w:sz w:val="18"/>
        </w:rPr>
        <w:t xml:space="preserve"> </w:t>
      </w:r>
      <w:r w:rsidRPr="00283806">
        <w:rPr>
          <w:spacing w:val="-2"/>
          <w:w w:val="110"/>
          <w:sz w:val="18"/>
        </w:rPr>
        <w:t xml:space="preserve">the </w:t>
      </w:r>
      <w:r w:rsidRPr="00283806">
        <w:rPr>
          <w:w w:val="110"/>
          <w:sz w:val="18"/>
        </w:rPr>
        <w:t xml:space="preserve">obligation to retrofit or retire an </w:t>
      </w:r>
      <w:r w:rsidRPr="00283806">
        <w:rPr>
          <w:spacing w:val="-2"/>
          <w:w w:val="110"/>
          <w:sz w:val="18"/>
        </w:rPr>
        <w:t>appliance.</w:t>
      </w:r>
    </w:p>
    <w:p w14:paraId="491E953B" w14:textId="77777777" w:rsidR="00D67C1E" w:rsidRPr="00283806" w:rsidRDefault="001265CA">
      <w:pPr>
        <w:pStyle w:val="ListParagraph"/>
        <w:numPr>
          <w:ilvl w:val="1"/>
          <w:numId w:val="32"/>
        </w:numPr>
        <w:tabs>
          <w:tab w:val="left" w:pos="593"/>
        </w:tabs>
        <w:spacing w:line="228" w:lineRule="auto"/>
        <w:ind w:left="145" w:right="156" w:firstLine="180"/>
        <w:rPr>
          <w:sz w:val="18"/>
        </w:rPr>
      </w:pPr>
      <w:r w:rsidRPr="00283806">
        <w:rPr>
          <w:w w:val="110"/>
          <w:sz w:val="18"/>
        </w:rPr>
        <w:t>Owners</w:t>
      </w:r>
      <w:r w:rsidRPr="00283806">
        <w:rPr>
          <w:spacing w:val="-11"/>
          <w:w w:val="110"/>
          <w:sz w:val="18"/>
        </w:rPr>
        <w:t xml:space="preserve"> </w:t>
      </w:r>
      <w:r w:rsidRPr="00283806">
        <w:rPr>
          <w:w w:val="110"/>
          <w:sz w:val="18"/>
        </w:rPr>
        <w:t>or</w:t>
      </w:r>
      <w:r w:rsidRPr="00283806">
        <w:rPr>
          <w:spacing w:val="-11"/>
          <w:w w:val="110"/>
          <w:sz w:val="18"/>
        </w:rPr>
        <w:t xml:space="preserve"> </w:t>
      </w:r>
      <w:r w:rsidRPr="00283806">
        <w:rPr>
          <w:w w:val="110"/>
          <w:sz w:val="18"/>
        </w:rPr>
        <w:t>operators</w:t>
      </w:r>
      <w:r w:rsidRPr="00283806">
        <w:rPr>
          <w:spacing w:val="-11"/>
          <w:w w:val="110"/>
          <w:sz w:val="18"/>
        </w:rPr>
        <w:t xml:space="preserve"> </w:t>
      </w:r>
      <w:r w:rsidRPr="00283806">
        <w:rPr>
          <w:w w:val="110"/>
          <w:sz w:val="18"/>
        </w:rPr>
        <w:t>must</w:t>
      </w:r>
      <w:r w:rsidRPr="00283806">
        <w:rPr>
          <w:spacing w:val="-11"/>
          <w:w w:val="110"/>
          <w:sz w:val="18"/>
        </w:rPr>
        <w:t xml:space="preserve"> </w:t>
      </w:r>
      <w:r w:rsidRPr="00283806">
        <w:rPr>
          <w:w w:val="110"/>
          <w:sz w:val="18"/>
        </w:rPr>
        <w:t>notify EPA</w:t>
      </w:r>
      <w:r w:rsidRPr="00283806">
        <w:rPr>
          <w:spacing w:val="-7"/>
          <w:w w:val="110"/>
          <w:sz w:val="18"/>
        </w:rPr>
        <w:t xml:space="preserve"> </w:t>
      </w:r>
      <w:r w:rsidRPr="00283806">
        <w:rPr>
          <w:w w:val="110"/>
          <w:sz w:val="18"/>
        </w:rPr>
        <w:t>electronically,</w:t>
      </w:r>
      <w:r w:rsidRPr="00283806">
        <w:rPr>
          <w:spacing w:val="-7"/>
          <w:w w:val="110"/>
          <w:sz w:val="18"/>
        </w:rPr>
        <w:t xml:space="preserve"> </w:t>
      </w:r>
      <w:r w:rsidRPr="00283806">
        <w:rPr>
          <w:w w:val="110"/>
          <w:sz w:val="18"/>
        </w:rPr>
        <w:t>using</w:t>
      </w:r>
      <w:r w:rsidRPr="00283806">
        <w:rPr>
          <w:spacing w:val="-7"/>
          <w:w w:val="110"/>
          <w:sz w:val="18"/>
        </w:rPr>
        <w:t xml:space="preserve"> </w:t>
      </w:r>
      <w:r w:rsidRPr="00283806">
        <w:rPr>
          <w:w w:val="110"/>
          <w:sz w:val="18"/>
        </w:rPr>
        <w:t>the</w:t>
      </w:r>
      <w:r w:rsidRPr="00283806">
        <w:rPr>
          <w:spacing w:val="-7"/>
          <w:w w:val="110"/>
          <w:sz w:val="18"/>
        </w:rPr>
        <w:t xml:space="preserve"> </w:t>
      </w:r>
      <w:r w:rsidRPr="00283806">
        <w:rPr>
          <w:w w:val="110"/>
          <w:sz w:val="18"/>
        </w:rPr>
        <w:t>Agency’s applicable reporting platform, in accordance with paragraph (i) of this section when seeking an extension of time to complete the retrofit or retirement of an appliance.</w:t>
      </w:r>
    </w:p>
    <w:p w14:paraId="354FE588" w14:textId="77777777" w:rsidR="00D67C1E" w:rsidRPr="00283806" w:rsidRDefault="001265CA">
      <w:pPr>
        <w:pStyle w:val="ListParagraph"/>
        <w:numPr>
          <w:ilvl w:val="1"/>
          <w:numId w:val="32"/>
        </w:numPr>
        <w:tabs>
          <w:tab w:val="left" w:pos="593"/>
        </w:tabs>
        <w:spacing w:line="228" w:lineRule="auto"/>
        <w:ind w:left="145" w:right="7" w:firstLine="180"/>
        <w:rPr>
          <w:sz w:val="18"/>
        </w:rPr>
      </w:pPr>
      <w:r w:rsidRPr="00283806">
        <w:rPr>
          <w:sz w:val="18"/>
        </w:rPr>
        <w:t>Owners or operators must report to</w:t>
      </w:r>
      <w:r w:rsidRPr="00283806">
        <w:rPr>
          <w:w w:val="110"/>
          <w:sz w:val="18"/>
        </w:rPr>
        <w:t xml:space="preserve"> EPA electronically, using the Agency’s applicable reporting platform, the following information in accordance </w:t>
      </w:r>
      <w:r w:rsidRPr="00283806">
        <w:rPr>
          <w:spacing w:val="-2"/>
          <w:w w:val="110"/>
          <w:sz w:val="18"/>
        </w:rPr>
        <w:t>with</w:t>
      </w:r>
      <w:r w:rsidRPr="00283806">
        <w:rPr>
          <w:spacing w:val="-6"/>
          <w:w w:val="110"/>
          <w:sz w:val="18"/>
        </w:rPr>
        <w:t xml:space="preserve"> </w:t>
      </w:r>
      <w:r w:rsidRPr="00283806">
        <w:rPr>
          <w:spacing w:val="-2"/>
          <w:w w:val="110"/>
          <w:sz w:val="18"/>
        </w:rPr>
        <w:t>paragraph</w:t>
      </w:r>
      <w:r w:rsidRPr="00283806">
        <w:rPr>
          <w:spacing w:val="-6"/>
          <w:w w:val="110"/>
          <w:sz w:val="18"/>
        </w:rPr>
        <w:t xml:space="preserve"> </w:t>
      </w:r>
      <w:r w:rsidRPr="00283806">
        <w:rPr>
          <w:spacing w:val="-2"/>
          <w:w w:val="110"/>
          <w:sz w:val="18"/>
        </w:rPr>
        <w:t>(j)</w:t>
      </w:r>
      <w:r w:rsidRPr="00283806">
        <w:rPr>
          <w:spacing w:val="-6"/>
          <w:w w:val="110"/>
          <w:sz w:val="18"/>
        </w:rPr>
        <w:t xml:space="preserve"> </w:t>
      </w:r>
      <w:r w:rsidRPr="00283806">
        <w:rPr>
          <w:spacing w:val="-2"/>
          <w:w w:val="110"/>
          <w:sz w:val="18"/>
        </w:rPr>
        <w:t>of</w:t>
      </w:r>
      <w:r w:rsidRPr="00283806">
        <w:rPr>
          <w:spacing w:val="-6"/>
          <w:w w:val="110"/>
          <w:sz w:val="18"/>
        </w:rPr>
        <w:t xml:space="preserve"> </w:t>
      </w:r>
      <w:r w:rsidRPr="00283806">
        <w:rPr>
          <w:spacing w:val="-2"/>
          <w:w w:val="110"/>
          <w:sz w:val="18"/>
        </w:rPr>
        <w:t>this</w:t>
      </w:r>
      <w:r w:rsidRPr="00283806">
        <w:rPr>
          <w:spacing w:val="-6"/>
          <w:w w:val="110"/>
          <w:sz w:val="18"/>
        </w:rPr>
        <w:t xml:space="preserve"> </w:t>
      </w:r>
      <w:r w:rsidRPr="00283806">
        <w:rPr>
          <w:spacing w:val="-2"/>
          <w:w w:val="110"/>
          <w:sz w:val="18"/>
        </w:rPr>
        <w:t>section</w:t>
      </w:r>
      <w:r w:rsidRPr="00283806">
        <w:rPr>
          <w:spacing w:val="-6"/>
          <w:w w:val="110"/>
          <w:sz w:val="18"/>
        </w:rPr>
        <w:t xml:space="preserve"> </w:t>
      </w:r>
      <w:r w:rsidRPr="00283806">
        <w:rPr>
          <w:spacing w:val="-2"/>
          <w:w w:val="110"/>
          <w:sz w:val="18"/>
        </w:rPr>
        <w:t>for</w:t>
      </w:r>
      <w:r w:rsidRPr="00283806">
        <w:rPr>
          <w:spacing w:val="-6"/>
          <w:w w:val="110"/>
          <w:sz w:val="18"/>
        </w:rPr>
        <w:t xml:space="preserve"> </w:t>
      </w:r>
      <w:r w:rsidRPr="00283806">
        <w:rPr>
          <w:spacing w:val="-2"/>
          <w:w w:val="110"/>
          <w:sz w:val="18"/>
        </w:rPr>
        <w:t xml:space="preserve">any </w:t>
      </w:r>
      <w:r w:rsidRPr="00283806">
        <w:rPr>
          <w:w w:val="110"/>
          <w:sz w:val="18"/>
        </w:rPr>
        <w:t xml:space="preserve">refrigerant-containing appliance containing 15 or more pounds of refrigerant that leaks 125 percent or more of the full charge in a calendar </w:t>
      </w:r>
      <w:r w:rsidRPr="00283806">
        <w:rPr>
          <w:spacing w:val="-2"/>
          <w:w w:val="110"/>
          <w:sz w:val="18"/>
        </w:rPr>
        <w:t>year:</w:t>
      </w:r>
    </w:p>
    <w:p w14:paraId="552557DD" w14:textId="77777777" w:rsidR="00D67C1E" w:rsidRPr="00283806" w:rsidRDefault="001265CA">
      <w:pPr>
        <w:pStyle w:val="ListParagraph"/>
        <w:numPr>
          <w:ilvl w:val="2"/>
          <w:numId w:val="32"/>
        </w:numPr>
        <w:tabs>
          <w:tab w:val="left" w:pos="553"/>
        </w:tabs>
        <w:spacing w:line="225" w:lineRule="auto"/>
        <w:ind w:left="145" w:right="239" w:firstLine="180"/>
        <w:rPr>
          <w:sz w:val="18"/>
        </w:rPr>
      </w:pPr>
      <w:r w:rsidRPr="00283806">
        <w:rPr>
          <w:w w:val="105"/>
          <w:sz w:val="18"/>
        </w:rPr>
        <w:t>Basic identification information (</w:t>
      </w:r>
      <w:r w:rsidRPr="00283806">
        <w:rPr>
          <w:rFonts w:ascii="Book Antiqua"/>
          <w:i/>
          <w:w w:val="105"/>
          <w:sz w:val="18"/>
        </w:rPr>
        <w:t xml:space="preserve">i.e., </w:t>
      </w:r>
      <w:r w:rsidRPr="00283806">
        <w:rPr>
          <w:w w:val="105"/>
          <w:sz w:val="18"/>
        </w:rPr>
        <w:t xml:space="preserve">owner or operator, facility name, facility address where appliance is located, and appliance ID or </w:t>
      </w:r>
      <w:r w:rsidRPr="00283806">
        <w:rPr>
          <w:spacing w:val="-2"/>
          <w:w w:val="105"/>
          <w:sz w:val="18"/>
        </w:rPr>
        <w:t>description);</w:t>
      </w:r>
    </w:p>
    <w:p w14:paraId="14A8A1BD" w14:textId="77777777" w:rsidR="00D67C1E" w:rsidRPr="00283806" w:rsidRDefault="001265CA">
      <w:pPr>
        <w:pStyle w:val="ListParagraph"/>
        <w:numPr>
          <w:ilvl w:val="2"/>
          <w:numId w:val="32"/>
        </w:numPr>
        <w:tabs>
          <w:tab w:val="left" w:pos="613"/>
        </w:tabs>
        <w:spacing w:before="131" w:line="228" w:lineRule="auto"/>
        <w:ind w:left="145" w:right="299" w:firstLine="180"/>
        <w:rPr>
          <w:sz w:val="18"/>
        </w:rPr>
      </w:pPr>
      <w:r w:rsidRPr="00283806">
        <w:br w:type="column"/>
      </w:r>
      <w:r w:rsidRPr="00283806">
        <w:rPr>
          <w:w w:val="105"/>
          <w:sz w:val="18"/>
        </w:rPr>
        <w:t>Refrigerant-containing appliance type (comfort cooling or other, industrial process refrigeration, or commercial refrigeration);</w:t>
      </w:r>
    </w:p>
    <w:p w14:paraId="24518B15" w14:textId="77777777" w:rsidR="00D67C1E" w:rsidRPr="00283806" w:rsidRDefault="001265CA">
      <w:pPr>
        <w:pStyle w:val="ListParagraph"/>
        <w:numPr>
          <w:ilvl w:val="2"/>
          <w:numId w:val="32"/>
        </w:numPr>
        <w:tabs>
          <w:tab w:val="left" w:pos="673"/>
        </w:tabs>
        <w:spacing w:line="183" w:lineRule="exact"/>
        <w:ind w:left="673" w:hanging="348"/>
        <w:rPr>
          <w:sz w:val="18"/>
        </w:rPr>
      </w:pPr>
      <w:r w:rsidRPr="00283806">
        <w:rPr>
          <w:sz w:val="18"/>
        </w:rPr>
        <w:t>Refrigerant</w:t>
      </w:r>
      <w:r w:rsidRPr="00283806">
        <w:rPr>
          <w:spacing w:val="35"/>
          <w:sz w:val="18"/>
        </w:rPr>
        <w:t xml:space="preserve"> </w:t>
      </w:r>
      <w:r w:rsidRPr="00283806">
        <w:rPr>
          <w:spacing w:val="-2"/>
          <w:sz w:val="18"/>
        </w:rPr>
        <w:t>type;</w:t>
      </w:r>
    </w:p>
    <w:p w14:paraId="675159AD" w14:textId="77777777" w:rsidR="00D67C1E" w:rsidRPr="00283806" w:rsidRDefault="001265CA">
      <w:pPr>
        <w:pStyle w:val="ListParagraph"/>
        <w:numPr>
          <w:ilvl w:val="2"/>
          <w:numId w:val="32"/>
        </w:numPr>
        <w:tabs>
          <w:tab w:val="left" w:pos="653"/>
        </w:tabs>
        <w:spacing w:line="193" w:lineRule="exact"/>
        <w:ind w:left="653" w:hanging="328"/>
        <w:rPr>
          <w:sz w:val="18"/>
        </w:rPr>
      </w:pPr>
      <w:r w:rsidRPr="00283806">
        <w:rPr>
          <w:w w:val="110"/>
          <w:sz w:val="18"/>
        </w:rPr>
        <w:t>Full</w:t>
      </w:r>
      <w:r w:rsidRPr="00283806">
        <w:rPr>
          <w:spacing w:val="-3"/>
          <w:w w:val="110"/>
          <w:sz w:val="18"/>
        </w:rPr>
        <w:t xml:space="preserve"> </w:t>
      </w:r>
      <w:r w:rsidRPr="00283806">
        <w:rPr>
          <w:w w:val="110"/>
          <w:sz w:val="18"/>
        </w:rPr>
        <w:t>charge</w:t>
      </w:r>
      <w:r w:rsidRPr="00283806">
        <w:rPr>
          <w:spacing w:val="-2"/>
          <w:w w:val="110"/>
          <w:sz w:val="18"/>
        </w:rPr>
        <w:t xml:space="preserve"> </w:t>
      </w:r>
      <w:r w:rsidRPr="00283806">
        <w:rPr>
          <w:w w:val="110"/>
          <w:sz w:val="18"/>
        </w:rPr>
        <w:t>of</w:t>
      </w:r>
      <w:r w:rsidRPr="00283806">
        <w:rPr>
          <w:spacing w:val="-3"/>
          <w:w w:val="110"/>
          <w:sz w:val="18"/>
        </w:rPr>
        <w:t xml:space="preserve"> </w:t>
      </w:r>
      <w:r w:rsidRPr="00283806">
        <w:rPr>
          <w:w w:val="110"/>
          <w:sz w:val="18"/>
        </w:rPr>
        <w:t>appliance</w:t>
      </w:r>
      <w:r w:rsidRPr="00283806">
        <w:rPr>
          <w:spacing w:val="-2"/>
          <w:w w:val="110"/>
          <w:sz w:val="18"/>
        </w:rPr>
        <w:t xml:space="preserve"> (pounds);</w:t>
      </w:r>
    </w:p>
    <w:p w14:paraId="36EA32C4" w14:textId="77777777" w:rsidR="00D67C1E" w:rsidRPr="00283806" w:rsidRDefault="001265CA">
      <w:pPr>
        <w:pStyle w:val="ListParagraph"/>
        <w:numPr>
          <w:ilvl w:val="2"/>
          <w:numId w:val="32"/>
        </w:numPr>
        <w:tabs>
          <w:tab w:val="left" w:pos="593"/>
        </w:tabs>
        <w:spacing w:line="194" w:lineRule="exact"/>
        <w:ind w:left="593" w:hanging="268"/>
        <w:rPr>
          <w:sz w:val="18"/>
        </w:rPr>
      </w:pPr>
      <w:r w:rsidRPr="00283806">
        <w:rPr>
          <w:w w:val="105"/>
          <w:sz w:val="18"/>
        </w:rPr>
        <w:t>Annual</w:t>
      </w:r>
      <w:r w:rsidRPr="00283806">
        <w:rPr>
          <w:spacing w:val="9"/>
          <w:w w:val="105"/>
          <w:sz w:val="18"/>
        </w:rPr>
        <w:t xml:space="preserve"> </w:t>
      </w:r>
      <w:r w:rsidRPr="00283806">
        <w:rPr>
          <w:w w:val="105"/>
          <w:sz w:val="18"/>
        </w:rPr>
        <w:t>percent</w:t>
      </w:r>
      <w:r w:rsidRPr="00283806">
        <w:rPr>
          <w:spacing w:val="9"/>
          <w:w w:val="105"/>
          <w:sz w:val="18"/>
        </w:rPr>
        <w:t xml:space="preserve"> </w:t>
      </w:r>
      <w:r w:rsidRPr="00283806">
        <w:rPr>
          <w:w w:val="105"/>
          <w:sz w:val="18"/>
        </w:rPr>
        <w:t>refrigerant</w:t>
      </w:r>
      <w:r w:rsidRPr="00283806">
        <w:rPr>
          <w:spacing w:val="10"/>
          <w:w w:val="105"/>
          <w:sz w:val="18"/>
        </w:rPr>
        <w:t xml:space="preserve"> </w:t>
      </w:r>
      <w:r w:rsidRPr="00283806">
        <w:rPr>
          <w:spacing w:val="-2"/>
          <w:w w:val="105"/>
          <w:sz w:val="18"/>
        </w:rPr>
        <w:t>loss;</w:t>
      </w:r>
    </w:p>
    <w:p w14:paraId="51AA58C7" w14:textId="77777777" w:rsidR="00D67C1E" w:rsidRPr="00283806" w:rsidRDefault="001265CA">
      <w:pPr>
        <w:pStyle w:val="ListParagraph"/>
        <w:numPr>
          <w:ilvl w:val="2"/>
          <w:numId w:val="32"/>
        </w:numPr>
        <w:tabs>
          <w:tab w:val="left" w:pos="653"/>
        </w:tabs>
        <w:spacing w:line="194" w:lineRule="exact"/>
        <w:ind w:left="653" w:hanging="328"/>
        <w:rPr>
          <w:sz w:val="18"/>
        </w:rPr>
      </w:pPr>
      <w:r w:rsidRPr="00283806">
        <w:rPr>
          <w:w w:val="105"/>
          <w:sz w:val="18"/>
        </w:rPr>
        <w:t>Dates</w:t>
      </w:r>
      <w:r w:rsidRPr="00283806">
        <w:rPr>
          <w:spacing w:val="-4"/>
          <w:w w:val="105"/>
          <w:sz w:val="18"/>
        </w:rPr>
        <w:t xml:space="preserve"> </w:t>
      </w:r>
      <w:r w:rsidRPr="00283806">
        <w:rPr>
          <w:w w:val="105"/>
          <w:sz w:val="18"/>
        </w:rPr>
        <w:t>of</w:t>
      </w:r>
      <w:r w:rsidRPr="00283806">
        <w:rPr>
          <w:spacing w:val="-4"/>
          <w:w w:val="105"/>
          <w:sz w:val="18"/>
        </w:rPr>
        <w:t xml:space="preserve"> </w:t>
      </w:r>
      <w:r w:rsidRPr="00283806">
        <w:rPr>
          <w:w w:val="105"/>
          <w:sz w:val="18"/>
        </w:rPr>
        <w:t>refrigerant</w:t>
      </w:r>
      <w:r w:rsidRPr="00283806">
        <w:rPr>
          <w:spacing w:val="-4"/>
          <w:w w:val="105"/>
          <w:sz w:val="18"/>
        </w:rPr>
        <w:t xml:space="preserve"> </w:t>
      </w:r>
      <w:r w:rsidRPr="00283806">
        <w:rPr>
          <w:spacing w:val="-2"/>
          <w:w w:val="105"/>
          <w:sz w:val="18"/>
        </w:rPr>
        <w:t>addition;</w:t>
      </w:r>
    </w:p>
    <w:p w14:paraId="0F1CA064" w14:textId="77777777" w:rsidR="00D67C1E" w:rsidRPr="00283806" w:rsidRDefault="001265CA">
      <w:pPr>
        <w:pStyle w:val="ListParagraph"/>
        <w:numPr>
          <w:ilvl w:val="2"/>
          <w:numId w:val="32"/>
        </w:numPr>
        <w:tabs>
          <w:tab w:val="left" w:pos="713"/>
        </w:tabs>
        <w:spacing w:line="194" w:lineRule="exact"/>
        <w:ind w:left="713" w:hanging="388"/>
        <w:rPr>
          <w:sz w:val="18"/>
        </w:rPr>
      </w:pPr>
      <w:r w:rsidRPr="00283806">
        <w:rPr>
          <w:w w:val="105"/>
          <w:sz w:val="18"/>
        </w:rPr>
        <w:t>Amounts</w:t>
      </w:r>
      <w:r w:rsidRPr="00283806">
        <w:rPr>
          <w:spacing w:val="8"/>
          <w:w w:val="105"/>
          <w:sz w:val="18"/>
        </w:rPr>
        <w:t xml:space="preserve"> </w:t>
      </w:r>
      <w:r w:rsidRPr="00283806">
        <w:rPr>
          <w:w w:val="105"/>
          <w:sz w:val="18"/>
        </w:rPr>
        <w:t>of</w:t>
      </w:r>
      <w:r w:rsidRPr="00283806">
        <w:rPr>
          <w:spacing w:val="8"/>
          <w:w w:val="105"/>
          <w:sz w:val="18"/>
        </w:rPr>
        <w:t xml:space="preserve"> </w:t>
      </w:r>
      <w:r w:rsidRPr="00283806">
        <w:rPr>
          <w:w w:val="105"/>
          <w:sz w:val="18"/>
        </w:rPr>
        <w:t>refrigerant</w:t>
      </w:r>
      <w:r w:rsidRPr="00283806">
        <w:rPr>
          <w:spacing w:val="9"/>
          <w:w w:val="105"/>
          <w:sz w:val="18"/>
        </w:rPr>
        <w:t xml:space="preserve"> </w:t>
      </w:r>
      <w:r w:rsidRPr="00283806">
        <w:rPr>
          <w:spacing w:val="-2"/>
          <w:w w:val="105"/>
          <w:sz w:val="18"/>
        </w:rPr>
        <w:t>added;</w:t>
      </w:r>
    </w:p>
    <w:p w14:paraId="5841C47D" w14:textId="77777777" w:rsidR="00D67C1E" w:rsidRPr="00283806" w:rsidRDefault="001265CA">
      <w:pPr>
        <w:pStyle w:val="ListParagraph"/>
        <w:numPr>
          <w:ilvl w:val="2"/>
          <w:numId w:val="32"/>
        </w:numPr>
        <w:tabs>
          <w:tab w:val="left" w:pos="773"/>
        </w:tabs>
        <w:spacing w:line="228" w:lineRule="auto"/>
        <w:ind w:left="145" w:right="172" w:firstLine="180"/>
        <w:rPr>
          <w:sz w:val="18"/>
        </w:rPr>
      </w:pPr>
      <w:r w:rsidRPr="00283806">
        <w:rPr>
          <w:w w:val="105"/>
          <w:sz w:val="18"/>
        </w:rPr>
        <w:t>Date of last successful follow-up verification test;</w:t>
      </w:r>
    </w:p>
    <w:p w14:paraId="6E1BD709" w14:textId="77777777" w:rsidR="00D67C1E" w:rsidRPr="00283806" w:rsidRDefault="001265CA">
      <w:pPr>
        <w:pStyle w:val="ListParagraph"/>
        <w:numPr>
          <w:ilvl w:val="2"/>
          <w:numId w:val="32"/>
        </w:numPr>
        <w:tabs>
          <w:tab w:val="left" w:pos="653"/>
        </w:tabs>
        <w:spacing w:line="228" w:lineRule="auto"/>
        <w:ind w:left="145" w:right="341" w:firstLine="180"/>
        <w:rPr>
          <w:sz w:val="18"/>
        </w:rPr>
      </w:pPr>
      <w:r w:rsidRPr="00283806">
        <w:rPr>
          <w:w w:val="105"/>
          <w:sz w:val="18"/>
        </w:rPr>
        <w:t xml:space="preserve">Explanation of cause refrigerant </w:t>
      </w:r>
      <w:r w:rsidRPr="00283806">
        <w:rPr>
          <w:spacing w:val="-2"/>
          <w:w w:val="105"/>
          <w:sz w:val="18"/>
        </w:rPr>
        <w:t>losses;</w:t>
      </w:r>
    </w:p>
    <w:p w14:paraId="3D155620" w14:textId="77777777" w:rsidR="00D67C1E" w:rsidRPr="00283806" w:rsidRDefault="001265CA">
      <w:pPr>
        <w:pStyle w:val="ListParagraph"/>
        <w:numPr>
          <w:ilvl w:val="2"/>
          <w:numId w:val="32"/>
        </w:numPr>
        <w:tabs>
          <w:tab w:val="left" w:pos="593"/>
        </w:tabs>
        <w:spacing w:line="187" w:lineRule="exact"/>
        <w:ind w:left="593" w:hanging="268"/>
        <w:rPr>
          <w:sz w:val="18"/>
        </w:rPr>
      </w:pPr>
      <w:r w:rsidRPr="00283806">
        <w:rPr>
          <w:w w:val="105"/>
          <w:sz w:val="18"/>
        </w:rPr>
        <w:t>Description</w:t>
      </w:r>
      <w:r w:rsidRPr="00283806">
        <w:rPr>
          <w:spacing w:val="10"/>
          <w:w w:val="105"/>
          <w:sz w:val="18"/>
        </w:rPr>
        <w:t xml:space="preserve"> </w:t>
      </w:r>
      <w:r w:rsidRPr="00283806">
        <w:rPr>
          <w:w w:val="105"/>
          <w:sz w:val="18"/>
        </w:rPr>
        <w:t>of</w:t>
      </w:r>
      <w:r w:rsidRPr="00283806">
        <w:rPr>
          <w:spacing w:val="11"/>
          <w:w w:val="105"/>
          <w:sz w:val="18"/>
        </w:rPr>
        <w:t xml:space="preserve"> </w:t>
      </w:r>
      <w:r w:rsidRPr="00283806">
        <w:rPr>
          <w:w w:val="105"/>
          <w:sz w:val="18"/>
        </w:rPr>
        <w:t>repair</w:t>
      </w:r>
      <w:r w:rsidRPr="00283806">
        <w:rPr>
          <w:spacing w:val="11"/>
          <w:w w:val="105"/>
          <w:sz w:val="18"/>
        </w:rPr>
        <w:t xml:space="preserve"> </w:t>
      </w:r>
      <w:r w:rsidRPr="00283806">
        <w:rPr>
          <w:w w:val="105"/>
          <w:sz w:val="18"/>
        </w:rPr>
        <w:t>actions</w:t>
      </w:r>
      <w:r w:rsidRPr="00283806">
        <w:rPr>
          <w:spacing w:val="11"/>
          <w:w w:val="105"/>
          <w:sz w:val="18"/>
        </w:rPr>
        <w:t xml:space="preserve"> </w:t>
      </w:r>
      <w:r w:rsidRPr="00283806">
        <w:rPr>
          <w:spacing w:val="-2"/>
          <w:w w:val="105"/>
          <w:sz w:val="18"/>
        </w:rPr>
        <w:t>taken;</w:t>
      </w:r>
    </w:p>
    <w:p w14:paraId="7695EC27" w14:textId="77777777" w:rsidR="00D67C1E" w:rsidRPr="00283806" w:rsidRDefault="001265CA">
      <w:pPr>
        <w:pStyle w:val="ListParagraph"/>
        <w:numPr>
          <w:ilvl w:val="2"/>
          <w:numId w:val="32"/>
        </w:numPr>
        <w:tabs>
          <w:tab w:val="left" w:pos="653"/>
        </w:tabs>
        <w:spacing w:line="228" w:lineRule="auto"/>
        <w:ind w:left="145" w:right="290" w:firstLine="180"/>
        <w:rPr>
          <w:sz w:val="18"/>
        </w:rPr>
      </w:pPr>
      <w:r w:rsidRPr="00283806">
        <w:rPr>
          <w:w w:val="105"/>
          <w:sz w:val="18"/>
        </w:rPr>
        <w:t>Whether a retrofit or retirement plan has been developed for the refrigerant-containing appliance and if so, the anticipated date of retrofit or retirement; and</w:t>
      </w:r>
    </w:p>
    <w:p w14:paraId="70918EE6" w14:textId="77777777" w:rsidR="00D67C1E" w:rsidRPr="00283806" w:rsidRDefault="001265CA">
      <w:pPr>
        <w:pStyle w:val="ListParagraph"/>
        <w:numPr>
          <w:ilvl w:val="2"/>
          <w:numId w:val="32"/>
        </w:numPr>
        <w:tabs>
          <w:tab w:val="left" w:pos="713"/>
        </w:tabs>
        <w:spacing w:line="228" w:lineRule="auto"/>
        <w:ind w:left="145" w:right="641" w:firstLine="180"/>
        <w:rPr>
          <w:sz w:val="18"/>
        </w:rPr>
      </w:pPr>
      <w:r w:rsidRPr="00283806">
        <w:rPr>
          <w:w w:val="105"/>
          <w:sz w:val="18"/>
        </w:rPr>
        <w:t>A signed statement from an authorized company official.</w:t>
      </w:r>
    </w:p>
    <w:p w14:paraId="1B23FBC7" w14:textId="77777777" w:rsidR="00D67C1E" w:rsidRPr="00283806" w:rsidRDefault="001265CA">
      <w:pPr>
        <w:pStyle w:val="ListParagraph"/>
        <w:numPr>
          <w:ilvl w:val="1"/>
          <w:numId w:val="32"/>
        </w:numPr>
        <w:tabs>
          <w:tab w:val="left" w:pos="593"/>
        </w:tabs>
        <w:spacing w:line="228" w:lineRule="auto"/>
        <w:ind w:left="145" w:right="123" w:firstLine="180"/>
        <w:rPr>
          <w:sz w:val="18"/>
        </w:rPr>
      </w:pPr>
      <w:r w:rsidRPr="00283806">
        <w:rPr>
          <w:w w:val="110"/>
          <w:sz w:val="18"/>
        </w:rPr>
        <w:t>When excluding purged refrigerants that are destroyed from annual</w:t>
      </w:r>
      <w:r w:rsidRPr="00283806">
        <w:rPr>
          <w:spacing w:val="-8"/>
          <w:w w:val="110"/>
          <w:sz w:val="18"/>
        </w:rPr>
        <w:t xml:space="preserve"> </w:t>
      </w:r>
      <w:r w:rsidRPr="00283806">
        <w:rPr>
          <w:w w:val="110"/>
          <w:sz w:val="18"/>
        </w:rPr>
        <w:t>leak</w:t>
      </w:r>
      <w:r w:rsidRPr="00283806">
        <w:rPr>
          <w:spacing w:val="-8"/>
          <w:w w:val="110"/>
          <w:sz w:val="18"/>
        </w:rPr>
        <w:t xml:space="preserve"> </w:t>
      </w:r>
      <w:r w:rsidRPr="00283806">
        <w:rPr>
          <w:w w:val="110"/>
          <w:sz w:val="18"/>
        </w:rPr>
        <w:t>rate</w:t>
      </w:r>
      <w:r w:rsidRPr="00283806">
        <w:rPr>
          <w:spacing w:val="-8"/>
          <w:w w:val="110"/>
          <w:sz w:val="18"/>
        </w:rPr>
        <w:t xml:space="preserve"> </w:t>
      </w:r>
      <w:r w:rsidRPr="00283806">
        <w:rPr>
          <w:w w:val="110"/>
          <w:sz w:val="18"/>
        </w:rPr>
        <w:t>calculations,</w:t>
      </w:r>
      <w:r w:rsidRPr="00283806">
        <w:rPr>
          <w:spacing w:val="-8"/>
          <w:w w:val="110"/>
          <w:sz w:val="18"/>
        </w:rPr>
        <w:t xml:space="preserve"> </w:t>
      </w:r>
      <w:r w:rsidRPr="00283806">
        <w:rPr>
          <w:w w:val="110"/>
          <w:sz w:val="18"/>
        </w:rPr>
        <w:t>owners</w:t>
      </w:r>
      <w:r w:rsidRPr="00283806">
        <w:rPr>
          <w:spacing w:val="-8"/>
          <w:w w:val="110"/>
          <w:sz w:val="18"/>
        </w:rPr>
        <w:t xml:space="preserve"> </w:t>
      </w:r>
      <w:r w:rsidRPr="00283806">
        <w:rPr>
          <w:w w:val="110"/>
          <w:sz w:val="18"/>
        </w:rPr>
        <w:t xml:space="preserve">or operators must notify EPA electronically, using the Agency’s </w:t>
      </w:r>
      <w:r w:rsidRPr="00283806">
        <w:rPr>
          <w:spacing w:val="-2"/>
          <w:w w:val="110"/>
          <w:sz w:val="18"/>
        </w:rPr>
        <w:t>applicable</w:t>
      </w:r>
      <w:r w:rsidRPr="00283806">
        <w:rPr>
          <w:spacing w:val="-3"/>
          <w:w w:val="110"/>
          <w:sz w:val="18"/>
        </w:rPr>
        <w:t xml:space="preserve"> </w:t>
      </w:r>
      <w:r w:rsidRPr="00283806">
        <w:rPr>
          <w:spacing w:val="-2"/>
          <w:w w:val="110"/>
          <w:sz w:val="18"/>
        </w:rPr>
        <w:t>reporting</w:t>
      </w:r>
      <w:r w:rsidRPr="00283806">
        <w:rPr>
          <w:spacing w:val="-3"/>
          <w:w w:val="110"/>
          <w:sz w:val="18"/>
        </w:rPr>
        <w:t xml:space="preserve"> </w:t>
      </w:r>
      <w:r w:rsidRPr="00283806">
        <w:rPr>
          <w:spacing w:val="-2"/>
          <w:w w:val="110"/>
          <w:sz w:val="18"/>
        </w:rPr>
        <w:t>platform,</w:t>
      </w:r>
      <w:r w:rsidRPr="00283806">
        <w:rPr>
          <w:spacing w:val="-3"/>
          <w:w w:val="110"/>
          <w:sz w:val="18"/>
        </w:rPr>
        <w:t xml:space="preserve"> </w:t>
      </w:r>
      <w:r w:rsidRPr="00283806">
        <w:rPr>
          <w:spacing w:val="-2"/>
          <w:w w:val="110"/>
          <w:sz w:val="18"/>
        </w:rPr>
        <w:t>within</w:t>
      </w:r>
      <w:r w:rsidRPr="00283806">
        <w:rPr>
          <w:spacing w:val="-3"/>
          <w:w w:val="110"/>
          <w:sz w:val="18"/>
        </w:rPr>
        <w:t xml:space="preserve"> </w:t>
      </w:r>
      <w:r w:rsidRPr="00283806">
        <w:rPr>
          <w:spacing w:val="-2"/>
          <w:w w:val="110"/>
          <w:sz w:val="18"/>
        </w:rPr>
        <w:t xml:space="preserve">60 </w:t>
      </w:r>
      <w:r w:rsidRPr="00283806">
        <w:rPr>
          <w:w w:val="110"/>
          <w:sz w:val="18"/>
        </w:rPr>
        <w:t>days after the first time the exclusion is used</w:t>
      </w:r>
      <w:r w:rsidRPr="00283806">
        <w:rPr>
          <w:spacing w:val="-5"/>
          <w:w w:val="110"/>
          <w:sz w:val="18"/>
        </w:rPr>
        <w:t xml:space="preserve"> </w:t>
      </w:r>
      <w:r w:rsidRPr="00283806">
        <w:rPr>
          <w:w w:val="110"/>
          <w:sz w:val="18"/>
        </w:rPr>
        <w:t>by</w:t>
      </w:r>
      <w:r w:rsidRPr="00283806">
        <w:rPr>
          <w:spacing w:val="-5"/>
          <w:w w:val="110"/>
          <w:sz w:val="18"/>
        </w:rPr>
        <w:t xml:space="preserve"> </w:t>
      </w:r>
      <w:r w:rsidRPr="00283806">
        <w:rPr>
          <w:w w:val="110"/>
          <w:sz w:val="18"/>
        </w:rPr>
        <w:t>the</w:t>
      </w:r>
      <w:r w:rsidRPr="00283806">
        <w:rPr>
          <w:spacing w:val="-5"/>
          <w:w w:val="110"/>
          <w:sz w:val="18"/>
        </w:rPr>
        <w:t xml:space="preserve"> </w:t>
      </w:r>
      <w:r w:rsidRPr="00283806">
        <w:rPr>
          <w:w w:val="110"/>
          <w:sz w:val="18"/>
        </w:rPr>
        <w:t>facility</w:t>
      </w:r>
      <w:r w:rsidRPr="00283806">
        <w:rPr>
          <w:spacing w:val="-5"/>
          <w:w w:val="110"/>
          <w:sz w:val="18"/>
        </w:rPr>
        <w:t xml:space="preserve"> </w:t>
      </w:r>
      <w:r w:rsidRPr="00283806">
        <w:rPr>
          <w:w w:val="110"/>
          <w:sz w:val="18"/>
        </w:rPr>
        <w:t>where</w:t>
      </w:r>
      <w:r w:rsidRPr="00283806">
        <w:rPr>
          <w:spacing w:val="-5"/>
          <w:w w:val="110"/>
          <w:sz w:val="18"/>
        </w:rPr>
        <w:t xml:space="preserve"> </w:t>
      </w:r>
      <w:r w:rsidRPr="00283806">
        <w:rPr>
          <w:w w:val="110"/>
          <w:sz w:val="18"/>
        </w:rPr>
        <w:t>the</w:t>
      </w:r>
      <w:r w:rsidRPr="00283806">
        <w:rPr>
          <w:spacing w:val="-5"/>
          <w:w w:val="110"/>
          <w:sz w:val="18"/>
        </w:rPr>
        <w:t xml:space="preserve"> </w:t>
      </w:r>
      <w:r w:rsidRPr="00283806">
        <w:rPr>
          <w:w w:val="110"/>
          <w:sz w:val="18"/>
        </w:rPr>
        <w:t xml:space="preserve">appliance is located. The report must include the information included in paragraph </w:t>
      </w:r>
      <w:r w:rsidRPr="00283806">
        <w:rPr>
          <w:sz w:val="18"/>
        </w:rPr>
        <w:t>(l)(11) of this section and must be signed</w:t>
      </w:r>
      <w:r w:rsidRPr="00283806">
        <w:rPr>
          <w:w w:val="110"/>
          <w:sz w:val="18"/>
        </w:rPr>
        <w:t xml:space="preserve"> by an authorized company official.</w:t>
      </w:r>
    </w:p>
    <w:p w14:paraId="4E7EBC43" w14:textId="77777777" w:rsidR="00D67C1E" w:rsidRPr="00283806" w:rsidRDefault="001265CA">
      <w:pPr>
        <w:spacing w:before="111" w:line="235" w:lineRule="auto"/>
        <w:ind w:left="144" w:right="271"/>
        <w:rPr>
          <w:rFonts w:ascii="Arial" w:hAnsi="Arial"/>
          <w:b/>
          <w:sz w:val="16"/>
        </w:rPr>
      </w:pPr>
      <w:r w:rsidRPr="00283806">
        <w:rPr>
          <w:rFonts w:ascii="Arial" w:hAnsi="Arial"/>
          <w:b/>
          <w:sz w:val="16"/>
        </w:rPr>
        <w:t>§</w:t>
      </w:r>
      <w:r w:rsidRPr="00283806">
        <w:rPr>
          <w:rFonts w:ascii="Arial" w:hAnsi="Arial"/>
          <w:b/>
          <w:spacing w:val="-19"/>
          <w:sz w:val="16"/>
        </w:rPr>
        <w:t xml:space="preserve"> </w:t>
      </w:r>
      <w:r w:rsidRPr="00283806">
        <w:rPr>
          <w:rFonts w:ascii="Arial" w:hAnsi="Arial"/>
          <w:b/>
          <w:sz w:val="16"/>
        </w:rPr>
        <w:t>84.108</w:t>
      </w:r>
      <w:r w:rsidRPr="00283806">
        <w:rPr>
          <w:rFonts w:ascii="Arial" w:hAnsi="Arial"/>
          <w:b/>
          <w:spacing w:val="80"/>
          <w:sz w:val="16"/>
        </w:rPr>
        <w:t xml:space="preserve"> </w:t>
      </w:r>
      <w:r w:rsidRPr="00283806">
        <w:rPr>
          <w:rFonts w:ascii="Arial" w:hAnsi="Arial"/>
          <w:b/>
          <w:sz w:val="16"/>
        </w:rPr>
        <w:t>Automatic</w:t>
      </w:r>
      <w:r w:rsidRPr="00283806">
        <w:rPr>
          <w:rFonts w:ascii="Arial" w:hAnsi="Arial"/>
          <w:b/>
          <w:spacing w:val="-7"/>
          <w:sz w:val="16"/>
        </w:rPr>
        <w:t xml:space="preserve"> </w:t>
      </w:r>
      <w:r w:rsidRPr="00283806">
        <w:rPr>
          <w:rFonts w:ascii="Arial" w:hAnsi="Arial"/>
          <w:b/>
          <w:sz w:val="16"/>
        </w:rPr>
        <w:t>leak</w:t>
      </w:r>
      <w:r w:rsidRPr="00283806">
        <w:rPr>
          <w:rFonts w:ascii="Arial" w:hAnsi="Arial"/>
          <w:b/>
          <w:spacing w:val="-7"/>
          <w:sz w:val="16"/>
        </w:rPr>
        <w:t xml:space="preserve"> </w:t>
      </w:r>
      <w:r w:rsidRPr="00283806">
        <w:rPr>
          <w:rFonts w:ascii="Arial" w:hAnsi="Arial"/>
          <w:b/>
          <w:sz w:val="16"/>
        </w:rPr>
        <w:t xml:space="preserve">detection </w:t>
      </w:r>
      <w:r w:rsidRPr="00283806">
        <w:rPr>
          <w:rFonts w:ascii="Arial" w:hAnsi="Arial"/>
          <w:b/>
          <w:spacing w:val="-2"/>
          <w:sz w:val="16"/>
        </w:rPr>
        <w:t>systems.</w:t>
      </w:r>
    </w:p>
    <w:p w14:paraId="6F092E4E" w14:textId="77777777" w:rsidR="00D67C1E" w:rsidRPr="00283806" w:rsidRDefault="001265CA">
      <w:pPr>
        <w:pStyle w:val="ListParagraph"/>
        <w:numPr>
          <w:ilvl w:val="0"/>
          <w:numId w:val="22"/>
        </w:numPr>
        <w:tabs>
          <w:tab w:val="left" w:pos="582"/>
        </w:tabs>
        <w:spacing w:before="37" w:line="228" w:lineRule="auto"/>
        <w:ind w:left="144" w:right="182" w:firstLine="180"/>
        <w:rPr>
          <w:sz w:val="18"/>
        </w:rPr>
      </w:pPr>
      <w:r w:rsidRPr="00283806">
        <w:rPr>
          <w:w w:val="105"/>
          <w:sz w:val="18"/>
        </w:rPr>
        <w:t>Owners</w:t>
      </w:r>
      <w:r w:rsidRPr="00283806">
        <w:rPr>
          <w:spacing w:val="-10"/>
          <w:w w:val="105"/>
          <w:sz w:val="18"/>
        </w:rPr>
        <w:t xml:space="preserve"> </w:t>
      </w:r>
      <w:r w:rsidRPr="00283806">
        <w:rPr>
          <w:w w:val="105"/>
          <w:sz w:val="18"/>
        </w:rPr>
        <w:t>or</w:t>
      </w:r>
      <w:r w:rsidRPr="00283806">
        <w:rPr>
          <w:spacing w:val="-11"/>
          <w:w w:val="105"/>
          <w:sz w:val="18"/>
        </w:rPr>
        <w:t xml:space="preserve"> </w:t>
      </w:r>
      <w:r w:rsidRPr="00283806">
        <w:rPr>
          <w:w w:val="105"/>
          <w:sz w:val="18"/>
        </w:rPr>
        <w:t>operators</w:t>
      </w:r>
      <w:r w:rsidRPr="00283806">
        <w:rPr>
          <w:spacing w:val="-10"/>
          <w:w w:val="105"/>
          <w:sz w:val="18"/>
        </w:rPr>
        <w:t xml:space="preserve"> </w:t>
      </w:r>
      <w:r w:rsidRPr="00283806">
        <w:rPr>
          <w:w w:val="105"/>
          <w:sz w:val="18"/>
        </w:rPr>
        <w:t>of</w:t>
      </w:r>
      <w:r w:rsidRPr="00283806">
        <w:rPr>
          <w:spacing w:val="-10"/>
          <w:w w:val="105"/>
          <w:sz w:val="18"/>
        </w:rPr>
        <w:t xml:space="preserve"> </w:t>
      </w:r>
      <w:proofErr w:type="gramStart"/>
      <w:r w:rsidRPr="00283806">
        <w:rPr>
          <w:w w:val="105"/>
          <w:sz w:val="18"/>
        </w:rPr>
        <w:t>refrigerant-</w:t>
      </w:r>
      <w:proofErr w:type="gramEnd"/>
      <w:r w:rsidRPr="00283806">
        <w:rPr>
          <w:w w:val="105"/>
          <w:sz w:val="18"/>
        </w:rPr>
        <w:t xml:space="preserve"> containing appliances used for</w:t>
      </w:r>
      <w:r w:rsidRPr="00283806">
        <w:rPr>
          <w:spacing w:val="80"/>
          <w:w w:val="105"/>
          <w:sz w:val="18"/>
        </w:rPr>
        <w:t xml:space="preserve"> </w:t>
      </w:r>
      <w:r w:rsidRPr="00283806">
        <w:rPr>
          <w:w w:val="105"/>
          <w:sz w:val="18"/>
        </w:rPr>
        <w:t>industrial process refrigeration or commercial refrigeration with a full charge of 1,500 pounds or greater of a refrigerant containing a regulated substance or a substitute for a regulated substance with a global warming potential greater than 53 must install and use an automatic leak detection system in accordance with this section.</w:t>
      </w:r>
    </w:p>
    <w:p w14:paraId="4E42499E" w14:textId="77777777" w:rsidR="00D67C1E" w:rsidRPr="00283806" w:rsidRDefault="001265CA">
      <w:pPr>
        <w:pStyle w:val="ListParagraph"/>
        <w:numPr>
          <w:ilvl w:val="1"/>
          <w:numId w:val="22"/>
        </w:numPr>
        <w:tabs>
          <w:tab w:val="left" w:pos="592"/>
        </w:tabs>
        <w:spacing w:line="186" w:lineRule="exact"/>
        <w:ind w:left="592" w:hanging="268"/>
        <w:rPr>
          <w:sz w:val="18"/>
        </w:rPr>
      </w:pPr>
      <w:r w:rsidRPr="00283806">
        <w:rPr>
          <w:w w:val="105"/>
          <w:sz w:val="18"/>
        </w:rPr>
        <w:t>If</w:t>
      </w:r>
      <w:r w:rsidRPr="00283806">
        <w:rPr>
          <w:spacing w:val="3"/>
          <w:w w:val="105"/>
          <w:sz w:val="18"/>
        </w:rPr>
        <w:t xml:space="preserve"> </w:t>
      </w:r>
      <w:r w:rsidRPr="00283806">
        <w:rPr>
          <w:w w:val="105"/>
          <w:sz w:val="18"/>
        </w:rPr>
        <w:t>the</w:t>
      </w:r>
      <w:r w:rsidRPr="00283806">
        <w:rPr>
          <w:spacing w:val="3"/>
          <w:w w:val="105"/>
          <w:sz w:val="18"/>
        </w:rPr>
        <w:t xml:space="preserve"> </w:t>
      </w:r>
      <w:r w:rsidRPr="00283806">
        <w:rPr>
          <w:w w:val="105"/>
          <w:sz w:val="18"/>
        </w:rPr>
        <w:t>refrigerant</w:t>
      </w:r>
      <w:r w:rsidRPr="00283806">
        <w:rPr>
          <w:spacing w:val="3"/>
          <w:w w:val="105"/>
          <w:sz w:val="18"/>
        </w:rPr>
        <w:t xml:space="preserve"> </w:t>
      </w:r>
      <w:proofErr w:type="gramStart"/>
      <w:r w:rsidRPr="00283806">
        <w:rPr>
          <w:w w:val="105"/>
          <w:sz w:val="18"/>
        </w:rPr>
        <w:t>in</w:t>
      </w:r>
      <w:proofErr w:type="gramEnd"/>
      <w:r w:rsidRPr="00283806">
        <w:rPr>
          <w:spacing w:val="4"/>
          <w:w w:val="105"/>
          <w:sz w:val="18"/>
        </w:rPr>
        <w:t xml:space="preserve"> </w:t>
      </w:r>
      <w:r w:rsidRPr="00283806">
        <w:rPr>
          <w:w w:val="105"/>
          <w:sz w:val="18"/>
        </w:rPr>
        <w:t>a</w:t>
      </w:r>
      <w:r w:rsidRPr="00283806">
        <w:rPr>
          <w:spacing w:val="3"/>
          <w:w w:val="105"/>
          <w:sz w:val="18"/>
        </w:rPr>
        <w:t xml:space="preserve"> </w:t>
      </w:r>
      <w:r w:rsidRPr="00283806">
        <w:rPr>
          <w:spacing w:val="-2"/>
          <w:w w:val="105"/>
          <w:sz w:val="18"/>
        </w:rPr>
        <w:t>refrigerant-</w:t>
      </w:r>
    </w:p>
    <w:p w14:paraId="600EFFCC" w14:textId="77777777" w:rsidR="00D67C1E" w:rsidRPr="00283806" w:rsidRDefault="001265CA">
      <w:pPr>
        <w:pStyle w:val="BodyText"/>
        <w:spacing w:before="4" w:line="228" w:lineRule="auto"/>
        <w:ind w:left="144" w:right="162"/>
      </w:pPr>
      <w:r w:rsidRPr="00283806">
        <w:rPr>
          <w:w w:val="105"/>
        </w:rPr>
        <w:t>containing appliance contains a substitute for a regulated substance, whether the global warming potential of the substitute is greater than 53 will be determined as described in</w:t>
      </w:r>
    </w:p>
    <w:p w14:paraId="3A78274D" w14:textId="77777777" w:rsidR="00D67C1E" w:rsidRPr="00283806" w:rsidRDefault="001265CA">
      <w:pPr>
        <w:pStyle w:val="BodyText"/>
        <w:spacing w:line="192" w:lineRule="exact"/>
        <w:ind w:left="144"/>
      </w:pPr>
      <w:r w:rsidRPr="00283806">
        <w:t>§</w:t>
      </w:r>
      <w:r w:rsidRPr="00283806">
        <w:rPr>
          <w:spacing w:val="-1"/>
        </w:rPr>
        <w:t xml:space="preserve"> </w:t>
      </w:r>
      <w:r w:rsidRPr="00283806">
        <w:rPr>
          <w:spacing w:val="-2"/>
        </w:rPr>
        <w:t>84.106(a)(2).</w:t>
      </w:r>
    </w:p>
    <w:p w14:paraId="2E8887EB" w14:textId="77777777" w:rsidR="00D67C1E" w:rsidRPr="00283806" w:rsidRDefault="001265CA">
      <w:pPr>
        <w:pStyle w:val="ListParagraph"/>
        <w:numPr>
          <w:ilvl w:val="1"/>
          <w:numId w:val="22"/>
        </w:numPr>
        <w:tabs>
          <w:tab w:val="left" w:pos="592"/>
        </w:tabs>
        <w:spacing w:line="194" w:lineRule="exact"/>
        <w:ind w:left="592" w:hanging="268"/>
        <w:rPr>
          <w:sz w:val="18"/>
        </w:rPr>
      </w:pPr>
      <w:r w:rsidRPr="00283806">
        <w:rPr>
          <w:spacing w:val="-2"/>
          <w:w w:val="105"/>
          <w:sz w:val="18"/>
        </w:rPr>
        <w:t>[Reserved]</w:t>
      </w:r>
    </w:p>
    <w:p w14:paraId="46D31F22" w14:textId="77777777" w:rsidR="00D67C1E" w:rsidRPr="00283806" w:rsidRDefault="001265CA">
      <w:pPr>
        <w:pStyle w:val="BodyText"/>
        <w:spacing w:line="228" w:lineRule="auto"/>
        <w:ind w:left="144" w:right="153" w:firstLine="180"/>
      </w:pPr>
      <w:r w:rsidRPr="00283806">
        <w:rPr>
          <w:w w:val="105"/>
        </w:rPr>
        <w:t>(b)(1) Owners and operators of refrigerant-containing appliances that are subject to the requirements under paragraph</w:t>
      </w:r>
      <w:r w:rsidRPr="00283806">
        <w:rPr>
          <w:spacing w:val="-2"/>
          <w:w w:val="105"/>
        </w:rPr>
        <w:t xml:space="preserve"> </w:t>
      </w:r>
      <w:r w:rsidRPr="00283806">
        <w:rPr>
          <w:w w:val="105"/>
        </w:rPr>
        <w:t>(a)</w:t>
      </w:r>
      <w:r w:rsidRPr="00283806">
        <w:rPr>
          <w:spacing w:val="-2"/>
          <w:w w:val="105"/>
        </w:rPr>
        <w:t xml:space="preserve"> </w:t>
      </w:r>
      <w:r w:rsidRPr="00283806">
        <w:rPr>
          <w:w w:val="105"/>
        </w:rPr>
        <w:t>of</w:t>
      </w:r>
      <w:r w:rsidRPr="00283806">
        <w:rPr>
          <w:spacing w:val="-2"/>
          <w:w w:val="105"/>
        </w:rPr>
        <w:t xml:space="preserve"> </w:t>
      </w:r>
      <w:r w:rsidRPr="00283806">
        <w:rPr>
          <w:w w:val="105"/>
        </w:rPr>
        <w:t>this</w:t>
      </w:r>
      <w:r w:rsidRPr="00283806">
        <w:rPr>
          <w:spacing w:val="-2"/>
          <w:w w:val="105"/>
        </w:rPr>
        <w:t xml:space="preserve"> </w:t>
      </w:r>
      <w:r w:rsidRPr="00283806">
        <w:rPr>
          <w:w w:val="105"/>
        </w:rPr>
        <w:t>section</w:t>
      </w:r>
      <w:r w:rsidRPr="00283806">
        <w:rPr>
          <w:spacing w:val="-2"/>
          <w:w w:val="105"/>
        </w:rPr>
        <w:t xml:space="preserve"> </w:t>
      </w:r>
      <w:r w:rsidRPr="00283806">
        <w:rPr>
          <w:w w:val="105"/>
        </w:rPr>
        <w:t>and</w:t>
      </w:r>
      <w:r w:rsidRPr="00283806">
        <w:rPr>
          <w:spacing w:val="-2"/>
          <w:w w:val="105"/>
        </w:rPr>
        <w:t xml:space="preserve"> </w:t>
      </w:r>
      <w:r w:rsidRPr="00283806">
        <w:rPr>
          <w:w w:val="105"/>
        </w:rPr>
        <w:t>that</w:t>
      </w:r>
      <w:r w:rsidRPr="00283806">
        <w:rPr>
          <w:spacing w:val="-2"/>
          <w:w w:val="105"/>
        </w:rPr>
        <w:t xml:space="preserve"> </w:t>
      </w:r>
      <w:r w:rsidRPr="00283806">
        <w:rPr>
          <w:w w:val="105"/>
        </w:rPr>
        <w:t>are installed on or after January 1, 2026, must install and use an automatic leak detection system upon installation of</w:t>
      </w:r>
      <w:r w:rsidRPr="00283806">
        <w:rPr>
          <w:spacing w:val="80"/>
          <w:w w:val="150"/>
        </w:rPr>
        <w:t xml:space="preserve"> </w:t>
      </w:r>
      <w:r w:rsidRPr="00283806">
        <w:rPr>
          <w:w w:val="105"/>
        </w:rPr>
        <w:t>the refrigerant-containing appliance or within 30 days of installation of the refrigerant-containing appliance.</w:t>
      </w:r>
    </w:p>
    <w:p w14:paraId="2C5E303F" w14:textId="77777777" w:rsidR="00D67C1E" w:rsidRPr="00283806" w:rsidRDefault="001265CA">
      <w:pPr>
        <w:pStyle w:val="BodyText"/>
        <w:spacing w:line="228" w:lineRule="auto"/>
        <w:ind w:left="144" w:right="370" w:firstLine="180"/>
      </w:pPr>
      <w:r w:rsidRPr="00283806">
        <w:rPr>
          <w:w w:val="105"/>
        </w:rPr>
        <w:t>(2) Owners and operators of refrigerant-containing appliances that are subject to the requirements under paragraph (a) of this section and that</w:t>
      </w:r>
    </w:p>
    <w:p w14:paraId="346DB302"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5" w:space="40"/>
            <w:col w:w="3501" w:space="39"/>
            <w:col w:w="3625"/>
          </w:cols>
        </w:sectPr>
      </w:pPr>
    </w:p>
    <w:p w14:paraId="6F79308F" w14:textId="77777777" w:rsidR="00D67C1E" w:rsidRPr="00283806" w:rsidRDefault="001265CA">
      <w:pPr>
        <w:pStyle w:val="BodyText"/>
        <w:spacing w:before="134" w:line="228" w:lineRule="auto"/>
        <w:ind w:right="78"/>
      </w:pPr>
      <w:r w:rsidRPr="00283806">
        <w:rPr>
          <w:w w:val="105"/>
        </w:rPr>
        <w:lastRenderedPageBreak/>
        <w:t>were installed on or after January 1, 2017, and before January 1, 2026, must install and use an automatic leak detection system by January 1, 2027.</w:t>
      </w:r>
    </w:p>
    <w:p w14:paraId="1748E02D" w14:textId="77777777" w:rsidR="00D67C1E" w:rsidRPr="00283806" w:rsidRDefault="001265CA">
      <w:pPr>
        <w:pStyle w:val="ListParagraph"/>
        <w:numPr>
          <w:ilvl w:val="0"/>
          <w:numId w:val="21"/>
        </w:numPr>
        <w:tabs>
          <w:tab w:val="left" w:pos="598"/>
        </w:tabs>
        <w:spacing w:line="179" w:lineRule="exact"/>
        <w:ind w:left="598" w:hanging="258"/>
        <w:rPr>
          <w:sz w:val="18"/>
        </w:rPr>
      </w:pPr>
      <w:r w:rsidRPr="00283806">
        <w:rPr>
          <w:w w:val="105"/>
          <w:sz w:val="18"/>
        </w:rPr>
        <w:t>Automatic</w:t>
      </w:r>
      <w:r w:rsidRPr="00283806">
        <w:rPr>
          <w:spacing w:val="21"/>
          <w:w w:val="105"/>
          <w:sz w:val="18"/>
        </w:rPr>
        <w:t xml:space="preserve"> </w:t>
      </w:r>
      <w:r w:rsidRPr="00283806">
        <w:rPr>
          <w:w w:val="105"/>
          <w:sz w:val="18"/>
        </w:rPr>
        <w:t>leak</w:t>
      </w:r>
      <w:r w:rsidRPr="00283806">
        <w:rPr>
          <w:spacing w:val="21"/>
          <w:w w:val="105"/>
          <w:sz w:val="18"/>
        </w:rPr>
        <w:t xml:space="preserve"> </w:t>
      </w:r>
      <w:r w:rsidRPr="00283806">
        <w:rPr>
          <w:w w:val="105"/>
          <w:sz w:val="18"/>
        </w:rPr>
        <w:t>detection</w:t>
      </w:r>
      <w:r w:rsidRPr="00283806">
        <w:rPr>
          <w:spacing w:val="21"/>
          <w:w w:val="105"/>
          <w:sz w:val="18"/>
        </w:rPr>
        <w:t xml:space="preserve"> </w:t>
      </w:r>
      <w:r w:rsidRPr="00283806">
        <w:rPr>
          <w:spacing w:val="-2"/>
          <w:w w:val="105"/>
          <w:sz w:val="18"/>
        </w:rPr>
        <w:t>systems</w:t>
      </w:r>
    </w:p>
    <w:p w14:paraId="61CCEC7F" w14:textId="77777777" w:rsidR="00D67C1E" w:rsidRPr="00283806" w:rsidRDefault="001265CA">
      <w:pPr>
        <w:pStyle w:val="BodyText"/>
        <w:spacing w:before="3" w:line="228" w:lineRule="auto"/>
      </w:pPr>
      <w:r w:rsidRPr="00283806">
        <w:rPr>
          <w:w w:val="105"/>
        </w:rPr>
        <w:t>must be installed in accordance with manufacturer instructions.</w:t>
      </w:r>
    </w:p>
    <w:p w14:paraId="0D99AF4A" w14:textId="77777777" w:rsidR="00D67C1E" w:rsidRPr="00283806" w:rsidRDefault="001265CA">
      <w:pPr>
        <w:pStyle w:val="ListParagraph"/>
        <w:numPr>
          <w:ilvl w:val="0"/>
          <w:numId w:val="21"/>
        </w:numPr>
        <w:tabs>
          <w:tab w:val="left" w:pos="618"/>
        </w:tabs>
        <w:spacing w:line="180" w:lineRule="exact"/>
        <w:ind w:left="618" w:hanging="278"/>
        <w:rPr>
          <w:sz w:val="18"/>
        </w:rPr>
      </w:pPr>
      <w:r w:rsidRPr="00283806">
        <w:rPr>
          <w:w w:val="105"/>
          <w:sz w:val="18"/>
        </w:rPr>
        <w:t>Automatic</w:t>
      </w:r>
      <w:r w:rsidRPr="00283806">
        <w:rPr>
          <w:spacing w:val="21"/>
          <w:w w:val="105"/>
          <w:sz w:val="18"/>
        </w:rPr>
        <w:t xml:space="preserve"> </w:t>
      </w:r>
      <w:r w:rsidRPr="00283806">
        <w:rPr>
          <w:w w:val="105"/>
          <w:sz w:val="18"/>
        </w:rPr>
        <w:t>leak</w:t>
      </w:r>
      <w:r w:rsidRPr="00283806">
        <w:rPr>
          <w:spacing w:val="21"/>
          <w:w w:val="105"/>
          <w:sz w:val="18"/>
        </w:rPr>
        <w:t xml:space="preserve"> </w:t>
      </w:r>
      <w:r w:rsidRPr="00283806">
        <w:rPr>
          <w:w w:val="105"/>
          <w:sz w:val="18"/>
        </w:rPr>
        <w:t>detection</w:t>
      </w:r>
      <w:r w:rsidRPr="00283806">
        <w:rPr>
          <w:spacing w:val="21"/>
          <w:w w:val="105"/>
          <w:sz w:val="18"/>
        </w:rPr>
        <w:t xml:space="preserve"> </w:t>
      </w:r>
      <w:r w:rsidRPr="00283806">
        <w:rPr>
          <w:spacing w:val="-2"/>
          <w:w w:val="105"/>
          <w:sz w:val="18"/>
        </w:rPr>
        <w:t>systems</w:t>
      </w:r>
    </w:p>
    <w:p w14:paraId="5BE6539E" w14:textId="77777777" w:rsidR="00D67C1E" w:rsidRPr="00283806" w:rsidRDefault="001265CA">
      <w:pPr>
        <w:pStyle w:val="BodyText"/>
        <w:spacing w:before="3" w:line="228" w:lineRule="auto"/>
        <w:ind w:right="157"/>
      </w:pPr>
      <w:r w:rsidRPr="00283806">
        <w:rPr>
          <w:w w:val="105"/>
        </w:rPr>
        <w:t xml:space="preserve">must be audited and calibrated </w:t>
      </w:r>
      <w:r w:rsidRPr="00283806">
        <w:rPr>
          <w:spacing w:val="-2"/>
          <w:w w:val="105"/>
        </w:rPr>
        <w:t>annually.</w:t>
      </w:r>
    </w:p>
    <w:p w14:paraId="2E22B4E8" w14:textId="77777777" w:rsidR="00D67C1E" w:rsidRPr="00283806" w:rsidRDefault="001265CA">
      <w:pPr>
        <w:pStyle w:val="ListParagraph"/>
        <w:numPr>
          <w:ilvl w:val="0"/>
          <w:numId w:val="21"/>
        </w:numPr>
        <w:tabs>
          <w:tab w:val="left" w:pos="598"/>
        </w:tabs>
        <w:spacing w:line="180" w:lineRule="exact"/>
        <w:ind w:left="598" w:hanging="258"/>
        <w:rPr>
          <w:sz w:val="18"/>
        </w:rPr>
      </w:pPr>
      <w:r w:rsidRPr="00283806">
        <w:rPr>
          <w:w w:val="105"/>
          <w:sz w:val="18"/>
        </w:rPr>
        <w:t>Automatic</w:t>
      </w:r>
      <w:r w:rsidRPr="00283806">
        <w:rPr>
          <w:spacing w:val="21"/>
          <w:w w:val="105"/>
          <w:sz w:val="18"/>
        </w:rPr>
        <w:t xml:space="preserve"> </w:t>
      </w:r>
      <w:r w:rsidRPr="00283806">
        <w:rPr>
          <w:w w:val="105"/>
          <w:sz w:val="18"/>
        </w:rPr>
        <w:t>leak</w:t>
      </w:r>
      <w:r w:rsidRPr="00283806">
        <w:rPr>
          <w:spacing w:val="21"/>
          <w:w w:val="105"/>
          <w:sz w:val="18"/>
        </w:rPr>
        <w:t xml:space="preserve"> </w:t>
      </w:r>
      <w:r w:rsidRPr="00283806">
        <w:rPr>
          <w:w w:val="105"/>
          <w:sz w:val="18"/>
        </w:rPr>
        <w:t>detection</w:t>
      </w:r>
      <w:r w:rsidRPr="00283806">
        <w:rPr>
          <w:spacing w:val="21"/>
          <w:w w:val="105"/>
          <w:sz w:val="18"/>
        </w:rPr>
        <w:t xml:space="preserve"> </w:t>
      </w:r>
      <w:r w:rsidRPr="00283806">
        <w:rPr>
          <w:spacing w:val="-2"/>
          <w:w w:val="105"/>
          <w:sz w:val="18"/>
        </w:rPr>
        <w:t>systems</w:t>
      </w:r>
    </w:p>
    <w:p w14:paraId="04830053" w14:textId="77777777" w:rsidR="00D67C1E" w:rsidRPr="00283806" w:rsidRDefault="001265CA">
      <w:pPr>
        <w:pStyle w:val="BodyText"/>
        <w:spacing w:before="3" w:line="228" w:lineRule="auto"/>
      </w:pPr>
      <w:r w:rsidRPr="00283806">
        <w:rPr>
          <w:w w:val="105"/>
        </w:rPr>
        <w:t xml:space="preserve">are required to monitor components located inside an enclosed building or </w:t>
      </w:r>
      <w:r w:rsidRPr="00283806">
        <w:rPr>
          <w:spacing w:val="-2"/>
          <w:w w:val="105"/>
        </w:rPr>
        <w:t>structure.</w:t>
      </w:r>
    </w:p>
    <w:p w14:paraId="30B0340A" w14:textId="77777777" w:rsidR="00D67C1E" w:rsidRPr="00283806" w:rsidRDefault="001265CA">
      <w:pPr>
        <w:pStyle w:val="ListParagraph"/>
        <w:numPr>
          <w:ilvl w:val="0"/>
          <w:numId w:val="21"/>
        </w:numPr>
        <w:tabs>
          <w:tab w:val="left" w:pos="568"/>
        </w:tabs>
        <w:spacing w:line="181" w:lineRule="exact"/>
        <w:ind w:left="568" w:hanging="228"/>
        <w:rPr>
          <w:sz w:val="18"/>
        </w:rPr>
      </w:pPr>
      <w:r w:rsidRPr="00283806">
        <w:rPr>
          <w:w w:val="105"/>
          <w:sz w:val="18"/>
        </w:rPr>
        <w:t>For</w:t>
      </w:r>
      <w:r w:rsidRPr="00283806">
        <w:rPr>
          <w:spacing w:val="10"/>
          <w:w w:val="105"/>
          <w:sz w:val="18"/>
        </w:rPr>
        <w:t xml:space="preserve"> </w:t>
      </w:r>
      <w:r w:rsidRPr="00283806">
        <w:rPr>
          <w:w w:val="105"/>
          <w:sz w:val="18"/>
        </w:rPr>
        <w:t>automatic</w:t>
      </w:r>
      <w:r w:rsidRPr="00283806">
        <w:rPr>
          <w:spacing w:val="11"/>
          <w:w w:val="105"/>
          <w:sz w:val="18"/>
        </w:rPr>
        <w:t xml:space="preserve"> </w:t>
      </w:r>
      <w:r w:rsidRPr="00283806">
        <w:rPr>
          <w:w w:val="105"/>
          <w:sz w:val="18"/>
        </w:rPr>
        <w:t>leak</w:t>
      </w:r>
      <w:r w:rsidRPr="00283806">
        <w:rPr>
          <w:spacing w:val="10"/>
          <w:w w:val="105"/>
          <w:sz w:val="18"/>
        </w:rPr>
        <w:t xml:space="preserve"> </w:t>
      </w:r>
      <w:r w:rsidRPr="00283806">
        <w:rPr>
          <w:spacing w:val="-2"/>
          <w:w w:val="105"/>
          <w:sz w:val="18"/>
        </w:rPr>
        <w:t>detection</w:t>
      </w:r>
    </w:p>
    <w:p w14:paraId="72C92CD6" w14:textId="77777777" w:rsidR="00D67C1E" w:rsidRPr="00283806" w:rsidRDefault="001265CA">
      <w:pPr>
        <w:pStyle w:val="BodyText"/>
        <w:spacing w:before="3" w:line="228" w:lineRule="auto"/>
      </w:pPr>
      <w:r w:rsidRPr="00283806">
        <w:rPr>
          <w:w w:val="105"/>
        </w:rPr>
        <w:t xml:space="preserve">systems that directly detect the presence of a refrigerant in </w:t>
      </w:r>
      <w:proofErr w:type="gramStart"/>
      <w:r w:rsidRPr="00283806">
        <w:rPr>
          <w:w w:val="105"/>
        </w:rPr>
        <w:t>air</w:t>
      </w:r>
      <w:proofErr w:type="gramEnd"/>
      <w:r w:rsidRPr="00283806">
        <w:rPr>
          <w:w w:val="105"/>
        </w:rPr>
        <w:t>, the system must:</w:t>
      </w:r>
    </w:p>
    <w:p w14:paraId="2AC9F957" w14:textId="77777777" w:rsidR="00D67C1E" w:rsidRPr="00283806" w:rsidRDefault="001265CA">
      <w:pPr>
        <w:pStyle w:val="ListParagraph"/>
        <w:numPr>
          <w:ilvl w:val="0"/>
          <w:numId w:val="20"/>
        </w:numPr>
        <w:tabs>
          <w:tab w:val="left" w:pos="608"/>
        </w:tabs>
        <w:spacing w:line="182" w:lineRule="exact"/>
        <w:ind w:left="608" w:hanging="268"/>
        <w:rPr>
          <w:sz w:val="18"/>
        </w:rPr>
      </w:pPr>
      <w:r w:rsidRPr="00283806">
        <w:rPr>
          <w:w w:val="105"/>
          <w:sz w:val="18"/>
        </w:rPr>
        <w:t>Have</w:t>
      </w:r>
      <w:r w:rsidRPr="00283806">
        <w:rPr>
          <w:spacing w:val="8"/>
          <w:w w:val="105"/>
          <w:sz w:val="18"/>
        </w:rPr>
        <w:t xml:space="preserve"> </w:t>
      </w:r>
      <w:r w:rsidRPr="00283806">
        <w:rPr>
          <w:w w:val="105"/>
          <w:sz w:val="18"/>
        </w:rPr>
        <w:t>sensors</w:t>
      </w:r>
      <w:r w:rsidRPr="00283806">
        <w:rPr>
          <w:spacing w:val="9"/>
          <w:w w:val="105"/>
          <w:sz w:val="18"/>
        </w:rPr>
        <w:t xml:space="preserve"> </w:t>
      </w:r>
      <w:r w:rsidRPr="00283806">
        <w:rPr>
          <w:w w:val="105"/>
          <w:sz w:val="18"/>
        </w:rPr>
        <w:t>or</w:t>
      </w:r>
      <w:r w:rsidRPr="00283806">
        <w:rPr>
          <w:spacing w:val="8"/>
          <w:w w:val="105"/>
          <w:sz w:val="18"/>
        </w:rPr>
        <w:t xml:space="preserve"> </w:t>
      </w:r>
      <w:r w:rsidRPr="00283806">
        <w:rPr>
          <w:w w:val="105"/>
          <w:sz w:val="18"/>
        </w:rPr>
        <w:t>intakes</w:t>
      </w:r>
      <w:r w:rsidRPr="00283806">
        <w:rPr>
          <w:spacing w:val="9"/>
          <w:w w:val="105"/>
          <w:sz w:val="18"/>
        </w:rPr>
        <w:t xml:space="preserve"> </w:t>
      </w:r>
      <w:r w:rsidRPr="00283806">
        <w:rPr>
          <w:w w:val="105"/>
          <w:sz w:val="18"/>
        </w:rPr>
        <w:t>placed</w:t>
      </w:r>
      <w:r w:rsidRPr="00283806">
        <w:rPr>
          <w:spacing w:val="8"/>
          <w:w w:val="105"/>
          <w:sz w:val="18"/>
        </w:rPr>
        <w:t xml:space="preserve"> </w:t>
      </w:r>
      <w:r w:rsidRPr="00283806">
        <w:rPr>
          <w:spacing w:val="-5"/>
          <w:w w:val="105"/>
          <w:sz w:val="18"/>
        </w:rPr>
        <w:t>so</w:t>
      </w:r>
    </w:p>
    <w:p w14:paraId="216F5227" w14:textId="77777777" w:rsidR="00D67C1E" w:rsidRPr="00283806" w:rsidRDefault="001265CA">
      <w:pPr>
        <w:pStyle w:val="BodyText"/>
        <w:spacing w:before="3" w:line="228" w:lineRule="auto"/>
        <w:ind w:right="97"/>
      </w:pPr>
      <w:r w:rsidRPr="00283806">
        <w:rPr>
          <w:w w:val="105"/>
        </w:rPr>
        <w:t xml:space="preserve">that they will continuously monitor the refrigerant concentrations in air in proximity to the compressor, evaporator, condenser, and other areas with a high potential for a refrigerant </w:t>
      </w:r>
      <w:r w:rsidRPr="00283806">
        <w:rPr>
          <w:spacing w:val="-2"/>
          <w:w w:val="105"/>
        </w:rPr>
        <w:t>leak;</w:t>
      </w:r>
    </w:p>
    <w:p w14:paraId="46AF69F3" w14:textId="77777777" w:rsidR="00D67C1E" w:rsidRPr="00283806" w:rsidRDefault="001265CA">
      <w:pPr>
        <w:pStyle w:val="ListParagraph"/>
        <w:numPr>
          <w:ilvl w:val="0"/>
          <w:numId w:val="20"/>
        </w:numPr>
        <w:tabs>
          <w:tab w:val="left" w:pos="608"/>
        </w:tabs>
        <w:spacing w:line="180" w:lineRule="exact"/>
        <w:ind w:left="608" w:hanging="268"/>
        <w:rPr>
          <w:sz w:val="18"/>
        </w:rPr>
      </w:pPr>
      <w:r w:rsidRPr="00283806">
        <w:rPr>
          <w:w w:val="105"/>
          <w:sz w:val="18"/>
        </w:rPr>
        <w:t>Accurately</w:t>
      </w:r>
      <w:r w:rsidRPr="00283806">
        <w:rPr>
          <w:spacing w:val="15"/>
          <w:w w:val="105"/>
          <w:sz w:val="18"/>
        </w:rPr>
        <w:t xml:space="preserve"> </w:t>
      </w:r>
      <w:r w:rsidRPr="00283806">
        <w:rPr>
          <w:w w:val="105"/>
          <w:sz w:val="18"/>
        </w:rPr>
        <w:t>detect</w:t>
      </w:r>
      <w:r w:rsidRPr="00283806">
        <w:rPr>
          <w:spacing w:val="16"/>
          <w:w w:val="105"/>
          <w:sz w:val="18"/>
        </w:rPr>
        <w:t xml:space="preserve"> </w:t>
      </w:r>
      <w:r w:rsidRPr="00283806">
        <w:rPr>
          <w:w w:val="105"/>
          <w:sz w:val="18"/>
        </w:rPr>
        <w:t>a</w:t>
      </w:r>
      <w:r w:rsidRPr="00283806">
        <w:rPr>
          <w:spacing w:val="15"/>
          <w:w w:val="105"/>
          <w:sz w:val="18"/>
        </w:rPr>
        <w:t xml:space="preserve"> </w:t>
      </w:r>
      <w:r w:rsidRPr="00283806">
        <w:rPr>
          <w:spacing w:val="-2"/>
          <w:w w:val="105"/>
          <w:sz w:val="18"/>
        </w:rPr>
        <w:t>concentration</w:t>
      </w:r>
    </w:p>
    <w:p w14:paraId="52806991" w14:textId="77777777" w:rsidR="00D67C1E" w:rsidRPr="00283806" w:rsidRDefault="001265CA">
      <w:pPr>
        <w:pStyle w:val="BodyText"/>
        <w:spacing w:before="3" w:line="228" w:lineRule="auto"/>
      </w:pPr>
      <w:r w:rsidRPr="00283806">
        <w:rPr>
          <w:w w:val="105"/>
        </w:rPr>
        <w:t>level of 10 parts per million of vapor of the specific refrigerant or refrigerants used in the refrigerant-containing appliance(s); and</w:t>
      </w:r>
    </w:p>
    <w:p w14:paraId="235EB4CC" w14:textId="77777777" w:rsidR="00D67C1E" w:rsidRPr="00283806" w:rsidRDefault="001265CA">
      <w:pPr>
        <w:pStyle w:val="ListParagraph"/>
        <w:numPr>
          <w:ilvl w:val="0"/>
          <w:numId w:val="20"/>
        </w:numPr>
        <w:tabs>
          <w:tab w:val="left" w:pos="608"/>
        </w:tabs>
        <w:spacing w:line="181" w:lineRule="exact"/>
        <w:ind w:left="608" w:hanging="268"/>
        <w:rPr>
          <w:sz w:val="18"/>
        </w:rPr>
      </w:pPr>
      <w:r w:rsidRPr="00283806">
        <w:rPr>
          <w:w w:val="105"/>
          <w:sz w:val="18"/>
        </w:rPr>
        <w:t>Alert</w:t>
      </w:r>
      <w:r w:rsidRPr="00283806">
        <w:rPr>
          <w:spacing w:val="1"/>
          <w:w w:val="105"/>
          <w:sz w:val="18"/>
        </w:rPr>
        <w:t xml:space="preserve"> </w:t>
      </w:r>
      <w:r w:rsidRPr="00283806">
        <w:rPr>
          <w:w w:val="105"/>
          <w:sz w:val="18"/>
        </w:rPr>
        <w:t>the</w:t>
      </w:r>
      <w:r w:rsidRPr="00283806">
        <w:rPr>
          <w:spacing w:val="1"/>
          <w:w w:val="105"/>
          <w:sz w:val="18"/>
        </w:rPr>
        <w:t xml:space="preserve"> </w:t>
      </w:r>
      <w:r w:rsidRPr="00283806">
        <w:rPr>
          <w:w w:val="105"/>
          <w:sz w:val="18"/>
        </w:rPr>
        <w:t>owner</w:t>
      </w:r>
      <w:r w:rsidRPr="00283806">
        <w:rPr>
          <w:spacing w:val="2"/>
          <w:w w:val="105"/>
          <w:sz w:val="18"/>
        </w:rPr>
        <w:t xml:space="preserve"> </w:t>
      </w:r>
      <w:r w:rsidRPr="00283806">
        <w:rPr>
          <w:w w:val="105"/>
          <w:sz w:val="18"/>
        </w:rPr>
        <w:t>or</w:t>
      </w:r>
      <w:r w:rsidRPr="00283806">
        <w:rPr>
          <w:spacing w:val="1"/>
          <w:w w:val="105"/>
          <w:sz w:val="18"/>
        </w:rPr>
        <w:t xml:space="preserve"> </w:t>
      </w:r>
      <w:r w:rsidRPr="00283806">
        <w:rPr>
          <w:w w:val="105"/>
          <w:sz w:val="18"/>
        </w:rPr>
        <w:t>operator</w:t>
      </w:r>
      <w:r w:rsidRPr="00283806">
        <w:rPr>
          <w:spacing w:val="2"/>
          <w:w w:val="105"/>
          <w:sz w:val="18"/>
        </w:rPr>
        <w:t xml:space="preserve"> </w:t>
      </w:r>
      <w:r w:rsidRPr="00283806">
        <w:rPr>
          <w:spacing w:val="-4"/>
          <w:w w:val="105"/>
          <w:sz w:val="18"/>
        </w:rPr>
        <w:t>when</w:t>
      </w:r>
    </w:p>
    <w:p w14:paraId="034AB6C7" w14:textId="77777777" w:rsidR="00D67C1E" w:rsidRPr="00283806" w:rsidRDefault="001265CA">
      <w:pPr>
        <w:pStyle w:val="BodyText"/>
        <w:spacing w:before="3" w:line="228" w:lineRule="auto"/>
      </w:pPr>
      <w:proofErr w:type="gramStart"/>
      <w:r w:rsidRPr="00283806">
        <w:rPr>
          <w:w w:val="105"/>
        </w:rPr>
        <w:t>a</w:t>
      </w:r>
      <w:r w:rsidRPr="00283806">
        <w:rPr>
          <w:spacing w:val="-7"/>
          <w:w w:val="105"/>
        </w:rPr>
        <w:t xml:space="preserve"> </w:t>
      </w:r>
      <w:r w:rsidRPr="00283806">
        <w:rPr>
          <w:w w:val="105"/>
        </w:rPr>
        <w:t>refrigerant</w:t>
      </w:r>
      <w:proofErr w:type="gramEnd"/>
      <w:r w:rsidRPr="00283806">
        <w:rPr>
          <w:spacing w:val="-7"/>
          <w:w w:val="105"/>
        </w:rPr>
        <w:t xml:space="preserve"> </w:t>
      </w:r>
      <w:r w:rsidRPr="00283806">
        <w:rPr>
          <w:w w:val="105"/>
        </w:rPr>
        <w:t>concentration</w:t>
      </w:r>
      <w:r w:rsidRPr="00283806">
        <w:rPr>
          <w:spacing w:val="-7"/>
          <w:w w:val="105"/>
        </w:rPr>
        <w:t xml:space="preserve"> </w:t>
      </w:r>
      <w:r w:rsidRPr="00283806">
        <w:rPr>
          <w:w w:val="105"/>
        </w:rPr>
        <w:t>of</w:t>
      </w:r>
      <w:r w:rsidRPr="00283806">
        <w:rPr>
          <w:spacing w:val="-7"/>
          <w:w w:val="105"/>
        </w:rPr>
        <w:t xml:space="preserve"> </w:t>
      </w:r>
      <w:r w:rsidRPr="00283806">
        <w:rPr>
          <w:w w:val="105"/>
        </w:rPr>
        <w:t>100</w:t>
      </w:r>
      <w:r w:rsidRPr="00283806">
        <w:rPr>
          <w:spacing w:val="-7"/>
          <w:w w:val="105"/>
        </w:rPr>
        <w:t xml:space="preserve"> </w:t>
      </w:r>
      <w:r w:rsidRPr="00283806">
        <w:rPr>
          <w:w w:val="105"/>
        </w:rPr>
        <w:t>parts per million of vapor of the specific refrigerant or refrigerants used in the appliance(s) is reached.</w:t>
      </w:r>
    </w:p>
    <w:p w14:paraId="64529A67" w14:textId="77777777" w:rsidR="00D67C1E" w:rsidRPr="00283806" w:rsidRDefault="001265CA">
      <w:pPr>
        <w:pStyle w:val="ListParagraph"/>
        <w:numPr>
          <w:ilvl w:val="0"/>
          <w:numId w:val="21"/>
        </w:numPr>
        <w:tabs>
          <w:tab w:val="left" w:pos="598"/>
        </w:tabs>
        <w:spacing w:line="181" w:lineRule="exact"/>
        <w:ind w:left="598" w:hanging="258"/>
        <w:rPr>
          <w:sz w:val="18"/>
        </w:rPr>
      </w:pPr>
      <w:r w:rsidRPr="00283806">
        <w:rPr>
          <w:w w:val="105"/>
          <w:sz w:val="18"/>
        </w:rPr>
        <w:t>For</w:t>
      </w:r>
      <w:r w:rsidRPr="00283806">
        <w:rPr>
          <w:spacing w:val="10"/>
          <w:w w:val="105"/>
          <w:sz w:val="18"/>
        </w:rPr>
        <w:t xml:space="preserve"> </w:t>
      </w:r>
      <w:r w:rsidRPr="00283806">
        <w:rPr>
          <w:w w:val="105"/>
          <w:sz w:val="18"/>
        </w:rPr>
        <w:t>automatic</w:t>
      </w:r>
      <w:r w:rsidRPr="00283806">
        <w:rPr>
          <w:spacing w:val="11"/>
          <w:w w:val="105"/>
          <w:sz w:val="18"/>
        </w:rPr>
        <w:t xml:space="preserve"> </w:t>
      </w:r>
      <w:r w:rsidRPr="00283806">
        <w:rPr>
          <w:w w:val="105"/>
          <w:sz w:val="18"/>
        </w:rPr>
        <w:t>leak</w:t>
      </w:r>
      <w:r w:rsidRPr="00283806">
        <w:rPr>
          <w:spacing w:val="10"/>
          <w:w w:val="105"/>
          <w:sz w:val="18"/>
        </w:rPr>
        <w:t xml:space="preserve"> </w:t>
      </w:r>
      <w:r w:rsidRPr="00283806">
        <w:rPr>
          <w:spacing w:val="-2"/>
          <w:w w:val="105"/>
          <w:sz w:val="18"/>
        </w:rPr>
        <w:t>detection</w:t>
      </w:r>
    </w:p>
    <w:p w14:paraId="4FFA3E68" w14:textId="77777777" w:rsidR="00D67C1E" w:rsidRPr="00283806" w:rsidRDefault="001265CA">
      <w:pPr>
        <w:pStyle w:val="BodyText"/>
        <w:spacing w:before="3" w:line="228" w:lineRule="auto"/>
        <w:ind w:right="127"/>
      </w:pPr>
      <w:r w:rsidRPr="00283806">
        <w:rPr>
          <w:w w:val="105"/>
        </w:rPr>
        <w:t>systems that monitor conditions of the refrigerant-containing appliance, the system must automatically alert the owner</w:t>
      </w:r>
      <w:r w:rsidRPr="00283806">
        <w:rPr>
          <w:spacing w:val="-9"/>
          <w:w w:val="105"/>
        </w:rPr>
        <w:t xml:space="preserve"> </w:t>
      </w:r>
      <w:r w:rsidRPr="00283806">
        <w:rPr>
          <w:w w:val="105"/>
        </w:rPr>
        <w:t>or</w:t>
      </w:r>
      <w:r w:rsidRPr="00283806">
        <w:rPr>
          <w:spacing w:val="-9"/>
          <w:w w:val="105"/>
        </w:rPr>
        <w:t xml:space="preserve"> </w:t>
      </w:r>
      <w:r w:rsidRPr="00283806">
        <w:rPr>
          <w:w w:val="105"/>
        </w:rPr>
        <w:t>operator</w:t>
      </w:r>
      <w:r w:rsidRPr="00283806">
        <w:rPr>
          <w:spacing w:val="-9"/>
          <w:w w:val="105"/>
        </w:rPr>
        <w:t xml:space="preserve"> </w:t>
      </w:r>
      <w:r w:rsidRPr="00283806">
        <w:rPr>
          <w:w w:val="105"/>
        </w:rPr>
        <w:t>when</w:t>
      </w:r>
      <w:r w:rsidRPr="00283806">
        <w:rPr>
          <w:spacing w:val="-9"/>
          <w:w w:val="105"/>
        </w:rPr>
        <w:t xml:space="preserve"> </w:t>
      </w:r>
      <w:r w:rsidRPr="00283806">
        <w:rPr>
          <w:w w:val="105"/>
        </w:rPr>
        <w:t>measurements indicate a loss of 50 pounds of refrigerant or 10 percent of the full charge, whichever is less.</w:t>
      </w:r>
    </w:p>
    <w:p w14:paraId="4E38F638" w14:textId="77777777" w:rsidR="00D67C1E" w:rsidRPr="00283806" w:rsidRDefault="001265CA">
      <w:pPr>
        <w:pStyle w:val="ListParagraph"/>
        <w:numPr>
          <w:ilvl w:val="0"/>
          <w:numId w:val="21"/>
        </w:numPr>
        <w:tabs>
          <w:tab w:val="left" w:pos="618"/>
        </w:tabs>
        <w:spacing w:line="179" w:lineRule="exact"/>
        <w:ind w:left="618" w:hanging="278"/>
        <w:rPr>
          <w:sz w:val="18"/>
        </w:rPr>
      </w:pPr>
      <w:r w:rsidRPr="00283806">
        <w:rPr>
          <w:w w:val="105"/>
          <w:sz w:val="18"/>
        </w:rPr>
        <w:t>When</w:t>
      </w:r>
      <w:r w:rsidRPr="00283806">
        <w:rPr>
          <w:spacing w:val="13"/>
          <w:w w:val="105"/>
          <w:sz w:val="18"/>
        </w:rPr>
        <w:t xml:space="preserve"> </w:t>
      </w:r>
      <w:r w:rsidRPr="00283806">
        <w:rPr>
          <w:w w:val="105"/>
          <w:sz w:val="18"/>
        </w:rPr>
        <w:t>an</w:t>
      </w:r>
      <w:r w:rsidRPr="00283806">
        <w:rPr>
          <w:spacing w:val="14"/>
          <w:w w:val="105"/>
          <w:sz w:val="18"/>
        </w:rPr>
        <w:t xml:space="preserve"> </w:t>
      </w:r>
      <w:r w:rsidRPr="00283806">
        <w:rPr>
          <w:w w:val="105"/>
          <w:sz w:val="18"/>
        </w:rPr>
        <w:t>automatic</w:t>
      </w:r>
      <w:r w:rsidRPr="00283806">
        <w:rPr>
          <w:spacing w:val="13"/>
          <w:w w:val="105"/>
          <w:sz w:val="18"/>
        </w:rPr>
        <w:t xml:space="preserve"> </w:t>
      </w:r>
      <w:r w:rsidRPr="00283806">
        <w:rPr>
          <w:w w:val="105"/>
          <w:sz w:val="18"/>
        </w:rPr>
        <w:t>leak</w:t>
      </w:r>
      <w:r w:rsidRPr="00283806">
        <w:rPr>
          <w:spacing w:val="14"/>
          <w:w w:val="105"/>
          <w:sz w:val="18"/>
        </w:rPr>
        <w:t xml:space="preserve"> </w:t>
      </w:r>
      <w:r w:rsidRPr="00283806">
        <w:rPr>
          <w:spacing w:val="-2"/>
          <w:w w:val="105"/>
          <w:sz w:val="18"/>
        </w:rPr>
        <w:t>detection</w:t>
      </w:r>
    </w:p>
    <w:p w14:paraId="7A4AA565" w14:textId="77777777" w:rsidR="00D67C1E" w:rsidRPr="00283806" w:rsidRDefault="001265CA">
      <w:pPr>
        <w:pStyle w:val="BodyText"/>
        <w:spacing w:before="3" w:line="228" w:lineRule="auto"/>
        <w:ind w:right="48"/>
      </w:pPr>
      <w:r w:rsidRPr="00283806">
        <w:rPr>
          <w:w w:val="105"/>
        </w:rPr>
        <w:t>system alerts an owner or operator of a leak as described in this section, owners and operators of refrigerant-containing appliances using automatic leak</w:t>
      </w:r>
      <w:r w:rsidRPr="00283806">
        <w:rPr>
          <w:spacing w:val="40"/>
          <w:w w:val="105"/>
        </w:rPr>
        <w:t xml:space="preserve"> </w:t>
      </w:r>
      <w:r w:rsidRPr="00283806">
        <w:rPr>
          <w:w w:val="105"/>
        </w:rPr>
        <w:t>detection systems must comply with the requirements either in paragraph (h)(1) or in (h)(2) of this section and must also comply with paragraph (h)(3) of this section where applicable:</w:t>
      </w:r>
    </w:p>
    <w:p w14:paraId="1CB818D7" w14:textId="77777777" w:rsidR="00D67C1E" w:rsidRPr="00283806" w:rsidRDefault="001265CA">
      <w:pPr>
        <w:pStyle w:val="ListParagraph"/>
        <w:numPr>
          <w:ilvl w:val="0"/>
          <w:numId w:val="19"/>
        </w:numPr>
        <w:tabs>
          <w:tab w:val="left" w:pos="608"/>
        </w:tabs>
        <w:spacing w:line="178" w:lineRule="exact"/>
        <w:ind w:left="608" w:hanging="268"/>
        <w:rPr>
          <w:sz w:val="18"/>
        </w:rPr>
      </w:pPr>
      <w:r w:rsidRPr="00283806">
        <w:rPr>
          <w:w w:val="105"/>
          <w:sz w:val="18"/>
        </w:rPr>
        <w:t>Calculate</w:t>
      </w:r>
      <w:r w:rsidRPr="00283806">
        <w:rPr>
          <w:spacing w:val="13"/>
          <w:w w:val="105"/>
          <w:sz w:val="18"/>
        </w:rPr>
        <w:t xml:space="preserve"> </w:t>
      </w:r>
      <w:r w:rsidRPr="00283806">
        <w:rPr>
          <w:w w:val="105"/>
          <w:sz w:val="18"/>
        </w:rPr>
        <w:t>the</w:t>
      </w:r>
      <w:r w:rsidRPr="00283806">
        <w:rPr>
          <w:spacing w:val="13"/>
          <w:w w:val="105"/>
          <w:sz w:val="18"/>
        </w:rPr>
        <w:t xml:space="preserve"> </w:t>
      </w:r>
      <w:r w:rsidRPr="00283806">
        <w:rPr>
          <w:w w:val="105"/>
          <w:sz w:val="18"/>
        </w:rPr>
        <w:t>leak</w:t>
      </w:r>
      <w:r w:rsidRPr="00283806">
        <w:rPr>
          <w:spacing w:val="13"/>
          <w:w w:val="105"/>
          <w:sz w:val="18"/>
        </w:rPr>
        <w:t xml:space="preserve"> </w:t>
      </w:r>
      <w:r w:rsidRPr="00283806">
        <w:rPr>
          <w:w w:val="105"/>
          <w:sz w:val="18"/>
        </w:rPr>
        <w:t>rate</w:t>
      </w:r>
      <w:r w:rsidRPr="00283806">
        <w:rPr>
          <w:spacing w:val="13"/>
          <w:w w:val="105"/>
          <w:sz w:val="18"/>
        </w:rPr>
        <w:t xml:space="preserve"> </w:t>
      </w:r>
      <w:r w:rsidRPr="00283806">
        <w:rPr>
          <w:w w:val="105"/>
          <w:sz w:val="18"/>
        </w:rPr>
        <w:t>within</w:t>
      </w:r>
      <w:r w:rsidRPr="00283806">
        <w:rPr>
          <w:spacing w:val="13"/>
          <w:w w:val="105"/>
          <w:sz w:val="18"/>
        </w:rPr>
        <w:t xml:space="preserve"> </w:t>
      </w:r>
      <w:r w:rsidRPr="00283806">
        <w:rPr>
          <w:spacing w:val="-7"/>
          <w:w w:val="105"/>
          <w:sz w:val="18"/>
        </w:rPr>
        <w:t>30</w:t>
      </w:r>
    </w:p>
    <w:p w14:paraId="5D9DC167" w14:textId="77777777" w:rsidR="00D67C1E" w:rsidRPr="00283806" w:rsidRDefault="001265CA">
      <w:pPr>
        <w:pStyle w:val="BodyText"/>
        <w:spacing w:before="4" w:line="228" w:lineRule="auto"/>
        <w:ind w:right="78"/>
      </w:pPr>
      <w:r w:rsidRPr="00283806">
        <w:rPr>
          <w:w w:val="105"/>
        </w:rPr>
        <w:t>days (or 120 days where an industrial process shutdown would be necessary) of an alert and, if the leak rate is above the</w:t>
      </w:r>
      <w:r w:rsidRPr="00283806">
        <w:rPr>
          <w:spacing w:val="7"/>
          <w:w w:val="105"/>
        </w:rPr>
        <w:t xml:space="preserve"> </w:t>
      </w:r>
      <w:r w:rsidRPr="00283806">
        <w:rPr>
          <w:w w:val="105"/>
        </w:rPr>
        <w:t>applicable</w:t>
      </w:r>
      <w:r w:rsidRPr="00283806">
        <w:rPr>
          <w:spacing w:val="7"/>
          <w:w w:val="105"/>
        </w:rPr>
        <w:t xml:space="preserve"> </w:t>
      </w:r>
      <w:r w:rsidRPr="00283806">
        <w:rPr>
          <w:w w:val="105"/>
        </w:rPr>
        <w:t>leak</w:t>
      </w:r>
      <w:r w:rsidRPr="00283806">
        <w:rPr>
          <w:spacing w:val="7"/>
          <w:w w:val="105"/>
        </w:rPr>
        <w:t xml:space="preserve"> </w:t>
      </w:r>
      <w:r w:rsidRPr="00283806">
        <w:rPr>
          <w:w w:val="105"/>
        </w:rPr>
        <w:t>rate</w:t>
      </w:r>
      <w:r w:rsidRPr="00283806">
        <w:rPr>
          <w:spacing w:val="7"/>
          <w:w w:val="105"/>
        </w:rPr>
        <w:t xml:space="preserve"> </w:t>
      </w:r>
      <w:r w:rsidRPr="00283806">
        <w:rPr>
          <w:w w:val="105"/>
        </w:rPr>
        <w:t>as</w:t>
      </w:r>
      <w:r w:rsidRPr="00283806">
        <w:rPr>
          <w:spacing w:val="7"/>
          <w:w w:val="105"/>
        </w:rPr>
        <w:t xml:space="preserve"> </w:t>
      </w:r>
      <w:r w:rsidRPr="00283806">
        <w:rPr>
          <w:w w:val="105"/>
        </w:rPr>
        <w:t>described</w:t>
      </w:r>
      <w:r w:rsidRPr="00283806">
        <w:rPr>
          <w:spacing w:val="7"/>
          <w:w w:val="105"/>
        </w:rPr>
        <w:t xml:space="preserve"> </w:t>
      </w:r>
      <w:r w:rsidRPr="00283806">
        <w:rPr>
          <w:spacing w:val="-5"/>
          <w:w w:val="105"/>
        </w:rPr>
        <w:t>in</w:t>
      </w:r>
    </w:p>
    <w:p w14:paraId="08116955" w14:textId="77777777" w:rsidR="00D67C1E" w:rsidRPr="00283806" w:rsidRDefault="001265CA">
      <w:pPr>
        <w:pStyle w:val="BodyText"/>
        <w:spacing w:line="228" w:lineRule="auto"/>
      </w:pPr>
      <w:r w:rsidRPr="00283806">
        <w:rPr>
          <w:w w:val="105"/>
        </w:rPr>
        <w:t>§</w:t>
      </w:r>
      <w:r w:rsidRPr="00283806">
        <w:rPr>
          <w:spacing w:val="-12"/>
          <w:w w:val="105"/>
        </w:rPr>
        <w:t xml:space="preserve"> </w:t>
      </w:r>
      <w:r w:rsidRPr="00283806">
        <w:rPr>
          <w:w w:val="105"/>
        </w:rPr>
        <w:t>84.106(c)(2), comply with the full suite of leak repair provisions in §</w:t>
      </w:r>
      <w:r w:rsidRPr="00283806">
        <w:rPr>
          <w:spacing w:val="-2"/>
          <w:w w:val="105"/>
        </w:rPr>
        <w:t xml:space="preserve"> </w:t>
      </w:r>
      <w:r w:rsidRPr="00283806">
        <w:rPr>
          <w:w w:val="105"/>
        </w:rPr>
        <w:t>84.106; or</w:t>
      </w:r>
    </w:p>
    <w:p w14:paraId="1F029E59" w14:textId="77777777" w:rsidR="00D67C1E" w:rsidRPr="00283806" w:rsidRDefault="001265CA">
      <w:pPr>
        <w:pStyle w:val="ListParagraph"/>
        <w:numPr>
          <w:ilvl w:val="0"/>
          <w:numId w:val="19"/>
        </w:numPr>
        <w:tabs>
          <w:tab w:val="left" w:pos="608"/>
        </w:tabs>
        <w:spacing w:line="182" w:lineRule="exact"/>
        <w:ind w:left="608" w:hanging="268"/>
        <w:rPr>
          <w:sz w:val="18"/>
        </w:rPr>
      </w:pPr>
      <w:r w:rsidRPr="00283806">
        <w:rPr>
          <w:w w:val="105"/>
          <w:sz w:val="18"/>
        </w:rPr>
        <w:t>Preemptively</w:t>
      </w:r>
      <w:r w:rsidRPr="00283806">
        <w:rPr>
          <w:spacing w:val="6"/>
          <w:w w:val="105"/>
          <w:sz w:val="18"/>
        </w:rPr>
        <w:t xml:space="preserve"> </w:t>
      </w:r>
      <w:r w:rsidRPr="00283806">
        <w:rPr>
          <w:w w:val="105"/>
          <w:sz w:val="18"/>
        </w:rPr>
        <w:t>repair</w:t>
      </w:r>
      <w:r w:rsidRPr="00283806">
        <w:rPr>
          <w:spacing w:val="6"/>
          <w:w w:val="105"/>
          <w:sz w:val="18"/>
        </w:rPr>
        <w:t xml:space="preserve"> </w:t>
      </w:r>
      <w:r w:rsidRPr="00283806">
        <w:rPr>
          <w:w w:val="105"/>
          <w:sz w:val="18"/>
        </w:rPr>
        <w:t>the</w:t>
      </w:r>
      <w:r w:rsidRPr="00283806">
        <w:rPr>
          <w:spacing w:val="7"/>
          <w:w w:val="105"/>
          <w:sz w:val="18"/>
        </w:rPr>
        <w:t xml:space="preserve"> </w:t>
      </w:r>
      <w:r w:rsidRPr="00283806">
        <w:rPr>
          <w:spacing w:val="-2"/>
          <w:w w:val="105"/>
          <w:sz w:val="18"/>
        </w:rPr>
        <w:t>identified</w:t>
      </w:r>
    </w:p>
    <w:p w14:paraId="42818636" w14:textId="77777777" w:rsidR="00D67C1E" w:rsidRPr="00283806" w:rsidRDefault="001265CA">
      <w:pPr>
        <w:pStyle w:val="BodyText"/>
        <w:spacing w:before="1" w:line="228" w:lineRule="auto"/>
        <w:ind w:right="9"/>
      </w:pPr>
      <w:r w:rsidRPr="00283806">
        <w:t>leak(s) before adding refrigerant to the</w:t>
      </w:r>
      <w:r w:rsidRPr="00283806">
        <w:rPr>
          <w:spacing w:val="40"/>
        </w:rPr>
        <w:t xml:space="preserve"> </w:t>
      </w:r>
      <w:r w:rsidRPr="00283806">
        <w:t>appliance</w:t>
      </w:r>
      <w:r w:rsidRPr="00283806">
        <w:rPr>
          <w:spacing w:val="40"/>
        </w:rPr>
        <w:t xml:space="preserve"> </w:t>
      </w:r>
      <w:r w:rsidRPr="00283806">
        <w:t>and</w:t>
      </w:r>
      <w:r w:rsidRPr="00283806">
        <w:rPr>
          <w:spacing w:val="40"/>
        </w:rPr>
        <w:t xml:space="preserve"> </w:t>
      </w:r>
      <w:r w:rsidRPr="00283806">
        <w:t>then</w:t>
      </w:r>
      <w:r w:rsidRPr="00283806">
        <w:rPr>
          <w:spacing w:val="40"/>
        </w:rPr>
        <w:t xml:space="preserve"> </w:t>
      </w:r>
      <w:r w:rsidRPr="00283806">
        <w:t>calculate</w:t>
      </w:r>
      <w:r w:rsidRPr="00283806">
        <w:rPr>
          <w:spacing w:val="40"/>
        </w:rPr>
        <w:t xml:space="preserve"> </w:t>
      </w:r>
      <w:r w:rsidRPr="00283806">
        <w:t>the</w:t>
      </w:r>
      <w:r w:rsidRPr="00283806">
        <w:rPr>
          <w:spacing w:val="40"/>
        </w:rPr>
        <w:t xml:space="preserve"> </w:t>
      </w:r>
      <w:r w:rsidRPr="00283806">
        <w:t>leak</w:t>
      </w:r>
      <w:r w:rsidRPr="00283806">
        <w:rPr>
          <w:spacing w:val="40"/>
        </w:rPr>
        <w:t xml:space="preserve"> </w:t>
      </w:r>
      <w:r w:rsidRPr="00283806">
        <w:t>rate</w:t>
      </w:r>
      <w:r w:rsidRPr="00283806">
        <w:rPr>
          <w:spacing w:val="40"/>
        </w:rPr>
        <w:t xml:space="preserve"> </w:t>
      </w:r>
      <w:r w:rsidRPr="00283806">
        <w:t>within</w:t>
      </w:r>
      <w:r w:rsidRPr="00283806">
        <w:rPr>
          <w:spacing w:val="40"/>
        </w:rPr>
        <w:t xml:space="preserve"> </w:t>
      </w:r>
      <w:r w:rsidRPr="00283806">
        <w:t>30</w:t>
      </w:r>
      <w:r w:rsidRPr="00283806">
        <w:rPr>
          <w:spacing w:val="40"/>
        </w:rPr>
        <w:t xml:space="preserve"> </w:t>
      </w:r>
      <w:r w:rsidRPr="00283806">
        <w:t>days</w:t>
      </w:r>
      <w:r w:rsidRPr="00283806">
        <w:rPr>
          <w:spacing w:val="40"/>
        </w:rPr>
        <w:t xml:space="preserve"> </w:t>
      </w:r>
      <w:r w:rsidRPr="00283806">
        <w:t>(or</w:t>
      </w:r>
      <w:r w:rsidRPr="00283806">
        <w:rPr>
          <w:spacing w:val="40"/>
        </w:rPr>
        <w:t xml:space="preserve"> </w:t>
      </w:r>
      <w:r w:rsidRPr="00283806">
        <w:t>120</w:t>
      </w:r>
      <w:r w:rsidRPr="00283806">
        <w:rPr>
          <w:spacing w:val="40"/>
        </w:rPr>
        <w:t xml:space="preserve"> </w:t>
      </w:r>
      <w:r w:rsidRPr="00283806">
        <w:t>days</w:t>
      </w:r>
      <w:r w:rsidRPr="00283806">
        <w:rPr>
          <w:spacing w:val="40"/>
        </w:rPr>
        <w:t xml:space="preserve"> </w:t>
      </w:r>
      <w:r w:rsidRPr="00283806">
        <w:t>where</w:t>
      </w:r>
      <w:r w:rsidRPr="00283806">
        <w:rPr>
          <w:spacing w:val="40"/>
        </w:rPr>
        <w:t xml:space="preserve"> </w:t>
      </w:r>
      <w:r w:rsidRPr="00283806">
        <w:t>an</w:t>
      </w:r>
      <w:r w:rsidRPr="00283806">
        <w:rPr>
          <w:spacing w:val="40"/>
        </w:rPr>
        <w:t xml:space="preserve"> </w:t>
      </w:r>
      <w:r w:rsidRPr="00283806">
        <w:t>industrial</w:t>
      </w:r>
      <w:r w:rsidRPr="00283806">
        <w:rPr>
          <w:spacing w:val="40"/>
        </w:rPr>
        <w:t xml:space="preserve"> </w:t>
      </w:r>
      <w:r w:rsidRPr="00283806">
        <w:t>process</w:t>
      </w:r>
      <w:r w:rsidRPr="00283806">
        <w:rPr>
          <w:spacing w:val="40"/>
        </w:rPr>
        <w:t xml:space="preserve"> </w:t>
      </w:r>
      <w:r w:rsidRPr="00283806">
        <w:t>shutdown</w:t>
      </w:r>
      <w:r w:rsidRPr="00283806">
        <w:rPr>
          <w:spacing w:val="40"/>
        </w:rPr>
        <w:t xml:space="preserve"> </w:t>
      </w:r>
      <w:r w:rsidRPr="00283806">
        <w:t>would</w:t>
      </w:r>
      <w:r w:rsidRPr="00283806">
        <w:rPr>
          <w:spacing w:val="80"/>
        </w:rPr>
        <w:t xml:space="preserve"> </w:t>
      </w:r>
      <w:r w:rsidRPr="00283806">
        <w:t>be</w:t>
      </w:r>
      <w:r w:rsidRPr="00283806">
        <w:rPr>
          <w:spacing w:val="30"/>
        </w:rPr>
        <w:t xml:space="preserve"> </w:t>
      </w:r>
      <w:r w:rsidRPr="00283806">
        <w:t>necessary)</w:t>
      </w:r>
      <w:r w:rsidRPr="00283806">
        <w:rPr>
          <w:spacing w:val="30"/>
        </w:rPr>
        <w:t xml:space="preserve"> </w:t>
      </w:r>
      <w:r w:rsidRPr="00283806">
        <w:t>of</w:t>
      </w:r>
      <w:r w:rsidRPr="00283806">
        <w:rPr>
          <w:spacing w:val="30"/>
        </w:rPr>
        <w:t xml:space="preserve"> </w:t>
      </w:r>
      <w:r w:rsidRPr="00283806">
        <w:t>an</w:t>
      </w:r>
      <w:r w:rsidRPr="00283806">
        <w:rPr>
          <w:spacing w:val="30"/>
        </w:rPr>
        <w:t xml:space="preserve"> </w:t>
      </w:r>
      <w:r w:rsidRPr="00283806">
        <w:t>alert.</w:t>
      </w:r>
      <w:r w:rsidRPr="00283806">
        <w:rPr>
          <w:spacing w:val="30"/>
        </w:rPr>
        <w:t xml:space="preserve"> </w:t>
      </w:r>
      <w:r w:rsidRPr="00283806">
        <w:t>If</w:t>
      </w:r>
      <w:r w:rsidRPr="00283806">
        <w:rPr>
          <w:spacing w:val="30"/>
        </w:rPr>
        <w:t xml:space="preserve"> </w:t>
      </w:r>
      <w:r w:rsidRPr="00283806">
        <w:t>the</w:t>
      </w:r>
      <w:r w:rsidRPr="00283806">
        <w:rPr>
          <w:spacing w:val="30"/>
        </w:rPr>
        <w:t xml:space="preserve"> </w:t>
      </w:r>
      <w:r w:rsidRPr="00283806">
        <w:t>leak</w:t>
      </w:r>
      <w:r w:rsidRPr="00283806">
        <w:rPr>
          <w:spacing w:val="30"/>
        </w:rPr>
        <w:t xml:space="preserve"> </w:t>
      </w:r>
      <w:r w:rsidRPr="00283806">
        <w:t>rate</w:t>
      </w:r>
      <w:r w:rsidRPr="00283806">
        <w:rPr>
          <w:spacing w:val="40"/>
        </w:rPr>
        <w:t xml:space="preserve"> </w:t>
      </w:r>
      <w:r w:rsidRPr="00283806">
        <w:t>is above the applicable leak rate as</w:t>
      </w:r>
      <w:r w:rsidRPr="00283806">
        <w:rPr>
          <w:spacing w:val="40"/>
        </w:rPr>
        <w:t xml:space="preserve"> </w:t>
      </w:r>
      <w:r w:rsidRPr="00283806">
        <w:t>described in § 84.106(c)(2), the owner or</w:t>
      </w:r>
      <w:r w:rsidRPr="00283806">
        <w:rPr>
          <w:spacing w:val="40"/>
        </w:rPr>
        <w:t xml:space="preserve"> </w:t>
      </w:r>
      <w:r w:rsidRPr="00283806">
        <w:t>operator</w:t>
      </w:r>
      <w:r w:rsidRPr="00283806">
        <w:rPr>
          <w:spacing w:val="36"/>
        </w:rPr>
        <w:t xml:space="preserve"> </w:t>
      </w:r>
      <w:r w:rsidRPr="00283806">
        <w:t>must</w:t>
      </w:r>
      <w:r w:rsidRPr="00283806">
        <w:rPr>
          <w:spacing w:val="36"/>
        </w:rPr>
        <w:t xml:space="preserve"> </w:t>
      </w:r>
      <w:r w:rsidRPr="00283806">
        <w:t>comply</w:t>
      </w:r>
      <w:r w:rsidRPr="00283806">
        <w:rPr>
          <w:spacing w:val="36"/>
        </w:rPr>
        <w:t xml:space="preserve"> </w:t>
      </w:r>
      <w:r w:rsidRPr="00283806">
        <w:t>with</w:t>
      </w:r>
      <w:r w:rsidRPr="00283806">
        <w:rPr>
          <w:spacing w:val="36"/>
        </w:rPr>
        <w:t xml:space="preserve"> </w:t>
      </w:r>
      <w:r w:rsidRPr="00283806">
        <w:t>the</w:t>
      </w:r>
      <w:r w:rsidRPr="00283806">
        <w:rPr>
          <w:spacing w:val="36"/>
        </w:rPr>
        <w:t xml:space="preserve"> </w:t>
      </w:r>
      <w:r w:rsidRPr="00283806">
        <w:t>full</w:t>
      </w:r>
      <w:r w:rsidRPr="00283806">
        <w:rPr>
          <w:spacing w:val="36"/>
        </w:rPr>
        <w:t xml:space="preserve"> </w:t>
      </w:r>
      <w:r w:rsidRPr="00283806">
        <w:t>suite</w:t>
      </w:r>
      <w:r w:rsidRPr="00283806">
        <w:rPr>
          <w:spacing w:val="40"/>
        </w:rPr>
        <w:t xml:space="preserve"> </w:t>
      </w:r>
      <w:r w:rsidRPr="00283806">
        <w:t>of</w:t>
      </w:r>
      <w:r w:rsidRPr="00283806">
        <w:rPr>
          <w:spacing w:val="40"/>
        </w:rPr>
        <w:t xml:space="preserve"> </w:t>
      </w:r>
      <w:r w:rsidRPr="00283806">
        <w:t>leak</w:t>
      </w:r>
      <w:r w:rsidRPr="00283806">
        <w:rPr>
          <w:spacing w:val="40"/>
        </w:rPr>
        <w:t xml:space="preserve"> </w:t>
      </w:r>
      <w:r w:rsidRPr="00283806">
        <w:t>repair</w:t>
      </w:r>
      <w:r w:rsidRPr="00283806">
        <w:rPr>
          <w:spacing w:val="40"/>
        </w:rPr>
        <w:t xml:space="preserve"> </w:t>
      </w:r>
      <w:r w:rsidRPr="00283806">
        <w:t>provisions</w:t>
      </w:r>
      <w:r w:rsidRPr="00283806">
        <w:rPr>
          <w:spacing w:val="40"/>
        </w:rPr>
        <w:t xml:space="preserve"> </w:t>
      </w:r>
      <w:r w:rsidRPr="00283806">
        <w:t>in</w:t>
      </w:r>
      <w:r w:rsidRPr="00283806">
        <w:rPr>
          <w:spacing w:val="40"/>
        </w:rPr>
        <w:t xml:space="preserve"> </w:t>
      </w:r>
      <w:r w:rsidRPr="00283806">
        <w:t>§ 84.106.</w:t>
      </w:r>
    </w:p>
    <w:p w14:paraId="7E06A333" w14:textId="77777777" w:rsidR="00D67C1E" w:rsidRPr="00283806" w:rsidRDefault="001265CA">
      <w:pPr>
        <w:pStyle w:val="ListParagraph"/>
        <w:numPr>
          <w:ilvl w:val="0"/>
          <w:numId w:val="19"/>
        </w:numPr>
        <w:tabs>
          <w:tab w:val="left" w:pos="592"/>
        </w:tabs>
        <w:spacing w:before="132" w:line="228" w:lineRule="auto"/>
        <w:ind w:left="144" w:firstLine="180"/>
        <w:rPr>
          <w:sz w:val="18"/>
        </w:rPr>
      </w:pPr>
      <w:r w:rsidRPr="00283806">
        <w:br w:type="column"/>
      </w:r>
      <w:r w:rsidRPr="00283806">
        <w:rPr>
          <w:w w:val="105"/>
          <w:sz w:val="18"/>
        </w:rPr>
        <w:t>Where a refrigerant-containing appliance using an automatic leak detection system is found to be leaking above the applicable leak rate as described in § 84.106(c)(2), and the automatic</w:t>
      </w:r>
      <w:r w:rsidRPr="00283806">
        <w:rPr>
          <w:spacing w:val="40"/>
          <w:w w:val="105"/>
          <w:sz w:val="18"/>
        </w:rPr>
        <w:t xml:space="preserve"> </w:t>
      </w:r>
      <w:r w:rsidRPr="00283806">
        <w:rPr>
          <w:w w:val="105"/>
          <w:sz w:val="18"/>
        </w:rPr>
        <w:t>leak</w:t>
      </w:r>
      <w:r w:rsidRPr="00283806">
        <w:rPr>
          <w:spacing w:val="40"/>
          <w:w w:val="105"/>
          <w:sz w:val="18"/>
        </w:rPr>
        <w:t xml:space="preserve"> </w:t>
      </w:r>
      <w:r w:rsidRPr="00283806">
        <w:rPr>
          <w:w w:val="105"/>
          <w:sz w:val="18"/>
        </w:rPr>
        <w:t>system</w:t>
      </w:r>
      <w:r w:rsidRPr="00283806">
        <w:rPr>
          <w:spacing w:val="40"/>
          <w:w w:val="105"/>
          <w:sz w:val="18"/>
        </w:rPr>
        <w:t xml:space="preserve"> </w:t>
      </w:r>
      <w:r w:rsidRPr="00283806">
        <w:rPr>
          <w:w w:val="105"/>
          <w:sz w:val="18"/>
        </w:rPr>
        <w:t>is</w:t>
      </w:r>
      <w:r w:rsidRPr="00283806">
        <w:rPr>
          <w:spacing w:val="40"/>
          <w:w w:val="105"/>
          <w:sz w:val="18"/>
        </w:rPr>
        <w:t xml:space="preserve"> </w:t>
      </w:r>
      <w:r w:rsidRPr="00283806">
        <w:rPr>
          <w:w w:val="105"/>
          <w:sz w:val="18"/>
        </w:rPr>
        <w:t>only</w:t>
      </w:r>
      <w:r w:rsidRPr="00283806">
        <w:rPr>
          <w:spacing w:val="40"/>
          <w:w w:val="105"/>
          <w:sz w:val="18"/>
        </w:rPr>
        <w:t xml:space="preserve"> </w:t>
      </w:r>
      <w:r w:rsidRPr="00283806">
        <w:rPr>
          <w:w w:val="105"/>
          <w:sz w:val="18"/>
        </w:rPr>
        <w:t>being used to monitor portions of an</w:t>
      </w:r>
      <w:r w:rsidRPr="00283806">
        <w:rPr>
          <w:spacing w:val="80"/>
          <w:w w:val="150"/>
          <w:sz w:val="18"/>
        </w:rPr>
        <w:t xml:space="preserve"> </w:t>
      </w:r>
      <w:r w:rsidRPr="00283806">
        <w:rPr>
          <w:w w:val="105"/>
          <w:sz w:val="18"/>
        </w:rPr>
        <w:t>appliance, the remainder of the</w:t>
      </w:r>
      <w:r w:rsidRPr="00283806">
        <w:rPr>
          <w:spacing w:val="80"/>
          <w:w w:val="105"/>
          <w:sz w:val="18"/>
        </w:rPr>
        <w:t xml:space="preserve"> </w:t>
      </w:r>
      <w:r w:rsidRPr="00283806">
        <w:rPr>
          <w:w w:val="105"/>
          <w:sz w:val="18"/>
        </w:rPr>
        <w:t>appliance continues to be subject to any applicable leak inspection requirements, as described in § 84.106(g).</w:t>
      </w:r>
    </w:p>
    <w:p w14:paraId="5FAFD6B5" w14:textId="77777777" w:rsidR="00D67C1E" w:rsidRPr="00283806" w:rsidRDefault="001265CA">
      <w:pPr>
        <w:pStyle w:val="ListParagraph"/>
        <w:numPr>
          <w:ilvl w:val="1"/>
          <w:numId w:val="19"/>
        </w:numPr>
        <w:tabs>
          <w:tab w:val="left" w:pos="551"/>
        </w:tabs>
        <w:spacing w:line="223" w:lineRule="auto"/>
        <w:ind w:right="201" w:firstLine="179"/>
        <w:rPr>
          <w:sz w:val="18"/>
        </w:rPr>
      </w:pPr>
      <w:r w:rsidRPr="00283806">
        <w:rPr>
          <w:rFonts w:ascii="Book Antiqua"/>
          <w:i/>
          <w:w w:val="105"/>
          <w:sz w:val="18"/>
        </w:rPr>
        <w:t xml:space="preserve">Recordkeeping. </w:t>
      </w:r>
      <w:r w:rsidRPr="00283806">
        <w:rPr>
          <w:w w:val="105"/>
          <w:sz w:val="18"/>
        </w:rPr>
        <w:t>The owner or operator must maintain records for at least three years in electronic or paper format, unless otherwise specified,</w:t>
      </w:r>
    </w:p>
    <w:p w14:paraId="77CCCF44" w14:textId="77777777" w:rsidR="00D67C1E" w:rsidRPr="00283806" w:rsidRDefault="001265CA">
      <w:pPr>
        <w:pStyle w:val="BodyText"/>
        <w:spacing w:line="195" w:lineRule="exact"/>
        <w:ind w:left="144"/>
      </w:pPr>
      <w:r w:rsidRPr="00283806">
        <w:rPr>
          <w:spacing w:val="-2"/>
          <w:w w:val="105"/>
        </w:rPr>
        <w:t>regarding:</w:t>
      </w:r>
    </w:p>
    <w:p w14:paraId="07386B07" w14:textId="77777777" w:rsidR="00D67C1E" w:rsidRPr="00283806" w:rsidRDefault="001265CA">
      <w:pPr>
        <w:pStyle w:val="ListParagraph"/>
        <w:numPr>
          <w:ilvl w:val="2"/>
          <w:numId w:val="19"/>
        </w:numPr>
        <w:tabs>
          <w:tab w:val="left" w:pos="592"/>
        </w:tabs>
        <w:spacing w:line="228" w:lineRule="auto"/>
        <w:ind w:right="209" w:firstLine="180"/>
        <w:rPr>
          <w:sz w:val="18"/>
        </w:rPr>
      </w:pPr>
      <w:r w:rsidRPr="00283806">
        <w:rPr>
          <w:w w:val="105"/>
          <w:sz w:val="18"/>
        </w:rPr>
        <w:t>The installation of the automatic leak detection system;</w:t>
      </w:r>
    </w:p>
    <w:p w14:paraId="1A6EA0D2" w14:textId="77777777" w:rsidR="00D67C1E" w:rsidRPr="00283806" w:rsidRDefault="001265CA">
      <w:pPr>
        <w:pStyle w:val="ListParagraph"/>
        <w:numPr>
          <w:ilvl w:val="2"/>
          <w:numId w:val="19"/>
        </w:numPr>
        <w:tabs>
          <w:tab w:val="left" w:pos="592"/>
        </w:tabs>
        <w:spacing w:line="228" w:lineRule="auto"/>
        <w:ind w:right="189" w:firstLine="180"/>
        <w:rPr>
          <w:sz w:val="18"/>
        </w:rPr>
      </w:pPr>
      <w:r w:rsidRPr="00283806">
        <w:rPr>
          <w:w w:val="105"/>
          <w:sz w:val="18"/>
        </w:rPr>
        <w:t>The annual audit and calibration of the system;</w:t>
      </w:r>
    </w:p>
    <w:p w14:paraId="211C5163" w14:textId="77777777" w:rsidR="00D67C1E" w:rsidRPr="00283806" w:rsidRDefault="001265CA">
      <w:pPr>
        <w:pStyle w:val="ListParagraph"/>
        <w:numPr>
          <w:ilvl w:val="2"/>
          <w:numId w:val="19"/>
        </w:numPr>
        <w:tabs>
          <w:tab w:val="left" w:pos="592"/>
        </w:tabs>
        <w:spacing w:line="228" w:lineRule="auto"/>
        <w:ind w:right="48" w:firstLine="180"/>
        <w:rPr>
          <w:sz w:val="18"/>
        </w:rPr>
      </w:pPr>
      <w:r w:rsidRPr="00283806">
        <w:rPr>
          <w:w w:val="105"/>
          <w:sz w:val="18"/>
        </w:rPr>
        <w:t>A record of each date the</w:t>
      </w:r>
      <w:r w:rsidRPr="00283806">
        <w:rPr>
          <w:spacing w:val="80"/>
          <w:w w:val="105"/>
          <w:sz w:val="18"/>
        </w:rPr>
        <w:t xml:space="preserve"> </w:t>
      </w:r>
      <w:r w:rsidRPr="00283806">
        <w:rPr>
          <w:w w:val="105"/>
          <w:sz w:val="18"/>
        </w:rPr>
        <w:t>automatic</w:t>
      </w:r>
      <w:r w:rsidRPr="00283806">
        <w:rPr>
          <w:spacing w:val="-2"/>
          <w:w w:val="105"/>
          <w:sz w:val="18"/>
        </w:rPr>
        <w:t xml:space="preserve"> </w:t>
      </w:r>
      <w:r w:rsidRPr="00283806">
        <w:rPr>
          <w:w w:val="105"/>
          <w:sz w:val="18"/>
        </w:rPr>
        <w:t>leak</w:t>
      </w:r>
      <w:r w:rsidRPr="00283806">
        <w:rPr>
          <w:spacing w:val="-2"/>
          <w:w w:val="105"/>
          <w:sz w:val="18"/>
        </w:rPr>
        <w:t xml:space="preserve"> </w:t>
      </w:r>
      <w:r w:rsidRPr="00283806">
        <w:rPr>
          <w:w w:val="105"/>
          <w:sz w:val="18"/>
        </w:rPr>
        <w:t>detection</w:t>
      </w:r>
      <w:r w:rsidRPr="00283806">
        <w:rPr>
          <w:spacing w:val="-2"/>
          <w:w w:val="105"/>
          <w:sz w:val="18"/>
        </w:rPr>
        <w:t xml:space="preserve"> </w:t>
      </w:r>
      <w:r w:rsidRPr="00283806">
        <w:rPr>
          <w:w w:val="105"/>
          <w:sz w:val="18"/>
        </w:rPr>
        <w:t>system</w:t>
      </w:r>
      <w:r w:rsidRPr="00283806">
        <w:rPr>
          <w:spacing w:val="-2"/>
          <w:w w:val="105"/>
          <w:sz w:val="18"/>
        </w:rPr>
        <w:t xml:space="preserve"> </w:t>
      </w:r>
      <w:r w:rsidRPr="00283806">
        <w:rPr>
          <w:w w:val="105"/>
          <w:sz w:val="18"/>
        </w:rPr>
        <w:t>triggers an alert; and</w:t>
      </w:r>
    </w:p>
    <w:p w14:paraId="566B062D" w14:textId="77777777" w:rsidR="00D67C1E" w:rsidRPr="00283806" w:rsidRDefault="001265CA">
      <w:pPr>
        <w:pStyle w:val="ListParagraph"/>
        <w:numPr>
          <w:ilvl w:val="2"/>
          <w:numId w:val="19"/>
        </w:numPr>
        <w:tabs>
          <w:tab w:val="left" w:pos="592"/>
        </w:tabs>
        <w:spacing w:line="228" w:lineRule="auto"/>
        <w:ind w:right="190" w:firstLine="180"/>
        <w:rPr>
          <w:sz w:val="18"/>
        </w:rPr>
      </w:pPr>
      <w:r w:rsidRPr="00283806">
        <w:rPr>
          <w:w w:val="105"/>
          <w:sz w:val="18"/>
        </w:rPr>
        <w:t>The location of the leak(s) which resulted in the alarm.</w:t>
      </w:r>
    </w:p>
    <w:p w14:paraId="62D8C390" w14:textId="77777777" w:rsidR="00D67C1E" w:rsidRPr="00283806" w:rsidRDefault="001265CA">
      <w:pPr>
        <w:spacing w:before="98" w:line="235" w:lineRule="auto"/>
        <w:ind w:left="143" w:right="10"/>
        <w:rPr>
          <w:rFonts w:ascii="Arial" w:hAnsi="Arial"/>
          <w:b/>
          <w:sz w:val="16"/>
        </w:rPr>
      </w:pPr>
      <w:r w:rsidRPr="00283806">
        <w:rPr>
          <w:rFonts w:ascii="Arial" w:hAnsi="Arial"/>
          <w:b/>
          <w:sz w:val="16"/>
        </w:rPr>
        <w:t>§</w:t>
      </w:r>
      <w:r w:rsidRPr="00283806">
        <w:rPr>
          <w:rFonts w:ascii="Arial" w:hAnsi="Arial"/>
          <w:b/>
          <w:spacing w:val="-19"/>
          <w:sz w:val="16"/>
        </w:rPr>
        <w:t xml:space="preserve"> </w:t>
      </w:r>
      <w:r w:rsidRPr="00283806">
        <w:rPr>
          <w:rFonts w:ascii="Arial" w:hAnsi="Arial"/>
          <w:b/>
          <w:sz w:val="16"/>
        </w:rPr>
        <w:t>84.110</w:t>
      </w:r>
      <w:r w:rsidRPr="00283806">
        <w:rPr>
          <w:rFonts w:ascii="Arial" w:hAnsi="Arial"/>
          <w:b/>
          <w:spacing w:val="80"/>
          <w:sz w:val="16"/>
        </w:rPr>
        <w:t xml:space="preserve"> </w:t>
      </w:r>
      <w:r w:rsidRPr="00283806">
        <w:rPr>
          <w:rFonts w:ascii="Arial" w:hAnsi="Arial"/>
          <w:b/>
          <w:sz w:val="16"/>
        </w:rPr>
        <w:t>Emissions</w:t>
      </w:r>
      <w:r w:rsidRPr="00283806">
        <w:rPr>
          <w:rFonts w:ascii="Arial" w:hAnsi="Arial"/>
          <w:b/>
          <w:spacing w:val="-6"/>
          <w:sz w:val="16"/>
        </w:rPr>
        <w:t xml:space="preserve"> </w:t>
      </w:r>
      <w:r w:rsidRPr="00283806">
        <w:rPr>
          <w:rFonts w:ascii="Arial" w:hAnsi="Arial"/>
          <w:b/>
          <w:sz w:val="16"/>
        </w:rPr>
        <w:t>from</w:t>
      </w:r>
      <w:r w:rsidRPr="00283806">
        <w:rPr>
          <w:rFonts w:ascii="Arial" w:hAnsi="Arial"/>
          <w:b/>
          <w:spacing w:val="-6"/>
          <w:sz w:val="16"/>
        </w:rPr>
        <w:t xml:space="preserve"> </w:t>
      </w:r>
      <w:r w:rsidRPr="00283806">
        <w:rPr>
          <w:rFonts w:ascii="Arial" w:hAnsi="Arial"/>
          <w:b/>
          <w:sz w:val="16"/>
        </w:rPr>
        <w:t>fire</w:t>
      </w:r>
      <w:r w:rsidRPr="00283806">
        <w:rPr>
          <w:rFonts w:ascii="Arial" w:hAnsi="Arial"/>
          <w:b/>
          <w:spacing w:val="-6"/>
          <w:sz w:val="16"/>
        </w:rPr>
        <w:t xml:space="preserve"> </w:t>
      </w:r>
      <w:r w:rsidRPr="00283806">
        <w:rPr>
          <w:rFonts w:ascii="Arial" w:hAnsi="Arial"/>
          <w:b/>
          <w:sz w:val="16"/>
        </w:rPr>
        <w:t xml:space="preserve">suppression </w:t>
      </w:r>
      <w:r w:rsidRPr="00283806">
        <w:rPr>
          <w:rFonts w:ascii="Arial" w:hAnsi="Arial"/>
          <w:b/>
          <w:spacing w:val="-2"/>
          <w:sz w:val="16"/>
        </w:rPr>
        <w:t>equipment.</w:t>
      </w:r>
    </w:p>
    <w:p w14:paraId="30D355A3" w14:textId="77777777" w:rsidR="00D67C1E" w:rsidRPr="00283806" w:rsidRDefault="001265CA">
      <w:pPr>
        <w:pStyle w:val="ListParagraph"/>
        <w:numPr>
          <w:ilvl w:val="3"/>
          <w:numId w:val="19"/>
        </w:numPr>
        <w:tabs>
          <w:tab w:val="left" w:pos="581"/>
        </w:tabs>
        <w:spacing w:before="36" w:line="228" w:lineRule="auto"/>
        <w:ind w:right="29" w:firstLine="180"/>
        <w:rPr>
          <w:sz w:val="18"/>
        </w:rPr>
      </w:pPr>
      <w:r w:rsidRPr="00283806">
        <w:rPr>
          <w:w w:val="105"/>
          <w:sz w:val="18"/>
        </w:rPr>
        <w:t>As of January 1, 2026, no person installing, servicing, repairing, or disposing of fire suppression equipment containing a regulated substance may knowingly vent or otherwise release</w:t>
      </w:r>
      <w:r w:rsidRPr="00283806">
        <w:rPr>
          <w:spacing w:val="80"/>
          <w:w w:val="105"/>
          <w:sz w:val="18"/>
        </w:rPr>
        <w:t xml:space="preserve"> </w:t>
      </w:r>
      <w:r w:rsidRPr="00283806">
        <w:rPr>
          <w:w w:val="105"/>
          <w:sz w:val="18"/>
        </w:rPr>
        <w:t>into the environment any regulated substances used in such equipment.</w:t>
      </w:r>
    </w:p>
    <w:p w14:paraId="36891E64" w14:textId="77777777" w:rsidR="00D67C1E" w:rsidRPr="00283806" w:rsidRDefault="001265CA">
      <w:pPr>
        <w:pStyle w:val="ListParagraph"/>
        <w:numPr>
          <w:ilvl w:val="4"/>
          <w:numId w:val="19"/>
        </w:numPr>
        <w:tabs>
          <w:tab w:val="left" w:pos="591"/>
        </w:tabs>
        <w:spacing w:line="186" w:lineRule="exact"/>
        <w:ind w:left="591" w:hanging="268"/>
        <w:rPr>
          <w:sz w:val="18"/>
        </w:rPr>
      </w:pPr>
      <w:r w:rsidRPr="00283806">
        <w:rPr>
          <w:w w:val="105"/>
          <w:sz w:val="18"/>
        </w:rPr>
        <w:t>Release</w:t>
      </w:r>
      <w:r w:rsidRPr="00283806">
        <w:rPr>
          <w:spacing w:val="5"/>
          <w:w w:val="105"/>
          <w:sz w:val="18"/>
        </w:rPr>
        <w:t xml:space="preserve"> </w:t>
      </w:r>
      <w:r w:rsidRPr="00283806">
        <w:rPr>
          <w:w w:val="105"/>
          <w:sz w:val="18"/>
        </w:rPr>
        <w:t>of</w:t>
      </w:r>
      <w:r w:rsidRPr="00283806">
        <w:rPr>
          <w:spacing w:val="5"/>
          <w:w w:val="105"/>
          <w:sz w:val="18"/>
        </w:rPr>
        <w:t xml:space="preserve"> </w:t>
      </w:r>
      <w:r w:rsidRPr="00283806">
        <w:rPr>
          <w:w w:val="105"/>
          <w:sz w:val="18"/>
        </w:rPr>
        <w:t>regulated</w:t>
      </w:r>
      <w:r w:rsidRPr="00283806">
        <w:rPr>
          <w:spacing w:val="5"/>
          <w:w w:val="105"/>
          <w:sz w:val="18"/>
        </w:rPr>
        <w:t xml:space="preserve"> </w:t>
      </w:r>
      <w:r w:rsidRPr="00283806">
        <w:rPr>
          <w:spacing w:val="-2"/>
          <w:w w:val="105"/>
          <w:sz w:val="18"/>
        </w:rPr>
        <w:t>substances</w:t>
      </w:r>
    </w:p>
    <w:p w14:paraId="455FA371" w14:textId="77777777" w:rsidR="00D67C1E" w:rsidRPr="00283806" w:rsidRDefault="001265CA">
      <w:pPr>
        <w:pStyle w:val="BodyText"/>
        <w:spacing w:before="3" w:line="228" w:lineRule="auto"/>
        <w:ind w:left="143" w:right="39"/>
      </w:pPr>
      <w:r w:rsidRPr="00283806">
        <w:rPr>
          <w:w w:val="105"/>
        </w:rPr>
        <w:t>during testing of fire suppression equipment is not subject to the prohibition under this paragraph (a) if the</w:t>
      </w:r>
      <w:r w:rsidRPr="00283806">
        <w:rPr>
          <w:spacing w:val="13"/>
          <w:w w:val="105"/>
        </w:rPr>
        <w:t xml:space="preserve"> </w:t>
      </w:r>
      <w:r w:rsidRPr="00283806">
        <w:rPr>
          <w:w w:val="105"/>
        </w:rPr>
        <w:t>following</w:t>
      </w:r>
      <w:r w:rsidRPr="00283806">
        <w:rPr>
          <w:spacing w:val="14"/>
          <w:w w:val="105"/>
        </w:rPr>
        <w:t xml:space="preserve"> </w:t>
      </w:r>
      <w:r w:rsidRPr="00283806">
        <w:rPr>
          <w:w w:val="105"/>
        </w:rPr>
        <w:t>four</w:t>
      </w:r>
      <w:r w:rsidRPr="00283806">
        <w:rPr>
          <w:spacing w:val="13"/>
          <w:w w:val="105"/>
        </w:rPr>
        <w:t xml:space="preserve"> </w:t>
      </w:r>
      <w:r w:rsidRPr="00283806">
        <w:rPr>
          <w:w w:val="105"/>
        </w:rPr>
        <w:t>conditions</w:t>
      </w:r>
      <w:r w:rsidRPr="00283806">
        <w:rPr>
          <w:spacing w:val="14"/>
          <w:w w:val="105"/>
        </w:rPr>
        <w:t xml:space="preserve"> </w:t>
      </w:r>
      <w:r w:rsidRPr="00283806">
        <w:rPr>
          <w:w w:val="105"/>
        </w:rPr>
        <w:t>are</w:t>
      </w:r>
      <w:r w:rsidRPr="00283806">
        <w:rPr>
          <w:spacing w:val="13"/>
          <w:w w:val="105"/>
        </w:rPr>
        <w:t xml:space="preserve"> </w:t>
      </w:r>
      <w:r w:rsidRPr="00283806">
        <w:rPr>
          <w:spacing w:val="-4"/>
          <w:w w:val="105"/>
        </w:rPr>
        <w:t>met:</w:t>
      </w:r>
    </w:p>
    <w:p w14:paraId="010DF9FA" w14:textId="77777777" w:rsidR="00D67C1E" w:rsidRPr="00283806" w:rsidRDefault="001265CA">
      <w:pPr>
        <w:pStyle w:val="ListParagraph"/>
        <w:numPr>
          <w:ilvl w:val="5"/>
          <w:numId w:val="19"/>
        </w:numPr>
        <w:tabs>
          <w:tab w:val="left" w:pos="551"/>
        </w:tabs>
        <w:spacing w:line="228" w:lineRule="auto"/>
        <w:ind w:right="229" w:firstLine="180"/>
        <w:rPr>
          <w:sz w:val="18"/>
        </w:rPr>
      </w:pPr>
      <w:r w:rsidRPr="00283806">
        <w:rPr>
          <w:w w:val="105"/>
          <w:sz w:val="18"/>
        </w:rPr>
        <w:t>Equipment employing suitable alternative</w:t>
      </w:r>
      <w:r w:rsidRPr="00283806">
        <w:rPr>
          <w:spacing w:val="-4"/>
          <w:w w:val="105"/>
          <w:sz w:val="18"/>
        </w:rPr>
        <w:t xml:space="preserve"> </w:t>
      </w:r>
      <w:r w:rsidRPr="00283806">
        <w:rPr>
          <w:w w:val="105"/>
          <w:sz w:val="18"/>
        </w:rPr>
        <w:t>fire</w:t>
      </w:r>
      <w:r w:rsidRPr="00283806">
        <w:rPr>
          <w:spacing w:val="-4"/>
          <w:w w:val="105"/>
          <w:sz w:val="18"/>
        </w:rPr>
        <w:t xml:space="preserve"> </w:t>
      </w:r>
      <w:r w:rsidRPr="00283806">
        <w:rPr>
          <w:w w:val="105"/>
          <w:sz w:val="18"/>
        </w:rPr>
        <w:t>suppression</w:t>
      </w:r>
      <w:r w:rsidRPr="00283806">
        <w:rPr>
          <w:spacing w:val="-4"/>
          <w:w w:val="105"/>
          <w:sz w:val="18"/>
        </w:rPr>
        <w:t xml:space="preserve"> </w:t>
      </w:r>
      <w:r w:rsidRPr="00283806">
        <w:rPr>
          <w:w w:val="105"/>
          <w:sz w:val="18"/>
        </w:rPr>
        <w:t>agents</w:t>
      </w:r>
      <w:r w:rsidRPr="00283806">
        <w:rPr>
          <w:spacing w:val="-4"/>
          <w:w w:val="105"/>
          <w:sz w:val="18"/>
        </w:rPr>
        <w:t xml:space="preserve"> </w:t>
      </w:r>
      <w:proofErr w:type="gramStart"/>
      <w:r w:rsidRPr="00283806">
        <w:rPr>
          <w:w w:val="105"/>
          <w:sz w:val="18"/>
        </w:rPr>
        <w:t>are</w:t>
      </w:r>
      <w:proofErr w:type="gramEnd"/>
      <w:r w:rsidRPr="00283806">
        <w:rPr>
          <w:w w:val="105"/>
          <w:sz w:val="18"/>
        </w:rPr>
        <w:t xml:space="preserve"> not </w:t>
      </w:r>
      <w:proofErr w:type="gramStart"/>
      <w:r w:rsidRPr="00283806">
        <w:rPr>
          <w:w w:val="105"/>
          <w:sz w:val="18"/>
        </w:rPr>
        <w:t>available;</w:t>
      </w:r>
      <w:proofErr w:type="gramEnd"/>
    </w:p>
    <w:p w14:paraId="103B89B8" w14:textId="77777777" w:rsidR="00D67C1E" w:rsidRPr="00283806" w:rsidRDefault="001265CA">
      <w:pPr>
        <w:pStyle w:val="ListParagraph"/>
        <w:numPr>
          <w:ilvl w:val="5"/>
          <w:numId w:val="19"/>
        </w:numPr>
        <w:tabs>
          <w:tab w:val="left" w:pos="611"/>
        </w:tabs>
        <w:spacing w:line="228" w:lineRule="auto"/>
        <w:ind w:right="189" w:firstLine="180"/>
        <w:jc w:val="both"/>
        <w:rPr>
          <w:sz w:val="18"/>
        </w:rPr>
      </w:pPr>
      <w:r w:rsidRPr="00283806">
        <w:rPr>
          <w:w w:val="105"/>
          <w:sz w:val="18"/>
        </w:rPr>
        <w:t xml:space="preserve">Release of fire suppression agent is essential to demonstrate equipment </w:t>
      </w:r>
      <w:r w:rsidRPr="00283806">
        <w:rPr>
          <w:spacing w:val="-2"/>
          <w:w w:val="105"/>
          <w:sz w:val="18"/>
        </w:rPr>
        <w:t>functionality;</w:t>
      </w:r>
    </w:p>
    <w:p w14:paraId="571F1D87" w14:textId="77777777" w:rsidR="00D67C1E" w:rsidRPr="00283806" w:rsidRDefault="001265CA">
      <w:pPr>
        <w:pStyle w:val="ListParagraph"/>
        <w:numPr>
          <w:ilvl w:val="5"/>
          <w:numId w:val="19"/>
        </w:numPr>
        <w:tabs>
          <w:tab w:val="left" w:pos="671"/>
        </w:tabs>
        <w:spacing w:line="228" w:lineRule="auto"/>
        <w:ind w:right="199" w:firstLine="180"/>
        <w:rPr>
          <w:sz w:val="18"/>
        </w:rPr>
      </w:pPr>
      <w:r w:rsidRPr="00283806">
        <w:rPr>
          <w:w w:val="105"/>
          <w:sz w:val="18"/>
        </w:rPr>
        <w:t>Failure of the system or equipment would pose great risk to human safety or the environment; and</w:t>
      </w:r>
    </w:p>
    <w:p w14:paraId="5FBCA689" w14:textId="77777777" w:rsidR="00D67C1E" w:rsidRPr="00283806" w:rsidRDefault="001265CA">
      <w:pPr>
        <w:pStyle w:val="ListParagraph"/>
        <w:numPr>
          <w:ilvl w:val="5"/>
          <w:numId w:val="19"/>
        </w:numPr>
        <w:tabs>
          <w:tab w:val="left" w:pos="651"/>
        </w:tabs>
        <w:spacing w:line="228" w:lineRule="auto"/>
        <w:ind w:right="150" w:firstLine="180"/>
        <w:rPr>
          <w:sz w:val="18"/>
        </w:rPr>
      </w:pPr>
      <w:r w:rsidRPr="00283806">
        <w:rPr>
          <w:w w:val="105"/>
          <w:sz w:val="18"/>
        </w:rPr>
        <w:t>A simulant agent cannot be used in place of the regulated substance for testing purposes.</w:t>
      </w:r>
    </w:p>
    <w:p w14:paraId="634DB9DF" w14:textId="77777777" w:rsidR="00D67C1E" w:rsidRPr="00283806" w:rsidRDefault="001265CA">
      <w:pPr>
        <w:pStyle w:val="ListParagraph"/>
        <w:numPr>
          <w:ilvl w:val="4"/>
          <w:numId w:val="19"/>
        </w:numPr>
        <w:tabs>
          <w:tab w:val="left" w:pos="591"/>
        </w:tabs>
        <w:spacing w:line="228" w:lineRule="auto"/>
        <w:ind w:left="143" w:right="149" w:firstLine="180"/>
        <w:rPr>
          <w:sz w:val="18"/>
        </w:rPr>
      </w:pPr>
      <w:r w:rsidRPr="00283806">
        <w:rPr>
          <w:w w:val="105"/>
          <w:sz w:val="18"/>
        </w:rPr>
        <w:t>The prohibition under this paragraph (a) does not apply to qualification and development testing during the design and development process of fire suppression equipment containing regulated substances when such tests are essential to demonstrate equipment functionality and when a suitable simulant agent cannot be used in place of the regulated substance for testing purposes.</w:t>
      </w:r>
    </w:p>
    <w:p w14:paraId="37E093A0" w14:textId="77777777" w:rsidR="00D67C1E" w:rsidRPr="00283806" w:rsidRDefault="001265CA">
      <w:pPr>
        <w:pStyle w:val="ListParagraph"/>
        <w:numPr>
          <w:ilvl w:val="4"/>
          <w:numId w:val="19"/>
        </w:numPr>
        <w:tabs>
          <w:tab w:val="left" w:pos="591"/>
        </w:tabs>
        <w:spacing w:line="186" w:lineRule="exact"/>
        <w:ind w:left="591" w:hanging="268"/>
        <w:rPr>
          <w:sz w:val="18"/>
        </w:rPr>
      </w:pPr>
      <w:r w:rsidRPr="00283806">
        <w:rPr>
          <w:w w:val="105"/>
          <w:sz w:val="18"/>
        </w:rPr>
        <w:t>The</w:t>
      </w:r>
      <w:r w:rsidRPr="00283806">
        <w:rPr>
          <w:spacing w:val="17"/>
          <w:w w:val="105"/>
          <w:sz w:val="18"/>
        </w:rPr>
        <w:t xml:space="preserve"> </w:t>
      </w:r>
      <w:r w:rsidRPr="00283806">
        <w:rPr>
          <w:w w:val="105"/>
          <w:sz w:val="18"/>
        </w:rPr>
        <w:t>prohibition</w:t>
      </w:r>
      <w:r w:rsidRPr="00283806">
        <w:rPr>
          <w:spacing w:val="17"/>
          <w:w w:val="105"/>
          <w:sz w:val="18"/>
        </w:rPr>
        <w:t xml:space="preserve"> </w:t>
      </w:r>
      <w:r w:rsidRPr="00283806">
        <w:rPr>
          <w:w w:val="105"/>
          <w:sz w:val="18"/>
        </w:rPr>
        <w:t>under</w:t>
      </w:r>
      <w:r w:rsidRPr="00283806">
        <w:rPr>
          <w:spacing w:val="17"/>
          <w:w w:val="105"/>
          <w:sz w:val="18"/>
        </w:rPr>
        <w:t xml:space="preserve"> </w:t>
      </w:r>
      <w:r w:rsidRPr="00283806">
        <w:rPr>
          <w:spacing w:val="-4"/>
          <w:w w:val="105"/>
          <w:sz w:val="18"/>
        </w:rPr>
        <w:t>this</w:t>
      </w:r>
    </w:p>
    <w:p w14:paraId="3D8C4561" w14:textId="77777777" w:rsidR="00D67C1E" w:rsidRPr="00283806" w:rsidRDefault="001265CA">
      <w:pPr>
        <w:pStyle w:val="BodyText"/>
        <w:spacing w:line="228" w:lineRule="auto"/>
        <w:ind w:left="143" w:right="3"/>
      </w:pPr>
      <w:r w:rsidRPr="00283806">
        <w:rPr>
          <w:w w:val="110"/>
        </w:rPr>
        <w:t>paragraph (a) does not apply to the emergency release of regulated substances</w:t>
      </w:r>
      <w:r w:rsidRPr="00283806">
        <w:rPr>
          <w:spacing w:val="-11"/>
          <w:w w:val="110"/>
        </w:rPr>
        <w:t xml:space="preserve"> </w:t>
      </w:r>
      <w:r w:rsidRPr="00283806">
        <w:rPr>
          <w:w w:val="110"/>
        </w:rPr>
        <w:t>for</w:t>
      </w:r>
      <w:r w:rsidRPr="00283806">
        <w:rPr>
          <w:spacing w:val="-11"/>
          <w:w w:val="110"/>
        </w:rPr>
        <w:t xml:space="preserve"> </w:t>
      </w:r>
      <w:r w:rsidRPr="00283806">
        <w:rPr>
          <w:w w:val="110"/>
        </w:rPr>
        <w:t>the</w:t>
      </w:r>
      <w:r w:rsidRPr="00283806">
        <w:rPr>
          <w:spacing w:val="-11"/>
          <w:w w:val="110"/>
        </w:rPr>
        <w:t xml:space="preserve"> </w:t>
      </w:r>
      <w:r w:rsidRPr="00283806">
        <w:rPr>
          <w:w w:val="110"/>
        </w:rPr>
        <w:t>legitimate</w:t>
      </w:r>
      <w:r w:rsidRPr="00283806">
        <w:rPr>
          <w:spacing w:val="-11"/>
          <w:w w:val="110"/>
        </w:rPr>
        <w:t xml:space="preserve"> </w:t>
      </w:r>
      <w:r w:rsidRPr="00283806">
        <w:rPr>
          <w:w w:val="110"/>
        </w:rPr>
        <w:t>purpose</w:t>
      </w:r>
      <w:r w:rsidRPr="00283806">
        <w:rPr>
          <w:spacing w:val="-11"/>
          <w:w w:val="110"/>
        </w:rPr>
        <w:t xml:space="preserve"> </w:t>
      </w:r>
      <w:r w:rsidRPr="00283806">
        <w:rPr>
          <w:w w:val="110"/>
        </w:rPr>
        <w:t>of fire</w:t>
      </w:r>
      <w:r w:rsidRPr="00283806">
        <w:rPr>
          <w:spacing w:val="-11"/>
          <w:w w:val="110"/>
        </w:rPr>
        <w:t xml:space="preserve"> </w:t>
      </w:r>
      <w:r w:rsidRPr="00283806">
        <w:rPr>
          <w:w w:val="110"/>
        </w:rPr>
        <w:t>extinguishing,</w:t>
      </w:r>
      <w:r w:rsidRPr="00283806">
        <w:rPr>
          <w:spacing w:val="-11"/>
          <w:w w:val="110"/>
        </w:rPr>
        <w:t xml:space="preserve"> </w:t>
      </w:r>
      <w:r w:rsidRPr="00283806">
        <w:rPr>
          <w:w w:val="110"/>
        </w:rPr>
        <w:t>explosion</w:t>
      </w:r>
      <w:r w:rsidRPr="00283806">
        <w:rPr>
          <w:spacing w:val="-11"/>
          <w:w w:val="110"/>
        </w:rPr>
        <w:t xml:space="preserve"> </w:t>
      </w:r>
      <w:proofErr w:type="spellStart"/>
      <w:r w:rsidRPr="00283806">
        <w:rPr>
          <w:w w:val="110"/>
        </w:rPr>
        <w:t>inertion</w:t>
      </w:r>
      <w:proofErr w:type="spellEnd"/>
      <w:r w:rsidRPr="00283806">
        <w:rPr>
          <w:w w:val="110"/>
        </w:rPr>
        <w:t>,</w:t>
      </w:r>
      <w:r w:rsidRPr="00283806">
        <w:rPr>
          <w:spacing w:val="-11"/>
          <w:w w:val="110"/>
        </w:rPr>
        <w:t xml:space="preserve"> </w:t>
      </w:r>
      <w:r w:rsidRPr="00283806">
        <w:rPr>
          <w:w w:val="110"/>
        </w:rPr>
        <w:t>or other</w:t>
      </w:r>
      <w:r w:rsidRPr="00283806">
        <w:rPr>
          <w:spacing w:val="-11"/>
          <w:w w:val="110"/>
        </w:rPr>
        <w:t xml:space="preserve"> </w:t>
      </w:r>
      <w:r w:rsidRPr="00283806">
        <w:rPr>
          <w:w w:val="110"/>
        </w:rPr>
        <w:t>emergency</w:t>
      </w:r>
      <w:r w:rsidRPr="00283806">
        <w:rPr>
          <w:spacing w:val="-11"/>
          <w:w w:val="110"/>
        </w:rPr>
        <w:t xml:space="preserve"> </w:t>
      </w:r>
      <w:r w:rsidRPr="00283806">
        <w:rPr>
          <w:w w:val="110"/>
        </w:rPr>
        <w:t>applications</w:t>
      </w:r>
      <w:r w:rsidRPr="00283806">
        <w:rPr>
          <w:spacing w:val="-11"/>
          <w:w w:val="110"/>
        </w:rPr>
        <w:t xml:space="preserve"> </w:t>
      </w:r>
      <w:r w:rsidRPr="00283806">
        <w:rPr>
          <w:w w:val="110"/>
        </w:rPr>
        <w:t>for</w:t>
      </w:r>
      <w:r w:rsidRPr="00283806">
        <w:rPr>
          <w:spacing w:val="-11"/>
          <w:w w:val="110"/>
        </w:rPr>
        <w:t xml:space="preserve"> </w:t>
      </w:r>
      <w:r w:rsidRPr="00283806">
        <w:rPr>
          <w:w w:val="110"/>
        </w:rPr>
        <w:t>which</w:t>
      </w:r>
    </w:p>
    <w:p w14:paraId="494E756D" w14:textId="77777777" w:rsidR="00D67C1E" w:rsidRPr="00283806" w:rsidRDefault="001265CA">
      <w:pPr>
        <w:pStyle w:val="BodyText"/>
        <w:spacing w:before="136" w:line="225" w:lineRule="auto"/>
        <w:ind w:left="142" w:right="176"/>
      </w:pPr>
      <w:r w:rsidRPr="00283806">
        <w:br w:type="column"/>
      </w:r>
      <w:r w:rsidRPr="00283806">
        <w:rPr>
          <w:w w:val="105"/>
        </w:rPr>
        <w:t xml:space="preserve">the fire suppression equipment was </w:t>
      </w:r>
      <w:r w:rsidRPr="00283806">
        <w:rPr>
          <w:spacing w:val="-2"/>
          <w:w w:val="105"/>
        </w:rPr>
        <w:t>designed.</w:t>
      </w:r>
    </w:p>
    <w:p w14:paraId="61FBB29C" w14:textId="77777777" w:rsidR="00D67C1E" w:rsidRPr="00283806" w:rsidRDefault="001265CA">
      <w:pPr>
        <w:pStyle w:val="ListParagraph"/>
        <w:numPr>
          <w:ilvl w:val="3"/>
          <w:numId w:val="19"/>
        </w:numPr>
        <w:tabs>
          <w:tab w:val="left" w:pos="590"/>
        </w:tabs>
        <w:spacing w:line="179" w:lineRule="exact"/>
        <w:ind w:left="590" w:hanging="268"/>
        <w:rPr>
          <w:sz w:val="18"/>
        </w:rPr>
      </w:pPr>
      <w:r w:rsidRPr="00283806">
        <w:rPr>
          <w:w w:val="105"/>
          <w:sz w:val="18"/>
        </w:rPr>
        <w:t>As</w:t>
      </w:r>
      <w:r w:rsidRPr="00283806">
        <w:rPr>
          <w:spacing w:val="10"/>
          <w:w w:val="105"/>
          <w:sz w:val="18"/>
        </w:rPr>
        <w:t xml:space="preserve"> </w:t>
      </w:r>
      <w:r w:rsidRPr="00283806">
        <w:rPr>
          <w:w w:val="105"/>
          <w:sz w:val="18"/>
        </w:rPr>
        <w:t>of</w:t>
      </w:r>
      <w:r w:rsidRPr="00283806">
        <w:rPr>
          <w:spacing w:val="11"/>
          <w:w w:val="105"/>
          <w:sz w:val="18"/>
        </w:rPr>
        <w:t xml:space="preserve"> </w:t>
      </w:r>
      <w:r w:rsidRPr="00283806">
        <w:rPr>
          <w:w w:val="105"/>
          <w:sz w:val="18"/>
        </w:rPr>
        <w:t>January</w:t>
      </w:r>
      <w:r w:rsidRPr="00283806">
        <w:rPr>
          <w:spacing w:val="11"/>
          <w:w w:val="105"/>
          <w:sz w:val="18"/>
        </w:rPr>
        <w:t xml:space="preserve"> </w:t>
      </w:r>
      <w:r w:rsidRPr="00283806">
        <w:rPr>
          <w:w w:val="105"/>
          <w:sz w:val="18"/>
        </w:rPr>
        <w:t>1,</w:t>
      </w:r>
      <w:r w:rsidRPr="00283806">
        <w:rPr>
          <w:spacing w:val="11"/>
          <w:w w:val="105"/>
          <w:sz w:val="18"/>
        </w:rPr>
        <w:t xml:space="preserve"> </w:t>
      </w:r>
      <w:r w:rsidRPr="00283806">
        <w:rPr>
          <w:w w:val="105"/>
          <w:sz w:val="18"/>
        </w:rPr>
        <w:t>2026,</w:t>
      </w:r>
      <w:r w:rsidRPr="00283806">
        <w:rPr>
          <w:spacing w:val="11"/>
          <w:w w:val="105"/>
          <w:sz w:val="18"/>
        </w:rPr>
        <w:t xml:space="preserve"> </w:t>
      </w:r>
      <w:r w:rsidRPr="00283806">
        <w:rPr>
          <w:w w:val="105"/>
          <w:sz w:val="18"/>
        </w:rPr>
        <w:t>no</w:t>
      </w:r>
      <w:r w:rsidRPr="00283806">
        <w:rPr>
          <w:spacing w:val="11"/>
          <w:w w:val="105"/>
          <w:sz w:val="18"/>
        </w:rPr>
        <w:t xml:space="preserve"> </w:t>
      </w:r>
      <w:r w:rsidRPr="00283806">
        <w:rPr>
          <w:spacing w:val="-2"/>
          <w:w w:val="105"/>
          <w:sz w:val="18"/>
        </w:rPr>
        <w:t>owner</w:t>
      </w:r>
    </w:p>
    <w:p w14:paraId="0FFFE69D" w14:textId="77777777" w:rsidR="00D67C1E" w:rsidRPr="00283806" w:rsidRDefault="001265CA">
      <w:pPr>
        <w:pStyle w:val="BodyText"/>
        <w:spacing w:before="3" w:line="225" w:lineRule="auto"/>
        <w:ind w:left="142" w:right="176"/>
      </w:pPr>
      <w:r w:rsidRPr="00283806">
        <w:rPr>
          <w:w w:val="105"/>
        </w:rPr>
        <w:t xml:space="preserve">or operator of fire suppression equipment containing regulated substances shall allow the release of regulated substances to occur </w:t>
      </w:r>
      <w:proofErr w:type="gramStart"/>
      <w:r w:rsidRPr="00283806">
        <w:rPr>
          <w:w w:val="105"/>
        </w:rPr>
        <w:t>as a result of</w:t>
      </w:r>
      <w:proofErr w:type="gramEnd"/>
      <w:r w:rsidRPr="00283806">
        <w:rPr>
          <w:w w:val="105"/>
        </w:rPr>
        <w:t xml:space="preserve"> failure to maintain such fire suppression equipment.</w:t>
      </w:r>
    </w:p>
    <w:p w14:paraId="673EC3A3" w14:textId="77777777" w:rsidR="00D67C1E" w:rsidRPr="00283806" w:rsidRDefault="001265CA">
      <w:pPr>
        <w:pStyle w:val="ListParagraph"/>
        <w:numPr>
          <w:ilvl w:val="3"/>
          <w:numId w:val="19"/>
        </w:numPr>
        <w:tabs>
          <w:tab w:val="left" w:pos="580"/>
        </w:tabs>
        <w:spacing w:line="178" w:lineRule="exact"/>
        <w:ind w:left="580" w:hanging="258"/>
        <w:rPr>
          <w:sz w:val="18"/>
        </w:rPr>
      </w:pPr>
      <w:r w:rsidRPr="00283806">
        <w:rPr>
          <w:w w:val="105"/>
          <w:sz w:val="18"/>
        </w:rPr>
        <w:t>As</w:t>
      </w:r>
      <w:r w:rsidRPr="00283806">
        <w:rPr>
          <w:spacing w:val="10"/>
          <w:w w:val="105"/>
          <w:sz w:val="18"/>
        </w:rPr>
        <w:t xml:space="preserve"> </w:t>
      </w:r>
      <w:r w:rsidRPr="00283806">
        <w:rPr>
          <w:w w:val="105"/>
          <w:sz w:val="18"/>
        </w:rPr>
        <w:t>of</w:t>
      </w:r>
      <w:r w:rsidRPr="00283806">
        <w:rPr>
          <w:spacing w:val="11"/>
          <w:w w:val="105"/>
          <w:sz w:val="18"/>
        </w:rPr>
        <w:t xml:space="preserve"> </w:t>
      </w:r>
      <w:r w:rsidRPr="00283806">
        <w:rPr>
          <w:w w:val="105"/>
          <w:sz w:val="18"/>
        </w:rPr>
        <w:t>January</w:t>
      </w:r>
      <w:r w:rsidRPr="00283806">
        <w:rPr>
          <w:spacing w:val="11"/>
          <w:w w:val="105"/>
          <w:sz w:val="18"/>
        </w:rPr>
        <w:t xml:space="preserve"> </w:t>
      </w:r>
      <w:r w:rsidRPr="00283806">
        <w:rPr>
          <w:w w:val="105"/>
          <w:sz w:val="18"/>
        </w:rPr>
        <w:t>1,</w:t>
      </w:r>
      <w:r w:rsidRPr="00283806">
        <w:rPr>
          <w:spacing w:val="11"/>
          <w:w w:val="105"/>
          <w:sz w:val="18"/>
        </w:rPr>
        <w:t xml:space="preserve"> </w:t>
      </w:r>
      <w:r w:rsidRPr="00283806">
        <w:rPr>
          <w:w w:val="105"/>
          <w:sz w:val="18"/>
        </w:rPr>
        <w:t>2030,</w:t>
      </w:r>
      <w:r w:rsidRPr="00283806">
        <w:rPr>
          <w:spacing w:val="11"/>
          <w:w w:val="105"/>
          <w:sz w:val="18"/>
        </w:rPr>
        <w:t xml:space="preserve"> </w:t>
      </w:r>
      <w:r w:rsidRPr="00283806">
        <w:rPr>
          <w:spacing w:val="-2"/>
          <w:w w:val="105"/>
          <w:sz w:val="18"/>
        </w:rPr>
        <w:t>recycled</w:t>
      </w:r>
    </w:p>
    <w:p w14:paraId="6DE443AA" w14:textId="77777777" w:rsidR="00D67C1E" w:rsidRPr="00283806" w:rsidRDefault="001265CA">
      <w:pPr>
        <w:pStyle w:val="BodyText"/>
        <w:spacing w:before="4" w:line="225" w:lineRule="auto"/>
        <w:ind w:left="142" w:right="176"/>
      </w:pPr>
      <w:r w:rsidRPr="00283806">
        <w:rPr>
          <w:w w:val="105"/>
        </w:rPr>
        <w:t>regulated substances must be used for the initial installation of new fire suppression equipment, including both total flooding systems and streaming applications, that is installed in the United States. As of January 1, 2026, recycled regulated substances must be used for the servicing and/or repair of existing fire suppression equipment in the United States, including both total flooding systems and streaming applications. Notwithstanding the prior sentences, if the fire suppression equipment does not use any regulated substance, this requirement does not apply. If the fire suppression equipment uses a regulated substance in combination with other fire suppression agents, this requirement will only apply to the regulated substance used.</w:t>
      </w:r>
    </w:p>
    <w:p w14:paraId="6904CFD6" w14:textId="77777777" w:rsidR="00D67C1E" w:rsidRPr="00283806" w:rsidRDefault="001265CA">
      <w:pPr>
        <w:pStyle w:val="ListParagraph"/>
        <w:numPr>
          <w:ilvl w:val="3"/>
          <w:numId w:val="19"/>
        </w:numPr>
        <w:tabs>
          <w:tab w:val="left" w:pos="600"/>
        </w:tabs>
        <w:spacing w:line="228" w:lineRule="auto"/>
        <w:ind w:left="142" w:right="122" w:firstLine="180"/>
        <w:rPr>
          <w:sz w:val="18"/>
        </w:rPr>
      </w:pPr>
      <w:r w:rsidRPr="00283806">
        <w:rPr>
          <w:w w:val="105"/>
          <w:sz w:val="18"/>
        </w:rPr>
        <w:t>Any person who employs fire suppression technicians who install, service, repair, or dispose of fire suppression equipment containing regulated substances shall train technicians hired on or before January 1, 2026, on emissions reduction of</w:t>
      </w:r>
      <w:r w:rsidRPr="00283806">
        <w:rPr>
          <w:spacing w:val="40"/>
          <w:w w:val="105"/>
          <w:sz w:val="18"/>
        </w:rPr>
        <w:t xml:space="preserve"> </w:t>
      </w:r>
      <w:r w:rsidRPr="00283806">
        <w:rPr>
          <w:w w:val="105"/>
          <w:sz w:val="18"/>
        </w:rPr>
        <w:t>regulated substances by June 1, 2026.</w:t>
      </w:r>
      <w:r w:rsidRPr="00283806">
        <w:rPr>
          <w:spacing w:val="40"/>
          <w:w w:val="105"/>
          <w:sz w:val="18"/>
        </w:rPr>
        <w:t xml:space="preserve"> </w:t>
      </w:r>
      <w:r w:rsidRPr="00283806">
        <w:rPr>
          <w:w w:val="105"/>
          <w:sz w:val="18"/>
        </w:rPr>
        <w:t xml:space="preserve">Fire suppression technicians hired after January 1, 2026, shall be trained regarding emissions reduction of regulated substances within 30 days of hiring, or by June 1, 2026, whichever is </w:t>
      </w:r>
      <w:r w:rsidRPr="00283806">
        <w:rPr>
          <w:spacing w:val="-2"/>
          <w:w w:val="105"/>
          <w:sz w:val="18"/>
        </w:rPr>
        <w:t>later.</w:t>
      </w:r>
    </w:p>
    <w:p w14:paraId="78A620FA" w14:textId="77777777" w:rsidR="00D67C1E" w:rsidRPr="00283806" w:rsidRDefault="001265CA">
      <w:pPr>
        <w:pStyle w:val="ListParagraph"/>
        <w:numPr>
          <w:ilvl w:val="4"/>
          <w:numId w:val="19"/>
        </w:numPr>
        <w:tabs>
          <w:tab w:val="left" w:pos="590"/>
        </w:tabs>
        <w:spacing w:line="174" w:lineRule="exact"/>
        <w:ind w:left="590" w:hanging="268"/>
        <w:rPr>
          <w:sz w:val="18"/>
        </w:rPr>
      </w:pPr>
      <w:r w:rsidRPr="00283806">
        <w:rPr>
          <w:w w:val="105"/>
          <w:sz w:val="18"/>
        </w:rPr>
        <w:t>The</w:t>
      </w:r>
      <w:r w:rsidRPr="00283806">
        <w:rPr>
          <w:spacing w:val="12"/>
          <w:w w:val="105"/>
          <w:sz w:val="18"/>
        </w:rPr>
        <w:t xml:space="preserve"> </w:t>
      </w:r>
      <w:r w:rsidRPr="00283806">
        <w:rPr>
          <w:w w:val="105"/>
          <w:sz w:val="18"/>
        </w:rPr>
        <w:t>fire</w:t>
      </w:r>
      <w:r w:rsidRPr="00283806">
        <w:rPr>
          <w:spacing w:val="12"/>
          <w:w w:val="105"/>
          <w:sz w:val="18"/>
        </w:rPr>
        <w:t xml:space="preserve"> </w:t>
      </w:r>
      <w:r w:rsidRPr="00283806">
        <w:rPr>
          <w:w w:val="105"/>
          <w:sz w:val="18"/>
        </w:rPr>
        <w:t>suppression</w:t>
      </w:r>
      <w:r w:rsidRPr="00283806">
        <w:rPr>
          <w:spacing w:val="12"/>
          <w:w w:val="105"/>
          <w:sz w:val="18"/>
        </w:rPr>
        <w:t xml:space="preserve"> </w:t>
      </w:r>
      <w:r w:rsidRPr="00283806">
        <w:rPr>
          <w:spacing w:val="-2"/>
          <w:w w:val="105"/>
          <w:sz w:val="18"/>
        </w:rPr>
        <w:t>technician</w:t>
      </w:r>
    </w:p>
    <w:p w14:paraId="184C07AA" w14:textId="77777777" w:rsidR="00D67C1E" w:rsidRPr="00283806" w:rsidRDefault="001265CA">
      <w:pPr>
        <w:pStyle w:val="BodyText"/>
        <w:spacing w:before="2" w:line="228" w:lineRule="auto"/>
        <w:ind w:left="142" w:right="212"/>
        <w:jc w:val="both"/>
      </w:pPr>
      <w:r w:rsidRPr="00283806">
        <w:rPr>
          <w:w w:val="105"/>
        </w:rPr>
        <w:t xml:space="preserve">training </w:t>
      </w:r>
      <w:proofErr w:type="gramStart"/>
      <w:r w:rsidRPr="00283806">
        <w:rPr>
          <w:w w:val="105"/>
        </w:rPr>
        <w:t>shall</w:t>
      </w:r>
      <w:proofErr w:type="gramEnd"/>
      <w:r w:rsidRPr="00283806">
        <w:rPr>
          <w:w w:val="105"/>
        </w:rPr>
        <w:t xml:space="preserve"> include an explanation of the purpose of the training requirement </w:t>
      </w:r>
      <w:proofErr w:type="gramStart"/>
      <w:r w:rsidRPr="00283806">
        <w:rPr>
          <w:w w:val="105"/>
        </w:rPr>
        <w:t>and also</w:t>
      </w:r>
      <w:proofErr w:type="gramEnd"/>
      <w:r w:rsidRPr="00283806">
        <w:rPr>
          <w:w w:val="105"/>
        </w:rPr>
        <w:t xml:space="preserve"> address the following:</w:t>
      </w:r>
    </w:p>
    <w:p w14:paraId="37CECD84" w14:textId="77777777" w:rsidR="00D67C1E" w:rsidRPr="00283806" w:rsidRDefault="001265CA">
      <w:pPr>
        <w:pStyle w:val="ListParagraph"/>
        <w:numPr>
          <w:ilvl w:val="5"/>
          <w:numId w:val="19"/>
        </w:numPr>
        <w:tabs>
          <w:tab w:val="left" w:pos="550"/>
        </w:tabs>
        <w:spacing w:line="179" w:lineRule="exact"/>
        <w:ind w:left="550" w:hanging="228"/>
        <w:rPr>
          <w:sz w:val="18"/>
        </w:rPr>
      </w:pPr>
      <w:r w:rsidRPr="00283806">
        <w:rPr>
          <w:w w:val="110"/>
          <w:sz w:val="18"/>
        </w:rPr>
        <w:t>The</w:t>
      </w:r>
      <w:r w:rsidRPr="00283806">
        <w:rPr>
          <w:spacing w:val="-2"/>
          <w:w w:val="110"/>
          <w:sz w:val="18"/>
        </w:rPr>
        <w:t xml:space="preserve"> </w:t>
      </w:r>
      <w:r w:rsidRPr="00283806">
        <w:rPr>
          <w:w w:val="110"/>
          <w:sz w:val="18"/>
        </w:rPr>
        <w:t>significance</w:t>
      </w:r>
      <w:r w:rsidRPr="00283806">
        <w:rPr>
          <w:spacing w:val="-2"/>
          <w:w w:val="110"/>
          <w:sz w:val="18"/>
        </w:rPr>
        <w:t xml:space="preserve"> </w:t>
      </w:r>
      <w:r w:rsidRPr="00283806">
        <w:rPr>
          <w:w w:val="110"/>
          <w:sz w:val="18"/>
        </w:rPr>
        <w:t>of</w:t>
      </w:r>
      <w:r w:rsidRPr="00283806">
        <w:rPr>
          <w:spacing w:val="-2"/>
          <w:w w:val="110"/>
          <w:sz w:val="18"/>
        </w:rPr>
        <w:t xml:space="preserve"> minimizing</w:t>
      </w:r>
    </w:p>
    <w:p w14:paraId="13AF02BE" w14:textId="77777777" w:rsidR="00D67C1E" w:rsidRPr="00283806" w:rsidRDefault="001265CA">
      <w:pPr>
        <w:pStyle w:val="BodyText"/>
        <w:spacing w:before="3" w:line="228" w:lineRule="auto"/>
        <w:ind w:left="142" w:right="176"/>
      </w:pPr>
      <w:r w:rsidRPr="00283806">
        <w:rPr>
          <w:w w:val="105"/>
        </w:rPr>
        <w:t>releases</w:t>
      </w:r>
      <w:r w:rsidRPr="00283806">
        <w:rPr>
          <w:spacing w:val="-3"/>
          <w:w w:val="105"/>
        </w:rPr>
        <w:t xml:space="preserve"> </w:t>
      </w:r>
      <w:r w:rsidRPr="00283806">
        <w:rPr>
          <w:w w:val="105"/>
        </w:rPr>
        <w:t>of</w:t>
      </w:r>
      <w:r w:rsidRPr="00283806">
        <w:rPr>
          <w:spacing w:val="-3"/>
          <w:w w:val="105"/>
        </w:rPr>
        <w:t xml:space="preserve"> </w:t>
      </w:r>
      <w:r w:rsidRPr="00283806">
        <w:rPr>
          <w:w w:val="105"/>
        </w:rPr>
        <w:t>regulated</w:t>
      </w:r>
      <w:r w:rsidRPr="00283806">
        <w:rPr>
          <w:spacing w:val="-3"/>
          <w:w w:val="105"/>
        </w:rPr>
        <w:t xml:space="preserve"> </w:t>
      </w:r>
      <w:r w:rsidRPr="00283806">
        <w:rPr>
          <w:w w:val="105"/>
        </w:rPr>
        <w:t>substances</w:t>
      </w:r>
      <w:r w:rsidRPr="00283806">
        <w:rPr>
          <w:spacing w:val="-3"/>
          <w:w w:val="105"/>
        </w:rPr>
        <w:t xml:space="preserve"> </w:t>
      </w:r>
      <w:r w:rsidRPr="00283806">
        <w:rPr>
          <w:w w:val="105"/>
        </w:rPr>
        <w:t>and ensuring technician safety;</w:t>
      </w:r>
    </w:p>
    <w:p w14:paraId="3C08F8EF" w14:textId="77777777" w:rsidR="00D67C1E" w:rsidRPr="00283806" w:rsidRDefault="001265CA">
      <w:pPr>
        <w:pStyle w:val="ListParagraph"/>
        <w:numPr>
          <w:ilvl w:val="5"/>
          <w:numId w:val="19"/>
        </w:numPr>
        <w:tabs>
          <w:tab w:val="left" w:pos="610"/>
        </w:tabs>
        <w:spacing w:line="180" w:lineRule="exact"/>
        <w:ind w:left="610" w:hanging="288"/>
        <w:rPr>
          <w:sz w:val="18"/>
        </w:rPr>
      </w:pPr>
      <w:r w:rsidRPr="00283806">
        <w:rPr>
          <w:w w:val="105"/>
          <w:sz w:val="18"/>
        </w:rPr>
        <w:t>An</w:t>
      </w:r>
      <w:r w:rsidRPr="00283806">
        <w:rPr>
          <w:spacing w:val="18"/>
          <w:w w:val="105"/>
          <w:sz w:val="18"/>
        </w:rPr>
        <w:t xml:space="preserve"> </w:t>
      </w:r>
      <w:r w:rsidRPr="00283806">
        <w:rPr>
          <w:w w:val="105"/>
          <w:sz w:val="18"/>
        </w:rPr>
        <w:t>overview</w:t>
      </w:r>
      <w:r w:rsidRPr="00283806">
        <w:rPr>
          <w:spacing w:val="18"/>
          <w:w w:val="105"/>
          <w:sz w:val="18"/>
        </w:rPr>
        <w:t xml:space="preserve"> </w:t>
      </w:r>
      <w:r w:rsidRPr="00283806">
        <w:rPr>
          <w:w w:val="105"/>
          <w:sz w:val="18"/>
        </w:rPr>
        <w:t>of</w:t>
      </w:r>
      <w:r w:rsidRPr="00283806">
        <w:rPr>
          <w:spacing w:val="19"/>
          <w:w w:val="105"/>
          <w:sz w:val="18"/>
        </w:rPr>
        <w:t xml:space="preserve"> </w:t>
      </w:r>
      <w:r w:rsidRPr="00283806">
        <w:rPr>
          <w:spacing w:val="-2"/>
          <w:w w:val="105"/>
          <w:sz w:val="18"/>
        </w:rPr>
        <w:t>regulated</w:t>
      </w:r>
    </w:p>
    <w:p w14:paraId="3F42AE5C" w14:textId="77777777" w:rsidR="00D67C1E" w:rsidRPr="00283806" w:rsidRDefault="001265CA">
      <w:pPr>
        <w:pStyle w:val="BodyText"/>
        <w:spacing w:before="3" w:line="228" w:lineRule="auto"/>
        <w:ind w:left="142" w:right="188"/>
      </w:pPr>
      <w:r w:rsidRPr="00283806">
        <w:rPr>
          <w:w w:val="105"/>
        </w:rPr>
        <w:t>substances and environmental concerns with regulated substances, including discussion of other federal, State, local, or Tribal fire, building, safety, and environmental codes and standards;</w:t>
      </w:r>
    </w:p>
    <w:p w14:paraId="7C27C879" w14:textId="77777777" w:rsidR="00D67C1E" w:rsidRPr="00283806" w:rsidRDefault="001265CA">
      <w:pPr>
        <w:pStyle w:val="ListParagraph"/>
        <w:numPr>
          <w:ilvl w:val="5"/>
          <w:numId w:val="19"/>
        </w:numPr>
        <w:tabs>
          <w:tab w:val="left" w:pos="670"/>
        </w:tabs>
        <w:spacing w:line="178" w:lineRule="exact"/>
        <w:ind w:left="670" w:hanging="348"/>
        <w:rPr>
          <w:sz w:val="18"/>
        </w:rPr>
      </w:pPr>
      <w:r w:rsidRPr="00283806">
        <w:rPr>
          <w:w w:val="105"/>
          <w:sz w:val="18"/>
        </w:rPr>
        <w:t>A</w:t>
      </w:r>
      <w:r w:rsidRPr="00283806">
        <w:rPr>
          <w:spacing w:val="11"/>
          <w:w w:val="105"/>
          <w:sz w:val="18"/>
        </w:rPr>
        <w:t xml:space="preserve"> </w:t>
      </w:r>
      <w:r w:rsidRPr="00283806">
        <w:rPr>
          <w:w w:val="105"/>
          <w:sz w:val="18"/>
        </w:rPr>
        <w:t>review</w:t>
      </w:r>
      <w:r w:rsidRPr="00283806">
        <w:rPr>
          <w:spacing w:val="11"/>
          <w:w w:val="105"/>
          <w:sz w:val="18"/>
        </w:rPr>
        <w:t xml:space="preserve"> </w:t>
      </w:r>
      <w:r w:rsidRPr="00283806">
        <w:rPr>
          <w:w w:val="105"/>
          <w:sz w:val="18"/>
        </w:rPr>
        <w:t>of</w:t>
      </w:r>
      <w:r w:rsidRPr="00283806">
        <w:rPr>
          <w:spacing w:val="11"/>
          <w:w w:val="105"/>
          <w:sz w:val="18"/>
        </w:rPr>
        <w:t xml:space="preserve"> </w:t>
      </w:r>
      <w:r w:rsidRPr="00283806">
        <w:rPr>
          <w:w w:val="105"/>
          <w:sz w:val="18"/>
        </w:rPr>
        <w:t>relevant</w:t>
      </w:r>
      <w:r w:rsidRPr="00283806">
        <w:rPr>
          <w:spacing w:val="11"/>
          <w:w w:val="105"/>
          <w:sz w:val="18"/>
        </w:rPr>
        <w:t xml:space="preserve"> </w:t>
      </w:r>
      <w:r w:rsidRPr="00283806">
        <w:rPr>
          <w:spacing w:val="-2"/>
          <w:w w:val="105"/>
          <w:sz w:val="18"/>
        </w:rPr>
        <w:t>regulations</w:t>
      </w:r>
    </w:p>
    <w:p w14:paraId="1D42CDFC" w14:textId="77777777" w:rsidR="00D67C1E" w:rsidRPr="00283806" w:rsidRDefault="001265CA">
      <w:pPr>
        <w:pStyle w:val="BodyText"/>
        <w:spacing w:before="3" w:line="228" w:lineRule="auto"/>
        <w:ind w:left="142" w:right="176"/>
      </w:pPr>
      <w:r w:rsidRPr="00283806">
        <w:rPr>
          <w:w w:val="105"/>
        </w:rPr>
        <w:t>concerning regulated substances, including the requirements of this subpart that apply with respect to fire suppression equipment; and</w:t>
      </w:r>
    </w:p>
    <w:p w14:paraId="26E4F21F" w14:textId="77777777" w:rsidR="00D67C1E" w:rsidRPr="00283806" w:rsidRDefault="001265CA">
      <w:pPr>
        <w:pStyle w:val="ListParagraph"/>
        <w:numPr>
          <w:ilvl w:val="5"/>
          <w:numId w:val="19"/>
        </w:numPr>
        <w:tabs>
          <w:tab w:val="left" w:pos="650"/>
        </w:tabs>
        <w:spacing w:line="179" w:lineRule="exact"/>
        <w:ind w:left="650" w:hanging="328"/>
        <w:rPr>
          <w:sz w:val="18"/>
        </w:rPr>
      </w:pPr>
      <w:r w:rsidRPr="00283806">
        <w:rPr>
          <w:w w:val="110"/>
          <w:sz w:val="18"/>
        </w:rPr>
        <w:t>Specific</w:t>
      </w:r>
      <w:r w:rsidRPr="00283806">
        <w:rPr>
          <w:spacing w:val="10"/>
          <w:w w:val="110"/>
          <w:sz w:val="18"/>
        </w:rPr>
        <w:t xml:space="preserve"> </w:t>
      </w:r>
      <w:r w:rsidRPr="00283806">
        <w:rPr>
          <w:w w:val="110"/>
          <w:sz w:val="18"/>
        </w:rPr>
        <w:t>technical</w:t>
      </w:r>
      <w:r w:rsidRPr="00283806">
        <w:rPr>
          <w:spacing w:val="10"/>
          <w:w w:val="110"/>
          <w:sz w:val="18"/>
        </w:rPr>
        <w:t xml:space="preserve"> </w:t>
      </w:r>
      <w:r w:rsidRPr="00283806">
        <w:rPr>
          <w:spacing w:val="-2"/>
          <w:w w:val="110"/>
          <w:sz w:val="18"/>
        </w:rPr>
        <w:t>instruction</w:t>
      </w:r>
    </w:p>
    <w:p w14:paraId="3829643B" w14:textId="77777777" w:rsidR="00D67C1E" w:rsidRPr="00283806" w:rsidRDefault="001265CA">
      <w:pPr>
        <w:pStyle w:val="BodyText"/>
        <w:spacing w:before="3" w:line="228" w:lineRule="auto"/>
        <w:ind w:left="142" w:right="202"/>
      </w:pPr>
      <w:r w:rsidRPr="00283806">
        <w:rPr>
          <w:w w:val="105"/>
        </w:rPr>
        <w:t>relevant to avoiding unnecessary emissions of regulated substances</w:t>
      </w:r>
      <w:r w:rsidRPr="00283806">
        <w:rPr>
          <w:spacing w:val="40"/>
          <w:w w:val="105"/>
        </w:rPr>
        <w:t xml:space="preserve"> </w:t>
      </w:r>
      <w:r w:rsidRPr="00283806">
        <w:rPr>
          <w:w w:val="105"/>
        </w:rPr>
        <w:t xml:space="preserve">during the </w:t>
      </w:r>
      <w:proofErr w:type="gramStart"/>
      <w:r w:rsidRPr="00283806">
        <w:rPr>
          <w:w w:val="105"/>
        </w:rPr>
        <w:t>servicing</w:t>
      </w:r>
      <w:proofErr w:type="gramEnd"/>
      <w:r w:rsidRPr="00283806">
        <w:rPr>
          <w:w w:val="105"/>
        </w:rPr>
        <w:t>, repair, disposal, or installation of fire suppression equipment at the different types of facilities where the technician might</w:t>
      </w:r>
    </w:p>
    <w:p w14:paraId="26F70486"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7" w:space="40"/>
            <w:col w:w="3502" w:space="39"/>
            <w:col w:w="3622"/>
          </w:cols>
        </w:sectPr>
      </w:pPr>
    </w:p>
    <w:p w14:paraId="6D756164" w14:textId="77777777" w:rsidR="00D67C1E" w:rsidRPr="00283806" w:rsidRDefault="001265CA">
      <w:pPr>
        <w:pStyle w:val="BodyText"/>
        <w:spacing w:before="136" w:line="225" w:lineRule="auto"/>
        <w:ind w:right="27"/>
      </w:pPr>
      <w:r w:rsidRPr="00283806">
        <w:rPr>
          <w:w w:val="105"/>
        </w:rPr>
        <w:lastRenderedPageBreak/>
        <w:t xml:space="preserve">perform such work on fire suppression </w:t>
      </w:r>
      <w:r w:rsidRPr="00283806">
        <w:rPr>
          <w:spacing w:val="-2"/>
          <w:w w:val="105"/>
        </w:rPr>
        <w:t>equipment.</w:t>
      </w:r>
    </w:p>
    <w:p w14:paraId="4B263BEE" w14:textId="77777777" w:rsidR="00D67C1E" w:rsidRPr="00283806" w:rsidRDefault="001265CA">
      <w:pPr>
        <w:pStyle w:val="ListParagraph"/>
        <w:numPr>
          <w:ilvl w:val="4"/>
          <w:numId w:val="19"/>
        </w:numPr>
        <w:tabs>
          <w:tab w:val="left" w:pos="608"/>
        </w:tabs>
        <w:spacing w:line="172" w:lineRule="exact"/>
        <w:ind w:left="608" w:hanging="268"/>
        <w:rPr>
          <w:sz w:val="18"/>
        </w:rPr>
      </w:pPr>
      <w:r w:rsidRPr="00283806">
        <w:rPr>
          <w:spacing w:val="-2"/>
          <w:w w:val="105"/>
          <w:sz w:val="18"/>
        </w:rPr>
        <w:t>[Reserved]</w:t>
      </w:r>
    </w:p>
    <w:p w14:paraId="14D5E404" w14:textId="77777777" w:rsidR="00D67C1E" w:rsidRPr="00283806" w:rsidRDefault="001265CA">
      <w:pPr>
        <w:pStyle w:val="ListParagraph"/>
        <w:numPr>
          <w:ilvl w:val="3"/>
          <w:numId w:val="19"/>
        </w:numPr>
        <w:tabs>
          <w:tab w:val="left" w:pos="598"/>
        </w:tabs>
        <w:spacing w:line="225" w:lineRule="auto"/>
        <w:ind w:left="160" w:right="49" w:firstLine="180"/>
        <w:rPr>
          <w:sz w:val="18"/>
        </w:rPr>
      </w:pPr>
      <w:r w:rsidRPr="00283806">
        <w:rPr>
          <w:w w:val="105"/>
          <w:sz w:val="18"/>
        </w:rPr>
        <w:t>As of January 1, 2026, no person shall dispose of fire suppression equipment containing regulated substances except by either recovering the regulated substances themselves before sending the equipment for disposal or by leaving the regulated substances in the equipment and</w:t>
      </w:r>
      <w:r w:rsidRPr="00283806">
        <w:rPr>
          <w:spacing w:val="40"/>
          <w:w w:val="105"/>
          <w:sz w:val="18"/>
        </w:rPr>
        <w:t xml:space="preserve"> </w:t>
      </w:r>
      <w:r w:rsidRPr="00283806">
        <w:rPr>
          <w:w w:val="105"/>
          <w:sz w:val="18"/>
        </w:rPr>
        <w:t>sending it for disposal to a facility, such as a fire suppression equipment manufacturer, a distributor, or a fire suppressant recycler.</w:t>
      </w:r>
    </w:p>
    <w:p w14:paraId="6C993D06" w14:textId="77777777" w:rsidR="00D67C1E" w:rsidRPr="00283806" w:rsidRDefault="001265CA">
      <w:pPr>
        <w:pStyle w:val="ListParagraph"/>
        <w:numPr>
          <w:ilvl w:val="3"/>
          <w:numId w:val="19"/>
        </w:numPr>
        <w:tabs>
          <w:tab w:val="left" w:pos="568"/>
        </w:tabs>
        <w:spacing w:line="185" w:lineRule="exact"/>
        <w:ind w:left="568" w:hanging="228"/>
        <w:rPr>
          <w:sz w:val="18"/>
        </w:rPr>
      </w:pPr>
      <w:r w:rsidRPr="00283806">
        <w:rPr>
          <w:w w:val="105"/>
          <w:sz w:val="18"/>
        </w:rPr>
        <w:t>As</w:t>
      </w:r>
      <w:r w:rsidRPr="00283806">
        <w:rPr>
          <w:spacing w:val="10"/>
          <w:w w:val="105"/>
          <w:sz w:val="18"/>
        </w:rPr>
        <w:t xml:space="preserve"> </w:t>
      </w:r>
      <w:r w:rsidRPr="00283806">
        <w:rPr>
          <w:w w:val="105"/>
          <w:sz w:val="18"/>
        </w:rPr>
        <w:t>of</w:t>
      </w:r>
      <w:r w:rsidRPr="00283806">
        <w:rPr>
          <w:spacing w:val="11"/>
          <w:w w:val="105"/>
          <w:sz w:val="18"/>
        </w:rPr>
        <w:t xml:space="preserve"> </w:t>
      </w:r>
      <w:r w:rsidRPr="00283806">
        <w:rPr>
          <w:w w:val="105"/>
          <w:sz w:val="18"/>
        </w:rPr>
        <w:t>January</w:t>
      </w:r>
      <w:r w:rsidRPr="00283806">
        <w:rPr>
          <w:spacing w:val="11"/>
          <w:w w:val="105"/>
          <w:sz w:val="18"/>
        </w:rPr>
        <w:t xml:space="preserve"> </w:t>
      </w:r>
      <w:r w:rsidRPr="00283806">
        <w:rPr>
          <w:w w:val="105"/>
          <w:sz w:val="18"/>
        </w:rPr>
        <w:t>1,</w:t>
      </w:r>
      <w:r w:rsidRPr="00283806">
        <w:rPr>
          <w:spacing w:val="11"/>
          <w:w w:val="105"/>
          <w:sz w:val="18"/>
        </w:rPr>
        <w:t xml:space="preserve"> </w:t>
      </w:r>
      <w:r w:rsidRPr="00283806">
        <w:rPr>
          <w:w w:val="105"/>
          <w:sz w:val="18"/>
        </w:rPr>
        <w:t>2026,</w:t>
      </w:r>
      <w:r w:rsidRPr="00283806">
        <w:rPr>
          <w:spacing w:val="11"/>
          <w:w w:val="105"/>
          <w:sz w:val="18"/>
        </w:rPr>
        <w:t xml:space="preserve"> </w:t>
      </w:r>
      <w:r w:rsidRPr="00283806">
        <w:rPr>
          <w:w w:val="105"/>
          <w:sz w:val="18"/>
        </w:rPr>
        <w:t>no</w:t>
      </w:r>
      <w:r w:rsidRPr="00283806">
        <w:rPr>
          <w:spacing w:val="11"/>
          <w:w w:val="105"/>
          <w:sz w:val="18"/>
        </w:rPr>
        <w:t xml:space="preserve"> </w:t>
      </w:r>
      <w:r w:rsidRPr="00283806">
        <w:rPr>
          <w:spacing w:val="-2"/>
          <w:w w:val="105"/>
          <w:sz w:val="18"/>
        </w:rPr>
        <w:t>person</w:t>
      </w:r>
    </w:p>
    <w:p w14:paraId="4DC70BA3" w14:textId="77777777" w:rsidR="00D67C1E" w:rsidRPr="00283806" w:rsidRDefault="001265CA">
      <w:pPr>
        <w:pStyle w:val="BodyText"/>
        <w:spacing w:line="228" w:lineRule="auto"/>
        <w:ind w:right="16"/>
      </w:pPr>
      <w:r w:rsidRPr="00283806">
        <w:rPr>
          <w:w w:val="105"/>
        </w:rPr>
        <w:t>shall dispose of regulated substances used as a fire suppression agent except</w:t>
      </w:r>
      <w:r w:rsidRPr="00283806">
        <w:rPr>
          <w:spacing w:val="40"/>
          <w:w w:val="105"/>
        </w:rPr>
        <w:t xml:space="preserve"> </w:t>
      </w:r>
      <w:r w:rsidRPr="00283806">
        <w:rPr>
          <w:w w:val="105"/>
        </w:rPr>
        <w:t>by sending it for recycling to a fire suppressant recycler or a reclaimer certified under 40 CFR 82.164, or by arranging for its destruction using one of the controlled processes listed in</w:t>
      </w:r>
    </w:p>
    <w:p w14:paraId="68163AD0" w14:textId="77777777" w:rsidR="00D67C1E" w:rsidRPr="00283806" w:rsidRDefault="001265CA">
      <w:pPr>
        <w:pStyle w:val="BodyText"/>
        <w:spacing w:line="185" w:lineRule="exact"/>
      </w:pPr>
      <w:r w:rsidRPr="00283806">
        <w:rPr>
          <w:w w:val="110"/>
        </w:rPr>
        <w:t>§</w:t>
      </w:r>
      <w:r w:rsidRPr="00283806">
        <w:rPr>
          <w:spacing w:val="-14"/>
          <w:w w:val="110"/>
        </w:rPr>
        <w:t xml:space="preserve"> </w:t>
      </w:r>
      <w:r w:rsidRPr="00283806">
        <w:rPr>
          <w:spacing w:val="-2"/>
          <w:w w:val="110"/>
        </w:rPr>
        <w:t>84.29.</w:t>
      </w:r>
    </w:p>
    <w:p w14:paraId="37DB2C28" w14:textId="77777777" w:rsidR="00D67C1E" w:rsidRPr="00283806" w:rsidRDefault="001265CA">
      <w:pPr>
        <w:pStyle w:val="ListParagraph"/>
        <w:numPr>
          <w:ilvl w:val="0"/>
          <w:numId w:val="18"/>
        </w:numPr>
        <w:tabs>
          <w:tab w:val="left" w:pos="608"/>
        </w:tabs>
        <w:spacing w:line="228" w:lineRule="auto"/>
        <w:ind w:right="7" w:firstLine="180"/>
        <w:rPr>
          <w:sz w:val="18"/>
        </w:rPr>
      </w:pPr>
      <w:r w:rsidRPr="00283806">
        <w:rPr>
          <w:w w:val="105"/>
          <w:sz w:val="18"/>
        </w:rPr>
        <w:t xml:space="preserve">Any person using a device to recover, store, and/or transfer regulated substances used in fire suppression equipment must: evacuate the device used to recover, store, and/or transfer regulated substances prior to each use to prevent contamination, arrange for destruction of the recovered regulated substances as necessary; and collect and dispose of wastes from the recycling </w:t>
      </w:r>
      <w:r w:rsidRPr="00283806">
        <w:rPr>
          <w:spacing w:val="-2"/>
          <w:w w:val="105"/>
          <w:sz w:val="18"/>
        </w:rPr>
        <w:t>process.</w:t>
      </w:r>
    </w:p>
    <w:p w14:paraId="6E39D844" w14:textId="77777777" w:rsidR="00D67C1E" w:rsidRPr="00283806" w:rsidRDefault="001265CA">
      <w:pPr>
        <w:pStyle w:val="ListParagraph"/>
        <w:numPr>
          <w:ilvl w:val="0"/>
          <w:numId w:val="18"/>
        </w:numPr>
        <w:tabs>
          <w:tab w:val="left" w:pos="608"/>
        </w:tabs>
        <w:spacing w:line="175" w:lineRule="exact"/>
        <w:ind w:left="608" w:hanging="268"/>
        <w:rPr>
          <w:sz w:val="18"/>
        </w:rPr>
      </w:pPr>
      <w:r w:rsidRPr="00283806">
        <w:rPr>
          <w:w w:val="105"/>
          <w:sz w:val="18"/>
        </w:rPr>
        <w:t>Any</w:t>
      </w:r>
      <w:r w:rsidRPr="00283806">
        <w:rPr>
          <w:spacing w:val="14"/>
          <w:w w:val="105"/>
          <w:sz w:val="18"/>
        </w:rPr>
        <w:t xml:space="preserve"> </w:t>
      </w:r>
      <w:r w:rsidRPr="00283806">
        <w:rPr>
          <w:w w:val="105"/>
          <w:sz w:val="18"/>
        </w:rPr>
        <w:t>person</w:t>
      </w:r>
      <w:r w:rsidRPr="00283806">
        <w:rPr>
          <w:spacing w:val="15"/>
          <w:w w:val="105"/>
          <w:sz w:val="18"/>
        </w:rPr>
        <w:t xml:space="preserve"> </w:t>
      </w:r>
      <w:r w:rsidRPr="00283806">
        <w:rPr>
          <w:w w:val="105"/>
          <w:sz w:val="18"/>
        </w:rPr>
        <w:t>using</w:t>
      </w:r>
      <w:r w:rsidRPr="00283806">
        <w:rPr>
          <w:spacing w:val="15"/>
          <w:w w:val="105"/>
          <w:sz w:val="18"/>
        </w:rPr>
        <w:t xml:space="preserve"> </w:t>
      </w:r>
      <w:r w:rsidRPr="00283806">
        <w:rPr>
          <w:w w:val="105"/>
          <w:sz w:val="18"/>
        </w:rPr>
        <w:t>recovery</w:t>
      </w:r>
      <w:r w:rsidRPr="00283806">
        <w:rPr>
          <w:spacing w:val="14"/>
          <w:w w:val="105"/>
          <w:sz w:val="18"/>
        </w:rPr>
        <w:t xml:space="preserve"> </w:t>
      </w:r>
      <w:r w:rsidRPr="00283806">
        <w:rPr>
          <w:spacing w:val="-5"/>
          <w:w w:val="105"/>
          <w:sz w:val="18"/>
        </w:rPr>
        <w:t>and</w:t>
      </w:r>
    </w:p>
    <w:p w14:paraId="3C2A8B76" w14:textId="77777777" w:rsidR="00D67C1E" w:rsidRPr="00283806" w:rsidRDefault="001265CA">
      <w:pPr>
        <w:pStyle w:val="BodyText"/>
        <w:spacing w:line="228" w:lineRule="auto"/>
        <w:ind w:right="106"/>
      </w:pPr>
      <w:r w:rsidRPr="00283806">
        <w:rPr>
          <w:w w:val="105"/>
        </w:rPr>
        <w:t>recycling equipment to recover regulated substances from fire suppression equipment must:</w:t>
      </w:r>
    </w:p>
    <w:p w14:paraId="4734F0EE" w14:textId="77777777" w:rsidR="00D67C1E" w:rsidRPr="00283806" w:rsidRDefault="001265CA">
      <w:pPr>
        <w:pStyle w:val="ListParagraph"/>
        <w:numPr>
          <w:ilvl w:val="1"/>
          <w:numId w:val="18"/>
        </w:numPr>
        <w:tabs>
          <w:tab w:val="left" w:pos="568"/>
        </w:tabs>
        <w:spacing w:line="179" w:lineRule="exact"/>
        <w:ind w:left="568" w:hanging="228"/>
        <w:rPr>
          <w:sz w:val="18"/>
        </w:rPr>
      </w:pPr>
      <w:r w:rsidRPr="00283806">
        <w:rPr>
          <w:w w:val="105"/>
          <w:sz w:val="18"/>
        </w:rPr>
        <w:t>Operate</w:t>
      </w:r>
      <w:r w:rsidRPr="00283806">
        <w:rPr>
          <w:spacing w:val="10"/>
          <w:w w:val="105"/>
          <w:sz w:val="18"/>
        </w:rPr>
        <w:t xml:space="preserve"> </w:t>
      </w:r>
      <w:r w:rsidRPr="00283806">
        <w:rPr>
          <w:w w:val="105"/>
          <w:sz w:val="18"/>
        </w:rPr>
        <w:t>and</w:t>
      </w:r>
      <w:r w:rsidRPr="00283806">
        <w:rPr>
          <w:spacing w:val="10"/>
          <w:w w:val="105"/>
          <w:sz w:val="18"/>
        </w:rPr>
        <w:t xml:space="preserve"> </w:t>
      </w:r>
      <w:r w:rsidRPr="00283806">
        <w:rPr>
          <w:w w:val="105"/>
          <w:sz w:val="18"/>
        </w:rPr>
        <w:t>maintain</w:t>
      </w:r>
      <w:r w:rsidRPr="00283806">
        <w:rPr>
          <w:spacing w:val="10"/>
          <w:w w:val="105"/>
          <w:sz w:val="18"/>
        </w:rPr>
        <w:t xml:space="preserve"> </w:t>
      </w:r>
      <w:r w:rsidRPr="00283806">
        <w:rPr>
          <w:w w:val="105"/>
          <w:sz w:val="18"/>
        </w:rPr>
        <w:t>recovery</w:t>
      </w:r>
      <w:r w:rsidRPr="00283806">
        <w:rPr>
          <w:spacing w:val="10"/>
          <w:w w:val="105"/>
          <w:sz w:val="18"/>
        </w:rPr>
        <w:t xml:space="preserve"> </w:t>
      </w:r>
      <w:r w:rsidRPr="00283806">
        <w:rPr>
          <w:spacing w:val="-5"/>
          <w:w w:val="105"/>
          <w:sz w:val="18"/>
        </w:rPr>
        <w:t>and</w:t>
      </w:r>
    </w:p>
    <w:p w14:paraId="550BA3BD" w14:textId="77777777" w:rsidR="00D67C1E" w:rsidRPr="00283806" w:rsidRDefault="001265CA">
      <w:pPr>
        <w:pStyle w:val="BodyText"/>
        <w:spacing w:before="1" w:line="228" w:lineRule="auto"/>
        <w:ind w:right="76"/>
      </w:pPr>
      <w:r w:rsidRPr="00283806">
        <w:rPr>
          <w:w w:val="105"/>
        </w:rPr>
        <w:t>recycling equipment in accordance with manufacturer specifications to ensure that the equipment performs as</w:t>
      </w:r>
      <w:r w:rsidRPr="00283806">
        <w:rPr>
          <w:spacing w:val="40"/>
          <w:w w:val="105"/>
        </w:rPr>
        <w:t xml:space="preserve"> </w:t>
      </w:r>
      <w:r w:rsidRPr="00283806">
        <w:rPr>
          <w:spacing w:val="-2"/>
          <w:w w:val="105"/>
        </w:rPr>
        <w:t>specified;</w:t>
      </w:r>
    </w:p>
    <w:p w14:paraId="3A957C3A" w14:textId="77777777" w:rsidR="00D67C1E" w:rsidRPr="00283806" w:rsidRDefault="001265CA">
      <w:pPr>
        <w:pStyle w:val="ListParagraph"/>
        <w:numPr>
          <w:ilvl w:val="1"/>
          <w:numId w:val="18"/>
        </w:numPr>
        <w:tabs>
          <w:tab w:val="left" w:pos="628"/>
        </w:tabs>
        <w:spacing w:line="179" w:lineRule="exact"/>
        <w:ind w:left="628" w:hanging="288"/>
        <w:rPr>
          <w:sz w:val="18"/>
        </w:rPr>
      </w:pPr>
      <w:r w:rsidRPr="00283806">
        <w:rPr>
          <w:w w:val="105"/>
          <w:sz w:val="18"/>
        </w:rPr>
        <w:t>Repair</w:t>
      </w:r>
      <w:r w:rsidRPr="00283806">
        <w:rPr>
          <w:spacing w:val="6"/>
          <w:w w:val="105"/>
          <w:sz w:val="18"/>
        </w:rPr>
        <w:t xml:space="preserve"> </w:t>
      </w:r>
      <w:r w:rsidRPr="00283806">
        <w:rPr>
          <w:w w:val="105"/>
          <w:sz w:val="18"/>
        </w:rPr>
        <w:t>leaks</w:t>
      </w:r>
      <w:r w:rsidRPr="00283806">
        <w:rPr>
          <w:spacing w:val="7"/>
          <w:w w:val="105"/>
          <w:sz w:val="18"/>
        </w:rPr>
        <w:t xml:space="preserve"> </w:t>
      </w:r>
      <w:r w:rsidRPr="00283806">
        <w:rPr>
          <w:w w:val="105"/>
          <w:sz w:val="18"/>
        </w:rPr>
        <w:t>in</w:t>
      </w:r>
      <w:r w:rsidRPr="00283806">
        <w:rPr>
          <w:spacing w:val="6"/>
          <w:w w:val="105"/>
          <w:sz w:val="18"/>
        </w:rPr>
        <w:t xml:space="preserve"> </w:t>
      </w:r>
      <w:r w:rsidRPr="00283806">
        <w:rPr>
          <w:w w:val="105"/>
          <w:sz w:val="18"/>
        </w:rPr>
        <w:t>storage,</w:t>
      </w:r>
      <w:r w:rsidRPr="00283806">
        <w:rPr>
          <w:spacing w:val="7"/>
          <w:w w:val="105"/>
          <w:sz w:val="18"/>
        </w:rPr>
        <w:t xml:space="preserve"> </w:t>
      </w:r>
      <w:r w:rsidRPr="00283806">
        <w:rPr>
          <w:spacing w:val="-2"/>
          <w:w w:val="105"/>
          <w:sz w:val="18"/>
        </w:rPr>
        <w:t>recovery,</w:t>
      </w:r>
    </w:p>
    <w:p w14:paraId="13CB8C7F" w14:textId="77777777" w:rsidR="00D67C1E" w:rsidRPr="00283806" w:rsidRDefault="001265CA">
      <w:pPr>
        <w:pStyle w:val="BodyText"/>
        <w:spacing w:before="3" w:line="228" w:lineRule="auto"/>
        <w:ind w:right="216"/>
        <w:jc w:val="both"/>
      </w:pPr>
      <w:r w:rsidRPr="00283806">
        <w:rPr>
          <w:w w:val="105"/>
        </w:rPr>
        <w:t>recycling, and/or charging equipment used</w:t>
      </w:r>
      <w:r w:rsidRPr="00283806">
        <w:rPr>
          <w:spacing w:val="-1"/>
          <w:w w:val="105"/>
        </w:rPr>
        <w:t xml:space="preserve"> </w:t>
      </w:r>
      <w:r w:rsidRPr="00283806">
        <w:rPr>
          <w:w w:val="105"/>
        </w:rPr>
        <w:t>with</w:t>
      </w:r>
      <w:r w:rsidRPr="00283806">
        <w:rPr>
          <w:spacing w:val="-1"/>
          <w:w w:val="105"/>
        </w:rPr>
        <w:t xml:space="preserve"> </w:t>
      </w:r>
      <w:r w:rsidRPr="00283806">
        <w:rPr>
          <w:w w:val="105"/>
        </w:rPr>
        <w:t>regulated</w:t>
      </w:r>
      <w:r w:rsidRPr="00283806">
        <w:rPr>
          <w:spacing w:val="-1"/>
          <w:w w:val="105"/>
        </w:rPr>
        <w:t xml:space="preserve"> </w:t>
      </w:r>
      <w:r w:rsidRPr="00283806">
        <w:rPr>
          <w:w w:val="105"/>
        </w:rPr>
        <w:t>substances</w:t>
      </w:r>
      <w:r w:rsidRPr="00283806">
        <w:rPr>
          <w:spacing w:val="-1"/>
          <w:w w:val="105"/>
        </w:rPr>
        <w:t xml:space="preserve"> </w:t>
      </w:r>
      <w:r w:rsidRPr="00283806">
        <w:rPr>
          <w:w w:val="105"/>
        </w:rPr>
        <w:t>before use; and</w:t>
      </w:r>
    </w:p>
    <w:p w14:paraId="02D9AC4C" w14:textId="77777777" w:rsidR="00D67C1E" w:rsidRPr="00283806" w:rsidRDefault="001265CA">
      <w:pPr>
        <w:pStyle w:val="ListParagraph"/>
        <w:numPr>
          <w:ilvl w:val="1"/>
          <w:numId w:val="18"/>
        </w:numPr>
        <w:tabs>
          <w:tab w:val="left" w:pos="688"/>
        </w:tabs>
        <w:spacing w:line="179" w:lineRule="exact"/>
        <w:ind w:left="688" w:hanging="348"/>
        <w:jc w:val="both"/>
        <w:rPr>
          <w:sz w:val="18"/>
        </w:rPr>
      </w:pPr>
      <w:r w:rsidRPr="00283806">
        <w:rPr>
          <w:w w:val="105"/>
          <w:sz w:val="18"/>
        </w:rPr>
        <w:t>Ensure</w:t>
      </w:r>
      <w:r w:rsidRPr="00283806">
        <w:rPr>
          <w:spacing w:val="3"/>
          <w:w w:val="105"/>
          <w:sz w:val="18"/>
        </w:rPr>
        <w:t xml:space="preserve"> </w:t>
      </w:r>
      <w:r w:rsidRPr="00283806">
        <w:rPr>
          <w:w w:val="105"/>
          <w:sz w:val="18"/>
        </w:rPr>
        <w:t>that</w:t>
      </w:r>
      <w:r w:rsidRPr="00283806">
        <w:rPr>
          <w:spacing w:val="4"/>
          <w:w w:val="105"/>
          <w:sz w:val="18"/>
        </w:rPr>
        <w:t xml:space="preserve"> </w:t>
      </w:r>
      <w:r w:rsidRPr="00283806">
        <w:rPr>
          <w:w w:val="105"/>
          <w:sz w:val="18"/>
        </w:rPr>
        <w:t>cross-</w:t>
      </w:r>
      <w:r w:rsidRPr="00283806">
        <w:rPr>
          <w:spacing w:val="-2"/>
          <w:w w:val="105"/>
          <w:sz w:val="18"/>
        </w:rPr>
        <w:t>contamination</w:t>
      </w:r>
    </w:p>
    <w:p w14:paraId="73B39003" w14:textId="77777777" w:rsidR="00D67C1E" w:rsidRPr="00283806" w:rsidRDefault="001265CA">
      <w:pPr>
        <w:pStyle w:val="BodyText"/>
        <w:spacing w:before="3" w:line="228" w:lineRule="auto"/>
        <w:ind w:right="27"/>
      </w:pPr>
      <w:r w:rsidRPr="00283806">
        <w:rPr>
          <w:w w:val="105"/>
        </w:rPr>
        <w:t>does not occur through the mixing of regulated substances that may be contained in similar cylinders.</w:t>
      </w:r>
    </w:p>
    <w:p w14:paraId="4AA8A9F8" w14:textId="77777777" w:rsidR="00D67C1E" w:rsidRPr="00283806" w:rsidRDefault="001265CA">
      <w:pPr>
        <w:pStyle w:val="BodyText"/>
        <w:spacing w:line="179" w:lineRule="exact"/>
        <w:ind w:left="340"/>
      </w:pPr>
      <w:r w:rsidRPr="00283806">
        <w:rPr>
          <w:w w:val="105"/>
        </w:rPr>
        <w:t xml:space="preserve">(g)(1) As of January 1, 2026, </w:t>
      </w:r>
      <w:r w:rsidRPr="00283806">
        <w:rPr>
          <w:spacing w:val="-5"/>
          <w:w w:val="105"/>
        </w:rPr>
        <w:t>any</w:t>
      </w:r>
    </w:p>
    <w:p w14:paraId="438D68A2" w14:textId="77777777" w:rsidR="00D67C1E" w:rsidRPr="00283806" w:rsidRDefault="001265CA">
      <w:pPr>
        <w:pStyle w:val="BodyText"/>
        <w:spacing w:before="5" w:line="225" w:lineRule="auto"/>
        <w:ind w:right="37"/>
      </w:pPr>
      <w:r w:rsidRPr="00283806">
        <w:rPr>
          <w:w w:val="105"/>
        </w:rPr>
        <w:t>person who performs first fill of fire suppression equipment, service (</w:t>
      </w:r>
      <w:r w:rsidRPr="00283806">
        <w:rPr>
          <w:rFonts w:ascii="Book Antiqua" w:hAnsi="Book Antiqua"/>
          <w:i/>
          <w:w w:val="105"/>
        </w:rPr>
        <w:t xml:space="preserve">e.g., </w:t>
      </w:r>
      <w:r w:rsidRPr="00283806">
        <w:rPr>
          <w:w w:val="105"/>
        </w:rPr>
        <w:t>recharge) of fire suppression equipment, and/or recycles regulated substances recovered from fire suppression equipment, such as equipment manufacturers, distributors, agent suppliers, or installers that recycle regulated substances, must submit a report to EPA annually covering the</w:t>
      </w:r>
      <w:r w:rsidRPr="00283806">
        <w:rPr>
          <w:spacing w:val="80"/>
          <w:w w:val="105"/>
        </w:rPr>
        <w:t xml:space="preserve"> </w:t>
      </w:r>
      <w:r w:rsidRPr="00283806">
        <w:rPr>
          <w:w w:val="105"/>
        </w:rPr>
        <w:t>prior year’s activity from January 1 through December 31. The first annual report must be submitted to the Agency on February 14, 2027, and subsequent annual reports must be submitted by February 14 of each subsequent year.</w:t>
      </w:r>
    </w:p>
    <w:p w14:paraId="22F3EB04" w14:textId="77777777" w:rsidR="00D67C1E" w:rsidRPr="00283806" w:rsidRDefault="001265CA">
      <w:pPr>
        <w:pStyle w:val="BodyText"/>
        <w:spacing w:before="133" w:line="228" w:lineRule="auto"/>
        <w:ind w:left="145"/>
      </w:pPr>
      <w:r w:rsidRPr="00283806">
        <w:br w:type="column"/>
      </w:r>
      <w:r w:rsidRPr="00283806">
        <w:rPr>
          <w:w w:val="105"/>
        </w:rPr>
        <w:t>Each annual report must be submitted electronically, using the Agency’s applicable reporting platform. Each annual report must contain basic identification information (</w:t>
      </w:r>
      <w:r w:rsidRPr="00283806">
        <w:rPr>
          <w:rFonts w:ascii="Book Antiqua" w:hAnsi="Book Antiqua"/>
          <w:i/>
          <w:w w:val="105"/>
        </w:rPr>
        <w:t xml:space="preserve">i.e., </w:t>
      </w:r>
      <w:r w:rsidRPr="00283806">
        <w:rPr>
          <w:w w:val="105"/>
        </w:rPr>
        <w:t>owner name, facility name, facility address where equipment is located) and the following information for each regulated substance: the quantity of material (the combined mass of regulated substance and contaminants) sold for the purpose</w:t>
      </w:r>
      <w:r w:rsidRPr="00283806">
        <w:rPr>
          <w:spacing w:val="40"/>
          <w:w w:val="105"/>
        </w:rPr>
        <w:t xml:space="preserve"> </w:t>
      </w:r>
      <w:r w:rsidRPr="00283806">
        <w:rPr>
          <w:w w:val="105"/>
        </w:rPr>
        <w:t>of installation of new fire suppression equipment and servicing and/or repair</w:t>
      </w:r>
      <w:r w:rsidRPr="00283806">
        <w:rPr>
          <w:spacing w:val="80"/>
          <w:w w:val="105"/>
        </w:rPr>
        <w:t xml:space="preserve"> </w:t>
      </w:r>
      <w:r w:rsidRPr="00283806">
        <w:rPr>
          <w:w w:val="105"/>
        </w:rPr>
        <w:t>of existing fire suppression equipment; the quantity of material (the combined mass of regulated substance and contaminants) in inventory onsite for</w:t>
      </w:r>
      <w:r w:rsidRPr="00283806">
        <w:rPr>
          <w:spacing w:val="80"/>
          <w:w w:val="105"/>
        </w:rPr>
        <w:t xml:space="preserve"> </w:t>
      </w:r>
      <w:r w:rsidRPr="00283806">
        <w:rPr>
          <w:w w:val="105"/>
        </w:rPr>
        <w:t>the purpose of installation of new fire suppression equipment and servicing and/or repair of existing fire</w:t>
      </w:r>
      <w:r w:rsidRPr="00283806">
        <w:rPr>
          <w:spacing w:val="80"/>
          <w:w w:val="105"/>
        </w:rPr>
        <w:t xml:space="preserve"> </w:t>
      </w:r>
      <w:r w:rsidRPr="00283806">
        <w:rPr>
          <w:w w:val="105"/>
        </w:rPr>
        <w:t>suppression equipment broken out by recovered, recycled, and virgin; the total mass of each regulated substance sold</w:t>
      </w:r>
      <w:r w:rsidRPr="00283806">
        <w:rPr>
          <w:spacing w:val="80"/>
          <w:w w:val="105"/>
        </w:rPr>
        <w:t xml:space="preserve"> </w:t>
      </w:r>
      <w:r w:rsidRPr="00283806">
        <w:rPr>
          <w:w w:val="105"/>
        </w:rPr>
        <w:t>for</w:t>
      </w:r>
      <w:r w:rsidRPr="00283806">
        <w:rPr>
          <w:spacing w:val="39"/>
          <w:w w:val="105"/>
        </w:rPr>
        <w:t xml:space="preserve"> </w:t>
      </w:r>
      <w:r w:rsidRPr="00283806">
        <w:rPr>
          <w:w w:val="105"/>
        </w:rPr>
        <w:t>the</w:t>
      </w:r>
      <w:r w:rsidRPr="00283806">
        <w:rPr>
          <w:spacing w:val="39"/>
          <w:w w:val="105"/>
        </w:rPr>
        <w:t xml:space="preserve"> </w:t>
      </w:r>
      <w:r w:rsidRPr="00283806">
        <w:rPr>
          <w:w w:val="105"/>
        </w:rPr>
        <w:t>purpose</w:t>
      </w:r>
      <w:r w:rsidRPr="00283806">
        <w:rPr>
          <w:spacing w:val="39"/>
          <w:w w:val="105"/>
        </w:rPr>
        <w:t xml:space="preserve"> </w:t>
      </w:r>
      <w:r w:rsidRPr="00283806">
        <w:rPr>
          <w:w w:val="105"/>
        </w:rPr>
        <w:t>of</w:t>
      </w:r>
      <w:r w:rsidRPr="00283806">
        <w:rPr>
          <w:spacing w:val="39"/>
          <w:w w:val="105"/>
        </w:rPr>
        <w:t xml:space="preserve"> </w:t>
      </w:r>
      <w:r w:rsidRPr="00283806">
        <w:rPr>
          <w:w w:val="105"/>
        </w:rPr>
        <w:t>installation</w:t>
      </w:r>
      <w:r w:rsidRPr="00283806">
        <w:rPr>
          <w:spacing w:val="39"/>
          <w:w w:val="105"/>
        </w:rPr>
        <w:t xml:space="preserve"> </w:t>
      </w:r>
      <w:r w:rsidRPr="00283806">
        <w:rPr>
          <w:w w:val="105"/>
        </w:rPr>
        <w:t>of</w:t>
      </w:r>
      <w:r w:rsidRPr="00283806">
        <w:rPr>
          <w:spacing w:val="39"/>
          <w:w w:val="105"/>
        </w:rPr>
        <w:t xml:space="preserve"> </w:t>
      </w:r>
      <w:r w:rsidRPr="00283806">
        <w:rPr>
          <w:w w:val="105"/>
        </w:rPr>
        <w:t>new fire suppression equipment and</w:t>
      </w:r>
      <w:r w:rsidRPr="00283806">
        <w:rPr>
          <w:spacing w:val="80"/>
          <w:w w:val="105"/>
        </w:rPr>
        <w:t xml:space="preserve"> </w:t>
      </w:r>
      <w:r w:rsidRPr="00283806">
        <w:rPr>
          <w:w w:val="105"/>
        </w:rPr>
        <w:t>servicing and/or repair of existing fire suppression equipment; the total mass</w:t>
      </w:r>
      <w:r w:rsidRPr="00283806">
        <w:rPr>
          <w:spacing w:val="80"/>
          <w:w w:val="105"/>
        </w:rPr>
        <w:t xml:space="preserve"> </w:t>
      </w:r>
      <w:r w:rsidRPr="00283806">
        <w:rPr>
          <w:w w:val="105"/>
        </w:rPr>
        <w:t>of each regulated substance in inventory onsite for the purpose of installation of new fire suppression equipment and servicing and/or repair of existing fire suppression equipment broken out by recovered, recycled, and virgin; and the total mass of waste products the reporting entity sent for disposal, along with information about the disposal facility if waste is not processed by the reporting</w:t>
      </w:r>
      <w:r w:rsidRPr="00283806">
        <w:rPr>
          <w:spacing w:val="40"/>
          <w:w w:val="105"/>
        </w:rPr>
        <w:t xml:space="preserve"> </w:t>
      </w:r>
      <w:r w:rsidRPr="00283806">
        <w:rPr>
          <w:w w:val="105"/>
        </w:rPr>
        <w:t>entity.</w:t>
      </w:r>
      <w:r w:rsidRPr="00283806">
        <w:rPr>
          <w:spacing w:val="40"/>
          <w:w w:val="105"/>
        </w:rPr>
        <w:t xml:space="preserve"> </w:t>
      </w:r>
      <w:r w:rsidRPr="00283806">
        <w:rPr>
          <w:w w:val="105"/>
        </w:rPr>
        <w:t>A</w:t>
      </w:r>
      <w:r w:rsidRPr="00283806">
        <w:rPr>
          <w:spacing w:val="40"/>
          <w:w w:val="105"/>
        </w:rPr>
        <w:t xml:space="preserve"> </w:t>
      </w:r>
      <w:r w:rsidRPr="00283806">
        <w:rPr>
          <w:w w:val="105"/>
        </w:rPr>
        <w:t>copy</w:t>
      </w:r>
      <w:r w:rsidRPr="00283806">
        <w:rPr>
          <w:spacing w:val="40"/>
          <w:w w:val="105"/>
        </w:rPr>
        <w:t xml:space="preserve"> </w:t>
      </w:r>
      <w:r w:rsidRPr="00283806">
        <w:rPr>
          <w:w w:val="105"/>
        </w:rPr>
        <w:t>of</w:t>
      </w:r>
      <w:r w:rsidRPr="00283806">
        <w:rPr>
          <w:spacing w:val="40"/>
          <w:w w:val="105"/>
        </w:rPr>
        <w:t xml:space="preserve"> </w:t>
      </w:r>
      <w:r w:rsidRPr="00283806">
        <w:rPr>
          <w:w w:val="105"/>
        </w:rPr>
        <w:t>the submitted reports must be maintained</w:t>
      </w:r>
      <w:r w:rsidRPr="00283806">
        <w:rPr>
          <w:spacing w:val="40"/>
          <w:w w:val="105"/>
        </w:rPr>
        <w:t xml:space="preserve"> </w:t>
      </w:r>
      <w:r w:rsidRPr="00283806">
        <w:rPr>
          <w:w w:val="105"/>
        </w:rPr>
        <w:t>for three years in either electronic or paper format. If any entity reports information to EPA under §</w:t>
      </w:r>
      <w:r w:rsidRPr="00283806">
        <w:rPr>
          <w:spacing w:val="-10"/>
          <w:w w:val="105"/>
        </w:rPr>
        <w:t xml:space="preserve"> </w:t>
      </w:r>
      <w:r w:rsidRPr="00283806">
        <w:rPr>
          <w:w w:val="105"/>
        </w:rPr>
        <w:t>84.31(j) that is also required to be reported under</w:t>
      </w:r>
      <w:r w:rsidRPr="00283806">
        <w:rPr>
          <w:spacing w:val="80"/>
          <w:w w:val="105"/>
        </w:rPr>
        <w:t xml:space="preserve"> </w:t>
      </w:r>
      <w:r w:rsidRPr="00283806">
        <w:rPr>
          <w:w w:val="105"/>
        </w:rPr>
        <w:t>this paragraph, to the extent the information reported under § 84.31(j) overlaps with the information that must be reported under this paragraph, in lieu of reporting the same information twice, the entity may refer to the</w:t>
      </w:r>
      <w:r w:rsidRPr="00283806">
        <w:rPr>
          <w:spacing w:val="80"/>
          <w:w w:val="105"/>
        </w:rPr>
        <w:t xml:space="preserve"> </w:t>
      </w:r>
      <w:r w:rsidRPr="00283806">
        <w:rPr>
          <w:w w:val="105"/>
        </w:rPr>
        <w:t xml:space="preserve">corresponding information reported under § 84.31(j) and explain how it satisfies the reporting requirements in completing the reporting under this </w:t>
      </w:r>
      <w:r w:rsidRPr="00283806">
        <w:rPr>
          <w:spacing w:val="-2"/>
          <w:w w:val="105"/>
        </w:rPr>
        <w:t>paragraph.</w:t>
      </w:r>
    </w:p>
    <w:p w14:paraId="028BBBF8" w14:textId="77777777" w:rsidR="00D67C1E" w:rsidRPr="00283806" w:rsidRDefault="001265CA">
      <w:pPr>
        <w:pStyle w:val="ListParagraph"/>
        <w:numPr>
          <w:ilvl w:val="0"/>
          <w:numId w:val="17"/>
        </w:numPr>
        <w:tabs>
          <w:tab w:val="left" w:pos="593"/>
        </w:tabs>
        <w:spacing w:before="3" w:line="228" w:lineRule="auto"/>
        <w:ind w:right="96" w:firstLine="180"/>
        <w:rPr>
          <w:sz w:val="18"/>
        </w:rPr>
      </w:pPr>
      <w:r w:rsidRPr="00283806">
        <w:rPr>
          <w:w w:val="105"/>
          <w:sz w:val="18"/>
        </w:rPr>
        <w:t xml:space="preserve">As of January 1, 2026, any person who employs fire suppression technicians who service, repair, install, or dispose of fire suppression equipment containing regulated substances must maintain an electronic or paper copy of the fire suppression technician training used to meet the requirements in paragraph (d) of this section and make that copy available to EPA upon request. These entities must document that they have provided training </w:t>
      </w:r>
      <w:proofErr w:type="gramStart"/>
      <w:r w:rsidRPr="00283806">
        <w:rPr>
          <w:w w:val="105"/>
          <w:sz w:val="18"/>
        </w:rPr>
        <w:t>to</w:t>
      </w:r>
      <w:proofErr w:type="gramEnd"/>
      <w:r w:rsidRPr="00283806">
        <w:rPr>
          <w:w w:val="105"/>
          <w:sz w:val="18"/>
        </w:rPr>
        <w:t xml:space="preserve"> personnel as specified in paragraph (d) of this section and must</w:t>
      </w:r>
    </w:p>
    <w:p w14:paraId="45B6BF75" w14:textId="77777777" w:rsidR="00D67C1E" w:rsidRPr="00283806" w:rsidRDefault="001265CA">
      <w:pPr>
        <w:pStyle w:val="BodyText"/>
        <w:spacing w:before="131" w:line="228" w:lineRule="auto"/>
        <w:ind w:left="144" w:right="122"/>
      </w:pPr>
      <w:r w:rsidRPr="00283806">
        <w:br w:type="column"/>
      </w:r>
      <w:r w:rsidRPr="00283806">
        <w:rPr>
          <w:w w:val="105"/>
        </w:rPr>
        <w:t>maintain these records for three years after each training in either electronic or paper format.</w:t>
      </w:r>
    </w:p>
    <w:p w14:paraId="0EDBC559" w14:textId="77777777" w:rsidR="00D67C1E" w:rsidRPr="00283806" w:rsidRDefault="001265CA">
      <w:pPr>
        <w:pStyle w:val="ListParagraph"/>
        <w:numPr>
          <w:ilvl w:val="0"/>
          <w:numId w:val="17"/>
        </w:numPr>
        <w:tabs>
          <w:tab w:val="left" w:pos="592"/>
        </w:tabs>
        <w:spacing w:line="186" w:lineRule="exact"/>
        <w:ind w:left="592" w:hanging="268"/>
        <w:rPr>
          <w:sz w:val="18"/>
        </w:rPr>
      </w:pPr>
      <w:r w:rsidRPr="00283806">
        <w:rPr>
          <w:w w:val="105"/>
          <w:sz w:val="18"/>
        </w:rPr>
        <w:t>As</w:t>
      </w:r>
      <w:r w:rsidRPr="00283806">
        <w:rPr>
          <w:spacing w:val="9"/>
          <w:w w:val="105"/>
          <w:sz w:val="18"/>
        </w:rPr>
        <w:t xml:space="preserve"> </w:t>
      </w:r>
      <w:r w:rsidRPr="00283806">
        <w:rPr>
          <w:w w:val="105"/>
          <w:sz w:val="18"/>
        </w:rPr>
        <w:t>of</w:t>
      </w:r>
      <w:r w:rsidRPr="00283806">
        <w:rPr>
          <w:spacing w:val="9"/>
          <w:w w:val="105"/>
          <w:sz w:val="18"/>
        </w:rPr>
        <w:t xml:space="preserve"> </w:t>
      </w:r>
      <w:r w:rsidRPr="00283806">
        <w:rPr>
          <w:w w:val="105"/>
          <w:sz w:val="18"/>
        </w:rPr>
        <w:t>January</w:t>
      </w:r>
      <w:r w:rsidRPr="00283806">
        <w:rPr>
          <w:spacing w:val="9"/>
          <w:w w:val="105"/>
          <w:sz w:val="18"/>
        </w:rPr>
        <w:t xml:space="preserve"> </w:t>
      </w:r>
      <w:r w:rsidRPr="00283806">
        <w:rPr>
          <w:w w:val="105"/>
          <w:sz w:val="18"/>
        </w:rPr>
        <w:t>1,</w:t>
      </w:r>
      <w:r w:rsidRPr="00283806">
        <w:rPr>
          <w:spacing w:val="9"/>
          <w:w w:val="105"/>
          <w:sz w:val="18"/>
        </w:rPr>
        <w:t xml:space="preserve"> </w:t>
      </w:r>
      <w:r w:rsidRPr="00283806">
        <w:rPr>
          <w:w w:val="105"/>
          <w:sz w:val="18"/>
        </w:rPr>
        <w:t>2026,</w:t>
      </w:r>
      <w:r w:rsidRPr="00283806">
        <w:rPr>
          <w:spacing w:val="10"/>
          <w:w w:val="105"/>
          <w:sz w:val="18"/>
        </w:rPr>
        <w:t xml:space="preserve"> </w:t>
      </w:r>
      <w:r w:rsidRPr="00283806">
        <w:rPr>
          <w:w w:val="105"/>
          <w:sz w:val="18"/>
        </w:rPr>
        <w:t>owners</w:t>
      </w:r>
      <w:r w:rsidRPr="00283806">
        <w:rPr>
          <w:spacing w:val="9"/>
          <w:w w:val="105"/>
          <w:sz w:val="18"/>
        </w:rPr>
        <w:t xml:space="preserve"> </w:t>
      </w:r>
      <w:r w:rsidRPr="00283806">
        <w:rPr>
          <w:spacing w:val="-5"/>
          <w:w w:val="105"/>
          <w:sz w:val="18"/>
        </w:rPr>
        <w:t>and</w:t>
      </w:r>
    </w:p>
    <w:p w14:paraId="202EA9A5" w14:textId="77777777" w:rsidR="00D67C1E" w:rsidRPr="00283806" w:rsidRDefault="001265CA">
      <w:pPr>
        <w:pStyle w:val="BodyText"/>
        <w:spacing w:before="3" w:line="228" w:lineRule="auto"/>
        <w:ind w:left="144" w:right="171"/>
      </w:pPr>
      <w:r w:rsidRPr="00283806">
        <w:rPr>
          <w:w w:val="105"/>
        </w:rPr>
        <w:t>operators of fire suppression equipment containing regulated substances must maintain records documenting that regulated</w:t>
      </w:r>
      <w:r w:rsidRPr="00283806">
        <w:rPr>
          <w:spacing w:val="-8"/>
          <w:w w:val="105"/>
        </w:rPr>
        <w:t xml:space="preserve"> </w:t>
      </w:r>
      <w:r w:rsidRPr="00283806">
        <w:rPr>
          <w:w w:val="105"/>
        </w:rPr>
        <w:t>substances</w:t>
      </w:r>
      <w:r w:rsidRPr="00283806">
        <w:rPr>
          <w:spacing w:val="-8"/>
          <w:w w:val="105"/>
        </w:rPr>
        <w:t xml:space="preserve"> </w:t>
      </w:r>
      <w:r w:rsidRPr="00283806">
        <w:rPr>
          <w:w w:val="105"/>
        </w:rPr>
        <w:t>are</w:t>
      </w:r>
      <w:r w:rsidRPr="00283806">
        <w:rPr>
          <w:spacing w:val="-8"/>
          <w:w w:val="105"/>
        </w:rPr>
        <w:t xml:space="preserve"> </w:t>
      </w:r>
      <w:r w:rsidRPr="00283806">
        <w:rPr>
          <w:w w:val="105"/>
        </w:rPr>
        <w:t>recovered</w:t>
      </w:r>
      <w:r w:rsidRPr="00283806">
        <w:rPr>
          <w:spacing w:val="-8"/>
          <w:w w:val="105"/>
        </w:rPr>
        <w:t xml:space="preserve"> </w:t>
      </w:r>
      <w:r w:rsidRPr="00283806">
        <w:rPr>
          <w:w w:val="105"/>
        </w:rPr>
        <w:t>from the fire suppression equipment before it is sent for disposal as specified in paragraph (e) of this section. Such records must be maintained for three years after the relevant equipment is sent for disposal in either electronic or paper format.</w:t>
      </w:r>
    </w:p>
    <w:p w14:paraId="392EEF44" w14:textId="77777777" w:rsidR="00D67C1E" w:rsidRPr="00283806" w:rsidRDefault="001265CA">
      <w:pPr>
        <w:spacing w:before="130"/>
        <w:ind w:left="144"/>
        <w:rPr>
          <w:rFonts w:ascii="Arial" w:hAnsi="Arial"/>
          <w:b/>
          <w:sz w:val="16"/>
        </w:rPr>
      </w:pPr>
      <w:r w:rsidRPr="00283806">
        <w:rPr>
          <w:rFonts w:ascii="Arial" w:hAnsi="Arial"/>
          <w:b/>
          <w:sz w:val="16"/>
        </w:rPr>
        <w:t>§</w:t>
      </w:r>
      <w:r w:rsidRPr="00283806">
        <w:rPr>
          <w:rFonts w:ascii="Arial" w:hAnsi="Arial"/>
          <w:b/>
          <w:spacing w:val="-19"/>
          <w:sz w:val="16"/>
        </w:rPr>
        <w:t xml:space="preserve"> </w:t>
      </w:r>
      <w:r w:rsidRPr="00283806">
        <w:rPr>
          <w:rFonts w:ascii="Arial" w:hAnsi="Arial"/>
          <w:b/>
          <w:sz w:val="16"/>
        </w:rPr>
        <w:t>84.112</w:t>
      </w:r>
      <w:r w:rsidRPr="00283806">
        <w:rPr>
          <w:rFonts w:ascii="Arial" w:hAnsi="Arial"/>
          <w:b/>
          <w:spacing w:val="32"/>
          <w:sz w:val="16"/>
        </w:rPr>
        <w:t xml:space="preserve">  </w:t>
      </w:r>
      <w:r w:rsidRPr="00283806">
        <w:rPr>
          <w:rFonts w:ascii="Arial" w:hAnsi="Arial"/>
          <w:b/>
          <w:spacing w:val="-2"/>
          <w:sz w:val="16"/>
        </w:rPr>
        <w:t>Reclamation.</w:t>
      </w:r>
    </w:p>
    <w:p w14:paraId="589DD2C0" w14:textId="77777777" w:rsidR="00D67C1E" w:rsidRPr="00283806" w:rsidRDefault="001265CA">
      <w:pPr>
        <w:pStyle w:val="ListParagraph"/>
        <w:numPr>
          <w:ilvl w:val="1"/>
          <w:numId w:val="17"/>
        </w:numPr>
        <w:tabs>
          <w:tab w:val="left" w:pos="582"/>
        </w:tabs>
        <w:spacing w:before="35" w:line="225" w:lineRule="auto"/>
        <w:ind w:right="331" w:firstLine="180"/>
        <w:rPr>
          <w:sz w:val="18"/>
        </w:rPr>
      </w:pPr>
      <w:r w:rsidRPr="00283806">
        <w:rPr>
          <w:rFonts w:ascii="Book Antiqua"/>
          <w:i/>
          <w:w w:val="110"/>
          <w:sz w:val="18"/>
        </w:rPr>
        <w:t xml:space="preserve">Reclamation Standard. </w:t>
      </w:r>
      <w:r w:rsidRPr="00283806">
        <w:rPr>
          <w:w w:val="110"/>
          <w:sz w:val="18"/>
        </w:rPr>
        <w:t xml:space="preserve">As of January 1, 2026, no person may sell, </w:t>
      </w:r>
      <w:r w:rsidRPr="00283806">
        <w:rPr>
          <w:sz w:val="18"/>
        </w:rPr>
        <w:t>identify, or report refrigerant as being</w:t>
      </w:r>
      <w:r w:rsidRPr="00283806">
        <w:rPr>
          <w:w w:val="110"/>
          <w:sz w:val="18"/>
        </w:rPr>
        <w:t xml:space="preserve"> reclaimed for use in the installation, servicing, or repair of refrigerant- </w:t>
      </w:r>
      <w:r w:rsidRPr="00283806">
        <w:rPr>
          <w:spacing w:val="-2"/>
          <w:w w:val="110"/>
          <w:sz w:val="18"/>
        </w:rPr>
        <w:t>containing</w:t>
      </w:r>
      <w:r w:rsidRPr="00283806">
        <w:rPr>
          <w:spacing w:val="-3"/>
          <w:w w:val="110"/>
          <w:sz w:val="18"/>
        </w:rPr>
        <w:t xml:space="preserve"> </w:t>
      </w:r>
      <w:r w:rsidRPr="00283806">
        <w:rPr>
          <w:spacing w:val="-2"/>
          <w:w w:val="110"/>
          <w:sz w:val="18"/>
        </w:rPr>
        <w:t>equipment</w:t>
      </w:r>
      <w:r w:rsidRPr="00283806">
        <w:rPr>
          <w:spacing w:val="-3"/>
          <w:w w:val="110"/>
          <w:sz w:val="18"/>
        </w:rPr>
        <w:t xml:space="preserve"> </w:t>
      </w:r>
      <w:r w:rsidRPr="00283806">
        <w:rPr>
          <w:spacing w:val="-2"/>
          <w:w w:val="110"/>
          <w:sz w:val="18"/>
        </w:rPr>
        <w:t>if</w:t>
      </w:r>
      <w:r w:rsidRPr="00283806">
        <w:rPr>
          <w:spacing w:val="-3"/>
          <w:w w:val="110"/>
          <w:sz w:val="18"/>
        </w:rPr>
        <w:t xml:space="preserve"> </w:t>
      </w:r>
      <w:r w:rsidRPr="00283806">
        <w:rPr>
          <w:spacing w:val="-2"/>
          <w:w w:val="110"/>
          <w:sz w:val="18"/>
        </w:rPr>
        <w:t>the</w:t>
      </w:r>
      <w:r w:rsidRPr="00283806">
        <w:rPr>
          <w:spacing w:val="-3"/>
          <w:w w:val="110"/>
          <w:sz w:val="18"/>
        </w:rPr>
        <w:t xml:space="preserve"> </w:t>
      </w:r>
      <w:r w:rsidRPr="00283806">
        <w:rPr>
          <w:spacing w:val="-2"/>
          <w:w w:val="110"/>
          <w:sz w:val="18"/>
        </w:rPr>
        <w:t xml:space="preserve">regulated </w:t>
      </w:r>
      <w:r w:rsidRPr="00283806">
        <w:rPr>
          <w:w w:val="110"/>
          <w:sz w:val="18"/>
        </w:rPr>
        <w:t>substance</w:t>
      </w:r>
      <w:r w:rsidRPr="00283806">
        <w:rPr>
          <w:spacing w:val="-11"/>
          <w:w w:val="110"/>
          <w:sz w:val="18"/>
        </w:rPr>
        <w:t xml:space="preserve"> </w:t>
      </w:r>
      <w:r w:rsidRPr="00283806">
        <w:rPr>
          <w:w w:val="110"/>
          <w:sz w:val="18"/>
        </w:rPr>
        <w:t>component</w:t>
      </w:r>
      <w:r w:rsidRPr="00283806">
        <w:rPr>
          <w:spacing w:val="-11"/>
          <w:w w:val="110"/>
          <w:sz w:val="18"/>
        </w:rPr>
        <w:t xml:space="preserve"> </w:t>
      </w:r>
      <w:r w:rsidRPr="00283806">
        <w:rPr>
          <w:w w:val="110"/>
          <w:sz w:val="18"/>
        </w:rPr>
        <w:t>of</w:t>
      </w:r>
      <w:r w:rsidRPr="00283806">
        <w:rPr>
          <w:spacing w:val="-11"/>
          <w:w w:val="110"/>
          <w:sz w:val="18"/>
        </w:rPr>
        <w:t xml:space="preserve"> </w:t>
      </w:r>
      <w:r w:rsidRPr="00283806">
        <w:rPr>
          <w:w w:val="110"/>
          <w:sz w:val="18"/>
        </w:rPr>
        <w:t>the</w:t>
      </w:r>
      <w:r w:rsidRPr="00283806">
        <w:rPr>
          <w:spacing w:val="-11"/>
          <w:w w:val="110"/>
          <w:sz w:val="18"/>
        </w:rPr>
        <w:t xml:space="preserve"> </w:t>
      </w:r>
      <w:r w:rsidRPr="00283806">
        <w:rPr>
          <w:w w:val="110"/>
          <w:sz w:val="18"/>
        </w:rPr>
        <w:t xml:space="preserve">resulting refrigerant contains more than 15 </w:t>
      </w:r>
      <w:r w:rsidRPr="00283806">
        <w:rPr>
          <w:spacing w:val="-2"/>
          <w:w w:val="110"/>
          <w:sz w:val="18"/>
        </w:rPr>
        <w:t>percent,</w:t>
      </w:r>
      <w:r w:rsidRPr="00283806">
        <w:rPr>
          <w:spacing w:val="-7"/>
          <w:w w:val="110"/>
          <w:sz w:val="18"/>
        </w:rPr>
        <w:t xml:space="preserve"> </w:t>
      </w:r>
      <w:r w:rsidRPr="00283806">
        <w:rPr>
          <w:spacing w:val="-2"/>
          <w:w w:val="110"/>
          <w:sz w:val="18"/>
        </w:rPr>
        <w:t>by</w:t>
      </w:r>
      <w:r w:rsidRPr="00283806">
        <w:rPr>
          <w:spacing w:val="-7"/>
          <w:w w:val="110"/>
          <w:sz w:val="18"/>
        </w:rPr>
        <w:t xml:space="preserve"> </w:t>
      </w:r>
      <w:r w:rsidRPr="00283806">
        <w:rPr>
          <w:spacing w:val="-2"/>
          <w:w w:val="110"/>
          <w:sz w:val="18"/>
        </w:rPr>
        <w:t>weight,</w:t>
      </w:r>
      <w:r w:rsidRPr="00283806">
        <w:rPr>
          <w:spacing w:val="-7"/>
          <w:w w:val="110"/>
          <w:sz w:val="18"/>
        </w:rPr>
        <w:t xml:space="preserve"> </w:t>
      </w:r>
      <w:r w:rsidRPr="00283806">
        <w:rPr>
          <w:spacing w:val="-2"/>
          <w:w w:val="110"/>
          <w:sz w:val="18"/>
        </w:rPr>
        <w:t>of</w:t>
      </w:r>
      <w:r w:rsidRPr="00283806">
        <w:rPr>
          <w:spacing w:val="-7"/>
          <w:w w:val="110"/>
          <w:sz w:val="18"/>
        </w:rPr>
        <w:t xml:space="preserve"> </w:t>
      </w:r>
      <w:r w:rsidRPr="00283806">
        <w:rPr>
          <w:spacing w:val="-2"/>
          <w:w w:val="110"/>
          <w:sz w:val="18"/>
        </w:rPr>
        <w:t>virgin</w:t>
      </w:r>
      <w:r w:rsidRPr="00283806">
        <w:rPr>
          <w:spacing w:val="-7"/>
          <w:w w:val="110"/>
          <w:sz w:val="18"/>
        </w:rPr>
        <w:t xml:space="preserve"> </w:t>
      </w:r>
      <w:r w:rsidRPr="00283806">
        <w:rPr>
          <w:spacing w:val="-2"/>
          <w:w w:val="110"/>
          <w:sz w:val="18"/>
        </w:rPr>
        <w:t>regulated substance.</w:t>
      </w:r>
    </w:p>
    <w:p w14:paraId="39AB01CB" w14:textId="77777777" w:rsidR="00D67C1E" w:rsidRPr="00283806" w:rsidRDefault="001265CA">
      <w:pPr>
        <w:pStyle w:val="ListParagraph"/>
        <w:numPr>
          <w:ilvl w:val="1"/>
          <w:numId w:val="17"/>
        </w:numPr>
        <w:tabs>
          <w:tab w:val="left" w:pos="592"/>
        </w:tabs>
        <w:spacing w:line="225" w:lineRule="auto"/>
        <w:ind w:right="154" w:firstLine="180"/>
        <w:rPr>
          <w:sz w:val="18"/>
        </w:rPr>
      </w:pPr>
      <w:r w:rsidRPr="00283806">
        <w:rPr>
          <w:rFonts w:ascii="Book Antiqua"/>
          <w:i/>
          <w:w w:val="110"/>
          <w:sz w:val="18"/>
        </w:rPr>
        <w:t xml:space="preserve">Bona fide use. </w:t>
      </w:r>
      <w:r w:rsidRPr="00283806">
        <w:rPr>
          <w:w w:val="110"/>
          <w:sz w:val="18"/>
        </w:rPr>
        <w:t>No person may sell, identify, or report refrigerant as being reclaimed if it contains any recovered regulated substance that has not had bona</w:t>
      </w:r>
      <w:r w:rsidRPr="00283806">
        <w:rPr>
          <w:spacing w:val="-3"/>
          <w:w w:val="110"/>
          <w:sz w:val="18"/>
        </w:rPr>
        <w:t xml:space="preserve"> </w:t>
      </w:r>
      <w:r w:rsidRPr="00283806">
        <w:rPr>
          <w:w w:val="110"/>
          <w:sz w:val="18"/>
        </w:rPr>
        <w:t>fide</w:t>
      </w:r>
      <w:r w:rsidRPr="00283806">
        <w:rPr>
          <w:spacing w:val="-3"/>
          <w:w w:val="110"/>
          <w:sz w:val="18"/>
        </w:rPr>
        <w:t xml:space="preserve"> </w:t>
      </w:r>
      <w:r w:rsidRPr="00283806">
        <w:rPr>
          <w:w w:val="110"/>
          <w:sz w:val="18"/>
        </w:rPr>
        <w:t>use</w:t>
      </w:r>
      <w:r w:rsidRPr="00283806">
        <w:rPr>
          <w:spacing w:val="-3"/>
          <w:w w:val="110"/>
          <w:sz w:val="18"/>
        </w:rPr>
        <w:t xml:space="preserve"> </w:t>
      </w:r>
      <w:r w:rsidRPr="00283806">
        <w:rPr>
          <w:w w:val="110"/>
          <w:sz w:val="18"/>
        </w:rPr>
        <w:t>in</w:t>
      </w:r>
      <w:r w:rsidRPr="00283806">
        <w:rPr>
          <w:spacing w:val="-3"/>
          <w:w w:val="110"/>
          <w:sz w:val="18"/>
        </w:rPr>
        <w:t xml:space="preserve"> </w:t>
      </w:r>
      <w:r w:rsidRPr="00283806">
        <w:rPr>
          <w:w w:val="110"/>
          <w:sz w:val="18"/>
        </w:rPr>
        <w:t>equipment,</w:t>
      </w:r>
      <w:r w:rsidRPr="00283806">
        <w:rPr>
          <w:spacing w:val="-3"/>
          <w:w w:val="110"/>
          <w:sz w:val="18"/>
        </w:rPr>
        <w:t xml:space="preserve"> </w:t>
      </w:r>
      <w:r w:rsidRPr="00283806">
        <w:rPr>
          <w:w w:val="110"/>
          <w:sz w:val="18"/>
        </w:rPr>
        <w:t>unless</w:t>
      </w:r>
      <w:r w:rsidRPr="00283806">
        <w:rPr>
          <w:spacing w:val="-3"/>
          <w:w w:val="110"/>
          <w:sz w:val="18"/>
        </w:rPr>
        <w:t xml:space="preserve"> </w:t>
      </w:r>
      <w:r w:rsidRPr="00283806">
        <w:rPr>
          <w:w w:val="110"/>
          <w:sz w:val="18"/>
        </w:rPr>
        <w:t xml:space="preserve">that refrigerant was removed from the heel </w:t>
      </w:r>
      <w:r w:rsidRPr="00283806">
        <w:rPr>
          <w:spacing w:val="-2"/>
          <w:w w:val="110"/>
          <w:sz w:val="18"/>
        </w:rPr>
        <w:t>or</w:t>
      </w:r>
      <w:r w:rsidRPr="00283806">
        <w:rPr>
          <w:spacing w:val="-8"/>
          <w:w w:val="110"/>
          <w:sz w:val="18"/>
        </w:rPr>
        <w:t xml:space="preserve"> </w:t>
      </w:r>
      <w:r w:rsidRPr="00283806">
        <w:rPr>
          <w:spacing w:val="-2"/>
          <w:w w:val="110"/>
          <w:sz w:val="18"/>
        </w:rPr>
        <w:t>residue</w:t>
      </w:r>
      <w:r w:rsidRPr="00283806">
        <w:rPr>
          <w:spacing w:val="-8"/>
          <w:w w:val="110"/>
          <w:sz w:val="18"/>
        </w:rPr>
        <w:t xml:space="preserve"> </w:t>
      </w:r>
      <w:r w:rsidRPr="00283806">
        <w:rPr>
          <w:spacing w:val="-2"/>
          <w:w w:val="110"/>
          <w:sz w:val="18"/>
        </w:rPr>
        <w:t>of</w:t>
      </w:r>
      <w:r w:rsidRPr="00283806">
        <w:rPr>
          <w:spacing w:val="-8"/>
          <w:w w:val="110"/>
          <w:sz w:val="18"/>
        </w:rPr>
        <w:t xml:space="preserve"> </w:t>
      </w:r>
      <w:r w:rsidRPr="00283806">
        <w:rPr>
          <w:spacing w:val="-2"/>
          <w:w w:val="110"/>
          <w:sz w:val="18"/>
        </w:rPr>
        <w:t>a</w:t>
      </w:r>
      <w:r w:rsidRPr="00283806">
        <w:rPr>
          <w:spacing w:val="-8"/>
          <w:w w:val="110"/>
          <w:sz w:val="18"/>
        </w:rPr>
        <w:t xml:space="preserve"> </w:t>
      </w:r>
      <w:r w:rsidRPr="00283806">
        <w:rPr>
          <w:spacing w:val="-2"/>
          <w:w w:val="110"/>
          <w:sz w:val="18"/>
        </w:rPr>
        <w:t>container</w:t>
      </w:r>
      <w:r w:rsidRPr="00283806">
        <w:rPr>
          <w:spacing w:val="-8"/>
          <w:w w:val="110"/>
          <w:sz w:val="18"/>
        </w:rPr>
        <w:t xml:space="preserve"> </w:t>
      </w:r>
      <w:r w:rsidRPr="00283806">
        <w:rPr>
          <w:spacing w:val="-2"/>
          <w:w w:val="110"/>
          <w:sz w:val="18"/>
        </w:rPr>
        <w:t>that</w:t>
      </w:r>
      <w:r w:rsidRPr="00283806">
        <w:rPr>
          <w:spacing w:val="-8"/>
          <w:w w:val="110"/>
          <w:sz w:val="18"/>
        </w:rPr>
        <w:t xml:space="preserve"> </w:t>
      </w:r>
      <w:r w:rsidRPr="00283806">
        <w:rPr>
          <w:spacing w:val="-2"/>
          <w:w w:val="110"/>
          <w:sz w:val="18"/>
        </w:rPr>
        <w:t>had</w:t>
      </w:r>
      <w:r w:rsidRPr="00283806">
        <w:rPr>
          <w:spacing w:val="-8"/>
          <w:w w:val="110"/>
          <w:sz w:val="18"/>
        </w:rPr>
        <w:t xml:space="preserve"> </w:t>
      </w:r>
      <w:proofErr w:type="gramStart"/>
      <w:r w:rsidRPr="00283806">
        <w:rPr>
          <w:spacing w:val="-2"/>
          <w:w w:val="110"/>
          <w:sz w:val="18"/>
        </w:rPr>
        <w:t>a</w:t>
      </w:r>
      <w:r w:rsidRPr="00283806">
        <w:rPr>
          <w:spacing w:val="-8"/>
          <w:w w:val="110"/>
          <w:sz w:val="18"/>
        </w:rPr>
        <w:t xml:space="preserve"> </w:t>
      </w:r>
      <w:r w:rsidRPr="00283806">
        <w:rPr>
          <w:spacing w:val="-2"/>
          <w:w w:val="110"/>
          <w:sz w:val="18"/>
        </w:rPr>
        <w:t>bona</w:t>
      </w:r>
      <w:proofErr w:type="gramEnd"/>
      <w:r w:rsidRPr="00283806">
        <w:rPr>
          <w:spacing w:val="-2"/>
          <w:w w:val="110"/>
          <w:sz w:val="18"/>
        </w:rPr>
        <w:t xml:space="preserve"> </w:t>
      </w:r>
      <w:r w:rsidRPr="00283806">
        <w:rPr>
          <w:w w:val="110"/>
          <w:sz w:val="18"/>
        </w:rPr>
        <w:t xml:space="preserve">fide use in the servicing, repair, or installation of refrigerant-containing </w:t>
      </w:r>
      <w:r w:rsidRPr="00283806">
        <w:rPr>
          <w:spacing w:val="-2"/>
          <w:w w:val="110"/>
          <w:sz w:val="18"/>
        </w:rPr>
        <w:t>equipment.</w:t>
      </w:r>
    </w:p>
    <w:p w14:paraId="70708DC1" w14:textId="77777777" w:rsidR="00D67C1E" w:rsidRPr="00283806" w:rsidRDefault="001265CA">
      <w:pPr>
        <w:pStyle w:val="ListParagraph"/>
        <w:numPr>
          <w:ilvl w:val="1"/>
          <w:numId w:val="17"/>
        </w:numPr>
        <w:tabs>
          <w:tab w:val="left" w:pos="581"/>
        </w:tabs>
        <w:spacing w:line="216" w:lineRule="auto"/>
        <w:ind w:right="428" w:firstLine="179"/>
        <w:rPr>
          <w:sz w:val="18"/>
        </w:rPr>
      </w:pPr>
      <w:r w:rsidRPr="00283806">
        <w:rPr>
          <w:rFonts w:ascii="Book Antiqua"/>
          <w:i/>
          <w:w w:val="105"/>
          <w:sz w:val="18"/>
        </w:rPr>
        <w:t xml:space="preserve">Labeling. </w:t>
      </w:r>
      <w:r w:rsidRPr="00283806">
        <w:rPr>
          <w:w w:val="105"/>
          <w:sz w:val="18"/>
        </w:rPr>
        <w:t>As of January 1, 2026, reclaimers certified under 40 CFR</w:t>
      </w:r>
    </w:p>
    <w:p w14:paraId="28FB0A1E" w14:textId="77777777" w:rsidR="00D67C1E" w:rsidRPr="00283806" w:rsidRDefault="001265CA">
      <w:pPr>
        <w:pStyle w:val="BodyText"/>
        <w:spacing w:before="2" w:line="228" w:lineRule="auto"/>
        <w:ind w:left="144" w:right="195"/>
      </w:pPr>
      <w:r w:rsidRPr="00283806">
        <w:rPr>
          <w:w w:val="105"/>
        </w:rPr>
        <w:t>82.164 must affix a label to any</w:t>
      </w:r>
      <w:r w:rsidRPr="00283806">
        <w:rPr>
          <w:spacing w:val="80"/>
          <w:w w:val="105"/>
        </w:rPr>
        <w:t xml:space="preserve"> </w:t>
      </w:r>
      <w:r w:rsidRPr="00283806">
        <w:rPr>
          <w:w w:val="105"/>
        </w:rPr>
        <w:t>container they fill that is being sold or distributed or offered for sale or distribution and that contains reclaimed regulated substances to certify that the contents do not exceed 15 percent, by weight, of virgin regulated substances.</w:t>
      </w:r>
    </w:p>
    <w:p w14:paraId="41BFF50B" w14:textId="77777777" w:rsidR="00D67C1E" w:rsidRPr="00283806" w:rsidRDefault="001265CA">
      <w:pPr>
        <w:pStyle w:val="ListParagraph"/>
        <w:numPr>
          <w:ilvl w:val="0"/>
          <w:numId w:val="16"/>
        </w:numPr>
        <w:tabs>
          <w:tab w:val="left" w:pos="592"/>
        </w:tabs>
        <w:spacing w:line="184" w:lineRule="exact"/>
        <w:ind w:left="592" w:hanging="268"/>
        <w:rPr>
          <w:sz w:val="18"/>
        </w:rPr>
      </w:pPr>
      <w:r w:rsidRPr="00283806">
        <w:rPr>
          <w:w w:val="105"/>
          <w:sz w:val="18"/>
        </w:rPr>
        <w:t>The</w:t>
      </w:r>
      <w:r w:rsidRPr="00283806">
        <w:rPr>
          <w:spacing w:val="13"/>
          <w:w w:val="105"/>
          <w:sz w:val="18"/>
        </w:rPr>
        <w:t xml:space="preserve"> </w:t>
      </w:r>
      <w:r w:rsidRPr="00283806">
        <w:rPr>
          <w:w w:val="105"/>
          <w:sz w:val="18"/>
        </w:rPr>
        <w:t>label</w:t>
      </w:r>
      <w:r w:rsidRPr="00283806">
        <w:rPr>
          <w:spacing w:val="14"/>
          <w:w w:val="105"/>
          <w:sz w:val="18"/>
        </w:rPr>
        <w:t xml:space="preserve"> </w:t>
      </w:r>
      <w:r w:rsidRPr="00283806">
        <w:rPr>
          <w:w w:val="105"/>
          <w:sz w:val="18"/>
        </w:rPr>
        <w:t>must</w:t>
      </w:r>
      <w:r w:rsidRPr="00283806">
        <w:rPr>
          <w:spacing w:val="14"/>
          <w:w w:val="105"/>
          <w:sz w:val="18"/>
        </w:rPr>
        <w:t xml:space="preserve"> </w:t>
      </w:r>
      <w:r w:rsidRPr="00283806">
        <w:rPr>
          <w:w w:val="105"/>
          <w:sz w:val="18"/>
        </w:rPr>
        <w:t>read:</w:t>
      </w:r>
      <w:r w:rsidRPr="00283806">
        <w:rPr>
          <w:spacing w:val="14"/>
          <w:w w:val="105"/>
          <w:sz w:val="18"/>
        </w:rPr>
        <w:t xml:space="preserve"> </w:t>
      </w:r>
      <w:r w:rsidRPr="00283806">
        <w:rPr>
          <w:w w:val="105"/>
          <w:sz w:val="18"/>
        </w:rPr>
        <w:t>‘‘The</w:t>
      </w:r>
      <w:r w:rsidRPr="00283806">
        <w:rPr>
          <w:spacing w:val="14"/>
          <w:w w:val="105"/>
          <w:sz w:val="18"/>
        </w:rPr>
        <w:t xml:space="preserve"> </w:t>
      </w:r>
      <w:r w:rsidRPr="00283806">
        <w:rPr>
          <w:spacing w:val="-2"/>
          <w:w w:val="105"/>
          <w:sz w:val="18"/>
        </w:rPr>
        <w:t>contents</w:t>
      </w:r>
    </w:p>
    <w:p w14:paraId="7C288028" w14:textId="77777777" w:rsidR="00D67C1E" w:rsidRPr="00283806" w:rsidRDefault="001265CA">
      <w:pPr>
        <w:pStyle w:val="BodyText"/>
        <w:spacing w:before="6" w:line="223" w:lineRule="auto"/>
        <w:ind w:left="144" w:right="171"/>
      </w:pPr>
      <w:r w:rsidRPr="00283806">
        <w:rPr>
          <w:w w:val="105"/>
        </w:rPr>
        <w:t xml:space="preserve">of this container do not exceed the limit of 15 percent, by weight, on virgin regulated substance per </w:t>
      </w:r>
      <w:r w:rsidRPr="00283806">
        <w:rPr>
          <w:rFonts w:ascii="Book Antiqua" w:hAnsi="Book Antiqua"/>
          <w:i/>
          <w:w w:val="105"/>
        </w:rPr>
        <w:t xml:space="preserve">40 CFR </w:t>
      </w:r>
      <w:r w:rsidRPr="00283806">
        <w:rPr>
          <w:rFonts w:ascii="Book Antiqua" w:hAnsi="Book Antiqua"/>
          <w:i/>
          <w:spacing w:val="-2"/>
          <w:w w:val="105"/>
        </w:rPr>
        <w:t>84.112(a)</w:t>
      </w:r>
      <w:r w:rsidRPr="00283806">
        <w:rPr>
          <w:spacing w:val="-2"/>
          <w:w w:val="105"/>
        </w:rPr>
        <w:t>.’’</w:t>
      </w:r>
    </w:p>
    <w:p w14:paraId="38C98494" w14:textId="77777777" w:rsidR="00D67C1E" w:rsidRPr="00283806" w:rsidRDefault="001265CA">
      <w:pPr>
        <w:pStyle w:val="ListParagraph"/>
        <w:numPr>
          <w:ilvl w:val="0"/>
          <w:numId w:val="16"/>
        </w:numPr>
        <w:tabs>
          <w:tab w:val="left" w:pos="592"/>
        </w:tabs>
        <w:spacing w:line="174" w:lineRule="exact"/>
        <w:ind w:left="592" w:hanging="268"/>
        <w:rPr>
          <w:sz w:val="18"/>
        </w:rPr>
      </w:pPr>
      <w:r w:rsidRPr="00283806">
        <w:rPr>
          <w:w w:val="105"/>
          <w:sz w:val="18"/>
        </w:rPr>
        <w:t>The</w:t>
      </w:r>
      <w:r w:rsidRPr="00283806">
        <w:rPr>
          <w:spacing w:val="12"/>
          <w:w w:val="105"/>
          <w:sz w:val="18"/>
        </w:rPr>
        <w:t xml:space="preserve"> </w:t>
      </w:r>
      <w:r w:rsidRPr="00283806">
        <w:rPr>
          <w:w w:val="105"/>
          <w:sz w:val="18"/>
        </w:rPr>
        <w:t>label</w:t>
      </w:r>
      <w:r w:rsidRPr="00283806">
        <w:rPr>
          <w:spacing w:val="12"/>
          <w:w w:val="105"/>
          <w:sz w:val="18"/>
        </w:rPr>
        <w:t xml:space="preserve"> </w:t>
      </w:r>
      <w:r w:rsidRPr="00283806">
        <w:rPr>
          <w:w w:val="105"/>
          <w:sz w:val="18"/>
        </w:rPr>
        <w:t>must</w:t>
      </w:r>
      <w:r w:rsidRPr="00283806">
        <w:rPr>
          <w:spacing w:val="13"/>
          <w:w w:val="105"/>
          <w:sz w:val="18"/>
        </w:rPr>
        <w:t xml:space="preserve"> </w:t>
      </w:r>
      <w:r w:rsidRPr="00283806">
        <w:rPr>
          <w:spacing w:val="-5"/>
          <w:w w:val="105"/>
          <w:sz w:val="18"/>
        </w:rPr>
        <w:t>be:</w:t>
      </w:r>
    </w:p>
    <w:p w14:paraId="25EFF9F5" w14:textId="77777777" w:rsidR="00D67C1E" w:rsidRPr="00283806" w:rsidRDefault="001265CA">
      <w:pPr>
        <w:pStyle w:val="ListParagraph"/>
        <w:numPr>
          <w:ilvl w:val="1"/>
          <w:numId w:val="16"/>
        </w:numPr>
        <w:tabs>
          <w:tab w:val="left" w:pos="552"/>
        </w:tabs>
        <w:spacing w:line="190" w:lineRule="exact"/>
        <w:ind w:left="552" w:hanging="228"/>
        <w:rPr>
          <w:sz w:val="18"/>
        </w:rPr>
      </w:pPr>
      <w:r w:rsidRPr="00283806">
        <w:rPr>
          <w:w w:val="105"/>
          <w:sz w:val="18"/>
        </w:rPr>
        <w:t>In</w:t>
      </w:r>
      <w:r w:rsidRPr="00283806">
        <w:rPr>
          <w:spacing w:val="8"/>
          <w:w w:val="105"/>
          <w:sz w:val="18"/>
        </w:rPr>
        <w:t xml:space="preserve"> </w:t>
      </w:r>
      <w:r w:rsidRPr="00283806">
        <w:rPr>
          <w:spacing w:val="-2"/>
          <w:w w:val="105"/>
          <w:sz w:val="18"/>
        </w:rPr>
        <w:t>English;</w:t>
      </w:r>
    </w:p>
    <w:p w14:paraId="0254FDD4" w14:textId="77777777" w:rsidR="00D67C1E" w:rsidRPr="00283806" w:rsidRDefault="001265CA">
      <w:pPr>
        <w:pStyle w:val="ListParagraph"/>
        <w:numPr>
          <w:ilvl w:val="1"/>
          <w:numId w:val="16"/>
        </w:numPr>
        <w:tabs>
          <w:tab w:val="left" w:pos="612"/>
        </w:tabs>
        <w:spacing w:line="228" w:lineRule="auto"/>
        <w:ind w:left="144" w:right="262" w:firstLine="180"/>
        <w:rPr>
          <w:sz w:val="18"/>
        </w:rPr>
      </w:pPr>
      <w:r w:rsidRPr="00283806">
        <w:rPr>
          <w:w w:val="105"/>
          <w:sz w:val="18"/>
        </w:rPr>
        <w:t>Durable and printed or otherwise labeled on, or affixed to, an external surface of the container;</w:t>
      </w:r>
    </w:p>
    <w:p w14:paraId="119A6EFB" w14:textId="77777777" w:rsidR="00D67C1E" w:rsidRPr="00283806" w:rsidRDefault="001265CA">
      <w:pPr>
        <w:pStyle w:val="ListParagraph"/>
        <w:numPr>
          <w:ilvl w:val="1"/>
          <w:numId w:val="16"/>
        </w:numPr>
        <w:tabs>
          <w:tab w:val="left" w:pos="672"/>
        </w:tabs>
        <w:spacing w:line="181" w:lineRule="exact"/>
        <w:ind w:left="672" w:hanging="348"/>
        <w:rPr>
          <w:sz w:val="18"/>
        </w:rPr>
      </w:pPr>
      <w:r w:rsidRPr="00283806">
        <w:rPr>
          <w:w w:val="110"/>
          <w:sz w:val="18"/>
        </w:rPr>
        <w:t>Readily</w:t>
      </w:r>
      <w:r w:rsidRPr="00283806">
        <w:rPr>
          <w:spacing w:val="-2"/>
          <w:w w:val="110"/>
          <w:sz w:val="18"/>
        </w:rPr>
        <w:t xml:space="preserve"> </w:t>
      </w:r>
      <w:r w:rsidRPr="00283806">
        <w:rPr>
          <w:w w:val="110"/>
          <w:sz w:val="18"/>
        </w:rPr>
        <w:t>visible</w:t>
      </w:r>
      <w:r w:rsidRPr="00283806">
        <w:rPr>
          <w:spacing w:val="-1"/>
          <w:w w:val="110"/>
          <w:sz w:val="18"/>
        </w:rPr>
        <w:t xml:space="preserve"> </w:t>
      </w:r>
      <w:r w:rsidRPr="00283806">
        <w:rPr>
          <w:w w:val="110"/>
          <w:sz w:val="18"/>
        </w:rPr>
        <w:t>and</w:t>
      </w:r>
      <w:r w:rsidRPr="00283806">
        <w:rPr>
          <w:spacing w:val="-2"/>
          <w:w w:val="110"/>
          <w:sz w:val="18"/>
        </w:rPr>
        <w:t xml:space="preserve"> legible;</w:t>
      </w:r>
    </w:p>
    <w:p w14:paraId="6CA0592B" w14:textId="77777777" w:rsidR="00D67C1E" w:rsidRPr="00283806" w:rsidRDefault="001265CA">
      <w:pPr>
        <w:pStyle w:val="ListParagraph"/>
        <w:numPr>
          <w:ilvl w:val="1"/>
          <w:numId w:val="16"/>
        </w:numPr>
        <w:tabs>
          <w:tab w:val="left" w:pos="652"/>
        </w:tabs>
        <w:spacing w:line="228" w:lineRule="auto"/>
        <w:ind w:left="144" w:right="252" w:firstLine="180"/>
        <w:rPr>
          <w:sz w:val="18"/>
        </w:rPr>
      </w:pPr>
      <w:r w:rsidRPr="00283806">
        <w:rPr>
          <w:w w:val="105"/>
          <w:sz w:val="18"/>
        </w:rPr>
        <w:t>Able to withstand open weather exposure without a substantial reduction</w:t>
      </w:r>
      <w:r w:rsidRPr="00283806">
        <w:rPr>
          <w:spacing w:val="21"/>
          <w:w w:val="105"/>
          <w:sz w:val="18"/>
        </w:rPr>
        <w:t xml:space="preserve"> </w:t>
      </w:r>
      <w:r w:rsidRPr="00283806">
        <w:rPr>
          <w:w w:val="105"/>
          <w:sz w:val="18"/>
        </w:rPr>
        <w:t>in</w:t>
      </w:r>
      <w:r w:rsidRPr="00283806">
        <w:rPr>
          <w:spacing w:val="21"/>
          <w:w w:val="105"/>
          <w:sz w:val="18"/>
        </w:rPr>
        <w:t xml:space="preserve"> </w:t>
      </w:r>
      <w:r w:rsidRPr="00283806">
        <w:rPr>
          <w:w w:val="105"/>
          <w:sz w:val="18"/>
        </w:rPr>
        <w:t>visibility</w:t>
      </w:r>
      <w:r w:rsidRPr="00283806">
        <w:rPr>
          <w:spacing w:val="22"/>
          <w:w w:val="105"/>
          <w:sz w:val="18"/>
        </w:rPr>
        <w:t xml:space="preserve"> </w:t>
      </w:r>
      <w:r w:rsidRPr="00283806">
        <w:rPr>
          <w:w w:val="105"/>
          <w:sz w:val="18"/>
        </w:rPr>
        <w:t>or</w:t>
      </w:r>
      <w:r w:rsidRPr="00283806">
        <w:rPr>
          <w:spacing w:val="21"/>
          <w:w w:val="105"/>
          <w:sz w:val="18"/>
        </w:rPr>
        <w:t xml:space="preserve"> </w:t>
      </w:r>
      <w:r w:rsidRPr="00283806">
        <w:rPr>
          <w:w w:val="105"/>
          <w:sz w:val="18"/>
        </w:rPr>
        <w:t>legibility;</w:t>
      </w:r>
      <w:r w:rsidRPr="00283806">
        <w:rPr>
          <w:spacing w:val="21"/>
          <w:w w:val="105"/>
          <w:sz w:val="18"/>
        </w:rPr>
        <w:t xml:space="preserve"> </w:t>
      </w:r>
      <w:r w:rsidRPr="00283806">
        <w:rPr>
          <w:spacing w:val="-5"/>
          <w:w w:val="105"/>
          <w:sz w:val="18"/>
        </w:rPr>
        <w:t>and</w:t>
      </w:r>
    </w:p>
    <w:p w14:paraId="5E89AA20" w14:textId="77777777" w:rsidR="00D67C1E" w:rsidRPr="00283806" w:rsidRDefault="001265CA">
      <w:pPr>
        <w:pStyle w:val="ListParagraph"/>
        <w:numPr>
          <w:ilvl w:val="1"/>
          <w:numId w:val="16"/>
        </w:numPr>
        <w:tabs>
          <w:tab w:val="left" w:pos="592"/>
        </w:tabs>
        <w:spacing w:line="186" w:lineRule="exact"/>
        <w:ind w:left="592" w:hanging="268"/>
        <w:rPr>
          <w:sz w:val="18"/>
        </w:rPr>
      </w:pPr>
      <w:r w:rsidRPr="00283806">
        <w:rPr>
          <w:w w:val="105"/>
          <w:sz w:val="18"/>
        </w:rPr>
        <w:t>Displayed</w:t>
      </w:r>
      <w:r w:rsidRPr="00283806">
        <w:rPr>
          <w:spacing w:val="13"/>
          <w:w w:val="105"/>
          <w:sz w:val="18"/>
        </w:rPr>
        <w:t xml:space="preserve"> </w:t>
      </w:r>
      <w:r w:rsidRPr="00283806">
        <w:rPr>
          <w:w w:val="105"/>
          <w:sz w:val="18"/>
        </w:rPr>
        <w:t>on</w:t>
      </w:r>
      <w:r w:rsidRPr="00283806">
        <w:rPr>
          <w:spacing w:val="13"/>
          <w:w w:val="105"/>
          <w:sz w:val="18"/>
        </w:rPr>
        <w:t xml:space="preserve"> </w:t>
      </w:r>
      <w:r w:rsidRPr="00283806">
        <w:rPr>
          <w:w w:val="105"/>
          <w:sz w:val="18"/>
        </w:rPr>
        <w:t>a</w:t>
      </w:r>
      <w:r w:rsidRPr="00283806">
        <w:rPr>
          <w:spacing w:val="13"/>
          <w:w w:val="105"/>
          <w:sz w:val="18"/>
        </w:rPr>
        <w:t xml:space="preserve"> </w:t>
      </w:r>
      <w:r w:rsidRPr="00283806">
        <w:rPr>
          <w:w w:val="105"/>
          <w:sz w:val="18"/>
        </w:rPr>
        <w:t>background</w:t>
      </w:r>
      <w:r w:rsidRPr="00283806">
        <w:rPr>
          <w:spacing w:val="13"/>
          <w:w w:val="105"/>
          <w:sz w:val="18"/>
        </w:rPr>
        <w:t xml:space="preserve"> </w:t>
      </w:r>
      <w:r w:rsidRPr="00283806">
        <w:rPr>
          <w:spacing w:val="-5"/>
          <w:w w:val="105"/>
          <w:sz w:val="18"/>
        </w:rPr>
        <w:t>of</w:t>
      </w:r>
    </w:p>
    <w:p w14:paraId="62506FDB" w14:textId="77777777" w:rsidR="00D67C1E" w:rsidRPr="00283806" w:rsidRDefault="001265CA">
      <w:pPr>
        <w:pStyle w:val="BodyText"/>
        <w:spacing w:line="195" w:lineRule="exact"/>
        <w:ind w:left="144"/>
      </w:pPr>
      <w:r w:rsidRPr="00283806">
        <w:rPr>
          <w:w w:val="105"/>
        </w:rPr>
        <w:t>contrasting</w:t>
      </w:r>
      <w:r w:rsidRPr="00283806">
        <w:rPr>
          <w:spacing w:val="-2"/>
          <w:w w:val="105"/>
        </w:rPr>
        <w:t xml:space="preserve"> color.</w:t>
      </w:r>
    </w:p>
    <w:p w14:paraId="42E0036B" w14:textId="77777777" w:rsidR="00D67C1E" w:rsidRPr="00283806" w:rsidRDefault="001265CA">
      <w:pPr>
        <w:pStyle w:val="ListParagraph"/>
        <w:numPr>
          <w:ilvl w:val="1"/>
          <w:numId w:val="17"/>
        </w:numPr>
        <w:tabs>
          <w:tab w:val="left" w:pos="602"/>
        </w:tabs>
        <w:spacing w:before="3" w:line="216" w:lineRule="auto"/>
        <w:ind w:left="145" w:right="191" w:firstLine="179"/>
        <w:rPr>
          <w:sz w:val="18"/>
        </w:rPr>
      </w:pPr>
      <w:r w:rsidRPr="00283806">
        <w:rPr>
          <w:rFonts w:ascii="Book Antiqua"/>
          <w:i/>
          <w:w w:val="110"/>
          <w:sz w:val="18"/>
        </w:rPr>
        <w:t xml:space="preserve">Recordkeeping. </w:t>
      </w:r>
      <w:r w:rsidRPr="00283806">
        <w:rPr>
          <w:w w:val="110"/>
          <w:sz w:val="18"/>
        </w:rPr>
        <w:t xml:space="preserve">As of January 1, </w:t>
      </w:r>
      <w:r w:rsidRPr="00283806">
        <w:rPr>
          <w:sz w:val="18"/>
        </w:rPr>
        <w:t>2026,</w:t>
      </w:r>
      <w:r w:rsidRPr="00283806">
        <w:rPr>
          <w:spacing w:val="33"/>
          <w:sz w:val="18"/>
        </w:rPr>
        <w:t xml:space="preserve"> </w:t>
      </w:r>
      <w:r w:rsidRPr="00283806">
        <w:rPr>
          <w:sz w:val="18"/>
        </w:rPr>
        <w:t>reclaimers</w:t>
      </w:r>
      <w:r w:rsidRPr="00283806">
        <w:rPr>
          <w:spacing w:val="33"/>
          <w:sz w:val="18"/>
        </w:rPr>
        <w:t xml:space="preserve"> </w:t>
      </w:r>
      <w:r w:rsidRPr="00283806">
        <w:rPr>
          <w:sz w:val="18"/>
        </w:rPr>
        <w:t>certified</w:t>
      </w:r>
      <w:r w:rsidRPr="00283806">
        <w:rPr>
          <w:spacing w:val="33"/>
          <w:sz w:val="18"/>
        </w:rPr>
        <w:t xml:space="preserve"> </w:t>
      </w:r>
      <w:r w:rsidRPr="00283806">
        <w:rPr>
          <w:sz w:val="18"/>
        </w:rPr>
        <w:t>under</w:t>
      </w:r>
      <w:r w:rsidRPr="00283806">
        <w:rPr>
          <w:spacing w:val="33"/>
          <w:sz w:val="18"/>
        </w:rPr>
        <w:t xml:space="preserve"> </w:t>
      </w:r>
      <w:r w:rsidRPr="00283806">
        <w:rPr>
          <w:sz w:val="18"/>
        </w:rPr>
        <w:t>40</w:t>
      </w:r>
      <w:r w:rsidRPr="00283806">
        <w:rPr>
          <w:spacing w:val="33"/>
          <w:sz w:val="18"/>
        </w:rPr>
        <w:t xml:space="preserve"> </w:t>
      </w:r>
      <w:r w:rsidRPr="00283806">
        <w:rPr>
          <w:spacing w:val="-5"/>
          <w:sz w:val="18"/>
        </w:rPr>
        <w:t>CFR</w:t>
      </w:r>
    </w:p>
    <w:p w14:paraId="26EFF810" w14:textId="77777777" w:rsidR="00D67C1E" w:rsidRPr="00283806" w:rsidRDefault="001265CA">
      <w:pPr>
        <w:pStyle w:val="BodyText"/>
        <w:spacing w:before="2" w:line="228" w:lineRule="auto"/>
        <w:ind w:left="145" w:right="172"/>
      </w:pPr>
      <w:r w:rsidRPr="00283806">
        <w:rPr>
          <w:w w:val="105"/>
        </w:rPr>
        <w:t>82.164 must generate a record to certify that the reclaimed regulated</w:t>
      </w:r>
      <w:r w:rsidRPr="00283806">
        <w:rPr>
          <w:spacing w:val="40"/>
          <w:w w:val="105"/>
        </w:rPr>
        <w:t xml:space="preserve"> </w:t>
      </w:r>
      <w:r w:rsidRPr="00283806">
        <w:rPr>
          <w:w w:val="105"/>
        </w:rPr>
        <w:t>substance(s) being used to fill a</w:t>
      </w:r>
      <w:r w:rsidRPr="00283806">
        <w:rPr>
          <w:spacing w:val="40"/>
          <w:w w:val="105"/>
        </w:rPr>
        <w:t xml:space="preserve"> </w:t>
      </w:r>
      <w:r w:rsidRPr="00283806">
        <w:rPr>
          <w:w w:val="105"/>
        </w:rPr>
        <w:t>container that will be sold or distributed or offered for sale or distribution do not</w:t>
      </w:r>
    </w:p>
    <w:p w14:paraId="5F0C4FA2"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5" w:space="40"/>
            <w:col w:w="3501" w:space="39"/>
            <w:col w:w="3625"/>
          </w:cols>
        </w:sectPr>
      </w:pPr>
    </w:p>
    <w:p w14:paraId="7657E12D" w14:textId="77777777" w:rsidR="00D67C1E" w:rsidRPr="00283806" w:rsidRDefault="001265CA">
      <w:pPr>
        <w:pStyle w:val="BodyText"/>
        <w:spacing w:before="134" w:line="228" w:lineRule="auto"/>
      </w:pPr>
      <w:r w:rsidRPr="00283806">
        <w:rPr>
          <w:w w:val="105"/>
        </w:rPr>
        <w:lastRenderedPageBreak/>
        <w:t>exceed 15 percent, by weight, of virgin regulated substances.</w:t>
      </w:r>
    </w:p>
    <w:p w14:paraId="246667B2" w14:textId="77777777" w:rsidR="00D67C1E" w:rsidRPr="00283806" w:rsidRDefault="001265CA">
      <w:pPr>
        <w:pStyle w:val="ListParagraph"/>
        <w:numPr>
          <w:ilvl w:val="0"/>
          <w:numId w:val="15"/>
        </w:numPr>
        <w:tabs>
          <w:tab w:val="left" w:pos="608"/>
        </w:tabs>
        <w:spacing w:before="3" w:line="228" w:lineRule="auto"/>
        <w:ind w:right="179" w:firstLine="180"/>
        <w:rPr>
          <w:sz w:val="18"/>
        </w:rPr>
      </w:pPr>
      <w:r w:rsidRPr="00283806">
        <w:rPr>
          <w:w w:val="110"/>
          <w:sz w:val="18"/>
        </w:rPr>
        <w:t>The record must be generated electronically,</w:t>
      </w:r>
      <w:r w:rsidRPr="00283806">
        <w:rPr>
          <w:spacing w:val="-11"/>
          <w:w w:val="110"/>
          <w:sz w:val="18"/>
        </w:rPr>
        <w:t xml:space="preserve"> </w:t>
      </w:r>
      <w:r w:rsidRPr="00283806">
        <w:rPr>
          <w:w w:val="110"/>
          <w:sz w:val="18"/>
        </w:rPr>
        <w:t>in</w:t>
      </w:r>
      <w:r w:rsidRPr="00283806">
        <w:rPr>
          <w:spacing w:val="-11"/>
          <w:w w:val="110"/>
          <w:sz w:val="18"/>
        </w:rPr>
        <w:t xml:space="preserve"> </w:t>
      </w:r>
      <w:r w:rsidRPr="00283806">
        <w:rPr>
          <w:w w:val="110"/>
          <w:sz w:val="18"/>
        </w:rPr>
        <w:t>a</w:t>
      </w:r>
      <w:r w:rsidRPr="00283806">
        <w:rPr>
          <w:spacing w:val="-11"/>
          <w:w w:val="110"/>
          <w:sz w:val="18"/>
        </w:rPr>
        <w:t xml:space="preserve"> </w:t>
      </w:r>
      <w:r w:rsidRPr="00283806">
        <w:rPr>
          <w:w w:val="110"/>
          <w:sz w:val="18"/>
        </w:rPr>
        <w:t>format</w:t>
      </w:r>
      <w:r w:rsidRPr="00283806">
        <w:rPr>
          <w:spacing w:val="-11"/>
          <w:w w:val="110"/>
          <w:sz w:val="18"/>
        </w:rPr>
        <w:t xml:space="preserve"> </w:t>
      </w:r>
      <w:r w:rsidRPr="00283806">
        <w:rPr>
          <w:w w:val="110"/>
          <w:sz w:val="18"/>
        </w:rPr>
        <w:t>specified</w:t>
      </w:r>
      <w:r w:rsidRPr="00283806">
        <w:rPr>
          <w:spacing w:val="-11"/>
          <w:w w:val="110"/>
          <w:sz w:val="18"/>
        </w:rPr>
        <w:t xml:space="preserve"> </w:t>
      </w:r>
      <w:r w:rsidRPr="00283806">
        <w:rPr>
          <w:w w:val="110"/>
          <w:sz w:val="18"/>
        </w:rPr>
        <w:t xml:space="preserve">by </w:t>
      </w:r>
      <w:r w:rsidRPr="00283806">
        <w:rPr>
          <w:spacing w:val="-4"/>
          <w:w w:val="110"/>
          <w:sz w:val="18"/>
        </w:rPr>
        <w:t>EPA.</w:t>
      </w:r>
    </w:p>
    <w:p w14:paraId="07A4E452" w14:textId="77777777" w:rsidR="00D67C1E" w:rsidRPr="00283806" w:rsidRDefault="001265CA">
      <w:pPr>
        <w:pStyle w:val="ListParagraph"/>
        <w:numPr>
          <w:ilvl w:val="0"/>
          <w:numId w:val="15"/>
        </w:numPr>
        <w:tabs>
          <w:tab w:val="left" w:pos="608"/>
        </w:tabs>
        <w:spacing w:before="3" w:line="228" w:lineRule="auto"/>
        <w:ind w:right="569" w:firstLine="180"/>
        <w:jc w:val="both"/>
        <w:rPr>
          <w:sz w:val="18"/>
        </w:rPr>
      </w:pPr>
      <w:r w:rsidRPr="00283806">
        <w:rPr>
          <w:w w:val="105"/>
          <w:sz w:val="18"/>
        </w:rPr>
        <w:t>The record must contain the following information:</w:t>
      </w:r>
    </w:p>
    <w:p w14:paraId="5BD7CA4C" w14:textId="77777777" w:rsidR="00D67C1E" w:rsidRPr="00283806" w:rsidRDefault="001265CA">
      <w:pPr>
        <w:pStyle w:val="ListParagraph"/>
        <w:numPr>
          <w:ilvl w:val="1"/>
          <w:numId w:val="15"/>
        </w:numPr>
        <w:tabs>
          <w:tab w:val="left" w:pos="568"/>
        </w:tabs>
        <w:spacing w:before="3" w:line="228" w:lineRule="auto"/>
        <w:ind w:right="29" w:firstLine="180"/>
        <w:jc w:val="both"/>
        <w:rPr>
          <w:sz w:val="18"/>
        </w:rPr>
      </w:pPr>
      <w:r w:rsidRPr="00283806">
        <w:rPr>
          <w:w w:val="105"/>
          <w:sz w:val="18"/>
        </w:rPr>
        <w:t>The name, address, contact person, email address, and phone number of the reclaimer certified under 40 CFR 82.164 who is making the certification;</w:t>
      </w:r>
    </w:p>
    <w:p w14:paraId="00789B68" w14:textId="77777777" w:rsidR="00D67C1E" w:rsidRPr="00283806" w:rsidRDefault="001265CA">
      <w:pPr>
        <w:pStyle w:val="ListParagraph"/>
        <w:numPr>
          <w:ilvl w:val="1"/>
          <w:numId w:val="15"/>
        </w:numPr>
        <w:tabs>
          <w:tab w:val="left" w:pos="628"/>
        </w:tabs>
        <w:spacing w:before="2" w:line="228" w:lineRule="auto"/>
        <w:ind w:right="170" w:firstLine="180"/>
        <w:rPr>
          <w:sz w:val="18"/>
        </w:rPr>
      </w:pPr>
      <w:r w:rsidRPr="00283806">
        <w:rPr>
          <w:w w:val="105"/>
          <w:sz w:val="18"/>
        </w:rPr>
        <w:t>The date the container was filled with</w:t>
      </w:r>
      <w:r w:rsidRPr="00283806">
        <w:rPr>
          <w:spacing w:val="-2"/>
          <w:w w:val="105"/>
          <w:sz w:val="18"/>
        </w:rPr>
        <w:t xml:space="preserve"> </w:t>
      </w:r>
      <w:r w:rsidRPr="00283806">
        <w:rPr>
          <w:w w:val="105"/>
          <w:sz w:val="18"/>
        </w:rPr>
        <w:t>reclaimed</w:t>
      </w:r>
      <w:r w:rsidRPr="00283806">
        <w:rPr>
          <w:spacing w:val="-2"/>
          <w:w w:val="105"/>
          <w:sz w:val="18"/>
        </w:rPr>
        <w:t xml:space="preserve"> </w:t>
      </w:r>
      <w:r w:rsidRPr="00283806">
        <w:rPr>
          <w:w w:val="105"/>
          <w:sz w:val="18"/>
        </w:rPr>
        <w:t>regulated</w:t>
      </w:r>
      <w:r w:rsidRPr="00283806">
        <w:rPr>
          <w:spacing w:val="-2"/>
          <w:w w:val="105"/>
          <w:sz w:val="18"/>
        </w:rPr>
        <w:t xml:space="preserve"> </w:t>
      </w:r>
      <w:r w:rsidRPr="00283806">
        <w:rPr>
          <w:w w:val="105"/>
          <w:sz w:val="18"/>
        </w:rPr>
        <w:t>substance(s);</w:t>
      </w:r>
    </w:p>
    <w:p w14:paraId="2DEE976F" w14:textId="77777777" w:rsidR="00D67C1E" w:rsidRPr="00283806" w:rsidRDefault="001265CA">
      <w:pPr>
        <w:pStyle w:val="ListParagraph"/>
        <w:numPr>
          <w:ilvl w:val="1"/>
          <w:numId w:val="15"/>
        </w:numPr>
        <w:tabs>
          <w:tab w:val="left" w:pos="688"/>
        </w:tabs>
        <w:spacing w:before="3" w:line="228" w:lineRule="auto"/>
        <w:ind w:right="449" w:firstLine="180"/>
        <w:rPr>
          <w:sz w:val="18"/>
        </w:rPr>
      </w:pPr>
      <w:r w:rsidRPr="00283806">
        <w:rPr>
          <w:w w:val="105"/>
          <w:sz w:val="18"/>
        </w:rPr>
        <w:t xml:space="preserve">The amount and name of the regulated substance(s) in the </w:t>
      </w:r>
      <w:r w:rsidRPr="00283806">
        <w:rPr>
          <w:spacing w:val="-2"/>
          <w:w w:val="105"/>
          <w:sz w:val="18"/>
        </w:rPr>
        <w:t>container(s);</w:t>
      </w:r>
    </w:p>
    <w:p w14:paraId="35344F13" w14:textId="77777777" w:rsidR="00D67C1E" w:rsidRPr="00283806" w:rsidRDefault="001265CA">
      <w:pPr>
        <w:pStyle w:val="ListParagraph"/>
        <w:numPr>
          <w:ilvl w:val="1"/>
          <w:numId w:val="15"/>
        </w:numPr>
        <w:tabs>
          <w:tab w:val="left" w:pos="668"/>
        </w:tabs>
        <w:spacing w:line="228" w:lineRule="auto"/>
        <w:ind w:right="20" w:firstLine="180"/>
        <w:rPr>
          <w:sz w:val="18"/>
        </w:rPr>
      </w:pPr>
      <w:r w:rsidRPr="00283806">
        <w:rPr>
          <w:w w:val="105"/>
          <w:sz w:val="18"/>
        </w:rPr>
        <w:t>Certification that the contents of the container are from a batch where the amount of virgin regulated substance(s) does not exceed 15 percent, by weight,</w:t>
      </w:r>
      <w:r w:rsidRPr="00283806">
        <w:rPr>
          <w:spacing w:val="80"/>
          <w:w w:val="105"/>
          <w:sz w:val="18"/>
        </w:rPr>
        <w:t xml:space="preserve"> </w:t>
      </w:r>
      <w:r w:rsidRPr="00283806">
        <w:rPr>
          <w:w w:val="105"/>
          <w:sz w:val="18"/>
        </w:rPr>
        <w:t>of the total regulated substance(s);</w:t>
      </w:r>
    </w:p>
    <w:p w14:paraId="32CA5166" w14:textId="77777777" w:rsidR="00D67C1E" w:rsidRPr="00283806" w:rsidRDefault="001265CA">
      <w:pPr>
        <w:pStyle w:val="ListParagraph"/>
        <w:numPr>
          <w:ilvl w:val="1"/>
          <w:numId w:val="15"/>
        </w:numPr>
        <w:tabs>
          <w:tab w:val="left" w:pos="608"/>
        </w:tabs>
        <w:spacing w:line="228" w:lineRule="auto"/>
        <w:ind w:right="249" w:firstLine="180"/>
        <w:rPr>
          <w:sz w:val="18"/>
        </w:rPr>
      </w:pPr>
      <w:r w:rsidRPr="00283806">
        <w:rPr>
          <w:w w:val="105"/>
          <w:sz w:val="18"/>
        </w:rPr>
        <w:t>The unique serial number associated with the container(s) filled from the batch;</w:t>
      </w:r>
    </w:p>
    <w:p w14:paraId="16A18ECF" w14:textId="77777777" w:rsidR="00D67C1E" w:rsidRPr="00283806" w:rsidRDefault="001265CA">
      <w:pPr>
        <w:pStyle w:val="ListParagraph"/>
        <w:numPr>
          <w:ilvl w:val="1"/>
          <w:numId w:val="15"/>
        </w:numPr>
        <w:tabs>
          <w:tab w:val="left" w:pos="668"/>
        </w:tabs>
        <w:spacing w:line="228" w:lineRule="auto"/>
        <w:ind w:right="8" w:firstLine="180"/>
        <w:rPr>
          <w:sz w:val="18"/>
        </w:rPr>
      </w:pPr>
      <w:r w:rsidRPr="00283806">
        <w:rPr>
          <w:w w:val="105"/>
          <w:sz w:val="18"/>
        </w:rPr>
        <w:t>Identification of the batch of reclaimed</w:t>
      </w:r>
      <w:r w:rsidRPr="00283806">
        <w:rPr>
          <w:spacing w:val="-4"/>
          <w:w w:val="105"/>
          <w:sz w:val="18"/>
        </w:rPr>
        <w:t xml:space="preserve"> </w:t>
      </w:r>
      <w:r w:rsidRPr="00283806">
        <w:rPr>
          <w:w w:val="105"/>
          <w:sz w:val="18"/>
        </w:rPr>
        <w:t>regulated</w:t>
      </w:r>
      <w:r w:rsidRPr="00283806">
        <w:rPr>
          <w:spacing w:val="-4"/>
          <w:w w:val="105"/>
          <w:sz w:val="18"/>
        </w:rPr>
        <w:t xml:space="preserve"> </w:t>
      </w:r>
      <w:r w:rsidRPr="00283806">
        <w:rPr>
          <w:w w:val="105"/>
          <w:sz w:val="18"/>
        </w:rPr>
        <w:t>substance(s)</w:t>
      </w:r>
      <w:r w:rsidRPr="00283806">
        <w:rPr>
          <w:spacing w:val="-4"/>
          <w:w w:val="105"/>
          <w:sz w:val="18"/>
        </w:rPr>
        <w:t xml:space="preserve"> </w:t>
      </w:r>
      <w:r w:rsidRPr="00283806">
        <w:rPr>
          <w:w w:val="105"/>
          <w:sz w:val="18"/>
        </w:rPr>
        <w:t>used</w:t>
      </w:r>
      <w:r w:rsidRPr="00283806">
        <w:rPr>
          <w:spacing w:val="-4"/>
          <w:w w:val="105"/>
          <w:sz w:val="18"/>
        </w:rPr>
        <w:t xml:space="preserve"> </w:t>
      </w:r>
      <w:r w:rsidRPr="00283806">
        <w:rPr>
          <w:w w:val="105"/>
          <w:sz w:val="18"/>
        </w:rPr>
        <w:t>to fill the container(s); and</w:t>
      </w:r>
    </w:p>
    <w:p w14:paraId="4EF067BD" w14:textId="77777777" w:rsidR="00D67C1E" w:rsidRPr="00283806" w:rsidRDefault="001265CA">
      <w:pPr>
        <w:pStyle w:val="ListParagraph"/>
        <w:numPr>
          <w:ilvl w:val="1"/>
          <w:numId w:val="15"/>
        </w:numPr>
        <w:tabs>
          <w:tab w:val="left" w:pos="728"/>
        </w:tabs>
        <w:spacing w:before="1" w:line="228" w:lineRule="auto"/>
        <w:ind w:right="59" w:firstLine="180"/>
        <w:jc w:val="both"/>
        <w:rPr>
          <w:sz w:val="18"/>
        </w:rPr>
      </w:pPr>
      <w:r w:rsidRPr="00283806">
        <w:rPr>
          <w:w w:val="105"/>
          <w:sz w:val="18"/>
        </w:rPr>
        <w:t xml:space="preserve">The </w:t>
      </w:r>
      <w:proofErr w:type="gramStart"/>
      <w:r w:rsidRPr="00283806">
        <w:rPr>
          <w:w w:val="105"/>
          <w:sz w:val="18"/>
        </w:rPr>
        <w:t>percent</w:t>
      </w:r>
      <w:proofErr w:type="gramEnd"/>
      <w:r w:rsidRPr="00283806">
        <w:rPr>
          <w:w w:val="105"/>
          <w:sz w:val="18"/>
        </w:rPr>
        <w:t>, by weight, of virgin regulated</w:t>
      </w:r>
      <w:r w:rsidRPr="00283806">
        <w:rPr>
          <w:spacing w:val="-1"/>
          <w:w w:val="105"/>
          <w:sz w:val="18"/>
        </w:rPr>
        <w:t xml:space="preserve"> </w:t>
      </w:r>
      <w:r w:rsidRPr="00283806">
        <w:rPr>
          <w:w w:val="105"/>
          <w:sz w:val="18"/>
        </w:rPr>
        <w:t>substance(s)</w:t>
      </w:r>
      <w:r w:rsidRPr="00283806">
        <w:rPr>
          <w:spacing w:val="-1"/>
          <w:w w:val="105"/>
          <w:sz w:val="18"/>
        </w:rPr>
        <w:t xml:space="preserve"> </w:t>
      </w:r>
      <w:r w:rsidRPr="00283806">
        <w:rPr>
          <w:w w:val="105"/>
          <w:sz w:val="18"/>
        </w:rPr>
        <w:t>in</w:t>
      </w:r>
      <w:r w:rsidRPr="00283806">
        <w:rPr>
          <w:spacing w:val="-1"/>
          <w:w w:val="105"/>
          <w:sz w:val="18"/>
        </w:rPr>
        <w:t xml:space="preserve"> </w:t>
      </w:r>
      <w:r w:rsidRPr="00283806">
        <w:rPr>
          <w:w w:val="105"/>
          <w:sz w:val="18"/>
        </w:rPr>
        <w:t>the</w:t>
      </w:r>
      <w:r w:rsidRPr="00283806">
        <w:rPr>
          <w:spacing w:val="-1"/>
          <w:w w:val="105"/>
          <w:sz w:val="18"/>
        </w:rPr>
        <w:t xml:space="preserve"> </w:t>
      </w:r>
      <w:r w:rsidRPr="00283806">
        <w:rPr>
          <w:w w:val="105"/>
          <w:sz w:val="18"/>
        </w:rPr>
        <w:t>batch</w:t>
      </w:r>
      <w:r w:rsidRPr="00283806">
        <w:rPr>
          <w:spacing w:val="-1"/>
          <w:w w:val="105"/>
          <w:sz w:val="18"/>
        </w:rPr>
        <w:t xml:space="preserve"> </w:t>
      </w:r>
      <w:r w:rsidRPr="00283806">
        <w:rPr>
          <w:w w:val="105"/>
          <w:sz w:val="18"/>
        </w:rPr>
        <w:t>used to fill the container(s).</w:t>
      </w:r>
    </w:p>
    <w:p w14:paraId="77C89942" w14:textId="77777777" w:rsidR="00D67C1E" w:rsidRPr="00283806" w:rsidRDefault="001265CA">
      <w:pPr>
        <w:pStyle w:val="ListParagraph"/>
        <w:numPr>
          <w:ilvl w:val="0"/>
          <w:numId w:val="15"/>
        </w:numPr>
        <w:tabs>
          <w:tab w:val="left" w:pos="608"/>
        </w:tabs>
        <w:spacing w:line="228" w:lineRule="auto"/>
        <w:ind w:right="69" w:firstLine="180"/>
        <w:jc w:val="both"/>
        <w:rPr>
          <w:sz w:val="18"/>
        </w:rPr>
      </w:pPr>
      <w:r w:rsidRPr="00283806">
        <w:rPr>
          <w:w w:val="105"/>
          <w:sz w:val="18"/>
        </w:rPr>
        <w:t>The record must be maintained by the reclaimer certified under 40 CFR</w:t>
      </w:r>
    </w:p>
    <w:p w14:paraId="65AC682B" w14:textId="77777777" w:rsidR="00D67C1E" w:rsidRPr="00283806" w:rsidRDefault="001265CA">
      <w:pPr>
        <w:pStyle w:val="BodyText"/>
        <w:spacing w:line="197" w:lineRule="exact"/>
        <w:jc w:val="both"/>
      </w:pPr>
      <w:r w:rsidRPr="00283806">
        <w:rPr>
          <w:w w:val="105"/>
        </w:rPr>
        <w:t>82.164</w:t>
      </w:r>
      <w:r w:rsidRPr="00283806">
        <w:rPr>
          <w:spacing w:val="-5"/>
          <w:w w:val="105"/>
        </w:rPr>
        <w:t xml:space="preserve"> </w:t>
      </w:r>
      <w:r w:rsidRPr="00283806">
        <w:rPr>
          <w:w w:val="105"/>
        </w:rPr>
        <w:t>for</w:t>
      </w:r>
      <w:r w:rsidRPr="00283806">
        <w:rPr>
          <w:spacing w:val="-5"/>
          <w:w w:val="105"/>
        </w:rPr>
        <w:t xml:space="preserve"> </w:t>
      </w:r>
      <w:r w:rsidRPr="00283806">
        <w:rPr>
          <w:w w:val="105"/>
        </w:rPr>
        <w:t>three</w:t>
      </w:r>
      <w:r w:rsidRPr="00283806">
        <w:rPr>
          <w:spacing w:val="-5"/>
          <w:w w:val="105"/>
        </w:rPr>
        <w:t xml:space="preserve"> </w:t>
      </w:r>
      <w:r w:rsidRPr="00283806">
        <w:rPr>
          <w:spacing w:val="-2"/>
          <w:w w:val="105"/>
        </w:rPr>
        <w:t>years.</w:t>
      </w:r>
    </w:p>
    <w:p w14:paraId="222528BE" w14:textId="77777777" w:rsidR="00D67C1E" w:rsidRPr="00283806" w:rsidRDefault="001265CA">
      <w:pPr>
        <w:pStyle w:val="ListParagraph"/>
        <w:numPr>
          <w:ilvl w:val="1"/>
          <w:numId w:val="17"/>
        </w:numPr>
        <w:tabs>
          <w:tab w:val="left" w:pos="597"/>
        </w:tabs>
        <w:spacing w:before="6" w:line="225" w:lineRule="auto"/>
        <w:ind w:left="159" w:right="89" w:firstLine="180"/>
        <w:rPr>
          <w:sz w:val="18"/>
        </w:rPr>
      </w:pPr>
      <w:r w:rsidRPr="00283806">
        <w:rPr>
          <w:rFonts w:ascii="Book Antiqua" w:hAnsi="Book Antiqua"/>
          <w:i/>
          <w:w w:val="105"/>
          <w:sz w:val="18"/>
        </w:rPr>
        <w:t xml:space="preserve">Servicing and/or repair. </w:t>
      </w:r>
      <w:r w:rsidRPr="00283806">
        <w:rPr>
          <w:w w:val="105"/>
          <w:sz w:val="18"/>
        </w:rPr>
        <w:t>As of January 1, 2029, the servicing and/or repair of refrigerant-containing equipment that contains a regulated substance must be done with reclaimed refrigerant that meets the requirements of 84.112(a)–(c) of this section if such equipment is in one or more of the following subsectors:</w:t>
      </w:r>
    </w:p>
    <w:p w14:paraId="0698C2D0" w14:textId="77777777" w:rsidR="00D67C1E" w:rsidRPr="00283806" w:rsidRDefault="001265CA">
      <w:pPr>
        <w:pStyle w:val="ListParagraph"/>
        <w:numPr>
          <w:ilvl w:val="2"/>
          <w:numId w:val="17"/>
        </w:numPr>
        <w:tabs>
          <w:tab w:val="left" w:pos="607"/>
        </w:tabs>
        <w:spacing w:line="203" w:lineRule="exact"/>
        <w:ind w:left="607" w:hanging="268"/>
        <w:rPr>
          <w:sz w:val="18"/>
        </w:rPr>
      </w:pPr>
      <w:r w:rsidRPr="00283806">
        <w:rPr>
          <w:w w:val="105"/>
          <w:sz w:val="18"/>
        </w:rPr>
        <w:t>Supermarket</w:t>
      </w:r>
      <w:r w:rsidRPr="00283806">
        <w:rPr>
          <w:spacing w:val="7"/>
          <w:w w:val="105"/>
          <w:sz w:val="18"/>
        </w:rPr>
        <w:t xml:space="preserve"> </w:t>
      </w:r>
      <w:r w:rsidRPr="00283806">
        <w:rPr>
          <w:spacing w:val="-2"/>
          <w:w w:val="105"/>
          <w:sz w:val="18"/>
        </w:rPr>
        <w:t>systems;</w:t>
      </w:r>
    </w:p>
    <w:p w14:paraId="2D766B79" w14:textId="77777777" w:rsidR="00D67C1E" w:rsidRPr="00283806" w:rsidRDefault="001265CA">
      <w:pPr>
        <w:pStyle w:val="ListParagraph"/>
        <w:numPr>
          <w:ilvl w:val="2"/>
          <w:numId w:val="17"/>
        </w:numPr>
        <w:tabs>
          <w:tab w:val="left" w:pos="607"/>
        </w:tabs>
        <w:spacing w:line="202" w:lineRule="exact"/>
        <w:ind w:left="607" w:hanging="268"/>
        <w:rPr>
          <w:sz w:val="18"/>
        </w:rPr>
      </w:pPr>
      <w:r w:rsidRPr="00283806">
        <w:rPr>
          <w:sz w:val="18"/>
        </w:rPr>
        <w:t>Refrigerated</w:t>
      </w:r>
      <w:r w:rsidRPr="00283806">
        <w:rPr>
          <w:spacing w:val="31"/>
          <w:sz w:val="18"/>
        </w:rPr>
        <w:t xml:space="preserve"> </w:t>
      </w:r>
      <w:r w:rsidRPr="00283806">
        <w:rPr>
          <w:sz w:val="18"/>
        </w:rPr>
        <w:t>transport;</w:t>
      </w:r>
      <w:r w:rsidRPr="00283806">
        <w:rPr>
          <w:spacing w:val="31"/>
          <w:sz w:val="18"/>
        </w:rPr>
        <w:t xml:space="preserve"> </w:t>
      </w:r>
      <w:r w:rsidRPr="00283806">
        <w:rPr>
          <w:spacing w:val="-5"/>
          <w:sz w:val="18"/>
        </w:rPr>
        <w:t>and</w:t>
      </w:r>
    </w:p>
    <w:p w14:paraId="3305C67E" w14:textId="77777777" w:rsidR="00D67C1E" w:rsidRPr="00283806" w:rsidRDefault="001265CA">
      <w:pPr>
        <w:pStyle w:val="ListParagraph"/>
        <w:numPr>
          <w:ilvl w:val="2"/>
          <w:numId w:val="17"/>
        </w:numPr>
        <w:tabs>
          <w:tab w:val="left" w:pos="607"/>
        </w:tabs>
        <w:spacing w:line="202" w:lineRule="exact"/>
        <w:ind w:left="607" w:hanging="268"/>
        <w:rPr>
          <w:sz w:val="18"/>
        </w:rPr>
      </w:pPr>
      <w:r w:rsidRPr="00283806">
        <w:rPr>
          <w:w w:val="110"/>
          <w:sz w:val="18"/>
        </w:rPr>
        <w:t>Automatic</w:t>
      </w:r>
      <w:r w:rsidRPr="00283806">
        <w:rPr>
          <w:spacing w:val="-7"/>
          <w:w w:val="110"/>
          <w:sz w:val="18"/>
        </w:rPr>
        <w:t xml:space="preserve"> </w:t>
      </w:r>
      <w:r w:rsidRPr="00283806">
        <w:rPr>
          <w:w w:val="110"/>
          <w:sz w:val="18"/>
        </w:rPr>
        <w:t>commercial</w:t>
      </w:r>
      <w:r w:rsidRPr="00283806">
        <w:rPr>
          <w:spacing w:val="-7"/>
          <w:w w:val="110"/>
          <w:sz w:val="18"/>
        </w:rPr>
        <w:t xml:space="preserve"> </w:t>
      </w:r>
      <w:r w:rsidRPr="00283806">
        <w:rPr>
          <w:w w:val="110"/>
          <w:sz w:val="18"/>
        </w:rPr>
        <w:t>ice</w:t>
      </w:r>
      <w:r w:rsidRPr="00283806">
        <w:rPr>
          <w:spacing w:val="-6"/>
          <w:w w:val="110"/>
          <w:sz w:val="18"/>
        </w:rPr>
        <w:t xml:space="preserve"> </w:t>
      </w:r>
      <w:r w:rsidRPr="00283806">
        <w:rPr>
          <w:spacing w:val="-2"/>
          <w:w w:val="110"/>
          <w:sz w:val="18"/>
        </w:rPr>
        <w:t>makers.</w:t>
      </w:r>
    </w:p>
    <w:p w14:paraId="7F9C98D3" w14:textId="77777777" w:rsidR="00D67C1E" w:rsidRPr="00283806" w:rsidRDefault="001265CA">
      <w:pPr>
        <w:pStyle w:val="ListParagraph"/>
        <w:numPr>
          <w:ilvl w:val="1"/>
          <w:numId w:val="17"/>
        </w:numPr>
        <w:tabs>
          <w:tab w:val="left" w:pos="567"/>
        </w:tabs>
        <w:spacing w:before="5" w:line="225" w:lineRule="auto"/>
        <w:ind w:left="160" w:right="98" w:firstLine="179"/>
        <w:rPr>
          <w:sz w:val="18"/>
        </w:rPr>
      </w:pPr>
      <w:r w:rsidRPr="00283806">
        <w:rPr>
          <w:rFonts w:ascii="Book Antiqua" w:hAnsi="Book Antiqua"/>
          <w:i/>
          <w:w w:val="105"/>
          <w:sz w:val="18"/>
        </w:rPr>
        <w:t xml:space="preserve">Reporting. </w:t>
      </w:r>
      <w:r w:rsidRPr="00283806">
        <w:rPr>
          <w:w w:val="105"/>
          <w:sz w:val="18"/>
        </w:rPr>
        <w:t>(1) Reclaimers, distributors, and wholesalers of reclaimed refrigerants that contain regulated substances that are sold or distributed for the intended purpose of servicing and/or repair of refrigerant- containing equipment in the subsectors listed in paragraph (e) of this section must submit a report to EPA electronically, using the Agency’s applicable reporting platform, by February 14, 2027, covering activity</w:t>
      </w:r>
    </w:p>
    <w:p w14:paraId="359FDAAD" w14:textId="77777777" w:rsidR="00D67C1E" w:rsidRPr="00283806" w:rsidRDefault="001265CA">
      <w:pPr>
        <w:pStyle w:val="BodyText"/>
        <w:spacing w:before="8" w:line="228" w:lineRule="auto"/>
      </w:pPr>
      <w:r w:rsidRPr="00283806">
        <w:rPr>
          <w:w w:val="105"/>
        </w:rPr>
        <w:t xml:space="preserve">from January 1 through December 31, </w:t>
      </w:r>
      <w:proofErr w:type="gramStart"/>
      <w:r w:rsidRPr="00283806">
        <w:rPr>
          <w:w w:val="105"/>
        </w:rPr>
        <w:t>2026</w:t>
      </w:r>
      <w:proofErr w:type="gramEnd"/>
      <w:r w:rsidRPr="00283806">
        <w:rPr>
          <w:w w:val="105"/>
        </w:rPr>
        <w:t xml:space="preserve"> and containing the following information: name and address of the company; contact person, email address, and phone number of the responsible party; the quantity of reclaimed refrigerant containing regulated substance(s) by the name and mass of reclaimed refrigerant(s); and indication of the specific subsector(s) where the reclaimed refrigerant(s) containing</w:t>
      </w:r>
    </w:p>
    <w:p w14:paraId="5094FAC9" w14:textId="77777777" w:rsidR="00D67C1E" w:rsidRPr="00283806" w:rsidRDefault="001265CA">
      <w:pPr>
        <w:pStyle w:val="BodyText"/>
        <w:spacing w:before="134" w:line="225" w:lineRule="auto"/>
        <w:ind w:left="143"/>
      </w:pPr>
      <w:r w:rsidRPr="00283806">
        <w:br w:type="column"/>
      </w:r>
      <w:proofErr w:type="gramStart"/>
      <w:r w:rsidRPr="00283806">
        <w:rPr>
          <w:w w:val="105"/>
        </w:rPr>
        <w:t>regulated</w:t>
      </w:r>
      <w:proofErr w:type="gramEnd"/>
      <w:r w:rsidRPr="00283806">
        <w:rPr>
          <w:spacing w:val="-10"/>
          <w:w w:val="105"/>
        </w:rPr>
        <w:t xml:space="preserve"> </w:t>
      </w:r>
      <w:r w:rsidRPr="00283806">
        <w:rPr>
          <w:w w:val="105"/>
        </w:rPr>
        <w:t>substance(s)</w:t>
      </w:r>
      <w:r w:rsidRPr="00283806">
        <w:rPr>
          <w:spacing w:val="-11"/>
          <w:w w:val="105"/>
        </w:rPr>
        <w:t xml:space="preserve"> </w:t>
      </w:r>
      <w:r w:rsidRPr="00283806">
        <w:rPr>
          <w:w w:val="105"/>
        </w:rPr>
        <w:t>are</w:t>
      </w:r>
      <w:r w:rsidRPr="00283806">
        <w:rPr>
          <w:spacing w:val="-10"/>
          <w:w w:val="105"/>
        </w:rPr>
        <w:t xml:space="preserve"> </w:t>
      </w:r>
      <w:r w:rsidRPr="00283806">
        <w:rPr>
          <w:w w:val="105"/>
        </w:rPr>
        <w:t>sold</w:t>
      </w:r>
      <w:r w:rsidRPr="00283806">
        <w:rPr>
          <w:spacing w:val="-10"/>
          <w:w w:val="105"/>
        </w:rPr>
        <w:t xml:space="preserve"> </w:t>
      </w:r>
      <w:r w:rsidRPr="00283806">
        <w:rPr>
          <w:w w:val="105"/>
        </w:rPr>
        <w:t xml:space="preserve">or </w:t>
      </w:r>
      <w:r w:rsidRPr="00283806">
        <w:rPr>
          <w:spacing w:val="-2"/>
          <w:w w:val="105"/>
        </w:rPr>
        <w:t>distributed.</w:t>
      </w:r>
    </w:p>
    <w:p w14:paraId="7E65C5FC" w14:textId="77777777" w:rsidR="00D67C1E" w:rsidRPr="00283806" w:rsidRDefault="001265CA">
      <w:pPr>
        <w:pStyle w:val="BodyText"/>
        <w:spacing w:line="179" w:lineRule="exact"/>
        <w:ind w:left="323"/>
      </w:pPr>
      <w:r w:rsidRPr="00283806">
        <w:rPr>
          <w:w w:val="105"/>
        </w:rPr>
        <w:t>(2)</w:t>
      </w:r>
      <w:r w:rsidRPr="00283806">
        <w:rPr>
          <w:spacing w:val="2"/>
          <w:w w:val="105"/>
        </w:rPr>
        <w:t xml:space="preserve"> </w:t>
      </w:r>
      <w:r w:rsidRPr="00283806">
        <w:rPr>
          <w:w w:val="105"/>
        </w:rPr>
        <w:t>Reclaimers,</w:t>
      </w:r>
      <w:r w:rsidRPr="00283806">
        <w:rPr>
          <w:spacing w:val="3"/>
          <w:w w:val="105"/>
        </w:rPr>
        <w:t xml:space="preserve"> </w:t>
      </w:r>
      <w:r w:rsidRPr="00283806">
        <w:rPr>
          <w:w w:val="105"/>
        </w:rPr>
        <w:t>distributors,</w:t>
      </w:r>
      <w:r w:rsidRPr="00283806">
        <w:rPr>
          <w:spacing w:val="3"/>
          <w:w w:val="105"/>
        </w:rPr>
        <w:t xml:space="preserve"> </w:t>
      </w:r>
      <w:r w:rsidRPr="00283806">
        <w:rPr>
          <w:spacing w:val="-5"/>
          <w:w w:val="105"/>
        </w:rPr>
        <w:t>and</w:t>
      </w:r>
    </w:p>
    <w:p w14:paraId="21695401" w14:textId="77777777" w:rsidR="00D67C1E" w:rsidRPr="00283806" w:rsidRDefault="001265CA">
      <w:pPr>
        <w:pStyle w:val="BodyText"/>
        <w:spacing w:before="4" w:line="225" w:lineRule="auto"/>
        <w:ind w:left="143" w:right="60"/>
      </w:pPr>
      <w:r w:rsidRPr="00283806">
        <w:rPr>
          <w:w w:val="110"/>
        </w:rPr>
        <w:t>wholesalers of reclaimed refrigerants that contain regulated substances that are</w:t>
      </w:r>
      <w:r w:rsidRPr="00283806">
        <w:rPr>
          <w:spacing w:val="-7"/>
          <w:w w:val="110"/>
        </w:rPr>
        <w:t xml:space="preserve"> </w:t>
      </w:r>
      <w:r w:rsidRPr="00283806">
        <w:rPr>
          <w:w w:val="110"/>
        </w:rPr>
        <w:t>sold</w:t>
      </w:r>
      <w:r w:rsidRPr="00283806">
        <w:rPr>
          <w:spacing w:val="-7"/>
          <w:w w:val="110"/>
        </w:rPr>
        <w:t xml:space="preserve"> </w:t>
      </w:r>
      <w:r w:rsidRPr="00283806">
        <w:rPr>
          <w:w w:val="110"/>
        </w:rPr>
        <w:t>or</w:t>
      </w:r>
      <w:r w:rsidRPr="00283806">
        <w:rPr>
          <w:spacing w:val="-7"/>
          <w:w w:val="110"/>
        </w:rPr>
        <w:t xml:space="preserve"> </w:t>
      </w:r>
      <w:r w:rsidRPr="00283806">
        <w:rPr>
          <w:w w:val="110"/>
        </w:rPr>
        <w:t>distributed</w:t>
      </w:r>
      <w:r w:rsidRPr="00283806">
        <w:rPr>
          <w:spacing w:val="-7"/>
          <w:w w:val="110"/>
        </w:rPr>
        <w:t xml:space="preserve"> </w:t>
      </w:r>
      <w:r w:rsidRPr="00283806">
        <w:rPr>
          <w:w w:val="110"/>
        </w:rPr>
        <w:t>for</w:t>
      </w:r>
      <w:r w:rsidRPr="00283806">
        <w:rPr>
          <w:spacing w:val="-7"/>
          <w:w w:val="110"/>
        </w:rPr>
        <w:t xml:space="preserve"> </w:t>
      </w:r>
      <w:r w:rsidRPr="00283806">
        <w:rPr>
          <w:w w:val="110"/>
        </w:rPr>
        <w:t>the</w:t>
      </w:r>
      <w:r w:rsidRPr="00283806">
        <w:rPr>
          <w:spacing w:val="-7"/>
          <w:w w:val="110"/>
        </w:rPr>
        <w:t xml:space="preserve"> </w:t>
      </w:r>
      <w:r w:rsidRPr="00283806">
        <w:rPr>
          <w:w w:val="110"/>
        </w:rPr>
        <w:t xml:space="preserve">intended purpose of servicing and/or repair of </w:t>
      </w:r>
      <w:r w:rsidRPr="00283806">
        <w:t>refrigerant-containing equipment in the</w:t>
      </w:r>
      <w:r w:rsidRPr="00283806">
        <w:rPr>
          <w:spacing w:val="40"/>
        </w:rPr>
        <w:t xml:space="preserve"> </w:t>
      </w:r>
      <w:r w:rsidRPr="00283806">
        <w:t>subsectors listed in paragraph (e) of this</w:t>
      </w:r>
      <w:r w:rsidRPr="00283806">
        <w:rPr>
          <w:w w:val="110"/>
        </w:rPr>
        <w:t xml:space="preserve"> section must submit a report to EPA electronically, using the Agency’s applicable reporting platform, by February 14, 2028, covering activity</w:t>
      </w:r>
    </w:p>
    <w:p w14:paraId="60C85CCA" w14:textId="77777777" w:rsidR="00D67C1E" w:rsidRPr="00283806" w:rsidRDefault="001265CA">
      <w:pPr>
        <w:pStyle w:val="BodyText"/>
        <w:spacing w:line="225" w:lineRule="auto"/>
        <w:ind w:left="143"/>
      </w:pPr>
      <w:r w:rsidRPr="00283806">
        <w:rPr>
          <w:w w:val="105"/>
        </w:rPr>
        <w:t xml:space="preserve">from January 1 through December 31, 2027 and containing the following information: name and address of the company; contact person, email address, and phone number of the responsible party; the quantity of reclaimed refrigerant containing regulated substance(s) by the name and mass of reclaimed refrigerant(s); and indication of the specific subsector(s) where the reclaimed refrigerant(s) containing regulated substance(s) are sold or </w:t>
      </w:r>
      <w:r w:rsidRPr="00283806">
        <w:rPr>
          <w:spacing w:val="-2"/>
          <w:w w:val="105"/>
        </w:rPr>
        <w:t>distributed.</w:t>
      </w:r>
    </w:p>
    <w:p w14:paraId="019C9498" w14:textId="77777777" w:rsidR="00D67C1E" w:rsidRPr="00283806" w:rsidRDefault="001265CA">
      <w:pPr>
        <w:spacing w:before="122"/>
        <w:ind w:left="142"/>
        <w:rPr>
          <w:rFonts w:ascii="Arial" w:hAnsi="Arial"/>
          <w:b/>
          <w:sz w:val="16"/>
        </w:rPr>
      </w:pPr>
      <w:r w:rsidRPr="00283806">
        <w:rPr>
          <w:rFonts w:ascii="Arial" w:hAnsi="Arial"/>
          <w:b/>
          <w:sz w:val="16"/>
        </w:rPr>
        <w:t>§</w:t>
      </w:r>
      <w:r w:rsidRPr="00283806">
        <w:rPr>
          <w:rFonts w:ascii="Arial" w:hAnsi="Arial"/>
          <w:b/>
          <w:spacing w:val="-19"/>
          <w:sz w:val="16"/>
        </w:rPr>
        <w:t xml:space="preserve"> </w:t>
      </w:r>
      <w:r w:rsidRPr="00283806">
        <w:rPr>
          <w:rFonts w:ascii="Arial" w:hAnsi="Arial"/>
          <w:b/>
          <w:sz w:val="16"/>
        </w:rPr>
        <w:t>84.114</w:t>
      </w:r>
      <w:r w:rsidRPr="00283806">
        <w:rPr>
          <w:rFonts w:ascii="Arial" w:hAnsi="Arial"/>
          <w:b/>
          <w:spacing w:val="32"/>
          <w:sz w:val="16"/>
        </w:rPr>
        <w:t xml:space="preserve">  </w:t>
      </w:r>
      <w:r w:rsidRPr="00283806">
        <w:rPr>
          <w:rFonts w:ascii="Arial" w:hAnsi="Arial"/>
          <w:b/>
          <w:spacing w:val="-2"/>
          <w:sz w:val="16"/>
        </w:rPr>
        <w:t>Exemptions.</w:t>
      </w:r>
    </w:p>
    <w:p w14:paraId="6EFD2B36" w14:textId="77777777" w:rsidR="00D67C1E" w:rsidRPr="00283806" w:rsidRDefault="001265CA">
      <w:pPr>
        <w:pStyle w:val="ListParagraph"/>
        <w:numPr>
          <w:ilvl w:val="0"/>
          <w:numId w:val="14"/>
        </w:numPr>
        <w:tabs>
          <w:tab w:val="left" w:pos="580"/>
        </w:tabs>
        <w:spacing w:before="29" w:line="225" w:lineRule="auto"/>
        <w:ind w:right="79" w:firstLine="180"/>
        <w:rPr>
          <w:sz w:val="18"/>
        </w:rPr>
      </w:pPr>
      <w:r w:rsidRPr="00283806">
        <w:rPr>
          <w:w w:val="105"/>
          <w:sz w:val="18"/>
        </w:rPr>
        <w:t>Notwithstanding the other provisions of this subpart, the regulations under this subpart do not apply to a regulated substance or a substitute</w:t>
      </w:r>
      <w:r w:rsidRPr="00283806">
        <w:rPr>
          <w:spacing w:val="-3"/>
          <w:w w:val="105"/>
          <w:sz w:val="18"/>
        </w:rPr>
        <w:t xml:space="preserve"> </w:t>
      </w:r>
      <w:r w:rsidRPr="00283806">
        <w:rPr>
          <w:w w:val="105"/>
          <w:sz w:val="18"/>
        </w:rPr>
        <w:t>for</w:t>
      </w:r>
      <w:r w:rsidRPr="00283806">
        <w:rPr>
          <w:spacing w:val="-3"/>
          <w:w w:val="105"/>
          <w:sz w:val="18"/>
        </w:rPr>
        <w:t xml:space="preserve"> </w:t>
      </w:r>
      <w:r w:rsidRPr="00283806">
        <w:rPr>
          <w:w w:val="105"/>
          <w:sz w:val="18"/>
        </w:rPr>
        <w:t>a</w:t>
      </w:r>
      <w:r w:rsidRPr="00283806">
        <w:rPr>
          <w:spacing w:val="-3"/>
          <w:w w:val="105"/>
          <w:sz w:val="18"/>
        </w:rPr>
        <w:t xml:space="preserve"> </w:t>
      </w:r>
      <w:r w:rsidRPr="00283806">
        <w:rPr>
          <w:w w:val="105"/>
          <w:sz w:val="18"/>
        </w:rPr>
        <w:t>regulated</w:t>
      </w:r>
      <w:r w:rsidRPr="00283806">
        <w:rPr>
          <w:spacing w:val="-3"/>
          <w:w w:val="105"/>
          <w:sz w:val="18"/>
        </w:rPr>
        <w:t xml:space="preserve"> </w:t>
      </w:r>
      <w:r w:rsidRPr="00283806">
        <w:rPr>
          <w:w w:val="105"/>
          <w:sz w:val="18"/>
        </w:rPr>
        <w:t>substance</w:t>
      </w:r>
      <w:r w:rsidRPr="00283806">
        <w:rPr>
          <w:spacing w:val="-3"/>
          <w:w w:val="105"/>
          <w:sz w:val="18"/>
        </w:rPr>
        <w:t xml:space="preserve"> </w:t>
      </w:r>
      <w:r w:rsidRPr="00283806">
        <w:rPr>
          <w:w w:val="105"/>
          <w:sz w:val="18"/>
        </w:rPr>
        <w:t>that is contained in a foam.</w:t>
      </w:r>
    </w:p>
    <w:p w14:paraId="016FA5F7" w14:textId="77777777" w:rsidR="00D67C1E" w:rsidRPr="00283806" w:rsidRDefault="001265CA">
      <w:pPr>
        <w:pStyle w:val="ListParagraph"/>
        <w:numPr>
          <w:ilvl w:val="0"/>
          <w:numId w:val="14"/>
        </w:numPr>
        <w:tabs>
          <w:tab w:val="left" w:pos="590"/>
        </w:tabs>
        <w:spacing w:line="178" w:lineRule="exact"/>
        <w:ind w:left="590" w:hanging="268"/>
        <w:rPr>
          <w:sz w:val="18"/>
        </w:rPr>
      </w:pPr>
      <w:r w:rsidRPr="00283806">
        <w:rPr>
          <w:w w:val="105"/>
          <w:sz w:val="18"/>
        </w:rPr>
        <w:t>Notwithstanding</w:t>
      </w:r>
      <w:r w:rsidRPr="00283806">
        <w:rPr>
          <w:spacing w:val="18"/>
          <w:w w:val="105"/>
          <w:sz w:val="18"/>
        </w:rPr>
        <w:t xml:space="preserve"> </w:t>
      </w:r>
      <w:r w:rsidRPr="00283806">
        <w:rPr>
          <w:w w:val="105"/>
          <w:sz w:val="18"/>
        </w:rPr>
        <w:t>the</w:t>
      </w:r>
      <w:r w:rsidRPr="00283806">
        <w:rPr>
          <w:spacing w:val="19"/>
          <w:w w:val="105"/>
          <w:sz w:val="18"/>
        </w:rPr>
        <w:t xml:space="preserve"> </w:t>
      </w:r>
      <w:r w:rsidRPr="00283806">
        <w:rPr>
          <w:spacing w:val="-2"/>
          <w:w w:val="105"/>
          <w:sz w:val="18"/>
        </w:rPr>
        <w:t>other</w:t>
      </w:r>
    </w:p>
    <w:p w14:paraId="333EB099" w14:textId="77777777" w:rsidR="00D67C1E" w:rsidRPr="00283806" w:rsidRDefault="001265CA">
      <w:pPr>
        <w:pStyle w:val="BodyText"/>
        <w:spacing w:before="4" w:line="225" w:lineRule="auto"/>
        <w:ind w:left="142" w:right="71"/>
      </w:pPr>
      <w:r w:rsidRPr="00283806">
        <w:rPr>
          <w:w w:val="105"/>
        </w:rPr>
        <w:t xml:space="preserve">provisions of this subpart, the regulations under this subpart do not apply to two applications, mission- critical military end uses and </w:t>
      </w:r>
      <w:proofErr w:type="gramStart"/>
      <w:r w:rsidRPr="00283806">
        <w:rPr>
          <w:w w:val="105"/>
        </w:rPr>
        <w:t>on board</w:t>
      </w:r>
      <w:proofErr w:type="gramEnd"/>
      <w:r w:rsidRPr="00283806">
        <w:rPr>
          <w:w w:val="105"/>
        </w:rPr>
        <w:t xml:space="preserve"> aerospace</w:t>
      </w:r>
      <w:r w:rsidRPr="00283806">
        <w:rPr>
          <w:spacing w:val="10"/>
          <w:w w:val="105"/>
        </w:rPr>
        <w:t xml:space="preserve"> </w:t>
      </w:r>
      <w:r w:rsidRPr="00283806">
        <w:rPr>
          <w:w w:val="105"/>
        </w:rPr>
        <w:t>fire</w:t>
      </w:r>
      <w:r w:rsidRPr="00283806">
        <w:rPr>
          <w:spacing w:val="10"/>
          <w:w w:val="105"/>
        </w:rPr>
        <w:t xml:space="preserve"> </w:t>
      </w:r>
      <w:r w:rsidRPr="00283806">
        <w:rPr>
          <w:w w:val="105"/>
        </w:rPr>
        <w:t>suppression,</w:t>
      </w:r>
      <w:r w:rsidRPr="00283806">
        <w:rPr>
          <w:spacing w:val="11"/>
          <w:w w:val="105"/>
        </w:rPr>
        <w:t xml:space="preserve"> </w:t>
      </w:r>
      <w:r w:rsidRPr="00283806">
        <w:rPr>
          <w:w w:val="105"/>
        </w:rPr>
        <w:t>as</w:t>
      </w:r>
      <w:r w:rsidRPr="00283806">
        <w:rPr>
          <w:spacing w:val="10"/>
          <w:w w:val="105"/>
        </w:rPr>
        <w:t xml:space="preserve"> </w:t>
      </w:r>
      <w:r w:rsidRPr="00283806">
        <w:rPr>
          <w:w w:val="105"/>
        </w:rPr>
        <w:t>listed</w:t>
      </w:r>
      <w:r w:rsidRPr="00283806">
        <w:rPr>
          <w:spacing w:val="10"/>
          <w:w w:val="105"/>
        </w:rPr>
        <w:t xml:space="preserve"> </w:t>
      </w:r>
      <w:r w:rsidRPr="00283806">
        <w:rPr>
          <w:spacing w:val="-5"/>
          <w:w w:val="105"/>
        </w:rPr>
        <w:t>at</w:t>
      </w:r>
    </w:p>
    <w:p w14:paraId="0709BC72" w14:textId="77777777" w:rsidR="00D67C1E" w:rsidRPr="00283806" w:rsidRDefault="001265CA">
      <w:pPr>
        <w:pStyle w:val="BodyText"/>
        <w:spacing w:line="225" w:lineRule="auto"/>
        <w:ind w:left="142"/>
      </w:pPr>
      <w:r w:rsidRPr="00283806">
        <w:rPr>
          <w:w w:val="105"/>
        </w:rPr>
        <w:t>§</w:t>
      </w:r>
      <w:r w:rsidRPr="00283806">
        <w:rPr>
          <w:spacing w:val="-7"/>
          <w:w w:val="105"/>
        </w:rPr>
        <w:t xml:space="preserve"> </w:t>
      </w:r>
      <w:r w:rsidRPr="00283806">
        <w:rPr>
          <w:w w:val="105"/>
        </w:rPr>
        <w:t>84.13(a), for a year or years for which that application receives an application- specific allowance as defined at § 84.3.</w:t>
      </w:r>
    </w:p>
    <w:p w14:paraId="1B8F1EBF" w14:textId="77777777" w:rsidR="00D67C1E" w:rsidRPr="00283806" w:rsidRDefault="001265CA">
      <w:pPr>
        <w:spacing w:before="130" w:line="232" w:lineRule="auto"/>
        <w:ind w:left="142"/>
        <w:rPr>
          <w:rFonts w:ascii="Arial" w:hAnsi="Arial"/>
          <w:b/>
          <w:sz w:val="16"/>
        </w:rPr>
      </w:pPr>
      <w:r w:rsidRPr="00283806">
        <w:rPr>
          <w:rFonts w:ascii="Arial" w:hAnsi="Arial"/>
          <w:b/>
          <w:sz w:val="16"/>
        </w:rPr>
        <w:t>§</w:t>
      </w:r>
      <w:r w:rsidRPr="00283806">
        <w:rPr>
          <w:rFonts w:ascii="Arial" w:hAnsi="Arial"/>
          <w:b/>
          <w:spacing w:val="-19"/>
          <w:sz w:val="16"/>
        </w:rPr>
        <w:t xml:space="preserve"> </w:t>
      </w:r>
      <w:r w:rsidRPr="00283806">
        <w:rPr>
          <w:rFonts w:ascii="Arial" w:hAnsi="Arial"/>
          <w:b/>
          <w:sz w:val="16"/>
        </w:rPr>
        <w:t>84.116</w:t>
      </w:r>
      <w:r w:rsidRPr="00283806">
        <w:rPr>
          <w:rFonts w:ascii="Arial" w:hAnsi="Arial"/>
          <w:b/>
          <w:spacing w:val="80"/>
          <w:sz w:val="16"/>
        </w:rPr>
        <w:t xml:space="preserve"> </w:t>
      </w:r>
      <w:r w:rsidRPr="00283806">
        <w:rPr>
          <w:rFonts w:ascii="Arial" w:hAnsi="Arial"/>
          <w:b/>
          <w:sz w:val="16"/>
        </w:rPr>
        <w:t>Requirements</w:t>
      </w:r>
      <w:r w:rsidRPr="00283806">
        <w:rPr>
          <w:rFonts w:ascii="Arial" w:hAnsi="Arial"/>
          <w:b/>
          <w:spacing w:val="-7"/>
          <w:sz w:val="16"/>
        </w:rPr>
        <w:t xml:space="preserve"> </w:t>
      </w:r>
      <w:r w:rsidRPr="00283806">
        <w:rPr>
          <w:rFonts w:ascii="Arial" w:hAnsi="Arial"/>
          <w:b/>
          <w:sz w:val="16"/>
        </w:rPr>
        <w:t>for</w:t>
      </w:r>
      <w:r w:rsidRPr="00283806">
        <w:rPr>
          <w:rFonts w:ascii="Arial" w:hAnsi="Arial"/>
          <w:b/>
          <w:spacing w:val="-7"/>
          <w:sz w:val="16"/>
        </w:rPr>
        <w:t xml:space="preserve"> </w:t>
      </w:r>
      <w:r w:rsidRPr="00283806">
        <w:rPr>
          <w:rFonts w:ascii="Arial" w:hAnsi="Arial"/>
          <w:b/>
          <w:sz w:val="16"/>
        </w:rPr>
        <w:t xml:space="preserve">disposable </w:t>
      </w:r>
      <w:r w:rsidRPr="00283806">
        <w:rPr>
          <w:rFonts w:ascii="Arial" w:hAnsi="Arial"/>
          <w:b/>
          <w:spacing w:val="-2"/>
          <w:sz w:val="16"/>
        </w:rPr>
        <w:t>cylinders.</w:t>
      </w:r>
    </w:p>
    <w:p w14:paraId="5C9B3F7E" w14:textId="77777777" w:rsidR="00D67C1E" w:rsidRPr="00283806" w:rsidRDefault="001265CA">
      <w:pPr>
        <w:pStyle w:val="BodyText"/>
        <w:spacing w:before="30" w:line="225" w:lineRule="auto"/>
        <w:ind w:left="142" w:right="9" w:firstLine="180"/>
      </w:pPr>
      <w:r w:rsidRPr="00283806">
        <w:rPr>
          <w:w w:val="105"/>
        </w:rPr>
        <w:t>(a) As of January 1, 2028, any person who uses a disposable cylinder must</w:t>
      </w:r>
      <w:r w:rsidRPr="00283806">
        <w:rPr>
          <w:spacing w:val="40"/>
          <w:w w:val="105"/>
        </w:rPr>
        <w:t xml:space="preserve"> </w:t>
      </w:r>
      <w:r w:rsidRPr="00283806">
        <w:rPr>
          <w:w w:val="105"/>
        </w:rPr>
        <w:t>send such disposable cylinder for</w:t>
      </w:r>
      <w:r w:rsidRPr="00283806">
        <w:rPr>
          <w:spacing w:val="80"/>
          <w:w w:val="150"/>
        </w:rPr>
        <w:t xml:space="preserve"> </w:t>
      </w:r>
      <w:r w:rsidRPr="00283806">
        <w:rPr>
          <w:w w:val="105"/>
        </w:rPr>
        <w:t>further processing to remove the heel, as described in paragraphs (b) and (c) of this section, when:</w:t>
      </w:r>
    </w:p>
    <w:p w14:paraId="4ADFAC83" w14:textId="77777777" w:rsidR="00D67C1E" w:rsidRPr="00283806" w:rsidRDefault="001265CA">
      <w:pPr>
        <w:pStyle w:val="ListParagraph"/>
        <w:numPr>
          <w:ilvl w:val="0"/>
          <w:numId w:val="13"/>
        </w:numPr>
        <w:tabs>
          <w:tab w:val="left" w:pos="590"/>
        </w:tabs>
        <w:spacing w:line="178" w:lineRule="exact"/>
        <w:ind w:left="590" w:hanging="268"/>
        <w:rPr>
          <w:sz w:val="18"/>
        </w:rPr>
      </w:pPr>
      <w:r w:rsidRPr="00283806">
        <w:rPr>
          <w:w w:val="105"/>
          <w:sz w:val="18"/>
        </w:rPr>
        <w:t>The</w:t>
      </w:r>
      <w:r w:rsidRPr="00283806">
        <w:rPr>
          <w:spacing w:val="20"/>
          <w:w w:val="105"/>
          <w:sz w:val="18"/>
        </w:rPr>
        <w:t xml:space="preserve"> </w:t>
      </w:r>
      <w:r w:rsidRPr="00283806">
        <w:rPr>
          <w:w w:val="105"/>
          <w:sz w:val="18"/>
        </w:rPr>
        <w:t>disposable</w:t>
      </w:r>
      <w:r w:rsidRPr="00283806">
        <w:rPr>
          <w:spacing w:val="21"/>
          <w:w w:val="105"/>
          <w:sz w:val="18"/>
        </w:rPr>
        <w:t xml:space="preserve"> </w:t>
      </w:r>
      <w:r w:rsidRPr="00283806">
        <w:rPr>
          <w:w w:val="105"/>
          <w:sz w:val="18"/>
        </w:rPr>
        <w:t>cylinder</w:t>
      </w:r>
      <w:r w:rsidRPr="00283806">
        <w:rPr>
          <w:spacing w:val="21"/>
          <w:w w:val="105"/>
          <w:sz w:val="18"/>
        </w:rPr>
        <w:t xml:space="preserve"> </w:t>
      </w:r>
      <w:r w:rsidRPr="00283806">
        <w:rPr>
          <w:w w:val="105"/>
          <w:sz w:val="18"/>
        </w:rPr>
        <w:t>contains</w:t>
      </w:r>
      <w:r w:rsidRPr="00283806">
        <w:rPr>
          <w:spacing w:val="21"/>
          <w:w w:val="105"/>
          <w:sz w:val="18"/>
        </w:rPr>
        <w:t xml:space="preserve"> </w:t>
      </w:r>
      <w:r w:rsidRPr="00283806">
        <w:rPr>
          <w:spacing w:val="-10"/>
          <w:w w:val="105"/>
          <w:sz w:val="18"/>
        </w:rPr>
        <w:t>a</w:t>
      </w:r>
    </w:p>
    <w:p w14:paraId="01E9F6C2" w14:textId="77777777" w:rsidR="00D67C1E" w:rsidRPr="00283806" w:rsidRDefault="001265CA">
      <w:pPr>
        <w:pStyle w:val="BodyText"/>
        <w:spacing w:line="191" w:lineRule="exact"/>
        <w:ind w:left="142"/>
      </w:pPr>
      <w:r w:rsidRPr="00283806">
        <w:rPr>
          <w:w w:val="105"/>
        </w:rPr>
        <w:t>regulated</w:t>
      </w:r>
      <w:r w:rsidRPr="00283806">
        <w:rPr>
          <w:spacing w:val="-1"/>
          <w:w w:val="105"/>
        </w:rPr>
        <w:t xml:space="preserve"> </w:t>
      </w:r>
      <w:r w:rsidRPr="00283806">
        <w:rPr>
          <w:spacing w:val="-2"/>
          <w:w w:val="105"/>
        </w:rPr>
        <w:t>substance(s);</w:t>
      </w:r>
    </w:p>
    <w:p w14:paraId="07AC29CD" w14:textId="77777777" w:rsidR="00D67C1E" w:rsidRPr="00283806" w:rsidRDefault="001265CA">
      <w:pPr>
        <w:pStyle w:val="ListParagraph"/>
        <w:numPr>
          <w:ilvl w:val="0"/>
          <w:numId w:val="13"/>
        </w:numPr>
        <w:tabs>
          <w:tab w:val="left" w:pos="590"/>
        </w:tabs>
        <w:spacing w:line="225" w:lineRule="auto"/>
        <w:ind w:left="142" w:right="20" w:firstLine="180"/>
        <w:rPr>
          <w:sz w:val="18"/>
        </w:rPr>
      </w:pPr>
      <w:r w:rsidRPr="00283806">
        <w:rPr>
          <w:w w:val="105"/>
          <w:sz w:val="18"/>
        </w:rPr>
        <w:t>The disposable cylinder was used</w:t>
      </w:r>
      <w:r w:rsidRPr="00283806">
        <w:rPr>
          <w:spacing w:val="40"/>
          <w:w w:val="105"/>
          <w:sz w:val="18"/>
        </w:rPr>
        <w:t xml:space="preserve"> </w:t>
      </w:r>
      <w:r w:rsidRPr="00283806">
        <w:rPr>
          <w:w w:val="105"/>
          <w:sz w:val="18"/>
        </w:rPr>
        <w:t>in the servicing, repair, or installation of refrigerant-containing equipment or fire suppression equipment; and</w:t>
      </w:r>
    </w:p>
    <w:p w14:paraId="72CC4F3A" w14:textId="77777777" w:rsidR="00D67C1E" w:rsidRPr="00283806" w:rsidRDefault="001265CA">
      <w:pPr>
        <w:pStyle w:val="ListParagraph"/>
        <w:numPr>
          <w:ilvl w:val="0"/>
          <w:numId w:val="13"/>
        </w:numPr>
        <w:tabs>
          <w:tab w:val="left" w:pos="590"/>
        </w:tabs>
        <w:spacing w:line="179" w:lineRule="exact"/>
        <w:ind w:left="590" w:hanging="268"/>
        <w:rPr>
          <w:sz w:val="18"/>
        </w:rPr>
      </w:pPr>
      <w:r w:rsidRPr="00283806">
        <w:rPr>
          <w:w w:val="105"/>
          <w:sz w:val="18"/>
        </w:rPr>
        <w:t>The</w:t>
      </w:r>
      <w:r w:rsidRPr="00283806">
        <w:rPr>
          <w:spacing w:val="9"/>
          <w:w w:val="105"/>
          <w:sz w:val="18"/>
        </w:rPr>
        <w:t xml:space="preserve"> </w:t>
      </w:r>
      <w:r w:rsidRPr="00283806">
        <w:rPr>
          <w:w w:val="105"/>
          <w:sz w:val="18"/>
        </w:rPr>
        <w:t>person</w:t>
      </w:r>
      <w:r w:rsidRPr="00283806">
        <w:rPr>
          <w:spacing w:val="9"/>
          <w:w w:val="105"/>
          <w:sz w:val="18"/>
        </w:rPr>
        <w:t xml:space="preserve"> </w:t>
      </w:r>
      <w:r w:rsidRPr="00283806">
        <w:rPr>
          <w:w w:val="105"/>
          <w:sz w:val="18"/>
        </w:rPr>
        <w:t>does</w:t>
      </w:r>
      <w:r w:rsidRPr="00283806">
        <w:rPr>
          <w:spacing w:val="9"/>
          <w:w w:val="105"/>
          <w:sz w:val="18"/>
        </w:rPr>
        <w:t xml:space="preserve"> </w:t>
      </w:r>
      <w:r w:rsidRPr="00283806">
        <w:rPr>
          <w:w w:val="105"/>
          <w:sz w:val="18"/>
        </w:rPr>
        <w:t>not</w:t>
      </w:r>
      <w:r w:rsidRPr="00283806">
        <w:rPr>
          <w:spacing w:val="10"/>
          <w:w w:val="105"/>
          <w:sz w:val="18"/>
        </w:rPr>
        <w:t xml:space="preserve"> </w:t>
      </w:r>
      <w:r w:rsidRPr="00283806">
        <w:rPr>
          <w:w w:val="105"/>
          <w:sz w:val="18"/>
        </w:rPr>
        <w:t>intend</w:t>
      </w:r>
      <w:r w:rsidRPr="00283806">
        <w:rPr>
          <w:spacing w:val="9"/>
          <w:w w:val="105"/>
          <w:sz w:val="18"/>
        </w:rPr>
        <w:t xml:space="preserve"> </w:t>
      </w:r>
      <w:r w:rsidRPr="00283806">
        <w:rPr>
          <w:w w:val="105"/>
          <w:sz w:val="18"/>
        </w:rPr>
        <w:t>to</w:t>
      </w:r>
      <w:r w:rsidRPr="00283806">
        <w:rPr>
          <w:spacing w:val="9"/>
          <w:w w:val="105"/>
          <w:sz w:val="18"/>
        </w:rPr>
        <w:t xml:space="preserve"> </w:t>
      </w:r>
      <w:r w:rsidRPr="00283806">
        <w:rPr>
          <w:spacing w:val="-5"/>
          <w:w w:val="105"/>
          <w:sz w:val="18"/>
        </w:rPr>
        <w:t>use</w:t>
      </w:r>
    </w:p>
    <w:p w14:paraId="230845EB" w14:textId="77777777" w:rsidR="00D67C1E" w:rsidRPr="00283806" w:rsidRDefault="001265CA">
      <w:pPr>
        <w:pStyle w:val="BodyText"/>
        <w:spacing w:before="1" w:line="225" w:lineRule="auto"/>
        <w:ind w:left="142" w:right="67"/>
      </w:pPr>
      <w:r w:rsidRPr="00283806">
        <w:rPr>
          <w:w w:val="105"/>
        </w:rPr>
        <w:t>the disposable cylinder in future servicing, repair, or installation of refrigerant-containing</w:t>
      </w:r>
      <w:r w:rsidRPr="00283806">
        <w:rPr>
          <w:spacing w:val="-4"/>
          <w:w w:val="105"/>
        </w:rPr>
        <w:t xml:space="preserve"> </w:t>
      </w:r>
      <w:r w:rsidRPr="00283806">
        <w:rPr>
          <w:w w:val="105"/>
        </w:rPr>
        <w:t>equipment</w:t>
      </w:r>
      <w:r w:rsidRPr="00283806">
        <w:rPr>
          <w:spacing w:val="-4"/>
          <w:w w:val="105"/>
        </w:rPr>
        <w:t xml:space="preserve"> </w:t>
      </w:r>
      <w:r w:rsidRPr="00283806">
        <w:rPr>
          <w:w w:val="105"/>
        </w:rPr>
        <w:t>or</w:t>
      </w:r>
      <w:r w:rsidRPr="00283806">
        <w:rPr>
          <w:spacing w:val="-4"/>
          <w:w w:val="105"/>
        </w:rPr>
        <w:t xml:space="preserve"> </w:t>
      </w:r>
      <w:r w:rsidRPr="00283806">
        <w:rPr>
          <w:w w:val="105"/>
        </w:rPr>
        <w:t>fire suppression equipment.</w:t>
      </w:r>
    </w:p>
    <w:p w14:paraId="0F6F1B9F" w14:textId="77777777" w:rsidR="00D67C1E" w:rsidRPr="00283806" w:rsidRDefault="001265CA">
      <w:pPr>
        <w:pStyle w:val="ListParagraph"/>
        <w:numPr>
          <w:ilvl w:val="0"/>
          <w:numId w:val="12"/>
        </w:numPr>
        <w:tabs>
          <w:tab w:val="left" w:pos="590"/>
        </w:tabs>
        <w:spacing w:line="179" w:lineRule="exact"/>
        <w:ind w:left="590" w:hanging="268"/>
        <w:rPr>
          <w:sz w:val="18"/>
        </w:rPr>
      </w:pPr>
      <w:r w:rsidRPr="00283806">
        <w:rPr>
          <w:w w:val="105"/>
          <w:sz w:val="18"/>
        </w:rPr>
        <w:t>Except</w:t>
      </w:r>
      <w:r w:rsidRPr="00283806">
        <w:rPr>
          <w:spacing w:val="14"/>
          <w:w w:val="105"/>
          <w:sz w:val="18"/>
        </w:rPr>
        <w:t xml:space="preserve"> </w:t>
      </w:r>
      <w:r w:rsidRPr="00283806">
        <w:rPr>
          <w:w w:val="105"/>
          <w:sz w:val="18"/>
        </w:rPr>
        <w:t>as</w:t>
      </w:r>
      <w:r w:rsidRPr="00283806">
        <w:rPr>
          <w:spacing w:val="15"/>
          <w:w w:val="105"/>
          <w:sz w:val="18"/>
        </w:rPr>
        <w:t xml:space="preserve"> </w:t>
      </w:r>
      <w:r w:rsidRPr="00283806">
        <w:rPr>
          <w:w w:val="105"/>
          <w:sz w:val="18"/>
        </w:rPr>
        <w:t>provided</w:t>
      </w:r>
      <w:r w:rsidRPr="00283806">
        <w:rPr>
          <w:spacing w:val="14"/>
          <w:w w:val="105"/>
          <w:sz w:val="18"/>
        </w:rPr>
        <w:t xml:space="preserve"> </w:t>
      </w:r>
      <w:r w:rsidRPr="00283806">
        <w:rPr>
          <w:w w:val="105"/>
          <w:sz w:val="18"/>
        </w:rPr>
        <w:t>in</w:t>
      </w:r>
      <w:r w:rsidRPr="00283806">
        <w:rPr>
          <w:spacing w:val="14"/>
          <w:w w:val="105"/>
          <w:sz w:val="18"/>
        </w:rPr>
        <w:t xml:space="preserve"> </w:t>
      </w:r>
      <w:r w:rsidRPr="00283806">
        <w:rPr>
          <w:spacing w:val="-2"/>
          <w:w w:val="105"/>
          <w:sz w:val="18"/>
        </w:rPr>
        <w:t>paragraphs</w:t>
      </w:r>
    </w:p>
    <w:p w14:paraId="34834EAC" w14:textId="77777777" w:rsidR="00D67C1E" w:rsidRPr="00283806" w:rsidRDefault="001265CA">
      <w:pPr>
        <w:pStyle w:val="ListParagraph"/>
        <w:numPr>
          <w:ilvl w:val="0"/>
          <w:numId w:val="28"/>
        </w:numPr>
        <w:tabs>
          <w:tab w:val="left" w:pos="400"/>
        </w:tabs>
        <w:spacing w:before="4" w:line="225" w:lineRule="auto"/>
        <w:ind w:left="142" w:right="330" w:firstLine="0"/>
        <w:rPr>
          <w:sz w:val="18"/>
        </w:rPr>
      </w:pPr>
      <w:r w:rsidRPr="00283806">
        <w:rPr>
          <w:w w:val="105"/>
          <w:sz w:val="18"/>
        </w:rPr>
        <w:t xml:space="preserve">and (g) in this section, disposable cylinders that meet the criteria in </w:t>
      </w:r>
      <w:r w:rsidRPr="00283806">
        <w:rPr>
          <w:sz w:val="18"/>
        </w:rPr>
        <w:t>paragraphs (a)(1), (a)(2), and (a)(3) of</w:t>
      </w:r>
      <w:r w:rsidRPr="00283806">
        <w:rPr>
          <w:w w:val="105"/>
          <w:sz w:val="18"/>
        </w:rPr>
        <w:t xml:space="preserve"> this section must be sent to:</w:t>
      </w:r>
    </w:p>
    <w:p w14:paraId="2C6DE0E5" w14:textId="77777777" w:rsidR="00D67C1E" w:rsidRPr="00283806" w:rsidRDefault="001265CA">
      <w:pPr>
        <w:pStyle w:val="ListParagraph"/>
        <w:numPr>
          <w:ilvl w:val="1"/>
          <w:numId w:val="28"/>
        </w:numPr>
        <w:tabs>
          <w:tab w:val="left" w:pos="590"/>
        </w:tabs>
        <w:spacing w:line="182" w:lineRule="exact"/>
        <w:ind w:left="590" w:hanging="268"/>
        <w:rPr>
          <w:sz w:val="18"/>
        </w:rPr>
      </w:pPr>
      <w:r w:rsidRPr="00283806">
        <w:rPr>
          <w:sz w:val="18"/>
        </w:rPr>
        <w:t>A</w:t>
      </w:r>
      <w:r w:rsidRPr="00283806">
        <w:rPr>
          <w:spacing w:val="35"/>
          <w:sz w:val="18"/>
        </w:rPr>
        <w:t xml:space="preserve"> </w:t>
      </w:r>
      <w:r w:rsidRPr="00283806">
        <w:rPr>
          <w:sz w:val="18"/>
        </w:rPr>
        <w:t>reclaimer</w:t>
      </w:r>
      <w:r w:rsidRPr="00283806">
        <w:rPr>
          <w:spacing w:val="35"/>
          <w:sz w:val="18"/>
        </w:rPr>
        <w:t xml:space="preserve"> </w:t>
      </w:r>
      <w:r w:rsidRPr="00283806">
        <w:rPr>
          <w:sz w:val="18"/>
        </w:rPr>
        <w:t>certified</w:t>
      </w:r>
      <w:r w:rsidRPr="00283806">
        <w:rPr>
          <w:spacing w:val="35"/>
          <w:sz w:val="18"/>
        </w:rPr>
        <w:t xml:space="preserve"> </w:t>
      </w:r>
      <w:r w:rsidRPr="00283806">
        <w:rPr>
          <w:sz w:val="18"/>
        </w:rPr>
        <w:t>under</w:t>
      </w:r>
      <w:r w:rsidRPr="00283806">
        <w:rPr>
          <w:spacing w:val="35"/>
          <w:sz w:val="18"/>
        </w:rPr>
        <w:t xml:space="preserve"> </w:t>
      </w:r>
      <w:r w:rsidRPr="00283806">
        <w:rPr>
          <w:sz w:val="18"/>
        </w:rPr>
        <w:t>40</w:t>
      </w:r>
      <w:r w:rsidRPr="00283806">
        <w:rPr>
          <w:spacing w:val="35"/>
          <w:sz w:val="18"/>
        </w:rPr>
        <w:t xml:space="preserve"> </w:t>
      </w:r>
      <w:r w:rsidRPr="00283806">
        <w:rPr>
          <w:spacing w:val="-5"/>
          <w:sz w:val="18"/>
        </w:rPr>
        <w:t>CFR</w:t>
      </w:r>
    </w:p>
    <w:p w14:paraId="0E5984D1" w14:textId="77777777" w:rsidR="00D67C1E" w:rsidRPr="00283806" w:rsidRDefault="001265CA">
      <w:pPr>
        <w:pStyle w:val="BodyText"/>
        <w:spacing w:line="206" w:lineRule="exact"/>
        <w:ind w:left="142"/>
      </w:pPr>
      <w:r w:rsidRPr="00283806">
        <w:rPr>
          <w:spacing w:val="-2"/>
        </w:rPr>
        <w:t>82.164;</w:t>
      </w:r>
    </w:p>
    <w:p w14:paraId="1B48EE51" w14:textId="77777777" w:rsidR="00D67C1E" w:rsidRPr="00283806" w:rsidRDefault="001265CA">
      <w:pPr>
        <w:pStyle w:val="ListParagraph"/>
        <w:numPr>
          <w:ilvl w:val="1"/>
          <w:numId w:val="28"/>
        </w:numPr>
        <w:tabs>
          <w:tab w:val="left" w:pos="590"/>
        </w:tabs>
        <w:spacing w:before="134" w:line="228" w:lineRule="auto"/>
        <w:ind w:left="142" w:right="283" w:firstLine="180"/>
        <w:rPr>
          <w:sz w:val="18"/>
        </w:rPr>
      </w:pPr>
      <w:r w:rsidRPr="00283806">
        <w:br w:type="column"/>
      </w:r>
      <w:r w:rsidRPr="00283806">
        <w:rPr>
          <w:w w:val="110"/>
          <w:sz w:val="18"/>
        </w:rPr>
        <w:t>A</w:t>
      </w:r>
      <w:r w:rsidRPr="00283806">
        <w:rPr>
          <w:spacing w:val="-11"/>
          <w:w w:val="110"/>
          <w:sz w:val="18"/>
        </w:rPr>
        <w:t xml:space="preserve"> </w:t>
      </w:r>
      <w:r w:rsidRPr="00283806">
        <w:rPr>
          <w:w w:val="110"/>
          <w:sz w:val="18"/>
        </w:rPr>
        <w:t>fire</w:t>
      </w:r>
      <w:r w:rsidRPr="00283806">
        <w:rPr>
          <w:spacing w:val="-11"/>
          <w:w w:val="110"/>
          <w:sz w:val="18"/>
        </w:rPr>
        <w:t xml:space="preserve"> </w:t>
      </w:r>
      <w:r w:rsidRPr="00283806">
        <w:rPr>
          <w:w w:val="110"/>
          <w:sz w:val="18"/>
        </w:rPr>
        <w:t>suppressant</w:t>
      </w:r>
      <w:r w:rsidRPr="00283806">
        <w:rPr>
          <w:spacing w:val="-11"/>
          <w:w w:val="110"/>
          <w:sz w:val="18"/>
        </w:rPr>
        <w:t xml:space="preserve"> </w:t>
      </w:r>
      <w:r w:rsidRPr="00283806">
        <w:rPr>
          <w:w w:val="110"/>
          <w:sz w:val="18"/>
        </w:rPr>
        <w:t>recycler,</w:t>
      </w:r>
      <w:r w:rsidRPr="00283806">
        <w:rPr>
          <w:spacing w:val="-11"/>
          <w:w w:val="110"/>
          <w:sz w:val="18"/>
        </w:rPr>
        <w:t xml:space="preserve"> </w:t>
      </w:r>
      <w:r w:rsidRPr="00283806">
        <w:rPr>
          <w:w w:val="110"/>
          <w:sz w:val="18"/>
        </w:rPr>
        <w:t>if</w:t>
      </w:r>
      <w:r w:rsidRPr="00283806">
        <w:rPr>
          <w:spacing w:val="-11"/>
          <w:w w:val="110"/>
          <w:sz w:val="18"/>
        </w:rPr>
        <w:t xml:space="preserve"> </w:t>
      </w:r>
      <w:r w:rsidRPr="00283806">
        <w:rPr>
          <w:w w:val="110"/>
          <w:sz w:val="18"/>
        </w:rPr>
        <w:t>the disposable cylinder was used in the servicing,</w:t>
      </w:r>
      <w:r w:rsidRPr="00283806">
        <w:rPr>
          <w:spacing w:val="-8"/>
          <w:w w:val="110"/>
          <w:sz w:val="18"/>
        </w:rPr>
        <w:t xml:space="preserve"> </w:t>
      </w:r>
      <w:r w:rsidRPr="00283806">
        <w:rPr>
          <w:w w:val="110"/>
          <w:sz w:val="18"/>
        </w:rPr>
        <w:t>repair,</w:t>
      </w:r>
      <w:r w:rsidRPr="00283806">
        <w:rPr>
          <w:spacing w:val="-8"/>
          <w:w w:val="110"/>
          <w:sz w:val="18"/>
        </w:rPr>
        <w:t xml:space="preserve"> </w:t>
      </w:r>
      <w:r w:rsidRPr="00283806">
        <w:rPr>
          <w:w w:val="110"/>
          <w:sz w:val="18"/>
        </w:rPr>
        <w:t>or</w:t>
      </w:r>
      <w:r w:rsidRPr="00283806">
        <w:rPr>
          <w:spacing w:val="-8"/>
          <w:w w:val="110"/>
          <w:sz w:val="18"/>
        </w:rPr>
        <w:t xml:space="preserve"> </w:t>
      </w:r>
      <w:r w:rsidRPr="00283806">
        <w:rPr>
          <w:w w:val="110"/>
          <w:sz w:val="18"/>
        </w:rPr>
        <w:t>installation</w:t>
      </w:r>
      <w:r w:rsidRPr="00283806">
        <w:rPr>
          <w:spacing w:val="-8"/>
          <w:w w:val="110"/>
          <w:sz w:val="18"/>
        </w:rPr>
        <w:t xml:space="preserve"> </w:t>
      </w:r>
      <w:r w:rsidRPr="00283806">
        <w:rPr>
          <w:w w:val="110"/>
          <w:sz w:val="18"/>
        </w:rPr>
        <w:t>of</w:t>
      </w:r>
      <w:r w:rsidRPr="00283806">
        <w:rPr>
          <w:spacing w:val="-8"/>
          <w:w w:val="110"/>
          <w:sz w:val="18"/>
        </w:rPr>
        <w:t xml:space="preserve"> </w:t>
      </w:r>
      <w:r w:rsidRPr="00283806">
        <w:rPr>
          <w:w w:val="110"/>
          <w:sz w:val="18"/>
        </w:rPr>
        <w:t>fire suppression equipment;</w:t>
      </w:r>
    </w:p>
    <w:p w14:paraId="57EB493B" w14:textId="77777777" w:rsidR="00D67C1E" w:rsidRPr="00283806" w:rsidRDefault="001265CA">
      <w:pPr>
        <w:pStyle w:val="ListParagraph"/>
        <w:numPr>
          <w:ilvl w:val="1"/>
          <w:numId w:val="28"/>
        </w:numPr>
        <w:tabs>
          <w:tab w:val="left" w:pos="590"/>
        </w:tabs>
        <w:spacing w:line="179" w:lineRule="exact"/>
        <w:ind w:left="590" w:hanging="268"/>
        <w:rPr>
          <w:sz w:val="18"/>
        </w:rPr>
      </w:pPr>
      <w:r w:rsidRPr="00283806">
        <w:rPr>
          <w:w w:val="110"/>
          <w:sz w:val="18"/>
        </w:rPr>
        <w:t>A</w:t>
      </w:r>
      <w:r w:rsidRPr="00283806">
        <w:rPr>
          <w:spacing w:val="-3"/>
          <w:w w:val="110"/>
          <w:sz w:val="18"/>
        </w:rPr>
        <w:t xml:space="preserve"> </w:t>
      </w:r>
      <w:r w:rsidRPr="00283806">
        <w:rPr>
          <w:w w:val="110"/>
          <w:sz w:val="18"/>
        </w:rPr>
        <w:t>final</w:t>
      </w:r>
      <w:r w:rsidRPr="00283806">
        <w:rPr>
          <w:spacing w:val="-2"/>
          <w:w w:val="110"/>
          <w:sz w:val="18"/>
        </w:rPr>
        <w:t xml:space="preserve"> </w:t>
      </w:r>
      <w:r w:rsidRPr="00283806">
        <w:rPr>
          <w:w w:val="110"/>
          <w:sz w:val="18"/>
        </w:rPr>
        <w:t>processor,</w:t>
      </w:r>
      <w:r w:rsidRPr="00283806">
        <w:rPr>
          <w:spacing w:val="-3"/>
          <w:w w:val="110"/>
          <w:sz w:val="18"/>
        </w:rPr>
        <w:t xml:space="preserve"> </w:t>
      </w:r>
      <w:r w:rsidRPr="00283806">
        <w:rPr>
          <w:w w:val="110"/>
          <w:sz w:val="18"/>
        </w:rPr>
        <w:t>such</w:t>
      </w:r>
      <w:r w:rsidRPr="00283806">
        <w:rPr>
          <w:spacing w:val="-2"/>
          <w:w w:val="110"/>
          <w:sz w:val="18"/>
        </w:rPr>
        <w:t xml:space="preserve"> </w:t>
      </w:r>
      <w:r w:rsidRPr="00283806">
        <w:rPr>
          <w:w w:val="110"/>
          <w:sz w:val="18"/>
        </w:rPr>
        <w:t>as</w:t>
      </w:r>
      <w:r w:rsidRPr="00283806">
        <w:rPr>
          <w:spacing w:val="-3"/>
          <w:w w:val="110"/>
          <w:sz w:val="18"/>
        </w:rPr>
        <w:t xml:space="preserve"> </w:t>
      </w:r>
      <w:r w:rsidRPr="00283806">
        <w:rPr>
          <w:spacing w:val="-10"/>
          <w:w w:val="110"/>
          <w:sz w:val="18"/>
        </w:rPr>
        <w:t>a</w:t>
      </w:r>
    </w:p>
    <w:p w14:paraId="786531EC" w14:textId="77777777" w:rsidR="00D67C1E" w:rsidRPr="00283806" w:rsidRDefault="001265CA">
      <w:pPr>
        <w:pStyle w:val="BodyText"/>
        <w:spacing w:before="3" w:line="228" w:lineRule="auto"/>
        <w:ind w:left="142" w:right="197"/>
      </w:pPr>
      <w:r w:rsidRPr="00283806">
        <w:rPr>
          <w:w w:val="105"/>
        </w:rPr>
        <w:t xml:space="preserve">landfill operator or a scrap metal recycler, who </w:t>
      </w:r>
      <w:proofErr w:type="gramStart"/>
      <w:r w:rsidRPr="00283806">
        <w:rPr>
          <w:w w:val="105"/>
        </w:rPr>
        <w:t>is capable of removing</w:t>
      </w:r>
      <w:proofErr w:type="gramEnd"/>
      <w:r w:rsidRPr="00283806">
        <w:rPr>
          <w:w w:val="105"/>
        </w:rPr>
        <w:t xml:space="preserve"> the heel from disposable cylinders; or</w:t>
      </w:r>
    </w:p>
    <w:p w14:paraId="5D39349A" w14:textId="77777777" w:rsidR="00D67C1E" w:rsidRPr="00283806" w:rsidRDefault="001265CA">
      <w:pPr>
        <w:pStyle w:val="ListParagraph"/>
        <w:numPr>
          <w:ilvl w:val="1"/>
          <w:numId w:val="28"/>
        </w:numPr>
        <w:tabs>
          <w:tab w:val="left" w:pos="590"/>
        </w:tabs>
        <w:spacing w:line="179" w:lineRule="exact"/>
        <w:ind w:left="590" w:hanging="268"/>
        <w:rPr>
          <w:sz w:val="18"/>
        </w:rPr>
      </w:pPr>
      <w:r w:rsidRPr="00283806">
        <w:rPr>
          <w:sz w:val="18"/>
        </w:rPr>
        <w:t>A</w:t>
      </w:r>
      <w:r w:rsidRPr="00283806">
        <w:rPr>
          <w:spacing w:val="40"/>
          <w:sz w:val="18"/>
        </w:rPr>
        <w:t xml:space="preserve"> </w:t>
      </w:r>
      <w:r w:rsidRPr="00283806">
        <w:rPr>
          <w:sz w:val="18"/>
        </w:rPr>
        <w:t>refrigerant</w:t>
      </w:r>
      <w:r w:rsidRPr="00283806">
        <w:rPr>
          <w:spacing w:val="41"/>
          <w:sz w:val="18"/>
        </w:rPr>
        <w:t xml:space="preserve"> </w:t>
      </w:r>
      <w:r w:rsidRPr="00283806">
        <w:rPr>
          <w:sz w:val="18"/>
        </w:rPr>
        <w:t>supplier</w:t>
      </w:r>
      <w:r w:rsidRPr="00283806">
        <w:rPr>
          <w:spacing w:val="40"/>
          <w:sz w:val="18"/>
        </w:rPr>
        <w:t xml:space="preserve"> </w:t>
      </w:r>
      <w:r w:rsidRPr="00283806">
        <w:rPr>
          <w:spacing w:val="-2"/>
          <w:sz w:val="18"/>
        </w:rPr>
        <w:t>(including</w:t>
      </w:r>
    </w:p>
    <w:p w14:paraId="76A3DA2C" w14:textId="77777777" w:rsidR="00D67C1E" w:rsidRPr="00283806" w:rsidRDefault="001265CA">
      <w:pPr>
        <w:pStyle w:val="BodyText"/>
        <w:spacing w:before="3" w:line="228" w:lineRule="auto"/>
        <w:ind w:left="142" w:right="301"/>
      </w:pPr>
      <w:r w:rsidRPr="00283806">
        <w:rPr>
          <w:w w:val="105"/>
        </w:rPr>
        <w:t xml:space="preserve">but not limited to distributors and wholesalers), who </w:t>
      </w:r>
      <w:proofErr w:type="gramStart"/>
      <w:r w:rsidRPr="00283806">
        <w:rPr>
          <w:w w:val="105"/>
        </w:rPr>
        <w:t>is capable of removing</w:t>
      </w:r>
      <w:proofErr w:type="gramEnd"/>
      <w:r w:rsidRPr="00283806">
        <w:rPr>
          <w:w w:val="105"/>
        </w:rPr>
        <w:t xml:space="preserve"> the heel from disposable </w:t>
      </w:r>
      <w:r w:rsidRPr="00283806">
        <w:rPr>
          <w:spacing w:val="-2"/>
          <w:w w:val="105"/>
        </w:rPr>
        <w:t>cylinders.</w:t>
      </w:r>
    </w:p>
    <w:p w14:paraId="06F5CF36" w14:textId="77777777" w:rsidR="00D67C1E" w:rsidRPr="00283806" w:rsidRDefault="001265CA">
      <w:pPr>
        <w:pStyle w:val="ListParagraph"/>
        <w:numPr>
          <w:ilvl w:val="0"/>
          <w:numId w:val="12"/>
        </w:numPr>
        <w:tabs>
          <w:tab w:val="left" w:pos="580"/>
        </w:tabs>
        <w:spacing w:line="179" w:lineRule="exact"/>
        <w:ind w:left="580" w:hanging="258"/>
        <w:rPr>
          <w:sz w:val="18"/>
        </w:rPr>
      </w:pPr>
      <w:r w:rsidRPr="00283806">
        <w:rPr>
          <w:w w:val="105"/>
          <w:sz w:val="18"/>
        </w:rPr>
        <w:t>Regulated</w:t>
      </w:r>
      <w:r w:rsidRPr="00283806">
        <w:rPr>
          <w:spacing w:val="-4"/>
          <w:w w:val="105"/>
          <w:sz w:val="18"/>
        </w:rPr>
        <w:t xml:space="preserve"> </w:t>
      </w:r>
      <w:r w:rsidRPr="00283806">
        <w:rPr>
          <w:w w:val="105"/>
          <w:sz w:val="18"/>
        </w:rPr>
        <w:t>substance(s)</w:t>
      </w:r>
      <w:r w:rsidRPr="00283806">
        <w:rPr>
          <w:spacing w:val="-4"/>
          <w:w w:val="105"/>
          <w:sz w:val="18"/>
        </w:rPr>
        <w:t xml:space="preserve"> </w:t>
      </w:r>
      <w:r w:rsidRPr="00283806">
        <w:rPr>
          <w:spacing w:val="-2"/>
          <w:w w:val="105"/>
          <w:sz w:val="18"/>
        </w:rPr>
        <w:t>removed</w:t>
      </w:r>
    </w:p>
    <w:p w14:paraId="1F1AFC99" w14:textId="77777777" w:rsidR="00D67C1E" w:rsidRPr="00283806" w:rsidRDefault="001265CA">
      <w:pPr>
        <w:pStyle w:val="BodyText"/>
        <w:spacing w:before="3" w:line="228" w:lineRule="auto"/>
        <w:ind w:left="142" w:right="188"/>
      </w:pPr>
      <w:r w:rsidRPr="00283806">
        <w:rPr>
          <w:w w:val="105"/>
        </w:rPr>
        <w:t xml:space="preserve">from heels of disposable cylinders by those entities identified in paragraphs (b)(3) and (b)(4) of this section, where those removed heels are or are not aggregated into a larger container, must be sent to a reclaimer certified under 40 CFR 82.164 or a fire suppressant </w:t>
      </w:r>
      <w:r w:rsidRPr="00283806">
        <w:rPr>
          <w:spacing w:val="-2"/>
          <w:w w:val="105"/>
        </w:rPr>
        <w:t>recycler.</w:t>
      </w:r>
    </w:p>
    <w:p w14:paraId="695932FA" w14:textId="77777777" w:rsidR="00D67C1E" w:rsidRPr="00283806" w:rsidRDefault="001265CA">
      <w:pPr>
        <w:pStyle w:val="ListParagraph"/>
        <w:numPr>
          <w:ilvl w:val="0"/>
          <w:numId w:val="11"/>
        </w:numPr>
        <w:tabs>
          <w:tab w:val="left" w:pos="590"/>
        </w:tabs>
        <w:spacing w:line="179" w:lineRule="exact"/>
        <w:ind w:left="590" w:hanging="268"/>
        <w:rPr>
          <w:sz w:val="18"/>
        </w:rPr>
      </w:pPr>
      <w:r w:rsidRPr="00283806">
        <w:rPr>
          <w:w w:val="105"/>
          <w:sz w:val="18"/>
        </w:rPr>
        <w:t>Regulated</w:t>
      </w:r>
      <w:r w:rsidRPr="00283806">
        <w:rPr>
          <w:spacing w:val="-4"/>
          <w:w w:val="105"/>
          <w:sz w:val="18"/>
        </w:rPr>
        <w:t xml:space="preserve"> </w:t>
      </w:r>
      <w:r w:rsidRPr="00283806">
        <w:rPr>
          <w:w w:val="105"/>
          <w:sz w:val="18"/>
        </w:rPr>
        <w:t>substance(s)</w:t>
      </w:r>
      <w:r w:rsidRPr="00283806">
        <w:rPr>
          <w:spacing w:val="-4"/>
          <w:w w:val="105"/>
          <w:sz w:val="18"/>
        </w:rPr>
        <w:t xml:space="preserve"> </w:t>
      </w:r>
      <w:r w:rsidRPr="00283806">
        <w:rPr>
          <w:spacing w:val="-2"/>
          <w:w w:val="105"/>
          <w:sz w:val="18"/>
        </w:rPr>
        <w:t>removed</w:t>
      </w:r>
    </w:p>
    <w:p w14:paraId="1E057FE8" w14:textId="77777777" w:rsidR="00D67C1E" w:rsidRPr="00283806" w:rsidRDefault="001265CA">
      <w:pPr>
        <w:pStyle w:val="BodyText"/>
        <w:spacing w:before="3" w:line="228" w:lineRule="auto"/>
        <w:ind w:left="142" w:right="176"/>
      </w:pPr>
      <w:r w:rsidRPr="00283806">
        <w:rPr>
          <w:w w:val="105"/>
        </w:rPr>
        <w:t>from heels of disposable cylinders that exhibit ignitability characteristics (per</w:t>
      </w:r>
      <w:r w:rsidRPr="00283806">
        <w:rPr>
          <w:spacing w:val="40"/>
          <w:w w:val="105"/>
        </w:rPr>
        <w:t xml:space="preserve"> </w:t>
      </w:r>
      <w:r w:rsidRPr="00283806">
        <w:rPr>
          <w:w w:val="105"/>
        </w:rPr>
        <w:t xml:space="preserve">40 CFR 261.21), where those removed heels are or are not aggregated into a larger container, must be sent to a reclaimer certified under 40 CFR 82.164 that </w:t>
      </w:r>
      <w:proofErr w:type="gramStart"/>
      <w:r w:rsidRPr="00283806">
        <w:rPr>
          <w:w w:val="105"/>
        </w:rPr>
        <w:t>is in compliance with</w:t>
      </w:r>
      <w:proofErr w:type="gramEnd"/>
      <w:r w:rsidRPr="00283806">
        <w:rPr>
          <w:w w:val="105"/>
        </w:rPr>
        <w:t xml:space="preserve"> the requirements at 40 CFR part 266, subpart Q.</w:t>
      </w:r>
    </w:p>
    <w:p w14:paraId="5408AE03" w14:textId="77777777" w:rsidR="00D67C1E" w:rsidRPr="00283806" w:rsidRDefault="001265CA">
      <w:pPr>
        <w:pStyle w:val="ListParagraph"/>
        <w:numPr>
          <w:ilvl w:val="0"/>
          <w:numId w:val="11"/>
        </w:numPr>
        <w:tabs>
          <w:tab w:val="left" w:pos="590"/>
        </w:tabs>
        <w:spacing w:line="171" w:lineRule="exact"/>
        <w:ind w:left="590" w:hanging="268"/>
        <w:rPr>
          <w:sz w:val="18"/>
        </w:rPr>
      </w:pPr>
      <w:r w:rsidRPr="00283806">
        <w:rPr>
          <w:spacing w:val="-2"/>
          <w:w w:val="105"/>
          <w:sz w:val="18"/>
        </w:rPr>
        <w:t>[Reserved]</w:t>
      </w:r>
    </w:p>
    <w:p w14:paraId="6C0894E9" w14:textId="77777777" w:rsidR="00D67C1E" w:rsidRPr="00283806" w:rsidRDefault="001265CA">
      <w:pPr>
        <w:pStyle w:val="ListParagraph"/>
        <w:numPr>
          <w:ilvl w:val="0"/>
          <w:numId w:val="12"/>
        </w:numPr>
        <w:tabs>
          <w:tab w:val="left" w:pos="600"/>
        </w:tabs>
        <w:spacing w:line="228" w:lineRule="auto"/>
        <w:ind w:left="142" w:right="213" w:firstLine="180"/>
        <w:rPr>
          <w:sz w:val="18"/>
        </w:rPr>
      </w:pPr>
      <w:r w:rsidRPr="00283806">
        <w:rPr>
          <w:w w:val="105"/>
          <w:sz w:val="18"/>
        </w:rPr>
        <w:t>As of January 1, 2028, an entity as described in paragraphs (b)(1), (b)(2), (b)(3), or (b)(4) of this section who receives a disposable cylinder meeting the criteria in paragraphs (a)(1), (a)(2), and (a)(3) of this section must remove all remaining contents from the disposable cylinder prior to discarding the disposable cylinder.</w:t>
      </w:r>
    </w:p>
    <w:p w14:paraId="20459719" w14:textId="77777777" w:rsidR="00D67C1E" w:rsidRPr="00283806" w:rsidRDefault="001265CA">
      <w:pPr>
        <w:pStyle w:val="ListParagraph"/>
        <w:numPr>
          <w:ilvl w:val="0"/>
          <w:numId w:val="12"/>
        </w:numPr>
        <w:tabs>
          <w:tab w:val="left" w:pos="580"/>
        </w:tabs>
        <w:spacing w:line="178" w:lineRule="exact"/>
        <w:ind w:left="580" w:hanging="258"/>
        <w:rPr>
          <w:sz w:val="18"/>
        </w:rPr>
      </w:pPr>
      <w:r w:rsidRPr="00283806">
        <w:rPr>
          <w:w w:val="105"/>
          <w:sz w:val="18"/>
        </w:rPr>
        <w:t>Disposable</w:t>
      </w:r>
      <w:r w:rsidRPr="00283806">
        <w:rPr>
          <w:spacing w:val="11"/>
          <w:w w:val="105"/>
          <w:sz w:val="18"/>
        </w:rPr>
        <w:t xml:space="preserve"> </w:t>
      </w:r>
      <w:r w:rsidRPr="00283806">
        <w:rPr>
          <w:w w:val="105"/>
          <w:sz w:val="18"/>
        </w:rPr>
        <w:t>cylinders</w:t>
      </w:r>
      <w:r w:rsidRPr="00283806">
        <w:rPr>
          <w:spacing w:val="11"/>
          <w:w w:val="105"/>
          <w:sz w:val="18"/>
        </w:rPr>
        <w:t xml:space="preserve"> </w:t>
      </w:r>
      <w:r w:rsidRPr="00283806">
        <w:rPr>
          <w:w w:val="105"/>
          <w:sz w:val="18"/>
        </w:rPr>
        <w:t>that</w:t>
      </w:r>
      <w:r w:rsidRPr="00283806">
        <w:rPr>
          <w:spacing w:val="12"/>
          <w:w w:val="105"/>
          <w:sz w:val="18"/>
        </w:rPr>
        <w:t xml:space="preserve"> </w:t>
      </w:r>
      <w:r w:rsidRPr="00283806">
        <w:rPr>
          <w:w w:val="105"/>
          <w:sz w:val="18"/>
        </w:rPr>
        <w:t>that</w:t>
      </w:r>
      <w:r w:rsidRPr="00283806">
        <w:rPr>
          <w:spacing w:val="11"/>
          <w:w w:val="105"/>
          <w:sz w:val="18"/>
        </w:rPr>
        <w:t xml:space="preserve"> </w:t>
      </w:r>
      <w:r w:rsidRPr="00283806">
        <w:rPr>
          <w:spacing w:val="-4"/>
          <w:w w:val="105"/>
          <w:sz w:val="18"/>
        </w:rPr>
        <w:t>meet</w:t>
      </w:r>
    </w:p>
    <w:p w14:paraId="28C255A7" w14:textId="77777777" w:rsidR="00D67C1E" w:rsidRPr="00283806" w:rsidRDefault="001265CA">
      <w:pPr>
        <w:pStyle w:val="BodyText"/>
        <w:spacing w:line="228" w:lineRule="auto"/>
        <w:ind w:left="142" w:right="176"/>
      </w:pPr>
      <w:r w:rsidRPr="00283806">
        <w:rPr>
          <w:w w:val="105"/>
        </w:rPr>
        <w:t>the criteria in paragraphs (a)(1), (a)(2), and (a)(3) of this section may be discarded to a final processor without meeting</w:t>
      </w:r>
      <w:r w:rsidRPr="00283806">
        <w:rPr>
          <w:spacing w:val="-5"/>
          <w:w w:val="105"/>
        </w:rPr>
        <w:t xml:space="preserve"> </w:t>
      </w:r>
      <w:r w:rsidRPr="00283806">
        <w:rPr>
          <w:w w:val="105"/>
        </w:rPr>
        <w:t>the</w:t>
      </w:r>
      <w:r w:rsidRPr="00283806">
        <w:rPr>
          <w:spacing w:val="-5"/>
          <w:w w:val="105"/>
        </w:rPr>
        <w:t xml:space="preserve"> </w:t>
      </w:r>
      <w:r w:rsidRPr="00283806">
        <w:rPr>
          <w:w w:val="105"/>
        </w:rPr>
        <w:t>requirements</w:t>
      </w:r>
      <w:r w:rsidRPr="00283806">
        <w:rPr>
          <w:spacing w:val="-5"/>
          <w:w w:val="105"/>
        </w:rPr>
        <w:t xml:space="preserve"> </w:t>
      </w:r>
      <w:r w:rsidRPr="00283806">
        <w:rPr>
          <w:w w:val="105"/>
        </w:rPr>
        <w:t>in</w:t>
      </w:r>
      <w:r w:rsidRPr="00283806">
        <w:rPr>
          <w:spacing w:val="-5"/>
          <w:w w:val="105"/>
        </w:rPr>
        <w:t xml:space="preserve"> </w:t>
      </w:r>
      <w:r w:rsidRPr="00283806">
        <w:rPr>
          <w:w w:val="105"/>
        </w:rPr>
        <w:t>paragraphs</w:t>
      </w:r>
    </w:p>
    <w:p w14:paraId="425CAAA7" w14:textId="77777777" w:rsidR="00D67C1E" w:rsidRPr="00283806" w:rsidRDefault="001265CA">
      <w:pPr>
        <w:pStyle w:val="BodyText"/>
        <w:spacing w:line="188" w:lineRule="exact"/>
        <w:ind w:left="142"/>
      </w:pPr>
      <w:r w:rsidRPr="00283806">
        <w:rPr>
          <w:w w:val="105"/>
        </w:rPr>
        <w:t>(b)</w:t>
      </w:r>
      <w:r w:rsidRPr="00283806">
        <w:rPr>
          <w:spacing w:val="3"/>
          <w:w w:val="105"/>
        </w:rPr>
        <w:t xml:space="preserve"> </w:t>
      </w:r>
      <w:r w:rsidRPr="00283806">
        <w:rPr>
          <w:w w:val="105"/>
        </w:rPr>
        <w:t>and</w:t>
      </w:r>
      <w:r w:rsidRPr="00283806">
        <w:rPr>
          <w:spacing w:val="4"/>
          <w:w w:val="105"/>
        </w:rPr>
        <w:t xml:space="preserve"> </w:t>
      </w:r>
      <w:r w:rsidRPr="00283806">
        <w:rPr>
          <w:w w:val="105"/>
        </w:rPr>
        <w:t>(d)</w:t>
      </w:r>
      <w:r w:rsidRPr="00283806">
        <w:rPr>
          <w:spacing w:val="4"/>
          <w:w w:val="105"/>
        </w:rPr>
        <w:t xml:space="preserve"> </w:t>
      </w:r>
      <w:r w:rsidRPr="00283806">
        <w:rPr>
          <w:w w:val="105"/>
        </w:rPr>
        <w:t>of</w:t>
      </w:r>
      <w:r w:rsidRPr="00283806">
        <w:rPr>
          <w:spacing w:val="4"/>
          <w:w w:val="105"/>
        </w:rPr>
        <w:t xml:space="preserve"> </w:t>
      </w:r>
      <w:r w:rsidRPr="00283806">
        <w:rPr>
          <w:w w:val="105"/>
        </w:rPr>
        <w:t>this</w:t>
      </w:r>
      <w:r w:rsidRPr="00283806">
        <w:rPr>
          <w:spacing w:val="4"/>
          <w:w w:val="105"/>
        </w:rPr>
        <w:t xml:space="preserve"> </w:t>
      </w:r>
      <w:r w:rsidRPr="00283806">
        <w:rPr>
          <w:w w:val="105"/>
        </w:rPr>
        <w:t>section,</w:t>
      </w:r>
      <w:r w:rsidRPr="00283806">
        <w:rPr>
          <w:spacing w:val="4"/>
          <w:w w:val="105"/>
        </w:rPr>
        <w:t xml:space="preserve"> </w:t>
      </w:r>
      <w:r w:rsidRPr="00283806">
        <w:rPr>
          <w:spacing w:val="-2"/>
          <w:w w:val="105"/>
        </w:rPr>
        <w:t>when:</w:t>
      </w:r>
    </w:p>
    <w:p w14:paraId="780BB157" w14:textId="77777777" w:rsidR="00D67C1E" w:rsidRPr="00283806" w:rsidRDefault="001265CA">
      <w:pPr>
        <w:pStyle w:val="ListParagraph"/>
        <w:numPr>
          <w:ilvl w:val="0"/>
          <w:numId w:val="10"/>
        </w:numPr>
        <w:tabs>
          <w:tab w:val="left" w:pos="590"/>
        </w:tabs>
        <w:spacing w:line="228" w:lineRule="auto"/>
        <w:ind w:right="782" w:firstLine="180"/>
        <w:rPr>
          <w:sz w:val="18"/>
        </w:rPr>
      </w:pPr>
      <w:r w:rsidRPr="00283806">
        <w:rPr>
          <w:w w:val="105"/>
          <w:sz w:val="18"/>
        </w:rPr>
        <w:t>The heel was removed by a certified technician;</w:t>
      </w:r>
    </w:p>
    <w:p w14:paraId="739F4D4A" w14:textId="77777777" w:rsidR="00D67C1E" w:rsidRPr="00283806" w:rsidRDefault="001265CA">
      <w:pPr>
        <w:pStyle w:val="ListParagraph"/>
        <w:numPr>
          <w:ilvl w:val="0"/>
          <w:numId w:val="10"/>
        </w:numPr>
        <w:tabs>
          <w:tab w:val="left" w:pos="590"/>
        </w:tabs>
        <w:spacing w:line="182" w:lineRule="exact"/>
        <w:ind w:left="590" w:hanging="268"/>
        <w:rPr>
          <w:sz w:val="18"/>
        </w:rPr>
      </w:pPr>
      <w:r w:rsidRPr="00283806">
        <w:rPr>
          <w:w w:val="105"/>
          <w:sz w:val="18"/>
        </w:rPr>
        <w:t>The</w:t>
      </w:r>
      <w:r w:rsidRPr="00283806">
        <w:rPr>
          <w:spacing w:val="11"/>
          <w:w w:val="105"/>
          <w:sz w:val="18"/>
        </w:rPr>
        <w:t xml:space="preserve"> </w:t>
      </w:r>
      <w:r w:rsidRPr="00283806">
        <w:rPr>
          <w:w w:val="105"/>
          <w:sz w:val="18"/>
        </w:rPr>
        <w:t>heel</w:t>
      </w:r>
      <w:r w:rsidRPr="00283806">
        <w:rPr>
          <w:spacing w:val="11"/>
          <w:w w:val="105"/>
          <w:sz w:val="18"/>
        </w:rPr>
        <w:t xml:space="preserve"> </w:t>
      </w:r>
      <w:r w:rsidRPr="00283806">
        <w:rPr>
          <w:w w:val="105"/>
          <w:sz w:val="18"/>
        </w:rPr>
        <w:t>of</w:t>
      </w:r>
      <w:r w:rsidRPr="00283806">
        <w:rPr>
          <w:spacing w:val="11"/>
          <w:w w:val="105"/>
          <w:sz w:val="18"/>
        </w:rPr>
        <w:t xml:space="preserve"> </w:t>
      </w:r>
      <w:r w:rsidRPr="00283806">
        <w:rPr>
          <w:w w:val="105"/>
          <w:sz w:val="18"/>
        </w:rPr>
        <w:t>the</w:t>
      </w:r>
      <w:r w:rsidRPr="00283806">
        <w:rPr>
          <w:spacing w:val="12"/>
          <w:w w:val="105"/>
          <w:sz w:val="18"/>
        </w:rPr>
        <w:t xml:space="preserve"> </w:t>
      </w:r>
      <w:r w:rsidRPr="00283806">
        <w:rPr>
          <w:w w:val="105"/>
          <w:sz w:val="18"/>
        </w:rPr>
        <w:t>used</w:t>
      </w:r>
      <w:r w:rsidRPr="00283806">
        <w:rPr>
          <w:spacing w:val="11"/>
          <w:w w:val="105"/>
          <w:sz w:val="18"/>
        </w:rPr>
        <w:t xml:space="preserve"> </w:t>
      </w:r>
      <w:r w:rsidRPr="00283806">
        <w:rPr>
          <w:spacing w:val="-2"/>
          <w:w w:val="105"/>
          <w:sz w:val="18"/>
        </w:rPr>
        <w:t>disposable</w:t>
      </w:r>
    </w:p>
    <w:p w14:paraId="4165054C" w14:textId="77777777" w:rsidR="00D67C1E" w:rsidRPr="00283806" w:rsidRDefault="001265CA">
      <w:pPr>
        <w:pStyle w:val="BodyText"/>
        <w:spacing w:line="228" w:lineRule="auto"/>
        <w:ind w:left="142" w:right="243"/>
      </w:pPr>
      <w:proofErr w:type="gramStart"/>
      <w:r w:rsidRPr="00283806">
        <w:rPr>
          <w:w w:val="105"/>
        </w:rPr>
        <w:t>cylinder</w:t>
      </w:r>
      <w:proofErr w:type="gramEnd"/>
      <w:r w:rsidRPr="00283806">
        <w:rPr>
          <w:w w:val="105"/>
        </w:rPr>
        <w:t xml:space="preserve"> has been evacuated to a vacuum of 15 in-Hg prior to discarding the </w:t>
      </w:r>
      <w:proofErr w:type="gramStart"/>
      <w:r w:rsidRPr="00283806">
        <w:rPr>
          <w:w w:val="105"/>
        </w:rPr>
        <w:t>cylinder;</w:t>
      </w:r>
      <w:proofErr w:type="gramEnd"/>
    </w:p>
    <w:p w14:paraId="5B89005C" w14:textId="77777777" w:rsidR="00D67C1E" w:rsidRPr="00283806" w:rsidRDefault="001265CA">
      <w:pPr>
        <w:pStyle w:val="ListParagraph"/>
        <w:numPr>
          <w:ilvl w:val="0"/>
          <w:numId w:val="10"/>
        </w:numPr>
        <w:tabs>
          <w:tab w:val="left" w:pos="590"/>
        </w:tabs>
        <w:spacing w:line="181" w:lineRule="exact"/>
        <w:ind w:left="590" w:hanging="268"/>
        <w:rPr>
          <w:sz w:val="18"/>
        </w:rPr>
      </w:pPr>
      <w:r w:rsidRPr="00283806">
        <w:rPr>
          <w:w w:val="105"/>
          <w:sz w:val="18"/>
        </w:rPr>
        <w:t>The</w:t>
      </w:r>
      <w:r w:rsidRPr="00283806">
        <w:rPr>
          <w:spacing w:val="20"/>
          <w:w w:val="105"/>
          <w:sz w:val="18"/>
        </w:rPr>
        <w:t xml:space="preserve"> </w:t>
      </w:r>
      <w:r w:rsidRPr="00283806">
        <w:rPr>
          <w:w w:val="105"/>
          <w:sz w:val="18"/>
        </w:rPr>
        <w:t>certified</w:t>
      </w:r>
      <w:r w:rsidRPr="00283806">
        <w:rPr>
          <w:spacing w:val="20"/>
          <w:w w:val="105"/>
          <w:sz w:val="18"/>
        </w:rPr>
        <w:t xml:space="preserve"> </w:t>
      </w:r>
      <w:r w:rsidRPr="00283806">
        <w:rPr>
          <w:w w:val="105"/>
          <w:sz w:val="18"/>
        </w:rPr>
        <w:t>technician</w:t>
      </w:r>
      <w:r w:rsidRPr="00283806">
        <w:rPr>
          <w:spacing w:val="21"/>
          <w:w w:val="105"/>
          <w:sz w:val="18"/>
        </w:rPr>
        <w:t xml:space="preserve"> </w:t>
      </w:r>
      <w:r w:rsidRPr="00283806">
        <w:rPr>
          <w:w w:val="105"/>
          <w:sz w:val="18"/>
        </w:rPr>
        <w:t>provides</w:t>
      </w:r>
      <w:r w:rsidRPr="00283806">
        <w:rPr>
          <w:spacing w:val="20"/>
          <w:w w:val="105"/>
          <w:sz w:val="18"/>
        </w:rPr>
        <w:t xml:space="preserve"> </w:t>
      </w:r>
      <w:r w:rsidRPr="00283806">
        <w:rPr>
          <w:spacing w:val="-10"/>
          <w:w w:val="105"/>
          <w:sz w:val="18"/>
        </w:rPr>
        <w:t>a</w:t>
      </w:r>
    </w:p>
    <w:p w14:paraId="31DFBBC3" w14:textId="77777777" w:rsidR="00D67C1E" w:rsidRPr="00283806" w:rsidRDefault="001265CA">
      <w:pPr>
        <w:pStyle w:val="BodyText"/>
        <w:spacing w:before="1" w:line="228" w:lineRule="auto"/>
        <w:ind w:left="142" w:right="123"/>
      </w:pPr>
      <w:r w:rsidRPr="00283806">
        <w:rPr>
          <w:w w:val="105"/>
        </w:rPr>
        <w:t>certification statement, which certifies that the heel was evacuated to a vacuum of 15 in-Hg; states the name and address of the certified technician who</w:t>
      </w:r>
      <w:r w:rsidRPr="00283806">
        <w:rPr>
          <w:spacing w:val="80"/>
          <w:w w:val="150"/>
        </w:rPr>
        <w:t xml:space="preserve"> </w:t>
      </w:r>
      <w:r w:rsidRPr="00283806">
        <w:rPr>
          <w:w w:val="105"/>
        </w:rPr>
        <w:t>evacuated the cylinder(s) and the date</w:t>
      </w:r>
      <w:r w:rsidRPr="00283806">
        <w:rPr>
          <w:spacing w:val="40"/>
          <w:w w:val="105"/>
        </w:rPr>
        <w:t xml:space="preserve"> </w:t>
      </w:r>
      <w:r w:rsidRPr="00283806">
        <w:rPr>
          <w:w w:val="105"/>
        </w:rPr>
        <w:t>the cylinder(s) was/were evacuated; and is signed by the certified technician who evacuated the cylinder(s); and</w:t>
      </w:r>
    </w:p>
    <w:p w14:paraId="6F3308B8" w14:textId="77777777" w:rsidR="00D67C1E" w:rsidRPr="00283806" w:rsidRDefault="001265CA">
      <w:pPr>
        <w:pStyle w:val="ListParagraph"/>
        <w:numPr>
          <w:ilvl w:val="0"/>
          <w:numId w:val="10"/>
        </w:numPr>
        <w:tabs>
          <w:tab w:val="left" w:pos="590"/>
        </w:tabs>
        <w:spacing w:line="179" w:lineRule="exact"/>
        <w:ind w:left="590" w:hanging="268"/>
        <w:rPr>
          <w:sz w:val="18"/>
        </w:rPr>
      </w:pPr>
      <w:r w:rsidRPr="00283806">
        <w:rPr>
          <w:w w:val="110"/>
          <w:sz w:val="18"/>
        </w:rPr>
        <w:t>The</w:t>
      </w:r>
      <w:r w:rsidRPr="00283806">
        <w:rPr>
          <w:spacing w:val="-9"/>
          <w:w w:val="110"/>
          <w:sz w:val="18"/>
        </w:rPr>
        <w:t xml:space="preserve"> </w:t>
      </w:r>
      <w:r w:rsidRPr="00283806">
        <w:rPr>
          <w:w w:val="110"/>
          <w:sz w:val="18"/>
        </w:rPr>
        <w:t>certified</w:t>
      </w:r>
      <w:r w:rsidRPr="00283806">
        <w:rPr>
          <w:spacing w:val="-8"/>
          <w:w w:val="110"/>
          <w:sz w:val="18"/>
        </w:rPr>
        <w:t xml:space="preserve"> </w:t>
      </w:r>
      <w:r w:rsidRPr="00283806">
        <w:rPr>
          <w:w w:val="110"/>
          <w:sz w:val="18"/>
        </w:rPr>
        <w:t>technician</w:t>
      </w:r>
      <w:r w:rsidRPr="00283806">
        <w:rPr>
          <w:spacing w:val="-8"/>
          <w:w w:val="110"/>
          <w:sz w:val="18"/>
        </w:rPr>
        <w:t xml:space="preserve"> </w:t>
      </w:r>
      <w:r w:rsidRPr="00283806">
        <w:rPr>
          <w:spacing w:val="-2"/>
          <w:w w:val="110"/>
          <w:sz w:val="18"/>
        </w:rPr>
        <w:t>discarding</w:t>
      </w:r>
    </w:p>
    <w:p w14:paraId="13E275BB" w14:textId="77777777" w:rsidR="00D67C1E" w:rsidRPr="00283806" w:rsidRDefault="001265CA">
      <w:pPr>
        <w:pStyle w:val="BodyText"/>
        <w:spacing w:before="3" w:line="228" w:lineRule="auto"/>
        <w:ind w:left="142" w:right="202"/>
      </w:pPr>
      <w:r w:rsidRPr="00283806">
        <w:rPr>
          <w:w w:val="105"/>
        </w:rPr>
        <w:t>the cylinder to the final processor must provide the signed certification statement</w:t>
      </w:r>
      <w:r w:rsidRPr="00283806">
        <w:rPr>
          <w:spacing w:val="-10"/>
          <w:w w:val="105"/>
        </w:rPr>
        <w:t xml:space="preserve"> </w:t>
      </w:r>
      <w:r w:rsidRPr="00283806">
        <w:rPr>
          <w:w w:val="105"/>
        </w:rPr>
        <w:t>described</w:t>
      </w:r>
      <w:r w:rsidRPr="00283806">
        <w:rPr>
          <w:spacing w:val="-11"/>
          <w:w w:val="105"/>
        </w:rPr>
        <w:t xml:space="preserve"> </w:t>
      </w:r>
      <w:r w:rsidRPr="00283806">
        <w:rPr>
          <w:w w:val="105"/>
        </w:rPr>
        <w:t>in</w:t>
      </w:r>
      <w:r w:rsidRPr="00283806">
        <w:rPr>
          <w:spacing w:val="-10"/>
          <w:w w:val="105"/>
        </w:rPr>
        <w:t xml:space="preserve"> </w:t>
      </w:r>
      <w:r w:rsidRPr="00283806">
        <w:rPr>
          <w:w w:val="105"/>
        </w:rPr>
        <w:t>paragraph</w:t>
      </w:r>
      <w:r w:rsidRPr="00283806">
        <w:rPr>
          <w:spacing w:val="-10"/>
          <w:w w:val="105"/>
        </w:rPr>
        <w:t xml:space="preserve"> </w:t>
      </w:r>
      <w:r w:rsidRPr="00283806">
        <w:rPr>
          <w:w w:val="105"/>
        </w:rPr>
        <w:t>(e)(3) of this section to the final processor (which may include a landfill operator</w:t>
      </w:r>
    </w:p>
    <w:p w14:paraId="71CB3636" w14:textId="77777777" w:rsidR="00D67C1E" w:rsidRPr="00283806" w:rsidRDefault="00D67C1E">
      <w:pPr>
        <w:spacing w:line="228" w:lineRule="auto"/>
        <w:sectPr w:rsidR="00D67C1E" w:rsidRPr="00283806">
          <w:pgSz w:w="12240" w:h="15840"/>
          <w:pgMar w:top="1040" w:right="780" w:bottom="280" w:left="740" w:header="627" w:footer="0" w:gutter="0"/>
          <w:cols w:num="3" w:space="720" w:equalWidth="0">
            <w:col w:w="3518" w:space="40"/>
            <w:col w:w="3501" w:space="39"/>
            <w:col w:w="3622"/>
          </w:cols>
        </w:sectPr>
      </w:pPr>
    </w:p>
    <w:p w14:paraId="1BEBA710" w14:textId="77777777" w:rsidR="00D67C1E" w:rsidRPr="00283806" w:rsidRDefault="001265CA">
      <w:pPr>
        <w:pStyle w:val="BodyText"/>
        <w:spacing w:before="134" w:line="228" w:lineRule="auto"/>
        <w:ind w:right="78"/>
      </w:pPr>
      <w:r w:rsidRPr="00283806">
        <w:rPr>
          <w:w w:val="105"/>
        </w:rPr>
        <w:lastRenderedPageBreak/>
        <w:t xml:space="preserve">or scrap metal recycler) when they discard the cylinder to the final </w:t>
      </w:r>
      <w:r w:rsidRPr="00283806">
        <w:rPr>
          <w:spacing w:val="-2"/>
          <w:w w:val="105"/>
        </w:rPr>
        <w:t>processor.</w:t>
      </w:r>
    </w:p>
    <w:p w14:paraId="3A74C497" w14:textId="77777777" w:rsidR="00D67C1E" w:rsidRPr="00283806" w:rsidRDefault="001265CA">
      <w:pPr>
        <w:pStyle w:val="ListParagraph"/>
        <w:numPr>
          <w:ilvl w:val="0"/>
          <w:numId w:val="12"/>
        </w:numPr>
        <w:tabs>
          <w:tab w:val="left" w:pos="567"/>
        </w:tabs>
        <w:spacing w:line="225" w:lineRule="auto"/>
        <w:ind w:left="160" w:right="210" w:firstLine="179"/>
        <w:rPr>
          <w:sz w:val="18"/>
        </w:rPr>
      </w:pPr>
      <w:r w:rsidRPr="00283806">
        <w:rPr>
          <w:rFonts w:ascii="Book Antiqua"/>
          <w:i/>
          <w:w w:val="105"/>
          <w:sz w:val="18"/>
        </w:rPr>
        <w:t xml:space="preserve">Recordkeeping. </w:t>
      </w:r>
      <w:r w:rsidRPr="00283806">
        <w:rPr>
          <w:w w:val="105"/>
          <w:sz w:val="18"/>
        </w:rPr>
        <w:t>A final processor who receives a disposable cylinder as described in paragraph (e) of this section must maintain a record of the signed statement for three years.</w:t>
      </w:r>
    </w:p>
    <w:p w14:paraId="2CA69C0A" w14:textId="77777777" w:rsidR="00D67C1E" w:rsidRPr="00283806" w:rsidRDefault="001265CA">
      <w:pPr>
        <w:pStyle w:val="ListParagraph"/>
        <w:numPr>
          <w:ilvl w:val="0"/>
          <w:numId w:val="12"/>
        </w:numPr>
        <w:tabs>
          <w:tab w:val="left" w:pos="598"/>
        </w:tabs>
        <w:spacing w:line="184" w:lineRule="exact"/>
        <w:ind w:left="598" w:hanging="258"/>
        <w:rPr>
          <w:sz w:val="18"/>
        </w:rPr>
      </w:pPr>
      <w:r w:rsidRPr="00283806">
        <w:rPr>
          <w:w w:val="105"/>
          <w:sz w:val="18"/>
        </w:rPr>
        <w:t>Small</w:t>
      </w:r>
      <w:r w:rsidRPr="00283806">
        <w:rPr>
          <w:spacing w:val="10"/>
          <w:w w:val="105"/>
          <w:sz w:val="18"/>
        </w:rPr>
        <w:t xml:space="preserve"> </w:t>
      </w:r>
      <w:r w:rsidRPr="00283806">
        <w:rPr>
          <w:w w:val="105"/>
          <w:sz w:val="18"/>
        </w:rPr>
        <w:t>cans</w:t>
      </w:r>
      <w:r w:rsidRPr="00283806">
        <w:rPr>
          <w:spacing w:val="10"/>
          <w:w w:val="105"/>
          <w:sz w:val="18"/>
        </w:rPr>
        <w:t xml:space="preserve"> </w:t>
      </w:r>
      <w:r w:rsidRPr="00283806">
        <w:rPr>
          <w:w w:val="105"/>
          <w:sz w:val="18"/>
        </w:rPr>
        <w:t>of</w:t>
      </w:r>
      <w:r w:rsidRPr="00283806">
        <w:rPr>
          <w:spacing w:val="10"/>
          <w:w w:val="105"/>
          <w:sz w:val="18"/>
        </w:rPr>
        <w:t xml:space="preserve"> </w:t>
      </w:r>
      <w:r w:rsidRPr="00283806">
        <w:rPr>
          <w:w w:val="105"/>
          <w:sz w:val="18"/>
        </w:rPr>
        <w:t>refrigerant</w:t>
      </w:r>
      <w:r w:rsidRPr="00283806">
        <w:rPr>
          <w:spacing w:val="10"/>
          <w:w w:val="105"/>
          <w:sz w:val="18"/>
        </w:rPr>
        <w:t xml:space="preserve"> </w:t>
      </w:r>
      <w:r w:rsidRPr="00283806">
        <w:rPr>
          <w:spacing w:val="-4"/>
          <w:w w:val="105"/>
          <w:sz w:val="18"/>
        </w:rPr>
        <w:t>that</w:t>
      </w:r>
    </w:p>
    <w:p w14:paraId="0EBCF48B" w14:textId="77777777" w:rsidR="00D67C1E" w:rsidRPr="00283806" w:rsidRDefault="001265CA">
      <w:pPr>
        <w:pStyle w:val="BodyText"/>
        <w:spacing w:line="228" w:lineRule="auto"/>
      </w:pPr>
      <w:r w:rsidRPr="00283806">
        <w:t>contain no more than two pounds of</w:t>
      </w:r>
      <w:r w:rsidRPr="00283806">
        <w:rPr>
          <w:spacing w:val="40"/>
        </w:rPr>
        <w:t xml:space="preserve"> </w:t>
      </w:r>
      <w:r w:rsidRPr="00283806">
        <w:t>refrigerant and that qualify for the</w:t>
      </w:r>
      <w:r w:rsidRPr="00283806">
        <w:rPr>
          <w:spacing w:val="40"/>
        </w:rPr>
        <w:t xml:space="preserve"> </w:t>
      </w:r>
      <w:r w:rsidRPr="00283806">
        <w:t>exemption described in 40 CFR</w:t>
      </w:r>
      <w:r w:rsidRPr="00283806">
        <w:rPr>
          <w:spacing w:val="40"/>
        </w:rPr>
        <w:t xml:space="preserve"> </w:t>
      </w:r>
      <w:r w:rsidRPr="00283806">
        <w:t>82.154(c)(1)(ix) are not subject to the</w:t>
      </w:r>
      <w:r w:rsidRPr="00283806">
        <w:rPr>
          <w:spacing w:val="40"/>
        </w:rPr>
        <w:t xml:space="preserve"> </w:t>
      </w:r>
      <w:r w:rsidRPr="00283806">
        <w:t>requirements in paragraphs (b) through</w:t>
      </w:r>
    </w:p>
    <w:p w14:paraId="01FE21DC" w14:textId="77777777" w:rsidR="00D67C1E" w:rsidRPr="00283806" w:rsidRDefault="001265CA">
      <w:pPr>
        <w:pStyle w:val="ListParagraph"/>
        <w:numPr>
          <w:ilvl w:val="0"/>
          <w:numId w:val="28"/>
        </w:numPr>
        <w:tabs>
          <w:tab w:val="left" w:pos="388"/>
        </w:tabs>
        <w:spacing w:line="200" w:lineRule="exact"/>
        <w:ind w:left="388" w:hanging="228"/>
        <w:rPr>
          <w:sz w:val="18"/>
        </w:rPr>
      </w:pPr>
      <w:r w:rsidRPr="00283806">
        <w:rPr>
          <w:w w:val="105"/>
          <w:sz w:val="18"/>
        </w:rPr>
        <w:t>of</w:t>
      </w:r>
      <w:r w:rsidRPr="00283806">
        <w:rPr>
          <w:spacing w:val="10"/>
          <w:w w:val="105"/>
          <w:sz w:val="18"/>
        </w:rPr>
        <w:t xml:space="preserve"> </w:t>
      </w:r>
      <w:r w:rsidRPr="00283806">
        <w:rPr>
          <w:w w:val="105"/>
          <w:sz w:val="18"/>
        </w:rPr>
        <w:t>this</w:t>
      </w:r>
      <w:r w:rsidRPr="00283806">
        <w:rPr>
          <w:spacing w:val="11"/>
          <w:w w:val="105"/>
          <w:sz w:val="18"/>
        </w:rPr>
        <w:t xml:space="preserve"> </w:t>
      </w:r>
      <w:r w:rsidRPr="00283806">
        <w:rPr>
          <w:spacing w:val="-2"/>
          <w:w w:val="105"/>
          <w:sz w:val="18"/>
        </w:rPr>
        <w:t>section.</w:t>
      </w:r>
    </w:p>
    <w:p w14:paraId="0D65B297" w14:textId="77777777" w:rsidR="00D67C1E" w:rsidRPr="00283806" w:rsidRDefault="001265CA">
      <w:pPr>
        <w:spacing w:before="126" w:line="235" w:lineRule="auto"/>
        <w:ind w:left="160" w:right="78"/>
        <w:rPr>
          <w:rFonts w:ascii="Arial" w:hAnsi="Arial"/>
          <w:b/>
          <w:sz w:val="16"/>
        </w:rPr>
      </w:pPr>
      <w:r w:rsidRPr="00283806">
        <w:rPr>
          <w:rFonts w:ascii="Arial" w:hAnsi="Arial"/>
          <w:b/>
          <w:sz w:val="16"/>
        </w:rPr>
        <w:t>§</w:t>
      </w:r>
      <w:r w:rsidRPr="00283806">
        <w:rPr>
          <w:rFonts w:ascii="Arial" w:hAnsi="Arial"/>
          <w:b/>
          <w:spacing w:val="-19"/>
          <w:sz w:val="16"/>
        </w:rPr>
        <w:t xml:space="preserve"> </w:t>
      </w:r>
      <w:r w:rsidRPr="00283806">
        <w:rPr>
          <w:rFonts w:ascii="Arial" w:hAnsi="Arial"/>
          <w:b/>
          <w:sz w:val="16"/>
        </w:rPr>
        <w:t>84.118</w:t>
      </w:r>
      <w:r w:rsidRPr="00283806">
        <w:rPr>
          <w:rFonts w:ascii="Arial" w:hAnsi="Arial"/>
          <w:b/>
          <w:spacing w:val="80"/>
          <w:sz w:val="16"/>
        </w:rPr>
        <w:t xml:space="preserve"> </w:t>
      </w:r>
      <w:r w:rsidRPr="00283806">
        <w:rPr>
          <w:rFonts w:ascii="Arial" w:hAnsi="Arial"/>
          <w:b/>
          <w:sz w:val="16"/>
        </w:rPr>
        <w:t>Treatment</w:t>
      </w:r>
      <w:r w:rsidRPr="00283806">
        <w:rPr>
          <w:rFonts w:ascii="Arial" w:hAnsi="Arial"/>
          <w:b/>
          <w:spacing w:val="-6"/>
          <w:sz w:val="16"/>
        </w:rPr>
        <w:t xml:space="preserve"> </w:t>
      </w:r>
      <w:r w:rsidRPr="00283806">
        <w:rPr>
          <w:rFonts w:ascii="Arial" w:hAnsi="Arial"/>
          <w:b/>
          <w:sz w:val="16"/>
        </w:rPr>
        <w:t>of</w:t>
      </w:r>
      <w:r w:rsidRPr="00283806">
        <w:rPr>
          <w:rFonts w:ascii="Arial" w:hAnsi="Arial"/>
          <w:b/>
          <w:spacing w:val="-6"/>
          <w:sz w:val="16"/>
        </w:rPr>
        <w:t xml:space="preserve"> </w:t>
      </w:r>
      <w:r w:rsidRPr="00283806">
        <w:rPr>
          <w:rFonts w:ascii="Arial" w:hAnsi="Arial"/>
          <w:b/>
          <w:sz w:val="16"/>
        </w:rPr>
        <w:t>data</w:t>
      </w:r>
      <w:r w:rsidRPr="00283806">
        <w:rPr>
          <w:rFonts w:ascii="Arial" w:hAnsi="Arial"/>
          <w:b/>
          <w:spacing w:val="-6"/>
          <w:sz w:val="16"/>
        </w:rPr>
        <w:t xml:space="preserve"> </w:t>
      </w:r>
      <w:r w:rsidRPr="00283806">
        <w:rPr>
          <w:rFonts w:ascii="Arial" w:hAnsi="Arial"/>
          <w:b/>
          <w:sz w:val="16"/>
        </w:rPr>
        <w:t>submitted under 40 CFR part 84, subpart C</w:t>
      </w:r>
    </w:p>
    <w:p w14:paraId="11811125" w14:textId="77777777" w:rsidR="00D67C1E" w:rsidRPr="00283806" w:rsidRDefault="001265CA">
      <w:pPr>
        <w:pStyle w:val="ListParagraph"/>
        <w:numPr>
          <w:ilvl w:val="0"/>
          <w:numId w:val="9"/>
        </w:numPr>
        <w:tabs>
          <w:tab w:val="left" w:pos="598"/>
        </w:tabs>
        <w:spacing w:before="34" w:line="228" w:lineRule="auto"/>
        <w:ind w:right="8" w:firstLine="180"/>
        <w:rPr>
          <w:sz w:val="18"/>
        </w:rPr>
      </w:pPr>
      <w:r w:rsidRPr="00283806">
        <w:rPr>
          <w:w w:val="105"/>
          <w:sz w:val="18"/>
        </w:rPr>
        <w:t>Except as otherwise provided in</w:t>
      </w:r>
      <w:r w:rsidRPr="00283806">
        <w:rPr>
          <w:spacing w:val="40"/>
          <w:w w:val="105"/>
          <w:sz w:val="18"/>
        </w:rPr>
        <w:t xml:space="preserve"> </w:t>
      </w:r>
      <w:r w:rsidRPr="00283806">
        <w:rPr>
          <w:w w:val="105"/>
          <w:sz w:val="18"/>
        </w:rPr>
        <w:t>this section, 40 CFR 2.201 through 2.215 and 2.301 do not apply to data</w:t>
      </w:r>
      <w:r w:rsidRPr="00283806">
        <w:rPr>
          <w:spacing w:val="80"/>
          <w:w w:val="105"/>
          <w:sz w:val="18"/>
        </w:rPr>
        <w:t xml:space="preserve"> </w:t>
      </w:r>
      <w:r w:rsidRPr="00283806">
        <w:rPr>
          <w:w w:val="105"/>
          <w:sz w:val="18"/>
        </w:rPr>
        <w:t>submitted under this subpart that EPA has determined through rulemaking to</w:t>
      </w:r>
      <w:r w:rsidRPr="00283806">
        <w:rPr>
          <w:spacing w:val="40"/>
          <w:w w:val="105"/>
          <w:sz w:val="18"/>
        </w:rPr>
        <w:t xml:space="preserve"> </w:t>
      </w:r>
      <w:r w:rsidRPr="00283806">
        <w:rPr>
          <w:w w:val="105"/>
          <w:sz w:val="18"/>
        </w:rPr>
        <w:t>be either of the following:</w:t>
      </w:r>
    </w:p>
    <w:p w14:paraId="1F7B6B18" w14:textId="77777777" w:rsidR="00D67C1E" w:rsidRPr="00283806" w:rsidRDefault="001265CA">
      <w:pPr>
        <w:pStyle w:val="ListParagraph"/>
        <w:numPr>
          <w:ilvl w:val="1"/>
          <w:numId w:val="9"/>
        </w:numPr>
        <w:tabs>
          <w:tab w:val="left" w:pos="608"/>
        </w:tabs>
        <w:spacing w:line="184" w:lineRule="exact"/>
        <w:ind w:left="608" w:hanging="268"/>
        <w:rPr>
          <w:sz w:val="18"/>
        </w:rPr>
      </w:pPr>
      <w:r w:rsidRPr="00283806">
        <w:rPr>
          <w:w w:val="105"/>
          <w:sz w:val="18"/>
        </w:rPr>
        <w:t>Emission</w:t>
      </w:r>
      <w:r w:rsidRPr="00283806">
        <w:rPr>
          <w:spacing w:val="15"/>
          <w:w w:val="105"/>
          <w:sz w:val="18"/>
        </w:rPr>
        <w:t xml:space="preserve"> </w:t>
      </w:r>
      <w:r w:rsidRPr="00283806">
        <w:rPr>
          <w:w w:val="105"/>
          <w:sz w:val="18"/>
        </w:rPr>
        <w:t>data,</w:t>
      </w:r>
      <w:r w:rsidRPr="00283806">
        <w:rPr>
          <w:spacing w:val="16"/>
          <w:w w:val="105"/>
          <w:sz w:val="18"/>
        </w:rPr>
        <w:t xml:space="preserve"> </w:t>
      </w:r>
      <w:r w:rsidRPr="00283806">
        <w:rPr>
          <w:w w:val="105"/>
          <w:sz w:val="18"/>
        </w:rPr>
        <w:t>as</w:t>
      </w:r>
      <w:r w:rsidRPr="00283806">
        <w:rPr>
          <w:spacing w:val="16"/>
          <w:w w:val="105"/>
          <w:sz w:val="18"/>
        </w:rPr>
        <w:t xml:space="preserve"> </w:t>
      </w:r>
      <w:r w:rsidRPr="00283806">
        <w:rPr>
          <w:w w:val="105"/>
          <w:sz w:val="18"/>
        </w:rPr>
        <w:t>defined</w:t>
      </w:r>
      <w:r w:rsidRPr="00283806">
        <w:rPr>
          <w:spacing w:val="16"/>
          <w:w w:val="105"/>
          <w:sz w:val="18"/>
        </w:rPr>
        <w:t xml:space="preserve"> </w:t>
      </w:r>
      <w:r w:rsidRPr="00283806">
        <w:rPr>
          <w:w w:val="105"/>
          <w:sz w:val="18"/>
        </w:rPr>
        <w:t>in</w:t>
      </w:r>
      <w:r w:rsidRPr="00283806">
        <w:rPr>
          <w:spacing w:val="16"/>
          <w:w w:val="105"/>
          <w:sz w:val="18"/>
        </w:rPr>
        <w:t xml:space="preserve"> </w:t>
      </w:r>
      <w:r w:rsidRPr="00283806">
        <w:rPr>
          <w:spacing w:val="-5"/>
          <w:w w:val="105"/>
          <w:sz w:val="18"/>
        </w:rPr>
        <w:t>40</w:t>
      </w:r>
    </w:p>
    <w:p w14:paraId="5CC84977" w14:textId="77777777" w:rsidR="00D67C1E" w:rsidRPr="00283806" w:rsidRDefault="001265CA">
      <w:pPr>
        <w:pStyle w:val="BodyText"/>
        <w:spacing w:before="3" w:line="228" w:lineRule="auto"/>
      </w:pPr>
      <w:r w:rsidRPr="00283806">
        <w:rPr>
          <w:w w:val="105"/>
        </w:rPr>
        <w:t>CFR 2.301(a)(2), determined in accordance with section 114(c) and 307(d) of the Clean Air Act; or</w:t>
      </w:r>
    </w:p>
    <w:p w14:paraId="0AB73A98" w14:textId="77777777" w:rsidR="00D67C1E" w:rsidRPr="00283806" w:rsidRDefault="001265CA">
      <w:pPr>
        <w:pStyle w:val="ListParagraph"/>
        <w:numPr>
          <w:ilvl w:val="1"/>
          <w:numId w:val="9"/>
        </w:numPr>
        <w:tabs>
          <w:tab w:val="left" w:pos="608"/>
        </w:tabs>
        <w:spacing w:line="186" w:lineRule="exact"/>
        <w:ind w:left="608" w:hanging="268"/>
        <w:rPr>
          <w:sz w:val="18"/>
        </w:rPr>
      </w:pPr>
      <w:r w:rsidRPr="00283806">
        <w:rPr>
          <w:w w:val="105"/>
          <w:sz w:val="18"/>
        </w:rPr>
        <w:t>Data</w:t>
      </w:r>
      <w:r w:rsidRPr="00283806">
        <w:rPr>
          <w:spacing w:val="6"/>
          <w:w w:val="105"/>
          <w:sz w:val="18"/>
        </w:rPr>
        <w:t xml:space="preserve"> </w:t>
      </w:r>
      <w:r w:rsidRPr="00283806">
        <w:rPr>
          <w:w w:val="105"/>
          <w:sz w:val="18"/>
        </w:rPr>
        <w:t>not</w:t>
      </w:r>
      <w:r w:rsidRPr="00283806">
        <w:rPr>
          <w:spacing w:val="6"/>
          <w:w w:val="105"/>
          <w:sz w:val="18"/>
        </w:rPr>
        <w:t xml:space="preserve"> </w:t>
      </w:r>
      <w:r w:rsidRPr="00283806">
        <w:rPr>
          <w:w w:val="105"/>
          <w:sz w:val="18"/>
        </w:rPr>
        <w:t>otherwise</w:t>
      </w:r>
      <w:r w:rsidRPr="00283806">
        <w:rPr>
          <w:spacing w:val="6"/>
          <w:w w:val="105"/>
          <w:sz w:val="18"/>
        </w:rPr>
        <w:t xml:space="preserve"> </w:t>
      </w:r>
      <w:r w:rsidRPr="00283806">
        <w:rPr>
          <w:w w:val="105"/>
          <w:sz w:val="18"/>
        </w:rPr>
        <w:t>entitled</w:t>
      </w:r>
      <w:r w:rsidRPr="00283806">
        <w:rPr>
          <w:spacing w:val="7"/>
          <w:w w:val="105"/>
          <w:sz w:val="18"/>
        </w:rPr>
        <w:t xml:space="preserve"> </w:t>
      </w:r>
      <w:r w:rsidRPr="00283806">
        <w:rPr>
          <w:spacing w:val="-5"/>
          <w:w w:val="105"/>
          <w:sz w:val="18"/>
        </w:rPr>
        <w:t>to</w:t>
      </w:r>
    </w:p>
    <w:p w14:paraId="324F7CF6" w14:textId="77777777" w:rsidR="00D67C1E" w:rsidRPr="00283806" w:rsidRDefault="001265CA">
      <w:pPr>
        <w:pStyle w:val="BodyText"/>
        <w:spacing w:line="195" w:lineRule="exact"/>
      </w:pPr>
      <w:r w:rsidRPr="00283806">
        <w:rPr>
          <w:w w:val="105"/>
        </w:rPr>
        <w:t>confidential</w:t>
      </w:r>
      <w:r w:rsidRPr="00283806">
        <w:rPr>
          <w:spacing w:val="43"/>
          <w:w w:val="105"/>
        </w:rPr>
        <w:t xml:space="preserve"> </w:t>
      </w:r>
      <w:r w:rsidRPr="00283806">
        <w:rPr>
          <w:spacing w:val="-2"/>
          <w:w w:val="105"/>
        </w:rPr>
        <w:t>treatment.</w:t>
      </w:r>
    </w:p>
    <w:p w14:paraId="2E79B57F" w14:textId="77777777" w:rsidR="00D67C1E" w:rsidRPr="00283806" w:rsidRDefault="001265CA">
      <w:pPr>
        <w:pStyle w:val="ListParagraph"/>
        <w:numPr>
          <w:ilvl w:val="0"/>
          <w:numId w:val="9"/>
        </w:numPr>
        <w:tabs>
          <w:tab w:val="left" w:pos="608"/>
        </w:tabs>
        <w:spacing w:line="228" w:lineRule="auto"/>
        <w:ind w:right="248" w:firstLine="180"/>
        <w:rPr>
          <w:sz w:val="18"/>
        </w:rPr>
      </w:pPr>
      <w:r w:rsidRPr="00283806">
        <w:rPr>
          <w:w w:val="105"/>
          <w:sz w:val="18"/>
        </w:rPr>
        <w:t>Except as otherwise provided in paragraph (d) of this section, 40 CFR</w:t>
      </w:r>
    </w:p>
    <w:p w14:paraId="0E349199" w14:textId="77777777" w:rsidR="00D67C1E" w:rsidRPr="00283806" w:rsidRDefault="001265CA">
      <w:pPr>
        <w:pStyle w:val="BodyText"/>
        <w:spacing w:line="228" w:lineRule="auto"/>
        <w:ind w:right="20"/>
      </w:pPr>
      <w:r w:rsidRPr="00283806">
        <w:rPr>
          <w:w w:val="105"/>
        </w:rPr>
        <w:t>2.201</w:t>
      </w:r>
      <w:r w:rsidRPr="00283806">
        <w:rPr>
          <w:spacing w:val="-6"/>
          <w:w w:val="105"/>
        </w:rPr>
        <w:t xml:space="preserve"> </w:t>
      </w:r>
      <w:r w:rsidRPr="00283806">
        <w:rPr>
          <w:w w:val="105"/>
        </w:rPr>
        <w:t>through</w:t>
      </w:r>
      <w:r w:rsidRPr="00283806">
        <w:rPr>
          <w:spacing w:val="-6"/>
          <w:w w:val="105"/>
        </w:rPr>
        <w:t xml:space="preserve"> </w:t>
      </w:r>
      <w:r w:rsidRPr="00283806">
        <w:rPr>
          <w:w w:val="105"/>
        </w:rPr>
        <w:t>2.208</w:t>
      </w:r>
      <w:r w:rsidRPr="00283806">
        <w:rPr>
          <w:spacing w:val="-6"/>
          <w:w w:val="105"/>
        </w:rPr>
        <w:t xml:space="preserve"> </w:t>
      </w:r>
      <w:r w:rsidRPr="00283806">
        <w:rPr>
          <w:w w:val="105"/>
        </w:rPr>
        <w:t>and</w:t>
      </w:r>
      <w:r w:rsidRPr="00283806">
        <w:rPr>
          <w:spacing w:val="-6"/>
          <w:w w:val="105"/>
        </w:rPr>
        <w:t xml:space="preserve"> </w:t>
      </w:r>
      <w:r w:rsidRPr="00283806">
        <w:rPr>
          <w:w w:val="105"/>
        </w:rPr>
        <w:t>2.301(c)</w:t>
      </w:r>
      <w:r w:rsidRPr="00283806">
        <w:rPr>
          <w:spacing w:val="-6"/>
          <w:w w:val="105"/>
        </w:rPr>
        <w:t xml:space="preserve"> </w:t>
      </w:r>
      <w:r w:rsidRPr="00283806">
        <w:rPr>
          <w:w w:val="105"/>
        </w:rPr>
        <w:t>and</w:t>
      </w:r>
      <w:r w:rsidRPr="00283806">
        <w:rPr>
          <w:spacing w:val="-6"/>
          <w:w w:val="105"/>
        </w:rPr>
        <w:t xml:space="preserve"> </w:t>
      </w:r>
      <w:r w:rsidRPr="00283806">
        <w:rPr>
          <w:w w:val="105"/>
        </w:rPr>
        <w:t>(d) do not apply to data submitted under</w:t>
      </w:r>
      <w:r w:rsidRPr="00283806">
        <w:rPr>
          <w:spacing w:val="80"/>
          <w:w w:val="105"/>
        </w:rPr>
        <w:t xml:space="preserve"> </w:t>
      </w:r>
      <w:r w:rsidRPr="00283806">
        <w:rPr>
          <w:w w:val="105"/>
        </w:rPr>
        <w:t>this subpart that EPA has determined through rulemaking to be entitled to confidential treatment. EPA shall treat that information as confidential in accordance with the provisions of 40</w:t>
      </w:r>
      <w:r w:rsidRPr="00283806">
        <w:rPr>
          <w:spacing w:val="80"/>
          <w:w w:val="105"/>
        </w:rPr>
        <w:t xml:space="preserve"> </w:t>
      </w:r>
      <w:r w:rsidRPr="00283806">
        <w:rPr>
          <w:w w:val="105"/>
        </w:rPr>
        <w:t>CFR 2.211, subject to paragraph (d) of this section and 40 CFR 2.209.</w:t>
      </w:r>
    </w:p>
    <w:p w14:paraId="11C24080" w14:textId="77777777" w:rsidR="00D67C1E" w:rsidRPr="00283806" w:rsidRDefault="001265CA">
      <w:pPr>
        <w:pStyle w:val="ListParagraph"/>
        <w:numPr>
          <w:ilvl w:val="0"/>
          <w:numId w:val="9"/>
        </w:numPr>
        <w:tabs>
          <w:tab w:val="left" w:pos="598"/>
        </w:tabs>
        <w:spacing w:line="183" w:lineRule="exact"/>
        <w:ind w:left="598" w:hanging="258"/>
        <w:rPr>
          <w:sz w:val="18"/>
        </w:rPr>
      </w:pPr>
      <w:r w:rsidRPr="00283806">
        <w:rPr>
          <w:w w:val="105"/>
          <w:sz w:val="18"/>
        </w:rPr>
        <w:t>Upon</w:t>
      </w:r>
      <w:r w:rsidRPr="00283806">
        <w:rPr>
          <w:spacing w:val="11"/>
          <w:w w:val="105"/>
          <w:sz w:val="18"/>
        </w:rPr>
        <w:t xml:space="preserve"> </w:t>
      </w:r>
      <w:r w:rsidRPr="00283806">
        <w:rPr>
          <w:w w:val="105"/>
          <w:sz w:val="18"/>
        </w:rPr>
        <w:t>receiving</w:t>
      </w:r>
      <w:r w:rsidRPr="00283806">
        <w:rPr>
          <w:spacing w:val="12"/>
          <w:w w:val="105"/>
          <w:sz w:val="18"/>
        </w:rPr>
        <w:t xml:space="preserve"> </w:t>
      </w:r>
      <w:r w:rsidRPr="00283806">
        <w:rPr>
          <w:w w:val="105"/>
          <w:sz w:val="18"/>
        </w:rPr>
        <w:t>a</w:t>
      </w:r>
      <w:r w:rsidRPr="00283806">
        <w:rPr>
          <w:spacing w:val="12"/>
          <w:w w:val="105"/>
          <w:sz w:val="18"/>
        </w:rPr>
        <w:t xml:space="preserve"> </w:t>
      </w:r>
      <w:r w:rsidRPr="00283806">
        <w:rPr>
          <w:w w:val="105"/>
          <w:sz w:val="18"/>
        </w:rPr>
        <w:t>request</w:t>
      </w:r>
      <w:r w:rsidRPr="00283806">
        <w:rPr>
          <w:spacing w:val="11"/>
          <w:w w:val="105"/>
          <w:sz w:val="18"/>
        </w:rPr>
        <w:t xml:space="preserve"> </w:t>
      </w:r>
      <w:r w:rsidRPr="00283806">
        <w:rPr>
          <w:w w:val="105"/>
          <w:sz w:val="18"/>
        </w:rPr>
        <w:t>under</w:t>
      </w:r>
      <w:r w:rsidRPr="00283806">
        <w:rPr>
          <w:spacing w:val="12"/>
          <w:w w:val="105"/>
          <w:sz w:val="18"/>
        </w:rPr>
        <w:t xml:space="preserve"> </w:t>
      </w:r>
      <w:r w:rsidRPr="00283806">
        <w:rPr>
          <w:spacing w:val="-10"/>
          <w:w w:val="105"/>
          <w:sz w:val="18"/>
        </w:rPr>
        <w:t>5</w:t>
      </w:r>
    </w:p>
    <w:p w14:paraId="64311E87" w14:textId="77777777" w:rsidR="00D67C1E" w:rsidRPr="00283806" w:rsidRDefault="001265CA">
      <w:pPr>
        <w:pStyle w:val="BodyText"/>
        <w:spacing w:line="228" w:lineRule="auto"/>
        <w:ind w:right="78"/>
      </w:pPr>
      <w:r w:rsidRPr="00283806">
        <w:rPr>
          <w:w w:val="105"/>
        </w:rPr>
        <w:t>U.S.C. 552 for data submitted under this subpart that EPA has determined</w:t>
      </w:r>
      <w:r w:rsidRPr="00283806">
        <w:rPr>
          <w:spacing w:val="40"/>
          <w:w w:val="105"/>
        </w:rPr>
        <w:t xml:space="preserve"> </w:t>
      </w:r>
      <w:r w:rsidRPr="00283806">
        <w:rPr>
          <w:w w:val="105"/>
        </w:rPr>
        <w:t>through rulemaking to be entitled to confidential treatment, the relevant Agency official shall furnish the</w:t>
      </w:r>
      <w:r w:rsidRPr="00283806">
        <w:rPr>
          <w:spacing w:val="40"/>
          <w:w w:val="105"/>
        </w:rPr>
        <w:t xml:space="preserve"> </w:t>
      </w:r>
      <w:r w:rsidRPr="00283806">
        <w:rPr>
          <w:w w:val="105"/>
        </w:rPr>
        <w:t xml:space="preserve">requestor a notice that the information has been determined to be entitled to confidential treatment and that the request is therefore denied. The notice shall include or </w:t>
      </w:r>
      <w:proofErr w:type="gramStart"/>
      <w:r w:rsidRPr="00283806">
        <w:rPr>
          <w:w w:val="105"/>
        </w:rPr>
        <w:t>cite to</w:t>
      </w:r>
      <w:proofErr w:type="gramEnd"/>
      <w:r w:rsidRPr="00283806">
        <w:rPr>
          <w:w w:val="105"/>
        </w:rPr>
        <w:t xml:space="preserve"> the appropriate EPA determination.</w:t>
      </w:r>
    </w:p>
    <w:p w14:paraId="4B6D0B71" w14:textId="77777777" w:rsidR="00D67C1E" w:rsidRPr="00283806" w:rsidRDefault="001265CA">
      <w:pPr>
        <w:pStyle w:val="ListParagraph"/>
        <w:numPr>
          <w:ilvl w:val="0"/>
          <w:numId w:val="9"/>
        </w:numPr>
        <w:tabs>
          <w:tab w:val="left" w:pos="618"/>
        </w:tabs>
        <w:spacing w:line="182" w:lineRule="exact"/>
        <w:ind w:left="618" w:hanging="278"/>
        <w:rPr>
          <w:sz w:val="18"/>
        </w:rPr>
      </w:pPr>
      <w:proofErr w:type="gramStart"/>
      <w:r w:rsidRPr="00283806">
        <w:rPr>
          <w:sz w:val="18"/>
        </w:rPr>
        <w:t>A</w:t>
      </w:r>
      <w:r w:rsidRPr="00283806">
        <w:rPr>
          <w:spacing w:val="43"/>
          <w:sz w:val="18"/>
        </w:rPr>
        <w:t xml:space="preserve"> </w:t>
      </w:r>
      <w:r w:rsidRPr="00283806">
        <w:rPr>
          <w:sz w:val="18"/>
        </w:rPr>
        <w:t>determination</w:t>
      </w:r>
      <w:proofErr w:type="gramEnd"/>
      <w:r w:rsidRPr="00283806">
        <w:rPr>
          <w:spacing w:val="43"/>
          <w:sz w:val="18"/>
        </w:rPr>
        <w:t xml:space="preserve"> </w:t>
      </w:r>
      <w:r w:rsidRPr="00283806">
        <w:rPr>
          <w:sz w:val="18"/>
        </w:rPr>
        <w:t>made</w:t>
      </w:r>
      <w:r w:rsidRPr="00283806">
        <w:rPr>
          <w:spacing w:val="44"/>
          <w:sz w:val="18"/>
        </w:rPr>
        <w:t xml:space="preserve"> </w:t>
      </w:r>
      <w:r w:rsidRPr="00283806">
        <w:rPr>
          <w:spacing w:val="-2"/>
          <w:sz w:val="18"/>
        </w:rPr>
        <w:t>through</w:t>
      </w:r>
    </w:p>
    <w:p w14:paraId="315CC532" w14:textId="77777777" w:rsidR="00D67C1E" w:rsidRPr="00283806" w:rsidRDefault="001265CA">
      <w:pPr>
        <w:pStyle w:val="BodyText"/>
        <w:spacing w:before="3" w:line="228" w:lineRule="auto"/>
      </w:pPr>
      <w:r w:rsidRPr="00283806">
        <w:rPr>
          <w:w w:val="105"/>
        </w:rPr>
        <w:t xml:space="preserve">rulemaking that information submitted under this subpart is entitled to confidential treatment shall continue in effect unless, </w:t>
      </w:r>
      <w:proofErr w:type="gramStart"/>
      <w:r w:rsidRPr="00283806">
        <w:rPr>
          <w:w w:val="105"/>
        </w:rPr>
        <w:t>subsequent to</w:t>
      </w:r>
      <w:proofErr w:type="gramEnd"/>
      <w:r w:rsidRPr="00283806">
        <w:rPr>
          <w:w w:val="105"/>
        </w:rPr>
        <w:t xml:space="preserve"> the confidentiality determination through rulemaking, EPA takes one of the following actions:</w:t>
      </w:r>
    </w:p>
    <w:p w14:paraId="4F05CC28" w14:textId="77777777" w:rsidR="00D67C1E" w:rsidRPr="00283806" w:rsidRDefault="001265CA">
      <w:pPr>
        <w:pStyle w:val="ListParagraph"/>
        <w:numPr>
          <w:ilvl w:val="0"/>
          <w:numId w:val="8"/>
        </w:numPr>
        <w:tabs>
          <w:tab w:val="left" w:pos="608"/>
        </w:tabs>
        <w:spacing w:line="184" w:lineRule="exact"/>
        <w:ind w:left="608" w:hanging="268"/>
        <w:rPr>
          <w:sz w:val="18"/>
        </w:rPr>
      </w:pPr>
      <w:r w:rsidRPr="00283806">
        <w:rPr>
          <w:w w:val="105"/>
          <w:sz w:val="18"/>
        </w:rPr>
        <w:t>EPA</w:t>
      </w:r>
      <w:r w:rsidRPr="00283806">
        <w:rPr>
          <w:spacing w:val="12"/>
          <w:w w:val="105"/>
          <w:sz w:val="18"/>
        </w:rPr>
        <w:t xml:space="preserve"> </w:t>
      </w:r>
      <w:r w:rsidRPr="00283806">
        <w:rPr>
          <w:w w:val="105"/>
          <w:sz w:val="18"/>
        </w:rPr>
        <w:t>determines</w:t>
      </w:r>
      <w:r w:rsidRPr="00283806">
        <w:rPr>
          <w:spacing w:val="13"/>
          <w:w w:val="105"/>
          <w:sz w:val="18"/>
        </w:rPr>
        <w:t xml:space="preserve"> </w:t>
      </w:r>
      <w:r w:rsidRPr="00283806">
        <w:rPr>
          <w:w w:val="105"/>
          <w:sz w:val="18"/>
        </w:rPr>
        <w:t>through</w:t>
      </w:r>
      <w:r w:rsidRPr="00283806">
        <w:rPr>
          <w:spacing w:val="12"/>
          <w:w w:val="105"/>
          <w:sz w:val="18"/>
        </w:rPr>
        <w:t xml:space="preserve"> </w:t>
      </w:r>
      <w:r w:rsidRPr="00283806">
        <w:rPr>
          <w:spacing w:val="-10"/>
          <w:w w:val="105"/>
          <w:sz w:val="18"/>
        </w:rPr>
        <w:t>a</w:t>
      </w:r>
    </w:p>
    <w:p w14:paraId="2C75EED4" w14:textId="77777777" w:rsidR="00D67C1E" w:rsidRPr="00283806" w:rsidRDefault="001265CA">
      <w:pPr>
        <w:pStyle w:val="BodyText"/>
        <w:spacing w:before="4" w:line="228" w:lineRule="auto"/>
      </w:pPr>
      <w:r w:rsidRPr="00283806">
        <w:rPr>
          <w:w w:val="105"/>
        </w:rPr>
        <w:t>subsequent rulemaking that the information is emission data or data not otherwise entitled to confidential treatment; or</w:t>
      </w:r>
    </w:p>
    <w:p w14:paraId="4357FBC1" w14:textId="77777777" w:rsidR="00D67C1E" w:rsidRPr="00283806" w:rsidRDefault="001265CA">
      <w:pPr>
        <w:pStyle w:val="ListParagraph"/>
        <w:numPr>
          <w:ilvl w:val="0"/>
          <w:numId w:val="8"/>
        </w:numPr>
        <w:tabs>
          <w:tab w:val="left" w:pos="608"/>
        </w:tabs>
        <w:spacing w:line="185" w:lineRule="exact"/>
        <w:ind w:left="608" w:hanging="268"/>
        <w:rPr>
          <w:sz w:val="18"/>
        </w:rPr>
      </w:pPr>
      <w:r w:rsidRPr="00283806">
        <w:rPr>
          <w:w w:val="110"/>
          <w:sz w:val="18"/>
        </w:rPr>
        <w:t>The</w:t>
      </w:r>
      <w:r w:rsidRPr="00283806">
        <w:rPr>
          <w:spacing w:val="-1"/>
          <w:w w:val="110"/>
          <w:sz w:val="18"/>
        </w:rPr>
        <w:t xml:space="preserve"> </w:t>
      </w:r>
      <w:r w:rsidRPr="00283806">
        <w:rPr>
          <w:w w:val="110"/>
          <w:sz w:val="18"/>
        </w:rPr>
        <w:t xml:space="preserve">Office of General </w:t>
      </w:r>
      <w:r w:rsidRPr="00283806">
        <w:rPr>
          <w:spacing w:val="-2"/>
          <w:w w:val="110"/>
          <w:sz w:val="18"/>
        </w:rPr>
        <w:t>Counsel</w:t>
      </w:r>
    </w:p>
    <w:p w14:paraId="2161F28F" w14:textId="77777777" w:rsidR="00D67C1E" w:rsidRPr="00283806" w:rsidRDefault="001265CA">
      <w:pPr>
        <w:pStyle w:val="BodyText"/>
        <w:spacing w:before="3" w:line="228" w:lineRule="auto"/>
        <w:ind w:right="97"/>
      </w:pPr>
      <w:r w:rsidRPr="00283806">
        <w:rPr>
          <w:w w:val="105"/>
        </w:rPr>
        <w:t xml:space="preserve">issues a final determination, based on </w:t>
      </w:r>
      <w:r w:rsidRPr="00283806">
        <w:t>the</w:t>
      </w:r>
      <w:r w:rsidRPr="00283806">
        <w:rPr>
          <w:spacing w:val="39"/>
        </w:rPr>
        <w:t xml:space="preserve"> </w:t>
      </w:r>
      <w:r w:rsidRPr="00283806">
        <w:t>requirements</w:t>
      </w:r>
      <w:r w:rsidRPr="00283806">
        <w:rPr>
          <w:spacing w:val="39"/>
        </w:rPr>
        <w:t xml:space="preserve"> </w:t>
      </w:r>
      <w:r w:rsidRPr="00283806">
        <w:t>of</w:t>
      </w:r>
      <w:r w:rsidRPr="00283806">
        <w:rPr>
          <w:spacing w:val="39"/>
        </w:rPr>
        <w:t xml:space="preserve"> </w:t>
      </w:r>
      <w:r w:rsidRPr="00283806">
        <w:t>5</w:t>
      </w:r>
      <w:r w:rsidRPr="00283806">
        <w:rPr>
          <w:spacing w:val="39"/>
        </w:rPr>
        <w:t xml:space="preserve"> </w:t>
      </w:r>
      <w:r w:rsidRPr="00283806">
        <w:t>U.S.C.</w:t>
      </w:r>
      <w:r w:rsidRPr="00283806">
        <w:rPr>
          <w:spacing w:val="39"/>
        </w:rPr>
        <w:t xml:space="preserve"> </w:t>
      </w:r>
      <w:r w:rsidRPr="00283806">
        <w:rPr>
          <w:spacing w:val="-2"/>
        </w:rPr>
        <w:t>552(b)(4),</w:t>
      </w:r>
    </w:p>
    <w:p w14:paraId="45A30A73" w14:textId="77777777" w:rsidR="00D67C1E" w:rsidRPr="00283806" w:rsidRDefault="001265CA">
      <w:pPr>
        <w:pStyle w:val="BodyText"/>
        <w:spacing w:before="127" w:line="237" w:lineRule="auto"/>
        <w:ind w:left="143" w:right="27"/>
      </w:pPr>
      <w:r w:rsidRPr="00283806">
        <w:br w:type="column"/>
      </w:r>
      <w:r w:rsidRPr="00283806">
        <w:rPr>
          <w:w w:val="105"/>
        </w:rPr>
        <w:t>stating that the information is no longer entitled to confidential treatment because of change in the applicable law or newly discovered or changed facts. Prior to making such final</w:t>
      </w:r>
      <w:r w:rsidRPr="00283806">
        <w:rPr>
          <w:spacing w:val="80"/>
          <w:w w:val="105"/>
        </w:rPr>
        <w:t xml:space="preserve"> </w:t>
      </w:r>
      <w:r w:rsidRPr="00283806">
        <w:rPr>
          <w:w w:val="105"/>
        </w:rPr>
        <w:t>determination, EPA shall afford the business an opportunity to submit comments on pertinent issues in the manner described by 40 CFR 2.204(e) and 2.205(b). If, after consideration of any timely comments submitted by the business, the Office of General Counsel makes a revised final determination that the information is not entitled to confidential treatment, the relevant agency</w:t>
      </w:r>
      <w:r w:rsidRPr="00283806">
        <w:rPr>
          <w:spacing w:val="40"/>
          <w:w w:val="105"/>
        </w:rPr>
        <w:t xml:space="preserve"> </w:t>
      </w:r>
      <w:r w:rsidRPr="00283806">
        <w:rPr>
          <w:w w:val="105"/>
        </w:rPr>
        <w:t>official</w:t>
      </w:r>
      <w:r w:rsidRPr="00283806">
        <w:rPr>
          <w:spacing w:val="40"/>
          <w:w w:val="105"/>
        </w:rPr>
        <w:t xml:space="preserve"> </w:t>
      </w:r>
      <w:r w:rsidRPr="00283806">
        <w:rPr>
          <w:w w:val="105"/>
        </w:rPr>
        <w:t>will</w:t>
      </w:r>
      <w:r w:rsidRPr="00283806">
        <w:rPr>
          <w:spacing w:val="40"/>
          <w:w w:val="105"/>
        </w:rPr>
        <w:t xml:space="preserve"> </w:t>
      </w:r>
      <w:r w:rsidRPr="00283806">
        <w:rPr>
          <w:w w:val="105"/>
        </w:rPr>
        <w:t>notify</w:t>
      </w:r>
      <w:r w:rsidRPr="00283806">
        <w:rPr>
          <w:spacing w:val="40"/>
          <w:w w:val="105"/>
        </w:rPr>
        <w:t xml:space="preserve"> </w:t>
      </w:r>
      <w:r w:rsidRPr="00283806">
        <w:rPr>
          <w:w w:val="105"/>
        </w:rPr>
        <w:t>the</w:t>
      </w:r>
      <w:r w:rsidRPr="00283806">
        <w:rPr>
          <w:spacing w:val="40"/>
          <w:w w:val="105"/>
        </w:rPr>
        <w:t xml:space="preserve"> </w:t>
      </w:r>
      <w:r w:rsidRPr="00283806">
        <w:rPr>
          <w:w w:val="105"/>
        </w:rPr>
        <w:t>business in accordance with the procedures described in 40 CFR 2.205(f)(2).</w:t>
      </w:r>
    </w:p>
    <w:p w14:paraId="1AD4C7F4" w14:textId="77777777" w:rsidR="00D67C1E" w:rsidRPr="00283806" w:rsidRDefault="001265CA">
      <w:pPr>
        <w:spacing w:before="131"/>
        <w:ind w:left="143"/>
        <w:rPr>
          <w:rFonts w:ascii="Arial" w:hAnsi="Arial"/>
          <w:b/>
          <w:sz w:val="16"/>
        </w:rPr>
      </w:pPr>
      <w:r w:rsidRPr="00283806">
        <w:rPr>
          <w:rFonts w:ascii="Arial" w:hAnsi="Arial"/>
          <w:b/>
          <w:sz w:val="16"/>
        </w:rPr>
        <w:t>§</w:t>
      </w:r>
      <w:r w:rsidRPr="00283806">
        <w:rPr>
          <w:rFonts w:ascii="Arial" w:hAnsi="Arial"/>
          <w:b/>
          <w:spacing w:val="-19"/>
          <w:sz w:val="16"/>
        </w:rPr>
        <w:t xml:space="preserve"> </w:t>
      </w:r>
      <w:r w:rsidRPr="00283806">
        <w:rPr>
          <w:rFonts w:ascii="Arial" w:hAnsi="Arial"/>
          <w:b/>
          <w:sz w:val="16"/>
        </w:rPr>
        <w:t>84.120</w:t>
      </w:r>
      <w:r w:rsidRPr="00283806">
        <w:rPr>
          <w:rFonts w:ascii="Arial" w:hAnsi="Arial"/>
          <w:b/>
          <w:spacing w:val="33"/>
          <w:sz w:val="16"/>
        </w:rPr>
        <w:t xml:space="preserve">  </w:t>
      </w:r>
      <w:r w:rsidRPr="00283806">
        <w:rPr>
          <w:rFonts w:ascii="Arial" w:hAnsi="Arial"/>
          <w:b/>
          <w:sz w:val="16"/>
        </w:rPr>
        <w:t>Relationship</w:t>
      </w:r>
      <w:r w:rsidRPr="00283806">
        <w:rPr>
          <w:rFonts w:ascii="Arial" w:hAnsi="Arial"/>
          <w:b/>
          <w:spacing w:val="-1"/>
          <w:sz w:val="16"/>
        </w:rPr>
        <w:t xml:space="preserve"> </w:t>
      </w:r>
      <w:r w:rsidRPr="00283806">
        <w:rPr>
          <w:rFonts w:ascii="Arial" w:hAnsi="Arial"/>
          <w:b/>
          <w:sz w:val="16"/>
        </w:rPr>
        <w:t>to</w:t>
      </w:r>
      <w:r w:rsidRPr="00283806">
        <w:rPr>
          <w:rFonts w:ascii="Arial" w:hAnsi="Arial"/>
          <w:b/>
          <w:spacing w:val="-2"/>
          <w:sz w:val="16"/>
        </w:rPr>
        <w:t xml:space="preserve"> </w:t>
      </w:r>
      <w:r w:rsidRPr="00283806">
        <w:rPr>
          <w:rFonts w:ascii="Arial" w:hAnsi="Arial"/>
          <w:b/>
          <w:sz w:val="16"/>
        </w:rPr>
        <w:t>other</w:t>
      </w:r>
      <w:r w:rsidRPr="00283806">
        <w:rPr>
          <w:rFonts w:ascii="Arial" w:hAnsi="Arial"/>
          <w:b/>
          <w:spacing w:val="-2"/>
          <w:sz w:val="16"/>
        </w:rPr>
        <w:t xml:space="preserve"> laws.</w:t>
      </w:r>
    </w:p>
    <w:p w14:paraId="70079DE0" w14:textId="77777777" w:rsidR="00D67C1E" w:rsidRPr="00283806" w:rsidRDefault="001265CA">
      <w:pPr>
        <w:pStyle w:val="BodyText"/>
        <w:spacing w:before="101" w:line="237" w:lineRule="auto"/>
        <w:ind w:left="143" w:firstLine="180"/>
      </w:pPr>
      <w:r w:rsidRPr="00283806">
        <w:rPr>
          <w:w w:val="105"/>
        </w:rPr>
        <w:t>Section (k) of the AIM Act states that sections 113, 114, 304, and 307 of the</w:t>
      </w:r>
    </w:p>
    <w:p w14:paraId="6F408A17" w14:textId="77777777" w:rsidR="00D67C1E" w:rsidRPr="00283806" w:rsidRDefault="001265CA">
      <w:pPr>
        <w:pStyle w:val="BodyText"/>
        <w:spacing w:line="206" w:lineRule="exact"/>
        <w:ind w:left="143"/>
      </w:pPr>
      <w:r w:rsidRPr="00283806">
        <w:rPr>
          <w:w w:val="110"/>
        </w:rPr>
        <w:t>Clean</w:t>
      </w:r>
      <w:r w:rsidRPr="00283806">
        <w:rPr>
          <w:spacing w:val="7"/>
          <w:w w:val="110"/>
        </w:rPr>
        <w:t xml:space="preserve"> </w:t>
      </w:r>
      <w:r w:rsidRPr="00283806">
        <w:rPr>
          <w:w w:val="110"/>
        </w:rPr>
        <w:t>Air</w:t>
      </w:r>
      <w:r w:rsidRPr="00283806">
        <w:rPr>
          <w:spacing w:val="7"/>
          <w:w w:val="110"/>
        </w:rPr>
        <w:t xml:space="preserve"> </w:t>
      </w:r>
      <w:r w:rsidRPr="00283806">
        <w:rPr>
          <w:w w:val="110"/>
        </w:rPr>
        <w:t>Act</w:t>
      </w:r>
      <w:r w:rsidRPr="00283806">
        <w:rPr>
          <w:spacing w:val="7"/>
          <w:w w:val="110"/>
        </w:rPr>
        <w:t xml:space="preserve"> </w:t>
      </w:r>
      <w:r w:rsidRPr="00283806">
        <w:rPr>
          <w:w w:val="110"/>
        </w:rPr>
        <w:t>(42</w:t>
      </w:r>
      <w:r w:rsidRPr="00283806">
        <w:rPr>
          <w:spacing w:val="7"/>
          <w:w w:val="110"/>
        </w:rPr>
        <w:t xml:space="preserve"> </w:t>
      </w:r>
      <w:r w:rsidRPr="00283806">
        <w:rPr>
          <w:w w:val="110"/>
        </w:rPr>
        <w:t>U.S.C.</w:t>
      </w:r>
      <w:r w:rsidRPr="00283806">
        <w:rPr>
          <w:spacing w:val="7"/>
          <w:w w:val="110"/>
        </w:rPr>
        <w:t xml:space="preserve"> </w:t>
      </w:r>
      <w:r w:rsidRPr="00283806">
        <w:rPr>
          <w:w w:val="110"/>
        </w:rPr>
        <w:t>7413,</w:t>
      </w:r>
      <w:r w:rsidRPr="00283806">
        <w:rPr>
          <w:spacing w:val="7"/>
          <w:w w:val="110"/>
        </w:rPr>
        <w:t xml:space="preserve"> </w:t>
      </w:r>
      <w:r w:rsidRPr="00283806">
        <w:rPr>
          <w:spacing w:val="-2"/>
          <w:w w:val="110"/>
        </w:rPr>
        <w:t>7414,</w:t>
      </w:r>
    </w:p>
    <w:p w14:paraId="19FE8DF7" w14:textId="77777777" w:rsidR="00D67C1E" w:rsidRPr="00283806" w:rsidRDefault="001265CA">
      <w:pPr>
        <w:pStyle w:val="BodyText"/>
        <w:spacing w:before="2" w:line="235" w:lineRule="auto"/>
        <w:ind w:left="143" w:right="114"/>
      </w:pPr>
      <w:r w:rsidRPr="00283806">
        <w:rPr>
          <w:w w:val="105"/>
        </w:rPr>
        <w:t xml:space="preserve">7604, 7607) shall apply to this section and any rule, rulemaking, or regulation promulgated by the Administrator pursuant to this section as though this section were expressly included in title VI of that Act (42 U.S.C. 7671 </w:t>
      </w:r>
      <w:r w:rsidRPr="00283806">
        <w:rPr>
          <w:rFonts w:ascii="Book Antiqua"/>
          <w:i/>
          <w:w w:val="105"/>
        </w:rPr>
        <w:t>et seq.</w:t>
      </w:r>
      <w:r w:rsidRPr="00283806">
        <w:rPr>
          <w:w w:val="105"/>
        </w:rPr>
        <w:t xml:space="preserve">). Violation of this part is subject to Federal enforcement and the penalties laid out in section 113 of the Clean Air </w:t>
      </w:r>
      <w:r w:rsidRPr="00283806">
        <w:rPr>
          <w:spacing w:val="-4"/>
          <w:w w:val="105"/>
        </w:rPr>
        <w:t>Act.</w:t>
      </w:r>
    </w:p>
    <w:p w14:paraId="55990F13" w14:textId="77777777" w:rsidR="00D67C1E" w:rsidRPr="00283806" w:rsidRDefault="001265CA">
      <w:pPr>
        <w:pStyle w:val="Heading2"/>
        <w:spacing w:before="169"/>
        <w:ind w:left="143"/>
      </w:pPr>
      <w:r w:rsidRPr="00283806">
        <w:t>PART</w:t>
      </w:r>
      <w:r w:rsidRPr="00283806">
        <w:rPr>
          <w:spacing w:val="-15"/>
        </w:rPr>
        <w:t xml:space="preserve"> </w:t>
      </w:r>
      <w:r w:rsidRPr="00283806">
        <w:t>261—IDENTIFICATION</w:t>
      </w:r>
      <w:r w:rsidRPr="00283806">
        <w:rPr>
          <w:spacing w:val="-12"/>
        </w:rPr>
        <w:t xml:space="preserve"> </w:t>
      </w:r>
      <w:r w:rsidRPr="00283806">
        <w:t>AND LISTING</w:t>
      </w:r>
      <w:r w:rsidRPr="00283806">
        <w:rPr>
          <w:spacing w:val="-5"/>
        </w:rPr>
        <w:t xml:space="preserve"> </w:t>
      </w:r>
      <w:r w:rsidRPr="00283806">
        <w:t>OF</w:t>
      </w:r>
      <w:r w:rsidRPr="00283806">
        <w:rPr>
          <w:spacing w:val="-5"/>
        </w:rPr>
        <w:t xml:space="preserve"> </w:t>
      </w:r>
      <w:r w:rsidRPr="00283806">
        <w:t>HAZARDOUS</w:t>
      </w:r>
      <w:r w:rsidRPr="00283806">
        <w:rPr>
          <w:spacing w:val="-5"/>
        </w:rPr>
        <w:t xml:space="preserve"> </w:t>
      </w:r>
      <w:r w:rsidRPr="00283806">
        <w:rPr>
          <w:spacing w:val="-2"/>
        </w:rPr>
        <w:t>WASTE</w:t>
      </w:r>
    </w:p>
    <w:p w14:paraId="6BE43DA4" w14:textId="77777777" w:rsidR="00D67C1E" w:rsidRPr="00283806" w:rsidRDefault="00D67C1E">
      <w:pPr>
        <w:pStyle w:val="BodyText"/>
        <w:spacing w:before="9"/>
        <w:ind w:left="0"/>
        <w:rPr>
          <w:rFonts w:ascii="Arial"/>
          <w:b/>
        </w:rPr>
      </w:pPr>
    </w:p>
    <w:p w14:paraId="2E1DB271" w14:textId="77777777" w:rsidR="00D67C1E" w:rsidRPr="00283806" w:rsidRDefault="001265CA">
      <w:pPr>
        <w:pStyle w:val="ListParagraph"/>
        <w:numPr>
          <w:ilvl w:val="0"/>
          <w:numId w:val="7"/>
        </w:numPr>
        <w:tabs>
          <w:tab w:val="left" w:pos="143"/>
          <w:tab w:val="left" w:pos="308"/>
        </w:tabs>
        <w:spacing w:before="1" w:line="237" w:lineRule="auto"/>
        <w:ind w:right="206" w:hanging="1"/>
        <w:rPr>
          <w:sz w:val="18"/>
        </w:rPr>
      </w:pPr>
      <w:r w:rsidRPr="00283806">
        <w:rPr>
          <w:w w:val="105"/>
          <w:sz w:val="18"/>
        </w:rPr>
        <w:t>3.</w:t>
      </w:r>
      <w:r w:rsidRPr="00283806">
        <w:rPr>
          <w:spacing w:val="-8"/>
          <w:w w:val="105"/>
          <w:sz w:val="18"/>
        </w:rPr>
        <w:t xml:space="preserve"> </w:t>
      </w:r>
      <w:r w:rsidRPr="00283806">
        <w:rPr>
          <w:w w:val="105"/>
          <w:sz w:val="18"/>
        </w:rPr>
        <w:t>The</w:t>
      </w:r>
      <w:r w:rsidRPr="00283806">
        <w:rPr>
          <w:spacing w:val="-8"/>
          <w:w w:val="105"/>
          <w:sz w:val="18"/>
        </w:rPr>
        <w:t xml:space="preserve"> </w:t>
      </w:r>
      <w:r w:rsidRPr="00283806">
        <w:rPr>
          <w:w w:val="105"/>
          <w:sz w:val="18"/>
        </w:rPr>
        <w:t>authority</w:t>
      </w:r>
      <w:r w:rsidRPr="00283806">
        <w:rPr>
          <w:spacing w:val="-8"/>
          <w:w w:val="105"/>
          <w:sz w:val="18"/>
        </w:rPr>
        <w:t xml:space="preserve"> </w:t>
      </w:r>
      <w:r w:rsidRPr="00283806">
        <w:rPr>
          <w:w w:val="105"/>
          <w:sz w:val="18"/>
        </w:rPr>
        <w:t>citation</w:t>
      </w:r>
      <w:r w:rsidRPr="00283806">
        <w:rPr>
          <w:spacing w:val="-8"/>
          <w:w w:val="105"/>
          <w:sz w:val="18"/>
        </w:rPr>
        <w:t xml:space="preserve"> </w:t>
      </w:r>
      <w:r w:rsidRPr="00283806">
        <w:rPr>
          <w:w w:val="105"/>
          <w:sz w:val="18"/>
        </w:rPr>
        <w:t>for</w:t>
      </w:r>
      <w:r w:rsidRPr="00283806">
        <w:rPr>
          <w:spacing w:val="-8"/>
          <w:w w:val="105"/>
          <w:sz w:val="18"/>
        </w:rPr>
        <w:t xml:space="preserve"> </w:t>
      </w:r>
      <w:r w:rsidRPr="00283806">
        <w:rPr>
          <w:w w:val="105"/>
          <w:sz w:val="18"/>
        </w:rPr>
        <w:t>part</w:t>
      </w:r>
      <w:r w:rsidRPr="00283806">
        <w:rPr>
          <w:spacing w:val="-8"/>
          <w:w w:val="105"/>
          <w:sz w:val="18"/>
        </w:rPr>
        <w:t xml:space="preserve"> </w:t>
      </w:r>
      <w:r w:rsidRPr="00283806">
        <w:rPr>
          <w:w w:val="105"/>
          <w:sz w:val="18"/>
        </w:rPr>
        <w:t xml:space="preserve">261 continues to </w:t>
      </w:r>
      <w:proofErr w:type="gramStart"/>
      <w:r w:rsidRPr="00283806">
        <w:rPr>
          <w:w w:val="105"/>
          <w:sz w:val="18"/>
        </w:rPr>
        <w:t>read</w:t>
      </w:r>
      <w:proofErr w:type="gramEnd"/>
      <w:r w:rsidRPr="00283806">
        <w:rPr>
          <w:w w:val="105"/>
          <w:sz w:val="18"/>
        </w:rPr>
        <w:t xml:space="preserve"> as follows:</w:t>
      </w:r>
    </w:p>
    <w:p w14:paraId="44536840" w14:textId="77777777" w:rsidR="00D67C1E" w:rsidRPr="00283806" w:rsidRDefault="001265CA">
      <w:pPr>
        <w:spacing w:before="83"/>
        <w:ind w:left="303"/>
        <w:rPr>
          <w:sz w:val="16"/>
        </w:rPr>
      </w:pPr>
      <w:r w:rsidRPr="00283806">
        <w:rPr>
          <w:rFonts w:ascii="Book Antiqua"/>
          <w:b/>
          <w:w w:val="105"/>
          <w:sz w:val="16"/>
        </w:rPr>
        <w:t>Authority:</w:t>
      </w:r>
      <w:r w:rsidRPr="00283806">
        <w:rPr>
          <w:rFonts w:ascii="Book Antiqua"/>
          <w:b/>
          <w:spacing w:val="-1"/>
          <w:w w:val="105"/>
          <w:sz w:val="16"/>
        </w:rPr>
        <w:t xml:space="preserve"> </w:t>
      </w:r>
      <w:r w:rsidRPr="00283806">
        <w:rPr>
          <w:w w:val="105"/>
          <w:sz w:val="16"/>
        </w:rPr>
        <w:t>42</w:t>
      </w:r>
      <w:r w:rsidRPr="00283806">
        <w:rPr>
          <w:spacing w:val="4"/>
          <w:w w:val="105"/>
          <w:sz w:val="16"/>
        </w:rPr>
        <w:t xml:space="preserve"> </w:t>
      </w:r>
      <w:r w:rsidRPr="00283806">
        <w:rPr>
          <w:w w:val="105"/>
          <w:sz w:val="16"/>
        </w:rPr>
        <w:t>U.S.C.</w:t>
      </w:r>
      <w:r w:rsidRPr="00283806">
        <w:rPr>
          <w:spacing w:val="4"/>
          <w:w w:val="105"/>
          <w:sz w:val="16"/>
        </w:rPr>
        <w:t xml:space="preserve"> </w:t>
      </w:r>
      <w:r w:rsidRPr="00283806">
        <w:rPr>
          <w:w w:val="105"/>
          <w:sz w:val="16"/>
        </w:rPr>
        <w:t>6905,</w:t>
      </w:r>
      <w:r w:rsidRPr="00283806">
        <w:rPr>
          <w:spacing w:val="4"/>
          <w:w w:val="105"/>
          <w:sz w:val="16"/>
        </w:rPr>
        <w:t xml:space="preserve"> </w:t>
      </w:r>
      <w:r w:rsidRPr="00283806">
        <w:rPr>
          <w:w w:val="105"/>
          <w:sz w:val="16"/>
        </w:rPr>
        <w:t>6912(a),</w:t>
      </w:r>
      <w:r w:rsidRPr="00283806">
        <w:rPr>
          <w:spacing w:val="4"/>
          <w:w w:val="105"/>
          <w:sz w:val="16"/>
        </w:rPr>
        <w:t xml:space="preserve"> </w:t>
      </w:r>
      <w:r w:rsidRPr="00283806">
        <w:rPr>
          <w:spacing w:val="-2"/>
          <w:w w:val="105"/>
          <w:sz w:val="16"/>
        </w:rPr>
        <w:t>6921,</w:t>
      </w:r>
    </w:p>
    <w:p w14:paraId="4ED338DD" w14:textId="77777777" w:rsidR="00D67C1E" w:rsidRPr="00283806" w:rsidRDefault="001265CA">
      <w:pPr>
        <w:spacing w:before="2"/>
        <w:ind w:left="143"/>
        <w:rPr>
          <w:sz w:val="16"/>
        </w:rPr>
      </w:pPr>
      <w:r w:rsidRPr="00283806">
        <w:rPr>
          <w:w w:val="105"/>
          <w:sz w:val="16"/>
        </w:rPr>
        <w:t>6922,</w:t>
      </w:r>
      <w:r w:rsidRPr="00283806">
        <w:rPr>
          <w:spacing w:val="-5"/>
          <w:w w:val="105"/>
          <w:sz w:val="16"/>
        </w:rPr>
        <w:t xml:space="preserve"> </w:t>
      </w:r>
      <w:r w:rsidRPr="00283806">
        <w:rPr>
          <w:w w:val="105"/>
          <w:sz w:val="16"/>
        </w:rPr>
        <w:t>6924(y),</w:t>
      </w:r>
      <w:r w:rsidRPr="00283806">
        <w:rPr>
          <w:spacing w:val="-4"/>
          <w:w w:val="105"/>
          <w:sz w:val="16"/>
        </w:rPr>
        <w:t xml:space="preserve"> </w:t>
      </w:r>
      <w:r w:rsidRPr="00283806">
        <w:rPr>
          <w:w w:val="105"/>
          <w:sz w:val="16"/>
        </w:rPr>
        <w:t>and</w:t>
      </w:r>
      <w:r w:rsidRPr="00283806">
        <w:rPr>
          <w:spacing w:val="-5"/>
          <w:w w:val="105"/>
          <w:sz w:val="16"/>
        </w:rPr>
        <w:t xml:space="preserve"> </w:t>
      </w:r>
      <w:r w:rsidRPr="00283806">
        <w:rPr>
          <w:spacing w:val="-2"/>
          <w:w w:val="105"/>
          <w:sz w:val="16"/>
        </w:rPr>
        <w:t>6938.</w:t>
      </w:r>
    </w:p>
    <w:p w14:paraId="1839596B" w14:textId="77777777" w:rsidR="00D67C1E" w:rsidRPr="00283806" w:rsidRDefault="001265CA">
      <w:pPr>
        <w:pStyle w:val="Heading3"/>
        <w:spacing w:before="171"/>
        <w:ind w:left="143"/>
      </w:pPr>
      <w:r w:rsidRPr="00283806">
        <w:t>Subpart</w:t>
      </w:r>
      <w:r w:rsidRPr="00283806">
        <w:rPr>
          <w:spacing w:val="-1"/>
        </w:rPr>
        <w:t xml:space="preserve"> </w:t>
      </w:r>
      <w:r w:rsidRPr="00283806">
        <w:t>A—</w:t>
      </w:r>
      <w:r w:rsidRPr="00283806">
        <w:rPr>
          <w:spacing w:val="-2"/>
        </w:rPr>
        <w:t>General</w:t>
      </w:r>
    </w:p>
    <w:p w14:paraId="6B281D42" w14:textId="77777777" w:rsidR="00D67C1E" w:rsidRPr="00283806" w:rsidRDefault="00D67C1E">
      <w:pPr>
        <w:pStyle w:val="BodyText"/>
        <w:spacing w:before="10"/>
        <w:ind w:left="0"/>
        <w:rPr>
          <w:rFonts w:ascii="Arial"/>
          <w:b/>
        </w:rPr>
      </w:pPr>
    </w:p>
    <w:p w14:paraId="7CF76070" w14:textId="77777777" w:rsidR="00D67C1E" w:rsidRPr="00283806" w:rsidRDefault="001265CA">
      <w:pPr>
        <w:pStyle w:val="ListParagraph"/>
        <w:numPr>
          <w:ilvl w:val="0"/>
          <w:numId w:val="7"/>
        </w:numPr>
        <w:tabs>
          <w:tab w:val="left" w:pos="143"/>
          <w:tab w:val="left" w:pos="308"/>
        </w:tabs>
        <w:spacing w:line="237" w:lineRule="auto"/>
        <w:ind w:right="264" w:hanging="1"/>
        <w:jc w:val="both"/>
        <w:rPr>
          <w:sz w:val="18"/>
        </w:rPr>
      </w:pPr>
      <w:r w:rsidRPr="00283806">
        <w:rPr>
          <w:spacing w:val="-2"/>
          <w:w w:val="105"/>
          <w:sz w:val="18"/>
        </w:rPr>
        <w:t>4.</w:t>
      </w:r>
      <w:r w:rsidRPr="00283806">
        <w:rPr>
          <w:spacing w:val="-9"/>
          <w:w w:val="105"/>
          <w:sz w:val="18"/>
        </w:rPr>
        <w:t xml:space="preserve"> </w:t>
      </w:r>
      <w:r w:rsidRPr="00283806">
        <w:rPr>
          <w:spacing w:val="-2"/>
          <w:w w:val="105"/>
          <w:sz w:val="18"/>
        </w:rPr>
        <w:t>In</w:t>
      </w:r>
      <w:r w:rsidRPr="00283806">
        <w:rPr>
          <w:spacing w:val="-8"/>
          <w:w w:val="105"/>
          <w:sz w:val="18"/>
        </w:rPr>
        <w:t xml:space="preserve"> </w:t>
      </w:r>
      <w:r w:rsidRPr="00283806">
        <w:rPr>
          <w:spacing w:val="-2"/>
          <w:w w:val="105"/>
          <w:sz w:val="18"/>
        </w:rPr>
        <w:t>§</w:t>
      </w:r>
      <w:r w:rsidRPr="00283806">
        <w:rPr>
          <w:spacing w:val="-9"/>
          <w:w w:val="105"/>
          <w:sz w:val="18"/>
        </w:rPr>
        <w:t xml:space="preserve"> </w:t>
      </w:r>
      <w:r w:rsidRPr="00283806">
        <w:rPr>
          <w:spacing w:val="-2"/>
          <w:w w:val="105"/>
          <w:sz w:val="18"/>
        </w:rPr>
        <w:t>261.6,</w:t>
      </w:r>
      <w:r w:rsidRPr="00283806">
        <w:rPr>
          <w:spacing w:val="-8"/>
          <w:w w:val="105"/>
          <w:sz w:val="18"/>
        </w:rPr>
        <w:t xml:space="preserve"> </w:t>
      </w:r>
      <w:r w:rsidRPr="00283806">
        <w:rPr>
          <w:spacing w:val="-2"/>
          <w:w w:val="105"/>
          <w:sz w:val="18"/>
        </w:rPr>
        <w:t>revise</w:t>
      </w:r>
      <w:r w:rsidRPr="00283806">
        <w:rPr>
          <w:spacing w:val="-7"/>
          <w:w w:val="105"/>
          <w:sz w:val="18"/>
        </w:rPr>
        <w:t xml:space="preserve"> </w:t>
      </w:r>
      <w:r w:rsidRPr="00283806">
        <w:rPr>
          <w:spacing w:val="-2"/>
          <w:w w:val="105"/>
          <w:sz w:val="18"/>
        </w:rPr>
        <w:t>paragraph</w:t>
      </w:r>
      <w:r w:rsidRPr="00283806">
        <w:rPr>
          <w:spacing w:val="-7"/>
          <w:w w:val="105"/>
          <w:sz w:val="18"/>
        </w:rPr>
        <w:t xml:space="preserve"> </w:t>
      </w:r>
      <w:r w:rsidRPr="00283806">
        <w:rPr>
          <w:spacing w:val="-2"/>
          <w:w w:val="105"/>
          <w:sz w:val="18"/>
        </w:rPr>
        <w:t>(a)(2)</w:t>
      </w:r>
      <w:r w:rsidRPr="00283806">
        <w:rPr>
          <w:w w:val="105"/>
          <w:sz w:val="18"/>
        </w:rPr>
        <w:t xml:space="preserve"> introductory text, and add paragraph (a)(2)(v) to read as follows:</w:t>
      </w:r>
    </w:p>
    <w:p w14:paraId="393BA572" w14:textId="77777777" w:rsidR="00D67C1E" w:rsidRPr="00283806" w:rsidRDefault="001265CA">
      <w:pPr>
        <w:spacing w:before="144" w:line="244" w:lineRule="auto"/>
        <w:ind w:left="143"/>
        <w:rPr>
          <w:rFonts w:ascii="Arial" w:hAnsi="Arial"/>
          <w:b/>
          <w:sz w:val="16"/>
        </w:rPr>
      </w:pPr>
      <w:r w:rsidRPr="00283806">
        <w:rPr>
          <w:rFonts w:ascii="Arial" w:hAnsi="Arial"/>
          <w:b/>
          <w:sz w:val="16"/>
        </w:rPr>
        <w:t>§</w:t>
      </w:r>
      <w:r w:rsidRPr="00283806">
        <w:rPr>
          <w:rFonts w:ascii="Arial" w:hAnsi="Arial"/>
          <w:b/>
          <w:spacing w:val="-19"/>
          <w:sz w:val="16"/>
        </w:rPr>
        <w:t xml:space="preserve"> </w:t>
      </w:r>
      <w:r w:rsidRPr="00283806">
        <w:rPr>
          <w:rFonts w:ascii="Arial" w:hAnsi="Arial"/>
          <w:b/>
          <w:sz w:val="16"/>
        </w:rPr>
        <w:t>261.6</w:t>
      </w:r>
      <w:r w:rsidRPr="00283806">
        <w:rPr>
          <w:rFonts w:ascii="Arial" w:hAnsi="Arial"/>
          <w:b/>
          <w:spacing w:val="80"/>
          <w:sz w:val="16"/>
        </w:rPr>
        <w:t xml:space="preserve"> </w:t>
      </w:r>
      <w:r w:rsidRPr="00283806">
        <w:rPr>
          <w:rFonts w:ascii="Arial" w:hAnsi="Arial"/>
          <w:b/>
          <w:sz w:val="16"/>
        </w:rPr>
        <w:t>Requirements</w:t>
      </w:r>
      <w:r w:rsidRPr="00283806">
        <w:rPr>
          <w:rFonts w:ascii="Arial" w:hAnsi="Arial"/>
          <w:b/>
          <w:spacing w:val="-7"/>
          <w:sz w:val="16"/>
        </w:rPr>
        <w:t xml:space="preserve"> </w:t>
      </w:r>
      <w:r w:rsidRPr="00283806">
        <w:rPr>
          <w:rFonts w:ascii="Arial" w:hAnsi="Arial"/>
          <w:b/>
          <w:sz w:val="16"/>
        </w:rPr>
        <w:t>for</w:t>
      </w:r>
      <w:r w:rsidRPr="00283806">
        <w:rPr>
          <w:rFonts w:ascii="Arial" w:hAnsi="Arial"/>
          <w:b/>
          <w:spacing w:val="-7"/>
          <w:sz w:val="16"/>
        </w:rPr>
        <w:t xml:space="preserve"> </w:t>
      </w:r>
      <w:r w:rsidRPr="00283806">
        <w:rPr>
          <w:rFonts w:ascii="Arial" w:hAnsi="Arial"/>
          <w:b/>
          <w:sz w:val="16"/>
        </w:rPr>
        <w:t xml:space="preserve">recyclable </w:t>
      </w:r>
      <w:r w:rsidRPr="00283806">
        <w:rPr>
          <w:rFonts w:ascii="Arial" w:hAnsi="Arial"/>
          <w:b/>
          <w:spacing w:val="-2"/>
          <w:sz w:val="16"/>
        </w:rPr>
        <w:t>materials.</w:t>
      </w:r>
    </w:p>
    <w:p w14:paraId="4046CA86" w14:textId="77777777" w:rsidR="00D67C1E" w:rsidRPr="00283806" w:rsidRDefault="001265CA">
      <w:pPr>
        <w:pStyle w:val="BodyText"/>
        <w:spacing w:before="96"/>
        <w:ind w:left="323"/>
      </w:pPr>
      <w:r w:rsidRPr="00283806">
        <w:rPr>
          <w:w w:val="110"/>
        </w:rPr>
        <w:t>(a)</w:t>
      </w:r>
      <w:r w:rsidRPr="00283806">
        <w:rPr>
          <w:spacing w:val="-3"/>
          <w:w w:val="110"/>
        </w:rPr>
        <w:t xml:space="preserve"> </w:t>
      </w:r>
      <w:r w:rsidRPr="00283806">
        <w:rPr>
          <w:w w:val="120"/>
        </w:rPr>
        <w:t>*</w:t>
      </w:r>
      <w:r w:rsidRPr="00283806">
        <w:rPr>
          <w:spacing w:val="-7"/>
          <w:w w:val="120"/>
        </w:rPr>
        <w:t xml:space="preserve"> </w:t>
      </w:r>
      <w:r w:rsidRPr="00283806">
        <w:rPr>
          <w:w w:val="120"/>
        </w:rPr>
        <w:t>*</w:t>
      </w:r>
      <w:r w:rsidRPr="00283806">
        <w:rPr>
          <w:spacing w:val="-6"/>
          <w:w w:val="120"/>
        </w:rPr>
        <w:t xml:space="preserve"> </w:t>
      </w:r>
      <w:r w:rsidRPr="00283806">
        <w:rPr>
          <w:spacing w:val="-10"/>
          <w:w w:val="120"/>
        </w:rPr>
        <w:t>*</w:t>
      </w:r>
    </w:p>
    <w:p w14:paraId="76D454C9" w14:textId="77777777" w:rsidR="00D67C1E" w:rsidRPr="00283806" w:rsidRDefault="001265CA">
      <w:pPr>
        <w:pStyle w:val="BodyText"/>
        <w:spacing w:before="55" w:line="237" w:lineRule="auto"/>
        <w:ind w:left="143" w:right="37" w:firstLine="180"/>
      </w:pPr>
      <w:r w:rsidRPr="00283806">
        <w:rPr>
          <w:w w:val="105"/>
        </w:rPr>
        <w:t>(2) The following recyclable materials are not subject to the requirements of this section but are regulated under subparts C through Q of part 266 of this chapter and all applicable provisions in parts 268, 270, and 124 of this chapter.</w:t>
      </w:r>
    </w:p>
    <w:p w14:paraId="4AC5A89E" w14:textId="77777777" w:rsidR="00D67C1E" w:rsidRPr="00283806" w:rsidRDefault="001265CA">
      <w:pPr>
        <w:tabs>
          <w:tab w:val="left" w:pos="600"/>
          <w:tab w:val="left" w:pos="1056"/>
          <w:tab w:val="left" w:pos="1513"/>
          <w:tab w:val="left" w:pos="1969"/>
        </w:tabs>
        <w:spacing w:before="41"/>
        <w:ind w:left="143"/>
        <w:rPr>
          <w:sz w:val="18"/>
        </w:rPr>
      </w:pPr>
      <w:r w:rsidRPr="00283806">
        <w:rPr>
          <w:spacing w:val="-10"/>
          <w:w w:val="130"/>
          <w:sz w:val="18"/>
        </w:rPr>
        <w:t>*</w:t>
      </w:r>
      <w:r w:rsidRPr="00283806">
        <w:rPr>
          <w:sz w:val="18"/>
        </w:rPr>
        <w:tab/>
      </w:r>
      <w:r w:rsidRPr="00283806">
        <w:rPr>
          <w:spacing w:val="-10"/>
          <w:w w:val="130"/>
          <w:sz w:val="18"/>
        </w:rPr>
        <w:t>*</w:t>
      </w:r>
      <w:r w:rsidRPr="00283806">
        <w:rPr>
          <w:sz w:val="18"/>
        </w:rPr>
        <w:tab/>
      </w:r>
      <w:r w:rsidRPr="00283806">
        <w:rPr>
          <w:spacing w:val="-10"/>
          <w:w w:val="130"/>
          <w:sz w:val="18"/>
        </w:rPr>
        <w:t>*</w:t>
      </w:r>
      <w:r w:rsidRPr="00283806">
        <w:rPr>
          <w:sz w:val="18"/>
        </w:rPr>
        <w:tab/>
      </w:r>
      <w:r w:rsidRPr="00283806">
        <w:rPr>
          <w:spacing w:val="-10"/>
          <w:w w:val="130"/>
          <w:sz w:val="18"/>
        </w:rPr>
        <w:t>*</w:t>
      </w:r>
      <w:r w:rsidRPr="00283806">
        <w:rPr>
          <w:sz w:val="18"/>
        </w:rPr>
        <w:tab/>
      </w:r>
      <w:r w:rsidRPr="00283806">
        <w:rPr>
          <w:spacing w:val="-10"/>
          <w:w w:val="130"/>
          <w:sz w:val="18"/>
        </w:rPr>
        <w:t>*</w:t>
      </w:r>
    </w:p>
    <w:p w14:paraId="1BE28A25" w14:textId="77777777" w:rsidR="00D67C1E" w:rsidRPr="00283806" w:rsidRDefault="001265CA">
      <w:pPr>
        <w:pStyle w:val="BodyText"/>
        <w:spacing w:before="55" w:line="237" w:lineRule="auto"/>
        <w:ind w:left="143" w:firstLine="180"/>
      </w:pPr>
      <w:r w:rsidRPr="00283806">
        <w:rPr>
          <w:w w:val="105"/>
        </w:rPr>
        <w:t>(v) Ignitable spent refrigerants recycled for reuse (40 CFR part 266, subpart Q).</w:t>
      </w:r>
    </w:p>
    <w:p w14:paraId="5CDA71A0" w14:textId="77777777" w:rsidR="00D67C1E" w:rsidRPr="00283806" w:rsidRDefault="001265CA">
      <w:pPr>
        <w:tabs>
          <w:tab w:val="left" w:pos="600"/>
          <w:tab w:val="left" w:pos="1056"/>
          <w:tab w:val="left" w:pos="1513"/>
          <w:tab w:val="left" w:pos="1969"/>
        </w:tabs>
        <w:spacing w:before="43"/>
        <w:ind w:left="143"/>
        <w:rPr>
          <w:sz w:val="18"/>
        </w:rPr>
      </w:pPr>
      <w:r w:rsidRPr="00283806">
        <w:rPr>
          <w:spacing w:val="-10"/>
          <w:w w:val="130"/>
          <w:sz w:val="18"/>
        </w:rPr>
        <w:t>*</w:t>
      </w:r>
      <w:r w:rsidRPr="00283806">
        <w:rPr>
          <w:sz w:val="18"/>
        </w:rPr>
        <w:tab/>
      </w:r>
      <w:r w:rsidRPr="00283806">
        <w:rPr>
          <w:spacing w:val="-10"/>
          <w:w w:val="130"/>
          <w:sz w:val="18"/>
        </w:rPr>
        <w:t>*</w:t>
      </w:r>
      <w:r w:rsidRPr="00283806">
        <w:rPr>
          <w:sz w:val="18"/>
        </w:rPr>
        <w:tab/>
      </w:r>
      <w:r w:rsidRPr="00283806">
        <w:rPr>
          <w:spacing w:val="-10"/>
          <w:w w:val="130"/>
          <w:sz w:val="18"/>
        </w:rPr>
        <w:t>*</w:t>
      </w:r>
      <w:r w:rsidRPr="00283806">
        <w:rPr>
          <w:sz w:val="18"/>
        </w:rPr>
        <w:tab/>
      </w:r>
      <w:r w:rsidRPr="00283806">
        <w:rPr>
          <w:spacing w:val="-10"/>
          <w:w w:val="130"/>
          <w:sz w:val="18"/>
        </w:rPr>
        <w:t>*</w:t>
      </w:r>
      <w:r w:rsidRPr="00283806">
        <w:rPr>
          <w:sz w:val="18"/>
        </w:rPr>
        <w:tab/>
      </w:r>
      <w:r w:rsidRPr="00283806">
        <w:rPr>
          <w:spacing w:val="-10"/>
          <w:w w:val="130"/>
          <w:sz w:val="18"/>
        </w:rPr>
        <w:t>*</w:t>
      </w:r>
    </w:p>
    <w:p w14:paraId="4345EC34" w14:textId="77777777" w:rsidR="00D67C1E" w:rsidRPr="00283806" w:rsidRDefault="001265CA">
      <w:pPr>
        <w:pStyle w:val="Heading3"/>
        <w:spacing w:before="154" w:line="232" w:lineRule="auto"/>
      </w:pPr>
      <w:r w:rsidRPr="00283806">
        <w:rPr>
          <w:b w:val="0"/>
        </w:rPr>
        <w:br w:type="column"/>
      </w:r>
      <w:r w:rsidRPr="00283806">
        <w:t>Subpart</w:t>
      </w:r>
      <w:r w:rsidRPr="00283806">
        <w:rPr>
          <w:spacing w:val="-15"/>
        </w:rPr>
        <w:t xml:space="preserve"> </w:t>
      </w:r>
      <w:r w:rsidRPr="00283806">
        <w:t>M—Emergency</w:t>
      </w:r>
      <w:r w:rsidRPr="00283806">
        <w:rPr>
          <w:spacing w:val="-12"/>
        </w:rPr>
        <w:t xml:space="preserve"> </w:t>
      </w:r>
      <w:r w:rsidRPr="00283806">
        <w:t xml:space="preserve">Preparedness and Response for Management of Excluded Hazardous Secondary </w:t>
      </w:r>
      <w:r w:rsidRPr="00283806">
        <w:rPr>
          <w:spacing w:val="-2"/>
        </w:rPr>
        <w:t>Materials</w:t>
      </w:r>
    </w:p>
    <w:p w14:paraId="6C836200" w14:textId="77777777" w:rsidR="00D67C1E" w:rsidRPr="00283806" w:rsidRDefault="001265CA">
      <w:pPr>
        <w:pStyle w:val="ListParagraph"/>
        <w:numPr>
          <w:ilvl w:val="0"/>
          <w:numId w:val="7"/>
        </w:numPr>
        <w:tabs>
          <w:tab w:val="left" w:pos="160"/>
          <w:tab w:val="left" w:pos="325"/>
        </w:tabs>
        <w:spacing w:before="141" w:line="228" w:lineRule="auto"/>
        <w:ind w:left="160" w:right="178" w:hanging="1"/>
        <w:rPr>
          <w:sz w:val="18"/>
        </w:rPr>
      </w:pPr>
      <w:r w:rsidRPr="00283806">
        <w:rPr>
          <w:w w:val="105"/>
          <w:sz w:val="18"/>
        </w:rPr>
        <w:t>5.</w:t>
      </w:r>
      <w:r w:rsidRPr="00283806">
        <w:rPr>
          <w:spacing w:val="-9"/>
          <w:w w:val="105"/>
          <w:sz w:val="18"/>
        </w:rPr>
        <w:t xml:space="preserve"> </w:t>
      </w:r>
      <w:r w:rsidRPr="00283806">
        <w:rPr>
          <w:w w:val="105"/>
          <w:sz w:val="18"/>
        </w:rPr>
        <w:t>In</w:t>
      </w:r>
      <w:r w:rsidRPr="00283806">
        <w:rPr>
          <w:spacing w:val="-7"/>
          <w:w w:val="105"/>
          <w:sz w:val="18"/>
        </w:rPr>
        <w:t xml:space="preserve"> </w:t>
      </w:r>
      <w:r w:rsidRPr="00283806">
        <w:rPr>
          <w:w w:val="105"/>
          <w:sz w:val="18"/>
        </w:rPr>
        <w:t>§</w:t>
      </w:r>
      <w:r w:rsidRPr="00283806">
        <w:rPr>
          <w:spacing w:val="-12"/>
          <w:w w:val="105"/>
          <w:sz w:val="18"/>
        </w:rPr>
        <w:t xml:space="preserve"> </w:t>
      </w:r>
      <w:r w:rsidRPr="00283806">
        <w:rPr>
          <w:w w:val="105"/>
          <w:sz w:val="18"/>
        </w:rPr>
        <w:t>261.400,</w:t>
      </w:r>
      <w:r w:rsidRPr="00283806">
        <w:rPr>
          <w:spacing w:val="-7"/>
          <w:w w:val="105"/>
          <w:sz w:val="18"/>
        </w:rPr>
        <w:t xml:space="preserve"> </w:t>
      </w:r>
      <w:r w:rsidRPr="00283806">
        <w:rPr>
          <w:w w:val="105"/>
          <w:sz w:val="18"/>
        </w:rPr>
        <w:t>revise</w:t>
      </w:r>
      <w:r w:rsidRPr="00283806">
        <w:rPr>
          <w:spacing w:val="-7"/>
          <w:w w:val="105"/>
          <w:sz w:val="18"/>
        </w:rPr>
        <w:t xml:space="preserve"> </w:t>
      </w:r>
      <w:r w:rsidRPr="00283806">
        <w:rPr>
          <w:w w:val="105"/>
          <w:sz w:val="18"/>
        </w:rPr>
        <w:t>the</w:t>
      </w:r>
      <w:r w:rsidRPr="00283806">
        <w:rPr>
          <w:spacing w:val="-7"/>
          <w:w w:val="105"/>
          <w:sz w:val="18"/>
        </w:rPr>
        <w:t xml:space="preserve"> </w:t>
      </w:r>
      <w:r w:rsidRPr="00283806">
        <w:rPr>
          <w:w w:val="105"/>
          <w:sz w:val="18"/>
        </w:rPr>
        <w:t xml:space="preserve">introductory text and add paragraph (c) to read as </w:t>
      </w:r>
      <w:r w:rsidRPr="00283806">
        <w:rPr>
          <w:spacing w:val="-2"/>
          <w:w w:val="105"/>
          <w:sz w:val="18"/>
        </w:rPr>
        <w:t>follows:</w:t>
      </w:r>
    </w:p>
    <w:p w14:paraId="07539569" w14:textId="77777777" w:rsidR="00D67C1E" w:rsidRPr="00283806" w:rsidRDefault="001265CA">
      <w:pPr>
        <w:spacing w:before="131"/>
        <w:ind w:left="160"/>
        <w:rPr>
          <w:rFonts w:ascii="Arial" w:hAnsi="Arial"/>
          <w:b/>
          <w:sz w:val="16"/>
        </w:rPr>
      </w:pPr>
      <w:r w:rsidRPr="00283806">
        <w:rPr>
          <w:rFonts w:ascii="Arial" w:hAnsi="Arial"/>
          <w:b/>
          <w:sz w:val="16"/>
        </w:rPr>
        <w:t>§</w:t>
      </w:r>
      <w:r w:rsidRPr="00283806">
        <w:rPr>
          <w:rFonts w:ascii="Arial" w:hAnsi="Arial"/>
          <w:b/>
          <w:spacing w:val="-19"/>
          <w:sz w:val="16"/>
        </w:rPr>
        <w:t xml:space="preserve"> </w:t>
      </w:r>
      <w:r w:rsidRPr="00283806">
        <w:rPr>
          <w:rFonts w:ascii="Arial" w:hAnsi="Arial"/>
          <w:b/>
          <w:sz w:val="16"/>
        </w:rPr>
        <w:t>261.400</w:t>
      </w:r>
      <w:r w:rsidRPr="00283806">
        <w:rPr>
          <w:rFonts w:ascii="Arial" w:hAnsi="Arial"/>
          <w:b/>
          <w:spacing w:val="31"/>
          <w:sz w:val="16"/>
        </w:rPr>
        <w:t xml:space="preserve">  </w:t>
      </w:r>
      <w:r w:rsidRPr="00283806">
        <w:rPr>
          <w:rFonts w:ascii="Arial" w:hAnsi="Arial"/>
          <w:b/>
          <w:spacing w:val="-2"/>
          <w:sz w:val="16"/>
        </w:rPr>
        <w:t>Applicability.</w:t>
      </w:r>
    </w:p>
    <w:p w14:paraId="2C9796EA" w14:textId="77777777" w:rsidR="00D67C1E" w:rsidRPr="00283806" w:rsidRDefault="001265CA">
      <w:pPr>
        <w:pStyle w:val="BodyText"/>
        <w:spacing w:before="28" w:line="228" w:lineRule="auto"/>
        <w:ind w:right="206" w:firstLine="180"/>
      </w:pPr>
      <w:r w:rsidRPr="00283806">
        <w:rPr>
          <w:w w:val="105"/>
        </w:rPr>
        <w:t>The requirements of this subpart apply to (1) those areas of an entity managing hazardous secondary materials</w:t>
      </w:r>
      <w:r w:rsidRPr="00283806">
        <w:rPr>
          <w:spacing w:val="-10"/>
          <w:w w:val="105"/>
        </w:rPr>
        <w:t xml:space="preserve"> </w:t>
      </w:r>
      <w:r w:rsidRPr="00283806">
        <w:rPr>
          <w:w w:val="105"/>
        </w:rPr>
        <w:t>excluded</w:t>
      </w:r>
      <w:r w:rsidRPr="00283806">
        <w:rPr>
          <w:spacing w:val="-11"/>
          <w:w w:val="105"/>
        </w:rPr>
        <w:t xml:space="preserve"> </w:t>
      </w:r>
      <w:r w:rsidRPr="00283806">
        <w:rPr>
          <w:w w:val="105"/>
        </w:rPr>
        <w:t>under</w:t>
      </w:r>
      <w:r w:rsidRPr="00283806">
        <w:rPr>
          <w:spacing w:val="-10"/>
          <w:w w:val="105"/>
        </w:rPr>
        <w:t xml:space="preserve"> </w:t>
      </w:r>
      <w:r w:rsidRPr="00283806">
        <w:rPr>
          <w:w w:val="105"/>
        </w:rPr>
        <w:t>§</w:t>
      </w:r>
      <w:r w:rsidRPr="00283806">
        <w:rPr>
          <w:spacing w:val="-11"/>
          <w:w w:val="105"/>
        </w:rPr>
        <w:t xml:space="preserve"> </w:t>
      </w:r>
      <w:r w:rsidRPr="00283806">
        <w:rPr>
          <w:w w:val="105"/>
        </w:rPr>
        <w:t>261.4(a)(23) and/or (24) where such materials are generated or accumulated on site, and</w:t>
      </w:r>
    </w:p>
    <w:p w14:paraId="4E856A92" w14:textId="77777777" w:rsidR="00D67C1E" w:rsidRPr="00283806" w:rsidRDefault="001265CA">
      <w:pPr>
        <w:pStyle w:val="BodyText"/>
        <w:spacing w:line="228" w:lineRule="auto"/>
        <w:ind w:right="286"/>
      </w:pPr>
      <w:r w:rsidRPr="00283806">
        <w:t>(2) facilities regulated under the</w:t>
      </w:r>
      <w:r w:rsidRPr="00283806">
        <w:rPr>
          <w:spacing w:val="40"/>
        </w:rPr>
        <w:t xml:space="preserve"> </w:t>
      </w:r>
      <w:r w:rsidRPr="00283806">
        <w:t>standards at 40 CFR part 266, subpart Q</w:t>
      </w:r>
      <w:r w:rsidRPr="00283806">
        <w:rPr>
          <w:spacing w:val="40"/>
        </w:rPr>
        <w:t xml:space="preserve"> </w:t>
      </w:r>
      <w:r w:rsidRPr="00283806">
        <w:t>that receive ignitable spent refrigerant</w:t>
      </w:r>
      <w:r w:rsidRPr="00283806">
        <w:rPr>
          <w:spacing w:val="40"/>
        </w:rPr>
        <w:t xml:space="preserve"> </w:t>
      </w:r>
      <w:r w:rsidRPr="00283806">
        <w:t>from off-site and that are not transfer</w:t>
      </w:r>
      <w:r w:rsidRPr="00283806">
        <w:rPr>
          <w:spacing w:val="40"/>
        </w:rPr>
        <w:t xml:space="preserve"> </w:t>
      </w:r>
      <w:r w:rsidRPr="00283806">
        <w:t>facilities that store the refrigerants for</w:t>
      </w:r>
      <w:r w:rsidRPr="00283806">
        <w:rPr>
          <w:spacing w:val="80"/>
        </w:rPr>
        <w:t xml:space="preserve"> </w:t>
      </w:r>
      <w:r w:rsidRPr="00283806">
        <w:t>less than ten (10) days.</w:t>
      </w:r>
    </w:p>
    <w:p w14:paraId="6F563B87" w14:textId="77777777" w:rsidR="00D67C1E" w:rsidRPr="00283806" w:rsidRDefault="001265CA">
      <w:pPr>
        <w:tabs>
          <w:tab w:val="left" w:pos="616"/>
          <w:tab w:val="left" w:pos="1072"/>
          <w:tab w:val="left" w:pos="1529"/>
          <w:tab w:val="left" w:pos="1985"/>
        </w:tabs>
        <w:spacing w:before="25" w:line="197" w:lineRule="exact"/>
        <w:ind w:left="160"/>
        <w:rPr>
          <w:sz w:val="18"/>
        </w:rPr>
      </w:pPr>
      <w:r w:rsidRPr="00283806">
        <w:rPr>
          <w:spacing w:val="-10"/>
          <w:w w:val="130"/>
          <w:sz w:val="18"/>
        </w:rPr>
        <w:t>*</w:t>
      </w:r>
      <w:r w:rsidRPr="00283806">
        <w:rPr>
          <w:sz w:val="18"/>
        </w:rPr>
        <w:tab/>
      </w:r>
      <w:r w:rsidRPr="00283806">
        <w:rPr>
          <w:spacing w:val="-10"/>
          <w:w w:val="130"/>
          <w:sz w:val="18"/>
        </w:rPr>
        <w:t>*</w:t>
      </w:r>
      <w:r w:rsidRPr="00283806">
        <w:rPr>
          <w:sz w:val="18"/>
        </w:rPr>
        <w:tab/>
      </w:r>
      <w:r w:rsidRPr="00283806">
        <w:rPr>
          <w:spacing w:val="-12"/>
          <w:w w:val="130"/>
          <w:sz w:val="18"/>
        </w:rPr>
        <w:t>*</w:t>
      </w:r>
      <w:r w:rsidRPr="00283806">
        <w:rPr>
          <w:sz w:val="18"/>
        </w:rPr>
        <w:tab/>
      </w:r>
      <w:r w:rsidRPr="00283806">
        <w:rPr>
          <w:spacing w:val="-10"/>
          <w:w w:val="130"/>
          <w:sz w:val="18"/>
        </w:rPr>
        <w:t>*</w:t>
      </w:r>
      <w:r w:rsidRPr="00283806">
        <w:rPr>
          <w:sz w:val="18"/>
        </w:rPr>
        <w:tab/>
      </w:r>
      <w:r w:rsidRPr="00283806">
        <w:rPr>
          <w:spacing w:val="-10"/>
          <w:w w:val="130"/>
          <w:sz w:val="18"/>
        </w:rPr>
        <w:t>*</w:t>
      </w:r>
    </w:p>
    <w:p w14:paraId="5A3697BD" w14:textId="77777777" w:rsidR="00D67C1E" w:rsidRPr="00283806" w:rsidRDefault="001265CA">
      <w:pPr>
        <w:pStyle w:val="ListParagraph"/>
        <w:numPr>
          <w:ilvl w:val="0"/>
          <w:numId w:val="14"/>
        </w:numPr>
        <w:tabs>
          <w:tab w:val="left" w:pos="598"/>
        </w:tabs>
        <w:spacing w:line="228" w:lineRule="auto"/>
        <w:ind w:left="160" w:right="121" w:firstLine="180"/>
        <w:rPr>
          <w:sz w:val="18"/>
        </w:rPr>
      </w:pPr>
      <w:r w:rsidRPr="00283806">
        <w:rPr>
          <w:w w:val="105"/>
          <w:sz w:val="18"/>
        </w:rPr>
        <w:t>Facilities receiving refrigerant from off-site under 40 CFR part 266, subpart</w:t>
      </w:r>
      <w:r w:rsidRPr="00283806">
        <w:rPr>
          <w:spacing w:val="80"/>
          <w:w w:val="105"/>
          <w:sz w:val="18"/>
        </w:rPr>
        <w:t xml:space="preserve"> </w:t>
      </w:r>
      <w:r w:rsidRPr="00283806">
        <w:rPr>
          <w:w w:val="105"/>
          <w:sz w:val="18"/>
        </w:rPr>
        <w:t>Q that are not transfer facilities that</w:t>
      </w:r>
      <w:r w:rsidRPr="00283806">
        <w:rPr>
          <w:spacing w:val="80"/>
          <w:w w:val="105"/>
          <w:sz w:val="18"/>
        </w:rPr>
        <w:t xml:space="preserve"> </w:t>
      </w:r>
      <w:r w:rsidRPr="00283806">
        <w:rPr>
          <w:w w:val="105"/>
          <w:sz w:val="18"/>
        </w:rPr>
        <w:t>store the refrigerants for less than ten</w:t>
      </w:r>
    </w:p>
    <w:p w14:paraId="7B680480" w14:textId="77777777" w:rsidR="00D67C1E" w:rsidRPr="00283806" w:rsidRDefault="001265CA">
      <w:pPr>
        <w:pStyle w:val="BodyText"/>
        <w:spacing w:line="228" w:lineRule="auto"/>
        <w:ind w:right="151"/>
      </w:pPr>
      <w:r w:rsidRPr="00283806">
        <w:rPr>
          <w:w w:val="105"/>
        </w:rPr>
        <w:t>(10) days must comply with §§</w:t>
      </w:r>
      <w:r w:rsidRPr="00283806">
        <w:rPr>
          <w:spacing w:val="-12"/>
          <w:w w:val="105"/>
        </w:rPr>
        <w:t xml:space="preserve"> </w:t>
      </w:r>
      <w:r w:rsidRPr="00283806">
        <w:rPr>
          <w:w w:val="105"/>
        </w:rPr>
        <w:t>261.410 and 261.420.</w:t>
      </w:r>
    </w:p>
    <w:p w14:paraId="60819058" w14:textId="77777777" w:rsidR="00D67C1E" w:rsidRPr="00283806" w:rsidRDefault="001265CA">
      <w:pPr>
        <w:tabs>
          <w:tab w:val="left" w:pos="616"/>
          <w:tab w:val="left" w:pos="1072"/>
          <w:tab w:val="left" w:pos="1529"/>
          <w:tab w:val="left" w:pos="1985"/>
        </w:tabs>
        <w:spacing w:before="24"/>
        <w:ind w:left="160"/>
        <w:rPr>
          <w:sz w:val="18"/>
        </w:rPr>
      </w:pPr>
      <w:r w:rsidRPr="00283806">
        <w:rPr>
          <w:spacing w:val="-10"/>
          <w:w w:val="130"/>
          <w:sz w:val="18"/>
        </w:rPr>
        <w:t>*</w:t>
      </w:r>
      <w:r w:rsidRPr="00283806">
        <w:rPr>
          <w:sz w:val="18"/>
        </w:rPr>
        <w:tab/>
      </w:r>
      <w:r w:rsidRPr="00283806">
        <w:rPr>
          <w:spacing w:val="-10"/>
          <w:w w:val="130"/>
          <w:sz w:val="18"/>
        </w:rPr>
        <w:t>*</w:t>
      </w:r>
      <w:r w:rsidRPr="00283806">
        <w:rPr>
          <w:sz w:val="18"/>
        </w:rPr>
        <w:tab/>
      </w:r>
      <w:r w:rsidRPr="00283806">
        <w:rPr>
          <w:spacing w:val="-12"/>
          <w:w w:val="130"/>
          <w:sz w:val="18"/>
        </w:rPr>
        <w:t>*</w:t>
      </w:r>
      <w:r w:rsidRPr="00283806">
        <w:rPr>
          <w:sz w:val="18"/>
        </w:rPr>
        <w:tab/>
      </w:r>
      <w:r w:rsidRPr="00283806">
        <w:rPr>
          <w:spacing w:val="-10"/>
          <w:w w:val="130"/>
          <w:sz w:val="18"/>
        </w:rPr>
        <w:t>*</w:t>
      </w:r>
      <w:r w:rsidRPr="00283806">
        <w:rPr>
          <w:sz w:val="18"/>
        </w:rPr>
        <w:tab/>
      </w:r>
      <w:r w:rsidRPr="00283806">
        <w:rPr>
          <w:spacing w:val="-10"/>
          <w:w w:val="130"/>
          <w:sz w:val="18"/>
        </w:rPr>
        <w:t>*</w:t>
      </w:r>
    </w:p>
    <w:p w14:paraId="658B64E5" w14:textId="77777777" w:rsidR="00D67C1E" w:rsidRPr="00283806" w:rsidRDefault="001265CA">
      <w:pPr>
        <w:pStyle w:val="ListParagraph"/>
        <w:numPr>
          <w:ilvl w:val="0"/>
          <w:numId w:val="6"/>
        </w:numPr>
        <w:tabs>
          <w:tab w:val="left" w:pos="160"/>
          <w:tab w:val="left" w:pos="325"/>
        </w:tabs>
        <w:spacing w:before="22" w:line="228" w:lineRule="auto"/>
        <w:ind w:right="172" w:hanging="1"/>
        <w:rPr>
          <w:sz w:val="18"/>
        </w:rPr>
      </w:pPr>
      <w:r w:rsidRPr="00283806">
        <w:rPr>
          <w:w w:val="105"/>
          <w:sz w:val="18"/>
        </w:rPr>
        <w:t xml:space="preserve">6. In § 261.420, revise the section heading and introductory text to read as </w:t>
      </w:r>
      <w:r w:rsidRPr="00283806">
        <w:rPr>
          <w:spacing w:val="-2"/>
          <w:w w:val="105"/>
          <w:sz w:val="18"/>
        </w:rPr>
        <w:t>follows:</w:t>
      </w:r>
    </w:p>
    <w:p w14:paraId="2FAA98BB" w14:textId="77777777" w:rsidR="00D67C1E" w:rsidRPr="00283806" w:rsidRDefault="001265CA">
      <w:pPr>
        <w:spacing w:before="134" w:line="235" w:lineRule="auto"/>
        <w:ind w:left="160" w:right="124"/>
        <w:rPr>
          <w:rFonts w:ascii="Arial" w:hAnsi="Arial"/>
          <w:b/>
          <w:sz w:val="16"/>
        </w:rPr>
      </w:pPr>
      <w:r w:rsidRPr="00283806">
        <w:rPr>
          <w:rFonts w:ascii="Arial" w:hAnsi="Arial"/>
          <w:b/>
          <w:sz w:val="16"/>
        </w:rPr>
        <w:t>§</w:t>
      </w:r>
      <w:r w:rsidRPr="00283806">
        <w:rPr>
          <w:rFonts w:ascii="Arial" w:hAnsi="Arial"/>
          <w:b/>
          <w:spacing w:val="-6"/>
          <w:sz w:val="16"/>
        </w:rPr>
        <w:t xml:space="preserve"> </w:t>
      </w:r>
      <w:r w:rsidRPr="00283806">
        <w:rPr>
          <w:rFonts w:ascii="Arial" w:hAnsi="Arial"/>
          <w:b/>
          <w:sz w:val="16"/>
        </w:rPr>
        <w:t>261.420</w:t>
      </w:r>
      <w:r w:rsidRPr="00283806">
        <w:rPr>
          <w:rFonts w:ascii="Arial" w:hAnsi="Arial"/>
          <w:b/>
          <w:spacing w:val="80"/>
          <w:sz w:val="16"/>
        </w:rPr>
        <w:t xml:space="preserve"> </w:t>
      </w:r>
      <w:r w:rsidRPr="00283806">
        <w:rPr>
          <w:rFonts w:ascii="Arial" w:hAnsi="Arial"/>
          <w:b/>
          <w:sz w:val="16"/>
        </w:rPr>
        <w:t>Contingency planning and emergency procedures for facilities generating</w:t>
      </w:r>
      <w:r w:rsidRPr="00283806">
        <w:rPr>
          <w:rFonts w:ascii="Arial" w:hAnsi="Arial"/>
          <w:b/>
          <w:spacing w:val="-9"/>
          <w:sz w:val="16"/>
        </w:rPr>
        <w:t xml:space="preserve"> </w:t>
      </w:r>
      <w:r w:rsidRPr="00283806">
        <w:rPr>
          <w:rFonts w:ascii="Arial" w:hAnsi="Arial"/>
          <w:b/>
          <w:sz w:val="16"/>
        </w:rPr>
        <w:t>or</w:t>
      </w:r>
      <w:r w:rsidRPr="00283806">
        <w:rPr>
          <w:rFonts w:ascii="Arial" w:hAnsi="Arial"/>
          <w:b/>
          <w:spacing w:val="-9"/>
          <w:sz w:val="16"/>
        </w:rPr>
        <w:t xml:space="preserve"> </w:t>
      </w:r>
      <w:r w:rsidRPr="00283806">
        <w:rPr>
          <w:rFonts w:ascii="Arial" w:hAnsi="Arial"/>
          <w:b/>
          <w:sz w:val="16"/>
        </w:rPr>
        <w:t>accumulating</w:t>
      </w:r>
      <w:r w:rsidRPr="00283806">
        <w:rPr>
          <w:rFonts w:ascii="Arial" w:hAnsi="Arial"/>
          <w:b/>
          <w:spacing w:val="-9"/>
          <w:sz w:val="16"/>
        </w:rPr>
        <w:t xml:space="preserve"> </w:t>
      </w:r>
      <w:r w:rsidRPr="00283806">
        <w:rPr>
          <w:rFonts w:ascii="Arial" w:hAnsi="Arial"/>
          <w:b/>
          <w:sz w:val="16"/>
        </w:rPr>
        <w:t>more</w:t>
      </w:r>
      <w:r w:rsidRPr="00283806">
        <w:rPr>
          <w:rFonts w:ascii="Arial" w:hAnsi="Arial"/>
          <w:b/>
          <w:spacing w:val="-9"/>
          <w:sz w:val="16"/>
        </w:rPr>
        <w:t xml:space="preserve"> </w:t>
      </w:r>
      <w:r w:rsidRPr="00283806">
        <w:rPr>
          <w:rFonts w:ascii="Arial" w:hAnsi="Arial"/>
          <w:b/>
          <w:sz w:val="16"/>
        </w:rPr>
        <w:t>than</w:t>
      </w:r>
      <w:r w:rsidRPr="00283806">
        <w:rPr>
          <w:rFonts w:ascii="Arial" w:hAnsi="Arial"/>
          <w:b/>
          <w:spacing w:val="-9"/>
          <w:sz w:val="16"/>
        </w:rPr>
        <w:t xml:space="preserve"> </w:t>
      </w:r>
      <w:r w:rsidRPr="00283806">
        <w:rPr>
          <w:rFonts w:ascii="Arial" w:hAnsi="Arial"/>
          <w:b/>
          <w:sz w:val="16"/>
        </w:rPr>
        <w:t>6,000 kg of hazardous secondary material or receiving ignitable spent refrigerants</w:t>
      </w:r>
    </w:p>
    <w:p w14:paraId="3EB21B38" w14:textId="77777777" w:rsidR="00D67C1E" w:rsidRPr="00283806" w:rsidRDefault="001265CA">
      <w:pPr>
        <w:pStyle w:val="BodyText"/>
        <w:spacing w:before="27" w:line="228" w:lineRule="auto"/>
        <w:ind w:right="118" w:firstLine="180"/>
      </w:pPr>
      <w:r w:rsidRPr="00283806">
        <w:rPr>
          <w:w w:val="105"/>
        </w:rPr>
        <w:t>A generator or an intermediate or reclamation facility that generates or accumulates more than 6,000 kg of hazardous secondary material, or a facility receiving refrigerant from off-site under</w:t>
      </w:r>
      <w:r w:rsidRPr="00283806">
        <w:rPr>
          <w:spacing w:val="28"/>
          <w:w w:val="105"/>
        </w:rPr>
        <w:t xml:space="preserve"> </w:t>
      </w:r>
      <w:r w:rsidRPr="00283806">
        <w:rPr>
          <w:w w:val="105"/>
        </w:rPr>
        <w:t>40</w:t>
      </w:r>
      <w:r w:rsidRPr="00283806">
        <w:rPr>
          <w:spacing w:val="28"/>
          <w:w w:val="105"/>
        </w:rPr>
        <w:t xml:space="preserve"> </w:t>
      </w:r>
      <w:r w:rsidRPr="00283806">
        <w:rPr>
          <w:w w:val="105"/>
        </w:rPr>
        <w:t>CFR</w:t>
      </w:r>
      <w:r w:rsidRPr="00283806">
        <w:rPr>
          <w:spacing w:val="28"/>
          <w:w w:val="105"/>
        </w:rPr>
        <w:t xml:space="preserve"> </w:t>
      </w:r>
      <w:r w:rsidRPr="00283806">
        <w:rPr>
          <w:w w:val="105"/>
        </w:rPr>
        <w:t>part</w:t>
      </w:r>
      <w:r w:rsidRPr="00283806">
        <w:rPr>
          <w:spacing w:val="28"/>
          <w:w w:val="105"/>
        </w:rPr>
        <w:t xml:space="preserve"> </w:t>
      </w:r>
      <w:r w:rsidRPr="00283806">
        <w:rPr>
          <w:w w:val="105"/>
        </w:rPr>
        <w:t>266,</w:t>
      </w:r>
      <w:r w:rsidRPr="00283806">
        <w:rPr>
          <w:spacing w:val="28"/>
          <w:w w:val="105"/>
        </w:rPr>
        <w:t xml:space="preserve"> </w:t>
      </w:r>
      <w:r w:rsidRPr="00283806">
        <w:rPr>
          <w:w w:val="105"/>
        </w:rPr>
        <w:t>subpart</w:t>
      </w:r>
      <w:r w:rsidRPr="00283806">
        <w:rPr>
          <w:spacing w:val="28"/>
          <w:w w:val="105"/>
        </w:rPr>
        <w:t xml:space="preserve"> </w:t>
      </w:r>
      <w:r w:rsidRPr="00283806">
        <w:rPr>
          <w:w w:val="105"/>
        </w:rPr>
        <w:t>Q,</w:t>
      </w:r>
      <w:r w:rsidRPr="00283806">
        <w:rPr>
          <w:spacing w:val="28"/>
          <w:w w:val="105"/>
        </w:rPr>
        <w:t xml:space="preserve"> </w:t>
      </w:r>
      <w:r w:rsidRPr="00283806">
        <w:rPr>
          <w:w w:val="105"/>
        </w:rPr>
        <w:t xml:space="preserve">that is not a transfer facility that stores the refrigerants for less than ten (10) days must comply with the following </w:t>
      </w:r>
      <w:r w:rsidRPr="00283806">
        <w:rPr>
          <w:spacing w:val="-2"/>
          <w:w w:val="105"/>
        </w:rPr>
        <w:t>requirements:</w:t>
      </w:r>
    </w:p>
    <w:p w14:paraId="51CB12A7" w14:textId="77777777" w:rsidR="00D67C1E" w:rsidRPr="00283806" w:rsidRDefault="001265CA">
      <w:pPr>
        <w:tabs>
          <w:tab w:val="left" w:pos="616"/>
          <w:tab w:val="left" w:pos="1072"/>
          <w:tab w:val="left" w:pos="1529"/>
          <w:tab w:val="left" w:pos="1985"/>
        </w:tabs>
        <w:spacing w:before="26"/>
        <w:ind w:left="160"/>
        <w:rPr>
          <w:sz w:val="18"/>
        </w:rPr>
      </w:pPr>
      <w:r w:rsidRPr="00283806">
        <w:rPr>
          <w:spacing w:val="-10"/>
          <w:w w:val="130"/>
          <w:sz w:val="18"/>
        </w:rPr>
        <w:t>*</w:t>
      </w:r>
      <w:r w:rsidRPr="00283806">
        <w:rPr>
          <w:sz w:val="18"/>
        </w:rPr>
        <w:tab/>
      </w:r>
      <w:r w:rsidRPr="00283806">
        <w:rPr>
          <w:spacing w:val="-10"/>
          <w:w w:val="130"/>
          <w:sz w:val="18"/>
        </w:rPr>
        <w:t>*</w:t>
      </w:r>
      <w:r w:rsidRPr="00283806">
        <w:rPr>
          <w:sz w:val="18"/>
        </w:rPr>
        <w:tab/>
      </w:r>
      <w:r w:rsidRPr="00283806">
        <w:rPr>
          <w:spacing w:val="-12"/>
          <w:w w:val="130"/>
          <w:sz w:val="18"/>
        </w:rPr>
        <w:t>*</w:t>
      </w:r>
      <w:r w:rsidRPr="00283806">
        <w:rPr>
          <w:sz w:val="18"/>
        </w:rPr>
        <w:tab/>
      </w:r>
      <w:r w:rsidRPr="00283806">
        <w:rPr>
          <w:spacing w:val="-10"/>
          <w:w w:val="130"/>
          <w:sz w:val="18"/>
        </w:rPr>
        <w:t>*</w:t>
      </w:r>
      <w:r w:rsidRPr="00283806">
        <w:rPr>
          <w:sz w:val="18"/>
        </w:rPr>
        <w:tab/>
      </w:r>
      <w:r w:rsidRPr="00283806">
        <w:rPr>
          <w:spacing w:val="-10"/>
          <w:w w:val="130"/>
          <w:sz w:val="18"/>
        </w:rPr>
        <w:t>*</w:t>
      </w:r>
    </w:p>
    <w:p w14:paraId="76976C4D" w14:textId="77777777" w:rsidR="00D67C1E" w:rsidRPr="00283806" w:rsidRDefault="001265CA">
      <w:pPr>
        <w:pStyle w:val="Heading2"/>
        <w:spacing w:line="232" w:lineRule="auto"/>
        <w:ind w:right="124"/>
      </w:pPr>
      <w:r w:rsidRPr="00283806">
        <w:t>PART</w:t>
      </w:r>
      <w:r w:rsidRPr="00283806">
        <w:rPr>
          <w:spacing w:val="-15"/>
        </w:rPr>
        <w:t xml:space="preserve"> </w:t>
      </w:r>
      <w:r w:rsidRPr="00283806">
        <w:t>262—STANDARDS</w:t>
      </w:r>
      <w:r w:rsidRPr="00283806">
        <w:rPr>
          <w:spacing w:val="-12"/>
        </w:rPr>
        <w:t xml:space="preserve"> </w:t>
      </w:r>
      <w:r w:rsidRPr="00283806">
        <w:t xml:space="preserve">APPLICABLE TO GENERATORS OF HAZARDOUS </w:t>
      </w:r>
      <w:r w:rsidRPr="00283806">
        <w:rPr>
          <w:spacing w:val="-2"/>
        </w:rPr>
        <w:t>WASTE</w:t>
      </w:r>
    </w:p>
    <w:p w14:paraId="2A22CBCC" w14:textId="77777777" w:rsidR="00D67C1E" w:rsidRPr="00283806" w:rsidRDefault="001265CA">
      <w:pPr>
        <w:pStyle w:val="ListParagraph"/>
        <w:numPr>
          <w:ilvl w:val="0"/>
          <w:numId w:val="6"/>
        </w:numPr>
        <w:tabs>
          <w:tab w:val="left" w:pos="160"/>
          <w:tab w:val="left" w:pos="325"/>
        </w:tabs>
        <w:spacing w:before="144" w:line="228" w:lineRule="auto"/>
        <w:ind w:right="360" w:hanging="1"/>
        <w:rPr>
          <w:sz w:val="18"/>
        </w:rPr>
      </w:pPr>
      <w:r w:rsidRPr="00283806">
        <w:rPr>
          <w:w w:val="105"/>
          <w:sz w:val="18"/>
        </w:rPr>
        <w:t>7.</w:t>
      </w:r>
      <w:r w:rsidRPr="00283806">
        <w:rPr>
          <w:spacing w:val="-8"/>
          <w:w w:val="105"/>
          <w:sz w:val="18"/>
        </w:rPr>
        <w:t xml:space="preserve"> </w:t>
      </w:r>
      <w:r w:rsidRPr="00283806">
        <w:rPr>
          <w:w w:val="105"/>
          <w:sz w:val="18"/>
        </w:rPr>
        <w:t>The</w:t>
      </w:r>
      <w:r w:rsidRPr="00283806">
        <w:rPr>
          <w:spacing w:val="-8"/>
          <w:w w:val="105"/>
          <w:sz w:val="18"/>
        </w:rPr>
        <w:t xml:space="preserve"> </w:t>
      </w:r>
      <w:r w:rsidRPr="00283806">
        <w:rPr>
          <w:w w:val="105"/>
          <w:sz w:val="18"/>
        </w:rPr>
        <w:t>authority</w:t>
      </w:r>
      <w:r w:rsidRPr="00283806">
        <w:rPr>
          <w:spacing w:val="-8"/>
          <w:w w:val="105"/>
          <w:sz w:val="18"/>
        </w:rPr>
        <w:t xml:space="preserve"> </w:t>
      </w:r>
      <w:r w:rsidRPr="00283806">
        <w:rPr>
          <w:w w:val="105"/>
          <w:sz w:val="18"/>
        </w:rPr>
        <w:t>citation</w:t>
      </w:r>
      <w:r w:rsidRPr="00283806">
        <w:rPr>
          <w:spacing w:val="-8"/>
          <w:w w:val="105"/>
          <w:sz w:val="18"/>
        </w:rPr>
        <w:t xml:space="preserve"> </w:t>
      </w:r>
      <w:r w:rsidRPr="00283806">
        <w:rPr>
          <w:w w:val="105"/>
          <w:sz w:val="18"/>
        </w:rPr>
        <w:t>for</w:t>
      </w:r>
      <w:r w:rsidRPr="00283806">
        <w:rPr>
          <w:spacing w:val="-8"/>
          <w:w w:val="105"/>
          <w:sz w:val="18"/>
        </w:rPr>
        <w:t xml:space="preserve"> </w:t>
      </w:r>
      <w:r w:rsidRPr="00283806">
        <w:rPr>
          <w:w w:val="105"/>
          <w:sz w:val="18"/>
        </w:rPr>
        <w:t>part</w:t>
      </w:r>
      <w:r w:rsidRPr="00283806">
        <w:rPr>
          <w:spacing w:val="-8"/>
          <w:w w:val="105"/>
          <w:sz w:val="18"/>
        </w:rPr>
        <w:t xml:space="preserve"> </w:t>
      </w:r>
      <w:r w:rsidRPr="00283806">
        <w:rPr>
          <w:w w:val="105"/>
          <w:sz w:val="18"/>
        </w:rPr>
        <w:t>262 continues to read as follows:</w:t>
      </w:r>
    </w:p>
    <w:p w14:paraId="13F11479" w14:textId="77777777" w:rsidR="00D67C1E" w:rsidRPr="00283806" w:rsidRDefault="001265CA">
      <w:pPr>
        <w:spacing w:before="69" w:line="187" w:lineRule="exact"/>
        <w:ind w:left="320"/>
        <w:rPr>
          <w:sz w:val="16"/>
        </w:rPr>
      </w:pPr>
      <w:r w:rsidRPr="00283806">
        <w:rPr>
          <w:rFonts w:ascii="Book Antiqua" w:hAnsi="Book Antiqua"/>
          <w:b/>
          <w:w w:val="105"/>
          <w:sz w:val="16"/>
        </w:rPr>
        <w:t>Authority:</w:t>
      </w:r>
      <w:r w:rsidRPr="00283806">
        <w:rPr>
          <w:rFonts w:ascii="Book Antiqua" w:hAnsi="Book Antiqua"/>
          <w:b/>
          <w:spacing w:val="5"/>
          <w:w w:val="105"/>
          <w:sz w:val="16"/>
        </w:rPr>
        <w:t xml:space="preserve"> </w:t>
      </w:r>
      <w:r w:rsidRPr="00283806">
        <w:rPr>
          <w:w w:val="105"/>
          <w:sz w:val="16"/>
        </w:rPr>
        <w:t>42</w:t>
      </w:r>
      <w:r w:rsidRPr="00283806">
        <w:rPr>
          <w:spacing w:val="9"/>
          <w:w w:val="105"/>
          <w:sz w:val="16"/>
        </w:rPr>
        <w:t xml:space="preserve"> </w:t>
      </w:r>
      <w:r w:rsidRPr="00283806">
        <w:rPr>
          <w:w w:val="105"/>
          <w:sz w:val="16"/>
        </w:rPr>
        <w:t>U.S.C.</w:t>
      </w:r>
      <w:r w:rsidRPr="00283806">
        <w:rPr>
          <w:spacing w:val="10"/>
          <w:w w:val="105"/>
          <w:sz w:val="16"/>
        </w:rPr>
        <w:t xml:space="preserve"> </w:t>
      </w:r>
      <w:r w:rsidRPr="00283806">
        <w:rPr>
          <w:w w:val="105"/>
          <w:sz w:val="16"/>
        </w:rPr>
        <w:t>6906,</w:t>
      </w:r>
      <w:r w:rsidRPr="00283806">
        <w:rPr>
          <w:spacing w:val="9"/>
          <w:w w:val="105"/>
          <w:sz w:val="16"/>
        </w:rPr>
        <w:t xml:space="preserve"> </w:t>
      </w:r>
      <w:r w:rsidRPr="00283806">
        <w:rPr>
          <w:w w:val="105"/>
          <w:sz w:val="16"/>
        </w:rPr>
        <w:t>6912,</w:t>
      </w:r>
      <w:r w:rsidRPr="00283806">
        <w:rPr>
          <w:spacing w:val="9"/>
          <w:w w:val="105"/>
          <w:sz w:val="16"/>
        </w:rPr>
        <w:t xml:space="preserve"> </w:t>
      </w:r>
      <w:r w:rsidRPr="00283806">
        <w:rPr>
          <w:spacing w:val="-2"/>
          <w:w w:val="105"/>
          <w:sz w:val="16"/>
        </w:rPr>
        <w:t>6922–</w:t>
      </w:r>
    </w:p>
    <w:p w14:paraId="22AB24C0" w14:textId="77777777" w:rsidR="00D67C1E" w:rsidRPr="00283806" w:rsidRDefault="001265CA">
      <w:pPr>
        <w:spacing w:line="180" w:lineRule="exact"/>
        <w:ind w:left="160"/>
        <w:rPr>
          <w:sz w:val="16"/>
        </w:rPr>
      </w:pPr>
      <w:r w:rsidRPr="00283806">
        <w:rPr>
          <w:w w:val="105"/>
          <w:sz w:val="16"/>
        </w:rPr>
        <w:t>6925,</w:t>
      </w:r>
      <w:r w:rsidRPr="00283806">
        <w:rPr>
          <w:spacing w:val="-1"/>
          <w:w w:val="105"/>
          <w:sz w:val="16"/>
        </w:rPr>
        <w:t xml:space="preserve"> </w:t>
      </w:r>
      <w:r w:rsidRPr="00283806">
        <w:rPr>
          <w:w w:val="105"/>
          <w:sz w:val="16"/>
        </w:rPr>
        <w:t>6937,</w:t>
      </w:r>
      <w:r w:rsidRPr="00283806">
        <w:rPr>
          <w:spacing w:val="-1"/>
          <w:w w:val="105"/>
          <w:sz w:val="16"/>
        </w:rPr>
        <w:t xml:space="preserve"> </w:t>
      </w:r>
      <w:r w:rsidRPr="00283806">
        <w:rPr>
          <w:w w:val="105"/>
          <w:sz w:val="16"/>
        </w:rPr>
        <w:t>6938</w:t>
      </w:r>
      <w:r w:rsidRPr="00283806">
        <w:rPr>
          <w:spacing w:val="-1"/>
          <w:w w:val="105"/>
          <w:sz w:val="16"/>
        </w:rPr>
        <w:t xml:space="preserve"> </w:t>
      </w:r>
      <w:r w:rsidRPr="00283806">
        <w:rPr>
          <w:w w:val="105"/>
          <w:sz w:val="16"/>
        </w:rPr>
        <w:t>and</w:t>
      </w:r>
      <w:r w:rsidRPr="00283806">
        <w:rPr>
          <w:spacing w:val="-1"/>
          <w:w w:val="105"/>
          <w:sz w:val="16"/>
        </w:rPr>
        <w:t xml:space="preserve"> </w:t>
      </w:r>
      <w:r w:rsidRPr="00283806">
        <w:rPr>
          <w:spacing w:val="-2"/>
          <w:w w:val="105"/>
          <w:sz w:val="16"/>
        </w:rPr>
        <w:t>6939g.</w:t>
      </w:r>
    </w:p>
    <w:p w14:paraId="1AAD9578" w14:textId="77777777" w:rsidR="00D67C1E" w:rsidRPr="00283806" w:rsidRDefault="001265CA">
      <w:pPr>
        <w:pStyle w:val="Heading3"/>
      </w:pPr>
      <w:r w:rsidRPr="00283806">
        <w:t>Subpart</w:t>
      </w:r>
      <w:r w:rsidRPr="00283806">
        <w:rPr>
          <w:spacing w:val="-1"/>
        </w:rPr>
        <w:t xml:space="preserve"> </w:t>
      </w:r>
      <w:r w:rsidRPr="00283806">
        <w:t>A—</w:t>
      </w:r>
      <w:r w:rsidRPr="00283806">
        <w:rPr>
          <w:spacing w:val="-2"/>
        </w:rPr>
        <w:t>General</w:t>
      </w:r>
    </w:p>
    <w:p w14:paraId="104BED85" w14:textId="77777777" w:rsidR="00D67C1E" w:rsidRPr="00283806" w:rsidRDefault="001265CA">
      <w:pPr>
        <w:pStyle w:val="ListParagraph"/>
        <w:numPr>
          <w:ilvl w:val="0"/>
          <w:numId w:val="6"/>
        </w:numPr>
        <w:tabs>
          <w:tab w:val="left" w:pos="160"/>
          <w:tab w:val="left" w:pos="325"/>
        </w:tabs>
        <w:spacing w:before="143" w:line="228" w:lineRule="auto"/>
        <w:ind w:right="787" w:hanging="1"/>
        <w:rPr>
          <w:sz w:val="18"/>
        </w:rPr>
      </w:pPr>
      <w:r w:rsidRPr="00283806">
        <w:rPr>
          <w:w w:val="105"/>
          <w:sz w:val="18"/>
        </w:rPr>
        <w:t>8.</w:t>
      </w:r>
      <w:r w:rsidRPr="00283806">
        <w:rPr>
          <w:spacing w:val="-11"/>
          <w:w w:val="105"/>
          <w:sz w:val="18"/>
        </w:rPr>
        <w:t xml:space="preserve"> </w:t>
      </w:r>
      <w:r w:rsidRPr="00283806">
        <w:rPr>
          <w:w w:val="105"/>
          <w:sz w:val="18"/>
        </w:rPr>
        <w:t>In</w:t>
      </w:r>
      <w:r w:rsidRPr="00283806">
        <w:rPr>
          <w:spacing w:val="-10"/>
          <w:w w:val="105"/>
          <w:sz w:val="18"/>
        </w:rPr>
        <w:t xml:space="preserve"> </w:t>
      </w:r>
      <w:r w:rsidRPr="00283806">
        <w:rPr>
          <w:w w:val="105"/>
          <w:sz w:val="18"/>
        </w:rPr>
        <w:t>§</w:t>
      </w:r>
      <w:r w:rsidRPr="00283806">
        <w:rPr>
          <w:spacing w:val="-12"/>
          <w:w w:val="105"/>
          <w:sz w:val="18"/>
        </w:rPr>
        <w:t xml:space="preserve"> </w:t>
      </w:r>
      <w:r w:rsidRPr="00283806">
        <w:rPr>
          <w:w w:val="105"/>
          <w:sz w:val="18"/>
        </w:rPr>
        <w:t>262.14,</w:t>
      </w:r>
      <w:r w:rsidRPr="00283806">
        <w:rPr>
          <w:spacing w:val="-11"/>
          <w:w w:val="105"/>
          <w:sz w:val="18"/>
        </w:rPr>
        <w:t xml:space="preserve"> </w:t>
      </w:r>
      <w:r w:rsidRPr="00283806">
        <w:rPr>
          <w:w w:val="105"/>
          <w:sz w:val="18"/>
        </w:rPr>
        <w:t>revise</w:t>
      </w:r>
      <w:r w:rsidRPr="00283806">
        <w:rPr>
          <w:spacing w:val="-10"/>
          <w:w w:val="105"/>
          <w:sz w:val="18"/>
        </w:rPr>
        <w:t xml:space="preserve"> </w:t>
      </w:r>
      <w:r w:rsidRPr="00283806">
        <w:rPr>
          <w:w w:val="105"/>
          <w:sz w:val="18"/>
        </w:rPr>
        <w:t>paragraph (a)(5)(vi) to read as follows:</w:t>
      </w:r>
    </w:p>
    <w:p w14:paraId="4BE3C163" w14:textId="77777777" w:rsidR="00D67C1E" w:rsidRPr="00283806" w:rsidRDefault="001265CA">
      <w:pPr>
        <w:spacing w:before="135" w:line="235" w:lineRule="auto"/>
        <w:ind w:left="160" w:right="199"/>
        <w:rPr>
          <w:rFonts w:ascii="Arial" w:hAnsi="Arial"/>
          <w:b/>
          <w:sz w:val="16"/>
        </w:rPr>
      </w:pPr>
      <w:r w:rsidRPr="00283806">
        <w:rPr>
          <w:rFonts w:ascii="Arial" w:hAnsi="Arial"/>
          <w:b/>
          <w:sz w:val="16"/>
        </w:rPr>
        <w:t>§ 262.14</w:t>
      </w:r>
      <w:r w:rsidRPr="00283806">
        <w:rPr>
          <w:rFonts w:ascii="Arial" w:hAnsi="Arial"/>
          <w:b/>
          <w:spacing w:val="80"/>
          <w:sz w:val="16"/>
        </w:rPr>
        <w:t xml:space="preserve"> </w:t>
      </w:r>
      <w:r w:rsidRPr="00283806">
        <w:rPr>
          <w:rFonts w:ascii="Arial" w:hAnsi="Arial"/>
          <w:b/>
          <w:sz w:val="16"/>
        </w:rPr>
        <w:t>Conditions</w:t>
      </w:r>
      <w:r w:rsidRPr="00283806">
        <w:rPr>
          <w:rFonts w:ascii="Arial" w:hAnsi="Arial"/>
          <w:b/>
          <w:spacing w:val="-5"/>
          <w:sz w:val="16"/>
        </w:rPr>
        <w:t xml:space="preserve"> </w:t>
      </w:r>
      <w:r w:rsidRPr="00283806">
        <w:rPr>
          <w:rFonts w:ascii="Arial" w:hAnsi="Arial"/>
          <w:b/>
          <w:sz w:val="16"/>
        </w:rPr>
        <w:t>for</w:t>
      </w:r>
      <w:r w:rsidRPr="00283806">
        <w:rPr>
          <w:rFonts w:ascii="Arial" w:hAnsi="Arial"/>
          <w:b/>
          <w:spacing w:val="-5"/>
          <w:sz w:val="16"/>
        </w:rPr>
        <w:t xml:space="preserve"> </w:t>
      </w:r>
      <w:r w:rsidRPr="00283806">
        <w:rPr>
          <w:rFonts w:ascii="Arial" w:hAnsi="Arial"/>
          <w:b/>
          <w:sz w:val="16"/>
        </w:rPr>
        <w:t>exemption</w:t>
      </w:r>
      <w:r w:rsidRPr="00283806">
        <w:rPr>
          <w:rFonts w:ascii="Arial" w:hAnsi="Arial"/>
          <w:b/>
          <w:spacing w:val="-5"/>
          <w:sz w:val="16"/>
        </w:rPr>
        <w:t xml:space="preserve"> </w:t>
      </w:r>
      <w:r w:rsidRPr="00283806">
        <w:rPr>
          <w:rFonts w:ascii="Arial" w:hAnsi="Arial"/>
          <w:b/>
          <w:sz w:val="16"/>
        </w:rPr>
        <w:t>for</w:t>
      </w:r>
      <w:r w:rsidRPr="00283806">
        <w:rPr>
          <w:rFonts w:ascii="Arial" w:hAnsi="Arial"/>
          <w:b/>
          <w:spacing w:val="-5"/>
          <w:sz w:val="16"/>
        </w:rPr>
        <w:t xml:space="preserve"> </w:t>
      </w:r>
      <w:r w:rsidRPr="00283806">
        <w:rPr>
          <w:rFonts w:ascii="Arial" w:hAnsi="Arial"/>
          <w:b/>
          <w:sz w:val="16"/>
        </w:rPr>
        <w:t>a very small quantity generator.</w:t>
      </w:r>
    </w:p>
    <w:p w14:paraId="7B7EC409" w14:textId="77777777" w:rsidR="00D67C1E" w:rsidRPr="00283806" w:rsidRDefault="001265CA">
      <w:pPr>
        <w:pStyle w:val="BodyText"/>
        <w:spacing w:before="19" w:line="197" w:lineRule="exact"/>
        <w:ind w:left="340"/>
      </w:pPr>
      <w:r w:rsidRPr="00283806">
        <w:rPr>
          <w:w w:val="110"/>
        </w:rPr>
        <w:t>(a)</w:t>
      </w:r>
      <w:r w:rsidRPr="00283806">
        <w:rPr>
          <w:spacing w:val="-3"/>
          <w:w w:val="110"/>
        </w:rPr>
        <w:t xml:space="preserve"> </w:t>
      </w:r>
      <w:r w:rsidRPr="00283806">
        <w:rPr>
          <w:w w:val="120"/>
        </w:rPr>
        <w:t>*</w:t>
      </w:r>
      <w:r w:rsidRPr="00283806">
        <w:rPr>
          <w:spacing w:val="-7"/>
          <w:w w:val="120"/>
        </w:rPr>
        <w:t xml:space="preserve"> </w:t>
      </w:r>
      <w:r w:rsidRPr="00283806">
        <w:rPr>
          <w:w w:val="120"/>
        </w:rPr>
        <w:t>*</w:t>
      </w:r>
      <w:r w:rsidRPr="00283806">
        <w:rPr>
          <w:spacing w:val="-6"/>
          <w:w w:val="120"/>
        </w:rPr>
        <w:t xml:space="preserve"> </w:t>
      </w:r>
      <w:r w:rsidRPr="00283806">
        <w:rPr>
          <w:spacing w:val="-10"/>
          <w:w w:val="120"/>
        </w:rPr>
        <w:t>*</w:t>
      </w:r>
    </w:p>
    <w:p w14:paraId="49337BA4" w14:textId="77777777" w:rsidR="00D67C1E" w:rsidRPr="00283806" w:rsidRDefault="001265CA">
      <w:pPr>
        <w:pStyle w:val="ListParagraph"/>
        <w:numPr>
          <w:ilvl w:val="0"/>
          <w:numId w:val="10"/>
        </w:numPr>
        <w:tabs>
          <w:tab w:val="left" w:pos="608"/>
        </w:tabs>
        <w:spacing w:line="184" w:lineRule="exact"/>
        <w:ind w:left="608" w:hanging="268"/>
        <w:rPr>
          <w:sz w:val="18"/>
        </w:rPr>
      </w:pPr>
      <w:r w:rsidRPr="00283806">
        <w:rPr>
          <w:w w:val="130"/>
          <w:sz w:val="18"/>
        </w:rPr>
        <w:t>*</w:t>
      </w:r>
      <w:r w:rsidRPr="00283806">
        <w:rPr>
          <w:spacing w:val="-3"/>
          <w:w w:val="130"/>
          <w:sz w:val="18"/>
        </w:rPr>
        <w:t xml:space="preserve"> </w:t>
      </w:r>
      <w:r w:rsidRPr="00283806">
        <w:rPr>
          <w:w w:val="130"/>
          <w:sz w:val="18"/>
        </w:rPr>
        <w:t>*</w:t>
      </w:r>
      <w:r w:rsidRPr="00283806">
        <w:rPr>
          <w:spacing w:val="-3"/>
          <w:w w:val="130"/>
          <w:sz w:val="18"/>
        </w:rPr>
        <w:t xml:space="preserve"> </w:t>
      </w:r>
      <w:r w:rsidRPr="00283806">
        <w:rPr>
          <w:spacing w:val="-10"/>
          <w:w w:val="130"/>
          <w:sz w:val="18"/>
        </w:rPr>
        <w:t>*</w:t>
      </w:r>
    </w:p>
    <w:p w14:paraId="571B0B7B" w14:textId="77777777" w:rsidR="00D67C1E" w:rsidRPr="00283806" w:rsidRDefault="001265CA">
      <w:pPr>
        <w:pStyle w:val="BodyText"/>
        <w:spacing w:line="197" w:lineRule="exact"/>
        <w:ind w:left="340"/>
      </w:pPr>
      <w:r w:rsidRPr="00283806">
        <w:rPr>
          <w:w w:val="110"/>
        </w:rPr>
        <w:t>(vi)</w:t>
      </w:r>
      <w:r w:rsidRPr="00283806">
        <w:rPr>
          <w:spacing w:val="2"/>
          <w:w w:val="110"/>
        </w:rPr>
        <w:t xml:space="preserve"> </w:t>
      </w:r>
      <w:r w:rsidRPr="00283806">
        <w:rPr>
          <w:w w:val="110"/>
        </w:rPr>
        <w:t>A</w:t>
      </w:r>
      <w:r w:rsidRPr="00283806">
        <w:rPr>
          <w:spacing w:val="3"/>
          <w:w w:val="110"/>
        </w:rPr>
        <w:t xml:space="preserve"> </w:t>
      </w:r>
      <w:r w:rsidRPr="00283806">
        <w:rPr>
          <w:w w:val="110"/>
        </w:rPr>
        <w:t>facility</w:t>
      </w:r>
      <w:r w:rsidRPr="00283806">
        <w:rPr>
          <w:spacing w:val="3"/>
          <w:w w:val="110"/>
        </w:rPr>
        <w:t xml:space="preserve"> </w:t>
      </w:r>
      <w:r w:rsidRPr="00283806">
        <w:rPr>
          <w:spacing w:val="-2"/>
          <w:w w:val="110"/>
        </w:rPr>
        <w:t>which:</w:t>
      </w:r>
    </w:p>
    <w:p w14:paraId="439463C5" w14:textId="77777777" w:rsidR="00D67C1E" w:rsidRPr="00283806" w:rsidRDefault="00D67C1E">
      <w:pPr>
        <w:spacing w:line="197" w:lineRule="exact"/>
        <w:sectPr w:rsidR="00D67C1E" w:rsidRPr="00283806">
          <w:pgSz w:w="12240" w:h="15840"/>
          <w:pgMar w:top="1040" w:right="780" w:bottom="280" w:left="740" w:header="627" w:footer="0" w:gutter="0"/>
          <w:cols w:num="3" w:space="720" w:equalWidth="0">
            <w:col w:w="3517" w:space="40"/>
            <w:col w:w="3470" w:space="53"/>
            <w:col w:w="3640"/>
          </w:cols>
        </w:sectPr>
      </w:pPr>
    </w:p>
    <w:p w14:paraId="2EC46099" w14:textId="77777777" w:rsidR="00D67C1E" w:rsidRPr="00283806" w:rsidRDefault="001265CA">
      <w:pPr>
        <w:pStyle w:val="BodyText"/>
        <w:spacing w:before="139" w:line="220" w:lineRule="auto"/>
        <w:ind w:right="128" w:firstLine="180"/>
      </w:pPr>
      <w:r w:rsidRPr="00283806">
        <w:rPr>
          <w:w w:val="105"/>
        </w:rPr>
        <w:lastRenderedPageBreak/>
        <w:t>(A)(</w:t>
      </w:r>
      <w:r w:rsidRPr="00283806">
        <w:rPr>
          <w:rFonts w:ascii="Book Antiqua"/>
          <w:i/>
          <w:w w:val="105"/>
        </w:rPr>
        <w:t>1</w:t>
      </w:r>
      <w:r w:rsidRPr="00283806">
        <w:rPr>
          <w:w w:val="105"/>
        </w:rPr>
        <w:t>) Beneficially uses or reuses, or legitimately recycles or reclaims its waste; or</w:t>
      </w:r>
    </w:p>
    <w:p w14:paraId="3EBA93DD" w14:textId="77777777" w:rsidR="00D67C1E" w:rsidRPr="00283806" w:rsidRDefault="001265CA">
      <w:pPr>
        <w:pStyle w:val="BodyText"/>
        <w:spacing w:line="184" w:lineRule="exact"/>
        <w:ind w:left="340"/>
      </w:pPr>
      <w:r w:rsidRPr="00283806">
        <w:rPr>
          <w:w w:val="105"/>
        </w:rPr>
        <w:t>(</w:t>
      </w:r>
      <w:r w:rsidRPr="00283806">
        <w:rPr>
          <w:rFonts w:ascii="Book Antiqua"/>
          <w:i/>
          <w:w w:val="105"/>
        </w:rPr>
        <w:t>2</w:t>
      </w:r>
      <w:r w:rsidRPr="00283806">
        <w:rPr>
          <w:w w:val="105"/>
        </w:rPr>
        <w:t>)</w:t>
      </w:r>
      <w:r w:rsidRPr="00283806">
        <w:rPr>
          <w:spacing w:val="-2"/>
          <w:w w:val="105"/>
        </w:rPr>
        <w:t xml:space="preserve"> </w:t>
      </w:r>
      <w:r w:rsidRPr="00283806">
        <w:rPr>
          <w:w w:val="105"/>
        </w:rPr>
        <w:t>Treats</w:t>
      </w:r>
      <w:r w:rsidRPr="00283806">
        <w:rPr>
          <w:spacing w:val="-1"/>
          <w:w w:val="105"/>
        </w:rPr>
        <w:t xml:space="preserve"> </w:t>
      </w:r>
      <w:r w:rsidRPr="00283806">
        <w:rPr>
          <w:w w:val="105"/>
        </w:rPr>
        <w:t>its</w:t>
      </w:r>
      <w:r w:rsidRPr="00283806">
        <w:rPr>
          <w:spacing w:val="-1"/>
          <w:w w:val="105"/>
        </w:rPr>
        <w:t xml:space="preserve"> </w:t>
      </w:r>
      <w:r w:rsidRPr="00283806">
        <w:rPr>
          <w:w w:val="105"/>
        </w:rPr>
        <w:t>waste</w:t>
      </w:r>
      <w:r w:rsidRPr="00283806">
        <w:rPr>
          <w:spacing w:val="-1"/>
          <w:w w:val="105"/>
        </w:rPr>
        <w:t xml:space="preserve"> </w:t>
      </w:r>
      <w:r w:rsidRPr="00283806">
        <w:rPr>
          <w:w w:val="105"/>
        </w:rPr>
        <w:t>prior</w:t>
      </w:r>
      <w:r w:rsidRPr="00283806">
        <w:rPr>
          <w:spacing w:val="-1"/>
          <w:w w:val="105"/>
        </w:rPr>
        <w:t xml:space="preserve"> </w:t>
      </w:r>
      <w:r w:rsidRPr="00283806">
        <w:rPr>
          <w:w w:val="105"/>
        </w:rPr>
        <w:t>to</w:t>
      </w:r>
      <w:r w:rsidRPr="00283806">
        <w:rPr>
          <w:spacing w:val="-1"/>
          <w:w w:val="105"/>
        </w:rPr>
        <w:t xml:space="preserve"> </w:t>
      </w:r>
      <w:r w:rsidRPr="00283806">
        <w:rPr>
          <w:spacing w:val="-2"/>
          <w:w w:val="105"/>
        </w:rPr>
        <w:t>beneficial</w:t>
      </w:r>
    </w:p>
    <w:p w14:paraId="16C76DAA" w14:textId="77777777" w:rsidR="00D67C1E" w:rsidRPr="00283806" w:rsidRDefault="001265CA">
      <w:pPr>
        <w:pStyle w:val="BodyText"/>
        <w:spacing w:line="225" w:lineRule="auto"/>
        <w:ind w:right="128"/>
      </w:pPr>
      <w:r w:rsidRPr="00283806">
        <w:rPr>
          <w:w w:val="105"/>
        </w:rPr>
        <w:t>use or reuse, or legitimate recycling or reclamation; and</w:t>
      </w:r>
    </w:p>
    <w:p w14:paraId="7BC6C734" w14:textId="77777777" w:rsidR="00D67C1E" w:rsidRPr="00283806" w:rsidRDefault="001265CA">
      <w:pPr>
        <w:pStyle w:val="BodyText"/>
        <w:spacing w:line="179" w:lineRule="exact"/>
        <w:ind w:left="340"/>
      </w:pPr>
      <w:r w:rsidRPr="00283806">
        <w:t>(B)</w:t>
      </w:r>
      <w:r w:rsidRPr="00283806">
        <w:rPr>
          <w:spacing w:val="25"/>
        </w:rPr>
        <w:t xml:space="preserve"> </w:t>
      </w:r>
      <w:r w:rsidRPr="00283806">
        <w:t>For</w:t>
      </w:r>
      <w:r w:rsidRPr="00283806">
        <w:rPr>
          <w:spacing w:val="25"/>
        </w:rPr>
        <w:t xml:space="preserve"> </w:t>
      </w:r>
      <w:r w:rsidRPr="00283806">
        <w:t>ignitable</w:t>
      </w:r>
      <w:r w:rsidRPr="00283806">
        <w:rPr>
          <w:spacing w:val="25"/>
        </w:rPr>
        <w:t xml:space="preserve"> </w:t>
      </w:r>
      <w:r w:rsidRPr="00283806">
        <w:t>spent</w:t>
      </w:r>
      <w:r w:rsidRPr="00283806">
        <w:rPr>
          <w:spacing w:val="26"/>
        </w:rPr>
        <w:t xml:space="preserve"> </w:t>
      </w:r>
      <w:r w:rsidRPr="00283806">
        <w:rPr>
          <w:spacing w:val="-2"/>
        </w:rPr>
        <w:t>refrigerants</w:t>
      </w:r>
    </w:p>
    <w:p w14:paraId="13D51BCA" w14:textId="77777777" w:rsidR="00D67C1E" w:rsidRPr="00283806" w:rsidRDefault="001265CA">
      <w:pPr>
        <w:pStyle w:val="BodyText"/>
        <w:spacing w:before="2" w:line="225" w:lineRule="auto"/>
        <w:ind w:right="4"/>
      </w:pPr>
      <w:r w:rsidRPr="00283806">
        <w:rPr>
          <w:w w:val="105"/>
        </w:rPr>
        <w:t>regulated</w:t>
      </w:r>
      <w:r w:rsidRPr="00283806">
        <w:rPr>
          <w:spacing w:val="-2"/>
          <w:w w:val="105"/>
        </w:rPr>
        <w:t xml:space="preserve"> </w:t>
      </w:r>
      <w:r w:rsidRPr="00283806">
        <w:rPr>
          <w:w w:val="105"/>
        </w:rPr>
        <w:t>under</w:t>
      </w:r>
      <w:r w:rsidRPr="00283806">
        <w:rPr>
          <w:spacing w:val="-2"/>
          <w:w w:val="105"/>
        </w:rPr>
        <w:t xml:space="preserve"> </w:t>
      </w:r>
      <w:r w:rsidRPr="00283806">
        <w:rPr>
          <w:w w:val="105"/>
        </w:rPr>
        <w:t>40</w:t>
      </w:r>
      <w:r w:rsidRPr="00283806">
        <w:rPr>
          <w:spacing w:val="-2"/>
          <w:w w:val="105"/>
        </w:rPr>
        <w:t xml:space="preserve"> </w:t>
      </w:r>
      <w:r w:rsidRPr="00283806">
        <w:rPr>
          <w:w w:val="105"/>
        </w:rPr>
        <w:t>CFR</w:t>
      </w:r>
      <w:r w:rsidRPr="00283806">
        <w:rPr>
          <w:spacing w:val="-2"/>
          <w:w w:val="105"/>
        </w:rPr>
        <w:t xml:space="preserve"> </w:t>
      </w:r>
      <w:r w:rsidRPr="00283806">
        <w:rPr>
          <w:w w:val="105"/>
        </w:rPr>
        <w:t>part</w:t>
      </w:r>
      <w:r w:rsidRPr="00283806">
        <w:rPr>
          <w:spacing w:val="-2"/>
          <w:w w:val="105"/>
        </w:rPr>
        <w:t xml:space="preserve"> </w:t>
      </w:r>
      <w:r w:rsidRPr="00283806">
        <w:rPr>
          <w:w w:val="105"/>
        </w:rPr>
        <w:t>266</w:t>
      </w:r>
      <w:r w:rsidRPr="00283806">
        <w:rPr>
          <w:spacing w:val="-2"/>
          <w:w w:val="105"/>
        </w:rPr>
        <w:t xml:space="preserve"> </w:t>
      </w:r>
      <w:r w:rsidRPr="00283806">
        <w:rPr>
          <w:w w:val="105"/>
        </w:rPr>
        <w:t>subpart Q, meets the requirements of that</w:t>
      </w:r>
      <w:r w:rsidRPr="00283806">
        <w:rPr>
          <w:spacing w:val="40"/>
          <w:w w:val="105"/>
        </w:rPr>
        <w:t xml:space="preserve"> </w:t>
      </w:r>
      <w:r w:rsidRPr="00283806">
        <w:rPr>
          <w:spacing w:val="-2"/>
          <w:w w:val="105"/>
        </w:rPr>
        <w:t>subpart.</w:t>
      </w:r>
    </w:p>
    <w:p w14:paraId="7197DEA2" w14:textId="77777777" w:rsidR="00D67C1E" w:rsidRPr="00283806" w:rsidRDefault="001265CA">
      <w:pPr>
        <w:tabs>
          <w:tab w:val="left" w:pos="616"/>
          <w:tab w:val="left" w:pos="1072"/>
          <w:tab w:val="left" w:pos="1529"/>
          <w:tab w:val="left" w:pos="1985"/>
        </w:tabs>
        <w:spacing w:before="27"/>
        <w:ind w:left="160"/>
        <w:rPr>
          <w:sz w:val="18"/>
        </w:rPr>
      </w:pPr>
      <w:r w:rsidRPr="00283806">
        <w:rPr>
          <w:spacing w:val="-10"/>
          <w:w w:val="130"/>
          <w:sz w:val="18"/>
        </w:rPr>
        <w:t>*</w:t>
      </w:r>
      <w:r w:rsidRPr="00283806">
        <w:rPr>
          <w:sz w:val="18"/>
        </w:rPr>
        <w:tab/>
      </w:r>
      <w:r w:rsidRPr="00283806">
        <w:rPr>
          <w:spacing w:val="-10"/>
          <w:w w:val="130"/>
          <w:sz w:val="18"/>
        </w:rPr>
        <w:t>*</w:t>
      </w:r>
      <w:r w:rsidRPr="00283806">
        <w:rPr>
          <w:sz w:val="18"/>
        </w:rPr>
        <w:tab/>
      </w:r>
      <w:r w:rsidRPr="00283806">
        <w:rPr>
          <w:spacing w:val="-12"/>
          <w:w w:val="130"/>
          <w:sz w:val="18"/>
        </w:rPr>
        <w:t>*</w:t>
      </w:r>
      <w:r w:rsidRPr="00283806">
        <w:rPr>
          <w:sz w:val="18"/>
        </w:rPr>
        <w:tab/>
      </w:r>
      <w:r w:rsidRPr="00283806">
        <w:rPr>
          <w:spacing w:val="-10"/>
          <w:w w:val="130"/>
          <w:sz w:val="18"/>
        </w:rPr>
        <w:t>*</w:t>
      </w:r>
      <w:r w:rsidRPr="00283806">
        <w:rPr>
          <w:sz w:val="18"/>
        </w:rPr>
        <w:tab/>
      </w:r>
      <w:r w:rsidRPr="00283806">
        <w:rPr>
          <w:spacing w:val="-10"/>
          <w:w w:val="130"/>
          <w:sz w:val="18"/>
        </w:rPr>
        <w:t>*</w:t>
      </w:r>
    </w:p>
    <w:p w14:paraId="6A44ED47" w14:textId="77777777" w:rsidR="00D67C1E" w:rsidRPr="00283806" w:rsidRDefault="001265CA">
      <w:pPr>
        <w:pStyle w:val="Heading2"/>
        <w:spacing w:before="154" w:line="230" w:lineRule="auto"/>
      </w:pPr>
      <w:r w:rsidRPr="00283806">
        <w:t>PART 266—STANDARDS FOR THE MANAGEMENT OF SPECIFIC HAZARDOUS</w:t>
      </w:r>
      <w:r w:rsidRPr="00283806">
        <w:rPr>
          <w:spacing w:val="-13"/>
        </w:rPr>
        <w:t xml:space="preserve"> </w:t>
      </w:r>
      <w:r w:rsidRPr="00283806">
        <w:t>WASTES</w:t>
      </w:r>
      <w:r w:rsidRPr="00283806">
        <w:rPr>
          <w:spacing w:val="-12"/>
        </w:rPr>
        <w:t xml:space="preserve"> </w:t>
      </w:r>
      <w:r w:rsidRPr="00283806">
        <w:t>AND</w:t>
      </w:r>
      <w:r w:rsidRPr="00283806">
        <w:rPr>
          <w:spacing w:val="-13"/>
        </w:rPr>
        <w:t xml:space="preserve"> </w:t>
      </w:r>
      <w:r w:rsidRPr="00283806">
        <w:t>SPECIFIC TYPES OF HAZARDOUS WASTE MANAGEMENT FACILITIES</w:t>
      </w:r>
    </w:p>
    <w:p w14:paraId="714FA384" w14:textId="77777777" w:rsidR="00D67C1E" w:rsidRPr="00283806" w:rsidRDefault="001265CA">
      <w:pPr>
        <w:pStyle w:val="ListParagraph"/>
        <w:numPr>
          <w:ilvl w:val="0"/>
          <w:numId w:val="6"/>
        </w:numPr>
        <w:tabs>
          <w:tab w:val="left" w:pos="160"/>
          <w:tab w:val="left" w:pos="325"/>
        </w:tabs>
        <w:spacing w:before="144" w:line="225" w:lineRule="auto"/>
        <w:ind w:right="236" w:hanging="1"/>
        <w:rPr>
          <w:sz w:val="18"/>
        </w:rPr>
      </w:pPr>
      <w:r w:rsidRPr="00283806">
        <w:rPr>
          <w:w w:val="105"/>
          <w:sz w:val="18"/>
        </w:rPr>
        <w:t>9.</w:t>
      </w:r>
      <w:r w:rsidRPr="00283806">
        <w:rPr>
          <w:spacing w:val="-8"/>
          <w:w w:val="105"/>
          <w:sz w:val="18"/>
        </w:rPr>
        <w:t xml:space="preserve"> </w:t>
      </w:r>
      <w:r w:rsidRPr="00283806">
        <w:rPr>
          <w:w w:val="105"/>
          <w:sz w:val="18"/>
        </w:rPr>
        <w:t>The</w:t>
      </w:r>
      <w:r w:rsidRPr="00283806">
        <w:rPr>
          <w:spacing w:val="-8"/>
          <w:w w:val="105"/>
          <w:sz w:val="18"/>
        </w:rPr>
        <w:t xml:space="preserve"> </w:t>
      </w:r>
      <w:r w:rsidRPr="00283806">
        <w:rPr>
          <w:w w:val="105"/>
          <w:sz w:val="18"/>
        </w:rPr>
        <w:t>authority</w:t>
      </w:r>
      <w:r w:rsidRPr="00283806">
        <w:rPr>
          <w:spacing w:val="-8"/>
          <w:w w:val="105"/>
          <w:sz w:val="18"/>
        </w:rPr>
        <w:t xml:space="preserve"> </w:t>
      </w:r>
      <w:r w:rsidRPr="00283806">
        <w:rPr>
          <w:w w:val="105"/>
          <w:sz w:val="18"/>
        </w:rPr>
        <w:t>citation</w:t>
      </w:r>
      <w:r w:rsidRPr="00283806">
        <w:rPr>
          <w:spacing w:val="-8"/>
          <w:w w:val="105"/>
          <w:sz w:val="18"/>
        </w:rPr>
        <w:t xml:space="preserve"> </w:t>
      </w:r>
      <w:r w:rsidRPr="00283806">
        <w:rPr>
          <w:w w:val="105"/>
          <w:sz w:val="18"/>
        </w:rPr>
        <w:t>for</w:t>
      </w:r>
      <w:r w:rsidRPr="00283806">
        <w:rPr>
          <w:spacing w:val="-8"/>
          <w:w w:val="105"/>
          <w:sz w:val="18"/>
        </w:rPr>
        <w:t xml:space="preserve"> </w:t>
      </w:r>
      <w:r w:rsidRPr="00283806">
        <w:rPr>
          <w:w w:val="105"/>
          <w:sz w:val="18"/>
        </w:rPr>
        <w:t>part</w:t>
      </w:r>
      <w:r w:rsidRPr="00283806">
        <w:rPr>
          <w:spacing w:val="-8"/>
          <w:w w:val="105"/>
          <w:sz w:val="18"/>
        </w:rPr>
        <w:t xml:space="preserve"> </w:t>
      </w:r>
      <w:r w:rsidRPr="00283806">
        <w:rPr>
          <w:w w:val="105"/>
          <w:sz w:val="18"/>
        </w:rPr>
        <w:t>266 continues to read as follows:</w:t>
      </w:r>
    </w:p>
    <w:p w14:paraId="17410048" w14:textId="77777777" w:rsidR="00D67C1E" w:rsidRPr="00283806" w:rsidRDefault="001265CA">
      <w:pPr>
        <w:spacing w:before="66" w:line="185" w:lineRule="exact"/>
        <w:ind w:left="320"/>
        <w:rPr>
          <w:sz w:val="16"/>
        </w:rPr>
      </w:pPr>
      <w:r w:rsidRPr="00283806">
        <w:rPr>
          <w:rFonts w:ascii="Book Antiqua" w:hAnsi="Book Antiqua"/>
          <w:b/>
          <w:w w:val="105"/>
          <w:sz w:val="16"/>
        </w:rPr>
        <w:t>Authority:</w:t>
      </w:r>
      <w:r w:rsidRPr="00283806">
        <w:rPr>
          <w:rFonts w:ascii="Book Antiqua" w:hAnsi="Book Antiqua"/>
          <w:b/>
          <w:spacing w:val="-1"/>
          <w:w w:val="105"/>
          <w:sz w:val="16"/>
        </w:rPr>
        <w:t xml:space="preserve"> </w:t>
      </w:r>
      <w:r w:rsidRPr="00283806">
        <w:rPr>
          <w:w w:val="105"/>
          <w:sz w:val="16"/>
        </w:rPr>
        <w:t>42</w:t>
      </w:r>
      <w:r w:rsidRPr="00283806">
        <w:rPr>
          <w:spacing w:val="4"/>
          <w:w w:val="105"/>
          <w:sz w:val="16"/>
        </w:rPr>
        <w:t xml:space="preserve"> </w:t>
      </w:r>
      <w:r w:rsidRPr="00283806">
        <w:rPr>
          <w:w w:val="105"/>
          <w:sz w:val="16"/>
        </w:rPr>
        <w:t>U.S.C.</w:t>
      </w:r>
      <w:r w:rsidRPr="00283806">
        <w:rPr>
          <w:spacing w:val="4"/>
          <w:w w:val="105"/>
          <w:sz w:val="16"/>
        </w:rPr>
        <w:t xml:space="preserve"> </w:t>
      </w:r>
      <w:r w:rsidRPr="00283806">
        <w:rPr>
          <w:w w:val="105"/>
          <w:sz w:val="16"/>
        </w:rPr>
        <w:t>1006,</w:t>
      </w:r>
      <w:r w:rsidRPr="00283806">
        <w:rPr>
          <w:spacing w:val="4"/>
          <w:w w:val="105"/>
          <w:sz w:val="16"/>
        </w:rPr>
        <w:t xml:space="preserve"> </w:t>
      </w:r>
      <w:r w:rsidRPr="00283806">
        <w:rPr>
          <w:w w:val="105"/>
          <w:sz w:val="16"/>
        </w:rPr>
        <w:t>2002(a),</w:t>
      </w:r>
      <w:r w:rsidRPr="00283806">
        <w:rPr>
          <w:spacing w:val="4"/>
          <w:w w:val="105"/>
          <w:sz w:val="16"/>
        </w:rPr>
        <w:t xml:space="preserve"> </w:t>
      </w:r>
      <w:r w:rsidRPr="00283806">
        <w:rPr>
          <w:spacing w:val="-2"/>
          <w:w w:val="105"/>
          <w:sz w:val="16"/>
        </w:rPr>
        <w:t>3001–</w:t>
      </w:r>
    </w:p>
    <w:p w14:paraId="33B4916A" w14:textId="77777777" w:rsidR="00D67C1E" w:rsidRPr="00283806" w:rsidRDefault="001265CA">
      <w:pPr>
        <w:spacing w:line="173" w:lineRule="exact"/>
        <w:ind w:left="160"/>
        <w:rPr>
          <w:sz w:val="16"/>
        </w:rPr>
      </w:pPr>
      <w:r w:rsidRPr="00283806">
        <w:rPr>
          <w:w w:val="105"/>
          <w:sz w:val="16"/>
        </w:rPr>
        <w:t>3009,</w:t>
      </w:r>
      <w:r w:rsidRPr="00283806">
        <w:rPr>
          <w:spacing w:val="-2"/>
          <w:w w:val="105"/>
          <w:sz w:val="16"/>
        </w:rPr>
        <w:t xml:space="preserve"> </w:t>
      </w:r>
      <w:r w:rsidRPr="00283806">
        <w:rPr>
          <w:w w:val="105"/>
          <w:sz w:val="16"/>
        </w:rPr>
        <w:t>3014,</w:t>
      </w:r>
      <w:r w:rsidRPr="00283806">
        <w:rPr>
          <w:spacing w:val="-2"/>
          <w:w w:val="105"/>
          <w:sz w:val="16"/>
        </w:rPr>
        <w:t xml:space="preserve"> </w:t>
      </w:r>
      <w:r w:rsidRPr="00283806">
        <w:rPr>
          <w:w w:val="105"/>
          <w:sz w:val="16"/>
        </w:rPr>
        <w:t>3017,</w:t>
      </w:r>
      <w:r w:rsidRPr="00283806">
        <w:rPr>
          <w:spacing w:val="-1"/>
          <w:w w:val="105"/>
          <w:sz w:val="16"/>
        </w:rPr>
        <w:t xml:space="preserve"> </w:t>
      </w:r>
      <w:r w:rsidRPr="00283806">
        <w:rPr>
          <w:w w:val="105"/>
          <w:sz w:val="16"/>
        </w:rPr>
        <w:t>6905,</w:t>
      </w:r>
      <w:r w:rsidRPr="00283806">
        <w:rPr>
          <w:spacing w:val="-2"/>
          <w:w w:val="105"/>
          <w:sz w:val="16"/>
        </w:rPr>
        <w:t xml:space="preserve"> </w:t>
      </w:r>
      <w:r w:rsidRPr="00283806">
        <w:rPr>
          <w:w w:val="105"/>
          <w:sz w:val="16"/>
        </w:rPr>
        <w:t>6906,</w:t>
      </w:r>
      <w:r w:rsidRPr="00283806">
        <w:rPr>
          <w:spacing w:val="-1"/>
          <w:w w:val="105"/>
          <w:sz w:val="16"/>
        </w:rPr>
        <w:t xml:space="preserve"> </w:t>
      </w:r>
      <w:r w:rsidRPr="00283806">
        <w:rPr>
          <w:w w:val="105"/>
          <w:sz w:val="16"/>
        </w:rPr>
        <w:t>6912,</w:t>
      </w:r>
      <w:r w:rsidRPr="00283806">
        <w:rPr>
          <w:spacing w:val="-2"/>
          <w:w w:val="105"/>
          <w:sz w:val="16"/>
        </w:rPr>
        <w:t xml:space="preserve"> 6921,</w:t>
      </w:r>
    </w:p>
    <w:p w14:paraId="313B5F62" w14:textId="77777777" w:rsidR="00D67C1E" w:rsidRPr="00283806" w:rsidRDefault="001265CA">
      <w:pPr>
        <w:spacing w:line="182" w:lineRule="exact"/>
        <w:ind w:left="160"/>
        <w:rPr>
          <w:sz w:val="16"/>
        </w:rPr>
      </w:pPr>
      <w:r w:rsidRPr="00283806">
        <w:rPr>
          <w:w w:val="105"/>
          <w:sz w:val="16"/>
        </w:rPr>
        <w:t>6922,</w:t>
      </w:r>
      <w:r w:rsidRPr="00283806">
        <w:rPr>
          <w:spacing w:val="-3"/>
          <w:w w:val="105"/>
          <w:sz w:val="16"/>
        </w:rPr>
        <w:t xml:space="preserve"> </w:t>
      </w:r>
      <w:r w:rsidRPr="00283806">
        <w:rPr>
          <w:w w:val="105"/>
          <w:sz w:val="16"/>
        </w:rPr>
        <w:t>6924–6927,</w:t>
      </w:r>
      <w:r w:rsidRPr="00283806">
        <w:rPr>
          <w:spacing w:val="-3"/>
          <w:w w:val="105"/>
          <w:sz w:val="16"/>
        </w:rPr>
        <w:t xml:space="preserve"> </w:t>
      </w:r>
      <w:r w:rsidRPr="00283806">
        <w:rPr>
          <w:w w:val="105"/>
          <w:sz w:val="16"/>
        </w:rPr>
        <w:t>6934,</w:t>
      </w:r>
      <w:r w:rsidRPr="00283806">
        <w:rPr>
          <w:spacing w:val="-2"/>
          <w:w w:val="105"/>
          <w:sz w:val="16"/>
        </w:rPr>
        <w:t xml:space="preserve"> </w:t>
      </w:r>
      <w:r w:rsidRPr="00283806">
        <w:rPr>
          <w:w w:val="105"/>
          <w:sz w:val="16"/>
        </w:rPr>
        <w:t>and</w:t>
      </w:r>
      <w:r w:rsidRPr="00283806">
        <w:rPr>
          <w:spacing w:val="-3"/>
          <w:w w:val="105"/>
          <w:sz w:val="16"/>
        </w:rPr>
        <w:t xml:space="preserve"> </w:t>
      </w:r>
      <w:r w:rsidRPr="00283806">
        <w:rPr>
          <w:spacing w:val="-2"/>
          <w:w w:val="105"/>
          <w:sz w:val="16"/>
        </w:rPr>
        <w:t>6937.</w:t>
      </w:r>
    </w:p>
    <w:p w14:paraId="4DC6FE34" w14:textId="77777777" w:rsidR="00D67C1E" w:rsidRPr="00283806" w:rsidRDefault="001265CA">
      <w:pPr>
        <w:pStyle w:val="ListParagraph"/>
        <w:numPr>
          <w:ilvl w:val="0"/>
          <w:numId w:val="6"/>
        </w:numPr>
        <w:tabs>
          <w:tab w:val="left" w:pos="326"/>
        </w:tabs>
        <w:spacing w:before="17" w:line="205" w:lineRule="exact"/>
        <w:ind w:left="326" w:hanging="166"/>
        <w:rPr>
          <w:sz w:val="18"/>
        </w:rPr>
      </w:pPr>
      <w:r w:rsidRPr="00283806">
        <w:rPr>
          <w:sz w:val="18"/>
        </w:rPr>
        <w:t>10.</w:t>
      </w:r>
      <w:r w:rsidRPr="00283806">
        <w:rPr>
          <w:spacing w:val="31"/>
          <w:sz w:val="18"/>
        </w:rPr>
        <w:t xml:space="preserve"> </w:t>
      </w:r>
      <w:r w:rsidRPr="00283806">
        <w:rPr>
          <w:sz w:val="18"/>
        </w:rPr>
        <w:t>Add</w:t>
      </w:r>
      <w:r w:rsidRPr="00283806">
        <w:rPr>
          <w:spacing w:val="31"/>
          <w:sz w:val="18"/>
        </w:rPr>
        <w:t xml:space="preserve"> </w:t>
      </w:r>
      <w:r w:rsidRPr="00283806">
        <w:rPr>
          <w:sz w:val="18"/>
        </w:rPr>
        <w:t>subpart</w:t>
      </w:r>
      <w:r w:rsidRPr="00283806">
        <w:rPr>
          <w:spacing w:val="32"/>
          <w:sz w:val="18"/>
        </w:rPr>
        <w:t xml:space="preserve"> </w:t>
      </w:r>
      <w:r w:rsidRPr="00283806">
        <w:rPr>
          <w:sz w:val="18"/>
        </w:rPr>
        <w:t>Q,</w:t>
      </w:r>
      <w:r w:rsidRPr="00283806">
        <w:rPr>
          <w:spacing w:val="31"/>
          <w:sz w:val="18"/>
        </w:rPr>
        <w:t xml:space="preserve"> </w:t>
      </w:r>
      <w:r w:rsidRPr="00283806">
        <w:rPr>
          <w:sz w:val="18"/>
        </w:rPr>
        <w:t>consisting</w:t>
      </w:r>
      <w:r w:rsidRPr="00283806">
        <w:rPr>
          <w:spacing w:val="31"/>
          <w:sz w:val="18"/>
        </w:rPr>
        <w:t xml:space="preserve"> </w:t>
      </w:r>
      <w:r w:rsidRPr="00283806">
        <w:rPr>
          <w:spacing w:val="-5"/>
          <w:sz w:val="18"/>
        </w:rPr>
        <w:t>of</w:t>
      </w:r>
    </w:p>
    <w:p w14:paraId="6612F54B" w14:textId="77777777" w:rsidR="00D67C1E" w:rsidRPr="00283806" w:rsidRDefault="001265CA">
      <w:pPr>
        <w:pStyle w:val="BodyText"/>
        <w:spacing w:before="4" w:line="225" w:lineRule="auto"/>
        <w:ind w:right="128"/>
      </w:pPr>
      <w:r w:rsidRPr="00283806">
        <w:rPr>
          <w:w w:val="105"/>
        </w:rPr>
        <w:t>§§</w:t>
      </w:r>
      <w:r w:rsidRPr="00283806">
        <w:rPr>
          <w:spacing w:val="-12"/>
          <w:w w:val="105"/>
        </w:rPr>
        <w:t xml:space="preserve"> </w:t>
      </w:r>
      <w:r w:rsidRPr="00283806">
        <w:rPr>
          <w:w w:val="105"/>
        </w:rPr>
        <w:t>266.600</w:t>
      </w:r>
      <w:r w:rsidRPr="00283806">
        <w:rPr>
          <w:spacing w:val="-10"/>
          <w:w w:val="105"/>
        </w:rPr>
        <w:t xml:space="preserve"> </w:t>
      </w:r>
      <w:r w:rsidRPr="00283806">
        <w:rPr>
          <w:w w:val="105"/>
        </w:rPr>
        <w:t>through</w:t>
      </w:r>
      <w:r w:rsidRPr="00283806">
        <w:rPr>
          <w:spacing w:val="-3"/>
          <w:w w:val="105"/>
        </w:rPr>
        <w:t xml:space="preserve"> </w:t>
      </w:r>
      <w:r w:rsidRPr="00283806">
        <w:rPr>
          <w:w w:val="105"/>
        </w:rPr>
        <w:t>266.602,</w:t>
      </w:r>
      <w:r w:rsidRPr="00283806">
        <w:rPr>
          <w:spacing w:val="-4"/>
          <w:w w:val="105"/>
        </w:rPr>
        <w:t xml:space="preserve"> </w:t>
      </w:r>
      <w:r w:rsidRPr="00283806">
        <w:rPr>
          <w:w w:val="105"/>
        </w:rPr>
        <w:t>to</w:t>
      </w:r>
      <w:r w:rsidRPr="00283806">
        <w:rPr>
          <w:spacing w:val="-4"/>
          <w:w w:val="105"/>
        </w:rPr>
        <w:t xml:space="preserve"> </w:t>
      </w:r>
      <w:r w:rsidRPr="00283806">
        <w:rPr>
          <w:w w:val="105"/>
        </w:rPr>
        <w:t>read</w:t>
      </w:r>
      <w:r w:rsidRPr="00283806">
        <w:rPr>
          <w:spacing w:val="-4"/>
          <w:w w:val="105"/>
        </w:rPr>
        <w:t xml:space="preserve"> </w:t>
      </w:r>
      <w:r w:rsidRPr="00283806">
        <w:rPr>
          <w:w w:val="105"/>
        </w:rPr>
        <w:t xml:space="preserve">as </w:t>
      </w:r>
      <w:r w:rsidRPr="00283806">
        <w:rPr>
          <w:spacing w:val="-2"/>
          <w:w w:val="105"/>
        </w:rPr>
        <w:t>follows:</w:t>
      </w:r>
    </w:p>
    <w:p w14:paraId="00592760" w14:textId="77777777" w:rsidR="00D67C1E" w:rsidRPr="00283806" w:rsidRDefault="001265CA">
      <w:pPr>
        <w:pStyle w:val="Heading3"/>
        <w:spacing w:line="230" w:lineRule="auto"/>
        <w:ind w:right="128"/>
      </w:pPr>
      <w:r w:rsidRPr="00283806">
        <w:t>Subpart Q—Ignitable Spent Refrigerants</w:t>
      </w:r>
      <w:r w:rsidRPr="00283806">
        <w:rPr>
          <w:spacing w:val="-13"/>
        </w:rPr>
        <w:t xml:space="preserve"> </w:t>
      </w:r>
      <w:r w:rsidRPr="00283806">
        <w:t>Recycled</w:t>
      </w:r>
      <w:r w:rsidRPr="00283806">
        <w:rPr>
          <w:spacing w:val="-12"/>
        </w:rPr>
        <w:t xml:space="preserve"> </w:t>
      </w:r>
      <w:r w:rsidRPr="00283806">
        <w:t>for</w:t>
      </w:r>
      <w:r w:rsidRPr="00283806">
        <w:rPr>
          <w:spacing w:val="-13"/>
        </w:rPr>
        <w:t xml:space="preserve"> </w:t>
      </w:r>
      <w:r w:rsidRPr="00283806">
        <w:t>Reuse</w:t>
      </w:r>
    </w:p>
    <w:p w14:paraId="77483B47" w14:textId="77777777" w:rsidR="00D67C1E" w:rsidRPr="00283806" w:rsidRDefault="001265CA">
      <w:pPr>
        <w:spacing w:before="127" w:line="182" w:lineRule="exact"/>
        <w:ind w:left="160"/>
        <w:rPr>
          <w:sz w:val="16"/>
        </w:rPr>
      </w:pPr>
      <w:r w:rsidRPr="00283806">
        <w:rPr>
          <w:spacing w:val="-4"/>
          <w:w w:val="115"/>
          <w:sz w:val="16"/>
        </w:rPr>
        <w:t>Sec.</w:t>
      </w:r>
    </w:p>
    <w:p w14:paraId="291715D9" w14:textId="77777777" w:rsidR="00D67C1E" w:rsidRPr="00283806" w:rsidRDefault="001265CA">
      <w:pPr>
        <w:spacing w:before="3" w:line="225" w:lineRule="auto"/>
        <w:ind w:left="160" w:right="128"/>
        <w:rPr>
          <w:sz w:val="16"/>
        </w:rPr>
      </w:pPr>
      <w:r w:rsidRPr="00283806">
        <w:rPr>
          <w:w w:val="110"/>
          <w:sz w:val="16"/>
        </w:rPr>
        <w:t>266.600</w:t>
      </w:r>
      <w:r w:rsidRPr="00283806">
        <w:rPr>
          <w:spacing w:val="80"/>
          <w:w w:val="110"/>
          <w:sz w:val="16"/>
        </w:rPr>
        <w:t xml:space="preserve"> </w:t>
      </w:r>
      <w:r w:rsidRPr="00283806">
        <w:rPr>
          <w:w w:val="110"/>
          <w:sz w:val="16"/>
        </w:rPr>
        <w:t>Purpose and applicability.</w:t>
      </w:r>
      <w:r w:rsidRPr="00283806">
        <w:rPr>
          <w:spacing w:val="40"/>
          <w:w w:val="110"/>
          <w:sz w:val="16"/>
        </w:rPr>
        <w:t xml:space="preserve"> </w:t>
      </w:r>
      <w:r w:rsidRPr="00283806">
        <w:rPr>
          <w:w w:val="110"/>
          <w:sz w:val="16"/>
        </w:rPr>
        <w:t>266.601</w:t>
      </w:r>
      <w:r w:rsidRPr="00283806">
        <w:rPr>
          <w:spacing w:val="80"/>
          <w:w w:val="110"/>
          <w:sz w:val="16"/>
        </w:rPr>
        <w:t xml:space="preserve"> </w:t>
      </w:r>
      <w:r w:rsidRPr="00283806">
        <w:rPr>
          <w:w w:val="110"/>
          <w:sz w:val="16"/>
        </w:rPr>
        <w:t>Definitions</w:t>
      </w:r>
      <w:r w:rsidRPr="00283806">
        <w:rPr>
          <w:spacing w:val="-3"/>
          <w:w w:val="110"/>
          <w:sz w:val="16"/>
        </w:rPr>
        <w:t xml:space="preserve"> </w:t>
      </w:r>
      <w:r w:rsidRPr="00283806">
        <w:rPr>
          <w:w w:val="110"/>
          <w:sz w:val="16"/>
        </w:rPr>
        <w:t>for</w:t>
      </w:r>
      <w:r w:rsidRPr="00283806">
        <w:rPr>
          <w:spacing w:val="-3"/>
          <w:w w:val="110"/>
          <w:sz w:val="16"/>
        </w:rPr>
        <w:t xml:space="preserve"> </w:t>
      </w:r>
      <w:r w:rsidRPr="00283806">
        <w:rPr>
          <w:w w:val="110"/>
          <w:sz w:val="16"/>
        </w:rPr>
        <w:t>this</w:t>
      </w:r>
      <w:r w:rsidRPr="00283806">
        <w:rPr>
          <w:spacing w:val="-3"/>
          <w:w w:val="110"/>
          <w:sz w:val="16"/>
        </w:rPr>
        <w:t xml:space="preserve"> </w:t>
      </w:r>
      <w:r w:rsidRPr="00283806">
        <w:rPr>
          <w:w w:val="110"/>
          <w:sz w:val="16"/>
        </w:rPr>
        <w:t>subpart.</w:t>
      </w:r>
      <w:r w:rsidRPr="00283806">
        <w:rPr>
          <w:spacing w:val="40"/>
          <w:w w:val="110"/>
          <w:sz w:val="16"/>
        </w:rPr>
        <w:t xml:space="preserve"> </w:t>
      </w:r>
      <w:r w:rsidRPr="00283806">
        <w:rPr>
          <w:spacing w:val="-2"/>
          <w:w w:val="110"/>
          <w:sz w:val="16"/>
        </w:rPr>
        <w:t>266.602</w:t>
      </w:r>
      <w:r w:rsidRPr="00283806">
        <w:rPr>
          <w:spacing w:val="72"/>
          <w:w w:val="110"/>
          <w:sz w:val="16"/>
        </w:rPr>
        <w:t xml:space="preserve"> </w:t>
      </w:r>
      <w:r w:rsidRPr="00283806">
        <w:rPr>
          <w:spacing w:val="-2"/>
          <w:w w:val="110"/>
          <w:sz w:val="16"/>
        </w:rPr>
        <w:t>Standards</w:t>
      </w:r>
      <w:r w:rsidRPr="00283806">
        <w:rPr>
          <w:spacing w:val="-8"/>
          <w:w w:val="110"/>
          <w:sz w:val="16"/>
        </w:rPr>
        <w:t xml:space="preserve"> </w:t>
      </w:r>
      <w:r w:rsidRPr="00283806">
        <w:rPr>
          <w:spacing w:val="-2"/>
          <w:w w:val="110"/>
          <w:sz w:val="16"/>
        </w:rPr>
        <w:t>for</w:t>
      </w:r>
      <w:r w:rsidRPr="00283806">
        <w:rPr>
          <w:spacing w:val="-8"/>
          <w:w w:val="110"/>
          <w:sz w:val="16"/>
        </w:rPr>
        <w:t xml:space="preserve"> </w:t>
      </w:r>
      <w:r w:rsidRPr="00283806">
        <w:rPr>
          <w:spacing w:val="-2"/>
          <w:w w:val="110"/>
          <w:sz w:val="16"/>
        </w:rPr>
        <w:t>ignitable</w:t>
      </w:r>
      <w:r w:rsidRPr="00283806">
        <w:rPr>
          <w:spacing w:val="-8"/>
          <w:w w:val="110"/>
          <w:sz w:val="16"/>
        </w:rPr>
        <w:t xml:space="preserve"> </w:t>
      </w:r>
      <w:r w:rsidRPr="00283806">
        <w:rPr>
          <w:spacing w:val="-2"/>
          <w:w w:val="110"/>
          <w:sz w:val="16"/>
        </w:rPr>
        <w:t>spent</w:t>
      </w:r>
    </w:p>
    <w:p w14:paraId="75ADDBDA" w14:textId="77777777" w:rsidR="00D67C1E" w:rsidRPr="00283806" w:rsidRDefault="001265CA">
      <w:pPr>
        <w:spacing w:line="225" w:lineRule="auto"/>
        <w:ind w:left="480"/>
        <w:rPr>
          <w:sz w:val="16"/>
        </w:rPr>
      </w:pPr>
      <w:r w:rsidRPr="00283806">
        <w:rPr>
          <w:w w:val="105"/>
          <w:sz w:val="16"/>
        </w:rPr>
        <w:t>refrigerant</w:t>
      </w:r>
      <w:r w:rsidRPr="00283806">
        <w:rPr>
          <w:spacing w:val="-2"/>
          <w:w w:val="105"/>
          <w:sz w:val="16"/>
        </w:rPr>
        <w:t xml:space="preserve"> </w:t>
      </w:r>
      <w:r w:rsidRPr="00283806">
        <w:rPr>
          <w:w w:val="105"/>
          <w:sz w:val="16"/>
        </w:rPr>
        <w:t>recycled</w:t>
      </w:r>
      <w:r w:rsidRPr="00283806">
        <w:rPr>
          <w:spacing w:val="-2"/>
          <w:w w:val="105"/>
          <w:sz w:val="16"/>
        </w:rPr>
        <w:t xml:space="preserve"> </w:t>
      </w:r>
      <w:r w:rsidRPr="00283806">
        <w:rPr>
          <w:w w:val="105"/>
          <w:sz w:val="16"/>
        </w:rPr>
        <w:t>for</w:t>
      </w:r>
      <w:r w:rsidRPr="00283806">
        <w:rPr>
          <w:spacing w:val="-2"/>
          <w:w w:val="105"/>
          <w:sz w:val="16"/>
        </w:rPr>
        <w:t xml:space="preserve"> </w:t>
      </w:r>
      <w:r w:rsidRPr="00283806">
        <w:rPr>
          <w:w w:val="105"/>
          <w:sz w:val="16"/>
        </w:rPr>
        <w:t>reuse</w:t>
      </w:r>
      <w:r w:rsidRPr="00283806">
        <w:rPr>
          <w:spacing w:val="-2"/>
          <w:w w:val="105"/>
          <w:sz w:val="16"/>
        </w:rPr>
        <w:t xml:space="preserve"> </w:t>
      </w:r>
      <w:r w:rsidRPr="00283806">
        <w:rPr>
          <w:w w:val="105"/>
          <w:sz w:val="16"/>
        </w:rPr>
        <w:t>under</w:t>
      </w:r>
      <w:r w:rsidRPr="00283806">
        <w:rPr>
          <w:spacing w:val="-2"/>
          <w:w w:val="105"/>
          <w:sz w:val="16"/>
        </w:rPr>
        <w:t xml:space="preserve"> </w:t>
      </w:r>
      <w:r w:rsidRPr="00283806">
        <w:rPr>
          <w:w w:val="105"/>
          <w:sz w:val="16"/>
        </w:rPr>
        <w:t>this</w:t>
      </w:r>
      <w:r w:rsidRPr="00283806">
        <w:rPr>
          <w:spacing w:val="40"/>
          <w:w w:val="105"/>
          <w:sz w:val="16"/>
        </w:rPr>
        <w:t xml:space="preserve"> </w:t>
      </w:r>
      <w:r w:rsidRPr="00283806">
        <w:rPr>
          <w:spacing w:val="-2"/>
          <w:w w:val="105"/>
          <w:sz w:val="16"/>
        </w:rPr>
        <w:t>subpart.</w:t>
      </w:r>
    </w:p>
    <w:p w14:paraId="29D838FA" w14:textId="77777777" w:rsidR="00D67C1E" w:rsidRPr="00283806" w:rsidRDefault="001265CA">
      <w:pPr>
        <w:spacing w:before="131"/>
        <w:ind w:left="160"/>
        <w:rPr>
          <w:rFonts w:ascii="Arial" w:hAnsi="Arial"/>
          <w:b/>
          <w:sz w:val="16"/>
        </w:rPr>
      </w:pPr>
      <w:r w:rsidRPr="00283806">
        <w:rPr>
          <w:rFonts w:ascii="Arial" w:hAnsi="Arial"/>
          <w:b/>
          <w:sz w:val="16"/>
        </w:rPr>
        <w:t>§</w:t>
      </w:r>
      <w:r w:rsidRPr="00283806">
        <w:rPr>
          <w:rFonts w:ascii="Arial" w:hAnsi="Arial"/>
          <w:b/>
          <w:spacing w:val="-19"/>
          <w:sz w:val="16"/>
        </w:rPr>
        <w:t xml:space="preserve"> </w:t>
      </w:r>
      <w:r w:rsidRPr="00283806">
        <w:rPr>
          <w:rFonts w:ascii="Arial" w:hAnsi="Arial"/>
          <w:b/>
          <w:sz w:val="16"/>
        </w:rPr>
        <w:t>266.600</w:t>
      </w:r>
      <w:r w:rsidRPr="00283806">
        <w:rPr>
          <w:rFonts w:ascii="Arial" w:hAnsi="Arial"/>
          <w:b/>
          <w:spacing w:val="33"/>
          <w:sz w:val="16"/>
        </w:rPr>
        <w:t xml:space="preserve">  </w:t>
      </w:r>
      <w:r w:rsidRPr="00283806">
        <w:rPr>
          <w:rFonts w:ascii="Arial" w:hAnsi="Arial"/>
          <w:b/>
          <w:sz w:val="16"/>
        </w:rPr>
        <w:t>Purpose</w:t>
      </w:r>
      <w:r w:rsidRPr="00283806">
        <w:rPr>
          <w:rFonts w:ascii="Arial" w:hAnsi="Arial"/>
          <w:b/>
          <w:spacing w:val="-3"/>
          <w:sz w:val="16"/>
        </w:rPr>
        <w:t xml:space="preserve"> </w:t>
      </w:r>
      <w:r w:rsidRPr="00283806">
        <w:rPr>
          <w:rFonts w:ascii="Arial" w:hAnsi="Arial"/>
          <w:b/>
          <w:sz w:val="16"/>
        </w:rPr>
        <w:t>and</w:t>
      </w:r>
      <w:r w:rsidRPr="00283806">
        <w:rPr>
          <w:rFonts w:ascii="Arial" w:hAnsi="Arial"/>
          <w:b/>
          <w:spacing w:val="-2"/>
          <w:sz w:val="16"/>
        </w:rPr>
        <w:t xml:space="preserve"> applicability.</w:t>
      </w:r>
    </w:p>
    <w:p w14:paraId="670E8F2F" w14:textId="77777777" w:rsidR="00D67C1E" w:rsidRPr="00283806" w:rsidRDefault="001265CA">
      <w:pPr>
        <w:pStyle w:val="ListParagraph"/>
        <w:numPr>
          <w:ilvl w:val="0"/>
          <w:numId w:val="5"/>
        </w:numPr>
        <w:tabs>
          <w:tab w:val="left" w:pos="598"/>
        </w:tabs>
        <w:spacing w:before="29" w:line="225" w:lineRule="auto"/>
        <w:ind w:right="237" w:firstLine="180"/>
        <w:rPr>
          <w:sz w:val="18"/>
        </w:rPr>
      </w:pPr>
      <w:r w:rsidRPr="00283806">
        <w:rPr>
          <w:w w:val="105"/>
          <w:sz w:val="18"/>
        </w:rPr>
        <w:t>The purpose of this subpart is to reduce emissions of ignitable spent refrigerants to the lowest achievable level by maximizing the recovery and safe recycling for reuse of such refrigerants</w:t>
      </w:r>
      <w:r w:rsidRPr="00283806">
        <w:rPr>
          <w:spacing w:val="-1"/>
          <w:w w:val="105"/>
          <w:sz w:val="18"/>
        </w:rPr>
        <w:t xml:space="preserve"> </w:t>
      </w:r>
      <w:r w:rsidRPr="00283806">
        <w:rPr>
          <w:w w:val="105"/>
          <w:sz w:val="18"/>
        </w:rPr>
        <w:t>during</w:t>
      </w:r>
      <w:r w:rsidRPr="00283806">
        <w:rPr>
          <w:spacing w:val="-1"/>
          <w:w w:val="105"/>
          <w:sz w:val="18"/>
        </w:rPr>
        <w:t xml:space="preserve"> </w:t>
      </w:r>
      <w:r w:rsidRPr="00283806">
        <w:rPr>
          <w:w w:val="105"/>
          <w:sz w:val="18"/>
        </w:rPr>
        <w:t>the</w:t>
      </w:r>
      <w:r w:rsidRPr="00283806">
        <w:rPr>
          <w:spacing w:val="-1"/>
          <w:w w:val="105"/>
          <w:sz w:val="18"/>
        </w:rPr>
        <w:t xml:space="preserve"> </w:t>
      </w:r>
      <w:r w:rsidRPr="00283806">
        <w:rPr>
          <w:w w:val="105"/>
          <w:sz w:val="18"/>
        </w:rPr>
        <w:t>service,</w:t>
      </w:r>
      <w:r w:rsidRPr="00283806">
        <w:rPr>
          <w:spacing w:val="-1"/>
          <w:w w:val="105"/>
          <w:sz w:val="18"/>
        </w:rPr>
        <w:t xml:space="preserve"> </w:t>
      </w:r>
      <w:r w:rsidRPr="00283806">
        <w:rPr>
          <w:w w:val="105"/>
          <w:sz w:val="18"/>
        </w:rPr>
        <w:t>repair, and disposal of appliances.</w:t>
      </w:r>
    </w:p>
    <w:p w14:paraId="3497D90A" w14:textId="77777777" w:rsidR="00D67C1E" w:rsidRPr="00283806" w:rsidRDefault="001265CA">
      <w:pPr>
        <w:pStyle w:val="ListParagraph"/>
        <w:numPr>
          <w:ilvl w:val="0"/>
          <w:numId w:val="5"/>
        </w:numPr>
        <w:tabs>
          <w:tab w:val="left" w:pos="608"/>
        </w:tabs>
        <w:spacing w:line="178" w:lineRule="exact"/>
        <w:ind w:left="608" w:hanging="268"/>
        <w:rPr>
          <w:sz w:val="18"/>
        </w:rPr>
      </w:pPr>
      <w:r w:rsidRPr="00283806">
        <w:rPr>
          <w:w w:val="105"/>
          <w:sz w:val="18"/>
        </w:rPr>
        <w:t>The</w:t>
      </w:r>
      <w:r w:rsidRPr="00283806">
        <w:rPr>
          <w:spacing w:val="5"/>
          <w:w w:val="105"/>
          <w:sz w:val="18"/>
        </w:rPr>
        <w:t xml:space="preserve"> </w:t>
      </w:r>
      <w:r w:rsidRPr="00283806">
        <w:rPr>
          <w:w w:val="105"/>
          <w:sz w:val="18"/>
        </w:rPr>
        <w:t>requirements</w:t>
      </w:r>
      <w:r w:rsidRPr="00283806">
        <w:rPr>
          <w:spacing w:val="6"/>
          <w:w w:val="105"/>
          <w:sz w:val="18"/>
        </w:rPr>
        <w:t xml:space="preserve"> </w:t>
      </w:r>
      <w:r w:rsidRPr="00283806">
        <w:rPr>
          <w:w w:val="105"/>
          <w:sz w:val="18"/>
        </w:rPr>
        <w:t>of</w:t>
      </w:r>
      <w:r w:rsidRPr="00283806">
        <w:rPr>
          <w:spacing w:val="6"/>
          <w:w w:val="105"/>
          <w:sz w:val="18"/>
        </w:rPr>
        <w:t xml:space="preserve"> </w:t>
      </w:r>
      <w:r w:rsidRPr="00283806">
        <w:rPr>
          <w:w w:val="105"/>
          <w:sz w:val="18"/>
        </w:rPr>
        <w:t>this</w:t>
      </w:r>
      <w:r w:rsidRPr="00283806">
        <w:rPr>
          <w:spacing w:val="6"/>
          <w:w w:val="105"/>
          <w:sz w:val="18"/>
        </w:rPr>
        <w:t xml:space="preserve"> </w:t>
      </w:r>
      <w:r w:rsidRPr="00283806">
        <w:rPr>
          <w:spacing w:val="-2"/>
          <w:w w:val="105"/>
          <w:sz w:val="18"/>
        </w:rPr>
        <w:t>subpart</w:t>
      </w:r>
    </w:p>
    <w:p w14:paraId="406E1BBD" w14:textId="77777777" w:rsidR="00D67C1E" w:rsidRPr="00283806" w:rsidRDefault="001265CA">
      <w:pPr>
        <w:pStyle w:val="BodyText"/>
        <w:spacing w:before="4" w:line="225" w:lineRule="auto"/>
      </w:pPr>
      <w:r w:rsidRPr="00283806">
        <w:rPr>
          <w:w w:val="105"/>
        </w:rPr>
        <w:t>operate in lieu of parts 260 through 270 of this chapter and apply to lower flammability spent refrigerants, as defined in § 266.601, where the refrigerant exhibits the hazardous waste characteristic of ignitability per §</w:t>
      </w:r>
      <w:r w:rsidRPr="00283806">
        <w:rPr>
          <w:spacing w:val="-12"/>
          <w:w w:val="105"/>
        </w:rPr>
        <w:t xml:space="preserve"> </w:t>
      </w:r>
      <w:r w:rsidRPr="00283806">
        <w:rPr>
          <w:w w:val="105"/>
        </w:rPr>
        <w:t>261.21 of this chapter and is being recycled for reuse in the United States.</w:t>
      </w:r>
    </w:p>
    <w:p w14:paraId="5B2B09F6" w14:textId="77777777" w:rsidR="00D67C1E" w:rsidRPr="00283806" w:rsidRDefault="001265CA">
      <w:pPr>
        <w:pStyle w:val="ListParagraph"/>
        <w:numPr>
          <w:ilvl w:val="0"/>
          <w:numId w:val="5"/>
        </w:numPr>
        <w:tabs>
          <w:tab w:val="left" w:pos="598"/>
        </w:tabs>
        <w:spacing w:line="177" w:lineRule="exact"/>
        <w:ind w:left="598" w:hanging="258"/>
        <w:rPr>
          <w:sz w:val="18"/>
        </w:rPr>
      </w:pPr>
      <w:r w:rsidRPr="00283806">
        <w:rPr>
          <w:w w:val="105"/>
          <w:sz w:val="18"/>
        </w:rPr>
        <w:t>These</w:t>
      </w:r>
      <w:r w:rsidRPr="00283806">
        <w:rPr>
          <w:spacing w:val="3"/>
          <w:w w:val="105"/>
          <w:sz w:val="18"/>
        </w:rPr>
        <w:t xml:space="preserve"> </w:t>
      </w:r>
      <w:r w:rsidRPr="00283806">
        <w:rPr>
          <w:w w:val="105"/>
          <w:sz w:val="18"/>
        </w:rPr>
        <w:t>requirements</w:t>
      </w:r>
      <w:r w:rsidRPr="00283806">
        <w:rPr>
          <w:spacing w:val="4"/>
          <w:w w:val="105"/>
          <w:sz w:val="18"/>
        </w:rPr>
        <w:t xml:space="preserve"> </w:t>
      </w:r>
      <w:r w:rsidRPr="00283806">
        <w:rPr>
          <w:w w:val="105"/>
          <w:sz w:val="18"/>
        </w:rPr>
        <w:t>do</w:t>
      </w:r>
      <w:r w:rsidRPr="00283806">
        <w:rPr>
          <w:spacing w:val="4"/>
          <w:w w:val="105"/>
          <w:sz w:val="18"/>
        </w:rPr>
        <w:t xml:space="preserve"> </w:t>
      </w:r>
      <w:r w:rsidRPr="00283806">
        <w:rPr>
          <w:w w:val="105"/>
          <w:sz w:val="18"/>
        </w:rPr>
        <w:t>not</w:t>
      </w:r>
      <w:r w:rsidRPr="00283806">
        <w:rPr>
          <w:spacing w:val="4"/>
          <w:w w:val="105"/>
          <w:sz w:val="18"/>
        </w:rPr>
        <w:t xml:space="preserve"> </w:t>
      </w:r>
      <w:r w:rsidRPr="00283806">
        <w:rPr>
          <w:spacing w:val="-2"/>
          <w:w w:val="105"/>
          <w:sz w:val="18"/>
        </w:rPr>
        <w:t>apply</w:t>
      </w:r>
    </w:p>
    <w:p w14:paraId="1D29F637" w14:textId="77777777" w:rsidR="00D67C1E" w:rsidRPr="00283806" w:rsidRDefault="001265CA">
      <w:pPr>
        <w:pStyle w:val="BodyText"/>
        <w:spacing w:before="4" w:line="225" w:lineRule="auto"/>
        <w:ind w:right="128"/>
      </w:pPr>
      <w:r w:rsidRPr="00283806">
        <w:rPr>
          <w:w w:val="105"/>
        </w:rPr>
        <w:t>to other ignitable spent refrigerants. Ignitable</w:t>
      </w:r>
      <w:r w:rsidRPr="00283806">
        <w:rPr>
          <w:spacing w:val="-7"/>
          <w:w w:val="105"/>
        </w:rPr>
        <w:t xml:space="preserve"> </w:t>
      </w:r>
      <w:r w:rsidRPr="00283806">
        <w:rPr>
          <w:w w:val="105"/>
        </w:rPr>
        <w:t>spent</w:t>
      </w:r>
      <w:r w:rsidRPr="00283806">
        <w:rPr>
          <w:spacing w:val="-7"/>
          <w:w w:val="105"/>
        </w:rPr>
        <w:t xml:space="preserve"> </w:t>
      </w:r>
      <w:r w:rsidRPr="00283806">
        <w:rPr>
          <w:w w:val="105"/>
        </w:rPr>
        <w:t>refrigerants</w:t>
      </w:r>
      <w:r w:rsidRPr="00283806">
        <w:rPr>
          <w:spacing w:val="-7"/>
          <w:w w:val="105"/>
        </w:rPr>
        <w:t xml:space="preserve"> </w:t>
      </w:r>
      <w:r w:rsidRPr="00283806">
        <w:rPr>
          <w:w w:val="105"/>
        </w:rPr>
        <w:t>not</w:t>
      </w:r>
      <w:r w:rsidRPr="00283806">
        <w:rPr>
          <w:spacing w:val="-7"/>
          <w:w w:val="105"/>
        </w:rPr>
        <w:t xml:space="preserve"> </w:t>
      </w:r>
      <w:r w:rsidRPr="00283806">
        <w:rPr>
          <w:w w:val="105"/>
        </w:rPr>
        <w:t>subject to this subpart are subject to all applicable requirements of parts 260 through 270 of this chapter when recovered (</w:t>
      </w:r>
      <w:r w:rsidRPr="00283806">
        <w:rPr>
          <w:rFonts w:ascii="Book Antiqua"/>
          <w:i/>
          <w:w w:val="105"/>
        </w:rPr>
        <w:t xml:space="preserve">i.e., </w:t>
      </w:r>
      <w:r w:rsidRPr="00283806">
        <w:rPr>
          <w:w w:val="105"/>
        </w:rPr>
        <w:t>removed from an appliance and stored in an external container) and/or disposed of.</w:t>
      </w:r>
    </w:p>
    <w:p w14:paraId="6DD75945" w14:textId="77777777" w:rsidR="00D67C1E" w:rsidRPr="00283806" w:rsidRDefault="001265CA">
      <w:pPr>
        <w:spacing w:before="122"/>
        <w:ind w:left="160"/>
        <w:rPr>
          <w:rFonts w:ascii="Arial" w:hAnsi="Arial"/>
          <w:b/>
          <w:sz w:val="16"/>
        </w:rPr>
      </w:pPr>
      <w:r w:rsidRPr="00283806">
        <w:rPr>
          <w:rFonts w:ascii="Arial" w:hAnsi="Arial"/>
          <w:b/>
          <w:sz w:val="16"/>
        </w:rPr>
        <w:t>§</w:t>
      </w:r>
      <w:r w:rsidRPr="00283806">
        <w:rPr>
          <w:rFonts w:ascii="Arial" w:hAnsi="Arial"/>
          <w:b/>
          <w:spacing w:val="-19"/>
          <w:sz w:val="16"/>
        </w:rPr>
        <w:t xml:space="preserve"> </w:t>
      </w:r>
      <w:r w:rsidRPr="00283806">
        <w:rPr>
          <w:rFonts w:ascii="Arial" w:hAnsi="Arial"/>
          <w:b/>
          <w:sz w:val="16"/>
        </w:rPr>
        <w:t>266.601</w:t>
      </w:r>
      <w:r w:rsidRPr="00283806">
        <w:rPr>
          <w:rFonts w:ascii="Arial" w:hAnsi="Arial"/>
          <w:b/>
          <w:spacing w:val="33"/>
          <w:sz w:val="16"/>
        </w:rPr>
        <w:t xml:space="preserve">  </w:t>
      </w:r>
      <w:r w:rsidRPr="00283806">
        <w:rPr>
          <w:rFonts w:ascii="Arial" w:hAnsi="Arial"/>
          <w:b/>
          <w:sz w:val="16"/>
        </w:rPr>
        <w:t>Definitions</w:t>
      </w:r>
      <w:r w:rsidRPr="00283806">
        <w:rPr>
          <w:rFonts w:ascii="Arial" w:hAnsi="Arial"/>
          <w:b/>
          <w:spacing w:val="-2"/>
          <w:sz w:val="16"/>
        </w:rPr>
        <w:t xml:space="preserve"> </w:t>
      </w:r>
      <w:r w:rsidRPr="00283806">
        <w:rPr>
          <w:rFonts w:ascii="Arial" w:hAnsi="Arial"/>
          <w:b/>
          <w:sz w:val="16"/>
        </w:rPr>
        <w:t>for</w:t>
      </w:r>
      <w:r w:rsidRPr="00283806">
        <w:rPr>
          <w:rFonts w:ascii="Arial" w:hAnsi="Arial"/>
          <w:b/>
          <w:spacing w:val="-2"/>
          <w:sz w:val="16"/>
        </w:rPr>
        <w:t xml:space="preserve"> </w:t>
      </w:r>
      <w:r w:rsidRPr="00283806">
        <w:rPr>
          <w:rFonts w:ascii="Arial" w:hAnsi="Arial"/>
          <w:b/>
          <w:sz w:val="16"/>
        </w:rPr>
        <w:t>this</w:t>
      </w:r>
      <w:r w:rsidRPr="00283806">
        <w:rPr>
          <w:rFonts w:ascii="Arial" w:hAnsi="Arial"/>
          <w:b/>
          <w:spacing w:val="-2"/>
          <w:sz w:val="16"/>
        </w:rPr>
        <w:t xml:space="preserve"> subpart.</w:t>
      </w:r>
    </w:p>
    <w:p w14:paraId="79889C3B" w14:textId="77777777" w:rsidR="00D67C1E" w:rsidRPr="00283806" w:rsidRDefault="001265CA">
      <w:pPr>
        <w:pStyle w:val="BodyText"/>
        <w:spacing w:before="27" w:line="228" w:lineRule="auto"/>
        <w:ind w:right="128" w:firstLine="180"/>
      </w:pPr>
      <w:r w:rsidRPr="00283806">
        <w:rPr>
          <w:w w:val="105"/>
        </w:rPr>
        <w:t>For the purposes of this subpart, the following terms have the meanings given below:</w:t>
      </w:r>
    </w:p>
    <w:p w14:paraId="08DE807E" w14:textId="77777777" w:rsidR="00D67C1E" w:rsidRPr="00283806" w:rsidRDefault="001265CA">
      <w:pPr>
        <w:pStyle w:val="ListParagraph"/>
        <w:numPr>
          <w:ilvl w:val="0"/>
          <w:numId w:val="4"/>
        </w:numPr>
        <w:tabs>
          <w:tab w:val="left" w:pos="597"/>
        </w:tabs>
        <w:spacing w:line="216" w:lineRule="auto"/>
        <w:ind w:right="130" w:firstLine="179"/>
        <w:rPr>
          <w:sz w:val="18"/>
        </w:rPr>
      </w:pPr>
      <w:r w:rsidRPr="00283806">
        <w:rPr>
          <w:rFonts w:ascii="Book Antiqua"/>
          <w:i/>
          <w:spacing w:val="-2"/>
          <w:w w:val="110"/>
          <w:sz w:val="18"/>
        </w:rPr>
        <w:t>Refrigerant</w:t>
      </w:r>
      <w:r w:rsidRPr="00283806">
        <w:rPr>
          <w:rFonts w:ascii="Book Antiqua"/>
          <w:i/>
          <w:spacing w:val="-11"/>
          <w:w w:val="110"/>
          <w:sz w:val="18"/>
        </w:rPr>
        <w:t xml:space="preserve"> </w:t>
      </w:r>
      <w:r w:rsidRPr="00283806">
        <w:rPr>
          <w:spacing w:val="-2"/>
          <w:w w:val="110"/>
          <w:sz w:val="18"/>
        </w:rPr>
        <w:t>has</w:t>
      </w:r>
      <w:r w:rsidRPr="00283806">
        <w:rPr>
          <w:spacing w:val="-6"/>
          <w:w w:val="110"/>
          <w:sz w:val="18"/>
        </w:rPr>
        <w:t xml:space="preserve"> </w:t>
      </w:r>
      <w:r w:rsidRPr="00283806">
        <w:rPr>
          <w:spacing w:val="-2"/>
          <w:w w:val="110"/>
          <w:sz w:val="18"/>
        </w:rPr>
        <w:t>the</w:t>
      </w:r>
      <w:r w:rsidRPr="00283806">
        <w:rPr>
          <w:spacing w:val="-6"/>
          <w:w w:val="110"/>
          <w:sz w:val="18"/>
        </w:rPr>
        <w:t xml:space="preserve"> </w:t>
      </w:r>
      <w:r w:rsidRPr="00283806">
        <w:rPr>
          <w:spacing w:val="-2"/>
          <w:w w:val="110"/>
          <w:sz w:val="18"/>
        </w:rPr>
        <w:t>same</w:t>
      </w:r>
      <w:r w:rsidRPr="00283806">
        <w:rPr>
          <w:spacing w:val="-6"/>
          <w:w w:val="110"/>
          <w:sz w:val="18"/>
        </w:rPr>
        <w:t xml:space="preserve"> </w:t>
      </w:r>
      <w:r w:rsidRPr="00283806">
        <w:rPr>
          <w:spacing w:val="-2"/>
          <w:w w:val="110"/>
          <w:sz w:val="18"/>
        </w:rPr>
        <w:t xml:space="preserve">meaning </w:t>
      </w:r>
      <w:r w:rsidRPr="00283806">
        <w:rPr>
          <w:w w:val="110"/>
          <w:sz w:val="18"/>
        </w:rPr>
        <w:t>as defined in 40 CFR 82.152.</w:t>
      </w:r>
    </w:p>
    <w:p w14:paraId="5AF41B64" w14:textId="77777777" w:rsidR="00D67C1E" w:rsidRPr="00283806" w:rsidRDefault="001265CA">
      <w:pPr>
        <w:pStyle w:val="ListParagraph"/>
        <w:numPr>
          <w:ilvl w:val="0"/>
          <w:numId w:val="4"/>
        </w:numPr>
        <w:tabs>
          <w:tab w:val="left" w:pos="592"/>
        </w:tabs>
        <w:spacing w:before="136" w:line="225" w:lineRule="auto"/>
        <w:ind w:left="144" w:firstLine="180"/>
        <w:rPr>
          <w:sz w:val="18"/>
        </w:rPr>
      </w:pPr>
      <w:r w:rsidRPr="00283806">
        <w:br w:type="column"/>
      </w:r>
      <w:proofErr w:type="gramStart"/>
      <w:r w:rsidRPr="00283806">
        <w:rPr>
          <w:rFonts w:ascii="Book Antiqua" w:hAnsi="Book Antiqua"/>
          <w:i/>
          <w:w w:val="105"/>
          <w:sz w:val="18"/>
        </w:rPr>
        <w:t>Ignitable</w:t>
      </w:r>
      <w:proofErr w:type="gramEnd"/>
      <w:r w:rsidRPr="00283806">
        <w:rPr>
          <w:rFonts w:ascii="Book Antiqua" w:hAnsi="Book Antiqua"/>
          <w:i/>
          <w:w w:val="105"/>
          <w:sz w:val="18"/>
        </w:rPr>
        <w:t xml:space="preserve"> spent refrigerant </w:t>
      </w:r>
      <w:r w:rsidRPr="00283806">
        <w:rPr>
          <w:w w:val="105"/>
          <w:sz w:val="18"/>
        </w:rPr>
        <w:t>is a used refrigerant that cannot be reused</w:t>
      </w:r>
      <w:r w:rsidRPr="00283806">
        <w:rPr>
          <w:spacing w:val="80"/>
          <w:w w:val="105"/>
          <w:sz w:val="18"/>
        </w:rPr>
        <w:t xml:space="preserve"> </w:t>
      </w:r>
      <w:r w:rsidRPr="00283806">
        <w:rPr>
          <w:w w:val="105"/>
          <w:sz w:val="18"/>
        </w:rPr>
        <w:t>without first being processed, and that exhibits the hazardous characteristic of ignitability per § 261.21 of this chapter. Used refrigerants that can be</w:t>
      </w:r>
      <w:r w:rsidRPr="00283806">
        <w:rPr>
          <w:spacing w:val="80"/>
          <w:w w:val="105"/>
          <w:sz w:val="18"/>
        </w:rPr>
        <w:t xml:space="preserve"> </w:t>
      </w:r>
      <w:r w:rsidRPr="00283806">
        <w:rPr>
          <w:w w:val="105"/>
          <w:sz w:val="18"/>
        </w:rPr>
        <w:t>legitimately reused without processing are not spent refrigerant.</w:t>
      </w:r>
    </w:p>
    <w:p w14:paraId="61CBBF51" w14:textId="77777777" w:rsidR="00D67C1E" w:rsidRPr="00283806" w:rsidRDefault="001265CA">
      <w:pPr>
        <w:pStyle w:val="ListParagraph"/>
        <w:numPr>
          <w:ilvl w:val="0"/>
          <w:numId w:val="4"/>
        </w:numPr>
        <w:tabs>
          <w:tab w:val="left" w:pos="582"/>
        </w:tabs>
        <w:spacing w:before="19" w:line="225" w:lineRule="auto"/>
        <w:ind w:left="144" w:right="58" w:firstLine="180"/>
        <w:rPr>
          <w:sz w:val="18"/>
        </w:rPr>
      </w:pPr>
      <w:r w:rsidRPr="00283806">
        <w:rPr>
          <w:rFonts w:ascii="Book Antiqua" w:hAnsi="Book Antiqua"/>
          <w:i/>
          <w:w w:val="105"/>
          <w:sz w:val="18"/>
        </w:rPr>
        <w:t>Recycle</w:t>
      </w:r>
      <w:r w:rsidRPr="00283806">
        <w:rPr>
          <w:rFonts w:ascii="Book Antiqua" w:hAnsi="Book Antiqua"/>
          <w:i/>
          <w:spacing w:val="40"/>
          <w:w w:val="105"/>
          <w:sz w:val="18"/>
        </w:rPr>
        <w:t xml:space="preserve"> </w:t>
      </w:r>
      <w:r w:rsidRPr="00283806">
        <w:rPr>
          <w:rFonts w:ascii="Book Antiqua" w:hAnsi="Book Antiqua"/>
          <w:i/>
          <w:w w:val="105"/>
          <w:sz w:val="18"/>
        </w:rPr>
        <w:t>for</w:t>
      </w:r>
      <w:r w:rsidRPr="00283806">
        <w:rPr>
          <w:rFonts w:ascii="Book Antiqua" w:hAnsi="Book Antiqua"/>
          <w:i/>
          <w:spacing w:val="40"/>
          <w:w w:val="105"/>
          <w:sz w:val="18"/>
        </w:rPr>
        <w:t xml:space="preserve"> </w:t>
      </w:r>
      <w:r w:rsidRPr="00283806">
        <w:rPr>
          <w:rFonts w:ascii="Book Antiqua" w:hAnsi="Book Antiqua"/>
          <w:i/>
          <w:w w:val="105"/>
          <w:sz w:val="18"/>
        </w:rPr>
        <w:t>reuse,</w:t>
      </w:r>
      <w:r w:rsidRPr="00283806">
        <w:rPr>
          <w:rFonts w:ascii="Book Antiqua" w:hAnsi="Book Antiqua"/>
          <w:i/>
          <w:spacing w:val="40"/>
          <w:w w:val="105"/>
          <w:sz w:val="18"/>
        </w:rPr>
        <w:t xml:space="preserve"> </w:t>
      </w:r>
      <w:r w:rsidRPr="00283806">
        <w:rPr>
          <w:w w:val="105"/>
          <w:sz w:val="18"/>
        </w:rPr>
        <w:t>when</w:t>
      </w:r>
      <w:r w:rsidRPr="00283806">
        <w:rPr>
          <w:spacing w:val="40"/>
          <w:w w:val="105"/>
          <w:sz w:val="18"/>
        </w:rPr>
        <w:t xml:space="preserve"> </w:t>
      </w:r>
      <w:r w:rsidRPr="00283806">
        <w:rPr>
          <w:w w:val="105"/>
          <w:sz w:val="18"/>
        </w:rPr>
        <w:t>referring to an ignitable spent refrigerant, means to process the refrigerant to remove contamination and prepare it to be used again. ‘‘Recycle for reuse’’ does not include recycling that involves burning for energy recovery or use in a manner constituting disposal as defined in</w:t>
      </w:r>
    </w:p>
    <w:p w14:paraId="60776728" w14:textId="77777777" w:rsidR="00D67C1E" w:rsidRPr="00283806" w:rsidRDefault="001265CA">
      <w:pPr>
        <w:pStyle w:val="BodyText"/>
        <w:spacing w:before="1" w:line="228" w:lineRule="auto"/>
        <w:ind w:left="144" w:right="7"/>
      </w:pPr>
      <w:r w:rsidRPr="00283806">
        <w:rPr>
          <w:w w:val="105"/>
        </w:rPr>
        <w:t>§ 261.2(c) of this chapter, or sham recycling as defined in §</w:t>
      </w:r>
      <w:r w:rsidRPr="00283806">
        <w:rPr>
          <w:spacing w:val="-12"/>
          <w:w w:val="105"/>
        </w:rPr>
        <w:t xml:space="preserve"> </w:t>
      </w:r>
      <w:r w:rsidRPr="00283806">
        <w:rPr>
          <w:w w:val="105"/>
        </w:rPr>
        <w:t xml:space="preserve">261.2(g) of this </w:t>
      </w:r>
      <w:r w:rsidRPr="00283806">
        <w:rPr>
          <w:spacing w:val="-2"/>
          <w:w w:val="105"/>
        </w:rPr>
        <w:t>chapter.</w:t>
      </w:r>
    </w:p>
    <w:p w14:paraId="5FBD567A" w14:textId="77777777" w:rsidR="00D67C1E" w:rsidRPr="00283806" w:rsidRDefault="001265CA">
      <w:pPr>
        <w:pStyle w:val="ListParagraph"/>
        <w:numPr>
          <w:ilvl w:val="0"/>
          <w:numId w:val="4"/>
        </w:numPr>
        <w:tabs>
          <w:tab w:val="left" w:pos="602"/>
        </w:tabs>
        <w:spacing w:before="18" w:line="223" w:lineRule="auto"/>
        <w:ind w:left="144" w:right="17" w:firstLine="180"/>
        <w:rPr>
          <w:sz w:val="18"/>
        </w:rPr>
      </w:pPr>
      <w:r w:rsidRPr="00283806">
        <w:rPr>
          <w:rFonts w:ascii="Book Antiqua"/>
          <w:i/>
          <w:w w:val="105"/>
          <w:sz w:val="18"/>
        </w:rPr>
        <w:t>Lower</w:t>
      </w:r>
      <w:r w:rsidRPr="00283806">
        <w:rPr>
          <w:rFonts w:ascii="Book Antiqua"/>
          <w:i/>
          <w:spacing w:val="30"/>
          <w:w w:val="105"/>
          <w:sz w:val="18"/>
        </w:rPr>
        <w:t xml:space="preserve"> </w:t>
      </w:r>
      <w:r w:rsidRPr="00283806">
        <w:rPr>
          <w:rFonts w:ascii="Book Antiqua"/>
          <w:i/>
          <w:w w:val="105"/>
          <w:sz w:val="18"/>
        </w:rPr>
        <w:t>flammability</w:t>
      </w:r>
      <w:r w:rsidRPr="00283806">
        <w:rPr>
          <w:rFonts w:ascii="Book Antiqua"/>
          <w:i/>
          <w:spacing w:val="30"/>
          <w:w w:val="105"/>
          <w:sz w:val="18"/>
        </w:rPr>
        <w:t xml:space="preserve"> </w:t>
      </w:r>
      <w:r w:rsidRPr="00283806">
        <w:rPr>
          <w:rFonts w:ascii="Book Antiqua"/>
          <w:i/>
          <w:w w:val="105"/>
          <w:sz w:val="18"/>
        </w:rPr>
        <w:t>spent</w:t>
      </w:r>
      <w:r w:rsidRPr="00283806">
        <w:rPr>
          <w:rFonts w:ascii="Book Antiqua"/>
          <w:i/>
          <w:spacing w:val="80"/>
          <w:w w:val="105"/>
          <w:sz w:val="18"/>
        </w:rPr>
        <w:t xml:space="preserve"> </w:t>
      </w:r>
      <w:r w:rsidRPr="00283806">
        <w:rPr>
          <w:rFonts w:ascii="Book Antiqua"/>
          <w:i/>
          <w:w w:val="105"/>
          <w:sz w:val="18"/>
        </w:rPr>
        <w:t xml:space="preserve">refrigerant </w:t>
      </w:r>
      <w:r w:rsidRPr="00283806">
        <w:rPr>
          <w:w w:val="105"/>
          <w:sz w:val="18"/>
        </w:rPr>
        <w:t>means a spent refrigerant</w:t>
      </w:r>
      <w:r w:rsidRPr="00283806">
        <w:rPr>
          <w:spacing w:val="80"/>
          <w:w w:val="105"/>
          <w:sz w:val="18"/>
        </w:rPr>
        <w:t xml:space="preserve"> </w:t>
      </w:r>
      <w:r w:rsidRPr="00283806">
        <w:rPr>
          <w:w w:val="105"/>
          <w:sz w:val="18"/>
        </w:rPr>
        <w:t>that is not considered highly flammable. Highly flammable refrigerants include</w:t>
      </w:r>
      <w:r w:rsidRPr="00283806">
        <w:rPr>
          <w:spacing w:val="40"/>
          <w:w w:val="105"/>
          <w:sz w:val="18"/>
        </w:rPr>
        <w:t xml:space="preserve"> </w:t>
      </w:r>
      <w:r w:rsidRPr="00283806">
        <w:rPr>
          <w:w w:val="105"/>
          <w:sz w:val="18"/>
        </w:rPr>
        <w:t>but are not limited to the following chemicals: butane, isobutane, methane, propane, and/or propylene.</w:t>
      </w:r>
    </w:p>
    <w:p w14:paraId="7DAB6434" w14:textId="77777777" w:rsidR="00D67C1E" w:rsidRPr="00283806" w:rsidRDefault="001265CA">
      <w:pPr>
        <w:spacing w:before="139" w:line="235" w:lineRule="auto"/>
        <w:ind w:left="144" w:right="287"/>
        <w:jc w:val="both"/>
        <w:rPr>
          <w:rFonts w:ascii="Arial" w:hAnsi="Arial"/>
          <w:b/>
          <w:sz w:val="16"/>
        </w:rPr>
      </w:pPr>
      <w:r w:rsidRPr="00283806">
        <w:rPr>
          <w:rFonts w:ascii="Arial" w:hAnsi="Arial"/>
          <w:b/>
          <w:sz w:val="16"/>
        </w:rPr>
        <w:t>§</w:t>
      </w:r>
      <w:r w:rsidRPr="00283806">
        <w:rPr>
          <w:rFonts w:ascii="Arial" w:hAnsi="Arial"/>
          <w:b/>
          <w:spacing w:val="-12"/>
          <w:sz w:val="16"/>
        </w:rPr>
        <w:t xml:space="preserve"> </w:t>
      </w:r>
      <w:r w:rsidRPr="00283806">
        <w:rPr>
          <w:rFonts w:ascii="Arial" w:hAnsi="Arial"/>
          <w:b/>
          <w:sz w:val="16"/>
        </w:rPr>
        <w:t>266.602</w:t>
      </w:r>
      <w:r w:rsidRPr="00283806">
        <w:rPr>
          <w:rFonts w:ascii="Arial" w:hAnsi="Arial"/>
          <w:b/>
          <w:spacing w:val="80"/>
          <w:sz w:val="16"/>
        </w:rPr>
        <w:t xml:space="preserve"> </w:t>
      </w:r>
      <w:r w:rsidRPr="00283806">
        <w:rPr>
          <w:rFonts w:ascii="Arial" w:hAnsi="Arial"/>
          <w:b/>
          <w:sz w:val="16"/>
        </w:rPr>
        <w:t>Standards</w:t>
      </w:r>
      <w:r w:rsidRPr="00283806">
        <w:rPr>
          <w:rFonts w:ascii="Arial" w:hAnsi="Arial"/>
          <w:b/>
          <w:spacing w:val="-6"/>
          <w:sz w:val="16"/>
        </w:rPr>
        <w:t xml:space="preserve"> </w:t>
      </w:r>
      <w:r w:rsidRPr="00283806">
        <w:rPr>
          <w:rFonts w:ascii="Arial" w:hAnsi="Arial"/>
          <w:b/>
          <w:sz w:val="16"/>
        </w:rPr>
        <w:t>for</w:t>
      </w:r>
      <w:r w:rsidRPr="00283806">
        <w:rPr>
          <w:rFonts w:ascii="Arial" w:hAnsi="Arial"/>
          <w:b/>
          <w:spacing w:val="-6"/>
          <w:sz w:val="16"/>
        </w:rPr>
        <w:t xml:space="preserve"> </w:t>
      </w:r>
      <w:r w:rsidRPr="00283806">
        <w:rPr>
          <w:rFonts w:ascii="Arial" w:hAnsi="Arial"/>
          <w:b/>
          <w:sz w:val="16"/>
        </w:rPr>
        <w:t>ignitable</w:t>
      </w:r>
      <w:r w:rsidRPr="00283806">
        <w:rPr>
          <w:rFonts w:ascii="Arial" w:hAnsi="Arial"/>
          <w:b/>
          <w:spacing w:val="-6"/>
          <w:sz w:val="16"/>
        </w:rPr>
        <w:t xml:space="preserve"> </w:t>
      </w:r>
      <w:r w:rsidRPr="00283806">
        <w:rPr>
          <w:rFonts w:ascii="Arial" w:hAnsi="Arial"/>
          <w:b/>
          <w:sz w:val="16"/>
        </w:rPr>
        <w:t>spent refrigerant</w:t>
      </w:r>
      <w:r w:rsidRPr="00283806">
        <w:rPr>
          <w:rFonts w:ascii="Arial" w:hAnsi="Arial"/>
          <w:b/>
          <w:spacing w:val="-3"/>
          <w:sz w:val="16"/>
        </w:rPr>
        <w:t xml:space="preserve"> </w:t>
      </w:r>
      <w:r w:rsidRPr="00283806">
        <w:rPr>
          <w:rFonts w:ascii="Arial" w:hAnsi="Arial"/>
          <w:b/>
          <w:sz w:val="16"/>
        </w:rPr>
        <w:t>recycled</w:t>
      </w:r>
      <w:r w:rsidRPr="00283806">
        <w:rPr>
          <w:rFonts w:ascii="Arial" w:hAnsi="Arial"/>
          <w:b/>
          <w:spacing w:val="-3"/>
          <w:sz w:val="16"/>
        </w:rPr>
        <w:t xml:space="preserve"> </w:t>
      </w:r>
      <w:r w:rsidRPr="00283806">
        <w:rPr>
          <w:rFonts w:ascii="Arial" w:hAnsi="Arial"/>
          <w:b/>
          <w:sz w:val="16"/>
        </w:rPr>
        <w:t>for</w:t>
      </w:r>
      <w:r w:rsidRPr="00283806">
        <w:rPr>
          <w:rFonts w:ascii="Arial" w:hAnsi="Arial"/>
          <w:b/>
          <w:spacing w:val="-3"/>
          <w:sz w:val="16"/>
        </w:rPr>
        <w:t xml:space="preserve"> </w:t>
      </w:r>
      <w:r w:rsidRPr="00283806">
        <w:rPr>
          <w:rFonts w:ascii="Arial" w:hAnsi="Arial"/>
          <w:b/>
          <w:sz w:val="16"/>
        </w:rPr>
        <w:t>reuse</w:t>
      </w:r>
      <w:r w:rsidRPr="00283806">
        <w:rPr>
          <w:rFonts w:ascii="Arial" w:hAnsi="Arial"/>
          <w:b/>
          <w:spacing w:val="-3"/>
          <w:sz w:val="16"/>
        </w:rPr>
        <w:t xml:space="preserve"> </w:t>
      </w:r>
      <w:r w:rsidRPr="00283806">
        <w:rPr>
          <w:rFonts w:ascii="Arial" w:hAnsi="Arial"/>
          <w:b/>
          <w:sz w:val="16"/>
        </w:rPr>
        <w:t>under</w:t>
      </w:r>
      <w:r w:rsidRPr="00283806">
        <w:rPr>
          <w:rFonts w:ascii="Arial" w:hAnsi="Arial"/>
          <w:b/>
          <w:spacing w:val="-3"/>
          <w:sz w:val="16"/>
        </w:rPr>
        <w:t xml:space="preserve"> </w:t>
      </w:r>
      <w:r w:rsidRPr="00283806">
        <w:rPr>
          <w:rFonts w:ascii="Arial" w:hAnsi="Arial"/>
          <w:b/>
          <w:sz w:val="16"/>
        </w:rPr>
        <w:t xml:space="preserve">this </w:t>
      </w:r>
      <w:r w:rsidRPr="00283806">
        <w:rPr>
          <w:rFonts w:ascii="Arial" w:hAnsi="Arial"/>
          <w:b/>
          <w:spacing w:val="-2"/>
          <w:sz w:val="16"/>
        </w:rPr>
        <w:t>subpart.</w:t>
      </w:r>
    </w:p>
    <w:p w14:paraId="33300F95" w14:textId="77777777" w:rsidR="00D67C1E" w:rsidRPr="00283806" w:rsidRDefault="001265CA">
      <w:pPr>
        <w:pStyle w:val="ListParagraph"/>
        <w:numPr>
          <w:ilvl w:val="0"/>
          <w:numId w:val="3"/>
        </w:numPr>
        <w:tabs>
          <w:tab w:val="left" w:pos="582"/>
        </w:tabs>
        <w:spacing w:before="61" w:line="225" w:lineRule="auto"/>
        <w:ind w:right="118" w:firstLine="180"/>
        <w:rPr>
          <w:sz w:val="18"/>
        </w:rPr>
      </w:pPr>
      <w:r w:rsidRPr="00283806">
        <w:rPr>
          <w:w w:val="105"/>
          <w:sz w:val="18"/>
        </w:rPr>
        <w:t>Persons who recover (</w:t>
      </w:r>
      <w:r w:rsidRPr="00283806">
        <w:rPr>
          <w:rFonts w:ascii="Book Antiqua"/>
          <w:i/>
          <w:w w:val="105"/>
          <w:sz w:val="18"/>
        </w:rPr>
        <w:t xml:space="preserve">i.e., </w:t>
      </w:r>
      <w:r w:rsidRPr="00283806">
        <w:rPr>
          <w:w w:val="105"/>
          <w:sz w:val="18"/>
        </w:rPr>
        <w:t>remove from an appliance and store in an external container) and/or recycle ignitable spent refrigerants for reuse either for further use in equipment of the same owner, or in compliance with motor vehicle air conditioner (MVAC) standards in 40 CFR part 82, subpart B, or who send recovered refrigerant off- site to be recycled for reuse must:</w:t>
      </w:r>
    </w:p>
    <w:p w14:paraId="55D2A829" w14:textId="77777777" w:rsidR="00D67C1E" w:rsidRPr="00283806" w:rsidRDefault="001265CA">
      <w:pPr>
        <w:pStyle w:val="ListParagraph"/>
        <w:numPr>
          <w:ilvl w:val="1"/>
          <w:numId w:val="3"/>
        </w:numPr>
        <w:tabs>
          <w:tab w:val="left" w:pos="592"/>
        </w:tabs>
        <w:spacing w:before="19" w:line="228" w:lineRule="auto"/>
        <w:ind w:right="108" w:firstLine="180"/>
        <w:rPr>
          <w:sz w:val="18"/>
        </w:rPr>
      </w:pPr>
      <w:r w:rsidRPr="00283806">
        <w:rPr>
          <w:w w:val="105"/>
          <w:sz w:val="18"/>
        </w:rPr>
        <w:t>Recover and/or recycle for reuse the ignitable spent refrigerant using equipment that is certified for that type of refrigerant and appliance under</w:t>
      </w:r>
    </w:p>
    <w:p w14:paraId="0D8A0F5B" w14:textId="77777777" w:rsidR="00D67C1E" w:rsidRPr="00283806" w:rsidRDefault="001265CA">
      <w:pPr>
        <w:pStyle w:val="BodyText"/>
        <w:spacing w:line="228" w:lineRule="auto"/>
        <w:ind w:left="144" w:right="62"/>
      </w:pPr>
      <w:r w:rsidRPr="00283806">
        <w:rPr>
          <w:w w:val="105"/>
        </w:rPr>
        <w:t>§§</w:t>
      </w:r>
      <w:r w:rsidRPr="00283806">
        <w:rPr>
          <w:spacing w:val="-12"/>
          <w:w w:val="105"/>
        </w:rPr>
        <w:t xml:space="preserve"> </w:t>
      </w:r>
      <w:r w:rsidRPr="00283806">
        <w:rPr>
          <w:w w:val="105"/>
        </w:rPr>
        <w:t>82.36</w:t>
      </w:r>
      <w:r w:rsidRPr="00283806">
        <w:rPr>
          <w:spacing w:val="-9"/>
          <w:w w:val="105"/>
        </w:rPr>
        <w:t xml:space="preserve"> </w:t>
      </w:r>
      <w:r w:rsidRPr="00283806">
        <w:rPr>
          <w:w w:val="105"/>
        </w:rPr>
        <w:t>and/or</w:t>
      </w:r>
      <w:r w:rsidRPr="00283806">
        <w:rPr>
          <w:spacing w:val="-2"/>
          <w:w w:val="105"/>
        </w:rPr>
        <w:t xml:space="preserve"> </w:t>
      </w:r>
      <w:r w:rsidRPr="00283806">
        <w:rPr>
          <w:w w:val="105"/>
        </w:rPr>
        <w:t>82.158</w:t>
      </w:r>
      <w:r w:rsidRPr="00283806">
        <w:rPr>
          <w:spacing w:val="-3"/>
          <w:w w:val="105"/>
        </w:rPr>
        <w:t xml:space="preserve"> </w:t>
      </w:r>
      <w:r w:rsidRPr="00283806">
        <w:rPr>
          <w:w w:val="105"/>
        </w:rPr>
        <w:t>of</w:t>
      </w:r>
      <w:r w:rsidRPr="00283806">
        <w:rPr>
          <w:spacing w:val="-3"/>
          <w:w w:val="105"/>
        </w:rPr>
        <w:t xml:space="preserve"> </w:t>
      </w:r>
      <w:r w:rsidRPr="00283806">
        <w:rPr>
          <w:w w:val="105"/>
        </w:rPr>
        <w:t>this</w:t>
      </w:r>
      <w:r w:rsidRPr="00283806">
        <w:rPr>
          <w:spacing w:val="-3"/>
          <w:w w:val="105"/>
        </w:rPr>
        <w:t xml:space="preserve"> </w:t>
      </w:r>
      <w:r w:rsidRPr="00283806">
        <w:rPr>
          <w:w w:val="105"/>
        </w:rPr>
        <w:t xml:space="preserve">chapter; </w:t>
      </w:r>
      <w:r w:rsidRPr="00283806">
        <w:rPr>
          <w:spacing w:val="-4"/>
          <w:w w:val="105"/>
        </w:rPr>
        <w:t>and</w:t>
      </w:r>
    </w:p>
    <w:p w14:paraId="047BBD1A" w14:textId="77777777" w:rsidR="00D67C1E" w:rsidRPr="00283806" w:rsidRDefault="001265CA">
      <w:pPr>
        <w:pStyle w:val="ListParagraph"/>
        <w:numPr>
          <w:ilvl w:val="1"/>
          <w:numId w:val="3"/>
        </w:numPr>
        <w:tabs>
          <w:tab w:val="left" w:pos="592"/>
        </w:tabs>
        <w:spacing w:before="11" w:line="228" w:lineRule="auto"/>
        <w:ind w:right="66" w:firstLine="180"/>
        <w:rPr>
          <w:sz w:val="18"/>
        </w:rPr>
      </w:pPr>
      <w:r w:rsidRPr="00283806">
        <w:rPr>
          <w:w w:val="105"/>
          <w:sz w:val="18"/>
        </w:rPr>
        <w:t>Not speculatively accumulate the ignitable</w:t>
      </w:r>
      <w:r w:rsidRPr="00283806">
        <w:rPr>
          <w:spacing w:val="-12"/>
          <w:w w:val="105"/>
          <w:sz w:val="18"/>
        </w:rPr>
        <w:t xml:space="preserve"> </w:t>
      </w:r>
      <w:r w:rsidRPr="00283806">
        <w:rPr>
          <w:w w:val="105"/>
          <w:sz w:val="18"/>
        </w:rPr>
        <w:t>spent</w:t>
      </w:r>
      <w:r w:rsidRPr="00283806">
        <w:rPr>
          <w:spacing w:val="-11"/>
          <w:w w:val="105"/>
          <w:sz w:val="18"/>
        </w:rPr>
        <w:t xml:space="preserve"> </w:t>
      </w:r>
      <w:r w:rsidRPr="00283806">
        <w:rPr>
          <w:w w:val="105"/>
          <w:sz w:val="18"/>
        </w:rPr>
        <w:t>refrigerant</w:t>
      </w:r>
      <w:r w:rsidRPr="00283806">
        <w:rPr>
          <w:spacing w:val="-10"/>
          <w:w w:val="105"/>
          <w:sz w:val="18"/>
        </w:rPr>
        <w:t xml:space="preserve"> </w:t>
      </w:r>
      <w:r w:rsidRPr="00283806">
        <w:rPr>
          <w:w w:val="105"/>
          <w:sz w:val="18"/>
        </w:rPr>
        <w:t>per</w:t>
      </w:r>
      <w:r w:rsidRPr="00283806">
        <w:rPr>
          <w:spacing w:val="-10"/>
          <w:w w:val="105"/>
          <w:sz w:val="18"/>
        </w:rPr>
        <w:t xml:space="preserve"> </w:t>
      </w:r>
      <w:r w:rsidRPr="00283806">
        <w:rPr>
          <w:w w:val="105"/>
          <w:sz w:val="18"/>
        </w:rPr>
        <w:t>§</w:t>
      </w:r>
      <w:r w:rsidRPr="00283806">
        <w:rPr>
          <w:spacing w:val="-11"/>
          <w:w w:val="105"/>
          <w:sz w:val="18"/>
        </w:rPr>
        <w:t xml:space="preserve"> </w:t>
      </w:r>
      <w:r w:rsidRPr="00283806">
        <w:rPr>
          <w:w w:val="105"/>
          <w:sz w:val="18"/>
        </w:rPr>
        <w:t>261.1(c) of this chapter.</w:t>
      </w:r>
    </w:p>
    <w:p w14:paraId="1A1233E9" w14:textId="77777777" w:rsidR="00D67C1E" w:rsidRPr="00283806" w:rsidRDefault="001265CA">
      <w:pPr>
        <w:pStyle w:val="ListParagraph"/>
        <w:numPr>
          <w:ilvl w:val="0"/>
          <w:numId w:val="3"/>
        </w:numPr>
        <w:tabs>
          <w:tab w:val="left" w:pos="592"/>
        </w:tabs>
        <w:spacing w:before="12" w:line="228" w:lineRule="auto"/>
        <w:ind w:right="37" w:firstLine="180"/>
        <w:rPr>
          <w:sz w:val="18"/>
        </w:rPr>
      </w:pPr>
      <w:proofErr w:type="gramStart"/>
      <w:r w:rsidRPr="00283806">
        <w:rPr>
          <w:w w:val="105"/>
          <w:sz w:val="18"/>
        </w:rPr>
        <w:t>Persons</w:t>
      </w:r>
      <w:proofErr w:type="gramEnd"/>
      <w:r w:rsidRPr="00283806">
        <w:rPr>
          <w:w w:val="105"/>
          <w:sz w:val="18"/>
        </w:rPr>
        <w:t xml:space="preserve"> who receive ignitable</w:t>
      </w:r>
      <w:r w:rsidRPr="00283806">
        <w:rPr>
          <w:spacing w:val="40"/>
          <w:w w:val="105"/>
          <w:sz w:val="18"/>
        </w:rPr>
        <w:t xml:space="preserve"> </w:t>
      </w:r>
      <w:r w:rsidRPr="00283806">
        <w:rPr>
          <w:w w:val="105"/>
          <w:sz w:val="18"/>
        </w:rPr>
        <w:t>spent refrigerants from off-site, and are not a transfer facility that stores the refrigerants for less than ten (10) days before</w:t>
      </w:r>
      <w:r w:rsidRPr="00283806">
        <w:rPr>
          <w:spacing w:val="-7"/>
          <w:w w:val="105"/>
          <w:sz w:val="18"/>
        </w:rPr>
        <w:t xml:space="preserve"> </w:t>
      </w:r>
      <w:r w:rsidRPr="00283806">
        <w:rPr>
          <w:w w:val="105"/>
          <w:sz w:val="18"/>
        </w:rPr>
        <w:t>sending</w:t>
      </w:r>
      <w:r w:rsidRPr="00283806">
        <w:rPr>
          <w:spacing w:val="-7"/>
          <w:w w:val="105"/>
          <w:sz w:val="18"/>
        </w:rPr>
        <w:t xml:space="preserve"> </w:t>
      </w:r>
      <w:r w:rsidRPr="00283806">
        <w:rPr>
          <w:w w:val="105"/>
          <w:sz w:val="18"/>
        </w:rPr>
        <w:t>the</w:t>
      </w:r>
      <w:r w:rsidRPr="00283806">
        <w:rPr>
          <w:spacing w:val="-7"/>
          <w:w w:val="105"/>
          <w:sz w:val="18"/>
        </w:rPr>
        <w:t xml:space="preserve"> </w:t>
      </w:r>
      <w:r w:rsidRPr="00283806">
        <w:rPr>
          <w:w w:val="105"/>
          <w:sz w:val="18"/>
        </w:rPr>
        <w:t>refrigerant</w:t>
      </w:r>
      <w:r w:rsidRPr="00283806">
        <w:rPr>
          <w:spacing w:val="-7"/>
          <w:w w:val="105"/>
          <w:sz w:val="18"/>
        </w:rPr>
        <w:t xml:space="preserve"> </w:t>
      </w:r>
      <w:r w:rsidRPr="00283806">
        <w:rPr>
          <w:w w:val="105"/>
          <w:sz w:val="18"/>
        </w:rPr>
        <w:t>to</w:t>
      </w:r>
      <w:r w:rsidRPr="00283806">
        <w:rPr>
          <w:spacing w:val="-7"/>
          <w:w w:val="105"/>
          <w:sz w:val="18"/>
        </w:rPr>
        <w:t xml:space="preserve"> </w:t>
      </w:r>
      <w:r w:rsidRPr="00283806">
        <w:rPr>
          <w:w w:val="105"/>
          <w:sz w:val="18"/>
        </w:rPr>
        <w:t>another site to be recycled for reuse, must:</w:t>
      </w:r>
    </w:p>
    <w:p w14:paraId="475E4497" w14:textId="77777777" w:rsidR="00D67C1E" w:rsidRPr="00283806" w:rsidRDefault="001265CA">
      <w:pPr>
        <w:pStyle w:val="ListParagraph"/>
        <w:numPr>
          <w:ilvl w:val="1"/>
          <w:numId w:val="3"/>
        </w:numPr>
        <w:tabs>
          <w:tab w:val="left" w:pos="592"/>
        </w:tabs>
        <w:spacing w:before="11" w:line="228" w:lineRule="auto"/>
        <w:ind w:right="18" w:firstLine="180"/>
        <w:rPr>
          <w:sz w:val="18"/>
        </w:rPr>
      </w:pPr>
      <w:r w:rsidRPr="00283806">
        <w:rPr>
          <w:w w:val="105"/>
          <w:sz w:val="18"/>
        </w:rPr>
        <w:t>If recovering the refrigerant, recover the ignitable spent refrigerant using equipment that is certified for that type of refrigerant and appliance under</w:t>
      </w:r>
    </w:p>
    <w:p w14:paraId="067A319F" w14:textId="77777777" w:rsidR="00D67C1E" w:rsidRPr="00283806" w:rsidRDefault="001265CA">
      <w:pPr>
        <w:pStyle w:val="BodyText"/>
        <w:spacing w:line="200" w:lineRule="exact"/>
        <w:ind w:left="144"/>
      </w:pPr>
      <w:r w:rsidRPr="00283806">
        <w:rPr>
          <w:w w:val="105"/>
        </w:rPr>
        <w:t>§</w:t>
      </w:r>
      <w:r w:rsidRPr="00283806">
        <w:rPr>
          <w:spacing w:val="-12"/>
          <w:w w:val="105"/>
        </w:rPr>
        <w:t xml:space="preserve"> </w:t>
      </w:r>
      <w:r w:rsidRPr="00283806">
        <w:rPr>
          <w:w w:val="105"/>
        </w:rPr>
        <w:t>82.36</w:t>
      </w:r>
      <w:r w:rsidRPr="00283806">
        <w:rPr>
          <w:spacing w:val="8"/>
          <w:w w:val="105"/>
        </w:rPr>
        <w:t xml:space="preserve"> </w:t>
      </w:r>
      <w:r w:rsidRPr="00283806">
        <w:rPr>
          <w:w w:val="105"/>
        </w:rPr>
        <w:t>of</w:t>
      </w:r>
      <w:r w:rsidRPr="00283806">
        <w:rPr>
          <w:spacing w:val="8"/>
          <w:w w:val="105"/>
        </w:rPr>
        <w:t xml:space="preserve"> </w:t>
      </w:r>
      <w:r w:rsidRPr="00283806">
        <w:rPr>
          <w:w w:val="105"/>
        </w:rPr>
        <w:t>this</w:t>
      </w:r>
      <w:r w:rsidRPr="00283806">
        <w:rPr>
          <w:spacing w:val="9"/>
          <w:w w:val="105"/>
        </w:rPr>
        <w:t xml:space="preserve"> </w:t>
      </w:r>
      <w:r w:rsidRPr="00283806">
        <w:rPr>
          <w:spacing w:val="-2"/>
          <w:w w:val="105"/>
        </w:rPr>
        <w:t>chapter;</w:t>
      </w:r>
    </w:p>
    <w:p w14:paraId="18CE4F4B" w14:textId="77777777" w:rsidR="00D67C1E" w:rsidRPr="00283806" w:rsidRDefault="001265CA">
      <w:pPr>
        <w:pStyle w:val="ListParagraph"/>
        <w:numPr>
          <w:ilvl w:val="1"/>
          <w:numId w:val="3"/>
        </w:numPr>
        <w:tabs>
          <w:tab w:val="left" w:pos="592"/>
        </w:tabs>
        <w:spacing w:before="12" w:line="228" w:lineRule="auto"/>
        <w:ind w:right="336" w:firstLine="180"/>
        <w:rPr>
          <w:sz w:val="18"/>
        </w:rPr>
      </w:pPr>
      <w:r w:rsidRPr="00283806">
        <w:rPr>
          <w:w w:val="105"/>
          <w:sz w:val="18"/>
        </w:rPr>
        <w:t>Meet the applicable emergency preparedness and response requirements of 40 CFR part 261, subpart M; and</w:t>
      </w:r>
    </w:p>
    <w:p w14:paraId="3DC4C25E" w14:textId="77777777" w:rsidR="00D67C1E" w:rsidRPr="00283806" w:rsidRDefault="001265CA">
      <w:pPr>
        <w:pStyle w:val="ListParagraph"/>
        <w:numPr>
          <w:ilvl w:val="1"/>
          <w:numId w:val="3"/>
        </w:numPr>
        <w:tabs>
          <w:tab w:val="left" w:pos="592"/>
        </w:tabs>
        <w:spacing w:before="12" w:line="228" w:lineRule="auto"/>
        <w:ind w:right="66" w:firstLine="180"/>
        <w:rPr>
          <w:sz w:val="18"/>
        </w:rPr>
      </w:pPr>
      <w:r w:rsidRPr="00283806">
        <w:rPr>
          <w:w w:val="105"/>
          <w:sz w:val="18"/>
        </w:rPr>
        <w:t>Not speculatively accumulate the ignitable</w:t>
      </w:r>
      <w:r w:rsidRPr="00283806">
        <w:rPr>
          <w:spacing w:val="-12"/>
          <w:w w:val="105"/>
          <w:sz w:val="18"/>
        </w:rPr>
        <w:t xml:space="preserve"> </w:t>
      </w:r>
      <w:r w:rsidRPr="00283806">
        <w:rPr>
          <w:w w:val="105"/>
          <w:sz w:val="18"/>
        </w:rPr>
        <w:t>spent</w:t>
      </w:r>
      <w:r w:rsidRPr="00283806">
        <w:rPr>
          <w:spacing w:val="-11"/>
          <w:w w:val="105"/>
          <w:sz w:val="18"/>
        </w:rPr>
        <w:t xml:space="preserve"> </w:t>
      </w:r>
      <w:r w:rsidRPr="00283806">
        <w:rPr>
          <w:w w:val="105"/>
          <w:sz w:val="18"/>
        </w:rPr>
        <w:t>refrigerant</w:t>
      </w:r>
      <w:r w:rsidRPr="00283806">
        <w:rPr>
          <w:spacing w:val="-10"/>
          <w:w w:val="105"/>
          <w:sz w:val="18"/>
        </w:rPr>
        <w:t xml:space="preserve"> </w:t>
      </w:r>
      <w:r w:rsidRPr="00283806">
        <w:rPr>
          <w:w w:val="105"/>
          <w:sz w:val="18"/>
        </w:rPr>
        <w:t>per</w:t>
      </w:r>
      <w:r w:rsidRPr="00283806">
        <w:rPr>
          <w:spacing w:val="-10"/>
          <w:w w:val="105"/>
          <w:sz w:val="18"/>
        </w:rPr>
        <w:t xml:space="preserve"> </w:t>
      </w:r>
      <w:r w:rsidRPr="00283806">
        <w:rPr>
          <w:w w:val="105"/>
          <w:sz w:val="18"/>
        </w:rPr>
        <w:t>§</w:t>
      </w:r>
      <w:r w:rsidRPr="00283806">
        <w:rPr>
          <w:spacing w:val="-11"/>
          <w:w w:val="105"/>
          <w:sz w:val="18"/>
        </w:rPr>
        <w:t xml:space="preserve"> </w:t>
      </w:r>
      <w:r w:rsidRPr="00283806">
        <w:rPr>
          <w:w w:val="105"/>
          <w:sz w:val="18"/>
        </w:rPr>
        <w:t>261.1(c) of this chapter.</w:t>
      </w:r>
    </w:p>
    <w:p w14:paraId="40616CFC" w14:textId="77777777" w:rsidR="00D67C1E" w:rsidRPr="00283806" w:rsidRDefault="001265CA">
      <w:pPr>
        <w:pStyle w:val="ListParagraph"/>
        <w:numPr>
          <w:ilvl w:val="0"/>
          <w:numId w:val="3"/>
        </w:numPr>
        <w:tabs>
          <w:tab w:val="left" w:pos="582"/>
        </w:tabs>
        <w:spacing w:before="134" w:line="228" w:lineRule="auto"/>
        <w:ind w:right="321" w:firstLine="180"/>
        <w:jc w:val="both"/>
        <w:rPr>
          <w:sz w:val="18"/>
        </w:rPr>
      </w:pPr>
      <w:r w:rsidRPr="00283806">
        <w:br w:type="column"/>
      </w:r>
      <w:proofErr w:type="gramStart"/>
      <w:r w:rsidRPr="00283806">
        <w:rPr>
          <w:w w:val="105"/>
          <w:sz w:val="18"/>
        </w:rPr>
        <w:t>Persons</w:t>
      </w:r>
      <w:proofErr w:type="gramEnd"/>
      <w:r w:rsidRPr="00283806">
        <w:rPr>
          <w:w w:val="105"/>
          <w:sz w:val="18"/>
        </w:rPr>
        <w:t xml:space="preserve"> receiving ignitable spent refrigerant from off-site to be recycled for reuse under this subpart must:</w:t>
      </w:r>
    </w:p>
    <w:p w14:paraId="749EDB68" w14:textId="77777777" w:rsidR="00D67C1E" w:rsidRPr="00283806" w:rsidRDefault="001265CA">
      <w:pPr>
        <w:pStyle w:val="ListParagraph"/>
        <w:numPr>
          <w:ilvl w:val="1"/>
          <w:numId w:val="3"/>
        </w:numPr>
        <w:tabs>
          <w:tab w:val="left" w:pos="592"/>
        </w:tabs>
        <w:spacing w:before="36" w:line="228" w:lineRule="auto"/>
        <w:ind w:right="571" w:firstLine="180"/>
        <w:rPr>
          <w:sz w:val="18"/>
        </w:rPr>
      </w:pPr>
      <w:r w:rsidRPr="00283806">
        <w:rPr>
          <w:w w:val="105"/>
          <w:sz w:val="18"/>
        </w:rPr>
        <w:t>Maintain certification by EPA under § 82.164 of this chapter;</w:t>
      </w:r>
    </w:p>
    <w:p w14:paraId="0D541926" w14:textId="77777777" w:rsidR="00D67C1E" w:rsidRPr="00283806" w:rsidRDefault="001265CA">
      <w:pPr>
        <w:pStyle w:val="ListParagraph"/>
        <w:numPr>
          <w:ilvl w:val="1"/>
          <w:numId w:val="3"/>
        </w:numPr>
        <w:tabs>
          <w:tab w:val="left" w:pos="592"/>
        </w:tabs>
        <w:spacing w:before="37" w:line="228" w:lineRule="auto"/>
        <w:ind w:right="461" w:firstLine="180"/>
        <w:rPr>
          <w:sz w:val="18"/>
        </w:rPr>
      </w:pPr>
      <w:r w:rsidRPr="00283806">
        <w:rPr>
          <w:w w:val="105"/>
          <w:sz w:val="18"/>
        </w:rPr>
        <w:t>Meet the applicable emergency preparedness and response requirements of 40 CFR part 261, subpart M; and</w:t>
      </w:r>
    </w:p>
    <w:p w14:paraId="6E557DBA" w14:textId="77777777" w:rsidR="00D67C1E" w:rsidRPr="00283806" w:rsidRDefault="001265CA">
      <w:pPr>
        <w:pStyle w:val="ListParagraph"/>
        <w:numPr>
          <w:ilvl w:val="1"/>
          <w:numId w:val="3"/>
        </w:numPr>
        <w:tabs>
          <w:tab w:val="left" w:pos="592"/>
        </w:tabs>
        <w:spacing w:before="36" w:line="228" w:lineRule="auto"/>
        <w:ind w:right="300" w:firstLine="180"/>
        <w:rPr>
          <w:sz w:val="18"/>
        </w:rPr>
      </w:pPr>
      <w:r w:rsidRPr="00283806">
        <w:rPr>
          <w:w w:val="105"/>
          <w:sz w:val="18"/>
        </w:rPr>
        <w:t>Starting with the calendar year beginning January 1, 2029, not speculatively accumulate the ignitable spent refrigerant per §</w:t>
      </w:r>
      <w:r w:rsidRPr="00283806">
        <w:rPr>
          <w:spacing w:val="-10"/>
          <w:w w:val="105"/>
          <w:sz w:val="18"/>
        </w:rPr>
        <w:t xml:space="preserve"> </w:t>
      </w:r>
      <w:r w:rsidRPr="00283806">
        <w:rPr>
          <w:w w:val="105"/>
          <w:sz w:val="18"/>
        </w:rPr>
        <w:t xml:space="preserve">261.1(c) of this </w:t>
      </w:r>
      <w:r w:rsidRPr="00283806">
        <w:rPr>
          <w:spacing w:val="-2"/>
          <w:w w:val="105"/>
          <w:sz w:val="18"/>
        </w:rPr>
        <w:t>chapter.</w:t>
      </w:r>
    </w:p>
    <w:p w14:paraId="60C527E1" w14:textId="77777777" w:rsidR="00D67C1E" w:rsidRPr="00283806" w:rsidRDefault="001265CA">
      <w:pPr>
        <w:pStyle w:val="Heading2"/>
        <w:spacing w:before="157" w:line="232" w:lineRule="auto"/>
        <w:ind w:left="144" w:right="504"/>
      </w:pPr>
      <w:r w:rsidRPr="00283806">
        <w:t>PART</w:t>
      </w:r>
      <w:r w:rsidRPr="00283806">
        <w:rPr>
          <w:spacing w:val="-15"/>
        </w:rPr>
        <w:t xml:space="preserve"> </w:t>
      </w:r>
      <w:r w:rsidRPr="00283806">
        <w:t>270—EPA</w:t>
      </w:r>
      <w:r w:rsidRPr="00283806">
        <w:rPr>
          <w:spacing w:val="-12"/>
        </w:rPr>
        <w:t xml:space="preserve"> </w:t>
      </w:r>
      <w:r w:rsidRPr="00283806">
        <w:t xml:space="preserve">ADMINISTERED PERMIT PROGRAMS: THE HAZARDOUS WASTE PERMIT </w:t>
      </w:r>
      <w:r w:rsidRPr="00283806">
        <w:rPr>
          <w:spacing w:val="-2"/>
        </w:rPr>
        <w:t>PROGRAM</w:t>
      </w:r>
    </w:p>
    <w:p w14:paraId="0697BE61" w14:textId="77777777" w:rsidR="00D67C1E" w:rsidRPr="00283806" w:rsidRDefault="001265CA">
      <w:pPr>
        <w:pStyle w:val="ListParagraph"/>
        <w:numPr>
          <w:ilvl w:val="0"/>
          <w:numId w:val="2"/>
        </w:numPr>
        <w:tabs>
          <w:tab w:val="left" w:pos="144"/>
          <w:tab w:val="left" w:pos="309"/>
        </w:tabs>
        <w:spacing w:before="196" w:line="228" w:lineRule="auto"/>
        <w:ind w:right="260" w:hanging="1"/>
        <w:rPr>
          <w:sz w:val="18"/>
        </w:rPr>
      </w:pPr>
      <w:r w:rsidRPr="00283806">
        <w:rPr>
          <w:w w:val="105"/>
          <w:sz w:val="18"/>
        </w:rPr>
        <w:t>11.</w:t>
      </w:r>
      <w:r w:rsidRPr="00283806">
        <w:rPr>
          <w:spacing w:val="-9"/>
          <w:w w:val="105"/>
          <w:sz w:val="18"/>
        </w:rPr>
        <w:t xml:space="preserve"> </w:t>
      </w:r>
      <w:r w:rsidRPr="00283806">
        <w:rPr>
          <w:w w:val="105"/>
          <w:sz w:val="18"/>
        </w:rPr>
        <w:t>The</w:t>
      </w:r>
      <w:r w:rsidRPr="00283806">
        <w:rPr>
          <w:spacing w:val="-9"/>
          <w:w w:val="105"/>
          <w:sz w:val="18"/>
        </w:rPr>
        <w:t xml:space="preserve"> </w:t>
      </w:r>
      <w:r w:rsidRPr="00283806">
        <w:rPr>
          <w:w w:val="105"/>
          <w:sz w:val="18"/>
        </w:rPr>
        <w:t>authority</w:t>
      </w:r>
      <w:r w:rsidRPr="00283806">
        <w:rPr>
          <w:spacing w:val="-9"/>
          <w:w w:val="105"/>
          <w:sz w:val="18"/>
        </w:rPr>
        <w:t xml:space="preserve"> </w:t>
      </w:r>
      <w:r w:rsidRPr="00283806">
        <w:rPr>
          <w:w w:val="105"/>
          <w:sz w:val="18"/>
        </w:rPr>
        <w:t>citation</w:t>
      </w:r>
      <w:r w:rsidRPr="00283806">
        <w:rPr>
          <w:spacing w:val="-9"/>
          <w:w w:val="105"/>
          <w:sz w:val="18"/>
        </w:rPr>
        <w:t xml:space="preserve"> </w:t>
      </w:r>
      <w:r w:rsidRPr="00283806">
        <w:rPr>
          <w:w w:val="105"/>
          <w:sz w:val="18"/>
        </w:rPr>
        <w:t>for</w:t>
      </w:r>
      <w:r w:rsidRPr="00283806">
        <w:rPr>
          <w:spacing w:val="-9"/>
          <w:w w:val="105"/>
          <w:sz w:val="18"/>
        </w:rPr>
        <w:t xml:space="preserve"> </w:t>
      </w:r>
      <w:r w:rsidRPr="00283806">
        <w:rPr>
          <w:w w:val="105"/>
          <w:sz w:val="18"/>
        </w:rPr>
        <w:t>part</w:t>
      </w:r>
      <w:r w:rsidRPr="00283806">
        <w:rPr>
          <w:spacing w:val="-9"/>
          <w:w w:val="105"/>
          <w:sz w:val="18"/>
        </w:rPr>
        <w:t xml:space="preserve"> </w:t>
      </w:r>
      <w:r w:rsidRPr="00283806">
        <w:rPr>
          <w:w w:val="105"/>
          <w:sz w:val="18"/>
        </w:rPr>
        <w:t>270 continues to read as follows:</w:t>
      </w:r>
    </w:p>
    <w:p w14:paraId="066F4856" w14:textId="77777777" w:rsidR="00D67C1E" w:rsidRPr="00283806" w:rsidRDefault="001265CA">
      <w:pPr>
        <w:spacing w:before="70" w:line="187" w:lineRule="exact"/>
        <w:ind w:left="304"/>
        <w:rPr>
          <w:sz w:val="16"/>
        </w:rPr>
      </w:pPr>
      <w:r w:rsidRPr="00283806">
        <w:rPr>
          <w:rFonts w:ascii="Book Antiqua"/>
          <w:b/>
          <w:w w:val="105"/>
          <w:sz w:val="16"/>
        </w:rPr>
        <w:t>Authority:</w:t>
      </w:r>
      <w:r w:rsidRPr="00283806">
        <w:rPr>
          <w:rFonts w:ascii="Book Antiqua"/>
          <w:b/>
          <w:spacing w:val="5"/>
          <w:w w:val="105"/>
          <w:sz w:val="16"/>
        </w:rPr>
        <w:t xml:space="preserve"> </w:t>
      </w:r>
      <w:r w:rsidRPr="00283806">
        <w:rPr>
          <w:w w:val="105"/>
          <w:sz w:val="16"/>
        </w:rPr>
        <w:t>42</w:t>
      </w:r>
      <w:r w:rsidRPr="00283806">
        <w:rPr>
          <w:spacing w:val="9"/>
          <w:w w:val="105"/>
          <w:sz w:val="16"/>
        </w:rPr>
        <w:t xml:space="preserve"> </w:t>
      </w:r>
      <w:r w:rsidRPr="00283806">
        <w:rPr>
          <w:w w:val="105"/>
          <w:sz w:val="16"/>
        </w:rPr>
        <w:t>U.S.C.</w:t>
      </w:r>
      <w:r w:rsidRPr="00283806">
        <w:rPr>
          <w:spacing w:val="10"/>
          <w:w w:val="105"/>
          <w:sz w:val="16"/>
        </w:rPr>
        <w:t xml:space="preserve"> </w:t>
      </w:r>
      <w:r w:rsidRPr="00283806">
        <w:rPr>
          <w:w w:val="105"/>
          <w:sz w:val="16"/>
        </w:rPr>
        <w:t>6905,</w:t>
      </w:r>
      <w:r w:rsidRPr="00283806">
        <w:rPr>
          <w:spacing w:val="9"/>
          <w:w w:val="105"/>
          <w:sz w:val="16"/>
        </w:rPr>
        <w:t xml:space="preserve"> </w:t>
      </w:r>
      <w:r w:rsidRPr="00283806">
        <w:rPr>
          <w:w w:val="105"/>
          <w:sz w:val="16"/>
        </w:rPr>
        <w:t>6912,</w:t>
      </w:r>
      <w:r w:rsidRPr="00283806">
        <w:rPr>
          <w:spacing w:val="9"/>
          <w:w w:val="105"/>
          <w:sz w:val="16"/>
        </w:rPr>
        <w:t xml:space="preserve"> </w:t>
      </w:r>
      <w:r w:rsidRPr="00283806">
        <w:rPr>
          <w:spacing w:val="-2"/>
          <w:w w:val="105"/>
          <w:sz w:val="16"/>
        </w:rPr>
        <w:t>6924,</w:t>
      </w:r>
    </w:p>
    <w:p w14:paraId="7636CE73" w14:textId="77777777" w:rsidR="00D67C1E" w:rsidRPr="00283806" w:rsidRDefault="001265CA">
      <w:pPr>
        <w:spacing w:line="180" w:lineRule="exact"/>
        <w:ind w:left="144"/>
        <w:rPr>
          <w:sz w:val="16"/>
        </w:rPr>
      </w:pPr>
      <w:r w:rsidRPr="00283806">
        <w:rPr>
          <w:w w:val="105"/>
          <w:sz w:val="16"/>
        </w:rPr>
        <w:t>6925,</w:t>
      </w:r>
      <w:r w:rsidRPr="00283806">
        <w:rPr>
          <w:spacing w:val="1"/>
          <w:w w:val="105"/>
          <w:sz w:val="16"/>
        </w:rPr>
        <w:t xml:space="preserve"> </w:t>
      </w:r>
      <w:r w:rsidRPr="00283806">
        <w:rPr>
          <w:w w:val="105"/>
          <w:sz w:val="16"/>
        </w:rPr>
        <w:t>6927,</w:t>
      </w:r>
      <w:r w:rsidRPr="00283806">
        <w:rPr>
          <w:spacing w:val="2"/>
          <w:w w:val="105"/>
          <w:sz w:val="16"/>
        </w:rPr>
        <w:t xml:space="preserve"> </w:t>
      </w:r>
      <w:r w:rsidRPr="00283806">
        <w:rPr>
          <w:w w:val="105"/>
          <w:sz w:val="16"/>
        </w:rPr>
        <w:t>6939,</w:t>
      </w:r>
      <w:r w:rsidRPr="00283806">
        <w:rPr>
          <w:spacing w:val="2"/>
          <w:w w:val="105"/>
          <w:sz w:val="16"/>
        </w:rPr>
        <w:t xml:space="preserve"> </w:t>
      </w:r>
      <w:r w:rsidRPr="00283806">
        <w:rPr>
          <w:w w:val="105"/>
          <w:sz w:val="16"/>
        </w:rPr>
        <w:t>and</w:t>
      </w:r>
      <w:r w:rsidRPr="00283806">
        <w:rPr>
          <w:spacing w:val="1"/>
          <w:w w:val="105"/>
          <w:sz w:val="16"/>
        </w:rPr>
        <w:t xml:space="preserve"> </w:t>
      </w:r>
      <w:r w:rsidRPr="00283806">
        <w:rPr>
          <w:spacing w:val="-2"/>
          <w:w w:val="105"/>
          <w:sz w:val="16"/>
        </w:rPr>
        <w:t>6974.</w:t>
      </w:r>
    </w:p>
    <w:p w14:paraId="2F9B0F5C" w14:textId="77777777" w:rsidR="00D67C1E" w:rsidRPr="00283806" w:rsidRDefault="001265CA">
      <w:pPr>
        <w:pStyle w:val="Heading3"/>
        <w:ind w:left="144"/>
      </w:pPr>
      <w:r w:rsidRPr="00283806">
        <w:t>Subpart</w:t>
      </w:r>
      <w:r w:rsidRPr="00283806">
        <w:rPr>
          <w:spacing w:val="-3"/>
        </w:rPr>
        <w:t xml:space="preserve"> </w:t>
      </w:r>
      <w:r w:rsidRPr="00283806">
        <w:t>A—General</w:t>
      </w:r>
      <w:r w:rsidRPr="00283806">
        <w:rPr>
          <w:spacing w:val="-1"/>
        </w:rPr>
        <w:t xml:space="preserve"> </w:t>
      </w:r>
      <w:r w:rsidRPr="00283806">
        <w:rPr>
          <w:spacing w:val="-2"/>
        </w:rPr>
        <w:t>Information</w:t>
      </w:r>
    </w:p>
    <w:p w14:paraId="6AA90061" w14:textId="77777777" w:rsidR="00D67C1E" w:rsidRPr="00283806" w:rsidRDefault="001265CA">
      <w:pPr>
        <w:pStyle w:val="ListParagraph"/>
        <w:numPr>
          <w:ilvl w:val="0"/>
          <w:numId w:val="2"/>
        </w:numPr>
        <w:tabs>
          <w:tab w:val="left" w:pos="144"/>
          <w:tab w:val="left" w:pos="309"/>
        </w:tabs>
        <w:spacing w:before="197" w:line="228" w:lineRule="auto"/>
        <w:ind w:right="218" w:hanging="1"/>
        <w:rPr>
          <w:sz w:val="18"/>
        </w:rPr>
      </w:pPr>
      <w:r w:rsidRPr="00283806">
        <w:rPr>
          <w:spacing w:val="-2"/>
          <w:w w:val="105"/>
          <w:sz w:val="18"/>
        </w:rPr>
        <w:t>12.</w:t>
      </w:r>
      <w:r w:rsidRPr="00283806">
        <w:rPr>
          <w:spacing w:val="-6"/>
          <w:w w:val="105"/>
          <w:sz w:val="18"/>
        </w:rPr>
        <w:t xml:space="preserve"> </w:t>
      </w:r>
      <w:r w:rsidRPr="00283806">
        <w:rPr>
          <w:spacing w:val="-2"/>
          <w:w w:val="105"/>
          <w:sz w:val="18"/>
        </w:rPr>
        <w:t>In</w:t>
      </w:r>
      <w:r w:rsidRPr="00283806">
        <w:rPr>
          <w:spacing w:val="-5"/>
          <w:w w:val="105"/>
          <w:sz w:val="18"/>
        </w:rPr>
        <w:t xml:space="preserve"> </w:t>
      </w:r>
      <w:r w:rsidRPr="00283806">
        <w:rPr>
          <w:spacing w:val="-2"/>
          <w:w w:val="105"/>
          <w:sz w:val="18"/>
        </w:rPr>
        <w:t>§</w:t>
      </w:r>
      <w:r w:rsidRPr="00283806">
        <w:rPr>
          <w:spacing w:val="-12"/>
          <w:w w:val="105"/>
          <w:sz w:val="18"/>
        </w:rPr>
        <w:t xml:space="preserve"> </w:t>
      </w:r>
      <w:r w:rsidRPr="00283806">
        <w:rPr>
          <w:spacing w:val="-2"/>
          <w:w w:val="105"/>
          <w:sz w:val="18"/>
        </w:rPr>
        <w:t>270.1,</w:t>
      </w:r>
      <w:r w:rsidRPr="00283806">
        <w:rPr>
          <w:spacing w:val="-5"/>
          <w:w w:val="105"/>
          <w:sz w:val="18"/>
        </w:rPr>
        <w:t xml:space="preserve"> </w:t>
      </w:r>
      <w:r w:rsidRPr="00283806">
        <w:rPr>
          <w:spacing w:val="-2"/>
          <w:w w:val="105"/>
          <w:sz w:val="18"/>
        </w:rPr>
        <w:t>add</w:t>
      </w:r>
      <w:r w:rsidRPr="00283806">
        <w:rPr>
          <w:spacing w:val="-5"/>
          <w:w w:val="105"/>
          <w:sz w:val="18"/>
        </w:rPr>
        <w:t xml:space="preserve"> </w:t>
      </w:r>
      <w:r w:rsidRPr="00283806">
        <w:rPr>
          <w:spacing w:val="-2"/>
          <w:w w:val="105"/>
          <w:sz w:val="18"/>
        </w:rPr>
        <w:t>paragraph</w:t>
      </w:r>
      <w:r w:rsidRPr="00283806">
        <w:rPr>
          <w:spacing w:val="-5"/>
          <w:w w:val="105"/>
          <w:sz w:val="18"/>
        </w:rPr>
        <w:t xml:space="preserve"> </w:t>
      </w:r>
      <w:r w:rsidRPr="00283806">
        <w:rPr>
          <w:spacing w:val="-2"/>
          <w:w w:val="105"/>
          <w:sz w:val="18"/>
        </w:rPr>
        <w:t>(c)(2)(xi)</w:t>
      </w:r>
      <w:r w:rsidRPr="00283806">
        <w:rPr>
          <w:w w:val="105"/>
          <w:sz w:val="18"/>
        </w:rPr>
        <w:t xml:space="preserve"> to read as follows:</w:t>
      </w:r>
    </w:p>
    <w:p w14:paraId="70807FC6" w14:textId="77777777" w:rsidR="00D67C1E" w:rsidRPr="00283806" w:rsidRDefault="001265CA">
      <w:pPr>
        <w:spacing w:before="134" w:line="235" w:lineRule="auto"/>
        <w:ind w:left="144" w:right="171"/>
        <w:rPr>
          <w:rFonts w:ascii="Arial" w:hAnsi="Arial"/>
          <w:b/>
          <w:sz w:val="16"/>
        </w:rPr>
      </w:pPr>
      <w:r w:rsidRPr="00283806">
        <w:rPr>
          <w:rFonts w:ascii="Arial" w:hAnsi="Arial"/>
          <w:b/>
          <w:sz w:val="16"/>
        </w:rPr>
        <w:t>§ 270.1</w:t>
      </w:r>
      <w:r w:rsidRPr="00283806">
        <w:rPr>
          <w:rFonts w:ascii="Arial" w:hAnsi="Arial"/>
          <w:b/>
          <w:spacing w:val="80"/>
          <w:sz w:val="16"/>
        </w:rPr>
        <w:t xml:space="preserve"> </w:t>
      </w:r>
      <w:r w:rsidRPr="00283806">
        <w:rPr>
          <w:rFonts w:ascii="Arial" w:hAnsi="Arial"/>
          <w:b/>
          <w:sz w:val="16"/>
        </w:rPr>
        <w:t>Purpose</w:t>
      </w:r>
      <w:r w:rsidRPr="00283806">
        <w:rPr>
          <w:rFonts w:ascii="Arial" w:hAnsi="Arial"/>
          <w:b/>
          <w:spacing w:val="-5"/>
          <w:sz w:val="16"/>
        </w:rPr>
        <w:t xml:space="preserve"> </w:t>
      </w:r>
      <w:r w:rsidRPr="00283806">
        <w:rPr>
          <w:rFonts w:ascii="Arial" w:hAnsi="Arial"/>
          <w:b/>
          <w:sz w:val="16"/>
        </w:rPr>
        <w:t>and</w:t>
      </w:r>
      <w:r w:rsidRPr="00283806">
        <w:rPr>
          <w:rFonts w:ascii="Arial" w:hAnsi="Arial"/>
          <w:b/>
          <w:spacing w:val="-5"/>
          <w:sz w:val="16"/>
        </w:rPr>
        <w:t xml:space="preserve"> </w:t>
      </w:r>
      <w:r w:rsidRPr="00283806">
        <w:rPr>
          <w:rFonts w:ascii="Arial" w:hAnsi="Arial"/>
          <w:b/>
          <w:sz w:val="16"/>
        </w:rPr>
        <w:t>scope</w:t>
      </w:r>
      <w:r w:rsidRPr="00283806">
        <w:rPr>
          <w:rFonts w:ascii="Arial" w:hAnsi="Arial"/>
          <w:b/>
          <w:spacing w:val="-5"/>
          <w:sz w:val="16"/>
        </w:rPr>
        <w:t xml:space="preserve"> </w:t>
      </w:r>
      <w:r w:rsidRPr="00283806">
        <w:rPr>
          <w:rFonts w:ascii="Arial" w:hAnsi="Arial"/>
          <w:b/>
          <w:sz w:val="16"/>
        </w:rPr>
        <w:t>of</w:t>
      </w:r>
      <w:r w:rsidRPr="00283806">
        <w:rPr>
          <w:rFonts w:ascii="Arial" w:hAnsi="Arial"/>
          <w:b/>
          <w:spacing w:val="-5"/>
          <w:sz w:val="16"/>
        </w:rPr>
        <w:t xml:space="preserve"> </w:t>
      </w:r>
      <w:r w:rsidRPr="00283806">
        <w:rPr>
          <w:rFonts w:ascii="Arial" w:hAnsi="Arial"/>
          <w:b/>
          <w:sz w:val="16"/>
        </w:rPr>
        <w:t>the regulations in this part.</w:t>
      </w:r>
    </w:p>
    <w:p w14:paraId="0CB2B669" w14:textId="77777777" w:rsidR="00D67C1E" w:rsidRPr="00283806" w:rsidRDefault="001265CA">
      <w:pPr>
        <w:tabs>
          <w:tab w:val="left" w:pos="600"/>
          <w:tab w:val="left" w:pos="1057"/>
          <w:tab w:val="left" w:pos="1514"/>
          <w:tab w:val="left" w:pos="1970"/>
        </w:tabs>
        <w:spacing w:before="36"/>
        <w:ind w:left="144"/>
        <w:rPr>
          <w:sz w:val="18"/>
        </w:rPr>
      </w:pPr>
      <w:r w:rsidRPr="00283806">
        <w:rPr>
          <w:spacing w:val="-10"/>
          <w:w w:val="130"/>
          <w:sz w:val="18"/>
        </w:rPr>
        <w:t>*</w:t>
      </w:r>
      <w:r w:rsidRPr="00283806">
        <w:rPr>
          <w:sz w:val="18"/>
        </w:rPr>
        <w:tab/>
      </w:r>
      <w:r w:rsidRPr="00283806">
        <w:rPr>
          <w:spacing w:val="-10"/>
          <w:w w:val="130"/>
          <w:sz w:val="18"/>
        </w:rPr>
        <w:t>*</w:t>
      </w:r>
      <w:r w:rsidRPr="00283806">
        <w:rPr>
          <w:sz w:val="18"/>
        </w:rPr>
        <w:tab/>
      </w:r>
      <w:r w:rsidRPr="00283806">
        <w:rPr>
          <w:spacing w:val="-12"/>
          <w:w w:val="130"/>
          <w:sz w:val="18"/>
        </w:rPr>
        <w:t>*</w:t>
      </w:r>
      <w:r w:rsidRPr="00283806">
        <w:rPr>
          <w:sz w:val="18"/>
        </w:rPr>
        <w:tab/>
      </w:r>
      <w:r w:rsidRPr="00283806">
        <w:rPr>
          <w:spacing w:val="-10"/>
          <w:w w:val="130"/>
          <w:sz w:val="18"/>
        </w:rPr>
        <w:t>*</w:t>
      </w:r>
      <w:r w:rsidRPr="00283806">
        <w:rPr>
          <w:sz w:val="18"/>
        </w:rPr>
        <w:tab/>
      </w:r>
      <w:r w:rsidRPr="00283806">
        <w:rPr>
          <w:spacing w:val="-10"/>
          <w:w w:val="130"/>
          <w:sz w:val="18"/>
        </w:rPr>
        <w:t>*</w:t>
      </w:r>
    </w:p>
    <w:p w14:paraId="3F0C87C7" w14:textId="77777777" w:rsidR="00D67C1E" w:rsidRPr="00283806" w:rsidRDefault="001265CA">
      <w:pPr>
        <w:pStyle w:val="BodyText"/>
        <w:spacing w:before="27"/>
        <w:ind w:left="324"/>
      </w:pPr>
      <w:r w:rsidRPr="00283806">
        <w:rPr>
          <w:w w:val="115"/>
        </w:rPr>
        <w:t>(c)</w:t>
      </w:r>
      <w:r w:rsidRPr="00283806">
        <w:rPr>
          <w:spacing w:val="-3"/>
          <w:w w:val="115"/>
        </w:rPr>
        <w:t xml:space="preserve"> </w:t>
      </w:r>
      <w:r w:rsidRPr="00283806">
        <w:rPr>
          <w:w w:val="115"/>
        </w:rPr>
        <w:t>*</w:t>
      </w:r>
      <w:r w:rsidRPr="00283806">
        <w:rPr>
          <w:spacing w:val="-3"/>
          <w:w w:val="115"/>
        </w:rPr>
        <w:t xml:space="preserve"> </w:t>
      </w:r>
      <w:r w:rsidRPr="00283806">
        <w:rPr>
          <w:w w:val="115"/>
        </w:rPr>
        <w:t>*</w:t>
      </w:r>
      <w:r w:rsidRPr="00283806">
        <w:rPr>
          <w:spacing w:val="-3"/>
          <w:w w:val="115"/>
        </w:rPr>
        <w:t xml:space="preserve"> </w:t>
      </w:r>
      <w:r w:rsidRPr="00283806">
        <w:rPr>
          <w:spacing w:val="-12"/>
          <w:w w:val="115"/>
        </w:rPr>
        <w:t>*</w:t>
      </w:r>
    </w:p>
    <w:p w14:paraId="5EC1A885" w14:textId="77777777" w:rsidR="00D67C1E" w:rsidRPr="00283806" w:rsidRDefault="001265CA">
      <w:pPr>
        <w:pStyle w:val="BodyText"/>
        <w:spacing w:before="25"/>
        <w:ind w:left="324"/>
      </w:pPr>
      <w:r w:rsidRPr="00283806">
        <w:rPr>
          <w:w w:val="110"/>
        </w:rPr>
        <w:t>(2)</w:t>
      </w:r>
      <w:r w:rsidRPr="00283806">
        <w:rPr>
          <w:spacing w:val="-5"/>
          <w:w w:val="110"/>
        </w:rPr>
        <w:t xml:space="preserve"> </w:t>
      </w:r>
      <w:r w:rsidRPr="00283806">
        <w:rPr>
          <w:w w:val="120"/>
        </w:rPr>
        <w:t>*</w:t>
      </w:r>
      <w:r w:rsidRPr="00283806">
        <w:rPr>
          <w:spacing w:val="-8"/>
          <w:w w:val="120"/>
        </w:rPr>
        <w:t xml:space="preserve"> </w:t>
      </w:r>
      <w:r w:rsidRPr="00283806">
        <w:rPr>
          <w:w w:val="120"/>
        </w:rPr>
        <w:t>*</w:t>
      </w:r>
      <w:r w:rsidRPr="00283806">
        <w:rPr>
          <w:spacing w:val="-8"/>
          <w:w w:val="120"/>
        </w:rPr>
        <w:t xml:space="preserve"> </w:t>
      </w:r>
      <w:r w:rsidRPr="00283806">
        <w:rPr>
          <w:spacing w:val="-10"/>
          <w:w w:val="120"/>
        </w:rPr>
        <w:t>*</w:t>
      </w:r>
    </w:p>
    <w:p w14:paraId="466ADE3E" w14:textId="77777777" w:rsidR="00D67C1E" w:rsidRPr="00283806" w:rsidRDefault="001265CA">
      <w:pPr>
        <w:pStyle w:val="BodyText"/>
        <w:spacing w:before="33" w:line="228" w:lineRule="auto"/>
        <w:ind w:left="144" w:right="171" w:firstLine="180"/>
      </w:pPr>
      <w:r w:rsidRPr="00283806">
        <w:rPr>
          <w:w w:val="105"/>
        </w:rPr>
        <w:t>(xi) Recyclers of ignitable spent refrigerants</w:t>
      </w:r>
      <w:r w:rsidRPr="00283806">
        <w:rPr>
          <w:spacing w:val="-6"/>
          <w:w w:val="105"/>
        </w:rPr>
        <w:t xml:space="preserve"> </w:t>
      </w:r>
      <w:r w:rsidRPr="00283806">
        <w:rPr>
          <w:w w:val="105"/>
        </w:rPr>
        <w:t>subject</w:t>
      </w:r>
      <w:r w:rsidRPr="00283806">
        <w:rPr>
          <w:spacing w:val="-6"/>
          <w:w w:val="105"/>
        </w:rPr>
        <w:t xml:space="preserve"> </w:t>
      </w:r>
      <w:r w:rsidRPr="00283806">
        <w:rPr>
          <w:w w:val="105"/>
        </w:rPr>
        <w:t>to</w:t>
      </w:r>
      <w:r w:rsidRPr="00283806">
        <w:rPr>
          <w:spacing w:val="-6"/>
          <w:w w:val="105"/>
        </w:rPr>
        <w:t xml:space="preserve"> </w:t>
      </w:r>
      <w:r w:rsidRPr="00283806">
        <w:rPr>
          <w:w w:val="105"/>
        </w:rPr>
        <w:t>regulation</w:t>
      </w:r>
      <w:r w:rsidRPr="00283806">
        <w:rPr>
          <w:spacing w:val="-6"/>
          <w:w w:val="105"/>
        </w:rPr>
        <w:t xml:space="preserve"> </w:t>
      </w:r>
      <w:r w:rsidRPr="00283806">
        <w:rPr>
          <w:w w:val="105"/>
        </w:rPr>
        <w:t>under 40 CFR part 266, subpart Q.</w:t>
      </w:r>
    </w:p>
    <w:p w14:paraId="0CDCC7E5" w14:textId="77777777" w:rsidR="00D67C1E" w:rsidRPr="00283806" w:rsidRDefault="001265CA">
      <w:pPr>
        <w:tabs>
          <w:tab w:val="left" w:pos="600"/>
          <w:tab w:val="left" w:pos="1057"/>
          <w:tab w:val="left" w:pos="1514"/>
          <w:tab w:val="left" w:pos="1970"/>
        </w:tabs>
        <w:spacing w:before="30"/>
        <w:ind w:left="144"/>
        <w:rPr>
          <w:sz w:val="18"/>
        </w:rPr>
      </w:pPr>
      <w:r w:rsidRPr="00283806">
        <w:rPr>
          <w:spacing w:val="-10"/>
          <w:w w:val="130"/>
          <w:sz w:val="18"/>
        </w:rPr>
        <w:t>*</w:t>
      </w:r>
      <w:r w:rsidRPr="00283806">
        <w:rPr>
          <w:sz w:val="18"/>
        </w:rPr>
        <w:tab/>
      </w:r>
      <w:r w:rsidRPr="00283806">
        <w:rPr>
          <w:spacing w:val="-10"/>
          <w:w w:val="130"/>
          <w:sz w:val="18"/>
        </w:rPr>
        <w:t>*</w:t>
      </w:r>
      <w:r w:rsidRPr="00283806">
        <w:rPr>
          <w:sz w:val="18"/>
        </w:rPr>
        <w:tab/>
      </w:r>
      <w:r w:rsidRPr="00283806">
        <w:rPr>
          <w:spacing w:val="-12"/>
          <w:w w:val="130"/>
          <w:sz w:val="18"/>
        </w:rPr>
        <w:t>*</w:t>
      </w:r>
      <w:r w:rsidRPr="00283806">
        <w:rPr>
          <w:sz w:val="18"/>
        </w:rPr>
        <w:tab/>
      </w:r>
      <w:r w:rsidRPr="00283806">
        <w:rPr>
          <w:spacing w:val="-10"/>
          <w:w w:val="130"/>
          <w:sz w:val="18"/>
        </w:rPr>
        <w:t>*</w:t>
      </w:r>
      <w:r w:rsidRPr="00283806">
        <w:rPr>
          <w:sz w:val="18"/>
        </w:rPr>
        <w:tab/>
      </w:r>
      <w:r w:rsidRPr="00283806">
        <w:rPr>
          <w:spacing w:val="-10"/>
          <w:w w:val="130"/>
          <w:sz w:val="18"/>
        </w:rPr>
        <w:t>*</w:t>
      </w:r>
    </w:p>
    <w:p w14:paraId="0CED47BA" w14:textId="77777777" w:rsidR="00D67C1E" w:rsidRPr="00283806" w:rsidRDefault="001265CA">
      <w:pPr>
        <w:pStyle w:val="Heading2"/>
        <w:spacing w:line="232" w:lineRule="auto"/>
        <w:ind w:left="144" w:right="504"/>
      </w:pPr>
      <w:r w:rsidRPr="00283806">
        <w:t>PART 271—REQUIREMENTS FOR AUTHORIZATION OF STATE HAZARDOUS</w:t>
      </w:r>
      <w:r w:rsidRPr="00283806">
        <w:rPr>
          <w:spacing w:val="-7"/>
        </w:rPr>
        <w:t xml:space="preserve"> </w:t>
      </w:r>
      <w:r w:rsidRPr="00283806">
        <w:t>WASTE</w:t>
      </w:r>
      <w:r w:rsidRPr="00283806">
        <w:rPr>
          <w:spacing w:val="-7"/>
        </w:rPr>
        <w:t xml:space="preserve"> </w:t>
      </w:r>
      <w:r w:rsidRPr="00283806">
        <w:rPr>
          <w:spacing w:val="-2"/>
        </w:rPr>
        <w:t>PROGRAMS</w:t>
      </w:r>
    </w:p>
    <w:p w14:paraId="05E57281" w14:textId="77777777" w:rsidR="00D67C1E" w:rsidRPr="00283806" w:rsidRDefault="001265CA">
      <w:pPr>
        <w:pStyle w:val="ListParagraph"/>
        <w:numPr>
          <w:ilvl w:val="0"/>
          <w:numId w:val="2"/>
        </w:numPr>
        <w:tabs>
          <w:tab w:val="left" w:pos="144"/>
          <w:tab w:val="left" w:pos="309"/>
        </w:tabs>
        <w:spacing w:before="196" w:line="228" w:lineRule="auto"/>
        <w:ind w:right="260" w:hanging="1"/>
        <w:rPr>
          <w:sz w:val="18"/>
        </w:rPr>
      </w:pPr>
      <w:r w:rsidRPr="00283806">
        <w:rPr>
          <w:w w:val="105"/>
          <w:sz w:val="18"/>
        </w:rPr>
        <w:t>13.</w:t>
      </w:r>
      <w:r w:rsidRPr="00283806">
        <w:rPr>
          <w:spacing w:val="-9"/>
          <w:w w:val="105"/>
          <w:sz w:val="18"/>
        </w:rPr>
        <w:t xml:space="preserve"> </w:t>
      </w:r>
      <w:r w:rsidRPr="00283806">
        <w:rPr>
          <w:w w:val="105"/>
          <w:sz w:val="18"/>
        </w:rPr>
        <w:t>The</w:t>
      </w:r>
      <w:r w:rsidRPr="00283806">
        <w:rPr>
          <w:spacing w:val="-9"/>
          <w:w w:val="105"/>
          <w:sz w:val="18"/>
        </w:rPr>
        <w:t xml:space="preserve"> </w:t>
      </w:r>
      <w:r w:rsidRPr="00283806">
        <w:rPr>
          <w:w w:val="105"/>
          <w:sz w:val="18"/>
        </w:rPr>
        <w:t>authority</w:t>
      </w:r>
      <w:r w:rsidRPr="00283806">
        <w:rPr>
          <w:spacing w:val="-9"/>
          <w:w w:val="105"/>
          <w:sz w:val="18"/>
        </w:rPr>
        <w:t xml:space="preserve"> </w:t>
      </w:r>
      <w:r w:rsidRPr="00283806">
        <w:rPr>
          <w:w w:val="105"/>
          <w:sz w:val="18"/>
        </w:rPr>
        <w:t>citation</w:t>
      </w:r>
      <w:r w:rsidRPr="00283806">
        <w:rPr>
          <w:spacing w:val="-9"/>
          <w:w w:val="105"/>
          <w:sz w:val="18"/>
        </w:rPr>
        <w:t xml:space="preserve"> </w:t>
      </w:r>
      <w:r w:rsidRPr="00283806">
        <w:rPr>
          <w:w w:val="105"/>
          <w:sz w:val="18"/>
        </w:rPr>
        <w:t>for</w:t>
      </w:r>
      <w:r w:rsidRPr="00283806">
        <w:rPr>
          <w:spacing w:val="-9"/>
          <w:w w:val="105"/>
          <w:sz w:val="18"/>
        </w:rPr>
        <w:t xml:space="preserve"> </w:t>
      </w:r>
      <w:r w:rsidRPr="00283806">
        <w:rPr>
          <w:w w:val="105"/>
          <w:sz w:val="18"/>
        </w:rPr>
        <w:t>part</w:t>
      </w:r>
      <w:r w:rsidRPr="00283806">
        <w:rPr>
          <w:spacing w:val="-9"/>
          <w:w w:val="105"/>
          <w:sz w:val="18"/>
        </w:rPr>
        <w:t xml:space="preserve"> </w:t>
      </w:r>
      <w:r w:rsidRPr="00283806">
        <w:rPr>
          <w:w w:val="105"/>
          <w:sz w:val="18"/>
        </w:rPr>
        <w:t>271 continues to read as follows:</w:t>
      </w:r>
    </w:p>
    <w:p w14:paraId="4E6680BA" w14:textId="77777777" w:rsidR="00D67C1E" w:rsidRPr="00283806" w:rsidRDefault="001265CA">
      <w:pPr>
        <w:spacing w:before="69" w:line="187" w:lineRule="exact"/>
        <w:ind w:left="304"/>
        <w:rPr>
          <w:sz w:val="16"/>
        </w:rPr>
      </w:pPr>
      <w:r w:rsidRPr="00283806">
        <w:rPr>
          <w:rFonts w:ascii="Book Antiqua"/>
          <w:b/>
          <w:w w:val="105"/>
          <w:sz w:val="16"/>
        </w:rPr>
        <w:t>Authority:</w:t>
      </w:r>
      <w:r w:rsidRPr="00283806">
        <w:rPr>
          <w:rFonts w:ascii="Book Antiqua"/>
          <w:b/>
          <w:spacing w:val="-1"/>
          <w:w w:val="105"/>
          <w:sz w:val="16"/>
        </w:rPr>
        <w:t xml:space="preserve"> </w:t>
      </w:r>
      <w:r w:rsidRPr="00283806">
        <w:rPr>
          <w:w w:val="105"/>
          <w:sz w:val="16"/>
        </w:rPr>
        <w:t>42</w:t>
      </w:r>
      <w:r w:rsidRPr="00283806">
        <w:rPr>
          <w:spacing w:val="4"/>
          <w:w w:val="105"/>
          <w:sz w:val="16"/>
        </w:rPr>
        <w:t xml:space="preserve"> </w:t>
      </w:r>
      <w:r w:rsidRPr="00283806">
        <w:rPr>
          <w:w w:val="105"/>
          <w:sz w:val="16"/>
        </w:rPr>
        <w:t>U.S.C.</w:t>
      </w:r>
      <w:r w:rsidRPr="00283806">
        <w:rPr>
          <w:spacing w:val="4"/>
          <w:w w:val="105"/>
          <w:sz w:val="16"/>
        </w:rPr>
        <w:t xml:space="preserve"> </w:t>
      </w:r>
      <w:r w:rsidRPr="00283806">
        <w:rPr>
          <w:w w:val="105"/>
          <w:sz w:val="16"/>
        </w:rPr>
        <w:t>6905,</w:t>
      </w:r>
      <w:r w:rsidRPr="00283806">
        <w:rPr>
          <w:spacing w:val="4"/>
          <w:w w:val="105"/>
          <w:sz w:val="16"/>
        </w:rPr>
        <w:t xml:space="preserve"> </w:t>
      </w:r>
      <w:r w:rsidRPr="00283806">
        <w:rPr>
          <w:w w:val="105"/>
          <w:sz w:val="16"/>
        </w:rPr>
        <w:t>6912(a),</w:t>
      </w:r>
      <w:r w:rsidRPr="00283806">
        <w:rPr>
          <w:spacing w:val="4"/>
          <w:w w:val="105"/>
          <w:sz w:val="16"/>
        </w:rPr>
        <w:t xml:space="preserve"> </w:t>
      </w:r>
      <w:r w:rsidRPr="00283806">
        <w:rPr>
          <w:spacing w:val="-2"/>
          <w:w w:val="105"/>
          <w:sz w:val="16"/>
        </w:rPr>
        <w:t>6926,</w:t>
      </w:r>
    </w:p>
    <w:p w14:paraId="4D652C72" w14:textId="77777777" w:rsidR="00D67C1E" w:rsidRPr="00283806" w:rsidRDefault="001265CA">
      <w:pPr>
        <w:spacing w:line="180" w:lineRule="exact"/>
        <w:ind w:left="144"/>
        <w:rPr>
          <w:sz w:val="16"/>
        </w:rPr>
      </w:pPr>
      <w:r w:rsidRPr="00283806">
        <w:rPr>
          <w:w w:val="105"/>
          <w:sz w:val="16"/>
        </w:rPr>
        <w:t>and</w:t>
      </w:r>
      <w:r w:rsidRPr="00283806">
        <w:rPr>
          <w:spacing w:val="11"/>
          <w:w w:val="105"/>
          <w:sz w:val="16"/>
        </w:rPr>
        <w:t xml:space="preserve"> </w:t>
      </w:r>
      <w:r w:rsidRPr="00283806">
        <w:rPr>
          <w:spacing w:val="-2"/>
          <w:w w:val="105"/>
          <w:sz w:val="16"/>
        </w:rPr>
        <w:t>6939g.</w:t>
      </w:r>
    </w:p>
    <w:p w14:paraId="3D66F931" w14:textId="77777777" w:rsidR="00D67C1E" w:rsidRPr="00283806" w:rsidRDefault="001265CA">
      <w:pPr>
        <w:pStyle w:val="Heading3"/>
        <w:spacing w:before="161" w:line="232" w:lineRule="auto"/>
        <w:ind w:left="144" w:right="122"/>
      </w:pPr>
      <w:r w:rsidRPr="00283806">
        <w:t>Subpart</w:t>
      </w:r>
      <w:r w:rsidRPr="00283806">
        <w:rPr>
          <w:spacing w:val="-13"/>
        </w:rPr>
        <w:t xml:space="preserve"> </w:t>
      </w:r>
      <w:r w:rsidRPr="00283806">
        <w:t>A—Requirements</w:t>
      </w:r>
      <w:r w:rsidRPr="00283806">
        <w:rPr>
          <w:spacing w:val="-12"/>
        </w:rPr>
        <w:t xml:space="preserve"> </w:t>
      </w:r>
      <w:r w:rsidRPr="00283806">
        <w:t>for</w:t>
      </w:r>
      <w:r w:rsidRPr="00283806">
        <w:rPr>
          <w:spacing w:val="-13"/>
        </w:rPr>
        <w:t xml:space="preserve"> </w:t>
      </w:r>
      <w:r w:rsidRPr="00283806">
        <w:t xml:space="preserve">Final </w:t>
      </w:r>
      <w:r w:rsidRPr="00283806">
        <w:rPr>
          <w:spacing w:val="-2"/>
        </w:rPr>
        <w:t>Authorization</w:t>
      </w:r>
    </w:p>
    <w:p w14:paraId="3272963B" w14:textId="77777777" w:rsidR="00D67C1E" w:rsidRPr="00283806" w:rsidRDefault="001265CA">
      <w:pPr>
        <w:pStyle w:val="ListParagraph"/>
        <w:numPr>
          <w:ilvl w:val="0"/>
          <w:numId w:val="2"/>
        </w:numPr>
        <w:tabs>
          <w:tab w:val="left" w:pos="144"/>
          <w:tab w:val="left" w:pos="309"/>
        </w:tabs>
        <w:spacing w:before="195" w:line="228" w:lineRule="auto"/>
        <w:ind w:right="308" w:hanging="1"/>
        <w:rPr>
          <w:sz w:val="18"/>
        </w:rPr>
      </w:pPr>
      <w:r w:rsidRPr="00283806">
        <w:rPr>
          <w:w w:val="105"/>
          <w:sz w:val="18"/>
        </w:rPr>
        <w:t>14.</w:t>
      </w:r>
      <w:r w:rsidRPr="00283806">
        <w:rPr>
          <w:spacing w:val="-11"/>
          <w:w w:val="105"/>
          <w:sz w:val="18"/>
        </w:rPr>
        <w:t xml:space="preserve"> </w:t>
      </w:r>
      <w:r w:rsidRPr="00283806">
        <w:rPr>
          <w:w w:val="105"/>
          <w:sz w:val="18"/>
        </w:rPr>
        <w:t>In</w:t>
      </w:r>
      <w:r w:rsidRPr="00283806">
        <w:rPr>
          <w:spacing w:val="-10"/>
          <w:w w:val="105"/>
          <w:sz w:val="18"/>
        </w:rPr>
        <w:t xml:space="preserve"> </w:t>
      </w:r>
      <w:r w:rsidRPr="00283806">
        <w:rPr>
          <w:w w:val="105"/>
          <w:sz w:val="18"/>
        </w:rPr>
        <w:t>§</w:t>
      </w:r>
      <w:r w:rsidRPr="00283806">
        <w:rPr>
          <w:spacing w:val="-4"/>
          <w:w w:val="105"/>
          <w:sz w:val="18"/>
        </w:rPr>
        <w:t xml:space="preserve"> </w:t>
      </w:r>
      <w:r w:rsidRPr="00283806">
        <w:rPr>
          <w:w w:val="105"/>
          <w:sz w:val="18"/>
        </w:rPr>
        <w:t>271.1</w:t>
      </w:r>
      <w:r w:rsidRPr="00283806">
        <w:rPr>
          <w:spacing w:val="-10"/>
          <w:w w:val="105"/>
          <w:sz w:val="18"/>
        </w:rPr>
        <w:t xml:space="preserve"> </w:t>
      </w:r>
      <w:r w:rsidRPr="00283806">
        <w:rPr>
          <w:w w:val="105"/>
          <w:sz w:val="18"/>
        </w:rPr>
        <w:t>amend</w:t>
      </w:r>
      <w:r w:rsidRPr="00283806">
        <w:rPr>
          <w:spacing w:val="-11"/>
          <w:w w:val="105"/>
          <w:sz w:val="18"/>
        </w:rPr>
        <w:t xml:space="preserve"> </w:t>
      </w:r>
      <w:r w:rsidRPr="00283806">
        <w:rPr>
          <w:w w:val="105"/>
          <w:sz w:val="18"/>
        </w:rPr>
        <w:t>paragraph</w:t>
      </w:r>
      <w:r w:rsidRPr="00283806">
        <w:rPr>
          <w:spacing w:val="-10"/>
          <w:w w:val="105"/>
          <w:sz w:val="18"/>
        </w:rPr>
        <w:t xml:space="preserve"> </w:t>
      </w:r>
      <w:r w:rsidRPr="00283806">
        <w:rPr>
          <w:w w:val="105"/>
          <w:sz w:val="18"/>
        </w:rPr>
        <w:t xml:space="preserve">(j)(2) </w:t>
      </w:r>
      <w:r w:rsidRPr="00283806">
        <w:rPr>
          <w:spacing w:val="-4"/>
          <w:w w:val="105"/>
          <w:sz w:val="18"/>
        </w:rPr>
        <w:t>by:</w:t>
      </w:r>
    </w:p>
    <w:p w14:paraId="70FA2F92" w14:textId="77777777" w:rsidR="00D67C1E" w:rsidRPr="00283806" w:rsidRDefault="001265CA">
      <w:pPr>
        <w:pStyle w:val="ListParagraph"/>
        <w:numPr>
          <w:ilvl w:val="0"/>
          <w:numId w:val="2"/>
        </w:numPr>
        <w:tabs>
          <w:tab w:val="left" w:pos="144"/>
          <w:tab w:val="left" w:pos="309"/>
        </w:tabs>
        <w:spacing w:before="36" w:line="228" w:lineRule="auto"/>
        <w:ind w:right="310" w:hanging="1"/>
        <w:rPr>
          <w:sz w:val="18"/>
        </w:rPr>
      </w:pPr>
      <w:r w:rsidRPr="00283806">
        <w:rPr>
          <w:w w:val="105"/>
          <w:sz w:val="18"/>
        </w:rPr>
        <w:t xml:space="preserve">a. In table 1 adding the entry ‘‘December 10, 2024’’ in chronological </w:t>
      </w:r>
      <w:r w:rsidRPr="00283806">
        <w:rPr>
          <w:spacing w:val="-2"/>
          <w:w w:val="105"/>
          <w:sz w:val="18"/>
        </w:rPr>
        <w:t>order.</w:t>
      </w:r>
    </w:p>
    <w:p w14:paraId="48FFE196" w14:textId="77777777" w:rsidR="00D67C1E" w:rsidRPr="00283806" w:rsidRDefault="001265CA">
      <w:pPr>
        <w:pStyle w:val="ListParagraph"/>
        <w:numPr>
          <w:ilvl w:val="0"/>
          <w:numId w:val="2"/>
        </w:numPr>
        <w:tabs>
          <w:tab w:val="left" w:pos="144"/>
          <w:tab w:val="left" w:pos="309"/>
        </w:tabs>
        <w:spacing w:before="34" w:line="228" w:lineRule="auto"/>
        <w:ind w:right="310" w:hanging="1"/>
        <w:rPr>
          <w:sz w:val="18"/>
        </w:rPr>
      </w:pPr>
      <w:r w:rsidRPr="00283806">
        <w:rPr>
          <w:w w:val="105"/>
          <w:sz w:val="18"/>
        </w:rPr>
        <w:t xml:space="preserve">b. In table 2 adding the entry ‘‘December 10, 2024’’ in chronological </w:t>
      </w:r>
      <w:r w:rsidRPr="00283806">
        <w:rPr>
          <w:spacing w:val="-2"/>
          <w:w w:val="105"/>
          <w:sz w:val="18"/>
        </w:rPr>
        <w:t>order.</w:t>
      </w:r>
    </w:p>
    <w:p w14:paraId="1B7E008D" w14:textId="77777777" w:rsidR="00D67C1E" w:rsidRPr="00283806" w:rsidRDefault="001265CA">
      <w:pPr>
        <w:pStyle w:val="BodyText"/>
        <w:spacing w:before="26"/>
        <w:ind w:left="324"/>
      </w:pPr>
      <w:r w:rsidRPr="00283806">
        <w:rPr>
          <w:w w:val="105"/>
        </w:rPr>
        <w:t>The</w:t>
      </w:r>
      <w:r w:rsidRPr="00283806">
        <w:rPr>
          <w:spacing w:val="10"/>
          <w:w w:val="105"/>
        </w:rPr>
        <w:t xml:space="preserve"> </w:t>
      </w:r>
      <w:r w:rsidRPr="00283806">
        <w:rPr>
          <w:w w:val="105"/>
        </w:rPr>
        <w:t>additions</w:t>
      </w:r>
      <w:r w:rsidRPr="00283806">
        <w:rPr>
          <w:spacing w:val="11"/>
          <w:w w:val="105"/>
        </w:rPr>
        <w:t xml:space="preserve"> </w:t>
      </w:r>
      <w:r w:rsidRPr="00283806">
        <w:rPr>
          <w:w w:val="105"/>
        </w:rPr>
        <w:t>read</w:t>
      </w:r>
      <w:r w:rsidRPr="00283806">
        <w:rPr>
          <w:spacing w:val="11"/>
          <w:w w:val="105"/>
        </w:rPr>
        <w:t xml:space="preserve"> </w:t>
      </w:r>
      <w:r w:rsidRPr="00283806">
        <w:rPr>
          <w:w w:val="105"/>
        </w:rPr>
        <w:t>as</w:t>
      </w:r>
      <w:r w:rsidRPr="00283806">
        <w:rPr>
          <w:spacing w:val="11"/>
          <w:w w:val="105"/>
        </w:rPr>
        <w:t xml:space="preserve"> </w:t>
      </w:r>
      <w:r w:rsidRPr="00283806">
        <w:rPr>
          <w:spacing w:val="-2"/>
          <w:w w:val="105"/>
        </w:rPr>
        <w:t>follows:</w:t>
      </w:r>
    </w:p>
    <w:p w14:paraId="4BE7D885" w14:textId="77777777" w:rsidR="00D67C1E" w:rsidRPr="00283806" w:rsidRDefault="001265CA">
      <w:pPr>
        <w:spacing w:before="130"/>
        <w:ind w:left="144"/>
        <w:rPr>
          <w:rFonts w:ascii="Arial" w:hAnsi="Arial"/>
          <w:b/>
          <w:sz w:val="16"/>
        </w:rPr>
      </w:pPr>
      <w:r w:rsidRPr="00283806">
        <w:rPr>
          <w:rFonts w:ascii="Arial" w:hAnsi="Arial"/>
          <w:b/>
          <w:sz w:val="16"/>
        </w:rPr>
        <w:t>§</w:t>
      </w:r>
      <w:r w:rsidRPr="00283806">
        <w:rPr>
          <w:rFonts w:ascii="Arial" w:hAnsi="Arial"/>
          <w:b/>
          <w:spacing w:val="7"/>
          <w:sz w:val="16"/>
        </w:rPr>
        <w:t xml:space="preserve"> </w:t>
      </w:r>
      <w:r w:rsidRPr="00283806">
        <w:rPr>
          <w:rFonts w:ascii="Arial" w:hAnsi="Arial"/>
          <w:b/>
          <w:sz w:val="16"/>
        </w:rPr>
        <w:t>271.1</w:t>
      </w:r>
      <w:r w:rsidRPr="00283806">
        <w:rPr>
          <w:rFonts w:ascii="Arial" w:hAnsi="Arial"/>
          <w:b/>
          <w:spacing w:val="34"/>
          <w:sz w:val="16"/>
        </w:rPr>
        <w:t xml:space="preserve">  </w:t>
      </w:r>
      <w:r w:rsidRPr="00283806">
        <w:rPr>
          <w:rFonts w:ascii="Arial" w:hAnsi="Arial"/>
          <w:b/>
          <w:sz w:val="16"/>
        </w:rPr>
        <w:t>Purpose</w:t>
      </w:r>
      <w:r w:rsidRPr="00283806">
        <w:rPr>
          <w:rFonts w:ascii="Arial" w:hAnsi="Arial"/>
          <w:b/>
          <w:spacing w:val="-2"/>
          <w:sz w:val="16"/>
        </w:rPr>
        <w:t xml:space="preserve"> </w:t>
      </w:r>
      <w:r w:rsidRPr="00283806">
        <w:rPr>
          <w:rFonts w:ascii="Arial" w:hAnsi="Arial"/>
          <w:b/>
          <w:sz w:val="16"/>
        </w:rPr>
        <w:t>and</w:t>
      </w:r>
      <w:r w:rsidRPr="00283806">
        <w:rPr>
          <w:rFonts w:ascii="Arial" w:hAnsi="Arial"/>
          <w:b/>
          <w:spacing w:val="-2"/>
          <w:sz w:val="16"/>
        </w:rPr>
        <w:t xml:space="preserve"> scope.</w:t>
      </w:r>
    </w:p>
    <w:p w14:paraId="186A421B" w14:textId="77777777" w:rsidR="00D67C1E" w:rsidRPr="00283806" w:rsidRDefault="001265CA">
      <w:pPr>
        <w:tabs>
          <w:tab w:val="left" w:pos="600"/>
          <w:tab w:val="left" w:pos="1057"/>
          <w:tab w:val="left" w:pos="1514"/>
          <w:tab w:val="left" w:pos="1970"/>
        </w:tabs>
        <w:spacing w:before="35"/>
        <w:ind w:left="144"/>
        <w:rPr>
          <w:sz w:val="18"/>
        </w:rPr>
      </w:pPr>
      <w:r w:rsidRPr="00283806">
        <w:rPr>
          <w:spacing w:val="-10"/>
          <w:w w:val="130"/>
          <w:sz w:val="18"/>
        </w:rPr>
        <w:t>*</w:t>
      </w:r>
      <w:r w:rsidRPr="00283806">
        <w:rPr>
          <w:sz w:val="18"/>
        </w:rPr>
        <w:tab/>
      </w:r>
      <w:r w:rsidRPr="00283806">
        <w:rPr>
          <w:spacing w:val="-10"/>
          <w:w w:val="130"/>
          <w:sz w:val="18"/>
        </w:rPr>
        <w:t>*</w:t>
      </w:r>
      <w:r w:rsidRPr="00283806">
        <w:rPr>
          <w:sz w:val="18"/>
        </w:rPr>
        <w:tab/>
      </w:r>
      <w:r w:rsidRPr="00283806">
        <w:rPr>
          <w:spacing w:val="-12"/>
          <w:w w:val="130"/>
          <w:sz w:val="18"/>
        </w:rPr>
        <w:t>*</w:t>
      </w:r>
      <w:r w:rsidRPr="00283806">
        <w:rPr>
          <w:sz w:val="18"/>
        </w:rPr>
        <w:tab/>
      </w:r>
      <w:r w:rsidRPr="00283806">
        <w:rPr>
          <w:spacing w:val="-10"/>
          <w:w w:val="130"/>
          <w:sz w:val="18"/>
        </w:rPr>
        <w:t>*</w:t>
      </w:r>
      <w:r w:rsidRPr="00283806">
        <w:rPr>
          <w:sz w:val="18"/>
        </w:rPr>
        <w:tab/>
      </w:r>
      <w:r w:rsidRPr="00283806">
        <w:rPr>
          <w:spacing w:val="-10"/>
          <w:w w:val="130"/>
          <w:sz w:val="18"/>
        </w:rPr>
        <w:t>*</w:t>
      </w:r>
    </w:p>
    <w:p w14:paraId="3F76CCD7" w14:textId="77777777" w:rsidR="00D67C1E" w:rsidRPr="00283806" w:rsidRDefault="001265CA">
      <w:pPr>
        <w:pStyle w:val="BodyText"/>
        <w:spacing w:before="25"/>
        <w:ind w:left="324"/>
      </w:pPr>
      <w:r w:rsidRPr="00283806">
        <w:rPr>
          <w:w w:val="110"/>
        </w:rPr>
        <w:t>(j)</w:t>
      </w:r>
      <w:r w:rsidRPr="00283806">
        <w:rPr>
          <w:spacing w:val="-2"/>
          <w:w w:val="110"/>
        </w:rPr>
        <w:t xml:space="preserve"> </w:t>
      </w:r>
      <w:r w:rsidRPr="00283806">
        <w:rPr>
          <w:w w:val="120"/>
        </w:rPr>
        <w:t>*</w:t>
      </w:r>
      <w:r w:rsidRPr="00283806">
        <w:rPr>
          <w:spacing w:val="-6"/>
          <w:w w:val="120"/>
        </w:rPr>
        <w:t xml:space="preserve"> </w:t>
      </w:r>
      <w:r w:rsidRPr="00283806">
        <w:rPr>
          <w:w w:val="120"/>
        </w:rPr>
        <w:t>*</w:t>
      </w:r>
      <w:r w:rsidRPr="00283806">
        <w:rPr>
          <w:spacing w:val="-5"/>
          <w:w w:val="120"/>
        </w:rPr>
        <w:t xml:space="preserve"> </w:t>
      </w:r>
      <w:r w:rsidRPr="00283806">
        <w:rPr>
          <w:spacing w:val="-10"/>
          <w:w w:val="120"/>
        </w:rPr>
        <w:t>*</w:t>
      </w:r>
    </w:p>
    <w:p w14:paraId="4B9D3570" w14:textId="77777777" w:rsidR="00D67C1E" w:rsidRPr="00283806" w:rsidRDefault="001265CA">
      <w:pPr>
        <w:pStyle w:val="BodyText"/>
        <w:spacing w:before="25"/>
        <w:ind w:left="324"/>
      </w:pPr>
      <w:r w:rsidRPr="00283806">
        <w:rPr>
          <w:w w:val="110"/>
        </w:rPr>
        <w:t>(2)</w:t>
      </w:r>
      <w:r w:rsidRPr="00283806">
        <w:rPr>
          <w:spacing w:val="-5"/>
          <w:w w:val="110"/>
        </w:rPr>
        <w:t xml:space="preserve"> </w:t>
      </w:r>
      <w:r w:rsidRPr="00283806">
        <w:rPr>
          <w:w w:val="120"/>
        </w:rPr>
        <w:t>*</w:t>
      </w:r>
      <w:r w:rsidRPr="00283806">
        <w:rPr>
          <w:spacing w:val="-8"/>
          <w:w w:val="120"/>
        </w:rPr>
        <w:t xml:space="preserve"> </w:t>
      </w:r>
      <w:r w:rsidRPr="00283806">
        <w:rPr>
          <w:w w:val="120"/>
        </w:rPr>
        <w:t>*</w:t>
      </w:r>
      <w:r w:rsidRPr="00283806">
        <w:rPr>
          <w:spacing w:val="-8"/>
          <w:w w:val="120"/>
        </w:rPr>
        <w:t xml:space="preserve"> </w:t>
      </w:r>
      <w:r w:rsidRPr="00283806">
        <w:rPr>
          <w:spacing w:val="-10"/>
          <w:w w:val="120"/>
        </w:rPr>
        <w:t>*</w:t>
      </w:r>
    </w:p>
    <w:p w14:paraId="6917E1A7" w14:textId="77777777" w:rsidR="00D67C1E" w:rsidRPr="00283806" w:rsidRDefault="00D67C1E">
      <w:pPr>
        <w:sectPr w:rsidR="00D67C1E" w:rsidRPr="00283806">
          <w:pgSz w:w="12240" w:h="15840"/>
          <w:pgMar w:top="1040" w:right="780" w:bottom="280" w:left="740" w:header="627" w:footer="0" w:gutter="0"/>
          <w:cols w:num="3" w:space="720" w:equalWidth="0">
            <w:col w:w="3516" w:space="40"/>
            <w:col w:w="3500" w:space="39"/>
            <w:col w:w="3625"/>
          </w:cols>
        </w:sectPr>
      </w:pPr>
    </w:p>
    <w:p w14:paraId="5438A6F2" w14:textId="77777777" w:rsidR="00D67C1E" w:rsidRPr="00283806" w:rsidRDefault="001265CA">
      <w:pPr>
        <w:pStyle w:val="Heading1"/>
        <w:spacing w:before="129"/>
        <w:ind w:left="1105"/>
      </w:pPr>
      <w:r w:rsidRPr="00283806">
        <w:rPr>
          <w:smallCaps/>
        </w:rPr>
        <w:lastRenderedPageBreak/>
        <w:t>Table</w:t>
      </w:r>
      <w:r w:rsidRPr="00283806">
        <w:rPr>
          <w:smallCaps/>
          <w:spacing w:val="15"/>
        </w:rPr>
        <w:t xml:space="preserve"> </w:t>
      </w:r>
      <w:r w:rsidRPr="00283806">
        <w:rPr>
          <w:smallCaps/>
        </w:rPr>
        <w:t>1—Regulations</w:t>
      </w:r>
      <w:r w:rsidRPr="00283806">
        <w:rPr>
          <w:smallCaps/>
          <w:spacing w:val="17"/>
        </w:rPr>
        <w:t xml:space="preserve"> </w:t>
      </w:r>
      <w:r w:rsidRPr="00283806">
        <w:rPr>
          <w:smallCaps/>
        </w:rPr>
        <w:t>Implementing</w:t>
      </w:r>
      <w:r w:rsidRPr="00283806">
        <w:rPr>
          <w:smallCaps/>
          <w:spacing w:val="18"/>
        </w:rPr>
        <w:t xml:space="preserve"> </w:t>
      </w:r>
      <w:r w:rsidRPr="00283806">
        <w:rPr>
          <w:smallCaps/>
        </w:rPr>
        <w:t>the</w:t>
      </w:r>
      <w:r w:rsidRPr="00283806">
        <w:rPr>
          <w:smallCaps/>
          <w:spacing w:val="18"/>
        </w:rPr>
        <w:t xml:space="preserve"> </w:t>
      </w:r>
      <w:r w:rsidRPr="00283806">
        <w:rPr>
          <w:smallCaps/>
        </w:rPr>
        <w:t>Hazardous</w:t>
      </w:r>
      <w:r w:rsidRPr="00283806">
        <w:rPr>
          <w:smallCaps/>
          <w:spacing w:val="17"/>
        </w:rPr>
        <w:t xml:space="preserve"> </w:t>
      </w:r>
      <w:r w:rsidRPr="00283806">
        <w:rPr>
          <w:smallCaps/>
        </w:rPr>
        <w:t>and</w:t>
      </w:r>
      <w:r w:rsidRPr="00283806">
        <w:rPr>
          <w:smallCaps/>
          <w:spacing w:val="18"/>
        </w:rPr>
        <w:t xml:space="preserve"> </w:t>
      </w:r>
      <w:r w:rsidRPr="00283806">
        <w:rPr>
          <w:smallCaps/>
        </w:rPr>
        <w:t>Solid</w:t>
      </w:r>
      <w:r w:rsidRPr="00283806">
        <w:rPr>
          <w:smallCaps/>
          <w:spacing w:val="17"/>
        </w:rPr>
        <w:t xml:space="preserve"> </w:t>
      </w:r>
      <w:r w:rsidRPr="00283806">
        <w:rPr>
          <w:smallCaps/>
        </w:rPr>
        <w:t>Waste</w:t>
      </w:r>
      <w:r w:rsidRPr="00283806">
        <w:rPr>
          <w:smallCaps/>
          <w:spacing w:val="18"/>
        </w:rPr>
        <w:t xml:space="preserve"> </w:t>
      </w:r>
      <w:r w:rsidRPr="00283806">
        <w:rPr>
          <w:smallCaps/>
        </w:rPr>
        <w:t>Amendments</w:t>
      </w:r>
      <w:r w:rsidRPr="00283806">
        <w:rPr>
          <w:smallCaps/>
          <w:spacing w:val="18"/>
        </w:rPr>
        <w:t xml:space="preserve"> </w:t>
      </w:r>
      <w:r w:rsidRPr="00283806">
        <w:rPr>
          <w:smallCaps/>
        </w:rPr>
        <w:t>of</w:t>
      </w:r>
      <w:r w:rsidRPr="00283806">
        <w:rPr>
          <w:smallCaps/>
          <w:spacing w:val="18"/>
        </w:rPr>
        <w:t xml:space="preserve"> </w:t>
      </w:r>
      <w:r w:rsidRPr="00283806">
        <w:rPr>
          <w:smallCaps/>
          <w:spacing w:val="-4"/>
        </w:rPr>
        <w:t>1984</w:t>
      </w:r>
    </w:p>
    <w:p w14:paraId="1C69859B" w14:textId="77777777" w:rsidR="00D67C1E" w:rsidRPr="00283806" w:rsidRDefault="001265CA">
      <w:pPr>
        <w:pStyle w:val="BodyText"/>
        <w:spacing w:before="6"/>
        <w:ind w:left="0"/>
        <w:rPr>
          <w:rFonts w:ascii="Arial"/>
          <w:sz w:val="8"/>
        </w:rPr>
      </w:pPr>
      <w:r w:rsidRPr="00283806">
        <w:rPr>
          <w:noProof/>
        </w:rPr>
        <mc:AlternateContent>
          <mc:Choice Requires="wps">
            <w:drawing>
              <wp:anchor distT="0" distB="0" distL="0" distR="0" simplePos="0" relativeHeight="251697152" behindDoc="1" locked="0" layoutInCell="1" allowOverlap="1" wp14:anchorId="0BBE823D" wp14:editId="0E55DB15">
                <wp:simplePos x="0" y="0"/>
                <wp:positionH relativeFrom="page">
                  <wp:posOffset>571500</wp:posOffset>
                </wp:positionH>
                <wp:positionV relativeFrom="paragraph">
                  <wp:posOffset>77482</wp:posOffset>
                </wp:positionV>
                <wp:extent cx="6629400" cy="1270"/>
                <wp:effectExtent l="0" t="0" r="0" b="0"/>
                <wp:wrapTopAndBottom/>
                <wp:docPr id="131" name="Graphic 1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508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CB31E37" id="Graphic 131" o:spid="_x0000_s1026" alt="&quot;&quot;" style="position:absolute;margin-left:45pt;margin-top:6.1pt;width:522pt;height:.1pt;z-index:-251619328;visibility:visible;mso-wrap-style:square;mso-wrap-distance-left:0;mso-wrap-distance-top:0;mso-wrap-distance-right:0;mso-wrap-distance-bottom:0;mso-position-horizontal:absolute;mso-position-horizontal-relative:page;mso-position-vertical:absolute;mso-position-vertical-relative:text;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" path="m,l6629400,e" filled="f" strokeweight=".4pt">
                <v:path arrowok="t"/>
                <w10:wrap type="topAndBottom" anchorx="page"/>
              </v:shape>
            </w:pict>
          </mc:Fallback>
        </mc:AlternateContent>
      </w:r>
    </w:p>
    <w:p w14:paraId="1737502C" w14:textId="77777777" w:rsidR="00D67C1E" w:rsidRPr="00283806" w:rsidRDefault="001265CA">
      <w:pPr>
        <w:tabs>
          <w:tab w:val="left" w:pos="3435"/>
          <w:tab w:val="left" w:pos="5712"/>
          <w:tab w:val="left" w:pos="8868"/>
        </w:tabs>
        <w:spacing w:before="58"/>
        <w:ind w:left="751"/>
        <w:rPr>
          <w:rFonts w:ascii="Arial"/>
          <w:sz w:val="16"/>
        </w:rPr>
      </w:pPr>
      <w:r w:rsidRPr="00283806">
        <w:rPr>
          <w:rFonts w:ascii="Arial"/>
          <w:sz w:val="16"/>
        </w:rPr>
        <w:t>Promulgation</w:t>
      </w:r>
      <w:r w:rsidRPr="00283806">
        <w:rPr>
          <w:rFonts w:ascii="Arial"/>
          <w:spacing w:val="-2"/>
          <w:sz w:val="16"/>
        </w:rPr>
        <w:t xml:space="preserve"> </w:t>
      </w:r>
      <w:r w:rsidRPr="00283806">
        <w:rPr>
          <w:rFonts w:ascii="Arial"/>
          <w:spacing w:val="-4"/>
          <w:sz w:val="16"/>
        </w:rPr>
        <w:t>date</w:t>
      </w:r>
      <w:r w:rsidRPr="00283806">
        <w:rPr>
          <w:rFonts w:ascii="Arial"/>
          <w:sz w:val="16"/>
        </w:rPr>
        <w:tab/>
        <w:t>Title</w:t>
      </w:r>
      <w:r w:rsidRPr="00283806">
        <w:rPr>
          <w:rFonts w:ascii="Arial"/>
          <w:spacing w:val="8"/>
          <w:sz w:val="16"/>
        </w:rPr>
        <w:t xml:space="preserve"> </w:t>
      </w:r>
      <w:r w:rsidRPr="00283806">
        <w:rPr>
          <w:rFonts w:ascii="Arial"/>
          <w:sz w:val="16"/>
        </w:rPr>
        <w:t>of</w:t>
      </w:r>
      <w:r w:rsidRPr="00283806">
        <w:rPr>
          <w:rFonts w:ascii="Arial"/>
          <w:spacing w:val="8"/>
          <w:sz w:val="16"/>
        </w:rPr>
        <w:t xml:space="preserve"> </w:t>
      </w:r>
      <w:r w:rsidRPr="00283806">
        <w:rPr>
          <w:rFonts w:ascii="Arial"/>
          <w:spacing w:val="-2"/>
          <w:sz w:val="16"/>
        </w:rPr>
        <w:t>regulation</w:t>
      </w:r>
      <w:r w:rsidRPr="00283806">
        <w:rPr>
          <w:rFonts w:ascii="Arial"/>
          <w:sz w:val="16"/>
        </w:rPr>
        <w:tab/>
      </w:r>
      <w:r w:rsidRPr="00283806">
        <w:rPr>
          <w:rFonts w:ascii="Arial"/>
          <w:b/>
          <w:sz w:val="16"/>
        </w:rPr>
        <w:t>Federal</w:t>
      </w:r>
      <w:r w:rsidRPr="00283806">
        <w:rPr>
          <w:rFonts w:ascii="Arial"/>
          <w:b/>
          <w:spacing w:val="4"/>
          <w:sz w:val="16"/>
        </w:rPr>
        <w:t xml:space="preserve"> </w:t>
      </w:r>
      <w:r w:rsidRPr="00283806">
        <w:rPr>
          <w:rFonts w:ascii="Arial"/>
          <w:b/>
          <w:sz w:val="16"/>
        </w:rPr>
        <w:t>Register</w:t>
      </w:r>
      <w:r w:rsidRPr="00283806">
        <w:rPr>
          <w:rFonts w:ascii="Arial"/>
          <w:b/>
          <w:spacing w:val="5"/>
          <w:sz w:val="16"/>
        </w:rPr>
        <w:t xml:space="preserve"> </w:t>
      </w:r>
      <w:r w:rsidRPr="00283806">
        <w:rPr>
          <w:rFonts w:ascii="Arial"/>
          <w:spacing w:val="-2"/>
          <w:sz w:val="16"/>
        </w:rPr>
        <w:t>reference</w:t>
      </w:r>
      <w:r w:rsidRPr="00283806">
        <w:rPr>
          <w:rFonts w:ascii="Arial"/>
          <w:sz w:val="16"/>
        </w:rPr>
        <w:tab/>
        <w:t>Effective</w:t>
      </w:r>
      <w:r w:rsidRPr="00283806">
        <w:rPr>
          <w:rFonts w:ascii="Arial"/>
          <w:spacing w:val="6"/>
          <w:sz w:val="16"/>
        </w:rPr>
        <w:t xml:space="preserve"> </w:t>
      </w:r>
      <w:r w:rsidRPr="00283806">
        <w:rPr>
          <w:rFonts w:ascii="Arial"/>
          <w:spacing w:val="-4"/>
          <w:sz w:val="16"/>
        </w:rPr>
        <w:t>date</w:t>
      </w:r>
    </w:p>
    <w:p w14:paraId="400B58B0" w14:textId="77777777" w:rsidR="00D67C1E" w:rsidRPr="00283806" w:rsidRDefault="001265CA">
      <w:pPr>
        <w:pStyle w:val="BodyText"/>
        <w:ind w:left="0"/>
        <w:rPr>
          <w:rFonts w:ascii="Arial"/>
          <w:sz w:val="5"/>
        </w:rPr>
      </w:pPr>
      <w:r w:rsidRPr="00283806">
        <w:rPr>
          <w:noProof/>
        </w:rPr>
        <mc:AlternateContent>
          <mc:Choice Requires="wps">
            <w:drawing>
              <wp:anchor distT="0" distB="0" distL="0" distR="0" simplePos="0" relativeHeight="251699200" behindDoc="1" locked="0" layoutInCell="1" allowOverlap="1" wp14:anchorId="0A9282A7" wp14:editId="52CA695C">
                <wp:simplePos x="0" y="0"/>
                <wp:positionH relativeFrom="page">
                  <wp:posOffset>571500</wp:posOffset>
                </wp:positionH>
                <wp:positionV relativeFrom="paragraph">
                  <wp:posOffset>52079</wp:posOffset>
                </wp:positionV>
                <wp:extent cx="6629400" cy="1270"/>
                <wp:effectExtent l="0" t="0" r="0" b="0"/>
                <wp:wrapTopAndBottom/>
                <wp:docPr id="132" name="Graphic 1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508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F712740" id="Graphic 132" o:spid="_x0000_s1026" alt="&quot;&quot;" style="position:absolute;margin-left:45pt;margin-top:4.1pt;width:522pt;height:.1pt;z-index:-251617280;visibility:visible;mso-wrap-style:square;mso-wrap-distance-left:0;mso-wrap-distance-top:0;mso-wrap-distance-right:0;mso-wrap-distance-bottom:0;mso-position-horizontal:absolute;mso-position-horizontal-relative:page;mso-position-vertical:absolute;mso-position-vertical-relative:text;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" path="m,l6629400,e" filled="f" strokeweight=".4pt">
                <v:path arrowok="t"/>
                <w10:wrap type="topAndBottom" anchorx="page"/>
              </v:shape>
            </w:pict>
          </mc:Fallback>
        </mc:AlternateContent>
      </w:r>
    </w:p>
    <w:p w14:paraId="0E563454" w14:textId="77777777" w:rsidR="00D67C1E" w:rsidRPr="00283806" w:rsidRDefault="00D67C1E">
      <w:pPr>
        <w:pStyle w:val="BodyText"/>
        <w:spacing w:before="73"/>
        <w:ind w:left="0"/>
        <w:rPr>
          <w:rFonts w:ascii="Arial"/>
          <w:sz w:val="16"/>
        </w:rPr>
      </w:pPr>
    </w:p>
    <w:p w14:paraId="1C222C92" w14:textId="77777777" w:rsidR="00D67C1E" w:rsidRPr="00283806" w:rsidRDefault="001265CA">
      <w:pPr>
        <w:tabs>
          <w:tab w:val="left" w:pos="2344"/>
          <w:tab w:val="left" w:pos="3846"/>
          <w:tab w:val="left" w:pos="5348"/>
          <w:tab w:val="left" w:pos="6850"/>
          <w:tab w:val="left" w:pos="8353"/>
          <w:tab w:val="left" w:pos="9855"/>
        </w:tabs>
        <w:spacing w:before="1" w:line="176" w:lineRule="exact"/>
        <w:ind w:left="841"/>
        <w:rPr>
          <w:rFonts w:ascii="Arial"/>
          <w:sz w:val="16"/>
        </w:rPr>
      </w:pPr>
      <w:r w:rsidRPr="00283806">
        <w:rPr>
          <w:rFonts w:ascii="Arial"/>
          <w:spacing w:val="-10"/>
          <w:sz w:val="16"/>
        </w:rPr>
        <w:t>*</w:t>
      </w:r>
      <w:r w:rsidRPr="00283806">
        <w:rPr>
          <w:rFonts w:ascii="Arial"/>
          <w:sz w:val="16"/>
        </w:rPr>
        <w:tab/>
      </w:r>
      <w:r w:rsidRPr="00283806">
        <w:rPr>
          <w:rFonts w:ascii="Arial"/>
          <w:spacing w:val="-10"/>
          <w:sz w:val="16"/>
        </w:rPr>
        <w:t>*</w:t>
      </w:r>
      <w:r w:rsidRPr="00283806">
        <w:rPr>
          <w:rFonts w:ascii="Arial"/>
          <w:sz w:val="16"/>
        </w:rPr>
        <w:tab/>
      </w:r>
      <w:r w:rsidRPr="00283806">
        <w:rPr>
          <w:rFonts w:ascii="Arial"/>
          <w:spacing w:val="-10"/>
          <w:sz w:val="16"/>
        </w:rPr>
        <w:t>*</w:t>
      </w:r>
      <w:r w:rsidRPr="00283806">
        <w:rPr>
          <w:rFonts w:ascii="Arial"/>
          <w:sz w:val="16"/>
        </w:rPr>
        <w:tab/>
      </w:r>
      <w:r w:rsidRPr="00283806">
        <w:rPr>
          <w:rFonts w:ascii="Arial"/>
          <w:spacing w:val="-10"/>
          <w:sz w:val="16"/>
        </w:rPr>
        <w:t>*</w:t>
      </w:r>
      <w:r w:rsidRPr="00283806">
        <w:rPr>
          <w:rFonts w:ascii="Arial"/>
          <w:sz w:val="16"/>
        </w:rPr>
        <w:tab/>
      </w:r>
      <w:r w:rsidRPr="00283806">
        <w:rPr>
          <w:rFonts w:ascii="Arial"/>
          <w:spacing w:val="-10"/>
          <w:sz w:val="16"/>
        </w:rPr>
        <w:t>*</w:t>
      </w:r>
      <w:r w:rsidRPr="00283806">
        <w:rPr>
          <w:rFonts w:ascii="Arial"/>
          <w:sz w:val="16"/>
        </w:rPr>
        <w:tab/>
      </w:r>
      <w:r w:rsidRPr="00283806">
        <w:rPr>
          <w:rFonts w:ascii="Arial"/>
          <w:spacing w:val="-10"/>
          <w:sz w:val="16"/>
        </w:rPr>
        <w:t>*</w:t>
      </w:r>
      <w:r w:rsidRPr="00283806">
        <w:rPr>
          <w:rFonts w:ascii="Arial"/>
          <w:sz w:val="16"/>
        </w:rPr>
        <w:tab/>
      </w:r>
      <w:r w:rsidRPr="00283806">
        <w:rPr>
          <w:rFonts w:ascii="Arial"/>
          <w:spacing w:val="-10"/>
          <w:sz w:val="16"/>
        </w:rPr>
        <w:t>*</w:t>
      </w:r>
    </w:p>
    <w:p w14:paraId="66149D67" w14:textId="77777777" w:rsidR="00D67C1E" w:rsidRPr="00283806" w:rsidRDefault="00D67C1E">
      <w:pPr>
        <w:spacing w:line="176" w:lineRule="exact"/>
        <w:rPr>
          <w:rFonts w:ascii="Arial"/>
          <w:sz w:val="16"/>
        </w:rPr>
        <w:sectPr w:rsidR="00D67C1E" w:rsidRPr="00283806">
          <w:pgSz w:w="12240" w:h="15840"/>
          <w:pgMar w:top="1040" w:right="780" w:bottom="280" w:left="740" w:header="627" w:footer="0" w:gutter="0"/>
          <w:cols w:space="720"/>
        </w:sectPr>
      </w:pPr>
    </w:p>
    <w:p w14:paraId="3FE75362" w14:textId="77777777" w:rsidR="00D67C1E" w:rsidRPr="00283806" w:rsidRDefault="001265CA">
      <w:pPr>
        <w:tabs>
          <w:tab w:val="left" w:leader="dot" w:pos="2815"/>
        </w:tabs>
        <w:spacing w:before="3" w:line="182" w:lineRule="exact"/>
        <w:ind w:left="166"/>
        <w:rPr>
          <w:rFonts w:ascii="Arial"/>
          <w:sz w:val="16"/>
        </w:rPr>
      </w:pPr>
      <w:r w:rsidRPr="00283806">
        <w:rPr>
          <w:rFonts w:ascii="Arial"/>
          <w:sz w:val="16"/>
        </w:rPr>
        <w:t>December</w:t>
      </w:r>
      <w:r w:rsidRPr="00283806">
        <w:rPr>
          <w:rFonts w:ascii="Arial"/>
          <w:spacing w:val="4"/>
          <w:sz w:val="16"/>
        </w:rPr>
        <w:t xml:space="preserve"> </w:t>
      </w:r>
      <w:r w:rsidRPr="00283806">
        <w:rPr>
          <w:rFonts w:ascii="Arial"/>
          <w:sz w:val="16"/>
        </w:rPr>
        <w:t>10,</w:t>
      </w:r>
      <w:r w:rsidRPr="00283806">
        <w:rPr>
          <w:rFonts w:ascii="Arial"/>
          <w:spacing w:val="4"/>
          <w:sz w:val="16"/>
        </w:rPr>
        <w:t xml:space="preserve"> </w:t>
      </w:r>
      <w:proofErr w:type="gramStart"/>
      <w:r w:rsidRPr="00283806">
        <w:rPr>
          <w:rFonts w:ascii="Arial"/>
          <w:spacing w:val="-4"/>
          <w:sz w:val="16"/>
        </w:rPr>
        <w:t>2024</w:t>
      </w:r>
      <w:proofErr w:type="gramEnd"/>
      <w:r w:rsidRPr="00283806">
        <w:rPr>
          <w:rFonts w:ascii="Arial"/>
          <w:sz w:val="16"/>
        </w:rPr>
        <w:tab/>
        <w:t>Standards</w:t>
      </w:r>
      <w:r w:rsidRPr="00283806">
        <w:rPr>
          <w:rFonts w:ascii="Arial"/>
          <w:spacing w:val="19"/>
          <w:sz w:val="16"/>
        </w:rPr>
        <w:t xml:space="preserve"> </w:t>
      </w:r>
      <w:r w:rsidRPr="00283806">
        <w:rPr>
          <w:rFonts w:ascii="Arial"/>
          <w:sz w:val="16"/>
        </w:rPr>
        <w:t>for</w:t>
      </w:r>
      <w:r w:rsidRPr="00283806">
        <w:rPr>
          <w:rFonts w:ascii="Arial"/>
          <w:spacing w:val="20"/>
          <w:sz w:val="16"/>
        </w:rPr>
        <w:t xml:space="preserve"> </w:t>
      </w:r>
      <w:r w:rsidRPr="00283806">
        <w:rPr>
          <w:rFonts w:ascii="Arial"/>
          <w:sz w:val="16"/>
        </w:rPr>
        <w:t>the</w:t>
      </w:r>
      <w:r w:rsidRPr="00283806">
        <w:rPr>
          <w:rFonts w:ascii="Arial"/>
          <w:spacing w:val="20"/>
          <w:sz w:val="16"/>
        </w:rPr>
        <w:t xml:space="preserve"> </w:t>
      </w:r>
      <w:r w:rsidRPr="00283806">
        <w:rPr>
          <w:rFonts w:ascii="Arial"/>
          <w:sz w:val="16"/>
        </w:rPr>
        <w:t>Management</w:t>
      </w:r>
      <w:r w:rsidRPr="00283806">
        <w:rPr>
          <w:rFonts w:ascii="Arial"/>
          <w:spacing w:val="20"/>
          <w:sz w:val="16"/>
        </w:rPr>
        <w:t xml:space="preserve"> </w:t>
      </w:r>
      <w:r w:rsidRPr="00283806">
        <w:rPr>
          <w:rFonts w:ascii="Arial"/>
          <w:spacing w:val="-5"/>
          <w:sz w:val="16"/>
        </w:rPr>
        <w:t>of</w:t>
      </w:r>
    </w:p>
    <w:p w14:paraId="28769DB6" w14:textId="77777777" w:rsidR="00D67C1E" w:rsidRPr="00283806" w:rsidRDefault="001265CA">
      <w:pPr>
        <w:spacing w:before="1" w:line="235" w:lineRule="auto"/>
        <w:ind w:left="2975"/>
        <w:rPr>
          <w:rFonts w:ascii="Arial"/>
          <w:sz w:val="16"/>
        </w:rPr>
      </w:pPr>
      <w:r w:rsidRPr="00283806">
        <w:rPr>
          <w:rFonts w:ascii="Arial"/>
          <w:sz w:val="16"/>
        </w:rPr>
        <w:t>Ignitable</w:t>
      </w:r>
      <w:r w:rsidRPr="00283806">
        <w:rPr>
          <w:rFonts w:ascii="Arial"/>
          <w:spacing w:val="-1"/>
          <w:sz w:val="16"/>
        </w:rPr>
        <w:t xml:space="preserve"> </w:t>
      </w:r>
      <w:r w:rsidRPr="00283806">
        <w:rPr>
          <w:rFonts w:ascii="Arial"/>
          <w:sz w:val="16"/>
        </w:rPr>
        <w:t>Spent</w:t>
      </w:r>
      <w:r w:rsidRPr="00283806">
        <w:rPr>
          <w:rFonts w:ascii="Arial"/>
          <w:spacing w:val="-1"/>
          <w:sz w:val="16"/>
        </w:rPr>
        <w:t xml:space="preserve"> </w:t>
      </w:r>
      <w:r w:rsidRPr="00283806">
        <w:rPr>
          <w:rFonts w:ascii="Arial"/>
          <w:sz w:val="16"/>
        </w:rPr>
        <w:t>Refrigerants</w:t>
      </w:r>
      <w:r w:rsidRPr="00283806">
        <w:rPr>
          <w:rFonts w:ascii="Arial"/>
          <w:spacing w:val="-1"/>
          <w:sz w:val="16"/>
        </w:rPr>
        <w:t xml:space="preserve"> </w:t>
      </w:r>
      <w:r w:rsidRPr="00283806">
        <w:rPr>
          <w:rFonts w:ascii="Arial"/>
          <w:sz w:val="16"/>
        </w:rPr>
        <w:t>Re- cycled for Reuse.</w:t>
      </w:r>
    </w:p>
    <w:p w14:paraId="698D110D" w14:textId="77777777" w:rsidR="00D67C1E" w:rsidRPr="00283806" w:rsidRDefault="001265CA">
      <w:pPr>
        <w:spacing w:before="6" w:line="235" w:lineRule="auto"/>
        <w:ind w:left="286" w:hanging="160"/>
        <w:rPr>
          <w:rFonts w:ascii="Arial"/>
          <w:sz w:val="16"/>
        </w:rPr>
      </w:pPr>
      <w:r w:rsidRPr="00283806">
        <w:br w:type="column"/>
      </w:r>
      <w:r w:rsidRPr="00283806">
        <w:rPr>
          <w:rFonts w:ascii="Arial"/>
          <w:sz w:val="16"/>
        </w:rPr>
        <w:t>[</w:t>
      </w:r>
      <w:r w:rsidRPr="00283806">
        <w:rPr>
          <w:rFonts w:ascii="Arial"/>
          <w:b/>
          <w:sz w:val="16"/>
        </w:rPr>
        <w:t>Federal</w:t>
      </w:r>
      <w:r w:rsidRPr="00283806">
        <w:rPr>
          <w:rFonts w:ascii="Arial"/>
          <w:b/>
          <w:spacing w:val="37"/>
          <w:sz w:val="16"/>
        </w:rPr>
        <w:t xml:space="preserve"> </w:t>
      </w:r>
      <w:r w:rsidRPr="00283806">
        <w:rPr>
          <w:rFonts w:ascii="Arial"/>
          <w:b/>
          <w:sz w:val="16"/>
        </w:rPr>
        <w:t>Register</w:t>
      </w:r>
      <w:r w:rsidRPr="00283806">
        <w:rPr>
          <w:rFonts w:ascii="Arial"/>
          <w:b/>
          <w:spacing w:val="37"/>
          <w:sz w:val="16"/>
        </w:rPr>
        <w:t xml:space="preserve"> </w:t>
      </w:r>
      <w:r w:rsidRPr="00283806">
        <w:rPr>
          <w:rFonts w:ascii="Arial"/>
          <w:sz w:val="16"/>
        </w:rPr>
        <w:t>citation</w:t>
      </w:r>
      <w:r w:rsidRPr="00283806">
        <w:rPr>
          <w:rFonts w:ascii="Arial"/>
          <w:spacing w:val="37"/>
          <w:sz w:val="16"/>
        </w:rPr>
        <w:t xml:space="preserve"> </w:t>
      </w:r>
      <w:r w:rsidRPr="00283806">
        <w:rPr>
          <w:rFonts w:ascii="Arial"/>
          <w:sz w:val="16"/>
        </w:rPr>
        <w:t>of</w:t>
      </w:r>
      <w:r w:rsidRPr="00283806">
        <w:rPr>
          <w:rFonts w:ascii="Arial"/>
          <w:spacing w:val="37"/>
          <w:sz w:val="16"/>
        </w:rPr>
        <w:t xml:space="preserve"> </w:t>
      </w:r>
      <w:r w:rsidRPr="00283806">
        <w:rPr>
          <w:rFonts w:ascii="Arial"/>
          <w:sz w:val="16"/>
        </w:rPr>
        <w:t>the final rule].</w:t>
      </w:r>
    </w:p>
    <w:p w14:paraId="63D419EE" w14:textId="77777777" w:rsidR="00D67C1E" w:rsidRPr="00283806" w:rsidRDefault="001265CA">
      <w:pPr>
        <w:spacing w:before="6" w:line="235" w:lineRule="auto"/>
        <w:ind w:left="286" w:right="119" w:hanging="160"/>
        <w:rPr>
          <w:rFonts w:ascii="Arial"/>
          <w:sz w:val="16"/>
        </w:rPr>
      </w:pPr>
      <w:r w:rsidRPr="00283806">
        <w:br w:type="column"/>
      </w:r>
      <w:r w:rsidRPr="00283806">
        <w:rPr>
          <w:rFonts w:ascii="Arial"/>
          <w:sz w:val="16"/>
        </w:rPr>
        <w:t>[Date</w:t>
      </w:r>
      <w:r w:rsidRPr="00283806">
        <w:rPr>
          <w:rFonts w:ascii="Arial"/>
          <w:spacing w:val="40"/>
          <w:sz w:val="16"/>
        </w:rPr>
        <w:t xml:space="preserve"> </w:t>
      </w:r>
      <w:r w:rsidRPr="00283806">
        <w:rPr>
          <w:rFonts w:ascii="Arial"/>
          <w:sz w:val="16"/>
        </w:rPr>
        <w:t>of</w:t>
      </w:r>
      <w:r w:rsidRPr="00283806">
        <w:rPr>
          <w:rFonts w:ascii="Arial"/>
          <w:spacing w:val="40"/>
          <w:sz w:val="16"/>
        </w:rPr>
        <w:t xml:space="preserve"> </w:t>
      </w:r>
      <w:r w:rsidRPr="00283806">
        <w:rPr>
          <w:rFonts w:ascii="Arial"/>
          <w:sz w:val="16"/>
        </w:rPr>
        <w:t>publication</w:t>
      </w:r>
      <w:r w:rsidRPr="00283806">
        <w:rPr>
          <w:rFonts w:ascii="Arial"/>
          <w:spacing w:val="40"/>
          <w:sz w:val="16"/>
        </w:rPr>
        <w:t xml:space="preserve"> </w:t>
      </w:r>
      <w:r w:rsidRPr="00283806">
        <w:rPr>
          <w:rFonts w:ascii="Arial"/>
          <w:sz w:val="16"/>
        </w:rPr>
        <w:t>of</w:t>
      </w:r>
      <w:r w:rsidRPr="00283806">
        <w:rPr>
          <w:rFonts w:ascii="Arial"/>
          <w:spacing w:val="40"/>
          <w:sz w:val="16"/>
        </w:rPr>
        <w:t xml:space="preserve"> </w:t>
      </w:r>
      <w:r w:rsidRPr="00283806">
        <w:rPr>
          <w:rFonts w:ascii="Arial"/>
          <w:sz w:val="16"/>
        </w:rPr>
        <w:t>the</w:t>
      </w:r>
      <w:r w:rsidRPr="00283806">
        <w:rPr>
          <w:rFonts w:ascii="Arial"/>
          <w:spacing w:val="40"/>
          <w:sz w:val="16"/>
        </w:rPr>
        <w:t xml:space="preserve"> </w:t>
      </w:r>
      <w:r w:rsidRPr="00283806">
        <w:rPr>
          <w:rFonts w:ascii="Arial"/>
          <w:sz w:val="16"/>
        </w:rPr>
        <w:t xml:space="preserve">final rule in the </w:t>
      </w:r>
      <w:r w:rsidRPr="00283806">
        <w:rPr>
          <w:rFonts w:ascii="Arial"/>
          <w:b/>
          <w:sz w:val="16"/>
        </w:rPr>
        <w:t>Federal Register</w:t>
      </w:r>
      <w:r w:rsidRPr="00283806">
        <w:rPr>
          <w:rFonts w:ascii="Arial"/>
          <w:sz w:val="16"/>
        </w:rPr>
        <w:t>].</w:t>
      </w:r>
    </w:p>
    <w:p w14:paraId="5AF3A31D" w14:textId="77777777" w:rsidR="00D67C1E" w:rsidRPr="00283806" w:rsidRDefault="00D67C1E">
      <w:pPr>
        <w:spacing w:line="235" w:lineRule="auto"/>
        <w:rPr>
          <w:rFonts w:ascii="Arial"/>
          <w:sz w:val="16"/>
        </w:rPr>
        <w:sectPr w:rsidR="00D67C1E" w:rsidRPr="00283806">
          <w:type w:val="continuous"/>
          <w:pgSz w:w="12240" w:h="15840"/>
          <w:pgMar w:top="880" w:right="780" w:bottom="280" w:left="740" w:header="627" w:footer="0" w:gutter="0"/>
          <w:cols w:num="3" w:space="720" w:equalWidth="0">
            <w:col w:w="5300" w:space="40"/>
            <w:col w:w="2610" w:space="39"/>
            <w:col w:w="2731"/>
          </w:cols>
        </w:sectPr>
      </w:pPr>
    </w:p>
    <w:p w14:paraId="4FC57FB4" w14:textId="77777777" w:rsidR="00D67C1E" w:rsidRPr="00283806" w:rsidRDefault="00D67C1E">
      <w:pPr>
        <w:pStyle w:val="BodyText"/>
        <w:spacing w:before="9"/>
        <w:ind w:left="0"/>
        <w:rPr>
          <w:rFonts w:ascii="Arial"/>
          <w:sz w:val="4"/>
        </w:rPr>
      </w:pPr>
    </w:p>
    <w:p w14:paraId="66C0F301" w14:textId="77777777" w:rsidR="00D67C1E" w:rsidRPr="00283806" w:rsidRDefault="001265CA">
      <w:pPr>
        <w:pStyle w:val="BodyText"/>
        <w:spacing w:line="20" w:lineRule="exact"/>
        <w:rPr>
          <w:rFonts w:ascii="Arial"/>
          <w:sz w:val="2"/>
        </w:rPr>
      </w:pPr>
      <w:r w:rsidRPr="00283806">
        <w:rPr>
          <w:rFonts w:ascii="Arial"/>
          <w:noProof/>
          <w:sz w:val="2"/>
        </w:rPr>
        <mc:AlternateContent>
          <mc:Choice Requires="wpg">
            <w:drawing>
              <wp:inline distT="0" distB="0" distL="0" distR="0" wp14:anchorId="05C9C81A" wp14:editId="309DF60C">
                <wp:extent cx="6629400" cy="5080"/>
                <wp:effectExtent l="9525" t="0" r="0" b="4445"/>
                <wp:docPr id="133" name="Group 1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29400" cy="5080"/>
                          <a:chOff x="0" y="0"/>
                          <a:chExt cx="6629400" cy="5080"/>
                        </a:xfrm>
                      </wpg:grpSpPr>
                      <wps:wsp>
                        <wps:cNvPr id="134" name="Graphic 134"/>
                        <wps:cNvSpPr/>
                        <wps:spPr>
                          <a:xfrm>
                            <a:off x="0" y="2540"/>
                            <a:ext cx="6629400" cy="1270"/>
                          </a:xfrm>
                          <a:custGeom>
                            <a:avLst/>
                            <a:gdLst/>
                            <a:ahLst/>
                            <a:cxnLst/>
                            <a:rect l="l" t="t" r="r" b="b"/>
                            <a:pathLst>
                              <a:path w="6629400">
                                <a:moveTo>
                                  <a:pt x="0" y="0"/>
                                </a:moveTo>
                                <a:lnTo>
                                  <a:pt x="6629400" y="0"/>
                                </a:lnTo>
                              </a:path>
                            </a:pathLst>
                          </a:custGeom>
                          <a:ln w="508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A6D422E" id="Group 133" o:spid="_x0000_s1026" alt="&quot;&quot;" style="width:522pt;height:.4pt;mso-position-horizontal-relative:char;mso-position-vertical-relative:line" coordsize="6629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">
                <v:shape id="Graphic 134" o:spid="_x0000_s1027" style="position:absolute;top:25;width:66294;height:13;visibility:visible;mso-wrap-style:square;v-text-anchor:top" coordsize="6629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" path="m,l6629400,e" filled="f" strokeweight=".4pt">
                  <v:path arrowok="t"/>
                </v:shape>
                <w10:anchorlock/>
              </v:group>
            </w:pict>
          </mc:Fallback>
        </mc:AlternateContent>
      </w:r>
    </w:p>
    <w:p w14:paraId="13376CAB" w14:textId="77777777" w:rsidR="00D67C1E" w:rsidRPr="00283806" w:rsidRDefault="001265CA">
      <w:pPr>
        <w:spacing w:before="57" w:line="208" w:lineRule="auto"/>
        <w:ind w:left="159" w:right="118" w:firstLine="160"/>
        <w:jc w:val="both"/>
        <w:rPr>
          <w:rFonts w:ascii="Arial"/>
          <w:sz w:val="16"/>
        </w:rPr>
      </w:pPr>
      <w:r w:rsidRPr="00283806">
        <w:rPr>
          <w:rFonts w:ascii="Arial"/>
          <w:position w:val="4"/>
          <w:sz w:val="10"/>
        </w:rPr>
        <w:t>1</w:t>
      </w:r>
      <w:r w:rsidRPr="00283806">
        <w:rPr>
          <w:rFonts w:ascii="Arial"/>
          <w:spacing w:val="-3"/>
          <w:position w:val="4"/>
          <w:sz w:val="10"/>
        </w:rPr>
        <w:t xml:space="preserve"> </w:t>
      </w:r>
      <w:r w:rsidRPr="00283806">
        <w:rPr>
          <w:rFonts w:ascii="Arial"/>
          <w:sz w:val="16"/>
        </w:rPr>
        <w:t xml:space="preserve">These regulations implement HSWA only to the extent that they apply to tank systems owned or operated by small quantity generators, </w:t>
      </w:r>
      <w:proofErr w:type="gramStart"/>
      <w:r w:rsidRPr="00283806">
        <w:rPr>
          <w:rFonts w:ascii="Arial"/>
          <w:sz w:val="16"/>
        </w:rPr>
        <w:t>es</w:t>
      </w:r>
      <w:proofErr w:type="gramEnd"/>
      <w:r w:rsidRPr="00283806">
        <w:rPr>
          <w:rFonts w:ascii="Arial"/>
          <w:sz w:val="16"/>
        </w:rPr>
        <w:t xml:space="preserve">- </w:t>
      </w:r>
      <w:proofErr w:type="spellStart"/>
      <w:r w:rsidRPr="00283806">
        <w:rPr>
          <w:rFonts w:ascii="Arial"/>
          <w:sz w:val="16"/>
        </w:rPr>
        <w:t>tablish</w:t>
      </w:r>
      <w:proofErr w:type="spellEnd"/>
      <w:r w:rsidRPr="00283806">
        <w:rPr>
          <w:rFonts w:ascii="Arial"/>
          <w:sz w:val="16"/>
        </w:rPr>
        <w:t xml:space="preserve"> leak detection requirements for all new underground tank </w:t>
      </w:r>
      <w:proofErr w:type="gramStart"/>
      <w:r w:rsidRPr="00283806">
        <w:rPr>
          <w:rFonts w:ascii="Arial"/>
          <w:sz w:val="16"/>
        </w:rPr>
        <w:t>systems, and</w:t>
      </w:r>
      <w:proofErr w:type="gramEnd"/>
      <w:r w:rsidRPr="00283806">
        <w:rPr>
          <w:rFonts w:ascii="Arial"/>
          <w:sz w:val="16"/>
        </w:rPr>
        <w:t xml:space="preserve"> establish permitting standards for underground tank systems that cannot be entered for inspection.</w:t>
      </w:r>
    </w:p>
    <w:p w14:paraId="5050A6E6" w14:textId="77777777" w:rsidR="00D67C1E" w:rsidRPr="00283806" w:rsidRDefault="001265CA">
      <w:pPr>
        <w:spacing w:line="208" w:lineRule="auto"/>
        <w:ind w:left="159" w:right="118" w:firstLine="160"/>
        <w:jc w:val="both"/>
        <w:rPr>
          <w:rFonts w:ascii="Arial"/>
          <w:sz w:val="16"/>
        </w:rPr>
      </w:pPr>
      <w:r w:rsidRPr="00283806">
        <w:rPr>
          <w:rFonts w:ascii="Arial"/>
          <w:position w:val="4"/>
          <w:sz w:val="10"/>
        </w:rPr>
        <w:t>2</w:t>
      </w:r>
      <w:r w:rsidRPr="00283806">
        <w:rPr>
          <w:rFonts w:ascii="Arial"/>
          <w:spacing w:val="-3"/>
          <w:position w:val="4"/>
          <w:sz w:val="10"/>
        </w:rPr>
        <w:t xml:space="preserve"> </w:t>
      </w:r>
      <w:r w:rsidRPr="00283806">
        <w:rPr>
          <w:rFonts w:ascii="Arial"/>
          <w:sz w:val="16"/>
        </w:rPr>
        <w:t>These regulations, including test methods for benzo(k)fluoranthene and technical standards for drip pads, implement HSWA only to the extent that</w:t>
      </w:r>
      <w:r w:rsidRPr="00283806">
        <w:rPr>
          <w:rFonts w:ascii="Arial"/>
          <w:spacing w:val="26"/>
          <w:sz w:val="16"/>
        </w:rPr>
        <w:t xml:space="preserve"> </w:t>
      </w:r>
      <w:r w:rsidRPr="00283806">
        <w:rPr>
          <w:rFonts w:ascii="Arial"/>
          <w:sz w:val="16"/>
        </w:rPr>
        <w:t>they</w:t>
      </w:r>
      <w:r w:rsidRPr="00283806">
        <w:rPr>
          <w:rFonts w:ascii="Arial"/>
          <w:spacing w:val="26"/>
          <w:sz w:val="16"/>
        </w:rPr>
        <w:t xml:space="preserve"> </w:t>
      </w:r>
      <w:r w:rsidRPr="00283806">
        <w:rPr>
          <w:rFonts w:ascii="Arial"/>
          <w:sz w:val="16"/>
        </w:rPr>
        <w:t>apply</w:t>
      </w:r>
      <w:r w:rsidRPr="00283806">
        <w:rPr>
          <w:rFonts w:ascii="Arial"/>
          <w:spacing w:val="26"/>
          <w:sz w:val="16"/>
        </w:rPr>
        <w:t xml:space="preserve"> </w:t>
      </w:r>
      <w:r w:rsidRPr="00283806">
        <w:rPr>
          <w:rFonts w:ascii="Arial"/>
          <w:sz w:val="16"/>
        </w:rPr>
        <w:t>to</w:t>
      </w:r>
      <w:r w:rsidRPr="00283806">
        <w:rPr>
          <w:rFonts w:ascii="Arial"/>
          <w:spacing w:val="26"/>
          <w:sz w:val="16"/>
        </w:rPr>
        <w:t xml:space="preserve"> </w:t>
      </w:r>
      <w:r w:rsidRPr="00283806">
        <w:rPr>
          <w:rFonts w:ascii="Arial"/>
          <w:sz w:val="16"/>
        </w:rPr>
        <w:t>the</w:t>
      </w:r>
      <w:r w:rsidRPr="00283806">
        <w:rPr>
          <w:rFonts w:ascii="Arial"/>
          <w:spacing w:val="26"/>
          <w:sz w:val="16"/>
        </w:rPr>
        <w:t xml:space="preserve"> </w:t>
      </w:r>
      <w:r w:rsidRPr="00283806">
        <w:rPr>
          <w:rFonts w:ascii="Arial"/>
          <w:sz w:val="16"/>
        </w:rPr>
        <w:t>listing</w:t>
      </w:r>
      <w:r w:rsidRPr="00283806">
        <w:rPr>
          <w:rFonts w:ascii="Arial"/>
          <w:spacing w:val="26"/>
          <w:sz w:val="16"/>
        </w:rPr>
        <w:t xml:space="preserve"> </w:t>
      </w:r>
      <w:r w:rsidRPr="00283806">
        <w:rPr>
          <w:rFonts w:ascii="Arial"/>
          <w:sz w:val="16"/>
        </w:rPr>
        <w:t>of</w:t>
      </w:r>
      <w:r w:rsidRPr="00283806">
        <w:rPr>
          <w:rFonts w:ascii="Arial"/>
          <w:spacing w:val="26"/>
          <w:sz w:val="16"/>
        </w:rPr>
        <w:t xml:space="preserve"> </w:t>
      </w:r>
      <w:r w:rsidRPr="00283806">
        <w:rPr>
          <w:rFonts w:ascii="Arial"/>
          <w:sz w:val="16"/>
        </w:rPr>
        <w:t>Hazardous</w:t>
      </w:r>
      <w:r w:rsidRPr="00283806">
        <w:rPr>
          <w:rFonts w:ascii="Arial"/>
          <w:spacing w:val="26"/>
          <w:sz w:val="16"/>
        </w:rPr>
        <w:t xml:space="preserve"> </w:t>
      </w:r>
      <w:r w:rsidRPr="00283806">
        <w:rPr>
          <w:rFonts w:ascii="Arial"/>
          <w:sz w:val="16"/>
        </w:rPr>
        <w:t>Waste</w:t>
      </w:r>
      <w:r w:rsidRPr="00283806">
        <w:rPr>
          <w:rFonts w:ascii="Arial"/>
          <w:spacing w:val="26"/>
          <w:sz w:val="16"/>
        </w:rPr>
        <w:t xml:space="preserve"> </w:t>
      </w:r>
      <w:r w:rsidRPr="00283806">
        <w:rPr>
          <w:rFonts w:ascii="Arial"/>
          <w:sz w:val="16"/>
        </w:rPr>
        <w:t>No.</w:t>
      </w:r>
      <w:r w:rsidRPr="00283806">
        <w:rPr>
          <w:rFonts w:ascii="Arial"/>
          <w:spacing w:val="26"/>
          <w:sz w:val="16"/>
        </w:rPr>
        <w:t xml:space="preserve"> </w:t>
      </w:r>
      <w:r w:rsidRPr="00283806">
        <w:rPr>
          <w:rFonts w:ascii="Arial"/>
          <w:sz w:val="16"/>
        </w:rPr>
        <w:t>F032,</w:t>
      </w:r>
      <w:r w:rsidRPr="00283806">
        <w:rPr>
          <w:rFonts w:ascii="Arial"/>
          <w:spacing w:val="26"/>
          <w:sz w:val="16"/>
        </w:rPr>
        <w:t xml:space="preserve"> </w:t>
      </w:r>
      <w:r w:rsidRPr="00283806">
        <w:rPr>
          <w:rFonts w:ascii="Arial"/>
          <w:sz w:val="16"/>
        </w:rPr>
        <w:t>and</w:t>
      </w:r>
      <w:r w:rsidRPr="00283806">
        <w:rPr>
          <w:rFonts w:ascii="Arial"/>
          <w:spacing w:val="26"/>
          <w:sz w:val="16"/>
        </w:rPr>
        <w:t xml:space="preserve"> </w:t>
      </w:r>
      <w:proofErr w:type="gramStart"/>
      <w:r w:rsidRPr="00283806">
        <w:rPr>
          <w:rFonts w:ascii="Arial"/>
          <w:sz w:val="16"/>
        </w:rPr>
        <w:t>wastes</w:t>
      </w:r>
      <w:proofErr w:type="gramEnd"/>
      <w:r w:rsidRPr="00283806">
        <w:rPr>
          <w:rFonts w:ascii="Arial"/>
          <w:spacing w:val="26"/>
          <w:sz w:val="16"/>
        </w:rPr>
        <w:t xml:space="preserve"> </w:t>
      </w:r>
      <w:r w:rsidRPr="00283806">
        <w:rPr>
          <w:rFonts w:ascii="Arial"/>
          <w:sz w:val="16"/>
        </w:rPr>
        <w:t>that</w:t>
      </w:r>
      <w:r w:rsidRPr="00283806">
        <w:rPr>
          <w:rFonts w:ascii="Arial"/>
          <w:spacing w:val="26"/>
          <w:sz w:val="16"/>
        </w:rPr>
        <w:t xml:space="preserve"> </w:t>
      </w:r>
      <w:r w:rsidRPr="00283806">
        <w:rPr>
          <w:rFonts w:ascii="Arial"/>
          <w:sz w:val="16"/>
        </w:rPr>
        <w:t>are</w:t>
      </w:r>
      <w:r w:rsidRPr="00283806">
        <w:rPr>
          <w:rFonts w:ascii="Arial"/>
          <w:spacing w:val="26"/>
          <w:sz w:val="16"/>
        </w:rPr>
        <w:t xml:space="preserve"> </w:t>
      </w:r>
      <w:r w:rsidRPr="00283806">
        <w:rPr>
          <w:rFonts w:ascii="Arial"/>
          <w:sz w:val="16"/>
        </w:rPr>
        <w:t>hazardous</w:t>
      </w:r>
      <w:r w:rsidRPr="00283806">
        <w:rPr>
          <w:rFonts w:ascii="Arial"/>
          <w:spacing w:val="26"/>
          <w:sz w:val="16"/>
        </w:rPr>
        <w:t xml:space="preserve"> </w:t>
      </w:r>
      <w:r w:rsidRPr="00283806">
        <w:rPr>
          <w:rFonts w:ascii="Arial"/>
          <w:sz w:val="16"/>
        </w:rPr>
        <w:t>because</w:t>
      </w:r>
      <w:r w:rsidRPr="00283806">
        <w:rPr>
          <w:rFonts w:ascii="Arial"/>
          <w:spacing w:val="26"/>
          <w:sz w:val="16"/>
        </w:rPr>
        <w:t xml:space="preserve"> </w:t>
      </w:r>
      <w:r w:rsidRPr="00283806">
        <w:rPr>
          <w:rFonts w:ascii="Arial"/>
          <w:sz w:val="16"/>
        </w:rPr>
        <w:t>they</w:t>
      </w:r>
      <w:r w:rsidRPr="00283806">
        <w:rPr>
          <w:rFonts w:ascii="Arial"/>
          <w:spacing w:val="26"/>
          <w:sz w:val="16"/>
        </w:rPr>
        <w:t xml:space="preserve"> </w:t>
      </w:r>
      <w:r w:rsidRPr="00283806">
        <w:rPr>
          <w:rFonts w:ascii="Arial"/>
          <w:sz w:val="16"/>
        </w:rPr>
        <w:t>exhibit</w:t>
      </w:r>
      <w:r w:rsidRPr="00283806">
        <w:rPr>
          <w:rFonts w:ascii="Arial"/>
          <w:spacing w:val="26"/>
          <w:sz w:val="16"/>
        </w:rPr>
        <w:t xml:space="preserve"> </w:t>
      </w:r>
      <w:r w:rsidRPr="00283806">
        <w:rPr>
          <w:rFonts w:ascii="Arial"/>
          <w:sz w:val="16"/>
        </w:rPr>
        <w:t>the</w:t>
      </w:r>
      <w:r w:rsidRPr="00283806">
        <w:rPr>
          <w:rFonts w:ascii="Arial"/>
          <w:spacing w:val="26"/>
          <w:sz w:val="16"/>
        </w:rPr>
        <w:t xml:space="preserve"> </w:t>
      </w:r>
      <w:r w:rsidRPr="00283806">
        <w:rPr>
          <w:rFonts w:ascii="Arial"/>
          <w:sz w:val="16"/>
        </w:rPr>
        <w:t>Toxicity</w:t>
      </w:r>
      <w:r w:rsidRPr="00283806">
        <w:rPr>
          <w:rFonts w:ascii="Arial"/>
          <w:spacing w:val="26"/>
          <w:sz w:val="16"/>
        </w:rPr>
        <w:t xml:space="preserve"> </w:t>
      </w:r>
      <w:r w:rsidRPr="00283806">
        <w:rPr>
          <w:rFonts w:ascii="Arial"/>
          <w:sz w:val="16"/>
        </w:rPr>
        <w:t>Characteristic. These regulations, including test methods for benzo(k)fluoranthene and technical standards for drip pads, do not implement HSWA to the extent that they apply to the listings of Hazardous Waste Nos. F034 and F035.</w:t>
      </w:r>
    </w:p>
    <w:p w14:paraId="411FAA09" w14:textId="77777777" w:rsidR="00D67C1E" w:rsidRPr="00283806" w:rsidRDefault="001265CA">
      <w:pPr>
        <w:spacing w:line="152" w:lineRule="exact"/>
        <w:ind w:left="320"/>
        <w:jc w:val="both"/>
        <w:rPr>
          <w:rFonts w:ascii="Arial" w:hAnsi="Arial"/>
          <w:sz w:val="16"/>
        </w:rPr>
      </w:pPr>
      <w:r w:rsidRPr="00283806">
        <w:rPr>
          <w:rFonts w:ascii="Arial" w:hAnsi="Arial"/>
          <w:position w:val="4"/>
          <w:sz w:val="10"/>
        </w:rPr>
        <w:t>3</w:t>
      </w:r>
      <w:r w:rsidRPr="00283806">
        <w:rPr>
          <w:rFonts w:ascii="Arial" w:hAnsi="Arial"/>
          <w:spacing w:val="-4"/>
          <w:position w:val="4"/>
          <w:sz w:val="10"/>
        </w:rPr>
        <w:t xml:space="preserve"> </w:t>
      </w:r>
      <w:r w:rsidRPr="00283806">
        <w:rPr>
          <w:rFonts w:ascii="Arial" w:hAnsi="Arial"/>
          <w:sz w:val="16"/>
        </w:rPr>
        <w:t>The</w:t>
      </w:r>
      <w:r w:rsidRPr="00283806">
        <w:rPr>
          <w:rFonts w:ascii="Arial" w:hAnsi="Arial"/>
          <w:spacing w:val="6"/>
          <w:sz w:val="16"/>
        </w:rPr>
        <w:t xml:space="preserve"> </w:t>
      </w:r>
      <w:r w:rsidRPr="00283806">
        <w:rPr>
          <w:rFonts w:ascii="Arial" w:hAnsi="Arial"/>
          <w:sz w:val="16"/>
        </w:rPr>
        <w:t>following</w:t>
      </w:r>
      <w:r w:rsidRPr="00283806">
        <w:rPr>
          <w:rFonts w:ascii="Arial" w:hAnsi="Arial"/>
          <w:spacing w:val="6"/>
          <w:sz w:val="16"/>
        </w:rPr>
        <w:t xml:space="preserve"> </w:t>
      </w:r>
      <w:r w:rsidRPr="00283806">
        <w:rPr>
          <w:rFonts w:ascii="Arial" w:hAnsi="Arial"/>
          <w:sz w:val="16"/>
        </w:rPr>
        <w:t>portions</w:t>
      </w:r>
      <w:r w:rsidRPr="00283806">
        <w:rPr>
          <w:rFonts w:ascii="Arial" w:hAnsi="Arial"/>
          <w:spacing w:val="6"/>
          <w:sz w:val="16"/>
        </w:rPr>
        <w:t xml:space="preserve"> </w:t>
      </w:r>
      <w:r w:rsidRPr="00283806">
        <w:rPr>
          <w:rFonts w:ascii="Arial" w:hAnsi="Arial"/>
          <w:sz w:val="16"/>
        </w:rPr>
        <w:t>of</w:t>
      </w:r>
      <w:r w:rsidRPr="00283806">
        <w:rPr>
          <w:rFonts w:ascii="Arial" w:hAnsi="Arial"/>
          <w:spacing w:val="6"/>
          <w:sz w:val="16"/>
        </w:rPr>
        <w:t xml:space="preserve"> </w:t>
      </w:r>
      <w:r w:rsidRPr="00283806">
        <w:rPr>
          <w:rFonts w:ascii="Arial" w:hAnsi="Arial"/>
          <w:sz w:val="16"/>
        </w:rPr>
        <w:t>this</w:t>
      </w:r>
      <w:r w:rsidRPr="00283806">
        <w:rPr>
          <w:rFonts w:ascii="Arial" w:hAnsi="Arial"/>
          <w:spacing w:val="7"/>
          <w:sz w:val="16"/>
        </w:rPr>
        <w:t xml:space="preserve"> </w:t>
      </w:r>
      <w:r w:rsidRPr="00283806">
        <w:rPr>
          <w:rFonts w:ascii="Arial" w:hAnsi="Arial"/>
          <w:sz w:val="16"/>
        </w:rPr>
        <w:t>rule</w:t>
      </w:r>
      <w:r w:rsidRPr="00283806">
        <w:rPr>
          <w:rFonts w:ascii="Arial" w:hAnsi="Arial"/>
          <w:spacing w:val="6"/>
          <w:sz w:val="16"/>
        </w:rPr>
        <w:t xml:space="preserve"> </w:t>
      </w:r>
      <w:r w:rsidRPr="00283806">
        <w:rPr>
          <w:rFonts w:ascii="Arial" w:hAnsi="Arial"/>
          <w:sz w:val="16"/>
        </w:rPr>
        <w:t>are</w:t>
      </w:r>
      <w:r w:rsidRPr="00283806">
        <w:rPr>
          <w:rFonts w:ascii="Arial" w:hAnsi="Arial"/>
          <w:spacing w:val="6"/>
          <w:sz w:val="16"/>
        </w:rPr>
        <w:t xml:space="preserve"> </w:t>
      </w:r>
      <w:r w:rsidRPr="00283806">
        <w:rPr>
          <w:rFonts w:ascii="Arial" w:hAnsi="Arial"/>
          <w:sz w:val="16"/>
        </w:rPr>
        <w:t>not</w:t>
      </w:r>
      <w:r w:rsidRPr="00283806">
        <w:rPr>
          <w:rFonts w:ascii="Arial" w:hAnsi="Arial"/>
          <w:spacing w:val="6"/>
          <w:sz w:val="16"/>
        </w:rPr>
        <w:t xml:space="preserve"> </w:t>
      </w:r>
      <w:r w:rsidRPr="00283806">
        <w:rPr>
          <w:rFonts w:ascii="Arial" w:hAnsi="Arial"/>
          <w:sz w:val="16"/>
        </w:rPr>
        <w:t>HSWA</w:t>
      </w:r>
      <w:r w:rsidRPr="00283806">
        <w:rPr>
          <w:rFonts w:ascii="Arial" w:hAnsi="Arial"/>
          <w:spacing w:val="6"/>
          <w:sz w:val="16"/>
        </w:rPr>
        <w:t xml:space="preserve"> </w:t>
      </w:r>
      <w:r w:rsidRPr="00283806">
        <w:rPr>
          <w:rFonts w:ascii="Arial" w:hAnsi="Arial"/>
          <w:sz w:val="16"/>
        </w:rPr>
        <w:t>regulations:</w:t>
      </w:r>
      <w:r w:rsidRPr="00283806">
        <w:rPr>
          <w:rFonts w:ascii="Arial" w:hAnsi="Arial"/>
          <w:spacing w:val="7"/>
          <w:sz w:val="16"/>
        </w:rPr>
        <w:t xml:space="preserve"> </w:t>
      </w:r>
      <w:r w:rsidRPr="00283806">
        <w:rPr>
          <w:rFonts w:ascii="Arial" w:hAnsi="Arial"/>
          <w:sz w:val="16"/>
        </w:rPr>
        <w:t>§§</w:t>
      </w:r>
      <w:r w:rsidRPr="00283806">
        <w:rPr>
          <w:rFonts w:ascii="Arial" w:hAnsi="Arial"/>
          <w:spacing w:val="-19"/>
          <w:sz w:val="16"/>
        </w:rPr>
        <w:t xml:space="preserve"> </w:t>
      </w:r>
      <w:r w:rsidRPr="00283806">
        <w:rPr>
          <w:rFonts w:ascii="Arial" w:hAnsi="Arial"/>
          <w:sz w:val="16"/>
        </w:rPr>
        <w:t>264.19</w:t>
      </w:r>
      <w:r w:rsidRPr="00283806">
        <w:rPr>
          <w:rFonts w:ascii="Arial" w:hAnsi="Arial"/>
          <w:spacing w:val="6"/>
          <w:sz w:val="16"/>
        </w:rPr>
        <w:t xml:space="preserve"> </w:t>
      </w:r>
      <w:r w:rsidRPr="00283806">
        <w:rPr>
          <w:rFonts w:ascii="Arial" w:hAnsi="Arial"/>
          <w:sz w:val="16"/>
        </w:rPr>
        <w:t>and</w:t>
      </w:r>
      <w:r w:rsidRPr="00283806">
        <w:rPr>
          <w:rFonts w:ascii="Arial" w:hAnsi="Arial"/>
          <w:spacing w:val="6"/>
          <w:sz w:val="16"/>
        </w:rPr>
        <w:t xml:space="preserve"> </w:t>
      </w:r>
      <w:r w:rsidRPr="00283806">
        <w:rPr>
          <w:rFonts w:ascii="Arial" w:hAnsi="Arial"/>
          <w:sz w:val="16"/>
        </w:rPr>
        <w:t>265.19</w:t>
      </w:r>
      <w:r w:rsidRPr="00283806">
        <w:rPr>
          <w:rFonts w:ascii="Arial" w:hAnsi="Arial"/>
          <w:spacing w:val="6"/>
          <w:sz w:val="16"/>
        </w:rPr>
        <w:t xml:space="preserve"> </w:t>
      </w:r>
      <w:r w:rsidRPr="00283806">
        <w:rPr>
          <w:rFonts w:ascii="Arial" w:hAnsi="Arial"/>
          <w:sz w:val="16"/>
        </w:rPr>
        <w:t>for</w:t>
      </w:r>
      <w:r w:rsidRPr="00283806">
        <w:rPr>
          <w:rFonts w:ascii="Arial" w:hAnsi="Arial"/>
          <w:spacing w:val="6"/>
          <w:sz w:val="16"/>
        </w:rPr>
        <w:t xml:space="preserve"> </w:t>
      </w:r>
      <w:r w:rsidRPr="00283806">
        <w:rPr>
          <w:rFonts w:ascii="Arial" w:hAnsi="Arial"/>
          <w:sz w:val="16"/>
        </w:rPr>
        <w:t>final</w:t>
      </w:r>
      <w:r w:rsidRPr="00283806">
        <w:rPr>
          <w:rFonts w:ascii="Arial" w:hAnsi="Arial"/>
          <w:spacing w:val="7"/>
          <w:sz w:val="16"/>
        </w:rPr>
        <w:t xml:space="preserve"> </w:t>
      </w:r>
      <w:r w:rsidRPr="00283806">
        <w:rPr>
          <w:rFonts w:ascii="Arial" w:hAnsi="Arial"/>
          <w:spacing w:val="-2"/>
          <w:sz w:val="16"/>
        </w:rPr>
        <w:t>covers.</w:t>
      </w:r>
    </w:p>
    <w:p w14:paraId="76CAE4FF" w14:textId="77777777" w:rsidR="00D67C1E" w:rsidRPr="00283806" w:rsidRDefault="001265CA">
      <w:pPr>
        <w:spacing w:line="160" w:lineRule="exact"/>
        <w:ind w:left="320"/>
        <w:jc w:val="both"/>
        <w:rPr>
          <w:rFonts w:ascii="Arial" w:hAnsi="Arial"/>
          <w:sz w:val="16"/>
        </w:rPr>
      </w:pPr>
      <w:r w:rsidRPr="00283806">
        <w:rPr>
          <w:rFonts w:ascii="Arial" w:hAnsi="Arial"/>
          <w:position w:val="4"/>
          <w:sz w:val="10"/>
        </w:rPr>
        <w:t>4</w:t>
      </w:r>
      <w:r w:rsidRPr="00283806">
        <w:rPr>
          <w:rFonts w:ascii="Arial" w:hAnsi="Arial"/>
          <w:spacing w:val="-4"/>
          <w:position w:val="4"/>
          <w:sz w:val="10"/>
        </w:rPr>
        <w:t xml:space="preserve"> </w:t>
      </w:r>
      <w:r w:rsidRPr="00283806">
        <w:rPr>
          <w:rFonts w:ascii="Arial" w:hAnsi="Arial"/>
          <w:sz w:val="16"/>
        </w:rPr>
        <w:t>The</w:t>
      </w:r>
      <w:r w:rsidRPr="00283806">
        <w:rPr>
          <w:rFonts w:ascii="Arial" w:hAnsi="Arial"/>
          <w:spacing w:val="6"/>
          <w:sz w:val="16"/>
        </w:rPr>
        <w:t xml:space="preserve"> </w:t>
      </w:r>
      <w:r w:rsidRPr="00283806">
        <w:rPr>
          <w:rFonts w:ascii="Arial" w:hAnsi="Arial"/>
          <w:sz w:val="16"/>
        </w:rPr>
        <w:t>following</w:t>
      </w:r>
      <w:r w:rsidRPr="00283806">
        <w:rPr>
          <w:rFonts w:ascii="Arial" w:hAnsi="Arial"/>
          <w:spacing w:val="6"/>
          <w:sz w:val="16"/>
        </w:rPr>
        <w:t xml:space="preserve"> </w:t>
      </w:r>
      <w:r w:rsidRPr="00283806">
        <w:rPr>
          <w:rFonts w:ascii="Arial" w:hAnsi="Arial"/>
          <w:sz w:val="16"/>
        </w:rPr>
        <w:t>portions</w:t>
      </w:r>
      <w:r w:rsidRPr="00283806">
        <w:rPr>
          <w:rFonts w:ascii="Arial" w:hAnsi="Arial"/>
          <w:spacing w:val="6"/>
          <w:sz w:val="16"/>
        </w:rPr>
        <w:t xml:space="preserve"> </w:t>
      </w:r>
      <w:r w:rsidRPr="00283806">
        <w:rPr>
          <w:rFonts w:ascii="Arial" w:hAnsi="Arial"/>
          <w:sz w:val="16"/>
        </w:rPr>
        <w:t>of</w:t>
      </w:r>
      <w:r w:rsidRPr="00283806">
        <w:rPr>
          <w:rFonts w:ascii="Arial" w:hAnsi="Arial"/>
          <w:spacing w:val="6"/>
          <w:sz w:val="16"/>
        </w:rPr>
        <w:t xml:space="preserve"> </w:t>
      </w:r>
      <w:r w:rsidRPr="00283806">
        <w:rPr>
          <w:rFonts w:ascii="Arial" w:hAnsi="Arial"/>
          <w:sz w:val="16"/>
        </w:rPr>
        <w:t>this</w:t>
      </w:r>
      <w:r w:rsidRPr="00283806">
        <w:rPr>
          <w:rFonts w:ascii="Arial" w:hAnsi="Arial"/>
          <w:spacing w:val="6"/>
          <w:sz w:val="16"/>
        </w:rPr>
        <w:t xml:space="preserve"> </w:t>
      </w:r>
      <w:r w:rsidRPr="00283806">
        <w:rPr>
          <w:rFonts w:ascii="Arial" w:hAnsi="Arial"/>
          <w:sz w:val="16"/>
        </w:rPr>
        <w:t>rule</w:t>
      </w:r>
      <w:r w:rsidRPr="00283806">
        <w:rPr>
          <w:rFonts w:ascii="Arial" w:hAnsi="Arial"/>
          <w:spacing w:val="6"/>
          <w:sz w:val="16"/>
        </w:rPr>
        <w:t xml:space="preserve"> </w:t>
      </w:r>
      <w:r w:rsidRPr="00283806">
        <w:rPr>
          <w:rFonts w:ascii="Arial" w:hAnsi="Arial"/>
          <w:sz w:val="16"/>
        </w:rPr>
        <w:t>are</w:t>
      </w:r>
      <w:r w:rsidRPr="00283806">
        <w:rPr>
          <w:rFonts w:ascii="Arial" w:hAnsi="Arial"/>
          <w:spacing w:val="7"/>
          <w:sz w:val="16"/>
        </w:rPr>
        <w:t xml:space="preserve"> </w:t>
      </w:r>
      <w:r w:rsidRPr="00283806">
        <w:rPr>
          <w:rFonts w:ascii="Arial" w:hAnsi="Arial"/>
          <w:sz w:val="16"/>
        </w:rPr>
        <w:t>not</w:t>
      </w:r>
      <w:r w:rsidRPr="00283806">
        <w:rPr>
          <w:rFonts w:ascii="Arial" w:hAnsi="Arial"/>
          <w:spacing w:val="6"/>
          <w:sz w:val="16"/>
        </w:rPr>
        <w:t xml:space="preserve"> </w:t>
      </w:r>
      <w:r w:rsidRPr="00283806">
        <w:rPr>
          <w:rFonts w:ascii="Arial" w:hAnsi="Arial"/>
          <w:sz w:val="16"/>
        </w:rPr>
        <w:t>HSWA</w:t>
      </w:r>
      <w:r w:rsidRPr="00283806">
        <w:rPr>
          <w:rFonts w:ascii="Arial" w:hAnsi="Arial"/>
          <w:spacing w:val="6"/>
          <w:sz w:val="16"/>
        </w:rPr>
        <w:t xml:space="preserve"> </w:t>
      </w:r>
      <w:r w:rsidRPr="00283806">
        <w:rPr>
          <w:rFonts w:ascii="Arial" w:hAnsi="Arial"/>
          <w:sz w:val="16"/>
        </w:rPr>
        <w:t>regulations:</w:t>
      </w:r>
      <w:r w:rsidRPr="00283806">
        <w:rPr>
          <w:rFonts w:ascii="Arial" w:hAnsi="Arial"/>
          <w:spacing w:val="6"/>
          <w:sz w:val="16"/>
        </w:rPr>
        <w:t xml:space="preserve"> </w:t>
      </w:r>
      <w:r w:rsidRPr="00283806">
        <w:rPr>
          <w:rFonts w:ascii="Arial" w:hAnsi="Arial"/>
          <w:sz w:val="16"/>
        </w:rPr>
        <w:t>§§</w:t>
      </w:r>
      <w:r w:rsidRPr="00283806">
        <w:rPr>
          <w:rFonts w:ascii="Arial" w:hAnsi="Arial"/>
          <w:spacing w:val="-19"/>
          <w:sz w:val="16"/>
        </w:rPr>
        <w:t xml:space="preserve"> </w:t>
      </w:r>
      <w:r w:rsidRPr="00283806">
        <w:rPr>
          <w:rFonts w:ascii="Arial" w:hAnsi="Arial"/>
          <w:sz w:val="16"/>
        </w:rPr>
        <w:t>260.30,</w:t>
      </w:r>
      <w:r w:rsidRPr="00283806">
        <w:rPr>
          <w:rFonts w:ascii="Arial" w:hAnsi="Arial"/>
          <w:spacing w:val="6"/>
          <w:sz w:val="16"/>
        </w:rPr>
        <w:t xml:space="preserve"> </w:t>
      </w:r>
      <w:r w:rsidRPr="00283806">
        <w:rPr>
          <w:rFonts w:ascii="Arial" w:hAnsi="Arial"/>
          <w:sz w:val="16"/>
        </w:rPr>
        <w:t>260.31,</w:t>
      </w:r>
      <w:r w:rsidRPr="00283806">
        <w:rPr>
          <w:rFonts w:ascii="Arial" w:hAnsi="Arial"/>
          <w:spacing w:val="6"/>
          <w:sz w:val="16"/>
        </w:rPr>
        <w:t xml:space="preserve"> </w:t>
      </w:r>
      <w:r w:rsidRPr="00283806">
        <w:rPr>
          <w:rFonts w:ascii="Arial" w:hAnsi="Arial"/>
          <w:spacing w:val="-2"/>
          <w:sz w:val="16"/>
        </w:rPr>
        <w:t>261.2.</w:t>
      </w:r>
    </w:p>
    <w:p w14:paraId="60C000A6" w14:textId="77777777" w:rsidR="00D67C1E" w:rsidRPr="00283806" w:rsidRDefault="001265CA">
      <w:pPr>
        <w:spacing w:before="8" w:line="208" w:lineRule="auto"/>
        <w:ind w:left="159" w:right="124" w:firstLine="160"/>
        <w:jc w:val="both"/>
        <w:rPr>
          <w:rFonts w:ascii="Arial" w:hAnsi="Arial"/>
          <w:sz w:val="16"/>
        </w:rPr>
      </w:pPr>
      <w:r w:rsidRPr="00283806">
        <w:rPr>
          <w:rFonts w:ascii="Arial" w:hAnsi="Arial"/>
          <w:position w:val="4"/>
          <w:sz w:val="10"/>
        </w:rPr>
        <w:t>5</w:t>
      </w:r>
      <w:r w:rsidRPr="00283806">
        <w:rPr>
          <w:rFonts w:ascii="Arial" w:hAnsi="Arial"/>
          <w:spacing w:val="-7"/>
          <w:position w:val="4"/>
          <w:sz w:val="10"/>
        </w:rPr>
        <w:t xml:space="preserve"> </w:t>
      </w:r>
      <w:r w:rsidRPr="00283806">
        <w:rPr>
          <w:rFonts w:ascii="Arial" w:hAnsi="Arial"/>
          <w:sz w:val="16"/>
        </w:rPr>
        <w:t>These</w:t>
      </w:r>
      <w:r w:rsidRPr="00283806">
        <w:rPr>
          <w:rFonts w:ascii="Arial" w:hAnsi="Arial"/>
          <w:spacing w:val="9"/>
          <w:sz w:val="16"/>
        </w:rPr>
        <w:t xml:space="preserve"> </w:t>
      </w:r>
      <w:r w:rsidRPr="00283806">
        <w:rPr>
          <w:rFonts w:ascii="Arial" w:hAnsi="Arial"/>
          <w:sz w:val="16"/>
        </w:rPr>
        <w:t>regulations</w:t>
      </w:r>
      <w:r w:rsidRPr="00283806">
        <w:rPr>
          <w:rFonts w:ascii="Arial" w:hAnsi="Arial"/>
          <w:spacing w:val="12"/>
          <w:sz w:val="16"/>
        </w:rPr>
        <w:t xml:space="preserve"> </w:t>
      </w:r>
      <w:r w:rsidRPr="00283806">
        <w:rPr>
          <w:rFonts w:ascii="Arial" w:hAnsi="Arial"/>
          <w:sz w:val="16"/>
        </w:rPr>
        <w:t>implement</w:t>
      </w:r>
      <w:r w:rsidRPr="00283806">
        <w:rPr>
          <w:rFonts w:ascii="Arial" w:hAnsi="Arial"/>
          <w:spacing w:val="12"/>
          <w:sz w:val="16"/>
        </w:rPr>
        <w:t xml:space="preserve"> </w:t>
      </w:r>
      <w:r w:rsidRPr="00283806">
        <w:rPr>
          <w:rFonts w:ascii="Arial" w:hAnsi="Arial"/>
          <w:sz w:val="16"/>
        </w:rPr>
        <w:t>HSWA</w:t>
      </w:r>
      <w:r w:rsidRPr="00283806">
        <w:rPr>
          <w:rFonts w:ascii="Arial" w:hAnsi="Arial"/>
          <w:spacing w:val="12"/>
          <w:sz w:val="16"/>
        </w:rPr>
        <w:t xml:space="preserve"> </w:t>
      </w:r>
      <w:r w:rsidRPr="00283806">
        <w:rPr>
          <w:rFonts w:ascii="Arial" w:hAnsi="Arial"/>
          <w:sz w:val="16"/>
        </w:rPr>
        <w:t>only</w:t>
      </w:r>
      <w:r w:rsidRPr="00283806">
        <w:rPr>
          <w:rFonts w:ascii="Arial" w:hAnsi="Arial"/>
          <w:spacing w:val="12"/>
          <w:sz w:val="16"/>
        </w:rPr>
        <w:t xml:space="preserve"> </w:t>
      </w:r>
      <w:r w:rsidRPr="00283806">
        <w:rPr>
          <w:rFonts w:ascii="Arial" w:hAnsi="Arial"/>
          <w:sz w:val="16"/>
        </w:rPr>
        <w:t>to</w:t>
      </w:r>
      <w:r w:rsidRPr="00283806">
        <w:rPr>
          <w:rFonts w:ascii="Arial" w:hAnsi="Arial"/>
          <w:spacing w:val="12"/>
          <w:sz w:val="16"/>
        </w:rPr>
        <w:t xml:space="preserve"> </w:t>
      </w:r>
      <w:r w:rsidRPr="00283806">
        <w:rPr>
          <w:rFonts w:ascii="Arial" w:hAnsi="Arial"/>
          <w:sz w:val="16"/>
        </w:rPr>
        <w:t>the</w:t>
      </w:r>
      <w:r w:rsidRPr="00283806">
        <w:rPr>
          <w:rFonts w:ascii="Arial" w:hAnsi="Arial"/>
          <w:spacing w:val="12"/>
          <w:sz w:val="16"/>
        </w:rPr>
        <w:t xml:space="preserve"> </w:t>
      </w:r>
      <w:r w:rsidRPr="00283806">
        <w:rPr>
          <w:rFonts w:ascii="Arial" w:hAnsi="Arial"/>
          <w:sz w:val="16"/>
        </w:rPr>
        <w:t>extent</w:t>
      </w:r>
      <w:r w:rsidRPr="00283806">
        <w:rPr>
          <w:rFonts w:ascii="Arial" w:hAnsi="Arial"/>
          <w:spacing w:val="12"/>
          <w:sz w:val="16"/>
        </w:rPr>
        <w:t xml:space="preserve"> </w:t>
      </w:r>
      <w:r w:rsidRPr="00283806">
        <w:rPr>
          <w:rFonts w:ascii="Arial" w:hAnsi="Arial"/>
          <w:sz w:val="16"/>
        </w:rPr>
        <w:t>that</w:t>
      </w:r>
      <w:r w:rsidRPr="00283806">
        <w:rPr>
          <w:rFonts w:ascii="Arial" w:hAnsi="Arial"/>
          <w:spacing w:val="12"/>
          <w:sz w:val="16"/>
        </w:rPr>
        <w:t xml:space="preserve"> </w:t>
      </w:r>
      <w:r w:rsidRPr="00283806">
        <w:rPr>
          <w:rFonts w:ascii="Arial" w:hAnsi="Arial"/>
          <w:sz w:val="16"/>
        </w:rPr>
        <w:t>they</w:t>
      </w:r>
      <w:r w:rsidRPr="00283806">
        <w:rPr>
          <w:rFonts w:ascii="Arial" w:hAnsi="Arial"/>
          <w:spacing w:val="12"/>
          <w:sz w:val="16"/>
        </w:rPr>
        <w:t xml:space="preserve"> </w:t>
      </w:r>
      <w:r w:rsidRPr="00283806">
        <w:rPr>
          <w:rFonts w:ascii="Arial" w:hAnsi="Arial"/>
          <w:sz w:val="16"/>
        </w:rPr>
        <w:t>apply</w:t>
      </w:r>
      <w:r w:rsidRPr="00283806">
        <w:rPr>
          <w:rFonts w:ascii="Arial" w:hAnsi="Arial"/>
          <w:spacing w:val="12"/>
          <w:sz w:val="16"/>
        </w:rPr>
        <w:t xml:space="preserve"> </w:t>
      </w:r>
      <w:r w:rsidRPr="00283806">
        <w:rPr>
          <w:rFonts w:ascii="Arial" w:hAnsi="Arial"/>
          <w:sz w:val="16"/>
        </w:rPr>
        <w:t>to</w:t>
      </w:r>
      <w:r w:rsidRPr="00283806">
        <w:rPr>
          <w:rFonts w:ascii="Arial" w:hAnsi="Arial"/>
          <w:spacing w:val="12"/>
          <w:sz w:val="16"/>
        </w:rPr>
        <w:t xml:space="preserve"> </w:t>
      </w:r>
      <w:r w:rsidRPr="00283806">
        <w:rPr>
          <w:rFonts w:ascii="Arial" w:hAnsi="Arial"/>
          <w:sz w:val="16"/>
        </w:rPr>
        <w:t>the</w:t>
      </w:r>
      <w:r w:rsidRPr="00283806">
        <w:rPr>
          <w:rFonts w:ascii="Arial" w:hAnsi="Arial"/>
          <w:spacing w:val="12"/>
          <w:sz w:val="16"/>
        </w:rPr>
        <w:t xml:space="preserve"> </w:t>
      </w:r>
      <w:r w:rsidRPr="00283806">
        <w:rPr>
          <w:rFonts w:ascii="Arial" w:hAnsi="Arial"/>
          <w:sz w:val="16"/>
        </w:rPr>
        <w:t>standards</w:t>
      </w:r>
      <w:r w:rsidRPr="00283806">
        <w:rPr>
          <w:rFonts w:ascii="Arial" w:hAnsi="Arial"/>
          <w:spacing w:val="12"/>
          <w:sz w:val="16"/>
        </w:rPr>
        <w:t xml:space="preserve"> </w:t>
      </w:r>
      <w:r w:rsidRPr="00283806">
        <w:rPr>
          <w:rFonts w:ascii="Arial" w:hAnsi="Arial"/>
          <w:sz w:val="16"/>
        </w:rPr>
        <w:t>for</w:t>
      </w:r>
      <w:r w:rsidRPr="00283806">
        <w:rPr>
          <w:rFonts w:ascii="Arial" w:hAnsi="Arial"/>
          <w:spacing w:val="12"/>
          <w:sz w:val="16"/>
        </w:rPr>
        <w:t xml:space="preserve"> </w:t>
      </w:r>
      <w:r w:rsidRPr="00283806">
        <w:rPr>
          <w:rFonts w:ascii="Arial" w:hAnsi="Arial"/>
          <w:sz w:val="16"/>
        </w:rPr>
        <w:t>staging</w:t>
      </w:r>
      <w:r w:rsidRPr="00283806">
        <w:rPr>
          <w:rFonts w:ascii="Arial" w:hAnsi="Arial"/>
          <w:spacing w:val="12"/>
          <w:sz w:val="16"/>
        </w:rPr>
        <w:t xml:space="preserve"> </w:t>
      </w:r>
      <w:r w:rsidRPr="00283806">
        <w:rPr>
          <w:rFonts w:ascii="Arial" w:hAnsi="Arial"/>
          <w:sz w:val="16"/>
        </w:rPr>
        <w:t>piles</w:t>
      </w:r>
      <w:r w:rsidRPr="00283806">
        <w:rPr>
          <w:rFonts w:ascii="Arial" w:hAnsi="Arial"/>
          <w:spacing w:val="12"/>
          <w:sz w:val="16"/>
        </w:rPr>
        <w:t xml:space="preserve"> </w:t>
      </w:r>
      <w:r w:rsidRPr="00283806">
        <w:rPr>
          <w:rFonts w:ascii="Arial" w:hAnsi="Arial"/>
          <w:sz w:val="16"/>
        </w:rPr>
        <w:t>and</w:t>
      </w:r>
      <w:r w:rsidRPr="00283806">
        <w:rPr>
          <w:rFonts w:ascii="Arial" w:hAnsi="Arial"/>
          <w:spacing w:val="12"/>
          <w:sz w:val="16"/>
        </w:rPr>
        <w:t xml:space="preserve"> </w:t>
      </w:r>
      <w:r w:rsidRPr="00283806">
        <w:rPr>
          <w:rFonts w:ascii="Arial" w:hAnsi="Arial"/>
          <w:sz w:val="16"/>
        </w:rPr>
        <w:t>to</w:t>
      </w:r>
      <w:r w:rsidRPr="00283806">
        <w:rPr>
          <w:rFonts w:ascii="Arial" w:hAnsi="Arial"/>
          <w:spacing w:val="12"/>
          <w:sz w:val="16"/>
        </w:rPr>
        <w:t xml:space="preserve"> </w:t>
      </w:r>
      <w:r w:rsidRPr="00283806">
        <w:rPr>
          <w:rFonts w:ascii="Arial" w:hAnsi="Arial"/>
          <w:sz w:val="16"/>
        </w:rPr>
        <w:t>§§</w:t>
      </w:r>
      <w:r w:rsidRPr="00283806">
        <w:rPr>
          <w:rFonts w:ascii="Arial" w:hAnsi="Arial"/>
          <w:spacing w:val="-12"/>
          <w:sz w:val="16"/>
        </w:rPr>
        <w:t xml:space="preserve"> </w:t>
      </w:r>
      <w:r w:rsidRPr="00283806">
        <w:rPr>
          <w:rFonts w:ascii="Arial" w:hAnsi="Arial"/>
          <w:sz w:val="16"/>
        </w:rPr>
        <w:t>264.1(j)</w:t>
      </w:r>
      <w:r w:rsidRPr="00283806">
        <w:rPr>
          <w:rFonts w:ascii="Arial" w:hAnsi="Arial"/>
          <w:spacing w:val="13"/>
          <w:sz w:val="16"/>
        </w:rPr>
        <w:t xml:space="preserve"> </w:t>
      </w:r>
      <w:r w:rsidRPr="00283806">
        <w:rPr>
          <w:rFonts w:ascii="Arial" w:hAnsi="Arial"/>
          <w:sz w:val="16"/>
        </w:rPr>
        <w:t>and</w:t>
      </w:r>
      <w:r w:rsidRPr="00283806">
        <w:rPr>
          <w:rFonts w:ascii="Arial" w:hAnsi="Arial"/>
          <w:spacing w:val="12"/>
          <w:sz w:val="16"/>
        </w:rPr>
        <w:t xml:space="preserve"> </w:t>
      </w:r>
      <w:r w:rsidRPr="00283806">
        <w:rPr>
          <w:rFonts w:ascii="Arial" w:hAnsi="Arial"/>
          <w:sz w:val="16"/>
        </w:rPr>
        <w:t>264.101(d)</w:t>
      </w:r>
      <w:r w:rsidRPr="00283806">
        <w:rPr>
          <w:rFonts w:ascii="Arial" w:hAnsi="Arial"/>
          <w:spacing w:val="12"/>
          <w:sz w:val="16"/>
        </w:rPr>
        <w:t xml:space="preserve"> </w:t>
      </w:r>
      <w:r w:rsidRPr="00283806">
        <w:rPr>
          <w:rFonts w:ascii="Arial" w:hAnsi="Arial"/>
          <w:sz w:val="16"/>
        </w:rPr>
        <w:t>of this chapter.</w:t>
      </w:r>
    </w:p>
    <w:p w14:paraId="40E5BD71" w14:textId="77777777" w:rsidR="00D67C1E" w:rsidRPr="00283806" w:rsidRDefault="001265CA">
      <w:pPr>
        <w:pStyle w:val="Heading1"/>
        <w:spacing w:before="183"/>
        <w:ind w:left="791"/>
      </w:pPr>
      <w:r w:rsidRPr="00283806">
        <w:rPr>
          <w:smallCaps/>
        </w:rPr>
        <w:t>Table</w:t>
      </w:r>
      <w:r w:rsidRPr="00283806">
        <w:rPr>
          <w:smallCaps/>
          <w:spacing w:val="18"/>
        </w:rPr>
        <w:t xml:space="preserve"> </w:t>
      </w:r>
      <w:r w:rsidRPr="00283806">
        <w:rPr>
          <w:smallCaps/>
        </w:rPr>
        <w:t>2—Self-Implementing</w:t>
      </w:r>
      <w:r w:rsidRPr="00283806">
        <w:rPr>
          <w:smallCaps/>
          <w:spacing w:val="18"/>
        </w:rPr>
        <w:t xml:space="preserve"> </w:t>
      </w:r>
      <w:r w:rsidRPr="00283806">
        <w:rPr>
          <w:smallCaps/>
        </w:rPr>
        <w:t>Provisions</w:t>
      </w:r>
      <w:r w:rsidRPr="00283806">
        <w:rPr>
          <w:smallCaps/>
          <w:spacing w:val="19"/>
        </w:rPr>
        <w:t xml:space="preserve"> </w:t>
      </w:r>
      <w:r w:rsidRPr="00283806">
        <w:rPr>
          <w:smallCaps/>
        </w:rPr>
        <w:t>of</w:t>
      </w:r>
      <w:r w:rsidRPr="00283806">
        <w:rPr>
          <w:smallCaps/>
          <w:spacing w:val="19"/>
        </w:rPr>
        <w:t xml:space="preserve"> </w:t>
      </w:r>
      <w:r w:rsidRPr="00283806">
        <w:rPr>
          <w:smallCaps/>
        </w:rPr>
        <w:t>the</w:t>
      </w:r>
      <w:r w:rsidRPr="00283806">
        <w:rPr>
          <w:smallCaps/>
          <w:spacing w:val="19"/>
        </w:rPr>
        <w:t xml:space="preserve"> </w:t>
      </w:r>
      <w:r w:rsidRPr="00283806">
        <w:rPr>
          <w:smallCaps/>
        </w:rPr>
        <w:t>Hazardous</w:t>
      </w:r>
      <w:r w:rsidRPr="00283806">
        <w:rPr>
          <w:smallCaps/>
          <w:spacing w:val="18"/>
        </w:rPr>
        <w:t xml:space="preserve"> </w:t>
      </w:r>
      <w:r w:rsidRPr="00283806">
        <w:rPr>
          <w:smallCaps/>
        </w:rPr>
        <w:t>and</w:t>
      </w:r>
      <w:r w:rsidRPr="00283806">
        <w:rPr>
          <w:smallCaps/>
          <w:spacing w:val="19"/>
        </w:rPr>
        <w:t xml:space="preserve"> </w:t>
      </w:r>
      <w:r w:rsidRPr="00283806">
        <w:rPr>
          <w:smallCaps/>
        </w:rPr>
        <w:t>Solid</w:t>
      </w:r>
      <w:r w:rsidRPr="00283806">
        <w:rPr>
          <w:smallCaps/>
          <w:spacing w:val="18"/>
        </w:rPr>
        <w:t xml:space="preserve"> </w:t>
      </w:r>
      <w:r w:rsidRPr="00283806">
        <w:rPr>
          <w:smallCaps/>
        </w:rPr>
        <w:t>Waste</w:t>
      </w:r>
      <w:r w:rsidRPr="00283806">
        <w:rPr>
          <w:smallCaps/>
          <w:spacing w:val="19"/>
        </w:rPr>
        <w:t xml:space="preserve"> </w:t>
      </w:r>
      <w:r w:rsidRPr="00283806">
        <w:rPr>
          <w:smallCaps/>
        </w:rPr>
        <w:t>Amendments</w:t>
      </w:r>
      <w:r w:rsidRPr="00283806">
        <w:rPr>
          <w:smallCaps/>
          <w:spacing w:val="19"/>
        </w:rPr>
        <w:t xml:space="preserve"> </w:t>
      </w:r>
      <w:r w:rsidRPr="00283806">
        <w:rPr>
          <w:smallCaps/>
        </w:rPr>
        <w:t>of</w:t>
      </w:r>
      <w:r w:rsidRPr="00283806">
        <w:rPr>
          <w:smallCaps/>
          <w:spacing w:val="18"/>
        </w:rPr>
        <w:t xml:space="preserve"> </w:t>
      </w:r>
      <w:r w:rsidRPr="00283806">
        <w:rPr>
          <w:smallCaps/>
          <w:spacing w:val="-4"/>
        </w:rPr>
        <w:t>1984</w:t>
      </w:r>
    </w:p>
    <w:p w14:paraId="48A1696C" w14:textId="77777777" w:rsidR="00D67C1E" w:rsidRPr="00283806" w:rsidRDefault="001265CA">
      <w:pPr>
        <w:pStyle w:val="BodyText"/>
        <w:spacing w:before="5"/>
        <w:ind w:left="0"/>
        <w:rPr>
          <w:rFonts w:ascii="Arial"/>
          <w:sz w:val="8"/>
        </w:rPr>
      </w:pPr>
      <w:r w:rsidRPr="00283806">
        <w:rPr>
          <w:noProof/>
        </w:rPr>
        <mc:AlternateContent>
          <mc:Choice Requires="wps">
            <w:drawing>
              <wp:anchor distT="0" distB="0" distL="0" distR="0" simplePos="0" relativeHeight="251701248" behindDoc="1" locked="0" layoutInCell="1" allowOverlap="1" wp14:anchorId="21A6FD60" wp14:editId="6D2852CE">
                <wp:simplePos x="0" y="0"/>
                <wp:positionH relativeFrom="page">
                  <wp:posOffset>571500</wp:posOffset>
                </wp:positionH>
                <wp:positionV relativeFrom="paragraph">
                  <wp:posOffset>77131</wp:posOffset>
                </wp:positionV>
                <wp:extent cx="6629400" cy="1270"/>
                <wp:effectExtent l="0" t="0" r="0" b="0"/>
                <wp:wrapTopAndBottom/>
                <wp:docPr id="135" name="Graphic 13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508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5BF3DD5" id="Graphic 135" o:spid="_x0000_s1026" alt="&quot;&quot;" style="position:absolute;margin-left:45pt;margin-top:6.05pt;width:522pt;height:.1pt;z-index:-251615232;visibility:visible;mso-wrap-style:square;mso-wrap-distance-left:0;mso-wrap-distance-top:0;mso-wrap-distance-right:0;mso-wrap-distance-bottom:0;mso-position-horizontal:absolute;mso-position-horizontal-relative:page;mso-position-vertical:absolute;mso-position-vertical-relative:text;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" path="m,l6629400,e" filled="f" strokeweight=".4pt">
                <v:path arrowok="t"/>
                <w10:wrap type="topAndBottom" anchorx="page"/>
              </v:shape>
            </w:pict>
          </mc:Fallback>
        </mc:AlternateContent>
      </w:r>
    </w:p>
    <w:p w14:paraId="7356381C" w14:textId="77777777" w:rsidR="00D67C1E" w:rsidRPr="00283806" w:rsidRDefault="001265CA">
      <w:pPr>
        <w:tabs>
          <w:tab w:val="left" w:pos="3071"/>
          <w:tab w:val="left" w:pos="6201"/>
          <w:tab w:val="left" w:pos="8362"/>
        </w:tabs>
        <w:spacing w:before="58"/>
        <w:ind w:left="916"/>
        <w:rPr>
          <w:rFonts w:ascii="Arial"/>
          <w:sz w:val="16"/>
        </w:rPr>
      </w:pPr>
      <w:r w:rsidRPr="00283806">
        <w:rPr>
          <w:rFonts w:ascii="Arial"/>
          <w:sz w:val="16"/>
        </w:rPr>
        <w:t>Effective</w:t>
      </w:r>
      <w:r w:rsidRPr="00283806">
        <w:rPr>
          <w:rFonts w:ascii="Arial"/>
          <w:spacing w:val="8"/>
          <w:sz w:val="16"/>
        </w:rPr>
        <w:t xml:space="preserve"> </w:t>
      </w:r>
      <w:r w:rsidRPr="00283806">
        <w:rPr>
          <w:rFonts w:ascii="Arial"/>
          <w:spacing w:val="-4"/>
          <w:sz w:val="16"/>
        </w:rPr>
        <w:t>date</w:t>
      </w:r>
      <w:r w:rsidRPr="00283806">
        <w:rPr>
          <w:rFonts w:ascii="Arial"/>
          <w:sz w:val="16"/>
        </w:rPr>
        <w:tab/>
        <w:t>Self-implementing</w:t>
      </w:r>
      <w:r w:rsidRPr="00283806">
        <w:rPr>
          <w:rFonts w:ascii="Arial"/>
          <w:spacing w:val="-5"/>
          <w:sz w:val="16"/>
        </w:rPr>
        <w:t xml:space="preserve"> </w:t>
      </w:r>
      <w:r w:rsidRPr="00283806">
        <w:rPr>
          <w:rFonts w:ascii="Arial"/>
          <w:spacing w:val="-2"/>
          <w:sz w:val="16"/>
        </w:rPr>
        <w:t>provision</w:t>
      </w:r>
      <w:r w:rsidRPr="00283806">
        <w:rPr>
          <w:rFonts w:ascii="Arial"/>
          <w:sz w:val="16"/>
        </w:rPr>
        <w:tab/>
        <w:t>RCRA</w:t>
      </w:r>
      <w:r w:rsidRPr="00283806">
        <w:rPr>
          <w:rFonts w:ascii="Arial"/>
          <w:spacing w:val="3"/>
          <w:sz w:val="16"/>
        </w:rPr>
        <w:t xml:space="preserve"> </w:t>
      </w:r>
      <w:r w:rsidRPr="00283806">
        <w:rPr>
          <w:rFonts w:ascii="Arial"/>
          <w:spacing w:val="-2"/>
          <w:sz w:val="16"/>
        </w:rPr>
        <w:t>citation</w:t>
      </w:r>
      <w:r w:rsidRPr="00283806">
        <w:rPr>
          <w:rFonts w:ascii="Arial"/>
          <w:sz w:val="16"/>
        </w:rPr>
        <w:tab/>
      </w:r>
      <w:r w:rsidRPr="00283806">
        <w:rPr>
          <w:rFonts w:ascii="Arial"/>
          <w:b/>
          <w:sz w:val="16"/>
        </w:rPr>
        <w:t>Federal</w:t>
      </w:r>
      <w:r w:rsidRPr="00283806">
        <w:rPr>
          <w:rFonts w:ascii="Arial"/>
          <w:b/>
          <w:spacing w:val="4"/>
          <w:sz w:val="16"/>
        </w:rPr>
        <w:t xml:space="preserve"> </w:t>
      </w:r>
      <w:r w:rsidRPr="00283806">
        <w:rPr>
          <w:rFonts w:ascii="Arial"/>
          <w:b/>
          <w:sz w:val="16"/>
        </w:rPr>
        <w:t>Register</w:t>
      </w:r>
      <w:r w:rsidRPr="00283806">
        <w:rPr>
          <w:rFonts w:ascii="Arial"/>
          <w:b/>
          <w:spacing w:val="5"/>
          <w:sz w:val="16"/>
        </w:rPr>
        <w:t xml:space="preserve"> </w:t>
      </w:r>
      <w:r w:rsidRPr="00283806">
        <w:rPr>
          <w:rFonts w:ascii="Arial"/>
          <w:spacing w:val="-2"/>
          <w:sz w:val="16"/>
        </w:rPr>
        <w:t>reference</w:t>
      </w:r>
    </w:p>
    <w:p w14:paraId="4DB38F3E" w14:textId="77777777" w:rsidR="00D67C1E" w:rsidRPr="00283806" w:rsidRDefault="001265CA">
      <w:pPr>
        <w:pStyle w:val="BodyText"/>
        <w:ind w:left="0"/>
        <w:rPr>
          <w:rFonts w:ascii="Arial"/>
          <w:sz w:val="5"/>
        </w:rPr>
      </w:pPr>
      <w:r w:rsidRPr="00283806">
        <w:rPr>
          <w:noProof/>
        </w:rPr>
        <mc:AlternateContent>
          <mc:Choice Requires="wps">
            <w:drawing>
              <wp:anchor distT="0" distB="0" distL="0" distR="0" simplePos="0" relativeHeight="251703296" behindDoc="1" locked="0" layoutInCell="1" allowOverlap="1" wp14:anchorId="747F0A4F" wp14:editId="22ACC901">
                <wp:simplePos x="0" y="0"/>
                <wp:positionH relativeFrom="page">
                  <wp:posOffset>571500</wp:posOffset>
                </wp:positionH>
                <wp:positionV relativeFrom="paragraph">
                  <wp:posOffset>52079</wp:posOffset>
                </wp:positionV>
                <wp:extent cx="6629400" cy="1270"/>
                <wp:effectExtent l="0" t="0" r="0" b="0"/>
                <wp:wrapTopAndBottom/>
                <wp:docPr id="136" name="Graphic 13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508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C567FA" id="Graphic 136" o:spid="_x0000_s1026" alt="&quot;&quot;" style="position:absolute;margin-left:45pt;margin-top:4.1pt;width:522pt;height:.1pt;z-index:-251613184;visibility:visible;mso-wrap-style:square;mso-wrap-distance-left:0;mso-wrap-distance-top:0;mso-wrap-distance-right:0;mso-wrap-distance-bottom:0;mso-position-horizontal:absolute;mso-position-horizontal-relative:page;mso-position-vertical:absolute;mso-position-vertical-relative:text;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" path="m,l6629400,e" filled="f" strokeweight=".4pt">
                <v:path arrowok="t"/>
                <w10:wrap type="topAndBottom" anchorx="page"/>
              </v:shape>
            </w:pict>
          </mc:Fallback>
        </mc:AlternateContent>
      </w:r>
    </w:p>
    <w:p w14:paraId="7C8B2E23" w14:textId="77777777" w:rsidR="00D67C1E" w:rsidRPr="00283806" w:rsidRDefault="00D67C1E">
      <w:pPr>
        <w:pStyle w:val="BodyText"/>
        <w:spacing w:before="73"/>
        <w:ind w:left="0"/>
        <w:rPr>
          <w:rFonts w:ascii="Arial"/>
          <w:sz w:val="16"/>
        </w:rPr>
      </w:pPr>
    </w:p>
    <w:p w14:paraId="0275F525" w14:textId="77777777" w:rsidR="00D67C1E" w:rsidRPr="00283806" w:rsidRDefault="001265CA">
      <w:pPr>
        <w:tabs>
          <w:tab w:val="left" w:pos="2344"/>
          <w:tab w:val="left" w:pos="3846"/>
          <w:tab w:val="left" w:pos="5348"/>
          <w:tab w:val="left" w:pos="6850"/>
          <w:tab w:val="left" w:pos="8353"/>
          <w:tab w:val="left" w:pos="9855"/>
        </w:tabs>
        <w:spacing w:before="1" w:line="176" w:lineRule="exact"/>
        <w:ind w:left="841"/>
        <w:rPr>
          <w:rFonts w:ascii="Arial"/>
          <w:sz w:val="16"/>
        </w:rPr>
      </w:pPr>
      <w:r w:rsidRPr="00283806">
        <w:rPr>
          <w:rFonts w:ascii="Arial"/>
          <w:spacing w:val="-10"/>
          <w:sz w:val="16"/>
        </w:rPr>
        <w:t>*</w:t>
      </w:r>
      <w:r w:rsidRPr="00283806">
        <w:rPr>
          <w:rFonts w:ascii="Arial"/>
          <w:sz w:val="16"/>
        </w:rPr>
        <w:tab/>
      </w:r>
      <w:r w:rsidRPr="00283806">
        <w:rPr>
          <w:rFonts w:ascii="Arial"/>
          <w:spacing w:val="-10"/>
          <w:sz w:val="16"/>
        </w:rPr>
        <w:t>*</w:t>
      </w:r>
      <w:r w:rsidRPr="00283806">
        <w:rPr>
          <w:rFonts w:ascii="Arial"/>
          <w:sz w:val="16"/>
        </w:rPr>
        <w:tab/>
      </w:r>
      <w:r w:rsidRPr="00283806">
        <w:rPr>
          <w:rFonts w:ascii="Arial"/>
          <w:spacing w:val="-10"/>
          <w:sz w:val="16"/>
        </w:rPr>
        <w:t>*</w:t>
      </w:r>
      <w:r w:rsidRPr="00283806">
        <w:rPr>
          <w:rFonts w:ascii="Arial"/>
          <w:sz w:val="16"/>
        </w:rPr>
        <w:tab/>
      </w:r>
      <w:r w:rsidRPr="00283806">
        <w:rPr>
          <w:rFonts w:ascii="Arial"/>
          <w:spacing w:val="-10"/>
          <w:sz w:val="16"/>
        </w:rPr>
        <w:t>*</w:t>
      </w:r>
      <w:r w:rsidRPr="00283806">
        <w:rPr>
          <w:rFonts w:ascii="Arial"/>
          <w:sz w:val="16"/>
        </w:rPr>
        <w:tab/>
      </w:r>
      <w:r w:rsidRPr="00283806">
        <w:rPr>
          <w:rFonts w:ascii="Arial"/>
          <w:spacing w:val="-10"/>
          <w:sz w:val="16"/>
        </w:rPr>
        <w:t>*</w:t>
      </w:r>
      <w:r w:rsidRPr="00283806">
        <w:rPr>
          <w:rFonts w:ascii="Arial"/>
          <w:sz w:val="16"/>
        </w:rPr>
        <w:tab/>
      </w:r>
      <w:r w:rsidRPr="00283806">
        <w:rPr>
          <w:rFonts w:ascii="Arial"/>
          <w:spacing w:val="-10"/>
          <w:sz w:val="16"/>
        </w:rPr>
        <w:t>*</w:t>
      </w:r>
      <w:r w:rsidRPr="00283806">
        <w:rPr>
          <w:rFonts w:ascii="Arial"/>
          <w:sz w:val="16"/>
        </w:rPr>
        <w:tab/>
      </w:r>
      <w:r w:rsidRPr="00283806">
        <w:rPr>
          <w:rFonts w:ascii="Arial"/>
          <w:spacing w:val="-10"/>
          <w:sz w:val="16"/>
        </w:rPr>
        <w:t>*</w:t>
      </w:r>
    </w:p>
    <w:p w14:paraId="024A4CCF" w14:textId="77777777" w:rsidR="00D67C1E" w:rsidRPr="00283806" w:rsidRDefault="00D67C1E">
      <w:pPr>
        <w:spacing w:line="176" w:lineRule="exact"/>
        <w:rPr>
          <w:rFonts w:ascii="Arial"/>
          <w:sz w:val="16"/>
        </w:rPr>
        <w:sectPr w:rsidR="00D67C1E" w:rsidRPr="00283806">
          <w:type w:val="continuous"/>
          <w:pgSz w:w="12240" w:h="15840"/>
          <w:pgMar w:top="880" w:right="780" w:bottom="280" w:left="740" w:header="627" w:footer="0" w:gutter="0"/>
          <w:cols w:space="720"/>
        </w:sectPr>
      </w:pPr>
    </w:p>
    <w:p w14:paraId="777155CC" w14:textId="77777777" w:rsidR="00D67C1E" w:rsidRPr="00283806" w:rsidRDefault="001265CA">
      <w:pPr>
        <w:tabs>
          <w:tab w:val="left" w:leader="dot" w:pos="2815"/>
        </w:tabs>
        <w:spacing w:before="3" w:line="182" w:lineRule="exact"/>
        <w:ind w:left="166"/>
        <w:rPr>
          <w:rFonts w:ascii="Arial"/>
          <w:sz w:val="16"/>
        </w:rPr>
      </w:pPr>
      <w:r w:rsidRPr="00283806">
        <w:rPr>
          <w:rFonts w:ascii="Arial"/>
          <w:sz w:val="16"/>
        </w:rPr>
        <w:t>December</w:t>
      </w:r>
      <w:r w:rsidRPr="00283806">
        <w:rPr>
          <w:rFonts w:ascii="Arial"/>
          <w:spacing w:val="4"/>
          <w:sz w:val="16"/>
        </w:rPr>
        <w:t xml:space="preserve"> </w:t>
      </w:r>
      <w:r w:rsidRPr="00283806">
        <w:rPr>
          <w:rFonts w:ascii="Arial"/>
          <w:sz w:val="16"/>
        </w:rPr>
        <w:t>10,</w:t>
      </w:r>
      <w:r w:rsidRPr="00283806">
        <w:rPr>
          <w:rFonts w:ascii="Arial"/>
          <w:spacing w:val="4"/>
          <w:sz w:val="16"/>
        </w:rPr>
        <w:t xml:space="preserve"> </w:t>
      </w:r>
      <w:proofErr w:type="gramStart"/>
      <w:r w:rsidRPr="00283806">
        <w:rPr>
          <w:rFonts w:ascii="Arial"/>
          <w:spacing w:val="-4"/>
          <w:sz w:val="16"/>
        </w:rPr>
        <w:t>2024</w:t>
      </w:r>
      <w:proofErr w:type="gramEnd"/>
      <w:r w:rsidRPr="00283806">
        <w:rPr>
          <w:rFonts w:ascii="Arial"/>
          <w:sz w:val="16"/>
        </w:rPr>
        <w:tab/>
        <w:t>Standards</w:t>
      </w:r>
      <w:r w:rsidRPr="00283806">
        <w:rPr>
          <w:rFonts w:ascii="Arial"/>
          <w:spacing w:val="19"/>
          <w:sz w:val="16"/>
        </w:rPr>
        <w:t xml:space="preserve"> </w:t>
      </w:r>
      <w:r w:rsidRPr="00283806">
        <w:rPr>
          <w:rFonts w:ascii="Arial"/>
          <w:sz w:val="16"/>
        </w:rPr>
        <w:t>for</w:t>
      </w:r>
      <w:r w:rsidRPr="00283806">
        <w:rPr>
          <w:rFonts w:ascii="Arial"/>
          <w:spacing w:val="20"/>
          <w:sz w:val="16"/>
        </w:rPr>
        <w:t xml:space="preserve"> </w:t>
      </w:r>
      <w:r w:rsidRPr="00283806">
        <w:rPr>
          <w:rFonts w:ascii="Arial"/>
          <w:sz w:val="16"/>
        </w:rPr>
        <w:t>the</w:t>
      </w:r>
      <w:r w:rsidRPr="00283806">
        <w:rPr>
          <w:rFonts w:ascii="Arial"/>
          <w:spacing w:val="20"/>
          <w:sz w:val="16"/>
        </w:rPr>
        <w:t xml:space="preserve"> </w:t>
      </w:r>
      <w:r w:rsidRPr="00283806">
        <w:rPr>
          <w:rFonts w:ascii="Arial"/>
          <w:sz w:val="16"/>
        </w:rPr>
        <w:t>Management</w:t>
      </w:r>
      <w:r w:rsidRPr="00283806">
        <w:rPr>
          <w:rFonts w:ascii="Arial"/>
          <w:spacing w:val="20"/>
          <w:sz w:val="16"/>
        </w:rPr>
        <w:t xml:space="preserve"> </w:t>
      </w:r>
      <w:r w:rsidRPr="00283806">
        <w:rPr>
          <w:rFonts w:ascii="Arial"/>
          <w:spacing w:val="-5"/>
          <w:sz w:val="16"/>
        </w:rPr>
        <w:t>of</w:t>
      </w:r>
    </w:p>
    <w:p w14:paraId="51F57794" w14:textId="77777777" w:rsidR="00D67C1E" w:rsidRPr="00283806" w:rsidRDefault="001265CA">
      <w:pPr>
        <w:spacing w:before="1" w:line="235" w:lineRule="auto"/>
        <w:ind w:left="2975"/>
        <w:rPr>
          <w:rFonts w:ascii="Arial"/>
          <w:sz w:val="16"/>
        </w:rPr>
      </w:pPr>
      <w:r w:rsidRPr="00283806">
        <w:rPr>
          <w:rFonts w:ascii="Arial"/>
          <w:sz w:val="16"/>
        </w:rPr>
        <w:t>Ignitable</w:t>
      </w:r>
      <w:r w:rsidRPr="00283806">
        <w:rPr>
          <w:rFonts w:ascii="Arial"/>
          <w:spacing w:val="-1"/>
          <w:sz w:val="16"/>
        </w:rPr>
        <w:t xml:space="preserve"> </w:t>
      </w:r>
      <w:r w:rsidRPr="00283806">
        <w:rPr>
          <w:rFonts w:ascii="Arial"/>
          <w:sz w:val="16"/>
        </w:rPr>
        <w:t>Spent</w:t>
      </w:r>
      <w:r w:rsidRPr="00283806">
        <w:rPr>
          <w:rFonts w:ascii="Arial"/>
          <w:spacing w:val="-1"/>
          <w:sz w:val="16"/>
        </w:rPr>
        <w:t xml:space="preserve"> </w:t>
      </w:r>
      <w:r w:rsidRPr="00283806">
        <w:rPr>
          <w:rFonts w:ascii="Arial"/>
          <w:sz w:val="16"/>
        </w:rPr>
        <w:t>Refrigerants</w:t>
      </w:r>
      <w:r w:rsidRPr="00283806">
        <w:rPr>
          <w:rFonts w:ascii="Arial"/>
          <w:spacing w:val="-1"/>
          <w:sz w:val="16"/>
        </w:rPr>
        <w:t xml:space="preserve"> </w:t>
      </w:r>
      <w:r w:rsidRPr="00283806">
        <w:rPr>
          <w:rFonts w:ascii="Arial"/>
          <w:sz w:val="16"/>
        </w:rPr>
        <w:t>Re- cycled for Reuse.</w:t>
      </w:r>
    </w:p>
    <w:p w14:paraId="50F94082" w14:textId="77777777" w:rsidR="00D67C1E" w:rsidRPr="00283806" w:rsidRDefault="001265CA">
      <w:pPr>
        <w:spacing w:before="3" w:line="182" w:lineRule="exact"/>
        <w:ind w:left="126"/>
        <w:rPr>
          <w:rFonts w:ascii="Arial"/>
          <w:sz w:val="16"/>
        </w:rPr>
      </w:pPr>
      <w:r w:rsidRPr="00283806">
        <w:br w:type="column"/>
      </w:r>
      <w:r w:rsidRPr="00283806">
        <w:rPr>
          <w:rFonts w:ascii="Arial"/>
          <w:sz w:val="16"/>
        </w:rPr>
        <w:t>3001(d)(4)</w:t>
      </w:r>
      <w:r w:rsidRPr="00283806">
        <w:rPr>
          <w:rFonts w:ascii="Arial"/>
          <w:spacing w:val="5"/>
          <w:sz w:val="16"/>
        </w:rPr>
        <w:t xml:space="preserve"> </w:t>
      </w:r>
      <w:r w:rsidRPr="00283806">
        <w:rPr>
          <w:rFonts w:ascii="Arial"/>
          <w:sz w:val="16"/>
        </w:rPr>
        <w:t>3004(n)</w:t>
      </w:r>
      <w:r w:rsidRPr="00283806">
        <w:rPr>
          <w:rFonts w:ascii="Arial"/>
          <w:spacing w:val="17"/>
          <w:sz w:val="16"/>
        </w:rPr>
        <w:t xml:space="preserve"> </w:t>
      </w:r>
      <w:r w:rsidRPr="00283806">
        <w:rPr>
          <w:rFonts w:ascii="Arial"/>
          <w:sz w:val="16"/>
        </w:rPr>
        <w:t>........................</w:t>
      </w:r>
      <w:r w:rsidRPr="00283806">
        <w:rPr>
          <w:rFonts w:ascii="Arial"/>
          <w:spacing w:val="34"/>
          <w:sz w:val="16"/>
        </w:rPr>
        <w:t xml:space="preserve">  </w:t>
      </w:r>
      <w:r w:rsidRPr="00283806">
        <w:rPr>
          <w:rFonts w:ascii="Arial"/>
          <w:sz w:val="16"/>
        </w:rPr>
        <w:t>[</w:t>
      </w:r>
      <w:r w:rsidRPr="00283806">
        <w:rPr>
          <w:rFonts w:ascii="Arial"/>
          <w:b/>
          <w:sz w:val="16"/>
        </w:rPr>
        <w:t>Federal</w:t>
      </w:r>
      <w:r w:rsidRPr="00283806">
        <w:rPr>
          <w:rFonts w:ascii="Arial"/>
          <w:b/>
          <w:spacing w:val="42"/>
          <w:sz w:val="16"/>
        </w:rPr>
        <w:t xml:space="preserve"> </w:t>
      </w:r>
      <w:r w:rsidRPr="00283806">
        <w:rPr>
          <w:rFonts w:ascii="Arial"/>
          <w:b/>
          <w:sz w:val="16"/>
        </w:rPr>
        <w:t>Register</w:t>
      </w:r>
      <w:r w:rsidRPr="00283806">
        <w:rPr>
          <w:rFonts w:ascii="Arial"/>
          <w:b/>
          <w:spacing w:val="41"/>
          <w:sz w:val="16"/>
        </w:rPr>
        <w:t xml:space="preserve"> </w:t>
      </w:r>
      <w:r w:rsidRPr="00283806">
        <w:rPr>
          <w:rFonts w:ascii="Arial"/>
          <w:sz w:val="16"/>
        </w:rPr>
        <w:t>citation</w:t>
      </w:r>
      <w:r w:rsidRPr="00283806">
        <w:rPr>
          <w:rFonts w:ascii="Arial"/>
          <w:spacing w:val="42"/>
          <w:sz w:val="16"/>
        </w:rPr>
        <w:t xml:space="preserve"> </w:t>
      </w:r>
      <w:r w:rsidRPr="00283806">
        <w:rPr>
          <w:rFonts w:ascii="Arial"/>
          <w:sz w:val="16"/>
        </w:rPr>
        <w:t>of</w:t>
      </w:r>
      <w:r w:rsidRPr="00283806">
        <w:rPr>
          <w:rFonts w:ascii="Arial"/>
          <w:spacing w:val="42"/>
          <w:sz w:val="16"/>
        </w:rPr>
        <w:t xml:space="preserve"> </w:t>
      </w:r>
      <w:r w:rsidRPr="00283806">
        <w:rPr>
          <w:rFonts w:ascii="Arial"/>
          <w:spacing w:val="-5"/>
          <w:sz w:val="16"/>
        </w:rPr>
        <w:t>the</w:t>
      </w:r>
    </w:p>
    <w:p w14:paraId="052C899B" w14:textId="77777777" w:rsidR="00D67C1E" w:rsidRPr="00283806" w:rsidRDefault="001265CA">
      <w:pPr>
        <w:spacing w:line="182" w:lineRule="exact"/>
        <w:ind w:left="2936"/>
        <w:rPr>
          <w:rFonts w:ascii="Arial"/>
          <w:sz w:val="16"/>
        </w:rPr>
      </w:pPr>
      <w:r w:rsidRPr="00283806">
        <w:rPr>
          <w:rFonts w:ascii="Arial"/>
          <w:sz w:val="16"/>
        </w:rPr>
        <w:t>final</w:t>
      </w:r>
      <w:r w:rsidRPr="00283806">
        <w:rPr>
          <w:rFonts w:ascii="Arial"/>
          <w:spacing w:val="5"/>
          <w:sz w:val="16"/>
        </w:rPr>
        <w:t xml:space="preserve"> </w:t>
      </w:r>
      <w:r w:rsidRPr="00283806">
        <w:rPr>
          <w:rFonts w:ascii="Arial"/>
          <w:spacing w:val="-2"/>
          <w:sz w:val="16"/>
        </w:rPr>
        <w:t>rule].</w:t>
      </w:r>
    </w:p>
    <w:p w14:paraId="18A7B2A3" w14:textId="77777777" w:rsidR="00D67C1E" w:rsidRPr="00283806" w:rsidRDefault="00D67C1E">
      <w:pPr>
        <w:spacing w:line="182" w:lineRule="exact"/>
        <w:rPr>
          <w:rFonts w:ascii="Arial"/>
          <w:sz w:val="16"/>
        </w:rPr>
        <w:sectPr w:rsidR="00D67C1E" w:rsidRPr="00283806">
          <w:type w:val="continuous"/>
          <w:pgSz w:w="12240" w:h="15840"/>
          <w:pgMar w:top="880" w:right="780" w:bottom="280" w:left="740" w:header="627" w:footer="0" w:gutter="0"/>
          <w:cols w:num="2" w:space="720" w:equalWidth="0">
            <w:col w:w="5300" w:space="40"/>
            <w:col w:w="5380"/>
          </w:cols>
        </w:sectPr>
      </w:pPr>
    </w:p>
    <w:p w14:paraId="747CDAF2" w14:textId="77777777" w:rsidR="00D67C1E" w:rsidRPr="00283806" w:rsidRDefault="00D67C1E">
      <w:pPr>
        <w:pStyle w:val="BodyText"/>
        <w:spacing w:before="9"/>
        <w:ind w:left="0"/>
        <w:rPr>
          <w:rFonts w:ascii="Arial"/>
          <w:sz w:val="4"/>
        </w:rPr>
      </w:pPr>
    </w:p>
    <w:p w14:paraId="74E87DE8" w14:textId="77777777" w:rsidR="00D67C1E" w:rsidRPr="00283806" w:rsidRDefault="001265CA">
      <w:pPr>
        <w:pStyle w:val="BodyText"/>
        <w:spacing w:line="20" w:lineRule="exact"/>
        <w:rPr>
          <w:rFonts w:ascii="Arial"/>
          <w:sz w:val="2"/>
        </w:rPr>
      </w:pPr>
      <w:r w:rsidRPr="00283806">
        <w:rPr>
          <w:rFonts w:ascii="Arial"/>
          <w:noProof/>
          <w:sz w:val="2"/>
        </w:rPr>
        <mc:AlternateContent>
          <mc:Choice Requires="wpg">
            <w:drawing>
              <wp:inline distT="0" distB="0" distL="0" distR="0" wp14:anchorId="587F25AB" wp14:editId="517D7412">
                <wp:extent cx="6629400" cy="5080"/>
                <wp:effectExtent l="9525" t="0" r="0" b="4445"/>
                <wp:docPr id="137" name="Group 13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29400" cy="5080"/>
                          <a:chOff x="0" y="0"/>
                          <a:chExt cx="6629400" cy="5080"/>
                        </a:xfrm>
                      </wpg:grpSpPr>
                      <wps:wsp>
                        <wps:cNvPr id="138" name="Graphic 138"/>
                        <wps:cNvSpPr/>
                        <wps:spPr>
                          <a:xfrm>
                            <a:off x="0" y="2540"/>
                            <a:ext cx="6629400" cy="1270"/>
                          </a:xfrm>
                          <a:custGeom>
                            <a:avLst/>
                            <a:gdLst/>
                            <a:ahLst/>
                            <a:cxnLst/>
                            <a:rect l="l" t="t" r="r" b="b"/>
                            <a:pathLst>
                              <a:path w="6629400">
                                <a:moveTo>
                                  <a:pt x="0" y="0"/>
                                </a:moveTo>
                                <a:lnTo>
                                  <a:pt x="6629400" y="0"/>
                                </a:lnTo>
                              </a:path>
                            </a:pathLst>
                          </a:custGeom>
                          <a:ln w="508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BEA5FFA" id="Group 137" o:spid="_x0000_s1026" alt="&quot;&quot;" style="width:522pt;height:.4pt;mso-position-horizontal-relative:char;mso-position-vertical-relative:line" coordsize="6629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">
                <v:shape id="Graphic 138" o:spid="_x0000_s1027" style="position:absolute;top:25;width:66294;height:13;visibility:visible;mso-wrap-style:square;v-text-anchor:top" coordsize="6629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" path="m,l6629400,e" filled="f" strokeweight=".4pt">
                  <v:path arrowok="t"/>
                </v:shape>
                <w10:anchorlock/>
              </v:group>
            </w:pict>
          </mc:Fallback>
        </mc:AlternateContent>
      </w:r>
    </w:p>
    <w:p w14:paraId="16332133" w14:textId="77777777" w:rsidR="00D67C1E" w:rsidRPr="00283806" w:rsidRDefault="001265CA">
      <w:pPr>
        <w:spacing w:before="38" w:line="172" w:lineRule="exact"/>
        <w:ind w:left="320"/>
        <w:rPr>
          <w:rFonts w:ascii="Arial"/>
          <w:sz w:val="16"/>
        </w:rPr>
      </w:pPr>
      <w:r w:rsidRPr="00283806">
        <w:rPr>
          <w:rFonts w:ascii="Arial"/>
          <w:position w:val="4"/>
          <w:sz w:val="10"/>
        </w:rPr>
        <w:t>1</w:t>
      </w:r>
      <w:r w:rsidRPr="00283806">
        <w:rPr>
          <w:rFonts w:ascii="Arial"/>
          <w:spacing w:val="-3"/>
          <w:position w:val="4"/>
          <w:sz w:val="10"/>
        </w:rPr>
        <w:t xml:space="preserve"> </w:t>
      </w:r>
      <w:r w:rsidRPr="00283806">
        <w:rPr>
          <w:rFonts w:ascii="Arial"/>
          <w:sz w:val="16"/>
        </w:rPr>
        <w:t>Note</w:t>
      </w:r>
      <w:r w:rsidRPr="00283806">
        <w:rPr>
          <w:rFonts w:ascii="Arial"/>
          <w:spacing w:val="8"/>
          <w:sz w:val="16"/>
        </w:rPr>
        <w:t xml:space="preserve"> </w:t>
      </w:r>
      <w:r w:rsidRPr="00283806">
        <w:rPr>
          <w:rFonts w:ascii="Arial"/>
          <w:sz w:val="16"/>
        </w:rPr>
        <w:t>that</w:t>
      </w:r>
      <w:r w:rsidRPr="00283806">
        <w:rPr>
          <w:rFonts w:ascii="Arial"/>
          <w:spacing w:val="7"/>
          <w:sz w:val="16"/>
        </w:rPr>
        <w:t xml:space="preserve"> </w:t>
      </w:r>
      <w:r w:rsidRPr="00283806">
        <w:rPr>
          <w:rFonts w:ascii="Arial"/>
          <w:sz w:val="16"/>
        </w:rPr>
        <w:t>the</w:t>
      </w:r>
      <w:r w:rsidRPr="00283806">
        <w:rPr>
          <w:rFonts w:ascii="Arial"/>
          <w:spacing w:val="7"/>
          <w:sz w:val="16"/>
        </w:rPr>
        <w:t xml:space="preserve"> </w:t>
      </w:r>
      <w:r w:rsidRPr="00283806">
        <w:rPr>
          <w:rFonts w:ascii="Arial"/>
          <w:sz w:val="16"/>
        </w:rPr>
        <w:t>effective</w:t>
      </w:r>
      <w:r w:rsidRPr="00283806">
        <w:rPr>
          <w:rFonts w:ascii="Arial"/>
          <w:spacing w:val="8"/>
          <w:sz w:val="16"/>
        </w:rPr>
        <w:t xml:space="preserve"> </w:t>
      </w:r>
      <w:r w:rsidRPr="00283806">
        <w:rPr>
          <w:rFonts w:ascii="Arial"/>
          <w:sz w:val="16"/>
        </w:rPr>
        <w:t>date</w:t>
      </w:r>
      <w:r w:rsidRPr="00283806">
        <w:rPr>
          <w:rFonts w:ascii="Arial"/>
          <w:spacing w:val="7"/>
          <w:sz w:val="16"/>
        </w:rPr>
        <w:t xml:space="preserve"> </w:t>
      </w:r>
      <w:r w:rsidRPr="00283806">
        <w:rPr>
          <w:rFonts w:ascii="Arial"/>
          <w:sz w:val="16"/>
        </w:rPr>
        <w:t>was</w:t>
      </w:r>
      <w:r w:rsidRPr="00283806">
        <w:rPr>
          <w:rFonts w:ascii="Arial"/>
          <w:spacing w:val="7"/>
          <w:sz w:val="16"/>
        </w:rPr>
        <w:t xml:space="preserve"> </w:t>
      </w:r>
      <w:r w:rsidRPr="00283806">
        <w:rPr>
          <w:rFonts w:ascii="Arial"/>
          <w:sz w:val="16"/>
        </w:rPr>
        <w:t>changed</w:t>
      </w:r>
      <w:r w:rsidRPr="00283806">
        <w:rPr>
          <w:rFonts w:ascii="Arial"/>
          <w:spacing w:val="8"/>
          <w:sz w:val="16"/>
        </w:rPr>
        <w:t xml:space="preserve"> </w:t>
      </w:r>
      <w:r w:rsidRPr="00283806">
        <w:rPr>
          <w:rFonts w:ascii="Arial"/>
          <w:sz w:val="16"/>
        </w:rPr>
        <w:t>to</w:t>
      </w:r>
      <w:r w:rsidRPr="00283806">
        <w:rPr>
          <w:rFonts w:ascii="Arial"/>
          <w:spacing w:val="7"/>
          <w:sz w:val="16"/>
        </w:rPr>
        <w:t xml:space="preserve"> </w:t>
      </w:r>
      <w:r w:rsidRPr="00283806">
        <w:rPr>
          <w:rFonts w:ascii="Arial"/>
          <w:sz w:val="16"/>
        </w:rPr>
        <w:t>Jan.</w:t>
      </w:r>
      <w:r w:rsidRPr="00283806">
        <w:rPr>
          <w:rFonts w:ascii="Arial"/>
          <w:spacing w:val="7"/>
          <w:sz w:val="16"/>
        </w:rPr>
        <w:t xml:space="preserve"> </w:t>
      </w:r>
      <w:r w:rsidRPr="00283806">
        <w:rPr>
          <w:rFonts w:ascii="Arial"/>
          <w:sz w:val="16"/>
        </w:rPr>
        <w:t>29,</w:t>
      </w:r>
      <w:r w:rsidRPr="00283806">
        <w:rPr>
          <w:rFonts w:ascii="Arial"/>
          <w:spacing w:val="8"/>
          <w:sz w:val="16"/>
        </w:rPr>
        <w:t xml:space="preserve"> </w:t>
      </w:r>
      <w:proofErr w:type="gramStart"/>
      <w:r w:rsidRPr="00283806">
        <w:rPr>
          <w:rFonts w:ascii="Arial"/>
          <w:sz w:val="16"/>
        </w:rPr>
        <w:t>1986</w:t>
      </w:r>
      <w:proofErr w:type="gramEnd"/>
      <w:r w:rsidRPr="00283806">
        <w:rPr>
          <w:rFonts w:ascii="Arial"/>
          <w:spacing w:val="7"/>
          <w:sz w:val="16"/>
        </w:rPr>
        <w:t xml:space="preserve"> </w:t>
      </w:r>
      <w:r w:rsidRPr="00283806">
        <w:rPr>
          <w:rFonts w:ascii="Arial"/>
          <w:sz w:val="16"/>
        </w:rPr>
        <w:t>by</w:t>
      </w:r>
      <w:r w:rsidRPr="00283806">
        <w:rPr>
          <w:rFonts w:ascii="Arial"/>
          <w:spacing w:val="7"/>
          <w:sz w:val="16"/>
        </w:rPr>
        <w:t xml:space="preserve"> </w:t>
      </w:r>
      <w:r w:rsidRPr="00283806">
        <w:rPr>
          <w:rFonts w:ascii="Arial"/>
          <w:sz w:val="16"/>
        </w:rPr>
        <w:t>the</w:t>
      </w:r>
      <w:r w:rsidRPr="00283806">
        <w:rPr>
          <w:rFonts w:ascii="Arial"/>
          <w:spacing w:val="8"/>
          <w:sz w:val="16"/>
        </w:rPr>
        <w:t xml:space="preserve"> </w:t>
      </w:r>
      <w:r w:rsidRPr="00283806">
        <w:rPr>
          <w:rFonts w:ascii="Arial"/>
          <w:sz w:val="16"/>
        </w:rPr>
        <w:t>Nov.</w:t>
      </w:r>
      <w:r w:rsidRPr="00283806">
        <w:rPr>
          <w:rFonts w:ascii="Arial"/>
          <w:spacing w:val="7"/>
          <w:sz w:val="16"/>
        </w:rPr>
        <w:t xml:space="preserve"> </w:t>
      </w:r>
      <w:r w:rsidRPr="00283806">
        <w:rPr>
          <w:rFonts w:ascii="Arial"/>
          <w:sz w:val="16"/>
        </w:rPr>
        <w:t>29,</w:t>
      </w:r>
      <w:r w:rsidRPr="00283806">
        <w:rPr>
          <w:rFonts w:ascii="Arial"/>
          <w:spacing w:val="7"/>
          <w:sz w:val="16"/>
        </w:rPr>
        <w:t xml:space="preserve"> </w:t>
      </w:r>
      <w:proofErr w:type="gramStart"/>
      <w:r w:rsidRPr="00283806">
        <w:rPr>
          <w:rFonts w:ascii="Arial"/>
          <w:sz w:val="16"/>
        </w:rPr>
        <w:t>1985</w:t>
      </w:r>
      <w:proofErr w:type="gramEnd"/>
      <w:r w:rsidRPr="00283806">
        <w:rPr>
          <w:rFonts w:ascii="Arial"/>
          <w:spacing w:val="8"/>
          <w:sz w:val="16"/>
        </w:rPr>
        <w:t xml:space="preserve"> </w:t>
      </w:r>
      <w:r w:rsidRPr="00283806">
        <w:rPr>
          <w:rFonts w:ascii="Arial"/>
          <w:spacing w:val="-2"/>
          <w:sz w:val="16"/>
        </w:rPr>
        <w:t>rule.</w:t>
      </w:r>
    </w:p>
    <w:p w14:paraId="428D5501" w14:textId="77777777" w:rsidR="00D67C1E" w:rsidRPr="00283806" w:rsidRDefault="001265CA">
      <w:pPr>
        <w:spacing w:line="172" w:lineRule="exact"/>
        <w:ind w:left="320"/>
        <w:rPr>
          <w:rFonts w:ascii="Arial"/>
          <w:sz w:val="16"/>
        </w:rPr>
      </w:pPr>
      <w:r w:rsidRPr="00283806">
        <w:rPr>
          <w:rFonts w:ascii="Arial"/>
          <w:position w:val="4"/>
          <w:sz w:val="10"/>
        </w:rPr>
        <w:t>2</w:t>
      </w:r>
      <w:r w:rsidRPr="00283806">
        <w:rPr>
          <w:rFonts w:ascii="Arial"/>
          <w:spacing w:val="-3"/>
          <w:position w:val="4"/>
          <w:sz w:val="10"/>
        </w:rPr>
        <w:t xml:space="preserve"> </w:t>
      </w:r>
      <w:r w:rsidRPr="00283806">
        <w:rPr>
          <w:rFonts w:ascii="Arial"/>
          <w:sz w:val="16"/>
        </w:rPr>
        <w:t>Note</w:t>
      </w:r>
      <w:r w:rsidRPr="00283806">
        <w:rPr>
          <w:rFonts w:ascii="Arial"/>
          <w:spacing w:val="8"/>
          <w:sz w:val="16"/>
        </w:rPr>
        <w:t xml:space="preserve"> </w:t>
      </w:r>
      <w:r w:rsidRPr="00283806">
        <w:rPr>
          <w:rFonts w:ascii="Arial"/>
          <w:sz w:val="16"/>
        </w:rPr>
        <w:t>that</w:t>
      </w:r>
      <w:r w:rsidRPr="00283806">
        <w:rPr>
          <w:rFonts w:ascii="Arial"/>
          <w:spacing w:val="7"/>
          <w:sz w:val="16"/>
        </w:rPr>
        <w:t xml:space="preserve"> </w:t>
      </w:r>
      <w:r w:rsidRPr="00283806">
        <w:rPr>
          <w:rFonts w:ascii="Arial"/>
          <w:sz w:val="16"/>
        </w:rPr>
        <w:t>the</w:t>
      </w:r>
      <w:r w:rsidRPr="00283806">
        <w:rPr>
          <w:rFonts w:ascii="Arial"/>
          <w:spacing w:val="7"/>
          <w:sz w:val="16"/>
        </w:rPr>
        <w:t xml:space="preserve"> </w:t>
      </w:r>
      <w:r w:rsidRPr="00283806">
        <w:rPr>
          <w:rFonts w:ascii="Arial"/>
          <w:sz w:val="16"/>
        </w:rPr>
        <w:t>effective</w:t>
      </w:r>
      <w:r w:rsidRPr="00283806">
        <w:rPr>
          <w:rFonts w:ascii="Arial"/>
          <w:spacing w:val="8"/>
          <w:sz w:val="16"/>
        </w:rPr>
        <w:t xml:space="preserve"> </w:t>
      </w:r>
      <w:r w:rsidRPr="00283806">
        <w:rPr>
          <w:rFonts w:ascii="Arial"/>
          <w:sz w:val="16"/>
        </w:rPr>
        <w:t>date</w:t>
      </w:r>
      <w:r w:rsidRPr="00283806">
        <w:rPr>
          <w:rFonts w:ascii="Arial"/>
          <w:spacing w:val="7"/>
          <w:sz w:val="16"/>
        </w:rPr>
        <w:t xml:space="preserve"> </w:t>
      </w:r>
      <w:r w:rsidRPr="00283806">
        <w:rPr>
          <w:rFonts w:ascii="Arial"/>
          <w:sz w:val="16"/>
        </w:rPr>
        <w:t>was</w:t>
      </w:r>
      <w:r w:rsidRPr="00283806">
        <w:rPr>
          <w:rFonts w:ascii="Arial"/>
          <w:spacing w:val="7"/>
          <w:sz w:val="16"/>
        </w:rPr>
        <w:t xml:space="preserve"> </w:t>
      </w:r>
      <w:r w:rsidRPr="00283806">
        <w:rPr>
          <w:rFonts w:ascii="Arial"/>
          <w:sz w:val="16"/>
        </w:rPr>
        <w:t>changed</w:t>
      </w:r>
      <w:r w:rsidRPr="00283806">
        <w:rPr>
          <w:rFonts w:ascii="Arial"/>
          <w:spacing w:val="8"/>
          <w:sz w:val="16"/>
        </w:rPr>
        <w:t xml:space="preserve"> </w:t>
      </w:r>
      <w:r w:rsidRPr="00283806">
        <w:rPr>
          <w:rFonts w:ascii="Arial"/>
          <w:sz w:val="16"/>
        </w:rPr>
        <w:t>to</w:t>
      </w:r>
      <w:r w:rsidRPr="00283806">
        <w:rPr>
          <w:rFonts w:ascii="Arial"/>
          <w:spacing w:val="7"/>
          <w:sz w:val="16"/>
        </w:rPr>
        <w:t xml:space="preserve"> </w:t>
      </w:r>
      <w:r w:rsidRPr="00283806">
        <w:rPr>
          <w:rFonts w:ascii="Arial"/>
          <w:sz w:val="16"/>
        </w:rPr>
        <w:t>Sept.</w:t>
      </w:r>
      <w:r w:rsidRPr="00283806">
        <w:rPr>
          <w:rFonts w:ascii="Arial"/>
          <w:spacing w:val="7"/>
          <w:sz w:val="16"/>
        </w:rPr>
        <w:t xml:space="preserve"> </w:t>
      </w:r>
      <w:r w:rsidRPr="00283806">
        <w:rPr>
          <w:rFonts w:ascii="Arial"/>
          <w:sz w:val="16"/>
        </w:rPr>
        <w:t>22,</w:t>
      </w:r>
      <w:r w:rsidRPr="00283806">
        <w:rPr>
          <w:rFonts w:ascii="Arial"/>
          <w:spacing w:val="8"/>
          <w:sz w:val="16"/>
        </w:rPr>
        <w:t xml:space="preserve"> </w:t>
      </w:r>
      <w:proofErr w:type="gramStart"/>
      <w:r w:rsidRPr="00283806">
        <w:rPr>
          <w:rFonts w:ascii="Arial"/>
          <w:sz w:val="16"/>
        </w:rPr>
        <w:t>1986</w:t>
      </w:r>
      <w:proofErr w:type="gramEnd"/>
      <w:r w:rsidRPr="00283806">
        <w:rPr>
          <w:rFonts w:ascii="Arial"/>
          <w:spacing w:val="7"/>
          <w:sz w:val="16"/>
        </w:rPr>
        <w:t xml:space="preserve"> </w:t>
      </w:r>
      <w:r w:rsidRPr="00283806">
        <w:rPr>
          <w:rFonts w:ascii="Arial"/>
          <w:sz w:val="16"/>
        </w:rPr>
        <w:t>by</w:t>
      </w:r>
      <w:r w:rsidRPr="00283806">
        <w:rPr>
          <w:rFonts w:ascii="Arial"/>
          <w:spacing w:val="7"/>
          <w:sz w:val="16"/>
        </w:rPr>
        <w:t xml:space="preserve"> </w:t>
      </w:r>
      <w:r w:rsidRPr="00283806">
        <w:rPr>
          <w:rFonts w:ascii="Arial"/>
          <w:sz w:val="16"/>
        </w:rPr>
        <w:t>the</w:t>
      </w:r>
      <w:r w:rsidRPr="00283806">
        <w:rPr>
          <w:rFonts w:ascii="Arial"/>
          <w:spacing w:val="8"/>
          <w:sz w:val="16"/>
        </w:rPr>
        <w:t xml:space="preserve"> </w:t>
      </w:r>
      <w:r w:rsidRPr="00283806">
        <w:rPr>
          <w:rFonts w:ascii="Arial"/>
          <w:sz w:val="16"/>
        </w:rPr>
        <w:t>Mar.</w:t>
      </w:r>
      <w:r w:rsidRPr="00283806">
        <w:rPr>
          <w:rFonts w:ascii="Arial"/>
          <w:spacing w:val="7"/>
          <w:sz w:val="16"/>
        </w:rPr>
        <w:t xml:space="preserve"> </w:t>
      </w:r>
      <w:r w:rsidRPr="00283806">
        <w:rPr>
          <w:rFonts w:ascii="Arial"/>
          <w:sz w:val="16"/>
        </w:rPr>
        <w:t>24,</w:t>
      </w:r>
      <w:r w:rsidRPr="00283806">
        <w:rPr>
          <w:rFonts w:ascii="Arial"/>
          <w:spacing w:val="7"/>
          <w:sz w:val="16"/>
        </w:rPr>
        <w:t xml:space="preserve"> </w:t>
      </w:r>
      <w:proofErr w:type="gramStart"/>
      <w:r w:rsidRPr="00283806">
        <w:rPr>
          <w:rFonts w:ascii="Arial"/>
          <w:sz w:val="16"/>
        </w:rPr>
        <w:t>1986</w:t>
      </w:r>
      <w:proofErr w:type="gramEnd"/>
      <w:r w:rsidRPr="00283806">
        <w:rPr>
          <w:rFonts w:ascii="Arial"/>
          <w:spacing w:val="8"/>
          <w:sz w:val="16"/>
        </w:rPr>
        <w:t xml:space="preserve"> </w:t>
      </w:r>
      <w:r w:rsidRPr="00283806">
        <w:rPr>
          <w:rFonts w:ascii="Arial"/>
          <w:spacing w:val="-2"/>
          <w:sz w:val="16"/>
        </w:rPr>
        <w:t>rule.</w:t>
      </w:r>
    </w:p>
    <w:p w14:paraId="4302D909" w14:textId="77777777" w:rsidR="00D67C1E" w:rsidRPr="00283806" w:rsidRDefault="00D67C1E">
      <w:pPr>
        <w:pStyle w:val="BodyText"/>
        <w:ind w:left="0"/>
        <w:rPr>
          <w:rFonts w:ascii="Arial"/>
          <w:sz w:val="16"/>
        </w:rPr>
      </w:pPr>
    </w:p>
    <w:p w14:paraId="5F4D07A8" w14:textId="77777777" w:rsidR="00D67C1E" w:rsidRPr="00283806" w:rsidRDefault="00D67C1E">
      <w:pPr>
        <w:pStyle w:val="BodyText"/>
        <w:spacing w:before="21"/>
        <w:ind w:left="0"/>
        <w:rPr>
          <w:rFonts w:ascii="Arial"/>
          <w:sz w:val="16"/>
        </w:rPr>
      </w:pPr>
    </w:p>
    <w:p w14:paraId="292BAC9F" w14:textId="77777777" w:rsidR="00D67C1E" w:rsidRPr="00283806" w:rsidRDefault="001265CA">
      <w:pPr>
        <w:ind w:left="160"/>
        <w:rPr>
          <w:sz w:val="14"/>
        </w:rPr>
      </w:pPr>
      <w:r w:rsidRPr="00283806">
        <w:rPr>
          <w:w w:val="105"/>
          <w:sz w:val="14"/>
        </w:rPr>
        <w:t>[FR</w:t>
      </w:r>
      <w:r w:rsidRPr="00283806">
        <w:rPr>
          <w:spacing w:val="2"/>
          <w:w w:val="105"/>
          <w:sz w:val="14"/>
        </w:rPr>
        <w:t xml:space="preserve"> </w:t>
      </w:r>
      <w:r w:rsidRPr="00283806">
        <w:rPr>
          <w:w w:val="105"/>
          <w:sz w:val="14"/>
        </w:rPr>
        <w:t>Doc.</w:t>
      </w:r>
      <w:r w:rsidRPr="00283806">
        <w:rPr>
          <w:spacing w:val="3"/>
          <w:w w:val="105"/>
          <w:sz w:val="14"/>
        </w:rPr>
        <w:t xml:space="preserve"> </w:t>
      </w:r>
      <w:r w:rsidRPr="00283806">
        <w:rPr>
          <w:w w:val="105"/>
          <w:sz w:val="14"/>
        </w:rPr>
        <w:t>2024–21967</w:t>
      </w:r>
      <w:r w:rsidRPr="00283806">
        <w:rPr>
          <w:spacing w:val="3"/>
          <w:w w:val="105"/>
          <w:sz w:val="14"/>
        </w:rPr>
        <w:t xml:space="preserve"> </w:t>
      </w:r>
      <w:r w:rsidRPr="00283806">
        <w:rPr>
          <w:w w:val="105"/>
          <w:sz w:val="14"/>
        </w:rPr>
        <w:t>Filed</w:t>
      </w:r>
      <w:r w:rsidRPr="00283806">
        <w:rPr>
          <w:spacing w:val="3"/>
          <w:w w:val="105"/>
          <w:sz w:val="14"/>
        </w:rPr>
        <w:t xml:space="preserve"> </w:t>
      </w:r>
      <w:r w:rsidRPr="00283806">
        <w:rPr>
          <w:w w:val="105"/>
          <w:sz w:val="14"/>
        </w:rPr>
        <w:t>10–10–24;</w:t>
      </w:r>
      <w:r w:rsidRPr="00283806">
        <w:rPr>
          <w:spacing w:val="3"/>
          <w:w w:val="105"/>
          <w:sz w:val="14"/>
        </w:rPr>
        <w:t xml:space="preserve"> </w:t>
      </w:r>
      <w:r w:rsidRPr="00283806">
        <w:rPr>
          <w:w w:val="105"/>
          <w:sz w:val="14"/>
        </w:rPr>
        <w:t>8:45</w:t>
      </w:r>
      <w:r w:rsidRPr="00283806">
        <w:rPr>
          <w:spacing w:val="2"/>
          <w:w w:val="105"/>
          <w:sz w:val="14"/>
        </w:rPr>
        <w:t xml:space="preserve"> </w:t>
      </w:r>
      <w:r w:rsidRPr="00283806">
        <w:rPr>
          <w:spacing w:val="-5"/>
          <w:w w:val="105"/>
          <w:sz w:val="14"/>
        </w:rPr>
        <w:t>am]</w:t>
      </w:r>
    </w:p>
    <w:p w14:paraId="0B8A1B85" w14:textId="77777777" w:rsidR="00D67C1E" w:rsidRDefault="001265CA">
      <w:pPr>
        <w:spacing w:before="76"/>
        <w:ind w:left="160"/>
        <w:rPr>
          <w:rFonts w:ascii="Arial" w:hAnsi="Arial"/>
          <w:b/>
          <w:sz w:val="12"/>
        </w:rPr>
      </w:pPr>
      <w:r w:rsidRPr="00283806">
        <w:rPr>
          <w:rFonts w:ascii="Arial" w:hAnsi="Arial"/>
          <w:b/>
          <w:sz w:val="12"/>
        </w:rPr>
        <w:t>BILLING</w:t>
      </w:r>
      <w:r w:rsidRPr="00283806">
        <w:rPr>
          <w:rFonts w:ascii="Arial" w:hAnsi="Arial"/>
          <w:b/>
          <w:spacing w:val="19"/>
          <w:sz w:val="12"/>
        </w:rPr>
        <w:t xml:space="preserve"> </w:t>
      </w:r>
      <w:r w:rsidRPr="00283806">
        <w:rPr>
          <w:rFonts w:ascii="Arial" w:hAnsi="Arial"/>
          <w:b/>
          <w:sz w:val="12"/>
        </w:rPr>
        <w:t>CODE</w:t>
      </w:r>
      <w:r w:rsidRPr="00283806">
        <w:rPr>
          <w:rFonts w:ascii="Arial" w:hAnsi="Arial"/>
          <w:b/>
          <w:spacing w:val="19"/>
          <w:sz w:val="12"/>
        </w:rPr>
        <w:t xml:space="preserve"> </w:t>
      </w:r>
      <w:r w:rsidRPr="00283806">
        <w:rPr>
          <w:rFonts w:ascii="Arial" w:hAnsi="Arial"/>
          <w:b/>
          <w:spacing w:val="-2"/>
          <w:sz w:val="12"/>
        </w:rPr>
        <w:t>6560–50–P</w:t>
      </w:r>
    </w:p>
    <w:sectPr w:rsidR="00D67C1E">
      <w:type w:val="continuous"/>
      <w:pgSz w:w="12240" w:h="15840"/>
      <w:pgMar w:top="880" w:right="780" w:bottom="280" w:left="740" w:header="627"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32188" w14:textId="77777777" w:rsidR="001265CA" w:rsidRDefault="001265CA">
      <w:r>
        <w:separator/>
      </w:r>
    </w:p>
  </w:endnote>
  <w:endnote w:type="continuationSeparator" w:id="0">
    <w:p w14:paraId="2CC649A2" w14:textId="77777777" w:rsidR="001265CA" w:rsidRDefault="001265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altName w:val="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ngravers MT">
    <w:altName w:val="Engravers MT"/>
    <w:panose1 w:val="020907070805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016E3" w14:textId="77777777" w:rsidR="001265CA" w:rsidRDefault="001265CA">
      <w:r>
        <w:separator/>
      </w:r>
    </w:p>
  </w:footnote>
  <w:footnote w:type="continuationSeparator" w:id="0">
    <w:p w14:paraId="39F8A5E1" w14:textId="77777777" w:rsidR="001265CA" w:rsidRDefault="001265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C8305" w14:textId="77777777" w:rsidR="00D67C1E" w:rsidRDefault="001265CA">
    <w:pPr>
      <w:pStyle w:val="BodyText"/>
      <w:spacing w:line="14" w:lineRule="auto"/>
      <w:ind w:left="0"/>
      <w:rPr>
        <w:sz w:val="20"/>
      </w:rPr>
    </w:pPr>
    <w:r>
      <w:rPr>
        <w:noProof/>
      </w:rPr>
      <mc:AlternateContent>
        <mc:Choice Requires="wps">
          <w:drawing>
            <wp:anchor distT="0" distB="0" distL="0" distR="0" simplePos="0" relativeHeight="483930624" behindDoc="1" locked="0" layoutInCell="1" allowOverlap="1" wp14:anchorId="58FB6CA4" wp14:editId="4083B4CE">
              <wp:simplePos x="0" y="0"/>
              <wp:positionH relativeFrom="page">
                <wp:posOffset>533400</wp:posOffset>
              </wp:positionH>
              <wp:positionV relativeFrom="page">
                <wp:posOffset>385330</wp:posOffset>
              </wp:positionV>
              <wp:extent cx="477520"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7520" cy="196215"/>
                      </a:xfrm>
                      <a:prstGeom prst="rect">
                        <a:avLst/>
                      </a:prstGeom>
                    </wps:spPr>
                    <wps:txbx>
                      <w:txbxContent>
                        <w:p w14:paraId="490B98DF" w14:textId="77777777" w:rsidR="00D67C1E" w:rsidRDefault="001265CA">
                          <w:pPr>
                            <w:spacing w:before="26"/>
                            <w:ind w:left="60"/>
                            <w:rPr>
                              <w:rFonts w:ascii="Book Antiqua"/>
                              <w:b/>
                            </w:rPr>
                          </w:pPr>
                          <w:r>
                            <w:rPr>
                              <w:rFonts w:ascii="Book Antiqua"/>
                              <w:b/>
                              <w:spacing w:val="-2"/>
                              <w:w w:val="110"/>
                            </w:rPr>
                            <w:fldChar w:fldCharType="begin"/>
                          </w:r>
                          <w:r>
                            <w:rPr>
                              <w:rFonts w:ascii="Book Antiqua"/>
                              <w:b/>
                              <w:spacing w:val="-2"/>
                              <w:w w:val="110"/>
                            </w:rPr>
                            <w:instrText xml:space="preserve"> PAGE </w:instrText>
                          </w:r>
                          <w:r>
                            <w:rPr>
                              <w:rFonts w:ascii="Book Antiqua"/>
                              <w:b/>
                              <w:spacing w:val="-2"/>
                              <w:w w:val="110"/>
                            </w:rPr>
                            <w:fldChar w:fldCharType="separate"/>
                          </w:r>
                          <w:r>
                            <w:rPr>
                              <w:rFonts w:ascii="Book Antiqua"/>
                              <w:b/>
                              <w:spacing w:val="-2"/>
                              <w:w w:val="110"/>
                            </w:rPr>
                            <w:t>82682</w:t>
                          </w:r>
                          <w:r>
                            <w:rPr>
                              <w:rFonts w:ascii="Book Antiqua"/>
                              <w:b/>
                              <w:spacing w:val="-2"/>
                              <w:w w:val="110"/>
                            </w:rPr>
                            <w:fldChar w:fldCharType="end"/>
                          </w:r>
                        </w:p>
                      </w:txbxContent>
                    </wps:txbx>
                    <wps:bodyPr wrap="square" lIns="0" tIns="0" rIns="0" bIns="0" rtlCol="0">
                      <a:noAutofit/>
                    </wps:bodyPr>
                  </wps:wsp>
                </a:graphicData>
              </a:graphic>
            </wp:anchor>
          </w:drawing>
        </mc:Choice>
        <mc:Fallback>
          <w:pict>
            <v:shapetype w14:anchorId="58FB6CA4" id="_x0000_t202" coordsize="21600,21600" o:spt="202" path="m,l,21600r21600,l21600,xe">
              <v:stroke joinstyle="miter"/>
              <v:path gradientshapeok="t" o:connecttype="rect"/>
            </v:shapetype>
            <v:shape id="Textbox 1" o:spid="_x0000_s1026" type="#_x0000_t202" style="position:absolute;margin-left:42pt;margin-top:30.35pt;width:37.6pt;height:15.45pt;z-index:-19385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" filled="f" stroked="f">
              <v:textbox inset="0,0,0,0">
                <w:txbxContent>
                  <w:p w14:paraId="490B98DF" w14:textId="77777777" w:rsidR="00D67C1E" w:rsidRDefault="001265CA">
                    <w:pPr>
                      <w:spacing w:before="26"/>
                      <w:ind w:left="60"/>
                      <w:rPr>
                        <w:rFonts w:ascii="Book Antiqua"/>
                        <w:b/>
                      </w:rPr>
                    </w:pPr>
                    <w:r>
                      <w:rPr>
                        <w:rFonts w:ascii="Book Antiqua"/>
                        <w:b/>
                        <w:spacing w:val="-2"/>
                        <w:w w:val="110"/>
                      </w:rPr>
                      <w:fldChar w:fldCharType="begin"/>
                    </w:r>
                    <w:r>
                      <w:rPr>
                        <w:rFonts w:ascii="Book Antiqua"/>
                        <w:b/>
                        <w:spacing w:val="-2"/>
                        <w:w w:val="110"/>
                      </w:rPr>
                      <w:instrText xml:space="preserve"> PAGE </w:instrText>
                    </w:r>
                    <w:r>
                      <w:rPr>
                        <w:rFonts w:ascii="Book Antiqua"/>
                        <w:b/>
                        <w:spacing w:val="-2"/>
                        <w:w w:val="110"/>
                      </w:rPr>
                      <w:fldChar w:fldCharType="separate"/>
                    </w:r>
                    <w:r>
                      <w:rPr>
                        <w:rFonts w:ascii="Book Antiqua"/>
                        <w:b/>
                        <w:spacing w:val="-2"/>
                        <w:w w:val="110"/>
                      </w:rPr>
                      <w:t>82682</w:t>
                    </w:r>
                    <w:r>
                      <w:rPr>
                        <w:rFonts w:ascii="Book Antiqua"/>
                        <w:b/>
                        <w:spacing w:val="-2"/>
                        <w:w w:val="110"/>
                      </w:rPr>
                      <w:fldChar w:fldCharType="end"/>
                    </w:r>
                  </w:p>
                </w:txbxContent>
              </v:textbox>
              <w10:wrap anchorx="page" anchory="page"/>
            </v:shape>
          </w:pict>
        </mc:Fallback>
      </mc:AlternateContent>
    </w:r>
    <w:r>
      <w:rPr>
        <w:noProof/>
      </w:rPr>
      <mc:AlternateContent>
        <mc:Choice Requires="wps">
          <w:drawing>
            <wp:anchor distT="0" distB="0" distL="0" distR="0" simplePos="0" relativeHeight="483931136" behindDoc="1" locked="0" layoutInCell="1" allowOverlap="1" wp14:anchorId="17BC2BE3" wp14:editId="28EC7045">
              <wp:simplePos x="0" y="0"/>
              <wp:positionH relativeFrom="page">
                <wp:posOffset>1336039</wp:posOffset>
              </wp:positionH>
              <wp:positionV relativeFrom="page">
                <wp:posOffset>397636</wp:posOffset>
              </wp:positionV>
              <wp:extent cx="5098415" cy="18097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8415" cy="180975"/>
                      </a:xfrm>
                      <a:prstGeom prst="rect">
                        <a:avLst/>
                      </a:prstGeom>
                    </wps:spPr>
                    <wps:txbx>
                      <w:txbxContent>
                        <w:p w14:paraId="2BAE3A20" w14:textId="77777777" w:rsidR="00D67C1E" w:rsidRDefault="001265CA">
                          <w:pPr>
                            <w:spacing w:before="23"/>
                            <w:ind w:left="20"/>
                            <w:rPr>
                              <w:sz w:val="20"/>
                            </w:rPr>
                          </w:pPr>
                          <w:r>
                            <w:rPr>
                              <w:rFonts w:ascii="Book Antiqua"/>
                              <w:b/>
                              <w:sz w:val="20"/>
                            </w:rPr>
                            <w:t>Federal</w:t>
                          </w:r>
                          <w:r>
                            <w:rPr>
                              <w:rFonts w:ascii="Book Antiqua"/>
                              <w:b/>
                              <w:spacing w:val="57"/>
                              <w:sz w:val="20"/>
                            </w:rPr>
                            <w:t xml:space="preserve"> </w:t>
                          </w:r>
                          <w:r>
                            <w:rPr>
                              <w:rFonts w:ascii="Book Antiqua"/>
                              <w:b/>
                              <w:sz w:val="20"/>
                            </w:rPr>
                            <w:t>Register</w:t>
                          </w:r>
                          <w:r>
                            <w:rPr>
                              <w:rFonts w:ascii="Book Antiqua"/>
                              <w:b/>
                              <w:spacing w:val="-15"/>
                              <w:sz w:val="20"/>
                            </w:rPr>
                            <w:t xml:space="preserve"> </w:t>
                          </w:r>
                          <w:r>
                            <w:rPr>
                              <w:sz w:val="20"/>
                            </w:rPr>
                            <w:t>/</w:t>
                          </w:r>
                          <w:r>
                            <w:rPr>
                              <w:spacing w:val="-9"/>
                              <w:sz w:val="20"/>
                            </w:rPr>
                            <w:t xml:space="preserve"> </w:t>
                          </w:r>
                          <w:r>
                            <w:rPr>
                              <w:sz w:val="20"/>
                            </w:rPr>
                            <w:t>Vol.</w:t>
                          </w:r>
                          <w:r>
                            <w:rPr>
                              <w:spacing w:val="63"/>
                              <w:sz w:val="20"/>
                            </w:rPr>
                            <w:t xml:space="preserve"> </w:t>
                          </w:r>
                          <w:r>
                            <w:rPr>
                              <w:sz w:val="20"/>
                            </w:rPr>
                            <w:t>89,</w:t>
                          </w:r>
                          <w:r>
                            <w:rPr>
                              <w:spacing w:val="63"/>
                              <w:sz w:val="20"/>
                            </w:rPr>
                            <w:t xml:space="preserve"> </w:t>
                          </w:r>
                          <w:r>
                            <w:rPr>
                              <w:sz w:val="20"/>
                            </w:rPr>
                            <w:t>No.</w:t>
                          </w:r>
                          <w:r>
                            <w:rPr>
                              <w:spacing w:val="64"/>
                              <w:sz w:val="20"/>
                            </w:rPr>
                            <w:t xml:space="preserve"> </w:t>
                          </w:r>
                          <w:r>
                            <w:rPr>
                              <w:sz w:val="20"/>
                            </w:rPr>
                            <w:t>198</w:t>
                          </w:r>
                          <w:r>
                            <w:rPr>
                              <w:spacing w:val="-9"/>
                              <w:sz w:val="20"/>
                            </w:rPr>
                            <w:t xml:space="preserve"> </w:t>
                          </w:r>
                          <w:r>
                            <w:rPr>
                              <w:sz w:val="20"/>
                            </w:rPr>
                            <w:t>/</w:t>
                          </w:r>
                          <w:r>
                            <w:rPr>
                              <w:spacing w:val="-9"/>
                              <w:sz w:val="20"/>
                            </w:rPr>
                            <w:t xml:space="preserve"> </w:t>
                          </w:r>
                          <w:r>
                            <w:rPr>
                              <w:sz w:val="20"/>
                            </w:rPr>
                            <w:t>Friday,</w:t>
                          </w:r>
                          <w:r>
                            <w:rPr>
                              <w:spacing w:val="63"/>
                              <w:sz w:val="20"/>
                            </w:rPr>
                            <w:t xml:space="preserve"> </w:t>
                          </w:r>
                          <w:r>
                            <w:rPr>
                              <w:sz w:val="20"/>
                            </w:rPr>
                            <w:t>October</w:t>
                          </w:r>
                          <w:r>
                            <w:rPr>
                              <w:spacing w:val="63"/>
                              <w:sz w:val="20"/>
                            </w:rPr>
                            <w:t xml:space="preserve"> </w:t>
                          </w:r>
                          <w:r>
                            <w:rPr>
                              <w:sz w:val="20"/>
                            </w:rPr>
                            <w:t>11,</w:t>
                          </w:r>
                          <w:r>
                            <w:rPr>
                              <w:spacing w:val="63"/>
                              <w:sz w:val="20"/>
                            </w:rPr>
                            <w:t xml:space="preserve"> </w:t>
                          </w:r>
                          <w:r>
                            <w:rPr>
                              <w:sz w:val="20"/>
                            </w:rPr>
                            <w:t>2024</w:t>
                          </w:r>
                          <w:r>
                            <w:rPr>
                              <w:spacing w:val="-8"/>
                              <w:sz w:val="20"/>
                            </w:rPr>
                            <w:t xml:space="preserve"> </w:t>
                          </w:r>
                          <w:r>
                            <w:rPr>
                              <w:sz w:val="20"/>
                            </w:rPr>
                            <w:t>/</w:t>
                          </w:r>
                          <w:r>
                            <w:rPr>
                              <w:spacing w:val="-9"/>
                              <w:sz w:val="20"/>
                            </w:rPr>
                            <w:t xml:space="preserve"> </w:t>
                          </w:r>
                          <w:r>
                            <w:rPr>
                              <w:sz w:val="20"/>
                            </w:rPr>
                            <w:t>Rules</w:t>
                          </w:r>
                          <w:r>
                            <w:rPr>
                              <w:spacing w:val="63"/>
                              <w:sz w:val="20"/>
                            </w:rPr>
                            <w:t xml:space="preserve"> </w:t>
                          </w:r>
                          <w:r>
                            <w:rPr>
                              <w:sz w:val="20"/>
                            </w:rPr>
                            <w:t>and</w:t>
                          </w:r>
                          <w:r>
                            <w:rPr>
                              <w:spacing w:val="63"/>
                              <w:sz w:val="20"/>
                            </w:rPr>
                            <w:t xml:space="preserve"> </w:t>
                          </w:r>
                          <w:r>
                            <w:rPr>
                              <w:spacing w:val="-2"/>
                              <w:sz w:val="20"/>
                            </w:rPr>
                            <w:t>Regulations</w:t>
                          </w:r>
                        </w:p>
                      </w:txbxContent>
                    </wps:txbx>
                    <wps:bodyPr wrap="square" lIns="0" tIns="0" rIns="0" bIns="0" rtlCol="0">
                      <a:noAutofit/>
                    </wps:bodyPr>
                  </wps:wsp>
                </a:graphicData>
              </a:graphic>
            </wp:anchor>
          </w:drawing>
        </mc:Choice>
        <mc:Fallback>
          <w:pict>
            <v:shape w14:anchorId="17BC2BE3" id="Textbox 2" o:spid="_x0000_s1027" type="#_x0000_t202" style="position:absolute;margin-left:105.2pt;margin-top:31.3pt;width:401.45pt;height:14.25pt;z-index:-19385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" filled="f" stroked="f">
              <v:textbox inset="0,0,0,0">
                <w:txbxContent>
                  <w:p w14:paraId="2BAE3A20" w14:textId="77777777" w:rsidR="00D67C1E" w:rsidRDefault="001265CA">
                    <w:pPr>
                      <w:spacing w:before="23"/>
                      <w:ind w:left="20"/>
                      <w:rPr>
                        <w:sz w:val="20"/>
                      </w:rPr>
                    </w:pPr>
                    <w:r>
                      <w:rPr>
                        <w:rFonts w:ascii="Book Antiqua"/>
                        <w:b/>
                        <w:sz w:val="20"/>
                      </w:rPr>
                      <w:t>Federal</w:t>
                    </w:r>
                    <w:r>
                      <w:rPr>
                        <w:rFonts w:ascii="Book Antiqua"/>
                        <w:b/>
                        <w:spacing w:val="57"/>
                        <w:sz w:val="20"/>
                      </w:rPr>
                      <w:t xml:space="preserve"> </w:t>
                    </w:r>
                    <w:r>
                      <w:rPr>
                        <w:rFonts w:ascii="Book Antiqua"/>
                        <w:b/>
                        <w:sz w:val="20"/>
                      </w:rPr>
                      <w:t>Register</w:t>
                    </w:r>
                    <w:r>
                      <w:rPr>
                        <w:rFonts w:ascii="Book Antiqua"/>
                        <w:b/>
                        <w:spacing w:val="-15"/>
                        <w:sz w:val="20"/>
                      </w:rPr>
                      <w:t xml:space="preserve"> </w:t>
                    </w:r>
                    <w:r>
                      <w:rPr>
                        <w:sz w:val="20"/>
                      </w:rPr>
                      <w:t>/</w:t>
                    </w:r>
                    <w:r>
                      <w:rPr>
                        <w:spacing w:val="-9"/>
                        <w:sz w:val="20"/>
                      </w:rPr>
                      <w:t xml:space="preserve"> </w:t>
                    </w:r>
                    <w:r>
                      <w:rPr>
                        <w:sz w:val="20"/>
                      </w:rPr>
                      <w:t>Vol.</w:t>
                    </w:r>
                    <w:r>
                      <w:rPr>
                        <w:spacing w:val="63"/>
                        <w:sz w:val="20"/>
                      </w:rPr>
                      <w:t xml:space="preserve"> </w:t>
                    </w:r>
                    <w:r>
                      <w:rPr>
                        <w:sz w:val="20"/>
                      </w:rPr>
                      <w:t>89,</w:t>
                    </w:r>
                    <w:r>
                      <w:rPr>
                        <w:spacing w:val="63"/>
                        <w:sz w:val="20"/>
                      </w:rPr>
                      <w:t xml:space="preserve"> </w:t>
                    </w:r>
                    <w:r>
                      <w:rPr>
                        <w:sz w:val="20"/>
                      </w:rPr>
                      <w:t>No.</w:t>
                    </w:r>
                    <w:r>
                      <w:rPr>
                        <w:spacing w:val="64"/>
                        <w:sz w:val="20"/>
                      </w:rPr>
                      <w:t xml:space="preserve"> </w:t>
                    </w:r>
                    <w:r>
                      <w:rPr>
                        <w:sz w:val="20"/>
                      </w:rPr>
                      <w:t>198</w:t>
                    </w:r>
                    <w:r>
                      <w:rPr>
                        <w:spacing w:val="-9"/>
                        <w:sz w:val="20"/>
                      </w:rPr>
                      <w:t xml:space="preserve"> </w:t>
                    </w:r>
                    <w:r>
                      <w:rPr>
                        <w:sz w:val="20"/>
                      </w:rPr>
                      <w:t>/</w:t>
                    </w:r>
                    <w:r>
                      <w:rPr>
                        <w:spacing w:val="-9"/>
                        <w:sz w:val="20"/>
                      </w:rPr>
                      <w:t xml:space="preserve"> </w:t>
                    </w:r>
                    <w:r>
                      <w:rPr>
                        <w:sz w:val="20"/>
                      </w:rPr>
                      <w:t>Friday,</w:t>
                    </w:r>
                    <w:r>
                      <w:rPr>
                        <w:spacing w:val="63"/>
                        <w:sz w:val="20"/>
                      </w:rPr>
                      <w:t xml:space="preserve"> </w:t>
                    </w:r>
                    <w:r>
                      <w:rPr>
                        <w:sz w:val="20"/>
                      </w:rPr>
                      <w:t>October</w:t>
                    </w:r>
                    <w:r>
                      <w:rPr>
                        <w:spacing w:val="63"/>
                        <w:sz w:val="20"/>
                      </w:rPr>
                      <w:t xml:space="preserve"> </w:t>
                    </w:r>
                    <w:r>
                      <w:rPr>
                        <w:sz w:val="20"/>
                      </w:rPr>
                      <w:t>11,</w:t>
                    </w:r>
                    <w:r>
                      <w:rPr>
                        <w:spacing w:val="63"/>
                        <w:sz w:val="20"/>
                      </w:rPr>
                      <w:t xml:space="preserve"> </w:t>
                    </w:r>
                    <w:r>
                      <w:rPr>
                        <w:sz w:val="20"/>
                      </w:rPr>
                      <w:t>2024</w:t>
                    </w:r>
                    <w:r>
                      <w:rPr>
                        <w:spacing w:val="-8"/>
                        <w:sz w:val="20"/>
                      </w:rPr>
                      <w:t xml:space="preserve"> </w:t>
                    </w:r>
                    <w:r>
                      <w:rPr>
                        <w:sz w:val="20"/>
                      </w:rPr>
                      <w:t>/</w:t>
                    </w:r>
                    <w:r>
                      <w:rPr>
                        <w:spacing w:val="-9"/>
                        <w:sz w:val="20"/>
                      </w:rPr>
                      <w:t xml:space="preserve"> </w:t>
                    </w:r>
                    <w:r>
                      <w:rPr>
                        <w:sz w:val="20"/>
                      </w:rPr>
                      <w:t>Rules</w:t>
                    </w:r>
                    <w:r>
                      <w:rPr>
                        <w:spacing w:val="63"/>
                        <w:sz w:val="20"/>
                      </w:rPr>
                      <w:t xml:space="preserve"> </w:t>
                    </w:r>
                    <w:r>
                      <w:rPr>
                        <w:sz w:val="20"/>
                      </w:rPr>
                      <w:t>and</w:t>
                    </w:r>
                    <w:r>
                      <w:rPr>
                        <w:spacing w:val="63"/>
                        <w:sz w:val="20"/>
                      </w:rPr>
                      <w:t xml:space="preserve"> </w:t>
                    </w:r>
                    <w:r>
                      <w:rPr>
                        <w:spacing w:val="-2"/>
                        <w:sz w:val="20"/>
                      </w:rPr>
                      <w:t>Regulations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B2976" w14:textId="77777777" w:rsidR="00D67C1E" w:rsidRDefault="001265CA">
    <w:pPr>
      <w:pStyle w:val="BodyText"/>
      <w:spacing w:line="14" w:lineRule="auto"/>
      <w:ind w:left="0"/>
      <w:rPr>
        <w:sz w:val="20"/>
      </w:rPr>
    </w:pPr>
    <w:r>
      <w:rPr>
        <w:noProof/>
      </w:rPr>
      <mc:AlternateContent>
        <mc:Choice Requires="wps">
          <w:drawing>
            <wp:anchor distT="0" distB="0" distL="0" distR="0" simplePos="0" relativeHeight="483931648" behindDoc="1" locked="0" layoutInCell="1" allowOverlap="1" wp14:anchorId="119BC183" wp14:editId="1FF71BCC">
              <wp:simplePos x="0" y="0"/>
              <wp:positionH relativeFrom="page">
                <wp:posOffset>571500</wp:posOffset>
              </wp:positionH>
              <wp:positionV relativeFrom="page">
                <wp:posOffset>609600</wp:posOffset>
              </wp:positionV>
              <wp:extent cx="6629400" cy="1270"/>
              <wp:effectExtent l="0" t="0" r="0" b="0"/>
              <wp:wrapNone/>
              <wp:docPr id="3" name="Graphic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2794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C993083" id="Graphic 3" o:spid="_x0000_s1026" alt="&quot;&quot;" style="position:absolute;margin-left:45pt;margin-top:48pt;width:522pt;height:.1pt;z-index:-19384832;visibility:visible;mso-wrap-style:square;mso-wrap-distance-left:0;mso-wrap-distance-top:0;mso-wrap-distance-right:0;mso-wrap-distance-bottom:0;mso-position-horizontal:absolute;mso-position-horizontal-relative:page;mso-position-vertical:absolute;mso-position-vertical-relative:page;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" path="m,l6629400,e" filled="f" strokeweight="2.2pt">
              <v:path arrowok="t"/>
              <w10:wrap anchorx="page" anchory="page"/>
            </v:shape>
          </w:pict>
        </mc:Fallback>
      </mc:AlternateContent>
    </w:r>
    <w:r>
      <w:rPr>
        <w:noProof/>
      </w:rPr>
      <mc:AlternateContent>
        <mc:Choice Requires="wps">
          <w:drawing>
            <wp:anchor distT="0" distB="0" distL="0" distR="0" simplePos="0" relativeHeight="483932160" behindDoc="1" locked="0" layoutInCell="1" allowOverlap="1" wp14:anchorId="161C1AD8" wp14:editId="13740B83">
              <wp:simplePos x="0" y="0"/>
              <wp:positionH relativeFrom="page">
                <wp:posOffset>571500</wp:posOffset>
              </wp:positionH>
              <wp:positionV relativeFrom="page">
                <wp:posOffset>660400</wp:posOffset>
              </wp:positionV>
              <wp:extent cx="6629400" cy="1270"/>
              <wp:effectExtent l="0" t="0" r="0" b="0"/>
              <wp:wrapNone/>
              <wp:docPr id="4" name="Graphic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38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86AA8CA" id="Graphic 4" o:spid="_x0000_s1026" alt="&quot;&quot;" style="position:absolute;margin-left:45pt;margin-top:52pt;width:522pt;height:.1pt;z-index:-19384320;visibility:visible;mso-wrap-style:square;mso-wrap-distance-left:0;mso-wrap-distance-top:0;mso-wrap-distance-right:0;mso-wrap-distance-bottom:0;mso-position-horizontal:absolute;mso-position-horizontal-relative:page;mso-position-vertical:absolute;mso-position-vertical-relative:page;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" path="m,l6629400,e" filled="f" strokeweight=".3pt">
              <v:path arrowok="t"/>
              <w10:wrap anchorx="page" anchory="page"/>
            </v:shape>
          </w:pict>
        </mc:Fallback>
      </mc:AlternateContent>
    </w:r>
    <w:r>
      <w:rPr>
        <w:noProof/>
      </w:rPr>
      <mc:AlternateContent>
        <mc:Choice Requires="wps">
          <w:drawing>
            <wp:anchor distT="0" distB="0" distL="0" distR="0" simplePos="0" relativeHeight="483932672" behindDoc="1" locked="0" layoutInCell="1" allowOverlap="1" wp14:anchorId="2FD3C47F" wp14:editId="6A2609FC">
              <wp:simplePos x="0" y="0"/>
              <wp:positionH relativeFrom="page">
                <wp:posOffset>6774433</wp:posOffset>
              </wp:positionH>
              <wp:positionV relativeFrom="page">
                <wp:posOffset>385330</wp:posOffset>
              </wp:positionV>
              <wp:extent cx="477520" cy="19621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7520" cy="196215"/>
                      </a:xfrm>
                      <a:prstGeom prst="rect">
                        <a:avLst/>
                      </a:prstGeom>
                    </wps:spPr>
                    <wps:txbx>
                      <w:txbxContent>
                        <w:p w14:paraId="4027B2F9" w14:textId="77777777" w:rsidR="00D67C1E" w:rsidRDefault="001265CA">
                          <w:pPr>
                            <w:spacing w:before="26"/>
                            <w:ind w:left="60"/>
                            <w:rPr>
                              <w:rFonts w:ascii="Book Antiqua"/>
                              <w:b/>
                            </w:rPr>
                          </w:pPr>
                          <w:r>
                            <w:rPr>
                              <w:rFonts w:ascii="Book Antiqua"/>
                              <w:b/>
                              <w:spacing w:val="-2"/>
                              <w:w w:val="110"/>
                            </w:rPr>
                            <w:fldChar w:fldCharType="begin"/>
                          </w:r>
                          <w:r>
                            <w:rPr>
                              <w:rFonts w:ascii="Book Antiqua"/>
                              <w:b/>
                              <w:spacing w:val="-2"/>
                              <w:w w:val="110"/>
                            </w:rPr>
                            <w:instrText xml:space="preserve"> PAGE </w:instrText>
                          </w:r>
                          <w:r>
                            <w:rPr>
                              <w:rFonts w:ascii="Book Antiqua"/>
                              <w:b/>
                              <w:spacing w:val="-2"/>
                              <w:w w:val="110"/>
                            </w:rPr>
                            <w:fldChar w:fldCharType="separate"/>
                          </w:r>
                          <w:r>
                            <w:rPr>
                              <w:rFonts w:ascii="Book Antiqua"/>
                              <w:b/>
                              <w:spacing w:val="-2"/>
                              <w:w w:val="110"/>
                            </w:rPr>
                            <w:t>82683</w:t>
                          </w:r>
                          <w:r>
                            <w:rPr>
                              <w:rFonts w:ascii="Book Antiqua"/>
                              <w:b/>
                              <w:spacing w:val="-2"/>
                              <w:w w:val="110"/>
                            </w:rPr>
                            <w:fldChar w:fldCharType="end"/>
                          </w:r>
                        </w:p>
                      </w:txbxContent>
                    </wps:txbx>
                    <wps:bodyPr wrap="square" lIns="0" tIns="0" rIns="0" bIns="0" rtlCol="0">
                      <a:noAutofit/>
                    </wps:bodyPr>
                  </wps:wsp>
                </a:graphicData>
              </a:graphic>
            </wp:anchor>
          </w:drawing>
        </mc:Choice>
        <mc:Fallback>
          <w:pict>
            <v:shapetype w14:anchorId="2FD3C47F" id="_x0000_t202" coordsize="21600,21600" o:spt="202" path="m,l,21600r21600,l21600,xe">
              <v:stroke joinstyle="miter"/>
              <v:path gradientshapeok="t" o:connecttype="rect"/>
            </v:shapetype>
            <v:shape id="Textbox 5" o:spid="_x0000_s1028" type="#_x0000_t202" style="position:absolute;margin-left:533.4pt;margin-top:30.35pt;width:37.6pt;height:15.45pt;z-index:-19383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" filled="f" stroked="f">
              <v:textbox inset="0,0,0,0">
                <w:txbxContent>
                  <w:p w14:paraId="4027B2F9" w14:textId="77777777" w:rsidR="00D67C1E" w:rsidRDefault="001265CA">
                    <w:pPr>
                      <w:spacing w:before="26"/>
                      <w:ind w:left="60"/>
                      <w:rPr>
                        <w:rFonts w:ascii="Book Antiqua"/>
                        <w:b/>
                      </w:rPr>
                    </w:pPr>
                    <w:r>
                      <w:rPr>
                        <w:rFonts w:ascii="Book Antiqua"/>
                        <w:b/>
                        <w:spacing w:val="-2"/>
                        <w:w w:val="110"/>
                      </w:rPr>
                      <w:fldChar w:fldCharType="begin"/>
                    </w:r>
                    <w:r>
                      <w:rPr>
                        <w:rFonts w:ascii="Book Antiqua"/>
                        <w:b/>
                        <w:spacing w:val="-2"/>
                        <w:w w:val="110"/>
                      </w:rPr>
                      <w:instrText xml:space="preserve"> PAGE </w:instrText>
                    </w:r>
                    <w:r>
                      <w:rPr>
                        <w:rFonts w:ascii="Book Antiqua"/>
                        <w:b/>
                        <w:spacing w:val="-2"/>
                        <w:w w:val="110"/>
                      </w:rPr>
                      <w:fldChar w:fldCharType="separate"/>
                    </w:r>
                    <w:r>
                      <w:rPr>
                        <w:rFonts w:ascii="Book Antiqua"/>
                        <w:b/>
                        <w:spacing w:val="-2"/>
                        <w:w w:val="110"/>
                      </w:rPr>
                      <w:t>82683</w:t>
                    </w:r>
                    <w:r>
                      <w:rPr>
                        <w:rFonts w:ascii="Book Antiqua"/>
                        <w:b/>
                        <w:spacing w:val="-2"/>
                        <w:w w:val="110"/>
                      </w:rPr>
                      <w:fldChar w:fldCharType="end"/>
                    </w:r>
                  </w:p>
                </w:txbxContent>
              </v:textbox>
              <w10:wrap anchorx="page" anchory="page"/>
            </v:shape>
          </w:pict>
        </mc:Fallback>
      </mc:AlternateContent>
    </w:r>
    <w:r>
      <w:rPr>
        <w:noProof/>
      </w:rPr>
      <mc:AlternateContent>
        <mc:Choice Requires="wps">
          <w:drawing>
            <wp:anchor distT="0" distB="0" distL="0" distR="0" simplePos="0" relativeHeight="483933184" behindDoc="1" locked="0" layoutInCell="1" allowOverlap="1" wp14:anchorId="5059FE2F" wp14:editId="277931A9">
              <wp:simplePos x="0" y="0"/>
              <wp:positionH relativeFrom="page">
                <wp:posOffset>1336039</wp:posOffset>
              </wp:positionH>
              <wp:positionV relativeFrom="page">
                <wp:posOffset>397636</wp:posOffset>
              </wp:positionV>
              <wp:extent cx="5098415" cy="18097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8415" cy="180975"/>
                      </a:xfrm>
                      <a:prstGeom prst="rect">
                        <a:avLst/>
                      </a:prstGeom>
                    </wps:spPr>
                    <wps:txbx>
                      <w:txbxContent>
                        <w:p w14:paraId="6B196E28" w14:textId="77777777" w:rsidR="00D67C1E" w:rsidRDefault="001265CA">
                          <w:pPr>
                            <w:spacing w:before="23"/>
                            <w:ind w:left="20"/>
                            <w:rPr>
                              <w:sz w:val="20"/>
                            </w:rPr>
                          </w:pPr>
                          <w:r>
                            <w:rPr>
                              <w:rFonts w:ascii="Book Antiqua"/>
                              <w:b/>
                              <w:sz w:val="20"/>
                            </w:rPr>
                            <w:t>Federal</w:t>
                          </w:r>
                          <w:r>
                            <w:rPr>
                              <w:rFonts w:ascii="Book Antiqua"/>
                              <w:b/>
                              <w:spacing w:val="57"/>
                              <w:sz w:val="20"/>
                            </w:rPr>
                            <w:t xml:space="preserve"> </w:t>
                          </w:r>
                          <w:r>
                            <w:rPr>
                              <w:rFonts w:ascii="Book Antiqua"/>
                              <w:b/>
                              <w:sz w:val="20"/>
                            </w:rPr>
                            <w:t>Register</w:t>
                          </w:r>
                          <w:r>
                            <w:rPr>
                              <w:rFonts w:ascii="Book Antiqua"/>
                              <w:b/>
                              <w:spacing w:val="-15"/>
                              <w:sz w:val="20"/>
                            </w:rPr>
                            <w:t xml:space="preserve"> </w:t>
                          </w:r>
                          <w:r>
                            <w:rPr>
                              <w:sz w:val="20"/>
                            </w:rPr>
                            <w:t>/</w:t>
                          </w:r>
                          <w:r>
                            <w:rPr>
                              <w:spacing w:val="-9"/>
                              <w:sz w:val="20"/>
                            </w:rPr>
                            <w:t xml:space="preserve"> </w:t>
                          </w:r>
                          <w:r>
                            <w:rPr>
                              <w:sz w:val="20"/>
                            </w:rPr>
                            <w:t>Vol.</w:t>
                          </w:r>
                          <w:r>
                            <w:rPr>
                              <w:spacing w:val="63"/>
                              <w:sz w:val="20"/>
                            </w:rPr>
                            <w:t xml:space="preserve"> </w:t>
                          </w:r>
                          <w:r>
                            <w:rPr>
                              <w:sz w:val="20"/>
                            </w:rPr>
                            <w:t>89,</w:t>
                          </w:r>
                          <w:r>
                            <w:rPr>
                              <w:spacing w:val="63"/>
                              <w:sz w:val="20"/>
                            </w:rPr>
                            <w:t xml:space="preserve"> </w:t>
                          </w:r>
                          <w:r>
                            <w:rPr>
                              <w:sz w:val="20"/>
                            </w:rPr>
                            <w:t>No.</w:t>
                          </w:r>
                          <w:r>
                            <w:rPr>
                              <w:spacing w:val="64"/>
                              <w:sz w:val="20"/>
                            </w:rPr>
                            <w:t xml:space="preserve"> </w:t>
                          </w:r>
                          <w:r>
                            <w:rPr>
                              <w:sz w:val="20"/>
                            </w:rPr>
                            <w:t>198</w:t>
                          </w:r>
                          <w:r>
                            <w:rPr>
                              <w:spacing w:val="-9"/>
                              <w:sz w:val="20"/>
                            </w:rPr>
                            <w:t xml:space="preserve"> </w:t>
                          </w:r>
                          <w:r>
                            <w:rPr>
                              <w:sz w:val="20"/>
                            </w:rPr>
                            <w:t>/</w:t>
                          </w:r>
                          <w:r>
                            <w:rPr>
                              <w:spacing w:val="-9"/>
                              <w:sz w:val="20"/>
                            </w:rPr>
                            <w:t xml:space="preserve"> </w:t>
                          </w:r>
                          <w:r>
                            <w:rPr>
                              <w:sz w:val="20"/>
                            </w:rPr>
                            <w:t>Friday,</w:t>
                          </w:r>
                          <w:r>
                            <w:rPr>
                              <w:spacing w:val="63"/>
                              <w:sz w:val="20"/>
                            </w:rPr>
                            <w:t xml:space="preserve"> </w:t>
                          </w:r>
                          <w:r>
                            <w:rPr>
                              <w:sz w:val="20"/>
                            </w:rPr>
                            <w:t>October</w:t>
                          </w:r>
                          <w:r>
                            <w:rPr>
                              <w:spacing w:val="63"/>
                              <w:sz w:val="20"/>
                            </w:rPr>
                            <w:t xml:space="preserve"> </w:t>
                          </w:r>
                          <w:r>
                            <w:rPr>
                              <w:sz w:val="20"/>
                            </w:rPr>
                            <w:t>11,</w:t>
                          </w:r>
                          <w:r>
                            <w:rPr>
                              <w:spacing w:val="63"/>
                              <w:sz w:val="20"/>
                            </w:rPr>
                            <w:t xml:space="preserve"> </w:t>
                          </w:r>
                          <w:r>
                            <w:rPr>
                              <w:sz w:val="20"/>
                            </w:rPr>
                            <w:t>2024</w:t>
                          </w:r>
                          <w:r>
                            <w:rPr>
                              <w:spacing w:val="-8"/>
                              <w:sz w:val="20"/>
                            </w:rPr>
                            <w:t xml:space="preserve"> </w:t>
                          </w:r>
                          <w:r>
                            <w:rPr>
                              <w:sz w:val="20"/>
                            </w:rPr>
                            <w:t>/</w:t>
                          </w:r>
                          <w:r>
                            <w:rPr>
                              <w:spacing w:val="-9"/>
                              <w:sz w:val="20"/>
                            </w:rPr>
                            <w:t xml:space="preserve"> </w:t>
                          </w:r>
                          <w:r>
                            <w:rPr>
                              <w:sz w:val="20"/>
                            </w:rPr>
                            <w:t>Rules</w:t>
                          </w:r>
                          <w:r>
                            <w:rPr>
                              <w:spacing w:val="63"/>
                              <w:sz w:val="20"/>
                            </w:rPr>
                            <w:t xml:space="preserve"> </w:t>
                          </w:r>
                          <w:r>
                            <w:rPr>
                              <w:sz w:val="20"/>
                            </w:rPr>
                            <w:t>and</w:t>
                          </w:r>
                          <w:r>
                            <w:rPr>
                              <w:spacing w:val="63"/>
                              <w:sz w:val="20"/>
                            </w:rPr>
                            <w:t xml:space="preserve"> </w:t>
                          </w:r>
                          <w:r>
                            <w:rPr>
                              <w:spacing w:val="-2"/>
                              <w:sz w:val="20"/>
                            </w:rPr>
                            <w:t>Regulations</w:t>
                          </w:r>
                        </w:p>
                      </w:txbxContent>
                    </wps:txbx>
                    <wps:bodyPr wrap="square" lIns="0" tIns="0" rIns="0" bIns="0" rtlCol="0">
                      <a:noAutofit/>
                    </wps:bodyPr>
                  </wps:wsp>
                </a:graphicData>
              </a:graphic>
            </wp:anchor>
          </w:drawing>
        </mc:Choice>
        <mc:Fallback>
          <w:pict>
            <v:shape w14:anchorId="5059FE2F" id="Textbox 6" o:spid="_x0000_s1029" type="#_x0000_t202" style="position:absolute;margin-left:105.2pt;margin-top:31.3pt;width:401.45pt;height:14.25pt;z-index:-19383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" filled="f" stroked="f">
              <v:textbox inset="0,0,0,0">
                <w:txbxContent>
                  <w:p w14:paraId="6B196E28" w14:textId="77777777" w:rsidR="00D67C1E" w:rsidRDefault="001265CA">
                    <w:pPr>
                      <w:spacing w:before="23"/>
                      <w:ind w:left="20"/>
                      <w:rPr>
                        <w:sz w:val="20"/>
                      </w:rPr>
                    </w:pPr>
                    <w:r>
                      <w:rPr>
                        <w:rFonts w:ascii="Book Antiqua"/>
                        <w:b/>
                        <w:sz w:val="20"/>
                      </w:rPr>
                      <w:t>Federal</w:t>
                    </w:r>
                    <w:r>
                      <w:rPr>
                        <w:rFonts w:ascii="Book Antiqua"/>
                        <w:b/>
                        <w:spacing w:val="57"/>
                        <w:sz w:val="20"/>
                      </w:rPr>
                      <w:t xml:space="preserve"> </w:t>
                    </w:r>
                    <w:r>
                      <w:rPr>
                        <w:rFonts w:ascii="Book Antiqua"/>
                        <w:b/>
                        <w:sz w:val="20"/>
                      </w:rPr>
                      <w:t>Register</w:t>
                    </w:r>
                    <w:r>
                      <w:rPr>
                        <w:rFonts w:ascii="Book Antiqua"/>
                        <w:b/>
                        <w:spacing w:val="-15"/>
                        <w:sz w:val="20"/>
                      </w:rPr>
                      <w:t xml:space="preserve"> </w:t>
                    </w:r>
                    <w:r>
                      <w:rPr>
                        <w:sz w:val="20"/>
                      </w:rPr>
                      <w:t>/</w:t>
                    </w:r>
                    <w:r>
                      <w:rPr>
                        <w:spacing w:val="-9"/>
                        <w:sz w:val="20"/>
                      </w:rPr>
                      <w:t xml:space="preserve"> </w:t>
                    </w:r>
                    <w:r>
                      <w:rPr>
                        <w:sz w:val="20"/>
                      </w:rPr>
                      <w:t>Vol.</w:t>
                    </w:r>
                    <w:r>
                      <w:rPr>
                        <w:spacing w:val="63"/>
                        <w:sz w:val="20"/>
                      </w:rPr>
                      <w:t xml:space="preserve"> </w:t>
                    </w:r>
                    <w:r>
                      <w:rPr>
                        <w:sz w:val="20"/>
                      </w:rPr>
                      <w:t>89,</w:t>
                    </w:r>
                    <w:r>
                      <w:rPr>
                        <w:spacing w:val="63"/>
                        <w:sz w:val="20"/>
                      </w:rPr>
                      <w:t xml:space="preserve"> </w:t>
                    </w:r>
                    <w:r>
                      <w:rPr>
                        <w:sz w:val="20"/>
                      </w:rPr>
                      <w:t>No.</w:t>
                    </w:r>
                    <w:r>
                      <w:rPr>
                        <w:spacing w:val="64"/>
                        <w:sz w:val="20"/>
                      </w:rPr>
                      <w:t xml:space="preserve"> </w:t>
                    </w:r>
                    <w:r>
                      <w:rPr>
                        <w:sz w:val="20"/>
                      </w:rPr>
                      <w:t>198</w:t>
                    </w:r>
                    <w:r>
                      <w:rPr>
                        <w:spacing w:val="-9"/>
                        <w:sz w:val="20"/>
                      </w:rPr>
                      <w:t xml:space="preserve"> </w:t>
                    </w:r>
                    <w:r>
                      <w:rPr>
                        <w:sz w:val="20"/>
                      </w:rPr>
                      <w:t>/</w:t>
                    </w:r>
                    <w:r>
                      <w:rPr>
                        <w:spacing w:val="-9"/>
                        <w:sz w:val="20"/>
                      </w:rPr>
                      <w:t xml:space="preserve"> </w:t>
                    </w:r>
                    <w:r>
                      <w:rPr>
                        <w:sz w:val="20"/>
                      </w:rPr>
                      <w:t>Friday,</w:t>
                    </w:r>
                    <w:r>
                      <w:rPr>
                        <w:spacing w:val="63"/>
                        <w:sz w:val="20"/>
                      </w:rPr>
                      <w:t xml:space="preserve"> </w:t>
                    </w:r>
                    <w:r>
                      <w:rPr>
                        <w:sz w:val="20"/>
                      </w:rPr>
                      <w:t>October</w:t>
                    </w:r>
                    <w:r>
                      <w:rPr>
                        <w:spacing w:val="63"/>
                        <w:sz w:val="20"/>
                      </w:rPr>
                      <w:t xml:space="preserve"> </w:t>
                    </w:r>
                    <w:r>
                      <w:rPr>
                        <w:sz w:val="20"/>
                      </w:rPr>
                      <w:t>11,</w:t>
                    </w:r>
                    <w:r>
                      <w:rPr>
                        <w:spacing w:val="63"/>
                        <w:sz w:val="20"/>
                      </w:rPr>
                      <w:t xml:space="preserve"> </w:t>
                    </w:r>
                    <w:r>
                      <w:rPr>
                        <w:sz w:val="20"/>
                      </w:rPr>
                      <w:t>2024</w:t>
                    </w:r>
                    <w:r>
                      <w:rPr>
                        <w:spacing w:val="-8"/>
                        <w:sz w:val="20"/>
                      </w:rPr>
                      <w:t xml:space="preserve"> </w:t>
                    </w:r>
                    <w:r>
                      <w:rPr>
                        <w:sz w:val="20"/>
                      </w:rPr>
                      <w:t>/</w:t>
                    </w:r>
                    <w:r>
                      <w:rPr>
                        <w:spacing w:val="-9"/>
                        <w:sz w:val="20"/>
                      </w:rPr>
                      <w:t xml:space="preserve"> </w:t>
                    </w:r>
                    <w:r>
                      <w:rPr>
                        <w:sz w:val="20"/>
                      </w:rPr>
                      <w:t>Rules</w:t>
                    </w:r>
                    <w:r>
                      <w:rPr>
                        <w:spacing w:val="63"/>
                        <w:sz w:val="20"/>
                      </w:rPr>
                      <w:t xml:space="preserve"> </w:t>
                    </w:r>
                    <w:r>
                      <w:rPr>
                        <w:sz w:val="20"/>
                      </w:rPr>
                      <w:t>and</w:t>
                    </w:r>
                    <w:r>
                      <w:rPr>
                        <w:spacing w:val="63"/>
                        <w:sz w:val="20"/>
                      </w:rPr>
                      <w:t xml:space="preserve"> </w:t>
                    </w:r>
                    <w:r>
                      <w:rPr>
                        <w:spacing w:val="-2"/>
                        <w:sz w:val="20"/>
                      </w:rPr>
                      <w:t>Regulations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EC574" w14:textId="77777777" w:rsidR="00D67C1E" w:rsidRDefault="001265CA">
    <w:pPr>
      <w:pStyle w:val="BodyText"/>
      <w:spacing w:line="14" w:lineRule="auto"/>
      <w:ind w:left="0"/>
      <w:rPr>
        <w:sz w:val="20"/>
      </w:rPr>
    </w:pPr>
    <w:r>
      <w:rPr>
        <w:noProof/>
      </w:rPr>
      <mc:AlternateContent>
        <mc:Choice Requires="wps">
          <w:drawing>
            <wp:anchor distT="0" distB="0" distL="0" distR="0" simplePos="0" relativeHeight="483933696" behindDoc="1" locked="0" layoutInCell="1" allowOverlap="1" wp14:anchorId="6F72D90A" wp14:editId="27165723">
              <wp:simplePos x="0" y="0"/>
              <wp:positionH relativeFrom="page">
                <wp:posOffset>571500</wp:posOffset>
              </wp:positionH>
              <wp:positionV relativeFrom="page">
                <wp:posOffset>609600</wp:posOffset>
              </wp:positionV>
              <wp:extent cx="6629400" cy="1270"/>
              <wp:effectExtent l="0" t="0" r="0" b="0"/>
              <wp:wrapNone/>
              <wp:docPr id="14" name="Graphic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2794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3BC9E0B" id="Graphic 14" o:spid="_x0000_s1026" alt="&quot;&quot;" style="position:absolute;margin-left:45pt;margin-top:48pt;width:522pt;height:.1pt;z-index:-19382784;visibility:visible;mso-wrap-style:square;mso-wrap-distance-left:0;mso-wrap-distance-top:0;mso-wrap-distance-right:0;mso-wrap-distance-bottom:0;mso-position-horizontal:absolute;mso-position-horizontal-relative:page;mso-position-vertical:absolute;mso-position-vertical-relative:page;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" path="m,l6629400,e" filled="f" strokeweight="2.2pt">
              <v:path arrowok="t"/>
              <w10:wrap anchorx="page" anchory="page"/>
            </v:shape>
          </w:pict>
        </mc:Fallback>
      </mc:AlternateContent>
    </w:r>
    <w:r>
      <w:rPr>
        <w:noProof/>
      </w:rPr>
      <mc:AlternateContent>
        <mc:Choice Requires="wps">
          <w:drawing>
            <wp:anchor distT="0" distB="0" distL="0" distR="0" simplePos="0" relativeHeight="483934208" behindDoc="1" locked="0" layoutInCell="1" allowOverlap="1" wp14:anchorId="44C4147F" wp14:editId="365813C9">
              <wp:simplePos x="0" y="0"/>
              <wp:positionH relativeFrom="page">
                <wp:posOffset>571500</wp:posOffset>
              </wp:positionH>
              <wp:positionV relativeFrom="page">
                <wp:posOffset>660400</wp:posOffset>
              </wp:positionV>
              <wp:extent cx="6629400" cy="1270"/>
              <wp:effectExtent l="0" t="0" r="0" b="0"/>
              <wp:wrapNone/>
              <wp:docPr id="15" name="Graphic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38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757F6FC" id="Graphic 15" o:spid="_x0000_s1026" alt="&quot;&quot;" style="position:absolute;margin-left:45pt;margin-top:52pt;width:522pt;height:.1pt;z-index:-19382272;visibility:visible;mso-wrap-style:square;mso-wrap-distance-left:0;mso-wrap-distance-top:0;mso-wrap-distance-right:0;mso-wrap-distance-bottom:0;mso-position-horizontal:absolute;mso-position-horizontal-relative:page;mso-position-vertical:absolute;mso-position-vertical-relative:page;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" path="m,l6629400,e" filled="f" strokeweight=".3pt">
              <v:path arrowok="t"/>
              <w10:wrap anchorx="page" anchory="page"/>
            </v:shape>
          </w:pict>
        </mc:Fallback>
      </mc:AlternateContent>
    </w:r>
    <w:r>
      <w:rPr>
        <w:noProof/>
      </w:rPr>
      <mc:AlternateContent>
        <mc:Choice Requires="wps">
          <w:drawing>
            <wp:anchor distT="0" distB="0" distL="0" distR="0" simplePos="0" relativeHeight="483934720" behindDoc="1" locked="0" layoutInCell="1" allowOverlap="1" wp14:anchorId="5B52771B" wp14:editId="05B03734">
              <wp:simplePos x="0" y="0"/>
              <wp:positionH relativeFrom="page">
                <wp:posOffset>533400</wp:posOffset>
              </wp:positionH>
              <wp:positionV relativeFrom="page">
                <wp:posOffset>385330</wp:posOffset>
              </wp:positionV>
              <wp:extent cx="477520" cy="19621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7520" cy="196215"/>
                      </a:xfrm>
                      <a:prstGeom prst="rect">
                        <a:avLst/>
                      </a:prstGeom>
                    </wps:spPr>
                    <wps:txbx>
                      <w:txbxContent>
                        <w:p w14:paraId="3080B299" w14:textId="77777777" w:rsidR="00D67C1E" w:rsidRDefault="001265CA">
                          <w:pPr>
                            <w:spacing w:before="26"/>
                            <w:ind w:left="60"/>
                            <w:rPr>
                              <w:rFonts w:ascii="Book Antiqua"/>
                              <w:b/>
                            </w:rPr>
                          </w:pPr>
                          <w:r>
                            <w:rPr>
                              <w:rFonts w:ascii="Book Antiqua"/>
                              <w:b/>
                              <w:spacing w:val="-2"/>
                              <w:w w:val="110"/>
                            </w:rPr>
                            <w:fldChar w:fldCharType="begin"/>
                          </w:r>
                          <w:r>
                            <w:rPr>
                              <w:rFonts w:ascii="Book Antiqua"/>
                              <w:b/>
                              <w:spacing w:val="-2"/>
                              <w:w w:val="110"/>
                            </w:rPr>
                            <w:instrText xml:space="preserve"> PAGE </w:instrText>
                          </w:r>
                          <w:r>
                            <w:rPr>
                              <w:rFonts w:ascii="Book Antiqua"/>
                              <w:b/>
                              <w:spacing w:val="-2"/>
                              <w:w w:val="110"/>
                            </w:rPr>
                            <w:fldChar w:fldCharType="separate"/>
                          </w:r>
                          <w:r>
                            <w:rPr>
                              <w:rFonts w:ascii="Book Antiqua"/>
                              <w:b/>
                              <w:spacing w:val="-2"/>
                              <w:w w:val="110"/>
                            </w:rPr>
                            <w:t>82684</w:t>
                          </w:r>
                          <w:r>
                            <w:rPr>
                              <w:rFonts w:ascii="Book Antiqua"/>
                              <w:b/>
                              <w:spacing w:val="-2"/>
                              <w:w w:val="110"/>
                            </w:rPr>
                            <w:fldChar w:fldCharType="end"/>
                          </w:r>
                        </w:p>
                      </w:txbxContent>
                    </wps:txbx>
                    <wps:bodyPr wrap="square" lIns="0" tIns="0" rIns="0" bIns="0" rtlCol="0">
                      <a:noAutofit/>
                    </wps:bodyPr>
                  </wps:wsp>
                </a:graphicData>
              </a:graphic>
            </wp:anchor>
          </w:drawing>
        </mc:Choice>
        <mc:Fallback>
          <w:pict>
            <v:shapetype w14:anchorId="5B52771B" id="_x0000_t202" coordsize="21600,21600" o:spt="202" path="m,l,21600r21600,l21600,xe">
              <v:stroke joinstyle="miter"/>
              <v:path gradientshapeok="t" o:connecttype="rect"/>
            </v:shapetype>
            <v:shape id="Textbox 16" o:spid="_x0000_s1030" type="#_x0000_t202" style="position:absolute;margin-left:42pt;margin-top:30.35pt;width:37.6pt;height:15.45pt;z-index:-19381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" filled="f" stroked="f">
              <v:textbox inset="0,0,0,0">
                <w:txbxContent>
                  <w:p w14:paraId="3080B299" w14:textId="77777777" w:rsidR="00D67C1E" w:rsidRDefault="001265CA">
                    <w:pPr>
                      <w:spacing w:before="26"/>
                      <w:ind w:left="60"/>
                      <w:rPr>
                        <w:rFonts w:ascii="Book Antiqua"/>
                        <w:b/>
                      </w:rPr>
                    </w:pPr>
                    <w:r>
                      <w:rPr>
                        <w:rFonts w:ascii="Book Antiqua"/>
                        <w:b/>
                        <w:spacing w:val="-2"/>
                        <w:w w:val="110"/>
                      </w:rPr>
                      <w:fldChar w:fldCharType="begin"/>
                    </w:r>
                    <w:r>
                      <w:rPr>
                        <w:rFonts w:ascii="Book Antiqua"/>
                        <w:b/>
                        <w:spacing w:val="-2"/>
                        <w:w w:val="110"/>
                      </w:rPr>
                      <w:instrText xml:space="preserve"> PAGE </w:instrText>
                    </w:r>
                    <w:r>
                      <w:rPr>
                        <w:rFonts w:ascii="Book Antiqua"/>
                        <w:b/>
                        <w:spacing w:val="-2"/>
                        <w:w w:val="110"/>
                      </w:rPr>
                      <w:fldChar w:fldCharType="separate"/>
                    </w:r>
                    <w:r>
                      <w:rPr>
                        <w:rFonts w:ascii="Book Antiqua"/>
                        <w:b/>
                        <w:spacing w:val="-2"/>
                        <w:w w:val="110"/>
                      </w:rPr>
                      <w:t>82684</w:t>
                    </w:r>
                    <w:r>
                      <w:rPr>
                        <w:rFonts w:ascii="Book Antiqua"/>
                        <w:b/>
                        <w:spacing w:val="-2"/>
                        <w:w w:val="110"/>
                      </w:rPr>
                      <w:fldChar w:fldCharType="end"/>
                    </w:r>
                  </w:p>
                </w:txbxContent>
              </v:textbox>
              <w10:wrap anchorx="page" anchory="page"/>
            </v:shape>
          </w:pict>
        </mc:Fallback>
      </mc:AlternateContent>
    </w:r>
    <w:r>
      <w:rPr>
        <w:noProof/>
      </w:rPr>
      <mc:AlternateContent>
        <mc:Choice Requires="wps">
          <w:drawing>
            <wp:anchor distT="0" distB="0" distL="0" distR="0" simplePos="0" relativeHeight="483935232" behindDoc="1" locked="0" layoutInCell="1" allowOverlap="1" wp14:anchorId="54428B0C" wp14:editId="17DD3E4D">
              <wp:simplePos x="0" y="0"/>
              <wp:positionH relativeFrom="page">
                <wp:posOffset>1336039</wp:posOffset>
              </wp:positionH>
              <wp:positionV relativeFrom="page">
                <wp:posOffset>397636</wp:posOffset>
              </wp:positionV>
              <wp:extent cx="5098415" cy="18097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8415" cy="180975"/>
                      </a:xfrm>
                      <a:prstGeom prst="rect">
                        <a:avLst/>
                      </a:prstGeom>
                    </wps:spPr>
                    <wps:txbx>
                      <w:txbxContent>
                        <w:p w14:paraId="2CA63336" w14:textId="77777777" w:rsidR="00D67C1E" w:rsidRDefault="001265CA">
                          <w:pPr>
                            <w:spacing w:before="23"/>
                            <w:ind w:left="20"/>
                            <w:rPr>
                              <w:sz w:val="20"/>
                            </w:rPr>
                          </w:pPr>
                          <w:r>
                            <w:rPr>
                              <w:rFonts w:ascii="Book Antiqua"/>
                              <w:b/>
                              <w:sz w:val="20"/>
                            </w:rPr>
                            <w:t>Federal</w:t>
                          </w:r>
                          <w:r>
                            <w:rPr>
                              <w:rFonts w:ascii="Book Antiqua"/>
                              <w:b/>
                              <w:spacing w:val="57"/>
                              <w:sz w:val="20"/>
                            </w:rPr>
                            <w:t xml:space="preserve"> </w:t>
                          </w:r>
                          <w:r>
                            <w:rPr>
                              <w:rFonts w:ascii="Book Antiqua"/>
                              <w:b/>
                              <w:sz w:val="20"/>
                            </w:rPr>
                            <w:t>Register</w:t>
                          </w:r>
                          <w:r>
                            <w:rPr>
                              <w:rFonts w:ascii="Book Antiqua"/>
                              <w:b/>
                              <w:spacing w:val="-15"/>
                              <w:sz w:val="20"/>
                            </w:rPr>
                            <w:t xml:space="preserve"> </w:t>
                          </w:r>
                          <w:r>
                            <w:rPr>
                              <w:sz w:val="20"/>
                            </w:rPr>
                            <w:t>/</w:t>
                          </w:r>
                          <w:r>
                            <w:rPr>
                              <w:spacing w:val="-9"/>
                              <w:sz w:val="20"/>
                            </w:rPr>
                            <w:t xml:space="preserve"> </w:t>
                          </w:r>
                          <w:r>
                            <w:rPr>
                              <w:sz w:val="20"/>
                            </w:rPr>
                            <w:t>Vol.</w:t>
                          </w:r>
                          <w:r>
                            <w:rPr>
                              <w:spacing w:val="63"/>
                              <w:sz w:val="20"/>
                            </w:rPr>
                            <w:t xml:space="preserve"> </w:t>
                          </w:r>
                          <w:r>
                            <w:rPr>
                              <w:sz w:val="20"/>
                            </w:rPr>
                            <w:t>89,</w:t>
                          </w:r>
                          <w:r>
                            <w:rPr>
                              <w:spacing w:val="63"/>
                              <w:sz w:val="20"/>
                            </w:rPr>
                            <w:t xml:space="preserve"> </w:t>
                          </w:r>
                          <w:r>
                            <w:rPr>
                              <w:sz w:val="20"/>
                            </w:rPr>
                            <w:t>No.</w:t>
                          </w:r>
                          <w:r>
                            <w:rPr>
                              <w:spacing w:val="64"/>
                              <w:sz w:val="20"/>
                            </w:rPr>
                            <w:t xml:space="preserve"> </w:t>
                          </w:r>
                          <w:r>
                            <w:rPr>
                              <w:sz w:val="20"/>
                            </w:rPr>
                            <w:t>198</w:t>
                          </w:r>
                          <w:r>
                            <w:rPr>
                              <w:spacing w:val="-9"/>
                              <w:sz w:val="20"/>
                            </w:rPr>
                            <w:t xml:space="preserve"> </w:t>
                          </w:r>
                          <w:r>
                            <w:rPr>
                              <w:sz w:val="20"/>
                            </w:rPr>
                            <w:t>/</w:t>
                          </w:r>
                          <w:r>
                            <w:rPr>
                              <w:spacing w:val="-9"/>
                              <w:sz w:val="20"/>
                            </w:rPr>
                            <w:t xml:space="preserve"> </w:t>
                          </w:r>
                          <w:r>
                            <w:rPr>
                              <w:sz w:val="20"/>
                            </w:rPr>
                            <w:t>Friday,</w:t>
                          </w:r>
                          <w:r>
                            <w:rPr>
                              <w:spacing w:val="63"/>
                              <w:sz w:val="20"/>
                            </w:rPr>
                            <w:t xml:space="preserve"> </w:t>
                          </w:r>
                          <w:r>
                            <w:rPr>
                              <w:sz w:val="20"/>
                            </w:rPr>
                            <w:t>October</w:t>
                          </w:r>
                          <w:r>
                            <w:rPr>
                              <w:spacing w:val="63"/>
                              <w:sz w:val="20"/>
                            </w:rPr>
                            <w:t xml:space="preserve"> </w:t>
                          </w:r>
                          <w:r>
                            <w:rPr>
                              <w:sz w:val="20"/>
                            </w:rPr>
                            <w:t>11,</w:t>
                          </w:r>
                          <w:r>
                            <w:rPr>
                              <w:spacing w:val="63"/>
                              <w:sz w:val="20"/>
                            </w:rPr>
                            <w:t xml:space="preserve"> </w:t>
                          </w:r>
                          <w:r>
                            <w:rPr>
                              <w:sz w:val="20"/>
                            </w:rPr>
                            <w:t>2024</w:t>
                          </w:r>
                          <w:r>
                            <w:rPr>
                              <w:spacing w:val="-8"/>
                              <w:sz w:val="20"/>
                            </w:rPr>
                            <w:t xml:space="preserve"> </w:t>
                          </w:r>
                          <w:r>
                            <w:rPr>
                              <w:sz w:val="20"/>
                            </w:rPr>
                            <w:t>/</w:t>
                          </w:r>
                          <w:r>
                            <w:rPr>
                              <w:spacing w:val="-9"/>
                              <w:sz w:val="20"/>
                            </w:rPr>
                            <w:t xml:space="preserve"> </w:t>
                          </w:r>
                          <w:r>
                            <w:rPr>
                              <w:sz w:val="20"/>
                            </w:rPr>
                            <w:t>Rules</w:t>
                          </w:r>
                          <w:r>
                            <w:rPr>
                              <w:spacing w:val="63"/>
                              <w:sz w:val="20"/>
                            </w:rPr>
                            <w:t xml:space="preserve"> </w:t>
                          </w:r>
                          <w:r>
                            <w:rPr>
                              <w:sz w:val="20"/>
                            </w:rPr>
                            <w:t>and</w:t>
                          </w:r>
                          <w:r>
                            <w:rPr>
                              <w:spacing w:val="63"/>
                              <w:sz w:val="20"/>
                            </w:rPr>
                            <w:t xml:space="preserve"> </w:t>
                          </w:r>
                          <w:r>
                            <w:rPr>
                              <w:spacing w:val="-2"/>
                              <w:sz w:val="20"/>
                            </w:rPr>
                            <w:t>Regulations</w:t>
                          </w:r>
                        </w:p>
                      </w:txbxContent>
                    </wps:txbx>
                    <wps:bodyPr wrap="square" lIns="0" tIns="0" rIns="0" bIns="0" rtlCol="0">
                      <a:noAutofit/>
                    </wps:bodyPr>
                  </wps:wsp>
                </a:graphicData>
              </a:graphic>
            </wp:anchor>
          </w:drawing>
        </mc:Choice>
        <mc:Fallback>
          <w:pict>
            <v:shape w14:anchorId="54428B0C" id="Textbox 17" o:spid="_x0000_s1031" type="#_x0000_t202" style="position:absolute;margin-left:105.2pt;margin-top:31.3pt;width:401.45pt;height:14.25pt;z-index:-19381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" filled="f" stroked="f">
              <v:textbox inset="0,0,0,0">
                <w:txbxContent>
                  <w:p w14:paraId="2CA63336" w14:textId="77777777" w:rsidR="00D67C1E" w:rsidRDefault="001265CA">
                    <w:pPr>
                      <w:spacing w:before="23"/>
                      <w:ind w:left="20"/>
                      <w:rPr>
                        <w:sz w:val="20"/>
                      </w:rPr>
                    </w:pPr>
                    <w:r>
                      <w:rPr>
                        <w:rFonts w:ascii="Book Antiqua"/>
                        <w:b/>
                        <w:sz w:val="20"/>
                      </w:rPr>
                      <w:t>Federal</w:t>
                    </w:r>
                    <w:r>
                      <w:rPr>
                        <w:rFonts w:ascii="Book Antiqua"/>
                        <w:b/>
                        <w:spacing w:val="57"/>
                        <w:sz w:val="20"/>
                      </w:rPr>
                      <w:t xml:space="preserve"> </w:t>
                    </w:r>
                    <w:r>
                      <w:rPr>
                        <w:rFonts w:ascii="Book Antiqua"/>
                        <w:b/>
                        <w:sz w:val="20"/>
                      </w:rPr>
                      <w:t>Register</w:t>
                    </w:r>
                    <w:r>
                      <w:rPr>
                        <w:rFonts w:ascii="Book Antiqua"/>
                        <w:b/>
                        <w:spacing w:val="-15"/>
                        <w:sz w:val="20"/>
                      </w:rPr>
                      <w:t xml:space="preserve"> </w:t>
                    </w:r>
                    <w:r>
                      <w:rPr>
                        <w:sz w:val="20"/>
                      </w:rPr>
                      <w:t>/</w:t>
                    </w:r>
                    <w:r>
                      <w:rPr>
                        <w:spacing w:val="-9"/>
                        <w:sz w:val="20"/>
                      </w:rPr>
                      <w:t xml:space="preserve"> </w:t>
                    </w:r>
                    <w:r>
                      <w:rPr>
                        <w:sz w:val="20"/>
                      </w:rPr>
                      <w:t>Vol.</w:t>
                    </w:r>
                    <w:r>
                      <w:rPr>
                        <w:spacing w:val="63"/>
                        <w:sz w:val="20"/>
                      </w:rPr>
                      <w:t xml:space="preserve"> </w:t>
                    </w:r>
                    <w:r>
                      <w:rPr>
                        <w:sz w:val="20"/>
                      </w:rPr>
                      <w:t>89,</w:t>
                    </w:r>
                    <w:r>
                      <w:rPr>
                        <w:spacing w:val="63"/>
                        <w:sz w:val="20"/>
                      </w:rPr>
                      <w:t xml:space="preserve"> </w:t>
                    </w:r>
                    <w:r>
                      <w:rPr>
                        <w:sz w:val="20"/>
                      </w:rPr>
                      <w:t>No.</w:t>
                    </w:r>
                    <w:r>
                      <w:rPr>
                        <w:spacing w:val="64"/>
                        <w:sz w:val="20"/>
                      </w:rPr>
                      <w:t xml:space="preserve"> </w:t>
                    </w:r>
                    <w:r>
                      <w:rPr>
                        <w:sz w:val="20"/>
                      </w:rPr>
                      <w:t>198</w:t>
                    </w:r>
                    <w:r>
                      <w:rPr>
                        <w:spacing w:val="-9"/>
                        <w:sz w:val="20"/>
                      </w:rPr>
                      <w:t xml:space="preserve"> </w:t>
                    </w:r>
                    <w:r>
                      <w:rPr>
                        <w:sz w:val="20"/>
                      </w:rPr>
                      <w:t>/</w:t>
                    </w:r>
                    <w:r>
                      <w:rPr>
                        <w:spacing w:val="-9"/>
                        <w:sz w:val="20"/>
                      </w:rPr>
                      <w:t xml:space="preserve"> </w:t>
                    </w:r>
                    <w:r>
                      <w:rPr>
                        <w:sz w:val="20"/>
                      </w:rPr>
                      <w:t>Friday,</w:t>
                    </w:r>
                    <w:r>
                      <w:rPr>
                        <w:spacing w:val="63"/>
                        <w:sz w:val="20"/>
                      </w:rPr>
                      <w:t xml:space="preserve"> </w:t>
                    </w:r>
                    <w:r>
                      <w:rPr>
                        <w:sz w:val="20"/>
                      </w:rPr>
                      <w:t>October</w:t>
                    </w:r>
                    <w:r>
                      <w:rPr>
                        <w:spacing w:val="63"/>
                        <w:sz w:val="20"/>
                      </w:rPr>
                      <w:t xml:space="preserve"> </w:t>
                    </w:r>
                    <w:r>
                      <w:rPr>
                        <w:sz w:val="20"/>
                      </w:rPr>
                      <w:t>11,</w:t>
                    </w:r>
                    <w:r>
                      <w:rPr>
                        <w:spacing w:val="63"/>
                        <w:sz w:val="20"/>
                      </w:rPr>
                      <w:t xml:space="preserve"> </w:t>
                    </w:r>
                    <w:r>
                      <w:rPr>
                        <w:sz w:val="20"/>
                      </w:rPr>
                      <w:t>2024</w:t>
                    </w:r>
                    <w:r>
                      <w:rPr>
                        <w:spacing w:val="-8"/>
                        <w:sz w:val="20"/>
                      </w:rPr>
                      <w:t xml:space="preserve"> </w:t>
                    </w:r>
                    <w:r>
                      <w:rPr>
                        <w:sz w:val="20"/>
                      </w:rPr>
                      <w:t>/</w:t>
                    </w:r>
                    <w:r>
                      <w:rPr>
                        <w:spacing w:val="-9"/>
                        <w:sz w:val="20"/>
                      </w:rPr>
                      <w:t xml:space="preserve"> </w:t>
                    </w:r>
                    <w:r>
                      <w:rPr>
                        <w:sz w:val="20"/>
                      </w:rPr>
                      <w:t>Rules</w:t>
                    </w:r>
                    <w:r>
                      <w:rPr>
                        <w:spacing w:val="63"/>
                        <w:sz w:val="20"/>
                      </w:rPr>
                      <w:t xml:space="preserve"> </w:t>
                    </w:r>
                    <w:r>
                      <w:rPr>
                        <w:sz w:val="20"/>
                      </w:rPr>
                      <w:t>and</w:t>
                    </w:r>
                    <w:r>
                      <w:rPr>
                        <w:spacing w:val="63"/>
                        <w:sz w:val="20"/>
                      </w:rPr>
                      <w:t xml:space="preserve"> </w:t>
                    </w:r>
                    <w:r>
                      <w:rPr>
                        <w:spacing w:val="-2"/>
                        <w:sz w:val="20"/>
                      </w:rPr>
                      <w:t>Regulations</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04DC3" w14:textId="77777777" w:rsidR="00D67C1E" w:rsidRDefault="001265CA">
    <w:pPr>
      <w:pStyle w:val="BodyText"/>
      <w:spacing w:line="14" w:lineRule="auto"/>
      <w:ind w:left="0"/>
      <w:rPr>
        <w:sz w:val="20"/>
      </w:rPr>
    </w:pPr>
    <w:r>
      <w:rPr>
        <w:noProof/>
      </w:rPr>
      <mc:AlternateContent>
        <mc:Choice Requires="wps">
          <w:drawing>
            <wp:anchor distT="0" distB="0" distL="0" distR="0" simplePos="0" relativeHeight="483935744" behindDoc="1" locked="0" layoutInCell="1" allowOverlap="1" wp14:anchorId="1DABDBE1" wp14:editId="39FB5EC2">
              <wp:simplePos x="0" y="0"/>
              <wp:positionH relativeFrom="page">
                <wp:posOffset>571500</wp:posOffset>
              </wp:positionH>
              <wp:positionV relativeFrom="page">
                <wp:posOffset>609600</wp:posOffset>
              </wp:positionV>
              <wp:extent cx="6629400" cy="1270"/>
              <wp:effectExtent l="0" t="0" r="0" b="0"/>
              <wp:wrapNone/>
              <wp:docPr id="18" name="Graphic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2794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9DCC193" id="Graphic 18" o:spid="_x0000_s1026" alt="&quot;&quot;" style="position:absolute;margin-left:45pt;margin-top:48pt;width:522pt;height:.1pt;z-index:-19380736;visibility:visible;mso-wrap-style:square;mso-wrap-distance-left:0;mso-wrap-distance-top:0;mso-wrap-distance-right:0;mso-wrap-distance-bottom:0;mso-position-horizontal:absolute;mso-position-horizontal-relative:page;mso-position-vertical:absolute;mso-position-vertical-relative:page;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" path="m,l6629400,e" filled="f" strokeweight="2.2pt">
              <v:path arrowok="t"/>
              <w10:wrap anchorx="page" anchory="page"/>
            </v:shape>
          </w:pict>
        </mc:Fallback>
      </mc:AlternateContent>
    </w:r>
    <w:r>
      <w:rPr>
        <w:noProof/>
      </w:rPr>
      <mc:AlternateContent>
        <mc:Choice Requires="wps">
          <w:drawing>
            <wp:anchor distT="0" distB="0" distL="0" distR="0" simplePos="0" relativeHeight="483936256" behindDoc="1" locked="0" layoutInCell="1" allowOverlap="1" wp14:anchorId="7074C185" wp14:editId="6C38E076">
              <wp:simplePos x="0" y="0"/>
              <wp:positionH relativeFrom="page">
                <wp:posOffset>571500</wp:posOffset>
              </wp:positionH>
              <wp:positionV relativeFrom="page">
                <wp:posOffset>660400</wp:posOffset>
              </wp:positionV>
              <wp:extent cx="6629400" cy="1270"/>
              <wp:effectExtent l="0" t="0" r="0" b="0"/>
              <wp:wrapNone/>
              <wp:docPr id="19" name="Graphic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38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51208C" id="Graphic 19" o:spid="_x0000_s1026" alt="&quot;&quot;" style="position:absolute;margin-left:45pt;margin-top:52pt;width:522pt;height:.1pt;z-index:-19380224;visibility:visible;mso-wrap-style:square;mso-wrap-distance-left:0;mso-wrap-distance-top:0;mso-wrap-distance-right:0;mso-wrap-distance-bottom:0;mso-position-horizontal:absolute;mso-position-horizontal-relative:page;mso-position-vertical:absolute;mso-position-vertical-relative:page;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" path="m,l6629400,e" filled="f" strokeweight=".3pt">
              <v:path arrowok="t"/>
              <w10:wrap anchorx="page" anchory="page"/>
            </v:shape>
          </w:pict>
        </mc:Fallback>
      </mc:AlternateContent>
    </w:r>
    <w:r>
      <w:rPr>
        <w:noProof/>
      </w:rPr>
      <mc:AlternateContent>
        <mc:Choice Requires="wps">
          <w:drawing>
            <wp:anchor distT="0" distB="0" distL="0" distR="0" simplePos="0" relativeHeight="483936768" behindDoc="1" locked="0" layoutInCell="1" allowOverlap="1" wp14:anchorId="55E46707" wp14:editId="36514DB6">
              <wp:simplePos x="0" y="0"/>
              <wp:positionH relativeFrom="page">
                <wp:posOffset>6774433</wp:posOffset>
              </wp:positionH>
              <wp:positionV relativeFrom="page">
                <wp:posOffset>385330</wp:posOffset>
              </wp:positionV>
              <wp:extent cx="477520" cy="19621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7520" cy="196215"/>
                      </a:xfrm>
                      <a:prstGeom prst="rect">
                        <a:avLst/>
                      </a:prstGeom>
                    </wps:spPr>
                    <wps:txbx>
                      <w:txbxContent>
                        <w:p w14:paraId="5926FA65" w14:textId="77777777" w:rsidR="00D67C1E" w:rsidRDefault="001265CA">
                          <w:pPr>
                            <w:spacing w:before="26"/>
                            <w:ind w:left="60"/>
                            <w:rPr>
                              <w:rFonts w:ascii="Book Antiqua"/>
                              <w:b/>
                            </w:rPr>
                          </w:pPr>
                          <w:r>
                            <w:rPr>
                              <w:rFonts w:ascii="Book Antiqua"/>
                              <w:b/>
                              <w:spacing w:val="-2"/>
                              <w:w w:val="110"/>
                            </w:rPr>
                            <w:fldChar w:fldCharType="begin"/>
                          </w:r>
                          <w:r>
                            <w:rPr>
                              <w:rFonts w:ascii="Book Antiqua"/>
                              <w:b/>
                              <w:spacing w:val="-2"/>
                              <w:w w:val="110"/>
                            </w:rPr>
                            <w:instrText xml:space="preserve"> PAGE </w:instrText>
                          </w:r>
                          <w:r>
                            <w:rPr>
                              <w:rFonts w:ascii="Book Antiqua"/>
                              <w:b/>
                              <w:spacing w:val="-2"/>
                              <w:w w:val="110"/>
                            </w:rPr>
                            <w:fldChar w:fldCharType="separate"/>
                          </w:r>
                          <w:r>
                            <w:rPr>
                              <w:rFonts w:ascii="Book Antiqua"/>
                              <w:b/>
                              <w:spacing w:val="-2"/>
                              <w:w w:val="110"/>
                            </w:rPr>
                            <w:t>82685</w:t>
                          </w:r>
                          <w:r>
                            <w:rPr>
                              <w:rFonts w:ascii="Book Antiqua"/>
                              <w:b/>
                              <w:spacing w:val="-2"/>
                              <w:w w:val="110"/>
                            </w:rPr>
                            <w:fldChar w:fldCharType="end"/>
                          </w:r>
                        </w:p>
                      </w:txbxContent>
                    </wps:txbx>
                    <wps:bodyPr wrap="square" lIns="0" tIns="0" rIns="0" bIns="0" rtlCol="0">
                      <a:noAutofit/>
                    </wps:bodyPr>
                  </wps:wsp>
                </a:graphicData>
              </a:graphic>
            </wp:anchor>
          </w:drawing>
        </mc:Choice>
        <mc:Fallback>
          <w:pict>
            <v:shapetype w14:anchorId="55E46707" id="_x0000_t202" coordsize="21600,21600" o:spt="202" path="m,l,21600r21600,l21600,xe">
              <v:stroke joinstyle="miter"/>
              <v:path gradientshapeok="t" o:connecttype="rect"/>
            </v:shapetype>
            <v:shape id="Textbox 20" o:spid="_x0000_s1032" type="#_x0000_t202" style="position:absolute;margin-left:533.4pt;margin-top:30.35pt;width:37.6pt;height:15.45pt;z-index:-19379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" filled="f" stroked="f">
              <v:textbox inset="0,0,0,0">
                <w:txbxContent>
                  <w:p w14:paraId="5926FA65" w14:textId="77777777" w:rsidR="00D67C1E" w:rsidRDefault="001265CA">
                    <w:pPr>
                      <w:spacing w:before="26"/>
                      <w:ind w:left="60"/>
                      <w:rPr>
                        <w:rFonts w:ascii="Book Antiqua"/>
                        <w:b/>
                      </w:rPr>
                    </w:pPr>
                    <w:r>
                      <w:rPr>
                        <w:rFonts w:ascii="Book Antiqua"/>
                        <w:b/>
                        <w:spacing w:val="-2"/>
                        <w:w w:val="110"/>
                      </w:rPr>
                      <w:fldChar w:fldCharType="begin"/>
                    </w:r>
                    <w:r>
                      <w:rPr>
                        <w:rFonts w:ascii="Book Antiqua"/>
                        <w:b/>
                        <w:spacing w:val="-2"/>
                        <w:w w:val="110"/>
                      </w:rPr>
                      <w:instrText xml:space="preserve"> PAGE </w:instrText>
                    </w:r>
                    <w:r>
                      <w:rPr>
                        <w:rFonts w:ascii="Book Antiqua"/>
                        <w:b/>
                        <w:spacing w:val="-2"/>
                        <w:w w:val="110"/>
                      </w:rPr>
                      <w:fldChar w:fldCharType="separate"/>
                    </w:r>
                    <w:r>
                      <w:rPr>
                        <w:rFonts w:ascii="Book Antiqua"/>
                        <w:b/>
                        <w:spacing w:val="-2"/>
                        <w:w w:val="110"/>
                      </w:rPr>
                      <w:t>82685</w:t>
                    </w:r>
                    <w:r>
                      <w:rPr>
                        <w:rFonts w:ascii="Book Antiqua"/>
                        <w:b/>
                        <w:spacing w:val="-2"/>
                        <w:w w:val="110"/>
                      </w:rPr>
                      <w:fldChar w:fldCharType="end"/>
                    </w:r>
                  </w:p>
                </w:txbxContent>
              </v:textbox>
              <w10:wrap anchorx="page" anchory="page"/>
            </v:shape>
          </w:pict>
        </mc:Fallback>
      </mc:AlternateContent>
    </w:r>
    <w:r>
      <w:rPr>
        <w:noProof/>
      </w:rPr>
      <mc:AlternateContent>
        <mc:Choice Requires="wps">
          <w:drawing>
            <wp:anchor distT="0" distB="0" distL="0" distR="0" simplePos="0" relativeHeight="483937280" behindDoc="1" locked="0" layoutInCell="1" allowOverlap="1" wp14:anchorId="681F149C" wp14:editId="0B66882E">
              <wp:simplePos x="0" y="0"/>
              <wp:positionH relativeFrom="page">
                <wp:posOffset>1336039</wp:posOffset>
              </wp:positionH>
              <wp:positionV relativeFrom="page">
                <wp:posOffset>397636</wp:posOffset>
              </wp:positionV>
              <wp:extent cx="5098415" cy="180975"/>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8415" cy="180975"/>
                      </a:xfrm>
                      <a:prstGeom prst="rect">
                        <a:avLst/>
                      </a:prstGeom>
                    </wps:spPr>
                    <wps:txbx>
                      <w:txbxContent>
                        <w:p w14:paraId="6A2A6EB2" w14:textId="77777777" w:rsidR="00D67C1E" w:rsidRDefault="001265CA">
                          <w:pPr>
                            <w:spacing w:before="23"/>
                            <w:ind w:left="20"/>
                            <w:rPr>
                              <w:sz w:val="20"/>
                            </w:rPr>
                          </w:pPr>
                          <w:r>
                            <w:rPr>
                              <w:rFonts w:ascii="Book Antiqua"/>
                              <w:b/>
                              <w:sz w:val="20"/>
                            </w:rPr>
                            <w:t>Federal</w:t>
                          </w:r>
                          <w:r>
                            <w:rPr>
                              <w:rFonts w:ascii="Book Antiqua"/>
                              <w:b/>
                              <w:spacing w:val="57"/>
                              <w:sz w:val="20"/>
                            </w:rPr>
                            <w:t xml:space="preserve"> </w:t>
                          </w:r>
                          <w:r>
                            <w:rPr>
                              <w:rFonts w:ascii="Book Antiqua"/>
                              <w:b/>
                              <w:sz w:val="20"/>
                            </w:rPr>
                            <w:t>Register</w:t>
                          </w:r>
                          <w:r>
                            <w:rPr>
                              <w:rFonts w:ascii="Book Antiqua"/>
                              <w:b/>
                              <w:spacing w:val="-15"/>
                              <w:sz w:val="20"/>
                            </w:rPr>
                            <w:t xml:space="preserve"> </w:t>
                          </w:r>
                          <w:r>
                            <w:rPr>
                              <w:sz w:val="20"/>
                            </w:rPr>
                            <w:t>/</w:t>
                          </w:r>
                          <w:r>
                            <w:rPr>
                              <w:spacing w:val="-9"/>
                              <w:sz w:val="20"/>
                            </w:rPr>
                            <w:t xml:space="preserve"> </w:t>
                          </w:r>
                          <w:r>
                            <w:rPr>
                              <w:sz w:val="20"/>
                            </w:rPr>
                            <w:t>Vol.</w:t>
                          </w:r>
                          <w:r>
                            <w:rPr>
                              <w:spacing w:val="63"/>
                              <w:sz w:val="20"/>
                            </w:rPr>
                            <w:t xml:space="preserve"> </w:t>
                          </w:r>
                          <w:r>
                            <w:rPr>
                              <w:sz w:val="20"/>
                            </w:rPr>
                            <w:t>89,</w:t>
                          </w:r>
                          <w:r>
                            <w:rPr>
                              <w:spacing w:val="63"/>
                              <w:sz w:val="20"/>
                            </w:rPr>
                            <w:t xml:space="preserve"> </w:t>
                          </w:r>
                          <w:r>
                            <w:rPr>
                              <w:sz w:val="20"/>
                            </w:rPr>
                            <w:t>No.</w:t>
                          </w:r>
                          <w:r>
                            <w:rPr>
                              <w:spacing w:val="64"/>
                              <w:sz w:val="20"/>
                            </w:rPr>
                            <w:t xml:space="preserve"> </w:t>
                          </w:r>
                          <w:r>
                            <w:rPr>
                              <w:sz w:val="20"/>
                            </w:rPr>
                            <w:t>198</w:t>
                          </w:r>
                          <w:r>
                            <w:rPr>
                              <w:spacing w:val="-9"/>
                              <w:sz w:val="20"/>
                            </w:rPr>
                            <w:t xml:space="preserve"> </w:t>
                          </w:r>
                          <w:r>
                            <w:rPr>
                              <w:sz w:val="20"/>
                            </w:rPr>
                            <w:t>/</w:t>
                          </w:r>
                          <w:r>
                            <w:rPr>
                              <w:spacing w:val="-9"/>
                              <w:sz w:val="20"/>
                            </w:rPr>
                            <w:t xml:space="preserve"> </w:t>
                          </w:r>
                          <w:r>
                            <w:rPr>
                              <w:sz w:val="20"/>
                            </w:rPr>
                            <w:t>Friday,</w:t>
                          </w:r>
                          <w:r>
                            <w:rPr>
                              <w:spacing w:val="63"/>
                              <w:sz w:val="20"/>
                            </w:rPr>
                            <w:t xml:space="preserve"> </w:t>
                          </w:r>
                          <w:r>
                            <w:rPr>
                              <w:sz w:val="20"/>
                            </w:rPr>
                            <w:t>October</w:t>
                          </w:r>
                          <w:r>
                            <w:rPr>
                              <w:spacing w:val="63"/>
                              <w:sz w:val="20"/>
                            </w:rPr>
                            <w:t xml:space="preserve"> </w:t>
                          </w:r>
                          <w:r>
                            <w:rPr>
                              <w:sz w:val="20"/>
                            </w:rPr>
                            <w:t>11,</w:t>
                          </w:r>
                          <w:r>
                            <w:rPr>
                              <w:spacing w:val="63"/>
                              <w:sz w:val="20"/>
                            </w:rPr>
                            <w:t xml:space="preserve"> </w:t>
                          </w:r>
                          <w:r>
                            <w:rPr>
                              <w:sz w:val="20"/>
                            </w:rPr>
                            <w:t>2024</w:t>
                          </w:r>
                          <w:r>
                            <w:rPr>
                              <w:spacing w:val="-8"/>
                              <w:sz w:val="20"/>
                            </w:rPr>
                            <w:t xml:space="preserve"> </w:t>
                          </w:r>
                          <w:r>
                            <w:rPr>
                              <w:sz w:val="20"/>
                            </w:rPr>
                            <w:t>/</w:t>
                          </w:r>
                          <w:r>
                            <w:rPr>
                              <w:spacing w:val="-9"/>
                              <w:sz w:val="20"/>
                            </w:rPr>
                            <w:t xml:space="preserve"> </w:t>
                          </w:r>
                          <w:r>
                            <w:rPr>
                              <w:sz w:val="20"/>
                            </w:rPr>
                            <w:t>Rules</w:t>
                          </w:r>
                          <w:r>
                            <w:rPr>
                              <w:spacing w:val="63"/>
                              <w:sz w:val="20"/>
                            </w:rPr>
                            <w:t xml:space="preserve"> </w:t>
                          </w:r>
                          <w:r>
                            <w:rPr>
                              <w:sz w:val="20"/>
                            </w:rPr>
                            <w:t>and</w:t>
                          </w:r>
                          <w:r>
                            <w:rPr>
                              <w:spacing w:val="63"/>
                              <w:sz w:val="20"/>
                            </w:rPr>
                            <w:t xml:space="preserve"> </w:t>
                          </w:r>
                          <w:r>
                            <w:rPr>
                              <w:spacing w:val="-2"/>
                              <w:sz w:val="20"/>
                            </w:rPr>
                            <w:t>Regulations</w:t>
                          </w:r>
                        </w:p>
                      </w:txbxContent>
                    </wps:txbx>
                    <wps:bodyPr wrap="square" lIns="0" tIns="0" rIns="0" bIns="0" rtlCol="0">
                      <a:noAutofit/>
                    </wps:bodyPr>
                  </wps:wsp>
                </a:graphicData>
              </a:graphic>
            </wp:anchor>
          </w:drawing>
        </mc:Choice>
        <mc:Fallback>
          <w:pict>
            <v:shape w14:anchorId="681F149C" id="Textbox 21" o:spid="_x0000_s1033" type="#_x0000_t202" style="position:absolute;margin-left:105.2pt;margin-top:31.3pt;width:401.45pt;height:14.25pt;z-index:-19379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" filled="f" stroked="f">
              <v:textbox inset="0,0,0,0">
                <w:txbxContent>
                  <w:p w14:paraId="6A2A6EB2" w14:textId="77777777" w:rsidR="00D67C1E" w:rsidRDefault="001265CA">
                    <w:pPr>
                      <w:spacing w:before="23"/>
                      <w:ind w:left="20"/>
                      <w:rPr>
                        <w:sz w:val="20"/>
                      </w:rPr>
                    </w:pPr>
                    <w:r>
                      <w:rPr>
                        <w:rFonts w:ascii="Book Antiqua"/>
                        <w:b/>
                        <w:sz w:val="20"/>
                      </w:rPr>
                      <w:t>Federal</w:t>
                    </w:r>
                    <w:r>
                      <w:rPr>
                        <w:rFonts w:ascii="Book Antiqua"/>
                        <w:b/>
                        <w:spacing w:val="57"/>
                        <w:sz w:val="20"/>
                      </w:rPr>
                      <w:t xml:space="preserve"> </w:t>
                    </w:r>
                    <w:r>
                      <w:rPr>
                        <w:rFonts w:ascii="Book Antiqua"/>
                        <w:b/>
                        <w:sz w:val="20"/>
                      </w:rPr>
                      <w:t>Register</w:t>
                    </w:r>
                    <w:r>
                      <w:rPr>
                        <w:rFonts w:ascii="Book Antiqua"/>
                        <w:b/>
                        <w:spacing w:val="-15"/>
                        <w:sz w:val="20"/>
                      </w:rPr>
                      <w:t xml:space="preserve"> </w:t>
                    </w:r>
                    <w:r>
                      <w:rPr>
                        <w:sz w:val="20"/>
                      </w:rPr>
                      <w:t>/</w:t>
                    </w:r>
                    <w:r>
                      <w:rPr>
                        <w:spacing w:val="-9"/>
                        <w:sz w:val="20"/>
                      </w:rPr>
                      <w:t xml:space="preserve"> </w:t>
                    </w:r>
                    <w:r>
                      <w:rPr>
                        <w:sz w:val="20"/>
                      </w:rPr>
                      <w:t>Vol.</w:t>
                    </w:r>
                    <w:r>
                      <w:rPr>
                        <w:spacing w:val="63"/>
                        <w:sz w:val="20"/>
                      </w:rPr>
                      <w:t xml:space="preserve"> </w:t>
                    </w:r>
                    <w:r>
                      <w:rPr>
                        <w:sz w:val="20"/>
                      </w:rPr>
                      <w:t>89,</w:t>
                    </w:r>
                    <w:r>
                      <w:rPr>
                        <w:spacing w:val="63"/>
                        <w:sz w:val="20"/>
                      </w:rPr>
                      <w:t xml:space="preserve"> </w:t>
                    </w:r>
                    <w:r>
                      <w:rPr>
                        <w:sz w:val="20"/>
                      </w:rPr>
                      <w:t>No.</w:t>
                    </w:r>
                    <w:r>
                      <w:rPr>
                        <w:spacing w:val="64"/>
                        <w:sz w:val="20"/>
                      </w:rPr>
                      <w:t xml:space="preserve"> </w:t>
                    </w:r>
                    <w:r>
                      <w:rPr>
                        <w:sz w:val="20"/>
                      </w:rPr>
                      <w:t>198</w:t>
                    </w:r>
                    <w:r>
                      <w:rPr>
                        <w:spacing w:val="-9"/>
                        <w:sz w:val="20"/>
                      </w:rPr>
                      <w:t xml:space="preserve"> </w:t>
                    </w:r>
                    <w:r>
                      <w:rPr>
                        <w:sz w:val="20"/>
                      </w:rPr>
                      <w:t>/</w:t>
                    </w:r>
                    <w:r>
                      <w:rPr>
                        <w:spacing w:val="-9"/>
                        <w:sz w:val="20"/>
                      </w:rPr>
                      <w:t xml:space="preserve"> </w:t>
                    </w:r>
                    <w:r>
                      <w:rPr>
                        <w:sz w:val="20"/>
                      </w:rPr>
                      <w:t>Friday,</w:t>
                    </w:r>
                    <w:r>
                      <w:rPr>
                        <w:spacing w:val="63"/>
                        <w:sz w:val="20"/>
                      </w:rPr>
                      <w:t xml:space="preserve"> </w:t>
                    </w:r>
                    <w:r>
                      <w:rPr>
                        <w:sz w:val="20"/>
                      </w:rPr>
                      <w:t>October</w:t>
                    </w:r>
                    <w:r>
                      <w:rPr>
                        <w:spacing w:val="63"/>
                        <w:sz w:val="20"/>
                      </w:rPr>
                      <w:t xml:space="preserve"> </w:t>
                    </w:r>
                    <w:r>
                      <w:rPr>
                        <w:sz w:val="20"/>
                      </w:rPr>
                      <w:t>11,</w:t>
                    </w:r>
                    <w:r>
                      <w:rPr>
                        <w:spacing w:val="63"/>
                        <w:sz w:val="20"/>
                      </w:rPr>
                      <w:t xml:space="preserve"> </w:t>
                    </w:r>
                    <w:r>
                      <w:rPr>
                        <w:sz w:val="20"/>
                      </w:rPr>
                      <w:t>2024</w:t>
                    </w:r>
                    <w:r>
                      <w:rPr>
                        <w:spacing w:val="-8"/>
                        <w:sz w:val="20"/>
                      </w:rPr>
                      <w:t xml:space="preserve"> </w:t>
                    </w:r>
                    <w:r>
                      <w:rPr>
                        <w:sz w:val="20"/>
                      </w:rPr>
                      <w:t>/</w:t>
                    </w:r>
                    <w:r>
                      <w:rPr>
                        <w:spacing w:val="-9"/>
                        <w:sz w:val="20"/>
                      </w:rPr>
                      <w:t xml:space="preserve"> </w:t>
                    </w:r>
                    <w:r>
                      <w:rPr>
                        <w:sz w:val="20"/>
                      </w:rPr>
                      <w:t>Rules</w:t>
                    </w:r>
                    <w:r>
                      <w:rPr>
                        <w:spacing w:val="63"/>
                        <w:sz w:val="20"/>
                      </w:rPr>
                      <w:t xml:space="preserve"> </w:t>
                    </w:r>
                    <w:r>
                      <w:rPr>
                        <w:sz w:val="20"/>
                      </w:rPr>
                      <w:t>and</w:t>
                    </w:r>
                    <w:r>
                      <w:rPr>
                        <w:spacing w:val="63"/>
                        <w:sz w:val="20"/>
                      </w:rPr>
                      <w:t xml:space="preserve"> </w:t>
                    </w:r>
                    <w:r>
                      <w:rPr>
                        <w:spacing w:val="-2"/>
                        <w:sz w:val="20"/>
                      </w:rPr>
                      <w:t>Regulations</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5E921" w14:textId="77777777" w:rsidR="00D67C1E" w:rsidRDefault="001265CA">
    <w:pPr>
      <w:pStyle w:val="BodyText"/>
      <w:spacing w:line="14" w:lineRule="auto"/>
      <w:ind w:left="0"/>
      <w:rPr>
        <w:sz w:val="20"/>
      </w:rPr>
    </w:pPr>
    <w:r>
      <w:rPr>
        <w:noProof/>
      </w:rPr>
      <mc:AlternateContent>
        <mc:Choice Requires="wps">
          <w:drawing>
            <wp:anchor distT="0" distB="0" distL="0" distR="0" simplePos="0" relativeHeight="483939328" behindDoc="1" locked="0" layoutInCell="1" allowOverlap="1" wp14:anchorId="77830893" wp14:editId="0EAD8EF8">
              <wp:simplePos x="0" y="0"/>
              <wp:positionH relativeFrom="page">
                <wp:posOffset>571500</wp:posOffset>
              </wp:positionH>
              <wp:positionV relativeFrom="page">
                <wp:posOffset>609600</wp:posOffset>
              </wp:positionV>
              <wp:extent cx="6629400" cy="1270"/>
              <wp:effectExtent l="0" t="0" r="0" b="0"/>
              <wp:wrapNone/>
              <wp:docPr id="34" name="Graphic 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2794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9C04A4" id="Graphic 34" o:spid="_x0000_s1026" alt="&quot;&quot;" style="position:absolute;margin-left:45pt;margin-top:48pt;width:522pt;height:.1pt;z-index:-19377152;visibility:visible;mso-wrap-style:square;mso-wrap-distance-left:0;mso-wrap-distance-top:0;mso-wrap-distance-right:0;mso-wrap-distance-bottom:0;mso-position-horizontal:absolute;mso-position-horizontal-relative:page;mso-position-vertical:absolute;mso-position-vertical-relative:page;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" path="m,l6629400,e" filled="f" strokeweight="2.2pt">
              <v:path arrowok="t"/>
              <w10:wrap anchorx="page" anchory="page"/>
            </v:shape>
          </w:pict>
        </mc:Fallback>
      </mc:AlternateContent>
    </w:r>
    <w:r>
      <w:rPr>
        <w:noProof/>
      </w:rPr>
      <mc:AlternateContent>
        <mc:Choice Requires="wps">
          <w:drawing>
            <wp:anchor distT="0" distB="0" distL="0" distR="0" simplePos="0" relativeHeight="483939840" behindDoc="1" locked="0" layoutInCell="1" allowOverlap="1" wp14:anchorId="35717677" wp14:editId="7C902090">
              <wp:simplePos x="0" y="0"/>
              <wp:positionH relativeFrom="page">
                <wp:posOffset>571500</wp:posOffset>
              </wp:positionH>
              <wp:positionV relativeFrom="page">
                <wp:posOffset>660400</wp:posOffset>
              </wp:positionV>
              <wp:extent cx="6629400" cy="1270"/>
              <wp:effectExtent l="0" t="0" r="0" b="0"/>
              <wp:wrapNone/>
              <wp:docPr id="35" name="Graphic 3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38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FECF3F" id="Graphic 35" o:spid="_x0000_s1026" alt="&quot;&quot;" style="position:absolute;margin-left:45pt;margin-top:52pt;width:522pt;height:.1pt;z-index:-19376640;visibility:visible;mso-wrap-style:square;mso-wrap-distance-left:0;mso-wrap-distance-top:0;mso-wrap-distance-right:0;mso-wrap-distance-bottom:0;mso-position-horizontal:absolute;mso-position-horizontal-relative:page;mso-position-vertical:absolute;mso-position-vertical-relative:page;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" path="m,l6629400,e" filled="f" strokeweight=".3pt">
              <v:path arrowok="t"/>
              <w10:wrap anchorx="page" anchory="page"/>
            </v:shape>
          </w:pict>
        </mc:Fallback>
      </mc:AlternateContent>
    </w:r>
    <w:r>
      <w:rPr>
        <w:noProof/>
      </w:rPr>
      <mc:AlternateContent>
        <mc:Choice Requires="wps">
          <w:drawing>
            <wp:anchor distT="0" distB="0" distL="0" distR="0" simplePos="0" relativeHeight="483940352" behindDoc="1" locked="0" layoutInCell="1" allowOverlap="1" wp14:anchorId="4848B2DD" wp14:editId="2802B143">
              <wp:simplePos x="0" y="0"/>
              <wp:positionH relativeFrom="page">
                <wp:posOffset>533400</wp:posOffset>
              </wp:positionH>
              <wp:positionV relativeFrom="page">
                <wp:posOffset>385330</wp:posOffset>
              </wp:positionV>
              <wp:extent cx="477520" cy="196215"/>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7520" cy="196215"/>
                      </a:xfrm>
                      <a:prstGeom prst="rect">
                        <a:avLst/>
                      </a:prstGeom>
                    </wps:spPr>
                    <wps:txbx>
                      <w:txbxContent>
                        <w:p w14:paraId="7120A29D" w14:textId="77777777" w:rsidR="00D67C1E" w:rsidRDefault="001265CA">
                          <w:pPr>
                            <w:spacing w:before="26"/>
                            <w:ind w:left="60"/>
                            <w:rPr>
                              <w:rFonts w:ascii="Book Antiqua"/>
                              <w:b/>
                            </w:rPr>
                          </w:pPr>
                          <w:r>
                            <w:rPr>
                              <w:rFonts w:ascii="Book Antiqua"/>
                              <w:b/>
                              <w:spacing w:val="-2"/>
                              <w:w w:val="110"/>
                            </w:rPr>
                            <w:fldChar w:fldCharType="begin"/>
                          </w:r>
                          <w:r>
                            <w:rPr>
                              <w:rFonts w:ascii="Book Antiqua"/>
                              <w:b/>
                              <w:spacing w:val="-2"/>
                              <w:w w:val="110"/>
                            </w:rPr>
                            <w:instrText xml:space="preserve"> PAGE </w:instrText>
                          </w:r>
                          <w:r>
                            <w:rPr>
                              <w:rFonts w:ascii="Book Antiqua"/>
                              <w:b/>
                              <w:spacing w:val="-2"/>
                              <w:w w:val="110"/>
                            </w:rPr>
                            <w:fldChar w:fldCharType="separate"/>
                          </w:r>
                          <w:r>
                            <w:rPr>
                              <w:rFonts w:ascii="Book Antiqua"/>
                              <w:b/>
                              <w:spacing w:val="-2"/>
                              <w:w w:val="110"/>
                            </w:rPr>
                            <w:t>82688</w:t>
                          </w:r>
                          <w:r>
                            <w:rPr>
                              <w:rFonts w:ascii="Book Antiqua"/>
                              <w:b/>
                              <w:spacing w:val="-2"/>
                              <w:w w:val="110"/>
                            </w:rPr>
                            <w:fldChar w:fldCharType="end"/>
                          </w:r>
                        </w:p>
                      </w:txbxContent>
                    </wps:txbx>
                    <wps:bodyPr wrap="square" lIns="0" tIns="0" rIns="0" bIns="0" rtlCol="0">
                      <a:noAutofit/>
                    </wps:bodyPr>
                  </wps:wsp>
                </a:graphicData>
              </a:graphic>
            </wp:anchor>
          </w:drawing>
        </mc:Choice>
        <mc:Fallback>
          <w:pict>
            <v:shapetype w14:anchorId="4848B2DD" id="_x0000_t202" coordsize="21600,21600" o:spt="202" path="m,l,21600r21600,l21600,xe">
              <v:stroke joinstyle="miter"/>
              <v:path gradientshapeok="t" o:connecttype="rect"/>
            </v:shapetype>
            <v:shape id="Textbox 36" o:spid="_x0000_s1034" type="#_x0000_t202" style="position:absolute;margin-left:42pt;margin-top:30.35pt;width:37.6pt;height:15.45pt;z-index:-19376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" filled="f" stroked="f">
              <v:textbox inset="0,0,0,0">
                <w:txbxContent>
                  <w:p w14:paraId="7120A29D" w14:textId="77777777" w:rsidR="00D67C1E" w:rsidRDefault="001265CA">
                    <w:pPr>
                      <w:spacing w:before="26"/>
                      <w:ind w:left="60"/>
                      <w:rPr>
                        <w:rFonts w:ascii="Book Antiqua"/>
                        <w:b/>
                      </w:rPr>
                    </w:pPr>
                    <w:r>
                      <w:rPr>
                        <w:rFonts w:ascii="Book Antiqua"/>
                        <w:b/>
                        <w:spacing w:val="-2"/>
                        <w:w w:val="110"/>
                      </w:rPr>
                      <w:fldChar w:fldCharType="begin"/>
                    </w:r>
                    <w:r>
                      <w:rPr>
                        <w:rFonts w:ascii="Book Antiqua"/>
                        <w:b/>
                        <w:spacing w:val="-2"/>
                        <w:w w:val="110"/>
                      </w:rPr>
                      <w:instrText xml:space="preserve"> PAGE </w:instrText>
                    </w:r>
                    <w:r>
                      <w:rPr>
                        <w:rFonts w:ascii="Book Antiqua"/>
                        <w:b/>
                        <w:spacing w:val="-2"/>
                        <w:w w:val="110"/>
                      </w:rPr>
                      <w:fldChar w:fldCharType="separate"/>
                    </w:r>
                    <w:r>
                      <w:rPr>
                        <w:rFonts w:ascii="Book Antiqua"/>
                        <w:b/>
                        <w:spacing w:val="-2"/>
                        <w:w w:val="110"/>
                      </w:rPr>
                      <w:t>82688</w:t>
                    </w:r>
                    <w:r>
                      <w:rPr>
                        <w:rFonts w:ascii="Book Antiqua"/>
                        <w:b/>
                        <w:spacing w:val="-2"/>
                        <w:w w:val="110"/>
                      </w:rPr>
                      <w:fldChar w:fldCharType="end"/>
                    </w:r>
                  </w:p>
                </w:txbxContent>
              </v:textbox>
              <w10:wrap anchorx="page" anchory="page"/>
            </v:shape>
          </w:pict>
        </mc:Fallback>
      </mc:AlternateContent>
    </w:r>
    <w:r>
      <w:rPr>
        <w:noProof/>
      </w:rPr>
      <mc:AlternateContent>
        <mc:Choice Requires="wps">
          <w:drawing>
            <wp:anchor distT="0" distB="0" distL="0" distR="0" simplePos="0" relativeHeight="483940864" behindDoc="1" locked="0" layoutInCell="1" allowOverlap="1" wp14:anchorId="0A571D2D" wp14:editId="4B0705EA">
              <wp:simplePos x="0" y="0"/>
              <wp:positionH relativeFrom="page">
                <wp:posOffset>1336039</wp:posOffset>
              </wp:positionH>
              <wp:positionV relativeFrom="page">
                <wp:posOffset>397636</wp:posOffset>
              </wp:positionV>
              <wp:extent cx="5098415" cy="180975"/>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8415" cy="180975"/>
                      </a:xfrm>
                      <a:prstGeom prst="rect">
                        <a:avLst/>
                      </a:prstGeom>
                    </wps:spPr>
                    <wps:txbx>
                      <w:txbxContent>
                        <w:p w14:paraId="2A9B7E8C" w14:textId="77777777" w:rsidR="00D67C1E" w:rsidRDefault="001265CA">
                          <w:pPr>
                            <w:spacing w:before="23"/>
                            <w:ind w:left="20"/>
                            <w:rPr>
                              <w:sz w:val="20"/>
                            </w:rPr>
                          </w:pPr>
                          <w:r>
                            <w:rPr>
                              <w:rFonts w:ascii="Book Antiqua"/>
                              <w:b/>
                              <w:sz w:val="20"/>
                            </w:rPr>
                            <w:t>Federal</w:t>
                          </w:r>
                          <w:r>
                            <w:rPr>
                              <w:rFonts w:ascii="Book Antiqua"/>
                              <w:b/>
                              <w:spacing w:val="57"/>
                              <w:sz w:val="20"/>
                            </w:rPr>
                            <w:t xml:space="preserve"> </w:t>
                          </w:r>
                          <w:r>
                            <w:rPr>
                              <w:rFonts w:ascii="Book Antiqua"/>
                              <w:b/>
                              <w:sz w:val="20"/>
                            </w:rPr>
                            <w:t>Register</w:t>
                          </w:r>
                          <w:r>
                            <w:rPr>
                              <w:rFonts w:ascii="Book Antiqua"/>
                              <w:b/>
                              <w:spacing w:val="-15"/>
                              <w:sz w:val="20"/>
                            </w:rPr>
                            <w:t xml:space="preserve"> </w:t>
                          </w:r>
                          <w:r>
                            <w:rPr>
                              <w:sz w:val="20"/>
                            </w:rPr>
                            <w:t>/</w:t>
                          </w:r>
                          <w:r>
                            <w:rPr>
                              <w:spacing w:val="-9"/>
                              <w:sz w:val="20"/>
                            </w:rPr>
                            <w:t xml:space="preserve"> </w:t>
                          </w:r>
                          <w:r>
                            <w:rPr>
                              <w:sz w:val="20"/>
                            </w:rPr>
                            <w:t>Vol.</w:t>
                          </w:r>
                          <w:r>
                            <w:rPr>
                              <w:spacing w:val="63"/>
                              <w:sz w:val="20"/>
                            </w:rPr>
                            <w:t xml:space="preserve"> </w:t>
                          </w:r>
                          <w:r>
                            <w:rPr>
                              <w:sz w:val="20"/>
                            </w:rPr>
                            <w:t>89,</w:t>
                          </w:r>
                          <w:r>
                            <w:rPr>
                              <w:spacing w:val="63"/>
                              <w:sz w:val="20"/>
                            </w:rPr>
                            <w:t xml:space="preserve"> </w:t>
                          </w:r>
                          <w:r>
                            <w:rPr>
                              <w:sz w:val="20"/>
                            </w:rPr>
                            <w:t>No.</w:t>
                          </w:r>
                          <w:r>
                            <w:rPr>
                              <w:spacing w:val="64"/>
                              <w:sz w:val="20"/>
                            </w:rPr>
                            <w:t xml:space="preserve"> </w:t>
                          </w:r>
                          <w:r>
                            <w:rPr>
                              <w:sz w:val="20"/>
                            </w:rPr>
                            <w:t>198</w:t>
                          </w:r>
                          <w:r>
                            <w:rPr>
                              <w:spacing w:val="-9"/>
                              <w:sz w:val="20"/>
                            </w:rPr>
                            <w:t xml:space="preserve"> </w:t>
                          </w:r>
                          <w:r>
                            <w:rPr>
                              <w:sz w:val="20"/>
                            </w:rPr>
                            <w:t>/</w:t>
                          </w:r>
                          <w:r>
                            <w:rPr>
                              <w:spacing w:val="-9"/>
                              <w:sz w:val="20"/>
                            </w:rPr>
                            <w:t xml:space="preserve"> </w:t>
                          </w:r>
                          <w:r>
                            <w:rPr>
                              <w:sz w:val="20"/>
                            </w:rPr>
                            <w:t>Friday,</w:t>
                          </w:r>
                          <w:r>
                            <w:rPr>
                              <w:spacing w:val="63"/>
                              <w:sz w:val="20"/>
                            </w:rPr>
                            <w:t xml:space="preserve"> </w:t>
                          </w:r>
                          <w:r>
                            <w:rPr>
                              <w:sz w:val="20"/>
                            </w:rPr>
                            <w:t>October</w:t>
                          </w:r>
                          <w:r>
                            <w:rPr>
                              <w:spacing w:val="63"/>
                              <w:sz w:val="20"/>
                            </w:rPr>
                            <w:t xml:space="preserve"> </w:t>
                          </w:r>
                          <w:r>
                            <w:rPr>
                              <w:sz w:val="20"/>
                            </w:rPr>
                            <w:t>11,</w:t>
                          </w:r>
                          <w:r>
                            <w:rPr>
                              <w:spacing w:val="63"/>
                              <w:sz w:val="20"/>
                            </w:rPr>
                            <w:t xml:space="preserve"> </w:t>
                          </w:r>
                          <w:r>
                            <w:rPr>
                              <w:sz w:val="20"/>
                            </w:rPr>
                            <w:t>2024</w:t>
                          </w:r>
                          <w:r>
                            <w:rPr>
                              <w:spacing w:val="-8"/>
                              <w:sz w:val="20"/>
                            </w:rPr>
                            <w:t xml:space="preserve"> </w:t>
                          </w:r>
                          <w:r>
                            <w:rPr>
                              <w:sz w:val="20"/>
                            </w:rPr>
                            <w:t>/</w:t>
                          </w:r>
                          <w:r>
                            <w:rPr>
                              <w:spacing w:val="-9"/>
                              <w:sz w:val="20"/>
                            </w:rPr>
                            <w:t xml:space="preserve"> </w:t>
                          </w:r>
                          <w:r>
                            <w:rPr>
                              <w:sz w:val="20"/>
                            </w:rPr>
                            <w:t>Rules</w:t>
                          </w:r>
                          <w:r>
                            <w:rPr>
                              <w:spacing w:val="63"/>
                              <w:sz w:val="20"/>
                            </w:rPr>
                            <w:t xml:space="preserve"> </w:t>
                          </w:r>
                          <w:r>
                            <w:rPr>
                              <w:sz w:val="20"/>
                            </w:rPr>
                            <w:t>and</w:t>
                          </w:r>
                          <w:r>
                            <w:rPr>
                              <w:spacing w:val="63"/>
                              <w:sz w:val="20"/>
                            </w:rPr>
                            <w:t xml:space="preserve"> </w:t>
                          </w:r>
                          <w:r>
                            <w:rPr>
                              <w:spacing w:val="-2"/>
                              <w:sz w:val="20"/>
                            </w:rPr>
                            <w:t>Regulations</w:t>
                          </w:r>
                        </w:p>
                      </w:txbxContent>
                    </wps:txbx>
                    <wps:bodyPr wrap="square" lIns="0" tIns="0" rIns="0" bIns="0" rtlCol="0">
                      <a:noAutofit/>
                    </wps:bodyPr>
                  </wps:wsp>
                </a:graphicData>
              </a:graphic>
            </wp:anchor>
          </w:drawing>
        </mc:Choice>
        <mc:Fallback>
          <w:pict>
            <v:shape w14:anchorId="0A571D2D" id="Textbox 37" o:spid="_x0000_s1035" type="#_x0000_t202" style="position:absolute;margin-left:105.2pt;margin-top:31.3pt;width:401.45pt;height:14.25pt;z-index:-19375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" filled="f" stroked="f">
              <v:textbox inset="0,0,0,0">
                <w:txbxContent>
                  <w:p w14:paraId="2A9B7E8C" w14:textId="77777777" w:rsidR="00D67C1E" w:rsidRDefault="001265CA">
                    <w:pPr>
                      <w:spacing w:before="23"/>
                      <w:ind w:left="20"/>
                      <w:rPr>
                        <w:sz w:val="20"/>
                      </w:rPr>
                    </w:pPr>
                    <w:r>
                      <w:rPr>
                        <w:rFonts w:ascii="Book Antiqua"/>
                        <w:b/>
                        <w:sz w:val="20"/>
                      </w:rPr>
                      <w:t>Federal</w:t>
                    </w:r>
                    <w:r>
                      <w:rPr>
                        <w:rFonts w:ascii="Book Antiqua"/>
                        <w:b/>
                        <w:spacing w:val="57"/>
                        <w:sz w:val="20"/>
                      </w:rPr>
                      <w:t xml:space="preserve"> </w:t>
                    </w:r>
                    <w:r>
                      <w:rPr>
                        <w:rFonts w:ascii="Book Antiqua"/>
                        <w:b/>
                        <w:sz w:val="20"/>
                      </w:rPr>
                      <w:t>Register</w:t>
                    </w:r>
                    <w:r>
                      <w:rPr>
                        <w:rFonts w:ascii="Book Antiqua"/>
                        <w:b/>
                        <w:spacing w:val="-15"/>
                        <w:sz w:val="20"/>
                      </w:rPr>
                      <w:t xml:space="preserve"> </w:t>
                    </w:r>
                    <w:r>
                      <w:rPr>
                        <w:sz w:val="20"/>
                      </w:rPr>
                      <w:t>/</w:t>
                    </w:r>
                    <w:r>
                      <w:rPr>
                        <w:spacing w:val="-9"/>
                        <w:sz w:val="20"/>
                      </w:rPr>
                      <w:t xml:space="preserve"> </w:t>
                    </w:r>
                    <w:r>
                      <w:rPr>
                        <w:sz w:val="20"/>
                      </w:rPr>
                      <w:t>Vol.</w:t>
                    </w:r>
                    <w:r>
                      <w:rPr>
                        <w:spacing w:val="63"/>
                        <w:sz w:val="20"/>
                      </w:rPr>
                      <w:t xml:space="preserve"> </w:t>
                    </w:r>
                    <w:r>
                      <w:rPr>
                        <w:sz w:val="20"/>
                      </w:rPr>
                      <w:t>89,</w:t>
                    </w:r>
                    <w:r>
                      <w:rPr>
                        <w:spacing w:val="63"/>
                        <w:sz w:val="20"/>
                      </w:rPr>
                      <w:t xml:space="preserve"> </w:t>
                    </w:r>
                    <w:r>
                      <w:rPr>
                        <w:sz w:val="20"/>
                      </w:rPr>
                      <w:t>No.</w:t>
                    </w:r>
                    <w:r>
                      <w:rPr>
                        <w:spacing w:val="64"/>
                        <w:sz w:val="20"/>
                      </w:rPr>
                      <w:t xml:space="preserve"> </w:t>
                    </w:r>
                    <w:r>
                      <w:rPr>
                        <w:sz w:val="20"/>
                      </w:rPr>
                      <w:t>198</w:t>
                    </w:r>
                    <w:r>
                      <w:rPr>
                        <w:spacing w:val="-9"/>
                        <w:sz w:val="20"/>
                      </w:rPr>
                      <w:t xml:space="preserve"> </w:t>
                    </w:r>
                    <w:r>
                      <w:rPr>
                        <w:sz w:val="20"/>
                      </w:rPr>
                      <w:t>/</w:t>
                    </w:r>
                    <w:r>
                      <w:rPr>
                        <w:spacing w:val="-9"/>
                        <w:sz w:val="20"/>
                      </w:rPr>
                      <w:t xml:space="preserve"> </w:t>
                    </w:r>
                    <w:r>
                      <w:rPr>
                        <w:sz w:val="20"/>
                      </w:rPr>
                      <w:t>Friday,</w:t>
                    </w:r>
                    <w:r>
                      <w:rPr>
                        <w:spacing w:val="63"/>
                        <w:sz w:val="20"/>
                      </w:rPr>
                      <w:t xml:space="preserve"> </w:t>
                    </w:r>
                    <w:r>
                      <w:rPr>
                        <w:sz w:val="20"/>
                      </w:rPr>
                      <w:t>October</w:t>
                    </w:r>
                    <w:r>
                      <w:rPr>
                        <w:spacing w:val="63"/>
                        <w:sz w:val="20"/>
                      </w:rPr>
                      <w:t xml:space="preserve"> </w:t>
                    </w:r>
                    <w:r>
                      <w:rPr>
                        <w:sz w:val="20"/>
                      </w:rPr>
                      <w:t>11,</w:t>
                    </w:r>
                    <w:r>
                      <w:rPr>
                        <w:spacing w:val="63"/>
                        <w:sz w:val="20"/>
                      </w:rPr>
                      <w:t xml:space="preserve"> </w:t>
                    </w:r>
                    <w:r>
                      <w:rPr>
                        <w:sz w:val="20"/>
                      </w:rPr>
                      <w:t>2024</w:t>
                    </w:r>
                    <w:r>
                      <w:rPr>
                        <w:spacing w:val="-8"/>
                        <w:sz w:val="20"/>
                      </w:rPr>
                      <w:t xml:space="preserve"> </w:t>
                    </w:r>
                    <w:r>
                      <w:rPr>
                        <w:sz w:val="20"/>
                      </w:rPr>
                      <w:t>/</w:t>
                    </w:r>
                    <w:r>
                      <w:rPr>
                        <w:spacing w:val="-9"/>
                        <w:sz w:val="20"/>
                      </w:rPr>
                      <w:t xml:space="preserve"> </w:t>
                    </w:r>
                    <w:r>
                      <w:rPr>
                        <w:sz w:val="20"/>
                      </w:rPr>
                      <w:t>Rules</w:t>
                    </w:r>
                    <w:r>
                      <w:rPr>
                        <w:spacing w:val="63"/>
                        <w:sz w:val="20"/>
                      </w:rPr>
                      <w:t xml:space="preserve"> </w:t>
                    </w:r>
                    <w:r>
                      <w:rPr>
                        <w:sz w:val="20"/>
                      </w:rPr>
                      <w:t>and</w:t>
                    </w:r>
                    <w:r>
                      <w:rPr>
                        <w:spacing w:val="63"/>
                        <w:sz w:val="20"/>
                      </w:rPr>
                      <w:t xml:space="preserve"> </w:t>
                    </w:r>
                    <w:r>
                      <w:rPr>
                        <w:spacing w:val="-2"/>
                        <w:sz w:val="20"/>
                      </w:rPr>
                      <w:t>Regulations</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2D7C3" w14:textId="77777777" w:rsidR="00D67C1E" w:rsidRDefault="001265CA">
    <w:pPr>
      <w:pStyle w:val="BodyText"/>
      <w:spacing w:line="14" w:lineRule="auto"/>
      <w:ind w:left="0"/>
      <w:rPr>
        <w:sz w:val="20"/>
      </w:rPr>
    </w:pPr>
    <w:r>
      <w:rPr>
        <w:noProof/>
      </w:rPr>
      <mc:AlternateContent>
        <mc:Choice Requires="wps">
          <w:drawing>
            <wp:anchor distT="0" distB="0" distL="0" distR="0" simplePos="0" relativeHeight="483937792" behindDoc="1" locked="0" layoutInCell="1" allowOverlap="1" wp14:anchorId="677AAF2F" wp14:editId="2B9CF2B5">
              <wp:simplePos x="0" y="0"/>
              <wp:positionH relativeFrom="page">
                <wp:posOffset>571500</wp:posOffset>
              </wp:positionH>
              <wp:positionV relativeFrom="page">
                <wp:posOffset>609600</wp:posOffset>
              </wp:positionV>
              <wp:extent cx="6629400" cy="1270"/>
              <wp:effectExtent l="0" t="0" r="0" b="0"/>
              <wp:wrapNone/>
              <wp:docPr id="31" name="Graphic 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2794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729B1B0" id="Graphic 31" o:spid="_x0000_s1026" alt="&quot;&quot;" style="position:absolute;margin-left:45pt;margin-top:48pt;width:522pt;height:.1pt;z-index:-19378688;visibility:visible;mso-wrap-style:square;mso-wrap-distance-left:0;mso-wrap-distance-top:0;mso-wrap-distance-right:0;mso-wrap-distance-bottom:0;mso-position-horizontal:absolute;mso-position-horizontal-relative:page;mso-position-vertical:absolute;mso-position-vertical-relative:page;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" path="m,l6629400,e" filled="f" strokeweight="2.2pt">
              <v:path arrowok="t"/>
              <w10:wrap anchorx="page" anchory="page"/>
            </v:shape>
          </w:pict>
        </mc:Fallback>
      </mc:AlternateContent>
    </w:r>
    <w:r>
      <w:rPr>
        <w:noProof/>
      </w:rPr>
      <mc:AlternateContent>
        <mc:Choice Requires="wps">
          <w:drawing>
            <wp:anchor distT="0" distB="0" distL="0" distR="0" simplePos="0" relativeHeight="483938304" behindDoc="1" locked="0" layoutInCell="1" allowOverlap="1" wp14:anchorId="494C57BB" wp14:editId="10CE7C93">
              <wp:simplePos x="0" y="0"/>
              <wp:positionH relativeFrom="page">
                <wp:posOffset>6774433</wp:posOffset>
              </wp:positionH>
              <wp:positionV relativeFrom="page">
                <wp:posOffset>385330</wp:posOffset>
              </wp:positionV>
              <wp:extent cx="477520" cy="19621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7520" cy="196215"/>
                      </a:xfrm>
                      <a:prstGeom prst="rect">
                        <a:avLst/>
                      </a:prstGeom>
                    </wps:spPr>
                    <wps:txbx>
                      <w:txbxContent>
                        <w:p w14:paraId="17536DA0" w14:textId="77777777" w:rsidR="00D67C1E" w:rsidRDefault="001265CA">
                          <w:pPr>
                            <w:spacing w:before="26"/>
                            <w:ind w:left="60"/>
                            <w:rPr>
                              <w:rFonts w:ascii="Book Antiqua"/>
                              <w:b/>
                            </w:rPr>
                          </w:pPr>
                          <w:r>
                            <w:rPr>
                              <w:rFonts w:ascii="Book Antiqua"/>
                              <w:b/>
                              <w:spacing w:val="-2"/>
                              <w:w w:val="110"/>
                            </w:rPr>
                            <w:fldChar w:fldCharType="begin"/>
                          </w:r>
                          <w:r>
                            <w:rPr>
                              <w:rFonts w:ascii="Book Antiqua"/>
                              <w:b/>
                              <w:spacing w:val="-2"/>
                              <w:w w:val="110"/>
                            </w:rPr>
                            <w:instrText xml:space="preserve"> PAGE </w:instrText>
                          </w:r>
                          <w:r>
                            <w:rPr>
                              <w:rFonts w:ascii="Book Antiqua"/>
                              <w:b/>
                              <w:spacing w:val="-2"/>
                              <w:w w:val="110"/>
                            </w:rPr>
                            <w:fldChar w:fldCharType="separate"/>
                          </w:r>
                          <w:r>
                            <w:rPr>
                              <w:rFonts w:ascii="Book Antiqua"/>
                              <w:b/>
                              <w:spacing w:val="-2"/>
                              <w:w w:val="110"/>
                            </w:rPr>
                            <w:t>82687</w:t>
                          </w:r>
                          <w:r>
                            <w:rPr>
                              <w:rFonts w:ascii="Book Antiqua"/>
                              <w:b/>
                              <w:spacing w:val="-2"/>
                              <w:w w:val="110"/>
                            </w:rPr>
                            <w:fldChar w:fldCharType="end"/>
                          </w:r>
                        </w:p>
                      </w:txbxContent>
                    </wps:txbx>
                    <wps:bodyPr wrap="square" lIns="0" tIns="0" rIns="0" bIns="0" rtlCol="0">
                      <a:noAutofit/>
                    </wps:bodyPr>
                  </wps:wsp>
                </a:graphicData>
              </a:graphic>
            </wp:anchor>
          </w:drawing>
        </mc:Choice>
        <mc:Fallback>
          <w:pict>
            <v:shapetype w14:anchorId="494C57BB" id="_x0000_t202" coordsize="21600,21600" o:spt="202" path="m,l,21600r21600,l21600,xe">
              <v:stroke joinstyle="miter"/>
              <v:path gradientshapeok="t" o:connecttype="rect"/>
            </v:shapetype>
            <v:shape id="Textbox 32" o:spid="_x0000_s1036" type="#_x0000_t202" style="position:absolute;margin-left:533.4pt;margin-top:30.35pt;width:37.6pt;height:15.45pt;z-index:-19378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" filled="f" stroked="f">
              <v:textbox inset="0,0,0,0">
                <w:txbxContent>
                  <w:p w14:paraId="17536DA0" w14:textId="77777777" w:rsidR="00D67C1E" w:rsidRDefault="001265CA">
                    <w:pPr>
                      <w:spacing w:before="26"/>
                      <w:ind w:left="60"/>
                      <w:rPr>
                        <w:rFonts w:ascii="Book Antiqua"/>
                        <w:b/>
                      </w:rPr>
                    </w:pPr>
                    <w:r>
                      <w:rPr>
                        <w:rFonts w:ascii="Book Antiqua"/>
                        <w:b/>
                        <w:spacing w:val="-2"/>
                        <w:w w:val="110"/>
                      </w:rPr>
                      <w:fldChar w:fldCharType="begin"/>
                    </w:r>
                    <w:r>
                      <w:rPr>
                        <w:rFonts w:ascii="Book Antiqua"/>
                        <w:b/>
                        <w:spacing w:val="-2"/>
                        <w:w w:val="110"/>
                      </w:rPr>
                      <w:instrText xml:space="preserve"> PAGE </w:instrText>
                    </w:r>
                    <w:r>
                      <w:rPr>
                        <w:rFonts w:ascii="Book Antiqua"/>
                        <w:b/>
                        <w:spacing w:val="-2"/>
                        <w:w w:val="110"/>
                      </w:rPr>
                      <w:fldChar w:fldCharType="separate"/>
                    </w:r>
                    <w:r>
                      <w:rPr>
                        <w:rFonts w:ascii="Book Antiqua"/>
                        <w:b/>
                        <w:spacing w:val="-2"/>
                        <w:w w:val="110"/>
                      </w:rPr>
                      <w:t>82687</w:t>
                    </w:r>
                    <w:r>
                      <w:rPr>
                        <w:rFonts w:ascii="Book Antiqua"/>
                        <w:b/>
                        <w:spacing w:val="-2"/>
                        <w:w w:val="110"/>
                      </w:rPr>
                      <w:fldChar w:fldCharType="end"/>
                    </w:r>
                  </w:p>
                </w:txbxContent>
              </v:textbox>
              <w10:wrap anchorx="page" anchory="page"/>
            </v:shape>
          </w:pict>
        </mc:Fallback>
      </mc:AlternateContent>
    </w:r>
    <w:r>
      <w:rPr>
        <w:noProof/>
      </w:rPr>
      <mc:AlternateContent>
        <mc:Choice Requires="wps">
          <w:drawing>
            <wp:anchor distT="0" distB="0" distL="0" distR="0" simplePos="0" relativeHeight="483938816" behindDoc="1" locked="0" layoutInCell="1" allowOverlap="1" wp14:anchorId="5C8DCC7F" wp14:editId="46EB0DB6">
              <wp:simplePos x="0" y="0"/>
              <wp:positionH relativeFrom="page">
                <wp:posOffset>1336039</wp:posOffset>
              </wp:positionH>
              <wp:positionV relativeFrom="page">
                <wp:posOffset>397636</wp:posOffset>
              </wp:positionV>
              <wp:extent cx="5098415" cy="18097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8415" cy="180975"/>
                      </a:xfrm>
                      <a:prstGeom prst="rect">
                        <a:avLst/>
                      </a:prstGeom>
                    </wps:spPr>
                    <wps:txbx>
                      <w:txbxContent>
                        <w:p w14:paraId="239459D4" w14:textId="77777777" w:rsidR="00D67C1E" w:rsidRDefault="001265CA">
                          <w:pPr>
                            <w:spacing w:before="23"/>
                            <w:ind w:left="20"/>
                            <w:rPr>
                              <w:sz w:val="20"/>
                            </w:rPr>
                          </w:pPr>
                          <w:r>
                            <w:rPr>
                              <w:rFonts w:ascii="Book Antiqua"/>
                              <w:b/>
                              <w:sz w:val="20"/>
                            </w:rPr>
                            <w:t>Federal</w:t>
                          </w:r>
                          <w:r>
                            <w:rPr>
                              <w:rFonts w:ascii="Book Antiqua"/>
                              <w:b/>
                              <w:spacing w:val="57"/>
                              <w:sz w:val="20"/>
                            </w:rPr>
                            <w:t xml:space="preserve"> </w:t>
                          </w:r>
                          <w:r>
                            <w:rPr>
                              <w:rFonts w:ascii="Book Antiqua"/>
                              <w:b/>
                              <w:sz w:val="20"/>
                            </w:rPr>
                            <w:t>Register</w:t>
                          </w:r>
                          <w:r>
                            <w:rPr>
                              <w:rFonts w:ascii="Book Antiqua"/>
                              <w:b/>
                              <w:spacing w:val="-15"/>
                              <w:sz w:val="20"/>
                            </w:rPr>
                            <w:t xml:space="preserve"> </w:t>
                          </w:r>
                          <w:r>
                            <w:rPr>
                              <w:sz w:val="20"/>
                            </w:rPr>
                            <w:t>/</w:t>
                          </w:r>
                          <w:r>
                            <w:rPr>
                              <w:spacing w:val="-9"/>
                              <w:sz w:val="20"/>
                            </w:rPr>
                            <w:t xml:space="preserve"> </w:t>
                          </w:r>
                          <w:r>
                            <w:rPr>
                              <w:sz w:val="20"/>
                            </w:rPr>
                            <w:t>Vol.</w:t>
                          </w:r>
                          <w:r>
                            <w:rPr>
                              <w:spacing w:val="63"/>
                              <w:sz w:val="20"/>
                            </w:rPr>
                            <w:t xml:space="preserve"> </w:t>
                          </w:r>
                          <w:r>
                            <w:rPr>
                              <w:sz w:val="20"/>
                            </w:rPr>
                            <w:t>89,</w:t>
                          </w:r>
                          <w:r>
                            <w:rPr>
                              <w:spacing w:val="63"/>
                              <w:sz w:val="20"/>
                            </w:rPr>
                            <w:t xml:space="preserve"> </w:t>
                          </w:r>
                          <w:r>
                            <w:rPr>
                              <w:sz w:val="20"/>
                            </w:rPr>
                            <w:t>No.</w:t>
                          </w:r>
                          <w:r>
                            <w:rPr>
                              <w:spacing w:val="64"/>
                              <w:sz w:val="20"/>
                            </w:rPr>
                            <w:t xml:space="preserve"> </w:t>
                          </w:r>
                          <w:r>
                            <w:rPr>
                              <w:sz w:val="20"/>
                            </w:rPr>
                            <w:t>198</w:t>
                          </w:r>
                          <w:r>
                            <w:rPr>
                              <w:spacing w:val="-9"/>
                              <w:sz w:val="20"/>
                            </w:rPr>
                            <w:t xml:space="preserve"> </w:t>
                          </w:r>
                          <w:r>
                            <w:rPr>
                              <w:sz w:val="20"/>
                            </w:rPr>
                            <w:t>/</w:t>
                          </w:r>
                          <w:r>
                            <w:rPr>
                              <w:spacing w:val="-9"/>
                              <w:sz w:val="20"/>
                            </w:rPr>
                            <w:t xml:space="preserve"> </w:t>
                          </w:r>
                          <w:r>
                            <w:rPr>
                              <w:sz w:val="20"/>
                            </w:rPr>
                            <w:t>Friday,</w:t>
                          </w:r>
                          <w:r>
                            <w:rPr>
                              <w:spacing w:val="63"/>
                              <w:sz w:val="20"/>
                            </w:rPr>
                            <w:t xml:space="preserve"> </w:t>
                          </w:r>
                          <w:r>
                            <w:rPr>
                              <w:sz w:val="20"/>
                            </w:rPr>
                            <w:t>October</w:t>
                          </w:r>
                          <w:r>
                            <w:rPr>
                              <w:spacing w:val="63"/>
                              <w:sz w:val="20"/>
                            </w:rPr>
                            <w:t xml:space="preserve"> </w:t>
                          </w:r>
                          <w:r>
                            <w:rPr>
                              <w:sz w:val="20"/>
                            </w:rPr>
                            <w:t>11,</w:t>
                          </w:r>
                          <w:r>
                            <w:rPr>
                              <w:spacing w:val="63"/>
                              <w:sz w:val="20"/>
                            </w:rPr>
                            <w:t xml:space="preserve"> </w:t>
                          </w:r>
                          <w:r>
                            <w:rPr>
                              <w:sz w:val="20"/>
                            </w:rPr>
                            <w:t>2024</w:t>
                          </w:r>
                          <w:r>
                            <w:rPr>
                              <w:spacing w:val="-8"/>
                              <w:sz w:val="20"/>
                            </w:rPr>
                            <w:t xml:space="preserve"> </w:t>
                          </w:r>
                          <w:r>
                            <w:rPr>
                              <w:sz w:val="20"/>
                            </w:rPr>
                            <w:t>/</w:t>
                          </w:r>
                          <w:r>
                            <w:rPr>
                              <w:spacing w:val="-9"/>
                              <w:sz w:val="20"/>
                            </w:rPr>
                            <w:t xml:space="preserve"> </w:t>
                          </w:r>
                          <w:r>
                            <w:rPr>
                              <w:sz w:val="20"/>
                            </w:rPr>
                            <w:t>Rules</w:t>
                          </w:r>
                          <w:r>
                            <w:rPr>
                              <w:spacing w:val="63"/>
                              <w:sz w:val="20"/>
                            </w:rPr>
                            <w:t xml:space="preserve"> </w:t>
                          </w:r>
                          <w:r>
                            <w:rPr>
                              <w:sz w:val="20"/>
                            </w:rPr>
                            <w:t>and</w:t>
                          </w:r>
                          <w:r>
                            <w:rPr>
                              <w:spacing w:val="63"/>
                              <w:sz w:val="20"/>
                            </w:rPr>
                            <w:t xml:space="preserve"> </w:t>
                          </w:r>
                          <w:r>
                            <w:rPr>
                              <w:spacing w:val="-2"/>
                              <w:sz w:val="20"/>
                            </w:rPr>
                            <w:t>Regulations</w:t>
                          </w:r>
                        </w:p>
                      </w:txbxContent>
                    </wps:txbx>
                    <wps:bodyPr wrap="square" lIns="0" tIns="0" rIns="0" bIns="0" rtlCol="0">
                      <a:noAutofit/>
                    </wps:bodyPr>
                  </wps:wsp>
                </a:graphicData>
              </a:graphic>
            </wp:anchor>
          </w:drawing>
        </mc:Choice>
        <mc:Fallback>
          <w:pict>
            <v:shape w14:anchorId="5C8DCC7F" id="Textbox 33" o:spid="_x0000_s1037" type="#_x0000_t202" style="position:absolute;margin-left:105.2pt;margin-top:31.3pt;width:401.45pt;height:14.25pt;z-index:-19377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" filled="f" stroked="f">
              <v:textbox inset="0,0,0,0">
                <w:txbxContent>
                  <w:p w14:paraId="239459D4" w14:textId="77777777" w:rsidR="00D67C1E" w:rsidRDefault="001265CA">
                    <w:pPr>
                      <w:spacing w:before="23"/>
                      <w:ind w:left="20"/>
                      <w:rPr>
                        <w:sz w:val="20"/>
                      </w:rPr>
                    </w:pPr>
                    <w:r>
                      <w:rPr>
                        <w:rFonts w:ascii="Book Antiqua"/>
                        <w:b/>
                        <w:sz w:val="20"/>
                      </w:rPr>
                      <w:t>Federal</w:t>
                    </w:r>
                    <w:r>
                      <w:rPr>
                        <w:rFonts w:ascii="Book Antiqua"/>
                        <w:b/>
                        <w:spacing w:val="57"/>
                        <w:sz w:val="20"/>
                      </w:rPr>
                      <w:t xml:space="preserve"> </w:t>
                    </w:r>
                    <w:r>
                      <w:rPr>
                        <w:rFonts w:ascii="Book Antiqua"/>
                        <w:b/>
                        <w:sz w:val="20"/>
                      </w:rPr>
                      <w:t>Register</w:t>
                    </w:r>
                    <w:r>
                      <w:rPr>
                        <w:rFonts w:ascii="Book Antiqua"/>
                        <w:b/>
                        <w:spacing w:val="-15"/>
                        <w:sz w:val="20"/>
                      </w:rPr>
                      <w:t xml:space="preserve"> </w:t>
                    </w:r>
                    <w:r>
                      <w:rPr>
                        <w:sz w:val="20"/>
                      </w:rPr>
                      <w:t>/</w:t>
                    </w:r>
                    <w:r>
                      <w:rPr>
                        <w:spacing w:val="-9"/>
                        <w:sz w:val="20"/>
                      </w:rPr>
                      <w:t xml:space="preserve"> </w:t>
                    </w:r>
                    <w:r>
                      <w:rPr>
                        <w:sz w:val="20"/>
                      </w:rPr>
                      <w:t>Vol.</w:t>
                    </w:r>
                    <w:r>
                      <w:rPr>
                        <w:spacing w:val="63"/>
                        <w:sz w:val="20"/>
                      </w:rPr>
                      <w:t xml:space="preserve"> </w:t>
                    </w:r>
                    <w:r>
                      <w:rPr>
                        <w:sz w:val="20"/>
                      </w:rPr>
                      <w:t>89,</w:t>
                    </w:r>
                    <w:r>
                      <w:rPr>
                        <w:spacing w:val="63"/>
                        <w:sz w:val="20"/>
                      </w:rPr>
                      <w:t xml:space="preserve"> </w:t>
                    </w:r>
                    <w:r>
                      <w:rPr>
                        <w:sz w:val="20"/>
                      </w:rPr>
                      <w:t>No.</w:t>
                    </w:r>
                    <w:r>
                      <w:rPr>
                        <w:spacing w:val="64"/>
                        <w:sz w:val="20"/>
                      </w:rPr>
                      <w:t xml:space="preserve"> </w:t>
                    </w:r>
                    <w:r>
                      <w:rPr>
                        <w:sz w:val="20"/>
                      </w:rPr>
                      <w:t>198</w:t>
                    </w:r>
                    <w:r>
                      <w:rPr>
                        <w:spacing w:val="-9"/>
                        <w:sz w:val="20"/>
                      </w:rPr>
                      <w:t xml:space="preserve"> </w:t>
                    </w:r>
                    <w:r>
                      <w:rPr>
                        <w:sz w:val="20"/>
                      </w:rPr>
                      <w:t>/</w:t>
                    </w:r>
                    <w:r>
                      <w:rPr>
                        <w:spacing w:val="-9"/>
                        <w:sz w:val="20"/>
                      </w:rPr>
                      <w:t xml:space="preserve"> </w:t>
                    </w:r>
                    <w:r>
                      <w:rPr>
                        <w:sz w:val="20"/>
                      </w:rPr>
                      <w:t>Friday,</w:t>
                    </w:r>
                    <w:r>
                      <w:rPr>
                        <w:spacing w:val="63"/>
                        <w:sz w:val="20"/>
                      </w:rPr>
                      <w:t xml:space="preserve"> </w:t>
                    </w:r>
                    <w:r>
                      <w:rPr>
                        <w:sz w:val="20"/>
                      </w:rPr>
                      <w:t>October</w:t>
                    </w:r>
                    <w:r>
                      <w:rPr>
                        <w:spacing w:val="63"/>
                        <w:sz w:val="20"/>
                      </w:rPr>
                      <w:t xml:space="preserve"> </w:t>
                    </w:r>
                    <w:r>
                      <w:rPr>
                        <w:sz w:val="20"/>
                      </w:rPr>
                      <w:t>11,</w:t>
                    </w:r>
                    <w:r>
                      <w:rPr>
                        <w:spacing w:val="63"/>
                        <w:sz w:val="20"/>
                      </w:rPr>
                      <w:t xml:space="preserve"> </w:t>
                    </w:r>
                    <w:r>
                      <w:rPr>
                        <w:sz w:val="20"/>
                      </w:rPr>
                      <w:t>2024</w:t>
                    </w:r>
                    <w:r>
                      <w:rPr>
                        <w:spacing w:val="-8"/>
                        <w:sz w:val="20"/>
                      </w:rPr>
                      <w:t xml:space="preserve"> </w:t>
                    </w:r>
                    <w:r>
                      <w:rPr>
                        <w:sz w:val="20"/>
                      </w:rPr>
                      <w:t>/</w:t>
                    </w:r>
                    <w:r>
                      <w:rPr>
                        <w:spacing w:val="-9"/>
                        <w:sz w:val="20"/>
                      </w:rPr>
                      <w:t xml:space="preserve"> </w:t>
                    </w:r>
                    <w:r>
                      <w:rPr>
                        <w:sz w:val="20"/>
                      </w:rPr>
                      <w:t>Rules</w:t>
                    </w:r>
                    <w:r>
                      <w:rPr>
                        <w:spacing w:val="63"/>
                        <w:sz w:val="20"/>
                      </w:rPr>
                      <w:t xml:space="preserve"> </w:t>
                    </w:r>
                    <w:r>
                      <w:rPr>
                        <w:sz w:val="20"/>
                      </w:rPr>
                      <w:t>and</w:t>
                    </w:r>
                    <w:r>
                      <w:rPr>
                        <w:spacing w:val="63"/>
                        <w:sz w:val="20"/>
                      </w:rPr>
                      <w:t xml:space="preserve"> </w:t>
                    </w:r>
                    <w:r>
                      <w:rPr>
                        <w:spacing w:val="-2"/>
                        <w:sz w:val="20"/>
                      </w:rPr>
                      <w:t>Regulations</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8B4F9" w14:textId="77777777" w:rsidR="00D67C1E" w:rsidRDefault="001265CA">
    <w:pPr>
      <w:pStyle w:val="BodyText"/>
      <w:spacing w:line="14" w:lineRule="auto"/>
      <w:ind w:left="0"/>
      <w:rPr>
        <w:sz w:val="20"/>
      </w:rPr>
    </w:pPr>
    <w:r>
      <w:rPr>
        <w:noProof/>
      </w:rPr>
      <mc:AlternateContent>
        <mc:Choice Requires="wps">
          <w:drawing>
            <wp:anchor distT="0" distB="0" distL="0" distR="0" simplePos="0" relativeHeight="483943424" behindDoc="1" locked="0" layoutInCell="1" allowOverlap="1" wp14:anchorId="4279D655" wp14:editId="2F6527A3">
              <wp:simplePos x="0" y="0"/>
              <wp:positionH relativeFrom="page">
                <wp:posOffset>571500</wp:posOffset>
              </wp:positionH>
              <wp:positionV relativeFrom="page">
                <wp:posOffset>609600</wp:posOffset>
              </wp:positionV>
              <wp:extent cx="6629400" cy="1270"/>
              <wp:effectExtent l="0" t="0" r="0" b="0"/>
              <wp:wrapNone/>
              <wp:docPr id="46" name="Graphic 4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2794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BF5794E" id="Graphic 46" o:spid="_x0000_s1026" alt="&quot;&quot;" style="position:absolute;margin-left:45pt;margin-top:48pt;width:522pt;height:.1pt;z-index:-19373056;visibility:visible;mso-wrap-style:square;mso-wrap-distance-left:0;mso-wrap-distance-top:0;mso-wrap-distance-right:0;mso-wrap-distance-bottom:0;mso-position-horizontal:absolute;mso-position-horizontal-relative:page;mso-position-vertical:absolute;mso-position-vertical-relative:page;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" path="m,l6629400,e" filled="f" strokeweight="2.2pt">
              <v:path arrowok="t"/>
              <w10:wrap anchorx="page" anchory="page"/>
            </v:shape>
          </w:pict>
        </mc:Fallback>
      </mc:AlternateContent>
    </w:r>
    <w:r>
      <w:rPr>
        <w:noProof/>
      </w:rPr>
      <mc:AlternateContent>
        <mc:Choice Requires="wps">
          <w:drawing>
            <wp:anchor distT="0" distB="0" distL="0" distR="0" simplePos="0" relativeHeight="483943936" behindDoc="1" locked="0" layoutInCell="1" allowOverlap="1" wp14:anchorId="10D74C11" wp14:editId="7DCA6FB6">
              <wp:simplePos x="0" y="0"/>
              <wp:positionH relativeFrom="page">
                <wp:posOffset>571500</wp:posOffset>
              </wp:positionH>
              <wp:positionV relativeFrom="page">
                <wp:posOffset>660400</wp:posOffset>
              </wp:positionV>
              <wp:extent cx="6629400" cy="1270"/>
              <wp:effectExtent l="0" t="0" r="0" b="0"/>
              <wp:wrapNone/>
              <wp:docPr id="47" name="Graphic 4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38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3FA42B2" id="Graphic 47" o:spid="_x0000_s1026" alt="&quot;&quot;" style="position:absolute;margin-left:45pt;margin-top:52pt;width:522pt;height:.1pt;z-index:-19372544;visibility:visible;mso-wrap-style:square;mso-wrap-distance-left:0;mso-wrap-distance-top:0;mso-wrap-distance-right:0;mso-wrap-distance-bottom:0;mso-position-horizontal:absolute;mso-position-horizontal-relative:page;mso-position-vertical:absolute;mso-position-vertical-relative:page;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" path="m,l6629400,e" filled="f" strokeweight=".3pt">
              <v:path arrowok="t"/>
              <w10:wrap anchorx="page" anchory="page"/>
            </v:shape>
          </w:pict>
        </mc:Fallback>
      </mc:AlternateContent>
    </w:r>
    <w:r>
      <w:rPr>
        <w:noProof/>
      </w:rPr>
      <mc:AlternateContent>
        <mc:Choice Requires="wps">
          <w:drawing>
            <wp:anchor distT="0" distB="0" distL="0" distR="0" simplePos="0" relativeHeight="483944448" behindDoc="1" locked="0" layoutInCell="1" allowOverlap="1" wp14:anchorId="153B8FCE" wp14:editId="29089619">
              <wp:simplePos x="0" y="0"/>
              <wp:positionH relativeFrom="page">
                <wp:posOffset>533400</wp:posOffset>
              </wp:positionH>
              <wp:positionV relativeFrom="page">
                <wp:posOffset>385330</wp:posOffset>
              </wp:positionV>
              <wp:extent cx="477520" cy="19621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7520" cy="196215"/>
                      </a:xfrm>
                      <a:prstGeom prst="rect">
                        <a:avLst/>
                      </a:prstGeom>
                    </wps:spPr>
                    <wps:txbx>
                      <w:txbxContent>
                        <w:p w14:paraId="54F2EF7C" w14:textId="77777777" w:rsidR="00D67C1E" w:rsidRDefault="001265CA">
                          <w:pPr>
                            <w:spacing w:before="26"/>
                            <w:ind w:left="60"/>
                            <w:rPr>
                              <w:rFonts w:ascii="Book Antiqua"/>
                              <w:b/>
                            </w:rPr>
                          </w:pPr>
                          <w:r>
                            <w:rPr>
                              <w:rFonts w:ascii="Book Antiqua"/>
                              <w:b/>
                              <w:spacing w:val="-2"/>
                              <w:w w:val="110"/>
                            </w:rPr>
                            <w:fldChar w:fldCharType="begin"/>
                          </w:r>
                          <w:r>
                            <w:rPr>
                              <w:rFonts w:ascii="Book Antiqua"/>
                              <w:b/>
                              <w:spacing w:val="-2"/>
                              <w:w w:val="110"/>
                            </w:rPr>
                            <w:instrText xml:space="preserve"> PAGE </w:instrText>
                          </w:r>
                          <w:r>
                            <w:rPr>
                              <w:rFonts w:ascii="Book Antiqua"/>
                              <w:b/>
                              <w:spacing w:val="-2"/>
                              <w:w w:val="110"/>
                            </w:rPr>
                            <w:fldChar w:fldCharType="separate"/>
                          </w:r>
                          <w:r>
                            <w:rPr>
                              <w:rFonts w:ascii="Book Antiqua"/>
                              <w:b/>
                              <w:spacing w:val="-2"/>
                              <w:w w:val="110"/>
                            </w:rPr>
                            <w:t>82690</w:t>
                          </w:r>
                          <w:r>
                            <w:rPr>
                              <w:rFonts w:ascii="Book Antiqua"/>
                              <w:b/>
                              <w:spacing w:val="-2"/>
                              <w:w w:val="110"/>
                            </w:rPr>
                            <w:fldChar w:fldCharType="end"/>
                          </w:r>
                        </w:p>
                      </w:txbxContent>
                    </wps:txbx>
                    <wps:bodyPr wrap="square" lIns="0" tIns="0" rIns="0" bIns="0" rtlCol="0">
                      <a:noAutofit/>
                    </wps:bodyPr>
                  </wps:wsp>
                </a:graphicData>
              </a:graphic>
            </wp:anchor>
          </w:drawing>
        </mc:Choice>
        <mc:Fallback>
          <w:pict>
            <v:shapetype w14:anchorId="153B8FCE" id="_x0000_t202" coordsize="21600,21600" o:spt="202" path="m,l,21600r21600,l21600,xe">
              <v:stroke joinstyle="miter"/>
              <v:path gradientshapeok="t" o:connecttype="rect"/>
            </v:shapetype>
            <v:shape id="Textbox 48" o:spid="_x0000_s1038" type="#_x0000_t202" style="position:absolute;margin-left:42pt;margin-top:30.35pt;width:37.6pt;height:15.45pt;z-index:-19372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" filled="f" stroked="f">
              <v:textbox inset="0,0,0,0">
                <w:txbxContent>
                  <w:p w14:paraId="54F2EF7C" w14:textId="77777777" w:rsidR="00D67C1E" w:rsidRDefault="001265CA">
                    <w:pPr>
                      <w:spacing w:before="26"/>
                      <w:ind w:left="60"/>
                      <w:rPr>
                        <w:rFonts w:ascii="Book Antiqua"/>
                        <w:b/>
                      </w:rPr>
                    </w:pPr>
                    <w:r>
                      <w:rPr>
                        <w:rFonts w:ascii="Book Antiqua"/>
                        <w:b/>
                        <w:spacing w:val="-2"/>
                        <w:w w:val="110"/>
                      </w:rPr>
                      <w:fldChar w:fldCharType="begin"/>
                    </w:r>
                    <w:r>
                      <w:rPr>
                        <w:rFonts w:ascii="Book Antiqua"/>
                        <w:b/>
                        <w:spacing w:val="-2"/>
                        <w:w w:val="110"/>
                      </w:rPr>
                      <w:instrText xml:space="preserve"> PAGE </w:instrText>
                    </w:r>
                    <w:r>
                      <w:rPr>
                        <w:rFonts w:ascii="Book Antiqua"/>
                        <w:b/>
                        <w:spacing w:val="-2"/>
                        <w:w w:val="110"/>
                      </w:rPr>
                      <w:fldChar w:fldCharType="separate"/>
                    </w:r>
                    <w:r>
                      <w:rPr>
                        <w:rFonts w:ascii="Book Antiqua"/>
                        <w:b/>
                        <w:spacing w:val="-2"/>
                        <w:w w:val="110"/>
                      </w:rPr>
                      <w:t>82690</w:t>
                    </w:r>
                    <w:r>
                      <w:rPr>
                        <w:rFonts w:ascii="Book Antiqua"/>
                        <w:b/>
                        <w:spacing w:val="-2"/>
                        <w:w w:val="110"/>
                      </w:rPr>
                      <w:fldChar w:fldCharType="end"/>
                    </w:r>
                  </w:p>
                </w:txbxContent>
              </v:textbox>
              <w10:wrap anchorx="page" anchory="page"/>
            </v:shape>
          </w:pict>
        </mc:Fallback>
      </mc:AlternateContent>
    </w:r>
    <w:r>
      <w:rPr>
        <w:noProof/>
      </w:rPr>
      <mc:AlternateContent>
        <mc:Choice Requires="wps">
          <w:drawing>
            <wp:anchor distT="0" distB="0" distL="0" distR="0" simplePos="0" relativeHeight="483944960" behindDoc="1" locked="0" layoutInCell="1" allowOverlap="1" wp14:anchorId="497302C4" wp14:editId="5C3DF032">
              <wp:simplePos x="0" y="0"/>
              <wp:positionH relativeFrom="page">
                <wp:posOffset>1336039</wp:posOffset>
              </wp:positionH>
              <wp:positionV relativeFrom="page">
                <wp:posOffset>397636</wp:posOffset>
              </wp:positionV>
              <wp:extent cx="5098415" cy="180975"/>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8415" cy="180975"/>
                      </a:xfrm>
                      <a:prstGeom prst="rect">
                        <a:avLst/>
                      </a:prstGeom>
                    </wps:spPr>
                    <wps:txbx>
                      <w:txbxContent>
                        <w:p w14:paraId="7EDF0A78" w14:textId="77777777" w:rsidR="00D67C1E" w:rsidRDefault="001265CA">
                          <w:pPr>
                            <w:spacing w:before="23"/>
                            <w:ind w:left="20"/>
                            <w:rPr>
                              <w:sz w:val="20"/>
                            </w:rPr>
                          </w:pPr>
                          <w:r>
                            <w:rPr>
                              <w:rFonts w:ascii="Book Antiqua"/>
                              <w:b/>
                              <w:sz w:val="20"/>
                            </w:rPr>
                            <w:t>Federal</w:t>
                          </w:r>
                          <w:r>
                            <w:rPr>
                              <w:rFonts w:ascii="Book Antiqua"/>
                              <w:b/>
                              <w:spacing w:val="57"/>
                              <w:sz w:val="20"/>
                            </w:rPr>
                            <w:t xml:space="preserve"> </w:t>
                          </w:r>
                          <w:r>
                            <w:rPr>
                              <w:rFonts w:ascii="Book Antiqua"/>
                              <w:b/>
                              <w:sz w:val="20"/>
                            </w:rPr>
                            <w:t>Register</w:t>
                          </w:r>
                          <w:r>
                            <w:rPr>
                              <w:rFonts w:ascii="Book Antiqua"/>
                              <w:b/>
                              <w:spacing w:val="-15"/>
                              <w:sz w:val="20"/>
                            </w:rPr>
                            <w:t xml:space="preserve"> </w:t>
                          </w:r>
                          <w:r>
                            <w:rPr>
                              <w:sz w:val="20"/>
                            </w:rPr>
                            <w:t>/</w:t>
                          </w:r>
                          <w:r>
                            <w:rPr>
                              <w:spacing w:val="-9"/>
                              <w:sz w:val="20"/>
                            </w:rPr>
                            <w:t xml:space="preserve"> </w:t>
                          </w:r>
                          <w:r>
                            <w:rPr>
                              <w:sz w:val="20"/>
                            </w:rPr>
                            <w:t>Vol.</w:t>
                          </w:r>
                          <w:r>
                            <w:rPr>
                              <w:spacing w:val="63"/>
                              <w:sz w:val="20"/>
                            </w:rPr>
                            <w:t xml:space="preserve"> </w:t>
                          </w:r>
                          <w:r>
                            <w:rPr>
                              <w:sz w:val="20"/>
                            </w:rPr>
                            <w:t>89,</w:t>
                          </w:r>
                          <w:r>
                            <w:rPr>
                              <w:spacing w:val="63"/>
                              <w:sz w:val="20"/>
                            </w:rPr>
                            <w:t xml:space="preserve"> </w:t>
                          </w:r>
                          <w:r>
                            <w:rPr>
                              <w:sz w:val="20"/>
                            </w:rPr>
                            <w:t>No.</w:t>
                          </w:r>
                          <w:r>
                            <w:rPr>
                              <w:spacing w:val="64"/>
                              <w:sz w:val="20"/>
                            </w:rPr>
                            <w:t xml:space="preserve"> </w:t>
                          </w:r>
                          <w:r>
                            <w:rPr>
                              <w:sz w:val="20"/>
                            </w:rPr>
                            <w:t>198</w:t>
                          </w:r>
                          <w:r>
                            <w:rPr>
                              <w:spacing w:val="-9"/>
                              <w:sz w:val="20"/>
                            </w:rPr>
                            <w:t xml:space="preserve"> </w:t>
                          </w:r>
                          <w:r>
                            <w:rPr>
                              <w:sz w:val="20"/>
                            </w:rPr>
                            <w:t>/</w:t>
                          </w:r>
                          <w:r>
                            <w:rPr>
                              <w:spacing w:val="-9"/>
                              <w:sz w:val="20"/>
                            </w:rPr>
                            <w:t xml:space="preserve"> </w:t>
                          </w:r>
                          <w:r>
                            <w:rPr>
                              <w:sz w:val="20"/>
                            </w:rPr>
                            <w:t>Friday,</w:t>
                          </w:r>
                          <w:r>
                            <w:rPr>
                              <w:spacing w:val="63"/>
                              <w:sz w:val="20"/>
                            </w:rPr>
                            <w:t xml:space="preserve"> </w:t>
                          </w:r>
                          <w:r>
                            <w:rPr>
                              <w:sz w:val="20"/>
                            </w:rPr>
                            <w:t>October</w:t>
                          </w:r>
                          <w:r>
                            <w:rPr>
                              <w:spacing w:val="63"/>
                              <w:sz w:val="20"/>
                            </w:rPr>
                            <w:t xml:space="preserve"> </w:t>
                          </w:r>
                          <w:r>
                            <w:rPr>
                              <w:sz w:val="20"/>
                            </w:rPr>
                            <w:t>11,</w:t>
                          </w:r>
                          <w:r>
                            <w:rPr>
                              <w:spacing w:val="63"/>
                              <w:sz w:val="20"/>
                            </w:rPr>
                            <w:t xml:space="preserve"> </w:t>
                          </w:r>
                          <w:r>
                            <w:rPr>
                              <w:sz w:val="20"/>
                            </w:rPr>
                            <w:t>2024</w:t>
                          </w:r>
                          <w:r>
                            <w:rPr>
                              <w:spacing w:val="-8"/>
                              <w:sz w:val="20"/>
                            </w:rPr>
                            <w:t xml:space="preserve"> </w:t>
                          </w:r>
                          <w:r>
                            <w:rPr>
                              <w:sz w:val="20"/>
                            </w:rPr>
                            <w:t>/</w:t>
                          </w:r>
                          <w:r>
                            <w:rPr>
                              <w:spacing w:val="-9"/>
                              <w:sz w:val="20"/>
                            </w:rPr>
                            <w:t xml:space="preserve"> </w:t>
                          </w:r>
                          <w:r>
                            <w:rPr>
                              <w:sz w:val="20"/>
                            </w:rPr>
                            <w:t>Rules</w:t>
                          </w:r>
                          <w:r>
                            <w:rPr>
                              <w:spacing w:val="63"/>
                              <w:sz w:val="20"/>
                            </w:rPr>
                            <w:t xml:space="preserve"> </w:t>
                          </w:r>
                          <w:r>
                            <w:rPr>
                              <w:sz w:val="20"/>
                            </w:rPr>
                            <w:t>and</w:t>
                          </w:r>
                          <w:r>
                            <w:rPr>
                              <w:spacing w:val="63"/>
                              <w:sz w:val="20"/>
                            </w:rPr>
                            <w:t xml:space="preserve"> </w:t>
                          </w:r>
                          <w:r>
                            <w:rPr>
                              <w:spacing w:val="-2"/>
                              <w:sz w:val="20"/>
                            </w:rPr>
                            <w:t>Regulations</w:t>
                          </w:r>
                        </w:p>
                      </w:txbxContent>
                    </wps:txbx>
                    <wps:bodyPr wrap="square" lIns="0" tIns="0" rIns="0" bIns="0" rtlCol="0">
                      <a:noAutofit/>
                    </wps:bodyPr>
                  </wps:wsp>
                </a:graphicData>
              </a:graphic>
            </wp:anchor>
          </w:drawing>
        </mc:Choice>
        <mc:Fallback>
          <w:pict>
            <v:shape w14:anchorId="497302C4" id="Textbox 49" o:spid="_x0000_s1039" type="#_x0000_t202" style="position:absolute;margin-left:105.2pt;margin-top:31.3pt;width:401.45pt;height:14.25pt;z-index:-19371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" filled="f" stroked="f">
              <v:textbox inset="0,0,0,0">
                <w:txbxContent>
                  <w:p w14:paraId="7EDF0A78" w14:textId="77777777" w:rsidR="00D67C1E" w:rsidRDefault="001265CA">
                    <w:pPr>
                      <w:spacing w:before="23"/>
                      <w:ind w:left="20"/>
                      <w:rPr>
                        <w:sz w:val="20"/>
                      </w:rPr>
                    </w:pPr>
                    <w:r>
                      <w:rPr>
                        <w:rFonts w:ascii="Book Antiqua"/>
                        <w:b/>
                        <w:sz w:val="20"/>
                      </w:rPr>
                      <w:t>Federal</w:t>
                    </w:r>
                    <w:r>
                      <w:rPr>
                        <w:rFonts w:ascii="Book Antiqua"/>
                        <w:b/>
                        <w:spacing w:val="57"/>
                        <w:sz w:val="20"/>
                      </w:rPr>
                      <w:t xml:space="preserve"> </w:t>
                    </w:r>
                    <w:r>
                      <w:rPr>
                        <w:rFonts w:ascii="Book Antiqua"/>
                        <w:b/>
                        <w:sz w:val="20"/>
                      </w:rPr>
                      <w:t>Register</w:t>
                    </w:r>
                    <w:r>
                      <w:rPr>
                        <w:rFonts w:ascii="Book Antiqua"/>
                        <w:b/>
                        <w:spacing w:val="-15"/>
                        <w:sz w:val="20"/>
                      </w:rPr>
                      <w:t xml:space="preserve"> </w:t>
                    </w:r>
                    <w:r>
                      <w:rPr>
                        <w:sz w:val="20"/>
                      </w:rPr>
                      <w:t>/</w:t>
                    </w:r>
                    <w:r>
                      <w:rPr>
                        <w:spacing w:val="-9"/>
                        <w:sz w:val="20"/>
                      </w:rPr>
                      <w:t xml:space="preserve"> </w:t>
                    </w:r>
                    <w:r>
                      <w:rPr>
                        <w:sz w:val="20"/>
                      </w:rPr>
                      <w:t>Vol.</w:t>
                    </w:r>
                    <w:r>
                      <w:rPr>
                        <w:spacing w:val="63"/>
                        <w:sz w:val="20"/>
                      </w:rPr>
                      <w:t xml:space="preserve"> </w:t>
                    </w:r>
                    <w:r>
                      <w:rPr>
                        <w:sz w:val="20"/>
                      </w:rPr>
                      <w:t>89,</w:t>
                    </w:r>
                    <w:r>
                      <w:rPr>
                        <w:spacing w:val="63"/>
                        <w:sz w:val="20"/>
                      </w:rPr>
                      <w:t xml:space="preserve"> </w:t>
                    </w:r>
                    <w:r>
                      <w:rPr>
                        <w:sz w:val="20"/>
                      </w:rPr>
                      <w:t>No.</w:t>
                    </w:r>
                    <w:r>
                      <w:rPr>
                        <w:spacing w:val="64"/>
                        <w:sz w:val="20"/>
                      </w:rPr>
                      <w:t xml:space="preserve"> </w:t>
                    </w:r>
                    <w:r>
                      <w:rPr>
                        <w:sz w:val="20"/>
                      </w:rPr>
                      <w:t>198</w:t>
                    </w:r>
                    <w:r>
                      <w:rPr>
                        <w:spacing w:val="-9"/>
                        <w:sz w:val="20"/>
                      </w:rPr>
                      <w:t xml:space="preserve"> </w:t>
                    </w:r>
                    <w:r>
                      <w:rPr>
                        <w:sz w:val="20"/>
                      </w:rPr>
                      <w:t>/</w:t>
                    </w:r>
                    <w:r>
                      <w:rPr>
                        <w:spacing w:val="-9"/>
                        <w:sz w:val="20"/>
                      </w:rPr>
                      <w:t xml:space="preserve"> </w:t>
                    </w:r>
                    <w:r>
                      <w:rPr>
                        <w:sz w:val="20"/>
                      </w:rPr>
                      <w:t>Friday,</w:t>
                    </w:r>
                    <w:r>
                      <w:rPr>
                        <w:spacing w:val="63"/>
                        <w:sz w:val="20"/>
                      </w:rPr>
                      <w:t xml:space="preserve"> </w:t>
                    </w:r>
                    <w:r>
                      <w:rPr>
                        <w:sz w:val="20"/>
                      </w:rPr>
                      <w:t>October</w:t>
                    </w:r>
                    <w:r>
                      <w:rPr>
                        <w:spacing w:val="63"/>
                        <w:sz w:val="20"/>
                      </w:rPr>
                      <w:t xml:space="preserve"> </w:t>
                    </w:r>
                    <w:r>
                      <w:rPr>
                        <w:sz w:val="20"/>
                      </w:rPr>
                      <w:t>11,</w:t>
                    </w:r>
                    <w:r>
                      <w:rPr>
                        <w:spacing w:val="63"/>
                        <w:sz w:val="20"/>
                      </w:rPr>
                      <w:t xml:space="preserve"> </w:t>
                    </w:r>
                    <w:r>
                      <w:rPr>
                        <w:sz w:val="20"/>
                      </w:rPr>
                      <w:t>2024</w:t>
                    </w:r>
                    <w:r>
                      <w:rPr>
                        <w:spacing w:val="-8"/>
                        <w:sz w:val="20"/>
                      </w:rPr>
                      <w:t xml:space="preserve"> </w:t>
                    </w:r>
                    <w:r>
                      <w:rPr>
                        <w:sz w:val="20"/>
                      </w:rPr>
                      <w:t>/</w:t>
                    </w:r>
                    <w:r>
                      <w:rPr>
                        <w:spacing w:val="-9"/>
                        <w:sz w:val="20"/>
                      </w:rPr>
                      <w:t xml:space="preserve"> </w:t>
                    </w:r>
                    <w:r>
                      <w:rPr>
                        <w:sz w:val="20"/>
                      </w:rPr>
                      <w:t>Rules</w:t>
                    </w:r>
                    <w:r>
                      <w:rPr>
                        <w:spacing w:val="63"/>
                        <w:sz w:val="20"/>
                      </w:rPr>
                      <w:t xml:space="preserve"> </w:t>
                    </w:r>
                    <w:r>
                      <w:rPr>
                        <w:sz w:val="20"/>
                      </w:rPr>
                      <w:t>and</w:t>
                    </w:r>
                    <w:r>
                      <w:rPr>
                        <w:spacing w:val="63"/>
                        <w:sz w:val="20"/>
                      </w:rPr>
                      <w:t xml:space="preserve"> </w:t>
                    </w:r>
                    <w:r>
                      <w:rPr>
                        <w:spacing w:val="-2"/>
                        <w:sz w:val="20"/>
                      </w:rPr>
                      <w:t>Regulations</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699B1" w14:textId="77777777" w:rsidR="00D67C1E" w:rsidRDefault="001265CA">
    <w:pPr>
      <w:pStyle w:val="BodyText"/>
      <w:spacing w:line="14" w:lineRule="auto"/>
      <w:ind w:left="0"/>
      <w:rPr>
        <w:sz w:val="20"/>
      </w:rPr>
    </w:pPr>
    <w:r>
      <w:rPr>
        <w:noProof/>
      </w:rPr>
      <mc:AlternateContent>
        <mc:Choice Requires="wps">
          <w:drawing>
            <wp:anchor distT="0" distB="0" distL="0" distR="0" simplePos="0" relativeHeight="483941376" behindDoc="1" locked="0" layoutInCell="1" allowOverlap="1" wp14:anchorId="4F348395" wp14:editId="7ADA9DC7">
              <wp:simplePos x="0" y="0"/>
              <wp:positionH relativeFrom="page">
                <wp:posOffset>571500</wp:posOffset>
              </wp:positionH>
              <wp:positionV relativeFrom="page">
                <wp:posOffset>609600</wp:posOffset>
              </wp:positionV>
              <wp:extent cx="6629400" cy="1270"/>
              <wp:effectExtent l="0" t="0" r="0" b="0"/>
              <wp:wrapNone/>
              <wp:docPr id="42" name="Graphic 4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2794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CE8442E" id="Graphic 42" o:spid="_x0000_s1026" alt="&quot;&quot;" style="position:absolute;margin-left:45pt;margin-top:48pt;width:522pt;height:.1pt;z-index:-19375104;visibility:visible;mso-wrap-style:square;mso-wrap-distance-left:0;mso-wrap-distance-top:0;mso-wrap-distance-right:0;mso-wrap-distance-bottom:0;mso-position-horizontal:absolute;mso-position-horizontal-relative:page;mso-position-vertical:absolute;mso-position-vertical-relative:page;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" path="m,l6629400,e" filled="f" strokeweight="2.2pt">
              <v:path arrowok="t"/>
              <w10:wrap anchorx="page" anchory="page"/>
            </v:shape>
          </w:pict>
        </mc:Fallback>
      </mc:AlternateContent>
    </w:r>
    <w:r>
      <w:rPr>
        <w:noProof/>
      </w:rPr>
      <mc:AlternateContent>
        <mc:Choice Requires="wps">
          <w:drawing>
            <wp:anchor distT="0" distB="0" distL="0" distR="0" simplePos="0" relativeHeight="483941888" behindDoc="1" locked="0" layoutInCell="1" allowOverlap="1" wp14:anchorId="6200AB1C" wp14:editId="53B60577">
              <wp:simplePos x="0" y="0"/>
              <wp:positionH relativeFrom="page">
                <wp:posOffset>571500</wp:posOffset>
              </wp:positionH>
              <wp:positionV relativeFrom="page">
                <wp:posOffset>660400</wp:posOffset>
              </wp:positionV>
              <wp:extent cx="6629400" cy="1270"/>
              <wp:effectExtent l="0" t="0" r="0" b="0"/>
              <wp:wrapNone/>
              <wp:docPr id="43" name="Graphic 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38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C919CFE" id="Graphic 43" o:spid="_x0000_s1026" alt="&quot;&quot;" style="position:absolute;margin-left:45pt;margin-top:52pt;width:522pt;height:.1pt;z-index:-19374592;visibility:visible;mso-wrap-style:square;mso-wrap-distance-left:0;mso-wrap-distance-top:0;mso-wrap-distance-right:0;mso-wrap-distance-bottom:0;mso-position-horizontal:absolute;mso-position-horizontal-relative:page;mso-position-vertical:absolute;mso-position-vertical-relative:page;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" path="m,l6629400,e" filled="f" strokeweight=".3pt">
              <v:path arrowok="t"/>
              <w10:wrap anchorx="page" anchory="page"/>
            </v:shape>
          </w:pict>
        </mc:Fallback>
      </mc:AlternateContent>
    </w:r>
    <w:r>
      <w:rPr>
        <w:noProof/>
      </w:rPr>
      <mc:AlternateContent>
        <mc:Choice Requires="wps">
          <w:drawing>
            <wp:anchor distT="0" distB="0" distL="0" distR="0" simplePos="0" relativeHeight="483942400" behindDoc="1" locked="0" layoutInCell="1" allowOverlap="1" wp14:anchorId="7E7E1BBD" wp14:editId="46FB2E73">
              <wp:simplePos x="0" y="0"/>
              <wp:positionH relativeFrom="page">
                <wp:posOffset>6774433</wp:posOffset>
              </wp:positionH>
              <wp:positionV relativeFrom="page">
                <wp:posOffset>385330</wp:posOffset>
              </wp:positionV>
              <wp:extent cx="477520" cy="19621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7520" cy="196215"/>
                      </a:xfrm>
                      <a:prstGeom prst="rect">
                        <a:avLst/>
                      </a:prstGeom>
                    </wps:spPr>
                    <wps:txbx>
                      <w:txbxContent>
                        <w:p w14:paraId="3D17016F" w14:textId="77777777" w:rsidR="00D67C1E" w:rsidRDefault="001265CA">
                          <w:pPr>
                            <w:spacing w:before="26"/>
                            <w:ind w:left="60"/>
                            <w:rPr>
                              <w:rFonts w:ascii="Book Antiqua"/>
                              <w:b/>
                            </w:rPr>
                          </w:pPr>
                          <w:r>
                            <w:rPr>
                              <w:rFonts w:ascii="Book Antiqua"/>
                              <w:b/>
                              <w:spacing w:val="-2"/>
                              <w:w w:val="110"/>
                            </w:rPr>
                            <w:fldChar w:fldCharType="begin"/>
                          </w:r>
                          <w:r>
                            <w:rPr>
                              <w:rFonts w:ascii="Book Antiqua"/>
                              <w:b/>
                              <w:spacing w:val="-2"/>
                              <w:w w:val="110"/>
                            </w:rPr>
                            <w:instrText xml:space="preserve"> PAGE </w:instrText>
                          </w:r>
                          <w:r>
                            <w:rPr>
                              <w:rFonts w:ascii="Book Antiqua"/>
                              <w:b/>
                              <w:spacing w:val="-2"/>
                              <w:w w:val="110"/>
                            </w:rPr>
                            <w:fldChar w:fldCharType="separate"/>
                          </w:r>
                          <w:r>
                            <w:rPr>
                              <w:rFonts w:ascii="Book Antiqua"/>
                              <w:b/>
                              <w:spacing w:val="-2"/>
                              <w:w w:val="110"/>
                            </w:rPr>
                            <w:t>82689</w:t>
                          </w:r>
                          <w:r>
                            <w:rPr>
                              <w:rFonts w:ascii="Book Antiqua"/>
                              <w:b/>
                              <w:spacing w:val="-2"/>
                              <w:w w:val="110"/>
                            </w:rPr>
                            <w:fldChar w:fldCharType="end"/>
                          </w:r>
                        </w:p>
                      </w:txbxContent>
                    </wps:txbx>
                    <wps:bodyPr wrap="square" lIns="0" tIns="0" rIns="0" bIns="0" rtlCol="0">
                      <a:noAutofit/>
                    </wps:bodyPr>
                  </wps:wsp>
                </a:graphicData>
              </a:graphic>
            </wp:anchor>
          </w:drawing>
        </mc:Choice>
        <mc:Fallback>
          <w:pict>
            <v:shapetype w14:anchorId="7E7E1BBD" id="_x0000_t202" coordsize="21600,21600" o:spt="202" path="m,l,21600r21600,l21600,xe">
              <v:stroke joinstyle="miter"/>
              <v:path gradientshapeok="t" o:connecttype="rect"/>
            </v:shapetype>
            <v:shape id="Textbox 44" o:spid="_x0000_s1040" type="#_x0000_t202" style="position:absolute;margin-left:533.4pt;margin-top:30.35pt;width:37.6pt;height:15.45pt;z-index:-19374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" filled="f" stroked="f">
              <v:textbox inset="0,0,0,0">
                <w:txbxContent>
                  <w:p w14:paraId="3D17016F" w14:textId="77777777" w:rsidR="00D67C1E" w:rsidRDefault="001265CA">
                    <w:pPr>
                      <w:spacing w:before="26"/>
                      <w:ind w:left="60"/>
                      <w:rPr>
                        <w:rFonts w:ascii="Book Antiqua"/>
                        <w:b/>
                      </w:rPr>
                    </w:pPr>
                    <w:r>
                      <w:rPr>
                        <w:rFonts w:ascii="Book Antiqua"/>
                        <w:b/>
                        <w:spacing w:val="-2"/>
                        <w:w w:val="110"/>
                      </w:rPr>
                      <w:fldChar w:fldCharType="begin"/>
                    </w:r>
                    <w:r>
                      <w:rPr>
                        <w:rFonts w:ascii="Book Antiqua"/>
                        <w:b/>
                        <w:spacing w:val="-2"/>
                        <w:w w:val="110"/>
                      </w:rPr>
                      <w:instrText xml:space="preserve"> PAGE </w:instrText>
                    </w:r>
                    <w:r>
                      <w:rPr>
                        <w:rFonts w:ascii="Book Antiqua"/>
                        <w:b/>
                        <w:spacing w:val="-2"/>
                        <w:w w:val="110"/>
                      </w:rPr>
                      <w:fldChar w:fldCharType="separate"/>
                    </w:r>
                    <w:r>
                      <w:rPr>
                        <w:rFonts w:ascii="Book Antiqua"/>
                        <w:b/>
                        <w:spacing w:val="-2"/>
                        <w:w w:val="110"/>
                      </w:rPr>
                      <w:t>82689</w:t>
                    </w:r>
                    <w:r>
                      <w:rPr>
                        <w:rFonts w:ascii="Book Antiqua"/>
                        <w:b/>
                        <w:spacing w:val="-2"/>
                        <w:w w:val="110"/>
                      </w:rPr>
                      <w:fldChar w:fldCharType="end"/>
                    </w:r>
                  </w:p>
                </w:txbxContent>
              </v:textbox>
              <w10:wrap anchorx="page" anchory="page"/>
            </v:shape>
          </w:pict>
        </mc:Fallback>
      </mc:AlternateContent>
    </w:r>
    <w:r>
      <w:rPr>
        <w:noProof/>
      </w:rPr>
      <mc:AlternateContent>
        <mc:Choice Requires="wps">
          <w:drawing>
            <wp:anchor distT="0" distB="0" distL="0" distR="0" simplePos="0" relativeHeight="483942912" behindDoc="1" locked="0" layoutInCell="1" allowOverlap="1" wp14:anchorId="2D31D74F" wp14:editId="6C1DA9E5">
              <wp:simplePos x="0" y="0"/>
              <wp:positionH relativeFrom="page">
                <wp:posOffset>1336039</wp:posOffset>
              </wp:positionH>
              <wp:positionV relativeFrom="page">
                <wp:posOffset>397636</wp:posOffset>
              </wp:positionV>
              <wp:extent cx="5098415" cy="180975"/>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8415" cy="180975"/>
                      </a:xfrm>
                      <a:prstGeom prst="rect">
                        <a:avLst/>
                      </a:prstGeom>
                    </wps:spPr>
                    <wps:txbx>
                      <w:txbxContent>
                        <w:p w14:paraId="06711845" w14:textId="77777777" w:rsidR="00D67C1E" w:rsidRDefault="001265CA">
                          <w:pPr>
                            <w:spacing w:before="23"/>
                            <w:ind w:left="20"/>
                            <w:rPr>
                              <w:sz w:val="20"/>
                            </w:rPr>
                          </w:pPr>
                          <w:r>
                            <w:rPr>
                              <w:rFonts w:ascii="Book Antiqua"/>
                              <w:b/>
                              <w:sz w:val="20"/>
                            </w:rPr>
                            <w:t>Federal</w:t>
                          </w:r>
                          <w:r>
                            <w:rPr>
                              <w:rFonts w:ascii="Book Antiqua"/>
                              <w:b/>
                              <w:spacing w:val="57"/>
                              <w:sz w:val="20"/>
                            </w:rPr>
                            <w:t xml:space="preserve"> </w:t>
                          </w:r>
                          <w:r>
                            <w:rPr>
                              <w:rFonts w:ascii="Book Antiqua"/>
                              <w:b/>
                              <w:sz w:val="20"/>
                            </w:rPr>
                            <w:t>Register</w:t>
                          </w:r>
                          <w:r>
                            <w:rPr>
                              <w:rFonts w:ascii="Book Antiqua"/>
                              <w:b/>
                              <w:spacing w:val="-15"/>
                              <w:sz w:val="20"/>
                            </w:rPr>
                            <w:t xml:space="preserve"> </w:t>
                          </w:r>
                          <w:r>
                            <w:rPr>
                              <w:sz w:val="20"/>
                            </w:rPr>
                            <w:t>/</w:t>
                          </w:r>
                          <w:r>
                            <w:rPr>
                              <w:spacing w:val="-9"/>
                              <w:sz w:val="20"/>
                            </w:rPr>
                            <w:t xml:space="preserve"> </w:t>
                          </w:r>
                          <w:r>
                            <w:rPr>
                              <w:sz w:val="20"/>
                            </w:rPr>
                            <w:t>Vol.</w:t>
                          </w:r>
                          <w:r>
                            <w:rPr>
                              <w:spacing w:val="63"/>
                              <w:sz w:val="20"/>
                            </w:rPr>
                            <w:t xml:space="preserve"> </w:t>
                          </w:r>
                          <w:r>
                            <w:rPr>
                              <w:sz w:val="20"/>
                            </w:rPr>
                            <w:t>89,</w:t>
                          </w:r>
                          <w:r>
                            <w:rPr>
                              <w:spacing w:val="63"/>
                              <w:sz w:val="20"/>
                            </w:rPr>
                            <w:t xml:space="preserve"> </w:t>
                          </w:r>
                          <w:r>
                            <w:rPr>
                              <w:sz w:val="20"/>
                            </w:rPr>
                            <w:t>No.</w:t>
                          </w:r>
                          <w:r>
                            <w:rPr>
                              <w:spacing w:val="64"/>
                              <w:sz w:val="20"/>
                            </w:rPr>
                            <w:t xml:space="preserve"> </w:t>
                          </w:r>
                          <w:r>
                            <w:rPr>
                              <w:sz w:val="20"/>
                            </w:rPr>
                            <w:t>198</w:t>
                          </w:r>
                          <w:r>
                            <w:rPr>
                              <w:spacing w:val="-9"/>
                              <w:sz w:val="20"/>
                            </w:rPr>
                            <w:t xml:space="preserve"> </w:t>
                          </w:r>
                          <w:r>
                            <w:rPr>
                              <w:sz w:val="20"/>
                            </w:rPr>
                            <w:t>/</w:t>
                          </w:r>
                          <w:r>
                            <w:rPr>
                              <w:spacing w:val="-9"/>
                              <w:sz w:val="20"/>
                            </w:rPr>
                            <w:t xml:space="preserve"> </w:t>
                          </w:r>
                          <w:r>
                            <w:rPr>
                              <w:sz w:val="20"/>
                            </w:rPr>
                            <w:t>Friday,</w:t>
                          </w:r>
                          <w:r>
                            <w:rPr>
                              <w:spacing w:val="63"/>
                              <w:sz w:val="20"/>
                            </w:rPr>
                            <w:t xml:space="preserve"> </w:t>
                          </w:r>
                          <w:r>
                            <w:rPr>
                              <w:sz w:val="20"/>
                            </w:rPr>
                            <w:t>October</w:t>
                          </w:r>
                          <w:r>
                            <w:rPr>
                              <w:spacing w:val="63"/>
                              <w:sz w:val="20"/>
                            </w:rPr>
                            <w:t xml:space="preserve"> </w:t>
                          </w:r>
                          <w:r>
                            <w:rPr>
                              <w:sz w:val="20"/>
                            </w:rPr>
                            <w:t>11,</w:t>
                          </w:r>
                          <w:r>
                            <w:rPr>
                              <w:spacing w:val="63"/>
                              <w:sz w:val="20"/>
                            </w:rPr>
                            <w:t xml:space="preserve"> </w:t>
                          </w:r>
                          <w:r>
                            <w:rPr>
                              <w:sz w:val="20"/>
                            </w:rPr>
                            <w:t>2024</w:t>
                          </w:r>
                          <w:r>
                            <w:rPr>
                              <w:spacing w:val="-8"/>
                              <w:sz w:val="20"/>
                            </w:rPr>
                            <w:t xml:space="preserve"> </w:t>
                          </w:r>
                          <w:r>
                            <w:rPr>
                              <w:sz w:val="20"/>
                            </w:rPr>
                            <w:t>/</w:t>
                          </w:r>
                          <w:r>
                            <w:rPr>
                              <w:spacing w:val="-9"/>
                              <w:sz w:val="20"/>
                            </w:rPr>
                            <w:t xml:space="preserve"> </w:t>
                          </w:r>
                          <w:r>
                            <w:rPr>
                              <w:sz w:val="20"/>
                            </w:rPr>
                            <w:t>Rules</w:t>
                          </w:r>
                          <w:r>
                            <w:rPr>
                              <w:spacing w:val="63"/>
                              <w:sz w:val="20"/>
                            </w:rPr>
                            <w:t xml:space="preserve"> </w:t>
                          </w:r>
                          <w:r>
                            <w:rPr>
                              <w:sz w:val="20"/>
                            </w:rPr>
                            <w:t>and</w:t>
                          </w:r>
                          <w:r>
                            <w:rPr>
                              <w:spacing w:val="63"/>
                              <w:sz w:val="20"/>
                            </w:rPr>
                            <w:t xml:space="preserve"> </w:t>
                          </w:r>
                          <w:r>
                            <w:rPr>
                              <w:spacing w:val="-2"/>
                              <w:sz w:val="20"/>
                            </w:rPr>
                            <w:t>Regulations</w:t>
                          </w:r>
                        </w:p>
                      </w:txbxContent>
                    </wps:txbx>
                    <wps:bodyPr wrap="square" lIns="0" tIns="0" rIns="0" bIns="0" rtlCol="0">
                      <a:noAutofit/>
                    </wps:bodyPr>
                  </wps:wsp>
                </a:graphicData>
              </a:graphic>
            </wp:anchor>
          </w:drawing>
        </mc:Choice>
        <mc:Fallback>
          <w:pict>
            <v:shape w14:anchorId="2D31D74F" id="Textbox 45" o:spid="_x0000_s1041" type="#_x0000_t202" style="position:absolute;margin-left:105.2pt;margin-top:31.3pt;width:401.45pt;height:14.25pt;z-index:-19373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" filled="f" stroked="f">
              <v:textbox inset="0,0,0,0">
                <w:txbxContent>
                  <w:p w14:paraId="06711845" w14:textId="77777777" w:rsidR="00D67C1E" w:rsidRDefault="001265CA">
                    <w:pPr>
                      <w:spacing w:before="23"/>
                      <w:ind w:left="20"/>
                      <w:rPr>
                        <w:sz w:val="20"/>
                      </w:rPr>
                    </w:pPr>
                    <w:r>
                      <w:rPr>
                        <w:rFonts w:ascii="Book Antiqua"/>
                        <w:b/>
                        <w:sz w:val="20"/>
                      </w:rPr>
                      <w:t>Federal</w:t>
                    </w:r>
                    <w:r>
                      <w:rPr>
                        <w:rFonts w:ascii="Book Antiqua"/>
                        <w:b/>
                        <w:spacing w:val="57"/>
                        <w:sz w:val="20"/>
                      </w:rPr>
                      <w:t xml:space="preserve"> </w:t>
                    </w:r>
                    <w:r>
                      <w:rPr>
                        <w:rFonts w:ascii="Book Antiqua"/>
                        <w:b/>
                        <w:sz w:val="20"/>
                      </w:rPr>
                      <w:t>Register</w:t>
                    </w:r>
                    <w:r>
                      <w:rPr>
                        <w:rFonts w:ascii="Book Antiqua"/>
                        <w:b/>
                        <w:spacing w:val="-15"/>
                        <w:sz w:val="20"/>
                      </w:rPr>
                      <w:t xml:space="preserve"> </w:t>
                    </w:r>
                    <w:r>
                      <w:rPr>
                        <w:sz w:val="20"/>
                      </w:rPr>
                      <w:t>/</w:t>
                    </w:r>
                    <w:r>
                      <w:rPr>
                        <w:spacing w:val="-9"/>
                        <w:sz w:val="20"/>
                      </w:rPr>
                      <w:t xml:space="preserve"> </w:t>
                    </w:r>
                    <w:r>
                      <w:rPr>
                        <w:sz w:val="20"/>
                      </w:rPr>
                      <w:t>Vol.</w:t>
                    </w:r>
                    <w:r>
                      <w:rPr>
                        <w:spacing w:val="63"/>
                        <w:sz w:val="20"/>
                      </w:rPr>
                      <w:t xml:space="preserve"> </w:t>
                    </w:r>
                    <w:r>
                      <w:rPr>
                        <w:sz w:val="20"/>
                      </w:rPr>
                      <w:t>89,</w:t>
                    </w:r>
                    <w:r>
                      <w:rPr>
                        <w:spacing w:val="63"/>
                        <w:sz w:val="20"/>
                      </w:rPr>
                      <w:t xml:space="preserve"> </w:t>
                    </w:r>
                    <w:r>
                      <w:rPr>
                        <w:sz w:val="20"/>
                      </w:rPr>
                      <w:t>No.</w:t>
                    </w:r>
                    <w:r>
                      <w:rPr>
                        <w:spacing w:val="64"/>
                        <w:sz w:val="20"/>
                      </w:rPr>
                      <w:t xml:space="preserve"> </w:t>
                    </w:r>
                    <w:r>
                      <w:rPr>
                        <w:sz w:val="20"/>
                      </w:rPr>
                      <w:t>198</w:t>
                    </w:r>
                    <w:r>
                      <w:rPr>
                        <w:spacing w:val="-9"/>
                        <w:sz w:val="20"/>
                      </w:rPr>
                      <w:t xml:space="preserve"> </w:t>
                    </w:r>
                    <w:r>
                      <w:rPr>
                        <w:sz w:val="20"/>
                      </w:rPr>
                      <w:t>/</w:t>
                    </w:r>
                    <w:r>
                      <w:rPr>
                        <w:spacing w:val="-9"/>
                        <w:sz w:val="20"/>
                      </w:rPr>
                      <w:t xml:space="preserve"> </w:t>
                    </w:r>
                    <w:r>
                      <w:rPr>
                        <w:sz w:val="20"/>
                      </w:rPr>
                      <w:t>Friday,</w:t>
                    </w:r>
                    <w:r>
                      <w:rPr>
                        <w:spacing w:val="63"/>
                        <w:sz w:val="20"/>
                      </w:rPr>
                      <w:t xml:space="preserve"> </w:t>
                    </w:r>
                    <w:r>
                      <w:rPr>
                        <w:sz w:val="20"/>
                      </w:rPr>
                      <w:t>October</w:t>
                    </w:r>
                    <w:r>
                      <w:rPr>
                        <w:spacing w:val="63"/>
                        <w:sz w:val="20"/>
                      </w:rPr>
                      <w:t xml:space="preserve"> </w:t>
                    </w:r>
                    <w:r>
                      <w:rPr>
                        <w:sz w:val="20"/>
                      </w:rPr>
                      <w:t>11,</w:t>
                    </w:r>
                    <w:r>
                      <w:rPr>
                        <w:spacing w:val="63"/>
                        <w:sz w:val="20"/>
                      </w:rPr>
                      <w:t xml:space="preserve"> </w:t>
                    </w:r>
                    <w:r>
                      <w:rPr>
                        <w:sz w:val="20"/>
                      </w:rPr>
                      <w:t>2024</w:t>
                    </w:r>
                    <w:r>
                      <w:rPr>
                        <w:spacing w:val="-8"/>
                        <w:sz w:val="20"/>
                      </w:rPr>
                      <w:t xml:space="preserve"> </w:t>
                    </w:r>
                    <w:r>
                      <w:rPr>
                        <w:sz w:val="20"/>
                      </w:rPr>
                      <w:t>/</w:t>
                    </w:r>
                    <w:r>
                      <w:rPr>
                        <w:spacing w:val="-9"/>
                        <w:sz w:val="20"/>
                      </w:rPr>
                      <w:t xml:space="preserve"> </w:t>
                    </w:r>
                    <w:r>
                      <w:rPr>
                        <w:sz w:val="20"/>
                      </w:rPr>
                      <w:t>Rules</w:t>
                    </w:r>
                    <w:r>
                      <w:rPr>
                        <w:spacing w:val="63"/>
                        <w:sz w:val="20"/>
                      </w:rPr>
                      <w:t xml:space="preserve"> </w:t>
                    </w:r>
                    <w:r>
                      <w:rPr>
                        <w:sz w:val="20"/>
                      </w:rPr>
                      <w:t>and</w:t>
                    </w:r>
                    <w:r>
                      <w:rPr>
                        <w:spacing w:val="63"/>
                        <w:sz w:val="20"/>
                      </w:rPr>
                      <w:t xml:space="preserve"> </w:t>
                    </w:r>
                    <w:r>
                      <w:rPr>
                        <w:spacing w:val="-2"/>
                        <w:sz w:val="20"/>
                      </w:rPr>
                      <w:t>Regulations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21B39"/>
    <w:multiLevelType w:val="hybridMultilevel"/>
    <w:tmpl w:val="40903442"/>
    <w:lvl w:ilvl="0" w:tplc="4608F8A0">
      <w:start w:val="1"/>
      <w:numFmt w:val="decimal"/>
      <w:lvlText w:val="%1."/>
      <w:lvlJc w:val="left"/>
      <w:pPr>
        <w:ind w:left="143" w:hanging="200"/>
        <w:jc w:val="left"/>
      </w:pPr>
      <w:rPr>
        <w:rFonts w:ascii="Cambria" w:eastAsia="Cambria" w:hAnsi="Cambria" w:cs="Cambria" w:hint="default"/>
        <w:b w:val="0"/>
        <w:bCs w:val="0"/>
        <w:i w:val="0"/>
        <w:iCs w:val="0"/>
        <w:spacing w:val="0"/>
        <w:w w:val="109"/>
        <w:sz w:val="18"/>
        <w:szCs w:val="18"/>
        <w:lang w:val="en-US" w:eastAsia="en-US" w:bidi="ar-SA"/>
      </w:rPr>
    </w:lvl>
    <w:lvl w:ilvl="1" w:tplc="B6AC579C">
      <w:numFmt w:val="bullet"/>
      <w:lvlText w:val="•"/>
      <w:lvlJc w:val="left"/>
      <w:pPr>
        <w:ind w:left="476" w:hanging="200"/>
      </w:pPr>
      <w:rPr>
        <w:rFonts w:hint="default"/>
        <w:lang w:val="en-US" w:eastAsia="en-US" w:bidi="ar-SA"/>
      </w:rPr>
    </w:lvl>
    <w:lvl w:ilvl="2" w:tplc="5F62BC1E">
      <w:numFmt w:val="bullet"/>
      <w:lvlText w:val="•"/>
      <w:lvlJc w:val="left"/>
      <w:pPr>
        <w:ind w:left="812" w:hanging="200"/>
      </w:pPr>
      <w:rPr>
        <w:rFonts w:hint="default"/>
        <w:lang w:val="en-US" w:eastAsia="en-US" w:bidi="ar-SA"/>
      </w:rPr>
    </w:lvl>
    <w:lvl w:ilvl="3" w:tplc="60F2A6EA">
      <w:numFmt w:val="bullet"/>
      <w:lvlText w:val="•"/>
      <w:lvlJc w:val="left"/>
      <w:pPr>
        <w:ind w:left="1148" w:hanging="200"/>
      </w:pPr>
      <w:rPr>
        <w:rFonts w:hint="default"/>
        <w:lang w:val="en-US" w:eastAsia="en-US" w:bidi="ar-SA"/>
      </w:rPr>
    </w:lvl>
    <w:lvl w:ilvl="4" w:tplc="0CBE40CE">
      <w:numFmt w:val="bullet"/>
      <w:lvlText w:val="•"/>
      <w:lvlJc w:val="left"/>
      <w:pPr>
        <w:ind w:left="1484" w:hanging="200"/>
      </w:pPr>
      <w:rPr>
        <w:rFonts w:hint="default"/>
        <w:lang w:val="en-US" w:eastAsia="en-US" w:bidi="ar-SA"/>
      </w:rPr>
    </w:lvl>
    <w:lvl w:ilvl="5" w:tplc="840AE274">
      <w:numFmt w:val="bullet"/>
      <w:lvlText w:val="•"/>
      <w:lvlJc w:val="left"/>
      <w:pPr>
        <w:ind w:left="1820" w:hanging="200"/>
      </w:pPr>
      <w:rPr>
        <w:rFonts w:hint="default"/>
        <w:lang w:val="en-US" w:eastAsia="en-US" w:bidi="ar-SA"/>
      </w:rPr>
    </w:lvl>
    <w:lvl w:ilvl="6" w:tplc="206AEB1E">
      <w:numFmt w:val="bullet"/>
      <w:lvlText w:val="•"/>
      <w:lvlJc w:val="left"/>
      <w:pPr>
        <w:ind w:left="2156" w:hanging="200"/>
      </w:pPr>
      <w:rPr>
        <w:rFonts w:hint="default"/>
        <w:lang w:val="en-US" w:eastAsia="en-US" w:bidi="ar-SA"/>
      </w:rPr>
    </w:lvl>
    <w:lvl w:ilvl="7" w:tplc="7CC4D6B8">
      <w:numFmt w:val="bullet"/>
      <w:lvlText w:val="•"/>
      <w:lvlJc w:val="left"/>
      <w:pPr>
        <w:ind w:left="2492" w:hanging="200"/>
      </w:pPr>
      <w:rPr>
        <w:rFonts w:hint="default"/>
        <w:lang w:val="en-US" w:eastAsia="en-US" w:bidi="ar-SA"/>
      </w:rPr>
    </w:lvl>
    <w:lvl w:ilvl="8" w:tplc="F562334E">
      <w:numFmt w:val="bullet"/>
      <w:lvlText w:val="•"/>
      <w:lvlJc w:val="left"/>
      <w:pPr>
        <w:ind w:left="2828" w:hanging="200"/>
      </w:pPr>
      <w:rPr>
        <w:rFonts w:hint="default"/>
        <w:lang w:val="en-US" w:eastAsia="en-US" w:bidi="ar-SA"/>
      </w:rPr>
    </w:lvl>
  </w:abstractNum>
  <w:abstractNum w:abstractNumId="1" w15:restartNumberingAfterBreak="0">
    <w:nsid w:val="04D1750C"/>
    <w:multiLevelType w:val="hybridMultilevel"/>
    <w:tmpl w:val="2F1ED78A"/>
    <w:lvl w:ilvl="0" w:tplc="7250C502">
      <w:start w:val="1"/>
      <w:numFmt w:val="decimal"/>
      <w:lvlText w:val="%1."/>
      <w:lvlJc w:val="left"/>
      <w:pPr>
        <w:ind w:left="344" w:hanging="200"/>
        <w:jc w:val="left"/>
      </w:pPr>
      <w:rPr>
        <w:rFonts w:ascii="Cambria" w:eastAsia="Cambria" w:hAnsi="Cambria" w:cs="Cambria" w:hint="default"/>
        <w:b w:val="0"/>
        <w:bCs w:val="0"/>
        <w:i w:val="0"/>
        <w:iCs w:val="0"/>
        <w:spacing w:val="0"/>
        <w:w w:val="109"/>
        <w:sz w:val="18"/>
        <w:szCs w:val="18"/>
        <w:lang w:val="en-US" w:eastAsia="en-US" w:bidi="ar-SA"/>
      </w:rPr>
    </w:lvl>
    <w:lvl w:ilvl="1" w:tplc="5B424A0E">
      <w:start w:val="1"/>
      <w:numFmt w:val="lowerLetter"/>
      <w:lvlText w:val="%2."/>
      <w:lvlJc w:val="left"/>
      <w:pPr>
        <w:ind w:left="349" w:hanging="190"/>
        <w:jc w:val="left"/>
      </w:pPr>
      <w:rPr>
        <w:rFonts w:ascii="Cambria" w:eastAsia="Cambria" w:hAnsi="Cambria" w:cs="Cambria" w:hint="default"/>
        <w:b w:val="0"/>
        <w:bCs w:val="0"/>
        <w:i w:val="0"/>
        <w:iCs w:val="0"/>
        <w:spacing w:val="0"/>
        <w:w w:val="112"/>
        <w:sz w:val="18"/>
        <w:szCs w:val="18"/>
        <w:lang w:val="en-US" w:eastAsia="en-US" w:bidi="ar-SA"/>
      </w:rPr>
    </w:lvl>
    <w:lvl w:ilvl="2" w:tplc="687CC848">
      <w:numFmt w:val="bullet"/>
      <w:lvlText w:val=""/>
      <w:lvlJc w:val="left"/>
      <w:pPr>
        <w:ind w:left="522" w:hanging="183"/>
      </w:pPr>
      <w:rPr>
        <w:rFonts w:ascii="Symbol" w:eastAsia="Symbol" w:hAnsi="Symbol" w:cs="Symbol" w:hint="default"/>
        <w:b w:val="0"/>
        <w:bCs w:val="0"/>
        <w:i w:val="0"/>
        <w:iCs w:val="0"/>
        <w:spacing w:val="0"/>
        <w:w w:val="100"/>
        <w:sz w:val="18"/>
        <w:szCs w:val="18"/>
        <w:lang w:val="en-US" w:eastAsia="en-US" w:bidi="ar-SA"/>
      </w:rPr>
    </w:lvl>
    <w:lvl w:ilvl="3" w:tplc="04243982">
      <w:numFmt w:val="bullet"/>
      <w:lvlText w:val="•"/>
      <w:lvlJc w:val="left"/>
      <w:pPr>
        <w:ind w:left="395" w:hanging="183"/>
      </w:pPr>
      <w:rPr>
        <w:rFonts w:hint="default"/>
        <w:lang w:val="en-US" w:eastAsia="en-US" w:bidi="ar-SA"/>
      </w:rPr>
    </w:lvl>
    <w:lvl w:ilvl="4" w:tplc="818AFF38">
      <w:numFmt w:val="bullet"/>
      <w:lvlText w:val="•"/>
      <w:lvlJc w:val="left"/>
      <w:pPr>
        <w:ind w:left="333" w:hanging="183"/>
      </w:pPr>
      <w:rPr>
        <w:rFonts w:hint="default"/>
        <w:lang w:val="en-US" w:eastAsia="en-US" w:bidi="ar-SA"/>
      </w:rPr>
    </w:lvl>
    <w:lvl w:ilvl="5" w:tplc="B3B4ABEA">
      <w:numFmt w:val="bullet"/>
      <w:lvlText w:val="•"/>
      <w:lvlJc w:val="left"/>
      <w:pPr>
        <w:ind w:left="271" w:hanging="183"/>
      </w:pPr>
      <w:rPr>
        <w:rFonts w:hint="default"/>
        <w:lang w:val="en-US" w:eastAsia="en-US" w:bidi="ar-SA"/>
      </w:rPr>
    </w:lvl>
    <w:lvl w:ilvl="6" w:tplc="CC2E7890">
      <w:numFmt w:val="bullet"/>
      <w:lvlText w:val="•"/>
      <w:lvlJc w:val="left"/>
      <w:pPr>
        <w:ind w:left="209" w:hanging="183"/>
      </w:pPr>
      <w:rPr>
        <w:rFonts w:hint="default"/>
        <w:lang w:val="en-US" w:eastAsia="en-US" w:bidi="ar-SA"/>
      </w:rPr>
    </w:lvl>
    <w:lvl w:ilvl="7" w:tplc="A5EA8DDC">
      <w:numFmt w:val="bullet"/>
      <w:lvlText w:val="•"/>
      <w:lvlJc w:val="left"/>
      <w:pPr>
        <w:ind w:left="147" w:hanging="183"/>
      </w:pPr>
      <w:rPr>
        <w:rFonts w:hint="default"/>
        <w:lang w:val="en-US" w:eastAsia="en-US" w:bidi="ar-SA"/>
      </w:rPr>
    </w:lvl>
    <w:lvl w:ilvl="8" w:tplc="9D6E36E8">
      <w:numFmt w:val="bullet"/>
      <w:lvlText w:val="•"/>
      <w:lvlJc w:val="left"/>
      <w:pPr>
        <w:ind w:left="85" w:hanging="183"/>
      </w:pPr>
      <w:rPr>
        <w:rFonts w:hint="default"/>
        <w:lang w:val="en-US" w:eastAsia="en-US" w:bidi="ar-SA"/>
      </w:rPr>
    </w:lvl>
  </w:abstractNum>
  <w:abstractNum w:abstractNumId="2" w15:restartNumberingAfterBreak="0">
    <w:nsid w:val="07130D7E"/>
    <w:multiLevelType w:val="hybridMultilevel"/>
    <w:tmpl w:val="9ABCB622"/>
    <w:lvl w:ilvl="0" w:tplc="ACEC8984">
      <w:numFmt w:val="bullet"/>
      <w:lvlText w:val="■"/>
      <w:lvlJc w:val="left"/>
      <w:pPr>
        <w:ind w:left="143" w:hanging="167"/>
      </w:pPr>
      <w:rPr>
        <w:rFonts w:ascii="MS Gothic" w:eastAsia="MS Gothic" w:hAnsi="MS Gothic" w:cs="MS Gothic" w:hint="default"/>
        <w:b w:val="0"/>
        <w:bCs w:val="0"/>
        <w:i w:val="0"/>
        <w:iCs w:val="0"/>
        <w:spacing w:val="0"/>
        <w:w w:val="76"/>
        <w:sz w:val="14"/>
        <w:szCs w:val="14"/>
        <w:lang w:val="en-US" w:eastAsia="en-US" w:bidi="ar-SA"/>
      </w:rPr>
    </w:lvl>
    <w:lvl w:ilvl="1" w:tplc="F9B0750A">
      <w:numFmt w:val="bullet"/>
      <w:lvlText w:val="•"/>
      <w:lvlJc w:val="left"/>
      <w:pPr>
        <w:ind w:left="472" w:hanging="167"/>
      </w:pPr>
      <w:rPr>
        <w:rFonts w:hint="default"/>
        <w:lang w:val="en-US" w:eastAsia="en-US" w:bidi="ar-SA"/>
      </w:rPr>
    </w:lvl>
    <w:lvl w:ilvl="2" w:tplc="776851FE">
      <w:numFmt w:val="bullet"/>
      <w:lvlText w:val="•"/>
      <w:lvlJc w:val="left"/>
      <w:pPr>
        <w:ind w:left="805" w:hanging="167"/>
      </w:pPr>
      <w:rPr>
        <w:rFonts w:hint="default"/>
        <w:lang w:val="en-US" w:eastAsia="en-US" w:bidi="ar-SA"/>
      </w:rPr>
    </w:lvl>
    <w:lvl w:ilvl="3" w:tplc="0A5E195C">
      <w:numFmt w:val="bullet"/>
      <w:lvlText w:val="•"/>
      <w:lvlJc w:val="left"/>
      <w:pPr>
        <w:ind w:left="1138" w:hanging="167"/>
      </w:pPr>
      <w:rPr>
        <w:rFonts w:hint="default"/>
        <w:lang w:val="en-US" w:eastAsia="en-US" w:bidi="ar-SA"/>
      </w:rPr>
    </w:lvl>
    <w:lvl w:ilvl="4" w:tplc="35E89708">
      <w:numFmt w:val="bullet"/>
      <w:lvlText w:val="•"/>
      <w:lvlJc w:val="left"/>
      <w:pPr>
        <w:ind w:left="1471" w:hanging="167"/>
      </w:pPr>
      <w:rPr>
        <w:rFonts w:hint="default"/>
        <w:lang w:val="en-US" w:eastAsia="en-US" w:bidi="ar-SA"/>
      </w:rPr>
    </w:lvl>
    <w:lvl w:ilvl="5" w:tplc="86FE20DE">
      <w:numFmt w:val="bullet"/>
      <w:lvlText w:val="•"/>
      <w:lvlJc w:val="left"/>
      <w:pPr>
        <w:ind w:left="1804" w:hanging="167"/>
      </w:pPr>
      <w:rPr>
        <w:rFonts w:hint="default"/>
        <w:lang w:val="en-US" w:eastAsia="en-US" w:bidi="ar-SA"/>
      </w:rPr>
    </w:lvl>
    <w:lvl w:ilvl="6" w:tplc="286AD17A">
      <w:numFmt w:val="bullet"/>
      <w:lvlText w:val="•"/>
      <w:lvlJc w:val="left"/>
      <w:pPr>
        <w:ind w:left="2137" w:hanging="167"/>
      </w:pPr>
      <w:rPr>
        <w:rFonts w:hint="default"/>
        <w:lang w:val="en-US" w:eastAsia="en-US" w:bidi="ar-SA"/>
      </w:rPr>
    </w:lvl>
    <w:lvl w:ilvl="7" w:tplc="F17EFAE0">
      <w:numFmt w:val="bullet"/>
      <w:lvlText w:val="•"/>
      <w:lvlJc w:val="left"/>
      <w:pPr>
        <w:ind w:left="2470" w:hanging="167"/>
      </w:pPr>
      <w:rPr>
        <w:rFonts w:hint="default"/>
        <w:lang w:val="en-US" w:eastAsia="en-US" w:bidi="ar-SA"/>
      </w:rPr>
    </w:lvl>
    <w:lvl w:ilvl="8" w:tplc="15F488D2">
      <w:numFmt w:val="bullet"/>
      <w:lvlText w:val="•"/>
      <w:lvlJc w:val="left"/>
      <w:pPr>
        <w:ind w:left="2803" w:hanging="167"/>
      </w:pPr>
      <w:rPr>
        <w:rFonts w:hint="default"/>
        <w:lang w:val="en-US" w:eastAsia="en-US" w:bidi="ar-SA"/>
      </w:rPr>
    </w:lvl>
  </w:abstractNum>
  <w:abstractNum w:abstractNumId="3" w15:restartNumberingAfterBreak="0">
    <w:nsid w:val="07782B86"/>
    <w:multiLevelType w:val="hybridMultilevel"/>
    <w:tmpl w:val="F92CB6BC"/>
    <w:lvl w:ilvl="0" w:tplc="DAB4CEA6">
      <w:numFmt w:val="bullet"/>
      <w:lvlText w:val="■"/>
      <w:lvlJc w:val="left"/>
      <w:pPr>
        <w:ind w:left="144" w:hanging="167"/>
      </w:pPr>
      <w:rPr>
        <w:rFonts w:ascii="MS Gothic" w:eastAsia="MS Gothic" w:hAnsi="MS Gothic" w:cs="MS Gothic" w:hint="default"/>
        <w:b w:val="0"/>
        <w:bCs w:val="0"/>
        <w:i w:val="0"/>
        <w:iCs w:val="0"/>
        <w:spacing w:val="0"/>
        <w:w w:val="76"/>
        <w:sz w:val="14"/>
        <w:szCs w:val="14"/>
        <w:lang w:val="en-US" w:eastAsia="en-US" w:bidi="ar-SA"/>
      </w:rPr>
    </w:lvl>
    <w:lvl w:ilvl="1" w:tplc="694044A8">
      <w:numFmt w:val="bullet"/>
      <w:lvlText w:val="•"/>
      <w:lvlJc w:val="left"/>
      <w:pPr>
        <w:ind w:left="488" w:hanging="167"/>
      </w:pPr>
      <w:rPr>
        <w:rFonts w:hint="default"/>
        <w:lang w:val="en-US" w:eastAsia="en-US" w:bidi="ar-SA"/>
      </w:rPr>
    </w:lvl>
    <w:lvl w:ilvl="2" w:tplc="3276231A">
      <w:numFmt w:val="bullet"/>
      <w:lvlText w:val="•"/>
      <w:lvlJc w:val="left"/>
      <w:pPr>
        <w:ind w:left="836" w:hanging="167"/>
      </w:pPr>
      <w:rPr>
        <w:rFonts w:hint="default"/>
        <w:lang w:val="en-US" w:eastAsia="en-US" w:bidi="ar-SA"/>
      </w:rPr>
    </w:lvl>
    <w:lvl w:ilvl="3" w:tplc="EF900C48">
      <w:numFmt w:val="bullet"/>
      <w:lvlText w:val="•"/>
      <w:lvlJc w:val="left"/>
      <w:pPr>
        <w:ind w:left="1185" w:hanging="167"/>
      </w:pPr>
      <w:rPr>
        <w:rFonts w:hint="default"/>
        <w:lang w:val="en-US" w:eastAsia="en-US" w:bidi="ar-SA"/>
      </w:rPr>
    </w:lvl>
    <w:lvl w:ilvl="4" w:tplc="7124DB82">
      <w:numFmt w:val="bullet"/>
      <w:lvlText w:val="•"/>
      <w:lvlJc w:val="left"/>
      <w:pPr>
        <w:ind w:left="1533" w:hanging="167"/>
      </w:pPr>
      <w:rPr>
        <w:rFonts w:hint="default"/>
        <w:lang w:val="en-US" w:eastAsia="en-US" w:bidi="ar-SA"/>
      </w:rPr>
    </w:lvl>
    <w:lvl w:ilvl="5" w:tplc="834692D8">
      <w:numFmt w:val="bullet"/>
      <w:lvlText w:val="•"/>
      <w:lvlJc w:val="left"/>
      <w:pPr>
        <w:ind w:left="1882" w:hanging="167"/>
      </w:pPr>
      <w:rPr>
        <w:rFonts w:hint="default"/>
        <w:lang w:val="en-US" w:eastAsia="en-US" w:bidi="ar-SA"/>
      </w:rPr>
    </w:lvl>
    <w:lvl w:ilvl="6" w:tplc="D2EE6D7A">
      <w:numFmt w:val="bullet"/>
      <w:lvlText w:val="•"/>
      <w:lvlJc w:val="left"/>
      <w:pPr>
        <w:ind w:left="2230" w:hanging="167"/>
      </w:pPr>
      <w:rPr>
        <w:rFonts w:hint="default"/>
        <w:lang w:val="en-US" w:eastAsia="en-US" w:bidi="ar-SA"/>
      </w:rPr>
    </w:lvl>
    <w:lvl w:ilvl="7" w:tplc="7FE62604">
      <w:numFmt w:val="bullet"/>
      <w:lvlText w:val="•"/>
      <w:lvlJc w:val="left"/>
      <w:pPr>
        <w:ind w:left="2579" w:hanging="167"/>
      </w:pPr>
      <w:rPr>
        <w:rFonts w:hint="default"/>
        <w:lang w:val="en-US" w:eastAsia="en-US" w:bidi="ar-SA"/>
      </w:rPr>
    </w:lvl>
    <w:lvl w:ilvl="8" w:tplc="CA385362">
      <w:numFmt w:val="bullet"/>
      <w:lvlText w:val="•"/>
      <w:lvlJc w:val="left"/>
      <w:pPr>
        <w:ind w:left="2927" w:hanging="167"/>
      </w:pPr>
      <w:rPr>
        <w:rFonts w:hint="default"/>
        <w:lang w:val="en-US" w:eastAsia="en-US" w:bidi="ar-SA"/>
      </w:rPr>
    </w:lvl>
  </w:abstractNum>
  <w:abstractNum w:abstractNumId="4" w15:restartNumberingAfterBreak="0">
    <w:nsid w:val="0ACA24FD"/>
    <w:multiLevelType w:val="hybridMultilevel"/>
    <w:tmpl w:val="6FFC9E20"/>
    <w:lvl w:ilvl="0" w:tplc="BBF8A0B6">
      <w:start w:val="1"/>
      <w:numFmt w:val="lowerLetter"/>
      <w:lvlText w:val="(%1)"/>
      <w:lvlJc w:val="left"/>
      <w:pPr>
        <w:ind w:left="142" w:hanging="260"/>
        <w:jc w:val="left"/>
      </w:pPr>
      <w:rPr>
        <w:rFonts w:ascii="Cambria" w:eastAsia="Cambria" w:hAnsi="Cambria" w:cs="Cambria" w:hint="default"/>
        <w:b w:val="0"/>
        <w:bCs w:val="0"/>
        <w:i w:val="0"/>
        <w:iCs w:val="0"/>
        <w:spacing w:val="0"/>
        <w:w w:val="93"/>
        <w:sz w:val="18"/>
        <w:szCs w:val="18"/>
        <w:lang w:val="en-US" w:eastAsia="en-US" w:bidi="ar-SA"/>
      </w:rPr>
    </w:lvl>
    <w:lvl w:ilvl="1" w:tplc="D57CB56C">
      <w:numFmt w:val="bullet"/>
      <w:lvlText w:val="•"/>
      <w:lvlJc w:val="left"/>
      <w:pPr>
        <w:ind w:left="476" w:hanging="260"/>
      </w:pPr>
      <w:rPr>
        <w:rFonts w:hint="default"/>
        <w:lang w:val="en-US" w:eastAsia="en-US" w:bidi="ar-SA"/>
      </w:rPr>
    </w:lvl>
    <w:lvl w:ilvl="2" w:tplc="7B0A8A9A">
      <w:numFmt w:val="bullet"/>
      <w:lvlText w:val="•"/>
      <w:lvlJc w:val="left"/>
      <w:pPr>
        <w:ind w:left="812" w:hanging="260"/>
      </w:pPr>
      <w:rPr>
        <w:rFonts w:hint="default"/>
        <w:lang w:val="en-US" w:eastAsia="en-US" w:bidi="ar-SA"/>
      </w:rPr>
    </w:lvl>
    <w:lvl w:ilvl="3" w:tplc="D70A34FA">
      <w:numFmt w:val="bullet"/>
      <w:lvlText w:val="•"/>
      <w:lvlJc w:val="left"/>
      <w:pPr>
        <w:ind w:left="1148" w:hanging="260"/>
      </w:pPr>
      <w:rPr>
        <w:rFonts w:hint="default"/>
        <w:lang w:val="en-US" w:eastAsia="en-US" w:bidi="ar-SA"/>
      </w:rPr>
    </w:lvl>
    <w:lvl w:ilvl="4" w:tplc="B582D59A">
      <w:numFmt w:val="bullet"/>
      <w:lvlText w:val="•"/>
      <w:lvlJc w:val="left"/>
      <w:pPr>
        <w:ind w:left="1484" w:hanging="260"/>
      </w:pPr>
      <w:rPr>
        <w:rFonts w:hint="default"/>
        <w:lang w:val="en-US" w:eastAsia="en-US" w:bidi="ar-SA"/>
      </w:rPr>
    </w:lvl>
    <w:lvl w:ilvl="5" w:tplc="34A2BABA">
      <w:numFmt w:val="bullet"/>
      <w:lvlText w:val="•"/>
      <w:lvlJc w:val="left"/>
      <w:pPr>
        <w:ind w:left="1820" w:hanging="260"/>
      </w:pPr>
      <w:rPr>
        <w:rFonts w:hint="default"/>
        <w:lang w:val="en-US" w:eastAsia="en-US" w:bidi="ar-SA"/>
      </w:rPr>
    </w:lvl>
    <w:lvl w:ilvl="6" w:tplc="FB4A0794">
      <w:numFmt w:val="bullet"/>
      <w:lvlText w:val="•"/>
      <w:lvlJc w:val="left"/>
      <w:pPr>
        <w:ind w:left="2156" w:hanging="260"/>
      </w:pPr>
      <w:rPr>
        <w:rFonts w:hint="default"/>
        <w:lang w:val="en-US" w:eastAsia="en-US" w:bidi="ar-SA"/>
      </w:rPr>
    </w:lvl>
    <w:lvl w:ilvl="7" w:tplc="0390F970">
      <w:numFmt w:val="bullet"/>
      <w:lvlText w:val="•"/>
      <w:lvlJc w:val="left"/>
      <w:pPr>
        <w:ind w:left="2492" w:hanging="260"/>
      </w:pPr>
      <w:rPr>
        <w:rFonts w:hint="default"/>
        <w:lang w:val="en-US" w:eastAsia="en-US" w:bidi="ar-SA"/>
      </w:rPr>
    </w:lvl>
    <w:lvl w:ilvl="8" w:tplc="F3302FE8">
      <w:numFmt w:val="bullet"/>
      <w:lvlText w:val="•"/>
      <w:lvlJc w:val="left"/>
      <w:pPr>
        <w:ind w:left="2828" w:hanging="260"/>
      </w:pPr>
      <w:rPr>
        <w:rFonts w:hint="default"/>
        <w:lang w:val="en-US" w:eastAsia="en-US" w:bidi="ar-SA"/>
      </w:rPr>
    </w:lvl>
  </w:abstractNum>
  <w:abstractNum w:abstractNumId="5" w15:restartNumberingAfterBreak="0">
    <w:nsid w:val="10B762CC"/>
    <w:multiLevelType w:val="hybridMultilevel"/>
    <w:tmpl w:val="E58A7588"/>
    <w:lvl w:ilvl="0" w:tplc="603AEE0C">
      <w:start w:val="2"/>
      <w:numFmt w:val="lowerLetter"/>
      <w:lvlText w:val="(%1)"/>
      <w:lvlJc w:val="left"/>
      <w:pPr>
        <w:ind w:left="592" w:hanging="270"/>
        <w:jc w:val="left"/>
      </w:pPr>
      <w:rPr>
        <w:rFonts w:ascii="Cambria" w:eastAsia="Cambria" w:hAnsi="Cambria" w:cs="Cambria" w:hint="default"/>
        <w:b w:val="0"/>
        <w:bCs w:val="0"/>
        <w:i w:val="0"/>
        <w:iCs w:val="0"/>
        <w:spacing w:val="0"/>
        <w:w w:val="93"/>
        <w:sz w:val="18"/>
        <w:szCs w:val="18"/>
        <w:lang w:val="en-US" w:eastAsia="en-US" w:bidi="ar-SA"/>
      </w:rPr>
    </w:lvl>
    <w:lvl w:ilvl="1" w:tplc="CCF0D234">
      <w:numFmt w:val="bullet"/>
      <w:lvlText w:val="•"/>
      <w:lvlJc w:val="left"/>
      <w:pPr>
        <w:ind w:left="890" w:hanging="270"/>
      </w:pPr>
      <w:rPr>
        <w:rFonts w:hint="default"/>
        <w:lang w:val="en-US" w:eastAsia="en-US" w:bidi="ar-SA"/>
      </w:rPr>
    </w:lvl>
    <w:lvl w:ilvl="2" w:tplc="9F0E5786">
      <w:numFmt w:val="bullet"/>
      <w:lvlText w:val="•"/>
      <w:lvlJc w:val="left"/>
      <w:pPr>
        <w:ind w:left="1180" w:hanging="270"/>
      </w:pPr>
      <w:rPr>
        <w:rFonts w:hint="default"/>
        <w:lang w:val="en-US" w:eastAsia="en-US" w:bidi="ar-SA"/>
      </w:rPr>
    </w:lvl>
    <w:lvl w:ilvl="3" w:tplc="43428836">
      <w:numFmt w:val="bullet"/>
      <w:lvlText w:val="•"/>
      <w:lvlJc w:val="left"/>
      <w:pPr>
        <w:ind w:left="1470" w:hanging="270"/>
      </w:pPr>
      <w:rPr>
        <w:rFonts w:hint="default"/>
        <w:lang w:val="en-US" w:eastAsia="en-US" w:bidi="ar-SA"/>
      </w:rPr>
    </w:lvl>
    <w:lvl w:ilvl="4" w:tplc="1082B310">
      <w:numFmt w:val="bullet"/>
      <w:lvlText w:val="•"/>
      <w:lvlJc w:val="left"/>
      <w:pPr>
        <w:ind w:left="1760" w:hanging="270"/>
      </w:pPr>
      <w:rPr>
        <w:rFonts w:hint="default"/>
        <w:lang w:val="en-US" w:eastAsia="en-US" w:bidi="ar-SA"/>
      </w:rPr>
    </w:lvl>
    <w:lvl w:ilvl="5" w:tplc="F59043A8">
      <w:numFmt w:val="bullet"/>
      <w:lvlText w:val="•"/>
      <w:lvlJc w:val="left"/>
      <w:pPr>
        <w:ind w:left="2050" w:hanging="270"/>
      </w:pPr>
      <w:rPr>
        <w:rFonts w:hint="default"/>
        <w:lang w:val="en-US" w:eastAsia="en-US" w:bidi="ar-SA"/>
      </w:rPr>
    </w:lvl>
    <w:lvl w:ilvl="6" w:tplc="F202F7D8">
      <w:numFmt w:val="bullet"/>
      <w:lvlText w:val="•"/>
      <w:lvlJc w:val="left"/>
      <w:pPr>
        <w:ind w:left="2340" w:hanging="270"/>
      </w:pPr>
      <w:rPr>
        <w:rFonts w:hint="default"/>
        <w:lang w:val="en-US" w:eastAsia="en-US" w:bidi="ar-SA"/>
      </w:rPr>
    </w:lvl>
    <w:lvl w:ilvl="7" w:tplc="E2A2FC20">
      <w:numFmt w:val="bullet"/>
      <w:lvlText w:val="•"/>
      <w:lvlJc w:val="left"/>
      <w:pPr>
        <w:ind w:left="2630" w:hanging="270"/>
      </w:pPr>
      <w:rPr>
        <w:rFonts w:hint="default"/>
        <w:lang w:val="en-US" w:eastAsia="en-US" w:bidi="ar-SA"/>
      </w:rPr>
    </w:lvl>
    <w:lvl w:ilvl="8" w:tplc="103EA03C">
      <w:numFmt w:val="bullet"/>
      <w:lvlText w:val="•"/>
      <w:lvlJc w:val="left"/>
      <w:pPr>
        <w:ind w:left="2920" w:hanging="270"/>
      </w:pPr>
      <w:rPr>
        <w:rFonts w:hint="default"/>
        <w:lang w:val="en-US" w:eastAsia="en-US" w:bidi="ar-SA"/>
      </w:rPr>
    </w:lvl>
  </w:abstractNum>
  <w:abstractNum w:abstractNumId="6" w15:restartNumberingAfterBreak="0">
    <w:nsid w:val="139C7F5D"/>
    <w:multiLevelType w:val="hybridMultilevel"/>
    <w:tmpl w:val="DBCCD974"/>
    <w:lvl w:ilvl="0" w:tplc="B8D43A4A">
      <w:start w:val="1"/>
      <w:numFmt w:val="decimal"/>
      <w:lvlText w:val="%1."/>
      <w:lvlJc w:val="left"/>
      <w:pPr>
        <w:ind w:left="154" w:hanging="200"/>
        <w:jc w:val="left"/>
      </w:pPr>
      <w:rPr>
        <w:rFonts w:ascii="Cambria" w:eastAsia="Cambria" w:hAnsi="Cambria" w:cs="Cambria" w:hint="default"/>
        <w:b w:val="0"/>
        <w:bCs w:val="0"/>
        <w:i w:val="0"/>
        <w:iCs w:val="0"/>
        <w:spacing w:val="0"/>
        <w:w w:val="109"/>
        <w:sz w:val="18"/>
        <w:szCs w:val="18"/>
        <w:lang w:val="en-US" w:eastAsia="en-US" w:bidi="ar-SA"/>
      </w:rPr>
    </w:lvl>
    <w:lvl w:ilvl="1" w:tplc="750A8CD8">
      <w:start w:val="1"/>
      <w:numFmt w:val="decimal"/>
      <w:lvlText w:val="(%2)"/>
      <w:lvlJc w:val="left"/>
      <w:pPr>
        <w:ind w:left="609" w:hanging="270"/>
        <w:jc w:val="left"/>
      </w:pPr>
      <w:rPr>
        <w:rFonts w:ascii="Cambria" w:eastAsia="Cambria" w:hAnsi="Cambria" w:cs="Cambria" w:hint="default"/>
        <w:b w:val="0"/>
        <w:bCs w:val="0"/>
        <w:i w:val="0"/>
        <w:iCs w:val="0"/>
        <w:spacing w:val="0"/>
        <w:w w:val="92"/>
        <w:sz w:val="18"/>
        <w:szCs w:val="18"/>
        <w:lang w:val="en-US" w:eastAsia="en-US" w:bidi="ar-SA"/>
      </w:rPr>
    </w:lvl>
    <w:lvl w:ilvl="2" w:tplc="D584DF4A">
      <w:numFmt w:val="bullet"/>
      <w:lvlText w:val="•"/>
      <w:lvlJc w:val="left"/>
      <w:pPr>
        <w:ind w:left="134" w:hanging="270"/>
      </w:pPr>
      <w:rPr>
        <w:rFonts w:hint="default"/>
        <w:lang w:val="en-US" w:eastAsia="en-US" w:bidi="ar-SA"/>
      </w:rPr>
    </w:lvl>
    <w:lvl w:ilvl="3" w:tplc="9E0CD186">
      <w:numFmt w:val="bullet"/>
      <w:lvlText w:val="•"/>
      <w:lvlJc w:val="left"/>
      <w:pPr>
        <w:ind w:left="-331" w:hanging="270"/>
      </w:pPr>
      <w:rPr>
        <w:rFonts w:hint="default"/>
        <w:lang w:val="en-US" w:eastAsia="en-US" w:bidi="ar-SA"/>
      </w:rPr>
    </w:lvl>
    <w:lvl w:ilvl="4" w:tplc="BC7A12C0">
      <w:numFmt w:val="bullet"/>
      <w:lvlText w:val="•"/>
      <w:lvlJc w:val="left"/>
      <w:pPr>
        <w:ind w:left="-797" w:hanging="270"/>
      </w:pPr>
      <w:rPr>
        <w:rFonts w:hint="default"/>
        <w:lang w:val="en-US" w:eastAsia="en-US" w:bidi="ar-SA"/>
      </w:rPr>
    </w:lvl>
    <w:lvl w:ilvl="5" w:tplc="8C02CECE">
      <w:numFmt w:val="bullet"/>
      <w:lvlText w:val="•"/>
      <w:lvlJc w:val="left"/>
      <w:pPr>
        <w:ind w:left="-1262" w:hanging="270"/>
      </w:pPr>
      <w:rPr>
        <w:rFonts w:hint="default"/>
        <w:lang w:val="en-US" w:eastAsia="en-US" w:bidi="ar-SA"/>
      </w:rPr>
    </w:lvl>
    <w:lvl w:ilvl="6" w:tplc="2ECC9C8A">
      <w:numFmt w:val="bullet"/>
      <w:lvlText w:val="•"/>
      <w:lvlJc w:val="left"/>
      <w:pPr>
        <w:ind w:left="-1727" w:hanging="270"/>
      </w:pPr>
      <w:rPr>
        <w:rFonts w:hint="default"/>
        <w:lang w:val="en-US" w:eastAsia="en-US" w:bidi="ar-SA"/>
      </w:rPr>
    </w:lvl>
    <w:lvl w:ilvl="7" w:tplc="07EE86E6">
      <w:numFmt w:val="bullet"/>
      <w:lvlText w:val="•"/>
      <w:lvlJc w:val="left"/>
      <w:pPr>
        <w:ind w:left="-2193" w:hanging="270"/>
      </w:pPr>
      <w:rPr>
        <w:rFonts w:hint="default"/>
        <w:lang w:val="en-US" w:eastAsia="en-US" w:bidi="ar-SA"/>
      </w:rPr>
    </w:lvl>
    <w:lvl w:ilvl="8" w:tplc="C6F2D69C">
      <w:numFmt w:val="bullet"/>
      <w:lvlText w:val="•"/>
      <w:lvlJc w:val="left"/>
      <w:pPr>
        <w:ind w:left="-2658" w:hanging="270"/>
      </w:pPr>
      <w:rPr>
        <w:rFonts w:hint="default"/>
        <w:lang w:val="en-US" w:eastAsia="en-US" w:bidi="ar-SA"/>
      </w:rPr>
    </w:lvl>
  </w:abstractNum>
  <w:abstractNum w:abstractNumId="7" w15:restartNumberingAfterBreak="0">
    <w:nsid w:val="14FB1692"/>
    <w:multiLevelType w:val="hybridMultilevel"/>
    <w:tmpl w:val="366C56BE"/>
    <w:lvl w:ilvl="0" w:tplc="285E1B88">
      <w:start w:val="1"/>
      <w:numFmt w:val="decimal"/>
      <w:lvlText w:val="(%1)"/>
      <w:lvlJc w:val="left"/>
      <w:pPr>
        <w:ind w:left="160" w:hanging="270"/>
        <w:jc w:val="left"/>
      </w:pPr>
      <w:rPr>
        <w:rFonts w:ascii="Cambria" w:eastAsia="Cambria" w:hAnsi="Cambria" w:cs="Cambria" w:hint="default"/>
        <w:b w:val="0"/>
        <w:bCs w:val="0"/>
        <w:i w:val="0"/>
        <w:iCs w:val="0"/>
        <w:spacing w:val="0"/>
        <w:w w:val="92"/>
        <w:sz w:val="18"/>
        <w:szCs w:val="18"/>
        <w:lang w:val="en-US" w:eastAsia="en-US" w:bidi="ar-SA"/>
      </w:rPr>
    </w:lvl>
    <w:lvl w:ilvl="1" w:tplc="7C821E1E">
      <w:start w:val="1"/>
      <w:numFmt w:val="lowerRoman"/>
      <w:lvlText w:val="(%2)"/>
      <w:lvlJc w:val="left"/>
      <w:pPr>
        <w:ind w:left="160" w:hanging="230"/>
        <w:jc w:val="left"/>
      </w:pPr>
      <w:rPr>
        <w:rFonts w:ascii="Cambria" w:eastAsia="Cambria" w:hAnsi="Cambria" w:cs="Cambria" w:hint="default"/>
        <w:b w:val="0"/>
        <w:bCs w:val="0"/>
        <w:i w:val="0"/>
        <w:iCs w:val="0"/>
        <w:spacing w:val="0"/>
        <w:w w:val="95"/>
        <w:sz w:val="18"/>
        <w:szCs w:val="18"/>
        <w:lang w:val="en-US" w:eastAsia="en-US" w:bidi="ar-SA"/>
      </w:rPr>
    </w:lvl>
    <w:lvl w:ilvl="2" w:tplc="B0AEB770">
      <w:numFmt w:val="bullet"/>
      <w:lvlText w:val="•"/>
      <w:lvlJc w:val="left"/>
      <w:pPr>
        <w:ind w:left="831" w:hanging="230"/>
      </w:pPr>
      <w:rPr>
        <w:rFonts w:hint="default"/>
        <w:lang w:val="en-US" w:eastAsia="en-US" w:bidi="ar-SA"/>
      </w:rPr>
    </w:lvl>
    <w:lvl w:ilvl="3" w:tplc="D120792C">
      <w:numFmt w:val="bullet"/>
      <w:lvlText w:val="•"/>
      <w:lvlJc w:val="left"/>
      <w:pPr>
        <w:ind w:left="1167" w:hanging="230"/>
      </w:pPr>
      <w:rPr>
        <w:rFonts w:hint="default"/>
        <w:lang w:val="en-US" w:eastAsia="en-US" w:bidi="ar-SA"/>
      </w:rPr>
    </w:lvl>
    <w:lvl w:ilvl="4" w:tplc="2A6824F2">
      <w:numFmt w:val="bullet"/>
      <w:lvlText w:val="•"/>
      <w:lvlJc w:val="left"/>
      <w:pPr>
        <w:ind w:left="1502" w:hanging="230"/>
      </w:pPr>
      <w:rPr>
        <w:rFonts w:hint="default"/>
        <w:lang w:val="en-US" w:eastAsia="en-US" w:bidi="ar-SA"/>
      </w:rPr>
    </w:lvl>
    <w:lvl w:ilvl="5" w:tplc="A57C0E5E">
      <w:numFmt w:val="bullet"/>
      <w:lvlText w:val="•"/>
      <w:lvlJc w:val="left"/>
      <w:pPr>
        <w:ind w:left="1838" w:hanging="230"/>
      </w:pPr>
      <w:rPr>
        <w:rFonts w:hint="default"/>
        <w:lang w:val="en-US" w:eastAsia="en-US" w:bidi="ar-SA"/>
      </w:rPr>
    </w:lvl>
    <w:lvl w:ilvl="6" w:tplc="6BB6A048">
      <w:numFmt w:val="bullet"/>
      <w:lvlText w:val="•"/>
      <w:lvlJc w:val="left"/>
      <w:pPr>
        <w:ind w:left="2174" w:hanging="230"/>
      </w:pPr>
      <w:rPr>
        <w:rFonts w:hint="default"/>
        <w:lang w:val="en-US" w:eastAsia="en-US" w:bidi="ar-SA"/>
      </w:rPr>
    </w:lvl>
    <w:lvl w:ilvl="7" w:tplc="63AE8714">
      <w:numFmt w:val="bullet"/>
      <w:lvlText w:val="•"/>
      <w:lvlJc w:val="left"/>
      <w:pPr>
        <w:ind w:left="2509" w:hanging="230"/>
      </w:pPr>
      <w:rPr>
        <w:rFonts w:hint="default"/>
        <w:lang w:val="en-US" w:eastAsia="en-US" w:bidi="ar-SA"/>
      </w:rPr>
    </w:lvl>
    <w:lvl w:ilvl="8" w:tplc="AE2A26C6">
      <w:numFmt w:val="bullet"/>
      <w:lvlText w:val="•"/>
      <w:lvlJc w:val="left"/>
      <w:pPr>
        <w:ind w:left="2845" w:hanging="230"/>
      </w:pPr>
      <w:rPr>
        <w:rFonts w:hint="default"/>
        <w:lang w:val="en-US" w:eastAsia="en-US" w:bidi="ar-SA"/>
      </w:rPr>
    </w:lvl>
  </w:abstractNum>
  <w:abstractNum w:abstractNumId="8" w15:restartNumberingAfterBreak="0">
    <w:nsid w:val="151C1167"/>
    <w:multiLevelType w:val="hybridMultilevel"/>
    <w:tmpl w:val="7D52507C"/>
    <w:lvl w:ilvl="0" w:tplc="3920FDC0">
      <w:start w:val="1"/>
      <w:numFmt w:val="upperRoman"/>
      <w:lvlText w:val="%1."/>
      <w:lvlJc w:val="left"/>
      <w:pPr>
        <w:ind w:left="329" w:hanging="170"/>
        <w:jc w:val="left"/>
      </w:pPr>
      <w:rPr>
        <w:rFonts w:ascii="Book Antiqua" w:eastAsia="Book Antiqua" w:hAnsi="Book Antiqua" w:cs="Book Antiqua" w:hint="default"/>
        <w:b/>
        <w:bCs/>
        <w:i w:val="0"/>
        <w:iCs w:val="0"/>
        <w:spacing w:val="0"/>
        <w:w w:val="104"/>
        <w:sz w:val="18"/>
        <w:szCs w:val="18"/>
        <w:lang w:val="en-US" w:eastAsia="en-US" w:bidi="ar-SA"/>
      </w:rPr>
    </w:lvl>
    <w:lvl w:ilvl="1" w:tplc="4616055A">
      <w:start w:val="1"/>
      <w:numFmt w:val="upperLetter"/>
      <w:lvlText w:val="%2."/>
      <w:lvlJc w:val="left"/>
      <w:pPr>
        <w:ind w:left="160" w:hanging="236"/>
        <w:jc w:val="left"/>
      </w:pPr>
      <w:rPr>
        <w:rFonts w:ascii="Book Antiqua" w:eastAsia="Book Antiqua" w:hAnsi="Book Antiqua" w:cs="Book Antiqua" w:hint="default"/>
        <w:b w:val="0"/>
        <w:bCs w:val="0"/>
        <w:i/>
        <w:iCs/>
        <w:spacing w:val="0"/>
        <w:w w:val="106"/>
        <w:sz w:val="18"/>
        <w:szCs w:val="18"/>
        <w:lang w:val="en-US" w:eastAsia="en-US" w:bidi="ar-SA"/>
      </w:rPr>
    </w:lvl>
    <w:lvl w:ilvl="2" w:tplc="A2448D12">
      <w:numFmt w:val="bullet"/>
      <w:lvlText w:val=""/>
      <w:lvlJc w:val="left"/>
      <w:pPr>
        <w:ind w:left="160" w:hanging="183"/>
      </w:pPr>
      <w:rPr>
        <w:rFonts w:ascii="Symbol" w:eastAsia="Symbol" w:hAnsi="Symbol" w:cs="Symbol" w:hint="default"/>
        <w:b w:val="0"/>
        <w:bCs w:val="0"/>
        <w:i w:val="0"/>
        <w:iCs w:val="0"/>
        <w:spacing w:val="0"/>
        <w:w w:val="100"/>
        <w:sz w:val="18"/>
        <w:szCs w:val="18"/>
        <w:lang w:val="en-US" w:eastAsia="en-US" w:bidi="ar-SA"/>
      </w:rPr>
    </w:lvl>
    <w:lvl w:ilvl="3" w:tplc="52C6E048">
      <w:numFmt w:val="bullet"/>
      <w:lvlText w:val="•"/>
      <w:lvlJc w:val="left"/>
      <w:pPr>
        <w:ind w:left="380" w:hanging="183"/>
      </w:pPr>
      <w:rPr>
        <w:rFonts w:hint="default"/>
        <w:lang w:val="en-US" w:eastAsia="en-US" w:bidi="ar-SA"/>
      </w:rPr>
    </w:lvl>
    <w:lvl w:ilvl="4" w:tplc="B8B21DDC">
      <w:numFmt w:val="bullet"/>
      <w:lvlText w:val="•"/>
      <w:lvlJc w:val="left"/>
      <w:pPr>
        <w:ind w:left="400" w:hanging="183"/>
      </w:pPr>
      <w:rPr>
        <w:rFonts w:hint="default"/>
        <w:lang w:val="en-US" w:eastAsia="en-US" w:bidi="ar-SA"/>
      </w:rPr>
    </w:lvl>
    <w:lvl w:ilvl="5" w:tplc="D32CD186">
      <w:numFmt w:val="bullet"/>
      <w:lvlText w:val="•"/>
      <w:lvlJc w:val="left"/>
      <w:pPr>
        <w:ind w:left="-267" w:hanging="183"/>
      </w:pPr>
      <w:rPr>
        <w:rFonts w:hint="default"/>
        <w:lang w:val="en-US" w:eastAsia="en-US" w:bidi="ar-SA"/>
      </w:rPr>
    </w:lvl>
    <w:lvl w:ilvl="6" w:tplc="8FCAC732">
      <w:numFmt w:val="bullet"/>
      <w:lvlText w:val="•"/>
      <w:lvlJc w:val="left"/>
      <w:pPr>
        <w:ind w:left="-934" w:hanging="183"/>
      </w:pPr>
      <w:rPr>
        <w:rFonts w:hint="default"/>
        <w:lang w:val="en-US" w:eastAsia="en-US" w:bidi="ar-SA"/>
      </w:rPr>
    </w:lvl>
    <w:lvl w:ilvl="7" w:tplc="6B0C1BE0">
      <w:numFmt w:val="bullet"/>
      <w:lvlText w:val="•"/>
      <w:lvlJc w:val="left"/>
      <w:pPr>
        <w:ind w:left="-1600" w:hanging="183"/>
      </w:pPr>
      <w:rPr>
        <w:rFonts w:hint="default"/>
        <w:lang w:val="en-US" w:eastAsia="en-US" w:bidi="ar-SA"/>
      </w:rPr>
    </w:lvl>
    <w:lvl w:ilvl="8" w:tplc="B0BED90A">
      <w:numFmt w:val="bullet"/>
      <w:lvlText w:val="•"/>
      <w:lvlJc w:val="left"/>
      <w:pPr>
        <w:ind w:left="-2267" w:hanging="183"/>
      </w:pPr>
      <w:rPr>
        <w:rFonts w:hint="default"/>
        <w:lang w:val="en-US" w:eastAsia="en-US" w:bidi="ar-SA"/>
      </w:rPr>
    </w:lvl>
  </w:abstractNum>
  <w:abstractNum w:abstractNumId="9" w15:restartNumberingAfterBreak="0">
    <w:nsid w:val="1B5136AA"/>
    <w:multiLevelType w:val="hybridMultilevel"/>
    <w:tmpl w:val="962CB5A2"/>
    <w:lvl w:ilvl="0" w:tplc="B50E6F12">
      <w:numFmt w:val="bullet"/>
      <w:lvlText w:val="■"/>
      <w:lvlJc w:val="left"/>
      <w:pPr>
        <w:ind w:left="160" w:hanging="167"/>
      </w:pPr>
      <w:rPr>
        <w:rFonts w:ascii="MS Gothic" w:eastAsia="MS Gothic" w:hAnsi="MS Gothic" w:cs="MS Gothic" w:hint="default"/>
        <w:b w:val="0"/>
        <w:bCs w:val="0"/>
        <w:i w:val="0"/>
        <w:iCs w:val="0"/>
        <w:spacing w:val="0"/>
        <w:w w:val="76"/>
        <w:sz w:val="14"/>
        <w:szCs w:val="14"/>
        <w:lang w:val="en-US" w:eastAsia="en-US" w:bidi="ar-SA"/>
      </w:rPr>
    </w:lvl>
    <w:lvl w:ilvl="1" w:tplc="7960EEB4">
      <w:numFmt w:val="bullet"/>
      <w:lvlText w:val="•"/>
      <w:lvlJc w:val="left"/>
      <w:pPr>
        <w:ind w:left="508" w:hanging="167"/>
      </w:pPr>
      <w:rPr>
        <w:rFonts w:hint="default"/>
        <w:lang w:val="en-US" w:eastAsia="en-US" w:bidi="ar-SA"/>
      </w:rPr>
    </w:lvl>
    <w:lvl w:ilvl="2" w:tplc="1854A98E">
      <w:numFmt w:val="bullet"/>
      <w:lvlText w:val="•"/>
      <w:lvlJc w:val="left"/>
      <w:pPr>
        <w:ind w:left="856" w:hanging="167"/>
      </w:pPr>
      <w:rPr>
        <w:rFonts w:hint="default"/>
        <w:lang w:val="en-US" w:eastAsia="en-US" w:bidi="ar-SA"/>
      </w:rPr>
    </w:lvl>
    <w:lvl w:ilvl="3" w:tplc="2F94BA2A">
      <w:numFmt w:val="bullet"/>
      <w:lvlText w:val="•"/>
      <w:lvlJc w:val="left"/>
      <w:pPr>
        <w:ind w:left="1204" w:hanging="167"/>
      </w:pPr>
      <w:rPr>
        <w:rFonts w:hint="default"/>
        <w:lang w:val="en-US" w:eastAsia="en-US" w:bidi="ar-SA"/>
      </w:rPr>
    </w:lvl>
    <w:lvl w:ilvl="4" w:tplc="5E647B0C">
      <w:numFmt w:val="bullet"/>
      <w:lvlText w:val="•"/>
      <w:lvlJc w:val="left"/>
      <w:pPr>
        <w:ind w:left="1552" w:hanging="167"/>
      </w:pPr>
      <w:rPr>
        <w:rFonts w:hint="default"/>
        <w:lang w:val="en-US" w:eastAsia="en-US" w:bidi="ar-SA"/>
      </w:rPr>
    </w:lvl>
    <w:lvl w:ilvl="5" w:tplc="115C5846">
      <w:numFmt w:val="bullet"/>
      <w:lvlText w:val="•"/>
      <w:lvlJc w:val="left"/>
      <w:pPr>
        <w:ind w:left="1900" w:hanging="167"/>
      </w:pPr>
      <w:rPr>
        <w:rFonts w:hint="default"/>
        <w:lang w:val="en-US" w:eastAsia="en-US" w:bidi="ar-SA"/>
      </w:rPr>
    </w:lvl>
    <w:lvl w:ilvl="6" w:tplc="DE3EA512">
      <w:numFmt w:val="bullet"/>
      <w:lvlText w:val="•"/>
      <w:lvlJc w:val="left"/>
      <w:pPr>
        <w:ind w:left="2248" w:hanging="167"/>
      </w:pPr>
      <w:rPr>
        <w:rFonts w:hint="default"/>
        <w:lang w:val="en-US" w:eastAsia="en-US" w:bidi="ar-SA"/>
      </w:rPr>
    </w:lvl>
    <w:lvl w:ilvl="7" w:tplc="0FF0D2B8">
      <w:numFmt w:val="bullet"/>
      <w:lvlText w:val="•"/>
      <w:lvlJc w:val="left"/>
      <w:pPr>
        <w:ind w:left="2596" w:hanging="167"/>
      </w:pPr>
      <w:rPr>
        <w:rFonts w:hint="default"/>
        <w:lang w:val="en-US" w:eastAsia="en-US" w:bidi="ar-SA"/>
      </w:rPr>
    </w:lvl>
    <w:lvl w:ilvl="8" w:tplc="9DDEC21C">
      <w:numFmt w:val="bullet"/>
      <w:lvlText w:val="•"/>
      <w:lvlJc w:val="left"/>
      <w:pPr>
        <w:ind w:left="2944" w:hanging="167"/>
      </w:pPr>
      <w:rPr>
        <w:rFonts w:hint="default"/>
        <w:lang w:val="en-US" w:eastAsia="en-US" w:bidi="ar-SA"/>
      </w:rPr>
    </w:lvl>
  </w:abstractNum>
  <w:abstractNum w:abstractNumId="10" w15:restartNumberingAfterBreak="0">
    <w:nsid w:val="1D51769C"/>
    <w:multiLevelType w:val="hybridMultilevel"/>
    <w:tmpl w:val="249E4A8A"/>
    <w:lvl w:ilvl="0" w:tplc="112E86EC">
      <w:start w:val="1"/>
      <w:numFmt w:val="decimal"/>
      <w:lvlText w:val="(%1)"/>
      <w:lvlJc w:val="left"/>
      <w:pPr>
        <w:ind w:left="139" w:hanging="270"/>
        <w:jc w:val="left"/>
      </w:pPr>
      <w:rPr>
        <w:rFonts w:ascii="Cambria" w:eastAsia="Cambria" w:hAnsi="Cambria" w:cs="Cambria" w:hint="default"/>
        <w:b w:val="0"/>
        <w:bCs w:val="0"/>
        <w:i w:val="0"/>
        <w:iCs w:val="0"/>
        <w:spacing w:val="0"/>
        <w:w w:val="92"/>
        <w:sz w:val="18"/>
        <w:szCs w:val="18"/>
        <w:lang w:val="en-US" w:eastAsia="en-US" w:bidi="ar-SA"/>
      </w:rPr>
    </w:lvl>
    <w:lvl w:ilvl="1" w:tplc="82AA2854">
      <w:numFmt w:val="bullet"/>
      <w:lvlText w:val="•"/>
      <w:lvlJc w:val="left"/>
      <w:pPr>
        <w:ind w:left="487" w:hanging="270"/>
      </w:pPr>
      <w:rPr>
        <w:rFonts w:hint="default"/>
        <w:lang w:val="en-US" w:eastAsia="en-US" w:bidi="ar-SA"/>
      </w:rPr>
    </w:lvl>
    <w:lvl w:ilvl="2" w:tplc="8FF2CA94">
      <w:numFmt w:val="bullet"/>
      <w:lvlText w:val="•"/>
      <w:lvlJc w:val="left"/>
      <w:pPr>
        <w:ind w:left="835" w:hanging="270"/>
      </w:pPr>
      <w:rPr>
        <w:rFonts w:hint="default"/>
        <w:lang w:val="en-US" w:eastAsia="en-US" w:bidi="ar-SA"/>
      </w:rPr>
    </w:lvl>
    <w:lvl w:ilvl="3" w:tplc="0CCE83E6">
      <w:numFmt w:val="bullet"/>
      <w:lvlText w:val="•"/>
      <w:lvlJc w:val="left"/>
      <w:pPr>
        <w:ind w:left="1183" w:hanging="270"/>
      </w:pPr>
      <w:rPr>
        <w:rFonts w:hint="default"/>
        <w:lang w:val="en-US" w:eastAsia="en-US" w:bidi="ar-SA"/>
      </w:rPr>
    </w:lvl>
    <w:lvl w:ilvl="4" w:tplc="6CD6E14C">
      <w:numFmt w:val="bullet"/>
      <w:lvlText w:val="•"/>
      <w:lvlJc w:val="left"/>
      <w:pPr>
        <w:ind w:left="1531" w:hanging="270"/>
      </w:pPr>
      <w:rPr>
        <w:rFonts w:hint="default"/>
        <w:lang w:val="en-US" w:eastAsia="en-US" w:bidi="ar-SA"/>
      </w:rPr>
    </w:lvl>
    <w:lvl w:ilvl="5" w:tplc="E3FCD696">
      <w:numFmt w:val="bullet"/>
      <w:lvlText w:val="•"/>
      <w:lvlJc w:val="left"/>
      <w:pPr>
        <w:ind w:left="1879" w:hanging="270"/>
      </w:pPr>
      <w:rPr>
        <w:rFonts w:hint="default"/>
        <w:lang w:val="en-US" w:eastAsia="en-US" w:bidi="ar-SA"/>
      </w:rPr>
    </w:lvl>
    <w:lvl w:ilvl="6" w:tplc="BCF2179E">
      <w:numFmt w:val="bullet"/>
      <w:lvlText w:val="•"/>
      <w:lvlJc w:val="left"/>
      <w:pPr>
        <w:ind w:left="2227" w:hanging="270"/>
      </w:pPr>
      <w:rPr>
        <w:rFonts w:hint="default"/>
        <w:lang w:val="en-US" w:eastAsia="en-US" w:bidi="ar-SA"/>
      </w:rPr>
    </w:lvl>
    <w:lvl w:ilvl="7" w:tplc="533EFDEE">
      <w:numFmt w:val="bullet"/>
      <w:lvlText w:val="•"/>
      <w:lvlJc w:val="left"/>
      <w:pPr>
        <w:ind w:left="2575" w:hanging="270"/>
      </w:pPr>
      <w:rPr>
        <w:rFonts w:hint="default"/>
        <w:lang w:val="en-US" w:eastAsia="en-US" w:bidi="ar-SA"/>
      </w:rPr>
    </w:lvl>
    <w:lvl w:ilvl="8" w:tplc="5204F75E">
      <w:numFmt w:val="bullet"/>
      <w:lvlText w:val="•"/>
      <w:lvlJc w:val="left"/>
      <w:pPr>
        <w:ind w:left="2923" w:hanging="270"/>
      </w:pPr>
      <w:rPr>
        <w:rFonts w:hint="default"/>
        <w:lang w:val="en-US" w:eastAsia="en-US" w:bidi="ar-SA"/>
      </w:rPr>
    </w:lvl>
  </w:abstractNum>
  <w:abstractNum w:abstractNumId="11" w15:restartNumberingAfterBreak="0">
    <w:nsid w:val="1F193C8B"/>
    <w:multiLevelType w:val="hybridMultilevel"/>
    <w:tmpl w:val="A0C06488"/>
    <w:lvl w:ilvl="0" w:tplc="1938CE22">
      <w:start w:val="1"/>
      <w:numFmt w:val="lowerRoman"/>
      <w:lvlText w:val="(%1)"/>
      <w:lvlJc w:val="left"/>
      <w:pPr>
        <w:ind w:left="569" w:hanging="230"/>
        <w:jc w:val="left"/>
      </w:pPr>
      <w:rPr>
        <w:rFonts w:ascii="Cambria" w:eastAsia="Cambria" w:hAnsi="Cambria" w:cs="Cambria" w:hint="default"/>
        <w:b w:val="0"/>
        <w:bCs w:val="0"/>
        <w:i w:val="0"/>
        <w:iCs w:val="0"/>
        <w:spacing w:val="0"/>
        <w:w w:val="95"/>
        <w:sz w:val="18"/>
        <w:szCs w:val="18"/>
        <w:lang w:val="en-US" w:eastAsia="en-US" w:bidi="ar-SA"/>
      </w:rPr>
    </w:lvl>
    <w:lvl w:ilvl="1" w:tplc="97701870">
      <w:numFmt w:val="bullet"/>
      <w:lvlText w:val="•"/>
      <w:lvlJc w:val="left"/>
      <w:pPr>
        <w:ind w:left="854" w:hanging="230"/>
      </w:pPr>
      <w:rPr>
        <w:rFonts w:hint="default"/>
        <w:lang w:val="en-US" w:eastAsia="en-US" w:bidi="ar-SA"/>
      </w:rPr>
    </w:lvl>
    <w:lvl w:ilvl="2" w:tplc="C0B8CCAE">
      <w:numFmt w:val="bullet"/>
      <w:lvlText w:val="•"/>
      <w:lvlJc w:val="left"/>
      <w:pPr>
        <w:ind w:left="1149" w:hanging="230"/>
      </w:pPr>
      <w:rPr>
        <w:rFonts w:hint="default"/>
        <w:lang w:val="en-US" w:eastAsia="en-US" w:bidi="ar-SA"/>
      </w:rPr>
    </w:lvl>
    <w:lvl w:ilvl="3" w:tplc="C3367ABA">
      <w:numFmt w:val="bullet"/>
      <w:lvlText w:val="•"/>
      <w:lvlJc w:val="left"/>
      <w:pPr>
        <w:ind w:left="1443" w:hanging="230"/>
      </w:pPr>
      <w:rPr>
        <w:rFonts w:hint="default"/>
        <w:lang w:val="en-US" w:eastAsia="en-US" w:bidi="ar-SA"/>
      </w:rPr>
    </w:lvl>
    <w:lvl w:ilvl="4" w:tplc="930A6226">
      <w:numFmt w:val="bullet"/>
      <w:lvlText w:val="•"/>
      <w:lvlJc w:val="left"/>
      <w:pPr>
        <w:ind w:left="1738" w:hanging="230"/>
      </w:pPr>
      <w:rPr>
        <w:rFonts w:hint="default"/>
        <w:lang w:val="en-US" w:eastAsia="en-US" w:bidi="ar-SA"/>
      </w:rPr>
    </w:lvl>
    <w:lvl w:ilvl="5" w:tplc="A29CB67C">
      <w:numFmt w:val="bullet"/>
      <w:lvlText w:val="•"/>
      <w:lvlJc w:val="left"/>
      <w:pPr>
        <w:ind w:left="2032" w:hanging="230"/>
      </w:pPr>
      <w:rPr>
        <w:rFonts w:hint="default"/>
        <w:lang w:val="en-US" w:eastAsia="en-US" w:bidi="ar-SA"/>
      </w:rPr>
    </w:lvl>
    <w:lvl w:ilvl="6" w:tplc="419EBF22">
      <w:numFmt w:val="bullet"/>
      <w:lvlText w:val="•"/>
      <w:lvlJc w:val="left"/>
      <w:pPr>
        <w:ind w:left="2327" w:hanging="230"/>
      </w:pPr>
      <w:rPr>
        <w:rFonts w:hint="default"/>
        <w:lang w:val="en-US" w:eastAsia="en-US" w:bidi="ar-SA"/>
      </w:rPr>
    </w:lvl>
    <w:lvl w:ilvl="7" w:tplc="F7180F70">
      <w:numFmt w:val="bullet"/>
      <w:lvlText w:val="•"/>
      <w:lvlJc w:val="left"/>
      <w:pPr>
        <w:ind w:left="2622" w:hanging="230"/>
      </w:pPr>
      <w:rPr>
        <w:rFonts w:hint="default"/>
        <w:lang w:val="en-US" w:eastAsia="en-US" w:bidi="ar-SA"/>
      </w:rPr>
    </w:lvl>
    <w:lvl w:ilvl="8" w:tplc="A83CAA66">
      <w:numFmt w:val="bullet"/>
      <w:lvlText w:val="•"/>
      <w:lvlJc w:val="left"/>
      <w:pPr>
        <w:ind w:left="2916" w:hanging="230"/>
      </w:pPr>
      <w:rPr>
        <w:rFonts w:hint="default"/>
        <w:lang w:val="en-US" w:eastAsia="en-US" w:bidi="ar-SA"/>
      </w:rPr>
    </w:lvl>
  </w:abstractNum>
  <w:abstractNum w:abstractNumId="12" w15:restartNumberingAfterBreak="0">
    <w:nsid w:val="1F3A34E7"/>
    <w:multiLevelType w:val="hybridMultilevel"/>
    <w:tmpl w:val="9B7C6DE6"/>
    <w:lvl w:ilvl="0" w:tplc="993895EA">
      <w:numFmt w:val="bullet"/>
      <w:lvlText w:val=""/>
      <w:lvlJc w:val="left"/>
      <w:pPr>
        <w:ind w:left="144" w:hanging="183"/>
      </w:pPr>
      <w:rPr>
        <w:rFonts w:ascii="Symbol" w:eastAsia="Symbol" w:hAnsi="Symbol" w:cs="Symbol" w:hint="default"/>
        <w:b w:val="0"/>
        <w:bCs w:val="0"/>
        <w:i w:val="0"/>
        <w:iCs w:val="0"/>
        <w:spacing w:val="0"/>
        <w:w w:val="100"/>
        <w:sz w:val="18"/>
        <w:szCs w:val="18"/>
        <w:lang w:val="en-US" w:eastAsia="en-US" w:bidi="ar-SA"/>
      </w:rPr>
    </w:lvl>
    <w:lvl w:ilvl="1" w:tplc="AA68D80C">
      <w:numFmt w:val="bullet"/>
      <w:lvlText w:val="•"/>
      <w:lvlJc w:val="left"/>
      <w:pPr>
        <w:ind w:left="488" w:hanging="183"/>
      </w:pPr>
      <w:rPr>
        <w:rFonts w:hint="default"/>
        <w:lang w:val="en-US" w:eastAsia="en-US" w:bidi="ar-SA"/>
      </w:rPr>
    </w:lvl>
    <w:lvl w:ilvl="2" w:tplc="027EF2CC">
      <w:numFmt w:val="bullet"/>
      <w:lvlText w:val="•"/>
      <w:lvlJc w:val="left"/>
      <w:pPr>
        <w:ind w:left="836" w:hanging="183"/>
      </w:pPr>
      <w:rPr>
        <w:rFonts w:hint="default"/>
        <w:lang w:val="en-US" w:eastAsia="en-US" w:bidi="ar-SA"/>
      </w:rPr>
    </w:lvl>
    <w:lvl w:ilvl="3" w:tplc="0F8E23FE">
      <w:numFmt w:val="bullet"/>
      <w:lvlText w:val="•"/>
      <w:lvlJc w:val="left"/>
      <w:pPr>
        <w:ind w:left="1185" w:hanging="183"/>
      </w:pPr>
      <w:rPr>
        <w:rFonts w:hint="default"/>
        <w:lang w:val="en-US" w:eastAsia="en-US" w:bidi="ar-SA"/>
      </w:rPr>
    </w:lvl>
    <w:lvl w:ilvl="4" w:tplc="1EE20D36">
      <w:numFmt w:val="bullet"/>
      <w:lvlText w:val="•"/>
      <w:lvlJc w:val="left"/>
      <w:pPr>
        <w:ind w:left="1533" w:hanging="183"/>
      </w:pPr>
      <w:rPr>
        <w:rFonts w:hint="default"/>
        <w:lang w:val="en-US" w:eastAsia="en-US" w:bidi="ar-SA"/>
      </w:rPr>
    </w:lvl>
    <w:lvl w:ilvl="5" w:tplc="54AE2E28">
      <w:numFmt w:val="bullet"/>
      <w:lvlText w:val="•"/>
      <w:lvlJc w:val="left"/>
      <w:pPr>
        <w:ind w:left="1882" w:hanging="183"/>
      </w:pPr>
      <w:rPr>
        <w:rFonts w:hint="default"/>
        <w:lang w:val="en-US" w:eastAsia="en-US" w:bidi="ar-SA"/>
      </w:rPr>
    </w:lvl>
    <w:lvl w:ilvl="6" w:tplc="3F2CEC64">
      <w:numFmt w:val="bullet"/>
      <w:lvlText w:val="•"/>
      <w:lvlJc w:val="left"/>
      <w:pPr>
        <w:ind w:left="2230" w:hanging="183"/>
      </w:pPr>
      <w:rPr>
        <w:rFonts w:hint="default"/>
        <w:lang w:val="en-US" w:eastAsia="en-US" w:bidi="ar-SA"/>
      </w:rPr>
    </w:lvl>
    <w:lvl w:ilvl="7" w:tplc="5A7A4F3E">
      <w:numFmt w:val="bullet"/>
      <w:lvlText w:val="•"/>
      <w:lvlJc w:val="left"/>
      <w:pPr>
        <w:ind w:left="2578" w:hanging="183"/>
      </w:pPr>
      <w:rPr>
        <w:rFonts w:hint="default"/>
        <w:lang w:val="en-US" w:eastAsia="en-US" w:bidi="ar-SA"/>
      </w:rPr>
    </w:lvl>
    <w:lvl w:ilvl="8" w:tplc="95C2D16C">
      <w:numFmt w:val="bullet"/>
      <w:lvlText w:val="•"/>
      <w:lvlJc w:val="left"/>
      <w:pPr>
        <w:ind w:left="2927" w:hanging="183"/>
      </w:pPr>
      <w:rPr>
        <w:rFonts w:hint="default"/>
        <w:lang w:val="en-US" w:eastAsia="en-US" w:bidi="ar-SA"/>
      </w:rPr>
    </w:lvl>
  </w:abstractNum>
  <w:abstractNum w:abstractNumId="13" w15:restartNumberingAfterBreak="0">
    <w:nsid w:val="1F7325D8"/>
    <w:multiLevelType w:val="hybridMultilevel"/>
    <w:tmpl w:val="ED5EF74E"/>
    <w:lvl w:ilvl="0" w:tplc="FDB4A2F8">
      <w:start w:val="1"/>
      <w:numFmt w:val="decimal"/>
      <w:lvlText w:val="%1."/>
      <w:lvlJc w:val="left"/>
      <w:pPr>
        <w:ind w:left="143" w:hanging="200"/>
        <w:jc w:val="left"/>
      </w:pPr>
      <w:rPr>
        <w:rFonts w:ascii="Cambria" w:eastAsia="Cambria" w:hAnsi="Cambria" w:cs="Cambria" w:hint="default"/>
        <w:b w:val="0"/>
        <w:bCs w:val="0"/>
        <w:i w:val="0"/>
        <w:iCs w:val="0"/>
        <w:spacing w:val="0"/>
        <w:w w:val="109"/>
        <w:sz w:val="18"/>
        <w:szCs w:val="18"/>
        <w:lang w:val="en-US" w:eastAsia="en-US" w:bidi="ar-SA"/>
      </w:rPr>
    </w:lvl>
    <w:lvl w:ilvl="1" w:tplc="73389FD6">
      <w:numFmt w:val="bullet"/>
      <w:lvlText w:val="•"/>
      <w:lvlJc w:val="left"/>
      <w:pPr>
        <w:ind w:left="488" w:hanging="200"/>
      </w:pPr>
      <w:rPr>
        <w:rFonts w:hint="default"/>
        <w:lang w:val="en-US" w:eastAsia="en-US" w:bidi="ar-SA"/>
      </w:rPr>
    </w:lvl>
    <w:lvl w:ilvl="2" w:tplc="77BCFC7E">
      <w:numFmt w:val="bullet"/>
      <w:lvlText w:val="•"/>
      <w:lvlJc w:val="left"/>
      <w:pPr>
        <w:ind w:left="836" w:hanging="200"/>
      </w:pPr>
      <w:rPr>
        <w:rFonts w:hint="default"/>
        <w:lang w:val="en-US" w:eastAsia="en-US" w:bidi="ar-SA"/>
      </w:rPr>
    </w:lvl>
    <w:lvl w:ilvl="3" w:tplc="1ADA8C8E">
      <w:numFmt w:val="bullet"/>
      <w:lvlText w:val="•"/>
      <w:lvlJc w:val="left"/>
      <w:pPr>
        <w:ind w:left="1185" w:hanging="200"/>
      </w:pPr>
      <w:rPr>
        <w:rFonts w:hint="default"/>
        <w:lang w:val="en-US" w:eastAsia="en-US" w:bidi="ar-SA"/>
      </w:rPr>
    </w:lvl>
    <w:lvl w:ilvl="4" w:tplc="9E247480">
      <w:numFmt w:val="bullet"/>
      <w:lvlText w:val="•"/>
      <w:lvlJc w:val="left"/>
      <w:pPr>
        <w:ind w:left="1533" w:hanging="200"/>
      </w:pPr>
      <w:rPr>
        <w:rFonts w:hint="default"/>
        <w:lang w:val="en-US" w:eastAsia="en-US" w:bidi="ar-SA"/>
      </w:rPr>
    </w:lvl>
    <w:lvl w:ilvl="5" w:tplc="C00ABE86">
      <w:numFmt w:val="bullet"/>
      <w:lvlText w:val="•"/>
      <w:lvlJc w:val="left"/>
      <w:pPr>
        <w:ind w:left="1881" w:hanging="200"/>
      </w:pPr>
      <w:rPr>
        <w:rFonts w:hint="default"/>
        <w:lang w:val="en-US" w:eastAsia="en-US" w:bidi="ar-SA"/>
      </w:rPr>
    </w:lvl>
    <w:lvl w:ilvl="6" w:tplc="98B6E5CC">
      <w:numFmt w:val="bullet"/>
      <w:lvlText w:val="•"/>
      <w:lvlJc w:val="left"/>
      <w:pPr>
        <w:ind w:left="2230" w:hanging="200"/>
      </w:pPr>
      <w:rPr>
        <w:rFonts w:hint="default"/>
        <w:lang w:val="en-US" w:eastAsia="en-US" w:bidi="ar-SA"/>
      </w:rPr>
    </w:lvl>
    <w:lvl w:ilvl="7" w:tplc="7688CBFE">
      <w:numFmt w:val="bullet"/>
      <w:lvlText w:val="•"/>
      <w:lvlJc w:val="left"/>
      <w:pPr>
        <w:ind w:left="2578" w:hanging="200"/>
      </w:pPr>
      <w:rPr>
        <w:rFonts w:hint="default"/>
        <w:lang w:val="en-US" w:eastAsia="en-US" w:bidi="ar-SA"/>
      </w:rPr>
    </w:lvl>
    <w:lvl w:ilvl="8" w:tplc="59EAE470">
      <w:numFmt w:val="bullet"/>
      <w:lvlText w:val="•"/>
      <w:lvlJc w:val="left"/>
      <w:pPr>
        <w:ind w:left="2927" w:hanging="200"/>
      </w:pPr>
      <w:rPr>
        <w:rFonts w:hint="default"/>
        <w:lang w:val="en-US" w:eastAsia="en-US" w:bidi="ar-SA"/>
      </w:rPr>
    </w:lvl>
  </w:abstractNum>
  <w:abstractNum w:abstractNumId="14" w15:restartNumberingAfterBreak="0">
    <w:nsid w:val="22D85FB3"/>
    <w:multiLevelType w:val="hybridMultilevel"/>
    <w:tmpl w:val="5A724A7E"/>
    <w:lvl w:ilvl="0" w:tplc="4EBE4FAE">
      <w:start w:val="1"/>
      <w:numFmt w:val="decimal"/>
      <w:lvlText w:val="(%1)"/>
      <w:lvlJc w:val="left"/>
      <w:pPr>
        <w:ind w:left="609" w:hanging="270"/>
        <w:jc w:val="left"/>
      </w:pPr>
      <w:rPr>
        <w:rFonts w:ascii="Cambria" w:eastAsia="Cambria" w:hAnsi="Cambria" w:cs="Cambria" w:hint="default"/>
        <w:b w:val="0"/>
        <w:bCs w:val="0"/>
        <w:i w:val="0"/>
        <w:iCs w:val="0"/>
        <w:spacing w:val="0"/>
        <w:w w:val="92"/>
        <w:sz w:val="18"/>
        <w:szCs w:val="18"/>
        <w:lang w:val="en-US" w:eastAsia="en-US" w:bidi="ar-SA"/>
      </w:rPr>
    </w:lvl>
    <w:lvl w:ilvl="1" w:tplc="2850F0D6">
      <w:start w:val="1"/>
      <w:numFmt w:val="lowerRoman"/>
      <w:lvlText w:val="(%2)"/>
      <w:lvlJc w:val="left"/>
      <w:pPr>
        <w:ind w:left="160" w:hanging="230"/>
        <w:jc w:val="left"/>
      </w:pPr>
      <w:rPr>
        <w:rFonts w:ascii="Cambria" w:eastAsia="Cambria" w:hAnsi="Cambria" w:cs="Cambria" w:hint="default"/>
        <w:b w:val="0"/>
        <w:bCs w:val="0"/>
        <w:i w:val="0"/>
        <w:iCs w:val="0"/>
        <w:spacing w:val="0"/>
        <w:w w:val="95"/>
        <w:sz w:val="18"/>
        <w:szCs w:val="18"/>
        <w:lang w:val="en-US" w:eastAsia="en-US" w:bidi="ar-SA"/>
      </w:rPr>
    </w:lvl>
    <w:lvl w:ilvl="2" w:tplc="E8FA6676">
      <w:numFmt w:val="bullet"/>
      <w:lvlText w:val="•"/>
      <w:lvlJc w:val="left"/>
      <w:pPr>
        <w:ind w:left="137" w:hanging="230"/>
      </w:pPr>
      <w:rPr>
        <w:rFonts w:hint="default"/>
        <w:lang w:val="en-US" w:eastAsia="en-US" w:bidi="ar-SA"/>
      </w:rPr>
    </w:lvl>
    <w:lvl w:ilvl="3" w:tplc="1CDEBC46">
      <w:numFmt w:val="bullet"/>
      <w:lvlText w:val="•"/>
      <w:lvlJc w:val="left"/>
      <w:pPr>
        <w:ind w:left="-326" w:hanging="230"/>
      </w:pPr>
      <w:rPr>
        <w:rFonts w:hint="default"/>
        <w:lang w:val="en-US" w:eastAsia="en-US" w:bidi="ar-SA"/>
      </w:rPr>
    </w:lvl>
    <w:lvl w:ilvl="4" w:tplc="7B7A93A4">
      <w:numFmt w:val="bullet"/>
      <w:lvlText w:val="•"/>
      <w:lvlJc w:val="left"/>
      <w:pPr>
        <w:ind w:left="-789" w:hanging="230"/>
      </w:pPr>
      <w:rPr>
        <w:rFonts w:hint="default"/>
        <w:lang w:val="en-US" w:eastAsia="en-US" w:bidi="ar-SA"/>
      </w:rPr>
    </w:lvl>
    <w:lvl w:ilvl="5" w:tplc="88B88426">
      <w:numFmt w:val="bullet"/>
      <w:lvlText w:val="•"/>
      <w:lvlJc w:val="left"/>
      <w:pPr>
        <w:ind w:left="-1252" w:hanging="230"/>
      </w:pPr>
      <w:rPr>
        <w:rFonts w:hint="default"/>
        <w:lang w:val="en-US" w:eastAsia="en-US" w:bidi="ar-SA"/>
      </w:rPr>
    </w:lvl>
    <w:lvl w:ilvl="6" w:tplc="289E77EE">
      <w:numFmt w:val="bullet"/>
      <w:lvlText w:val="•"/>
      <w:lvlJc w:val="left"/>
      <w:pPr>
        <w:ind w:left="-1715" w:hanging="230"/>
      </w:pPr>
      <w:rPr>
        <w:rFonts w:hint="default"/>
        <w:lang w:val="en-US" w:eastAsia="en-US" w:bidi="ar-SA"/>
      </w:rPr>
    </w:lvl>
    <w:lvl w:ilvl="7" w:tplc="6AFA603C">
      <w:numFmt w:val="bullet"/>
      <w:lvlText w:val="•"/>
      <w:lvlJc w:val="left"/>
      <w:pPr>
        <w:ind w:left="-2178" w:hanging="230"/>
      </w:pPr>
      <w:rPr>
        <w:rFonts w:hint="default"/>
        <w:lang w:val="en-US" w:eastAsia="en-US" w:bidi="ar-SA"/>
      </w:rPr>
    </w:lvl>
    <w:lvl w:ilvl="8" w:tplc="4E4AC4E0">
      <w:numFmt w:val="bullet"/>
      <w:lvlText w:val="•"/>
      <w:lvlJc w:val="left"/>
      <w:pPr>
        <w:ind w:left="-2641" w:hanging="230"/>
      </w:pPr>
      <w:rPr>
        <w:rFonts w:hint="default"/>
        <w:lang w:val="en-US" w:eastAsia="en-US" w:bidi="ar-SA"/>
      </w:rPr>
    </w:lvl>
  </w:abstractNum>
  <w:abstractNum w:abstractNumId="15" w15:restartNumberingAfterBreak="0">
    <w:nsid w:val="287C663C"/>
    <w:multiLevelType w:val="hybridMultilevel"/>
    <w:tmpl w:val="B0F2C230"/>
    <w:lvl w:ilvl="0" w:tplc="64B4E972">
      <w:start w:val="1"/>
      <w:numFmt w:val="decimal"/>
      <w:lvlText w:val="(%1)"/>
      <w:lvlJc w:val="left"/>
      <w:pPr>
        <w:ind w:left="160" w:hanging="270"/>
        <w:jc w:val="left"/>
      </w:pPr>
      <w:rPr>
        <w:rFonts w:ascii="Cambria" w:eastAsia="Cambria" w:hAnsi="Cambria" w:cs="Cambria" w:hint="default"/>
        <w:b w:val="0"/>
        <w:bCs w:val="0"/>
        <w:i w:val="0"/>
        <w:iCs w:val="0"/>
        <w:spacing w:val="0"/>
        <w:w w:val="92"/>
        <w:sz w:val="18"/>
        <w:szCs w:val="18"/>
        <w:lang w:val="en-US" w:eastAsia="en-US" w:bidi="ar-SA"/>
      </w:rPr>
    </w:lvl>
    <w:lvl w:ilvl="1" w:tplc="6070207A">
      <w:numFmt w:val="bullet"/>
      <w:lvlText w:val="•"/>
      <w:lvlJc w:val="left"/>
      <w:pPr>
        <w:ind w:left="507" w:hanging="270"/>
      </w:pPr>
      <w:rPr>
        <w:rFonts w:hint="default"/>
        <w:lang w:val="en-US" w:eastAsia="en-US" w:bidi="ar-SA"/>
      </w:rPr>
    </w:lvl>
    <w:lvl w:ilvl="2" w:tplc="2A125EF8">
      <w:numFmt w:val="bullet"/>
      <w:lvlText w:val="•"/>
      <w:lvlJc w:val="left"/>
      <w:pPr>
        <w:ind w:left="855" w:hanging="270"/>
      </w:pPr>
      <w:rPr>
        <w:rFonts w:hint="default"/>
        <w:lang w:val="en-US" w:eastAsia="en-US" w:bidi="ar-SA"/>
      </w:rPr>
    </w:lvl>
    <w:lvl w:ilvl="3" w:tplc="DAB4C102">
      <w:numFmt w:val="bullet"/>
      <w:lvlText w:val="•"/>
      <w:lvlJc w:val="left"/>
      <w:pPr>
        <w:ind w:left="1203" w:hanging="270"/>
      </w:pPr>
      <w:rPr>
        <w:rFonts w:hint="default"/>
        <w:lang w:val="en-US" w:eastAsia="en-US" w:bidi="ar-SA"/>
      </w:rPr>
    </w:lvl>
    <w:lvl w:ilvl="4" w:tplc="FF8C4284">
      <w:numFmt w:val="bullet"/>
      <w:lvlText w:val="•"/>
      <w:lvlJc w:val="left"/>
      <w:pPr>
        <w:ind w:left="1551" w:hanging="270"/>
      </w:pPr>
      <w:rPr>
        <w:rFonts w:hint="default"/>
        <w:lang w:val="en-US" w:eastAsia="en-US" w:bidi="ar-SA"/>
      </w:rPr>
    </w:lvl>
    <w:lvl w:ilvl="5" w:tplc="30269E3C">
      <w:numFmt w:val="bullet"/>
      <w:lvlText w:val="•"/>
      <w:lvlJc w:val="left"/>
      <w:pPr>
        <w:ind w:left="1899" w:hanging="270"/>
      </w:pPr>
      <w:rPr>
        <w:rFonts w:hint="default"/>
        <w:lang w:val="en-US" w:eastAsia="en-US" w:bidi="ar-SA"/>
      </w:rPr>
    </w:lvl>
    <w:lvl w:ilvl="6" w:tplc="041AB136">
      <w:numFmt w:val="bullet"/>
      <w:lvlText w:val="•"/>
      <w:lvlJc w:val="left"/>
      <w:pPr>
        <w:ind w:left="2247" w:hanging="270"/>
      </w:pPr>
      <w:rPr>
        <w:rFonts w:hint="default"/>
        <w:lang w:val="en-US" w:eastAsia="en-US" w:bidi="ar-SA"/>
      </w:rPr>
    </w:lvl>
    <w:lvl w:ilvl="7" w:tplc="080E47A4">
      <w:numFmt w:val="bullet"/>
      <w:lvlText w:val="•"/>
      <w:lvlJc w:val="left"/>
      <w:pPr>
        <w:ind w:left="2595" w:hanging="270"/>
      </w:pPr>
      <w:rPr>
        <w:rFonts w:hint="default"/>
        <w:lang w:val="en-US" w:eastAsia="en-US" w:bidi="ar-SA"/>
      </w:rPr>
    </w:lvl>
    <w:lvl w:ilvl="8" w:tplc="BD308406">
      <w:numFmt w:val="bullet"/>
      <w:lvlText w:val="•"/>
      <w:lvlJc w:val="left"/>
      <w:pPr>
        <w:ind w:left="2943" w:hanging="270"/>
      </w:pPr>
      <w:rPr>
        <w:rFonts w:hint="default"/>
        <w:lang w:val="en-US" w:eastAsia="en-US" w:bidi="ar-SA"/>
      </w:rPr>
    </w:lvl>
  </w:abstractNum>
  <w:abstractNum w:abstractNumId="16" w15:restartNumberingAfterBreak="0">
    <w:nsid w:val="28C30131"/>
    <w:multiLevelType w:val="hybridMultilevel"/>
    <w:tmpl w:val="A5F066A6"/>
    <w:lvl w:ilvl="0" w:tplc="8582533C">
      <w:numFmt w:val="bullet"/>
      <w:lvlText w:val=""/>
      <w:lvlJc w:val="left"/>
      <w:pPr>
        <w:ind w:left="160" w:hanging="183"/>
      </w:pPr>
      <w:rPr>
        <w:rFonts w:ascii="Symbol" w:eastAsia="Symbol" w:hAnsi="Symbol" w:cs="Symbol" w:hint="default"/>
        <w:b w:val="0"/>
        <w:bCs w:val="0"/>
        <w:i w:val="0"/>
        <w:iCs w:val="0"/>
        <w:spacing w:val="0"/>
        <w:w w:val="100"/>
        <w:sz w:val="18"/>
        <w:szCs w:val="18"/>
        <w:lang w:val="en-US" w:eastAsia="en-US" w:bidi="ar-SA"/>
      </w:rPr>
    </w:lvl>
    <w:lvl w:ilvl="1" w:tplc="8C88BD70">
      <w:numFmt w:val="bullet"/>
      <w:lvlText w:val="•"/>
      <w:lvlJc w:val="left"/>
      <w:pPr>
        <w:ind w:left="495" w:hanging="183"/>
      </w:pPr>
      <w:rPr>
        <w:rFonts w:hint="default"/>
        <w:lang w:val="en-US" w:eastAsia="en-US" w:bidi="ar-SA"/>
      </w:rPr>
    </w:lvl>
    <w:lvl w:ilvl="2" w:tplc="2A52D1D4">
      <w:numFmt w:val="bullet"/>
      <w:lvlText w:val="•"/>
      <w:lvlJc w:val="left"/>
      <w:pPr>
        <w:ind w:left="831" w:hanging="183"/>
      </w:pPr>
      <w:rPr>
        <w:rFonts w:hint="default"/>
        <w:lang w:val="en-US" w:eastAsia="en-US" w:bidi="ar-SA"/>
      </w:rPr>
    </w:lvl>
    <w:lvl w:ilvl="3" w:tplc="3A8C9794">
      <w:numFmt w:val="bullet"/>
      <w:lvlText w:val="•"/>
      <w:lvlJc w:val="left"/>
      <w:pPr>
        <w:ind w:left="1166" w:hanging="183"/>
      </w:pPr>
      <w:rPr>
        <w:rFonts w:hint="default"/>
        <w:lang w:val="en-US" w:eastAsia="en-US" w:bidi="ar-SA"/>
      </w:rPr>
    </w:lvl>
    <w:lvl w:ilvl="4" w:tplc="9D6E2308">
      <w:numFmt w:val="bullet"/>
      <w:lvlText w:val="•"/>
      <w:lvlJc w:val="left"/>
      <w:pPr>
        <w:ind w:left="1502" w:hanging="183"/>
      </w:pPr>
      <w:rPr>
        <w:rFonts w:hint="default"/>
        <w:lang w:val="en-US" w:eastAsia="en-US" w:bidi="ar-SA"/>
      </w:rPr>
    </w:lvl>
    <w:lvl w:ilvl="5" w:tplc="729A0738">
      <w:numFmt w:val="bullet"/>
      <w:lvlText w:val="•"/>
      <w:lvlJc w:val="left"/>
      <w:pPr>
        <w:ind w:left="1837" w:hanging="183"/>
      </w:pPr>
      <w:rPr>
        <w:rFonts w:hint="default"/>
        <w:lang w:val="en-US" w:eastAsia="en-US" w:bidi="ar-SA"/>
      </w:rPr>
    </w:lvl>
    <w:lvl w:ilvl="6" w:tplc="4D4A6450">
      <w:numFmt w:val="bullet"/>
      <w:lvlText w:val="•"/>
      <w:lvlJc w:val="left"/>
      <w:pPr>
        <w:ind w:left="2173" w:hanging="183"/>
      </w:pPr>
      <w:rPr>
        <w:rFonts w:hint="default"/>
        <w:lang w:val="en-US" w:eastAsia="en-US" w:bidi="ar-SA"/>
      </w:rPr>
    </w:lvl>
    <w:lvl w:ilvl="7" w:tplc="DBE22ADA">
      <w:numFmt w:val="bullet"/>
      <w:lvlText w:val="•"/>
      <w:lvlJc w:val="left"/>
      <w:pPr>
        <w:ind w:left="2509" w:hanging="183"/>
      </w:pPr>
      <w:rPr>
        <w:rFonts w:hint="default"/>
        <w:lang w:val="en-US" w:eastAsia="en-US" w:bidi="ar-SA"/>
      </w:rPr>
    </w:lvl>
    <w:lvl w:ilvl="8" w:tplc="3F8AF8D2">
      <w:numFmt w:val="bullet"/>
      <w:lvlText w:val="•"/>
      <w:lvlJc w:val="left"/>
      <w:pPr>
        <w:ind w:left="2844" w:hanging="183"/>
      </w:pPr>
      <w:rPr>
        <w:rFonts w:hint="default"/>
        <w:lang w:val="en-US" w:eastAsia="en-US" w:bidi="ar-SA"/>
      </w:rPr>
    </w:lvl>
  </w:abstractNum>
  <w:abstractNum w:abstractNumId="17" w15:restartNumberingAfterBreak="0">
    <w:nsid w:val="28FF66CF"/>
    <w:multiLevelType w:val="hybridMultilevel"/>
    <w:tmpl w:val="B6E86216"/>
    <w:lvl w:ilvl="0" w:tplc="8494A27A">
      <w:numFmt w:val="bullet"/>
      <w:lvlText w:val=""/>
      <w:lvlJc w:val="left"/>
      <w:pPr>
        <w:ind w:left="144" w:hanging="183"/>
      </w:pPr>
      <w:rPr>
        <w:rFonts w:ascii="Symbol" w:eastAsia="Symbol" w:hAnsi="Symbol" w:cs="Symbol" w:hint="default"/>
        <w:b w:val="0"/>
        <w:bCs w:val="0"/>
        <w:i w:val="0"/>
        <w:iCs w:val="0"/>
        <w:spacing w:val="0"/>
        <w:w w:val="100"/>
        <w:sz w:val="18"/>
        <w:szCs w:val="18"/>
        <w:lang w:val="en-US" w:eastAsia="en-US" w:bidi="ar-SA"/>
      </w:rPr>
    </w:lvl>
    <w:lvl w:ilvl="1" w:tplc="997A7E5E">
      <w:numFmt w:val="bullet"/>
      <w:lvlText w:val="•"/>
      <w:lvlJc w:val="left"/>
      <w:pPr>
        <w:ind w:left="488" w:hanging="183"/>
      </w:pPr>
      <w:rPr>
        <w:rFonts w:hint="default"/>
        <w:lang w:val="en-US" w:eastAsia="en-US" w:bidi="ar-SA"/>
      </w:rPr>
    </w:lvl>
    <w:lvl w:ilvl="2" w:tplc="5C966C6E">
      <w:numFmt w:val="bullet"/>
      <w:lvlText w:val="•"/>
      <w:lvlJc w:val="left"/>
      <w:pPr>
        <w:ind w:left="836" w:hanging="183"/>
      </w:pPr>
      <w:rPr>
        <w:rFonts w:hint="default"/>
        <w:lang w:val="en-US" w:eastAsia="en-US" w:bidi="ar-SA"/>
      </w:rPr>
    </w:lvl>
    <w:lvl w:ilvl="3" w:tplc="2F0058E6">
      <w:numFmt w:val="bullet"/>
      <w:lvlText w:val="•"/>
      <w:lvlJc w:val="left"/>
      <w:pPr>
        <w:ind w:left="1185" w:hanging="183"/>
      </w:pPr>
      <w:rPr>
        <w:rFonts w:hint="default"/>
        <w:lang w:val="en-US" w:eastAsia="en-US" w:bidi="ar-SA"/>
      </w:rPr>
    </w:lvl>
    <w:lvl w:ilvl="4" w:tplc="C50E6222">
      <w:numFmt w:val="bullet"/>
      <w:lvlText w:val="•"/>
      <w:lvlJc w:val="left"/>
      <w:pPr>
        <w:ind w:left="1533" w:hanging="183"/>
      </w:pPr>
      <w:rPr>
        <w:rFonts w:hint="default"/>
        <w:lang w:val="en-US" w:eastAsia="en-US" w:bidi="ar-SA"/>
      </w:rPr>
    </w:lvl>
    <w:lvl w:ilvl="5" w:tplc="4B60F73A">
      <w:numFmt w:val="bullet"/>
      <w:lvlText w:val="•"/>
      <w:lvlJc w:val="left"/>
      <w:pPr>
        <w:ind w:left="1882" w:hanging="183"/>
      </w:pPr>
      <w:rPr>
        <w:rFonts w:hint="default"/>
        <w:lang w:val="en-US" w:eastAsia="en-US" w:bidi="ar-SA"/>
      </w:rPr>
    </w:lvl>
    <w:lvl w:ilvl="6" w:tplc="13E0C750">
      <w:numFmt w:val="bullet"/>
      <w:lvlText w:val="•"/>
      <w:lvlJc w:val="left"/>
      <w:pPr>
        <w:ind w:left="2230" w:hanging="183"/>
      </w:pPr>
      <w:rPr>
        <w:rFonts w:hint="default"/>
        <w:lang w:val="en-US" w:eastAsia="en-US" w:bidi="ar-SA"/>
      </w:rPr>
    </w:lvl>
    <w:lvl w:ilvl="7" w:tplc="BB0422A8">
      <w:numFmt w:val="bullet"/>
      <w:lvlText w:val="•"/>
      <w:lvlJc w:val="left"/>
      <w:pPr>
        <w:ind w:left="2579" w:hanging="183"/>
      </w:pPr>
      <w:rPr>
        <w:rFonts w:hint="default"/>
        <w:lang w:val="en-US" w:eastAsia="en-US" w:bidi="ar-SA"/>
      </w:rPr>
    </w:lvl>
    <w:lvl w:ilvl="8" w:tplc="CD20BA04">
      <w:numFmt w:val="bullet"/>
      <w:lvlText w:val="•"/>
      <w:lvlJc w:val="left"/>
      <w:pPr>
        <w:ind w:left="2927" w:hanging="183"/>
      </w:pPr>
      <w:rPr>
        <w:rFonts w:hint="default"/>
        <w:lang w:val="en-US" w:eastAsia="en-US" w:bidi="ar-SA"/>
      </w:rPr>
    </w:lvl>
  </w:abstractNum>
  <w:abstractNum w:abstractNumId="18" w15:restartNumberingAfterBreak="0">
    <w:nsid w:val="297C3939"/>
    <w:multiLevelType w:val="hybridMultilevel"/>
    <w:tmpl w:val="FFF064A6"/>
    <w:lvl w:ilvl="0" w:tplc="BC6AA722">
      <w:start w:val="1"/>
      <w:numFmt w:val="decimal"/>
      <w:lvlText w:val="(%1)"/>
      <w:lvlJc w:val="left"/>
      <w:pPr>
        <w:ind w:left="594" w:hanging="270"/>
        <w:jc w:val="left"/>
      </w:pPr>
      <w:rPr>
        <w:rFonts w:ascii="Cambria" w:eastAsia="Cambria" w:hAnsi="Cambria" w:cs="Cambria" w:hint="default"/>
        <w:b w:val="0"/>
        <w:bCs w:val="0"/>
        <w:i w:val="0"/>
        <w:iCs w:val="0"/>
        <w:spacing w:val="0"/>
        <w:w w:val="92"/>
        <w:sz w:val="18"/>
        <w:szCs w:val="18"/>
        <w:lang w:val="en-US" w:eastAsia="en-US" w:bidi="ar-SA"/>
      </w:rPr>
    </w:lvl>
    <w:lvl w:ilvl="1" w:tplc="73B2EDDE">
      <w:numFmt w:val="bullet"/>
      <w:lvlText w:val="•"/>
      <w:lvlJc w:val="left"/>
      <w:pPr>
        <w:ind w:left="887" w:hanging="270"/>
      </w:pPr>
      <w:rPr>
        <w:rFonts w:hint="default"/>
        <w:lang w:val="en-US" w:eastAsia="en-US" w:bidi="ar-SA"/>
      </w:rPr>
    </w:lvl>
    <w:lvl w:ilvl="2" w:tplc="019E54D6">
      <w:numFmt w:val="bullet"/>
      <w:lvlText w:val="•"/>
      <w:lvlJc w:val="left"/>
      <w:pPr>
        <w:ind w:left="1174" w:hanging="270"/>
      </w:pPr>
      <w:rPr>
        <w:rFonts w:hint="default"/>
        <w:lang w:val="en-US" w:eastAsia="en-US" w:bidi="ar-SA"/>
      </w:rPr>
    </w:lvl>
    <w:lvl w:ilvl="3" w:tplc="2A78BDFA">
      <w:numFmt w:val="bullet"/>
      <w:lvlText w:val="•"/>
      <w:lvlJc w:val="left"/>
      <w:pPr>
        <w:ind w:left="1461" w:hanging="270"/>
      </w:pPr>
      <w:rPr>
        <w:rFonts w:hint="default"/>
        <w:lang w:val="en-US" w:eastAsia="en-US" w:bidi="ar-SA"/>
      </w:rPr>
    </w:lvl>
    <w:lvl w:ilvl="4" w:tplc="D1288C3C">
      <w:numFmt w:val="bullet"/>
      <w:lvlText w:val="•"/>
      <w:lvlJc w:val="left"/>
      <w:pPr>
        <w:ind w:left="1748" w:hanging="270"/>
      </w:pPr>
      <w:rPr>
        <w:rFonts w:hint="default"/>
        <w:lang w:val="en-US" w:eastAsia="en-US" w:bidi="ar-SA"/>
      </w:rPr>
    </w:lvl>
    <w:lvl w:ilvl="5" w:tplc="609A60FE">
      <w:numFmt w:val="bullet"/>
      <w:lvlText w:val="•"/>
      <w:lvlJc w:val="left"/>
      <w:pPr>
        <w:ind w:left="2035" w:hanging="270"/>
      </w:pPr>
      <w:rPr>
        <w:rFonts w:hint="default"/>
        <w:lang w:val="en-US" w:eastAsia="en-US" w:bidi="ar-SA"/>
      </w:rPr>
    </w:lvl>
    <w:lvl w:ilvl="6" w:tplc="7A64B80A">
      <w:numFmt w:val="bullet"/>
      <w:lvlText w:val="•"/>
      <w:lvlJc w:val="left"/>
      <w:pPr>
        <w:ind w:left="2322" w:hanging="270"/>
      </w:pPr>
      <w:rPr>
        <w:rFonts w:hint="default"/>
        <w:lang w:val="en-US" w:eastAsia="en-US" w:bidi="ar-SA"/>
      </w:rPr>
    </w:lvl>
    <w:lvl w:ilvl="7" w:tplc="E1FAD6AC">
      <w:numFmt w:val="bullet"/>
      <w:lvlText w:val="•"/>
      <w:lvlJc w:val="left"/>
      <w:pPr>
        <w:ind w:left="2609" w:hanging="270"/>
      </w:pPr>
      <w:rPr>
        <w:rFonts w:hint="default"/>
        <w:lang w:val="en-US" w:eastAsia="en-US" w:bidi="ar-SA"/>
      </w:rPr>
    </w:lvl>
    <w:lvl w:ilvl="8" w:tplc="2E5844A6">
      <w:numFmt w:val="bullet"/>
      <w:lvlText w:val="•"/>
      <w:lvlJc w:val="left"/>
      <w:pPr>
        <w:ind w:left="2896" w:hanging="270"/>
      </w:pPr>
      <w:rPr>
        <w:rFonts w:hint="default"/>
        <w:lang w:val="en-US" w:eastAsia="en-US" w:bidi="ar-SA"/>
      </w:rPr>
    </w:lvl>
  </w:abstractNum>
  <w:abstractNum w:abstractNumId="19" w15:restartNumberingAfterBreak="0">
    <w:nsid w:val="2BE51C3E"/>
    <w:multiLevelType w:val="hybridMultilevel"/>
    <w:tmpl w:val="79B0E210"/>
    <w:lvl w:ilvl="0" w:tplc="239EE9C0">
      <w:start w:val="1"/>
      <w:numFmt w:val="lowerLetter"/>
      <w:lvlText w:val="(%1)"/>
      <w:lvlJc w:val="left"/>
      <w:pPr>
        <w:ind w:left="160" w:hanging="260"/>
        <w:jc w:val="left"/>
      </w:pPr>
      <w:rPr>
        <w:rFonts w:ascii="Cambria" w:eastAsia="Cambria" w:hAnsi="Cambria" w:cs="Cambria" w:hint="default"/>
        <w:b w:val="0"/>
        <w:bCs w:val="0"/>
        <w:i w:val="0"/>
        <w:iCs w:val="0"/>
        <w:spacing w:val="0"/>
        <w:w w:val="93"/>
        <w:sz w:val="18"/>
        <w:szCs w:val="18"/>
        <w:lang w:val="en-US" w:eastAsia="en-US" w:bidi="ar-SA"/>
      </w:rPr>
    </w:lvl>
    <w:lvl w:ilvl="1" w:tplc="29504218">
      <w:numFmt w:val="bullet"/>
      <w:lvlText w:val="•"/>
      <w:lvlJc w:val="left"/>
      <w:pPr>
        <w:ind w:left="495" w:hanging="260"/>
      </w:pPr>
      <w:rPr>
        <w:rFonts w:hint="default"/>
        <w:lang w:val="en-US" w:eastAsia="en-US" w:bidi="ar-SA"/>
      </w:rPr>
    </w:lvl>
    <w:lvl w:ilvl="2" w:tplc="08E0E964">
      <w:numFmt w:val="bullet"/>
      <w:lvlText w:val="•"/>
      <w:lvlJc w:val="left"/>
      <w:pPr>
        <w:ind w:left="831" w:hanging="260"/>
      </w:pPr>
      <w:rPr>
        <w:rFonts w:hint="default"/>
        <w:lang w:val="en-US" w:eastAsia="en-US" w:bidi="ar-SA"/>
      </w:rPr>
    </w:lvl>
    <w:lvl w:ilvl="3" w:tplc="4A74C4CE">
      <w:numFmt w:val="bullet"/>
      <w:lvlText w:val="•"/>
      <w:lvlJc w:val="left"/>
      <w:pPr>
        <w:ind w:left="1166" w:hanging="260"/>
      </w:pPr>
      <w:rPr>
        <w:rFonts w:hint="default"/>
        <w:lang w:val="en-US" w:eastAsia="en-US" w:bidi="ar-SA"/>
      </w:rPr>
    </w:lvl>
    <w:lvl w:ilvl="4" w:tplc="BA9474FE">
      <w:numFmt w:val="bullet"/>
      <w:lvlText w:val="•"/>
      <w:lvlJc w:val="left"/>
      <w:pPr>
        <w:ind w:left="1502" w:hanging="260"/>
      </w:pPr>
      <w:rPr>
        <w:rFonts w:hint="default"/>
        <w:lang w:val="en-US" w:eastAsia="en-US" w:bidi="ar-SA"/>
      </w:rPr>
    </w:lvl>
    <w:lvl w:ilvl="5" w:tplc="94949C4A">
      <w:numFmt w:val="bullet"/>
      <w:lvlText w:val="•"/>
      <w:lvlJc w:val="left"/>
      <w:pPr>
        <w:ind w:left="1837" w:hanging="260"/>
      </w:pPr>
      <w:rPr>
        <w:rFonts w:hint="default"/>
        <w:lang w:val="en-US" w:eastAsia="en-US" w:bidi="ar-SA"/>
      </w:rPr>
    </w:lvl>
    <w:lvl w:ilvl="6" w:tplc="48EE57C0">
      <w:numFmt w:val="bullet"/>
      <w:lvlText w:val="•"/>
      <w:lvlJc w:val="left"/>
      <w:pPr>
        <w:ind w:left="2173" w:hanging="260"/>
      </w:pPr>
      <w:rPr>
        <w:rFonts w:hint="default"/>
        <w:lang w:val="en-US" w:eastAsia="en-US" w:bidi="ar-SA"/>
      </w:rPr>
    </w:lvl>
    <w:lvl w:ilvl="7" w:tplc="B16C04EE">
      <w:numFmt w:val="bullet"/>
      <w:lvlText w:val="•"/>
      <w:lvlJc w:val="left"/>
      <w:pPr>
        <w:ind w:left="2508" w:hanging="260"/>
      </w:pPr>
      <w:rPr>
        <w:rFonts w:hint="default"/>
        <w:lang w:val="en-US" w:eastAsia="en-US" w:bidi="ar-SA"/>
      </w:rPr>
    </w:lvl>
    <w:lvl w:ilvl="8" w:tplc="5614B50C">
      <w:numFmt w:val="bullet"/>
      <w:lvlText w:val="•"/>
      <w:lvlJc w:val="left"/>
      <w:pPr>
        <w:ind w:left="2844" w:hanging="260"/>
      </w:pPr>
      <w:rPr>
        <w:rFonts w:hint="default"/>
        <w:lang w:val="en-US" w:eastAsia="en-US" w:bidi="ar-SA"/>
      </w:rPr>
    </w:lvl>
  </w:abstractNum>
  <w:abstractNum w:abstractNumId="20" w15:restartNumberingAfterBreak="0">
    <w:nsid w:val="2C5C7085"/>
    <w:multiLevelType w:val="hybridMultilevel"/>
    <w:tmpl w:val="E77C3A4E"/>
    <w:lvl w:ilvl="0" w:tplc="27B6C30E">
      <w:start w:val="1"/>
      <w:numFmt w:val="decimal"/>
      <w:lvlText w:val="(%1)"/>
      <w:lvlJc w:val="left"/>
      <w:pPr>
        <w:ind w:left="609" w:hanging="270"/>
        <w:jc w:val="left"/>
      </w:pPr>
      <w:rPr>
        <w:rFonts w:ascii="Cambria" w:eastAsia="Cambria" w:hAnsi="Cambria" w:cs="Cambria" w:hint="default"/>
        <w:b w:val="0"/>
        <w:bCs w:val="0"/>
        <w:i w:val="0"/>
        <w:iCs w:val="0"/>
        <w:spacing w:val="0"/>
        <w:w w:val="92"/>
        <w:sz w:val="18"/>
        <w:szCs w:val="18"/>
        <w:lang w:val="en-US" w:eastAsia="en-US" w:bidi="ar-SA"/>
      </w:rPr>
    </w:lvl>
    <w:lvl w:ilvl="1" w:tplc="853CB51A">
      <w:numFmt w:val="bullet"/>
      <w:lvlText w:val="•"/>
      <w:lvlJc w:val="left"/>
      <w:pPr>
        <w:ind w:left="891" w:hanging="270"/>
      </w:pPr>
      <w:rPr>
        <w:rFonts w:hint="default"/>
        <w:lang w:val="en-US" w:eastAsia="en-US" w:bidi="ar-SA"/>
      </w:rPr>
    </w:lvl>
    <w:lvl w:ilvl="2" w:tplc="2E96B366">
      <w:numFmt w:val="bullet"/>
      <w:lvlText w:val="•"/>
      <w:lvlJc w:val="left"/>
      <w:pPr>
        <w:ind w:left="1183" w:hanging="270"/>
      </w:pPr>
      <w:rPr>
        <w:rFonts w:hint="default"/>
        <w:lang w:val="en-US" w:eastAsia="en-US" w:bidi="ar-SA"/>
      </w:rPr>
    </w:lvl>
    <w:lvl w:ilvl="3" w:tplc="CFAA3546">
      <w:numFmt w:val="bullet"/>
      <w:lvlText w:val="•"/>
      <w:lvlJc w:val="left"/>
      <w:pPr>
        <w:ind w:left="1474" w:hanging="270"/>
      </w:pPr>
      <w:rPr>
        <w:rFonts w:hint="default"/>
        <w:lang w:val="en-US" w:eastAsia="en-US" w:bidi="ar-SA"/>
      </w:rPr>
    </w:lvl>
    <w:lvl w:ilvl="4" w:tplc="10D64412">
      <w:numFmt w:val="bullet"/>
      <w:lvlText w:val="•"/>
      <w:lvlJc w:val="left"/>
      <w:pPr>
        <w:ind w:left="1766" w:hanging="270"/>
      </w:pPr>
      <w:rPr>
        <w:rFonts w:hint="default"/>
        <w:lang w:val="en-US" w:eastAsia="en-US" w:bidi="ar-SA"/>
      </w:rPr>
    </w:lvl>
    <w:lvl w:ilvl="5" w:tplc="C9A8E412">
      <w:numFmt w:val="bullet"/>
      <w:lvlText w:val="•"/>
      <w:lvlJc w:val="left"/>
      <w:pPr>
        <w:ind w:left="2058" w:hanging="270"/>
      </w:pPr>
      <w:rPr>
        <w:rFonts w:hint="default"/>
        <w:lang w:val="en-US" w:eastAsia="en-US" w:bidi="ar-SA"/>
      </w:rPr>
    </w:lvl>
    <w:lvl w:ilvl="6" w:tplc="3A6E2188">
      <w:numFmt w:val="bullet"/>
      <w:lvlText w:val="•"/>
      <w:lvlJc w:val="left"/>
      <w:pPr>
        <w:ind w:left="2349" w:hanging="270"/>
      </w:pPr>
      <w:rPr>
        <w:rFonts w:hint="default"/>
        <w:lang w:val="en-US" w:eastAsia="en-US" w:bidi="ar-SA"/>
      </w:rPr>
    </w:lvl>
    <w:lvl w:ilvl="7" w:tplc="E1FACE94">
      <w:numFmt w:val="bullet"/>
      <w:lvlText w:val="•"/>
      <w:lvlJc w:val="left"/>
      <w:pPr>
        <w:ind w:left="2641" w:hanging="270"/>
      </w:pPr>
      <w:rPr>
        <w:rFonts w:hint="default"/>
        <w:lang w:val="en-US" w:eastAsia="en-US" w:bidi="ar-SA"/>
      </w:rPr>
    </w:lvl>
    <w:lvl w:ilvl="8" w:tplc="9A10C590">
      <w:numFmt w:val="bullet"/>
      <w:lvlText w:val="•"/>
      <w:lvlJc w:val="left"/>
      <w:pPr>
        <w:ind w:left="2933" w:hanging="270"/>
      </w:pPr>
      <w:rPr>
        <w:rFonts w:hint="default"/>
        <w:lang w:val="en-US" w:eastAsia="en-US" w:bidi="ar-SA"/>
      </w:rPr>
    </w:lvl>
  </w:abstractNum>
  <w:abstractNum w:abstractNumId="21" w15:restartNumberingAfterBreak="0">
    <w:nsid w:val="2CE1755B"/>
    <w:multiLevelType w:val="hybridMultilevel"/>
    <w:tmpl w:val="E7E61412"/>
    <w:lvl w:ilvl="0" w:tplc="56B2636E">
      <w:start w:val="1"/>
      <w:numFmt w:val="decimal"/>
      <w:lvlText w:val="%1."/>
      <w:lvlJc w:val="left"/>
      <w:pPr>
        <w:ind w:left="138" w:hanging="200"/>
        <w:jc w:val="left"/>
      </w:pPr>
      <w:rPr>
        <w:rFonts w:ascii="Cambria" w:eastAsia="Cambria" w:hAnsi="Cambria" w:cs="Cambria" w:hint="default"/>
        <w:b w:val="0"/>
        <w:bCs w:val="0"/>
        <w:i w:val="0"/>
        <w:iCs w:val="0"/>
        <w:spacing w:val="0"/>
        <w:w w:val="109"/>
        <w:sz w:val="18"/>
        <w:szCs w:val="18"/>
        <w:lang w:val="en-US" w:eastAsia="en-US" w:bidi="ar-SA"/>
      </w:rPr>
    </w:lvl>
    <w:lvl w:ilvl="1" w:tplc="0F2089BC">
      <w:numFmt w:val="bullet"/>
      <w:lvlText w:val="•"/>
      <w:lvlJc w:val="left"/>
      <w:pPr>
        <w:ind w:left="474" w:hanging="200"/>
      </w:pPr>
      <w:rPr>
        <w:rFonts w:hint="default"/>
        <w:lang w:val="en-US" w:eastAsia="en-US" w:bidi="ar-SA"/>
      </w:rPr>
    </w:lvl>
    <w:lvl w:ilvl="2" w:tplc="5FF81DCA">
      <w:numFmt w:val="bullet"/>
      <w:lvlText w:val="•"/>
      <w:lvlJc w:val="left"/>
      <w:pPr>
        <w:ind w:left="808" w:hanging="200"/>
      </w:pPr>
      <w:rPr>
        <w:rFonts w:hint="default"/>
        <w:lang w:val="en-US" w:eastAsia="en-US" w:bidi="ar-SA"/>
      </w:rPr>
    </w:lvl>
    <w:lvl w:ilvl="3" w:tplc="59D6F172">
      <w:numFmt w:val="bullet"/>
      <w:lvlText w:val="•"/>
      <w:lvlJc w:val="left"/>
      <w:pPr>
        <w:ind w:left="1143" w:hanging="200"/>
      </w:pPr>
      <w:rPr>
        <w:rFonts w:hint="default"/>
        <w:lang w:val="en-US" w:eastAsia="en-US" w:bidi="ar-SA"/>
      </w:rPr>
    </w:lvl>
    <w:lvl w:ilvl="4" w:tplc="5BC2A2EC">
      <w:numFmt w:val="bullet"/>
      <w:lvlText w:val="•"/>
      <w:lvlJc w:val="left"/>
      <w:pPr>
        <w:ind w:left="1477" w:hanging="200"/>
      </w:pPr>
      <w:rPr>
        <w:rFonts w:hint="default"/>
        <w:lang w:val="en-US" w:eastAsia="en-US" w:bidi="ar-SA"/>
      </w:rPr>
    </w:lvl>
    <w:lvl w:ilvl="5" w:tplc="C7D0ED18">
      <w:numFmt w:val="bullet"/>
      <w:lvlText w:val="•"/>
      <w:lvlJc w:val="left"/>
      <w:pPr>
        <w:ind w:left="1812" w:hanging="200"/>
      </w:pPr>
      <w:rPr>
        <w:rFonts w:hint="default"/>
        <w:lang w:val="en-US" w:eastAsia="en-US" w:bidi="ar-SA"/>
      </w:rPr>
    </w:lvl>
    <w:lvl w:ilvl="6" w:tplc="47BEADA6">
      <w:numFmt w:val="bullet"/>
      <w:lvlText w:val="•"/>
      <w:lvlJc w:val="left"/>
      <w:pPr>
        <w:ind w:left="2146" w:hanging="200"/>
      </w:pPr>
      <w:rPr>
        <w:rFonts w:hint="default"/>
        <w:lang w:val="en-US" w:eastAsia="en-US" w:bidi="ar-SA"/>
      </w:rPr>
    </w:lvl>
    <w:lvl w:ilvl="7" w:tplc="2D765346">
      <w:numFmt w:val="bullet"/>
      <w:lvlText w:val="•"/>
      <w:lvlJc w:val="left"/>
      <w:pPr>
        <w:ind w:left="2481" w:hanging="200"/>
      </w:pPr>
      <w:rPr>
        <w:rFonts w:hint="default"/>
        <w:lang w:val="en-US" w:eastAsia="en-US" w:bidi="ar-SA"/>
      </w:rPr>
    </w:lvl>
    <w:lvl w:ilvl="8" w:tplc="34E221B6">
      <w:numFmt w:val="bullet"/>
      <w:lvlText w:val="•"/>
      <w:lvlJc w:val="left"/>
      <w:pPr>
        <w:ind w:left="2815" w:hanging="200"/>
      </w:pPr>
      <w:rPr>
        <w:rFonts w:hint="default"/>
        <w:lang w:val="en-US" w:eastAsia="en-US" w:bidi="ar-SA"/>
      </w:rPr>
    </w:lvl>
  </w:abstractNum>
  <w:abstractNum w:abstractNumId="22" w15:restartNumberingAfterBreak="0">
    <w:nsid w:val="2D280CB8"/>
    <w:multiLevelType w:val="hybridMultilevel"/>
    <w:tmpl w:val="5D8C4260"/>
    <w:lvl w:ilvl="0" w:tplc="C1EC31CE">
      <w:start w:val="1"/>
      <w:numFmt w:val="upperRoman"/>
      <w:lvlText w:val="%1."/>
      <w:lvlJc w:val="left"/>
      <w:pPr>
        <w:ind w:left="301" w:hanging="142"/>
        <w:jc w:val="left"/>
      </w:pPr>
      <w:rPr>
        <w:rFonts w:ascii="Cambria" w:eastAsia="Cambria" w:hAnsi="Cambria" w:cs="Cambria" w:hint="default"/>
        <w:b w:val="0"/>
        <w:bCs w:val="0"/>
        <w:i w:val="0"/>
        <w:iCs w:val="0"/>
        <w:spacing w:val="0"/>
        <w:w w:val="115"/>
        <w:sz w:val="16"/>
        <w:szCs w:val="16"/>
        <w:lang w:val="en-US" w:eastAsia="en-US" w:bidi="ar-SA"/>
      </w:rPr>
    </w:lvl>
    <w:lvl w:ilvl="1" w:tplc="181429EA">
      <w:start w:val="1"/>
      <w:numFmt w:val="upperLetter"/>
      <w:lvlText w:val="%2."/>
      <w:lvlJc w:val="left"/>
      <w:pPr>
        <w:ind w:left="480" w:hanging="214"/>
        <w:jc w:val="left"/>
      </w:pPr>
      <w:rPr>
        <w:rFonts w:ascii="Cambria" w:eastAsia="Cambria" w:hAnsi="Cambria" w:cs="Cambria" w:hint="default"/>
        <w:b w:val="0"/>
        <w:bCs w:val="0"/>
        <w:i w:val="0"/>
        <w:iCs w:val="0"/>
        <w:spacing w:val="0"/>
        <w:w w:val="127"/>
        <w:sz w:val="16"/>
        <w:szCs w:val="16"/>
        <w:lang w:val="en-US" w:eastAsia="en-US" w:bidi="ar-SA"/>
      </w:rPr>
    </w:lvl>
    <w:lvl w:ilvl="2" w:tplc="47363884">
      <w:start w:val="1"/>
      <w:numFmt w:val="decimal"/>
      <w:lvlText w:val="%3."/>
      <w:lvlJc w:val="left"/>
      <w:pPr>
        <w:ind w:left="480" w:hanging="178"/>
        <w:jc w:val="left"/>
      </w:pPr>
      <w:rPr>
        <w:rFonts w:ascii="Cambria" w:eastAsia="Cambria" w:hAnsi="Cambria" w:cs="Cambria" w:hint="default"/>
        <w:b w:val="0"/>
        <w:bCs w:val="0"/>
        <w:i w:val="0"/>
        <w:iCs w:val="0"/>
        <w:spacing w:val="0"/>
        <w:w w:val="109"/>
        <w:sz w:val="16"/>
        <w:szCs w:val="16"/>
        <w:lang w:val="en-US" w:eastAsia="en-US" w:bidi="ar-SA"/>
      </w:rPr>
    </w:lvl>
    <w:lvl w:ilvl="3" w:tplc="76422EBC">
      <w:start w:val="1"/>
      <w:numFmt w:val="lowerLetter"/>
      <w:lvlText w:val="%4."/>
      <w:lvlJc w:val="left"/>
      <w:pPr>
        <w:ind w:left="488" w:hanging="169"/>
        <w:jc w:val="left"/>
      </w:pPr>
      <w:rPr>
        <w:rFonts w:ascii="Cambria" w:eastAsia="Cambria" w:hAnsi="Cambria" w:cs="Cambria" w:hint="default"/>
        <w:b w:val="0"/>
        <w:bCs w:val="0"/>
        <w:i w:val="0"/>
        <w:iCs w:val="0"/>
        <w:spacing w:val="0"/>
        <w:w w:val="112"/>
        <w:sz w:val="16"/>
        <w:szCs w:val="16"/>
        <w:lang w:val="en-US" w:eastAsia="en-US" w:bidi="ar-SA"/>
      </w:rPr>
    </w:lvl>
    <w:lvl w:ilvl="4" w:tplc="44F02812">
      <w:numFmt w:val="bullet"/>
      <w:lvlText w:val="•"/>
      <w:lvlJc w:val="left"/>
      <w:pPr>
        <w:ind w:left="-54" w:hanging="169"/>
      </w:pPr>
      <w:rPr>
        <w:rFonts w:hint="default"/>
        <w:lang w:val="en-US" w:eastAsia="en-US" w:bidi="ar-SA"/>
      </w:rPr>
    </w:lvl>
    <w:lvl w:ilvl="5" w:tplc="A04C11CC">
      <w:numFmt w:val="bullet"/>
      <w:lvlText w:val="•"/>
      <w:lvlJc w:val="left"/>
      <w:pPr>
        <w:ind w:left="-648" w:hanging="169"/>
      </w:pPr>
      <w:rPr>
        <w:rFonts w:hint="default"/>
        <w:lang w:val="en-US" w:eastAsia="en-US" w:bidi="ar-SA"/>
      </w:rPr>
    </w:lvl>
    <w:lvl w:ilvl="6" w:tplc="0CFC70F2">
      <w:numFmt w:val="bullet"/>
      <w:lvlText w:val="•"/>
      <w:lvlJc w:val="left"/>
      <w:pPr>
        <w:ind w:left="-1241" w:hanging="169"/>
      </w:pPr>
      <w:rPr>
        <w:rFonts w:hint="default"/>
        <w:lang w:val="en-US" w:eastAsia="en-US" w:bidi="ar-SA"/>
      </w:rPr>
    </w:lvl>
    <w:lvl w:ilvl="7" w:tplc="6700001A">
      <w:numFmt w:val="bullet"/>
      <w:lvlText w:val="•"/>
      <w:lvlJc w:val="left"/>
      <w:pPr>
        <w:ind w:left="-1835" w:hanging="169"/>
      </w:pPr>
      <w:rPr>
        <w:rFonts w:hint="default"/>
        <w:lang w:val="en-US" w:eastAsia="en-US" w:bidi="ar-SA"/>
      </w:rPr>
    </w:lvl>
    <w:lvl w:ilvl="8" w:tplc="23B41C4A">
      <w:numFmt w:val="bullet"/>
      <w:lvlText w:val="•"/>
      <w:lvlJc w:val="left"/>
      <w:pPr>
        <w:ind w:left="-2428" w:hanging="169"/>
      </w:pPr>
      <w:rPr>
        <w:rFonts w:hint="default"/>
        <w:lang w:val="en-US" w:eastAsia="en-US" w:bidi="ar-SA"/>
      </w:rPr>
    </w:lvl>
  </w:abstractNum>
  <w:abstractNum w:abstractNumId="23" w15:restartNumberingAfterBreak="0">
    <w:nsid w:val="328B3E17"/>
    <w:multiLevelType w:val="hybridMultilevel"/>
    <w:tmpl w:val="4C18AB1A"/>
    <w:lvl w:ilvl="0" w:tplc="8E549B48">
      <w:start w:val="1"/>
      <w:numFmt w:val="lowerLetter"/>
      <w:lvlText w:val="(%1)"/>
      <w:lvlJc w:val="left"/>
      <w:pPr>
        <w:ind w:left="160" w:hanging="260"/>
        <w:jc w:val="left"/>
      </w:pPr>
      <w:rPr>
        <w:rFonts w:ascii="Cambria" w:eastAsia="Cambria" w:hAnsi="Cambria" w:cs="Cambria" w:hint="default"/>
        <w:b w:val="0"/>
        <w:bCs w:val="0"/>
        <w:i w:val="0"/>
        <w:iCs w:val="0"/>
        <w:spacing w:val="0"/>
        <w:w w:val="93"/>
        <w:sz w:val="18"/>
        <w:szCs w:val="18"/>
        <w:lang w:val="en-US" w:eastAsia="en-US" w:bidi="ar-SA"/>
      </w:rPr>
    </w:lvl>
    <w:lvl w:ilvl="1" w:tplc="937C669E">
      <w:numFmt w:val="bullet"/>
      <w:lvlText w:val="•"/>
      <w:lvlJc w:val="left"/>
      <w:pPr>
        <w:ind w:left="495" w:hanging="260"/>
      </w:pPr>
      <w:rPr>
        <w:rFonts w:hint="default"/>
        <w:lang w:val="en-US" w:eastAsia="en-US" w:bidi="ar-SA"/>
      </w:rPr>
    </w:lvl>
    <w:lvl w:ilvl="2" w:tplc="4CD285C4">
      <w:numFmt w:val="bullet"/>
      <w:lvlText w:val="•"/>
      <w:lvlJc w:val="left"/>
      <w:pPr>
        <w:ind w:left="831" w:hanging="260"/>
      </w:pPr>
      <w:rPr>
        <w:rFonts w:hint="default"/>
        <w:lang w:val="en-US" w:eastAsia="en-US" w:bidi="ar-SA"/>
      </w:rPr>
    </w:lvl>
    <w:lvl w:ilvl="3" w:tplc="1F4C0452">
      <w:numFmt w:val="bullet"/>
      <w:lvlText w:val="•"/>
      <w:lvlJc w:val="left"/>
      <w:pPr>
        <w:ind w:left="1166" w:hanging="260"/>
      </w:pPr>
      <w:rPr>
        <w:rFonts w:hint="default"/>
        <w:lang w:val="en-US" w:eastAsia="en-US" w:bidi="ar-SA"/>
      </w:rPr>
    </w:lvl>
    <w:lvl w:ilvl="4" w:tplc="3D9CF244">
      <w:numFmt w:val="bullet"/>
      <w:lvlText w:val="•"/>
      <w:lvlJc w:val="left"/>
      <w:pPr>
        <w:ind w:left="1502" w:hanging="260"/>
      </w:pPr>
      <w:rPr>
        <w:rFonts w:hint="default"/>
        <w:lang w:val="en-US" w:eastAsia="en-US" w:bidi="ar-SA"/>
      </w:rPr>
    </w:lvl>
    <w:lvl w:ilvl="5" w:tplc="A5F89878">
      <w:numFmt w:val="bullet"/>
      <w:lvlText w:val="•"/>
      <w:lvlJc w:val="left"/>
      <w:pPr>
        <w:ind w:left="1837" w:hanging="260"/>
      </w:pPr>
      <w:rPr>
        <w:rFonts w:hint="default"/>
        <w:lang w:val="en-US" w:eastAsia="en-US" w:bidi="ar-SA"/>
      </w:rPr>
    </w:lvl>
    <w:lvl w:ilvl="6" w:tplc="D7C4F3EC">
      <w:numFmt w:val="bullet"/>
      <w:lvlText w:val="•"/>
      <w:lvlJc w:val="left"/>
      <w:pPr>
        <w:ind w:left="2173" w:hanging="260"/>
      </w:pPr>
      <w:rPr>
        <w:rFonts w:hint="default"/>
        <w:lang w:val="en-US" w:eastAsia="en-US" w:bidi="ar-SA"/>
      </w:rPr>
    </w:lvl>
    <w:lvl w:ilvl="7" w:tplc="347E3D9A">
      <w:numFmt w:val="bullet"/>
      <w:lvlText w:val="•"/>
      <w:lvlJc w:val="left"/>
      <w:pPr>
        <w:ind w:left="2508" w:hanging="260"/>
      </w:pPr>
      <w:rPr>
        <w:rFonts w:hint="default"/>
        <w:lang w:val="en-US" w:eastAsia="en-US" w:bidi="ar-SA"/>
      </w:rPr>
    </w:lvl>
    <w:lvl w:ilvl="8" w:tplc="B532C7D2">
      <w:numFmt w:val="bullet"/>
      <w:lvlText w:val="•"/>
      <w:lvlJc w:val="left"/>
      <w:pPr>
        <w:ind w:left="2844" w:hanging="260"/>
      </w:pPr>
      <w:rPr>
        <w:rFonts w:hint="default"/>
        <w:lang w:val="en-US" w:eastAsia="en-US" w:bidi="ar-SA"/>
      </w:rPr>
    </w:lvl>
  </w:abstractNum>
  <w:abstractNum w:abstractNumId="24" w15:restartNumberingAfterBreak="0">
    <w:nsid w:val="33C37FC6"/>
    <w:multiLevelType w:val="hybridMultilevel"/>
    <w:tmpl w:val="4290E340"/>
    <w:lvl w:ilvl="0" w:tplc="A48860E0">
      <w:start w:val="1"/>
      <w:numFmt w:val="lowerLetter"/>
      <w:lvlText w:val="(%1)"/>
      <w:lvlJc w:val="left"/>
      <w:pPr>
        <w:ind w:left="144" w:hanging="260"/>
        <w:jc w:val="left"/>
      </w:pPr>
      <w:rPr>
        <w:rFonts w:ascii="Cambria" w:eastAsia="Cambria" w:hAnsi="Cambria" w:cs="Cambria" w:hint="default"/>
        <w:b w:val="0"/>
        <w:bCs w:val="0"/>
        <w:i w:val="0"/>
        <w:iCs w:val="0"/>
        <w:spacing w:val="0"/>
        <w:w w:val="93"/>
        <w:sz w:val="18"/>
        <w:szCs w:val="18"/>
        <w:lang w:val="en-US" w:eastAsia="en-US" w:bidi="ar-SA"/>
      </w:rPr>
    </w:lvl>
    <w:lvl w:ilvl="1" w:tplc="F8B6E1CE">
      <w:start w:val="1"/>
      <w:numFmt w:val="decimal"/>
      <w:lvlText w:val="(%2)"/>
      <w:lvlJc w:val="left"/>
      <w:pPr>
        <w:ind w:left="594" w:hanging="270"/>
        <w:jc w:val="left"/>
      </w:pPr>
      <w:rPr>
        <w:rFonts w:ascii="Cambria" w:eastAsia="Cambria" w:hAnsi="Cambria" w:cs="Cambria" w:hint="default"/>
        <w:b w:val="0"/>
        <w:bCs w:val="0"/>
        <w:i w:val="0"/>
        <w:iCs w:val="0"/>
        <w:spacing w:val="0"/>
        <w:w w:val="92"/>
        <w:sz w:val="18"/>
        <w:szCs w:val="18"/>
        <w:lang w:val="en-US" w:eastAsia="en-US" w:bidi="ar-SA"/>
      </w:rPr>
    </w:lvl>
    <w:lvl w:ilvl="2" w:tplc="25CC8EEA">
      <w:start w:val="1"/>
      <w:numFmt w:val="lowerRoman"/>
      <w:lvlText w:val="(%3)"/>
      <w:lvlJc w:val="left"/>
      <w:pPr>
        <w:ind w:left="553" w:hanging="230"/>
        <w:jc w:val="left"/>
      </w:pPr>
      <w:rPr>
        <w:rFonts w:ascii="Cambria" w:eastAsia="Cambria" w:hAnsi="Cambria" w:cs="Cambria" w:hint="default"/>
        <w:b w:val="0"/>
        <w:bCs w:val="0"/>
        <w:i w:val="0"/>
        <w:iCs w:val="0"/>
        <w:spacing w:val="0"/>
        <w:w w:val="95"/>
        <w:sz w:val="18"/>
        <w:szCs w:val="18"/>
        <w:lang w:val="en-US" w:eastAsia="en-US" w:bidi="ar-SA"/>
      </w:rPr>
    </w:lvl>
    <w:lvl w:ilvl="3" w:tplc="0B40FEB0">
      <w:numFmt w:val="bullet"/>
      <w:lvlText w:val="•"/>
      <w:lvlJc w:val="left"/>
      <w:pPr>
        <w:ind w:left="600" w:hanging="230"/>
      </w:pPr>
      <w:rPr>
        <w:rFonts w:hint="default"/>
        <w:lang w:val="en-US" w:eastAsia="en-US" w:bidi="ar-SA"/>
      </w:rPr>
    </w:lvl>
    <w:lvl w:ilvl="4" w:tplc="58DC8364">
      <w:numFmt w:val="bullet"/>
      <w:lvlText w:val="•"/>
      <w:lvlJc w:val="left"/>
      <w:pPr>
        <w:ind w:left="504" w:hanging="230"/>
      </w:pPr>
      <w:rPr>
        <w:rFonts w:hint="default"/>
        <w:lang w:val="en-US" w:eastAsia="en-US" w:bidi="ar-SA"/>
      </w:rPr>
    </w:lvl>
    <w:lvl w:ilvl="5" w:tplc="0F50B342">
      <w:numFmt w:val="bullet"/>
      <w:lvlText w:val="•"/>
      <w:lvlJc w:val="left"/>
      <w:pPr>
        <w:ind w:left="408" w:hanging="230"/>
      </w:pPr>
      <w:rPr>
        <w:rFonts w:hint="default"/>
        <w:lang w:val="en-US" w:eastAsia="en-US" w:bidi="ar-SA"/>
      </w:rPr>
    </w:lvl>
    <w:lvl w:ilvl="6" w:tplc="8DA434BC">
      <w:numFmt w:val="bullet"/>
      <w:lvlText w:val="•"/>
      <w:lvlJc w:val="left"/>
      <w:pPr>
        <w:ind w:left="312" w:hanging="230"/>
      </w:pPr>
      <w:rPr>
        <w:rFonts w:hint="default"/>
        <w:lang w:val="en-US" w:eastAsia="en-US" w:bidi="ar-SA"/>
      </w:rPr>
    </w:lvl>
    <w:lvl w:ilvl="7" w:tplc="8DD0C530">
      <w:numFmt w:val="bullet"/>
      <w:lvlText w:val="•"/>
      <w:lvlJc w:val="left"/>
      <w:pPr>
        <w:ind w:left="217" w:hanging="230"/>
      </w:pPr>
      <w:rPr>
        <w:rFonts w:hint="default"/>
        <w:lang w:val="en-US" w:eastAsia="en-US" w:bidi="ar-SA"/>
      </w:rPr>
    </w:lvl>
    <w:lvl w:ilvl="8" w:tplc="4208B8B2">
      <w:numFmt w:val="bullet"/>
      <w:lvlText w:val="•"/>
      <w:lvlJc w:val="left"/>
      <w:pPr>
        <w:ind w:left="121" w:hanging="230"/>
      </w:pPr>
      <w:rPr>
        <w:rFonts w:hint="default"/>
        <w:lang w:val="en-US" w:eastAsia="en-US" w:bidi="ar-SA"/>
      </w:rPr>
    </w:lvl>
  </w:abstractNum>
  <w:abstractNum w:abstractNumId="25" w15:restartNumberingAfterBreak="0">
    <w:nsid w:val="351F36CF"/>
    <w:multiLevelType w:val="hybridMultilevel"/>
    <w:tmpl w:val="D72C315E"/>
    <w:lvl w:ilvl="0" w:tplc="6C80C3A8">
      <w:start w:val="1"/>
      <w:numFmt w:val="decimal"/>
      <w:lvlText w:val="(%1)"/>
      <w:lvlJc w:val="left"/>
      <w:pPr>
        <w:ind w:left="160" w:hanging="270"/>
        <w:jc w:val="left"/>
      </w:pPr>
      <w:rPr>
        <w:rFonts w:ascii="Cambria" w:eastAsia="Cambria" w:hAnsi="Cambria" w:cs="Cambria" w:hint="default"/>
        <w:b w:val="0"/>
        <w:bCs w:val="0"/>
        <w:i w:val="0"/>
        <w:iCs w:val="0"/>
        <w:spacing w:val="0"/>
        <w:w w:val="92"/>
        <w:sz w:val="18"/>
        <w:szCs w:val="18"/>
        <w:lang w:val="en-US" w:eastAsia="en-US" w:bidi="ar-SA"/>
      </w:rPr>
    </w:lvl>
    <w:lvl w:ilvl="1" w:tplc="8FE84E9A">
      <w:numFmt w:val="bullet"/>
      <w:lvlText w:val="•"/>
      <w:lvlJc w:val="left"/>
      <w:pPr>
        <w:ind w:left="492" w:hanging="270"/>
      </w:pPr>
      <w:rPr>
        <w:rFonts w:hint="default"/>
        <w:lang w:val="en-US" w:eastAsia="en-US" w:bidi="ar-SA"/>
      </w:rPr>
    </w:lvl>
    <w:lvl w:ilvl="2" w:tplc="EAB4A64C">
      <w:numFmt w:val="bullet"/>
      <w:lvlText w:val="•"/>
      <w:lvlJc w:val="left"/>
      <w:pPr>
        <w:ind w:left="825" w:hanging="270"/>
      </w:pPr>
      <w:rPr>
        <w:rFonts w:hint="default"/>
        <w:lang w:val="en-US" w:eastAsia="en-US" w:bidi="ar-SA"/>
      </w:rPr>
    </w:lvl>
    <w:lvl w:ilvl="3" w:tplc="511E4938">
      <w:numFmt w:val="bullet"/>
      <w:lvlText w:val="•"/>
      <w:lvlJc w:val="left"/>
      <w:pPr>
        <w:ind w:left="1158" w:hanging="270"/>
      </w:pPr>
      <w:rPr>
        <w:rFonts w:hint="default"/>
        <w:lang w:val="en-US" w:eastAsia="en-US" w:bidi="ar-SA"/>
      </w:rPr>
    </w:lvl>
    <w:lvl w:ilvl="4" w:tplc="73F64146">
      <w:numFmt w:val="bullet"/>
      <w:lvlText w:val="•"/>
      <w:lvlJc w:val="left"/>
      <w:pPr>
        <w:ind w:left="1490" w:hanging="270"/>
      </w:pPr>
      <w:rPr>
        <w:rFonts w:hint="default"/>
        <w:lang w:val="en-US" w:eastAsia="en-US" w:bidi="ar-SA"/>
      </w:rPr>
    </w:lvl>
    <w:lvl w:ilvl="5" w:tplc="88C0A51E">
      <w:numFmt w:val="bullet"/>
      <w:lvlText w:val="•"/>
      <w:lvlJc w:val="left"/>
      <w:pPr>
        <w:ind w:left="1823" w:hanging="270"/>
      </w:pPr>
      <w:rPr>
        <w:rFonts w:hint="default"/>
        <w:lang w:val="en-US" w:eastAsia="en-US" w:bidi="ar-SA"/>
      </w:rPr>
    </w:lvl>
    <w:lvl w:ilvl="6" w:tplc="E9AE7498">
      <w:numFmt w:val="bullet"/>
      <w:lvlText w:val="•"/>
      <w:lvlJc w:val="left"/>
      <w:pPr>
        <w:ind w:left="2156" w:hanging="270"/>
      </w:pPr>
      <w:rPr>
        <w:rFonts w:hint="default"/>
        <w:lang w:val="en-US" w:eastAsia="en-US" w:bidi="ar-SA"/>
      </w:rPr>
    </w:lvl>
    <w:lvl w:ilvl="7" w:tplc="71762D9E">
      <w:numFmt w:val="bullet"/>
      <w:lvlText w:val="•"/>
      <w:lvlJc w:val="left"/>
      <w:pPr>
        <w:ind w:left="2488" w:hanging="270"/>
      </w:pPr>
      <w:rPr>
        <w:rFonts w:hint="default"/>
        <w:lang w:val="en-US" w:eastAsia="en-US" w:bidi="ar-SA"/>
      </w:rPr>
    </w:lvl>
    <w:lvl w:ilvl="8" w:tplc="63B46A20">
      <w:numFmt w:val="bullet"/>
      <w:lvlText w:val="•"/>
      <w:lvlJc w:val="left"/>
      <w:pPr>
        <w:ind w:left="2821" w:hanging="270"/>
      </w:pPr>
      <w:rPr>
        <w:rFonts w:hint="default"/>
        <w:lang w:val="en-US" w:eastAsia="en-US" w:bidi="ar-SA"/>
      </w:rPr>
    </w:lvl>
  </w:abstractNum>
  <w:abstractNum w:abstractNumId="26" w15:restartNumberingAfterBreak="0">
    <w:nsid w:val="37101425"/>
    <w:multiLevelType w:val="hybridMultilevel"/>
    <w:tmpl w:val="00A890AA"/>
    <w:lvl w:ilvl="0" w:tplc="31B440D6">
      <w:start w:val="1"/>
      <w:numFmt w:val="decimal"/>
      <w:lvlText w:val="(%1)"/>
      <w:lvlJc w:val="left"/>
      <w:pPr>
        <w:ind w:left="139" w:hanging="270"/>
        <w:jc w:val="left"/>
      </w:pPr>
      <w:rPr>
        <w:rFonts w:ascii="Cambria" w:eastAsia="Cambria" w:hAnsi="Cambria" w:cs="Cambria" w:hint="default"/>
        <w:b w:val="0"/>
        <w:bCs w:val="0"/>
        <w:i w:val="0"/>
        <w:iCs w:val="0"/>
        <w:spacing w:val="0"/>
        <w:w w:val="92"/>
        <w:sz w:val="18"/>
        <w:szCs w:val="18"/>
        <w:lang w:val="en-US" w:eastAsia="en-US" w:bidi="ar-SA"/>
      </w:rPr>
    </w:lvl>
    <w:lvl w:ilvl="1" w:tplc="A7061FD6">
      <w:numFmt w:val="bullet"/>
      <w:lvlText w:val="•"/>
      <w:lvlJc w:val="left"/>
      <w:pPr>
        <w:ind w:left="487" w:hanging="270"/>
      </w:pPr>
      <w:rPr>
        <w:rFonts w:hint="default"/>
        <w:lang w:val="en-US" w:eastAsia="en-US" w:bidi="ar-SA"/>
      </w:rPr>
    </w:lvl>
    <w:lvl w:ilvl="2" w:tplc="DB447422">
      <w:numFmt w:val="bullet"/>
      <w:lvlText w:val="•"/>
      <w:lvlJc w:val="left"/>
      <w:pPr>
        <w:ind w:left="835" w:hanging="270"/>
      </w:pPr>
      <w:rPr>
        <w:rFonts w:hint="default"/>
        <w:lang w:val="en-US" w:eastAsia="en-US" w:bidi="ar-SA"/>
      </w:rPr>
    </w:lvl>
    <w:lvl w:ilvl="3" w:tplc="BF2EE0FC">
      <w:numFmt w:val="bullet"/>
      <w:lvlText w:val="•"/>
      <w:lvlJc w:val="left"/>
      <w:pPr>
        <w:ind w:left="1183" w:hanging="270"/>
      </w:pPr>
      <w:rPr>
        <w:rFonts w:hint="default"/>
        <w:lang w:val="en-US" w:eastAsia="en-US" w:bidi="ar-SA"/>
      </w:rPr>
    </w:lvl>
    <w:lvl w:ilvl="4" w:tplc="D6D649E6">
      <w:numFmt w:val="bullet"/>
      <w:lvlText w:val="•"/>
      <w:lvlJc w:val="left"/>
      <w:pPr>
        <w:ind w:left="1531" w:hanging="270"/>
      </w:pPr>
      <w:rPr>
        <w:rFonts w:hint="default"/>
        <w:lang w:val="en-US" w:eastAsia="en-US" w:bidi="ar-SA"/>
      </w:rPr>
    </w:lvl>
    <w:lvl w:ilvl="5" w:tplc="6AE8B246">
      <w:numFmt w:val="bullet"/>
      <w:lvlText w:val="•"/>
      <w:lvlJc w:val="left"/>
      <w:pPr>
        <w:ind w:left="1879" w:hanging="270"/>
      </w:pPr>
      <w:rPr>
        <w:rFonts w:hint="default"/>
        <w:lang w:val="en-US" w:eastAsia="en-US" w:bidi="ar-SA"/>
      </w:rPr>
    </w:lvl>
    <w:lvl w:ilvl="6" w:tplc="BC36F52E">
      <w:numFmt w:val="bullet"/>
      <w:lvlText w:val="•"/>
      <w:lvlJc w:val="left"/>
      <w:pPr>
        <w:ind w:left="2227" w:hanging="270"/>
      </w:pPr>
      <w:rPr>
        <w:rFonts w:hint="default"/>
        <w:lang w:val="en-US" w:eastAsia="en-US" w:bidi="ar-SA"/>
      </w:rPr>
    </w:lvl>
    <w:lvl w:ilvl="7" w:tplc="661496FC">
      <w:numFmt w:val="bullet"/>
      <w:lvlText w:val="•"/>
      <w:lvlJc w:val="left"/>
      <w:pPr>
        <w:ind w:left="2575" w:hanging="270"/>
      </w:pPr>
      <w:rPr>
        <w:rFonts w:hint="default"/>
        <w:lang w:val="en-US" w:eastAsia="en-US" w:bidi="ar-SA"/>
      </w:rPr>
    </w:lvl>
    <w:lvl w:ilvl="8" w:tplc="BE44EEF0">
      <w:numFmt w:val="bullet"/>
      <w:lvlText w:val="•"/>
      <w:lvlJc w:val="left"/>
      <w:pPr>
        <w:ind w:left="2923" w:hanging="270"/>
      </w:pPr>
      <w:rPr>
        <w:rFonts w:hint="default"/>
        <w:lang w:val="en-US" w:eastAsia="en-US" w:bidi="ar-SA"/>
      </w:rPr>
    </w:lvl>
  </w:abstractNum>
  <w:abstractNum w:abstractNumId="27" w15:restartNumberingAfterBreak="0">
    <w:nsid w:val="37B44156"/>
    <w:multiLevelType w:val="hybridMultilevel"/>
    <w:tmpl w:val="667294D0"/>
    <w:lvl w:ilvl="0" w:tplc="8BD037C6">
      <w:start w:val="1"/>
      <w:numFmt w:val="decimal"/>
      <w:lvlText w:val="(%1)"/>
      <w:lvlJc w:val="left"/>
      <w:pPr>
        <w:ind w:left="160" w:hanging="270"/>
        <w:jc w:val="left"/>
      </w:pPr>
      <w:rPr>
        <w:rFonts w:ascii="Cambria" w:eastAsia="Cambria" w:hAnsi="Cambria" w:cs="Cambria" w:hint="default"/>
        <w:b w:val="0"/>
        <w:bCs w:val="0"/>
        <w:i w:val="0"/>
        <w:iCs w:val="0"/>
        <w:spacing w:val="0"/>
        <w:w w:val="92"/>
        <w:sz w:val="18"/>
        <w:szCs w:val="18"/>
        <w:lang w:val="en-US" w:eastAsia="en-US" w:bidi="ar-SA"/>
      </w:rPr>
    </w:lvl>
    <w:lvl w:ilvl="1" w:tplc="0480124E">
      <w:numFmt w:val="bullet"/>
      <w:lvlText w:val="•"/>
      <w:lvlJc w:val="left"/>
      <w:pPr>
        <w:ind w:left="493" w:hanging="270"/>
      </w:pPr>
      <w:rPr>
        <w:rFonts w:hint="default"/>
        <w:lang w:val="en-US" w:eastAsia="en-US" w:bidi="ar-SA"/>
      </w:rPr>
    </w:lvl>
    <w:lvl w:ilvl="2" w:tplc="9D6CBCEC">
      <w:numFmt w:val="bullet"/>
      <w:lvlText w:val="•"/>
      <w:lvlJc w:val="left"/>
      <w:pPr>
        <w:ind w:left="827" w:hanging="270"/>
      </w:pPr>
      <w:rPr>
        <w:rFonts w:hint="default"/>
        <w:lang w:val="en-US" w:eastAsia="en-US" w:bidi="ar-SA"/>
      </w:rPr>
    </w:lvl>
    <w:lvl w:ilvl="3" w:tplc="4B86D9DC">
      <w:numFmt w:val="bullet"/>
      <w:lvlText w:val="•"/>
      <w:lvlJc w:val="left"/>
      <w:pPr>
        <w:ind w:left="1160" w:hanging="270"/>
      </w:pPr>
      <w:rPr>
        <w:rFonts w:hint="default"/>
        <w:lang w:val="en-US" w:eastAsia="en-US" w:bidi="ar-SA"/>
      </w:rPr>
    </w:lvl>
    <w:lvl w:ilvl="4" w:tplc="8E68C3B8">
      <w:numFmt w:val="bullet"/>
      <w:lvlText w:val="•"/>
      <w:lvlJc w:val="left"/>
      <w:pPr>
        <w:ind w:left="1494" w:hanging="270"/>
      </w:pPr>
      <w:rPr>
        <w:rFonts w:hint="default"/>
        <w:lang w:val="en-US" w:eastAsia="en-US" w:bidi="ar-SA"/>
      </w:rPr>
    </w:lvl>
    <w:lvl w:ilvl="5" w:tplc="DDA825BE">
      <w:numFmt w:val="bullet"/>
      <w:lvlText w:val="•"/>
      <w:lvlJc w:val="left"/>
      <w:pPr>
        <w:ind w:left="1828" w:hanging="270"/>
      </w:pPr>
      <w:rPr>
        <w:rFonts w:hint="default"/>
        <w:lang w:val="en-US" w:eastAsia="en-US" w:bidi="ar-SA"/>
      </w:rPr>
    </w:lvl>
    <w:lvl w:ilvl="6" w:tplc="627E00AA">
      <w:numFmt w:val="bullet"/>
      <w:lvlText w:val="•"/>
      <w:lvlJc w:val="left"/>
      <w:pPr>
        <w:ind w:left="2161" w:hanging="270"/>
      </w:pPr>
      <w:rPr>
        <w:rFonts w:hint="default"/>
        <w:lang w:val="en-US" w:eastAsia="en-US" w:bidi="ar-SA"/>
      </w:rPr>
    </w:lvl>
    <w:lvl w:ilvl="7" w:tplc="EA2C442C">
      <w:numFmt w:val="bullet"/>
      <w:lvlText w:val="•"/>
      <w:lvlJc w:val="left"/>
      <w:pPr>
        <w:ind w:left="2495" w:hanging="270"/>
      </w:pPr>
      <w:rPr>
        <w:rFonts w:hint="default"/>
        <w:lang w:val="en-US" w:eastAsia="en-US" w:bidi="ar-SA"/>
      </w:rPr>
    </w:lvl>
    <w:lvl w:ilvl="8" w:tplc="DC043E7A">
      <w:numFmt w:val="bullet"/>
      <w:lvlText w:val="•"/>
      <w:lvlJc w:val="left"/>
      <w:pPr>
        <w:ind w:left="2829" w:hanging="270"/>
      </w:pPr>
      <w:rPr>
        <w:rFonts w:hint="default"/>
        <w:lang w:val="en-US" w:eastAsia="en-US" w:bidi="ar-SA"/>
      </w:rPr>
    </w:lvl>
  </w:abstractNum>
  <w:abstractNum w:abstractNumId="28" w15:restartNumberingAfterBreak="0">
    <w:nsid w:val="39704980"/>
    <w:multiLevelType w:val="hybridMultilevel"/>
    <w:tmpl w:val="FC18D794"/>
    <w:lvl w:ilvl="0" w:tplc="094871C4">
      <w:start w:val="2"/>
      <w:numFmt w:val="decimal"/>
      <w:lvlText w:val="(%1)"/>
      <w:lvlJc w:val="left"/>
      <w:pPr>
        <w:ind w:left="603" w:hanging="270"/>
        <w:jc w:val="left"/>
      </w:pPr>
      <w:rPr>
        <w:rFonts w:ascii="Cambria" w:eastAsia="Cambria" w:hAnsi="Cambria" w:cs="Cambria" w:hint="default"/>
        <w:b w:val="0"/>
        <w:bCs w:val="0"/>
        <w:i w:val="0"/>
        <w:iCs w:val="0"/>
        <w:spacing w:val="0"/>
        <w:w w:val="92"/>
        <w:sz w:val="18"/>
        <w:szCs w:val="18"/>
        <w:lang w:val="en-US" w:eastAsia="en-US" w:bidi="ar-SA"/>
      </w:rPr>
    </w:lvl>
    <w:lvl w:ilvl="1" w:tplc="FABED7A8">
      <w:start w:val="1"/>
      <w:numFmt w:val="lowerRoman"/>
      <w:lvlText w:val="(%2)"/>
      <w:lvlJc w:val="left"/>
      <w:pPr>
        <w:ind w:left="154" w:hanging="230"/>
        <w:jc w:val="left"/>
      </w:pPr>
      <w:rPr>
        <w:rFonts w:ascii="Cambria" w:eastAsia="Cambria" w:hAnsi="Cambria" w:cs="Cambria" w:hint="default"/>
        <w:b w:val="0"/>
        <w:bCs w:val="0"/>
        <w:i w:val="0"/>
        <w:iCs w:val="0"/>
        <w:spacing w:val="0"/>
        <w:w w:val="95"/>
        <w:sz w:val="18"/>
        <w:szCs w:val="18"/>
        <w:lang w:val="en-US" w:eastAsia="en-US" w:bidi="ar-SA"/>
      </w:rPr>
    </w:lvl>
    <w:lvl w:ilvl="2" w:tplc="F31037F6">
      <w:numFmt w:val="bullet"/>
      <w:lvlText w:val="•"/>
      <w:lvlJc w:val="left"/>
      <w:pPr>
        <w:ind w:left="600" w:hanging="230"/>
      </w:pPr>
      <w:rPr>
        <w:rFonts w:hint="default"/>
        <w:lang w:val="en-US" w:eastAsia="en-US" w:bidi="ar-SA"/>
      </w:rPr>
    </w:lvl>
    <w:lvl w:ilvl="3" w:tplc="332463A0">
      <w:numFmt w:val="bullet"/>
      <w:lvlText w:val="•"/>
      <w:lvlJc w:val="left"/>
      <w:pPr>
        <w:ind w:left="520" w:hanging="230"/>
      </w:pPr>
      <w:rPr>
        <w:rFonts w:hint="default"/>
        <w:lang w:val="en-US" w:eastAsia="en-US" w:bidi="ar-SA"/>
      </w:rPr>
    </w:lvl>
    <w:lvl w:ilvl="4" w:tplc="79341AE4">
      <w:numFmt w:val="bullet"/>
      <w:lvlText w:val="•"/>
      <w:lvlJc w:val="left"/>
      <w:pPr>
        <w:ind w:left="440" w:hanging="230"/>
      </w:pPr>
      <w:rPr>
        <w:rFonts w:hint="default"/>
        <w:lang w:val="en-US" w:eastAsia="en-US" w:bidi="ar-SA"/>
      </w:rPr>
    </w:lvl>
    <w:lvl w:ilvl="5" w:tplc="F2AE8B5A">
      <w:numFmt w:val="bullet"/>
      <w:lvlText w:val="•"/>
      <w:lvlJc w:val="left"/>
      <w:pPr>
        <w:ind w:left="360" w:hanging="230"/>
      </w:pPr>
      <w:rPr>
        <w:rFonts w:hint="default"/>
        <w:lang w:val="en-US" w:eastAsia="en-US" w:bidi="ar-SA"/>
      </w:rPr>
    </w:lvl>
    <w:lvl w:ilvl="6" w:tplc="A010F6AE">
      <w:numFmt w:val="bullet"/>
      <w:lvlText w:val="•"/>
      <w:lvlJc w:val="left"/>
      <w:pPr>
        <w:ind w:left="280" w:hanging="230"/>
      </w:pPr>
      <w:rPr>
        <w:rFonts w:hint="default"/>
        <w:lang w:val="en-US" w:eastAsia="en-US" w:bidi="ar-SA"/>
      </w:rPr>
    </w:lvl>
    <w:lvl w:ilvl="7" w:tplc="21842568">
      <w:numFmt w:val="bullet"/>
      <w:lvlText w:val="•"/>
      <w:lvlJc w:val="left"/>
      <w:pPr>
        <w:ind w:left="200" w:hanging="230"/>
      </w:pPr>
      <w:rPr>
        <w:rFonts w:hint="default"/>
        <w:lang w:val="en-US" w:eastAsia="en-US" w:bidi="ar-SA"/>
      </w:rPr>
    </w:lvl>
    <w:lvl w:ilvl="8" w:tplc="5AEEBE00">
      <w:numFmt w:val="bullet"/>
      <w:lvlText w:val="•"/>
      <w:lvlJc w:val="left"/>
      <w:pPr>
        <w:ind w:left="120" w:hanging="230"/>
      </w:pPr>
      <w:rPr>
        <w:rFonts w:hint="default"/>
        <w:lang w:val="en-US" w:eastAsia="en-US" w:bidi="ar-SA"/>
      </w:rPr>
    </w:lvl>
  </w:abstractNum>
  <w:abstractNum w:abstractNumId="29" w15:restartNumberingAfterBreak="0">
    <w:nsid w:val="3B295FE5"/>
    <w:multiLevelType w:val="hybridMultilevel"/>
    <w:tmpl w:val="5E3A66B0"/>
    <w:lvl w:ilvl="0" w:tplc="E538307E">
      <w:start w:val="1"/>
      <w:numFmt w:val="decimal"/>
      <w:lvlText w:val="(%1)"/>
      <w:lvlJc w:val="left"/>
      <w:pPr>
        <w:ind w:left="604" w:hanging="270"/>
        <w:jc w:val="left"/>
      </w:pPr>
      <w:rPr>
        <w:rFonts w:ascii="Cambria" w:eastAsia="Cambria" w:hAnsi="Cambria" w:cs="Cambria" w:hint="default"/>
        <w:b w:val="0"/>
        <w:bCs w:val="0"/>
        <w:i w:val="0"/>
        <w:iCs w:val="0"/>
        <w:spacing w:val="0"/>
        <w:w w:val="92"/>
        <w:sz w:val="18"/>
        <w:szCs w:val="18"/>
        <w:lang w:val="en-US" w:eastAsia="en-US" w:bidi="ar-SA"/>
      </w:rPr>
    </w:lvl>
    <w:lvl w:ilvl="1" w:tplc="DD161B74">
      <w:numFmt w:val="bullet"/>
      <w:lvlText w:val="•"/>
      <w:lvlJc w:val="left"/>
      <w:pPr>
        <w:ind w:left="891" w:hanging="270"/>
      </w:pPr>
      <w:rPr>
        <w:rFonts w:hint="default"/>
        <w:lang w:val="en-US" w:eastAsia="en-US" w:bidi="ar-SA"/>
      </w:rPr>
    </w:lvl>
    <w:lvl w:ilvl="2" w:tplc="AA4CD9AE">
      <w:numFmt w:val="bullet"/>
      <w:lvlText w:val="•"/>
      <w:lvlJc w:val="left"/>
      <w:pPr>
        <w:ind w:left="1182" w:hanging="270"/>
      </w:pPr>
      <w:rPr>
        <w:rFonts w:hint="default"/>
        <w:lang w:val="en-US" w:eastAsia="en-US" w:bidi="ar-SA"/>
      </w:rPr>
    </w:lvl>
    <w:lvl w:ilvl="3" w:tplc="96162DBC">
      <w:numFmt w:val="bullet"/>
      <w:lvlText w:val="•"/>
      <w:lvlJc w:val="left"/>
      <w:pPr>
        <w:ind w:left="1473" w:hanging="270"/>
      </w:pPr>
      <w:rPr>
        <w:rFonts w:hint="default"/>
        <w:lang w:val="en-US" w:eastAsia="en-US" w:bidi="ar-SA"/>
      </w:rPr>
    </w:lvl>
    <w:lvl w:ilvl="4" w:tplc="0FF46F24">
      <w:numFmt w:val="bullet"/>
      <w:lvlText w:val="•"/>
      <w:lvlJc w:val="left"/>
      <w:pPr>
        <w:ind w:left="1764" w:hanging="270"/>
      </w:pPr>
      <w:rPr>
        <w:rFonts w:hint="default"/>
        <w:lang w:val="en-US" w:eastAsia="en-US" w:bidi="ar-SA"/>
      </w:rPr>
    </w:lvl>
    <w:lvl w:ilvl="5" w:tplc="2E90CC16">
      <w:numFmt w:val="bullet"/>
      <w:lvlText w:val="•"/>
      <w:lvlJc w:val="left"/>
      <w:pPr>
        <w:ind w:left="2055" w:hanging="270"/>
      </w:pPr>
      <w:rPr>
        <w:rFonts w:hint="default"/>
        <w:lang w:val="en-US" w:eastAsia="en-US" w:bidi="ar-SA"/>
      </w:rPr>
    </w:lvl>
    <w:lvl w:ilvl="6" w:tplc="197627C4">
      <w:numFmt w:val="bullet"/>
      <w:lvlText w:val="•"/>
      <w:lvlJc w:val="left"/>
      <w:pPr>
        <w:ind w:left="2346" w:hanging="270"/>
      </w:pPr>
      <w:rPr>
        <w:rFonts w:hint="default"/>
        <w:lang w:val="en-US" w:eastAsia="en-US" w:bidi="ar-SA"/>
      </w:rPr>
    </w:lvl>
    <w:lvl w:ilvl="7" w:tplc="FB08E544">
      <w:numFmt w:val="bullet"/>
      <w:lvlText w:val="•"/>
      <w:lvlJc w:val="left"/>
      <w:pPr>
        <w:ind w:left="2637" w:hanging="270"/>
      </w:pPr>
      <w:rPr>
        <w:rFonts w:hint="default"/>
        <w:lang w:val="en-US" w:eastAsia="en-US" w:bidi="ar-SA"/>
      </w:rPr>
    </w:lvl>
    <w:lvl w:ilvl="8" w:tplc="19B0D70A">
      <w:numFmt w:val="bullet"/>
      <w:lvlText w:val="•"/>
      <w:lvlJc w:val="left"/>
      <w:pPr>
        <w:ind w:left="2928" w:hanging="270"/>
      </w:pPr>
      <w:rPr>
        <w:rFonts w:hint="default"/>
        <w:lang w:val="en-US" w:eastAsia="en-US" w:bidi="ar-SA"/>
      </w:rPr>
    </w:lvl>
  </w:abstractNum>
  <w:abstractNum w:abstractNumId="30" w15:restartNumberingAfterBreak="0">
    <w:nsid w:val="3F555DD5"/>
    <w:multiLevelType w:val="hybridMultilevel"/>
    <w:tmpl w:val="EF52E562"/>
    <w:lvl w:ilvl="0" w:tplc="79CAB352">
      <w:start w:val="1"/>
      <w:numFmt w:val="lowerLetter"/>
      <w:lvlText w:val="%1."/>
      <w:lvlJc w:val="left"/>
      <w:pPr>
        <w:ind w:left="156" w:hanging="190"/>
        <w:jc w:val="left"/>
      </w:pPr>
      <w:rPr>
        <w:rFonts w:ascii="Cambria" w:eastAsia="Cambria" w:hAnsi="Cambria" w:cs="Cambria" w:hint="default"/>
        <w:b w:val="0"/>
        <w:bCs w:val="0"/>
        <w:i w:val="0"/>
        <w:iCs w:val="0"/>
        <w:spacing w:val="0"/>
        <w:w w:val="112"/>
        <w:sz w:val="18"/>
        <w:szCs w:val="18"/>
        <w:lang w:val="en-US" w:eastAsia="en-US" w:bidi="ar-SA"/>
      </w:rPr>
    </w:lvl>
    <w:lvl w:ilvl="1" w:tplc="C51A1212">
      <w:numFmt w:val="bullet"/>
      <w:lvlText w:val="•"/>
      <w:lvlJc w:val="left"/>
      <w:pPr>
        <w:ind w:left="507" w:hanging="190"/>
      </w:pPr>
      <w:rPr>
        <w:rFonts w:hint="default"/>
        <w:lang w:val="en-US" w:eastAsia="en-US" w:bidi="ar-SA"/>
      </w:rPr>
    </w:lvl>
    <w:lvl w:ilvl="2" w:tplc="B418AC20">
      <w:numFmt w:val="bullet"/>
      <w:lvlText w:val="•"/>
      <w:lvlJc w:val="left"/>
      <w:pPr>
        <w:ind w:left="855" w:hanging="190"/>
      </w:pPr>
      <w:rPr>
        <w:rFonts w:hint="default"/>
        <w:lang w:val="en-US" w:eastAsia="en-US" w:bidi="ar-SA"/>
      </w:rPr>
    </w:lvl>
    <w:lvl w:ilvl="3" w:tplc="C07CDE22">
      <w:numFmt w:val="bullet"/>
      <w:lvlText w:val="•"/>
      <w:lvlJc w:val="left"/>
      <w:pPr>
        <w:ind w:left="1202" w:hanging="190"/>
      </w:pPr>
      <w:rPr>
        <w:rFonts w:hint="default"/>
        <w:lang w:val="en-US" w:eastAsia="en-US" w:bidi="ar-SA"/>
      </w:rPr>
    </w:lvl>
    <w:lvl w:ilvl="4" w:tplc="53A8E61A">
      <w:numFmt w:val="bullet"/>
      <w:lvlText w:val="•"/>
      <w:lvlJc w:val="left"/>
      <w:pPr>
        <w:ind w:left="1550" w:hanging="190"/>
      </w:pPr>
      <w:rPr>
        <w:rFonts w:hint="default"/>
        <w:lang w:val="en-US" w:eastAsia="en-US" w:bidi="ar-SA"/>
      </w:rPr>
    </w:lvl>
    <w:lvl w:ilvl="5" w:tplc="1804BE16">
      <w:numFmt w:val="bullet"/>
      <w:lvlText w:val="•"/>
      <w:lvlJc w:val="left"/>
      <w:pPr>
        <w:ind w:left="1898" w:hanging="190"/>
      </w:pPr>
      <w:rPr>
        <w:rFonts w:hint="default"/>
        <w:lang w:val="en-US" w:eastAsia="en-US" w:bidi="ar-SA"/>
      </w:rPr>
    </w:lvl>
    <w:lvl w:ilvl="6" w:tplc="F6663800">
      <w:numFmt w:val="bullet"/>
      <w:lvlText w:val="•"/>
      <w:lvlJc w:val="left"/>
      <w:pPr>
        <w:ind w:left="2245" w:hanging="190"/>
      </w:pPr>
      <w:rPr>
        <w:rFonts w:hint="default"/>
        <w:lang w:val="en-US" w:eastAsia="en-US" w:bidi="ar-SA"/>
      </w:rPr>
    </w:lvl>
    <w:lvl w:ilvl="7" w:tplc="AA342B20">
      <w:numFmt w:val="bullet"/>
      <w:lvlText w:val="•"/>
      <w:lvlJc w:val="left"/>
      <w:pPr>
        <w:ind w:left="2593" w:hanging="190"/>
      </w:pPr>
      <w:rPr>
        <w:rFonts w:hint="default"/>
        <w:lang w:val="en-US" w:eastAsia="en-US" w:bidi="ar-SA"/>
      </w:rPr>
    </w:lvl>
    <w:lvl w:ilvl="8" w:tplc="CFEAD128">
      <w:numFmt w:val="bullet"/>
      <w:lvlText w:val="•"/>
      <w:lvlJc w:val="left"/>
      <w:pPr>
        <w:ind w:left="2941" w:hanging="190"/>
      </w:pPr>
      <w:rPr>
        <w:rFonts w:hint="default"/>
        <w:lang w:val="en-US" w:eastAsia="en-US" w:bidi="ar-SA"/>
      </w:rPr>
    </w:lvl>
  </w:abstractNum>
  <w:abstractNum w:abstractNumId="31" w15:restartNumberingAfterBreak="0">
    <w:nsid w:val="441E069C"/>
    <w:multiLevelType w:val="hybridMultilevel"/>
    <w:tmpl w:val="9B4423E6"/>
    <w:lvl w:ilvl="0" w:tplc="994C9E26">
      <w:start w:val="1"/>
      <w:numFmt w:val="decimal"/>
      <w:lvlText w:val="%1."/>
      <w:lvlJc w:val="left"/>
      <w:pPr>
        <w:ind w:left="352" w:hanging="200"/>
        <w:jc w:val="right"/>
      </w:pPr>
      <w:rPr>
        <w:rFonts w:ascii="Cambria" w:eastAsia="Cambria" w:hAnsi="Cambria" w:cs="Cambria" w:hint="default"/>
        <w:b w:val="0"/>
        <w:bCs w:val="0"/>
        <w:i w:val="0"/>
        <w:iCs w:val="0"/>
        <w:spacing w:val="0"/>
        <w:w w:val="109"/>
        <w:sz w:val="18"/>
        <w:szCs w:val="18"/>
        <w:lang w:val="en-US" w:eastAsia="en-US" w:bidi="ar-SA"/>
      </w:rPr>
    </w:lvl>
    <w:lvl w:ilvl="1" w:tplc="857C7D38">
      <w:numFmt w:val="bullet"/>
      <w:lvlText w:val=""/>
      <w:lvlJc w:val="left"/>
      <w:pPr>
        <w:ind w:left="146" w:hanging="183"/>
      </w:pPr>
      <w:rPr>
        <w:rFonts w:ascii="Symbol" w:eastAsia="Symbol" w:hAnsi="Symbol" w:cs="Symbol" w:hint="default"/>
        <w:b w:val="0"/>
        <w:bCs w:val="0"/>
        <w:i w:val="0"/>
        <w:iCs w:val="0"/>
        <w:spacing w:val="0"/>
        <w:w w:val="100"/>
        <w:sz w:val="18"/>
        <w:szCs w:val="18"/>
        <w:lang w:val="en-US" w:eastAsia="en-US" w:bidi="ar-SA"/>
      </w:rPr>
    </w:lvl>
    <w:lvl w:ilvl="2" w:tplc="429E2660">
      <w:numFmt w:val="bullet"/>
      <w:lvlText w:val="•"/>
      <w:lvlJc w:val="left"/>
      <w:pPr>
        <w:ind w:left="315" w:hanging="183"/>
      </w:pPr>
      <w:rPr>
        <w:rFonts w:hint="default"/>
        <w:lang w:val="en-US" w:eastAsia="en-US" w:bidi="ar-SA"/>
      </w:rPr>
    </w:lvl>
    <w:lvl w:ilvl="3" w:tplc="8986496C">
      <w:numFmt w:val="bullet"/>
      <w:lvlText w:val="•"/>
      <w:lvlJc w:val="left"/>
      <w:pPr>
        <w:ind w:left="271" w:hanging="183"/>
      </w:pPr>
      <w:rPr>
        <w:rFonts w:hint="default"/>
        <w:lang w:val="en-US" w:eastAsia="en-US" w:bidi="ar-SA"/>
      </w:rPr>
    </w:lvl>
    <w:lvl w:ilvl="4" w:tplc="17965496">
      <w:numFmt w:val="bullet"/>
      <w:lvlText w:val="•"/>
      <w:lvlJc w:val="left"/>
      <w:pPr>
        <w:ind w:left="227" w:hanging="183"/>
      </w:pPr>
      <w:rPr>
        <w:rFonts w:hint="default"/>
        <w:lang w:val="en-US" w:eastAsia="en-US" w:bidi="ar-SA"/>
      </w:rPr>
    </w:lvl>
    <w:lvl w:ilvl="5" w:tplc="51D2404C">
      <w:numFmt w:val="bullet"/>
      <w:lvlText w:val="•"/>
      <w:lvlJc w:val="left"/>
      <w:pPr>
        <w:ind w:left="182" w:hanging="183"/>
      </w:pPr>
      <w:rPr>
        <w:rFonts w:hint="default"/>
        <w:lang w:val="en-US" w:eastAsia="en-US" w:bidi="ar-SA"/>
      </w:rPr>
    </w:lvl>
    <w:lvl w:ilvl="6" w:tplc="234A3274">
      <w:numFmt w:val="bullet"/>
      <w:lvlText w:val="•"/>
      <w:lvlJc w:val="left"/>
      <w:pPr>
        <w:ind w:left="138" w:hanging="183"/>
      </w:pPr>
      <w:rPr>
        <w:rFonts w:hint="default"/>
        <w:lang w:val="en-US" w:eastAsia="en-US" w:bidi="ar-SA"/>
      </w:rPr>
    </w:lvl>
    <w:lvl w:ilvl="7" w:tplc="1062E666">
      <w:numFmt w:val="bullet"/>
      <w:lvlText w:val="•"/>
      <w:lvlJc w:val="left"/>
      <w:pPr>
        <w:ind w:left="94" w:hanging="183"/>
      </w:pPr>
      <w:rPr>
        <w:rFonts w:hint="default"/>
        <w:lang w:val="en-US" w:eastAsia="en-US" w:bidi="ar-SA"/>
      </w:rPr>
    </w:lvl>
    <w:lvl w:ilvl="8" w:tplc="926CCE2A">
      <w:numFmt w:val="bullet"/>
      <w:lvlText w:val="•"/>
      <w:lvlJc w:val="left"/>
      <w:pPr>
        <w:ind w:left="50" w:hanging="183"/>
      </w:pPr>
      <w:rPr>
        <w:rFonts w:hint="default"/>
        <w:lang w:val="en-US" w:eastAsia="en-US" w:bidi="ar-SA"/>
      </w:rPr>
    </w:lvl>
  </w:abstractNum>
  <w:abstractNum w:abstractNumId="32" w15:restartNumberingAfterBreak="0">
    <w:nsid w:val="44DE359E"/>
    <w:multiLevelType w:val="hybridMultilevel"/>
    <w:tmpl w:val="6348562C"/>
    <w:lvl w:ilvl="0" w:tplc="391C4252">
      <w:numFmt w:val="bullet"/>
      <w:lvlText w:val=""/>
      <w:lvlJc w:val="left"/>
      <w:pPr>
        <w:ind w:left="160" w:hanging="183"/>
      </w:pPr>
      <w:rPr>
        <w:rFonts w:ascii="Symbol" w:eastAsia="Symbol" w:hAnsi="Symbol" w:cs="Symbol" w:hint="default"/>
        <w:b w:val="0"/>
        <w:bCs w:val="0"/>
        <w:i w:val="0"/>
        <w:iCs w:val="0"/>
        <w:spacing w:val="0"/>
        <w:w w:val="100"/>
        <w:sz w:val="18"/>
        <w:szCs w:val="18"/>
        <w:lang w:val="en-US" w:eastAsia="en-US" w:bidi="ar-SA"/>
      </w:rPr>
    </w:lvl>
    <w:lvl w:ilvl="1" w:tplc="9FBEB2AE">
      <w:numFmt w:val="bullet"/>
      <w:lvlText w:val="•"/>
      <w:lvlJc w:val="left"/>
      <w:pPr>
        <w:ind w:left="494" w:hanging="183"/>
      </w:pPr>
      <w:rPr>
        <w:rFonts w:hint="default"/>
        <w:lang w:val="en-US" w:eastAsia="en-US" w:bidi="ar-SA"/>
      </w:rPr>
    </w:lvl>
    <w:lvl w:ilvl="2" w:tplc="46CE9CA8">
      <w:numFmt w:val="bullet"/>
      <w:lvlText w:val="•"/>
      <w:lvlJc w:val="left"/>
      <w:pPr>
        <w:ind w:left="829" w:hanging="183"/>
      </w:pPr>
      <w:rPr>
        <w:rFonts w:hint="default"/>
        <w:lang w:val="en-US" w:eastAsia="en-US" w:bidi="ar-SA"/>
      </w:rPr>
    </w:lvl>
    <w:lvl w:ilvl="3" w:tplc="7E28652A">
      <w:numFmt w:val="bullet"/>
      <w:lvlText w:val="•"/>
      <w:lvlJc w:val="left"/>
      <w:pPr>
        <w:ind w:left="1163" w:hanging="183"/>
      </w:pPr>
      <w:rPr>
        <w:rFonts w:hint="default"/>
        <w:lang w:val="en-US" w:eastAsia="en-US" w:bidi="ar-SA"/>
      </w:rPr>
    </w:lvl>
    <w:lvl w:ilvl="4" w:tplc="7CEAB40A">
      <w:numFmt w:val="bullet"/>
      <w:lvlText w:val="•"/>
      <w:lvlJc w:val="left"/>
      <w:pPr>
        <w:ind w:left="1498" w:hanging="183"/>
      </w:pPr>
      <w:rPr>
        <w:rFonts w:hint="default"/>
        <w:lang w:val="en-US" w:eastAsia="en-US" w:bidi="ar-SA"/>
      </w:rPr>
    </w:lvl>
    <w:lvl w:ilvl="5" w:tplc="5D8E6664">
      <w:numFmt w:val="bullet"/>
      <w:lvlText w:val="•"/>
      <w:lvlJc w:val="left"/>
      <w:pPr>
        <w:ind w:left="1832" w:hanging="183"/>
      </w:pPr>
      <w:rPr>
        <w:rFonts w:hint="default"/>
        <w:lang w:val="en-US" w:eastAsia="en-US" w:bidi="ar-SA"/>
      </w:rPr>
    </w:lvl>
    <w:lvl w:ilvl="6" w:tplc="862E386A">
      <w:numFmt w:val="bullet"/>
      <w:lvlText w:val="•"/>
      <w:lvlJc w:val="left"/>
      <w:pPr>
        <w:ind w:left="2167" w:hanging="183"/>
      </w:pPr>
      <w:rPr>
        <w:rFonts w:hint="default"/>
        <w:lang w:val="en-US" w:eastAsia="en-US" w:bidi="ar-SA"/>
      </w:rPr>
    </w:lvl>
    <w:lvl w:ilvl="7" w:tplc="9A1EFA4E">
      <w:numFmt w:val="bullet"/>
      <w:lvlText w:val="•"/>
      <w:lvlJc w:val="left"/>
      <w:pPr>
        <w:ind w:left="2502" w:hanging="183"/>
      </w:pPr>
      <w:rPr>
        <w:rFonts w:hint="default"/>
        <w:lang w:val="en-US" w:eastAsia="en-US" w:bidi="ar-SA"/>
      </w:rPr>
    </w:lvl>
    <w:lvl w:ilvl="8" w:tplc="23E45D8C">
      <w:numFmt w:val="bullet"/>
      <w:lvlText w:val="•"/>
      <w:lvlJc w:val="left"/>
      <w:pPr>
        <w:ind w:left="2836" w:hanging="183"/>
      </w:pPr>
      <w:rPr>
        <w:rFonts w:hint="default"/>
        <w:lang w:val="en-US" w:eastAsia="en-US" w:bidi="ar-SA"/>
      </w:rPr>
    </w:lvl>
  </w:abstractNum>
  <w:abstractNum w:abstractNumId="33" w15:restartNumberingAfterBreak="0">
    <w:nsid w:val="45673891"/>
    <w:multiLevelType w:val="multilevel"/>
    <w:tmpl w:val="A8821E3C"/>
    <w:lvl w:ilvl="0">
      <w:start w:val="4"/>
      <w:numFmt w:val="upperRoman"/>
      <w:lvlText w:val="%1"/>
      <w:lvlJc w:val="left"/>
      <w:pPr>
        <w:ind w:left="160" w:hanging="610"/>
        <w:jc w:val="left"/>
      </w:pPr>
      <w:rPr>
        <w:rFonts w:hint="default"/>
        <w:lang w:val="en-US" w:eastAsia="en-US" w:bidi="ar-SA"/>
      </w:rPr>
    </w:lvl>
    <w:lvl w:ilvl="1">
      <w:start w:val="3"/>
      <w:numFmt w:val="upperLetter"/>
      <w:lvlText w:val="%1.%2"/>
      <w:lvlJc w:val="left"/>
      <w:pPr>
        <w:ind w:left="160" w:hanging="610"/>
        <w:jc w:val="left"/>
      </w:pPr>
      <w:rPr>
        <w:rFonts w:hint="default"/>
        <w:lang w:val="en-US" w:eastAsia="en-US" w:bidi="ar-SA"/>
      </w:rPr>
    </w:lvl>
    <w:lvl w:ilvl="2">
      <w:start w:val="3"/>
      <w:numFmt w:val="decimal"/>
      <w:lvlText w:val="%1.%2.%3."/>
      <w:lvlJc w:val="left"/>
      <w:pPr>
        <w:ind w:left="160" w:hanging="610"/>
        <w:jc w:val="left"/>
      </w:pPr>
      <w:rPr>
        <w:rFonts w:ascii="Cambria" w:eastAsia="Cambria" w:hAnsi="Cambria" w:cs="Cambria" w:hint="default"/>
        <w:b w:val="0"/>
        <w:bCs w:val="0"/>
        <w:i w:val="0"/>
        <w:iCs w:val="0"/>
        <w:spacing w:val="0"/>
        <w:w w:val="117"/>
        <w:sz w:val="18"/>
        <w:szCs w:val="18"/>
        <w:lang w:val="en-US" w:eastAsia="en-US" w:bidi="ar-SA"/>
      </w:rPr>
    </w:lvl>
    <w:lvl w:ilvl="3">
      <w:start w:val="1"/>
      <w:numFmt w:val="lowerLetter"/>
      <w:lvlText w:val="%1.%2.%3.%4"/>
      <w:lvlJc w:val="left"/>
      <w:pPr>
        <w:ind w:left="160" w:hanging="700"/>
        <w:jc w:val="left"/>
      </w:pPr>
      <w:rPr>
        <w:rFonts w:ascii="Cambria" w:eastAsia="Cambria" w:hAnsi="Cambria" w:cs="Cambria" w:hint="default"/>
        <w:b w:val="0"/>
        <w:bCs w:val="0"/>
        <w:i w:val="0"/>
        <w:iCs w:val="0"/>
        <w:spacing w:val="0"/>
        <w:w w:val="114"/>
        <w:sz w:val="18"/>
        <w:szCs w:val="18"/>
        <w:lang w:val="en-US" w:eastAsia="en-US" w:bidi="ar-SA"/>
      </w:rPr>
    </w:lvl>
    <w:lvl w:ilvl="4">
      <w:numFmt w:val="bullet"/>
      <w:lvlText w:val=""/>
      <w:lvlJc w:val="left"/>
      <w:pPr>
        <w:ind w:left="522" w:hanging="183"/>
      </w:pPr>
      <w:rPr>
        <w:rFonts w:ascii="Symbol" w:eastAsia="Symbol" w:hAnsi="Symbol" w:cs="Symbol" w:hint="default"/>
        <w:b w:val="0"/>
        <w:bCs w:val="0"/>
        <w:i w:val="0"/>
        <w:iCs w:val="0"/>
        <w:spacing w:val="0"/>
        <w:w w:val="100"/>
        <w:sz w:val="18"/>
        <w:szCs w:val="18"/>
        <w:lang w:val="en-US" w:eastAsia="en-US" w:bidi="ar-SA"/>
      </w:rPr>
    </w:lvl>
    <w:lvl w:ilvl="5">
      <w:numFmt w:val="bullet"/>
      <w:lvlText w:val="•"/>
      <w:lvlJc w:val="left"/>
      <w:pPr>
        <w:ind w:left="-1013" w:hanging="183"/>
      </w:pPr>
      <w:rPr>
        <w:rFonts w:hint="default"/>
        <w:lang w:val="en-US" w:eastAsia="en-US" w:bidi="ar-SA"/>
      </w:rPr>
    </w:lvl>
    <w:lvl w:ilvl="6">
      <w:numFmt w:val="bullet"/>
      <w:lvlText w:val="•"/>
      <w:lvlJc w:val="left"/>
      <w:pPr>
        <w:ind w:left="-1523" w:hanging="183"/>
      </w:pPr>
      <w:rPr>
        <w:rFonts w:hint="default"/>
        <w:lang w:val="en-US" w:eastAsia="en-US" w:bidi="ar-SA"/>
      </w:rPr>
    </w:lvl>
    <w:lvl w:ilvl="7">
      <w:numFmt w:val="bullet"/>
      <w:lvlText w:val="•"/>
      <w:lvlJc w:val="left"/>
      <w:pPr>
        <w:ind w:left="-2034" w:hanging="183"/>
      </w:pPr>
      <w:rPr>
        <w:rFonts w:hint="default"/>
        <w:lang w:val="en-US" w:eastAsia="en-US" w:bidi="ar-SA"/>
      </w:rPr>
    </w:lvl>
    <w:lvl w:ilvl="8">
      <w:numFmt w:val="bullet"/>
      <w:lvlText w:val="•"/>
      <w:lvlJc w:val="left"/>
      <w:pPr>
        <w:ind w:left="-2545" w:hanging="183"/>
      </w:pPr>
      <w:rPr>
        <w:rFonts w:hint="default"/>
        <w:lang w:val="en-US" w:eastAsia="en-US" w:bidi="ar-SA"/>
      </w:rPr>
    </w:lvl>
  </w:abstractNum>
  <w:abstractNum w:abstractNumId="34" w15:restartNumberingAfterBreak="0">
    <w:nsid w:val="49243422"/>
    <w:multiLevelType w:val="hybridMultilevel"/>
    <w:tmpl w:val="66427B98"/>
    <w:lvl w:ilvl="0" w:tplc="155E259E">
      <w:start w:val="1"/>
      <w:numFmt w:val="lowerLetter"/>
      <w:lvlText w:val="(%1)"/>
      <w:lvlJc w:val="left"/>
      <w:pPr>
        <w:ind w:left="160" w:hanging="260"/>
        <w:jc w:val="left"/>
      </w:pPr>
      <w:rPr>
        <w:rFonts w:ascii="Cambria" w:eastAsia="Cambria" w:hAnsi="Cambria" w:cs="Cambria" w:hint="default"/>
        <w:b w:val="0"/>
        <w:bCs w:val="0"/>
        <w:i w:val="0"/>
        <w:iCs w:val="0"/>
        <w:spacing w:val="0"/>
        <w:w w:val="93"/>
        <w:sz w:val="18"/>
        <w:szCs w:val="18"/>
        <w:lang w:val="en-US" w:eastAsia="en-US" w:bidi="ar-SA"/>
      </w:rPr>
    </w:lvl>
    <w:lvl w:ilvl="1" w:tplc="A9CA1B04">
      <w:start w:val="1"/>
      <w:numFmt w:val="decimal"/>
      <w:lvlText w:val="(%2)"/>
      <w:lvlJc w:val="left"/>
      <w:pPr>
        <w:ind w:left="609" w:hanging="270"/>
        <w:jc w:val="left"/>
      </w:pPr>
      <w:rPr>
        <w:rFonts w:ascii="Cambria" w:eastAsia="Cambria" w:hAnsi="Cambria" w:cs="Cambria" w:hint="default"/>
        <w:b w:val="0"/>
        <w:bCs w:val="0"/>
        <w:i w:val="0"/>
        <w:iCs w:val="0"/>
        <w:spacing w:val="0"/>
        <w:w w:val="92"/>
        <w:sz w:val="18"/>
        <w:szCs w:val="18"/>
        <w:lang w:val="en-US" w:eastAsia="en-US" w:bidi="ar-SA"/>
      </w:rPr>
    </w:lvl>
    <w:lvl w:ilvl="2" w:tplc="E02822F4">
      <w:numFmt w:val="bullet"/>
      <w:lvlText w:val="•"/>
      <w:lvlJc w:val="left"/>
      <w:pPr>
        <w:ind w:left="924" w:hanging="270"/>
      </w:pPr>
      <w:rPr>
        <w:rFonts w:hint="default"/>
        <w:lang w:val="en-US" w:eastAsia="en-US" w:bidi="ar-SA"/>
      </w:rPr>
    </w:lvl>
    <w:lvl w:ilvl="3" w:tplc="324847F6">
      <w:numFmt w:val="bullet"/>
      <w:lvlText w:val="•"/>
      <w:lvlJc w:val="left"/>
      <w:pPr>
        <w:ind w:left="1248" w:hanging="270"/>
      </w:pPr>
      <w:rPr>
        <w:rFonts w:hint="default"/>
        <w:lang w:val="en-US" w:eastAsia="en-US" w:bidi="ar-SA"/>
      </w:rPr>
    </w:lvl>
    <w:lvl w:ilvl="4" w:tplc="0B5C2468">
      <w:numFmt w:val="bullet"/>
      <w:lvlText w:val="•"/>
      <w:lvlJc w:val="left"/>
      <w:pPr>
        <w:ind w:left="1572" w:hanging="270"/>
      </w:pPr>
      <w:rPr>
        <w:rFonts w:hint="default"/>
        <w:lang w:val="en-US" w:eastAsia="en-US" w:bidi="ar-SA"/>
      </w:rPr>
    </w:lvl>
    <w:lvl w:ilvl="5" w:tplc="01C2C24E">
      <w:numFmt w:val="bullet"/>
      <w:lvlText w:val="•"/>
      <w:lvlJc w:val="left"/>
      <w:pPr>
        <w:ind w:left="1896" w:hanging="270"/>
      </w:pPr>
      <w:rPr>
        <w:rFonts w:hint="default"/>
        <w:lang w:val="en-US" w:eastAsia="en-US" w:bidi="ar-SA"/>
      </w:rPr>
    </w:lvl>
    <w:lvl w:ilvl="6" w:tplc="B10EE442">
      <w:numFmt w:val="bullet"/>
      <w:lvlText w:val="•"/>
      <w:lvlJc w:val="left"/>
      <w:pPr>
        <w:ind w:left="2220" w:hanging="270"/>
      </w:pPr>
      <w:rPr>
        <w:rFonts w:hint="default"/>
        <w:lang w:val="en-US" w:eastAsia="en-US" w:bidi="ar-SA"/>
      </w:rPr>
    </w:lvl>
    <w:lvl w:ilvl="7" w:tplc="4D4232E8">
      <w:numFmt w:val="bullet"/>
      <w:lvlText w:val="•"/>
      <w:lvlJc w:val="left"/>
      <w:pPr>
        <w:ind w:left="2544" w:hanging="270"/>
      </w:pPr>
      <w:rPr>
        <w:rFonts w:hint="default"/>
        <w:lang w:val="en-US" w:eastAsia="en-US" w:bidi="ar-SA"/>
      </w:rPr>
    </w:lvl>
    <w:lvl w:ilvl="8" w:tplc="6EDC8292">
      <w:numFmt w:val="bullet"/>
      <w:lvlText w:val="•"/>
      <w:lvlJc w:val="left"/>
      <w:pPr>
        <w:ind w:left="2868" w:hanging="270"/>
      </w:pPr>
      <w:rPr>
        <w:rFonts w:hint="default"/>
        <w:lang w:val="en-US" w:eastAsia="en-US" w:bidi="ar-SA"/>
      </w:rPr>
    </w:lvl>
  </w:abstractNum>
  <w:abstractNum w:abstractNumId="35" w15:restartNumberingAfterBreak="0">
    <w:nsid w:val="4B3D2879"/>
    <w:multiLevelType w:val="hybridMultilevel"/>
    <w:tmpl w:val="BDEA5BAA"/>
    <w:lvl w:ilvl="0" w:tplc="E7A074D8">
      <w:start w:val="2"/>
      <w:numFmt w:val="lowerRoman"/>
      <w:lvlText w:val="(%1)"/>
      <w:lvlJc w:val="left"/>
      <w:pPr>
        <w:ind w:left="160" w:hanging="290"/>
        <w:jc w:val="left"/>
      </w:pPr>
      <w:rPr>
        <w:rFonts w:ascii="Cambria" w:eastAsia="Cambria" w:hAnsi="Cambria" w:cs="Cambria" w:hint="default"/>
        <w:b w:val="0"/>
        <w:bCs w:val="0"/>
        <w:i w:val="0"/>
        <w:iCs w:val="0"/>
        <w:spacing w:val="0"/>
        <w:w w:val="100"/>
        <w:sz w:val="18"/>
        <w:szCs w:val="18"/>
        <w:lang w:val="en-US" w:eastAsia="en-US" w:bidi="ar-SA"/>
      </w:rPr>
    </w:lvl>
    <w:lvl w:ilvl="1" w:tplc="16CCF452">
      <w:start w:val="1"/>
      <w:numFmt w:val="lowerLetter"/>
      <w:lvlText w:val="(%2)"/>
      <w:lvlJc w:val="left"/>
      <w:pPr>
        <w:ind w:left="160" w:hanging="260"/>
        <w:jc w:val="left"/>
      </w:pPr>
      <w:rPr>
        <w:rFonts w:ascii="Cambria" w:eastAsia="Cambria" w:hAnsi="Cambria" w:cs="Cambria" w:hint="default"/>
        <w:b w:val="0"/>
        <w:bCs w:val="0"/>
        <w:i w:val="0"/>
        <w:iCs w:val="0"/>
        <w:spacing w:val="0"/>
        <w:w w:val="93"/>
        <w:sz w:val="18"/>
        <w:szCs w:val="18"/>
        <w:lang w:val="en-US" w:eastAsia="en-US" w:bidi="ar-SA"/>
      </w:rPr>
    </w:lvl>
    <w:lvl w:ilvl="2" w:tplc="B1823628">
      <w:numFmt w:val="bullet"/>
      <w:lvlText w:val="•"/>
      <w:lvlJc w:val="left"/>
      <w:pPr>
        <w:ind w:left="-585" w:hanging="260"/>
      </w:pPr>
      <w:rPr>
        <w:rFonts w:hint="default"/>
        <w:lang w:val="en-US" w:eastAsia="en-US" w:bidi="ar-SA"/>
      </w:rPr>
    </w:lvl>
    <w:lvl w:ilvl="3" w:tplc="F83A766E">
      <w:numFmt w:val="bullet"/>
      <w:lvlText w:val="•"/>
      <w:lvlJc w:val="left"/>
      <w:pPr>
        <w:ind w:left="-958" w:hanging="260"/>
      </w:pPr>
      <w:rPr>
        <w:rFonts w:hint="default"/>
        <w:lang w:val="en-US" w:eastAsia="en-US" w:bidi="ar-SA"/>
      </w:rPr>
    </w:lvl>
    <w:lvl w:ilvl="4" w:tplc="CEA070A6">
      <w:numFmt w:val="bullet"/>
      <w:lvlText w:val="•"/>
      <w:lvlJc w:val="left"/>
      <w:pPr>
        <w:ind w:left="-1330" w:hanging="260"/>
      </w:pPr>
      <w:rPr>
        <w:rFonts w:hint="default"/>
        <w:lang w:val="en-US" w:eastAsia="en-US" w:bidi="ar-SA"/>
      </w:rPr>
    </w:lvl>
    <w:lvl w:ilvl="5" w:tplc="E8CC598C">
      <w:numFmt w:val="bullet"/>
      <w:lvlText w:val="•"/>
      <w:lvlJc w:val="left"/>
      <w:pPr>
        <w:ind w:left="-1703" w:hanging="260"/>
      </w:pPr>
      <w:rPr>
        <w:rFonts w:hint="default"/>
        <w:lang w:val="en-US" w:eastAsia="en-US" w:bidi="ar-SA"/>
      </w:rPr>
    </w:lvl>
    <w:lvl w:ilvl="6" w:tplc="C998791A">
      <w:numFmt w:val="bullet"/>
      <w:lvlText w:val="•"/>
      <w:lvlJc w:val="left"/>
      <w:pPr>
        <w:ind w:left="-2075" w:hanging="260"/>
      </w:pPr>
      <w:rPr>
        <w:rFonts w:hint="default"/>
        <w:lang w:val="en-US" w:eastAsia="en-US" w:bidi="ar-SA"/>
      </w:rPr>
    </w:lvl>
    <w:lvl w:ilvl="7" w:tplc="36DABFFE">
      <w:numFmt w:val="bullet"/>
      <w:lvlText w:val="•"/>
      <w:lvlJc w:val="left"/>
      <w:pPr>
        <w:ind w:left="-2448" w:hanging="260"/>
      </w:pPr>
      <w:rPr>
        <w:rFonts w:hint="default"/>
        <w:lang w:val="en-US" w:eastAsia="en-US" w:bidi="ar-SA"/>
      </w:rPr>
    </w:lvl>
    <w:lvl w:ilvl="8" w:tplc="EAC4E7D2">
      <w:numFmt w:val="bullet"/>
      <w:lvlText w:val="•"/>
      <w:lvlJc w:val="left"/>
      <w:pPr>
        <w:ind w:left="-2820" w:hanging="260"/>
      </w:pPr>
      <w:rPr>
        <w:rFonts w:hint="default"/>
        <w:lang w:val="en-US" w:eastAsia="en-US" w:bidi="ar-SA"/>
      </w:rPr>
    </w:lvl>
  </w:abstractNum>
  <w:abstractNum w:abstractNumId="36" w15:restartNumberingAfterBreak="0">
    <w:nsid w:val="4C8428F4"/>
    <w:multiLevelType w:val="hybridMultilevel"/>
    <w:tmpl w:val="BD0E7C48"/>
    <w:lvl w:ilvl="0" w:tplc="32BE1BBC">
      <w:start w:val="1"/>
      <w:numFmt w:val="decimal"/>
      <w:lvlText w:val="(%1)"/>
      <w:lvlJc w:val="left"/>
      <w:pPr>
        <w:ind w:left="609" w:hanging="270"/>
        <w:jc w:val="left"/>
      </w:pPr>
      <w:rPr>
        <w:rFonts w:ascii="Cambria" w:eastAsia="Cambria" w:hAnsi="Cambria" w:cs="Cambria" w:hint="default"/>
        <w:b w:val="0"/>
        <w:bCs w:val="0"/>
        <w:i w:val="0"/>
        <w:iCs w:val="0"/>
        <w:spacing w:val="0"/>
        <w:w w:val="92"/>
        <w:sz w:val="18"/>
        <w:szCs w:val="18"/>
        <w:lang w:val="en-US" w:eastAsia="en-US" w:bidi="ar-SA"/>
      </w:rPr>
    </w:lvl>
    <w:lvl w:ilvl="1" w:tplc="69E6F972">
      <w:numFmt w:val="bullet"/>
      <w:lvlText w:val="•"/>
      <w:lvlJc w:val="left"/>
      <w:pPr>
        <w:ind w:left="891" w:hanging="270"/>
      </w:pPr>
      <w:rPr>
        <w:rFonts w:hint="default"/>
        <w:lang w:val="en-US" w:eastAsia="en-US" w:bidi="ar-SA"/>
      </w:rPr>
    </w:lvl>
    <w:lvl w:ilvl="2" w:tplc="576C1F20">
      <w:numFmt w:val="bullet"/>
      <w:lvlText w:val="•"/>
      <w:lvlJc w:val="left"/>
      <w:pPr>
        <w:ind w:left="1183" w:hanging="270"/>
      </w:pPr>
      <w:rPr>
        <w:rFonts w:hint="default"/>
        <w:lang w:val="en-US" w:eastAsia="en-US" w:bidi="ar-SA"/>
      </w:rPr>
    </w:lvl>
    <w:lvl w:ilvl="3" w:tplc="8F1CBE62">
      <w:numFmt w:val="bullet"/>
      <w:lvlText w:val="•"/>
      <w:lvlJc w:val="left"/>
      <w:pPr>
        <w:ind w:left="1474" w:hanging="270"/>
      </w:pPr>
      <w:rPr>
        <w:rFonts w:hint="default"/>
        <w:lang w:val="en-US" w:eastAsia="en-US" w:bidi="ar-SA"/>
      </w:rPr>
    </w:lvl>
    <w:lvl w:ilvl="4" w:tplc="4FF6F6DC">
      <w:numFmt w:val="bullet"/>
      <w:lvlText w:val="•"/>
      <w:lvlJc w:val="left"/>
      <w:pPr>
        <w:ind w:left="1766" w:hanging="270"/>
      </w:pPr>
      <w:rPr>
        <w:rFonts w:hint="default"/>
        <w:lang w:val="en-US" w:eastAsia="en-US" w:bidi="ar-SA"/>
      </w:rPr>
    </w:lvl>
    <w:lvl w:ilvl="5" w:tplc="0E8A3C5A">
      <w:numFmt w:val="bullet"/>
      <w:lvlText w:val="•"/>
      <w:lvlJc w:val="left"/>
      <w:pPr>
        <w:ind w:left="2058" w:hanging="270"/>
      </w:pPr>
      <w:rPr>
        <w:rFonts w:hint="default"/>
        <w:lang w:val="en-US" w:eastAsia="en-US" w:bidi="ar-SA"/>
      </w:rPr>
    </w:lvl>
    <w:lvl w:ilvl="6" w:tplc="93C225F2">
      <w:numFmt w:val="bullet"/>
      <w:lvlText w:val="•"/>
      <w:lvlJc w:val="left"/>
      <w:pPr>
        <w:ind w:left="2349" w:hanging="270"/>
      </w:pPr>
      <w:rPr>
        <w:rFonts w:hint="default"/>
        <w:lang w:val="en-US" w:eastAsia="en-US" w:bidi="ar-SA"/>
      </w:rPr>
    </w:lvl>
    <w:lvl w:ilvl="7" w:tplc="FCA04EE0">
      <w:numFmt w:val="bullet"/>
      <w:lvlText w:val="•"/>
      <w:lvlJc w:val="left"/>
      <w:pPr>
        <w:ind w:left="2641" w:hanging="270"/>
      </w:pPr>
      <w:rPr>
        <w:rFonts w:hint="default"/>
        <w:lang w:val="en-US" w:eastAsia="en-US" w:bidi="ar-SA"/>
      </w:rPr>
    </w:lvl>
    <w:lvl w:ilvl="8" w:tplc="5A804346">
      <w:numFmt w:val="bullet"/>
      <w:lvlText w:val="•"/>
      <w:lvlJc w:val="left"/>
      <w:pPr>
        <w:ind w:left="2932" w:hanging="270"/>
      </w:pPr>
      <w:rPr>
        <w:rFonts w:hint="default"/>
        <w:lang w:val="en-US" w:eastAsia="en-US" w:bidi="ar-SA"/>
      </w:rPr>
    </w:lvl>
  </w:abstractNum>
  <w:abstractNum w:abstractNumId="37" w15:restartNumberingAfterBreak="0">
    <w:nsid w:val="5187009C"/>
    <w:multiLevelType w:val="hybridMultilevel"/>
    <w:tmpl w:val="1A208F38"/>
    <w:lvl w:ilvl="0" w:tplc="FAD8E69E">
      <w:start w:val="2"/>
      <w:numFmt w:val="lowerRoman"/>
      <w:lvlText w:val="(%1)"/>
      <w:lvlJc w:val="left"/>
      <w:pPr>
        <w:ind w:left="623" w:hanging="289"/>
        <w:jc w:val="left"/>
      </w:pPr>
      <w:rPr>
        <w:rFonts w:ascii="Cambria" w:eastAsia="Cambria" w:hAnsi="Cambria" w:cs="Cambria" w:hint="default"/>
        <w:b w:val="0"/>
        <w:bCs w:val="0"/>
        <w:i w:val="0"/>
        <w:iCs w:val="0"/>
        <w:spacing w:val="0"/>
        <w:w w:val="100"/>
        <w:sz w:val="18"/>
        <w:szCs w:val="18"/>
        <w:lang w:val="en-US" w:eastAsia="en-US" w:bidi="ar-SA"/>
      </w:rPr>
    </w:lvl>
    <w:lvl w:ilvl="1" w:tplc="FC247838">
      <w:numFmt w:val="bullet"/>
      <w:lvlText w:val="•"/>
      <w:lvlJc w:val="left"/>
      <w:pPr>
        <w:ind w:left="908" w:hanging="289"/>
      </w:pPr>
      <w:rPr>
        <w:rFonts w:hint="default"/>
        <w:lang w:val="en-US" w:eastAsia="en-US" w:bidi="ar-SA"/>
      </w:rPr>
    </w:lvl>
    <w:lvl w:ilvl="2" w:tplc="6E1206B8">
      <w:numFmt w:val="bullet"/>
      <w:lvlText w:val="•"/>
      <w:lvlJc w:val="left"/>
      <w:pPr>
        <w:ind w:left="1197" w:hanging="289"/>
      </w:pPr>
      <w:rPr>
        <w:rFonts w:hint="default"/>
        <w:lang w:val="en-US" w:eastAsia="en-US" w:bidi="ar-SA"/>
      </w:rPr>
    </w:lvl>
    <w:lvl w:ilvl="3" w:tplc="16C85FD2">
      <w:numFmt w:val="bullet"/>
      <w:lvlText w:val="•"/>
      <w:lvlJc w:val="left"/>
      <w:pPr>
        <w:ind w:left="1486" w:hanging="289"/>
      </w:pPr>
      <w:rPr>
        <w:rFonts w:hint="default"/>
        <w:lang w:val="en-US" w:eastAsia="en-US" w:bidi="ar-SA"/>
      </w:rPr>
    </w:lvl>
    <w:lvl w:ilvl="4" w:tplc="93D4BBB8">
      <w:numFmt w:val="bullet"/>
      <w:lvlText w:val="•"/>
      <w:lvlJc w:val="left"/>
      <w:pPr>
        <w:ind w:left="1775" w:hanging="289"/>
      </w:pPr>
      <w:rPr>
        <w:rFonts w:hint="default"/>
        <w:lang w:val="en-US" w:eastAsia="en-US" w:bidi="ar-SA"/>
      </w:rPr>
    </w:lvl>
    <w:lvl w:ilvl="5" w:tplc="08F892FA">
      <w:numFmt w:val="bullet"/>
      <w:lvlText w:val="•"/>
      <w:lvlJc w:val="left"/>
      <w:pPr>
        <w:ind w:left="2064" w:hanging="289"/>
      </w:pPr>
      <w:rPr>
        <w:rFonts w:hint="default"/>
        <w:lang w:val="en-US" w:eastAsia="en-US" w:bidi="ar-SA"/>
      </w:rPr>
    </w:lvl>
    <w:lvl w:ilvl="6" w:tplc="210882AC">
      <w:numFmt w:val="bullet"/>
      <w:lvlText w:val="•"/>
      <w:lvlJc w:val="left"/>
      <w:pPr>
        <w:ind w:left="2353" w:hanging="289"/>
      </w:pPr>
      <w:rPr>
        <w:rFonts w:hint="default"/>
        <w:lang w:val="en-US" w:eastAsia="en-US" w:bidi="ar-SA"/>
      </w:rPr>
    </w:lvl>
    <w:lvl w:ilvl="7" w:tplc="8344644C">
      <w:numFmt w:val="bullet"/>
      <w:lvlText w:val="•"/>
      <w:lvlJc w:val="left"/>
      <w:pPr>
        <w:ind w:left="2642" w:hanging="289"/>
      </w:pPr>
      <w:rPr>
        <w:rFonts w:hint="default"/>
        <w:lang w:val="en-US" w:eastAsia="en-US" w:bidi="ar-SA"/>
      </w:rPr>
    </w:lvl>
    <w:lvl w:ilvl="8" w:tplc="33C448C0">
      <w:numFmt w:val="bullet"/>
      <w:lvlText w:val="•"/>
      <w:lvlJc w:val="left"/>
      <w:pPr>
        <w:ind w:left="2931" w:hanging="289"/>
      </w:pPr>
      <w:rPr>
        <w:rFonts w:hint="default"/>
        <w:lang w:val="en-US" w:eastAsia="en-US" w:bidi="ar-SA"/>
      </w:rPr>
    </w:lvl>
  </w:abstractNum>
  <w:abstractNum w:abstractNumId="38" w15:restartNumberingAfterBreak="0">
    <w:nsid w:val="528D24A6"/>
    <w:multiLevelType w:val="hybridMultilevel"/>
    <w:tmpl w:val="6D5CBF30"/>
    <w:lvl w:ilvl="0" w:tplc="05DC04FA">
      <w:start w:val="1"/>
      <w:numFmt w:val="decimal"/>
      <w:lvlText w:val="(%1)"/>
      <w:lvlJc w:val="left"/>
      <w:pPr>
        <w:ind w:left="609" w:hanging="270"/>
        <w:jc w:val="left"/>
      </w:pPr>
      <w:rPr>
        <w:rFonts w:ascii="Cambria" w:eastAsia="Cambria" w:hAnsi="Cambria" w:cs="Cambria" w:hint="default"/>
        <w:b w:val="0"/>
        <w:bCs w:val="0"/>
        <w:i w:val="0"/>
        <w:iCs w:val="0"/>
        <w:spacing w:val="0"/>
        <w:w w:val="92"/>
        <w:sz w:val="18"/>
        <w:szCs w:val="18"/>
        <w:lang w:val="en-US" w:eastAsia="en-US" w:bidi="ar-SA"/>
      </w:rPr>
    </w:lvl>
    <w:lvl w:ilvl="1" w:tplc="3D6CA288">
      <w:numFmt w:val="bullet"/>
      <w:lvlText w:val="•"/>
      <w:lvlJc w:val="left"/>
      <w:pPr>
        <w:ind w:left="891" w:hanging="270"/>
      </w:pPr>
      <w:rPr>
        <w:rFonts w:hint="default"/>
        <w:lang w:val="en-US" w:eastAsia="en-US" w:bidi="ar-SA"/>
      </w:rPr>
    </w:lvl>
    <w:lvl w:ilvl="2" w:tplc="B9CE9568">
      <w:numFmt w:val="bullet"/>
      <w:lvlText w:val="•"/>
      <w:lvlJc w:val="left"/>
      <w:pPr>
        <w:ind w:left="1183" w:hanging="270"/>
      </w:pPr>
      <w:rPr>
        <w:rFonts w:hint="default"/>
        <w:lang w:val="en-US" w:eastAsia="en-US" w:bidi="ar-SA"/>
      </w:rPr>
    </w:lvl>
    <w:lvl w:ilvl="3" w:tplc="50F40674">
      <w:numFmt w:val="bullet"/>
      <w:lvlText w:val="•"/>
      <w:lvlJc w:val="left"/>
      <w:pPr>
        <w:ind w:left="1474" w:hanging="270"/>
      </w:pPr>
      <w:rPr>
        <w:rFonts w:hint="default"/>
        <w:lang w:val="en-US" w:eastAsia="en-US" w:bidi="ar-SA"/>
      </w:rPr>
    </w:lvl>
    <w:lvl w:ilvl="4" w:tplc="00F89AC0">
      <w:numFmt w:val="bullet"/>
      <w:lvlText w:val="•"/>
      <w:lvlJc w:val="left"/>
      <w:pPr>
        <w:ind w:left="1766" w:hanging="270"/>
      </w:pPr>
      <w:rPr>
        <w:rFonts w:hint="default"/>
        <w:lang w:val="en-US" w:eastAsia="en-US" w:bidi="ar-SA"/>
      </w:rPr>
    </w:lvl>
    <w:lvl w:ilvl="5" w:tplc="4CE204FA">
      <w:numFmt w:val="bullet"/>
      <w:lvlText w:val="•"/>
      <w:lvlJc w:val="left"/>
      <w:pPr>
        <w:ind w:left="2058" w:hanging="270"/>
      </w:pPr>
      <w:rPr>
        <w:rFonts w:hint="default"/>
        <w:lang w:val="en-US" w:eastAsia="en-US" w:bidi="ar-SA"/>
      </w:rPr>
    </w:lvl>
    <w:lvl w:ilvl="6" w:tplc="288A8294">
      <w:numFmt w:val="bullet"/>
      <w:lvlText w:val="•"/>
      <w:lvlJc w:val="left"/>
      <w:pPr>
        <w:ind w:left="2349" w:hanging="270"/>
      </w:pPr>
      <w:rPr>
        <w:rFonts w:hint="default"/>
        <w:lang w:val="en-US" w:eastAsia="en-US" w:bidi="ar-SA"/>
      </w:rPr>
    </w:lvl>
    <w:lvl w:ilvl="7" w:tplc="EBB62666">
      <w:numFmt w:val="bullet"/>
      <w:lvlText w:val="•"/>
      <w:lvlJc w:val="left"/>
      <w:pPr>
        <w:ind w:left="2641" w:hanging="270"/>
      </w:pPr>
      <w:rPr>
        <w:rFonts w:hint="default"/>
        <w:lang w:val="en-US" w:eastAsia="en-US" w:bidi="ar-SA"/>
      </w:rPr>
    </w:lvl>
    <w:lvl w:ilvl="8" w:tplc="5EBE324C">
      <w:numFmt w:val="bullet"/>
      <w:lvlText w:val="•"/>
      <w:lvlJc w:val="left"/>
      <w:pPr>
        <w:ind w:left="2932" w:hanging="270"/>
      </w:pPr>
      <w:rPr>
        <w:rFonts w:hint="default"/>
        <w:lang w:val="en-US" w:eastAsia="en-US" w:bidi="ar-SA"/>
      </w:rPr>
    </w:lvl>
  </w:abstractNum>
  <w:abstractNum w:abstractNumId="39" w15:restartNumberingAfterBreak="0">
    <w:nsid w:val="59E57A03"/>
    <w:multiLevelType w:val="hybridMultilevel"/>
    <w:tmpl w:val="0E6CB230"/>
    <w:lvl w:ilvl="0" w:tplc="7902A3B8">
      <w:start w:val="1"/>
      <w:numFmt w:val="decimal"/>
      <w:lvlText w:val="%1."/>
      <w:lvlJc w:val="left"/>
      <w:pPr>
        <w:ind w:left="143" w:hanging="200"/>
        <w:jc w:val="left"/>
      </w:pPr>
      <w:rPr>
        <w:rFonts w:ascii="Cambria" w:eastAsia="Cambria" w:hAnsi="Cambria" w:cs="Cambria" w:hint="default"/>
        <w:b w:val="0"/>
        <w:bCs w:val="0"/>
        <w:i w:val="0"/>
        <w:iCs w:val="0"/>
        <w:spacing w:val="0"/>
        <w:w w:val="109"/>
        <w:sz w:val="18"/>
        <w:szCs w:val="18"/>
        <w:lang w:val="en-US" w:eastAsia="en-US" w:bidi="ar-SA"/>
      </w:rPr>
    </w:lvl>
    <w:lvl w:ilvl="1" w:tplc="333AC010">
      <w:numFmt w:val="bullet"/>
      <w:lvlText w:val="•"/>
      <w:lvlJc w:val="left"/>
      <w:pPr>
        <w:ind w:left="488" w:hanging="200"/>
      </w:pPr>
      <w:rPr>
        <w:rFonts w:hint="default"/>
        <w:lang w:val="en-US" w:eastAsia="en-US" w:bidi="ar-SA"/>
      </w:rPr>
    </w:lvl>
    <w:lvl w:ilvl="2" w:tplc="B8EA9CC0">
      <w:numFmt w:val="bullet"/>
      <w:lvlText w:val="•"/>
      <w:lvlJc w:val="left"/>
      <w:pPr>
        <w:ind w:left="836" w:hanging="200"/>
      </w:pPr>
      <w:rPr>
        <w:rFonts w:hint="default"/>
        <w:lang w:val="en-US" w:eastAsia="en-US" w:bidi="ar-SA"/>
      </w:rPr>
    </w:lvl>
    <w:lvl w:ilvl="3" w:tplc="0116240A">
      <w:numFmt w:val="bullet"/>
      <w:lvlText w:val="•"/>
      <w:lvlJc w:val="left"/>
      <w:pPr>
        <w:ind w:left="1184" w:hanging="200"/>
      </w:pPr>
      <w:rPr>
        <w:rFonts w:hint="default"/>
        <w:lang w:val="en-US" w:eastAsia="en-US" w:bidi="ar-SA"/>
      </w:rPr>
    </w:lvl>
    <w:lvl w:ilvl="4" w:tplc="1F88EF88">
      <w:numFmt w:val="bullet"/>
      <w:lvlText w:val="•"/>
      <w:lvlJc w:val="left"/>
      <w:pPr>
        <w:ind w:left="1533" w:hanging="200"/>
      </w:pPr>
      <w:rPr>
        <w:rFonts w:hint="default"/>
        <w:lang w:val="en-US" w:eastAsia="en-US" w:bidi="ar-SA"/>
      </w:rPr>
    </w:lvl>
    <w:lvl w:ilvl="5" w:tplc="D826B0E0">
      <w:numFmt w:val="bullet"/>
      <w:lvlText w:val="•"/>
      <w:lvlJc w:val="left"/>
      <w:pPr>
        <w:ind w:left="1881" w:hanging="200"/>
      </w:pPr>
      <w:rPr>
        <w:rFonts w:hint="default"/>
        <w:lang w:val="en-US" w:eastAsia="en-US" w:bidi="ar-SA"/>
      </w:rPr>
    </w:lvl>
    <w:lvl w:ilvl="6" w:tplc="0CB02A1A">
      <w:numFmt w:val="bullet"/>
      <w:lvlText w:val="•"/>
      <w:lvlJc w:val="left"/>
      <w:pPr>
        <w:ind w:left="2229" w:hanging="200"/>
      </w:pPr>
      <w:rPr>
        <w:rFonts w:hint="default"/>
        <w:lang w:val="en-US" w:eastAsia="en-US" w:bidi="ar-SA"/>
      </w:rPr>
    </w:lvl>
    <w:lvl w:ilvl="7" w:tplc="91003690">
      <w:numFmt w:val="bullet"/>
      <w:lvlText w:val="•"/>
      <w:lvlJc w:val="left"/>
      <w:pPr>
        <w:ind w:left="2578" w:hanging="200"/>
      </w:pPr>
      <w:rPr>
        <w:rFonts w:hint="default"/>
        <w:lang w:val="en-US" w:eastAsia="en-US" w:bidi="ar-SA"/>
      </w:rPr>
    </w:lvl>
    <w:lvl w:ilvl="8" w:tplc="A81849B0">
      <w:numFmt w:val="bullet"/>
      <w:lvlText w:val="•"/>
      <w:lvlJc w:val="left"/>
      <w:pPr>
        <w:ind w:left="2926" w:hanging="200"/>
      </w:pPr>
      <w:rPr>
        <w:rFonts w:hint="default"/>
        <w:lang w:val="en-US" w:eastAsia="en-US" w:bidi="ar-SA"/>
      </w:rPr>
    </w:lvl>
  </w:abstractNum>
  <w:abstractNum w:abstractNumId="40" w15:restartNumberingAfterBreak="0">
    <w:nsid w:val="5A203B28"/>
    <w:multiLevelType w:val="hybridMultilevel"/>
    <w:tmpl w:val="4BE4E75A"/>
    <w:lvl w:ilvl="0" w:tplc="0366984E">
      <w:start w:val="1"/>
      <w:numFmt w:val="lowerLetter"/>
      <w:lvlText w:val="(%1)"/>
      <w:lvlJc w:val="left"/>
      <w:pPr>
        <w:ind w:left="145" w:hanging="260"/>
        <w:jc w:val="left"/>
      </w:pPr>
      <w:rPr>
        <w:rFonts w:ascii="Cambria" w:eastAsia="Cambria" w:hAnsi="Cambria" w:cs="Cambria" w:hint="default"/>
        <w:b w:val="0"/>
        <w:bCs w:val="0"/>
        <w:i w:val="0"/>
        <w:iCs w:val="0"/>
        <w:spacing w:val="0"/>
        <w:w w:val="93"/>
        <w:sz w:val="18"/>
        <w:szCs w:val="18"/>
        <w:lang w:val="en-US" w:eastAsia="en-US" w:bidi="ar-SA"/>
      </w:rPr>
    </w:lvl>
    <w:lvl w:ilvl="1" w:tplc="879029BE">
      <w:start w:val="1"/>
      <w:numFmt w:val="decimal"/>
      <w:lvlText w:val="(%2)"/>
      <w:lvlJc w:val="left"/>
      <w:pPr>
        <w:ind w:left="594" w:hanging="270"/>
        <w:jc w:val="left"/>
      </w:pPr>
      <w:rPr>
        <w:rFonts w:ascii="Cambria" w:eastAsia="Cambria" w:hAnsi="Cambria" w:cs="Cambria" w:hint="default"/>
        <w:b w:val="0"/>
        <w:bCs w:val="0"/>
        <w:i w:val="0"/>
        <w:iCs w:val="0"/>
        <w:spacing w:val="0"/>
        <w:w w:val="92"/>
        <w:sz w:val="18"/>
        <w:szCs w:val="18"/>
        <w:lang w:val="en-US" w:eastAsia="en-US" w:bidi="ar-SA"/>
      </w:rPr>
    </w:lvl>
    <w:lvl w:ilvl="2" w:tplc="DC0EAC70">
      <w:numFmt w:val="bullet"/>
      <w:lvlText w:val="•"/>
      <w:lvlJc w:val="left"/>
      <w:pPr>
        <w:ind w:left="936" w:hanging="270"/>
      </w:pPr>
      <w:rPr>
        <w:rFonts w:hint="default"/>
        <w:lang w:val="en-US" w:eastAsia="en-US" w:bidi="ar-SA"/>
      </w:rPr>
    </w:lvl>
    <w:lvl w:ilvl="3" w:tplc="BA2EE8FA">
      <w:numFmt w:val="bullet"/>
      <w:lvlText w:val="•"/>
      <w:lvlJc w:val="left"/>
      <w:pPr>
        <w:ind w:left="1272" w:hanging="270"/>
      </w:pPr>
      <w:rPr>
        <w:rFonts w:hint="default"/>
        <w:lang w:val="en-US" w:eastAsia="en-US" w:bidi="ar-SA"/>
      </w:rPr>
    </w:lvl>
    <w:lvl w:ilvl="4" w:tplc="4432B9EE">
      <w:numFmt w:val="bullet"/>
      <w:lvlText w:val="•"/>
      <w:lvlJc w:val="left"/>
      <w:pPr>
        <w:ind w:left="1608" w:hanging="270"/>
      </w:pPr>
      <w:rPr>
        <w:rFonts w:hint="default"/>
        <w:lang w:val="en-US" w:eastAsia="en-US" w:bidi="ar-SA"/>
      </w:rPr>
    </w:lvl>
    <w:lvl w:ilvl="5" w:tplc="7D3E45CA">
      <w:numFmt w:val="bullet"/>
      <w:lvlText w:val="•"/>
      <w:lvlJc w:val="left"/>
      <w:pPr>
        <w:ind w:left="1944" w:hanging="270"/>
      </w:pPr>
      <w:rPr>
        <w:rFonts w:hint="default"/>
        <w:lang w:val="en-US" w:eastAsia="en-US" w:bidi="ar-SA"/>
      </w:rPr>
    </w:lvl>
    <w:lvl w:ilvl="6" w:tplc="EAE4D00A">
      <w:numFmt w:val="bullet"/>
      <w:lvlText w:val="•"/>
      <w:lvlJc w:val="left"/>
      <w:pPr>
        <w:ind w:left="2280" w:hanging="270"/>
      </w:pPr>
      <w:rPr>
        <w:rFonts w:hint="default"/>
        <w:lang w:val="en-US" w:eastAsia="en-US" w:bidi="ar-SA"/>
      </w:rPr>
    </w:lvl>
    <w:lvl w:ilvl="7" w:tplc="ADC0367C">
      <w:numFmt w:val="bullet"/>
      <w:lvlText w:val="•"/>
      <w:lvlJc w:val="left"/>
      <w:pPr>
        <w:ind w:left="2616" w:hanging="270"/>
      </w:pPr>
      <w:rPr>
        <w:rFonts w:hint="default"/>
        <w:lang w:val="en-US" w:eastAsia="en-US" w:bidi="ar-SA"/>
      </w:rPr>
    </w:lvl>
    <w:lvl w:ilvl="8" w:tplc="7D78D58C">
      <w:numFmt w:val="bullet"/>
      <w:lvlText w:val="•"/>
      <w:lvlJc w:val="left"/>
      <w:pPr>
        <w:ind w:left="2952" w:hanging="270"/>
      </w:pPr>
      <w:rPr>
        <w:rFonts w:hint="default"/>
        <w:lang w:val="en-US" w:eastAsia="en-US" w:bidi="ar-SA"/>
      </w:rPr>
    </w:lvl>
  </w:abstractNum>
  <w:abstractNum w:abstractNumId="41" w15:restartNumberingAfterBreak="0">
    <w:nsid w:val="5C68547B"/>
    <w:multiLevelType w:val="hybridMultilevel"/>
    <w:tmpl w:val="51A8F5B0"/>
    <w:lvl w:ilvl="0" w:tplc="E4DC6BB6">
      <w:start w:val="1"/>
      <w:numFmt w:val="decimal"/>
      <w:lvlText w:val="%1."/>
      <w:lvlJc w:val="left"/>
      <w:pPr>
        <w:ind w:left="339" w:hanging="200"/>
        <w:jc w:val="left"/>
      </w:pPr>
      <w:rPr>
        <w:rFonts w:ascii="Cambria" w:eastAsia="Cambria" w:hAnsi="Cambria" w:cs="Cambria" w:hint="default"/>
        <w:b w:val="0"/>
        <w:bCs w:val="0"/>
        <w:i w:val="0"/>
        <w:iCs w:val="0"/>
        <w:spacing w:val="0"/>
        <w:w w:val="109"/>
        <w:sz w:val="18"/>
        <w:szCs w:val="18"/>
        <w:lang w:val="en-US" w:eastAsia="en-US" w:bidi="ar-SA"/>
      </w:rPr>
    </w:lvl>
    <w:lvl w:ilvl="1" w:tplc="AF5035EA">
      <w:numFmt w:val="bullet"/>
      <w:lvlText w:val="•"/>
      <w:lvlJc w:val="left"/>
      <w:pPr>
        <w:ind w:left="657" w:hanging="200"/>
      </w:pPr>
      <w:rPr>
        <w:rFonts w:hint="default"/>
        <w:lang w:val="en-US" w:eastAsia="en-US" w:bidi="ar-SA"/>
      </w:rPr>
    </w:lvl>
    <w:lvl w:ilvl="2" w:tplc="D3B2F532">
      <w:numFmt w:val="bullet"/>
      <w:lvlText w:val="•"/>
      <w:lvlJc w:val="left"/>
      <w:pPr>
        <w:ind w:left="974" w:hanging="200"/>
      </w:pPr>
      <w:rPr>
        <w:rFonts w:hint="default"/>
        <w:lang w:val="en-US" w:eastAsia="en-US" w:bidi="ar-SA"/>
      </w:rPr>
    </w:lvl>
    <w:lvl w:ilvl="3" w:tplc="23D88BE8">
      <w:numFmt w:val="bullet"/>
      <w:lvlText w:val="•"/>
      <w:lvlJc w:val="left"/>
      <w:pPr>
        <w:ind w:left="1292" w:hanging="200"/>
      </w:pPr>
      <w:rPr>
        <w:rFonts w:hint="default"/>
        <w:lang w:val="en-US" w:eastAsia="en-US" w:bidi="ar-SA"/>
      </w:rPr>
    </w:lvl>
    <w:lvl w:ilvl="4" w:tplc="E6F00DE8">
      <w:numFmt w:val="bullet"/>
      <w:lvlText w:val="•"/>
      <w:lvlJc w:val="left"/>
      <w:pPr>
        <w:ind w:left="1609" w:hanging="200"/>
      </w:pPr>
      <w:rPr>
        <w:rFonts w:hint="default"/>
        <w:lang w:val="en-US" w:eastAsia="en-US" w:bidi="ar-SA"/>
      </w:rPr>
    </w:lvl>
    <w:lvl w:ilvl="5" w:tplc="C6540A20">
      <w:numFmt w:val="bullet"/>
      <w:lvlText w:val="•"/>
      <w:lvlJc w:val="left"/>
      <w:pPr>
        <w:ind w:left="1927" w:hanging="200"/>
      </w:pPr>
      <w:rPr>
        <w:rFonts w:hint="default"/>
        <w:lang w:val="en-US" w:eastAsia="en-US" w:bidi="ar-SA"/>
      </w:rPr>
    </w:lvl>
    <w:lvl w:ilvl="6" w:tplc="F32A4E56">
      <w:numFmt w:val="bullet"/>
      <w:lvlText w:val="•"/>
      <w:lvlJc w:val="left"/>
      <w:pPr>
        <w:ind w:left="2244" w:hanging="200"/>
      </w:pPr>
      <w:rPr>
        <w:rFonts w:hint="default"/>
        <w:lang w:val="en-US" w:eastAsia="en-US" w:bidi="ar-SA"/>
      </w:rPr>
    </w:lvl>
    <w:lvl w:ilvl="7" w:tplc="C9C07C70">
      <w:numFmt w:val="bullet"/>
      <w:lvlText w:val="•"/>
      <w:lvlJc w:val="left"/>
      <w:pPr>
        <w:ind w:left="2562" w:hanging="200"/>
      </w:pPr>
      <w:rPr>
        <w:rFonts w:hint="default"/>
        <w:lang w:val="en-US" w:eastAsia="en-US" w:bidi="ar-SA"/>
      </w:rPr>
    </w:lvl>
    <w:lvl w:ilvl="8" w:tplc="39F6FAD8">
      <w:numFmt w:val="bullet"/>
      <w:lvlText w:val="•"/>
      <w:lvlJc w:val="left"/>
      <w:pPr>
        <w:ind w:left="2879" w:hanging="200"/>
      </w:pPr>
      <w:rPr>
        <w:rFonts w:hint="default"/>
        <w:lang w:val="en-US" w:eastAsia="en-US" w:bidi="ar-SA"/>
      </w:rPr>
    </w:lvl>
  </w:abstractNum>
  <w:abstractNum w:abstractNumId="42" w15:restartNumberingAfterBreak="0">
    <w:nsid w:val="5DC2154F"/>
    <w:multiLevelType w:val="hybridMultilevel"/>
    <w:tmpl w:val="34D42FA8"/>
    <w:lvl w:ilvl="0" w:tplc="CE36A7B8">
      <w:start w:val="1"/>
      <w:numFmt w:val="decimal"/>
      <w:lvlText w:val="(%1)"/>
      <w:lvlJc w:val="left"/>
      <w:pPr>
        <w:ind w:left="609" w:hanging="270"/>
        <w:jc w:val="left"/>
      </w:pPr>
      <w:rPr>
        <w:rFonts w:ascii="Cambria" w:eastAsia="Cambria" w:hAnsi="Cambria" w:cs="Cambria" w:hint="default"/>
        <w:b w:val="0"/>
        <w:bCs w:val="0"/>
        <w:i w:val="0"/>
        <w:iCs w:val="0"/>
        <w:spacing w:val="0"/>
        <w:w w:val="92"/>
        <w:sz w:val="18"/>
        <w:szCs w:val="18"/>
        <w:lang w:val="en-US" w:eastAsia="en-US" w:bidi="ar-SA"/>
      </w:rPr>
    </w:lvl>
    <w:lvl w:ilvl="1" w:tplc="D58A9B94">
      <w:start w:val="1"/>
      <w:numFmt w:val="lowerRoman"/>
      <w:lvlText w:val="(%2)"/>
      <w:lvlJc w:val="left"/>
      <w:pPr>
        <w:ind w:left="144" w:hanging="230"/>
        <w:jc w:val="left"/>
      </w:pPr>
      <w:rPr>
        <w:rFonts w:ascii="Cambria" w:eastAsia="Cambria" w:hAnsi="Cambria" w:cs="Cambria" w:hint="default"/>
        <w:b w:val="0"/>
        <w:bCs w:val="0"/>
        <w:i w:val="0"/>
        <w:iCs w:val="0"/>
        <w:spacing w:val="0"/>
        <w:w w:val="95"/>
        <w:sz w:val="18"/>
        <w:szCs w:val="18"/>
        <w:lang w:val="en-US" w:eastAsia="en-US" w:bidi="ar-SA"/>
      </w:rPr>
    </w:lvl>
    <w:lvl w:ilvl="2" w:tplc="EF3C7490">
      <w:start w:val="1"/>
      <w:numFmt w:val="decimal"/>
      <w:lvlText w:val="(%3)"/>
      <w:lvlJc w:val="left"/>
      <w:pPr>
        <w:ind w:left="144" w:hanging="270"/>
        <w:jc w:val="left"/>
      </w:pPr>
      <w:rPr>
        <w:rFonts w:ascii="Cambria" w:eastAsia="Cambria" w:hAnsi="Cambria" w:cs="Cambria" w:hint="default"/>
        <w:b w:val="0"/>
        <w:bCs w:val="0"/>
        <w:i w:val="0"/>
        <w:iCs w:val="0"/>
        <w:spacing w:val="0"/>
        <w:w w:val="92"/>
        <w:sz w:val="18"/>
        <w:szCs w:val="18"/>
        <w:lang w:val="en-US" w:eastAsia="en-US" w:bidi="ar-SA"/>
      </w:rPr>
    </w:lvl>
    <w:lvl w:ilvl="3" w:tplc="584849A0">
      <w:start w:val="1"/>
      <w:numFmt w:val="lowerLetter"/>
      <w:lvlText w:val="(%4)"/>
      <w:lvlJc w:val="left"/>
      <w:pPr>
        <w:ind w:left="143" w:hanging="260"/>
        <w:jc w:val="left"/>
      </w:pPr>
      <w:rPr>
        <w:rFonts w:ascii="Cambria" w:eastAsia="Cambria" w:hAnsi="Cambria" w:cs="Cambria" w:hint="default"/>
        <w:b w:val="0"/>
        <w:bCs w:val="0"/>
        <w:i w:val="0"/>
        <w:iCs w:val="0"/>
        <w:spacing w:val="0"/>
        <w:w w:val="93"/>
        <w:sz w:val="18"/>
        <w:szCs w:val="18"/>
        <w:lang w:val="en-US" w:eastAsia="en-US" w:bidi="ar-SA"/>
      </w:rPr>
    </w:lvl>
    <w:lvl w:ilvl="4" w:tplc="CDC456C4">
      <w:start w:val="1"/>
      <w:numFmt w:val="decimal"/>
      <w:lvlText w:val="(%5)"/>
      <w:lvlJc w:val="left"/>
      <w:pPr>
        <w:ind w:left="593" w:hanging="270"/>
        <w:jc w:val="left"/>
      </w:pPr>
      <w:rPr>
        <w:rFonts w:ascii="Cambria" w:eastAsia="Cambria" w:hAnsi="Cambria" w:cs="Cambria" w:hint="default"/>
        <w:b w:val="0"/>
        <w:bCs w:val="0"/>
        <w:i w:val="0"/>
        <w:iCs w:val="0"/>
        <w:spacing w:val="0"/>
        <w:w w:val="92"/>
        <w:sz w:val="18"/>
        <w:szCs w:val="18"/>
        <w:lang w:val="en-US" w:eastAsia="en-US" w:bidi="ar-SA"/>
      </w:rPr>
    </w:lvl>
    <w:lvl w:ilvl="5" w:tplc="16EEFA2C">
      <w:start w:val="1"/>
      <w:numFmt w:val="lowerRoman"/>
      <w:lvlText w:val="(%6)"/>
      <w:lvlJc w:val="left"/>
      <w:pPr>
        <w:ind w:left="143" w:hanging="230"/>
        <w:jc w:val="left"/>
      </w:pPr>
      <w:rPr>
        <w:rFonts w:ascii="Cambria" w:eastAsia="Cambria" w:hAnsi="Cambria" w:cs="Cambria" w:hint="default"/>
        <w:b w:val="0"/>
        <w:bCs w:val="0"/>
        <w:i w:val="0"/>
        <w:iCs w:val="0"/>
        <w:spacing w:val="0"/>
        <w:w w:val="95"/>
        <w:sz w:val="18"/>
        <w:szCs w:val="18"/>
        <w:lang w:val="en-US" w:eastAsia="en-US" w:bidi="ar-SA"/>
      </w:rPr>
    </w:lvl>
    <w:lvl w:ilvl="6" w:tplc="285A618A">
      <w:numFmt w:val="bullet"/>
      <w:lvlText w:val="•"/>
      <w:lvlJc w:val="left"/>
      <w:pPr>
        <w:ind w:left="-1491" w:hanging="230"/>
      </w:pPr>
      <w:rPr>
        <w:rFonts w:hint="default"/>
        <w:lang w:val="en-US" w:eastAsia="en-US" w:bidi="ar-SA"/>
      </w:rPr>
    </w:lvl>
    <w:lvl w:ilvl="7" w:tplc="55806A24">
      <w:numFmt w:val="bullet"/>
      <w:lvlText w:val="•"/>
      <w:lvlJc w:val="left"/>
      <w:pPr>
        <w:ind w:left="-2014" w:hanging="230"/>
      </w:pPr>
      <w:rPr>
        <w:rFonts w:hint="default"/>
        <w:lang w:val="en-US" w:eastAsia="en-US" w:bidi="ar-SA"/>
      </w:rPr>
    </w:lvl>
    <w:lvl w:ilvl="8" w:tplc="5744412C">
      <w:numFmt w:val="bullet"/>
      <w:lvlText w:val="•"/>
      <w:lvlJc w:val="left"/>
      <w:pPr>
        <w:ind w:left="-2536" w:hanging="230"/>
      </w:pPr>
      <w:rPr>
        <w:rFonts w:hint="default"/>
        <w:lang w:val="en-US" w:eastAsia="en-US" w:bidi="ar-SA"/>
      </w:rPr>
    </w:lvl>
  </w:abstractNum>
  <w:abstractNum w:abstractNumId="43" w15:restartNumberingAfterBreak="0">
    <w:nsid w:val="5E855CDB"/>
    <w:multiLevelType w:val="hybridMultilevel"/>
    <w:tmpl w:val="1EB45D2E"/>
    <w:lvl w:ilvl="0" w:tplc="0C3A7A74">
      <w:start w:val="2"/>
      <w:numFmt w:val="decimal"/>
      <w:lvlText w:val="(%1)"/>
      <w:lvlJc w:val="left"/>
      <w:pPr>
        <w:ind w:left="609" w:hanging="270"/>
        <w:jc w:val="left"/>
      </w:pPr>
      <w:rPr>
        <w:rFonts w:ascii="Cambria" w:eastAsia="Cambria" w:hAnsi="Cambria" w:cs="Cambria" w:hint="default"/>
        <w:b w:val="0"/>
        <w:bCs w:val="0"/>
        <w:i w:val="0"/>
        <w:iCs w:val="0"/>
        <w:spacing w:val="0"/>
        <w:w w:val="92"/>
        <w:sz w:val="18"/>
        <w:szCs w:val="18"/>
        <w:lang w:val="en-US" w:eastAsia="en-US" w:bidi="ar-SA"/>
      </w:rPr>
    </w:lvl>
    <w:lvl w:ilvl="1" w:tplc="440865E4">
      <w:start w:val="1"/>
      <w:numFmt w:val="lowerRoman"/>
      <w:lvlText w:val="(%2)"/>
      <w:lvlJc w:val="left"/>
      <w:pPr>
        <w:ind w:left="569" w:hanging="230"/>
        <w:jc w:val="left"/>
      </w:pPr>
      <w:rPr>
        <w:rFonts w:ascii="Cambria" w:eastAsia="Cambria" w:hAnsi="Cambria" w:cs="Cambria" w:hint="default"/>
        <w:b w:val="0"/>
        <w:bCs w:val="0"/>
        <w:i w:val="0"/>
        <w:iCs w:val="0"/>
        <w:spacing w:val="0"/>
        <w:w w:val="95"/>
        <w:sz w:val="18"/>
        <w:szCs w:val="18"/>
        <w:lang w:val="en-US" w:eastAsia="en-US" w:bidi="ar-SA"/>
      </w:rPr>
    </w:lvl>
    <w:lvl w:ilvl="2" w:tplc="709A40D8">
      <w:numFmt w:val="bullet"/>
      <w:lvlText w:val="•"/>
      <w:lvlJc w:val="left"/>
      <w:pPr>
        <w:ind w:left="528" w:hanging="230"/>
      </w:pPr>
      <w:rPr>
        <w:rFonts w:hint="default"/>
        <w:lang w:val="en-US" w:eastAsia="en-US" w:bidi="ar-SA"/>
      </w:rPr>
    </w:lvl>
    <w:lvl w:ilvl="3" w:tplc="EA5A0D46">
      <w:numFmt w:val="bullet"/>
      <w:lvlText w:val="•"/>
      <w:lvlJc w:val="left"/>
      <w:pPr>
        <w:ind w:left="457" w:hanging="230"/>
      </w:pPr>
      <w:rPr>
        <w:rFonts w:hint="default"/>
        <w:lang w:val="en-US" w:eastAsia="en-US" w:bidi="ar-SA"/>
      </w:rPr>
    </w:lvl>
    <w:lvl w:ilvl="4" w:tplc="79C4E3F0">
      <w:numFmt w:val="bullet"/>
      <w:lvlText w:val="•"/>
      <w:lvlJc w:val="left"/>
      <w:pPr>
        <w:ind w:left="386" w:hanging="230"/>
      </w:pPr>
      <w:rPr>
        <w:rFonts w:hint="default"/>
        <w:lang w:val="en-US" w:eastAsia="en-US" w:bidi="ar-SA"/>
      </w:rPr>
    </w:lvl>
    <w:lvl w:ilvl="5" w:tplc="F1CCC09A">
      <w:numFmt w:val="bullet"/>
      <w:lvlText w:val="•"/>
      <w:lvlJc w:val="left"/>
      <w:pPr>
        <w:ind w:left="315" w:hanging="230"/>
      </w:pPr>
      <w:rPr>
        <w:rFonts w:hint="default"/>
        <w:lang w:val="en-US" w:eastAsia="en-US" w:bidi="ar-SA"/>
      </w:rPr>
    </w:lvl>
    <w:lvl w:ilvl="6" w:tplc="849E16BA">
      <w:numFmt w:val="bullet"/>
      <w:lvlText w:val="•"/>
      <w:lvlJc w:val="left"/>
      <w:pPr>
        <w:ind w:left="244" w:hanging="230"/>
      </w:pPr>
      <w:rPr>
        <w:rFonts w:hint="default"/>
        <w:lang w:val="en-US" w:eastAsia="en-US" w:bidi="ar-SA"/>
      </w:rPr>
    </w:lvl>
    <w:lvl w:ilvl="7" w:tplc="64383700">
      <w:numFmt w:val="bullet"/>
      <w:lvlText w:val="•"/>
      <w:lvlJc w:val="left"/>
      <w:pPr>
        <w:ind w:left="173" w:hanging="230"/>
      </w:pPr>
      <w:rPr>
        <w:rFonts w:hint="default"/>
        <w:lang w:val="en-US" w:eastAsia="en-US" w:bidi="ar-SA"/>
      </w:rPr>
    </w:lvl>
    <w:lvl w:ilvl="8" w:tplc="684202F4">
      <w:numFmt w:val="bullet"/>
      <w:lvlText w:val="•"/>
      <w:lvlJc w:val="left"/>
      <w:pPr>
        <w:ind w:left="102" w:hanging="230"/>
      </w:pPr>
      <w:rPr>
        <w:rFonts w:hint="default"/>
        <w:lang w:val="en-US" w:eastAsia="en-US" w:bidi="ar-SA"/>
      </w:rPr>
    </w:lvl>
  </w:abstractNum>
  <w:abstractNum w:abstractNumId="44" w15:restartNumberingAfterBreak="0">
    <w:nsid w:val="6210586A"/>
    <w:multiLevelType w:val="hybridMultilevel"/>
    <w:tmpl w:val="2FD455C4"/>
    <w:lvl w:ilvl="0" w:tplc="92DC8428">
      <w:start w:val="1"/>
      <w:numFmt w:val="decimal"/>
      <w:lvlText w:val="(%1)"/>
      <w:lvlJc w:val="left"/>
      <w:pPr>
        <w:ind w:left="160" w:hanging="270"/>
        <w:jc w:val="left"/>
      </w:pPr>
      <w:rPr>
        <w:rFonts w:ascii="Cambria" w:eastAsia="Cambria" w:hAnsi="Cambria" w:cs="Cambria" w:hint="default"/>
        <w:b w:val="0"/>
        <w:bCs w:val="0"/>
        <w:i w:val="0"/>
        <w:iCs w:val="0"/>
        <w:spacing w:val="0"/>
        <w:w w:val="92"/>
        <w:sz w:val="18"/>
        <w:szCs w:val="18"/>
        <w:lang w:val="en-US" w:eastAsia="en-US" w:bidi="ar-SA"/>
      </w:rPr>
    </w:lvl>
    <w:lvl w:ilvl="1" w:tplc="5986CB04">
      <w:start w:val="1"/>
      <w:numFmt w:val="lowerRoman"/>
      <w:lvlText w:val="(%2)"/>
      <w:lvlJc w:val="left"/>
      <w:pPr>
        <w:ind w:left="569" w:hanging="230"/>
        <w:jc w:val="left"/>
      </w:pPr>
      <w:rPr>
        <w:rFonts w:ascii="Cambria" w:eastAsia="Cambria" w:hAnsi="Cambria" w:cs="Cambria" w:hint="default"/>
        <w:b w:val="0"/>
        <w:bCs w:val="0"/>
        <w:i w:val="0"/>
        <w:iCs w:val="0"/>
        <w:spacing w:val="0"/>
        <w:w w:val="95"/>
        <w:sz w:val="18"/>
        <w:szCs w:val="18"/>
        <w:lang w:val="en-US" w:eastAsia="en-US" w:bidi="ar-SA"/>
      </w:rPr>
    </w:lvl>
    <w:lvl w:ilvl="2" w:tplc="F7004F7A">
      <w:numFmt w:val="bullet"/>
      <w:lvlText w:val="•"/>
      <w:lvlJc w:val="left"/>
      <w:pPr>
        <w:ind w:left="560" w:hanging="230"/>
      </w:pPr>
      <w:rPr>
        <w:rFonts w:hint="default"/>
        <w:lang w:val="en-US" w:eastAsia="en-US" w:bidi="ar-SA"/>
      </w:rPr>
    </w:lvl>
    <w:lvl w:ilvl="3" w:tplc="50C06C7C">
      <w:numFmt w:val="bullet"/>
      <w:lvlText w:val="•"/>
      <w:lvlJc w:val="left"/>
      <w:pPr>
        <w:ind w:left="485" w:hanging="230"/>
      </w:pPr>
      <w:rPr>
        <w:rFonts w:hint="default"/>
        <w:lang w:val="en-US" w:eastAsia="en-US" w:bidi="ar-SA"/>
      </w:rPr>
    </w:lvl>
    <w:lvl w:ilvl="4" w:tplc="3CAE4AD2">
      <w:numFmt w:val="bullet"/>
      <w:lvlText w:val="•"/>
      <w:lvlJc w:val="left"/>
      <w:pPr>
        <w:ind w:left="410" w:hanging="230"/>
      </w:pPr>
      <w:rPr>
        <w:rFonts w:hint="default"/>
        <w:lang w:val="en-US" w:eastAsia="en-US" w:bidi="ar-SA"/>
      </w:rPr>
    </w:lvl>
    <w:lvl w:ilvl="5" w:tplc="E7C87448">
      <w:numFmt w:val="bullet"/>
      <w:lvlText w:val="•"/>
      <w:lvlJc w:val="left"/>
      <w:pPr>
        <w:ind w:left="335" w:hanging="230"/>
      </w:pPr>
      <w:rPr>
        <w:rFonts w:hint="default"/>
        <w:lang w:val="en-US" w:eastAsia="en-US" w:bidi="ar-SA"/>
      </w:rPr>
    </w:lvl>
    <w:lvl w:ilvl="6" w:tplc="51BC2460">
      <w:numFmt w:val="bullet"/>
      <w:lvlText w:val="•"/>
      <w:lvlJc w:val="left"/>
      <w:pPr>
        <w:ind w:left="260" w:hanging="230"/>
      </w:pPr>
      <w:rPr>
        <w:rFonts w:hint="default"/>
        <w:lang w:val="en-US" w:eastAsia="en-US" w:bidi="ar-SA"/>
      </w:rPr>
    </w:lvl>
    <w:lvl w:ilvl="7" w:tplc="BAFA7A22">
      <w:numFmt w:val="bullet"/>
      <w:lvlText w:val="•"/>
      <w:lvlJc w:val="left"/>
      <w:pPr>
        <w:ind w:left="185" w:hanging="230"/>
      </w:pPr>
      <w:rPr>
        <w:rFonts w:hint="default"/>
        <w:lang w:val="en-US" w:eastAsia="en-US" w:bidi="ar-SA"/>
      </w:rPr>
    </w:lvl>
    <w:lvl w:ilvl="8" w:tplc="CA6E720A">
      <w:numFmt w:val="bullet"/>
      <w:lvlText w:val="•"/>
      <w:lvlJc w:val="left"/>
      <w:pPr>
        <w:ind w:left="110" w:hanging="230"/>
      </w:pPr>
      <w:rPr>
        <w:rFonts w:hint="default"/>
        <w:lang w:val="en-US" w:eastAsia="en-US" w:bidi="ar-SA"/>
      </w:rPr>
    </w:lvl>
  </w:abstractNum>
  <w:abstractNum w:abstractNumId="45" w15:restartNumberingAfterBreak="0">
    <w:nsid w:val="644F7103"/>
    <w:multiLevelType w:val="hybridMultilevel"/>
    <w:tmpl w:val="B846D8A6"/>
    <w:lvl w:ilvl="0" w:tplc="FB1AB37A">
      <w:start w:val="1"/>
      <w:numFmt w:val="decimal"/>
      <w:lvlText w:val="(%1)"/>
      <w:lvlJc w:val="left"/>
      <w:pPr>
        <w:ind w:left="592" w:hanging="270"/>
        <w:jc w:val="left"/>
      </w:pPr>
      <w:rPr>
        <w:rFonts w:ascii="Cambria" w:eastAsia="Cambria" w:hAnsi="Cambria" w:cs="Cambria" w:hint="default"/>
        <w:b w:val="0"/>
        <w:bCs w:val="0"/>
        <w:i w:val="0"/>
        <w:iCs w:val="0"/>
        <w:spacing w:val="0"/>
        <w:w w:val="92"/>
        <w:sz w:val="18"/>
        <w:szCs w:val="18"/>
        <w:lang w:val="en-US" w:eastAsia="en-US" w:bidi="ar-SA"/>
      </w:rPr>
    </w:lvl>
    <w:lvl w:ilvl="1" w:tplc="008ECA68">
      <w:numFmt w:val="bullet"/>
      <w:lvlText w:val="•"/>
      <w:lvlJc w:val="left"/>
      <w:pPr>
        <w:ind w:left="902" w:hanging="270"/>
      </w:pPr>
      <w:rPr>
        <w:rFonts w:hint="default"/>
        <w:lang w:val="en-US" w:eastAsia="en-US" w:bidi="ar-SA"/>
      </w:rPr>
    </w:lvl>
    <w:lvl w:ilvl="2" w:tplc="78AA83D0">
      <w:numFmt w:val="bullet"/>
      <w:lvlText w:val="•"/>
      <w:lvlJc w:val="left"/>
      <w:pPr>
        <w:ind w:left="1204" w:hanging="270"/>
      </w:pPr>
      <w:rPr>
        <w:rFonts w:hint="default"/>
        <w:lang w:val="en-US" w:eastAsia="en-US" w:bidi="ar-SA"/>
      </w:rPr>
    </w:lvl>
    <w:lvl w:ilvl="3" w:tplc="5FB4F622">
      <w:numFmt w:val="bullet"/>
      <w:lvlText w:val="•"/>
      <w:lvlJc w:val="left"/>
      <w:pPr>
        <w:ind w:left="1506" w:hanging="270"/>
      </w:pPr>
      <w:rPr>
        <w:rFonts w:hint="default"/>
        <w:lang w:val="en-US" w:eastAsia="en-US" w:bidi="ar-SA"/>
      </w:rPr>
    </w:lvl>
    <w:lvl w:ilvl="4" w:tplc="4132AF30">
      <w:numFmt w:val="bullet"/>
      <w:lvlText w:val="•"/>
      <w:lvlJc w:val="left"/>
      <w:pPr>
        <w:ind w:left="1809" w:hanging="270"/>
      </w:pPr>
      <w:rPr>
        <w:rFonts w:hint="default"/>
        <w:lang w:val="en-US" w:eastAsia="en-US" w:bidi="ar-SA"/>
      </w:rPr>
    </w:lvl>
    <w:lvl w:ilvl="5" w:tplc="4934E052">
      <w:numFmt w:val="bullet"/>
      <w:lvlText w:val="•"/>
      <w:lvlJc w:val="left"/>
      <w:pPr>
        <w:ind w:left="2111" w:hanging="270"/>
      </w:pPr>
      <w:rPr>
        <w:rFonts w:hint="default"/>
        <w:lang w:val="en-US" w:eastAsia="en-US" w:bidi="ar-SA"/>
      </w:rPr>
    </w:lvl>
    <w:lvl w:ilvl="6" w:tplc="4BFA49C8">
      <w:numFmt w:val="bullet"/>
      <w:lvlText w:val="•"/>
      <w:lvlJc w:val="left"/>
      <w:pPr>
        <w:ind w:left="2413" w:hanging="270"/>
      </w:pPr>
      <w:rPr>
        <w:rFonts w:hint="default"/>
        <w:lang w:val="en-US" w:eastAsia="en-US" w:bidi="ar-SA"/>
      </w:rPr>
    </w:lvl>
    <w:lvl w:ilvl="7" w:tplc="FF12F032">
      <w:numFmt w:val="bullet"/>
      <w:lvlText w:val="•"/>
      <w:lvlJc w:val="left"/>
      <w:pPr>
        <w:ind w:left="2716" w:hanging="270"/>
      </w:pPr>
      <w:rPr>
        <w:rFonts w:hint="default"/>
        <w:lang w:val="en-US" w:eastAsia="en-US" w:bidi="ar-SA"/>
      </w:rPr>
    </w:lvl>
    <w:lvl w:ilvl="8" w:tplc="748E07D6">
      <w:numFmt w:val="bullet"/>
      <w:lvlText w:val="•"/>
      <w:lvlJc w:val="left"/>
      <w:pPr>
        <w:ind w:left="3018" w:hanging="270"/>
      </w:pPr>
      <w:rPr>
        <w:rFonts w:hint="default"/>
        <w:lang w:val="en-US" w:eastAsia="en-US" w:bidi="ar-SA"/>
      </w:rPr>
    </w:lvl>
  </w:abstractNum>
  <w:abstractNum w:abstractNumId="46" w15:restartNumberingAfterBreak="0">
    <w:nsid w:val="66EA5DBE"/>
    <w:multiLevelType w:val="hybridMultilevel"/>
    <w:tmpl w:val="28BC09B2"/>
    <w:lvl w:ilvl="0" w:tplc="4052F75E">
      <w:start w:val="1"/>
      <w:numFmt w:val="decimal"/>
      <w:lvlText w:val="(%1)"/>
      <w:lvlJc w:val="left"/>
      <w:pPr>
        <w:ind w:left="142" w:hanging="270"/>
        <w:jc w:val="left"/>
      </w:pPr>
      <w:rPr>
        <w:rFonts w:ascii="Cambria" w:eastAsia="Cambria" w:hAnsi="Cambria" w:cs="Cambria" w:hint="default"/>
        <w:b w:val="0"/>
        <w:bCs w:val="0"/>
        <w:i w:val="0"/>
        <w:iCs w:val="0"/>
        <w:spacing w:val="0"/>
        <w:w w:val="92"/>
        <w:sz w:val="18"/>
        <w:szCs w:val="18"/>
        <w:lang w:val="en-US" w:eastAsia="en-US" w:bidi="ar-SA"/>
      </w:rPr>
    </w:lvl>
    <w:lvl w:ilvl="1" w:tplc="62469BF8">
      <w:numFmt w:val="bullet"/>
      <w:lvlText w:val="•"/>
      <w:lvlJc w:val="left"/>
      <w:pPr>
        <w:ind w:left="488" w:hanging="270"/>
      </w:pPr>
      <w:rPr>
        <w:rFonts w:hint="default"/>
        <w:lang w:val="en-US" w:eastAsia="en-US" w:bidi="ar-SA"/>
      </w:rPr>
    </w:lvl>
    <w:lvl w:ilvl="2" w:tplc="E1340A50">
      <w:numFmt w:val="bullet"/>
      <w:lvlText w:val="•"/>
      <w:lvlJc w:val="left"/>
      <w:pPr>
        <w:ind w:left="836" w:hanging="270"/>
      </w:pPr>
      <w:rPr>
        <w:rFonts w:hint="default"/>
        <w:lang w:val="en-US" w:eastAsia="en-US" w:bidi="ar-SA"/>
      </w:rPr>
    </w:lvl>
    <w:lvl w:ilvl="3" w:tplc="1C1E2F26">
      <w:numFmt w:val="bullet"/>
      <w:lvlText w:val="•"/>
      <w:lvlJc w:val="left"/>
      <w:pPr>
        <w:ind w:left="1184" w:hanging="270"/>
      </w:pPr>
      <w:rPr>
        <w:rFonts w:hint="default"/>
        <w:lang w:val="en-US" w:eastAsia="en-US" w:bidi="ar-SA"/>
      </w:rPr>
    </w:lvl>
    <w:lvl w:ilvl="4" w:tplc="5078892E">
      <w:numFmt w:val="bullet"/>
      <w:lvlText w:val="•"/>
      <w:lvlJc w:val="left"/>
      <w:pPr>
        <w:ind w:left="1533" w:hanging="270"/>
      </w:pPr>
      <w:rPr>
        <w:rFonts w:hint="default"/>
        <w:lang w:val="en-US" w:eastAsia="en-US" w:bidi="ar-SA"/>
      </w:rPr>
    </w:lvl>
    <w:lvl w:ilvl="5" w:tplc="4B86ACE4">
      <w:numFmt w:val="bullet"/>
      <w:lvlText w:val="•"/>
      <w:lvlJc w:val="left"/>
      <w:pPr>
        <w:ind w:left="1881" w:hanging="270"/>
      </w:pPr>
      <w:rPr>
        <w:rFonts w:hint="default"/>
        <w:lang w:val="en-US" w:eastAsia="en-US" w:bidi="ar-SA"/>
      </w:rPr>
    </w:lvl>
    <w:lvl w:ilvl="6" w:tplc="186E9270">
      <w:numFmt w:val="bullet"/>
      <w:lvlText w:val="•"/>
      <w:lvlJc w:val="left"/>
      <w:pPr>
        <w:ind w:left="2229" w:hanging="270"/>
      </w:pPr>
      <w:rPr>
        <w:rFonts w:hint="default"/>
        <w:lang w:val="en-US" w:eastAsia="en-US" w:bidi="ar-SA"/>
      </w:rPr>
    </w:lvl>
    <w:lvl w:ilvl="7" w:tplc="7DB864DA">
      <w:numFmt w:val="bullet"/>
      <w:lvlText w:val="•"/>
      <w:lvlJc w:val="left"/>
      <w:pPr>
        <w:ind w:left="2578" w:hanging="270"/>
      </w:pPr>
      <w:rPr>
        <w:rFonts w:hint="default"/>
        <w:lang w:val="en-US" w:eastAsia="en-US" w:bidi="ar-SA"/>
      </w:rPr>
    </w:lvl>
    <w:lvl w:ilvl="8" w:tplc="94DC521E">
      <w:numFmt w:val="bullet"/>
      <w:lvlText w:val="•"/>
      <w:lvlJc w:val="left"/>
      <w:pPr>
        <w:ind w:left="2926" w:hanging="270"/>
      </w:pPr>
      <w:rPr>
        <w:rFonts w:hint="default"/>
        <w:lang w:val="en-US" w:eastAsia="en-US" w:bidi="ar-SA"/>
      </w:rPr>
    </w:lvl>
  </w:abstractNum>
  <w:abstractNum w:abstractNumId="47" w15:restartNumberingAfterBreak="0">
    <w:nsid w:val="68722F4A"/>
    <w:multiLevelType w:val="hybridMultilevel"/>
    <w:tmpl w:val="E6D2C6AA"/>
    <w:lvl w:ilvl="0" w:tplc="0632F56A">
      <w:start w:val="1"/>
      <w:numFmt w:val="lowerRoman"/>
      <w:lvlText w:val="(%1)"/>
      <w:lvlJc w:val="left"/>
      <w:pPr>
        <w:ind w:left="160" w:hanging="230"/>
        <w:jc w:val="left"/>
      </w:pPr>
      <w:rPr>
        <w:rFonts w:ascii="Cambria" w:eastAsia="Cambria" w:hAnsi="Cambria" w:cs="Cambria" w:hint="default"/>
        <w:b w:val="0"/>
        <w:bCs w:val="0"/>
        <w:i w:val="0"/>
        <w:iCs w:val="0"/>
        <w:spacing w:val="0"/>
        <w:w w:val="95"/>
        <w:sz w:val="18"/>
        <w:szCs w:val="18"/>
        <w:lang w:val="en-US" w:eastAsia="en-US" w:bidi="ar-SA"/>
      </w:rPr>
    </w:lvl>
    <w:lvl w:ilvl="1" w:tplc="6772E26A">
      <w:numFmt w:val="bullet"/>
      <w:lvlText w:val="•"/>
      <w:lvlJc w:val="left"/>
      <w:pPr>
        <w:ind w:left="507" w:hanging="230"/>
      </w:pPr>
      <w:rPr>
        <w:rFonts w:hint="default"/>
        <w:lang w:val="en-US" w:eastAsia="en-US" w:bidi="ar-SA"/>
      </w:rPr>
    </w:lvl>
    <w:lvl w:ilvl="2" w:tplc="C25AA0C0">
      <w:numFmt w:val="bullet"/>
      <w:lvlText w:val="•"/>
      <w:lvlJc w:val="left"/>
      <w:pPr>
        <w:ind w:left="855" w:hanging="230"/>
      </w:pPr>
      <w:rPr>
        <w:rFonts w:hint="default"/>
        <w:lang w:val="en-US" w:eastAsia="en-US" w:bidi="ar-SA"/>
      </w:rPr>
    </w:lvl>
    <w:lvl w:ilvl="3" w:tplc="9228768E">
      <w:numFmt w:val="bullet"/>
      <w:lvlText w:val="•"/>
      <w:lvlJc w:val="left"/>
      <w:pPr>
        <w:ind w:left="1203" w:hanging="230"/>
      </w:pPr>
      <w:rPr>
        <w:rFonts w:hint="default"/>
        <w:lang w:val="en-US" w:eastAsia="en-US" w:bidi="ar-SA"/>
      </w:rPr>
    </w:lvl>
    <w:lvl w:ilvl="4" w:tplc="BA40D71C">
      <w:numFmt w:val="bullet"/>
      <w:lvlText w:val="•"/>
      <w:lvlJc w:val="left"/>
      <w:pPr>
        <w:ind w:left="1551" w:hanging="230"/>
      </w:pPr>
      <w:rPr>
        <w:rFonts w:hint="default"/>
        <w:lang w:val="en-US" w:eastAsia="en-US" w:bidi="ar-SA"/>
      </w:rPr>
    </w:lvl>
    <w:lvl w:ilvl="5" w:tplc="C436C470">
      <w:numFmt w:val="bullet"/>
      <w:lvlText w:val="•"/>
      <w:lvlJc w:val="left"/>
      <w:pPr>
        <w:ind w:left="1899" w:hanging="230"/>
      </w:pPr>
      <w:rPr>
        <w:rFonts w:hint="default"/>
        <w:lang w:val="en-US" w:eastAsia="en-US" w:bidi="ar-SA"/>
      </w:rPr>
    </w:lvl>
    <w:lvl w:ilvl="6" w:tplc="BA24A578">
      <w:numFmt w:val="bullet"/>
      <w:lvlText w:val="•"/>
      <w:lvlJc w:val="left"/>
      <w:pPr>
        <w:ind w:left="2247" w:hanging="230"/>
      </w:pPr>
      <w:rPr>
        <w:rFonts w:hint="default"/>
        <w:lang w:val="en-US" w:eastAsia="en-US" w:bidi="ar-SA"/>
      </w:rPr>
    </w:lvl>
    <w:lvl w:ilvl="7" w:tplc="558EB0AE">
      <w:numFmt w:val="bullet"/>
      <w:lvlText w:val="•"/>
      <w:lvlJc w:val="left"/>
      <w:pPr>
        <w:ind w:left="2595" w:hanging="230"/>
      </w:pPr>
      <w:rPr>
        <w:rFonts w:hint="default"/>
        <w:lang w:val="en-US" w:eastAsia="en-US" w:bidi="ar-SA"/>
      </w:rPr>
    </w:lvl>
    <w:lvl w:ilvl="8" w:tplc="7F6A98D0">
      <w:numFmt w:val="bullet"/>
      <w:lvlText w:val="•"/>
      <w:lvlJc w:val="left"/>
      <w:pPr>
        <w:ind w:left="2943" w:hanging="230"/>
      </w:pPr>
      <w:rPr>
        <w:rFonts w:hint="default"/>
        <w:lang w:val="en-US" w:eastAsia="en-US" w:bidi="ar-SA"/>
      </w:rPr>
    </w:lvl>
  </w:abstractNum>
  <w:abstractNum w:abstractNumId="48" w15:restartNumberingAfterBreak="0">
    <w:nsid w:val="688D31FC"/>
    <w:multiLevelType w:val="hybridMultilevel"/>
    <w:tmpl w:val="C0E6D81E"/>
    <w:lvl w:ilvl="0" w:tplc="703ABAA4">
      <w:start w:val="3"/>
      <w:numFmt w:val="lowerLetter"/>
      <w:lvlText w:val="(%1)"/>
      <w:lvlJc w:val="left"/>
      <w:pPr>
        <w:ind w:left="599" w:hanging="260"/>
        <w:jc w:val="left"/>
      </w:pPr>
      <w:rPr>
        <w:rFonts w:ascii="Cambria" w:eastAsia="Cambria" w:hAnsi="Cambria" w:cs="Cambria" w:hint="default"/>
        <w:b w:val="0"/>
        <w:bCs w:val="0"/>
        <w:i w:val="0"/>
        <w:iCs w:val="0"/>
        <w:spacing w:val="0"/>
        <w:w w:val="96"/>
        <w:sz w:val="18"/>
        <w:szCs w:val="18"/>
        <w:lang w:val="en-US" w:eastAsia="en-US" w:bidi="ar-SA"/>
      </w:rPr>
    </w:lvl>
    <w:lvl w:ilvl="1" w:tplc="95463824">
      <w:numFmt w:val="bullet"/>
      <w:lvlText w:val="•"/>
      <w:lvlJc w:val="left"/>
      <w:pPr>
        <w:ind w:left="891" w:hanging="260"/>
      </w:pPr>
      <w:rPr>
        <w:rFonts w:hint="default"/>
        <w:lang w:val="en-US" w:eastAsia="en-US" w:bidi="ar-SA"/>
      </w:rPr>
    </w:lvl>
    <w:lvl w:ilvl="2" w:tplc="3CCCA8A6">
      <w:numFmt w:val="bullet"/>
      <w:lvlText w:val="•"/>
      <w:lvlJc w:val="left"/>
      <w:pPr>
        <w:ind w:left="1183" w:hanging="260"/>
      </w:pPr>
      <w:rPr>
        <w:rFonts w:hint="default"/>
        <w:lang w:val="en-US" w:eastAsia="en-US" w:bidi="ar-SA"/>
      </w:rPr>
    </w:lvl>
    <w:lvl w:ilvl="3" w:tplc="8F7E739A">
      <w:numFmt w:val="bullet"/>
      <w:lvlText w:val="•"/>
      <w:lvlJc w:val="left"/>
      <w:pPr>
        <w:ind w:left="1474" w:hanging="260"/>
      </w:pPr>
      <w:rPr>
        <w:rFonts w:hint="default"/>
        <w:lang w:val="en-US" w:eastAsia="en-US" w:bidi="ar-SA"/>
      </w:rPr>
    </w:lvl>
    <w:lvl w:ilvl="4" w:tplc="3F0E7436">
      <w:numFmt w:val="bullet"/>
      <w:lvlText w:val="•"/>
      <w:lvlJc w:val="left"/>
      <w:pPr>
        <w:ind w:left="1766" w:hanging="260"/>
      </w:pPr>
      <w:rPr>
        <w:rFonts w:hint="default"/>
        <w:lang w:val="en-US" w:eastAsia="en-US" w:bidi="ar-SA"/>
      </w:rPr>
    </w:lvl>
    <w:lvl w:ilvl="5" w:tplc="A0FC72E0">
      <w:numFmt w:val="bullet"/>
      <w:lvlText w:val="•"/>
      <w:lvlJc w:val="left"/>
      <w:pPr>
        <w:ind w:left="2058" w:hanging="260"/>
      </w:pPr>
      <w:rPr>
        <w:rFonts w:hint="default"/>
        <w:lang w:val="en-US" w:eastAsia="en-US" w:bidi="ar-SA"/>
      </w:rPr>
    </w:lvl>
    <w:lvl w:ilvl="6" w:tplc="7B0ABA4E">
      <w:numFmt w:val="bullet"/>
      <w:lvlText w:val="•"/>
      <w:lvlJc w:val="left"/>
      <w:pPr>
        <w:ind w:left="2349" w:hanging="260"/>
      </w:pPr>
      <w:rPr>
        <w:rFonts w:hint="default"/>
        <w:lang w:val="en-US" w:eastAsia="en-US" w:bidi="ar-SA"/>
      </w:rPr>
    </w:lvl>
    <w:lvl w:ilvl="7" w:tplc="CC208964">
      <w:numFmt w:val="bullet"/>
      <w:lvlText w:val="•"/>
      <w:lvlJc w:val="left"/>
      <w:pPr>
        <w:ind w:left="2641" w:hanging="260"/>
      </w:pPr>
      <w:rPr>
        <w:rFonts w:hint="default"/>
        <w:lang w:val="en-US" w:eastAsia="en-US" w:bidi="ar-SA"/>
      </w:rPr>
    </w:lvl>
    <w:lvl w:ilvl="8" w:tplc="66FADA88">
      <w:numFmt w:val="bullet"/>
      <w:lvlText w:val="•"/>
      <w:lvlJc w:val="left"/>
      <w:pPr>
        <w:ind w:left="2932" w:hanging="260"/>
      </w:pPr>
      <w:rPr>
        <w:rFonts w:hint="default"/>
        <w:lang w:val="en-US" w:eastAsia="en-US" w:bidi="ar-SA"/>
      </w:rPr>
    </w:lvl>
  </w:abstractNum>
  <w:abstractNum w:abstractNumId="49" w15:restartNumberingAfterBreak="0">
    <w:nsid w:val="69D01D35"/>
    <w:multiLevelType w:val="hybridMultilevel"/>
    <w:tmpl w:val="5B2C060A"/>
    <w:lvl w:ilvl="0" w:tplc="1F8CA1FA">
      <w:start w:val="4"/>
      <w:numFmt w:val="lowerLetter"/>
      <w:lvlText w:val="(%1)"/>
      <w:lvlJc w:val="left"/>
      <w:pPr>
        <w:ind w:left="143" w:hanging="280"/>
        <w:jc w:val="left"/>
      </w:pPr>
      <w:rPr>
        <w:rFonts w:ascii="Cambria" w:eastAsia="Cambria" w:hAnsi="Cambria" w:cs="Cambria" w:hint="default"/>
        <w:b w:val="0"/>
        <w:bCs w:val="0"/>
        <w:i w:val="0"/>
        <w:iCs w:val="0"/>
        <w:spacing w:val="0"/>
        <w:w w:val="96"/>
        <w:sz w:val="18"/>
        <w:szCs w:val="18"/>
        <w:lang w:val="en-US" w:eastAsia="en-US" w:bidi="ar-SA"/>
      </w:rPr>
    </w:lvl>
    <w:lvl w:ilvl="1" w:tplc="754C4C2A">
      <w:start w:val="1"/>
      <w:numFmt w:val="decimal"/>
      <w:lvlText w:val="(%2)"/>
      <w:lvlJc w:val="left"/>
      <w:pPr>
        <w:ind w:left="593" w:hanging="270"/>
        <w:jc w:val="left"/>
      </w:pPr>
      <w:rPr>
        <w:rFonts w:ascii="Cambria" w:eastAsia="Cambria" w:hAnsi="Cambria" w:cs="Cambria" w:hint="default"/>
        <w:b w:val="0"/>
        <w:bCs w:val="0"/>
        <w:i w:val="0"/>
        <w:iCs w:val="0"/>
        <w:spacing w:val="0"/>
        <w:w w:val="92"/>
        <w:sz w:val="18"/>
        <w:szCs w:val="18"/>
        <w:lang w:val="en-US" w:eastAsia="en-US" w:bidi="ar-SA"/>
      </w:rPr>
    </w:lvl>
    <w:lvl w:ilvl="2" w:tplc="718EC78E">
      <w:start w:val="1"/>
      <w:numFmt w:val="lowerRoman"/>
      <w:lvlText w:val="(%3)"/>
      <w:lvlJc w:val="left"/>
      <w:pPr>
        <w:ind w:left="143" w:hanging="230"/>
        <w:jc w:val="left"/>
      </w:pPr>
      <w:rPr>
        <w:rFonts w:ascii="Cambria" w:eastAsia="Cambria" w:hAnsi="Cambria" w:cs="Cambria" w:hint="default"/>
        <w:b w:val="0"/>
        <w:bCs w:val="0"/>
        <w:i w:val="0"/>
        <w:iCs w:val="0"/>
        <w:spacing w:val="0"/>
        <w:w w:val="95"/>
        <w:sz w:val="18"/>
        <w:szCs w:val="18"/>
        <w:lang w:val="en-US" w:eastAsia="en-US" w:bidi="ar-SA"/>
      </w:rPr>
    </w:lvl>
    <w:lvl w:ilvl="3" w:tplc="10F6EDA0">
      <w:numFmt w:val="bullet"/>
      <w:lvlText w:val="•"/>
      <w:lvlJc w:val="left"/>
      <w:pPr>
        <w:ind w:left="1244" w:hanging="230"/>
      </w:pPr>
      <w:rPr>
        <w:rFonts w:hint="default"/>
        <w:lang w:val="en-US" w:eastAsia="en-US" w:bidi="ar-SA"/>
      </w:rPr>
    </w:lvl>
    <w:lvl w:ilvl="4" w:tplc="CBC4A194">
      <w:numFmt w:val="bullet"/>
      <w:lvlText w:val="•"/>
      <w:lvlJc w:val="left"/>
      <w:pPr>
        <w:ind w:left="1566" w:hanging="230"/>
      </w:pPr>
      <w:rPr>
        <w:rFonts w:hint="default"/>
        <w:lang w:val="en-US" w:eastAsia="en-US" w:bidi="ar-SA"/>
      </w:rPr>
    </w:lvl>
    <w:lvl w:ilvl="5" w:tplc="519084BE">
      <w:numFmt w:val="bullet"/>
      <w:lvlText w:val="•"/>
      <w:lvlJc w:val="left"/>
      <w:pPr>
        <w:ind w:left="1888" w:hanging="230"/>
      </w:pPr>
      <w:rPr>
        <w:rFonts w:hint="default"/>
        <w:lang w:val="en-US" w:eastAsia="en-US" w:bidi="ar-SA"/>
      </w:rPr>
    </w:lvl>
    <w:lvl w:ilvl="6" w:tplc="DDE054B8">
      <w:numFmt w:val="bullet"/>
      <w:lvlText w:val="•"/>
      <w:lvlJc w:val="left"/>
      <w:pPr>
        <w:ind w:left="2211" w:hanging="230"/>
      </w:pPr>
      <w:rPr>
        <w:rFonts w:hint="default"/>
        <w:lang w:val="en-US" w:eastAsia="en-US" w:bidi="ar-SA"/>
      </w:rPr>
    </w:lvl>
    <w:lvl w:ilvl="7" w:tplc="84041480">
      <w:numFmt w:val="bullet"/>
      <w:lvlText w:val="•"/>
      <w:lvlJc w:val="left"/>
      <w:pPr>
        <w:ind w:left="2533" w:hanging="230"/>
      </w:pPr>
      <w:rPr>
        <w:rFonts w:hint="default"/>
        <w:lang w:val="en-US" w:eastAsia="en-US" w:bidi="ar-SA"/>
      </w:rPr>
    </w:lvl>
    <w:lvl w:ilvl="8" w:tplc="F5624488">
      <w:numFmt w:val="bullet"/>
      <w:lvlText w:val="•"/>
      <w:lvlJc w:val="left"/>
      <w:pPr>
        <w:ind w:left="2855" w:hanging="230"/>
      </w:pPr>
      <w:rPr>
        <w:rFonts w:hint="default"/>
        <w:lang w:val="en-US" w:eastAsia="en-US" w:bidi="ar-SA"/>
      </w:rPr>
    </w:lvl>
  </w:abstractNum>
  <w:abstractNum w:abstractNumId="50" w15:restartNumberingAfterBreak="0">
    <w:nsid w:val="6A004410"/>
    <w:multiLevelType w:val="hybridMultilevel"/>
    <w:tmpl w:val="D9985534"/>
    <w:lvl w:ilvl="0" w:tplc="000AC606">
      <w:numFmt w:val="bullet"/>
      <w:lvlText w:val=""/>
      <w:lvlJc w:val="left"/>
      <w:pPr>
        <w:ind w:left="522" w:hanging="183"/>
      </w:pPr>
      <w:rPr>
        <w:rFonts w:ascii="Symbol" w:eastAsia="Symbol" w:hAnsi="Symbol" w:cs="Symbol" w:hint="default"/>
        <w:b w:val="0"/>
        <w:bCs w:val="0"/>
        <w:i w:val="0"/>
        <w:iCs w:val="0"/>
        <w:spacing w:val="0"/>
        <w:w w:val="100"/>
        <w:sz w:val="18"/>
        <w:szCs w:val="18"/>
        <w:lang w:val="en-US" w:eastAsia="en-US" w:bidi="ar-SA"/>
      </w:rPr>
    </w:lvl>
    <w:lvl w:ilvl="1" w:tplc="5C3E21DA">
      <w:numFmt w:val="bullet"/>
      <w:lvlText w:val="•"/>
      <w:lvlJc w:val="left"/>
      <w:pPr>
        <w:ind w:left="819" w:hanging="183"/>
      </w:pPr>
      <w:rPr>
        <w:rFonts w:hint="default"/>
        <w:lang w:val="en-US" w:eastAsia="en-US" w:bidi="ar-SA"/>
      </w:rPr>
    </w:lvl>
    <w:lvl w:ilvl="2" w:tplc="1BE2F804">
      <w:numFmt w:val="bullet"/>
      <w:lvlText w:val="•"/>
      <w:lvlJc w:val="left"/>
      <w:pPr>
        <w:ind w:left="1119" w:hanging="183"/>
      </w:pPr>
      <w:rPr>
        <w:rFonts w:hint="default"/>
        <w:lang w:val="en-US" w:eastAsia="en-US" w:bidi="ar-SA"/>
      </w:rPr>
    </w:lvl>
    <w:lvl w:ilvl="3" w:tplc="342858EE">
      <w:numFmt w:val="bullet"/>
      <w:lvlText w:val="•"/>
      <w:lvlJc w:val="left"/>
      <w:pPr>
        <w:ind w:left="1418" w:hanging="183"/>
      </w:pPr>
      <w:rPr>
        <w:rFonts w:hint="default"/>
        <w:lang w:val="en-US" w:eastAsia="en-US" w:bidi="ar-SA"/>
      </w:rPr>
    </w:lvl>
    <w:lvl w:ilvl="4" w:tplc="F7DA0CE0">
      <w:numFmt w:val="bullet"/>
      <w:lvlText w:val="•"/>
      <w:lvlJc w:val="left"/>
      <w:pPr>
        <w:ind w:left="1718" w:hanging="183"/>
      </w:pPr>
      <w:rPr>
        <w:rFonts w:hint="default"/>
        <w:lang w:val="en-US" w:eastAsia="en-US" w:bidi="ar-SA"/>
      </w:rPr>
    </w:lvl>
    <w:lvl w:ilvl="5" w:tplc="510CCF00">
      <w:numFmt w:val="bullet"/>
      <w:lvlText w:val="•"/>
      <w:lvlJc w:val="left"/>
      <w:pPr>
        <w:ind w:left="2018" w:hanging="183"/>
      </w:pPr>
      <w:rPr>
        <w:rFonts w:hint="default"/>
        <w:lang w:val="en-US" w:eastAsia="en-US" w:bidi="ar-SA"/>
      </w:rPr>
    </w:lvl>
    <w:lvl w:ilvl="6" w:tplc="DADCBE8A">
      <w:numFmt w:val="bullet"/>
      <w:lvlText w:val="•"/>
      <w:lvlJc w:val="left"/>
      <w:pPr>
        <w:ind w:left="2317" w:hanging="183"/>
      </w:pPr>
      <w:rPr>
        <w:rFonts w:hint="default"/>
        <w:lang w:val="en-US" w:eastAsia="en-US" w:bidi="ar-SA"/>
      </w:rPr>
    </w:lvl>
    <w:lvl w:ilvl="7" w:tplc="25382402">
      <w:numFmt w:val="bullet"/>
      <w:lvlText w:val="•"/>
      <w:lvlJc w:val="left"/>
      <w:pPr>
        <w:ind w:left="2617" w:hanging="183"/>
      </w:pPr>
      <w:rPr>
        <w:rFonts w:hint="default"/>
        <w:lang w:val="en-US" w:eastAsia="en-US" w:bidi="ar-SA"/>
      </w:rPr>
    </w:lvl>
    <w:lvl w:ilvl="8" w:tplc="D3DC3B7C">
      <w:numFmt w:val="bullet"/>
      <w:lvlText w:val="•"/>
      <w:lvlJc w:val="left"/>
      <w:pPr>
        <w:ind w:left="2916" w:hanging="183"/>
      </w:pPr>
      <w:rPr>
        <w:rFonts w:hint="default"/>
        <w:lang w:val="en-US" w:eastAsia="en-US" w:bidi="ar-SA"/>
      </w:rPr>
    </w:lvl>
  </w:abstractNum>
  <w:abstractNum w:abstractNumId="51" w15:restartNumberingAfterBreak="0">
    <w:nsid w:val="706C2594"/>
    <w:multiLevelType w:val="hybridMultilevel"/>
    <w:tmpl w:val="9F36850A"/>
    <w:lvl w:ilvl="0" w:tplc="3828DBC8">
      <w:numFmt w:val="bullet"/>
      <w:lvlText w:val=""/>
      <w:lvlJc w:val="left"/>
      <w:pPr>
        <w:ind w:left="144" w:hanging="183"/>
      </w:pPr>
      <w:rPr>
        <w:rFonts w:ascii="Symbol" w:eastAsia="Symbol" w:hAnsi="Symbol" w:cs="Symbol" w:hint="default"/>
        <w:b w:val="0"/>
        <w:bCs w:val="0"/>
        <w:i w:val="0"/>
        <w:iCs w:val="0"/>
        <w:spacing w:val="0"/>
        <w:w w:val="100"/>
        <w:sz w:val="18"/>
        <w:szCs w:val="18"/>
        <w:lang w:val="en-US" w:eastAsia="en-US" w:bidi="ar-SA"/>
      </w:rPr>
    </w:lvl>
    <w:lvl w:ilvl="1" w:tplc="18BE714A">
      <w:numFmt w:val="bullet"/>
      <w:lvlText w:val="•"/>
      <w:lvlJc w:val="left"/>
      <w:pPr>
        <w:ind w:left="476" w:hanging="183"/>
      </w:pPr>
      <w:rPr>
        <w:rFonts w:hint="default"/>
        <w:lang w:val="en-US" w:eastAsia="en-US" w:bidi="ar-SA"/>
      </w:rPr>
    </w:lvl>
    <w:lvl w:ilvl="2" w:tplc="B580881E">
      <w:numFmt w:val="bullet"/>
      <w:lvlText w:val="•"/>
      <w:lvlJc w:val="left"/>
      <w:pPr>
        <w:ind w:left="812" w:hanging="183"/>
      </w:pPr>
      <w:rPr>
        <w:rFonts w:hint="default"/>
        <w:lang w:val="en-US" w:eastAsia="en-US" w:bidi="ar-SA"/>
      </w:rPr>
    </w:lvl>
    <w:lvl w:ilvl="3" w:tplc="66D6AE22">
      <w:numFmt w:val="bullet"/>
      <w:lvlText w:val="•"/>
      <w:lvlJc w:val="left"/>
      <w:pPr>
        <w:ind w:left="1148" w:hanging="183"/>
      </w:pPr>
      <w:rPr>
        <w:rFonts w:hint="default"/>
        <w:lang w:val="en-US" w:eastAsia="en-US" w:bidi="ar-SA"/>
      </w:rPr>
    </w:lvl>
    <w:lvl w:ilvl="4" w:tplc="C7301D10">
      <w:numFmt w:val="bullet"/>
      <w:lvlText w:val="•"/>
      <w:lvlJc w:val="left"/>
      <w:pPr>
        <w:ind w:left="1485" w:hanging="183"/>
      </w:pPr>
      <w:rPr>
        <w:rFonts w:hint="default"/>
        <w:lang w:val="en-US" w:eastAsia="en-US" w:bidi="ar-SA"/>
      </w:rPr>
    </w:lvl>
    <w:lvl w:ilvl="5" w:tplc="2F9E3D88">
      <w:numFmt w:val="bullet"/>
      <w:lvlText w:val="•"/>
      <w:lvlJc w:val="left"/>
      <w:pPr>
        <w:ind w:left="1821" w:hanging="183"/>
      </w:pPr>
      <w:rPr>
        <w:rFonts w:hint="default"/>
        <w:lang w:val="en-US" w:eastAsia="en-US" w:bidi="ar-SA"/>
      </w:rPr>
    </w:lvl>
    <w:lvl w:ilvl="6" w:tplc="E8E2B8A6">
      <w:numFmt w:val="bullet"/>
      <w:lvlText w:val="•"/>
      <w:lvlJc w:val="left"/>
      <w:pPr>
        <w:ind w:left="2157" w:hanging="183"/>
      </w:pPr>
      <w:rPr>
        <w:rFonts w:hint="default"/>
        <w:lang w:val="en-US" w:eastAsia="en-US" w:bidi="ar-SA"/>
      </w:rPr>
    </w:lvl>
    <w:lvl w:ilvl="7" w:tplc="5EC03F42">
      <w:numFmt w:val="bullet"/>
      <w:lvlText w:val="•"/>
      <w:lvlJc w:val="left"/>
      <w:pPr>
        <w:ind w:left="2494" w:hanging="183"/>
      </w:pPr>
      <w:rPr>
        <w:rFonts w:hint="default"/>
        <w:lang w:val="en-US" w:eastAsia="en-US" w:bidi="ar-SA"/>
      </w:rPr>
    </w:lvl>
    <w:lvl w:ilvl="8" w:tplc="2E12EA88">
      <w:numFmt w:val="bullet"/>
      <w:lvlText w:val="•"/>
      <w:lvlJc w:val="left"/>
      <w:pPr>
        <w:ind w:left="2830" w:hanging="183"/>
      </w:pPr>
      <w:rPr>
        <w:rFonts w:hint="default"/>
        <w:lang w:val="en-US" w:eastAsia="en-US" w:bidi="ar-SA"/>
      </w:rPr>
    </w:lvl>
  </w:abstractNum>
  <w:abstractNum w:abstractNumId="52" w15:restartNumberingAfterBreak="0">
    <w:nsid w:val="70F47F7D"/>
    <w:multiLevelType w:val="hybridMultilevel"/>
    <w:tmpl w:val="8098E91A"/>
    <w:lvl w:ilvl="0" w:tplc="32D09BD8">
      <w:start w:val="1"/>
      <w:numFmt w:val="lowerLetter"/>
      <w:lvlText w:val="(%1)"/>
      <w:lvlJc w:val="left"/>
      <w:pPr>
        <w:ind w:left="144" w:hanging="260"/>
        <w:jc w:val="left"/>
      </w:pPr>
      <w:rPr>
        <w:rFonts w:ascii="Cambria" w:eastAsia="Cambria" w:hAnsi="Cambria" w:cs="Cambria" w:hint="default"/>
        <w:b w:val="0"/>
        <w:bCs w:val="0"/>
        <w:i w:val="0"/>
        <w:iCs w:val="0"/>
        <w:spacing w:val="0"/>
        <w:w w:val="93"/>
        <w:sz w:val="18"/>
        <w:szCs w:val="18"/>
        <w:lang w:val="en-US" w:eastAsia="en-US" w:bidi="ar-SA"/>
      </w:rPr>
    </w:lvl>
    <w:lvl w:ilvl="1" w:tplc="541AEFB6">
      <w:start w:val="1"/>
      <w:numFmt w:val="decimal"/>
      <w:lvlText w:val="(%2)"/>
      <w:lvlJc w:val="left"/>
      <w:pPr>
        <w:ind w:left="144" w:hanging="270"/>
        <w:jc w:val="left"/>
      </w:pPr>
      <w:rPr>
        <w:rFonts w:ascii="Cambria" w:eastAsia="Cambria" w:hAnsi="Cambria" w:cs="Cambria" w:hint="default"/>
        <w:b w:val="0"/>
        <w:bCs w:val="0"/>
        <w:i w:val="0"/>
        <w:iCs w:val="0"/>
        <w:spacing w:val="0"/>
        <w:w w:val="92"/>
        <w:sz w:val="18"/>
        <w:szCs w:val="18"/>
        <w:lang w:val="en-US" w:eastAsia="en-US" w:bidi="ar-SA"/>
      </w:rPr>
    </w:lvl>
    <w:lvl w:ilvl="2" w:tplc="D178915E">
      <w:numFmt w:val="bullet"/>
      <w:lvlText w:val="•"/>
      <w:lvlJc w:val="left"/>
      <w:pPr>
        <w:ind w:left="104" w:hanging="270"/>
      </w:pPr>
      <w:rPr>
        <w:rFonts w:hint="default"/>
        <w:lang w:val="en-US" w:eastAsia="en-US" w:bidi="ar-SA"/>
      </w:rPr>
    </w:lvl>
    <w:lvl w:ilvl="3" w:tplc="4EBCE118">
      <w:numFmt w:val="bullet"/>
      <w:lvlText w:val="•"/>
      <w:lvlJc w:val="left"/>
      <w:pPr>
        <w:ind w:left="86" w:hanging="270"/>
      </w:pPr>
      <w:rPr>
        <w:rFonts w:hint="default"/>
        <w:lang w:val="en-US" w:eastAsia="en-US" w:bidi="ar-SA"/>
      </w:rPr>
    </w:lvl>
    <w:lvl w:ilvl="4" w:tplc="FD7ABB88">
      <w:numFmt w:val="bullet"/>
      <w:lvlText w:val="•"/>
      <w:lvlJc w:val="left"/>
      <w:pPr>
        <w:ind w:left="68" w:hanging="270"/>
      </w:pPr>
      <w:rPr>
        <w:rFonts w:hint="default"/>
        <w:lang w:val="en-US" w:eastAsia="en-US" w:bidi="ar-SA"/>
      </w:rPr>
    </w:lvl>
    <w:lvl w:ilvl="5" w:tplc="EB7232D4">
      <w:numFmt w:val="bullet"/>
      <w:lvlText w:val="•"/>
      <w:lvlJc w:val="left"/>
      <w:pPr>
        <w:ind w:left="50" w:hanging="270"/>
      </w:pPr>
      <w:rPr>
        <w:rFonts w:hint="default"/>
        <w:lang w:val="en-US" w:eastAsia="en-US" w:bidi="ar-SA"/>
      </w:rPr>
    </w:lvl>
    <w:lvl w:ilvl="6" w:tplc="59D0FAAE">
      <w:numFmt w:val="bullet"/>
      <w:lvlText w:val="•"/>
      <w:lvlJc w:val="left"/>
      <w:pPr>
        <w:ind w:left="32" w:hanging="270"/>
      </w:pPr>
      <w:rPr>
        <w:rFonts w:hint="default"/>
        <w:lang w:val="en-US" w:eastAsia="en-US" w:bidi="ar-SA"/>
      </w:rPr>
    </w:lvl>
    <w:lvl w:ilvl="7" w:tplc="A120DBBC">
      <w:numFmt w:val="bullet"/>
      <w:lvlText w:val="•"/>
      <w:lvlJc w:val="left"/>
      <w:pPr>
        <w:ind w:left="14" w:hanging="270"/>
      </w:pPr>
      <w:rPr>
        <w:rFonts w:hint="default"/>
        <w:lang w:val="en-US" w:eastAsia="en-US" w:bidi="ar-SA"/>
      </w:rPr>
    </w:lvl>
    <w:lvl w:ilvl="8" w:tplc="3836E2C0">
      <w:numFmt w:val="bullet"/>
      <w:lvlText w:val="•"/>
      <w:lvlJc w:val="left"/>
      <w:pPr>
        <w:ind w:left="-4" w:hanging="270"/>
      </w:pPr>
      <w:rPr>
        <w:rFonts w:hint="default"/>
        <w:lang w:val="en-US" w:eastAsia="en-US" w:bidi="ar-SA"/>
      </w:rPr>
    </w:lvl>
  </w:abstractNum>
  <w:abstractNum w:abstractNumId="53" w15:restartNumberingAfterBreak="0">
    <w:nsid w:val="72987AB4"/>
    <w:multiLevelType w:val="hybridMultilevel"/>
    <w:tmpl w:val="1BB66C7A"/>
    <w:lvl w:ilvl="0" w:tplc="E650391A">
      <w:start w:val="1"/>
      <w:numFmt w:val="decimal"/>
      <w:lvlText w:val="(%1)"/>
      <w:lvlJc w:val="left"/>
      <w:pPr>
        <w:ind w:left="592" w:hanging="270"/>
        <w:jc w:val="left"/>
      </w:pPr>
      <w:rPr>
        <w:rFonts w:ascii="Cambria" w:eastAsia="Cambria" w:hAnsi="Cambria" w:cs="Cambria" w:hint="default"/>
        <w:b w:val="0"/>
        <w:bCs w:val="0"/>
        <w:i w:val="0"/>
        <w:iCs w:val="0"/>
        <w:spacing w:val="0"/>
        <w:w w:val="92"/>
        <w:sz w:val="18"/>
        <w:szCs w:val="18"/>
        <w:lang w:val="en-US" w:eastAsia="en-US" w:bidi="ar-SA"/>
      </w:rPr>
    </w:lvl>
    <w:lvl w:ilvl="1" w:tplc="EF148A7C">
      <w:numFmt w:val="bullet"/>
      <w:lvlText w:val="•"/>
      <w:lvlJc w:val="left"/>
      <w:pPr>
        <w:ind w:left="890" w:hanging="270"/>
      </w:pPr>
      <w:rPr>
        <w:rFonts w:hint="default"/>
        <w:lang w:val="en-US" w:eastAsia="en-US" w:bidi="ar-SA"/>
      </w:rPr>
    </w:lvl>
    <w:lvl w:ilvl="2" w:tplc="4CBE68B0">
      <w:numFmt w:val="bullet"/>
      <w:lvlText w:val="•"/>
      <w:lvlJc w:val="left"/>
      <w:pPr>
        <w:ind w:left="1180" w:hanging="270"/>
      </w:pPr>
      <w:rPr>
        <w:rFonts w:hint="default"/>
        <w:lang w:val="en-US" w:eastAsia="en-US" w:bidi="ar-SA"/>
      </w:rPr>
    </w:lvl>
    <w:lvl w:ilvl="3" w:tplc="B7B8BB2A">
      <w:numFmt w:val="bullet"/>
      <w:lvlText w:val="•"/>
      <w:lvlJc w:val="left"/>
      <w:pPr>
        <w:ind w:left="1470" w:hanging="270"/>
      </w:pPr>
      <w:rPr>
        <w:rFonts w:hint="default"/>
        <w:lang w:val="en-US" w:eastAsia="en-US" w:bidi="ar-SA"/>
      </w:rPr>
    </w:lvl>
    <w:lvl w:ilvl="4" w:tplc="E1F29674">
      <w:numFmt w:val="bullet"/>
      <w:lvlText w:val="•"/>
      <w:lvlJc w:val="left"/>
      <w:pPr>
        <w:ind w:left="1760" w:hanging="270"/>
      </w:pPr>
      <w:rPr>
        <w:rFonts w:hint="default"/>
        <w:lang w:val="en-US" w:eastAsia="en-US" w:bidi="ar-SA"/>
      </w:rPr>
    </w:lvl>
    <w:lvl w:ilvl="5" w:tplc="73D42B8C">
      <w:numFmt w:val="bullet"/>
      <w:lvlText w:val="•"/>
      <w:lvlJc w:val="left"/>
      <w:pPr>
        <w:ind w:left="2050" w:hanging="270"/>
      </w:pPr>
      <w:rPr>
        <w:rFonts w:hint="default"/>
        <w:lang w:val="en-US" w:eastAsia="en-US" w:bidi="ar-SA"/>
      </w:rPr>
    </w:lvl>
    <w:lvl w:ilvl="6" w:tplc="1FFEB9C0">
      <w:numFmt w:val="bullet"/>
      <w:lvlText w:val="•"/>
      <w:lvlJc w:val="left"/>
      <w:pPr>
        <w:ind w:left="2340" w:hanging="270"/>
      </w:pPr>
      <w:rPr>
        <w:rFonts w:hint="default"/>
        <w:lang w:val="en-US" w:eastAsia="en-US" w:bidi="ar-SA"/>
      </w:rPr>
    </w:lvl>
    <w:lvl w:ilvl="7" w:tplc="B19E8EB8">
      <w:numFmt w:val="bullet"/>
      <w:lvlText w:val="•"/>
      <w:lvlJc w:val="left"/>
      <w:pPr>
        <w:ind w:left="2630" w:hanging="270"/>
      </w:pPr>
      <w:rPr>
        <w:rFonts w:hint="default"/>
        <w:lang w:val="en-US" w:eastAsia="en-US" w:bidi="ar-SA"/>
      </w:rPr>
    </w:lvl>
    <w:lvl w:ilvl="8" w:tplc="8FEE0414">
      <w:numFmt w:val="bullet"/>
      <w:lvlText w:val="•"/>
      <w:lvlJc w:val="left"/>
      <w:pPr>
        <w:ind w:left="2920" w:hanging="270"/>
      </w:pPr>
      <w:rPr>
        <w:rFonts w:hint="default"/>
        <w:lang w:val="en-US" w:eastAsia="en-US" w:bidi="ar-SA"/>
      </w:rPr>
    </w:lvl>
  </w:abstractNum>
  <w:abstractNum w:abstractNumId="54" w15:restartNumberingAfterBreak="0">
    <w:nsid w:val="72D8155A"/>
    <w:multiLevelType w:val="hybridMultilevel"/>
    <w:tmpl w:val="85627B3C"/>
    <w:lvl w:ilvl="0" w:tplc="51245ACC">
      <w:start w:val="1"/>
      <w:numFmt w:val="lowerLetter"/>
      <w:lvlText w:val="%1."/>
      <w:lvlJc w:val="left"/>
      <w:pPr>
        <w:ind w:left="349" w:hanging="190"/>
        <w:jc w:val="left"/>
      </w:pPr>
      <w:rPr>
        <w:rFonts w:ascii="Cambria" w:eastAsia="Cambria" w:hAnsi="Cambria" w:cs="Cambria" w:hint="default"/>
        <w:b w:val="0"/>
        <w:bCs w:val="0"/>
        <w:i w:val="0"/>
        <w:iCs w:val="0"/>
        <w:spacing w:val="0"/>
        <w:w w:val="112"/>
        <w:sz w:val="18"/>
        <w:szCs w:val="18"/>
        <w:lang w:val="en-US" w:eastAsia="en-US" w:bidi="ar-SA"/>
      </w:rPr>
    </w:lvl>
    <w:lvl w:ilvl="1" w:tplc="B28C2D0C">
      <w:numFmt w:val="bullet"/>
      <w:lvlText w:val=""/>
      <w:lvlJc w:val="left"/>
      <w:pPr>
        <w:ind w:left="160" w:hanging="183"/>
      </w:pPr>
      <w:rPr>
        <w:rFonts w:ascii="Symbol" w:eastAsia="Symbol" w:hAnsi="Symbol" w:cs="Symbol" w:hint="default"/>
        <w:b w:val="0"/>
        <w:bCs w:val="0"/>
        <w:i w:val="0"/>
        <w:iCs w:val="0"/>
        <w:spacing w:val="0"/>
        <w:w w:val="100"/>
        <w:sz w:val="18"/>
        <w:szCs w:val="18"/>
        <w:lang w:val="en-US" w:eastAsia="en-US" w:bidi="ar-SA"/>
      </w:rPr>
    </w:lvl>
    <w:lvl w:ilvl="2" w:tplc="9DBE0214">
      <w:numFmt w:val="bullet"/>
      <w:lvlText w:val="•"/>
      <w:lvlJc w:val="left"/>
      <w:pPr>
        <w:ind w:left="687" w:hanging="183"/>
      </w:pPr>
      <w:rPr>
        <w:rFonts w:hint="default"/>
        <w:lang w:val="en-US" w:eastAsia="en-US" w:bidi="ar-SA"/>
      </w:rPr>
    </w:lvl>
    <w:lvl w:ilvl="3" w:tplc="1DC6B1C6">
      <w:numFmt w:val="bullet"/>
      <w:lvlText w:val="•"/>
      <w:lvlJc w:val="left"/>
      <w:pPr>
        <w:ind w:left="1035" w:hanging="183"/>
      </w:pPr>
      <w:rPr>
        <w:rFonts w:hint="default"/>
        <w:lang w:val="en-US" w:eastAsia="en-US" w:bidi="ar-SA"/>
      </w:rPr>
    </w:lvl>
    <w:lvl w:ilvl="4" w:tplc="974EFEC4">
      <w:numFmt w:val="bullet"/>
      <w:lvlText w:val="•"/>
      <w:lvlJc w:val="left"/>
      <w:pPr>
        <w:ind w:left="1382" w:hanging="183"/>
      </w:pPr>
      <w:rPr>
        <w:rFonts w:hint="default"/>
        <w:lang w:val="en-US" w:eastAsia="en-US" w:bidi="ar-SA"/>
      </w:rPr>
    </w:lvl>
    <w:lvl w:ilvl="5" w:tplc="365027A6">
      <w:numFmt w:val="bullet"/>
      <w:lvlText w:val="•"/>
      <w:lvlJc w:val="left"/>
      <w:pPr>
        <w:ind w:left="1730" w:hanging="183"/>
      </w:pPr>
      <w:rPr>
        <w:rFonts w:hint="default"/>
        <w:lang w:val="en-US" w:eastAsia="en-US" w:bidi="ar-SA"/>
      </w:rPr>
    </w:lvl>
    <w:lvl w:ilvl="6" w:tplc="584824C2">
      <w:numFmt w:val="bullet"/>
      <w:lvlText w:val="•"/>
      <w:lvlJc w:val="left"/>
      <w:pPr>
        <w:ind w:left="2077" w:hanging="183"/>
      </w:pPr>
      <w:rPr>
        <w:rFonts w:hint="default"/>
        <w:lang w:val="en-US" w:eastAsia="en-US" w:bidi="ar-SA"/>
      </w:rPr>
    </w:lvl>
    <w:lvl w:ilvl="7" w:tplc="97D6705C">
      <w:numFmt w:val="bullet"/>
      <w:lvlText w:val="•"/>
      <w:lvlJc w:val="left"/>
      <w:pPr>
        <w:ind w:left="2425" w:hanging="183"/>
      </w:pPr>
      <w:rPr>
        <w:rFonts w:hint="default"/>
        <w:lang w:val="en-US" w:eastAsia="en-US" w:bidi="ar-SA"/>
      </w:rPr>
    </w:lvl>
    <w:lvl w:ilvl="8" w:tplc="EE6424F0">
      <w:numFmt w:val="bullet"/>
      <w:lvlText w:val="•"/>
      <w:lvlJc w:val="left"/>
      <w:pPr>
        <w:ind w:left="2773" w:hanging="183"/>
      </w:pPr>
      <w:rPr>
        <w:rFonts w:hint="default"/>
        <w:lang w:val="en-US" w:eastAsia="en-US" w:bidi="ar-SA"/>
      </w:rPr>
    </w:lvl>
  </w:abstractNum>
  <w:abstractNum w:abstractNumId="55" w15:restartNumberingAfterBreak="0">
    <w:nsid w:val="748A275C"/>
    <w:multiLevelType w:val="hybridMultilevel"/>
    <w:tmpl w:val="7D000888"/>
    <w:lvl w:ilvl="0" w:tplc="CAF48764">
      <w:start w:val="1"/>
      <w:numFmt w:val="decimal"/>
      <w:lvlText w:val="(%1)"/>
      <w:lvlJc w:val="left"/>
      <w:pPr>
        <w:ind w:left="160" w:hanging="270"/>
        <w:jc w:val="left"/>
      </w:pPr>
      <w:rPr>
        <w:rFonts w:ascii="Cambria" w:eastAsia="Cambria" w:hAnsi="Cambria" w:cs="Cambria" w:hint="default"/>
        <w:b w:val="0"/>
        <w:bCs w:val="0"/>
        <w:i w:val="0"/>
        <w:iCs w:val="0"/>
        <w:spacing w:val="0"/>
        <w:w w:val="92"/>
        <w:sz w:val="18"/>
        <w:szCs w:val="18"/>
        <w:lang w:val="en-US" w:eastAsia="en-US" w:bidi="ar-SA"/>
      </w:rPr>
    </w:lvl>
    <w:lvl w:ilvl="1" w:tplc="A0EACC1C">
      <w:start w:val="1"/>
      <w:numFmt w:val="lowerRoman"/>
      <w:lvlText w:val="(%2)"/>
      <w:lvlJc w:val="left"/>
      <w:pPr>
        <w:ind w:left="569" w:hanging="230"/>
        <w:jc w:val="left"/>
      </w:pPr>
      <w:rPr>
        <w:rFonts w:ascii="Cambria" w:eastAsia="Cambria" w:hAnsi="Cambria" w:cs="Cambria" w:hint="default"/>
        <w:b w:val="0"/>
        <w:bCs w:val="0"/>
        <w:i w:val="0"/>
        <w:iCs w:val="0"/>
        <w:spacing w:val="0"/>
        <w:w w:val="95"/>
        <w:sz w:val="18"/>
        <w:szCs w:val="18"/>
        <w:lang w:val="en-US" w:eastAsia="en-US" w:bidi="ar-SA"/>
      </w:rPr>
    </w:lvl>
    <w:lvl w:ilvl="2" w:tplc="D23E2F9C">
      <w:numFmt w:val="bullet"/>
      <w:lvlText w:val="•"/>
      <w:lvlJc w:val="left"/>
      <w:pPr>
        <w:ind w:left="888" w:hanging="230"/>
      </w:pPr>
      <w:rPr>
        <w:rFonts w:hint="default"/>
        <w:lang w:val="en-US" w:eastAsia="en-US" w:bidi="ar-SA"/>
      </w:rPr>
    </w:lvl>
    <w:lvl w:ilvl="3" w:tplc="029A1914">
      <w:numFmt w:val="bullet"/>
      <w:lvlText w:val="•"/>
      <w:lvlJc w:val="left"/>
      <w:pPr>
        <w:ind w:left="1216" w:hanging="230"/>
      </w:pPr>
      <w:rPr>
        <w:rFonts w:hint="default"/>
        <w:lang w:val="en-US" w:eastAsia="en-US" w:bidi="ar-SA"/>
      </w:rPr>
    </w:lvl>
    <w:lvl w:ilvl="4" w:tplc="7652A09A">
      <w:numFmt w:val="bullet"/>
      <w:lvlText w:val="•"/>
      <w:lvlJc w:val="left"/>
      <w:pPr>
        <w:ind w:left="1544" w:hanging="230"/>
      </w:pPr>
      <w:rPr>
        <w:rFonts w:hint="default"/>
        <w:lang w:val="en-US" w:eastAsia="en-US" w:bidi="ar-SA"/>
      </w:rPr>
    </w:lvl>
    <w:lvl w:ilvl="5" w:tplc="D9D8DD80">
      <w:numFmt w:val="bullet"/>
      <w:lvlText w:val="•"/>
      <w:lvlJc w:val="left"/>
      <w:pPr>
        <w:ind w:left="1873" w:hanging="230"/>
      </w:pPr>
      <w:rPr>
        <w:rFonts w:hint="default"/>
        <w:lang w:val="en-US" w:eastAsia="en-US" w:bidi="ar-SA"/>
      </w:rPr>
    </w:lvl>
    <w:lvl w:ilvl="6" w:tplc="04D2641A">
      <w:numFmt w:val="bullet"/>
      <w:lvlText w:val="•"/>
      <w:lvlJc w:val="left"/>
      <w:pPr>
        <w:ind w:left="2201" w:hanging="230"/>
      </w:pPr>
      <w:rPr>
        <w:rFonts w:hint="default"/>
        <w:lang w:val="en-US" w:eastAsia="en-US" w:bidi="ar-SA"/>
      </w:rPr>
    </w:lvl>
    <w:lvl w:ilvl="7" w:tplc="B2888EF0">
      <w:numFmt w:val="bullet"/>
      <w:lvlText w:val="•"/>
      <w:lvlJc w:val="left"/>
      <w:pPr>
        <w:ind w:left="2529" w:hanging="230"/>
      </w:pPr>
      <w:rPr>
        <w:rFonts w:hint="default"/>
        <w:lang w:val="en-US" w:eastAsia="en-US" w:bidi="ar-SA"/>
      </w:rPr>
    </w:lvl>
    <w:lvl w:ilvl="8" w:tplc="1BAAC4AE">
      <w:numFmt w:val="bullet"/>
      <w:lvlText w:val="•"/>
      <w:lvlJc w:val="left"/>
      <w:pPr>
        <w:ind w:left="2858" w:hanging="230"/>
      </w:pPr>
      <w:rPr>
        <w:rFonts w:hint="default"/>
        <w:lang w:val="en-US" w:eastAsia="en-US" w:bidi="ar-SA"/>
      </w:rPr>
    </w:lvl>
  </w:abstractNum>
  <w:abstractNum w:abstractNumId="56" w15:restartNumberingAfterBreak="0">
    <w:nsid w:val="75092CFB"/>
    <w:multiLevelType w:val="hybridMultilevel"/>
    <w:tmpl w:val="94481478"/>
    <w:lvl w:ilvl="0" w:tplc="966E6656">
      <w:start w:val="2"/>
      <w:numFmt w:val="decimal"/>
      <w:lvlText w:val="(%1)"/>
      <w:lvlJc w:val="left"/>
      <w:pPr>
        <w:ind w:left="145" w:hanging="270"/>
        <w:jc w:val="left"/>
      </w:pPr>
      <w:rPr>
        <w:rFonts w:ascii="Cambria" w:eastAsia="Cambria" w:hAnsi="Cambria" w:cs="Cambria" w:hint="default"/>
        <w:b w:val="0"/>
        <w:bCs w:val="0"/>
        <w:i w:val="0"/>
        <w:iCs w:val="0"/>
        <w:spacing w:val="0"/>
        <w:w w:val="92"/>
        <w:sz w:val="18"/>
        <w:szCs w:val="18"/>
        <w:lang w:val="en-US" w:eastAsia="en-US" w:bidi="ar-SA"/>
      </w:rPr>
    </w:lvl>
    <w:lvl w:ilvl="1" w:tplc="850CBE20">
      <w:start w:val="1"/>
      <w:numFmt w:val="lowerLetter"/>
      <w:lvlText w:val="(%2)"/>
      <w:lvlJc w:val="left"/>
      <w:pPr>
        <w:ind w:left="144" w:hanging="260"/>
        <w:jc w:val="left"/>
      </w:pPr>
      <w:rPr>
        <w:rFonts w:ascii="Cambria" w:eastAsia="Cambria" w:hAnsi="Cambria" w:cs="Cambria" w:hint="default"/>
        <w:b w:val="0"/>
        <w:bCs w:val="0"/>
        <w:i w:val="0"/>
        <w:iCs w:val="0"/>
        <w:spacing w:val="0"/>
        <w:w w:val="93"/>
        <w:sz w:val="18"/>
        <w:szCs w:val="18"/>
        <w:lang w:val="en-US" w:eastAsia="en-US" w:bidi="ar-SA"/>
      </w:rPr>
    </w:lvl>
    <w:lvl w:ilvl="2" w:tplc="5E124A96">
      <w:start w:val="1"/>
      <w:numFmt w:val="decimal"/>
      <w:lvlText w:val="(%3)"/>
      <w:lvlJc w:val="left"/>
      <w:pPr>
        <w:ind w:left="609" w:hanging="270"/>
        <w:jc w:val="left"/>
      </w:pPr>
      <w:rPr>
        <w:rFonts w:ascii="Cambria" w:eastAsia="Cambria" w:hAnsi="Cambria" w:cs="Cambria" w:hint="default"/>
        <w:b w:val="0"/>
        <w:bCs w:val="0"/>
        <w:i w:val="0"/>
        <w:iCs w:val="0"/>
        <w:spacing w:val="0"/>
        <w:w w:val="92"/>
        <w:sz w:val="18"/>
        <w:szCs w:val="18"/>
        <w:lang w:val="en-US" w:eastAsia="en-US" w:bidi="ar-SA"/>
      </w:rPr>
    </w:lvl>
    <w:lvl w:ilvl="3" w:tplc="D10A176C">
      <w:numFmt w:val="bullet"/>
      <w:lvlText w:val="•"/>
      <w:lvlJc w:val="left"/>
      <w:pPr>
        <w:ind w:left="-329" w:hanging="270"/>
      </w:pPr>
      <w:rPr>
        <w:rFonts w:hint="default"/>
        <w:lang w:val="en-US" w:eastAsia="en-US" w:bidi="ar-SA"/>
      </w:rPr>
    </w:lvl>
    <w:lvl w:ilvl="4" w:tplc="C890EC22">
      <w:numFmt w:val="bullet"/>
      <w:lvlText w:val="•"/>
      <w:lvlJc w:val="left"/>
      <w:pPr>
        <w:ind w:left="-793" w:hanging="270"/>
      </w:pPr>
      <w:rPr>
        <w:rFonts w:hint="default"/>
        <w:lang w:val="en-US" w:eastAsia="en-US" w:bidi="ar-SA"/>
      </w:rPr>
    </w:lvl>
    <w:lvl w:ilvl="5" w:tplc="62CCAE6C">
      <w:numFmt w:val="bullet"/>
      <w:lvlText w:val="•"/>
      <w:lvlJc w:val="left"/>
      <w:pPr>
        <w:ind w:left="-1257" w:hanging="270"/>
      </w:pPr>
      <w:rPr>
        <w:rFonts w:hint="default"/>
        <w:lang w:val="en-US" w:eastAsia="en-US" w:bidi="ar-SA"/>
      </w:rPr>
    </w:lvl>
    <w:lvl w:ilvl="6" w:tplc="DC0E8D78">
      <w:numFmt w:val="bullet"/>
      <w:lvlText w:val="•"/>
      <w:lvlJc w:val="left"/>
      <w:pPr>
        <w:ind w:left="-1722" w:hanging="270"/>
      </w:pPr>
      <w:rPr>
        <w:rFonts w:hint="default"/>
        <w:lang w:val="en-US" w:eastAsia="en-US" w:bidi="ar-SA"/>
      </w:rPr>
    </w:lvl>
    <w:lvl w:ilvl="7" w:tplc="C9F2CE9E">
      <w:numFmt w:val="bullet"/>
      <w:lvlText w:val="•"/>
      <w:lvlJc w:val="left"/>
      <w:pPr>
        <w:ind w:left="-2186" w:hanging="270"/>
      </w:pPr>
      <w:rPr>
        <w:rFonts w:hint="default"/>
        <w:lang w:val="en-US" w:eastAsia="en-US" w:bidi="ar-SA"/>
      </w:rPr>
    </w:lvl>
    <w:lvl w:ilvl="8" w:tplc="3EC680D8">
      <w:numFmt w:val="bullet"/>
      <w:lvlText w:val="•"/>
      <w:lvlJc w:val="left"/>
      <w:pPr>
        <w:ind w:left="-2650" w:hanging="270"/>
      </w:pPr>
      <w:rPr>
        <w:rFonts w:hint="default"/>
        <w:lang w:val="en-US" w:eastAsia="en-US" w:bidi="ar-SA"/>
      </w:rPr>
    </w:lvl>
  </w:abstractNum>
  <w:abstractNum w:abstractNumId="57" w15:restartNumberingAfterBreak="0">
    <w:nsid w:val="77147CBB"/>
    <w:multiLevelType w:val="hybridMultilevel"/>
    <w:tmpl w:val="B2B0B8D4"/>
    <w:lvl w:ilvl="0" w:tplc="327AFD1E">
      <w:start w:val="1"/>
      <w:numFmt w:val="decimal"/>
      <w:lvlText w:val="%1."/>
      <w:lvlJc w:val="left"/>
      <w:pPr>
        <w:ind w:left="143" w:hanging="200"/>
        <w:jc w:val="left"/>
      </w:pPr>
      <w:rPr>
        <w:rFonts w:ascii="Cambria" w:eastAsia="Cambria" w:hAnsi="Cambria" w:cs="Cambria" w:hint="default"/>
        <w:b w:val="0"/>
        <w:bCs w:val="0"/>
        <w:i w:val="0"/>
        <w:iCs w:val="0"/>
        <w:spacing w:val="0"/>
        <w:w w:val="109"/>
        <w:sz w:val="18"/>
        <w:szCs w:val="18"/>
        <w:lang w:val="en-US" w:eastAsia="en-US" w:bidi="ar-SA"/>
      </w:rPr>
    </w:lvl>
    <w:lvl w:ilvl="1" w:tplc="F122399E">
      <w:numFmt w:val="bullet"/>
      <w:lvlText w:val="•"/>
      <w:lvlJc w:val="left"/>
      <w:pPr>
        <w:ind w:left="476" w:hanging="200"/>
      </w:pPr>
      <w:rPr>
        <w:rFonts w:hint="default"/>
        <w:lang w:val="en-US" w:eastAsia="en-US" w:bidi="ar-SA"/>
      </w:rPr>
    </w:lvl>
    <w:lvl w:ilvl="2" w:tplc="D62CF022">
      <w:numFmt w:val="bullet"/>
      <w:lvlText w:val="•"/>
      <w:lvlJc w:val="left"/>
      <w:pPr>
        <w:ind w:left="812" w:hanging="200"/>
      </w:pPr>
      <w:rPr>
        <w:rFonts w:hint="default"/>
        <w:lang w:val="en-US" w:eastAsia="en-US" w:bidi="ar-SA"/>
      </w:rPr>
    </w:lvl>
    <w:lvl w:ilvl="3" w:tplc="E668E444">
      <w:numFmt w:val="bullet"/>
      <w:lvlText w:val="•"/>
      <w:lvlJc w:val="left"/>
      <w:pPr>
        <w:ind w:left="1148" w:hanging="200"/>
      </w:pPr>
      <w:rPr>
        <w:rFonts w:hint="default"/>
        <w:lang w:val="en-US" w:eastAsia="en-US" w:bidi="ar-SA"/>
      </w:rPr>
    </w:lvl>
    <w:lvl w:ilvl="4" w:tplc="80560BF4">
      <w:numFmt w:val="bullet"/>
      <w:lvlText w:val="•"/>
      <w:lvlJc w:val="left"/>
      <w:pPr>
        <w:ind w:left="1484" w:hanging="200"/>
      </w:pPr>
      <w:rPr>
        <w:rFonts w:hint="default"/>
        <w:lang w:val="en-US" w:eastAsia="en-US" w:bidi="ar-SA"/>
      </w:rPr>
    </w:lvl>
    <w:lvl w:ilvl="5" w:tplc="D34A3D62">
      <w:numFmt w:val="bullet"/>
      <w:lvlText w:val="•"/>
      <w:lvlJc w:val="left"/>
      <w:pPr>
        <w:ind w:left="1820" w:hanging="200"/>
      </w:pPr>
      <w:rPr>
        <w:rFonts w:hint="default"/>
        <w:lang w:val="en-US" w:eastAsia="en-US" w:bidi="ar-SA"/>
      </w:rPr>
    </w:lvl>
    <w:lvl w:ilvl="6" w:tplc="453C645C">
      <w:numFmt w:val="bullet"/>
      <w:lvlText w:val="•"/>
      <w:lvlJc w:val="left"/>
      <w:pPr>
        <w:ind w:left="2156" w:hanging="200"/>
      </w:pPr>
      <w:rPr>
        <w:rFonts w:hint="default"/>
        <w:lang w:val="en-US" w:eastAsia="en-US" w:bidi="ar-SA"/>
      </w:rPr>
    </w:lvl>
    <w:lvl w:ilvl="7" w:tplc="936886B2">
      <w:numFmt w:val="bullet"/>
      <w:lvlText w:val="•"/>
      <w:lvlJc w:val="left"/>
      <w:pPr>
        <w:ind w:left="2492" w:hanging="200"/>
      </w:pPr>
      <w:rPr>
        <w:rFonts w:hint="default"/>
        <w:lang w:val="en-US" w:eastAsia="en-US" w:bidi="ar-SA"/>
      </w:rPr>
    </w:lvl>
    <w:lvl w:ilvl="8" w:tplc="FB4C148E">
      <w:numFmt w:val="bullet"/>
      <w:lvlText w:val="•"/>
      <w:lvlJc w:val="left"/>
      <w:pPr>
        <w:ind w:left="2828" w:hanging="200"/>
      </w:pPr>
      <w:rPr>
        <w:rFonts w:hint="default"/>
        <w:lang w:val="en-US" w:eastAsia="en-US" w:bidi="ar-SA"/>
      </w:rPr>
    </w:lvl>
  </w:abstractNum>
  <w:abstractNum w:abstractNumId="58" w15:restartNumberingAfterBreak="0">
    <w:nsid w:val="77695A71"/>
    <w:multiLevelType w:val="hybridMultilevel"/>
    <w:tmpl w:val="E294D8E8"/>
    <w:lvl w:ilvl="0" w:tplc="CB921FA4">
      <w:start w:val="1"/>
      <w:numFmt w:val="decimal"/>
      <w:lvlText w:val="%1."/>
      <w:lvlJc w:val="left"/>
      <w:pPr>
        <w:ind w:left="139" w:hanging="200"/>
        <w:jc w:val="left"/>
      </w:pPr>
      <w:rPr>
        <w:rFonts w:ascii="Cambria" w:eastAsia="Cambria" w:hAnsi="Cambria" w:cs="Cambria" w:hint="default"/>
        <w:b w:val="0"/>
        <w:bCs w:val="0"/>
        <w:i w:val="0"/>
        <w:iCs w:val="0"/>
        <w:spacing w:val="0"/>
        <w:w w:val="109"/>
        <w:sz w:val="18"/>
        <w:szCs w:val="18"/>
        <w:lang w:val="en-US" w:eastAsia="en-US" w:bidi="ar-SA"/>
      </w:rPr>
    </w:lvl>
    <w:lvl w:ilvl="1" w:tplc="32D205B8">
      <w:numFmt w:val="bullet"/>
      <w:lvlText w:val="•"/>
      <w:lvlJc w:val="left"/>
      <w:pPr>
        <w:ind w:left="488" w:hanging="200"/>
      </w:pPr>
      <w:rPr>
        <w:rFonts w:hint="default"/>
        <w:lang w:val="en-US" w:eastAsia="en-US" w:bidi="ar-SA"/>
      </w:rPr>
    </w:lvl>
    <w:lvl w:ilvl="2" w:tplc="DFAC77FC">
      <w:numFmt w:val="bullet"/>
      <w:lvlText w:val="•"/>
      <w:lvlJc w:val="left"/>
      <w:pPr>
        <w:ind w:left="836" w:hanging="200"/>
      </w:pPr>
      <w:rPr>
        <w:rFonts w:hint="default"/>
        <w:lang w:val="en-US" w:eastAsia="en-US" w:bidi="ar-SA"/>
      </w:rPr>
    </w:lvl>
    <w:lvl w:ilvl="3" w:tplc="6FD0DF76">
      <w:numFmt w:val="bullet"/>
      <w:lvlText w:val="•"/>
      <w:lvlJc w:val="left"/>
      <w:pPr>
        <w:ind w:left="1183" w:hanging="200"/>
      </w:pPr>
      <w:rPr>
        <w:rFonts w:hint="default"/>
        <w:lang w:val="en-US" w:eastAsia="en-US" w:bidi="ar-SA"/>
      </w:rPr>
    </w:lvl>
    <w:lvl w:ilvl="4" w:tplc="56403210">
      <w:numFmt w:val="bullet"/>
      <w:lvlText w:val="•"/>
      <w:lvlJc w:val="left"/>
      <w:pPr>
        <w:ind w:left="1531" w:hanging="200"/>
      </w:pPr>
      <w:rPr>
        <w:rFonts w:hint="default"/>
        <w:lang w:val="en-US" w:eastAsia="en-US" w:bidi="ar-SA"/>
      </w:rPr>
    </w:lvl>
    <w:lvl w:ilvl="5" w:tplc="19B8FE38">
      <w:numFmt w:val="bullet"/>
      <w:lvlText w:val="•"/>
      <w:lvlJc w:val="left"/>
      <w:pPr>
        <w:ind w:left="1879" w:hanging="200"/>
      </w:pPr>
      <w:rPr>
        <w:rFonts w:hint="default"/>
        <w:lang w:val="en-US" w:eastAsia="en-US" w:bidi="ar-SA"/>
      </w:rPr>
    </w:lvl>
    <w:lvl w:ilvl="6" w:tplc="6776AF02">
      <w:numFmt w:val="bullet"/>
      <w:lvlText w:val="•"/>
      <w:lvlJc w:val="left"/>
      <w:pPr>
        <w:ind w:left="2227" w:hanging="200"/>
      </w:pPr>
      <w:rPr>
        <w:rFonts w:hint="default"/>
        <w:lang w:val="en-US" w:eastAsia="en-US" w:bidi="ar-SA"/>
      </w:rPr>
    </w:lvl>
    <w:lvl w:ilvl="7" w:tplc="71CAED0E">
      <w:numFmt w:val="bullet"/>
      <w:lvlText w:val="•"/>
      <w:lvlJc w:val="left"/>
      <w:pPr>
        <w:ind w:left="2575" w:hanging="200"/>
      </w:pPr>
      <w:rPr>
        <w:rFonts w:hint="default"/>
        <w:lang w:val="en-US" w:eastAsia="en-US" w:bidi="ar-SA"/>
      </w:rPr>
    </w:lvl>
    <w:lvl w:ilvl="8" w:tplc="F1165F4C">
      <w:numFmt w:val="bullet"/>
      <w:lvlText w:val="•"/>
      <w:lvlJc w:val="left"/>
      <w:pPr>
        <w:ind w:left="2923" w:hanging="200"/>
      </w:pPr>
      <w:rPr>
        <w:rFonts w:hint="default"/>
        <w:lang w:val="en-US" w:eastAsia="en-US" w:bidi="ar-SA"/>
      </w:rPr>
    </w:lvl>
  </w:abstractNum>
  <w:abstractNum w:abstractNumId="59" w15:restartNumberingAfterBreak="0">
    <w:nsid w:val="78372225"/>
    <w:multiLevelType w:val="hybridMultilevel"/>
    <w:tmpl w:val="5A92054A"/>
    <w:lvl w:ilvl="0" w:tplc="32D0A514">
      <w:start w:val="2"/>
      <w:numFmt w:val="lowerRoman"/>
      <w:lvlText w:val="(%1)"/>
      <w:lvlJc w:val="left"/>
      <w:pPr>
        <w:ind w:left="160" w:hanging="290"/>
        <w:jc w:val="left"/>
      </w:pPr>
      <w:rPr>
        <w:rFonts w:ascii="Cambria" w:eastAsia="Cambria" w:hAnsi="Cambria" w:cs="Cambria" w:hint="default"/>
        <w:b w:val="0"/>
        <w:bCs w:val="0"/>
        <w:i w:val="0"/>
        <w:iCs w:val="0"/>
        <w:spacing w:val="0"/>
        <w:w w:val="100"/>
        <w:sz w:val="18"/>
        <w:szCs w:val="18"/>
        <w:lang w:val="en-US" w:eastAsia="en-US" w:bidi="ar-SA"/>
      </w:rPr>
    </w:lvl>
    <w:lvl w:ilvl="1" w:tplc="8924BBB2">
      <w:numFmt w:val="bullet"/>
      <w:lvlText w:val="•"/>
      <w:lvlJc w:val="left"/>
      <w:pPr>
        <w:ind w:left="507" w:hanging="290"/>
      </w:pPr>
      <w:rPr>
        <w:rFonts w:hint="default"/>
        <w:lang w:val="en-US" w:eastAsia="en-US" w:bidi="ar-SA"/>
      </w:rPr>
    </w:lvl>
    <w:lvl w:ilvl="2" w:tplc="185E4E50">
      <w:numFmt w:val="bullet"/>
      <w:lvlText w:val="•"/>
      <w:lvlJc w:val="left"/>
      <w:pPr>
        <w:ind w:left="855" w:hanging="290"/>
      </w:pPr>
      <w:rPr>
        <w:rFonts w:hint="default"/>
        <w:lang w:val="en-US" w:eastAsia="en-US" w:bidi="ar-SA"/>
      </w:rPr>
    </w:lvl>
    <w:lvl w:ilvl="3" w:tplc="D6089618">
      <w:numFmt w:val="bullet"/>
      <w:lvlText w:val="•"/>
      <w:lvlJc w:val="left"/>
      <w:pPr>
        <w:ind w:left="1203" w:hanging="290"/>
      </w:pPr>
      <w:rPr>
        <w:rFonts w:hint="default"/>
        <w:lang w:val="en-US" w:eastAsia="en-US" w:bidi="ar-SA"/>
      </w:rPr>
    </w:lvl>
    <w:lvl w:ilvl="4" w:tplc="804A2F04">
      <w:numFmt w:val="bullet"/>
      <w:lvlText w:val="•"/>
      <w:lvlJc w:val="left"/>
      <w:pPr>
        <w:ind w:left="1551" w:hanging="290"/>
      </w:pPr>
      <w:rPr>
        <w:rFonts w:hint="default"/>
        <w:lang w:val="en-US" w:eastAsia="en-US" w:bidi="ar-SA"/>
      </w:rPr>
    </w:lvl>
    <w:lvl w:ilvl="5" w:tplc="1FF66ECE">
      <w:numFmt w:val="bullet"/>
      <w:lvlText w:val="•"/>
      <w:lvlJc w:val="left"/>
      <w:pPr>
        <w:ind w:left="1899" w:hanging="290"/>
      </w:pPr>
      <w:rPr>
        <w:rFonts w:hint="default"/>
        <w:lang w:val="en-US" w:eastAsia="en-US" w:bidi="ar-SA"/>
      </w:rPr>
    </w:lvl>
    <w:lvl w:ilvl="6" w:tplc="43E0436C">
      <w:numFmt w:val="bullet"/>
      <w:lvlText w:val="•"/>
      <w:lvlJc w:val="left"/>
      <w:pPr>
        <w:ind w:left="2247" w:hanging="290"/>
      </w:pPr>
      <w:rPr>
        <w:rFonts w:hint="default"/>
        <w:lang w:val="en-US" w:eastAsia="en-US" w:bidi="ar-SA"/>
      </w:rPr>
    </w:lvl>
    <w:lvl w:ilvl="7" w:tplc="E0FEEDD2">
      <w:numFmt w:val="bullet"/>
      <w:lvlText w:val="•"/>
      <w:lvlJc w:val="left"/>
      <w:pPr>
        <w:ind w:left="2595" w:hanging="290"/>
      </w:pPr>
      <w:rPr>
        <w:rFonts w:hint="default"/>
        <w:lang w:val="en-US" w:eastAsia="en-US" w:bidi="ar-SA"/>
      </w:rPr>
    </w:lvl>
    <w:lvl w:ilvl="8" w:tplc="1E82C1A2">
      <w:numFmt w:val="bullet"/>
      <w:lvlText w:val="•"/>
      <w:lvlJc w:val="left"/>
      <w:pPr>
        <w:ind w:left="2943" w:hanging="290"/>
      </w:pPr>
      <w:rPr>
        <w:rFonts w:hint="default"/>
        <w:lang w:val="en-US" w:eastAsia="en-US" w:bidi="ar-SA"/>
      </w:rPr>
    </w:lvl>
  </w:abstractNum>
  <w:abstractNum w:abstractNumId="60" w15:restartNumberingAfterBreak="0">
    <w:nsid w:val="79BA3353"/>
    <w:multiLevelType w:val="hybridMultilevel"/>
    <w:tmpl w:val="8CAAE282"/>
    <w:lvl w:ilvl="0" w:tplc="520C01A4">
      <w:start w:val="1"/>
      <w:numFmt w:val="lowerRoman"/>
      <w:lvlText w:val="(%1)"/>
      <w:lvlJc w:val="left"/>
      <w:pPr>
        <w:ind w:left="144" w:hanging="230"/>
        <w:jc w:val="left"/>
      </w:pPr>
      <w:rPr>
        <w:rFonts w:ascii="Cambria" w:eastAsia="Cambria" w:hAnsi="Cambria" w:cs="Cambria" w:hint="default"/>
        <w:b w:val="0"/>
        <w:bCs w:val="0"/>
        <w:i w:val="0"/>
        <w:iCs w:val="0"/>
        <w:spacing w:val="0"/>
        <w:w w:val="95"/>
        <w:sz w:val="18"/>
        <w:szCs w:val="18"/>
        <w:lang w:val="en-US" w:eastAsia="en-US" w:bidi="ar-SA"/>
      </w:rPr>
    </w:lvl>
    <w:lvl w:ilvl="1" w:tplc="54FCA1C8">
      <w:start w:val="1"/>
      <w:numFmt w:val="decimal"/>
      <w:lvlText w:val="(%2)"/>
      <w:lvlJc w:val="left"/>
      <w:pPr>
        <w:ind w:left="609" w:hanging="270"/>
        <w:jc w:val="left"/>
      </w:pPr>
      <w:rPr>
        <w:rFonts w:ascii="Cambria" w:eastAsia="Cambria" w:hAnsi="Cambria" w:cs="Cambria" w:hint="default"/>
        <w:b w:val="0"/>
        <w:bCs w:val="0"/>
        <w:i w:val="0"/>
        <w:iCs w:val="0"/>
        <w:spacing w:val="0"/>
        <w:w w:val="92"/>
        <w:sz w:val="18"/>
        <w:szCs w:val="18"/>
        <w:lang w:val="en-US" w:eastAsia="en-US" w:bidi="ar-SA"/>
      </w:rPr>
    </w:lvl>
    <w:lvl w:ilvl="2" w:tplc="07E06DE0">
      <w:start w:val="1"/>
      <w:numFmt w:val="lowerRoman"/>
      <w:lvlText w:val="(%3)"/>
      <w:lvlJc w:val="left"/>
      <w:pPr>
        <w:ind w:left="569" w:hanging="230"/>
        <w:jc w:val="left"/>
      </w:pPr>
      <w:rPr>
        <w:rFonts w:ascii="Cambria" w:eastAsia="Cambria" w:hAnsi="Cambria" w:cs="Cambria" w:hint="default"/>
        <w:b w:val="0"/>
        <w:bCs w:val="0"/>
        <w:i w:val="0"/>
        <w:iCs w:val="0"/>
        <w:spacing w:val="0"/>
        <w:w w:val="95"/>
        <w:sz w:val="18"/>
        <w:szCs w:val="18"/>
        <w:lang w:val="en-US" w:eastAsia="en-US" w:bidi="ar-SA"/>
      </w:rPr>
    </w:lvl>
    <w:lvl w:ilvl="3" w:tplc="BE4C0456">
      <w:numFmt w:val="bullet"/>
      <w:lvlText w:val="•"/>
      <w:lvlJc w:val="left"/>
      <w:pPr>
        <w:ind w:left="73" w:hanging="230"/>
      </w:pPr>
      <w:rPr>
        <w:rFonts w:hint="default"/>
        <w:lang w:val="en-US" w:eastAsia="en-US" w:bidi="ar-SA"/>
      </w:rPr>
    </w:lvl>
    <w:lvl w:ilvl="4" w:tplc="D0328A66">
      <w:numFmt w:val="bullet"/>
      <w:lvlText w:val="•"/>
      <w:lvlJc w:val="left"/>
      <w:pPr>
        <w:ind w:left="-453" w:hanging="230"/>
      </w:pPr>
      <w:rPr>
        <w:rFonts w:hint="default"/>
        <w:lang w:val="en-US" w:eastAsia="en-US" w:bidi="ar-SA"/>
      </w:rPr>
    </w:lvl>
    <w:lvl w:ilvl="5" w:tplc="0FE05392">
      <w:numFmt w:val="bullet"/>
      <w:lvlText w:val="•"/>
      <w:lvlJc w:val="left"/>
      <w:pPr>
        <w:ind w:left="-979" w:hanging="230"/>
      </w:pPr>
      <w:rPr>
        <w:rFonts w:hint="default"/>
        <w:lang w:val="en-US" w:eastAsia="en-US" w:bidi="ar-SA"/>
      </w:rPr>
    </w:lvl>
    <w:lvl w:ilvl="6" w:tplc="5A587E34">
      <w:numFmt w:val="bullet"/>
      <w:lvlText w:val="•"/>
      <w:lvlJc w:val="left"/>
      <w:pPr>
        <w:ind w:left="-1506" w:hanging="230"/>
      </w:pPr>
      <w:rPr>
        <w:rFonts w:hint="default"/>
        <w:lang w:val="en-US" w:eastAsia="en-US" w:bidi="ar-SA"/>
      </w:rPr>
    </w:lvl>
    <w:lvl w:ilvl="7" w:tplc="2E583702">
      <w:numFmt w:val="bullet"/>
      <w:lvlText w:val="•"/>
      <w:lvlJc w:val="left"/>
      <w:pPr>
        <w:ind w:left="-2032" w:hanging="230"/>
      </w:pPr>
      <w:rPr>
        <w:rFonts w:hint="default"/>
        <w:lang w:val="en-US" w:eastAsia="en-US" w:bidi="ar-SA"/>
      </w:rPr>
    </w:lvl>
    <w:lvl w:ilvl="8" w:tplc="9F90F6AA">
      <w:numFmt w:val="bullet"/>
      <w:lvlText w:val="•"/>
      <w:lvlJc w:val="left"/>
      <w:pPr>
        <w:ind w:left="-2558" w:hanging="230"/>
      </w:pPr>
      <w:rPr>
        <w:rFonts w:hint="default"/>
        <w:lang w:val="en-US" w:eastAsia="en-US" w:bidi="ar-SA"/>
      </w:rPr>
    </w:lvl>
  </w:abstractNum>
  <w:abstractNum w:abstractNumId="61" w15:restartNumberingAfterBreak="0">
    <w:nsid w:val="7B316014"/>
    <w:multiLevelType w:val="hybridMultilevel"/>
    <w:tmpl w:val="794843CA"/>
    <w:lvl w:ilvl="0" w:tplc="2C60BC28">
      <w:numFmt w:val="bullet"/>
      <w:lvlText w:val=""/>
      <w:lvlJc w:val="left"/>
      <w:pPr>
        <w:ind w:left="144" w:hanging="183"/>
      </w:pPr>
      <w:rPr>
        <w:rFonts w:ascii="Symbol" w:eastAsia="Symbol" w:hAnsi="Symbol" w:cs="Symbol" w:hint="default"/>
        <w:b w:val="0"/>
        <w:bCs w:val="0"/>
        <w:i w:val="0"/>
        <w:iCs w:val="0"/>
        <w:spacing w:val="0"/>
        <w:w w:val="100"/>
        <w:sz w:val="18"/>
        <w:szCs w:val="18"/>
        <w:lang w:val="en-US" w:eastAsia="en-US" w:bidi="ar-SA"/>
      </w:rPr>
    </w:lvl>
    <w:lvl w:ilvl="1" w:tplc="DB1AFDDE">
      <w:numFmt w:val="bullet"/>
      <w:lvlText w:val="•"/>
      <w:lvlJc w:val="left"/>
      <w:pPr>
        <w:ind w:left="488" w:hanging="183"/>
      </w:pPr>
      <w:rPr>
        <w:rFonts w:hint="default"/>
        <w:lang w:val="en-US" w:eastAsia="en-US" w:bidi="ar-SA"/>
      </w:rPr>
    </w:lvl>
    <w:lvl w:ilvl="2" w:tplc="C0C8343A">
      <w:numFmt w:val="bullet"/>
      <w:lvlText w:val="•"/>
      <w:lvlJc w:val="left"/>
      <w:pPr>
        <w:ind w:left="836" w:hanging="183"/>
      </w:pPr>
      <w:rPr>
        <w:rFonts w:hint="default"/>
        <w:lang w:val="en-US" w:eastAsia="en-US" w:bidi="ar-SA"/>
      </w:rPr>
    </w:lvl>
    <w:lvl w:ilvl="3" w:tplc="10120652">
      <w:numFmt w:val="bullet"/>
      <w:lvlText w:val="•"/>
      <w:lvlJc w:val="left"/>
      <w:pPr>
        <w:ind w:left="1185" w:hanging="183"/>
      </w:pPr>
      <w:rPr>
        <w:rFonts w:hint="default"/>
        <w:lang w:val="en-US" w:eastAsia="en-US" w:bidi="ar-SA"/>
      </w:rPr>
    </w:lvl>
    <w:lvl w:ilvl="4" w:tplc="CF768DD0">
      <w:numFmt w:val="bullet"/>
      <w:lvlText w:val="•"/>
      <w:lvlJc w:val="left"/>
      <w:pPr>
        <w:ind w:left="1533" w:hanging="183"/>
      </w:pPr>
      <w:rPr>
        <w:rFonts w:hint="default"/>
        <w:lang w:val="en-US" w:eastAsia="en-US" w:bidi="ar-SA"/>
      </w:rPr>
    </w:lvl>
    <w:lvl w:ilvl="5" w:tplc="F966735E">
      <w:numFmt w:val="bullet"/>
      <w:lvlText w:val="•"/>
      <w:lvlJc w:val="left"/>
      <w:pPr>
        <w:ind w:left="1882" w:hanging="183"/>
      </w:pPr>
      <w:rPr>
        <w:rFonts w:hint="default"/>
        <w:lang w:val="en-US" w:eastAsia="en-US" w:bidi="ar-SA"/>
      </w:rPr>
    </w:lvl>
    <w:lvl w:ilvl="6" w:tplc="3FE49874">
      <w:numFmt w:val="bullet"/>
      <w:lvlText w:val="•"/>
      <w:lvlJc w:val="left"/>
      <w:pPr>
        <w:ind w:left="2230" w:hanging="183"/>
      </w:pPr>
      <w:rPr>
        <w:rFonts w:hint="default"/>
        <w:lang w:val="en-US" w:eastAsia="en-US" w:bidi="ar-SA"/>
      </w:rPr>
    </w:lvl>
    <w:lvl w:ilvl="7" w:tplc="39AA7DA2">
      <w:numFmt w:val="bullet"/>
      <w:lvlText w:val="•"/>
      <w:lvlJc w:val="left"/>
      <w:pPr>
        <w:ind w:left="2579" w:hanging="183"/>
      </w:pPr>
      <w:rPr>
        <w:rFonts w:hint="default"/>
        <w:lang w:val="en-US" w:eastAsia="en-US" w:bidi="ar-SA"/>
      </w:rPr>
    </w:lvl>
    <w:lvl w:ilvl="8" w:tplc="43E88A64">
      <w:numFmt w:val="bullet"/>
      <w:lvlText w:val="•"/>
      <w:lvlJc w:val="left"/>
      <w:pPr>
        <w:ind w:left="2927" w:hanging="183"/>
      </w:pPr>
      <w:rPr>
        <w:rFonts w:hint="default"/>
        <w:lang w:val="en-US" w:eastAsia="en-US" w:bidi="ar-SA"/>
      </w:rPr>
    </w:lvl>
  </w:abstractNum>
  <w:abstractNum w:abstractNumId="62" w15:restartNumberingAfterBreak="0">
    <w:nsid w:val="7B943443"/>
    <w:multiLevelType w:val="hybridMultilevel"/>
    <w:tmpl w:val="6B46E4AE"/>
    <w:lvl w:ilvl="0" w:tplc="89EEEEB8">
      <w:start w:val="1"/>
      <w:numFmt w:val="decimal"/>
      <w:lvlText w:val="(%1)"/>
      <w:lvlJc w:val="left"/>
      <w:pPr>
        <w:ind w:left="594" w:hanging="270"/>
        <w:jc w:val="left"/>
      </w:pPr>
      <w:rPr>
        <w:rFonts w:ascii="Cambria" w:eastAsia="Cambria" w:hAnsi="Cambria" w:cs="Cambria" w:hint="default"/>
        <w:b w:val="0"/>
        <w:bCs w:val="0"/>
        <w:i w:val="0"/>
        <w:iCs w:val="0"/>
        <w:spacing w:val="0"/>
        <w:w w:val="92"/>
        <w:sz w:val="18"/>
        <w:szCs w:val="18"/>
        <w:lang w:val="en-US" w:eastAsia="en-US" w:bidi="ar-SA"/>
      </w:rPr>
    </w:lvl>
    <w:lvl w:ilvl="1" w:tplc="9B582D10">
      <w:start w:val="1"/>
      <w:numFmt w:val="lowerRoman"/>
      <w:lvlText w:val="(%2)"/>
      <w:lvlJc w:val="left"/>
      <w:pPr>
        <w:ind w:left="554" w:hanging="230"/>
        <w:jc w:val="left"/>
      </w:pPr>
      <w:rPr>
        <w:rFonts w:ascii="Cambria" w:eastAsia="Cambria" w:hAnsi="Cambria" w:cs="Cambria" w:hint="default"/>
        <w:b w:val="0"/>
        <w:bCs w:val="0"/>
        <w:i w:val="0"/>
        <w:iCs w:val="0"/>
        <w:spacing w:val="0"/>
        <w:w w:val="95"/>
        <w:sz w:val="18"/>
        <w:szCs w:val="18"/>
        <w:lang w:val="en-US" w:eastAsia="en-US" w:bidi="ar-SA"/>
      </w:rPr>
    </w:lvl>
    <w:lvl w:ilvl="2" w:tplc="16D2C27C">
      <w:numFmt w:val="bullet"/>
      <w:lvlText w:val="•"/>
      <w:lvlJc w:val="left"/>
      <w:pPr>
        <w:ind w:left="936" w:hanging="230"/>
      </w:pPr>
      <w:rPr>
        <w:rFonts w:hint="default"/>
        <w:lang w:val="en-US" w:eastAsia="en-US" w:bidi="ar-SA"/>
      </w:rPr>
    </w:lvl>
    <w:lvl w:ilvl="3" w:tplc="8BD0132E">
      <w:numFmt w:val="bullet"/>
      <w:lvlText w:val="•"/>
      <w:lvlJc w:val="left"/>
      <w:pPr>
        <w:ind w:left="1272" w:hanging="230"/>
      </w:pPr>
      <w:rPr>
        <w:rFonts w:hint="default"/>
        <w:lang w:val="en-US" w:eastAsia="en-US" w:bidi="ar-SA"/>
      </w:rPr>
    </w:lvl>
    <w:lvl w:ilvl="4" w:tplc="12FCA576">
      <w:numFmt w:val="bullet"/>
      <w:lvlText w:val="•"/>
      <w:lvlJc w:val="left"/>
      <w:pPr>
        <w:ind w:left="1608" w:hanging="230"/>
      </w:pPr>
      <w:rPr>
        <w:rFonts w:hint="default"/>
        <w:lang w:val="en-US" w:eastAsia="en-US" w:bidi="ar-SA"/>
      </w:rPr>
    </w:lvl>
    <w:lvl w:ilvl="5" w:tplc="350EBF72">
      <w:numFmt w:val="bullet"/>
      <w:lvlText w:val="•"/>
      <w:lvlJc w:val="left"/>
      <w:pPr>
        <w:ind w:left="1944" w:hanging="230"/>
      </w:pPr>
      <w:rPr>
        <w:rFonts w:hint="default"/>
        <w:lang w:val="en-US" w:eastAsia="en-US" w:bidi="ar-SA"/>
      </w:rPr>
    </w:lvl>
    <w:lvl w:ilvl="6" w:tplc="14FC781C">
      <w:numFmt w:val="bullet"/>
      <w:lvlText w:val="•"/>
      <w:lvlJc w:val="left"/>
      <w:pPr>
        <w:ind w:left="2280" w:hanging="230"/>
      </w:pPr>
      <w:rPr>
        <w:rFonts w:hint="default"/>
        <w:lang w:val="en-US" w:eastAsia="en-US" w:bidi="ar-SA"/>
      </w:rPr>
    </w:lvl>
    <w:lvl w:ilvl="7" w:tplc="3B348FC4">
      <w:numFmt w:val="bullet"/>
      <w:lvlText w:val="•"/>
      <w:lvlJc w:val="left"/>
      <w:pPr>
        <w:ind w:left="2616" w:hanging="230"/>
      </w:pPr>
      <w:rPr>
        <w:rFonts w:hint="default"/>
        <w:lang w:val="en-US" w:eastAsia="en-US" w:bidi="ar-SA"/>
      </w:rPr>
    </w:lvl>
    <w:lvl w:ilvl="8" w:tplc="DBF28464">
      <w:numFmt w:val="bullet"/>
      <w:lvlText w:val="•"/>
      <w:lvlJc w:val="left"/>
      <w:pPr>
        <w:ind w:left="2952" w:hanging="230"/>
      </w:pPr>
      <w:rPr>
        <w:rFonts w:hint="default"/>
        <w:lang w:val="en-US" w:eastAsia="en-US" w:bidi="ar-SA"/>
      </w:rPr>
    </w:lvl>
  </w:abstractNum>
  <w:abstractNum w:abstractNumId="63" w15:restartNumberingAfterBreak="0">
    <w:nsid w:val="7FCF7B91"/>
    <w:multiLevelType w:val="hybridMultilevel"/>
    <w:tmpl w:val="678E0AFC"/>
    <w:lvl w:ilvl="0" w:tplc="D37E1DC8">
      <w:numFmt w:val="bullet"/>
      <w:lvlText w:val="■"/>
      <w:lvlJc w:val="left"/>
      <w:pPr>
        <w:ind w:left="160" w:hanging="167"/>
      </w:pPr>
      <w:rPr>
        <w:rFonts w:ascii="MS Gothic" w:eastAsia="MS Gothic" w:hAnsi="MS Gothic" w:cs="MS Gothic" w:hint="default"/>
        <w:b w:val="0"/>
        <w:bCs w:val="0"/>
        <w:i w:val="0"/>
        <w:iCs w:val="0"/>
        <w:spacing w:val="0"/>
        <w:w w:val="76"/>
        <w:sz w:val="14"/>
        <w:szCs w:val="14"/>
        <w:lang w:val="en-US" w:eastAsia="en-US" w:bidi="ar-SA"/>
      </w:rPr>
    </w:lvl>
    <w:lvl w:ilvl="1" w:tplc="EC8EC28A">
      <w:numFmt w:val="bullet"/>
      <w:lvlText w:val="•"/>
      <w:lvlJc w:val="left"/>
      <w:pPr>
        <w:ind w:left="496" w:hanging="167"/>
      </w:pPr>
      <w:rPr>
        <w:rFonts w:hint="default"/>
        <w:lang w:val="en-US" w:eastAsia="en-US" w:bidi="ar-SA"/>
      </w:rPr>
    </w:lvl>
    <w:lvl w:ilvl="2" w:tplc="DB804304">
      <w:numFmt w:val="bullet"/>
      <w:lvlText w:val="•"/>
      <w:lvlJc w:val="left"/>
      <w:pPr>
        <w:ind w:left="832" w:hanging="167"/>
      </w:pPr>
      <w:rPr>
        <w:rFonts w:hint="default"/>
        <w:lang w:val="en-US" w:eastAsia="en-US" w:bidi="ar-SA"/>
      </w:rPr>
    </w:lvl>
    <w:lvl w:ilvl="3" w:tplc="83F27C0A">
      <w:numFmt w:val="bullet"/>
      <w:lvlText w:val="•"/>
      <w:lvlJc w:val="left"/>
      <w:pPr>
        <w:ind w:left="1168" w:hanging="167"/>
      </w:pPr>
      <w:rPr>
        <w:rFonts w:hint="default"/>
        <w:lang w:val="en-US" w:eastAsia="en-US" w:bidi="ar-SA"/>
      </w:rPr>
    </w:lvl>
    <w:lvl w:ilvl="4" w:tplc="1A84896E">
      <w:numFmt w:val="bullet"/>
      <w:lvlText w:val="•"/>
      <w:lvlJc w:val="left"/>
      <w:pPr>
        <w:ind w:left="1504" w:hanging="167"/>
      </w:pPr>
      <w:rPr>
        <w:rFonts w:hint="default"/>
        <w:lang w:val="en-US" w:eastAsia="en-US" w:bidi="ar-SA"/>
      </w:rPr>
    </w:lvl>
    <w:lvl w:ilvl="5" w:tplc="CA001206">
      <w:numFmt w:val="bullet"/>
      <w:lvlText w:val="•"/>
      <w:lvlJc w:val="left"/>
      <w:pPr>
        <w:ind w:left="1840" w:hanging="167"/>
      </w:pPr>
      <w:rPr>
        <w:rFonts w:hint="default"/>
        <w:lang w:val="en-US" w:eastAsia="en-US" w:bidi="ar-SA"/>
      </w:rPr>
    </w:lvl>
    <w:lvl w:ilvl="6" w:tplc="DC46F702">
      <w:numFmt w:val="bullet"/>
      <w:lvlText w:val="•"/>
      <w:lvlJc w:val="left"/>
      <w:pPr>
        <w:ind w:left="2176" w:hanging="167"/>
      </w:pPr>
      <w:rPr>
        <w:rFonts w:hint="default"/>
        <w:lang w:val="en-US" w:eastAsia="en-US" w:bidi="ar-SA"/>
      </w:rPr>
    </w:lvl>
    <w:lvl w:ilvl="7" w:tplc="8DB612E8">
      <w:numFmt w:val="bullet"/>
      <w:lvlText w:val="•"/>
      <w:lvlJc w:val="left"/>
      <w:pPr>
        <w:ind w:left="2512" w:hanging="167"/>
      </w:pPr>
      <w:rPr>
        <w:rFonts w:hint="default"/>
        <w:lang w:val="en-US" w:eastAsia="en-US" w:bidi="ar-SA"/>
      </w:rPr>
    </w:lvl>
    <w:lvl w:ilvl="8" w:tplc="BA5858F8">
      <w:numFmt w:val="bullet"/>
      <w:lvlText w:val="•"/>
      <w:lvlJc w:val="left"/>
      <w:pPr>
        <w:ind w:left="2848" w:hanging="167"/>
      </w:pPr>
      <w:rPr>
        <w:rFonts w:hint="default"/>
        <w:lang w:val="en-US" w:eastAsia="en-US" w:bidi="ar-SA"/>
      </w:rPr>
    </w:lvl>
  </w:abstractNum>
  <w:abstractNum w:abstractNumId="64" w15:restartNumberingAfterBreak="0">
    <w:nsid w:val="7FF2479E"/>
    <w:multiLevelType w:val="hybridMultilevel"/>
    <w:tmpl w:val="59C696A0"/>
    <w:lvl w:ilvl="0" w:tplc="107EFAF0">
      <w:numFmt w:val="bullet"/>
      <w:lvlText w:val=""/>
      <w:lvlJc w:val="left"/>
      <w:pPr>
        <w:ind w:left="160" w:hanging="183"/>
      </w:pPr>
      <w:rPr>
        <w:rFonts w:ascii="Symbol" w:eastAsia="Symbol" w:hAnsi="Symbol" w:cs="Symbol" w:hint="default"/>
        <w:b w:val="0"/>
        <w:bCs w:val="0"/>
        <w:i w:val="0"/>
        <w:iCs w:val="0"/>
        <w:spacing w:val="0"/>
        <w:w w:val="100"/>
        <w:sz w:val="18"/>
        <w:szCs w:val="18"/>
        <w:lang w:val="en-US" w:eastAsia="en-US" w:bidi="ar-SA"/>
      </w:rPr>
    </w:lvl>
    <w:lvl w:ilvl="1" w:tplc="8E5A8950">
      <w:numFmt w:val="bullet"/>
      <w:lvlText w:val="•"/>
      <w:lvlJc w:val="left"/>
      <w:pPr>
        <w:ind w:left="494" w:hanging="183"/>
      </w:pPr>
      <w:rPr>
        <w:rFonts w:hint="default"/>
        <w:lang w:val="en-US" w:eastAsia="en-US" w:bidi="ar-SA"/>
      </w:rPr>
    </w:lvl>
    <w:lvl w:ilvl="2" w:tplc="3098995C">
      <w:numFmt w:val="bullet"/>
      <w:lvlText w:val="•"/>
      <w:lvlJc w:val="left"/>
      <w:pPr>
        <w:ind w:left="829" w:hanging="183"/>
      </w:pPr>
      <w:rPr>
        <w:rFonts w:hint="default"/>
        <w:lang w:val="en-US" w:eastAsia="en-US" w:bidi="ar-SA"/>
      </w:rPr>
    </w:lvl>
    <w:lvl w:ilvl="3" w:tplc="D842D762">
      <w:numFmt w:val="bullet"/>
      <w:lvlText w:val="•"/>
      <w:lvlJc w:val="left"/>
      <w:pPr>
        <w:ind w:left="1163" w:hanging="183"/>
      </w:pPr>
      <w:rPr>
        <w:rFonts w:hint="default"/>
        <w:lang w:val="en-US" w:eastAsia="en-US" w:bidi="ar-SA"/>
      </w:rPr>
    </w:lvl>
    <w:lvl w:ilvl="4" w:tplc="7790361E">
      <w:numFmt w:val="bullet"/>
      <w:lvlText w:val="•"/>
      <w:lvlJc w:val="left"/>
      <w:pPr>
        <w:ind w:left="1498" w:hanging="183"/>
      </w:pPr>
      <w:rPr>
        <w:rFonts w:hint="default"/>
        <w:lang w:val="en-US" w:eastAsia="en-US" w:bidi="ar-SA"/>
      </w:rPr>
    </w:lvl>
    <w:lvl w:ilvl="5" w:tplc="8A9892F4">
      <w:numFmt w:val="bullet"/>
      <w:lvlText w:val="•"/>
      <w:lvlJc w:val="left"/>
      <w:pPr>
        <w:ind w:left="1833" w:hanging="183"/>
      </w:pPr>
      <w:rPr>
        <w:rFonts w:hint="default"/>
        <w:lang w:val="en-US" w:eastAsia="en-US" w:bidi="ar-SA"/>
      </w:rPr>
    </w:lvl>
    <w:lvl w:ilvl="6" w:tplc="40485EB6">
      <w:numFmt w:val="bullet"/>
      <w:lvlText w:val="•"/>
      <w:lvlJc w:val="left"/>
      <w:pPr>
        <w:ind w:left="2167" w:hanging="183"/>
      </w:pPr>
      <w:rPr>
        <w:rFonts w:hint="default"/>
        <w:lang w:val="en-US" w:eastAsia="en-US" w:bidi="ar-SA"/>
      </w:rPr>
    </w:lvl>
    <w:lvl w:ilvl="7" w:tplc="03764858">
      <w:numFmt w:val="bullet"/>
      <w:lvlText w:val="•"/>
      <w:lvlJc w:val="left"/>
      <w:pPr>
        <w:ind w:left="2502" w:hanging="183"/>
      </w:pPr>
      <w:rPr>
        <w:rFonts w:hint="default"/>
        <w:lang w:val="en-US" w:eastAsia="en-US" w:bidi="ar-SA"/>
      </w:rPr>
    </w:lvl>
    <w:lvl w:ilvl="8" w:tplc="B8B819A2">
      <w:numFmt w:val="bullet"/>
      <w:lvlText w:val="•"/>
      <w:lvlJc w:val="left"/>
      <w:pPr>
        <w:ind w:left="2837" w:hanging="183"/>
      </w:pPr>
      <w:rPr>
        <w:rFonts w:hint="default"/>
        <w:lang w:val="en-US" w:eastAsia="en-US" w:bidi="ar-SA"/>
      </w:rPr>
    </w:lvl>
  </w:abstractNum>
  <w:num w:numId="1" w16cid:durableId="275987129">
    <w:abstractNumId w:val="15"/>
  </w:num>
  <w:num w:numId="2" w16cid:durableId="219757711">
    <w:abstractNumId w:val="3"/>
  </w:num>
  <w:num w:numId="3" w16cid:durableId="75784583">
    <w:abstractNumId w:val="52"/>
  </w:num>
  <w:num w:numId="4" w16cid:durableId="275644505">
    <w:abstractNumId w:val="23"/>
  </w:num>
  <w:num w:numId="5" w16cid:durableId="832373761">
    <w:abstractNumId w:val="19"/>
  </w:num>
  <w:num w:numId="6" w16cid:durableId="121851090">
    <w:abstractNumId w:val="9"/>
  </w:num>
  <w:num w:numId="7" w16cid:durableId="797262870">
    <w:abstractNumId w:val="2"/>
  </w:num>
  <w:num w:numId="8" w16cid:durableId="727652680">
    <w:abstractNumId w:val="36"/>
  </w:num>
  <w:num w:numId="9" w16cid:durableId="398089901">
    <w:abstractNumId w:val="34"/>
  </w:num>
  <w:num w:numId="10" w16cid:durableId="507213994">
    <w:abstractNumId w:val="46"/>
  </w:num>
  <w:num w:numId="11" w16cid:durableId="704524824">
    <w:abstractNumId w:val="45"/>
  </w:num>
  <w:num w:numId="12" w16cid:durableId="1507745567">
    <w:abstractNumId w:val="5"/>
  </w:num>
  <w:num w:numId="13" w16cid:durableId="1277368085">
    <w:abstractNumId w:val="53"/>
  </w:num>
  <w:num w:numId="14" w16cid:durableId="2018071832">
    <w:abstractNumId w:val="4"/>
  </w:num>
  <w:num w:numId="15" w16cid:durableId="1606694249">
    <w:abstractNumId w:val="7"/>
  </w:num>
  <w:num w:numId="16" w16cid:durableId="1490901382">
    <w:abstractNumId w:val="62"/>
  </w:num>
  <w:num w:numId="17" w16cid:durableId="1502625921">
    <w:abstractNumId w:val="56"/>
  </w:num>
  <w:num w:numId="18" w16cid:durableId="2146969702">
    <w:abstractNumId w:val="55"/>
  </w:num>
  <w:num w:numId="19" w16cid:durableId="1787892175">
    <w:abstractNumId w:val="42"/>
  </w:num>
  <w:num w:numId="20" w16cid:durableId="1930117920">
    <w:abstractNumId w:val="38"/>
  </w:num>
  <w:num w:numId="21" w16cid:durableId="1310481736">
    <w:abstractNumId w:val="48"/>
  </w:num>
  <w:num w:numId="22" w16cid:durableId="1231698396">
    <w:abstractNumId w:val="40"/>
  </w:num>
  <w:num w:numId="23" w16cid:durableId="852961645">
    <w:abstractNumId w:val="60"/>
  </w:num>
  <w:num w:numId="24" w16cid:durableId="1576356873">
    <w:abstractNumId w:val="28"/>
  </w:num>
  <w:num w:numId="25" w16cid:durableId="1887837822">
    <w:abstractNumId w:val="37"/>
  </w:num>
  <w:num w:numId="26" w16cid:durableId="149369407">
    <w:abstractNumId w:val="43"/>
  </w:num>
  <w:num w:numId="27" w16cid:durableId="1362319726">
    <w:abstractNumId w:val="11"/>
  </w:num>
  <w:num w:numId="28" w16cid:durableId="1211382415">
    <w:abstractNumId w:val="49"/>
  </w:num>
  <w:num w:numId="29" w16cid:durableId="909535427">
    <w:abstractNumId w:val="44"/>
  </w:num>
  <w:num w:numId="30" w16cid:durableId="1534877750">
    <w:abstractNumId w:val="20"/>
  </w:num>
  <w:num w:numId="31" w16cid:durableId="1421484759">
    <w:abstractNumId w:val="47"/>
  </w:num>
  <w:num w:numId="32" w16cid:durableId="1949658676">
    <w:abstractNumId w:val="24"/>
  </w:num>
  <w:num w:numId="33" w16cid:durableId="1575049282">
    <w:abstractNumId w:val="18"/>
  </w:num>
  <w:num w:numId="34" w16cid:durableId="1658462619">
    <w:abstractNumId w:val="35"/>
  </w:num>
  <w:num w:numId="35" w16cid:durableId="638539991">
    <w:abstractNumId w:val="59"/>
  </w:num>
  <w:num w:numId="36" w16cid:durableId="1756441291">
    <w:abstractNumId w:val="27"/>
  </w:num>
  <w:num w:numId="37" w16cid:durableId="59522060">
    <w:abstractNumId w:val="10"/>
  </w:num>
  <w:num w:numId="38" w16cid:durableId="94249944">
    <w:abstractNumId w:val="26"/>
  </w:num>
  <w:num w:numId="39" w16cid:durableId="371661176">
    <w:abstractNumId w:val="63"/>
  </w:num>
  <w:num w:numId="40" w16cid:durableId="1442533861">
    <w:abstractNumId w:val="32"/>
  </w:num>
  <w:num w:numId="41" w16cid:durableId="862979665">
    <w:abstractNumId w:val="51"/>
  </w:num>
  <w:num w:numId="42" w16cid:durableId="20517045">
    <w:abstractNumId w:val="58"/>
  </w:num>
  <w:num w:numId="43" w16cid:durableId="1426073471">
    <w:abstractNumId w:val="25"/>
  </w:num>
  <w:num w:numId="44" w16cid:durableId="887062478">
    <w:abstractNumId w:val="0"/>
  </w:num>
  <w:num w:numId="45" w16cid:durableId="1338996699">
    <w:abstractNumId w:val="30"/>
  </w:num>
  <w:num w:numId="46" w16cid:durableId="1097403955">
    <w:abstractNumId w:val="41"/>
  </w:num>
  <w:num w:numId="47" w16cid:durableId="2108040246">
    <w:abstractNumId w:val="21"/>
  </w:num>
  <w:num w:numId="48" w16cid:durableId="1459839814">
    <w:abstractNumId w:val="64"/>
  </w:num>
  <w:num w:numId="49" w16cid:durableId="2095859582">
    <w:abstractNumId w:val="50"/>
  </w:num>
  <w:num w:numId="50" w16cid:durableId="1220364954">
    <w:abstractNumId w:val="1"/>
  </w:num>
  <w:num w:numId="51" w16cid:durableId="1756826529">
    <w:abstractNumId w:val="17"/>
  </w:num>
  <w:num w:numId="52" w16cid:durableId="372969022">
    <w:abstractNumId w:val="31"/>
  </w:num>
  <w:num w:numId="53" w16cid:durableId="1877086335">
    <w:abstractNumId w:val="16"/>
  </w:num>
  <w:num w:numId="54" w16cid:durableId="469249865">
    <w:abstractNumId w:val="13"/>
  </w:num>
  <w:num w:numId="55" w16cid:durableId="273901377">
    <w:abstractNumId w:val="54"/>
  </w:num>
  <w:num w:numId="56" w16cid:durableId="1624120354">
    <w:abstractNumId w:val="33"/>
  </w:num>
  <w:num w:numId="57" w16cid:durableId="149054555">
    <w:abstractNumId w:val="61"/>
  </w:num>
  <w:num w:numId="58" w16cid:durableId="44453704">
    <w:abstractNumId w:val="12"/>
  </w:num>
  <w:num w:numId="59" w16cid:durableId="1579097322">
    <w:abstractNumId w:val="57"/>
  </w:num>
  <w:num w:numId="60" w16cid:durableId="1734307717">
    <w:abstractNumId w:val="29"/>
  </w:num>
  <w:num w:numId="61" w16cid:durableId="1441877597">
    <w:abstractNumId w:val="14"/>
  </w:num>
  <w:num w:numId="62" w16cid:durableId="184246774">
    <w:abstractNumId w:val="6"/>
  </w:num>
  <w:num w:numId="63" w16cid:durableId="2018846430">
    <w:abstractNumId w:val="39"/>
  </w:num>
  <w:num w:numId="64" w16cid:durableId="1009023961">
    <w:abstractNumId w:val="8"/>
  </w:num>
  <w:num w:numId="65" w16cid:durableId="1128475026">
    <w:abstractNumId w:val="22"/>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evenAndOddHeaders/>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67C1E"/>
    <w:rsid w:val="000C1F90"/>
    <w:rsid w:val="001265CA"/>
    <w:rsid w:val="001B493A"/>
    <w:rsid w:val="00283806"/>
    <w:rsid w:val="00310213"/>
    <w:rsid w:val="00312688"/>
    <w:rsid w:val="005367CA"/>
    <w:rsid w:val="00561A9D"/>
    <w:rsid w:val="00651E27"/>
    <w:rsid w:val="00780D92"/>
    <w:rsid w:val="00901FA0"/>
    <w:rsid w:val="00A32906"/>
    <w:rsid w:val="00CD6D79"/>
    <w:rsid w:val="00D67C1E"/>
    <w:rsid w:val="00DD7E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B2AE3"/>
  <w15:docId w15:val="{616B29BC-1B9D-4A26-ADC6-356A08F00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rPr>
  </w:style>
  <w:style w:type="paragraph" w:styleId="Heading1">
    <w:name w:val="heading 1"/>
    <w:basedOn w:val="Normal"/>
    <w:uiPriority w:val="9"/>
    <w:qFormat/>
    <w:pPr>
      <w:spacing w:before="23"/>
      <w:ind w:left="20"/>
      <w:outlineLvl w:val="0"/>
    </w:pPr>
    <w:rPr>
      <w:rFonts w:ascii="Arial" w:eastAsia="Arial" w:hAnsi="Arial" w:cs="Arial"/>
      <w:sz w:val="20"/>
      <w:szCs w:val="20"/>
    </w:rPr>
  </w:style>
  <w:style w:type="paragraph" w:styleId="Heading2">
    <w:name w:val="heading 2"/>
    <w:basedOn w:val="Normal"/>
    <w:uiPriority w:val="9"/>
    <w:unhideWhenUsed/>
    <w:qFormat/>
    <w:pPr>
      <w:spacing w:before="156"/>
      <w:ind w:left="160"/>
      <w:outlineLvl w:val="1"/>
    </w:pPr>
    <w:rPr>
      <w:rFonts w:ascii="Arial" w:eastAsia="Arial" w:hAnsi="Arial" w:cs="Arial"/>
      <w:b/>
      <w:bCs/>
      <w:sz w:val="18"/>
      <w:szCs w:val="18"/>
    </w:rPr>
  </w:style>
  <w:style w:type="paragraph" w:styleId="Heading3">
    <w:name w:val="heading 3"/>
    <w:basedOn w:val="Normal"/>
    <w:uiPriority w:val="9"/>
    <w:unhideWhenUsed/>
    <w:qFormat/>
    <w:pPr>
      <w:spacing w:before="156"/>
      <w:ind w:left="160"/>
      <w:outlineLvl w:val="2"/>
    </w:pPr>
    <w:rPr>
      <w:rFonts w:ascii="Arial" w:eastAsia="Arial" w:hAnsi="Arial" w:cs="Arial"/>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60"/>
    </w:pPr>
    <w:rPr>
      <w:sz w:val="18"/>
      <w:szCs w:val="18"/>
    </w:rPr>
  </w:style>
  <w:style w:type="paragraph" w:styleId="ListParagraph">
    <w:name w:val="List Paragraph"/>
    <w:basedOn w:val="Normal"/>
    <w:uiPriority w:val="1"/>
    <w:qFormat/>
    <w:pPr>
      <w:ind w:left="160" w:firstLine="180"/>
    </w:pPr>
  </w:style>
  <w:style w:type="paragraph" w:customStyle="1" w:styleId="TableParagraph">
    <w:name w:val="Table Paragraph"/>
    <w:basedOn w:val="Normal"/>
    <w:uiPriority w:val="1"/>
    <w:qFormat/>
    <w:pPr>
      <w:spacing w:line="160" w:lineRule="exact"/>
      <w:jc w:val="center"/>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yperlink" Target="https://ozone.unep.org/system/files/documents/Scientific-Assessment-of-Ozone-Depletion-2022.pdf" TargetMode="External"/><Relationship Id="rId2" Type="http://schemas.openxmlformats.org/officeDocument/2006/relationships/styles" Target="styles.xml"/><Relationship Id="rId16" Type="http://schemas.openxmlformats.org/officeDocument/2006/relationships/hyperlink" Target="https://ozone.unep.org/system/files/documents/Scientific-Assessment-of-Ozone-Depletion-2022.pdf" TargetMode="External"/><Relationship Id="rId20" Type="http://schemas.openxmlformats.org/officeDocument/2006/relationships/hyperlink" Target="https://www.epa.gov/system/files/documents/2023-04/HFC%20Management_Reclaimer%20Stakeholder%20Mtg_Final%203-15-23.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8.xml"/><Relationship Id="rId23" Type="http://schemas.openxmlformats.org/officeDocument/2006/relationships/fontTable" Target="fontTable.xml"/><Relationship Id="rId10" Type="http://schemas.openxmlformats.org/officeDocument/2006/relationships/header" Target="header3.xm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7.xml"/><Relationship Id="rId2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191</Pages>
  <Words>211605</Words>
  <Characters>1206151</Characters>
  <Application>Microsoft Office Word</Application>
  <DocSecurity>0</DocSecurity>
  <Lines>10051</Lines>
  <Paragraphs>2829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Curran, Kimberley</cp:lastModifiedBy>
  <cp:revision>8</cp:revision>
  <dcterms:created xsi:type="dcterms:W3CDTF">2025-04-08T15:37:00Z</dcterms:created>
  <dcterms:modified xsi:type="dcterms:W3CDTF">2025-06-10T11:40:00Z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2024-10-11T00:00:00Z</vt:filetime>
  </property>
  <property fmtid="{D5CDD505-2E9C-101B-9397-08002B2CF9AE}" pid="3" name="Creator">
    <vt:lpwstr>govinfo, U. S. Government Publishing Office</vt:lpwstr>
  </property>
  <property fmtid="{D5CDD505-2E9C-101B-9397-08002B2CF9AE}" pid="4" name="LastSaved">
    <vt:filetime>2025-04-08T00:00:00Z</vt:filetime>
  </property>
  <property fmtid="{D5CDD505-2E9C-101B-9397-08002B2CF9AE}" pid="5" name="Producer">
    <vt:lpwstr>iText® Core 7.2.3 (production version) ©2000-2022 iText Group NV, Government Publishing Office</vt:lpwstr>
  </property>
</Properties>
</file>